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AA9D7A1" w14:textId="79008E01" w:rsidR="00F10CE9" w:rsidRPr="00BF29FC" w:rsidRDefault="00737D78" w:rsidP="00F10CE9">
      <w:pPr>
        <w:spacing w:line="240" w:lineRule="auto"/>
        <w:ind w:firstLine="0"/>
        <w:rPr>
          <w:b/>
          <w:color w:val="auto"/>
          <w:sz w:val="20"/>
          <w:szCs w:val="20"/>
        </w:rPr>
      </w:pPr>
      <w:bookmarkStart w:id="0" w:name="_GoBack"/>
      <w:bookmarkEnd w:id="0"/>
      <w:r>
        <w:rPr>
          <w:b/>
          <w:color w:val="auto"/>
          <w:sz w:val="20"/>
          <w:szCs w:val="20"/>
        </w:rPr>
        <w:t xml:space="preserve">PENSIÓN DE SOBREVIVIENTES </w:t>
      </w:r>
      <w:r w:rsidR="00F10CE9" w:rsidRPr="00BF29FC">
        <w:rPr>
          <w:b/>
          <w:color w:val="auto"/>
          <w:sz w:val="20"/>
          <w:szCs w:val="20"/>
        </w:rPr>
        <w:t xml:space="preserve">/ INTERESES DE MORA / </w:t>
      </w:r>
      <w:r>
        <w:rPr>
          <w:b/>
          <w:color w:val="auto"/>
          <w:sz w:val="20"/>
          <w:szCs w:val="20"/>
        </w:rPr>
        <w:t>NATURALEZA RESARCITORIA</w:t>
      </w:r>
    </w:p>
    <w:p w14:paraId="143FA0A8" w14:textId="1F284B32" w:rsidR="00F10CE9" w:rsidRDefault="00737D78" w:rsidP="00F10CE9">
      <w:pPr>
        <w:spacing w:line="240" w:lineRule="auto"/>
        <w:ind w:firstLine="0"/>
        <w:rPr>
          <w:color w:val="auto"/>
          <w:sz w:val="20"/>
          <w:szCs w:val="20"/>
        </w:rPr>
      </w:pPr>
      <w:r w:rsidRPr="00737D78">
        <w:rPr>
          <w:color w:val="auto"/>
          <w:sz w:val="20"/>
          <w:szCs w:val="20"/>
        </w:rPr>
        <w:t>En relación con los intereses de mora de que trata el artículo 141 de la Ley 100 de 1993, es de rememorar que la Jurisprudencia ha denotado que dicho concepto es de naturaleza resarcitoria y no sancionatoria, lo que conlleva la imposibilidad de verificar el comportamiento de la entidad obligada, con el fin de constatar si actuó de buena fe, con excepción de algunos casos en los que, jurisprudencialmente, las entidades niegan el derecho pensional o fijan su cuantía fincadas en el ordenamiento legal vigente, o porque finalmente la obligación se concede por la aplicación de reglas jurisprudenciales relativas a la validez o vigencia de algunas normas o cuando existe conflicto entre beneficiarios (</w:t>
      </w:r>
      <w:proofErr w:type="spellStart"/>
      <w:r w:rsidRPr="00737D78">
        <w:rPr>
          <w:color w:val="auto"/>
          <w:sz w:val="20"/>
          <w:szCs w:val="20"/>
        </w:rPr>
        <w:t>SL2631</w:t>
      </w:r>
      <w:proofErr w:type="spellEnd"/>
      <w:r w:rsidRPr="00737D78">
        <w:rPr>
          <w:color w:val="auto"/>
          <w:sz w:val="20"/>
          <w:szCs w:val="20"/>
        </w:rPr>
        <w:t>/2022).</w:t>
      </w:r>
    </w:p>
    <w:p w14:paraId="67D98924" w14:textId="77777777" w:rsidR="00737D78" w:rsidRPr="00BF29FC" w:rsidRDefault="00737D78" w:rsidP="00F10CE9">
      <w:pPr>
        <w:spacing w:line="240" w:lineRule="auto"/>
        <w:ind w:firstLine="0"/>
        <w:rPr>
          <w:color w:val="auto"/>
          <w:sz w:val="20"/>
          <w:szCs w:val="20"/>
        </w:rPr>
      </w:pPr>
    </w:p>
    <w:p w14:paraId="6803115D" w14:textId="6DAEA284" w:rsidR="00F10CE9" w:rsidRPr="00BF29FC" w:rsidRDefault="00F10CE9" w:rsidP="00F10CE9">
      <w:pPr>
        <w:spacing w:line="240" w:lineRule="auto"/>
        <w:ind w:firstLine="0"/>
        <w:rPr>
          <w:b/>
          <w:color w:val="auto"/>
          <w:sz w:val="20"/>
          <w:szCs w:val="20"/>
        </w:rPr>
      </w:pPr>
      <w:r w:rsidRPr="00BF29FC">
        <w:rPr>
          <w:b/>
          <w:color w:val="auto"/>
          <w:sz w:val="20"/>
          <w:szCs w:val="20"/>
        </w:rPr>
        <w:t xml:space="preserve">INTERESES DE MORA / </w:t>
      </w:r>
      <w:r w:rsidR="00210211">
        <w:rPr>
          <w:b/>
          <w:color w:val="auto"/>
          <w:sz w:val="20"/>
          <w:szCs w:val="20"/>
        </w:rPr>
        <w:t>FUNDAMENTO / LEY 100 DE 1993</w:t>
      </w:r>
    </w:p>
    <w:p w14:paraId="0E70FE59" w14:textId="7737412C" w:rsidR="00F10CE9" w:rsidRPr="00210211" w:rsidRDefault="00210211" w:rsidP="00210211">
      <w:pPr>
        <w:spacing w:line="240" w:lineRule="auto"/>
        <w:ind w:firstLine="0"/>
        <w:rPr>
          <w:color w:val="auto"/>
          <w:sz w:val="20"/>
          <w:szCs w:val="20"/>
        </w:rPr>
      </w:pPr>
      <w:r>
        <w:rPr>
          <w:color w:val="auto"/>
          <w:sz w:val="20"/>
          <w:szCs w:val="20"/>
        </w:rPr>
        <w:t xml:space="preserve">… </w:t>
      </w:r>
      <w:r w:rsidRPr="00210211">
        <w:rPr>
          <w:color w:val="auto"/>
          <w:sz w:val="20"/>
          <w:szCs w:val="20"/>
        </w:rPr>
        <w:t>aunque es notorio que Colpensiones incurrió en mora en el reconocimiento y pago de la pensión a pesar de que la demandante acreditaba el derecho, al ser la prestación edificada conforme la Ley 90 de 1946 y el Acuerdo 161 de 1964, es decir, basada en una norma anterior a la Ley 100 de 1993 que dispuso los intereses moratorios como medida resarcitoria, no le es ap</w:t>
      </w:r>
      <w:r>
        <w:rPr>
          <w:color w:val="auto"/>
          <w:sz w:val="20"/>
          <w:szCs w:val="20"/>
        </w:rPr>
        <w:t xml:space="preserve">licable el artículo 141 citado.  </w:t>
      </w:r>
      <w:r w:rsidRPr="00210211">
        <w:rPr>
          <w:color w:val="auto"/>
          <w:sz w:val="20"/>
          <w:szCs w:val="20"/>
        </w:rPr>
        <w:t xml:space="preserve">Lo dicho, encuentra su sustento entre otras, en la sentencia </w:t>
      </w:r>
      <w:proofErr w:type="spellStart"/>
      <w:r w:rsidRPr="00210211">
        <w:rPr>
          <w:color w:val="auto"/>
          <w:sz w:val="20"/>
          <w:szCs w:val="20"/>
        </w:rPr>
        <w:t>SL4536</w:t>
      </w:r>
      <w:proofErr w:type="spellEnd"/>
      <w:r w:rsidRPr="00210211">
        <w:rPr>
          <w:color w:val="auto"/>
          <w:sz w:val="20"/>
          <w:szCs w:val="20"/>
        </w:rPr>
        <w:t>-2020, providencia donde la Corte frente a una pensión de sobrevivientes regida por el artículo 55 de la Ley 90 de 1946, negó los citados intereses moratorios</w:t>
      </w:r>
      <w:r>
        <w:rPr>
          <w:color w:val="auto"/>
          <w:sz w:val="20"/>
          <w:szCs w:val="20"/>
        </w:rPr>
        <w:t>…</w:t>
      </w:r>
    </w:p>
    <w:p w14:paraId="337E6729" w14:textId="5E99759E" w:rsidR="00E1708F" w:rsidRDefault="00E1708F" w:rsidP="00210211">
      <w:pPr>
        <w:spacing w:line="240" w:lineRule="auto"/>
        <w:ind w:firstLine="0"/>
        <w:rPr>
          <w:rStyle w:val="Referenciasutil"/>
          <w:color w:val="auto"/>
          <w:sz w:val="20"/>
          <w14:textOutline w14:w="0" w14:cap="flat" w14:cmpd="sng" w14:algn="ctr">
            <w14:noFill/>
            <w14:prstDash w14:val="solid"/>
            <w14:round/>
          </w14:textOutline>
        </w:rPr>
      </w:pPr>
    </w:p>
    <w:p w14:paraId="2DA09B4E" w14:textId="7D83DCE9" w:rsidR="00FC32CC" w:rsidRPr="00BF29FC" w:rsidRDefault="00FC32CC" w:rsidP="00FC32CC">
      <w:pPr>
        <w:spacing w:line="240" w:lineRule="auto"/>
        <w:ind w:firstLine="0"/>
        <w:rPr>
          <w:b/>
          <w:color w:val="auto"/>
          <w:sz w:val="20"/>
          <w:szCs w:val="20"/>
        </w:rPr>
      </w:pPr>
      <w:r w:rsidRPr="00BF29FC">
        <w:rPr>
          <w:b/>
          <w:color w:val="auto"/>
          <w:sz w:val="20"/>
          <w:szCs w:val="20"/>
        </w:rPr>
        <w:t>IN</w:t>
      </w:r>
      <w:r>
        <w:rPr>
          <w:b/>
          <w:color w:val="auto"/>
          <w:sz w:val="20"/>
          <w:szCs w:val="20"/>
        </w:rPr>
        <w:t>DEXACIÓN RETROACTIVO / FINALIDAD</w:t>
      </w:r>
    </w:p>
    <w:p w14:paraId="404205B1" w14:textId="33A18856" w:rsidR="00210211" w:rsidRPr="00A12218" w:rsidRDefault="00A12218" w:rsidP="00FC32CC">
      <w:pPr>
        <w:spacing w:line="240" w:lineRule="auto"/>
        <w:ind w:firstLine="0"/>
        <w:rPr>
          <w:smallCaps/>
          <w:szCs w:val="20"/>
        </w:rPr>
      </w:pPr>
      <w:r>
        <w:rPr>
          <w:color w:val="auto"/>
          <w:sz w:val="20"/>
          <w:szCs w:val="20"/>
        </w:rPr>
        <w:t xml:space="preserve">… </w:t>
      </w:r>
      <w:r w:rsidRPr="00A12218">
        <w:rPr>
          <w:color w:val="auto"/>
          <w:sz w:val="20"/>
          <w:szCs w:val="20"/>
        </w:rPr>
        <w:t xml:space="preserve">cuenta memorar que a partir de la sentencia </w:t>
      </w:r>
      <w:proofErr w:type="spellStart"/>
      <w:r w:rsidRPr="00A12218">
        <w:rPr>
          <w:color w:val="auto"/>
          <w:sz w:val="20"/>
          <w:szCs w:val="20"/>
        </w:rPr>
        <w:t>SL359</w:t>
      </w:r>
      <w:proofErr w:type="spellEnd"/>
      <w:r w:rsidRPr="00A12218">
        <w:rPr>
          <w:color w:val="auto"/>
          <w:sz w:val="20"/>
          <w:szCs w:val="20"/>
        </w:rPr>
        <w:t>-2021, procede la indexación del retroactivo adeudado, dada la pérdida de poder adquisitivo de la moneda y el derecho de la demandante a recibir el valor real de lo debido, ajuste que procede así no haga parte de las pretensiones, en tanto que se plantea su viabilidad atendiendo a que no comporta una condena adicional, en tanto que lo que busca es garantizar es el pago completo e íntegro de la prestación cuando el transcurso del tiempo la devalúa</w:t>
      </w:r>
      <w:r w:rsidR="00FC32CC">
        <w:rPr>
          <w:color w:val="auto"/>
          <w:sz w:val="20"/>
          <w:szCs w:val="20"/>
        </w:rPr>
        <w:t>.</w:t>
      </w:r>
    </w:p>
    <w:p w14:paraId="3AEAFD7D" w14:textId="77777777" w:rsidR="00210211" w:rsidRPr="00FC32CC" w:rsidRDefault="00210211" w:rsidP="00210211">
      <w:pPr>
        <w:spacing w:line="240" w:lineRule="auto"/>
        <w:ind w:firstLine="0"/>
        <w:rPr>
          <w:smallCaps/>
          <w:sz w:val="20"/>
          <w:szCs w:val="20"/>
        </w:rPr>
      </w:pPr>
    </w:p>
    <w:p w14:paraId="134865B1" w14:textId="77777777" w:rsidR="00E1708F" w:rsidRPr="00FC32CC" w:rsidRDefault="00E1708F" w:rsidP="00210211">
      <w:pPr>
        <w:spacing w:line="240" w:lineRule="auto"/>
        <w:ind w:firstLine="0"/>
        <w:rPr>
          <w:smallCaps/>
          <w:sz w:val="20"/>
          <w:szCs w:val="20"/>
        </w:rPr>
      </w:pPr>
    </w:p>
    <w:p w14:paraId="5B71E9F3" w14:textId="77777777" w:rsidR="00E1708F" w:rsidRPr="00FC32CC" w:rsidRDefault="00E1708F" w:rsidP="00210211">
      <w:pPr>
        <w:spacing w:line="240" w:lineRule="auto"/>
        <w:ind w:firstLine="0"/>
        <w:rPr>
          <w:smallCaps/>
          <w:sz w:val="20"/>
          <w:szCs w:val="20"/>
        </w:rPr>
      </w:pPr>
    </w:p>
    <w:p w14:paraId="495E57B4" w14:textId="77777777" w:rsidR="00213C4A" w:rsidRPr="00607D77" w:rsidRDefault="00213C4A" w:rsidP="00213C4A">
      <w:pPr>
        <w:spacing w:line="240" w:lineRule="auto"/>
        <w:ind w:firstLine="0"/>
        <w:jc w:val="center"/>
        <w:rPr>
          <w:rFonts w:ascii="Bookman Old Style" w:eastAsia="Times New Roman" w:hAnsi="Bookman Old Style"/>
          <w:b/>
          <w:color w:val="auto"/>
          <w:kern w:val="0"/>
          <w:lang w:val="es-ES" w:eastAsia="es-ES"/>
          <w14:ligatures w14:val="none"/>
        </w:rPr>
      </w:pPr>
      <w:r w:rsidRPr="00607D77">
        <w:rPr>
          <w:rFonts w:ascii="Bookman Old Style" w:eastAsia="Times New Roman" w:hAnsi="Bookman Old Style"/>
          <w:b/>
          <w:color w:val="auto"/>
          <w:kern w:val="0"/>
          <w:lang w:val="es-ES" w:eastAsia="es-ES"/>
          <w14:ligatures w14:val="none"/>
        </w:rPr>
        <w:t>REPÚBLICA DE COLOMBIA</w:t>
      </w:r>
    </w:p>
    <w:p w14:paraId="435776C6" w14:textId="77777777" w:rsidR="00213C4A" w:rsidRPr="00607D77" w:rsidRDefault="00213C4A" w:rsidP="00213C4A">
      <w:pPr>
        <w:spacing w:line="240" w:lineRule="auto"/>
        <w:ind w:firstLine="0"/>
        <w:jc w:val="center"/>
        <w:rPr>
          <w:rFonts w:ascii="Bookman Old Style" w:eastAsia="Times New Roman" w:hAnsi="Bookman Old Style"/>
          <w:b/>
          <w:color w:val="auto"/>
          <w:kern w:val="0"/>
          <w:lang w:val="es-ES" w:eastAsia="es-ES"/>
          <w14:ligatures w14:val="none"/>
        </w:rPr>
      </w:pPr>
      <w:r w:rsidRPr="00607D77">
        <w:rPr>
          <w:rFonts w:ascii="Bookman Old Style" w:eastAsia="Times New Roman" w:hAnsi="Bookman Old Style"/>
          <w:b/>
          <w:color w:val="auto"/>
          <w:kern w:val="0"/>
          <w:lang w:val="es-ES" w:eastAsia="es-ES"/>
          <w14:ligatures w14:val="none"/>
        </w:rPr>
        <w:t>RAMA JUDICIAL DEL PODER PÚBLICO</w:t>
      </w:r>
    </w:p>
    <w:p w14:paraId="0D74505E" w14:textId="77777777" w:rsidR="00213C4A" w:rsidRPr="00607D77" w:rsidRDefault="00213C4A" w:rsidP="00213C4A">
      <w:pPr>
        <w:spacing w:line="240" w:lineRule="auto"/>
        <w:ind w:firstLine="0"/>
        <w:jc w:val="center"/>
        <w:rPr>
          <w:rFonts w:ascii="Bookman Old Style" w:eastAsia="Times New Roman" w:hAnsi="Bookman Old Style"/>
          <w:b/>
          <w:color w:val="auto"/>
          <w:kern w:val="0"/>
          <w:lang w:val="es-ES" w:eastAsia="es-ES"/>
          <w14:ligatures w14:val="none"/>
        </w:rPr>
      </w:pPr>
      <w:r w:rsidRPr="00607D77">
        <w:rPr>
          <w:rFonts w:ascii="Bookman Old Style" w:eastAsia="Times New Roman" w:hAnsi="Bookman Old Style"/>
          <w:b/>
          <w:noProof/>
          <w:color w:val="auto"/>
          <w:kern w:val="0"/>
          <w:lang w:val="en-US"/>
          <w14:ligatures w14:val="none"/>
        </w:rPr>
        <w:drawing>
          <wp:anchor distT="0" distB="0" distL="114300" distR="114300" simplePos="0" relativeHeight="251659264" behindDoc="0" locked="0" layoutInCell="1" allowOverlap="1" wp14:anchorId="2FD2B366" wp14:editId="41391836">
            <wp:simplePos x="0" y="0"/>
            <wp:positionH relativeFrom="page">
              <wp:posOffset>3430804</wp:posOffset>
            </wp:positionH>
            <wp:positionV relativeFrom="paragraph">
              <wp:posOffset>18415</wp:posOffset>
            </wp:positionV>
            <wp:extent cx="958215" cy="752475"/>
            <wp:effectExtent l="0" t="0" r="0" b="9525"/>
            <wp:wrapSquare wrapText="bothSides"/>
            <wp:docPr id="13220849" name="Imagen 13220849"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215" cy="752475"/>
                    </a:xfrm>
                    <a:prstGeom prst="rect">
                      <a:avLst/>
                    </a:prstGeom>
                    <a:noFill/>
                  </pic:spPr>
                </pic:pic>
              </a:graphicData>
            </a:graphic>
            <wp14:sizeRelH relativeFrom="page">
              <wp14:pctWidth>0</wp14:pctWidth>
            </wp14:sizeRelH>
            <wp14:sizeRelV relativeFrom="page">
              <wp14:pctHeight>0</wp14:pctHeight>
            </wp14:sizeRelV>
          </wp:anchor>
        </w:drawing>
      </w:r>
      <w:r w:rsidRPr="00607D77">
        <w:rPr>
          <w:rFonts w:ascii="Bookman Old Style" w:eastAsia="Times New Roman" w:hAnsi="Bookman Old Style"/>
          <w:b/>
          <w:color w:val="auto"/>
          <w:kern w:val="0"/>
          <w:lang w:val="es-ES" w:eastAsia="es-ES"/>
          <w14:ligatures w14:val="none"/>
        </w:rPr>
        <w:br w:type="textWrapping" w:clear="all"/>
        <w:t>TRIBUNAL SUPERIOR DEL DISTRITO JUDICIAL DE PEREIRA</w:t>
      </w:r>
    </w:p>
    <w:p w14:paraId="423BCFBC" w14:textId="77777777" w:rsidR="00213C4A" w:rsidRPr="00607D77" w:rsidRDefault="00213C4A" w:rsidP="00213C4A">
      <w:pPr>
        <w:spacing w:line="240" w:lineRule="auto"/>
        <w:ind w:firstLine="0"/>
        <w:jc w:val="center"/>
        <w:rPr>
          <w:rFonts w:ascii="Bookman Old Style" w:eastAsia="Times New Roman" w:hAnsi="Bookman Old Style"/>
          <w:b/>
          <w:color w:val="auto"/>
          <w:kern w:val="0"/>
          <w:lang w:val="es-ES" w:eastAsia="es-ES"/>
          <w14:ligatures w14:val="none"/>
        </w:rPr>
      </w:pPr>
      <w:r w:rsidRPr="00607D77">
        <w:rPr>
          <w:rFonts w:ascii="Bookman Old Style" w:eastAsia="Times New Roman" w:hAnsi="Bookman Old Style"/>
          <w:b/>
          <w:color w:val="auto"/>
          <w:kern w:val="0"/>
          <w:lang w:val="es-ES" w:eastAsia="es-ES"/>
          <w14:ligatures w14:val="none"/>
        </w:rPr>
        <w:t>SALA DE DECISIÓN LABORAL</w:t>
      </w:r>
    </w:p>
    <w:p w14:paraId="0B9D31DF" w14:textId="77777777" w:rsidR="00213C4A" w:rsidRPr="00607D77" w:rsidRDefault="00213C4A" w:rsidP="00213C4A">
      <w:pPr>
        <w:spacing w:line="240" w:lineRule="auto"/>
        <w:ind w:firstLine="0"/>
        <w:rPr>
          <w:rFonts w:ascii="Bookman Old Style" w:hAnsi="Bookman Old Style"/>
        </w:rPr>
      </w:pPr>
    </w:p>
    <w:p w14:paraId="288EF1EF" w14:textId="77777777" w:rsidR="00213C4A" w:rsidRPr="00607D77" w:rsidRDefault="00213C4A" w:rsidP="00213C4A">
      <w:pPr>
        <w:spacing w:line="240" w:lineRule="auto"/>
        <w:ind w:firstLine="0"/>
        <w:jc w:val="center"/>
        <w:rPr>
          <w:rFonts w:ascii="Bookman Old Style" w:eastAsia="Times New Roman" w:hAnsi="Bookman Old Style"/>
          <w:b/>
          <w:color w:val="auto"/>
          <w:kern w:val="0"/>
          <w:lang w:val="es-ES" w:eastAsia="es-ES"/>
          <w14:ligatures w14:val="none"/>
        </w:rPr>
      </w:pPr>
      <w:r w:rsidRPr="00607D77">
        <w:rPr>
          <w:rFonts w:ascii="Bookman Old Style" w:eastAsia="Times New Roman" w:hAnsi="Bookman Old Style"/>
          <w:b/>
          <w:color w:val="auto"/>
          <w:kern w:val="0"/>
          <w:lang w:val="es-ES" w:eastAsia="es-ES"/>
          <w14:ligatures w14:val="none"/>
        </w:rPr>
        <w:t xml:space="preserve">Dr. GERMÁN DARÍO </w:t>
      </w:r>
      <w:proofErr w:type="spellStart"/>
      <w:r w:rsidRPr="00607D77">
        <w:rPr>
          <w:rFonts w:ascii="Bookman Old Style" w:eastAsia="Times New Roman" w:hAnsi="Bookman Old Style"/>
          <w:b/>
          <w:color w:val="auto"/>
          <w:kern w:val="0"/>
          <w:lang w:val="es-ES" w:eastAsia="es-ES"/>
          <w14:ligatures w14:val="none"/>
        </w:rPr>
        <w:t>GÓEZ</w:t>
      </w:r>
      <w:proofErr w:type="spellEnd"/>
      <w:r w:rsidRPr="00607D77">
        <w:rPr>
          <w:rFonts w:ascii="Bookman Old Style" w:eastAsia="Times New Roman" w:hAnsi="Bookman Old Style"/>
          <w:b/>
          <w:color w:val="auto"/>
          <w:kern w:val="0"/>
          <w:lang w:val="es-ES" w:eastAsia="es-ES"/>
          <w14:ligatures w14:val="none"/>
        </w:rPr>
        <w:t xml:space="preserve"> </w:t>
      </w:r>
      <w:proofErr w:type="spellStart"/>
      <w:r w:rsidRPr="00607D77">
        <w:rPr>
          <w:rFonts w:ascii="Bookman Old Style" w:eastAsia="Times New Roman" w:hAnsi="Bookman Old Style"/>
          <w:b/>
          <w:color w:val="auto"/>
          <w:kern w:val="0"/>
          <w:lang w:val="es-ES" w:eastAsia="es-ES"/>
          <w14:ligatures w14:val="none"/>
        </w:rPr>
        <w:t>VINASCO</w:t>
      </w:r>
      <w:proofErr w:type="spellEnd"/>
    </w:p>
    <w:p w14:paraId="0EE420F7" w14:textId="77777777" w:rsidR="00213C4A" w:rsidRPr="00E1708F" w:rsidRDefault="00213C4A" w:rsidP="00213C4A">
      <w:pPr>
        <w:spacing w:line="240" w:lineRule="auto"/>
        <w:jc w:val="center"/>
        <w:rPr>
          <w:rFonts w:ascii="Bookman Old Style" w:hAnsi="Bookman Old Style"/>
        </w:rPr>
      </w:pPr>
      <w:r w:rsidRPr="00E1708F">
        <w:rPr>
          <w:rFonts w:ascii="Bookman Old Style" w:hAnsi="Bookman Old Style"/>
        </w:rPr>
        <w:t>Magistrado ponente</w:t>
      </w:r>
    </w:p>
    <w:p w14:paraId="60D14D9D" w14:textId="77777777" w:rsidR="00213C4A" w:rsidRPr="00E1708F" w:rsidRDefault="00213C4A" w:rsidP="00E1708F">
      <w:pPr>
        <w:spacing w:line="276" w:lineRule="auto"/>
        <w:ind w:firstLine="0"/>
        <w:rPr>
          <w:rFonts w:ascii="Bookman Old Style" w:hAnsi="Bookman Old Style"/>
        </w:rPr>
      </w:pP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385"/>
      </w:tblGrid>
      <w:tr w:rsidR="00213C4A" w:rsidRPr="00E1708F" w14:paraId="7CEC3DAE" w14:textId="77777777" w:rsidTr="00607D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tcPr>
          <w:p w14:paraId="589B6E7A"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Proceso</w:t>
            </w:r>
          </w:p>
        </w:tc>
        <w:tc>
          <w:tcPr>
            <w:tcW w:w="0" w:type="auto"/>
            <w:tcBorders>
              <w:bottom w:val="none" w:sz="0" w:space="0" w:color="auto"/>
            </w:tcBorders>
            <w:shd w:val="clear" w:color="auto" w:fill="auto"/>
          </w:tcPr>
          <w:p w14:paraId="5DEA347B" w14:textId="77777777" w:rsidR="00213C4A" w:rsidRPr="001D330C" w:rsidRDefault="00213C4A" w:rsidP="001D330C">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Ordinario Laboral</w:t>
            </w:r>
          </w:p>
        </w:tc>
      </w:tr>
      <w:tr w:rsidR="00213C4A" w:rsidRPr="00E1708F" w14:paraId="374B6886" w14:textId="77777777" w:rsidTr="00607D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0E0724BD"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Radicado</w:t>
            </w:r>
          </w:p>
        </w:tc>
        <w:tc>
          <w:tcPr>
            <w:tcW w:w="0" w:type="auto"/>
            <w:shd w:val="clear" w:color="auto" w:fill="auto"/>
          </w:tcPr>
          <w:p w14:paraId="4319291F" w14:textId="15030788" w:rsidR="00213C4A" w:rsidRPr="001D330C" w:rsidRDefault="00213C4A" w:rsidP="001D330C">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66001310500120200027301</w:t>
            </w:r>
          </w:p>
        </w:tc>
      </w:tr>
      <w:tr w:rsidR="00213C4A" w:rsidRPr="00E1708F" w14:paraId="4CDEFC12" w14:textId="77777777" w:rsidTr="00607D77">
        <w:trPr>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62F5A37C"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Demandante</w:t>
            </w:r>
          </w:p>
        </w:tc>
        <w:tc>
          <w:tcPr>
            <w:tcW w:w="0" w:type="auto"/>
            <w:shd w:val="clear" w:color="auto" w:fill="auto"/>
          </w:tcPr>
          <w:p w14:paraId="048DBED7" w14:textId="0FEAACF6" w:rsidR="00213C4A" w:rsidRPr="001D330C" w:rsidRDefault="00213C4A" w:rsidP="001D330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María del Carmen García Bernal</w:t>
            </w:r>
          </w:p>
        </w:tc>
      </w:tr>
      <w:tr w:rsidR="00213C4A" w:rsidRPr="00E1708F" w14:paraId="6ACF37E5" w14:textId="77777777" w:rsidTr="00607D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217920B3"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Demandado</w:t>
            </w:r>
          </w:p>
        </w:tc>
        <w:tc>
          <w:tcPr>
            <w:tcW w:w="0" w:type="auto"/>
            <w:shd w:val="clear" w:color="auto" w:fill="auto"/>
          </w:tcPr>
          <w:p w14:paraId="3EE8248E" w14:textId="035CB98D" w:rsidR="00213C4A" w:rsidRPr="001D330C" w:rsidRDefault="00213C4A" w:rsidP="001D330C">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Administradora Colombiana de Pensiones “Colpensiones”</w:t>
            </w:r>
          </w:p>
        </w:tc>
      </w:tr>
      <w:tr w:rsidR="00213C4A" w:rsidRPr="00E1708F" w14:paraId="5FA6A54A" w14:textId="77777777" w:rsidTr="00607D77">
        <w:trPr>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2AA04401"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Asunto</w:t>
            </w:r>
          </w:p>
        </w:tc>
        <w:tc>
          <w:tcPr>
            <w:tcW w:w="0" w:type="auto"/>
            <w:shd w:val="clear" w:color="auto" w:fill="auto"/>
          </w:tcPr>
          <w:p w14:paraId="615D9EEC" w14:textId="2EE8CC22" w:rsidR="00213C4A" w:rsidRPr="001D330C" w:rsidRDefault="00213C4A" w:rsidP="001D330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Apelación Sentencia</w:t>
            </w:r>
            <w:r w:rsidR="000E3212" w:rsidRPr="001D330C">
              <w:rPr>
                <w:rFonts w:ascii="Bookman Old Style" w:hAnsi="Bookman Old Style"/>
                <w:color w:val="auto"/>
                <w:sz w:val="22"/>
              </w:rPr>
              <w:t xml:space="preserve"> 15-03-2023</w:t>
            </w:r>
          </w:p>
        </w:tc>
      </w:tr>
      <w:tr w:rsidR="00213C4A" w:rsidRPr="00E1708F" w14:paraId="77666C5A" w14:textId="77777777" w:rsidTr="00607D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171FF4C2"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Juzgado</w:t>
            </w:r>
          </w:p>
        </w:tc>
        <w:tc>
          <w:tcPr>
            <w:tcW w:w="0" w:type="auto"/>
            <w:shd w:val="clear" w:color="auto" w:fill="auto"/>
          </w:tcPr>
          <w:p w14:paraId="3FFD6708" w14:textId="788FE617" w:rsidR="00213C4A" w:rsidRPr="001D330C" w:rsidRDefault="00213C4A" w:rsidP="001D330C">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Primero Laboral del Circuito</w:t>
            </w:r>
          </w:p>
        </w:tc>
      </w:tr>
      <w:tr w:rsidR="00213C4A" w:rsidRPr="00E1708F" w14:paraId="69DDEB40" w14:textId="77777777" w:rsidTr="00607D77">
        <w:trPr>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2F57BFB8" w14:textId="77777777" w:rsidR="00213C4A" w:rsidRPr="001D330C" w:rsidRDefault="00213C4A" w:rsidP="001D330C">
            <w:pPr>
              <w:ind w:firstLine="0"/>
              <w:jc w:val="left"/>
              <w:rPr>
                <w:rFonts w:ascii="Bookman Old Style" w:hAnsi="Bookman Old Style" w:cs="Arial"/>
                <w:bCs/>
                <w:i w:val="0"/>
                <w:iCs w:val="0"/>
                <w:color w:val="auto"/>
                <w:sz w:val="22"/>
              </w:rPr>
            </w:pPr>
            <w:r w:rsidRPr="001D330C">
              <w:rPr>
                <w:rFonts w:ascii="Bookman Old Style" w:hAnsi="Bookman Old Style" w:cs="Arial"/>
                <w:bCs/>
                <w:i w:val="0"/>
                <w:iCs w:val="0"/>
                <w:color w:val="auto"/>
                <w:sz w:val="22"/>
              </w:rPr>
              <w:t>Tema</w:t>
            </w:r>
          </w:p>
        </w:tc>
        <w:tc>
          <w:tcPr>
            <w:tcW w:w="0" w:type="auto"/>
            <w:shd w:val="clear" w:color="auto" w:fill="auto"/>
          </w:tcPr>
          <w:p w14:paraId="5462B59B" w14:textId="162FB8ED" w:rsidR="00213C4A" w:rsidRPr="001D330C" w:rsidRDefault="00213C4A" w:rsidP="001D330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1D330C">
              <w:rPr>
                <w:rFonts w:ascii="Bookman Old Style" w:hAnsi="Bookman Old Style"/>
                <w:color w:val="auto"/>
                <w:sz w:val="22"/>
              </w:rPr>
              <w:t>Intereses moratorios – Pensión sobrevivientes</w:t>
            </w:r>
          </w:p>
        </w:tc>
      </w:tr>
    </w:tbl>
    <w:p w14:paraId="13DBFB75" w14:textId="77777777" w:rsidR="00213C4A" w:rsidRPr="00E1708F" w:rsidRDefault="00213C4A" w:rsidP="00E1708F">
      <w:pPr>
        <w:spacing w:line="276" w:lineRule="auto"/>
        <w:ind w:firstLine="0"/>
        <w:rPr>
          <w:rFonts w:ascii="Bookman Old Style" w:hAnsi="Bookman Old Style"/>
          <w:color w:val="auto"/>
        </w:rPr>
      </w:pPr>
    </w:p>
    <w:p w14:paraId="3A49D614" w14:textId="0888B7FD" w:rsidR="00213C4A" w:rsidRPr="00E1708F" w:rsidRDefault="00213C4A" w:rsidP="00E1708F">
      <w:pPr>
        <w:spacing w:line="276" w:lineRule="auto"/>
        <w:ind w:firstLine="0"/>
        <w:jc w:val="center"/>
        <w:rPr>
          <w:rFonts w:ascii="Bookman Old Style" w:hAnsi="Bookman Old Style"/>
          <w:b/>
          <w:bCs/>
          <w:color w:val="auto"/>
        </w:rPr>
      </w:pPr>
      <w:r w:rsidRPr="00E1708F">
        <w:rPr>
          <w:rFonts w:ascii="Bookman Old Style" w:hAnsi="Bookman Old Style"/>
          <w:b/>
          <w:bCs/>
          <w:color w:val="auto"/>
        </w:rPr>
        <w:t>APROBADO POR ACTA No.</w:t>
      </w:r>
      <w:r w:rsidR="00607D77" w:rsidRPr="00E1708F">
        <w:rPr>
          <w:rFonts w:ascii="Bookman Old Style" w:hAnsi="Bookman Old Style"/>
          <w:b/>
          <w:bCs/>
          <w:color w:val="auto"/>
        </w:rPr>
        <w:t xml:space="preserve"> 161 DEL 10 DE OCTUBRE DE 2023</w:t>
      </w:r>
    </w:p>
    <w:p w14:paraId="07A7D0C2" w14:textId="77777777" w:rsidR="00607D77" w:rsidRPr="00E1708F" w:rsidRDefault="00607D77" w:rsidP="00E1708F">
      <w:pPr>
        <w:spacing w:line="276" w:lineRule="auto"/>
        <w:ind w:firstLine="0"/>
        <w:jc w:val="center"/>
        <w:rPr>
          <w:rFonts w:ascii="Bookman Old Style" w:hAnsi="Bookman Old Style"/>
          <w:color w:val="auto"/>
        </w:rPr>
      </w:pPr>
    </w:p>
    <w:p w14:paraId="3DA686C5" w14:textId="706839CF" w:rsidR="00213C4A" w:rsidRPr="00E1708F" w:rsidRDefault="00607D77" w:rsidP="00E1708F">
      <w:pPr>
        <w:spacing w:line="276" w:lineRule="auto"/>
        <w:ind w:firstLine="708"/>
        <w:rPr>
          <w:rFonts w:ascii="Bookman Old Style" w:hAnsi="Bookman Old Style"/>
          <w:color w:val="auto"/>
        </w:rPr>
      </w:pPr>
      <w:r w:rsidRPr="00E1708F">
        <w:rPr>
          <w:rFonts w:ascii="Bookman Old Style" w:hAnsi="Bookman Old Style"/>
          <w:color w:val="auto"/>
        </w:rPr>
        <w:t xml:space="preserve">Hoy, trece (13) de octubre </w:t>
      </w:r>
      <w:r w:rsidR="00213C4A" w:rsidRPr="00E1708F">
        <w:rPr>
          <w:rFonts w:ascii="Bookman Old Style" w:hAnsi="Bookman Old Style"/>
          <w:color w:val="auto"/>
        </w:rPr>
        <w:t xml:space="preserve">de dos mil veintitrés (2023), el Tribunal Superior de Distrito Judicial de Pereira, Sala de Decisión Laboral integrada por los magistrados Dra. </w:t>
      </w:r>
      <w:r w:rsidR="00213C4A" w:rsidRPr="00654199">
        <w:rPr>
          <w:rFonts w:ascii="Bookman Old Style" w:hAnsi="Bookman Old Style"/>
          <w:b/>
          <w:color w:val="auto"/>
        </w:rPr>
        <w:t>Olga Lucia Hoyos Sepúlveda</w:t>
      </w:r>
      <w:r w:rsidR="00213C4A" w:rsidRPr="00E1708F">
        <w:rPr>
          <w:rFonts w:ascii="Bookman Old Style" w:hAnsi="Bookman Old Style"/>
          <w:color w:val="auto"/>
        </w:rPr>
        <w:t xml:space="preserve">, Dr. </w:t>
      </w:r>
      <w:r w:rsidR="00213C4A" w:rsidRPr="00654199">
        <w:rPr>
          <w:rFonts w:ascii="Bookman Old Style" w:hAnsi="Bookman Old Style"/>
          <w:b/>
          <w:color w:val="auto"/>
        </w:rPr>
        <w:t>Julio César Salazar Muñoz</w:t>
      </w:r>
      <w:r w:rsidR="00213C4A" w:rsidRPr="00E1708F">
        <w:rPr>
          <w:rFonts w:ascii="Bookman Old Style" w:hAnsi="Bookman Old Style"/>
          <w:color w:val="auto"/>
        </w:rPr>
        <w:t xml:space="preserve"> y como ponente Dr. </w:t>
      </w:r>
      <w:r w:rsidR="00213C4A" w:rsidRPr="00654199">
        <w:rPr>
          <w:rFonts w:ascii="Bookman Old Style" w:hAnsi="Bookman Old Style"/>
          <w:b/>
          <w:color w:val="auto"/>
        </w:rPr>
        <w:t xml:space="preserve">Germán Darío </w:t>
      </w:r>
      <w:proofErr w:type="spellStart"/>
      <w:r w:rsidR="00213C4A" w:rsidRPr="00654199">
        <w:rPr>
          <w:rFonts w:ascii="Bookman Old Style" w:hAnsi="Bookman Old Style"/>
          <w:b/>
          <w:color w:val="auto"/>
        </w:rPr>
        <w:t>Góez</w:t>
      </w:r>
      <w:proofErr w:type="spellEnd"/>
      <w:r w:rsidR="00213C4A" w:rsidRPr="00654199">
        <w:rPr>
          <w:rFonts w:ascii="Bookman Old Style" w:hAnsi="Bookman Old Style"/>
          <w:b/>
          <w:color w:val="auto"/>
        </w:rPr>
        <w:t xml:space="preserve"> </w:t>
      </w:r>
      <w:proofErr w:type="spellStart"/>
      <w:r w:rsidR="00213C4A" w:rsidRPr="00654199">
        <w:rPr>
          <w:rFonts w:ascii="Bookman Old Style" w:hAnsi="Bookman Old Style"/>
          <w:b/>
          <w:color w:val="auto"/>
        </w:rPr>
        <w:t>Vinasco</w:t>
      </w:r>
      <w:proofErr w:type="spellEnd"/>
      <w:r w:rsidR="00213C4A" w:rsidRPr="00E1708F">
        <w:rPr>
          <w:rFonts w:ascii="Bookman Old Style" w:hAnsi="Bookman Old Style"/>
          <w:color w:val="auto"/>
        </w:rPr>
        <w:t xml:space="preserve">, procede a resolver el recurso de apelación, frente a la sentencia proferida por el Juzgado Primero Laboral del Circuito de Pereira, dentro del proceso </w:t>
      </w:r>
      <w:r w:rsidR="00213C4A" w:rsidRPr="00654199">
        <w:rPr>
          <w:rFonts w:ascii="Bookman Old Style" w:hAnsi="Bookman Old Style"/>
          <w:b/>
          <w:color w:val="auto"/>
        </w:rPr>
        <w:lastRenderedPageBreak/>
        <w:t>ordinario</w:t>
      </w:r>
      <w:r w:rsidR="00654199">
        <w:rPr>
          <w:rFonts w:ascii="Bookman Old Style" w:hAnsi="Bookman Old Style"/>
          <w:b/>
          <w:color w:val="auto"/>
        </w:rPr>
        <w:t xml:space="preserve"> laboral</w:t>
      </w:r>
      <w:r w:rsidR="00213C4A" w:rsidRPr="00E1708F">
        <w:rPr>
          <w:rFonts w:ascii="Bookman Old Style" w:hAnsi="Bookman Old Style"/>
          <w:color w:val="auto"/>
        </w:rPr>
        <w:t xml:space="preserve"> promovido por </w:t>
      </w:r>
      <w:r w:rsidR="00213C4A" w:rsidRPr="00E1708F">
        <w:rPr>
          <w:rFonts w:ascii="Bookman Old Style" w:hAnsi="Bookman Old Style"/>
          <w:b/>
          <w:bCs/>
          <w:color w:val="auto"/>
        </w:rPr>
        <w:t xml:space="preserve">MARÍA DEL CARMEN GARCÍA BERNAL </w:t>
      </w:r>
      <w:r w:rsidR="00213C4A" w:rsidRPr="00E1708F">
        <w:rPr>
          <w:rFonts w:ascii="Bookman Old Style" w:hAnsi="Bookman Old Style"/>
          <w:color w:val="auto"/>
        </w:rPr>
        <w:t xml:space="preserve">en contra de la </w:t>
      </w:r>
      <w:r w:rsidR="00213C4A" w:rsidRPr="00E1708F">
        <w:rPr>
          <w:rFonts w:ascii="Bookman Old Style" w:hAnsi="Bookman Old Style"/>
          <w:b/>
          <w:bCs/>
          <w:color w:val="auto"/>
        </w:rPr>
        <w:t xml:space="preserve">ADMINISTRADORA COLOMBIANA DE PENSIONES “COLPENSIONES”. </w:t>
      </w:r>
      <w:r w:rsidR="00213C4A" w:rsidRPr="00E1708F">
        <w:rPr>
          <w:rFonts w:ascii="Bookman Old Style" w:hAnsi="Bookman Old Style"/>
          <w:color w:val="auto"/>
        </w:rPr>
        <w:t xml:space="preserve">Radicado: </w:t>
      </w:r>
      <w:r w:rsidR="00213C4A" w:rsidRPr="00E1708F">
        <w:rPr>
          <w:rFonts w:ascii="Bookman Old Style" w:hAnsi="Bookman Old Style"/>
          <w:b/>
          <w:bCs/>
          <w:color w:val="auto"/>
        </w:rPr>
        <w:t>66001310500120200027301</w:t>
      </w:r>
      <w:r w:rsidR="00213C4A" w:rsidRPr="00E1708F">
        <w:rPr>
          <w:rFonts w:ascii="Bookman Old Style" w:hAnsi="Bookman Old Style"/>
          <w:color w:val="auto"/>
        </w:rPr>
        <w:t>.</w:t>
      </w:r>
    </w:p>
    <w:p w14:paraId="388D14AD" w14:textId="77777777" w:rsidR="00213C4A" w:rsidRPr="00E1708F" w:rsidRDefault="00213C4A" w:rsidP="00E1708F">
      <w:pPr>
        <w:spacing w:line="276" w:lineRule="auto"/>
        <w:ind w:firstLine="0"/>
        <w:rPr>
          <w:rFonts w:ascii="Bookman Old Style" w:hAnsi="Bookman Old Style"/>
          <w:color w:val="auto"/>
        </w:rPr>
      </w:pPr>
    </w:p>
    <w:p w14:paraId="175EF3E9" w14:textId="77777777" w:rsidR="00213C4A" w:rsidRPr="00E1708F" w:rsidRDefault="00213C4A" w:rsidP="00E1708F">
      <w:pPr>
        <w:spacing w:line="276" w:lineRule="auto"/>
        <w:ind w:firstLine="708"/>
        <w:rPr>
          <w:rFonts w:ascii="Bookman Old Style" w:hAnsi="Bookman Old Style"/>
          <w:color w:val="auto"/>
        </w:rPr>
      </w:pPr>
      <w:r w:rsidRPr="00E1708F">
        <w:rPr>
          <w:rFonts w:ascii="Bookman Old Style" w:hAnsi="Bookman Old Style"/>
          <w:color w:val="auto"/>
        </w:rPr>
        <w:t xml:space="preserve">Seguidamente se procede a proferir la decisión por escrito aprobada por esta Sala, </w:t>
      </w:r>
      <w:r w:rsidRPr="00E1708F">
        <w:rPr>
          <w:rFonts w:ascii="Bookman Old Style" w:hAnsi="Bookman Old Style"/>
        </w:rPr>
        <w:t>conforme</w:t>
      </w:r>
      <w:r w:rsidRPr="00E1708F">
        <w:rPr>
          <w:rFonts w:ascii="Bookman Old Style" w:hAnsi="Bookman Old Style"/>
          <w:color w:val="auto"/>
        </w:rPr>
        <w:t xml:space="preserve"> al artículo 15 del Decreto No. 806 de 2020, adoptado como legislación permanente por la Ley 221 del 13 de junio de 2022, la cual se traduce en los siguientes términos,</w:t>
      </w:r>
    </w:p>
    <w:p w14:paraId="30BFFAED" w14:textId="77777777" w:rsidR="00213C4A" w:rsidRPr="00E1708F" w:rsidRDefault="00213C4A" w:rsidP="00E1708F">
      <w:pPr>
        <w:spacing w:line="276" w:lineRule="auto"/>
        <w:ind w:firstLine="0"/>
        <w:rPr>
          <w:rFonts w:ascii="Bookman Old Style" w:hAnsi="Bookman Old Style"/>
          <w:color w:val="auto"/>
        </w:rPr>
      </w:pPr>
    </w:p>
    <w:p w14:paraId="500A224D" w14:textId="131484D8" w:rsidR="00213C4A" w:rsidRPr="00E1708F" w:rsidRDefault="00213C4A" w:rsidP="00E1708F">
      <w:pPr>
        <w:spacing w:line="276" w:lineRule="auto"/>
        <w:ind w:firstLine="0"/>
        <w:jc w:val="center"/>
        <w:rPr>
          <w:rFonts w:ascii="Bookman Old Style" w:hAnsi="Bookman Old Style"/>
          <w:b/>
          <w:bCs/>
          <w:color w:val="auto"/>
        </w:rPr>
      </w:pPr>
      <w:r w:rsidRPr="00E1708F">
        <w:rPr>
          <w:rFonts w:ascii="Bookman Old Style" w:hAnsi="Bookman Old Style"/>
          <w:b/>
          <w:bCs/>
          <w:color w:val="auto"/>
        </w:rPr>
        <w:t>SENTENCIA No.</w:t>
      </w:r>
      <w:r w:rsidR="00607D77" w:rsidRPr="00E1708F">
        <w:rPr>
          <w:rFonts w:ascii="Bookman Old Style" w:hAnsi="Bookman Old Style"/>
          <w:b/>
          <w:bCs/>
          <w:color w:val="auto"/>
        </w:rPr>
        <w:t xml:space="preserve"> 174</w:t>
      </w:r>
    </w:p>
    <w:p w14:paraId="195AAEE0" w14:textId="77777777" w:rsidR="005B5103" w:rsidRPr="00E1708F" w:rsidRDefault="005B5103" w:rsidP="00E1708F">
      <w:pPr>
        <w:spacing w:line="276" w:lineRule="auto"/>
        <w:ind w:firstLine="567"/>
        <w:rPr>
          <w:rFonts w:ascii="Bookman Old Style" w:hAnsi="Bookman Old Style"/>
        </w:rPr>
      </w:pPr>
    </w:p>
    <w:p w14:paraId="3C2FAB01" w14:textId="02993EC8" w:rsidR="007462A3" w:rsidRPr="00E1708F" w:rsidRDefault="007462A3"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ANTECEDENTES</w:t>
      </w:r>
    </w:p>
    <w:p w14:paraId="2BD5BDFF" w14:textId="77777777" w:rsidR="007462A3" w:rsidRPr="00E1708F" w:rsidRDefault="007462A3" w:rsidP="00E1708F">
      <w:pPr>
        <w:spacing w:line="276" w:lineRule="auto"/>
        <w:ind w:firstLine="567"/>
        <w:rPr>
          <w:rFonts w:ascii="Bookman Old Style" w:hAnsi="Bookman Old Style"/>
        </w:rPr>
      </w:pPr>
    </w:p>
    <w:p w14:paraId="18F50C09" w14:textId="32C84126" w:rsidR="001F65F0" w:rsidRPr="00E1708F" w:rsidRDefault="001F65F0" w:rsidP="00E1708F">
      <w:pPr>
        <w:spacing w:line="276" w:lineRule="auto"/>
        <w:ind w:firstLine="708"/>
        <w:rPr>
          <w:rFonts w:ascii="Bookman Old Style" w:hAnsi="Bookman Old Style"/>
        </w:rPr>
      </w:pPr>
      <w:r w:rsidRPr="00E1708F">
        <w:rPr>
          <w:rFonts w:ascii="Bookman Old Style" w:hAnsi="Bookman Old Style"/>
          <w:b/>
          <w:bCs/>
        </w:rPr>
        <w:t xml:space="preserve">MARÍA DEL CARMEN GARCÍA BERNAL </w:t>
      </w:r>
      <w:r w:rsidRPr="00E1708F">
        <w:rPr>
          <w:rFonts w:ascii="Bookman Old Style" w:hAnsi="Bookman Old Style"/>
        </w:rPr>
        <w:t xml:space="preserve">demandó a la </w:t>
      </w:r>
      <w:r w:rsidRPr="00E1708F">
        <w:rPr>
          <w:rFonts w:ascii="Bookman Old Style" w:hAnsi="Bookman Old Style"/>
          <w:b/>
          <w:bCs/>
        </w:rPr>
        <w:t xml:space="preserve">ADMINISTRADORA COLOMBIANA DE PENSIONES </w:t>
      </w:r>
      <w:r w:rsidR="003D2AB0">
        <w:rPr>
          <w:rFonts w:ascii="Bookman Old Style" w:hAnsi="Bookman Old Style"/>
          <w:b/>
          <w:bCs/>
        </w:rPr>
        <w:t>–</w:t>
      </w:r>
      <w:r w:rsidRPr="00E1708F">
        <w:rPr>
          <w:rFonts w:ascii="Bookman Old Style" w:hAnsi="Bookman Old Style"/>
          <w:b/>
          <w:bCs/>
        </w:rPr>
        <w:t xml:space="preserve"> COLPENSIONES</w:t>
      </w:r>
      <w:r w:rsidRPr="00E1708F">
        <w:rPr>
          <w:rFonts w:ascii="Bookman Old Style" w:hAnsi="Bookman Old Style"/>
        </w:rPr>
        <w:t xml:space="preserve"> por la mora en el reconocimiento y pago de la pensión de sobrevivientes, con ocasión del fallecimiento de su compañero permanente José Jesús Salazar. En consecuencia, solicita que se condene a la demandada al pago de los intereses moratori</w:t>
      </w:r>
      <w:r w:rsidR="001032AF" w:rsidRPr="00E1708F">
        <w:rPr>
          <w:rFonts w:ascii="Bookman Old Style" w:hAnsi="Bookman Old Style"/>
        </w:rPr>
        <w:t>o</w:t>
      </w:r>
      <w:r w:rsidRPr="00E1708F">
        <w:rPr>
          <w:rFonts w:ascii="Bookman Old Style" w:hAnsi="Bookman Old Style"/>
        </w:rPr>
        <w:t>s del artículo 141 de la Ley 100 de 1993, sobre el valor del retroactivo, a partir del 1 de septiembre de 2017 y hasta el 30 de septiembre de 2019 o subsidiariamente a ésta, la indexación</w:t>
      </w:r>
      <w:r w:rsidR="009D53CC" w:rsidRPr="00E1708F">
        <w:rPr>
          <w:rFonts w:ascii="Bookman Old Style" w:hAnsi="Bookman Old Style"/>
        </w:rPr>
        <w:t>, además de las costas del proceso.</w:t>
      </w:r>
    </w:p>
    <w:p w14:paraId="2DC8684F" w14:textId="77777777" w:rsidR="001F65F0" w:rsidRPr="00E1708F" w:rsidRDefault="001F65F0" w:rsidP="00E1708F">
      <w:pPr>
        <w:spacing w:line="276" w:lineRule="auto"/>
        <w:ind w:firstLine="567"/>
        <w:rPr>
          <w:rFonts w:ascii="Bookman Old Style" w:hAnsi="Bookman Old Style"/>
        </w:rPr>
      </w:pPr>
    </w:p>
    <w:p w14:paraId="2C2BBC9D" w14:textId="399ECBC0" w:rsidR="00D34482" w:rsidRPr="00E1708F" w:rsidRDefault="00087433" w:rsidP="00E1708F">
      <w:pPr>
        <w:spacing w:line="276" w:lineRule="auto"/>
        <w:ind w:firstLine="567"/>
        <w:rPr>
          <w:rFonts w:ascii="Bookman Old Style" w:hAnsi="Bookman Old Style"/>
        </w:rPr>
      </w:pPr>
      <w:r w:rsidRPr="00E1708F">
        <w:rPr>
          <w:rFonts w:ascii="Bookman Old Style" w:hAnsi="Bookman Old Style"/>
        </w:rPr>
        <w:t xml:space="preserve">Los hechos que sustentan lo pretendido se resumen en que </w:t>
      </w:r>
      <w:r w:rsidR="00C96F4F" w:rsidRPr="00E1708F">
        <w:rPr>
          <w:rFonts w:ascii="Bookman Old Style" w:hAnsi="Bookman Old Style"/>
        </w:rPr>
        <w:t xml:space="preserve">la demandante era la compañera permanente del </w:t>
      </w:r>
      <w:r w:rsidRPr="00E1708F">
        <w:rPr>
          <w:rFonts w:ascii="Bookman Old Style" w:hAnsi="Bookman Old Style"/>
        </w:rPr>
        <w:t xml:space="preserve">Sr. José Jesús Salazar </w:t>
      </w:r>
      <w:r w:rsidR="00C96F4F" w:rsidRPr="00E1708F">
        <w:rPr>
          <w:rFonts w:ascii="Bookman Old Style" w:hAnsi="Bookman Old Style"/>
        </w:rPr>
        <w:t xml:space="preserve">desde el 10 de marzo de 1956 y hasta el 4 de abril de 1975, data en que éste falleció. El causante </w:t>
      </w:r>
      <w:r w:rsidRPr="00E1708F">
        <w:rPr>
          <w:rFonts w:ascii="Bookman Old Style" w:hAnsi="Bookman Old Style"/>
        </w:rPr>
        <w:t xml:space="preserve">era afiliado del </w:t>
      </w:r>
      <w:proofErr w:type="spellStart"/>
      <w:r w:rsidRPr="00E1708F">
        <w:rPr>
          <w:rFonts w:ascii="Bookman Old Style" w:hAnsi="Bookman Old Style"/>
        </w:rPr>
        <w:t>ISS</w:t>
      </w:r>
      <w:proofErr w:type="spellEnd"/>
      <w:r w:rsidRPr="00E1708F">
        <w:rPr>
          <w:rFonts w:ascii="Bookman Old Style" w:hAnsi="Bookman Old Style"/>
        </w:rPr>
        <w:t>, hoy Colpensiones</w:t>
      </w:r>
      <w:r w:rsidR="00C96F4F" w:rsidRPr="00E1708F">
        <w:rPr>
          <w:rFonts w:ascii="Bookman Old Style" w:hAnsi="Bookman Old Style"/>
        </w:rPr>
        <w:t xml:space="preserve"> y, con ocasión a su deceso, por resolución 7463 del 2 de octubre de 1975, el </w:t>
      </w:r>
      <w:proofErr w:type="spellStart"/>
      <w:r w:rsidR="00C96F4F" w:rsidRPr="00E1708F">
        <w:rPr>
          <w:rFonts w:ascii="Bookman Old Style" w:hAnsi="Bookman Old Style"/>
        </w:rPr>
        <w:t>ISS</w:t>
      </w:r>
      <w:proofErr w:type="spellEnd"/>
      <w:r w:rsidR="00C96F4F" w:rsidRPr="00E1708F">
        <w:rPr>
          <w:rFonts w:ascii="Bookman Old Style" w:hAnsi="Bookman Old Style"/>
        </w:rPr>
        <w:t xml:space="preserve"> reconoció la pensión a los hijos menores que el causante procreó durante la relación con la aquí demandante.</w:t>
      </w:r>
      <w:r w:rsidR="001D5E3E" w:rsidRPr="00E1708F">
        <w:rPr>
          <w:rFonts w:ascii="Bookman Old Style" w:hAnsi="Bookman Old Style"/>
        </w:rPr>
        <w:t xml:space="preserve"> Comenta que la </w:t>
      </w:r>
      <w:r w:rsidR="00964694" w:rsidRPr="00E1708F">
        <w:rPr>
          <w:rFonts w:ascii="Bookman Old Style" w:hAnsi="Bookman Old Style"/>
        </w:rPr>
        <w:t xml:space="preserve">pensión </w:t>
      </w:r>
      <w:r w:rsidR="001D5E3E" w:rsidRPr="00E1708F">
        <w:rPr>
          <w:rFonts w:ascii="Bookman Old Style" w:hAnsi="Bookman Old Style"/>
        </w:rPr>
        <w:t xml:space="preserve">le </w:t>
      </w:r>
      <w:r w:rsidR="00964694" w:rsidRPr="00E1708F">
        <w:rPr>
          <w:rFonts w:ascii="Bookman Old Style" w:hAnsi="Bookman Old Style"/>
        </w:rPr>
        <w:t xml:space="preserve">fue pagada hasta que sus hijos adquirieron la mayoría de edad. </w:t>
      </w:r>
      <w:r w:rsidR="001D5E3E" w:rsidRPr="00E1708F">
        <w:rPr>
          <w:rFonts w:ascii="Bookman Old Style" w:hAnsi="Bookman Old Style"/>
        </w:rPr>
        <w:t xml:space="preserve">Agrega </w:t>
      </w:r>
      <w:r w:rsidR="00964694" w:rsidRPr="00E1708F">
        <w:rPr>
          <w:rFonts w:ascii="Bookman Old Style" w:hAnsi="Bookman Old Style"/>
        </w:rPr>
        <w:t xml:space="preserve">que </w:t>
      </w:r>
      <w:r w:rsidR="00DD5901" w:rsidRPr="00E1708F">
        <w:rPr>
          <w:rFonts w:ascii="Bookman Old Style" w:hAnsi="Bookman Old Style"/>
        </w:rPr>
        <w:t xml:space="preserve">vino a reclamar la pensión para sí </w:t>
      </w:r>
      <w:r w:rsidR="001D5E3E" w:rsidRPr="00E1708F">
        <w:rPr>
          <w:rFonts w:ascii="Bookman Old Style" w:hAnsi="Bookman Old Style"/>
        </w:rPr>
        <w:t xml:space="preserve">con las </w:t>
      </w:r>
      <w:r w:rsidR="00DD5901" w:rsidRPr="00E1708F">
        <w:rPr>
          <w:rFonts w:ascii="Bookman Old Style" w:hAnsi="Bookman Old Style"/>
        </w:rPr>
        <w:t>solicitudes d</w:t>
      </w:r>
      <w:r w:rsidR="00964694" w:rsidRPr="00E1708F">
        <w:rPr>
          <w:rFonts w:ascii="Bookman Old Style" w:hAnsi="Bookman Old Style"/>
        </w:rPr>
        <w:t>el 30 de junio de 2017</w:t>
      </w:r>
      <w:r w:rsidR="00DD5901" w:rsidRPr="00E1708F">
        <w:rPr>
          <w:rFonts w:ascii="Bookman Old Style" w:hAnsi="Bookman Old Style"/>
        </w:rPr>
        <w:t xml:space="preserve"> y el </w:t>
      </w:r>
      <w:r w:rsidR="00964694" w:rsidRPr="00E1708F">
        <w:rPr>
          <w:rFonts w:ascii="Bookman Old Style" w:hAnsi="Bookman Old Style"/>
        </w:rPr>
        <w:t>21 de marzo de 2019</w:t>
      </w:r>
      <w:r w:rsidR="00DD5901" w:rsidRPr="00E1708F">
        <w:rPr>
          <w:rFonts w:ascii="Bookman Old Style" w:hAnsi="Bookman Old Style"/>
        </w:rPr>
        <w:t xml:space="preserve">, siendo </w:t>
      </w:r>
      <w:r w:rsidR="00964694" w:rsidRPr="00E1708F">
        <w:rPr>
          <w:rFonts w:ascii="Bookman Old Style" w:hAnsi="Bookman Old Style"/>
        </w:rPr>
        <w:t xml:space="preserve">negada </w:t>
      </w:r>
      <w:r w:rsidR="00DD5901" w:rsidRPr="00E1708F">
        <w:rPr>
          <w:rFonts w:ascii="Bookman Old Style" w:hAnsi="Bookman Old Style"/>
        </w:rPr>
        <w:t xml:space="preserve">por Colpensiones </w:t>
      </w:r>
      <w:r w:rsidR="00964694" w:rsidRPr="00E1708F">
        <w:rPr>
          <w:rFonts w:ascii="Bookman Old Style" w:hAnsi="Bookman Old Style"/>
        </w:rPr>
        <w:t xml:space="preserve">al considerar </w:t>
      </w:r>
      <w:r w:rsidR="00DD5901" w:rsidRPr="00E1708F">
        <w:rPr>
          <w:rFonts w:ascii="Bookman Old Style" w:hAnsi="Bookman Old Style"/>
        </w:rPr>
        <w:t xml:space="preserve">que el causante </w:t>
      </w:r>
      <w:r w:rsidR="00964694" w:rsidRPr="00E1708F">
        <w:rPr>
          <w:rFonts w:ascii="Bookman Old Style" w:hAnsi="Bookman Old Style"/>
        </w:rPr>
        <w:t xml:space="preserve">no </w:t>
      </w:r>
      <w:r w:rsidR="00DD5901" w:rsidRPr="00E1708F">
        <w:rPr>
          <w:rFonts w:ascii="Bookman Old Style" w:hAnsi="Bookman Old Style"/>
        </w:rPr>
        <w:t xml:space="preserve">había </w:t>
      </w:r>
      <w:r w:rsidR="001032AF" w:rsidRPr="00E1708F">
        <w:rPr>
          <w:rFonts w:ascii="Bookman Old Style" w:hAnsi="Bookman Old Style"/>
        </w:rPr>
        <w:t xml:space="preserve">sido </w:t>
      </w:r>
      <w:r w:rsidR="00964694" w:rsidRPr="00E1708F">
        <w:rPr>
          <w:rFonts w:ascii="Bookman Old Style" w:hAnsi="Bookman Old Style"/>
        </w:rPr>
        <w:t>su afiliado</w:t>
      </w:r>
      <w:r w:rsidR="001D5E3E" w:rsidRPr="00E1708F">
        <w:rPr>
          <w:rFonts w:ascii="Bookman Old Style" w:hAnsi="Bookman Old Style"/>
        </w:rPr>
        <w:t xml:space="preserve">. Relata que </w:t>
      </w:r>
      <w:r w:rsidRPr="00E1708F">
        <w:rPr>
          <w:rFonts w:ascii="Bookman Old Style" w:hAnsi="Bookman Old Style"/>
        </w:rPr>
        <w:t xml:space="preserve">presentó queja ante la Procuraduría y </w:t>
      </w:r>
      <w:r w:rsidR="001D5E3E" w:rsidRPr="00E1708F">
        <w:rPr>
          <w:rFonts w:ascii="Bookman Old Style" w:hAnsi="Bookman Old Style"/>
        </w:rPr>
        <w:t xml:space="preserve">luego </w:t>
      </w:r>
      <w:r w:rsidRPr="00E1708F">
        <w:rPr>
          <w:rFonts w:ascii="Bookman Old Style" w:hAnsi="Bookman Old Style"/>
        </w:rPr>
        <w:t>promovió acción de tutela</w:t>
      </w:r>
      <w:r w:rsidR="001D5E3E" w:rsidRPr="00E1708F">
        <w:rPr>
          <w:rFonts w:ascii="Bookman Old Style" w:hAnsi="Bookman Old Style"/>
        </w:rPr>
        <w:t xml:space="preserve"> logrando que Colpensiones se pronunciara frente a la petición pensional y por resolución </w:t>
      </w:r>
      <w:proofErr w:type="spellStart"/>
      <w:r w:rsidR="001D5E3E" w:rsidRPr="00E1708F">
        <w:rPr>
          <w:rFonts w:ascii="Bookman Old Style" w:hAnsi="Bookman Old Style"/>
        </w:rPr>
        <w:t>SUB264263</w:t>
      </w:r>
      <w:proofErr w:type="spellEnd"/>
      <w:r w:rsidR="001D5E3E" w:rsidRPr="00E1708F">
        <w:rPr>
          <w:rFonts w:ascii="Bookman Old Style" w:hAnsi="Bookman Old Style"/>
        </w:rPr>
        <w:t xml:space="preserve"> del 25 de septiembre de 2019, le reconoció la pensión de sobrevivientes, a partir del 30 de junio de 2014, en cuantía del salario mínimo</w:t>
      </w:r>
      <w:r w:rsidR="009B3CAC" w:rsidRPr="00E1708F">
        <w:rPr>
          <w:rFonts w:ascii="Bookman Old Style" w:hAnsi="Bookman Old Style"/>
        </w:rPr>
        <w:t xml:space="preserve">, cancelando </w:t>
      </w:r>
      <w:r w:rsidR="00E34957" w:rsidRPr="00E1708F">
        <w:rPr>
          <w:rFonts w:ascii="Bookman Old Style" w:hAnsi="Bookman Old Style"/>
        </w:rPr>
        <w:t>un retroactivo por $53.168.389</w:t>
      </w:r>
      <w:r w:rsidR="009B3CAC" w:rsidRPr="00E1708F">
        <w:rPr>
          <w:rFonts w:ascii="Bookman Old Style" w:hAnsi="Bookman Old Style"/>
        </w:rPr>
        <w:t xml:space="preserve">. Afirma que </w:t>
      </w:r>
      <w:r w:rsidR="00720FAA" w:rsidRPr="00E1708F">
        <w:rPr>
          <w:rFonts w:ascii="Bookman Old Style" w:hAnsi="Bookman Old Style"/>
        </w:rPr>
        <w:t xml:space="preserve">peticionó el pago de los intereses el </w:t>
      </w:r>
      <w:r w:rsidR="00E34957" w:rsidRPr="00E1708F">
        <w:rPr>
          <w:rFonts w:ascii="Bookman Old Style" w:hAnsi="Bookman Old Style"/>
        </w:rPr>
        <w:t>28 de noviembre de 2019</w:t>
      </w:r>
      <w:r w:rsidR="00720FAA" w:rsidRPr="00E1708F">
        <w:rPr>
          <w:rFonts w:ascii="Bookman Old Style" w:hAnsi="Bookman Old Style"/>
        </w:rPr>
        <w:t xml:space="preserve"> por la mora en el reconocimiento de la prestación, siendo negada por resolución </w:t>
      </w:r>
      <w:proofErr w:type="spellStart"/>
      <w:r w:rsidR="00720FAA" w:rsidRPr="00E1708F">
        <w:rPr>
          <w:rFonts w:ascii="Bookman Old Style" w:hAnsi="Bookman Old Style"/>
        </w:rPr>
        <w:t>SUB3222</w:t>
      </w:r>
      <w:proofErr w:type="spellEnd"/>
      <w:r w:rsidR="00720FAA" w:rsidRPr="00E1708F">
        <w:rPr>
          <w:rFonts w:ascii="Bookman Old Style" w:hAnsi="Bookman Old Style"/>
        </w:rPr>
        <w:t xml:space="preserve"> del 09-02-2020.</w:t>
      </w:r>
      <w:r w:rsidR="00E34957" w:rsidRPr="00E1708F">
        <w:rPr>
          <w:rFonts w:ascii="Bookman Old Style" w:hAnsi="Bookman Old Style"/>
        </w:rPr>
        <w:t xml:space="preserve"> </w:t>
      </w:r>
    </w:p>
    <w:p w14:paraId="5AE5956C" w14:textId="77777777" w:rsidR="001364B3" w:rsidRPr="00E1708F" w:rsidRDefault="001364B3" w:rsidP="00E1708F">
      <w:pPr>
        <w:spacing w:line="276" w:lineRule="auto"/>
        <w:ind w:firstLine="567"/>
        <w:rPr>
          <w:rFonts w:ascii="Bookman Old Style" w:hAnsi="Bookman Old Style"/>
        </w:rPr>
      </w:pPr>
    </w:p>
    <w:p w14:paraId="4C20CD7B" w14:textId="3AF1363D" w:rsidR="001364B3" w:rsidRPr="00E1708F" w:rsidRDefault="001364B3" w:rsidP="00E1708F">
      <w:pPr>
        <w:spacing w:line="276" w:lineRule="auto"/>
        <w:ind w:firstLine="567"/>
        <w:rPr>
          <w:rFonts w:ascii="Bookman Old Style" w:hAnsi="Bookman Old Style"/>
        </w:rPr>
      </w:pPr>
      <w:r w:rsidRPr="00E1708F">
        <w:rPr>
          <w:rFonts w:ascii="Bookman Old Style" w:hAnsi="Bookman Old Style"/>
        </w:rPr>
        <w:t>La demanda fue radicada el 29 de octubre de 2020 y admitida por auto del 13 de enero de 2021.</w:t>
      </w:r>
    </w:p>
    <w:p w14:paraId="59AF5850" w14:textId="77777777" w:rsidR="001364B3" w:rsidRPr="00E1708F" w:rsidRDefault="001364B3" w:rsidP="00E1708F">
      <w:pPr>
        <w:spacing w:line="276" w:lineRule="auto"/>
        <w:ind w:firstLine="567"/>
        <w:rPr>
          <w:rFonts w:ascii="Bookman Old Style" w:hAnsi="Bookman Old Style"/>
        </w:rPr>
      </w:pPr>
    </w:p>
    <w:p w14:paraId="2A49BDD5" w14:textId="7DC01939" w:rsidR="001364B3" w:rsidRPr="00E1708F" w:rsidRDefault="001364B3" w:rsidP="00E1708F">
      <w:pPr>
        <w:spacing w:line="276" w:lineRule="auto"/>
        <w:ind w:firstLine="567"/>
        <w:rPr>
          <w:rFonts w:ascii="Bookman Old Style" w:hAnsi="Bookman Old Style"/>
          <w:b/>
          <w:bCs/>
        </w:rPr>
      </w:pPr>
      <w:r w:rsidRPr="00E1708F">
        <w:rPr>
          <w:rFonts w:ascii="Bookman Old Style" w:hAnsi="Bookman Old Style"/>
        </w:rPr>
        <w:t xml:space="preserve">La </w:t>
      </w:r>
      <w:r w:rsidRPr="00E1708F">
        <w:rPr>
          <w:rFonts w:ascii="Bookman Old Style" w:hAnsi="Bookman Old Style"/>
          <w:b/>
          <w:bCs/>
        </w:rPr>
        <w:t>Administradora Colombiana de Pensiones Colpensiones</w:t>
      </w:r>
      <w:r w:rsidRPr="00E1708F">
        <w:rPr>
          <w:rFonts w:ascii="Bookman Old Style" w:hAnsi="Bookman Old Style"/>
        </w:rPr>
        <w:t xml:space="preserve">, se opuso a lo pretendido </w:t>
      </w:r>
      <w:r w:rsidR="008C7096" w:rsidRPr="00E1708F">
        <w:rPr>
          <w:rFonts w:ascii="Bookman Old Style" w:hAnsi="Bookman Old Style"/>
        </w:rPr>
        <w:t xml:space="preserve">al considerar que no había lugar al pago de los </w:t>
      </w:r>
      <w:r w:rsidR="008C7096" w:rsidRPr="00E1708F">
        <w:rPr>
          <w:rFonts w:ascii="Bookman Old Style" w:hAnsi="Bookman Old Style"/>
        </w:rPr>
        <w:lastRenderedPageBreak/>
        <w:t>intereses moratorios implorados por cuanto el reconocimiento de la pensión nació conforme a una norma anterior a la entrada en vigor de la Ley 100 de 1993.</w:t>
      </w:r>
      <w:r w:rsidR="00A6251C" w:rsidRPr="00E1708F">
        <w:rPr>
          <w:rFonts w:ascii="Bookman Old Style" w:hAnsi="Bookman Old Style"/>
        </w:rPr>
        <w:t xml:space="preserve"> Como excepciones formula: </w:t>
      </w:r>
      <w:r w:rsidR="00A6251C" w:rsidRPr="00E1708F">
        <w:rPr>
          <w:rFonts w:ascii="Bookman Old Style" w:hAnsi="Bookman Old Style"/>
          <w:b/>
          <w:bCs/>
        </w:rPr>
        <w:t>Inexistencia de la obligación demandada, Cobro de lo no debido frente al reconocimiento y pago de intereses moratorios consagrados en el artículo 142 de la ley 100 de 1993, prescripción y buena fe.</w:t>
      </w:r>
    </w:p>
    <w:p w14:paraId="5C7F6E39" w14:textId="77777777" w:rsidR="00720FAA" w:rsidRPr="00E1708F" w:rsidRDefault="00720FAA" w:rsidP="00E1708F">
      <w:pPr>
        <w:spacing w:line="276" w:lineRule="auto"/>
        <w:ind w:firstLine="567"/>
        <w:rPr>
          <w:rFonts w:ascii="Bookman Old Style" w:hAnsi="Bookman Old Style"/>
        </w:rPr>
      </w:pPr>
    </w:p>
    <w:p w14:paraId="0CB252A8" w14:textId="49BD124C" w:rsidR="00213C4A" w:rsidRPr="00E1708F" w:rsidRDefault="000E3212"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SENTENCIA DE PRIMERA INSTANCIA</w:t>
      </w:r>
    </w:p>
    <w:p w14:paraId="6649F0E5" w14:textId="77777777" w:rsidR="00213C4A" w:rsidRPr="00E1708F" w:rsidRDefault="00213C4A" w:rsidP="00E1708F">
      <w:pPr>
        <w:spacing w:line="276" w:lineRule="auto"/>
        <w:ind w:firstLine="567"/>
        <w:rPr>
          <w:rFonts w:ascii="Bookman Old Style" w:hAnsi="Bookman Old Style"/>
        </w:rPr>
      </w:pPr>
    </w:p>
    <w:p w14:paraId="42248659" w14:textId="77777777" w:rsidR="000E3212" w:rsidRPr="00E1708F" w:rsidRDefault="000E3212" w:rsidP="00E1708F">
      <w:pPr>
        <w:tabs>
          <w:tab w:val="left" w:pos="567"/>
        </w:tabs>
        <w:spacing w:line="276" w:lineRule="auto"/>
        <w:ind w:firstLine="0"/>
        <w:rPr>
          <w:rFonts w:ascii="Bookman Old Style" w:hAnsi="Bookman Old Style"/>
        </w:rPr>
      </w:pPr>
      <w:r w:rsidRPr="00E1708F">
        <w:rPr>
          <w:rFonts w:ascii="Bookman Old Style" w:hAnsi="Bookman Old Style"/>
        </w:rPr>
        <w:tab/>
        <w:t>El Juzgado Primero Laboral del Circuito de Pereira, mediante sentencia del 15 de marzo de 2023, dispuso:</w:t>
      </w:r>
    </w:p>
    <w:p w14:paraId="33F0AB13" w14:textId="77777777" w:rsidR="000E3212" w:rsidRPr="00E1708F" w:rsidRDefault="000E3212" w:rsidP="00E1708F">
      <w:pPr>
        <w:tabs>
          <w:tab w:val="left" w:pos="567"/>
        </w:tabs>
        <w:spacing w:line="276" w:lineRule="auto"/>
        <w:ind w:firstLine="0"/>
        <w:rPr>
          <w:rFonts w:ascii="Bookman Old Style" w:hAnsi="Bookman Old Style"/>
        </w:rPr>
      </w:pPr>
    </w:p>
    <w:p w14:paraId="7613544F" w14:textId="628A71EF" w:rsidR="000E3212" w:rsidRPr="000C5601" w:rsidRDefault="000E3212" w:rsidP="000C5601">
      <w:pPr>
        <w:spacing w:line="240" w:lineRule="auto"/>
        <w:ind w:left="426" w:right="420" w:firstLine="0"/>
        <w:rPr>
          <w:rFonts w:ascii="Bookman Old Style" w:hAnsi="Bookman Old Style"/>
          <w:sz w:val="22"/>
        </w:rPr>
      </w:pPr>
      <w:r w:rsidRPr="000C5601">
        <w:rPr>
          <w:rFonts w:ascii="Bookman Old Style" w:hAnsi="Bookman Old Style"/>
          <w:sz w:val="22"/>
        </w:rPr>
        <w:t>“</w:t>
      </w:r>
      <w:r w:rsidRPr="000C5601">
        <w:rPr>
          <w:rFonts w:ascii="Bookman Old Style" w:hAnsi="Bookman Old Style"/>
          <w:b/>
          <w:bCs/>
          <w:sz w:val="22"/>
        </w:rPr>
        <w:t>PRIMERO</w:t>
      </w:r>
      <w:r w:rsidRPr="000C5601">
        <w:rPr>
          <w:rFonts w:ascii="Bookman Old Style" w:hAnsi="Bookman Old Style"/>
          <w:sz w:val="22"/>
        </w:rPr>
        <w:t xml:space="preserve">: ABSOLVER del pago de intereses moratorios del artículo 141 de la Ley 100 de 1993 a la entidad demandada, Administradora Colombiana de Pensiones – Colpensiones. </w:t>
      </w:r>
      <w:r w:rsidRPr="000C5601">
        <w:rPr>
          <w:rFonts w:ascii="Bookman Old Style" w:hAnsi="Bookman Old Style"/>
          <w:b/>
          <w:bCs/>
          <w:sz w:val="22"/>
        </w:rPr>
        <w:t>SEGUNDO</w:t>
      </w:r>
      <w:r w:rsidRPr="000C5601">
        <w:rPr>
          <w:rFonts w:ascii="Bookman Old Style" w:hAnsi="Bookman Old Style"/>
          <w:sz w:val="22"/>
        </w:rPr>
        <w:t xml:space="preserve">: CONDENAR al pago de la indexación de las mesadas pensionales causadas desde la fecha de solicitud pensional, esto es, 30 de junio de 2017, y hasta el mes de septiembre del año 2019 a COLPENSIONES. </w:t>
      </w:r>
      <w:r w:rsidRPr="000C5601">
        <w:rPr>
          <w:rFonts w:ascii="Bookman Old Style" w:hAnsi="Bookman Old Style"/>
          <w:b/>
          <w:bCs/>
          <w:sz w:val="22"/>
        </w:rPr>
        <w:t>TERCERO</w:t>
      </w:r>
      <w:r w:rsidRPr="000C5601">
        <w:rPr>
          <w:rFonts w:ascii="Bookman Old Style" w:hAnsi="Bookman Old Style"/>
          <w:sz w:val="22"/>
        </w:rPr>
        <w:t xml:space="preserve">: CONDENAR al pago de la suma de $5.616.808 pesos, correspondientes a la indexación de la condena en los términos referidos en el numeral anterior. </w:t>
      </w:r>
      <w:r w:rsidRPr="000C5601">
        <w:rPr>
          <w:rFonts w:ascii="Bookman Old Style" w:hAnsi="Bookman Old Style"/>
          <w:b/>
          <w:bCs/>
          <w:sz w:val="22"/>
        </w:rPr>
        <w:t>CUARTO</w:t>
      </w:r>
      <w:r w:rsidRPr="000C5601">
        <w:rPr>
          <w:rFonts w:ascii="Bookman Old Style" w:hAnsi="Bookman Old Style"/>
          <w:sz w:val="22"/>
        </w:rPr>
        <w:t>: CONDENAR en costas procesales a la Administradora Colombiana de Pensiones –Colpensiones-, en un 50% de las causadas, en favor de la parte actora”.</w:t>
      </w:r>
    </w:p>
    <w:p w14:paraId="469ABF27" w14:textId="77777777" w:rsidR="000E3212" w:rsidRPr="00E1708F" w:rsidRDefault="000E3212" w:rsidP="00E1708F">
      <w:pPr>
        <w:tabs>
          <w:tab w:val="left" w:pos="567"/>
        </w:tabs>
        <w:spacing w:line="276" w:lineRule="auto"/>
        <w:ind w:firstLine="0"/>
        <w:rPr>
          <w:rFonts w:ascii="Bookman Old Style" w:hAnsi="Bookman Old Style"/>
        </w:rPr>
      </w:pPr>
    </w:p>
    <w:p w14:paraId="29F015F1" w14:textId="342F8624" w:rsidR="000869DF" w:rsidRPr="00E1708F" w:rsidRDefault="00D84A2A" w:rsidP="00E1708F">
      <w:pPr>
        <w:spacing w:line="276" w:lineRule="auto"/>
        <w:ind w:firstLine="567"/>
        <w:rPr>
          <w:rFonts w:ascii="Bookman Old Style" w:hAnsi="Bookman Old Style"/>
        </w:rPr>
      </w:pPr>
      <w:r w:rsidRPr="00E1708F">
        <w:rPr>
          <w:rFonts w:ascii="Bookman Old Style" w:hAnsi="Bookman Old Style"/>
        </w:rPr>
        <w:t>Para arribar a tal decisión</w:t>
      </w:r>
      <w:r w:rsidR="00DE1438" w:rsidRPr="00E1708F">
        <w:rPr>
          <w:rFonts w:ascii="Bookman Old Style" w:hAnsi="Bookman Old Style"/>
        </w:rPr>
        <w:t xml:space="preserve">, </w:t>
      </w:r>
      <w:r w:rsidR="0019467B" w:rsidRPr="00E1708F">
        <w:rPr>
          <w:rFonts w:ascii="Bookman Old Style" w:hAnsi="Bookman Old Style"/>
        </w:rPr>
        <w:t xml:space="preserve">el juez de primera instancia tuvo en cuenta el contenido del </w:t>
      </w:r>
      <w:r w:rsidR="000C5601" w:rsidRPr="00E1708F">
        <w:rPr>
          <w:rFonts w:ascii="Bookman Old Style" w:hAnsi="Bookman Old Style"/>
        </w:rPr>
        <w:t>artículo</w:t>
      </w:r>
      <w:r w:rsidR="0019467B" w:rsidRPr="00E1708F">
        <w:rPr>
          <w:rFonts w:ascii="Bookman Old Style" w:hAnsi="Bookman Old Style"/>
        </w:rPr>
        <w:t xml:space="preserve"> 141 de la Ley 100 de 1993, así como la sentencia C-601/00 para concluir que los intereses peticionados solo tenían lugar cuando se trataba de la </w:t>
      </w:r>
      <w:r w:rsidR="00DE1438" w:rsidRPr="00E1708F">
        <w:rPr>
          <w:rFonts w:ascii="Bookman Old Style" w:hAnsi="Bookman Old Style"/>
        </w:rPr>
        <w:t xml:space="preserve">mora </w:t>
      </w:r>
      <w:r w:rsidR="0019467B" w:rsidRPr="00E1708F">
        <w:rPr>
          <w:rFonts w:ascii="Bookman Old Style" w:hAnsi="Bookman Old Style"/>
        </w:rPr>
        <w:t xml:space="preserve">en el pago de las pensiones causadas </w:t>
      </w:r>
      <w:r w:rsidR="00DE1438" w:rsidRPr="00E1708F">
        <w:rPr>
          <w:rFonts w:ascii="Bookman Old Style" w:hAnsi="Bookman Old Style"/>
        </w:rPr>
        <w:t>con posterioridad a la entrada en vigor de la ley 100</w:t>
      </w:r>
      <w:r w:rsidR="000869DF" w:rsidRPr="00E1708F">
        <w:rPr>
          <w:rFonts w:ascii="Bookman Old Style" w:hAnsi="Bookman Old Style"/>
        </w:rPr>
        <w:t xml:space="preserve"> </w:t>
      </w:r>
      <w:r w:rsidR="0019467B" w:rsidRPr="00E1708F">
        <w:rPr>
          <w:rFonts w:ascii="Bookman Old Style" w:hAnsi="Bookman Old Style"/>
        </w:rPr>
        <w:t xml:space="preserve">de 1993, </w:t>
      </w:r>
      <w:r w:rsidR="00D42519" w:rsidRPr="00E1708F">
        <w:rPr>
          <w:rFonts w:ascii="Bookman Old Style" w:hAnsi="Bookman Old Style"/>
        </w:rPr>
        <w:t xml:space="preserve">es decir, </w:t>
      </w:r>
      <w:r w:rsidR="0019467B" w:rsidRPr="00E1708F">
        <w:rPr>
          <w:rFonts w:ascii="Bookman Old Style" w:hAnsi="Bookman Old Style"/>
        </w:rPr>
        <w:t xml:space="preserve">únicamente las pensiones otorgadas bajo dicha norma, incluidas las reconocidas bajo el régimen </w:t>
      </w:r>
      <w:r w:rsidR="008A1F0F" w:rsidRPr="00E1708F">
        <w:rPr>
          <w:rFonts w:ascii="Bookman Old Style" w:hAnsi="Bookman Old Style"/>
        </w:rPr>
        <w:t xml:space="preserve">de transición </w:t>
      </w:r>
      <w:r w:rsidR="0019467B" w:rsidRPr="00E1708F">
        <w:rPr>
          <w:rFonts w:ascii="Bookman Old Style" w:hAnsi="Bookman Old Style"/>
        </w:rPr>
        <w:t>y recalca</w:t>
      </w:r>
      <w:r w:rsidR="008A1F0F" w:rsidRPr="00E1708F">
        <w:rPr>
          <w:rFonts w:ascii="Bookman Old Style" w:hAnsi="Bookman Old Style"/>
        </w:rPr>
        <w:t>,</w:t>
      </w:r>
      <w:r w:rsidR="0019467B" w:rsidRPr="00E1708F">
        <w:rPr>
          <w:rFonts w:ascii="Bookman Old Style" w:hAnsi="Bookman Old Style"/>
        </w:rPr>
        <w:t xml:space="preserve"> que el concepto de causación </w:t>
      </w:r>
      <w:r w:rsidR="000C5601" w:rsidRPr="00E1708F">
        <w:rPr>
          <w:rFonts w:ascii="Bookman Old Style" w:hAnsi="Bookman Old Style"/>
        </w:rPr>
        <w:t>hacía</w:t>
      </w:r>
      <w:r w:rsidR="0019467B" w:rsidRPr="00E1708F">
        <w:rPr>
          <w:rFonts w:ascii="Bookman Old Style" w:hAnsi="Bookman Old Style"/>
        </w:rPr>
        <w:t xml:space="preserve"> referencia al momento en que se cumplen los requisitos y no cuando se hubiere solicitado su reconocimiento.</w:t>
      </w:r>
      <w:r w:rsidR="004E5315" w:rsidRPr="00E1708F">
        <w:rPr>
          <w:rFonts w:ascii="Bookman Old Style" w:hAnsi="Bookman Old Style"/>
        </w:rPr>
        <w:t xml:space="preserve"> De acuerdo a ello, coligió que al ser la pensión de sobrevivientes causada en los términos de una normatividad anterior a la Ley 100 de 1993, teniendo en cuenta la data del deceso del afiliado, no era viable acceder a la pretensión principal.</w:t>
      </w:r>
    </w:p>
    <w:p w14:paraId="0DE745CA" w14:textId="77777777" w:rsidR="000869DF" w:rsidRPr="00E1708F" w:rsidRDefault="000869DF" w:rsidP="00E1708F">
      <w:pPr>
        <w:tabs>
          <w:tab w:val="left" w:pos="567"/>
        </w:tabs>
        <w:spacing w:line="276" w:lineRule="auto"/>
        <w:ind w:firstLine="0"/>
        <w:rPr>
          <w:rFonts w:ascii="Bookman Old Style" w:hAnsi="Bookman Old Style"/>
        </w:rPr>
      </w:pPr>
    </w:p>
    <w:p w14:paraId="6E3A6668" w14:textId="65EB9A6F" w:rsidR="001D3887" w:rsidRPr="00E1708F" w:rsidRDefault="004E5315" w:rsidP="00E1708F">
      <w:pPr>
        <w:spacing w:line="276" w:lineRule="auto"/>
        <w:ind w:firstLine="567"/>
        <w:rPr>
          <w:rFonts w:ascii="Bookman Old Style" w:hAnsi="Bookman Old Style"/>
        </w:rPr>
      </w:pPr>
      <w:r w:rsidRPr="00E1708F">
        <w:rPr>
          <w:rFonts w:ascii="Bookman Old Style" w:hAnsi="Bookman Old Style"/>
        </w:rPr>
        <w:t>En cuanto a la i</w:t>
      </w:r>
      <w:r w:rsidR="001D3887" w:rsidRPr="00E1708F">
        <w:rPr>
          <w:rFonts w:ascii="Bookman Old Style" w:hAnsi="Bookman Old Style"/>
        </w:rPr>
        <w:t>ndexación</w:t>
      </w:r>
      <w:r w:rsidR="006B05C2" w:rsidRPr="00E1708F">
        <w:rPr>
          <w:rFonts w:ascii="Bookman Old Style" w:hAnsi="Bookman Old Style"/>
        </w:rPr>
        <w:t xml:space="preserve"> estableció que su reconocimiento era </w:t>
      </w:r>
      <w:r w:rsidR="001D3887" w:rsidRPr="00E1708F">
        <w:rPr>
          <w:rFonts w:ascii="Bookman Old Style" w:hAnsi="Bookman Old Style"/>
        </w:rPr>
        <w:t xml:space="preserve">viable por la afectación del fenómeno </w:t>
      </w:r>
      <w:r w:rsidR="006B05C2" w:rsidRPr="00E1708F">
        <w:rPr>
          <w:rFonts w:ascii="Bookman Old Style" w:hAnsi="Bookman Old Style"/>
        </w:rPr>
        <w:t xml:space="preserve">inflacionario, el cual era </w:t>
      </w:r>
      <w:r w:rsidR="001D3887" w:rsidRPr="00E1708F">
        <w:rPr>
          <w:rFonts w:ascii="Bookman Old Style" w:hAnsi="Bookman Old Style"/>
        </w:rPr>
        <w:t>un hecho notorio que no requ</w:t>
      </w:r>
      <w:r w:rsidR="006B05C2" w:rsidRPr="00E1708F">
        <w:rPr>
          <w:rFonts w:ascii="Bookman Old Style" w:hAnsi="Bookman Old Style"/>
        </w:rPr>
        <w:t>ería prueba y que procedía incluso de manera oficiosa</w:t>
      </w:r>
      <w:r w:rsidR="00B46265" w:rsidRPr="00E1708F">
        <w:rPr>
          <w:rFonts w:ascii="Bookman Old Style" w:hAnsi="Bookman Old Style"/>
        </w:rPr>
        <w:t xml:space="preserve">. Sin embargo, dedujo que a pesar de haberse reconocido la prestación desde el 2014, lo cierto es que al haberse realizado la reclamación el </w:t>
      </w:r>
      <w:r w:rsidR="001D3887" w:rsidRPr="00E1708F">
        <w:rPr>
          <w:rFonts w:ascii="Bookman Old Style" w:hAnsi="Bookman Old Style"/>
        </w:rPr>
        <w:t>30-06-2017</w:t>
      </w:r>
      <w:r w:rsidR="00B46265" w:rsidRPr="00E1708F">
        <w:rPr>
          <w:rFonts w:ascii="Bookman Old Style" w:hAnsi="Bookman Old Style"/>
        </w:rPr>
        <w:t xml:space="preserve">, la indexación debía de atenderse a partir de dicho momento en tanto que antes de ello, Colpensiones desconocía la obligación de pagar tal prestación </w:t>
      </w:r>
      <w:proofErr w:type="gramStart"/>
      <w:r w:rsidR="00B46265" w:rsidRPr="00E1708F">
        <w:rPr>
          <w:rFonts w:ascii="Bookman Old Style" w:hAnsi="Bookman Old Style"/>
        </w:rPr>
        <w:t>y</w:t>
      </w:r>
      <w:proofErr w:type="gramEnd"/>
      <w:r w:rsidR="00B46265" w:rsidRPr="00E1708F">
        <w:rPr>
          <w:rFonts w:ascii="Bookman Old Style" w:hAnsi="Bookman Old Style"/>
        </w:rPr>
        <w:t xml:space="preserve"> por tanto, a partir de allí, debía ser reconocida.</w:t>
      </w:r>
    </w:p>
    <w:p w14:paraId="7CA262E1" w14:textId="77777777" w:rsidR="00D6577F" w:rsidRPr="00E1708F" w:rsidRDefault="00D6577F" w:rsidP="00E1708F">
      <w:pPr>
        <w:tabs>
          <w:tab w:val="left" w:pos="567"/>
        </w:tabs>
        <w:spacing w:line="276" w:lineRule="auto"/>
        <w:ind w:firstLine="0"/>
        <w:rPr>
          <w:rFonts w:ascii="Bookman Old Style" w:hAnsi="Bookman Old Style"/>
        </w:rPr>
      </w:pPr>
    </w:p>
    <w:p w14:paraId="0D524F7D" w14:textId="70A30CB5" w:rsidR="00CC10B4" w:rsidRPr="00E1708F" w:rsidRDefault="00CC10B4"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RECURSO DE APELACIÓN Y CONSULTA</w:t>
      </w:r>
    </w:p>
    <w:p w14:paraId="15F488EA" w14:textId="77777777" w:rsidR="000E3212" w:rsidRPr="00E1708F" w:rsidRDefault="000E3212" w:rsidP="00E1708F">
      <w:pPr>
        <w:tabs>
          <w:tab w:val="left" w:pos="567"/>
        </w:tabs>
        <w:spacing w:line="276" w:lineRule="auto"/>
        <w:ind w:firstLine="0"/>
        <w:rPr>
          <w:rFonts w:ascii="Bookman Old Style" w:hAnsi="Bookman Old Style"/>
        </w:rPr>
      </w:pPr>
    </w:p>
    <w:p w14:paraId="10E0B592" w14:textId="45550A85" w:rsidR="00C87CE1" w:rsidRPr="00E1708F" w:rsidRDefault="00DB42A0" w:rsidP="00E1708F">
      <w:pPr>
        <w:spacing w:line="276" w:lineRule="auto"/>
        <w:ind w:firstLine="426"/>
        <w:rPr>
          <w:rFonts w:ascii="Bookman Old Style" w:hAnsi="Bookman Old Style"/>
        </w:rPr>
      </w:pPr>
      <w:r w:rsidRPr="00E1708F">
        <w:rPr>
          <w:rFonts w:ascii="Bookman Old Style" w:hAnsi="Bookman Old Style"/>
          <w:bCs/>
        </w:rPr>
        <w:lastRenderedPageBreak/>
        <w:t>La p</w:t>
      </w:r>
      <w:r w:rsidR="00404136" w:rsidRPr="00E1708F">
        <w:rPr>
          <w:rFonts w:ascii="Bookman Old Style" w:hAnsi="Bookman Old Style"/>
          <w:bCs/>
        </w:rPr>
        <w:t>arte actora</w:t>
      </w:r>
      <w:r w:rsidR="003F5E6E" w:rsidRPr="00E1708F">
        <w:rPr>
          <w:rFonts w:ascii="Bookman Old Style" w:hAnsi="Bookman Old Style"/>
        </w:rPr>
        <w:t xml:space="preserve"> manifestó su desacuerdo frente a la negativa de los intereses moratorios al considerar que estos se activan como efecto resarcitorio por la mora en el pago de las mesadas pensionales </w:t>
      </w:r>
      <w:r w:rsidR="005F14D7" w:rsidRPr="00E1708F">
        <w:rPr>
          <w:rFonts w:ascii="Bookman Old Style" w:hAnsi="Bookman Old Style"/>
        </w:rPr>
        <w:t xml:space="preserve">derivadas de los riesgos de </w:t>
      </w:r>
      <w:proofErr w:type="spellStart"/>
      <w:r w:rsidR="005F14D7" w:rsidRPr="00E1708F">
        <w:rPr>
          <w:rFonts w:ascii="Bookman Old Style" w:hAnsi="Bookman Old Style"/>
        </w:rPr>
        <w:t>IVM</w:t>
      </w:r>
      <w:proofErr w:type="spellEnd"/>
      <w:r w:rsidR="005F14D7" w:rsidRPr="00E1708F">
        <w:rPr>
          <w:rFonts w:ascii="Bookman Old Style" w:hAnsi="Bookman Old Style"/>
        </w:rPr>
        <w:t>, en tanto que el resarcimiento se deriva de la pérdida del poder adquisitivo y busca</w:t>
      </w:r>
      <w:r w:rsidR="007D01BB" w:rsidRPr="00E1708F">
        <w:rPr>
          <w:rFonts w:ascii="Bookman Old Style" w:hAnsi="Bookman Old Style"/>
        </w:rPr>
        <w:t>ba</w:t>
      </w:r>
      <w:r w:rsidR="005F14D7" w:rsidRPr="00E1708F">
        <w:rPr>
          <w:rFonts w:ascii="Bookman Old Style" w:hAnsi="Bookman Old Style"/>
        </w:rPr>
        <w:t xml:space="preserve"> reparar el daño patrimonial por la demora en el pago de las mesadas. </w:t>
      </w:r>
      <w:r w:rsidR="00C87CE1" w:rsidRPr="00E1708F">
        <w:rPr>
          <w:rFonts w:ascii="Bookman Old Style" w:hAnsi="Bookman Old Style"/>
        </w:rPr>
        <w:t xml:space="preserve">Para apoyar la alzada, trajo a colación </w:t>
      </w:r>
      <w:r w:rsidR="008E3802" w:rsidRPr="00E1708F">
        <w:rPr>
          <w:rFonts w:ascii="Bookman Old Style" w:hAnsi="Bookman Old Style"/>
        </w:rPr>
        <w:t xml:space="preserve">a partes de </w:t>
      </w:r>
      <w:r w:rsidR="005F14D7" w:rsidRPr="00E1708F">
        <w:rPr>
          <w:rFonts w:ascii="Bookman Old Style" w:hAnsi="Bookman Old Style"/>
        </w:rPr>
        <w:t xml:space="preserve">la sentencia </w:t>
      </w:r>
      <w:proofErr w:type="spellStart"/>
      <w:r w:rsidR="005F14D7" w:rsidRPr="00E1708F">
        <w:rPr>
          <w:rFonts w:ascii="Bookman Old Style" w:hAnsi="Bookman Old Style"/>
        </w:rPr>
        <w:t>SL1681</w:t>
      </w:r>
      <w:proofErr w:type="spellEnd"/>
      <w:r w:rsidR="005F14D7" w:rsidRPr="00E1708F">
        <w:rPr>
          <w:rFonts w:ascii="Bookman Old Style" w:hAnsi="Bookman Old Style"/>
        </w:rPr>
        <w:t xml:space="preserve">-2020 </w:t>
      </w:r>
      <w:r w:rsidR="00C87CE1" w:rsidRPr="00E1708F">
        <w:rPr>
          <w:rFonts w:ascii="Bookman Old Style" w:hAnsi="Bookman Old Style"/>
        </w:rPr>
        <w:t>para denotar que, aunque existen notables diferencias normativas en los tipos prestacionales, ello no significaba que solo los pensionados de un régimen legal específico sufrían los perjuicios derivados de la mora en el pago de las mesadas, mientras que otros no, en tanto que la pensión representaba su fuente de subsistencia y, desde ese punto de vista, debían contar con un mecanismo legal que permitiera la reparación de los perjuicios ocasionados por el retardo en el pago de las mismas.</w:t>
      </w:r>
    </w:p>
    <w:p w14:paraId="7A39264C" w14:textId="77777777" w:rsidR="00A82E0E" w:rsidRPr="00E1708F" w:rsidRDefault="00A82E0E" w:rsidP="00E1708F">
      <w:pPr>
        <w:spacing w:line="276" w:lineRule="auto"/>
        <w:ind w:firstLine="426"/>
        <w:rPr>
          <w:rFonts w:ascii="Bookman Old Style" w:hAnsi="Bookman Old Style"/>
        </w:rPr>
      </w:pPr>
    </w:p>
    <w:p w14:paraId="19073CF1" w14:textId="0867A589" w:rsidR="008E3802" w:rsidRPr="00E1708F" w:rsidRDefault="00A82E0E" w:rsidP="00E1708F">
      <w:pPr>
        <w:spacing w:line="276" w:lineRule="auto"/>
        <w:ind w:firstLine="426"/>
        <w:rPr>
          <w:rFonts w:ascii="Bookman Old Style" w:hAnsi="Bookman Old Style"/>
        </w:rPr>
      </w:pPr>
      <w:r w:rsidRPr="00E1708F">
        <w:rPr>
          <w:rFonts w:ascii="Bookman Old Style" w:hAnsi="Bookman Old Style"/>
        </w:rPr>
        <w:t xml:space="preserve">De otro lado, solicitó </w:t>
      </w:r>
      <w:r w:rsidR="00F574A8" w:rsidRPr="00E1708F">
        <w:rPr>
          <w:rFonts w:ascii="Bookman Old Style" w:hAnsi="Bookman Old Style"/>
        </w:rPr>
        <w:t>que,</w:t>
      </w:r>
      <w:r w:rsidRPr="00E1708F">
        <w:rPr>
          <w:rFonts w:ascii="Bookman Old Style" w:hAnsi="Bookman Old Style"/>
        </w:rPr>
        <w:t xml:space="preserve"> en caso de confirmarse la negativa, se dispusiera la indexación desde el 2014, en tanto que el fallo no tuvo en cuenta que los valores adeudados fueron causados </w:t>
      </w:r>
      <w:r w:rsidR="008E3802" w:rsidRPr="00E1708F">
        <w:rPr>
          <w:rFonts w:ascii="Bookman Old Style" w:hAnsi="Bookman Old Style"/>
        </w:rPr>
        <w:t xml:space="preserve">retroactivamente desde </w:t>
      </w:r>
      <w:r w:rsidRPr="00E1708F">
        <w:rPr>
          <w:rFonts w:ascii="Bookman Old Style" w:hAnsi="Bookman Old Style"/>
        </w:rPr>
        <w:t>esa anualidad</w:t>
      </w:r>
      <w:r w:rsidR="008E3802" w:rsidRPr="00E1708F">
        <w:rPr>
          <w:rFonts w:ascii="Bookman Old Style" w:hAnsi="Bookman Old Style"/>
        </w:rPr>
        <w:t xml:space="preserve">, </w:t>
      </w:r>
      <w:r w:rsidR="00F574A8" w:rsidRPr="00E1708F">
        <w:rPr>
          <w:rFonts w:ascii="Bookman Old Style" w:hAnsi="Bookman Old Style"/>
        </w:rPr>
        <w:t>a pesar de que</w:t>
      </w:r>
      <w:r w:rsidR="008E3802" w:rsidRPr="00E1708F">
        <w:rPr>
          <w:rFonts w:ascii="Bookman Old Style" w:hAnsi="Bookman Old Style"/>
        </w:rPr>
        <w:t xml:space="preserve"> existió </w:t>
      </w:r>
      <w:r w:rsidR="00F574A8" w:rsidRPr="00E1708F">
        <w:rPr>
          <w:rFonts w:ascii="Bookman Old Style" w:hAnsi="Bookman Old Style"/>
        </w:rPr>
        <w:t>pérdida</w:t>
      </w:r>
      <w:r w:rsidR="008E3802" w:rsidRPr="00E1708F">
        <w:rPr>
          <w:rFonts w:ascii="Bookman Old Style" w:hAnsi="Bookman Old Style"/>
        </w:rPr>
        <w:t xml:space="preserve"> del poder adquisitivo de la moneda.</w:t>
      </w:r>
    </w:p>
    <w:p w14:paraId="0144D39E" w14:textId="77777777" w:rsidR="008E3802" w:rsidRPr="00E1708F" w:rsidRDefault="008E3802" w:rsidP="00E1708F">
      <w:pPr>
        <w:tabs>
          <w:tab w:val="left" w:pos="567"/>
        </w:tabs>
        <w:spacing w:line="276" w:lineRule="auto"/>
        <w:ind w:left="426" w:firstLine="0"/>
        <w:rPr>
          <w:rFonts w:ascii="Bookman Old Style" w:hAnsi="Bookman Old Style"/>
        </w:rPr>
      </w:pPr>
    </w:p>
    <w:p w14:paraId="21387A40" w14:textId="3110903C" w:rsidR="00404136" w:rsidRPr="00E1708F" w:rsidRDefault="00F574A8" w:rsidP="00E1708F">
      <w:pPr>
        <w:spacing w:line="276" w:lineRule="auto"/>
        <w:ind w:firstLine="426"/>
        <w:rPr>
          <w:rFonts w:ascii="Bookman Old Style" w:hAnsi="Bookman Old Style"/>
        </w:rPr>
      </w:pPr>
      <w:r w:rsidRPr="00E1708F">
        <w:rPr>
          <w:rFonts w:ascii="Bookman Old Style" w:hAnsi="Bookman Old Style"/>
          <w:bCs/>
        </w:rPr>
        <w:t>La p</w:t>
      </w:r>
      <w:r w:rsidR="00247309" w:rsidRPr="00E1708F">
        <w:rPr>
          <w:rFonts w:ascii="Bookman Old Style" w:hAnsi="Bookman Old Style"/>
          <w:bCs/>
        </w:rPr>
        <w:t>arte demandada</w:t>
      </w:r>
      <w:r w:rsidRPr="00E1708F">
        <w:rPr>
          <w:rFonts w:ascii="Bookman Old Style" w:hAnsi="Bookman Old Style"/>
        </w:rPr>
        <w:t xml:space="preserve">, recurrió </w:t>
      </w:r>
      <w:r w:rsidR="008F0D77" w:rsidRPr="00E1708F">
        <w:rPr>
          <w:rFonts w:ascii="Bookman Old Style" w:hAnsi="Bookman Old Style"/>
        </w:rPr>
        <w:t xml:space="preserve">la condena en costas dispuesta en contra de la entidad bajo el entendido que la petición elevada frente a la entidad fue respecto de los intereses moratorios los cuales se negaron dada la fundamentación legal de la pensión de sobrevivientes </w:t>
      </w:r>
      <w:r w:rsidR="0026568B" w:rsidRPr="00E1708F">
        <w:rPr>
          <w:rFonts w:ascii="Bookman Old Style" w:hAnsi="Bookman Old Style"/>
        </w:rPr>
        <w:t>y, la indexación fue una petición subsidiaria a los intereses.</w:t>
      </w:r>
    </w:p>
    <w:p w14:paraId="06BE87AC" w14:textId="77777777" w:rsidR="00247309" w:rsidRPr="00E1708F" w:rsidRDefault="00247309" w:rsidP="00E1708F">
      <w:pPr>
        <w:tabs>
          <w:tab w:val="left" w:pos="567"/>
        </w:tabs>
        <w:spacing w:line="276" w:lineRule="auto"/>
        <w:ind w:left="426" w:firstLine="0"/>
        <w:rPr>
          <w:rFonts w:ascii="Bookman Old Style" w:hAnsi="Bookman Old Style"/>
        </w:rPr>
      </w:pPr>
    </w:p>
    <w:p w14:paraId="1764766B" w14:textId="0C36B19B" w:rsidR="00E30CB1" w:rsidRPr="00E1708F" w:rsidRDefault="00E30CB1" w:rsidP="00E1708F">
      <w:pPr>
        <w:spacing w:line="276" w:lineRule="auto"/>
        <w:ind w:firstLine="426"/>
        <w:rPr>
          <w:rFonts w:ascii="Bookman Old Style" w:hAnsi="Bookman Old Style"/>
        </w:rPr>
      </w:pPr>
      <w:r w:rsidRPr="00E1708F">
        <w:rPr>
          <w:rFonts w:ascii="Bookman Old Style" w:hAnsi="Bookman Old Style"/>
        </w:rPr>
        <w:t>De otro lado, conforme a lo consagrado en el art. 69 del Código Procesal del Trabajo y de la Seguridad Social (</w:t>
      </w:r>
      <w:proofErr w:type="spellStart"/>
      <w:r w:rsidRPr="00E1708F">
        <w:rPr>
          <w:rFonts w:ascii="Bookman Old Style" w:hAnsi="Bookman Old Style"/>
        </w:rPr>
        <w:t>CPTSS</w:t>
      </w:r>
      <w:proofErr w:type="spellEnd"/>
      <w:r w:rsidRPr="00E1708F">
        <w:rPr>
          <w:rFonts w:ascii="Bookman Old Style" w:hAnsi="Bookman Old Style"/>
        </w:rPr>
        <w:t>) la Sala estudiará el fallo del a quo, en grado jurisdiccional de consulta, en lo que no fue objeto de la apelación por Colpensiones.</w:t>
      </w:r>
    </w:p>
    <w:p w14:paraId="4F95CA48" w14:textId="77777777" w:rsidR="00E30CB1" w:rsidRPr="00E1708F" w:rsidRDefault="00E30CB1" w:rsidP="00E1708F">
      <w:pPr>
        <w:tabs>
          <w:tab w:val="left" w:pos="567"/>
        </w:tabs>
        <w:spacing w:line="276" w:lineRule="auto"/>
        <w:ind w:left="426" w:firstLine="0"/>
        <w:rPr>
          <w:rFonts w:ascii="Bookman Old Style" w:hAnsi="Bookman Old Style"/>
        </w:rPr>
      </w:pPr>
    </w:p>
    <w:p w14:paraId="407E1368" w14:textId="46EEC076" w:rsidR="00E30CB1" w:rsidRPr="00E1708F" w:rsidRDefault="00E30CB1"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ALEGATOS EN SEGUNDA INSTANCIA</w:t>
      </w:r>
    </w:p>
    <w:p w14:paraId="3FBB6229" w14:textId="77777777" w:rsidR="00E30CB1" w:rsidRPr="00E1708F" w:rsidRDefault="00E30CB1" w:rsidP="00E1708F">
      <w:pPr>
        <w:tabs>
          <w:tab w:val="left" w:pos="567"/>
        </w:tabs>
        <w:spacing w:line="276" w:lineRule="auto"/>
        <w:ind w:left="426" w:firstLine="0"/>
        <w:rPr>
          <w:rFonts w:ascii="Bookman Old Style" w:hAnsi="Bookman Old Style"/>
        </w:rPr>
      </w:pPr>
    </w:p>
    <w:p w14:paraId="12B18F85" w14:textId="704759EB" w:rsidR="00E30CB1" w:rsidRPr="00E1708F" w:rsidRDefault="00E30CB1" w:rsidP="00E1708F">
      <w:pPr>
        <w:spacing w:line="276" w:lineRule="auto"/>
        <w:ind w:firstLine="426"/>
        <w:rPr>
          <w:rFonts w:ascii="Bookman Old Style" w:hAnsi="Bookman Old Style"/>
        </w:rPr>
      </w:pPr>
      <w:r w:rsidRPr="00E1708F">
        <w:rPr>
          <w:rFonts w:ascii="Bookman Old Style" w:hAnsi="Bookman Old Style"/>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w:t>
      </w:r>
      <w:r w:rsidR="00BD3CAE" w:rsidRPr="00E1708F">
        <w:rPr>
          <w:rFonts w:ascii="Bookman Old Style" w:hAnsi="Bookman Old Style"/>
        </w:rPr>
        <w:t>18</w:t>
      </w:r>
      <w:r w:rsidRPr="00E1708F">
        <w:rPr>
          <w:rFonts w:ascii="Bookman Old Style" w:hAnsi="Bookman Old Style"/>
        </w:rPr>
        <w:t>-</w:t>
      </w:r>
      <w:r w:rsidR="00BD3CAE" w:rsidRPr="00E1708F">
        <w:rPr>
          <w:rFonts w:ascii="Bookman Old Style" w:hAnsi="Bookman Old Style"/>
        </w:rPr>
        <w:t>07</w:t>
      </w:r>
      <w:r w:rsidRPr="00E1708F">
        <w:rPr>
          <w:rFonts w:ascii="Bookman Old Style" w:hAnsi="Bookman Old Style"/>
        </w:rPr>
        <w:t>-2023 y de la presentación de alegaciones en término, se remite a la constancia de la Secretaría de la Sala (archivo 09).</w:t>
      </w:r>
    </w:p>
    <w:p w14:paraId="40DBA5E0" w14:textId="77777777" w:rsidR="00E30CB1" w:rsidRPr="00E1708F" w:rsidRDefault="00E30CB1" w:rsidP="00E1708F">
      <w:pPr>
        <w:tabs>
          <w:tab w:val="left" w:pos="567"/>
        </w:tabs>
        <w:spacing w:line="276" w:lineRule="auto"/>
        <w:ind w:left="426" w:firstLine="0"/>
        <w:rPr>
          <w:rFonts w:ascii="Bookman Old Style" w:hAnsi="Bookman Old Style"/>
        </w:rPr>
      </w:pPr>
    </w:p>
    <w:p w14:paraId="457763EE" w14:textId="77777777" w:rsidR="00E30CB1" w:rsidRPr="00E1708F" w:rsidRDefault="00E30CB1" w:rsidP="00E1708F">
      <w:pPr>
        <w:spacing w:line="276" w:lineRule="auto"/>
        <w:ind w:firstLine="426"/>
        <w:rPr>
          <w:rFonts w:ascii="Bookman Old Style" w:hAnsi="Bookman Old Style"/>
        </w:rPr>
      </w:pPr>
      <w:r w:rsidRPr="00E1708F">
        <w:rPr>
          <w:rFonts w:ascii="Bookman Old Style" w:hAnsi="Bookman Old Style"/>
        </w:rPr>
        <w:t xml:space="preserve">Surtido el trámite que corresponde a esta instancia procede la Sala de decisión a dictar la providencia que corresponde, previas las siguientes, </w:t>
      </w:r>
    </w:p>
    <w:p w14:paraId="10418E56" w14:textId="77777777" w:rsidR="00E30CB1" w:rsidRPr="00E1708F" w:rsidRDefault="00E30CB1" w:rsidP="00E1708F">
      <w:pPr>
        <w:tabs>
          <w:tab w:val="left" w:pos="567"/>
        </w:tabs>
        <w:spacing w:line="276" w:lineRule="auto"/>
        <w:ind w:left="426" w:firstLine="0"/>
        <w:rPr>
          <w:rFonts w:ascii="Bookman Old Style" w:hAnsi="Bookman Old Style"/>
        </w:rPr>
      </w:pPr>
    </w:p>
    <w:p w14:paraId="5D6D1724" w14:textId="53E022BF" w:rsidR="00247309" w:rsidRPr="00E1708F" w:rsidRDefault="00E30CB1"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CONSIDERACIONES</w:t>
      </w:r>
    </w:p>
    <w:p w14:paraId="7D3C28B6" w14:textId="77777777" w:rsidR="00EE6755" w:rsidRPr="00E1708F" w:rsidRDefault="00EE6755" w:rsidP="00E1708F">
      <w:pPr>
        <w:tabs>
          <w:tab w:val="left" w:pos="567"/>
        </w:tabs>
        <w:spacing w:line="276" w:lineRule="auto"/>
        <w:ind w:left="426" w:firstLine="0"/>
        <w:rPr>
          <w:rFonts w:ascii="Bookman Old Style" w:hAnsi="Bookman Old Style"/>
        </w:rPr>
      </w:pPr>
    </w:p>
    <w:p w14:paraId="3441D70F" w14:textId="6B80F026" w:rsidR="00247309" w:rsidRPr="00E1708F" w:rsidRDefault="00EE6755" w:rsidP="00E1708F">
      <w:pPr>
        <w:spacing w:line="276" w:lineRule="auto"/>
        <w:ind w:firstLine="426"/>
        <w:rPr>
          <w:rFonts w:ascii="Bookman Old Style" w:hAnsi="Bookman Old Style"/>
        </w:rPr>
      </w:pPr>
      <w:r w:rsidRPr="00E1708F">
        <w:rPr>
          <w:rFonts w:ascii="Bookman Old Style" w:hAnsi="Bookman Old Style"/>
        </w:rPr>
        <w:lastRenderedPageBreak/>
        <w:t>Conforme al anterior escenario, el problema jurídico se circunscribe en determinar si hay lugar a reconocer los intereses moratorios a pesar de que la pensión se causó conforme a una norma anterior a la entrada en vigor de la Ley 100 de 1993. De no proceder dicha condena, se establecerá a partir de qué momento procede la indexación de lo adeudado. De otro lado, se establecerá si había lugar a imponer costas a cargo de Colpensiones</w:t>
      </w:r>
      <w:r w:rsidR="00936AB8" w:rsidRPr="00E1708F">
        <w:rPr>
          <w:rFonts w:ascii="Bookman Old Style" w:hAnsi="Bookman Old Style"/>
        </w:rPr>
        <w:t xml:space="preserve"> y se revisará la sentencia en aquellos aspectos no recurridos, conforme al grado de consulta a favor de Colpensiones.</w:t>
      </w:r>
    </w:p>
    <w:p w14:paraId="4252A00D" w14:textId="77777777" w:rsidR="00EE6755" w:rsidRPr="00E1708F" w:rsidRDefault="00EE6755" w:rsidP="00E1708F">
      <w:pPr>
        <w:spacing w:line="276" w:lineRule="auto"/>
        <w:ind w:firstLine="426"/>
        <w:rPr>
          <w:rFonts w:ascii="Bookman Old Style" w:hAnsi="Bookman Old Style"/>
        </w:rPr>
      </w:pPr>
    </w:p>
    <w:p w14:paraId="415EE9BA" w14:textId="1E2C5F4F" w:rsidR="00213C4A" w:rsidRPr="00E1708F" w:rsidRDefault="002A399A" w:rsidP="00E1708F">
      <w:pPr>
        <w:spacing w:line="276" w:lineRule="auto"/>
        <w:ind w:firstLine="567"/>
        <w:rPr>
          <w:rFonts w:ascii="Bookman Old Style" w:hAnsi="Bookman Old Style"/>
        </w:rPr>
      </w:pPr>
      <w:r w:rsidRPr="00E1708F">
        <w:rPr>
          <w:rFonts w:ascii="Bookman Old Style" w:hAnsi="Bookman Old Style"/>
        </w:rPr>
        <w:t>Ahora bien, lo</w:t>
      </w:r>
      <w:r w:rsidR="00E30CB1" w:rsidRPr="00E1708F">
        <w:rPr>
          <w:rFonts w:ascii="Bookman Old Style" w:hAnsi="Bookman Old Style"/>
        </w:rPr>
        <w:t>s aspectos relevantes que interesan al recurso y que se encuentran por fuera de discusión, corresponden a los siguientes:</w:t>
      </w:r>
    </w:p>
    <w:p w14:paraId="2FC186ED" w14:textId="77777777" w:rsidR="00E30CB1" w:rsidRPr="00E1708F" w:rsidRDefault="00E30CB1" w:rsidP="00E1708F">
      <w:pPr>
        <w:spacing w:line="276" w:lineRule="auto"/>
        <w:ind w:firstLine="567"/>
        <w:rPr>
          <w:rFonts w:ascii="Bookman Old Style" w:hAnsi="Bookman Old Style"/>
        </w:rPr>
      </w:pPr>
    </w:p>
    <w:p w14:paraId="029E69D2" w14:textId="1970F3CE" w:rsidR="00E30CB1" w:rsidRPr="00E1708F" w:rsidRDefault="00E30CB1" w:rsidP="00E1708F">
      <w:pPr>
        <w:pStyle w:val="Prrafodelista"/>
        <w:numPr>
          <w:ilvl w:val="0"/>
          <w:numId w:val="16"/>
        </w:numPr>
        <w:spacing w:line="276" w:lineRule="auto"/>
        <w:rPr>
          <w:rFonts w:ascii="Bookman Old Style" w:hAnsi="Bookman Old Style"/>
        </w:rPr>
      </w:pPr>
      <w:r w:rsidRPr="00E1708F">
        <w:rPr>
          <w:rFonts w:ascii="Bookman Old Style" w:hAnsi="Bookman Old Style"/>
        </w:rPr>
        <w:t>El Sr. José Jesús Salazar falleció el 04-04-1975 (archivo 10, pág. 12)</w:t>
      </w:r>
    </w:p>
    <w:p w14:paraId="032019F0" w14:textId="77777777" w:rsidR="00DC78AA" w:rsidRPr="00E1708F" w:rsidRDefault="00DC78AA" w:rsidP="00E1708F">
      <w:pPr>
        <w:pStyle w:val="Prrafodelista"/>
        <w:spacing w:line="276" w:lineRule="auto"/>
        <w:ind w:left="360" w:firstLine="0"/>
        <w:rPr>
          <w:rFonts w:ascii="Bookman Old Style" w:hAnsi="Bookman Old Style"/>
        </w:rPr>
      </w:pPr>
    </w:p>
    <w:p w14:paraId="5229E3A1" w14:textId="12535CFA" w:rsidR="006B3D13" w:rsidRPr="00E1708F" w:rsidRDefault="006B3D13" w:rsidP="00E1708F">
      <w:pPr>
        <w:pStyle w:val="Prrafodelista"/>
        <w:numPr>
          <w:ilvl w:val="0"/>
          <w:numId w:val="16"/>
        </w:numPr>
        <w:spacing w:line="276" w:lineRule="auto"/>
        <w:rPr>
          <w:rFonts w:ascii="Bookman Old Style" w:hAnsi="Bookman Old Style"/>
        </w:rPr>
      </w:pPr>
      <w:r w:rsidRPr="00E1708F">
        <w:rPr>
          <w:rFonts w:ascii="Bookman Old Style" w:hAnsi="Bookman Old Style"/>
        </w:rPr>
        <w:t xml:space="preserve">Por resolución 7463 del 02-10-1975 el </w:t>
      </w:r>
      <w:proofErr w:type="spellStart"/>
      <w:r w:rsidRPr="00E1708F">
        <w:rPr>
          <w:rFonts w:ascii="Bookman Old Style" w:hAnsi="Bookman Old Style"/>
        </w:rPr>
        <w:t>ISS</w:t>
      </w:r>
      <w:proofErr w:type="spellEnd"/>
      <w:r w:rsidRPr="00E1708F">
        <w:rPr>
          <w:rFonts w:ascii="Bookman Old Style" w:hAnsi="Bookman Old Style"/>
        </w:rPr>
        <w:t xml:space="preserve"> reconoció </w:t>
      </w:r>
      <w:r w:rsidR="00DC78AA" w:rsidRPr="00E1708F">
        <w:rPr>
          <w:rFonts w:ascii="Bookman Old Style" w:hAnsi="Bookman Old Style"/>
        </w:rPr>
        <w:t xml:space="preserve">a partir del 04-04-1975, </w:t>
      </w:r>
      <w:r w:rsidRPr="00E1708F">
        <w:rPr>
          <w:rFonts w:ascii="Bookman Old Style" w:hAnsi="Bookman Old Style"/>
        </w:rPr>
        <w:t xml:space="preserve">la pensión de sobrevivientes a los hijos del causante, José </w:t>
      </w:r>
      <w:proofErr w:type="spellStart"/>
      <w:r w:rsidRPr="00E1708F">
        <w:rPr>
          <w:rFonts w:ascii="Bookman Old Style" w:hAnsi="Bookman Old Style"/>
        </w:rPr>
        <w:t>Jhon</w:t>
      </w:r>
      <w:proofErr w:type="spellEnd"/>
      <w:r w:rsidRPr="00E1708F">
        <w:rPr>
          <w:rFonts w:ascii="Bookman Old Style" w:hAnsi="Bookman Old Style"/>
        </w:rPr>
        <w:t>, Nohora y Elizabeth Salazar García, conforme a la Ley 90 de 1946 y el Acuerdo 161 de 1964</w:t>
      </w:r>
      <w:r w:rsidR="00DC78AA" w:rsidRPr="00E1708F">
        <w:rPr>
          <w:rFonts w:ascii="Bookman Old Style" w:hAnsi="Bookman Old Style"/>
        </w:rPr>
        <w:t>. Dicha prestación era cancelada a la aquí demandante como representante legal de los menores beneficiarios</w:t>
      </w:r>
      <w:r w:rsidRPr="00E1708F">
        <w:rPr>
          <w:rFonts w:ascii="Bookman Old Style" w:hAnsi="Bookman Old Style"/>
        </w:rPr>
        <w:t xml:space="preserve"> (archivo 13, pág. 25)</w:t>
      </w:r>
    </w:p>
    <w:p w14:paraId="0256F2D5" w14:textId="77777777" w:rsidR="00DC78AA" w:rsidRPr="00E1708F" w:rsidRDefault="00DC78AA" w:rsidP="00E1708F">
      <w:pPr>
        <w:pStyle w:val="Prrafodelista"/>
        <w:spacing w:line="276" w:lineRule="auto"/>
        <w:ind w:left="360" w:firstLine="0"/>
        <w:rPr>
          <w:rFonts w:ascii="Bookman Old Style" w:hAnsi="Bookman Old Style"/>
        </w:rPr>
      </w:pPr>
    </w:p>
    <w:p w14:paraId="464D84A6" w14:textId="6F1C080E" w:rsidR="0081136B" w:rsidRPr="00E1708F" w:rsidRDefault="0081136B" w:rsidP="00E1708F">
      <w:pPr>
        <w:pStyle w:val="Prrafodelista"/>
        <w:numPr>
          <w:ilvl w:val="0"/>
          <w:numId w:val="16"/>
        </w:numPr>
        <w:spacing w:line="276" w:lineRule="auto"/>
        <w:rPr>
          <w:rFonts w:ascii="Bookman Old Style" w:hAnsi="Bookman Old Style"/>
        </w:rPr>
      </w:pPr>
      <w:r w:rsidRPr="00E1708F">
        <w:rPr>
          <w:rFonts w:ascii="Bookman Old Style" w:hAnsi="Bookman Old Style"/>
        </w:rPr>
        <w:t xml:space="preserve">La reclamación pensional fue elevada el </w:t>
      </w:r>
      <w:r w:rsidR="00DC78AA" w:rsidRPr="00E1708F">
        <w:rPr>
          <w:rFonts w:ascii="Bookman Old Style" w:hAnsi="Bookman Old Style"/>
        </w:rPr>
        <w:t>30</w:t>
      </w:r>
      <w:r w:rsidRPr="00E1708F">
        <w:rPr>
          <w:rFonts w:ascii="Bookman Old Style" w:hAnsi="Bookman Old Style"/>
        </w:rPr>
        <w:t xml:space="preserve">-06-2017 (archivo </w:t>
      </w:r>
      <w:r w:rsidR="00DC78AA" w:rsidRPr="00E1708F">
        <w:rPr>
          <w:rFonts w:ascii="Bookman Old Style" w:hAnsi="Bookman Old Style"/>
        </w:rPr>
        <w:t>13</w:t>
      </w:r>
      <w:r w:rsidRPr="00E1708F">
        <w:rPr>
          <w:rFonts w:ascii="Bookman Old Style" w:hAnsi="Bookman Old Style"/>
        </w:rPr>
        <w:t xml:space="preserve">, pág. </w:t>
      </w:r>
      <w:r w:rsidR="00DC78AA" w:rsidRPr="00E1708F">
        <w:rPr>
          <w:rFonts w:ascii="Bookman Old Style" w:hAnsi="Bookman Old Style"/>
        </w:rPr>
        <w:t>30</w:t>
      </w:r>
      <w:r w:rsidRPr="00E1708F">
        <w:rPr>
          <w:rFonts w:ascii="Bookman Old Style" w:hAnsi="Bookman Old Style"/>
        </w:rPr>
        <w:t>)</w:t>
      </w:r>
      <w:r w:rsidR="006B3D13" w:rsidRPr="00E1708F">
        <w:rPr>
          <w:rFonts w:ascii="Bookman Old Style" w:hAnsi="Bookman Old Style"/>
        </w:rPr>
        <w:t xml:space="preserve"> y reiterada el 21-03-2019 (archivo 13, pág. 4)</w:t>
      </w:r>
      <w:r w:rsidR="00400665" w:rsidRPr="00E1708F">
        <w:rPr>
          <w:rFonts w:ascii="Bookman Old Style" w:hAnsi="Bookman Old Style"/>
        </w:rPr>
        <w:t>. Con dichas reclamaciones se arrimaron los documentos necesarios para acreditar el derecho (copias de los certificados de nacimiento de los hijos, certificado de defunción del causante, declaraciones extra</w:t>
      </w:r>
      <w:r w:rsidR="00443B26" w:rsidRPr="00E1708F">
        <w:rPr>
          <w:rFonts w:ascii="Bookman Old Style" w:hAnsi="Bookman Old Style"/>
        </w:rPr>
        <w:t>-</w:t>
      </w:r>
      <w:r w:rsidR="00400665" w:rsidRPr="00E1708F">
        <w:rPr>
          <w:rFonts w:ascii="Bookman Old Style" w:hAnsi="Bookman Old Style"/>
        </w:rPr>
        <w:t>proceso)</w:t>
      </w:r>
      <w:r w:rsidR="00794133" w:rsidRPr="00E1708F">
        <w:rPr>
          <w:rFonts w:ascii="Bookman Old Style" w:hAnsi="Bookman Old Style"/>
        </w:rPr>
        <w:t>.</w:t>
      </w:r>
    </w:p>
    <w:p w14:paraId="302661D7" w14:textId="77777777" w:rsidR="00DC78AA" w:rsidRPr="00E1708F" w:rsidRDefault="00DC78AA" w:rsidP="00E1708F">
      <w:pPr>
        <w:spacing w:line="276" w:lineRule="auto"/>
        <w:ind w:firstLine="0"/>
        <w:rPr>
          <w:rFonts w:ascii="Bookman Old Style" w:hAnsi="Bookman Old Style"/>
        </w:rPr>
      </w:pPr>
    </w:p>
    <w:p w14:paraId="1AE4AC36" w14:textId="54C09099" w:rsidR="0081136B" w:rsidRPr="00E1708F" w:rsidRDefault="0081136B" w:rsidP="00E1708F">
      <w:pPr>
        <w:pStyle w:val="Prrafodelista"/>
        <w:numPr>
          <w:ilvl w:val="0"/>
          <w:numId w:val="16"/>
        </w:numPr>
        <w:spacing w:line="276" w:lineRule="auto"/>
        <w:rPr>
          <w:rFonts w:ascii="Bookman Old Style" w:hAnsi="Bookman Old Style"/>
        </w:rPr>
      </w:pPr>
      <w:r w:rsidRPr="00E1708F">
        <w:rPr>
          <w:rFonts w:ascii="Bookman Old Style" w:hAnsi="Bookman Old Style"/>
        </w:rPr>
        <w:t xml:space="preserve">Mediante sentencia del 05-09-2019 proferida por la Sala 4 de asuntos penales para adolescentes de esta Corporación, revocó la sentencia proferida por el juzgado segundo penal del circuito de adolescentes y en su lugar tuteló </w:t>
      </w:r>
      <w:r w:rsidR="00985BE3" w:rsidRPr="00E1708F">
        <w:rPr>
          <w:rFonts w:ascii="Bookman Old Style" w:hAnsi="Bookman Old Style"/>
        </w:rPr>
        <w:t xml:space="preserve">el derecho </w:t>
      </w:r>
      <w:r w:rsidRPr="00E1708F">
        <w:rPr>
          <w:rFonts w:ascii="Bookman Old Style" w:hAnsi="Bookman Old Style"/>
        </w:rPr>
        <w:t>de petición a la demandante (archivo 10, pág. 107)</w:t>
      </w:r>
      <w:r w:rsidR="00FB2C7B" w:rsidRPr="00E1708F">
        <w:rPr>
          <w:rFonts w:ascii="Bookman Old Style" w:hAnsi="Bookman Old Style"/>
        </w:rPr>
        <w:t>.</w:t>
      </w:r>
    </w:p>
    <w:p w14:paraId="36370C54" w14:textId="77777777" w:rsidR="00E577DB" w:rsidRPr="00E1708F" w:rsidRDefault="00E577DB" w:rsidP="00E1708F">
      <w:pPr>
        <w:pStyle w:val="Prrafodelista"/>
        <w:spacing w:line="276" w:lineRule="auto"/>
        <w:ind w:left="360" w:firstLine="0"/>
        <w:rPr>
          <w:rFonts w:ascii="Bookman Old Style" w:hAnsi="Bookman Old Style"/>
        </w:rPr>
      </w:pPr>
    </w:p>
    <w:p w14:paraId="6154F6F9" w14:textId="69287F9F" w:rsidR="00F1106D" w:rsidRPr="00E1708F" w:rsidRDefault="00F1106D" w:rsidP="00E1708F">
      <w:pPr>
        <w:pStyle w:val="Prrafodelista"/>
        <w:numPr>
          <w:ilvl w:val="0"/>
          <w:numId w:val="16"/>
        </w:numPr>
        <w:spacing w:line="276" w:lineRule="auto"/>
        <w:rPr>
          <w:rFonts w:ascii="Bookman Old Style" w:hAnsi="Bookman Old Style"/>
        </w:rPr>
      </w:pPr>
      <w:r w:rsidRPr="00E1708F">
        <w:rPr>
          <w:rFonts w:ascii="Bookman Old Style" w:hAnsi="Bookman Old Style"/>
        </w:rPr>
        <w:t xml:space="preserve">Por </w:t>
      </w:r>
      <w:r w:rsidRPr="00E1708F">
        <w:rPr>
          <w:rFonts w:ascii="Bookman Old Style" w:hAnsi="Bookman Old Style"/>
          <w:b/>
          <w:bCs/>
        </w:rPr>
        <w:t xml:space="preserve">resolución </w:t>
      </w:r>
      <w:proofErr w:type="spellStart"/>
      <w:r w:rsidRPr="00E1708F">
        <w:rPr>
          <w:rFonts w:ascii="Bookman Old Style" w:hAnsi="Bookman Old Style"/>
          <w:b/>
          <w:bCs/>
        </w:rPr>
        <w:t>SUB264263</w:t>
      </w:r>
      <w:proofErr w:type="spellEnd"/>
      <w:r w:rsidRPr="00E1708F">
        <w:rPr>
          <w:rFonts w:ascii="Bookman Old Style" w:hAnsi="Bookman Old Style"/>
          <w:b/>
          <w:bCs/>
        </w:rPr>
        <w:t xml:space="preserve"> del 25 de septiembre de 2019</w:t>
      </w:r>
      <w:r w:rsidRPr="00E1708F">
        <w:rPr>
          <w:rFonts w:ascii="Bookman Old Style" w:hAnsi="Bookman Old Style"/>
        </w:rPr>
        <w:t xml:space="preserve">, Colpensiones reconoció la Pensión de Sobrevivientes, con ocasión del fallecimiento del señor </w:t>
      </w:r>
      <w:r w:rsidR="009309B2" w:rsidRPr="00E1708F">
        <w:rPr>
          <w:rFonts w:ascii="Bookman Old Style" w:hAnsi="Bookman Old Style"/>
        </w:rPr>
        <w:t>José Jesús Salazar</w:t>
      </w:r>
      <w:r w:rsidRPr="00E1708F">
        <w:rPr>
          <w:rFonts w:ascii="Bookman Old Style" w:hAnsi="Bookman Old Style"/>
        </w:rPr>
        <w:t xml:space="preserve">, ocurrido el 4 de abril de 1975, a favor de </w:t>
      </w:r>
      <w:r w:rsidR="009309B2" w:rsidRPr="00E1708F">
        <w:rPr>
          <w:rFonts w:ascii="Bookman Old Style" w:hAnsi="Bookman Old Style"/>
        </w:rPr>
        <w:t>María Del Carmen García Bernal</w:t>
      </w:r>
      <w:r w:rsidRPr="00E1708F">
        <w:rPr>
          <w:rFonts w:ascii="Bookman Old Style" w:hAnsi="Bookman Old Style"/>
        </w:rPr>
        <w:t xml:space="preserve">, en calidad de Cónyuge o Compañera, con un porcentaje del 100%, en una cuantía de $616.000, efectiva a partir del 30 de </w:t>
      </w:r>
      <w:r w:rsidR="00B71E61" w:rsidRPr="00E1708F">
        <w:rPr>
          <w:rFonts w:ascii="Bookman Old Style" w:hAnsi="Bookman Old Style"/>
        </w:rPr>
        <w:t>junio</w:t>
      </w:r>
      <w:r w:rsidRPr="00E1708F">
        <w:rPr>
          <w:rFonts w:ascii="Bookman Old Style" w:hAnsi="Bookman Old Style"/>
        </w:rPr>
        <w:t xml:space="preserve"> de 2014 (archivo 13, pág. 395).</w:t>
      </w:r>
    </w:p>
    <w:p w14:paraId="1443F4B7" w14:textId="0E0FBC64" w:rsidR="00B71E61" w:rsidRPr="00E1708F" w:rsidRDefault="00B71E61" w:rsidP="00E1708F">
      <w:pPr>
        <w:pStyle w:val="Prrafodelista"/>
        <w:spacing w:line="276" w:lineRule="auto"/>
        <w:ind w:left="360" w:firstLine="0"/>
        <w:rPr>
          <w:rFonts w:ascii="Bookman Old Style" w:hAnsi="Bookman Old Style"/>
        </w:rPr>
      </w:pPr>
      <w:r w:rsidRPr="00E1708F">
        <w:rPr>
          <w:rFonts w:ascii="Bookman Old Style" w:hAnsi="Bookman Old Style"/>
          <w:i/>
          <w:iCs/>
        </w:rPr>
        <w:t xml:space="preserve"> </w:t>
      </w:r>
    </w:p>
    <w:p w14:paraId="7EE48247" w14:textId="113B3D10" w:rsidR="00B71E61" w:rsidRPr="00E1708F" w:rsidRDefault="00B71E61" w:rsidP="00E1708F">
      <w:pPr>
        <w:pStyle w:val="Prrafodelista"/>
        <w:numPr>
          <w:ilvl w:val="0"/>
          <w:numId w:val="16"/>
        </w:numPr>
        <w:spacing w:line="276" w:lineRule="auto"/>
        <w:rPr>
          <w:rFonts w:ascii="Bookman Old Style" w:hAnsi="Bookman Old Style"/>
        </w:rPr>
      </w:pPr>
      <w:r w:rsidRPr="00E1708F">
        <w:rPr>
          <w:rFonts w:ascii="Bookman Old Style" w:hAnsi="Bookman Old Style"/>
        </w:rPr>
        <w:t>En la resolución de reconocimiento pensional a la demandante, le fue reconocido un retroactivo por $51.366.46</w:t>
      </w:r>
      <w:r w:rsidR="00C53F27" w:rsidRPr="00E1708F">
        <w:rPr>
          <w:rFonts w:ascii="Bookman Old Style" w:hAnsi="Bookman Old Style"/>
        </w:rPr>
        <w:t>9</w:t>
      </w:r>
      <w:r w:rsidR="00581D15" w:rsidRPr="00E1708F">
        <w:rPr>
          <w:rFonts w:ascii="Bookman Old Style" w:hAnsi="Bookman Old Style"/>
        </w:rPr>
        <w:t>, ingresado en la nómina del periodo 201910 pagadera en el periodo siguiente. Dicho retroactivo fue liquidado,</w:t>
      </w:r>
      <w:r w:rsidRPr="00E1708F">
        <w:rPr>
          <w:rFonts w:ascii="Bookman Old Style" w:hAnsi="Bookman Old Style"/>
        </w:rPr>
        <w:t xml:space="preserve"> </w:t>
      </w:r>
      <w:r w:rsidR="00C53F27" w:rsidRPr="00E1708F">
        <w:rPr>
          <w:rFonts w:ascii="Bookman Old Style" w:hAnsi="Bookman Old Style"/>
        </w:rPr>
        <w:t>así</w:t>
      </w:r>
      <w:r w:rsidRPr="00E1708F">
        <w:rPr>
          <w:rFonts w:ascii="Bookman Old Style" w:hAnsi="Bookman Old Style"/>
        </w:rPr>
        <w:t>:</w:t>
      </w:r>
    </w:p>
    <w:p w14:paraId="5126829E" w14:textId="77777777" w:rsidR="00C53F27" w:rsidRPr="00E1708F" w:rsidRDefault="00C53F27" w:rsidP="00E1708F">
      <w:pPr>
        <w:spacing w:line="276" w:lineRule="auto"/>
        <w:ind w:firstLine="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2120"/>
      </w:tblGrid>
      <w:tr w:rsidR="00B71E61" w:rsidRPr="00E1708F" w14:paraId="6239C88A" w14:textId="77777777" w:rsidTr="000C5601">
        <w:trPr>
          <w:trHeight w:val="250"/>
          <w:jc w:val="center"/>
        </w:trPr>
        <w:tc>
          <w:tcPr>
            <w:tcW w:w="2411" w:type="dxa"/>
            <w:shd w:val="clear" w:color="auto" w:fill="FFFFFF"/>
            <w:vAlign w:val="bottom"/>
          </w:tcPr>
          <w:p w14:paraId="48806715" w14:textId="77777777" w:rsidR="00B71E61" w:rsidRPr="000C5601" w:rsidRDefault="00B71E61" w:rsidP="000C5601">
            <w:pPr>
              <w:spacing w:line="240" w:lineRule="auto"/>
              <w:ind w:firstLine="0"/>
              <w:jc w:val="lef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Mesadas</w:t>
            </w:r>
          </w:p>
        </w:tc>
        <w:tc>
          <w:tcPr>
            <w:tcW w:w="2120" w:type="dxa"/>
            <w:shd w:val="clear" w:color="auto" w:fill="FFFFFF"/>
            <w:vAlign w:val="bottom"/>
          </w:tcPr>
          <w:p w14:paraId="00FF6E5E" w14:textId="77777777" w:rsidR="00B71E61" w:rsidRPr="000C5601" w:rsidRDefault="00B71E61" w:rsidP="000C5601">
            <w:pPr>
              <w:spacing w:line="240" w:lineRule="auto"/>
              <w:ind w:firstLine="0"/>
              <w:jc w:val="righ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$45,402,745.00</w:t>
            </w:r>
          </w:p>
        </w:tc>
      </w:tr>
      <w:tr w:rsidR="00B71E61" w:rsidRPr="00E1708F" w14:paraId="5A140E11" w14:textId="77777777" w:rsidTr="000C5601">
        <w:trPr>
          <w:trHeight w:val="250"/>
          <w:jc w:val="center"/>
        </w:trPr>
        <w:tc>
          <w:tcPr>
            <w:tcW w:w="2411" w:type="dxa"/>
            <w:shd w:val="clear" w:color="auto" w:fill="FFFFFF"/>
            <w:vAlign w:val="bottom"/>
          </w:tcPr>
          <w:p w14:paraId="5DCF3F68" w14:textId="77777777" w:rsidR="00B71E61" w:rsidRPr="000C5601" w:rsidRDefault="00B71E61" w:rsidP="000C5601">
            <w:pPr>
              <w:spacing w:line="240" w:lineRule="auto"/>
              <w:ind w:firstLine="0"/>
              <w:jc w:val="lef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lastRenderedPageBreak/>
              <w:t>Mesadas Adicionales</w:t>
            </w:r>
          </w:p>
        </w:tc>
        <w:tc>
          <w:tcPr>
            <w:tcW w:w="2120" w:type="dxa"/>
            <w:shd w:val="clear" w:color="auto" w:fill="FFFFFF"/>
            <w:vAlign w:val="bottom"/>
          </w:tcPr>
          <w:p w14:paraId="72C065F3" w14:textId="77777777" w:rsidR="00B71E61" w:rsidRPr="000C5601" w:rsidRDefault="00B71E61" w:rsidP="000C5601">
            <w:pPr>
              <w:spacing w:line="240" w:lineRule="auto"/>
              <w:ind w:firstLine="0"/>
              <w:jc w:val="righ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$7,765,644.00</w:t>
            </w:r>
          </w:p>
        </w:tc>
      </w:tr>
      <w:tr w:rsidR="00B71E61" w:rsidRPr="00E1708F" w14:paraId="6A315E96" w14:textId="77777777" w:rsidTr="000C5601">
        <w:trPr>
          <w:trHeight w:val="244"/>
          <w:jc w:val="center"/>
        </w:trPr>
        <w:tc>
          <w:tcPr>
            <w:tcW w:w="2411" w:type="dxa"/>
            <w:shd w:val="clear" w:color="auto" w:fill="FFFFFF"/>
            <w:vAlign w:val="bottom"/>
          </w:tcPr>
          <w:p w14:paraId="5AE727DC" w14:textId="77777777" w:rsidR="00B71E61" w:rsidRPr="000C5601" w:rsidRDefault="00B71E61" w:rsidP="000C5601">
            <w:pPr>
              <w:spacing w:line="240" w:lineRule="auto"/>
              <w:ind w:firstLine="0"/>
              <w:jc w:val="lef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Descuentos en Salud</w:t>
            </w:r>
          </w:p>
        </w:tc>
        <w:tc>
          <w:tcPr>
            <w:tcW w:w="2120" w:type="dxa"/>
            <w:shd w:val="clear" w:color="auto" w:fill="FFFFFF"/>
            <w:vAlign w:val="bottom"/>
          </w:tcPr>
          <w:p w14:paraId="70F10A9F" w14:textId="77777777" w:rsidR="00B71E61" w:rsidRPr="000C5601" w:rsidRDefault="00B71E61" w:rsidP="000C5601">
            <w:pPr>
              <w:spacing w:line="240" w:lineRule="auto"/>
              <w:ind w:firstLine="0"/>
              <w:jc w:val="righ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$5,452,300.00</w:t>
            </w:r>
          </w:p>
        </w:tc>
      </w:tr>
      <w:tr w:rsidR="00B71E61" w:rsidRPr="00E1708F" w14:paraId="274A8408" w14:textId="77777777" w:rsidTr="000C5601">
        <w:trPr>
          <w:trHeight w:val="244"/>
          <w:jc w:val="center"/>
        </w:trPr>
        <w:tc>
          <w:tcPr>
            <w:tcW w:w="2411" w:type="dxa"/>
            <w:shd w:val="clear" w:color="auto" w:fill="FFFFFF"/>
            <w:vAlign w:val="bottom"/>
          </w:tcPr>
          <w:p w14:paraId="52644210" w14:textId="77777777" w:rsidR="00B71E61" w:rsidRPr="000C5601" w:rsidRDefault="00B71E61" w:rsidP="000C5601">
            <w:pPr>
              <w:spacing w:line="240" w:lineRule="auto"/>
              <w:ind w:firstLine="0"/>
              <w:jc w:val="lef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Ajustes en Salud</w:t>
            </w:r>
          </w:p>
        </w:tc>
        <w:tc>
          <w:tcPr>
            <w:tcW w:w="2120" w:type="dxa"/>
            <w:shd w:val="clear" w:color="auto" w:fill="FFFFFF"/>
            <w:vAlign w:val="bottom"/>
          </w:tcPr>
          <w:p w14:paraId="6B473F0B" w14:textId="77777777" w:rsidR="00B71E61" w:rsidRPr="000C5601" w:rsidRDefault="00B71E61" w:rsidP="000C5601">
            <w:pPr>
              <w:spacing w:line="240" w:lineRule="auto"/>
              <w:ind w:firstLine="0"/>
              <w:jc w:val="right"/>
              <w:rPr>
                <w:rFonts w:ascii="Bookman Old Style" w:eastAsia="Times New Roman" w:hAnsi="Bookman Old Style"/>
                <w:color w:val="auto"/>
                <w:kern w:val="0"/>
                <w:sz w:val="22"/>
                <w:lang w:val="es-ES_tradnl" w:eastAsia="es-CO"/>
                <w14:ligatures w14:val="none"/>
              </w:rPr>
            </w:pPr>
            <w:r w:rsidRPr="000C5601">
              <w:rPr>
                <w:rFonts w:ascii="Bookman Old Style" w:eastAsia="Times New Roman" w:hAnsi="Bookman Old Style"/>
                <w:kern w:val="0"/>
                <w:sz w:val="22"/>
                <w:lang w:val="es-ES_tradnl" w:eastAsia="es-ES_tradnl"/>
                <w14:ligatures w14:val="none"/>
              </w:rPr>
              <w:t>$3,650,380.00</w:t>
            </w:r>
          </w:p>
        </w:tc>
      </w:tr>
      <w:tr w:rsidR="00B71E61" w:rsidRPr="00E1708F" w14:paraId="5758A46E" w14:textId="77777777" w:rsidTr="000C5601">
        <w:trPr>
          <w:trHeight w:val="263"/>
          <w:jc w:val="center"/>
        </w:trPr>
        <w:tc>
          <w:tcPr>
            <w:tcW w:w="2411" w:type="dxa"/>
            <w:shd w:val="clear" w:color="auto" w:fill="FFFFFF"/>
            <w:vAlign w:val="bottom"/>
          </w:tcPr>
          <w:p w14:paraId="7959C6A5" w14:textId="77777777" w:rsidR="00B71E61" w:rsidRPr="000C5601" w:rsidRDefault="00B71E61" w:rsidP="000C5601">
            <w:pPr>
              <w:spacing w:line="240" w:lineRule="auto"/>
              <w:ind w:firstLine="0"/>
              <w:jc w:val="left"/>
              <w:rPr>
                <w:rFonts w:ascii="Bookman Old Style" w:eastAsia="Times New Roman" w:hAnsi="Bookman Old Style"/>
                <w:b/>
                <w:color w:val="auto"/>
                <w:kern w:val="0"/>
                <w:sz w:val="22"/>
                <w:lang w:val="es-ES_tradnl" w:eastAsia="es-CO"/>
                <w14:ligatures w14:val="none"/>
              </w:rPr>
            </w:pPr>
            <w:r w:rsidRPr="000C5601">
              <w:rPr>
                <w:rFonts w:ascii="Bookman Old Style" w:eastAsia="Times New Roman" w:hAnsi="Bookman Old Style"/>
                <w:b/>
                <w:kern w:val="0"/>
                <w:sz w:val="22"/>
                <w:lang w:val="es-ES_tradnl" w:eastAsia="es-ES_tradnl"/>
                <w14:ligatures w14:val="none"/>
              </w:rPr>
              <w:t>Valor a Pagar</w:t>
            </w:r>
          </w:p>
        </w:tc>
        <w:tc>
          <w:tcPr>
            <w:tcW w:w="2120" w:type="dxa"/>
            <w:shd w:val="clear" w:color="auto" w:fill="FFFFFF"/>
            <w:vAlign w:val="bottom"/>
          </w:tcPr>
          <w:p w14:paraId="04269617" w14:textId="77777777" w:rsidR="00B71E61" w:rsidRPr="000C5601" w:rsidRDefault="00B71E61" w:rsidP="000C5601">
            <w:pPr>
              <w:spacing w:line="240" w:lineRule="auto"/>
              <w:ind w:firstLine="0"/>
              <w:jc w:val="right"/>
              <w:rPr>
                <w:rFonts w:ascii="Bookman Old Style" w:eastAsia="Times New Roman" w:hAnsi="Bookman Old Style"/>
                <w:b/>
                <w:color w:val="auto"/>
                <w:kern w:val="0"/>
                <w:sz w:val="22"/>
                <w:lang w:val="es-ES_tradnl" w:eastAsia="es-CO"/>
                <w14:ligatures w14:val="none"/>
              </w:rPr>
            </w:pPr>
            <w:r w:rsidRPr="000C5601">
              <w:rPr>
                <w:rFonts w:ascii="Bookman Old Style" w:eastAsia="Times New Roman" w:hAnsi="Bookman Old Style"/>
                <w:b/>
                <w:kern w:val="0"/>
                <w:sz w:val="22"/>
                <w:lang w:val="es-ES_tradnl" w:eastAsia="es-ES_tradnl"/>
                <w14:ligatures w14:val="none"/>
              </w:rPr>
              <w:t>$</w:t>
            </w:r>
            <w:bookmarkStart w:id="1" w:name="_Hlk147282545"/>
            <w:r w:rsidRPr="000C5601">
              <w:rPr>
                <w:rFonts w:ascii="Bookman Old Style" w:eastAsia="Times New Roman" w:hAnsi="Bookman Old Style"/>
                <w:b/>
                <w:kern w:val="0"/>
                <w:sz w:val="22"/>
                <w:lang w:val="es-ES_tradnl" w:eastAsia="es-ES_tradnl"/>
                <w14:ligatures w14:val="none"/>
              </w:rPr>
              <w:t>51,366,469</w:t>
            </w:r>
            <w:bookmarkEnd w:id="1"/>
            <w:r w:rsidRPr="000C5601">
              <w:rPr>
                <w:rFonts w:ascii="Bookman Old Style" w:eastAsia="Times New Roman" w:hAnsi="Bookman Old Style"/>
                <w:b/>
                <w:kern w:val="0"/>
                <w:sz w:val="22"/>
                <w:lang w:val="es-ES_tradnl" w:eastAsia="es-ES_tradnl"/>
                <w14:ligatures w14:val="none"/>
              </w:rPr>
              <w:t>.00</w:t>
            </w:r>
          </w:p>
        </w:tc>
      </w:tr>
    </w:tbl>
    <w:p w14:paraId="2744E8EA" w14:textId="44EB0825" w:rsidR="00B71E61" w:rsidRPr="00E1708F" w:rsidRDefault="00B71E61" w:rsidP="000C5601">
      <w:pPr>
        <w:spacing w:line="276" w:lineRule="auto"/>
        <w:ind w:firstLine="0"/>
        <w:rPr>
          <w:rFonts w:ascii="Bookman Old Style" w:hAnsi="Bookman Old Style"/>
        </w:rPr>
      </w:pPr>
    </w:p>
    <w:p w14:paraId="7260CEC2" w14:textId="75E60DEC" w:rsidR="00895174" w:rsidRPr="00E1708F" w:rsidRDefault="00895174" w:rsidP="00E1708F">
      <w:pPr>
        <w:pStyle w:val="Prrafodelista"/>
        <w:numPr>
          <w:ilvl w:val="0"/>
          <w:numId w:val="16"/>
        </w:numPr>
        <w:spacing w:line="276" w:lineRule="auto"/>
        <w:rPr>
          <w:rFonts w:ascii="Bookman Old Style" w:hAnsi="Bookman Old Style"/>
        </w:rPr>
      </w:pPr>
      <w:r w:rsidRPr="00E1708F">
        <w:rPr>
          <w:rFonts w:ascii="Bookman Old Style" w:hAnsi="Bookman Old Style"/>
        </w:rPr>
        <w:t xml:space="preserve">La Sra. </w:t>
      </w:r>
      <w:r w:rsidR="00217E46" w:rsidRPr="00E1708F">
        <w:rPr>
          <w:rFonts w:ascii="Bookman Old Style" w:hAnsi="Bookman Old Style"/>
        </w:rPr>
        <w:t>García Bernal</w:t>
      </w:r>
      <w:r w:rsidRPr="00E1708F">
        <w:rPr>
          <w:rFonts w:ascii="Bookman Old Style" w:hAnsi="Bookman Old Style"/>
        </w:rPr>
        <w:t xml:space="preserve">, el 28 de noviembre de 2019 con radicado Nro. 2019_16004638, solicitó el pago de los intereses moratorios, siendo </w:t>
      </w:r>
      <w:r w:rsidRPr="00E1708F">
        <w:rPr>
          <w:rFonts w:ascii="Bookman Old Style" w:hAnsi="Bookman Old Style"/>
          <w:bCs/>
        </w:rPr>
        <w:t>negada</w:t>
      </w:r>
      <w:r w:rsidRPr="00E1708F">
        <w:rPr>
          <w:rFonts w:ascii="Bookman Old Style" w:hAnsi="Bookman Old Style"/>
        </w:rPr>
        <w:t xml:space="preserve"> por resolución </w:t>
      </w:r>
      <w:proofErr w:type="spellStart"/>
      <w:r w:rsidRPr="00E1708F">
        <w:rPr>
          <w:rFonts w:ascii="Bookman Old Style" w:hAnsi="Bookman Old Style"/>
        </w:rPr>
        <w:t>SUB3222</w:t>
      </w:r>
      <w:proofErr w:type="spellEnd"/>
      <w:r w:rsidRPr="00E1708F">
        <w:rPr>
          <w:rFonts w:ascii="Bookman Old Style" w:hAnsi="Bookman Old Style"/>
        </w:rPr>
        <w:t xml:space="preserve"> del 09-01-2020 (archivo 13, pág. 389)</w:t>
      </w:r>
    </w:p>
    <w:p w14:paraId="5A80259A" w14:textId="77777777" w:rsidR="003B4490" w:rsidRPr="00E1708F" w:rsidRDefault="003B4490" w:rsidP="00E1708F">
      <w:pPr>
        <w:pStyle w:val="Prrafodelista"/>
        <w:spacing w:line="276" w:lineRule="auto"/>
        <w:rPr>
          <w:rFonts w:ascii="Bookman Old Style" w:hAnsi="Bookman Old Style"/>
        </w:rPr>
      </w:pPr>
    </w:p>
    <w:p w14:paraId="35BE64BB" w14:textId="077DC762" w:rsidR="0081136B" w:rsidRPr="00E1708F" w:rsidRDefault="00C25D88" w:rsidP="00E1708F">
      <w:pPr>
        <w:spacing w:line="276" w:lineRule="auto"/>
        <w:ind w:firstLine="0"/>
        <w:jc w:val="center"/>
        <w:rPr>
          <w:rFonts w:ascii="Bookman Old Style" w:hAnsi="Bookman Old Style"/>
          <w:b/>
          <w:bCs/>
        </w:rPr>
      </w:pPr>
      <w:r w:rsidRPr="00E1708F">
        <w:rPr>
          <w:rFonts w:ascii="Bookman Old Style" w:hAnsi="Bookman Old Style"/>
          <w:b/>
          <w:bCs/>
        </w:rPr>
        <w:t>De los intereses moratorios</w:t>
      </w:r>
    </w:p>
    <w:p w14:paraId="1C9B09BB" w14:textId="77777777" w:rsidR="00443B26" w:rsidRPr="00E1708F" w:rsidRDefault="00443B26" w:rsidP="00E1708F">
      <w:pPr>
        <w:spacing w:line="276" w:lineRule="auto"/>
        <w:ind w:firstLine="567"/>
        <w:rPr>
          <w:rFonts w:ascii="Bookman Old Style" w:hAnsi="Bookman Old Style"/>
        </w:rPr>
      </w:pPr>
    </w:p>
    <w:p w14:paraId="2B0BA844" w14:textId="48DFA084" w:rsidR="00882F81" w:rsidRPr="00E1708F" w:rsidRDefault="00882F81" w:rsidP="00E1708F">
      <w:pPr>
        <w:spacing w:line="276" w:lineRule="auto"/>
        <w:ind w:firstLine="708"/>
        <w:rPr>
          <w:rFonts w:ascii="Bookman Old Style" w:hAnsi="Bookman Old Style"/>
          <w:lang w:eastAsia="es-ES_tradnl"/>
        </w:rPr>
      </w:pPr>
      <w:r w:rsidRPr="00E1708F">
        <w:rPr>
          <w:rFonts w:ascii="Bookman Old Style" w:hAnsi="Bookman Old Style"/>
          <w:bCs/>
        </w:rPr>
        <w:t xml:space="preserve">En relación con los intereses de mora de que trata el artículo 141 de la Ley 100 de 1993, </w:t>
      </w:r>
      <w:r w:rsidR="00C25D88" w:rsidRPr="00E1708F">
        <w:rPr>
          <w:rFonts w:ascii="Bookman Old Style" w:hAnsi="Bookman Old Style"/>
          <w:bCs/>
        </w:rPr>
        <w:t xml:space="preserve">es de rememorar que la Jurisprudencia ha denotado que dicho concepto es de </w:t>
      </w:r>
      <w:r w:rsidRPr="00E1708F">
        <w:rPr>
          <w:rFonts w:ascii="Bookman Old Style" w:hAnsi="Bookman Old Style"/>
          <w:bCs/>
        </w:rPr>
        <w:t xml:space="preserve">naturaleza resarcitoria y no sancionatoria, lo que conlleva la imposibilidad de verificar el comportamiento de la entidad obligada, con el fin de constatar si actuó de buena fe, </w:t>
      </w:r>
      <w:r w:rsidRPr="00E1708F">
        <w:rPr>
          <w:rFonts w:ascii="Bookman Old Style" w:hAnsi="Bookman Old Style"/>
          <w:lang w:eastAsia="es-ES_tradnl"/>
        </w:rPr>
        <w:t>con excepción de algunos casos en los que, jurisprudencialmente, las entidades niegan el derecho pensional o fijan su cuantía fincadas en el ordenamiento legal vigente, o porque finalmente la obligación se concede por la aplicación de reglas jurisprudenciales relativas a la validez o vigencia de algunas normas o cuando existe conflicto entre beneficiarios (</w:t>
      </w:r>
      <w:proofErr w:type="spellStart"/>
      <w:r w:rsidR="00C25D88" w:rsidRPr="00E1708F">
        <w:rPr>
          <w:rFonts w:ascii="Bookman Old Style" w:hAnsi="Bookman Old Style"/>
          <w:lang w:eastAsia="es-ES_tradnl"/>
        </w:rPr>
        <w:t>SL</w:t>
      </w:r>
      <w:r w:rsidRPr="00E1708F">
        <w:rPr>
          <w:rFonts w:ascii="Bookman Old Style" w:hAnsi="Bookman Old Style"/>
          <w:lang w:eastAsia="es-ES_tradnl"/>
        </w:rPr>
        <w:t>2631</w:t>
      </w:r>
      <w:proofErr w:type="spellEnd"/>
      <w:r w:rsidRPr="00E1708F">
        <w:rPr>
          <w:rFonts w:ascii="Bookman Old Style" w:hAnsi="Bookman Old Style"/>
          <w:lang w:eastAsia="es-ES_tradnl"/>
        </w:rPr>
        <w:t>/2022).</w:t>
      </w:r>
    </w:p>
    <w:p w14:paraId="1C311B6C" w14:textId="77777777" w:rsidR="00882F81" w:rsidRPr="00E1708F" w:rsidRDefault="00882F81" w:rsidP="00E1708F">
      <w:pPr>
        <w:spacing w:line="276" w:lineRule="auto"/>
        <w:ind w:firstLine="708"/>
        <w:rPr>
          <w:rFonts w:ascii="Bookman Old Style" w:hAnsi="Bookman Old Style"/>
          <w:lang w:eastAsia="es-ES_tradnl"/>
        </w:rPr>
      </w:pPr>
    </w:p>
    <w:p w14:paraId="22F5BE9A" w14:textId="0E2A4390" w:rsidR="00882F81" w:rsidRPr="00E1708F" w:rsidRDefault="0027514D" w:rsidP="00E1708F">
      <w:pPr>
        <w:spacing w:line="276" w:lineRule="auto"/>
        <w:ind w:firstLine="708"/>
        <w:rPr>
          <w:rFonts w:ascii="Bookman Old Style" w:hAnsi="Bookman Old Style"/>
          <w:lang w:eastAsia="es-ES_tradnl"/>
        </w:rPr>
      </w:pPr>
      <w:r w:rsidRPr="00E1708F">
        <w:rPr>
          <w:rFonts w:ascii="Bookman Old Style" w:hAnsi="Bookman Old Style"/>
          <w:lang w:eastAsia="es-ES_tradnl"/>
        </w:rPr>
        <w:t xml:space="preserve">De otro lado, la Corte en sentencia </w:t>
      </w:r>
      <w:proofErr w:type="spellStart"/>
      <w:r w:rsidR="00882F81" w:rsidRPr="00E1708F">
        <w:rPr>
          <w:rFonts w:ascii="Bookman Old Style" w:hAnsi="Bookman Old Style"/>
          <w:lang w:eastAsia="es-ES_tradnl"/>
        </w:rPr>
        <w:t>SL704</w:t>
      </w:r>
      <w:proofErr w:type="spellEnd"/>
      <w:r w:rsidR="00882F81" w:rsidRPr="00E1708F">
        <w:rPr>
          <w:rFonts w:ascii="Bookman Old Style" w:hAnsi="Bookman Old Style"/>
          <w:lang w:eastAsia="es-ES_tradnl"/>
        </w:rPr>
        <w:t xml:space="preserve">-2013, </w:t>
      </w:r>
      <w:proofErr w:type="spellStart"/>
      <w:r w:rsidR="00882F81" w:rsidRPr="00E1708F">
        <w:rPr>
          <w:rFonts w:ascii="Bookman Old Style" w:hAnsi="Bookman Old Style"/>
          <w:lang w:eastAsia="es-ES_tradnl"/>
        </w:rPr>
        <w:t>SL787</w:t>
      </w:r>
      <w:proofErr w:type="spellEnd"/>
      <w:r w:rsidR="00882F81" w:rsidRPr="00E1708F">
        <w:rPr>
          <w:rFonts w:ascii="Bookman Old Style" w:hAnsi="Bookman Old Style"/>
          <w:lang w:eastAsia="es-ES_tradnl"/>
        </w:rPr>
        <w:t xml:space="preserve">-2013 y </w:t>
      </w:r>
      <w:proofErr w:type="spellStart"/>
      <w:r w:rsidR="00882F81" w:rsidRPr="00E1708F">
        <w:rPr>
          <w:rFonts w:ascii="Bookman Old Style" w:hAnsi="Bookman Old Style"/>
          <w:lang w:eastAsia="es-ES_tradnl"/>
        </w:rPr>
        <w:t>SL70</w:t>
      </w:r>
      <w:proofErr w:type="spellEnd"/>
      <w:r w:rsidR="00882F81" w:rsidRPr="00E1708F">
        <w:rPr>
          <w:rFonts w:ascii="Bookman Old Style" w:hAnsi="Bookman Old Style"/>
          <w:lang w:eastAsia="es-ES_tradnl"/>
        </w:rPr>
        <w:t xml:space="preserve">-2018 ha definido que no procede gravar con intereses moratorios cuando la administradora niegue el derecho con respaldo normativo, aunado a que la negativa no obedeció a una actitud arbitraria o caprichosa sino como consecuencia de la aplicación de las reglas del sistema general de seguridad social que impiden el reconocimiento pensional a quienes no cumplan las exigencias del art. 48 de la </w:t>
      </w:r>
      <w:proofErr w:type="spellStart"/>
      <w:r w:rsidR="00882F81" w:rsidRPr="00E1708F">
        <w:rPr>
          <w:rFonts w:ascii="Bookman Old Style" w:hAnsi="Bookman Old Style"/>
          <w:lang w:eastAsia="es-ES_tradnl"/>
        </w:rPr>
        <w:t>CN</w:t>
      </w:r>
      <w:proofErr w:type="spellEnd"/>
      <w:r w:rsidR="00882F81" w:rsidRPr="00E1708F">
        <w:rPr>
          <w:rFonts w:ascii="Bookman Old Style" w:hAnsi="Bookman Old Style"/>
          <w:lang w:eastAsia="es-ES_tradnl"/>
        </w:rPr>
        <w:t xml:space="preserve"> modificado por el 1 del AL 01 de 2005 (</w:t>
      </w:r>
      <w:proofErr w:type="spellStart"/>
      <w:r w:rsidR="00E577DB" w:rsidRPr="00E1708F">
        <w:rPr>
          <w:rFonts w:ascii="Bookman Old Style" w:hAnsi="Bookman Old Style"/>
          <w:lang w:eastAsia="es-ES_tradnl"/>
        </w:rPr>
        <w:t>SL</w:t>
      </w:r>
      <w:r w:rsidR="00882F81" w:rsidRPr="00E1708F">
        <w:rPr>
          <w:rFonts w:ascii="Bookman Old Style" w:hAnsi="Bookman Old Style"/>
          <w:lang w:eastAsia="es-ES_tradnl"/>
        </w:rPr>
        <w:t>2597</w:t>
      </w:r>
      <w:proofErr w:type="spellEnd"/>
      <w:r w:rsidR="00882F81" w:rsidRPr="00E1708F">
        <w:rPr>
          <w:rFonts w:ascii="Bookman Old Style" w:hAnsi="Bookman Old Style"/>
          <w:lang w:eastAsia="es-ES_tradnl"/>
        </w:rPr>
        <w:t>/2022).</w:t>
      </w:r>
    </w:p>
    <w:p w14:paraId="674659A3" w14:textId="77777777" w:rsidR="00E577DB" w:rsidRPr="00E1708F" w:rsidRDefault="00E577DB" w:rsidP="00E1708F">
      <w:pPr>
        <w:spacing w:line="276" w:lineRule="auto"/>
        <w:ind w:firstLine="708"/>
        <w:rPr>
          <w:rFonts w:ascii="Bookman Old Style" w:hAnsi="Bookman Old Style"/>
          <w:lang w:eastAsia="es-ES_tradnl"/>
        </w:rPr>
      </w:pPr>
    </w:p>
    <w:p w14:paraId="5CD9FC89" w14:textId="67B8EC47" w:rsidR="00E577DB" w:rsidRPr="00E1708F" w:rsidRDefault="00E577DB" w:rsidP="00E1708F">
      <w:pPr>
        <w:spacing w:line="276" w:lineRule="auto"/>
        <w:ind w:firstLine="708"/>
        <w:rPr>
          <w:rFonts w:ascii="Bookman Old Style" w:hAnsi="Bookman Old Style"/>
        </w:rPr>
      </w:pPr>
      <w:r w:rsidRPr="00E1708F">
        <w:rPr>
          <w:rFonts w:ascii="Bookman Old Style" w:hAnsi="Bookman Old Style"/>
          <w:lang w:eastAsia="es-ES_tradnl"/>
        </w:rPr>
        <w:t xml:space="preserve">Aplicando lo anterior al caso, aunque es notorio que Colpensiones incurrió en mora en el reconocimiento y pago de la pensión a pesar de que la demandante acreditaba el derecho, al ser la prestación edificada </w:t>
      </w:r>
      <w:r w:rsidRPr="00E1708F">
        <w:rPr>
          <w:rFonts w:ascii="Bookman Old Style" w:hAnsi="Bookman Old Style"/>
        </w:rPr>
        <w:t>conforme la Ley 90 de 1946 y el Acuerdo 161 de 1964, es decir, basada en una norma anterior a la Ley 100 de 1993 que dispuso los intereses moratorios como medida resarcitoria, no le es aplicable el articulo 141 citado.</w:t>
      </w:r>
    </w:p>
    <w:p w14:paraId="7A0A8920" w14:textId="77777777" w:rsidR="00E577DB" w:rsidRPr="00E1708F" w:rsidRDefault="00E577DB" w:rsidP="00E1708F">
      <w:pPr>
        <w:spacing w:line="276" w:lineRule="auto"/>
        <w:ind w:firstLine="708"/>
        <w:rPr>
          <w:rFonts w:ascii="Bookman Old Style" w:hAnsi="Bookman Old Style"/>
        </w:rPr>
      </w:pPr>
    </w:p>
    <w:p w14:paraId="78D98A69" w14:textId="010ADFAA" w:rsidR="00E577DB" w:rsidRPr="00E1708F" w:rsidRDefault="00E577DB" w:rsidP="00E1708F">
      <w:pPr>
        <w:spacing w:line="276" w:lineRule="auto"/>
        <w:ind w:firstLine="708"/>
        <w:rPr>
          <w:rFonts w:ascii="Bookman Old Style" w:hAnsi="Bookman Old Style"/>
        </w:rPr>
      </w:pPr>
      <w:r w:rsidRPr="00E1708F">
        <w:rPr>
          <w:rFonts w:ascii="Bookman Old Style" w:hAnsi="Bookman Old Style"/>
        </w:rPr>
        <w:t xml:space="preserve">Lo dicho, encuentra su sustento entre otras, en la sentencia </w:t>
      </w:r>
      <w:proofErr w:type="spellStart"/>
      <w:r w:rsidRPr="00E1708F">
        <w:rPr>
          <w:rFonts w:ascii="Bookman Old Style" w:hAnsi="Bookman Old Style"/>
        </w:rPr>
        <w:t>SL4536</w:t>
      </w:r>
      <w:proofErr w:type="spellEnd"/>
      <w:r w:rsidRPr="00E1708F">
        <w:rPr>
          <w:rFonts w:ascii="Bookman Old Style" w:hAnsi="Bookman Old Style"/>
        </w:rPr>
        <w:t>-2020, providencia donde la Corte frente a una pensión de sobrevivientes regida por el artículo 55 de la Ley 90 de 1946, negó los citados intereses moratorios y frente a ello dijo:</w:t>
      </w:r>
    </w:p>
    <w:p w14:paraId="4C9FE0AB" w14:textId="77777777" w:rsidR="00E577DB" w:rsidRPr="00E1708F" w:rsidRDefault="00E577DB" w:rsidP="00E1708F">
      <w:pPr>
        <w:spacing w:line="276" w:lineRule="auto"/>
        <w:ind w:firstLine="0"/>
        <w:rPr>
          <w:rFonts w:ascii="Bookman Old Style" w:hAnsi="Bookman Old Style"/>
        </w:rPr>
      </w:pPr>
    </w:p>
    <w:p w14:paraId="6D27A567" w14:textId="1886C966" w:rsidR="00E577DB" w:rsidRPr="000C5601" w:rsidRDefault="00E577DB" w:rsidP="000C5601">
      <w:pPr>
        <w:spacing w:line="240" w:lineRule="auto"/>
        <w:ind w:left="426" w:right="420" w:firstLine="0"/>
        <w:rPr>
          <w:rFonts w:ascii="Bookman Old Style" w:hAnsi="Bookman Old Style"/>
          <w:sz w:val="22"/>
        </w:rPr>
      </w:pPr>
      <w:r w:rsidRPr="000C5601">
        <w:rPr>
          <w:rFonts w:ascii="Bookman Old Style" w:hAnsi="Bookman Old Style"/>
          <w:sz w:val="22"/>
        </w:rPr>
        <w:t>“</w:t>
      </w:r>
      <w:r w:rsidR="004F6731" w:rsidRPr="000C5601">
        <w:rPr>
          <w:rFonts w:ascii="Bookman Old Style" w:hAnsi="Bookman Old Style"/>
          <w:sz w:val="22"/>
        </w:rPr>
        <w:t>…</w:t>
      </w:r>
      <w:r w:rsidR="000C5601" w:rsidRPr="000C5601">
        <w:rPr>
          <w:rFonts w:ascii="Bookman Old Style" w:hAnsi="Bookman Old Style"/>
          <w:sz w:val="22"/>
        </w:rPr>
        <w:t xml:space="preserve"> </w:t>
      </w:r>
      <w:r w:rsidRPr="000C5601">
        <w:rPr>
          <w:rFonts w:ascii="Bookman Old Style" w:hAnsi="Bookman Old Style"/>
          <w:sz w:val="22"/>
        </w:rPr>
        <w:t xml:space="preserve">Se revocarán los intereses moratorios dispuestos por el juzgador de la instancia inicial, en la medida en que el reconocimiento pensional que por esta providencia se confirma, se hace con apoyo en un ordenamiento que como la Ley 90 de 1946, no quedó incluido como generador de la </w:t>
      </w:r>
      <w:r w:rsidRPr="000C5601">
        <w:rPr>
          <w:rFonts w:ascii="Bookman Old Style" w:hAnsi="Bookman Old Style"/>
          <w:sz w:val="22"/>
        </w:rPr>
        <w:lastRenderedPageBreak/>
        <w:t xml:space="preserve">imposición de tal modalidad resarcitoria, y fue reconocida antes de la vigencia de la Ley 100 de 1993, según los términos de la sentencia CSJ </w:t>
      </w:r>
      <w:proofErr w:type="spellStart"/>
      <w:r w:rsidRPr="000C5601">
        <w:rPr>
          <w:rFonts w:ascii="Bookman Old Style" w:hAnsi="Bookman Old Style"/>
          <w:sz w:val="22"/>
        </w:rPr>
        <w:t>SL1681</w:t>
      </w:r>
      <w:proofErr w:type="spellEnd"/>
      <w:r w:rsidRPr="000C5601">
        <w:rPr>
          <w:rFonts w:ascii="Bookman Old Style" w:hAnsi="Bookman Old Style"/>
          <w:sz w:val="22"/>
        </w:rPr>
        <w:t>-2020</w:t>
      </w:r>
      <w:r w:rsidR="00903B33">
        <w:rPr>
          <w:rFonts w:ascii="Bookman Old Style" w:hAnsi="Bookman Old Style"/>
          <w:sz w:val="22"/>
        </w:rPr>
        <w:t>”</w:t>
      </w:r>
      <w:r w:rsidRPr="000C5601">
        <w:rPr>
          <w:rFonts w:ascii="Bookman Old Style" w:hAnsi="Bookman Old Style"/>
          <w:sz w:val="22"/>
        </w:rPr>
        <w:t>.</w:t>
      </w:r>
    </w:p>
    <w:p w14:paraId="560AD748" w14:textId="77777777" w:rsidR="00E577DB" w:rsidRPr="00E1708F" w:rsidRDefault="00E577DB" w:rsidP="00E1708F">
      <w:pPr>
        <w:spacing w:line="276" w:lineRule="auto"/>
        <w:ind w:firstLine="0"/>
        <w:rPr>
          <w:rFonts w:ascii="Bookman Old Style" w:hAnsi="Bookman Old Style"/>
        </w:rPr>
      </w:pPr>
    </w:p>
    <w:p w14:paraId="1E8319C9" w14:textId="18FD3D3F" w:rsidR="006B75B5" w:rsidRPr="00E1708F" w:rsidRDefault="006B75B5" w:rsidP="00E1708F">
      <w:pPr>
        <w:spacing w:line="276" w:lineRule="auto"/>
        <w:ind w:firstLine="708"/>
        <w:rPr>
          <w:rFonts w:ascii="Bookman Old Style" w:hAnsi="Bookman Old Style"/>
        </w:rPr>
      </w:pPr>
      <w:r w:rsidRPr="00E1708F">
        <w:rPr>
          <w:rFonts w:ascii="Bookman Old Style" w:hAnsi="Bookman Old Style"/>
        </w:rPr>
        <w:t xml:space="preserve">Y, posteriormente en la </w:t>
      </w:r>
      <w:proofErr w:type="spellStart"/>
      <w:r w:rsidRPr="00E1708F">
        <w:rPr>
          <w:rFonts w:ascii="Bookman Old Style" w:hAnsi="Bookman Old Style"/>
        </w:rPr>
        <w:t>SL4651</w:t>
      </w:r>
      <w:proofErr w:type="spellEnd"/>
      <w:r w:rsidRPr="00E1708F">
        <w:rPr>
          <w:rFonts w:ascii="Bookman Old Style" w:hAnsi="Bookman Old Style"/>
        </w:rPr>
        <w:t>/2020, refirió:</w:t>
      </w:r>
    </w:p>
    <w:p w14:paraId="268109AA" w14:textId="77777777" w:rsidR="006B75B5" w:rsidRPr="00E1708F" w:rsidRDefault="006B75B5" w:rsidP="00E1708F">
      <w:pPr>
        <w:spacing w:line="276" w:lineRule="auto"/>
        <w:ind w:firstLine="0"/>
        <w:rPr>
          <w:rFonts w:ascii="Bookman Old Style" w:hAnsi="Bookman Old Style"/>
          <w:lang w:val="es-ES"/>
        </w:rPr>
      </w:pPr>
    </w:p>
    <w:p w14:paraId="3F5C89D6" w14:textId="77777777" w:rsidR="006B75B5" w:rsidRPr="000C5601" w:rsidRDefault="006B75B5" w:rsidP="000C5601">
      <w:pPr>
        <w:spacing w:line="240" w:lineRule="auto"/>
        <w:ind w:left="426" w:right="420" w:firstLine="0"/>
        <w:rPr>
          <w:rFonts w:ascii="Bookman Old Style" w:hAnsi="Bookman Old Style"/>
          <w:sz w:val="22"/>
        </w:rPr>
      </w:pPr>
      <w:r w:rsidRPr="000C5601">
        <w:rPr>
          <w:rFonts w:ascii="Bookman Old Style" w:hAnsi="Bookman Old Style"/>
          <w:sz w:val="22"/>
        </w:rPr>
        <w:t>“En lo que hace a los intereses moratorios, aquellos resultan improcedentes toda vez que la prestación reconocida tiene su origen en el Acuerdo 224 de 1966 con sus reformas, y la figura pretendida aparece solamente con la expedición de la Ley 100 de 1993; por ello se absolverá de esta pretensión.</w:t>
      </w:r>
    </w:p>
    <w:p w14:paraId="5C20B0BB" w14:textId="77777777" w:rsidR="006B75B5" w:rsidRPr="00903B33" w:rsidRDefault="006B75B5" w:rsidP="00903B33">
      <w:pPr>
        <w:spacing w:line="240" w:lineRule="auto"/>
        <w:ind w:left="426" w:right="420" w:firstLine="0"/>
        <w:rPr>
          <w:rFonts w:ascii="Bookman Old Style" w:hAnsi="Bookman Old Style"/>
          <w:sz w:val="22"/>
        </w:rPr>
      </w:pPr>
    </w:p>
    <w:p w14:paraId="6D28D58A"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A propósito, esta Corte, en sentencia CSJ </w:t>
      </w:r>
      <w:proofErr w:type="spellStart"/>
      <w:r w:rsidRPr="00903B33">
        <w:rPr>
          <w:rFonts w:ascii="Bookman Old Style" w:hAnsi="Bookman Old Style"/>
          <w:sz w:val="22"/>
        </w:rPr>
        <w:t>SL3736</w:t>
      </w:r>
      <w:proofErr w:type="spellEnd"/>
      <w:r w:rsidRPr="00903B33">
        <w:rPr>
          <w:rFonts w:ascii="Bookman Old Style" w:hAnsi="Bookman Old Style"/>
          <w:sz w:val="22"/>
        </w:rPr>
        <w:t>-2019, explicó:</w:t>
      </w:r>
    </w:p>
    <w:p w14:paraId="529506A5"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 </w:t>
      </w:r>
    </w:p>
    <w:p w14:paraId="3A2CB6FE"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Sobre el punto, cabe destacar que las normas de derecho del trabajo y de la seguridad social rigen hacia futuro y tienen efecto general inmediato y se dispone expresamente la prohibición de retroactividad frente a situaciones que ya se consolidaron en el pasado o que se consumaron anteriormente, ello en aras de procurar seguridad jurídica y estabilidad de las relaciones entre los diversos actores del mundo del trabajo y del sistema de seguridad social.</w:t>
      </w:r>
    </w:p>
    <w:p w14:paraId="6074F9F3"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 </w:t>
      </w:r>
    </w:p>
    <w:p w14:paraId="02A5CAA7"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El artículo 16 del </w:t>
      </w:r>
      <w:proofErr w:type="spellStart"/>
      <w:r w:rsidRPr="00903B33">
        <w:rPr>
          <w:rFonts w:ascii="Bookman Old Style" w:hAnsi="Bookman Old Style"/>
          <w:sz w:val="22"/>
        </w:rPr>
        <w:t>C.S.T</w:t>
      </w:r>
      <w:proofErr w:type="spellEnd"/>
      <w:r w:rsidRPr="00903B33">
        <w:rPr>
          <w:rFonts w:ascii="Bookman Old Style" w:hAnsi="Bookman Old Style"/>
          <w:sz w:val="22"/>
        </w:rPr>
        <w:t>. dispone que:</w:t>
      </w:r>
    </w:p>
    <w:p w14:paraId="2D5C274F"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 </w:t>
      </w:r>
    </w:p>
    <w:p w14:paraId="435CD5D9"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“1. Las normas sobre trabajo, por ser de orden público, producen efecto general inmediato, por lo cual se aplican también a los contratos de trabajo que estén vigentes o en curso en el momento en que dichas normas empiecen a regir, pero no tiene efecto retroactivo, esto es, no afectan situaciones definidas o consumadas conforme a las leyes anteriores”.</w:t>
      </w:r>
    </w:p>
    <w:p w14:paraId="5B84AFA3" w14:textId="77777777"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 xml:space="preserve"> </w:t>
      </w:r>
    </w:p>
    <w:p w14:paraId="0C52D6D6" w14:textId="267FF7B0" w:rsidR="006B75B5" w:rsidRPr="00903B33" w:rsidRDefault="006B75B5" w:rsidP="00903B33">
      <w:pPr>
        <w:spacing w:line="240" w:lineRule="auto"/>
        <w:ind w:left="426" w:right="420" w:firstLine="0"/>
        <w:rPr>
          <w:rFonts w:ascii="Bookman Old Style" w:hAnsi="Bookman Old Style"/>
          <w:sz w:val="22"/>
        </w:rPr>
      </w:pPr>
      <w:r w:rsidRPr="00903B33">
        <w:rPr>
          <w:rFonts w:ascii="Bookman Old Style" w:hAnsi="Bookman Old Style"/>
          <w:sz w:val="22"/>
        </w:rPr>
        <w:t>De esta manera no le asiste razón a la censura al pretender la aplicación retroactiva del artículo 141 de la Ley 100 de 1993 frente a una pensión causada con anterioridad a la vigencia de esta normatividad”.</w:t>
      </w:r>
    </w:p>
    <w:p w14:paraId="45AEDF3E" w14:textId="77777777" w:rsidR="006B75B5" w:rsidRPr="00E1708F" w:rsidRDefault="006B75B5" w:rsidP="00E1708F">
      <w:pPr>
        <w:spacing w:line="276" w:lineRule="auto"/>
        <w:ind w:firstLine="708"/>
        <w:rPr>
          <w:rFonts w:ascii="Bookman Old Style" w:hAnsi="Bookman Old Style"/>
        </w:rPr>
      </w:pPr>
    </w:p>
    <w:p w14:paraId="1BBB7001" w14:textId="6BFB1EE1" w:rsidR="00443B26" w:rsidRPr="00E1708F" w:rsidRDefault="00E44BE8" w:rsidP="00E1708F">
      <w:pPr>
        <w:spacing w:line="276" w:lineRule="auto"/>
        <w:ind w:firstLine="708"/>
        <w:rPr>
          <w:rFonts w:ascii="Bookman Old Style" w:hAnsi="Bookman Old Style"/>
        </w:rPr>
      </w:pPr>
      <w:r w:rsidRPr="00E1708F">
        <w:rPr>
          <w:rFonts w:ascii="Bookman Old Style" w:hAnsi="Bookman Old Style"/>
        </w:rPr>
        <w:t xml:space="preserve">Como puede notarse, si bien la sentencia </w:t>
      </w:r>
      <w:proofErr w:type="spellStart"/>
      <w:r w:rsidR="00443B26" w:rsidRPr="00E1708F">
        <w:rPr>
          <w:rFonts w:ascii="Bookman Old Style" w:hAnsi="Bookman Old Style"/>
        </w:rPr>
        <w:t>SL1681</w:t>
      </w:r>
      <w:proofErr w:type="spellEnd"/>
      <w:r w:rsidR="00443B26" w:rsidRPr="00E1708F">
        <w:rPr>
          <w:rFonts w:ascii="Bookman Old Style" w:hAnsi="Bookman Old Style"/>
        </w:rPr>
        <w:t>-2020</w:t>
      </w:r>
      <w:r w:rsidRPr="00E1708F">
        <w:rPr>
          <w:rFonts w:ascii="Bookman Old Style" w:hAnsi="Bookman Old Style"/>
        </w:rPr>
        <w:t xml:space="preserve"> modificó la posición que de antaño venía aplicando la Corte en torno a la aplicación de los intereses moratorios en pensiones reconocidas con fundamento en regímenes anteriores, lo cierto es que </w:t>
      </w:r>
      <w:r w:rsidR="00AD15D4" w:rsidRPr="00E1708F">
        <w:rPr>
          <w:rFonts w:ascii="Bookman Old Style" w:hAnsi="Bookman Old Style"/>
        </w:rPr>
        <w:t>ello lo es</w:t>
      </w:r>
      <w:r w:rsidR="00817666" w:rsidRPr="00E1708F">
        <w:rPr>
          <w:rFonts w:ascii="Bookman Old Style" w:hAnsi="Bookman Old Style"/>
        </w:rPr>
        <w:t>,</w:t>
      </w:r>
      <w:r w:rsidR="00AD15D4" w:rsidRPr="00E1708F">
        <w:rPr>
          <w:rFonts w:ascii="Bookman Old Style" w:hAnsi="Bookman Old Style"/>
        </w:rPr>
        <w:t xml:space="preserve"> </w:t>
      </w:r>
      <w:r w:rsidR="00817666" w:rsidRPr="00E1708F">
        <w:rPr>
          <w:rFonts w:ascii="Bookman Old Style" w:hAnsi="Bookman Old Style"/>
        </w:rPr>
        <w:t xml:space="preserve">cuando </w:t>
      </w:r>
      <w:r w:rsidR="00AD15D4" w:rsidRPr="00E1708F">
        <w:rPr>
          <w:rFonts w:ascii="Bookman Old Style" w:hAnsi="Bookman Old Style"/>
        </w:rPr>
        <w:t xml:space="preserve">es por </w:t>
      </w:r>
      <w:r w:rsidRPr="00E1708F">
        <w:rPr>
          <w:rFonts w:ascii="Bookman Old Style" w:hAnsi="Bookman Old Style"/>
        </w:rPr>
        <w:t>aplicación del régimen de transición, lo cual no es el caso.</w:t>
      </w:r>
    </w:p>
    <w:p w14:paraId="6A2F25C6" w14:textId="77777777" w:rsidR="00443B26" w:rsidRPr="00E1708F" w:rsidRDefault="00443B26" w:rsidP="00E1708F">
      <w:pPr>
        <w:spacing w:line="276" w:lineRule="auto"/>
        <w:ind w:firstLine="0"/>
        <w:rPr>
          <w:rFonts w:ascii="Bookman Old Style" w:hAnsi="Bookman Old Style"/>
        </w:rPr>
      </w:pPr>
    </w:p>
    <w:p w14:paraId="7BDA18BC" w14:textId="7102C372" w:rsidR="00EE410E" w:rsidRPr="00E1708F" w:rsidRDefault="003D44A2" w:rsidP="00E1708F">
      <w:pPr>
        <w:spacing w:line="276" w:lineRule="auto"/>
        <w:ind w:firstLine="0"/>
        <w:jc w:val="center"/>
        <w:rPr>
          <w:rFonts w:ascii="Bookman Old Style" w:hAnsi="Bookman Old Style"/>
          <w:b/>
          <w:bCs/>
        </w:rPr>
      </w:pPr>
      <w:r w:rsidRPr="00E1708F">
        <w:rPr>
          <w:rFonts w:ascii="Bookman Old Style" w:hAnsi="Bookman Old Style"/>
          <w:b/>
          <w:bCs/>
        </w:rPr>
        <w:t>De la indexación</w:t>
      </w:r>
    </w:p>
    <w:p w14:paraId="3FCB51A9" w14:textId="77777777" w:rsidR="00EE410E" w:rsidRPr="00E1708F" w:rsidRDefault="00EE410E" w:rsidP="00E1708F">
      <w:pPr>
        <w:spacing w:line="276" w:lineRule="auto"/>
        <w:ind w:firstLine="0"/>
        <w:rPr>
          <w:rFonts w:ascii="Bookman Old Style" w:hAnsi="Bookman Old Style"/>
        </w:rPr>
      </w:pPr>
    </w:p>
    <w:p w14:paraId="103B8DD3" w14:textId="77777777" w:rsidR="00054B34" w:rsidRPr="00E1708F" w:rsidRDefault="00DB667A" w:rsidP="00E1708F">
      <w:pPr>
        <w:spacing w:line="276" w:lineRule="auto"/>
        <w:ind w:firstLine="708"/>
        <w:rPr>
          <w:rFonts w:ascii="Bookman Old Style" w:hAnsi="Bookman Old Style"/>
        </w:rPr>
      </w:pPr>
      <w:r w:rsidRPr="00E1708F">
        <w:rPr>
          <w:rFonts w:ascii="Bookman Old Style" w:hAnsi="Bookman Old Style"/>
        </w:rPr>
        <w:t xml:space="preserve">Al respecto, cuenta memorar que a partir de la </w:t>
      </w:r>
      <w:r w:rsidR="00564DE2" w:rsidRPr="00E1708F">
        <w:rPr>
          <w:rFonts w:ascii="Bookman Old Style" w:hAnsi="Bookman Old Style"/>
        </w:rPr>
        <w:t xml:space="preserve">sentencia </w:t>
      </w:r>
      <w:proofErr w:type="spellStart"/>
      <w:r w:rsidR="00564DE2" w:rsidRPr="00E1708F">
        <w:rPr>
          <w:rFonts w:ascii="Bookman Old Style" w:hAnsi="Bookman Old Style"/>
        </w:rPr>
        <w:t>SL359</w:t>
      </w:r>
      <w:proofErr w:type="spellEnd"/>
      <w:r w:rsidR="00564DE2" w:rsidRPr="00E1708F">
        <w:rPr>
          <w:rFonts w:ascii="Bookman Old Style" w:hAnsi="Bookman Old Style"/>
        </w:rPr>
        <w:t xml:space="preserve">-2021, </w:t>
      </w:r>
      <w:r w:rsidRPr="00E1708F">
        <w:rPr>
          <w:rFonts w:ascii="Bookman Old Style" w:hAnsi="Bookman Old Style"/>
        </w:rPr>
        <w:t xml:space="preserve">procede la indexación del </w:t>
      </w:r>
      <w:r w:rsidR="00564DE2" w:rsidRPr="00E1708F">
        <w:rPr>
          <w:rFonts w:ascii="Bookman Old Style" w:hAnsi="Bookman Old Style"/>
        </w:rPr>
        <w:t xml:space="preserve">retroactivo </w:t>
      </w:r>
      <w:r w:rsidRPr="00E1708F">
        <w:rPr>
          <w:rFonts w:ascii="Bookman Old Style" w:hAnsi="Bookman Old Style"/>
        </w:rPr>
        <w:t>adeudado</w:t>
      </w:r>
      <w:r w:rsidR="00564DE2" w:rsidRPr="00E1708F">
        <w:rPr>
          <w:rFonts w:ascii="Bookman Old Style" w:hAnsi="Bookman Old Style"/>
        </w:rPr>
        <w:t xml:space="preserve">, dada la pérdida de poder adquisitivo de la moneda y el </w:t>
      </w:r>
      <w:r w:rsidR="00564DE2" w:rsidRPr="00E1708F">
        <w:rPr>
          <w:rFonts w:ascii="Bookman Old Style" w:hAnsi="Bookman Old Style"/>
          <w:b/>
          <w:bCs/>
        </w:rPr>
        <w:t>derecho de la demandante a recibir el valor real de lo debido</w:t>
      </w:r>
      <w:r w:rsidR="00564DE2" w:rsidRPr="00E1708F">
        <w:rPr>
          <w:rFonts w:ascii="Bookman Old Style" w:hAnsi="Bookman Old Style"/>
        </w:rPr>
        <w:t xml:space="preserve">, </w:t>
      </w:r>
      <w:r w:rsidRPr="00E1708F">
        <w:rPr>
          <w:rFonts w:ascii="Bookman Old Style" w:hAnsi="Bookman Old Style"/>
        </w:rPr>
        <w:t xml:space="preserve">ajuste que procede así no haga </w:t>
      </w:r>
      <w:r w:rsidR="00564DE2" w:rsidRPr="00E1708F">
        <w:rPr>
          <w:rFonts w:ascii="Bookman Old Style" w:hAnsi="Bookman Old Style"/>
        </w:rPr>
        <w:t xml:space="preserve">parte de las pretensiones, </w:t>
      </w:r>
      <w:r w:rsidRPr="00E1708F">
        <w:rPr>
          <w:rFonts w:ascii="Bookman Old Style" w:hAnsi="Bookman Old Style"/>
        </w:rPr>
        <w:t xml:space="preserve">en tanto que se plantea su viabilidad atendiendo a que </w:t>
      </w:r>
      <w:r w:rsidR="00564DE2" w:rsidRPr="00E1708F">
        <w:rPr>
          <w:rFonts w:ascii="Bookman Old Style" w:hAnsi="Bookman Old Style"/>
        </w:rPr>
        <w:t>no comporta una condena adicional</w:t>
      </w:r>
      <w:r w:rsidR="00054B34" w:rsidRPr="00E1708F">
        <w:rPr>
          <w:rFonts w:ascii="Bookman Old Style" w:hAnsi="Bookman Old Style"/>
        </w:rPr>
        <w:t xml:space="preserve">, en tanto que lo que busca es </w:t>
      </w:r>
      <w:r w:rsidR="00054B34" w:rsidRPr="00E1708F">
        <w:rPr>
          <w:rFonts w:ascii="Bookman Old Style" w:hAnsi="Bookman Old Style"/>
          <w:b/>
          <w:bCs/>
        </w:rPr>
        <w:t>garantizar es el pago completo e íntegro de la prestación cuando el transcurso del tiempo la devalúa</w:t>
      </w:r>
      <w:r w:rsidR="00054B34" w:rsidRPr="00E1708F">
        <w:rPr>
          <w:rFonts w:ascii="Bookman Old Style" w:hAnsi="Bookman Old Style"/>
        </w:rPr>
        <w:t xml:space="preserve">. </w:t>
      </w:r>
    </w:p>
    <w:p w14:paraId="7871544D" w14:textId="77777777" w:rsidR="00054B34" w:rsidRPr="00E1708F" w:rsidRDefault="00054B34" w:rsidP="00E1708F">
      <w:pPr>
        <w:spacing w:line="276" w:lineRule="auto"/>
        <w:ind w:firstLine="708"/>
        <w:rPr>
          <w:rFonts w:ascii="Bookman Old Style" w:hAnsi="Bookman Old Style"/>
        </w:rPr>
      </w:pPr>
    </w:p>
    <w:p w14:paraId="2146ABE1" w14:textId="5BF246EB" w:rsidR="00054B34" w:rsidRPr="00E1708F" w:rsidRDefault="00054B34" w:rsidP="00E1708F">
      <w:pPr>
        <w:spacing w:line="276" w:lineRule="auto"/>
        <w:ind w:firstLine="708"/>
        <w:rPr>
          <w:rFonts w:ascii="Bookman Old Style" w:hAnsi="Bookman Old Style"/>
        </w:rPr>
      </w:pPr>
      <w:r w:rsidRPr="00E1708F">
        <w:rPr>
          <w:rFonts w:ascii="Bookman Old Style" w:hAnsi="Bookman Old Style"/>
        </w:rPr>
        <w:t xml:space="preserve">Además, la indexación se erige como una garantía constitucional, según el artículo 53, que se materializa en el </w:t>
      </w:r>
      <w:r w:rsidRPr="00E1708F">
        <w:rPr>
          <w:rFonts w:ascii="Bookman Old Style" w:hAnsi="Bookman Old Style"/>
          <w:b/>
          <w:bCs/>
        </w:rPr>
        <w:t xml:space="preserve">mantenimiento del poder </w:t>
      </w:r>
      <w:r w:rsidRPr="00E1708F">
        <w:rPr>
          <w:rFonts w:ascii="Bookman Old Style" w:hAnsi="Bookman Old Style"/>
          <w:b/>
          <w:bCs/>
        </w:rPr>
        <w:lastRenderedPageBreak/>
        <w:t>adquisitivo</w:t>
      </w:r>
      <w:r w:rsidRPr="00E1708F">
        <w:rPr>
          <w:rFonts w:ascii="Bookman Old Style" w:hAnsi="Bookman Old Style"/>
        </w:rPr>
        <w:t xml:space="preserve">, en relación con el IPC certificado por el </w:t>
      </w:r>
      <w:proofErr w:type="spellStart"/>
      <w:r w:rsidRPr="00E1708F">
        <w:rPr>
          <w:rFonts w:ascii="Bookman Old Style" w:hAnsi="Bookman Old Style"/>
        </w:rPr>
        <w:t>DANE</w:t>
      </w:r>
      <w:proofErr w:type="spellEnd"/>
      <w:r w:rsidRPr="00E1708F">
        <w:rPr>
          <w:rFonts w:ascii="Bookman Old Style" w:hAnsi="Bookman Old Style"/>
        </w:rPr>
        <w:t xml:space="preserve"> y se puntualiza que dicha actualización monetaria tampoco implica el incremento del valor de los créditos, porque su función consiste en evitar la pérdida del poder adquisitivo de la moneda y la consecuente reducción del patrimonio de quien accede a la administración de justicia, causada por el transcurso del tiempo (</w:t>
      </w:r>
      <w:proofErr w:type="spellStart"/>
      <w:r w:rsidRPr="00E1708F">
        <w:rPr>
          <w:rFonts w:ascii="Bookman Old Style" w:hAnsi="Bookman Old Style"/>
        </w:rPr>
        <w:t>SL359</w:t>
      </w:r>
      <w:proofErr w:type="spellEnd"/>
      <w:r w:rsidRPr="00E1708F">
        <w:rPr>
          <w:rFonts w:ascii="Bookman Old Style" w:hAnsi="Bookman Old Style"/>
        </w:rPr>
        <w:t>-2021).</w:t>
      </w:r>
    </w:p>
    <w:p w14:paraId="411D97F6" w14:textId="77777777" w:rsidR="00054B34" w:rsidRPr="00E1708F" w:rsidRDefault="00054B34" w:rsidP="00E1708F">
      <w:pPr>
        <w:spacing w:line="276" w:lineRule="auto"/>
        <w:ind w:firstLine="708"/>
        <w:rPr>
          <w:rFonts w:ascii="Bookman Old Style" w:hAnsi="Bookman Old Style"/>
        </w:rPr>
      </w:pPr>
    </w:p>
    <w:p w14:paraId="5DFAA2FE" w14:textId="4C0E7D63" w:rsidR="00E44447" w:rsidRPr="00E1708F" w:rsidRDefault="00054B34" w:rsidP="00E1708F">
      <w:pPr>
        <w:spacing w:line="276" w:lineRule="auto"/>
        <w:ind w:firstLine="708"/>
        <w:rPr>
          <w:rFonts w:ascii="Bookman Old Style" w:hAnsi="Bookman Old Style"/>
        </w:rPr>
      </w:pPr>
      <w:r w:rsidRPr="00E1708F">
        <w:rPr>
          <w:rFonts w:ascii="Bookman Old Style" w:hAnsi="Bookman Old Style"/>
        </w:rPr>
        <w:t>Así las cosas, la indexación sobre el retroactivo reconocido por Colp</w:t>
      </w:r>
      <w:r w:rsidR="00042D6F" w:rsidRPr="00E1708F">
        <w:rPr>
          <w:rFonts w:ascii="Bookman Old Style" w:hAnsi="Bookman Old Style"/>
        </w:rPr>
        <w:t>e</w:t>
      </w:r>
      <w:r w:rsidRPr="00E1708F">
        <w:rPr>
          <w:rFonts w:ascii="Bookman Old Style" w:hAnsi="Bookman Old Style"/>
        </w:rPr>
        <w:t>nsiones</w:t>
      </w:r>
      <w:r w:rsidR="00042D6F" w:rsidRPr="00E1708F">
        <w:rPr>
          <w:rFonts w:ascii="Bookman Old Style" w:hAnsi="Bookman Old Style"/>
        </w:rPr>
        <w:t xml:space="preserve"> debe tener en cuenta la corrección monetaria como solución del </w:t>
      </w:r>
      <w:r w:rsidR="00782F68" w:rsidRPr="00E1708F">
        <w:rPr>
          <w:rFonts w:ascii="Bookman Old Style" w:hAnsi="Bookman Old Style"/>
        </w:rPr>
        <w:t xml:space="preserve">detrimento económico </w:t>
      </w:r>
      <w:r w:rsidR="00042D6F" w:rsidRPr="00E1708F">
        <w:rPr>
          <w:rFonts w:ascii="Bookman Old Style" w:hAnsi="Bookman Old Style"/>
        </w:rPr>
        <w:t xml:space="preserve">que se genera </w:t>
      </w:r>
      <w:r w:rsidR="00782F68" w:rsidRPr="00E1708F">
        <w:rPr>
          <w:rFonts w:ascii="Bookman Old Style" w:hAnsi="Bookman Old Style"/>
        </w:rPr>
        <w:t xml:space="preserve">cuando no se paga oportunamente </w:t>
      </w:r>
      <w:r w:rsidR="00042D6F" w:rsidRPr="00E1708F">
        <w:rPr>
          <w:rFonts w:ascii="Bookman Old Style" w:hAnsi="Bookman Old Style"/>
        </w:rPr>
        <w:t xml:space="preserve">lo adeudado, </w:t>
      </w:r>
      <w:r w:rsidR="00887988" w:rsidRPr="00E1708F">
        <w:rPr>
          <w:rFonts w:ascii="Bookman Old Style" w:hAnsi="Bookman Old Style"/>
        </w:rPr>
        <w:t xml:space="preserve">compromiso que se generó a partir del momento en que la accionante solicitó el derecho, es decir, </w:t>
      </w:r>
      <w:r w:rsidR="00817666" w:rsidRPr="00E1708F">
        <w:rPr>
          <w:rFonts w:ascii="Bookman Old Style" w:hAnsi="Bookman Old Style"/>
        </w:rPr>
        <w:t>cuando la</w:t>
      </w:r>
      <w:r w:rsidR="00887988" w:rsidRPr="00E1708F">
        <w:rPr>
          <w:rFonts w:ascii="Bookman Old Style" w:hAnsi="Bookman Old Style"/>
        </w:rPr>
        <w:t xml:space="preserve"> demandada estaba obligada a disponer el pago completo de lo cobrado. De manera que, la generación de la indexación sobre el retroactivo a pagar ($51,366,469) a juicio de la Sala, no puede confundirse con la causación de las mesadas, sobre las cuales recae el fenómeno de la prescripción en caso de no “reclamarse” a tiempo la prestación</w:t>
      </w:r>
      <w:r w:rsidR="00304F5B" w:rsidRPr="00E1708F">
        <w:rPr>
          <w:rFonts w:ascii="Bookman Old Style" w:hAnsi="Bookman Old Style"/>
        </w:rPr>
        <w:t xml:space="preserve">, mesadas que huelga decir, no son el objeto de la presente acción, </w:t>
      </w:r>
      <w:r w:rsidR="008C11F0" w:rsidRPr="00E1708F">
        <w:rPr>
          <w:rFonts w:ascii="Bookman Old Style" w:hAnsi="Bookman Old Style"/>
        </w:rPr>
        <w:t>pues</w:t>
      </w:r>
      <w:r w:rsidR="00304F5B" w:rsidRPr="00E1708F">
        <w:rPr>
          <w:rFonts w:ascii="Bookman Old Style" w:hAnsi="Bookman Old Style"/>
        </w:rPr>
        <w:t xml:space="preserve"> lo que</w:t>
      </w:r>
      <w:r w:rsidR="008C11F0" w:rsidRPr="00E1708F">
        <w:rPr>
          <w:rFonts w:ascii="Bookman Old Style" w:hAnsi="Bookman Old Style"/>
        </w:rPr>
        <w:t xml:space="preserve"> se </w:t>
      </w:r>
      <w:r w:rsidR="00304F5B" w:rsidRPr="00E1708F">
        <w:rPr>
          <w:rFonts w:ascii="Bookman Old Style" w:hAnsi="Bookman Old Style"/>
        </w:rPr>
        <w:t>busca en este caso con la indexación</w:t>
      </w:r>
      <w:r w:rsidR="008C11F0" w:rsidRPr="00E1708F">
        <w:rPr>
          <w:rFonts w:ascii="Bookman Old Style" w:hAnsi="Bookman Old Style"/>
        </w:rPr>
        <w:t>,</w:t>
      </w:r>
      <w:r w:rsidR="00304F5B" w:rsidRPr="00E1708F">
        <w:rPr>
          <w:rFonts w:ascii="Bookman Old Style" w:hAnsi="Bookman Old Style"/>
        </w:rPr>
        <w:t xml:space="preserve"> es que el retroactivo como valor global que se debió cancelar por parte de la demandada pero que por su incuria no lo hizo, produjo en el deudor una pérdida del poder adquisitivo del valor que debió recibir </w:t>
      </w:r>
      <w:r w:rsidR="00794133" w:rsidRPr="00E1708F">
        <w:rPr>
          <w:rFonts w:ascii="Bookman Old Style" w:hAnsi="Bookman Old Style"/>
        </w:rPr>
        <w:t>la demandante con ocasión a su solicitud del 30-06-2017 (archivo 13, pág. 30)</w:t>
      </w:r>
      <w:r w:rsidR="00E44447" w:rsidRPr="00E1708F">
        <w:rPr>
          <w:rFonts w:ascii="Bookman Old Style" w:hAnsi="Bookman Old Style"/>
        </w:rPr>
        <w:t>, ello bajo el entendido que la indexación de un valor se entiende como la acción financiera de traer a valor presente una suma de dinero establecida.</w:t>
      </w:r>
    </w:p>
    <w:p w14:paraId="663CC143" w14:textId="77777777" w:rsidR="002342E3" w:rsidRPr="00E1708F" w:rsidRDefault="002342E3" w:rsidP="00E1708F">
      <w:pPr>
        <w:spacing w:line="276" w:lineRule="auto"/>
        <w:ind w:firstLine="708"/>
        <w:rPr>
          <w:rFonts w:ascii="Bookman Old Style" w:hAnsi="Bookman Old Style"/>
        </w:rPr>
      </w:pPr>
    </w:p>
    <w:p w14:paraId="7B1BE8F6" w14:textId="7288C857" w:rsidR="002342E3" w:rsidRPr="00E1708F" w:rsidRDefault="002342E3" w:rsidP="00E1708F">
      <w:pPr>
        <w:spacing w:line="276" w:lineRule="auto"/>
        <w:ind w:firstLine="708"/>
        <w:rPr>
          <w:rFonts w:ascii="Bookman Old Style" w:hAnsi="Bookman Old Style"/>
        </w:rPr>
      </w:pPr>
      <w:r w:rsidRPr="00E1708F">
        <w:rPr>
          <w:rFonts w:ascii="Bookman Old Style" w:hAnsi="Bookman Old Style"/>
        </w:rPr>
        <w:t>Con todo, al no asistirle la razón al recurrente al pretender que se actualice lo adeudado desde la data de la mesada a partir del cual se reconoce la prestación 30-06-2014 hasta el momento de pago</w:t>
      </w:r>
      <w:r w:rsidR="00AF5C11" w:rsidRPr="00E1708F">
        <w:rPr>
          <w:rFonts w:ascii="Bookman Old Style" w:hAnsi="Bookman Old Style"/>
        </w:rPr>
        <w:t xml:space="preserve"> que corresponde al 01-11-2019</w:t>
      </w:r>
      <w:r w:rsidRPr="00E1708F">
        <w:rPr>
          <w:rFonts w:ascii="Bookman Old Style" w:hAnsi="Bookman Old Style"/>
        </w:rPr>
        <w:t>, se dispondrá a mantener la data a partir de la cual el juez de primera instancia dispuso la indexación</w:t>
      </w:r>
      <w:r w:rsidR="00AF5C11" w:rsidRPr="00E1708F">
        <w:rPr>
          <w:rFonts w:ascii="Bookman Old Style" w:hAnsi="Bookman Old Style"/>
        </w:rPr>
        <w:t xml:space="preserve"> y comoquiera que la fecha hasta la cual se extendía dicha indexación no fue objeto de alzada, la dispuesta en la sentencia se mantendrá</w:t>
      </w:r>
      <w:r w:rsidRPr="00E1708F">
        <w:rPr>
          <w:rFonts w:ascii="Bookman Old Style" w:hAnsi="Bookman Old Style"/>
        </w:rPr>
        <w:t>.</w:t>
      </w:r>
    </w:p>
    <w:p w14:paraId="4B4FC6C2" w14:textId="77777777" w:rsidR="00800B3A" w:rsidRPr="00E1708F" w:rsidRDefault="00800B3A" w:rsidP="00E1708F">
      <w:pPr>
        <w:spacing w:line="276" w:lineRule="auto"/>
        <w:ind w:firstLine="708"/>
        <w:rPr>
          <w:rFonts w:ascii="Bookman Old Style" w:hAnsi="Bookman Old Style"/>
        </w:rPr>
      </w:pPr>
    </w:p>
    <w:p w14:paraId="403C0A98" w14:textId="054CA844"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t>Ahora, comoquiera que opera el grado jurisdiccional de consulta a favor de Colpensiones en lo no recurrido por esta, frente a la indexación reconocida se procede a la revisión de su cálculo, para lo cual se tiene en cuenta la siguiente fórmula:</w:t>
      </w:r>
    </w:p>
    <w:p w14:paraId="5A6F52A4" w14:textId="77777777" w:rsidR="00C343E1" w:rsidRPr="00E1708F" w:rsidRDefault="00C343E1" w:rsidP="00E1708F">
      <w:pPr>
        <w:spacing w:line="276" w:lineRule="auto"/>
        <w:ind w:firstLine="708"/>
        <w:rPr>
          <w:rFonts w:ascii="Bookman Old Style" w:hAnsi="Bookman Old Style"/>
        </w:rPr>
      </w:pPr>
    </w:p>
    <w:p w14:paraId="7400203E" w14:textId="53CF073D"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t xml:space="preserve">VA= </w:t>
      </w:r>
      <w:proofErr w:type="spellStart"/>
      <w:r w:rsidRPr="00E1708F">
        <w:rPr>
          <w:rFonts w:ascii="Bookman Old Style" w:hAnsi="Bookman Old Style"/>
        </w:rPr>
        <w:t>VH</w:t>
      </w:r>
      <w:proofErr w:type="spellEnd"/>
      <w:r w:rsidRPr="00E1708F">
        <w:rPr>
          <w:rFonts w:ascii="Bookman Old Style" w:hAnsi="Bookman Old Style"/>
        </w:rPr>
        <w:t xml:space="preserve"> (</w:t>
      </w:r>
      <w:proofErr w:type="spellStart"/>
      <w:r w:rsidRPr="00E1708F">
        <w:rPr>
          <w:rFonts w:ascii="Bookman Old Style" w:hAnsi="Bookman Old Style"/>
        </w:rPr>
        <w:t>IPC</w:t>
      </w:r>
      <w:r w:rsidRPr="00E1708F">
        <w:rPr>
          <w:rFonts w:ascii="Bookman Old Style" w:hAnsi="Bookman Old Style"/>
          <w:vertAlign w:val="subscript"/>
        </w:rPr>
        <w:t>final</w:t>
      </w:r>
      <w:proofErr w:type="spellEnd"/>
      <w:r w:rsidRPr="00E1708F">
        <w:rPr>
          <w:rFonts w:ascii="Bookman Old Style" w:hAnsi="Bookman Old Style"/>
        </w:rPr>
        <w:t> /</w:t>
      </w:r>
      <w:proofErr w:type="spellStart"/>
      <w:r w:rsidRPr="00E1708F">
        <w:rPr>
          <w:rFonts w:ascii="Bookman Old Style" w:hAnsi="Bookman Old Style"/>
        </w:rPr>
        <w:t>IPC</w:t>
      </w:r>
      <w:r w:rsidRPr="00E1708F">
        <w:rPr>
          <w:rFonts w:ascii="Bookman Old Style" w:hAnsi="Bookman Old Style"/>
          <w:vertAlign w:val="subscript"/>
        </w:rPr>
        <w:t>inicial</w:t>
      </w:r>
      <w:proofErr w:type="spellEnd"/>
      <w:r w:rsidRPr="00E1708F">
        <w:rPr>
          <w:rFonts w:ascii="Bookman Old Style" w:hAnsi="Bookman Old Style"/>
        </w:rPr>
        <w:t>)</w:t>
      </w:r>
    </w:p>
    <w:p w14:paraId="162A8304" w14:textId="77777777" w:rsidR="00C343E1" w:rsidRPr="00E1708F" w:rsidRDefault="00C343E1" w:rsidP="00E1708F">
      <w:pPr>
        <w:spacing w:line="276" w:lineRule="auto"/>
        <w:ind w:firstLine="708"/>
        <w:rPr>
          <w:rFonts w:ascii="Bookman Old Style" w:hAnsi="Bookman Old Style"/>
        </w:rPr>
      </w:pPr>
    </w:p>
    <w:p w14:paraId="6290CA7F" w14:textId="77777777"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t xml:space="preserve">Donde: </w:t>
      </w:r>
    </w:p>
    <w:p w14:paraId="67B55BE0" w14:textId="77777777" w:rsidR="00C343E1" w:rsidRPr="00E1708F" w:rsidRDefault="00C343E1" w:rsidP="00E1708F">
      <w:pPr>
        <w:spacing w:line="276" w:lineRule="auto"/>
        <w:ind w:firstLine="708"/>
        <w:rPr>
          <w:rFonts w:ascii="Bookman Old Style" w:hAnsi="Bookman Old Style"/>
        </w:rPr>
      </w:pPr>
    </w:p>
    <w:p w14:paraId="3392963D" w14:textId="77777777"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t>VA = Valor actualizado</w:t>
      </w:r>
    </w:p>
    <w:p w14:paraId="54F8D02A" w14:textId="3588D69F" w:rsidR="00C343E1" w:rsidRPr="00E1708F" w:rsidRDefault="00C343E1" w:rsidP="00E1708F">
      <w:pPr>
        <w:spacing w:line="276" w:lineRule="auto"/>
        <w:ind w:firstLine="708"/>
        <w:rPr>
          <w:rFonts w:ascii="Bookman Old Style" w:hAnsi="Bookman Old Style"/>
        </w:rPr>
      </w:pPr>
      <w:proofErr w:type="spellStart"/>
      <w:r w:rsidRPr="00E1708F">
        <w:rPr>
          <w:rFonts w:ascii="Bookman Old Style" w:hAnsi="Bookman Old Style"/>
        </w:rPr>
        <w:t>VH</w:t>
      </w:r>
      <w:proofErr w:type="spellEnd"/>
      <w:r w:rsidRPr="00E1708F">
        <w:rPr>
          <w:rFonts w:ascii="Bookman Old Style" w:hAnsi="Bookman Old Style"/>
        </w:rPr>
        <w:t xml:space="preserve"> = Valor del retroactivo adeudado a la pensionada. </w:t>
      </w:r>
    </w:p>
    <w:p w14:paraId="6370DA9A" w14:textId="0935BBF1"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t xml:space="preserve">IPC Final= </w:t>
      </w:r>
      <w:proofErr w:type="spellStart"/>
      <w:r w:rsidRPr="00E1708F">
        <w:rPr>
          <w:rFonts w:ascii="Bookman Old Style" w:hAnsi="Bookman Old Style"/>
        </w:rPr>
        <w:t>ÍPC</w:t>
      </w:r>
      <w:proofErr w:type="spellEnd"/>
      <w:r w:rsidRPr="00E1708F">
        <w:rPr>
          <w:rFonts w:ascii="Bookman Old Style" w:hAnsi="Bookman Old Style"/>
        </w:rPr>
        <w:t xml:space="preserve"> al mes en el que se efectúa el pago</w:t>
      </w:r>
      <w:r w:rsidR="0072308B" w:rsidRPr="00E1708F">
        <w:rPr>
          <w:rFonts w:ascii="Bookman Old Style" w:hAnsi="Bookman Old Style"/>
        </w:rPr>
        <w:t xml:space="preserve"> (</w:t>
      </w:r>
      <w:r w:rsidR="00AF5C11" w:rsidRPr="00E1708F">
        <w:rPr>
          <w:rFonts w:ascii="Bookman Old Style" w:hAnsi="Bookman Old Style"/>
        </w:rPr>
        <w:t>septiembre</w:t>
      </w:r>
      <w:r w:rsidR="0072308B" w:rsidRPr="00E1708F">
        <w:rPr>
          <w:rFonts w:ascii="Bookman Old Style" w:hAnsi="Bookman Old Style"/>
        </w:rPr>
        <w:t xml:space="preserve"> de 2019)</w:t>
      </w:r>
      <w:r w:rsidRPr="00E1708F">
        <w:rPr>
          <w:rFonts w:ascii="Bookman Old Style" w:hAnsi="Bookman Old Style"/>
        </w:rPr>
        <w:t>.</w:t>
      </w:r>
    </w:p>
    <w:p w14:paraId="5B516162" w14:textId="46526D3B" w:rsidR="00C343E1" w:rsidRPr="00E1708F" w:rsidRDefault="00C343E1" w:rsidP="00E1708F">
      <w:pPr>
        <w:spacing w:line="276" w:lineRule="auto"/>
        <w:ind w:firstLine="708"/>
        <w:rPr>
          <w:rFonts w:ascii="Bookman Old Style" w:hAnsi="Bookman Old Style"/>
        </w:rPr>
      </w:pPr>
      <w:r w:rsidRPr="00E1708F">
        <w:rPr>
          <w:rFonts w:ascii="Bookman Old Style" w:hAnsi="Bookman Old Style"/>
        </w:rPr>
        <w:lastRenderedPageBreak/>
        <w:t>IPC Inicial= IPC al mes que debió pagar el retroactivo</w:t>
      </w:r>
      <w:r w:rsidR="0072308B" w:rsidRPr="00E1708F">
        <w:rPr>
          <w:rFonts w:ascii="Bookman Old Style" w:hAnsi="Bookman Old Style"/>
        </w:rPr>
        <w:t xml:space="preserve"> (junio de 2017)</w:t>
      </w:r>
      <w:r w:rsidRPr="00E1708F">
        <w:rPr>
          <w:rFonts w:ascii="Bookman Old Style" w:hAnsi="Bookman Old Style"/>
        </w:rPr>
        <w:t>.</w:t>
      </w:r>
    </w:p>
    <w:p w14:paraId="5C11CE3B" w14:textId="77777777" w:rsidR="00C343E1" w:rsidRPr="00E1708F" w:rsidRDefault="00C343E1" w:rsidP="00E1708F">
      <w:pPr>
        <w:spacing w:line="276" w:lineRule="auto"/>
        <w:rPr>
          <w:rFonts w:ascii="Bookman Old Style" w:eastAsia="Malgun Gothic" w:hAnsi="Bookman Old Style"/>
          <w:highlight w:val="yellow"/>
        </w:rPr>
      </w:pPr>
    </w:p>
    <w:p w14:paraId="4FFEA649" w14:textId="1225647C" w:rsidR="00B94871" w:rsidRPr="00E1708F" w:rsidRDefault="00794133" w:rsidP="00E1708F">
      <w:pPr>
        <w:spacing w:line="276" w:lineRule="auto"/>
        <w:ind w:firstLine="708"/>
        <w:rPr>
          <w:rFonts w:ascii="Bookman Old Style" w:hAnsi="Bookman Old Style"/>
        </w:rPr>
      </w:pPr>
      <w:r w:rsidRPr="00E1708F">
        <w:rPr>
          <w:rFonts w:ascii="Bookman Old Style" w:hAnsi="Bookman Old Style"/>
        </w:rPr>
        <w:t xml:space="preserve">De manera que, la orden de indexar la suma </w:t>
      </w:r>
      <w:r w:rsidR="002342E3" w:rsidRPr="00E1708F">
        <w:rPr>
          <w:rFonts w:ascii="Bookman Old Style" w:hAnsi="Bookman Old Style"/>
        </w:rPr>
        <w:t>de dinero</w:t>
      </w:r>
      <w:r w:rsidRPr="00E1708F">
        <w:rPr>
          <w:rFonts w:ascii="Bookman Old Style" w:hAnsi="Bookman Old Style"/>
        </w:rPr>
        <w:t xml:space="preserve"> </w:t>
      </w:r>
      <w:r w:rsidR="002342E3" w:rsidRPr="00E1708F">
        <w:rPr>
          <w:rFonts w:ascii="Bookman Old Style" w:hAnsi="Bookman Old Style"/>
        </w:rPr>
        <w:t xml:space="preserve">que </w:t>
      </w:r>
      <w:r w:rsidRPr="00E1708F">
        <w:rPr>
          <w:rFonts w:ascii="Bookman Old Style" w:hAnsi="Bookman Old Style"/>
        </w:rPr>
        <w:t>la reclamante</w:t>
      </w:r>
      <w:r w:rsidR="002342E3" w:rsidRPr="00E1708F">
        <w:rPr>
          <w:rFonts w:ascii="Bookman Old Style" w:hAnsi="Bookman Old Style"/>
        </w:rPr>
        <w:t xml:space="preserve"> debió recibir</w:t>
      </w:r>
      <w:r w:rsidR="005736C4" w:rsidRPr="00E1708F">
        <w:rPr>
          <w:rFonts w:ascii="Bookman Old Style" w:hAnsi="Bookman Old Style"/>
        </w:rPr>
        <w:t xml:space="preserve"> como retroactivo</w:t>
      </w:r>
      <w:r w:rsidR="00311FA8" w:rsidRPr="00E1708F">
        <w:rPr>
          <w:rFonts w:ascii="Bookman Old Style" w:hAnsi="Bookman Old Style"/>
        </w:rPr>
        <w:t xml:space="preserve">, </w:t>
      </w:r>
      <w:r w:rsidR="005736C4" w:rsidRPr="00E1708F">
        <w:rPr>
          <w:rFonts w:ascii="Bookman Old Style" w:hAnsi="Bookman Old Style"/>
        </w:rPr>
        <w:t>previos cálculos aritméticos debieron ascender a $3.</w:t>
      </w:r>
      <w:r w:rsidR="00AF5C11" w:rsidRPr="00E1708F">
        <w:rPr>
          <w:rFonts w:ascii="Bookman Old Style" w:hAnsi="Bookman Old Style"/>
        </w:rPr>
        <w:t>750</w:t>
      </w:r>
      <w:r w:rsidR="005736C4" w:rsidRPr="00E1708F">
        <w:rPr>
          <w:rFonts w:ascii="Bookman Old Style" w:hAnsi="Bookman Old Style"/>
        </w:rPr>
        <w:t>.</w:t>
      </w:r>
      <w:r w:rsidR="00AF5C11" w:rsidRPr="00E1708F">
        <w:rPr>
          <w:rFonts w:ascii="Bookman Old Style" w:hAnsi="Bookman Old Style"/>
        </w:rPr>
        <w:t xml:space="preserve">483 </w:t>
      </w:r>
      <w:r w:rsidR="005736C4" w:rsidRPr="00E1708F">
        <w:rPr>
          <w:rFonts w:ascii="Bookman Old Style" w:hAnsi="Bookman Old Style"/>
        </w:rPr>
        <w:t>y no a la suma de $5.616.808, como erradamente lo dispuso la primera instancia, razón por la cual se disminuirá dicho valor, conforme al grado jurisdiccional de consulta.</w:t>
      </w:r>
    </w:p>
    <w:p w14:paraId="7FC915BF" w14:textId="7F84746F" w:rsidR="00794133" w:rsidRPr="00E1708F" w:rsidRDefault="00794133" w:rsidP="00E1708F">
      <w:pPr>
        <w:spacing w:line="276" w:lineRule="auto"/>
        <w:rPr>
          <w:rFonts w:ascii="Bookman Old Style" w:hAnsi="Bookman Old Style"/>
          <w:iCs/>
        </w:rPr>
      </w:pPr>
    </w:p>
    <w:p w14:paraId="785FC317" w14:textId="092F15EA" w:rsidR="00794133" w:rsidRPr="00E1708F" w:rsidRDefault="00AF5C11" w:rsidP="00E1708F">
      <w:pPr>
        <w:spacing w:line="276" w:lineRule="auto"/>
        <w:ind w:firstLine="0"/>
        <w:jc w:val="center"/>
        <w:rPr>
          <w:rFonts w:ascii="Bookman Old Style" w:hAnsi="Bookman Old Style"/>
          <w:iCs/>
        </w:rPr>
      </w:pPr>
      <w:r w:rsidRPr="00E1708F">
        <w:rPr>
          <w:rFonts w:ascii="Bookman Old Style" w:hAnsi="Bookman Old Style"/>
          <w:noProof/>
          <w:lang w:val="en-US"/>
        </w:rPr>
        <w:drawing>
          <wp:inline distT="0" distB="0" distL="0" distR="0" wp14:anchorId="25AF75F4" wp14:editId="78F3A791">
            <wp:extent cx="4114148" cy="2367936"/>
            <wp:effectExtent l="76200" t="76200" r="134620" b="127635"/>
            <wp:docPr id="1130258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228" cy="23789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94F919" w14:textId="77777777" w:rsidR="005736C4" w:rsidRPr="00E1708F" w:rsidRDefault="005736C4" w:rsidP="00E1708F">
      <w:pPr>
        <w:spacing w:line="276" w:lineRule="auto"/>
        <w:ind w:firstLine="708"/>
        <w:rPr>
          <w:rFonts w:ascii="Bookman Old Style" w:hAnsi="Bookman Old Style"/>
        </w:rPr>
      </w:pPr>
    </w:p>
    <w:p w14:paraId="247B7F0E" w14:textId="1915A193" w:rsidR="00F7289B" w:rsidRPr="00E1708F" w:rsidRDefault="00F7289B" w:rsidP="00E1708F">
      <w:pPr>
        <w:spacing w:line="276" w:lineRule="auto"/>
        <w:ind w:firstLine="708"/>
        <w:jc w:val="center"/>
        <w:rPr>
          <w:rFonts w:ascii="Bookman Old Style" w:hAnsi="Bookman Old Style"/>
          <w:b/>
          <w:bCs/>
        </w:rPr>
      </w:pPr>
      <w:r w:rsidRPr="00E1708F">
        <w:rPr>
          <w:rFonts w:ascii="Bookman Old Style" w:hAnsi="Bookman Old Style"/>
          <w:b/>
          <w:bCs/>
        </w:rPr>
        <w:t>Costas procesales</w:t>
      </w:r>
    </w:p>
    <w:p w14:paraId="6B4875FB" w14:textId="77777777" w:rsidR="00F7289B" w:rsidRPr="00E1708F" w:rsidRDefault="00F7289B" w:rsidP="00E1708F">
      <w:pPr>
        <w:spacing w:line="276" w:lineRule="auto"/>
        <w:ind w:firstLine="708"/>
        <w:jc w:val="center"/>
        <w:rPr>
          <w:rFonts w:ascii="Bookman Old Style" w:hAnsi="Bookman Old Style"/>
          <w:b/>
          <w:bCs/>
        </w:rPr>
      </w:pPr>
    </w:p>
    <w:p w14:paraId="0356AC98" w14:textId="77777777" w:rsidR="00F7289B" w:rsidRPr="00903B33" w:rsidRDefault="00F7289B" w:rsidP="00E1708F">
      <w:pPr>
        <w:spacing w:line="276" w:lineRule="auto"/>
        <w:ind w:firstLine="708"/>
        <w:rPr>
          <w:rFonts w:ascii="Bookman Old Style" w:hAnsi="Bookman Old Style"/>
          <w:bCs/>
          <w:u w:val="single"/>
        </w:rPr>
      </w:pPr>
      <w:r w:rsidRPr="00E1708F">
        <w:rPr>
          <w:rFonts w:ascii="Bookman Old Style" w:hAnsi="Bookman Old Style"/>
        </w:rPr>
        <w:t xml:space="preserve">Dispone el artículo 365 </w:t>
      </w:r>
      <w:proofErr w:type="spellStart"/>
      <w:r w:rsidRPr="00E1708F">
        <w:rPr>
          <w:rFonts w:ascii="Bookman Old Style" w:hAnsi="Bookman Old Style"/>
        </w:rPr>
        <w:t>CGP</w:t>
      </w:r>
      <w:proofErr w:type="spellEnd"/>
      <w:r w:rsidRPr="00E1708F">
        <w:rPr>
          <w:rFonts w:ascii="Bookman Old Style" w:hAnsi="Bookman Old Style"/>
        </w:rPr>
        <w:t>, las reglas a tener en cuenta para que proceda la imposición de costas procesales, entre ellas: “</w:t>
      </w:r>
      <w:r w:rsidRPr="00903B33">
        <w:rPr>
          <w:rFonts w:ascii="Bookman Old Style" w:hAnsi="Bookman Old Style"/>
          <w:b/>
          <w:bCs/>
          <w:sz w:val="22"/>
          <w:u w:val="single"/>
        </w:rPr>
        <w:t>1. Se condenará en costas a la parte vencida en el proceso, o a quien se le resuelva desfavorablemente el recurso de apelación, casación, queja, súplica, anulación o revisión que haya propuesto. Además, en los casos especiales previstos en este código</w:t>
      </w:r>
      <w:r w:rsidRPr="00903B33">
        <w:rPr>
          <w:rFonts w:ascii="Bookman Old Style" w:hAnsi="Bookman Old Style"/>
          <w:bCs/>
          <w:u w:val="single"/>
        </w:rPr>
        <w:t>”.</w:t>
      </w:r>
    </w:p>
    <w:p w14:paraId="2F27F4AC" w14:textId="77777777" w:rsidR="00F7289B" w:rsidRPr="00E1708F" w:rsidRDefault="00F7289B" w:rsidP="00E1708F">
      <w:pPr>
        <w:spacing w:line="276" w:lineRule="auto"/>
        <w:rPr>
          <w:rFonts w:ascii="Bookman Old Style" w:hAnsi="Bookman Old Style"/>
        </w:rPr>
      </w:pPr>
    </w:p>
    <w:p w14:paraId="2AE23FD4" w14:textId="2B19E8CF" w:rsidR="00F7289B" w:rsidRPr="00E1708F" w:rsidRDefault="00F7289B" w:rsidP="00E1708F">
      <w:pPr>
        <w:spacing w:line="276" w:lineRule="auto"/>
        <w:ind w:firstLine="708"/>
        <w:rPr>
          <w:rFonts w:ascii="Bookman Old Style" w:hAnsi="Bookman Old Style"/>
        </w:rPr>
      </w:pPr>
      <w:r w:rsidRPr="00E1708F">
        <w:rPr>
          <w:rFonts w:ascii="Bookman Old Style" w:hAnsi="Bookman Old Style"/>
        </w:rPr>
        <w:t>En el presente asunto, al haber sido vencido en juicio Colpensiones y, atendiendo a que prosperó la pretensión subsidiaria, basta con ello para indicar que no hay motivo para absolver a Colpensiones de dicha condena, procediendo por ello mismo la condena en costas, la cual se mantendrá.</w:t>
      </w:r>
    </w:p>
    <w:p w14:paraId="44B77D95" w14:textId="77777777" w:rsidR="00F7289B" w:rsidRPr="00E1708F" w:rsidRDefault="00F7289B" w:rsidP="00E1708F">
      <w:pPr>
        <w:spacing w:line="276" w:lineRule="auto"/>
        <w:ind w:firstLine="708"/>
        <w:rPr>
          <w:rFonts w:ascii="Bookman Old Style" w:hAnsi="Bookman Old Style"/>
        </w:rPr>
      </w:pPr>
    </w:p>
    <w:p w14:paraId="1AB90153" w14:textId="055E831E" w:rsidR="00F7289B" w:rsidRPr="00E1708F" w:rsidRDefault="00F7289B" w:rsidP="00E1708F">
      <w:pPr>
        <w:spacing w:line="276" w:lineRule="auto"/>
        <w:ind w:firstLine="708"/>
        <w:rPr>
          <w:rFonts w:ascii="Bookman Old Style" w:hAnsi="Bookman Old Style"/>
        </w:rPr>
      </w:pPr>
      <w:r w:rsidRPr="00E1708F">
        <w:rPr>
          <w:rFonts w:ascii="Bookman Old Style" w:hAnsi="Bookman Old Style"/>
        </w:rPr>
        <w:t>En lo que respecta a las costas en esta instancia, no se impondrán atendiendo a que los recursos no prosperaron y lo modificado, se dispone conforme al grado jurisdiccional de consulta a favor del ente demandado.</w:t>
      </w:r>
    </w:p>
    <w:p w14:paraId="46747B75" w14:textId="77777777" w:rsidR="00F7289B" w:rsidRPr="00E1708F" w:rsidRDefault="00F7289B" w:rsidP="00E1708F">
      <w:pPr>
        <w:spacing w:line="276" w:lineRule="auto"/>
        <w:ind w:firstLine="708"/>
        <w:rPr>
          <w:rFonts w:ascii="Bookman Old Style" w:hAnsi="Bookman Old Style"/>
        </w:rPr>
      </w:pPr>
    </w:p>
    <w:p w14:paraId="7DB11B15" w14:textId="77777777" w:rsidR="00F7289B" w:rsidRPr="00E1708F" w:rsidRDefault="00F7289B" w:rsidP="00E1708F">
      <w:pPr>
        <w:pStyle w:val="Prrafodelista"/>
        <w:numPr>
          <w:ilvl w:val="0"/>
          <w:numId w:val="11"/>
        </w:numPr>
        <w:spacing w:line="276" w:lineRule="auto"/>
        <w:ind w:left="426"/>
        <w:jc w:val="center"/>
        <w:rPr>
          <w:rFonts w:ascii="Bookman Old Style" w:hAnsi="Bookman Old Style"/>
          <w:b/>
          <w:bCs/>
        </w:rPr>
      </w:pPr>
      <w:r w:rsidRPr="00E1708F">
        <w:rPr>
          <w:rFonts w:ascii="Bookman Old Style" w:hAnsi="Bookman Old Style"/>
          <w:b/>
          <w:bCs/>
        </w:rPr>
        <w:t>DECISIÓN DE SEGUNDA INSTANCIA</w:t>
      </w:r>
    </w:p>
    <w:p w14:paraId="79E44F04" w14:textId="47C59E4C" w:rsidR="008E1511" w:rsidRPr="00E1708F" w:rsidRDefault="008E1511" w:rsidP="00E1708F">
      <w:pPr>
        <w:spacing w:line="276" w:lineRule="auto"/>
        <w:ind w:firstLine="708"/>
        <w:rPr>
          <w:rFonts w:ascii="Bookman Old Style" w:hAnsi="Bookman Old Style"/>
        </w:rPr>
      </w:pPr>
    </w:p>
    <w:p w14:paraId="3AF99DEF" w14:textId="77777777" w:rsidR="00F31CDB" w:rsidRPr="00E1708F" w:rsidRDefault="00F31CDB" w:rsidP="00E1708F">
      <w:pPr>
        <w:spacing w:line="276" w:lineRule="auto"/>
        <w:ind w:firstLine="708"/>
        <w:rPr>
          <w:rFonts w:ascii="Bookman Old Style" w:hAnsi="Bookman Old Style"/>
        </w:rPr>
      </w:pPr>
      <w:r w:rsidRPr="00E1708F">
        <w:rPr>
          <w:rFonts w:ascii="Bookman Old Style" w:hAnsi="Bookman Old Style"/>
        </w:rPr>
        <w:t>Por lo expuesto, la Sala de Decisión Laboral del Tribunal Superior del Distrito Judicial de Pereira, administrando justicia en nombre de la República y por autoridad de la ley.</w:t>
      </w:r>
    </w:p>
    <w:p w14:paraId="152CAB93" w14:textId="77777777" w:rsidR="00F31CDB" w:rsidRPr="00E1708F" w:rsidRDefault="00F31CDB" w:rsidP="00E1708F">
      <w:pPr>
        <w:spacing w:line="276" w:lineRule="auto"/>
        <w:ind w:firstLine="708"/>
        <w:rPr>
          <w:rFonts w:ascii="Bookman Old Style" w:hAnsi="Bookman Old Style"/>
        </w:rPr>
      </w:pPr>
    </w:p>
    <w:p w14:paraId="6DBEE065" w14:textId="77777777" w:rsidR="00F31CDB" w:rsidRPr="00E1708F" w:rsidRDefault="00F31CDB" w:rsidP="00E1708F">
      <w:pPr>
        <w:spacing w:line="276" w:lineRule="auto"/>
        <w:ind w:firstLine="0"/>
        <w:jc w:val="center"/>
        <w:rPr>
          <w:rFonts w:ascii="Bookman Old Style" w:hAnsi="Bookman Old Style"/>
          <w:b/>
          <w:bCs/>
        </w:rPr>
      </w:pPr>
      <w:r w:rsidRPr="00E1708F">
        <w:rPr>
          <w:rFonts w:ascii="Bookman Old Style" w:hAnsi="Bookman Old Style"/>
          <w:b/>
          <w:bCs/>
        </w:rPr>
        <w:t>RESUELVE</w:t>
      </w:r>
    </w:p>
    <w:p w14:paraId="4EB37329" w14:textId="77777777" w:rsidR="00F31CDB" w:rsidRPr="00E1708F" w:rsidRDefault="00F31CDB" w:rsidP="00E1708F">
      <w:pPr>
        <w:spacing w:line="276" w:lineRule="auto"/>
        <w:ind w:firstLine="708"/>
        <w:rPr>
          <w:rFonts w:ascii="Bookman Old Style" w:hAnsi="Bookman Old Style"/>
        </w:rPr>
      </w:pPr>
    </w:p>
    <w:p w14:paraId="5555B818" w14:textId="1C95603C" w:rsidR="00F31CDB" w:rsidRPr="00E1708F" w:rsidRDefault="00F31CDB" w:rsidP="00E1708F">
      <w:pPr>
        <w:spacing w:line="276" w:lineRule="auto"/>
        <w:ind w:firstLine="708"/>
        <w:rPr>
          <w:rFonts w:ascii="Bookman Old Style" w:hAnsi="Bookman Old Style"/>
        </w:rPr>
      </w:pPr>
      <w:r w:rsidRPr="00E1708F">
        <w:rPr>
          <w:rFonts w:ascii="Bookman Old Style" w:hAnsi="Bookman Old Style"/>
          <w:b/>
          <w:bCs/>
        </w:rPr>
        <w:t>PRIMERO</w:t>
      </w:r>
      <w:r w:rsidRPr="00E1708F">
        <w:rPr>
          <w:rFonts w:ascii="Bookman Old Style" w:hAnsi="Bookman Old Style"/>
        </w:rPr>
        <w:t xml:space="preserve">: </w:t>
      </w:r>
      <w:r w:rsidR="00AF5C11" w:rsidRPr="00E1708F">
        <w:rPr>
          <w:rFonts w:ascii="Bookman Old Style" w:hAnsi="Bookman Old Style"/>
          <w:b/>
          <w:bCs/>
        </w:rPr>
        <w:t>MODIFICAR</w:t>
      </w:r>
      <w:r w:rsidR="00AF5C11" w:rsidRPr="00E1708F">
        <w:rPr>
          <w:rFonts w:ascii="Bookman Old Style" w:hAnsi="Bookman Old Style"/>
        </w:rPr>
        <w:t xml:space="preserve"> </w:t>
      </w:r>
      <w:r w:rsidRPr="00E1708F">
        <w:rPr>
          <w:rFonts w:ascii="Bookman Old Style" w:hAnsi="Bookman Old Style"/>
        </w:rPr>
        <w:t xml:space="preserve">el ordinal </w:t>
      </w:r>
      <w:r w:rsidR="00AF5C11" w:rsidRPr="00E1708F">
        <w:rPr>
          <w:rFonts w:ascii="Bookman Old Style" w:hAnsi="Bookman Old Style"/>
        </w:rPr>
        <w:t>tercero el cual quedará así:</w:t>
      </w:r>
    </w:p>
    <w:p w14:paraId="54846681" w14:textId="77777777" w:rsidR="00F31CDB" w:rsidRPr="00E1708F" w:rsidRDefault="00F31CDB" w:rsidP="00E1708F">
      <w:pPr>
        <w:spacing w:line="276" w:lineRule="auto"/>
        <w:ind w:firstLine="708"/>
        <w:rPr>
          <w:rFonts w:ascii="Bookman Old Style" w:hAnsi="Bookman Old Style"/>
        </w:rPr>
      </w:pPr>
    </w:p>
    <w:p w14:paraId="361C6455" w14:textId="77777777" w:rsidR="00AF5C11" w:rsidRPr="00E1708F" w:rsidRDefault="00F31CDB" w:rsidP="00E1708F">
      <w:pPr>
        <w:tabs>
          <w:tab w:val="left" w:pos="567"/>
        </w:tabs>
        <w:spacing w:line="276" w:lineRule="auto"/>
        <w:ind w:left="1418" w:right="616" w:firstLine="0"/>
        <w:rPr>
          <w:rFonts w:ascii="Bookman Old Style" w:hAnsi="Bookman Old Style"/>
        </w:rPr>
      </w:pPr>
      <w:r w:rsidRPr="00E1708F">
        <w:rPr>
          <w:rFonts w:ascii="Bookman Old Style" w:hAnsi="Bookman Old Style"/>
          <w:b/>
          <w:bCs/>
        </w:rPr>
        <w:t>TERCERO</w:t>
      </w:r>
      <w:r w:rsidRPr="00E1708F">
        <w:rPr>
          <w:rFonts w:ascii="Bookman Old Style" w:hAnsi="Bookman Old Style"/>
        </w:rPr>
        <w:t>: CONDENAR al pago de la suma de $</w:t>
      </w:r>
      <w:r w:rsidR="00AF5C11" w:rsidRPr="00E1708F">
        <w:rPr>
          <w:rFonts w:ascii="Bookman Old Style" w:hAnsi="Bookman Old Style"/>
        </w:rPr>
        <w:t>3.750.483</w:t>
      </w:r>
      <w:r w:rsidRPr="00E1708F">
        <w:rPr>
          <w:rFonts w:ascii="Bookman Old Style" w:hAnsi="Bookman Old Style"/>
        </w:rPr>
        <w:t xml:space="preserve">, correspondientes a la indexación de la condena en los términos referidos en el numeral anterior. </w:t>
      </w:r>
    </w:p>
    <w:p w14:paraId="0FD77D37" w14:textId="77777777" w:rsidR="00AF5C11" w:rsidRPr="00E1708F" w:rsidRDefault="00AF5C11" w:rsidP="00E1708F">
      <w:pPr>
        <w:spacing w:line="276" w:lineRule="auto"/>
        <w:ind w:firstLine="708"/>
        <w:rPr>
          <w:rFonts w:ascii="Bookman Old Style" w:hAnsi="Bookman Old Style"/>
        </w:rPr>
      </w:pPr>
    </w:p>
    <w:p w14:paraId="765D5161" w14:textId="7A190840" w:rsidR="00F31CDB" w:rsidRPr="00E1708F" w:rsidRDefault="00F31CDB" w:rsidP="00E1708F">
      <w:pPr>
        <w:spacing w:line="276" w:lineRule="auto"/>
        <w:ind w:firstLine="708"/>
        <w:rPr>
          <w:rFonts w:ascii="Bookman Old Style" w:hAnsi="Bookman Old Style"/>
        </w:rPr>
      </w:pPr>
      <w:r w:rsidRPr="00E1708F">
        <w:rPr>
          <w:rFonts w:ascii="Bookman Old Style" w:hAnsi="Bookman Old Style"/>
          <w:b/>
          <w:bCs/>
        </w:rPr>
        <w:t>SEGUNDO</w:t>
      </w:r>
      <w:r w:rsidRPr="00E1708F">
        <w:rPr>
          <w:rFonts w:ascii="Bookman Old Style" w:hAnsi="Bookman Old Style"/>
        </w:rPr>
        <w:t xml:space="preserve">: </w:t>
      </w:r>
      <w:r w:rsidRPr="00E1708F">
        <w:rPr>
          <w:rFonts w:ascii="Bookman Old Style" w:hAnsi="Bookman Old Style"/>
          <w:b/>
          <w:bCs/>
        </w:rPr>
        <w:t>CONFIRMAR</w:t>
      </w:r>
      <w:r w:rsidRPr="00E1708F">
        <w:rPr>
          <w:rFonts w:ascii="Bookman Old Style" w:hAnsi="Bookman Old Style"/>
        </w:rPr>
        <w:t xml:space="preserve"> en lo demás la sentencia proferida por el juzgado </w:t>
      </w:r>
      <w:r w:rsidR="00AF5C11" w:rsidRPr="00E1708F">
        <w:rPr>
          <w:rFonts w:ascii="Bookman Old Style" w:hAnsi="Bookman Old Style"/>
        </w:rPr>
        <w:t xml:space="preserve">primero </w:t>
      </w:r>
      <w:r w:rsidRPr="00E1708F">
        <w:rPr>
          <w:rFonts w:ascii="Bookman Old Style" w:hAnsi="Bookman Old Style"/>
        </w:rPr>
        <w:t>laboral del circuito de Pereira, del 1</w:t>
      </w:r>
      <w:r w:rsidR="00AF5C11" w:rsidRPr="00E1708F">
        <w:rPr>
          <w:rFonts w:ascii="Bookman Old Style" w:hAnsi="Bookman Old Style"/>
        </w:rPr>
        <w:t>5</w:t>
      </w:r>
      <w:r w:rsidRPr="00E1708F">
        <w:rPr>
          <w:rFonts w:ascii="Bookman Old Style" w:hAnsi="Bookman Old Style"/>
        </w:rPr>
        <w:t xml:space="preserve"> de </w:t>
      </w:r>
      <w:r w:rsidR="00AF5C11" w:rsidRPr="00E1708F">
        <w:rPr>
          <w:rFonts w:ascii="Bookman Old Style" w:hAnsi="Bookman Old Style"/>
        </w:rPr>
        <w:t xml:space="preserve">marzo </w:t>
      </w:r>
      <w:r w:rsidRPr="00E1708F">
        <w:rPr>
          <w:rFonts w:ascii="Bookman Old Style" w:hAnsi="Bookman Old Style"/>
        </w:rPr>
        <w:t>de 202</w:t>
      </w:r>
      <w:r w:rsidR="00AF5C11" w:rsidRPr="00E1708F">
        <w:rPr>
          <w:rFonts w:ascii="Bookman Old Style" w:hAnsi="Bookman Old Style"/>
        </w:rPr>
        <w:t>3</w:t>
      </w:r>
      <w:r w:rsidRPr="00E1708F">
        <w:rPr>
          <w:rFonts w:ascii="Bookman Old Style" w:hAnsi="Bookman Old Style"/>
        </w:rPr>
        <w:t>, por las razones expuestas.</w:t>
      </w:r>
    </w:p>
    <w:p w14:paraId="7507F35E" w14:textId="77777777" w:rsidR="00F31CDB" w:rsidRPr="00E1708F" w:rsidRDefault="00F31CDB" w:rsidP="00E1708F">
      <w:pPr>
        <w:spacing w:line="276" w:lineRule="auto"/>
        <w:ind w:firstLine="708"/>
        <w:rPr>
          <w:rFonts w:ascii="Bookman Old Style" w:hAnsi="Bookman Old Style"/>
        </w:rPr>
      </w:pPr>
    </w:p>
    <w:p w14:paraId="4D10442D" w14:textId="77777777" w:rsidR="00F31CDB" w:rsidRPr="00E1708F" w:rsidRDefault="00F31CDB" w:rsidP="00E1708F">
      <w:pPr>
        <w:spacing w:line="276" w:lineRule="auto"/>
        <w:ind w:firstLine="708"/>
        <w:rPr>
          <w:rFonts w:ascii="Bookman Old Style" w:hAnsi="Bookman Old Style"/>
        </w:rPr>
      </w:pPr>
      <w:r w:rsidRPr="00E1708F">
        <w:rPr>
          <w:rFonts w:ascii="Bookman Old Style" w:hAnsi="Bookman Old Style"/>
          <w:b/>
          <w:bCs/>
        </w:rPr>
        <w:t>TERCERO</w:t>
      </w:r>
      <w:r w:rsidRPr="00E1708F">
        <w:rPr>
          <w:rFonts w:ascii="Bookman Old Style" w:hAnsi="Bookman Old Style"/>
        </w:rPr>
        <w:t>: Sin costas en esta instancia.</w:t>
      </w:r>
    </w:p>
    <w:p w14:paraId="041442E6" w14:textId="77777777" w:rsidR="00F31CDB" w:rsidRPr="00E1708F" w:rsidRDefault="00F31CDB" w:rsidP="00E1708F">
      <w:pPr>
        <w:spacing w:line="276" w:lineRule="auto"/>
        <w:ind w:firstLine="708"/>
        <w:rPr>
          <w:rFonts w:ascii="Bookman Old Style" w:hAnsi="Bookman Old Style"/>
        </w:rPr>
      </w:pPr>
    </w:p>
    <w:p w14:paraId="18572F26" w14:textId="77777777" w:rsidR="00F31CDB" w:rsidRPr="00E1708F" w:rsidRDefault="00F31CDB" w:rsidP="00E1708F">
      <w:pPr>
        <w:spacing w:line="276" w:lineRule="auto"/>
        <w:ind w:firstLine="708"/>
        <w:rPr>
          <w:rFonts w:ascii="Bookman Old Style" w:hAnsi="Bookman Old Style"/>
        </w:rPr>
      </w:pPr>
      <w:r w:rsidRPr="00E1708F">
        <w:rPr>
          <w:rFonts w:ascii="Bookman Old Style" w:hAnsi="Bookman Old Style"/>
        </w:rPr>
        <w:t>Notifíquese y Cúmplase</w:t>
      </w:r>
    </w:p>
    <w:p w14:paraId="63B8841E" w14:textId="77777777" w:rsidR="00F31CDB" w:rsidRPr="00E1708F" w:rsidRDefault="00F31CDB" w:rsidP="00E1708F">
      <w:pPr>
        <w:spacing w:line="276" w:lineRule="auto"/>
        <w:ind w:firstLine="708"/>
        <w:rPr>
          <w:rFonts w:ascii="Bookman Old Style" w:hAnsi="Bookman Old Style"/>
        </w:rPr>
      </w:pPr>
    </w:p>
    <w:p w14:paraId="38B15F65" w14:textId="0A276136" w:rsidR="00F31CDB" w:rsidRPr="00E1708F" w:rsidRDefault="00F31CDB" w:rsidP="00E1708F">
      <w:pPr>
        <w:spacing w:line="276" w:lineRule="auto"/>
        <w:ind w:firstLine="708"/>
        <w:rPr>
          <w:rFonts w:ascii="Bookman Old Style" w:hAnsi="Bookman Old Style"/>
        </w:rPr>
      </w:pPr>
      <w:r w:rsidRPr="00E1708F">
        <w:rPr>
          <w:rFonts w:ascii="Bookman Old Style" w:hAnsi="Bookman Old Style"/>
        </w:rPr>
        <w:t xml:space="preserve">Los </w:t>
      </w:r>
      <w:r w:rsidR="00E1708F" w:rsidRPr="00E1708F">
        <w:rPr>
          <w:rFonts w:ascii="Bookman Old Style" w:hAnsi="Bookman Old Style"/>
        </w:rPr>
        <w:t>Magistrados</w:t>
      </w:r>
      <w:r w:rsidRPr="00E1708F">
        <w:rPr>
          <w:rFonts w:ascii="Bookman Old Style" w:hAnsi="Bookman Old Style"/>
        </w:rPr>
        <w:t>,</w:t>
      </w:r>
    </w:p>
    <w:p w14:paraId="07A58022" w14:textId="77777777" w:rsidR="00F31CDB" w:rsidRPr="00E1708F" w:rsidRDefault="00F31CDB" w:rsidP="00E1708F">
      <w:pPr>
        <w:spacing w:line="276" w:lineRule="auto"/>
        <w:ind w:firstLine="708"/>
        <w:rPr>
          <w:rFonts w:ascii="Bookman Old Style" w:hAnsi="Bookman Old Style"/>
        </w:rPr>
      </w:pPr>
    </w:p>
    <w:p w14:paraId="7331550A" w14:textId="4AF5CF08" w:rsidR="00F31CDB" w:rsidRDefault="00F31CDB" w:rsidP="00E1708F">
      <w:pPr>
        <w:spacing w:line="276" w:lineRule="auto"/>
        <w:ind w:firstLine="708"/>
        <w:rPr>
          <w:rFonts w:ascii="Bookman Old Style" w:hAnsi="Bookman Old Style"/>
        </w:rPr>
      </w:pPr>
    </w:p>
    <w:p w14:paraId="5314466A" w14:textId="77777777" w:rsidR="00E2684A" w:rsidRPr="00E1708F" w:rsidRDefault="00E2684A" w:rsidP="00E1708F">
      <w:pPr>
        <w:spacing w:line="276" w:lineRule="auto"/>
        <w:ind w:firstLine="708"/>
        <w:rPr>
          <w:rFonts w:ascii="Bookman Old Style" w:hAnsi="Bookman Old Style"/>
        </w:rPr>
      </w:pPr>
    </w:p>
    <w:p w14:paraId="469865C8" w14:textId="77777777" w:rsidR="00F31CDB" w:rsidRPr="00E1708F" w:rsidRDefault="00F31CDB" w:rsidP="00E1708F">
      <w:pPr>
        <w:spacing w:line="276" w:lineRule="auto"/>
        <w:jc w:val="center"/>
        <w:rPr>
          <w:rFonts w:ascii="Bookman Old Style" w:eastAsia="Arial Unicode MS" w:hAnsi="Bookman Old Style"/>
          <w:b/>
          <w:bCs/>
        </w:rPr>
      </w:pPr>
      <w:r w:rsidRPr="00E1708F">
        <w:rPr>
          <w:rFonts w:ascii="Bookman Old Style" w:eastAsia="Arial Unicode MS" w:hAnsi="Bookman Old Style"/>
          <w:b/>
          <w:bCs/>
        </w:rPr>
        <w:t xml:space="preserve">GERMÁN DARÍO </w:t>
      </w:r>
      <w:proofErr w:type="spellStart"/>
      <w:r w:rsidRPr="00E1708F">
        <w:rPr>
          <w:rFonts w:ascii="Bookman Old Style" w:eastAsia="Arial Unicode MS" w:hAnsi="Bookman Old Style"/>
          <w:b/>
          <w:bCs/>
        </w:rPr>
        <w:t>GÓEZ</w:t>
      </w:r>
      <w:proofErr w:type="spellEnd"/>
      <w:r w:rsidRPr="00E1708F">
        <w:rPr>
          <w:rFonts w:ascii="Bookman Old Style" w:eastAsia="Arial Unicode MS" w:hAnsi="Bookman Old Style"/>
          <w:b/>
          <w:bCs/>
        </w:rPr>
        <w:t xml:space="preserve"> </w:t>
      </w:r>
      <w:proofErr w:type="spellStart"/>
      <w:r w:rsidRPr="00E1708F">
        <w:rPr>
          <w:rFonts w:ascii="Bookman Old Style" w:eastAsia="Arial Unicode MS" w:hAnsi="Bookman Old Style"/>
          <w:b/>
          <w:bCs/>
        </w:rPr>
        <w:t>VINASCO</w:t>
      </w:r>
      <w:proofErr w:type="spellEnd"/>
    </w:p>
    <w:p w14:paraId="5F857AF4" w14:textId="77777777" w:rsidR="00F31CDB" w:rsidRPr="00E1708F" w:rsidRDefault="00F31CDB" w:rsidP="00E1708F">
      <w:pPr>
        <w:spacing w:line="276" w:lineRule="auto"/>
        <w:jc w:val="center"/>
        <w:rPr>
          <w:rFonts w:ascii="Bookman Old Style" w:eastAsia="Arial Unicode MS" w:hAnsi="Bookman Old Style"/>
        </w:rPr>
      </w:pPr>
      <w:r w:rsidRPr="00E1708F">
        <w:rPr>
          <w:rFonts w:ascii="Bookman Old Style" w:eastAsia="Arial Unicode MS" w:hAnsi="Bookman Old Style"/>
        </w:rPr>
        <w:t>Magistrado ponente</w:t>
      </w:r>
    </w:p>
    <w:p w14:paraId="1ECABF8E" w14:textId="73948146" w:rsidR="00F31CDB" w:rsidRDefault="00F31CDB" w:rsidP="00E1708F">
      <w:pPr>
        <w:spacing w:line="276" w:lineRule="auto"/>
        <w:ind w:firstLine="708"/>
        <w:rPr>
          <w:rFonts w:ascii="Bookman Old Style" w:hAnsi="Bookman Old Style"/>
        </w:rPr>
      </w:pPr>
    </w:p>
    <w:p w14:paraId="2330596F" w14:textId="77777777" w:rsidR="00E2684A" w:rsidRPr="00E1708F" w:rsidRDefault="00E2684A" w:rsidP="00E1708F">
      <w:pPr>
        <w:spacing w:line="276" w:lineRule="auto"/>
        <w:ind w:firstLine="708"/>
        <w:rPr>
          <w:rFonts w:ascii="Bookman Old Style" w:hAnsi="Bookman Old Style"/>
        </w:rPr>
      </w:pPr>
    </w:p>
    <w:p w14:paraId="6323670D" w14:textId="77777777" w:rsidR="00F31CDB" w:rsidRPr="00E1708F" w:rsidRDefault="00F31CDB" w:rsidP="00E1708F">
      <w:pPr>
        <w:spacing w:line="276" w:lineRule="auto"/>
        <w:ind w:firstLine="708"/>
        <w:rPr>
          <w:rFonts w:ascii="Bookman Old Style" w:hAnsi="Bookman Old Style"/>
        </w:rPr>
      </w:pPr>
    </w:p>
    <w:p w14:paraId="60354DF7" w14:textId="77777777" w:rsidR="00F31CDB" w:rsidRPr="00E1708F" w:rsidRDefault="00F31CDB" w:rsidP="00E1708F">
      <w:pPr>
        <w:spacing w:line="276" w:lineRule="auto"/>
        <w:jc w:val="center"/>
        <w:rPr>
          <w:rFonts w:ascii="Bookman Old Style" w:eastAsia="Arial Unicode MS" w:hAnsi="Bookman Old Style"/>
          <w:b/>
          <w:bCs/>
        </w:rPr>
      </w:pPr>
      <w:r w:rsidRPr="00E1708F">
        <w:rPr>
          <w:rFonts w:ascii="Bookman Old Style" w:eastAsia="Arial Unicode MS" w:hAnsi="Bookman Old Style"/>
          <w:b/>
          <w:bCs/>
        </w:rPr>
        <w:t>OLGA LUCIA HOYOS SEPÚLVEDA</w:t>
      </w:r>
    </w:p>
    <w:p w14:paraId="30717E0B" w14:textId="397DB8CB" w:rsidR="00F31CDB" w:rsidRPr="00E1708F" w:rsidRDefault="00F31CDB" w:rsidP="00E1708F">
      <w:pPr>
        <w:spacing w:line="276" w:lineRule="auto"/>
        <w:jc w:val="center"/>
        <w:rPr>
          <w:rFonts w:ascii="Bookman Old Style" w:eastAsia="Arial Unicode MS" w:hAnsi="Bookman Old Style"/>
          <w:b/>
          <w:bCs/>
        </w:rPr>
      </w:pPr>
      <w:r w:rsidRPr="00E1708F">
        <w:rPr>
          <w:rFonts w:ascii="Bookman Old Style" w:eastAsia="Arial Unicode MS" w:hAnsi="Bookman Old Style"/>
        </w:rPr>
        <w:t xml:space="preserve">Magistrada </w:t>
      </w:r>
    </w:p>
    <w:p w14:paraId="0CFD2698" w14:textId="77777777" w:rsidR="00F31CDB" w:rsidRPr="00E1708F" w:rsidRDefault="00F31CDB" w:rsidP="00E1708F">
      <w:pPr>
        <w:spacing w:line="276" w:lineRule="auto"/>
        <w:ind w:firstLine="708"/>
        <w:rPr>
          <w:rFonts w:ascii="Bookman Old Style" w:hAnsi="Bookman Old Style"/>
        </w:rPr>
      </w:pPr>
    </w:p>
    <w:p w14:paraId="66BE4A57" w14:textId="3C3F9A7C" w:rsidR="00F31CDB" w:rsidRDefault="00F31CDB" w:rsidP="00E1708F">
      <w:pPr>
        <w:spacing w:line="276" w:lineRule="auto"/>
        <w:ind w:firstLine="708"/>
        <w:rPr>
          <w:rFonts w:ascii="Bookman Old Style" w:hAnsi="Bookman Old Style"/>
        </w:rPr>
      </w:pPr>
    </w:p>
    <w:p w14:paraId="6F166AD9" w14:textId="77777777" w:rsidR="00E2684A" w:rsidRPr="00E1708F" w:rsidRDefault="00E2684A" w:rsidP="00E1708F">
      <w:pPr>
        <w:spacing w:line="276" w:lineRule="auto"/>
        <w:ind w:firstLine="708"/>
        <w:rPr>
          <w:rFonts w:ascii="Bookman Old Style" w:hAnsi="Bookman Old Style"/>
        </w:rPr>
      </w:pPr>
    </w:p>
    <w:p w14:paraId="2D36E37E" w14:textId="77777777" w:rsidR="00F31CDB" w:rsidRPr="00E1708F" w:rsidRDefault="00F31CDB" w:rsidP="00E1708F">
      <w:pPr>
        <w:spacing w:line="276" w:lineRule="auto"/>
        <w:jc w:val="center"/>
        <w:rPr>
          <w:rFonts w:ascii="Bookman Old Style" w:eastAsia="Arial Unicode MS" w:hAnsi="Bookman Old Style"/>
          <w:b/>
          <w:bCs/>
        </w:rPr>
      </w:pPr>
      <w:r w:rsidRPr="00E1708F">
        <w:rPr>
          <w:rFonts w:ascii="Bookman Old Style" w:eastAsia="Arial Unicode MS" w:hAnsi="Bookman Old Style"/>
          <w:b/>
          <w:bCs/>
        </w:rPr>
        <w:t>JULIO CÉSAR SALAZAR MUÑOZ</w:t>
      </w:r>
    </w:p>
    <w:p w14:paraId="70CE7208" w14:textId="10ADD7DB" w:rsidR="00F31CDB" w:rsidRPr="00E1708F" w:rsidRDefault="00F31CDB" w:rsidP="00E1708F">
      <w:pPr>
        <w:spacing w:line="276" w:lineRule="auto"/>
        <w:jc w:val="center"/>
        <w:rPr>
          <w:rFonts w:ascii="Bookman Old Style" w:hAnsi="Bookman Old Style"/>
        </w:rPr>
      </w:pPr>
      <w:r w:rsidRPr="00E1708F">
        <w:rPr>
          <w:rFonts w:ascii="Bookman Old Style" w:eastAsia="Arial Unicode MS" w:hAnsi="Bookman Old Style"/>
        </w:rPr>
        <w:t>Magistrado</w:t>
      </w:r>
    </w:p>
    <w:sectPr w:rsidR="00F31CDB" w:rsidRPr="00E1708F" w:rsidSect="00E2684A">
      <w:headerReference w:type="default" r:id="rId12"/>
      <w:footerReference w:type="default" r:id="rId13"/>
      <w:pgSz w:w="12242" w:h="18722" w:code="258"/>
      <w:pgMar w:top="2041" w:right="1474" w:bottom="1474" w:left="204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287FB5" w16cex:dateUtc="2023-10-05T18:49:59.585Z"/>
  <w16cex:commentExtensible w16cex:durableId="4149D318" w16cex:dateUtc="2023-10-09T13:45:44.426Z"/>
</w16cex:commentsExtensible>
</file>

<file path=word/commentsIds.xml><?xml version="1.0" encoding="utf-8"?>
<w16cid:commentsIds xmlns:mc="http://schemas.openxmlformats.org/markup-compatibility/2006" xmlns:w16cid="http://schemas.microsoft.com/office/word/2016/wordml/cid" mc:Ignorable="w16cid">
  <w16cid:commentId w16cid:paraId="25EA891A" w16cid:durableId="68287FB5"/>
  <w16cid:commentId w16cid:paraId="59510C3B" w16cid:durableId="4149D3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E4A2B" w14:textId="77777777" w:rsidR="00A100E0" w:rsidRDefault="00A100E0" w:rsidP="009170D4">
      <w:pPr>
        <w:spacing w:line="240" w:lineRule="auto"/>
      </w:pPr>
      <w:r>
        <w:separator/>
      </w:r>
    </w:p>
  </w:endnote>
  <w:endnote w:type="continuationSeparator" w:id="0">
    <w:p w14:paraId="6220B22A" w14:textId="77777777" w:rsidR="00A100E0" w:rsidRDefault="00A100E0" w:rsidP="00917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6325" w14:textId="784E6723" w:rsidR="009170D4" w:rsidRPr="001D330C" w:rsidRDefault="009170D4" w:rsidP="009170D4">
    <w:pPr>
      <w:pBdr>
        <w:bottom w:val="thickThinSmallGap" w:sz="12" w:space="1" w:color="auto"/>
      </w:pBdr>
      <w:spacing w:line="240" w:lineRule="auto"/>
      <w:ind w:left="2552" w:right="2884" w:firstLine="0"/>
      <w:jc w:val="center"/>
      <w:rPr>
        <w:smallCaps/>
        <w:color w:val="auto"/>
        <w:sz w:val="18"/>
        <w:szCs w:val="16"/>
      </w:rPr>
    </w:pPr>
    <w:r w:rsidRPr="001D330C">
      <w:rPr>
        <w:smallCaps/>
        <w:color w:val="auto"/>
        <w:sz w:val="18"/>
        <w:szCs w:val="16"/>
        <w:lang w:val="es-ES"/>
      </w:rPr>
      <w:t xml:space="preserve">Página </w:t>
    </w:r>
    <w:r w:rsidRPr="001D330C">
      <w:rPr>
        <w:bCs/>
        <w:smallCaps/>
        <w:color w:val="auto"/>
        <w:sz w:val="18"/>
        <w:szCs w:val="16"/>
      </w:rPr>
      <w:fldChar w:fldCharType="begin"/>
    </w:r>
    <w:r w:rsidRPr="001D330C">
      <w:rPr>
        <w:bCs/>
        <w:smallCaps/>
        <w:color w:val="auto"/>
        <w:sz w:val="18"/>
        <w:szCs w:val="16"/>
      </w:rPr>
      <w:instrText>PAGE  \* Arabic  \* MERGEFORMAT</w:instrText>
    </w:r>
    <w:r w:rsidRPr="001D330C">
      <w:rPr>
        <w:bCs/>
        <w:smallCaps/>
        <w:color w:val="auto"/>
        <w:sz w:val="18"/>
        <w:szCs w:val="16"/>
      </w:rPr>
      <w:fldChar w:fldCharType="separate"/>
    </w:r>
    <w:r w:rsidR="002052B7" w:rsidRPr="002052B7">
      <w:rPr>
        <w:bCs/>
        <w:smallCaps/>
        <w:noProof/>
        <w:color w:val="auto"/>
        <w:sz w:val="18"/>
        <w:szCs w:val="16"/>
        <w:lang w:val="es-ES"/>
      </w:rPr>
      <w:t>10</w:t>
    </w:r>
    <w:r w:rsidRPr="001D330C">
      <w:rPr>
        <w:bCs/>
        <w:smallCaps/>
        <w:color w:val="auto"/>
        <w:sz w:val="18"/>
        <w:szCs w:val="16"/>
      </w:rPr>
      <w:fldChar w:fldCharType="end"/>
    </w:r>
    <w:r w:rsidRPr="001D330C">
      <w:rPr>
        <w:smallCaps/>
        <w:color w:val="auto"/>
        <w:sz w:val="18"/>
        <w:szCs w:val="16"/>
        <w:lang w:val="es-ES"/>
      </w:rPr>
      <w:t xml:space="preserve"> de </w:t>
    </w:r>
    <w:r w:rsidRPr="001D330C">
      <w:rPr>
        <w:bCs/>
        <w:smallCaps/>
        <w:color w:val="auto"/>
        <w:sz w:val="18"/>
        <w:szCs w:val="16"/>
      </w:rPr>
      <w:fldChar w:fldCharType="begin"/>
    </w:r>
    <w:r w:rsidRPr="001D330C">
      <w:rPr>
        <w:bCs/>
        <w:smallCaps/>
        <w:color w:val="auto"/>
        <w:sz w:val="18"/>
        <w:szCs w:val="16"/>
      </w:rPr>
      <w:instrText>NUMPAGES  \* Arabic  \* MERGEFORMAT</w:instrText>
    </w:r>
    <w:r w:rsidRPr="001D330C">
      <w:rPr>
        <w:bCs/>
        <w:smallCaps/>
        <w:color w:val="auto"/>
        <w:sz w:val="18"/>
        <w:szCs w:val="16"/>
      </w:rPr>
      <w:fldChar w:fldCharType="separate"/>
    </w:r>
    <w:r w:rsidR="002052B7" w:rsidRPr="002052B7">
      <w:rPr>
        <w:bCs/>
        <w:smallCaps/>
        <w:noProof/>
        <w:color w:val="auto"/>
        <w:sz w:val="18"/>
        <w:szCs w:val="16"/>
        <w:lang w:val="es-ES"/>
      </w:rPr>
      <w:t>10</w:t>
    </w:r>
    <w:r w:rsidRPr="001D330C">
      <w:rPr>
        <w:bCs/>
        <w:smallCaps/>
        <w:color w:val="auto"/>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AC84" w14:textId="77777777" w:rsidR="00A100E0" w:rsidRDefault="00A100E0" w:rsidP="009170D4">
      <w:pPr>
        <w:spacing w:line="240" w:lineRule="auto"/>
      </w:pPr>
      <w:r>
        <w:separator/>
      </w:r>
    </w:p>
  </w:footnote>
  <w:footnote w:type="continuationSeparator" w:id="0">
    <w:p w14:paraId="103AC25E" w14:textId="77777777" w:rsidR="00A100E0" w:rsidRDefault="00A100E0" w:rsidP="00917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D7B5" w14:textId="77777777" w:rsidR="009170D4" w:rsidRPr="001D330C" w:rsidRDefault="009170D4" w:rsidP="001D330C">
    <w:pPr>
      <w:spacing w:line="240" w:lineRule="auto"/>
      <w:ind w:left="2552" w:right="2884" w:firstLine="0"/>
      <w:jc w:val="center"/>
      <w:rPr>
        <w:bCs/>
        <w:smallCaps/>
        <w:color w:val="auto"/>
        <w:sz w:val="18"/>
        <w:szCs w:val="16"/>
      </w:rPr>
    </w:pPr>
    <w:r w:rsidRPr="001D330C">
      <w:rPr>
        <w:bCs/>
        <w:smallCaps/>
        <w:color w:val="auto"/>
        <w:sz w:val="18"/>
        <w:szCs w:val="16"/>
      </w:rPr>
      <w:t xml:space="preserve">María del Carmen García Bernal </w:t>
    </w:r>
    <w:r w:rsidRPr="001D330C">
      <w:rPr>
        <w:smallCaps/>
        <w:color w:val="auto"/>
        <w:sz w:val="18"/>
        <w:szCs w:val="16"/>
      </w:rPr>
      <w:t xml:space="preserve">vs </w:t>
    </w:r>
    <w:r w:rsidRPr="001D330C">
      <w:rPr>
        <w:bCs/>
        <w:smallCaps/>
        <w:color w:val="auto"/>
        <w:sz w:val="18"/>
        <w:szCs w:val="16"/>
      </w:rPr>
      <w:t>Colpensiones</w:t>
    </w:r>
  </w:p>
  <w:p w14:paraId="0E780432" w14:textId="09EA7301" w:rsidR="009170D4" w:rsidRPr="001D330C" w:rsidRDefault="009170D4" w:rsidP="001D330C">
    <w:pPr>
      <w:pBdr>
        <w:bottom w:val="thickThinSmallGap" w:sz="12" w:space="1" w:color="auto"/>
      </w:pBdr>
      <w:spacing w:line="240" w:lineRule="auto"/>
      <w:ind w:left="2552" w:right="2884" w:firstLine="0"/>
      <w:jc w:val="center"/>
      <w:rPr>
        <w:smallCaps/>
        <w:color w:val="auto"/>
        <w:sz w:val="18"/>
        <w:szCs w:val="16"/>
      </w:rPr>
    </w:pPr>
    <w:r w:rsidRPr="001D330C">
      <w:rPr>
        <w:bCs/>
        <w:smallCaps/>
        <w:color w:val="auto"/>
        <w:sz w:val="18"/>
        <w:szCs w:val="16"/>
      </w:rPr>
      <w:t>Radicado: 66001310500120200027301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2C3"/>
    <w:multiLevelType w:val="hybridMultilevel"/>
    <w:tmpl w:val="A02E6E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30E87538"/>
    <w:multiLevelType w:val="hybridMultilevel"/>
    <w:tmpl w:val="24C60242"/>
    <w:lvl w:ilvl="0" w:tplc="B94287D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AD4835"/>
    <w:multiLevelType w:val="hybridMultilevel"/>
    <w:tmpl w:val="C80E5B36"/>
    <w:lvl w:ilvl="0" w:tplc="B94287DA">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9BB0045"/>
    <w:multiLevelType w:val="hybridMultilevel"/>
    <w:tmpl w:val="A02E6E4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6FC47CA7"/>
    <w:multiLevelType w:val="multilevel"/>
    <w:tmpl w:val="E842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928AB"/>
    <w:multiLevelType w:val="multilevel"/>
    <w:tmpl w:val="6EDA090C"/>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75547055"/>
    <w:multiLevelType w:val="hybridMultilevel"/>
    <w:tmpl w:val="725A4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8"/>
  </w:num>
  <w:num w:numId="6">
    <w:abstractNumId w:val="8"/>
  </w:num>
  <w:num w:numId="7">
    <w:abstractNumId w:val="8"/>
  </w:num>
  <w:num w:numId="8">
    <w:abstractNumId w:val="8"/>
  </w:num>
  <w:num w:numId="9">
    <w:abstractNumId w:val="6"/>
  </w:num>
  <w:num w:numId="10">
    <w:abstractNumId w:val="3"/>
  </w:num>
  <w:num w:numId="11">
    <w:abstractNumId w:val="0"/>
  </w:num>
  <w:num w:numId="12">
    <w:abstractNumId w:val="7"/>
  </w:num>
  <w:num w:numId="13">
    <w:abstractNumId w:val="11"/>
  </w:num>
  <w:num w:numId="14">
    <w:abstractNumId w:val="2"/>
  </w:num>
  <w:num w:numId="15">
    <w:abstractNumId w:val="5"/>
  </w:num>
  <w:num w:numId="16">
    <w:abstractNumId w:val="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4A"/>
    <w:rsid w:val="000161BD"/>
    <w:rsid w:val="00030381"/>
    <w:rsid w:val="00042D6F"/>
    <w:rsid w:val="000451CB"/>
    <w:rsid w:val="00054B34"/>
    <w:rsid w:val="000565A8"/>
    <w:rsid w:val="00061E13"/>
    <w:rsid w:val="00066114"/>
    <w:rsid w:val="000869DF"/>
    <w:rsid w:val="00087433"/>
    <w:rsid w:val="000C0AD1"/>
    <w:rsid w:val="000C5601"/>
    <w:rsid w:val="000E3212"/>
    <w:rsid w:val="001032AF"/>
    <w:rsid w:val="00113E2D"/>
    <w:rsid w:val="001363CA"/>
    <w:rsid w:val="001364B3"/>
    <w:rsid w:val="0019467B"/>
    <w:rsid w:val="001D330C"/>
    <w:rsid w:val="001D3887"/>
    <w:rsid w:val="001D5E3E"/>
    <w:rsid w:val="001D6565"/>
    <w:rsid w:val="001F240C"/>
    <w:rsid w:val="001F65F0"/>
    <w:rsid w:val="002014E0"/>
    <w:rsid w:val="002052B7"/>
    <w:rsid w:val="00205565"/>
    <w:rsid w:val="00210211"/>
    <w:rsid w:val="00211789"/>
    <w:rsid w:val="00213C4A"/>
    <w:rsid w:val="00217E46"/>
    <w:rsid w:val="002200D7"/>
    <w:rsid w:val="002342E3"/>
    <w:rsid w:val="00247309"/>
    <w:rsid w:val="0026568B"/>
    <w:rsid w:val="0027514D"/>
    <w:rsid w:val="00283A35"/>
    <w:rsid w:val="00294F36"/>
    <w:rsid w:val="002A399A"/>
    <w:rsid w:val="002E0B67"/>
    <w:rsid w:val="00304F5B"/>
    <w:rsid w:val="00311FA8"/>
    <w:rsid w:val="00330548"/>
    <w:rsid w:val="003977E5"/>
    <w:rsid w:val="003B2B3E"/>
    <w:rsid w:val="003B4490"/>
    <w:rsid w:val="003D2AB0"/>
    <w:rsid w:val="003D44A2"/>
    <w:rsid w:val="003F5E6E"/>
    <w:rsid w:val="00400665"/>
    <w:rsid w:val="00404136"/>
    <w:rsid w:val="00443B26"/>
    <w:rsid w:val="004D455B"/>
    <w:rsid w:val="004E5315"/>
    <w:rsid w:val="004F6731"/>
    <w:rsid w:val="00564DE2"/>
    <w:rsid w:val="005655B4"/>
    <w:rsid w:val="005736C4"/>
    <w:rsid w:val="00581D15"/>
    <w:rsid w:val="005B5103"/>
    <w:rsid w:val="005F14D7"/>
    <w:rsid w:val="00607D77"/>
    <w:rsid w:val="00630C2B"/>
    <w:rsid w:val="00654199"/>
    <w:rsid w:val="006611B2"/>
    <w:rsid w:val="00665265"/>
    <w:rsid w:val="006841E6"/>
    <w:rsid w:val="00690A37"/>
    <w:rsid w:val="00694ABB"/>
    <w:rsid w:val="006B05C2"/>
    <w:rsid w:val="006B3D13"/>
    <w:rsid w:val="006B75B5"/>
    <w:rsid w:val="006F268E"/>
    <w:rsid w:val="00720FAA"/>
    <w:rsid w:val="0072308B"/>
    <w:rsid w:val="00737D78"/>
    <w:rsid w:val="007462A3"/>
    <w:rsid w:val="00782F68"/>
    <w:rsid w:val="00794133"/>
    <w:rsid w:val="007C01C0"/>
    <w:rsid w:val="007D01BB"/>
    <w:rsid w:val="007D1775"/>
    <w:rsid w:val="00800B3A"/>
    <w:rsid w:val="0081136B"/>
    <w:rsid w:val="00817666"/>
    <w:rsid w:val="008548ED"/>
    <w:rsid w:val="00864BA7"/>
    <w:rsid w:val="00882F81"/>
    <w:rsid w:val="00887988"/>
    <w:rsid w:val="00895174"/>
    <w:rsid w:val="008A1F0F"/>
    <w:rsid w:val="008C11F0"/>
    <w:rsid w:val="008C7096"/>
    <w:rsid w:val="008E1511"/>
    <w:rsid w:val="008E3802"/>
    <w:rsid w:val="008F0D77"/>
    <w:rsid w:val="00903B33"/>
    <w:rsid w:val="009170D4"/>
    <w:rsid w:val="009309B2"/>
    <w:rsid w:val="00936AB8"/>
    <w:rsid w:val="00964694"/>
    <w:rsid w:val="00974A16"/>
    <w:rsid w:val="00985BE3"/>
    <w:rsid w:val="009B3CAC"/>
    <w:rsid w:val="009C5845"/>
    <w:rsid w:val="009D17E5"/>
    <w:rsid w:val="009D53CC"/>
    <w:rsid w:val="009E29C5"/>
    <w:rsid w:val="00A100E0"/>
    <w:rsid w:val="00A12218"/>
    <w:rsid w:val="00A6251C"/>
    <w:rsid w:val="00A74117"/>
    <w:rsid w:val="00A82E0E"/>
    <w:rsid w:val="00AA50BF"/>
    <w:rsid w:val="00AB0E72"/>
    <w:rsid w:val="00AD15D4"/>
    <w:rsid w:val="00AF5C11"/>
    <w:rsid w:val="00B25B5C"/>
    <w:rsid w:val="00B4505F"/>
    <w:rsid w:val="00B46265"/>
    <w:rsid w:val="00B71E61"/>
    <w:rsid w:val="00B94871"/>
    <w:rsid w:val="00BD3CAE"/>
    <w:rsid w:val="00BD4E11"/>
    <w:rsid w:val="00C24336"/>
    <w:rsid w:val="00C25D88"/>
    <w:rsid w:val="00C343E1"/>
    <w:rsid w:val="00C53F27"/>
    <w:rsid w:val="00C87CE1"/>
    <w:rsid w:val="00C952D7"/>
    <w:rsid w:val="00C96F4F"/>
    <w:rsid w:val="00CC10B4"/>
    <w:rsid w:val="00D0075A"/>
    <w:rsid w:val="00D06960"/>
    <w:rsid w:val="00D1762A"/>
    <w:rsid w:val="00D34482"/>
    <w:rsid w:val="00D42519"/>
    <w:rsid w:val="00D6577F"/>
    <w:rsid w:val="00D84A2A"/>
    <w:rsid w:val="00DA16B7"/>
    <w:rsid w:val="00DB42A0"/>
    <w:rsid w:val="00DB667A"/>
    <w:rsid w:val="00DC78AA"/>
    <w:rsid w:val="00DD5901"/>
    <w:rsid w:val="00DE1438"/>
    <w:rsid w:val="00DE3215"/>
    <w:rsid w:val="00E1708F"/>
    <w:rsid w:val="00E25D11"/>
    <w:rsid w:val="00E2684A"/>
    <w:rsid w:val="00E30CB1"/>
    <w:rsid w:val="00E34957"/>
    <w:rsid w:val="00E44447"/>
    <w:rsid w:val="00E44599"/>
    <w:rsid w:val="00E44BE8"/>
    <w:rsid w:val="00E577DB"/>
    <w:rsid w:val="00E719AD"/>
    <w:rsid w:val="00E71D29"/>
    <w:rsid w:val="00EE410E"/>
    <w:rsid w:val="00EE6755"/>
    <w:rsid w:val="00F10CE9"/>
    <w:rsid w:val="00F1106D"/>
    <w:rsid w:val="00F1327E"/>
    <w:rsid w:val="00F179E9"/>
    <w:rsid w:val="00F31157"/>
    <w:rsid w:val="00F31CDB"/>
    <w:rsid w:val="00F574A8"/>
    <w:rsid w:val="00F67490"/>
    <w:rsid w:val="00F7289B"/>
    <w:rsid w:val="00FB2C7B"/>
    <w:rsid w:val="00FB57F9"/>
    <w:rsid w:val="00FC32CC"/>
    <w:rsid w:val="64ECF543"/>
    <w:rsid w:val="6C745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7B0DE"/>
  <w15:chartTrackingRefBased/>
  <w15:docId w15:val="{5A697168-D5E2-4410-973D-1389753F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18"/>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311FA8"/>
    <w:pPr>
      <w:keepNext/>
      <w:keepLines/>
      <w:spacing w:before="40"/>
      <w:outlineLvl w:val="2"/>
    </w:pPr>
    <w:rPr>
      <w:rFonts w:asciiTheme="majorHAnsi" w:eastAsiaTheme="majorEastAsia" w:hAnsiTheme="majorHAnsi" w:cstheme="majorBidi"/>
      <w:color w:val="711411"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213C4A"/>
    <w:rPr>
      <w:color w:val="0563C1"/>
      <w:u w:val="single"/>
    </w:rPr>
  </w:style>
  <w:style w:type="table" w:styleId="Tablanormal5">
    <w:name w:val="Plain Table 5"/>
    <w:basedOn w:val="Tablanormal"/>
    <w:uiPriority w:val="45"/>
    <w:rsid w:val="00213C4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link w:val="PrrafodelistaCar"/>
    <w:uiPriority w:val="34"/>
    <w:qFormat/>
    <w:rsid w:val="000E3212"/>
    <w:pPr>
      <w:ind w:left="720"/>
      <w:contextualSpacing/>
    </w:pPr>
  </w:style>
  <w:style w:type="paragraph" w:customStyle="1" w:styleId="Textoindependiente23">
    <w:name w:val="Texto independiente 23"/>
    <w:basedOn w:val="Normal"/>
    <w:rsid w:val="00882F81"/>
    <w:pPr>
      <w:overflowPunct w:val="0"/>
      <w:autoSpaceDE w:val="0"/>
      <w:autoSpaceDN w:val="0"/>
      <w:adjustRightInd w:val="0"/>
      <w:textAlignment w:val="baseline"/>
    </w:pPr>
    <w:rPr>
      <w:rFonts w:ascii="Arial Narrow" w:eastAsia="Times New Roman" w:hAnsi="Arial Narrow" w:cs="Times New Roman"/>
      <w:color w:val="auto"/>
      <w:kern w:val="0"/>
      <w:sz w:val="30"/>
      <w:szCs w:val="20"/>
      <w:lang w:eastAsia="es-ES"/>
      <w14:ligatures w14:val="none"/>
    </w:rPr>
  </w:style>
  <w:style w:type="paragraph" w:customStyle="1" w:styleId="Yo">
    <w:name w:val="Yo"/>
    <w:basedOn w:val="Ttulo3"/>
    <w:qFormat/>
    <w:rsid w:val="00311FA8"/>
    <w:pPr>
      <w:keepLines w:val="0"/>
      <w:widowControl w:val="0"/>
      <w:numPr>
        <w:numId w:val="15"/>
      </w:numPr>
      <w:tabs>
        <w:tab w:val="clear" w:pos="1080"/>
        <w:tab w:val="left" w:pos="-1440"/>
        <w:tab w:val="left" w:pos="-720"/>
        <w:tab w:val="num" w:pos="360"/>
      </w:tabs>
      <w:suppressAutoHyphens/>
      <w:spacing w:before="0"/>
      <w:ind w:left="720" w:firstLine="0"/>
      <w:jc w:val="center"/>
    </w:pPr>
    <w:rPr>
      <w:rFonts w:ascii="Bookman Old Style" w:eastAsia="Times New Roman" w:hAnsi="Bookman Old Style" w:cs="Estrangelo Edessa"/>
      <w:b/>
      <w:bCs/>
      <w:color w:val="auto"/>
      <w:kern w:val="0"/>
      <w:sz w:val="28"/>
      <w:szCs w:val="28"/>
      <w:lang w:val="es-ES" w:eastAsia="es-ES"/>
      <w14:ligatures w14:val="none"/>
    </w:rPr>
  </w:style>
  <w:style w:type="character" w:customStyle="1" w:styleId="Ttulo3Car">
    <w:name w:val="Título 3 Car"/>
    <w:basedOn w:val="Fuentedeprrafopredeter"/>
    <w:link w:val="Ttulo3"/>
    <w:uiPriority w:val="9"/>
    <w:semiHidden/>
    <w:rsid w:val="00311FA8"/>
    <w:rPr>
      <w:rFonts w:asciiTheme="majorHAnsi" w:eastAsiaTheme="majorEastAsia" w:hAnsiTheme="majorHAnsi" w:cstheme="majorBidi"/>
      <w:color w:val="711411" w:themeColor="accent1" w:themeShade="7F"/>
    </w:rPr>
  </w:style>
  <w:style w:type="character" w:styleId="Hipervnculovisitado">
    <w:name w:val="FollowedHyperlink"/>
    <w:basedOn w:val="Fuentedeprrafopredeter"/>
    <w:uiPriority w:val="99"/>
    <w:semiHidden/>
    <w:unhideWhenUsed/>
    <w:rsid w:val="003F5E6E"/>
    <w:rPr>
      <w:color w:val="F38B53" w:themeColor="followedHyperlink"/>
      <w:u w:val="single"/>
    </w:rPr>
  </w:style>
  <w:style w:type="character" w:styleId="nfasis">
    <w:name w:val="Emphasis"/>
    <w:basedOn w:val="Fuentedeprrafopredeter"/>
    <w:uiPriority w:val="20"/>
    <w:qFormat/>
    <w:rsid w:val="00782F68"/>
    <w:rPr>
      <w:i/>
      <w:iCs/>
    </w:rPr>
  </w:style>
  <w:style w:type="character" w:styleId="Textoennegrita">
    <w:name w:val="Strong"/>
    <w:basedOn w:val="Fuentedeprrafopredeter"/>
    <w:uiPriority w:val="22"/>
    <w:qFormat/>
    <w:rsid w:val="00E44447"/>
    <w:rPr>
      <w:b/>
      <w:bCs/>
    </w:rPr>
  </w:style>
  <w:style w:type="paragraph" w:styleId="NormalWeb">
    <w:name w:val="Normal (Web)"/>
    <w:basedOn w:val="Normal"/>
    <w:uiPriority w:val="99"/>
    <w:semiHidden/>
    <w:unhideWhenUsed/>
    <w:rsid w:val="00C343E1"/>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PrrafodelistaCar">
    <w:name w:val="Párrafo de lista Car"/>
    <w:link w:val="Prrafodelista"/>
    <w:uiPriority w:val="34"/>
    <w:locked/>
    <w:rsid w:val="00F7289B"/>
  </w:style>
  <w:style w:type="paragraph" w:styleId="Encabezado">
    <w:name w:val="header"/>
    <w:basedOn w:val="Normal"/>
    <w:link w:val="EncabezadoCar"/>
    <w:uiPriority w:val="99"/>
    <w:unhideWhenUsed/>
    <w:rsid w:val="009170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70D4"/>
  </w:style>
  <w:style w:type="paragraph" w:styleId="Piedepgina">
    <w:name w:val="footer"/>
    <w:basedOn w:val="Normal"/>
    <w:link w:val="PiedepginaCar"/>
    <w:uiPriority w:val="99"/>
    <w:unhideWhenUsed/>
    <w:rsid w:val="009170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70D4"/>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07D7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7D77"/>
    <w:rPr>
      <w:rFonts w:ascii="Segoe UI" w:hAnsi="Segoe UI" w:cs="Segoe UI"/>
      <w:sz w:val="18"/>
      <w:szCs w:val="18"/>
    </w:rPr>
  </w:style>
  <w:style w:type="character" w:styleId="Referenciasutil">
    <w:name w:val="Subtle Reference"/>
    <w:basedOn w:val="Fuentedeprrafopredeter"/>
    <w:uiPriority w:val="31"/>
    <w:qFormat/>
    <w:rsid w:val="00E1708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1018">
      <w:bodyDiv w:val="1"/>
      <w:marLeft w:val="0"/>
      <w:marRight w:val="0"/>
      <w:marTop w:val="0"/>
      <w:marBottom w:val="0"/>
      <w:divBdr>
        <w:top w:val="none" w:sz="0" w:space="0" w:color="auto"/>
        <w:left w:val="none" w:sz="0" w:space="0" w:color="auto"/>
        <w:bottom w:val="none" w:sz="0" w:space="0" w:color="auto"/>
        <w:right w:val="none" w:sz="0" w:space="0" w:color="auto"/>
      </w:divBdr>
    </w:div>
    <w:div w:id="15828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2fe2a8c51b124253" Type="http://schemas.microsoft.com/office/2016/09/relationships/commentsIds" Target="commentsIds.xml"/><Relationship Id="Rca7d2349a943404d" Type="http://schemas.microsoft.com/office/2018/08/relationships/commentsExtensible" Target="commentsExtensi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D1AB4-4381-4298-BC4A-EF4F41A152E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D4F0CF5D-2CC0-43FC-B19F-9BCE4C70F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596D5-6FA0-4E3A-93BA-3021A25A2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3411</Words>
  <Characters>19449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2023-10-12T15:31:00Z</dcterms:created>
  <dcterms:modified xsi:type="dcterms:W3CDTF">2023-11-22T20:33:00Z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