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62E59178" w14:textId="77777777" w:rsidR="00BC56AE" w:rsidRPr="00F721EF" w:rsidRDefault="00B566B7" w:rsidP="00BC56AE">
      <w:pPr>
        <w:spacing w:line="240" w:lineRule="auto"/>
        <w:ind w:firstLine="0"/>
        <w:contextualSpacing/>
        <w:rPr>
          <w:rFonts w:eastAsia="Calibri" w:cs="Arial"/>
          <w:b/>
          <w:sz w:val="20"/>
          <w:szCs w:val="22"/>
          <w:lang w:val="es-ES"/>
        </w:rPr>
      </w:pPr>
      <w:r w:rsidRPr="00F721EF">
        <w:fldChar w:fldCharType="begin"/>
      </w:r>
      <w:r w:rsidRPr="00F721EF">
        <w:instrText xml:space="preserve"> HYPERLINK "http://tribunalsuperiorpereira.com/Relatoria/2021/SALA_LABORAL/GERMAN_DARIO_GOEZ_VINASCO/07.Julio/Sentencias_Seguridad_Social/IT%20%202018-00074%20%28S%29%20-%20Ineficacia%20traslado%20de%20regimen.%20Deber%20de%20informacion.%20Es%20carga%20de</w:instrText>
      </w:r>
      <w:r w:rsidRPr="00F721EF">
        <w:instrText xml:space="preserve">%20las%20AFP.%20Tambien%20les%20incumbe%20la%20carga%20probatoria%20%28AV%29.pdf" </w:instrText>
      </w:r>
      <w:r w:rsidRPr="00F721EF">
        <w:fldChar w:fldCharType="separate"/>
      </w:r>
      <w:r w:rsidR="00BC56AE" w:rsidRPr="00F721EF">
        <w:rPr>
          <w:rFonts w:eastAsia="Calibri" w:cs="Arial"/>
          <w:b/>
          <w:sz w:val="20"/>
          <w:szCs w:val="22"/>
        </w:rPr>
        <w:t>INEFICACIA TRASLADO DE RÉGIMEN / DEBERES DE LAS AFP / GESTIONAR LOS INTERESES DE SUS AFILIADOS</w:t>
      </w:r>
      <w:r w:rsidRPr="00F721EF">
        <w:rPr>
          <w:rFonts w:eastAsia="Calibri" w:cs="Arial"/>
          <w:b/>
          <w:sz w:val="20"/>
          <w:szCs w:val="22"/>
        </w:rPr>
        <w:fldChar w:fldCharType="end"/>
      </w:r>
    </w:p>
    <w:p w14:paraId="1C0A92EB" w14:textId="77777777" w:rsidR="00BC56AE" w:rsidRPr="00F721EF" w:rsidRDefault="00BC56AE" w:rsidP="00BC56AE">
      <w:pPr>
        <w:spacing w:line="240" w:lineRule="auto"/>
        <w:ind w:firstLine="0"/>
        <w:contextualSpacing/>
        <w:rPr>
          <w:rFonts w:eastAsia="Calibri" w:cs="Arial"/>
          <w:sz w:val="20"/>
          <w:szCs w:val="22"/>
        </w:rPr>
      </w:pPr>
      <w:r w:rsidRPr="00F721EF">
        <w:rPr>
          <w:rFonts w:eastAsia="Calibri" w:cs="Arial"/>
          <w:sz w:val="20"/>
          <w:szCs w:val="22"/>
        </w:rPr>
        <w:t>…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w:t>
      </w:r>
    </w:p>
    <w:p w14:paraId="5CB3118B" w14:textId="77777777" w:rsidR="00BC56AE" w:rsidRPr="00F721EF" w:rsidRDefault="00BC56AE" w:rsidP="00BC56AE">
      <w:pPr>
        <w:spacing w:line="240" w:lineRule="auto"/>
        <w:ind w:firstLine="0"/>
        <w:contextualSpacing/>
        <w:rPr>
          <w:rFonts w:eastAsia="Calibri" w:cs="Arial"/>
          <w:sz w:val="20"/>
          <w:szCs w:val="22"/>
        </w:rPr>
      </w:pPr>
    </w:p>
    <w:p w14:paraId="5CB4E8F8" w14:textId="77777777" w:rsidR="00BC56AE" w:rsidRPr="00F721EF" w:rsidRDefault="00B566B7" w:rsidP="00BC56AE">
      <w:pPr>
        <w:spacing w:line="240" w:lineRule="auto"/>
        <w:ind w:firstLine="0"/>
        <w:contextualSpacing/>
        <w:rPr>
          <w:rFonts w:eastAsia="Calibri" w:cs="Arial"/>
          <w:b/>
          <w:sz w:val="20"/>
          <w:szCs w:val="22"/>
        </w:rPr>
      </w:pPr>
      <w:hyperlink r:id="rId11" w:history="1">
        <w:r w:rsidR="00BC56AE" w:rsidRPr="00F721EF">
          <w:rPr>
            <w:rFonts w:eastAsia="Calibri" w:cs="Arial"/>
            <w:b/>
            <w:sz w:val="20"/>
            <w:szCs w:val="22"/>
          </w:rPr>
          <w:t>INEFICACIA TRASLADO DE RÉGIMEN / OBLIGACIÓN AFP / SUMINISTRAR INFORMACIÓN COMPLETA Y COMPRENSIBLE</w:t>
        </w:r>
      </w:hyperlink>
    </w:p>
    <w:p w14:paraId="235A6C61" w14:textId="77777777" w:rsidR="00BC56AE" w:rsidRPr="00F721EF" w:rsidRDefault="00BC56AE" w:rsidP="00BC56AE">
      <w:pPr>
        <w:spacing w:line="240" w:lineRule="auto"/>
        <w:ind w:firstLine="0"/>
        <w:contextualSpacing/>
        <w:rPr>
          <w:rFonts w:eastAsia="Calibri" w:cs="Arial"/>
          <w:sz w:val="20"/>
          <w:szCs w:val="22"/>
        </w:rPr>
      </w:pPr>
      <w:r w:rsidRPr="00F721EF">
        <w:rPr>
          <w:rFonts w:eastAsia="Calibri" w:cs="Arial"/>
          <w:sz w:val="20"/>
          <w:szCs w:val="22"/>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w:t>
      </w:r>
    </w:p>
    <w:p w14:paraId="5EFC897F" w14:textId="77777777" w:rsidR="00BC56AE" w:rsidRPr="00F721EF" w:rsidRDefault="00BC56AE" w:rsidP="00BC56AE">
      <w:pPr>
        <w:spacing w:line="240" w:lineRule="auto"/>
        <w:ind w:firstLine="0"/>
        <w:contextualSpacing/>
        <w:rPr>
          <w:rFonts w:eastAsia="Calibri" w:cs="Arial"/>
          <w:sz w:val="20"/>
          <w:szCs w:val="22"/>
        </w:rPr>
      </w:pPr>
    </w:p>
    <w:p w14:paraId="1933B930" w14:textId="77777777" w:rsidR="00BC56AE" w:rsidRPr="00F721EF" w:rsidRDefault="00B566B7" w:rsidP="00BC56AE">
      <w:pPr>
        <w:spacing w:line="240" w:lineRule="auto"/>
        <w:ind w:firstLine="0"/>
        <w:contextualSpacing/>
        <w:rPr>
          <w:rFonts w:eastAsia="Calibri" w:cs="Arial"/>
          <w:b/>
          <w:sz w:val="20"/>
          <w:szCs w:val="22"/>
          <w:lang w:val="es-ES"/>
        </w:rPr>
      </w:pPr>
      <w:hyperlink r:id="rId12" w:history="1">
        <w:r w:rsidR="00BC56AE" w:rsidRPr="00F721EF">
          <w:rPr>
            <w:rFonts w:eastAsia="Calibri" w:cs="Arial"/>
            <w:b/>
            <w:sz w:val="20"/>
            <w:szCs w:val="22"/>
          </w:rPr>
          <w:t>INEFICACIA TRASLADO DE RÉGIMEN / CARGA PROBATORIA DE LAS AFP / DEMOSTRAR QUE CUMPLIERON DEBER</w:t>
        </w:r>
      </w:hyperlink>
      <w:r w:rsidR="00BC56AE" w:rsidRPr="00F721EF">
        <w:rPr>
          <w:rFonts w:eastAsia="Calibri" w:cs="Arial"/>
          <w:b/>
          <w:sz w:val="20"/>
          <w:szCs w:val="22"/>
        </w:rPr>
        <w:t xml:space="preserve"> EL DEBER DE INFORMACIÓN</w:t>
      </w:r>
    </w:p>
    <w:p w14:paraId="70541710" w14:textId="77777777" w:rsidR="00BC56AE" w:rsidRPr="00F721EF" w:rsidRDefault="00BC56AE" w:rsidP="00BC56AE">
      <w:pPr>
        <w:spacing w:line="240" w:lineRule="auto"/>
        <w:ind w:firstLine="0"/>
        <w:contextualSpacing/>
        <w:rPr>
          <w:rFonts w:eastAsia="Calibri" w:cs="Arial"/>
          <w:sz w:val="22"/>
          <w:szCs w:val="22"/>
        </w:rPr>
      </w:pPr>
      <w:r w:rsidRPr="00F721EF">
        <w:rPr>
          <w:rFonts w:eastAsia="Calibri" w:cs="Arial"/>
          <w:sz w:val="20"/>
          <w:szCs w:val="22"/>
        </w:rPr>
        <w:t>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pues no puede pretenderse que el afiliado acredite tales aspectos, puesto que, las normas que rigen a los fondos privados imponen el deber de información, razón suficiente para que estos precisen las pruebas que acrediten la calidad de la asesoría brindada.</w:t>
      </w:r>
    </w:p>
    <w:bookmarkEnd w:id="0"/>
    <w:p w14:paraId="6505BC98" w14:textId="77777777" w:rsidR="00BC56AE" w:rsidRPr="00FB29B9" w:rsidRDefault="00BC56AE" w:rsidP="00BC56AE">
      <w:pPr>
        <w:spacing w:line="240" w:lineRule="auto"/>
        <w:ind w:firstLine="0"/>
        <w:rPr>
          <w:rFonts w:cs="Arial"/>
          <w:sz w:val="20"/>
        </w:rPr>
      </w:pPr>
    </w:p>
    <w:p w14:paraId="2820EFC2" w14:textId="77777777" w:rsidR="00BC56AE" w:rsidRPr="00FB29B9" w:rsidRDefault="00BC56AE" w:rsidP="00BC56AE">
      <w:pPr>
        <w:spacing w:line="240" w:lineRule="auto"/>
        <w:ind w:firstLine="0"/>
        <w:rPr>
          <w:rFonts w:cs="Arial"/>
          <w:sz w:val="20"/>
        </w:rPr>
      </w:pPr>
    </w:p>
    <w:p w14:paraId="129AA578" w14:textId="77777777" w:rsidR="00BC56AE" w:rsidRPr="00FB29B9" w:rsidRDefault="00BC56AE" w:rsidP="00BC56AE">
      <w:pPr>
        <w:spacing w:line="240" w:lineRule="auto"/>
        <w:ind w:firstLine="0"/>
        <w:rPr>
          <w:rFonts w:cs="Arial"/>
          <w:sz w:val="20"/>
        </w:rPr>
      </w:pPr>
    </w:p>
    <w:p w14:paraId="17B356C1" w14:textId="77777777" w:rsidR="003073FB" w:rsidRPr="00A242A8" w:rsidRDefault="003073FB" w:rsidP="000712A2">
      <w:pPr>
        <w:spacing w:line="276" w:lineRule="auto"/>
        <w:ind w:firstLine="0"/>
        <w:jc w:val="center"/>
        <w:rPr>
          <w:rFonts w:ascii="Bookman Old Style" w:hAnsi="Bookman Old Style" w:cs="Arial"/>
          <w:b/>
          <w:bCs/>
        </w:rPr>
      </w:pPr>
      <w:r w:rsidRPr="00A242A8">
        <w:rPr>
          <w:rFonts w:ascii="Bookman Old Style" w:hAnsi="Bookman Old Style" w:cs="Arial"/>
          <w:b/>
          <w:bCs/>
        </w:rPr>
        <w:t>REPÚBLICA DE COLOMBIA</w:t>
      </w:r>
    </w:p>
    <w:p w14:paraId="5613DBDD" w14:textId="77777777" w:rsidR="003073FB" w:rsidRPr="00A242A8" w:rsidRDefault="003073FB" w:rsidP="000712A2">
      <w:pPr>
        <w:spacing w:line="276" w:lineRule="auto"/>
        <w:ind w:firstLine="0"/>
        <w:jc w:val="center"/>
        <w:rPr>
          <w:rFonts w:ascii="Bookman Old Style" w:hAnsi="Bookman Old Style" w:cs="Arial"/>
          <w:b/>
          <w:bCs/>
        </w:rPr>
      </w:pPr>
      <w:r w:rsidRPr="00A242A8">
        <w:rPr>
          <w:rFonts w:ascii="Bookman Old Style" w:hAnsi="Bookman Old Style" w:cs="Arial"/>
          <w:b/>
          <w:bCs/>
        </w:rPr>
        <w:t>RAMA JUDICIAL DEL PODER PÚBLICO</w:t>
      </w:r>
    </w:p>
    <w:p w14:paraId="52E69E80" w14:textId="77777777" w:rsidR="003073FB" w:rsidRPr="00A242A8" w:rsidRDefault="003073FB" w:rsidP="000712A2">
      <w:pPr>
        <w:spacing w:line="276" w:lineRule="auto"/>
        <w:ind w:firstLine="0"/>
        <w:jc w:val="center"/>
        <w:rPr>
          <w:rFonts w:ascii="Bookman Old Style" w:hAnsi="Bookman Old Style" w:cs="Arial"/>
          <w:b/>
          <w:bCs/>
        </w:rPr>
      </w:pPr>
      <w:r w:rsidRPr="00A242A8">
        <w:rPr>
          <w:rFonts w:ascii="Bookman Old Style" w:hAnsi="Bookman Old Style" w:cs="Arial"/>
          <w:noProof/>
          <w:lang w:val="en-US"/>
        </w:rPr>
        <w:drawing>
          <wp:anchor distT="0" distB="0" distL="114300" distR="114300" simplePos="0" relativeHeight="251659264" behindDoc="0" locked="0" layoutInCell="1" allowOverlap="1" wp14:anchorId="117B3966" wp14:editId="3F55CBD5">
            <wp:simplePos x="0" y="0"/>
            <wp:positionH relativeFrom="page">
              <wp:align>center</wp:align>
            </wp:positionH>
            <wp:positionV relativeFrom="paragraph">
              <wp:posOffset>16934</wp:posOffset>
            </wp:positionV>
            <wp:extent cx="800100" cy="628650"/>
            <wp:effectExtent l="0" t="0" r="0" b="0"/>
            <wp:wrapSquare wrapText="bothSides"/>
            <wp:docPr id="2" name="Imagen 2"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ior, gato, pequeño, tabl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anchor>
        </w:drawing>
      </w:r>
      <w:r w:rsidRPr="00A242A8">
        <w:rPr>
          <w:rFonts w:ascii="Bookman Old Style" w:hAnsi="Bookman Old Style" w:cs="Arial"/>
          <w:b/>
          <w:bCs/>
        </w:rPr>
        <w:br w:type="textWrapping" w:clear="all"/>
        <w:t>TRIBUNAL SUPERIOR DEL DISTRITO JUDICIAL DE PEREIRA</w:t>
      </w:r>
    </w:p>
    <w:p w14:paraId="745B7FF2" w14:textId="77777777" w:rsidR="003073FB" w:rsidRPr="00A242A8" w:rsidRDefault="003073FB" w:rsidP="000712A2">
      <w:pPr>
        <w:spacing w:line="276" w:lineRule="auto"/>
        <w:ind w:firstLine="0"/>
        <w:jc w:val="center"/>
        <w:rPr>
          <w:rFonts w:ascii="Bookman Old Style" w:hAnsi="Bookman Old Style" w:cs="Arial"/>
          <w:b/>
          <w:bCs/>
        </w:rPr>
      </w:pPr>
      <w:r w:rsidRPr="00A242A8">
        <w:rPr>
          <w:rFonts w:ascii="Bookman Old Style" w:hAnsi="Bookman Old Style" w:cs="Arial"/>
          <w:b/>
          <w:bCs/>
        </w:rPr>
        <w:t>SALA DE DECISIÓN LABORAL</w:t>
      </w:r>
    </w:p>
    <w:p w14:paraId="754852E2" w14:textId="77777777" w:rsidR="003073FB" w:rsidRPr="00A242A8" w:rsidRDefault="003073FB" w:rsidP="000712A2">
      <w:pPr>
        <w:spacing w:line="276" w:lineRule="auto"/>
        <w:ind w:firstLine="0"/>
        <w:rPr>
          <w:rFonts w:ascii="Bookman Old Style" w:hAnsi="Bookman Old Style" w:cs="Arial"/>
        </w:rPr>
      </w:pPr>
    </w:p>
    <w:p w14:paraId="72A09E8F" w14:textId="77777777" w:rsidR="003073FB" w:rsidRPr="00A242A8" w:rsidRDefault="003073FB" w:rsidP="000712A2">
      <w:pPr>
        <w:spacing w:line="276" w:lineRule="auto"/>
        <w:ind w:firstLine="0"/>
        <w:jc w:val="center"/>
        <w:rPr>
          <w:rFonts w:ascii="Bookman Old Style" w:hAnsi="Bookman Old Style" w:cs="Arial"/>
        </w:rPr>
      </w:pPr>
      <w:r w:rsidRPr="00A242A8">
        <w:rPr>
          <w:rFonts w:ascii="Bookman Old Style" w:hAnsi="Bookman Old Style" w:cs="Arial"/>
          <w:b/>
          <w:bCs/>
        </w:rPr>
        <w:t>Dr. GERMÁN DARÍO GÓEZ VINASCO</w:t>
      </w:r>
    </w:p>
    <w:p w14:paraId="16EFDAE6" w14:textId="77777777" w:rsidR="003073FB" w:rsidRPr="00A242A8" w:rsidRDefault="003073FB" w:rsidP="000712A2">
      <w:pPr>
        <w:spacing w:line="276" w:lineRule="auto"/>
        <w:ind w:firstLine="0"/>
        <w:jc w:val="center"/>
        <w:rPr>
          <w:rFonts w:ascii="Bookman Old Style" w:hAnsi="Bookman Old Style" w:cs="Arial"/>
        </w:rPr>
      </w:pPr>
      <w:r w:rsidRPr="00A242A8">
        <w:rPr>
          <w:rFonts w:ascii="Bookman Old Style" w:hAnsi="Bookman Old Style" w:cs="Arial"/>
        </w:rPr>
        <w:t>Magistrado Ponente</w:t>
      </w:r>
    </w:p>
    <w:p w14:paraId="0AAD6247" w14:textId="77777777" w:rsidR="003073FB" w:rsidRPr="001078C5" w:rsidRDefault="003073FB" w:rsidP="001078C5">
      <w:pPr>
        <w:spacing w:line="276" w:lineRule="auto"/>
        <w:ind w:firstLine="0"/>
        <w:jc w:val="center"/>
        <w:rPr>
          <w:rFonts w:ascii="Bookman Old Style" w:hAnsi="Bookman Old Style"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5"/>
        <w:gridCol w:w="6940"/>
      </w:tblGrid>
      <w:tr w:rsidR="003073FB" w:rsidRPr="001078C5" w14:paraId="70B43AF3" w14:textId="77777777" w:rsidTr="00141646">
        <w:tc>
          <w:tcPr>
            <w:tcW w:w="1121" w:type="pct"/>
            <w:shd w:val="clear" w:color="000000" w:fill="FFFFFF"/>
          </w:tcPr>
          <w:p w14:paraId="38A00487"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bCs/>
                <w:sz w:val="22"/>
                <w:lang w:eastAsia="es-ES"/>
              </w:rPr>
              <w:t>Proceso:</w:t>
            </w:r>
          </w:p>
        </w:tc>
        <w:tc>
          <w:tcPr>
            <w:tcW w:w="3879" w:type="pct"/>
            <w:shd w:val="clear" w:color="000000" w:fill="FFFFFF"/>
            <w:vAlign w:val="center"/>
            <w:hideMark/>
          </w:tcPr>
          <w:p w14:paraId="6DDA7480"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eastAsia="Times New Roman" w:hAnsi="Bookman Old Style" w:cs="Arial"/>
                <w:color w:val="000000"/>
                <w:sz w:val="22"/>
                <w:lang w:val="es-ES_tradnl" w:eastAsia="es-CO"/>
              </w:rPr>
              <w:t>Ordinario Laboral</w:t>
            </w:r>
          </w:p>
        </w:tc>
      </w:tr>
      <w:tr w:rsidR="003073FB" w:rsidRPr="001078C5" w14:paraId="4BBBDC7E" w14:textId="77777777" w:rsidTr="00141646">
        <w:tc>
          <w:tcPr>
            <w:tcW w:w="1121" w:type="pct"/>
            <w:shd w:val="clear" w:color="000000" w:fill="FFFFFF"/>
          </w:tcPr>
          <w:p w14:paraId="4D465E35"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bCs/>
                <w:sz w:val="22"/>
                <w:lang w:eastAsia="es-ES"/>
              </w:rPr>
              <w:t>Radicado:</w:t>
            </w:r>
          </w:p>
        </w:tc>
        <w:tc>
          <w:tcPr>
            <w:tcW w:w="3879" w:type="pct"/>
            <w:shd w:val="clear" w:color="000000" w:fill="FFFFFF"/>
            <w:vAlign w:val="center"/>
          </w:tcPr>
          <w:p w14:paraId="1F9900AE" w14:textId="51CA6D83" w:rsidR="003073FB" w:rsidRPr="001078C5" w:rsidRDefault="00473458" w:rsidP="001078C5">
            <w:pPr>
              <w:spacing w:line="240" w:lineRule="auto"/>
              <w:ind w:firstLine="0"/>
              <w:jc w:val="left"/>
              <w:rPr>
                <w:rFonts w:ascii="Bookman Old Style" w:eastAsia="Times New Roman" w:hAnsi="Bookman Old Style" w:cs="Arial"/>
                <w:sz w:val="22"/>
                <w:lang w:eastAsia="es-CO"/>
              </w:rPr>
            </w:pPr>
            <w:r w:rsidRPr="001078C5">
              <w:rPr>
                <w:rFonts w:ascii="Bookman Old Style" w:eastAsia="Times New Roman" w:hAnsi="Bookman Old Style" w:cs="Arial"/>
                <w:sz w:val="22"/>
                <w:lang w:eastAsia="es-CO"/>
              </w:rPr>
              <w:t>66001310500220210016401</w:t>
            </w:r>
          </w:p>
        </w:tc>
      </w:tr>
      <w:tr w:rsidR="003073FB" w:rsidRPr="001078C5" w14:paraId="46E0C80B" w14:textId="77777777" w:rsidTr="00141646">
        <w:tc>
          <w:tcPr>
            <w:tcW w:w="1121" w:type="pct"/>
            <w:shd w:val="clear" w:color="000000" w:fill="FFFFFF"/>
          </w:tcPr>
          <w:p w14:paraId="010699FB"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bCs/>
                <w:sz w:val="22"/>
                <w:lang w:eastAsia="es-ES"/>
              </w:rPr>
              <w:t>Demandante:</w:t>
            </w:r>
          </w:p>
        </w:tc>
        <w:tc>
          <w:tcPr>
            <w:tcW w:w="3879" w:type="pct"/>
            <w:shd w:val="clear" w:color="000000" w:fill="FFFFFF"/>
            <w:vAlign w:val="center"/>
          </w:tcPr>
          <w:p w14:paraId="754DDB3E" w14:textId="19A1C92E" w:rsidR="003073FB" w:rsidRPr="001078C5" w:rsidRDefault="00D34DEA" w:rsidP="001078C5">
            <w:pPr>
              <w:spacing w:line="240" w:lineRule="auto"/>
              <w:ind w:firstLine="0"/>
              <w:jc w:val="left"/>
              <w:rPr>
                <w:rFonts w:ascii="Bookman Old Style" w:eastAsia="Times New Roman" w:hAnsi="Bookman Old Style" w:cs="Arial"/>
                <w:sz w:val="22"/>
                <w:lang w:eastAsia="es-CO"/>
              </w:rPr>
            </w:pPr>
            <w:r w:rsidRPr="001078C5">
              <w:rPr>
                <w:rFonts w:ascii="Bookman Old Style" w:eastAsia="Times New Roman" w:hAnsi="Bookman Old Style" w:cs="Arial"/>
                <w:sz w:val="22"/>
                <w:lang w:eastAsia="es-CO"/>
              </w:rPr>
              <w:t>Irma Lucila Núñez Barrera</w:t>
            </w:r>
          </w:p>
        </w:tc>
      </w:tr>
      <w:tr w:rsidR="003073FB" w:rsidRPr="001078C5" w14:paraId="4940F96F" w14:textId="77777777" w:rsidTr="00141646">
        <w:tc>
          <w:tcPr>
            <w:tcW w:w="1121" w:type="pct"/>
            <w:shd w:val="clear" w:color="000000" w:fill="FFFFFF"/>
          </w:tcPr>
          <w:p w14:paraId="38673061"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bCs/>
                <w:sz w:val="22"/>
                <w:lang w:eastAsia="es-ES"/>
              </w:rPr>
              <w:t>Demandado:</w:t>
            </w:r>
          </w:p>
        </w:tc>
        <w:tc>
          <w:tcPr>
            <w:tcW w:w="3879" w:type="pct"/>
            <w:shd w:val="clear" w:color="000000" w:fill="FFFFFF"/>
            <w:vAlign w:val="center"/>
          </w:tcPr>
          <w:p w14:paraId="69B7BFAB" w14:textId="529CE422" w:rsidR="003073FB" w:rsidRPr="001078C5" w:rsidRDefault="00D34DEA" w:rsidP="001078C5">
            <w:pPr>
              <w:spacing w:line="240" w:lineRule="auto"/>
              <w:ind w:firstLine="0"/>
              <w:jc w:val="left"/>
              <w:rPr>
                <w:rFonts w:ascii="Bookman Old Style" w:eastAsia="Times New Roman" w:hAnsi="Bookman Old Style" w:cs="Arial"/>
                <w:sz w:val="22"/>
                <w:lang w:eastAsia="es-CO"/>
              </w:rPr>
            </w:pPr>
            <w:r w:rsidRPr="001078C5">
              <w:rPr>
                <w:rFonts w:ascii="Bookman Old Style" w:eastAsia="Times New Roman" w:hAnsi="Bookman Old Style" w:cs="Arial"/>
                <w:noProof/>
                <w:sz w:val="22"/>
                <w:lang w:eastAsia="es-CO"/>
              </w:rPr>
              <w:t>Colpensiones</w:t>
            </w:r>
            <w:r w:rsidR="00495106" w:rsidRPr="001078C5">
              <w:rPr>
                <w:rFonts w:ascii="Bookman Old Style" w:eastAsia="Times New Roman" w:hAnsi="Bookman Old Style" w:cs="Arial"/>
                <w:noProof/>
                <w:sz w:val="22"/>
                <w:lang w:eastAsia="es-CO"/>
              </w:rPr>
              <w:t xml:space="preserve">, </w:t>
            </w:r>
            <w:r w:rsidRPr="001078C5">
              <w:rPr>
                <w:rFonts w:ascii="Bookman Old Style" w:eastAsia="Times New Roman" w:hAnsi="Bookman Old Style" w:cs="Arial"/>
                <w:noProof/>
                <w:sz w:val="22"/>
                <w:lang w:eastAsia="es-CO"/>
              </w:rPr>
              <w:t xml:space="preserve">Porvenir </w:t>
            </w:r>
            <w:r w:rsidR="00495106" w:rsidRPr="001078C5">
              <w:rPr>
                <w:rFonts w:ascii="Bookman Old Style" w:eastAsia="Times New Roman" w:hAnsi="Bookman Old Style" w:cs="Arial"/>
                <w:noProof/>
                <w:sz w:val="22"/>
                <w:lang w:eastAsia="es-CO"/>
              </w:rPr>
              <w:t>S.A.,</w:t>
            </w:r>
            <w:r w:rsidR="00EA01A3" w:rsidRPr="001078C5">
              <w:rPr>
                <w:rFonts w:ascii="Bookman Old Style" w:eastAsia="Times New Roman" w:hAnsi="Bookman Old Style" w:cs="Arial"/>
                <w:noProof/>
                <w:sz w:val="22"/>
                <w:lang w:eastAsia="es-CO"/>
              </w:rPr>
              <w:t xml:space="preserve"> </w:t>
            </w:r>
            <w:r w:rsidRPr="001078C5">
              <w:rPr>
                <w:rFonts w:ascii="Bookman Old Style" w:eastAsia="Times New Roman" w:hAnsi="Bookman Old Style" w:cs="Arial"/>
                <w:noProof/>
                <w:sz w:val="22"/>
                <w:lang w:eastAsia="es-CO"/>
              </w:rPr>
              <w:t xml:space="preserve">Protección </w:t>
            </w:r>
            <w:r w:rsidR="00C83AF9" w:rsidRPr="001078C5">
              <w:rPr>
                <w:rFonts w:ascii="Bookman Old Style" w:eastAsia="Times New Roman" w:hAnsi="Bookman Old Style" w:cs="Arial"/>
                <w:noProof/>
                <w:sz w:val="22"/>
                <w:lang w:eastAsia="es-CO"/>
              </w:rPr>
              <w:t>S.A.</w:t>
            </w:r>
            <w:r w:rsidR="00495106" w:rsidRPr="001078C5">
              <w:rPr>
                <w:rFonts w:ascii="Bookman Old Style" w:eastAsia="Times New Roman" w:hAnsi="Bookman Old Style" w:cs="Arial"/>
                <w:noProof/>
                <w:sz w:val="22"/>
                <w:lang w:eastAsia="es-CO"/>
              </w:rPr>
              <w:t xml:space="preserve">, </w:t>
            </w:r>
            <w:r w:rsidRPr="001078C5">
              <w:rPr>
                <w:rFonts w:ascii="Bookman Old Style" w:eastAsia="Times New Roman" w:hAnsi="Bookman Old Style" w:cs="Arial"/>
                <w:noProof/>
                <w:sz w:val="22"/>
                <w:lang w:eastAsia="es-CO"/>
              </w:rPr>
              <w:t xml:space="preserve">Colfondos </w:t>
            </w:r>
            <w:r w:rsidR="00495106" w:rsidRPr="001078C5">
              <w:rPr>
                <w:rFonts w:ascii="Bookman Old Style" w:eastAsia="Times New Roman" w:hAnsi="Bookman Old Style" w:cs="Arial"/>
                <w:noProof/>
                <w:sz w:val="22"/>
                <w:lang w:eastAsia="es-CO"/>
              </w:rPr>
              <w:t xml:space="preserve">S.A. y </w:t>
            </w:r>
            <w:r w:rsidRPr="001078C5">
              <w:rPr>
                <w:rFonts w:ascii="Bookman Old Style" w:eastAsia="Times New Roman" w:hAnsi="Bookman Old Style" w:cs="Arial"/>
                <w:noProof/>
                <w:sz w:val="22"/>
                <w:lang w:eastAsia="es-CO"/>
              </w:rPr>
              <w:t xml:space="preserve">Skandia </w:t>
            </w:r>
            <w:r w:rsidR="00495106" w:rsidRPr="001078C5">
              <w:rPr>
                <w:rFonts w:ascii="Bookman Old Style" w:eastAsia="Times New Roman" w:hAnsi="Bookman Old Style" w:cs="Arial"/>
                <w:noProof/>
                <w:sz w:val="22"/>
                <w:lang w:eastAsia="es-CO"/>
              </w:rPr>
              <w:t>S.A.</w:t>
            </w:r>
            <w:r w:rsidR="000A5FC5" w:rsidRPr="001078C5">
              <w:rPr>
                <w:rFonts w:ascii="Bookman Old Style" w:eastAsia="Times New Roman" w:hAnsi="Bookman Old Style" w:cs="Arial"/>
                <w:noProof/>
                <w:sz w:val="22"/>
                <w:lang w:eastAsia="es-CO"/>
              </w:rPr>
              <w:t xml:space="preserve"> </w:t>
            </w:r>
          </w:p>
        </w:tc>
      </w:tr>
      <w:tr w:rsidR="00495106" w:rsidRPr="001078C5" w14:paraId="60E1690C" w14:textId="77777777" w:rsidTr="00141646">
        <w:tc>
          <w:tcPr>
            <w:tcW w:w="1121" w:type="pct"/>
            <w:shd w:val="clear" w:color="000000" w:fill="FFFFFF"/>
          </w:tcPr>
          <w:p w14:paraId="6A201CFA" w14:textId="0DE1135C" w:rsidR="00495106" w:rsidRPr="001078C5" w:rsidRDefault="00495106" w:rsidP="001078C5">
            <w:pPr>
              <w:spacing w:line="240" w:lineRule="auto"/>
              <w:ind w:firstLine="0"/>
              <w:jc w:val="left"/>
              <w:rPr>
                <w:rFonts w:ascii="Bookman Old Style" w:hAnsi="Bookman Old Style" w:cs="Arial"/>
                <w:bCs/>
                <w:sz w:val="22"/>
                <w:lang w:eastAsia="es-ES"/>
              </w:rPr>
            </w:pPr>
            <w:r w:rsidRPr="001078C5">
              <w:rPr>
                <w:rFonts w:ascii="Bookman Old Style" w:hAnsi="Bookman Old Style" w:cs="Arial"/>
                <w:bCs/>
                <w:sz w:val="22"/>
                <w:lang w:eastAsia="es-ES"/>
              </w:rPr>
              <w:t>Llamada en garantía:</w:t>
            </w:r>
          </w:p>
        </w:tc>
        <w:tc>
          <w:tcPr>
            <w:tcW w:w="3879" w:type="pct"/>
            <w:shd w:val="clear" w:color="000000" w:fill="FFFFFF"/>
            <w:vAlign w:val="center"/>
          </w:tcPr>
          <w:p w14:paraId="6D04814D" w14:textId="33721804" w:rsidR="00495106" w:rsidRPr="001078C5" w:rsidRDefault="00D34DEA" w:rsidP="001078C5">
            <w:pPr>
              <w:spacing w:line="240" w:lineRule="auto"/>
              <w:ind w:firstLine="0"/>
              <w:jc w:val="left"/>
              <w:rPr>
                <w:rFonts w:ascii="Bookman Old Style" w:eastAsia="Times New Roman" w:hAnsi="Bookman Old Style" w:cs="Arial"/>
                <w:noProof/>
                <w:sz w:val="22"/>
                <w:lang w:eastAsia="es-CO"/>
              </w:rPr>
            </w:pPr>
            <w:r w:rsidRPr="001078C5">
              <w:rPr>
                <w:rFonts w:ascii="Bookman Old Style" w:eastAsia="Times New Roman" w:hAnsi="Bookman Old Style" w:cs="Arial"/>
                <w:noProof/>
                <w:sz w:val="22"/>
                <w:lang w:eastAsia="es-CO"/>
              </w:rPr>
              <w:t xml:space="preserve">Mapfre Colombia Vida Seguros </w:t>
            </w:r>
            <w:r w:rsidR="00495106" w:rsidRPr="001078C5">
              <w:rPr>
                <w:rFonts w:ascii="Bookman Old Style" w:eastAsia="Times New Roman" w:hAnsi="Bookman Old Style" w:cs="Arial"/>
                <w:noProof/>
                <w:sz w:val="22"/>
                <w:lang w:eastAsia="es-CO"/>
              </w:rPr>
              <w:t>S.A.</w:t>
            </w:r>
          </w:p>
        </w:tc>
      </w:tr>
      <w:tr w:rsidR="003073FB" w:rsidRPr="001078C5" w14:paraId="7D1AC974" w14:textId="77777777" w:rsidTr="00141646">
        <w:tc>
          <w:tcPr>
            <w:tcW w:w="1121" w:type="pct"/>
            <w:shd w:val="clear" w:color="000000" w:fill="FFFFFF"/>
          </w:tcPr>
          <w:p w14:paraId="5CADE9E5"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bCs/>
                <w:sz w:val="22"/>
                <w:lang w:eastAsia="es-ES"/>
              </w:rPr>
              <w:t>Asunto:</w:t>
            </w:r>
          </w:p>
        </w:tc>
        <w:tc>
          <w:tcPr>
            <w:tcW w:w="3879" w:type="pct"/>
            <w:shd w:val="clear" w:color="000000" w:fill="FFFFFF"/>
            <w:hideMark/>
          </w:tcPr>
          <w:p w14:paraId="16F2D67A" w14:textId="503D7B8E"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sz w:val="22"/>
                <w:lang w:eastAsia="es-CO"/>
              </w:rPr>
              <w:t>Apelación y Consulta Sentencia (</w:t>
            </w:r>
            <w:r w:rsidR="00495106" w:rsidRPr="001078C5">
              <w:rPr>
                <w:rFonts w:ascii="Bookman Old Style" w:hAnsi="Bookman Old Style" w:cs="Arial"/>
                <w:sz w:val="22"/>
                <w:lang w:eastAsia="es-CO"/>
              </w:rPr>
              <w:t>21</w:t>
            </w:r>
            <w:r w:rsidR="00B60BB9" w:rsidRPr="001078C5">
              <w:rPr>
                <w:rFonts w:ascii="Bookman Old Style" w:hAnsi="Bookman Old Style" w:cs="Arial"/>
                <w:sz w:val="22"/>
                <w:lang w:eastAsia="es-CO"/>
              </w:rPr>
              <w:t xml:space="preserve"> de </w:t>
            </w:r>
            <w:r w:rsidR="00495106" w:rsidRPr="001078C5">
              <w:rPr>
                <w:rFonts w:ascii="Bookman Old Style" w:hAnsi="Bookman Old Style" w:cs="Arial"/>
                <w:sz w:val="22"/>
                <w:lang w:eastAsia="es-CO"/>
              </w:rPr>
              <w:t>abril</w:t>
            </w:r>
            <w:r w:rsidR="0052162C" w:rsidRPr="001078C5">
              <w:rPr>
                <w:rFonts w:ascii="Bookman Old Style" w:hAnsi="Bookman Old Style" w:cs="Arial"/>
                <w:sz w:val="22"/>
                <w:lang w:eastAsia="es-CO"/>
              </w:rPr>
              <w:t xml:space="preserve"> de 2023</w:t>
            </w:r>
            <w:r w:rsidRPr="001078C5">
              <w:rPr>
                <w:rFonts w:ascii="Bookman Old Style" w:hAnsi="Bookman Old Style" w:cs="Arial"/>
                <w:sz w:val="22"/>
                <w:lang w:eastAsia="es-CO"/>
              </w:rPr>
              <w:t>)</w:t>
            </w:r>
          </w:p>
        </w:tc>
      </w:tr>
      <w:tr w:rsidR="003073FB" w:rsidRPr="001078C5" w14:paraId="0D4E96D6" w14:textId="77777777" w:rsidTr="00141646">
        <w:tc>
          <w:tcPr>
            <w:tcW w:w="1121" w:type="pct"/>
            <w:shd w:val="clear" w:color="000000" w:fill="FFFFFF"/>
          </w:tcPr>
          <w:p w14:paraId="07AF5DC2"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bCs/>
                <w:sz w:val="22"/>
                <w:lang w:eastAsia="es-ES"/>
              </w:rPr>
              <w:t>Juzgado:</w:t>
            </w:r>
          </w:p>
        </w:tc>
        <w:tc>
          <w:tcPr>
            <w:tcW w:w="3879" w:type="pct"/>
            <w:shd w:val="clear" w:color="000000" w:fill="FFFFFF"/>
            <w:hideMark/>
          </w:tcPr>
          <w:p w14:paraId="6DAC7D44" w14:textId="127ACF8E" w:rsidR="003073FB" w:rsidRPr="001078C5" w:rsidRDefault="00E35FD0"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noProof/>
                <w:sz w:val="22"/>
                <w:lang w:eastAsia="es-CO"/>
              </w:rPr>
              <w:t>Segundo</w:t>
            </w:r>
            <w:r w:rsidR="00315036" w:rsidRPr="001078C5">
              <w:rPr>
                <w:rFonts w:ascii="Bookman Old Style" w:hAnsi="Bookman Old Style" w:cs="Arial"/>
                <w:noProof/>
                <w:sz w:val="22"/>
                <w:lang w:eastAsia="es-CO"/>
              </w:rPr>
              <w:t xml:space="preserve"> </w:t>
            </w:r>
            <w:r w:rsidR="003D7454" w:rsidRPr="001078C5">
              <w:rPr>
                <w:rFonts w:ascii="Bookman Old Style" w:hAnsi="Bookman Old Style" w:cs="Arial"/>
                <w:sz w:val="22"/>
                <w:lang w:eastAsia="es-CO"/>
              </w:rPr>
              <w:t>Laboral d</w:t>
            </w:r>
            <w:r w:rsidR="00315036" w:rsidRPr="001078C5">
              <w:rPr>
                <w:rFonts w:ascii="Bookman Old Style" w:hAnsi="Bookman Old Style" w:cs="Arial"/>
                <w:sz w:val="22"/>
                <w:lang w:eastAsia="es-CO"/>
              </w:rPr>
              <w:t xml:space="preserve">el Circuito </w:t>
            </w:r>
            <w:r w:rsidR="003D7454" w:rsidRPr="001078C5">
              <w:rPr>
                <w:rFonts w:ascii="Bookman Old Style" w:hAnsi="Bookman Old Style" w:cs="Arial"/>
                <w:sz w:val="22"/>
                <w:lang w:eastAsia="es-CO"/>
              </w:rPr>
              <w:t>d</w:t>
            </w:r>
            <w:r w:rsidR="00315036" w:rsidRPr="001078C5">
              <w:rPr>
                <w:rFonts w:ascii="Bookman Old Style" w:hAnsi="Bookman Old Style" w:cs="Arial"/>
                <w:sz w:val="22"/>
                <w:lang w:eastAsia="es-CO"/>
              </w:rPr>
              <w:t>e Pereira</w:t>
            </w:r>
          </w:p>
        </w:tc>
      </w:tr>
      <w:tr w:rsidR="003073FB" w:rsidRPr="001078C5" w14:paraId="107F789A" w14:textId="77777777" w:rsidTr="00141646">
        <w:tc>
          <w:tcPr>
            <w:tcW w:w="1121" w:type="pct"/>
            <w:shd w:val="clear" w:color="000000" w:fill="FFFFFF"/>
          </w:tcPr>
          <w:p w14:paraId="1AFD5068" w14:textId="77777777" w:rsidR="003073FB" w:rsidRPr="001078C5" w:rsidRDefault="003073FB" w:rsidP="001078C5">
            <w:pPr>
              <w:spacing w:line="240" w:lineRule="auto"/>
              <w:ind w:firstLine="0"/>
              <w:jc w:val="left"/>
              <w:rPr>
                <w:rFonts w:ascii="Bookman Old Style" w:hAnsi="Bookman Old Style" w:cs="Arial"/>
                <w:bCs/>
                <w:sz w:val="22"/>
                <w:lang w:eastAsia="es-ES"/>
              </w:rPr>
            </w:pPr>
            <w:r w:rsidRPr="001078C5">
              <w:rPr>
                <w:rFonts w:ascii="Bookman Old Style" w:hAnsi="Bookman Old Style" w:cs="Arial"/>
                <w:bCs/>
                <w:sz w:val="22"/>
                <w:lang w:eastAsia="es-ES"/>
              </w:rPr>
              <w:t>Tema:</w:t>
            </w:r>
          </w:p>
        </w:tc>
        <w:tc>
          <w:tcPr>
            <w:tcW w:w="3879" w:type="pct"/>
            <w:shd w:val="clear" w:color="000000" w:fill="FFFFFF"/>
          </w:tcPr>
          <w:p w14:paraId="03027642" w14:textId="77777777" w:rsidR="003073FB" w:rsidRPr="001078C5" w:rsidRDefault="003073FB" w:rsidP="001078C5">
            <w:pPr>
              <w:spacing w:line="240" w:lineRule="auto"/>
              <w:ind w:firstLine="0"/>
              <w:jc w:val="left"/>
              <w:rPr>
                <w:rFonts w:ascii="Bookman Old Style" w:eastAsia="Times New Roman" w:hAnsi="Bookman Old Style" w:cs="Arial"/>
                <w:color w:val="000000"/>
                <w:sz w:val="22"/>
                <w:lang w:val="es-ES_tradnl" w:eastAsia="es-CO"/>
              </w:rPr>
            </w:pPr>
            <w:r w:rsidRPr="001078C5">
              <w:rPr>
                <w:rFonts w:ascii="Bookman Old Style" w:hAnsi="Bookman Old Style" w:cs="Arial"/>
                <w:sz w:val="22"/>
                <w:lang w:eastAsia="es-CO"/>
              </w:rPr>
              <w:t>Ineficacia de traslado</w:t>
            </w:r>
          </w:p>
        </w:tc>
      </w:tr>
    </w:tbl>
    <w:p w14:paraId="05426F63" w14:textId="77777777" w:rsidR="003073FB" w:rsidRPr="001078C5" w:rsidRDefault="003073FB" w:rsidP="001078C5">
      <w:pPr>
        <w:spacing w:line="276" w:lineRule="auto"/>
        <w:ind w:firstLine="0"/>
        <w:rPr>
          <w:rFonts w:ascii="Bookman Old Style" w:hAnsi="Bookman Old Style" w:cs="Arial"/>
        </w:rPr>
      </w:pPr>
    </w:p>
    <w:p w14:paraId="3C3ED7A9" w14:textId="6A69ED8A" w:rsidR="003F2659" w:rsidRPr="001078C5" w:rsidRDefault="003F2659" w:rsidP="001078C5">
      <w:pPr>
        <w:autoSpaceDE w:val="0"/>
        <w:autoSpaceDN w:val="0"/>
        <w:adjustRightInd w:val="0"/>
        <w:spacing w:line="276" w:lineRule="auto"/>
        <w:ind w:firstLine="0"/>
        <w:jc w:val="center"/>
        <w:rPr>
          <w:rFonts w:ascii="Bookman Old Style" w:hAnsi="Bookman Old Style" w:cs="Arial"/>
          <w:b/>
          <w:bCs/>
          <w:lang w:eastAsia="es-ES"/>
        </w:rPr>
      </w:pPr>
      <w:r w:rsidRPr="001078C5">
        <w:rPr>
          <w:rFonts w:ascii="Bookman Old Style" w:hAnsi="Bookman Old Style" w:cs="Arial"/>
          <w:b/>
          <w:bCs/>
          <w:lang w:eastAsia="es-ES"/>
        </w:rPr>
        <w:t xml:space="preserve">APROBADO POR ACTA No. </w:t>
      </w:r>
      <w:r w:rsidR="00D46E5F" w:rsidRPr="001078C5">
        <w:rPr>
          <w:rFonts w:ascii="Bookman Old Style" w:hAnsi="Bookman Old Style" w:cs="Arial"/>
          <w:b/>
          <w:bCs/>
          <w:lang w:eastAsia="es-ES"/>
        </w:rPr>
        <w:t>156 DEL 03 DE OCTUBRE DE 2023</w:t>
      </w:r>
    </w:p>
    <w:p w14:paraId="71418D6A" w14:textId="77777777" w:rsidR="003073FB" w:rsidRPr="001078C5" w:rsidRDefault="003073FB" w:rsidP="001078C5">
      <w:pPr>
        <w:spacing w:line="276" w:lineRule="auto"/>
        <w:ind w:firstLine="0"/>
        <w:rPr>
          <w:rFonts w:ascii="Bookman Old Style" w:hAnsi="Bookman Old Style" w:cs="Arial"/>
        </w:rPr>
      </w:pPr>
    </w:p>
    <w:p w14:paraId="7ADB16D6" w14:textId="3F6FAE82"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Hoy, </w:t>
      </w:r>
      <w:r w:rsidR="00D46E5F" w:rsidRPr="001078C5">
        <w:rPr>
          <w:rFonts w:ascii="Bookman Old Style" w:hAnsi="Bookman Old Style" w:cs="Arial"/>
        </w:rPr>
        <w:t>nueve</w:t>
      </w:r>
      <w:r w:rsidR="000A21BE" w:rsidRPr="001078C5">
        <w:rPr>
          <w:rFonts w:ascii="Bookman Old Style" w:hAnsi="Bookman Old Style" w:cs="Arial"/>
        </w:rPr>
        <w:t xml:space="preserve"> </w:t>
      </w:r>
      <w:r w:rsidRPr="001078C5">
        <w:rPr>
          <w:rFonts w:ascii="Bookman Old Style" w:hAnsi="Bookman Old Style" w:cs="Arial"/>
        </w:rPr>
        <w:t>(</w:t>
      </w:r>
      <w:r w:rsidR="00D46E5F" w:rsidRPr="001078C5">
        <w:rPr>
          <w:rFonts w:ascii="Bookman Old Style" w:hAnsi="Bookman Old Style" w:cs="Arial"/>
        </w:rPr>
        <w:t>09</w:t>
      </w:r>
      <w:r w:rsidRPr="001078C5">
        <w:rPr>
          <w:rFonts w:ascii="Bookman Old Style" w:hAnsi="Bookman Old Style" w:cs="Arial"/>
        </w:rPr>
        <w:t>) de</w:t>
      </w:r>
      <w:r w:rsidR="00552573" w:rsidRPr="001078C5">
        <w:rPr>
          <w:rFonts w:ascii="Bookman Old Style" w:hAnsi="Bookman Old Style" w:cs="Arial"/>
        </w:rPr>
        <w:t xml:space="preserve"> octubre</w:t>
      </w:r>
      <w:r w:rsidR="0052162C" w:rsidRPr="001078C5">
        <w:rPr>
          <w:rFonts w:ascii="Bookman Old Style" w:hAnsi="Bookman Old Style" w:cs="Arial"/>
        </w:rPr>
        <w:t xml:space="preserve"> </w:t>
      </w:r>
      <w:r w:rsidRPr="001078C5">
        <w:rPr>
          <w:rFonts w:ascii="Bookman Old Style" w:hAnsi="Bookman Old Style" w:cs="Arial"/>
        </w:rPr>
        <w:t>de dos mil veinti</w:t>
      </w:r>
      <w:r w:rsidR="00AA3AC4" w:rsidRPr="001078C5">
        <w:rPr>
          <w:rFonts w:ascii="Bookman Old Style" w:hAnsi="Bookman Old Style" w:cs="Arial"/>
        </w:rPr>
        <w:t>trés</w:t>
      </w:r>
      <w:r w:rsidRPr="001078C5">
        <w:rPr>
          <w:rFonts w:ascii="Bookman Old Style" w:hAnsi="Bookman Old Style" w:cs="Arial"/>
        </w:rPr>
        <w:t xml:space="preserve"> (202</w:t>
      </w:r>
      <w:r w:rsidR="00AA3AC4" w:rsidRPr="001078C5">
        <w:rPr>
          <w:rFonts w:ascii="Bookman Old Style" w:hAnsi="Bookman Old Style" w:cs="Arial"/>
        </w:rPr>
        <w:t>3</w:t>
      </w:r>
      <w:r w:rsidRPr="001078C5">
        <w:rPr>
          <w:rFonts w:ascii="Bookman Old Style" w:hAnsi="Bookman Old Style" w:cs="Arial"/>
        </w:rPr>
        <w:t xml:space="preserve">), el Tribunal Superior de Distrito Judicial de Pereira, Sala de Decisión Laboral integrada por los magistrados Dra. </w:t>
      </w:r>
      <w:r w:rsidRPr="001078C5">
        <w:rPr>
          <w:rFonts w:ascii="Bookman Old Style" w:hAnsi="Bookman Old Style" w:cs="Arial"/>
          <w:b/>
        </w:rPr>
        <w:t>OLGA LUCIA HOYOS SEPÚLVEDA</w:t>
      </w:r>
      <w:r w:rsidRPr="001078C5">
        <w:rPr>
          <w:rFonts w:ascii="Bookman Old Style" w:hAnsi="Bookman Old Style" w:cs="Arial"/>
        </w:rPr>
        <w:t xml:space="preserve">, Dr. </w:t>
      </w:r>
      <w:r w:rsidRPr="001078C5">
        <w:rPr>
          <w:rFonts w:ascii="Bookman Old Style" w:hAnsi="Bookman Old Style" w:cs="Arial"/>
          <w:b/>
        </w:rPr>
        <w:t xml:space="preserve">JULIO CÉSAR </w:t>
      </w:r>
      <w:r w:rsidRPr="001078C5">
        <w:rPr>
          <w:rFonts w:ascii="Bookman Old Style" w:hAnsi="Bookman Old Style" w:cs="Arial"/>
          <w:b/>
        </w:rPr>
        <w:lastRenderedPageBreak/>
        <w:t>SALAZAR MUÑOZ</w:t>
      </w:r>
      <w:r w:rsidRPr="001078C5">
        <w:rPr>
          <w:rFonts w:ascii="Bookman Old Style" w:hAnsi="Bookman Old Style" w:cs="Arial"/>
        </w:rPr>
        <w:t xml:space="preserve"> y como ponente Dr. </w:t>
      </w:r>
      <w:r w:rsidRPr="001078C5">
        <w:rPr>
          <w:rFonts w:ascii="Bookman Old Style" w:hAnsi="Bookman Old Style" w:cs="Arial"/>
          <w:b/>
        </w:rPr>
        <w:t>GERMÁN DARÍO GÓEZ VINASCO</w:t>
      </w:r>
      <w:r w:rsidRPr="001078C5">
        <w:rPr>
          <w:rFonts w:ascii="Bookman Old Style" w:hAnsi="Bookman Old Style" w:cs="Arial"/>
        </w:rPr>
        <w:t xml:space="preserve">, procede a resolver </w:t>
      </w:r>
      <w:r w:rsidR="00AA3AC4" w:rsidRPr="001078C5">
        <w:rPr>
          <w:rFonts w:ascii="Bookman Old Style" w:hAnsi="Bookman Old Style" w:cs="Arial"/>
        </w:rPr>
        <w:t>el</w:t>
      </w:r>
      <w:r w:rsidRPr="001078C5">
        <w:rPr>
          <w:rFonts w:ascii="Bookman Old Style" w:hAnsi="Bookman Old Style" w:cs="Arial"/>
        </w:rPr>
        <w:t xml:space="preserve"> recurso</w:t>
      </w:r>
      <w:r w:rsidR="00AA3AC4" w:rsidRPr="001078C5">
        <w:rPr>
          <w:rFonts w:ascii="Bookman Old Style" w:hAnsi="Bookman Old Style" w:cs="Arial"/>
        </w:rPr>
        <w:t xml:space="preserve"> </w:t>
      </w:r>
      <w:r w:rsidRPr="001078C5">
        <w:rPr>
          <w:rFonts w:ascii="Bookman Old Style" w:hAnsi="Bookman Old Style" w:cs="Arial"/>
        </w:rPr>
        <w:t xml:space="preserve">de apelación interpuesto por </w:t>
      </w:r>
      <w:r w:rsidR="003E507B" w:rsidRPr="001078C5">
        <w:rPr>
          <w:rFonts w:ascii="Bookman Old Style" w:hAnsi="Bookman Old Style" w:cs="Arial"/>
        </w:rPr>
        <w:t>COLPENSIONES</w:t>
      </w:r>
      <w:r w:rsidR="00AE4368" w:rsidRPr="001078C5">
        <w:rPr>
          <w:rFonts w:ascii="Bookman Old Style" w:hAnsi="Bookman Old Style" w:cs="Arial"/>
        </w:rPr>
        <w:t>, PORVENIR y</w:t>
      </w:r>
      <w:r w:rsidR="00552573" w:rsidRPr="001078C5">
        <w:rPr>
          <w:rFonts w:ascii="Bookman Old Style" w:hAnsi="Bookman Old Style" w:cs="Arial"/>
        </w:rPr>
        <w:t xml:space="preserve"> SKANDIA </w:t>
      </w:r>
      <w:r w:rsidR="00C14CB6" w:rsidRPr="001078C5">
        <w:rPr>
          <w:rFonts w:ascii="Bookman Old Style" w:hAnsi="Bookman Old Style" w:cs="Arial"/>
        </w:rPr>
        <w:t xml:space="preserve">en </w:t>
      </w:r>
      <w:r w:rsidRPr="001078C5">
        <w:rPr>
          <w:rFonts w:ascii="Bookman Old Style" w:hAnsi="Bookman Old Style" w:cs="Arial"/>
        </w:rPr>
        <w:t xml:space="preserve">contra la sentencia de primera instancia, así como el </w:t>
      </w:r>
      <w:r w:rsidR="00514F55" w:rsidRPr="001078C5">
        <w:rPr>
          <w:rFonts w:ascii="Bookman Old Style" w:hAnsi="Bookman Old Style" w:cs="Arial"/>
        </w:rPr>
        <w:t>G</w:t>
      </w:r>
      <w:r w:rsidRPr="001078C5">
        <w:rPr>
          <w:rFonts w:ascii="Bookman Old Style" w:hAnsi="Bookman Old Style" w:cs="Arial"/>
        </w:rPr>
        <w:t xml:space="preserve">rado </w:t>
      </w:r>
      <w:r w:rsidR="00514F55" w:rsidRPr="001078C5">
        <w:rPr>
          <w:rFonts w:ascii="Bookman Old Style" w:hAnsi="Bookman Old Style" w:cs="Arial"/>
        </w:rPr>
        <w:t>J</w:t>
      </w:r>
      <w:r w:rsidRPr="001078C5">
        <w:rPr>
          <w:rFonts w:ascii="Bookman Old Style" w:hAnsi="Bookman Old Style" w:cs="Arial"/>
        </w:rPr>
        <w:t xml:space="preserve">urisdiccional de consulta ordenado a favor de </w:t>
      </w:r>
      <w:r w:rsidR="003E507B" w:rsidRPr="001078C5">
        <w:rPr>
          <w:rFonts w:ascii="Bookman Old Style" w:hAnsi="Bookman Old Style" w:cs="Arial"/>
        </w:rPr>
        <w:t>COLPENSIONES</w:t>
      </w:r>
      <w:r w:rsidRPr="001078C5">
        <w:rPr>
          <w:rFonts w:ascii="Bookman Old Style" w:hAnsi="Bookman Old Style" w:cs="Arial"/>
        </w:rPr>
        <w:t xml:space="preserve"> en la misma providencia, proferida por el Juzgado</w:t>
      </w:r>
      <w:r w:rsidR="00C90928" w:rsidRPr="001078C5">
        <w:rPr>
          <w:rFonts w:ascii="Bookman Old Style" w:hAnsi="Bookman Old Style" w:cs="Arial"/>
        </w:rPr>
        <w:t xml:space="preserve"> </w:t>
      </w:r>
      <w:r w:rsidR="00E35FD0" w:rsidRPr="001078C5">
        <w:rPr>
          <w:rFonts w:ascii="Bookman Old Style" w:hAnsi="Bookman Old Style" w:cs="Arial"/>
        </w:rPr>
        <w:t>Segundo</w:t>
      </w:r>
      <w:r w:rsidR="00514F55" w:rsidRPr="001078C5">
        <w:rPr>
          <w:rFonts w:ascii="Bookman Old Style" w:hAnsi="Bookman Old Style" w:cs="Arial"/>
        </w:rPr>
        <w:t xml:space="preserve"> </w:t>
      </w:r>
      <w:r w:rsidR="00315036" w:rsidRPr="001078C5">
        <w:rPr>
          <w:rFonts w:ascii="Bookman Old Style" w:hAnsi="Bookman Old Style" w:cs="Arial"/>
          <w:noProof/>
        </w:rPr>
        <w:t>Laboral Circuito</w:t>
      </w:r>
      <w:r w:rsidR="00315036" w:rsidRPr="001078C5">
        <w:rPr>
          <w:rFonts w:ascii="Bookman Old Style" w:hAnsi="Bookman Old Style" w:cs="Arial"/>
        </w:rPr>
        <w:t xml:space="preserve"> </w:t>
      </w:r>
      <w:r w:rsidRPr="001078C5">
        <w:rPr>
          <w:rFonts w:ascii="Bookman Old Style" w:hAnsi="Bookman Old Style" w:cs="Arial"/>
        </w:rPr>
        <w:t xml:space="preserve">de esta ciudad dentro del proceso </w:t>
      </w:r>
      <w:r w:rsidRPr="00D34DEA">
        <w:rPr>
          <w:rFonts w:ascii="Bookman Old Style" w:hAnsi="Bookman Old Style" w:cs="Arial"/>
          <w:b/>
        </w:rPr>
        <w:t>ordinario</w:t>
      </w:r>
      <w:r w:rsidR="00D34DEA">
        <w:rPr>
          <w:rFonts w:ascii="Bookman Old Style" w:hAnsi="Bookman Old Style" w:cs="Arial"/>
          <w:b/>
        </w:rPr>
        <w:t xml:space="preserve"> laboral</w:t>
      </w:r>
      <w:r w:rsidRPr="001078C5">
        <w:rPr>
          <w:rFonts w:ascii="Bookman Old Style" w:hAnsi="Bookman Old Style" w:cs="Arial"/>
        </w:rPr>
        <w:t xml:space="preserve"> promovido por </w:t>
      </w:r>
      <w:bookmarkStart w:id="1" w:name="_Hlk105532493"/>
      <w:r w:rsidR="00552573" w:rsidRPr="001078C5">
        <w:rPr>
          <w:rFonts w:ascii="Bookman Old Style" w:hAnsi="Bookman Old Style" w:cs="Arial"/>
          <w:b/>
          <w:bCs/>
          <w:noProof/>
        </w:rPr>
        <w:t xml:space="preserve">IRMA LUCILA NUÑEZ BARRERA </w:t>
      </w:r>
      <w:r w:rsidRPr="001078C5">
        <w:rPr>
          <w:rFonts w:ascii="Bookman Old Style" w:hAnsi="Bookman Old Style" w:cs="Arial"/>
        </w:rPr>
        <w:t xml:space="preserve">contra la </w:t>
      </w:r>
      <w:r w:rsidR="0052162C" w:rsidRPr="001078C5">
        <w:rPr>
          <w:rFonts w:ascii="Bookman Old Style" w:hAnsi="Bookman Old Style" w:cs="Arial"/>
          <w:b/>
          <w:noProof/>
        </w:rPr>
        <w:t>COLPENSIONES</w:t>
      </w:r>
      <w:r w:rsidR="00552573" w:rsidRPr="001078C5">
        <w:rPr>
          <w:rFonts w:ascii="Bookman Old Style" w:hAnsi="Bookman Old Style" w:cs="Arial"/>
          <w:b/>
          <w:noProof/>
        </w:rPr>
        <w:t>,</w:t>
      </w:r>
      <w:r w:rsidR="0035686C" w:rsidRPr="001078C5">
        <w:rPr>
          <w:rFonts w:ascii="Bookman Old Style" w:hAnsi="Bookman Old Style" w:cs="Arial"/>
          <w:b/>
          <w:noProof/>
        </w:rPr>
        <w:t xml:space="preserve"> </w:t>
      </w:r>
      <w:r w:rsidR="00552573" w:rsidRPr="001078C5">
        <w:rPr>
          <w:rFonts w:ascii="Bookman Old Style" w:hAnsi="Bookman Old Style" w:cs="Arial"/>
          <w:b/>
          <w:noProof/>
        </w:rPr>
        <w:t xml:space="preserve">PORVENIR S.A., PROTECCIÓN S.A., COLFONDOS S.A. y SKANDIA S.A. </w:t>
      </w:r>
      <w:r w:rsidR="00552573" w:rsidRPr="001078C5">
        <w:rPr>
          <w:rFonts w:ascii="Bookman Old Style" w:hAnsi="Bookman Old Style" w:cs="Arial"/>
          <w:noProof/>
        </w:rPr>
        <w:t xml:space="preserve">como llamada en garantía </w:t>
      </w:r>
      <w:r w:rsidR="00552573" w:rsidRPr="001078C5">
        <w:rPr>
          <w:rFonts w:ascii="Bookman Old Style" w:hAnsi="Bookman Old Style" w:cs="Arial"/>
          <w:b/>
          <w:noProof/>
        </w:rPr>
        <w:t>MAPFRE COLOMBIA VIDA SEGUROS S.A.</w:t>
      </w:r>
      <w:r w:rsidR="0052162C" w:rsidRPr="001078C5">
        <w:rPr>
          <w:rFonts w:ascii="Bookman Old Style" w:hAnsi="Bookman Old Style" w:cs="Arial"/>
          <w:b/>
          <w:noProof/>
        </w:rPr>
        <w:t xml:space="preserve">, </w:t>
      </w:r>
      <w:r w:rsidRPr="001078C5">
        <w:rPr>
          <w:rFonts w:ascii="Bookman Old Style" w:hAnsi="Bookman Old Style" w:cs="Arial"/>
        </w:rPr>
        <w:t xml:space="preserve">radicado </w:t>
      </w:r>
      <w:r w:rsidR="00473458" w:rsidRPr="001078C5">
        <w:rPr>
          <w:rFonts w:ascii="Bookman Old Style" w:hAnsi="Bookman Old Style" w:cs="Arial"/>
          <w:b/>
          <w:noProof/>
        </w:rPr>
        <w:t>66001310500220210016401</w:t>
      </w:r>
      <w:r w:rsidRPr="001078C5">
        <w:rPr>
          <w:rFonts w:ascii="Bookman Old Style" w:hAnsi="Bookman Old Style" w:cs="Arial"/>
        </w:rPr>
        <w:t>.</w:t>
      </w:r>
    </w:p>
    <w:bookmarkEnd w:id="1"/>
    <w:p w14:paraId="42080F58" w14:textId="77777777" w:rsidR="003073FB" w:rsidRPr="001078C5" w:rsidRDefault="003073FB" w:rsidP="001078C5">
      <w:pPr>
        <w:spacing w:line="276" w:lineRule="auto"/>
        <w:ind w:firstLine="0"/>
        <w:rPr>
          <w:rFonts w:ascii="Bookman Old Style" w:hAnsi="Bookman Old Style" w:cs="Arial"/>
        </w:rPr>
      </w:pPr>
    </w:p>
    <w:p w14:paraId="74B3665D" w14:textId="77777777" w:rsidR="0005234B" w:rsidRPr="001078C5" w:rsidRDefault="0005234B" w:rsidP="001078C5">
      <w:pPr>
        <w:spacing w:line="276" w:lineRule="auto"/>
        <w:ind w:firstLine="0"/>
        <w:rPr>
          <w:rFonts w:ascii="Bookman Old Style" w:hAnsi="Bookman Old Style" w:cs="Arial"/>
        </w:rPr>
      </w:pPr>
      <w:r w:rsidRPr="001078C5">
        <w:rPr>
          <w:rFonts w:ascii="Bookman Old Style" w:hAnsi="Bookman Old Style" w:cs="Arial"/>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3E139E7" w14:textId="77777777" w:rsidR="003073FB" w:rsidRPr="001078C5" w:rsidRDefault="003073FB" w:rsidP="001078C5">
      <w:pPr>
        <w:spacing w:line="276" w:lineRule="auto"/>
        <w:ind w:firstLine="0"/>
        <w:rPr>
          <w:rFonts w:ascii="Bookman Old Style" w:hAnsi="Bookman Old Style" w:cs="Arial"/>
        </w:rPr>
      </w:pPr>
    </w:p>
    <w:p w14:paraId="1277239E" w14:textId="3C0E85F6" w:rsidR="003073FB" w:rsidRPr="001078C5" w:rsidRDefault="003073FB" w:rsidP="001078C5">
      <w:pPr>
        <w:suppressAutoHyphens/>
        <w:spacing w:line="276" w:lineRule="auto"/>
        <w:ind w:firstLine="480"/>
        <w:jc w:val="center"/>
        <w:rPr>
          <w:rFonts w:ascii="Bookman Old Style" w:hAnsi="Bookman Old Style" w:cs="Arial"/>
          <w:b/>
          <w:bCs/>
          <w:spacing w:val="-3"/>
          <w:lang w:eastAsia="es-ES"/>
        </w:rPr>
      </w:pPr>
      <w:r w:rsidRPr="001078C5">
        <w:rPr>
          <w:rFonts w:ascii="Bookman Old Style" w:hAnsi="Bookman Old Style" w:cs="Arial"/>
          <w:b/>
          <w:bCs/>
          <w:spacing w:val="-3"/>
          <w:lang w:eastAsia="es-ES"/>
        </w:rPr>
        <w:t xml:space="preserve">SENTENCIA No. </w:t>
      </w:r>
      <w:r w:rsidR="00D46E5F" w:rsidRPr="001078C5">
        <w:rPr>
          <w:rFonts w:ascii="Bookman Old Style" w:hAnsi="Bookman Old Style" w:cs="Arial"/>
          <w:b/>
          <w:bCs/>
          <w:spacing w:val="-3"/>
          <w:lang w:eastAsia="es-ES"/>
        </w:rPr>
        <w:t>169</w:t>
      </w:r>
    </w:p>
    <w:p w14:paraId="42AF91E9" w14:textId="77777777" w:rsidR="00B86E32" w:rsidRPr="001078C5" w:rsidRDefault="00B86E32" w:rsidP="001078C5">
      <w:pPr>
        <w:suppressAutoHyphens/>
        <w:spacing w:line="276" w:lineRule="auto"/>
        <w:ind w:firstLine="480"/>
        <w:jc w:val="center"/>
        <w:rPr>
          <w:rFonts w:ascii="Bookman Old Style" w:hAnsi="Bookman Old Style" w:cs="Arial"/>
          <w:b/>
          <w:bCs/>
          <w:spacing w:val="-3"/>
          <w:u w:val="single"/>
          <w:lang w:eastAsia="es-ES"/>
        </w:rPr>
      </w:pPr>
    </w:p>
    <w:p w14:paraId="72A17488" w14:textId="77777777" w:rsidR="003073FB" w:rsidRPr="001078C5" w:rsidRDefault="003073FB" w:rsidP="001078C5">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1078C5">
        <w:rPr>
          <w:rFonts w:ascii="Bookman Old Style" w:hAnsi="Bookman Old Style" w:cs="Arial"/>
          <w:b/>
          <w:bCs/>
        </w:rPr>
        <w:t>ANTECEDENTES</w:t>
      </w:r>
    </w:p>
    <w:p w14:paraId="370072BA" w14:textId="77777777" w:rsidR="003073FB" w:rsidRPr="001078C5" w:rsidRDefault="003073FB" w:rsidP="001078C5">
      <w:pPr>
        <w:spacing w:line="276" w:lineRule="auto"/>
        <w:ind w:firstLine="0"/>
        <w:rPr>
          <w:rFonts w:ascii="Bookman Old Style" w:hAnsi="Bookman Old Style" w:cs="Arial"/>
          <w:color w:val="FF0000"/>
        </w:rPr>
      </w:pPr>
    </w:p>
    <w:p w14:paraId="273E2403" w14:textId="77777777" w:rsidR="003073FB" w:rsidRPr="001078C5" w:rsidRDefault="003073FB" w:rsidP="001078C5">
      <w:pPr>
        <w:pStyle w:val="Prrafodelista"/>
        <w:numPr>
          <w:ilvl w:val="0"/>
          <w:numId w:val="2"/>
        </w:numPr>
        <w:spacing w:line="276" w:lineRule="auto"/>
        <w:ind w:left="284"/>
        <w:rPr>
          <w:rFonts w:ascii="Bookman Old Style" w:hAnsi="Bookman Old Style" w:cs="Arial"/>
        </w:rPr>
      </w:pPr>
      <w:r w:rsidRPr="001078C5">
        <w:rPr>
          <w:rFonts w:ascii="Bookman Old Style" w:hAnsi="Bookman Old Style" w:cs="Arial"/>
          <w:b/>
          <w:bCs/>
        </w:rPr>
        <w:t>Pretensiones</w:t>
      </w:r>
    </w:p>
    <w:p w14:paraId="15F843C9" w14:textId="77777777" w:rsidR="003073FB" w:rsidRPr="001078C5" w:rsidRDefault="003073FB" w:rsidP="001078C5">
      <w:pPr>
        <w:spacing w:line="276" w:lineRule="auto"/>
        <w:ind w:firstLine="0"/>
        <w:rPr>
          <w:rFonts w:ascii="Bookman Old Style" w:hAnsi="Bookman Old Style" w:cs="Arial"/>
        </w:rPr>
      </w:pPr>
    </w:p>
    <w:p w14:paraId="704D2E70" w14:textId="6CA23A48" w:rsidR="003073FB" w:rsidRPr="001078C5" w:rsidRDefault="00552573" w:rsidP="001078C5">
      <w:pPr>
        <w:spacing w:line="276" w:lineRule="auto"/>
        <w:ind w:firstLine="0"/>
        <w:rPr>
          <w:rFonts w:ascii="Bookman Old Style" w:hAnsi="Bookman Old Style" w:cs="Arial"/>
        </w:rPr>
      </w:pPr>
      <w:r w:rsidRPr="001078C5">
        <w:rPr>
          <w:rFonts w:ascii="Bookman Old Style" w:hAnsi="Bookman Old Style" w:cs="Arial"/>
          <w:b/>
          <w:bCs/>
          <w:noProof/>
        </w:rPr>
        <w:t>IRMA LUCILA NUÑEZ BARRERA</w:t>
      </w:r>
      <w:r w:rsidR="003073FB" w:rsidRPr="001078C5">
        <w:rPr>
          <w:rFonts w:ascii="Bookman Old Style" w:hAnsi="Bookman Old Style" w:cs="Arial"/>
          <w:b/>
          <w:bCs/>
          <w:noProof/>
        </w:rPr>
        <w:t>,</w:t>
      </w:r>
      <w:r w:rsidR="003073FB" w:rsidRPr="001078C5">
        <w:rPr>
          <w:rFonts w:ascii="Bookman Old Style" w:hAnsi="Bookman Old Style" w:cs="Arial"/>
          <w:noProof/>
        </w:rPr>
        <w:t xml:space="preserve"> </w:t>
      </w:r>
      <w:r w:rsidR="00C90928" w:rsidRPr="001078C5">
        <w:rPr>
          <w:rFonts w:ascii="Bookman Old Style" w:hAnsi="Bookman Old Style" w:cs="Arial"/>
          <w:noProof/>
        </w:rPr>
        <w:t>pretende</w:t>
      </w:r>
      <w:r w:rsidR="003073FB" w:rsidRPr="001078C5">
        <w:rPr>
          <w:rFonts w:ascii="Bookman Old Style" w:hAnsi="Bookman Old Style" w:cs="Arial"/>
          <w:noProof/>
        </w:rPr>
        <w:t xml:space="preserve"> se declare la </w:t>
      </w:r>
      <w:r w:rsidR="00E2785C" w:rsidRPr="001078C5">
        <w:rPr>
          <w:rFonts w:ascii="Bookman Old Style" w:hAnsi="Bookman Old Style" w:cs="Arial"/>
          <w:noProof/>
        </w:rPr>
        <w:t>ineficacia</w:t>
      </w:r>
      <w:r w:rsidR="003073FB" w:rsidRPr="001078C5">
        <w:rPr>
          <w:rFonts w:ascii="Bookman Old Style" w:hAnsi="Bookman Old Style" w:cs="Arial"/>
          <w:noProof/>
        </w:rPr>
        <w:t xml:space="preserve"> de</w:t>
      </w:r>
      <w:r w:rsidR="00D34568" w:rsidRPr="001078C5">
        <w:rPr>
          <w:rFonts w:ascii="Bookman Old Style" w:hAnsi="Bookman Old Style" w:cs="Arial"/>
          <w:noProof/>
        </w:rPr>
        <w:t xml:space="preserve"> </w:t>
      </w:r>
      <w:r w:rsidR="003073FB" w:rsidRPr="001078C5">
        <w:rPr>
          <w:rFonts w:ascii="Bookman Old Style" w:hAnsi="Bookman Old Style" w:cs="Arial"/>
          <w:noProof/>
        </w:rPr>
        <w:t xml:space="preserve">la afiliación que hizo </w:t>
      </w:r>
      <w:r w:rsidR="0045781C" w:rsidRPr="001078C5">
        <w:rPr>
          <w:rFonts w:ascii="Bookman Old Style" w:hAnsi="Bookman Old Style" w:cs="Arial"/>
          <w:noProof/>
        </w:rPr>
        <w:t>a</w:t>
      </w:r>
      <w:r w:rsidR="000A5FC5" w:rsidRPr="001078C5">
        <w:rPr>
          <w:rFonts w:ascii="Bookman Old Style" w:hAnsi="Bookman Old Style" w:cs="Arial"/>
          <w:noProof/>
        </w:rPr>
        <w:t xml:space="preserve">l RAIS efectuado a </w:t>
      </w:r>
      <w:r w:rsidR="00422AB6" w:rsidRPr="001078C5">
        <w:rPr>
          <w:rFonts w:ascii="Bookman Old Style" w:hAnsi="Bookman Old Style" w:cs="Arial"/>
          <w:noProof/>
        </w:rPr>
        <w:t>P</w:t>
      </w:r>
      <w:r w:rsidR="007F4BDC" w:rsidRPr="001078C5">
        <w:rPr>
          <w:rFonts w:ascii="Bookman Old Style" w:hAnsi="Bookman Old Style" w:cs="Arial"/>
          <w:noProof/>
        </w:rPr>
        <w:t>ROTECCIÓN</w:t>
      </w:r>
      <w:r w:rsidR="00B02ABC" w:rsidRPr="001078C5">
        <w:rPr>
          <w:rFonts w:ascii="Bookman Old Style" w:hAnsi="Bookman Old Style" w:cs="Arial"/>
          <w:noProof/>
        </w:rPr>
        <w:t xml:space="preserve"> </w:t>
      </w:r>
      <w:r w:rsidR="00514F55" w:rsidRPr="001078C5">
        <w:rPr>
          <w:rFonts w:ascii="Bookman Old Style" w:hAnsi="Bookman Old Style" w:cs="Arial"/>
          <w:noProof/>
        </w:rPr>
        <w:t>S.A</w:t>
      </w:r>
      <w:r w:rsidRPr="001078C5">
        <w:rPr>
          <w:rFonts w:ascii="Bookman Old Style" w:hAnsi="Bookman Old Style" w:cs="Arial"/>
          <w:noProof/>
        </w:rPr>
        <w:t>, luego a PORVENIR S.A. y COLFONDOS S.A.</w:t>
      </w:r>
      <w:r w:rsidR="00E720F9" w:rsidRPr="001078C5">
        <w:rPr>
          <w:rFonts w:ascii="Bookman Old Style" w:hAnsi="Bookman Old Style" w:cs="Arial"/>
          <w:noProof/>
        </w:rPr>
        <w:t>. En</w:t>
      </w:r>
      <w:r w:rsidR="003073FB" w:rsidRPr="001078C5">
        <w:rPr>
          <w:rFonts w:ascii="Bookman Old Style" w:hAnsi="Bookman Old Style" w:cs="Arial"/>
          <w:noProof/>
        </w:rPr>
        <w:t xml:space="preserve"> consecuencia, solicita que se condene a </w:t>
      </w:r>
      <w:r w:rsidR="00315036" w:rsidRPr="001078C5">
        <w:rPr>
          <w:rFonts w:ascii="Bookman Old Style" w:hAnsi="Bookman Old Style" w:cs="Arial"/>
          <w:noProof/>
        </w:rPr>
        <w:t>C</w:t>
      </w:r>
      <w:r w:rsidR="00C90928" w:rsidRPr="001078C5">
        <w:rPr>
          <w:rFonts w:ascii="Bookman Old Style" w:hAnsi="Bookman Old Style" w:cs="Arial"/>
          <w:noProof/>
        </w:rPr>
        <w:t>OLPENSIONES</w:t>
      </w:r>
      <w:r w:rsidR="00315036" w:rsidRPr="001078C5">
        <w:rPr>
          <w:rFonts w:ascii="Bookman Old Style" w:hAnsi="Bookman Old Style" w:cs="Arial"/>
          <w:noProof/>
        </w:rPr>
        <w:t xml:space="preserve"> </w:t>
      </w:r>
      <w:r w:rsidR="003073FB" w:rsidRPr="001078C5">
        <w:rPr>
          <w:rFonts w:ascii="Bookman Old Style" w:hAnsi="Bookman Old Style" w:cs="Arial"/>
          <w:noProof/>
        </w:rPr>
        <w:t>a recibirl</w:t>
      </w:r>
      <w:r w:rsidR="00003BB8" w:rsidRPr="001078C5">
        <w:rPr>
          <w:rFonts w:ascii="Bookman Old Style" w:hAnsi="Bookman Old Style" w:cs="Arial"/>
          <w:noProof/>
        </w:rPr>
        <w:t>a</w:t>
      </w:r>
      <w:r w:rsidR="003073FB" w:rsidRPr="001078C5">
        <w:rPr>
          <w:rFonts w:ascii="Bookman Old Style" w:hAnsi="Bookman Old Style" w:cs="Arial"/>
          <w:noProof/>
        </w:rPr>
        <w:t xml:space="preserve"> nuevamente como afiliad</w:t>
      </w:r>
      <w:r w:rsidR="00003BB8" w:rsidRPr="001078C5">
        <w:rPr>
          <w:rFonts w:ascii="Bookman Old Style" w:hAnsi="Bookman Old Style" w:cs="Arial"/>
          <w:noProof/>
        </w:rPr>
        <w:t>a</w:t>
      </w:r>
      <w:r w:rsidR="003073FB" w:rsidRPr="001078C5">
        <w:rPr>
          <w:rFonts w:ascii="Bookman Old Style" w:hAnsi="Bookman Old Style" w:cs="Arial"/>
          <w:noProof/>
        </w:rPr>
        <w:t xml:space="preserve"> cotizante y a</w:t>
      </w:r>
      <w:r w:rsidR="00D01B34" w:rsidRPr="001078C5">
        <w:rPr>
          <w:rFonts w:ascii="Bookman Old Style" w:hAnsi="Bookman Old Style" w:cs="Arial"/>
          <w:noProof/>
        </w:rPr>
        <w:t xml:space="preserve"> la</w:t>
      </w:r>
      <w:r w:rsidRPr="001078C5">
        <w:rPr>
          <w:rFonts w:ascii="Bookman Old Style" w:hAnsi="Bookman Old Style" w:cs="Arial"/>
          <w:noProof/>
        </w:rPr>
        <w:t>s</w:t>
      </w:r>
      <w:r w:rsidR="00D01B34" w:rsidRPr="001078C5">
        <w:rPr>
          <w:rFonts w:ascii="Bookman Old Style" w:hAnsi="Bookman Old Style" w:cs="Arial"/>
          <w:noProof/>
        </w:rPr>
        <w:t xml:space="preserve"> </w:t>
      </w:r>
      <w:r w:rsidR="00793226" w:rsidRPr="001078C5">
        <w:rPr>
          <w:rFonts w:ascii="Bookman Old Style" w:hAnsi="Bookman Old Style" w:cs="Arial"/>
          <w:noProof/>
        </w:rPr>
        <w:t>AFP</w:t>
      </w:r>
      <w:r w:rsidR="00D01B34" w:rsidRPr="001078C5">
        <w:rPr>
          <w:rFonts w:ascii="Bookman Old Style" w:hAnsi="Bookman Old Style" w:cs="Arial"/>
          <w:noProof/>
        </w:rPr>
        <w:t xml:space="preserve"> a liberar de su</w:t>
      </w:r>
      <w:r w:rsidR="00003BB8" w:rsidRPr="001078C5">
        <w:rPr>
          <w:rFonts w:ascii="Bookman Old Style" w:hAnsi="Bookman Old Style" w:cs="Arial"/>
          <w:noProof/>
        </w:rPr>
        <w:t>s</w:t>
      </w:r>
      <w:r w:rsidR="00D01B34" w:rsidRPr="001078C5">
        <w:rPr>
          <w:rFonts w:ascii="Bookman Old Style" w:hAnsi="Bookman Old Style" w:cs="Arial"/>
          <w:noProof/>
        </w:rPr>
        <w:t xml:space="preserve"> base</w:t>
      </w:r>
      <w:r w:rsidR="00003BB8" w:rsidRPr="001078C5">
        <w:rPr>
          <w:rFonts w:ascii="Bookman Old Style" w:hAnsi="Bookman Old Style" w:cs="Arial"/>
          <w:noProof/>
        </w:rPr>
        <w:t>s</w:t>
      </w:r>
      <w:r w:rsidR="003073FB" w:rsidRPr="001078C5">
        <w:rPr>
          <w:rFonts w:ascii="Bookman Old Style" w:hAnsi="Bookman Old Style" w:cs="Arial"/>
          <w:noProof/>
        </w:rPr>
        <w:t xml:space="preserve"> de datos a la </w:t>
      </w:r>
      <w:r w:rsidR="00315036" w:rsidRPr="001078C5">
        <w:rPr>
          <w:rFonts w:ascii="Bookman Old Style" w:hAnsi="Bookman Old Style" w:cs="Arial"/>
          <w:noProof/>
        </w:rPr>
        <w:t xml:space="preserve">parte </w:t>
      </w:r>
      <w:r w:rsidR="003073FB" w:rsidRPr="001078C5">
        <w:rPr>
          <w:rFonts w:ascii="Bookman Old Style" w:hAnsi="Bookman Old Style" w:cs="Arial"/>
          <w:noProof/>
        </w:rPr>
        <w:t xml:space="preserve">actora </w:t>
      </w:r>
      <w:r w:rsidR="00793226" w:rsidRPr="001078C5">
        <w:rPr>
          <w:rFonts w:ascii="Bookman Old Style" w:hAnsi="Bookman Old Style" w:cs="Arial"/>
          <w:noProof/>
        </w:rPr>
        <w:t>haciendo</w:t>
      </w:r>
      <w:r w:rsidR="003073FB" w:rsidRPr="001078C5">
        <w:rPr>
          <w:rFonts w:ascii="Bookman Old Style" w:hAnsi="Bookman Old Style" w:cs="Arial"/>
          <w:noProof/>
        </w:rPr>
        <w:t xml:space="preserve"> el respectivo traslado de sus cotizaciones</w:t>
      </w:r>
      <w:r w:rsidR="00D01B34" w:rsidRPr="001078C5">
        <w:rPr>
          <w:rFonts w:ascii="Bookman Old Style" w:hAnsi="Bookman Old Style" w:cs="Arial"/>
          <w:noProof/>
        </w:rPr>
        <w:t xml:space="preserve"> y rendimientos</w:t>
      </w:r>
      <w:r w:rsidR="003073FB" w:rsidRPr="001078C5">
        <w:rPr>
          <w:rFonts w:ascii="Bookman Old Style" w:hAnsi="Bookman Old Style" w:cs="Arial"/>
          <w:noProof/>
        </w:rPr>
        <w:t>. Además, solicita se condene en costas</w:t>
      </w:r>
      <w:r w:rsidR="00711ACF" w:rsidRPr="001078C5">
        <w:rPr>
          <w:rFonts w:ascii="Bookman Old Style" w:hAnsi="Bookman Old Style" w:cs="Arial"/>
          <w:noProof/>
        </w:rPr>
        <w:t xml:space="preserve"> y lo ultra y extra petita</w:t>
      </w:r>
      <w:r w:rsidR="00B02ABC" w:rsidRPr="001078C5">
        <w:rPr>
          <w:rFonts w:ascii="Bookman Old Style" w:hAnsi="Bookman Old Style" w:cs="Arial"/>
          <w:noProof/>
        </w:rPr>
        <w:t>.</w:t>
      </w:r>
    </w:p>
    <w:p w14:paraId="5BFB7646" w14:textId="77777777" w:rsidR="003073FB" w:rsidRPr="001078C5" w:rsidRDefault="003073FB" w:rsidP="001078C5">
      <w:pPr>
        <w:spacing w:line="276" w:lineRule="auto"/>
        <w:ind w:firstLine="0"/>
        <w:rPr>
          <w:rFonts w:ascii="Bookman Old Style" w:hAnsi="Bookman Old Style" w:cs="Arial"/>
          <w:color w:val="FF0000"/>
        </w:rPr>
      </w:pPr>
    </w:p>
    <w:p w14:paraId="58F5315F" w14:textId="77777777" w:rsidR="003073FB" w:rsidRPr="001078C5" w:rsidRDefault="003073FB" w:rsidP="001078C5">
      <w:pPr>
        <w:pStyle w:val="Prrafodelista"/>
        <w:numPr>
          <w:ilvl w:val="0"/>
          <w:numId w:val="2"/>
        </w:numPr>
        <w:spacing w:line="276" w:lineRule="auto"/>
        <w:ind w:left="284"/>
        <w:rPr>
          <w:rFonts w:ascii="Bookman Old Style" w:hAnsi="Bookman Old Style" w:cs="Arial"/>
        </w:rPr>
      </w:pPr>
      <w:r w:rsidRPr="001078C5">
        <w:rPr>
          <w:rFonts w:ascii="Bookman Old Style" w:hAnsi="Bookman Old Style" w:cs="Arial"/>
          <w:b/>
          <w:bCs/>
        </w:rPr>
        <w:t>Hechos</w:t>
      </w:r>
    </w:p>
    <w:p w14:paraId="5173F076" w14:textId="77777777" w:rsidR="003073FB" w:rsidRPr="001078C5" w:rsidRDefault="003073FB" w:rsidP="001078C5">
      <w:pPr>
        <w:spacing w:line="276" w:lineRule="auto"/>
        <w:ind w:firstLine="0"/>
        <w:rPr>
          <w:rFonts w:ascii="Bookman Old Style" w:hAnsi="Bookman Old Style" w:cs="Arial"/>
        </w:rPr>
      </w:pPr>
    </w:p>
    <w:p w14:paraId="66CB9F19" w14:textId="7847A9E2" w:rsidR="00BC3046" w:rsidRPr="001078C5" w:rsidRDefault="003073FB" w:rsidP="001078C5">
      <w:pPr>
        <w:spacing w:line="276" w:lineRule="auto"/>
        <w:ind w:firstLine="0"/>
        <w:rPr>
          <w:rFonts w:ascii="Bookman Old Style" w:hAnsi="Bookman Old Style" w:cs="Arial"/>
          <w:noProof/>
        </w:rPr>
      </w:pPr>
      <w:r w:rsidRPr="001078C5">
        <w:rPr>
          <w:rFonts w:ascii="Bookman Old Style" w:hAnsi="Bookman Old Style" w:cs="Arial"/>
          <w:noProof/>
        </w:rPr>
        <w:t>En sustento de lo pretendido, relata que</w:t>
      </w:r>
      <w:r w:rsidR="00422AB6" w:rsidRPr="001078C5">
        <w:rPr>
          <w:rFonts w:ascii="Bookman Old Style" w:hAnsi="Bookman Old Style" w:cs="Arial"/>
          <w:noProof/>
        </w:rPr>
        <w:t xml:space="preserve"> </w:t>
      </w:r>
      <w:r w:rsidR="00552573" w:rsidRPr="001078C5">
        <w:rPr>
          <w:rFonts w:ascii="Bookman Old Style" w:hAnsi="Bookman Old Style" w:cs="Arial"/>
          <w:noProof/>
        </w:rPr>
        <w:t>nació el 03 de julio de 1960 en Guican, Boyacá, que se afilió al RPM en el mes de julio de 1984 cuando laboraba con la Compañía de Inversiones Colombia S.A. y continuó cotizando hasta el mes de agosto de 1996. Indicó que el 20 de septiembre de 1996 se afilió a COLFONDOS S.A., luego, el 24 de mayo de 2001 se cambió a PORVENIR S.A. antes HORIZONTE; no obstante, afirma que al momento de los traslados ninguna de las AFP le brindó la información necesaria para efectuar dicho cambio, pues solo le hablaron de los beneficios y no de las desventajas de trasladarse del RPM al RAIS. Por ese motivo, solicitó ante COLPENSIONES el traslado, pero la entidad el 18 de marzo de 2021, negó dicha solicitud debido a su edad.</w:t>
      </w:r>
    </w:p>
    <w:p w14:paraId="131A98DF" w14:textId="14EA0E40" w:rsidR="00315036" w:rsidRPr="001078C5" w:rsidRDefault="00315036" w:rsidP="001078C5">
      <w:pPr>
        <w:spacing w:line="276" w:lineRule="auto"/>
        <w:ind w:firstLine="0"/>
        <w:rPr>
          <w:rFonts w:ascii="Bookman Old Style" w:hAnsi="Bookman Old Style" w:cs="Arial"/>
          <w:noProof/>
        </w:rPr>
      </w:pPr>
    </w:p>
    <w:p w14:paraId="5367CFD7" w14:textId="704D48B2" w:rsidR="003073FB" w:rsidRPr="001078C5" w:rsidRDefault="003073FB" w:rsidP="001078C5">
      <w:pPr>
        <w:pStyle w:val="Prrafodelista"/>
        <w:numPr>
          <w:ilvl w:val="0"/>
          <w:numId w:val="2"/>
        </w:numPr>
        <w:spacing w:line="276" w:lineRule="auto"/>
        <w:ind w:left="284"/>
        <w:rPr>
          <w:rFonts w:ascii="Bookman Old Style" w:hAnsi="Bookman Old Style" w:cs="Arial"/>
          <w:b/>
          <w:bCs/>
        </w:rPr>
      </w:pPr>
      <w:r w:rsidRPr="001078C5">
        <w:rPr>
          <w:rFonts w:ascii="Bookman Old Style" w:hAnsi="Bookman Old Style" w:cs="Arial"/>
          <w:b/>
          <w:bCs/>
        </w:rPr>
        <w:t>Posición de las demandadas.</w:t>
      </w:r>
    </w:p>
    <w:p w14:paraId="37CEF727" w14:textId="1AC05E33" w:rsidR="00552573" w:rsidRPr="001078C5" w:rsidRDefault="00552573" w:rsidP="001078C5">
      <w:pPr>
        <w:spacing w:line="276" w:lineRule="auto"/>
        <w:ind w:firstLine="0"/>
        <w:rPr>
          <w:rFonts w:ascii="Bookman Old Style" w:hAnsi="Bookman Old Style" w:cs="Arial"/>
          <w:b/>
          <w:bCs/>
        </w:rPr>
      </w:pPr>
    </w:p>
    <w:p w14:paraId="60EA863E" w14:textId="00873170" w:rsidR="00552573" w:rsidRPr="001078C5" w:rsidRDefault="00552573" w:rsidP="001078C5">
      <w:pPr>
        <w:spacing w:line="276" w:lineRule="auto"/>
        <w:ind w:firstLine="0"/>
        <w:rPr>
          <w:rFonts w:ascii="Bookman Old Style" w:hAnsi="Bookman Old Style" w:cs="Arial"/>
          <w:bCs/>
        </w:rPr>
      </w:pPr>
      <w:r w:rsidRPr="001078C5">
        <w:rPr>
          <w:rFonts w:ascii="Bookman Old Style" w:hAnsi="Bookman Old Style" w:cs="Arial"/>
          <w:b/>
          <w:bCs/>
        </w:rPr>
        <w:lastRenderedPageBreak/>
        <w:t xml:space="preserve">PORVENIR S.A. </w:t>
      </w:r>
      <w:r w:rsidR="00FE71A2" w:rsidRPr="001078C5">
        <w:rPr>
          <w:rFonts w:ascii="Bookman Old Style" w:hAnsi="Bookman Old Style" w:cs="Arial"/>
          <w:bCs/>
        </w:rPr>
        <w:t xml:space="preserve">señaló que la demandante suscribió formulario de afiliación con HORIZONTE hoy PORVENIR, entidades que son totalmente diferentes, en todo caso, la actora no demostró que para la época del traslado se hubiese inducido al engaño o error para que tomara la decisión de cambiarse de régimen. Agregó que para esa calenda las AFP no tenían la obligación de realizar proyecciones financieras de las mesadas pensionales de los potenciales afiliados, ni mucho menos, mantener constancia escrita de las asesorías suministradas. Como excepciones formuló: </w:t>
      </w:r>
      <w:r w:rsidR="00FE71A2" w:rsidRPr="001078C5">
        <w:rPr>
          <w:rFonts w:ascii="Bookman Old Style" w:hAnsi="Bookman Old Style" w:cs="Arial"/>
          <w:b/>
          <w:bCs/>
          <w:noProof/>
        </w:rPr>
        <w:t xml:space="preserve">validez y eficiacia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 y la innominada o genérica. </w:t>
      </w:r>
      <w:r w:rsidR="00FE71A2" w:rsidRPr="001078C5">
        <w:rPr>
          <w:rFonts w:ascii="Bookman Old Style" w:hAnsi="Bookman Old Style" w:cs="Arial"/>
          <w:bCs/>
        </w:rPr>
        <w:t>(Anexo8)</w:t>
      </w:r>
    </w:p>
    <w:p w14:paraId="5D804AE3" w14:textId="1DC5BEF5" w:rsidR="00FE71A2" w:rsidRPr="001078C5" w:rsidRDefault="00FE71A2" w:rsidP="001078C5">
      <w:pPr>
        <w:spacing w:line="276" w:lineRule="auto"/>
        <w:ind w:firstLine="0"/>
        <w:rPr>
          <w:rFonts w:ascii="Bookman Old Style" w:hAnsi="Bookman Old Style" w:cs="Arial"/>
          <w:bCs/>
        </w:rPr>
      </w:pPr>
    </w:p>
    <w:p w14:paraId="463B8FCD" w14:textId="42101A42" w:rsidR="00FE71A2" w:rsidRPr="001078C5" w:rsidRDefault="00FE71A2" w:rsidP="001078C5">
      <w:pPr>
        <w:spacing w:line="276" w:lineRule="auto"/>
        <w:ind w:firstLine="0"/>
        <w:rPr>
          <w:rFonts w:ascii="Bookman Old Style" w:hAnsi="Bookman Old Style" w:cs="Arial"/>
          <w:bCs/>
        </w:rPr>
      </w:pPr>
      <w:r w:rsidRPr="001078C5">
        <w:rPr>
          <w:rFonts w:ascii="Bookman Old Style" w:hAnsi="Bookman Old Style" w:cs="Arial"/>
          <w:b/>
          <w:bCs/>
        </w:rPr>
        <w:t xml:space="preserve">COLFONDOS S.A. </w:t>
      </w:r>
      <w:r w:rsidRPr="001078C5">
        <w:rPr>
          <w:rFonts w:ascii="Bookman Old Style" w:hAnsi="Bookman Old Style" w:cs="Arial"/>
          <w:bCs/>
        </w:rPr>
        <w:t xml:space="preserve">indicó que la AFP brindó una asesoría de manera integral y completa, sobre el régimen general de pensiones, téngase en cuenta que la vinculación o traslado, ya sea de Régimen o de Fondo de Pensiones dentro del mismo Régimen, depende exclusivamente del cliente, quien determina la conveniencia del mismo, luego de examinar los beneficios y desventajas de los diferentes regímenes pensiones o administradoras de pensiones, tal como ocurrió en el caso la demandante, quien luego de haber recibido la asesoría pertinente opto por trasladarse de manera, informada, libre y espontánea y sin presión alguna, como quedó consignado en la solicitud de vinculación que se adjunta, donde quedó claramente plasmado su consentimiento. Como excepciones propuso: </w:t>
      </w:r>
      <w:r w:rsidR="00B74A31" w:rsidRPr="001078C5">
        <w:rPr>
          <w:rFonts w:ascii="Bookman Old Style" w:hAnsi="Bookman Old Style" w:cs="Arial"/>
          <w:b/>
          <w:bCs/>
          <w:noProof/>
        </w:rPr>
        <w:t>inexistencia de la obligación, falta de legitimación en la causa por pasiva, buena fe, innominada o genérica, ausencia de vicios en el consentimiento, validez de la afiliación al régimen de ahorro individual con solidaridad, ratificación de la afiliación de la actora al fondo de pensiones obligatorias administrado por Colfondos S.A., prescripción de la acción para solicitar la nulidad del traslado, compensación y pago.</w:t>
      </w:r>
      <w:r w:rsidR="00B74A31" w:rsidRPr="001078C5">
        <w:rPr>
          <w:rFonts w:ascii="Bookman Old Style" w:hAnsi="Bookman Old Style" w:cs="Arial"/>
          <w:bCs/>
          <w:noProof/>
        </w:rPr>
        <w:t xml:space="preserve"> </w:t>
      </w:r>
      <w:r w:rsidRPr="001078C5">
        <w:rPr>
          <w:rFonts w:ascii="Bookman Old Style" w:hAnsi="Bookman Old Style" w:cs="Arial"/>
          <w:bCs/>
        </w:rPr>
        <w:t>(Anexo9)</w:t>
      </w:r>
    </w:p>
    <w:p w14:paraId="7ECC3EA6" w14:textId="77777777" w:rsidR="00B74A31" w:rsidRPr="001078C5" w:rsidRDefault="00B74A31" w:rsidP="001078C5">
      <w:pPr>
        <w:spacing w:line="276" w:lineRule="auto"/>
        <w:ind w:firstLine="0"/>
        <w:rPr>
          <w:rFonts w:ascii="Bookman Old Style" w:hAnsi="Bookman Old Style" w:cs="Arial"/>
          <w:bCs/>
        </w:rPr>
      </w:pPr>
    </w:p>
    <w:p w14:paraId="5BED189A" w14:textId="5971E5AF" w:rsidR="00AC4782" w:rsidRPr="001078C5" w:rsidRDefault="00AC4782" w:rsidP="001078C5">
      <w:pPr>
        <w:spacing w:line="276" w:lineRule="auto"/>
        <w:ind w:firstLine="0"/>
        <w:rPr>
          <w:rFonts w:ascii="Bookman Old Style" w:hAnsi="Bookman Old Style" w:cs="Arial"/>
          <w:noProof/>
        </w:rPr>
      </w:pPr>
      <w:r w:rsidRPr="001078C5">
        <w:rPr>
          <w:rFonts w:ascii="Bookman Old Style" w:hAnsi="Bookman Old Style" w:cs="Arial"/>
          <w:b/>
          <w:bCs/>
          <w:noProof/>
        </w:rPr>
        <w:t>COLPENSIONES</w:t>
      </w:r>
      <w:r w:rsidRPr="001078C5">
        <w:rPr>
          <w:rFonts w:ascii="Bookman Old Style" w:hAnsi="Bookman Old Style" w:cs="Arial"/>
          <w:noProof/>
        </w:rPr>
        <w:t>, al contestar la dema</w:t>
      </w:r>
      <w:r w:rsidR="00245916" w:rsidRPr="001078C5">
        <w:rPr>
          <w:rFonts w:ascii="Bookman Old Style" w:hAnsi="Bookman Old Style" w:cs="Arial"/>
          <w:noProof/>
        </w:rPr>
        <w:t>n</w:t>
      </w:r>
      <w:r w:rsidR="00023565" w:rsidRPr="001078C5">
        <w:rPr>
          <w:rFonts w:ascii="Bookman Old Style" w:hAnsi="Bookman Old Style" w:cs="Arial"/>
          <w:noProof/>
        </w:rPr>
        <w:t xml:space="preserve">da se opuso a las pretensiones aduciendo que </w:t>
      </w:r>
      <w:r w:rsidR="00245916" w:rsidRPr="001078C5">
        <w:rPr>
          <w:rFonts w:ascii="Bookman Old Style" w:hAnsi="Bookman Old Style" w:cs="Arial"/>
          <w:noProof/>
        </w:rPr>
        <w:t>no le co</w:t>
      </w:r>
      <w:r w:rsidR="00023565" w:rsidRPr="001078C5">
        <w:rPr>
          <w:rFonts w:ascii="Bookman Old Style" w:hAnsi="Bookman Old Style" w:cs="Arial"/>
          <w:noProof/>
        </w:rPr>
        <w:t xml:space="preserve">nstan los hechos de la demanda por ser ajenos al conocimiento de la entidad. </w:t>
      </w:r>
      <w:r w:rsidR="007F4BDC" w:rsidRPr="001078C5">
        <w:rPr>
          <w:rFonts w:ascii="Bookman Old Style" w:hAnsi="Bookman Old Style" w:cs="Arial"/>
          <w:noProof/>
        </w:rPr>
        <w:t xml:space="preserve">Señaló que no se evidencia que la </w:t>
      </w:r>
      <w:r w:rsidR="00164A38" w:rsidRPr="001078C5">
        <w:rPr>
          <w:rFonts w:ascii="Bookman Old Style" w:hAnsi="Bookman Old Style" w:cs="Arial"/>
          <w:noProof/>
        </w:rPr>
        <w:t xml:space="preserve">existiere por parte de </w:t>
      </w:r>
      <w:r w:rsidR="00B74A31" w:rsidRPr="001078C5">
        <w:rPr>
          <w:rFonts w:ascii="Bookman Old Style" w:hAnsi="Bookman Old Style" w:cs="Arial"/>
          <w:noProof/>
        </w:rPr>
        <w:t>las AFP</w:t>
      </w:r>
      <w:r w:rsidR="00164A38" w:rsidRPr="001078C5">
        <w:rPr>
          <w:rFonts w:ascii="Bookman Old Style" w:hAnsi="Bookman Old Style" w:cs="Arial"/>
          <w:noProof/>
        </w:rPr>
        <w:t xml:space="preserve"> engaño alguno o acto que evidencie motivo para que se declare el traslado ineficaz o nulo, puesto que, la actora en virtud de su libertad de escogencia de régimen pensional decidió cambiarse de régimen pensional. Además, la actora se encuentra dentro de la imposibilidad legal para efectuar el retorno al régimen de prima media. </w:t>
      </w:r>
      <w:r w:rsidR="00487981" w:rsidRPr="001078C5">
        <w:rPr>
          <w:rFonts w:ascii="Bookman Old Style" w:hAnsi="Bookman Old Style" w:cs="Arial"/>
          <w:noProof/>
        </w:rPr>
        <w:t>C</w:t>
      </w:r>
      <w:r w:rsidRPr="001078C5">
        <w:rPr>
          <w:rFonts w:ascii="Bookman Old Style" w:hAnsi="Bookman Old Style" w:cs="Arial"/>
          <w:noProof/>
        </w:rPr>
        <w:t>omo excepciones propuso:</w:t>
      </w:r>
      <w:r w:rsidR="00F97E1D" w:rsidRPr="001078C5">
        <w:rPr>
          <w:rFonts w:ascii="Bookman Old Style" w:hAnsi="Bookman Old Style" w:cs="Arial"/>
          <w:noProof/>
        </w:rPr>
        <w:t xml:space="preserve"> </w:t>
      </w:r>
      <w:r w:rsidR="00F97E1D" w:rsidRPr="001078C5">
        <w:rPr>
          <w:rFonts w:ascii="Bookman Old Style" w:hAnsi="Bookman Old Style" w:cs="Arial"/>
          <w:b/>
          <w:noProof/>
        </w:rPr>
        <w:t xml:space="preserve">Validez de la afiliación al RAIS, </w:t>
      </w:r>
      <w:r w:rsidR="00164A38" w:rsidRPr="001078C5">
        <w:rPr>
          <w:rFonts w:ascii="Bookman Old Style" w:hAnsi="Bookman Old Style" w:cs="Arial"/>
          <w:b/>
          <w:noProof/>
        </w:rPr>
        <w:t>saneamiento de una presunta nulidad, solicitud de traslado de dineros de gastos de administración, prescripción, imposibilidad jurídica para reconocer y pagar derechos por fuera del ordenamiento legal, buen fe, imposibilidad de condena en costas, declaratoria de otras excepciones.</w:t>
      </w:r>
      <w:r w:rsidR="00B02ABC" w:rsidRPr="001078C5">
        <w:rPr>
          <w:rFonts w:ascii="Bookman Old Style" w:hAnsi="Bookman Old Style" w:cs="Arial"/>
          <w:b/>
          <w:bCs/>
          <w:noProof/>
        </w:rPr>
        <w:t xml:space="preserve"> </w:t>
      </w:r>
      <w:r w:rsidR="00B02ABC" w:rsidRPr="001078C5">
        <w:rPr>
          <w:rFonts w:ascii="Bookman Old Style" w:hAnsi="Bookman Old Style" w:cs="Arial"/>
          <w:bCs/>
          <w:noProof/>
        </w:rPr>
        <w:t>(Anexo</w:t>
      </w:r>
      <w:r w:rsidR="00B74A31" w:rsidRPr="001078C5">
        <w:rPr>
          <w:rFonts w:ascii="Bookman Old Style" w:hAnsi="Bookman Old Style" w:cs="Arial"/>
          <w:bCs/>
          <w:noProof/>
        </w:rPr>
        <w:t>11</w:t>
      </w:r>
      <w:r w:rsidR="00B02ABC" w:rsidRPr="001078C5">
        <w:rPr>
          <w:rFonts w:ascii="Bookman Old Style" w:hAnsi="Bookman Old Style" w:cs="Arial"/>
          <w:bCs/>
          <w:noProof/>
        </w:rPr>
        <w:t>)</w:t>
      </w:r>
    </w:p>
    <w:p w14:paraId="6F8A6785" w14:textId="77777777" w:rsidR="00AC4782" w:rsidRPr="001078C5" w:rsidRDefault="00AC4782" w:rsidP="001078C5">
      <w:pPr>
        <w:spacing w:line="276" w:lineRule="auto"/>
        <w:ind w:firstLine="0"/>
        <w:rPr>
          <w:rFonts w:ascii="Bookman Old Style" w:hAnsi="Bookman Old Style" w:cs="Arial"/>
          <w:b/>
          <w:bCs/>
          <w:noProof/>
        </w:rPr>
      </w:pPr>
    </w:p>
    <w:p w14:paraId="7D245FC4" w14:textId="34A80E36" w:rsidR="00122FE2" w:rsidRPr="001078C5" w:rsidRDefault="002562D0" w:rsidP="001078C5">
      <w:pPr>
        <w:tabs>
          <w:tab w:val="left" w:pos="7676"/>
        </w:tabs>
        <w:spacing w:line="276" w:lineRule="auto"/>
        <w:ind w:firstLine="0"/>
        <w:rPr>
          <w:rFonts w:ascii="Bookman Old Style" w:hAnsi="Bookman Old Style" w:cs="Arial"/>
          <w:bCs/>
          <w:noProof/>
        </w:rPr>
      </w:pPr>
      <w:r w:rsidRPr="001078C5">
        <w:rPr>
          <w:rFonts w:ascii="Bookman Old Style" w:hAnsi="Bookman Old Style" w:cs="Arial"/>
          <w:b/>
          <w:bCs/>
          <w:noProof/>
        </w:rPr>
        <w:t xml:space="preserve">PROTECCIÓN </w:t>
      </w:r>
      <w:r w:rsidR="005F20BC" w:rsidRPr="001078C5">
        <w:rPr>
          <w:rFonts w:ascii="Bookman Old Style" w:hAnsi="Bookman Old Style" w:cs="Arial"/>
          <w:b/>
          <w:bCs/>
          <w:noProof/>
        </w:rPr>
        <w:t xml:space="preserve">S.A. </w:t>
      </w:r>
      <w:r w:rsidR="00B74A31" w:rsidRPr="001078C5">
        <w:rPr>
          <w:rFonts w:ascii="Bookman Old Style" w:hAnsi="Bookman Old Style" w:cs="Arial"/>
          <w:bCs/>
          <w:noProof/>
        </w:rPr>
        <w:t xml:space="preserve">se opuso a las pretensiones e indicó que la actora firmó el formulario de afiliación de forma libre y voluntaria, pues la asesoría brindada cumplió con los requisitos contemplados en el artículo 11 del Decreto 692 de 1994. Agregó que la actora no es víctima de la omisión en la información, pues fue un acto de propia voluntad, no es beneficiaria del régimen de transición y el asesor le brindó toda la información real, completa y necesaria para efectuar el traslado de régimen con conocimiento de causa. Como excepciones de fondo propuso: </w:t>
      </w:r>
      <w:r w:rsidR="00B74A31" w:rsidRPr="001078C5">
        <w:rPr>
          <w:rFonts w:ascii="Bookman Old Style" w:hAnsi="Bookman Old Style" w:cs="Arial"/>
          <w:b/>
          <w:bCs/>
          <w:noProof/>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tralsado, excepción de mérito seguro previsional, excepción de mérito cuotas de administración</w:t>
      </w:r>
      <w:r w:rsidRPr="001078C5">
        <w:rPr>
          <w:rFonts w:ascii="Bookman Old Style" w:hAnsi="Bookman Old Style" w:cs="Arial"/>
          <w:b/>
          <w:bCs/>
          <w:noProof/>
        </w:rPr>
        <w:t xml:space="preserve">. </w:t>
      </w:r>
      <w:r w:rsidR="00747649" w:rsidRPr="001078C5">
        <w:rPr>
          <w:rFonts w:ascii="Bookman Old Style" w:hAnsi="Bookman Old Style" w:cs="Arial"/>
          <w:bCs/>
          <w:noProof/>
        </w:rPr>
        <w:t>(Anexo1</w:t>
      </w:r>
      <w:r w:rsidR="000D1C42" w:rsidRPr="001078C5">
        <w:rPr>
          <w:rFonts w:ascii="Bookman Old Style" w:hAnsi="Bookman Old Style" w:cs="Arial"/>
          <w:bCs/>
          <w:noProof/>
        </w:rPr>
        <w:t>6</w:t>
      </w:r>
      <w:r w:rsidR="005F20BC" w:rsidRPr="001078C5">
        <w:rPr>
          <w:rFonts w:ascii="Bookman Old Style" w:hAnsi="Bookman Old Style" w:cs="Arial"/>
          <w:bCs/>
          <w:noProof/>
        </w:rPr>
        <w:t>)</w:t>
      </w:r>
    </w:p>
    <w:p w14:paraId="2E360F53" w14:textId="6AF6B798" w:rsidR="00B74A31" w:rsidRPr="001078C5" w:rsidRDefault="00B74A31" w:rsidP="001078C5">
      <w:pPr>
        <w:tabs>
          <w:tab w:val="left" w:pos="7676"/>
        </w:tabs>
        <w:spacing w:line="276" w:lineRule="auto"/>
        <w:ind w:firstLine="0"/>
        <w:rPr>
          <w:rFonts w:ascii="Bookman Old Style" w:hAnsi="Bookman Old Style" w:cs="Arial"/>
          <w:bCs/>
          <w:noProof/>
        </w:rPr>
      </w:pPr>
    </w:p>
    <w:p w14:paraId="15EE3742" w14:textId="6601014C" w:rsidR="00B74A31" w:rsidRPr="001078C5" w:rsidRDefault="00B74A31" w:rsidP="001078C5">
      <w:pPr>
        <w:tabs>
          <w:tab w:val="left" w:pos="7676"/>
        </w:tabs>
        <w:spacing w:line="276" w:lineRule="auto"/>
        <w:ind w:firstLine="0"/>
        <w:rPr>
          <w:rFonts w:ascii="Bookman Old Style" w:hAnsi="Bookman Old Style" w:cs="Arial"/>
          <w:bCs/>
          <w:noProof/>
        </w:rPr>
      </w:pPr>
      <w:r w:rsidRPr="001078C5">
        <w:rPr>
          <w:rFonts w:ascii="Bookman Old Style" w:hAnsi="Bookman Old Style" w:cs="Arial"/>
          <w:b/>
          <w:bCs/>
          <w:noProof/>
        </w:rPr>
        <w:t xml:space="preserve">SKANDIA S.A. </w:t>
      </w:r>
      <w:r w:rsidRPr="001078C5">
        <w:rPr>
          <w:rFonts w:ascii="Bookman Old Style" w:hAnsi="Bookman Old Style" w:cs="Arial"/>
          <w:bCs/>
          <w:noProof/>
        </w:rPr>
        <w:t>manifestó que el acto jurídico mediante el cual la Demandante se trasladó de régimen, produjo los correspondientes efectos, particularmente la realización de aportes a su cuenta de ahorro individual, durante más de 25 años. Advirtió que el hecho de que las mesadas pensionales proyectadas en la actualidad en el RAIS sean inferiores a las estimadas hace más 25 años, no significa que la información brindada por el asesor de COLFONDOS, hubiese sido engañosa y falsa</w:t>
      </w:r>
      <w:r w:rsidR="00447E36" w:rsidRPr="001078C5">
        <w:rPr>
          <w:rFonts w:ascii="Bookman Old Style" w:hAnsi="Bookman Old Style" w:cs="Arial"/>
          <w:bCs/>
          <w:noProof/>
        </w:rPr>
        <w:t xml:space="preserve">. Precisó que la inconveniencia económica de un negocio jurídico no le resta eficacia desde el punto de vista legal. Como excepciones presentó: </w:t>
      </w:r>
      <w:r w:rsidR="00C65634" w:rsidRPr="001078C5">
        <w:rPr>
          <w:rFonts w:ascii="Bookman Old Style" w:hAnsi="Bookman Old Style" w:cs="Arial"/>
          <w:b/>
          <w:bCs/>
          <w:noProof/>
        </w:rPr>
        <w:t xml:space="preserve">validez y eficacia de la afiliación de la demandante a Skandia e inexistencia de vicios en el consentimiento, inexistencia de la obligación de devolver la comisión </w:t>
      </w:r>
      <w:r w:rsidR="003C1AC1" w:rsidRPr="001078C5">
        <w:rPr>
          <w:rFonts w:ascii="Bookman Old Style" w:hAnsi="Bookman Old Style" w:cs="Arial"/>
          <w:b/>
          <w:bCs/>
          <w:noProof/>
        </w:rPr>
        <w:t xml:space="preserve">de administración, en caso de que se declare la ineficacia de la afiliación al RAIS, inexistencia de la obligación de devolver el pago al seguro previsional cuando se declara la ineficacia de la afiliación al RAIS, pago, compensación, prescripción, buena fe, innominada o genérica. </w:t>
      </w:r>
      <w:r w:rsidRPr="001078C5">
        <w:rPr>
          <w:rFonts w:ascii="Bookman Old Style" w:hAnsi="Bookman Old Style" w:cs="Arial"/>
          <w:bCs/>
          <w:noProof/>
        </w:rPr>
        <w:t>(Anexo28)</w:t>
      </w:r>
    </w:p>
    <w:p w14:paraId="787765C2" w14:textId="1787CB8D" w:rsidR="003C1AC1" w:rsidRPr="001078C5" w:rsidRDefault="003C1AC1" w:rsidP="001078C5">
      <w:pPr>
        <w:tabs>
          <w:tab w:val="left" w:pos="7676"/>
        </w:tabs>
        <w:spacing w:line="276" w:lineRule="auto"/>
        <w:ind w:firstLine="0"/>
        <w:rPr>
          <w:rFonts w:ascii="Bookman Old Style" w:hAnsi="Bookman Old Style" w:cs="Arial"/>
          <w:bCs/>
          <w:noProof/>
        </w:rPr>
      </w:pPr>
    </w:p>
    <w:p w14:paraId="4F988E4E" w14:textId="7AEEF6A7" w:rsidR="003C1AC1" w:rsidRPr="001078C5" w:rsidRDefault="003C1AC1" w:rsidP="001078C5">
      <w:pPr>
        <w:tabs>
          <w:tab w:val="left" w:pos="7676"/>
        </w:tabs>
        <w:spacing w:line="276" w:lineRule="auto"/>
        <w:ind w:firstLine="0"/>
        <w:rPr>
          <w:rFonts w:ascii="Bookman Old Style" w:hAnsi="Bookman Old Style" w:cs="Arial"/>
          <w:bCs/>
          <w:noProof/>
        </w:rPr>
      </w:pPr>
      <w:r w:rsidRPr="001078C5">
        <w:rPr>
          <w:rFonts w:ascii="Bookman Old Style" w:hAnsi="Bookman Old Style" w:cs="Arial"/>
          <w:b/>
          <w:bCs/>
          <w:noProof/>
        </w:rPr>
        <w:t xml:space="preserve">MAPFRE COLOMBIA VIDA SEGUROS S.A. </w:t>
      </w:r>
      <w:r w:rsidRPr="001078C5">
        <w:rPr>
          <w:rFonts w:ascii="Bookman Old Style" w:hAnsi="Bookman Old Style" w:cs="Arial"/>
          <w:bCs/>
          <w:noProof/>
        </w:rPr>
        <w:t>manifestó que es extraña la vinculación que pretende Skandia frente a mi representada, pues desconoce que lo que se contrató con MAPFRE fueron los riesgos mas no la pensión ni la administración del ahorro individual, es decir, si durante la vigencia de la póliza se hubiera realizado el riesgo de la invalidez o muerte del afiliado, MAPFRE en virtud del contrato de seguros hubiera estado obligada a completar a SKANDIA la suma faltante para completar la pensión; a cambio de asumir dicho riesgo se acordó para MAPFRE el pago de una prima, prima que se causó porque el riesgo fue asumido, no se puede pretender ahora que MAPFRE reembolse unas primas que ya fueron devengadas.</w:t>
      </w:r>
      <w:r w:rsidR="006A0EE1" w:rsidRPr="001078C5">
        <w:rPr>
          <w:rFonts w:ascii="Bookman Old Style" w:hAnsi="Bookman Old Style" w:cs="Arial"/>
          <w:bCs/>
          <w:noProof/>
        </w:rPr>
        <w:t xml:space="preserve"> Agregó que SKANDIA es quien tiene el capital ahorrado por la pensionada, y si la solicitud de traslado saliera avante en la sentencia, SKANDIA debe trasladar las sumas a COLPENSIONES, pues es ella quien las tiene y las administra; MAPFRE prestó un servicio durante un tiempo que fue el aseguramiento por los riesgos de invalidez y muerte en virtud de una póliza ya fenecida. En las excepciones propuso: </w:t>
      </w:r>
      <w:r w:rsidR="006A0EE1" w:rsidRPr="001078C5">
        <w:rPr>
          <w:rFonts w:ascii="Bookman Old Style" w:hAnsi="Bookman Old Style" w:cs="Arial"/>
          <w:b/>
          <w:bCs/>
          <w:noProof/>
        </w:rPr>
        <w:t xml:space="preserve">ausencia de cobertura, excepción ausencia de causa onerosa, cobro de lo no debido, hechos ajenos a la póliza de seguros, límite del riesgo </w:t>
      </w:r>
      <w:r w:rsidR="006A0EE1" w:rsidRPr="001078C5">
        <w:rPr>
          <w:rFonts w:ascii="Bookman Old Style" w:hAnsi="Bookman Old Style" w:cs="Arial"/>
          <w:bCs/>
          <w:noProof/>
        </w:rPr>
        <w:t>y</w:t>
      </w:r>
      <w:r w:rsidR="006A0EE1" w:rsidRPr="001078C5">
        <w:rPr>
          <w:rFonts w:ascii="Bookman Old Style" w:hAnsi="Bookman Old Style" w:cs="Arial"/>
          <w:b/>
          <w:bCs/>
          <w:noProof/>
        </w:rPr>
        <w:t xml:space="preserve"> la excepcion genérica. </w:t>
      </w:r>
      <w:r w:rsidRPr="001078C5">
        <w:rPr>
          <w:rFonts w:ascii="Bookman Old Style" w:hAnsi="Bookman Old Style" w:cs="Arial"/>
          <w:bCs/>
          <w:noProof/>
        </w:rPr>
        <w:t>(Anexo29)</w:t>
      </w:r>
    </w:p>
    <w:p w14:paraId="524C6945" w14:textId="094D7114" w:rsidR="00B86E32" w:rsidRPr="001078C5" w:rsidRDefault="00B86E32" w:rsidP="001078C5">
      <w:pPr>
        <w:tabs>
          <w:tab w:val="left" w:pos="2268"/>
        </w:tabs>
        <w:suppressAutoHyphens/>
        <w:spacing w:line="276" w:lineRule="auto"/>
        <w:ind w:firstLine="0"/>
        <w:rPr>
          <w:rFonts w:ascii="Bookman Old Style" w:hAnsi="Bookman Old Style" w:cs="Arial"/>
        </w:rPr>
      </w:pPr>
    </w:p>
    <w:p w14:paraId="3C981D2F" w14:textId="77777777" w:rsidR="003073FB" w:rsidRPr="001078C5" w:rsidRDefault="003073FB" w:rsidP="001078C5">
      <w:pPr>
        <w:pStyle w:val="Prrafodelista"/>
        <w:numPr>
          <w:ilvl w:val="0"/>
          <w:numId w:val="1"/>
        </w:numPr>
        <w:tabs>
          <w:tab w:val="left" w:pos="2268"/>
        </w:tabs>
        <w:suppressAutoHyphens/>
        <w:spacing w:line="276" w:lineRule="auto"/>
        <w:ind w:left="270" w:hanging="270"/>
        <w:jc w:val="center"/>
        <w:rPr>
          <w:rFonts w:ascii="Bookman Old Style" w:hAnsi="Bookman Old Style" w:cs="Arial"/>
        </w:rPr>
      </w:pPr>
      <w:r w:rsidRPr="001078C5">
        <w:rPr>
          <w:rFonts w:ascii="Bookman Old Style" w:hAnsi="Bookman Old Style" w:cs="Arial"/>
          <w:b/>
          <w:bCs/>
        </w:rPr>
        <w:t>SENTENCIA DE PRIMERA INSTANCIA</w:t>
      </w:r>
    </w:p>
    <w:p w14:paraId="32A474E2" w14:textId="77777777" w:rsidR="003073FB" w:rsidRPr="001078C5" w:rsidRDefault="003073FB" w:rsidP="001078C5">
      <w:pPr>
        <w:spacing w:line="276" w:lineRule="auto"/>
        <w:ind w:firstLine="0"/>
        <w:rPr>
          <w:rFonts w:ascii="Bookman Old Style" w:hAnsi="Bookman Old Style" w:cs="Arial"/>
        </w:rPr>
      </w:pPr>
    </w:p>
    <w:p w14:paraId="0026F36E" w14:textId="1605A25F" w:rsidR="004157AE"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La Jueza </w:t>
      </w:r>
      <w:r w:rsidR="00F97E1D" w:rsidRPr="001078C5">
        <w:rPr>
          <w:rFonts w:ascii="Bookman Old Style" w:hAnsi="Bookman Old Style" w:cs="Arial"/>
          <w:noProof/>
        </w:rPr>
        <w:t>Segundo</w:t>
      </w:r>
      <w:r w:rsidR="00CA3608" w:rsidRPr="001078C5">
        <w:rPr>
          <w:rFonts w:ascii="Bookman Old Style" w:hAnsi="Bookman Old Style" w:cs="Arial"/>
          <w:noProof/>
        </w:rPr>
        <w:t xml:space="preserve"> </w:t>
      </w:r>
      <w:r w:rsidR="006D4809" w:rsidRPr="001078C5">
        <w:rPr>
          <w:rFonts w:ascii="Bookman Old Style" w:hAnsi="Bookman Old Style" w:cs="Arial"/>
          <w:noProof/>
        </w:rPr>
        <w:t>Laboral Circuito</w:t>
      </w:r>
      <w:r w:rsidR="006D4809" w:rsidRPr="001078C5">
        <w:rPr>
          <w:rFonts w:ascii="Bookman Old Style" w:hAnsi="Bookman Old Style" w:cs="Arial"/>
        </w:rPr>
        <w:t xml:space="preserve"> </w:t>
      </w:r>
      <w:r w:rsidR="00EE3DF8" w:rsidRPr="001078C5">
        <w:rPr>
          <w:rFonts w:ascii="Bookman Old Style" w:hAnsi="Bookman Old Style" w:cs="Arial"/>
        </w:rPr>
        <w:t>de Pereira</w:t>
      </w:r>
      <w:r w:rsidRPr="001078C5">
        <w:rPr>
          <w:rFonts w:ascii="Bookman Old Style" w:hAnsi="Bookman Old Style" w:cs="Arial"/>
        </w:rPr>
        <w:t>, resolvió</w:t>
      </w:r>
      <w:r w:rsidR="00602792" w:rsidRPr="001078C5">
        <w:rPr>
          <w:rFonts w:ascii="Bookman Old Style" w:hAnsi="Bookman Old Style" w:cs="Arial"/>
        </w:rPr>
        <w:t xml:space="preserve"> en la audiencia</w:t>
      </w:r>
      <w:r w:rsidR="004157AE" w:rsidRPr="001078C5">
        <w:rPr>
          <w:rFonts w:ascii="Bookman Old Style" w:hAnsi="Bookman Old Style" w:cs="Arial"/>
        </w:rPr>
        <w:t>:</w:t>
      </w:r>
    </w:p>
    <w:p w14:paraId="5BA6C74D" w14:textId="2838AB84" w:rsidR="00162BA7" w:rsidRPr="001078C5" w:rsidRDefault="00162BA7" w:rsidP="001078C5">
      <w:pPr>
        <w:spacing w:line="276" w:lineRule="auto"/>
        <w:ind w:firstLine="0"/>
        <w:rPr>
          <w:rFonts w:ascii="Bookman Old Style" w:hAnsi="Bookman Old Style" w:cs="Arial"/>
          <w:noProof/>
        </w:rPr>
      </w:pPr>
    </w:p>
    <w:p w14:paraId="41276F42" w14:textId="77777777" w:rsidR="006A0EE1" w:rsidRPr="00D34DEA" w:rsidRDefault="00162BA7" w:rsidP="00D34DEA">
      <w:pPr>
        <w:spacing w:line="240" w:lineRule="auto"/>
        <w:ind w:left="426" w:right="420" w:firstLine="0"/>
        <w:rPr>
          <w:rFonts w:ascii="Bookman Old Style" w:hAnsi="Bookman Old Style" w:cs="Arial"/>
          <w:i/>
          <w:noProof/>
          <w:sz w:val="22"/>
        </w:rPr>
      </w:pPr>
      <w:r w:rsidRPr="00D34DEA">
        <w:rPr>
          <w:rFonts w:ascii="Bookman Old Style" w:hAnsi="Bookman Old Style" w:cs="Arial"/>
          <w:i/>
          <w:sz w:val="22"/>
        </w:rPr>
        <w:t>“</w:t>
      </w:r>
      <w:r w:rsidR="006A0EE1" w:rsidRPr="00D34DEA">
        <w:rPr>
          <w:rFonts w:ascii="Bookman Old Style" w:hAnsi="Bookman Old Style" w:cs="Arial"/>
          <w:i/>
          <w:noProof/>
          <w:sz w:val="22"/>
        </w:rPr>
        <w:t xml:space="preserve">PRIMERO. DECLARAR INEFICAZ el traslado realizado por la IRMA LUCILA NUÑEZ BARRERA, el 1/11/1996 del régimen de prima media con prestación definida, al régimen de ahorro individual con solidaridad, a través de Colfondos S.A., por las consideraciones expuestas en esta providencia. </w:t>
      </w:r>
    </w:p>
    <w:p w14:paraId="0A11C057" w14:textId="77777777" w:rsidR="00D34DEA" w:rsidRDefault="00D34DEA" w:rsidP="00D34DEA">
      <w:pPr>
        <w:spacing w:line="240" w:lineRule="auto"/>
        <w:ind w:left="426" w:right="420" w:firstLine="0"/>
        <w:rPr>
          <w:rFonts w:ascii="Bookman Old Style" w:hAnsi="Bookman Old Style" w:cs="Arial"/>
          <w:i/>
          <w:noProof/>
          <w:sz w:val="22"/>
        </w:rPr>
      </w:pPr>
    </w:p>
    <w:p w14:paraId="6A79BBAC" w14:textId="2AF16739" w:rsidR="006A0EE1" w:rsidRPr="00D34DEA" w:rsidRDefault="006A0EE1" w:rsidP="00D34DEA">
      <w:pPr>
        <w:spacing w:line="240" w:lineRule="auto"/>
        <w:ind w:left="426" w:right="420" w:firstLine="0"/>
        <w:rPr>
          <w:rFonts w:ascii="Bookman Old Style" w:hAnsi="Bookman Old Style" w:cs="Arial"/>
          <w:i/>
          <w:noProof/>
          <w:sz w:val="22"/>
        </w:rPr>
      </w:pPr>
      <w:r w:rsidRPr="00D34DEA">
        <w:rPr>
          <w:rFonts w:ascii="Bookman Old Style" w:hAnsi="Bookman Old Style" w:cs="Arial"/>
          <w:i/>
          <w:noProof/>
          <w:sz w:val="22"/>
        </w:rPr>
        <w:t xml:space="preserve">SEGUNDO. ORDENAR a Protección S.A, como administradora actual de pensiones, que en el término improrrogable de un (1) mes contado a partir de la ejecutoria de esta providencia, proceda a normalizar la afiliación en el Sistema de Información de Administradoras de Fondos de Pensiones –SIAFP, trasladar con cargo a sus propios recursos si es necesario, las cotizaciones, rendimientos financieros, bonos pensionales, comisiones, gastos de administración, valores utilizados en los seguros previsionales, los emolumentos destinados a constituir el fonde de garantía de pensión mínima, debidamente indexados a la ADMINISTRADORA COLOMBIANA DE PENSIONES – COLPENSIONES, y entregar el archivo del detalle de aportes realizados durante la permanencia en el RAIS. </w:t>
      </w:r>
    </w:p>
    <w:p w14:paraId="07A8E5FF" w14:textId="77777777" w:rsidR="00D34DEA" w:rsidRDefault="00D34DEA" w:rsidP="00D34DEA">
      <w:pPr>
        <w:spacing w:line="240" w:lineRule="auto"/>
        <w:ind w:left="426" w:right="420" w:firstLine="0"/>
        <w:rPr>
          <w:rFonts w:ascii="Bookman Old Style" w:hAnsi="Bookman Old Style" w:cs="Arial"/>
          <w:i/>
          <w:noProof/>
          <w:sz w:val="22"/>
        </w:rPr>
      </w:pPr>
    </w:p>
    <w:p w14:paraId="322DCD32" w14:textId="660C79C8" w:rsidR="006A0EE1" w:rsidRPr="00D34DEA" w:rsidRDefault="006A0EE1" w:rsidP="00D34DEA">
      <w:pPr>
        <w:spacing w:line="240" w:lineRule="auto"/>
        <w:ind w:left="426" w:right="420" w:firstLine="0"/>
        <w:rPr>
          <w:rFonts w:ascii="Bookman Old Style" w:hAnsi="Bookman Old Style" w:cs="Arial"/>
          <w:i/>
          <w:noProof/>
          <w:sz w:val="22"/>
        </w:rPr>
      </w:pPr>
      <w:r w:rsidRPr="00D34DEA">
        <w:rPr>
          <w:rFonts w:ascii="Bookman Old Style" w:hAnsi="Bookman Old Style" w:cs="Arial"/>
          <w:i/>
          <w:noProof/>
          <w:sz w:val="22"/>
        </w:rPr>
        <w:t xml:space="preserve">TERCERO. ORDENAR a Porvenir S.A., Skandia S.A. y Colfondos S.A. que en el término improrrogable de un (1) mes contado a partir de la ejecutoria de esta providencia, proceda a trasladar los valores descontados de gastos de administración, valores utilizados en los seguros previsionales, los emolumentos destinados a constituir el fonde de garantía de pensión mínima, debidamente indexados a la ADMINISTRADORA COLOMBIANA DE PENSIONES – COLPENSIONES. Acudiendo incluso a sus propios recursos conforme se señaló en la parte considerativa. </w:t>
      </w:r>
    </w:p>
    <w:p w14:paraId="19554C17" w14:textId="77777777" w:rsidR="00D34DEA" w:rsidRDefault="00D34DEA" w:rsidP="00D34DEA">
      <w:pPr>
        <w:spacing w:line="240" w:lineRule="auto"/>
        <w:ind w:left="426" w:right="420" w:firstLine="0"/>
        <w:rPr>
          <w:rFonts w:ascii="Bookman Old Style" w:hAnsi="Bookman Old Style" w:cs="Arial"/>
          <w:i/>
          <w:noProof/>
          <w:sz w:val="22"/>
        </w:rPr>
      </w:pPr>
    </w:p>
    <w:p w14:paraId="1DCD5C30" w14:textId="758C102C" w:rsidR="006A0EE1" w:rsidRPr="00D34DEA" w:rsidRDefault="006A0EE1" w:rsidP="00D34DEA">
      <w:pPr>
        <w:spacing w:line="240" w:lineRule="auto"/>
        <w:ind w:left="426" w:right="420" w:firstLine="0"/>
        <w:rPr>
          <w:rFonts w:ascii="Bookman Old Style" w:hAnsi="Bookman Old Style" w:cs="Arial"/>
          <w:i/>
          <w:noProof/>
          <w:sz w:val="22"/>
        </w:rPr>
      </w:pPr>
      <w:r w:rsidRPr="00D34DEA">
        <w:rPr>
          <w:rFonts w:ascii="Bookman Old Style" w:hAnsi="Bookman Old Style" w:cs="Arial"/>
          <w:i/>
          <w:noProof/>
          <w:sz w:val="22"/>
        </w:rPr>
        <w:t xml:space="preserve">CUARTO: ORDENAR a la ADMINISTRADORA COLOMBIANA DE PENSIONES COLPENSIONES que una vez Protección S.A., Porvenir S.A., Skandia S.A. y Colfondos S.A. den cumplimiento a lo ordenado en el numeral anterior, proceda a aceptar el traslado de la demandante, del régimen de ahorro individual, al de prima media con prestación definida, sin solución de continuidad, convalidando la información en su historia laboral. </w:t>
      </w:r>
    </w:p>
    <w:p w14:paraId="6A79AD8F" w14:textId="77777777" w:rsidR="00D34DEA" w:rsidRDefault="00D34DEA" w:rsidP="00D34DEA">
      <w:pPr>
        <w:spacing w:line="240" w:lineRule="auto"/>
        <w:ind w:left="426" w:right="420" w:firstLine="0"/>
        <w:rPr>
          <w:rFonts w:ascii="Bookman Old Style" w:hAnsi="Bookman Old Style" w:cs="Arial"/>
          <w:i/>
          <w:noProof/>
          <w:sz w:val="22"/>
        </w:rPr>
      </w:pPr>
    </w:p>
    <w:p w14:paraId="700866AD" w14:textId="7854DB9A" w:rsidR="006A0EE1" w:rsidRPr="00D34DEA" w:rsidRDefault="006A0EE1" w:rsidP="00D34DEA">
      <w:pPr>
        <w:spacing w:line="240" w:lineRule="auto"/>
        <w:ind w:left="426" w:right="420" w:firstLine="0"/>
        <w:rPr>
          <w:rFonts w:ascii="Bookman Old Style" w:hAnsi="Bookman Old Style" w:cs="Arial"/>
          <w:i/>
          <w:noProof/>
          <w:sz w:val="22"/>
        </w:rPr>
      </w:pPr>
      <w:r w:rsidRPr="00D34DEA">
        <w:rPr>
          <w:rFonts w:ascii="Bookman Old Style" w:hAnsi="Bookman Old Style" w:cs="Arial"/>
          <w:i/>
          <w:noProof/>
          <w:sz w:val="22"/>
        </w:rPr>
        <w:t xml:space="preserve">QUINTO. DECLARAR NO PROBADAS las excepciones de mérito propuestas por las demandadas. </w:t>
      </w:r>
    </w:p>
    <w:p w14:paraId="1463F242" w14:textId="77777777" w:rsidR="00D34DEA" w:rsidRDefault="00D34DEA" w:rsidP="00D34DEA">
      <w:pPr>
        <w:spacing w:line="240" w:lineRule="auto"/>
        <w:ind w:left="426" w:right="420" w:firstLine="0"/>
        <w:rPr>
          <w:rFonts w:ascii="Bookman Old Style" w:hAnsi="Bookman Old Style" w:cs="Arial"/>
          <w:i/>
          <w:noProof/>
          <w:sz w:val="22"/>
        </w:rPr>
      </w:pPr>
    </w:p>
    <w:p w14:paraId="0DAA0454" w14:textId="590448A6" w:rsidR="006A0EE1" w:rsidRPr="00D34DEA" w:rsidRDefault="006A0EE1" w:rsidP="00D34DEA">
      <w:pPr>
        <w:spacing w:line="240" w:lineRule="auto"/>
        <w:ind w:left="426" w:right="420" w:firstLine="0"/>
        <w:rPr>
          <w:rFonts w:ascii="Bookman Old Style" w:hAnsi="Bookman Old Style" w:cs="Arial"/>
          <w:i/>
          <w:noProof/>
          <w:sz w:val="22"/>
        </w:rPr>
      </w:pPr>
      <w:r w:rsidRPr="00D34DEA">
        <w:rPr>
          <w:rFonts w:ascii="Bookman Old Style" w:hAnsi="Bookman Old Style" w:cs="Arial"/>
          <w:i/>
          <w:noProof/>
          <w:sz w:val="22"/>
        </w:rPr>
        <w:t xml:space="preserve">SEXTO. ABSOLVER, a la aseguradora MAFPRE COLOMBIA VIDA SEGUROS S.A, de las pretensiones incoadas en su contra como entidad llamada en garantía. </w:t>
      </w:r>
    </w:p>
    <w:p w14:paraId="25F45B6B" w14:textId="77777777" w:rsidR="00D34DEA" w:rsidRDefault="00D34DEA" w:rsidP="00D34DEA">
      <w:pPr>
        <w:spacing w:line="240" w:lineRule="auto"/>
        <w:ind w:left="426" w:right="420" w:firstLine="0"/>
        <w:rPr>
          <w:rFonts w:ascii="Bookman Old Style" w:hAnsi="Bookman Old Style" w:cs="Arial"/>
          <w:i/>
          <w:noProof/>
          <w:sz w:val="22"/>
        </w:rPr>
      </w:pPr>
    </w:p>
    <w:p w14:paraId="2118B8ED" w14:textId="59517B4F" w:rsidR="00162BA7" w:rsidRPr="00D34DEA" w:rsidRDefault="006A0EE1" w:rsidP="00D34DEA">
      <w:pPr>
        <w:spacing w:line="240" w:lineRule="auto"/>
        <w:ind w:left="426" w:right="420" w:firstLine="0"/>
        <w:rPr>
          <w:rFonts w:ascii="Bookman Old Style" w:hAnsi="Bookman Old Style" w:cs="Arial"/>
          <w:i/>
          <w:sz w:val="22"/>
        </w:rPr>
      </w:pPr>
      <w:r w:rsidRPr="00D34DEA">
        <w:rPr>
          <w:rFonts w:ascii="Bookman Old Style" w:hAnsi="Bookman Old Style" w:cs="Arial"/>
          <w:i/>
          <w:noProof/>
          <w:sz w:val="22"/>
        </w:rPr>
        <w:t>SEPTIMO. CONDENAR en costas a la parte demandada Protección S.A., Porvenir S.A., Skandia S.A. y Colfondos S.A. y a favor de la demandante. Las agencias en derecho se fijan en la suma de un salario mínimo legal mensual vigente por cada entidad. No se imponen costas a cargo de COLPENSIONES.</w:t>
      </w:r>
      <w:r w:rsidR="00162BA7" w:rsidRPr="00D34DEA">
        <w:rPr>
          <w:rFonts w:ascii="Bookman Old Style" w:hAnsi="Bookman Old Style" w:cs="Arial"/>
          <w:i/>
          <w:noProof/>
          <w:sz w:val="22"/>
        </w:rPr>
        <w:t>”</w:t>
      </w:r>
    </w:p>
    <w:p w14:paraId="18B01872" w14:textId="77777777" w:rsidR="00651ED8" w:rsidRPr="001078C5" w:rsidRDefault="00651ED8" w:rsidP="001078C5">
      <w:pPr>
        <w:spacing w:line="276" w:lineRule="auto"/>
        <w:ind w:firstLine="0"/>
        <w:rPr>
          <w:rFonts w:ascii="Bookman Old Style" w:hAnsi="Bookman Old Style" w:cs="Arial"/>
        </w:rPr>
      </w:pPr>
    </w:p>
    <w:p w14:paraId="6979A78E" w14:textId="77027359" w:rsidR="003A5BB7" w:rsidRPr="001078C5" w:rsidRDefault="00F97E1D" w:rsidP="001078C5">
      <w:pPr>
        <w:spacing w:line="276" w:lineRule="auto"/>
        <w:ind w:firstLine="0"/>
        <w:rPr>
          <w:rFonts w:ascii="Bookman Old Style" w:hAnsi="Bookman Old Style" w:cs="Arial"/>
          <w:noProof/>
        </w:rPr>
      </w:pPr>
      <w:r w:rsidRPr="001078C5">
        <w:rPr>
          <w:rFonts w:ascii="Bookman Old Style" w:hAnsi="Bookman Old Style" w:cs="Arial"/>
        </w:rPr>
        <w:t>En síntesis, el</w:t>
      </w:r>
      <w:r w:rsidR="003A5BB7" w:rsidRPr="001078C5">
        <w:rPr>
          <w:rFonts w:ascii="Bookman Old Style" w:hAnsi="Bookman Old Style" w:cs="Arial"/>
        </w:rPr>
        <w:t xml:space="preserve"> juez de instancia dedujo </w:t>
      </w:r>
      <w:r w:rsidR="003A5BB7" w:rsidRPr="001078C5">
        <w:rPr>
          <w:rFonts w:ascii="Bookman Old Style" w:hAnsi="Bookman Old Style" w:cs="Arial"/>
          <w:noProof/>
        </w:rPr>
        <w:t>con fundamento en la jurisprudencia de la Corte Suprema de Justicia, que el caso debía de abordarse desde la ineficacia en sentido estricto al ser la razón la falta de información para la formación del acto; que dicha figura se aplica, independientemente de que sea o no el afiliado beneficiario del régimen de transición, siendo la AFP a quien le incumbe la carga de probar que de acuerdo al momento histórico en que se formó el acto cumplió con el deber de información; esto es, que le brindó información clara, cierta, comprensible y oportuna de las características, riesgos, diferencias, condiciones, beneficios y consecuencias  de ambos regímenes, sin que sea suficiente la sola suscripción del formulario de afiliación porque solo acreditan que existió un consentimiento más no que hubiese sido informado.</w:t>
      </w:r>
    </w:p>
    <w:p w14:paraId="7B1DDD5B" w14:textId="77777777" w:rsidR="003A5BB7" w:rsidRPr="001078C5" w:rsidRDefault="003A5BB7" w:rsidP="001078C5">
      <w:pPr>
        <w:spacing w:line="276" w:lineRule="auto"/>
        <w:ind w:firstLine="0"/>
        <w:rPr>
          <w:rFonts w:ascii="Bookman Old Style" w:hAnsi="Bookman Old Style" w:cs="Arial"/>
          <w:noProof/>
        </w:rPr>
      </w:pPr>
    </w:p>
    <w:p w14:paraId="43C1E60B" w14:textId="6A9EF356" w:rsidR="003A5BB7" w:rsidRPr="001078C5" w:rsidRDefault="005311C4" w:rsidP="001078C5">
      <w:pPr>
        <w:spacing w:line="276" w:lineRule="auto"/>
        <w:ind w:firstLine="0"/>
        <w:rPr>
          <w:rFonts w:ascii="Bookman Old Style" w:hAnsi="Bookman Old Style" w:cs="Arial"/>
          <w:noProof/>
        </w:rPr>
      </w:pPr>
      <w:r w:rsidRPr="001078C5">
        <w:rPr>
          <w:rFonts w:ascii="Bookman Old Style" w:hAnsi="Bookman Old Style" w:cs="Arial"/>
          <w:noProof/>
        </w:rPr>
        <w:t>En suma, no encontró que la AFP hubiese acreditado que informó</w:t>
      </w:r>
      <w:r w:rsidR="003A5BB7" w:rsidRPr="001078C5">
        <w:rPr>
          <w:rFonts w:ascii="Bookman Old Style" w:hAnsi="Bookman Old Style" w:cs="Arial"/>
          <w:noProof/>
        </w:rPr>
        <w:t xml:space="preserve"> debidamente a la afiliada al momento del traslado; que solo arrimó el formulario e historiales que resultaron ser insuficient</w:t>
      </w:r>
      <w:r w:rsidRPr="001078C5">
        <w:rPr>
          <w:rFonts w:ascii="Bookman Old Style" w:hAnsi="Bookman Old Style" w:cs="Arial"/>
          <w:noProof/>
        </w:rPr>
        <w:t>es para acreditar que cumplió</w:t>
      </w:r>
      <w:r w:rsidR="003A5BB7" w:rsidRPr="001078C5">
        <w:rPr>
          <w:rFonts w:ascii="Bookman Old Style" w:hAnsi="Bookman Old Style" w:cs="Arial"/>
          <w:noProof/>
        </w:rPr>
        <w:t xml:space="preserve"> con el deber de información. En consecuencia, </w:t>
      </w:r>
      <w:r w:rsidRPr="001078C5">
        <w:rPr>
          <w:rFonts w:ascii="Bookman Old Style" w:hAnsi="Bookman Old Style" w:cs="Arial"/>
          <w:noProof/>
        </w:rPr>
        <w:t xml:space="preserve">declaró la ineficiacia y </w:t>
      </w:r>
      <w:r w:rsidR="003A5BB7" w:rsidRPr="001078C5">
        <w:rPr>
          <w:rFonts w:ascii="Bookman Old Style" w:hAnsi="Bookman Old Style" w:cs="Arial"/>
          <w:noProof/>
        </w:rPr>
        <w:t>ordenó a COLPENSIONES a recibir a la actora en el RPM.</w:t>
      </w:r>
    </w:p>
    <w:p w14:paraId="6EEA0BDF" w14:textId="23D65DDA" w:rsidR="002A54BF" w:rsidRPr="001078C5" w:rsidRDefault="002A54BF" w:rsidP="001078C5">
      <w:pPr>
        <w:spacing w:line="276" w:lineRule="auto"/>
        <w:ind w:firstLine="0"/>
        <w:rPr>
          <w:rFonts w:ascii="Bookman Old Style" w:hAnsi="Bookman Old Style" w:cs="Arial"/>
          <w:noProof/>
        </w:rPr>
      </w:pPr>
    </w:p>
    <w:p w14:paraId="71DB4723" w14:textId="6A4E392F" w:rsidR="002A54BF" w:rsidRPr="001078C5" w:rsidRDefault="002A54BF" w:rsidP="001078C5">
      <w:pPr>
        <w:spacing w:line="276" w:lineRule="auto"/>
        <w:ind w:firstLine="0"/>
        <w:rPr>
          <w:rFonts w:ascii="Bookman Old Style" w:hAnsi="Bookman Old Style" w:cs="Arial"/>
          <w:noProof/>
        </w:rPr>
      </w:pPr>
      <w:r w:rsidRPr="001078C5">
        <w:rPr>
          <w:rFonts w:ascii="Bookman Old Style" w:hAnsi="Bookman Old Style" w:cs="Arial"/>
          <w:noProof/>
        </w:rPr>
        <w:t>Con relación a la aseguradora, indicó que cumplió con su deber de cubrir las contingencias de invalidez y muerte por el tiempo en que existió el contrario correspondiente, por ende, es al fondo que le corresponde cumplir con la obligación de devolver los emolumentos pagados con destino a COLPENSIONES.</w:t>
      </w:r>
    </w:p>
    <w:p w14:paraId="6A508F87" w14:textId="77777777" w:rsidR="003073FB" w:rsidRPr="001078C5" w:rsidRDefault="003073FB" w:rsidP="001078C5">
      <w:pPr>
        <w:spacing w:line="276" w:lineRule="auto"/>
        <w:ind w:firstLine="0"/>
        <w:rPr>
          <w:rFonts w:ascii="Bookman Old Style" w:hAnsi="Bookman Old Style" w:cs="Arial"/>
          <w:noProof/>
        </w:rPr>
      </w:pPr>
    </w:p>
    <w:p w14:paraId="65CB586C" w14:textId="77777777" w:rsidR="003073FB" w:rsidRPr="001078C5" w:rsidRDefault="003073FB" w:rsidP="001078C5">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1078C5">
        <w:rPr>
          <w:rFonts w:ascii="Bookman Old Style" w:hAnsi="Bookman Old Style" w:cs="Arial"/>
          <w:b/>
          <w:bCs/>
        </w:rPr>
        <w:t>RECURSOS DE APELACIÓN Y CONSULTA</w:t>
      </w:r>
    </w:p>
    <w:p w14:paraId="450C04E5" w14:textId="77777777" w:rsidR="003073FB" w:rsidRPr="001078C5" w:rsidRDefault="003073FB" w:rsidP="001078C5">
      <w:pPr>
        <w:spacing w:line="276" w:lineRule="auto"/>
        <w:ind w:left="708" w:firstLine="0"/>
        <w:rPr>
          <w:rFonts w:ascii="Bookman Old Style" w:hAnsi="Bookman Old Style" w:cs="Arial"/>
        </w:rPr>
      </w:pPr>
    </w:p>
    <w:p w14:paraId="0D408438" w14:textId="5A20BD90"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Inconforme con la decisión </w:t>
      </w:r>
      <w:r w:rsidR="007B5BB1" w:rsidRPr="001078C5">
        <w:rPr>
          <w:rFonts w:ascii="Bookman Old Style" w:hAnsi="Bookman Old Style" w:cs="Arial"/>
        </w:rPr>
        <w:t>el apoderado</w:t>
      </w:r>
      <w:r w:rsidR="003A5BB7" w:rsidRPr="001078C5">
        <w:rPr>
          <w:rFonts w:ascii="Bookman Old Style" w:hAnsi="Bookman Old Style" w:cs="Arial"/>
        </w:rPr>
        <w:t xml:space="preserve"> de COLPENSIONES </w:t>
      </w:r>
      <w:r w:rsidR="004157AE" w:rsidRPr="001078C5">
        <w:rPr>
          <w:rFonts w:ascii="Bookman Old Style" w:hAnsi="Bookman Old Style" w:cs="Arial"/>
        </w:rPr>
        <w:t>recurri</w:t>
      </w:r>
      <w:r w:rsidR="007B5BB1" w:rsidRPr="001078C5">
        <w:rPr>
          <w:rFonts w:ascii="Bookman Old Style" w:hAnsi="Bookman Old Style" w:cs="Arial"/>
        </w:rPr>
        <w:t>ó</w:t>
      </w:r>
      <w:r w:rsidR="004B1E20" w:rsidRPr="001078C5">
        <w:rPr>
          <w:rFonts w:ascii="Bookman Old Style" w:hAnsi="Bookman Old Style" w:cs="Arial"/>
        </w:rPr>
        <w:t xml:space="preserve"> la sentencia</w:t>
      </w:r>
      <w:r w:rsidRPr="001078C5">
        <w:rPr>
          <w:rFonts w:ascii="Bookman Old Style" w:hAnsi="Bookman Old Style" w:cs="Arial"/>
        </w:rPr>
        <w:t>, así:</w:t>
      </w:r>
    </w:p>
    <w:p w14:paraId="02624B1A" w14:textId="0FE7DAEC" w:rsidR="00245916" w:rsidRPr="001078C5" w:rsidRDefault="00245916" w:rsidP="001078C5">
      <w:pPr>
        <w:spacing w:line="276" w:lineRule="auto"/>
        <w:ind w:firstLine="0"/>
        <w:rPr>
          <w:rFonts w:ascii="Bookman Old Style" w:hAnsi="Bookman Old Style" w:cs="Arial"/>
        </w:rPr>
      </w:pPr>
    </w:p>
    <w:p w14:paraId="0934E179" w14:textId="2D7F1A31" w:rsidR="003073FB" w:rsidRPr="001078C5" w:rsidRDefault="00B65806" w:rsidP="001078C5">
      <w:pPr>
        <w:spacing w:line="276" w:lineRule="auto"/>
        <w:ind w:firstLine="0"/>
        <w:rPr>
          <w:rFonts w:ascii="Bookman Old Style" w:hAnsi="Bookman Old Style" w:cs="Arial"/>
          <w:bCs/>
          <w:noProof/>
        </w:rPr>
      </w:pPr>
      <w:bookmarkStart w:id="2" w:name="_Hlk105529623"/>
      <w:r w:rsidRPr="001078C5">
        <w:rPr>
          <w:rFonts w:ascii="Bookman Old Style" w:hAnsi="Bookman Old Style" w:cs="Arial"/>
          <w:b/>
          <w:bCs/>
          <w:noProof/>
        </w:rPr>
        <w:t>COLPENSIONES</w:t>
      </w:r>
      <w:r w:rsidR="00BB3E0E" w:rsidRPr="001078C5">
        <w:rPr>
          <w:rFonts w:ascii="Bookman Old Style" w:hAnsi="Bookman Old Style" w:cs="Arial"/>
          <w:b/>
          <w:bCs/>
          <w:noProof/>
        </w:rPr>
        <w:t xml:space="preserve"> </w:t>
      </w:r>
      <w:r w:rsidR="00F723DB" w:rsidRPr="001078C5">
        <w:rPr>
          <w:rFonts w:ascii="Bookman Old Style" w:hAnsi="Bookman Old Style" w:cs="Arial"/>
          <w:bCs/>
          <w:noProof/>
        </w:rPr>
        <w:t>Indicó que</w:t>
      </w:r>
      <w:r w:rsidR="00C85C10" w:rsidRPr="001078C5">
        <w:rPr>
          <w:rFonts w:ascii="Bookman Old Style" w:hAnsi="Bookman Old Style" w:cs="Arial"/>
          <w:bCs/>
          <w:noProof/>
        </w:rPr>
        <w:t xml:space="preserve"> </w:t>
      </w:r>
      <w:bookmarkEnd w:id="2"/>
      <w:r w:rsidR="00AE4368" w:rsidRPr="001078C5">
        <w:rPr>
          <w:rFonts w:ascii="Bookman Old Style" w:hAnsi="Bookman Old Style" w:cs="Arial"/>
          <w:bCs/>
          <w:noProof/>
        </w:rPr>
        <w:t>la demandante firmó el formulario de forma libre y volutaria y durante más de 20 años no ejerció su derecho al retracto, además, hizo traslados horizontales, afirmando su deseo de permanecer al RAIS. Agregó que la inconformidad por el monto de la prestación no es óbice para acceder a la ineficacia del traslado, máxime cuando no se demostró que las AFP hubiesen incurrido en error, engaño o faltaron al deber de información que les correspondía. Advirtió que COLPENSIONES no debe asumir el daño de un tercero que ella no ocasionó, por ende, debe revocarse la sentencia apelada.</w:t>
      </w:r>
    </w:p>
    <w:p w14:paraId="25AFE170" w14:textId="67684CCB" w:rsidR="002A54BF" w:rsidRPr="001078C5" w:rsidRDefault="002A54BF" w:rsidP="001078C5">
      <w:pPr>
        <w:spacing w:line="276" w:lineRule="auto"/>
        <w:ind w:firstLine="0"/>
        <w:rPr>
          <w:rFonts w:ascii="Bookman Old Style" w:hAnsi="Bookman Old Style" w:cs="Arial"/>
          <w:bCs/>
          <w:noProof/>
        </w:rPr>
      </w:pPr>
    </w:p>
    <w:p w14:paraId="5DF94AE2" w14:textId="6CE1BF60" w:rsidR="002A54BF" w:rsidRPr="001078C5" w:rsidRDefault="002A54BF" w:rsidP="001078C5">
      <w:pPr>
        <w:spacing w:line="276" w:lineRule="auto"/>
        <w:ind w:firstLine="0"/>
        <w:rPr>
          <w:rFonts w:ascii="Bookman Old Style" w:hAnsi="Bookman Old Style" w:cs="Arial"/>
          <w:b/>
          <w:bCs/>
          <w:noProof/>
        </w:rPr>
      </w:pPr>
      <w:r w:rsidRPr="001078C5">
        <w:rPr>
          <w:rFonts w:ascii="Bookman Old Style" w:hAnsi="Bookman Old Style" w:cs="Arial"/>
          <w:bCs/>
          <w:noProof/>
        </w:rPr>
        <w:t xml:space="preserve">El apoderado de </w:t>
      </w:r>
      <w:r w:rsidRPr="001078C5">
        <w:rPr>
          <w:rFonts w:ascii="Bookman Old Style" w:hAnsi="Bookman Old Style" w:cs="Arial"/>
          <w:b/>
          <w:bCs/>
          <w:noProof/>
        </w:rPr>
        <w:t>PORVENIR S.A. y SKANDIA S.A.</w:t>
      </w:r>
      <w:r w:rsidR="00AE4368" w:rsidRPr="001078C5">
        <w:rPr>
          <w:rFonts w:ascii="Bookman Old Style" w:hAnsi="Bookman Old Style" w:cs="Arial"/>
          <w:b/>
          <w:bCs/>
          <w:noProof/>
        </w:rPr>
        <w:t xml:space="preserve"> </w:t>
      </w:r>
      <w:r w:rsidR="00AE4368" w:rsidRPr="001078C5">
        <w:rPr>
          <w:rFonts w:ascii="Bookman Old Style" w:hAnsi="Bookman Old Style" w:cs="Arial"/>
          <w:bCs/>
          <w:noProof/>
        </w:rPr>
        <w:t>manifestó que no es válido trasladar los gastos de administrados y el monto paga</w:t>
      </w:r>
      <w:r w:rsidR="00412279" w:rsidRPr="001078C5">
        <w:rPr>
          <w:rFonts w:ascii="Bookman Old Style" w:hAnsi="Bookman Old Style" w:cs="Arial"/>
          <w:bCs/>
          <w:noProof/>
        </w:rPr>
        <w:t>do por los seguro previsionales, pues son emolumentos que sugen por autorización legal y es resultado de la buena administración de las AFP a la gestión de la cuenta de ahorro de la actora. Agrego que la actora no demostró que las AFP hubiesen actuado de mala fe, incluso a la fecha la actora hace muchos años dejó de pertenecer a dichos fondos, por lo que, no existe sustento legal para ordenar la devolución de dineros que no están en cabeza de los fondos privados, sino que fueron pagados a teceros, como sucede con los primas de seguros. En virtud de ello, considera se debe revocar la sentencia de primera instancia.</w:t>
      </w:r>
    </w:p>
    <w:p w14:paraId="4932A460" w14:textId="77777777" w:rsidR="00E8261E" w:rsidRPr="001078C5" w:rsidRDefault="00E8261E" w:rsidP="001078C5">
      <w:pPr>
        <w:spacing w:line="276" w:lineRule="auto"/>
        <w:ind w:firstLine="0"/>
        <w:rPr>
          <w:rFonts w:ascii="Bookman Old Style" w:hAnsi="Bookman Old Style" w:cs="Arial"/>
        </w:rPr>
      </w:pPr>
    </w:p>
    <w:p w14:paraId="2BE405C2" w14:textId="77777777" w:rsidR="003073FB" w:rsidRPr="001078C5" w:rsidRDefault="003073FB" w:rsidP="001078C5">
      <w:pPr>
        <w:pStyle w:val="Prrafodelista"/>
        <w:numPr>
          <w:ilvl w:val="0"/>
          <w:numId w:val="1"/>
        </w:numPr>
        <w:tabs>
          <w:tab w:val="left" w:pos="2268"/>
        </w:tabs>
        <w:suppressAutoHyphens/>
        <w:spacing w:line="276" w:lineRule="auto"/>
        <w:ind w:left="270" w:hanging="270"/>
        <w:jc w:val="center"/>
        <w:rPr>
          <w:rFonts w:ascii="Bookman Old Style" w:hAnsi="Bookman Old Style" w:cs="Arial"/>
          <w:b/>
          <w:bCs/>
        </w:rPr>
      </w:pPr>
      <w:r w:rsidRPr="001078C5">
        <w:rPr>
          <w:rFonts w:ascii="Bookman Old Style" w:hAnsi="Bookman Old Style" w:cs="Arial"/>
          <w:b/>
          <w:bCs/>
        </w:rPr>
        <w:t>ALEGATOS</w:t>
      </w:r>
    </w:p>
    <w:p w14:paraId="65BDA796" w14:textId="77777777" w:rsidR="003073FB" w:rsidRPr="001078C5" w:rsidRDefault="003073FB" w:rsidP="001078C5">
      <w:pPr>
        <w:spacing w:line="276" w:lineRule="auto"/>
        <w:ind w:left="708" w:firstLine="0"/>
        <w:rPr>
          <w:rFonts w:ascii="Bookman Old Style" w:hAnsi="Bookman Old Style" w:cs="Arial"/>
        </w:rPr>
      </w:pPr>
    </w:p>
    <w:p w14:paraId="552CFC15" w14:textId="77777777" w:rsidR="007370B2" w:rsidRPr="001078C5" w:rsidRDefault="007370B2" w:rsidP="001078C5">
      <w:pPr>
        <w:spacing w:line="276" w:lineRule="auto"/>
        <w:ind w:firstLine="0"/>
        <w:rPr>
          <w:rFonts w:ascii="Bookman Old Style" w:hAnsi="Bookman Old Style" w:cs="Arial"/>
        </w:rPr>
      </w:pPr>
      <w:r w:rsidRPr="001078C5">
        <w:rPr>
          <w:rFonts w:ascii="Bookman Old Style" w:hAnsi="Bookman Old Style" w:cs="Arial"/>
        </w:rPr>
        <w:t>Teniendo en cuenta que la finalidad de esta etapa es atender la persuasión fáctica y jurídicamente sobre el tema objeto de discusión, bajo ese espectro se tendrán en cuentan los alegatos que guardan relación directa con los temas debatidos.</w:t>
      </w:r>
    </w:p>
    <w:p w14:paraId="353E0A2E" w14:textId="77777777" w:rsidR="003073FB" w:rsidRPr="001078C5" w:rsidRDefault="003073FB" w:rsidP="001078C5">
      <w:pPr>
        <w:spacing w:line="276" w:lineRule="auto"/>
        <w:ind w:firstLine="0"/>
        <w:rPr>
          <w:rFonts w:ascii="Bookman Old Style" w:hAnsi="Bookman Old Style" w:cs="Arial"/>
        </w:rPr>
      </w:pPr>
    </w:p>
    <w:p w14:paraId="1F41EA21" w14:textId="7777777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Surtido el trámite que corresponde a esta instancia procede la Sala de decisión a dictar la providencia que corresponde, previas las siguientes, </w:t>
      </w:r>
    </w:p>
    <w:p w14:paraId="59AAD059" w14:textId="77777777" w:rsidR="003073FB" w:rsidRPr="001078C5" w:rsidRDefault="003073FB" w:rsidP="001078C5">
      <w:pPr>
        <w:spacing w:line="276" w:lineRule="auto"/>
        <w:ind w:firstLine="0"/>
        <w:rPr>
          <w:rFonts w:ascii="Bookman Old Style" w:hAnsi="Bookman Old Style" w:cs="Arial"/>
        </w:rPr>
      </w:pPr>
    </w:p>
    <w:p w14:paraId="0907DB00" w14:textId="77777777" w:rsidR="003073FB" w:rsidRPr="001078C5" w:rsidRDefault="003073FB" w:rsidP="001078C5">
      <w:pPr>
        <w:pStyle w:val="Prrafodelista"/>
        <w:numPr>
          <w:ilvl w:val="0"/>
          <w:numId w:val="1"/>
        </w:numPr>
        <w:tabs>
          <w:tab w:val="left" w:pos="2268"/>
        </w:tabs>
        <w:suppressAutoHyphens/>
        <w:spacing w:line="276" w:lineRule="auto"/>
        <w:ind w:left="270" w:hanging="270"/>
        <w:jc w:val="center"/>
        <w:rPr>
          <w:rFonts w:ascii="Bookman Old Style" w:hAnsi="Bookman Old Style" w:cs="Arial"/>
          <w:b/>
        </w:rPr>
      </w:pPr>
      <w:r w:rsidRPr="001078C5">
        <w:rPr>
          <w:rFonts w:ascii="Bookman Old Style" w:hAnsi="Bookman Old Style" w:cs="Arial"/>
          <w:b/>
          <w:bCs/>
        </w:rPr>
        <w:t>CONSIDERACIONES</w:t>
      </w:r>
    </w:p>
    <w:p w14:paraId="0D693B5C" w14:textId="77777777" w:rsidR="003073FB" w:rsidRPr="001078C5" w:rsidRDefault="003073FB" w:rsidP="001078C5">
      <w:pPr>
        <w:spacing w:line="276" w:lineRule="auto"/>
        <w:ind w:firstLine="0"/>
        <w:rPr>
          <w:rFonts w:ascii="Bookman Old Style" w:hAnsi="Bookman Old Style" w:cs="Arial"/>
          <w:b/>
        </w:rPr>
      </w:pPr>
    </w:p>
    <w:p w14:paraId="65545C56" w14:textId="77777777" w:rsidR="00CA7B8C"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De acuerdo con los recursos y alegatos presentados por las partes, los (el) problema(s) jurídico(s) a ser abordado(s) consiste(n) en:</w:t>
      </w:r>
      <w:r w:rsidR="00CA7B8C" w:rsidRPr="001078C5">
        <w:rPr>
          <w:rFonts w:ascii="Bookman Old Style" w:hAnsi="Bookman Old Style" w:cs="Arial"/>
        </w:rPr>
        <w:t xml:space="preserve"> </w:t>
      </w:r>
    </w:p>
    <w:p w14:paraId="41C7EEFB" w14:textId="77777777" w:rsidR="00CA7B8C" w:rsidRPr="001078C5" w:rsidRDefault="00CA7B8C" w:rsidP="001078C5">
      <w:pPr>
        <w:spacing w:line="276" w:lineRule="auto"/>
        <w:ind w:firstLine="0"/>
        <w:rPr>
          <w:rFonts w:ascii="Bookman Old Style" w:hAnsi="Bookman Old Style" w:cs="Arial"/>
        </w:rPr>
      </w:pPr>
    </w:p>
    <w:p w14:paraId="1E6714B9" w14:textId="3A034260" w:rsidR="003073FB" w:rsidRPr="001078C5" w:rsidRDefault="00CA7B8C" w:rsidP="001078C5">
      <w:pPr>
        <w:pStyle w:val="Prrafodelista"/>
        <w:numPr>
          <w:ilvl w:val="0"/>
          <w:numId w:val="3"/>
        </w:numPr>
        <w:spacing w:line="276" w:lineRule="auto"/>
        <w:rPr>
          <w:rFonts w:ascii="Bookman Old Style" w:hAnsi="Bookman Old Style" w:cs="Arial"/>
        </w:rPr>
      </w:pPr>
      <w:r w:rsidRPr="001078C5">
        <w:rPr>
          <w:rFonts w:ascii="Bookman Old Style" w:hAnsi="Bookman Old Style" w:cs="Arial"/>
        </w:rPr>
        <w:t>E</w:t>
      </w:r>
      <w:r w:rsidR="003073FB" w:rsidRPr="001078C5">
        <w:rPr>
          <w:rFonts w:ascii="Bookman Old Style" w:hAnsi="Bookman Old Style" w:cs="Arial"/>
        </w:rPr>
        <w:t xml:space="preserve">stablecer si </w:t>
      </w:r>
      <w:r w:rsidR="0085206F" w:rsidRPr="001078C5">
        <w:rPr>
          <w:rFonts w:ascii="Bookman Old Style" w:hAnsi="Bookman Old Style" w:cs="Arial"/>
        </w:rPr>
        <w:t>había lugar a declarar la ineficacia del traslado de régimen pensional.</w:t>
      </w:r>
    </w:p>
    <w:p w14:paraId="0D172810" w14:textId="68841D13" w:rsidR="00CA7B8C" w:rsidRPr="001078C5" w:rsidRDefault="00CA7B8C" w:rsidP="001078C5">
      <w:pPr>
        <w:pStyle w:val="Prrafodelista"/>
        <w:spacing w:line="276" w:lineRule="auto"/>
        <w:ind w:left="1080" w:firstLine="0"/>
        <w:rPr>
          <w:rFonts w:ascii="Bookman Old Style" w:hAnsi="Bookman Old Style" w:cs="Arial"/>
        </w:rPr>
      </w:pPr>
      <w:r w:rsidRPr="001078C5">
        <w:rPr>
          <w:rFonts w:ascii="Bookman Old Style" w:hAnsi="Bookman Old Style" w:cs="Arial"/>
        </w:rPr>
        <w:t xml:space="preserve"> </w:t>
      </w:r>
    </w:p>
    <w:p w14:paraId="6D1CBF46" w14:textId="3FDC80EA" w:rsidR="0085206F" w:rsidRPr="001078C5" w:rsidRDefault="0085206F" w:rsidP="001078C5">
      <w:pPr>
        <w:pStyle w:val="Prrafodelista"/>
        <w:numPr>
          <w:ilvl w:val="0"/>
          <w:numId w:val="3"/>
        </w:numPr>
        <w:spacing w:line="276" w:lineRule="auto"/>
        <w:rPr>
          <w:rFonts w:ascii="Bookman Old Style" w:hAnsi="Bookman Old Style" w:cs="Arial"/>
        </w:rPr>
      </w:pPr>
      <w:r w:rsidRPr="001078C5">
        <w:rPr>
          <w:rFonts w:ascii="Bookman Old Style" w:hAnsi="Bookman Old Style" w:cs="Arial"/>
        </w:rPr>
        <w:t>Había lugar a ordenar a la</w:t>
      </w:r>
      <w:r w:rsidR="00A31ADD" w:rsidRPr="001078C5">
        <w:rPr>
          <w:rFonts w:ascii="Bookman Old Style" w:hAnsi="Bookman Old Style" w:cs="Arial"/>
        </w:rPr>
        <w:t>s</w:t>
      </w:r>
      <w:r w:rsidR="008939F9" w:rsidRPr="001078C5">
        <w:rPr>
          <w:rFonts w:ascii="Bookman Old Style" w:hAnsi="Bookman Old Style" w:cs="Arial"/>
        </w:rPr>
        <w:t xml:space="preserve"> AFP demandada</w:t>
      </w:r>
      <w:r w:rsidRPr="001078C5">
        <w:rPr>
          <w:rFonts w:ascii="Bookman Old Style" w:hAnsi="Bookman Old Style" w:cs="Arial"/>
        </w:rPr>
        <w:t xml:space="preserve"> el trasladar con cargo a sus propios recursos, el valor de las comisiones y cuotas de administración que cobraron, así como las cuotas de garantía de pensión mínima y seguros previsionales hacia Colpensiones.</w:t>
      </w:r>
    </w:p>
    <w:p w14:paraId="3A4F610A" w14:textId="77777777" w:rsidR="00B86E32" w:rsidRPr="001078C5" w:rsidRDefault="00B86E32" w:rsidP="001078C5">
      <w:pPr>
        <w:pStyle w:val="Prrafodelista"/>
        <w:spacing w:line="276" w:lineRule="auto"/>
        <w:ind w:left="1080" w:firstLine="0"/>
        <w:rPr>
          <w:rFonts w:ascii="Bookman Old Style" w:hAnsi="Bookman Old Style" w:cs="Arial"/>
        </w:rPr>
      </w:pPr>
    </w:p>
    <w:p w14:paraId="5F9943D6" w14:textId="3426429B" w:rsidR="003073FB" w:rsidRPr="001078C5" w:rsidRDefault="0085206F" w:rsidP="001078C5">
      <w:pPr>
        <w:pStyle w:val="Prrafodelista"/>
        <w:numPr>
          <w:ilvl w:val="0"/>
          <w:numId w:val="3"/>
        </w:numPr>
        <w:spacing w:line="276" w:lineRule="auto"/>
        <w:rPr>
          <w:rFonts w:ascii="Bookman Old Style" w:hAnsi="Bookman Old Style" w:cs="Arial"/>
        </w:rPr>
      </w:pPr>
      <w:r w:rsidRPr="001078C5">
        <w:rPr>
          <w:rFonts w:ascii="Bookman Old Style" w:hAnsi="Bookman Old Style" w:cs="Arial"/>
        </w:rPr>
        <w:t>S</w:t>
      </w:r>
      <w:r w:rsidR="003073FB" w:rsidRPr="001078C5">
        <w:rPr>
          <w:rFonts w:ascii="Bookman Old Style" w:hAnsi="Bookman Old Style" w:cs="Arial"/>
        </w:rPr>
        <w:t>e deberán analizar las órdenes impartidas en la sentencia y el grado jurisdiccional de consulta en favor de Colpensiones.</w:t>
      </w:r>
    </w:p>
    <w:p w14:paraId="15CC5790" w14:textId="77777777" w:rsidR="003073FB" w:rsidRPr="001078C5" w:rsidRDefault="003073FB" w:rsidP="001078C5">
      <w:pPr>
        <w:spacing w:line="276" w:lineRule="auto"/>
        <w:ind w:firstLine="0"/>
        <w:rPr>
          <w:rFonts w:ascii="Bookman Old Style" w:hAnsi="Bookman Old Style" w:cs="Arial"/>
        </w:rPr>
      </w:pPr>
    </w:p>
    <w:p w14:paraId="738BA63F" w14:textId="260093C5" w:rsidR="003073FB" w:rsidRPr="001078C5" w:rsidRDefault="00D01A10" w:rsidP="001078C5">
      <w:pPr>
        <w:spacing w:line="276" w:lineRule="auto"/>
        <w:ind w:firstLine="0"/>
        <w:rPr>
          <w:rFonts w:ascii="Bookman Old Style" w:hAnsi="Bookman Old Style" w:cs="Arial"/>
        </w:rPr>
      </w:pPr>
      <w:r w:rsidRPr="001078C5">
        <w:rPr>
          <w:rFonts w:ascii="Bookman Old Style" w:hAnsi="Bookman Old Style" w:cs="Arial"/>
        </w:rPr>
        <w:t>Para iniciar</w:t>
      </w:r>
      <w:r w:rsidR="003073FB" w:rsidRPr="001078C5">
        <w:rPr>
          <w:rFonts w:ascii="Bookman Old Style" w:hAnsi="Bookman Old Style" w:cs="Arial"/>
        </w:rPr>
        <w:t xml:space="preserve">, </w:t>
      </w:r>
      <w:r w:rsidRPr="001078C5">
        <w:rPr>
          <w:rFonts w:ascii="Bookman Old Style" w:hAnsi="Bookman Old Style" w:cs="Arial"/>
        </w:rPr>
        <w:t xml:space="preserve">es de tener en cuenta </w:t>
      </w:r>
      <w:r w:rsidR="003073FB" w:rsidRPr="001078C5">
        <w:rPr>
          <w:rFonts w:ascii="Bookman Old Style" w:hAnsi="Bookman Old Style" w:cs="Arial"/>
        </w:rPr>
        <w:t>que los siguientes hechos no presentan discusión</w:t>
      </w:r>
      <w:r w:rsidR="00DC68A5" w:rsidRPr="001078C5">
        <w:rPr>
          <w:rFonts w:ascii="Bookman Old Style" w:hAnsi="Bookman Old Style" w:cs="Arial"/>
        </w:rPr>
        <w:t xml:space="preserve">: </w:t>
      </w:r>
      <w:r w:rsidR="003073FB" w:rsidRPr="001078C5">
        <w:rPr>
          <w:rFonts w:ascii="Bookman Old Style" w:hAnsi="Bookman Old Style" w:cs="Arial"/>
          <w:b/>
          <w:bCs/>
        </w:rPr>
        <w:t>i)</w:t>
      </w:r>
      <w:r w:rsidR="00952B9A" w:rsidRPr="001078C5">
        <w:rPr>
          <w:rFonts w:ascii="Bookman Old Style" w:hAnsi="Bookman Old Style" w:cs="Arial"/>
        </w:rPr>
        <w:t xml:space="preserve"> </w:t>
      </w:r>
      <w:r w:rsidR="00FC0FF8" w:rsidRPr="001078C5">
        <w:rPr>
          <w:rFonts w:ascii="Bookman Old Style" w:hAnsi="Bookman Old Style" w:cs="Arial"/>
        </w:rPr>
        <w:t>L</w:t>
      </w:r>
      <w:r w:rsidR="00A31ADD" w:rsidRPr="001078C5">
        <w:rPr>
          <w:rFonts w:ascii="Bookman Old Style" w:hAnsi="Bookman Old Style" w:cs="Arial"/>
        </w:rPr>
        <w:t>a</w:t>
      </w:r>
      <w:r w:rsidR="0069307F" w:rsidRPr="001078C5">
        <w:rPr>
          <w:rFonts w:ascii="Bookman Old Style" w:hAnsi="Bookman Old Style" w:cs="Arial"/>
        </w:rPr>
        <w:t xml:space="preserve"> demandante </w:t>
      </w:r>
      <w:r w:rsidR="00A970EC" w:rsidRPr="001078C5">
        <w:rPr>
          <w:rFonts w:ascii="Bookman Old Style" w:hAnsi="Bookman Old Style" w:cs="Arial"/>
        </w:rPr>
        <w:t xml:space="preserve">nació </w:t>
      </w:r>
      <w:r w:rsidR="006A0EE1" w:rsidRPr="001078C5">
        <w:rPr>
          <w:rFonts w:ascii="Bookman Old Style" w:hAnsi="Bookman Old Style" w:cs="Arial"/>
        </w:rPr>
        <w:t>03 de julio de 1960</w:t>
      </w:r>
      <w:r w:rsidR="00012D28" w:rsidRPr="001078C5">
        <w:rPr>
          <w:rFonts w:ascii="Bookman Old Style" w:hAnsi="Bookman Old Style" w:cs="Arial"/>
        </w:rPr>
        <w:t xml:space="preserve"> (fl.1, anexo</w:t>
      </w:r>
      <w:r w:rsidR="00AC29CD" w:rsidRPr="001078C5">
        <w:rPr>
          <w:rFonts w:ascii="Bookman Old Style" w:hAnsi="Bookman Old Style" w:cs="Arial"/>
        </w:rPr>
        <w:t>4</w:t>
      </w:r>
      <w:r w:rsidR="00012D28" w:rsidRPr="001078C5">
        <w:rPr>
          <w:rFonts w:ascii="Bookman Old Style" w:hAnsi="Bookman Old Style" w:cs="Arial"/>
        </w:rPr>
        <w:t>)</w:t>
      </w:r>
      <w:r w:rsidR="007370B2" w:rsidRPr="001078C5">
        <w:rPr>
          <w:rFonts w:ascii="Bookman Old Style" w:hAnsi="Bookman Old Style" w:cs="Arial"/>
        </w:rPr>
        <w:t>.</w:t>
      </w:r>
      <w:r w:rsidR="003073FB" w:rsidRPr="001078C5">
        <w:rPr>
          <w:rFonts w:ascii="Bookman Old Style" w:hAnsi="Bookman Old Style" w:cs="Arial"/>
        </w:rPr>
        <w:t xml:space="preserve"> </w:t>
      </w:r>
      <w:r w:rsidR="003073FB" w:rsidRPr="001078C5">
        <w:rPr>
          <w:rFonts w:ascii="Bookman Old Style" w:hAnsi="Bookman Old Style" w:cs="Arial"/>
          <w:b/>
          <w:bCs/>
        </w:rPr>
        <w:t>ii)</w:t>
      </w:r>
      <w:r w:rsidR="00747649" w:rsidRPr="001078C5">
        <w:rPr>
          <w:rFonts w:ascii="Bookman Old Style" w:hAnsi="Bookman Old Style" w:cs="Arial"/>
          <w:b/>
          <w:bCs/>
        </w:rPr>
        <w:t xml:space="preserve"> </w:t>
      </w:r>
      <w:r w:rsidR="00012D28" w:rsidRPr="001078C5">
        <w:rPr>
          <w:rFonts w:ascii="Bookman Old Style" w:hAnsi="Bookman Old Style" w:cs="Arial"/>
          <w:bCs/>
        </w:rPr>
        <w:t xml:space="preserve">El </w:t>
      </w:r>
      <w:r w:rsidR="006A0EE1" w:rsidRPr="001078C5">
        <w:rPr>
          <w:rFonts w:ascii="Bookman Old Style" w:hAnsi="Bookman Old Style" w:cs="Arial"/>
          <w:bCs/>
        </w:rPr>
        <w:t xml:space="preserve">20-09-1996 se cambió de COLPENSIONES a COLFONDOS, luego, se cambió a HORIZONTE hoy PORVENIR S.A. el 24-05-2001, posterioremente, se trasladó a </w:t>
      </w:r>
      <w:r w:rsidR="003168C5" w:rsidRPr="001078C5">
        <w:rPr>
          <w:rFonts w:ascii="Bookman Old Style" w:hAnsi="Bookman Old Style" w:cs="Arial"/>
          <w:bCs/>
        </w:rPr>
        <w:t xml:space="preserve">PROTECCIÓN S.A. el 20-09-2007, después </w:t>
      </w:r>
      <w:r w:rsidR="006A0EE1" w:rsidRPr="001078C5">
        <w:rPr>
          <w:rFonts w:ascii="Bookman Old Style" w:hAnsi="Bookman Old Style" w:cs="Arial"/>
          <w:bCs/>
        </w:rPr>
        <w:t>a SKANDIA el 27-02-2013</w:t>
      </w:r>
      <w:r w:rsidR="003168C5" w:rsidRPr="001078C5">
        <w:rPr>
          <w:rFonts w:ascii="Bookman Old Style" w:hAnsi="Bookman Old Style" w:cs="Arial"/>
          <w:bCs/>
        </w:rPr>
        <w:t xml:space="preserve"> y finalmente, regresó a PROTECCIÓN el 29-08-2013 </w:t>
      </w:r>
      <w:r w:rsidR="006A0EE1" w:rsidRPr="001078C5">
        <w:rPr>
          <w:rFonts w:ascii="Bookman Old Style" w:hAnsi="Bookman Old Style" w:cs="Arial"/>
          <w:bCs/>
        </w:rPr>
        <w:t xml:space="preserve">donde actualmente continúa afiliada. </w:t>
      </w:r>
      <w:r w:rsidR="00747649" w:rsidRPr="001078C5">
        <w:rPr>
          <w:rFonts w:ascii="Bookman Old Style" w:hAnsi="Bookman Old Style" w:cs="Arial"/>
          <w:bCs/>
        </w:rPr>
        <w:t>(fl.</w:t>
      </w:r>
      <w:r w:rsidR="003168C5" w:rsidRPr="001078C5">
        <w:rPr>
          <w:rFonts w:ascii="Bookman Old Style" w:hAnsi="Bookman Old Style" w:cs="Arial"/>
          <w:bCs/>
        </w:rPr>
        <w:t>52</w:t>
      </w:r>
      <w:r w:rsidR="00747649" w:rsidRPr="001078C5">
        <w:rPr>
          <w:rFonts w:ascii="Bookman Old Style" w:hAnsi="Bookman Old Style" w:cs="Arial"/>
          <w:bCs/>
        </w:rPr>
        <w:t>, anexo</w:t>
      </w:r>
      <w:r w:rsidR="003168C5" w:rsidRPr="001078C5">
        <w:rPr>
          <w:rFonts w:ascii="Bookman Old Style" w:hAnsi="Bookman Old Style" w:cs="Arial"/>
          <w:bCs/>
        </w:rPr>
        <w:t>16</w:t>
      </w:r>
      <w:r w:rsidR="00747649" w:rsidRPr="001078C5">
        <w:rPr>
          <w:rFonts w:ascii="Bookman Old Style" w:hAnsi="Bookman Old Style" w:cs="Arial"/>
          <w:bCs/>
        </w:rPr>
        <w:t>)</w:t>
      </w:r>
      <w:r w:rsidR="00805633" w:rsidRPr="001078C5">
        <w:rPr>
          <w:rFonts w:ascii="Bookman Old Style" w:hAnsi="Bookman Old Style" w:cs="Arial"/>
          <w:bCs/>
        </w:rPr>
        <w:t xml:space="preserve"> </w:t>
      </w:r>
      <w:r w:rsidR="00805633" w:rsidRPr="001078C5">
        <w:rPr>
          <w:rFonts w:ascii="Bookman Old Style" w:hAnsi="Bookman Old Style" w:cs="Arial"/>
          <w:b/>
          <w:bCs/>
        </w:rPr>
        <w:t xml:space="preserve">iii) </w:t>
      </w:r>
      <w:r w:rsidR="00805633" w:rsidRPr="001078C5">
        <w:rPr>
          <w:rFonts w:ascii="Bookman Old Style" w:hAnsi="Bookman Old Style" w:cs="Arial"/>
          <w:bCs/>
        </w:rPr>
        <w:t xml:space="preserve">La fecha de redención normal del bono data del </w:t>
      </w:r>
      <w:r w:rsidR="003168C5" w:rsidRPr="001078C5">
        <w:rPr>
          <w:rFonts w:ascii="Bookman Old Style" w:hAnsi="Bookman Old Style" w:cs="Arial"/>
          <w:bCs/>
        </w:rPr>
        <w:t>03 de julio de 2020</w:t>
      </w:r>
      <w:r w:rsidR="00805633" w:rsidRPr="001078C5">
        <w:rPr>
          <w:rFonts w:ascii="Bookman Old Style" w:hAnsi="Bookman Old Style" w:cs="Arial"/>
          <w:bCs/>
        </w:rPr>
        <w:t xml:space="preserve"> (fl.</w:t>
      </w:r>
      <w:r w:rsidR="003168C5" w:rsidRPr="001078C5">
        <w:rPr>
          <w:rFonts w:ascii="Bookman Old Style" w:hAnsi="Bookman Old Style" w:cs="Arial"/>
          <w:bCs/>
        </w:rPr>
        <w:t>365</w:t>
      </w:r>
      <w:r w:rsidR="00805633" w:rsidRPr="001078C5">
        <w:rPr>
          <w:rFonts w:ascii="Bookman Old Style" w:hAnsi="Bookman Old Style" w:cs="Arial"/>
          <w:bCs/>
        </w:rPr>
        <w:t>, anexo</w:t>
      </w:r>
      <w:r w:rsidR="003168C5" w:rsidRPr="001078C5">
        <w:rPr>
          <w:rFonts w:ascii="Bookman Old Style" w:hAnsi="Bookman Old Style" w:cs="Arial"/>
          <w:bCs/>
        </w:rPr>
        <w:t>11</w:t>
      </w:r>
      <w:r w:rsidR="00805633" w:rsidRPr="001078C5">
        <w:rPr>
          <w:rFonts w:ascii="Bookman Old Style" w:hAnsi="Bookman Old Style" w:cs="Arial"/>
          <w:bCs/>
        </w:rPr>
        <w:t>)</w:t>
      </w:r>
      <w:r w:rsidR="00747649" w:rsidRPr="001078C5">
        <w:rPr>
          <w:rFonts w:ascii="Bookman Old Style" w:hAnsi="Bookman Old Style" w:cs="Arial"/>
          <w:bCs/>
        </w:rPr>
        <w:t xml:space="preserve"> </w:t>
      </w:r>
    </w:p>
    <w:p w14:paraId="4F75A949" w14:textId="77777777" w:rsidR="003073FB" w:rsidRPr="001078C5" w:rsidRDefault="003073FB" w:rsidP="001078C5">
      <w:pPr>
        <w:spacing w:line="276" w:lineRule="auto"/>
        <w:ind w:firstLine="0"/>
        <w:rPr>
          <w:rFonts w:ascii="Bookman Old Style" w:hAnsi="Bookman Old Style" w:cs="Arial"/>
        </w:rPr>
      </w:pPr>
    </w:p>
    <w:p w14:paraId="34F9C432" w14:textId="7777777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Conforme a los anteriores referentes, pasa la Sala a desatar la alzada, en los siguientes términos:</w:t>
      </w:r>
    </w:p>
    <w:p w14:paraId="6CE880D6" w14:textId="77777777" w:rsidR="003073FB" w:rsidRPr="001078C5" w:rsidRDefault="003073FB" w:rsidP="001078C5">
      <w:pPr>
        <w:spacing w:line="276" w:lineRule="auto"/>
        <w:ind w:firstLine="0"/>
        <w:rPr>
          <w:rFonts w:ascii="Bookman Old Style" w:hAnsi="Bookman Old Style" w:cs="Arial"/>
        </w:rPr>
      </w:pPr>
    </w:p>
    <w:p w14:paraId="2EA3874E" w14:textId="77777777" w:rsidR="003073FB" w:rsidRPr="001078C5" w:rsidRDefault="003073FB" w:rsidP="001078C5">
      <w:pPr>
        <w:spacing w:line="276" w:lineRule="auto"/>
        <w:ind w:firstLine="0"/>
        <w:rPr>
          <w:rFonts w:ascii="Bookman Old Style" w:hAnsi="Bookman Old Style" w:cs="Arial"/>
          <w:b/>
        </w:rPr>
      </w:pPr>
      <w:r w:rsidRPr="001078C5">
        <w:rPr>
          <w:rFonts w:ascii="Bookman Old Style" w:hAnsi="Bookman Old Style" w:cs="Arial"/>
          <w:b/>
        </w:rPr>
        <w:t>DE LA INEFICACIA DEL TRASLADO DE RÉGIMEN.</w:t>
      </w:r>
    </w:p>
    <w:p w14:paraId="528A9506" w14:textId="77777777" w:rsidR="003073FB" w:rsidRPr="001078C5" w:rsidRDefault="003073FB" w:rsidP="001078C5">
      <w:pPr>
        <w:spacing w:line="276" w:lineRule="auto"/>
        <w:ind w:firstLine="0"/>
        <w:rPr>
          <w:rFonts w:ascii="Bookman Old Style" w:hAnsi="Bookman Old Style" w:cs="Arial"/>
        </w:rPr>
      </w:pPr>
    </w:p>
    <w:p w14:paraId="2983F148" w14:textId="7777777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Para iniciar, es de advertir que, cuando se pretende por vía judicial la ineficacia del traslado de un afiliado del RPM al RAIS, es necesario tener en cuenta que la ley radica en las Administradoras de Pensiones el deber de gestión de los intereses de quienes se vinculen a ellas, los cuales surgen desde las etapas previas y preparatorias a la formalización de su afiliación a la administradora, por lo tanto, en razón de la existencia de éstas, se da la necesidad de actuar mediante instituciones especializadas e idóneas, con conocimientos y experiencia, que resulten confiables a los ciudadanos que van a entregar sus ahorros y sus seguros de previsión para la vejez, invalidez o para su familia cercana en caso de muerte prematura. </w:t>
      </w:r>
    </w:p>
    <w:p w14:paraId="45CC126D" w14:textId="77777777" w:rsidR="003073FB" w:rsidRPr="001078C5" w:rsidRDefault="003073FB" w:rsidP="001078C5">
      <w:pPr>
        <w:spacing w:line="276" w:lineRule="auto"/>
        <w:ind w:firstLine="0"/>
        <w:rPr>
          <w:rFonts w:ascii="Bookman Old Style" w:hAnsi="Bookman Old Style" w:cs="Arial"/>
        </w:rPr>
      </w:pPr>
    </w:p>
    <w:p w14:paraId="40EBAD13" w14:textId="7777777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Entre las obligaciones enrostradas está el deber de otorgar al afiliado la información necesaria y suficiente sobre todas las etapas del proceso, esto es, desde la antesala de la afiliación hasta la determinación de las condiciones para el disfrute pensional. En este sentido, las Administradoras de Pensiones tienen el deber de proporcionar a sus interesados una información completa y comprensible, a la medida de la asimetría que se ha de salvar entre un administrador experto y un afiliado lego, en materias de alta complejidad, por ello, el primero debe proporcionar con la prudencia de quien sabe que ella tiene valor y el alcance de orientar al potencial afiliado o a quien ya lo está, y que cuando se trata de asuntos de consecuencias mayúsculas y vitales, como en el sub lite, la elección del régimen pensional, trasciende el simple deber de información, y como emanación del mismo reglamento de la seguridad social, la administradora tiene el deber del buen consejo, que la compromete a un ejercicio más activo al proporcionar la información de ilustración suficiente dando a conocer las diferentes alternativas, con sus beneficios e inconvenientes, y aún, si ese fuere el caso, a desanimar al interesado de tomar una opción que claramente le perjudica.</w:t>
      </w:r>
    </w:p>
    <w:p w14:paraId="2C5B84B3" w14:textId="77777777" w:rsidR="003073FB" w:rsidRPr="001078C5" w:rsidRDefault="003073FB" w:rsidP="001078C5">
      <w:pPr>
        <w:spacing w:line="276" w:lineRule="auto"/>
        <w:ind w:firstLine="0"/>
        <w:rPr>
          <w:rFonts w:ascii="Bookman Old Style" w:hAnsi="Bookman Old Style" w:cs="Arial"/>
        </w:rPr>
      </w:pPr>
    </w:p>
    <w:p w14:paraId="4DFE95DA" w14:textId="7777777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Lo anterior, tiene fundamento en lo manifestado por la Sala de Casación Laboral de la Corte Suprema de Justicia en sentencias con radicaciones 31314 y 31989 del 9 de septiembre de 2008, No. 33083 del 22 de noviembre de 2011 y la sentencia SL-12136 rad. No 46292 del 3 de septiembre de 2014.</w:t>
      </w:r>
    </w:p>
    <w:p w14:paraId="3AC7A955" w14:textId="77777777" w:rsidR="003073FB" w:rsidRPr="001078C5" w:rsidRDefault="003073FB" w:rsidP="001078C5">
      <w:pPr>
        <w:spacing w:line="276" w:lineRule="auto"/>
        <w:ind w:firstLine="0"/>
        <w:rPr>
          <w:rFonts w:ascii="Bookman Old Style" w:hAnsi="Bookman Old Style" w:cs="Arial"/>
        </w:rPr>
      </w:pPr>
    </w:p>
    <w:p w14:paraId="18B7F341" w14:textId="7777777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Es de anotar que la jurisprudencia antes citada corresponde a traslados respecto a personas beneficiarias del régimen de transición, sin embargo, en sendos pronunciamientos de la Sala de Casación Laboral, entre otras, en la SL1452-2019, SL1017-2022, señala que, ni la jurisprudencia desarrollada por esa Corporación y, mucho menos el ordenamiento jurídico laboral y de la seguridad social prevén como requisito para que resulten aplicables las reglas sobre ineficacia del traslado y en especial la relativa a la inversión de la carga de la prueba que en ella opera, que el afiliado al momento del cambio de régimen pensional fuese beneficiario del régimen de transición, tuviese un derecho consolidado o una expectativa legítima, por el contrario se ha estimado que para que resulte viable la declaratoria de ineficacia del acto jurídico de traslado, así como, la inversión de la carga de la prueba que en estos asuntos se configura, lo que se exige es que la administradora de pensiones hubiese faltado a su deber de información ya que «</w:t>
      </w:r>
      <w:r w:rsidRPr="001078C5">
        <w:rPr>
          <w:rFonts w:ascii="Bookman Old Style" w:hAnsi="Bookman Old Style" w:cs="Arial"/>
          <w:i/>
          <w:iCs/>
          <w:u w:val="single"/>
        </w:rPr>
        <w:t>el acto de afiliación o traslado de régimen pensional debe estar acompañado de la decisión libre y voluntaria del afiliado, la cual no se limita a la simple manifestación de quien decide trasladarse, sino que debe ajustarse a los parámetros de libertad informada, es decir, la solicitud y trámite de traslado de régimen pensional, debe estar precedida de una información clara, comprensible y suficiente, sobre las consecuencias favorables y desfavorables que su decisión acarrea</w:t>
      </w:r>
      <w:r w:rsidRPr="001078C5">
        <w:rPr>
          <w:rFonts w:ascii="Bookman Old Style" w:hAnsi="Bookman Old Style" w:cs="Arial"/>
          <w:i/>
          <w:iCs/>
        </w:rPr>
        <w:t xml:space="preserve">» </w:t>
      </w:r>
      <w:r w:rsidRPr="001078C5">
        <w:rPr>
          <w:rFonts w:ascii="Bookman Old Style" w:hAnsi="Bookman Old Style" w:cs="Arial"/>
        </w:rPr>
        <w:t xml:space="preserve">(CSJ3719-2021), todo ello por cuanto </w:t>
      </w:r>
      <w:r w:rsidRPr="001078C5">
        <w:rPr>
          <w:rFonts w:ascii="Bookman Old Style" w:hAnsi="Bookman Old Style" w:cs="Arial"/>
          <w:i/>
          <w:iCs/>
          <w:spacing w:val="-4"/>
        </w:rPr>
        <w:t>«</w:t>
      </w:r>
      <w:r w:rsidRPr="001078C5">
        <w:rPr>
          <w:rFonts w:ascii="Bookman Old Style" w:hAnsi="Bookman Old Style" w:cs="Arial"/>
          <w:i/>
          <w:iCs/>
          <w:spacing w:val="-4"/>
          <w:u w:val="single"/>
        </w:rPr>
        <w:t>la violación del deber de información se predica frente a la validez del acto jurídico de traslado, considerado en sí mismo</w:t>
      </w:r>
      <w:r w:rsidRPr="001078C5">
        <w:rPr>
          <w:rFonts w:ascii="Bookman Old Style" w:hAnsi="Bookman Old Style" w:cs="Arial"/>
          <w:i/>
          <w:iCs/>
          <w:spacing w:val="-4"/>
        </w:rPr>
        <w:t xml:space="preserve">» </w:t>
      </w:r>
      <w:r w:rsidRPr="001078C5">
        <w:rPr>
          <w:rFonts w:ascii="Bookman Old Style" w:hAnsi="Bookman Old Style" w:cs="Arial"/>
          <w:spacing w:val="-4"/>
        </w:rPr>
        <w:t xml:space="preserve">(CSJ SL1452-2019, SL1688-2019, SL1689-2019, SL4025-2021). </w:t>
      </w:r>
    </w:p>
    <w:p w14:paraId="63FBC221" w14:textId="77777777" w:rsidR="003073FB" w:rsidRPr="001078C5" w:rsidRDefault="003073FB" w:rsidP="001078C5">
      <w:pPr>
        <w:spacing w:line="276" w:lineRule="auto"/>
        <w:ind w:firstLine="0"/>
        <w:rPr>
          <w:rFonts w:ascii="Bookman Old Style" w:hAnsi="Bookman Old Style" w:cs="Arial"/>
        </w:rPr>
      </w:pPr>
    </w:p>
    <w:p w14:paraId="4C534AB2" w14:textId="0B2206A3"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Así mismo, se ha de señalar que, por el sólo hecho de que se suscriba un formulario de afiliación no es posible inferir que la persona conocía los verdaderos efectos que sobre sus derechos pensionales podía tener la decisión de trasladarse, lo que además no puede considerase como satisfecho con una simple expresión genérica; o con el hecho de que el afiliado no haya demostrado en el transcurso del tiempo inconformidad alguna sobre el cambio en el sistema pensional que hizo.</w:t>
      </w:r>
    </w:p>
    <w:p w14:paraId="32657F48" w14:textId="77777777" w:rsidR="003073FB" w:rsidRPr="001078C5" w:rsidRDefault="003073FB" w:rsidP="001078C5">
      <w:pPr>
        <w:spacing w:line="276" w:lineRule="auto"/>
        <w:ind w:firstLine="0"/>
        <w:rPr>
          <w:rFonts w:ascii="Bookman Old Style" w:hAnsi="Bookman Old Style" w:cs="Arial"/>
        </w:rPr>
      </w:pPr>
    </w:p>
    <w:p w14:paraId="7AD0C737" w14:textId="04FAC258"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En torno a la carga de la prueba, es de indicar que corresponde a la AFP ante quien se realizó el cambio de régimen pensional, porque es quien debe de acreditar que explicó las condiciones del traslado en los términos antes referidos al contar con los documentos e información en general que le suministró al interesado, </w:t>
      </w:r>
      <w:r w:rsidR="00952B9A" w:rsidRPr="001078C5">
        <w:rPr>
          <w:rFonts w:ascii="Bookman Old Style" w:hAnsi="Bookman Old Style" w:cs="Arial"/>
        </w:rPr>
        <w:t xml:space="preserve">pues no puede pretenderse que </w:t>
      </w:r>
      <w:r w:rsidR="000437DC">
        <w:rPr>
          <w:rFonts w:ascii="Bookman Old Style" w:hAnsi="Bookman Old Style" w:cs="Arial"/>
        </w:rPr>
        <w:t>e</w:t>
      </w:r>
      <w:r w:rsidR="00952B9A" w:rsidRPr="001078C5">
        <w:rPr>
          <w:rFonts w:ascii="Bookman Old Style" w:hAnsi="Bookman Old Style" w:cs="Arial"/>
        </w:rPr>
        <w:t>l</w:t>
      </w:r>
      <w:r w:rsidRPr="001078C5">
        <w:rPr>
          <w:rFonts w:ascii="Bookman Old Style" w:hAnsi="Bookman Old Style" w:cs="Arial"/>
        </w:rPr>
        <w:t xml:space="preserve"> afiliado acredite tales aspectos, puesto que, las normas que rigen a los fondos privados imponen el deber de información, razón suficiente para que estos precisen las pruebas que acrediten la calidad de la asesoría brindada.</w:t>
      </w:r>
    </w:p>
    <w:p w14:paraId="367795EC" w14:textId="77777777" w:rsidR="003073FB" w:rsidRPr="001078C5" w:rsidRDefault="003073FB" w:rsidP="001078C5">
      <w:pPr>
        <w:spacing w:line="276" w:lineRule="auto"/>
        <w:ind w:firstLine="0"/>
        <w:rPr>
          <w:rFonts w:ascii="Bookman Old Style" w:hAnsi="Bookman Old Style" w:cs="Arial"/>
        </w:rPr>
      </w:pPr>
    </w:p>
    <w:p w14:paraId="24BF4BD6" w14:textId="16679555"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Además de lo expuesto, la Corte ha reiterado (SL1017/2022) que, la trasgresión al deber de información en tratándose del traslado de régimen pensional debe analizarse desde la figura jurídica de la ineficacia y no desde el régimen de las nulidades regulado por el Código Civil, puesto que al transgredirse el derecho a que el cambio de régimen pensional sea libre y voluntario, el efecto jurídico previsto por el artículo 271 de la Ley 100 de 1993, no es otro que el de la ineficacia de la afiliación (CSJ SL3871-2021, CSJ SL 3611-2021, CSJ SL3537-2021).</w:t>
      </w:r>
    </w:p>
    <w:p w14:paraId="1ED89148" w14:textId="754A41DB" w:rsidR="00607BF6" w:rsidRPr="001078C5" w:rsidRDefault="00607BF6" w:rsidP="001078C5">
      <w:pPr>
        <w:spacing w:line="276" w:lineRule="auto"/>
        <w:ind w:firstLine="0"/>
        <w:rPr>
          <w:rFonts w:ascii="Bookman Old Style" w:hAnsi="Bookman Old Style" w:cs="Arial"/>
        </w:rPr>
      </w:pPr>
    </w:p>
    <w:p w14:paraId="2E604DE1" w14:textId="5F0F256B" w:rsidR="003073FB" w:rsidRPr="001078C5" w:rsidRDefault="003073FB" w:rsidP="001078C5">
      <w:pPr>
        <w:spacing w:line="276" w:lineRule="auto"/>
        <w:ind w:firstLine="0"/>
        <w:rPr>
          <w:rFonts w:ascii="Bookman Old Style" w:hAnsi="Bookman Old Style" w:cs="Arial"/>
          <w:b/>
          <w:bCs/>
          <w:u w:val="single"/>
        </w:rPr>
      </w:pPr>
      <w:r w:rsidRPr="001078C5">
        <w:rPr>
          <w:rFonts w:ascii="Bookman Old Style" w:hAnsi="Bookman Old Style" w:cs="Arial"/>
          <w:u w:val="single"/>
        </w:rPr>
        <w:t>¿</w:t>
      </w:r>
      <w:r w:rsidRPr="001078C5">
        <w:rPr>
          <w:rFonts w:ascii="Bookman Old Style" w:hAnsi="Bookman Old Style" w:cs="Arial"/>
          <w:b/>
          <w:bCs/>
          <w:u w:val="single"/>
        </w:rPr>
        <w:t>Se acreditó el cumplimiento del deber de información por parte de la</w:t>
      </w:r>
      <w:r w:rsidR="00952B9A" w:rsidRPr="001078C5">
        <w:rPr>
          <w:rFonts w:ascii="Bookman Old Style" w:hAnsi="Bookman Old Style" w:cs="Arial"/>
          <w:b/>
          <w:bCs/>
          <w:u w:val="single"/>
        </w:rPr>
        <w:t>s</w:t>
      </w:r>
      <w:r w:rsidRPr="001078C5">
        <w:rPr>
          <w:rFonts w:ascii="Bookman Old Style" w:hAnsi="Bookman Old Style" w:cs="Arial"/>
          <w:b/>
          <w:bCs/>
          <w:u w:val="single"/>
        </w:rPr>
        <w:t xml:space="preserve"> accionada</w:t>
      </w:r>
      <w:r w:rsidR="00952B9A" w:rsidRPr="001078C5">
        <w:rPr>
          <w:rFonts w:ascii="Bookman Old Style" w:hAnsi="Bookman Old Style" w:cs="Arial"/>
          <w:b/>
          <w:bCs/>
          <w:u w:val="single"/>
        </w:rPr>
        <w:t>s</w:t>
      </w:r>
      <w:r w:rsidRPr="001078C5">
        <w:rPr>
          <w:rFonts w:ascii="Bookman Old Style" w:hAnsi="Bookman Old Style" w:cs="Arial"/>
          <w:b/>
          <w:bCs/>
          <w:u w:val="single"/>
        </w:rPr>
        <w:t>?</w:t>
      </w:r>
    </w:p>
    <w:p w14:paraId="3F988C00" w14:textId="77777777" w:rsidR="003073FB" w:rsidRPr="001078C5" w:rsidRDefault="003073FB" w:rsidP="001078C5">
      <w:pPr>
        <w:spacing w:line="276" w:lineRule="auto"/>
        <w:ind w:firstLine="0"/>
        <w:rPr>
          <w:rFonts w:ascii="Bookman Old Style" w:hAnsi="Bookman Old Style" w:cs="Arial"/>
        </w:rPr>
      </w:pPr>
    </w:p>
    <w:p w14:paraId="5A3FBEFB" w14:textId="31FE7F46"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Aplicando los anteriores criterios al caso que nos ocupa, debe decirse que de la documental adosada por la</w:t>
      </w:r>
      <w:r w:rsidR="007619B8" w:rsidRPr="001078C5">
        <w:rPr>
          <w:rFonts w:ascii="Bookman Old Style" w:hAnsi="Bookman Old Style" w:cs="Arial"/>
        </w:rPr>
        <w:t xml:space="preserve"> AFP que estuvo</w:t>
      </w:r>
      <w:r w:rsidR="00A31ADD" w:rsidRPr="001078C5">
        <w:rPr>
          <w:rFonts w:ascii="Bookman Old Style" w:hAnsi="Bookman Old Style" w:cs="Arial"/>
        </w:rPr>
        <w:t xml:space="preserve"> </w:t>
      </w:r>
      <w:r w:rsidRPr="001078C5">
        <w:rPr>
          <w:rFonts w:ascii="Bookman Old Style" w:hAnsi="Bookman Old Style" w:cs="Arial"/>
        </w:rPr>
        <w:t>a c</w:t>
      </w:r>
      <w:r w:rsidR="00617A19" w:rsidRPr="001078C5">
        <w:rPr>
          <w:rFonts w:ascii="Bookman Old Style" w:hAnsi="Bookman Old Style" w:cs="Arial"/>
        </w:rPr>
        <w:t>argo del traslado de régimen de</w:t>
      </w:r>
      <w:r w:rsidR="00A31ADD" w:rsidRPr="001078C5">
        <w:rPr>
          <w:rFonts w:ascii="Bookman Old Style" w:hAnsi="Bookman Old Style" w:cs="Arial"/>
        </w:rPr>
        <w:t xml:space="preserve"> la</w:t>
      </w:r>
      <w:r w:rsidRPr="001078C5">
        <w:rPr>
          <w:rFonts w:ascii="Bookman Old Style" w:hAnsi="Bookman Old Style" w:cs="Arial"/>
        </w:rPr>
        <w:t xml:space="preserve"> demandante</w:t>
      </w:r>
      <w:r w:rsidR="00A31ADD" w:rsidRPr="001078C5">
        <w:rPr>
          <w:rFonts w:ascii="Bookman Old Style" w:hAnsi="Bookman Old Style" w:cs="Arial"/>
        </w:rPr>
        <w:t>, ninguna prueba idónea present</w:t>
      </w:r>
      <w:r w:rsidR="00866B25" w:rsidRPr="001078C5">
        <w:rPr>
          <w:rFonts w:ascii="Bookman Old Style" w:hAnsi="Bookman Old Style" w:cs="Arial"/>
        </w:rPr>
        <w:t>ó</w:t>
      </w:r>
      <w:r w:rsidRPr="001078C5">
        <w:rPr>
          <w:rFonts w:ascii="Bookman Old Style" w:hAnsi="Bookman Old Style" w:cs="Arial"/>
        </w:rPr>
        <w:t xml:space="preserve"> para demostrar que en la antesala de </w:t>
      </w:r>
      <w:r w:rsidR="00617A19" w:rsidRPr="001078C5">
        <w:rPr>
          <w:rFonts w:ascii="Bookman Old Style" w:hAnsi="Bookman Old Style" w:cs="Arial"/>
        </w:rPr>
        <w:t xml:space="preserve">la decisión que tuvo </w:t>
      </w:r>
      <w:r w:rsidR="00A31ADD" w:rsidRPr="001078C5">
        <w:rPr>
          <w:rFonts w:ascii="Bookman Old Style" w:hAnsi="Bookman Old Style" w:cs="Arial"/>
        </w:rPr>
        <w:t xml:space="preserve">la </w:t>
      </w:r>
      <w:r w:rsidR="00617A19" w:rsidRPr="001078C5">
        <w:rPr>
          <w:rFonts w:ascii="Bookman Old Style" w:hAnsi="Bookman Old Style" w:cs="Arial"/>
        </w:rPr>
        <w:t>afiliad</w:t>
      </w:r>
      <w:r w:rsidR="00A31ADD" w:rsidRPr="001078C5">
        <w:rPr>
          <w:rFonts w:ascii="Bookman Old Style" w:hAnsi="Bookman Old Style" w:cs="Arial"/>
        </w:rPr>
        <w:t>a</w:t>
      </w:r>
      <w:r w:rsidRPr="001078C5">
        <w:rPr>
          <w:rFonts w:ascii="Bookman Old Style" w:hAnsi="Bookman Old Style" w:cs="Arial"/>
        </w:rPr>
        <w:t xml:space="preserve"> para migrar del RPM con PD, la</w:t>
      </w:r>
      <w:r w:rsidR="00CE7452" w:rsidRPr="001078C5">
        <w:rPr>
          <w:rFonts w:ascii="Bookman Old Style" w:hAnsi="Bookman Old Style" w:cs="Arial"/>
        </w:rPr>
        <w:t xml:space="preserve"> AFP cumpli</w:t>
      </w:r>
      <w:r w:rsidR="00912AF7" w:rsidRPr="001078C5">
        <w:rPr>
          <w:rFonts w:ascii="Bookman Old Style" w:hAnsi="Bookman Old Style" w:cs="Arial"/>
        </w:rPr>
        <w:t>ó</w:t>
      </w:r>
      <w:r w:rsidRPr="001078C5">
        <w:rPr>
          <w:rFonts w:ascii="Bookman Old Style" w:hAnsi="Bookman Old Style" w:cs="Arial"/>
        </w:rPr>
        <w:t xml:space="preserve"> con su deber de información, esto es, dotando </w:t>
      </w:r>
      <w:r w:rsidR="00617A19" w:rsidRPr="001078C5">
        <w:rPr>
          <w:rFonts w:ascii="Bookman Old Style" w:hAnsi="Bookman Old Style" w:cs="Arial"/>
        </w:rPr>
        <w:t>a</w:t>
      </w:r>
      <w:r w:rsidR="00A31ADD" w:rsidRPr="001078C5">
        <w:rPr>
          <w:rFonts w:ascii="Bookman Old Style" w:hAnsi="Bookman Old Style" w:cs="Arial"/>
        </w:rPr>
        <w:t xml:space="preserve"> la </w:t>
      </w:r>
      <w:r w:rsidRPr="001078C5">
        <w:rPr>
          <w:rFonts w:ascii="Bookman Old Style" w:hAnsi="Bookman Old Style" w:cs="Arial"/>
        </w:rPr>
        <w:t>reclamante de todo el conocimiento que requería para adoptar una decisión consciente, racional y ajustada a sus expectativas pensionales.</w:t>
      </w:r>
    </w:p>
    <w:p w14:paraId="5A8E7B00" w14:textId="77777777" w:rsidR="003073FB" w:rsidRPr="001078C5" w:rsidRDefault="003073FB" w:rsidP="001078C5">
      <w:pPr>
        <w:spacing w:line="276" w:lineRule="auto"/>
        <w:ind w:firstLine="0"/>
        <w:rPr>
          <w:rFonts w:ascii="Bookman Old Style" w:hAnsi="Bookman Old Style" w:cs="Arial"/>
        </w:rPr>
      </w:pPr>
    </w:p>
    <w:p w14:paraId="27118458" w14:textId="1F3EC3EB"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Ahora, </w:t>
      </w:r>
      <w:r w:rsidR="00700176" w:rsidRPr="001078C5">
        <w:rPr>
          <w:rFonts w:ascii="Bookman Old Style" w:hAnsi="Bookman Old Style" w:cs="Arial"/>
        </w:rPr>
        <w:t xml:space="preserve">aunque la demandante hubiese firmado </w:t>
      </w:r>
      <w:r w:rsidR="00912AF7" w:rsidRPr="001078C5">
        <w:rPr>
          <w:rFonts w:ascii="Bookman Old Style" w:hAnsi="Bookman Old Style" w:cs="Arial"/>
        </w:rPr>
        <w:t xml:space="preserve">el </w:t>
      </w:r>
      <w:r w:rsidR="00700176" w:rsidRPr="001078C5">
        <w:rPr>
          <w:rFonts w:ascii="Bookman Old Style" w:hAnsi="Bookman Old Style" w:cs="Arial"/>
        </w:rPr>
        <w:t xml:space="preserve">formulario de afiliación a </w:t>
      </w:r>
      <w:r w:rsidR="00C76C6A" w:rsidRPr="001078C5">
        <w:rPr>
          <w:rFonts w:ascii="Bookman Old Style" w:hAnsi="Bookman Old Style" w:cs="Arial"/>
        </w:rPr>
        <w:t>la</w:t>
      </w:r>
      <w:r w:rsidR="00866B25" w:rsidRPr="001078C5">
        <w:rPr>
          <w:rFonts w:ascii="Bookman Old Style" w:hAnsi="Bookman Old Style" w:cs="Arial"/>
        </w:rPr>
        <w:t>s</w:t>
      </w:r>
      <w:r w:rsidR="00C76C6A" w:rsidRPr="001078C5">
        <w:rPr>
          <w:rFonts w:ascii="Bookman Old Style" w:hAnsi="Bookman Old Style" w:cs="Arial"/>
        </w:rPr>
        <w:t xml:space="preserve"> AFP demandada</w:t>
      </w:r>
      <w:r w:rsidR="00866B25" w:rsidRPr="001078C5">
        <w:rPr>
          <w:rFonts w:ascii="Bookman Old Style" w:hAnsi="Bookman Old Style" w:cs="Arial"/>
        </w:rPr>
        <w:t>s</w:t>
      </w:r>
      <w:r w:rsidR="00700176" w:rsidRPr="001078C5">
        <w:rPr>
          <w:rFonts w:ascii="Bookman Old Style" w:hAnsi="Bookman Old Style" w:cs="Arial"/>
        </w:rPr>
        <w:t>,</w:t>
      </w:r>
      <w:r w:rsidR="00CE7452" w:rsidRPr="001078C5">
        <w:rPr>
          <w:rFonts w:ascii="Bookman Old Style" w:hAnsi="Bookman Old Style" w:cs="Arial"/>
        </w:rPr>
        <w:t xml:space="preserve"> no es posible señalar que </w:t>
      </w:r>
      <w:r w:rsidRPr="001078C5">
        <w:rPr>
          <w:rFonts w:ascii="Bookman Old Style" w:hAnsi="Bookman Old Style" w:cs="Arial"/>
        </w:rPr>
        <w:t>aceptó haberlo realizado de manera “</w:t>
      </w:r>
      <w:r w:rsidRPr="0085566A">
        <w:rPr>
          <w:rFonts w:ascii="Bookman Old Style" w:hAnsi="Bookman Old Style" w:cs="Arial"/>
          <w:i/>
          <w:iCs/>
          <w:sz w:val="22"/>
        </w:rPr>
        <w:t>libre, voluntaria y sin presiones</w:t>
      </w:r>
      <w:r w:rsidRPr="001078C5">
        <w:rPr>
          <w:rFonts w:ascii="Bookman Old Style" w:hAnsi="Bookman Old Style" w:cs="Arial"/>
          <w:i/>
          <w:iCs/>
        </w:rPr>
        <w:t>”</w:t>
      </w:r>
      <w:r w:rsidR="00713D41" w:rsidRPr="001078C5">
        <w:rPr>
          <w:rFonts w:ascii="Bookman Old Style" w:hAnsi="Bookman Old Style" w:cs="Arial"/>
          <w:i/>
          <w:iCs/>
        </w:rPr>
        <w:t xml:space="preserve"> </w:t>
      </w:r>
      <w:r w:rsidR="00713D41" w:rsidRPr="001078C5">
        <w:rPr>
          <w:rFonts w:ascii="Bookman Old Style" w:hAnsi="Bookman Old Style" w:cs="Arial"/>
          <w:iCs/>
        </w:rPr>
        <w:t>y</w:t>
      </w:r>
      <w:r w:rsidRPr="001078C5">
        <w:rPr>
          <w:rFonts w:ascii="Bookman Old Style" w:hAnsi="Bookman Old Style" w:cs="Arial"/>
        </w:rPr>
        <w:t xml:space="preserve"> de ello no se puede deducir que hubo un consentimiento o decisión de cambio de régimen debida y suficientemente informada cuando justamente a ese momento se careció del conocimiento necesario acerca de las características, ventajas, desventajas, condiciones económicas y del mercado, del funcionamiento diferenciado de los sistemas pensionales y de las consecuencias que podría acarrear su decisión, bajo la perspectiva de sus derechos pensionales, teniendo en cuenta que, era deber de la</w:t>
      </w:r>
      <w:r w:rsidR="00866B25" w:rsidRPr="001078C5">
        <w:rPr>
          <w:rFonts w:ascii="Bookman Old Style" w:hAnsi="Bookman Old Style" w:cs="Arial"/>
        </w:rPr>
        <w:t>s</w:t>
      </w:r>
      <w:r w:rsidRPr="001078C5">
        <w:rPr>
          <w:rFonts w:ascii="Bookman Old Style" w:hAnsi="Bookman Old Style" w:cs="Arial"/>
        </w:rPr>
        <w:t xml:space="preserve"> AFP realizar un proyecto pensional, en donde se informara sobre las posibilidades de contar con un </w:t>
      </w:r>
      <w:r w:rsidRPr="001078C5">
        <w:rPr>
          <w:rFonts w:ascii="Bookman Old Style" w:hAnsi="Bookman Old Style" w:cs="Arial"/>
          <w:i/>
        </w:rPr>
        <w:t>quantum</w:t>
      </w:r>
      <w:r w:rsidRPr="001078C5">
        <w:rPr>
          <w:rFonts w:ascii="Bookman Old Style" w:hAnsi="Bookman Old Style" w:cs="Arial"/>
        </w:rPr>
        <w:t xml:space="preserve"> ajustado a las expectativas en el régimen al cual se va a trasladar, la diferencia de pagos de aportes y</w:t>
      </w:r>
      <w:r w:rsidR="00B071F5" w:rsidRPr="001078C5">
        <w:rPr>
          <w:rFonts w:ascii="Bookman Old Style" w:hAnsi="Bookman Old Style" w:cs="Arial"/>
        </w:rPr>
        <w:t>,</w:t>
      </w:r>
      <w:r w:rsidRPr="001078C5">
        <w:rPr>
          <w:rFonts w:ascii="Bookman Old Style" w:hAnsi="Bookman Old Style" w:cs="Arial"/>
        </w:rPr>
        <w:t xml:space="preserve"> como se ha reiterado, las posibles implicaciones o favorabilidades, permitiendo para el Juzgador, identificar que el traslado se efectuó con total transparencia y bajo una decisión claramente racional. </w:t>
      </w:r>
    </w:p>
    <w:p w14:paraId="42760E83" w14:textId="46177D59" w:rsidR="00BB60BF" w:rsidRPr="001078C5" w:rsidRDefault="00BB60BF" w:rsidP="001078C5">
      <w:pPr>
        <w:spacing w:line="276" w:lineRule="auto"/>
        <w:ind w:firstLine="0"/>
        <w:rPr>
          <w:rFonts w:ascii="Bookman Old Style" w:hAnsi="Bookman Old Style" w:cs="Arial"/>
        </w:rPr>
      </w:pPr>
    </w:p>
    <w:p w14:paraId="16139B6D" w14:textId="3EB8BB95" w:rsidR="00CA3608" w:rsidRPr="001078C5" w:rsidRDefault="00BB60BF" w:rsidP="001078C5">
      <w:pPr>
        <w:spacing w:line="276" w:lineRule="auto"/>
        <w:ind w:firstLine="0"/>
        <w:rPr>
          <w:rFonts w:ascii="Bookman Old Style" w:hAnsi="Bookman Old Style" w:cs="Arial"/>
        </w:rPr>
      </w:pPr>
      <w:r w:rsidRPr="001078C5">
        <w:rPr>
          <w:rFonts w:ascii="Bookman Old Style" w:hAnsi="Bookman Old Style" w:cs="Arial"/>
        </w:rPr>
        <w:t xml:space="preserve">Para auscultar si se cumplió con ese propósito, se escuchó </w:t>
      </w:r>
      <w:r w:rsidRPr="001078C5">
        <w:rPr>
          <w:rFonts w:ascii="Bookman Old Style" w:hAnsi="Bookman Old Style" w:cs="Arial"/>
          <w:b/>
        </w:rPr>
        <w:t>en interrogatorio a la parte demandante</w:t>
      </w:r>
      <w:r w:rsidRPr="001078C5">
        <w:rPr>
          <w:rFonts w:ascii="Bookman Old Style" w:hAnsi="Bookman Old Style" w:cs="Arial"/>
        </w:rPr>
        <w:t xml:space="preserve"> en lo que respecta a la información que le antecedió a la decisión de trasladarse de régimen, refirió</w:t>
      </w:r>
      <w:r w:rsidR="00A31ADD" w:rsidRPr="001078C5">
        <w:rPr>
          <w:rFonts w:ascii="Bookman Old Style" w:hAnsi="Bookman Old Style" w:cs="Arial"/>
        </w:rPr>
        <w:t xml:space="preserve"> </w:t>
      </w:r>
      <w:r w:rsidR="009D241D" w:rsidRPr="001078C5">
        <w:rPr>
          <w:rFonts w:ascii="Bookman Old Style" w:hAnsi="Bookman Old Style" w:cs="Arial"/>
        </w:rPr>
        <w:t xml:space="preserve">que </w:t>
      </w:r>
      <w:r w:rsidR="003168C5" w:rsidRPr="001078C5">
        <w:rPr>
          <w:rFonts w:ascii="Bookman Old Style" w:hAnsi="Bookman Old Style" w:cs="Arial"/>
        </w:rPr>
        <w:t>es ingeniera de sistemas y actualmente trabaja en el soporte técnico de Bancolombia. Señaló que para el momento del traslado efectuado en el año 1996 los asesores del fondo COLFONDOS arrimaron a la oficina donde laboraba y efectuaron una asesoría grupal en la cual informaron a todos los trabajadores sobre los beneficios del RAIS, les explicaron que era mejor pensionarse en el RAIS que en el Seguro Social porque la mesada sería más alta en el fondo privado, que existían mayores inversiones y rendimientos, además, el ISS se iba a acabar. Agregó que luego de la asesoría grupal, el asesor del fondo se presentó de forma individual para que firmara el formulario de afiliación sin brindar información adicional. Expresó que si bien firmó el formulario de forma libre y voluntaria</w:t>
      </w:r>
      <w:r w:rsidR="00866B25" w:rsidRPr="001078C5">
        <w:rPr>
          <w:rFonts w:ascii="Bookman Old Style" w:hAnsi="Bookman Old Style" w:cs="Arial"/>
        </w:rPr>
        <w:t xml:space="preserve">, lo cierto es, la engañaron porque contrario a lo expresado por el asesor, la mesada en el RAIS es más baja que la que obtendría en el RPM. Manifestó que luego, se trasladó a HORIZONTE hoy PORVENIR, luego a PROTECCIÓN y SKANDIA, pero, ninguna de las AFP le hizo proyecciones de la mesada pensional y solo se limitaron a indicar que cada una tenía mayores rendimientos a comparación de las otras. Advirtió que ninguna de las AFP le hizo proyecciones pensionales, ni le explicó sobre los seguros previsionales, ni la posibilidad que tenía de regresar al RPM antes de los 10 años para cumplir los 57 años. Por último, aceptó que hizo aportes voluntarios que luego retiró para comprar un inmueble. </w:t>
      </w:r>
    </w:p>
    <w:p w14:paraId="53AFAE15" w14:textId="15B64EF2" w:rsidR="00D9638B" w:rsidRPr="001078C5" w:rsidRDefault="00D9638B" w:rsidP="001078C5">
      <w:pPr>
        <w:spacing w:line="276" w:lineRule="auto"/>
        <w:ind w:firstLine="0"/>
        <w:rPr>
          <w:rFonts w:ascii="Bookman Old Style" w:hAnsi="Bookman Old Style" w:cs="Arial"/>
        </w:rPr>
      </w:pPr>
    </w:p>
    <w:p w14:paraId="47B7551E" w14:textId="61739A3C" w:rsidR="00FC0FF8" w:rsidRPr="001078C5" w:rsidRDefault="00B071F5" w:rsidP="001078C5">
      <w:pPr>
        <w:spacing w:line="276" w:lineRule="auto"/>
        <w:ind w:firstLine="0"/>
        <w:rPr>
          <w:rStyle w:val="eop"/>
          <w:rFonts w:ascii="Bookman Old Style" w:hAnsi="Bookman Old Style"/>
          <w:color w:val="000000"/>
          <w:shd w:val="clear" w:color="auto" w:fill="FFFFFF"/>
        </w:rPr>
      </w:pPr>
      <w:r w:rsidRPr="001078C5">
        <w:rPr>
          <w:rStyle w:val="normaltextrun"/>
          <w:rFonts w:ascii="Bookman Old Style" w:hAnsi="Bookman Old Style"/>
          <w:color w:val="000000"/>
          <w:shd w:val="clear" w:color="auto" w:fill="FFFFFF"/>
        </w:rPr>
        <w:t>Pues bien, se advierte que</w:t>
      </w:r>
      <w:r w:rsidR="00805633" w:rsidRPr="001078C5">
        <w:rPr>
          <w:rStyle w:val="normaltextrun"/>
          <w:rFonts w:ascii="Bookman Old Style" w:hAnsi="Bookman Old Style"/>
          <w:color w:val="000000"/>
          <w:shd w:val="clear" w:color="auto" w:fill="FFFFFF"/>
        </w:rPr>
        <w:t xml:space="preserve"> para la Sala </w:t>
      </w:r>
      <w:r w:rsidRPr="001078C5">
        <w:rPr>
          <w:rStyle w:val="normaltextrun"/>
          <w:rFonts w:ascii="Bookman Old Style" w:hAnsi="Bookman Old Style"/>
          <w:color w:val="000000"/>
          <w:shd w:val="clear" w:color="auto" w:fill="FFFFFF"/>
        </w:rPr>
        <w:t>no se encontraron manifestaciones que, conjunta o individualmente, puedan calificarse como una confesión de haber recibido la información a que estaba</w:t>
      </w:r>
      <w:r w:rsidR="00866B25" w:rsidRPr="001078C5">
        <w:rPr>
          <w:rStyle w:val="normaltextrun"/>
          <w:rFonts w:ascii="Bookman Old Style" w:hAnsi="Bookman Old Style"/>
          <w:color w:val="000000"/>
          <w:shd w:val="clear" w:color="auto" w:fill="FFFFFF"/>
        </w:rPr>
        <w:t>n</w:t>
      </w:r>
      <w:r w:rsidRPr="001078C5">
        <w:rPr>
          <w:rStyle w:val="normaltextrun"/>
          <w:rFonts w:ascii="Bookman Old Style" w:hAnsi="Bookman Old Style"/>
          <w:color w:val="000000"/>
          <w:shd w:val="clear" w:color="auto" w:fill="FFFFFF"/>
        </w:rPr>
        <w:t xml:space="preserve"> obligada</w:t>
      </w:r>
      <w:r w:rsidR="00866B25" w:rsidRPr="001078C5">
        <w:rPr>
          <w:rStyle w:val="normaltextrun"/>
          <w:rFonts w:ascii="Bookman Old Style" w:hAnsi="Bookman Old Style"/>
          <w:color w:val="000000"/>
          <w:shd w:val="clear" w:color="auto" w:fill="FFFFFF"/>
        </w:rPr>
        <w:t>s</w:t>
      </w:r>
      <w:r w:rsidRPr="001078C5">
        <w:rPr>
          <w:rStyle w:val="normaltextrun"/>
          <w:rFonts w:ascii="Bookman Old Style" w:hAnsi="Bookman Old Style"/>
          <w:color w:val="000000"/>
          <w:shd w:val="clear" w:color="auto" w:fill="FFFFFF"/>
        </w:rPr>
        <w:t xml:space="preserve"> la</w:t>
      </w:r>
      <w:r w:rsidR="00866B25" w:rsidRPr="001078C5">
        <w:rPr>
          <w:rStyle w:val="normaltextrun"/>
          <w:rFonts w:ascii="Bookman Old Style" w:hAnsi="Bookman Old Style"/>
          <w:color w:val="000000"/>
          <w:shd w:val="clear" w:color="auto" w:fill="FFFFFF"/>
        </w:rPr>
        <w:t>s</w:t>
      </w:r>
      <w:r w:rsidRPr="001078C5">
        <w:rPr>
          <w:rStyle w:val="normaltextrun"/>
          <w:rFonts w:ascii="Bookman Old Style" w:hAnsi="Bookman Old Style"/>
          <w:color w:val="000000"/>
          <w:shd w:val="clear" w:color="auto" w:fill="FFFFFF"/>
        </w:rPr>
        <w:t xml:space="preserve"> AFP en la antesala del traslado de régimen pensional, lo que implica que no cumpli</w:t>
      </w:r>
      <w:r w:rsidR="00866B25" w:rsidRPr="001078C5">
        <w:rPr>
          <w:rStyle w:val="normaltextrun"/>
          <w:rFonts w:ascii="Bookman Old Style" w:hAnsi="Bookman Old Style"/>
          <w:color w:val="000000"/>
          <w:shd w:val="clear" w:color="auto" w:fill="FFFFFF"/>
        </w:rPr>
        <w:t>eron</w:t>
      </w:r>
      <w:r w:rsidRPr="001078C5">
        <w:rPr>
          <w:rStyle w:val="normaltextrun"/>
          <w:rFonts w:ascii="Bookman Old Style" w:hAnsi="Bookman Old Style"/>
          <w:color w:val="000000"/>
          <w:shd w:val="clear" w:color="auto" w:fill="FFFFFF"/>
        </w:rPr>
        <w:t xml:space="preserve"> el debe</w:t>
      </w:r>
      <w:r w:rsidR="00866B25" w:rsidRPr="001078C5">
        <w:rPr>
          <w:rStyle w:val="normaltextrun"/>
          <w:rFonts w:ascii="Bookman Old Style" w:hAnsi="Bookman Old Style"/>
          <w:color w:val="000000"/>
          <w:shd w:val="clear" w:color="auto" w:fill="FFFFFF"/>
        </w:rPr>
        <w:t>r de asesoría, aun cuando allegaron</w:t>
      </w:r>
      <w:r w:rsidRPr="001078C5">
        <w:rPr>
          <w:rStyle w:val="normaltextrun"/>
          <w:rFonts w:ascii="Bookman Old Style" w:hAnsi="Bookman Old Style"/>
          <w:color w:val="000000"/>
          <w:shd w:val="clear" w:color="auto" w:fill="FFFFFF"/>
        </w:rPr>
        <w:t xml:space="preserve"> el formulario que se suscribió </w:t>
      </w:r>
      <w:r w:rsidR="00866B25" w:rsidRPr="001078C5">
        <w:rPr>
          <w:rStyle w:val="normaltextrun"/>
          <w:rFonts w:ascii="Bookman Old Style" w:hAnsi="Bookman Old Style"/>
          <w:color w:val="000000"/>
          <w:shd w:val="clear" w:color="auto" w:fill="FFFFFF"/>
        </w:rPr>
        <w:t xml:space="preserve">la actora </w:t>
      </w:r>
      <w:r w:rsidRPr="001078C5">
        <w:rPr>
          <w:rStyle w:val="normaltextrun"/>
          <w:rFonts w:ascii="Bookman Old Style" w:hAnsi="Bookman Old Style"/>
          <w:color w:val="000000"/>
          <w:shd w:val="clear" w:color="auto" w:fill="FFFFFF"/>
        </w:rPr>
        <w:t xml:space="preserve">de manera libre, voluntaria y sin presiones, ello no basta para concluir que </w:t>
      </w:r>
      <w:r w:rsidR="00866B25" w:rsidRPr="001078C5">
        <w:rPr>
          <w:rStyle w:val="normaltextrun"/>
          <w:rFonts w:ascii="Bookman Old Style" w:hAnsi="Bookman Old Style"/>
          <w:color w:val="000000"/>
          <w:shd w:val="clear" w:color="auto" w:fill="FFFFFF"/>
        </w:rPr>
        <w:t>asesoró en debida forma</w:t>
      </w:r>
      <w:r w:rsidRPr="001078C5">
        <w:rPr>
          <w:rStyle w:val="normaltextrun"/>
          <w:rFonts w:ascii="Bookman Old Style" w:hAnsi="Bookman Old Style"/>
          <w:color w:val="000000"/>
          <w:shd w:val="clear" w:color="auto" w:fill="FFFFFF"/>
        </w:rPr>
        <w:t>.</w:t>
      </w:r>
      <w:r w:rsidRPr="001078C5">
        <w:rPr>
          <w:rStyle w:val="eop"/>
          <w:rFonts w:ascii="Bookman Old Style" w:hAnsi="Bookman Old Style"/>
          <w:color w:val="000000"/>
          <w:shd w:val="clear" w:color="auto" w:fill="FFFFFF"/>
        </w:rPr>
        <w:t> </w:t>
      </w:r>
    </w:p>
    <w:p w14:paraId="19FB5E14" w14:textId="77777777" w:rsidR="00B071F5" w:rsidRPr="001078C5" w:rsidRDefault="00B071F5" w:rsidP="001078C5">
      <w:pPr>
        <w:spacing w:line="276" w:lineRule="auto"/>
        <w:ind w:firstLine="0"/>
        <w:rPr>
          <w:rFonts w:ascii="Bookman Old Style" w:hAnsi="Bookman Old Style" w:cs="Arial"/>
        </w:rPr>
      </w:pPr>
    </w:p>
    <w:p w14:paraId="58DD701D" w14:textId="26EA37F6" w:rsidR="00866B25"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Y es que, al analizar</w:t>
      </w:r>
      <w:r w:rsidR="00D95BEB" w:rsidRPr="001078C5">
        <w:rPr>
          <w:rFonts w:ascii="Bookman Old Style" w:hAnsi="Bookman Old Style" w:cs="Arial"/>
        </w:rPr>
        <w:t xml:space="preserve"> la totalidad</w:t>
      </w:r>
      <w:r w:rsidRPr="001078C5">
        <w:rPr>
          <w:rFonts w:ascii="Bookman Old Style" w:hAnsi="Bookman Old Style" w:cs="Arial"/>
        </w:rPr>
        <w:t xml:space="preserve"> </w:t>
      </w:r>
      <w:r w:rsidR="00D95BEB" w:rsidRPr="001078C5">
        <w:rPr>
          <w:rFonts w:ascii="Bookman Old Style" w:hAnsi="Bookman Old Style" w:cs="Arial"/>
        </w:rPr>
        <w:t>d</w:t>
      </w:r>
      <w:r w:rsidRPr="001078C5">
        <w:rPr>
          <w:rFonts w:ascii="Bookman Old Style" w:hAnsi="Bookman Old Style" w:cs="Arial"/>
        </w:rPr>
        <w:t>el caudal probatorio bajo los parámetros ya traídos a colación, no existen elementos que permitan concluir que, durante el traslado de la parte actora, l</w:t>
      </w:r>
      <w:r w:rsidR="00234859" w:rsidRPr="001078C5">
        <w:rPr>
          <w:rFonts w:ascii="Bookman Old Style" w:hAnsi="Bookman Old Style" w:cs="Arial"/>
        </w:rPr>
        <w:t>a</w:t>
      </w:r>
      <w:r w:rsidR="00866B25" w:rsidRPr="001078C5">
        <w:rPr>
          <w:rFonts w:ascii="Bookman Old Style" w:hAnsi="Bookman Old Style" w:cs="Arial"/>
        </w:rPr>
        <w:t>s</w:t>
      </w:r>
      <w:r w:rsidRPr="001078C5">
        <w:rPr>
          <w:rFonts w:ascii="Bookman Old Style" w:hAnsi="Bookman Old Style" w:cs="Arial"/>
        </w:rPr>
        <w:t xml:space="preserve"> AFP hubiere</w:t>
      </w:r>
      <w:r w:rsidR="00866B25" w:rsidRPr="001078C5">
        <w:rPr>
          <w:rFonts w:ascii="Bookman Old Style" w:hAnsi="Bookman Old Style" w:cs="Arial"/>
        </w:rPr>
        <w:t>n</w:t>
      </w:r>
      <w:r w:rsidRPr="001078C5">
        <w:rPr>
          <w:rFonts w:ascii="Bookman Old Style" w:hAnsi="Bookman Old Style" w:cs="Arial"/>
        </w:rPr>
        <w:t xml:space="preserve"> cumplido con el deber de i</w:t>
      </w:r>
      <w:r w:rsidR="00952B9A" w:rsidRPr="001078C5">
        <w:rPr>
          <w:rFonts w:ascii="Bookman Old Style" w:hAnsi="Bookman Old Style" w:cs="Arial"/>
        </w:rPr>
        <w:t>nformación que le</w:t>
      </w:r>
      <w:r w:rsidR="00866B25" w:rsidRPr="001078C5">
        <w:rPr>
          <w:rFonts w:ascii="Bookman Old Style" w:hAnsi="Bookman Old Style" w:cs="Arial"/>
        </w:rPr>
        <w:t>s</w:t>
      </w:r>
      <w:r w:rsidR="00952B9A" w:rsidRPr="001078C5">
        <w:rPr>
          <w:rFonts w:ascii="Bookman Old Style" w:hAnsi="Bookman Old Style" w:cs="Arial"/>
        </w:rPr>
        <w:t xml:space="preserve"> correspondía</w:t>
      </w:r>
      <w:r w:rsidR="00866B25" w:rsidRPr="001078C5">
        <w:rPr>
          <w:rFonts w:ascii="Bookman Old Style" w:hAnsi="Bookman Old Style" w:cs="Arial"/>
        </w:rPr>
        <w:t xml:space="preserve">, </w:t>
      </w:r>
      <w:r w:rsidR="00866B25" w:rsidRPr="001078C5">
        <w:rPr>
          <w:rStyle w:val="normaltextrun"/>
          <w:rFonts w:ascii="Bookman Old Style" w:hAnsi="Bookman Old Style"/>
          <w:color w:val="000000"/>
        </w:rPr>
        <w:t xml:space="preserve">máxime cuando </w:t>
      </w:r>
      <w:r w:rsidR="00866B25" w:rsidRPr="001078C5">
        <w:rPr>
          <w:rStyle w:val="normaltextrun"/>
          <w:rFonts w:ascii="Bookman Old Style" w:hAnsi="Bookman Old Style"/>
          <w:b/>
          <w:bCs/>
          <w:color w:val="000000"/>
        </w:rPr>
        <w:t>no tuvo ninguna reasesoría por parte de los asesores de los fondos con posterioridad al traslado de régimen y antes de que le faltaran 10 años para cumplir la edad pensional;</w:t>
      </w:r>
      <w:r w:rsidR="00866B25" w:rsidRPr="001078C5">
        <w:rPr>
          <w:rStyle w:val="normaltextrun"/>
          <w:rFonts w:ascii="Bookman Old Style" w:hAnsi="Bookman Old Style"/>
          <w:color w:val="000000"/>
        </w:rPr>
        <w:t xml:space="preserve"> en todo caso, resulta </w:t>
      </w:r>
      <w:r w:rsidR="00866B25" w:rsidRPr="001078C5">
        <w:rPr>
          <w:rFonts w:ascii="Bookman Old Style" w:hAnsi="Bookman Old Style" w:cs="Arial"/>
        </w:rPr>
        <w:t>notorio que las demandadas faltaron a su deber de «</w:t>
      </w:r>
      <w:r w:rsidR="00866B25" w:rsidRPr="001078C5">
        <w:rPr>
          <w:rFonts w:ascii="Bookman Old Style" w:hAnsi="Bookman Old Style" w:cs="Arial"/>
          <w:i/>
          <w:iCs/>
        </w:rPr>
        <w:t>información y buen consejo</w:t>
      </w:r>
      <w:r w:rsidR="00866B25" w:rsidRPr="001078C5">
        <w:rPr>
          <w:rFonts w:ascii="Bookman Old Style" w:hAnsi="Bookman Old Style" w:cs="Arial"/>
        </w:rPr>
        <w:t>», pues omitieron informar a la actora sobre las ventajas, desventajas, características, riesgos, posibilidades de pensión en cada régimen y demás aspectos que le permitiesen comprender claramente la conveniencia o inconveniencia de su decisión, condiciones que debían probar las AFP pero no lo hicieron, situación que se acompasa con lo lineado en las sentencias SL12136-2014 y SL4373-2020, entre otras.</w:t>
      </w:r>
    </w:p>
    <w:p w14:paraId="5F002A4D" w14:textId="30C6E21E" w:rsidR="006F1A4E" w:rsidRPr="001078C5" w:rsidRDefault="006F1A4E" w:rsidP="001078C5">
      <w:pPr>
        <w:spacing w:line="276" w:lineRule="auto"/>
        <w:ind w:firstLine="0"/>
        <w:rPr>
          <w:rFonts w:ascii="Bookman Old Style" w:hAnsi="Bookman Old Style"/>
          <w:i/>
        </w:rPr>
      </w:pPr>
    </w:p>
    <w:p w14:paraId="11457DE1" w14:textId="7492A478"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A lo anterior se suma, que las ob</w:t>
      </w:r>
      <w:r w:rsidR="00234859" w:rsidRPr="001078C5">
        <w:rPr>
          <w:rFonts w:ascii="Bookman Old Style" w:hAnsi="Bookman Old Style" w:cs="Arial"/>
        </w:rPr>
        <w:t>ligaciones que debía</w:t>
      </w:r>
      <w:r w:rsidR="003B61B8" w:rsidRPr="001078C5">
        <w:rPr>
          <w:rFonts w:ascii="Bookman Old Style" w:hAnsi="Bookman Old Style" w:cs="Arial"/>
        </w:rPr>
        <w:t xml:space="preserve"> observar </w:t>
      </w:r>
      <w:r w:rsidR="00234859" w:rsidRPr="001078C5">
        <w:rPr>
          <w:rFonts w:ascii="Bookman Old Style" w:hAnsi="Bookman Old Style" w:cs="Arial"/>
        </w:rPr>
        <w:t>el fondo de pensiones</w:t>
      </w:r>
      <w:r w:rsidRPr="001078C5">
        <w:rPr>
          <w:rFonts w:ascii="Bookman Old Style" w:hAnsi="Bookman Old Style" w:cs="Arial"/>
        </w:rPr>
        <w:t xml:space="preserve"> durante el tras</w:t>
      </w:r>
      <w:r w:rsidR="00234859" w:rsidRPr="001078C5">
        <w:rPr>
          <w:rFonts w:ascii="Bookman Old Style" w:hAnsi="Bookman Old Style" w:cs="Arial"/>
        </w:rPr>
        <w:t>lado de la parte accionante eran las</w:t>
      </w:r>
      <w:r w:rsidRPr="001078C5">
        <w:rPr>
          <w:rFonts w:ascii="Bookman Old Style" w:hAnsi="Bookman Old Style" w:cs="Arial"/>
        </w:rPr>
        <w:t xml:space="preserve"> contenidas en las normas del sistema vigentes a esa época. De modo q</w:t>
      </w:r>
      <w:r w:rsidR="00ED6949" w:rsidRPr="001078C5">
        <w:rPr>
          <w:rFonts w:ascii="Bookman Old Style" w:hAnsi="Bookman Old Style" w:cs="Arial"/>
        </w:rPr>
        <w:t xml:space="preserve">ue, </w:t>
      </w:r>
      <w:r w:rsidR="00952B9A" w:rsidRPr="001078C5">
        <w:rPr>
          <w:rFonts w:ascii="Bookman Old Style" w:hAnsi="Bookman Old Style" w:cs="Arial"/>
        </w:rPr>
        <w:t>a</w:t>
      </w:r>
      <w:r w:rsidR="00492AFC" w:rsidRPr="001078C5">
        <w:rPr>
          <w:rFonts w:ascii="Bookman Old Style" w:hAnsi="Bookman Old Style" w:cs="Arial"/>
        </w:rPr>
        <w:t>l ser la solicitud del año 199</w:t>
      </w:r>
      <w:r w:rsidR="006F1A4E" w:rsidRPr="001078C5">
        <w:rPr>
          <w:rFonts w:ascii="Bookman Old Style" w:hAnsi="Bookman Old Style" w:cs="Arial"/>
        </w:rPr>
        <w:t>6</w:t>
      </w:r>
      <w:r w:rsidRPr="001078C5">
        <w:rPr>
          <w:rFonts w:ascii="Bookman Old Style" w:hAnsi="Bookman Old Style" w:cs="Arial"/>
        </w:rPr>
        <w:t>, es factible pr</w:t>
      </w:r>
      <w:r w:rsidR="006D0204" w:rsidRPr="001078C5">
        <w:rPr>
          <w:rFonts w:ascii="Bookman Old Style" w:hAnsi="Bookman Old Style" w:cs="Arial"/>
        </w:rPr>
        <w:t>egonar sin vacilación que a la</w:t>
      </w:r>
      <w:r w:rsidR="00952B9A" w:rsidRPr="001078C5">
        <w:rPr>
          <w:rFonts w:ascii="Bookman Old Style" w:hAnsi="Bookman Old Style" w:cs="Arial"/>
        </w:rPr>
        <w:t xml:space="preserve"> </w:t>
      </w:r>
      <w:r w:rsidRPr="001078C5">
        <w:rPr>
          <w:rFonts w:ascii="Bookman Old Style" w:hAnsi="Bookman Old Style" w:cs="Arial"/>
        </w:rPr>
        <w:t>AFP demandada, le correspondía cumplir con el deber de información que deviene de las disposiciones constitucionales, de la Ley 100 de 1993, artículos 13, literal b), 271 y 272 y del Decreto 663 de 1993, artículo 97, según los cuales, como mínimo, debió ilustrarse a</w:t>
      </w:r>
      <w:r w:rsidR="00821E0C" w:rsidRPr="001078C5">
        <w:rPr>
          <w:rFonts w:ascii="Bookman Old Style" w:hAnsi="Bookman Old Style" w:cs="Arial"/>
        </w:rPr>
        <w:t xml:space="preserve"> la</w:t>
      </w:r>
      <w:r w:rsidRPr="001078C5">
        <w:rPr>
          <w:rFonts w:ascii="Bookman Old Style" w:hAnsi="Bookman Old Style" w:cs="Arial"/>
        </w:rPr>
        <w:t xml:space="preserve"> potencial afiliad</w:t>
      </w:r>
      <w:r w:rsidR="00821E0C" w:rsidRPr="001078C5">
        <w:rPr>
          <w:rFonts w:ascii="Bookman Old Style" w:hAnsi="Bookman Old Style" w:cs="Arial"/>
        </w:rPr>
        <w:t>a</w:t>
      </w:r>
      <w:r w:rsidRPr="001078C5">
        <w:rPr>
          <w:rFonts w:ascii="Bookman Old Style" w:hAnsi="Bookman Old Style" w:cs="Arial"/>
        </w:rPr>
        <w:t xml:space="preserve"> sobre las características, condiciones de acceso, efectos y riesgos de cada uno de los regímenes pensionales.</w:t>
      </w:r>
    </w:p>
    <w:p w14:paraId="31FAE1DA" w14:textId="77777777" w:rsidR="003073FB" w:rsidRPr="001078C5" w:rsidRDefault="003073FB" w:rsidP="001078C5">
      <w:pPr>
        <w:spacing w:line="276" w:lineRule="auto"/>
        <w:ind w:firstLine="0"/>
        <w:rPr>
          <w:rFonts w:ascii="Bookman Old Style" w:hAnsi="Bookman Old Style" w:cs="Arial"/>
        </w:rPr>
      </w:pPr>
    </w:p>
    <w:p w14:paraId="00B73C1F" w14:textId="77777777" w:rsidR="003073FB" w:rsidRPr="001078C5" w:rsidRDefault="003073FB" w:rsidP="001078C5">
      <w:pPr>
        <w:spacing w:line="276" w:lineRule="auto"/>
        <w:ind w:firstLine="0"/>
        <w:rPr>
          <w:rFonts w:ascii="Bookman Old Style" w:hAnsi="Bookman Old Style" w:cs="Arial"/>
          <w:b/>
          <w:bCs/>
          <w:u w:val="single"/>
        </w:rPr>
      </w:pPr>
      <w:r w:rsidRPr="001078C5">
        <w:rPr>
          <w:rFonts w:ascii="Bookman Old Style" w:hAnsi="Bookman Old Style" w:cs="Arial"/>
          <w:u w:val="single"/>
        </w:rPr>
        <w:t>¿</w:t>
      </w:r>
      <w:r w:rsidRPr="001078C5">
        <w:rPr>
          <w:rFonts w:ascii="Bookman Old Style" w:hAnsi="Bookman Old Style" w:cs="Arial"/>
          <w:b/>
          <w:bCs/>
          <w:u w:val="single"/>
        </w:rPr>
        <w:t>El actuar de la parte actora ratifican la voluntad de permanecer en el RAIS? ¿Era la ineficacia la acción a emprender?</w:t>
      </w:r>
    </w:p>
    <w:p w14:paraId="108A0F29" w14:textId="77777777" w:rsidR="003073FB" w:rsidRPr="001078C5" w:rsidRDefault="003073FB" w:rsidP="001078C5">
      <w:pPr>
        <w:spacing w:line="276" w:lineRule="auto"/>
        <w:ind w:firstLine="0"/>
        <w:rPr>
          <w:rFonts w:ascii="Bookman Old Style" w:hAnsi="Bookman Old Style" w:cs="Arial"/>
          <w:highlight w:val="yellow"/>
        </w:rPr>
      </w:pPr>
    </w:p>
    <w:p w14:paraId="1B745D95" w14:textId="70ADBE68"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Frente al tema, no se puede pretender que se tenga como </w:t>
      </w:r>
      <w:r w:rsidR="00ED6949" w:rsidRPr="001078C5">
        <w:rPr>
          <w:rFonts w:ascii="Bookman Old Style" w:hAnsi="Bookman Old Style" w:cs="Arial"/>
        </w:rPr>
        <w:t>ratificación</w:t>
      </w:r>
      <w:r w:rsidR="00952B9A" w:rsidRPr="001078C5">
        <w:rPr>
          <w:rFonts w:ascii="Bookman Old Style" w:hAnsi="Bookman Old Style" w:cs="Arial"/>
        </w:rPr>
        <w:t xml:space="preserve"> </w:t>
      </w:r>
      <w:r w:rsidR="00ED6949" w:rsidRPr="001078C5">
        <w:rPr>
          <w:rFonts w:ascii="Bookman Old Style" w:hAnsi="Bookman Old Style" w:cs="Arial"/>
        </w:rPr>
        <w:t xml:space="preserve">el tiempo en que </w:t>
      </w:r>
      <w:r w:rsidR="003B61B8" w:rsidRPr="001078C5">
        <w:rPr>
          <w:rFonts w:ascii="Bookman Old Style" w:hAnsi="Bookman Old Style" w:cs="Arial"/>
        </w:rPr>
        <w:t xml:space="preserve">la </w:t>
      </w:r>
      <w:r w:rsidRPr="001078C5">
        <w:rPr>
          <w:rFonts w:ascii="Bookman Old Style" w:hAnsi="Bookman Old Style" w:cs="Arial"/>
        </w:rPr>
        <w:t>demandante permaneció en el RAIS, el hecho que no se hubiese retractado de su decisión o que no hubiese manifestado la intención de regresar al régimen de prima media, antes de encontrarse inmers</w:t>
      </w:r>
      <w:r w:rsidR="003B61B8" w:rsidRPr="001078C5">
        <w:rPr>
          <w:rFonts w:ascii="Bookman Old Style" w:hAnsi="Bookman Old Style" w:cs="Arial"/>
        </w:rPr>
        <w:t>a</w:t>
      </w:r>
      <w:r w:rsidRPr="001078C5">
        <w:rPr>
          <w:rFonts w:ascii="Bookman Old Style" w:hAnsi="Bookman Old Style" w:cs="Arial"/>
        </w:rPr>
        <w:t xml:space="preserve"> en la prohibición de cambiarse de régimen, es decir</w:t>
      </w:r>
      <w:r w:rsidR="003B61B8" w:rsidRPr="001078C5">
        <w:rPr>
          <w:rFonts w:ascii="Bookman Old Style" w:hAnsi="Bookman Old Style" w:cs="Arial"/>
        </w:rPr>
        <w:t>,</w:t>
      </w:r>
      <w:r w:rsidRPr="001078C5">
        <w:rPr>
          <w:rFonts w:ascii="Bookman Old Style" w:hAnsi="Bookman Old Style" w:cs="Arial"/>
        </w:rPr>
        <w:t xml:space="preserve"> cuando faltaren menos de 10 años para acceder a la edad pensional, pues lo que se evidencia aquí es la falta de acompañamiento, y aún, ante el supuesto que esta tuviera presente dicha disposición, debe tenerse en cuenta que la falta de asesoramiento de la que fue objeto, no le permitía distinguir cual régimen era el que más le </w:t>
      </w:r>
      <w:r w:rsidR="00234859" w:rsidRPr="001078C5">
        <w:rPr>
          <w:rFonts w:ascii="Bookman Old Style" w:hAnsi="Bookman Old Style" w:cs="Arial"/>
        </w:rPr>
        <w:t>convenía, pues nunca presentó una solicitud de afiliación</w:t>
      </w:r>
      <w:r w:rsidR="00044B73" w:rsidRPr="001078C5">
        <w:rPr>
          <w:rFonts w:ascii="Bookman Old Style" w:hAnsi="Bookman Old Style" w:cs="Arial"/>
        </w:rPr>
        <w:t>.</w:t>
      </w:r>
      <w:r w:rsidR="00234859" w:rsidRPr="001078C5">
        <w:rPr>
          <w:rFonts w:ascii="Bookman Old Style" w:hAnsi="Bookman Old Style" w:cs="Arial"/>
        </w:rPr>
        <w:t xml:space="preserve"> </w:t>
      </w:r>
    </w:p>
    <w:p w14:paraId="5A36D942" w14:textId="77777777" w:rsidR="003073FB" w:rsidRPr="001078C5" w:rsidRDefault="003073FB" w:rsidP="001078C5">
      <w:pPr>
        <w:spacing w:line="276" w:lineRule="auto"/>
        <w:ind w:firstLine="0"/>
        <w:rPr>
          <w:rFonts w:ascii="Bookman Old Style" w:hAnsi="Bookman Old Style" w:cs="Arial"/>
          <w:highlight w:val="yellow"/>
        </w:rPr>
      </w:pPr>
    </w:p>
    <w:p w14:paraId="05399D0C" w14:textId="52349E91"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Aquí, se ha de precisar que la permanencia de</w:t>
      </w:r>
      <w:r w:rsidR="003B61B8" w:rsidRPr="001078C5">
        <w:rPr>
          <w:rFonts w:ascii="Bookman Old Style" w:hAnsi="Bookman Old Style" w:cs="Arial"/>
        </w:rPr>
        <w:t xml:space="preserve"> la </w:t>
      </w:r>
      <w:r w:rsidRPr="001078C5">
        <w:rPr>
          <w:rFonts w:ascii="Bookman Old Style" w:hAnsi="Bookman Old Style" w:cs="Arial"/>
        </w:rPr>
        <w:t>afiliad</w:t>
      </w:r>
      <w:r w:rsidR="003B61B8" w:rsidRPr="001078C5">
        <w:rPr>
          <w:rFonts w:ascii="Bookman Old Style" w:hAnsi="Bookman Old Style" w:cs="Arial"/>
        </w:rPr>
        <w:t>a</w:t>
      </w:r>
      <w:r w:rsidRPr="001078C5">
        <w:rPr>
          <w:rFonts w:ascii="Bookman Old Style" w:hAnsi="Bookman Old Style" w:cs="Arial"/>
        </w:rPr>
        <w:t xml:space="preserve"> por varios años, no son aspectos que derruyan las </w:t>
      </w:r>
      <w:r w:rsidR="00705E27" w:rsidRPr="001078C5">
        <w:rPr>
          <w:rFonts w:ascii="Bookman Old Style" w:hAnsi="Bookman Old Style" w:cs="Arial"/>
        </w:rPr>
        <w:t xml:space="preserve">conclusiones a las que arribó </w:t>
      </w:r>
      <w:r w:rsidR="006F1A4E" w:rsidRPr="001078C5">
        <w:rPr>
          <w:rFonts w:ascii="Bookman Old Style" w:hAnsi="Bookman Old Style" w:cs="Arial"/>
        </w:rPr>
        <w:t>el</w:t>
      </w:r>
      <w:r w:rsidRPr="001078C5">
        <w:rPr>
          <w:rFonts w:ascii="Bookman Old Style" w:hAnsi="Bookman Old Style" w:cs="Arial"/>
        </w:rPr>
        <w:t xml:space="preserve"> </w:t>
      </w:r>
      <w:r w:rsidR="00705E27" w:rsidRPr="001078C5">
        <w:rPr>
          <w:rFonts w:ascii="Bookman Old Style" w:hAnsi="Bookman Old Style" w:cs="Arial"/>
          <w:i/>
        </w:rPr>
        <w:t>a quo</w:t>
      </w:r>
      <w:r w:rsidRPr="001078C5">
        <w:rPr>
          <w:rFonts w:ascii="Bookman Old Style" w:hAnsi="Bookman Old Style" w:cs="Arial"/>
        </w:rPr>
        <w:t>, pues al tratarse de circunstancias ulteriores, no tienen incidencia alguna en los efectos asociados a la forma en que se ejecutó la afiliación primigenia con la cual se materializó el cambio de régimen pensional cuya ineficacia se debate en este proceso.</w:t>
      </w:r>
    </w:p>
    <w:p w14:paraId="0E4A8BE9" w14:textId="77777777" w:rsidR="003073FB" w:rsidRPr="001078C5" w:rsidRDefault="003073FB" w:rsidP="001078C5">
      <w:pPr>
        <w:spacing w:line="276" w:lineRule="auto"/>
        <w:ind w:firstLine="0"/>
        <w:rPr>
          <w:rFonts w:ascii="Bookman Old Style" w:hAnsi="Bookman Old Style" w:cs="Arial"/>
        </w:rPr>
      </w:pPr>
    </w:p>
    <w:p w14:paraId="5CE6261C" w14:textId="21CE948A" w:rsidR="003073FB" w:rsidRPr="001078C5" w:rsidRDefault="00CC0BF9" w:rsidP="001078C5">
      <w:pPr>
        <w:spacing w:line="276" w:lineRule="auto"/>
        <w:ind w:firstLine="0"/>
        <w:rPr>
          <w:rFonts w:ascii="Bookman Old Style" w:hAnsi="Bookman Old Style" w:cs="Arial"/>
        </w:rPr>
      </w:pPr>
      <w:r w:rsidRPr="001078C5">
        <w:rPr>
          <w:rFonts w:ascii="Bookman Old Style" w:hAnsi="Bookman Old Style" w:cs="Arial"/>
        </w:rPr>
        <w:t>Tampoco podría afirmarse</w:t>
      </w:r>
      <w:r w:rsidR="00D234AB" w:rsidRPr="001078C5">
        <w:rPr>
          <w:rFonts w:ascii="Bookman Old Style" w:hAnsi="Bookman Old Style" w:cs="Arial"/>
        </w:rPr>
        <w:t xml:space="preserve"> </w:t>
      </w:r>
      <w:r w:rsidR="00705E27" w:rsidRPr="001078C5">
        <w:rPr>
          <w:rFonts w:ascii="Bookman Old Style" w:hAnsi="Bookman Old Style" w:cs="Arial"/>
        </w:rPr>
        <w:t xml:space="preserve">que </w:t>
      </w:r>
      <w:r w:rsidR="003B61B8" w:rsidRPr="001078C5">
        <w:rPr>
          <w:rFonts w:ascii="Bookman Old Style" w:hAnsi="Bookman Old Style" w:cs="Arial"/>
        </w:rPr>
        <w:t>la</w:t>
      </w:r>
      <w:r w:rsidR="00A57DF7" w:rsidRPr="001078C5">
        <w:rPr>
          <w:rFonts w:ascii="Bookman Old Style" w:hAnsi="Bookman Old Style" w:cs="Arial"/>
        </w:rPr>
        <w:t xml:space="preserve"> </w:t>
      </w:r>
      <w:r w:rsidR="003073FB" w:rsidRPr="001078C5">
        <w:rPr>
          <w:rFonts w:ascii="Bookman Old Style" w:hAnsi="Bookman Old Style" w:cs="Arial"/>
        </w:rPr>
        <w:t>actor</w:t>
      </w:r>
      <w:r w:rsidR="003B61B8" w:rsidRPr="001078C5">
        <w:rPr>
          <w:rFonts w:ascii="Bookman Old Style" w:hAnsi="Bookman Old Style" w:cs="Arial"/>
        </w:rPr>
        <w:t>a</w:t>
      </w:r>
      <w:r w:rsidR="003073FB" w:rsidRPr="001078C5">
        <w:rPr>
          <w:rFonts w:ascii="Bookman Old Style" w:hAnsi="Bookman Old Style" w:cs="Arial"/>
        </w:rPr>
        <w:t xml:space="preserve"> hizo </w:t>
      </w:r>
      <w:r w:rsidR="003073FB" w:rsidRPr="001078C5">
        <w:rPr>
          <w:rFonts w:ascii="Bookman Old Style" w:hAnsi="Bookman Old Style" w:cs="Arial"/>
          <w:b/>
          <w:i/>
          <w:iCs/>
        </w:rPr>
        <w:t>actos de relacionamiento que convalidaron su voluntad de pertenecer al RAIS</w:t>
      </w:r>
      <w:r w:rsidR="00D234AB" w:rsidRPr="001078C5">
        <w:rPr>
          <w:rFonts w:ascii="Bookman Old Style" w:hAnsi="Bookman Old Style" w:cs="Arial"/>
          <w:b/>
        </w:rPr>
        <w:t xml:space="preserve"> </w:t>
      </w:r>
      <w:r w:rsidR="00952B9A" w:rsidRPr="001078C5">
        <w:rPr>
          <w:rFonts w:ascii="Bookman Old Style" w:hAnsi="Bookman Old Style" w:cs="Arial"/>
        </w:rPr>
        <w:t xml:space="preserve">por </w:t>
      </w:r>
      <w:r w:rsidR="00D234AB" w:rsidRPr="001078C5">
        <w:rPr>
          <w:rFonts w:ascii="Bookman Old Style" w:hAnsi="Bookman Old Style" w:cs="Arial"/>
        </w:rPr>
        <w:t>permanecer por más de 20</w:t>
      </w:r>
      <w:r w:rsidRPr="001078C5">
        <w:rPr>
          <w:rFonts w:ascii="Bookman Old Style" w:hAnsi="Bookman Old Style" w:cs="Arial"/>
        </w:rPr>
        <w:t xml:space="preserve"> años en </w:t>
      </w:r>
      <w:r w:rsidR="00D234AB" w:rsidRPr="001078C5">
        <w:rPr>
          <w:rFonts w:ascii="Bookman Old Style" w:hAnsi="Bookman Old Style" w:cs="Arial"/>
        </w:rPr>
        <w:t>dicha</w:t>
      </w:r>
      <w:r w:rsidR="003F5949" w:rsidRPr="001078C5">
        <w:rPr>
          <w:rFonts w:ascii="Bookman Old Style" w:hAnsi="Bookman Old Style" w:cs="Arial"/>
        </w:rPr>
        <w:t xml:space="preserve"> </w:t>
      </w:r>
      <w:r w:rsidR="00D234AB" w:rsidRPr="001078C5">
        <w:rPr>
          <w:rFonts w:ascii="Bookman Old Style" w:hAnsi="Bookman Old Style" w:cs="Arial"/>
        </w:rPr>
        <w:t xml:space="preserve">AFP. A </w:t>
      </w:r>
      <w:r w:rsidR="003073FB" w:rsidRPr="001078C5">
        <w:rPr>
          <w:rFonts w:ascii="Bookman Old Style" w:hAnsi="Bookman Old Style" w:cs="Arial"/>
        </w:rPr>
        <w:t>propósito de ello, es del caso traer a colación la sentencia SL1055-2022 (2-03-2022)</w:t>
      </w:r>
      <w:r w:rsidR="003073FB" w:rsidRPr="001078C5">
        <w:rPr>
          <w:rFonts w:ascii="Bookman Old Style" w:hAnsi="Bookman Old Style" w:cs="Arial"/>
          <w:vertAlign w:val="superscript"/>
        </w:rPr>
        <w:footnoteReference w:id="1"/>
      </w:r>
      <w:r w:rsidR="003073FB" w:rsidRPr="001078C5">
        <w:rPr>
          <w:rFonts w:ascii="Bookman Old Style" w:hAnsi="Bookman Old Style" w:cs="Arial"/>
        </w:rPr>
        <w:t>, que en lo pertinente recalcó:</w:t>
      </w:r>
    </w:p>
    <w:p w14:paraId="0450F06B" w14:textId="77777777" w:rsidR="003073FB" w:rsidRPr="001078C5" w:rsidRDefault="003073FB" w:rsidP="001078C5">
      <w:pPr>
        <w:spacing w:line="276" w:lineRule="auto"/>
        <w:ind w:firstLine="0"/>
        <w:rPr>
          <w:rFonts w:ascii="Bookman Old Style" w:hAnsi="Bookman Old Style" w:cs="Arial"/>
        </w:rPr>
      </w:pPr>
    </w:p>
    <w:p w14:paraId="3023F018"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 si bien en el presente asunto uno de los argumentos del accionante fue el relativo a demostrar que su pensión en prima media sería más favorable que en el RAIS, esto de ningún modo debe permitir desviar la atención a lo importante, esto es, verificar si al momento del traslado efectivo el afiliado accedió a una información clara y precisa sobre las ventajas, desventajas y riesgos de cada régimen en los términos explicados. Y tampoco difumina lo anterior el hecho de que la persona no haya retornado a prima media en los términos de ley, pues se reitera, lo que concierne a estos asuntos es constatar el obedecimiento de dicho deber legal de información, independientemente de que la persona tenga o no aquella posibilidad legal de retorno.</w:t>
      </w:r>
    </w:p>
    <w:p w14:paraId="6DBE9D89" w14:textId="77777777" w:rsidR="003073FB" w:rsidRPr="0024180D" w:rsidRDefault="003073FB" w:rsidP="0024180D">
      <w:pPr>
        <w:spacing w:line="240" w:lineRule="auto"/>
        <w:ind w:left="426" w:right="420" w:firstLine="0"/>
        <w:rPr>
          <w:rFonts w:ascii="Bookman Old Style" w:hAnsi="Bookman Old Style" w:cs="Arial"/>
          <w:i/>
          <w:iCs/>
          <w:sz w:val="22"/>
        </w:rPr>
      </w:pPr>
    </w:p>
    <w:p w14:paraId="44AE8249"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Precisamente en este punto la Corte advierte que la opositora Old Mutual S.A. sugiere que la afiliación entre regímenes privados es un acto de relacionamiento que implica su voluntad de permanecer al RAIS. Si bien el Tribunal no acudió expresamente a este argumento, lo cierto es que destacó que el afiliado tuvo la oportunidad de trasladarse en el periodo de gracia que estableció la Ley 797 de 2003 para retornar a Colpensiones y no lo hizo, lo que a su juicio ratificaba su voluntad de continuar en el RAIS.</w:t>
      </w:r>
    </w:p>
    <w:p w14:paraId="75C90B8C" w14:textId="77777777" w:rsidR="003073FB" w:rsidRPr="0024180D" w:rsidRDefault="003073FB" w:rsidP="0024180D">
      <w:pPr>
        <w:spacing w:line="240" w:lineRule="auto"/>
        <w:ind w:left="426" w:right="420" w:firstLine="0"/>
        <w:rPr>
          <w:rFonts w:ascii="Bookman Old Style" w:hAnsi="Bookman Old Style" w:cs="Arial"/>
          <w:i/>
          <w:iCs/>
          <w:sz w:val="22"/>
        </w:rPr>
      </w:pPr>
    </w:p>
    <w:p w14:paraId="3CCD02AE"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1FEC9AC4" w14:textId="77777777" w:rsidR="003073FB" w:rsidRPr="0024180D" w:rsidRDefault="003073FB" w:rsidP="0024180D">
      <w:pPr>
        <w:spacing w:line="240" w:lineRule="auto"/>
        <w:ind w:left="426" w:right="420" w:firstLine="0"/>
        <w:rPr>
          <w:rFonts w:ascii="Bookman Old Style" w:hAnsi="Bookman Old Style" w:cs="Arial"/>
          <w:i/>
          <w:iCs/>
          <w:sz w:val="22"/>
        </w:rPr>
      </w:pPr>
    </w:p>
    <w:p w14:paraId="52FA049A"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5C8F7903" w14:textId="77777777" w:rsidR="003073FB" w:rsidRPr="0024180D" w:rsidRDefault="003073FB" w:rsidP="0024180D">
      <w:pPr>
        <w:spacing w:line="240" w:lineRule="auto"/>
        <w:ind w:left="426" w:right="420" w:firstLine="0"/>
        <w:rPr>
          <w:rFonts w:ascii="Bookman Old Style" w:hAnsi="Bookman Old Style" w:cs="Arial"/>
          <w:i/>
          <w:iCs/>
          <w:sz w:val="22"/>
        </w:rPr>
      </w:pPr>
    </w:p>
    <w:p w14:paraId="0722459B"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48D4F2CC" w14:textId="77777777" w:rsidR="003073FB" w:rsidRPr="001078C5" w:rsidRDefault="003073FB" w:rsidP="001078C5">
      <w:pPr>
        <w:spacing w:line="276" w:lineRule="auto"/>
        <w:ind w:firstLine="0"/>
        <w:rPr>
          <w:rFonts w:ascii="Bookman Old Style" w:hAnsi="Bookman Old Style" w:cs="Arial"/>
          <w:highlight w:val="yellow"/>
        </w:rPr>
      </w:pPr>
    </w:p>
    <w:p w14:paraId="2C734B63" w14:textId="66BE7252" w:rsidR="003073FB" w:rsidRPr="001078C5" w:rsidRDefault="00927BA0" w:rsidP="001078C5">
      <w:pPr>
        <w:spacing w:line="276" w:lineRule="auto"/>
        <w:ind w:firstLine="0"/>
        <w:rPr>
          <w:rFonts w:ascii="Bookman Old Style" w:hAnsi="Bookman Old Style" w:cs="Arial"/>
        </w:rPr>
      </w:pPr>
      <w:r w:rsidRPr="001078C5">
        <w:rPr>
          <w:rFonts w:ascii="Bookman Old Style" w:hAnsi="Bookman Old Style" w:cs="Arial"/>
        </w:rPr>
        <w:t>Además, e</w:t>
      </w:r>
      <w:r w:rsidR="003073FB" w:rsidRPr="001078C5">
        <w:rPr>
          <w:rFonts w:ascii="Bookman Old Style" w:hAnsi="Bookman Old Style" w:cs="Arial"/>
        </w:rPr>
        <w:t>s de recalcar, que la Sala de Casación Laboral ha indicado que la sanción impuesta por el ordenamiento jurídico a la afiliación desinformada es la ineficacia o exclusión de todo efecto al traslado. Por ello, el examen del acto</w:t>
      </w:r>
      <w:r w:rsidR="00912AF7" w:rsidRPr="001078C5">
        <w:rPr>
          <w:rFonts w:ascii="Bookman Old Style" w:hAnsi="Bookman Old Style" w:cs="Arial"/>
        </w:rPr>
        <w:t xml:space="preserve"> de cambio de régimen pensional,</w:t>
      </w:r>
      <w:r w:rsidR="003073FB" w:rsidRPr="001078C5">
        <w:rPr>
          <w:rFonts w:ascii="Bookman Old Style" w:hAnsi="Bookman Old Style" w:cs="Arial"/>
        </w:rPr>
        <w:t xml:space="preserve"> por transgresión del deber de información, debe abordarse desde la institución de la ineficacia</w:t>
      </w:r>
      <w:r w:rsidR="003073FB" w:rsidRPr="001078C5">
        <w:rPr>
          <w:rFonts w:ascii="Bookman Old Style" w:hAnsi="Bookman Old Style" w:cs="Arial"/>
          <w:vertAlign w:val="superscript"/>
        </w:rPr>
        <w:footnoteReference w:id="2"/>
      </w:r>
      <w:r w:rsidR="003073FB" w:rsidRPr="001078C5">
        <w:rPr>
          <w:rFonts w:ascii="Bookman Old Style" w:hAnsi="Bookman Old Style" w:cs="Arial"/>
        </w:rPr>
        <w:t>. Sin embargo, dicho criterio es aplicable solo para el caso de afiliados, pues, en tratándose de pensionados, la alta Corporación ha definido en reciente sentencia (SL 373/2021), que la calidad de pensionad</w:t>
      </w:r>
      <w:r w:rsidR="00FD1875" w:rsidRPr="001078C5">
        <w:rPr>
          <w:rFonts w:ascii="Bookman Old Style" w:hAnsi="Bookman Old Style" w:cs="Arial"/>
        </w:rPr>
        <w:t>a</w:t>
      </w:r>
      <w:r w:rsidR="003073FB" w:rsidRPr="001078C5">
        <w:rPr>
          <w:rFonts w:ascii="Bookman Old Style" w:hAnsi="Bookman Old Style" w:cs="Arial"/>
        </w:rPr>
        <w:t xml:space="preserve"> es una situación jurídica consolidada, un hecho consumado, un estatus</w:t>
      </w:r>
      <w:r w:rsidR="00705E27" w:rsidRPr="001078C5">
        <w:rPr>
          <w:rFonts w:ascii="Bookman Old Style" w:hAnsi="Bookman Old Style" w:cs="Arial"/>
        </w:rPr>
        <w:t xml:space="preserve"> que no es razonable retrotraer</w:t>
      </w:r>
      <w:r w:rsidR="00CC0BF9" w:rsidRPr="001078C5">
        <w:rPr>
          <w:rFonts w:ascii="Bookman Old Style" w:hAnsi="Bookman Old Style" w:cs="Arial"/>
        </w:rPr>
        <w:t>. Dicha situación</w:t>
      </w:r>
      <w:r w:rsidR="003073FB" w:rsidRPr="001078C5">
        <w:rPr>
          <w:rFonts w:ascii="Bookman Old Style" w:hAnsi="Bookman Old Style" w:cs="Arial"/>
        </w:rPr>
        <w:t xml:space="preserve"> aquí no ocurre</w:t>
      </w:r>
      <w:r w:rsidR="00CC0BF9" w:rsidRPr="001078C5">
        <w:rPr>
          <w:rFonts w:ascii="Bookman Old Style" w:hAnsi="Bookman Old Style" w:cs="Arial"/>
        </w:rPr>
        <w:t xml:space="preserve">, por cuanto </w:t>
      </w:r>
      <w:r w:rsidR="003B61B8" w:rsidRPr="001078C5">
        <w:rPr>
          <w:rFonts w:ascii="Bookman Old Style" w:hAnsi="Bookman Old Style" w:cs="Arial"/>
        </w:rPr>
        <w:t>la</w:t>
      </w:r>
      <w:r w:rsidR="003073FB" w:rsidRPr="001078C5">
        <w:rPr>
          <w:rFonts w:ascii="Bookman Old Style" w:hAnsi="Bookman Old Style" w:cs="Arial"/>
        </w:rPr>
        <w:t xml:space="preserve"> demandante en la actualidad no </w:t>
      </w:r>
      <w:r w:rsidR="00CC0BF9" w:rsidRPr="001078C5">
        <w:rPr>
          <w:rFonts w:ascii="Bookman Old Style" w:hAnsi="Bookman Old Style" w:cs="Arial"/>
        </w:rPr>
        <w:t>tiene la condición de pensionad</w:t>
      </w:r>
      <w:r w:rsidR="003B61B8" w:rsidRPr="001078C5">
        <w:rPr>
          <w:rFonts w:ascii="Bookman Old Style" w:hAnsi="Bookman Old Style" w:cs="Arial"/>
        </w:rPr>
        <w:t>a</w:t>
      </w:r>
      <w:r w:rsidR="005D61AD" w:rsidRPr="001078C5">
        <w:rPr>
          <w:rFonts w:ascii="Bookman Old Style" w:hAnsi="Bookman Old Style" w:cs="Arial"/>
        </w:rPr>
        <w:t>.</w:t>
      </w:r>
    </w:p>
    <w:p w14:paraId="5E1FCF2F" w14:textId="77777777" w:rsidR="003073FB" w:rsidRPr="001078C5" w:rsidRDefault="003073FB" w:rsidP="001078C5">
      <w:pPr>
        <w:spacing w:line="276" w:lineRule="auto"/>
        <w:ind w:firstLine="0"/>
        <w:rPr>
          <w:rFonts w:ascii="Bookman Old Style" w:hAnsi="Bookman Old Style" w:cs="Arial"/>
        </w:rPr>
      </w:pPr>
    </w:p>
    <w:p w14:paraId="2B5BA00F" w14:textId="04B39217"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Conforme a lo expuesto, la ineficacia del traslado que fue decretada por </w:t>
      </w:r>
      <w:r w:rsidR="00C038D0" w:rsidRPr="001078C5">
        <w:rPr>
          <w:rFonts w:ascii="Bookman Old Style" w:hAnsi="Bookman Old Style" w:cs="Arial"/>
        </w:rPr>
        <w:t>el</w:t>
      </w:r>
      <w:r w:rsidRPr="001078C5">
        <w:rPr>
          <w:rFonts w:ascii="Bookman Old Style" w:hAnsi="Bookman Old Style" w:cs="Arial"/>
        </w:rPr>
        <w:t xml:space="preserve"> </w:t>
      </w:r>
      <w:r w:rsidRPr="001078C5">
        <w:rPr>
          <w:rFonts w:ascii="Bookman Old Style" w:hAnsi="Bookman Old Style" w:cs="Arial"/>
          <w:i/>
        </w:rPr>
        <w:t>a-quo</w:t>
      </w:r>
      <w:r w:rsidRPr="001078C5">
        <w:rPr>
          <w:rFonts w:ascii="Bookman Old Style" w:hAnsi="Bookman Old Style" w:cs="Arial"/>
        </w:rPr>
        <w:t xml:space="preserve"> se generó por</w:t>
      </w:r>
      <w:r w:rsidR="00234859" w:rsidRPr="001078C5">
        <w:rPr>
          <w:rFonts w:ascii="Bookman Old Style" w:hAnsi="Bookman Old Style" w:cs="Arial"/>
        </w:rPr>
        <w:t xml:space="preserve"> </w:t>
      </w:r>
      <w:r w:rsidR="00912AF7" w:rsidRPr="001078C5">
        <w:rPr>
          <w:rFonts w:ascii="Bookman Old Style" w:hAnsi="Bookman Old Style" w:cs="Arial"/>
        </w:rPr>
        <w:t xml:space="preserve">ineficacia </w:t>
      </w:r>
      <w:r w:rsidR="00234859" w:rsidRPr="001078C5">
        <w:rPr>
          <w:rFonts w:ascii="Bookman Old Style" w:hAnsi="Bookman Old Style" w:cs="Arial"/>
        </w:rPr>
        <w:t>en el acto jurídico y</w:t>
      </w:r>
      <w:r w:rsidR="00CC0BF9" w:rsidRPr="001078C5">
        <w:rPr>
          <w:rFonts w:ascii="Bookman Old Style" w:hAnsi="Bookman Old Style" w:cs="Arial"/>
        </w:rPr>
        <w:t xml:space="preserve"> falta de asesoría de</w:t>
      </w:r>
      <w:r w:rsidR="006D33E5" w:rsidRPr="001078C5">
        <w:rPr>
          <w:rFonts w:ascii="Bookman Old Style" w:hAnsi="Bookman Old Style" w:cs="Arial"/>
        </w:rPr>
        <w:t xml:space="preserve"> la</w:t>
      </w:r>
      <w:r w:rsidR="00CC0BF9" w:rsidRPr="001078C5">
        <w:rPr>
          <w:rFonts w:ascii="Bookman Old Style" w:hAnsi="Bookman Old Style" w:cs="Arial"/>
        </w:rPr>
        <w:t xml:space="preserve"> afiliad</w:t>
      </w:r>
      <w:r w:rsidR="006D33E5" w:rsidRPr="001078C5">
        <w:rPr>
          <w:rFonts w:ascii="Bookman Old Style" w:hAnsi="Bookman Old Style" w:cs="Arial"/>
        </w:rPr>
        <w:t>a</w:t>
      </w:r>
      <w:r w:rsidRPr="001078C5">
        <w:rPr>
          <w:rFonts w:ascii="Bookman Old Style" w:hAnsi="Bookman Old Style" w:cs="Arial"/>
        </w:rPr>
        <w:t xml:space="preserve"> al mo</w:t>
      </w:r>
      <w:r w:rsidR="00705E27" w:rsidRPr="001078C5">
        <w:rPr>
          <w:rFonts w:ascii="Bookman Old Style" w:hAnsi="Bookman Old Style" w:cs="Arial"/>
        </w:rPr>
        <w:t>mento de realizar su traslado a</w:t>
      </w:r>
      <w:r w:rsidRPr="001078C5">
        <w:rPr>
          <w:rFonts w:ascii="Bookman Old Style" w:hAnsi="Bookman Old Style" w:cs="Arial"/>
        </w:rPr>
        <w:t xml:space="preserve"> </w:t>
      </w:r>
      <w:r w:rsidR="00705E27" w:rsidRPr="001078C5">
        <w:rPr>
          <w:rFonts w:ascii="Bookman Old Style" w:hAnsi="Bookman Old Style" w:cs="Arial"/>
        </w:rPr>
        <w:t>l</w:t>
      </w:r>
      <w:r w:rsidRPr="001078C5">
        <w:rPr>
          <w:rFonts w:ascii="Bookman Old Style" w:hAnsi="Bookman Old Style" w:cs="Arial"/>
        </w:rPr>
        <w:t>a AFP</w:t>
      </w:r>
      <w:r w:rsidR="006B5472" w:rsidRPr="001078C5">
        <w:rPr>
          <w:rFonts w:ascii="Bookman Old Style" w:hAnsi="Bookman Old Style" w:cs="Arial"/>
        </w:rPr>
        <w:t xml:space="preserve">, </w:t>
      </w:r>
      <w:r w:rsidRPr="001078C5">
        <w:rPr>
          <w:rFonts w:ascii="Bookman Old Style" w:hAnsi="Bookman Old Style" w:cs="Arial"/>
        </w:rPr>
        <w:t>situación que permite su retorno al RPM</w:t>
      </w:r>
      <w:r w:rsidR="00705E27" w:rsidRPr="001078C5">
        <w:rPr>
          <w:rFonts w:ascii="Bookman Old Style" w:hAnsi="Bookman Old Style" w:cs="Arial"/>
        </w:rPr>
        <w:t>,</w:t>
      </w:r>
      <w:r w:rsidRPr="001078C5">
        <w:rPr>
          <w:rFonts w:ascii="Bookman Old Style" w:hAnsi="Bookman Old Style" w:cs="Arial"/>
        </w:rPr>
        <w:t xml:space="preserve"> independientemente que se encuentre a menos de 10 años de cumplir la edad pensional, pu</w:t>
      </w:r>
      <w:r w:rsidR="00022FE4" w:rsidRPr="001078C5">
        <w:rPr>
          <w:rFonts w:ascii="Bookman Old Style" w:hAnsi="Bookman Old Style" w:cs="Arial"/>
        </w:rPr>
        <w:t xml:space="preserve">es ello no impide el retorno </w:t>
      </w:r>
      <w:r w:rsidRPr="001078C5">
        <w:rPr>
          <w:rFonts w:ascii="Bookman Old Style" w:hAnsi="Bookman Old Style" w:cs="Arial"/>
        </w:rPr>
        <w:t>al RPMPD porque no se está frente a un nuevo traslado sino frente a una declaratoria de ineficacia del primigenio que retrotrae las cosas al estado original.</w:t>
      </w:r>
    </w:p>
    <w:p w14:paraId="75182129" w14:textId="77777777" w:rsidR="003073FB" w:rsidRPr="001078C5" w:rsidRDefault="003073FB" w:rsidP="001078C5">
      <w:pPr>
        <w:spacing w:line="276" w:lineRule="auto"/>
        <w:ind w:firstLine="0"/>
        <w:rPr>
          <w:rFonts w:ascii="Bookman Old Style" w:hAnsi="Bookman Old Style" w:cs="Arial"/>
        </w:rPr>
      </w:pPr>
    </w:p>
    <w:p w14:paraId="39BD0733" w14:textId="2DB350BE"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Con todo, al no tener vocación de prosperidad los argumentos esbozados </w:t>
      </w:r>
      <w:r w:rsidR="00C71192" w:rsidRPr="001078C5">
        <w:rPr>
          <w:rFonts w:ascii="Bookman Old Style" w:hAnsi="Bookman Old Style" w:cs="Arial"/>
        </w:rPr>
        <w:t>por las AFP apelantes</w:t>
      </w:r>
      <w:r w:rsidR="003F5949" w:rsidRPr="001078C5">
        <w:rPr>
          <w:rFonts w:ascii="Bookman Old Style" w:hAnsi="Bookman Old Style" w:cs="Arial"/>
        </w:rPr>
        <w:t>, se deberá confirma</w:t>
      </w:r>
      <w:r w:rsidR="00410952" w:rsidRPr="001078C5">
        <w:rPr>
          <w:rFonts w:ascii="Bookman Old Style" w:hAnsi="Bookman Old Style" w:cs="Arial"/>
        </w:rPr>
        <w:t>r la ineficacia declarada por el</w:t>
      </w:r>
      <w:r w:rsidR="003F5949" w:rsidRPr="001078C5">
        <w:rPr>
          <w:rFonts w:ascii="Bookman Old Style" w:hAnsi="Bookman Old Style" w:cs="Arial"/>
        </w:rPr>
        <w:t xml:space="preserve"> </w:t>
      </w:r>
      <w:r w:rsidR="003F5949" w:rsidRPr="001078C5">
        <w:rPr>
          <w:rFonts w:ascii="Bookman Old Style" w:hAnsi="Bookman Old Style" w:cs="Arial"/>
          <w:i/>
        </w:rPr>
        <w:t>a quo</w:t>
      </w:r>
      <w:r w:rsidR="003F5949" w:rsidRPr="001078C5">
        <w:rPr>
          <w:rFonts w:ascii="Bookman Old Style" w:hAnsi="Bookman Old Style" w:cs="Arial"/>
        </w:rPr>
        <w:t xml:space="preserve"> de</w:t>
      </w:r>
      <w:r w:rsidR="00912AF7" w:rsidRPr="001078C5">
        <w:rPr>
          <w:rFonts w:ascii="Bookman Old Style" w:hAnsi="Bookman Old Style" w:cs="Arial"/>
        </w:rPr>
        <w:t>l</w:t>
      </w:r>
      <w:r w:rsidR="003F5949" w:rsidRPr="001078C5">
        <w:rPr>
          <w:rFonts w:ascii="Bookman Old Style" w:hAnsi="Bookman Old Style" w:cs="Arial"/>
        </w:rPr>
        <w:t xml:space="preserve"> traslado</w:t>
      </w:r>
      <w:r w:rsidR="00912AF7" w:rsidRPr="001078C5">
        <w:rPr>
          <w:rFonts w:ascii="Bookman Old Style" w:hAnsi="Bookman Old Style" w:cs="Arial"/>
        </w:rPr>
        <w:t>.</w:t>
      </w:r>
      <w:r w:rsidR="00412279" w:rsidRPr="001078C5">
        <w:rPr>
          <w:rFonts w:ascii="Bookman Old Style" w:hAnsi="Bookman Old Style" w:cs="Arial"/>
        </w:rPr>
        <w:t xml:space="preserve"> Sin embargo, se deberá ADICIONAR a la sentencia en lo referente a declarar la ineficacia de los traslados efectuados a PORVENIR el 24 de mayo de 2001, a PROTECCIÓN el 29 de septiembre de 2007, a SKANDIA el 27 de febrero de 2013 y a PROTECCIÓN el 29 de agosto de 2013.</w:t>
      </w:r>
    </w:p>
    <w:p w14:paraId="27232616" w14:textId="0A78E41A" w:rsidR="00410952" w:rsidRPr="001078C5" w:rsidRDefault="00410952" w:rsidP="001078C5">
      <w:pPr>
        <w:spacing w:line="276" w:lineRule="auto"/>
        <w:ind w:firstLine="0"/>
        <w:rPr>
          <w:rFonts w:ascii="Bookman Old Style" w:hAnsi="Bookman Old Style" w:cs="Arial"/>
        </w:rPr>
      </w:pPr>
    </w:p>
    <w:p w14:paraId="166948C2" w14:textId="77777777" w:rsidR="003073FB" w:rsidRPr="001078C5" w:rsidRDefault="003073FB" w:rsidP="001078C5">
      <w:pPr>
        <w:spacing w:line="276" w:lineRule="auto"/>
        <w:ind w:firstLine="0"/>
        <w:rPr>
          <w:rFonts w:ascii="Bookman Old Style" w:hAnsi="Bookman Old Style" w:cs="Arial"/>
          <w:b/>
        </w:rPr>
      </w:pPr>
      <w:r w:rsidRPr="001078C5">
        <w:rPr>
          <w:rFonts w:ascii="Bookman Old Style" w:hAnsi="Bookman Old Style" w:cs="Arial"/>
          <w:b/>
        </w:rPr>
        <w:t>De las condenas impuestas en la sentencia y grado de consulta en lo no recurrido.</w:t>
      </w:r>
    </w:p>
    <w:p w14:paraId="6018F54B" w14:textId="77777777" w:rsidR="003073FB" w:rsidRPr="001078C5" w:rsidRDefault="003073FB" w:rsidP="001078C5">
      <w:pPr>
        <w:spacing w:line="276" w:lineRule="auto"/>
        <w:ind w:firstLine="0"/>
        <w:rPr>
          <w:rFonts w:ascii="Bookman Old Style" w:hAnsi="Bookman Old Style" w:cs="Arial"/>
          <w:highlight w:val="yellow"/>
        </w:rPr>
      </w:pPr>
    </w:p>
    <w:p w14:paraId="38872EA4" w14:textId="60EC8696"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Resp</w:t>
      </w:r>
      <w:r w:rsidR="006D33E5" w:rsidRPr="001078C5">
        <w:rPr>
          <w:rFonts w:ascii="Bookman Old Style" w:hAnsi="Bookman Old Style" w:cs="Arial"/>
        </w:rPr>
        <w:t xml:space="preserve">ecto </w:t>
      </w:r>
      <w:r w:rsidRPr="001078C5">
        <w:rPr>
          <w:rFonts w:ascii="Bookman Old Style" w:hAnsi="Bookman Old Style" w:cs="Arial"/>
        </w:rPr>
        <w:t>a la orden de devolución de los gastos de adm</w:t>
      </w:r>
      <w:r w:rsidR="0036061A" w:rsidRPr="001078C5">
        <w:rPr>
          <w:rFonts w:ascii="Bookman Old Style" w:hAnsi="Bookman Old Style" w:cs="Arial"/>
        </w:rPr>
        <w:t xml:space="preserve">inistración y demás emolumentos </w:t>
      </w:r>
      <w:r w:rsidR="00D76CA2" w:rsidRPr="001078C5">
        <w:rPr>
          <w:rFonts w:ascii="Bookman Old Style" w:hAnsi="Bookman Old Style" w:cs="Arial"/>
        </w:rPr>
        <w:t xml:space="preserve">por parte de </w:t>
      </w:r>
      <w:r w:rsidR="00E12055" w:rsidRPr="001078C5">
        <w:rPr>
          <w:rFonts w:ascii="Bookman Old Style" w:hAnsi="Bookman Old Style" w:cs="Arial"/>
        </w:rPr>
        <w:t>la AFP demandada</w:t>
      </w:r>
      <w:r w:rsidR="00D76CA2" w:rsidRPr="001078C5">
        <w:rPr>
          <w:rFonts w:ascii="Bookman Old Style" w:hAnsi="Bookman Old Style" w:cs="Arial"/>
        </w:rPr>
        <w:t>,</w:t>
      </w:r>
      <w:r w:rsidRPr="001078C5">
        <w:rPr>
          <w:rFonts w:ascii="Bookman Old Style" w:hAnsi="Bookman Old Style" w:cs="Arial"/>
        </w:rPr>
        <w:t xml:space="preserve"> se ha de indicar que la consecuencia de la declaración de ineficacia del traslado es que la afiliación se retrotrae al estado en que se en</w:t>
      </w:r>
      <w:r w:rsidR="00CC0BF9" w:rsidRPr="001078C5">
        <w:rPr>
          <w:rFonts w:ascii="Bookman Old Style" w:hAnsi="Bookman Old Style" w:cs="Arial"/>
        </w:rPr>
        <w:t>contraba, lo que implica que la</w:t>
      </w:r>
      <w:r w:rsidR="006933C7" w:rsidRPr="001078C5">
        <w:rPr>
          <w:rFonts w:ascii="Bookman Old Style" w:hAnsi="Bookman Old Style" w:cs="Arial"/>
        </w:rPr>
        <w:t>s</w:t>
      </w:r>
      <w:r w:rsidR="00CC0BF9" w:rsidRPr="001078C5">
        <w:rPr>
          <w:rFonts w:ascii="Bookman Old Style" w:hAnsi="Bookman Old Style" w:cs="Arial"/>
        </w:rPr>
        <w:t xml:space="preserve"> AFP debe</w:t>
      </w:r>
      <w:r w:rsidR="006933C7" w:rsidRPr="001078C5">
        <w:rPr>
          <w:rFonts w:ascii="Bookman Old Style" w:hAnsi="Bookman Old Style" w:cs="Arial"/>
        </w:rPr>
        <w:t>n</w:t>
      </w:r>
      <w:r w:rsidRPr="001078C5">
        <w:rPr>
          <w:rFonts w:ascii="Bookman Old Style" w:hAnsi="Bookman Old Style" w:cs="Arial"/>
        </w:rPr>
        <w:t xml:space="preserve"> devolver todos los valores recibidos con </w:t>
      </w:r>
      <w:r w:rsidR="00E12055" w:rsidRPr="001078C5">
        <w:rPr>
          <w:rFonts w:ascii="Bookman Old Style" w:hAnsi="Bookman Old Style" w:cs="Arial"/>
        </w:rPr>
        <w:t>motivo de la afiliación como lo</w:t>
      </w:r>
      <w:r w:rsidRPr="001078C5">
        <w:rPr>
          <w:rFonts w:ascii="Bookman Old Style" w:hAnsi="Bookman Old Style" w:cs="Arial"/>
        </w:rPr>
        <w:t xml:space="preserve"> dispone el artículo 1746 del C.C, incluidos los gastos de administración, conforme a la línea jurisprudencial trazada por la Sala de Casación Laboral de la CSJ entre otras, en sentencias SL17595-2017, CSJSL4989-2018, y en sentencia del 8 de septiembre de 2008, rad. 31989, en la que se dijo:</w:t>
      </w:r>
    </w:p>
    <w:p w14:paraId="35150EBD" w14:textId="77777777" w:rsidR="003073FB" w:rsidRPr="001078C5" w:rsidRDefault="003073FB" w:rsidP="001078C5">
      <w:pPr>
        <w:spacing w:line="276" w:lineRule="auto"/>
        <w:ind w:firstLine="0"/>
        <w:rPr>
          <w:rFonts w:ascii="Bookman Old Style" w:hAnsi="Bookman Old Style" w:cs="Arial"/>
        </w:rPr>
      </w:pPr>
    </w:p>
    <w:p w14:paraId="03E3353E"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w:t>
      </w:r>
    </w:p>
    <w:p w14:paraId="3E7E3110" w14:textId="77777777" w:rsidR="003073FB" w:rsidRPr="001078C5" w:rsidRDefault="003073FB" w:rsidP="001078C5">
      <w:pPr>
        <w:spacing w:line="276" w:lineRule="auto"/>
        <w:ind w:firstLine="0"/>
        <w:rPr>
          <w:rFonts w:ascii="Bookman Old Style" w:hAnsi="Bookman Old Style" w:cs="Arial"/>
        </w:rPr>
      </w:pPr>
    </w:p>
    <w:p w14:paraId="0A2D0CBB" w14:textId="6CF42313"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Lo anterior</w:t>
      </w:r>
      <w:r w:rsidR="00B56F68" w:rsidRPr="001078C5">
        <w:rPr>
          <w:rFonts w:ascii="Bookman Old Style" w:hAnsi="Bookman Old Style" w:cs="Arial"/>
        </w:rPr>
        <w:t>,</w:t>
      </w:r>
      <w:r w:rsidRPr="001078C5">
        <w:rPr>
          <w:rFonts w:ascii="Bookman Old Style" w:hAnsi="Bookman Old Style" w:cs="Arial"/>
        </w:rPr>
        <w:t xml:space="preserve"> </w:t>
      </w:r>
      <w:r w:rsidR="00912AF7" w:rsidRPr="001078C5">
        <w:rPr>
          <w:rFonts w:ascii="Bookman Old Style" w:hAnsi="Bookman Old Style" w:cs="Arial"/>
        </w:rPr>
        <w:t xml:space="preserve">obliga a </w:t>
      </w:r>
      <w:r w:rsidR="00E12055" w:rsidRPr="001078C5">
        <w:rPr>
          <w:rFonts w:ascii="Bookman Old Style" w:hAnsi="Bookman Old Style" w:cs="Arial"/>
        </w:rPr>
        <w:t>la</w:t>
      </w:r>
      <w:r w:rsidR="006933C7" w:rsidRPr="001078C5">
        <w:rPr>
          <w:rFonts w:ascii="Bookman Old Style" w:hAnsi="Bookman Old Style" w:cs="Arial"/>
        </w:rPr>
        <w:t>s</w:t>
      </w:r>
      <w:r w:rsidR="006D33E5" w:rsidRPr="001078C5">
        <w:rPr>
          <w:rFonts w:ascii="Bookman Old Style" w:hAnsi="Bookman Old Style" w:cs="Arial"/>
        </w:rPr>
        <w:t xml:space="preserve"> AFP</w:t>
      </w:r>
      <w:r w:rsidR="00912AF7" w:rsidRPr="001078C5">
        <w:rPr>
          <w:rFonts w:ascii="Bookman Old Style" w:hAnsi="Bookman Old Style" w:cs="Arial"/>
        </w:rPr>
        <w:t xml:space="preserve"> a tras</w:t>
      </w:r>
      <w:r w:rsidRPr="001078C5">
        <w:rPr>
          <w:rFonts w:ascii="Bookman Old Style" w:hAnsi="Bookman Old Style" w:cs="Arial"/>
        </w:rPr>
        <w:t>ladar todos los dineros que por concepto de aportes y rendimientos se hubieren producido y que hacen parte de la</w:t>
      </w:r>
      <w:r w:rsidR="00ED6949" w:rsidRPr="001078C5">
        <w:rPr>
          <w:rFonts w:ascii="Bookman Old Style" w:hAnsi="Bookman Old Style" w:cs="Arial"/>
        </w:rPr>
        <w:t xml:space="preserve"> c</w:t>
      </w:r>
      <w:r w:rsidR="006D33E5" w:rsidRPr="001078C5">
        <w:rPr>
          <w:rFonts w:ascii="Bookman Old Style" w:hAnsi="Bookman Old Style" w:cs="Arial"/>
        </w:rPr>
        <w:t>uenta de ahorro individual de la</w:t>
      </w:r>
      <w:r w:rsidRPr="001078C5">
        <w:rPr>
          <w:rFonts w:ascii="Bookman Old Style" w:hAnsi="Bookman Old Style" w:cs="Arial"/>
        </w:rPr>
        <w:t xml:space="preserve"> accionante, además de los valores que </w:t>
      </w:r>
      <w:r w:rsidR="0038198A" w:rsidRPr="001078C5">
        <w:rPr>
          <w:rFonts w:ascii="Bookman Old Style" w:hAnsi="Bookman Old Style" w:cs="Arial"/>
        </w:rPr>
        <w:t>cobró</w:t>
      </w:r>
      <w:r w:rsidRPr="001078C5">
        <w:rPr>
          <w:rFonts w:ascii="Bookman Old Style" w:hAnsi="Bookman Old Style" w:cs="Arial"/>
        </w:rPr>
        <w:t xml:space="preserve"> a título de cuotas de administración y comisiones, incluidos los aportes destinados para el fondo de garantía de pensión mínima y los valores utilizados en seguros previsionales de invalidez y sobrevivencia, debidamente indexados, con cargo a sus propios recursos, pues todos estos deberán ser abonados en el fondo común que administra </w:t>
      </w:r>
      <w:r w:rsidR="005E0D01" w:rsidRPr="001078C5">
        <w:rPr>
          <w:rFonts w:ascii="Bookman Old Style" w:hAnsi="Bookman Old Style" w:cs="Arial"/>
        </w:rPr>
        <w:t>COLPENSIONES</w:t>
      </w:r>
      <w:r w:rsidRPr="001078C5">
        <w:rPr>
          <w:rFonts w:ascii="Bookman Old Style" w:hAnsi="Bookman Old Style" w:cs="Arial"/>
        </w:rPr>
        <w:t xml:space="preserve"> y utilizados para la financiación de la pensión de vejez de la parte demandante (SL1421-2019, SL1688-2019, SL2877-2020, SL4141-2021, SL3611-2021, entre otras más). </w:t>
      </w:r>
    </w:p>
    <w:p w14:paraId="7D4E1435" w14:textId="77777777" w:rsidR="003073FB" w:rsidRPr="001078C5" w:rsidRDefault="003073FB" w:rsidP="001078C5">
      <w:pPr>
        <w:spacing w:line="276" w:lineRule="auto"/>
        <w:ind w:firstLine="0"/>
        <w:rPr>
          <w:rFonts w:ascii="Bookman Old Style" w:hAnsi="Bookman Old Style" w:cs="Arial"/>
        </w:rPr>
      </w:pPr>
    </w:p>
    <w:p w14:paraId="376A30E3" w14:textId="56C82D46" w:rsidR="003073FB" w:rsidRPr="001078C5" w:rsidRDefault="006D33E5" w:rsidP="001078C5">
      <w:pPr>
        <w:spacing w:line="276" w:lineRule="auto"/>
        <w:ind w:firstLine="0"/>
        <w:rPr>
          <w:rFonts w:ascii="Bookman Old Style" w:hAnsi="Bookman Old Style" w:cs="Arial"/>
        </w:rPr>
      </w:pPr>
      <w:r w:rsidRPr="001078C5">
        <w:rPr>
          <w:rFonts w:ascii="Bookman Old Style" w:hAnsi="Bookman Old Style" w:cs="Arial"/>
        </w:rPr>
        <w:t xml:space="preserve">Acorde con lo dicho, resulta pertinente </w:t>
      </w:r>
      <w:r w:rsidR="003073FB" w:rsidRPr="001078C5">
        <w:rPr>
          <w:rFonts w:ascii="Bookman Old Style" w:hAnsi="Bookman Old Style" w:cs="Arial"/>
        </w:rPr>
        <w:t>traer a colación el reciente pronunciamiento de la Sala de Casación Laboral, sentencia SL1017-2022 M.P. Dr. Gerardo Botero Zuluaga, así:</w:t>
      </w:r>
    </w:p>
    <w:p w14:paraId="7FE24336" w14:textId="77777777" w:rsidR="003073FB" w:rsidRPr="001078C5" w:rsidRDefault="003073FB" w:rsidP="001078C5">
      <w:pPr>
        <w:spacing w:line="276" w:lineRule="auto"/>
        <w:jc w:val="center"/>
        <w:rPr>
          <w:rFonts w:ascii="Bookman Old Style" w:eastAsia="Bookman Old Style" w:hAnsi="Bookman Old Style" w:cs="Arial"/>
          <w:b/>
          <w:bCs/>
          <w:color w:val="FF0000"/>
          <w:lang w:val="es-ES"/>
        </w:rPr>
      </w:pPr>
    </w:p>
    <w:p w14:paraId="26396B26"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 xml:space="preserve">“… al declararse la ineficacia del traslado las cosas vuelven a su estado anterior, de manera que las administradoras tienen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Los costos de administración del sistema general de pensiones permitirán una comisión razonable a las administradoras y se determinarán en la forma prevista en la presente Ley.   </w:t>
      </w:r>
    </w:p>
    <w:p w14:paraId="03D06674"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 xml:space="preserve">   </w:t>
      </w:r>
    </w:p>
    <w:p w14:paraId="6CF714DA" w14:textId="77777777" w:rsidR="003073FB" w:rsidRPr="0024180D" w:rsidRDefault="003073FB"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Por tal razón, esa declaratoria obliga a las entidades del RAIS a devolver todos los recursos acumulados en la cuenta de ahorro individual del titular, ya que los mismos serán utilizados para la financiación de la prestación pensional a que tenga derecho el afiliado en el régimen de prima media con prestación definida. Ello, incluye el reintegro a Colpensiones del saldo de la cuenta individual, sus rendimientos y los bonos pensionales, los valores cobrados por los fondos privados a título de gastos de administración y comisiones, incluidos los aportes para el fondo de garantía de pensión mínima y las primas de los seguros previsionales, sumas debidamente indexadas, pues, desde el nacimiento del acto ineficaz, estos recursos han debido ingresar al RPMPD administrado por Colpensiones (CSJ SL2877-2020)”.</w:t>
      </w:r>
    </w:p>
    <w:p w14:paraId="5DE7EF8C" w14:textId="77777777" w:rsidR="003073FB" w:rsidRPr="001078C5" w:rsidRDefault="003073FB" w:rsidP="001078C5">
      <w:pPr>
        <w:spacing w:line="276" w:lineRule="auto"/>
        <w:ind w:firstLine="0"/>
        <w:rPr>
          <w:rFonts w:ascii="Bookman Old Style" w:hAnsi="Bookman Old Style" w:cs="Arial"/>
        </w:rPr>
      </w:pPr>
    </w:p>
    <w:p w14:paraId="26BA3654" w14:textId="6CF27008" w:rsidR="00476258" w:rsidRPr="001078C5" w:rsidRDefault="00476258" w:rsidP="001078C5">
      <w:pPr>
        <w:spacing w:line="276" w:lineRule="auto"/>
        <w:ind w:firstLine="0"/>
        <w:rPr>
          <w:rFonts w:ascii="Bookman Old Style" w:hAnsi="Bookman Old Style" w:cs="Arial"/>
        </w:rPr>
      </w:pPr>
      <w:r w:rsidRPr="001078C5">
        <w:rPr>
          <w:rFonts w:ascii="Bookman Old Style" w:hAnsi="Bookman Old Style" w:cs="Arial"/>
        </w:rPr>
        <w:t>Así las cosas, es de concluir que no tiene</w:t>
      </w:r>
      <w:r w:rsidR="006933C7" w:rsidRPr="001078C5">
        <w:rPr>
          <w:rFonts w:ascii="Bookman Old Style" w:hAnsi="Bookman Old Style" w:cs="Arial"/>
        </w:rPr>
        <w:t>n</w:t>
      </w:r>
      <w:r w:rsidRPr="001078C5">
        <w:rPr>
          <w:rFonts w:ascii="Bookman Old Style" w:hAnsi="Bookman Old Style" w:cs="Arial"/>
        </w:rPr>
        <w:t xml:space="preserve"> vocación de prosperidad los argumentos planteados por las recurrentes, lo cual amerita confirmar las órdenes impartidas en la sentencia.</w:t>
      </w:r>
    </w:p>
    <w:p w14:paraId="50C30823" w14:textId="77777777" w:rsidR="00476258" w:rsidRPr="001078C5" w:rsidRDefault="00476258" w:rsidP="001078C5">
      <w:pPr>
        <w:spacing w:line="276" w:lineRule="auto"/>
        <w:ind w:firstLine="0"/>
        <w:rPr>
          <w:rFonts w:ascii="Bookman Old Style" w:hAnsi="Bookman Old Style" w:cs="Arial"/>
        </w:rPr>
      </w:pPr>
    </w:p>
    <w:p w14:paraId="3C5C17D1" w14:textId="77777777" w:rsidR="00DE6E92" w:rsidRPr="001078C5" w:rsidRDefault="00DE6E92" w:rsidP="001078C5">
      <w:pPr>
        <w:spacing w:line="276" w:lineRule="auto"/>
        <w:ind w:firstLine="0"/>
        <w:rPr>
          <w:rFonts w:ascii="Bookman Old Style" w:hAnsi="Bookman Old Style" w:cs="Arial"/>
          <w:b/>
          <w:bCs/>
        </w:rPr>
      </w:pPr>
      <w:r w:rsidRPr="001078C5">
        <w:rPr>
          <w:rFonts w:ascii="Bookman Old Style" w:hAnsi="Bookman Old Style" w:cs="Arial"/>
          <w:b/>
          <w:bCs/>
        </w:rPr>
        <w:t xml:space="preserve">Del bono pensional </w:t>
      </w:r>
    </w:p>
    <w:p w14:paraId="4457859D" w14:textId="77777777" w:rsidR="003073FB" w:rsidRPr="001078C5" w:rsidRDefault="003073FB" w:rsidP="001078C5">
      <w:pPr>
        <w:spacing w:line="276" w:lineRule="auto"/>
        <w:ind w:firstLine="0"/>
        <w:rPr>
          <w:rFonts w:ascii="Bookman Old Style" w:hAnsi="Bookman Old Style" w:cs="Arial"/>
        </w:rPr>
      </w:pPr>
    </w:p>
    <w:p w14:paraId="24368726" w14:textId="65FEFEB3" w:rsidR="00C038D0" w:rsidRPr="001078C5" w:rsidRDefault="00C038D0" w:rsidP="001078C5">
      <w:pPr>
        <w:spacing w:line="276" w:lineRule="auto"/>
        <w:ind w:firstLine="0"/>
        <w:rPr>
          <w:rFonts w:ascii="Bookman Old Style" w:hAnsi="Bookman Old Style" w:cs="Arial"/>
          <w:iCs/>
        </w:rPr>
      </w:pPr>
      <w:r w:rsidRPr="001078C5">
        <w:rPr>
          <w:rFonts w:ascii="Bookman Old Style" w:hAnsi="Bookman Old Style" w:cs="Arial"/>
        </w:rPr>
        <w:t xml:space="preserve">Respecto del bono, como quiera que la fecha estimada de redención normal de dicho instrumento data del </w:t>
      </w:r>
      <w:r w:rsidR="004D5B54" w:rsidRPr="001078C5">
        <w:rPr>
          <w:rFonts w:ascii="Bookman Old Style" w:hAnsi="Bookman Old Style" w:cs="Arial"/>
        </w:rPr>
        <w:t>03 de julio de 2020 (fl.365, anexo11)</w:t>
      </w:r>
      <w:r w:rsidRPr="001078C5">
        <w:rPr>
          <w:rFonts w:ascii="Bookman Old Style" w:hAnsi="Bookman Old Style" w:cs="Arial"/>
        </w:rPr>
        <w:t xml:space="preserve">, se deberá </w:t>
      </w:r>
      <w:r w:rsidRPr="001078C5">
        <w:rPr>
          <w:rFonts w:ascii="Bookman Old Style" w:hAnsi="Bookman Old Style" w:cs="Arial"/>
          <w:b/>
        </w:rPr>
        <w:t>ADICIONAR</w:t>
      </w:r>
      <w:r w:rsidRPr="001078C5">
        <w:rPr>
          <w:rFonts w:ascii="Bookman Old Style" w:hAnsi="Bookman Old Style" w:cs="Arial"/>
        </w:rPr>
        <w:t xml:space="preserve"> la providencia, a fin de ordenar comunicar a la Oficina de Bonos Pensionales del Ministerio de Hacienda y Crédito Público de la decisión aquí adoptada, además, la orden que</w:t>
      </w:r>
      <w:r w:rsidRPr="001078C5">
        <w:rPr>
          <w:rFonts w:ascii="Bookman Old Style" w:hAnsi="Bookman Old Style" w:cs="Arial"/>
          <w:iCs/>
        </w:rPr>
        <w:t xml:space="preserve"> en el evento de haberse pagado el bono anticipadamente a favor de la </w:t>
      </w:r>
      <w:r w:rsidRPr="001078C5">
        <w:rPr>
          <w:rFonts w:ascii="Bookman Old Style" w:hAnsi="Bookman Old Style" w:cs="Arial"/>
        </w:rPr>
        <w:t>cuenta de ahorro individual, la AFP PROTECCIÓN S.A. deberá Restituir la suma que</w:t>
      </w:r>
      <w:r w:rsidRPr="001078C5">
        <w:rPr>
          <w:rFonts w:ascii="Bookman Old Style" w:hAnsi="Bookman Old Style" w:cs="Arial"/>
          <w:iCs/>
        </w:rPr>
        <w:t xml:space="preserve"> hubiese sido pagada por la OBP del Ministerio de Hacienda y Crédito Público, debidamente actualizada a valor presente, debiendo cancelarse dicha indexación, con los recursos propios de dicha AFP. </w:t>
      </w:r>
    </w:p>
    <w:p w14:paraId="7EB23EE0" w14:textId="17230440" w:rsidR="00F313F7" w:rsidRPr="001078C5" w:rsidRDefault="00F313F7" w:rsidP="001078C5">
      <w:pPr>
        <w:spacing w:line="276" w:lineRule="auto"/>
        <w:ind w:firstLine="0"/>
        <w:rPr>
          <w:rFonts w:ascii="Bookman Old Style" w:hAnsi="Bookman Old Style" w:cs="Arial"/>
        </w:rPr>
      </w:pPr>
    </w:p>
    <w:p w14:paraId="41427C28" w14:textId="38268148" w:rsidR="00F313F7" w:rsidRPr="001078C5" w:rsidRDefault="00C038D0" w:rsidP="001078C5">
      <w:pPr>
        <w:spacing w:line="276" w:lineRule="auto"/>
        <w:ind w:firstLine="0"/>
        <w:rPr>
          <w:rFonts w:ascii="Bookman Old Style" w:hAnsi="Bookman Old Style" w:cs="Arial"/>
        </w:rPr>
      </w:pPr>
      <w:r w:rsidRPr="001078C5">
        <w:rPr>
          <w:rFonts w:ascii="Bookman Old Style" w:hAnsi="Bookman Old Style" w:cs="Arial"/>
        </w:rPr>
        <w:t>Ahora</w:t>
      </w:r>
      <w:r w:rsidR="00F313F7" w:rsidRPr="001078C5">
        <w:rPr>
          <w:rFonts w:ascii="Bookman Old Style" w:hAnsi="Bookman Old Style" w:cs="Arial"/>
        </w:rPr>
        <w:t>, al revisar la sentencia, específicamente el ordinal Segundo se dispuso:</w:t>
      </w:r>
    </w:p>
    <w:p w14:paraId="2EA1E712" w14:textId="77777777" w:rsidR="00F313F7" w:rsidRPr="001078C5" w:rsidRDefault="00F313F7" w:rsidP="001078C5">
      <w:pPr>
        <w:spacing w:line="276" w:lineRule="auto"/>
        <w:ind w:firstLine="0"/>
        <w:rPr>
          <w:rFonts w:ascii="Bookman Old Style" w:hAnsi="Bookman Old Style" w:cs="Arial"/>
          <w:highlight w:val="yellow"/>
        </w:rPr>
      </w:pPr>
    </w:p>
    <w:p w14:paraId="142A5D88" w14:textId="3B31A6BC" w:rsidR="00F313F7" w:rsidRPr="0024180D" w:rsidRDefault="00F313F7" w:rsidP="0024180D">
      <w:pPr>
        <w:spacing w:line="240" w:lineRule="auto"/>
        <w:ind w:left="426" w:right="420" w:firstLine="0"/>
        <w:rPr>
          <w:rFonts w:ascii="Bookman Old Style" w:hAnsi="Bookman Old Style" w:cs="Arial"/>
          <w:i/>
          <w:iCs/>
          <w:sz w:val="22"/>
        </w:rPr>
      </w:pPr>
      <w:r w:rsidRPr="0024180D">
        <w:rPr>
          <w:rFonts w:ascii="Bookman Old Style" w:hAnsi="Bookman Old Style" w:cs="Arial"/>
          <w:i/>
          <w:iCs/>
          <w:sz w:val="22"/>
        </w:rPr>
        <w:t>“</w:t>
      </w:r>
      <w:r w:rsidR="004D5B54" w:rsidRPr="0024180D">
        <w:rPr>
          <w:rFonts w:ascii="Bookman Old Style" w:hAnsi="Bookman Old Style" w:cs="Arial"/>
          <w:i/>
          <w:iCs/>
          <w:sz w:val="22"/>
        </w:rPr>
        <w:t xml:space="preserve">SEGUNDO. ORDENAR a Protección S.A, como administradora actual de pensiones, que en el término improrrogable de un (1) mes contado a partir de la ejecutoria de esta providencia, proceda a normalizar la afiliación en el Sistema de Información de Administradoras de Fondos de Pensiones –SIAFP, trasladar con cargo a sus propios recursos si es necesario, las cotizaciones, rendimientos financieros, </w:t>
      </w:r>
      <w:r w:rsidR="004D5B54" w:rsidRPr="0024180D">
        <w:rPr>
          <w:rFonts w:ascii="Bookman Old Style" w:hAnsi="Bookman Old Style" w:cs="Arial"/>
          <w:b/>
          <w:i/>
          <w:iCs/>
          <w:sz w:val="22"/>
        </w:rPr>
        <w:t>bonos pensionales</w:t>
      </w:r>
      <w:r w:rsidR="004D5B54" w:rsidRPr="0024180D">
        <w:rPr>
          <w:rFonts w:ascii="Bookman Old Style" w:hAnsi="Bookman Old Style" w:cs="Arial"/>
          <w:i/>
          <w:iCs/>
          <w:sz w:val="22"/>
        </w:rPr>
        <w:t>, comisiones, gastos de administración, valores utilizados en los seguros previsionales, los emolumentos destinados a constituir el fonde de garantía de pensión mínima, debidamente indexados a la ADMINISTRADORA COLOMBIANA DE PENSIONES – COLPENSIONES, y entregar el archivo del detalle de aportes realizados durante la permanencia en el RAIS.</w:t>
      </w:r>
      <w:r w:rsidRPr="0024180D">
        <w:rPr>
          <w:rFonts w:ascii="Bookman Old Style" w:hAnsi="Bookman Old Style" w:cs="Arial"/>
          <w:i/>
          <w:iCs/>
          <w:sz w:val="22"/>
        </w:rPr>
        <w:t>”. (Negrilla fuera de texto)</w:t>
      </w:r>
    </w:p>
    <w:p w14:paraId="3852E287" w14:textId="77777777" w:rsidR="00F313F7" w:rsidRPr="001078C5" w:rsidRDefault="00F313F7" w:rsidP="001078C5">
      <w:pPr>
        <w:spacing w:line="276" w:lineRule="auto"/>
        <w:ind w:left="708" w:firstLine="0"/>
        <w:rPr>
          <w:rFonts w:ascii="Bookman Old Style" w:hAnsi="Bookman Old Style" w:cs="Arial"/>
          <w:highlight w:val="yellow"/>
        </w:rPr>
      </w:pPr>
    </w:p>
    <w:p w14:paraId="3566BBE1" w14:textId="0FB5F28F" w:rsidR="00F313F7" w:rsidRPr="001078C5" w:rsidRDefault="00F313F7" w:rsidP="001078C5">
      <w:pPr>
        <w:spacing w:line="276" w:lineRule="auto"/>
        <w:ind w:firstLine="0"/>
        <w:rPr>
          <w:rFonts w:ascii="Bookman Old Style" w:hAnsi="Bookman Old Style" w:cs="Arial"/>
        </w:rPr>
      </w:pPr>
      <w:r w:rsidRPr="001078C5">
        <w:rPr>
          <w:rFonts w:ascii="Bookman Old Style" w:hAnsi="Bookman Old Style" w:cs="Arial"/>
        </w:rPr>
        <w:t xml:space="preserve">Como se observa, dicho ordinal </w:t>
      </w:r>
      <w:r w:rsidR="00152EE8" w:rsidRPr="001078C5">
        <w:rPr>
          <w:rFonts w:ascii="Bookman Old Style" w:hAnsi="Bookman Old Style" w:cs="Arial"/>
        </w:rPr>
        <w:t>se deberá MODIFICAR</w:t>
      </w:r>
      <w:r w:rsidRPr="001078C5">
        <w:rPr>
          <w:rFonts w:ascii="Bookman Old Style" w:hAnsi="Bookman Old Style" w:cs="Arial"/>
        </w:rPr>
        <w:t xml:space="preserve"> porque se hizo alusión a la devolución del bono pensional que, </w:t>
      </w:r>
      <w:r w:rsidR="00C038D0" w:rsidRPr="001078C5">
        <w:rPr>
          <w:rFonts w:ascii="Bookman Old Style" w:hAnsi="Bookman Old Style" w:cs="Arial"/>
        </w:rPr>
        <w:t>pues</w:t>
      </w:r>
      <w:r w:rsidRPr="001078C5">
        <w:rPr>
          <w:rFonts w:ascii="Bookman Old Style" w:hAnsi="Bookman Old Style" w:cs="Arial"/>
        </w:rPr>
        <w:t xml:space="preserve"> dicha orden debía ser comunicada a la Oficina de Bonos Pensionales del Ministerio de Hacienda y Crédito Pública que es la encargada de emitir y liquidar los bonos. </w:t>
      </w:r>
    </w:p>
    <w:p w14:paraId="19433523" w14:textId="77777777" w:rsidR="00E12055" w:rsidRPr="001078C5" w:rsidRDefault="00E12055" w:rsidP="001078C5">
      <w:pPr>
        <w:spacing w:line="276" w:lineRule="auto"/>
        <w:ind w:right="284"/>
        <w:rPr>
          <w:rFonts w:ascii="Bookman Old Style" w:eastAsia="Bookman Old Style" w:hAnsi="Bookman Old Style" w:cs="Arial"/>
        </w:rPr>
      </w:pPr>
    </w:p>
    <w:p w14:paraId="7F12B2C1" w14:textId="7E5F2B91" w:rsidR="00C41494" w:rsidRPr="001078C5" w:rsidRDefault="00C41494" w:rsidP="001078C5">
      <w:pPr>
        <w:spacing w:line="276" w:lineRule="auto"/>
        <w:ind w:firstLine="0"/>
        <w:rPr>
          <w:rFonts w:ascii="Bookman Old Style" w:hAnsi="Bookman Old Style" w:cs="Arial"/>
          <w:b/>
          <w:bCs/>
        </w:rPr>
      </w:pPr>
      <w:r w:rsidRPr="001078C5">
        <w:rPr>
          <w:rFonts w:ascii="Bookman Old Style" w:hAnsi="Bookman Old Style" w:cs="Arial"/>
          <w:b/>
          <w:bCs/>
        </w:rPr>
        <w:t>De la imposición de costas.</w:t>
      </w:r>
    </w:p>
    <w:p w14:paraId="01492C88" w14:textId="77777777" w:rsidR="00D95BEB" w:rsidRPr="001078C5" w:rsidRDefault="00D95BEB" w:rsidP="001078C5">
      <w:pPr>
        <w:spacing w:line="276" w:lineRule="auto"/>
        <w:ind w:firstLine="0"/>
        <w:rPr>
          <w:rFonts w:ascii="Bookman Old Style" w:hAnsi="Bookman Old Style" w:cs="Arial"/>
        </w:rPr>
      </w:pPr>
    </w:p>
    <w:p w14:paraId="3EE586A8" w14:textId="02D32ED3" w:rsidR="00C038D0" w:rsidRPr="001078C5" w:rsidRDefault="00C038D0" w:rsidP="001078C5">
      <w:pPr>
        <w:spacing w:line="276" w:lineRule="auto"/>
        <w:ind w:firstLine="0"/>
        <w:rPr>
          <w:rFonts w:ascii="Bookman Old Style" w:hAnsi="Bookman Old Style" w:cs="Arial"/>
        </w:rPr>
      </w:pPr>
      <w:r w:rsidRPr="001078C5">
        <w:rPr>
          <w:rFonts w:ascii="Bookman Old Style" w:hAnsi="Bookman Old Style" w:cs="Arial"/>
        </w:rPr>
        <w:t xml:space="preserve">Como quiera que se resolvió de forma desfavorable el recurso de apelación interpuesto por </w:t>
      </w:r>
      <w:r w:rsidRPr="001078C5">
        <w:rPr>
          <w:rFonts w:ascii="Bookman Old Style" w:hAnsi="Bookman Old Style" w:cs="Arial"/>
          <w:b/>
          <w:bCs/>
        </w:rPr>
        <w:t>COLPENSIONES</w:t>
      </w:r>
      <w:r w:rsidR="00412279" w:rsidRPr="001078C5">
        <w:rPr>
          <w:rFonts w:ascii="Bookman Old Style" w:hAnsi="Bookman Old Style" w:cs="Arial"/>
          <w:b/>
          <w:bCs/>
        </w:rPr>
        <w:t>, PORVENIR S.A. y SKANDIA S.A.</w:t>
      </w:r>
      <w:r w:rsidRPr="001078C5">
        <w:rPr>
          <w:rFonts w:ascii="Bookman Old Style" w:hAnsi="Bookman Old Style" w:cs="Arial"/>
          <w:b/>
          <w:bCs/>
        </w:rPr>
        <w:t xml:space="preserve"> </w:t>
      </w:r>
      <w:r w:rsidRPr="001078C5">
        <w:rPr>
          <w:rFonts w:ascii="Bookman Old Style" w:hAnsi="Bookman Old Style" w:cs="Arial"/>
        </w:rPr>
        <w:t>se le</w:t>
      </w:r>
      <w:r w:rsidR="00412279" w:rsidRPr="001078C5">
        <w:rPr>
          <w:rFonts w:ascii="Bookman Old Style" w:hAnsi="Bookman Old Style" w:cs="Arial"/>
        </w:rPr>
        <w:t>s</w:t>
      </w:r>
      <w:r w:rsidRPr="001078C5">
        <w:rPr>
          <w:rFonts w:ascii="Bookman Old Style" w:hAnsi="Bookman Old Style" w:cs="Arial"/>
        </w:rPr>
        <w:t xml:space="preserve"> im</w:t>
      </w:r>
      <w:r w:rsidR="00412279" w:rsidRPr="001078C5">
        <w:rPr>
          <w:rFonts w:ascii="Bookman Old Style" w:hAnsi="Bookman Old Style" w:cs="Arial"/>
        </w:rPr>
        <w:t>pondrá costas en esta instancia en favor de la demandante.</w:t>
      </w:r>
    </w:p>
    <w:p w14:paraId="39089F14" w14:textId="77777777" w:rsidR="00AD5BA9" w:rsidRPr="001078C5" w:rsidRDefault="00AD5BA9" w:rsidP="001078C5">
      <w:pPr>
        <w:spacing w:line="276" w:lineRule="auto"/>
        <w:ind w:firstLine="0"/>
        <w:rPr>
          <w:rFonts w:ascii="Bookman Old Style" w:hAnsi="Bookman Old Style" w:cs="Arial"/>
        </w:rPr>
      </w:pPr>
    </w:p>
    <w:p w14:paraId="2301E992" w14:textId="5B35C663" w:rsidR="003073FB" w:rsidRPr="001078C5" w:rsidRDefault="00AD5BA9" w:rsidP="001078C5">
      <w:pPr>
        <w:spacing w:line="276" w:lineRule="auto"/>
        <w:ind w:firstLine="0"/>
        <w:rPr>
          <w:rFonts w:ascii="Bookman Old Style" w:hAnsi="Bookman Old Style" w:cs="Arial"/>
          <w:b/>
        </w:rPr>
      </w:pPr>
      <w:r w:rsidRPr="001078C5">
        <w:rPr>
          <w:rFonts w:ascii="Bookman Old Style" w:hAnsi="Bookman Old Style" w:cs="Arial"/>
        </w:rPr>
        <w:t>P</w:t>
      </w:r>
      <w:r w:rsidR="003073FB" w:rsidRPr="001078C5">
        <w:rPr>
          <w:rFonts w:ascii="Bookman Old Style" w:hAnsi="Bookman Old Style" w:cs="Arial"/>
        </w:rPr>
        <w:t>or lo expuesto</w:t>
      </w:r>
      <w:r w:rsidR="00AF0141" w:rsidRPr="001078C5">
        <w:rPr>
          <w:rFonts w:ascii="Bookman Old Style" w:hAnsi="Bookman Old Style" w:cs="Arial"/>
          <w:b/>
        </w:rPr>
        <w:t>,</w:t>
      </w:r>
      <w:r w:rsidR="003073FB" w:rsidRPr="001078C5">
        <w:rPr>
          <w:rFonts w:ascii="Bookman Old Style" w:hAnsi="Bookman Old Style" w:cs="Arial"/>
          <w:b/>
        </w:rPr>
        <w:t xml:space="preserve"> la Sala de Decisión Laboral del Tribunal Superior del Distrito Judicial de Pereira, </w:t>
      </w:r>
      <w:r w:rsidR="003073FB" w:rsidRPr="001078C5">
        <w:rPr>
          <w:rFonts w:ascii="Bookman Old Style" w:hAnsi="Bookman Old Style" w:cs="Arial"/>
        </w:rPr>
        <w:t>administrando justicia en nombre de la República y por autoridad de la ley</w:t>
      </w:r>
      <w:r w:rsidR="003073FB" w:rsidRPr="001078C5">
        <w:rPr>
          <w:rFonts w:ascii="Bookman Old Style" w:hAnsi="Bookman Old Style" w:cs="Arial"/>
          <w:b/>
        </w:rPr>
        <w:t>.</w:t>
      </w:r>
    </w:p>
    <w:p w14:paraId="1B6A5444" w14:textId="77777777" w:rsidR="003073FB" w:rsidRPr="001078C5" w:rsidRDefault="003073FB" w:rsidP="001078C5">
      <w:pPr>
        <w:spacing w:line="276" w:lineRule="auto"/>
        <w:ind w:firstLine="0"/>
        <w:rPr>
          <w:rFonts w:ascii="Bookman Old Style" w:hAnsi="Bookman Old Style" w:cs="Arial"/>
        </w:rPr>
      </w:pPr>
    </w:p>
    <w:p w14:paraId="592F8074" w14:textId="77777777" w:rsidR="003073FB" w:rsidRPr="001078C5" w:rsidRDefault="003073FB" w:rsidP="001078C5">
      <w:pPr>
        <w:spacing w:line="276" w:lineRule="auto"/>
        <w:ind w:firstLine="0"/>
        <w:jc w:val="center"/>
        <w:rPr>
          <w:rFonts w:ascii="Bookman Old Style" w:hAnsi="Bookman Old Style" w:cs="Arial"/>
        </w:rPr>
      </w:pPr>
      <w:r w:rsidRPr="001078C5">
        <w:rPr>
          <w:rFonts w:ascii="Bookman Old Style" w:hAnsi="Bookman Old Style" w:cs="Arial"/>
          <w:b/>
        </w:rPr>
        <w:t>RESUELVE:</w:t>
      </w:r>
    </w:p>
    <w:p w14:paraId="0D09B413" w14:textId="77777777" w:rsidR="00A8283C" w:rsidRPr="001078C5" w:rsidRDefault="00A8283C" w:rsidP="001078C5">
      <w:pPr>
        <w:spacing w:line="276" w:lineRule="auto"/>
        <w:ind w:right="284" w:firstLine="0"/>
        <w:rPr>
          <w:rFonts w:ascii="Bookman Old Style" w:hAnsi="Bookman Old Style" w:cs="Arial"/>
        </w:rPr>
      </w:pPr>
    </w:p>
    <w:p w14:paraId="1AAF624B" w14:textId="3E7F5E71" w:rsidR="00F313F7" w:rsidRPr="001078C5" w:rsidRDefault="00A8283C" w:rsidP="001078C5">
      <w:pPr>
        <w:spacing w:line="276" w:lineRule="auto"/>
        <w:ind w:firstLine="0"/>
        <w:rPr>
          <w:rFonts w:ascii="Bookman Old Style" w:eastAsia="Bookman Old Style" w:hAnsi="Bookman Old Style" w:cs="Bookman Old Style"/>
          <w:bCs/>
        </w:rPr>
      </w:pPr>
      <w:r w:rsidRPr="001078C5">
        <w:rPr>
          <w:rFonts w:ascii="Bookman Old Style" w:eastAsia="Bookman Old Style" w:hAnsi="Bookman Old Style" w:cs="Bookman Old Style"/>
          <w:b/>
          <w:bCs/>
        </w:rPr>
        <w:t>PRIMERO</w:t>
      </w:r>
      <w:r w:rsidR="007F6CA1" w:rsidRPr="001078C5">
        <w:rPr>
          <w:rFonts w:ascii="Bookman Old Style" w:eastAsia="Bookman Old Style" w:hAnsi="Bookman Old Style" w:cs="Bookman Old Style"/>
          <w:b/>
          <w:bCs/>
        </w:rPr>
        <w:t xml:space="preserve">: </w:t>
      </w:r>
      <w:r w:rsidR="00F313F7" w:rsidRPr="001078C5">
        <w:rPr>
          <w:rFonts w:ascii="Bookman Old Style" w:eastAsia="Bookman Old Style" w:hAnsi="Bookman Old Style" w:cs="Bookman Old Style"/>
          <w:b/>
          <w:bCs/>
        </w:rPr>
        <w:t xml:space="preserve">MODIFICAR </w:t>
      </w:r>
      <w:r w:rsidR="00F313F7" w:rsidRPr="001078C5">
        <w:rPr>
          <w:rFonts w:ascii="Bookman Old Style" w:eastAsia="Bookman Old Style" w:hAnsi="Bookman Old Style" w:cs="Bookman Old Style"/>
          <w:bCs/>
        </w:rPr>
        <w:t>el numeral Segundo de la sentencia de primera instancia, que quedará así:</w:t>
      </w:r>
    </w:p>
    <w:p w14:paraId="35EF997A" w14:textId="43DFAFD1" w:rsidR="00F313F7" w:rsidRPr="001078C5" w:rsidRDefault="00F313F7" w:rsidP="001078C5">
      <w:pPr>
        <w:spacing w:line="276" w:lineRule="auto"/>
        <w:ind w:firstLine="0"/>
        <w:rPr>
          <w:rFonts w:ascii="Bookman Old Style" w:eastAsia="Bookman Old Style" w:hAnsi="Bookman Old Style" w:cs="Bookman Old Style"/>
          <w:bCs/>
        </w:rPr>
      </w:pPr>
    </w:p>
    <w:p w14:paraId="7A3473A0" w14:textId="71CE4794" w:rsidR="00F313F7" w:rsidRPr="001078C5" w:rsidRDefault="00F313F7" w:rsidP="0024180D">
      <w:pPr>
        <w:spacing w:line="276" w:lineRule="auto"/>
        <w:ind w:left="426" w:right="420" w:firstLine="0"/>
        <w:rPr>
          <w:rFonts w:ascii="Bookman Old Style" w:hAnsi="Bookman Old Style" w:cs="Arial"/>
          <w:i/>
        </w:rPr>
      </w:pPr>
      <w:r w:rsidRPr="001078C5">
        <w:rPr>
          <w:rFonts w:ascii="Bookman Old Style" w:hAnsi="Bookman Old Style" w:cs="Arial"/>
          <w:i/>
        </w:rPr>
        <w:t>“</w:t>
      </w:r>
      <w:r w:rsidR="004D5B54" w:rsidRPr="001078C5">
        <w:rPr>
          <w:rFonts w:ascii="Bookman Old Style" w:hAnsi="Bookman Old Style" w:cs="Arial"/>
          <w:i/>
          <w:iCs/>
        </w:rPr>
        <w:t>SEGUNDO. ORDENAR a Protección S.A, como administradora actual de pensiones, que en el término improrrogable de un (1) mes contado a partir de la ejecutoria de esta providencia, proceda a normalizar la afiliación en el Sistema de Información de Administradoras de Fondos de Pensiones –SIAFP, trasladar con cargo a sus propios recursos si es necesario, las cotizaciones, rendimientos financieros, gastos de administración, valores utilizados en los seguros previsionales, los emolumentos destinados a constituir el fondo de garantía de pensión mínima, debidamente indexados a la ADMINISTRADORA COLOMBIANA DE PENSIONES – COLPENSIONES, y entregar el archivo del detalle de aportes realizados durante la permanencia en el RAIS</w:t>
      </w:r>
      <w:r w:rsidRPr="001078C5">
        <w:rPr>
          <w:rFonts w:ascii="Bookman Old Style" w:hAnsi="Bookman Old Style" w:cs="Arial"/>
          <w:i/>
        </w:rPr>
        <w:t>.”.</w:t>
      </w:r>
    </w:p>
    <w:p w14:paraId="4B60F56E" w14:textId="61B44E1B" w:rsidR="00C038D0" w:rsidRPr="001078C5" w:rsidRDefault="00C038D0" w:rsidP="001078C5">
      <w:pPr>
        <w:spacing w:line="276" w:lineRule="auto"/>
        <w:ind w:firstLine="0"/>
        <w:rPr>
          <w:rFonts w:ascii="Bookman Old Style" w:hAnsi="Bookman Old Style" w:cs="Arial"/>
          <w:i/>
        </w:rPr>
      </w:pPr>
    </w:p>
    <w:p w14:paraId="7C255D45" w14:textId="7E5FB85D" w:rsidR="00412279" w:rsidRPr="001078C5" w:rsidRDefault="00C038D0" w:rsidP="001078C5">
      <w:pPr>
        <w:spacing w:line="276" w:lineRule="auto"/>
        <w:ind w:firstLine="0"/>
        <w:rPr>
          <w:rFonts w:ascii="Bookman Old Style" w:hAnsi="Bookman Old Style" w:cs="Arial"/>
          <w:b/>
        </w:rPr>
      </w:pPr>
      <w:r w:rsidRPr="001078C5">
        <w:rPr>
          <w:rFonts w:ascii="Bookman Old Style" w:hAnsi="Bookman Old Style" w:cs="Arial"/>
          <w:b/>
        </w:rPr>
        <w:t>SEGUNDO:</w:t>
      </w:r>
      <w:r w:rsidR="00412279" w:rsidRPr="001078C5">
        <w:rPr>
          <w:rFonts w:ascii="Bookman Old Style" w:hAnsi="Bookman Old Style" w:cs="Arial"/>
          <w:b/>
        </w:rPr>
        <w:t xml:space="preserve"> ADICIONAR</w:t>
      </w:r>
      <w:r w:rsidR="00412279" w:rsidRPr="001078C5">
        <w:rPr>
          <w:rFonts w:ascii="Bookman Old Style" w:hAnsi="Bookman Old Style" w:cs="Arial"/>
        </w:rPr>
        <w:t xml:space="preserve"> a la sentencia de primera instancia, para DECLARAR la ineficacia de los traslados efectuados a PORVENIR el 24 de mayo de 2001, a PROTECCIÓN el 29 de septiembre de 2007, a SKANDIA el 27 de febrero de 2013 y a PROTECCIÓN el 29 de agosto de 2013.</w:t>
      </w:r>
    </w:p>
    <w:p w14:paraId="5B5FBA1E" w14:textId="77777777" w:rsidR="00412279" w:rsidRPr="001078C5" w:rsidRDefault="00412279" w:rsidP="001078C5">
      <w:pPr>
        <w:spacing w:line="276" w:lineRule="auto"/>
        <w:ind w:firstLine="0"/>
        <w:rPr>
          <w:rFonts w:ascii="Bookman Old Style" w:hAnsi="Bookman Old Style" w:cs="Arial"/>
          <w:b/>
        </w:rPr>
      </w:pPr>
    </w:p>
    <w:p w14:paraId="64DE977A" w14:textId="7301E5E4" w:rsidR="00C038D0" w:rsidRPr="001078C5" w:rsidRDefault="00412279" w:rsidP="001078C5">
      <w:pPr>
        <w:spacing w:line="276" w:lineRule="auto"/>
        <w:ind w:firstLine="0"/>
        <w:rPr>
          <w:rFonts w:ascii="Bookman Old Style" w:hAnsi="Bookman Old Style" w:cs="Arial"/>
          <w:b/>
          <w:bCs/>
        </w:rPr>
      </w:pPr>
      <w:r w:rsidRPr="001078C5">
        <w:rPr>
          <w:rFonts w:ascii="Bookman Old Style" w:hAnsi="Bookman Old Style" w:cs="Arial"/>
          <w:b/>
        </w:rPr>
        <w:t xml:space="preserve">TERCERO: </w:t>
      </w:r>
      <w:r w:rsidR="00C038D0" w:rsidRPr="001078C5">
        <w:rPr>
          <w:rFonts w:ascii="Bookman Old Style" w:hAnsi="Bookman Old Style" w:cs="Arial"/>
          <w:b/>
        </w:rPr>
        <w:t xml:space="preserve">ADICIONAR </w:t>
      </w:r>
      <w:r w:rsidR="00C038D0" w:rsidRPr="001078C5">
        <w:rPr>
          <w:rFonts w:ascii="Bookman Old Style" w:hAnsi="Bookman Old Style" w:cs="Arial"/>
        </w:rPr>
        <w:t xml:space="preserve">la sentencia apelada y consultada, para </w:t>
      </w:r>
      <w:r w:rsidR="00C038D0" w:rsidRPr="001078C5">
        <w:rPr>
          <w:rFonts w:ascii="Bookman Old Style" w:hAnsi="Bookman Old Style" w:cs="Arial"/>
          <w:b/>
        </w:rPr>
        <w:t xml:space="preserve">ORDENAR </w:t>
      </w:r>
      <w:r w:rsidR="00C038D0" w:rsidRPr="001078C5">
        <w:rPr>
          <w:rFonts w:ascii="Bookman Old Style" w:hAnsi="Bookman Old Style" w:cs="Arial"/>
        </w:rPr>
        <w:t xml:space="preserve">que se comunique a la Oficina de Bonos Pensionales del Ministerio de Hacienda y Crédito Público de la decisión aquí adoptada, a fin de retrotraer las cosas al estado en el que se encontraban al momento en que la demandante se cambió de régimen y en el evento de haberse pagado anticipadamente el bono, la </w:t>
      </w:r>
      <w:r w:rsidR="00C038D0" w:rsidRPr="001078C5">
        <w:rPr>
          <w:rFonts w:ascii="Bookman Old Style" w:hAnsi="Bookman Old Style" w:cs="Arial"/>
          <w:b/>
        </w:rPr>
        <w:t>PROTECCIÓN S.A.</w:t>
      </w:r>
      <w:r w:rsidR="00C038D0" w:rsidRPr="001078C5">
        <w:rPr>
          <w:rFonts w:ascii="Bookman Old Style" w:hAnsi="Bookman Old Style" w:cs="Arial"/>
        </w:rPr>
        <w:t xml:space="preserve"> deberá restituir la suma pagada por la OBP, debidamente indexada y con cargo a sus propios recursos.</w:t>
      </w:r>
    </w:p>
    <w:p w14:paraId="6D662916" w14:textId="77777777" w:rsidR="00F313F7" w:rsidRPr="001078C5" w:rsidRDefault="00F313F7" w:rsidP="001078C5">
      <w:pPr>
        <w:spacing w:line="276" w:lineRule="auto"/>
        <w:ind w:firstLine="0"/>
        <w:rPr>
          <w:rFonts w:ascii="Bookman Old Style" w:eastAsia="Bookman Old Style" w:hAnsi="Bookman Old Style" w:cs="Bookman Old Style"/>
          <w:b/>
          <w:bCs/>
        </w:rPr>
      </w:pPr>
    </w:p>
    <w:p w14:paraId="40AE2BE7" w14:textId="677D82EC" w:rsidR="003073FB" w:rsidRPr="001078C5" w:rsidRDefault="00412279" w:rsidP="001078C5">
      <w:pPr>
        <w:spacing w:line="276" w:lineRule="auto"/>
        <w:ind w:firstLine="0"/>
        <w:rPr>
          <w:rFonts w:ascii="Bookman Old Style" w:eastAsia="Bookman Old Style" w:hAnsi="Bookman Old Style" w:cs="Bookman Old Style"/>
          <w:b/>
          <w:bCs/>
        </w:rPr>
      </w:pPr>
      <w:r w:rsidRPr="001078C5">
        <w:rPr>
          <w:rFonts w:ascii="Bookman Old Style" w:hAnsi="Bookman Old Style" w:cs="Arial"/>
          <w:b/>
          <w:bCs/>
        </w:rPr>
        <w:t>CUARTO</w:t>
      </w:r>
      <w:r w:rsidR="00F313F7" w:rsidRPr="001078C5">
        <w:rPr>
          <w:rFonts w:ascii="Bookman Old Style" w:hAnsi="Bookman Old Style" w:cs="Arial"/>
          <w:b/>
          <w:bCs/>
        </w:rPr>
        <w:t xml:space="preserve">: </w:t>
      </w:r>
      <w:r w:rsidR="003073FB" w:rsidRPr="001078C5">
        <w:rPr>
          <w:rFonts w:ascii="Bookman Old Style" w:hAnsi="Bookman Old Style" w:cs="Arial"/>
          <w:b/>
          <w:bCs/>
        </w:rPr>
        <w:t>CONFIRMAR</w:t>
      </w:r>
      <w:r w:rsidR="3058F59B" w:rsidRPr="001078C5">
        <w:rPr>
          <w:rFonts w:ascii="Bookman Old Style" w:hAnsi="Bookman Old Style" w:cs="Arial"/>
          <w:b/>
          <w:bCs/>
        </w:rPr>
        <w:t xml:space="preserve"> </w:t>
      </w:r>
      <w:r w:rsidR="00A217B8" w:rsidRPr="001078C5">
        <w:rPr>
          <w:rFonts w:ascii="Bookman Old Style" w:hAnsi="Bookman Old Style" w:cs="Arial"/>
          <w:bCs/>
        </w:rPr>
        <w:t>en todo</w:t>
      </w:r>
      <w:r w:rsidR="00F313F7" w:rsidRPr="001078C5">
        <w:rPr>
          <w:rFonts w:ascii="Bookman Old Style" w:hAnsi="Bookman Old Style" w:cs="Arial"/>
          <w:bCs/>
        </w:rPr>
        <w:t xml:space="preserve"> lo demás,</w:t>
      </w:r>
      <w:r w:rsidR="00A217B8" w:rsidRPr="001078C5">
        <w:rPr>
          <w:rFonts w:ascii="Bookman Old Style" w:hAnsi="Bookman Old Style" w:cs="Arial"/>
          <w:bCs/>
        </w:rPr>
        <w:t xml:space="preserve"> </w:t>
      </w:r>
      <w:r w:rsidR="003073FB" w:rsidRPr="001078C5">
        <w:rPr>
          <w:rFonts w:ascii="Bookman Old Style" w:hAnsi="Bookman Old Style" w:cs="Arial"/>
        </w:rPr>
        <w:t>la</w:t>
      </w:r>
      <w:r w:rsidR="00705E27" w:rsidRPr="001078C5">
        <w:rPr>
          <w:rFonts w:ascii="Bookman Old Style" w:hAnsi="Bookman Old Style" w:cs="Arial"/>
        </w:rPr>
        <w:t xml:space="preserve"> sentencia apelada y consultada, proferida por el Juzgado </w:t>
      </w:r>
      <w:r w:rsidR="00F313F7" w:rsidRPr="001078C5">
        <w:rPr>
          <w:rFonts w:ascii="Bookman Old Style" w:hAnsi="Bookman Old Style" w:cs="Arial"/>
        </w:rPr>
        <w:t xml:space="preserve">Segundo </w:t>
      </w:r>
      <w:r w:rsidR="00705E27" w:rsidRPr="001078C5">
        <w:rPr>
          <w:rFonts w:ascii="Bookman Old Style" w:hAnsi="Bookman Old Style" w:cs="Arial"/>
        </w:rPr>
        <w:t>Laboral del Circuito de Pereira.</w:t>
      </w:r>
    </w:p>
    <w:p w14:paraId="74D71ABA" w14:textId="77777777" w:rsidR="003073FB" w:rsidRPr="001078C5" w:rsidRDefault="003073FB" w:rsidP="001078C5">
      <w:pPr>
        <w:spacing w:line="276" w:lineRule="auto"/>
        <w:ind w:firstLine="0"/>
        <w:rPr>
          <w:rFonts w:ascii="Bookman Old Style" w:hAnsi="Bookman Old Style" w:cs="Arial"/>
        </w:rPr>
      </w:pPr>
    </w:p>
    <w:p w14:paraId="7B293B4A" w14:textId="758848F8" w:rsidR="003073FB" w:rsidRPr="001078C5" w:rsidRDefault="00412279" w:rsidP="001078C5">
      <w:pPr>
        <w:spacing w:line="276" w:lineRule="auto"/>
        <w:ind w:firstLine="0"/>
        <w:rPr>
          <w:rFonts w:ascii="Bookman Old Style" w:hAnsi="Bookman Old Style" w:cs="Arial"/>
        </w:rPr>
      </w:pPr>
      <w:r w:rsidRPr="001078C5">
        <w:rPr>
          <w:rFonts w:ascii="Bookman Old Style" w:hAnsi="Bookman Old Style" w:cs="Arial"/>
          <w:b/>
          <w:bCs/>
        </w:rPr>
        <w:t>QUINTO</w:t>
      </w:r>
      <w:r w:rsidR="003073FB" w:rsidRPr="001078C5">
        <w:rPr>
          <w:rFonts w:ascii="Bookman Old Style" w:hAnsi="Bookman Old Style" w:cs="Arial"/>
        </w:rPr>
        <w:t xml:space="preserve">: </w:t>
      </w:r>
      <w:r w:rsidR="003073FB" w:rsidRPr="001078C5">
        <w:rPr>
          <w:rFonts w:ascii="Bookman Old Style" w:hAnsi="Bookman Old Style" w:cs="Arial"/>
          <w:b/>
          <w:bCs/>
        </w:rPr>
        <w:t>COSTAS</w:t>
      </w:r>
      <w:r w:rsidR="003073FB" w:rsidRPr="001078C5">
        <w:rPr>
          <w:rFonts w:ascii="Bookman Old Style" w:hAnsi="Bookman Old Style" w:cs="Arial"/>
        </w:rPr>
        <w:t xml:space="preserve"> en esta instancia a cargo </w:t>
      </w:r>
      <w:r w:rsidR="007E05C4" w:rsidRPr="001078C5">
        <w:rPr>
          <w:rFonts w:ascii="Bookman Old Style" w:hAnsi="Bookman Old Style" w:cs="Arial"/>
        </w:rPr>
        <w:t>de</w:t>
      </w:r>
      <w:r w:rsidR="003073FB" w:rsidRPr="001078C5">
        <w:rPr>
          <w:rFonts w:ascii="Bookman Old Style" w:hAnsi="Bookman Old Style" w:cs="Arial"/>
        </w:rPr>
        <w:t xml:space="preserve"> </w:t>
      </w:r>
      <w:r w:rsidR="00B56F68" w:rsidRPr="001078C5">
        <w:rPr>
          <w:rFonts w:ascii="Bookman Old Style" w:hAnsi="Bookman Old Style" w:cs="Arial"/>
          <w:b/>
          <w:bCs/>
        </w:rPr>
        <w:t>COLPENSIONES</w:t>
      </w:r>
      <w:r w:rsidRPr="001078C5">
        <w:rPr>
          <w:rFonts w:ascii="Bookman Old Style" w:hAnsi="Bookman Old Style" w:cs="Arial"/>
          <w:b/>
          <w:bCs/>
        </w:rPr>
        <w:t>, PORVENIR S.A. y SKANDIA S.A.</w:t>
      </w:r>
      <w:r w:rsidR="00852FA4" w:rsidRPr="001078C5">
        <w:rPr>
          <w:rFonts w:ascii="Bookman Old Style" w:hAnsi="Bookman Old Style" w:cs="Arial"/>
          <w:b/>
          <w:bCs/>
        </w:rPr>
        <w:t xml:space="preserve"> </w:t>
      </w:r>
      <w:r w:rsidR="003073FB" w:rsidRPr="001078C5">
        <w:rPr>
          <w:rFonts w:ascii="Bookman Old Style" w:hAnsi="Bookman Old Style" w:cs="Arial"/>
        </w:rPr>
        <w:t>a favor de la parte demandante.</w:t>
      </w:r>
    </w:p>
    <w:p w14:paraId="77D49179" w14:textId="013CEC1C" w:rsidR="003073FB" w:rsidRPr="001078C5" w:rsidRDefault="003073FB" w:rsidP="001078C5">
      <w:pPr>
        <w:spacing w:line="276" w:lineRule="auto"/>
        <w:ind w:firstLine="0"/>
        <w:rPr>
          <w:rFonts w:ascii="Bookman Old Style" w:hAnsi="Bookman Old Style" w:cs="Arial"/>
        </w:rPr>
      </w:pPr>
    </w:p>
    <w:p w14:paraId="193AA878" w14:textId="699D9E6F" w:rsidR="00725E4D" w:rsidRPr="001078C5" w:rsidRDefault="00725E4D" w:rsidP="001078C5">
      <w:pPr>
        <w:spacing w:line="276" w:lineRule="auto"/>
        <w:ind w:firstLine="0"/>
        <w:jc w:val="center"/>
        <w:rPr>
          <w:rFonts w:ascii="Bookman Old Style" w:hAnsi="Bookman Old Style" w:cs="Arial"/>
        </w:rPr>
      </w:pPr>
      <w:r w:rsidRPr="001078C5">
        <w:rPr>
          <w:rStyle w:val="normaltextrun"/>
          <w:rFonts w:ascii="Bookman Old Style" w:hAnsi="Bookman Old Style"/>
          <w:b/>
          <w:bCs/>
          <w:color w:val="000000"/>
          <w:shd w:val="clear" w:color="auto" w:fill="FFFFFF"/>
        </w:rPr>
        <w:t>NOTIFÍQUESE Y CÚMPLASE</w:t>
      </w:r>
    </w:p>
    <w:p w14:paraId="7A16B5C2" w14:textId="77777777" w:rsidR="00725E4D" w:rsidRPr="001078C5" w:rsidRDefault="00725E4D" w:rsidP="001078C5">
      <w:pPr>
        <w:spacing w:line="276" w:lineRule="auto"/>
        <w:ind w:firstLine="0"/>
        <w:rPr>
          <w:rFonts w:ascii="Bookman Old Style" w:hAnsi="Bookman Old Style" w:cs="Arial"/>
        </w:rPr>
      </w:pPr>
    </w:p>
    <w:p w14:paraId="30DDB815" w14:textId="35C5B7B8" w:rsidR="003073FB" w:rsidRPr="001078C5" w:rsidRDefault="003073FB" w:rsidP="001078C5">
      <w:pPr>
        <w:spacing w:line="276" w:lineRule="auto"/>
        <w:ind w:firstLine="0"/>
        <w:rPr>
          <w:rFonts w:ascii="Bookman Old Style" w:hAnsi="Bookman Old Style" w:cs="Arial"/>
        </w:rPr>
      </w:pPr>
      <w:r w:rsidRPr="001078C5">
        <w:rPr>
          <w:rFonts w:ascii="Bookman Old Style" w:hAnsi="Bookman Old Style" w:cs="Arial"/>
        </w:rPr>
        <w:t xml:space="preserve">Los </w:t>
      </w:r>
      <w:r w:rsidR="001078C5" w:rsidRPr="001078C5">
        <w:rPr>
          <w:rFonts w:ascii="Bookman Old Style" w:hAnsi="Bookman Old Style" w:cs="Arial"/>
        </w:rPr>
        <w:t>Magistrados</w:t>
      </w:r>
      <w:r w:rsidRPr="001078C5">
        <w:rPr>
          <w:rFonts w:ascii="Bookman Old Style" w:hAnsi="Bookman Old Style" w:cs="Arial"/>
        </w:rPr>
        <w:t>,</w:t>
      </w:r>
    </w:p>
    <w:p w14:paraId="44EBD179" w14:textId="77777777" w:rsidR="003073FB" w:rsidRPr="001078C5" w:rsidRDefault="003073FB" w:rsidP="001078C5">
      <w:pPr>
        <w:spacing w:line="276" w:lineRule="auto"/>
        <w:ind w:firstLine="0"/>
        <w:rPr>
          <w:rFonts w:ascii="Bookman Old Style" w:hAnsi="Bookman Old Style" w:cs="Arial"/>
        </w:rPr>
      </w:pPr>
    </w:p>
    <w:p w14:paraId="359B3AD7" w14:textId="77777777" w:rsidR="003073FB" w:rsidRPr="001078C5" w:rsidRDefault="003073FB" w:rsidP="001078C5">
      <w:pPr>
        <w:spacing w:line="276" w:lineRule="auto"/>
        <w:ind w:firstLine="0"/>
        <w:rPr>
          <w:rFonts w:ascii="Bookman Old Style" w:hAnsi="Bookman Old Style" w:cs="Arial"/>
        </w:rPr>
      </w:pPr>
    </w:p>
    <w:p w14:paraId="1F2D20BA" w14:textId="77777777" w:rsidR="003073FB" w:rsidRPr="001078C5" w:rsidRDefault="003073FB" w:rsidP="001078C5">
      <w:pPr>
        <w:spacing w:line="276" w:lineRule="auto"/>
        <w:ind w:firstLine="0"/>
        <w:jc w:val="center"/>
        <w:rPr>
          <w:rFonts w:ascii="Bookman Old Style" w:hAnsi="Bookman Old Style" w:cs="Arial"/>
          <w:b/>
        </w:rPr>
      </w:pPr>
      <w:r w:rsidRPr="001078C5">
        <w:rPr>
          <w:rFonts w:ascii="Bookman Old Style" w:hAnsi="Bookman Old Style" w:cs="Arial"/>
          <w:b/>
        </w:rPr>
        <w:t>GERMÁN DARÍO GÓEZ VINASCO</w:t>
      </w:r>
    </w:p>
    <w:p w14:paraId="214D3226" w14:textId="77777777" w:rsidR="003073FB" w:rsidRPr="001078C5" w:rsidRDefault="003073FB" w:rsidP="001078C5">
      <w:pPr>
        <w:spacing w:line="276" w:lineRule="auto"/>
        <w:ind w:firstLine="0"/>
        <w:rPr>
          <w:rFonts w:ascii="Bookman Old Style" w:hAnsi="Bookman Old Style" w:cs="Arial"/>
        </w:rPr>
      </w:pPr>
    </w:p>
    <w:p w14:paraId="2989A696" w14:textId="77777777" w:rsidR="003073FB" w:rsidRPr="001078C5" w:rsidRDefault="003073FB" w:rsidP="001078C5">
      <w:pPr>
        <w:spacing w:line="276" w:lineRule="auto"/>
        <w:ind w:firstLine="0"/>
        <w:rPr>
          <w:rFonts w:ascii="Bookman Old Style" w:hAnsi="Bookman Old Style" w:cs="Arial"/>
        </w:rPr>
      </w:pPr>
    </w:p>
    <w:p w14:paraId="20C8869C" w14:textId="77777777" w:rsidR="003073FB" w:rsidRPr="001078C5" w:rsidRDefault="003073FB" w:rsidP="001078C5">
      <w:pPr>
        <w:spacing w:line="276" w:lineRule="auto"/>
        <w:ind w:firstLine="0"/>
        <w:jc w:val="center"/>
        <w:rPr>
          <w:rFonts w:ascii="Bookman Old Style" w:hAnsi="Bookman Old Style" w:cs="Arial"/>
          <w:b/>
          <w:bCs/>
        </w:rPr>
      </w:pPr>
      <w:r w:rsidRPr="001078C5">
        <w:rPr>
          <w:rFonts w:ascii="Bookman Old Style" w:hAnsi="Bookman Old Style" w:cs="Arial"/>
          <w:b/>
          <w:bCs/>
        </w:rPr>
        <w:t>OLGA LUCIA HOYOS SEPÚLVEDA</w:t>
      </w:r>
    </w:p>
    <w:p w14:paraId="7BCF92BF" w14:textId="375D55D9" w:rsidR="00A217B8" w:rsidRPr="001078C5" w:rsidRDefault="00410952" w:rsidP="001078C5">
      <w:pPr>
        <w:spacing w:line="276" w:lineRule="auto"/>
        <w:ind w:firstLine="0"/>
        <w:jc w:val="center"/>
        <w:rPr>
          <w:rFonts w:ascii="Bookman Old Style" w:hAnsi="Bookman Old Style" w:cs="Arial"/>
          <w:bCs/>
        </w:rPr>
      </w:pPr>
      <w:r w:rsidRPr="001078C5">
        <w:rPr>
          <w:rFonts w:ascii="Bookman Old Style" w:hAnsi="Bookman Old Style" w:cs="Arial"/>
          <w:bCs/>
        </w:rPr>
        <w:t>Aclaración de Voto</w:t>
      </w:r>
    </w:p>
    <w:p w14:paraId="0818E932" w14:textId="77777777" w:rsidR="00A217B8" w:rsidRPr="001078C5" w:rsidRDefault="00A217B8" w:rsidP="001078C5">
      <w:pPr>
        <w:spacing w:line="276" w:lineRule="auto"/>
        <w:ind w:firstLine="0"/>
        <w:rPr>
          <w:rFonts w:ascii="Bookman Old Style" w:hAnsi="Bookman Old Style" w:cs="Arial"/>
        </w:rPr>
      </w:pPr>
    </w:p>
    <w:p w14:paraId="17DAB712" w14:textId="77777777" w:rsidR="003073FB" w:rsidRPr="001078C5" w:rsidRDefault="003073FB" w:rsidP="001078C5">
      <w:pPr>
        <w:spacing w:line="276" w:lineRule="auto"/>
        <w:ind w:firstLine="0"/>
        <w:rPr>
          <w:rFonts w:ascii="Bookman Old Style" w:hAnsi="Bookman Old Style" w:cs="Arial"/>
        </w:rPr>
      </w:pPr>
    </w:p>
    <w:p w14:paraId="3CADE43D" w14:textId="77777777" w:rsidR="003073FB" w:rsidRPr="001078C5" w:rsidRDefault="003073FB" w:rsidP="001078C5">
      <w:pPr>
        <w:spacing w:line="276" w:lineRule="auto"/>
        <w:ind w:firstLine="0"/>
        <w:jc w:val="center"/>
        <w:rPr>
          <w:rFonts w:ascii="Bookman Old Style" w:hAnsi="Bookman Old Style" w:cs="Arial"/>
          <w:b/>
          <w:bCs/>
        </w:rPr>
      </w:pPr>
      <w:r w:rsidRPr="001078C5">
        <w:rPr>
          <w:rFonts w:ascii="Bookman Old Style" w:hAnsi="Bookman Old Style" w:cs="Arial"/>
          <w:b/>
          <w:bCs/>
        </w:rPr>
        <w:t>JULIO CÉSAR SALAZAR MUÑOZ</w:t>
      </w:r>
    </w:p>
    <w:p w14:paraId="12CA1CFC" w14:textId="50125EE8" w:rsidR="58B3FA1E" w:rsidRDefault="00410952" w:rsidP="001078C5">
      <w:pPr>
        <w:spacing w:line="276" w:lineRule="auto"/>
        <w:ind w:firstLine="0"/>
        <w:jc w:val="center"/>
        <w:rPr>
          <w:rFonts w:ascii="Bookman Old Style" w:hAnsi="Bookman Old Style" w:cs="Arial"/>
          <w:bCs/>
        </w:rPr>
      </w:pPr>
      <w:r w:rsidRPr="001078C5">
        <w:rPr>
          <w:rFonts w:ascii="Bookman Old Style" w:hAnsi="Bookman Old Style" w:cs="Arial"/>
          <w:bCs/>
        </w:rPr>
        <w:t>Aclaración de Voto</w:t>
      </w:r>
    </w:p>
    <w:p w14:paraId="17A16793" w14:textId="1BFEC117" w:rsidR="00C7392F" w:rsidRDefault="00C7392F" w:rsidP="00C7392F">
      <w:pPr>
        <w:spacing w:line="276" w:lineRule="auto"/>
        <w:ind w:firstLine="0"/>
        <w:rPr>
          <w:rFonts w:ascii="Bookman Old Style" w:hAnsi="Bookman Old Style" w:cs="Arial"/>
          <w:bCs/>
        </w:rPr>
      </w:pPr>
    </w:p>
    <w:p w14:paraId="174256EA" w14:textId="670D1464" w:rsidR="00C7392F" w:rsidRDefault="00C7392F">
      <w:pPr>
        <w:rPr>
          <w:rFonts w:ascii="Bookman Old Style" w:hAnsi="Bookman Old Style" w:cs="Arial"/>
          <w:bCs/>
        </w:rPr>
      </w:pPr>
      <w:r>
        <w:rPr>
          <w:rFonts w:ascii="Bookman Old Style" w:hAnsi="Bookman Old Style" w:cs="Arial"/>
          <w:bCs/>
        </w:rPr>
        <w:br w:type="page"/>
      </w:r>
    </w:p>
    <w:p w14:paraId="5B9C4B1F" w14:textId="73AF5D5D" w:rsidR="00C7392F" w:rsidRPr="00E42BEA" w:rsidRDefault="00C7392F" w:rsidP="00C7392F">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Radicación No: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9D422C" w:rsidRPr="009D422C">
        <w:rPr>
          <w:rFonts w:eastAsia="Times New Roman" w:cs="Arial"/>
          <w:bCs/>
          <w:spacing w:val="2"/>
          <w:sz w:val="20"/>
          <w:szCs w:val="20"/>
          <w:lang w:val="es-ES" w:eastAsia="es-ES"/>
        </w:rPr>
        <w:t>66001310500220210016401</w:t>
      </w:r>
    </w:p>
    <w:p w14:paraId="15FAC898" w14:textId="270FF32C" w:rsidR="00C7392F" w:rsidRPr="00E42BEA" w:rsidRDefault="00C7392F" w:rsidP="00C7392F">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Demandante:</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00207285" w:rsidRPr="00207285">
        <w:rPr>
          <w:rFonts w:eastAsia="Times New Roman" w:cs="Arial"/>
          <w:bCs/>
          <w:spacing w:val="2"/>
          <w:sz w:val="20"/>
          <w:szCs w:val="20"/>
          <w:lang w:val="es-ES" w:eastAsia="es-ES"/>
        </w:rPr>
        <w:t>Ana Edilia Gutiérrez Moncada</w:t>
      </w:r>
    </w:p>
    <w:p w14:paraId="50EE2B03" w14:textId="77777777" w:rsidR="00C7392F" w:rsidRPr="00E42BEA" w:rsidRDefault="00C7392F" w:rsidP="00C7392F">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Demandado:</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 xml:space="preserve">Colpensiones y otros </w:t>
      </w:r>
    </w:p>
    <w:p w14:paraId="5BF4E9FB" w14:textId="77777777" w:rsidR="00C7392F" w:rsidRPr="00E42BEA" w:rsidRDefault="00C7392F" w:rsidP="00C7392F">
      <w:pPr>
        <w:autoSpaceDE w:val="0"/>
        <w:autoSpaceDN w:val="0"/>
        <w:adjustRightInd w:val="0"/>
        <w:spacing w:line="240" w:lineRule="auto"/>
        <w:ind w:firstLine="0"/>
        <w:rPr>
          <w:rFonts w:eastAsia="Times New Roman" w:cs="Arial"/>
          <w:bCs/>
          <w:spacing w:val="2"/>
          <w:sz w:val="20"/>
          <w:szCs w:val="20"/>
          <w:lang w:val="es-ES" w:eastAsia="es-ES"/>
        </w:rPr>
      </w:pPr>
      <w:r w:rsidRPr="00E42BEA">
        <w:rPr>
          <w:rFonts w:eastAsia="Times New Roman" w:cs="Arial"/>
          <w:bCs/>
          <w:spacing w:val="2"/>
          <w:sz w:val="20"/>
          <w:szCs w:val="20"/>
          <w:lang w:val="es-ES" w:eastAsia="es-ES"/>
        </w:rPr>
        <w:t>Tema:</w:t>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r>
      <w:r w:rsidRPr="00E42BEA">
        <w:rPr>
          <w:rFonts w:eastAsia="Times New Roman" w:cs="Arial"/>
          <w:bCs/>
          <w:spacing w:val="2"/>
          <w:sz w:val="20"/>
          <w:szCs w:val="20"/>
          <w:lang w:val="es-ES" w:eastAsia="es-ES"/>
        </w:rPr>
        <w:tab/>
        <w:t>Cumplimiento a exhorto de la Sala de Casación.</w:t>
      </w:r>
    </w:p>
    <w:p w14:paraId="5DC11E7E" w14:textId="77777777" w:rsidR="00C7392F" w:rsidRPr="00E42BEA" w:rsidRDefault="00C7392F" w:rsidP="00C7392F">
      <w:pPr>
        <w:autoSpaceDE w:val="0"/>
        <w:autoSpaceDN w:val="0"/>
        <w:adjustRightInd w:val="0"/>
        <w:spacing w:line="240" w:lineRule="auto"/>
        <w:ind w:firstLine="0"/>
        <w:rPr>
          <w:rFonts w:eastAsia="Times New Roman" w:cs="Arial"/>
          <w:bCs/>
          <w:spacing w:val="2"/>
          <w:sz w:val="20"/>
          <w:szCs w:val="20"/>
          <w:lang w:val="es-ES" w:eastAsia="es-ES"/>
        </w:rPr>
      </w:pPr>
    </w:p>
    <w:p w14:paraId="54BBBF95" w14:textId="77777777" w:rsidR="00C7392F" w:rsidRPr="00E42BEA" w:rsidRDefault="00C7392F" w:rsidP="00C7392F">
      <w:pPr>
        <w:autoSpaceDE w:val="0"/>
        <w:autoSpaceDN w:val="0"/>
        <w:adjustRightInd w:val="0"/>
        <w:spacing w:line="240" w:lineRule="auto"/>
        <w:ind w:firstLine="0"/>
        <w:rPr>
          <w:rFonts w:eastAsia="Times New Roman" w:cs="Arial"/>
          <w:bCs/>
          <w:spacing w:val="2"/>
          <w:sz w:val="20"/>
          <w:szCs w:val="20"/>
          <w:lang w:val="es-ES" w:eastAsia="es-ES"/>
        </w:rPr>
      </w:pPr>
    </w:p>
    <w:p w14:paraId="0106E55B" w14:textId="77777777" w:rsidR="009D422C" w:rsidRPr="00E42BEA" w:rsidRDefault="009D422C" w:rsidP="00C7392F">
      <w:pPr>
        <w:autoSpaceDE w:val="0"/>
        <w:autoSpaceDN w:val="0"/>
        <w:adjustRightInd w:val="0"/>
        <w:spacing w:line="240" w:lineRule="auto"/>
        <w:ind w:firstLine="0"/>
        <w:rPr>
          <w:rFonts w:eastAsia="Times New Roman" w:cs="Arial"/>
          <w:bCs/>
          <w:spacing w:val="2"/>
          <w:sz w:val="20"/>
          <w:szCs w:val="20"/>
          <w:lang w:val="es-ES" w:eastAsia="es-ES"/>
        </w:rPr>
      </w:pPr>
    </w:p>
    <w:p w14:paraId="569FCE68" w14:textId="77777777" w:rsidR="00C7392F" w:rsidRPr="00E42BEA" w:rsidRDefault="00C7392F" w:rsidP="00C7392F">
      <w:pPr>
        <w:keepNext/>
        <w:spacing w:line="240" w:lineRule="auto"/>
        <w:ind w:firstLine="0"/>
        <w:jc w:val="center"/>
        <w:outlineLvl w:val="2"/>
        <w:rPr>
          <w:rFonts w:eastAsia="Times New Roman" w:cs="Arial"/>
          <w:b/>
          <w:lang w:val="es-ES_tradnl" w:eastAsia="es-ES"/>
        </w:rPr>
      </w:pPr>
      <w:r w:rsidRPr="00E42BEA">
        <w:rPr>
          <w:rFonts w:eastAsia="Times New Roman" w:cs="Arial"/>
          <w:b/>
          <w:lang w:val="es-ES_tradnl" w:eastAsia="es-ES"/>
        </w:rPr>
        <w:t>TRIBUNAL SUPERIOR DEL DISTRITO JUDICIAL</w:t>
      </w:r>
    </w:p>
    <w:p w14:paraId="4BBE5CC6" w14:textId="77777777" w:rsidR="00C7392F" w:rsidRPr="00E42BEA" w:rsidRDefault="00C7392F" w:rsidP="00C7392F">
      <w:pPr>
        <w:spacing w:line="240" w:lineRule="auto"/>
        <w:ind w:firstLine="0"/>
        <w:jc w:val="center"/>
        <w:rPr>
          <w:rFonts w:eastAsia="Calibri" w:cs="Arial"/>
          <w:b/>
        </w:rPr>
      </w:pPr>
    </w:p>
    <w:p w14:paraId="60F9EE78" w14:textId="77777777" w:rsidR="00C7392F" w:rsidRPr="00E42BEA" w:rsidRDefault="00C7392F" w:rsidP="00C7392F">
      <w:pPr>
        <w:spacing w:line="240" w:lineRule="auto"/>
        <w:ind w:firstLine="0"/>
        <w:jc w:val="center"/>
        <w:rPr>
          <w:rFonts w:eastAsia="Calibri" w:cs="Arial"/>
          <w:b/>
        </w:rPr>
      </w:pPr>
      <w:r w:rsidRPr="00E42BEA">
        <w:rPr>
          <w:rFonts w:eastAsia="Calibri" w:cs="Arial"/>
          <w:b/>
        </w:rPr>
        <w:t>SALA LABORAL</w:t>
      </w:r>
    </w:p>
    <w:p w14:paraId="6F3E69ED" w14:textId="77777777" w:rsidR="00C7392F" w:rsidRPr="00E42BEA" w:rsidRDefault="00C7392F" w:rsidP="00C7392F">
      <w:pPr>
        <w:spacing w:line="240" w:lineRule="auto"/>
        <w:ind w:firstLine="0"/>
        <w:jc w:val="center"/>
        <w:rPr>
          <w:rFonts w:eastAsia="Times New Roman" w:cs="Arial"/>
          <w:b/>
          <w:lang w:val="es-ES_tradnl" w:eastAsia="es-ES"/>
        </w:rPr>
      </w:pPr>
    </w:p>
    <w:p w14:paraId="48729E5C" w14:textId="77777777" w:rsidR="00C7392F" w:rsidRPr="00E42BEA" w:rsidRDefault="00C7392F" w:rsidP="00C7392F">
      <w:pPr>
        <w:spacing w:line="240" w:lineRule="auto"/>
        <w:ind w:firstLine="0"/>
        <w:jc w:val="center"/>
        <w:rPr>
          <w:rFonts w:eastAsia="Times New Roman" w:cs="Arial"/>
          <w:b/>
          <w:lang w:val="es-ES_tradnl" w:eastAsia="es-ES"/>
        </w:rPr>
      </w:pPr>
      <w:r w:rsidRPr="00E42BEA">
        <w:rPr>
          <w:rFonts w:eastAsia="Times New Roman" w:cs="Arial"/>
          <w:b/>
          <w:lang w:val="es-ES_tradnl" w:eastAsia="es-ES"/>
        </w:rPr>
        <w:t xml:space="preserve">MAGISTRADO: JULIO CÉSAR SALAZAR MUÑOZ </w:t>
      </w:r>
    </w:p>
    <w:p w14:paraId="70321399" w14:textId="77777777" w:rsidR="00C7392F" w:rsidRPr="00E42BEA" w:rsidRDefault="00C7392F" w:rsidP="00C7392F">
      <w:pPr>
        <w:spacing w:line="240" w:lineRule="auto"/>
        <w:ind w:firstLine="0"/>
        <w:jc w:val="center"/>
        <w:rPr>
          <w:rFonts w:eastAsia="Times New Roman" w:cs="Arial"/>
          <w:b/>
          <w:lang w:val="es-ES_tradnl" w:eastAsia="es-ES"/>
        </w:rPr>
      </w:pPr>
    </w:p>
    <w:p w14:paraId="4C26CF2A" w14:textId="77777777" w:rsidR="00C7392F" w:rsidRPr="00E42BEA" w:rsidRDefault="00C7392F" w:rsidP="00C7392F">
      <w:pPr>
        <w:spacing w:line="240" w:lineRule="auto"/>
        <w:ind w:firstLine="0"/>
        <w:jc w:val="center"/>
        <w:rPr>
          <w:rFonts w:eastAsia="Times New Roman" w:cs="Arial"/>
          <w:b/>
          <w:lang w:val="es-ES_tradnl" w:eastAsia="es-ES"/>
        </w:rPr>
      </w:pPr>
    </w:p>
    <w:p w14:paraId="07E65E65" w14:textId="7BC75C42" w:rsidR="00C7392F" w:rsidRPr="00E42BEA" w:rsidRDefault="00A703AB" w:rsidP="00C7392F">
      <w:pPr>
        <w:spacing w:line="240" w:lineRule="auto"/>
        <w:ind w:firstLine="0"/>
        <w:jc w:val="center"/>
        <w:rPr>
          <w:rFonts w:eastAsia="Times New Roman" w:cs="Arial"/>
          <w:lang w:val="es-ES_tradnl" w:eastAsia="es-ES"/>
        </w:rPr>
      </w:pPr>
      <w:r>
        <w:rPr>
          <w:rFonts w:eastAsia="Times New Roman" w:cs="Arial"/>
          <w:lang w:val="es-ES_tradnl" w:eastAsia="es-ES"/>
        </w:rPr>
        <w:t>Octubre 12</w:t>
      </w:r>
      <w:r w:rsidR="00C7392F" w:rsidRPr="00084D61">
        <w:rPr>
          <w:rFonts w:eastAsia="Times New Roman" w:cs="Arial"/>
          <w:lang w:val="es-ES_tradnl" w:eastAsia="es-ES"/>
        </w:rPr>
        <w:t xml:space="preserve"> de 2023</w:t>
      </w:r>
    </w:p>
    <w:p w14:paraId="2BBFFDE4" w14:textId="77777777" w:rsidR="00C7392F" w:rsidRPr="00E42BEA" w:rsidRDefault="00C7392F" w:rsidP="00C7392F">
      <w:pPr>
        <w:spacing w:line="240" w:lineRule="auto"/>
        <w:ind w:firstLine="0"/>
        <w:jc w:val="center"/>
        <w:rPr>
          <w:rFonts w:eastAsia="Times New Roman" w:cs="Arial"/>
          <w:b/>
          <w:lang w:val="es-ES_tradnl" w:eastAsia="es-ES"/>
        </w:rPr>
      </w:pPr>
    </w:p>
    <w:p w14:paraId="7F7BEC51" w14:textId="77777777" w:rsidR="00C7392F" w:rsidRPr="00E42BEA" w:rsidRDefault="00C7392F" w:rsidP="00C7392F">
      <w:pPr>
        <w:spacing w:line="240" w:lineRule="auto"/>
        <w:ind w:firstLine="0"/>
        <w:jc w:val="center"/>
        <w:rPr>
          <w:rFonts w:eastAsia="Times New Roman" w:cs="Arial"/>
          <w:b/>
          <w:lang w:val="es-ES_tradnl" w:eastAsia="es-ES"/>
        </w:rPr>
      </w:pPr>
    </w:p>
    <w:p w14:paraId="553AF51A" w14:textId="77777777" w:rsidR="00C7392F" w:rsidRPr="00E42BEA" w:rsidRDefault="00C7392F" w:rsidP="00C7392F">
      <w:pPr>
        <w:spacing w:line="240" w:lineRule="auto"/>
        <w:ind w:firstLine="0"/>
        <w:jc w:val="center"/>
        <w:rPr>
          <w:rFonts w:eastAsia="Times New Roman" w:cs="Arial"/>
          <w:b/>
          <w:u w:val="single"/>
          <w:lang w:val="es-ES_tradnl" w:eastAsia="es-ES"/>
        </w:rPr>
      </w:pPr>
      <w:r w:rsidRPr="00E42BEA">
        <w:rPr>
          <w:rFonts w:eastAsia="Times New Roman" w:cs="Arial"/>
          <w:b/>
          <w:u w:val="single"/>
          <w:lang w:val="es-ES_tradnl" w:eastAsia="es-ES"/>
        </w:rPr>
        <w:t>ACLARACIÓN DE VOTO</w:t>
      </w:r>
    </w:p>
    <w:p w14:paraId="2CB1FFAA" w14:textId="77777777" w:rsidR="00C7392F" w:rsidRPr="00E42BEA" w:rsidRDefault="00C7392F" w:rsidP="00C7392F">
      <w:pPr>
        <w:spacing w:line="276" w:lineRule="auto"/>
        <w:ind w:firstLine="0"/>
        <w:rPr>
          <w:rFonts w:eastAsia="Times New Roman" w:cs="Arial"/>
          <w:lang w:val="es-ES" w:eastAsia="es-ES"/>
        </w:rPr>
      </w:pPr>
    </w:p>
    <w:p w14:paraId="43A9DBFF" w14:textId="77777777" w:rsidR="00C7392F" w:rsidRPr="00E42BEA" w:rsidRDefault="00C7392F" w:rsidP="00C7392F">
      <w:pPr>
        <w:spacing w:line="276" w:lineRule="auto"/>
        <w:ind w:firstLine="0"/>
        <w:rPr>
          <w:rFonts w:eastAsia="Times New Roman" w:cs="Arial"/>
          <w:lang w:val="es-ES" w:eastAsia="es-ES"/>
        </w:rPr>
      </w:pPr>
    </w:p>
    <w:p w14:paraId="6669AB2A" w14:textId="77777777" w:rsidR="00C7392F" w:rsidRPr="00E42BEA" w:rsidRDefault="00C7392F" w:rsidP="00C7392F">
      <w:pPr>
        <w:spacing w:line="276" w:lineRule="auto"/>
        <w:ind w:firstLine="0"/>
        <w:rPr>
          <w:rFonts w:eastAsia="Times New Roman" w:cs="Arial"/>
          <w:lang w:val="es-ES" w:eastAsia="es-ES"/>
        </w:rPr>
      </w:pPr>
      <w:r w:rsidRPr="00E42BEA">
        <w:rPr>
          <w:rFonts w:eastAsia="Times New Roman" w:cs="Arial"/>
          <w:lang w:val="es-ES"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r w:rsidRPr="00E42BEA">
        <w:rPr>
          <w:rFonts w:eastAsia="Times New Roman" w:cs="Arial"/>
          <w:b/>
          <w:lang w:val="es-ES" w:eastAsia="es-ES"/>
        </w:rPr>
        <w:t>EXORTAR</w:t>
      </w:r>
      <w:r w:rsidRPr="00E42BEA">
        <w:rPr>
          <w:rFonts w:eastAsia="Times New Roman" w:cs="Arial"/>
          <w:lang w:val="es-ES" w:eastAsia="es-ES"/>
        </w:rPr>
        <w:t xml:space="preserve"> (sic) a la </w:t>
      </w:r>
      <w:r w:rsidRPr="00E42BEA">
        <w:rPr>
          <w:rFonts w:eastAsia="Times New Roman" w:cs="Arial"/>
          <w:b/>
          <w:lang w:val="es-ES" w:eastAsia="es-ES"/>
        </w:rPr>
        <w:t xml:space="preserve">SALA LABORAL DEL TRIBUNAL SUPERIOR DEL DISTRITO JUDICIAL DE PEREIRA </w:t>
      </w:r>
      <w:r w:rsidRPr="00E42BEA">
        <w:rPr>
          <w:rFonts w:eastAsia="Times New Roman" w:cs="Arial"/>
          <w:lang w:val="es-ES" w:eastAsia="es-ES"/>
        </w:rPr>
        <w:t>para que en lo sucesivo acate el precedente judicial emanado de esta Corporación”.</w:t>
      </w:r>
    </w:p>
    <w:p w14:paraId="7ED848D0" w14:textId="77777777" w:rsidR="00C7392F" w:rsidRPr="00E42BEA" w:rsidRDefault="00C7392F" w:rsidP="00C7392F">
      <w:pPr>
        <w:spacing w:line="276" w:lineRule="auto"/>
        <w:ind w:firstLine="0"/>
        <w:rPr>
          <w:rFonts w:eastAsia="Times New Roman" w:cs="Arial"/>
          <w:lang w:val="es-ES" w:eastAsia="es-ES"/>
        </w:rPr>
      </w:pPr>
    </w:p>
    <w:p w14:paraId="4A6E5C9B" w14:textId="77777777" w:rsidR="00C7392F" w:rsidRPr="00E42BEA" w:rsidRDefault="00C7392F" w:rsidP="00C7392F">
      <w:pPr>
        <w:spacing w:line="276" w:lineRule="auto"/>
        <w:ind w:firstLine="0"/>
        <w:rPr>
          <w:rFonts w:eastAsia="Times New Roman" w:cs="Arial"/>
          <w:lang w:val="es-ES" w:eastAsia="es-ES"/>
        </w:rPr>
      </w:pPr>
      <w:r w:rsidRPr="00E42BEA">
        <w:rPr>
          <w:rFonts w:eastAsia="Times New Roman" w:cs="Arial"/>
          <w:lang w:val="es-ES" w:eastAsia="es-ES"/>
        </w:rPr>
        <w:t xml:space="preserve">Como iguales circunstancias a las narradas previamente ocurrieron en este asunto, bajo tal apremio, no obstante lo dispuesto en los artículos 228 y 230 de la Constitución Nacional, </w:t>
      </w:r>
      <w:r w:rsidRPr="00E42BEA">
        <w:rPr>
          <w:rFonts w:eastAsia="Times New Roman" w:cs="Arial"/>
          <w:b/>
          <w:lang w:val="es-ES" w:eastAsia="es-ES"/>
        </w:rPr>
        <w:t>no queda otra posibilidad al suscrito que</w:t>
      </w:r>
      <w:r w:rsidRPr="00E42BEA">
        <w:rPr>
          <w:rFonts w:eastAsia="Times New Roman" w:cs="Arial"/>
          <w:lang w:val="es-ES" w:eastAsia="es-ES"/>
        </w:rPr>
        <w:t xml:space="preserve">, en este y en todos los numerosos y sucesivos asuntos de similares características que se presenten a la Sala para decisión de eventos de ineficacia de traslados entre regímenes pensionales, </w:t>
      </w:r>
      <w:r w:rsidRPr="00E42BEA">
        <w:rPr>
          <w:rFonts w:eastAsia="Times New Roman" w:cs="Arial"/>
          <w:b/>
          <w:lang w:val="es-ES" w:eastAsia="es-ES"/>
        </w:rPr>
        <w:t>acatar lo resuelto por el superior</w:t>
      </w:r>
      <w:r w:rsidRPr="00E42BEA">
        <w:rPr>
          <w:rFonts w:eastAsia="Times New Roman" w:cs="Arial"/>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06E388B1" w14:textId="77777777" w:rsidR="00C7392F" w:rsidRPr="00E42BEA" w:rsidRDefault="00C7392F" w:rsidP="00C7392F">
      <w:pPr>
        <w:spacing w:line="276" w:lineRule="auto"/>
        <w:ind w:firstLine="0"/>
        <w:rPr>
          <w:rFonts w:eastAsia="Times New Roman" w:cs="Arial"/>
          <w:lang w:val="es-ES" w:eastAsia="es-ES"/>
        </w:rPr>
      </w:pPr>
    </w:p>
    <w:p w14:paraId="61FFB4BB" w14:textId="77777777" w:rsidR="00C7392F" w:rsidRPr="00E42BEA" w:rsidRDefault="00C7392F" w:rsidP="00C7392F">
      <w:pPr>
        <w:spacing w:line="276" w:lineRule="auto"/>
        <w:ind w:firstLine="0"/>
        <w:jc w:val="center"/>
        <w:rPr>
          <w:rFonts w:eastAsia="Times New Roman" w:cs="Arial"/>
          <w:b/>
          <w:lang w:val="es-ES" w:eastAsia="es-ES"/>
        </w:rPr>
      </w:pPr>
      <w:r w:rsidRPr="00E42BEA">
        <w:rPr>
          <w:rFonts w:eastAsia="Times New Roman" w:cs="Arial"/>
          <w:b/>
          <w:lang w:val="es-ES" w:eastAsia="es-ES"/>
        </w:rPr>
        <w:t>ANÁLISIS JURÍDICO DE LOS HECHOS DEBATIDOS EN LOS CASOS DE TRASLADOS ENTRE REGÍMENES</w:t>
      </w:r>
    </w:p>
    <w:p w14:paraId="29C5603F" w14:textId="77777777" w:rsidR="00C7392F" w:rsidRPr="00E42BEA" w:rsidRDefault="00C7392F" w:rsidP="00C7392F">
      <w:pPr>
        <w:spacing w:line="276" w:lineRule="auto"/>
        <w:ind w:firstLine="0"/>
        <w:rPr>
          <w:rFonts w:eastAsia="Times New Roman" w:cs="Arial"/>
          <w:lang w:val="es-ES" w:eastAsia="es-ES"/>
        </w:rPr>
      </w:pPr>
    </w:p>
    <w:p w14:paraId="140A2376"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RAIS, sin percatarse que, si en efecto hubo un engaño u omisión en la información para lograr el traslado por parte de la AFP privada, es ésta quien debe proceder al resarcimiento del eventual daño o perjuicio que con ello haya generado.</w:t>
      </w:r>
    </w:p>
    <w:p w14:paraId="63FF1FC9" w14:textId="77777777" w:rsidR="00C7392F" w:rsidRPr="00E42BEA" w:rsidRDefault="00C7392F" w:rsidP="00C7392F">
      <w:pPr>
        <w:suppressAutoHyphens/>
        <w:spacing w:line="276" w:lineRule="auto"/>
        <w:ind w:firstLine="0"/>
        <w:rPr>
          <w:rFonts w:eastAsia="Times New Roman" w:cs="Arial"/>
          <w:lang w:val="es-ES_tradnl" w:eastAsia="es-ES"/>
        </w:rPr>
      </w:pPr>
    </w:p>
    <w:p w14:paraId="4D734B85"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5B24FD90" w14:textId="77777777" w:rsidR="00C7392F" w:rsidRPr="00E42BEA" w:rsidRDefault="00C7392F" w:rsidP="00C7392F">
      <w:pPr>
        <w:suppressAutoHyphens/>
        <w:spacing w:line="276" w:lineRule="auto"/>
        <w:ind w:firstLine="0"/>
        <w:rPr>
          <w:rFonts w:eastAsia="Times New Roman" w:cs="Arial"/>
          <w:lang w:val="es-ES_tradnl" w:eastAsia="es-ES"/>
        </w:rPr>
      </w:pPr>
    </w:p>
    <w:p w14:paraId="35206BC2"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Como quiera que esta posición se separa expresamente de la línea actual de la Corte Suprema de Justicia, considero necesario </w:t>
      </w:r>
      <w:r w:rsidRPr="00E42BEA">
        <w:rPr>
          <w:rFonts w:eastAsia="Times New Roman" w:cs="Arial"/>
          <w:iCs/>
          <w:lang w:val="es-ES_tradnl" w:eastAsia="es-ES"/>
        </w:rPr>
        <w:t>discurrir sobre los 8 temas jurídicos que a continuación se desarrollan:</w:t>
      </w:r>
    </w:p>
    <w:p w14:paraId="37D2C147" w14:textId="77777777" w:rsidR="00C7392F" w:rsidRPr="00E42BEA" w:rsidRDefault="00C7392F" w:rsidP="00C7392F">
      <w:pPr>
        <w:suppressAutoHyphens/>
        <w:spacing w:line="276" w:lineRule="auto"/>
        <w:ind w:firstLine="0"/>
        <w:rPr>
          <w:rFonts w:eastAsia="Times New Roman" w:cs="Arial"/>
          <w:lang w:val="es-ES_tradnl" w:eastAsia="es-ES"/>
        </w:rPr>
      </w:pPr>
    </w:p>
    <w:p w14:paraId="2B4D856E" w14:textId="77777777" w:rsidR="00C7392F" w:rsidRPr="00E42BEA" w:rsidRDefault="00C7392F" w:rsidP="00F44825">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LA JURISPRUDENCIA, LA OBLIGACIÓN DE LOS JUECES DE SEGUIRLA Y LA AUTORIZACIÓN Y FORMA DE APARTARSE DE LA DOCTRINA PROBABLE.</w:t>
      </w:r>
    </w:p>
    <w:p w14:paraId="58048F1F" w14:textId="77777777" w:rsidR="00C7392F" w:rsidRPr="00E42BEA" w:rsidRDefault="00C7392F" w:rsidP="00C7392F">
      <w:pPr>
        <w:suppressAutoHyphens/>
        <w:spacing w:line="276" w:lineRule="auto"/>
        <w:ind w:firstLine="0"/>
        <w:rPr>
          <w:rFonts w:eastAsia="Times New Roman" w:cs="Arial"/>
          <w:lang w:val="es-ES_tradnl" w:eastAsia="es-ES"/>
        </w:rPr>
      </w:pPr>
    </w:p>
    <w:p w14:paraId="41F38103" w14:textId="77777777" w:rsidR="00C7392F" w:rsidRPr="00E42BEA" w:rsidRDefault="00C7392F" w:rsidP="00C7392F">
      <w:pPr>
        <w:spacing w:line="276" w:lineRule="auto"/>
        <w:ind w:right="51" w:firstLine="0"/>
        <w:rPr>
          <w:rFonts w:eastAsia="Times New Roman" w:cs="Arial"/>
          <w:lang w:val="es-ES_tradnl" w:eastAsia="es-ES"/>
        </w:rPr>
      </w:pPr>
      <w:r w:rsidRPr="00E42BEA">
        <w:rPr>
          <w:rFonts w:eastAsia="Times New Roman" w:cs="Arial"/>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35A92762" w14:textId="77777777" w:rsidR="00C7392F" w:rsidRPr="00E42BEA" w:rsidRDefault="00C7392F" w:rsidP="00C7392F">
      <w:pPr>
        <w:suppressAutoHyphens/>
        <w:spacing w:line="276" w:lineRule="auto"/>
        <w:ind w:firstLine="0"/>
        <w:rPr>
          <w:rFonts w:eastAsia="Times New Roman" w:cs="Arial"/>
          <w:lang w:val="es-ES_tradnl" w:eastAsia="es-ES"/>
        </w:rPr>
      </w:pPr>
    </w:p>
    <w:p w14:paraId="3558A588" w14:textId="77777777" w:rsidR="00C7392F" w:rsidRPr="00E42BEA" w:rsidRDefault="00C7392F" w:rsidP="00C7392F">
      <w:pPr>
        <w:suppressAutoHyphens/>
        <w:spacing w:line="240" w:lineRule="auto"/>
        <w:ind w:left="426" w:right="420" w:firstLine="0"/>
        <w:rPr>
          <w:rFonts w:eastAsia="Times New Roman" w:cs="Arial"/>
          <w:sz w:val="22"/>
          <w:lang w:val="es-ES" w:eastAsia="es-ES"/>
        </w:rPr>
      </w:pPr>
      <w:r w:rsidRPr="00E42BEA">
        <w:rPr>
          <w:rFonts w:eastAsia="Times New Roman" w:cs="Arial"/>
          <w:sz w:val="22"/>
          <w:lang w:val="es-ES" w:eastAsia="es-ES"/>
        </w:rPr>
        <w:t>“No obstante, el precedente no constituye una obligatoriedad absoluta, pues en razón del principio de la autonomía judicial, el juez puede apartarse de aquellos, siempre y cuando presente </w:t>
      </w:r>
      <w:r w:rsidRPr="00E42BEA">
        <w:rPr>
          <w:rFonts w:eastAsia="Times New Roman" w:cs="Arial"/>
          <w:b/>
          <w:bCs/>
          <w:sz w:val="22"/>
          <w:lang w:val="es-ES" w:eastAsia="es-ES"/>
        </w:rPr>
        <w:t>(i)</w:t>
      </w:r>
      <w:r w:rsidRPr="00E42BEA">
        <w:rPr>
          <w:rFonts w:eastAsia="Times New Roman" w:cs="Arial"/>
          <w:sz w:val="22"/>
          <w:lang w:val="es-ES" w:eastAsia="es-ES"/>
        </w:rPr>
        <w:t> de forma explícita las razones por las cuales se separa de aquellos, y </w:t>
      </w:r>
      <w:r w:rsidRPr="00E42BEA">
        <w:rPr>
          <w:rFonts w:eastAsia="Times New Roman" w:cs="Arial"/>
          <w:b/>
          <w:bCs/>
          <w:sz w:val="22"/>
          <w:lang w:val="es-ES" w:eastAsia="es-ES"/>
        </w:rPr>
        <w:t>(ii)</w:t>
      </w:r>
      <w:r w:rsidRPr="00E42BEA">
        <w:rPr>
          <w:rFonts w:eastAsia="Times New Roman" w:cs="Arial"/>
          <w:sz w:val="22"/>
          <w:lang w:val="es-ES" w:eastAsia="es-ES"/>
        </w:rPr>
        <w:t> demuestre con suficiencia que su interpretación aporta un mejor desarrollo a los derechos y principios constitucionales.</w:t>
      </w:r>
      <w:bookmarkStart w:id="3" w:name="_ftnref33"/>
      <w:r w:rsidRPr="00E42BEA">
        <w:rPr>
          <w:rFonts w:eastAsia="Times New Roman" w:cs="Arial"/>
          <w:sz w:val="22"/>
          <w:lang w:val="es-ES" w:eastAsia="es-ES"/>
        </w:rPr>
        <w:t>”</w:t>
      </w:r>
      <w:bookmarkEnd w:id="3"/>
    </w:p>
    <w:p w14:paraId="24D31E76" w14:textId="77777777" w:rsidR="00C7392F" w:rsidRPr="00E42BEA" w:rsidRDefault="00C7392F" w:rsidP="00C7392F">
      <w:pPr>
        <w:suppressAutoHyphens/>
        <w:spacing w:line="240" w:lineRule="auto"/>
        <w:ind w:left="426" w:right="420" w:firstLine="0"/>
        <w:rPr>
          <w:rFonts w:eastAsia="Times New Roman" w:cs="Arial"/>
          <w:sz w:val="22"/>
          <w:lang w:val="es-ES" w:eastAsia="es-ES"/>
        </w:rPr>
      </w:pPr>
    </w:p>
    <w:p w14:paraId="5244565B" w14:textId="77777777" w:rsidR="00C7392F" w:rsidRPr="00E42BEA" w:rsidRDefault="00C7392F" w:rsidP="00C7392F">
      <w:pPr>
        <w:suppressAutoHyphens/>
        <w:spacing w:line="240" w:lineRule="auto"/>
        <w:ind w:left="426" w:right="420" w:firstLine="0"/>
        <w:rPr>
          <w:rFonts w:eastAsia="Times New Roman" w:cs="Arial"/>
          <w:sz w:val="22"/>
          <w:lang w:val="es-ES" w:eastAsia="es-ES"/>
        </w:rPr>
      </w:pPr>
      <w:r w:rsidRPr="00E42BEA">
        <w:rPr>
          <w:rFonts w:eastAsia="Times New Roman" w:cs="Arial"/>
          <w:sz w:val="22"/>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E42BEA">
        <w:rPr>
          <w:rFonts w:eastAsia="Times New Roman" w:cs="Arial"/>
          <w:b/>
          <w:sz w:val="22"/>
          <w:lang w:eastAsia="es-ES"/>
        </w:rPr>
        <w:t>sin exponer las razones jurídicas que justifique el cambio de jurisprudencia</w:t>
      </w:r>
      <w:r w:rsidRPr="00E42BEA">
        <w:rPr>
          <w:rFonts w:eastAsia="Times New Roman" w:cs="Arial"/>
          <w:sz w:val="22"/>
          <w:lang w:eastAsia="es-ES"/>
        </w:rPr>
        <w:t>.” (Negrillas fuera del original)</w:t>
      </w:r>
      <w:r w:rsidRPr="00E42BEA">
        <w:rPr>
          <w:rFonts w:eastAsia="Times New Roman" w:cs="Arial"/>
          <w:sz w:val="22"/>
          <w:lang w:val="es-ES" w:eastAsia="es-ES"/>
        </w:rPr>
        <w:t xml:space="preserve"> </w:t>
      </w:r>
    </w:p>
    <w:p w14:paraId="22B1B175" w14:textId="77777777" w:rsidR="00C7392F" w:rsidRPr="00E42BEA" w:rsidRDefault="00C7392F" w:rsidP="00C7392F">
      <w:pPr>
        <w:suppressAutoHyphens/>
        <w:spacing w:line="276" w:lineRule="auto"/>
        <w:ind w:firstLine="0"/>
        <w:rPr>
          <w:rFonts w:eastAsia="Times New Roman" w:cs="Arial"/>
          <w:lang w:val="es-ES" w:eastAsia="es-ES"/>
        </w:rPr>
      </w:pPr>
      <w:r w:rsidRPr="00E42BEA">
        <w:rPr>
          <w:rFonts w:eastAsia="Times New Roman" w:cs="Arial"/>
          <w:lang w:val="es-ES" w:eastAsia="es-ES"/>
        </w:rPr>
        <w:t> </w:t>
      </w:r>
    </w:p>
    <w:p w14:paraId="15F1AB86" w14:textId="77777777" w:rsidR="00C7392F" w:rsidRPr="00E42BEA" w:rsidRDefault="00C7392F" w:rsidP="00C7392F">
      <w:pPr>
        <w:suppressAutoHyphens/>
        <w:spacing w:line="276" w:lineRule="auto"/>
        <w:ind w:firstLine="0"/>
        <w:rPr>
          <w:rFonts w:eastAsia="Times New Roman" w:cs="Arial"/>
          <w:lang w:val="es-ES" w:eastAsia="es-ES"/>
        </w:rPr>
      </w:pPr>
      <w:r w:rsidRPr="00E42BEA">
        <w:rPr>
          <w:rFonts w:eastAsia="Times New Roman" w:cs="Arial"/>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734DFB3C" w14:textId="77777777" w:rsidR="00C7392F" w:rsidRPr="00E42BEA" w:rsidRDefault="00C7392F" w:rsidP="00C7392F">
      <w:pPr>
        <w:suppressAutoHyphens/>
        <w:spacing w:line="276" w:lineRule="auto"/>
        <w:ind w:firstLine="0"/>
        <w:rPr>
          <w:rFonts w:eastAsia="Times New Roman" w:cs="Arial"/>
          <w:b/>
          <w:lang w:val="es-ES_tradnl" w:eastAsia="es-ES"/>
        </w:rPr>
      </w:pPr>
    </w:p>
    <w:p w14:paraId="11AC188C" w14:textId="77777777" w:rsidR="00C7392F" w:rsidRPr="00E42BEA" w:rsidRDefault="00C7392F" w:rsidP="00F44825">
      <w:pPr>
        <w:numPr>
          <w:ilvl w:val="0"/>
          <w:numId w:val="5"/>
        </w:numPr>
        <w:suppressAutoHyphens/>
        <w:spacing w:line="240" w:lineRule="auto"/>
        <w:ind w:left="567" w:hanging="567"/>
        <w:rPr>
          <w:rFonts w:eastAsia="Times New Roman" w:cs="Arial"/>
          <w:lang w:val="es-ES_tradnl" w:eastAsia="es-ES"/>
        </w:rPr>
      </w:pPr>
      <w:r w:rsidRPr="00E42BEA">
        <w:rPr>
          <w:rFonts w:eastAsia="Times New Roman" w:cs="Arial"/>
          <w:b/>
          <w:lang w:val="es-ES_tradnl" w:eastAsia="es-ES"/>
        </w:rPr>
        <w:t>LA POSICIÓN ACTUAL DE LA SALA DE CASACIÓN LABORAL RESPECTO AL TEMA DE LA NULIDAD O INEFICACIA DE LOS TRASLADOS ENTRE REGÍMENES PENSIONALES.</w:t>
      </w:r>
    </w:p>
    <w:p w14:paraId="12366E21" w14:textId="77777777" w:rsidR="00C7392F" w:rsidRPr="00E42BEA" w:rsidRDefault="00C7392F" w:rsidP="00C7392F">
      <w:pPr>
        <w:suppressAutoHyphens/>
        <w:spacing w:line="276" w:lineRule="auto"/>
        <w:ind w:firstLine="0"/>
        <w:rPr>
          <w:rFonts w:eastAsia="Times New Roman" w:cs="Arial"/>
          <w:lang w:val="es-ES_tradnl" w:eastAsia="es-ES"/>
        </w:rPr>
      </w:pPr>
    </w:p>
    <w:p w14:paraId="4D2BB577"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lang w:val="es-ES_tradnl" w:eastAsia="es-ES"/>
        </w:rPr>
        <w:t xml:space="preserve">En acatamiento de lo señalado en las sentencias C-836 de 2001 y C-621 de 2015 desde ya se deja en evidencia que es conocida la jurisprudencia vigente emanada de la </w:t>
      </w:r>
      <w:r w:rsidRPr="00E42BEA">
        <w:rPr>
          <w:rFonts w:eastAsia="Times New Roman" w:cs="Arial"/>
          <w:iCs/>
          <w:lang w:val="es-ES_tradnl" w:eastAsia="es-ES"/>
        </w:rPr>
        <w:t>Sala de Casación Laboral contenida en las sentencias SL1421-2019, SL1452-2019, SL1688-2019 y SL1689-2019 que se concreta en los siguientes razonamientos:</w:t>
      </w:r>
    </w:p>
    <w:p w14:paraId="20DD6907" w14:textId="77777777" w:rsidR="00C7392F" w:rsidRPr="00E42BEA" w:rsidRDefault="00C7392F" w:rsidP="00C7392F">
      <w:pPr>
        <w:suppressAutoHyphens/>
        <w:spacing w:line="276" w:lineRule="auto"/>
        <w:ind w:firstLine="0"/>
        <w:rPr>
          <w:rFonts w:eastAsia="Times New Roman" w:cs="Arial"/>
          <w:iCs/>
          <w:lang w:val="es-ES_tradnl" w:eastAsia="es-ES"/>
        </w:rPr>
      </w:pPr>
    </w:p>
    <w:p w14:paraId="6913005E" w14:textId="77777777" w:rsidR="00C7392F" w:rsidRPr="00E42BEA" w:rsidRDefault="00C7392F" w:rsidP="00F87030">
      <w:pPr>
        <w:numPr>
          <w:ilvl w:val="0"/>
          <w:numId w:val="4"/>
        </w:numPr>
        <w:suppressAutoHyphens/>
        <w:spacing w:line="240" w:lineRule="auto"/>
        <w:rPr>
          <w:rFonts w:eastAsia="Times New Roman" w:cs="Arial"/>
          <w:iCs/>
          <w:lang w:val="es-ES_tradnl" w:eastAsia="es-ES"/>
        </w:rPr>
      </w:pPr>
      <w:r w:rsidRPr="00E42BEA">
        <w:rPr>
          <w:rFonts w:eastAsia="Times New Roman" w:cs="Arial"/>
          <w:iCs/>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1901F349" w14:textId="77777777" w:rsidR="00C7392F" w:rsidRPr="00E42BEA" w:rsidRDefault="00C7392F" w:rsidP="00F87030">
      <w:pPr>
        <w:suppressAutoHyphens/>
        <w:spacing w:line="276" w:lineRule="auto"/>
        <w:ind w:left="720" w:firstLine="0"/>
        <w:rPr>
          <w:rFonts w:eastAsia="Times New Roman" w:cs="Arial"/>
          <w:iCs/>
          <w:lang w:val="es-ES_tradnl" w:eastAsia="es-ES"/>
        </w:rPr>
      </w:pPr>
    </w:p>
    <w:p w14:paraId="7ADF08E3" w14:textId="77777777" w:rsidR="00C7392F" w:rsidRPr="00E42BEA" w:rsidRDefault="00C7392F" w:rsidP="00F87030">
      <w:pPr>
        <w:numPr>
          <w:ilvl w:val="0"/>
          <w:numId w:val="4"/>
        </w:numPr>
        <w:suppressAutoHyphens/>
        <w:spacing w:line="240" w:lineRule="auto"/>
        <w:rPr>
          <w:rFonts w:eastAsia="Times New Roman" w:cs="Arial"/>
          <w:i/>
          <w:iCs/>
          <w:lang w:val="es-ES_tradnl" w:eastAsia="es-ES"/>
        </w:rPr>
      </w:pPr>
      <w:r w:rsidRPr="00E42BEA">
        <w:rPr>
          <w:rFonts w:eastAsia="Times New Roman" w:cs="Arial"/>
        </w:rPr>
        <w:t>El deber de información a cargo de las administradoras de fondos de pensiones es un deber que le es exigible desde la creación de estas entidades</w:t>
      </w:r>
      <w:r w:rsidRPr="00E42BEA">
        <w:rPr>
          <w:rFonts w:eastAsia="Times New Roman" w:cs="Arial"/>
          <w:iCs/>
          <w:lang w:val="es-ES_tradnl" w:eastAsia="es-ES"/>
        </w:rPr>
        <w:t xml:space="preserve">, básicamente porque </w:t>
      </w:r>
      <w:r w:rsidRPr="00E42BEA">
        <w:rPr>
          <w:rFonts w:eastAsia="Times New Roman" w:cs="Arial"/>
          <w:i/>
          <w:iCs/>
          <w:lang w:val="es-ES_tradnl" w:eastAsia="es-ES"/>
        </w:rPr>
        <w:t>“</w:t>
      </w:r>
      <w:r w:rsidRPr="00E42BEA">
        <w:rPr>
          <w:rFonts w:eastAsia="Times New Roman" w:cs="Arial"/>
          <w:i/>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E42BEA">
        <w:rPr>
          <w:rFonts w:eastAsia="Times New Roman" w:cs="Arial"/>
          <w:i/>
        </w:rPr>
        <w:t xml:space="preserve">”. </w:t>
      </w:r>
      <w:r w:rsidRPr="00E42BEA">
        <w:rPr>
          <w:rFonts w:eastAsia="Times New Roman" w:cs="Arial"/>
        </w:rPr>
        <w:t>Deber cuyo nivel de exigencia se elevó con la expedición</w:t>
      </w:r>
      <w:r w:rsidRPr="00E42BEA">
        <w:rPr>
          <w:rFonts w:eastAsia="Times New Roman" w:cs="Arial"/>
          <w:lang w:val="es-ES_tradnl"/>
        </w:rPr>
        <w:t xml:space="preserve"> de la Ley 1328 de 2009 y el Decreto 2241 de 2010, en la medida que </w:t>
      </w:r>
      <w:r w:rsidRPr="00E42BEA">
        <w:rPr>
          <w:rFonts w:eastAsia="Times New Roman" w:cs="Arial"/>
          <w:i/>
        </w:rPr>
        <w:t>“</w:t>
      </w:r>
      <w:r w:rsidRPr="00E42BEA">
        <w:rPr>
          <w:rFonts w:eastAsia="Times New Roman" w:cs="Arial"/>
          <w:i/>
          <w:sz w:val="22"/>
        </w:rPr>
        <w:t>ya no basta con dar a conocer con claridad las distintas opciones de mercado, con sus características, condiciones, riesgos y consecuencias, sino que, adicionalmente, implica un mandato de dar asesoría y buen consejo</w:t>
      </w:r>
      <w:r w:rsidRPr="00E42BEA">
        <w:rPr>
          <w:rFonts w:eastAsia="Times New Roman" w:cs="Arial"/>
          <w:i/>
        </w:rPr>
        <w:t xml:space="preserve">”, </w:t>
      </w:r>
      <w:r w:rsidRPr="00E42BEA">
        <w:rPr>
          <w:rFonts w:eastAsia="Times New Roman" w:cs="Arial"/>
        </w:rPr>
        <w:t>llegando incluso</w:t>
      </w:r>
      <w:r w:rsidRPr="00E42BEA">
        <w:rPr>
          <w:rFonts w:eastAsia="Times New Roman" w:cs="Arial"/>
          <w:iCs/>
          <w:lang w:val="es-ES_tradnl" w:eastAsia="es-ES"/>
        </w:rPr>
        <w:t xml:space="preserve"> a la exigencia de la doble asesoría prevista en </w:t>
      </w:r>
      <w:r w:rsidRPr="00E42BEA">
        <w:rPr>
          <w:rFonts w:eastAsia="Times New Roman" w:cs="Arial"/>
          <w:lang w:val="es-ES_tradnl"/>
        </w:rPr>
        <w:t>la Ley 1748 de 2014, el Decreto 2071 de 2015 y la Circular Externa n.° 016 de 2016.</w:t>
      </w:r>
      <w:r w:rsidRPr="00E42BEA">
        <w:rPr>
          <w:rFonts w:eastAsia="Times New Roman" w:cs="Arial"/>
          <w:i/>
          <w:iCs/>
          <w:lang w:val="es-ES_tradnl" w:eastAsia="es-ES"/>
        </w:rPr>
        <w:t xml:space="preserve"> </w:t>
      </w:r>
    </w:p>
    <w:p w14:paraId="5964F6B5" w14:textId="77777777" w:rsidR="00C7392F" w:rsidRPr="00E42BEA" w:rsidRDefault="00C7392F" w:rsidP="00F87030">
      <w:pPr>
        <w:suppressAutoHyphens/>
        <w:spacing w:line="276" w:lineRule="auto"/>
        <w:ind w:firstLine="0"/>
        <w:rPr>
          <w:rFonts w:eastAsia="Times New Roman" w:cs="Arial"/>
          <w:i/>
          <w:iCs/>
          <w:lang w:val="es-ES_tradnl" w:eastAsia="es-ES"/>
        </w:rPr>
      </w:pPr>
    </w:p>
    <w:p w14:paraId="11595C8B" w14:textId="77777777" w:rsidR="00C7392F" w:rsidRPr="00E42BEA" w:rsidRDefault="00C7392F" w:rsidP="00F87030">
      <w:pPr>
        <w:numPr>
          <w:ilvl w:val="0"/>
          <w:numId w:val="4"/>
        </w:numPr>
        <w:suppressAutoHyphens/>
        <w:spacing w:line="240" w:lineRule="auto"/>
        <w:rPr>
          <w:rFonts w:eastAsia="Times New Roman" w:cs="Arial"/>
          <w:i/>
          <w:iCs/>
          <w:lang w:val="es-ES_tradnl" w:eastAsia="es-ES"/>
        </w:rPr>
      </w:pPr>
      <w:r w:rsidRPr="00E42BEA">
        <w:rPr>
          <w:rFonts w:eastAsia="Times New Roman" w:cs="Arial"/>
        </w:rPr>
        <w:t>El simple consentimiento vertido en el formulario de afiliación es insuficiente para darle eficacia al acto del traslado, pues ello solo no da cuenta de que haya sido, como se requiere en estos eventos, un “consentimiento informado”.</w:t>
      </w:r>
    </w:p>
    <w:p w14:paraId="2C3FEB5B" w14:textId="77777777" w:rsidR="00C7392F" w:rsidRPr="00E42BEA" w:rsidRDefault="00C7392F" w:rsidP="00F87030">
      <w:pPr>
        <w:suppressAutoHyphens/>
        <w:spacing w:line="276" w:lineRule="auto"/>
        <w:ind w:firstLine="0"/>
        <w:rPr>
          <w:rFonts w:eastAsia="Times New Roman" w:cs="Arial"/>
          <w:i/>
          <w:iCs/>
          <w:lang w:val="es-ES_tradnl" w:eastAsia="es-ES"/>
        </w:rPr>
      </w:pPr>
    </w:p>
    <w:p w14:paraId="2B34D801" w14:textId="77777777" w:rsidR="00C7392F" w:rsidRPr="00E42BEA" w:rsidRDefault="00C7392F" w:rsidP="00F87030">
      <w:pPr>
        <w:numPr>
          <w:ilvl w:val="0"/>
          <w:numId w:val="4"/>
        </w:numPr>
        <w:suppressAutoHyphens/>
        <w:spacing w:line="240" w:lineRule="auto"/>
        <w:rPr>
          <w:rFonts w:eastAsia="Times New Roman" w:cs="Arial"/>
          <w:i/>
          <w:iCs/>
          <w:lang w:val="es-ES_tradnl" w:eastAsia="es-ES"/>
        </w:rPr>
      </w:pPr>
      <w:r w:rsidRPr="00E42BEA">
        <w:rPr>
          <w:rFonts w:eastAsia="Times New Roman" w:cs="Arial"/>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254F5EF4" w14:textId="77777777" w:rsidR="00C7392F" w:rsidRPr="00E42BEA" w:rsidRDefault="00C7392F" w:rsidP="00F87030">
      <w:pPr>
        <w:suppressAutoHyphens/>
        <w:spacing w:line="276" w:lineRule="auto"/>
        <w:ind w:firstLine="0"/>
        <w:rPr>
          <w:rFonts w:eastAsia="Times New Roman" w:cs="Arial"/>
          <w:i/>
          <w:iCs/>
          <w:lang w:val="es-ES_tradnl" w:eastAsia="es-ES"/>
        </w:rPr>
      </w:pPr>
    </w:p>
    <w:p w14:paraId="70FA8025" w14:textId="77777777" w:rsidR="00C7392F" w:rsidRPr="00E42BEA" w:rsidRDefault="00C7392F" w:rsidP="00F87030">
      <w:pPr>
        <w:numPr>
          <w:ilvl w:val="0"/>
          <w:numId w:val="4"/>
        </w:numPr>
        <w:suppressAutoHyphens/>
        <w:spacing w:line="240" w:lineRule="auto"/>
        <w:rPr>
          <w:rFonts w:eastAsia="Calibri" w:cs="Arial"/>
          <w:lang w:val="es-ES"/>
        </w:rPr>
      </w:pPr>
      <w:r w:rsidRPr="00E42BEA">
        <w:rPr>
          <w:rFonts w:eastAsia="Times New Roman" w:cs="Arial"/>
        </w:rPr>
        <w:t xml:space="preserve">Acreditada la falta de consentimiento informado corresponde declarar la ineficacia del traslado y como consecuencia de ello </w:t>
      </w:r>
      <w:r w:rsidRPr="00E42BEA">
        <w:rPr>
          <w:rFonts w:eastAsia="Times New Roman" w:cs="Arial"/>
          <w:lang w:val="es-ES"/>
        </w:rPr>
        <w:t xml:space="preserve">entonces, para efectos de la concreción de los derechos pensionales reclamados, se debe imponer la obligación de la AFP de trasladar a Colpensiones </w:t>
      </w:r>
      <w:r w:rsidRPr="00E42BEA">
        <w:rPr>
          <w:rFonts w:eastAsia="Times New Roman" w:cs="Arial"/>
        </w:rPr>
        <w:t>los valores correspondientes a las cotizaciones, rendimientos financieros y gastos de administración, pertenecientes a la cuenta de quien demanda</w:t>
      </w:r>
      <w:r w:rsidRPr="00E42BEA">
        <w:rPr>
          <w:rFonts w:eastAsia="Times New Roman" w:cs="Arial"/>
          <w:color w:val="000000"/>
        </w:rPr>
        <w:t xml:space="preserve"> </w:t>
      </w:r>
      <w:r w:rsidRPr="00E42BEA">
        <w:rPr>
          <w:rFonts w:eastAsia="Times New Roman" w:cs="Arial"/>
          <w:lang w:val="es-ES"/>
        </w:rPr>
        <w:t>para que sea esta entidad la que proceda a reconocer la pensión con base en las disposiciones que guían el RPM.</w:t>
      </w:r>
    </w:p>
    <w:p w14:paraId="5512EC8C" w14:textId="77777777" w:rsidR="00C7392F" w:rsidRPr="00E42BEA" w:rsidRDefault="00C7392F" w:rsidP="00F87030">
      <w:pPr>
        <w:suppressAutoHyphens/>
        <w:spacing w:line="276" w:lineRule="auto"/>
        <w:ind w:firstLine="0"/>
        <w:rPr>
          <w:rFonts w:eastAsia="Times New Roman" w:cs="Arial"/>
          <w:lang w:val="es-ES" w:eastAsia="es-ES"/>
        </w:rPr>
      </w:pPr>
    </w:p>
    <w:p w14:paraId="5209A048" w14:textId="77777777" w:rsidR="00C7392F" w:rsidRPr="00E42BEA" w:rsidRDefault="00C7392F" w:rsidP="00F87030">
      <w:pPr>
        <w:numPr>
          <w:ilvl w:val="0"/>
          <w:numId w:val="5"/>
        </w:numPr>
        <w:suppressAutoHyphens/>
        <w:spacing w:line="240" w:lineRule="auto"/>
        <w:ind w:left="567" w:hanging="567"/>
        <w:rPr>
          <w:rFonts w:eastAsia="Times New Roman" w:cs="Arial"/>
          <w:b/>
          <w:lang w:val="es-ES" w:eastAsia="es-ES"/>
        </w:rPr>
      </w:pPr>
      <w:r w:rsidRPr="00E42BEA">
        <w:rPr>
          <w:rFonts w:eastAsia="Times New Roman" w:cs="Arial"/>
          <w:b/>
          <w:lang w:val="es-ES" w:eastAsia="es-ES"/>
        </w:rPr>
        <w:t>CONTENIDO DE LOS ARTÍCULOS 13 LITERAL b) y 271 DE LA LEY 100 DE 1993</w:t>
      </w:r>
    </w:p>
    <w:p w14:paraId="5656D9CC" w14:textId="77777777" w:rsidR="00C7392F" w:rsidRPr="00E42BEA" w:rsidRDefault="00C7392F" w:rsidP="00C7392F">
      <w:pPr>
        <w:suppressAutoHyphens/>
        <w:spacing w:line="276" w:lineRule="auto"/>
        <w:ind w:firstLine="0"/>
        <w:rPr>
          <w:rFonts w:eastAsia="Times New Roman" w:cs="Arial"/>
          <w:b/>
          <w:lang w:val="es-ES" w:eastAsia="es-ES"/>
        </w:rPr>
      </w:pPr>
    </w:p>
    <w:p w14:paraId="5CEE59AC" w14:textId="77777777" w:rsidR="00C7392F" w:rsidRPr="00E42BEA" w:rsidRDefault="00C7392F" w:rsidP="00C7392F">
      <w:pPr>
        <w:suppressAutoHyphens/>
        <w:spacing w:line="276" w:lineRule="auto"/>
        <w:ind w:firstLine="0"/>
        <w:rPr>
          <w:rFonts w:eastAsia="Times New Roman" w:cs="Arial"/>
          <w:lang w:val="es-ES" w:eastAsia="es-ES"/>
        </w:rPr>
      </w:pPr>
      <w:r w:rsidRPr="00E42BEA">
        <w:rPr>
          <w:rFonts w:eastAsia="Times New Roman" w:cs="Arial"/>
          <w:lang w:val="es-ES" w:eastAsia="es-ES"/>
        </w:rPr>
        <w:t>De conformidad con el literal b) del artículo 13 de la ley 100 de 199</w:t>
      </w:r>
      <w:r w:rsidRPr="00E42BEA">
        <w:rPr>
          <w:rFonts w:eastAsia="Times New Roman" w:cs="Arial"/>
          <w:b/>
          <w:lang w:val="es-ES" w:eastAsia="es-ES"/>
        </w:rPr>
        <w:t xml:space="preserve">3, </w:t>
      </w:r>
      <w:r w:rsidRPr="00E42BEA">
        <w:rPr>
          <w:rFonts w:eastAsia="Times New Roman" w:cs="Arial"/>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3EF31146" w14:textId="77777777" w:rsidR="00C7392F" w:rsidRPr="00E42BEA" w:rsidRDefault="00C7392F" w:rsidP="00C7392F">
      <w:pPr>
        <w:suppressAutoHyphens/>
        <w:spacing w:line="276" w:lineRule="auto"/>
        <w:ind w:firstLine="0"/>
        <w:rPr>
          <w:rFonts w:eastAsia="Times New Roman" w:cs="Arial"/>
          <w:lang w:val="es-ES" w:eastAsia="es-ES"/>
        </w:rPr>
      </w:pPr>
    </w:p>
    <w:p w14:paraId="0DEA7297" w14:textId="77777777" w:rsidR="00C7392F" w:rsidRPr="00E42BEA" w:rsidRDefault="00C7392F" w:rsidP="00C7392F">
      <w:pPr>
        <w:numPr>
          <w:ilvl w:val="0"/>
          <w:numId w:val="6"/>
        </w:numPr>
        <w:suppressAutoHyphens/>
        <w:spacing w:after="200" w:line="240" w:lineRule="auto"/>
        <w:rPr>
          <w:rFonts w:eastAsia="Times New Roman" w:cs="Arial"/>
          <w:lang w:val="es-ES_tradnl" w:eastAsia="es-ES"/>
        </w:rPr>
      </w:pPr>
      <w:r w:rsidRPr="00E42BEA">
        <w:rPr>
          <w:rFonts w:eastAsia="Times New Roman" w:cs="Arial"/>
          <w:lang w:val="es-ES_tradnl" w:eastAsia="es-ES"/>
        </w:rPr>
        <w:t>La conducta sancionable consiste en impedir o atentar “en cualquier forma contra el derecho del trabajador a su afiliación y selección de organismos del e instituciones del sistema de seguridad social integral”</w:t>
      </w:r>
    </w:p>
    <w:p w14:paraId="763ABB42" w14:textId="77777777" w:rsidR="00C7392F" w:rsidRPr="00E42BEA" w:rsidRDefault="00C7392F" w:rsidP="00C7392F">
      <w:pPr>
        <w:suppressAutoHyphens/>
        <w:spacing w:line="276" w:lineRule="auto"/>
        <w:ind w:left="360" w:firstLine="0"/>
        <w:rPr>
          <w:rFonts w:eastAsia="Times New Roman" w:cs="Arial"/>
          <w:lang w:val="es-ES_tradnl" w:eastAsia="es-ES"/>
        </w:rPr>
      </w:pPr>
    </w:p>
    <w:p w14:paraId="462EB9DA" w14:textId="77777777" w:rsidR="00C7392F" w:rsidRPr="00E42BEA" w:rsidRDefault="00C7392F" w:rsidP="00F87030">
      <w:pPr>
        <w:numPr>
          <w:ilvl w:val="0"/>
          <w:numId w:val="6"/>
        </w:numPr>
        <w:suppressAutoHyphens/>
        <w:spacing w:line="240" w:lineRule="auto"/>
        <w:rPr>
          <w:rFonts w:eastAsia="Times New Roman" w:cs="Arial"/>
          <w:lang w:val="es-ES_tradnl" w:eastAsia="es-ES"/>
        </w:rPr>
      </w:pPr>
      <w:r w:rsidRPr="00E42BEA">
        <w:rPr>
          <w:rFonts w:eastAsia="Times New Roman" w:cs="Arial"/>
          <w:lang w:val="es-ES_tradnl" w:eastAsia="es-ES"/>
        </w:rPr>
        <w:t>El sujeto activo de la conducta es el empleador o cualquier persona natural o jurídica que impida o atente contra la libre afiliación o selección de organismos del sistema de seguridad social.</w:t>
      </w:r>
    </w:p>
    <w:p w14:paraId="099CC92C" w14:textId="77777777" w:rsidR="00C7392F" w:rsidRPr="00E42BEA" w:rsidRDefault="00C7392F" w:rsidP="00F87030">
      <w:pPr>
        <w:suppressAutoHyphens/>
        <w:spacing w:line="276" w:lineRule="auto"/>
        <w:ind w:left="360" w:firstLine="0"/>
        <w:rPr>
          <w:rFonts w:eastAsia="Times New Roman" w:cs="Arial"/>
          <w:b/>
          <w:bCs/>
          <w:lang w:val="es-ES" w:eastAsia="es-ES"/>
        </w:rPr>
      </w:pPr>
    </w:p>
    <w:p w14:paraId="5EDE62D1" w14:textId="77777777" w:rsidR="00C7392F" w:rsidRPr="00E42BEA" w:rsidRDefault="00C7392F" w:rsidP="00F87030">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La sanción es una multa por un valor entre uno y 50 SMLMV.</w:t>
      </w:r>
    </w:p>
    <w:p w14:paraId="1481D0DB" w14:textId="77777777" w:rsidR="00C7392F" w:rsidRPr="00E42BEA" w:rsidRDefault="00C7392F" w:rsidP="00F87030">
      <w:pPr>
        <w:suppressAutoHyphens/>
        <w:spacing w:line="276" w:lineRule="auto"/>
        <w:ind w:left="360" w:firstLine="0"/>
        <w:rPr>
          <w:rFonts w:eastAsia="Times New Roman" w:cs="Arial"/>
          <w:b/>
          <w:bCs/>
          <w:lang w:val="es-ES" w:eastAsia="es-ES"/>
        </w:rPr>
      </w:pPr>
    </w:p>
    <w:p w14:paraId="53362EBC" w14:textId="77777777" w:rsidR="00C7392F" w:rsidRPr="00E42BEA" w:rsidRDefault="00C7392F" w:rsidP="00F87030">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El funcionario competente para imponerla es el Ministerio del Trabajo y Seguridad Social o el Ministerio de Salud.</w:t>
      </w:r>
    </w:p>
    <w:p w14:paraId="60ABBF95" w14:textId="77777777" w:rsidR="00C7392F" w:rsidRPr="00E42BEA" w:rsidRDefault="00C7392F" w:rsidP="00F87030">
      <w:pPr>
        <w:suppressAutoHyphens/>
        <w:spacing w:line="276" w:lineRule="auto"/>
        <w:ind w:left="360" w:firstLine="0"/>
        <w:rPr>
          <w:rFonts w:eastAsia="Times New Roman" w:cs="Arial"/>
          <w:b/>
          <w:bCs/>
          <w:lang w:val="es-ES" w:eastAsia="es-ES"/>
        </w:rPr>
      </w:pPr>
    </w:p>
    <w:p w14:paraId="37E19670" w14:textId="77777777" w:rsidR="00C7392F" w:rsidRPr="00E42BEA" w:rsidRDefault="00C7392F" w:rsidP="00F87030">
      <w:pPr>
        <w:numPr>
          <w:ilvl w:val="0"/>
          <w:numId w:val="6"/>
        </w:numPr>
        <w:suppressAutoHyphens/>
        <w:spacing w:line="240" w:lineRule="auto"/>
        <w:rPr>
          <w:rFonts w:eastAsia="Times New Roman" w:cs="Arial"/>
          <w:b/>
          <w:bCs/>
          <w:lang w:val="es-ES" w:eastAsia="es-ES"/>
        </w:rPr>
      </w:pPr>
      <w:r w:rsidRPr="00E42BEA">
        <w:rPr>
          <w:rFonts w:eastAsia="Times New Roman" w:cs="Arial"/>
          <w:b/>
          <w:bCs/>
          <w:lang w:val="es-ES" w:eastAsia="es-ES"/>
        </w:rPr>
        <w:t>Una vez impuesta la sanción por el funcionario competente la afiliación respectiva podrá realizarse nuevamente en forma libre y espontánea.</w:t>
      </w:r>
    </w:p>
    <w:p w14:paraId="64552253" w14:textId="77777777" w:rsidR="00C7392F" w:rsidRPr="00E42BEA" w:rsidRDefault="00C7392F" w:rsidP="00F87030">
      <w:pPr>
        <w:suppressAutoHyphens/>
        <w:spacing w:line="276" w:lineRule="auto"/>
        <w:ind w:firstLine="0"/>
        <w:rPr>
          <w:rFonts w:eastAsia="Times New Roman" w:cs="Arial"/>
          <w:lang w:val="es-ES" w:eastAsia="es-ES"/>
        </w:rPr>
      </w:pPr>
    </w:p>
    <w:p w14:paraId="3401AF3F" w14:textId="77777777" w:rsidR="00C7392F" w:rsidRPr="00E42BEA" w:rsidRDefault="00C7392F" w:rsidP="00F87030">
      <w:pPr>
        <w:numPr>
          <w:ilvl w:val="0"/>
          <w:numId w:val="5"/>
        </w:numPr>
        <w:suppressAutoHyphens/>
        <w:spacing w:line="240" w:lineRule="auto"/>
        <w:ind w:left="426" w:hanging="426"/>
        <w:rPr>
          <w:rFonts w:eastAsia="Times New Roman" w:cs="Arial"/>
          <w:b/>
          <w:lang w:val="es-ES_tradnl" w:eastAsia="es-ES"/>
        </w:rPr>
      </w:pPr>
      <w:r w:rsidRPr="00E42BEA">
        <w:rPr>
          <w:rFonts w:eastAsia="Times New Roman" w:cs="Arial"/>
          <w:b/>
          <w:lang w:val="es-ES_tradnl" w:eastAsia="es-ES"/>
        </w:rPr>
        <w:t>OBSERVACIONES SOBRE EL CONTENIDO DEL ARTÍCULO 271 DE LA LEY 100 DE 1993 Y LA APLICACIÓN QUE VIENE DÁNDOLE LA CORTE SUPREMA.</w:t>
      </w:r>
    </w:p>
    <w:p w14:paraId="3FACDB1B" w14:textId="77777777" w:rsidR="00C7392F" w:rsidRPr="00E42BEA" w:rsidRDefault="00C7392F" w:rsidP="00F87030">
      <w:pPr>
        <w:suppressAutoHyphens/>
        <w:spacing w:line="276" w:lineRule="auto"/>
        <w:ind w:firstLine="0"/>
        <w:rPr>
          <w:rFonts w:eastAsia="Times New Roman" w:cs="Arial"/>
          <w:lang w:val="es-ES_tradnl" w:eastAsia="es-ES"/>
        </w:rPr>
      </w:pPr>
    </w:p>
    <w:p w14:paraId="655E5EC4"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E42BEA">
        <w:rPr>
          <w:rFonts w:eastAsia="Times New Roman" w:cs="Arial"/>
          <w:b/>
          <w:lang w:val="es-ES_tradnl" w:eastAsia="es-ES"/>
        </w:rPr>
        <w:t xml:space="preserve"> “En la interpretación de leyes prohibitivas no deben buscarse analogías o razones para hacerlas extensivas a casos no comprendidos claramente en la prohibición”, t</w:t>
      </w:r>
      <w:r w:rsidRPr="00E42BEA">
        <w:rPr>
          <w:rFonts w:eastAsia="Times New Roman" w:cs="Arial"/>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E42BEA">
        <w:rPr>
          <w:rFonts w:eastAsia="Times New Roman" w:cs="Arial"/>
          <w:b/>
          <w:lang w:val="es-ES_tradnl" w:eastAsia="es-ES"/>
        </w:rPr>
        <w:t>“Sanciones al empleador”</w:t>
      </w:r>
      <w:r w:rsidRPr="00E42BEA">
        <w:rPr>
          <w:rFonts w:eastAsia="Times New Roman" w:cs="Arial"/>
          <w:lang w:val="es-ES_tradnl" w:eastAsia="es-ES"/>
        </w:rPr>
        <w:t>,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RAIS que les conciernen en desarrollo de su objeto social, pues para tales efectos hay legislación específica que adelante se resaltará.</w:t>
      </w:r>
    </w:p>
    <w:p w14:paraId="70667BBD" w14:textId="77777777" w:rsidR="00C7392F" w:rsidRPr="00E42BEA" w:rsidRDefault="00C7392F" w:rsidP="00C7392F">
      <w:pPr>
        <w:suppressAutoHyphens/>
        <w:spacing w:line="276" w:lineRule="auto"/>
        <w:ind w:firstLine="0"/>
        <w:rPr>
          <w:rFonts w:eastAsia="Times New Roman" w:cs="Arial"/>
          <w:lang w:val="es-ES_tradnl" w:eastAsia="es-ES"/>
        </w:rPr>
      </w:pPr>
    </w:p>
    <w:p w14:paraId="26A5E923"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5EDB7B6" w14:textId="77777777" w:rsidR="00C7392F" w:rsidRPr="00E42BEA" w:rsidRDefault="00C7392F" w:rsidP="00C7392F">
      <w:pPr>
        <w:suppressAutoHyphens/>
        <w:spacing w:line="276" w:lineRule="auto"/>
        <w:ind w:firstLine="0"/>
        <w:rPr>
          <w:rFonts w:eastAsia="Times New Roman" w:cs="Arial"/>
          <w:lang w:val="es-ES_tradnl" w:eastAsia="es-ES"/>
        </w:rPr>
      </w:pPr>
    </w:p>
    <w:p w14:paraId="4BAD8C58" w14:textId="77777777" w:rsidR="00C7392F" w:rsidRPr="00E42BEA" w:rsidRDefault="00C7392F" w:rsidP="00C7392F">
      <w:pPr>
        <w:suppressAutoHyphens/>
        <w:spacing w:line="276" w:lineRule="auto"/>
        <w:ind w:firstLine="0"/>
        <w:rPr>
          <w:rFonts w:eastAsia="Times New Roman" w:cs="Arial"/>
          <w:b/>
          <w:lang w:val="es-ES_tradnl" w:eastAsia="es-ES"/>
        </w:rPr>
      </w:pPr>
      <w:r w:rsidRPr="00E42BEA">
        <w:rPr>
          <w:rFonts w:eastAsia="Times New Roman" w:cs="Arial"/>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E42BEA">
        <w:rPr>
          <w:rFonts w:eastAsia="Times New Roman" w:cs="Arial"/>
          <w:b/>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5BEDF3E5" w14:textId="77777777" w:rsidR="00C7392F" w:rsidRPr="00E42BEA" w:rsidRDefault="00C7392F" w:rsidP="00C7392F">
      <w:pPr>
        <w:suppressAutoHyphens/>
        <w:spacing w:line="276" w:lineRule="auto"/>
        <w:ind w:firstLine="0"/>
        <w:rPr>
          <w:rFonts w:eastAsia="Times New Roman" w:cs="Arial"/>
          <w:b/>
          <w:lang w:val="es-ES_tradnl" w:eastAsia="es-ES"/>
        </w:rPr>
      </w:pPr>
    </w:p>
    <w:p w14:paraId="52B26F8F" w14:textId="77777777" w:rsidR="00C7392F" w:rsidRPr="00E42BEA" w:rsidRDefault="00C7392F" w:rsidP="00C7392F">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226E92D9" w14:textId="77777777" w:rsidR="00C7392F" w:rsidRPr="00E42BEA" w:rsidRDefault="00C7392F" w:rsidP="00C7392F">
      <w:pPr>
        <w:suppressAutoHyphens/>
        <w:spacing w:line="276" w:lineRule="auto"/>
        <w:ind w:firstLine="0"/>
        <w:rPr>
          <w:rFonts w:eastAsia="Times New Roman" w:cs="Arial"/>
          <w:lang w:val="es-ES_tradnl" w:eastAsia="es-ES"/>
        </w:rPr>
      </w:pPr>
    </w:p>
    <w:p w14:paraId="070456C4" w14:textId="77777777" w:rsidR="00C7392F" w:rsidRPr="00E42BEA" w:rsidRDefault="00C7392F" w:rsidP="00C7392F">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4C815F11" w14:textId="77777777" w:rsidR="00C7392F" w:rsidRPr="00E42BEA" w:rsidRDefault="00C7392F" w:rsidP="00C7392F">
      <w:pPr>
        <w:suppressAutoHyphens/>
        <w:spacing w:line="276" w:lineRule="auto"/>
        <w:ind w:firstLine="0"/>
        <w:rPr>
          <w:rFonts w:eastAsia="Times New Roman" w:cs="Arial"/>
          <w:b/>
          <w:bCs/>
          <w:lang w:val="es-ES" w:eastAsia="es-ES"/>
        </w:rPr>
      </w:pPr>
    </w:p>
    <w:p w14:paraId="1A28DC0E" w14:textId="77777777" w:rsidR="00C7392F" w:rsidRPr="00E42BEA" w:rsidRDefault="00C7392F" w:rsidP="00C7392F">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 primera que la competencia para determinar si se incurrió en la conducta que amerita multa es de los Ministerios de Trabajo y de Salud y ella se constituye en el fundamento de la declaratoria de ineficacia.</w:t>
      </w:r>
    </w:p>
    <w:p w14:paraId="2C8EC680" w14:textId="77777777" w:rsidR="00C7392F" w:rsidRPr="00E42BEA" w:rsidRDefault="00C7392F" w:rsidP="00C7392F">
      <w:pPr>
        <w:suppressAutoHyphens/>
        <w:spacing w:line="276" w:lineRule="auto"/>
        <w:ind w:firstLine="0"/>
        <w:rPr>
          <w:rFonts w:eastAsia="Times New Roman" w:cs="Arial"/>
          <w:b/>
          <w:bCs/>
          <w:lang w:val="es-ES" w:eastAsia="es-ES"/>
        </w:rPr>
      </w:pPr>
    </w:p>
    <w:p w14:paraId="7C61E5ED" w14:textId="77777777" w:rsidR="00C7392F" w:rsidRPr="00E42BEA" w:rsidRDefault="00C7392F" w:rsidP="00C7392F">
      <w:pPr>
        <w:suppressAutoHyphens/>
        <w:spacing w:line="276" w:lineRule="auto"/>
        <w:ind w:firstLine="0"/>
        <w:rPr>
          <w:rFonts w:eastAsia="Times New Roman" w:cs="Arial"/>
          <w:lang w:val="es-ES" w:eastAsia="es-ES"/>
        </w:rPr>
      </w:pPr>
      <w:r w:rsidRPr="00E42BEA">
        <w:rPr>
          <w:rFonts w:eastAsia="Times New Roman" w:cs="Arial"/>
          <w:b/>
          <w:bCs/>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E42BEA">
        <w:rPr>
          <w:rFonts w:eastAsia="Times New Roman" w:cs="Arial"/>
          <w:lang w:val="es-ES" w:eastAsia="es-ES"/>
        </w:rPr>
        <w:t>:</w:t>
      </w:r>
    </w:p>
    <w:p w14:paraId="52BEB599" w14:textId="77777777" w:rsidR="00C7392F" w:rsidRPr="00E42BEA" w:rsidRDefault="00C7392F" w:rsidP="00C7392F">
      <w:pPr>
        <w:suppressAutoHyphens/>
        <w:spacing w:line="276" w:lineRule="auto"/>
        <w:ind w:firstLine="0"/>
        <w:rPr>
          <w:rFonts w:eastAsia="Times New Roman" w:cs="Arial"/>
          <w:lang w:val="es-ES_tradnl" w:eastAsia="es-ES"/>
        </w:rPr>
      </w:pPr>
    </w:p>
    <w:p w14:paraId="79499C33" w14:textId="77777777" w:rsidR="00C7392F" w:rsidRPr="00E42BEA" w:rsidRDefault="00C7392F" w:rsidP="00C7392F">
      <w:pPr>
        <w:suppressAutoHyphens/>
        <w:spacing w:line="240" w:lineRule="auto"/>
        <w:ind w:left="426" w:right="420" w:firstLine="0"/>
        <w:rPr>
          <w:rFonts w:eastAsia="Times New Roman" w:cs="Arial"/>
          <w:sz w:val="22"/>
          <w:lang w:val="es-ES_tradnl" w:eastAsia="es-ES"/>
        </w:rPr>
      </w:pPr>
      <w:r w:rsidRPr="00E42BEA">
        <w:rPr>
          <w:rFonts w:eastAsia="Times New Roman" w:cs="Arial"/>
          <w:sz w:val="22"/>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7FA46C4" w14:textId="77777777" w:rsidR="00C7392F" w:rsidRPr="00E42BEA" w:rsidRDefault="00C7392F" w:rsidP="00C7392F">
      <w:pPr>
        <w:suppressAutoHyphens/>
        <w:spacing w:line="240" w:lineRule="auto"/>
        <w:ind w:left="426" w:right="420" w:firstLine="0"/>
        <w:rPr>
          <w:rFonts w:eastAsia="Times New Roman" w:cs="Arial"/>
          <w:sz w:val="22"/>
          <w:lang w:val="es-ES_tradnl" w:eastAsia="es-ES"/>
        </w:rPr>
      </w:pPr>
    </w:p>
    <w:p w14:paraId="777998F4" w14:textId="77777777" w:rsidR="00C7392F" w:rsidRPr="00E42BEA" w:rsidRDefault="00C7392F" w:rsidP="00C7392F">
      <w:pPr>
        <w:suppressAutoHyphens/>
        <w:spacing w:line="240" w:lineRule="auto"/>
        <w:ind w:left="851" w:right="845" w:firstLine="0"/>
        <w:rPr>
          <w:rFonts w:eastAsia="Times New Roman" w:cs="Arial"/>
          <w:sz w:val="22"/>
          <w:lang w:val="es-ES_tradnl" w:eastAsia="es-ES"/>
        </w:rPr>
      </w:pPr>
      <w:r w:rsidRPr="00E42BEA">
        <w:rPr>
          <w:rFonts w:eastAsia="Times New Roman" w:cs="Arial"/>
          <w:i/>
          <w:sz w:val="22"/>
          <w:lang w:val="es-ES_tradnl" w:eastAsia="es-ES"/>
        </w:rPr>
        <w:t>“</w:t>
      </w:r>
      <w:r w:rsidRPr="00E42BEA">
        <w:rPr>
          <w:rFonts w:eastAsia="Times New Roman" w:cs="Arial"/>
          <w:b/>
          <w:i/>
          <w:sz w:val="22"/>
          <w:lang w:val="es-ES_tradnl" w:eastAsia="es-ES"/>
        </w:rPr>
        <w:t>Permanencia de la afiliación</w:t>
      </w:r>
      <w:r w:rsidRPr="00E42BEA">
        <w:rPr>
          <w:rFonts w:eastAsia="Times New Roman" w:cs="Arial"/>
          <w:i/>
          <w:sz w:val="22"/>
          <w:lang w:val="es-ES_tradnl" w:eastAsia="es-ES"/>
        </w:rPr>
        <w:t xml:space="preserve">. La afiliación al Sistema General de Pensiones es permanente </w:t>
      </w:r>
      <w:r w:rsidRPr="00E42BEA">
        <w:rPr>
          <w:rFonts w:eastAsia="Times New Roman" w:cs="Arial"/>
          <w:i/>
          <w:sz w:val="22"/>
          <w:u w:val="single"/>
          <w:lang w:val="es-ES_tradnl" w:eastAsia="es-ES"/>
        </w:rPr>
        <w:t>e independiente del régimen que seleccione el afiliado</w:t>
      </w:r>
      <w:r w:rsidRPr="00E42BEA">
        <w:rPr>
          <w:rFonts w:eastAsia="Times New Roman" w:cs="Arial"/>
          <w:i/>
          <w:sz w:val="22"/>
          <w:lang w:val="es-ES_tradnl" w:eastAsia="es-ES"/>
        </w:rPr>
        <w:t>. Dicha afiliación no se pierde por haber dejado de cotizar durante uno o varios períodos, pero podrá pasar a la categoría de afiliados inactivos, cuando tengan más de seis meses de no pago de cotizaciones.”</w:t>
      </w:r>
    </w:p>
    <w:p w14:paraId="0EEDBAFC"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 </w:t>
      </w:r>
    </w:p>
    <w:p w14:paraId="512B1037"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Y la tercera y más importante, </w:t>
      </w:r>
      <w:r w:rsidRPr="00E42BEA">
        <w:rPr>
          <w:rFonts w:eastAsia="Times New Roman" w:cs="Arial"/>
          <w:b/>
          <w:lang w:val="es-ES_tradnl" w:eastAsia="es-ES"/>
        </w:rPr>
        <w:t>que como se analiza a continuación existe una acción diferente y precisa para los casos como el presente en que se aduce la deficiente o nula información brindada por las AFP para obtener la vinculación de una persona al RAIS a pesar del perjuicio que ello le pudiere significar</w:t>
      </w:r>
      <w:r w:rsidRPr="00E42BEA">
        <w:rPr>
          <w:rFonts w:eastAsia="Times New Roman" w:cs="Arial"/>
          <w:lang w:val="es-ES_tradnl" w:eastAsia="es-ES"/>
        </w:rPr>
        <w:t>.</w:t>
      </w:r>
    </w:p>
    <w:p w14:paraId="7C19F06F" w14:textId="77777777" w:rsidR="00C7392F" w:rsidRPr="00E42BEA" w:rsidRDefault="00C7392F" w:rsidP="00C7392F">
      <w:pPr>
        <w:suppressAutoHyphens/>
        <w:spacing w:line="276" w:lineRule="auto"/>
        <w:ind w:firstLine="0"/>
        <w:rPr>
          <w:rFonts w:eastAsia="Times New Roman" w:cs="Arial"/>
          <w:lang w:val="es-ES_tradnl" w:eastAsia="es-ES"/>
        </w:rPr>
      </w:pPr>
    </w:p>
    <w:p w14:paraId="0A29C618" w14:textId="77777777" w:rsidR="00C7392F" w:rsidRPr="00E42BEA" w:rsidRDefault="00C7392F" w:rsidP="00F87030">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CONSECUENCIAS DE LA APLICACIÓN DE LA TESIS DE LA INEFICACIA DE LOS TRASLADOS CON FUNDAMENTO EN LOS ARTÍCULOS 13 Y 271 DE LA LEY 100 DE 1993.</w:t>
      </w:r>
    </w:p>
    <w:p w14:paraId="7FA12C41" w14:textId="77777777" w:rsidR="00C7392F" w:rsidRPr="00E42BEA" w:rsidRDefault="00C7392F" w:rsidP="00C7392F">
      <w:pPr>
        <w:suppressAutoHyphens/>
        <w:spacing w:line="276" w:lineRule="auto"/>
        <w:ind w:firstLine="0"/>
        <w:rPr>
          <w:rFonts w:eastAsia="Times New Roman" w:cs="Arial"/>
          <w:lang w:val="es-ES_tradnl" w:eastAsia="es-ES"/>
        </w:rPr>
      </w:pPr>
    </w:p>
    <w:p w14:paraId="652BB9E3" w14:textId="77777777" w:rsidR="00C7392F" w:rsidRPr="00E42BEA" w:rsidRDefault="00C7392F" w:rsidP="00C7392F">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Las declaraciones de ineficacias de traslados envuelven los siguientes resultados:</w:t>
      </w:r>
    </w:p>
    <w:p w14:paraId="59873878" w14:textId="77777777" w:rsidR="00C7392F" w:rsidRPr="00E42BEA" w:rsidRDefault="00C7392F" w:rsidP="00C7392F">
      <w:pPr>
        <w:suppressAutoHyphens/>
        <w:spacing w:line="276" w:lineRule="auto"/>
        <w:ind w:firstLine="0"/>
        <w:rPr>
          <w:rFonts w:eastAsia="Times New Roman" w:cs="Arial"/>
          <w:b/>
          <w:bCs/>
          <w:lang w:val="es-ES" w:eastAsia="es-ES"/>
        </w:rPr>
      </w:pPr>
    </w:p>
    <w:p w14:paraId="338E28DD" w14:textId="77777777" w:rsidR="00C7392F" w:rsidRPr="00E42BEA" w:rsidRDefault="00C7392F" w:rsidP="00C7392F">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PRIMERO: Desdibuja nuestro sistema jurídico de responsabilidad </w:t>
      </w:r>
      <w:r w:rsidRPr="00E42BEA">
        <w:rPr>
          <w:rFonts w:eastAsia="Times New Roman" w:cs="Arial"/>
          <w:lang w:val="es-ES" w:eastAsia="es-ES"/>
        </w:rPr>
        <w:t>al imponer la carga de resarcir un daño, a quien no lo produjo, en este caso Colpensiones y de contera la Nación como su garante.</w:t>
      </w:r>
    </w:p>
    <w:p w14:paraId="6FC274E2" w14:textId="77777777" w:rsidR="00C7392F" w:rsidRPr="00E42BEA" w:rsidRDefault="00C7392F" w:rsidP="00C7392F">
      <w:pPr>
        <w:suppressAutoHyphens/>
        <w:spacing w:line="276" w:lineRule="auto"/>
        <w:ind w:firstLine="0"/>
        <w:rPr>
          <w:rFonts w:eastAsia="Times New Roman" w:cs="Arial"/>
          <w:iCs/>
          <w:lang w:val="es-ES_tradnl" w:eastAsia="es-ES"/>
        </w:rPr>
      </w:pPr>
    </w:p>
    <w:p w14:paraId="120AF0B3"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E42BEA">
        <w:rPr>
          <w:rFonts w:eastAsia="Times New Roman" w:cs="Arial"/>
          <w:b/>
          <w:iCs/>
          <w:lang w:val="es-ES_tradnl" w:eastAsia="es-ES"/>
        </w:rPr>
        <w:t>con esa misma suma -que ahora se sabe que solo alcanza para otorgar una pensión de “x pesos”- debe reconocer y pagar una prestación dos o tres veces superior a la que financieramente es posible conceder</w:t>
      </w:r>
      <w:r w:rsidRPr="00E42BEA">
        <w:rPr>
          <w:rFonts w:eastAsia="Times New Roman" w:cs="Arial"/>
          <w:iCs/>
          <w:lang w:val="es-ES_tradnl" w:eastAsia="es-ES"/>
        </w:rPr>
        <w:t>.</w:t>
      </w:r>
    </w:p>
    <w:p w14:paraId="48C0BA66" w14:textId="77777777" w:rsidR="00C7392F" w:rsidRPr="00E42BEA" w:rsidRDefault="00C7392F" w:rsidP="00C7392F">
      <w:pPr>
        <w:suppressAutoHyphens/>
        <w:spacing w:line="276" w:lineRule="auto"/>
        <w:ind w:firstLine="0"/>
        <w:rPr>
          <w:rFonts w:eastAsia="Times New Roman" w:cs="Arial"/>
          <w:iCs/>
          <w:lang w:val="es-ES_tradnl" w:eastAsia="es-ES"/>
        </w:rPr>
      </w:pPr>
    </w:p>
    <w:p w14:paraId="24BBBDD0"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516D9779" w14:textId="77777777" w:rsidR="00C7392F" w:rsidRPr="00E42BEA" w:rsidRDefault="00C7392F" w:rsidP="00C7392F">
      <w:pPr>
        <w:suppressAutoHyphens/>
        <w:spacing w:line="276" w:lineRule="auto"/>
        <w:ind w:firstLine="0"/>
        <w:rPr>
          <w:rFonts w:eastAsia="Times New Roman" w:cs="Arial"/>
          <w:iCs/>
          <w:lang w:val="es-ES_tradnl" w:eastAsia="es-ES"/>
        </w:rPr>
      </w:pPr>
    </w:p>
    <w:p w14:paraId="7458DEA9" w14:textId="77777777" w:rsidR="00C7392F" w:rsidRPr="00E42BEA" w:rsidRDefault="00C7392F" w:rsidP="00C7392F">
      <w:pPr>
        <w:suppressAutoHyphens/>
        <w:spacing w:line="276" w:lineRule="auto"/>
        <w:ind w:firstLine="0"/>
        <w:rPr>
          <w:rFonts w:eastAsia="Times New Roman" w:cs="Arial"/>
          <w:b/>
          <w:iCs/>
          <w:lang w:val="es-ES_tradnl" w:eastAsia="es-ES"/>
        </w:rPr>
      </w:pPr>
      <w:r w:rsidRPr="00E42BEA">
        <w:rPr>
          <w:rFonts w:eastAsia="Times New Roman" w:cs="Arial"/>
          <w:b/>
          <w:iCs/>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1062F435" w14:textId="77777777" w:rsidR="00C7392F" w:rsidRPr="00E42BEA" w:rsidRDefault="00C7392F" w:rsidP="00C7392F">
      <w:pPr>
        <w:suppressAutoHyphens/>
        <w:spacing w:line="276" w:lineRule="auto"/>
        <w:ind w:firstLine="0"/>
        <w:rPr>
          <w:rFonts w:eastAsia="Times New Roman" w:cs="Arial"/>
          <w:iCs/>
          <w:lang w:val="es-ES_tradnl" w:eastAsia="es-ES"/>
        </w:rPr>
      </w:pPr>
    </w:p>
    <w:p w14:paraId="3F3F3DA4" w14:textId="77777777" w:rsidR="00C7392F" w:rsidRPr="00E42BEA" w:rsidRDefault="00C7392F" w:rsidP="00C7392F">
      <w:pPr>
        <w:suppressAutoHyphens/>
        <w:spacing w:line="276" w:lineRule="auto"/>
        <w:ind w:firstLine="0"/>
        <w:rPr>
          <w:rFonts w:eastAsia="Times New Roman" w:cs="Arial"/>
          <w:b/>
          <w:bCs/>
          <w:lang w:val="es-ES" w:eastAsia="es-ES"/>
        </w:rPr>
      </w:pPr>
      <w:r w:rsidRPr="00E42BEA">
        <w:rPr>
          <w:rFonts w:eastAsia="Times New Roman" w:cs="Arial"/>
          <w:b/>
          <w:bCs/>
          <w:lang w:val="es-ES" w:eastAsia="es-ES"/>
        </w:rPr>
        <w:t>SEGUNDO: De manera consciente, sin justificación alguna, inaplica la solución jurídica que el sistema tiene prevista de manera específica para los actos de las AFP que por omisión o falsa información causen perjuicio a los afiliados.</w:t>
      </w:r>
    </w:p>
    <w:p w14:paraId="782C92BE" w14:textId="77777777" w:rsidR="00C7392F" w:rsidRPr="00E42BEA" w:rsidRDefault="00C7392F" w:rsidP="00C7392F">
      <w:pPr>
        <w:suppressAutoHyphens/>
        <w:spacing w:line="276" w:lineRule="auto"/>
        <w:ind w:firstLine="0"/>
        <w:rPr>
          <w:rFonts w:eastAsia="Times New Roman" w:cs="Arial"/>
          <w:iCs/>
          <w:lang w:val="es-ES_tradnl" w:eastAsia="es-ES"/>
        </w:rPr>
      </w:pPr>
    </w:p>
    <w:p w14:paraId="61067EE1"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A continuación se analizan aspectos de estas dos afirmaciones.</w:t>
      </w:r>
    </w:p>
    <w:p w14:paraId="513E6151" w14:textId="77777777" w:rsidR="00C7392F" w:rsidRPr="00E42BEA" w:rsidRDefault="00C7392F" w:rsidP="00C7392F">
      <w:pPr>
        <w:suppressAutoHyphens/>
        <w:spacing w:line="276" w:lineRule="auto"/>
        <w:ind w:firstLine="0"/>
        <w:rPr>
          <w:rFonts w:eastAsia="Times New Roman" w:cs="Arial"/>
          <w:lang w:val="es-ES_tradnl" w:eastAsia="es-ES"/>
        </w:rPr>
      </w:pPr>
    </w:p>
    <w:p w14:paraId="612849A0" w14:textId="77777777" w:rsidR="00C7392F" w:rsidRPr="00E42BEA" w:rsidRDefault="00C7392F" w:rsidP="00F87030">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iCs/>
          <w:lang w:val="es-ES_tradnl" w:eastAsia="es-ES"/>
        </w:rPr>
        <w:t xml:space="preserve">APOYO CONSTITUCIONAL EMANADO DE LA SENTENCIA C-1024 DE 2004 SOBRE LA RAZON DE SER DE LA LIMITACIÓN DE TRASLADO CUANDO FALTEN MENOS DE 10 AÑOS. </w:t>
      </w:r>
    </w:p>
    <w:p w14:paraId="619D59DD" w14:textId="77777777" w:rsidR="00C7392F" w:rsidRPr="00E42BEA" w:rsidRDefault="00C7392F" w:rsidP="00C7392F">
      <w:pPr>
        <w:suppressAutoHyphens/>
        <w:spacing w:line="276" w:lineRule="auto"/>
        <w:ind w:firstLine="0"/>
        <w:rPr>
          <w:rFonts w:eastAsia="Times New Roman" w:cs="Arial"/>
          <w:b/>
          <w:iCs/>
          <w:lang w:val="es-ES_tradnl" w:eastAsia="es-ES"/>
        </w:rPr>
      </w:pPr>
    </w:p>
    <w:p w14:paraId="6C8D4BD9"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03A3B880" w14:textId="77777777" w:rsidR="00C7392F" w:rsidRPr="00E42BEA" w:rsidRDefault="00C7392F" w:rsidP="00C7392F">
      <w:pPr>
        <w:suppressAutoHyphens/>
        <w:spacing w:line="276" w:lineRule="auto"/>
        <w:ind w:firstLine="0"/>
        <w:rPr>
          <w:rFonts w:eastAsia="Times New Roman" w:cs="Arial"/>
          <w:iCs/>
          <w:lang w:val="es-ES_tradnl" w:eastAsia="es-ES"/>
        </w:rPr>
      </w:pPr>
    </w:p>
    <w:p w14:paraId="3AE9B2EF"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iCs/>
          <w:lang w:val="es-ES_tradnl" w:eastAsia="es-ES"/>
        </w:rPr>
        <w:t xml:space="preserve">Al analizar esa limitación la Corte Constitucional fue clara en explicar que </w:t>
      </w:r>
      <w:r w:rsidRPr="00E42BEA">
        <w:rPr>
          <w:rFonts w:eastAsia="Times New Roman" w:cs="Arial"/>
          <w:b/>
          <w:iCs/>
          <w:lang w:val="es-ES_tradnl" w:eastAsia="es-ES"/>
        </w:rPr>
        <w:t>para garantizar la sostenibilidad financiera del sistema de prima media</w:t>
      </w:r>
      <w:r w:rsidRPr="00E42BEA">
        <w:rPr>
          <w:rFonts w:eastAsia="Times New Roman" w:cs="Arial"/>
          <w:iCs/>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328249A6" w14:textId="77777777" w:rsidR="00C7392F" w:rsidRPr="00E42BEA" w:rsidRDefault="00C7392F" w:rsidP="00C7392F">
      <w:pPr>
        <w:suppressAutoHyphens/>
        <w:spacing w:line="276" w:lineRule="auto"/>
        <w:ind w:firstLine="0"/>
        <w:rPr>
          <w:rFonts w:eastAsia="Times New Roman" w:cs="Arial"/>
          <w:b/>
          <w:iCs/>
          <w:lang w:val="es-ES_tradnl" w:eastAsia="es-ES"/>
        </w:rPr>
      </w:pPr>
    </w:p>
    <w:p w14:paraId="4B504271" w14:textId="77777777" w:rsidR="00C7392F" w:rsidRPr="00E42BEA" w:rsidRDefault="00C7392F" w:rsidP="00C7392F">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“Desde esta perspectiva, el </w:t>
      </w:r>
      <w:r w:rsidRPr="00E42BEA">
        <w:rPr>
          <w:rFonts w:eastAsia="Times New Roman" w:cs="Arial"/>
          <w:i/>
          <w:iCs/>
          <w:sz w:val="22"/>
          <w:lang w:eastAsia="es-ES"/>
        </w:rPr>
        <w:t>objetivo </w:t>
      </w:r>
      <w:r w:rsidRPr="00E42BEA">
        <w:rPr>
          <w:rFonts w:eastAsia="Times New Roman" w:cs="Arial"/>
          <w:iCs/>
          <w:sz w:val="22"/>
          <w:lang w:eastAsia="es-ES"/>
        </w:rPr>
        <w:t xml:space="preserve">perseguido con el señalamiento del  período de carencia en la norma acusada, </w:t>
      </w:r>
      <w:r w:rsidRPr="00E42BEA">
        <w:rPr>
          <w:rFonts w:eastAsia="Times New Roman" w:cs="Arial"/>
          <w:b/>
          <w:iCs/>
          <w:sz w:val="22"/>
          <w:lang w:eastAsia="es-ES"/>
        </w:rPr>
        <w:t>consiste en evitar la </w:t>
      </w:r>
      <w:r w:rsidRPr="00E42BEA">
        <w:rPr>
          <w:rFonts w:eastAsia="Times New Roman" w:cs="Arial"/>
          <w:b/>
          <w:i/>
          <w:iCs/>
          <w:sz w:val="22"/>
          <w:lang w:eastAsia="es-ES"/>
        </w:rPr>
        <w:t>descapitalización</w:t>
      </w:r>
      <w:r w:rsidRPr="00E42BEA">
        <w:rPr>
          <w:rFonts w:eastAsia="Times New Roman" w:cs="Arial"/>
          <w:b/>
          <w:iCs/>
          <w:sz w:val="22"/>
          <w:lang w:eastAsia="es-ES"/>
        </w:rPr>
        <w:t> del fondo común del Régimen Solidario de Prima Media con Prestación Definida</w:t>
      </w:r>
      <w:r w:rsidRPr="00E42BEA">
        <w:rPr>
          <w:rFonts w:eastAsia="Times New Roman" w:cs="Arial"/>
          <w:iCs/>
          <w:sz w:val="22"/>
          <w:lang w:eastAsia="es-ES"/>
        </w:rPr>
        <w:t>, que se produciría si se permitiera que las personas que no han contribuido al </w:t>
      </w:r>
      <w:r w:rsidRPr="00E42BEA">
        <w:rPr>
          <w:rFonts w:eastAsia="Times New Roman" w:cs="Arial"/>
          <w:i/>
          <w:iCs/>
          <w:sz w:val="22"/>
          <w:lang w:eastAsia="es-ES"/>
        </w:rPr>
        <w:t>fondo común</w:t>
      </w:r>
      <w:r w:rsidRPr="00E42BEA">
        <w:rPr>
          <w:rFonts w:eastAsia="Times New Roman" w:cs="Arial"/>
          <w:iCs/>
          <w:sz w:val="22"/>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E42BEA">
        <w:rPr>
          <w:rFonts w:eastAsia="Times New Roman" w:cs="Arial"/>
          <w:b/>
          <w:iCs/>
          <w:sz w:val="22"/>
          <w:lang w:eastAsia="es-ES"/>
        </w:rPr>
        <w:t>a poner en riesgo la garantía del derecho irrenunciable a la pensión del resto de cotizantes</w:t>
      </w:r>
      <w:r w:rsidRPr="00E42BEA">
        <w:rPr>
          <w:rFonts w:eastAsia="Times New Roman" w:cs="Arial"/>
          <w:iCs/>
          <w:sz w:val="22"/>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E42BEA">
        <w:rPr>
          <w:rFonts w:eastAsia="Times New Roman" w:cs="Arial"/>
          <w:b/>
          <w:iCs/>
          <w:sz w:val="22"/>
          <w:lang w:eastAsia="es-ES"/>
        </w:rPr>
        <w:t>podría llegar a poner en riesgo la garantía del derecho pensional para los actuales y futuros pensionados</w:t>
      </w:r>
      <w:r w:rsidRPr="00E42BEA">
        <w:rPr>
          <w:rFonts w:eastAsia="Times New Roman" w:cs="Arial"/>
          <w:iCs/>
          <w:sz w:val="22"/>
          <w:lang w:eastAsia="es-ES"/>
        </w:rPr>
        <w:t>.</w:t>
      </w:r>
    </w:p>
    <w:p w14:paraId="6111BA6C" w14:textId="77777777" w:rsidR="00C7392F" w:rsidRPr="00E42BEA" w:rsidRDefault="00C7392F" w:rsidP="00C7392F">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0029A51E" w14:textId="77777777" w:rsidR="00C7392F" w:rsidRPr="00E42BEA" w:rsidRDefault="00C7392F" w:rsidP="00C7392F">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58B0283E" w14:textId="77777777" w:rsidR="00C7392F" w:rsidRPr="00E42BEA" w:rsidRDefault="00C7392F" w:rsidP="00C7392F">
      <w:pPr>
        <w:suppressAutoHyphens/>
        <w:spacing w:line="240" w:lineRule="auto"/>
        <w:ind w:left="426" w:right="420" w:firstLine="0"/>
        <w:rPr>
          <w:rFonts w:eastAsia="Times New Roman" w:cs="Arial"/>
          <w:iCs/>
          <w:sz w:val="22"/>
          <w:lang w:val="es-ES" w:eastAsia="es-ES"/>
        </w:rPr>
      </w:pPr>
      <w:r w:rsidRPr="00E42BEA">
        <w:rPr>
          <w:rFonts w:eastAsia="Times New Roman" w:cs="Arial"/>
          <w:iCs/>
          <w:sz w:val="22"/>
          <w:lang w:eastAsia="es-ES"/>
        </w:rPr>
        <w:t> </w:t>
      </w:r>
    </w:p>
    <w:p w14:paraId="7904C324" w14:textId="77777777" w:rsidR="00C7392F" w:rsidRPr="00E42BEA" w:rsidRDefault="00C7392F" w:rsidP="00C7392F">
      <w:pPr>
        <w:suppressAutoHyphens/>
        <w:spacing w:line="240" w:lineRule="auto"/>
        <w:ind w:left="426" w:right="420" w:firstLine="0"/>
        <w:rPr>
          <w:rFonts w:eastAsia="Times New Roman" w:cs="Arial"/>
          <w:b/>
          <w:iCs/>
          <w:sz w:val="22"/>
          <w:lang w:eastAsia="es-ES"/>
        </w:rPr>
      </w:pPr>
      <w:r w:rsidRPr="00E42BEA">
        <w:rPr>
          <w:rFonts w:eastAsia="Times New Roman" w:cs="Arial"/>
          <w:iCs/>
          <w:sz w:val="22"/>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E42BEA">
        <w:rPr>
          <w:rFonts w:eastAsia="Times New Roman" w:cs="Arial"/>
          <w:b/>
          <w:iCs/>
          <w:sz w:val="22"/>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E42BEA">
        <w:rPr>
          <w:rFonts w:eastAsia="Times New Roman" w:cs="Arial"/>
          <w:iCs/>
          <w:sz w:val="22"/>
          <w:lang w:eastAsia="es-ES"/>
        </w:rPr>
        <w:t>, cuyo propósito consiste en: </w:t>
      </w:r>
      <w:r w:rsidRPr="00E42BEA">
        <w:rPr>
          <w:rFonts w:eastAsia="Times New Roman" w:cs="Arial"/>
          <w:i/>
          <w:iCs/>
          <w:sz w:val="22"/>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E42BEA">
        <w:rPr>
          <w:rFonts w:eastAsia="Times New Roman" w:cs="Arial"/>
          <w:iCs/>
          <w:sz w:val="22"/>
          <w:lang w:eastAsia="es-ES"/>
        </w:rPr>
        <w:t>.”</w:t>
      </w:r>
      <w:r w:rsidRPr="00E42BEA">
        <w:rPr>
          <w:rFonts w:eastAsia="Times New Roman" w:cs="Arial"/>
          <w:b/>
          <w:iCs/>
          <w:sz w:val="22"/>
          <w:lang w:eastAsia="es-ES"/>
        </w:rPr>
        <w:t> </w:t>
      </w:r>
    </w:p>
    <w:p w14:paraId="46BF2487" w14:textId="77777777" w:rsidR="00C7392F" w:rsidRPr="00E42BEA" w:rsidRDefault="00C7392F" w:rsidP="00C7392F">
      <w:pPr>
        <w:suppressAutoHyphens/>
        <w:spacing w:line="276" w:lineRule="auto"/>
        <w:ind w:firstLine="0"/>
        <w:rPr>
          <w:rFonts w:eastAsia="Times New Roman" w:cs="Arial"/>
          <w:b/>
          <w:iCs/>
          <w:lang w:val="es-ES_tradnl" w:eastAsia="es-ES"/>
        </w:rPr>
      </w:pPr>
    </w:p>
    <w:p w14:paraId="2DE930FA" w14:textId="77777777" w:rsidR="00C7392F" w:rsidRPr="00E42BEA" w:rsidRDefault="00C7392F" w:rsidP="00C7392F">
      <w:pPr>
        <w:suppressAutoHyphens/>
        <w:spacing w:line="276" w:lineRule="auto"/>
        <w:ind w:firstLine="0"/>
        <w:rPr>
          <w:rFonts w:eastAsia="Times New Roman" w:cs="Arial"/>
          <w:b/>
          <w:iCs/>
          <w:lang w:eastAsia="es-ES"/>
        </w:rPr>
      </w:pPr>
      <w:r w:rsidRPr="00E42BEA">
        <w:rPr>
          <w:rFonts w:eastAsia="Times New Roman" w:cs="Arial"/>
          <w:iCs/>
          <w:lang w:val="es-ES_tradnl" w:eastAsia="es-ES"/>
        </w:rPr>
        <w:t xml:space="preserve">Permitir entonces, la declaración de ineficacia de traslados de personas que han estado largos años en el RAIS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E42BEA">
        <w:rPr>
          <w:rFonts w:eastAsia="Times New Roman" w:cs="Arial"/>
          <w:b/>
          <w:iCs/>
          <w:lang w:eastAsia="es-ES"/>
        </w:rPr>
        <w:t>puede llegar a poner en riesgo la garantía del derecho pensional para los actuales y futuros pensionados que si lo hicieron.</w:t>
      </w:r>
    </w:p>
    <w:p w14:paraId="6608A9CE" w14:textId="77777777" w:rsidR="00C7392F" w:rsidRPr="00E42BEA" w:rsidRDefault="00C7392F" w:rsidP="00C7392F">
      <w:pPr>
        <w:suppressAutoHyphens/>
        <w:spacing w:line="276" w:lineRule="auto"/>
        <w:ind w:firstLine="0"/>
        <w:rPr>
          <w:rFonts w:eastAsia="Times New Roman" w:cs="Arial"/>
          <w:b/>
          <w:iCs/>
          <w:lang w:eastAsia="es-ES"/>
        </w:rPr>
      </w:pPr>
    </w:p>
    <w:p w14:paraId="75672C82" w14:textId="77777777" w:rsidR="00C7392F" w:rsidRPr="00E42BEA" w:rsidRDefault="00C7392F" w:rsidP="00C7392F">
      <w:pPr>
        <w:suppressAutoHyphens/>
        <w:spacing w:line="276" w:lineRule="auto"/>
        <w:ind w:firstLine="0"/>
        <w:rPr>
          <w:rFonts w:eastAsia="Times New Roman" w:cs="Arial"/>
          <w:iCs/>
          <w:lang w:val="es-ES_tradnl" w:eastAsia="es-ES"/>
        </w:rPr>
      </w:pPr>
      <w:r w:rsidRPr="00E42BEA">
        <w:rPr>
          <w:rFonts w:eastAsia="Times New Roman" w:cs="Arial"/>
          <w:b/>
          <w:iCs/>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E42BEA">
        <w:rPr>
          <w:rFonts w:eastAsia="Times New Roman" w:cs="Arial"/>
          <w:iCs/>
          <w:lang w:eastAsia="es-ES"/>
        </w:rPr>
        <w:t>. Y se afirma lo anterior porque la ineficacia a diferencia de la nulidad no tiene un tiempo que otorgue firmeza jurídica al acto, entonces bajo su amparo, el interesado, cuando ya potencialmente ha estado cobijado durante largos años por los beneficios del RAIS, a última hora, con pleno conocimiento de que su pensión en el RPM resulta de mayor cuantía, busca su retorno a este sistema en el que poco colaboró con sus aportes oportunos. Y se afirma que ese afiliado estuvo potencialmente cobijado por los beneficios del RAIS por cuanto no puede olvidarse que</w:t>
      </w:r>
      <w:r w:rsidRPr="00E42BEA">
        <w:rPr>
          <w:rFonts w:eastAsia="Times New Roman" w:cs="Arial"/>
          <w:iCs/>
          <w:lang w:val="es-ES_tradnl" w:eastAsia="es-ES"/>
        </w:rPr>
        <w:t xml:space="preserve"> estuvo amparado por la garantía de pensión mínima 150 semanas antes que en el RPM, pues mientras en este ocurre a las 1300 semanas en aquel sucede a las 1150 semanas; no tuvo el límite del 80% del IBL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sucesoral, etc..</w:t>
      </w:r>
    </w:p>
    <w:p w14:paraId="12236DEB" w14:textId="77777777" w:rsidR="00C7392F" w:rsidRPr="00E42BEA" w:rsidRDefault="00C7392F" w:rsidP="00C7392F">
      <w:pPr>
        <w:suppressAutoHyphens/>
        <w:spacing w:line="276" w:lineRule="auto"/>
        <w:ind w:firstLine="0"/>
        <w:rPr>
          <w:rFonts w:eastAsia="Times New Roman" w:cs="Arial"/>
          <w:lang w:val="es-ES_tradnl" w:eastAsia="es-ES"/>
        </w:rPr>
      </w:pPr>
    </w:p>
    <w:p w14:paraId="743C790E" w14:textId="77777777" w:rsidR="00C7392F" w:rsidRPr="00E42BEA" w:rsidRDefault="00C7392F" w:rsidP="00F87030">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EN NUESTRO SISTEMA JURÍDICO ¿QUIEN ES LA PERSONA LLAMADA A RESPONDER POR LOS DAÑOS ANTIJURÍDICOS QUE CAUSE CON SU PROCEDER?</w:t>
      </w:r>
    </w:p>
    <w:p w14:paraId="4EFD0020" w14:textId="77777777" w:rsidR="00C7392F" w:rsidRPr="00E42BEA" w:rsidRDefault="00C7392F" w:rsidP="00C7392F">
      <w:pPr>
        <w:suppressAutoHyphens/>
        <w:spacing w:line="276" w:lineRule="auto"/>
        <w:ind w:firstLine="0"/>
        <w:rPr>
          <w:rFonts w:eastAsia="Times New Roman" w:cs="Arial"/>
          <w:lang w:val="es-ES_tradnl" w:eastAsia="es-ES"/>
        </w:rPr>
      </w:pPr>
    </w:p>
    <w:p w14:paraId="5AFAB725"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5F50F961" w14:textId="77777777" w:rsidR="00C7392F" w:rsidRPr="00E42BEA" w:rsidRDefault="00C7392F" w:rsidP="00C7392F">
      <w:pPr>
        <w:suppressAutoHyphens/>
        <w:spacing w:line="276" w:lineRule="auto"/>
        <w:ind w:firstLine="0"/>
        <w:rPr>
          <w:rFonts w:eastAsia="Times New Roman" w:cs="Arial"/>
          <w:lang w:val="es-ES_tradnl" w:eastAsia="es-ES"/>
        </w:rPr>
      </w:pPr>
    </w:p>
    <w:p w14:paraId="407BF081" w14:textId="77777777" w:rsidR="00C7392F" w:rsidRPr="00E42BEA" w:rsidRDefault="00C7392F" w:rsidP="00C7392F">
      <w:pPr>
        <w:suppressAutoHyphens/>
        <w:spacing w:line="276" w:lineRule="auto"/>
        <w:ind w:firstLine="0"/>
        <w:rPr>
          <w:rFonts w:eastAsia="Times New Roman" w:cs="Arial"/>
          <w:i/>
          <w:lang w:val="es-ES_tradnl" w:eastAsia="es-ES"/>
        </w:rPr>
      </w:pPr>
      <w:r w:rsidRPr="00E42BEA">
        <w:rPr>
          <w:rFonts w:eastAsia="Times New Roman" w:cs="Arial"/>
          <w:lang w:val="es-ES_tradnl" w:eastAsia="es-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E42BEA">
        <w:rPr>
          <w:rFonts w:eastAsia="Times New Roman" w:cs="Arial"/>
          <w:i/>
          <w:sz w:val="22"/>
          <w:lang w:val="es-ES_tradnl" w:eastAsia="es-ES"/>
        </w:rPr>
        <w:t>el Estado únicamente responderá patrimonialmente por los daños antijurídicos que le sean imputables, causado por la acción o la omisión de las autoridades públicas</w:t>
      </w:r>
      <w:r w:rsidRPr="00E42BEA">
        <w:rPr>
          <w:rFonts w:eastAsia="Times New Roman" w:cs="Arial"/>
          <w:i/>
          <w:lang w:val="es-ES_tradnl" w:eastAsia="es-ES"/>
        </w:rPr>
        <w:t>”.</w:t>
      </w:r>
    </w:p>
    <w:p w14:paraId="6DC65EC6" w14:textId="77777777" w:rsidR="00C7392F" w:rsidRPr="00E42BEA" w:rsidRDefault="00C7392F" w:rsidP="00C7392F">
      <w:pPr>
        <w:suppressAutoHyphens/>
        <w:spacing w:line="276" w:lineRule="auto"/>
        <w:ind w:firstLine="0"/>
        <w:rPr>
          <w:rFonts w:eastAsia="Times New Roman" w:cs="Arial"/>
          <w:lang w:val="es-ES_tradnl" w:eastAsia="es-ES"/>
        </w:rPr>
      </w:pPr>
    </w:p>
    <w:p w14:paraId="6E2ED0EE" w14:textId="77777777" w:rsidR="00C7392F" w:rsidRPr="00E42BEA" w:rsidRDefault="00C7392F" w:rsidP="00F87030">
      <w:pPr>
        <w:numPr>
          <w:ilvl w:val="0"/>
          <w:numId w:val="5"/>
        </w:numPr>
        <w:suppressAutoHyphens/>
        <w:spacing w:line="240" w:lineRule="auto"/>
        <w:ind w:left="426" w:hanging="426"/>
        <w:jc w:val="left"/>
        <w:rPr>
          <w:rFonts w:eastAsia="Times New Roman" w:cs="Arial"/>
          <w:b/>
          <w:lang w:val="es-ES_tradnl" w:eastAsia="es-ES"/>
        </w:rPr>
      </w:pPr>
      <w:r w:rsidRPr="00E42BEA">
        <w:rPr>
          <w:rFonts w:eastAsia="Times New Roman" w:cs="Arial"/>
          <w:b/>
          <w:lang w:val="es-ES_tradnl" w:eastAsia="es-ES"/>
        </w:rPr>
        <w:t>LAS NORMAS VIGENTES QUE REGULAN LAS CONDUCTAS IRREGULARES DE LAS ADMINISTRADORAS DE FONDOS DE PENSIONES POR LOS ERRORES U OMISIONES EN LA INFORMACIÓN QUE CAUSEN PERJUICIO A QUIENES AFILIEN.</w:t>
      </w:r>
    </w:p>
    <w:p w14:paraId="1512362C" w14:textId="77777777" w:rsidR="00C7392F" w:rsidRPr="00E42BEA" w:rsidRDefault="00C7392F" w:rsidP="00C7392F">
      <w:pPr>
        <w:suppressAutoHyphens/>
        <w:spacing w:line="276" w:lineRule="auto"/>
        <w:ind w:firstLine="0"/>
        <w:rPr>
          <w:rFonts w:eastAsia="Times New Roman" w:cs="Arial"/>
          <w:lang w:val="es-ES_tradnl" w:eastAsia="es-ES"/>
        </w:rPr>
      </w:pPr>
    </w:p>
    <w:p w14:paraId="76B4E543" w14:textId="77777777" w:rsidR="00C7392F" w:rsidRPr="00E42BEA" w:rsidRDefault="00C7392F" w:rsidP="00C7392F">
      <w:pPr>
        <w:suppressAutoHyphens/>
        <w:spacing w:line="276" w:lineRule="auto"/>
        <w:ind w:firstLine="0"/>
        <w:rPr>
          <w:rFonts w:eastAsia="Times New Roman" w:cs="Arial"/>
          <w:lang w:val="es-ES" w:eastAsia="es-ES"/>
        </w:rPr>
      </w:pPr>
      <w:r w:rsidRPr="00E42BEA">
        <w:rPr>
          <w:rFonts w:eastAsia="Times New Roman" w:cs="Arial"/>
          <w:b/>
          <w:bCs/>
          <w:lang w:val="es-ES" w:eastAsia="es-E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E42BEA">
        <w:rPr>
          <w:rFonts w:eastAsia="Times New Roman" w:cs="Arial"/>
          <w:lang w:val="es-ES" w:eastAsia="es-ES"/>
        </w:rPr>
        <w:t xml:space="preserve"> </w:t>
      </w:r>
    </w:p>
    <w:p w14:paraId="14CC2CC9" w14:textId="77777777" w:rsidR="00C7392F" w:rsidRPr="00E42BEA" w:rsidRDefault="00C7392F" w:rsidP="00C7392F">
      <w:pPr>
        <w:suppressAutoHyphens/>
        <w:spacing w:line="276" w:lineRule="auto"/>
        <w:ind w:firstLine="0"/>
        <w:rPr>
          <w:rFonts w:eastAsia="Times New Roman" w:cs="Arial"/>
          <w:lang w:val="es-ES_tradnl" w:eastAsia="es-ES"/>
        </w:rPr>
      </w:pPr>
    </w:p>
    <w:p w14:paraId="77DECECB"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pero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39B02F4B" w14:textId="77777777" w:rsidR="00C7392F" w:rsidRPr="00E42BEA" w:rsidRDefault="00C7392F" w:rsidP="00C7392F">
      <w:pPr>
        <w:suppressAutoHyphens/>
        <w:spacing w:line="276" w:lineRule="auto"/>
        <w:ind w:firstLine="0"/>
        <w:rPr>
          <w:rFonts w:eastAsia="Times New Roman" w:cs="Arial"/>
          <w:lang w:val="es-ES_tradnl" w:eastAsia="es-ES"/>
        </w:rPr>
      </w:pPr>
    </w:p>
    <w:p w14:paraId="3713194D" w14:textId="77777777" w:rsidR="00C7392F" w:rsidRPr="00E42BEA" w:rsidRDefault="00C7392F" w:rsidP="00C7392F">
      <w:pPr>
        <w:suppressAutoHyphens/>
        <w:spacing w:line="240" w:lineRule="auto"/>
        <w:ind w:left="426" w:right="420" w:firstLine="0"/>
        <w:rPr>
          <w:rFonts w:eastAsia="Times New Roman" w:cs="Arial"/>
          <w:sz w:val="22"/>
          <w:lang w:val="es-ES_tradnl" w:eastAsia="es-ES"/>
        </w:rPr>
      </w:pPr>
      <w:r w:rsidRPr="00E42BEA">
        <w:rPr>
          <w:rFonts w:eastAsia="Times New Roman" w:cs="Arial"/>
          <w:b/>
          <w:sz w:val="22"/>
          <w:lang w:eastAsia="es-ES"/>
        </w:rPr>
        <w:t>“Artículo 10</w:t>
      </w:r>
      <w:r w:rsidRPr="00E42BEA">
        <w:rPr>
          <w:rFonts w:eastAsia="Times New Roman" w:cs="Arial"/>
          <w:b/>
          <w:bCs/>
          <w:sz w:val="22"/>
          <w:lang w:eastAsia="es-ES"/>
        </w:rPr>
        <w:t>.</w:t>
      </w:r>
      <w:r w:rsidRPr="00E42BEA">
        <w:rPr>
          <w:rFonts w:eastAsia="Times New Roman" w:cs="Arial"/>
          <w:b/>
          <w:sz w:val="22"/>
          <w:lang w:eastAsia="es-ES"/>
        </w:rPr>
        <w:t xml:space="preserve"> RESPONSABILIDAD DE LOS PROMOTORES. </w:t>
      </w:r>
      <w:r w:rsidRPr="00E42BEA">
        <w:rPr>
          <w:rFonts w:eastAsia="Times New Roman" w:cs="Arial"/>
          <w:b/>
          <w:sz w:val="22"/>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E42BEA">
        <w:rPr>
          <w:rFonts w:eastAsia="Times New Roman" w:cs="Arial"/>
          <w:b/>
          <w:sz w:val="22"/>
          <w:lang w:eastAsia="es-ES"/>
        </w:rPr>
        <w:t xml:space="preserve"> sin perjuicio de la responsabilidad de los promotores frente a la correspondiente sociedad administradora del sistema general de pensiones.”</w:t>
      </w:r>
      <w:r w:rsidRPr="00E42BEA">
        <w:rPr>
          <w:rFonts w:eastAsia="Times New Roman" w:cs="Arial"/>
          <w:sz w:val="22"/>
          <w:lang w:eastAsia="es-ES"/>
        </w:rPr>
        <w:t xml:space="preserve"> (Negrillas y subrayas fuera del texto)</w:t>
      </w:r>
    </w:p>
    <w:p w14:paraId="72BE7CA1" w14:textId="77777777" w:rsidR="00C7392F" w:rsidRPr="00E42BEA" w:rsidRDefault="00C7392F" w:rsidP="00C7392F">
      <w:pPr>
        <w:suppressAutoHyphens/>
        <w:spacing w:line="276" w:lineRule="auto"/>
        <w:ind w:firstLine="0"/>
        <w:rPr>
          <w:rFonts w:eastAsia="Times New Roman" w:cs="Arial"/>
          <w:lang w:val="es-ES_tradnl" w:eastAsia="es-ES"/>
        </w:rPr>
      </w:pPr>
    </w:p>
    <w:p w14:paraId="10C02EA4"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37CA10B0" w14:textId="77777777" w:rsidR="00C7392F" w:rsidRPr="00E42BEA" w:rsidRDefault="00C7392F" w:rsidP="00C7392F">
      <w:pPr>
        <w:suppressAutoHyphens/>
        <w:spacing w:line="276" w:lineRule="auto"/>
        <w:ind w:firstLine="0"/>
        <w:rPr>
          <w:rFonts w:eastAsia="Times New Roman" w:cs="Arial"/>
          <w:lang w:val="es-ES_tradnl" w:eastAsia="es-ES"/>
        </w:rPr>
      </w:pPr>
    </w:p>
    <w:p w14:paraId="5DEEF1DF"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32C1F239" w14:textId="77777777" w:rsidR="00C7392F" w:rsidRPr="00E42BEA" w:rsidRDefault="00C7392F" w:rsidP="00C7392F">
      <w:pPr>
        <w:suppressAutoHyphens/>
        <w:spacing w:line="276" w:lineRule="auto"/>
        <w:ind w:firstLine="0"/>
        <w:rPr>
          <w:rFonts w:eastAsia="Times New Roman" w:cs="Arial"/>
          <w:lang w:val="es-ES_tradnl" w:eastAsia="es-ES"/>
        </w:rPr>
      </w:pPr>
    </w:p>
    <w:p w14:paraId="557631FF" w14:textId="3522C8E1" w:rsidR="00C7392F"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12813C21" w14:textId="02EC700B" w:rsidR="00C7392F" w:rsidRDefault="00C7392F" w:rsidP="00C7392F">
      <w:pPr>
        <w:suppressAutoHyphens/>
        <w:spacing w:line="276" w:lineRule="auto"/>
        <w:ind w:firstLine="0"/>
        <w:rPr>
          <w:rFonts w:eastAsia="Times New Roman" w:cs="Arial"/>
          <w:lang w:val="es-ES_tradnl" w:eastAsia="es-ES"/>
        </w:rPr>
      </w:pPr>
    </w:p>
    <w:p w14:paraId="4393165C" w14:textId="34656872" w:rsidR="00C7392F" w:rsidRPr="00C7392F" w:rsidRDefault="00C7392F" w:rsidP="00C7392F">
      <w:pPr>
        <w:suppressAutoHyphens/>
        <w:spacing w:line="276" w:lineRule="auto"/>
        <w:ind w:firstLine="0"/>
        <w:rPr>
          <w:rFonts w:eastAsia="Times New Roman" w:cs="Arial"/>
          <w:lang w:val="es-ES_tradnl" w:eastAsia="es-ES"/>
        </w:rPr>
      </w:pPr>
      <w:r w:rsidRPr="00C7392F">
        <w:rPr>
          <w:rFonts w:eastAsia="Times New Roman" w:cs="Arial"/>
          <w:lang w:val="es-ES_tradnl" w:eastAsia="es-ES"/>
        </w:rPr>
        <w:t>Adicionalmente a todo lo expuesto, a raíz de las sentencias de tutela: STL9790-2023 -en la que la Corte, ahora definiendo el efecto de una reasesoría en que la AFP indicó al demandante que no le convenía permanecer en el RAIS,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STL7302-2023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RAIS por ser abogada y gerente del área de cesantías y pensiones Colmena; en lo sucesivo, también en estos casos, a pesar de tener criterio contrario al señalado en las nombradas STL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3268F3CE" w14:textId="77777777" w:rsidR="00C7392F" w:rsidRPr="00E42BEA" w:rsidRDefault="00C7392F" w:rsidP="00C7392F">
      <w:pPr>
        <w:suppressAutoHyphens/>
        <w:spacing w:line="276" w:lineRule="auto"/>
        <w:ind w:firstLine="0"/>
        <w:rPr>
          <w:rFonts w:eastAsia="Times New Roman" w:cs="Arial"/>
          <w:lang w:val="es-ES_tradnl" w:eastAsia="es-ES"/>
        </w:rPr>
      </w:pPr>
    </w:p>
    <w:p w14:paraId="7F5DFC73"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El anterior es mi sentir jurídico en estos casos, pero itero, me corresponde acatar el exhorto hecho por la Sala de Casación y por eso suscribo esta sentencia.</w:t>
      </w:r>
    </w:p>
    <w:p w14:paraId="53AAC714" w14:textId="77777777" w:rsidR="00C7392F" w:rsidRPr="00E42BEA" w:rsidRDefault="00C7392F" w:rsidP="00C7392F">
      <w:pPr>
        <w:suppressAutoHyphens/>
        <w:spacing w:line="276" w:lineRule="auto"/>
        <w:ind w:firstLine="0"/>
        <w:rPr>
          <w:rFonts w:eastAsia="Times New Roman" w:cs="Arial"/>
          <w:lang w:val="es-ES_tradnl" w:eastAsia="es-ES"/>
        </w:rPr>
      </w:pPr>
    </w:p>
    <w:p w14:paraId="59A43B7B" w14:textId="77777777" w:rsidR="00C7392F" w:rsidRPr="00E42BEA" w:rsidRDefault="00C7392F" w:rsidP="00C7392F">
      <w:pPr>
        <w:suppressAutoHyphens/>
        <w:spacing w:line="276" w:lineRule="auto"/>
        <w:ind w:firstLine="0"/>
        <w:rPr>
          <w:rFonts w:eastAsia="Times New Roman" w:cs="Arial"/>
          <w:lang w:val="es-ES_tradnl" w:eastAsia="es-ES"/>
        </w:rPr>
      </w:pPr>
      <w:r w:rsidRPr="00E42BEA">
        <w:rPr>
          <w:rFonts w:eastAsia="Times New Roman" w:cs="Arial"/>
          <w:lang w:val="es-ES_tradnl" w:eastAsia="es-ES"/>
        </w:rPr>
        <w:t>Dejo así aclarado mi voto.</w:t>
      </w:r>
    </w:p>
    <w:p w14:paraId="0C8AC922" w14:textId="77777777" w:rsidR="00C7392F" w:rsidRPr="00E42BEA" w:rsidRDefault="00C7392F" w:rsidP="00C7392F">
      <w:pPr>
        <w:suppressAutoHyphens/>
        <w:spacing w:line="276" w:lineRule="auto"/>
        <w:ind w:firstLine="0"/>
        <w:rPr>
          <w:rFonts w:eastAsia="Times New Roman" w:cs="Arial"/>
          <w:lang w:val="es-ES_tradnl" w:eastAsia="es-ES"/>
        </w:rPr>
      </w:pPr>
    </w:p>
    <w:p w14:paraId="4352E2F6" w14:textId="77777777" w:rsidR="00C7392F" w:rsidRPr="00E42BEA" w:rsidRDefault="00C7392F" w:rsidP="00C7392F">
      <w:pPr>
        <w:suppressAutoHyphens/>
        <w:spacing w:line="276" w:lineRule="auto"/>
        <w:ind w:firstLine="0"/>
        <w:rPr>
          <w:rFonts w:eastAsia="Times New Roman" w:cs="Arial"/>
          <w:lang w:val="es-ES_tradnl" w:eastAsia="es-ES"/>
        </w:rPr>
      </w:pPr>
    </w:p>
    <w:p w14:paraId="5DD9C764" w14:textId="77777777" w:rsidR="00C7392F" w:rsidRPr="00E42BEA" w:rsidRDefault="00C7392F" w:rsidP="00C7392F">
      <w:pPr>
        <w:suppressAutoHyphens/>
        <w:spacing w:line="276" w:lineRule="auto"/>
        <w:ind w:firstLine="0"/>
        <w:rPr>
          <w:rFonts w:eastAsia="Times New Roman" w:cs="Arial"/>
          <w:sz w:val="28"/>
          <w:lang w:val="es-ES_tradnl" w:eastAsia="es-ES"/>
        </w:rPr>
      </w:pPr>
    </w:p>
    <w:p w14:paraId="06C320DF" w14:textId="77777777" w:rsidR="00C7392F" w:rsidRPr="00E42BEA" w:rsidRDefault="00C7392F" w:rsidP="00C7392F">
      <w:pPr>
        <w:suppressAutoHyphens/>
        <w:spacing w:line="276" w:lineRule="auto"/>
        <w:ind w:firstLine="0"/>
        <w:rPr>
          <w:rFonts w:eastAsia="Times New Roman" w:cs="Arial"/>
          <w:sz w:val="28"/>
          <w:lang w:val="es-ES_tradnl" w:eastAsia="es-ES"/>
        </w:rPr>
      </w:pPr>
    </w:p>
    <w:p w14:paraId="06D0C0D0" w14:textId="77777777" w:rsidR="00C7392F" w:rsidRPr="00E42BEA" w:rsidRDefault="00C7392F" w:rsidP="00C7392F">
      <w:pPr>
        <w:widowControl w:val="0"/>
        <w:autoSpaceDE w:val="0"/>
        <w:autoSpaceDN w:val="0"/>
        <w:adjustRightInd w:val="0"/>
        <w:spacing w:line="240" w:lineRule="auto"/>
        <w:ind w:firstLine="0"/>
        <w:jc w:val="center"/>
        <w:rPr>
          <w:rFonts w:eastAsia="Calibri" w:cs="Arial"/>
          <w:b/>
          <w:szCs w:val="22"/>
        </w:rPr>
      </w:pPr>
      <w:r w:rsidRPr="00E42BEA">
        <w:rPr>
          <w:rFonts w:eastAsia="Calibri" w:cs="Arial"/>
          <w:b/>
          <w:szCs w:val="22"/>
        </w:rPr>
        <w:t>JULIO CÉSAR SALAZAR MUÑOZ</w:t>
      </w:r>
    </w:p>
    <w:p w14:paraId="7BD421CE" w14:textId="756D6E65" w:rsidR="00C7392F" w:rsidRDefault="00C7392F" w:rsidP="00C7392F">
      <w:pPr>
        <w:widowControl w:val="0"/>
        <w:autoSpaceDE w:val="0"/>
        <w:autoSpaceDN w:val="0"/>
        <w:adjustRightInd w:val="0"/>
        <w:spacing w:line="240" w:lineRule="auto"/>
        <w:ind w:firstLine="0"/>
        <w:jc w:val="center"/>
        <w:rPr>
          <w:rFonts w:eastAsia="Calibri" w:cs="Arial"/>
          <w:szCs w:val="22"/>
        </w:rPr>
      </w:pPr>
      <w:r w:rsidRPr="00E42BEA">
        <w:rPr>
          <w:rFonts w:eastAsia="Calibri" w:cs="Arial"/>
          <w:szCs w:val="22"/>
        </w:rPr>
        <w:t>Magistrado</w:t>
      </w:r>
    </w:p>
    <w:p w14:paraId="02310411" w14:textId="2D75BEE4" w:rsidR="00DC7A36" w:rsidRDefault="00DC7A36">
      <w:pPr>
        <w:rPr>
          <w:rFonts w:eastAsia="Calibri" w:cs="Arial"/>
          <w:szCs w:val="22"/>
        </w:rPr>
      </w:pPr>
      <w:r>
        <w:rPr>
          <w:rFonts w:eastAsia="Calibri" w:cs="Arial"/>
          <w:szCs w:val="22"/>
        </w:rPr>
        <w:br w:type="page"/>
      </w:r>
    </w:p>
    <w:p w14:paraId="0A7F651D" w14:textId="77777777" w:rsidR="004A4BC3" w:rsidRPr="004A4BC3" w:rsidRDefault="004A4BC3" w:rsidP="004A4BC3">
      <w:pPr>
        <w:spacing w:line="240" w:lineRule="auto"/>
        <w:ind w:firstLine="0"/>
        <w:textAlignment w:val="baseline"/>
        <w:rPr>
          <w:rFonts w:ascii="Segoe UI" w:eastAsia="Times New Roman" w:hAnsi="Segoe UI" w:cs="Segoe UI"/>
          <w:bCs/>
          <w:sz w:val="20"/>
          <w:lang w:eastAsia="es-CO"/>
        </w:rPr>
      </w:pPr>
      <w:r w:rsidRPr="004A4BC3">
        <w:rPr>
          <w:rFonts w:eastAsia="Times New Roman" w:cs="Arial"/>
          <w:bCs/>
          <w:sz w:val="20"/>
          <w:lang w:val="es-ES" w:eastAsia="es-CO"/>
        </w:rPr>
        <w:t>Providencia:</w:t>
      </w:r>
      <w:r w:rsidRPr="004A4BC3">
        <w:rPr>
          <w:rFonts w:eastAsia="Times New Roman" w:cs="Arial"/>
          <w:sz w:val="20"/>
          <w:lang w:val="es-ES" w:eastAsia="es-CO"/>
        </w:rPr>
        <w:t xml:space="preserve"> </w:t>
      </w:r>
      <w:r w:rsidRPr="004A4BC3">
        <w:rPr>
          <w:rFonts w:ascii="Calibri" w:eastAsia="Times New Roman" w:hAnsi="Calibri" w:cs="Calibri"/>
          <w:sz w:val="20"/>
          <w:lang w:eastAsia="es-CO"/>
        </w:rPr>
        <w:tab/>
      </w:r>
      <w:r w:rsidRPr="004A4BC3">
        <w:rPr>
          <w:rFonts w:ascii="Calibri" w:eastAsia="Times New Roman" w:hAnsi="Calibri" w:cs="Calibri"/>
          <w:sz w:val="20"/>
          <w:lang w:eastAsia="es-CO"/>
        </w:rPr>
        <w:tab/>
      </w:r>
      <w:r w:rsidRPr="004A4BC3">
        <w:rPr>
          <w:rFonts w:eastAsia="Times New Roman" w:cs="Arial"/>
          <w:sz w:val="20"/>
          <w:lang w:val="es-ES" w:eastAsia="es-CO"/>
        </w:rPr>
        <w:t>Sentencia del 29/09/2023</w:t>
      </w:r>
      <w:r w:rsidRPr="004A4BC3">
        <w:rPr>
          <w:rFonts w:eastAsia="Times New Roman" w:cs="Arial"/>
          <w:bCs/>
          <w:sz w:val="20"/>
          <w:lang w:eastAsia="es-CO"/>
        </w:rPr>
        <w:t> </w:t>
      </w:r>
    </w:p>
    <w:p w14:paraId="5456B777" w14:textId="77777777" w:rsidR="004A4BC3" w:rsidRPr="004A4BC3" w:rsidRDefault="004A4BC3" w:rsidP="004A4BC3">
      <w:pPr>
        <w:spacing w:line="240" w:lineRule="auto"/>
        <w:ind w:firstLine="0"/>
        <w:textAlignment w:val="baseline"/>
        <w:rPr>
          <w:rFonts w:ascii="Segoe UI" w:eastAsia="Times New Roman" w:hAnsi="Segoe UI" w:cs="Segoe UI"/>
          <w:bCs/>
          <w:sz w:val="20"/>
          <w:lang w:eastAsia="es-CO"/>
        </w:rPr>
      </w:pPr>
      <w:r w:rsidRPr="004A4BC3">
        <w:rPr>
          <w:rFonts w:eastAsia="Times New Roman" w:cs="Arial"/>
          <w:bCs/>
          <w:sz w:val="20"/>
          <w:lang w:val="es-ES" w:eastAsia="es-CO"/>
        </w:rPr>
        <w:t>Radicación No.:</w:t>
      </w:r>
      <w:r w:rsidRPr="004A4BC3">
        <w:rPr>
          <w:rFonts w:ascii="Calibri" w:eastAsia="Times New Roman" w:hAnsi="Calibri" w:cs="Calibri"/>
          <w:sz w:val="20"/>
          <w:lang w:eastAsia="es-CO"/>
        </w:rPr>
        <w:tab/>
      </w:r>
      <w:r w:rsidRPr="004A4BC3">
        <w:rPr>
          <w:rFonts w:ascii="Calibri" w:eastAsia="Times New Roman" w:hAnsi="Calibri" w:cs="Calibri"/>
          <w:sz w:val="20"/>
          <w:lang w:eastAsia="es-CO"/>
        </w:rPr>
        <w:tab/>
      </w:r>
      <w:r w:rsidRPr="004A4BC3">
        <w:rPr>
          <w:rFonts w:eastAsia="Times New Roman" w:cs="Arial"/>
          <w:sz w:val="20"/>
          <w:lang w:val="es-ES" w:eastAsia="es-CO"/>
        </w:rPr>
        <w:t>66001-31-05-002-2021-00164-01</w:t>
      </w:r>
    </w:p>
    <w:p w14:paraId="1DC93756" w14:textId="77777777" w:rsidR="004A4BC3" w:rsidRPr="004A4BC3" w:rsidRDefault="004A4BC3" w:rsidP="004A4BC3">
      <w:pPr>
        <w:spacing w:line="240" w:lineRule="auto"/>
        <w:ind w:firstLine="0"/>
        <w:textAlignment w:val="baseline"/>
        <w:rPr>
          <w:rFonts w:ascii="Segoe UI" w:eastAsia="Times New Roman" w:hAnsi="Segoe UI" w:cs="Segoe UI"/>
          <w:bCs/>
          <w:sz w:val="20"/>
          <w:lang w:eastAsia="es-CO"/>
        </w:rPr>
      </w:pPr>
      <w:r w:rsidRPr="004A4BC3">
        <w:rPr>
          <w:rFonts w:eastAsia="Times New Roman" w:cs="Arial"/>
          <w:bCs/>
          <w:sz w:val="20"/>
          <w:lang w:val="es-ES" w:eastAsia="es-CO"/>
        </w:rPr>
        <w:t>Proceso:</w:t>
      </w:r>
      <w:r w:rsidRPr="004A4BC3">
        <w:rPr>
          <w:rFonts w:ascii="Calibri" w:eastAsia="Times New Roman" w:hAnsi="Calibri" w:cs="Calibri"/>
          <w:sz w:val="20"/>
          <w:lang w:eastAsia="es-CO"/>
        </w:rPr>
        <w:tab/>
      </w:r>
      <w:r w:rsidRPr="004A4BC3">
        <w:rPr>
          <w:rFonts w:ascii="Calibri" w:eastAsia="Times New Roman" w:hAnsi="Calibri" w:cs="Calibri"/>
          <w:sz w:val="20"/>
          <w:lang w:eastAsia="es-CO"/>
        </w:rPr>
        <w:tab/>
      </w:r>
      <w:r w:rsidRPr="004A4BC3">
        <w:rPr>
          <w:rFonts w:eastAsia="Times New Roman" w:cs="Arial"/>
          <w:sz w:val="20"/>
          <w:lang w:val="es-ES" w:eastAsia="es-CO"/>
        </w:rPr>
        <w:t>Ordinario laboral </w:t>
      </w:r>
      <w:r w:rsidRPr="004A4BC3">
        <w:rPr>
          <w:rFonts w:eastAsia="Times New Roman" w:cs="Arial"/>
          <w:bCs/>
          <w:sz w:val="20"/>
          <w:lang w:eastAsia="es-CO"/>
        </w:rPr>
        <w:t> </w:t>
      </w:r>
    </w:p>
    <w:p w14:paraId="4B5C8F52" w14:textId="77777777" w:rsidR="004A4BC3" w:rsidRPr="004A4BC3" w:rsidRDefault="004A4BC3" w:rsidP="004A4BC3">
      <w:pPr>
        <w:spacing w:line="240" w:lineRule="auto"/>
        <w:ind w:firstLine="0"/>
        <w:textAlignment w:val="baseline"/>
        <w:rPr>
          <w:rFonts w:eastAsia="Times New Roman" w:cs="Arial"/>
          <w:sz w:val="20"/>
          <w:lang w:val="es-ES" w:eastAsia="es-CO"/>
        </w:rPr>
      </w:pPr>
      <w:r w:rsidRPr="004A4BC3">
        <w:rPr>
          <w:rFonts w:eastAsia="Times New Roman" w:cs="Arial"/>
          <w:bCs/>
          <w:sz w:val="20"/>
          <w:lang w:val="es-ES" w:eastAsia="es-CO"/>
        </w:rPr>
        <w:t>Demandante:</w:t>
      </w:r>
      <w:r w:rsidRPr="004A4BC3">
        <w:rPr>
          <w:rFonts w:ascii="Calibri" w:eastAsia="Times New Roman" w:hAnsi="Calibri" w:cs="Calibri"/>
          <w:sz w:val="20"/>
          <w:lang w:eastAsia="es-CO"/>
        </w:rPr>
        <w:tab/>
      </w:r>
      <w:r w:rsidRPr="004A4BC3">
        <w:rPr>
          <w:rFonts w:ascii="Calibri" w:eastAsia="Times New Roman" w:hAnsi="Calibri" w:cs="Calibri"/>
          <w:sz w:val="20"/>
          <w:lang w:eastAsia="es-CO"/>
        </w:rPr>
        <w:tab/>
      </w:r>
      <w:r w:rsidRPr="004A4BC3">
        <w:rPr>
          <w:rFonts w:eastAsia="Times New Roman" w:cs="Arial"/>
          <w:sz w:val="20"/>
          <w:lang w:val="es-ES" w:eastAsia="es-CO"/>
        </w:rPr>
        <w:t>Irma Lucila Núñez Barrera</w:t>
      </w:r>
    </w:p>
    <w:p w14:paraId="38F315A8" w14:textId="77777777" w:rsidR="004A4BC3" w:rsidRPr="004A4BC3" w:rsidRDefault="004A4BC3" w:rsidP="004A4BC3">
      <w:pPr>
        <w:spacing w:line="240" w:lineRule="auto"/>
        <w:ind w:firstLine="0"/>
        <w:textAlignment w:val="baseline"/>
        <w:rPr>
          <w:rFonts w:eastAsia="Times New Roman" w:cs="Arial"/>
          <w:bCs/>
          <w:sz w:val="20"/>
          <w:lang w:val="es-ES" w:eastAsia="es-CO"/>
        </w:rPr>
      </w:pPr>
      <w:r w:rsidRPr="004A4BC3">
        <w:rPr>
          <w:rFonts w:eastAsia="Times New Roman" w:cs="Arial"/>
          <w:bCs/>
          <w:sz w:val="20"/>
          <w:lang w:val="es-ES" w:eastAsia="es-CO"/>
        </w:rPr>
        <w:t>Demandado:</w:t>
      </w:r>
      <w:r w:rsidRPr="004A4BC3">
        <w:rPr>
          <w:rFonts w:eastAsia="Times New Roman" w:cs="Arial"/>
          <w:bCs/>
          <w:sz w:val="20"/>
          <w:lang w:val="es-ES" w:eastAsia="es-CO"/>
        </w:rPr>
        <w:tab/>
      </w:r>
      <w:r w:rsidRPr="004A4BC3">
        <w:rPr>
          <w:rFonts w:eastAsia="Times New Roman" w:cs="Arial"/>
          <w:bCs/>
          <w:lang w:val="es-ES" w:eastAsia="es-CO"/>
        </w:rPr>
        <w:tab/>
      </w:r>
      <w:r w:rsidRPr="004A4BC3">
        <w:rPr>
          <w:rFonts w:eastAsia="Times New Roman" w:cs="Arial"/>
          <w:bCs/>
          <w:sz w:val="20"/>
          <w:lang w:val="es-ES" w:eastAsia="es-CO"/>
        </w:rPr>
        <w:t>Colpensiones y otros</w:t>
      </w:r>
    </w:p>
    <w:p w14:paraId="609291D7" w14:textId="77777777" w:rsidR="004A4BC3" w:rsidRPr="004A4BC3" w:rsidRDefault="004A4BC3" w:rsidP="004A4BC3">
      <w:pPr>
        <w:spacing w:line="240" w:lineRule="auto"/>
        <w:ind w:firstLine="0"/>
        <w:textAlignment w:val="baseline"/>
        <w:rPr>
          <w:rFonts w:eastAsia="Times New Roman" w:cs="Arial"/>
          <w:lang w:val="es-ES" w:eastAsia="es-CO"/>
        </w:rPr>
      </w:pPr>
      <w:r w:rsidRPr="004A4BC3">
        <w:rPr>
          <w:rFonts w:eastAsia="Times New Roman" w:cs="Arial"/>
          <w:bCs/>
          <w:sz w:val="20"/>
          <w:lang w:val="es-ES" w:eastAsia="es-CO"/>
        </w:rPr>
        <w:t>Magistrado ponente:</w:t>
      </w:r>
      <w:r w:rsidRPr="004A4BC3">
        <w:rPr>
          <w:rFonts w:eastAsia="Times New Roman" w:cs="Arial"/>
          <w:bCs/>
          <w:sz w:val="20"/>
          <w:lang w:val="es-ES" w:eastAsia="es-CO"/>
        </w:rPr>
        <w:tab/>
        <w:t>Dr. German Darío Góez Vinasco</w:t>
      </w:r>
      <w:r w:rsidRPr="004A4BC3">
        <w:rPr>
          <w:rFonts w:ascii="Times New Roman" w:eastAsia="Times New Roman" w:hAnsi="Times New Roman" w:cs="Times New Roman"/>
          <w:lang w:val="es-ES" w:eastAsia="es-CO"/>
        </w:rPr>
        <w:t> </w:t>
      </w:r>
    </w:p>
    <w:p w14:paraId="71F1CDB4" w14:textId="77777777" w:rsidR="004A4BC3" w:rsidRPr="004A4BC3" w:rsidRDefault="004A4BC3" w:rsidP="004A4BC3">
      <w:pPr>
        <w:spacing w:line="240" w:lineRule="auto"/>
        <w:ind w:firstLine="0"/>
        <w:textAlignment w:val="baseline"/>
        <w:rPr>
          <w:rFonts w:eastAsia="Times New Roman" w:cs="Arial"/>
          <w:lang w:val="es-ES" w:eastAsia="es-CO"/>
        </w:rPr>
      </w:pPr>
      <w:r w:rsidRPr="004A4BC3">
        <w:rPr>
          <w:rFonts w:eastAsia="Times New Roman" w:cs="Arial"/>
          <w:bCs/>
          <w:sz w:val="20"/>
          <w:lang w:val="es-ES" w:eastAsia="es-CO"/>
        </w:rPr>
        <w:t>Tema:</w:t>
      </w:r>
      <w:r w:rsidRPr="004A4BC3">
        <w:rPr>
          <w:rFonts w:eastAsia="Times New Roman" w:cs="Arial"/>
          <w:bCs/>
          <w:sz w:val="20"/>
          <w:lang w:val="es-ES" w:eastAsia="es-CO"/>
        </w:rPr>
        <w:tab/>
      </w:r>
      <w:r w:rsidRPr="004A4BC3">
        <w:rPr>
          <w:rFonts w:eastAsia="Times New Roman" w:cs="Arial"/>
          <w:bCs/>
          <w:sz w:val="20"/>
          <w:lang w:val="es-ES" w:eastAsia="es-CO"/>
        </w:rPr>
        <w:tab/>
      </w:r>
      <w:r w:rsidRPr="004A4BC3">
        <w:rPr>
          <w:rFonts w:eastAsia="Times New Roman" w:cs="Arial"/>
          <w:bCs/>
          <w:sz w:val="20"/>
          <w:lang w:val="es-ES" w:eastAsia="es-CO"/>
        </w:rPr>
        <w:tab/>
        <w:t>Ineficacia de afiliación </w:t>
      </w:r>
      <w:r w:rsidRPr="004A4BC3">
        <w:rPr>
          <w:rFonts w:ascii="Times New Roman" w:eastAsia="Times New Roman" w:hAnsi="Times New Roman" w:cs="Times New Roman"/>
          <w:lang w:val="es-ES" w:eastAsia="es-CO"/>
        </w:rPr>
        <w:t> </w:t>
      </w:r>
    </w:p>
    <w:p w14:paraId="646D621B" w14:textId="77777777" w:rsidR="004A4BC3" w:rsidRPr="004A4BC3" w:rsidRDefault="004A4BC3" w:rsidP="004A4BC3">
      <w:pPr>
        <w:spacing w:line="240" w:lineRule="auto"/>
        <w:ind w:firstLine="0"/>
        <w:textAlignment w:val="baseline"/>
        <w:rPr>
          <w:rFonts w:ascii="Times New Roman" w:eastAsia="Times New Roman" w:hAnsi="Times New Roman" w:cs="Times New Roman"/>
          <w:bCs/>
          <w:lang w:val="es-ES" w:eastAsia="es-CO"/>
        </w:rPr>
      </w:pPr>
    </w:p>
    <w:p w14:paraId="53599F6B" w14:textId="77777777" w:rsidR="004A4BC3" w:rsidRPr="004A4BC3" w:rsidRDefault="004A4BC3" w:rsidP="004A4BC3">
      <w:pPr>
        <w:spacing w:line="240" w:lineRule="auto"/>
        <w:ind w:firstLine="0"/>
        <w:textAlignment w:val="baseline"/>
        <w:rPr>
          <w:rFonts w:eastAsia="Times New Roman" w:cs="Arial"/>
          <w:sz w:val="20"/>
          <w:lang w:eastAsia="es-CO"/>
        </w:rPr>
      </w:pPr>
    </w:p>
    <w:p w14:paraId="30459E25" w14:textId="77777777" w:rsidR="004A4BC3" w:rsidRPr="004A4BC3" w:rsidRDefault="004A4BC3" w:rsidP="004A4BC3">
      <w:pPr>
        <w:spacing w:line="240" w:lineRule="auto"/>
        <w:ind w:firstLine="0"/>
        <w:textAlignment w:val="baseline"/>
        <w:rPr>
          <w:rFonts w:eastAsia="Times New Roman" w:cs="Arial"/>
          <w:sz w:val="20"/>
          <w:lang w:eastAsia="es-CO"/>
        </w:rPr>
      </w:pPr>
    </w:p>
    <w:p w14:paraId="79D0B5D9" w14:textId="77777777" w:rsidR="004A4BC3" w:rsidRPr="004A4BC3" w:rsidRDefault="004A4BC3" w:rsidP="004A4BC3">
      <w:pPr>
        <w:keepNext/>
        <w:spacing w:line="312" w:lineRule="auto"/>
        <w:ind w:firstLine="0"/>
        <w:jc w:val="center"/>
        <w:outlineLvl w:val="2"/>
        <w:rPr>
          <w:rFonts w:eastAsia="Times New Roman" w:cs="Arial"/>
          <w:b/>
          <w:lang w:val="es-ES_tradnl" w:eastAsia="es-ES"/>
        </w:rPr>
      </w:pPr>
      <w:r w:rsidRPr="004A4BC3">
        <w:rPr>
          <w:rFonts w:eastAsia="Times New Roman" w:cs="Arial"/>
          <w:b/>
          <w:lang w:val="es-ES_tradnl" w:eastAsia="es-ES"/>
        </w:rPr>
        <w:t>TRIBUNAL SUPERIOR DEL DISTRITO JUDICIAL</w:t>
      </w:r>
    </w:p>
    <w:p w14:paraId="56DD3FD0" w14:textId="77777777" w:rsidR="004A4BC3" w:rsidRPr="004A4BC3" w:rsidRDefault="004A4BC3" w:rsidP="004A4BC3">
      <w:pPr>
        <w:spacing w:line="312" w:lineRule="auto"/>
        <w:ind w:firstLine="0"/>
        <w:jc w:val="center"/>
        <w:rPr>
          <w:rFonts w:eastAsia="Calibri" w:cs="Arial"/>
          <w:b/>
        </w:rPr>
      </w:pPr>
      <w:r w:rsidRPr="004A4BC3">
        <w:rPr>
          <w:rFonts w:eastAsia="Calibri" w:cs="Arial"/>
          <w:b/>
        </w:rPr>
        <w:t>SALA LABORAL</w:t>
      </w:r>
    </w:p>
    <w:p w14:paraId="00E603AE" w14:textId="77777777" w:rsidR="004A4BC3" w:rsidRPr="004A4BC3" w:rsidRDefault="004A4BC3" w:rsidP="004A4BC3">
      <w:pPr>
        <w:spacing w:line="312" w:lineRule="auto"/>
        <w:ind w:firstLine="0"/>
        <w:jc w:val="center"/>
        <w:rPr>
          <w:rFonts w:eastAsia="Times New Roman" w:cs="Arial"/>
          <w:b/>
          <w:lang w:val="es-ES_tradnl" w:eastAsia="es-ES"/>
        </w:rPr>
      </w:pPr>
      <w:r w:rsidRPr="004A4BC3">
        <w:rPr>
          <w:rFonts w:eastAsia="Times New Roman" w:cs="Arial"/>
          <w:b/>
          <w:lang w:val="es-ES_tradnl" w:eastAsia="es-ES"/>
        </w:rPr>
        <w:t>MAGISTRADA: OLGA LUCIA HOYOS SEPÚLVEDA</w:t>
      </w:r>
    </w:p>
    <w:p w14:paraId="1327DA05" w14:textId="77777777" w:rsidR="004A4BC3" w:rsidRPr="004A4BC3" w:rsidRDefault="004A4BC3" w:rsidP="004A4BC3">
      <w:pPr>
        <w:spacing w:line="312" w:lineRule="auto"/>
        <w:ind w:firstLine="0"/>
        <w:jc w:val="left"/>
        <w:rPr>
          <w:rFonts w:eastAsia="Times New Roman" w:cs="Arial"/>
          <w:b/>
          <w:lang w:val="es-ES_tradnl" w:eastAsia="es-ES"/>
        </w:rPr>
      </w:pPr>
    </w:p>
    <w:p w14:paraId="7AE3A0F2" w14:textId="77777777" w:rsidR="004A4BC3" w:rsidRPr="004A4BC3" w:rsidRDefault="004A4BC3" w:rsidP="004A4BC3">
      <w:pPr>
        <w:spacing w:line="312" w:lineRule="auto"/>
        <w:ind w:firstLine="0"/>
        <w:jc w:val="left"/>
        <w:textAlignment w:val="baseline"/>
        <w:rPr>
          <w:rFonts w:eastAsia="Times New Roman" w:cs="Arial"/>
          <w:lang w:val="es-ES_tradnl" w:eastAsia="es-CO"/>
        </w:rPr>
      </w:pPr>
    </w:p>
    <w:p w14:paraId="09A252ED" w14:textId="77777777" w:rsidR="004A4BC3" w:rsidRPr="004A4BC3" w:rsidRDefault="004A4BC3" w:rsidP="004A4BC3">
      <w:pPr>
        <w:spacing w:line="312" w:lineRule="auto"/>
        <w:ind w:firstLine="0"/>
        <w:jc w:val="center"/>
        <w:textAlignment w:val="baseline"/>
        <w:rPr>
          <w:rFonts w:eastAsia="Times New Roman" w:cs="Arial"/>
          <w:lang w:eastAsia="es-CO"/>
        </w:rPr>
      </w:pPr>
      <w:r w:rsidRPr="004A4BC3">
        <w:rPr>
          <w:rFonts w:eastAsia="Times New Roman" w:cs="Arial"/>
          <w:b/>
          <w:bCs/>
          <w:u w:val="single"/>
          <w:lang w:val="es-ES" w:eastAsia="es-CO"/>
        </w:rPr>
        <w:t>ACLARACIÓN DE VOTO</w:t>
      </w:r>
    </w:p>
    <w:p w14:paraId="3353F24A" w14:textId="77777777" w:rsidR="004A4BC3" w:rsidRPr="004A4BC3" w:rsidRDefault="004A4BC3" w:rsidP="004A4BC3">
      <w:pPr>
        <w:shd w:val="clear" w:color="auto" w:fill="FFFFFF"/>
        <w:spacing w:line="312" w:lineRule="auto"/>
        <w:ind w:firstLine="0"/>
        <w:jc w:val="left"/>
        <w:textAlignment w:val="baseline"/>
        <w:rPr>
          <w:rFonts w:eastAsia="Times New Roman" w:cs="Arial"/>
          <w:color w:val="000000"/>
          <w:lang w:eastAsia="es-CO"/>
        </w:rPr>
      </w:pPr>
    </w:p>
    <w:p w14:paraId="3682D075" w14:textId="77777777" w:rsidR="004A4BC3" w:rsidRPr="004A4BC3" w:rsidRDefault="004A4BC3" w:rsidP="004A4BC3">
      <w:pPr>
        <w:shd w:val="clear" w:color="auto" w:fill="FFFFFF"/>
        <w:spacing w:line="312" w:lineRule="auto"/>
        <w:ind w:firstLine="0"/>
        <w:jc w:val="left"/>
        <w:textAlignment w:val="baseline"/>
        <w:rPr>
          <w:rFonts w:eastAsia="Times New Roman" w:cs="Arial"/>
          <w:lang w:eastAsia="es-CO"/>
        </w:rPr>
      </w:pPr>
    </w:p>
    <w:p w14:paraId="5383EE98" w14:textId="77777777" w:rsidR="004A4BC3" w:rsidRPr="004A4BC3" w:rsidRDefault="004A4BC3" w:rsidP="004A4BC3">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Como es conocido por la sala que integro y únicamente con ocasión a la sentencia de tutela de primer grado emitida por la Sala Laboral de la Corte Suprema de Justicia STL4759-2020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RAIS, y debido al grado jurisdiccional de consulta a favor de Colpensiones, se han adicionado, en algunos casos, las decisiones de primer grado para adecuar la devolución de dineros que la AFP debe realizar a Colpensiones.</w:t>
      </w:r>
    </w:p>
    <w:p w14:paraId="0765321C" w14:textId="77777777" w:rsidR="004A4BC3" w:rsidRPr="004A4BC3" w:rsidRDefault="004A4BC3" w:rsidP="004A4BC3">
      <w:pPr>
        <w:spacing w:line="312" w:lineRule="auto"/>
        <w:ind w:firstLine="0"/>
        <w:textAlignment w:val="baseline"/>
        <w:rPr>
          <w:rFonts w:eastAsia="Times New Roman" w:cs="Arial"/>
          <w:szCs w:val="23"/>
          <w:lang w:eastAsia="es-CO"/>
        </w:rPr>
      </w:pPr>
    </w:p>
    <w:p w14:paraId="50401D6F" w14:textId="77777777" w:rsidR="004A4BC3" w:rsidRPr="004A4BC3" w:rsidRDefault="004A4BC3" w:rsidP="004A4BC3">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w:t>
      </w:r>
    </w:p>
    <w:p w14:paraId="46B60D2E" w14:textId="77777777" w:rsidR="004A4BC3" w:rsidRPr="004A4BC3" w:rsidRDefault="004A4BC3" w:rsidP="004A4BC3">
      <w:pPr>
        <w:spacing w:line="312" w:lineRule="auto"/>
        <w:ind w:firstLine="0"/>
        <w:jc w:val="left"/>
        <w:textAlignment w:val="baseline"/>
        <w:rPr>
          <w:rFonts w:eastAsia="Times New Roman" w:cs="Arial"/>
          <w:szCs w:val="23"/>
          <w:lang w:eastAsia="es-CO"/>
        </w:rPr>
      </w:pPr>
    </w:p>
    <w:p w14:paraId="51248017" w14:textId="77777777" w:rsidR="004A4BC3" w:rsidRPr="004A4BC3" w:rsidRDefault="004A4BC3" w:rsidP="004A4BC3">
      <w:pPr>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w:t>
      </w:r>
    </w:p>
    <w:p w14:paraId="0052DF28" w14:textId="77777777" w:rsidR="004A4BC3" w:rsidRPr="004A4BC3" w:rsidRDefault="004A4BC3" w:rsidP="004A4BC3">
      <w:pPr>
        <w:spacing w:line="312" w:lineRule="auto"/>
        <w:ind w:firstLine="0"/>
        <w:textAlignment w:val="baseline"/>
        <w:rPr>
          <w:rFonts w:eastAsia="Times New Roman" w:cs="Arial"/>
          <w:szCs w:val="23"/>
          <w:lang w:eastAsia="es-CO"/>
        </w:rPr>
      </w:pPr>
      <w:r w:rsidRPr="004A4BC3">
        <w:rPr>
          <w:rFonts w:eastAsia="Times New Roman" w:cs="Arial"/>
          <w:szCs w:val="23"/>
          <w:lang w:eastAsia="es-CO"/>
        </w:rPr>
        <w:t xml:space="preserve"> </w:t>
      </w:r>
    </w:p>
    <w:p w14:paraId="0647AB1F"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C.Po.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4A4BC3">
        <w:rPr>
          <w:rFonts w:eastAsia="Times New Roman" w:cs="Arial"/>
          <w:b/>
          <w:bCs/>
          <w:szCs w:val="23"/>
          <w:lang w:val="es-ES" w:eastAsia="es-CO"/>
        </w:rPr>
        <w:t>tácitamente</w:t>
      </w:r>
      <w:r w:rsidRPr="004A4BC3">
        <w:rPr>
          <w:rFonts w:eastAsia="Times New Roman" w:cs="Arial"/>
          <w:szCs w:val="23"/>
          <w:lang w:val="es-ES" w:eastAsia="es-CO"/>
        </w:rPr>
        <w:t> a la AFP, pues de haber querido regular su comportamiento, explícitamente lo hubiera incluido como infractor de tal norma, pero no lo hizo.</w:t>
      </w:r>
    </w:p>
    <w:p w14:paraId="067C707A"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p>
    <w:p w14:paraId="6EF39A3F"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p>
    <w:p w14:paraId="12715712" w14:textId="77777777" w:rsidR="004A4BC3" w:rsidRPr="004A4BC3" w:rsidRDefault="004A4BC3" w:rsidP="004A4BC3">
      <w:pPr>
        <w:spacing w:line="312" w:lineRule="auto"/>
        <w:ind w:firstLine="0"/>
        <w:jc w:val="left"/>
        <w:textAlignment w:val="baseline"/>
        <w:rPr>
          <w:rFonts w:eastAsia="Times New Roman" w:cs="Arial"/>
          <w:szCs w:val="23"/>
          <w:lang w:eastAsia="es-CO"/>
        </w:rPr>
      </w:pPr>
      <w:r w:rsidRPr="004A4BC3">
        <w:rPr>
          <w:rFonts w:eastAsia="Times New Roman" w:cs="Arial"/>
          <w:szCs w:val="23"/>
          <w:lang w:val="es-ES" w:eastAsia="es-CO"/>
        </w:rPr>
        <w:t> </w:t>
      </w:r>
      <w:r w:rsidRPr="004A4BC3">
        <w:rPr>
          <w:rFonts w:eastAsia="Times New Roman" w:cs="Arial"/>
          <w:szCs w:val="23"/>
          <w:lang w:eastAsia="es-CO"/>
        </w:rPr>
        <w:t>   </w:t>
      </w:r>
    </w:p>
    <w:p w14:paraId="21260DE8" w14:textId="77777777" w:rsidR="004A4BC3" w:rsidRPr="004A4BC3" w:rsidRDefault="004A4BC3" w:rsidP="004A4BC3">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w:t>
      </w:r>
    </w:p>
    <w:p w14:paraId="4BF031E1" w14:textId="77777777" w:rsidR="004A4BC3" w:rsidRPr="004A4BC3" w:rsidRDefault="004A4BC3" w:rsidP="004A4BC3">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 </w:t>
      </w:r>
      <w:r w:rsidRPr="004A4BC3">
        <w:rPr>
          <w:rFonts w:eastAsia="Times New Roman" w:cs="Arial"/>
          <w:szCs w:val="23"/>
          <w:lang w:eastAsia="es-CO"/>
        </w:rPr>
        <w:t>   </w:t>
      </w:r>
    </w:p>
    <w:p w14:paraId="58B67235"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El precedente o doctrina probable de la Sala Laboral de la Corte Suprema de Justicia trasgrede la cláusula constitucional 90 y los artículos 2341 y 2343 del Código Civil, porque </w:t>
      </w:r>
      <w:r w:rsidRPr="004A4BC3">
        <w:rPr>
          <w:rFonts w:eastAsia="Times New Roman" w:cs="Arial"/>
          <w:i/>
          <w:iCs/>
          <w:szCs w:val="23"/>
          <w:lang w:val="es-ES" w:eastAsia="es-CO"/>
        </w:rPr>
        <w:t>“el Estado únicamente responderá patrimonialmente por los daños antijurídicos que le sean imputables, causados por la acción o la omisión de las autoridades públicas”,</w:t>
      </w:r>
      <w:r w:rsidRPr="004A4BC3">
        <w:rPr>
          <w:rFonts w:eastAsia="Times New Roman" w:cs="Arial"/>
          <w:szCs w:val="23"/>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w:t>
      </w:r>
    </w:p>
    <w:p w14:paraId="6A48438D"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p>
    <w:p w14:paraId="7154726E" w14:textId="77777777" w:rsidR="004A4BC3" w:rsidRPr="004A4BC3" w:rsidRDefault="004A4BC3" w:rsidP="004A4BC3">
      <w:pPr>
        <w:shd w:val="clear" w:color="auto" w:fill="FFFFFF"/>
        <w:spacing w:line="312" w:lineRule="auto"/>
        <w:ind w:firstLine="0"/>
        <w:textAlignment w:val="baseline"/>
        <w:rPr>
          <w:rFonts w:eastAsia="Times New Roman" w:cs="Arial"/>
          <w:szCs w:val="23"/>
          <w:lang w:val="es-ES" w:eastAsia="es-CO"/>
        </w:rPr>
      </w:pPr>
      <w:r w:rsidRPr="004A4BC3">
        <w:rPr>
          <w:rFonts w:eastAsia="Times New Roman" w:cs="Arial"/>
          <w:szCs w:val="23"/>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w:t>
      </w:r>
    </w:p>
    <w:p w14:paraId="4FB6C99D"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eastAsia="es-CO"/>
        </w:rPr>
        <w:t> </w:t>
      </w:r>
    </w:p>
    <w:p w14:paraId="32617C5B"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conclusión, considero que otro es el camino que debe abrirse para efectos de resolver los procesos tendientes a obtener la ineficacia de afiliación al RAIS y por ello, válido es memorar la aclaración de voto realizada por el Magistrado de la Sala Laboral de la Corte Suprema de Justicia, </w:t>
      </w:r>
      <w:r w:rsidRPr="004A4BC3">
        <w:rPr>
          <w:rFonts w:eastAsia="Times New Roman" w:cs="Arial"/>
          <w:b/>
          <w:bCs/>
          <w:szCs w:val="23"/>
          <w:lang w:val="es-ES" w:eastAsia="es-CO"/>
        </w:rPr>
        <w:t>LUIS BENEDICTO HERRERA DÍAZ, </w:t>
      </w:r>
      <w:r w:rsidRPr="004A4BC3">
        <w:rPr>
          <w:rFonts w:eastAsia="Times New Roman" w:cs="Arial"/>
          <w:szCs w:val="23"/>
          <w:lang w:val="es-ES" w:eastAsia="es-CO"/>
        </w:rPr>
        <w:t xml:space="preserve">dentro del proceso No. 57458, </w:t>
      </w:r>
      <w:r w:rsidRPr="004A4BC3">
        <w:rPr>
          <w:rFonts w:eastAsia="Times New Roman" w:cs="Arial"/>
          <w:color w:val="000000"/>
          <w:szCs w:val="23"/>
          <w:lang w:val="es-ES" w:eastAsia="es-CO"/>
        </w:rPr>
        <w:t>que resulta atemporal y en ese sentido pertinente para discurrir sobre el principio de independencia judicial en relación a cualquier asunto bajo análisis,</w:t>
      </w:r>
      <w:r w:rsidRPr="004A4BC3">
        <w:rPr>
          <w:rFonts w:eastAsia="Times New Roman" w:cs="Arial"/>
          <w:szCs w:val="23"/>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4A4BC3">
        <w:rPr>
          <w:rFonts w:eastAsia="Times New Roman" w:cs="Arial"/>
          <w:szCs w:val="23"/>
          <w:lang w:eastAsia="es-CO"/>
        </w:rPr>
        <w:t> </w:t>
      </w:r>
    </w:p>
    <w:p w14:paraId="60EC6D3F"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p>
    <w:p w14:paraId="692800F2" w14:textId="77777777" w:rsidR="004A4BC3" w:rsidRPr="004A4BC3" w:rsidRDefault="004A4BC3" w:rsidP="004A4BC3">
      <w:pPr>
        <w:shd w:val="clear" w:color="auto" w:fill="FFFFFF"/>
        <w:spacing w:line="312" w:lineRule="auto"/>
        <w:ind w:firstLine="0"/>
        <w:textAlignment w:val="baseline"/>
        <w:rPr>
          <w:rFonts w:eastAsia="Times New Roman" w:cs="Arial"/>
          <w:szCs w:val="23"/>
          <w:lang w:eastAsia="es-CO"/>
        </w:rPr>
      </w:pPr>
    </w:p>
    <w:p w14:paraId="3EB935CE" w14:textId="77777777" w:rsidR="004A4BC3" w:rsidRPr="004A4BC3" w:rsidRDefault="004A4BC3" w:rsidP="004A4BC3">
      <w:pPr>
        <w:spacing w:line="312" w:lineRule="auto"/>
        <w:ind w:firstLine="0"/>
        <w:textAlignment w:val="baseline"/>
        <w:rPr>
          <w:rFonts w:eastAsia="Times New Roman" w:cs="Arial"/>
          <w:szCs w:val="23"/>
          <w:lang w:eastAsia="es-CO"/>
        </w:rPr>
      </w:pPr>
      <w:r w:rsidRPr="004A4BC3">
        <w:rPr>
          <w:rFonts w:eastAsia="Times New Roman" w:cs="Arial"/>
          <w:szCs w:val="23"/>
          <w:lang w:val="es-ES" w:eastAsia="es-CO"/>
        </w:rPr>
        <w:t>En estos términos aclaro mi voto,</w:t>
      </w:r>
      <w:r w:rsidRPr="004A4BC3">
        <w:rPr>
          <w:rFonts w:eastAsia="Times New Roman" w:cs="Arial"/>
          <w:szCs w:val="23"/>
          <w:lang w:eastAsia="es-CO"/>
        </w:rPr>
        <w:t>   </w:t>
      </w:r>
    </w:p>
    <w:p w14:paraId="6251FD45" w14:textId="77777777" w:rsidR="004A4BC3" w:rsidRPr="004A4BC3" w:rsidRDefault="004A4BC3" w:rsidP="004A4BC3">
      <w:pPr>
        <w:spacing w:line="312" w:lineRule="auto"/>
        <w:ind w:firstLine="0"/>
        <w:textAlignment w:val="baseline"/>
        <w:rPr>
          <w:rFonts w:eastAsia="Times New Roman" w:cs="Arial"/>
          <w:szCs w:val="23"/>
          <w:lang w:eastAsia="es-CO"/>
        </w:rPr>
      </w:pPr>
    </w:p>
    <w:p w14:paraId="7E6E2D4F" w14:textId="77777777" w:rsidR="004A4BC3" w:rsidRPr="004A4BC3" w:rsidRDefault="004A4BC3" w:rsidP="004A4BC3">
      <w:pPr>
        <w:spacing w:line="312" w:lineRule="auto"/>
        <w:ind w:firstLine="0"/>
        <w:textAlignment w:val="baseline"/>
        <w:rPr>
          <w:rFonts w:eastAsia="Times New Roman" w:cs="Arial"/>
          <w:szCs w:val="23"/>
          <w:lang w:eastAsia="es-CO"/>
        </w:rPr>
      </w:pPr>
    </w:p>
    <w:p w14:paraId="63CD2975" w14:textId="77777777" w:rsidR="004A4BC3" w:rsidRPr="004A4BC3" w:rsidRDefault="004A4BC3" w:rsidP="004A4BC3">
      <w:pPr>
        <w:spacing w:line="312" w:lineRule="auto"/>
        <w:ind w:firstLine="0"/>
        <w:textAlignment w:val="baseline"/>
        <w:rPr>
          <w:rFonts w:eastAsia="Times New Roman" w:cs="Arial"/>
          <w:szCs w:val="23"/>
          <w:lang w:eastAsia="es-CO"/>
        </w:rPr>
      </w:pPr>
    </w:p>
    <w:p w14:paraId="50BC4DC9" w14:textId="77777777" w:rsidR="004A4BC3" w:rsidRPr="004A4BC3" w:rsidRDefault="004A4BC3" w:rsidP="004A4BC3">
      <w:pPr>
        <w:spacing w:line="312" w:lineRule="auto"/>
        <w:ind w:firstLine="0"/>
        <w:textAlignment w:val="baseline"/>
        <w:rPr>
          <w:rFonts w:eastAsia="Times New Roman" w:cs="Arial"/>
          <w:szCs w:val="23"/>
          <w:lang w:eastAsia="es-CO"/>
        </w:rPr>
      </w:pPr>
    </w:p>
    <w:p w14:paraId="63010184" w14:textId="77777777" w:rsidR="004A4BC3" w:rsidRPr="004A4BC3" w:rsidRDefault="004A4BC3" w:rsidP="004A4BC3">
      <w:pPr>
        <w:spacing w:line="312" w:lineRule="auto"/>
        <w:ind w:firstLine="0"/>
        <w:textAlignment w:val="baseline"/>
        <w:rPr>
          <w:rFonts w:eastAsia="Times New Roman" w:cs="Arial"/>
          <w:szCs w:val="23"/>
          <w:lang w:eastAsia="es-CO"/>
        </w:rPr>
      </w:pPr>
    </w:p>
    <w:p w14:paraId="38A41B91" w14:textId="77777777" w:rsidR="004A4BC3" w:rsidRPr="004A4BC3" w:rsidRDefault="004A4BC3" w:rsidP="004A4BC3">
      <w:pPr>
        <w:spacing w:line="312" w:lineRule="auto"/>
        <w:ind w:firstLine="0"/>
        <w:textAlignment w:val="baseline"/>
        <w:rPr>
          <w:rFonts w:eastAsia="Times New Roman" w:cs="Arial"/>
          <w:szCs w:val="23"/>
          <w:lang w:eastAsia="es-CO"/>
        </w:rPr>
      </w:pPr>
      <w:r w:rsidRPr="004A4BC3">
        <w:rPr>
          <w:rFonts w:eastAsia="Times New Roman" w:cs="Arial"/>
          <w:b/>
          <w:bCs/>
          <w:szCs w:val="23"/>
          <w:lang w:val="es-ES" w:eastAsia="es-CO"/>
        </w:rPr>
        <w:t>OLGA LUCÍA HOYOS SEPÚLVEDA</w:t>
      </w:r>
      <w:r w:rsidRPr="004A4BC3">
        <w:rPr>
          <w:rFonts w:eastAsia="Times New Roman" w:cs="Arial"/>
          <w:szCs w:val="23"/>
          <w:lang w:eastAsia="es-CO"/>
        </w:rPr>
        <w:t>   </w:t>
      </w:r>
    </w:p>
    <w:p w14:paraId="19290BF2" w14:textId="08391B6E" w:rsidR="00DC7A36" w:rsidRPr="004A4BC3" w:rsidRDefault="004A4BC3" w:rsidP="004A4BC3">
      <w:pPr>
        <w:spacing w:line="312" w:lineRule="auto"/>
        <w:ind w:firstLine="0"/>
        <w:textAlignment w:val="baseline"/>
        <w:rPr>
          <w:rFonts w:eastAsia="Times New Roman" w:cs="Arial"/>
          <w:szCs w:val="23"/>
          <w:lang w:eastAsia="es-CO"/>
        </w:rPr>
      </w:pPr>
      <w:r w:rsidRPr="004A4BC3">
        <w:rPr>
          <w:rFonts w:eastAsia="Times New Roman" w:cs="Arial"/>
          <w:bCs/>
          <w:szCs w:val="23"/>
          <w:lang w:val="es-ES" w:eastAsia="es-CO"/>
        </w:rPr>
        <w:t>Magistrada</w:t>
      </w:r>
    </w:p>
    <w:sectPr w:rsidR="00DC7A36" w:rsidRPr="004A4BC3" w:rsidSect="000437DC">
      <w:pgSz w:w="12242" w:h="18722" w:code="258"/>
      <w:pgMar w:top="1928" w:right="1361" w:bottom="1361" w:left="1928"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26E684" w16cex:dateUtc="2022-06-09T17:09:36.037Z"/>
  <w16cex:commentExtensible w16cex:durableId="5E8828B4" w16cex:dateUtc="2022-06-10T18:38:32.667Z"/>
  <w16cex:commentExtensible w16cex:durableId="37CD9D7E" w16cex:dateUtc="2022-11-10T22:35:29.63Z"/>
  <w16cex:commentExtensible w16cex:durableId="3AAB4696" w16cex:dateUtc="2022-11-10T22:36:10.908Z"/>
  <w16cex:commentExtensible w16cex:durableId="468F3B0C" w16cex:dateUtc="2022-11-11T13:42:06.995Z"/>
  <w16cex:commentExtensible w16cex:durableId="1ACA989F" w16cex:dateUtc="2022-11-11T14:23:35.482Z"/>
  <w16cex:commentExtensible w16cex:durableId="15C49CB2" w16cex:dateUtc="2022-11-15T19:01:04.589Z"/>
  <w16cex:commentExtensible w16cex:durableId="277D0A47" w16cex:dateUtc="2022-11-15T19:13:49.941Z"/>
  <w16cex:commentExtensible w16cex:durableId="129D7C03" w16cex:dateUtc="2022-11-15T19:21:19.336Z"/>
  <w16cex:commentExtensible w16cex:durableId="01A2087C" w16cex:dateUtc="2022-12-02T18:32:05.433Z"/>
  <w16cex:commentExtensible w16cex:durableId="0D66DF3E" w16cex:dateUtc="2023-09-29T19:50:34.213Z"/>
  <w16cex:commentExtensible w16cex:durableId="568F9A2B" w16cex:dateUtc="2023-10-02T19:34:46.56Z"/>
</w16cex:commentsExtensible>
</file>

<file path=word/commentsIds.xml><?xml version="1.0" encoding="utf-8"?>
<w16cid:commentsIds xmlns:mc="http://schemas.openxmlformats.org/markup-compatibility/2006" xmlns:w16cid="http://schemas.microsoft.com/office/word/2016/wordml/cid" mc:Ignorable="w16cid">
  <w16cid:commentId w16cid:paraId="552BFC75" w16cid:durableId="0D66DF3E"/>
  <w16cid:commentId w16cid:paraId="661F7B3F" w16cid:durableId="568F9A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C39F3" w14:textId="77777777" w:rsidR="00B566B7" w:rsidRDefault="00B566B7" w:rsidP="00F33495">
      <w:pPr>
        <w:spacing w:line="240" w:lineRule="auto"/>
      </w:pPr>
      <w:r>
        <w:separator/>
      </w:r>
    </w:p>
  </w:endnote>
  <w:endnote w:type="continuationSeparator" w:id="0">
    <w:p w14:paraId="0353D518" w14:textId="77777777" w:rsidR="00B566B7" w:rsidRDefault="00B566B7" w:rsidP="00F3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4330F" w14:textId="77777777" w:rsidR="00B566B7" w:rsidRDefault="00B566B7" w:rsidP="00F33495">
      <w:pPr>
        <w:spacing w:line="240" w:lineRule="auto"/>
      </w:pPr>
      <w:r>
        <w:separator/>
      </w:r>
    </w:p>
  </w:footnote>
  <w:footnote w:type="continuationSeparator" w:id="0">
    <w:p w14:paraId="6558A925" w14:textId="77777777" w:rsidR="00B566B7" w:rsidRDefault="00B566B7" w:rsidP="00F33495">
      <w:pPr>
        <w:spacing w:line="240" w:lineRule="auto"/>
      </w:pPr>
      <w:r>
        <w:continuationSeparator/>
      </w:r>
    </w:p>
  </w:footnote>
  <w:footnote w:id="1">
    <w:p w14:paraId="0E79FC85" w14:textId="77777777" w:rsidR="003073FB" w:rsidRDefault="003073FB" w:rsidP="00F33495">
      <w:pPr>
        <w:pStyle w:val="Textonotapie"/>
      </w:pPr>
      <w:r>
        <w:rPr>
          <w:rStyle w:val="Refdenotaalpie"/>
        </w:rPr>
        <w:footnoteRef/>
      </w:r>
      <w:r>
        <w:t xml:space="preserve"> M.P. Dr. Iván Mauricio Lenis Gómez</w:t>
      </w:r>
    </w:p>
  </w:footnote>
  <w:footnote w:id="2">
    <w:p w14:paraId="78D92625" w14:textId="77777777" w:rsidR="003073FB" w:rsidRDefault="003073FB" w:rsidP="00F33495">
      <w:pPr>
        <w:widowControl w:val="0"/>
        <w:tabs>
          <w:tab w:val="left" w:pos="-720"/>
        </w:tabs>
        <w:suppressAutoHyphens/>
        <w:overflowPunct w:val="0"/>
        <w:autoSpaceDE w:val="0"/>
        <w:autoSpaceDN w:val="0"/>
        <w:adjustRightInd w:val="0"/>
        <w:rPr>
          <w:rFonts w:ascii="Bookman Old Style" w:hAnsi="Bookman Old Style" w:cs="Times New Roman"/>
          <w:sz w:val="16"/>
          <w:szCs w:val="16"/>
        </w:rPr>
      </w:pPr>
      <w:r>
        <w:rPr>
          <w:rStyle w:val="Refdenotaalpie"/>
          <w:rFonts w:ascii="Bookman Old Style" w:hAnsi="Bookman Old Style"/>
          <w:sz w:val="16"/>
          <w:szCs w:val="16"/>
        </w:rPr>
        <w:footnoteRef/>
      </w:r>
      <w:r>
        <w:rPr>
          <w:rFonts w:ascii="Bookman Old Style" w:hAnsi="Bookman Old Style"/>
          <w:sz w:val="16"/>
          <w:szCs w:val="16"/>
        </w:rPr>
        <w:t xml:space="preserve"> CSJ Sentencia </w:t>
      </w:r>
      <w:r>
        <w:rPr>
          <w:rFonts w:ascii="Bookman Old Style" w:hAnsi="Bookman Old Style" w:cs="Estrangelo Edessa"/>
          <w:sz w:val="16"/>
          <w:szCs w:val="16"/>
        </w:rPr>
        <w:t>SL1688-2019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28207FF1"/>
    <w:multiLevelType w:val="hybridMultilevel"/>
    <w:tmpl w:val="FE80FBAE"/>
    <w:lvl w:ilvl="0" w:tplc="CA36EC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F6379"/>
    <w:multiLevelType w:val="hybridMultilevel"/>
    <w:tmpl w:val="E4A40B72"/>
    <w:lvl w:ilvl="0" w:tplc="B6FC70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95"/>
    <w:rsid w:val="000010E4"/>
    <w:rsid w:val="000027A8"/>
    <w:rsid w:val="00003BB8"/>
    <w:rsid w:val="00007F2A"/>
    <w:rsid w:val="00012D28"/>
    <w:rsid w:val="00022FE4"/>
    <w:rsid w:val="00023565"/>
    <w:rsid w:val="00027431"/>
    <w:rsid w:val="0002795A"/>
    <w:rsid w:val="00031535"/>
    <w:rsid w:val="000437DC"/>
    <w:rsid w:val="00044B73"/>
    <w:rsid w:val="0005234B"/>
    <w:rsid w:val="0005433D"/>
    <w:rsid w:val="00065FC8"/>
    <w:rsid w:val="00067C72"/>
    <w:rsid w:val="000712A2"/>
    <w:rsid w:val="000712BA"/>
    <w:rsid w:val="00071E1C"/>
    <w:rsid w:val="00076DF1"/>
    <w:rsid w:val="00077B47"/>
    <w:rsid w:val="00082AF6"/>
    <w:rsid w:val="00085746"/>
    <w:rsid w:val="000861DD"/>
    <w:rsid w:val="00092B58"/>
    <w:rsid w:val="000957E0"/>
    <w:rsid w:val="000A21BE"/>
    <w:rsid w:val="000A3C05"/>
    <w:rsid w:val="000A5FC5"/>
    <w:rsid w:val="000B15C7"/>
    <w:rsid w:val="000B1A5C"/>
    <w:rsid w:val="000C159B"/>
    <w:rsid w:val="000D1C42"/>
    <w:rsid w:val="000D42EA"/>
    <w:rsid w:val="000D7C34"/>
    <w:rsid w:val="000E246F"/>
    <w:rsid w:val="000E4020"/>
    <w:rsid w:val="000E587E"/>
    <w:rsid w:val="000F23AF"/>
    <w:rsid w:val="000F448C"/>
    <w:rsid w:val="001078C5"/>
    <w:rsid w:val="00112420"/>
    <w:rsid w:val="001156B3"/>
    <w:rsid w:val="00117457"/>
    <w:rsid w:val="00122FE2"/>
    <w:rsid w:val="001230E0"/>
    <w:rsid w:val="001306A6"/>
    <w:rsid w:val="001363CA"/>
    <w:rsid w:val="00141646"/>
    <w:rsid w:val="00142B50"/>
    <w:rsid w:val="001448CA"/>
    <w:rsid w:val="00152EE8"/>
    <w:rsid w:val="0015434B"/>
    <w:rsid w:val="00154A10"/>
    <w:rsid w:val="001572AC"/>
    <w:rsid w:val="0016082A"/>
    <w:rsid w:val="00162BA7"/>
    <w:rsid w:val="001642CF"/>
    <w:rsid w:val="00164A38"/>
    <w:rsid w:val="00190886"/>
    <w:rsid w:val="00193BCE"/>
    <w:rsid w:val="001B2D43"/>
    <w:rsid w:val="001B5DD5"/>
    <w:rsid w:val="001B606C"/>
    <w:rsid w:val="001B7B5E"/>
    <w:rsid w:val="001C0FBC"/>
    <w:rsid w:val="001C23BE"/>
    <w:rsid w:val="001C3AAD"/>
    <w:rsid w:val="001D58D7"/>
    <w:rsid w:val="001D6565"/>
    <w:rsid w:val="001D7B64"/>
    <w:rsid w:val="001E5B8A"/>
    <w:rsid w:val="001F1802"/>
    <w:rsid w:val="001F19EA"/>
    <w:rsid w:val="001F6292"/>
    <w:rsid w:val="00207285"/>
    <w:rsid w:val="00220881"/>
    <w:rsid w:val="00230F37"/>
    <w:rsid w:val="00232FF7"/>
    <w:rsid w:val="00234859"/>
    <w:rsid w:val="002354BD"/>
    <w:rsid w:val="00236A1C"/>
    <w:rsid w:val="00236DBB"/>
    <w:rsid w:val="0024180D"/>
    <w:rsid w:val="00245916"/>
    <w:rsid w:val="0024623E"/>
    <w:rsid w:val="002562D0"/>
    <w:rsid w:val="00267F84"/>
    <w:rsid w:val="002735E7"/>
    <w:rsid w:val="00286C10"/>
    <w:rsid w:val="00287F53"/>
    <w:rsid w:val="00295BBB"/>
    <w:rsid w:val="002A3122"/>
    <w:rsid w:val="002A4B87"/>
    <w:rsid w:val="002A54BF"/>
    <w:rsid w:val="002A7326"/>
    <w:rsid w:val="002B0CB9"/>
    <w:rsid w:val="002B0F2C"/>
    <w:rsid w:val="002B13F4"/>
    <w:rsid w:val="002C26C1"/>
    <w:rsid w:val="002C58D6"/>
    <w:rsid w:val="002C74B1"/>
    <w:rsid w:val="002D2FCB"/>
    <w:rsid w:val="002D4DEF"/>
    <w:rsid w:val="002E0786"/>
    <w:rsid w:val="002E0B67"/>
    <w:rsid w:val="002E354F"/>
    <w:rsid w:val="002E4336"/>
    <w:rsid w:val="002E6268"/>
    <w:rsid w:val="002F4E91"/>
    <w:rsid w:val="002F5890"/>
    <w:rsid w:val="0030045D"/>
    <w:rsid w:val="00301377"/>
    <w:rsid w:val="00302F28"/>
    <w:rsid w:val="00303C6A"/>
    <w:rsid w:val="003073FB"/>
    <w:rsid w:val="0030756B"/>
    <w:rsid w:val="00313A93"/>
    <w:rsid w:val="00315036"/>
    <w:rsid w:val="003168C5"/>
    <w:rsid w:val="00321B0D"/>
    <w:rsid w:val="00334487"/>
    <w:rsid w:val="00342C2C"/>
    <w:rsid w:val="00344F92"/>
    <w:rsid w:val="00350DC6"/>
    <w:rsid w:val="0035686C"/>
    <w:rsid w:val="0036061A"/>
    <w:rsid w:val="003625E2"/>
    <w:rsid w:val="003716D5"/>
    <w:rsid w:val="003738C3"/>
    <w:rsid w:val="003803FC"/>
    <w:rsid w:val="0038198A"/>
    <w:rsid w:val="00394BC3"/>
    <w:rsid w:val="003A404B"/>
    <w:rsid w:val="003A5BB7"/>
    <w:rsid w:val="003A5E42"/>
    <w:rsid w:val="003B13F3"/>
    <w:rsid w:val="003B61B8"/>
    <w:rsid w:val="003C1AC1"/>
    <w:rsid w:val="003C3060"/>
    <w:rsid w:val="003C4BD0"/>
    <w:rsid w:val="003D05F5"/>
    <w:rsid w:val="003D55C7"/>
    <w:rsid w:val="003D7454"/>
    <w:rsid w:val="003E0122"/>
    <w:rsid w:val="003E1839"/>
    <w:rsid w:val="003E507B"/>
    <w:rsid w:val="003F2659"/>
    <w:rsid w:val="003F35E5"/>
    <w:rsid w:val="003F5949"/>
    <w:rsid w:val="00402DE9"/>
    <w:rsid w:val="004047E0"/>
    <w:rsid w:val="00410952"/>
    <w:rsid w:val="00410A3C"/>
    <w:rsid w:val="00410CA0"/>
    <w:rsid w:val="00412279"/>
    <w:rsid w:val="00413F66"/>
    <w:rsid w:val="004157AE"/>
    <w:rsid w:val="00417944"/>
    <w:rsid w:val="00422AB6"/>
    <w:rsid w:val="004304FE"/>
    <w:rsid w:val="0043720D"/>
    <w:rsid w:val="00445979"/>
    <w:rsid w:val="00447E36"/>
    <w:rsid w:val="00456AF2"/>
    <w:rsid w:val="0045781C"/>
    <w:rsid w:val="00467370"/>
    <w:rsid w:val="004712CC"/>
    <w:rsid w:val="00473458"/>
    <w:rsid w:val="004740FC"/>
    <w:rsid w:val="00476023"/>
    <w:rsid w:val="00476258"/>
    <w:rsid w:val="00476814"/>
    <w:rsid w:val="00487981"/>
    <w:rsid w:val="00490B9C"/>
    <w:rsid w:val="00492AFC"/>
    <w:rsid w:val="0049479C"/>
    <w:rsid w:val="00495106"/>
    <w:rsid w:val="004A1DFF"/>
    <w:rsid w:val="004A4BC3"/>
    <w:rsid w:val="004B1E20"/>
    <w:rsid w:val="004B644A"/>
    <w:rsid w:val="004B7C1D"/>
    <w:rsid w:val="004B7E49"/>
    <w:rsid w:val="004C1EB4"/>
    <w:rsid w:val="004C7512"/>
    <w:rsid w:val="004D37CD"/>
    <w:rsid w:val="004D5B54"/>
    <w:rsid w:val="004E41B6"/>
    <w:rsid w:val="004E6792"/>
    <w:rsid w:val="004F2F73"/>
    <w:rsid w:val="004F6550"/>
    <w:rsid w:val="00506E81"/>
    <w:rsid w:val="00506F10"/>
    <w:rsid w:val="00511505"/>
    <w:rsid w:val="00514F55"/>
    <w:rsid w:val="0052162C"/>
    <w:rsid w:val="00521DCD"/>
    <w:rsid w:val="00523F59"/>
    <w:rsid w:val="005311C4"/>
    <w:rsid w:val="00531510"/>
    <w:rsid w:val="00537696"/>
    <w:rsid w:val="00541F78"/>
    <w:rsid w:val="00543414"/>
    <w:rsid w:val="00550ADF"/>
    <w:rsid w:val="00552573"/>
    <w:rsid w:val="00560095"/>
    <w:rsid w:val="005655B4"/>
    <w:rsid w:val="005663E7"/>
    <w:rsid w:val="0057532E"/>
    <w:rsid w:val="005A47C5"/>
    <w:rsid w:val="005B5103"/>
    <w:rsid w:val="005C7D4C"/>
    <w:rsid w:val="005D61AD"/>
    <w:rsid w:val="005E0D01"/>
    <w:rsid w:val="005E1A33"/>
    <w:rsid w:val="005E1D73"/>
    <w:rsid w:val="005E49DE"/>
    <w:rsid w:val="005E5792"/>
    <w:rsid w:val="005E7553"/>
    <w:rsid w:val="005F20BC"/>
    <w:rsid w:val="00602792"/>
    <w:rsid w:val="006046D4"/>
    <w:rsid w:val="00607BF6"/>
    <w:rsid w:val="00617A19"/>
    <w:rsid w:val="006207BF"/>
    <w:rsid w:val="006212C9"/>
    <w:rsid w:val="006272D0"/>
    <w:rsid w:val="00630716"/>
    <w:rsid w:val="006426E7"/>
    <w:rsid w:val="006462DD"/>
    <w:rsid w:val="00651A12"/>
    <w:rsid w:val="00651ED8"/>
    <w:rsid w:val="00654F0A"/>
    <w:rsid w:val="00655DAD"/>
    <w:rsid w:val="00656F47"/>
    <w:rsid w:val="006601E7"/>
    <w:rsid w:val="00665D1A"/>
    <w:rsid w:val="00684EA5"/>
    <w:rsid w:val="0068594E"/>
    <w:rsid w:val="00690656"/>
    <w:rsid w:val="00691418"/>
    <w:rsid w:val="0069307F"/>
    <w:rsid w:val="0069334D"/>
    <w:rsid w:val="006933C7"/>
    <w:rsid w:val="00694ABB"/>
    <w:rsid w:val="006A0EE1"/>
    <w:rsid w:val="006A6D22"/>
    <w:rsid w:val="006B5472"/>
    <w:rsid w:val="006C0A92"/>
    <w:rsid w:val="006C250C"/>
    <w:rsid w:val="006D0204"/>
    <w:rsid w:val="006D16A6"/>
    <w:rsid w:val="006D33E5"/>
    <w:rsid w:val="006D4809"/>
    <w:rsid w:val="006D7317"/>
    <w:rsid w:val="006F1A3A"/>
    <w:rsid w:val="006F1A4E"/>
    <w:rsid w:val="00700176"/>
    <w:rsid w:val="007039F8"/>
    <w:rsid w:val="00705E27"/>
    <w:rsid w:val="007065B2"/>
    <w:rsid w:val="00711ACF"/>
    <w:rsid w:val="00713D41"/>
    <w:rsid w:val="007163FF"/>
    <w:rsid w:val="00723359"/>
    <w:rsid w:val="0072357F"/>
    <w:rsid w:val="00725E4D"/>
    <w:rsid w:val="00735854"/>
    <w:rsid w:val="00735FA2"/>
    <w:rsid w:val="007370B2"/>
    <w:rsid w:val="0074011B"/>
    <w:rsid w:val="00740C33"/>
    <w:rsid w:val="00742526"/>
    <w:rsid w:val="007428D6"/>
    <w:rsid w:val="007444C1"/>
    <w:rsid w:val="00747649"/>
    <w:rsid w:val="00750CFE"/>
    <w:rsid w:val="00755286"/>
    <w:rsid w:val="007619B8"/>
    <w:rsid w:val="00762B33"/>
    <w:rsid w:val="0077128B"/>
    <w:rsid w:val="00772963"/>
    <w:rsid w:val="007748C3"/>
    <w:rsid w:val="0077600A"/>
    <w:rsid w:val="007803D9"/>
    <w:rsid w:val="00780C27"/>
    <w:rsid w:val="00793226"/>
    <w:rsid w:val="007A00BA"/>
    <w:rsid w:val="007A3178"/>
    <w:rsid w:val="007A3E07"/>
    <w:rsid w:val="007A7FC9"/>
    <w:rsid w:val="007B0C04"/>
    <w:rsid w:val="007B5BB1"/>
    <w:rsid w:val="007C23E2"/>
    <w:rsid w:val="007C3826"/>
    <w:rsid w:val="007D365E"/>
    <w:rsid w:val="007D4216"/>
    <w:rsid w:val="007D5A6E"/>
    <w:rsid w:val="007D5F99"/>
    <w:rsid w:val="007E05C4"/>
    <w:rsid w:val="007E27C9"/>
    <w:rsid w:val="007E5ED5"/>
    <w:rsid w:val="007E7878"/>
    <w:rsid w:val="007F4BDC"/>
    <w:rsid w:val="007F5297"/>
    <w:rsid w:val="007F6CA1"/>
    <w:rsid w:val="007F6F66"/>
    <w:rsid w:val="00800E46"/>
    <w:rsid w:val="0080242F"/>
    <w:rsid w:val="00805633"/>
    <w:rsid w:val="00811554"/>
    <w:rsid w:val="00821E0C"/>
    <w:rsid w:val="008431C4"/>
    <w:rsid w:val="0085206F"/>
    <w:rsid w:val="00852FA4"/>
    <w:rsid w:val="008548ED"/>
    <w:rsid w:val="0085566A"/>
    <w:rsid w:val="00866B25"/>
    <w:rsid w:val="00872EF1"/>
    <w:rsid w:val="008735D0"/>
    <w:rsid w:val="00875FA2"/>
    <w:rsid w:val="008861A6"/>
    <w:rsid w:val="00887DE2"/>
    <w:rsid w:val="00892F6F"/>
    <w:rsid w:val="008939F9"/>
    <w:rsid w:val="008A7078"/>
    <w:rsid w:val="008B32E2"/>
    <w:rsid w:val="008B4CFF"/>
    <w:rsid w:val="008C7AB6"/>
    <w:rsid w:val="008D0808"/>
    <w:rsid w:val="008D21DE"/>
    <w:rsid w:val="008D3386"/>
    <w:rsid w:val="008E01EE"/>
    <w:rsid w:val="008E7069"/>
    <w:rsid w:val="008F66DC"/>
    <w:rsid w:val="009034B4"/>
    <w:rsid w:val="009048C4"/>
    <w:rsid w:val="00904C8C"/>
    <w:rsid w:val="00912AF7"/>
    <w:rsid w:val="00920A60"/>
    <w:rsid w:val="00923CAF"/>
    <w:rsid w:val="009243CC"/>
    <w:rsid w:val="00925FB3"/>
    <w:rsid w:val="00927BA0"/>
    <w:rsid w:val="00927F48"/>
    <w:rsid w:val="0093747B"/>
    <w:rsid w:val="00952B9A"/>
    <w:rsid w:val="0095599D"/>
    <w:rsid w:val="00960D1E"/>
    <w:rsid w:val="00980BBD"/>
    <w:rsid w:val="00986953"/>
    <w:rsid w:val="009A2758"/>
    <w:rsid w:val="009C55AA"/>
    <w:rsid w:val="009D241D"/>
    <w:rsid w:val="009D422C"/>
    <w:rsid w:val="009D6243"/>
    <w:rsid w:val="009E0A95"/>
    <w:rsid w:val="009E17E0"/>
    <w:rsid w:val="009E57AA"/>
    <w:rsid w:val="009F6995"/>
    <w:rsid w:val="009F7745"/>
    <w:rsid w:val="00A0229D"/>
    <w:rsid w:val="00A130E8"/>
    <w:rsid w:val="00A13A55"/>
    <w:rsid w:val="00A178C1"/>
    <w:rsid w:val="00A217B8"/>
    <w:rsid w:val="00A242A8"/>
    <w:rsid w:val="00A31ADD"/>
    <w:rsid w:val="00A36F05"/>
    <w:rsid w:val="00A4545B"/>
    <w:rsid w:val="00A53DD1"/>
    <w:rsid w:val="00A57DF7"/>
    <w:rsid w:val="00A63404"/>
    <w:rsid w:val="00A640E8"/>
    <w:rsid w:val="00A6657F"/>
    <w:rsid w:val="00A703AB"/>
    <w:rsid w:val="00A7310B"/>
    <w:rsid w:val="00A77DDD"/>
    <w:rsid w:val="00A8232E"/>
    <w:rsid w:val="00A8283C"/>
    <w:rsid w:val="00A970EC"/>
    <w:rsid w:val="00AA0E34"/>
    <w:rsid w:val="00AA3658"/>
    <w:rsid w:val="00AA3AC4"/>
    <w:rsid w:val="00AA402C"/>
    <w:rsid w:val="00AA44CC"/>
    <w:rsid w:val="00AA5433"/>
    <w:rsid w:val="00AB3516"/>
    <w:rsid w:val="00AB619D"/>
    <w:rsid w:val="00AB7303"/>
    <w:rsid w:val="00AC1BCC"/>
    <w:rsid w:val="00AC29CD"/>
    <w:rsid w:val="00AC323D"/>
    <w:rsid w:val="00AC406F"/>
    <w:rsid w:val="00AC4782"/>
    <w:rsid w:val="00AD1AD0"/>
    <w:rsid w:val="00AD506E"/>
    <w:rsid w:val="00AD5BA9"/>
    <w:rsid w:val="00AE4368"/>
    <w:rsid w:val="00AE54A5"/>
    <w:rsid w:val="00AF0141"/>
    <w:rsid w:val="00B02ABC"/>
    <w:rsid w:val="00B038BF"/>
    <w:rsid w:val="00B071F5"/>
    <w:rsid w:val="00B10442"/>
    <w:rsid w:val="00B11AB5"/>
    <w:rsid w:val="00B17F4E"/>
    <w:rsid w:val="00B307AC"/>
    <w:rsid w:val="00B411AE"/>
    <w:rsid w:val="00B566B7"/>
    <w:rsid w:val="00B56F68"/>
    <w:rsid w:val="00B60BB9"/>
    <w:rsid w:val="00B60C69"/>
    <w:rsid w:val="00B65806"/>
    <w:rsid w:val="00B74A31"/>
    <w:rsid w:val="00B8370D"/>
    <w:rsid w:val="00B86E32"/>
    <w:rsid w:val="00B95355"/>
    <w:rsid w:val="00BA38AF"/>
    <w:rsid w:val="00BA4C1B"/>
    <w:rsid w:val="00BA73DC"/>
    <w:rsid w:val="00BB3E0E"/>
    <w:rsid w:val="00BB60BF"/>
    <w:rsid w:val="00BB615E"/>
    <w:rsid w:val="00BC3046"/>
    <w:rsid w:val="00BC56AE"/>
    <w:rsid w:val="00BE2F2E"/>
    <w:rsid w:val="00BF2A39"/>
    <w:rsid w:val="00BF3940"/>
    <w:rsid w:val="00C00EBE"/>
    <w:rsid w:val="00C01564"/>
    <w:rsid w:val="00C038D0"/>
    <w:rsid w:val="00C062F0"/>
    <w:rsid w:val="00C13E12"/>
    <w:rsid w:val="00C14CB6"/>
    <w:rsid w:val="00C21BAD"/>
    <w:rsid w:val="00C306F3"/>
    <w:rsid w:val="00C320A2"/>
    <w:rsid w:val="00C41494"/>
    <w:rsid w:val="00C45E94"/>
    <w:rsid w:val="00C53AD7"/>
    <w:rsid w:val="00C63694"/>
    <w:rsid w:val="00C6512C"/>
    <w:rsid w:val="00C65634"/>
    <w:rsid w:val="00C71192"/>
    <w:rsid w:val="00C72484"/>
    <w:rsid w:val="00C7392F"/>
    <w:rsid w:val="00C76C6A"/>
    <w:rsid w:val="00C81B30"/>
    <w:rsid w:val="00C838E0"/>
    <w:rsid w:val="00C83AF9"/>
    <w:rsid w:val="00C83F65"/>
    <w:rsid w:val="00C85C10"/>
    <w:rsid w:val="00C90928"/>
    <w:rsid w:val="00C92D39"/>
    <w:rsid w:val="00C9431C"/>
    <w:rsid w:val="00CA3608"/>
    <w:rsid w:val="00CA4E21"/>
    <w:rsid w:val="00CA649F"/>
    <w:rsid w:val="00CA7B8C"/>
    <w:rsid w:val="00CB41EE"/>
    <w:rsid w:val="00CB441B"/>
    <w:rsid w:val="00CB75D5"/>
    <w:rsid w:val="00CC0BF9"/>
    <w:rsid w:val="00CC2ED5"/>
    <w:rsid w:val="00CC4036"/>
    <w:rsid w:val="00CE0B33"/>
    <w:rsid w:val="00CE2F6A"/>
    <w:rsid w:val="00CE7452"/>
    <w:rsid w:val="00CF28F4"/>
    <w:rsid w:val="00D00290"/>
    <w:rsid w:val="00D01A10"/>
    <w:rsid w:val="00D01B34"/>
    <w:rsid w:val="00D07EC8"/>
    <w:rsid w:val="00D11146"/>
    <w:rsid w:val="00D234AB"/>
    <w:rsid w:val="00D31703"/>
    <w:rsid w:val="00D31E75"/>
    <w:rsid w:val="00D32229"/>
    <w:rsid w:val="00D34568"/>
    <w:rsid w:val="00D34B5C"/>
    <w:rsid w:val="00D34DEA"/>
    <w:rsid w:val="00D46E5F"/>
    <w:rsid w:val="00D61232"/>
    <w:rsid w:val="00D756D8"/>
    <w:rsid w:val="00D75F0C"/>
    <w:rsid w:val="00D76CA2"/>
    <w:rsid w:val="00D82C3E"/>
    <w:rsid w:val="00D84351"/>
    <w:rsid w:val="00D85421"/>
    <w:rsid w:val="00D868E3"/>
    <w:rsid w:val="00D94020"/>
    <w:rsid w:val="00D94836"/>
    <w:rsid w:val="00D95BEB"/>
    <w:rsid w:val="00D9638B"/>
    <w:rsid w:val="00DA00EE"/>
    <w:rsid w:val="00DA3BCD"/>
    <w:rsid w:val="00DA4108"/>
    <w:rsid w:val="00DB3683"/>
    <w:rsid w:val="00DB4D44"/>
    <w:rsid w:val="00DC40AE"/>
    <w:rsid w:val="00DC68A5"/>
    <w:rsid w:val="00DC7A36"/>
    <w:rsid w:val="00DD1375"/>
    <w:rsid w:val="00DE0B10"/>
    <w:rsid w:val="00DE6E92"/>
    <w:rsid w:val="00DF0955"/>
    <w:rsid w:val="00DF20CF"/>
    <w:rsid w:val="00DF4640"/>
    <w:rsid w:val="00E05FD5"/>
    <w:rsid w:val="00E0616E"/>
    <w:rsid w:val="00E12055"/>
    <w:rsid w:val="00E26D64"/>
    <w:rsid w:val="00E2785C"/>
    <w:rsid w:val="00E33859"/>
    <w:rsid w:val="00E35B39"/>
    <w:rsid w:val="00E35FD0"/>
    <w:rsid w:val="00E36D9B"/>
    <w:rsid w:val="00E37642"/>
    <w:rsid w:val="00E44599"/>
    <w:rsid w:val="00E47063"/>
    <w:rsid w:val="00E50B1A"/>
    <w:rsid w:val="00E57FFD"/>
    <w:rsid w:val="00E720F9"/>
    <w:rsid w:val="00E7743D"/>
    <w:rsid w:val="00E8261E"/>
    <w:rsid w:val="00E949B2"/>
    <w:rsid w:val="00EA01A3"/>
    <w:rsid w:val="00EA0771"/>
    <w:rsid w:val="00EA0DE3"/>
    <w:rsid w:val="00EA53E7"/>
    <w:rsid w:val="00EB069F"/>
    <w:rsid w:val="00EB070A"/>
    <w:rsid w:val="00EB72D3"/>
    <w:rsid w:val="00EC29E5"/>
    <w:rsid w:val="00ED6949"/>
    <w:rsid w:val="00ED6AD9"/>
    <w:rsid w:val="00EE0B76"/>
    <w:rsid w:val="00EE15C5"/>
    <w:rsid w:val="00EE3DF8"/>
    <w:rsid w:val="00EE4A92"/>
    <w:rsid w:val="00EF62B0"/>
    <w:rsid w:val="00F00627"/>
    <w:rsid w:val="00F01230"/>
    <w:rsid w:val="00F1327E"/>
    <w:rsid w:val="00F14CE2"/>
    <w:rsid w:val="00F179AE"/>
    <w:rsid w:val="00F22767"/>
    <w:rsid w:val="00F242FD"/>
    <w:rsid w:val="00F31157"/>
    <w:rsid w:val="00F313F7"/>
    <w:rsid w:val="00F33495"/>
    <w:rsid w:val="00F36514"/>
    <w:rsid w:val="00F367AC"/>
    <w:rsid w:val="00F3756C"/>
    <w:rsid w:val="00F43716"/>
    <w:rsid w:val="00F44825"/>
    <w:rsid w:val="00F5022B"/>
    <w:rsid w:val="00F569F9"/>
    <w:rsid w:val="00F61E94"/>
    <w:rsid w:val="00F64EEF"/>
    <w:rsid w:val="00F67A32"/>
    <w:rsid w:val="00F703CE"/>
    <w:rsid w:val="00F721EF"/>
    <w:rsid w:val="00F723DB"/>
    <w:rsid w:val="00F83F42"/>
    <w:rsid w:val="00F87030"/>
    <w:rsid w:val="00F92136"/>
    <w:rsid w:val="00F97E1D"/>
    <w:rsid w:val="00FB0026"/>
    <w:rsid w:val="00FB612F"/>
    <w:rsid w:val="00FB61E7"/>
    <w:rsid w:val="00FC0FF8"/>
    <w:rsid w:val="00FC1431"/>
    <w:rsid w:val="00FC1F77"/>
    <w:rsid w:val="00FD1875"/>
    <w:rsid w:val="00FD1ED5"/>
    <w:rsid w:val="00FD58BE"/>
    <w:rsid w:val="00FE21C5"/>
    <w:rsid w:val="00FE71A2"/>
    <w:rsid w:val="00FF7916"/>
    <w:rsid w:val="021B8C3E"/>
    <w:rsid w:val="02D6B947"/>
    <w:rsid w:val="0BE19961"/>
    <w:rsid w:val="128EE776"/>
    <w:rsid w:val="1729E6E5"/>
    <w:rsid w:val="1A556105"/>
    <w:rsid w:val="1AAF5C09"/>
    <w:rsid w:val="1B3B8AC5"/>
    <w:rsid w:val="207AB9B7"/>
    <w:rsid w:val="214B2128"/>
    <w:rsid w:val="24D7A82A"/>
    <w:rsid w:val="2B4D5871"/>
    <w:rsid w:val="2CEE1668"/>
    <w:rsid w:val="2CF94062"/>
    <w:rsid w:val="3058F59B"/>
    <w:rsid w:val="32ED0C65"/>
    <w:rsid w:val="36FD0F01"/>
    <w:rsid w:val="38E3A76B"/>
    <w:rsid w:val="39B37113"/>
    <w:rsid w:val="3D63E275"/>
    <w:rsid w:val="3D92A9B3"/>
    <w:rsid w:val="444E164C"/>
    <w:rsid w:val="458A89E0"/>
    <w:rsid w:val="45D043DA"/>
    <w:rsid w:val="4BFC54D7"/>
    <w:rsid w:val="4CB2989C"/>
    <w:rsid w:val="4D866DD9"/>
    <w:rsid w:val="514F5264"/>
    <w:rsid w:val="55CE3C61"/>
    <w:rsid w:val="56B4B4E2"/>
    <w:rsid w:val="58B3FA1E"/>
    <w:rsid w:val="5AC0DFFD"/>
    <w:rsid w:val="5EED0D00"/>
    <w:rsid w:val="5F6692AE"/>
    <w:rsid w:val="6589BD8C"/>
    <w:rsid w:val="662E3246"/>
    <w:rsid w:val="66DEF688"/>
    <w:rsid w:val="67CA02A7"/>
    <w:rsid w:val="6965D308"/>
    <w:rsid w:val="6E33FB40"/>
    <w:rsid w:val="70852B87"/>
    <w:rsid w:val="7220DFE1"/>
    <w:rsid w:val="764D0CE4"/>
    <w:rsid w:val="7984ADA6"/>
    <w:rsid w:val="7B66885C"/>
    <w:rsid w:val="7FB26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3E2"/>
  <w15:chartTrackingRefBased/>
  <w15:docId w15:val="{53F8828C-0999-451B-B21E-4ED0F02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495"/>
    <w:pPr>
      <w:ind w:left="720"/>
      <w:contextualSpacing/>
    </w:pPr>
  </w:style>
  <w:style w:type="character" w:customStyle="1" w:styleId="PrrafodelistaCar">
    <w:name w:val="Párrafo de lista Car"/>
    <w:link w:val="Prrafodelista"/>
    <w:uiPriority w:val="34"/>
    <w:locked/>
    <w:rsid w:val="00F33495"/>
  </w:style>
  <w:style w:type="paragraph" w:customStyle="1" w:styleId="paragraph">
    <w:name w:val="paragraph"/>
    <w:basedOn w:val="Normal"/>
    <w:rsid w:val="00F3349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styleId="Refdenotaalpie">
    <w:name w:val="footnote reference"/>
    <w:aliases w:val="Texto nota al pie,Pie de Página,FC,Texto de nota al pi,Pie de P_gi"/>
    <w:basedOn w:val="Fuentedeprrafopredeter"/>
    <w:link w:val="4GChar"/>
    <w:unhideWhenUsed/>
    <w:qFormat/>
    <w:rsid w:val="00F3349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3495"/>
    <w:pPr>
      <w:spacing w:line="240" w:lineRule="auto"/>
      <w:ind w:firstLine="0"/>
    </w:pPr>
    <w:rPr>
      <w:vertAlign w:val="superscript"/>
    </w:rPr>
  </w:style>
  <w:style w:type="paragraph" w:styleId="Textonotapie">
    <w:name w:val="footnote text"/>
    <w:basedOn w:val="Normal"/>
    <w:link w:val="TextonotapieCar"/>
    <w:uiPriority w:val="99"/>
    <w:semiHidden/>
    <w:unhideWhenUsed/>
    <w:rsid w:val="00F33495"/>
    <w:pPr>
      <w:spacing w:line="240" w:lineRule="auto"/>
    </w:pPr>
    <w:rPr>
      <w:sz w:val="20"/>
      <w:szCs w:val="20"/>
    </w:rPr>
  </w:style>
  <w:style w:type="character" w:customStyle="1" w:styleId="TextonotapieCar">
    <w:name w:val="Texto nota pie Car"/>
    <w:basedOn w:val="Fuentedeprrafopredeter"/>
    <w:link w:val="Textonotapie"/>
    <w:uiPriority w:val="99"/>
    <w:semiHidden/>
    <w:rsid w:val="00F33495"/>
    <w:rPr>
      <w:sz w:val="20"/>
      <w:szCs w:val="20"/>
    </w:rPr>
  </w:style>
  <w:style w:type="character" w:customStyle="1" w:styleId="normaltextrun">
    <w:name w:val="normaltextrun"/>
    <w:basedOn w:val="Fuentedeprrafopredeter"/>
    <w:rsid w:val="00085746"/>
  </w:style>
  <w:style w:type="paragraph" w:styleId="Encabezado">
    <w:name w:val="header"/>
    <w:basedOn w:val="Normal"/>
    <w:link w:val="EncabezadoCar"/>
    <w:uiPriority w:val="99"/>
    <w:unhideWhenUsed/>
    <w:rsid w:val="008F66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66DC"/>
  </w:style>
  <w:style w:type="paragraph" w:styleId="Piedepgina">
    <w:name w:val="footer"/>
    <w:basedOn w:val="Normal"/>
    <w:link w:val="PiedepginaCar"/>
    <w:uiPriority w:val="99"/>
    <w:unhideWhenUsed/>
    <w:rsid w:val="008F66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66D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F26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659"/>
    <w:rPr>
      <w:rFonts w:ascii="Segoe UI" w:hAnsi="Segoe UI" w:cs="Segoe UI"/>
      <w:sz w:val="18"/>
      <w:szCs w:val="18"/>
    </w:rPr>
  </w:style>
  <w:style w:type="character" w:customStyle="1" w:styleId="eop">
    <w:name w:val="eop"/>
    <w:basedOn w:val="Fuentedeprrafopredeter"/>
    <w:rsid w:val="00927F48"/>
  </w:style>
  <w:style w:type="paragraph" w:customStyle="1" w:styleId="Citaslargas">
    <w:name w:val="Citas largas"/>
    <w:basedOn w:val="Normal"/>
    <w:link w:val="CitaslargasCar"/>
    <w:autoRedefine/>
    <w:qFormat/>
    <w:rsid w:val="007619B8"/>
    <w:pPr>
      <w:widowControl w:val="0"/>
      <w:spacing w:line="240" w:lineRule="auto"/>
      <w:ind w:left="709" w:firstLine="0"/>
    </w:pPr>
    <w:rPr>
      <w:rFonts w:ascii="Bookman Old Style" w:eastAsia="Times New Roman" w:hAnsi="Bookman Old Style" w:cs="Estrangelo Edessa"/>
      <w:bCs/>
      <w:szCs w:val="28"/>
      <w:lang w:val="es-ES" w:eastAsia="es-ES"/>
    </w:rPr>
  </w:style>
  <w:style w:type="character" w:customStyle="1" w:styleId="CitaslargasCar">
    <w:name w:val="Citas largas Car"/>
    <w:link w:val="Citaslargas"/>
    <w:rsid w:val="007619B8"/>
    <w:rPr>
      <w:rFonts w:ascii="Bookman Old Style" w:eastAsia="Times New Roman" w:hAnsi="Bookman Old Style" w:cs="Estrangelo Edessa"/>
      <w:bCs/>
      <w:szCs w:val="28"/>
      <w:lang w:val="es-ES" w:eastAsia="es-ES"/>
    </w:rPr>
  </w:style>
  <w:style w:type="character" w:styleId="Referenciasutil">
    <w:name w:val="Subtle Reference"/>
    <w:basedOn w:val="Fuentedeprrafopredeter"/>
    <w:uiPriority w:val="31"/>
    <w:qFormat/>
    <w:rsid w:val="00AC323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 w:id="143814565">
      <w:bodyDiv w:val="1"/>
      <w:marLeft w:val="0"/>
      <w:marRight w:val="0"/>
      <w:marTop w:val="0"/>
      <w:marBottom w:val="0"/>
      <w:divBdr>
        <w:top w:val="none" w:sz="0" w:space="0" w:color="auto"/>
        <w:left w:val="none" w:sz="0" w:space="0" w:color="auto"/>
        <w:bottom w:val="none" w:sz="0" w:space="0" w:color="auto"/>
        <w:right w:val="none" w:sz="0" w:space="0" w:color="auto"/>
      </w:divBdr>
      <w:divsChild>
        <w:div w:id="299118912">
          <w:marLeft w:val="0"/>
          <w:marRight w:val="0"/>
          <w:marTop w:val="0"/>
          <w:marBottom w:val="0"/>
          <w:divBdr>
            <w:top w:val="none" w:sz="0" w:space="0" w:color="auto"/>
            <w:left w:val="none" w:sz="0" w:space="0" w:color="auto"/>
            <w:bottom w:val="none" w:sz="0" w:space="0" w:color="auto"/>
            <w:right w:val="none" w:sz="0" w:space="0" w:color="auto"/>
          </w:divBdr>
        </w:div>
      </w:divsChild>
    </w:div>
    <w:div w:id="170120587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
      </w:divsChild>
    </w:div>
    <w:div w:id="18648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Id2" Type="http://schemas.openxmlformats.org/officeDocument/2006/relationships/customXml" Target="../customXml/item2.xml"/><Relationship Id="Rae09df8a9634437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ibunalsuperiorpereira.com/Relatoria/2021/SALA_LABORAL/GERMAN_DARIO_GOEZ_VINASCO/07.Julio/Sentencias_Seguridad_Social/IT%20%202018-00074%20%28S%29%20-%20Ineficacia%20traslado%20de%20regimen.%20Deber%20de%20informacion.%20Es%20carga%20de%20las%20AFP.%20Tambien%20les%20incumbe%20la%20carga%20probatoria%20%28AV%29.pdf" TargetMode="External"/><Relationship Id="R06c42a69256c416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A2FF-E935-4B6C-A17B-BD466596C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EC1A7-5005-47D6-8000-AE2467B9C0BC}">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72107909-6292-4CBB-8AF5-82F9EDEBC39D}">
  <ds:schemaRefs>
    <ds:schemaRef ds:uri="http://schemas.microsoft.com/sharepoint/v3/contenttype/forms"/>
  </ds:schemaRefs>
</ds:datastoreItem>
</file>

<file path=customXml/itemProps4.xml><?xml version="1.0" encoding="utf-8"?>
<ds:datastoreItem xmlns:ds="http://schemas.openxmlformats.org/officeDocument/2006/customXml" ds:itemID="{ADE2ACC6-2110-4171-BB1A-36A9BD9E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12433</Words>
  <Characters>70873</Characters>
  <Application>Microsoft Office Word</Application>
  <DocSecurity>0</DocSecurity>
  <Lines>590</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11</cp:revision>
  <dcterms:created xsi:type="dcterms:W3CDTF">2023-10-08T21:14:00Z</dcterms:created>
  <dcterms:modified xsi:type="dcterms:W3CDTF">2023-11-23T13:45:00Z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