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21DC3" w14:textId="2BBD138D" w:rsidR="00C769E6" w:rsidRPr="004C2ECB" w:rsidRDefault="00050310" w:rsidP="004C2ECB">
      <w:pPr>
        <w:spacing w:line="240" w:lineRule="auto"/>
        <w:ind w:firstLine="0"/>
        <w:rPr>
          <w:rStyle w:val="Referenciasutil"/>
          <w:b/>
          <w:color w:val="auto"/>
          <w:sz w:val="20"/>
          <w:szCs w:val="20"/>
          <w14:textOutline w14:w="0" w14:cap="flat" w14:cmpd="sng" w14:algn="ctr">
            <w14:noFill/>
            <w14:prstDash w14:val="solid"/>
            <w14:round/>
          </w14:textOutline>
        </w:rPr>
      </w:pPr>
      <w:r w:rsidRPr="004C2ECB">
        <w:rPr>
          <w:rStyle w:val="Referenciasutil"/>
          <w:b/>
          <w:color w:val="auto"/>
          <w:sz w:val="20"/>
          <w:szCs w:val="20"/>
          <w14:textOutline w14:w="0" w14:cap="flat" w14:cmpd="sng" w14:algn="ctr">
            <w14:noFill/>
            <w14:prstDash w14:val="solid"/>
            <w14:round/>
          </w14:textOutline>
        </w:rPr>
        <w:t xml:space="preserve">PENSIÓN DE JUBILACIÓN CONVENCIONAL / VIGENCIA DE LAS NORMAS CONVENCIONALES </w:t>
      </w:r>
    </w:p>
    <w:p w14:paraId="3DDAB34E" w14:textId="77777777" w:rsidR="009014CA" w:rsidRPr="004C2ECB" w:rsidRDefault="009014CA" w:rsidP="004C2ECB">
      <w:pPr>
        <w:spacing w:line="240" w:lineRule="auto"/>
        <w:ind w:right="-5" w:firstLine="0"/>
        <w:rPr>
          <w:iCs/>
          <w:sz w:val="20"/>
          <w:szCs w:val="20"/>
        </w:rPr>
      </w:pPr>
      <w:r w:rsidRPr="004C2ECB">
        <w:rPr>
          <w:iCs/>
          <w:sz w:val="20"/>
          <w:szCs w:val="20"/>
        </w:rPr>
        <w:t>El Acto Legislativo 01 del 22 de julio de 2005, que adicionó el artículo 48 de la Constitución, en lo que interesa al proceso, dispuso: (…) "Parágrafo transitorio 3. Las reglas de carácter pensional que rigen a la fecha de vigencia de este Acto Legislativo contenidas en pactos, convenciones colectivas de trabajo, laudos o acuerdos válidamente celebrados, se mantendrán por el término inicialmente estipulado… "Parágrafo transitorio 4. El régimen de transición establecido en la Ley 100 de 1993 y demás normas que desarrollen dicho régimen, no podrá extenderse más allá del 31 de julio de 2010 (…)”.</w:t>
      </w:r>
    </w:p>
    <w:p w14:paraId="49FE57B5" w14:textId="432CBB1F" w:rsidR="009014CA" w:rsidRPr="004C2ECB" w:rsidRDefault="009014CA" w:rsidP="004C2ECB">
      <w:pPr>
        <w:spacing w:line="240" w:lineRule="auto"/>
        <w:ind w:firstLine="0"/>
        <w:rPr>
          <w:iCs/>
          <w:sz w:val="20"/>
          <w:szCs w:val="20"/>
        </w:rPr>
      </w:pPr>
    </w:p>
    <w:p w14:paraId="7E1CB5C0" w14:textId="52B70C66" w:rsidR="00C769E6" w:rsidRPr="00192E82" w:rsidRDefault="00050310" w:rsidP="00192E82">
      <w:pPr>
        <w:spacing w:line="240" w:lineRule="auto"/>
        <w:ind w:firstLine="0"/>
      </w:pPr>
      <w:r w:rsidRPr="004C2ECB">
        <w:rPr>
          <w:rStyle w:val="Referenciasutil"/>
          <w:b/>
          <w:color w:val="auto"/>
          <w:sz w:val="20"/>
          <w:szCs w:val="20"/>
          <w14:textOutline w14:w="0" w14:cap="flat" w14:cmpd="sng" w14:algn="ctr">
            <w14:noFill/>
            <w14:prstDash w14:val="solid"/>
            <w14:round/>
          </w14:textOutline>
        </w:rPr>
        <w:t>CONVENCI</w:t>
      </w:r>
      <w:r w:rsidR="00025AD7" w:rsidRPr="004C2ECB">
        <w:rPr>
          <w:rStyle w:val="Referenciasutil"/>
          <w:b/>
          <w:color w:val="auto"/>
          <w:sz w:val="20"/>
          <w:szCs w:val="20"/>
          <w14:textOutline w14:w="0" w14:cap="flat" w14:cmpd="sng" w14:algn="ctr">
            <w14:noFill/>
            <w14:prstDash w14:val="solid"/>
            <w14:round/>
          </w14:textOutline>
        </w:rPr>
        <w:t>ÓN ISS</w:t>
      </w:r>
      <w:r w:rsidR="00192E82">
        <w:rPr>
          <w:rStyle w:val="Referenciasutil"/>
          <w:b/>
          <w:color w:val="auto"/>
          <w:sz w:val="20"/>
          <w:szCs w:val="20"/>
          <w14:textOutline w14:w="0" w14:cap="flat" w14:cmpd="sng" w14:algn="ctr">
            <w14:noFill/>
            <w14:prstDash w14:val="solid"/>
            <w14:round/>
          </w14:textOutline>
        </w:rPr>
        <w:t xml:space="preserve"> / </w:t>
      </w:r>
      <w:r w:rsidR="00192E82" w:rsidRPr="002C105B">
        <w:rPr>
          <w:b/>
          <w:sz w:val="20"/>
        </w:rPr>
        <w:t>INVALIDEZ</w:t>
      </w:r>
    </w:p>
    <w:p w14:paraId="2E7586F4" w14:textId="6575F0E2" w:rsidR="00C769E6" w:rsidRPr="004C2ECB" w:rsidRDefault="00206CC9" w:rsidP="004C2ECB">
      <w:pPr>
        <w:spacing w:line="240" w:lineRule="auto"/>
        <w:ind w:firstLine="0"/>
        <w:rPr>
          <w:rStyle w:val="Referenciasutil"/>
          <w:color w:val="auto"/>
          <w:sz w:val="20"/>
          <w:szCs w:val="20"/>
          <w14:textOutline w14:w="0" w14:cap="flat" w14:cmpd="sng" w14:algn="ctr">
            <w14:noFill/>
            <w14:prstDash w14:val="solid"/>
            <w14:round/>
          </w14:textOutline>
        </w:rPr>
      </w:pPr>
      <w:r w:rsidRPr="004C2ECB">
        <w:rPr>
          <w:iCs/>
          <w:sz w:val="20"/>
          <w:szCs w:val="20"/>
        </w:rPr>
        <w:t>A propósito de la vigencia de las normas convencionales en materia pensional a la luz de lo dispuesto en los parágrafos que preceden, específicamente en el caso de la Convención aquí analizada, la Corte Suprema en reciente sentencia SL2307-2023, al respecto reiteró: “La Sala advierte que la decisión del juez de alzada se ajusta a lo sostenido por esta Corte, por cuanto la vigencia de la cláusula 98 de la convención tenía una temporalidad diferente, esto es, hasta el 2017. De acuerdo con lo estipulado en los artículos 2º y 98 del acuerdo convencional, la Corte en providencia CSJ SL3635-2020, dispuso que el límite que el legislador fijó en materia pensional se extendió hasta el año 2017</w:t>
      </w:r>
    </w:p>
    <w:p w14:paraId="6DC71063" w14:textId="77777777" w:rsidR="00C769E6" w:rsidRPr="004C2ECB" w:rsidRDefault="00C769E6" w:rsidP="004C2ECB">
      <w:pPr>
        <w:spacing w:line="240" w:lineRule="auto"/>
        <w:ind w:firstLine="0"/>
        <w:rPr>
          <w:rStyle w:val="Referenciasutil"/>
          <w:color w:val="auto"/>
          <w:sz w:val="20"/>
          <w:szCs w:val="20"/>
          <w14:textOutline w14:w="0" w14:cap="flat" w14:cmpd="sng" w14:algn="ctr">
            <w14:noFill/>
            <w14:prstDash w14:val="solid"/>
            <w14:round/>
          </w14:textOutline>
        </w:rPr>
      </w:pPr>
    </w:p>
    <w:p w14:paraId="68DFA9FC" w14:textId="21B7CCC6" w:rsidR="000D521E" w:rsidRPr="00EB59B1" w:rsidRDefault="000D521E" w:rsidP="004C2ECB">
      <w:pPr>
        <w:spacing w:line="240" w:lineRule="auto"/>
        <w:ind w:firstLine="0"/>
        <w:rPr>
          <w:b/>
          <w:iCs/>
          <w:smallCaps/>
          <w:sz w:val="20"/>
        </w:rPr>
      </w:pPr>
      <w:r w:rsidRPr="00EB59B1">
        <w:rPr>
          <w:b/>
          <w:iCs/>
          <w:smallCaps/>
          <w:sz w:val="20"/>
        </w:rPr>
        <w:t>CONVENCIÓN ISS</w:t>
      </w:r>
      <w:r w:rsidR="00590223" w:rsidRPr="00EB59B1">
        <w:rPr>
          <w:b/>
          <w:iCs/>
          <w:smallCaps/>
          <w:sz w:val="20"/>
        </w:rPr>
        <w:t xml:space="preserve"> / </w:t>
      </w:r>
      <w:r w:rsidR="00EB59B1" w:rsidRPr="00EB59B1">
        <w:rPr>
          <w:b/>
          <w:iCs/>
          <w:smallCaps/>
          <w:sz w:val="20"/>
        </w:rPr>
        <w:t xml:space="preserve">BENEFICIARIOS / </w:t>
      </w:r>
      <w:r w:rsidR="00590223" w:rsidRPr="00EB59B1">
        <w:rPr>
          <w:b/>
          <w:iCs/>
          <w:smallCaps/>
          <w:sz w:val="20"/>
        </w:rPr>
        <w:t>REQUISITOS</w:t>
      </w:r>
    </w:p>
    <w:p w14:paraId="51027345" w14:textId="4DE9D809" w:rsidR="000D521E" w:rsidRPr="004C2ECB" w:rsidRDefault="000D521E" w:rsidP="004C2ECB">
      <w:pPr>
        <w:spacing w:line="240" w:lineRule="auto"/>
        <w:ind w:firstLine="0"/>
        <w:rPr>
          <w:iCs/>
          <w:sz w:val="20"/>
          <w:szCs w:val="20"/>
        </w:rPr>
      </w:pPr>
      <w:r w:rsidRPr="004C2ECB">
        <w:rPr>
          <w:iCs/>
          <w:sz w:val="20"/>
          <w:szCs w:val="20"/>
        </w:rPr>
        <w:t xml:space="preserve">Para resolver el segundo problema jurídico, debe decirse que, según la documental que milita en el expediente (archivo 05, página 4-8 y 14-18), la </w:t>
      </w:r>
      <w:r w:rsidR="00EB59B1" w:rsidRPr="004C2ECB">
        <w:rPr>
          <w:iCs/>
          <w:sz w:val="20"/>
          <w:szCs w:val="20"/>
        </w:rPr>
        <w:t xml:space="preserve">actora </w:t>
      </w:r>
      <w:r w:rsidRPr="004C2ECB">
        <w:rPr>
          <w:iCs/>
          <w:sz w:val="20"/>
          <w:szCs w:val="20"/>
        </w:rPr>
        <w:t xml:space="preserve">al haber trabajado en el extinto ISS, entidad en la que tuvo la calidad de trabajadora oficial, es beneficiaria de la convención colectiva de trabajo suscrita entre esa entidad y Sintraseguridadsocial, hasta el 31 </w:t>
      </w:r>
      <w:r w:rsidRPr="00EB59B1">
        <w:rPr>
          <w:rStyle w:val="Referenciasutil"/>
          <w:b/>
          <w:color w:val="auto"/>
          <w14:textOutline w14:w="0" w14:cap="flat" w14:cmpd="sng" w14:algn="ctr">
            <w14:noFill/>
            <w14:prstDash w14:val="solid"/>
            <w14:round/>
          </w14:textOutline>
        </w:rPr>
        <w:t>de</w:t>
      </w:r>
      <w:r w:rsidRPr="004C2ECB">
        <w:rPr>
          <w:iCs/>
          <w:sz w:val="20"/>
          <w:szCs w:val="20"/>
        </w:rPr>
        <w:t xml:space="preserve"> marzo de 2015, calenda en que cesó su contrato de trabajo. Ahora, al revisar el texto Convencional que milita en el expediente, el título octavo impone como requisitos para tener derecho a la pensión de jubilación Convencional del artículo 98, los siguientes: i) El trabajador oficial acredite veinte (20) años de servicio continuo o discontinuo al ISS y, ii) Arribe a los 55 años, en el caso de los hombres y 50 años, en el caso de las mujeres.</w:t>
      </w:r>
    </w:p>
    <w:p w14:paraId="08CC8654" w14:textId="77777777" w:rsidR="00C769E6" w:rsidRPr="004C2ECB" w:rsidRDefault="00C769E6" w:rsidP="004C2ECB">
      <w:pPr>
        <w:spacing w:line="240" w:lineRule="auto"/>
        <w:ind w:firstLine="0"/>
        <w:rPr>
          <w:rStyle w:val="Referenciasutil"/>
          <w:color w:val="auto"/>
          <w:sz w:val="20"/>
          <w:szCs w:val="20"/>
          <w14:textOutline w14:w="0" w14:cap="flat" w14:cmpd="sng" w14:algn="ctr">
            <w14:noFill/>
            <w14:prstDash w14:val="solid"/>
            <w14:round/>
          </w14:textOutline>
        </w:rPr>
      </w:pPr>
    </w:p>
    <w:p w14:paraId="62C4C83C" w14:textId="1D25C0CB" w:rsidR="00590223" w:rsidRPr="004C2ECB" w:rsidRDefault="00590223" w:rsidP="004C2ECB">
      <w:pPr>
        <w:spacing w:line="240" w:lineRule="auto"/>
        <w:ind w:firstLine="0"/>
        <w:rPr>
          <w:rStyle w:val="Referenciasutil"/>
          <w:color w:val="auto"/>
          <w:sz w:val="20"/>
          <w:szCs w:val="20"/>
          <w14:textOutline w14:w="0" w14:cap="flat" w14:cmpd="sng" w14:algn="ctr">
            <w14:noFill/>
            <w14:prstDash w14:val="solid"/>
            <w14:round/>
          </w14:textOutline>
        </w:rPr>
      </w:pPr>
      <w:bookmarkStart w:id="0" w:name="_GoBack"/>
      <w:bookmarkEnd w:id="0"/>
      <w:r w:rsidRPr="004C2ECB">
        <w:rPr>
          <w:rStyle w:val="Referenciasutil"/>
          <w:b/>
          <w:color w:val="auto"/>
          <w:sz w:val="20"/>
          <w:szCs w:val="20"/>
          <w14:textOutline w14:w="0" w14:cap="flat" w14:cmpd="sng" w14:algn="ctr">
            <w14:noFill/>
            <w14:prstDash w14:val="solid"/>
            <w14:round/>
          </w14:textOutline>
        </w:rPr>
        <w:t>CONVENCIÓN ISS / LIQUIDACIÓN</w:t>
      </w:r>
    </w:p>
    <w:p w14:paraId="2949E868" w14:textId="0F53C68A" w:rsidR="00C769E6" w:rsidRPr="004C2ECB" w:rsidRDefault="00590223" w:rsidP="004C2ECB">
      <w:pPr>
        <w:spacing w:line="240" w:lineRule="auto"/>
        <w:ind w:firstLine="0"/>
        <w:rPr>
          <w:rStyle w:val="Referenciasutil"/>
          <w:color w:val="auto"/>
          <w:sz w:val="20"/>
          <w:szCs w:val="20"/>
          <w14:textOutline w14:w="0" w14:cap="flat" w14:cmpd="sng" w14:algn="ctr">
            <w14:noFill/>
            <w14:prstDash w14:val="solid"/>
            <w14:round/>
          </w14:textOutline>
        </w:rPr>
      </w:pPr>
      <w:r w:rsidRPr="004C2ECB">
        <w:rPr>
          <w:iCs/>
          <w:sz w:val="20"/>
          <w:szCs w:val="20"/>
        </w:rPr>
        <w:t>En la disposición convencional mencionada, se dispuso las siguientes reglas para la  liquidación de la pensión Convencional: i) En el caso de los trabajadores que adquieran el derecho pensional entre el 1 de enero de 2002 y el 31 de diciembre de 2006, la mesada pensional corresponderá al 100% del promedio mensual de lo percibido en los dos últimos años de servicio; ii) En el caso de los trabajadores que se jubilen entre el 1 de enero de 2007 y el 31 de diciembre de 2016, la mesada pensional corresponderá al 100% del promedio mensual de lo percibido en los tres últimos años de servicio…</w:t>
      </w:r>
    </w:p>
    <w:p w14:paraId="1365B7D9" w14:textId="77777777" w:rsidR="00C769E6" w:rsidRPr="004C2ECB" w:rsidRDefault="00C769E6" w:rsidP="004C2ECB">
      <w:pPr>
        <w:spacing w:line="240" w:lineRule="auto"/>
        <w:ind w:firstLine="0"/>
        <w:rPr>
          <w:rStyle w:val="Referenciasutil"/>
          <w:color w:val="auto"/>
          <w:sz w:val="20"/>
          <w:szCs w:val="20"/>
          <w14:textOutline w14:w="0" w14:cap="flat" w14:cmpd="sng" w14:algn="ctr">
            <w14:noFill/>
            <w14:prstDash w14:val="solid"/>
            <w14:round/>
          </w14:textOutline>
        </w:rPr>
      </w:pPr>
    </w:p>
    <w:p w14:paraId="0EB65964" w14:textId="77777777" w:rsidR="00C769E6" w:rsidRPr="004C2ECB" w:rsidRDefault="00C769E6" w:rsidP="004C2ECB">
      <w:pPr>
        <w:spacing w:line="240" w:lineRule="auto"/>
        <w:ind w:firstLine="0"/>
        <w:rPr>
          <w:rStyle w:val="Referenciasutil"/>
          <w:color w:val="auto"/>
          <w:sz w:val="20"/>
          <w:szCs w:val="20"/>
          <w14:textOutline w14:w="0" w14:cap="flat" w14:cmpd="sng" w14:algn="ctr">
            <w14:noFill/>
            <w14:prstDash w14:val="solid"/>
            <w14:round/>
          </w14:textOutline>
        </w:rPr>
      </w:pPr>
    </w:p>
    <w:p w14:paraId="048FFA51" w14:textId="77777777" w:rsidR="00C769E6" w:rsidRPr="004C2ECB" w:rsidRDefault="00C769E6" w:rsidP="004C2ECB">
      <w:pPr>
        <w:spacing w:line="240" w:lineRule="auto"/>
        <w:ind w:firstLine="0"/>
        <w:rPr>
          <w:rStyle w:val="Referenciasutil"/>
          <w:color w:val="auto"/>
          <w:sz w:val="20"/>
          <w:szCs w:val="20"/>
          <w14:textOutline w14:w="0" w14:cap="flat" w14:cmpd="sng" w14:algn="ctr">
            <w14:noFill/>
            <w14:prstDash w14:val="solid"/>
            <w14:round/>
          </w14:textOutline>
        </w:rPr>
      </w:pPr>
    </w:p>
    <w:p w14:paraId="55DDCC82" w14:textId="374F4D33" w:rsidR="00237728" w:rsidRPr="002F5B9F" w:rsidRDefault="00237728" w:rsidP="00E905F0">
      <w:pPr>
        <w:spacing w:line="240" w:lineRule="auto"/>
        <w:ind w:firstLine="0"/>
        <w:jc w:val="center"/>
        <w:rPr>
          <w:rFonts w:ascii="Bookman Old Style" w:hAnsi="Bookman Old Style"/>
          <w:b/>
          <w:bCs/>
          <w:iCs/>
        </w:rPr>
      </w:pPr>
      <w:r w:rsidRPr="002F5B9F">
        <w:rPr>
          <w:rFonts w:ascii="Bookman Old Style" w:hAnsi="Bookman Old Style"/>
          <w:b/>
          <w:bCs/>
          <w:iCs/>
        </w:rPr>
        <w:t>REPÚBLICA DE COLOMBIA</w:t>
      </w:r>
    </w:p>
    <w:p w14:paraId="38FB82E6" w14:textId="77777777" w:rsidR="00237728" w:rsidRPr="002F5B9F" w:rsidRDefault="00237728" w:rsidP="00E905F0">
      <w:pPr>
        <w:spacing w:line="240" w:lineRule="auto"/>
        <w:ind w:firstLine="0"/>
        <w:jc w:val="center"/>
        <w:rPr>
          <w:rFonts w:ascii="Bookman Old Style" w:hAnsi="Bookman Old Style"/>
          <w:b/>
          <w:bCs/>
          <w:iCs/>
        </w:rPr>
      </w:pPr>
      <w:r w:rsidRPr="002F5B9F">
        <w:rPr>
          <w:rFonts w:ascii="Bookman Old Style" w:hAnsi="Bookman Old Style"/>
          <w:b/>
          <w:bCs/>
          <w:iCs/>
        </w:rPr>
        <w:t>RAMA JUDICIAL DEL PODER PÚBLICO</w:t>
      </w:r>
    </w:p>
    <w:p w14:paraId="23D98C12" w14:textId="77777777" w:rsidR="00237728" w:rsidRPr="002F5B9F" w:rsidRDefault="00237728" w:rsidP="00E905F0">
      <w:pPr>
        <w:spacing w:line="240" w:lineRule="auto"/>
        <w:ind w:firstLine="0"/>
        <w:jc w:val="center"/>
        <w:rPr>
          <w:rFonts w:ascii="Bookman Old Style" w:hAnsi="Bookman Old Style"/>
          <w:b/>
          <w:bCs/>
          <w:iCs/>
        </w:rPr>
      </w:pPr>
      <w:r w:rsidRPr="002F5B9F">
        <w:rPr>
          <w:rFonts w:ascii="Bookman Old Style" w:hAnsi="Bookman Old Style"/>
          <w:b/>
          <w:bCs/>
          <w:iCs/>
          <w:noProof/>
          <w:lang w:val="en-US"/>
        </w:rPr>
        <w:drawing>
          <wp:inline distT="0" distB="0" distL="0" distR="0" wp14:anchorId="1D6680CC" wp14:editId="0067DAF2">
            <wp:extent cx="797560" cy="595630"/>
            <wp:effectExtent l="0" t="0" r="254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6BDF5232" w14:textId="77777777" w:rsidR="00237728" w:rsidRPr="002F5B9F" w:rsidRDefault="00237728" w:rsidP="00E905F0">
      <w:pPr>
        <w:spacing w:line="240" w:lineRule="auto"/>
        <w:ind w:firstLine="0"/>
        <w:jc w:val="center"/>
        <w:rPr>
          <w:rFonts w:ascii="Bookman Old Style" w:hAnsi="Bookman Old Style"/>
          <w:b/>
          <w:bCs/>
          <w:iCs/>
        </w:rPr>
      </w:pPr>
      <w:r w:rsidRPr="002F5B9F">
        <w:rPr>
          <w:rFonts w:ascii="Bookman Old Style" w:hAnsi="Bookman Old Style"/>
          <w:b/>
          <w:bCs/>
          <w:iCs/>
        </w:rPr>
        <w:t>TRIBUNAL SUPERIOR DEL DISTRITO JUDICIAL DE PEREIRA</w:t>
      </w:r>
    </w:p>
    <w:p w14:paraId="71614930" w14:textId="77777777" w:rsidR="00237728" w:rsidRPr="002F5B9F" w:rsidRDefault="00237728" w:rsidP="00E905F0">
      <w:pPr>
        <w:spacing w:line="240" w:lineRule="auto"/>
        <w:ind w:firstLine="0"/>
        <w:jc w:val="center"/>
        <w:rPr>
          <w:rFonts w:ascii="Bookman Old Style" w:hAnsi="Bookman Old Style"/>
          <w:b/>
          <w:bCs/>
          <w:iCs/>
        </w:rPr>
      </w:pPr>
      <w:r w:rsidRPr="002F5B9F">
        <w:rPr>
          <w:rFonts w:ascii="Bookman Old Style" w:hAnsi="Bookman Old Style"/>
          <w:b/>
          <w:bCs/>
          <w:iCs/>
        </w:rPr>
        <w:t>SALA DE DECISIÓN LABORAL</w:t>
      </w:r>
    </w:p>
    <w:p w14:paraId="3C41AE8C" w14:textId="77777777" w:rsidR="00237728" w:rsidRPr="002F5B9F" w:rsidRDefault="00237728" w:rsidP="00E905F0">
      <w:pPr>
        <w:spacing w:line="240" w:lineRule="auto"/>
        <w:ind w:firstLine="0"/>
        <w:jc w:val="center"/>
        <w:rPr>
          <w:rFonts w:ascii="Bookman Old Style" w:hAnsi="Bookman Old Style"/>
          <w:b/>
          <w:bCs/>
          <w:iCs/>
        </w:rPr>
      </w:pPr>
    </w:p>
    <w:p w14:paraId="3ED2114B" w14:textId="77777777" w:rsidR="00237728" w:rsidRPr="002F5B9F" w:rsidRDefault="00237728" w:rsidP="00E905F0">
      <w:pPr>
        <w:spacing w:line="240" w:lineRule="auto"/>
        <w:ind w:firstLine="0"/>
        <w:jc w:val="center"/>
        <w:rPr>
          <w:rFonts w:ascii="Bookman Old Style" w:hAnsi="Bookman Old Style"/>
          <w:b/>
          <w:bCs/>
          <w:iCs/>
        </w:rPr>
      </w:pPr>
      <w:r w:rsidRPr="002F5B9F">
        <w:rPr>
          <w:rFonts w:ascii="Bookman Old Style" w:hAnsi="Bookman Old Style"/>
          <w:b/>
          <w:bCs/>
          <w:iCs/>
        </w:rPr>
        <w:t>Dr. GERMÁN DARÍO GÓEZ VINASCO</w:t>
      </w:r>
    </w:p>
    <w:p w14:paraId="1BEE3B52" w14:textId="77777777" w:rsidR="00237728" w:rsidRPr="00C769E6" w:rsidRDefault="00237728" w:rsidP="00E905F0">
      <w:pPr>
        <w:spacing w:line="240" w:lineRule="auto"/>
        <w:ind w:firstLine="0"/>
        <w:jc w:val="center"/>
        <w:rPr>
          <w:rFonts w:ascii="Bookman Old Style" w:hAnsi="Bookman Old Style"/>
          <w:bCs/>
          <w:iCs/>
        </w:rPr>
      </w:pPr>
      <w:r w:rsidRPr="00C769E6">
        <w:rPr>
          <w:rFonts w:ascii="Bookman Old Style" w:hAnsi="Bookman Old Style"/>
          <w:bCs/>
          <w:iCs/>
        </w:rPr>
        <w:t>Magistrado Ponente</w:t>
      </w:r>
    </w:p>
    <w:p w14:paraId="24227B37" w14:textId="77777777" w:rsidR="00CD77E1" w:rsidRPr="00C769E6" w:rsidRDefault="00CD77E1" w:rsidP="00C769E6">
      <w:pPr>
        <w:spacing w:line="276" w:lineRule="auto"/>
        <w:ind w:firstLine="0"/>
        <w:rPr>
          <w:rFonts w:ascii="Bookman Old Style" w:hAnsi="Bookman Old Style"/>
          <w:iCs/>
        </w:rPr>
      </w:pPr>
    </w:p>
    <w:tbl>
      <w:tblPr>
        <w:tblStyle w:val="Tablanormal3"/>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50"/>
        <w:gridCol w:w="6355"/>
      </w:tblGrid>
      <w:tr w:rsidR="002C4C83" w:rsidRPr="00C769E6" w14:paraId="21C986CF" w14:textId="77777777" w:rsidTr="002F5B9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50" w:type="dxa"/>
            <w:tcBorders>
              <w:bottom w:val="none" w:sz="0" w:space="0" w:color="auto"/>
              <w:right w:val="none" w:sz="0" w:space="0" w:color="auto"/>
            </w:tcBorders>
          </w:tcPr>
          <w:p w14:paraId="2BBF7C5C" w14:textId="6FB122F8" w:rsidR="00CD77E1" w:rsidRPr="00C769E6" w:rsidRDefault="00C769E6" w:rsidP="00C769E6">
            <w:pPr>
              <w:ind w:firstLine="0"/>
              <w:rPr>
                <w:rFonts w:ascii="Bookman Old Style" w:hAnsi="Bookman Old Style"/>
                <w:b w:val="0"/>
                <w:iCs/>
                <w:sz w:val="22"/>
              </w:rPr>
            </w:pPr>
            <w:r w:rsidRPr="00C769E6">
              <w:rPr>
                <w:rFonts w:ascii="Bookman Old Style" w:hAnsi="Bookman Old Style"/>
                <w:b w:val="0"/>
                <w:iCs/>
                <w:caps w:val="0"/>
                <w:sz w:val="22"/>
              </w:rPr>
              <w:br w:type="page"/>
              <w:t>Proceso</w:t>
            </w:r>
          </w:p>
        </w:tc>
        <w:tc>
          <w:tcPr>
            <w:tcW w:w="6355" w:type="dxa"/>
            <w:tcBorders>
              <w:bottom w:val="none" w:sz="0" w:space="0" w:color="auto"/>
            </w:tcBorders>
          </w:tcPr>
          <w:p w14:paraId="6C12A179" w14:textId="73AB66D6" w:rsidR="00CD77E1" w:rsidRPr="00C769E6" w:rsidRDefault="00C769E6" w:rsidP="00C769E6">
            <w:pPr>
              <w:ind w:firstLine="0"/>
              <w:cnfStyle w:val="100000000000" w:firstRow="1" w:lastRow="0" w:firstColumn="0" w:lastColumn="0" w:oddVBand="0" w:evenVBand="0" w:oddHBand="0" w:evenHBand="0" w:firstRowFirstColumn="0" w:firstRowLastColumn="0" w:lastRowFirstColumn="0" w:lastRowLastColumn="0"/>
              <w:rPr>
                <w:rFonts w:ascii="Bookman Old Style" w:hAnsi="Bookman Old Style"/>
                <w:b w:val="0"/>
                <w:iCs/>
                <w:sz w:val="22"/>
              </w:rPr>
            </w:pPr>
            <w:r w:rsidRPr="00C769E6">
              <w:rPr>
                <w:rFonts w:ascii="Bookman Old Style" w:hAnsi="Bookman Old Style"/>
                <w:b w:val="0"/>
                <w:iCs/>
                <w:caps w:val="0"/>
                <w:sz w:val="22"/>
              </w:rPr>
              <w:t>Ordinario laboral</w:t>
            </w:r>
          </w:p>
        </w:tc>
      </w:tr>
      <w:tr w:rsidR="002C4C83" w:rsidRPr="00C769E6" w14:paraId="4AEB6148" w14:textId="77777777" w:rsidTr="002F5B9F">
        <w:trPr>
          <w:jc w:val="center"/>
        </w:trPr>
        <w:tc>
          <w:tcPr>
            <w:cnfStyle w:val="001000000000" w:firstRow="0" w:lastRow="0" w:firstColumn="1" w:lastColumn="0" w:oddVBand="0" w:evenVBand="0" w:oddHBand="0" w:evenHBand="0" w:firstRowFirstColumn="0" w:firstRowLastColumn="0" w:lastRowFirstColumn="0" w:lastRowLastColumn="0"/>
            <w:tcW w:w="1950" w:type="dxa"/>
            <w:tcBorders>
              <w:right w:val="none" w:sz="0" w:space="0" w:color="auto"/>
            </w:tcBorders>
          </w:tcPr>
          <w:p w14:paraId="4B4583BF" w14:textId="43485A1D" w:rsidR="00CD77E1" w:rsidRPr="00C769E6" w:rsidRDefault="00C769E6" w:rsidP="00C769E6">
            <w:pPr>
              <w:ind w:firstLine="0"/>
              <w:rPr>
                <w:rFonts w:ascii="Bookman Old Style" w:hAnsi="Bookman Old Style"/>
                <w:b w:val="0"/>
                <w:iCs/>
                <w:sz w:val="22"/>
              </w:rPr>
            </w:pPr>
            <w:r w:rsidRPr="00C769E6">
              <w:rPr>
                <w:rFonts w:ascii="Bookman Old Style" w:hAnsi="Bookman Old Style"/>
                <w:b w:val="0"/>
                <w:iCs/>
                <w:caps w:val="0"/>
                <w:sz w:val="22"/>
              </w:rPr>
              <w:t>Radicado</w:t>
            </w:r>
          </w:p>
        </w:tc>
        <w:tc>
          <w:tcPr>
            <w:tcW w:w="6355" w:type="dxa"/>
          </w:tcPr>
          <w:p w14:paraId="44DC1A57" w14:textId="25ED40FE" w:rsidR="00CD77E1" w:rsidRPr="00C769E6" w:rsidRDefault="00CD77E1" w:rsidP="00C769E6">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iCs/>
                <w:sz w:val="22"/>
              </w:rPr>
            </w:pPr>
            <w:bookmarkStart w:id="1" w:name="_Hlk147596784"/>
            <w:r w:rsidRPr="00C769E6">
              <w:rPr>
                <w:rFonts w:ascii="Bookman Old Style" w:hAnsi="Bookman Old Style"/>
                <w:iCs/>
                <w:sz w:val="22"/>
              </w:rPr>
              <w:t>66001310500320210001101</w:t>
            </w:r>
            <w:bookmarkEnd w:id="1"/>
          </w:p>
        </w:tc>
      </w:tr>
      <w:tr w:rsidR="002C4C83" w:rsidRPr="00C769E6" w14:paraId="759676DC" w14:textId="77777777" w:rsidTr="002F5B9F">
        <w:trPr>
          <w:jc w:val="center"/>
        </w:trPr>
        <w:tc>
          <w:tcPr>
            <w:cnfStyle w:val="001000000000" w:firstRow="0" w:lastRow="0" w:firstColumn="1" w:lastColumn="0" w:oddVBand="0" w:evenVBand="0" w:oddHBand="0" w:evenHBand="0" w:firstRowFirstColumn="0" w:firstRowLastColumn="0" w:lastRowFirstColumn="0" w:lastRowLastColumn="0"/>
            <w:tcW w:w="1950" w:type="dxa"/>
            <w:tcBorders>
              <w:right w:val="none" w:sz="0" w:space="0" w:color="auto"/>
            </w:tcBorders>
          </w:tcPr>
          <w:p w14:paraId="42FFF3A7" w14:textId="633D7A94" w:rsidR="00CD77E1" w:rsidRPr="00C769E6" w:rsidRDefault="00C769E6" w:rsidP="00C769E6">
            <w:pPr>
              <w:ind w:firstLine="0"/>
              <w:rPr>
                <w:rFonts w:ascii="Bookman Old Style" w:hAnsi="Bookman Old Style"/>
                <w:b w:val="0"/>
                <w:iCs/>
                <w:sz w:val="22"/>
              </w:rPr>
            </w:pPr>
            <w:r w:rsidRPr="00C769E6">
              <w:rPr>
                <w:rFonts w:ascii="Bookman Old Style" w:hAnsi="Bookman Old Style"/>
                <w:b w:val="0"/>
                <w:iCs/>
                <w:caps w:val="0"/>
                <w:sz w:val="22"/>
              </w:rPr>
              <w:t>Demandante</w:t>
            </w:r>
          </w:p>
        </w:tc>
        <w:tc>
          <w:tcPr>
            <w:tcW w:w="6355" w:type="dxa"/>
          </w:tcPr>
          <w:p w14:paraId="7033281B" w14:textId="61811C26" w:rsidR="00CD77E1" w:rsidRPr="00C769E6" w:rsidRDefault="00781B39" w:rsidP="00C769E6">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iCs/>
                <w:sz w:val="22"/>
              </w:rPr>
            </w:pPr>
            <w:r w:rsidRPr="00C769E6">
              <w:rPr>
                <w:rFonts w:ascii="Bookman Old Style" w:hAnsi="Bookman Old Style"/>
                <w:iCs/>
                <w:sz w:val="22"/>
              </w:rPr>
              <w:t>Luceny Pimienta Álzate</w:t>
            </w:r>
          </w:p>
        </w:tc>
      </w:tr>
      <w:tr w:rsidR="002C4C83" w:rsidRPr="00C769E6" w14:paraId="41D34C6F" w14:textId="77777777" w:rsidTr="002F5B9F">
        <w:trPr>
          <w:jc w:val="center"/>
        </w:trPr>
        <w:tc>
          <w:tcPr>
            <w:cnfStyle w:val="001000000000" w:firstRow="0" w:lastRow="0" w:firstColumn="1" w:lastColumn="0" w:oddVBand="0" w:evenVBand="0" w:oddHBand="0" w:evenHBand="0" w:firstRowFirstColumn="0" w:firstRowLastColumn="0" w:lastRowFirstColumn="0" w:lastRowLastColumn="0"/>
            <w:tcW w:w="1950" w:type="dxa"/>
            <w:tcBorders>
              <w:right w:val="none" w:sz="0" w:space="0" w:color="auto"/>
            </w:tcBorders>
          </w:tcPr>
          <w:p w14:paraId="285ADB39" w14:textId="00778761" w:rsidR="00CD77E1" w:rsidRPr="00C769E6" w:rsidRDefault="00C769E6" w:rsidP="00C769E6">
            <w:pPr>
              <w:ind w:firstLine="0"/>
              <w:rPr>
                <w:rFonts w:ascii="Bookman Old Style" w:hAnsi="Bookman Old Style"/>
                <w:b w:val="0"/>
                <w:iCs/>
                <w:sz w:val="22"/>
              </w:rPr>
            </w:pPr>
            <w:r w:rsidRPr="00C769E6">
              <w:rPr>
                <w:rFonts w:ascii="Bookman Old Style" w:hAnsi="Bookman Old Style"/>
                <w:b w:val="0"/>
                <w:iCs/>
                <w:caps w:val="0"/>
                <w:sz w:val="22"/>
              </w:rPr>
              <w:t>Demandado</w:t>
            </w:r>
          </w:p>
        </w:tc>
        <w:tc>
          <w:tcPr>
            <w:tcW w:w="6355" w:type="dxa"/>
          </w:tcPr>
          <w:p w14:paraId="4098D294" w14:textId="78CDC13C" w:rsidR="00CD77E1" w:rsidRPr="00C769E6" w:rsidRDefault="00781B39" w:rsidP="00C769E6">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iCs/>
                <w:sz w:val="22"/>
              </w:rPr>
            </w:pPr>
            <w:r w:rsidRPr="00C769E6">
              <w:rPr>
                <w:rFonts w:ascii="Bookman Old Style" w:hAnsi="Bookman Old Style"/>
                <w:iCs/>
                <w:sz w:val="22"/>
              </w:rPr>
              <w:t>UGPP</w:t>
            </w:r>
          </w:p>
        </w:tc>
      </w:tr>
      <w:tr w:rsidR="002C4C83" w:rsidRPr="00C769E6" w14:paraId="5A3E4DA3" w14:textId="77777777" w:rsidTr="002F5B9F">
        <w:trPr>
          <w:jc w:val="center"/>
        </w:trPr>
        <w:tc>
          <w:tcPr>
            <w:cnfStyle w:val="001000000000" w:firstRow="0" w:lastRow="0" w:firstColumn="1" w:lastColumn="0" w:oddVBand="0" w:evenVBand="0" w:oddHBand="0" w:evenHBand="0" w:firstRowFirstColumn="0" w:firstRowLastColumn="0" w:lastRowFirstColumn="0" w:lastRowLastColumn="0"/>
            <w:tcW w:w="1950" w:type="dxa"/>
            <w:tcBorders>
              <w:right w:val="none" w:sz="0" w:space="0" w:color="auto"/>
            </w:tcBorders>
          </w:tcPr>
          <w:p w14:paraId="622821E7" w14:textId="52DB1BC7" w:rsidR="00CD77E1" w:rsidRPr="00C769E6" w:rsidRDefault="00C769E6" w:rsidP="00C769E6">
            <w:pPr>
              <w:ind w:firstLine="0"/>
              <w:rPr>
                <w:rFonts w:ascii="Bookman Old Style" w:hAnsi="Bookman Old Style"/>
                <w:b w:val="0"/>
                <w:iCs/>
                <w:sz w:val="22"/>
              </w:rPr>
            </w:pPr>
            <w:r w:rsidRPr="00C769E6">
              <w:rPr>
                <w:rFonts w:ascii="Bookman Old Style" w:hAnsi="Bookman Old Style"/>
                <w:b w:val="0"/>
                <w:iCs/>
                <w:caps w:val="0"/>
                <w:sz w:val="22"/>
              </w:rPr>
              <w:t>Asunto</w:t>
            </w:r>
          </w:p>
        </w:tc>
        <w:tc>
          <w:tcPr>
            <w:tcW w:w="6355" w:type="dxa"/>
          </w:tcPr>
          <w:p w14:paraId="38A9841E" w14:textId="1BE442A7" w:rsidR="00CD77E1" w:rsidRPr="00C769E6" w:rsidRDefault="3B5CE0DC" w:rsidP="00C769E6">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iCs/>
                <w:sz w:val="22"/>
              </w:rPr>
            </w:pPr>
            <w:r w:rsidRPr="00C769E6">
              <w:rPr>
                <w:rFonts w:ascii="Bookman Old Style" w:hAnsi="Bookman Old Style"/>
                <w:iCs/>
                <w:sz w:val="22"/>
              </w:rPr>
              <w:t>Apelación</w:t>
            </w:r>
            <w:r w:rsidR="080DFB85" w:rsidRPr="00C769E6">
              <w:rPr>
                <w:rFonts w:ascii="Bookman Old Style" w:hAnsi="Bookman Old Style"/>
                <w:iCs/>
                <w:sz w:val="22"/>
              </w:rPr>
              <w:t xml:space="preserve"> y c</w:t>
            </w:r>
            <w:r w:rsidR="00CD77E1" w:rsidRPr="00C769E6">
              <w:rPr>
                <w:rFonts w:ascii="Bookman Old Style" w:hAnsi="Bookman Old Style"/>
                <w:iCs/>
                <w:sz w:val="22"/>
              </w:rPr>
              <w:t>onsulta sentencia 17</w:t>
            </w:r>
            <w:r w:rsidR="001F029E" w:rsidRPr="00C769E6">
              <w:rPr>
                <w:rFonts w:ascii="Bookman Old Style" w:hAnsi="Bookman Old Style"/>
                <w:iCs/>
                <w:sz w:val="22"/>
              </w:rPr>
              <w:t xml:space="preserve"> de noviembre de </w:t>
            </w:r>
            <w:r w:rsidR="00CD77E1" w:rsidRPr="00C769E6">
              <w:rPr>
                <w:rFonts w:ascii="Bookman Old Style" w:hAnsi="Bookman Old Style"/>
                <w:iCs/>
                <w:sz w:val="22"/>
              </w:rPr>
              <w:t>2021</w:t>
            </w:r>
          </w:p>
        </w:tc>
      </w:tr>
      <w:tr w:rsidR="002C4C83" w:rsidRPr="00C769E6" w14:paraId="08B325BA" w14:textId="77777777" w:rsidTr="002F5B9F">
        <w:trPr>
          <w:jc w:val="center"/>
        </w:trPr>
        <w:tc>
          <w:tcPr>
            <w:cnfStyle w:val="001000000000" w:firstRow="0" w:lastRow="0" w:firstColumn="1" w:lastColumn="0" w:oddVBand="0" w:evenVBand="0" w:oddHBand="0" w:evenHBand="0" w:firstRowFirstColumn="0" w:firstRowLastColumn="0" w:lastRowFirstColumn="0" w:lastRowLastColumn="0"/>
            <w:tcW w:w="1950" w:type="dxa"/>
            <w:tcBorders>
              <w:right w:val="none" w:sz="0" w:space="0" w:color="auto"/>
            </w:tcBorders>
          </w:tcPr>
          <w:p w14:paraId="23353EC8" w14:textId="43AB8B28" w:rsidR="00CD77E1" w:rsidRPr="00C769E6" w:rsidRDefault="00C769E6" w:rsidP="00C769E6">
            <w:pPr>
              <w:ind w:firstLine="0"/>
              <w:rPr>
                <w:rFonts w:ascii="Bookman Old Style" w:hAnsi="Bookman Old Style"/>
                <w:b w:val="0"/>
                <w:iCs/>
                <w:sz w:val="22"/>
              </w:rPr>
            </w:pPr>
            <w:r w:rsidRPr="00C769E6">
              <w:rPr>
                <w:rFonts w:ascii="Bookman Old Style" w:hAnsi="Bookman Old Style"/>
                <w:b w:val="0"/>
                <w:iCs/>
                <w:caps w:val="0"/>
                <w:sz w:val="22"/>
              </w:rPr>
              <w:t>Juzgado</w:t>
            </w:r>
          </w:p>
        </w:tc>
        <w:tc>
          <w:tcPr>
            <w:tcW w:w="6355" w:type="dxa"/>
          </w:tcPr>
          <w:p w14:paraId="4CB64CF5" w14:textId="718559DC" w:rsidR="00CD77E1" w:rsidRPr="00C769E6" w:rsidRDefault="00CD77E1" w:rsidP="00C769E6">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iCs/>
                <w:sz w:val="22"/>
              </w:rPr>
            </w:pPr>
            <w:r w:rsidRPr="00C769E6">
              <w:rPr>
                <w:rFonts w:ascii="Bookman Old Style" w:hAnsi="Bookman Old Style"/>
                <w:iCs/>
                <w:sz w:val="22"/>
              </w:rPr>
              <w:t>Tercero Laboral del Circuito</w:t>
            </w:r>
          </w:p>
        </w:tc>
      </w:tr>
      <w:tr w:rsidR="002C4C83" w:rsidRPr="00C769E6" w14:paraId="596C188E" w14:textId="77777777" w:rsidTr="002F5B9F">
        <w:trPr>
          <w:jc w:val="center"/>
        </w:trPr>
        <w:tc>
          <w:tcPr>
            <w:cnfStyle w:val="001000000000" w:firstRow="0" w:lastRow="0" w:firstColumn="1" w:lastColumn="0" w:oddVBand="0" w:evenVBand="0" w:oddHBand="0" w:evenHBand="0" w:firstRowFirstColumn="0" w:firstRowLastColumn="0" w:lastRowFirstColumn="0" w:lastRowLastColumn="0"/>
            <w:tcW w:w="1950" w:type="dxa"/>
            <w:tcBorders>
              <w:right w:val="none" w:sz="0" w:space="0" w:color="auto"/>
            </w:tcBorders>
          </w:tcPr>
          <w:p w14:paraId="5BBB186D" w14:textId="38E56E19" w:rsidR="00CD77E1" w:rsidRPr="00C769E6" w:rsidRDefault="00C769E6" w:rsidP="00C769E6">
            <w:pPr>
              <w:ind w:firstLine="0"/>
              <w:rPr>
                <w:rFonts w:ascii="Bookman Old Style" w:hAnsi="Bookman Old Style"/>
                <w:b w:val="0"/>
                <w:iCs/>
                <w:sz w:val="22"/>
              </w:rPr>
            </w:pPr>
            <w:r w:rsidRPr="00C769E6">
              <w:rPr>
                <w:rFonts w:ascii="Bookman Old Style" w:hAnsi="Bookman Old Style"/>
                <w:b w:val="0"/>
                <w:iCs/>
                <w:caps w:val="0"/>
                <w:sz w:val="22"/>
              </w:rPr>
              <w:t>Tema</w:t>
            </w:r>
          </w:p>
        </w:tc>
        <w:tc>
          <w:tcPr>
            <w:tcW w:w="6355" w:type="dxa"/>
          </w:tcPr>
          <w:p w14:paraId="33A4EEDB" w14:textId="0D0DE992" w:rsidR="00CD77E1" w:rsidRPr="00C769E6" w:rsidRDefault="00CD77E1" w:rsidP="00C769E6">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iCs/>
                <w:sz w:val="22"/>
              </w:rPr>
            </w:pPr>
            <w:r w:rsidRPr="00C769E6">
              <w:rPr>
                <w:rFonts w:ascii="Bookman Old Style" w:hAnsi="Bookman Old Style"/>
                <w:iCs/>
                <w:sz w:val="22"/>
              </w:rPr>
              <w:t>Pensión convencional</w:t>
            </w:r>
          </w:p>
        </w:tc>
      </w:tr>
    </w:tbl>
    <w:p w14:paraId="322BB84A" w14:textId="77777777" w:rsidR="005B5103" w:rsidRPr="00C769E6" w:rsidRDefault="005B5103" w:rsidP="00C769E6">
      <w:pPr>
        <w:spacing w:line="276" w:lineRule="auto"/>
        <w:ind w:firstLine="0"/>
        <w:rPr>
          <w:rFonts w:ascii="Bookman Old Style" w:hAnsi="Bookman Old Style"/>
          <w:iCs/>
        </w:rPr>
      </w:pPr>
    </w:p>
    <w:p w14:paraId="0E612611" w14:textId="583A73A2" w:rsidR="00012106" w:rsidRPr="00C769E6" w:rsidRDefault="00012106" w:rsidP="00C769E6">
      <w:pPr>
        <w:spacing w:line="276" w:lineRule="auto"/>
        <w:ind w:firstLine="0"/>
        <w:jc w:val="center"/>
        <w:rPr>
          <w:rFonts w:ascii="Bookman Old Style" w:hAnsi="Bookman Old Style"/>
          <w:b/>
          <w:bCs/>
          <w:iCs/>
        </w:rPr>
      </w:pPr>
      <w:bookmarkStart w:id="2" w:name="_Hlk147596848"/>
      <w:r w:rsidRPr="00C769E6">
        <w:rPr>
          <w:rFonts w:ascii="Bookman Old Style" w:hAnsi="Bookman Old Style"/>
          <w:b/>
          <w:bCs/>
          <w:iCs/>
        </w:rPr>
        <w:t>APROBADO POR ACTA No.</w:t>
      </w:r>
      <w:r w:rsidR="002F5B9F" w:rsidRPr="00C769E6">
        <w:rPr>
          <w:rFonts w:ascii="Bookman Old Style" w:hAnsi="Bookman Old Style"/>
          <w:b/>
          <w:bCs/>
          <w:iCs/>
        </w:rPr>
        <w:t xml:space="preserve"> 165 DEL 17 DE OCTUBRE DE 2023</w:t>
      </w:r>
    </w:p>
    <w:bookmarkEnd w:id="2"/>
    <w:p w14:paraId="095FA104" w14:textId="4F4DD7D3" w:rsidR="00EB1DAE" w:rsidRPr="00C769E6" w:rsidRDefault="00EB1DAE" w:rsidP="00C769E6">
      <w:pPr>
        <w:spacing w:line="276" w:lineRule="auto"/>
        <w:ind w:firstLine="0"/>
        <w:rPr>
          <w:rFonts w:ascii="Bookman Old Style" w:hAnsi="Bookman Old Style"/>
          <w:iCs/>
        </w:rPr>
      </w:pPr>
    </w:p>
    <w:p w14:paraId="34B0B9F8" w14:textId="6C103747" w:rsidR="00EB1DAE" w:rsidRPr="00C769E6" w:rsidRDefault="00EB1DAE" w:rsidP="00C769E6">
      <w:pPr>
        <w:spacing w:line="276" w:lineRule="auto"/>
        <w:rPr>
          <w:rFonts w:ascii="Bookman Old Style" w:hAnsi="Bookman Old Style"/>
          <w:iCs/>
        </w:rPr>
      </w:pPr>
      <w:r w:rsidRPr="00C769E6">
        <w:rPr>
          <w:rFonts w:ascii="Bookman Old Style" w:hAnsi="Bookman Old Style"/>
          <w:iCs/>
        </w:rPr>
        <w:t xml:space="preserve">Hoy, </w:t>
      </w:r>
      <w:r w:rsidR="002F5B9F" w:rsidRPr="00C769E6">
        <w:rPr>
          <w:rFonts w:ascii="Bookman Old Style" w:hAnsi="Bookman Old Style"/>
          <w:iCs/>
        </w:rPr>
        <w:t>veintitrés</w:t>
      </w:r>
      <w:r w:rsidRPr="00C769E6">
        <w:rPr>
          <w:rFonts w:ascii="Bookman Old Style" w:hAnsi="Bookman Old Style"/>
          <w:iCs/>
        </w:rPr>
        <w:t xml:space="preserve"> (</w:t>
      </w:r>
      <w:r w:rsidR="002F5B9F" w:rsidRPr="00C769E6">
        <w:rPr>
          <w:rFonts w:ascii="Bookman Old Style" w:hAnsi="Bookman Old Style"/>
          <w:iCs/>
        </w:rPr>
        <w:t>23</w:t>
      </w:r>
      <w:r w:rsidRPr="00C769E6">
        <w:rPr>
          <w:rFonts w:ascii="Bookman Old Style" w:hAnsi="Bookman Old Style"/>
          <w:iCs/>
        </w:rPr>
        <w:t>) de</w:t>
      </w:r>
      <w:r w:rsidR="002F5B9F" w:rsidRPr="00C769E6">
        <w:rPr>
          <w:rFonts w:ascii="Bookman Old Style" w:hAnsi="Bookman Old Style"/>
          <w:iCs/>
        </w:rPr>
        <w:t xml:space="preserve"> octubre </w:t>
      </w:r>
      <w:r w:rsidRPr="00C769E6">
        <w:rPr>
          <w:rFonts w:ascii="Bookman Old Style" w:hAnsi="Bookman Old Style"/>
          <w:iCs/>
        </w:rPr>
        <w:t xml:space="preserve">de dos mil veintitrés (2023), el Tribunal Superior de Distrito Judicial de Pereira, Sala de Decisión Laboral integrada </w:t>
      </w:r>
      <w:r w:rsidRPr="00C769E6">
        <w:rPr>
          <w:rFonts w:ascii="Bookman Old Style" w:hAnsi="Bookman Old Style"/>
          <w:iCs/>
        </w:rPr>
        <w:lastRenderedPageBreak/>
        <w:t xml:space="preserve">por los magistrados Dra. </w:t>
      </w:r>
      <w:r w:rsidRPr="002B0FD5">
        <w:rPr>
          <w:rFonts w:ascii="Bookman Old Style" w:hAnsi="Bookman Old Style"/>
          <w:b/>
          <w:iCs/>
        </w:rPr>
        <w:t>OLGA LUCIA HOYOS SEPÚLVEDA</w:t>
      </w:r>
      <w:r w:rsidRPr="00C769E6">
        <w:rPr>
          <w:rFonts w:ascii="Bookman Old Style" w:hAnsi="Bookman Old Style"/>
          <w:iCs/>
        </w:rPr>
        <w:t xml:space="preserve">, Dr. </w:t>
      </w:r>
      <w:r w:rsidRPr="002B0FD5">
        <w:rPr>
          <w:rFonts w:ascii="Bookman Old Style" w:hAnsi="Bookman Old Style"/>
          <w:b/>
          <w:iCs/>
        </w:rPr>
        <w:t>JULIO CÉSAR SALAZAR MUÑOZ</w:t>
      </w:r>
      <w:r w:rsidRPr="00C769E6">
        <w:rPr>
          <w:rFonts w:ascii="Bookman Old Style" w:hAnsi="Bookman Old Style"/>
          <w:iCs/>
        </w:rPr>
        <w:t xml:space="preserve"> y como ponente Dr. </w:t>
      </w:r>
      <w:r w:rsidRPr="002B0FD5">
        <w:rPr>
          <w:rFonts w:ascii="Bookman Old Style" w:hAnsi="Bookman Old Style"/>
          <w:b/>
          <w:iCs/>
        </w:rPr>
        <w:t>GERMÁN DARÍO GÓEZ VINASCO</w:t>
      </w:r>
      <w:r w:rsidRPr="00C769E6">
        <w:rPr>
          <w:rFonts w:ascii="Bookman Old Style" w:hAnsi="Bookman Old Style"/>
          <w:iCs/>
        </w:rPr>
        <w:t xml:space="preserve">, procede a resolver el recurso de apelación </w:t>
      </w:r>
      <w:r w:rsidR="00D5635D" w:rsidRPr="00C769E6">
        <w:rPr>
          <w:rFonts w:ascii="Bookman Old Style" w:hAnsi="Bookman Old Style"/>
          <w:iCs/>
        </w:rPr>
        <w:t xml:space="preserve">y el grado jurisdiccional de consulta a favor de la UGPP, </w:t>
      </w:r>
      <w:r w:rsidRPr="00C769E6">
        <w:rPr>
          <w:rFonts w:ascii="Bookman Old Style" w:hAnsi="Bookman Old Style"/>
          <w:iCs/>
        </w:rPr>
        <w:t xml:space="preserve">frente a la sentencia de primera instancia del </w:t>
      </w:r>
      <w:r w:rsidR="00D5635D" w:rsidRPr="00C769E6">
        <w:rPr>
          <w:rFonts w:ascii="Bookman Old Style" w:hAnsi="Bookman Old Style"/>
          <w:iCs/>
        </w:rPr>
        <w:t>1</w:t>
      </w:r>
      <w:r w:rsidRPr="00C769E6">
        <w:rPr>
          <w:rFonts w:ascii="Bookman Old Style" w:hAnsi="Bookman Old Style"/>
          <w:iCs/>
        </w:rPr>
        <w:t xml:space="preserve">7 de </w:t>
      </w:r>
      <w:r w:rsidR="00D5635D" w:rsidRPr="00C769E6">
        <w:rPr>
          <w:rFonts w:ascii="Bookman Old Style" w:hAnsi="Bookman Old Style"/>
          <w:iCs/>
        </w:rPr>
        <w:t xml:space="preserve">noviembre </w:t>
      </w:r>
      <w:r w:rsidRPr="00C769E6">
        <w:rPr>
          <w:rFonts w:ascii="Bookman Old Style" w:hAnsi="Bookman Old Style"/>
          <w:iCs/>
        </w:rPr>
        <w:t xml:space="preserve">de </w:t>
      </w:r>
      <w:r w:rsidR="00D5635D" w:rsidRPr="00C769E6">
        <w:rPr>
          <w:rFonts w:ascii="Bookman Old Style" w:hAnsi="Bookman Old Style"/>
          <w:iCs/>
        </w:rPr>
        <w:t>2021</w:t>
      </w:r>
      <w:r w:rsidRPr="00C769E6">
        <w:rPr>
          <w:rFonts w:ascii="Bookman Old Style" w:hAnsi="Bookman Old Style"/>
          <w:iCs/>
        </w:rPr>
        <w:t xml:space="preserve">, </w:t>
      </w:r>
      <w:r w:rsidR="00D5635D" w:rsidRPr="00C769E6">
        <w:rPr>
          <w:rFonts w:ascii="Bookman Old Style" w:hAnsi="Bookman Old Style"/>
          <w:iCs/>
        </w:rPr>
        <w:t>d</w:t>
      </w:r>
      <w:r w:rsidRPr="00C769E6">
        <w:rPr>
          <w:rFonts w:ascii="Bookman Old Style" w:hAnsi="Bookman Old Style"/>
          <w:iCs/>
        </w:rPr>
        <w:t xml:space="preserve">el Juzgado </w:t>
      </w:r>
      <w:r w:rsidR="00D5635D" w:rsidRPr="00C769E6">
        <w:rPr>
          <w:rFonts w:ascii="Bookman Old Style" w:hAnsi="Bookman Old Style"/>
          <w:iCs/>
        </w:rPr>
        <w:t>Tercero</w:t>
      </w:r>
      <w:r w:rsidRPr="00C769E6">
        <w:rPr>
          <w:rFonts w:ascii="Bookman Old Style" w:hAnsi="Bookman Old Style"/>
          <w:iCs/>
        </w:rPr>
        <w:t xml:space="preserve"> Laboral del Circuito de Pereira dentro del proceso </w:t>
      </w:r>
      <w:r w:rsidRPr="002B0FD5">
        <w:rPr>
          <w:rFonts w:ascii="Bookman Old Style" w:hAnsi="Bookman Old Style"/>
          <w:b/>
          <w:iCs/>
        </w:rPr>
        <w:t>ordinario</w:t>
      </w:r>
      <w:r w:rsidR="002B0FD5">
        <w:rPr>
          <w:rFonts w:ascii="Bookman Old Style" w:hAnsi="Bookman Old Style"/>
          <w:b/>
          <w:iCs/>
        </w:rPr>
        <w:t xml:space="preserve"> laboral</w:t>
      </w:r>
      <w:r w:rsidRPr="00C769E6">
        <w:rPr>
          <w:rFonts w:ascii="Bookman Old Style" w:hAnsi="Bookman Old Style"/>
          <w:iCs/>
        </w:rPr>
        <w:t xml:space="preserve"> promovido</w:t>
      </w:r>
      <w:r w:rsidR="00940D64" w:rsidRPr="00C769E6">
        <w:rPr>
          <w:rFonts w:ascii="Bookman Old Style" w:hAnsi="Bookman Old Style"/>
          <w:iCs/>
        </w:rPr>
        <w:t xml:space="preserve"> por</w:t>
      </w:r>
      <w:r w:rsidRPr="00C769E6">
        <w:rPr>
          <w:rFonts w:ascii="Bookman Old Style" w:hAnsi="Bookman Old Style"/>
          <w:iCs/>
        </w:rPr>
        <w:t xml:space="preserve"> </w:t>
      </w:r>
      <w:bookmarkStart w:id="3" w:name="_Hlk147597772"/>
      <w:r w:rsidR="00D5635D" w:rsidRPr="00C769E6">
        <w:rPr>
          <w:rFonts w:ascii="Bookman Old Style" w:hAnsi="Bookman Old Style"/>
          <w:b/>
          <w:iCs/>
        </w:rPr>
        <w:t>LUCENY PIMIENTA ALZATE</w:t>
      </w:r>
      <w:r w:rsidR="00D5635D" w:rsidRPr="00C769E6">
        <w:rPr>
          <w:rFonts w:ascii="Bookman Old Style" w:hAnsi="Bookman Old Style"/>
          <w:iCs/>
        </w:rPr>
        <w:t xml:space="preserve"> </w:t>
      </w:r>
      <w:r w:rsidRPr="00C769E6">
        <w:rPr>
          <w:rFonts w:ascii="Bookman Old Style" w:hAnsi="Bookman Old Style"/>
          <w:iCs/>
        </w:rPr>
        <w:t xml:space="preserve">en contra de la </w:t>
      </w:r>
      <w:r w:rsidR="00D5635D" w:rsidRPr="00C769E6">
        <w:rPr>
          <w:rFonts w:ascii="Bookman Old Style" w:hAnsi="Bookman Old Style"/>
          <w:b/>
          <w:iCs/>
        </w:rPr>
        <w:t>UNIDAD ADMINISTRATIVA ESPECIAL DE GESTIÓN PENSIONAL Y CONTRIBUCIONES PARAFISCALES DE LA PROTECCIÓN SOCIAL UGPP</w:t>
      </w:r>
      <w:r w:rsidRPr="00C769E6">
        <w:rPr>
          <w:rFonts w:ascii="Bookman Old Style" w:hAnsi="Bookman Old Style"/>
          <w:b/>
          <w:iCs/>
        </w:rPr>
        <w:t xml:space="preserve">. </w:t>
      </w:r>
      <w:r w:rsidRPr="00C769E6">
        <w:rPr>
          <w:rFonts w:ascii="Bookman Old Style" w:hAnsi="Bookman Old Style"/>
          <w:iCs/>
        </w:rPr>
        <w:t xml:space="preserve">Radicado: </w:t>
      </w:r>
      <w:r w:rsidR="00D5635D" w:rsidRPr="00C769E6">
        <w:rPr>
          <w:rFonts w:ascii="Bookman Old Style" w:hAnsi="Bookman Old Style"/>
          <w:b/>
          <w:iCs/>
        </w:rPr>
        <w:t>66001310500320210001101</w:t>
      </w:r>
      <w:bookmarkEnd w:id="3"/>
      <w:r w:rsidRPr="00C769E6">
        <w:rPr>
          <w:rFonts w:ascii="Bookman Old Style" w:hAnsi="Bookman Old Style"/>
          <w:iCs/>
        </w:rPr>
        <w:t>.</w:t>
      </w:r>
    </w:p>
    <w:p w14:paraId="7ADB3CAD" w14:textId="77777777" w:rsidR="00EB1DAE" w:rsidRPr="00C769E6" w:rsidRDefault="00EB1DAE" w:rsidP="00C769E6">
      <w:pPr>
        <w:spacing w:line="276" w:lineRule="auto"/>
        <w:ind w:firstLine="0"/>
        <w:rPr>
          <w:rFonts w:ascii="Bookman Old Style" w:hAnsi="Bookman Old Style"/>
          <w:iCs/>
        </w:rPr>
      </w:pPr>
    </w:p>
    <w:p w14:paraId="6D9A590B" w14:textId="5C9868A4" w:rsidR="00EB1DAE" w:rsidRPr="00C769E6" w:rsidRDefault="65273A44" w:rsidP="00C769E6">
      <w:pPr>
        <w:spacing w:line="276" w:lineRule="auto"/>
        <w:jc w:val="center"/>
        <w:rPr>
          <w:rFonts w:ascii="Bookman Old Style" w:hAnsi="Bookman Old Style"/>
        </w:rPr>
      </w:pPr>
      <w:r w:rsidRPr="00C769E6">
        <w:rPr>
          <w:rFonts w:ascii="Bookman Old Style" w:eastAsia="Bookman Old Style" w:hAnsi="Bookman Old Style" w:cs="Bookman Old Style"/>
          <w:b/>
          <w:bCs/>
          <w:iCs/>
          <w:color w:val="000000" w:themeColor="text1"/>
        </w:rPr>
        <w:t>AUTO</w:t>
      </w:r>
      <w:r w:rsidR="002F5B9F" w:rsidRPr="00C769E6">
        <w:rPr>
          <w:rFonts w:ascii="Bookman Old Style" w:eastAsia="Bookman Old Style" w:hAnsi="Bookman Old Style" w:cs="Bookman Old Style"/>
          <w:b/>
          <w:bCs/>
          <w:iCs/>
          <w:color w:val="000000" w:themeColor="text1"/>
        </w:rPr>
        <w:t xml:space="preserve"> INTERLOCUTORIO No. 125</w:t>
      </w:r>
    </w:p>
    <w:p w14:paraId="5B7ADD2E" w14:textId="0292F231" w:rsidR="00EB1DAE" w:rsidRPr="00C769E6" w:rsidRDefault="65273A44" w:rsidP="00C769E6">
      <w:pPr>
        <w:spacing w:line="276" w:lineRule="auto"/>
        <w:rPr>
          <w:rFonts w:ascii="Bookman Old Style" w:hAnsi="Bookman Old Style"/>
        </w:rPr>
      </w:pPr>
      <w:r w:rsidRPr="00C769E6">
        <w:rPr>
          <w:rFonts w:ascii="Bookman Old Style" w:eastAsia="Bookman Old Style" w:hAnsi="Bookman Old Style" w:cs="Bookman Old Style"/>
          <w:iCs/>
          <w:color w:val="000000" w:themeColor="text1"/>
        </w:rPr>
        <w:t xml:space="preserve"> </w:t>
      </w:r>
    </w:p>
    <w:p w14:paraId="25DEBEAC" w14:textId="75163E07" w:rsidR="00EB1DAE" w:rsidRPr="00C769E6" w:rsidRDefault="65273A44" w:rsidP="00C769E6">
      <w:pPr>
        <w:spacing w:line="276" w:lineRule="auto"/>
        <w:rPr>
          <w:rFonts w:ascii="Bookman Old Style" w:hAnsi="Bookman Old Style"/>
        </w:rPr>
      </w:pPr>
      <w:r w:rsidRPr="00C769E6">
        <w:rPr>
          <w:rFonts w:ascii="Bookman Old Style" w:eastAsia="Bookman Old Style" w:hAnsi="Bookman Old Style" w:cs="Bookman Old Style"/>
          <w:iCs/>
          <w:color w:val="000000" w:themeColor="text1"/>
        </w:rPr>
        <w:t xml:space="preserve">Aceptar la renuncia que al poder </w:t>
      </w:r>
      <w:r w:rsidR="002F5B9F" w:rsidRPr="00C769E6">
        <w:rPr>
          <w:rFonts w:ascii="Bookman Old Style" w:eastAsia="Bookman Old Style" w:hAnsi="Bookman Old Style" w:cs="Bookman Old Style"/>
          <w:iCs/>
          <w:color w:val="000000" w:themeColor="text1"/>
        </w:rPr>
        <w:t>que presenta</w:t>
      </w:r>
      <w:r w:rsidRPr="00C769E6">
        <w:rPr>
          <w:rFonts w:ascii="Bookman Old Style" w:eastAsia="Bookman Old Style" w:hAnsi="Bookman Old Style" w:cs="Bookman Old Style"/>
          <w:iCs/>
          <w:color w:val="000000" w:themeColor="text1"/>
        </w:rPr>
        <w:t xml:space="preserve"> la abogada Martha Elena Hincapié Piñeres, vocera judicial que representa los intereses de la UGPP (Archivo 08, cuaderno de segunda instancia).</w:t>
      </w:r>
    </w:p>
    <w:p w14:paraId="2830B0A2" w14:textId="6E7D24F1" w:rsidR="00EB1DAE" w:rsidRPr="00C769E6" w:rsidRDefault="65273A44" w:rsidP="00C769E6">
      <w:pPr>
        <w:spacing w:line="276" w:lineRule="auto"/>
        <w:rPr>
          <w:rFonts w:ascii="Bookman Old Style" w:hAnsi="Bookman Old Style"/>
        </w:rPr>
      </w:pPr>
      <w:r w:rsidRPr="00C769E6">
        <w:rPr>
          <w:rFonts w:ascii="Bookman Old Style" w:eastAsia="Bookman Old Style" w:hAnsi="Bookman Old Style" w:cs="Bookman Old Style"/>
          <w:iCs/>
          <w:color w:val="000000" w:themeColor="text1"/>
        </w:rPr>
        <w:t xml:space="preserve"> </w:t>
      </w:r>
    </w:p>
    <w:p w14:paraId="62AE7A1E" w14:textId="5F472FAB" w:rsidR="00EB1DAE" w:rsidRPr="00C769E6" w:rsidRDefault="65273A44" w:rsidP="00C769E6">
      <w:pPr>
        <w:spacing w:line="276" w:lineRule="auto"/>
        <w:rPr>
          <w:rFonts w:ascii="Bookman Old Style" w:hAnsi="Bookman Old Style"/>
        </w:rPr>
      </w:pPr>
      <w:r w:rsidRPr="00C769E6">
        <w:rPr>
          <w:rFonts w:ascii="Bookman Old Style" w:eastAsia="Bookman Old Style" w:hAnsi="Bookman Old Style" w:cs="Bookman Old Style"/>
          <w:iCs/>
          <w:color w:val="000000" w:themeColor="text1"/>
        </w:rPr>
        <w:t xml:space="preserve">De otro lado, si bien la UGPP presentó escrito de desistimiento del recurso, a través de la abogada </w:t>
      </w:r>
      <w:r w:rsidR="002F5B9F" w:rsidRPr="00C769E6">
        <w:rPr>
          <w:rFonts w:ascii="Bookman Old Style" w:eastAsia="Bookman Old Style" w:hAnsi="Bookman Old Style" w:cs="Bookman Old Style"/>
          <w:iCs/>
          <w:color w:val="000000" w:themeColor="text1"/>
        </w:rPr>
        <w:t>Ángela</w:t>
      </w:r>
      <w:r w:rsidRPr="00C769E6">
        <w:rPr>
          <w:rFonts w:ascii="Bookman Old Style" w:eastAsia="Bookman Old Style" w:hAnsi="Bookman Old Style" w:cs="Bookman Old Style"/>
          <w:iCs/>
          <w:color w:val="000000" w:themeColor="text1"/>
        </w:rPr>
        <w:t xml:space="preserve"> María Rodríguez Caicedo, quien refiere tener la calidad de apoderada general de la UGPP, según escritura pública 175 del 17-01-2023, lo cierto es que al no haber arrimado poder para acreditar la calidad invocada, imposible se torna acceder a la solicitud y, por ello mismo, carece de personería para actuar (archivo 10).</w:t>
      </w:r>
      <w:r w:rsidRPr="00C769E6">
        <w:rPr>
          <w:rFonts w:ascii="Bookman Old Style" w:hAnsi="Bookman Old Style"/>
          <w:iCs/>
        </w:rPr>
        <w:t xml:space="preserve"> </w:t>
      </w:r>
    </w:p>
    <w:p w14:paraId="5558A45D" w14:textId="40123191" w:rsidR="00EB1DAE" w:rsidRPr="00C769E6" w:rsidRDefault="00EB1DAE" w:rsidP="00C769E6">
      <w:pPr>
        <w:spacing w:line="276" w:lineRule="auto"/>
        <w:rPr>
          <w:rFonts w:ascii="Bookman Old Style" w:hAnsi="Bookman Old Style"/>
          <w:iCs/>
        </w:rPr>
      </w:pPr>
    </w:p>
    <w:p w14:paraId="47B3B408" w14:textId="0601DBD8" w:rsidR="00EB1DAE" w:rsidRPr="00C769E6" w:rsidRDefault="00EB1DAE" w:rsidP="00C769E6">
      <w:pPr>
        <w:spacing w:line="276" w:lineRule="auto"/>
        <w:rPr>
          <w:rFonts w:ascii="Bookman Old Style" w:hAnsi="Bookman Old Style"/>
          <w:iCs/>
        </w:rPr>
      </w:pPr>
      <w:r w:rsidRPr="00C769E6">
        <w:rPr>
          <w:rFonts w:ascii="Bookman Old Style" w:hAnsi="Bookman Old Style"/>
          <w:iCs/>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540E620F" w14:textId="77777777" w:rsidR="00EB1DAE" w:rsidRPr="00C769E6" w:rsidRDefault="00EB1DAE" w:rsidP="00C769E6">
      <w:pPr>
        <w:spacing w:line="276" w:lineRule="auto"/>
        <w:ind w:firstLine="0"/>
        <w:rPr>
          <w:rFonts w:ascii="Bookman Old Style" w:hAnsi="Bookman Old Style"/>
          <w:iCs/>
        </w:rPr>
      </w:pPr>
    </w:p>
    <w:p w14:paraId="46D4BA68" w14:textId="010A885A" w:rsidR="00EB1DAE" w:rsidRPr="00C769E6" w:rsidRDefault="002F5B9F" w:rsidP="00C769E6">
      <w:pPr>
        <w:spacing w:line="276" w:lineRule="auto"/>
        <w:ind w:firstLine="0"/>
        <w:jc w:val="center"/>
        <w:rPr>
          <w:rFonts w:ascii="Bookman Old Style" w:hAnsi="Bookman Old Style"/>
          <w:b/>
          <w:bCs/>
          <w:iCs/>
        </w:rPr>
      </w:pPr>
      <w:r w:rsidRPr="00C769E6">
        <w:rPr>
          <w:rFonts w:ascii="Bookman Old Style" w:hAnsi="Bookman Old Style"/>
          <w:b/>
          <w:bCs/>
          <w:iCs/>
        </w:rPr>
        <w:t>SENTENCIA No. 176</w:t>
      </w:r>
    </w:p>
    <w:p w14:paraId="4D4CBBC1" w14:textId="77777777" w:rsidR="00EB1DAE" w:rsidRPr="00C769E6" w:rsidRDefault="00EB1DAE" w:rsidP="00C769E6">
      <w:pPr>
        <w:spacing w:line="276" w:lineRule="auto"/>
        <w:ind w:firstLine="0"/>
        <w:rPr>
          <w:rFonts w:ascii="Bookman Old Style" w:hAnsi="Bookman Old Style"/>
          <w:iCs/>
        </w:rPr>
      </w:pPr>
    </w:p>
    <w:p w14:paraId="43498D15" w14:textId="77777777" w:rsidR="00041229" w:rsidRPr="00C769E6" w:rsidRDefault="00041229" w:rsidP="00C769E6">
      <w:pPr>
        <w:pStyle w:val="Prrafodelista"/>
        <w:numPr>
          <w:ilvl w:val="0"/>
          <w:numId w:val="16"/>
        </w:numPr>
        <w:spacing w:line="276" w:lineRule="auto"/>
        <w:ind w:left="284" w:hanging="284"/>
        <w:jc w:val="center"/>
        <w:rPr>
          <w:rFonts w:ascii="Bookman Old Style" w:hAnsi="Bookman Old Style"/>
          <w:b/>
          <w:bCs/>
          <w:iCs/>
        </w:rPr>
      </w:pPr>
      <w:r w:rsidRPr="00C769E6">
        <w:rPr>
          <w:rFonts w:ascii="Bookman Old Style" w:hAnsi="Bookman Old Style"/>
          <w:b/>
          <w:bCs/>
          <w:iCs/>
        </w:rPr>
        <w:t>ANTECEDENTES</w:t>
      </w:r>
    </w:p>
    <w:p w14:paraId="77B63FF5" w14:textId="77777777" w:rsidR="00041229" w:rsidRPr="00C769E6" w:rsidRDefault="00041229" w:rsidP="00C769E6">
      <w:pPr>
        <w:spacing w:line="276" w:lineRule="auto"/>
        <w:ind w:firstLine="0"/>
        <w:rPr>
          <w:rFonts w:ascii="Bookman Old Style" w:hAnsi="Bookman Old Style"/>
          <w:iCs/>
        </w:rPr>
      </w:pPr>
    </w:p>
    <w:p w14:paraId="1BB6022D" w14:textId="6701051D" w:rsidR="00083A94" w:rsidRPr="00C769E6" w:rsidRDefault="00600D0A" w:rsidP="00C769E6">
      <w:pPr>
        <w:spacing w:line="276" w:lineRule="auto"/>
        <w:rPr>
          <w:rFonts w:ascii="Bookman Old Style" w:hAnsi="Bookman Old Style"/>
          <w:iCs/>
        </w:rPr>
      </w:pPr>
      <w:r w:rsidRPr="00C769E6">
        <w:rPr>
          <w:rFonts w:ascii="Bookman Old Style" w:hAnsi="Bookman Old Style"/>
          <w:b/>
          <w:bCs/>
          <w:iCs/>
        </w:rPr>
        <w:t>LUCENY PIMIENTA ALZATE</w:t>
      </w:r>
      <w:r w:rsidRPr="00C769E6">
        <w:rPr>
          <w:rFonts w:ascii="Bookman Old Style" w:hAnsi="Bookman Old Style"/>
          <w:iCs/>
        </w:rPr>
        <w:t xml:space="preserve"> </w:t>
      </w:r>
      <w:r w:rsidR="00923F78" w:rsidRPr="00C769E6">
        <w:rPr>
          <w:rFonts w:ascii="Bookman Old Style" w:hAnsi="Bookman Old Style"/>
          <w:iCs/>
        </w:rPr>
        <w:t xml:space="preserve">solicita que se declare que el 12 de enero de 2013, </w:t>
      </w:r>
      <w:r w:rsidRPr="00C769E6">
        <w:rPr>
          <w:rFonts w:ascii="Bookman Old Style" w:hAnsi="Bookman Old Style"/>
          <w:iCs/>
        </w:rPr>
        <w:t>cumplió los requisitos</w:t>
      </w:r>
      <w:r w:rsidR="00923F78" w:rsidRPr="00C769E6">
        <w:rPr>
          <w:rFonts w:ascii="Bookman Old Style" w:hAnsi="Bookman Old Style"/>
          <w:iCs/>
        </w:rPr>
        <w:t xml:space="preserve"> </w:t>
      </w:r>
      <w:r w:rsidRPr="00C769E6">
        <w:rPr>
          <w:rFonts w:ascii="Bookman Old Style" w:hAnsi="Bookman Old Style"/>
          <w:iCs/>
        </w:rPr>
        <w:t>de edad y tiempo de servicio estipulados en el</w:t>
      </w:r>
      <w:r w:rsidR="00923F78" w:rsidRPr="00C769E6">
        <w:rPr>
          <w:rFonts w:ascii="Bookman Old Style" w:hAnsi="Bookman Old Style"/>
          <w:iCs/>
        </w:rPr>
        <w:t xml:space="preserve"> </w:t>
      </w:r>
      <w:r w:rsidRPr="00C769E6">
        <w:rPr>
          <w:rFonts w:ascii="Bookman Old Style" w:hAnsi="Bookman Old Style"/>
          <w:iCs/>
        </w:rPr>
        <w:t>artículo 98 de la Convención Colectiva de Trabajo celebrada entre el hoy</w:t>
      </w:r>
      <w:r w:rsidR="00923F78" w:rsidRPr="00C769E6">
        <w:rPr>
          <w:rFonts w:ascii="Bookman Old Style" w:hAnsi="Bookman Old Style"/>
          <w:iCs/>
        </w:rPr>
        <w:t xml:space="preserve"> </w:t>
      </w:r>
      <w:r w:rsidRPr="00C769E6">
        <w:rPr>
          <w:rFonts w:ascii="Bookman Old Style" w:hAnsi="Bookman Old Style"/>
          <w:iCs/>
        </w:rPr>
        <w:t>extinto Instituto de Seguros Sociales y el Sindicato de Trabajadores de la</w:t>
      </w:r>
      <w:r w:rsidR="00923F78" w:rsidRPr="00C769E6">
        <w:rPr>
          <w:rFonts w:ascii="Bookman Old Style" w:hAnsi="Bookman Old Style"/>
          <w:iCs/>
        </w:rPr>
        <w:t xml:space="preserve"> </w:t>
      </w:r>
      <w:r w:rsidRPr="00C769E6">
        <w:rPr>
          <w:rFonts w:ascii="Bookman Old Style" w:hAnsi="Bookman Old Style"/>
          <w:iCs/>
        </w:rPr>
        <w:t xml:space="preserve">Seguridad Social </w:t>
      </w:r>
      <w:r w:rsidR="00923F78" w:rsidRPr="00C769E6">
        <w:rPr>
          <w:rFonts w:ascii="Bookman Old Style" w:hAnsi="Bookman Old Style"/>
          <w:iCs/>
        </w:rPr>
        <w:t>–</w:t>
      </w:r>
      <w:r w:rsidRPr="00C769E6">
        <w:rPr>
          <w:rFonts w:ascii="Bookman Old Style" w:hAnsi="Bookman Old Style"/>
          <w:iCs/>
        </w:rPr>
        <w:t xml:space="preserve"> SINTRASEGURIDADSOCIAL</w:t>
      </w:r>
      <w:r w:rsidR="00923F78" w:rsidRPr="00C769E6">
        <w:rPr>
          <w:rFonts w:ascii="Bookman Old Style" w:hAnsi="Bookman Old Style"/>
          <w:iCs/>
        </w:rPr>
        <w:t xml:space="preserve"> </w:t>
      </w:r>
      <w:r w:rsidRPr="00C769E6">
        <w:rPr>
          <w:rFonts w:ascii="Bookman Old Style" w:hAnsi="Bookman Old Style"/>
          <w:iCs/>
        </w:rPr>
        <w:t>2001 - 2004, esto es,</w:t>
      </w:r>
      <w:r w:rsidR="00923F78" w:rsidRPr="00C769E6">
        <w:rPr>
          <w:rFonts w:ascii="Bookman Old Style" w:hAnsi="Bookman Old Style"/>
          <w:iCs/>
        </w:rPr>
        <w:t xml:space="preserve"> </w:t>
      </w:r>
      <w:r w:rsidRPr="00C769E6">
        <w:rPr>
          <w:rFonts w:ascii="Bookman Old Style" w:hAnsi="Bookman Old Style"/>
          <w:iCs/>
        </w:rPr>
        <w:t>cincuenta (50) años y veinte (20) años de servicio</w:t>
      </w:r>
      <w:r w:rsidR="00923F78" w:rsidRPr="00C769E6">
        <w:rPr>
          <w:rFonts w:ascii="Bookman Old Style" w:hAnsi="Bookman Old Style"/>
          <w:iCs/>
        </w:rPr>
        <w:t xml:space="preserve">, habiéndose retirado del servicio desde el 31-03-2015. En consecuencia, aspira a que se condene a </w:t>
      </w:r>
      <w:r w:rsidR="00083A94" w:rsidRPr="00C769E6">
        <w:rPr>
          <w:rFonts w:ascii="Bookman Old Style" w:hAnsi="Bookman Old Style"/>
          <w:iCs/>
        </w:rPr>
        <w:t xml:space="preserve">la </w:t>
      </w:r>
      <w:r w:rsidR="00083A94" w:rsidRPr="00C769E6">
        <w:rPr>
          <w:rFonts w:ascii="Bookman Old Style" w:hAnsi="Bookman Old Style"/>
          <w:b/>
          <w:bCs/>
          <w:iCs/>
        </w:rPr>
        <w:t>UNIDAD ADMINISTRATIVA ESPECIAL DE GESTIÓN PENSIONAL Y CONTRIBUCIONES PARAFISCALES DE LA PROTECCIÓN SOCIAL UGPP</w:t>
      </w:r>
      <w:r w:rsidR="00083A94" w:rsidRPr="00C769E6">
        <w:rPr>
          <w:rFonts w:ascii="Bookman Old Style" w:hAnsi="Bookman Old Style"/>
          <w:iCs/>
        </w:rPr>
        <w:t xml:space="preserve"> </w:t>
      </w:r>
      <w:r w:rsidR="00923F78" w:rsidRPr="00C769E6">
        <w:rPr>
          <w:rFonts w:ascii="Bookman Old Style" w:hAnsi="Bookman Old Style"/>
          <w:iCs/>
        </w:rPr>
        <w:t>al reconocimiento y pago de la pensión de jubilación convencional en un equivalente al 100% del promedio de lo percibido en los tres años de servicio, a partir del 1 de abril de 2015, además de los intereses moratorios y las costas del proceso.</w:t>
      </w:r>
    </w:p>
    <w:p w14:paraId="741C070B" w14:textId="77777777" w:rsidR="00083A94" w:rsidRPr="00C769E6" w:rsidRDefault="00083A94" w:rsidP="00C769E6">
      <w:pPr>
        <w:spacing w:line="276" w:lineRule="auto"/>
        <w:ind w:firstLine="0"/>
        <w:rPr>
          <w:rFonts w:ascii="Bookman Old Style" w:hAnsi="Bookman Old Style"/>
          <w:iCs/>
        </w:rPr>
      </w:pPr>
    </w:p>
    <w:p w14:paraId="79BD1CB2" w14:textId="12F746FD" w:rsidR="00026ACE" w:rsidRPr="00C769E6" w:rsidRDefault="00605C49" w:rsidP="00C769E6">
      <w:pPr>
        <w:spacing w:line="276" w:lineRule="auto"/>
        <w:rPr>
          <w:rFonts w:ascii="Bookman Old Style" w:hAnsi="Bookman Old Style"/>
          <w:iCs/>
        </w:rPr>
      </w:pPr>
      <w:r w:rsidRPr="00C769E6">
        <w:rPr>
          <w:rFonts w:ascii="Bookman Old Style" w:hAnsi="Bookman Old Style"/>
          <w:iCs/>
        </w:rPr>
        <w:t xml:space="preserve">En sustento de dichas pretensiones, refiere el accionante </w:t>
      </w:r>
      <w:r w:rsidR="005537AD" w:rsidRPr="00C769E6">
        <w:rPr>
          <w:rFonts w:ascii="Bookman Old Style" w:hAnsi="Bookman Old Style"/>
          <w:iCs/>
        </w:rPr>
        <w:t xml:space="preserve">que </w:t>
      </w:r>
      <w:r w:rsidRPr="00C769E6">
        <w:rPr>
          <w:rFonts w:ascii="Bookman Old Style" w:hAnsi="Bookman Old Style"/>
          <w:iCs/>
        </w:rPr>
        <w:t xml:space="preserve">nació el </w:t>
      </w:r>
      <w:r w:rsidR="005537AD" w:rsidRPr="00C769E6">
        <w:rPr>
          <w:rFonts w:ascii="Bookman Old Style" w:hAnsi="Bookman Old Style"/>
          <w:iCs/>
        </w:rPr>
        <w:t xml:space="preserve">17-02-1961, acreditando en 2011 </w:t>
      </w:r>
      <w:r w:rsidR="00026ACE" w:rsidRPr="00C769E6">
        <w:rPr>
          <w:rFonts w:ascii="Bookman Old Style" w:hAnsi="Bookman Old Style"/>
          <w:iCs/>
        </w:rPr>
        <w:t xml:space="preserve">los </w:t>
      </w:r>
      <w:r w:rsidRPr="00C769E6">
        <w:rPr>
          <w:rFonts w:ascii="Bookman Old Style" w:hAnsi="Bookman Old Style"/>
          <w:iCs/>
        </w:rPr>
        <w:t>50 años</w:t>
      </w:r>
      <w:r w:rsidR="005537AD" w:rsidRPr="00C769E6">
        <w:rPr>
          <w:rFonts w:ascii="Bookman Old Style" w:hAnsi="Bookman Old Style"/>
          <w:iCs/>
        </w:rPr>
        <w:t xml:space="preserve">; que en certificación </w:t>
      </w:r>
      <w:r w:rsidRPr="00C769E6">
        <w:rPr>
          <w:rFonts w:ascii="Bookman Old Style" w:hAnsi="Bookman Old Style"/>
          <w:iCs/>
        </w:rPr>
        <w:t xml:space="preserve">del </w:t>
      </w:r>
      <w:r w:rsidR="005537AD" w:rsidRPr="00C769E6">
        <w:rPr>
          <w:rFonts w:ascii="Bookman Old Style" w:hAnsi="Bookman Old Style"/>
          <w:iCs/>
        </w:rPr>
        <w:t>23-02-</w:t>
      </w:r>
      <w:r w:rsidR="005537AD" w:rsidRPr="00C769E6">
        <w:rPr>
          <w:rFonts w:ascii="Bookman Old Style" w:hAnsi="Bookman Old Style"/>
          <w:iCs/>
        </w:rPr>
        <w:lastRenderedPageBreak/>
        <w:t xml:space="preserve">2017 expedida por el </w:t>
      </w:r>
      <w:r w:rsidRPr="00C769E6">
        <w:rPr>
          <w:rFonts w:ascii="Bookman Old Style" w:hAnsi="Bookman Old Style"/>
          <w:iCs/>
        </w:rPr>
        <w:t xml:space="preserve">Coordinador </w:t>
      </w:r>
      <w:r w:rsidR="008C5D88" w:rsidRPr="00C769E6">
        <w:rPr>
          <w:rFonts w:ascii="Bookman Old Style" w:hAnsi="Bookman Old Style"/>
          <w:iCs/>
        </w:rPr>
        <w:t xml:space="preserve">del </w:t>
      </w:r>
      <w:r w:rsidRPr="00C769E6">
        <w:rPr>
          <w:rFonts w:ascii="Bookman Old Style" w:hAnsi="Bookman Old Style"/>
          <w:iCs/>
        </w:rPr>
        <w:t>Grupo Administrativo</w:t>
      </w:r>
      <w:r w:rsidR="005537AD" w:rsidRPr="00C769E6">
        <w:rPr>
          <w:rFonts w:ascii="Bookman Old Style" w:hAnsi="Bookman Old Style"/>
          <w:iCs/>
        </w:rPr>
        <w:t xml:space="preserve"> </w:t>
      </w:r>
      <w:r w:rsidRPr="00C769E6">
        <w:rPr>
          <w:rFonts w:ascii="Bookman Old Style" w:hAnsi="Bookman Old Style"/>
          <w:iCs/>
        </w:rPr>
        <w:t xml:space="preserve">de Entidades Liquidadas, </w:t>
      </w:r>
      <w:r w:rsidR="005537AD" w:rsidRPr="00C769E6">
        <w:rPr>
          <w:rFonts w:ascii="Bookman Old Style" w:hAnsi="Bookman Old Style"/>
          <w:iCs/>
        </w:rPr>
        <w:t>se hizo constar que la accionante laboró para el extinto ISS entre el 12-01-1993 y el 31-03-2015, esto es, por un lapso de 22 años, 2 meses y 20 días</w:t>
      </w:r>
      <w:r w:rsidR="00026ACE" w:rsidRPr="00C769E6">
        <w:rPr>
          <w:rFonts w:ascii="Bookman Old Style" w:hAnsi="Bookman Old Style"/>
          <w:iCs/>
        </w:rPr>
        <w:t xml:space="preserve">. Agrega que desde el 25-05-1994 se afilió a </w:t>
      </w:r>
      <w:r w:rsidRPr="00C769E6">
        <w:rPr>
          <w:rFonts w:ascii="Bookman Old Style" w:hAnsi="Bookman Old Style"/>
          <w:iCs/>
        </w:rPr>
        <w:t>SINTRASEGURIDADSOCIAL</w:t>
      </w:r>
      <w:r w:rsidR="00026ACE" w:rsidRPr="00C769E6">
        <w:rPr>
          <w:rFonts w:ascii="Bookman Old Style" w:hAnsi="Bookman Old Style"/>
          <w:iCs/>
        </w:rPr>
        <w:t>, siendo miembro activo de dicha asociación sindical al momento de la terminación del vínculo laboral</w:t>
      </w:r>
      <w:r w:rsidR="00286B27" w:rsidRPr="00C769E6">
        <w:rPr>
          <w:rFonts w:ascii="Bookman Old Style" w:hAnsi="Bookman Old Style"/>
          <w:iCs/>
        </w:rPr>
        <w:t xml:space="preserve"> y</w:t>
      </w:r>
      <w:r w:rsidR="00330A73" w:rsidRPr="00C769E6">
        <w:rPr>
          <w:rFonts w:ascii="Bookman Old Style" w:hAnsi="Bookman Old Style"/>
          <w:iCs/>
        </w:rPr>
        <w:t>,</w:t>
      </w:r>
      <w:r w:rsidR="00286B27" w:rsidRPr="00C769E6">
        <w:rPr>
          <w:rFonts w:ascii="Bookman Old Style" w:hAnsi="Bookman Old Style"/>
          <w:iCs/>
        </w:rPr>
        <w:t xml:space="preserve"> por tanto, beneficiaria de la convención colectiva 2001-2004.</w:t>
      </w:r>
    </w:p>
    <w:p w14:paraId="6B7ED86A" w14:textId="6702C828" w:rsidR="00605C49" w:rsidRPr="00C769E6" w:rsidRDefault="00605C49" w:rsidP="00C769E6">
      <w:pPr>
        <w:spacing w:line="276" w:lineRule="auto"/>
        <w:ind w:firstLine="0"/>
        <w:rPr>
          <w:rFonts w:ascii="Bookman Old Style" w:hAnsi="Bookman Old Style"/>
          <w:iCs/>
        </w:rPr>
      </w:pPr>
    </w:p>
    <w:p w14:paraId="13348DB0" w14:textId="16D5295E" w:rsidR="00330A73" w:rsidRPr="00C769E6" w:rsidRDefault="00330A73" w:rsidP="00C769E6">
      <w:pPr>
        <w:spacing w:line="276" w:lineRule="auto"/>
        <w:rPr>
          <w:rFonts w:ascii="Bookman Old Style" w:hAnsi="Bookman Old Style"/>
          <w:iCs/>
        </w:rPr>
      </w:pPr>
      <w:bookmarkStart w:id="4" w:name="bookmark0"/>
      <w:r w:rsidRPr="00C769E6">
        <w:rPr>
          <w:rFonts w:ascii="Bookman Old Style" w:hAnsi="Bookman Old Style"/>
          <w:iCs/>
        </w:rPr>
        <w:t xml:space="preserve">Agrega, </w:t>
      </w:r>
      <w:bookmarkEnd w:id="4"/>
      <w:r w:rsidRPr="00C769E6">
        <w:rPr>
          <w:rFonts w:ascii="Bookman Old Style" w:hAnsi="Bookman Old Style"/>
          <w:iCs/>
        </w:rPr>
        <w:t>que el</w:t>
      </w:r>
      <w:bookmarkStart w:id="5" w:name="bookmark1"/>
      <w:r w:rsidRPr="00C769E6">
        <w:rPr>
          <w:rFonts w:ascii="Bookman Old Style" w:hAnsi="Bookman Old Style"/>
          <w:iCs/>
        </w:rPr>
        <w:t xml:space="preserve"> artículo </w:t>
      </w:r>
      <w:bookmarkStart w:id="6" w:name="bookmark2"/>
      <w:bookmarkEnd w:id="5"/>
      <w:r w:rsidRPr="00C769E6">
        <w:rPr>
          <w:rFonts w:ascii="Bookman Old Style" w:hAnsi="Bookman Old Style"/>
          <w:iCs/>
        </w:rPr>
        <w:t xml:space="preserve">98 de la convención, </w:t>
      </w:r>
      <w:r w:rsidR="001E711D" w:rsidRPr="00C769E6">
        <w:rPr>
          <w:rFonts w:ascii="Bookman Old Style" w:hAnsi="Bookman Old Style"/>
          <w:iCs/>
        </w:rPr>
        <w:t xml:space="preserve">el cual se encuentra vigente, </w:t>
      </w:r>
      <w:r w:rsidRPr="00C769E6">
        <w:rPr>
          <w:rFonts w:ascii="Bookman Old Style" w:hAnsi="Bookman Old Style"/>
          <w:iCs/>
        </w:rPr>
        <w:t xml:space="preserve">consagró la pensión de jubilación para </w:t>
      </w:r>
      <w:bookmarkEnd w:id="6"/>
      <w:r w:rsidRPr="00C769E6">
        <w:rPr>
          <w:rFonts w:ascii="Bookman Old Style" w:hAnsi="Bookman Old Style"/>
          <w:iCs/>
        </w:rPr>
        <w:t xml:space="preserve">los trabajadores oficiales que cumplieran 20 años de servicio continuo o discontinuo al ISS y llegara a la edad de 50 años, en el caso de las mujeres, en cuantía del 100% del promedio de lo percibido </w:t>
      </w:r>
      <w:r w:rsidR="001E711D" w:rsidRPr="00C769E6">
        <w:rPr>
          <w:rFonts w:ascii="Bookman Old Style" w:hAnsi="Bookman Old Style"/>
          <w:iCs/>
        </w:rPr>
        <w:t xml:space="preserve">en los tres últimos años de servicios, tras haberse jubilado </w:t>
      </w:r>
      <w:r w:rsidRPr="00C769E6">
        <w:rPr>
          <w:rFonts w:ascii="Bookman Old Style" w:hAnsi="Bookman Old Style"/>
          <w:iCs/>
        </w:rPr>
        <w:t xml:space="preserve">entre el </w:t>
      </w:r>
      <w:r w:rsidR="001E711D" w:rsidRPr="00C769E6">
        <w:rPr>
          <w:rFonts w:ascii="Bookman Old Style" w:hAnsi="Bookman Old Style"/>
          <w:iCs/>
        </w:rPr>
        <w:t>01-01-2007 y el 31-12-2016.</w:t>
      </w:r>
    </w:p>
    <w:p w14:paraId="68D54A15" w14:textId="5987F6A2" w:rsidR="001E711D" w:rsidRPr="00C769E6" w:rsidRDefault="001E711D" w:rsidP="00C769E6">
      <w:pPr>
        <w:spacing w:line="276" w:lineRule="auto"/>
        <w:ind w:firstLine="0"/>
        <w:rPr>
          <w:rFonts w:ascii="Bookman Old Style" w:hAnsi="Bookman Old Style"/>
          <w:iCs/>
        </w:rPr>
      </w:pPr>
    </w:p>
    <w:p w14:paraId="500D95B1" w14:textId="2E85CDF4" w:rsidR="001E711D" w:rsidRPr="00C769E6" w:rsidRDefault="001E711D" w:rsidP="00C769E6">
      <w:pPr>
        <w:spacing w:line="276" w:lineRule="auto"/>
        <w:rPr>
          <w:rFonts w:ascii="Bookman Old Style" w:hAnsi="Bookman Old Style"/>
          <w:iCs/>
        </w:rPr>
      </w:pPr>
      <w:r w:rsidRPr="00C769E6">
        <w:rPr>
          <w:rFonts w:ascii="Bookman Old Style" w:hAnsi="Bookman Old Style"/>
          <w:iCs/>
        </w:rPr>
        <w:t>Culmina informando que el 25-09-2014 reclamó ante la UGPP el reconocimiento y pago de la pensión de jubilación convencional, pero con la resolución RDP010587 del 18-03-2015 le fue negada la prestación arguyendo la inaplicabilidad de la convención (art. 98) en virtud del A.L 01 de 2005.</w:t>
      </w:r>
    </w:p>
    <w:p w14:paraId="5E3ACBF3" w14:textId="10AF1FF8" w:rsidR="001E711D" w:rsidRPr="00C769E6" w:rsidRDefault="001E711D" w:rsidP="00C769E6">
      <w:pPr>
        <w:spacing w:line="276" w:lineRule="auto"/>
        <w:ind w:firstLine="0"/>
        <w:rPr>
          <w:rFonts w:ascii="Bookman Old Style" w:hAnsi="Bookman Old Style"/>
          <w:iCs/>
        </w:rPr>
      </w:pPr>
    </w:p>
    <w:p w14:paraId="296A15C8" w14:textId="1F181477" w:rsidR="001E711D" w:rsidRPr="00C769E6" w:rsidRDefault="00692A34" w:rsidP="00C769E6">
      <w:pPr>
        <w:spacing w:line="276" w:lineRule="auto"/>
        <w:rPr>
          <w:rFonts w:ascii="Bookman Old Style" w:hAnsi="Bookman Old Style"/>
          <w:iCs/>
        </w:rPr>
      </w:pPr>
      <w:r w:rsidRPr="00C769E6">
        <w:rPr>
          <w:rFonts w:ascii="Bookman Old Style" w:hAnsi="Bookman Old Style"/>
          <w:iCs/>
        </w:rPr>
        <w:t>La demanda fue presentada el 18-01-2021 y admitida por auto del 12-02-2021.</w:t>
      </w:r>
    </w:p>
    <w:p w14:paraId="79D5CDC1" w14:textId="1A434B9E" w:rsidR="00DD0840" w:rsidRPr="00C769E6" w:rsidRDefault="00DD0840" w:rsidP="00C769E6">
      <w:pPr>
        <w:spacing w:line="276" w:lineRule="auto"/>
        <w:ind w:firstLine="0"/>
        <w:rPr>
          <w:rFonts w:ascii="Bookman Old Style" w:hAnsi="Bookman Old Style"/>
          <w:iCs/>
        </w:rPr>
      </w:pPr>
    </w:p>
    <w:p w14:paraId="22B8B275" w14:textId="726D9248" w:rsidR="00DD0840" w:rsidRPr="00C769E6" w:rsidRDefault="00DD0840" w:rsidP="00C769E6">
      <w:pPr>
        <w:spacing w:line="276" w:lineRule="auto"/>
        <w:rPr>
          <w:rFonts w:ascii="Bookman Old Style" w:hAnsi="Bookman Old Style"/>
          <w:iCs/>
        </w:rPr>
      </w:pPr>
      <w:r w:rsidRPr="00C769E6">
        <w:rPr>
          <w:rFonts w:ascii="Bookman Old Style" w:hAnsi="Bookman Old Style"/>
          <w:iCs/>
        </w:rPr>
        <w:t xml:space="preserve">La </w:t>
      </w:r>
      <w:r w:rsidRPr="00C769E6">
        <w:rPr>
          <w:rFonts w:ascii="Bookman Old Style" w:hAnsi="Bookman Old Style"/>
          <w:b/>
          <w:bCs/>
          <w:iCs/>
        </w:rPr>
        <w:t>UNIDAD ADMINISTRATIVA ESPECIAL DE GESTIÓN PENSIONAL Y CONTRIBUCIONES PARAFISCALES DE LA PROTECCIÓN SOCIAL UGPP</w:t>
      </w:r>
      <w:r w:rsidRPr="00C769E6">
        <w:rPr>
          <w:rFonts w:ascii="Bookman Old Style" w:hAnsi="Bookman Old Style"/>
          <w:iCs/>
        </w:rPr>
        <w:t xml:space="preserve"> al contestar se opuso a lo pretendido</w:t>
      </w:r>
      <w:r w:rsidRPr="00C769E6">
        <w:rPr>
          <w:rFonts w:ascii="Bookman Old Style" w:hAnsi="Bookman Old Style"/>
          <w:iCs/>
        </w:rPr>
        <w:footnoteReference w:id="1"/>
      </w:r>
      <w:r w:rsidRPr="00C769E6">
        <w:rPr>
          <w:rFonts w:ascii="Bookman Old Style" w:hAnsi="Bookman Old Style"/>
          <w:iCs/>
        </w:rPr>
        <w:t xml:space="preserve"> </w:t>
      </w:r>
      <w:r w:rsidR="00673EDA" w:rsidRPr="00C769E6">
        <w:rPr>
          <w:rFonts w:ascii="Bookman Old Style" w:hAnsi="Bookman Old Style"/>
          <w:iCs/>
        </w:rPr>
        <w:t xml:space="preserve">al considerar que </w:t>
      </w:r>
      <w:r w:rsidR="00E6678C" w:rsidRPr="00C769E6">
        <w:rPr>
          <w:rFonts w:ascii="Bookman Old Style" w:hAnsi="Bookman Old Style"/>
          <w:iCs/>
        </w:rPr>
        <w:t xml:space="preserve">la </w:t>
      </w:r>
      <w:r w:rsidR="008C5D88" w:rsidRPr="00C769E6">
        <w:rPr>
          <w:rFonts w:ascii="Bookman Old Style" w:hAnsi="Bookman Old Style"/>
          <w:iCs/>
        </w:rPr>
        <w:t xml:space="preserve">razón </w:t>
      </w:r>
      <w:r w:rsidR="00E6678C" w:rsidRPr="00C769E6">
        <w:rPr>
          <w:rFonts w:ascii="Bookman Old Style" w:hAnsi="Bookman Old Style"/>
          <w:iCs/>
        </w:rPr>
        <w:t>de la negativa fue</w:t>
      </w:r>
      <w:r w:rsidR="00673EDA" w:rsidRPr="00C769E6">
        <w:rPr>
          <w:rFonts w:ascii="Bookman Old Style" w:hAnsi="Bookman Old Style"/>
          <w:iCs/>
        </w:rPr>
        <w:t xml:space="preserve"> acorde al ordenamiento legal</w:t>
      </w:r>
      <w:r w:rsidR="00E6678C" w:rsidRPr="00C769E6">
        <w:rPr>
          <w:rFonts w:ascii="Bookman Old Style" w:hAnsi="Bookman Old Style"/>
          <w:iCs/>
        </w:rPr>
        <w:t xml:space="preserve">. Excepciona </w:t>
      </w:r>
      <w:r w:rsidR="00E6678C" w:rsidRPr="00C769E6">
        <w:rPr>
          <w:rFonts w:ascii="Bookman Old Style" w:hAnsi="Bookman Old Style"/>
          <w:b/>
          <w:iCs/>
        </w:rPr>
        <w:t>inexistencia de la obligación y cobro de lo no debido, buena fe, prescripción y genéricas</w:t>
      </w:r>
      <w:r w:rsidR="00E6678C" w:rsidRPr="00C769E6">
        <w:rPr>
          <w:rFonts w:ascii="Bookman Old Style" w:hAnsi="Bookman Old Style"/>
          <w:iCs/>
        </w:rPr>
        <w:t>.</w:t>
      </w:r>
    </w:p>
    <w:p w14:paraId="2603F0C9" w14:textId="31FF84DB" w:rsidR="00D630C6" w:rsidRPr="00C769E6" w:rsidRDefault="00D630C6" w:rsidP="00C769E6">
      <w:pPr>
        <w:spacing w:line="276" w:lineRule="auto"/>
        <w:ind w:firstLine="0"/>
        <w:rPr>
          <w:rFonts w:ascii="Bookman Old Style" w:hAnsi="Bookman Old Style"/>
          <w:iCs/>
        </w:rPr>
      </w:pPr>
    </w:p>
    <w:p w14:paraId="68A0D84E" w14:textId="77777777" w:rsidR="00041229" w:rsidRPr="00C769E6" w:rsidRDefault="00041229" w:rsidP="00C769E6">
      <w:pPr>
        <w:pStyle w:val="Prrafodelista"/>
        <w:numPr>
          <w:ilvl w:val="0"/>
          <w:numId w:val="16"/>
        </w:numPr>
        <w:spacing w:line="276" w:lineRule="auto"/>
        <w:jc w:val="center"/>
        <w:rPr>
          <w:rFonts w:ascii="Bookman Old Style" w:hAnsi="Bookman Old Style"/>
          <w:b/>
          <w:bCs/>
          <w:iCs/>
        </w:rPr>
      </w:pPr>
      <w:r w:rsidRPr="00C769E6">
        <w:rPr>
          <w:rFonts w:ascii="Bookman Old Style" w:hAnsi="Bookman Old Style"/>
          <w:b/>
          <w:bCs/>
          <w:iCs/>
        </w:rPr>
        <w:t>SENTENCIA DE PRIMERA INSTANCIA</w:t>
      </w:r>
    </w:p>
    <w:p w14:paraId="7D9729F5" w14:textId="77777777" w:rsidR="00041229" w:rsidRPr="00C769E6" w:rsidRDefault="00041229" w:rsidP="00C769E6">
      <w:pPr>
        <w:spacing w:line="276" w:lineRule="auto"/>
        <w:ind w:firstLine="0"/>
        <w:rPr>
          <w:rFonts w:ascii="Bookman Old Style" w:hAnsi="Bookman Old Style"/>
          <w:iCs/>
        </w:rPr>
      </w:pPr>
    </w:p>
    <w:p w14:paraId="692F12F0" w14:textId="7AB3854F" w:rsidR="00E43020" w:rsidRPr="00C769E6" w:rsidRDefault="00E43020" w:rsidP="00C769E6">
      <w:pPr>
        <w:spacing w:line="276" w:lineRule="auto"/>
        <w:rPr>
          <w:rFonts w:ascii="Bookman Old Style" w:hAnsi="Bookman Old Style"/>
          <w:iCs/>
        </w:rPr>
      </w:pPr>
      <w:r w:rsidRPr="00C769E6">
        <w:rPr>
          <w:rFonts w:ascii="Bookman Old Style" w:hAnsi="Bookman Old Style"/>
          <w:iCs/>
        </w:rPr>
        <w:t xml:space="preserve">Mediante fallo del 17 de noviembre de 2021, el juzgado tercero laboral del circuito de </w:t>
      </w:r>
      <w:r w:rsidR="00C90E3E" w:rsidRPr="00C769E6">
        <w:rPr>
          <w:rFonts w:ascii="Bookman Old Style" w:hAnsi="Bookman Old Style"/>
          <w:iCs/>
        </w:rPr>
        <w:t>Pereira</w:t>
      </w:r>
      <w:r w:rsidRPr="00C769E6">
        <w:rPr>
          <w:rFonts w:ascii="Bookman Old Style" w:hAnsi="Bookman Old Style"/>
          <w:iCs/>
        </w:rPr>
        <w:t xml:space="preserve"> dispuso:</w:t>
      </w:r>
    </w:p>
    <w:p w14:paraId="142F4583" w14:textId="77777777" w:rsidR="00E43020" w:rsidRPr="00C769E6" w:rsidRDefault="00E43020" w:rsidP="00C769E6">
      <w:pPr>
        <w:spacing w:line="276" w:lineRule="auto"/>
        <w:ind w:firstLine="0"/>
        <w:rPr>
          <w:rFonts w:ascii="Bookman Old Style" w:hAnsi="Bookman Old Style"/>
          <w:iCs/>
        </w:rPr>
      </w:pPr>
    </w:p>
    <w:p w14:paraId="7FEA0445" w14:textId="7D95D45A" w:rsidR="00E43020" w:rsidRPr="006E39CC" w:rsidRDefault="00E43020" w:rsidP="006E39CC">
      <w:pPr>
        <w:spacing w:line="240" w:lineRule="auto"/>
        <w:ind w:left="426" w:right="420" w:firstLine="0"/>
        <w:rPr>
          <w:rFonts w:ascii="Bookman Old Style" w:hAnsi="Bookman Old Style"/>
          <w:iCs/>
          <w:sz w:val="22"/>
        </w:rPr>
      </w:pPr>
      <w:r w:rsidRPr="006E39CC">
        <w:rPr>
          <w:rFonts w:ascii="Bookman Old Style" w:hAnsi="Bookman Old Style"/>
          <w:iCs/>
          <w:sz w:val="22"/>
        </w:rPr>
        <w:t>PRIMERO: Declarar que la señora LUCENY PIMIENTA ALZATE es beneficiaria de la aplicación de la convención colectiva suscrita entre el extinto ISS y el Sindicato Nacional de la Seguridad Social SINTRASEGURIDADSOCIAL, con vigencia entre 2001 y 2004 especialmente en lo que tiene que ver con el artículo 98, relacionado con la pensión de jubilación, en los términos indicados precedentemente.</w:t>
      </w:r>
    </w:p>
    <w:p w14:paraId="400887C5" w14:textId="77777777" w:rsidR="00E43020" w:rsidRPr="006E39CC" w:rsidRDefault="00E43020" w:rsidP="006E39CC">
      <w:pPr>
        <w:spacing w:line="240" w:lineRule="auto"/>
        <w:ind w:left="426" w:right="420" w:firstLine="0"/>
        <w:rPr>
          <w:rFonts w:ascii="Bookman Old Style" w:hAnsi="Bookman Old Style"/>
          <w:iCs/>
          <w:sz w:val="22"/>
        </w:rPr>
      </w:pPr>
    </w:p>
    <w:p w14:paraId="7CC99437" w14:textId="4907D3A4" w:rsidR="00E43020" w:rsidRPr="006E39CC" w:rsidRDefault="00E43020" w:rsidP="006E39CC">
      <w:pPr>
        <w:spacing w:line="240" w:lineRule="auto"/>
        <w:ind w:left="426" w:right="420" w:firstLine="0"/>
        <w:rPr>
          <w:rFonts w:ascii="Bookman Old Style" w:hAnsi="Bookman Old Style"/>
          <w:iCs/>
          <w:sz w:val="22"/>
        </w:rPr>
      </w:pPr>
      <w:r w:rsidRPr="006E39CC">
        <w:rPr>
          <w:rFonts w:ascii="Bookman Old Style" w:hAnsi="Bookman Old Style"/>
          <w:iCs/>
          <w:sz w:val="22"/>
        </w:rPr>
        <w:t xml:space="preserve">SEGUNDO: Declarar que la señora LUCENY PIMIENTA ALZATE obtiene el reconocimiento de la pensión de jubilación convencional con efectividad a partir del día 18 de enero del año 2018 </w:t>
      </w:r>
    </w:p>
    <w:p w14:paraId="076ED773" w14:textId="77777777" w:rsidR="00E43020" w:rsidRPr="006E39CC" w:rsidRDefault="00E43020" w:rsidP="006E39CC">
      <w:pPr>
        <w:spacing w:line="240" w:lineRule="auto"/>
        <w:ind w:left="426" w:right="420" w:firstLine="0"/>
        <w:rPr>
          <w:rFonts w:ascii="Bookman Old Style" w:hAnsi="Bookman Old Style"/>
          <w:iCs/>
          <w:sz w:val="22"/>
        </w:rPr>
      </w:pPr>
    </w:p>
    <w:p w14:paraId="6D2B29D4" w14:textId="2D526E07" w:rsidR="00E43020" w:rsidRPr="006E39CC" w:rsidRDefault="00E43020" w:rsidP="006E39CC">
      <w:pPr>
        <w:spacing w:line="240" w:lineRule="auto"/>
        <w:ind w:left="426" w:right="420" w:firstLine="0"/>
        <w:rPr>
          <w:rFonts w:ascii="Bookman Old Style" w:hAnsi="Bookman Old Style"/>
          <w:iCs/>
          <w:sz w:val="22"/>
        </w:rPr>
      </w:pPr>
      <w:r w:rsidRPr="006E39CC">
        <w:rPr>
          <w:rFonts w:ascii="Bookman Old Style" w:hAnsi="Bookman Old Style"/>
          <w:iCs/>
          <w:sz w:val="22"/>
        </w:rPr>
        <w:t xml:space="preserve">TERCERO: Precisarle a la UNIDAD ADMINISTRATIVA ESPECIAL DE </w:t>
      </w:r>
      <w:r w:rsidR="00BD257E" w:rsidRPr="006E39CC">
        <w:rPr>
          <w:rFonts w:ascii="Bookman Old Style" w:hAnsi="Bookman Old Style"/>
          <w:iCs/>
          <w:sz w:val="22"/>
        </w:rPr>
        <w:t>GESTIÓN</w:t>
      </w:r>
      <w:r w:rsidRPr="006E39CC">
        <w:rPr>
          <w:rFonts w:ascii="Bookman Old Style" w:hAnsi="Bookman Old Style"/>
          <w:iCs/>
          <w:sz w:val="22"/>
        </w:rPr>
        <w:t xml:space="preserve"> PENSIONAL Y CONTRIBUCIONES PARAFISCALES DE LA PROTECCIÓN SOCIAL UGGP, que la liquidación corresponde al promedio de lo percibido en el tiempo correspondiente a los tres últimos años de </w:t>
      </w:r>
      <w:r w:rsidRPr="006E39CC">
        <w:rPr>
          <w:rFonts w:ascii="Bookman Old Style" w:hAnsi="Bookman Old Style"/>
          <w:iCs/>
          <w:sz w:val="22"/>
        </w:rPr>
        <w:lastRenderedPageBreak/>
        <w:t xml:space="preserve">prestación del servicio, esto es, entre el 31 de marzo del año 2012 y el 31 de marzo del año 2015. </w:t>
      </w:r>
    </w:p>
    <w:p w14:paraId="743DC506" w14:textId="77777777" w:rsidR="00E43020" w:rsidRPr="006E39CC" w:rsidRDefault="00E43020" w:rsidP="006E39CC">
      <w:pPr>
        <w:spacing w:line="240" w:lineRule="auto"/>
        <w:ind w:left="426" w:right="420" w:firstLine="0"/>
        <w:rPr>
          <w:rFonts w:ascii="Bookman Old Style" w:hAnsi="Bookman Old Style"/>
          <w:iCs/>
          <w:sz w:val="22"/>
        </w:rPr>
      </w:pPr>
    </w:p>
    <w:p w14:paraId="1DA3C335" w14:textId="3343BF1F" w:rsidR="00E43020" w:rsidRPr="006E39CC" w:rsidRDefault="00E43020" w:rsidP="006E39CC">
      <w:pPr>
        <w:spacing w:line="240" w:lineRule="auto"/>
        <w:ind w:left="426" w:right="420" w:firstLine="0"/>
        <w:rPr>
          <w:rFonts w:ascii="Bookman Old Style" w:hAnsi="Bookman Old Style"/>
          <w:iCs/>
          <w:sz w:val="22"/>
        </w:rPr>
      </w:pPr>
      <w:r w:rsidRPr="006E39CC">
        <w:rPr>
          <w:rFonts w:ascii="Bookman Old Style" w:hAnsi="Bookman Old Style"/>
          <w:iCs/>
          <w:sz w:val="22"/>
        </w:rPr>
        <w:t xml:space="preserve">CUARTO: Ordenarle a la UGPP que cancele el retroactivo pensional causado a favor de la señora LUCENY PIMIENTA ALZATE, verificando la existencia de la pensión legal de vejez que haya podido recibir la señora PIMIENTA ALZATE. </w:t>
      </w:r>
    </w:p>
    <w:p w14:paraId="58D2A599" w14:textId="77777777" w:rsidR="00E43020" w:rsidRPr="006E39CC" w:rsidRDefault="00E43020" w:rsidP="006E39CC">
      <w:pPr>
        <w:spacing w:line="240" w:lineRule="auto"/>
        <w:ind w:left="426" w:right="420" w:firstLine="0"/>
        <w:rPr>
          <w:rFonts w:ascii="Bookman Old Style" w:hAnsi="Bookman Old Style"/>
          <w:iCs/>
          <w:sz w:val="22"/>
        </w:rPr>
      </w:pPr>
    </w:p>
    <w:p w14:paraId="2DDBABF7" w14:textId="62FD877D" w:rsidR="00E43020" w:rsidRPr="006E39CC" w:rsidRDefault="00E43020" w:rsidP="006E39CC">
      <w:pPr>
        <w:spacing w:line="240" w:lineRule="auto"/>
        <w:ind w:left="426" w:right="420" w:firstLine="0"/>
        <w:rPr>
          <w:rFonts w:ascii="Bookman Old Style" w:hAnsi="Bookman Old Style"/>
          <w:iCs/>
          <w:sz w:val="22"/>
        </w:rPr>
      </w:pPr>
      <w:r w:rsidRPr="006E39CC">
        <w:rPr>
          <w:rFonts w:ascii="Bookman Old Style" w:hAnsi="Bookman Old Style"/>
          <w:iCs/>
          <w:sz w:val="22"/>
        </w:rPr>
        <w:t xml:space="preserve">QUINTO: Declarar probada en forma parcial la excepción de prescripción que fue planteada por la UGPP. </w:t>
      </w:r>
    </w:p>
    <w:p w14:paraId="22C6B9D0" w14:textId="77777777" w:rsidR="00E43020" w:rsidRPr="006E39CC" w:rsidRDefault="00E43020" w:rsidP="006E39CC">
      <w:pPr>
        <w:spacing w:line="240" w:lineRule="auto"/>
        <w:ind w:left="426" w:right="420" w:firstLine="0"/>
        <w:rPr>
          <w:rFonts w:ascii="Bookman Old Style" w:hAnsi="Bookman Old Style"/>
          <w:iCs/>
          <w:sz w:val="22"/>
        </w:rPr>
      </w:pPr>
    </w:p>
    <w:p w14:paraId="25F74806" w14:textId="6A73F39E" w:rsidR="00E43020" w:rsidRPr="006E39CC" w:rsidRDefault="00E43020" w:rsidP="006E39CC">
      <w:pPr>
        <w:spacing w:line="240" w:lineRule="auto"/>
        <w:ind w:left="426" w:right="420" w:firstLine="0"/>
        <w:rPr>
          <w:rFonts w:ascii="Bookman Old Style" w:hAnsi="Bookman Old Style"/>
          <w:iCs/>
          <w:sz w:val="22"/>
        </w:rPr>
      </w:pPr>
      <w:r w:rsidRPr="006E39CC">
        <w:rPr>
          <w:rFonts w:ascii="Bookman Old Style" w:hAnsi="Bookman Old Style"/>
          <w:iCs/>
          <w:sz w:val="22"/>
        </w:rPr>
        <w:t>SEXTO: declarar no probadas las demás excepciones que se enumeraron por la UGPP.</w:t>
      </w:r>
    </w:p>
    <w:p w14:paraId="4C2D2CA5" w14:textId="77777777" w:rsidR="00E43020" w:rsidRPr="006E39CC" w:rsidRDefault="00E43020" w:rsidP="006E39CC">
      <w:pPr>
        <w:spacing w:line="240" w:lineRule="auto"/>
        <w:ind w:left="426" w:right="420" w:firstLine="0"/>
        <w:rPr>
          <w:rFonts w:ascii="Bookman Old Style" w:hAnsi="Bookman Old Style"/>
          <w:iCs/>
          <w:sz w:val="22"/>
        </w:rPr>
      </w:pPr>
    </w:p>
    <w:p w14:paraId="0E5410D4" w14:textId="7D55E34A" w:rsidR="00E43020" w:rsidRPr="006E39CC" w:rsidRDefault="00E43020" w:rsidP="006E39CC">
      <w:pPr>
        <w:spacing w:line="240" w:lineRule="auto"/>
        <w:ind w:left="426" w:right="420" w:firstLine="0"/>
        <w:rPr>
          <w:rFonts w:ascii="Bookman Old Style" w:hAnsi="Bookman Old Style"/>
          <w:iCs/>
          <w:sz w:val="22"/>
        </w:rPr>
      </w:pPr>
      <w:r w:rsidRPr="006E39CC">
        <w:rPr>
          <w:rFonts w:ascii="Bookman Old Style" w:hAnsi="Bookman Old Style"/>
          <w:iCs/>
          <w:sz w:val="22"/>
        </w:rPr>
        <w:t>SÉPTIMO: Condenar en costas procesales a la UGPP en cuantía equivalente al 80% de las causadas.</w:t>
      </w:r>
    </w:p>
    <w:p w14:paraId="1CB8C452" w14:textId="77777777" w:rsidR="0055254B" w:rsidRPr="00C769E6" w:rsidRDefault="0055254B" w:rsidP="00C769E6">
      <w:pPr>
        <w:spacing w:line="276" w:lineRule="auto"/>
        <w:ind w:firstLine="0"/>
        <w:rPr>
          <w:rFonts w:ascii="Bookman Old Style" w:hAnsi="Bookman Old Style"/>
          <w:iCs/>
        </w:rPr>
      </w:pPr>
    </w:p>
    <w:p w14:paraId="2FF2C831" w14:textId="77504F15" w:rsidR="0055254B" w:rsidRPr="00C769E6" w:rsidRDefault="0055254B" w:rsidP="00C769E6">
      <w:pPr>
        <w:spacing w:line="276" w:lineRule="auto"/>
        <w:rPr>
          <w:rFonts w:ascii="Bookman Old Style" w:hAnsi="Bookman Old Style"/>
          <w:iCs/>
        </w:rPr>
      </w:pPr>
      <w:r w:rsidRPr="00C769E6">
        <w:rPr>
          <w:rFonts w:ascii="Bookman Old Style" w:hAnsi="Bookman Old Style"/>
          <w:iCs/>
        </w:rPr>
        <w:t>En síntesis, al resolver el asunto la A-quo concluyó que era viable aplicar beneficios convencionales con posterioridad al 31 de julio de 2010 por efectos de lo ordenado en el Acto Legislativo 01 de 2005, para lo cual se apoyó en la sentencia SL3635/2020, entre otras.</w:t>
      </w:r>
    </w:p>
    <w:p w14:paraId="0C80F4D2" w14:textId="77777777" w:rsidR="0055254B" w:rsidRPr="00C769E6" w:rsidRDefault="0055254B" w:rsidP="00C769E6">
      <w:pPr>
        <w:spacing w:line="276" w:lineRule="auto"/>
        <w:rPr>
          <w:rFonts w:ascii="Bookman Old Style" w:hAnsi="Bookman Old Style"/>
          <w:iCs/>
        </w:rPr>
      </w:pPr>
    </w:p>
    <w:p w14:paraId="41539EA7" w14:textId="0FF6DCCA" w:rsidR="00AC5052" w:rsidRPr="00C769E6" w:rsidRDefault="00BA2412" w:rsidP="00C769E6">
      <w:pPr>
        <w:spacing w:line="276" w:lineRule="auto"/>
        <w:rPr>
          <w:rFonts w:ascii="Bookman Old Style" w:hAnsi="Bookman Old Style"/>
          <w:iCs/>
        </w:rPr>
      </w:pPr>
      <w:r w:rsidRPr="00C769E6">
        <w:rPr>
          <w:rFonts w:ascii="Bookman Old Style" w:hAnsi="Bookman Old Style"/>
          <w:iCs/>
        </w:rPr>
        <w:t xml:space="preserve">Refirió que el </w:t>
      </w:r>
      <w:r w:rsidR="00C14A03" w:rsidRPr="00C769E6">
        <w:rPr>
          <w:rFonts w:ascii="Bookman Old Style" w:hAnsi="Bookman Old Style"/>
          <w:iCs/>
        </w:rPr>
        <w:t xml:space="preserve">alcance del </w:t>
      </w:r>
      <w:r w:rsidRPr="00C769E6">
        <w:rPr>
          <w:rFonts w:ascii="Bookman Old Style" w:hAnsi="Bookman Old Style"/>
          <w:iCs/>
        </w:rPr>
        <w:t xml:space="preserve">citado parágrafo abrogó la posibilidad de </w:t>
      </w:r>
      <w:r w:rsidR="00C14A03" w:rsidRPr="00C769E6">
        <w:rPr>
          <w:rFonts w:ascii="Bookman Old Style" w:hAnsi="Bookman Old Style"/>
          <w:iCs/>
        </w:rPr>
        <w:t xml:space="preserve">que empleadores y organizaciones sindicales acordaran </w:t>
      </w:r>
      <w:r w:rsidRPr="00C769E6">
        <w:rPr>
          <w:rFonts w:ascii="Bookman Old Style" w:hAnsi="Bookman Old Style"/>
          <w:iCs/>
        </w:rPr>
        <w:t>reglas pensionales diferentes a las consignadas en el sistema general de pensiones mediante pacto, convención o cualquier acto jurídico, pero dispuso un periodo transicional</w:t>
      </w:r>
      <w:r w:rsidR="00C14A03" w:rsidRPr="00C769E6">
        <w:rPr>
          <w:rFonts w:ascii="Bookman Old Style" w:hAnsi="Bookman Old Style"/>
          <w:iCs/>
        </w:rPr>
        <w:t>.</w:t>
      </w:r>
      <w:r w:rsidR="0064258E" w:rsidRPr="00C769E6">
        <w:rPr>
          <w:rFonts w:ascii="Bookman Old Style" w:hAnsi="Bookman Old Style"/>
          <w:iCs/>
        </w:rPr>
        <w:t xml:space="preserve"> </w:t>
      </w:r>
      <w:r w:rsidR="00004144" w:rsidRPr="00C769E6">
        <w:rPr>
          <w:rFonts w:ascii="Bookman Old Style" w:hAnsi="Bookman Old Style"/>
          <w:iCs/>
        </w:rPr>
        <w:t xml:space="preserve">Luego, trajo </w:t>
      </w:r>
      <w:r w:rsidR="00B8012D" w:rsidRPr="00C769E6">
        <w:rPr>
          <w:rFonts w:ascii="Bookman Old Style" w:hAnsi="Bookman Old Style"/>
          <w:iCs/>
        </w:rPr>
        <w:t>a colación</w:t>
      </w:r>
      <w:r w:rsidR="00AC5052" w:rsidRPr="00C769E6">
        <w:rPr>
          <w:rFonts w:ascii="Bookman Old Style" w:hAnsi="Bookman Old Style"/>
          <w:iCs/>
        </w:rPr>
        <w:t xml:space="preserve">, que </w:t>
      </w:r>
      <w:r w:rsidR="00044F87" w:rsidRPr="00C769E6">
        <w:rPr>
          <w:rFonts w:ascii="Bookman Old Style" w:hAnsi="Bookman Old Style"/>
          <w:iCs/>
        </w:rPr>
        <w:t xml:space="preserve">la </w:t>
      </w:r>
      <w:r w:rsidR="00AC5052" w:rsidRPr="00C769E6">
        <w:rPr>
          <w:rFonts w:ascii="Bookman Old Style" w:hAnsi="Bookman Old Style"/>
          <w:iCs/>
        </w:rPr>
        <w:t xml:space="preserve">línea jurisprudencial no admitía que una convención colectiva que llegare a su fecha de extinción conforme el término inicialmente pactado, pudiera ser objeto de prórroga automática, porque esta sólo operaba para las prórrogas que desde antes venían en curso. Sin embargo, </w:t>
      </w:r>
      <w:r w:rsidR="00004144" w:rsidRPr="00C769E6">
        <w:rPr>
          <w:rFonts w:ascii="Bookman Old Style" w:hAnsi="Bookman Old Style"/>
          <w:iCs/>
        </w:rPr>
        <w:t xml:space="preserve">refirió que </w:t>
      </w:r>
      <w:r w:rsidR="00B8012D" w:rsidRPr="00C769E6">
        <w:rPr>
          <w:rFonts w:ascii="Bookman Old Style" w:hAnsi="Bookman Old Style"/>
          <w:iCs/>
        </w:rPr>
        <w:t xml:space="preserve">tal </w:t>
      </w:r>
      <w:r w:rsidR="00AC5052" w:rsidRPr="00C769E6">
        <w:rPr>
          <w:rFonts w:ascii="Bookman Old Style" w:hAnsi="Bookman Old Style"/>
          <w:iCs/>
        </w:rPr>
        <w:t xml:space="preserve">visión jurisprudencial </w:t>
      </w:r>
      <w:r w:rsidR="00B8012D" w:rsidRPr="00C769E6">
        <w:rPr>
          <w:rFonts w:ascii="Bookman Old Style" w:hAnsi="Bookman Old Style"/>
          <w:iCs/>
        </w:rPr>
        <w:t xml:space="preserve">había variado </w:t>
      </w:r>
      <w:r w:rsidR="00004144" w:rsidRPr="00C769E6">
        <w:rPr>
          <w:rFonts w:ascii="Bookman Old Style" w:hAnsi="Bookman Old Style"/>
          <w:iCs/>
        </w:rPr>
        <w:t xml:space="preserve">dando </w:t>
      </w:r>
      <w:r w:rsidR="00AC5052" w:rsidRPr="00C769E6">
        <w:rPr>
          <w:rFonts w:ascii="Bookman Old Style" w:hAnsi="Bookman Old Style"/>
          <w:iCs/>
        </w:rPr>
        <w:t xml:space="preserve">un alcance distinto al parágrafo 3 del acto legislativo 01 de 2005, al considerar la </w:t>
      </w:r>
      <w:r w:rsidR="00B8012D" w:rsidRPr="00C769E6">
        <w:rPr>
          <w:rFonts w:ascii="Bookman Old Style" w:hAnsi="Bookman Old Style"/>
          <w:iCs/>
        </w:rPr>
        <w:t xml:space="preserve">Corte </w:t>
      </w:r>
      <w:r w:rsidR="00AC5052" w:rsidRPr="00C769E6">
        <w:rPr>
          <w:rFonts w:ascii="Bookman Old Style" w:hAnsi="Bookman Old Style"/>
          <w:iCs/>
        </w:rPr>
        <w:t xml:space="preserve">en sentencia SL2798/2020, SL2543/2020 y la SL2986/2020, por una </w:t>
      </w:r>
      <w:r w:rsidR="00B8012D" w:rsidRPr="00C769E6">
        <w:rPr>
          <w:rFonts w:ascii="Bookman Old Style" w:hAnsi="Bookman Old Style"/>
          <w:iCs/>
        </w:rPr>
        <w:t>parte,</w:t>
      </w:r>
      <w:r w:rsidR="00AC5052" w:rsidRPr="00C769E6">
        <w:rPr>
          <w:rFonts w:ascii="Bookman Old Style" w:hAnsi="Bookman Old Style"/>
          <w:iCs/>
        </w:rPr>
        <w:t xml:space="preserve"> que el término inicialmente pactado no </w:t>
      </w:r>
      <w:r w:rsidR="00B8012D" w:rsidRPr="00C769E6">
        <w:rPr>
          <w:rFonts w:ascii="Bookman Old Style" w:hAnsi="Bookman Old Style"/>
          <w:iCs/>
        </w:rPr>
        <w:t xml:space="preserve">podía </w:t>
      </w:r>
      <w:r w:rsidR="00AC5052" w:rsidRPr="00C769E6">
        <w:rPr>
          <w:rFonts w:ascii="Bookman Old Style" w:hAnsi="Bookman Old Style"/>
          <w:iCs/>
        </w:rPr>
        <w:t>extenderse más allá del 31 de julio de 2010 y de otra</w:t>
      </w:r>
      <w:r w:rsidR="00B8012D" w:rsidRPr="00C769E6">
        <w:rPr>
          <w:rFonts w:ascii="Bookman Old Style" w:hAnsi="Bookman Old Style"/>
          <w:iCs/>
        </w:rPr>
        <w:t>,</w:t>
      </w:r>
      <w:r w:rsidR="00AC5052" w:rsidRPr="00C769E6">
        <w:rPr>
          <w:rFonts w:ascii="Bookman Old Style" w:hAnsi="Bookman Old Style"/>
          <w:iCs/>
        </w:rPr>
        <w:t xml:space="preserve"> que ese plazo también </w:t>
      </w:r>
      <w:r w:rsidR="00B8012D" w:rsidRPr="00C769E6">
        <w:rPr>
          <w:rFonts w:ascii="Bookman Old Style" w:hAnsi="Bookman Old Style"/>
          <w:iCs/>
        </w:rPr>
        <w:t xml:space="preserve">incluía </w:t>
      </w:r>
      <w:r w:rsidR="00AC5052" w:rsidRPr="00C769E6">
        <w:rPr>
          <w:rFonts w:ascii="Bookman Old Style" w:hAnsi="Bookman Old Style"/>
          <w:iCs/>
        </w:rPr>
        <w:t xml:space="preserve">la prórroga automática que hubiese comenzado desde el 29 de julio de 2005. </w:t>
      </w:r>
    </w:p>
    <w:p w14:paraId="0F33626D" w14:textId="77777777" w:rsidR="00AC5052" w:rsidRPr="00C769E6" w:rsidRDefault="00AC5052" w:rsidP="00C769E6">
      <w:pPr>
        <w:spacing w:line="276" w:lineRule="auto"/>
        <w:rPr>
          <w:rFonts w:ascii="Bookman Old Style" w:hAnsi="Bookman Old Style"/>
          <w:iCs/>
        </w:rPr>
      </w:pPr>
    </w:p>
    <w:p w14:paraId="15019DBF" w14:textId="596C5887" w:rsidR="00F13E55" w:rsidRPr="00C769E6" w:rsidRDefault="00BE00D9" w:rsidP="00C769E6">
      <w:pPr>
        <w:spacing w:line="276" w:lineRule="auto"/>
        <w:rPr>
          <w:rFonts w:ascii="Bookman Old Style" w:hAnsi="Bookman Old Style"/>
          <w:iCs/>
        </w:rPr>
      </w:pPr>
      <w:r w:rsidRPr="00C769E6">
        <w:rPr>
          <w:rFonts w:ascii="Bookman Old Style" w:hAnsi="Bookman Old Style"/>
          <w:iCs/>
        </w:rPr>
        <w:t xml:space="preserve">En síntesis, determinó </w:t>
      </w:r>
      <w:r w:rsidR="008E2294" w:rsidRPr="00C769E6">
        <w:rPr>
          <w:rFonts w:ascii="Bookman Old Style" w:hAnsi="Bookman Old Style"/>
          <w:iCs/>
        </w:rPr>
        <w:t>que,</w:t>
      </w:r>
      <w:r w:rsidR="00F13E55" w:rsidRPr="00C769E6">
        <w:rPr>
          <w:rFonts w:ascii="Bookman Old Style" w:hAnsi="Bookman Old Style"/>
          <w:iCs/>
        </w:rPr>
        <w:t xml:space="preserve"> </w:t>
      </w:r>
      <w:r w:rsidRPr="00C769E6">
        <w:rPr>
          <w:rFonts w:ascii="Bookman Old Style" w:hAnsi="Bookman Old Style"/>
          <w:iCs/>
        </w:rPr>
        <w:t xml:space="preserve">en principio no </w:t>
      </w:r>
      <w:r w:rsidR="00F13E55" w:rsidRPr="00C769E6">
        <w:rPr>
          <w:rFonts w:ascii="Bookman Old Style" w:hAnsi="Bookman Old Style"/>
          <w:iCs/>
        </w:rPr>
        <w:t xml:space="preserve">era </w:t>
      </w:r>
      <w:r w:rsidRPr="00C769E6">
        <w:rPr>
          <w:rFonts w:ascii="Bookman Old Style" w:hAnsi="Bookman Old Style"/>
          <w:iCs/>
        </w:rPr>
        <w:t>posible extender los efectos de las cláusulas convencionales de carácter pensional más allá de</w:t>
      </w:r>
      <w:r w:rsidR="006C4FAC" w:rsidRPr="00C769E6">
        <w:rPr>
          <w:rFonts w:ascii="Bookman Old Style" w:hAnsi="Bookman Old Style"/>
          <w:iCs/>
        </w:rPr>
        <w:t>l</w:t>
      </w:r>
      <w:r w:rsidRPr="00C769E6">
        <w:rPr>
          <w:rFonts w:ascii="Bookman Old Style" w:hAnsi="Bookman Old Style"/>
          <w:iCs/>
        </w:rPr>
        <w:t xml:space="preserve"> 31 de julio de 2010. </w:t>
      </w:r>
      <w:r w:rsidR="00F13E55" w:rsidRPr="00C769E6">
        <w:rPr>
          <w:rFonts w:ascii="Bookman Old Style" w:hAnsi="Bookman Old Style"/>
          <w:iCs/>
        </w:rPr>
        <w:t>Pero</w:t>
      </w:r>
      <w:r w:rsidRPr="00C769E6">
        <w:rPr>
          <w:rFonts w:ascii="Bookman Old Style" w:hAnsi="Bookman Old Style"/>
          <w:iCs/>
        </w:rPr>
        <w:t>, cuando una disposición colectiva consagr</w:t>
      </w:r>
      <w:r w:rsidR="00F13E55" w:rsidRPr="00C769E6">
        <w:rPr>
          <w:rFonts w:ascii="Bookman Old Style" w:hAnsi="Bookman Old Style"/>
          <w:iCs/>
        </w:rPr>
        <w:t>ara</w:t>
      </w:r>
      <w:r w:rsidRPr="00C769E6">
        <w:rPr>
          <w:rFonts w:ascii="Bookman Old Style" w:hAnsi="Bookman Old Style"/>
          <w:iCs/>
        </w:rPr>
        <w:t xml:space="preserve"> una vigencia que cobij</w:t>
      </w:r>
      <w:r w:rsidR="00F13E55" w:rsidRPr="00C769E6">
        <w:rPr>
          <w:rFonts w:ascii="Bookman Old Style" w:hAnsi="Bookman Old Style"/>
          <w:iCs/>
        </w:rPr>
        <w:t>ara</w:t>
      </w:r>
      <w:r w:rsidRPr="00C769E6">
        <w:rPr>
          <w:rFonts w:ascii="Bookman Old Style" w:hAnsi="Bookman Old Style"/>
          <w:iCs/>
        </w:rPr>
        <w:t xml:space="preserve"> un periodo superior a esa data, </w:t>
      </w:r>
      <w:r w:rsidR="00F13E55" w:rsidRPr="00C769E6">
        <w:rPr>
          <w:rFonts w:ascii="Bookman Old Style" w:hAnsi="Bookman Old Style"/>
          <w:iCs/>
        </w:rPr>
        <w:t xml:space="preserve">debía </w:t>
      </w:r>
      <w:r w:rsidRPr="00C769E6">
        <w:rPr>
          <w:rFonts w:ascii="Bookman Old Style" w:hAnsi="Bookman Old Style"/>
          <w:iCs/>
        </w:rPr>
        <w:t>respetarse</w:t>
      </w:r>
      <w:r w:rsidR="00F13E55" w:rsidRPr="00C769E6">
        <w:rPr>
          <w:rFonts w:ascii="Bookman Old Style" w:hAnsi="Bookman Old Style"/>
          <w:iCs/>
        </w:rPr>
        <w:t xml:space="preserve"> porque </w:t>
      </w:r>
      <w:r w:rsidRPr="00C769E6">
        <w:rPr>
          <w:rFonts w:ascii="Bookman Old Style" w:hAnsi="Bookman Old Style"/>
          <w:iCs/>
        </w:rPr>
        <w:t xml:space="preserve">si se previó de esa manera desde su inicio, es porque la voluntad de las partes fue la de darle a dichas disposiciones jubilatorias mayor estabilidad en el tiempo y de otra, al quedar incorporadas en el texto convencional, </w:t>
      </w:r>
      <w:r w:rsidR="00F13E55" w:rsidRPr="00C769E6">
        <w:rPr>
          <w:rFonts w:ascii="Bookman Old Style" w:hAnsi="Bookman Old Style"/>
          <w:iCs/>
        </w:rPr>
        <w:t xml:space="preserve">constituía </w:t>
      </w:r>
      <w:r w:rsidRPr="00C769E6">
        <w:rPr>
          <w:rFonts w:ascii="Bookman Old Style" w:hAnsi="Bookman Old Style"/>
          <w:iCs/>
        </w:rPr>
        <w:t>derechos adquiridos y garantía</w:t>
      </w:r>
      <w:r w:rsidR="006C4FAC" w:rsidRPr="00C769E6">
        <w:rPr>
          <w:rFonts w:ascii="Bookman Old Style" w:hAnsi="Bookman Old Style"/>
          <w:iCs/>
        </w:rPr>
        <w:t>s</w:t>
      </w:r>
      <w:r w:rsidRPr="00C769E6">
        <w:rPr>
          <w:rFonts w:ascii="Bookman Old Style" w:hAnsi="Bookman Old Style"/>
          <w:iCs/>
        </w:rPr>
        <w:t xml:space="preserve"> de la legítima expectativa de adquirir el derecho pensional de acuerdo a las reglas del pacto </w:t>
      </w:r>
      <w:r w:rsidR="006C4FAC" w:rsidRPr="00C769E6">
        <w:rPr>
          <w:rFonts w:ascii="Bookman Old Style" w:hAnsi="Bookman Old Style"/>
          <w:iCs/>
        </w:rPr>
        <w:t xml:space="preserve">o de la </w:t>
      </w:r>
      <w:r w:rsidRPr="00C769E6">
        <w:rPr>
          <w:rFonts w:ascii="Bookman Old Style" w:hAnsi="Bookman Old Style"/>
          <w:iCs/>
        </w:rPr>
        <w:t>Convención Colectiva de trabajo que firmaron mientras contin</w:t>
      </w:r>
      <w:r w:rsidR="006C4FAC" w:rsidRPr="00C769E6">
        <w:rPr>
          <w:rFonts w:ascii="Bookman Old Style" w:hAnsi="Bookman Old Style"/>
          <w:iCs/>
        </w:rPr>
        <w:t xml:space="preserve">uara </w:t>
      </w:r>
      <w:r w:rsidRPr="00C769E6">
        <w:rPr>
          <w:rFonts w:ascii="Bookman Old Style" w:hAnsi="Bookman Old Style"/>
          <w:iCs/>
        </w:rPr>
        <w:t xml:space="preserve">vigente, así esa vigencia </w:t>
      </w:r>
      <w:r w:rsidR="00F13E55" w:rsidRPr="00C769E6">
        <w:rPr>
          <w:rFonts w:ascii="Bookman Old Style" w:hAnsi="Bookman Old Style"/>
          <w:iCs/>
        </w:rPr>
        <w:t xml:space="preserve">superara </w:t>
      </w:r>
      <w:r w:rsidRPr="00C769E6">
        <w:rPr>
          <w:rFonts w:ascii="Bookman Old Style" w:hAnsi="Bookman Old Style"/>
          <w:iCs/>
        </w:rPr>
        <w:t xml:space="preserve">el límite del 31 de julio de 2010. </w:t>
      </w:r>
    </w:p>
    <w:p w14:paraId="6CF7658D" w14:textId="77777777" w:rsidR="00F13E55" w:rsidRPr="00C769E6" w:rsidRDefault="00F13E55" w:rsidP="00C769E6">
      <w:pPr>
        <w:spacing w:line="276" w:lineRule="auto"/>
        <w:ind w:firstLine="0"/>
        <w:rPr>
          <w:rFonts w:ascii="Bookman Old Style" w:hAnsi="Bookman Old Style"/>
          <w:iCs/>
        </w:rPr>
      </w:pPr>
    </w:p>
    <w:p w14:paraId="4CC03FBC" w14:textId="1A1B7D45" w:rsidR="000F5C03" w:rsidRPr="00C769E6" w:rsidRDefault="000F5C03" w:rsidP="00C769E6">
      <w:pPr>
        <w:spacing w:line="276" w:lineRule="auto"/>
        <w:rPr>
          <w:rFonts w:ascii="Bookman Old Style" w:hAnsi="Bookman Old Style"/>
          <w:iCs/>
        </w:rPr>
      </w:pPr>
      <w:r w:rsidRPr="00C769E6">
        <w:rPr>
          <w:rFonts w:ascii="Bookman Old Style" w:hAnsi="Bookman Old Style"/>
          <w:iCs/>
        </w:rPr>
        <w:t xml:space="preserve">Refiere que </w:t>
      </w:r>
      <w:r w:rsidR="006C4FAC" w:rsidRPr="00C769E6">
        <w:rPr>
          <w:rFonts w:ascii="Bookman Old Style" w:hAnsi="Bookman Old Style"/>
          <w:iCs/>
        </w:rPr>
        <w:t>la</w:t>
      </w:r>
      <w:r w:rsidRPr="00C769E6">
        <w:rPr>
          <w:rFonts w:ascii="Bookman Old Style" w:hAnsi="Bookman Old Style"/>
          <w:iCs/>
        </w:rPr>
        <w:t xml:space="preserve"> convención </w:t>
      </w:r>
      <w:r w:rsidR="006C4FAC" w:rsidRPr="00C769E6">
        <w:rPr>
          <w:rFonts w:ascii="Bookman Old Style" w:hAnsi="Bookman Old Style"/>
          <w:iCs/>
        </w:rPr>
        <w:t xml:space="preserve">aquí implorada, </w:t>
      </w:r>
      <w:r w:rsidRPr="00C769E6">
        <w:rPr>
          <w:rFonts w:ascii="Bookman Old Style" w:hAnsi="Bookman Old Style"/>
          <w:iCs/>
        </w:rPr>
        <w:t xml:space="preserve">a partir del artículo 98, dispuso una cláusula encaminada a reconocer la pensión de jubilación, enunciando tres oportunidades en las que se podía obtener dicho derecho y, </w:t>
      </w:r>
      <w:r w:rsidRPr="00C769E6">
        <w:rPr>
          <w:rFonts w:ascii="Bookman Old Style" w:hAnsi="Bookman Old Style"/>
          <w:iCs/>
        </w:rPr>
        <w:lastRenderedPageBreak/>
        <w:t xml:space="preserve">para el caso de la accionante, al 31 de marzo del 2015, aún se encontraba vinculada con la institución, estaba vigente la Convención colectiva del 2001 – 2004 y, en el núm. 2 del artículo 98 ibid, mencionaba que las personas que se fueran a pensionar entre el 1 de enero del 2007 y el 31 de diciembre del 2016, tendrían el reconocimiento pensional con </w:t>
      </w:r>
      <w:r w:rsidR="006C4FAC" w:rsidRPr="00C769E6">
        <w:rPr>
          <w:rFonts w:ascii="Bookman Old Style" w:hAnsi="Bookman Old Style"/>
          <w:iCs/>
        </w:rPr>
        <w:t xml:space="preserve">un </w:t>
      </w:r>
      <w:r w:rsidRPr="00C769E6">
        <w:rPr>
          <w:rFonts w:ascii="Bookman Old Style" w:hAnsi="Bookman Old Style"/>
          <w:iCs/>
        </w:rPr>
        <w:t>100% del promedio mensual de lo percibido en los 3 últimos años de servicio.</w:t>
      </w:r>
    </w:p>
    <w:p w14:paraId="541D72BF" w14:textId="77777777" w:rsidR="000F5C03" w:rsidRPr="00C769E6" w:rsidRDefault="000F5C03" w:rsidP="00C769E6">
      <w:pPr>
        <w:spacing w:line="276" w:lineRule="auto"/>
        <w:rPr>
          <w:rFonts w:ascii="Bookman Old Style" w:hAnsi="Bookman Old Style"/>
          <w:iCs/>
        </w:rPr>
      </w:pPr>
    </w:p>
    <w:p w14:paraId="4F286269" w14:textId="44D0B615" w:rsidR="00DA60C1" w:rsidRPr="00C769E6" w:rsidRDefault="00907BC3" w:rsidP="00C769E6">
      <w:pPr>
        <w:spacing w:line="276" w:lineRule="auto"/>
        <w:rPr>
          <w:rFonts w:ascii="Bookman Old Style" w:hAnsi="Bookman Old Style"/>
          <w:iCs/>
        </w:rPr>
      </w:pPr>
      <w:r w:rsidRPr="00C769E6">
        <w:rPr>
          <w:rFonts w:ascii="Bookman Old Style" w:hAnsi="Bookman Old Style"/>
          <w:iCs/>
        </w:rPr>
        <w:t>A</w:t>
      </w:r>
      <w:r w:rsidR="000F5C03" w:rsidRPr="00C769E6">
        <w:rPr>
          <w:rFonts w:ascii="Bookman Old Style" w:hAnsi="Bookman Old Style"/>
          <w:iCs/>
        </w:rPr>
        <w:t>sí, a</w:t>
      </w:r>
      <w:r w:rsidRPr="00C769E6">
        <w:rPr>
          <w:rFonts w:ascii="Bookman Old Style" w:hAnsi="Bookman Old Style"/>
          <w:iCs/>
        </w:rPr>
        <w:t xml:space="preserve">l situarse en el caso, concluye que (i) la demandante había prestado sus </w:t>
      </w:r>
      <w:r w:rsidR="00DA60C1" w:rsidRPr="00C769E6">
        <w:rPr>
          <w:rFonts w:ascii="Bookman Old Style" w:hAnsi="Bookman Old Style"/>
          <w:iCs/>
        </w:rPr>
        <w:t xml:space="preserve">servicios </w:t>
      </w:r>
      <w:r w:rsidRPr="00C769E6">
        <w:rPr>
          <w:rFonts w:ascii="Bookman Old Style" w:hAnsi="Bookman Old Style"/>
          <w:iCs/>
        </w:rPr>
        <w:t xml:space="preserve">al extinto ISS </w:t>
      </w:r>
      <w:r w:rsidR="00DA60C1" w:rsidRPr="00C769E6">
        <w:rPr>
          <w:rFonts w:ascii="Bookman Old Style" w:hAnsi="Bookman Old Style"/>
          <w:iCs/>
        </w:rPr>
        <w:t>entre el 12 de enero de 1993 y el 31 de marzo del 2015</w:t>
      </w:r>
      <w:r w:rsidRPr="00C769E6">
        <w:rPr>
          <w:rFonts w:ascii="Bookman Old Style" w:hAnsi="Bookman Old Style"/>
          <w:iCs/>
        </w:rPr>
        <w:t xml:space="preserve">; (ii) </w:t>
      </w:r>
      <w:r w:rsidR="00DA60C1" w:rsidRPr="00C769E6">
        <w:rPr>
          <w:rFonts w:ascii="Bookman Old Style" w:hAnsi="Bookman Old Style"/>
          <w:iCs/>
        </w:rPr>
        <w:t xml:space="preserve">El ISS tenía una convención colectiva suscrita con el Sindicato Nacional de los Trabajadores de la Seguridad Social, que indicaba, tenía una vigencia consagrada entre el 2001 y 2004, </w:t>
      </w:r>
      <w:r w:rsidR="00850356" w:rsidRPr="00C769E6">
        <w:rPr>
          <w:rFonts w:ascii="Bookman Old Style" w:hAnsi="Bookman Old Style"/>
          <w:iCs/>
        </w:rPr>
        <w:t>la cual venía rigiendo con renovación automática.</w:t>
      </w:r>
      <w:r w:rsidR="000F5C03" w:rsidRPr="00C769E6">
        <w:rPr>
          <w:rFonts w:ascii="Bookman Old Style" w:hAnsi="Bookman Old Style"/>
          <w:iCs/>
        </w:rPr>
        <w:t xml:space="preserve"> De esa manera, </w:t>
      </w:r>
      <w:r w:rsidR="00DA60C1" w:rsidRPr="00C769E6">
        <w:rPr>
          <w:rFonts w:ascii="Bookman Old Style" w:hAnsi="Bookman Old Style"/>
          <w:iCs/>
        </w:rPr>
        <w:t xml:space="preserve">estableció que la actora acreditaba las exigencias del artículo 98 citado, el cual se extiende hasta enero del 2017 porque al 31 de marzo del 2015, contaba con más de 50 </w:t>
      </w:r>
      <w:r w:rsidR="006C4FAC" w:rsidRPr="00C769E6">
        <w:rPr>
          <w:rFonts w:ascii="Bookman Old Style" w:hAnsi="Bookman Old Style"/>
          <w:iCs/>
        </w:rPr>
        <w:t xml:space="preserve">años </w:t>
      </w:r>
      <w:r w:rsidR="00DA60C1" w:rsidRPr="00C769E6">
        <w:rPr>
          <w:rFonts w:ascii="Bookman Old Style" w:hAnsi="Bookman Old Style"/>
          <w:iCs/>
        </w:rPr>
        <w:t>y cumplía con la exigencia de tener 20 años de servicios continuos o discontinuos, pues tenía 22 años, 2 meses y 20 días, siendo por tanto destinataria del artículo 98 de la Convención, teniendo derecho a la pensión a partir del momento en que dejó de trabajar (2015), en un monto igual al 100% del promedio de lo percibido entre los 3 últimos años de trabajo, según el numeral 2 de la convención.</w:t>
      </w:r>
    </w:p>
    <w:p w14:paraId="5B54268B" w14:textId="77777777" w:rsidR="00DA60C1" w:rsidRPr="00C769E6" w:rsidRDefault="00DA60C1" w:rsidP="00C769E6">
      <w:pPr>
        <w:spacing w:line="276" w:lineRule="auto"/>
        <w:rPr>
          <w:rFonts w:ascii="Bookman Old Style" w:hAnsi="Bookman Old Style"/>
          <w:iCs/>
        </w:rPr>
      </w:pPr>
    </w:p>
    <w:p w14:paraId="46577884" w14:textId="77777777" w:rsidR="00DA60C1" w:rsidRPr="00C769E6" w:rsidRDefault="00DA60C1" w:rsidP="00C769E6">
      <w:pPr>
        <w:spacing w:line="276" w:lineRule="auto"/>
        <w:rPr>
          <w:rFonts w:ascii="Bookman Old Style" w:hAnsi="Bookman Old Style"/>
          <w:iCs/>
        </w:rPr>
      </w:pPr>
      <w:r w:rsidRPr="00C769E6">
        <w:rPr>
          <w:rFonts w:ascii="Bookman Old Style" w:hAnsi="Bookman Old Style"/>
          <w:iCs/>
        </w:rPr>
        <w:t>Luego, menciona que la UGPP con la resolución de RDP010587 del 18 de marzo del 2015 que negó la pensión convencional, esgrimiendo los efectos del acto legislativo 01 del 2005, era entendible porque para entonces, la posición asumida por los máximos órganos de cierre era que todas las convenciones habían perdido aplicabilidad en materia pensional desde el 31 de julio del 2010, pero luego, esa posición cambió según las interpretaciones dadas a los parámetros de negociación protegidos por la Constitución y es por ese cambio jurisprudencial que la demandante debe ser beneficiada con el reconocimiento de la prestación.</w:t>
      </w:r>
    </w:p>
    <w:p w14:paraId="24B72783" w14:textId="77777777" w:rsidR="00DA60C1" w:rsidRPr="00C769E6" w:rsidRDefault="00DA60C1" w:rsidP="00C769E6">
      <w:pPr>
        <w:spacing w:line="276" w:lineRule="auto"/>
        <w:ind w:firstLine="0"/>
        <w:rPr>
          <w:rFonts w:ascii="Bookman Old Style" w:hAnsi="Bookman Old Style"/>
          <w:iCs/>
        </w:rPr>
      </w:pPr>
    </w:p>
    <w:p w14:paraId="6F37D553" w14:textId="4A39DE4D" w:rsidR="00D820B7" w:rsidRPr="00C769E6" w:rsidRDefault="00DA60C1" w:rsidP="00C769E6">
      <w:pPr>
        <w:spacing w:line="276" w:lineRule="auto"/>
        <w:rPr>
          <w:rFonts w:ascii="Bookman Old Style" w:hAnsi="Bookman Old Style"/>
          <w:iCs/>
        </w:rPr>
      </w:pPr>
      <w:r w:rsidRPr="00C769E6">
        <w:rPr>
          <w:rFonts w:ascii="Bookman Old Style" w:hAnsi="Bookman Old Style"/>
          <w:iCs/>
        </w:rPr>
        <w:t>En cuanto a la prescripción, acotó que la actora prestó sus servicios hasta el 31 de marzo del 2015, que en 2014 aquella hizo la reclamación que resultó negativa a sus intereses, según la resolución 010587 del 18 de marzo del 2015, notificada el 22 de junio del 2015, momento a partir del cual, empezó nuevamente a contabilizarse el término extintivo de las mesadas, en tanto que la actora con la presentación de la demanda el 18 de enero del 2021, fue que nuevamente reclamó, generando la prescripción desde el 18 de enero del 2018, lo cual implica que el retroactivo pensional a favor de esta opera desde dicha calenda.</w:t>
      </w:r>
    </w:p>
    <w:p w14:paraId="2E96D2AC" w14:textId="77777777" w:rsidR="00D820B7" w:rsidRPr="00C769E6" w:rsidRDefault="00D820B7" w:rsidP="00C769E6">
      <w:pPr>
        <w:spacing w:line="276" w:lineRule="auto"/>
        <w:ind w:firstLine="0"/>
        <w:rPr>
          <w:rFonts w:ascii="Bookman Old Style" w:hAnsi="Bookman Old Style"/>
          <w:iCs/>
        </w:rPr>
      </w:pPr>
    </w:p>
    <w:p w14:paraId="69B3DEF0" w14:textId="17E4088E" w:rsidR="00DA60C1" w:rsidRPr="00C769E6" w:rsidRDefault="00DA60C1" w:rsidP="00C769E6">
      <w:pPr>
        <w:spacing w:line="276" w:lineRule="auto"/>
        <w:rPr>
          <w:rFonts w:ascii="Bookman Old Style" w:hAnsi="Bookman Old Style"/>
          <w:iCs/>
        </w:rPr>
      </w:pPr>
      <w:r w:rsidRPr="00C769E6">
        <w:rPr>
          <w:rFonts w:ascii="Bookman Old Style" w:hAnsi="Bookman Old Style"/>
          <w:iCs/>
        </w:rPr>
        <w:t>En cuanto a la liquidación de la mesada, dispuso que la UGP</w:t>
      </w:r>
      <w:r w:rsidR="00F92CC5" w:rsidRPr="00C769E6">
        <w:rPr>
          <w:rFonts w:ascii="Bookman Old Style" w:hAnsi="Bookman Old Style"/>
          <w:iCs/>
        </w:rPr>
        <w:t>P</w:t>
      </w:r>
      <w:r w:rsidRPr="00C769E6">
        <w:rPr>
          <w:rFonts w:ascii="Bookman Old Style" w:hAnsi="Bookman Old Style"/>
          <w:iCs/>
        </w:rPr>
        <w:t xml:space="preserve"> fuera la encargada de ello, teniendo en cuenta los parámetros del artículo 98, esto es, con apoyo en el 100% del promedio del salario percibido en el periodo comprendido entre el 31 de marzo del 2012 al 31 de marzo del 2015. Ello se dispuso por cuanto </w:t>
      </w:r>
      <w:r w:rsidR="00F92CC5" w:rsidRPr="00C769E6">
        <w:rPr>
          <w:rFonts w:ascii="Bookman Old Style" w:hAnsi="Bookman Old Style"/>
          <w:iCs/>
        </w:rPr>
        <w:t xml:space="preserve">consideró que </w:t>
      </w:r>
      <w:r w:rsidRPr="00C769E6">
        <w:rPr>
          <w:rFonts w:ascii="Bookman Old Style" w:hAnsi="Bookman Old Style"/>
          <w:iCs/>
        </w:rPr>
        <w:t>no contaba con la documentación suficiente para hacer la cuantificación, advirtiendo sí, que la efectividad del derecho era a partir del 18 de marzo del 2018.</w:t>
      </w:r>
    </w:p>
    <w:p w14:paraId="347C8317" w14:textId="77777777" w:rsidR="00DA60C1" w:rsidRPr="00C769E6" w:rsidRDefault="00DA60C1" w:rsidP="00C769E6">
      <w:pPr>
        <w:spacing w:line="276" w:lineRule="auto"/>
        <w:ind w:firstLine="0"/>
        <w:rPr>
          <w:rFonts w:ascii="Bookman Old Style" w:hAnsi="Bookman Old Style"/>
          <w:iCs/>
        </w:rPr>
      </w:pPr>
    </w:p>
    <w:p w14:paraId="27BDE465" w14:textId="7C95BF97" w:rsidR="00DA60C1" w:rsidRPr="00C769E6" w:rsidRDefault="00DA60C1" w:rsidP="00C769E6">
      <w:pPr>
        <w:spacing w:line="276" w:lineRule="auto"/>
        <w:rPr>
          <w:rFonts w:ascii="Bookman Old Style" w:hAnsi="Bookman Old Style"/>
          <w:iCs/>
        </w:rPr>
      </w:pPr>
      <w:r w:rsidRPr="00C769E6">
        <w:rPr>
          <w:rFonts w:ascii="Bookman Old Style" w:hAnsi="Bookman Old Style"/>
          <w:iCs/>
        </w:rPr>
        <w:t xml:space="preserve">Finalmente, advirtió que debido a que la demandante podría obtener la pensión de carácter legal a cargo de Colpensiones, </w:t>
      </w:r>
      <w:r w:rsidR="00F92CC5" w:rsidRPr="00C769E6">
        <w:rPr>
          <w:rFonts w:ascii="Bookman Old Style" w:hAnsi="Bookman Old Style"/>
          <w:iCs/>
        </w:rPr>
        <w:t>era</w:t>
      </w:r>
      <w:r w:rsidR="00C54714" w:rsidRPr="00C769E6">
        <w:rPr>
          <w:rFonts w:ascii="Bookman Old Style" w:hAnsi="Bookman Old Style"/>
          <w:iCs/>
        </w:rPr>
        <w:t xml:space="preserve"> </w:t>
      </w:r>
      <w:r w:rsidRPr="00C769E6">
        <w:rPr>
          <w:rFonts w:ascii="Bookman Old Style" w:hAnsi="Bookman Old Style"/>
          <w:iCs/>
        </w:rPr>
        <w:t>posible la compa</w:t>
      </w:r>
      <w:r w:rsidR="00C54714" w:rsidRPr="00C769E6">
        <w:rPr>
          <w:rFonts w:ascii="Bookman Old Style" w:hAnsi="Bookman Old Style"/>
          <w:iCs/>
        </w:rPr>
        <w:t>r</w:t>
      </w:r>
      <w:r w:rsidRPr="00C769E6">
        <w:rPr>
          <w:rFonts w:ascii="Bookman Old Style" w:hAnsi="Bookman Old Style"/>
          <w:iCs/>
        </w:rPr>
        <w:t>tibilidad de las pensiones.</w:t>
      </w:r>
    </w:p>
    <w:p w14:paraId="7A3EAC5A" w14:textId="77777777" w:rsidR="0025787D" w:rsidRPr="00C769E6" w:rsidRDefault="0025787D" w:rsidP="00C769E6">
      <w:pPr>
        <w:spacing w:line="276" w:lineRule="auto"/>
        <w:ind w:firstLine="0"/>
        <w:rPr>
          <w:rFonts w:ascii="Bookman Old Style" w:hAnsi="Bookman Old Style"/>
          <w:iCs/>
        </w:rPr>
      </w:pPr>
    </w:p>
    <w:p w14:paraId="2AA11F39" w14:textId="5693E00C" w:rsidR="00041229" w:rsidRPr="00C769E6" w:rsidRDefault="3E81DF23" w:rsidP="00C769E6">
      <w:pPr>
        <w:pStyle w:val="Prrafodelista"/>
        <w:numPr>
          <w:ilvl w:val="0"/>
          <w:numId w:val="16"/>
        </w:numPr>
        <w:spacing w:line="276" w:lineRule="auto"/>
        <w:jc w:val="center"/>
        <w:rPr>
          <w:rFonts w:ascii="Bookman Old Style" w:hAnsi="Bookman Old Style"/>
          <w:b/>
          <w:bCs/>
          <w:iCs/>
        </w:rPr>
      </w:pPr>
      <w:r w:rsidRPr="00C769E6">
        <w:rPr>
          <w:rFonts w:ascii="Bookman Old Style" w:hAnsi="Bookman Old Style"/>
          <w:b/>
          <w:bCs/>
          <w:iCs/>
        </w:rPr>
        <w:t xml:space="preserve">APELACIÓN Y </w:t>
      </w:r>
      <w:r w:rsidR="002C05B8" w:rsidRPr="00C769E6">
        <w:rPr>
          <w:rFonts w:ascii="Bookman Old Style" w:hAnsi="Bookman Old Style"/>
          <w:b/>
          <w:bCs/>
          <w:iCs/>
        </w:rPr>
        <w:t>GRADO JURISDICCIONAL DE CONSULTA</w:t>
      </w:r>
    </w:p>
    <w:p w14:paraId="4C0ED3B1" w14:textId="77777777" w:rsidR="007E6F26" w:rsidRPr="00C769E6" w:rsidRDefault="007E6F26" w:rsidP="00C769E6">
      <w:pPr>
        <w:spacing w:line="276" w:lineRule="auto"/>
        <w:ind w:firstLine="0"/>
        <w:rPr>
          <w:rFonts w:ascii="Bookman Old Style" w:hAnsi="Bookman Old Style"/>
          <w:iCs/>
        </w:rPr>
      </w:pPr>
    </w:p>
    <w:p w14:paraId="0ED51A96" w14:textId="1DE764FB" w:rsidR="44403843" w:rsidRPr="00C769E6" w:rsidRDefault="44403843" w:rsidP="00C769E6">
      <w:pPr>
        <w:spacing w:line="276" w:lineRule="auto"/>
        <w:rPr>
          <w:rFonts w:ascii="Bookman Old Style" w:hAnsi="Bookman Old Style"/>
          <w:iCs/>
        </w:rPr>
      </w:pPr>
      <w:r w:rsidRPr="00C769E6">
        <w:rPr>
          <w:rFonts w:ascii="Bookman Old Style" w:hAnsi="Bookman Old Style"/>
          <w:iCs/>
        </w:rPr>
        <w:t xml:space="preserve">La UGPP recurrió la decisión argumentando, en síntesis, que la Convención Colectiva de Trabajo perdió vigencia en virtud del Acto Legislativo 01 de 2005 y por comoquiera que dicho texto convencional solo podía aplicarse hasta el año 2010, momento para la cual, la demandante no había acreditado el cumplimiento de los requisitos para adquirir el derecho solicitado, aspecto que consideró indispensable para causar el derecho convencional invocado. </w:t>
      </w:r>
    </w:p>
    <w:p w14:paraId="68CF65BC" w14:textId="2EC52B2A" w:rsidR="44DFDAA3" w:rsidRPr="00C769E6" w:rsidRDefault="44DFDAA3" w:rsidP="00C769E6">
      <w:pPr>
        <w:spacing w:line="276" w:lineRule="auto"/>
        <w:rPr>
          <w:rFonts w:ascii="Bookman Old Style" w:hAnsi="Bookman Old Style"/>
          <w:iCs/>
        </w:rPr>
      </w:pPr>
    </w:p>
    <w:p w14:paraId="1326B683" w14:textId="4D114C39" w:rsidR="00182BEE" w:rsidRPr="00C769E6" w:rsidRDefault="00182BEE" w:rsidP="00C769E6">
      <w:pPr>
        <w:spacing w:line="276" w:lineRule="auto"/>
        <w:rPr>
          <w:rFonts w:ascii="Bookman Old Style" w:hAnsi="Bookman Old Style"/>
          <w:iCs/>
        </w:rPr>
      </w:pPr>
      <w:r w:rsidRPr="00C769E6">
        <w:rPr>
          <w:rFonts w:ascii="Bookman Old Style" w:hAnsi="Bookman Old Style"/>
          <w:iCs/>
        </w:rPr>
        <w:t xml:space="preserve">Conforme a lo consagrado en el art. 69 del Código Procesal del Trabajo y de la Seguridad Social (CPTSS), </w:t>
      </w:r>
      <w:r w:rsidR="00620DA3" w:rsidRPr="00C769E6">
        <w:rPr>
          <w:rFonts w:ascii="Bookman Old Style" w:hAnsi="Bookman Old Style"/>
          <w:iCs/>
        </w:rPr>
        <w:t xml:space="preserve">modificado por el artículo 14 de la Ley 1149 de 2007, </w:t>
      </w:r>
      <w:r w:rsidRPr="00C769E6">
        <w:rPr>
          <w:rFonts w:ascii="Bookman Old Style" w:hAnsi="Bookman Old Style"/>
          <w:iCs/>
        </w:rPr>
        <w:t>la Sala estudiará el fallo del a quo en grado jurisdiccional de consulta</w:t>
      </w:r>
      <w:r w:rsidR="6C9572C1" w:rsidRPr="00C769E6">
        <w:rPr>
          <w:rFonts w:ascii="Bookman Old Style" w:hAnsi="Bookman Old Style"/>
          <w:iCs/>
        </w:rPr>
        <w:t>.</w:t>
      </w:r>
    </w:p>
    <w:p w14:paraId="21066416" w14:textId="77777777" w:rsidR="00182BEE" w:rsidRPr="00C769E6" w:rsidRDefault="00182BEE" w:rsidP="00C769E6">
      <w:pPr>
        <w:spacing w:line="276" w:lineRule="auto"/>
        <w:ind w:firstLine="0"/>
        <w:rPr>
          <w:rFonts w:ascii="Bookman Old Style" w:hAnsi="Bookman Old Style"/>
          <w:iCs/>
        </w:rPr>
      </w:pPr>
    </w:p>
    <w:p w14:paraId="1EC11C31" w14:textId="77777777" w:rsidR="00041229" w:rsidRPr="00C769E6" w:rsidRDefault="00041229" w:rsidP="00C769E6">
      <w:pPr>
        <w:pStyle w:val="Prrafodelista"/>
        <w:numPr>
          <w:ilvl w:val="0"/>
          <w:numId w:val="16"/>
        </w:numPr>
        <w:spacing w:line="276" w:lineRule="auto"/>
        <w:jc w:val="center"/>
        <w:rPr>
          <w:rFonts w:ascii="Bookman Old Style" w:hAnsi="Bookman Old Style"/>
          <w:b/>
          <w:bCs/>
          <w:iCs/>
        </w:rPr>
      </w:pPr>
      <w:r w:rsidRPr="00C769E6">
        <w:rPr>
          <w:rFonts w:ascii="Bookman Old Style" w:hAnsi="Bookman Old Style"/>
          <w:b/>
          <w:bCs/>
          <w:iCs/>
        </w:rPr>
        <w:t>ALEGATOS DE SEGUNDA INSTANCIA</w:t>
      </w:r>
    </w:p>
    <w:p w14:paraId="71634F07" w14:textId="77777777" w:rsidR="00041229" w:rsidRPr="00C769E6" w:rsidRDefault="00041229" w:rsidP="00C769E6">
      <w:pPr>
        <w:spacing w:line="276" w:lineRule="auto"/>
        <w:ind w:firstLine="0"/>
        <w:rPr>
          <w:rFonts w:ascii="Bookman Old Style" w:hAnsi="Bookman Old Style"/>
          <w:iCs/>
        </w:rPr>
      </w:pPr>
    </w:p>
    <w:p w14:paraId="07786BFE" w14:textId="7B79C171" w:rsidR="002C05B8" w:rsidRPr="00C769E6" w:rsidRDefault="002C05B8" w:rsidP="00C769E6">
      <w:pPr>
        <w:spacing w:line="276" w:lineRule="auto"/>
        <w:rPr>
          <w:rFonts w:ascii="Bookman Old Style" w:hAnsi="Bookman Old Style"/>
          <w:iCs/>
        </w:rPr>
      </w:pPr>
      <w:r w:rsidRPr="00C769E6">
        <w:rPr>
          <w:rFonts w:ascii="Bookman Old Style" w:hAnsi="Bookman Old Style"/>
          <w:iCs/>
        </w:rPr>
        <w:t xml:space="preserve">Mediante fijación en lista del 28-04-2022 y atendiendo a que la finalidad de esta etapa es atender la persuasión fáctica y jurídica sobre el tema objeto de discusión bajo ese espectro se tendrán en cuentan los alegatos que guarden relación directa con los temas debatidos. Frente a la presentación de alegatos en términos da cuenta la constancia secretarial visible en el archivo </w:t>
      </w:r>
      <w:r w:rsidR="007C6F69" w:rsidRPr="00C769E6">
        <w:rPr>
          <w:rFonts w:ascii="Bookman Old Style" w:hAnsi="Bookman Old Style"/>
          <w:iCs/>
        </w:rPr>
        <w:t>7</w:t>
      </w:r>
      <w:r w:rsidRPr="00C769E6">
        <w:rPr>
          <w:rFonts w:ascii="Bookman Old Style" w:hAnsi="Bookman Old Style"/>
          <w:iCs/>
        </w:rPr>
        <w:t xml:space="preserve"> del expediente de segunda instancia.</w:t>
      </w:r>
    </w:p>
    <w:p w14:paraId="31D3A06D" w14:textId="77777777" w:rsidR="002C05B8" w:rsidRPr="00C769E6" w:rsidRDefault="002C05B8" w:rsidP="00C769E6">
      <w:pPr>
        <w:spacing w:line="276" w:lineRule="auto"/>
        <w:ind w:firstLine="0"/>
        <w:rPr>
          <w:rFonts w:ascii="Bookman Old Style" w:hAnsi="Bookman Old Style"/>
          <w:iCs/>
        </w:rPr>
      </w:pPr>
    </w:p>
    <w:p w14:paraId="1EBE556F" w14:textId="77777777" w:rsidR="002C05B8" w:rsidRPr="00C769E6" w:rsidRDefault="002C05B8" w:rsidP="00C769E6">
      <w:pPr>
        <w:spacing w:line="276" w:lineRule="auto"/>
        <w:rPr>
          <w:rFonts w:ascii="Bookman Old Style" w:hAnsi="Bookman Old Style"/>
          <w:iCs/>
        </w:rPr>
      </w:pPr>
      <w:r w:rsidRPr="00C769E6">
        <w:rPr>
          <w:rFonts w:ascii="Bookman Old Style" w:hAnsi="Bookman Old Style"/>
          <w:iCs/>
        </w:rPr>
        <w:t>Surtido el trámite que corresponde a esta instancia procede la Sala de decisión a dictar la providencia que corresponde, previas las siguientes, </w:t>
      </w:r>
    </w:p>
    <w:p w14:paraId="1C4B152F" w14:textId="77777777" w:rsidR="002C05B8" w:rsidRPr="00C769E6" w:rsidRDefault="002C05B8" w:rsidP="00C769E6">
      <w:pPr>
        <w:spacing w:line="276" w:lineRule="auto"/>
        <w:ind w:firstLine="0"/>
        <w:rPr>
          <w:rFonts w:ascii="Bookman Old Style" w:hAnsi="Bookman Old Style"/>
          <w:iCs/>
        </w:rPr>
      </w:pPr>
    </w:p>
    <w:p w14:paraId="4AB47E09" w14:textId="77777777" w:rsidR="00041229" w:rsidRPr="00C769E6" w:rsidRDefault="00041229" w:rsidP="00C769E6">
      <w:pPr>
        <w:pStyle w:val="Prrafodelista"/>
        <w:numPr>
          <w:ilvl w:val="0"/>
          <w:numId w:val="16"/>
        </w:numPr>
        <w:spacing w:line="276" w:lineRule="auto"/>
        <w:jc w:val="center"/>
        <w:rPr>
          <w:rFonts w:ascii="Bookman Old Style" w:hAnsi="Bookman Old Style"/>
          <w:b/>
          <w:bCs/>
          <w:iCs/>
        </w:rPr>
      </w:pPr>
      <w:r w:rsidRPr="00C769E6">
        <w:rPr>
          <w:rFonts w:ascii="Bookman Old Style" w:hAnsi="Bookman Old Style"/>
          <w:b/>
          <w:bCs/>
          <w:iCs/>
        </w:rPr>
        <w:t>CONSIDERACIONES</w:t>
      </w:r>
    </w:p>
    <w:p w14:paraId="0B71802A" w14:textId="023E6D64" w:rsidR="00CD77E1" w:rsidRPr="00C769E6" w:rsidRDefault="00CD77E1" w:rsidP="00C769E6">
      <w:pPr>
        <w:spacing w:line="276" w:lineRule="auto"/>
        <w:ind w:firstLine="0"/>
        <w:rPr>
          <w:rFonts w:ascii="Bookman Old Style" w:hAnsi="Bookman Old Style"/>
          <w:iCs/>
        </w:rPr>
      </w:pPr>
    </w:p>
    <w:p w14:paraId="1FBE2CCD" w14:textId="3E0ED21C" w:rsidR="008D1EC3" w:rsidRPr="00C769E6" w:rsidRDefault="008D1EC3" w:rsidP="00C769E6">
      <w:pPr>
        <w:spacing w:line="276" w:lineRule="auto"/>
        <w:rPr>
          <w:rFonts w:ascii="Bookman Old Style" w:hAnsi="Bookman Old Style"/>
          <w:iCs/>
        </w:rPr>
      </w:pPr>
      <w:r w:rsidRPr="00C769E6">
        <w:rPr>
          <w:rFonts w:ascii="Bookman Old Style" w:hAnsi="Bookman Old Style"/>
          <w:iCs/>
        </w:rPr>
        <w:t xml:space="preserve">Conforme lo planteado, se tiene que el problema jurídico se circunscribe en determinar </w:t>
      </w:r>
      <w:r w:rsidR="00CC29CD" w:rsidRPr="00C769E6">
        <w:rPr>
          <w:rFonts w:ascii="Bookman Old Style" w:hAnsi="Bookman Old Style"/>
          <w:iCs/>
        </w:rPr>
        <w:t xml:space="preserve">i) si la pensión convencional reclamada tuvo como límite de tiempo el 31 de julio de 2010, de conformidad con el Acto Legislativo 01 de 2005; ii) De no ser así, se analizará </w:t>
      </w:r>
      <w:r w:rsidRPr="00C769E6">
        <w:rPr>
          <w:rFonts w:ascii="Bookman Old Style" w:hAnsi="Bookman Old Style"/>
          <w:iCs/>
        </w:rPr>
        <w:t xml:space="preserve">si le asiste el derecho </w:t>
      </w:r>
      <w:r w:rsidR="00CC29CD" w:rsidRPr="00C769E6">
        <w:rPr>
          <w:rFonts w:ascii="Bookman Old Style" w:hAnsi="Bookman Old Style"/>
          <w:iCs/>
        </w:rPr>
        <w:t xml:space="preserve">a la demandante a que le sea reconocida </w:t>
      </w:r>
      <w:r w:rsidRPr="00C769E6">
        <w:rPr>
          <w:rFonts w:ascii="Bookman Old Style" w:hAnsi="Bookman Old Style"/>
          <w:iCs/>
        </w:rPr>
        <w:t xml:space="preserve">la pensión de jubilación convencional </w:t>
      </w:r>
      <w:r w:rsidR="00CC29CD" w:rsidRPr="00C769E6">
        <w:rPr>
          <w:rFonts w:ascii="Bookman Old Style" w:hAnsi="Bookman Old Style"/>
          <w:iCs/>
        </w:rPr>
        <w:t xml:space="preserve">reclamada, </w:t>
      </w:r>
      <w:r w:rsidRPr="00C769E6">
        <w:rPr>
          <w:rFonts w:ascii="Bookman Old Style" w:hAnsi="Bookman Old Style"/>
          <w:iCs/>
        </w:rPr>
        <w:t>a partir del 1 de abril de 2015, debiéndose establecer cuantía y si hay lugar a retroactivo.</w:t>
      </w:r>
    </w:p>
    <w:p w14:paraId="60AA962A" w14:textId="0B4FA7BF" w:rsidR="00D313A1" w:rsidRPr="00C769E6" w:rsidRDefault="00D313A1" w:rsidP="00C769E6">
      <w:pPr>
        <w:spacing w:line="276" w:lineRule="auto"/>
        <w:ind w:firstLine="0"/>
        <w:rPr>
          <w:rFonts w:ascii="Bookman Old Style" w:hAnsi="Bookman Old Style"/>
          <w:iCs/>
        </w:rPr>
      </w:pPr>
    </w:p>
    <w:p w14:paraId="24A2F218" w14:textId="7E82F178" w:rsidR="004D36A1" w:rsidRPr="00C769E6" w:rsidRDefault="00D313A1" w:rsidP="00C769E6">
      <w:pPr>
        <w:spacing w:line="276" w:lineRule="auto"/>
        <w:rPr>
          <w:rFonts w:ascii="Bookman Old Style" w:hAnsi="Bookman Old Style"/>
          <w:iCs/>
        </w:rPr>
      </w:pPr>
      <w:r w:rsidRPr="00C769E6">
        <w:rPr>
          <w:rFonts w:ascii="Bookman Old Style" w:hAnsi="Bookman Old Style"/>
          <w:iCs/>
        </w:rPr>
        <w:t>Por fuera de debate se encuentra</w:t>
      </w:r>
      <w:r w:rsidR="00CC032A" w:rsidRPr="00C769E6">
        <w:rPr>
          <w:rFonts w:ascii="Bookman Old Style" w:hAnsi="Bookman Old Style"/>
          <w:iCs/>
        </w:rPr>
        <w:t xml:space="preserve"> </w:t>
      </w:r>
      <w:r w:rsidR="00503889" w:rsidRPr="00C769E6">
        <w:rPr>
          <w:rFonts w:ascii="Bookman Old Style" w:hAnsi="Bookman Old Style"/>
          <w:iCs/>
        </w:rPr>
        <w:t>que</w:t>
      </w:r>
      <w:r w:rsidR="0055254B" w:rsidRPr="00C769E6">
        <w:rPr>
          <w:rFonts w:ascii="Bookman Old Style" w:hAnsi="Bookman Old Style"/>
          <w:iCs/>
        </w:rPr>
        <w:t xml:space="preserve">: i) Luceny Pimienta </w:t>
      </w:r>
      <w:r w:rsidR="007A63E5" w:rsidRPr="00C769E6">
        <w:rPr>
          <w:rFonts w:ascii="Bookman Old Style" w:hAnsi="Bookman Old Style"/>
          <w:iCs/>
        </w:rPr>
        <w:t>Álzate</w:t>
      </w:r>
      <w:r w:rsidR="0055254B" w:rsidRPr="00C769E6">
        <w:rPr>
          <w:rFonts w:ascii="Bookman Old Style" w:hAnsi="Bookman Old Style"/>
          <w:iCs/>
        </w:rPr>
        <w:t xml:space="preserve"> nació el 17 de febrero de 1961 y cumplió 50 años el mismo día y mes de 20</w:t>
      </w:r>
      <w:r w:rsidR="007A63E5" w:rsidRPr="00C769E6">
        <w:rPr>
          <w:rFonts w:ascii="Bookman Old Style" w:hAnsi="Bookman Old Style"/>
          <w:iCs/>
        </w:rPr>
        <w:t>11 (archivo 05, pág. 1-2)</w:t>
      </w:r>
      <w:r w:rsidR="0055254B" w:rsidRPr="00C769E6">
        <w:rPr>
          <w:rFonts w:ascii="Bookman Old Style" w:hAnsi="Bookman Old Style"/>
          <w:iCs/>
        </w:rPr>
        <w:t xml:space="preserve">; ii) prestó servicios a </w:t>
      </w:r>
      <w:r w:rsidR="007A63E5" w:rsidRPr="00C769E6">
        <w:rPr>
          <w:rFonts w:ascii="Bookman Old Style" w:hAnsi="Bookman Old Style"/>
          <w:iCs/>
        </w:rPr>
        <w:t xml:space="preserve">favor del extinto Instituto de Seguros Sociales desempeñando el cargo de técnico de servicios administrativos entre el </w:t>
      </w:r>
      <w:bookmarkStart w:id="7" w:name="_Hlk147883492"/>
      <w:r w:rsidR="007A63E5" w:rsidRPr="00C769E6">
        <w:rPr>
          <w:rFonts w:ascii="Bookman Old Style" w:hAnsi="Bookman Old Style"/>
          <w:iCs/>
        </w:rPr>
        <w:t xml:space="preserve">12 de enero de 1993 </w:t>
      </w:r>
      <w:bookmarkEnd w:id="7"/>
      <w:r w:rsidR="007A63E5" w:rsidRPr="00C769E6">
        <w:rPr>
          <w:rFonts w:ascii="Bookman Old Style" w:hAnsi="Bookman Old Style"/>
          <w:iCs/>
        </w:rPr>
        <w:t xml:space="preserve">hasta el 31 de marzo de 2015, </w:t>
      </w:r>
      <w:r w:rsidR="007D0BC0" w:rsidRPr="00C769E6">
        <w:rPr>
          <w:rFonts w:ascii="Bookman Old Style" w:hAnsi="Bookman Old Style"/>
          <w:iCs/>
        </w:rPr>
        <w:lastRenderedPageBreak/>
        <w:t xml:space="preserve">teniendo </w:t>
      </w:r>
      <w:r w:rsidR="007A63E5" w:rsidRPr="00C769E6">
        <w:rPr>
          <w:rFonts w:ascii="Bookman Old Style" w:hAnsi="Bookman Old Style"/>
          <w:iCs/>
        </w:rPr>
        <w:t>más de 20 años en total</w:t>
      </w:r>
      <w:r w:rsidR="007A63E5" w:rsidRPr="00C769E6">
        <w:rPr>
          <w:rFonts w:ascii="Bookman Old Style" w:hAnsi="Bookman Old Style"/>
          <w:iCs/>
          <w:vertAlign w:val="superscript"/>
        </w:rPr>
        <w:footnoteReference w:id="2"/>
      </w:r>
      <w:r w:rsidR="007A63E5" w:rsidRPr="00C769E6">
        <w:rPr>
          <w:rFonts w:ascii="Bookman Old Style" w:hAnsi="Bookman Old Style"/>
          <w:iCs/>
        </w:rPr>
        <w:t xml:space="preserve"> (archivo 05, página 4-8)</w:t>
      </w:r>
      <w:r w:rsidR="005C7742" w:rsidRPr="00C769E6">
        <w:rPr>
          <w:rFonts w:ascii="Bookman Old Style" w:hAnsi="Bookman Old Style"/>
          <w:iCs/>
        </w:rPr>
        <w:t>;</w:t>
      </w:r>
      <w:r w:rsidR="0055254B" w:rsidRPr="00C769E6">
        <w:rPr>
          <w:rFonts w:ascii="Bookman Old Style" w:hAnsi="Bookman Old Style"/>
          <w:iCs/>
        </w:rPr>
        <w:t xml:space="preserve"> iii) </w:t>
      </w:r>
      <w:r w:rsidR="005C7742" w:rsidRPr="00C769E6">
        <w:rPr>
          <w:rFonts w:ascii="Bookman Old Style" w:hAnsi="Bookman Old Style"/>
          <w:iCs/>
        </w:rPr>
        <w:t xml:space="preserve">la trabajadora estuvo afiliada al </w:t>
      </w:r>
      <w:r w:rsidR="004D36A1" w:rsidRPr="00C769E6">
        <w:rPr>
          <w:rFonts w:ascii="Bookman Old Style" w:hAnsi="Bookman Old Style"/>
          <w:iCs/>
        </w:rPr>
        <w:t xml:space="preserve">Sindicato de Trabajadores de la seguridad </w:t>
      </w:r>
      <w:r w:rsidR="00B64353" w:rsidRPr="00C769E6">
        <w:rPr>
          <w:rFonts w:ascii="Bookman Old Style" w:hAnsi="Bookman Old Style"/>
          <w:iCs/>
        </w:rPr>
        <w:t xml:space="preserve">social </w:t>
      </w:r>
      <w:r w:rsidR="004D36A1" w:rsidRPr="00C769E6">
        <w:rPr>
          <w:rFonts w:ascii="Bookman Old Style" w:hAnsi="Bookman Old Style"/>
          <w:iCs/>
        </w:rPr>
        <w:t xml:space="preserve">(archivo 05, pág. 14-18); iv) La Sra. Pimienta Álzate solicitó la pensión de jubilación el 25 de septiembre de 2015 (archivo 05, página 21); v) </w:t>
      </w:r>
      <w:r w:rsidR="00503889" w:rsidRPr="00C769E6">
        <w:rPr>
          <w:rFonts w:ascii="Bookman Old Style" w:hAnsi="Bookman Old Style"/>
          <w:iCs/>
        </w:rPr>
        <w:t xml:space="preserve">La UGPP negó la pensión convencional por resolución número RDP010587 del 18 de </w:t>
      </w:r>
      <w:r w:rsidR="007E6F26" w:rsidRPr="00C769E6">
        <w:rPr>
          <w:rFonts w:ascii="Bookman Old Style" w:hAnsi="Bookman Old Style"/>
          <w:iCs/>
        </w:rPr>
        <w:t>marzo</w:t>
      </w:r>
      <w:r w:rsidR="00503889" w:rsidRPr="00C769E6">
        <w:rPr>
          <w:rFonts w:ascii="Bookman Old Style" w:hAnsi="Bookman Old Style"/>
          <w:iCs/>
        </w:rPr>
        <w:t xml:space="preserve"> de 2015 bajo el argumento que conforme al acto legislativo 01 de 2005, dicho derecho convencional solo tuvo vigencia hasta el 31 de julio de 2010 (archivo 05, página </w:t>
      </w:r>
      <w:r w:rsidR="006653AF" w:rsidRPr="00C769E6">
        <w:rPr>
          <w:rFonts w:ascii="Bookman Old Style" w:hAnsi="Bookman Old Style"/>
          <w:iCs/>
        </w:rPr>
        <w:t>21-24)</w:t>
      </w:r>
      <w:r w:rsidR="007C1FFB" w:rsidRPr="00C769E6">
        <w:rPr>
          <w:rFonts w:ascii="Bookman Old Style" w:hAnsi="Bookman Old Style"/>
          <w:iCs/>
        </w:rPr>
        <w:t xml:space="preserve"> y, vi) Entre el ISS y SintraseguridadSocial se pactó una convención Colectiva de trabajo 2001 – 2004, la cual cuenta con nota de depósito con fecha del 13-10-2001 (archivo 05, página 25-9</w:t>
      </w:r>
      <w:r w:rsidR="00B413AF" w:rsidRPr="00C769E6">
        <w:rPr>
          <w:rFonts w:ascii="Bookman Old Style" w:hAnsi="Bookman Old Style"/>
          <w:iCs/>
        </w:rPr>
        <w:t>6</w:t>
      </w:r>
      <w:r w:rsidR="007C1FFB" w:rsidRPr="00C769E6">
        <w:rPr>
          <w:rFonts w:ascii="Bookman Old Style" w:hAnsi="Bookman Old Style"/>
          <w:iCs/>
        </w:rPr>
        <w:t>)</w:t>
      </w:r>
      <w:r w:rsidR="005F2E6C" w:rsidRPr="00C769E6">
        <w:rPr>
          <w:rFonts w:ascii="Bookman Old Style" w:hAnsi="Bookman Old Style"/>
          <w:iCs/>
        </w:rPr>
        <w:t>.</w:t>
      </w:r>
    </w:p>
    <w:p w14:paraId="625EBD16" w14:textId="77777777" w:rsidR="004D36A1" w:rsidRPr="00C769E6" w:rsidRDefault="004D36A1" w:rsidP="00C769E6">
      <w:pPr>
        <w:spacing w:line="276" w:lineRule="auto"/>
        <w:ind w:firstLine="0"/>
        <w:rPr>
          <w:rFonts w:ascii="Bookman Old Style" w:hAnsi="Bookman Old Style"/>
          <w:iCs/>
        </w:rPr>
      </w:pPr>
    </w:p>
    <w:p w14:paraId="1B142885" w14:textId="5C614F25" w:rsidR="00127C07" w:rsidRPr="00C769E6" w:rsidRDefault="00127C07" w:rsidP="00C769E6">
      <w:pPr>
        <w:spacing w:line="276" w:lineRule="auto"/>
        <w:ind w:firstLine="0"/>
        <w:jc w:val="center"/>
        <w:rPr>
          <w:rFonts w:ascii="Bookman Old Style" w:hAnsi="Bookman Old Style"/>
          <w:b/>
          <w:bCs/>
          <w:iCs/>
        </w:rPr>
      </w:pPr>
      <w:r w:rsidRPr="00C769E6">
        <w:rPr>
          <w:rFonts w:ascii="Bookman Old Style" w:hAnsi="Bookman Old Style"/>
          <w:b/>
          <w:bCs/>
          <w:iCs/>
        </w:rPr>
        <w:t>De la vigencia de las normas convencionales.</w:t>
      </w:r>
    </w:p>
    <w:p w14:paraId="4C9D0785" w14:textId="77777777" w:rsidR="00127C07" w:rsidRPr="00C769E6" w:rsidRDefault="00127C07" w:rsidP="00C769E6">
      <w:pPr>
        <w:spacing w:line="276" w:lineRule="auto"/>
        <w:ind w:firstLine="0"/>
        <w:rPr>
          <w:rFonts w:ascii="Bookman Old Style" w:hAnsi="Bookman Old Style"/>
          <w:iCs/>
        </w:rPr>
      </w:pPr>
    </w:p>
    <w:p w14:paraId="2818A590" w14:textId="43A70A53" w:rsidR="0036119E" w:rsidRPr="00C769E6" w:rsidRDefault="0036119E" w:rsidP="00C769E6">
      <w:pPr>
        <w:spacing w:line="276" w:lineRule="auto"/>
        <w:rPr>
          <w:rFonts w:ascii="Bookman Old Style" w:hAnsi="Bookman Old Style"/>
          <w:iCs/>
        </w:rPr>
      </w:pPr>
      <w:r w:rsidRPr="00C769E6">
        <w:rPr>
          <w:rFonts w:ascii="Bookman Old Style" w:hAnsi="Bookman Old Style"/>
          <w:iCs/>
        </w:rPr>
        <w:t xml:space="preserve">El Acto Legislativo 01 del 22 de julio de 2005, que adicionó el artículo 48 de la Constitución, </w:t>
      </w:r>
      <w:r w:rsidR="008C1B5A" w:rsidRPr="00C769E6">
        <w:rPr>
          <w:rFonts w:ascii="Bookman Old Style" w:hAnsi="Bookman Old Style"/>
          <w:iCs/>
        </w:rPr>
        <w:t>en lo que interesa al proceso, dispuso:</w:t>
      </w:r>
    </w:p>
    <w:p w14:paraId="18545CE2" w14:textId="77777777" w:rsidR="008C1B5A" w:rsidRPr="00C769E6" w:rsidRDefault="008C1B5A" w:rsidP="00C769E6">
      <w:pPr>
        <w:spacing w:line="276" w:lineRule="auto"/>
        <w:ind w:firstLine="0"/>
        <w:rPr>
          <w:rFonts w:ascii="Bookman Old Style" w:hAnsi="Bookman Old Style"/>
          <w:iCs/>
        </w:rPr>
      </w:pPr>
    </w:p>
    <w:p w14:paraId="6BDB5B81" w14:textId="61E1E063" w:rsidR="008C1B5A" w:rsidRPr="00A94AF8" w:rsidRDefault="008C1B5A"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“Artículo 1. Se adicionan los siguientes incisos y parágrafos al artículo 48 de la Constitución Política:</w:t>
      </w:r>
    </w:p>
    <w:p w14:paraId="1C65CF50" w14:textId="32214FBD" w:rsidR="008C1B5A" w:rsidRPr="00A94AF8" w:rsidRDefault="008C1B5A"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w:t>
      </w:r>
    </w:p>
    <w:p w14:paraId="44E31CEF" w14:textId="77777777" w:rsidR="0036119E" w:rsidRPr="00A94AF8" w:rsidRDefault="0036119E"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"Parágrafo 2. A partir de la vigencia del presente Acto Legislativo no podrán establecerse en pactos, convenciones colectivas de trabajo, laudos o acto jurídico alguno, condiciones pensionales diferentes a las establecidas en las leyes del Sistema General de Pensiones".</w:t>
      </w:r>
    </w:p>
    <w:p w14:paraId="0D6C67F7" w14:textId="7B9ABAAB" w:rsidR="005915B0" w:rsidRPr="00A94AF8" w:rsidRDefault="005915B0"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w:t>
      </w:r>
    </w:p>
    <w:p w14:paraId="06E07529" w14:textId="77777777" w:rsidR="0036119E" w:rsidRPr="00A94AF8" w:rsidRDefault="0036119E"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"Parágrafo transitorio 3. Las reglas de carácter pensional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pensionales más favorables que las que se encuentren actualmente vigentes. En todo caso perderán vigencia el 31 de julio de 2010".</w:t>
      </w:r>
    </w:p>
    <w:p w14:paraId="2AA3EE55" w14:textId="77777777" w:rsidR="005F23E4" w:rsidRPr="00A94AF8" w:rsidRDefault="005F23E4" w:rsidP="00A94AF8">
      <w:pPr>
        <w:spacing w:line="240" w:lineRule="auto"/>
        <w:ind w:left="426" w:right="420" w:firstLine="0"/>
        <w:rPr>
          <w:rFonts w:ascii="Bookman Old Style" w:hAnsi="Bookman Old Style"/>
          <w:iCs/>
          <w:sz w:val="22"/>
        </w:rPr>
      </w:pPr>
    </w:p>
    <w:p w14:paraId="6BFB5A0B" w14:textId="0F98EE5B" w:rsidR="0036119E" w:rsidRPr="00A94AF8" w:rsidRDefault="0036119E"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"Parágrafo transitorio </w:t>
      </w:r>
      <w:bookmarkStart w:id="8" w:name="4"/>
      <w:bookmarkEnd w:id="8"/>
      <w:r w:rsidRPr="00A94AF8">
        <w:rPr>
          <w:rFonts w:ascii="Bookman Old Style" w:hAnsi="Bookman Old Style"/>
          <w:iCs/>
          <w:sz w:val="22"/>
        </w:rPr>
        <w:t>4. El régimen de transición establecido en la Ley 100 de 1993 y demás normas que desarrollen dicho régimen, no podrá extenderse más allá del 31 de julio de 2010</w:t>
      </w:r>
      <w:r w:rsidR="005915B0" w:rsidRPr="00A94AF8">
        <w:rPr>
          <w:rFonts w:ascii="Bookman Old Style" w:hAnsi="Bookman Old Style"/>
          <w:iCs/>
          <w:sz w:val="22"/>
        </w:rPr>
        <w:t xml:space="preserve"> (…)</w:t>
      </w:r>
      <w:r w:rsidR="006420BB">
        <w:rPr>
          <w:rFonts w:ascii="Bookman Old Style" w:hAnsi="Bookman Old Style"/>
          <w:iCs/>
          <w:sz w:val="22"/>
        </w:rPr>
        <w:t>”</w:t>
      </w:r>
      <w:r w:rsidR="005915B0" w:rsidRPr="00A94AF8">
        <w:rPr>
          <w:rFonts w:ascii="Bookman Old Style" w:hAnsi="Bookman Old Style"/>
          <w:iCs/>
          <w:sz w:val="22"/>
        </w:rPr>
        <w:t>.</w:t>
      </w:r>
    </w:p>
    <w:p w14:paraId="4C1105CA" w14:textId="77777777" w:rsidR="005915B0" w:rsidRPr="00C769E6" w:rsidRDefault="005915B0" w:rsidP="00C769E6">
      <w:pPr>
        <w:spacing w:line="276" w:lineRule="auto"/>
        <w:ind w:left="709" w:firstLine="0"/>
        <w:rPr>
          <w:rFonts w:ascii="Bookman Old Style" w:hAnsi="Bookman Old Style"/>
          <w:iCs/>
        </w:rPr>
      </w:pPr>
    </w:p>
    <w:p w14:paraId="68784912" w14:textId="2BE5CA7E" w:rsidR="005915B0" w:rsidRPr="00C769E6" w:rsidRDefault="00DB1971" w:rsidP="00C769E6">
      <w:pPr>
        <w:spacing w:line="276" w:lineRule="auto"/>
        <w:rPr>
          <w:rFonts w:ascii="Bookman Old Style" w:hAnsi="Bookman Old Style"/>
          <w:iCs/>
        </w:rPr>
      </w:pPr>
      <w:r w:rsidRPr="00C769E6">
        <w:rPr>
          <w:rFonts w:ascii="Bookman Old Style" w:hAnsi="Bookman Old Style"/>
          <w:iCs/>
        </w:rPr>
        <w:t xml:space="preserve">A propósito de </w:t>
      </w:r>
      <w:r w:rsidR="00831BA4" w:rsidRPr="00C769E6">
        <w:rPr>
          <w:rFonts w:ascii="Bookman Old Style" w:hAnsi="Bookman Old Style"/>
          <w:iCs/>
        </w:rPr>
        <w:t xml:space="preserve">la vigencia de las normas convencionales en materia pensional a la luz de lo dispuesto en los parágrafos que preceden, </w:t>
      </w:r>
      <w:r w:rsidRPr="00C769E6">
        <w:rPr>
          <w:rFonts w:ascii="Bookman Old Style" w:hAnsi="Bookman Old Style"/>
          <w:iCs/>
        </w:rPr>
        <w:t xml:space="preserve">específicamente en el caso de la Convención aquí analizada, </w:t>
      </w:r>
      <w:r w:rsidR="00831BA4" w:rsidRPr="00C769E6">
        <w:rPr>
          <w:rFonts w:ascii="Bookman Old Style" w:hAnsi="Bookman Old Style"/>
          <w:iCs/>
        </w:rPr>
        <w:t>la Corte Suprema en reciente sentencia SL2307-2023, al respecto reiteró:</w:t>
      </w:r>
    </w:p>
    <w:p w14:paraId="206533BF" w14:textId="77777777" w:rsidR="00831BA4" w:rsidRPr="00C769E6" w:rsidRDefault="00831BA4" w:rsidP="00C769E6">
      <w:pPr>
        <w:spacing w:line="276" w:lineRule="auto"/>
        <w:ind w:firstLine="0"/>
        <w:rPr>
          <w:rFonts w:ascii="Bookman Old Style" w:hAnsi="Bookman Old Style"/>
          <w:iCs/>
        </w:rPr>
      </w:pPr>
    </w:p>
    <w:p w14:paraId="27244F88" w14:textId="5CD4E79D" w:rsidR="002C33E9" w:rsidRPr="00A94AF8" w:rsidRDefault="005E3E07"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w:t>
      </w:r>
      <w:r w:rsidR="00206CC9" w:rsidRPr="00A94AF8">
        <w:rPr>
          <w:rFonts w:ascii="Bookman Old Style" w:hAnsi="Bookman Old Style"/>
          <w:iCs/>
          <w:sz w:val="22"/>
        </w:rPr>
        <w:t xml:space="preserve">La </w:t>
      </w:r>
      <w:r w:rsidR="002C33E9" w:rsidRPr="00A94AF8">
        <w:rPr>
          <w:rFonts w:ascii="Bookman Old Style" w:hAnsi="Bookman Old Style"/>
          <w:iCs/>
          <w:sz w:val="22"/>
        </w:rPr>
        <w:t>Sala advierte que la decisión del juez de alzada se ajusta a lo sostenido por esta Corte, por cuanto la vigencia de la cláusula 98 de la convención tenía una temporalidad diferente, esto es, hasta el 2017.</w:t>
      </w:r>
    </w:p>
    <w:p w14:paraId="370BDEA9" w14:textId="77777777" w:rsidR="002C33E9" w:rsidRPr="00A94AF8" w:rsidRDefault="002C33E9" w:rsidP="00A94AF8">
      <w:pPr>
        <w:spacing w:line="240" w:lineRule="auto"/>
        <w:ind w:left="426" w:right="420" w:firstLine="0"/>
        <w:rPr>
          <w:rFonts w:ascii="Bookman Old Style" w:hAnsi="Bookman Old Style"/>
          <w:iCs/>
          <w:sz w:val="22"/>
        </w:rPr>
      </w:pPr>
    </w:p>
    <w:p w14:paraId="5A7F3428" w14:textId="360CEE32" w:rsidR="00831BA4" w:rsidRPr="00A94AF8" w:rsidRDefault="002C33E9"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De acuerdo con lo estipulado en los artículos 2º y 98 del acuerdo convencional, la Corte en providencia CSJ SL3635-2020, dispuso que el límite que el legislador fijó en materia pensional se extendió hasta el año 2017:</w:t>
      </w:r>
    </w:p>
    <w:p w14:paraId="7B652860" w14:textId="77777777" w:rsidR="0036119E" w:rsidRPr="00A94AF8" w:rsidRDefault="0036119E" w:rsidP="00A94AF8">
      <w:pPr>
        <w:spacing w:line="240" w:lineRule="auto"/>
        <w:ind w:left="426" w:right="420" w:firstLine="0"/>
        <w:rPr>
          <w:rFonts w:ascii="Bookman Old Style" w:hAnsi="Bookman Old Style"/>
          <w:iCs/>
          <w:sz w:val="22"/>
        </w:rPr>
      </w:pPr>
    </w:p>
    <w:p w14:paraId="218B225B" w14:textId="7C76FEAC" w:rsidR="00097C6D" w:rsidRPr="00A94AF8" w:rsidRDefault="00097C6D" w:rsidP="00A94AF8">
      <w:pPr>
        <w:spacing w:line="240" w:lineRule="auto"/>
        <w:ind w:left="426" w:right="420" w:firstLine="0"/>
        <w:rPr>
          <w:rFonts w:ascii="Bookman Old Style" w:hAnsi="Bookman Old Style"/>
          <w:iCs/>
          <w:sz w:val="22"/>
        </w:rPr>
      </w:pPr>
      <w:r w:rsidRPr="00A94AF8">
        <w:rPr>
          <w:rFonts w:ascii="Bookman Old Style" w:hAnsi="Bookman Old Style"/>
          <w:iCs/>
          <w:sz w:val="22"/>
        </w:rPr>
        <w:lastRenderedPageBreak/>
        <w:t xml:space="preserve">Asimismo, en sentencia CSJ SL1409-2015, frente a este preciso asunto, la </w:t>
      </w:r>
      <w:r w:rsidR="00DB1971" w:rsidRPr="00A94AF8">
        <w:rPr>
          <w:rFonts w:ascii="Bookman Old Style" w:hAnsi="Bookman Old Style"/>
          <w:iCs/>
          <w:sz w:val="22"/>
        </w:rPr>
        <w:t>Corporación</w:t>
      </w:r>
      <w:r w:rsidRPr="00A94AF8">
        <w:rPr>
          <w:rFonts w:ascii="Bookman Old Style" w:hAnsi="Bookman Old Style"/>
          <w:iCs/>
          <w:sz w:val="22"/>
        </w:rPr>
        <w:t xml:space="preserve"> indicó: </w:t>
      </w:r>
    </w:p>
    <w:p w14:paraId="71B1C224" w14:textId="77777777" w:rsidR="00097C6D" w:rsidRPr="00A94AF8" w:rsidRDefault="00097C6D"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w:t>
      </w:r>
    </w:p>
    <w:p w14:paraId="504F37BF" w14:textId="29EAEEF4" w:rsidR="00DB1971" w:rsidRPr="00A94AF8" w:rsidRDefault="00097C6D"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 xml:space="preserve">Frente a ello, </w:t>
      </w:r>
      <w:r w:rsidR="00DB1971" w:rsidRPr="00A94AF8">
        <w:rPr>
          <w:rFonts w:ascii="Bookman Old Style" w:hAnsi="Bookman Old Style"/>
          <w:iCs/>
          <w:sz w:val="22"/>
        </w:rPr>
        <w:t>podría</w:t>
      </w:r>
      <w:r w:rsidRPr="00A94AF8">
        <w:rPr>
          <w:rFonts w:ascii="Bookman Old Style" w:hAnsi="Bookman Old Style"/>
          <w:iCs/>
          <w:sz w:val="22"/>
        </w:rPr>
        <w:t xml:space="preserve"> decirse que </w:t>
      </w:r>
      <w:r w:rsidR="00206CC9" w:rsidRPr="00A94AF8">
        <w:rPr>
          <w:rFonts w:ascii="Bookman Old Style" w:hAnsi="Bookman Old Style"/>
          <w:iCs/>
          <w:sz w:val="22"/>
        </w:rPr>
        <w:t>algunas cláusulas de esa convención llevan</w:t>
      </w:r>
      <w:r w:rsidRPr="00A94AF8">
        <w:rPr>
          <w:rFonts w:ascii="Bookman Old Style" w:hAnsi="Bookman Old Style"/>
          <w:iCs/>
          <w:sz w:val="22"/>
        </w:rPr>
        <w:t xml:space="preserve"> (sic) al convencimiento de que varias de sus prerrogativas y concretamente las relativas a la </w:t>
      </w:r>
      <w:r w:rsidR="00DB1971" w:rsidRPr="00A94AF8">
        <w:rPr>
          <w:rFonts w:ascii="Bookman Old Style" w:hAnsi="Bookman Old Style"/>
          <w:iCs/>
          <w:sz w:val="22"/>
        </w:rPr>
        <w:t>pensión</w:t>
      </w:r>
      <w:r w:rsidRPr="00A94AF8">
        <w:rPr>
          <w:rFonts w:ascii="Bookman Old Style" w:hAnsi="Bookman Old Style"/>
          <w:iCs/>
          <w:sz w:val="22"/>
        </w:rPr>
        <w:t xml:space="preserve"> de </w:t>
      </w:r>
      <w:r w:rsidR="00DB1971" w:rsidRPr="00A94AF8">
        <w:rPr>
          <w:rFonts w:ascii="Bookman Old Style" w:hAnsi="Bookman Old Style"/>
          <w:iCs/>
          <w:sz w:val="22"/>
        </w:rPr>
        <w:t>jubilación</w:t>
      </w:r>
      <w:r w:rsidRPr="00A94AF8">
        <w:rPr>
          <w:rFonts w:ascii="Bookman Old Style" w:hAnsi="Bookman Old Style"/>
          <w:iCs/>
          <w:sz w:val="22"/>
        </w:rPr>
        <w:t xml:space="preserve"> tienen una vigencia superior al 31 de octubre de 2004, en tanto de conformidad con el </w:t>
      </w:r>
      <w:r w:rsidR="00A94AF8" w:rsidRPr="00A94AF8">
        <w:rPr>
          <w:rFonts w:ascii="Bookman Old Style" w:hAnsi="Bookman Old Style"/>
          <w:iCs/>
          <w:sz w:val="22"/>
        </w:rPr>
        <w:t>artículo</w:t>
      </w:r>
      <w:r w:rsidRPr="00A94AF8">
        <w:rPr>
          <w:rFonts w:ascii="Bookman Old Style" w:hAnsi="Bookman Old Style"/>
          <w:iCs/>
          <w:sz w:val="22"/>
        </w:rPr>
        <w:t xml:space="preserve"> 98 su vigencia se extiende hasta el </w:t>
      </w:r>
      <w:r w:rsidR="00206CC9" w:rsidRPr="00A94AF8">
        <w:rPr>
          <w:rFonts w:ascii="Bookman Old Style" w:hAnsi="Bookman Old Style"/>
          <w:iCs/>
          <w:sz w:val="22"/>
        </w:rPr>
        <w:t>año</w:t>
      </w:r>
      <w:r w:rsidRPr="00A94AF8">
        <w:rPr>
          <w:rFonts w:ascii="Bookman Old Style" w:hAnsi="Bookman Old Style"/>
          <w:iCs/>
          <w:sz w:val="22"/>
        </w:rPr>
        <w:t xml:space="preserve"> 2017. Asimismo, importa resaltar que no obra en el expediente una </w:t>
      </w:r>
      <w:r w:rsidR="00DB1971" w:rsidRPr="00A94AF8">
        <w:rPr>
          <w:rFonts w:ascii="Bookman Old Style" w:hAnsi="Bookman Old Style"/>
          <w:iCs/>
          <w:sz w:val="22"/>
        </w:rPr>
        <w:t>convención</w:t>
      </w:r>
      <w:r w:rsidRPr="00A94AF8">
        <w:rPr>
          <w:rFonts w:ascii="Bookman Old Style" w:hAnsi="Bookman Old Style"/>
          <w:iCs/>
          <w:sz w:val="22"/>
        </w:rPr>
        <w:t xml:space="preserve"> colectiva de trabajo celebrada con posterioridad a la mencionada anteriormente</w:t>
      </w:r>
      <w:r w:rsidR="00893300" w:rsidRPr="00A94AF8">
        <w:rPr>
          <w:rFonts w:ascii="Bookman Old Style" w:hAnsi="Bookman Old Style"/>
          <w:iCs/>
          <w:sz w:val="22"/>
        </w:rPr>
        <w:t>.</w:t>
      </w:r>
      <w:r w:rsidRPr="00A94AF8">
        <w:rPr>
          <w:rFonts w:ascii="Bookman Old Style" w:hAnsi="Bookman Old Style"/>
          <w:iCs/>
          <w:sz w:val="22"/>
        </w:rPr>
        <w:t xml:space="preserve"> </w:t>
      </w:r>
    </w:p>
    <w:p w14:paraId="25134D42" w14:textId="77777777" w:rsidR="00893300" w:rsidRPr="00A94AF8" w:rsidRDefault="00893300" w:rsidP="00A94AF8">
      <w:pPr>
        <w:spacing w:line="240" w:lineRule="auto"/>
        <w:ind w:left="426" w:right="420" w:firstLine="0"/>
        <w:rPr>
          <w:rFonts w:ascii="Bookman Old Style" w:hAnsi="Bookman Old Style"/>
          <w:iCs/>
          <w:sz w:val="22"/>
        </w:rPr>
      </w:pPr>
    </w:p>
    <w:p w14:paraId="5DDA6BCB" w14:textId="7087B17E" w:rsidR="0036119E" w:rsidRPr="00A94AF8" w:rsidRDefault="00097C6D" w:rsidP="00A94AF8">
      <w:pPr>
        <w:spacing w:line="240" w:lineRule="auto"/>
        <w:ind w:left="426" w:right="420" w:firstLine="0"/>
        <w:rPr>
          <w:rFonts w:ascii="Bookman Old Style" w:hAnsi="Bookman Old Style"/>
          <w:iCs/>
          <w:sz w:val="22"/>
        </w:rPr>
      </w:pPr>
      <w:r w:rsidRPr="00A94AF8">
        <w:rPr>
          <w:rFonts w:ascii="Bookman Old Style" w:hAnsi="Bookman Old Style"/>
          <w:iCs/>
          <w:sz w:val="22"/>
        </w:rPr>
        <w:t xml:space="preserve">En consecuencia, a la entrada en vigor del Acto Legislativo 01 de 2005 la referida </w:t>
      </w:r>
      <w:r w:rsidR="00DB1971" w:rsidRPr="00A94AF8">
        <w:rPr>
          <w:rFonts w:ascii="Bookman Old Style" w:hAnsi="Bookman Old Style"/>
          <w:iCs/>
          <w:sz w:val="22"/>
        </w:rPr>
        <w:t>cláusula</w:t>
      </w:r>
      <w:r w:rsidRPr="00A94AF8">
        <w:rPr>
          <w:rFonts w:ascii="Bookman Old Style" w:hAnsi="Bookman Old Style"/>
          <w:iCs/>
          <w:sz w:val="22"/>
        </w:rPr>
        <w:t xml:space="preserve"> convencional </w:t>
      </w:r>
      <w:r w:rsidR="00DB1971" w:rsidRPr="00A94AF8">
        <w:rPr>
          <w:rFonts w:ascii="Bookman Old Style" w:hAnsi="Bookman Old Style"/>
          <w:iCs/>
          <w:sz w:val="22"/>
        </w:rPr>
        <w:t>venía</w:t>
      </w:r>
      <w:r w:rsidRPr="00A94AF8">
        <w:rPr>
          <w:rFonts w:ascii="Bookman Old Style" w:hAnsi="Bookman Old Style"/>
          <w:iCs/>
          <w:sz w:val="22"/>
        </w:rPr>
        <w:t xml:space="preserve"> rigiendo y, de acuerdo con el plazo inicialmente pactado entre las partes, </w:t>
      </w:r>
      <w:r w:rsidR="00DB1971" w:rsidRPr="00A94AF8">
        <w:rPr>
          <w:rFonts w:ascii="Bookman Old Style" w:hAnsi="Bookman Old Style"/>
          <w:iCs/>
          <w:sz w:val="22"/>
        </w:rPr>
        <w:t>tenía</w:t>
      </w:r>
      <w:r w:rsidRPr="00A94AF8">
        <w:rPr>
          <w:rFonts w:ascii="Bookman Old Style" w:hAnsi="Bookman Old Style"/>
          <w:iCs/>
          <w:sz w:val="22"/>
        </w:rPr>
        <w:t xml:space="preserve"> vigencia hasta el año 2017. Dicho de otro modo, en </w:t>
      </w:r>
      <w:r w:rsidR="00DB1971" w:rsidRPr="00A94AF8">
        <w:rPr>
          <w:rFonts w:ascii="Bookman Old Style" w:hAnsi="Bookman Old Style"/>
          <w:iCs/>
          <w:sz w:val="22"/>
        </w:rPr>
        <w:t>armonía</w:t>
      </w:r>
      <w:r w:rsidRPr="00A94AF8">
        <w:rPr>
          <w:rFonts w:ascii="Bookman Old Style" w:hAnsi="Bookman Old Style"/>
          <w:iCs/>
          <w:sz w:val="22"/>
        </w:rPr>
        <w:t xml:space="preserve"> con los postulados de la enmienda constitucional, las partes acordaron darle al </w:t>
      </w:r>
      <w:r w:rsidR="00DB1971" w:rsidRPr="00A94AF8">
        <w:rPr>
          <w:rFonts w:ascii="Bookman Old Style" w:hAnsi="Bookman Old Style"/>
          <w:iCs/>
          <w:sz w:val="22"/>
        </w:rPr>
        <w:t>artículo</w:t>
      </w:r>
      <w:r w:rsidRPr="00A94AF8">
        <w:rPr>
          <w:rFonts w:ascii="Bookman Old Style" w:hAnsi="Bookman Old Style"/>
          <w:iCs/>
          <w:sz w:val="22"/>
        </w:rPr>
        <w:t xml:space="preserve"> 98 de la </w:t>
      </w:r>
      <w:r w:rsidR="00DB1971" w:rsidRPr="00A94AF8">
        <w:rPr>
          <w:rFonts w:ascii="Bookman Old Style" w:hAnsi="Bookman Old Style"/>
          <w:iCs/>
          <w:sz w:val="22"/>
        </w:rPr>
        <w:t>convención</w:t>
      </w:r>
      <w:r w:rsidRPr="00A94AF8">
        <w:rPr>
          <w:rFonts w:ascii="Bookman Old Style" w:hAnsi="Bookman Old Style"/>
          <w:iCs/>
          <w:sz w:val="22"/>
        </w:rPr>
        <w:t xml:space="preserve"> colectiva de trabajo mayor estabilidad en el tiempo y, de esa forma, fijaron derechos adquiridos frente a los compromisos pensionales pactados, por lo menos, durante su plazo de vigencia</w:t>
      </w:r>
      <w:r w:rsidR="00DB1971" w:rsidRPr="00A94AF8">
        <w:rPr>
          <w:rFonts w:ascii="Bookman Old Style" w:hAnsi="Bookman Old Style"/>
          <w:iCs/>
          <w:sz w:val="22"/>
        </w:rPr>
        <w:t>”</w:t>
      </w:r>
      <w:r w:rsidRPr="00A94AF8">
        <w:rPr>
          <w:rFonts w:ascii="Bookman Old Style" w:hAnsi="Bookman Old Style"/>
          <w:iCs/>
          <w:sz w:val="22"/>
        </w:rPr>
        <w:t>.</w:t>
      </w:r>
    </w:p>
    <w:p w14:paraId="2C7F6133" w14:textId="6C21AC7C" w:rsidR="0036119E" w:rsidRPr="00C769E6" w:rsidRDefault="0036119E" w:rsidP="00C769E6">
      <w:pPr>
        <w:spacing w:line="276" w:lineRule="auto"/>
        <w:ind w:firstLine="0"/>
        <w:rPr>
          <w:rFonts w:ascii="Bookman Old Style" w:hAnsi="Bookman Old Style"/>
          <w:iCs/>
        </w:rPr>
      </w:pPr>
    </w:p>
    <w:p w14:paraId="3825C385" w14:textId="4D153E40" w:rsidR="00411FEE" w:rsidRPr="00C769E6" w:rsidRDefault="00A5609C" w:rsidP="00C769E6">
      <w:pPr>
        <w:spacing w:line="276" w:lineRule="auto"/>
        <w:rPr>
          <w:rFonts w:ascii="Bookman Old Style" w:hAnsi="Bookman Old Style"/>
          <w:iCs/>
        </w:rPr>
      </w:pPr>
      <w:r w:rsidRPr="00C769E6">
        <w:rPr>
          <w:rFonts w:ascii="Bookman Old Style" w:hAnsi="Bookman Old Style"/>
          <w:iCs/>
        </w:rPr>
        <w:t xml:space="preserve">Dicha posición, ha sido </w:t>
      </w:r>
      <w:r w:rsidR="00411FEE" w:rsidRPr="00C769E6">
        <w:rPr>
          <w:rFonts w:ascii="Bookman Old Style" w:hAnsi="Bookman Old Style"/>
          <w:iCs/>
        </w:rPr>
        <w:t>esgrimid</w:t>
      </w:r>
      <w:r w:rsidRPr="00C769E6">
        <w:rPr>
          <w:rFonts w:ascii="Bookman Old Style" w:hAnsi="Bookman Old Style"/>
          <w:iCs/>
        </w:rPr>
        <w:t>a por la Corte,</w:t>
      </w:r>
      <w:r w:rsidR="00411FEE" w:rsidRPr="00C769E6">
        <w:rPr>
          <w:rFonts w:ascii="Bookman Old Style" w:hAnsi="Bookman Old Style"/>
          <w:iCs/>
        </w:rPr>
        <w:t xml:space="preserve"> entre otras, en las recientes sentencias SL2152-2023 y </w:t>
      </w:r>
      <w:r w:rsidRPr="00C769E6">
        <w:rPr>
          <w:rFonts w:ascii="Bookman Old Style" w:hAnsi="Bookman Old Style"/>
          <w:iCs/>
        </w:rPr>
        <w:t xml:space="preserve">SL2065-2023, de manera que la decisión adoptada por la jueza de instancia se acompasa con el precedente traído a colación y, por ello mismo, se confirmará la decisión </w:t>
      </w:r>
      <w:r w:rsidR="007E6F26" w:rsidRPr="00C769E6">
        <w:rPr>
          <w:rFonts w:ascii="Bookman Old Style" w:hAnsi="Bookman Old Style"/>
          <w:iCs/>
        </w:rPr>
        <w:t xml:space="preserve">(ordinal 1) </w:t>
      </w:r>
      <w:r w:rsidRPr="00C769E6">
        <w:rPr>
          <w:rFonts w:ascii="Bookman Old Style" w:hAnsi="Bookman Old Style"/>
          <w:iCs/>
        </w:rPr>
        <w:t>en tal sentido.</w:t>
      </w:r>
    </w:p>
    <w:p w14:paraId="582A4948" w14:textId="77777777" w:rsidR="00A5609C" w:rsidRPr="00C769E6" w:rsidRDefault="00A5609C" w:rsidP="00C769E6">
      <w:pPr>
        <w:spacing w:line="276" w:lineRule="auto"/>
        <w:ind w:firstLine="0"/>
        <w:rPr>
          <w:rFonts w:ascii="Bookman Old Style" w:hAnsi="Bookman Old Style"/>
          <w:iCs/>
        </w:rPr>
      </w:pPr>
    </w:p>
    <w:p w14:paraId="60216D21" w14:textId="5F756976" w:rsidR="00A5609C" w:rsidRPr="00C769E6" w:rsidRDefault="00A5609C" w:rsidP="00C769E6">
      <w:pPr>
        <w:spacing w:line="276" w:lineRule="auto"/>
        <w:ind w:firstLine="0"/>
        <w:jc w:val="center"/>
        <w:rPr>
          <w:rFonts w:ascii="Bookman Old Style" w:hAnsi="Bookman Old Style"/>
          <w:b/>
          <w:bCs/>
          <w:iCs/>
        </w:rPr>
      </w:pPr>
      <w:r w:rsidRPr="00C769E6">
        <w:rPr>
          <w:rFonts w:ascii="Bookman Old Style" w:hAnsi="Bookman Old Style"/>
          <w:b/>
          <w:bCs/>
          <w:iCs/>
        </w:rPr>
        <w:t>De la pensión de jubilación convencional.</w:t>
      </w:r>
    </w:p>
    <w:p w14:paraId="201B8E7C" w14:textId="77777777" w:rsidR="00127C07" w:rsidRPr="00C769E6" w:rsidRDefault="00127C07" w:rsidP="00C769E6">
      <w:pPr>
        <w:spacing w:line="276" w:lineRule="auto"/>
        <w:ind w:firstLine="0"/>
        <w:rPr>
          <w:rFonts w:ascii="Bookman Old Style" w:hAnsi="Bookman Old Style"/>
          <w:iCs/>
        </w:rPr>
      </w:pPr>
    </w:p>
    <w:p w14:paraId="246D5AA6" w14:textId="25E15478" w:rsidR="00517552" w:rsidRPr="00C769E6" w:rsidRDefault="00C6460A" w:rsidP="00C769E6">
      <w:pPr>
        <w:spacing w:line="276" w:lineRule="auto"/>
        <w:rPr>
          <w:rFonts w:ascii="Bookman Old Style" w:hAnsi="Bookman Old Style"/>
          <w:iCs/>
        </w:rPr>
      </w:pPr>
      <w:r w:rsidRPr="00C769E6">
        <w:rPr>
          <w:rFonts w:ascii="Bookman Old Style" w:hAnsi="Bookman Old Style"/>
          <w:iCs/>
        </w:rPr>
        <w:t xml:space="preserve">Para resolver el </w:t>
      </w:r>
      <w:r w:rsidR="00CC29CD" w:rsidRPr="00C769E6">
        <w:rPr>
          <w:rFonts w:ascii="Bookman Old Style" w:hAnsi="Bookman Old Style"/>
          <w:iCs/>
        </w:rPr>
        <w:t>segundo</w:t>
      </w:r>
      <w:r w:rsidR="00517552" w:rsidRPr="00C769E6">
        <w:rPr>
          <w:rFonts w:ascii="Bookman Old Style" w:hAnsi="Bookman Old Style"/>
          <w:iCs/>
        </w:rPr>
        <w:t xml:space="preserve"> </w:t>
      </w:r>
      <w:r w:rsidRPr="00C769E6">
        <w:rPr>
          <w:rFonts w:ascii="Bookman Old Style" w:hAnsi="Bookman Old Style"/>
          <w:iCs/>
        </w:rPr>
        <w:t>problema jurídico</w:t>
      </w:r>
      <w:r w:rsidR="00517552" w:rsidRPr="00C769E6">
        <w:rPr>
          <w:rFonts w:ascii="Bookman Old Style" w:hAnsi="Bookman Old Style"/>
          <w:iCs/>
        </w:rPr>
        <w:t>, debe decirse que, según la documental que milita en el expediente (archivo 05, página 4-8 y 14-18), la actora al haber trabajado en el extinto ISS, entidad en la que tuvo la calidad de trabajadora oficial, es beneficiaria de la convención colectiva de trabajo suscrita entre esa entidad y Sintraseguridadsocial, hasta el 31 de marzo de 2015, calenda en que cesó su contrato de trabajo.</w:t>
      </w:r>
    </w:p>
    <w:p w14:paraId="2F8E2178" w14:textId="77777777" w:rsidR="00D44FF7" w:rsidRPr="00C769E6" w:rsidRDefault="00D44FF7" w:rsidP="00C769E6">
      <w:pPr>
        <w:spacing w:line="276" w:lineRule="auto"/>
        <w:rPr>
          <w:rFonts w:ascii="Bookman Old Style" w:hAnsi="Bookman Old Style"/>
          <w:iCs/>
        </w:rPr>
      </w:pPr>
    </w:p>
    <w:p w14:paraId="4FD588BD" w14:textId="52CD5141" w:rsidR="00AD55EA" w:rsidRPr="00C769E6" w:rsidRDefault="00D44FF7" w:rsidP="00C769E6">
      <w:pPr>
        <w:spacing w:line="276" w:lineRule="auto"/>
        <w:rPr>
          <w:rFonts w:ascii="Bookman Old Style" w:hAnsi="Bookman Old Style"/>
          <w:iCs/>
        </w:rPr>
      </w:pPr>
      <w:r w:rsidRPr="00C769E6">
        <w:rPr>
          <w:rFonts w:ascii="Bookman Old Style" w:hAnsi="Bookman Old Style"/>
          <w:iCs/>
        </w:rPr>
        <w:t xml:space="preserve">Ahora, al revisar el texto Convencional que milita en el expediente, </w:t>
      </w:r>
      <w:r w:rsidR="00352A82" w:rsidRPr="00C769E6">
        <w:rPr>
          <w:rFonts w:ascii="Bookman Old Style" w:hAnsi="Bookman Old Style"/>
          <w:iCs/>
        </w:rPr>
        <w:t>el título octavo</w:t>
      </w:r>
      <w:r w:rsidR="00407D9C" w:rsidRPr="00C769E6">
        <w:rPr>
          <w:rFonts w:ascii="Bookman Old Style" w:hAnsi="Bookman Old Style"/>
          <w:iCs/>
        </w:rPr>
        <w:t xml:space="preserve"> impone como requisitos para tener </w:t>
      </w:r>
      <w:r w:rsidR="00AD55EA" w:rsidRPr="00C769E6">
        <w:rPr>
          <w:rFonts w:ascii="Bookman Old Style" w:hAnsi="Bookman Old Style"/>
          <w:iCs/>
        </w:rPr>
        <w:t xml:space="preserve">derecho a </w:t>
      </w:r>
      <w:r w:rsidR="00352A82" w:rsidRPr="00C769E6">
        <w:rPr>
          <w:rFonts w:ascii="Bookman Old Style" w:hAnsi="Bookman Old Style"/>
          <w:iCs/>
        </w:rPr>
        <w:t xml:space="preserve">la pensión de jubilación </w:t>
      </w:r>
      <w:r w:rsidR="00AD55EA" w:rsidRPr="00C769E6">
        <w:rPr>
          <w:rFonts w:ascii="Bookman Old Style" w:hAnsi="Bookman Old Style"/>
          <w:iCs/>
        </w:rPr>
        <w:t xml:space="preserve">Convencional </w:t>
      </w:r>
      <w:r w:rsidR="00407D9C" w:rsidRPr="00C769E6">
        <w:rPr>
          <w:rFonts w:ascii="Bookman Old Style" w:hAnsi="Bookman Old Style"/>
          <w:iCs/>
        </w:rPr>
        <w:t>d</w:t>
      </w:r>
      <w:r w:rsidR="00AD55EA" w:rsidRPr="00C769E6">
        <w:rPr>
          <w:rFonts w:ascii="Bookman Old Style" w:hAnsi="Bookman Old Style"/>
          <w:iCs/>
        </w:rPr>
        <w:t xml:space="preserve">el </w:t>
      </w:r>
      <w:r w:rsidR="00352A82" w:rsidRPr="00C769E6">
        <w:rPr>
          <w:rFonts w:ascii="Bookman Old Style" w:hAnsi="Bookman Old Style"/>
          <w:iCs/>
        </w:rPr>
        <w:t>artículo 98</w:t>
      </w:r>
      <w:r w:rsidR="00B104AA" w:rsidRPr="00C769E6">
        <w:rPr>
          <w:rFonts w:ascii="Bookman Old Style" w:hAnsi="Bookman Old Style"/>
          <w:iCs/>
        </w:rPr>
        <w:t>,</w:t>
      </w:r>
      <w:r w:rsidR="00352A82" w:rsidRPr="00C769E6">
        <w:rPr>
          <w:rFonts w:ascii="Bookman Old Style" w:hAnsi="Bookman Old Style"/>
          <w:iCs/>
        </w:rPr>
        <w:t xml:space="preserve"> </w:t>
      </w:r>
      <w:r w:rsidR="00407D9C" w:rsidRPr="00C769E6">
        <w:rPr>
          <w:rFonts w:ascii="Bookman Old Style" w:hAnsi="Bookman Old Style"/>
          <w:iCs/>
        </w:rPr>
        <w:t>los siguientes</w:t>
      </w:r>
      <w:r w:rsidR="00352A82" w:rsidRPr="00C769E6">
        <w:rPr>
          <w:rFonts w:ascii="Bookman Old Style" w:hAnsi="Bookman Old Style"/>
          <w:iCs/>
        </w:rPr>
        <w:t>: i) El trabajador oficial acredite veinte (20) años de servicio continuo o discontinuo al ISS</w:t>
      </w:r>
      <w:r w:rsidR="00AD55EA" w:rsidRPr="00C769E6">
        <w:rPr>
          <w:rFonts w:ascii="Bookman Old Style" w:hAnsi="Bookman Old Style"/>
          <w:iCs/>
        </w:rPr>
        <w:t xml:space="preserve"> y</w:t>
      </w:r>
      <w:r w:rsidR="00352A82" w:rsidRPr="00C769E6">
        <w:rPr>
          <w:rFonts w:ascii="Bookman Old Style" w:hAnsi="Bookman Old Style"/>
          <w:iCs/>
        </w:rPr>
        <w:t>, ii</w:t>
      </w:r>
      <w:r w:rsidR="00B104AA" w:rsidRPr="00C769E6">
        <w:rPr>
          <w:rFonts w:ascii="Bookman Old Style" w:hAnsi="Bookman Old Style"/>
          <w:iCs/>
        </w:rPr>
        <w:t>) Arribe</w:t>
      </w:r>
      <w:r w:rsidR="00352A82" w:rsidRPr="00C769E6">
        <w:rPr>
          <w:rFonts w:ascii="Bookman Old Style" w:hAnsi="Bookman Old Style"/>
          <w:iCs/>
        </w:rPr>
        <w:t xml:space="preserve"> a los 55 años, en el caso de los hombres y </w:t>
      </w:r>
      <w:r w:rsidR="00AD55EA" w:rsidRPr="00C769E6">
        <w:rPr>
          <w:rFonts w:ascii="Bookman Old Style" w:hAnsi="Bookman Old Style"/>
          <w:iCs/>
        </w:rPr>
        <w:t xml:space="preserve">50 años, </w:t>
      </w:r>
      <w:r w:rsidR="00352A82" w:rsidRPr="00C769E6">
        <w:rPr>
          <w:rFonts w:ascii="Bookman Old Style" w:hAnsi="Bookman Old Style"/>
          <w:iCs/>
        </w:rPr>
        <w:t>en el caso de las mujeres</w:t>
      </w:r>
      <w:r w:rsidR="00AD55EA" w:rsidRPr="00C769E6">
        <w:rPr>
          <w:rFonts w:ascii="Bookman Old Style" w:hAnsi="Bookman Old Style"/>
          <w:iCs/>
        </w:rPr>
        <w:t>.</w:t>
      </w:r>
    </w:p>
    <w:p w14:paraId="62257EBD" w14:textId="77777777" w:rsidR="00AD55EA" w:rsidRPr="00C769E6" w:rsidRDefault="00AD55EA" w:rsidP="00C769E6">
      <w:pPr>
        <w:spacing w:line="276" w:lineRule="auto"/>
        <w:rPr>
          <w:rFonts w:ascii="Bookman Old Style" w:hAnsi="Bookman Old Style"/>
          <w:iCs/>
        </w:rPr>
      </w:pPr>
    </w:p>
    <w:p w14:paraId="0A348C5B" w14:textId="31A926BA" w:rsidR="00407D9C" w:rsidRPr="00C769E6" w:rsidRDefault="00407D9C" w:rsidP="00C769E6">
      <w:pPr>
        <w:spacing w:line="276" w:lineRule="auto"/>
        <w:rPr>
          <w:rFonts w:ascii="Bookman Old Style" w:hAnsi="Bookman Old Style"/>
          <w:iCs/>
        </w:rPr>
      </w:pPr>
      <w:r w:rsidRPr="00C769E6">
        <w:rPr>
          <w:rFonts w:ascii="Bookman Old Style" w:hAnsi="Bookman Old Style"/>
          <w:iCs/>
        </w:rPr>
        <w:t xml:space="preserve">De la documental que </w:t>
      </w:r>
      <w:r w:rsidR="00B104AA" w:rsidRPr="00C769E6">
        <w:rPr>
          <w:rFonts w:ascii="Bookman Old Style" w:hAnsi="Bookman Old Style"/>
          <w:iCs/>
        </w:rPr>
        <w:t>obra</w:t>
      </w:r>
      <w:r w:rsidRPr="00C769E6">
        <w:rPr>
          <w:rFonts w:ascii="Bookman Old Style" w:hAnsi="Bookman Old Style"/>
          <w:iCs/>
        </w:rPr>
        <w:t xml:space="preserve"> en el expediente digital (archivo 05, pág. 1-8), se arriba a la conclusión que la actora cuenta con 22 años </w:t>
      </w:r>
      <w:r w:rsidR="002F5B9F" w:rsidRPr="00C769E6">
        <w:rPr>
          <w:rFonts w:ascii="Bookman Old Style" w:hAnsi="Bookman Old Style"/>
          <w:iCs/>
        </w:rPr>
        <w:t>y 2</w:t>
      </w:r>
      <w:r w:rsidRPr="00C769E6">
        <w:rPr>
          <w:rFonts w:ascii="Bookman Old Style" w:hAnsi="Bookman Old Style"/>
          <w:iCs/>
        </w:rPr>
        <w:t xml:space="preserve"> meses de </w:t>
      </w:r>
      <w:r w:rsidR="00273722" w:rsidRPr="00C769E6">
        <w:rPr>
          <w:rFonts w:ascii="Bookman Old Style" w:hAnsi="Bookman Old Style"/>
          <w:iCs/>
        </w:rPr>
        <w:t>tiempo servido al ISS</w:t>
      </w:r>
      <w:r w:rsidRPr="00C769E6">
        <w:rPr>
          <w:rFonts w:ascii="Bookman Old Style" w:hAnsi="Bookman Old Style"/>
          <w:iCs/>
        </w:rPr>
        <w:t xml:space="preserve">, entidad en la que tuvo la calidad de trabajadora oficial y, por ende, </w:t>
      </w:r>
      <w:r w:rsidR="00273722" w:rsidRPr="00C769E6">
        <w:rPr>
          <w:rFonts w:ascii="Bookman Old Style" w:hAnsi="Bookman Old Style"/>
          <w:iCs/>
        </w:rPr>
        <w:t xml:space="preserve">como ya se había anunciado, es </w:t>
      </w:r>
      <w:r w:rsidRPr="00C769E6">
        <w:rPr>
          <w:rFonts w:ascii="Bookman Old Style" w:hAnsi="Bookman Old Style"/>
          <w:iCs/>
        </w:rPr>
        <w:t xml:space="preserve">beneficiaria de la </w:t>
      </w:r>
      <w:r w:rsidR="00273722" w:rsidRPr="00C769E6">
        <w:rPr>
          <w:rFonts w:ascii="Bookman Old Style" w:hAnsi="Bookman Old Style"/>
          <w:iCs/>
        </w:rPr>
        <w:t xml:space="preserve">convención colectiva de trabajo </w:t>
      </w:r>
      <w:r w:rsidRPr="00C769E6">
        <w:rPr>
          <w:rFonts w:ascii="Bookman Old Style" w:hAnsi="Bookman Old Style"/>
          <w:iCs/>
        </w:rPr>
        <w:t xml:space="preserve">suscrita entre esa entidad y Sintraseguridadsocial, hasta el </w:t>
      </w:r>
      <w:r w:rsidR="00273722" w:rsidRPr="00C769E6">
        <w:rPr>
          <w:rFonts w:ascii="Bookman Old Style" w:hAnsi="Bookman Old Style"/>
          <w:iCs/>
        </w:rPr>
        <w:t xml:space="preserve">31 de marzo </w:t>
      </w:r>
      <w:r w:rsidRPr="00C769E6">
        <w:rPr>
          <w:rFonts w:ascii="Bookman Old Style" w:hAnsi="Bookman Old Style"/>
          <w:iCs/>
        </w:rPr>
        <w:t>de 201</w:t>
      </w:r>
      <w:r w:rsidR="00273722" w:rsidRPr="00C769E6">
        <w:rPr>
          <w:rFonts w:ascii="Bookman Old Style" w:hAnsi="Bookman Old Style"/>
          <w:iCs/>
        </w:rPr>
        <w:t>5</w:t>
      </w:r>
      <w:r w:rsidRPr="00C769E6">
        <w:rPr>
          <w:rFonts w:ascii="Bookman Old Style" w:hAnsi="Bookman Old Style"/>
          <w:iCs/>
        </w:rPr>
        <w:t xml:space="preserve">, calenda en que cesó su contrato de trabajo, conforme a la certificación </w:t>
      </w:r>
      <w:r w:rsidR="00273722" w:rsidRPr="00C769E6">
        <w:rPr>
          <w:rFonts w:ascii="Bookman Old Style" w:hAnsi="Bookman Old Style"/>
          <w:iCs/>
        </w:rPr>
        <w:t>que se arrimó.</w:t>
      </w:r>
      <w:r w:rsidR="00200DE0" w:rsidRPr="00C769E6">
        <w:rPr>
          <w:rFonts w:ascii="Bookman Old Style" w:hAnsi="Bookman Old Style"/>
          <w:iCs/>
        </w:rPr>
        <w:t xml:space="preserve"> </w:t>
      </w:r>
      <w:r w:rsidR="00B104AA" w:rsidRPr="00C769E6">
        <w:rPr>
          <w:rFonts w:ascii="Bookman Old Style" w:hAnsi="Bookman Old Style"/>
          <w:iCs/>
        </w:rPr>
        <w:t>Además</w:t>
      </w:r>
      <w:r w:rsidR="00200DE0" w:rsidRPr="00C769E6">
        <w:rPr>
          <w:rFonts w:ascii="Bookman Old Style" w:hAnsi="Bookman Old Style"/>
          <w:iCs/>
        </w:rPr>
        <w:t>, a la edad de 50 años, la demandante arribó el 17 de febrero de 2011</w:t>
      </w:r>
      <w:r w:rsidR="00C70ECE" w:rsidRPr="00C769E6">
        <w:rPr>
          <w:rFonts w:ascii="Bookman Old Style" w:hAnsi="Bookman Old Style"/>
          <w:iCs/>
        </w:rPr>
        <w:t>.</w:t>
      </w:r>
    </w:p>
    <w:p w14:paraId="04B77C3F" w14:textId="77777777" w:rsidR="00C66B6A" w:rsidRPr="00C769E6" w:rsidRDefault="00C66B6A" w:rsidP="00C769E6">
      <w:pPr>
        <w:spacing w:line="276" w:lineRule="auto"/>
        <w:ind w:firstLine="0"/>
        <w:rPr>
          <w:rFonts w:ascii="Bookman Old Style" w:hAnsi="Bookman Old Style"/>
          <w:iCs/>
        </w:rPr>
      </w:pPr>
    </w:p>
    <w:p w14:paraId="53EBD4C7" w14:textId="2CE1FC70" w:rsidR="00C66B6A" w:rsidRPr="00C769E6" w:rsidRDefault="00C66B6A" w:rsidP="00C769E6">
      <w:pPr>
        <w:spacing w:line="276" w:lineRule="auto"/>
        <w:rPr>
          <w:rFonts w:ascii="Bookman Old Style" w:hAnsi="Bookman Old Style"/>
          <w:iCs/>
        </w:rPr>
      </w:pPr>
      <w:r w:rsidRPr="00C769E6">
        <w:rPr>
          <w:rFonts w:ascii="Bookman Old Style" w:hAnsi="Bookman Old Style"/>
          <w:iCs/>
        </w:rPr>
        <w:t xml:space="preserve">En cuanto a la </w:t>
      </w:r>
      <w:r w:rsidR="00AB69CE" w:rsidRPr="00C769E6">
        <w:rPr>
          <w:rFonts w:ascii="Bookman Old Style" w:hAnsi="Bookman Old Style"/>
          <w:iCs/>
        </w:rPr>
        <w:t>causación</w:t>
      </w:r>
      <w:r w:rsidRPr="00C769E6">
        <w:rPr>
          <w:rFonts w:ascii="Bookman Old Style" w:hAnsi="Bookman Old Style"/>
          <w:iCs/>
        </w:rPr>
        <w:t xml:space="preserve">, atendiendo a que la accionante primero cumplió el requisito de la edad </w:t>
      </w:r>
      <w:r w:rsidR="00AB69CE" w:rsidRPr="00C769E6">
        <w:rPr>
          <w:rFonts w:ascii="Bookman Old Style" w:hAnsi="Bookman Old Style"/>
          <w:iCs/>
        </w:rPr>
        <w:t xml:space="preserve">el </w:t>
      </w:r>
      <w:r w:rsidRPr="00C769E6">
        <w:rPr>
          <w:rFonts w:ascii="Bookman Old Style" w:hAnsi="Bookman Old Style"/>
          <w:iCs/>
        </w:rPr>
        <w:t xml:space="preserve">17-02-2011 y luego, </w:t>
      </w:r>
      <w:r w:rsidR="00AB69CE" w:rsidRPr="00C769E6">
        <w:rPr>
          <w:rFonts w:ascii="Bookman Old Style" w:hAnsi="Bookman Old Style"/>
          <w:iCs/>
        </w:rPr>
        <w:t xml:space="preserve">a </w:t>
      </w:r>
      <w:r w:rsidRPr="00C769E6">
        <w:rPr>
          <w:rFonts w:ascii="Bookman Old Style" w:hAnsi="Bookman Old Style"/>
          <w:iCs/>
        </w:rPr>
        <w:t xml:space="preserve">los veinte años de </w:t>
      </w:r>
      <w:r w:rsidRPr="00C769E6">
        <w:rPr>
          <w:rFonts w:ascii="Bookman Old Style" w:hAnsi="Bookman Old Style"/>
          <w:iCs/>
        </w:rPr>
        <w:lastRenderedPageBreak/>
        <w:t xml:space="preserve">servicios arribó el </w:t>
      </w:r>
      <w:r w:rsidR="00AB69CE" w:rsidRPr="00C769E6">
        <w:rPr>
          <w:rFonts w:ascii="Bookman Old Style" w:hAnsi="Bookman Old Style"/>
          <w:iCs/>
        </w:rPr>
        <w:t>12-01-2</w:t>
      </w:r>
      <w:r w:rsidR="002F5B9F" w:rsidRPr="00C769E6">
        <w:rPr>
          <w:rFonts w:ascii="Bookman Old Style" w:hAnsi="Bookman Old Style"/>
          <w:iCs/>
        </w:rPr>
        <w:t>013, se entiende que fue en esta</w:t>
      </w:r>
      <w:r w:rsidR="00AB69CE" w:rsidRPr="00C769E6">
        <w:rPr>
          <w:rFonts w:ascii="Bookman Old Style" w:hAnsi="Bookman Old Style"/>
          <w:iCs/>
        </w:rPr>
        <w:t xml:space="preserve"> última data cuando consolidó su derecho, sin embargo, al haber cesado en su</w:t>
      </w:r>
      <w:r w:rsidR="006706CB" w:rsidRPr="00C769E6">
        <w:rPr>
          <w:rFonts w:ascii="Bookman Old Style" w:hAnsi="Bookman Old Style"/>
          <w:iCs/>
        </w:rPr>
        <w:t>s</w:t>
      </w:r>
      <w:r w:rsidR="00AB69CE" w:rsidRPr="00C769E6">
        <w:rPr>
          <w:rFonts w:ascii="Bookman Old Style" w:hAnsi="Bookman Old Style"/>
          <w:iCs/>
        </w:rPr>
        <w:t xml:space="preserve"> servicio</w:t>
      </w:r>
      <w:r w:rsidR="006706CB" w:rsidRPr="00C769E6">
        <w:rPr>
          <w:rFonts w:ascii="Bookman Old Style" w:hAnsi="Bookman Old Style"/>
          <w:iCs/>
        </w:rPr>
        <w:t>s</w:t>
      </w:r>
      <w:r w:rsidR="00AB69CE" w:rsidRPr="00C769E6">
        <w:rPr>
          <w:rFonts w:ascii="Bookman Old Style" w:hAnsi="Bookman Old Style"/>
          <w:iCs/>
        </w:rPr>
        <w:t xml:space="preserve"> el 31</w:t>
      </w:r>
      <w:r w:rsidR="00927032" w:rsidRPr="00C769E6">
        <w:rPr>
          <w:rFonts w:ascii="Bookman Old Style" w:hAnsi="Bookman Old Style"/>
          <w:iCs/>
        </w:rPr>
        <w:t>-03-</w:t>
      </w:r>
      <w:r w:rsidR="00AB69CE" w:rsidRPr="00C769E6">
        <w:rPr>
          <w:rFonts w:ascii="Bookman Old Style" w:hAnsi="Bookman Old Style"/>
          <w:iCs/>
        </w:rPr>
        <w:t>2015, el disfrute lo sería a partir del día siguiente.</w:t>
      </w:r>
    </w:p>
    <w:p w14:paraId="29F98275" w14:textId="77777777" w:rsidR="00AB69CE" w:rsidRPr="00C769E6" w:rsidRDefault="00AB69CE" w:rsidP="00C769E6">
      <w:pPr>
        <w:spacing w:line="276" w:lineRule="auto"/>
        <w:rPr>
          <w:rFonts w:ascii="Bookman Old Style" w:hAnsi="Bookman Old Style"/>
          <w:iCs/>
        </w:rPr>
      </w:pPr>
    </w:p>
    <w:p w14:paraId="6B8A20E7" w14:textId="1F95F8E8" w:rsidR="00C66B6A" w:rsidRPr="00C769E6" w:rsidRDefault="00AB69CE" w:rsidP="00C769E6">
      <w:pPr>
        <w:spacing w:line="276" w:lineRule="auto"/>
        <w:rPr>
          <w:rFonts w:ascii="Bookman Old Style" w:hAnsi="Bookman Old Style"/>
          <w:iCs/>
        </w:rPr>
      </w:pPr>
      <w:r w:rsidRPr="00C769E6">
        <w:rPr>
          <w:rFonts w:ascii="Bookman Old Style" w:hAnsi="Bookman Old Style"/>
          <w:iCs/>
        </w:rPr>
        <w:t xml:space="preserve">No obstante, como quiera que la excepción de prescripción fue invocada por la demandada, para el caso </w:t>
      </w:r>
      <w:r w:rsidR="00C66B6A" w:rsidRPr="00C769E6">
        <w:rPr>
          <w:rFonts w:ascii="Bookman Old Style" w:hAnsi="Bookman Old Style"/>
          <w:iCs/>
        </w:rPr>
        <w:t>es de tener en cuenta que la reclamación fue realizada el 25 de septiembre de 2014 siendo resuelta negativamente el 18 de marzo de 2015 (archivo 05, pág. 21)</w:t>
      </w:r>
      <w:r w:rsidRPr="00C769E6">
        <w:rPr>
          <w:rFonts w:ascii="Bookman Old Style" w:hAnsi="Bookman Old Style"/>
          <w:iCs/>
        </w:rPr>
        <w:t xml:space="preserve">, en tanto que </w:t>
      </w:r>
      <w:r w:rsidR="00C66B6A" w:rsidRPr="00C769E6">
        <w:rPr>
          <w:rFonts w:ascii="Bookman Old Style" w:hAnsi="Bookman Old Style"/>
          <w:iCs/>
        </w:rPr>
        <w:t xml:space="preserve">la demanda fue radicada el 18 de enero de 2021, lo </w:t>
      </w:r>
      <w:r w:rsidR="006706CB" w:rsidRPr="00C769E6">
        <w:rPr>
          <w:rFonts w:ascii="Bookman Old Style" w:hAnsi="Bookman Old Style"/>
          <w:iCs/>
        </w:rPr>
        <w:t>que</w:t>
      </w:r>
      <w:r w:rsidRPr="00C769E6">
        <w:rPr>
          <w:rFonts w:ascii="Bookman Old Style" w:hAnsi="Bookman Old Style"/>
          <w:iCs/>
        </w:rPr>
        <w:t xml:space="preserve"> </w:t>
      </w:r>
      <w:r w:rsidR="00C66B6A" w:rsidRPr="00C769E6">
        <w:rPr>
          <w:rFonts w:ascii="Bookman Old Style" w:hAnsi="Bookman Old Style"/>
          <w:iCs/>
        </w:rPr>
        <w:t xml:space="preserve">implica que </w:t>
      </w:r>
      <w:r w:rsidR="00022549" w:rsidRPr="00C769E6">
        <w:rPr>
          <w:rFonts w:ascii="Bookman Old Style" w:hAnsi="Bookman Old Style"/>
          <w:iCs/>
        </w:rPr>
        <w:t>las mesadas pensionales causadas con antelación al 18 de enero de 2018, estarían prescritas, razón por la cual se confirmará la decisión de primer grado en este aspecto (numeral 2)</w:t>
      </w:r>
    </w:p>
    <w:p w14:paraId="2061F471" w14:textId="77777777" w:rsidR="00407D9C" w:rsidRPr="00C769E6" w:rsidRDefault="00407D9C" w:rsidP="00C769E6">
      <w:pPr>
        <w:spacing w:line="276" w:lineRule="auto"/>
        <w:ind w:firstLine="0"/>
        <w:rPr>
          <w:rFonts w:ascii="Bookman Old Style" w:hAnsi="Bookman Old Style"/>
          <w:iCs/>
        </w:rPr>
      </w:pPr>
    </w:p>
    <w:p w14:paraId="21A0AAFC" w14:textId="6BE73797" w:rsidR="00407D9C" w:rsidRPr="00C769E6" w:rsidRDefault="00C70ECE" w:rsidP="00C769E6">
      <w:pPr>
        <w:spacing w:line="276" w:lineRule="auto"/>
        <w:ind w:firstLine="0"/>
        <w:jc w:val="center"/>
        <w:rPr>
          <w:rFonts w:ascii="Bookman Old Style" w:hAnsi="Bookman Old Style"/>
          <w:b/>
          <w:bCs/>
          <w:iCs/>
        </w:rPr>
      </w:pPr>
      <w:r w:rsidRPr="00C769E6">
        <w:rPr>
          <w:rFonts w:ascii="Bookman Old Style" w:hAnsi="Bookman Old Style"/>
          <w:b/>
          <w:bCs/>
          <w:iCs/>
        </w:rPr>
        <w:t>De la liquidación.</w:t>
      </w:r>
    </w:p>
    <w:p w14:paraId="31C1AE9A" w14:textId="77777777" w:rsidR="00C70ECE" w:rsidRPr="00C769E6" w:rsidRDefault="00C70ECE" w:rsidP="00C769E6">
      <w:pPr>
        <w:spacing w:line="276" w:lineRule="auto"/>
        <w:ind w:firstLine="0"/>
        <w:rPr>
          <w:rFonts w:ascii="Bookman Old Style" w:hAnsi="Bookman Old Style"/>
          <w:iCs/>
        </w:rPr>
      </w:pPr>
    </w:p>
    <w:p w14:paraId="144E3B93" w14:textId="72185A9A" w:rsidR="00352A82" w:rsidRPr="00C769E6" w:rsidRDefault="00C70ECE" w:rsidP="00C769E6">
      <w:pPr>
        <w:spacing w:line="276" w:lineRule="auto"/>
        <w:rPr>
          <w:rFonts w:ascii="Bookman Old Style" w:hAnsi="Bookman Old Style"/>
          <w:iCs/>
        </w:rPr>
      </w:pPr>
      <w:r w:rsidRPr="00C769E6">
        <w:rPr>
          <w:rFonts w:ascii="Bookman Old Style" w:hAnsi="Bookman Old Style"/>
          <w:iCs/>
        </w:rPr>
        <w:t>En la disposición convencional mencionada</w:t>
      </w:r>
      <w:r w:rsidR="00AD55EA" w:rsidRPr="00C769E6">
        <w:rPr>
          <w:rFonts w:ascii="Bookman Old Style" w:hAnsi="Bookman Old Style"/>
          <w:iCs/>
        </w:rPr>
        <w:t xml:space="preserve">, </w:t>
      </w:r>
      <w:r w:rsidRPr="00C769E6">
        <w:rPr>
          <w:rFonts w:ascii="Bookman Old Style" w:hAnsi="Bookman Old Style"/>
          <w:iCs/>
        </w:rPr>
        <w:t>se dispuso</w:t>
      </w:r>
      <w:r w:rsidR="00AD55EA" w:rsidRPr="00C769E6">
        <w:rPr>
          <w:rFonts w:ascii="Bookman Old Style" w:hAnsi="Bookman Old Style"/>
          <w:iCs/>
        </w:rPr>
        <w:t xml:space="preserve"> las </w:t>
      </w:r>
      <w:r w:rsidR="005F23E4" w:rsidRPr="00C769E6">
        <w:rPr>
          <w:rFonts w:ascii="Bookman Old Style" w:hAnsi="Bookman Old Style"/>
          <w:iCs/>
        </w:rPr>
        <w:t>siguientes</w:t>
      </w:r>
      <w:r w:rsidR="00AD55EA" w:rsidRPr="00C769E6">
        <w:rPr>
          <w:rFonts w:ascii="Bookman Old Style" w:hAnsi="Bookman Old Style"/>
          <w:iCs/>
        </w:rPr>
        <w:t xml:space="preserve"> reglas para </w:t>
      </w:r>
      <w:r w:rsidRPr="00C769E6">
        <w:rPr>
          <w:rFonts w:ascii="Bookman Old Style" w:hAnsi="Bookman Old Style"/>
          <w:iCs/>
        </w:rPr>
        <w:t xml:space="preserve">la </w:t>
      </w:r>
      <w:r w:rsidR="00AD55EA" w:rsidRPr="00C769E6">
        <w:rPr>
          <w:rFonts w:ascii="Bookman Old Style" w:hAnsi="Bookman Old Style"/>
          <w:iCs/>
        </w:rPr>
        <w:t xml:space="preserve"> liquidación</w:t>
      </w:r>
      <w:r w:rsidRPr="00C769E6">
        <w:rPr>
          <w:rFonts w:ascii="Bookman Old Style" w:hAnsi="Bookman Old Style"/>
          <w:iCs/>
        </w:rPr>
        <w:t xml:space="preserve"> de la pensión Convencional</w:t>
      </w:r>
      <w:r w:rsidR="00AD55EA" w:rsidRPr="00C769E6">
        <w:rPr>
          <w:rFonts w:ascii="Bookman Old Style" w:hAnsi="Bookman Old Style"/>
          <w:iCs/>
        </w:rPr>
        <w:t>: i) E</w:t>
      </w:r>
      <w:r w:rsidR="00352A82" w:rsidRPr="00C769E6">
        <w:rPr>
          <w:rFonts w:ascii="Bookman Old Style" w:hAnsi="Bookman Old Style"/>
          <w:iCs/>
        </w:rPr>
        <w:t>n el caso de los trabajadores que adquieran el derecho pensional entre el 1 de</w:t>
      </w:r>
      <w:r w:rsidR="00AD55EA" w:rsidRPr="00C769E6">
        <w:rPr>
          <w:rFonts w:ascii="Bookman Old Style" w:hAnsi="Bookman Old Style"/>
          <w:iCs/>
        </w:rPr>
        <w:t xml:space="preserve"> </w:t>
      </w:r>
      <w:r w:rsidR="00352A82" w:rsidRPr="00C769E6">
        <w:rPr>
          <w:rFonts w:ascii="Bookman Old Style" w:hAnsi="Bookman Old Style"/>
          <w:iCs/>
        </w:rPr>
        <w:t xml:space="preserve">enero de 2002 y el 31 de diciembre de 2006, </w:t>
      </w:r>
      <w:r w:rsidR="00AD55EA" w:rsidRPr="00C769E6">
        <w:rPr>
          <w:rFonts w:ascii="Bookman Old Style" w:hAnsi="Bookman Old Style"/>
          <w:iCs/>
        </w:rPr>
        <w:t xml:space="preserve">la </w:t>
      </w:r>
      <w:r w:rsidR="00352A82" w:rsidRPr="00C769E6">
        <w:rPr>
          <w:rFonts w:ascii="Bookman Old Style" w:hAnsi="Bookman Old Style"/>
          <w:iCs/>
        </w:rPr>
        <w:t>mesada</w:t>
      </w:r>
      <w:r w:rsidR="00AD55EA" w:rsidRPr="00C769E6">
        <w:rPr>
          <w:rFonts w:ascii="Bookman Old Style" w:hAnsi="Bookman Old Style"/>
          <w:iCs/>
        </w:rPr>
        <w:t xml:space="preserve"> </w:t>
      </w:r>
      <w:r w:rsidR="00352A82" w:rsidRPr="00C769E6">
        <w:rPr>
          <w:rFonts w:ascii="Bookman Old Style" w:hAnsi="Bookman Old Style"/>
          <w:iCs/>
        </w:rPr>
        <w:t xml:space="preserve">pensional </w:t>
      </w:r>
      <w:r w:rsidR="00AD55EA" w:rsidRPr="00C769E6">
        <w:rPr>
          <w:rFonts w:ascii="Bookman Old Style" w:hAnsi="Bookman Old Style"/>
          <w:iCs/>
        </w:rPr>
        <w:t xml:space="preserve">corresponderá al </w:t>
      </w:r>
      <w:r w:rsidR="00352A82" w:rsidRPr="00C769E6">
        <w:rPr>
          <w:rFonts w:ascii="Bookman Old Style" w:hAnsi="Bookman Old Style"/>
          <w:iCs/>
        </w:rPr>
        <w:t>100% del promedio mensual de lo percibido en los dos últimos años de</w:t>
      </w:r>
      <w:r w:rsidR="00AD55EA" w:rsidRPr="00C769E6">
        <w:rPr>
          <w:rFonts w:ascii="Bookman Old Style" w:hAnsi="Bookman Old Style"/>
          <w:iCs/>
        </w:rPr>
        <w:t xml:space="preserve"> </w:t>
      </w:r>
      <w:r w:rsidR="00352A82" w:rsidRPr="00C769E6">
        <w:rPr>
          <w:rFonts w:ascii="Bookman Old Style" w:hAnsi="Bookman Old Style"/>
          <w:iCs/>
        </w:rPr>
        <w:t>servicio</w:t>
      </w:r>
      <w:r w:rsidR="00AD55EA" w:rsidRPr="00C769E6">
        <w:rPr>
          <w:rFonts w:ascii="Bookman Old Style" w:hAnsi="Bookman Old Style"/>
          <w:iCs/>
        </w:rPr>
        <w:t>; ii) En el caso de los trabajadores que se jubilen entre el 1 de enero de 2007 y el 31 de diciembre de 2016, la mesada pensional corresponderá al 100% del promedio mensual de lo percibido en los tres últimos años de servicio y; ii) En el caso de los trabajadores que se jubilen a partir del 1 de enero de 2017, la mesada corresponderá al 100% del promedio mensual de lo percibido en los cuatro últimos años de servicio</w:t>
      </w:r>
      <w:r w:rsidR="00786E6C" w:rsidRPr="00C769E6">
        <w:rPr>
          <w:rFonts w:ascii="Bookman Old Style" w:hAnsi="Bookman Old Style"/>
          <w:iCs/>
        </w:rPr>
        <w:t>s</w:t>
      </w:r>
      <w:r w:rsidR="00AD55EA" w:rsidRPr="00C769E6">
        <w:rPr>
          <w:rFonts w:ascii="Bookman Old Style" w:hAnsi="Bookman Old Style"/>
          <w:iCs/>
        </w:rPr>
        <w:t>.</w:t>
      </w:r>
    </w:p>
    <w:p w14:paraId="6D8AB2CD" w14:textId="77777777" w:rsidR="00145710" w:rsidRPr="00C769E6" w:rsidRDefault="00145710" w:rsidP="00C769E6">
      <w:pPr>
        <w:spacing w:line="276" w:lineRule="auto"/>
        <w:rPr>
          <w:rFonts w:ascii="Bookman Old Style" w:hAnsi="Bookman Old Style"/>
          <w:iCs/>
        </w:rPr>
      </w:pPr>
    </w:p>
    <w:p w14:paraId="53BE7E52" w14:textId="034144F9" w:rsidR="00927032" w:rsidRPr="00C769E6" w:rsidRDefault="00927032" w:rsidP="00C769E6">
      <w:pPr>
        <w:spacing w:line="276" w:lineRule="auto"/>
        <w:rPr>
          <w:rFonts w:ascii="Bookman Old Style" w:hAnsi="Bookman Old Style"/>
          <w:iCs/>
        </w:rPr>
      </w:pPr>
      <w:r w:rsidRPr="00C769E6">
        <w:rPr>
          <w:rFonts w:ascii="Bookman Old Style" w:hAnsi="Bookman Old Style"/>
          <w:iCs/>
        </w:rPr>
        <w:t xml:space="preserve">Conforme lo anterior, atendiendo a que la actora adquirió el derecho pensional dentro de la temporalidad que va desde el 1 de enero de 2007 y el 31 de diciembre de 2016, el valor de la mesada deberá corresponder al 100% del promedio mensual de lo percibido en los tres (3) </w:t>
      </w:r>
      <w:r w:rsidR="00786E6C" w:rsidRPr="00C769E6">
        <w:rPr>
          <w:rFonts w:ascii="Bookman Old Style" w:hAnsi="Bookman Old Style"/>
          <w:iCs/>
        </w:rPr>
        <w:t>últimos</w:t>
      </w:r>
      <w:r w:rsidRPr="00C769E6">
        <w:rPr>
          <w:rFonts w:ascii="Bookman Old Style" w:hAnsi="Bookman Old Style"/>
          <w:iCs/>
        </w:rPr>
        <w:t xml:space="preserve"> años de servicios, esto es, entre el 31 de marzo de 2012 y el 31 de marzo de 2015, tal y como lo ordenó la a-quo en el ordinal tercero de la sentencia que se consulta, razón por la cual se confirmará en tal sentido.</w:t>
      </w:r>
    </w:p>
    <w:p w14:paraId="623D3DA0" w14:textId="77777777" w:rsidR="00786E6C" w:rsidRPr="00C769E6" w:rsidRDefault="00786E6C" w:rsidP="00C769E6">
      <w:pPr>
        <w:spacing w:line="276" w:lineRule="auto"/>
        <w:ind w:firstLine="0"/>
        <w:rPr>
          <w:rFonts w:ascii="Bookman Old Style" w:hAnsi="Bookman Old Style"/>
          <w:iCs/>
        </w:rPr>
      </w:pPr>
    </w:p>
    <w:p w14:paraId="3BD134A4" w14:textId="0860995C" w:rsidR="00372218" w:rsidRPr="00C769E6" w:rsidRDefault="00372218" w:rsidP="00C769E6">
      <w:pPr>
        <w:spacing w:line="276" w:lineRule="auto"/>
        <w:ind w:firstLine="0"/>
        <w:jc w:val="center"/>
        <w:rPr>
          <w:rFonts w:ascii="Bookman Old Style" w:hAnsi="Bookman Old Style"/>
          <w:b/>
          <w:bCs/>
          <w:iCs/>
        </w:rPr>
      </w:pPr>
      <w:r w:rsidRPr="00C769E6">
        <w:rPr>
          <w:rFonts w:ascii="Bookman Old Style" w:hAnsi="Bookman Old Style"/>
          <w:b/>
          <w:bCs/>
          <w:iCs/>
        </w:rPr>
        <w:t>De los factores a tener en cuenta</w:t>
      </w:r>
      <w:r w:rsidR="00E84535" w:rsidRPr="00C769E6">
        <w:rPr>
          <w:rFonts w:ascii="Bookman Old Style" w:hAnsi="Bookman Old Style"/>
          <w:b/>
          <w:bCs/>
          <w:iCs/>
        </w:rPr>
        <w:t xml:space="preserve"> en la liquidación</w:t>
      </w:r>
      <w:r w:rsidRPr="00C769E6">
        <w:rPr>
          <w:rFonts w:ascii="Bookman Old Style" w:hAnsi="Bookman Old Style"/>
          <w:b/>
          <w:bCs/>
          <w:iCs/>
        </w:rPr>
        <w:t>.</w:t>
      </w:r>
    </w:p>
    <w:p w14:paraId="05D0D602" w14:textId="77777777" w:rsidR="00927032" w:rsidRPr="00C769E6" w:rsidRDefault="00927032" w:rsidP="00C769E6">
      <w:pPr>
        <w:spacing w:line="276" w:lineRule="auto"/>
        <w:ind w:firstLine="0"/>
        <w:rPr>
          <w:rFonts w:ascii="Bookman Old Style" w:hAnsi="Bookman Old Style"/>
          <w:iCs/>
        </w:rPr>
      </w:pPr>
    </w:p>
    <w:p w14:paraId="2A133657" w14:textId="61DCC684" w:rsidR="00145710" w:rsidRPr="00C769E6" w:rsidRDefault="00145710" w:rsidP="00C769E6">
      <w:pPr>
        <w:spacing w:line="276" w:lineRule="auto"/>
        <w:rPr>
          <w:rFonts w:ascii="Bookman Old Style" w:hAnsi="Bookman Old Style"/>
          <w:iCs/>
        </w:rPr>
      </w:pPr>
      <w:r w:rsidRPr="00C769E6">
        <w:rPr>
          <w:rFonts w:ascii="Bookman Old Style" w:hAnsi="Bookman Old Style"/>
          <w:iCs/>
        </w:rPr>
        <w:t xml:space="preserve">En cuanto a los factores de remuneración que se tienen en cuenta para determinar dicho promedio, dispone </w:t>
      </w:r>
      <w:r w:rsidR="00786E6C" w:rsidRPr="00C769E6">
        <w:rPr>
          <w:rFonts w:ascii="Bookman Old Style" w:hAnsi="Bookman Old Style"/>
          <w:iCs/>
        </w:rPr>
        <w:t>la</w:t>
      </w:r>
      <w:r w:rsidRPr="00C769E6">
        <w:rPr>
          <w:rFonts w:ascii="Bookman Old Style" w:hAnsi="Bookman Old Style"/>
          <w:iCs/>
        </w:rPr>
        <w:t xml:space="preserve"> norma convencional </w:t>
      </w:r>
      <w:r w:rsidR="00C22981" w:rsidRPr="00C769E6">
        <w:rPr>
          <w:rFonts w:ascii="Bookman Old Style" w:hAnsi="Bookman Old Style"/>
          <w:iCs/>
        </w:rPr>
        <w:t xml:space="preserve">dispone que corresponde a los </w:t>
      </w:r>
      <w:r w:rsidR="005F23E4" w:rsidRPr="00C769E6">
        <w:rPr>
          <w:rFonts w:ascii="Bookman Old Style" w:hAnsi="Bookman Old Style"/>
          <w:iCs/>
        </w:rPr>
        <w:t>siguientes</w:t>
      </w:r>
      <w:r w:rsidR="00C22981" w:rsidRPr="00C769E6">
        <w:rPr>
          <w:rFonts w:ascii="Bookman Old Style" w:hAnsi="Bookman Old Style"/>
          <w:iCs/>
        </w:rPr>
        <w:t>: a) Asignación básica mensual, b) prima de servicios y vacaciones, c) auxilio de alimentación y transporte, d) valor del trabajo nocturno, suplementario y horas extras, e) valor del trabajo en días dominicales y feriados.</w:t>
      </w:r>
    </w:p>
    <w:p w14:paraId="59611973" w14:textId="77777777" w:rsidR="00265864" w:rsidRPr="00C769E6" w:rsidRDefault="00265864" w:rsidP="00C769E6">
      <w:pPr>
        <w:spacing w:line="276" w:lineRule="auto"/>
        <w:ind w:firstLine="0"/>
        <w:rPr>
          <w:rFonts w:ascii="Bookman Old Style" w:hAnsi="Bookman Old Style"/>
          <w:iCs/>
        </w:rPr>
      </w:pPr>
    </w:p>
    <w:p w14:paraId="39F7DCEC" w14:textId="42A460BB" w:rsidR="00C4414F" w:rsidRPr="00C769E6" w:rsidRDefault="002A612E" w:rsidP="00C769E6">
      <w:pPr>
        <w:spacing w:line="276" w:lineRule="auto"/>
        <w:rPr>
          <w:rFonts w:ascii="Bookman Old Style" w:hAnsi="Bookman Old Style"/>
          <w:iCs/>
        </w:rPr>
      </w:pPr>
      <w:r w:rsidRPr="00C769E6">
        <w:rPr>
          <w:rFonts w:ascii="Bookman Old Style" w:hAnsi="Bookman Old Style"/>
          <w:iCs/>
        </w:rPr>
        <w:t xml:space="preserve">Ahora, al observar la información de acumulados </w:t>
      </w:r>
      <w:r w:rsidR="00252792" w:rsidRPr="00C769E6">
        <w:rPr>
          <w:rFonts w:ascii="Bookman Old Style" w:hAnsi="Bookman Old Style"/>
          <w:iCs/>
        </w:rPr>
        <w:t xml:space="preserve">de nómina mes a mes expedido por el extinto ISS, </w:t>
      </w:r>
      <w:r w:rsidRPr="00C769E6">
        <w:rPr>
          <w:rFonts w:ascii="Bookman Old Style" w:hAnsi="Bookman Old Style"/>
          <w:iCs/>
        </w:rPr>
        <w:t xml:space="preserve">visible en el archivo </w:t>
      </w:r>
      <w:r w:rsidR="00252792" w:rsidRPr="00C769E6">
        <w:rPr>
          <w:rFonts w:ascii="Bookman Old Style" w:hAnsi="Bookman Old Style"/>
          <w:iCs/>
        </w:rPr>
        <w:t xml:space="preserve">05, páginas 10-13 y que arrimó la demandante, en aplicación del principio de libre apreciación de la prueba del artículo 61 del CPTSS, la Sala tendrá por acreditados los rubros devengados por la trabajadora que allí aparecen, del cual al extraer la </w:t>
      </w:r>
      <w:r w:rsidR="00252792" w:rsidRPr="00C769E6">
        <w:rPr>
          <w:rFonts w:ascii="Bookman Old Style" w:hAnsi="Bookman Old Style"/>
          <w:iCs/>
        </w:rPr>
        <w:lastRenderedPageBreak/>
        <w:t>información correspondiente, se tiene que el salario promedio en los últ</w:t>
      </w:r>
      <w:r w:rsidR="00F46D9E" w:rsidRPr="00C769E6">
        <w:rPr>
          <w:rFonts w:ascii="Bookman Old Style" w:hAnsi="Bookman Old Style"/>
          <w:iCs/>
        </w:rPr>
        <w:t>i</w:t>
      </w:r>
      <w:r w:rsidR="00252792" w:rsidRPr="00C769E6">
        <w:rPr>
          <w:rFonts w:ascii="Bookman Old Style" w:hAnsi="Bookman Old Style"/>
          <w:iCs/>
        </w:rPr>
        <w:t xml:space="preserve">mos tres años de servicios, con la inclusión de las primas, dan como resultado un ingreso base de </w:t>
      </w:r>
      <w:r w:rsidR="005F23E4" w:rsidRPr="00C769E6">
        <w:rPr>
          <w:rFonts w:ascii="Bookman Old Style" w:hAnsi="Bookman Old Style"/>
          <w:iCs/>
        </w:rPr>
        <w:t>liquidación</w:t>
      </w:r>
      <w:r w:rsidR="00252792" w:rsidRPr="00C769E6">
        <w:rPr>
          <w:rFonts w:ascii="Bookman Old Style" w:hAnsi="Bookman Old Style"/>
          <w:iCs/>
        </w:rPr>
        <w:t xml:space="preserve"> de $2.538.422, conforme el siguiente cuadro:</w:t>
      </w:r>
    </w:p>
    <w:p w14:paraId="49EC83A9" w14:textId="77777777" w:rsidR="00C4414F" w:rsidRPr="00C769E6" w:rsidRDefault="00C4414F" w:rsidP="00C769E6">
      <w:pPr>
        <w:spacing w:line="276" w:lineRule="auto"/>
        <w:ind w:firstLine="0"/>
        <w:rPr>
          <w:rFonts w:ascii="Bookman Old Style" w:hAnsi="Bookman Old Style"/>
          <w:iCs/>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103"/>
        <w:gridCol w:w="1489"/>
        <w:gridCol w:w="1106"/>
        <w:gridCol w:w="1106"/>
        <w:gridCol w:w="1106"/>
        <w:gridCol w:w="1106"/>
        <w:gridCol w:w="961"/>
      </w:tblGrid>
      <w:tr w:rsidR="000256EA" w:rsidRPr="000212BC" w14:paraId="6BC5E3AF" w14:textId="77777777" w:rsidTr="000256EA">
        <w:tc>
          <w:tcPr>
            <w:tcW w:w="326" w:type="pct"/>
            <w:shd w:val="clear" w:color="auto" w:fill="auto"/>
            <w:vAlign w:val="center"/>
            <w:hideMark/>
          </w:tcPr>
          <w:p w14:paraId="24235FCC" w14:textId="77777777"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PERIODO</w:t>
            </w:r>
          </w:p>
        </w:tc>
        <w:tc>
          <w:tcPr>
            <w:tcW w:w="689" w:type="pct"/>
            <w:shd w:val="clear" w:color="auto" w:fill="auto"/>
            <w:vAlign w:val="center"/>
            <w:hideMark/>
          </w:tcPr>
          <w:p w14:paraId="7C1EE0DC" w14:textId="42629A09" w:rsidR="000256EA" w:rsidRPr="000212BC" w:rsidRDefault="000212BC"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DÍAS</w:t>
            </w:r>
          </w:p>
        </w:tc>
        <w:tc>
          <w:tcPr>
            <w:tcW w:w="690" w:type="pct"/>
            <w:shd w:val="clear" w:color="auto" w:fill="auto"/>
            <w:vAlign w:val="center"/>
            <w:hideMark/>
          </w:tcPr>
          <w:p w14:paraId="47A54A43" w14:textId="3E7C72E2" w:rsidR="000256EA" w:rsidRPr="000212BC" w:rsidRDefault="000212BC"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REMUNERACIÓN</w:t>
            </w:r>
          </w:p>
        </w:tc>
        <w:tc>
          <w:tcPr>
            <w:tcW w:w="690" w:type="pct"/>
            <w:shd w:val="clear" w:color="auto" w:fill="auto"/>
            <w:vAlign w:val="center"/>
            <w:hideMark/>
          </w:tcPr>
          <w:p w14:paraId="2B1ECD60" w14:textId="77777777"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PRIMA SERV. LEGAL</w:t>
            </w:r>
          </w:p>
        </w:tc>
        <w:tc>
          <w:tcPr>
            <w:tcW w:w="690" w:type="pct"/>
            <w:shd w:val="clear" w:color="auto" w:fill="auto"/>
            <w:vAlign w:val="center"/>
            <w:hideMark/>
          </w:tcPr>
          <w:p w14:paraId="57B997F7" w14:textId="377BE219"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PRIMA DE SERVICIOS EXTRAL</w:t>
            </w:r>
            <w:r w:rsidR="000212BC">
              <w:rPr>
                <w:rFonts w:ascii="Arial Narrow" w:hAnsi="Arial Narrow"/>
                <w:iCs/>
                <w:sz w:val="20"/>
                <w:lang w:eastAsia="es-CO"/>
              </w:rPr>
              <w:t>.</w:t>
            </w:r>
            <w:r w:rsidRPr="000212BC">
              <w:rPr>
                <w:rFonts w:ascii="Arial Narrow" w:hAnsi="Arial Narrow"/>
                <w:iCs/>
                <w:sz w:val="20"/>
                <w:lang w:eastAsia="es-CO"/>
              </w:rPr>
              <w:t>.</w:t>
            </w:r>
          </w:p>
        </w:tc>
        <w:tc>
          <w:tcPr>
            <w:tcW w:w="690" w:type="pct"/>
            <w:shd w:val="clear" w:color="auto" w:fill="auto"/>
            <w:vAlign w:val="center"/>
            <w:hideMark/>
          </w:tcPr>
          <w:p w14:paraId="0607D280" w14:textId="3E705F75"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AUX. ALIM</w:t>
            </w:r>
            <w:r w:rsidR="000212BC">
              <w:rPr>
                <w:rFonts w:ascii="Arial Narrow" w:hAnsi="Arial Narrow"/>
                <w:iCs/>
                <w:sz w:val="20"/>
                <w:lang w:eastAsia="es-CO"/>
              </w:rPr>
              <w:t>.</w:t>
            </w:r>
          </w:p>
        </w:tc>
        <w:tc>
          <w:tcPr>
            <w:tcW w:w="690" w:type="pct"/>
            <w:shd w:val="clear" w:color="auto" w:fill="auto"/>
            <w:vAlign w:val="center"/>
            <w:hideMark/>
          </w:tcPr>
          <w:p w14:paraId="75231DF6" w14:textId="04C05A45"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AUX. TRANS</w:t>
            </w:r>
            <w:r w:rsidR="000212BC">
              <w:rPr>
                <w:rFonts w:ascii="Arial Narrow" w:hAnsi="Arial Narrow"/>
                <w:iCs/>
                <w:sz w:val="20"/>
                <w:lang w:eastAsia="es-CO"/>
              </w:rPr>
              <w:t>.</w:t>
            </w:r>
          </w:p>
        </w:tc>
        <w:tc>
          <w:tcPr>
            <w:tcW w:w="535" w:type="pct"/>
            <w:shd w:val="clear" w:color="auto" w:fill="auto"/>
            <w:vAlign w:val="center"/>
            <w:hideMark/>
          </w:tcPr>
          <w:p w14:paraId="288AB170" w14:textId="2C534C58" w:rsidR="000256EA" w:rsidRPr="000212BC" w:rsidRDefault="000212BC" w:rsidP="00A94AF8">
            <w:pPr>
              <w:spacing w:line="240" w:lineRule="auto"/>
              <w:ind w:firstLine="0"/>
              <w:jc w:val="center"/>
              <w:rPr>
                <w:rFonts w:ascii="Arial Narrow" w:hAnsi="Arial Narrow"/>
                <w:iCs/>
                <w:sz w:val="20"/>
                <w:lang w:eastAsia="es-CO"/>
              </w:rPr>
            </w:pPr>
            <w:r w:rsidRPr="000212BC">
              <w:rPr>
                <w:rFonts w:ascii="Arial Narrow" w:hAnsi="Arial Narrow"/>
                <w:iCs/>
                <w:sz w:val="20"/>
              </w:rPr>
              <w:t>VALOR</w:t>
            </w:r>
          </w:p>
        </w:tc>
      </w:tr>
      <w:tr w:rsidR="000256EA" w:rsidRPr="000212BC" w14:paraId="6A0356BB" w14:textId="77777777" w:rsidTr="000256EA">
        <w:tc>
          <w:tcPr>
            <w:tcW w:w="326" w:type="pct"/>
            <w:shd w:val="clear" w:color="auto" w:fill="auto"/>
            <w:noWrap/>
            <w:vAlign w:val="center"/>
            <w:hideMark/>
          </w:tcPr>
          <w:p w14:paraId="21BCB427"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mar-12</w:t>
            </w:r>
          </w:p>
        </w:tc>
        <w:tc>
          <w:tcPr>
            <w:tcW w:w="689" w:type="pct"/>
            <w:shd w:val="clear" w:color="auto" w:fill="auto"/>
            <w:noWrap/>
            <w:vAlign w:val="center"/>
            <w:hideMark/>
          </w:tcPr>
          <w:p w14:paraId="5F57EE25" w14:textId="3E8AD507"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w:t>
            </w:r>
          </w:p>
        </w:tc>
        <w:tc>
          <w:tcPr>
            <w:tcW w:w="690" w:type="pct"/>
            <w:shd w:val="clear" w:color="auto" w:fill="auto"/>
            <w:noWrap/>
            <w:vAlign w:val="center"/>
            <w:hideMark/>
          </w:tcPr>
          <w:p w14:paraId="4B57E133" w14:textId="04F5C79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w:t>
            </w:r>
          </w:p>
        </w:tc>
        <w:tc>
          <w:tcPr>
            <w:tcW w:w="690" w:type="pct"/>
            <w:shd w:val="clear" w:color="auto" w:fill="auto"/>
            <w:noWrap/>
            <w:vAlign w:val="center"/>
            <w:hideMark/>
          </w:tcPr>
          <w:p w14:paraId="0567409E" w14:textId="3601378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w:t>
            </w:r>
          </w:p>
        </w:tc>
        <w:tc>
          <w:tcPr>
            <w:tcW w:w="690" w:type="pct"/>
            <w:shd w:val="clear" w:color="auto" w:fill="auto"/>
            <w:noWrap/>
            <w:vAlign w:val="center"/>
            <w:hideMark/>
          </w:tcPr>
          <w:p w14:paraId="65268DC4" w14:textId="5D9F0BC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w:t>
            </w:r>
          </w:p>
        </w:tc>
        <w:tc>
          <w:tcPr>
            <w:tcW w:w="690" w:type="pct"/>
            <w:shd w:val="clear" w:color="auto" w:fill="auto"/>
            <w:noWrap/>
            <w:vAlign w:val="center"/>
            <w:hideMark/>
          </w:tcPr>
          <w:p w14:paraId="13198407" w14:textId="64351D7D"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w:t>
            </w:r>
          </w:p>
        </w:tc>
        <w:tc>
          <w:tcPr>
            <w:tcW w:w="690" w:type="pct"/>
            <w:shd w:val="clear" w:color="auto" w:fill="auto"/>
            <w:noWrap/>
            <w:vAlign w:val="center"/>
            <w:hideMark/>
          </w:tcPr>
          <w:p w14:paraId="54EAC2A1" w14:textId="2E907A7D"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w:t>
            </w:r>
          </w:p>
        </w:tc>
        <w:tc>
          <w:tcPr>
            <w:tcW w:w="535" w:type="pct"/>
            <w:shd w:val="clear" w:color="auto" w:fill="auto"/>
            <w:noWrap/>
            <w:vAlign w:val="center"/>
            <w:hideMark/>
          </w:tcPr>
          <w:p w14:paraId="7AA6BF3C" w14:textId="654652E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w:t>
            </w:r>
          </w:p>
        </w:tc>
      </w:tr>
      <w:tr w:rsidR="000256EA" w:rsidRPr="000212BC" w14:paraId="34FE72D2" w14:textId="77777777" w:rsidTr="000256EA">
        <w:tc>
          <w:tcPr>
            <w:tcW w:w="326" w:type="pct"/>
            <w:shd w:val="clear" w:color="auto" w:fill="auto"/>
            <w:noWrap/>
            <w:vAlign w:val="center"/>
            <w:hideMark/>
          </w:tcPr>
          <w:p w14:paraId="1D23408B"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abr-12</w:t>
            </w:r>
          </w:p>
        </w:tc>
        <w:tc>
          <w:tcPr>
            <w:tcW w:w="689" w:type="pct"/>
            <w:shd w:val="clear" w:color="auto" w:fill="auto"/>
            <w:noWrap/>
            <w:vAlign w:val="center"/>
            <w:hideMark/>
          </w:tcPr>
          <w:p w14:paraId="6C6FCA98" w14:textId="0D970138"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17BC089B" w14:textId="77BAC2E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1.980.228,00</w:t>
            </w:r>
          </w:p>
        </w:tc>
        <w:tc>
          <w:tcPr>
            <w:tcW w:w="690" w:type="pct"/>
            <w:shd w:val="clear" w:color="auto" w:fill="auto"/>
            <w:noWrap/>
            <w:vAlign w:val="center"/>
            <w:hideMark/>
          </w:tcPr>
          <w:p w14:paraId="23A2DEA1" w14:textId="52D44D78"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3A43826E" w14:textId="35ACD2EE"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AEF9BCA" w14:textId="173C6678"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1.525,00</w:t>
            </w:r>
          </w:p>
        </w:tc>
        <w:tc>
          <w:tcPr>
            <w:tcW w:w="690" w:type="pct"/>
            <w:shd w:val="clear" w:color="auto" w:fill="auto"/>
            <w:noWrap/>
            <w:vAlign w:val="center"/>
            <w:hideMark/>
          </w:tcPr>
          <w:p w14:paraId="65386873" w14:textId="0333C7F0"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6D6ACB19" w14:textId="6C5A442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1.981.753</w:t>
            </w:r>
          </w:p>
        </w:tc>
      </w:tr>
      <w:tr w:rsidR="000256EA" w:rsidRPr="000212BC" w14:paraId="63BC761C" w14:textId="77777777" w:rsidTr="000256EA">
        <w:tc>
          <w:tcPr>
            <w:tcW w:w="326" w:type="pct"/>
            <w:shd w:val="clear" w:color="auto" w:fill="auto"/>
            <w:noWrap/>
            <w:vAlign w:val="center"/>
            <w:hideMark/>
          </w:tcPr>
          <w:p w14:paraId="2087BC21"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may-12</w:t>
            </w:r>
          </w:p>
        </w:tc>
        <w:tc>
          <w:tcPr>
            <w:tcW w:w="689" w:type="pct"/>
            <w:shd w:val="clear" w:color="auto" w:fill="auto"/>
            <w:noWrap/>
            <w:vAlign w:val="center"/>
            <w:hideMark/>
          </w:tcPr>
          <w:p w14:paraId="12490FAA" w14:textId="2E733D24"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17EA9FC9" w14:textId="34B0DDB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2.664.916,00</w:t>
            </w:r>
          </w:p>
        </w:tc>
        <w:tc>
          <w:tcPr>
            <w:tcW w:w="690" w:type="pct"/>
            <w:shd w:val="clear" w:color="auto" w:fill="auto"/>
            <w:noWrap/>
            <w:vAlign w:val="center"/>
            <w:hideMark/>
          </w:tcPr>
          <w:p w14:paraId="1F00B03F" w14:textId="00379D9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8762CA3" w14:textId="70A55BFB"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89B5B8E" w14:textId="680A31F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1.525,00</w:t>
            </w:r>
          </w:p>
        </w:tc>
        <w:tc>
          <w:tcPr>
            <w:tcW w:w="690" w:type="pct"/>
            <w:shd w:val="clear" w:color="auto" w:fill="auto"/>
            <w:noWrap/>
            <w:vAlign w:val="center"/>
            <w:hideMark/>
          </w:tcPr>
          <w:p w14:paraId="2B14379F" w14:textId="6A2BB9C7"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35DC6932" w14:textId="7DCF3B4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2.666.441</w:t>
            </w:r>
          </w:p>
        </w:tc>
      </w:tr>
      <w:tr w:rsidR="000256EA" w:rsidRPr="000212BC" w14:paraId="0B566E77" w14:textId="77777777" w:rsidTr="000256EA">
        <w:tc>
          <w:tcPr>
            <w:tcW w:w="326" w:type="pct"/>
            <w:shd w:val="clear" w:color="auto" w:fill="auto"/>
            <w:noWrap/>
            <w:vAlign w:val="center"/>
            <w:hideMark/>
          </w:tcPr>
          <w:p w14:paraId="500BECEF"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jun-12</w:t>
            </w:r>
          </w:p>
        </w:tc>
        <w:tc>
          <w:tcPr>
            <w:tcW w:w="689" w:type="pct"/>
            <w:shd w:val="clear" w:color="auto" w:fill="auto"/>
            <w:noWrap/>
            <w:vAlign w:val="center"/>
            <w:hideMark/>
          </w:tcPr>
          <w:p w14:paraId="748D61B7" w14:textId="6C6615DF"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6EEAA1F6" w14:textId="024219E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2.110.120,00</w:t>
            </w:r>
          </w:p>
        </w:tc>
        <w:tc>
          <w:tcPr>
            <w:tcW w:w="690" w:type="pct"/>
            <w:shd w:val="clear" w:color="auto" w:fill="auto"/>
            <w:noWrap/>
            <w:vAlign w:val="center"/>
            <w:hideMark/>
          </w:tcPr>
          <w:p w14:paraId="3A545D91" w14:textId="3B061E5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1.062.002,00</w:t>
            </w:r>
          </w:p>
        </w:tc>
        <w:tc>
          <w:tcPr>
            <w:tcW w:w="690" w:type="pct"/>
            <w:shd w:val="clear" w:color="auto" w:fill="auto"/>
            <w:noWrap/>
            <w:vAlign w:val="center"/>
            <w:hideMark/>
          </w:tcPr>
          <w:p w14:paraId="51965F9D" w14:textId="21A55228"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1.062.002,00</w:t>
            </w:r>
          </w:p>
        </w:tc>
        <w:tc>
          <w:tcPr>
            <w:tcW w:w="690" w:type="pct"/>
            <w:shd w:val="clear" w:color="auto" w:fill="auto"/>
            <w:noWrap/>
            <w:vAlign w:val="center"/>
            <w:hideMark/>
          </w:tcPr>
          <w:p w14:paraId="10DEDF02" w14:textId="6246F49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3.050,00</w:t>
            </w:r>
          </w:p>
        </w:tc>
        <w:tc>
          <w:tcPr>
            <w:tcW w:w="690" w:type="pct"/>
            <w:shd w:val="clear" w:color="auto" w:fill="auto"/>
            <w:noWrap/>
            <w:vAlign w:val="center"/>
            <w:hideMark/>
          </w:tcPr>
          <w:p w14:paraId="511E0274" w14:textId="572276F5"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5124C996" w14:textId="411953D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4.237.174</w:t>
            </w:r>
          </w:p>
        </w:tc>
      </w:tr>
      <w:tr w:rsidR="000256EA" w:rsidRPr="000212BC" w14:paraId="6D2DCF1A" w14:textId="77777777" w:rsidTr="000256EA">
        <w:tc>
          <w:tcPr>
            <w:tcW w:w="326" w:type="pct"/>
            <w:shd w:val="clear" w:color="auto" w:fill="auto"/>
            <w:noWrap/>
            <w:vAlign w:val="center"/>
            <w:hideMark/>
          </w:tcPr>
          <w:p w14:paraId="0DD87F16"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jul-12</w:t>
            </w:r>
          </w:p>
        </w:tc>
        <w:tc>
          <w:tcPr>
            <w:tcW w:w="689" w:type="pct"/>
            <w:shd w:val="clear" w:color="auto" w:fill="auto"/>
            <w:noWrap/>
            <w:vAlign w:val="center"/>
            <w:hideMark/>
          </w:tcPr>
          <w:p w14:paraId="459016C7" w14:textId="5CE804B2"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3C6BB71" w14:textId="0F0EDD9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2.110.120,00</w:t>
            </w:r>
          </w:p>
        </w:tc>
        <w:tc>
          <w:tcPr>
            <w:tcW w:w="690" w:type="pct"/>
            <w:shd w:val="clear" w:color="auto" w:fill="auto"/>
            <w:noWrap/>
            <w:vAlign w:val="center"/>
            <w:hideMark/>
          </w:tcPr>
          <w:p w14:paraId="3A11AE26" w14:textId="4857576C"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352C850" w14:textId="59C1B036"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9DB7D1B" w14:textId="56BC691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3.050,00</w:t>
            </w:r>
          </w:p>
        </w:tc>
        <w:tc>
          <w:tcPr>
            <w:tcW w:w="690" w:type="pct"/>
            <w:shd w:val="clear" w:color="auto" w:fill="auto"/>
            <w:noWrap/>
            <w:vAlign w:val="center"/>
            <w:hideMark/>
          </w:tcPr>
          <w:p w14:paraId="645B38B1" w14:textId="151808E6"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75E1A96E" w14:textId="41058F5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2.113.170</w:t>
            </w:r>
          </w:p>
        </w:tc>
      </w:tr>
      <w:tr w:rsidR="000256EA" w:rsidRPr="000212BC" w14:paraId="37BFE75E" w14:textId="77777777" w:rsidTr="000256EA">
        <w:tc>
          <w:tcPr>
            <w:tcW w:w="326" w:type="pct"/>
            <w:shd w:val="clear" w:color="auto" w:fill="auto"/>
            <w:noWrap/>
            <w:vAlign w:val="center"/>
            <w:hideMark/>
          </w:tcPr>
          <w:p w14:paraId="116F1940"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ago-12</w:t>
            </w:r>
          </w:p>
        </w:tc>
        <w:tc>
          <w:tcPr>
            <w:tcW w:w="689" w:type="pct"/>
            <w:shd w:val="clear" w:color="auto" w:fill="auto"/>
            <w:noWrap/>
            <w:vAlign w:val="center"/>
            <w:hideMark/>
          </w:tcPr>
          <w:p w14:paraId="6E286904" w14:textId="1380C4E1"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1F51A435" w14:textId="7D53DF1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2.103.686,00</w:t>
            </w:r>
          </w:p>
        </w:tc>
        <w:tc>
          <w:tcPr>
            <w:tcW w:w="690" w:type="pct"/>
            <w:shd w:val="clear" w:color="auto" w:fill="auto"/>
            <w:noWrap/>
            <w:vAlign w:val="center"/>
            <w:hideMark/>
          </w:tcPr>
          <w:p w14:paraId="1A155282" w14:textId="15A39F8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3F0B031E" w14:textId="412C9E4B"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4837117" w14:textId="039835CD"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4.574,00</w:t>
            </w:r>
          </w:p>
        </w:tc>
        <w:tc>
          <w:tcPr>
            <w:tcW w:w="690" w:type="pct"/>
            <w:shd w:val="clear" w:color="auto" w:fill="auto"/>
            <w:noWrap/>
            <w:vAlign w:val="center"/>
            <w:hideMark/>
          </w:tcPr>
          <w:p w14:paraId="61963501" w14:textId="01549BF2"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5706B7A4" w14:textId="64DCD97C"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2.108.260</w:t>
            </w:r>
          </w:p>
        </w:tc>
      </w:tr>
      <w:tr w:rsidR="000256EA" w:rsidRPr="000212BC" w14:paraId="7638B960" w14:textId="77777777" w:rsidTr="000256EA">
        <w:tc>
          <w:tcPr>
            <w:tcW w:w="326" w:type="pct"/>
            <w:shd w:val="clear" w:color="auto" w:fill="auto"/>
            <w:noWrap/>
            <w:vAlign w:val="center"/>
            <w:hideMark/>
          </w:tcPr>
          <w:p w14:paraId="581BE45A"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sep-12</w:t>
            </w:r>
          </w:p>
        </w:tc>
        <w:tc>
          <w:tcPr>
            <w:tcW w:w="689" w:type="pct"/>
            <w:shd w:val="clear" w:color="auto" w:fill="auto"/>
            <w:noWrap/>
            <w:vAlign w:val="center"/>
            <w:hideMark/>
          </w:tcPr>
          <w:p w14:paraId="41143D6B" w14:textId="49058982"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084FADA" w14:textId="65DB44F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2.097.253,00</w:t>
            </w:r>
          </w:p>
        </w:tc>
        <w:tc>
          <w:tcPr>
            <w:tcW w:w="690" w:type="pct"/>
            <w:shd w:val="clear" w:color="auto" w:fill="auto"/>
            <w:noWrap/>
            <w:vAlign w:val="center"/>
            <w:hideMark/>
          </w:tcPr>
          <w:p w14:paraId="489853E3" w14:textId="27F25030"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6D70B60" w14:textId="15FB16B5"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2DC2888" w14:textId="7152274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6.099,00</w:t>
            </w:r>
          </w:p>
        </w:tc>
        <w:tc>
          <w:tcPr>
            <w:tcW w:w="690" w:type="pct"/>
            <w:shd w:val="clear" w:color="auto" w:fill="auto"/>
            <w:noWrap/>
            <w:vAlign w:val="center"/>
            <w:hideMark/>
          </w:tcPr>
          <w:p w14:paraId="630BCE42" w14:textId="77BA1F9D"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3BB051A3" w14:textId="6FC3486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2.103.352</w:t>
            </w:r>
          </w:p>
        </w:tc>
      </w:tr>
      <w:tr w:rsidR="000256EA" w:rsidRPr="000212BC" w14:paraId="653B0387" w14:textId="77777777" w:rsidTr="000256EA">
        <w:tc>
          <w:tcPr>
            <w:tcW w:w="326" w:type="pct"/>
            <w:shd w:val="clear" w:color="auto" w:fill="auto"/>
            <w:noWrap/>
            <w:vAlign w:val="center"/>
            <w:hideMark/>
          </w:tcPr>
          <w:p w14:paraId="792C7C93"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oct-12</w:t>
            </w:r>
          </w:p>
        </w:tc>
        <w:tc>
          <w:tcPr>
            <w:tcW w:w="689" w:type="pct"/>
            <w:shd w:val="clear" w:color="auto" w:fill="auto"/>
            <w:noWrap/>
            <w:vAlign w:val="center"/>
            <w:hideMark/>
          </w:tcPr>
          <w:p w14:paraId="3AB41867" w14:textId="364AD92A"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2A18EAC8" w14:textId="126E036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2.097.253,00</w:t>
            </w:r>
          </w:p>
        </w:tc>
        <w:tc>
          <w:tcPr>
            <w:tcW w:w="690" w:type="pct"/>
            <w:shd w:val="clear" w:color="auto" w:fill="auto"/>
            <w:noWrap/>
            <w:vAlign w:val="center"/>
            <w:hideMark/>
          </w:tcPr>
          <w:p w14:paraId="18F3B973" w14:textId="21854E20"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91E2C7E" w14:textId="1212F4F3"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59DD50E" w14:textId="013DDBD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6.099,00</w:t>
            </w:r>
          </w:p>
        </w:tc>
        <w:tc>
          <w:tcPr>
            <w:tcW w:w="690" w:type="pct"/>
            <w:shd w:val="clear" w:color="auto" w:fill="auto"/>
            <w:noWrap/>
            <w:vAlign w:val="center"/>
            <w:hideMark/>
          </w:tcPr>
          <w:p w14:paraId="430380E2" w14:textId="3D26DB6F"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30486AEE" w14:textId="6D48488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2.103.352</w:t>
            </w:r>
          </w:p>
        </w:tc>
      </w:tr>
      <w:tr w:rsidR="000256EA" w:rsidRPr="000212BC" w14:paraId="77516EF3" w14:textId="77777777" w:rsidTr="000256EA">
        <w:tc>
          <w:tcPr>
            <w:tcW w:w="326" w:type="pct"/>
            <w:shd w:val="clear" w:color="auto" w:fill="auto"/>
            <w:noWrap/>
            <w:vAlign w:val="center"/>
            <w:hideMark/>
          </w:tcPr>
          <w:p w14:paraId="24032E6E"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nov-12</w:t>
            </w:r>
          </w:p>
        </w:tc>
        <w:tc>
          <w:tcPr>
            <w:tcW w:w="689" w:type="pct"/>
            <w:shd w:val="clear" w:color="auto" w:fill="auto"/>
            <w:noWrap/>
            <w:vAlign w:val="center"/>
            <w:hideMark/>
          </w:tcPr>
          <w:p w14:paraId="29190A61" w14:textId="6E9BBAF0"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0AFEB9A" w14:textId="57ECEA1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2.090.820,00</w:t>
            </w:r>
          </w:p>
        </w:tc>
        <w:tc>
          <w:tcPr>
            <w:tcW w:w="690" w:type="pct"/>
            <w:shd w:val="clear" w:color="auto" w:fill="auto"/>
            <w:noWrap/>
            <w:vAlign w:val="center"/>
            <w:hideMark/>
          </w:tcPr>
          <w:p w14:paraId="37EE4DE9" w14:textId="36DCCAD9"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C2FAAC0" w14:textId="4F5EA88B"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BB6700C" w14:textId="033B9F2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7.624,00</w:t>
            </w:r>
          </w:p>
        </w:tc>
        <w:tc>
          <w:tcPr>
            <w:tcW w:w="690" w:type="pct"/>
            <w:shd w:val="clear" w:color="auto" w:fill="auto"/>
            <w:noWrap/>
            <w:vAlign w:val="center"/>
            <w:hideMark/>
          </w:tcPr>
          <w:p w14:paraId="00F57692" w14:textId="21547DBF"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072025A9" w14:textId="6C20FD4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2.098.444</w:t>
            </w:r>
          </w:p>
        </w:tc>
      </w:tr>
      <w:tr w:rsidR="000256EA" w:rsidRPr="000212BC" w14:paraId="5E94034D" w14:textId="77777777" w:rsidTr="000256EA">
        <w:tc>
          <w:tcPr>
            <w:tcW w:w="326" w:type="pct"/>
            <w:shd w:val="clear" w:color="auto" w:fill="auto"/>
            <w:noWrap/>
            <w:vAlign w:val="center"/>
            <w:hideMark/>
          </w:tcPr>
          <w:p w14:paraId="0A1A6714"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dic-12</w:t>
            </w:r>
          </w:p>
        </w:tc>
        <w:tc>
          <w:tcPr>
            <w:tcW w:w="689" w:type="pct"/>
            <w:shd w:val="clear" w:color="auto" w:fill="auto"/>
            <w:noWrap/>
            <w:vAlign w:val="center"/>
            <w:hideMark/>
          </w:tcPr>
          <w:p w14:paraId="31F1150D" w14:textId="57856227"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08C162B3" w14:textId="07F2C7E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2.090.820,00</w:t>
            </w:r>
          </w:p>
        </w:tc>
        <w:tc>
          <w:tcPr>
            <w:tcW w:w="690" w:type="pct"/>
            <w:shd w:val="clear" w:color="auto" w:fill="auto"/>
            <w:noWrap/>
            <w:vAlign w:val="center"/>
            <w:hideMark/>
          </w:tcPr>
          <w:p w14:paraId="7DF431BC" w14:textId="7E3614A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1.064.035,00</w:t>
            </w:r>
          </w:p>
        </w:tc>
        <w:tc>
          <w:tcPr>
            <w:tcW w:w="690" w:type="pct"/>
            <w:shd w:val="clear" w:color="auto" w:fill="auto"/>
            <w:noWrap/>
            <w:vAlign w:val="center"/>
            <w:hideMark/>
          </w:tcPr>
          <w:p w14:paraId="1C24E8CB" w14:textId="6E862AA0"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1.064.035,00</w:t>
            </w:r>
          </w:p>
        </w:tc>
        <w:tc>
          <w:tcPr>
            <w:tcW w:w="690" w:type="pct"/>
            <w:shd w:val="clear" w:color="auto" w:fill="auto"/>
            <w:noWrap/>
            <w:vAlign w:val="center"/>
            <w:hideMark/>
          </w:tcPr>
          <w:p w14:paraId="4F037203" w14:textId="1C4B534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7.624,00</w:t>
            </w:r>
          </w:p>
        </w:tc>
        <w:tc>
          <w:tcPr>
            <w:tcW w:w="690" w:type="pct"/>
            <w:shd w:val="clear" w:color="auto" w:fill="auto"/>
            <w:noWrap/>
            <w:vAlign w:val="center"/>
            <w:hideMark/>
          </w:tcPr>
          <w:p w14:paraId="5239B4C1" w14:textId="10C788F1"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16BCA85F" w14:textId="304BC2EC"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4.226.514</w:t>
            </w:r>
          </w:p>
        </w:tc>
      </w:tr>
      <w:tr w:rsidR="000256EA" w:rsidRPr="000212BC" w14:paraId="163965CE" w14:textId="77777777" w:rsidTr="000256EA">
        <w:tc>
          <w:tcPr>
            <w:tcW w:w="326" w:type="pct"/>
            <w:shd w:val="clear" w:color="auto" w:fill="auto"/>
            <w:noWrap/>
            <w:vAlign w:val="center"/>
            <w:hideMark/>
          </w:tcPr>
          <w:p w14:paraId="6F4F830D"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ene-13</w:t>
            </w:r>
          </w:p>
        </w:tc>
        <w:tc>
          <w:tcPr>
            <w:tcW w:w="689" w:type="pct"/>
            <w:shd w:val="clear" w:color="auto" w:fill="auto"/>
            <w:noWrap/>
            <w:vAlign w:val="center"/>
            <w:hideMark/>
          </w:tcPr>
          <w:p w14:paraId="58638102" w14:textId="38614A49"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7C590A28" w14:textId="4921D2B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2.135.209,00</w:t>
            </w:r>
          </w:p>
        </w:tc>
        <w:tc>
          <w:tcPr>
            <w:tcW w:w="690" w:type="pct"/>
            <w:shd w:val="clear" w:color="auto" w:fill="auto"/>
            <w:noWrap/>
            <w:vAlign w:val="center"/>
            <w:hideMark/>
          </w:tcPr>
          <w:p w14:paraId="7EE797F7" w14:textId="319CDD64"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5BDCD41" w14:textId="69E6204A"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D77E718" w14:textId="3C71A45B"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BE94B33" w14:textId="6EBAF8FE"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6BAAE5A9" w14:textId="120AAC6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2.135.209</w:t>
            </w:r>
          </w:p>
        </w:tc>
      </w:tr>
      <w:tr w:rsidR="000256EA" w:rsidRPr="000212BC" w14:paraId="42099558" w14:textId="77777777" w:rsidTr="000256EA">
        <w:tc>
          <w:tcPr>
            <w:tcW w:w="326" w:type="pct"/>
            <w:shd w:val="clear" w:color="auto" w:fill="auto"/>
            <w:noWrap/>
            <w:vAlign w:val="center"/>
            <w:hideMark/>
          </w:tcPr>
          <w:p w14:paraId="33034868"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feb-13</w:t>
            </w:r>
          </w:p>
        </w:tc>
        <w:tc>
          <w:tcPr>
            <w:tcW w:w="689" w:type="pct"/>
            <w:shd w:val="clear" w:color="auto" w:fill="auto"/>
            <w:noWrap/>
            <w:vAlign w:val="center"/>
            <w:hideMark/>
          </w:tcPr>
          <w:p w14:paraId="1FFD9CF1" w14:textId="1673AFA8"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5F7A9740" w14:textId="3115F4C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2.142.286,00</w:t>
            </w:r>
          </w:p>
        </w:tc>
        <w:tc>
          <w:tcPr>
            <w:tcW w:w="690" w:type="pct"/>
            <w:shd w:val="clear" w:color="auto" w:fill="auto"/>
            <w:noWrap/>
            <w:vAlign w:val="center"/>
            <w:hideMark/>
          </w:tcPr>
          <w:p w14:paraId="7D0959F3" w14:textId="325D52C9"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ACCA81A" w14:textId="413DBB9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859CBC8" w14:textId="78527023"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37EB8582" w14:textId="0DA4D838"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476D2AA3" w14:textId="23B54D8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2.142.286</w:t>
            </w:r>
          </w:p>
        </w:tc>
      </w:tr>
      <w:tr w:rsidR="000256EA" w:rsidRPr="000212BC" w14:paraId="0529A427" w14:textId="77777777" w:rsidTr="000256EA">
        <w:tc>
          <w:tcPr>
            <w:tcW w:w="326" w:type="pct"/>
            <w:shd w:val="clear" w:color="auto" w:fill="auto"/>
            <w:noWrap/>
            <w:vAlign w:val="center"/>
            <w:hideMark/>
          </w:tcPr>
          <w:p w14:paraId="04B31A8D"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mar-13</w:t>
            </w:r>
          </w:p>
        </w:tc>
        <w:tc>
          <w:tcPr>
            <w:tcW w:w="689" w:type="pct"/>
            <w:shd w:val="clear" w:color="auto" w:fill="auto"/>
            <w:noWrap/>
            <w:vAlign w:val="center"/>
            <w:hideMark/>
          </w:tcPr>
          <w:p w14:paraId="660E54EF" w14:textId="229D00C0"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EDD3A20" w14:textId="3994DE6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2.106.903,00</w:t>
            </w:r>
          </w:p>
        </w:tc>
        <w:tc>
          <w:tcPr>
            <w:tcW w:w="690" w:type="pct"/>
            <w:shd w:val="clear" w:color="auto" w:fill="auto"/>
            <w:noWrap/>
            <w:vAlign w:val="center"/>
            <w:hideMark/>
          </w:tcPr>
          <w:p w14:paraId="180BCDA5" w14:textId="1F24A023"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7DCFBA0" w14:textId="5B20113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3ADE3F2" w14:textId="7D6CA1C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7.624,00</w:t>
            </w:r>
          </w:p>
        </w:tc>
        <w:tc>
          <w:tcPr>
            <w:tcW w:w="690" w:type="pct"/>
            <w:shd w:val="clear" w:color="auto" w:fill="auto"/>
            <w:noWrap/>
            <w:vAlign w:val="center"/>
            <w:hideMark/>
          </w:tcPr>
          <w:p w14:paraId="110E84F2" w14:textId="4B86CBEC"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7ED9D0BB" w14:textId="6888427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2.114.527</w:t>
            </w:r>
          </w:p>
        </w:tc>
      </w:tr>
      <w:tr w:rsidR="000256EA" w:rsidRPr="000212BC" w14:paraId="35D5C7C0" w14:textId="77777777" w:rsidTr="000256EA">
        <w:tc>
          <w:tcPr>
            <w:tcW w:w="326" w:type="pct"/>
            <w:shd w:val="clear" w:color="auto" w:fill="auto"/>
            <w:noWrap/>
            <w:vAlign w:val="center"/>
            <w:hideMark/>
          </w:tcPr>
          <w:p w14:paraId="298B165B"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abr-13</w:t>
            </w:r>
          </w:p>
        </w:tc>
        <w:tc>
          <w:tcPr>
            <w:tcW w:w="689" w:type="pct"/>
            <w:shd w:val="clear" w:color="auto" w:fill="auto"/>
            <w:noWrap/>
            <w:vAlign w:val="center"/>
            <w:hideMark/>
          </w:tcPr>
          <w:p w14:paraId="57E55EA6" w14:textId="5E2F52A0"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156CEBFC" w14:textId="03AC2F5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2.099.826,00</w:t>
            </w:r>
          </w:p>
        </w:tc>
        <w:tc>
          <w:tcPr>
            <w:tcW w:w="690" w:type="pct"/>
            <w:shd w:val="clear" w:color="auto" w:fill="auto"/>
            <w:noWrap/>
            <w:vAlign w:val="center"/>
            <w:hideMark/>
          </w:tcPr>
          <w:p w14:paraId="0EA5E8AF" w14:textId="7FA07F01"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DDC35A7" w14:textId="4B35533B"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403045C" w14:textId="03A5B89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9.149,00</w:t>
            </w:r>
          </w:p>
        </w:tc>
        <w:tc>
          <w:tcPr>
            <w:tcW w:w="690" w:type="pct"/>
            <w:shd w:val="clear" w:color="auto" w:fill="auto"/>
            <w:noWrap/>
            <w:vAlign w:val="center"/>
            <w:hideMark/>
          </w:tcPr>
          <w:p w14:paraId="12CB1C36" w14:textId="07A85D98"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0836B54C" w14:textId="6CCD432C"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2.108.975</w:t>
            </w:r>
          </w:p>
        </w:tc>
      </w:tr>
      <w:tr w:rsidR="000256EA" w:rsidRPr="000212BC" w14:paraId="3789915E" w14:textId="77777777" w:rsidTr="000256EA">
        <w:tc>
          <w:tcPr>
            <w:tcW w:w="326" w:type="pct"/>
            <w:shd w:val="clear" w:color="auto" w:fill="auto"/>
            <w:noWrap/>
            <w:vAlign w:val="center"/>
            <w:hideMark/>
          </w:tcPr>
          <w:p w14:paraId="655CF1DB"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may-13</w:t>
            </w:r>
          </w:p>
        </w:tc>
        <w:tc>
          <w:tcPr>
            <w:tcW w:w="689" w:type="pct"/>
            <w:shd w:val="clear" w:color="auto" w:fill="auto"/>
            <w:noWrap/>
            <w:vAlign w:val="center"/>
            <w:hideMark/>
          </w:tcPr>
          <w:p w14:paraId="39B747FC" w14:textId="4B691888"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75157D4" w14:textId="181B359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2.099.826,00</w:t>
            </w:r>
          </w:p>
        </w:tc>
        <w:tc>
          <w:tcPr>
            <w:tcW w:w="690" w:type="pct"/>
            <w:shd w:val="clear" w:color="auto" w:fill="auto"/>
            <w:noWrap/>
            <w:vAlign w:val="center"/>
            <w:hideMark/>
          </w:tcPr>
          <w:p w14:paraId="16A32C38" w14:textId="66E39481"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CE42FC5" w14:textId="43C510F9"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90960B9" w14:textId="12111C08"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9.149,00</w:t>
            </w:r>
          </w:p>
        </w:tc>
        <w:tc>
          <w:tcPr>
            <w:tcW w:w="690" w:type="pct"/>
            <w:shd w:val="clear" w:color="auto" w:fill="auto"/>
            <w:noWrap/>
            <w:vAlign w:val="center"/>
            <w:hideMark/>
          </w:tcPr>
          <w:p w14:paraId="67D06FF9" w14:textId="356D2B1C"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12CC0286" w14:textId="16ECD5B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2.108.975</w:t>
            </w:r>
          </w:p>
        </w:tc>
      </w:tr>
      <w:tr w:rsidR="000256EA" w:rsidRPr="000212BC" w14:paraId="3663568A" w14:textId="77777777" w:rsidTr="000256EA">
        <w:tc>
          <w:tcPr>
            <w:tcW w:w="326" w:type="pct"/>
            <w:shd w:val="clear" w:color="auto" w:fill="auto"/>
            <w:noWrap/>
            <w:vAlign w:val="center"/>
            <w:hideMark/>
          </w:tcPr>
          <w:p w14:paraId="339A8FF3"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jun-13</w:t>
            </w:r>
          </w:p>
        </w:tc>
        <w:tc>
          <w:tcPr>
            <w:tcW w:w="689" w:type="pct"/>
            <w:shd w:val="clear" w:color="auto" w:fill="auto"/>
            <w:noWrap/>
            <w:vAlign w:val="center"/>
            <w:hideMark/>
          </w:tcPr>
          <w:p w14:paraId="4B913E16" w14:textId="595B5E79"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1E079F8C" w14:textId="501326C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2.452.809,00</w:t>
            </w:r>
          </w:p>
        </w:tc>
        <w:tc>
          <w:tcPr>
            <w:tcW w:w="690" w:type="pct"/>
            <w:shd w:val="clear" w:color="auto" w:fill="auto"/>
            <w:noWrap/>
            <w:vAlign w:val="center"/>
            <w:hideMark/>
          </w:tcPr>
          <w:p w14:paraId="25807143" w14:textId="38F83D5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1.100.075,00</w:t>
            </w:r>
          </w:p>
        </w:tc>
        <w:tc>
          <w:tcPr>
            <w:tcW w:w="690" w:type="pct"/>
            <w:shd w:val="clear" w:color="auto" w:fill="auto"/>
            <w:noWrap/>
            <w:vAlign w:val="center"/>
            <w:hideMark/>
          </w:tcPr>
          <w:p w14:paraId="4B85E20B" w14:textId="4F33970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1.100.075,00</w:t>
            </w:r>
          </w:p>
        </w:tc>
        <w:tc>
          <w:tcPr>
            <w:tcW w:w="690" w:type="pct"/>
            <w:shd w:val="clear" w:color="auto" w:fill="auto"/>
            <w:noWrap/>
            <w:vAlign w:val="center"/>
            <w:hideMark/>
          </w:tcPr>
          <w:p w14:paraId="6A3D9D81" w14:textId="0936F438"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8D05213" w14:textId="1C43ACB0"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200D397E" w14:textId="40CB80D8"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4.652.959</w:t>
            </w:r>
          </w:p>
        </w:tc>
      </w:tr>
      <w:tr w:rsidR="000256EA" w:rsidRPr="000212BC" w14:paraId="242466A2" w14:textId="77777777" w:rsidTr="000256EA">
        <w:tc>
          <w:tcPr>
            <w:tcW w:w="326" w:type="pct"/>
            <w:shd w:val="clear" w:color="auto" w:fill="auto"/>
            <w:noWrap/>
            <w:vAlign w:val="center"/>
            <w:hideMark/>
          </w:tcPr>
          <w:p w14:paraId="1BFBB5B7"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jul-13</w:t>
            </w:r>
          </w:p>
        </w:tc>
        <w:tc>
          <w:tcPr>
            <w:tcW w:w="689" w:type="pct"/>
            <w:shd w:val="clear" w:color="auto" w:fill="auto"/>
            <w:noWrap/>
            <w:vAlign w:val="center"/>
            <w:hideMark/>
          </w:tcPr>
          <w:p w14:paraId="2276EF32" w14:textId="4C8B127A"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7C3101B" w14:textId="4811B0C1"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2.194.558,00</w:t>
            </w:r>
          </w:p>
        </w:tc>
        <w:tc>
          <w:tcPr>
            <w:tcW w:w="690" w:type="pct"/>
            <w:shd w:val="clear" w:color="auto" w:fill="auto"/>
            <w:noWrap/>
            <w:vAlign w:val="center"/>
            <w:hideMark/>
          </w:tcPr>
          <w:p w14:paraId="214DA577" w14:textId="69B6C888"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3AD18EE9" w14:textId="2438033E"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46461D4" w14:textId="13E1225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A09CC0B" w14:textId="3EEF1BA7"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5DBC8418" w14:textId="2C0A68B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w:t>
            </w:r>
          </w:p>
        </w:tc>
      </w:tr>
      <w:tr w:rsidR="000256EA" w:rsidRPr="000212BC" w14:paraId="4F89348A" w14:textId="77777777" w:rsidTr="000256EA">
        <w:tc>
          <w:tcPr>
            <w:tcW w:w="326" w:type="pct"/>
            <w:shd w:val="clear" w:color="auto" w:fill="auto"/>
            <w:noWrap/>
            <w:vAlign w:val="center"/>
            <w:hideMark/>
          </w:tcPr>
          <w:p w14:paraId="23822D7E"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ago-13</w:t>
            </w:r>
          </w:p>
        </w:tc>
        <w:tc>
          <w:tcPr>
            <w:tcW w:w="689" w:type="pct"/>
            <w:shd w:val="clear" w:color="auto" w:fill="auto"/>
            <w:noWrap/>
            <w:vAlign w:val="center"/>
            <w:hideMark/>
          </w:tcPr>
          <w:p w14:paraId="5418100A" w14:textId="2D48AB18"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3A2C4499" w14:textId="2860C320"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2.136.564,00</w:t>
            </w:r>
          </w:p>
        </w:tc>
        <w:tc>
          <w:tcPr>
            <w:tcW w:w="690" w:type="pct"/>
            <w:shd w:val="clear" w:color="auto" w:fill="auto"/>
            <w:noWrap/>
            <w:vAlign w:val="center"/>
            <w:hideMark/>
          </w:tcPr>
          <w:p w14:paraId="4F5069D0" w14:textId="232A702E"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AF82E4C" w14:textId="2E1E481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E14FC5D" w14:textId="447040AC"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12.198,00</w:t>
            </w:r>
          </w:p>
        </w:tc>
        <w:tc>
          <w:tcPr>
            <w:tcW w:w="690" w:type="pct"/>
            <w:shd w:val="clear" w:color="auto" w:fill="auto"/>
            <w:noWrap/>
            <w:vAlign w:val="center"/>
            <w:hideMark/>
          </w:tcPr>
          <w:p w14:paraId="06226510" w14:textId="216DD456"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704CDB62" w14:textId="44A1C68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2.148.762</w:t>
            </w:r>
          </w:p>
        </w:tc>
      </w:tr>
      <w:tr w:rsidR="000256EA" w:rsidRPr="000212BC" w14:paraId="2E73557C" w14:textId="77777777" w:rsidTr="000256EA">
        <w:tc>
          <w:tcPr>
            <w:tcW w:w="326" w:type="pct"/>
            <w:shd w:val="clear" w:color="auto" w:fill="auto"/>
            <w:noWrap/>
            <w:vAlign w:val="center"/>
            <w:hideMark/>
          </w:tcPr>
          <w:p w14:paraId="5DB16860"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sep-13</w:t>
            </w:r>
          </w:p>
        </w:tc>
        <w:tc>
          <w:tcPr>
            <w:tcW w:w="689" w:type="pct"/>
            <w:shd w:val="clear" w:color="auto" w:fill="auto"/>
            <w:noWrap/>
            <w:vAlign w:val="center"/>
            <w:hideMark/>
          </w:tcPr>
          <w:p w14:paraId="79FE0755" w14:textId="77A33C6B"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216C4DA1" w14:textId="77F847C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2.194.558,00</w:t>
            </w:r>
          </w:p>
        </w:tc>
        <w:tc>
          <w:tcPr>
            <w:tcW w:w="690" w:type="pct"/>
            <w:shd w:val="clear" w:color="auto" w:fill="auto"/>
            <w:noWrap/>
            <w:vAlign w:val="center"/>
            <w:hideMark/>
          </w:tcPr>
          <w:p w14:paraId="52EAD5CE" w14:textId="0AE6DD43"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6192225" w14:textId="55C314E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D3FA4E7" w14:textId="3805B949"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DA62C59" w14:textId="4EA1F76A"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17302E77" w14:textId="55091FB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w:t>
            </w:r>
          </w:p>
        </w:tc>
      </w:tr>
      <w:tr w:rsidR="000256EA" w:rsidRPr="000212BC" w14:paraId="1FA218DA" w14:textId="77777777" w:rsidTr="000256EA">
        <w:tc>
          <w:tcPr>
            <w:tcW w:w="326" w:type="pct"/>
            <w:shd w:val="clear" w:color="auto" w:fill="auto"/>
            <w:noWrap/>
            <w:vAlign w:val="center"/>
            <w:hideMark/>
          </w:tcPr>
          <w:p w14:paraId="19A3501D"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oct-13</w:t>
            </w:r>
          </w:p>
        </w:tc>
        <w:tc>
          <w:tcPr>
            <w:tcW w:w="689" w:type="pct"/>
            <w:shd w:val="clear" w:color="auto" w:fill="auto"/>
            <w:noWrap/>
            <w:vAlign w:val="center"/>
            <w:hideMark/>
          </w:tcPr>
          <w:p w14:paraId="294528C0" w14:textId="7B3A9FB1"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5D391AC6" w14:textId="7D5427D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2.194.558,00</w:t>
            </w:r>
          </w:p>
        </w:tc>
        <w:tc>
          <w:tcPr>
            <w:tcW w:w="690" w:type="pct"/>
            <w:shd w:val="clear" w:color="auto" w:fill="auto"/>
            <w:noWrap/>
            <w:vAlign w:val="center"/>
            <w:hideMark/>
          </w:tcPr>
          <w:p w14:paraId="72C513A4" w14:textId="2089EA1B"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D8F6222" w14:textId="65E6D6D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0B46707" w14:textId="63CDB9F2"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33E1459F" w14:textId="666354B3"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072132AF" w14:textId="440EC491"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w:t>
            </w:r>
          </w:p>
        </w:tc>
      </w:tr>
      <w:tr w:rsidR="000256EA" w:rsidRPr="000212BC" w14:paraId="345C9A45" w14:textId="77777777" w:rsidTr="000256EA">
        <w:tc>
          <w:tcPr>
            <w:tcW w:w="326" w:type="pct"/>
            <w:shd w:val="clear" w:color="auto" w:fill="auto"/>
            <w:noWrap/>
            <w:vAlign w:val="center"/>
            <w:hideMark/>
          </w:tcPr>
          <w:p w14:paraId="28A01C4B"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nov-13</w:t>
            </w:r>
          </w:p>
        </w:tc>
        <w:tc>
          <w:tcPr>
            <w:tcW w:w="689" w:type="pct"/>
            <w:shd w:val="clear" w:color="auto" w:fill="auto"/>
            <w:noWrap/>
            <w:vAlign w:val="center"/>
            <w:hideMark/>
          </w:tcPr>
          <w:p w14:paraId="216A2C75" w14:textId="2AAC64DC"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01385BB9" w14:textId="2923711C"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2.194.558,00</w:t>
            </w:r>
          </w:p>
        </w:tc>
        <w:tc>
          <w:tcPr>
            <w:tcW w:w="690" w:type="pct"/>
            <w:shd w:val="clear" w:color="auto" w:fill="auto"/>
            <w:noWrap/>
            <w:vAlign w:val="center"/>
            <w:hideMark/>
          </w:tcPr>
          <w:p w14:paraId="6A238C2A" w14:textId="4FB7163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0C51DCB" w14:textId="3DDCFE8C"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514E7AF" w14:textId="621E1946"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E0916FE" w14:textId="37BC7928"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5641C62D" w14:textId="6C7EA53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w:t>
            </w:r>
          </w:p>
        </w:tc>
      </w:tr>
      <w:tr w:rsidR="000256EA" w:rsidRPr="000212BC" w14:paraId="30A42BFE" w14:textId="77777777" w:rsidTr="000256EA">
        <w:tc>
          <w:tcPr>
            <w:tcW w:w="326" w:type="pct"/>
            <w:shd w:val="clear" w:color="auto" w:fill="auto"/>
            <w:noWrap/>
            <w:vAlign w:val="center"/>
            <w:hideMark/>
          </w:tcPr>
          <w:p w14:paraId="5F970E73"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dic-13</w:t>
            </w:r>
          </w:p>
        </w:tc>
        <w:tc>
          <w:tcPr>
            <w:tcW w:w="689" w:type="pct"/>
            <w:shd w:val="clear" w:color="auto" w:fill="auto"/>
            <w:noWrap/>
            <w:vAlign w:val="center"/>
            <w:hideMark/>
          </w:tcPr>
          <w:p w14:paraId="41123342" w14:textId="07E92980"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724550E0" w14:textId="22FBC58D"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2.122.065,00</w:t>
            </w:r>
          </w:p>
        </w:tc>
        <w:tc>
          <w:tcPr>
            <w:tcW w:w="690" w:type="pct"/>
            <w:shd w:val="clear" w:color="auto" w:fill="auto"/>
            <w:noWrap/>
            <w:vAlign w:val="center"/>
            <w:hideMark/>
          </w:tcPr>
          <w:p w14:paraId="683CA2C6" w14:textId="544C790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1.098.296,00</w:t>
            </w:r>
          </w:p>
        </w:tc>
        <w:tc>
          <w:tcPr>
            <w:tcW w:w="690" w:type="pct"/>
            <w:shd w:val="clear" w:color="auto" w:fill="auto"/>
            <w:noWrap/>
            <w:vAlign w:val="center"/>
            <w:hideMark/>
          </w:tcPr>
          <w:p w14:paraId="793D7A71" w14:textId="0628FF3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1.098.296,00</w:t>
            </w:r>
          </w:p>
        </w:tc>
        <w:tc>
          <w:tcPr>
            <w:tcW w:w="690" w:type="pct"/>
            <w:shd w:val="clear" w:color="auto" w:fill="auto"/>
            <w:noWrap/>
            <w:vAlign w:val="center"/>
            <w:hideMark/>
          </w:tcPr>
          <w:p w14:paraId="468F2C33" w14:textId="4F8A22D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15.397,00</w:t>
            </w:r>
          </w:p>
        </w:tc>
        <w:tc>
          <w:tcPr>
            <w:tcW w:w="690" w:type="pct"/>
            <w:shd w:val="clear" w:color="auto" w:fill="auto"/>
            <w:noWrap/>
            <w:vAlign w:val="center"/>
            <w:hideMark/>
          </w:tcPr>
          <w:p w14:paraId="7D9F70C6" w14:textId="01676F3F"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7F3BB538" w14:textId="02622B1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4.334.054</w:t>
            </w:r>
          </w:p>
        </w:tc>
      </w:tr>
      <w:tr w:rsidR="000256EA" w:rsidRPr="000212BC" w14:paraId="28851069" w14:textId="77777777" w:rsidTr="000256EA">
        <w:tc>
          <w:tcPr>
            <w:tcW w:w="326" w:type="pct"/>
            <w:shd w:val="clear" w:color="auto" w:fill="auto"/>
            <w:noWrap/>
            <w:vAlign w:val="center"/>
            <w:hideMark/>
          </w:tcPr>
          <w:p w14:paraId="2538727C"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ene-14</w:t>
            </w:r>
          </w:p>
        </w:tc>
        <w:tc>
          <w:tcPr>
            <w:tcW w:w="689" w:type="pct"/>
            <w:shd w:val="clear" w:color="auto" w:fill="auto"/>
            <w:noWrap/>
            <w:vAlign w:val="center"/>
            <w:hideMark/>
          </w:tcPr>
          <w:p w14:paraId="018CD644" w14:textId="2ED45D76"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1304B2AB" w14:textId="6D92E56C"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2.194.558,00</w:t>
            </w:r>
          </w:p>
        </w:tc>
        <w:tc>
          <w:tcPr>
            <w:tcW w:w="690" w:type="pct"/>
            <w:shd w:val="clear" w:color="auto" w:fill="auto"/>
            <w:noWrap/>
            <w:vAlign w:val="center"/>
            <w:hideMark/>
          </w:tcPr>
          <w:p w14:paraId="3646F3EF" w14:textId="37786040"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B08E470" w14:textId="20114ACC"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F307F4A" w14:textId="526F3BE4"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2903B96" w14:textId="1059741F"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28BE530E" w14:textId="6FB1187A"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w:t>
            </w:r>
          </w:p>
        </w:tc>
      </w:tr>
      <w:tr w:rsidR="000256EA" w:rsidRPr="000212BC" w14:paraId="3E498E62" w14:textId="77777777" w:rsidTr="000256EA">
        <w:tc>
          <w:tcPr>
            <w:tcW w:w="326" w:type="pct"/>
            <w:shd w:val="clear" w:color="auto" w:fill="auto"/>
            <w:noWrap/>
            <w:vAlign w:val="center"/>
            <w:hideMark/>
          </w:tcPr>
          <w:p w14:paraId="13D35B32"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feb-14</w:t>
            </w:r>
          </w:p>
        </w:tc>
        <w:tc>
          <w:tcPr>
            <w:tcW w:w="689" w:type="pct"/>
            <w:shd w:val="clear" w:color="auto" w:fill="auto"/>
            <w:noWrap/>
            <w:vAlign w:val="center"/>
            <w:hideMark/>
          </w:tcPr>
          <w:p w14:paraId="2E5E58D8" w14:textId="718A96AA"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74831B7A" w14:textId="0D6D789A"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2.194.558,00</w:t>
            </w:r>
          </w:p>
        </w:tc>
        <w:tc>
          <w:tcPr>
            <w:tcW w:w="690" w:type="pct"/>
            <w:shd w:val="clear" w:color="auto" w:fill="auto"/>
            <w:noWrap/>
            <w:vAlign w:val="center"/>
            <w:hideMark/>
          </w:tcPr>
          <w:p w14:paraId="64C1FC52" w14:textId="3BB8673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0F9D04D" w14:textId="2C5C7675"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AB8CCC7" w14:textId="7239394C"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E94A79D" w14:textId="18580DCD"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4F4FAA6A" w14:textId="3E12CA4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2.194.558</w:t>
            </w:r>
          </w:p>
        </w:tc>
      </w:tr>
      <w:tr w:rsidR="000256EA" w:rsidRPr="000212BC" w14:paraId="579BC2AE" w14:textId="77777777" w:rsidTr="000256EA">
        <w:tc>
          <w:tcPr>
            <w:tcW w:w="326" w:type="pct"/>
            <w:shd w:val="clear" w:color="auto" w:fill="auto"/>
            <w:noWrap/>
            <w:vAlign w:val="center"/>
            <w:hideMark/>
          </w:tcPr>
          <w:p w14:paraId="26E81254"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mar-14</w:t>
            </w:r>
          </w:p>
        </w:tc>
        <w:tc>
          <w:tcPr>
            <w:tcW w:w="689" w:type="pct"/>
            <w:shd w:val="clear" w:color="auto" w:fill="auto"/>
            <w:noWrap/>
            <w:vAlign w:val="center"/>
            <w:hideMark/>
          </w:tcPr>
          <w:p w14:paraId="3013FA5B" w14:textId="25E09545"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097846BC" w14:textId="17BC1DD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2.122.065,00</w:t>
            </w:r>
          </w:p>
        </w:tc>
        <w:tc>
          <w:tcPr>
            <w:tcW w:w="690" w:type="pct"/>
            <w:shd w:val="clear" w:color="auto" w:fill="auto"/>
            <w:noWrap/>
            <w:vAlign w:val="center"/>
            <w:hideMark/>
          </w:tcPr>
          <w:p w14:paraId="663E4D52" w14:textId="26D21AC6"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F293760" w14:textId="6559EAF4"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B3E4FFD" w14:textId="6156CC3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15.397,00</w:t>
            </w:r>
          </w:p>
        </w:tc>
        <w:tc>
          <w:tcPr>
            <w:tcW w:w="690" w:type="pct"/>
            <w:shd w:val="clear" w:color="auto" w:fill="auto"/>
            <w:noWrap/>
            <w:vAlign w:val="center"/>
            <w:hideMark/>
          </w:tcPr>
          <w:p w14:paraId="508F8F53" w14:textId="59E667C6"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060DB9C1" w14:textId="5432516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2.137.462</w:t>
            </w:r>
          </w:p>
        </w:tc>
      </w:tr>
      <w:tr w:rsidR="000256EA" w:rsidRPr="000212BC" w14:paraId="1743E3A1" w14:textId="77777777" w:rsidTr="000256EA">
        <w:tc>
          <w:tcPr>
            <w:tcW w:w="326" w:type="pct"/>
            <w:shd w:val="clear" w:color="auto" w:fill="auto"/>
            <w:noWrap/>
            <w:vAlign w:val="center"/>
            <w:hideMark/>
          </w:tcPr>
          <w:p w14:paraId="0D887571"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abr-14</w:t>
            </w:r>
          </w:p>
        </w:tc>
        <w:tc>
          <w:tcPr>
            <w:tcW w:w="689" w:type="pct"/>
            <w:shd w:val="clear" w:color="auto" w:fill="auto"/>
            <w:noWrap/>
            <w:vAlign w:val="center"/>
            <w:hideMark/>
          </w:tcPr>
          <w:p w14:paraId="470E1690" w14:textId="39D1A996"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02847A18" w14:textId="7BDB02C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2.114.816,00</w:t>
            </w:r>
          </w:p>
        </w:tc>
        <w:tc>
          <w:tcPr>
            <w:tcW w:w="690" w:type="pct"/>
            <w:shd w:val="clear" w:color="auto" w:fill="auto"/>
            <w:noWrap/>
            <w:vAlign w:val="center"/>
            <w:hideMark/>
          </w:tcPr>
          <w:p w14:paraId="2F4C8DC9" w14:textId="1C064CF5"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6E8322A" w14:textId="38C3238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34D92D15" w14:textId="423AF00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16.937,00</w:t>
            </w:r>
          </w:p>
        </w:tc>
        <w:tc>
          <w:tcPr>
            <w:tcW w:w="690" w:type="pct"/>
            <w:shd w:val="clear" w:color="auto" w:fill="auto"/>
            <w:noWrap/>
            <w:vAlign w:val="center"/>
            <w:hideMark/>
          </w:tcPr>
          <w:p w14:paraId="0AA33E79" w14:textId="6A1702AC"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3AF2FF96" w14:textId="0042B09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2.131.753</w:t>
            </w:r>
          </w:p>
        </w:tc>
      </w:tr>
      <w:tr w:rsidR="000256EA" w:rsidRPr="000212BC" w14:paraId="1AF99766" w14:textId="77777777" w:rsidTr="000256EA">
        <w:tc>
          <w:tcPr>
            <w:tcW w:w="326" w:type="pct"/>
            <w:shd w:val="clear" w:color="auto" w:fill="auto"/>
            <w:noWrap/>
            <w:vAlign w:val="center"/>
            <w:hideMark/>
          </w:tcPr>
          <w:p w14:paraId="22804B91"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may-14</w:t>
            </w:r>
          </w:p>
        </w:tc>
        <w:tc>
          <w:tcPr>
            <w:tcW w:w="689" w:type="pct"/>
            <w:shd w:val="clear" w:color="auto" w:fill="auto"/>
            <w:noWrap/>
            <w:vAlign w:val="center"/>
            <w:hideMark/>
          </w:tcPr>
          <w:p w14:paraId="2EDFB65E" w14:textId="6531C0A9"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576412EE" w14:textId="13039E6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2.182.782,00</w:t>
            </w:r>
          </w:p>
        </w:tc>
        <w:tc>
          <w:tcPr>
            <w:tcW w:w="690" w:type="pct"/>
            <w:shd w:val="clear" w:color="auto" w:fill="auto"/>
            <w:noWrap/>
            <w:vAlign w:val="center"/>
            <w:hideMark/>
          </w:tcPr>
          <w:p w14:paraId="35372C0C" w14:textId="0CE1232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0A19E4E" w14:textId="340F2095"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342D6EC" w14:textId="190AE19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46.192,00</w:t>
            </w:r>
          </w:p>
        </w:tc>
        <w:tc>
          <w:tcPr>
            <w:tcW w:w="690" w:type="pct"/>
            <w:shd w:val="clear" w:color="auto" w:fill="auto"/>
            <w:noWrap/>
            <w:vAlign w:val="center"/>
            <w:hideMark/>
          </w:tcPr>
          <w:p w14:paraId="663C0B9A" w14:textId="517C696B"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314764FA" w14:textId="67D8F4A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2.228.974</w:t>
            </w:r>
          </w:p>
        </w:tc>
      </w:tr>
      <w:tr w:rsidR="000256EA" w:rsidRPr="000212BC" w14:paraId="70CE219E" w14:textId="77777777" w:rsidTr="000256EA">
        <w:tc>
          <w:tcPr>
            <w:tcW w:w="326" w:type="pct"/>
            <w:shd w:val="clear" w:color="auto" w:fill="auto"/>
            <w:noWrap/>
            <w:vAlign w:val="center"/>
            <w:hideMark/>
          </w:tcPr>
          <w:p w14:paraId="7431EFF4"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jun-14</w:t>
            </w:r>
          </w:p>
        </w:tc>
        <w:tc>
          <w:tcPr>
            <w:tcW w:w="689" w:type="pct"/>
            <w:shd w:val="clear" w:color="auto" w:fill="auto"/>
            <w:noWrap/>
            <w:vAlign w:val="center"/>
            <w:hideMark/>
          </w:tcPr>
          <w:p w14:paraId="3ACF63EB" w14:textId="408B562C"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1390703" w14:textId="0BA1AF69"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2.015.435,00</w:t>
            </w:r>
          </w:p>
        </w:tc>
        <w:tc>
          <w:tcPr>
            <w:tcW w:w="690" w:type="pct"/>
            <w:shd w:val="clear" w:color="auto" w:fill="auto"/>
            <w:noWrap/>
            <w:vAlign w:val="center"/>
            <w:hideMark/>
          </w:tcPr>
          <w:p w14:paraId="43CED35C" w14:textId="40A7C1F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1.126.394,00</w:t>
            </w:r>
          </w:p>
        </w:tc>
        <w:tc>
          <w:tcPr>
            <w:tcW w:w="690" w:type="pct"/>
            <w:shd w:val="clear" w:color="auto" w:fill="auto"/>
            <w:noWrap/>
            <w:vAlign w:val="center"/>
            <w:hideMark/>
          </w:tcPr>
          <w:p w14:paraId="708F3F05" w14:textId="655CEEE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1.126.394,00</w:t>
            </w:r>
          </w:p>
        </w:tc>
        <w:tc>
          <w:tcPr>
            <w:tcW w:w="690" w:type="pct"/>
            <w:shd w:val="clear" w:color="auto" w:fill="auto"/>
            <w:noWrap/>
            <w:vAlign w:val="center"/>
            <w:hideMark/>
          </w:tcPr>
          <w:p w14:paraId="42719169" w14:textId="7CC7BCD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46.192,00</w:t>
            </w:r>
          </w:p>
        </w:tc>
        <w:tc>
          <w:tcPr>
            <w:tcW w:w="690" w:type="pct"/>
            <w:shd w:val="clear" w:color="auto" w:fill="auto"/>
            <w:noWrap/>
            <w:vAlign w:val="center"/>
            <w:hideMark/>
          </w:tcPr>
          <w:p w14:paraId="19E446E2" w14:textId="15A59CFE"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5D2BB510" w14:textId="2DFC1C3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4.314.415</w:t>
            </w:r>
          </w:p>
        </w:tc>
      </w:tr>
      <w:tr w:rsidR="000256EA" w:rsidRPr="000212BC" w14:paraId="19EA3D1D" w14:textId="77777777" w:rsidTr="000256EA">
        <w:tc>
          <w:tcPr>
            <w:tcW w:w="326" w:type="pct"/>
            <w:shd w:val="clear" w:color="auto" w:fill="auto"/>
            <w:noWrap/>
            <w:vAlign w:val="center"/>
            <w:hideMark/>
          </w:tcPr>
          <w:p w14:paraId="2EEC9F70"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jul-14</w:t>
            </w:r>
          </w:p>
        </w:tc>
        <w:tc>
          <w:tcPr>
            <w:tcW w:w="689" w:type="pct"/>
            <w:shd w:val="clear" w:color="auto" w:fill="auto"/>
            <w:noWrap/>
            <w:vAlign w:val="center"/>
            <w:hideMark/>
          </w:tcPr>
          <w:p w14:paraId="46AD5B09" w14:textId="171BE0A8"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038A4FD3" w14:textId="73792976"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2.015.435,00</w:t>
            </w:r>
          </w:p>
        </w:tc>
        <w:tc>
          <w:tcPr>
            <w:tcW w:w="690" w:type="pct"/>
            <w:shd w:val="clear" w:color="auto" w:fill="auto"/>
            <w:noWrap/>
            <w:vAlign w:val="center"/>
            <w:hideMark/>
          </w:tcPr>
          <w:p w14:paraId="6C25062D" w14:textId="0A3882F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36AD2D9" w14:textId="3505E5C6"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427BB42" w14:textId="1E1B2B9D"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46.192,00</w:t>
            </w:r>
          </w:p>
        </w:tc>
        <w:tc>
          <w:tcPr>
            <w:tcW w:w="690" w:type="pct"/>
            <w:shd w:val="clear" w:color="auto" w:fill="auto"/>
            <w:noWrap/>
            <w:vAlign w:val="center"/>
            <w:hideMark/>
          </w:tcPr>
          <w:p w14:paraId="53478015" w14:textId="1364EF78"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00E2DAA3" w14:textId="12ED3DB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2.061.627</w:t>
            </w:r>
          </w:p>
        </w:tc>
      </w:tr>
      <w:tr w:rsidR="000256EA" w:rsidRPr="000212BC" w14:paraId="69F0BB41" w14:textId="77777777" w:rsidTr="000256EA">
        <w:tc>
          <w:tcPr>
            <w:tcW w:w="326" w:type="pct"/>
            <w:shd w:val="clear" w:color="auto" w:fill="auto"/>
            <w:noWrap/>
            <w:vAlign w:val="center"/>
            <w:hideMark/>
          </w:tcPr>
          <w:p w14:paraId="4A374738"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ago-14</w:t>
            </w:r>
          </w:p>
        </w:tc>
        <w:tc>
          <w:tcPr>
            <w:tcW w:w="689" w:type="pct"/>
            <w:shd w:val="clear" w:color="auto" w:fill="auto"/>
            <w:noWrap/>
            <w:vAlign w:val="center"/>
            <w:hideMark/>
          </w:tcPr>
          <w:p w14:paraId="45B411D6" w14:textId="592416C3"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281D22D9" w14:textId="4535A34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2.111.504,00</w:t>
            </w:r>
          </w:p>
        </w:tc>
        <w:tc>
          <w:tcPr>
            <w:tcW w:w="690" w:type="pct"/>
            <w:shd w:val="clear" w:color="auto" w:fill="auto"/>
            <w:noWrap/>
            <w:vAlign w:val="center"/>
            <w:hideMark/>
          </w:tcPr>
          <w:p w14:paraId="00CEAC16" w14:textId="35C65C9F"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3AC85E3" w14:textId="15DC1A94"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C990A4A" w14:textId="3404B95E"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26.175,00</w:t>
            </w:r>
          </w:p>
        </w:tc>
        <w:tc>
          <w:tcPr>
            <w:tcW w:w="690" w:type="pct"/>
            <w:shd w:val="clear" w:color="auto" w:fill="auto"/>
            <w:noWrap/>
            <w:vAlign w:val="center"/>
            <w:hideMark/>
          </w:tcPr>
          <w:p w14:paraId="762CA065" w14:textId="34481E3F"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74F15903" w14:textId="6ACA265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2.137.679</w:t>
            </w:r>
          </w:p>
        </w:tc>
      </w:tr>
      <w:tr w:rsidR="000256EA" w:rsidRPr="000212BC" w14:paraId="2CEE0EC6" w14:textId="77777777" w:rsidTr="000256EA">
        <w:tc>
          <w:tcPr>
            <w:tcW w:w="326" w:type="pct"/>
            <w:shd w:val="clear" w:color="auto" w:fill="auto"/>
            <w:noWrap/>
            <w:vAlign w:val="center"/>
            <w:hideMark/>
          </w:tcPr>
          <w:p w14:paraId="534C8D7F"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sep-14</w:t>
            </w:r>
          </w:p>
        </w:tc>
        <w:tc>
          <w:tcPr>
            <w:tcW w:w="689" w:type="pct"/>
            <w:shd w:val="clear" w:color="auto" w:fill="auto"/>
            <w:noWrap/>
            <w:vAlign w:val="center"/>
            <w:hideMark/>
          </w:tcPr>
          <w:p w14:paraId="3ADD15A8" w14:textId="57B09530"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E94A3AC" w14:textId="4F9E7AD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2.237.133,00</w:t>
            </w:r>
          </w:p>
        </w:tc>
        <w:tc>
          <w:tcPr>
            <w:tcW w:w="690" w:type="pct"/>
            <w:shd w:val="clear" w:color="auto" w:fill="auto"/>
            <w:noWrap/>
            <w:vAlign w:val="center"/>
            <w:hideMark/>
          </w:tcPr>
          <w:p w14:paraId="3757EEED" w14:textId="0DDB1E7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375D416" w14:textId="2A2D6479"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A562F9A" w14:textId="2A743F3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76CF817" w14:textId="48AAD35D"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6707AFBF" w14:textId="050CEDC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2.237.133</w:t>
            </w:r>
          </w:p>
        </w:tc>
      </w:tr>
      <w:tr w:rsidR="000256EA" w:rsidRPr="000212BC" w14:paraId="34DD52AD" w14:textId="77777777" w:rsidTr="000256EA">
        <w:tc>
          <w:tcPr>
            <w:tcW w:w="326" w:type="pct"/>
            <w:shd w:val="clear" w:color="auto" w:fill="auto"/>
            <w:noWrap/>
            <w:vAlign w:val="center"/>
            <w:hideMark/>
          </w:tcPr>
          <w:p w14:paraId="43B99A58"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oct-14</w:t>
            </w:r>
          </w:p>
        </w:tc>
        <w:tc>
          <w:tcPr>
            <w:tcW w:w="689" w:type="pct"/>
            <w:shd w:val="clear" w:color="auto" w:fill="auto"/>
            <w:noWrap/>
            <w:vAlign w:val="center"/>
            <w:hideMark/>
          </w:tcPr>
          <w:p w14:paraId="426308B2" w14:textId="1E03E28B"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6C516FA0" w14:textId="7F926521"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2.133.674,00</w:t>
            </w:r>
          </w:p>
        </w:tc>
        <w:tc>
          <w:tcPr>
            <w:tcW w:w="690" w:type="pct"/>
            <w:shd w:val="clear" w:color="auto" w:fill="auto"/>
            <w:noWrap/>
            <w:vAlign w:val="center"/>
            <w:hideMark/>
          </w:tcPr>
          <w:p w14:paraId="0B343A99" w14:textId="2E3EB26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DB8C197" w14:textId="364EE65F"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3E7BF08" w14:textId="7458207F"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21.347,00</w:t>
            </w:r>
          </w:p>
        </w:tc>
        <w:tc>
          <w:tcPr>
            <w:tcW w:w="690" w:type="pct"/>
            <w:shd w:val="clear" w:color="auto" w:fill="auto"/>
            <w:noWrap/>
            <w:vAlign w:val="center"/>
            <w:hideMark/>
          </w:tcPr>
          <w:p w14:paraId="4C987570" w14:textId="73E3A903"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758971BD" w14:textId="133EAD4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2.155.021</w:t>
            </w:r>
          </w:p>
        </w:tc>
      </w:tr>
      <w:tr w:rsidR="000256EA" w:rsidRPr="000212BC" w14:paraId="0888F95F" w14:textId="77777777" w:rsidTr="000256EA">
        <w:tc>
          <w:tcPr>
            <w:tcW w:w="326" w:type="pct"/>
            <w:shd w:val="clear" w:color="auto" w:fill="auto"/>
            <w:noWrap/>
            <w:vAlign w:val="center"/>
            <w:hideMark/>
          </w:tcPr>
          <w:p w14:paraId="29B989CC"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nov-14</w:t>
            </w:r>
          </w:p>
        </w:tc>
        <w:tc>
          <w:tcPr>
            <w:tcW w:w="689" w:type="pct"/>
            <w:shd w:val="clear" w:color="auto" w:fill="auto"/>
            <w:noWrap/>
            <w:vAlign w:val="center"/>
            <w:hideMark/>
          </w:tcPr>
          <w:p w14:paraId="4DE80D82" w14:textId="5E3C9ACE"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5A5B091E" w14:textId="1CB011B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2.126.285,00</w:t>
            </w:r>
          </w:p>
        </w:tc>
        <w:tc>
          <w:tcPr>
            <w:tcW w:w="690" w:type="pct"/>
            <w:shd w:val="clear" w:color="auto" w:fill="auto"/>
            <w:noWrap/>
            <w:vAlign w:val="center"/>
            <w:hideMark/>
          </w:tcPr>
          <w:p w14:paraId="7179BC61" w14:textId="29A40421"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63CD870" w14:textId="143F2262"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7481CA0" w14:textId="66B09F4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22.872,00</w:t>
            </w:r>
          </w:p>
        </w:tc>
        <w:tc>
          <w:tcPr>
            <w:tcW w:w="690" w:type="pct"/>
            <w:shd w:val="clear" w:color="auto" w:fill="auto"/>
            <w:noWrap/>
            <w:vAlign w:val="center"/>
            <w:hideMark/>
          </w:tcPr>
          <w:p w14:paraId="347EFB18" w14:textId="20DBFB0E"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4AD5D63F" w14:textId="1FE5060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2.149.157</w:t>
            </w:r>
          </w:p>
        </w:tc>
      </w:tr>
      <w:tr w:rsidR="000256EA" w:rsidRPr="000212BC" w14:paraId="264CC611" w14:textId="77777777" w:rsidTr="000256EA">
        <w:tc>
          <w:tcPr>
            <w:tcW w:w="326" w:type="pct"/>
            <w:shd w:val="clear" w:color="auto" w:fill="auto"/>
            <w:noWrap/>
            <w:vAlign w:val="center"/>
            <w:hideMark/>
          </w:tcPr>
          <w:p w14:paraId="09D353C2"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dic-14</w:t>
            </w:r>
          </w:p>
        </w:tc>
        <w:tc>
          <w:tcPr>
            <w:tcW w:w="689" w:type="pct"/>
            <w:shd w:val="clear" w:color="auto" w:fill="auto"/>
            <w:noWrap/>
            <w:vAlign w:val="center"/>
            <w:hideMark/>
          </w:tcPr>
          <w:p w14:paraId="0B40ED55" w14:textId="2AC25F05"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54DD7DAA" w14:textId="6395785A"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2.126.285,00</w:t>
            </w:r>
          </w:p>
        </w:tc>
        <w:tc>
          <w:tcPr>
            <w:tcW w:w="690" w:type="pct"/>
            <w:shd w:val="clear" w:color="auto" w:fill="auto"/>
            <w:noWrap/>
            <w:vAlign w:val="center"/>
            <w:hideMark/>
          </w:tcPr>
          <w:p w14:paraId="502ACDE8" w14:textId="73A5532C"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1.132.132,00</w:t>
            </w:r>
          </w:p>
        </w:tc>
        <w:tc>
          <w:tcPr>
            <w:tcW w:w="690" w:type="pct"/>
            <w:shd w:val="clear" w:color="auto" w:fill="auto"/>
            <w:noWrap/>
            <w:vAlign w:val="center"/>
            <w:hideMark/>
          </w:tcPr>
          <w:p w14:paraId="152A0D62" w14:textId="216FEAD8"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1.132.132,00</w:t>
            </w:r>
          </w:p>
        </w:tc>
        <w:tc>
          <w:tcPr>
            <w:tcW w:w="690" w:type="pct"/>
            <w:shd w:val="clear" w:color="auto" w:fill="auto"/>
            <w:noWrap/>
            <w:vAlign w:val="center"/>
            <w:hideMark/>
          </w:tcPr>
          <w:p w14:paraId="095022C0" w14:textId="21ED9A22"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22.872,00</w:t>
            </w:r>
          </w:p>
        </w:tc>
        <w:tc>
          <w:tcPr>
            <w:tcW w:w="690" w:type="pct"/>
            <w:shd w:val="clear" w:color="auto" w:fill="auto"/>
            <w:noWrap/>
            <w:vAlign w:val="center"/>
            <w:hideMark/>
          </w:tcPr>
          <w:p w14:paraId="6251D16D" w14:textId="333EBBCE"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307226F1" w14:textId="07FBF148"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4.413.421</w:t>
            </w:r>
          </w:p>
        </w:tc>
      </w:tr>
      <w:tr w:rsidR="000256EA" w:rsidRPr="000212BC" w14:paraId="4A35A2A9" w14:textId="77777777" w:rsidTr="000256EA">
        <w:tc>
          <w:tcPr>
            <w:tcW w:w="326" w:type="pct"/>
            <w:shd w:val="clear" w:color="auto" w:fill="auto"/>
            <w:noWrap/>
            <w:vAlign w:val="center"/>
            <w:hideMark/>
          </w:tcPr>
          <w:p w14:paraId="6A573DD5"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ene-15</w:t>
            </w:r>
          </w:p>
        </w:tc>
        <w:tc>
          <w:tcPr>
            <w:tcW w:w="689" w:type="pct"/>
            <w:shd w:val="clear" w:color="auto" w:fill="auto"/>
            <w:noWrap/>
            <w:vAlign w:val="center"/>
            <w:hideMark/>
          </w:tcPr>
          <w:p w14:paraId="2FEC1568" w14:textId="0676DDD1"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0EFE0862" w14:textId="3B238DC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2.319.012,00</w:t>
            </w:r>
          </w:p>
        </w:tc>
        <w:tc>
          <w:tcPr>
            <w:tcW w:w="690" w:type="pct"/>
            <w:shd w:val="clear" w:color="auto" w:fill="auto"/>
            <w:noWrap/>
            <w:vAlign w:val="center"/>
            <w:hideMark/>
          </w:tcPr>
          <w:p w14:paraId="429443A9" w14:textId="5E02EEDF"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CF47CBE" w14:textId="3192CA36"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A625066" w14:textId="0F04FFA1"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22.872,00</w:t>
            </w:r>
          </w:p>
        </w:tc>
        <w:tc>
          <w:tcPr>
            <w:tcW w:w="690" w:type="pct"/>
            <w:shd w:val="clear" w:color="auto" w:fill="auto"/>
            <w:noWrap/>
            <w:vAlign w:val="center"/>
            <w:hideMark/>
          </w:tcPr>
          <w:p w14:paraId="08B34EEC" w14:textId="4DCF6B6D"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01AC4DE9" w14:textId="577A9CA5"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2.341.884</w:t>
            </w:r>
          </w:p>
        </w:tc>
      </w:tr>
      <w:tr w:rsidR="000256EA" w:rsidRPr="000212BC" w14:paraId="256CA8A5" w14:textId="77777777" w:rsidTr="000256EA">
        <w:tc>
          <w:tcPr>
            <w:tcW w:w="326" w:type="pct"/>
            <w:shd w:val="clear" w:color="auto" w:fill="auto"/>
            <w:noWrap/>
            <w:vAlign w:val="center"/>
            <w:hideMark/>
          </w:tcPr>
          <w:p w14:paraId="06ADFE06"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feb-15</w:t>
            </w:r>
          </w:p>
        </w:tc>
        <w:tc>
          <w:tcPr>
            <w:tcW w:w="689" w:type="pct"/>
            <w:shd w:val="clear" w:color="auto" w:fill="auto"/>
            <w:noWrap/>
            <w:vAlign w:val="center"/>
            <w:hideMark/>
          </w:tcPr>
          <w:p w14:paraId="5BF6E161" w14:textId="25304087"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29311EBB" w14:textId="6D95BE94"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2.319.012,00</w:t>
            </w:r>
          </w:p>
        </w:tc>
        <w:tc>
          <w:tcPr>
            <w:tcW w:w="690" w:type="pct"/>
            <w:shd w:val="clear" w:color="auto" w:fill="auto"/>
            <w:noWrap/>
            <w:vAlign w:val="center"/>
            <w:hideMark/>
          </w:tcPr>
          <w:p w14:paraId="5C74B344" w14:textId="24BD2283"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40E0E8D" w14:textId="06E1C10D"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A50D858" w14:textId="1DB7D1D0"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A886661" w14:textId="2FF8D3FB"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5AC3D26E" w14:textId="456DFB23"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2.319.012</w:t>
            </w:r>
          </w:p>
        </w:tc>
      </w:tr>
      <w:tr w:rsidR="000256EA" w:rsidRPr="000212BC" w14:paraId="5CD7A843" w14:textId="77777777" w:rsidTr="000256EA">
        <w:tc>
          <w:tcPr>
            <w:tcW w:w="326" w:type="pct"/>
            <w:shd w:val="clear" w:color="auto" w:fill="auto"/>
            <w:noWrap/>
            <w:vAlign w:val="center"/>
            <w:hideMark/>
          </w:tcPr>
          <w:p w14:paraId="548E7DE2" w14:textId="7777777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mar-15</w:t>
            </w:r>
          </w:p>
        </w:tc>
        <w:tc>
          <w:tcPr>
            <w:tcW w:w="689" w:type="pct"/>
            <w:shd w:val="clear" w:color="auto" w:fill="auto"/>
            <w:noWrap/>
            <w:vAlign w:val="center"/>
            <w:hideMark/>
          </w:tcPr>
          <w:p w14:paraId="79802CED" w14:textId="1966F5D9" w:rsidR="000256EA" w:rsidRPr="000212BC" w:rsidRDefault="000256EA" w:rsidP="00A94AF8">
            <w:pPr>
              <w:spacing w:line="240" w:lineRule="auto"/>
              <w:ind w:firstLine="0"/>
              <w:jc w:val="center"/>
              <w:rPr>
                <w:rFonts w:ascii="Arial Narrow" w:hAnsi="Arial Narrow"/>
                <w:iCs/>
                <w:sz w:val="20"/>
                <w:lang w:eastAsia="es-CO"/>
              </w:rPr>
            </w:pPr>
            <w:r w:rsidRPr="000212BC">
              <w:rPr>
                <w:rFonts w:ascii="Arial Narrow" w:hAnsi="Arial Narrow"/>
                <w:iCs/>
                <w:sz w:val="20"/>
                <w:lang w:eastAsia="es-CO"/>
              </w:rPr>
              <w:t>30,00</w:t>
            </w:r>
          </w:p>
        </w:tc>
        <w:tc>
          <w:tcPr>
            <w:tcW w:w="690" w:type="pct"/>
            <w:shd w:val="clear" w:color="auto" w:fill="auto"/>
            <w:noWrap/>
            <w:vAlign w:val="center"/>
            <w:hideMark/>
          </w:tcPr>
          <w:p w14:paraId="45487A88" w14:textId="73FCF5CB"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2.204.106,00</w:t>
            </w:r>
          </w:p>
        </w:tc>
        <w:tc>
          <w:tcPr>
            <w:tcW w:w="690" w:type="pct"/>
            <w:shd w:val="clear" w:color="auto" w:fill="auto"/>
            <w:noWrap/>
            <w:vAlign w:val="center"/>
            <w:hideMark/>
          </w:tcPr>
          <w:p w14:paraId="089185C2" w14:textId="4A6E7172"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1C5087E" w14:textId="0A02F045"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EE39947" w14:textId="2DC82FFB"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C7BE18E" w14:textId="73E56A66"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466CF3F4" w14:textId="1C5BCBBA"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2.204.106</w:t>
            </w:r>
          </w:p>
        </w:tc>
      </w:tr>
      <w:tr w:rsidR="000256EA" w:rsidRPr="000212BC" w14:paraId="05335C17" w14:textId="77777777" w:rsidTr="000256EA">
        <w:tc>
          <w:tcPr>
            <w:tcW w:w="326" w:type="pct"/>
            <w:shd w:val="clear" w:color="auto" w:fill="auto"/>
            <w:noWrap/>
            <w:vAlign w:val="center"/>
            <w:hideMark/>
          </w:tcPr>
          <w:p w14:paraId="585EFD43" w14:textId="77777777" w:rsidR="000256EA" w:rsidRPr="000212BC" w:rsidRDefault="000256EA" w:rsidP="00A94AF8">
            <w:pPr>
              <w:spacing w:line="240" w:lineRule="auto"/>
              <w:ind w:firstLine="0"/>
              <w:rPr>
                <w:rFonts w:ascii="Arial Narrow" w:hAnsi="Arial Narrow"/>
                <w:iCs/>
                <w:sz w:val="20"/>
                <w:lang w:eastAsia="es-CO"/>
              </w:rPr>
            </w:pPr>
          </w:p>
        </w:tc>
        <w:tc>
          <w:tcPr>
            <w:tcW w:w="689" w:type="pct"/>
            <w:shd w:val="clear" w:color="auto" w:fill="auto"/>
            <w:noWrap/>
            <w:vAlign w:val="center"/>
            <w:hideMark/>
          </w:tcPr>
          <w:p w14:paraId="4F26D4E5"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FC24211"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A6D36BA"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4AD97262"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305FA56"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67617BD3" w14:textId="77777777"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2D8FEAE7" w14:textId="77777777" w:rsidR="000256EA" w:rsidRPr="000212BC" w:rsidRDefault="000256EA" w:rsidP="00A94AF8">
            <w:pPr>
              <w:spacing w:line="240" w:lineRule="auto"/>
              <w:ind w:firstLine="0"/>
              <w:rPr>
                <w:rFonts w:ascii="Arial Narrow" w:hAnsi="Arial Narrow"/>
                <w:iCs/>
                <w:sz w:val="20"/>
                <w:lang w:eastAsia="es-CO"/>
              </w:rPr>
            </w:pPr>
          </w:p>
        </w:tc>
      </w:tr>
      <w:tr w:rsidR="000256EA" w:rsidRPr="000212BC" w14:paraId="748FAE2E" w14:textId="77777777" w:rsidTr="000256EA">
        <w:tc>
          <w:tcPr>
            <w:tcW w:w="326" w:type="pct"/>
            <w:shd w:val="clear" w:color="auto" w:fill="auto"/>
            <w:noWrap/>
            <w:vAlign w:val="center"/>
            <w:hideMark/>
          </w:tcPr>
          <w:p w14:paraId="1E608C5D" w14:textId="77777777" w:rsidR="000256EA" w:rsidRPr="000212BC" w:rsidRDefault="000256EA" w:rsidP="00A94AF8">
            <w:pPr>
              <w:spacing w:line="240" w:lineRule="auto"/>
              <w:ind w:firstLine="0"/>
              <w:rPr>
                <w:rFonts w:ascii="Arial Narrow" w:hAnsi="Arial Narrow"/>
                <w:iCs/>
                <w:sz w:val="20"/>
                <w:lang w:eastAsia="es-CO"/>
              </w:rPr>
            </w:pPr>
          </w:p>
        </w:tc>
        <w:tc>
          <w:tcPr>
            <w:tcW w:w="689" w:type="pct"/>
            <w:shd w:val="clear" w:color="auto" w:fill="auto"/>
            <w:noWrap/>
            <w:vAlign w:val="center"/>
            <w:hideMark/>
          </w:tcPr>
          <w:p w14:paraId="78F5937D" w14:textId="7FDF61E0"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1.080,00</w:t>
            </w:r>
          </w:p>
        </w:tc>
        <w:tc>
          <w:tcPr>
            <w:tcW w:w="690" w:type="pct"/>
            <w:shd w:val="clear" w:color="auto" w:fill="auto"/>
            <w:noWrap/>
            <w:vAlign w:val="center"/>
            <w:hideMark/>
          </w:tcPr>
          <w:p w14:paraId="00281C19"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1DCA9DF6"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11AA6A9"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6785D69"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2A471F2" w14:textId="77777777"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00130411" w14:textId="164BA1A7" w:rsidR="000256EA" w:rsidRPr="000212BC" w:rsidRDefault="000256EA" w:rsidP="00A94AF8">
            <w:pPr>
              <w:spacing w:line="240" w:lineRule="auto"/>
              <w:ind w:firstLine="0"/>
              <w:rPr>
                <w:rFonts w:ascii="Arial Narrow" w:hAnsi="Arial Narrow"/>
                <w:iCs/>
                <w:sz w:val="20"/>
                <w:lang w:eastAsia="es-CO"/>
              </w:rPr>
            </w:pPr>
            <w:r w:rsidRPr="000212BC">
              <w:rPr>
                <w:rFonts w:ascii="Arial Narrow" w:hAnsi="Arial Narrow"/>
                <w:iCs/>
                <w:sz w:val="20"/>
                <w:lang w:eastAsia="es-CO"/>
              </w:rPr>
              <w:t>91.383.199</w:t>
            </w:r>
          </w:p>
        </w:tc>
      </w:tr>
      <w:tr w:rsidR="000256EA" w:rsidRPr="000212BC" w14:paraId="22697A67" w14:textId="77777777" w:rsidTr="000256EA">
        <w:tc>
          <w:tcPr>
            <w:tcW w:w="326" w:type="pct"/>
            <w:shd w:val="clear" w:color="auto" w:fill="auto"/>
            <w:noWrap/>
            <w:vAlign w:val="center"/>
            <w:hideMark/>
          </w:tcPr>
          <w:p w14:paraId="471A08C8" w14:textId="77777777" w:rsidR="000256EA" w:rsidRPr="000212BC" w:rsidRDefault="000256EA" w:rsidP="00A94AF8">
            <w:pPr>
              <w:spacing w:line="240" w:lineRule="auto"/>
              <w:ind w:firstLine="0"/>
              <w:rPr>
                <w:rFonts w:ascii="Arial Narrow" w:hAnsi="Arial Narrow"/>
                <w:iCs/>
                <w:sz w:val="20"/>
                <w:lang w:eastAsia="es-CO"/>
              </w:rPr>
            </w:pPr>
          </w:p>
        </w:tc>
        <w:tc>
          <w:tcPr>
            <w:tcW w:w="689" w:type="pct"/>
            <w:shd w:val="clear" w:color="auto" w:fill="auto"/>
            <w:noWrap/>
            <w:vAlign w:val="center"/>
            <w:hideMark/>
          </w:tcPr>
          <w:p w14:paraId="4CCFC1B0"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9465F64"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7BC67317"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073A2B8D"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5DA56CCE" w14:textId="77777777" w:rsidR="000256EA" w:rsidRPr="000212BC" w:rsidRDefault="000256EA" w:rsidP="00A94AF8">
            <w:pPr>
              <w:spacing w:line="240" w:lineRule="auto"/>
              <w:ind w:firstLine="0"/>
              <w:rPr>
                <w:rFonts w:ascii="Arial Narrow" w:hAnsi="Arial Narrow"/>
                <w:iCs/>
                <w:sz w:val="20"/>
                <w:lang w:eastAsia="es-CO"/>
              </w:rPr>
            </w:pPr>
          </w:p>
        </w:tc>
        <w:tc>
          <w:tcPr>
            <w:tcW w:w="690" w:type="pct"/>
            <w:shd w:val="clear" w:color="auto" w:fill="auto"/>
            <w:noWrap/>
            <w:vAlign w:val="center"/>
            <w:hideMark/>
          </w:tcPr>
          <w:p w14:paraId="2E4BF799" w14:textId="77777777" w:rsidR="000256EA" w:rsidRPr="000212BC" w:rsidRDefault="000256EA" w:rsidP="00A94AF8">
            <w:pPr>
              <w:spacing w:line="240" w:lineRule="auto"/>
              <w:ind w:firstLine="0"/>
              <w:rPr>
                <w:rFonts w:ascii="Arial Narrow" w:hAnsi="Arial Narrow"/>
                <w:iCs/>
                <w:sz w:val="20"/>
                <w:lang w:eastAsia="es-CO"/>
              </w:rPr>
            </w:pPr>
          </w:p>
        </w:tc>
        <w:tc>
          <w:tcPr>
            <w:tcW w:w="535" w:type="pct"/>
            <w:shd w:val="clear" w:color="auto" w:fill="auto"/>
            <w:noWrap/>
            <w:vAlign w:val="center"/>
            <w:hideMark/>
          </w:tcPr>
          <w:p w14:paraId="5C0762E3" w14:textId="77777777" w:rsidR="000256EA" w:rsidRPr="000212BC" w:rsidRDefault="000256EA" w:rsidP="00A94AF8">
            <w:pPr>
              <w:spacing w:line="240" w:lineRule="auto"/>
              <w:ind w:firstLine="0"/>
              <w:rPr>
                <w:rFonts w:ascii="Arial Narrow" w:hAnsi="Arial Narrow"/>
                <w:iCs/>
                <w:sz w:val="20"/>
                <w:lang w:eastAsia="es-CO"/>
              </w:rPr>
            </w:pPr>
          </w:p>
        </w:tc>
      </w:tr>
      <w:tr w:rsidR="000256EA" w:rsidRPr="000212BC" w14:paraId="58AA2C30" w14:textId="77777777" w:rsidTr="000256EA">
        <w:tc>
          <w:tcPr>
            <w:tcW w:w="326" w:type="pct"/>
            <w:shd w:val="clear" w:color="auto" w:fill="auto"/>
            <w:noWrap/>
            <w:vAlign w:val="center"/>
            <w:hideMark/>
          </w:tcPr>
          <w:p w14:paraId="43899663" w14:textId="77777777" w:rsidR="000256EA" w:rsidRPr="000212BC" w:rsidRDefault="000256EA" w:rsidP="00A94AF8">
            <w:pPr>
              <w:spacing w:line="240" w:lineRule="auto"/>
              <w:ind w:firstLine="0"/>
              <w:rPr>
                <w:rFonts w:ascii="Arial Narrow" w:hAnsi="Arial Narrow"/>
                <w:b/>
                <w:bCs/>
                <w:iCs/>
                <w:sz w:val="20"/>
                <w:lang w:eastAsia="es-CO"/>
              </w:rPr>
            </w:pPr>
          </w:p>
        </w:tc>
        <w:tc>
          <w:tcPr>
            <w:tcW w:w="4139" w:type="pct"/>
            <w:gridSpan w:val="6"/>
            <w:shd w:val="clear" w:color="auto" w:fill="auto"/>
            <w:noWrap/>
            <w:vAlign w:val="center"/>
            <w:hideMark/>
          </w:tcPr>
          <w:p w14:paraId="105B2D0F" w14:textId="77777777" w:rsidR="000256EA" w:rsidRPr="000212BC" w:rsidRDefault="000256EA" w:rsidP="00A94AF8">
            <w:pPr>
              <w:spacing w:line="240" w:lineRule="auto"/>
              <w:ind w:firstLine="0"/>
              <w:rPr>
                <w:rFonts w:ascii="Arial Narrow" w:hAnsi="Arial Narrow"/>
                <w:b/>
                <w:bCs/>
                <w:iCs/>
                <w:sz w:val="20"/>
                <w:lang w:eastAsia="es-CO"/>
              </w:rPr>
            </w:pPr>
            <w:r w:rsidRPr="000212BC">
              <w:rPr>
                <w:rFonts w:ascii="Arial Narrow" w:hAnsi="Arial Narrow"/>
                <w:b/>
                <w:bCs/>
                <w:iCs/>
                <w:sz w:val="20"/>
                <w:lang w:eastAsia="es-CO"/>
              </w:rPr>
              <w:t>Salario promedio con factores - SBL</w:t>
            </w:r>
          </w:p>
        </w:tc>
        <w:tc>
          <w:tcPr>
            <w:tcW w:w="535" w:type="pct"/>
            <w:shd w:val="clear" w:color="auto" w:fill="auto"/>
            <w:noWrap/>
            <w:vAlign w:val="center"/>
            <w:hideMark/>
          </w:tcPr>
          <w:p w14:paraId="2B8CEE99" w14:textId="0ACED385" w:rsidR="000256EA" w:rsidRPr="000212BC" w:rsidRDefault="000256EA" w:rsidP="00A94AF8">
            <w:pPr>
              <w:spacing w:line="240" w:lineRule="auto"/>
              <w:ind w:firstLine="0"/>
              <w:rPr>
                <w:rFonts w:ascii="Arial Narrow" w:hAnsi="Arial Narrow"/>
                <w:b/>
                <w:bCs/>
                <w:iCs/>
                <w:sz w:val="20"/>
                <w:lang w:eastAsia="es-CO"/>
              </w:rPr>
            </w:pPr>
            <w:r w:rsidRPr="000212BC">
              <w:rPr>
                <w:rFonts w:ascii="Arial Narrow" w:hAnsi="Arial Narrow"/>
                <w:b/>
                <w:bCs/>
                <w:iCs/>
                <w:sz w:val="20"/>
                <w:lang w:eastAsia="es-CO"/>
              </w:rPr>
              <w:t>2.538.422</w:t>
            </w:r>
          </w:p>
        </w:tc>
      </w:tr>
      <w:tr w:rsidR="00E35A74" w:rsidRPr="000212BC" w14:paraId="6203FDD0" w14:textId="77777777" w:rsidTr="000256EA">
        <w:tc>
          <w:tcPr>
            <w:tcW w:w="326" w:type="pct"/>
            <w:shd w:val="clear" w:color="auto" w:fill="auto"/>
            <w:noWrap/>
            <w:vAlign w:val="center"/>
          </w:tcPr>
          <w:p w14:paraId="67B6C383" w14:textId="77777777" w:rsidR="00E35A74" w:rsidRPr="000212BC" w:rsidRDefault="00E35A74" w:rsidP="00A94AF8">
            <w:pPr>
              <w:spacing w:line="240" w:lineRule="auto"/>
              <w:ind w:firstLine="0"/>
              <w:rPr>
                <w:rFonts w:ascii="Arial Narrow" w:hAnsi="Arial Narrow"/>
                <w:b/>
                <w:bCs/>
                <w:iCs/>
                <w:sz w:val="20"/>
              </w:rPr>
            </w:pPr>
          </w:p>
        </w:tc>
        <w:tc>
          <w:tcPr>
            <w:tcW w:w="4139" w:type="pct"/>
            <w:gridSpan w:val="6"/>
            <w:shd w:val="clear" w:color="auto" w:fill="auto"/>
            <w:noWrap/>
            <w:vAlign w:val="center"/>
          </w:tcPr>
          <w:p w14:paraId="6977777A" w14:textId="282E1386" w:rsidR="00E35A74" w:rsidRPr="000212BC" w:rsidRDefault="00E35A74" w:rsidP="00A94AF8">
            <w:pPr>
              <w:spacing w:line="240" w:lineRule="auto"/>
              <w:ind w:firstLine="0"/>
              <w:rPr>
                <w:rFonts w:ascii="Arial Narrow" w:hAnsi="Arial Narrow"/>
                <w:b/>
                <w:bCs/>
                <w:iCs/>
                <w:sz w:val="20"/>
              </w:rPr>
            </w:pPr>
            <w:r w:rsidRPr="000212BC">
              <w:rPr>
                <w:rFonts w:ascii="Arial Narrow" w:hAnsi="Arial Narrow"/>
                <w:b/>
                <w:bCs/>
                <w:iCs/>
                <w:sz w:val="20"/>
              </w:rPr>
              <w:t>Tasa de reemplazo</w:t>
            </w:r>
          </w:p>
        </w:tc>
        <w:tc>
          <w:tcPr>
            <w:tcW w:w="535" w:type="pct"/>
            <w:shd w:val="clear" w:color="auto" w:fill="auto"/>
            <w:noWrap/>
            <w:vAlign w:val="center"/>
          </w:tcPr>
          <w:p w14:paraId="272F70B8" w14:textId="58C6FBAD" w:rsidR="00E35A74" w:rsidRPr="000212BC" w:rsidRDefault="00E35A74" w:rsidP="00A94AF8">
            <w:pPr>
              <w:spacing w:line="240" w:lineRule="auto"/>
              <w:ind w:firstLine="0"/>
              <w:rPr>
                <w:rFonts w:ascii="Arial Narrow" w:hAnsi="Arial Narrow"/>
                <w:b/>
                <w:bCs/>
                <w:iCs/>
                <w:sz w:val="20"/>
              </w:rPr>
            </w:pPr>
            <w:r w:rsidRPr="000212BC">
              <w:rPr>
                <w:rFonts w:ascii="Arial Narrow" w:hAnsi="Arial Narrow"/>
                <w:b/>
                <w:bCs/>
                <w:iCs/>
                <w:sz w:val="20"/>
              </w:rPr>
              <w:t>100%</w:t>
            </w:r>
          </w:p>
        </w:tc>
      </w:tr>
      <w:tr w:rsidR="00E35A74" w:rsidRPr="000212BC" w14:paraId="4F4E8461" w14:textId="77777777" w:rsidTr="000256EA">
        <w:tc>
          <w:tcPr>
            <w:tcW w:w="326" w:type="pct"/>
            <w:shd w:val="clear" w:color="auto" w:fill="auto"/>
            <w:noWrap/>
            <w:vAlign w:val="center"/>
          </w:tcPr>
          <w:p w14:paraId="1E2C37EF" w14:textId="77777777" w:rsidR="00E35A74" w:rsidRPr="000212BC" w:rsidRDefault="00E35A74" w:rsidP="00A94AF8">
            <w:pPr>
              <w:spacing w:line="240" w:lineRule="auto"/>
              <w:ind w:firstLine="0"/>
              <w:rPr>
                <w:rFonts w:ascii="Arial Narrow" w:hAnsi="Arial Narrow"/>
                <w:b/>
                <w:bCs/>
                <w:iCs/>
                <w:sz w:val="20"/>
              </w:rPr>
            </w:pPr>
          </w:p>
        </w:tc>
        <w:tc>
          <w:tcPr>
            <w:tcW w:w="4139" w:type="pct"/>
            <w:gridSpan w:val="6"/>
            <w:shd w:val="clear" w:color="auto" w:fill="auto"/>
            <w:noWrap/>
            <w:vAlign w:val="center"/>
          </w:tcPr>
          <w:p w14:paraId="216A8153" w14:textId="2FF822E5" w:rsidR="00E35A74" w:rsidRPr="000212BC" w:rsidRDefault="00E35A74" w:rsidP="00A94AF8">
            <w:pPr>
              <w:spacing w:line="240" w:lineRule="auto"/>
              <w:ind w:firstLine="0"/>
              <w:rPr>
                <w:rFonts w:ascii="Arial Narrow" w:hAnsi="Arial Narrow"/>
                <w:b/>
                <w:bCs/>
                <w:iCs/>
                <w:sz w:val="20"/>
              </w:rPr>
            </w:pPr>
            <w:r w:rsidRPr="000212BC">
              <w:rPr>
                <w:rFonts w:ascii="Arial Narrow" w:hAnsi="Arial Narrow"/>
                <w:b/>
                <w:bCs/>
                <w:iCs/>
                <w:sz w:val="20"/>
              </w:rPr>
              <w:t>Primera mesada</w:t>
            </w:r>
          </w:p>
        </w:tc>
        <w:tc>
          <w:tcPr>
            <w:tcW w:w="535" w:type="pct"/>
            <w:shd w:val="clear" w:color="auto" w:fill="auto"/>
            <w:noWrap/>
            <w:vAlign w:val="center"/>
          </w:tcPr>
          <w:p w14:paraId="0DF01B28" w14:textId="01D56C63" w:rsidR="00E35A74" w:rsidRPr="000212BC" w:rsidRDefault="00E35A74" w:rsidP="00A94AF8">
            <w:pPr>
              <w:spacing w:line="240" w:lineRule="auto"/>
              <w:ind w:firstLine="0"/>
              <w:rPr>
                <w:rFonts w:ascii="Arial Narrow" w:hAnsi="Arial Narrow"/>
                <w:b/>
                <w:bCs/>
                <w:iCs/>
                <w:sz w:val="20"/>
              </w:rPr>
            </w:pPr>
            <w:r w:rsidRPr="000212BC">
              <w:rPr>
                <w:rFonts w:ascii="Arial Narrow" w:hAnsi="Arial Narrow"/>
                <w:b/>
                <w:bCs/>
                <w:iCs/>
                <w:sz w:val="20"/>
              </w:rPr>
              <w:t>2.538.422</w:t>
            </w:r>
          </w:p>
        </w:tc>
      </w:tr>
    </w:tbl>
    <w:p w14:paraId="053498AF" w14:textId="77777777" w:rsidR="00C4414F" w:rsidRPr="00C769E6" w:rsidRDefault="00C4414F" w:rsidP="00C769E6">
      <w:pPr>
        <w:spacing w:line="276" w:lineRule="auto"/>
        <w:ind w:firstLine="0"/>
        <w:rPr>
          <w:rFonts w:ascii="Bookman Old Style" w:hAnsi="Bookman Old Style"/>
          <w:iCs/>
        </w:rPr>
      </w:pPr>
    </w:p>
    <w:p w14:paraId="00C61AF2" w14:textId="71AB7B7B" w:rsidR="00A73C0F" w:rsidRPr="00C769E6" w:rsidRDefault="00E35A74" w:rsidP="00C769E6">
      <w:pPr>
        <w:spacing w:line="276" w:lineRule="auto"/>
        <w:rPr>
          <w:rFonts w:ascii="Bookman Old Style" w:hAnsi="Bookman Old Style"/>
          <w:iCs/>
        </w:rPr>
      </w:pPr>
      <w:r w:rsidRPr="00C769E6">
        <w:rPr>
          <w:rFonts w:ascii="Bookman Old Style" w:hAnsi="Bookman Old Style"/>
          <w:iCs/>
        </w:rPr>
        <w:t>Por tanto, realizadas las operaciones matemáticas de rigor, la primera mesada pensional de la convocante corresponde a $2.538.422</w:t>
      </w:r>
      <w:r w:rsidR="00A73C0F" w:rsidRPr="00C769E6">
        <w:rPr>
          <w:rFonts w:ascii="Bookman Old Style" w:hAnsi="Bookman Old Style"/>
          <w:iCs/>
        </w:rPr>
        <w:t>.</w:t>
      </w:r>
      <w:r w:rsidR="001B3557" w:rsidRPr="00C769E6">
        <w:rPr>
          <w:rFonts w:ascii="Bookman Old Style" w:hAnsi="Bookman Old Style"/>
          <w:iCs/>
        </w:rPr>
        <w:t xml:space="preserve"> </w:t>
      </w:r>
      <w:r w:rsidR="00A73C0F" w:rsidRPr="00C769E6">
        <w:rPr>
          <w:rFonts w:ascii="Bookman Old Style" w:hAnsi="Bookman Old Style"/>
          <w:iCs/>
        </w:rPr>
        <w:t>Precisa la Sala que la prestación se concederá con 13 mesadas anuales, pues como se advirtió antes, la señora Pimienta Alzate causó el derecho después de la entrada en vigencia del Acto Legislativo 01 de 2005 y su pensión se causó con posterioridad al 31 de julio de 2011.</w:t>
      </w:r>
    </w:p>
    <w:p w14:paraId="6C386595" w14:textId="77777777" w:rsidR="00E35A74" w:rsidRPr="00C769E6" w:rsidRDefault="00E35A74" w:rsidP="00C769E6">
      <w:pPr>
        <w:spacing w:line="276" w:lineRule="auto"/>
        <w:ind w:firstLine="0"/>
        <w:rPr>
          <w:rFonts w:ascii="Bookman Old Style" w:hAnsi="Bookman Old Style"/>
          <w:iCs/>
        </w:rPr>
      </w:pPr>
    </w:p>
    <w:p w14:paraId="4A95BD55" w14:textId="77777777" w:rsidR="00A332C3" w:rsidRPr="00C769E6" w:rsidRDefault="00A332C3" w:rsidP="00C769E6">
      <w:pPr>
        <w:spacing w:line="276" w:lineRule="auto"/>
        <w:ind w:firstLine="0"/>
        <w:jc w:val="center"/>
        <w:rPr>
          <w:rFonts w:ascii="Bookman Old Style" w:hAnsi="Bookman Old Style"/>
          <w:b/>
          <w:bCs/>
          <w:iCs/>
        </w:rPr>
      </w:pPr>
      <w:r w:rsidRPr="00C769E6">
        <w:rPr>
          <w:rFonts w:ascii="Bookman Old Style" w:hAnsi="Bookman Old Style"/>
          <w:b/>
          <w:bCs/>
          <w:iCs/>
        </w:rPr>
        <w:t>Compartibilidad.</w:t>
      </w:r>
    </w:p>
    <w:p w14:paraId="588A5025" w14:textId="77777777" w:rsidR="00E434FE" w:rsidRPr="00C769E6" w:rsidRDefault="00E434FE" w:rsidP="00C769E6">
      <w:pPr>
        <w:spacing w:line="276" w:lineRule="auto"/>
        <w:ind w:firstLine="0"/>
        <w:rPr>
          <w:rFonts w:ascii="Bookman Old Style" w:hAnsi="Bookman Old Style"/>
          <w:iCs/>
        </w:rPr>
      </w:pPr>
    </w:p>
    <w:p w14:paraId="60D0414A" w14:textId="0DFB1914" w:rsidR="00E434FE" w:rsidRPr="00C769E6" w:rsidRDefault="00E434FE" w:rsidP="00C769E6">
      <w:pPr>
        <w:spacing w:line="276" w:lineRule="auto"/>
        <w:rPr>
          <w:rFonts w:ascii="Bookman Old Style" w:hAnsi="Bookman Old Style"/>
          <w:iCs/>
        </w:rPr>
      </w:pPr>
      <w:r w:rsidRPr="00C769E6">
        <w:rPr>
          <w:rFonts w:ascii="Bookman Old Style" w:hAnsi="Bookman Old Style"/>
          <w:iCs/>
        </w:rPr>
        <w:lastRenderedPageBreak/>
        <w:t xml:space="preserve">Comoquiera que el </w:t>
      </w:r>
      <w:r w:rsidR="00A332C3" w:rsidRPr="00C769E6">
        <w:rPr>
          <w:rFonts w:ascii="Bookman Old Style" w:hAnsi="Bookman Old Style"/>
          <w:iCs/>
        </w:rPr>
        <w:t>artículo 98 convencional, la prestación extralegal será compartible con la pensión legal, si hubiere lugar a su reconocimiento, caso en el cual la demandada pagará únicamente al mayor valor entre una y otra prestación</w:t>
      </w:r>
      <w:r w:rsidR="00B027AC" w:rsidRPr="00C769E6">
        <w:rPr>
          <w:rFonts w:ascii="Bookman Old Style" w:hAnsi="Bookman Old Style"/>
          <w:iCs/>
        </w:rPr>
        <w:t xml:space="preserve">. En tal sentido, si bien la actora alcanzó los </w:t>
      </w:r>
      <w:r w:rsidRPr="00C769E6">
        <w:rPr>
          <w:rFonts w:ascii="Bookman Old Style" w:hAnsi="Bookman Old Style"/>
          <w:iCs/>
        </w:rPr>
        <w:t xml:space="preserve">57 años en </w:t>
      </w:r>
      <w:r w:rsidR="00B027AC" w:rsidRPr="00C769E6">
        <w:rPr>
          <w:rFonts w:ascii="Bookman Old Style" w:hAnsi="Bookman Old Style"/>
          <w:iCs/>
        </w:rPr>
        <w:t xml:space="preserve">el </w:t>
      </w:r>
      <w:r w:rsidRPr="00C769E6">
        <w:rPr>
          <w:rFonts w:ascii="Bookman Old Style" w:hAnsi="Bookman Old Style"/>
          <w:iCs/>
        </w:rPr>
        <w:t>2018</w:t>
      </w:r>
      <w:r w:rsidR="00B027AC" w:rsidRPr="00C769E6">
        <w:rPr>
          <w:rFonts w:ascii="Bookman Old Style" w:hAnsi="Bookman Old Style"/>
          <w:iCs/>
        </w:rPr>
        <w:t>, lo cierto es que se desconoce si a aquélla le fue reconocida la pensión, por lo que se mantendrá la advertencia denotada por la jueza de primera instancia.</w:t>
      </w:r>
    </w:p>
    <w:p w14:paraId="0398D037" w14:textId="77777777" w:rsidR="00A332C3" w:rsidRPr="00C769E6" w:rsidRDefault="00A332C3" w:rsidP="00C769E6">
      <w:pPr>
        <w:spacing w:line="276" w:lineRule="auto"/>
        <w:ind w:firstLine="0"/>
        <w:rPr>
          <w:rFonts w:ascii="Bookman Old Style" w:hAnsi="Bookman Old Style"/>
          <w:iCs/>
        </w:rPr>
      </w:pPr>
    </w:p>
    <w:p w14:paraId="08F328A1" w14:textId="2E02EB76" w:rsidR="005F23E4" w:rsidRPr="00C769E6" w:rsidRDefault="005F23E4" w:rsidP="00C769E6">
      <w:pPr>
        <w:spacing w:line="276" w:lineRule="auto"/>
        <w:ind w:firstLine="0"/>
        <w:jc w:val="center"/>
        <w:rPr>
          <w:rFonts w:ascii="Bookman Old Style" w:hAnsi="Bookman Old Style"/>
          <w:b/>
          <w:bCs/>
          <w:iCs/>
        </w:rPr>
      </w:pPr>
      <w:r w:rsidRPr="00C769E6">
        <w:rPr>
          <w:rFonts w:ascii="Bookman Old Style" w:hAnsi="Bookman Old Style"/>
          <w:b/>
          <w:bCs/>
          <w:iCs/>
        </w:rPr>
        <w:t>Retroactivo pensional</w:t>
      </w:r>
    </w:p>
    <w:p w14:paraId="19AC02C4" w14:textId="77777777" w:rsidR="005F23E4" w:rsidRPr="00C769E6" w:rsidRDefault="005F23E4" w:rsidP="00C769E6">
      <w:pPr>
        <w:spacing w:line="276" w:lineRule="auto"/>
        <w:ind w:firstLine="0"/>
        <w:rPr>
          <w:rFonts w:ascii="Bookman Old Style" w:hAnsi="Bookman Old Style"/>
          <w:iCs/>
        </w:rPr>
      </w:pPr>
    </w:p>
    <w:p w14:paraId="24C2AB51" w14:textId="410FE409" w:rsidR="00EB3CCB" w:rsidRPr="00C769E6" w:rsidRDefault="00EB3CCB" w:rsidP="00C769E6">
      <w:pPr>
        <w:spacing w:line="276" w:lineRule="auto"/>
        <w:rPr>
          <w:rFonts w:ascii="Bookman Old Style" w:hAnsi="Bookman Old Style"/>
          <w:iCs/>
        </w:rPr>
      </w:pPr>
      <w:r w:rsidRPr="00C769E6">
        <w:rPr>
          <w:rFonts w:ascii="Bookman Old Style" w:hAnsi="Bookman Old Style"/>
          <w:iCs/>
        </w:rPr>
        <w:t>Según el siguiente cuadro, el retroactivo pensional a que tiene derecho la demandante, calculado a 30 de septiembre de 2023, corresponde a la suma de $202.853.697, a saber:</w:t>
      </w:r>
    </w:p>
    <w:p w14:paraId="172E0A17" w14:textId="7C298E37" w:rsidR="00352A82" w:rsidRPr="00C769E6" w:rsidRDefault="00352A82" w:rsidP="00C769E6">
      <w:pPr>
        <w:spacing w:line="276" w:lineRule="auto"/>
        <w:ind w:firstLine="0"/>
        <w:rPr>
          <w:rFonts w:ascii="Bookman Old Style" w:hAnsi="Bookman Old Style"/>
          <w:iCs/>
        </w:rPr>
      </w:pPr>
    </w:p>
    <w:tbl>
      <w:tblPr>
        <w:tblW w:w="4835" w:type="pct"/>
        <w:tblCellMar>
          <w:left w:w="70" w:type="dxa"/>
          <w:right w:w="70" w:type="dxa"/>
        </w:tblCellMar>
        <w:tblLook w:val="0000" w:firstRow="0" w:lastRow="0" w:firstColumn="0" w:lastColumn="0" w:noHBand="0" w:noVBand="0"/>
      </w:tblPr>
      <w:tblGrid>
        <w:gridCol w:w="1249"/>
        <w:gridCol w:w="1250"/>
        <w:gridCol w:w="1250"/>
        <w:gridCol w:w="1252"/>
        <w:gridCol w:w="1099"/>
        <w:gridCol w:w="1404"/>
        <w:gridCol w:w="1248"/>
      </w:tblGrid>
      <w:tr w:rsidR="00EB3CCB" w:rsidRPr="00C769E6" w14:paraId="6263661A"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55EADDF0" w14:textId="77777777" w:rsidR="00EB3CCB" w:rsidRPr="006420BB" w:rsidRDefault="00EB3CCB" w:rsidP="006420BB">
            <w:pPr>
              <w:spacing w:line="240" w:lineRule="auto"/>
              <w:ind w:firstLine="0"/>
              <w:jc w:val="center"/>
              <w:rPr>
                <w:rFonts w:ascii="Arial Narrow" w:hAnsi="Arial Narrow"/>
                <w:b/>
                <w:iCs/>
                <w:sz w:val="22"/>
              </w:rPr>
            </w:pPr>
            <w:r w:rsidRPr="006420BB">
              <w:rPr>
                <w:rFonts w:ascii="Arial Narrow" w:hAnsi="Arial Narrow"/>
                <w:b/>
                <w:iCs/>
                <w:sz w:val="22"/>
              </w:rPr>
              <w:t>AÑO IPC</w:t>
            </w:r>
          </w:p>
        </w:tc>
        <w:tc>
          <w:tcPr>
            <w:tcW w:w="714" w:type="pct"/>
            <w:tcBorders>
              <w:top w:val="single" w:sz="6" w:space="0" w:color="auto"/>
              <w:left w:val="single" w:sz="6" w:space="0" w:color="auto"/>
              <w:bottom w:val="single" w:sz="6" w:space="0" w:color="auto"/>
              <w:right w:val="single" w:sz="6" w:space="0" w:color="auto"/>
            </w:tcBorders>
            <w:vAlign w:val="center"/>
          </w:tcPr>
          <w:p w14:paraId="2E512FAF" w14:textId="77777777" w:rsidR="00EB3CCB" w:rsidRPr="006420BB" w:rsidRDefault="00EB3CCB" w:rsidP="006420BB">
            <w:pPr>
              <w:spacing w:line="240" w:lineRule="auto"/>
              <w:ind w:firstLine="0"/>
              <w:jc w:val="center"/>
              <w:rPr>
                <w:rFonts w:ascii="Arial Narrow" w:hAnsi="Arial Narrow"/>
                <w:b/>
                <w:iCs/>
                <w:sz w:val="22"/>
              </w:rPr>
            </w:pPr>
            <w:r w:rsidRPr="006420BB">
              <w:rPr>
                <w:rFonts w:ascii="Arial Narrow" w:hAnsi="Arial Narrow"/>
                <w:b/>
                <w:iCs/>
                <w:sz w:val="22"/>
              </w:rPr>
              <w:t>IPC</w:t>
            </w:r>
          </w:p>
        </w:tc>
        <w:tc>
          <w:tcPr>
            <w:tcW w:w="714" w:type="pct"/>
            <w:tcBorders>
              <w:top w:val="single" w:sz="6" w:space="0" w:color="auto"/>
              <w:left w:val="single" w:sz="6" w:space="0" w:color="auto"/>
              <w:bottom w:val="single" w:sz="6" w:space="0" w:color="auto"/>
              <w:right w:val="single" w:sz="6" w:space="0" w:color="auto"/>
            </w:tcBorders>
            <w:vAlign w:val="center"/>
          </w:tcPr>
          <w:p w14:paraId="7B9F0AD6" w14:textId="77777777" w:rsidR="00EB3CCB" w:rsidRPr="006420BB" w:rsidRDefault="00EB3CCB" w:rsidP="006420BB">
            <w:pPr>
              <w:spacing w:line="240" w:lineRule="auto"/>
              <w:ind w:firstLine="0"/>
              <w:jc w:val="center"/>
              <w:rPr>
                <w:rFonts w:ascii="Arial Narrow" w:hAnsi="Arial Narrow"/>
                <w:b/>
                <w:iCs/>
                <w:sz w:val="22"/>
              </w:rPr>
            </w:pPr>
            <w:r w:rsidRPr="006420BB">
              <w:rPr>
                <w:rFonts w:ascii="Arial Narrow" w:hAnsi="Arial Narrow"/>
                <w:b/>
                <w:iCs/>
                <w:sz w:val="22"/>
              </w:rPr>
              <w:t>Desde</w:t>
            </w:r>
          </w:p>
        </w:tc>
        <w:tc>
          <w:tcPr>
            <w:tcW w:w="715" w:type="pct"/>
            <w:tcBorders>
              <w:top w:val="single" w:sz="6" w:space="0" w:color="auto"/>
              <w:left w:val="single" w:sz="6" w:space="0" w:color="auto"/>
              <w:bottom w:val="single" w:sz="6" w:space="0" w:color="auto"/>
              <w:right w:val="single" w:sz="6" w:space="0" w:color="auto"/>
            </w:tcBorders>
            <w:vAlign w:val="center"/>
          </w:tcPr>
          <w:p w14:paraId="1F6FB1C6" w14:textId="77777777" w:rsidR="00EB3CCB" w:rsidRPr="006420BB" w:rsidRDefault="00EB3CCB" w:rsidP="006420BB">
            <w:pPr>
              <w:spacing w:line="240" w:lineRule="auto"/>
              <w:ind w:firstLine="0"/>
              <w:jc w:val="center"/>
              <w:rPr>
                <w:rFonts w:ascii="Arial Narrow" w:hAnsi="Arial Narrow"/>
                <w:b/>
                <w:iCs/>
                <w:sz w:val="22"/>
              </w:rPr>
            </w:pPr>
            <w:r w:rsidRPr="006420BB">
              <w:rPr>
                <w:rFonts w:ascii="Arial Narrow" w:hAnsi="Arial Narrow"/>
                <w:b/>
                <w:iCs/>
                <w:sz w:val="22"/>
              </w:rPr>
              <w:t>Hasta</w:t>
            </w:r>
          </w:p>
        </w:tc>
        <w:tc>
          <w:tcPr>
            <w:tcW w:w="628" w:type="pct"/>
            <w:tcBorders>
              <w:top w:val="single" w:sz="6" w:space="0" w:color="auto"/>
              <w:left w:val="single" w:sz="6" w:space="0" w:color="auto"/>
              <w:bottom w:val="single" w:sz="6" w:space="0" w:color="auto"/>
              <w:right w:val="single" w:sz="6" w:space="0" w:color="auto"/>
            </w:tcBorders>
            <w:vAlign w:val="center"/>
          </w:tcPr>
          <w:p w14:paraId="1B03C07D" w14:textId="77777777" w:rsidR="00EB3CCB" w:rsidRPr="006420BB" w:rsidRDefault="00EB3CCB" w:rsidP="006420BB">
            <w:pPr>
              <w:spacing w:line="240" w:lineRule="auto"/>
              <w:ind w:firstLine="0"/>
              <w:jc w:val="center"/>
              <w:rPr>
                <w:rFonts w:ascii="Arial Narrow" w:hAnsi="Arial Narrow"/>
                <w:b/>
                <w:iCs/>
                <w:sz w:val="22"/>
              </w:rPr>
            </w:pPr>
            <w:r w:rsidRPr="006420BB">
              <w:rPr>
                <w:rFonts w:ascii="Arial Narrow" w:hAnsi="Arial Narrow"/>
                <w:b/>
                <w:iCs/>
                <w:sz w:val="22"/>
              </w:rPr>
              <w:t>No. pagos</w:t>
            </w:r>
          </w:p>
        </w:tc>
        <w:tc>
          <w:tcPr>
            <w:tcW w:w="802" w:type="pct"/>
            <w:tcBorders>
              <w:top w:val="single" w:sz="6" w:space="0" w:color="auto"/>
              <w:left w:val="single" w:sz="6" w:space="0" w:color="auto"/>
              <w:bottom w:val="single" w:sz="6" w:space="0" w:color="auto"/>
              <w:right w:val="single" w:sz="6" w:space="0" w:color="auto"/>
            </w:tcBorders>
            <w:vAlign w:val="center"/>
          </w:tcPr>
          <w:p w14:paraId="79FC40CA" w14:textId="77777777" w:rsidR="00EB3CCB" w:rsidRPr="006420BB" w:rsidRDefault="00EB3CCB" w:rsidP="006420BB">
            <w:pPr>
              <w:spacing w:line="240" w:lineRule="auto"/>
              <w:ind w:firstLine="0"/>
              <w:jc w:val="center"/>
              <w:rPr>
                <w:rFonts w:ascii="Arial Narrow" w:hAnsi="Arial Narrow"/>
                <w:b/>
                <w:iCs/>
                <w:sz w:val="22"/>
              </w:rPr>
            </w:pPr>
            <w:r w:rsidRPr="006420BB">
              <w:rPr>
                <w:rFonts w:ascii="Arial Narrow" w:hAnsi="Arial Narrow"/>
                <w:b/>
                <w:iCs/>
                <w:sz w:val="22"/>
              </w:rPr>
              <w:t>Pensión Conv.</w:t>
            </w:r>
          </w:p>
        </w:tc>
        <w:tc>
          <w:tcPr>
            <w:tcW w:w="713" w:type="pct"/>
            <w:tcBorders>
              <w:top w:val="single" w:sz="6" w:space="0" w:color="auto"/>
              <w:left w:val="single" w:sz="6" w:space="0" w:color="auto"/>
              <w:bottom w:val="single" w:sz="6" w:space="0" w:color="auto"/>
              <w:right w:val="single" w:sz="6" w:space="0" w:color="auto"/>
            </w:tcBorders>
            <w:vAlign w:val="center"/>
          </w:tcPr>
          <w:p w14:paraId="1A163E5E" w14:textId="77777777" w:rsidR="00EB3CCB" w:rsidRPr="006420BB" w:rsidRDefault="00EB3CCB" w:rsidP="006420BB">
            <w:pPr>
              <w:spacing w:line="240" w:lineRule="auto"/>
              <w:ind w:firstLine="0"/>
              <w:jc w:val="center"/>
              <w:rPr>
                <w:rFonts w:ascii="Arial Narrow" w:hAnsi="Arial Narrow"/>
                <w:b/>
                <w:iCs/>
                <w:sz w:val="22"/>
              </w:rPr>
            </w:pPr>
            <w:r w:rsidRPr="006420BB">
              <w:rPr>
                <w:rFonts w:ascii="Arial Narrow" w:hAnsi="Arial Narrow"/>
                <w:b/>
                <w:iCs/>
                <w:sz w:val="22"/>
              </w:rPr>
              <w:t>Mesadas</w:t>
            </w:r>
          </w:p>
        </w:tc>
      </w:tr>
      <w:tr w:rsidR="00EB3CCB" w:rsidRPr="00C769E6" w14:paraId="3E5F7AB1"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1121CB69"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dic-17</w:t>
            </w:r>
          </w:p>
        </w:tc>
        <w:tc>
          <w:tcPr>
            <w:tcW w:w="714" w:type="pct"/>
            <w:tcBorders>
              <w:top w:val="single" w:sz="6" w:space="0" w:color="auto"/>
              <w:left w:val="single" w:sz="6" w:space="0" w:color="auto"/>
              <w:bottom w:val="single" w:sz="6" w:space="0" w:color="auto"/>
              <w:right w:val="single" w:sz="6" w:space="0" w:color="auto"/>
            </w:tcBorders>
            <w:vAlign w:val="center"/>
          </w:tcPr>
          <w:p w14:paraId="588531FE" w14:textId="55A920D4"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4,09%</w:t>
            </w:r>
          </w:p>
        </w:tc>
        <w:tc>
          <w:tcPr>
            <w:tcW w:w="714" w:type="pct"/>
            <w:tcBorders>
              <w:top w:val="single" w:sz="6" w:space="0" w:color="auto"/>
              <w:left w:val="single" w:sz="6" w:space="0" w:color="auto"/>
              <w:bottom w:val="single" w:sz="6" w:space="0" w:color="auto"/>
              <w:right w:val="single" w:sz="6" w:space="0" w:color="auto"/>
            </w:tcBorders>
            <w:vAlign w:val="center"/>
          </w:tcPr>
          <w:p w14:paraId="08DBB59E" w14:textId="77777777" w:rsidR="00EB3CCB" w:rsidRPr="006420BB" w:rsidRDefault="00EB3CCB" w:rsidP="006420BB">
            <w:pPr>
              <w:spacing w:line="240" w:lineRule="auto"/>
              <w:ind w:firstLine="0"/>
              <w:rPr>
                <w:rFonts w:ascii="Arial Narrow" w:hAnsi="Arial Narrow"/>
                <w:iCs/>
                <w:sz w:val="22"/>
              </w:rPr>
            </w:pPr>
          </w:p>
        </w:tc>
        <w:tc>
          <w:tcPr>
            <w:tcW w:w="715" w:type="pct"/>
            <w:tcBorders>
              <w:top w:val="single" w:sz="6" w:space="0" w:color="auto"/>
              <w:left w:val="single" w:sz="6" w:space="0" w:color="auto"/>
              <w:bottom w:val="single" w:sz="6" w:space="0" w:color="auto"/>
              <w:right w:val="single" w:sz="6" w:space="0" w:color="auto"/>
            </w:tcBorders>
            <w:vAlign w:val="center"/>
          </w:tcPr>
          <w:p w14:paraId="6FD327CA" w14:textId="77777777" w:rsidR="00EB3CCB" w:rsidRPr="006420BB" w:rsidRDefault="00EB3CCB" w:rsidP="006420BB">
            <w:pPr>
              <w:spacing w:line="240" w:lineRule="auto"/>
              <w:ind w:firstLine="0"/>
              <w:rPr>
                <w:rFonts w:ascii="Arial Narrow" w:hAnsi="Arial Narrow"/>
                <w:iCs/>
                <w:sz w:val="22"/>
              </w:rPr>
            </w:pPr>
          </w:p>
        </w:tc>
        <w:tc>
          <w:tcPr>
            <w:tcW w:w="628" w:type="pct"/>
            <w:tcBorders>
              <w:top w:val="single" w:sz="6" w:space="0" w:color="auto"/>
              <w:left w:val="single" w:sz="6" w:space="0" w:color="auto"/>
              <w:bottom w:val="single" w:sz="6" w:space="0" w:color="auto"/>
              <w:right w:val="single" w:sz="6" w:space="0" w:color="auto"/>
            </w:tcBorders>
            <w:vAlign w:val="center"/>
          </w:tcPr>
          <w:p w14:paraId="12AA75D5" w14:textId="77777777" w:rsidR="00EB3CCB" w:rsidRPr="006420BB" w:rsidRDefault="00EB3CCB" w:rsidP="006420BB">
            <w:pPr>
              <w:spacing w:line="240" w:lineRule="auto"/>
              <w:ind w:firstLine="0"/>
              <w:rPr>
                <w:rFonts w:ascii="Arial Narrow" w:hAnsi="Arial Narrow"/>
                <w:iCs/>
                <w:sz w:val="22"/>
              </w:rPr>
            </w:pPr>
          </w:p>
        </w:tc>
        <w:tc>
          <w:tcPr>
            <w:tcW w:w="802" w:type="pct"/>
            <w:tcBorders>
              <w:top w:val="single" w:sz="6" w:space="0" w:color="auto"/>
              <w:left w:val="single" w:sz="6" w:space="0" w:color="auto"/>
              <w:bottom w:val="single" w:sz="6" w:space="0" w:color="auto"/>
              <w:right w:val="single" w:sz="6" w:space="0" w:color="auto"/>
            </w:tcBorders>
            <w:vAlign w:val="center"/>
          </w:tcPr>
          <w:p w14:paraId="30773330" w14:textId="77777777" w:rsidR="00EB3CCB" w:rsidRPr="006420BB" w:rsidRDefault="00EB3CCB" w:rsidP="006420BB">
            <w:pPr>
              <w:spacing w:line="240" w:lineRule="auto"/>
              <w:ind w:firstLine="0"/>
              <w:rPr>
                <w:rFonts w:ascii="Arial Narrow" w:hAnsi="Arial Narrow"/>
                <w:iCs/>
                <w:sz w:val="22"/>
              </w:rPr>
            </w:pPr>
          </w:p>
        </w:tc>
        <w:tc>
          <w:tcPr>
            <w:tcW w:w="713" w:type="pct"/>
            <w:tcBorders>
              <w:top w:val="single" w:sz="6" w:space="0" w:color="auto"/>
              <w:left w:val="single" w:sz="6" w:space="0" w:color="auto"/>
              <w:bottom w:val="single" w:sz="6" w:space="0" w:color="auto"/>
              <w:right w:val="single" w:sz="6" w:space="0" w:color="auto"/>
            </w:tcBorders>
            <w:vAlign w:val="center"/>
          </w:tcPr>
          <w:p w14:paraId="31CDC731" w14:textId="77777777" w:rsidR="00EB3CCB" w:rsidRPr="006420BB" w:rsidRDefault="00EB3CCB" w:rsidP="006420BB">
            <w:pPr>
              <w:spacing w:line="240" w:lineRule="auto"/>
              <w:ind w:firstLine="0"/>
              <w:rPr>
                <w:rFonts w:ascii="Arial Narrow" w:hAnsi="Arial Narrow"/>
                <w:iCs/>
                <w:sz w:val="22"/>
              </w:rPr>
            </w:pPr>
          </w:p>
        </w:tc>
      </w:tr>
      <w:tr w:rsidR="00EB3CCB" w:rsidRPr="00C769E6" w14:paraId="225B789C"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6FF2B49C"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dic-18</w:t>
            </w:r>
          </w:p>
        </w:tc>
        <w:tc>
          <w:tcPr>
            <w:tcW w:w="714" w:type="pct"/>
            <w:tcBorders>
              <w:top w:val="single" w:sz="6" w:space="0" w:color="auto"/>
              <w:left w:val="single" w:sz="6" w:space="0" w:color="auto"/>
              <w:bottom w:val="single" w:sz="6" w:space="0" w:color="auto"/>
              <w:right w:val="single" w:sz="6" w:space="0" w:color="auto"/>
            </w:tcBorders>
            <w:vAlign w:val="center"/>
          </w:tcPr>
          <w:p w14:paraId="4D07BC7B" w14:textId="1B12A8C6"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3,18%</w:t>
            </w:r>
          </w:p>
        </w:tc>
        <w:tc>
          <w:tcPr>
            <w:tcW w:w="714" w:type="pct"/>
            <w:tcBorders>
              <w:top w:val="single" w:sz="6" w:space="0" w:color="auto"/>
              <w:left w:val="single" w:sz="6" w:space="0" w:color="auto"/>
              <w:bottom w:val="single" w:sz="6" w:space="0" w:color="auto"/>
              <w:right w:val="single" w:sz="6" w:space="0" w:color="auto"/>
            </w:tcBorders>
            <w:vAlign w:val="center"/>
          </w:tcPr>
          <w:p w14:paraId="3CD6A59B"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18/01/2018</w:t>
            </w:r>
          </w:p>
        </w:tc>
        <w:tc>
          <w:tcPr>
            <w:tcW w:w="715" w:type="pct"/>
            <w:tcBorders>
              <w:top w:val="single" w:sz="6" w:space="0" w:color="auto"/>
              <w:left w:val="single" w:sz="6" w:space="0" w:color="auto"/>
              <w:bottom w:val="single" w:sz="6" w:space="0" w:color="auto"/>
              <w:right w:val="single" w:sz="6" w:space="0" w:color="auto"/>
            </w:tcBorders>
            <w:vAlign w:val="center"/>
          </w:tcPr>
          <w:p w14:paraId="119C0CDE"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31/12/2018</w:t>
            </w:r>
          </w:p>
        </w:tc>
        <w:tc>
          <w:tcPr>
            <w:tcW w:w="628" w:type="pct"/>
            <w:tcBorders>
              <w:top w:val="single" w:sz="6" w:space="0" w:color="auto"/>
              <w:left w:val="single" w:sz="6" w:space="0" w:color="auto"/>
              <w:bottom w:val="single" w:sz="6" w:space="0" w:color="auto"/>
              <w:right w:val="single" w:sz="6" w:space="0" w:color="auto"/>
            </w:tcBorders>
            <w:vAlign w:val="center"/>
          </w:tcPr>
          <w:p w14:paraId="2AA66728" w14:textId="4733A41D" w:rsidR="00EB3CCB" w:rsidRPr="006420BB" w:rsidRDefault="00EB3CCB" w:rsidP="006420BB">
            <w:pPr>
              <w:spacing w:line="240" w:lineRule="auto"/>
              <w:ind w:firstLine="0"/>
              <w:jc w:val="center"/>
              <w:rPr>
                <w:rFonts w:ascii="Arial Narrow" w:hAnsi="Arial Narrow"/>
                <w:iCs/>
                <w:sz w:val="22"/>
              </w:rPr>
            </w:pPr>
            <w:r w:rsidRPr="006420BB">
              <w:rPr>
                <w:rFonts w:ascii="Arial Narrow" w:hAnsi="Arial Narrow"/>
                <w:iCs/>
                <w:sz w:val="22"/>
              </w:rPr>
              <w:t>12,43</w:t>
            </w:r>
          </w:p>
        </w:tc>
        <w:tc>
          <w:tcPr>
            <w:tcW w:w="802" w:type="pct"/>
            <w:tcBorders>
              <w:top w:val="single" w:sz="6" w:space="0" w:color="auto"/>
              <w:left w:val="single" w:sz="6" w:space="0" w:color="auto"/>
              <w:bottom w:val="single" w:sz="6" w:space="0" w:color="auto"/>
              <w:right w:val="single" w:sz="6" w:space="0" w:color="auto"/>
            </w:tcBorders>
            <w:vAlign w:val="center"/>
          </w:tcPr>
          <w:p w14:paraId="4CD04073" w14:textId="5EF93E7B"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2.538.422</w:t>
            </w:r>
          </w:p>
        </w:tc>
        <w:tc>
          <w:tcPr>
            <w:tcW w:w="713" w:type="pct"/>
            <w:tcBorders>
              <w:top w:val="single" w:sz="6" w:space="0" w:color="auto"/>
              <w:left w:val="single" w:sz="6" w:space="0" w:color="auto"/>
              <w:bottom w:val="single" w:sz="6" w:space="0" w:color="auto"/>
              <w:right w:val="single" w:sz="6" w:space="0" w:color="auto"/>
            </w:tcBorders>
            <w:vAlign w:val="center"/>
          </w:tcPr>
          <w:p w14:paraId="058D8CB4" w14:textId="71BF6FAD"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31.561.049</w:t>
            </w:r>
          </w:p>
        </w:tc>
      </w:tr>
      <w:tr w:rsidR="00EB3CCB" w:rsidRPr="00C769E6" w14:paraId="29C7DBC7"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2A2EBA63"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dic-19</w:t>
            </w:r>
          </w:p>
        </w:tc>
        <w:tc>
          <w:tcPr>
            <w:tcW w:w="714" w:type="pct"/>
            <w:tcBorders>
              <w:top w:val="single" w:sz="6" w:space="0" w:color="auto"/>
              <w:left w:val="single" w:sz="6" w:space="0" w:color="auto"/>
              <w:bottom w:val="single" w:sz="6" w:space="0" w:color="auto"/>
              <w:right w:val="single" w:sz="6" w:space="0" w:color="auto"/>
            </w:tcBorders>
            <w:vAlign w:val="center"/>
          </w:tcPr>
          <w:p w14:paraId="5DB126E7" w14:textId="774FC48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3,80%</w:t>
            </w:r>
          </w:p>
        </w:tc>
        <w:tc>
          <w:tcPr>
            <w:tcW w:w="714" w:type="pct"/>
            <w:tcBorders>
              <w:top w:val="single" w:sz="6" w:space="0" w:color="auto"/>
              <w:left w:val="single" w:sz="6" w:space="0" w:color="auto"/>
              <w:bottom w:val="single" w:sz="6" w:space="0" w:color="auto"/>
              <w:right w:val="single" w:sz="6" w:space="0" w:color="auto"/>
            </w:tcBorders>
            <w:vAlign w:val="center"/>
          </w:tcPr>
          <w:p w14:paraId="702E5BEF"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01/01/2019</w:t>
            </w:r>
          </w:p>
        </w:tc>
        <w:tc>
          <w:tcPr>
            <w:tcW w:w="715" w:type="pct"/>
            <w:tcBorders>
              <w:top w:val="single" w:sz="6" w:space="0" w:color="auto"/>
              <w:left w:val="single" w:sz="6" w:space="0" w:color="auto"/>
              <w:bottom w:val="single" w:sz="6" w:space="0" w:color="auto"/>
              <w:right w:val="single" w:sz="6" w:space="0" w:color="auto"/>
            </w:tcBorders>
            <w:vAlign w:val="center"/>
          </w:tcPr>
          <w:p w14:paraId="3D89CEDE"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31/12/2019</w:t>
            </w:r>
          </w:p>
        </w:tc>
        <w:tc>
          <w:tcPr>
            <w:tcW w:w="628" w:type="pct"/>
            <w:tcBorders>
              <w:top w:val="single" w:sz="6" w:space="0" w:color="auto"/>
              <w:left w:val="single" w:sz="6" w:space="0" w:color="auto"/>
              <w:bottom w:val="single" w:sz="6" w:space="0" w:color="auto"/>
              <w:right w:val="single" w:sz="6" w:space="0" w:color="auto"/>
            </w:tcBorders>
            <w:vAlign w:val="center"/>
          </w:tcPr>
          <w:p w14:paraId="6AD1FBFA" w14:textId="67CB95C7" w:rsidR="00EB3CCB" w:rsidRPr="006420BB" w:rsidRDefault="00EB3CCB" w:rsidP="006420BB">
            <w:pPr>
              <w:spacing w:line="240" w:lineRule="auto"/>
              <w:ind w:firstLine="0"/>
              <w:jc w:val="center"/>
              <w:rPr>
                <w:rFonts w:ascii="Arial Narrow" w:hAnsi="Arial Narrow"/>
                <w:iCs/>
                <w:sz w:val="22"/>
              </w:rPr>
            </w:pPr>
            <w:r w:rsidRPr="006420BB">
              <w:rPr>
                <w:rFonts w:ascii="Arial Narrow" w:hAnsi="Arial Narrow"/>
                <w:iCs/>
                <w:sz w:val="22"/>
              </w:rPr>
              <w:t>13,00</w:t>
            </w:r>
          </w:p>
        </w:tc>
        <w:tc>
          <w:tcPr>
            <w:tcW w:w="802" w:type="pct"/>
            <w:tcBorders>
              <w:top w:val="single" w:sz="6" w:space="0" w:color="auto"/>
              <w:left w:val="single" w:sz="6" w:space="0" w:color="auto"/>
              <w:bottom w:val="single" w:sz="6" w:space="0" w:color="auto"/>
              <w:right w:val="single" w:sz="6" w:space="0" w:color="auto"/>
            </w:tcBorders>
            <w:vAlign w:val="center"/>
          </w:tcPr>
          <w:p w14:paraId="14BCA427" w14:textId="4B93823B"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2.642.244</w:t>
            </w:r>
          </w:p>
        </w:tc>
        <w:tc>
          <w:tcPr>
            <w:tcW w:w="713" w:type="pct"/>
            <w:tcBorders>
              <w:top w:val="single" w:sz="6" w:space="0" w:color="auto"/>
              <w:left w:val="single" w:sz="6" w:space="0" w:color="auto"/>
              <w:bottom w:val="single" w:sz="6" w:space="0" w:color="auto"/>
              <w:right w:val="single" w:sz="6" w:space="0" w:color="auto"/>
            </w:tcBorders>
            <w:vAlign w:val="center"/>
          </w:tcPr>
          <w:p w14:paraId="489C286E" w14:textId="6703C2D9"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34.349.168</w:t>
            </w:r>
          </w:p>
        </w:tc>
      </w:tr>
      <w:tr w:rsidR="00EB3CCB" w:rsidRPr="00C769E6" w14:paraId="6793D199"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734736A2"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dic-20</w:t>
            </w:r>
          </w:p>
        </w:tc>
        <w:tc>
          <w:tcPr>
            <w:tcW w:w="714" w:type="pct"/>
            <w:tcBorders>
              <w:top w:val="single" w:sz="6" w:space="0" w:color="auto"/>
              <w:left w:val="single" w:sz="6" w:space="0" w:color="auto"/>
              <w:bottom w:val="single" w:sz="6" w:space="0" w:color="auto"/>
              <w:right w:val="single" w:sz="6" w:space="0" w:color="auto"/>
            </w:tcBorders>
            <w:vAlign w:val="center"/>
          </w:tcPr>
          <w:p w14:paraId="0E07E0C9" w14:textId="20CD3FD4"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1,61%</w:t>
            </w:r>
          </w:p>
        </w:tc>
        <w:tc>
          <w:tcPr>
            <w:tcW w:w="714" w:type="pct"/>
            <w:tcBorders>
              <w:top w:val="single" w:sz="6" w:space="0" w:color="auto"/>
              <w:left w:val="single" w:sz="6" w:space="0" w:color="auto"/>
              <w:bottom w:val="single" w:sz="6" w:space="0" w:color="auto"/>
              <w:right w:val="single" w:sz="6" w:space="0" w:color="auto"/>
            </w:tcBorders>
            <w:vAlign w:val="center"/>
          </w:tcPr>
          <w:p w14:paraId="5F474347"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01/01/2020</w:t>
            </w:r>
          </w:p>
        </w:tc>
        <w:tc>
          <w:tcPr>
            <w:tcW w:w="715" w:type="pct"/>
            <w:tcBorders>
              <w:top w:val="single" w:sz="6" w:space="0" w:color="auto"/>
              <w:left w:val="single" w:sz="6" w:space="0" w:color="auto"/>
              <w:bottom w:val="single" w:sz="6" w:space="0" w:color="auto"/>
              <w:right w:val="single" w:sz="6" w:space="0" w:color="auto"/>
            </w:tcBorders>
            <w:vAlign w:val="center"/>
          </w:tcPr>
          <w:p w14:paraId="4BECE6D7"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31/12/2020</w:t>
            </w:r>
          </w:p>
        </w:tc>
        <w:tc>
          <w:tcPr>
            <w:tcW w:w="628" w:type="pct"/>
            <w:tcBorders>
              <w:top w:val="single" w:sz="6" w:space="0" w:color="auto"/>
              <w:left w:val="single" w:sz="6" w:space="0" w:color="auto"/>
              <w:bottom w:val="single" w:sz="6" w:space="0" w:color="auto"/>
              <w:right w:val="single" w:sz="6" w:space="0" w:color="auto"/>
            </w:tcBorders>
            <w:vAlign w:val="center"/>
          </w:tcPr>
          <w:p w14:paraId="5A609D19" w14:textId="054939E0" w:rsidR="00EB3CCB" w:rsidRPr="006420BB" w:rsidRDefault="00EB3CCB" w:rsidP="006420BB">
            <w:pPr>
              <w:spacing w:line="240" w:lineRule="auto"/>
              <w:ind w:firstLine="0"/>
              <w:jc w:val="center"/>
              <w:rPr>
                <w:rFonts w:ascii="Arial Narrow" w:hAnsi="Arial Narrow"/>
                <w:iCs/>
                <w:sz w:val="22"/>
              </w:rPr>
            </w:pPr>
            <w:r w:rsidRPr="006420BB">
              <w:rPr>
                <w:rFonts w:ascii="Arial Narrow" w:hAnsi="Arial Narrow"/>
                <w:iCs/>
                <w:sz w:val="22"/>
              </w:rPr>
              <w:t>13,00</w:t>
            </w:r>
          </w:p>
        </w:tc>
        <w:tc>
          <w:tcPr>
            <w:tcW w:w="802" w:type="pct"/>
            <w:tcBorders>
              <w:top w:val="single" w:sz="6" w:space="0" w:color="auto"/>
              <w:left w:val="single" w:sz="6" w:space="0" w:color="auto"/>
              <w:bottom w:val="single" w:sz="6" w:space="0" w:color="auto"/>
              <w:right w:val="single" w:sz="6" w:space="0" w:color="auto"/>
            </w:tcBorders>
            <w:vAlign w:val="center"/>
          </w:tcPr>
          <w:p w14:paraId="47779D80" w14:textId="179B1B5E"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2.726.267</w:t>
            </w:r>
          </w:p>
        </w:tc>
        <w:tc>
          <w:tcPr>
            <w:tcW w:w="713" w:type="pct"/>
            <w:tcBorders>
              <w:top w:val="single" w:sz="6" w:space="0" w:color="auto"/>
              <w:left w:val="single" w:sz="6" w:space="0" w:color="auto"/>
              <w:bottom w:val="single" w:sz="6" w:space="0" w:color="auto"/>
              <w:right w:val="single" w:sz="6" w:space="0" w:color="auto"/>
            </w:tcBorders>
            <w:vAlign w:val="center"/>
          </w:tcPr>
          <w:p w14:paraId="74F1493E" w14:textId="2021F024"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35.441.471</w:t>
            </w:r>
          </w:p>
        </w:tc>
      </w:tr>
      <w:tr w:rsidR="00EB3CCB" w:rsidRPr="00C769E6" w14:paraId="46E4BD47"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2CDCC103"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dic-21</w:t>
            </w:r>
          </w:p>
        </w:tc>
        <w:tc>
          <w:tcPr>
            <w:tcW w:w="714" w:type="pct"/>
            <w:tcBorders>
              <w:top w:val="single" w:sz="6" w:space="0" w:color="auto"/>
              <w:left w:val="single" w:sz="6" w:space="0" w:color="auto"/>
              <w:bottom w:val="single" w:sz="6" w:space="0" w:color="auto"/>
              <w:right w:val="single" w:sz="6" w:space="0" w:color="auto"/>
            </w:tcBorders>
            <w:vAlign w:val="center"/>
          </w:tcPr>
          <w:p w14:paraId="2BE54F2E" w14:textId="35AF002E"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5,62%</w:t>
            </w:r>
          </w:p>
        </w:tc>
        <w:tc>
          <w:tcPr>
            <w:tcW w:w="714" w:type="pct"/>
            <w:tcBorders>
              <w:top w:val="single" w:sz="6" w:space="0" w:color="auto"/>
              <w:left w:val="single" w:sz="6" w:space="0" w:color="auto"/>
              <w:bottom w:val="single" w:sz="6" w:space="0" w:color="auto"/>
              <w:right w:val="single" w:sz="6" w:space="0" w:color="auto"/>
            </w:tcBorders>
            <w:vAlign w:val="center"/>
          </w:tcPr>
          <w:p w14:paraId="171B6F4E"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01/01/2021</w:t>
            </w:r>
          </w:p>
        </w:tc>
        <w:tc>
          <w:tcPr>
            <w:tcW w:w="715" w:type="pct"/>
            <w:tcBorders>
              <w:top w:val="single" w:sz="6" w:space="0" w:color="auto"/>
              <w:left w:val="single" w:sz="6" w:space="0" w:color="auto"/>
              <w:bottom w:val="single" w:sz="6" w:space="0" w:color="auto"/>
              <w:right w:val="single" w:sz="6" w:space="0" w:color="auto"/>
            </w:tcBorders>
            <w:vAlign w:val="center"/>
          </w:tcPr>
          <w:p w14:paraId="1289C3C7"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31/12/2021</w:t>
            </w:r>
          </w:p>
        </w:tc>
        <w:tc>
          <w:tcPr>
            <w:tcW w:w="628" w:type="pct"/>
            <w:tcBorders>
              <w:top w:val="single" w:sz="6" w:space="0" w:color="auto"/>
              <w:left w:val="single" w:sz="6" w:space="0" w:color="auto"/>
              <w:bottom w:val="single" w:sz="6" w:space="0" w:color="auto"/>
              <w:right w:val="single" w:sz="6" w:space="0" w:color="auto"/>
            </w:tcBorders>
            <w:vAlign w:val="center"/>
          </w:tcPr>
          <w:p w14:paraId="4A2864DC" w14:textId="23C77AFC" w:rsidR="00EB3CCB" w:rsidRPr="006420BB" w:rsidRDefault="00EB3CCB" w:rsidP="006420BB">
            <w:pPr>
              <w:spacing w:line="240" w:lineRule="auto"/>
              <w:ind w:firstLine="0"/>
              <w:jc w:val="center"/>
              <w:rPr>
                <w:rFonts w:ascii="Arial Narrow" w:hAnsi="Arial Narrow"/>
                <w:iCs/>
                <w:sz w:val="22"/>
              </w:rPr>
            </w:pPr>
            <w:r w:rsidRPr="006420BB">
              <w:rPr>
                <w:rFonts w:ascii="Arial Narrow" w:hAnsi="Arial Narrow"/>
                <w:iCs/>
                <w:sz w:val="22"/>
              </w:rPr>
              <w:t>13,00</w:t>
            </w:r>
          </w:p>
        </w:tc>
        <w:tc>
          <w:tcPr>
            <w:tcW w:w="802" w:type="pct"/>
            <w:tcBorders>
              <w:top w:val="single" w:sz="6" w:space="0" w:color="auto"/>
              <w:left w:val="single" w:sz="6" w:space="0" w:color="auto"/>
              <w:bottom w:val="single" w:sz="6" w:space="0" w:color="auto"/>
              <w:right w:val="single" w:sz="6" w:space="0" w:color="auto"/>
            </w:tcBorders>
            <w:vAlign w:val="center"/>
          </w:tcPr>
          <w:p w14:paraId="0AB23546" w14:textId="614428BB"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2.829.865</w:t>
            </w:r>
          </w:p>
        </w:tc>
        <w:tc>
          <w:tcPr>
            <w:tcW w:w="713" w:type="pct"/>
            <w:tcBorders>
              <w:top w:val="single" w:sz="6" w:space="0" w:color="auto"/>
              <w:left w:val="single" w:sz="6" w:space="0" w:color="auto"/>
              <w:bottom w:val="single" w:sz="6" w:space="0" w:color="auto"/>
              <w:right w:val="single" w:sz="6" w:space="0" w:color="auto"/>
            </w:tcBorders>
            <w:vAlign w:val="center"/>
          </w:tcPr>
          <w:p w14:paraId="27962A62" w14:textId="162B1A6F"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36.788.247</w:t>
            </w:r>
          </w:p>
        </w:tc>
      </w:tr>
      <w:tr w:rsidR="00EB3CCB" w:rsidRPr="00C769E6" w14:paraId="2CBD4F76"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503E382A"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dic-22</w:t>
            </w:r>
          </w:p>
        </w:tc>
        <w:tc>
          <w:tcPr>
            <w:tcW w:w="714" w:type="pct"/>
            <w:tcBorders>
              <w:top w:val="single" w:sz="6" w:space="0" w:color="auto"/>
              <w:left w:val="single" w:sz="6" w:space="0" w:color="auto"/>
              <w:bottom w:val="single" w:sz="6" w:space="0" w:color="auto"/>
              <w:right w:val="single" w:sz="6" w:space="0" w:color="auto"/>
            </w:tcBorders>
            <w:vAlign w:val="center"/>
          </w:tcPr>
          <w:p w14:paraId="7DFD8842" w14:textId="319C6498"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13,12%</w:t>
            </w:r>
          </w:p>
        </w:tc>
        <w:tc>
          <w:tcPr>
            <w:tcW w:w="714" w:type="pct"/>
            <w:tcBorders>
              <w:top w:val="single" w:sz="6" w:space="0" w:color="auto"/>
              <w:left w:val="single" w:sz="6" w:space="0" w:color="auto"/>
              <w:bottom w:val="single" w:sz="6" w:space="0" w:color="auto"/>
              <w:right w:val="single" w:sz="6" w:space="0" w:color="auto"/>
            </w:tcBorders>
            <w:vAlign w:val="center"/>
          </w:tcPr>
          <w:p w14:paraId="0261467D"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01/01/2022</w:t>
            </w:r>
          </w:p>
        </w:tc>
        <w:tc>
          <w:tcPr>
            <w:tcW w:w="715" w:type="pct"/>
            <w:tcBorders>
              <w:top w:val="single" w:sz="6" w:space="0" w:color="auto"/>
              <w:left w:val="single" w:sz="6" w:space="0" w:color="auto"/>
              <w:bottom w:val="single" w:sz="6" w:space="0" w:color="auto"/>
              <w:right w:val="single" w:sz="6" w:space="0" w:color="auto"/>
            </w:tcBorders>
            <w:vAlign w:val="center"/>
          </w:tcPr>
          <w:p w14:paraId="68D9DC49"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31/12/2022</w:t>
            </w:r>
          </w:p>
        </w:tc>
        <w:tc>
          <w:tcPr>
            <w:tcW w:w="628" w:type="pct"/>
            <w:tcBorders>
              <w:top w:val="single" w:sz="6" w:space="0" w:color="auto"/>
              <w:left w:val="single" w:sz="6" w:space="0" w:color="auto"/>
              <w:bottom w:val="single" w:sz="6" w:space="0" w:color="auto"/>
              <w:right w:val="single" w:sz="6" w:space="0" w:color="auto"/>
            </w:tcBorders>
            <w:vAlign w:val="center"/>
          </w:tcPr>
          <w:p w14:paraId="08E4C32D" w14:textId="03DFBCEA" w:rsidR="00EB3CCB" w:rsidRPr="006420BB" w:rsidRDefault="00EB3CCB" w:rsidP="006420BB">
            <w:pPr>
              <w:spacing w:line="240" w:lineRule="auto"/>
              <w:ind w:firstLine="0"/>
              <w:jc w:val="center"/>
              <w:rPr>
                <w:rFonts w:ascii="Arial Narrow" w:hAnsi="Arial Narrow"/>
                <w:iCs/>
                <w:sz w:val="22"/>
              </w:rPr>
            </w:pPr>
            <w:r w:rsidRPr="006420BB">
              <w:rPr>
                <w:rFonts w:ascii="Arial Narrow" w:hAnsi="Arial Narrow"/>
                <w:iCs/>
                <w:sz w:val="22"/>
              </w:rPr>
              <w:t>13,00</w:t>
            </w:r>
          </w:p>
        </w:tc>
        <w:tc>
          <w:tcPr>
            <w:tcW w:w="802" w:type="pct"/>
            <w:tcBorders>
              <w:top w:val="single" w:sz="6" w:space="0" w:color="auto"/>
              <w:left w:val="single" w:sz="6" w:space="0" w:color="auto"/>
              <w:bottom w:val="single" w:sz="6" w:space="0" w:color="auto"/>
              <w:right w:val="single" w:sz="6" w:space="0" w:color="auto"/>
            </w:tcBorders>
            <w:vAlign w:val="center"/>
          </w:tcPr>
          <w:p w14:paraId="4B2059FB" w14:textId="0CD1F033"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2.875.426</w:t>
            </w:r>
          </w:p>
        </w:tc>
        <w:tc>
          <w:tcPr>
            <w:tcW w:w="713" w:type="pct"/>
            <w:tcBorders>
              <w:top w:val="single" w:sz="6" w:space="0" w:color="auto"/>
              <w:left w:val="single" w:sz="6" w:space="0" w:color="auto"/>
              <w:bottom w:val="single" w:sz="6" w:space="0" w:color="auto"/>
              <w:right w:val="single" w:sz="6" w:space="0" w:color="auto"/>
            </w:tcBorders>
            <w:vAlign w:val="center"/>
          </w:tcPr>
          <w:p w14:paraId="63E03E27" w14:textId="1663B614"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37.380.538</w:t>
            </w:r>
          </w:p>
        </w:tc>
      </w:tr>
      <w:tr w:rsidR="00EB3CCB" w:rsidRPr="00C769E6" w14:paraId="73C6C050" w14:textId="77777777" w:rsidTr="00975767">
        <w:tc>
          <w:tcPr>
            <w:tcW w:w="714" w:type="pct"/>
            <w:tcBorders>
              <w:top w:val="single" w:sz="6" w:space="0" w:color="auto"/>
              <w:left w:val="single" w:sz="6" w:space="0" w:color="auto"/>
              <w:bottom w:val="single" w:sz="6" w:space="0" w:color="auto"/>
              <w:right w:val="single" w:sz="6" w:space="0" w:color="auto"/>
            </w:tcBorders>
            <w:vAlign w:val="center"/>
          </w:tcPr>
          <w:p w14:paraId="759E2DEB"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dic-23</w:t>
            </w:r>
          </w:p>
        </w:tc>
        <w:tc>
          <w:tcPr>
            <w:tcW w:w="714" w:type="pct"/>
            <w:tcBorders>
              <w:top w:val="single" w:sz="6" w:space="0" w:color="auto"/>
              <w:left w:val="single" w:sz="6" w:space="0" w:color="auto"/>
              <w:bottom w:val="single" w:sz="6" w:space="0" w:color="auto"/>
              <w:right w:val="single" w:sz="6" w:space="0" w:color="auto"/>
            </w:tcBorders>
            <w:vAlign w:val="center"/>
          </w:tcPr>
          <w:p w14:paraId="50547839" w14:textId="40CA91F2"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6,15%</w:t>
            </w:r>
          </w:p>
        </w:tc>
        <w:tc>
          <w:tcPr>
            <w:tcW w:w="714" w:type="pct"/>
            <w:tcBorders>
              <w:top w:val="single" w:sz="6" w:space="0" w:color="auto"/>
              <w:left w:val="single" w:sz="6" w:space="0" w:color="auto"/>
              <w:bottom w:val="single" w:sz="6" w:space="0" w:color="auto"/>
              <w:right w:val="single" w:sz="6" w:space="0" w:color="auto"/>
            </w:tcBorders>
            <w:vAlign w:val="center"/>
          </w:tcPr>
          <w:p w14:paraId="5394F341"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01/01/2023</w:t>
            </w:r>
          </w:p>
        </w:tc>
        <w:tc>
          <w:tcPr>
            <w:tcW w:w="715" w:type="pct"/>
            <w:tcBorders>
              <w:top w:val="single" w:sz="6" w:space="0" w:color="auto"/>
              <w:left w:val="single" w:sz="6" w:space="0" w:color="auto"/>
              <w:bottom w:val="single" w:sz="6" w:space="0" w:color="auto"/>
              <w:right w:val="single" w:sz="6" w:space="0" w:color="auto"/>
            </w:tcBorders>
            <w:vAlign w:val="center"/>
          </w:tcPr>
          <w:p w14:paraId="1444E892" w14:textId="77777777" w:rsidR="00EB3CCB" w:rsidRPr="006420BB" w:rsidRDefault="00EB3CCB" w:rsidP="006420BB">
            <w:pPr>
              <w:spacing w:line="240" w:lineRule="auto"/>
              <w:ind w:firstLine="0"/>
              <w:rPr>
                <w:rFonts w:ascii="Arial Narrow" w:hAnsi="Arial Narrow"/>
                <w:iCs/>
                <w:sz w:val="22"/>
              </w:rPr>
            </w:pPr>
            <w:r w:rsidRPr="006420BB">
              <w:rPr>
                <w:rFonts w:ascii="Arial Narrow" w:hAnsi="Arial Narrow"/>
                <w:iCs/>
                <w:sz w:val="22"/>
              </w:rPr>
              <w:t>30/09/2023</w:t>
            </w:r>
          </w:p>
        </w:tc>
        <w:tc>
          <w:tcPr>
            <w:tcW w:w="628" w:type="pct"/>
            <w:tcBorders>
              <w:top w:val="single" w:sz="6" w:space="0" w:color="auto"/>
              <w:left w:val="single" w:sz="6" w:space="0" w:color="auto"/>
              <w:bottom w:val="single" w:sz="6" w:space="0" w:color="auto"/>
              <w:right w:val="single" w:sz="6" w:space="0" w:color="auto"/>
            </w:tcBorders>
            <w:vAlign w:val="center"/>
          </w:tcPr>
          <w:p w14:paraId="329AE85B" w14:textId="3F0F09EE" w:rsidR="00EB3CCB" w:rsidRPr="006420BB" w:rsidRDefault="00EB3CCB" w:rsidP="006420BB">
            <w:pPr>
              <w:spacing w:line="240" w:lineRule="auto"/>
              <w:ind w:firstLine="0"/>
              <w:jc w:val="center"/>
              <w:rPr>
                <w:rFonts w:ascii="Arial Narrow" w:hAnsi="Arial Narrow"/>
                <w:iCs/>
                <w:sz w:val="22"/>
              </w:rPr>
            </w:pPr>
            <w:r w:rsidRPr="006420BB">
              <w:rPr>
                <w:rFonts w:ascii="Arial Narrow" w:hAnsi="Arial Narrow"/>
                <w:iCs/>
                <w:sz w:val="22"/>
              </w:rPr>
              <w:t>9,00</w:t>
            </w:r>
          </w:p>
        </w:tc>
        <w:tc>
          <w:tcPr>
            <w:tcW w:w="802" w:type="pct"/>
            <w:tcBorders>
              <w:top w:val="single" w:sz="6" w:space="0" w:color="auto"/>
              <w:left w:val="single" w:sz="6" w:space="0" w:color="auto"/>
              <w:bottom w:val="single" w:sz="6" w:space="0" w:color="auto"/>
              <w:right w:val="single" w:sz="6" w:space="0" w:color="auto"/>
            </w:tcBorders>
            <w:vAlign w:val="center"/>
          </w:tcPr>
          <w:p w14:paraId="7BD0B130" w14:textId="01E8EA7A"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3.037.025</w:t>
            </w:r>
          </w:p>
        </w:tc>
        <w:tc>
          <w:tcPr>
            <w:tcW w:w="713" w:type="pct"/>
            <w:tcBorders>
              <w:top w:val="single" w:sz="6" w:space="0" w:color="auto"/>
              <w:left w:val="single" w:sz="6" w:space="0" w:color="auto"/>
              <w:bottom w:val="single" w:sz="6" w:space="0" w:color="auto"/>
              <w:right w:val="single" w:sz="6" w:space="0" w:color="auto"/>
            </w:tcBorders>
            <w:vAlign w:val="center"/>
          </w:tcPr>
          <w:p w14:paraId="09433EA4" w14:textId="1A3082B3" w:rsidR="00EB3CCB" w:rsidRPr="006420BB" w:rsidRDefault="00EB3CCB" w:rsidP="006420BB">
            <w:pPr>
              <w:spacing w:line="240" w:lineRule="auto"/>
              <w:ind w:firstLine="0"/>
              <w:jc w:val="right"/>
              <w:rPr>
                <w:rFonts w:ascii="Arial Narrow" w:hAnsi="Arial Narrow"/>
                <w:iCs/>
                <w:sz w:val="22"/>
              </w:rPr>
            </w:pPr>
            <w:r w:rsidRPr="006420BB">
              <w:rPr>
                <w:rFonts w:ascii="Arial Narrow" w:hAnsi="Arial Narrow"/>
                <w:iCs/>
                <w:sz w:val="22"/>
              </w:rPr>
              <w:t>27.333.224</w:t>
            </w:r>
          </w:p>
        </w:tc>
      </w:tr>
      <w:tr w:rsidR="00EB3CCB" w:rsidRPr="00C769E6" w14:paraId="24956851" w14:textId="77777777" w:rsidTr="00975767">
        <w:tc>
          <w:tcPr>
            <w:tcW w:w="714" w:type="pct"/>
            <w:tcBorders>
              <w:top w:val="nil"/>
              <w:left w:val="nil"/>
              <w:bottom w:val="nil"/>
              <w:right w:val="nil"/>
            </w:tcBorders>
            <w:vAlign w:val="center"/>
          </w:tcPr>
          <w:p w14:paraId="2ACCB9BF" w14:textId="77777777" w:rsidR="00EB3CCB" w:rsidRPr="006420BB" w:rsidRDefault="00EB3CCB" w:rsidP="006420BB">
            <w:pPr>
              <w:spacing w:line="240" w:lineRule="auto"/>
              <w:ind w:firstLine="0"/>
              <w:rPr>
                <w:rFonts w:ascii="Arial Narrow" w:hAnsi="Arial Narrow"/>
                <w:iCs/>
                <w:sz w:val="22"/>
              </w:rPr>
            </w:pPr>
          </w:p>
        </w:tc>
        <w:tc>
          <w:tcPr>
            <w:tcW w:w="714" w:type="pct"/>
            <w:tcBorders>
              <w:top w:val="nil"/>
              <w:left w:val="nil"/>
              <w:bottom w:val="nil"/>
              <w:right w:val="nil"/>
            </w:tcBorders>
            <w:vAlign w:val="center"/>
          </w:tcPr>
          <w:p w14:paraId="0AFE9175" w14:textId="77777777" w:rsidR="00EB3CCB" w:rsidRPr="006420BB" w:rsidRDefault="00EB3CCB" w:rsidP="006420BB">
            <w:pPr>
              <w:spacing w:line="240" w:lineRule="auto"/>
              <w:ind w:firstLine="0"/>
              <w:rPr>
                <w:rFonts w:ascii="Arial Narrow" w:hAnsi="Arial Narrow"/>
                <w:iCs/>
                <w:sz w:val="22"/>
              </w:rPr>
            </w:pPr>
          </w:p>
        </w:tc>
        <w:tc>
          <w:tcPr>
            <w:tcW w:w="714" w:type="pct"/>
            <w:tcBorders>
              <w:top w:val="nil"/>
              <w:left w:val="nil"/>
              <w:bottom w:val="nil"/>
              <w:right w:val="nil"/>
            </w:tcBorders>
            <w:vAlign w:val="center"/>
          </w:tcPr>
          <w:p w14:paraId="631EEA67" w14:textId="77777777" w:rsidR="00EB3CCB" w:rsidRPr="006420BB" w:rsidRDefault="00EB3CCB" w:rsidP="006420BB">
            <w:pPr>
              <w:spacing w:line="240" w:lineRule="auto"/>
              <w:ind w:firstLine="0"/>
              <w:rPr>
                <w:rFonts w:ascii="Arial Narrow" w:hAnsi="Arial Narrow"/>
                <w:iCs/>
                <w:sz w:val="22"/>
              </w:rPr>
            </w:pPr>
          </w:p>
        </w:tc>
        <w:tc>
          <w:tcPr>
            <w:tcW w:w="715" w:type="pct"/>
            <w:tcBorders>
              <w:top w:val="nil"/>
              <w:left w:val="nil"/>
              <w:bottom w:val="nil"/>
              <w:right w:val="nil"/>
            </w:tcBorders>
            <w:vAlign w:val="center"/>
          </w:tcPr>
          <w:p w14:paraId="34135466" w14:textId="77777777" w:rsidR="00EB3CCB" w:rsidRPr="006420BB" w:rsidRDefault="00EB3CCB" w:rsidP="006420BB">
            <w:pPr>
              <w:spacing w:line="240" w:lineRule="auto"/>
              <w:ind w:firstLine="0"/>
              <w:rPr>
                <w:rFonts w:ascii="Arial Narrow" w:hAnsi="Arial Narrow"/>
                <w:iCs/>
                <w:sz w:val="22"/>
              </w:rPr>
            </w:pPr>
          </w:p>
        </w:tc>
        <w:tc>
          <w:tcPr>
            <w:tcW w:w="628" w:type="pct"/>
            <w:tcBorders>
              <w:top w:val="nil"/>
              <w:left w:val="nil"/>
              <w:bottom w:val="nil"/>
              <w:right w:val="nil"/>
            </w:tcBorders>
            <w:vAlign w:val="center"/>
          </w:tcPr>
          <w:p w14:paraId="6499A4DE" w14:textId="77777777" w:rsidR="00EB3CCB" w:rsidRPr="006420BB" w:rsidRDefault="00EB3CCB" w:rsidP="006420BB">
            <w:pPr>
              <w:spacing w:line="240" w:lineRule="auto"/>
              <w:ind w:firstLine="0"/>
              <w:rPr>
                <w:rFonts w:ascii="Arial Narrow" w:hAnsi="Arial Narrow"/>
                <w:iCs/>
                <w:sz w:val="22"/>
              </w:rPr>
            </w:pPr>
          </w:p>
        </w:tc>
        <w:tc>
          <w:tcPr>
            <w:tcW w:w="802" w:type="pct"/>
            <w:tcBorders>
              <w:top w:val="nil"/>
              <w:left w:val="nil"/>
              <w:bottom w:val="nil"/>
              <w:right w:val="nil"/>
            </w:tcBorders>
            <w:vAlign w:val="center"/>
          </w:tcPr>
          <w:p w14:paraId="7556D45A" w14:textId="77777777" w:rsidR="00EB3CCB" w:rsidRPr="006420BB" w:rsidRDefault="00EB3CCB" w:rsidP="006420BB">
            <w:pPr>
              <w:spacing w:line="240" w:lineRule="auto"/>
              <w:ind w:firstLine="0"/>
              <w:rPr>
                <w:rFonts w:ascii="Arial Narrow" w:hAnsi="Arial Narrow"/>
                <w:iCs/>
                <w:sz w:val="22"/>
              </w:rPr>
            </w:pPr>
          </w:p>
        </w:tc>
        <w:tc>
          <w:tcPr>
            <w:tcW w:w="713" w:type="pct"/>
            <w:tcBorders>
              <w:top w:val="nil"/>
              <w:left w:val="nil"/>
              <w:bottom w:val="nil"/>
              <w:right w:val="nil"/>
            </w:tcBorders>
            <w:vAlign w:val="center"/>
          </w:tcPr>
          <w:p w14:paraId="281ABB6F" w14:textId="77777777" w:rsidR="00EB3CCB" w:rsidRPr="006420BB" w:rsidRDefault="00EB3CCB" w:rsidP="006420BB">
            <w:pPr>
              <w:spacing w:line="240" w:lineRule="auto"/>
              <w:ind w:firstLine="0"/>
              <w:rPr>
                <w:rFonts w:ascii="Arial Narrow" w:hAnsi="Arial Narrow"/>
                <w:iCs/>
                <w:sz w:val="22"/>
              </w:rPr>
            </w:pPr>
          </w:p>
        </w:tc>
      </w:tr>
      <w:tr w:rsidR="00EB3CCB" w:rsidRPr="00C769E6" w14:paraId="07F5E6D5" w14:textId="77777777" w:rsidTr="00975767">
        <w:tc>
          <w:tcPr>
            <w:tcW w:w="714" w:type="pct"/>
            <w:tcBorders>
              <w:top w:val="nil"/>
              <w:left w:val="nil"/>
              <w:bottom w:val="nil"/>
              <w:right w:val="nil"/>
            </w:tcBorders>
            <w:vAlign w:val="center"/>
          </w:tcPr>
          <w:p w14:paraId="12CFC0D9" w14:textId="77777777" w:rsidR="00EB3CCB" w:rsidRPr="006420BB" w:rsidRDefault="00EB3CCB" w:rsidP="006420BB">
            <w:pPr>
              <w:spacing w:line="240" w:lineRule="auto"/>
              <w:ind w:firstLine="0"/>
              <w:rPr>
                <w:rFonts w:ascii="Arial Narrow" w:hAnsi="Arial Narrow"/>
                <w:iCs/>
                <w:sz w:val="22"/>
              </w:rPr>
            </w:pPr>
          </w:p>
        </w:tc>
        <w:tc>
          <w:tcPr>
            <w:tcW w:w="714" w:type="pct"/>
            <w:tcBorders>
              <w:top w:val="nil"/>
              <w:left w:val="nil"/>
              <w:bottom w:val="nil"/>
              <w:right w:val="nil"/>
            </w:tcBorders>
            <w:vAlign w:val="center"/>
          </w:tcPr>
          <w:p w14:paraId="4725FB01" w14:textId="77777777" w:rsidR="00EB3CCB" w:rsidRPr="006420BB" w:rsidRDefault="00EB3CCB" w:rsidP="006420BB">
            <w:pPr>
              <w:spacing w:line="240" w:lineRule="auto"/>
              <w:ind w:firstLine="0"/>
              <w:rPr>
                <w:rFonts w:ascii="Arial Narrow" w:hAnsi="Arial Narrow"/>
                <w:iCs/>
                <w:sz w:val="22"/>
              </w:rPr>
            </w:pPr>
          </w:p>
        </w:tc>
        <w:tc>
          <w:tcPr>
            <w:tcW w:w="714" w:type="pct"/>
            <w:tcBorders>
              <w:top w:val="nil"/>
              <w:left w:val="nil"/>
              <w:bottom w:val="nil"/>
              <w:right w:val="nil"/>
            </w:tcBorders>
            <w:vAlign w:val="center"/>
          </w:tcPr>
          <w:p w14:paraId="171B3BB8" w14:textId="77777777" w:rsidR="00EB3CCB" w:rsidRPr="006420BB" w:rsidRDefault="00EB3CCB" w:rsidP="006420BB">
            <w:pPr>
              <w:spacing w:line="240" w:lineRule="auto"/>
              <w:ind w:firstLine="0"/>
              <w:rPr>
                <w:rFonts w:ascii="Arial Narrow" w:hAnsi="Arial Narrow"/>
                <w:iCs/>
                <w:sz w:val="22"/>
              </w:rPr>
            </w:pPr>
          </w:p>
        </w:tc>
        <w:tc>
          <w:tcPr>
            <w:tcW w:w="715" w:type="pct"/>
            <w:tcBorders>
              <w:top w:val="nil"/>
              <w:left w:val="nil"/>
              <w:bottom w:val="nil"/>
              <w:right w:val="nil"/>
            </w:tcBorders>
            <w:vAlign w:val="center"/>
          </w:tcPr>
          <w:p w14:paraId="0ACEB9F8" w14:textId="77777777" w:rsidR="00EB3CCB" w:rsidRPr="006420BB" w:rsidRDefault="00EB3CCB" w:rsidP="006420BB">
            <w:pPr>
              <w:spacing w:line="240" w:lineRule="auto"/>
              <w:ind w:firstLine="0"/>
              <w:rPr>
                <w:rFonts w:ascii="Arial Narrow" w:hAnsi="Arial Narrow"/>
                <w:iCs/>
                <w:sz w:val="22"/>
              </w:rPr>
            </w:pPr>
          </w:p>
        </w:tc>
        <w:tc>
          <w:tcPr>
            <w:tcW w:w="628" w:type="pct"/>
            <w:tcBorders>
              <w:top w:val="nil"/>
              <w:left w:val="nil"/>
              <w:bottom w:val="nil"/>
              <w:right w:val="nil"/>
            </w:tcBorders>
            <w:vAlign w:val="center"/>
          </w:tcPr>
          <w:p w14:paraId="37C11472" w14:textId="77777777" w:rsidR="00EB3CCB" w:rsidRPr="006420BB" w:rsidRDefault="00EB3CCB" w:rsidP="006420BB">
            <w:pPr>
              <w:spacing w:line="240" w:lineRule="auto"/>
              <w:ind w:firstLine="0"/>
              <w:rPr>
                <w:rFonts w:ascii="Arial Narrow" w:hAnsi="Arial Narrow"/>
                <w:iCs/>
                <w:sz w:val="22"/>
              </w:rPr>
            </w:pPr>
          </w:p>
        </w:tc>
        <w:tc>
          <w:tcPr>
            <w:tcW w:w="802" w:type="pct"/>
            <w:tcBorders>
              <w:top w:val="nil"/>
              <w:left w:val="nil"/>
              <w:bottom w:val="nil"/>
              <w:right w:val="nil"/>
            </w:tcBorders>
            <w:vAlign w:val="center"/>
          </w:tcPr>
          <w:p w14:paraId="053A197B" w14:textId="77777777" w:rsidR="00EB3CCB" w:rsidRPr="006420BB" w:rsidRDefault="00EB3CCB" w:rsidP="006420BB">
            <w:pPr>
              <w:spacing w:line="240" w:lineRule="auto"/>
              <w:ind w:firstLine="0"/>
              <w:rPr>
                <w:rFonts w:ascii="Arial Narrow" w:hAnsi="Arial Narrow"/>
                <w:iCs/>
                <w:sz w:val="22"/>
              </w:rPr>
            </w:pPr>
          </w:p>
        </w:tc>
        <w:tc>
          <w:tcPr>
            <w:tcW w:w="713" w:type="pct"/>
            <w:tcBorders>
              <w:top w:val="single" w:sz="6" w:space="0" w:color="auto"/>
              <w:left w:val="single" w:sz="6" w:space="0" w:color="auto"/>
              <w:bottom w:val="single" w:sz="6" w:space="0" w:color="auto"/>
              <w:right w:val="single" w:sz="6" w:space="0" w:color="auto"/>
            </w:tcBorders>
            <w:vAlign w:val="center"/>
          </w:tcPr>
          <w:p w14:paraId="44623E1E" w14:textId="35A378B3" w:rsidR="00EB3CCB" w:rsidRPr="006420BB" w:rsidRDefault="00EB3CCB" w:rsidP="006420BB">
            <w:pPr>
              <w:spacing w:line="240" w:lineRule="auto"/>
              <w:ind w:firstLine="0"/>
              <w:jc w:val="right"/>
              <w:rPr>
                <w:rFonts w:ascii="Arial Narrow" w:hAnsi="Arial Narrow"/>
                <w:b/>
                <w:iCs/>
                <w:sz w:val="22"/>
              </w:rPr>
            </w:pPr>
            <w:bookmarkStart w:id="9" w:name="_Hlk147891190"/>
            <w:r w:rsidRPr="006420BB">
              <w:rPr>
                <w:rFonts w:ascii="Arial Narrow" w:hAnsi="Arial Narrow"/>
                <w:b/>
                <w:iCs/>
                <w:sz w:val="22"/>
              </w:rPr>
              <w:t>202.853.697</w:t>
            </w:r>
            <w:bookmarkEnd w:id="9"/>
          </w:p>
        </w:tc>
      </w:tr>
    </w:tbl>
    <w:p w14:paraId="21224540" w14:textId="77777777" w:rsidR="00EB3CCB" w:rsidRPr="00C769E6" w:rsidRDefault="00EB3CCB" w:rsidP="00C769E6">
      <w:pPr>
        <w:spacing w:line="276" w:lineRule="auto"/>
        <w:ind w:firstLine="0"/>
        <w:rPr>
          <w:rFonts w:ascii="Bookman Old Style" w:hAnsi="Bookman Old Style"/>
          <w:iCs/>
        </w:rPr>
      </w:pPr>
    </w:p>
    <w:p w14:paraId="0D4F4905" w14:textId="551EC8C7" w:rsidR="00EB3CCB" w:rsidRPr="00C769E6" w:rsidRDefault="00EB3CCB" w:rsidP="00C769E6">
      <w:pPr>
        <w:spacing w:line="276" w:lineRule="auto"/>
        <w:rPr>
          <w:rFonts w:ascii="Bookman Old Style" w:hAnsi="Bookman Old Style"/>
          <w:iCs/>
        </w:rPr>
      </w:pPr>
      <w:r w:rsidRPr="00C769E6">
        <w:rPr>
          <w:rFonts w:ascii="Bookman Old Style" w:hAnsi="Bookman Old Style"/>
          <w:iCs/>
        </w:rPr>
        <w:t>Finalmente, se ordenará, que del retroactivo pensional y de las futuras mesadas, la demandada haga los descuentos pertinentes con destino al subsistema de seguridad social en salud, a la EPS donde la actora estuviere afiliada.</w:t>
      </w:r>
    </w:p>
    <w:p w14:paraId="5DBBAA44" w14:textId="77777777" w:rsidR="00B013C2" w:rsidRPr="00C769E6" w:rsidRDefault="00B013C2" w:rsidP="00C769E6">
      <w:pPr>
        <w:spacing w:line="276" w:lineRule="auto"/>
        <w:ind w:firstLine="0"/>
        <w:rPr>
          <w:rFonts w:ascii="Bookman Old Style" w:hAnsi="Bookman Old Style"/>
          <w:iCs/>
        </w:rPr>
      </w:pPr>
    </w:p>
    <w:p w14:paraId="5CE1939C" w14:textId="10496A9D" w:rsidR="00B013C2" w:rsidRPr="00C769E6" w:rsidRDefault="00523D1F" w:rsidP="00C769E6">
      <w:pPr>
        <w:spacing w:line="276" w:lineRule="auto"/>
        <w:rPr>
          <w:rFonts w:ascii="Bookman Old Style" w:hAnsi="Bookman Old Style"/>
          <w:iCs/>
        </w:rPr>
      </w:pPr>
      <w:r w:rsidRPr="00C769E6">
        <w:rPr>
          <w:rFonts w:ascii="Bookman Old Style" w:hAnsi="Bookman Old Style"/>
          <w:iCs/>
        </w:rPr>
        <w:t>Por</w:t>
      </w:r>
      <w:r w:rsidR="00B013C2" w:rsidRPr="00C769E6">
        <w:rPr>
          <w:rFonts w:ascii="Bookman Old Style" w:hAnsi="Bookman Old Style"/>
          <w:iCs/>
        </w:rPr>
        <w:t xml:space="preserve"> lo anterior, se modificará el ordinal </w:t>
      </w:r>
      <w:r w:rsidR="00F46D9E" w:rsidRPr="00C769E6">
        <w:rPr>
          <w:rFonts w:ascii="Bookman Old Style" w:hAnsi="Bookman Old Style"/>
          <w:iCs/>
        </w:rPr>
        <w:t>tercero de la sentencia</w:t>
      </w:r>
      <w:r w:rsidR="00C711AB" w:rsidRPr="00C769E6">
        <w:rPr>
          <w:rFonts w:ascii="Bookman Old Style" w:hAnsi="Bookman Old Style"/>
          <w:iCs/>
        </w:rPr>
        <w:t>, conforme lo expuesto.</w:t>
      </w:r>
    </w:p>
    <w:p w14:paraId="2EE6231F" w14:textId="77777777" w:rsidR="00F46D9E" w:rsidRPr="00C769E6" w:rsidRDefault="00F46D9E" w:rsidP="00C769E6">
      <w:pPr>
        <w:spacing w:line="276" w:lineRule="auto"/>
        <w:ind w:firstLine="0"/>
        <w:rPr>
          <w:rFonts w:ascii="Bookman Old Style" w:hAnsi="Bookman Old Style"/>
          <w:iCs/>
        </w:rPr>
      </w:pPr>
    </w:p>
    <w:p w14:paraId="21026D65" w14:textId="77697E47" w:rsidR="23CC1F76" w:rsidRPr="00C769E6" w:rsidRDefault="23CC1F76" w:rsidP="00C769E6">
      <w:pPr>
        <w:spacing w:line="276" w:lineRule="auto"/>
        <w:rPr>
          <w:rFonts w:ascii="Bookman Old Style" w:hAnsi="Bookman Old Style"/>
          <w:iCs/>
        </w:rPr>
      </w:pPr>
      <w:r w:rsidRPr="00C769E6">
        <w:rPr>
          <w:rFonts w:ascii="Bookman Old Style" w:hAnsi="Bookman Old Style"/>
          <w:iCs/>
        </w:rPr>
        <w:t>Ante la improsperidad del recurso formulado por la UGPP, se le condenará en costas en esta instancia.</w:t>
      </w:r>
    </w:p>
    <w:p w14:paraId="18232CB6" w14:textId="77777777" w:rsidR="00B013C2" w:rsidRPr="00C769E6" w:rsidRDefault="00B013C2" w:rsidP="00C769E6">
      <w:pPr>
        <w:spacing w:line="276" w:lineRule="auto"/>
        <w:ind w:firstLine="0"/>
        <w:rPr>
          <w:rFonts w:ascii="Bookman Old Style" w:hAnsi="Bookman Old Style"/>
          <w:iCs/>
        </w:rPr>
      </w:pPr>
    </w:p>
    <w:p w14:paraId="643957FE" w14:textId="77777777" w:rsidR="00F46D9E" w:rsidRPr="00C769E6" w:rsidRDefault="00F46D9E" w:rsidP="00C769E6">
      <w:pPr>
        <w:pStyle w:val="Prrafodelista"/>
        <w:numPr>
          <w:ilvl w:val="0"/>
          <w:numId w:val="16"/>
        </w:numPr>
        <w:spacing w:line="276" w:lineRule="auto"/>
        <w:jc w:val="center"/>
        <w:rPr>
          <w:rFonts w:ascii="Bookman Old Style" w:hAnsi="Bookman Old Style"/>
          <w:b/>
          <w:bCs/>
          <w:iCs/>
        </w:rPr>
      </w:pPr>
      <w:r w:rsidRPr="00C769E6">
        <w:rPr>
          <w:rFonts w:ascii="Bookman Old Style" w:hAnsi="Bookman Old Style"/>
          <w:b/>
          <w:bCs/>
          <w:iCs/>
        </w:rPr>
        <w:t>DECISIÓN DE SEGUNDA INSTANCIA</w:t>
      </w:r>
    </w:p>
    <w:p w14:paraId="06F199B9" w14:textId="77777777" w:rsidR="00F46D9E" w:rsidRPr="00C769E6" w:rsidRDefault="00F46D9E" w:rsidP="00C769E6">
      <w:pPr>
        <w:spacing w:line="276" w:lineRule="auto"/>
        <w:ind w:firstLine="0"/>
        <w:rPr>
          <w:rFonts w:ascii="Bookman Old Style" w:hAnsi="Bookman Old Style"/>
          <w:iCs/>
        </w:rPr>
      </w:pPr>
    </w:p>
    <w:p w14:paraId="7DA2F7A4" w14:textId="77777777" w:rsidR="00F46D9E" w:rsidRPr="00C769E6" w:rsidRDefault="00F46D9E" w:rsidP="00C769E6">
      <w:pPr>
        <w:spacing w:line="276" w:lineRule="auto"/>
        <w:rPr>
          <w:rFonts w:ascii="Bookman Old Style" w:hAnsi="Bookman Old Style"/>
          <w:iCs/>
        </w:rPr>
      </w:pPr>
      <w:r w:rsidRPr="00C769E6">
        <w:rPr>
          <w:rFonts w:ascii="Bookman Old Style" w:hAnsi="Bookman Old Style"/>
          <w:iCs/>
        </w:rPr>
        <w:t>Por lo expuesto, la Sala de Decisión Laboral del Tribunal Superior del Distrito Judicial de Pereira, administrando justicia en nombre de la República y por autoridad de la ley.</w:t>
      </w:r>
    </w:p>
    <w:p w14:paraId="70033993" w14:textId="77777777" w:rsidR="00F46D9E" w:rsidRPr="00C769E6" w:rsidRDefault="00F46D9E" w:rsidP="00C769E6">
      <w:pPr>
        <w:spacing w:line="276" w:lineRule="auto"/>
        <w:ind w:firstLine="0"/>
        <w:rPr>
          <w:rFonts w:ascii="Bookman Old Style" w:hAnsi="Bookman Old Style"/>
          <w:iCs/>
        </w:rPr>
      </w:pPr>
    </w:p>
    <w:p w14:paraId="46C4A4ED" w14:textId="77777777" w:rsidR="00F46D9E" w:rsidRPr="00C769E6" w:rsidRDefault="00F46D9E" w:rsidP="00C769E6">
      <w:pPr>
        <w:spacing w:line="276" w:lineRule="auto"/>
        <w:ind w:firstLine="0"/>
        <w:jc w:val="center"/>
        <w:rPr>
          <w:rFonts w:ascii="Bookman Old Style" w:hAnsi="Bookman Old Style"/>
          <w:b/>
          <w:bCs/>
          <w:iCs/>
          <w:lang w:eastAsia="es-ES"/>
        </w:rPr>
      </w:pPr>
      <w:r w:rsidRPr="00C769E6">
        <w:rPr>
          <w:rFonts w:ascii="Bookman Old Style" w:hAnsi="Bookman Old Style"/>
          <w:b/>
          <w:bCs/>
          <w:iCs/>
        </w:rPr>
        <w:t>RESUELVE</w:t>
      </w:r>
    </w:p>
    <w:p w14:paraId="00F800ED" w14:textId="77777777" w:rsidR="00F46D9E" w:rsidRPr="00C769E6" w:rsidRDefault="00F46D9E" w:rsidP="00C769E6">
      <w:pPr>
        <w:spacing w:line="276" w:lineRule="auto"/>
        <w:ind w:firstLine="0"/>
        <w:rPr>
          <w:rFonts w:ascii="Bookman Old Style" w:hAnsi="Bookman Old Style"/>
          <w:iCs/>
          <w:lang w:eastAsia="es-ES"/>
        </w:rPr>
      </w:pPr>
    </w:p>
    <w:p w14:paraId="45483BFF" w14:textId="48BC3E0A" w:rsidR="00F46D9E" w:rsidRPr="00C769E6" w:rsidRDefault="00F46D9E" w:rsidP="00C769E6">
      <w:pPr>
        <w:spacing w:line="276" w:lineRule="auto"/>
        <w:rPr>
          <w:rFonts w:ascii="Bookman Old Style" w:hAnsi="Bookman Old Style"/>
          <w:iCs/>
        </w:rPr>
      </w:pPr>
      <w:r w:rsidRPr="00C769E6">
        <w:rPr>
          <w:rFonts w:ascii="Bookman Old Style" w:hAnsi="Bookman Old Style"/>
          <w:b/>
          <w:bCs/>
          <w:iCs/>
        </w:rPr>
        <w:t>PRIMERO</w:t>
      </w:r>
      <w:r w:rsidRPr="00C769E6">
        <w:rPr>
          <w:rFonts w:ascii="Bookman Old Style" w:hAnsi="Bookman Old Style"/>
          <w:iCs/>
        </w:rPr>
        <w:t xml:space="preserve">: </w:t>
      </w:r>
      <w:r w:rsidRPr="00C769E6">
        <w:rPr>
          <w:rFonts w:ascii="Bookman Old Style" w:hAnsi="Bookman Old Style"/>
          <w:b/>
          <w:bCs/>
          <w:iCs/>
        </w:rPr>
        <w:t>MODIFICAR</w:t>
      </w:r>
      <w:r w:rsidRPr="00C769E6">
        <w:rPr>
          <w:rFonts w:ascii="Bookman Old Style" w:hAnsi="Bookman Old Style"/>
          <w:iCs/>
        </w:rPr>
        <w:t xml:space="preserve"> el ordinal tercero de la parte resolutiva de la sentencia, el cual quedará así:</w:t>
      </w:r>
    </w:p>
    <w:p w14:paraId="659173FC" w14:textId="77777777" w:rsidR="00F46D9E" w:rsidRPr="00C769E6" w:rsidRDefault="00F46D9E" w:rsidP="00C769E6">
      <w:pPr>
        <w:spacing w:line="276" w:lineRule="auto"/>
        <w:ind w:firstLine="0"/>
        <w:rPr>
          <w:rFonts w:ascii="Bookman Old Style" w:hAnsi="Bookman Old Style"/>
          <w:iCs/>
        </w:rPr>
      </w:pPr>
    </w:p>
    <w:p w14:paraId="047FB62E" w14:textId="67159F03" w:rsidR="008E29E7" w:rsidRPr="00C769E6" w:rsidRDefault="008E29E7" w:rsidP="006420BB">
      <w:pPr>
        <w:spacing w:line="276" w:lineRule="auto"/>
        <w:ind w:left="426" w:right="420" w:firstLine="0"/>
        <w:rPr>
          <w:rFonts w:ascii="Bookman Old Style" w:hAnsi="Bookman Old Style"/>
          <w:iCs/>
        </w:rPr>
      </w:pPr>
      <w:r w:rsidRPr="00C769E6">
        <w:rPr>
          <w:rFonts w:ascii="Bookman Old Style" w:hAnsi="Bookman Old Style"/>
          <w:iCs/>
        </w:rPr>
        <w:t>“</w:t>
      </w:r>
      <w:r w:rsidRPr="00C769E6">
        <w:rPr>
          <w:rFonts w:ascii="Bookman Old Style" w:hAnsi="Bookman Old Style"/>
          <w:b/>
          <w:iCs/>
        </w:rPr>
        <w:t>TERCERO</w:t>
      </w:r>
      <w:r w:rsidRPr="00C769E6">
        <w:rPr>
          <w:rFonts w:ascii="Bookman Old Style" w:hAnsi="Bookman Old Style"/>
          <w:iCs/>
        </w:rPr>
        <w:t xml:space="preserve">: </w:t>
      </w:r>
      <w:r w:rsidRPr="00C769E6">
        <w:rPr>
          <w:rFonts w:ascii="Bookman Old Style" w:hAnsi="Bookman Old Style"/>
          <w:b/>
          <w:iCs/>
        </w:rPr>
        <w:t>CONDENAR</w:t>
      </w:r>
      <w:r w:rsidRPr="00C769E6">
        <w:rPr>
          <w:rFonts w:ascii="Bookman Old Style" w:hAnsi="Bookman Old Style"/>
          <w:iCs/>
        </w:rPr>
        <w:t xml:space="preserve"> a la </w:t>
      </w:r>
      <w:r w:rsidRPr="00C769E6">
        <w:rPr>
          <w:rFonts w:ascii="Bookman Old Style" w:hAnsi="Bookman Old Style"/>
          <w:b/>
          <w:iCs/>
        </w:rPr>
        <w:t xml:space="preserve">UNIDAD ADMINISTRATIVA ESPECIAL DE GESTIÓN PENSIONAL Y CONTRIBUCIONES PARAFISCALES DE </w:t>
      </w:r>
      <w:r w:rsidRPr="00C769E6">
        <w:rPr>
          <w:rFonts w:ascii="Bookman Old Style" w:hAnsi="Bookman Old Style"/>
          <w:b/>
          <w:iCs/>
        </w:rPr>
        <w:lastRenderedPageBreak/>
        <w:t>LA PROTECCIÓN SOCIAL – UGPP</w:t>
      </w:r>
      <w:r w:rsidRPr="00C769E6">
        <w:rPr>
          <w:rFonts w:ascii="Bookman Old Style" w:hAnsi="Bookman Old Style"/>
          <w:iCs/>
        </w:rPr>
        <w:t xml:space="preserve"> a pagar a la señora </w:t>
      </w:r>
      <w:r w:rsidRPr="00C769E6">
        <w:rPr>
          <w:rFonts w:ascii="Bookman Old Style" w:hAnsi="Bookman Old Style"/>
          <w:b/>
          <w:iCs/>
        </w:rPr>
        <w:t>LUCENY PIMIENTA ALZATE</w:t>
      </w:r>
      <w:r w:rsidRPr="00C769E6">
        <w:rPr>
          <w:rFonts w:ascii="Bookman Old Style" w:hAnsi="Bookman Old Style"/>
          <w:iCs/>
        </w:rPr>
        <w:t xml:space="preserve"> la pensión de jubilación convencional, de carácter compartida, consagrada en el artículo 98 de la Convención Colectiva 2001-2004, a partir del 18 de enero de 2018, en cuantía inicial de $2.538.422, con derecho a 13 mesadas anuales.</w:t>
      </w:r>
    </w:p>
    <w:p w14:paraId="4CE5626B" w14:textId="77777777" w:rsidR="00C711AB" w:rsidRPr="00C769E6" w:rsidRDefault="00C711AB" w:rsidP="006420BB">
      <w:pPr>
        <w:spacing w:line="276" w:lineRule="auto"/>
        <w:ind w:left="426" w:right="420" w:firstLine="0"/>
        <w:rPr>
          <w:rFonts w:ascii="Bookman Old Style" w:hAnsi="Bookman Old Style"/>
          <w:iCs/>
        </w:rPr>
      </w:pPr>
    </w:p>
    <w:p w14:paraId="0FF8B08B" w14:textId="6BDD5855" w:rsidR="00F46D9E" w:rsidRPr="00C769E6" w:rsidRDefault="00C711AB" w:rsidP="006420BB">
      <w:pPr>
        <w:spacing w:line="276" w:lineRule="auto"/>
        <w:ind w:left="426" w:right="420" w:firstLine="0"/>
        <w:rPr>
          <w:rFonts w:ascii="Bookman Old Style" w:hAnsi="Bookman Old Style"/>
          <w:iCs/>
        </w:rPr>
      </w:pPr>
      <w:r w:rsidRPr="00C769E6">
        <w:rPr>
          <w:rFonts w:ascii="Bookman Old Style" w:hAnsi="Bookman Old Style"/>
          <w:iCs/>
        </w:rPr>
        <w:t xml:space="preserve">Conforme lo anterior, a la demandante se le deberá </w:t>
      </w:r>
      <w:r w:rsidR="008E29E7" w:rsidRPr="00C769E6">
        <w:rPr>
          <w:rFonts w:ascii="Bookman Old Style" w:hAnsi="Bookman Old Style"/>
          <w:iCs/>
        </w:rPr>
        <w:t>pagar la suma de ($</w:t>
      </w:r>
      <w:r w:rsidRPr="00C769E6">
        <w:rPr>
          <w:rFonts w:ascii="Bookman Old Style" w:hAnsi="Bookman Old Style"/>
          <w:iCs/>
        </w:rPr>
        <w:t>202.853.697</w:t>
      </w:r>
      <w:r w:rsidR="008E29E7" w:rsidRPr="00C769E6">
        <w:rPr>
          <w:rFonts w:ascii="Bookman Old Style" w:hAnsi="Bookman Old Style"/>
          <w:iCs/>
        </w:rPr>
        <w:t>), por concepto de retroactivo pensional de las mesadas causadas entre el 1</w:t>
      </w:r>
      <w:r w:rsidRPr="00C769E6">
        <w:rPr>
          <w:rFonts w:ascii="Bookman Old Style" w:hAnsi="Bookman Old Style"/>
          <w:iCs/>
        </w:rPr>
        <w:t>8</w:t>
      </w:r>
      <w:r w:rsidR="008E29E7" w:rsidRPr="00C769E6">
        <w:rPr>
          <w:rFonts w:ascii="Bookman Old Style" w:hAnsi="Bookman Old Style"/>
          <w:iCs/>
        </w:rPr>
        <w:t xml:space="preserve"> de enero de 201</w:t>
      </w:r>
      <w:r w:rsidRPr="00C769E6">
        <w:rPr>
          <w:rFonts w:ascii="Bookman Old Style" w:hAnsi="Bookman Old Style"/>
          <w:iCs/>
        </w:rPr>
        <w:t>8</w:t>
      </w:r>
      <w:r w:rsidR="008E29E7" w:rsidRPr="00C769E6">
        <w:rPr>
          <w:rFonts w:ascii="Bookman Old Style" w:hAnsi="Bookman Old Style"/>
          <w:iCs/>
        </w:rPr>
        <w:t xml:space="preserve"> </w:t>
      </w:r>
      <w:r w:rsidR="008A6634" w:rsidRPr="00C769E6">
        <w:rPr>
          <w:rFonts w:ascii="Bookman Old Style" w:hAnsi="Bookman Old Style"/>
          <w:iCs/>
        </w:rPr>
        <w:t xml:space="preserve">con corte </w:t>
      </w:r>
      <w:r w:rsidR="008E29E7" w:rsidRPr="00C769E6">
        <w:rPr>
          <w:rFonts w:ascii="Bookman Old Style" w:hAnsi="Bookman Old Style"/>
          <w:iCs/>
        </w:rPr>
        <w:t xml:space="preserve">al 30 de </w:t>
      </w:r>
      <w:r w:rsidRPr="00C769E6">
        <w:rPr>
          <w:rFonts w:ascii="Bookman Old Style" w:hAnsi="Bookman Old Style"/>
          <w:iCs/>
        </w:rPr>
        <w:t xml:space="preserve">septiembre </w:t>
      </w:r>
      <w:r w:rsidR="008E29E7" w:rsidRPr="00C769E6">
        <w:rPr>
          <w:rFonts w:ascii="Bookman Old Style" w:hAnsi="Bookman Old Style"/>
          <w:iCs/>
        </w:rPr>
        <w:t>de 2023, sin perjuicio de las que se llegaren a causar en el futuro</w:t>
      </w:r>
      <w:r w:rsidRPr="00C769E6">
        <w:rPr>
          <w:rFonts w:ascii="Bookman Old Style" w:hAnsi="Bookman Old Style"/>
          <w:iCs/>
        </w:rPr>
        <w:t>. Respecto de dicho valor, proceden los descuentos en salud</w:t>
      </w:r>
      <w:r w:rsidR="006420BB">
        <w:rPr>
          <w:rFonts w:ascii="Bookman Old Style" w:hAnsi="Bookman Old Style"/>
          <w:iCs/>
        </w:rPr>
        <w:t>”</w:t>
      </w:r>
      <w:r w:rsidRPr="00C769E6">
        <w:rPr>
          <w:rFonts w:ascii="Bookman Old Style" w:hAnsi="Bookman Old Style"/>
          <w:iCs/>
        </w:rPr>
        <w:t>.</w:t>
      </w:r>
    </w:p>
    <w:p w14:paraId="7F326C71" w14:textId="77777777" w:rsidR="00F46D9E" w:rsidRPr="00C769E6" w:rsidRDefault="00F46D9E" w:rsidP="00C769E6">
      <w:pPr>
        <w:spacing w:line="276" w:lineRule="auto"/>
        <w:ind w:firstLine="0"/>
        <w:rPr>
          <w:rFonts w:ascii="Bookman Old Style" w:hAnsi="Bookman Old Style"/>
          <w:iCs/>
        </w:rPr>
      </w:pPr>
    </w:p>
    <w:p w14:paraId="4C77294E" w14:textId="77777777" w:rsidR="00F46D9E" w:rsidRPr="00C769E6" w:rsidRDefault="00F46D9E" w:rsidP="00C769E6">
      <w:pPr>
        <w:spacing w:line="276" w:lineRule="auto"/>
        <w:ind w:firstLine="0"/>
        <w:rPr>
          <w:rFonts w:ascii="Bookman Old Style" w:hAnsi="Bookman Old Style"/>
          <w:iCs/>
        </w:rPr>
      </w:pPr>
      <w:r w:rsidRPr="00C769E6">
        <w:rPr>
          <w:rFonts w:ascii="Bookman Old Style" w:hAnsi="Bookman Old Style"/>
          <w:b/>
          <w:bCs/>
          <w:iCs/>
        </w:rPr>
        <w:t>SEGUNDO</w:t>
      </w:r>
      <w:r w:rsidRPr="00C769E6">
        <w:rPr>
          <w:rFonts w:ascii="Bookman Old Style" w:hAnsi="Bookman Old Style"/>
          <w:iCs/>
        </w:rPr>
        <w:t xml:space="preserve">: </w:t>
      </w:r>
      <w:r w:rsidRPr="00C769E6">
        <w:rPr>
          <w:rFonts w:ascii="Bookman Old Style" w:hAnsi="Bookman Old Style"/>
          <w:b/>
          <w:bCs/>
          <w:iCs/>
        </w:rPr>
        <w:t>CONFIRMAR</w:t>
      </w:r>
      <w:r w:rsidRPr="00C769E6">
        <w:rPr>
          <w:rFonts w:ascii="Bookman Old Style" w:hAnsi="Bookman Old Style"/>
          <w:iCs/>
        </w:rPr>
        <w:t xml:space="preserve"> la sentencia recurrida en todo lo demás.</w:t>
      </w:r>
    </w:p>
    <w:p w14:paraId="127871BA" w14:textId="77777777" w:rsidR="00F46D9E" w:rsidRPr="00C769E6" w:rsidRDefault="00F46D9E" w:rsidP="00C769E6">
      <w:pPr>
        <w:spacing w:line="276" w:lineRule="auto"/>
        <w:ind w:firstLine="0"/>
        <w:rPr>
          <w:rFonts w:ascii="Bookman Old Style" w:hAnsi="Bookman Old Style"/>
          <w:iCs/>
        </w:rPr>
      </w:pPr>
    </w:p>
    <w:p w14:paraId="31AF9EA0" w14:textId="11453EC5" w:rsidR="00F46D9E" w:rsidRPr="00C769E6" w:rsidRDefault="00F46D9E" w:rsidP="00C769E6">
      <w:pPr>
        <w:spacing w:line="276" w:lineRule="auto"/>
        <w:ind w:firstLine="0"/>
        <w:rPr>
          <w:rFonts w:ascii="Bookman Old Style" w:hAnsi="Bookman Old Style"/>
          <w:iCs/>
        </w:rPr>
      </w:pPr>
      <w:r w:rsidRPr="00C769E6">
        <w:rPr>
          <w:rFonts w:ascii="Bookman Old Style" w:hAnsi="Bookman Old Style"/>
          <w:b/>
          <w:bCs/>
          <w:iCs/>
        </w:rPr>
        <w:t>TERCERO</w:t>
      </w:r>
      <w:r w:rsidRPr="00C769E6">
        <w:rPr>
          <w:rFonts w:ascii="Bookman Old Style" w:hAnsi="Bookman Old Style"/>
          <w:iCs/>
        </w:rPr>
        <w:t xml:space="preserve">: </w:t>
      </w:r>
      <w:r w:rsidR="4FC1739D" w:rsidRPr="00C769E6">
        <w:rPr>
          <w:rFonts w:ascii="Bookman Old Style" w:hAnsi="Bookman Old Style"/>
          <w:iCs/>
        </w:rPr>
        <w:t xml:space="preserve">Costas en esta instancia </w:t>
      </w:r>
      <w:r w:rsidRPr="00C769E6">
        <w:rPr>
          <w:rFonts w:ascii="Bookman Old Style" w:hAnsi="Bookman Old Style"/>
          <w:iCs/>
        </w:rPr>
        <w:t>a</w:t>
      </w:r>
      <w:r w:rsidR="69A85BFD" w:rsidRPr="00C769E6">
        <w:rPr>
          <w:rFonts w:ascii="Bookman Old Style" w:hAnsi="Bookman Old Style"/>
          <w:iCs/>
        </w:rPr>
        <w:t xml:space="preserve"> cargo de la parte recurrente y a favor de la parte actora</w:t>
      </w:r>
      <w:r w:rsidRPr="00C769E6">
        <w:rPr>
          <w:rFonts w:ascii="Bookman Old Style" w:hAnsi="Bookman Old Style"/>
          <w:iCs/>
        </w:rPr>
        <w:t>.</w:t>
      </w:r>
    </w:p>
    <w:p w14:paraId="3965207D" w14:textId="77777777" w:rsidR="00F46D9E" w:rsidRPr="00C769E6" w:rsidRDefault="00F46D9E" w:rsidP="00C769E6">
      <w:pPr>
        <w:spacing w:line="276" w:lineRule="auto"/>
        <w:ind w:firstLine="0"/>
        <w:rPr>
          <w:rFonts w:ascii="Bookman Old Style" w:hAnsi="Bookman Old Style"/>
          <w:iCs/>
        </w:rPr>
      </w:pPr>
    </w:p>
    <w:p w14:paraId="779C365F" w14:textId="77777777" w:rsidR="00F46D9E" w:rsidRPr="00C769E6" w:rsidRDefault="00F46D9E" w:rsidP="00C769E6">
      <w:pPr>
        <w:spacing w:line="276" w:lineRule="auto"/>
        <w:ind w:firstLine="0"/>
        <w:rPr>
          <w:rFonts w:ascii="Bookman Old Style" w:hAnsi="Bookman Old Style"/>
          <w:iCs/>
        </w:rPr>
      </w:pPr>
      <w:r w:rsidRPr="00C769E6">
        <w:rPr>
          <w:rFonts w:ascii="Bookman Old Style" w:hAnsi="Bookman Old Style"/>
          <w:iCs/>
        </w:rPr>
        <w:t>Notifíquese y Cúmplase</w:t>
      </w:r>
    </w:p>
    <w:p w14:paraId="3EDEC7FB" w14:textId="77777777" w:rsidR="00F46D9E" w:rsidRPr="00C769E6" w:rsidRDefault="00F46D9E" w:rsidP="00C769E6">
      <w:pPr>
        <w:spacing w:line="276" w:lineRule="auto"/>
        <w:ind w:firstLine="0"/>
        <w:rPr>
          <w:rFonts w:ascii="Bookman Old Style" w:hAnsi="Bookman Old Style"/>
          <w:iCs/>
        </w:rPr>
      </w:pPr>
    </w:p>
    <w:p w14:paraId="03AAD090" w14:textId="7F6E93F3" w:rsidR="00F46D9E" w:rsidRPr="00C769E6" w:rsidRDefault="00F46D9E" w:rsidP="00C769E6">
      <w:pPr>
        <w:spacing w:line="276" w:lineRule="auto"/>
        <w:ind w:firstLine="0"/>
        <w:rPr>
          <w:rFonts w:ascii="Bookman Old Style" w:hAnsi="Bookman Old Style"/>
          <w:iCs/>
        </w:rPr>
      </w:pPr>
      <w:r w:rsidRPr="00C769E6">
        <w:rPr>
          <w:rFonts w:ascii="Bookman Old Style" w:hAnsi="Bookman Old Style"/>
          <w:iCs/>
        </w:rPr>
        <w:t xml:space="preserve">Los </w:t>
      </w:r>
      <w:r w:rsidR="00C769E6" w:rsidRPr="00C769E6">
        <w:rPr>
          <w:rFonts w:ascii="Bookman Old Style" w:hAnsi="Bookman Old Style"/>
          <w:iCs/>
        </w:rPr>
        <w:t>Magistrados</w:t>
      </w:r>
      <w:r w:rsidRPr="00C769E6">
        <w:rPr>
          <w:rFonts w:ascii="Bookman Old Style" w:hAnsi="Bookman Old Style"/>
          <w:iCs/>
        </w:rPr>
        <w:t>,</w:t>
      </w:r>
    </w:p>
    <w:p w14:paraId="39FB9060" w14:textId="71F02FBD" w:rsidR="00F46D9E" w:rsidRDefault="00F46D9E" w:rsidP="00C769E6">
      <w:pPr>
        <w:spacing w:line="276" w:lineRule="auto"/>
        <w:ind w:firstLine="0"/>
        <w:rPr>
          <w:rFonts w:ascii="Bookman Old Style" w:hAnsi="Bookman Old Style"/>
          <w:iCs/>
        </w:rPr>
      </w:pPr>
    </w:p>
    <w:p w14:paraId="26645D06" w14:textId="1D881A24" w:rsidR="00C769E6" w:rsidRDefault="00C769E6" w:rsidP="00C769E6">
      <w:pPr>
        <w:spacing w:line="276" w:lineRule="auto"/>
        <w:ind w:firstLine="0"/>
        <w:rPr>
          <w:rFonts w:ascii="Bookman Old Style" w:hAnsi="Bookman Old Style"/>
          <w:iCs/>
        </w:rPr>
      </w:pPr>
    </w:p>
    <w:p w14:paraId="095F9A84" w14:textId="77777777" w:rsidR="004C2ECB" w:rsidRPr="00C769E6" w:rsidRDefault="004C2ECB" w:rsidP="00C769E6">
      <w:pPr>
        <w:spacing w:line="276" w:lineRule="auto"/>
        <w:ind w:firstLine="0"/>
        <w:rPr>
          <w:rFonts w:ascii="Bookman Old Style" w:hAnsi="Bookman Old Style"/>
          <w:iCs/>
        </w:rPr>
      </w:pPr>
    </w:p>
    <w:p w14:paraId="02DE7D0F" w14:textId="77777777" w:rsidR="00F46D9E" w:rsidRPr="00C769E6" w:rsidRDefault="00F46D9E" w:rsidP="00C769E6">
      <w:pPr>
        <w:spacing w:line="276" w:lineRule="auto"/>
        <w:ind w:firstLine="0"/>
        <w:jc w:val="center"/>
        <w:rPr>
          <w:rFonts w:ascii="Bookman Old Style" w:hAnsi="Bookman Old Style"/>
          <w:b/>
          <w:iCs/>
        </w:rPr>
      </w:pPr>
      <w:r w:rsidRPr="00C769E6">
        <w:rPr>
          <w:rFonts w:ascii="Bookman Old Style" w:hAnsi="Bookman Old Style"/>
          <w:b/>
          <w:iCs/>
        </w:rPr>
        <w:t>GERMÁN DARÍO GÓEZ VINASCO</w:t>
      </w:r>
    </w:p>
    <w:p w14:paraId="2C70552F" w14:textId="77777777" w:rsidR="00F46D9E" w:rsidRPr="00C769E6" w:rsidRDefault="00F46D9E" w:rsidP="00C769E6">
      <w:pPr>
        <w:spacing w:line="276" w:lineRule="auto"/>
        <w:ind w:firstLine="0"/>
        <w:jc w:val="center"/>
        <w:rPr>
          <w:rFonts w:ascii="Bookman Old Style" w:hAnsi="Bookman Old Style"/>
          <w:iCs/>
        </w:rPr>
      </w:pPr>
      <w:r w:rsidRPr="00C769E6">
        <w:rPr>
          <w:rFonts w:ascii="Bookman Old Style" w:hAnsi="Bookman Old Style"/>
          <w:iCs/>
        </w:rPr>
        <w:t>Magistrado ponente</w:t>
      </w:r>
    </w:p>
    <w:p w14:paraId="1FFC8FCD" w14:textId="3A3B010A" w:rsidR="00F46D9E" w:rsidRDefault="00F46D9E" w:rsidP="00C769E6">
      <w:pPr>
        <w:spacing w:line="276" w:lineRule="auto"/>
        <w:ind w:firstLine="0"/>
        <w:rPr>
          <w:rFonts w:ascii="Bookman Old Style" w:hAnsi="Bookman Old Style"/>
          <w:iCs/>
        </w:rPr>
      </w:pPr>
    </w:p>
    <w:p w14:paraId="04A3B4E7" w14:textId="5A7CE121" w:rsidR="00C769E6" w:rsidRDefault="00C769E6" w:rsidP="00C769E6">
      <w:pPr>
        <w:spacing w:line="276" w:lineRule="auto"/>
        <w:ind w:firstLine="0"/>
        <w:rPr>
          <w:rFonts w:ascii="Bookman Old Style" w:hAnsi="Bookman Old Style"/>
          <w:iCs/>
        </w:rPr>
      </w:pPr>
    </w:p>
    <w:p w14:paraId="03D582C3" w14:textId="77777777" w:rsidR="004C2ECB" w:rsidRPr="00C769E6" w:rsidRDefault="004C2ECB" w:rsidP="00C769E6">
      <w:pPr>
        <w:spacing w:line="276" w:lineRule="auto"/>
        <w:ind w:firstLine="0"/>
        <w:rPr>
          <w:rFonts w:ascii="Bookman Old Style" w:hAnsi="Bookman Old Style"/>
          <w:iCs/>
        </w:rPr>
      </w:pPr>
    </w:p>
    <w:p w14:paraId="3725756E" w14:textId="77777777" w:rsidR="00F46D9E" w:rsidRPr="00C769E6" w:rsidRDefault="00F46D9E" w:rsidP="00C769E6">
      <w:pPr>
        <w:spacing w:line="276" w:lineRule="auto"/>
        <w:ind w:firstLine="0"/>
        <w:jc w:val="center"/>
        <w:rPr>
          <w:rFonts w:ascii="Bookman Old Style" w:hAnsi="Bookman Old Style"/>
          <w:b/>
          <w:iCs/>
        </w:rPr>
      </w:pPr>
      <w:r w:rsidRPr="00C769E6">
        <w:rPr>
          <w:rFonts w:ascii="Bookman Old Style" w:hAnsi="Bookman Old Style"/>
          <w:b/>
          <w:iCs/>
        </w:rPr>
        <w:t>OLGA LUCIA HOYOS SEPÚLVEDA</w:t>
      </w:r>
    </w:p>
    <w:p w14:paraId="3316BB27" w14:textId="613DB9AD" w:rsidR="00F46D9E" w:rsidRPr="00C769E6" w:rsidRDefault="00F46D9E" w:rsidP="00C769E6">
      <w:pPr>
        <w:spacing w:line="276" w:lineRule="auto"/>
        <w:ind w:firstLine="0"/>
        <w:jc w:val="center"/>
        <w:rPr>
          <w:rFonts w:ascii="Bookman Old Style" w:hAnsi="Bookman Old Style"/>
          <w:iCs/>
        </w:rPr>
      </w:pPr>
      <w:r w:rsidRPr="00C769E6">
        <w:rPr>
          <w:rFonts w:ascii="Bookman Old Style" w:hAnsi="Bookman Old Style"/>
          <w:iCs/>
        </w:rPr>
        <w:t>Magistrada</w:t>
      </w:r>
    </w:p>
    <w:p w14:paraId="0A1697DF" w14:textId="07D76512" w:rsidR="00F46D9E" w:rsidRDefault="00F46D9E" w:rsidP="00C769E6">
      <w:pPr>
        <w:spacing w:line="276" w:lineRule="auto"/>
        <w:ind w:firstLine="0"/>
        <w:rPr>
          <w:rFonts w:ascii="Bookman Old Style" w:hAnsi="Bookman Old Style"/>
          <w:iCs/>
        </w:rPr>
      </w:pPr>
    </w:p>
    <w:p w14:paraId="6D4D1C2F" w14:textId="77777777" w:rsidR="004C2ECB" w:rsidRPr="00C769E6" w:rsidRDefault="004C2ECB" w:rsidP="00C769E6">
      <w:pPr>
        <w:spacing w:line="276" w:lineRule="auto"/>
        <w:ind w:firstLine="0"/>
        <w:rPr>
          <w:rFonts w:ascii="Bookman Old Style" w:hAnsi="Bookman Old Style"/>
          <w:iCs/>
        </w:rPr>
      </w:pPr>
    </w:p>
    <w:p w14:paraId="1FCCEB2E" w14:textId="77777777" w:rsidR="00F46D9E" w:rsidRPr="00C769E6" w:rsidRDefault="00F46D9E" w:rsidP="00C769E6">
      <w:pPr>
        <w:spacing w:line="276" w:lineRule="auto"/>
        <w:ind w:firstLine="0"/>
        <w:rPr>
          <w:rFonts w:ascii="Bookman Old Style" w:hAnsi="Bookman Old Style"/>
          <w:iCs/>
        </w:rPr>
      </w:pPr>
    </w:p>
    <w:p w14:paraId="1366FAC9" w14:textId="77777777" w:rsidR="00F46D9E" w:rsidRPr="00C769E6" w:rsidRDefault="00F46D9E" w:rsidP="00C769E6">
      <w:pPr>
        <w:spacing w:line="276" w:lineRule="auto"/>
        <w:ind w:firstLine="0"/>
        <w:jc w:val="center"/>
        <w:rPr>
          <w:rFonts w:ascii="Bookman Old Style" w:hAnsi="Bookman Old Style"/>
          <w:b/>
          <w:iCs/>
        </w:rPr>
      </w:pPr>
      <w:r w:rsidRPr="00C769E6">
        <w:rPr>
          <w:rFonts w:ascii="Bookman Old Style" w:hAnsi="Bookman Old Style"/>
          <w:b/>
          <w:iCs/>
        </w:rPr>
        <w:t>JULIO CÉSAR SALAZAR MUÑOZ</w:t>
      </w:r>
    </w:p>
    <w:p w14:paraId="5E0C84C6" w14:textId="2BF9FD1E" w:rsidR="00B013C2" w:rsidRPr="00C769E6" w:rsidRDefault="00F46D9E" w:rsidP="00C769E6">
      <w:pPr>
        <w:spacing w:line="276" w:lineRule="auto"/>
        <w:ind w:firstLine="0"/>
        <w:jc w:val="center"/>
        <w:rPr>
          <w:rFonts w:ascii="Bookman Old Style" w:hAnsi="Bookman Old Style"/>
          <w:iCs/>
        </w:rPr>
      </w:pPr>
      <w:r w:rsidRPr="00C769E6">
        <w:rPr>
          <w:rFonts w:ascii="Bookman Old Style" w:hAnsi="Bookman Old Style"/>
          <w:iCs/>
        </w:rPr>
        <w:t>Magistrado</w:t>
      </w:r>
    </w:p>
    <w:sectPr w:rsidR="00B013C2" w:rsidRPr="00C769E6" w:rsidSect="00C769E6">
      <w:headerReference w:type="default" r:id="rId12"/>
      <w:footerReference w:type="default" r:id="rId13"/>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A7DDA7" w16cex:dateUtc="2023-10-17T21:10:46.863Z"/>
  <w16cex:commentExtensible w16cex:durableId="68746DEC" w16cex:dateUtc="2023-10-18T12:38:55.412Z"/>
</w16cex:commentsExtensible>
</file>

<file path=word/commentsIds.xml><?xml version="1.0" encoding="utf-8"?>
<w16cid:commentsIds xmlns:mc="http://schemas.openxmlformats.org/markup-compatibility/2006" xmlns:w16cid="http://schemas.microsoft.com/office/word/2016/wordml/cid" mc:Ignorable="w16cid">
  <w16cid:commentId w16cid:paraId="625E6C12" w16cid:durableId="20A7DDA7"/>
  <w16cid:commentId w16cid:paraId="4BE8D1D0" w16cid:durableId="68746D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6E582" w14:textId="77777777" w:rsidR="003A3565" w:rsidRDefault="003A3565" w:rsidP="00041229">
      <w:pPr>
        <w:spacing w:line="240" w:lineRule="auto"/>
      </w:pPr>
      <w:r>
        <w:separator/>
      </w:r>
    </w:p>
  </w:endnote>
  <w:endnote w:type="continuationSeparator" w:id="0">
    <w:p w14:paraId="78015241" w14:textId="77777777" w:rsidR="003A3565" w:rsidRDefault="003A3565" w:rsidP="00041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8DE2" w14:textId="3327DD0E" w:rsidR="00BD257E" w:rsidRPr="006E39CC" w:rsidRDefault="00BD257E" w:rsidP="00B00E8D">
    <w:pPr>
      <w:pStyle w:val="Encabezado"/>
      <w:pBdr>
        <w:top w:val="double" w:sz="4" w:space="1" w:color="196354" w:themeColor="accent5" w:themeShade="80"/>
      </w:pBdr>
      <w:ind w:left="1560" w:right="1750"/>
      <w:jc w:val="center"/>
      <w:rPr>
        <w:rFonts w:eastAsia="Dotum" w:cs="Tahoma"/>
        <w:bCs/>
        <w:sz w:val="18"/>
        <w:szCs w:val="18"/>
        <w:lang w:eastAsia="es-ES"/>
      </w:rPr>
    </w:pPr>
    <w:r w:rsidRPr="006E39CC">
      <w:rPr>
        <w:rFonts w:eastAsia="Dotum" w:cs="Tahoma"/>
        <w:bCs/>
        <w:sz w:val="18"/>
        <w:szCs w:val="18"/>
        <w:lang w:val="es-ES" w:eastAsia="es-ES"/>
      </w:rPr>
      <w:t xml:space="preserve">Página </w:t>
    </w:r>
    <w:r w:rsidRPr="006E39CC">
      <w:rPr>
        <w:rFonts w:eastAsia="Dotum" w:cs="Tahoma"/>
        <w:bCs/>
        <w:sz w:val="18"/>
        <w:szCs w:val="18"/>
        <w:lang w:eastAsia="es-ES"/>
      </w:rPr>
      <w:fldChar w:fldCharType="begin"/>
    </w:r>
    <w:r w:rsidRPr="006E39CC">
      <w:rPr>
        <w:rFonts w:eastAsia="Dotum" w:cs="Tahoma"/>
        <w:bCs/>
        <w:sz w:val="18"/>
        <w:szCs w:val="18"/>
        <w:lang w:eastAsia="es-ES"/>
      </w:rPr>
      <w:instrText>PAGE  \* Arabic  \* MERGEFORMAT</w:instrText>
    </w:r>
    <w:r w:rsidRPr="006E39CC">
      <w:rPr>
        <w:rFonts w:eastAsia="Dotum" w:cs="Tahoma"/>
        <w:bCs/>
        <w:sz w:val="18"/>
        <w:szCs w:val="18"/>
        <w:lang w:eastAsia="es-ES"/>
      </w:rPr>
      <w:fldChar w:fldCharType="separate"/>
    </w:r>
    <w:r w:rsidR="00192E82">
      <w:rPr>
        <w:rFonts w:eastAsia="Dotum" w:cs="Tahoma"/>
        <w:bCs/>
        <w:noProof/>
        <w:sz w:val="18"/>
        <w:szCs w:val="18"/>
        <w:lang w:eastAsia="es-ES"/>
      </w:rPr>
      <w:t>12</w:t>
    </w:r>
    <w:r w:rsidRPr="006E39CC">
      <w:rPr>
        <w:rFonts w:eastAsia="Dotum" w:cs="Tahoma"/>
        <w:bCs/>
        <w:sz w:val="18"/>
        <w:szCs w:val="18"/>
        <w:lang w:eastAsia="es-ES"/>
      </w:rPr>
      <w:fldChar w:fldCharType="end"/>
    </w:r>
    <w:r w:rsidRPr="006E39CC">
      <w:rPr>
        <w:rFonts w:eastAsia="Dotum" w:cs="Tahoma"/>
        <w:bCs/>
        <w:sz w:val="18"/>
        <w:szCs w:val="18"/>
        <w:lang w:val="es-ES" w:eastAsia="es-ES"/>
      </w:rPr>
      <w:t xml:space="preserve"> de </w:t>
    </w:r>
    <w:r w:rsidRPr="006E39CC">
      <w:rPr>
        <w:rFonts w:eastAsia="Dotum" w:cs="Tahoma"/>
        <w:bCs/>
        <w:sz w:val="18"/>
        <w:szCs w:val="18"/>
        <w:lang w:eastAsia="es-ES"/>
      </w:rPr>
      <w:fldChar w:fldCharType="begin"/>
    </w:r>
    <w:r w:rsidRPr="006E39CC">
      <w:rPr>
        <w:rFonts w:eastAsia="Dotum" w:cs="Tahoma"/>
        <w:bCs/>
        <w:sz w:val="18"/>
        <w:szCs w:val="18"/>
        <w:lang w:eastAsia="es-ES"/>
      </w:rPr>
      <w:instrText>NUMPAGES  \* Arabic  \* MERGEFORMAT</w:instrText>
    </w:r>
    <w:r w:rsidRPr="006E39CC">
      <w:rPr>
        <w:rFonts w:eastAsia="Dotum" w:cs="Tahoma"/>
        <w:bCs/>
        <w:sz w:val="18"/>
        <w:szCs w:val="18"/>
        <w:lang w:eastAsia="es-ES"/>
      </w:rPr>
      <w:fldChar w:fldCharType="separate"/>
    </w:r>
    <w:r w:rsidR="00192E82">
      <w:rPr>
        <w:rFonts w:eastAsia="Dotum" w:cs="Tahoma"/>
        <w:bCs/>
        <w:noProof/>
        <w:sz w:val="18"/>
        <w:szCs w:val="18"/>
        <w:lang w:eastAsia="es-ES"/>
      </w:rPr>
      <w:t>12</w:t>
    </w:r>
    <w:r w:rsidRPr="006E39CC">
      <w:rPr>
        <w:rFonts w:eastAsia="Dotum" w:cs="Tahoma"/>
        <w:bCs/>
        <w:sz w:val="18"/>
        <w:szCs w:val="18"/>
        <w:lang w:eastAsia="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6118" w14:textId="77777777" w:rsidR="003A3565" w:rsidRDefault="003A3565" w:rsidP="00041229">
      <w:pPr>
        <w:spacing w:line="240" w:lineRule="auto"/>
      </w:pPr>
      <w:r>
        <w:separator/>
      </w:r>
    </w:p>
  </w:footnote>
  <w:footnote w:type="continuationSeparator" w:id="0">
    <w:p w14:paraId="72D8E31E" w14:textId="77777777" w:rsidR="003A3565" w:rsidRDefault="003A3565" w:rsidP="00041229">
      <w:pPr>
        <w:spacing w:line="240" w:lineRule="auto"/>
      </w:pPr>
      <w:r>
        <w:continuationSeparator/>
      </w:r>
    </w:p>
  </w:footnote>
  <w:footnote w:id="1">
    <w:p w14:paraId="09994023" w14:textId="5A7D4957" w:rsidR="00BD257E" w:rsidRDefault="00BD257E">
      <w:pPr>
        <w:pStyle w:val="Textonotapie"/>
      </w:pPr>
      <w:r>
        <w:rPr>
          <w:rStyle w:val="Refdenotaalpie"/>
        </w:rPr>
        <w:footnoteRef/>
      </w:r>
      <w:r>
        <w:t xml:space="preserve"> Archivo 12, cuaderno de primera instancia.</w:t>
      </w:r>
    </w:p>
  </w:footnote>
  <w:footnote w:id="2">
    <w:p w14:paraId="720E037F" w14:textId="4B93FF23" w:rsidR="00BD257E" w:rsidRDefault="00BD257E">
      <w:pPr>
        <w:pStyle w:val="Textonotapie"/>
      </w:pPr>
      <w:r>
        <w:rPr>
          <w:rStyle w:val="Refdenotaalpie"/>
        </w:rPr>
        <w:footnoteRef/>
      </w:r>
      <w:r>
        <w:t xml:space="preserve"> 22 años y 2 meses.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AC6C" w14:textId="3EE72AA1" w:rsidR="00BD257E" w:rsidRPr="006E39CC" w:rsidRDefault="00BD257E" w:rsidP="006E39CC">
    <w:pPr>
      <w:pStyle w:val="Encabezado"/>
      <w:ind w:firstLine="0"/>
      <w:jc w:val="center"/>
      <w:rPr>
        <w:rFonts w:eastAsia="Dotum"/>
        <w:bCs/>
        <w:sz w:val="18"/>
        <w:szCs w:val="18"/>
        <w:lang w:eastAsia="es-ES"/>
      </w:rPr>
    </w:pPr>
    <w:r w:rsidRPr="006E39CC">
      <w:rPr>
        <w:rFonts w:eastAsia="Dotum"/>
        <w:bCs/>
        <w:sz w:val="18"/>
        <w:szCs w:val="18"/>
        <w:lang w:eastAsia="es-ES"/>
      </w:rPr>
      <w:t xml:space="preserve">Luceny Pimienta Alzate </w:t>
    </w:r>
    <w:r w:rsidRPr="006E39CC">
      <w:rPr>
        <w:rFonts w:eastAsia="Dotum"/>
        <w:sz w:val="18"/>
        <w:szCs w:val="18"/>
        <w:lang w:eastAsia="es-ES"/>
      </w:rPr>
      <w:t xml:space="preserve">vs </w:t>
    </w:r>
    <w:r w:rsidRPr="006E39CC">
      <w:rPr>
        <w:rFonts w:eastAsia="Dotum"/>
        <w:bCs/>
        <w:sz w:val="18"/>
        <w:szCs w:val="18"/>
        <w:lang w:eastAsia="es-ES"/>
      </w:rPr>
      <w:t>UGPP.</w:t>
    </w:r>
  </w:p>
  <w:p w14:paraId="05664144" w14:textId="62C6BA23" w:rsidR="00BD257E" w:rsidRPr="006E39CC" w:rsidRDefault="00BD257E" w:rsidP="006E39CC">
    <w:pPr>
      <w:pStyle w:val="Encabezado"/>
      <w:pBdr>
        <w:bottom w:val="double" w:sz="4" w:space="1" w:color="196354" w:themeColor="accent5" w:themeShade="80"/>
      </w:pBdr>
      <w:ind w:left="2410" w:right="2458" w:firstLine="0"/>
      <w:jc w:val="center"/>
    </w:pPr>
    <w:r w:rsidRPr="006E39CC">
      <w:rPr>
        <w:rFonts w:eastAsia="Dotum"/>
        <w:sz w:val="18"/>
        <w:szCs w:val="18"/>
        <w:lang w:eastAsia="es-ES"/>
      </w:rPr>
      <w:t>Radicado</w:t>
    </w:r>
    <w:r w:rsidRPr="006E39CC">
      <w:rPr>
        <w:rFonts w:eastAsia="Dotum"/>
        <w:bCs/>
        <w:sz w:val="18"/>
        <w:szCs w:val="18"/>
        <w:lang w:eastAsia="es-ES"/>
      </w:rPr>
      <w:t>: 66001310500320210001101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510"/>
    <w:multiLevelType w:val="hybridMultilevel"/>
    <w:tmpl w:val="8A569C0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13098D"/>
    <w:multiLevelType w:val="hybridMultilevel"/>
    <w:tmpl w:val="78220B78"/>
    <w:lvl w:ilvl="0" w:tplc="240A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3DFD476D"/>
    <w:multiLevelType w:val="hybridMultilevel"/>
    <w:tmpl w:val="9E5E1BA4"/>
    <w:lvl w:ilvl="0" w:tplc="26C6DED8">
      <w:start w:val="22"/>
      <w:numFmt w:val="bullet"/>
      <w:lvlText w:val="-"/>
      <w:lvlJc w:val="left"/>
      <w:pPr>
        <w:ind w:left="360" w:hanging="360"/>
      </w:pPr>
      <w:rPr>
        <w:rFonts w:ascii="Arial" w:eastAsia="Segoe UI" w:hAnsi="Arial" w:cs="Arial" w:hint="default"/>
        <w:color w:val="32313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7A7C3CCC"/>
    <w:multiLevelType w:val="hybridMultilevel"/>
    <w:tmpl w:val="4C048D3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7"/>
  </w:num>
  <w:num w:numId="6">
    <w:abstractNumId w:val="7"/>
  </w:num>
  <w:num w:numId="7">
    <w:abstractNumId w:val="7"/>
  </w:num>
  <w:num w:numId="8">
    <w:abstractNumId w:val="7"/>
  </w:num>
  <w:num w:numId="9">
    <w:abstractNumId w:val="6"/>
  </w:num>
  <w:num w:numId="10">
    <w:abstractNumId w:val="4"/>
  </w:num>
  <w:num w:numId="11">
    <w:abstractNumId w:val="8"/>
  </w:num>
  <w:num w:numId="12">
    <w:abstractNumId w:val="3"/>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E1"/>
    <w:rsid w:val="00004144"/>
    <w:rsid w:val="00012106"/>
    <w:rsid w:val="000212BC"/>
    <w:rsid w:val="00022549"/>
    <w:rsid w:val="000256EA"/>
    <w:rsid w:val="00025AD7"/>
    <w:rsid w:val="00026ACE"/>
    <w:rsid w:val="00030381"/>
    <w:rsid w:val="00041229"/>
    <w:rsid w:val="00044F87"/>
    <w:rsid w:val="00050310"/>
    <w:rsid w:val="00060555"/>
    <w:rsid w:val="000712F0"/>
    <w:rsid w:val="00081403"/>
    <w:rsid w:val="00083A94"/>
    <w:rsid w:val="000916C9"/>
    <w:rsid w:val="00097C6D"/>
    <w:rsid w:val="000B2863"/>
    <w:rsid w:val="000D3D7A"/>
    <w:rsid w:val="000D521E"/>
    <w:rsid w:val="000F5C03"/>
    <w:rsid w:val="00120CEA"/>
    <w:rsid w:val="00124C37"/>
    <w:rsid w:val="00127C07"/>
    <w:rsid w:val="001363CA"/>
    <w:rsid w:val="00145710"/>
    <w:rsid w:val="00182BEE"/>
    <w:rsid w:val="00192E82"/>
    <w:rsid w:val="001B3557"/>
    <w:rsid w:val="001D6565"/>
    <w:rsid w:val="001E711D"/>
    <w:rsid w:val="001E789A"/>
    <w:rsid w:val="001F029E"/>
    <w:rsid w:val="00200B9A"/>
    <w:rsid w:val="00200DE0"/>
    <w:rsid w:val="002014E0"/>
    <w:rsid w:val="002033E6"/>
    <w:rsid w:val="00205565"/>
    <w:rsid w:val="00206CC9"/>
    <w:rsid w:val="00223BE4"/>
    <w:rsid w:val="00237728"/>
    <w:rsid w:val="00252792"/>
    <w:rsid w:val="0025787D"/>
    <w:rsid w:val="00265864"/>
    <w:rsid w:val="00273722"/>
    <w:rsid w:val="00286B27"/>
    <w:rsid w:val="00296BC7"/>
    <w:rsid w:val="002A612E"/>
    <w:rsid w:val="002B0FD5"/>
    <w:rsid w:val="002C05B8"/>
    <w:rsid w:val="002C33E9"/>
    <w:rsid w:val="002C4C83"/>
    <w:rsid w:val="002C6A8C"/>
    <w:rsid w:val="002E0B67"/>
    <w:rsid w:val="002F029D"/>
    <w:rsid w:val="002F4304"/>
    <w:rsid w:val="002F4A2E"/>
    <w:rsid w:val="002F5B9F"/>
    <w:rsid w:val="00302993"/>
    <w:rsid w:val="00307FAB"/>
    <w:rsid w:val="003164D9"/>
    <w:rsid w:val="00330548"/>
    <w:rsid w:val="00330A73"/>
    <w:rsid w:val="00352A82"/>
    <w:rsid w:val="0036119E"/>
    <w:rsid w:val="00372218"/>
    <w:rsid w:val="00383AF9"/>
    <w:rsid w:val="003A3565"/>
    <w:rsid w:val="003B6D5F"/>
    <w:rsid w:val="003E0AAD"/>
    <w:rsid w:val="00407D9C"/>
    <w:rsid w:val="00411FEE"/>
    <w:rsid w:val="004301E7"/>
    <w:rsid w:val="004C2ECB"/>
    <w:rsid w:val="004D36A1"/>
    <w:rsid w:val="00503889"/>
    <w:rsid w:val="00517552"/>
    <w:rsid w:val="00523D1F"/>
    <w:rsid w:val="00527EB1"/>
    <w:rsid w:val="00533888"/>
    <w:rsid w:val="0055254B"/>
    <w:rsid w:val="005537AD"/>
    <w:rsid w:val="005655B4"/>
    <w:rsid w:val="00586320"/>
    <w:rsid w:val="00590223"/>
    <w:rsid w:val="005915B0"/>
    <w:rsid w:val="005B0390"/>
    <w:rsid w:val="005B5103"/>
    <w:rsid w:val="005C7742"/>
    <w:rsid w:val="005E3E07"/>
    <w:rsid w:val="005F23E4"/>
    <w:rsid w:val="005F2E6C"/>
    <w:rsid w:val="005F6E26"/>
    <w:rsid w:val="00600D0A"/>
    <w:rsid w:val="00605C49"/>
    <w:rsid w:val="00620DA3"/>
    <w:rsid w:val="006420BB"/>
    <w:rsid w:val="0064258E"/>
    <w:rsid w:val="00665265"/>
    <w:rsid w:val="006653AF"/>
    <w:rsid w:val="006706CB"/>
    <w:rsid w:val="00673EDA"/>
    <w:rsid w:val="00692A34"/>
    <w:rsid w:val="00694ABB"/>
    <w:rsid w:val="006C0902"/>
    <w:rsid w:val="006C4FAC"/>
    <w:rsid w:val="006E1041"/>
    <w:rsid w:val="006E39CC"/>
    <w:rsid w:val="006F51A0"/>
    <w:rsid w:val="00712537"/>
    <w:rsid w:val="00750217"/>
    <w:rsid w:val="0076221D"/>
    <w:rsid w:val="00781B39"/>
    <w:rsid w:val="00786E6C"/>
    <w:rsid w:val="007871C9"/>
    <w:rsid w:val="007A63E5"/>
    <w:rsid w:val="007A742A"/>
    <w:rsid w:val="007B6441"/>
    <w:rsid w:val="007C1FFB"/>
    <w:rsid w:val="007C6F69"/>
    <w:rsid w:val="007D0BC0"/>
    <w:rsid w:val="007E3CFB"/>
    <w:rsid w:val="007E6F26"/>
    <w:rsid w:val="00831BA4"/>
    <w:rsid w:val="00834A40"/>
    <w:rsid w:val="00850356"/>
    <w:rsid w:val="008548ED"/>
    <w:rsid w:val="00893300"/>
    <w:rsid w:val="008A6634"/>
    <w:rsid w:val="008C1B5A"/>
    <w:rsid w:val="008C5D88"/>
    <w:rsid w:val="008D1EC3"/>
    <w:rsid w:val="008E2294"/>
    <w:rsid w:val="008E29E7"/>
    <w:rsid w:val="009014CA"/>
    <w:rsid w:val="00902A68"/>
    <w:rsid w:val="00907BC3"/>
    <w:rsid w:val="00923F78"/>
    <w:rsid w:val="00927032"/>
    <w:rsid w:val="00940D64"/>
    <w:rsid w:val="00975767"/>
    <w:rsid w:val="009B2E4A"/>
    <w:rsid w:val="009C5CC1"/>
    <w:rsid w:val="00A24873"/>
    <w:rsid w:val="00A332C3"/>
    <w:rsid w:val="00A5609C"/>
    <w:rsid w:val="00A73C0F"/>
    <w:rsid w:val="00A74117"/>
    <w:rsid w:val="00A87AB3"/>
    <w:rsid w:val="00A94AF8"/>
    <w:rsid w:val="00AB69CE"/>
    <w:rsid w:val="00AC2F41"/>
    <w:rsid w:val="00AC5052"/>
    <w:rsid w:val="00AD15C4"/>
    <w:rsid w:val="00AD55EA"/>
    <w:rsid w:val="00B00E8D"/>
    <w:rsid w:val="00B013C2"/>
    <w:rsid w:val="00B027AC"/>
    <w:rsid w:val="00B104AA"/>
    <w:rsid w:val="00B413AF"/>
    <w:rsid w:val="00B64353"/>
    <w:rsid w:val="00B8012D"/>
    <w:rsid w:val="00B96A0C"/>
    <w:rsid w:val="00BA2412"/>
    <w:rsid w:val="00BA257B"/>
    <w:rsid w:val="00BD257E"/>
    <w:rsid w:val="00BE00D9"/>
    <w:rsid w:val="00BE3948"/>
    <w:rsid w:val="00C03F32"/>
    <w:rsid w:val="00C14A03"/>
    <w:rsid w:val="00C1791D"/>
    <w:rsid w:val="00C22981"/>
    <w:rsid w:val="00C24336"/>
    <w:rsid w:val="00C377BA"/>
    <w:rsid w:val="00C4414F"/>
    <w:rsid w:val="00C54714"/>
    <w:rsid w:val="00C55237"/>
    <w:rsid w:val="00C6460A"/>
    <w:rsid w:val="00C66B6A"/>
    <w:rsid w:val="00C70ECE"/>
    <w:rsid w:val="00C711AB"/>
    <w:rsid w:val="00C769E6"/>
    <w:rsid w:val="00C90E3E"/>
    <w:rsid w:val="00CA2559"/>
    <w:rsid w:val="00CB1562"/>
    <w:rsid w:val="00CC032A"/>
    <w:rsid w:val="00CC29CD"/>
    <w:rsid w:val="00CC5962"/>
    <w:rsid w:val="00CD77E1"/>
    <w:rsid w:val="00D0075A"/>
    <w:rsid w:val="00D12187"/>
    <w:rsid w:val="00D1762A"/>
    <w:rsid w:val="00D313A1"/>
    <w:rsid w:val="00D44FF7"/>
    <w:rsid w:val="00D46055"/>
    <w:rsid w:val="00D5635D"/>
    <w:rsid w:val="00D630C6"/>
    <w:rsid w:val="00D820B7"/>
    <w:rsid w:val="00D93BCA"/>
    <w:rsid w:val="00DA60C1"/>
    <w:rsid w:val="00DB1971"/>
    <w:rsid w:val="00DC01D2"/>
    <w:rsid w:val="00DD0840"/>
    <w:rsid w:val="00E35A74"/>
    <w:rsid w:val="00E43020"/>
    <w:rsid w:val="00E434FE"/>
    <w:rsid w:val="00E44599"/>
    <w:rsid w:val="00E648B6"/>
    <w:rsid w:val="00E6678C"/>
    <w:rsid w:val="00E71D29"/>
    <w:rsid w:val="00E84535"/>
    <w:rsid w:val="00E905F0"/>
    <w:rsid w:val="00E91890"/>
    <w:rsid w:val="00EB1DAE"/>
    <w:rsid w:val="00EB3CCB"/>
    <w:rsid w:val="00EB59B1"/>
    <w:rsid w:val="00ED5F1C"/>
    <w:rsid w:val="00EF439F"/>
    <w:rsid w:val="00F04495"/>
    <w:rsid w:val="00F0589E"/>
    <w:rsid w:val="00F1327E"/>
    <w:rsid w:val="00F13E55"/>
    <w:rsid w:val="00F31157"/>
    <w:rsid w:val="00F46D9E"/>
    <w:rsid w:val="00F4720D"/>
    <w:rsid w:val="00F55DC9"/>
    <w:rsid w:val="00F61945"/>
    <w:rsid w:val="00F76B66"/>
    <w:rsid w:val="00F92CC5"/>
    <w:rsid w:val="00F97224"/>
    <w:rsid w:val="00FA701C"/>
    <w:rsid w:val="00FF3AA3"/>
    <w:rsid w:val="010CD70C"/>
    <w:rsid w:val="080DFB85"/>
    <w:rsid w:val="10834667"/>
    <w:rsid w:val="13BAE729"/>
    <w:rsid w:val="1606B27E"/>
    <w:rsid w:val="23CC1F76"/>
    <w:rsid w:val="2A4839FD"/>
    <w:rsid w:val="3B5CE0DC"/>
    <w:rsid w:val="3E81DF23"/>
    <w:rsid w:val="44403843"/>
    <w:rsid w:val="44DFDAA3"/>
    <w:rsid w:val="4FC1739D"/>
    <w:rsid w:val="65273A44"/>
    <w:rsid w:val="67F9B386"/>
    <w:rsid w:val="69A85BFD"/>
    <w:rsid w:val="6C9572C1"/>
    <w:rsid w:val="74ACC5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DDDE"/>
  <w15:chartTrackingRefBased/>
  <w15:docId w15:val="{82B21CAA-081B-4AE1-AB1B-574FC836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1E"/>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rsid w:val="00D0075A"/>
    <w:pPr>
      <w:keepNext/>
      <w:keepLines/>
      <w:numPr>
        <w:numId w:val="10"/>
      </w:numPr>
      <w:spacing w:before="40" w:line="240" w:lineRule="auto"/>
      <w:ind w:left="1429" w:hanging="360"/>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517552"/>
    <w:pPr>
      <w:keepNext/>
      <w:keepLines/>
      <w:spacing w:before="40"/>
      <w:outlineLvl w:val="2"/>
    </w:pPr>
    <w:rPr>
      <w:rFonts w:asciiTheme="majorHAnsi" w:eastAsiaTheme="majorEastAsia" w:hAnsiTheme="majorHAnsi" w:cstheme="majorBidi"/>
      <w:color w:val="711411"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CD77E1"/>
    <w:rPr>
      <w:color w:val="0563C1"/>
      <w:u w:val="single"/>
    </w:rPr>
  </w:style>
  <w:style w:type="table" w:styleId="Tablanormal5">
    <w:name w:val="Plain Table 5"/>
    <w:basedOn w:val="Tablanormal"/>
    <w:uiPriority w:val="45"/>
    <w:rsid w:val="00CD77E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CD77E1"/>
    <w:rPr>
      <w:color w:val="F38B53" w:themeColor="followedHyperlink"/>
      <w:u w:val="single"/>
    </w:rPr>
  </w:style>
  <w:style w:type="character" w:customStyle="1" w:styleId="UnresolvedMention">
    <w:name w:val="Unresolved Mention"/>
    <w:basedOn w:val="Fuentedeprrafopredeter"/>
    <w:uiPriority w:val="99"/>
    <w:semiHidden/>
    <w:unhideWhenUsed/>
    <w:rsid w:val="00081403"/>
    <w:rPr>
      <w:color w:val="605E5C"/>
      <w:shd w:val="clear" w:color="auto" w:fill="E1DFDD"/>
    </w:rPr>
  </w:style>
  <w:style w:type="character" w:styleId="Referenciasutil">
    <w:name w:val="Subtle Reference"/>
    <w:basedOn w:val="Fuentedeprrafopredeter"/>
    <w:uiPriority w:val="31"/>
    <w:qFormat/>
    <w:rsid w:val="00237728"/>
    <w:rPr>
      <w:smallCaps/>
      <w:color w:val="5A5A5A" w:themeColor="text1" w:themeTint="A5"/>
    </w:rPr>
  </w:style>
  <w:style w:type="table" w:styleId="Tablanormal3">
    <w:name w:val="Plain Table 3"/>
    <w:basedOn w:val="Tablanormal"/>
    <w:uiPriority w:val="43"/>
    <w:rsid w:val="00EB1DA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0412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41229"/>
  </w:style>
  <w:style w:type="paragraph" w:styleId="Piedepgina">
    <w:name w:val="footer"/>
    <w:basedOn w:val="Normal"/>
    <w:link w:val="PiedepginaCar"/>
    <w:uiPriority w:val="99"/>
    <w:unhideWhenUsed/>
    <w:rsid w:val="000412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1229"/>
  </w:style>
  <w:style w:type="paragraph" w:styleId="Prrafodelista">
    <w:name w:val="List Paragraph"/>
    <w:basedOn w:val="Normal"/>
    <w:uiPriority w:val="34"/>
    <w:qFormat/>
    <w:rsid w:val="003B6D5F"/>
    <w:pPr>
      <w:ind w:left="720"/>
      <w:contextualSpacing/>
    </w:pPr>
  </w:style>
  <w:style w:type="character" w:customStyle="1" w:styleId="normaltextrun">
    <w:name w:val="normaltextrun"/>
    <w:basedOn w:val="Fuentedeprrafopredeter"/>
    <w:rsid w:val="002C05B8"/>
  </w:style>
  <w:style w:type="paragraph" w:styleId="Textonotapie">
    <w:name w:val="footnote text"/>
    <w:basedOn w:val="Normal"/>
    <w:link w:val="TextonotapieCar"/>
    <w:uiPriority w:val="99"/>
    <w:semiHidden/>
    <w:unhideWhenUsed/>
    <w:rsid w:val="00DD0840"/>
    <w:pPr>
      <w:spacing w:line="240" w:lineRule="auto"/>
    </w:pPr>
    <w:rPr>
      <w:sz w:val="20"/>
      <w:szCs w:val="20"/>
    </w:rPr>
  </w:style>
  <w:style w:type="character" w:customStyle="1" w:styleId="TextonotapieCar">
    <w:name w:val="Texto nota pie Car"/>
    <w:basedOn w:val="Fuentedeprrafopredeter"/>
    <w:link w:val="Textonotapie"/>
    <w:uiPriority w:val="99"/>
    <w:semiHidden/>
    <w:rsid w:val="00DD0840"/>
    <w:rPr>
      <w:sz w:val="20"/>
      <w:szCs w:val="20"/>
    </w:rPr>
  </w:style>
  <w:style w:type="character" w:styleId="Refdenotaalpie">
    <w:name w:val="footnote reference"/>
    <w:basedOn w:val="Fuentedeprrafopredeter"/>
    <w:uiPriority w:val="99"/>
    <w:semiHidden/>
    <w:unhideWhenUsed/>
    <w:rsid w:val="00DD0840"/>
    <w:rPr>
      <w:vertAlign w:val="superscript"/>
    </w:rPr>
  </w:style>
  <w:style w:type="paragraph" w:customStyle="1" w:styleId="Prrafonormal">
    <w:name w:val="Párrafo normal"/>
    <w:basedOn w:val="Normal"/>
    <w:autoRedefine/>
    <w:rsid w:val="00F46D9E"/>
    <w:pPr>
      <w:widowControl w:val="0"/>
      <w:ind w:left="709"/>
    </w:pPr>
    <w:rPr>
      <w:rFonts w:ascii="Bookman Old Style" w:eastAsia="Times New Roman" w:hAnsi="Bookman Old Style" w:cs="Times New Roman"/>
      <w:i/>
      <w:iCs/>
      <w:color w:val="auto"/>
      <w:kern w:val="0"/>
      <w:lang w:val="es-ES" w:eastAsia="es-ES"/>
      <w14:ligatures w14:val="none"/>
    </w:rPr>
  </w:style>
  <w:style w:type="paragraph" w:customStyle="1" w:styleId="Yo">
    <w:name w:val="Yo"/>
    <w:basedOn w:val="Ttulo3"/>
    <w:rsid w:val="00517552"/>
    <w:pPr>
      <w:keepLines w:val="0"/>
      <w:widowControl w:val="0"/>
      <w:numPr>
        <w:numId w:val="13"/>
      </w:numPr>
      <w:tabs>
        <w:tab w:val="clear" w:pos="1080"/>
        <w:tab w:val="left" w:pos="-1440"/>
        <w:tab w:val="left" w:pos="-720"/>
        <w:tab w:val="num" w:pos="360"/>
      </w:tabs>
      <w:suppressAutoHyphens/>
      <w:spacing w:before="0"/>
      <w:ind w:left="720" w:firstLine="0"/>
      <w:jc w:val="center"/>
    </w:pPr>
    <w:rPr>
      <w:rFonts w:ascii="Bookman Old Style" w:eastAsia="Times New Roman" w:hAnsi="Bookman Old Style" w:cs="Estrangelo Edessa"/>
      <w:b/>
      <w:bCs/>
      <w:color w:val="auto"/>
      <w:kern w:val="0"/>
      <w:sz w:val="28"/>
      <w:szCs w:val="28"/>
      <w:lang w:val="es-ES" w:eastAsia="es-ES"/>
      <w14:ligatures w14:val="none"/>
    </w:rPr>
  </w:style>
  <w:style w:type="character" w:customStyle="1" w:styleId="Ttulo3Car">
    <w:name w:val="Título 3 Car"/>
    <w:basedOn w:val="Fuentedeprrafopredeter"/>
    <w:link w:val="Ttulo3"/>
    <w:uiPriority w:val="9"/>
    <w:semiHidden/>
    <w:rsid w:val="00517552"/>
    <w:rPr>
      <w:rFonts w:asciiTheme="majorHAnsi" w:eastAsiaTheme="majorEastAsia" w:hAnsiTheme="majorHAnsi" w:cstheme="majorBidi"/>
      <w:color w:val="711411" w:themeColor="accent1" w:themeShade="7F"/>
    </w:rPr>
  </w:style>
  <w:style w:type="paragraph" w:styleId="NormalWeb">
    <w:name w:val="Normal (Web)"/>
    <w:basedOn w:val="Normal"/>
    <w:uiPriority w:val="99"/>
    <w:semiHidden/>
    <w:unhideWhenUsed/>
    <w:rsid w:val="0036119E"/>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styleId="Textoennegrita">
    <w:name w:val="Strong"/>
    <w:basedOn w:val="Fuentedeprrafopredeter"/>
    <w:uiPriority w:val="22"/>
    <w:qFormat/>
    <w:rsid w:val="0036119E"/>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F5B9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32531">
      <w:bodyDiv w:val="1"/>
      <w:marLeft w:val="0"/>
      <w:marRight w:val="0"/>
      <w:marTop w:val="0"/>
      <w:marBottom w:val="0"/>
      <w:divBdr>
        <w:top w:val="none" w:sz="0" w:space="0" w:color="auto"/>
        <w:left w:val="none" w:sz="0" w:space="0" w:color="auto"/>
        <w:bottom w:val="none" w:sz="0" w:space="0" w:color="auto"/>
        <w:right w:val="none" w:sz="0" w:space="0" w:color="auto"/>
      </w:divBdr>
    </w:div>
    <w:div w:id="1770005962">
      <w:bodyDiv w:val="1"/>
      <w:marLeft w:val="0"/>
      <w:marRight w:val="0"/>
      <w:marTop w:val="0"/>
      <w:marBottom w:val="0"/>
      <w:divBdr>
        <w:top w:val="none" w:sz="0" w:space="0" w:color="auto"/>
        <w:left w:val="none" w:sz="0" w:space="0" w:color="auto"/>
        <w:bottom w:val="none" w:sz="0" w:space="0" w:color="auto"/>
        <w:right w:val="none" w:sz="0" w:space="0" w:color="auto"/>
      </w:divBdr>
    </w:div>
    <w:div w:id="1911041761">
      <w:bodyDiv w:val="1"/>
      <w:marLeft w:val="0"/>
      <w:marRight w:val="0"/>
      <w:marTop w:val="0"/>
      <w:marBottom w:val="0"/>
      <w:divBdr>
        <w:top w:val="none" w:sz="0" w:space="0" w:color="auto"/>
        <w:left w:val="none" w:sz="0" w:space="0" w:color="auto"/>
        <w:bottom w:val="none" w:sz="0" w:space="0" w:color="auto"/>
        <w:right w:val="none" w:sz="0" w:space="0" w:color="auto"/>
      </w:divBdr>
    </w:div>
    <w:div w:id="20019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8aff75d7898248b9"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c700814b38b7415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99B1-44DF-4781-AAA7-D8B3AEC3C7B2}">
  <ds:schemaRefs>
    <ds:schemaRef ds:uri="http://schemas.microsoft.com/sharepoint/v3/contenttype/forms"/>
  </ds:schemaRefs>
</ds:datastoreItem>
</file>

<file path=customXml/itemProps2.xml><?xml version="1.0" encoding="utf-8"?>
<ds:datastoreItem xmlns:ds="http://schemas.openxmlformats.org/officeDocument/2006/customXml" ds:itemID="{1B6D5F7C-A9C1-45FC-A01B-A841FB70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46644-1BEB-4122-A369-B25F3D638A7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72B20290-9B5A-4FCF-A02F-3AB13367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4678</Words>
  <Characters>26667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2023-10-20T13:17:00Z</dcterms:created>
  <dcterms:modified xsi:type="dcterms:W3CDTF">2023-11-22T20:35:00Z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