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E954" w14:textId="3224C8DF" w:rsidR="005C51B9" w:rsidRPr="00A7208A" w:rsidRDefault="00A7208A" w:rsidP="005C51B9">
      <w:pPr>
        <w:widowControl w:val="0"/>
        <w:autoSpaceDE w:val="0"/>
        <w:autoSpaceDN w:val="0"/>
        <w:adjustRightInd w:val="0"/>
        <w:jc w:val="both"/>
        <w:rPr>
          <w:rFonts w:ascii="Arial" w:hAnsi="Arial" w:cs="Arial"/>
          <w:b/>
          <w:bCs/>
          <w:sz w:val="20"/>
          <w:szCs w:val="20"/>
        </w:rPr>
      </w:pPr>
      <w:r w:rsidRPr="00A7208A">
        <w:rPr>
          <w:rFonts w:ascii="Arial" w:hAnsi="Arial" w:cs="Arial"/>
          <w:b/>
          <w:bCs/>
          <w:sz w:val="20"/>
          <w:szCs w:val="20"/>
        </w:rPr>
        <w:t>DEBIDO PROCESO / TUTELA CONTRA DECISIONES JUDICIALES / PROCEDENCIA EXCEPCIONAL / VÍAS DE HECHO</w:t>
      </w:r>
    </w:p>
    <w:p w14:paraId="07BAFB5C" w14:textId="5A2F67BD" w:rsidR="005C51B9" w:rsidRPr="005C51B9" w:rsidRDefault="00DC2A4D" w:rsidP="005C51B9">
      <w:pPr>
        <w:widowControl w:val="0"/>
        <w:autoSpaceDE w:val="0"/>
        <w:autoSpaceDN w:val="0"/>
        <w:adjustRightInd w:val="0"/>
        <w:jc w:val="both"/>
        <w:rPr>
          <w:rFonts w:ascii="Arial" w:hAnsi="Arial" w:cs="Arial"/>
          <w:bCs/>
          <w:sz w:val="20"/>
          <w:szCs w:val="20"/>
        </w:rPr>
      </w:pPr>
      <w:r w:rsidRPr="00DC2A4D">
        <w:rPr>
          <w:rFonts w:ascii="Arial" w:hAnsi="Arial" w:cs="Arial"/>
          <w:bCs/>
          <w:sz w:val="20"/>
          <w:szCs w:val="20"/>
        </w:rPr>
        <w:t>Para resolver el interrogante es necesario tener en cuenta que desde la entrada en vigencia de la Constitución de 1991 se ha decantado por la jurisprudencia constitucional, respecto a la procedencia de la acción de tutela contra providencias judiciales, que ésta resulta viable en todos aquellos casos en los que la actuación de la autoridad judicial carezca de fundamento objetivo y sus decisiones sean el producto de una actitud arbitraria y caprichosa, que traiga como consecuencia la vulneración de derechos fundamentales de las personas.</w:t>
      </w:r>
      <w:r>
        <w:rPr>
          <w:rFonts w:ascii="Arial" w:hAnsi="Arial" w:cs="Arial"/>
          <w:bCs/>
          <w:sz w:val="20"/>
          <w:szCs w:val="20"/>
        </w:rPr>
        <w:t xml:space="preserve"> </w:t>
      </w:r>
      <w:r w:rsidRPr="00DC2A4D">
        <w:rPr>
          <w:rFonts w:ascii="Arial" w:hAnsi="Arial" w:cs="Arial"/>
          <w:bCs/>
          <w:sz w:val="20"/>
          <w:szCs w:val="20"/>
        </w:rPr>
        <w:t>La teoría de las, inicialmente denominadas "vías de hecho", que abre el paso a la tutela contra providencias judiciales, las caracterizó como decisiones contrarias a la Constitución y a la Ley</w:t>
      </w:r>
      <w:r>
        <w:rPr>
          <w:rFonts w:ascii="Arial" w:hAnsi="Arial" w:cs="Arial"/>
          <w:bCs/>
          <w:sz w:val="20"/>
          <w:szCs w:val="20"/>
        </w:rPr>
        <w:t xml:space="preserve">… </w:t>
      </w:r>
      <w:r w:rsidR="00A7208A" w:rsidRPr="00A7208A">
        <w:rPr>
          <w:rFonts w:ascii="Arial" w:hAnsi="Arial" w:cs="Arial"/>
          <w:bCs/>
          <w:sz w:val="20"/>
          <w:szCs w:val="20"/>
        </w:rPr>
        <w:t>Sin embargo, debe precisarse que no toda irregularidad procesal genera una vía de hecho, más aún cuando quien se dice afectado, tiene la posibilidad de acudir a los mecanismos ordinarios establecidos para solicitar la protección de sus derechos; pues no puede olvidarse que la acción de tutela tiene un carácter subsidiario</w:t>
      </w:r>
      <w:r w:rsidR="00A7208A">
        <w:rPr>
          <w:rFonts w:ascii="Arial" w:hAnsi="Arial" w:cs="Arial"/>
          <w:bCs/>
          <w:sz w:val="20"/>
          <w:szCs w:val="20"/>
        </w:rPr>
        <w:t>…</w:t>
      </w:r>
    </w:p>
    <w:p w14:paraId="2B49A29C" w14:textId="77777777" w:rsidR="005C51B9" w:rsidRPr="005C51B9" w:rsidRDefault="005C51B9" w:rsidP="005C51B9">
      <w:pPr>
        <w:widowControl w:val="0"/>
        <w:autoSpaceDE w:val="0"/>
        <w:autoSpaceDN w:val="0"/>
        <w:adjustRightInd w:val="0"/>
        <w:jc w:val="both"/>
        <w:rPr>
          <w:rFonts w:ascii="Arial" w:hAnsi="Arial" w:cs="Arial"/>
          <w:bCs/>
          <w:sz w:val="20"/>
          <w:szCs w:val="20"/>
        </w:rPr>
      </w:pPr>
    </w:p>
    <w:p w14:paraId="3EF357D1" w14:textId="3FA58942" w:rsidR="00A7208A" w:rsidRPr="00A7208A" w:rsidRDefault="00A7208A" w:rsidP="00A7208A">
      <w:pPr>
        <w:widowControl w:val="0"/>
        <w:autoSpaceDE w:val="0"/>
        <w:autoSpaceDN w:val="0"/>
        <w:adjustRightInd w:val="0"/>
        <w:jc w:val="both"/>
        <w:rPr>
          <w:rFonts w:ascii="Arial" w:hAnsi="Arial" w:cs="Arial"/>
          <w:b/>
          <w:bCs/>
          <w:sz w:val="20"/>
          <w:szCs w:val="20"/>
        </w:rPr>
      </w:pPr>
      <w:r w:rsidRPr="00A7208A">
        <w:rPr>
          <w:rFonts w:ascii="Arial" w:hAnsi="Arial" w:cs="Arial"/>
          <w:b/>
          <w:bCs/>
          <w:sz w:val="20"/>
          <w:szCs w:val="20"/>
        </w:rPr>
        <w:t xml:space="preserve">DEBIDO PROCESO / TUTELA CONTRA DECISIONES JUDICIALES / </w:t>
      </w:r>
      <w:r w:rsidR="002F5F52">
        <w:rPr>
          <w:rFonts w:ascii="Arial" w:hAnsi="Arial" w:cs="Arial"/>
          <w:b/>
          <w:bCs/>
          <w:sz w:val="20"/>
          <w:szCs w:val="20"/>
        </w:rPr>
        <w:t>LÍMITES DEL JUEZ CONSTITUCIONAL</w:t>
      </w:r>
    </w:p>
    <w:p w14:paraId="42EFF843" w14:textId="326A80DE" w:rsidR="005C51B9" w:rsidRPr="005C51B9" w:rsidRDefault="002F5F52" w:rsidP="005C51B9">
      <w:pPr>
        <w:widowControl w:val="0"/>
        <w:autoSpaceDE w:val="0"/>
        <w:autoSpaceDN w:val="0"/>
        <w:adjustRightInd w:val="0"/>
        <w:jc w:val="both"/>
        <w:rPr>
          <w:rFonts w:ascii="Arial" w:hAnsi="Arial" w:cs="Arial"/>
          <w:bCs/>
          <w:sz w:val="20"/>
          <w:szCs w:val="20"/>
        </w:rPr>
      </w:pPr>
      <w:r>
        <w:rPr>
          <w:rFonts w:ascii="Arial" w:hAnsi="Arial" w:cs="Arial"/>
          <w:bCs/>
          <w:sz w:val="20"/>
          <w:szCs w:val="20"/>
        </w:rPr>
        <w:t xml:space="preserve">… </w:t>
      </w:r>
      <w:r w:rsidRPr="002F5F52">
        <w:rPr>
          <w:rFonts w:ascii="Arial" w:hAnsi="Arial" w:cs="Arial"/>
          <w:bCs/>
          <w:sz w:val="20"/>
          <w:szCs w:val="20"/>
        </w:rPr>
        <w:t>la labor del Juez constitucional se limita, en estos casos, a determinar si la actuación de la autoridad efectivamente es producto de una actitud arbitraria y contraria al ordenamiento jurídico, sin que le sea dable inmiscuirse en el trámite del proceso judicial, tomando decisiones paralelas a las que cumple quien, en ejercicio de su función constitucional lo conduce, pues no pueden desconocerse los conceptos y principios de autonomía, independencia de los jueces, acceso a la administración de Justicia, seguridad jurídica y vigencia del Estado Social de Derecho.</w:t>
      </w:r>
    </w:p>
    <w:p w14:paraId="0B140805" w14:textId="77777777" w:rsidR="005C51B9" w:rsidRPr="005C51B9" w:rsidRDefault="005C51B9" w:rsidP="005C51B9">
      <w:pPr>
        <w:widowControl w:val="0"/>
        <w:autoSpaceDE w:val="0"/>
        <w:autoSpaceDN w:val="0"/>
        <w:adjustRightInd w:val="0"/>
        <w:jc w:val="both"/>
        <w:rPr>
          <w:rFonts w:ascii="Arial" w:hAnsi="Arial" w:cs="Arial"/>
          <w:bCs/>
          <w:sz w:val="20"/>
          <w:szCs w:val="20"/>
        </w:rPr>
      </w:pPr>
    </w:p>
    <w:p w14:paraId="3A911DC6" w14:textId="3C3226BC" w:rsidR="00C1347B" w:rsidRPr="00A7208A" w:rsidRDefault="00C1347B" w:rsidP="00C1347B">
      <w:pPr>
        <w:widowControl w:val="0"/>
        <w:autoSpaceDE w:val="0"/>
        <w:autoSpaceDN w:val="0"/>
        <w:adjustRightInd w:val="0"/>
        <w:jc w:val="both"/>
        <w:rPr>
          <w:rFonts w:ascii="Arial" w:hAnsi="Arial" w:cs="Arial"/>
          <w:b/>
          <w:bCs/>
          <w:sz w:val="20"/>
          <w:szCs w:val="20"/>
        </w:rPr>
      </w:pPr>
      <w:r w:rsidRPr="00A7208A">
        <w:rPr>
          <w:rFonts w:ascii="Arial" w:hAnsi="Arial" w:cs="Arial"/>
          <w:b/>
          <w:bCs/>
          <w:sz w:val="20"/>
          <w:szCs w:val="20"/>
        </w:rPr>
        <w:t xml:space="preserve">TUTELA CONTRA DECISIONES JUDICIALES / </w:t>
      </w:r>
      <w:r>
        <w:rPr>
          <w:rFonts w:ascii="Arial" w:hAnsi="Arial" w:cs="Arial"/>
          <w:b/>
          <w:bCs/>
          <w:sz w:val="20"/>
          <w:szCs w:val="20"/>
        </w:rPr>
        <w:t>REQUISITOS GENERALES Y ESPECÍFICOS DE PROCEDIBILIDAD</w:t>
      </w:r>
    </w:p>
    <w:p w14:paraId="1A846DF4" w14:textId="444FAA26" w:rsidR="005C51B9" w:rsidRPr="005C51B9" w:rsidRDefault="002F5F52" w:rsidP="002F5F52">
      <w:pPr>
        <w:widowControl w:val="0"/>
        <w:autoSpaceDE w:val="0"/>
        <w:autoSpaceDN w:val="0"/>
        <w:adjustRightInd w:val="0"/>
        <w:jc w:val="both"/>
        <w:rPr>
          <w:rFonts w:ascii="Arial" w:hAnsi="Arial" w:cs="Arial"/>
          <w:bCs/>
          <w:sz w:val="20"/>
          <w:szCs w:val="20"/>
        </w:rPr>
      </w:pPr>
      <w:r w:rsidRPr="002F5F52">
        <w:rPr>
          <w:rFonts w:ascii="Arial" w:hAnsi="Arial" w:cs="Arial"/>
          <w:bCs/>
          <w:sz w:val="20"/>
          <w:szCs w:val="20"/>
        </w:rPr>
        <w:t>La Corte Constitucional, en sentencia T-054-15, ratificó los requisitos generales y específicos</w:t>
      </w:r>
      <w:r w:rsidR="00C1347B">
        <w:rPr>
          <w:rFonts w:ascii="Arial" w:hAnsi="Arial" w:cs="Arial"/>
          <w:bCs/>
          <w:sz w:val="20"/>
          <w:szCs w:val="20"/>
        </w:rPr>
        <w:t xml:space="preserve">… </w:t>
      </w:r>
      <w:r w:rsidRPr="002F5F52">
        <w:rPr>
          <w:rFonts w:ascii="Arial" w:hAnsi="Arial" w:cs="Arial"/>
          <w:bCs/>
          <w:sz w:val="20"/>
          <w:szCs w:val="20"/>
        </w:rPr>
        <w:t>para que proceda la acción de tutela contra decisiones judiciales, siendo éstos:</w:t>
      </w:r>
      <w:r w:rsidR="00C1347B">
        <w:rPr>
          <w:rFonts w:ascii="Arial" w:hAnsi="Arial" w:cs="Arial"/>
          <w:bCs/>
          <w:sz w:val="20"/>
          <w:szCs w:val="20"/>
        </w:rPr>
        <w:t xml:space="preserve"> </w:t>
      </w:r>
      <w:r w:rsidRPr="002F5F52">
        <w:rPr>
          <w:rFonts w:ascii="Arial" w:hAnsi="Arial" w:cs="Arial"/>
          <w:bCs/>
          <w:sz w:val="20"/>
          <w:szCs w:val="20"/>
        </w:rPr>
        <w:t>“Los primeros se acreditan siempre (i) que el asunto sometido a estudio del juez de tutela tenga relevancia constitucional; (ii) que el actor haya agotado los recursos judiciales ordinarios y extraordinarios, antes de acudir al juez de tutela; (iii) que la petición cumpla con el requisito de inmediatez</w:t>
      </w:r>
      <w:r w:rsidR="00C1347B">
        <w:rPr>
          <w:rFonts w:ascii="Arial" w:hAnsi="Arial" w:cs="Arial"/>
          <w:bCs/>
          <w:sz w:val="20"/>
          <w:szCs w:val="20"/>
        </w:rPr>
        <w:t>…</w:t>
      </w:r>
      <w:r w:rsidRPr="002F5F52">
        <w:rPr>
          <w:rFonts w:ascii="Arial" w:hAnsi="Arial" w:cs="Arial"/>
          <w:bCs/>
          <w:sz w:val="20"/>
          <w:szCs w:val="20"/>
        </w:rPr>
        <w:t>; (iv) en caso de tratarse de una irregularidad procesal, que ésta tenga incidencia directa en la decisión que resulta vulneratoria de los derechos fundamentales</w:t>
      </w:r>
      <w:r w:rsidR="00C1347B">
        <w:rPr>
          <w:rFonts w:ascii="Arial" w:hAnsi="Arial" w:cs="Arial"/>
          <w:bCs/>
          <w:sz w:val="20"/>
          <w:szCs w:val="20"/>
        </w:rPr>
        <w:t xml:space="preserve">… </w:t>
      </w:r>
      <w:r w:rsidRPr="002F5F52">
        <w:rPr>
          <w:rFonts w:ascii="Arial" w:hAnsi="Arial" w:cs="Arial"/>
          <w:bCs/>
          <w:sz w:val="20"/>
          <w:szCs w:val="20"/>
        </w:rPr>
        <w:t>Por su parte, los segundos, conocidos como requisitos específicos de procedibilidad, ampliamente elaboradas por la jurisprudencia constitucional, son: defecto orgánico, defecto sustantivo, defecto procedimental o fáctico; error inducido; decisión sin motivación; desconocimiento del precedente constitucional; y violación directa a la constitución”.</w:t>
      </w:r>
    </w:p>
    <w:p w14:paraId="657ADDB7" w14:textId="77777777" w:rsidR="005C51B9" w:rsidRPr="005C51B9" w:rsidRDefault="005C51B9" w:rsidP="005C51B9">
      <w:pPr>
        <w:widowControl w:val="0"/>
        <w:autoSpaceDE w:val="0"/>
        <w:autoSpaceDN w:val="0"/>
        <w:adjustRightInd w:val="0"/>
        <w:jc w:val="both"/>
        <w:rPr>
          <w:rFonts w:ascii="Arial" w:hAnsi="Arial" w:cs="Arial"/>
          <w:bCs/>
          <w:sz w:val="20"/>
          <w:szCs w:val="20"/>
        </w:rPr>
      </w:pPr>
    </w:p>
    <w:p w14:paraId="3ED2AF0C" w14:textId="07A578A1" w:rsidR="00151D26" w:rsidRPr="00151D26" w:rsidRDefault="00151D26" w:rsidP="00DB2480">
      <w:pPr>
        <w:widowControl w:val="0"/>
        <w:autoSpaceDE w:val="0"/>
        <w:autoSpaceDN w:val="0"/>
        <w:adjustRightInd w:val="0"/>
        <w:jc w:val="both"/>
        <w:rPr>
          <w:rFonts w:ascii="Arial" w:hAnsi="Arial" w:cs="Arial"/>
          <w:bCs/>
          <w:sz w:val="20"/>
          <w:szCs w:val="20"/>
        </w:rPr>
      </w:pPr>
      <w:r>
        <w:rPr>
          <w:rFonts w:ascii="Arial" w:hAnsi="Arial" w:cs="Arial"/>
          <w:b/>
          <w:bCs/>
          <w:sz w:val="20"/>
          <w:szCs w:val="20"/>
        </w:rPr>
        <w:t>NOTIFICACIÓN PERSONAL / FORMAS DE EFECTUARLA / DECRETO 806 DE 2020 / ARTS. 291-292 CGP</w:t>
      </w:r>
    </w:p>
    <w:p w14:paraId="35989889" w14:textId="7A3ADA39" w:rsidR="005C51B9" w:rsidRDefault="00DB2480" w:rsidP="00DB2480">
      <w:pPr>
        <w:widowControl w:val="0"/>
        <w:autoSpaceDE w:val="0"/>
        <w:autoSpaceDN w:val="0"/>
        <w:adjustRightInd w:val="0"/>
        <w:jc w:val="both"/>
        <w:rPr>
          <w:rFonts w:ascii="Arial" w:hAnsi="Arial" w:cs="Arial"/>
          <w:bCs/>
          <w:sz w:val="20"/>
          <w:szCs w:val="20"/>
        </w:rPr>
      </w:pPr>
      <w:r w:rsidRPr="00DB2480">
        <w:rPr>
          <w:rFonts w:ascii="Arial" w:hAnsi="Arial" w:cs="Arial"/>
          <w:bCs/>
          <w:sz w:val="20"/>
          <w:szCs w:val="20"/>
        </w:rPr>
        <w:t>Establece el artículo 41 del Código Procesal del Trabajo y la Seguridad Social, que el auto admisorio de la demanda debe serle notificado al demandado de manera personal, trámite que según el artículo 8º del Decreto 806 de 2020</w:t>
      </w:r>
      <w:r>
        <w:rPr>
          <w:rFonts w:ascii="Arial" w:hAnsi="Arial" w:cs="Arial"/>
          <w:bCs/>
          <w:sz w:val="20"/>
          <w:szCs w:val="20"/>
        </w:rPr>
        <w:t>…</w:t>
      </w:r>
      <w:r w:rsidRPr="00DB2480">
        <w:rPr>
          <w:rFonts w:ascii="Arial" w:hAnsi="Arial" w:cs="Arial"/>
          <w:bCs/>
          <w:sz w:val="20"/>
          <w:szCs w:val="20"/>
        </w:rPr>
        <w:t xml:space="preserve"> puede efectuarse con el envío de la providencia respectiva como mensaje de datos a la dirección electrónica o sitio que suministre el interesado en que se realice la notificación, sin necesidad del envío de previa citación o aviso físico o virtual</w:t>
      </w:r>
      <w:r>
        <w:rPr>
          <w:rFonts w:ascii="Arial" w:hAnsi="Arial" w:cs="Arial"/>
          <w:bCs/>
          <w:sz w:val="20"/>
          <w:szCs w:val="20"/>
        </w:rPr>
        <w:t xml:space="preserve">…  </w:t>
      </w:r>
      <w:r w:rsidRPr="00DB2480">
        <w:rPr>
          <w:rFonts w:ascii="Arial" w:hAnsi="Arial" w:cs="Arial"/>
          <w:bCs/>
          <w:sz w:val="20"/>
          <w:szCs w:val="20"/>
        </w:rPr>
        <w:t>Ahora, como puede verse, tal norma fue concebida como una alternativa a la notificación personal regulada por los artículos 291 y 292 el Código General del Proceso en los artículos 291 y 292, precisamente para contribuir con el distanciamiento social que requirió la emergencia sanitaria declarada por el Ministerio de Protección Social en virtud de la pandemia originada por el Covid-19.</w:t>
      </w:r>
    </w:p>
    <w:p w14:paraId="44944791" w14:textId="77777777" w:rsidR="00DB2480" w:rsidRPr="005C51B9" w:rsidRDefault="00DB2480" w:rsidP="00DB2480">
      <w:pPr>
        <w:widowControl w:val="0"/>
        <w:autoSpaceDE w:val="0"/>
        <w:autoSpaceDN w:val="0"/>
        <w:adjustRightInd w:val="0"/>
        <w:jc w:val="both"/>
        <w:rPr>
          <w:rFonts w:ascii="Arial" w:hAnsi="Arial" w:cs="Arial"/>
          <w:bCs/>
          <w:sz w:val="20"/>
          <w:szCs w:val="20"/>
        </w:rPr>
      </w:pPr>
    </w:p>
    <w:p w14:paraId="3A209E8E" w14:textId="77777777" w:rsidR="005C51B9" w:rsidRPr="005C51B9" w:rsidRDefault="005C51B9" w:rsidP="005C51B9">
      <w:pPr>
        <w:widowControl w:val="0"/>
        <w:autoSpaceDE w:val="0"/>
        <w:autoSpaceDN w:val="0"/>
        <w:adjustRightInd w:val="0"/>
        <w:jc w:val="both"/>
        <w:rPr>
          <w:rFonts w:ascii="Arial" w:hAnsi="Arial" w:cs="Arial"/>
          <w:bCs/>
          <w:sz w:val="20"/>
          <w:szCs w:val="20"/>
        </w:rPr>
      </w:pPr>
    </w:p>
    <w:p w14:paraId="106F7ED0" w14:textId="77777777" w:rsidR="005C51B9" w:rsidRPr="005C51B9" w:rsidRDefault="005C51B9" w:rsidP="005C51B9">
      <w:pPr>
        <w:widowControl w:val="0"/>
        <w:autoSpaceDE w:val="0"/>
        <w:autoSpaceDN w:val="0"/>
        <w:adjustRightInd w:val="0"/>
        <w:jc w:val="both"/>
        <w:rPr>
          <w:rFonts w:ascii="Arial" w:hAnsi="Arial" w:cs="Arial"/>
          <w:bCs/>
          <w:sz w:val="20"/>
          <w:szCs w:val="20"/>
        </w:rPr>
      </w:pPr>
    </w:p>
    <w:p w14:paraId="126BDB74" w14:textId="0F9FC4CB" w:rsidR="005C51B9" w:rsidRPr="005C51B9" w:rsidRDefault="005C51B9" w:rsidP="005C51B9">
      <w:pPr>
        <w:widowControl w:val="0"/>
        <w:autoSpaceDE w:val="0"/>
        <w:autoSpaceDN w:val="0"/>
        <w:adjustRightInd w:val="0"/>
        <w:jc w:val="both"/>
        <w:rPr>
          <w:rFonts w:ascii="Arial" w:eastAsia="Arial" w:hAnsi="Arial" w:cs="Arial"/>
          <w:sz w:val="18"/>
          <w:szCs w:val="18"/>
          <w:lang w:val="es-CO" w:eastAsia="es-CO"/>
        </w:rPr>
      </w:pPr>
      <w:r w:rsidRPr="005C51B9">
        <w:rPr>
          <w:rFonts w:ascii="Arial" w:eastAsia="Arial" w:hAnsi="Arial" w:cs="Arial"/>
          <w:sz w:val="18"/>
          <w:szCs w:val="18"/>
          <w:lang w:val="es-CO" w:eastAsia="es-CO"/>
        </w:rPr>
        <w:t>Providencia:</w:t>
      </w:r>
      <w:r>
        <w:rPr>
          <w:rFonts w:ascii="Arial" w:eastAsia="Arial" w:hAnsi="Arial" w:cs="Arial"/>
          <w:sz w:val="18"/>
          <w:szCs w:val="18"/>
          <w:lang w:val="es-CO" w:eastAsia="es-CO"/>
        </w:rPr>
        <w:tab/>
      </w:r>
      <w:r>
        <w:rPr>
          <w:rFonts w:ascii="Arial" w:eastAsia="Arial" w:hAnsi="Arial" w:cs="Arial"/>
          <w:sz w:val="18"/>
          <w:szCs w:val="18"/>
          <w:lang w:val="es-CO" w:eastAsia="es-CO"/>
        </w:rPr>
        <w:tab/>
      </w:r>
      <w:r w:rsidRPr="005C51B9">
        <w:rPr>
          <w:rFonts w:ascii="Arial" w:eastAsia="Arial" w:hAnsi="Arial" w:cs="Arial"/>
          <w:sz w:val="18"/>
          <w:szCs w:val="18"/>
          <w:lang w:val="es-CO" w:eastAsia="es-CO"/>
        </w:rPr>
        <w:t>Sentencia de 25 de octubre de 2023</w:t>
      </w:r>
    </w:p>
    <w:p w14:paraId="4ECEA909" w14:textId="0E520CC0" w:rsidR="005C51B9" w:rsidRPr="005C51B9" w:rsidRDefault="005C51B9" w:rsidP="005C51B9">
      <w:pPr>
        <w:widowControl w:val="0"/>
        <w:autoSpaceDE w:val="0"/>
        <w:autoSpaceDN w:val="0"/>
        <w:adjustRightInd w:val="0"/>
        <w:jc w:val="both"/>
        <w:rPr>
          <w:rFonts w:ascii="Arial" w:eastAsia="Arial" w:hAnsi="Arial" w:cs="Arial"/>
          <w:sz w:val="18"/>
          <w:szCs w:val="18"/>
          <w:lang w:val="es-CO" w:eastAsia="es-CO"/>
        </w:rPr>
      </w:pPr>
      <w:r w:rsidRPr="005C51B9">
        <w:rPr>
          <w:rFonts w:ascii="Arial" w:eastAsia="Arial" w:hAnsi="Arial" w:cs="Arial"/>
          <w:sz w:val="18"/>
          <w:szCs w:val="18"/>
          <w:lang w:val="es-CO" w:eastAsia="es-CO"/>
        </w:rPr>
        <w:t>Radicación Nro.:</w:t>
      </w:r>
      <w:r>
        <w:rPr>
          <w:rFonts w:ascii="Arial" w:eastAsia="Arial" w:hAnsi="Arial" w:cs="Arial"/>
          <w:sz w:val="18"/>
          <w:szCs w:val="18"/>
          <w:lang w:val="es-CO" w:eastAsia="es-CO"/>
        </w:rPr>
        <w:tab/>
      </w:r>
      <w:r>
        <w:rPr>
          <w:rFonts w:ascii="Arial" w:eastAsia="Arial" w:hAnsi="Arial" w:cs="Arial"/>
          <w:sz w:val="18"/>
          <w:szCs w:val="18"/>
          <w:lang w:val="es-CO" w:eastAsia="es-CO"/>
        </w:rPr>
        <w:tab/>
      </w:r>
      <w:r w:rsidRPr="005C51B9">
        <w:rPr>
          <w:rFonts w:ascii="Arial" w:eastAsia="Arial" w:hAnsi="Arial" w:cs="Arial"/>
          <w:sz w:val="18"/>
          <w:szCs w:val="18"/>
          <w:lang w:val="es-CO" w:eastAsia="es-CO"/>
        </w:rPr>
        <w:t>66001220500020231005300</w:t>
      </w:r>
    </w:p>
    <w:p w14:paraId="6937AB70" w14:textId="4AC91640" w:rsidR="005C51B9" w:rsidRPr="005C51B9" w:rsidRDefault="005C51B9" w:rsidP="005C51B9">
      <w:pPr>
        <w:widowControl w:val="0"/>
        <w:autoSpaceDE w:val="0"/>
        <w:autoSpaceDN w:val="0"/>
        <w:adjustRightInd w:val="0"/>
        <w:jc w:val="both"/>
        <w:rPr>
          <w:rFonts w:ascii="Arial" w:eastAsia="Arial" w:hAnsi="Arial" w:cs="Arial"/>
          <w:sz w:val="18"/>
          <w:szCs w:val="18"/>
          <w:lang w:val="es-CO" w:eastAsia="es-CO"/>
        </w:rPr>
      </w:pPr>
      <w:r w:rsidRPr="005C51B9">
        <w:rPr>
          <w:rFonts w:ascii="Arial" w:eastAsia="Arial" w:hAnsi="Arial" w:cs="Arial"/>
          <w:sz w:val="18"/>
          <w:szCs w:val="18"/>
          <w:lang w:val="es-CO" w:eastAsia="es-CO"/>
        </w:rPr>
        <w:t>Accionante:</w:t>
      </w:r>
      <w:r>
        <w:rPr>
          <w:rFonts w:ascii="Arial" w:eastAsia="Arial" w:hAnsi="Arial" w:cs="Arial"/>
          <w:sz w:val="18"/>
          <w:szCs w:val="18"/>
          <w:lang w:val="es-CO" w:eastAsia="es-CO"/>
        </w:rPr>
        <w:tab/>
      </w:r>
      <w:r>
        <w:rPr>
          <w:rFonts w:ascii="Arial" w:eastAsia="Arial" w:hAnsi="Arial" w:cs="Arial"/>
          <w:sz w:val="18"/>
          <w:szCs w:val="18"/>
          <w:lang w:val="es-CO" w:eastAsia="es-CO"/>
        </w:rPr>
        <w:tab/>
      </w:r>
      <w:r w:rsidRPr="005C51B9">
        <w:rPr>
          <w:rFonts w:ascii="Arial" w:eastAsia="Arial" w:hAnsi="Arial" w:cs="Arial"/>
          <w:sz w:val="18"/>
          <w:szCs w:val="18"/>
          <w:lang w:val="es-CO" w:eastAsia="es-CO"/>
        </w:rPr>
        <w:t>Aníbal de Jesús Villegas Escobar</w:t>
      </w:r>
    </w:p>
    <w:p w14:paraId="17B8DA7B" w14:textId="5572B41B" w:rsidR="005C51B9" w:rsidRPr="005C51B9" w:rsidRDefault="005C51B9" w:rsidP="005C51B9">
      <w:pPr>
        <w:widowControl w:val="0"/>
        <w:autoSpaceDE w:val="0"/>
        <w:autoSpaceDN w:val="0"/>
        <w:adjustRightInd w:val="0"/>
        <w:jc w:val="both"/>
        <w:rPr>
          <w:rFonts w:ascii="Arial" w:eastAsia="Arial" w:hAnsi="Arial" w:cs="Arial"/>
          <w:sz w:val="18"/>
          <w:szCs w:val="18"/>
          <w:lang w:val="es-CO" w:eastAsia="es-CO"/>
        </w:rPr>
      </w:pPr>
      <w:r w:rsidRPr="005C51B9">
        <w:rPr>
          <w:rFonts w:ascii="Arial" w:eastAsia="Arial" w:hAnsi="Arial" w:cs="Arial"/>
          <w:sz w:val="18"/>
          <w:szCs w:val="18"/>
          <w:lang w:val="es-CO" w:eastAsia="es-CO"/>
        </w:rPr>
        <w:t>Accionado:</w:t>
      </w:r>
      <w:r>
        <w:rPr>
          <w:rFonts w:ascii="Arial" w:eastAsia="Arial" w:hAnsi="Arial" w:cs="Arial"/>
          <w:sz w:val="18"/>
          <w:szCs w:val="18"/>
          <w:lang w:val="es-CO" w:eastAsia="es-CO"/>
        </w:rPr>
        <w:tab/>
      </w:r>
      <w:r>
        <w:rPr>
          <w:rFonts w:ascii="Arial" w:eastAsia="Arial" w:hAnsi="Arial" w:cs="Arial"/>
          <w:sz w:val="18"/>
          <w:szCs w:val="18"/>
          <w:lang w:val="es-CO" w:eastAsia="es-CO"/>
        </w:rPr>
        <w:tab/>
      </w:r>
      <w:r w:rsidRPr="005C51B9">
        <w:rPr>
          <w:rFonts w:ascii="Arial" w:eastAsia="Arial" w:hAnsi="Arial" w:cs="Arial"/>
          <w:sz w:val="18"/>
          <w:szCs w:val="18"/>
          <w:lang w:val="es-CO" w:eastAsia="es-CO"/>
        </w:rPr>
        <w:t>Juzgado Laboral del Circuito de Dosquebradas y otras</w:t>
      </w:r>
    </w:p>
    <w:p w14:paraId="520E8020" w14:textId="6B28E0C8" w:rsidR="005C51B9" w:rsidRPr="005C51B9" w:rsidRDefault="005C51B9" w:rsidP="005C51B9">
      <w:pPr>
        <w:widowControl w:val="0"/>
        <w:autoSpaceDE w:val="0"/>
        <w:autoSpaceDN w:val="0"/>
        <w:adjustRightInd w:val="0"/>
        <w:jc w:val="both"/>
        <w:rPr>
          <w:rFonts w:ascii="Arial" w:hAnsi="Arial" w:cs="Arial"/>
          <w:bCs/>
          <w:sz w:val="20"/>
          <w:szCs w:val="20"/>
        </w:rPr>
      </w:pPr>
      <w:r w:rsidRPr="005C51B9">
        <w:rPr>
          <w:rFonts w:ascii="Arial" w:eastAsia="Arial" w:hAnsi="Arial" w:cs="Arial"/>
          <w:sz w:val="18"/>
          <w:szCs w:val="18"/>
          <w:lang w:val="es-CO" w:eastAsia="es-CO"/>
        </w:rPr>
        <w:t>Proceso:</w:t>
      </w:r>
      <w:r>
        <w:rPr>
          <w:rFonts w:ascii="Arial" w:eastAsia="Arial" w:hAnsi="Arial" w:cs="Arial"/>
          <w:sz w:val="18"/>
          <w:szCs w:val="18"/>
          <w:lang w:val="es-CO" w:eastAsia="es-CO"/>
        </w:rPr>
        <w:tab/>
      </w:r>
      <w:r>
        <w:rPr>
          <w:rFonts w:ascii="Arial" w:eastAsia="Arial" w:hAnsi="Arial" w:cs="Arial"/>
          <w:sz w:val="18"/>
          <w:szCs w:val="18"/>
          <w:lang w:val="es-CO" w:eastAsia="es-CO"/>
        </w:rPr>
        <w:tab/>
      </w:r>
      <w:r w:rsidRPr="005C51B9">
        <w:rPr>
          <w:rFonts w:ascii="Arial" w:eastAsia="Arial" w:hAnsi="Arial" w:cs="Arial"/>
          <w:sz w:val="18"/>
          <w:szCs w:val="18"/>
          <w:lang w:val="es-CO" w:eastAsia="es-CO"/>
        </w:rPr>
        <w:t xml:space="preserve">Acción de Tutela   </w:t>
      </w:r>
    </w:p>
    <w:p w14:paraId="11563E32" w14:textId="7C73BED7" w:rsidR="005C51B9" w:rsidRDefault="005C51B9" w:rsidP="005C51B9">
      <w:pPr>
        <w:ind w:left="2835" w:hanging="2835"/>
        <w:jc w:val="both"/>
        <w:rPr>
          <w:rFonts w:ascii="Arial" w:eastAsia="Calibri" w:hAnsi="Arial" w:cs="Arial"/>
          <w:sz w:val="20"/>
          <w:szCs w:val="20"/>
          <w:lang w:val="es-CO" w:eastAsia="en-US"/>
        </w:rPr>
      </w:pPr>
    </w:p>
    <w:p w14:paraId="7F6D2F5B" w14:textId="77777777" w:rsidR="00991335" w:rsidRPr="005C51B9" w:rsidRDefault="00991335" w:rsidP="005C51B9">
      <w:pPr>
        <w:ind w:left="2835" w:hanging="2835"/>
        <w:jc w:val="both"/>
        <w:rPr>
          <w:rFonts w:ascii="Arial" w:eastAsia="Calibri" w:hAnsi="Arial" w:cs="Arial"/>
          <w:sz w:val="20"/>
          <w:szCs w:val="20"/>
          <w:lang w:val="es-CO" w:eastAsia="en-US"/>
        </w:rPr>
      </w:pPr>
    </w:p>
    <w:p w14:paraId="349CAD3A" w14:textId="77777777" w:rsidR="005C51B9" w:rsidRPr="005C51B9" w:rsidRDefault="005C51B9" w:rsidP="005C51B9">
      <w:pPr>
        <w:ind w:left="2829" w:hanging="2829"/>
        <w:jc w:val="both"/>
        <w:rPr>
          <w:rFonts w:ascii="Arial" w:eastAsia="Calibri" w:hAnsi="Arial" w:cs="Arial"/>
          <w:bCs/>
          <w:sz w:val="20"/>
          <w:szCs w:val="20"/>
          <w:lang w:val="es-ES_tradnl" w:eastAsia="en-US"/>
        </w:rPr>
      </w:pPr>
    </w:p>
    <w:p w14:paraId="79AE5239" w14:textId="77777777" w:rsidR="005C51B9" w:rsidRPr="005C51B9" w:rsidRDefault="005C51B9" w:rsidP="005C51B9">
      <w:pPr>
        <w:keepNext/>
        <w:spacing w:line="276" w:lineRule="auto"/>
        <w:jc w:val="center"/>
        <w:outlineLvl w:val="2"/>
        <w:rPr>
          <w:rFonts w:ascii="Arial" w:hAnsi="Arial" w:cs="Arial"/>
          <w:b/>
          <w:lang w:val="es-ES_tradnl"/>
        </w:rPr>
      </w:pPr>
      <w:r w:rsidRPr="005C51B9">
        <w:rPr>
          <w:rFonts w:ascii="Arial" w:hAnsi="Arial" w:cs="Arial"/>
          <w:b/>
          <w:lang w:val="es-ES_tradnl"/>
        </w:rPr>
        <w:t>TRIBUNAL SUPERIOR DEL DISTRITO JUDICIAL</w:t>
      </w:r>
    </w:p>
    <w:p w14:paraId="2F9551D7" w14:textId="77777777" w:rsidR="005C51B9" w:rsidRPr="005C51B9" w:rsidRDefault="005C51B9" w:rsidP="005C51B9">
      <w:pPr>
        <w:spacing w:line="276" w:lineRule="auto"/>
        <w:jc w:val="center"/>
        <w:rPr>
          <w:rFonts w:ascii="Arial" w:eastAsia="Calibri" w:hAnsi="Arial" w:cs="Arial"/>
          <w:b/>
          <w:lang w:val="es-CO" w:eastAsia="en-US"/>
        </w:rPr>
      </w:pPr>
      <w:r w:rsidRPr="005C51B9">
        <w:rPr>
          <w:rFonts w:ascii="Arial" w:eastAsia="Calibri" w:hAnsi="Arial" w:cs="Arial"/>
          <w:b/>
          <w:lang w:val="es-CO" w:eastAsia="en-US"/>
        </w:rPr>
        <w:t>SALA LABORAL</w:t>
      </w:r>
    </w:p>
    <w:p w14:paraId="0E7165C6" w14:textId="77777777" w:rsidR="005C51B9" w:rsidRPr="005C51B9" w:rsidRDefault="005C51B9" w:rsidP="005C51B9">
      <w:pPr>
        <w:spacing w:line="276" w:lineRule="auto"/>
        <w:jc w:val="center"/>
        <w:rPr>
          <w:rFonts w:ascii="Arial" w:hAnsi="Arial" w:cs="Arial"/>
          <w:b/>
          <w:lang w:val="es-ES_tradnl"/>
        </w:rPr>
      </w:pPr>
      <w:r w:rsidRPr="005C51B9">
        <w:rPr>
          <w:rFonts w:ascii="Arial" w:hAnsi="Arial" w:cs="Arial"/>
          <w:b/>
          <w:lang w:val="es-ES_tradnl"/>
        </w:rPr>
        <w:t xml:space="preserve">MAGISTRADO PONENTE: JULIO CÉSAR SALAZAR MUÑOZ </w:t>
      </w:r>
    </w:p>
    <w:p w14:paraId="2BCCE79F" w14:textId="77777777" w:rsidR="005C51B9" w:rsidRPr="005C51B9" w:rsidRDefault="005C51B9" w:rsidP="005C51B9">
      <w:pPr>
        <w:keepNext/>
        <w:spacing w:line="276" w:lineRule="auto"/>
        <w:jc w:val="center"/>
        <w:outlineLvl w:val="2"/>
        <w:rPr>
          <w:rFonts w:ascii="Arial" w:hAnsi="Arial" w:cs="Arial"/>
          <w:b/>
          <w:lang w:val="es-ES_tradnl"/>
        </w:rPr>
      </w:pPr>
    </w:p>
    <w:p w14:paraId="669035E0" w14:textId="17F9A8C0" w:rsidR="00AA5C2B" w:rsidRPr="005C51B9" w:rsidRDefault="00AA5C2B" w:rsidP="005C51B9">
      <w:pPr>
        <w:spacing w:line="276" w:lineRule="auto"/>
        <w:jc w:val="center"/>
        <w:rPr>
          <w:rFonts w:ascii="Arial" w:hAnsi="Arial" w:cs="Arial"/>
        </w:rPr>
      </w:pPr>
      <w:r w:rsidRPr="005C51B9">
        <w:rPr>
          <w:rFonts w:ascii="Arial" w:hAnsi="Arial" w:cs="Arial"/>
        </w:rPr>
        <w:t xml:space="preserve">Pereira, </w:t>
      </w:r>
      <w:r w:rsidR="0078530A" w:rsidRPr="005C51B9">
        <w:rPr>
          <w:rFonts w:ascii="Arial" w:hAnsi="Arial" w:cs="Arial"/>
        </w:rPr>
        <w:t>veinti</w:t>
      </w:r>
      <w:r w:rsidR="1BA010EE" w:rsidRPr="005C51B9">
        <w:rPr>
          <w:rFonts w:ascii="Arial" w:hAnsi="Arial" w:cs="Arial"/>
        </w:rPr>
        <w:t>c</w:t>
      </w:r>
      <w:r w:rsidR="539E7E3D" w:rsidRPr="005C51B9">
        <w:rPr>
          <w:rFonts w:ascii="Arial" w:hAnsi="Arial" w:cs="Arial"/>
        </w:rPr>
        <w:t>inco</w:t>
      </w:r>
      <w:r w:rsidR="0078530A" w:rsidRPr="005C51B9">
        <w:rPr>
          <w:rFonts w:ascii="Arial" w:hAnsi="Arial" w:cs="Arial"/>
        </w:rPr>
        <w:t xml:space="preserve"> de octubre de dos mil veintitrés</w:t>
      </w:r>
    </w:p>
    <w:p w14:paraId="02EB378F" w14:textId="51453F72" w:rsidR="00AA5C2B" w:rsidRPr="005C51B9" w:rsidRDefault="00AA5C2B" w:rsidP="005C51B9">
      <w:pPr>
        <w:spacing w:line="276" w:lineRule="auto"/>
        <w:jc w:val="center"/>
        <w:rPr>
          <w:rFonts w:ascii="Arial" w:hAnsi="Arial" w:cs="Arial"/>
        </w:rPr>
      </w:pPr>
      <w:r w:rsidRPr="005C51B9">
        <w:rPr>
          <w:rFonts w:ascii="Arial" w:hAnsi="Arial" w:cs="Arial"/>
        </w:rPr>
        <w:t xml:space="preserve">Acta </w:t>
      </w:r>
      <w:r w:rsidR="58EA02A8" w:rsidRPr="005C51B9">
        <w:rPr>
          <w:rFonts w:ascii="Arial" w:hAnsi="Arial" w:cs="Arial"/>
        </w:rPr>
        <w:t xml:space="preserve">de Sala de Discusión </w:t>
      </w:r>
      <w:r w:rsidRPr="005C51B9">
        <w:rPr>
          <w:rFonts w:ascii="Arial" w:hAnsi="Arial" w:cs="Arial"/>
        </w:rPr>
        <w:t>N°</w:t>
      </w:r>
      <w:r w:rsidR="79736662" w:rsidRPr="005C51B9">
        <w:rPr>
          <w:rFonts w:ascii="Arial" w:hAnsi="Arial" w:cs="Arial"/>
        </w:rPr>
        <w:t xml:space="preserve"> 128</w:t>
      </w:r>
      <w:r w:rsidR="0078530A" w:rsidRPr="005C51B9">
        <w:rPr>
          <w:rFonts w:ascii="Arial" w:hAnsi="Arial" w:cs="Arial"/>
        </w:rPr>
        <w:t xml:space="preserve"> </w:t>
      </w:r>
      <w:r w:rsidRPr="005C51B9">
        <w:rPr>
          <w:rFonts w:ascii="Arial" w:hAnsi="Arial" w:cs="Arial"/>
        </w:rPr>
        <w:t xml:space="preserve">de </w:t>
      </w:r>
      <w:r w:rsidR="0078530A" w:rsidRPr="005C51B9">
        <w:rPr>
          <w:rFonts w:ascii="Arial" w:hAnsi="Arial" w:cs="Arial"/>
        </w:rPr>
        <w:t>2</w:t>
      </w:r>
      <w:r w:rsidR="5B3209D8" w:rsidRPr="005C51B9">
        <w:rPr>
          <w:rFonts w:ascii="Arial" w:hAnsi="Arial" w:cs="Arial"/>
        </w:rPr>
        <w:t>5</w:t>
      </w:r>
      <w:r w:rsidR="0078530A" w:rsidRPr="005C51B9">
        <w:rPr>
          <w:rFonts w:ascii="Arial" w:hAnsi="Arial" w:cs="Arial"/>
        </w:rPr>
        <w:t xml:space="preserve"> de octubre de 2023</w:t>
      </w:r>
    </w:p>
    <w:p w14:paraId="06C67742" w14:textId="767E0974" w:rsidR="21A6E599" w:rsidRDefault="21A6E599" w:rsidP="00AA7F81">
      <w:pPr>
        <w:spacing w:line="276" w:lineRule="auto"/>
        <w:rPr>
          <w:rFonts w:ascii="Arial" w:hAnsi="Arial" w:cs="Arial"/>
        </w:rPr>
      </w:pPr>
    </w:p>
    <w:p w14:paraId="5C3DB009" w14:textId="77777777" w:rsidR="00AA7F81" w:rsidRPr="005C51B9" w:rsidRDefault="00AA7F81" w:rsidP="00AA7F81">
      <w:pPr>
        <w:spacing w:line="276" w:lineRule="auto"/>
        <w:rPr>
          <w:rFonts w:ascii="Arial" w:hAnsi="Arial" w:cs="Arial"/>
        </w:rPr>
      </w:pPr>
    </w:p>
    <w:p w14:paraId="672943F2" w14:textId="09807D25" w:rsidR="0078530A" w:rsidRPr="005C51B9" w:rsidRDefault="00AA5C2B" w:rsidP="005C51B9">
      <w:pPr>
        <w:spacing w:line="276" w:lineRule="auto"/>
        <w:jc w:val="both"/>
        <w:rPr>
          <w:rFonts w:ascii="Arial" w:hAnsi="Arial" w:cs="Arial"/>
        </w:rPr>
      </w:pPr>
      <w:r w:rsidRPr="005C51B9">
        <w:rPr>
          <w:rFonts w:ascii="Arial" w:hAnsi="Arial" w:cs="Arial"/>
        </w:rPr>
        <w:t xml:space="preserve">Procede la Sala Laboral del Tribunal Superior de Pereira </w:t>
      </w:r>
      <w:r w:rsidR="0078530A" w:rsidRPr="005C51B9">
        <w:rPr>
          <w:rFonts w:ascii="Arial" w:hAnsi="Arial" w:cs="Arial"/>
        </w:rPr>
        <w:t xml:space="preserve">a decidir la </w:t>
      </w:r>
      <w:r w:rsidR="0078530A" w:rsidRPr="005C51B9">
        <w:rPr>
          <w:rFonts w:ascii="Arial" w:hAnsi="Arial" w:cs="Arial"/>
          <w:b/>
        </w:rPr>
        <w:t>acción de tutela</w:t>
      </w:r>
      <w:r w:rsidR="0078530A" w:rsidRPr="005C51B9">
        <w:rPr>
          <w:rFonts w:ascii="Arial" w:hAnsi="Arial" w:cs="Arial"/>
        </w:rPr>
        <w:t xml:space="preserve"> iniciada por el señor </w:t>
      </w:r>
      <w:r w:rsidR="0078530A" w:rsidRPr="005C51B9">
        <w:rPr>
          <w:rFonts w:ascii="Arial" w:hAnsi="Arial" w:cs="Arial"/>
          <w:b/>
        </w:rPr>
        <w:t>Aníbal de Jesús Villegas Escobar</w:t>
      </w:r>
      <w:r w:rsidR="0078530A" w:rsidRPr="005C51B9">
        <w:rPr>
          <w:rFonts w:ascii="Arial" w:hAnsi="Arial" w:cs="Arial"/>
        </w:rPr>
        <w:t xml:space="preserve"> en contra del </w:t>
      </w:r>
      <w:r w:rsidR="0078530A" w:rsidRPr="005C51B9">
        <w:rPr>
          <w:rFonts w:ascii="Arial" w:hAnsi="Arial" w:cs="Arial"/>
          <w:b/>
        </w:rPr>
        <w:t>Juzgado Laboral del Circuito de Dosquebradas</w:t>
      </w:r>
      <w:r w:rsidR="0078530A" w:rsidRPr="005C51B9">
        <w:rPr>
          <w:rFonts w:ascii="Arial" w:hAnsi="Arial" w:cs="Arial"/>
        </w:rPr>
        <w:t xml:space="preserve">, en la cual fueron vinculados la </w:t>
      </w:r>
      <w:r w:rsidR="005C51B9" w:rsidRPr="005C51B9">
        <w:rPr>
          <w:rFonts w:ascii="Arial" w:hAnsi="Arial" w:cs="Arial"/>
        </w:rPr>
        <w:t xml:space="preserve">sociedad </w:t>
      </w:r>
      <w:r w:rsidR="0078530A" w:rsidRPr="005C51B9">
        <w:rPr>
          <w:rFonts w:ascii="Arial" w:hAnsi="Arial" w:cs="Arial"/>
          <w:b/>
        </w:rPr>
        <w:t xml:space="preserve">Juan Carlos Gaviria Trujillo y </w:t>
      </w:r>
      <w:r w:rsidR="005C51B9" w:rsidRPr="005C51B9">
        <w:rPr>
          <w:rFonts w:ascii="Arial" w:hAnsi="Arial" w:cs="Arial"/>
          <w:b/>
        </w:rPr>
        <w:t>Cía.</w:t>
      </w:r>
      <w:r w:rsidR="0078530A" w:rsidRPr="005C51B9">
        <w:rPr>
          <w:rFonts w:ascii="Arial" w:hAnsi="Arial" w:cs="Arial"/>
          <w:b/>
        </w:rPr>
        <w:t xml:space="preserve"> S</w:t>
      </w:r>
      <w:r w:rsidR="005C51B9">
        <w:rPr>
          <w:rFonts w:ascii="Arial" w:hAnsi="Arial" w:cs="Arial"/>
          <w:b/>
        </w:rPr>
        <w:t xml:space="preserve">. </w:t>
      </w:r>
      <w:r w:rsidR="0078530A" w:rsidRPr="005C51B9">
        <w:rPr>
          <w:rFonts w:ascii="Arial" w:hAnsi="Arial" w:cs="Arial"/>
          <w:b/>
        </w:rPr>
        <w:t>en C.S.</w:t>
      </w:r>
      <w:r w:rsidR="0078530A" w:rsidRPr="005C51B9">
        <w:rPr>
          <w:rFonts w:ascii="Arial" w:hAnsi="Arial" w:cs="Arial"/>
        </w:rPr>
        <w:t xml:space="preserve"> </w:t>
      </w:r>
      <w:r w:rsidR="0078530A" w:rsidRPr="005C51B9">
        <w:rPr>
          <w:rFonts w:ascii="Arial" w:hAnsi="Arial" w:cs="Arial"/>
          <w:b/>
        </w:rPr>
        <w:t>y Juan Carlos Gaviria Trujillo</w:t>
      </w:r>
      <w:r w:rsidR="0078530A" w:rsidRPr="005C51B9">
        <w:rPr>
          <w:rFonts w:ascii="Arial" w:hAnsi="Arial" w:cs="Arial"/>
        </w:rPr>
        <w:t>.</w:t>
      </w:r>
    </w:p>
    <w:p w14:paraId="3A7672EA" w14:textId="77777777" w:rsidR="0078530A" w:rsidRPr="005C51B9" w:rsidRDefault="0078530A" w:rsidP="005C51B9">
      <w:pPr>
        <w:spacing w:line="276" w:lineRule="auto"/>
        <w:jc w:val="both"/>
        <w:rPr>
          <w:rFonts w:ascii="Arial" w:hAnsi="Arial" w:cs="Arial"/>
        </w:rPr>
      </w:pPr>
    </w:p>
    <w:p w14:paraId="6A05A809" w14:textId="0927F8B5" w:rsidR="00C4759E" w:rsidRPr="005C51B9" w:rsidRDefault="00034FE8" w:rsidP="005C51B9">
      <w:pPr>
        <w:spacing w:line="276" w:lineRule="auto"/>
        <w:jc w:val="both"/>
        <w:rPr>
          <w:rFonts w:ascii="Arial" w:hAnsi="Arial" w:cs="Arial"/>
          <w:b/>
        </w:rPr>
      </w:pPr>
      <w:r w:rsidRPr="005C51B9">
        <w:rPr>
          <w:rFonts w:ascii="Arial" w:hAnsi="Arial" w:cs="Arial"/>
        </w:rPr>
        <w:t xml:space="preserve"> </w:t>
      </w:r>
    </w:p>
    <w:p w14:paraId="0F10BAA5" w14:textId="77777777" w:rsidR="00AA5C2B" w:rsidRPr="005C51B9" w:rsidRDefault="00AA5C2B" w:rsidP="005C51B9">
      <w:pPr>
        <w:pStyle w:val="Textoindependiente"/>
        <w:tabs>
          <w:tab w:val="left" w:pos="7400"/>
        </w:tabs>
        <w:spacing w:line="276" w:lineRule="auto"/>
        <w:jc w:val="center"/>
        <w:rPr>
          <w:b/>
          <w:sz w:val="24"/>
          <w:szCs w:val="24"/>
        </w:rPr>
      </w:pPr>
      <w:r w:rsidRPr="005C51B9">
        <w:rPr>
          <w:b/>
          <w:sz w:val="24"/>
          <w:szCs w:val="24"/>
        </w:rPr>
        <w:t>ANTECEDENTES</w:t>
      </w:r>
    </w:p>
    <w:p w14:paraId="5A39BBE3" w14:textId="77777777" w:rsidR="00AA5C2B" w:rsidRPr="005C51B9" w:rsidRDefault="00AA5C2B" w:rsidP="005C51B9">
      <w:pPr>
        <w:spacing w:line="276" w:lineRule="auto"/>
        <w:jc w:val="both"/>
        <w:rPr>
          <w:rFonts w:ascii="Arial" w:hAnsi="Arial" w:cs="Arial"/>
          <w:lang w:val="es-ES_tradnl"/>
        </w:rPr>
      </w:pPr>
    </w:p>
    <w:p w14:paraId="755D171A" w14:textId="214DA1ED" w:rsidR="00AA5C2B" w:rsidRPr="005C51B9" w:rsidRDefault="00B42F4D" w:rsidP="005C51B9">
      <w:pPr>
        <w:spacing w:line="276" w:lineRule="auto"/>
        <w:jc w:val="both"/>
        <w:rPr>
          <w:rFonts w:ascii="Arial" w:hAnsi="Arial" w:cs="Arial"/>
        </w:rPr>
      </w:pPr>
      <w:r w:rsidRPr="005C51B9">
        <w:rPr>
          <w:rFonts w:ascii="Arial" w:hAnsi="Arial" w:cs="Arial"/>
        </w:rPr>
        <w:t xml:space="preserve">Indica el señor </w:t>
      </w:r>
      <w:r w:rsidR="00C60A45" w:rsidRPr="005C51B9">
        <w:rPr>
          <w:rFonts w:ascii="Arial" w:hAnsi="Arial" w:cs="Arial"/>
        </w:rPr>
        <w:t>Aníbal</w:t>
      </w:r>
      <w:r w:rsidRPr="005C51B9">
        <w:rPr>
          <w:rFonts w:ascii="Arial" w:hAnsi="Arial" w:cs="Arial"/>
        </w:rPr>
        <w:t xml:space="preserve"> de Jesús Villegas Escobar que inició acción laboral en contra de la </w:t>
      </w:r>
      <w:r w:rsidR="00C72DD1" w:rsidRPr="005C51B9">
        <w:rPr>
          <w:rFonts w:ascii="Arial" w:hAnsi="Arial" w:cs="Arial"/>
        </w:rPr>
        <w:t>Sociedad Juan Carlos Gaviria Trujillo y Cía S. en C.S. y de los señores Juan Carlos Gaviria Trujillo, Luz Marina Salazar Giraldo y Juan Martin y Daniel Gaviria Salazar</w:t>
      </w:r>
      <w:r w:rsidR="00A12B50" w:rsidRPr="005C51B9">
        <w:rPr>
          <w:rFonts w:ascii="Arial" w:hAnsi="Arial" w:cs="Arial"/>
        </w:rPr>
        <w:t xml:space="preserve">; que para efectos de notificación reportó como </w:t>
      </w:r>
      <w:r w:rsidR="00130350" w:rsidRPr="005C51B9">
        <w:rPr>
          <w:rFonts w:ascii="Arial" w:hAnsi="Arial" w:cs="Arial"/>
        </w:rPr>
        <w:t>dirección física y electrónica la re</w:t>
      </w:r>
      <w:r w:rsidR="00C60A45" w:rsidRPr="005C51B9">
        <w:rPr>
          <w:rFonts w:ascii="Arial" w:hAnsi="Arial" w:cs="Arial"/>
        </w:rPr>
        <w:t>gistrada</w:t>
      </w:r>
      <w:r w:rsidR="00130350" w:rsidRPr="005C51B9">
        <w:rPr>
          <w:rFonts w:ascii="Arial" w:hAnsi="Arial" w:cs="Arial"/>
        </w:rPr>
        <w:t xml:space="preserve"> por la sociedad accionada esto es “</w:t>
      </w:r>
      <w:r w:rsidR="00130350" w:rsidRPr="005C51B9">
        <w:rPr>
          <w:rFonts w:ascii="Arial" w:hAnsi="Arial" w:cs="Arial"/>
          <w:i/>
        </w:rPr>
        <w:t>Carrera 10 Diagonal Esquina, Edificio Acuaseo Oficina J, Dosquebradas, Risaralda.</w:t>
      </w:r>
      <w:r w:rsidR="006F1CEC" w:rsidRPr="005C51B9">
        <w:rPr>
          <w:rFonts w:ascii="Arial" w:hAnsi="Arial" w:cs="Arial"/>
          <w:i/>
        </w:rPr>
        <w:t xml:space="preserve"> </w:t>
      </w:r>
      <w:r w:rsidR="00130350" w:rsidRPr="005C51B9">
        <w:rPr>
          <w:rFonts w:ascii="Arial" w:hAnsi="Arial" w:cs="Arial"/>
          <w:i/>
        </w:rPr>
        <w:t xml:space="preserve">Correo electrónico: </w:t>
      </w:r>
      <w:hyperlink r:id="rId10" w:history="1">
        <w:r w:rsidR="00130350" w:rsidRPr="005C51B9">
          <w:rPr>
            <w:rStyle w:val="Hipervnculo"/>
            <w:rFonts w:ascii="Arial" w:hAnsi="Arial" w:cs="Arial"/>
            <w:i/>
          </w:rPr>
          <w:t>jcgtycia@hotmail.com</w:t>
        </w:r>
      </w:hyperlink>
      <w:r w:rsidR="00130350" w:rsidRPr="005C51B9">
        <w:rPr>
          <w:rFonts w:ascii="Arial" w:hAnsi="Arial" w:cs="Arial"/>
        </w:rPr>
        <w:t>”; que el día 5 de marzo de 2021 el juzgado accionado notificó a los demandados al citado correo electrónico.</w:t>
      </w:r>
    </w:p>
    <w:p w14:paraId="6FE7C76E" w14:textId="29DAC30B" w:rsidR="00130350" w:rsidRPr="005C51B9" w:rsidRDefault="00130350" w:rsidP="005C51B9">
      <w:pPr>
        <w:spacing w:line="276" w:lineRule="auto"/>
        <w:jc w:val="both"/>
        <w:rPr>
          <w:rFonts w:ascii="Arial" w:hAnsi="Arial" w:cs="Arial"/>
        </w:rPr>
      </w:pPr>
    </w:p>
    <w:p w14:paraId="48794F0B" w14:textId="7B281025" w:rsidR="00130350" w:rsidRPr="005C51B9" w:rsidRDefault="00130350" w:rsidP="005C51B9">
      <w:pPr>
        <w:spacing w:line="276" w:lineRule="auto"/>
        <w:jc w:val="both"/>
        <w:rPr>
          <w:rFonts w:ascii="Arial" w:hAnsi="Arial" w:cs="Arial"/>
        </w:rPr>
      </w:pPr>
      <w:r w:rsidRPr="005C51B9">
        <w:rPr>
          <w:rFonts w:ascii="Arial" w:hAnsi="Arial" w:cs="Arial"/>
        </w:rPr>
        <w:t>Refiere que</w:t>
      </w:r>
      <w:r w:rsidR="006F1CEC" w:rsidRPr="005C51B9">
        <w:rPr>
          <w:rFonts w:ascii="Arial" w:hAnsi="Arial" w:cs="Arial"/>
        </w:rPr>
        <w:t xml:space="preserve"> el día 8 de abril de igual año solicitó el emplazamiento de los demandados toda vez que no comparecieron al proceso; sin embargo, el juzgado de conocimiento negó la solicitud y</w:t>
      </w:r>
      <w:r w:rsidR="00C60A45" w:rsidRPr="005C51B9">
        <w:rPr>
          <w:rFonts w:ascii="Arial" w:hAnsi="Arial" w:cs="Arial"/>
        </w:rPr>
        <w:t>,</w:t>
      </w:r>
      <w:r w:rsidR="006F1CEC" w:rsidRPr="005C51B9">
        <w:rPr>
          <w:rFonts w:ascii="Arial" w:hAnsi="Arial" w:cs="Arial"/>
        </w:rPr>
        <w:t xml:space="preserve"> en su defecto, lo requirió para que realizara la notificación </w:t>
      </w:r>
      <w:r w:rsidR="00036EBD" w:rsidRPr="005C51B9">
        <w:rPr>
          <w:rFonts w:ascii="Arial" w:hAnsi="Arial" w:cs="Arial"/>
        </w:rPr>
        <w:t>de conformidad con lo dispuesto en el artículo 291 y 293 del Código General del Proceso en armonía con el artículo 29 del Código Procesal del Trabajo y la Seguridad Social; que contra esa decisión no interpuso recurso de reposición, toda vez que se trata de un auto de simple impulso.</w:t>
      </w:r>
    </w:p>
    <w:p w14:paraId="23F86A9F" w14:textId="0C1F24E4" w:rsidR="00036EBD" w:rsidRPr="005C51B9" w:rsidRDefault="00036EBD" w:rsidP="005C51B9">
      <w:pPr>
        <w:spacing w:line="276" w:lineRule="auto"/>
        <w:jc w:val="both"/>
        <w:rPr>
          <w:rFonts w:ascii="Arial" w:hAnsi="Arial" w:cs="Arial"/>
        </w:rPr>
      </w:pPr>
    </w:p>
    <w:p w14:paraId="21D6EB1D" w14:textId="71FEEA0D" w:rsidR="00036EBD" w:rsidRPr="005C51B9" w:rsidRDefault="00036EBD" w:rsidP="005C51B9">
      <w:pPr>
        <w:spacing w:line="276" w:lineRule="auto"/>
        <w:jc w:val="both"/>
        <w:rPr>
          <w:rFonts w:ascii="Arial" w:hAnsi="Arial" w:cs="Arial"/>
        </w:rPr>
      </w:pPr>
      <w:r w:rsidRPr="005C51B9">
        <w:rPr>
          <w:rFonts w:ascii="Arial" w:hAnsi="Arial" w:cs="Arial"/>
        </w:rPr>
        <w:t>Señala que en escrito de 28 de octubre de 2022 solicitó al juzgado que</w:t>
      </w:r>
      <w:r w:rsidR="00092F77" w:rsidRPr="005C51B9">
        <w:rPr>
          <w:rFonts w:ascii="Arial" w:hAnsi="Arial" w:cs="Arial"/>
        </w:rPr>
        <w:t xml:space="preserve"> </w:t>
      </w:r>
      <w:r w:rsidRPr="005C51B9">
        <w:rPr>
          <w:rFonts w:ascii="Arial" w:hAnsi="Arial" w:cs="Arial"/>
        </w:rPr>
        <w:t>tuviera por notificados a Juan Carlos Gaviria Trujillo y Cía S. en C.S. y al demandado Juan Carlos Gaviria Trujillo</w:t>
      </w:r>
      <w:r w:rsidR="00C60A45" w:rsidRPr="005C51B9">
        <w:rPr>
          <w:rFonts w:ascii="Arial" w:hAnsi="Arial" w:cs="Arial"/>
        </w:rPr>
        <w:t xml:space="preserve"> y</w:t>
      </w:r>
      <w:r w:rsidRPr="005C51B9">
        <w:rPr>
          <w:rFonts w:ascii="Arial" w:hAnsi="Arial" w:cs="Arial"/>
        </w:rPr>
        <w:t xml:space="preserve"> ordenara el emplazamiento de Juan Carlos Gaviria Trujillo, Luz Marina Salazar Giraldo y Juan Martin y Daniel Gaviria Salazar</w:t>
      </w:r>
      <w:r w:rsidR="00C60A45" w:rsidRPr="005C51B9">
        <w:rPr>
          <w:rFonts w:ascii="Arial" w:hAnsi="Arial" w:cs="Arial"/>
        </w:rPr>
        <w:t xml:space="preserve">, así como su inclusión </w:t>
      </w:r>
      <w:r w:rsidR="00092F77" w:rsidRPr="005C51B9">
        <w:rPr>
          <w:rFonts w:ascii="Arial" w:hAnsi="Arial" w:cs="Arial"/>
        </w:rPr>
        <w:t>en el Registro Nacional de Personas Emplazadas.</w:t>
      </w:r>
    </w:p>
    <w:p w14:paraId="7BFBD344" w14:textId="7B9F5CBF" w:rsidR="00AA5C2B" w:rsidRPr="005C51B9" w:rsidRDefault="00AA5C2B" w:rsidP="005C51B9">
      <w:pPr>
        <w:spacing w:line="276" w:lineRule="auto"/>
        <w:jc w:val="both"/>
        <w:rPr>
          <w:rFonts w:ascii="Arial" w:hAnsi="Arial" w:cs="Arial"/>
        </w:rPr>
      </w:pPr>
    </w:p>
    <w:p w14:paraId="5DF8FBF3" w14:textId="6C6E9E96" w:rsidR="00F4092A" w:rsidRPr="005C51B9" w:rsidRDefault="42EB78EA" w:rsidP="005C51B9">
      <w:pPr>
        <w:spacing w:line="276" w:lineRule="auto"/>
        <w:jc w:val="both"/>
        <w:rPr>
          <w:rFonts w:ascii="Arial" w:hAnsi="Arial" w:cs="Arial"/>
        </w:rPr>
      </w:pPr>
      <w:r w:rsidRPr="005C51B9">
        <w:rPr>
          <w:rFonts w:ascii="Arial" w:hAnsi="Arial" w:cs="Arial"/>
        </w:rPr>
        <w:t>Aduce</w:t>
      </w:r>
      <w:r w:rsidR="00092F77" w:rsidRPr="005C51B9">
        <w:rPr>
          <w:rFonts w:ascii="Arial" w:hAnsi="Arial" w:cs="Arial"/>
        </w:rPr>
        <w:t xml:space="preserve"> que luego de varios requerimientos, el juzgado mediante auto de 26 de septiembre de 2023 </w:t>
      </w:r>
      <w:r w:rsidR="00300821" w:rsidRPr="005C51B9">
        <w:rPr>
          <w:rFonts w:ascii="Arial" w:hAnsi="Arial" w:cs="Arial"/>
          <w:i/>
          <w:iCs/>
        </w:rPr>
        <w:t>i)</w:t>
      </w:r>
      <w:r w:rsidR="00300821" w:rsidRPr="005C51B9">
        <w:rPr>
          <w:rFonts w:ascii="Arial" w:hAnsi="Arial" w:cs="Arial"/>
        </w:rPr>
        <w:t xml:space="preserve"> </w:t>
      </w:r>
      <w:r w:rsidR="00F4092A" w:rsidRPr="005C51B9">
        <w:rPr>
          <w:rFonts w:ascii="Arial" w:hAnsi="Arial" w:cs="Arial"/>
        </w:rPr>
        <w:t>dejó sin efectos el auto de fecha 4 de octubre de 2021 en lo que concierne a Juan Carlos Gaviria Trujillo</w:t>
      </w:r>
      <w:r w:rsidR="00300821" w:rsidRPr="005C51B9">
        <w:rPr>
          <w:rFonts w:ascii="Arial" w:hAnsi="Arial" w:cs="Arial"/>
        </w:rPr>
        <w:t xml:space="preserve">, declarando, en consecuencia, efectiva la notificación realizada a éste por correo electrónico </w:t>
      </w:r>
      <w:r w:rsidR="00F4092A" w:rsidRPr="005C51B9">
        <w:rPr>
          <w:rFonts w:ascii="Arial" w:hAnsi="Arial" w:cs="Arial"/>
        </w:rPr>
        <w:t xml:space="preserve">el 5 de marzo de 2021; </w:t>
      </w:r>
      <w:r w:rsidR="00300821" w:rsidRPr="005C51B9">
        <w:rPr>
          <w:rFonts w:ascii="Arial" w:hAnsi="Arial" w:cs="Arial"/>
          <w:i/>
          <w:iCs/>
        </w:rPr>
        <w:t>ii)</w:t>
      </w:r>
      <w:r w:rsidR="00300821" w:rsidRPr="005C51B9">
        <w:rPr>
          <w:rFonts w:ascii="Arial" w:hAnsi="Arial" w:cs="Arial"/>
        </w:rPr>
        <w:t xml:space="preserve"> </w:t>
      </w:r>
      <w:r w:rsidR="00F4092A" w:rsidRPr="005C51B9">
        <w:rPr>
          <w:rFonts w:ascii="Arial" w:hAnsi="Arial" w:cs="Arial"/>
        </w:rPr>
        <w:t xml:space="preserve">tuvo como notificado el referido demandado y </w:t>
      </w:r>
      <w:r w:rsidR="00300821" w:rsidRPr="005C51B9">
        <w:rPr>
          <w:rFonts w:ascii="Arial" w:hAnsi="Arial" w:cs="Arial"/>
          <w:i/>
          <w:iCs/>
        </w:rPr>
        <w:t>iii)</w:t>
      </w:r>
      <w:r w:rsidR="00300821" w:rsidRPr="005C51B9">
        <w:rPr>
          <w:rFonts w:ascii="Arial" w:hAnsi="Arial" w:cs="Arial"/>
        </w:rPr>
        <w:t xml:space="preserve"> </w:t>
      </w:r>
      <w:r w:rsidR="00F4092A" w:rsidRPr="005C51B9">
        <w:rPr>
          <w:rFonts w:ascii="Arial" w:hAnsi="Arial" w:cs="Arial"/>
        </w:rPr>
        <w:t xml:space="preserve">lo instó a realizar las gestiones para </w:t>
      </w:r>
      <w:r w:rsidR="1808FE6D" w:rsidRPr="005C51B9">
        <w:rPr>
          <w:rFonts w:ascii="Arial" w:hAnsi="Arial" w:cs="Arial"/>
        </w:rPr>
        <w:t>realiz</w:t>
      </w:r>
      <w:r w:rsidR="00F4092A" w:rsidRPr="005C51B9">
        <w:rPr>
          <w:rFonts w:ascii="Arial" w:hAnsi="Arial" w:cs="Arial"/>
        </w:rPr>
        <w:t xml:space="preserve">ar la notificación por aviso de los señores Luz Marina Salazar Giraldo y Juan Martin y Daniel Gaviria Salazar. </w:t>
      </w:r>
    </w:p>
    <w:p w14:paraId="17DF6E74" w14:textId="719D15CE" w:rsidR="00F4092A" w:rsidRPr="005C51B9" w:rsidRDefault="00F4092A" w:rsidP="005C51B9">
      <w:pPr>
        <w:spacing w:line="276" w:lineRule="auto"/>
        <w:jc w:val="both"/>
        <w:rPr>
          <w:rFonts w:ascii="Arial" w:hAnsi="Arial" w:cs="Arial"/>
        </w:rPr>
      </w:pPr>
    </w:p>
    <w:p w14:paraId="0E928A11" w14:textId="6BD5E928" w:rsidR="00683AB6" w:rsidRPr="005C51B9" w:rsidRDefault="00F4092A" w:rsidP="005C51B9">
      <w:pPr>
        <w:spacing w:line="276" w:lineRule="auto"/>
        <w:jc w:val="both"/>
        <w:rPr>
          <w:rFonts w:ascii="Arial" w:hAnsi="Arial" w:cs="Arial"/>
        </w:rPr>
      </w:pPr>
      <w:r w:rsidRPr="005C51B9">
        <w:rPr>
          <w:rFonts w:ascii="Arial" w:hAnsi="Arial" w:cs="Arial"/>
        </w:rPr>
        <w:t xml:space="preserve">Considera entonces que la insistencia del juzgado en que se surta la notificación por aviso y la negativa a emplazar a los demandados, </w:t>
      </w:r>
      <w:r w:rsidR="00300821" w:rsidRPr="005C51B9">
        <w:rPr>
          <w:rFonts w:ascii="Arial" w:hAnsi="Arial" w:cs="Arial"/>
        </w:rPr>
        <w:t>es vulneratoria</w:t>
      </w:r>
      <w:r w:rsidRPr="005C51B9">
        <w:rPr>
          <w:rFonts w:ascii="Arial" w:hAnsi="Arial" w:cs="Arial"/>
        </w:rPr>
        <w:t xml:space="preserve"> del derecho fundamental al debido proce</w:t>
      </w:r>
      <w:r w:rsidR="00683AB6" w:rsidRPr="005C51B9">
        <w:rPr>
          <w:rFonts w:ascii="Arial" w:hAnsi="Arial" w:cs="Arial"/>
        </w:rPr>
        <w:t>so y al acceso a la administración de justicia, por lo que solicita su protección y, como medida de restablecimiento, pide que se deje</w:t>
      </w:r>
      <w:r w:rsidR="03A46BAC" w:rsidRPr="005C51B9">
        <w:rPr>
          <w:rFonts w:ascii="Arial" w:hAnsi="Arial" w:cs="Arial"/>
        </w:rPr>
        <w:t>n</w:t>
      </w:r>
      <w:r w:rsidR="00683AB6" w:rsidRPr="005C51B9">
        <w:rPr>
          <w:rFonts w:ascii="Arial" w:hAnsi="Arial" w:cs="Arial"/>
        </w:rPr>
        <w:t xml:space="preserve"> sin efecto los auto</w:t>
      </w:r>
      <w:r w:rsidR="00300821" w:rsidRPr="005C51B9">
        <w:rPr>
          <w:rFonts w:ascii="Arial" w:hAnsi="Arial" w:cs="Arial"/>
        </w:rPr>
        <w:t>s</w:t>
      </w:r>
      <w:r w:rsidR="00683AB6" w:rsidRPr="005C51B9">
        <w:rPr>
          <w:rFonts w:ascii="Arial" w:hAnsi="Arial" w:cs="Arial"/>
        </w:rPr>
        <w:t xml:space="preserve"> del 4 de octubre de 2021 y el 26 de septiembre hogaño proferidos por el juzgado de conocimiento, a través de los cuales se niega el emplazamiento de los señores Luz Marina Salazar Giraldo y Juan Martin y Daniel Gaviria Salazar y</w:t>
      </w:r>
      <w:r w:rsidR="00300821" w:rsidRPr="005C51B9">
        <w:rPr>
          <w:rFonts w:ascii="Arial" w:hAnsi="Arial" w:cs="Arial"/>
        </w:rPr>
        <w:t xml:space="preserve">, </w:t>
      </w:r>
      <w:r w:rsidR="00683AB6" w:rsidRPr="005C51B9">
        <w:rPr>
          <w:rFonts w:ascii="Arial" w:hAnsi="Arial" w:cs="Arial"/>
        </w:rPr>
        <w:t xml:space="preserve"> en su lugar</w:t>
      </w:r>
      <w:r w:rsidR="00300821" w:rsidRPr="005C51B9">
        <w:rPr>
          <w:rFonts w:ascii="Arial" w:hAnsi="Arial" w:cs="Arial"/>
        </w:rPr>
        <w:t xml:space="preserve">, </w:t>
      </w:r>
      <w:r w:rsidR="00683AB6" w:rsidRPr="005C51B9">
        <w:rPr>
          <w:rFonts w:ascii="Arial" w:hAnsi="Arial" w:cs="Arial"/>
        </w:rPr>
        <w:t xml:space="preserve"> se accede </w:t>
      </w:r>
      <w:r w:rsidR="00300821" w:rsidRPr="005C51B9">
        <w:rPr>
          <w:rFonts w:ascii="Arial" w:hAnsi="Arial" w:cs="Arial"/>
        </w:rPr>
        <w:t>a ello.</w:t>
      </w:r>
      <w:r w:rsidR="00683AB6" w:rsidRPr="005C51B9">
        <w:rPr>
          <w:rFonts w:ascii="Arial" w:hAnsi="Arial" w:cs="Arial"/>
        </w:rPr>
        <w:t xml:space="preserve"> </w:t>
      </w:r>
    </w:p>
    <w:p w14:paraId="325A6C7C" w14:textId="6FBF0793" w:rsidR="00F4092A" w:rsidRPr="005C51B9" w:rsidRDefault="00683AB6" w:rsidP="005C51B9">
      <w:pPr>
        <w:spacing w:line="276" w:lineRule="auto"/>
        <w:jc w:val="both"/>
        <w:rPr>
          <w:rFonts w:ascii="Arial" w:hAnsi="Arial" w:cs="Arial"/>
        </w:rPr>
      </w:pPr>
      <w:r w:rsidRPr="005C51B9">
        <w:rPr>
          <w:rFonts w:ascii="Arial" w:hAnsi="Arial" w:cs="Arial"/>
        </w:rPr>
        <w:t xml:space="preserve">  </w:t>
      </w:r>
    </w:p>
    <w:p w14:paraId="5CE58782" w14:textId="71797CA7" w:rsidR="00AA5C2B" w:rsidRPr="005C51B9" w:rsidRDefault="00AA5C2B" w:rsidP="005C51B9">
      <w:pPr>
        <w:pStyle w:val="Ttulo2"/>
        <w:spacing w:line="276" w:lineRule="auto"/>
        <w:jc w:val="center"/>
        <w:rPr>
          <w:rFonts w:ascii="Arial" w:eastAsia="Arial" w:hAnsi="Arial"/>
          <w:szCs w:val="24"/>
        </w:rPr>
      </w:pPr>
      <w:r w:rsidRPr="005C51B9">
        <w:rPr>
          <w:rFonts w:ascii="Arial" w:eastAsia="Arial" w:hAnsi="Arial"/>
          <w:szCs w:val="24"/>
        </w:rPr>
        <w:lastRenderedPageBreak/>
        <w:t>TRÁMITE IMPARTIDO</w:t>
      </w:r>
    </w:p>
    <w:p w14:paraId="3656B9AB" w14:textId="77777777" w:rsidR="0068244F" w:rsidRPr="005C51B9" w:rsidRDefault="0068244F" w:rsidP="005C51B9">
      <w:pPr>
        <w:spacing w:line="276" w:lineRule="auto"/>
        <w:rPr>
          <w:rFonts w:ascii="Arial" w:hAnsi="Arial" w:cs="Arial"/>
          <w:lang w:val="es-ES_tradnl"/>
        </w:rPr>
      </w:pPr>
    </w:p>
    <w:p w14:paraId="45FB0818" w14:textId="77777777" w:rsidR="00AA5C2B" w:rsidRPr="005C51B9" w:rsidRDefault="00AA5C2B" w:rsidP="005C51B9">
      <w:pPr>
        <w:spacing w:line="276" w:lineRule="auto"/>
        <w:rPr>
          <w:rFonts w:ascii="Arial" w:hAnsi="Arial" w:cs="Arial"/>
          <w:lang w:val="es-ES_tradnl"/>
        </w:rPr>
      </w:pPr>
    </w:p>
    <w:p w14:paraId="1E3CECE1" w14:textId="6210A6C5" w:rsidR="00683AB6" w:rsidRPr="005C51B9" w:rsidRDefault="00683AB6" w:rsidP="005C51B9">
      <w:pPr>
        <w:spacing w:line="276" w:lineRule="auto"/>
        <w:jc w:val="both"/>
        <w:rPr>
          <w:rFonts w:ascii="Arial" w:hAnsi="Arial" w:cs="Arial"/>
        </w:rPr>
      </w:pPr>
      <w:r w:rsidRPr="005C51B9">
        <w:rPr>
          <w:rFonts w:ascii="Arial" w:hAnsi="Arial" w:cs="Arial"/>
        </w:rPr>
        <w:t xml:space="preserve">La acción fue admitida mediante auto de fecha 12 de los corrientes, confiriéndole al Juzgado Laboral del Circuito de Dosquebradas el término de dos (2) días para pronunciarse en torno a la acción.  Igual lapso le fue </w:t>
      </w:r>
      <w:r w:rsidR="00300821" w:rsidRPr="005C51B9">
        <w:rPr>
          <w:rFonts w:ascii="Arial" w:hAnsi="Arial" w:cs="Arial"/>
        </w:rPr>
        <w:t xml:space="preserve">otorgado </w:t>
      </w:r>
      <w:r w:rsidRPr="005C51B9">
        <w:rPr>
          <w:rFonts w:ascii="Arial" w:hAnsi="Arial" w:cs="Arial"/>
        </w:rPr>
        <w:t>a Juan Carlos Gaviria Trujillo y Cía S en C.S.</w:t>
      </w:r>
      <w:r w:rsidR="00AA36E3" w:rsidRPr="005C51B9">
        <w:rPr>
          <w:rFonts w:ascii="Arial" w:hAnsi="Arial" w:cs="Arial"/>
        </w:rPr>
        <w:t xml:space="preserve"> y a Juan Carlos Gaviria Trujillo</w:t>
      </w:r>
      <w:r w:rsidRPr="005C51B9">
        <w:rPr>
          <w:rFonts w:ascii="Arial" w:hAnsi="Arial" w:cs="Arial"/>
        </w:rPr>
        <w:t>, quienes fueron vinculad</w:t>
      </w:r>
      <w:r w:rsidR="00AA36E3" w:rsidRPr="005C51B9">
        <w:rPr>
          <w:rFonts w:ascii="Arial" w:hAnsi="Arial" w:cs="Arial"/>
        </w:rPr>
        <w:t>o</w:t>
      </w:r>
      <w:r w:rsidRPr="005C51B9">
        <w:rPr>
          <w:rFonts w:ascii="Arial" w:hAnsi="Arial" w:cs="Arial"/>
        </w:rPr>
        <w:t>s al trámite de manera oficiosa.</w:t>
      </w:r>
    </w:p>
    <w:p w14:paraId="596E865E" w14:textId="252CACF6" w:rsidR="00AA5C2B" w:rsidRPr="005C51B9" w:rsidRDefault="00AA5C2B" w:rsidP="005C51B9">
      <w:pPr>
        <w:overflowPunct w:val="0"/>
        <w:autoSpaceDE w:val="0"/>
        <w:autoSpaceDN w:val="0"/>
        <w:adjustRightInd w:val="0"/>
        <w:spacing w:line="276" w:lineRule="auto"/>
        <w:jc w:val="both"/>
        <w:textAlignment w:val="baseline"/>
        <w:rPr>
          <w:rFonts w:ascii="Arial" w:hAnsi="Arial" w:cs="Arial"/>
          <w:b/>
          <w:bCs/>
        </w:rPr>
      </w:pPr>
    </w:p>
    <w:p w14:paraId="2E3E17A4" w14:textId="546F94D3" w:rsidR="00AA5C2B" w:rsidRPr="005C51B9" w:rsidRDefault="00AA36E3" w:rsidP="005C51B9">
      <w:pPr>
        <w:overflowPunct w:val="0"/>
        <w:autoSpaceDE w:val="0"/>
        <w:autoSpaceDN w:val="0"/>
        <w:adjustRightInd w:val="0"/>
        <w:spacing w:line="276" w:lineRule="auto"/>
        <w:jc w:val="both"/>
        <w:textAlignment w:val="baseline"/>
        <w:rPr>
          <w:rFonts w:ascii="Arial" w:hAnsi="Arial" w:cs="Arial"/>
        </w:rPr>
      </w:pPr>
      <w:r w:rsidRPr="005C51B9">
        <w:rPr>
          <w:rFonts w:ascii="Arial" w:hAnsi="Arial" w:cs="Arial"/>
        </w:rPr>
        <w:t xml:space="preserve">El juzgado accionado integró la litis precisando que el actor busca que se acceda al emplazamiento de los señores Luz Marina Salazar Giraldo y Juan Martin y Daniel Gaviria Salazar, pretermitiendo </w:t>
      </w:r>
      <w:r w:rsidR="00300821" w:rsidRPr="005C51B9">
        <w:rPr>
          <w:rFonts w:ascii="Arial" w:hAnsi="Arial" w:cs="Arial"/>
        </w:rPr>
        <w:t xml:space="preserve">la fase de notificación personal en </w:t>
      </w:r>
      <w:r w:rsidRPr="005C51B9">
        <w:rPr>
          <w:rFonts w:ascii="Arial" w:hAnsi="Arial" w:cs="Arial"/>
        </w:rPr>
        <w:t>la dirección física que él mismo report</w:t>
      </w:r>
      <w:r w:rsidR="42FE7176" w:rsidRPr="005C51B9">
        <w:rPr>
          <w:rFonts w:ascii="Arial" w:hAnsi="Arial" w:cs="Arial"/>
        </w:rPr>
        <w:t>ó</w:t>
      </w:r>
      <w:r w:rsidRPr="005C51B9">
        <w:rPr>
          <w:rFonts w:ascii="Arial" w:hAnsi="Arial" w:cs="Arial"/>
        </w:rPr>
        <w:t xml:space="preserve"> para que se realizara la notificación, so pretexto de desconocer los correos electrónicos de los referidos demandados.</w:t>
      </w:r>
    </w:p>
    <w:p w14:paraId="5290BA9C" w14:textId="1553CD30" w:rsidR="00AA36E3" w:rsidRPr="005C51B9" w:rsidRDefault="00AA36E3" w:rsidP="005C51B9">
      <w:pPr>
        <w:overflowPunct w:val="0"/>
        <w:autoSpaceDE w:val="0"/>
        <w:autoSpaceDN w:val="0"/>
        <w:adjustRightInd w:val="0"/>
        <w:spacing w:line="276" w:lineRule="auto"/>
        <w:jc w:val="both"/>
        <w:textAlignment w:val="baseline"/>
        <w:rPr>
          <w:rFonts w:ascii="Arial" w:hAnsi="Arial" w:cs="Arial"/>
        </w:rPr>
      </w:pPr>
    </w:p>
    <w:p w14:paraId="4AF36E19" w14:textId="370B481D" w:rsidR="00AA36E3" w:rsidRPr="005C51B9" w:rsidRDefault="00AA36E3" w:rsidP="005C51B9">
      <w:pPr>
        <w:overflowPunct w:val="0"/>
        <w:autoSpaceDE w:val="0"/>
        <w:autoSpaceDN w:val="0"/>
        <w:adjustRightInd w:val="0"/>
        <w:spacing w:line="276" w:lineRule="auto"/>
        <w:jc w:val="both"/>
        <w:textAlignment w:val="baseline"/>
        <w:rPr>
          <w:rFonts w:ascii="Arial" w:hAnsi="Arial" w:cs="Arial"/>
        </w:rPr>
      </w:pPr>
      <w:r w:rsidRPr="005C51B9">
        <w:rPr>
          <w:rFonts w:ascii="Arial" w:hAnsi="Arial" w:cs="Arial"/>
        </w:rPr>
        <w:t>Respecto a la afectación de derechos fundamentales</w:t>
      </w:r>
      <w:r w:rsidR="00300821" w:rsidRPr="005C51B9">
        <w:rPr>
          <w:rFonts w:ascii="Arial" w:hAnsi="Arial" w:cs="Arial"/>
        </w:rPr>
        <w:t xml:space="preserve"> del ciudadano</w:t>
      </w:r>
      <w:r w:rsidRPr="005C51B9">
        <w:rPr>
          <w:rFonts w:ascii="Arial" w:hAnsi="Arial" w:cs="Arial"/>
        </w:rPr>
        <w:t xml:space="preserve">, advirtió </w:t>
      </w:r>
      <w:r w:rsidR="00C60275" w:rsidRPr="005C51B9">
        <w:rPr>
          <w:rFonts w:ascii="Arial" w:hAnsi="Arial" w:cs="Arial"/>
        </w:rPr>
        <w:t xml:space="preserve">que </w:t>
      </w:r>
      <w:r w:rsidRPr="005C51B9">
        <w:rPr>
          <w:rFonts w:ascii="Arial" w:hAnsi="Arial" w:cs="Arial"/>
        </w:rPr>
        <w:t>los argumentos para tomar las decisiones que hoy se cuestionan quedaron allí plasmados, los cuales pone a disposición de esta Corporación para lo pertinente.</w:t>
      </w:r>
    </w:p>
    <w:p w14:paraId="712E0710" w14:textId="77777777" w:rsidR="00AA36E3" w:rsidRPr="005C51B9" w:rsidRDefault="00AA36E3" w:rsidP="005C51B9">
      <w:pPr>
        <w:overflowPunct w:val="0"/>
        <w:autoSpaceDE w:val="0"/>
        <w:autoSpaceDN w:val="0"/>
        <w:adjustRightInd w:val="0"/>
        <w:spacing w:line="276" w:lineRule="auto"/>
        <w:jc w:val="both"/>
        <w:textAlignment w:val="baseline"/>
        <w:rPr>
          <w:rFonts w:ascii="Arial" w:hAnsi="Arial" w:cs="Arial"/>
        </w:rPr>
      </w:pPr>
    </w:p>
    <w:p w14:paraId="680F36C3" w14:textId="1A3175F4" w:rsidR="00AA5C2B" w:rsidRPr="005C51B9" w:rsidRDefault="00AA5C2B" w:rsidP="005C51B9">
      <w:pPr>
        <w:overflowPunct w:val="0"/>
        <w:autoSpaceDE w:val="0"/>
        <w:autoSpaceDN w:val="0"/>
        <w:adjustRightInd w:val="0"/>
        <w:spacing w:line="276" w:lineRule="auto"/>
        <w:jc w:val="center"/>
        <w:textAlignment w:val="baseline"/>
        <w:rPr>
          <w:rFonts w:ascii="Arial" w:hAnsi="Arial" w:cs="Arial"/>
          <w:b/>
          <w:bCs/>
        </w:rPr>
      </w:pPr>
      <w:r w:rsidRPr="005C51B9">
        <w:rPr>
          <w:rFonts w:ascii="Arial" w:hAnsi="Arial" w:cs="Arial"/>
          <w:b/>
          <w:bCs/>
        </w:rPr>
        <w:t xml:space="preserve">CONSIDERACIONES </w:t>
      </w:r>
    </w:p>
    <w:p w14:paraId="07547A01" w14:textId="04A4CD61" w:rsidR="00AA5C2B" w:rsidRPr="005C51B9" w:rsidRDefault="00AA5C2B" w:rsidP="005C51B9">
      <w:pPr>
        <w:overflowPunct w:val="0"/>
        <w:autoSpaceDE w:val="0"/>
        <w:autoSpaceDN w:val="0"/>
        <w:adjustRightInd w:val="0"/>
        <w:spacing w:line="276" w:lineRule="auto"/>
        <w:jc w:val="center"/>
        <w:textAlignment w:val="baseline"/>
        <w:rPr>
          <w:rFonts w:ascii="Arial" w:hAnsi="Arial" w:cs="Arial"/>
          <w:b/>
          <w:bCs/>
        </w:rPr>
      </w:pPr>
    </w:p>
    <w:p w14:paraId="4650F320" w14:textId="77777777" w:rsidR="00AA5C2B" w:rsidRPr="005C51B9" w:rsidRDefault="00AA5C2B" w:rsidP="005C51B9">
      <w:pPr>
        <w:overflowPunct w:val="0"/>
        <w:autoSpaceDE w:val="0"/>
        <w:autoSpaceDN w:val="0"/>
        <w:adjustRightInd w:val="0"/>
        <w:spacing w:line="276" w:lineRule="auto"/>
        <w:jc w:val="both"/>
        <w:textAlignment w:val="baseline"/>
        <w:rPr>
          <w:rFonts w:ascii="Arial" w:hAnsi="Arial" w:cs="Arial"/>
          <w:b/>
          <w:lang w:val="es-ES_tradnl"/>
        </w:rPr>
      </w:pPr>
      <w:r w:rsidRPr="005C51B9">
        <w:rPr>
          <w:rFonts w:ascii="Arial" w:hAnsi="Arial" w:cs="Arial"/>
          <w:b/>
          <w:lang w:val="es-ES_tradnl"/>
        </w:rPr>
        <w:t>PROBLEMA JURÍDICO</w:t>
      </w:r>
    </w:p>
    <w:p w14:paraId="5043CB0F" w14:textId="77777777" w:rsidR="00AA5C2B" w:rsidRPr="005C51B9" w:rsidRDefault="00AA5C2B" w:rsidP="005C51B9">
      <w:pPr>
        <w:overflowPunct w:val="0"/>
        <w:autoSpaceDE w:val="0"/>
        <w:autoSpaceDN w:val="0"/>
        <w:adjustRightInd w:val="0"/>
        <w:spacing w:line="276" w:lineRule="auto"/>
        <w:jc w:val="both"/>
        <w:textAlignment w:val="baseline"/>
        <w:rPr>
          <w:rFonts w:ascii="Arial" w:hAnsi="Arial" w:cs="Arial"/>
          <w:b/>
          <w:lang w:val="es-ES_tradnl"/>
        </w:rPr>
      </w:pPr>
    </w:p>
    <w:p w14:paraId="5E1D13BF" w14:textId="4E8EEAE6" w:rsidR="00AA5C2B" w:rsidRPr="005C51B9" w:rsidRDefault="0074585F" w:rsidP="005C51B9">
      <w:pPr>
        <w:spacing w:line="276" w:lineRule="auto"/>
        <w:ind w:left="426" w:right="618"/>
        <w:jc w:val="both"/>
        <w:rPr>
          <w:rFonts w:ascii="Arial" w:hAnsi="Arial" w:cs="Arial"/>
          <w:b/>
          <w:bCs/>
          <w:i/>
          <w:iCs/>
        </w:rPr>
      </w:pPr>
      <w:r w:rsidRPr="005C51B9">
        <w:rPr>
          <w:rFonts w:ascii="Arial" w:hAnsi="Arial" w:cs="Arial"/>
          <w:b/>
          <w:bCs/>
        </w:rPr>
        <w:t>¿</w:t>
      </w:r>
      <w:r w:rsidR="00AA5C2B" w:rsidRPr="005C51B9">
        <w:rPr>
          <w:rFonts w:ascii="Arial" w:hAnsi="Arial" w:cs="Arial"/>
          <w:b/>
          <w:bCs/>
          <w:i/>
          <w:iCs/>
        </w:rPr>
        <w:t>Vulner</w:t>
      </w:r>
      <w:r w:rsidR="00AA36E3" w:rsidRPr="005C51B9">
        <w:rPr>
          <w:rFonts w:ascii="Arial" w:hAnsi="Arial" w:cs="Arial"/>
          <w:b/>
          <w:bCs/>
          <w:i/>
          <w:iCs/>
        </w:rPr>
        <w:t>a el despacho accionad</w:t>
      </w:r>
      <w:r w:rsidR="2070B193" w:rsidRPr="005C51B9">
        <w:rPr>
          <w:rFonts w:ascii="Arial" w:hAnsi="Arial" w:cs="Arial"/>
          <w:b/>
          <w:bCs/>
          <w:i/>
          <w:iCs/>
        </w:rPr>
        <w:t>o</w:t>
      </w:r>
      <w:r w:rsidR="00AA36E3" w:rsidRPr="005C51B9">
        <w:rPr>
          <w:rFonts w:ascii="Arial" w:hAnsi="Arial" w:cs="Arial"/>
          <w:b/>
          <w:bCs/>
          <w:i/>
          <w:iCs/>
        </w:rPr>
        <w:t xml:space="preserve"> los derechos fundamentales del actor al negar el emplazamiento de las personas que faltan por notificar</w:t>
      </w:r>
      <w:r w:rsidR="00AA5C2B" w:rsidRPr="005C51B9">
        <w:rPr>
          <w:rFonts w:ascii="Arial" w:hAnsi="Arial" w:cs="Arial"/>
          <w:b/>
          <w:bCs/>
          <w:i/>
          <w:iCs/>
        </w:rPr>
        <w:t>?</w:t>
      </w:r>
    </w:p>
    <w:p w14:paraId="6DFB9E20" w14:textId="77777777" w:rsidR="00AA5C2B" w:rsidRPr="005C51B9" w:rsidRDefault="00AA5C2B" w:rsidP="005C51B9">
      <w:pPr>
        <w:spacing w:line="276" w:lineRule="auto"/>
        <w:ind w:right="51"/>
        <w:jc w:val="both"/>
        <w:rPr>
          <w:rFonts w:ascii="Arial" w:hAnsi="Arial" w:cs="Arial"/>
          <w:iCs/>
        </w:rPr>
      </w:pPr>
    </w:p>
    <w:p w14:paraId="47119745" w14:textId="77777777" w:rsidR="00AA5C2B" w:rsidRPr="005C51B9" w:rsidRDefault="00AA5C2B" w:rsidP="005C51B9">
      <w:pPr>
        <w:spacing w:line="276" w:lineRule="auto"/>
        <w:ind w:right="51"/>
        <w:jc w:val="both"/>
        <w:rPr>
          <w:rFonts w:ascii="Arial" w:hAnsi="Arial" w:cs="Arial"/>
        </w:rPr>
      </w:pPr>
      <w:r w:rsidRPr="005C51B9">
        <w:rPr>
          <w:rFonts w:ascii="Arial" w:hAnsi="Arial" w:cs="Arial"/>
        </w:rPr>
        <w:t>Con el propósito de dar solución al interrogante</w:t>
      </w:r>
      <w:r w:rsidR="00721BD3" w:rsidRPr="005C51B9">
        <w:rPr>
          <w:rFonts w:ascii="Arial" w:hAnsi="Arial" w:cs="Arial"/>
        </w:rPr>
        <w:t xml:space="preserve"> planteado</w:t>
      </w:r>
      <w:r w:rsidRPr="005C51B9">
        <w:rPr>
          <w:rFonts w:ascii="Arial" w:hAnsi="Arial" w:cs="Arial"/>
        </w:rPr>
        <w:t xml:space="preserve"> la Sala considera necesario precisar los siguientes aspectos:</w:t>
      </w:r>
    </w:p>
    <w:p w14:paraId="70DF9E56" w14:textId="756AF477" w:rsidR="00AA5C2B" w:rsidRPr="005C51B9" w:rsidRDefault="00AA5C2B" w:rsidP="005C51B9">
      <w:pPr>
        <w:shd w:val="clear" w:color="auto" w:fill="FFFFFF" w:themeFill="background1"/>
        <w:spacing w:line="276" w:lineRule="auto"/>
        <w:jc w:val="both"/>
        <w:rPr>
          <w:rFonts w:ascii="Arial" w:hAnsi="Arial" w:cs="Arial"/>
          <w:color w:val="2D2D2D"/>
        </w:rPr>
      </w:pPr>
    </w:p>
    <w:p w14:paraId="6E226E34" w14:textId="0460BA4C" w:rsidR="21A6E599" w:rsidRPr="005C51B9" w:rsidRDefault="21A6E599" w:rsidP="005C51B9">
      <w:pPr>
        <w:shd w:val="clear" w:color="auto" w:fill="FFFFFF" w:themeFill="background1"/>
        <w:spacing w:line="276" w:lineRule="auto"/>
        <w:jc w:val="both"/>
        <w:rPr>
          <w:rFonts w:ascii="Arial" w:hAnsi="Arial" w:cs="Arial"/>
          <w:color w:val="2D2D2D"/>
        </w:rPr>
      </w:pPr>
    </w:p>
    <w:p w14:paraId="08DF7A58" w14:textId="77777777" w:rsidR="006E78BA" w:rsidRPr="005C51B9" w:rsidRDefault="006E78BA" w:rsidP="005C51B9">
      <w:pPr>
        <w:pStyle w:val="NormalWeb"/>
        <w:spacing w:before="0" w:beforeAutospacing="0" w:after="0" w:afterAutospacing="0" w:line="276" w:lineRule="auto"/>
        <w:jc w:val="both"/>
        <w:rPr>
          <w:rFonts w:ascii="Arial" w:hAnsi="Arial" w:cs="Arial"/>
        </w:rPr>
      </w:pPr>
      <w:r w:rsidRPr="005C51B9">
        <w:rPr>
          <w:rFonts w:ascii="Arial" w:hAnsi="Arial" w:cs="Arial"/>
          <w:b/>
        </w:rPr>
        <w:t>1. PROCEDENCIA DE LA TUTELA CONTRA DECISIONES JUDICIALES.</w:t>
      </w:r>
    </w:p>
    <w:p w14:paraId="44E871BC" w14:textId="77777777" w:rsidR="006E78BA" w:rsidRPr="005C51B9" w:rsidRDefault="006E78BA" w:rsidP="005C51B9">
      <w:pPr>
        <w:pStyle w:val="NormalWeb"/>
        <w:spacing w:before="0" w:beforeAutospacing="0" w:after="0" w:afterAutospacing="0" w:line="276" w:lineRule="auto"/>
        <w:jc w:val="both"/>
        <w:rPr>
          <w:rFonts w:ascii="Arial" w:hAnsi="Arial" w:cs="Arial"/>
        </w:rPr>
      </w:pPr>
    </w:p>
    <w:p w14:paraId="339ACB00" w14:textId="77777777" w:rsidR="006E78BA" w:rsidRPr="005C51B9" w:rsidRDefault="006E78BA" w:rsidP="005C51B9">
      <w:pPr>
        <w:pStyle w:val="NormalWeb"/>
        <w:spacing w:before="0" w:beforeAutospacing="0" w:after="0" w:afterAutospacing="0" w:line="276" w:lineRule="auto"/>
        <w:jc w:val="both"/>
        <w:rPr>
          <w:rFonts w:ascii="Arial" w:hAnsi="Arial" w:cs="Arial"/>
        </w:rPr>
      </w:pPr>
      <w:r w:rsidRPr="005C51B9">
        <w:rPr>
          <w:rFonts w:ascii="Arial" w:hAnsi="Arial" w:cs="Arial"/>
        </w:rPr>
        <w:t>Para resolver el interrogante es necesario tener en cuenta que desde la entrada en vigencia de la Constitución de 1991 se ha decantado por la jurisprudencia constitucional, respecto a la procedencia de la acción de tutela contra providencias judiciales, que ésta resulta viable en todos aquellos casos en los que la actuación de la autoridad judicial carezca de fundamento objetivo y sus decisiones sean el producto de una actitud arbitraria y caprichosa, que traiga como consecuencia la vulneración de derechos fundamentales de las personas.</w:t>
      </w:r>
    </w:p>
    <w:p w14:paraId="144A5D23" w14:textId="77777777" w:rsidR="006E78BA" w:rsidRPr="005C51B9" w:rsidRDefault="006E78BA" w:rsidP="005C51B9">
      <w:pPr>
        <w:pStyle w:val="NormalWeb"/>
        <w:spacing w:before="0" w:beforeAutospacing="0" w:after="0" w:afterAutospacing="0" w:line="276" w:lineRule="auto"/>
        <w:jc w:val="both"/>
        <w:rPr>
          <w:rFonts w:ascii="Arial" w:hAnsi="Arial" w:cs="Arial"/>
        </w:rPr>
      </w:pPr>
    </w:p>
    <w:p w14:paraId="5A1A5FC6" w14:textId="77777777" w:rsidR="006E78BA" w:rsidRPr="005C51B9" w:rsidRDefault="006E78BA" w:rsidP="005C51B9">
      <w:pPr>
        <w:pStyle w:val="NormalWeb"/>
        <w:spacing w:before="0" w:beforeAutospacing="0" w:after="0" w:afterAutospacing="0" w:line="276" w:lineRule="auto"/>
        <w:jc w:val="both"/>
        <w:rPr>
          <w:rFonts w:ascii="Arial" w:hAnsi="Arial" w:cs="Arial"/>
        </w:rPr>
      </w:pPr>
      <w:r w:rsidRPr="005C51B9">
        <w:rPr>
          <w:rFonts w:ascii="Arial" w:hAnsi="Arial" w:cs="Arial"/>
        </w:rPr>
        <w:t xml:space="preserve">La teoría de las, inicialmente denominadas </w:t>
      </w:r>
      <w:r w:rsidRPr="005C51B9">
        <w:rPr>
          <w:rFonts w:ascii="Arial" w:hAnsi="Arial" w:cs="Arial"/>
          <w:i/>
        </w:rPr>
        <w:t>"vías de hecho"</w:t>
      </w:r>
      <w:r w:rsidRPr="005C51B9">
        <w:rPr>
          <w:rFonts w:ascii="Arial" w:hAnsi="Arial" w:cs="Arial"/>
        </w:rPr>
        <w:t xml:space="preserve">, que abre el paso a la tutela contra providencias judiciales, las caracterizó como decisiones contrarias a la Constitución y a la Ley, que desconocen la obligación del Juez de pronunciarse de acuerdo con la naturaleza misma del proceso, siguiendo los lineamientos trazados en la ley y definiéndolo de conformidad con las pruebas oportuna y legalmente allegadas. Lo anterior por cuanto los servidores públicos y, específicamente, los funcionarios judiciales, no pueden interpretar y aplicar las normas en forma arbitraria, pues ello implicaría abandonar el ámbito de la legalidad y atentar contra los principios del Estado de Derecho. </w:t>
      </w:r>
    </w:p>
    <w:p w14:paraId="738610EB" w14:textId="77777777" w:rsidR="006E78BA" w:rsidRPr="005C51B9" w:rsidRDefault="006E78BA" w:rsidP="005C51B9">
      <w:pPr>
        <w:pStyle w:val="NormalWeb"/>
        <w:spacing w:before="0" w:beforeAutospacing="0" w:after="0" w:afterAutospacing="0" w:line="276" w:lineRule="auto"/>
        <w:jc w:val="both"/>
        <w:rPr>
          <w:rFonts w:ascii="Arial" w:hAnsi="Arial" w:cs="Arial"/>
        </w:rPr>
      </w:pPr>
    </w:p>
    <w:p w14:paraId="713BBBB5" w14:textId="77777777" w:rsidR="006E78BA" w:rsidRPr="005C51B9" w:rsidRDefault="006E78BA" w:rsidP="005C51B9">
      <w:pPr>
        <w:spacing w:line="276" w:lineRule="auto"/>
        <w:ind w:right="51"/>
        <w:jc w:val="both"/>
        <w:rPr>
          <w:rFonts w:ascii="Arial" w:hAnsi="Arial" w:cs="Arial"/>
        </w:rPr>
      </w:pPr>
      <w:r w:rsidRPr="005C51B9">
        <w:rPr>
          <w:rFonts w:ascii="Arial" w:hAnsi="Arial" w:cs="Arial"/>
        </w:rPr>
        <w:t xml:space="preserve">Sin embargo, debe precisarse que no toda irregularidad procesal genera una vía de hecho, más aún cuando quien se dice afectado, tiene la posibilidad de acudir a los mecanismos ordinarios establecidos para solicitar la protección de sus derechos; pues no puede olvidarse que la acción de tutela tiene un carácter subsidiario, es decir, que sólo es procedente a falta de otros mecanismos de defensa judicial y no puede utilizarse para </w:t>
      </w:r>
      <w:r w:rsidRPr="005C51B9">
        <w:rPr>
          <w:rFonts w:ascii="Arial" w:hAnsi="Arial" w:cs="Arial"/>
          <w:i/>
        </w:rPr>
        <w:t>“</w:t>
      </w:r>
      <w:r w:rsidRPr="005C51B9">
        <w:rPr>
          <w:rFonts w:ascii="Arial" w:hAnsi="Arial" w:cs="Arial"/>
          <w:i/>
          <w:sz w:val="22"/>
        </w:rPr>
        <w:t>provocar la iniciación de procesos alternativos o sustitutivos de los ordinarios o especiales, ni para modificar las reglas que fijan los diversos ámbitos de competencia de los jueces, ni para crear instancias adicionales a las existentes</w:t>
      </w:r>
      <w:r w:rsidRPr="005C51B9">
        <w:rPr>
          <w:rFonts w:ascii="Arial" w:hAnsi="Arial" w:cs="Arial"/>
          <w:i/>
        </w:rPr>
        <w:t>”</w:t>
      </w:r>
      <w:r w:rsidRPr="005C51B9">
        <w:rPr>
          <w:rStyle w:val="Refdenotaalpie"/>
          <w:rFonts w:ascii="Arial" w:hAnsi="Arial" w:cs="Arial"/>
          <w:i/>
        </w:rPr>
        <w:footnoteReference w:id="1"/>
      </w:r>
    </w:p>
    <w:p w14:paraId="637805D2" w14:textId="77777777" w:rsidR="006E78BA" w:rsidRPr="005C51B9" w:rsidRDefault="006E78BA" w:rsidP="005C51B9">
      <w:pPr>
        <w:pStyle w:val="NormalWeb"/>
        <w:spacing w:before="0" w:beforeAutospacing="0" w:after="0" w:afterAutospacing="0" w:line="276" w:lineRule="auto"/>
        <w:jc w:val="both"/>
        <w:rPr>
          <w:rFonts w:ascii="Arial" w:hAnsi="Arial" w:cs="Arial"/>
          <w:lang w:val="es-ES_tradnl"/>
        </w:rPr>
      </w:pPr>
    </w:p>
    <w:p w14:paraId="2488CAA8" w14:textId="3774E00A" w:rsidR="006E78BA" w:rsidRPr="005C51B9" w:rsidRDefault="006E78BA" w:rsidP="005C51B9">
      <w:pPr>
        <w:pStyle w:val="NormalWeb"/>
        <w:spacing w:before="0" w:beforeAutospacing="0" w:after="0" w:afterAutospacing="0" w:line="276" w:lineRule="auto"/>
        <w:jc w:val="both"/>
        <w:rPr>
          <w:rFonts w:ascii="Arial" w:hAnsi="Arial" w:cs="Arial"/>
        </w:rPr>
      </w:pPr>
      <w:r w:rsidRPr="005C51B9">
        <w:rPr>
          <w:rFonts w:ascii="Arial" w:hAnsi="Arial" w:cs="Arial"/>
        </w:rPr>
        <w:t xml:space="preserve">De otro lado, insistentemente, se ha dicho que la procedencia de la acción de tutela contra providencias judiciales no autoriza al Juez constitucional para entrar a resolver sobre la cuestión litigiosa controvertida dentro del proceso, pues su labor se limita a analizar la conducta adoptada por el funcionario judicial, la cual se concreta a través de la providencia demandada.  Si la decisión no es producto de una actuación arbitraria o abusiva, sino el resultado de una confrontación objetiva y seria entre la normatividad aplicable y el caso concreto, dicha actuación no puede ser objeto de amparo constitucional a través del mecanismo de la acción de tutela.  </w:t>
      </w:r>
    </w:p>
    <w:p w14:paraId="463F29E8" w14:textId="77777777" w:rsidR="006E78BA" w:rsidRPr="005C51B9" w:rsidRDefault="006E78BA" w:rsidP="005C51B9">
      <w:pPr>
        <w:pStyle w:val="NormalWeb"/>
        <w:spacing w:before="0" w:beforeAutospacing="0" w:after="0" w:afterAutospacing="0" w:line="276" w:lineRule="auto"/>
        <w:jc w:val="both"/>
        <w:rPr>
          <w:rFonts w:ascii="Arial" w:hAnsi="Arial" w:cs="Arial"/>
        </w:rPr>
      </w:pPr>
    </w:p>
    <w:p w14:paraId="271323A0" w14:textId="77777777" w:rsidR="006E78BA" w:rsidRPr="005C51B9" w:rsidRDefault="006E78BA" w:rsidP="005C51B9">
      <w:pPr>
        <w:pStyle w:val="NormalWeb"/>
        <w:spacing w:before="0" w:beforeAutospacing="0" w:after="0" w:afterAutospacing="0" w:line="276" w:lineRule="auto"/>
        <w:jc w:val="both"/>
        <w:rPr>
          <w:rFonts w:ascii="Arial" w:hAnsi="Arial" w:cs="Arial"/>
        </w:rPr>
      </w:pPr>
      <w:r w:rsidRPr="005C51B9">
        <w:rPr>
          <w:rFonts w:ascii="Arial" w:hAnsi="Arial" w:cs="Arial"/>
        </w:rPr>
        <w:t xml:space="preserve">En consecuencia la labor del Juez constitucional se limita, en estos casos, a determinar si la actuación de la autoridad efectivamente es producto de una actitud arbitraria y contraria al ordenamiento jurídico, sin que le sea dable inmiscuirse en el trámite del proceso judicial, tomando decisiones paralelas a las que cumple quien, en ejercicio de su función constitucional lo conduce, pues no pueden desconocerse los conceptos y principios de autonomía, independencia de los jueces, acceso a la administración de Justicia, seguridad jurídica y vigencia del Estado Social de Derecho. </w:t>
      </w:r>
    </w:p>
    <w:p w14:paraId="3B7B4B86" w14:textId="77777777" w:rsidR="006E78BA" w:rsidRPr="005C51B9" w:rsidRDefault="006E78BA" w:rsidP="005C51B9">
      <w:pPr>
        <w:pStyle w:val="NormalWeb"/>
        <w:spacing w:before="0" w:beforeAutospacing="0" w:after="0" w:afterAutospacing="0" w:line="276" w:lineRule="auto"/>
        <w:jc w:val="both"/>
        <w:rPr>
          <w:rFonts w:ascii="Arial" w:hAnsi="Arial" w:cs="Arial"/>
        </w:rPr>
      </w:pPr>
    </w:p>
    <w:p w14:paraId="536FCF8D" w14:textId="77777777" w:rsidR="006E78BA" w:rsidRPr="005C51B9" w:rsidRDefault="006E78BA" w:rsidP="005C51B9">
      <w:pPr>
        <w:pStyle w:val="NormalWeb"/>
        <w:spacing w:before="0" w:beforeAutospacing="0" w:after="0" w:afterAutospacing="0" w:line="276" w:lineRule="auto"/>
        <w:jc w:val="both"/>
        <w:rPr>
          <w:rFonts w:ascii="Arial" w:hAnsi="Arial" w:cs="Arial"/>
          <w:color w:val="2D2D2D"/>
          <w:bdr w:val="none" w:sz="0" w:space="0" w:color="auto" w:frame="1"/>
        </w:rPr>
      </w:pPr>
      <w:r w:rsidRPr="005C51B9">
        <w:rPr>
          <w:rFonts w:ascii="Arial" w:hAnsi="Arial" w:cs="Arial"/>
        </w:rPr>
        <w:t xml:space="preserve">La Corte Constitucional, en sentencia T-054-15, ratificó los requisitos generales y específicos establecidos en la sentencia C-590 de 2005 para que proceda </w:t>
      </w:r>
      <w:r w:rsidRPr="005C51B9">
        <w:rPr>
          <w:rFonts w:ascii="Arial" w:hAnsi="Arial" w:cs="Arial"/>
          <w:color w:val="2D2D2D"/>
          <w:bdr w:val="none" w:sz="0" w:space="0" w:color="auto" w:frame="1"/>
        </w:rPr>
        <w:t>la acción de tutela contra decisiones judiciales, siendo éstos:</w:t>
      </w:r>
    </w:p>
    <w:p w14:paraId="3A0FF5F2" w14:textId="77777777" w:rsidR="006E78BA" w:rsidRPr="005C51B9" w:rsidRDefault="006E78BA" w:rsidP="005C51B9">
      <w:pPr>
        <w:pStyle w:val="NormalWeb"/>
        <w:spacing w:before="0" w:beforeAutospacing="0" w:after="0" w:afterAutospacing="0" w:line="276" w:lineRule="auto"/>
        <w:jc w:val="both"/>
        <w:rPr>
          <w:rFonts w:ascii="Arial" w:hAnsi="Arial" w:cs="Arial"/>
          <w:color w:val="2D2D2D"/>
          <w:bdr w:val="none" w:sz="0" w:space="0" w:color="auto" w:frame="1"/>
        </w:rPr>
      </w:pPr>
    </w:p>
    <w:p w14:paraId="016D52CA" w14:textId="77777777" w:rsidR="006E78BA" w:rsidRPr="005C51B9" w:rsidRDefault="006E78BA" w:rsidP="005C51B9">
      <w:pPr>
        <w:pStyle w:val="NormalWeb"/>
        <w:spacing w:before="0" w:beforeAutospacing="0" w:after="0" w:afterAutospacing="0"/>
        <w:ind w:left="426" w:right="476"/>
        <w:jc w:val="both"/>
        <w:rPr>
          <w:rFonts w:ascii="Arial" w:hAnsi="Arial" w:cs="Arial"/>
          <w:i/>
          <w:sz w:val="22"/>
          <w:bdr w:val="none" w:sz="0" w:space="0" w:color="auto" w:frame="1"/>
        </w:rPr>
      </w:pPr>
      <w:r w:rsidRPr="005C51B9">
        <w:rPr>
          <w:rFonts w:ascii="Arial" w:hAnsi="Arial" w:cs="Arial"/>
          <w:sz w:val="22"/>
          <w:bdr w:val="none" w:sz="0" w:space="0" w:color="auto" w:frame="1"/>
        </w:rPr>
        <w:t>“</w:t>
      </w:r>
      <w:r w:rsidRPr="005C51B9">
        <w:rPr>
          <w:rFonts w:ascii="Arial" w:hAnsi="Arial" w:cs="Arial"/>
          <w:i/>
          <w:sz w:val="22"/>
          <w:bdr w:val="none" w:sz="0" w:space="0" w:color="auto" w:frame="1"/>
        </w:rPr>
        <w:t>Los primeros se acreditan siempre </w:t>
      </w:r>
      <w:r w:rsidRPr="005C51B9">
        <w:rPr>
          <w:rFonts w:ascii="Arial" w:hAnsi="Arial" w:cs="Arial"/>
          <w:i/>
          <w:iCs/>
          <w:sz w:val="22"/>
          <w:bdr w:val="none" w:sz="0" w:space="0" w:color="auto" w:frame="1"/>
        </w:rPr>
        <w:t>(i)</w:t>
      </w:r>
      <w:r w:rsidRPr="005C51B9">
        <w:rPr>
          <w:rFonts w:ascii="Arial" w:hAnsi="Arial" w:cs="Arial"/>
          <w:i/>
          <w:sz w:val="22"/>
          <w:bdr w:val="none" w:sz="0" w:space="0" w:color="auto" w:frame="1"/>
        </w:rPr>
        <w:t> que el asunto sometido a estudio del juez de tutela tenga relevancia constitucional; </w:t>
      </w:r>
      <w:r w:rsidRPr="005C51B9">
        <w:rPr>
          <w:rFonts w:ascii="Arial" w:hAnsi="Arial" w:cs="Arial"/>
          <w:i/>
          <w:iCs/>
          <w:sz w:val="22"/>
          <w:bdr w:val="none" w:sz="0" w:space="0" w:color="auto" w:frame="1"/>
        </w:rPr>
        <w:t>(ii)</w:t>
      </w:r>
      <w:r w:rsidRPr="005C51B9">
        <w:rPr>
          <w:rFonts w:ascii="Arial" w:hAnsi="Arial" w:cs="Arial"/>
          <w:i/>
          <w:sz w:val="22"/>
          <w:bdr w:val="none" w:sz="0" w:space="0" w:color="auto" w:frame="1"/>
        </w:rPr>
        <w:t> que el actor haya agotado los recursos judiciales ordinarios y extraordinarios, antes de acudir al juez de tutela; </w:t>
      </w:r>
      <w:r w:rsidRPr="005C51B9">
        <w:rPr>
          <w:rFonts w:ascii="Arial" w:hAnsi="Arial" w:cs="Arial"/>
          <w:i/>
          <w:iCs/>
          <w:sz w:val="22"/>
          <w:bdr w:val="none" w:sz="0" w:space="0" w:color="auto" w:frame="1"/>
        </w:rPr>
        <w:t>(iii)</w:t>
      </w:r>
      <w:r w:rsidRPr="005C51B9">
        <w:rPr>
          <w:rFonts w:ascii="Arial" w:hAnsi="Arial" w:cs="Arial"/>
          <w:i/>
          <w:sz w:val="22"/>
          <w:bdr w:val="none" w:sz="0" w:space="0" w:color="auto" w:frame="1"/>
        </w:rPr>
        <w:t> que la petición cumpla con el requisito de inmediatez, de acuerdo con criterios de razonabilidad y proporcionalidad; </w:t>
      </w:r>
      <w:r w:rsidRPr="005C51B9">
        <w:rPr>
          <w:rFonts w:ascii="Arial" w:hAnsi="Arial" w:cs="Arial"/>
          <w:i/>
          <w:iCs/>
          <w:sz w:val="22"/>
          <w:bdr w:val="none" w:sz="0" w:space="0" w:color="auto" w:frame="1"/>
        </w:rPr>
        <w:t>(iv) </w:t>
      </w:r>
      <w:r w:rsidRPr="005C51B9">
        <w:rPr>
          <w:rFonts w:ascii="Arial" w:hAnsi="Arial" w:cs="Arial"/>
          <w:i/>
          <w:sz w:val="22"/>
          <w:bdr w:val="none" w:sz="0" w:space="0" w:color="auto" w:frame="1"/>
        </w:rPr>
        <w:t>en caso de tratarse de una irregularidad procesal, que ésta tenga incidencia directa en la decisión que resulta vulneratoria de los derechos fundamentales; </w:t>
      </w:r>
      <w:r w:rsidRPr="005C51B9">
        <w:rPr>
          <w:rFonts w:ascii="Arial" w:hAnsi="Arial" w:cs="Arial"/>
          <w:i/>
          <w:iCs/>
          <w:sz w:val="22"/>
          <w:bdr w:val="none" w:sz="0" w:space="0" w:color="auto" w:frame="1"/>
        </w:rPr>
        <w:t>(v)</w:t>
      </w:r>
      <w:r w:rsidRPr="005C51B9">
        <w:rPr>
          <w:rFonts w:ascii="Arial" w:hAnsi="Arial" w:cs="Arial"/>
          <w:i/>
          <w:sz w:val="22"/>
          <w:bdr w:val="none" w:sz="0" w:space="0" w:color="auto" w:frame="1"/>
        </w:rPr>
        <w:t> que el actor identifique, de forma razonable, los hechos que generan la violación y, que ésta haya sido alegada al interior del proceso judicial, en caso de haber sido posible; y, </w:t>
      </w:r>
      <w:r w:rsidRPr="005C51B9">
        <w:rPr>
          <w:rFonts w:ascii="Arial" w:hAnsi="Arial" w:cs="Arial"/>
          <w:i/>
          <w:iCs/>
          <w:sz w:val="22"/>
          <w:bdr w:val="none" w:sz="0" w:space="0" w:color="auto" w:frame="1"/>
        </w:rPr>
        <w:t>(vi)</w:t>
      </w:r>
      <w:r w:rsidRPr="005C51B9">
        <w:rPr>
          <w:rFonts w:ascii="Arial" w:hAnsi="Arial" w:cs="Arial"/>
          <w:i/>
          <w:sz w:val="22"/>
          <w:bdr w:val="none" w:sz="0" w:space="0" w:color="auto" w:frame="1"/>
        </w:rPr>
        <w:t> que el fallo impugnado no sea de tutela.</w:t>
      </w:r>
    </w:p>
    <w:p w14:paraId="66FE8373" w14:textId="382F775A" w:rsidR="006E78BA" w:rsidRPr="005C51B9" w:rsidRDefault="006E78BA" w:rsidP="005C51B9">
      <w:pPr>
        <w:pStyle w:val="NormalWeb"/>
        <w:spacing w:before="0" w:beforeAutospacing="0" w:after="0" w:afterAutospacing="0"/>
        <w:ind w:left="426" w:right="476"/>
        <w:jc w:val="both"/>
        <w:rPr>
          <w:rFonts w:ascii="Arial" w:hAnsi="Arial" w:cs="Arial"/>
          <w:i/>
          <w:sz w:val="22"/>
          <w:bdr w:val="none" w:sz="0" w:space="0" w:color="auto" w:frame="1"/>
        </w:rPr>
      </w:pPr>
    </w:p>
    <w:p w14:paraId="3E418CD5" w14:textId="77777777" w:rsidR="006E78BA" w:rsidRPr="005C51B9" w:rsidRDefault="006E78BA" w:rsidP="005C51B9">
      <w:pPr>
        <w:pStyle w:val="NormalWeb"/>
        <w:spacing w:before="0" w:beforeAutospacing="0" w:after="0" w:afterAutospacing="0"/>
        <w:ind w:left="426" w:right="476"/>
        <w:jc w:val="both"/>
        <w:rPr>
          <w:rFonts w:ascii="Arial" w:hAnsi="Arial" w:cs="Arial"/>
          <w:sz w:val="22"/>
          <w:bdr w:val="none" w:sz="0" w:space="0" w:color="auto" w:frame="1"/>
        </w:rPr>
      </w:pPr>
      <w:r w:rsidRPr="005C51B9">
        <w:rPr>
          <w:rFonts w:ascii="Arial" w:hAnsi="Arial" w:cs="Arial"/>
          <w:i/>
          <w:iCs/>
          <w:sz w:val="22"/>
          <w:bdr w:val="none" w:sz="0" w:space="0" w:color="auto" w:frame="1"/>
        </w:rPr>
        <w:t>3.4. Por su parte, los segundos, conocidos como requisitos específicos de procedibilidad, ampliamente elaboradas por la jurisprudencia constitucional, son: </w:t>
      </w:r>
      <w:r w:rsidRPr="005C51B9">
        <w:rPr>
          <w:rFonts w:ascii="Arial" w:hAnsi="Arial" w:cs="Arial"/>
          <w:sz w:val="22"/>
          <w:bdr w:val="none" w:sz="0" w:space="0" w:color="auto" w:frame="1"/>
        </w:rPr>
        <w:t>defecto orgánico, defecto sustantivo, defecto procedimental o fáctico; error inducido; decisión sin motivación; desconocimiento del precedente constitucional; y violación directa a la constitución</w:t>
      </w:r>
      <w:r w:rsidRPr="005C51B9">
        <w:rPr>
          <w:rFonts w:ascii="Arial" w:hAnsi="Arial" w:cs="Arial"/>
          <w:i/>
          <w:iCs/>
          <w:sz w:val="22"/>
          <w:bdr w:val="none" w:sz="0" w:space="0" w:color="auto" w:frame="1"/>
        </w:rPr>
        <w:t>”</w:t>
      </w:r>
      <w:r w:rsidRPr="005C51B9">
        <w:rPr>
          <w:rFonts w:ascii="Arial" w:hAnsi="Arial" w:cs="Arial"/>
          <w:sz w:val="22"/>
          <w:bdr w:val="none" w:sz="0" w:space="0" w:color="auto" w:frame="1"/>
        </w:rPr>
        <w:t>.</w:t>
      </w:r>
    </w:p>
    <w:p w14:paraId="5630AD66" w14:textId="77777777" w:rsidR="00721BD3" w:rsidRPr="005C51B9" w:rsidRDefault="00721BD3" w:rsidP="005C51B9">
      <w:pPr>
        <w:shd w:val="clear" w:color="auto" w:fill="FFFFFF"/>
        <w:spacing w:line="276" w:lineRule="auto"/>
        <w:jc w:val="both"/>
        <w:rPr>
          <w:rFonts w:ascii="Arial" w:hAnsi="Arial" w:cs="Arial"/>
          <w:color w:val="2D2D2D"/>
        </w:rPr>
      </w:pPr>
    </w:p>
    <w:p w14:paraId="1F69684B" w14:textId="77777777" w:rsidR="00AA5C2B" w:rsidRPr="005C51B9" w:rsidRDefault="00AA5C2B" w:rsidP="005C51B9">
      <w:pPr>
        <w:pStyle w:val="NormalWeb"/>
        <w:spacing w:before="0" w:beforeAutospacing="0" w:after="0" w:afterAutospacing="0" w:line="276" w:lineRule="auto"/>
        <w:jc w:val="both"/>
        <w:rPr>
          <w:rFonts w:ascii="Arial" w:hAnsi="Arial" w:cs="Arial"/>
        </w:rPr>
      </w:pPr>
      <w:r w:rsidRPr="005C51B9">
        <w:rPr>
          <w:rFonts w:ascii="Arial" w:hAnsi="Arial" w:cs="Arial"/>
          <w:b/>
        </w:rPr>
        <w:t>2. DEL DEBIDO PROCESO.</w:t>
      </w:r>
    </w:p>
    <w:p w14:paraId="17AD93B2" w14:textId="77777777" w:rsidR="00AA5C2B" w:rsidRPr="005C51B9" w:rsidRDefault="00AA5C2B" w:rsidP="005C51B9">
      <w:pPr>
        <w:pStyle w:val="NormalWeb"/>
        <w:spacing w:before="0" w:beforeAutospacing="0" w:after="0" w:afterAutospacing="0" w:line="276" w:lineRule="auto"/>
        <w:jc w:val="both"/>
        <w:rPr>
          <w:rFonts w:ascii="Arial" w:hAnsi="Arial" w:cs="Arial"/>
        </w:rPr>
      </w:pPr>
    </w:p>
    <w:p w14:paraId="5FA8DBF5" w14:textId="77777777" w:rsidR="00AA5C2B" w:rsidRPr="005C51B9" w:rsidRDefault="00AA5C2B" w:rsidP="005C51B9">
      <w:pPr>
        <w:pStyle w:val="NormalWeb"/>
        <w:spacing w:before="0" w:beforeAutospacing="0" w:after="0" w:afterAutospacing="0" w:line="276" w:lineRule="auto"/>
        <w:jc w:val="both"/>
        <w:rPr>
          <w:rFonts w:ascii="Arial" w:hAnsi="Arial" w:cs="Arial"/>
        </w:rPr>
      </w:pPr>
      <w:r w:rsidRPr="005C51B9">
        <w:rPr>
          <w:rFonts w:ascii="Arial" w:hAnsi="Arial" w:cs="Arial"/>
        </w:rPr>
        <w:lastRenderedPageBreak/>
        <w:t xml:space="preserve">El artículo 29 superior, señala que </w:t>
      </w:r>
      <w:r w:rsidRPr="005C51B9">
        <w:rPr>
          <w:rFonts w:ascii="Arial" w:hAnsi="Arial" w:cs="Arial"/>
          <w:i/>
          <w:iCs/>
        </w:rPr>
        <w:t>"</w:t>
      </w:r>
      <w:r w:rsidRPr="005C51B9">
        <w:rPr>
          <w:rFonts w:ascii="Arial" w:hAnsi="Arial" w:cs="Arial"/>
          <w:i/>
          <w:iCs/>
          <w:sz w:val="22"/>
        </w:rPr>
        <w:t>el debido proceso se aplicará a toda clase de actuaciones judiciales y administrativas</w:t>
      </w:r>
      <w:r w:rsidRPr="005C51B9">
        <w:rPr>
          <w:rFonts w:ascii="Arial" w:hAnsi="Arial" w:cs="Arial"/>
          <w:i/>
          <w:iCs/>
        </w:rPr>
        <w:t>",</w:t>
      </w:r>
      <w:r w:rsidRPr="005C51B9">
        <w:rPr>
          <w:rFonts w:ascii="Arial" w:hAnsi="Arial" w:cs="Arial"/>
        </w:rPr>
        <w:t> lo cual indica que tanto las autoridades judiciales como las administrativas, deben actuar respetando y garantizando el ejercicio del derecho de defensa, dentro de los procedimientos diseñados por el legislador.</w:t>
      </w:r>
    </w:p>
    <w:p w14:paraId="0DE4B5B7" w14:textId="77777777" w:rsidR="00AA5C2B" w:rsidRPr="005C51B9" w:rsidRDefault="00AA5C2B" w:rsidP="005C51B9">
      <w:pPr>
        <w:pStyle w:val="NormalWeb"/>
        <w:spacing w:before="0" w:beforeAutospacing="0" w:after="0" w:afterAutospacing="0" w:line="276" w:lineRule="auto"/>
        <w:jc w:val="both"/>
        <w:rPr>
          <w:rFonts w:ascii="Arial" w:hAnsi="Arial" w:cs="Arial"/>
          <w:b/>
        </w:rPr>
      </w:pPr>
    </w:p>
    <w:p w14:paraId="09663CA4" w14:textId="77777777" w:rsidR="00AA5C2B" w:rsidRPr="005C51B9" w:rsidRDefault="00AA5C2B" w:rsidP="005C51B9">
      <w:pPr>
        <w:shd w:val="clear" w:color="auto" w:fill="FFFFFF"/>
        <w:spacing w:line="276" w:lineRule="auto"/>
        <w:jc w:val="both"/>
        <w:rPr>
          <w:rFonts w:ascii="Arial" w:hAnsi="Arial" w:cs="Arial"/>
        </w:rPr>
      </w:pPr>
      <w:r w:rsidRPr="005C51B9">
        <w:rPr>
          <w:rFonts w:ascii="Arial" w:hAnsi="Arial" w:cs="Arial"/>
        </w:rPr>
        <w:t>Para la Corte Constitucional, el desconocimiento de los términos procesales, previstos por el  legislador, se constituye en una afectación del derecho fundamental al debido proceso; no obstante, el funcionario puede justificar su omisión en los casos en “</w:t>
      </w:r>
      <w:r w:rsidRPr="005C51B9">
        <w:rPr>
          <w:rFonts w:ascii="Arial" w:hAnsi="Arial" w:cs="Arial"/>
          <w:i/>
          <w:sz w:val="22"/>
        </w:rPr>
        <w:t>los que, a pesar de la diligencia del funcionario, (1) la complejidad del asunto impide sujetarse estrictamente al término previsto por el legislador; (2) existen problemas estructurales que generan congestión y excesiva carga laboral; o, (3) se acreditan otras circunstancias imprevisibles o ineludibles que impiden adelantar las actuaciones judiciales con sujeción a los términos</w:t>
      </w:r>
      <w:r w:rsidRPr="005C51B9">
        <w:rPr>
          <w:rFonts w:ascii="Arial" w:hAnsi="Arial" w:cs="Arial"/>
        </w:rPr>
        <w:t>” T</w:t>
      </w:r>
      <w:r w:rsidRPr="005C51B9">
        <w:rPr>
          <w:rFonts w:ascii="Arial" w:hAnsi="Arial" w:cs="Arial"/>
          <w:iCs/>
        </w:rPr>
        <w:t>-186-17.</w:t>
      </w:r>
    </w:p>
    <w:p w14:paraId="1E8EF83E" w14:textId="77777777" w:rsidR="00AF560B" w:rsidRPr="005C51B9" w:rsidRDefault="00AF560B" w:rsidP="005C51B9">
      <w:pPr>
        <w:shd w:val="clear" w:color="auto" w:fill="FFFFFF"/>
        <w:spacing w:line="276" w:lineRule="auto"/>
        <w:jc w:val="both"/>
        <w:rPr>
          <w:rFonts w:ascii="Arial" w:hAnsi="Arial" w:cs="Arial"/>
          <w:color w:val="2D2D2D"/>
        </w:rPr>
      </w:pPr>
    </w:p>
    <w:p w14:paraId="41790255" w14:textId="43D33773" w:rsidR="00AF560B" w:rsidRPr="005C51B9" w:rsidRDefault="00AF560B" w:rsidP="005C51B9">
      <w:pPr>
        <w:pStyle w:val="Prrafodelista"/>
        <w:numPr>
          <w:ilvl w:val="0"/>
          <w:numId w:val="3"/>
        </w:numPr>
        <w:spacing w:line="276" w:lineRule="auto"/>
        <w:ind w:left="284" w:right="284" w:hanging="284"/>
        <w:jc w:val="both"/>
        <w:rPr>
          <w:rFonts w:ascii="Arial" w:eastAsia="Arial" w:hAnsi="Arial" w:cs="Arial"/>
        </w:rPr>
      </w:pPr>
      <w:r w:rsidRPr="005C51B9">
        <w:rPr>
          <w:rFonts w:ascii="Arial" w:eastAsia="Arial" w:hAnsi="Arial" w:cs="Arial"/>
          <w:b/>
          <w:bCs/>
        </w:rPr>
        <w:t>DE LA NOTIFICACIÓN EN VIGENCIA DEL DECRETO 806 DE 2020 ADOPTADO COMO LEGISLACIÓN PERMANENTE POR LA LEY 2213 DE 2022</w:t>
      </w:r>
    </w:p>
    <w:p w14:paraId="38340543" w14:textId="77777777" w:rsidR="00AF560B" w:rsidRPr="005C51B9" w:rsidRDefault="00AF560B" w:rsidP="005C51B9">
      <w:pPr>
        <w:spacing w:line="276" w:lineRule="auto"/>
        <w:ind w:right="51"/>
        <w:jc w:val="both"/>
        <w:rPr>
          <w:rFonts w:ascii="Arial" w:eastAsia="Arial" w:hAnsi="Arial" w:cs="Arial"/>
        </w:rPr>
      </w:pPr>
    </w:p>
    <w:p w14:paraId="7E85F641" w14:textId="008ACF96" w:rsidR="00AF560B" w:rsidRPr="005C51B9" w:rsidRDefault="00AF560B" w:rsidP="005C51B9">
      <w:pPr>
        <w:spacing w:line="276" w:lineRule="auto"/>
        <w:jc w:val="both"/>
        <w:rPr>
          <w:rFonts w:ascii="Arial" w:hAnsi="Arial" w:cs="Arial"/>
          <w:shd w:val="clear" w:color="auto" w:fill="FFFFFF"/>
        </w:rPr>
      </w:pPr>
      <w:r w:rsidRPr="005C51B9">
        <w:rPr>
          <w:rFonts w:ascii="Arial" w:eastAsia="Arial" w:hAnsi="Arial" w:cs="Arial"/>
        </w:rPr>
        <w:t xml:space="preserve">Establece el artículo 41 del Código Procesal del Trabajo y la Seguridad Social, que el auto admisorio de la demanda debe serle notificado al demandado de manera personal, trámite que según el artículo 8º del Decreto 806 de 2020 adoptada como legislación permanente por la Ley 2213 de 2022, puede </w:t>
      </w:r>
      <w:r w:rsidRPr="005C51B9">
        <w:rPr>
          <w:rFonts w:ascii="Arial" w:hAnsi="Arial" w:cs="Arial"/>
          <w:shd w:val="clear" w:color="auto" w:fill="FFFFFF"/>
        </w:rPr>
        <w:t>efectuarse con el envío de la providencia respectiva como mensaje de datos a la dirección electrónica o sitio que suministre el interesado en que se realice la notificación, sin necesidad del envío de previa citación o aviso físico o virtual. También indica la norma que los anexos que deban entregarse para un traslado se enviarán por el mismo medio.</w:t>
      </w:r>
    </w:p>
    <w:p w14:paraId="744511D9" w14:textId="77777777" w:rsidR="00AF560B" w:rsidRPr="005C51B9" w:rsidRDefault="00AF560B" w:rsidP="005C51B9">
      <w:pPr>
        <w:spacing w:line="276" w:lineRule="auto"/>
        <w:jc w:val="both"/>
        <w:rPr>
          <w:rFonts w:ascii="Arial" w:eastAsia="Arial" w:hAnsi="Arial" w:cs="Arial"/>
        </w:rPr>
      </w:pPr>
    </w:p>
    <w:p w14:paraId="18CAA3F3" w14:textId="19E46BA9" w:rsidR="00AF560B" w:rsidRPr="005C51B9" w:rsidRDefault="00AF560B" w:rsidP="005C51B9">
      <w:pPr>
        <w:spacing w:line="276" w:lineRule="auto"/>
        <w:jc w:val="both"/>
        <w:rPr>
          <w:rFonts w:ascii="Arial" w:eastAsia="Arial" w:hAnsi="Arial" w:cs="Arial"/>
        </w:rPr>
      </w:pPr>
      <w:r w:rsidRPr="005C51B9">
        <w:rPr>
          <w:rFonts w:ascii="Arial" w:eastAsia="Arial" w:hAnsi="Arial" w:cs="Arial"/>
        </w:rPr>
        <w:t>Ahora, como puede verse, tal norma fue concebida como una alternativa a la notificación personal regulada por los artículo</w:t>
      </w:r>
      <w:r w:rsidR="005B5ADD" w:rsidRPr="005C51B9">
        <w:rPr>
          <w:rFonts w:ascii="Arial" w:eastAsia="Arial" w:hAnsi="Arial" w:cs="Arial"/>
        </w:rPr>
        <w:t>s</w:t>
      </w:r>
      <w:r w:rsidRPr="005C51B9">
        <w:rPr>
          <w:rFonts w:ascii="Arial" w:eastAsia="Arial" w:hAnsi="Arial" w:cs="Arial"/>
        </w:rPr>
        <w:t xml:space="preserve"> 291 y 292 el Código General del Proceso en los artículos 291 y 292, precisamente para contribuir con el distanciamiento social que requirió la emergencia sanitaria declarada por el Ministerio de Protección Social en virtud de la pandemia originada por el Covid-19</w:t>
      </w:r>
      <w:r w:rsidR="005B5ADD" w:rsidRPr="005C51B9">
        <w:rPr>
          <w:rFonts w:ascii="Arial" w:eastAsia="Arial" w:hAnsi="Arial" w:cs="Arial"/>
        </w:rPr>
        <w:t>.</w:t>
      </w:r>
    </w:p>
    <w:p w14:paraId="28A4F4AA" w14:textId="5B4ADBA6" w:rsidR="005B5ADD" w:rsidRPr="005C51B9" w:rsidRDefault="005B5ADD" w:rsidP="005C51B9">
      <w:pPr>
        <w:spacing w:line="276" w:lineRule="auto"/>
        <w:jc w:val="both"/>
        <w:rPr>
          <w:rFonts w:ascii="Arial" w:eastAsia="Arial" w:hAnsi="Arial" w:cs="Arial"/>
        </w:rPr>
      </w:pPr>
    </w:p>
    <w:p w14:paraId="197C3A6B" w14:textId="77777777" w:rsidR="005B5ADD" w:rsidRPr="005C51B9" w:rsidRDefault="005B5ADD" w:rsidP="005C51B9">
      <w:pPr>
        <w:spacing w:line="276" w:lineRule="auto"/>
        <w:jc w:val="both"/>
        <w:rPr>
          <w:rFonts w:ascii="Arial" w:eastAsia="Arial" w:hAnsi="Arial" w:cs="Arial"/>
        </w:rPr>
      </w:pPr>
      <w:r w:rsidRPr="005C51B9">
        <w:rPr>
          <w:rFonts w:ascii="Arial" w:eastAsia="Arial" w:hAnsi="Arial" w:cs="Arial"/>
        </w:rPr>
        <w:t>Lo anterior permite concluir que la parte actora se encuentra facultada para elegir el medio por el cual desea que se surta la notificación, quedando siempre abierta la puerta a notificación personal prevista en el Código General del Proceso, cuando la electrónica no sea posible.</w:t>
      </w:r>
    </w:p>
    <w:p w14:paraId="588A9294" w14:textId="101163F5" w:rsidR="005B5ADD" w:rsidRPr="005C51B9" w:rsidRDefault="005B5ADD" w:rsidP="005C51B9">
      <w:pPr>
        <w:spacing w:line="276" w:lineRule="auto"/>
        <w:jc w:val="both"/>
        <w:rPr>
          <w:rFonts w:ascii="Arial" w:eastAsia="Arial" w:hAnsi="Arial" w:cs="Arial"/>
        </w:rPr>
      </w:pPr>
      <w:r w:rsidRPr="005C51B9">
        <w:rPr>
          <w:rFonts w:ascii="Arial" w:eastAsia="Arial" w:hAnsi="Arial" w:cs="Arial"/>
        </w:rPr>
        <w:t xml:space="preserve"> </w:t>
      </w:r>
    </w:p>
    <w:p w14:paraId="6BF13724" w14:textId="1FC41F56" w:rsidR="00AA5C2B" w:rsidRPr="005C51B9" w:rsidRDefault="00AA5C2B" w:rsidP="005C51B9">
      <w:pPr>
        <w:pStyle w:val="NormalWeb"/>
        <w:spacing w:before="0" w:beforeAutospacing="0" w:after="0" w:afterAutospacing="0" w:line="276" w:lineRule="auto"/>
        <w:jc w:val="both"/>
        <w:rPr>
          <w:rFonts w:ascii="Arial" w:hAnsi="Arial" w:cs="Arial"/>
        </w:rPr>
      </w:pPr>
      <w:r w:rsidRPr="005C51B9">
        <w:rPr>
          <w:rFonts w:ascii="Arial" w:hAnsi="Arial" w:cs="Arial"/>
          <w:b/>
          <w:bCs/>
        </w:rPr>
        <w:t>CASO CONCRETO</w:t>
      </w:r>
      <w:r w:rsidRPr="005C51B9">
        <w:rPr>
          <w:rFonts w:ascii="Arial" w:hAnsi="Arial" w:cs="Arial"/>
        </w:rPr>
        <w:t>.</w:t>
      </w:r>
    </w:p>
    <w:p w14:paraId="36FEB5B0" w14:textId="77777777" w:rsidR="00AA5C2B" w:rsidRPr="005C51B9" w:rsidRDefault="00AA5C2B" w:rsidP="005C51B9">
      <w:pPr>
        <w:pStyle w:val="NormalWeb"/>
        <w:spacing w:before="0" w:beforeAutospacing="0" w:after="0" w:afterAutospacing="0" w:line="276" w:lineRule="auto"/>
        <w:jc w:val="both"/>
        <w:rPr>
          <w:rFonts w:ascii="Arial" w:hAnsi="Arial" w:cs="Arial"/>
        </w:rPr>
      </w:pPr>
    </w:p>
    <w:p w14:paraId="4E6140D6" w14:textId="1D8D377A" w:rsidR="008C04DC" w:rsidRPr="005C51B9" w:rsidRDefault="30F5055A" w:rsidP="005C51B9">
      <w:pPr>
        <w:pStyle w:val="NormalWeb"/>
        <w:spacing w:before="0" w:beforeAutospacing="0" w:after="0" w:afterAutospacing="0" w:line="276" w:lineRule="auto"/>
        <w:jc w:val="both"/>
        <w:rPr>
          <w:rFonts w:ascii="Arial" w:eastAsia="Arial" w:hAnsi="Arial" w:cs="Arial"/>
        </w:rPr>
      </w:pPr>
      <w:r w:rsidRPr="005C51B9">
        <w:rPr>
          <w:rFonts w:ascii="Arial" w:hAnsi="Arial" w:cs="Arial"/>
        </w:rPr>
        <w:t>P</w:t>
      </w:r>
      <w:r w:rsidR="0074585F" w:rsidRPr="005C51B9">
        <w:rPr>
          <w:rFonts w:ascii="Arial" w:hAnsi="Arial" w:cs="Arial"/>
        </w:rPr>
        <w:t xml:space="preserve">revio a cualquier análisis de fondo que pueda realizar la Sala es necesario determinar </w:t>
      </w:r>
      <w:r w:rsidR="006E78BA" w:rsidRPr="005C51B9">
        <w:rPr>
          <w:rFonts w:ascii="Arial" w:hAnsi="Arial" w:cs="Arial"/>
        </w:rPr>
        <w:t>si se configuran los requisitos generales de procedibilidad para que por la vía de tutela se cuestionen decisiones judiciales</w:t>
      </w:r>
      <w:r w:rsidR="00A1244F" w:rsidRPr="005C51B9">
        <w:rPr>
          <w:rFonts w:ascii="Arial" w:hAnsi="Arial" w:cs="Arial"/>
        </w:rPr>
        <w:t xml:space="preserve">, encontrando </w:t>
      </w:r>
      <w:r w:rsidR="008675DE" w:rsidRPr="005C51B9">
        <w:rPr>
          <w:rFonts w:ascii="Arial" w:hAnsi="Arial" w:cs="Arial"/>
        </w:rPr>
        <w:t xml:space="preserve">que </w:t>
      </w:r>
      <w:r w:rsidR="00AC1661" w:rsidRPr="005C51B9">
        <w:rPr>
          <w:rFonts w:ascii="Arial" w:hAnsi="Arial" w:cs="Arial"/>
        </w:rPr>
        <w:t xml:space="preserve">la parte accionante </w:t>
      </w:r>
      <w:r w:rsidR="00AC1661" w:rsidRPr="005C51B9">
        <w:rPr>
          <w:rFonts w:ascii="Arial" w:hAnsi="Arial" w:cs="Arial"/>
          <w:i/>
          <w:iCs/>
        </w:rPr>
        <w:t>i)</w:t>
      </w:r>
      <w:r w:rsidR="00AC1661" w:rsidRPr="005C51B9">
        <w:rPr>
          <w:rFonts w:ascii="Arial" w:hAnsi="Arial" w:cs="Arial"/>
        </w:rPr>
        <w:t xml:space="preserve"> hizo </w:t>
      </w:r>
      <w:r w:rsidR="00A1244F" w:rsidRPr="005C51B9">
        <w:rPr>
          <w:rFonts w:ascii="Arial" w:hAnsi="Arial" w:cs="Arial"/>
        </w:rPr>
        <w:t xml:space="preserve">la estimación de la afectación de sus derechos fundamentales, identificando plenamente los supuestos fácticos constitutivos de la violación que alega, esto es la vulneración del debido proceso </w:t>
      </w:r>
      <w:r w:rsidR="00AC1661" w:rsidRPr="005C51B9">
        <w:rPr>
          <w:rFonts w:ascii="Arial" w:hAnsi="Arial" w:cs="Arial"/>
        </w:rPr>
        <w:t xml:space="preserve">al </w:t>
      </w:r>
      <w:r w:rsidR="008675DE" w:rsidRPr="005C51B9">
        <w:rPr>
          <w:rFonts w:ascii="Arial" w:hAnsi="Arial" w:cs="Arial"/>
        </w:rPr>
        <w:t>negarse la solicitud de emplazamiento a los señores Luz Marina Salazar Giraldo y Juan Martín y Daniel Gaviria Salazar</w:t>
      </w:r>
      <w:r w:rsidR="00A1244F" w:rsidRPr="005C51B9">
        <w:rPr>
          <w:rFonts w:ascii="Arial" w:hAnsi="Arial" w:cs="Arial"/>
        </w:rPr>
        <w:t xml:space="preserve"> </w:t>
      </w:r>
      <w:r w:rsidR="00A1244F" w:rsidRPr="005C51B9">
        <w:rPr>
          <w:rFonts w:ascii="Arial" w:hAnsi="Arial" w:cs="Arial"/>
          <w:i/>
          <w:iCs/>
        </w:rPr>
        <w:t xml:space="preserve">ii) </w:t>
      </w:r>
      <w:r w:rsidR="00A1244F" w:rsidRPr="005C51B9">
        <w:rPr>
          <w:rFonts w:ascii="Arial" w:hAnsi="Arial" w:cs="Arial"/>
        </w:rPr>
        <w:t xml:space="preserve">la providencia reprochada no fue proferida en el marco de una acción de tutela y </w:t>
      </w:r>
      <w:r w:rsidR="008C04DC" w:rsidRPr="005C51B9">
        <w:rPr>
          <w:rFonts w:ascii="Arial" w:hAnsi="Arial" w:cs="Arial"/>
        </w:rPr>
        <w:t>ii</w:t>
      </w:r>
      <w:r w:rsidR="00A1244F" w:rsidRPr="005C51B9">
        <w:rPr>
          <w:rFonts w:ascii="Arial" w:hAnsi="Arial" w:cs="Arial"/>
          <w:i/>
          <w:iCs/>
        </w:rPr>
        <w:t>)</w:t>
      </w:r>
      <w:r w:rsidR="00A1244F" w:rsidRPr="005C51B9">
        <w:rPr>
          <w:rFonts w:ascii="Arial" w:hAnsi="Arial" w:cs="Arial"/>
        </w:rPr>
        <w:t xml:space="preserve"> </w:t>
      </w:r>
      <w:r w:rsidR="01BF151A" w:rsidRPr="005C51B9">
        <w:rPr>
          <w:rFonts w:ascii="Arial" w:hAnsi="Arial" w:cs="Arial"/>
        </w:rPr>
        <w:t xml:space="preserve">se </w:t>
      </w:r>
      <w:r w:rsidR="00A1244F" w:rsidRPr="005C51B9">
        <w:rPr>
          <w:rFonts w:ascii="Arial" w:hAnsi="Arial" w:cs="Arial"/>
        </w:rPr>
        <w:t xml:space="preserve">cumple el </w:t>
      </w:r>
      <w:r w:rsidR="00A1244F" w:rsidRPr="005C51B9">
        <w:rPr>
          <w:rFonts w:ascii="Arial" w:hAnsi="Arial" w:cs="Arial"/>
        </w:rPr>
        <w:lastRenderedPageBreak/>
        <w:t xml:space="preserve">requisitos de inmediatez, toda vez que </w:t>
      </w:r>
      <w:r w:rsidR="00AC1661" w:rsidRPr="005C51B9">
        <w:rPr>
          <w:rFonts w:ascii="Arial" w:eastAsia="Arial" w:hAnsi="Arial" w:cs="Arial"/>
        </w:rPr>
        <w:t xml:space="preserve">la </w:t>
      </w:r>
      <w:r w:rsidR="3B4912FC" w:rsidRPr="005C51B9">
        <w:rPr>
          <w:rFonts w:ascii="Arial" w:eastAsia="Arial" w:hAnsi="Arial" w:cs="Arial"/>
        </w:rPr>
        <w:t>decisión reprochada fue proferida el pasado</w:t>
      </w:r>
      <w:r w:rsidR="0C7128AF" w:rsidRPr="005C51B9">
        <w:rPr>
          <w:rFonts w:ascii="Arial" w:eastAsia="Arial" w:hAnsi="Arial" w:cs="Arial"/>
        </w:rPr>
        <w:t xml:space="preserve"> </w:t>
      </w:r>
      <w:r w:rsidR="008675DE" w:rsidRPr="005C51B9">
        <w:rPr>
          <w:rFonts w:ascii="Arial" w:eastAsia="Arial" w:hAnsi="Arial" w:cs="Arial"/>
        </w:rPr>
        <w:t>26 de septiembre</w:t>
      </w:r>
      <w:r w:rsidR="3B4912FC" w:rsidRPr="005C51B9">
        <w:rPr>
          <w:rFonts w:ascii="Arial" w:eastAsia="Arial" w:hAnsi="Arial" w:cs="Arial"/>
        </w:rPr>
        <w:t xml:space="preserve"> del año que avanza</w:t>
      </w:r>
      <w:r w:rsidR="008C04DC" w:rsidRPr="005C51B9">
        <w:rPr>
          <w:rFonts w:ascii="Arial" w:eastAsia="Arial" w:hAnsi="Arial" w:cs="Arial"/>
        </w:rPr>
        <w:t>.</w:t>
      </w:r>
    </w:p>
    <w:p w14:paraId="3B0BCF26" w14:textId="77777777" w:rsidR="008C04DC" w:rsidRPr="005C51B9" w:rsidRDefault="008C04DC" w:rsidP="005C51B9">
      <w:pPr>
        <w:pStyle w:val="NormalWeb"/>
        <w:spacing w:before="0" w:beforeAutospacing="0" w:after="0" w:afterAutospacing="0" w:line="276" w:lineRule="auto"/>
        <w:jc w:val="both"/>
        <w:rPr>
          <w:rFonts w:ascii="Arial" w:eastAsia="Arial" w:hAnsi="Arial" w:cs="Arial"/>
        </w:rPr>
      </w:pPr>
    </w:p>
    <w:p w14:paraId="1F8E8E06" w14:textId="03228D57" w:rsidR="008C04DC" w:rsidRPr="005C51B9" w:rsidRDefault="008C04DC" w:rsidP="005C51B9">
      <w:pPr>
        <w:pStyle w:val="NormalWeb"/>
        <w:spacing w:before="0" w:beforeAutospacing="0" w:after="0" w:afterAutospacing="0" w:line="276" w:lineRule="auto"/>
        <w:jc w:val="both"/>
        <w:rPr>
          <w:rFonts w:ascii="Arial" w:hAnsi="Arial" w:cs="Arial"/>
        </w:rPr>
      </w:pPr>
      <w:r w:rsidRPr="005C51B9">
        <w:rPr>
          <w:rFonts w:ascii="Arial" w:eastAsia="Arial" w:hAnsi="Arial" w:cs="Arial"/>
        </w:rPr>
        <w:t xml:space="preserve">En lo que respecta al requisito de subsidiariedad, el juzgado al resolver la solicitud de emplazamiento de señores </w:t>
      </w:r>
      <w:r w:rsidRPr="005C51B9">
        <w:rPr>
          <w:rFonts w:ascii="Arial" w:hAnsi="Arial" w:cs="Arial"/>
        </w:rPr>
        <w:t xml:space="preserve">Luz Marina Salazar Giraldo y Juan Martín y Daniel Gaviria Salazar no </w:t>
      </w:r>
      <w:r w:rsidR="63EB4652" w:rsidRPr="005C51B9">
        <w:rPr>
          <w:rFonts w:ascii="Arial" w:hAnsi="Arial" w:cs="Arial"/>
        </w:rPr>
        <w:t xml:space="preserve">lo </w:t>
      </w:r>
      <w:r w:rsidRPr="005C51B9">
        <w:rPr>
          <w:rFonts w:ascii="Arial" w:hAnsi="Arial" w:cs="Arial"/>
        </w:rPr>
        <w:t>negó, sino que procedió a requerir a la parte actora para que gestionara la “</w:t>
      </w:r>
      <w:r w:rsidRPr="005C51B9">
        <w:rPr>
          <w:rFonts w:ascii="Arial" w:hAnsi="Arial" w:cs="Arial"/>
          <w:i/>
          <w:iCs/>
        </w:rPr>
        <w:t>citación por aviso</w:t>
      </w:r>
      <w:r w:rsidRPr="005C51B9">
        <w:rPr>
          <w:rFonts w:ascii="Arial" w:hAnsi="Arial" w:cs="Arial"/>
        </w:rPr>
        <w:t>” (sic) de las referidas personas, por lo que en estricto sentido no se trató de un auto interlocutorio, si</w:t>
      </w:r>
      <w:r w:rsidR="5E08E210" w:rsidRPr="005C51B9">
        <w:rPr>
          <w:rFonts w:ascii="Arial" w:hAnsi="Arial" w:cs="Arial"/>
        </w:rPr>
        <w:t xml:space="preserve"> </w:t>
      </w:r>
      <w:r w:rsidRPr="005C51B9">
        <w:rPr>
          <w:rFonts w:ascii="Arial" w:hAnsi="Arial" w:cs="Arial"/>
        </w:rPr>
        <w:t>n</w:t>
      </w:r>
      <w:r w:rsidR="4F7C62CE" w:rsidRPr="005C51B9">
        <w:rPr>
          <w:rFonts w:ascii="Arial" w:hAnsi="Arial" w:cs="Arial"/>
        </w:rPr>
        <w:t>o</w:t>
      </w:r>
      <w:r w:rsidRPr="005C51B9">
        <w:rPr>
          <w:rFonts w:ascii="Arial" w:hAnsi="Arial" w:cs="Arial"/>
        </w:rPr>
        <w:t xml:space="preserve"> de impulso </w:t>
      </w:r>
      <w:r w:rsidR="00F04A94" w:rsidRPr="005C51B9">
        <w:rPr>
          <w:rFonts w:ascii="Arial" w:hAnsi="Arial" w:cs="Arial"/>
        </w:rPr>
        <w:t xml:space="preserve">procesal tal </w:t>
      </w:r>
      <w:r w:rsidRPr="005C51B9">
        <w:rPr>
          <w:rFonts w:ascii="Arial" w:hAnsi="Arial" w:cs="Arial"/>
        </w:rPr>
        <w:t>como lo refiere el accionante</w:t>
      </w:r>
      <w:r w:rsidR="00F04A94" w:rsidRPr="005C51B9">
        <w:rPr>
          <w:rFonts w:ascii="Arial" w:hAnsi="Arial" w:cs="Arial"/>
        </w:rPr>
        <w:t>, por lo que ningún recurso cabía contra la providencia cuestionada</w:t>
      </w:r>
      <w:r w:rsidRPr="005C51B9">
        <w:rPr>
          <w:rFonts w:ascii="Arial" w:hAnsi="Arial" w:cs="Arial"/>
        </w:rPr>
        <w:t>.</w:t>
      </w:r>
    </w:p>
    <w:p w14:paraId="7196D064" w14:textId="5490202E" w:rsidR="00A1244F" w:rsidRPr="005C51B9" w:rsidRDefault="00A1244F" w:rsidP="005C51B9">
      <w:pPr>
        <w:pStyle w:val="Textoindependiente"/>
        <w:tabs>
          <w:tab w:val="left" w:pos="3493"/>
        </w:tabs>
        <w:spacing w:line="276" w:lineRule="auto"/>
        <w:rPr>
          <w:sz w:val="24"/>
          <w:szCs w:val="24"/>
        </w:rPr>
      </w:pPr>
    </w:p>
    <w:p w14:paraId="3167D7F1" w14:textId="77777777" w:rsidR="00A1244F" w:rsidRPr="005C51B9" w:rsidRDefault="00A1244F" w:rsidP="005C51B9">
      <w:pPr>
        <w:pStyle w:val="Textoindependiente"/>
        <w:spacing w:line="276" w:lineRule="auto"/>
        <w:rPr>
          <w:sz w:val="24"/>
          <w:szCs w:val="24"/>
        </w:rPr>
      </w:pPr>
      <w:r w:rsidRPr="005C51B9">
        <w:rPr>
          <w:sz w:val="24"/>
          <w:szCs w:val="24"/>
        </w:rPr>
        <w:t>Encontrando entonces que resulta viable la intervención del juez constitucional, se procede a verificar si se configura cualquiera de los requisitos específicos de procedibilidad citados en precedencia.</w:t>
      </w:r>
    </w:p>
    <w:p w14:paraId="34FF1C98" w14:textId="77777777" w:rsidR="00A1244F" w:rsidRPr="005C51B9" w:rsidRDefault="00A1244F" w:rsidP="005C51B9">
      <w:pPr>
        <w:pStyle w:val="Textoindependiente"/>
        <w:spacing w:line="276" w:lineRule="auto"/>
        <w:rPr>
          <w:sz w:val="24"/>
          <w:szCs w:val="24"/>
        </w:rPr>
      </w:pPr>
    </w:p>
    <w:p w14:paraId="509B9EFD" w14:textId="4D72B4E2" w:rsidR="00066C2F" w:rsidRPr="005C51B9" w:rsidRDefault="00FA6F84" w:rsidP="005C51B9">
      <w:pPr>
        <w:pStyle w:val="Textoindependiente"/>
        <w:spacing w:line="276" w:lineRule="auto"/>
        <w:rPr>
          <w:sz w:val="24"/>
          <w:szCs w:val="24"/>
        </w:rPr>
      </w:pPr>
      <w:r w:rsidRPr="005C51B9">
        <w:rPr>
          <w:sz w:val="24"/>
          <w:szCs w:val="24"/>
        </w:rPr>
        <w:t xml:space="preserve">Revisando el trámite procesal, </w:t>
      </w:r>
      <w:r w:rsidR="00066C2F" w:rsidRPr="005C51B9">
        <w:rPr>
          <w:sz w:val="24"/>
          <w:szCs w:val="24"/>
        </w:rPr>
        <w:t xml:space="preserve">en este asunto habría que decir no se percibe irregularidad en el proceder del juzgado involucrado, </w:t>
      </w:r>
      <w:r w:rsidR="00F04A94" w:rsidRPr="005C51B9">
        <w:rPr>
          <w:sz w:val="24"/>
          <w:szCs w:val="24"/>
        </w:rPr>
        <w:t xml:space="preserve">pues en garantía de derecho de defensa y debido proceso que </w:t>
      </w:r>
      <w:r w:rsidR="3D5B54A9" w:rsidRPr="005C51B9">
        <w:rPr>
          <w:sz w:val="24"/>
          <w:szCs w:val="24"/>
        </w:rPr>
        <w:t>les</w:t>
      </w:r>
      <w:r w:rsidR="00F04A94" w:rsidRPr="005C51B9">
        <w:rPr>
          <w:sz w:val="24"/>
          <w:szCs w:val="24"/>
        </w:rPr>
        <w:t xml:space="preserve"> asiste a los demandados ha procurado su intervención a la litis agotando todos los recursos a su alcance para su notificación</w:t>
      </w:r>
      <w:r w:rsidR="00AE14F1" w:rsidRPr="005C51B9">
        <w:rPr>
          <w:sz w:val="24"/>
          <w:szCs w:val="24"/>
        </w:rPr>
        <w:t xml:space="preserve">.  Esto incluye la consulta de </w:t>
      </w:r>
      <w:r w:rsidR="00F04A94" w:rsidRPr="005C51B9">
        <w:rPr>
          <w:sz w:val="24"/>
          <w:szCs w:val="24"/>
        </w:rPr>
        <w:t>bases de datos que le permitieron establecer que tanto la sociedad Juan Carlos Trujillo y Cía S en C.S.</w:t>
      </w:r>
      <w:r w:rsidR="00F1317A" w:rsidRPr="005C51B9">
        <w:rPr>
          <w:sz w:val="24"/>
          <w:szCs w:val="24"/>
        </w:rPr>
        <w:t xml:space="preserve"> como Juan Carlos Gaviria Trujillo registran, para efectos de </w:t>
      </w:r>
      <w:r w:rsidR="00575868" w:rsidRPr="005C51B9">
        <w:rPr>
          <w:sz w:val="24"/>
          <w:szCs w:val="24"/>
        </w:rPr>
        <w:t>notificaciones judiciales, e</w:t>
      </w:r>
      <w:r w:rsidR="00F1317A" w:rsidRPr="005C51B9">
        <w:rPr>
          <w:sz w:val="24"/>
          <w:szCs w:val="24"/>
        </w:rPr>
        <w:t xml:space="preserve">l correo electrónico </w:t>
      </w:r>
      <w:hyperlink r:id="rId11">
        <w:r w:rsidR="00F1317A" w:rsidRPr="005C51B9">
          <w:rPr>
            <w:rStyle w:val="Hipervnculo"/>
            <w:sz w:val="24"/>
            <w:szCs w:val="24"/>
          </w:rPr>
          <w:t>jgtycia@hotmail.com</w:t>
        </w:r>
      </w:hyperlink>
      <w:r w:rsidR="00F1317A" w:rsidRPr="005C51B9">
        <w:rPr>
          <w:sz w:val="24"/>
          <w:szCs w:val="24"/>
        </w:rPr>
        <w:t xml:space="preserve">, de acuerdo con los certificados de cámara y comercio y de </w:t>
      </w:r>
      <w:r w:rsidR="00575868" w:rsidRPr="005C51B9">
        <w:rPr>
          <w:sz w:val="24"/>
          <w:szCs w:val="24"/>
        </w:rPr>
        <w:t>matrícula</w:t>
      </w:r>
      <w:r w:rsidR="00F1317A" w:rsidRPr="005C51B9">
        <w:rPr>
          <w:sz w:val="24"/>
          <w:szCs w:val="24"/>
        </w:rPr>
        <w:t xml:space="preserve"> mercantil de persona natural</w:t>
      </w:r>
      <w:r w:rsidR="00AE14F1" w:rsidRPr="005C51B9">
        <w:rPr>
          <w:sz w:val="24"/>
          <w:szCs w:val="24"/>
        </w:rPr>
        <w:t xml:space="preserve"> que obran en el proceso</w:t>
      </w:r>
      <w:r w:rsidR="00575868" w:rsidRPr="005C51B9">
        <w:rPr>
          <w:sz w:val="24"/>
          <w:szCs w:val="24"/>
        </w:rPr>
        <w:t>, este último adosado de oficio al plenario.</w:t>
      </w:r>
    </w:p>
    <w:p w14:paraId="1FC02CC0" w14:textId="1225014E" w:rsidR="00575868" w:rsidRPr="005C51B9" w:rsidRDefault="00575868" w:rsidP="005C51B9">
      <w:pPr>
        <w:pStyle w:val="Textoindependiente"/>
        <w:spacing w:line="276" w:lineRule="auto"/>
        <w:rPr>
          <w:sz w:val="24"/>
          <w:szCs w:val="24"/>
        </w:rPr>
      </w:pPr>
    </w:p>
    <w:p w14:paraId="0A334CDD" w14:textId="6E0BB6E9" w:rsidR="00AE14F1" w:rsidRPr="005C51B9" w:rsidRDefault="00575868" w:rsidP="005C51B9">
      <w:pPr>
        <w:pStyle w:val="Textoindependiente"/>
        <w:spacing w:line="276" w:lineRule="auto"/>
        <w:rPr>
          <w:sz w:val="24"/>
          <w:szCs w:val="24"/>
          <w:shd w:val="clear" w:color="auto" w:fill="FFFFFF"/>
        </w:rPr>
      </w:pPr>
      <w:r w:rsidRPr="005C51B9">
        <w:rPr>
          <w:sz w:val="24"/>
          <w:szCs w:val="24"/>
        </w:rPr>
        <w:t>Ahora, revisado lo dispuesto por el artículo 8 de la Ley 2213 de 2022, se tiene incluso que el operador judicial está facultado para “</w:t>
      </w:r>
      <w:r w:rsidRPr="005C51B9">
        <w:rPr>
          <w:i/>
          <w:iCs/>
          <w:sz w:val="22"/>
          <w:szCs w:val="24"/>
          <w:shd w:val="clear" w:color="auto" w:fill="FFFFFF"/>
        </w:rPr>
        <w:t xml:space="preserve">solicitar información de las direcciones electrónicas o sitios de la parte por notificar que estén en las Cámaras de Comercio, superintendencias, entidades públicas </w:t>
      </w:r>
      <w:r w:rsidR="613510B5" w:rsidRPr="005C51B9">
        <w:rPr>
          <w:i/>
          <w:iCs/>
          <w:sz w:val="22"/>
          <w:szCs w:val="24"/>
          <w:shd w:val="clear" w:color="auto" w:fill="FFFFFF"/>
        </w:rPr>
        <w:t>o</w:t>
      </w:r>
      <w:r w:rsidRPr="005C51B9">
        <w:rPr>
          <w:i/>
          <w:iCs/>
          <w:sz w:val="22"/>
          <w:szCs w:val="24"/>
          <w:shd w:val="clear" w:color="auto" w:fill="FFFFFF"/>
        </w:rPr>
        <w:t xml:space="preserve"> privadas, o utilizar aquellas que estén informadas en páginas web o en redes sociales</w:t>
      </w:r>
      <w:r w:rsidRPr="005C51B9">
        <w:rPr>
          <w:sz w:val="24"/>
          <w:szCs w:val="24"/>
          <w:shd w:val="clear" w:color="auto" w:fill="FFFFFF"/>
        </w:rPr>
        <w:t xml:space="preserve">”, lo cual reafirma </w:t>
      </w:r>
      <w:r w:rsidR="00AE14F1" w:rsidRPr="005C51B9">
        <w:rPr>
          <w:sz w:val="24"/>
          <w:szCs w:val="24"/>
          <w:shd w:val="clear" w:color="auto" w:fill="FFFFFF"/>
        </w:rPr>
        <w:t xml:space="preserve">la voluntad del legislador de </w:t>
      </w:r>
      <w:r w:rsidRPr="005C51B9">
        <w:rPr>
          <w:sz w:val="24"/>
          <w:szCs w:val="24"/>
          <w:shd w:val="clear" w:color="auto" w:fill="FFFFFF"/>
        </w:rPr>
        <w:t xml:space="preserve">lograr la comparecencia del demandado a la litis </w:t>
      </w:r>
      <w:r w:rsidR="00AE14F1" w:rsidRPr="005C51B9">
        <w:rPr>
          <w:sz w:val="24"/>
          <w:szCs w:val="24"/>
          <w:shd w:val="clear" w:color="auto" w:fill="FFFFFF"/>
        </w:rPr>
        <w:t>por cualquier medio.</w:t>
      </w:r>
    </w:p>
    <w:p w14:paraId="5EEF6FB9" w14:textId="77777777" w:rsidR="00AE14F1" w:rsidRPr="005C51B9" w:rsidRDefault="00AE14F1" w:rsidP="005C51B9">
      <w:pPr>
        <w:pStyle w:val="Textoindependiente"/>
        <w:spacing w:line="276" w:lineRule="auto"/>
        <w:rPr>
          <w:sz w:val="24"/>
          <w:szCs w:val="24"/>
          <w:shd w:val="clear" w:color="auto" w:fill="FFFFFF"/>
        </w:rPr>
      </w:pPr>
    </w:p>
    <w:p w14:paraId="30AFC216" w14:textId="6DD872D5" w:rsidR="00575868" w:rsidRPr="005C51B9" w:rsidRDefault="00AE14F1" w:rsidP="005C51B9">
      <w:pPr>
        <w:pStyle w:val="Textoindependiente"/>
        <w:spacing w:line="276" w:lineRule="auto"/>
        <w:rPr>
          <w:sz w:val="24"/>
          <w:szCs w:val="24"/>
        </w:rPr>
      </w:pPr>
      <w:r w:rsidRPr="005C51B9">
        <w:rPr>
          <w:sz w:val="24"/>
          <w:szCs w:val="24"/>
          <w:shd w:val="clear" w:color="auto" w:fill="FFFFFF"/>
        </w:rPr>
        <w:t>Pero</w:t>
      </w:r>
      <w:r w:rsidR="0902F79C" w:rsidRPr="005C51B9">
        <w:rPr>
          <w:sz w:val="24"/>
          <w:szCs w:val="24"/>
          <w:shd w:val="clear" w:color="auto" w:fill="FFFFFF"/>
        </w:rPr>
        <w:t>,</w:t>
      </w:r>
      <w:r w:rsidRPr="005C51B9">
        <w:rPr>
          <w:sz w:val="24"/>
          <w:szCs w:val="24"/>
          <w:shd w:val="clear" w:color="auto" w:fill="FFFFFF"/>
        </w:rPr>
        <w:t xml:space="preserve"> aun cuando el emplazamiento se constituye en una garantía para las partes en contienda, la continuidad del trámite para el actor y la garantía del derecho de defensa para el demandado, </w:t>
      </w:r>
      <w:r w:rsidR="00CD2BFA" w:rsidRPr="005C51B9">
        <w:rPr>
          <w:sz w:val="24"/>
          <w:szCs w:val="24"/>
          <w:shd w:val="clear" w:color="auto" w:fill="FFFFFF"/>
        </w:rPr>
        <w:t xml:space="preserve">la jurisprudencia nacional califica </w:t>
      </w:r>
      <w:r w:rsidRPr="005C51B9">
        <w:rPr>
          <w:sz w:val="24"/>
          <w:szCs w:val="24"/>
          <w:shd w:val="clear" w:color="auto" w:fill="FFFFFF"/>
        </w:rPr>
        <w:t xml:space="preserve">este medio de intervención </w:t>
      </w:r>
      <w:r w:rsidR="00CD2BFA" w:rsidRPr="005C51B9">
        <w:rPr>
          <w:sz w:val="24"/>
          <w:szCs w:val="24"/>
          <w:shd w:val="clear" w:color="auto" w:fill="FFFFFF"/>
        </w:rPr>
        <w:t>como excepcional, pues considera que se debe acudir a él solo “</w:t>
      </w:r>
      <w:r w:rsidR="00CD2BFA" w:rsidRPr="005C51B9">
        <w:rPr>
          <w:b/>
          <w:bCs/>
          <w:i/>
          <w:iCs/>
          <w:sz w:val="22"/>
          <w:szCs w:val="24"/>
        </w:rPr>
        <w:t>cuando no existan posibilidades razonables de notificar de forma personal al demandado de «la primera providencia que se dicte en todo proceso</w:t>
      </w:r>
      <w:r w:rsidR="00CD2BFA" w:rsidRPr="005C51B9">
        <w:rPr>
          <w:bCs/>
          <w:i/>
          <w:iCs/>
          <w:sz w:val="24"/>
          <w:szCs w:val="24"/>
        </w:rPr>
        <w:t>»</w:t>
      </w:r>
      <w:r w:rsidR="00CD2BFA" w:rsidRPr="005C51B9">
        <w:rPr>
          <w:i/>
          <w:iCs/>
          <w:sz w:val="24"/>
          <w:szCs w:val="24"/>
        </w:rPr>
        <w:t>,</w:t>
      </w:r>
      <w:r w:rsidR="00CD2BFA" w:rsidRPr="005C51B9">
        <w:rPr>
          <w:sz w:val="24"/>
          <w:szCs w:val="24"/>
        </w:rPr>
        <w:t xml:space="preserve"> precisando seguidamente que “</w:t>
      </w:r>
      <w:r w:rsidR="00CD2BFA" w:rsidRPr="005C51B9">
        <w:rPr>
          <w:b/>
          <w:bCs/>
          <w:i/>
          <w:iCs/>
          <w:sz w:val="22"/>
          <w:szCs w:val="24"/>
        </w:rPr>
        <w:t>si el actor dice al desgaire desconocer la ubicación de su contraparte, o no intenta elucidar el punto con mediana diligencia y cuidado, la actuación queda viciada de nulidad, en los términos que preveía el artículo 140-8 ejusdem</w:t>
      </w:r>
      <w:r w:rsidR="00CD2BFA" w:rsidRPr="005C51B9">
        <w:rPr>
          <w:sz w:val="24"/>
          <w:szCs w:val="24"/>
        </w:rPr>
        <w:t>” -SC1367-22.</w:t>
      </w:r>
    </w:p>
    <w:p w14:paraId="26A9B105" w14:textId="77777777" w:rsidR="009C0C45" w:rsidRPr="005C51B9" w:rsidRDefault="009C0C45" w:rsidP="005C51B9">
      <w:pPr>
        <w:pStyle w:val="Textoindependiente"/>
        <w:spacing w:line="276" w:lineRule="auto"/>
        <w:rPr>
          <w:sz w:val="24"/>
          <w:szCs w:val="24"/>
        </w:rPr>
      </w:pPr>
    </w:p>
    <w:p w14:paraId="32E4855E" w14:textId="22A90E9B" w:rsidR="0087544F" w:rsidRPr="005C51B9" w:rsidRDefault="00CD2BFA" w:rsidP="005C51B9">
      <w:pPr>
        <w:widowControl w:val="0"/>
        <w:overflowPunct w:val="0"/>
        <w:autoSpaceDE w:val="0"/>
        <w:autoSpaceDN w:val="0"/>
        <w:adjustRightInd w:val="0"/>
        <w:spacing w:line="276" w:lineRule="auto"/>
        <w:jc w:val="both"/>
        <w:textAlignment w:val="baseline"/>
        <w:rPr>
          <w:rFonts w:ascii="Arial" w:hAnsi="Arial" w:cs="Arial"/>
        </w:rPr>
      </w:pPr>
      <w:r w:rsidRPr="005C51B9">
        <w:rPr>
          <w:rFonts w:ascii="Arial" w:hAnsi="Arial" w:cs="Arial"/>
        </w:rPr>
        <w:t>De acuerdo con lo anterior, de acceder la juez accionada a la solicitud del actor estaría cohonestando c</w:t>
      </w:r>
      <w:r w:rsidR="006F4B4B" w:rsidRPr="005C51B9">
        <w:rPr>
          <w:rFonts w:ascii="Arial" w:hAnsi="Arial" w:cs="Arial"/>
        </w:rPr>
        <w:t>on un vicio de procedimiento, cuando existe información en el plenario relacionada con una dirección en la cual pueden ser ubicados los demandados que restan por notificar personalmente y que fue reportada por la misma parte al momento de presentar la demanda</w:t>
      </w:r>
      <w:r w:rsidR="0087544F" w:rsidRPr="005C51B9">
        <w:rPr>
          <w:rFonts w:ascii="Arial" w:hAnsi="Arial" w:cs="Arial"/>
        </w:rPr>
        <w:t>, siendo esta la Cra 10 Diagonal 69 Esquina Acuaseo Oficina J en el municipio de Dosquebradas</w:t>
      </w:r>
      <w:r w:rsidR="009D6D64" w:rsidRPr="005C51B9">
        <w:rPr>
          <w:rFonts w:ascii="Arial" w:hAnsi="Arial" w:cs="Arial"/>
        </w:rPr>
        <w:t xml:space="preserve">, en la cual debe agotarse la actuación procesal conforme con lo </w:t>
      </w:r>
      <w:r w:rsidR="00BA0F8D" w:rsidRPr="005C51B9">
        <w:rPr>
          <w:rFonts w:ascii="Arial" w:hAnsi="Arial" w:cs="Arial"/>
        </w:rPr>
        <w:t>previsto en el artículo 291 y 292 del Código General del Proceso.</w:t>
      </w:r>
    </w:p>
    <w:p w14:paraId="3B51AB36" w14:textId="77777777" w:rsidR="009C0C45" w:rsidRPr="005C51B9" w:rsidRDefault="009C0C45" w:rsidP="005C51B9">
      <w:pPr>
        <w:widowControl w:val="0"/>
        <w:overflowPunct w:val="0"/>
        <w:autoSpaceDE w:val="0"/>
        <w:autoSpaceDN w:val="0"/>
        <w:adjustRightInd w:val="0"/>
        <w:spacing w:line="276" w:lineRule="auto"/>
        <w:jc w:val="both"/>
        <w:textAlignment w:val="baseline"/>
        <w:rPr>
          <w:rFonts w:ascii="Arial" w:hAnsi="Arial" w:cs="Arial"/>
        </w:rPr>
      </w:pPr>
    </w:p>
    <w:p w14:paraId="240EFC61" w14:textId="6C63CB3C" w:rsidR="00066C2F" w:rsidRPr="005C51B9" w:rsidRDefault="00066C2F" w:rsidP="005C51B9">
      <w:pPr>
        <w:pStyle w:val="Textoindependiente"/>
        <w:spacing w:line="276" w:lineRule="auto"/>
        <w:rPr>
          <w:sz w:val="24"/>
          <w:szCs w:val="24"/>
        </w:rPr>
      </w:pPr>
      <w:r w:rsidRPr="005C51B9">
        <w:rPr>
          <w:sz w:val="24"/>
          <w:szCs w:val="24"/>
        </w:rPr>
        <w:t xml:space="preserve">En consideración con lo expuesto, ninguna irregularidad se avizora en el actuar </w:t>
      </w:r>
      <w:r w:rsidR="00FF3EFB" w:rsidRPr="005C51B9">
        <w:rPr>
          <w:sz w:val="24"/>
          <w:szCs w:val="24"/>
        </w:rPr>
        <w:t xml:space="preserve">de </w:t>
      </w:r>
      <w:r w:rsidR="0087544F" w:rsidRPr="005C51B9">
        <w:rPr>
          <w:sz w:val="24"/>
          <w:szCs w:val="24"/>
        </w:rPr>
        <w:t xml:space="preserve">la </w:t>
      </w:r>
      <w:r w:rsidR="00FF3EFB" w:rsidRPr="005C51B9">
        <w:rPr>
          <w:sz w:val="24"/>
          <w:szCs w:val="24"/>
        </w:rPr>
        <w:t>funcionari</w:t>
      </w:r>
      <w:r w:rsidR="0087544F" w:rsidRPr="005C51B9">
        <w:rPr>
          <w:sz w:val="24"/>
          <w:szCs w:val="24"/>
        </w:rPr>
        <w:t>a</w:t>
      </w:r>
      <w:r w:rsidRPr="005C51B9">
        <w:rPr>
          <w:sz w:val="24"/>
          <w:szCs w:val="24"/>
        </w:rPr>
        <w:t xml:space="preserve"> accionad</w:t>
      </w:r>
      <w:r w:rsidR="0087544F" w:rsidRPr="005C51B9">
        <w:rPr>
          <w:sz w:val="24"/>
          <w:szCs w:val="24"/>
        </w:rPr>
        <w:t>a,</w:t>
      </w:r>
      <w:r w:rsidRPr="005C51B9">
        <w:rPr>
          <w:sz w:val="24"/>
          <w:szCs w:val="24"/>
        </w:rPr>
        <w:t xml:space="preserve"> </w:t>
      </w:r>
      <w:r w:rsidR="00FF3EFB" w:rsidRPr="005C51B9">
        <w:rPr>
          <w:sz w:val="24"/>
          <w:szCs w:val="24"/>
        </w:rPr>
        <w:t xml:space="preserve">pues </w:t>
      </w:r>
      <w:r w:rsidRPr="005C51B9">
        <w:rPr>
          <w:sz w:val="24"/>
          <w:szCs w:val="24"/>
        </w:rPr>
        <w:t xml:space="preserve">la decisión </w:t>
      </w:r>
      <w:r w:rsidR="0087544F" w:rsidRPr="005C51B9">
        <w:rPr>
          <w:sz w:val="24"/>
          <w:szCs w:val="24"/>
        </w:rPr>
        <w:t>en la que requiere a la parte actora para que procure la notificaci</w:t>
      </w:r>
      <w:r w:rsidR="00BA0F8D" w:rsidRPr="005C51B9">
        <w:rPr>
          <w:sz w:val="24"/>
          <w:szCs w:val="24"/>
        </w:rPr>
        <w:t>ón de los señores</w:t>
      </w:r>
      <w:r w:rsidR="0087544F" w:rsidRPr="005C51B9">
        <w:rPr>
          <w:sz w:val="24"/>
          <w:szCs w:val="24"/>
        </w:rPr>
        <w:t xml:space="preserve"> </w:t>
      </w:r>
      <w:r w:rsidR="00BA0F8D" w:rsidRPr="005C51B9">
        <w:rPr>
          <w:sz w:val="24"/>
          <w:szCs w:val="24"/>
        </w:rPr>
        <w:t>Luz Marina Salazar Giraldo y Juan Martín y Daniel Gaviria Salazar</w:t>
      </w:r>
      <w:r w:rsidRPr="005C51B9">
        <w:rPr>
          <w:sz w:val="24"/>
          <w:szCs w:val="24"/>
        </w:rPr>
        <w:t xml:space="preserve">, no fue violatoria del debido proceso, ni en ella se incurrió en vías de hecho, pues la misma no se manifiesta desatinada, ni se perciben desaciertos ostensibles o contrarios al ordenamiento jurídico ni al precedente de esta Corporación. </w:t>
      </w:r>
    </w:p>
    <w:p w14:paraId="6DF4ED0D" w14:textId="77777777" w:rsidR="00066C2F" w:rsidRPr="005C51B9" w:rsidRDefault="00066C2F" w:rsidP="005C51B9">
      <w:pPr>
        <w:widowControl w:val="0"/>
        <w:overflowPunct w:val="0"/>
        <w:autoSpaceDE w:val="0"/>
        <w:autoSpaceDN w:val="0"/>
        <w:adjustRightInd w:val="0"/>
        <w:spacing w:line="276" w:lineRule="auto"/>
        <w:jc w:val="both"/>
        <w:textAlignment w:val="baseline"/>
        <w:rPr>
          <w:rFonts w:ascii="Arial" w:hAnsi="Arial" w:cs="Arial"/>
          <w:lang w:val="es-ES_tradnl"/>
        </w:rPr>
      </w:pPr>
    </w:p>
    <w:p w14:paraId="153E9F0F" w14:textId="355D7D3E" w:rsidR="00C60A45" w:rsidRPr="005C51B9" w:rsidRDefault="00066C2F" w:rsidP="005C51B9">
      <w:pPr>
        <w:widowControl w:val="0"/>
        <w:overflowPunct w:val="0"/>
        <w:autoSpaceDE w:val="0"/>
        <w:autoSpaceDN w:val="0"/>
        <w:adjustRightInd w:val="0"/>
        <w:spacing w:line="276" w:lineRule="auto"/>
        <w:jc w:val="both"/>
        <w:textAlignment w:val="baseline"/>
        <w:rPr>
          <w:rFonts w:ascii="Arial" w:hAnsi="Arial" w:cs="Arial"/>
        </w:rPr>
      </w:pPr>
      <w:r w:rsidRPr="005C51B9">
        <w:rPr>
          <w:rFonts w:ascii="Arial" w:hAnsi="Arial" w:cs="Arial"/>
        </w:rPr>
        <w:t xml:space="preserve">En síntesis, </w:t>
      </w:r>
      <w:r w:rsidR="00BA0F8D" w:rsidRPr="005C51B9">
        <w:rPr>
          <w:rFonts w:ascii="Arial" w:hAnsi="Arial" w:cs="Arial"/>
        </w:rPr>
        <w:t>la decisión</w:t>
      </w:r>
      <w:r w:rsidRPr="005C51B9">
        <w:rPr>
          <w:rFonts w:ascii="Arial" w:hAnsi="Arial" w:cs="Arial"/>
        </w:rPr>
        <w:t xml:space="preserve"> no puede calificarse como arbitraria, abusiva o caprichosa; por el contrario, evidencia el respeto </w:t>
      </w:r>
      <w:r w:rsidR="00BA0F8D" w:rsidRPr="005C51B9">
        <w:rPr>
          <w:rFonts w:ascii="Arial" w:hAnsi="Arial" w:cs="Arial"/>
        </w:rPr>
        <w:t>y</w:t>
      </w:r>
      <w:r w:rsidRPr="005C51B9">
        <w:rPr>
          <w:rFonts w:ascii="Arial" w:hAnsi="Arial" w:cs="Arial"/>
        </w:rPr>
        <w:t xml:space="preserve"> protección de las garantías procesales establecidas para las partes</w:t>
      </w:r>
      <w:r w:rsidR="009D6D64" w:rsidRPr="005C51B9">
        <w:rPr>
          <w:rFonts w:ascii="Arial" w:hAnsi="Arial" w:cs="Arial"/>
        </w:rPr>
        <w:t xml:space="preserve">, por lo que ningún eco en la jurisdicción constitucional debe tener la protección solicitada </w:t>
      </w:r>
      <w:r w:rsidR="00C60A45" w:rsidRPr="005C51B9">
        <w:rPr>
          <w:rFonts w:ascii="Arial" w:hAnsi="Arial" w:cs="Arial"/>
        </w:rPr>
        <w:t>por el señor Aníbal de Jesús Villegas Escobar</w:t>
      </w:r>
      <w:r w:rsidR="009D6D64" w:rsidRPr="005C51B9">
        <w:rPr>
          <w:rFonts w:ascii="Arial" w:hAnsi="Arial" w:cs="Arial"/>
        </w:rPr>
        <w:t>, la cual s</w:t>
      </w:r>
      <w:r w:rsidR="00C60A45" w:rsidRPr="005C51B9">
        <w:rPr>
          <w:rFonts w:ascii="Arial" w:hAnsi="Arial" w:cs="Arial"/>
        </w:rPr>
        <w:t>erá negada.</w:t>
      </w:r>
    </w:p>
    <w:p w14:paraId="2224DC9B" w14:textId="77777777" w:rsidR="00066C2F" w:rsidRPr="005C51B9" w:rsidRDefault="00066C2F" w:rsidP="005C51B9">
      <w:pPr>
        <w:widowControl w:val="0"/>
        <w:overflowPunct w:val="0"/>
        <w:autoSpaceDE w:val="0"/>
        <w:autoSpaceDN w:val="0"/>
        <w:adjustRightInd w:val="0"/>
        <w:spacing w:line="276" w:lineRule="auto"/>
        <w:jc w:val="both"/>
        <w:textAlignment w:val="baseline"/>
        <w:rPr>
          <w:rFonts w:ascii="Arial" w:hAnsi="Arial" w:cs="Arial"/>
          <w:lang w:val="es-ES_tradnl"/>
        </w:rPr>
      </w:pPr>
    </w:p>
    <w:p w14:paraId="005D7B96" w14:textId="77777777" w:rsidR="00AA5C2B" w:rsidRPr="005C51B9" w:rsidRDefault="00AA5C2B" w:rsidP="005C51B9">
      <w:pPr>
        <w:pStyle w:val="Textoindependiente"/>
        <w:spacing w:line="276" w:lineRule="auto"/>
        <w:ind w:right="51"/>
        <w:rPr>
          <w:sz w:val="24"/>
          <w:szCs w:val="24"/>
        </w:rPr>
      </w:pPr>
      <w:r w:rsidRPr="005C51B9">
        <w:rPr>
          <w:sz w:val="24"/>
          <w:szCs w:val="24"/>
        </w:rPr>
        <w:t xml:space="preserve">En virtud de lo anterior, la </w:t>
      </w:r>
      <w:r w:rsidRPr="005C51B9">
        <w:rPr>
          <w:b/>
          <w:sz w:val="24"/>
          <w:szCs w:val="24"/>
        </w:rPr>
        <w:t>Sala de Decisión Laboral del Tribunal Superior del Distrito Judicial de Pereira</w:t>
      </w:r>
      <w:r w:rsidRPr="005C51B9">
        <w:rPr>
          <w:sz w:val="24"/>
          <w:szCs w:val="24"/>
        </w:rPr>
        <w:t xml:space="preserve">, administrando Justicia en nombre del Pueblo y por mandato de la Constitución, </w:t>
      </w:r>
    </w:p>
    <w:p w14:paraId="664355AD" w14:textId="77777777" w:rsidR="00AA5C2B" w:rsidRPr="005C51B9" w:rsidRDefault="00AA5C2B" w:rsidP="005C51B9">
      <w:pPr>
        <w:pStyle w:val="Textoindependiente"/>
        <w:spacing w:line="276" w:lineRule="auto"/>
        <w:ind w:right="51"/>
        <w:rPr>
          <w:sz w:val="24"/>
          <w:szCs w:val="24"/>
        </w:rPr>
      </w:pPr>
    </w:p>
    <w:p w14:paraId="68A3624F" w14:textId="77777777" w:rsidR="00AA5C2B" w:rsidRPr="005C51B9" w:rsidRDefault="00AA5C2B" w:rsidP="005C51B9">
      <w:pPr>
        <w:pStyle w:val="Textoindependiente"/>
        <w:spacing w:line="276" w:lineRule="auto"/>
        <w:jc w:val="center"/>
        <w:rPr>
          <w:b/>
          <w:sz w:val="24"/>
          <w:szCs w:val="24"/>
        </w:rPr>
      </w:pPr>
      <w:r w:rsidRPr="005C51B9">
        <w:rPr>
          <w:b/>
          <w:sz w:val="24"/>
          <w:szCs w:val="24"/>
        </w:rPr>
        <w:t>RESUELVE</w:t>
      </w:r>
    </w:p>
    <w:p w14:paraId="1A965116" w14:textId="77777777" w:rsidR="00AA5C2B" w:rsidRPr="005C51B9" w:rsidRDefault="00AA5C2B" w:rsidP="005C51B9">
      <w:pPr>
        <w:spacing w:line="276" w:lineRule="auto"/>
        <w:contextualSpacing/>
        <w:jc w:val="both"/>
        <w:rPr>
          <w:rFonts w:ascii="Arial" w:hAnsi="Arial" w:cs="Arial"/>
          <w:b/>
          <w:u w:val="single"/>
          <w:lang w:val="es-ES_tradnl"/>
        </w:rPr>
      </w:pPr>
    </w:p>
    <w:p w14:paraId="521385EB" w14:textId="1BC4EC34" w:rsidR="00100DB2" w:rsidRPr="005C51B9" w:rsidRDefault="00AA5C2B" w:rsidP="005C51B9">
      <w:pPr>
        <w:spacing w:line="276" w:lineRule="auto"/>
        <w:contextualSpacing/>
        <w:jc w:val="both"/>
        <w:rPr>
          <w:rFonts w:ascii="Arial" w:hAnsi="Arial" w:cs="Arial"/>
          <w:b/>
        </w:rPr>
      </w:pPr>
      <w:r w:rsidRPr="005C51B9">
        <w:rPr>
          <w:rFonts w:ascii="Arial" w:hAnsi="Arial" w:cs="Arial"/>
          <w:b/>
          <w:bCs/>
        </w:rPr>
        <w:t xml:space="preserve">PRIMERO: </w:t>
      </w:r>
      <w:r w:rsidR="00C60A45" w:rsidRPr="005C51B9">
        <w:rPr>
          <w:rFonts w:ascii="Arial" w:hAnsi="Arial" w:cs="Arial"/>
          <w:b/>
          <w:bCs/>
        </w:rPr>
        <w:t xml:space="preserve">NEGAR </w:t>
      </w:r>
      <w:r w:rsidR="00C60A45" w:rsidRPr="005C51B9">
        <w:rPr>
          <w:rFonts w:ascii="Arial" w:hAnsi="Arial" w:cs="Arial"/>
        </w:rPr>
        <w:t xml:space="preserve">el amparo constitucional solicitado por el señor </w:t>
      </w:r>
      <w:r w:rsidR="00C60A45" w:rsidRPr="005C51B9">
        <w:rPr>
          <w:rFonts w:ascii="Arial" w:hAnsi="Arial" w:cs="Arial"/>
          <w:b/>
        </w:rPr>
        <w:t>ANIBAL DE JESÚS VILLEGAS ESCOBAR.</w:t>
      </w:r>
    </w:p>
    <w:p w14:paraId="7DF4E37C" w14:textId="77777777" w:rsidR="00BA7EFC" w:rsidRPr="005C51B9" w:rsidRDefault="00BA7EFC" w:rsidP="005C51B9">
      <w:pPr>
        <w:spacing w:line="276" w:lineRule="auto"/>
        <w:contextualSpacing/>
        <w:jc w:val="both"/>
        <w:rPr>
          <w:rFonts w:ascii="Arial" w:hAnsi="Arial" w:cs="Arial"/>
          <w:b/>
          <w:color w:val="000000"/>
          <w:lang w:val="es-ES_tradnl"/>
        </w:rPr>
      </w:pPr>
    </w:p>
    <w:p w14:paraId="61485ABB" w14:textId="77777777" w:rsidR="00AA5C2B" w:rsidRPr="005C51B9" w:rsidRDefault="00BA7EFC" w:rsidP="005C51B9">
      <w:pPr>
        <w:spacing w:line="276" w:lineRule="auto"/>
        <w:contextualSpacing/>
        <w:jc w:val="both"/>
        <w:rPr>
          <w:rFonts w:ascii="Arial" w:hAnsi="Arial" w:cs="Arial"/>
          <w:bCs/>
        </w:rPr>
      </w:pPr>
      <w:r w:rsidRPr="005C51B9">
        <w:rPr>
          <w:rFonts w:ascii="Arial" w:hAnsi="Arial" w:cs="Arial"/>
          <w:b/>
          <w:lang w:val="es-ES_tradnl"/>
        </w:rPr>
        <w:t>SEGUNDO</w:t>
      </w:r>
      <w:r w:rsidR="00100DB2" w:rsidRPr="005C51B9">
        <w:rPr>
          <w:rFonts w:ascii="Arial" w:hAnsi="Arial" w:cs="Arial"/>
          <w:b/>
          <w:lang w:val="es-ES_tradnl"/>
        </w:rPr>
        <w:t xml:space="preserve">: </w:t>
      </w:r>
      <w:r w:rsidRPr="005C51B9">
        <w:rPr>
          <w:rFonts w:ascii="Arial" w:hAnsi="Arial" w:cs="Arial"/>
          <w:b/>
        </w:rPr>
        <w:t>NOTIFICAR</w:t>
      </w:r>
      <w:r w:rsidR="00AA5C2B" w:rsidRPr="005C51B9">
        <w:rPr>
          <w:rFonts w:ascii="Arial" w:hAnsi="Arial" w:cs="Arial"/>
          <w:b/>
        </w:rPr>
        <w:t xml:space="preserve"> </w:t>
      </w:r>
      <w:r w:rsidR="00AA5C2B" w:rsidRPr="005C51B9">
        <w:rPr>
          <w:rFonts w:ascii="Arial" w:hAnsi="Arial" w:cs="Arial"/>
        </w:rPr>
        <w:t>e</w:t>
      </w:r>
      <w:r w:rsidR="00AA5C2B" w:rsidRPr="005C51B9">
        <w:rPr>
          <w:rFonts w:ascii="Arial" w:hAnsi="Arial" w:cs="Arial"/>
          <w:bCs/>
        </w:rPr>
        <w:t>sta decisión a las partes por el medio más expedito.</w:t>
      </w:r>
    </w:p>
    <w:p w14:paraId="44FB30F8" w14:textId="77777777" w:rsidR="00100DB2" w:rsidRPr="005C51B9" w:rsidRDefault="00100DB2" w:rsidP="005C51B9">
      <w:pPr>
        <w:pStyle w:val="Textoindependiente"/>
        <w:spacing w:line="276" w:lineRule="auto"/>
        <w:rPr>
          <w:bCs/>
          <w:sz w:val="24"/>
          <w:szCs w:val="24"/>
          <w:lang w:val="es-ES"/>
        </w:rPr>
      </w:pPr>
    </w:p>
    <w:p w14:paraId="39B47912" w14:textId="77777777" w:rsidR="00C60A45" w:rsidRPr="005C51B9" w:rsidRDefault="00C60A45" w:rsidP="005C51B9">
      <w:pPr>
        <w:widowControl w:val="0"/>
        <w:autoSpaceDE w:val="0"/>
        <w:autoSpaceDN w:val="0"/>
        <w:adjustRightInd w:val="0"/>
        <w:spacing w:line="276" w:lineRule="auto"/>
        <w:jc w:val="both"/>
        <w:rPr>
          <w:rFonts w:ascii="Arial" w:hAnsi="Arial" w:cs="Arial"/>
        </w:rPr>
      </w:pPr>
      <w:r w:rsidRPr="005C51B9">
        <w:rPr>
          <w:rFonts w:ascii="Arial" w:hAnsi="Arial" w:cs="Arial"/>
          <w:b/>
        </w:rPr>
        <w:t>TERCERO: REMITIR</w:t>
      </w:r>
      <w:r w:rsidRPr="005C51B9">
        <w:rPr>
          <w:rFonts w:ascii="Arial" w:hAnsi="Arial" w:cs="Arial"/>
        </w:rPr>
        <w:t xml:space="preserve"> a la Corte Constitucional, para su eventual revisión, en caso de no ser impugnada.</w:t>
      </w:r>
    </w:p>
    <w:p w14:paraId="1DA6542E" w14:textId="77777777" w:rsidR="00AA5C2B" w:rsidRPr="005C51B9" w:rsidRDefault="00AA5C2B" w:rsidP="005C51B9">
      <w:pPr>
        <w:pStyle w:val="Textoindependiente"/>
        <w:spacing w:line="276" w:lineRule="auto"/>
        <w:rPr>
          <w:b/>
          <w:sz w:val="24"/>
          <w:szCs w:val="24"/>
        </w:rPr>
      </w:pPr>
    </w:p>
    <w:p w14:paraId="57E379D6" w14:textId="77777777" w:rsidR="00AA5C2B" w:rsidRPr="005C51B9" w:rsidRDefault="00AA5C2B" w:rsidP="005C51B9">
      <w:pPr>
        <w:pStyle w:val="Textoindependiente"/>
        <w:spacing w:line="276" w:lineRule="auto"/>
        <w:rPr>
          <w:sz w:val="24"/>
          <w:szCs w:val="24"/>
        </w:rPr>
      </w:pPr>
      <w:r w:rsidRPr="005C51B9">
        <w:rPr>
          <w:b/>
          <w:spacing w:val="-2"/>
          <w:sz w:val="24"/>
          <w:szCs w:val="24"/>
        </w:rPr>
        <w:t>CÓPIESE, NOTIFÍQUESE Y CÚMPLASE.</w:t>
      </w:r>
      <w:r w:rsidRPr="005C51B9">
        <w:rPr>
          <w:spacing w:val="-2"/>
          <w:sz w:val="24"/>
          <w:szCs w:val="24"/>
        </w:rPr>
        <w:t xml:space="preserve"> </w:t>
      </w:r>
    </w:p>
    <w:p w14:paraId="40951F06" w14:textId="77777777" w:rsidR="005C51B9" w:rsidRPr="005C51B9" w:rsidRDefault="005C51B9" w:rsidP="005C51B9">
      <w:pPr>
        <w:spacing w:line="276" w:lineRule="auto"/>
        <w:jc w:val="both"/>
        <w:rPr>
          <w:rFonts w:ascii="Arial" w:eastAsia="Arial" w:hAnsi="Arial" w:cs="Arial"/>
          <w:lang w:val="es-CO" w:eastAsia="es-CO"/>
        </w:rPr>
      </w:pPr>
    </w:p>
    <w:p w14:paraId="33D40E09" w14:textId="77777777" w:rsidR="005C51B9" w:rsidRPr="005C51B9" w:rsidRDefault="005C51B9" w:rsidP="005C51B9">
      <w:pPr>
        <w:spacing w:line="276" w:lineRule="auto"/>
        <w:jc w:val="both"/>
        <w:textAlignment w:val="baseline"/>
        <w:rPr>
          <w:rFonts w:ascii="Arial" w:hAnsi="Arial" w:cs="Arial"/>
          <w:spacing w:val="-4"/>
          <w:lang w:eastAsia="es-CO"/>
        </w:rPr>
      </w:pPr>
      <w:r w:rsidRPr="005C51B9">
        <w:rPr>
          <w:rFonts w:ascii="Arial" w:hAnsi="Arial" w:cs="Arial"/>
          <w:spacing w:val="-4"/>
          <w:lang w:eastAsia="es-CO"/>
        </w:rPr>
        <w:t>Quienes Integran la Sala,</w:t>
      </w:r>
    </w:p>
    <w:p w14:paraId="692B357A" w14:textId="77777777" w:rsidR="005C51B9" w:rsidRPr="005C51B9" w:rsidRDefault="005C51B9" w:rsidP="005C51B9">
      <w:pPr>
        <w:widowControl w:val="0"/>
        <w:autoSpaceDE w:val="0"/>
        <w:autoSpaceDN w:val="0"/>
        <w:adjustRightInd w:val="0"/>
        <w:spacing w:line="276" w:lineRule="auto"/>
        <w:rPr>
          <w:rFonts w:ascii="Arial" w:eastAsia="Calibri" w:hAnsi="Arial" w:cs="Arial"/>
          <w:b/>
          <w:lang w:val="es-CO" w:eastAsia="en-US"/>
        </w:rPr>
      </w:pPr>
    </w:p>
    <w:p w14:paraId="39AF6ABA" w14:textId="77777777" w:rsidR="005C51B9" w:rsidRPr="005C51B9" w:rsidRDefault="005C51B9" w:rsidP="005C51B9">
      <w:pPr>
        <w:widowControl w:val="0"/>
        <w:autoSpaceDE w:val="0"/>
        <w:autoSpaceDN w:val="0"/>
        <w:adjustRightInd w:val="0"/>
        <w:spacing w:line="276" w:lineRule="auto"/>
        <w:rPr>
          <w:rFonts w:ascii="Arial" w:eastAsia="Calibri" w:hAnsi="Arial" w:cs="Arial"/>
          <w:b/>
          <w:lang w:val="es-CO" w:eastAsia="en-US"/>
        </w:rPr>
      </w:pPr>
    </w:p>
    <w:p w14:paraId="199E4082" w14:textId="77777777" w:rsidR="005C51B9" w:rsidRPr="005C51B9" w:rsidRDefault="005C51B9" w:rsidP="005C51B9">
      <w:pPr>
        <w:widowControl w:val="0"/>
        <w:autoSpaceDE w:val="0"/>
        <w:autoSpaceDN w:val="0"/>
        <w:adjustRightInd w:val="0"/>
        <w:spacing w:line="276" w:lineRule="auto"/>
        <w:rPr>
          <w:rFonts w:ascii="Arial" w:eastAsia="Calibri" w:hAnsi="Arial" w:cs="Arial"/>
          <w:b/>
          <w:lang w:val="es-CO" w:eastAsia="en-US"/>
        </w:rPr>
      </w:pPr>
    </w:p>
    <w:p w14:paraId="671D7405" w14:textId="77777777" w:rsidR="005C51B9" w:rsidRPr="005C51B9" w:rsidRDefault="005C51B9" w:rsidP="005C51B9">
      <w:pPr>
        <w:widowControl w:val="0"/>
        <w:autoSpaceDE w:val="0"/>
        <w:autoSpaceDN w:val="0"/>
        <w:adjustRightInd w:val="0"/>
        <w:spacing w:line="276" w:lineRule="auto"/>
        <w:jc w:val="center"/>
        <w:rPr>
          <w:rFonts w:ascii="Arial" w:eastAsia="Calibri" w:hAnsi="Arial" w:cs="Arial"/>
          <w:b/>
          <w:bCs/>
          <w:lang w:val="es-CO" w:eastAsia="en-US"/>
        </w:rPr>
      </w:pPr>
      <w:r w:rsidRPr="005C51B9">
        <w:rPr>
          <w:rFonts w:ascii="Arial" w:eastAsia="Calibri" w:hAnsi="Arial" w:cs="Arial"/>
          <w:b/>
          <w:bCs/>
          <w:lang w:val="es-CO" w:eastAsia="en-US"/>
        </w:rPr>
        <w:t>JULIO CÉSAR SALAZAR MUÑOZ</w:t>
      </w:r>
    </w:p>
    <w:p w14:paraId="6FF8D7E1" w14:textId="77777777" w:rsidR="005C51B9" w:rsidRPr="005C51B9" w:rsidRDefault="005C51B9" w:rsidP="005C51B9">
      <w:pPr>
        <w:widowControl w:val="0"/>
        <w:autoSpaceDE w:val="0"/>
        <w:autoSpaceDN w:val="0"/>
        <w:adjustRightInd w:val="0"/>
        <w:spacing w:line="276" w:lineRule="auto"/>
        <w:jc w:val="center"/>
        <w:rPr>
          <w:rFonts w:ascii="Arial" w:eastAsia="Calibri" w:hAnsi="Arial" w:cs="Arial"/>
          <w:lang w:val="es-CO" w:eastAsia="en-US"/>
        </w:rPr>
      </w:pPr>
      <w:r w:rsidRPr="005C51B9">
        <w:rPr>
          <w:rFonts w:ascii="Arial" w:eastAsia="Calibri" w:hAnsi="Arial" w:cs="Arial"/>
          <w:lang w:val="es-CO" w:eastAsia="en-US"/>
        </w:rPr>
        <w:t>Magistrado Ponente</w:t>
      </w:r>
    </w:p>
    <w:p w14:paraId="387EBA71" w14:textId="77777777" w:rsidR="005C51B9" w:rsidRPr="005C51B9" w:rsidRDefault="005C51B9" w:rsidP="005C51B9">
      <w:pPr>
        <w:widowControl w:val="0"/>
        <w:autoSpaceDE w:val="0"/>
        <w:autoSpaceDN w:val="0"/>
        <w:adjustRightInd w:val="0"/>
        <w:spacing w:line="276" w:lineRule="auto"/>
        <w:rPr>
          <w:rFonts w:ascii="Arial" w:eastAsia="Calibri" w:hAnsi="Arial" w:cs="Arial"/>
          <w:lang w:val="es-CO" w:eastAsia="en-US"/>
        </w:rPr>
      </w:pPr>
    </w:p>
    <w:p w14:paraId="70C34382" w14:textId="77777777" w:rsidR="005C51B9" w:rsidRPr="005C51B9" w:rsidRDefault="005C51B9" w:rsidP="005C51B9">
      <w:pPr>
        <w:widowControl w:val="0"/>
        <w:autoSpaceDE w:val="0"/>
        <w:autoSpaceDN w:val="0"/>
        <w:adjustRightInd w:val="0"/>
        <w:spacing w:line="276" w:lineRule="auto"/>
        <w:rPr>
          <w:rFonts w:ascii="Arial" w:eastAsia="Calibri" w:hAnsi="Arial" w:cs="Arial"/>
          <w:lang w:val="es-CO" w:eastAsia="en-US"/>
        </w:rPr>
      </w:pPr>
    </w:p>
    <w:p w14:paraId="0E01D6DA" w14:textId="77777777" w:rsidR="005C51B9" w:rsidRPr="005C51B9" w:rsidRDefault="005C51B9" w:rsidP="005C51B9">
      <w:pPr>
        <w:widowControl w:val="0"/>
        <w:autoSpaceDE w:val="0"/>
        <w:autoSpaceDN w:val="0"/>
        <w:adjustRightInd w:val="0"/>
        <w:spacing w:line="276" w:lineRule="auto"/>
        <w:rPr>
          <w:rFonts w:ascii="Arial" w:eastAsia="Calibri" w:hAnsi="Arial" w:cs="Arial"/>
          <w:lang w:val="es-CO" w:eastAsia="en-US"/>
        </w:rPr>
      </w:pPr>
    </w:p>
    <w:p w14:paraId="779C3026" w14:textId="77777777" w:rsidR="005C51B9" w:rsidRPr="005C51B9" w:rsidRDefault="005C51B9" w:rsidP="005C51B9">
      <w:pPr>
        <w:widowControl w:val="0"/>
        <w:autoSpaceDE w:val="0"/>
        <w:autoSpaceDN w:val="0"/>
        <w:adjustRightInd w:val="0"/>
        <w:spacing w:line="276" w:lineRule="auto"/>
        <w:rPr>
          <w:rFonts w:ascii="Arial" w:eastAsia="Calibri" w:hAnsi="Arial" w:cs="Arial"/>
          <w:lang w:val="es-CO" w:eastAsia="en-US"/>
        </w:rPr>
      </w:pPr>
      <w:r w:rsidRPr="005C51B9">
        <w:rPr>
          <w:rFonts w:ascii="Arial" w:eastAsia="Calibri" w:hAnsi="Arial" w:cs="Arial"/>
          <w:b/>
          <w:bCs/>
          <w:lang w:val="es-CO" w:eastAsia="en-US"/>
        </w:rPr>
        <w:t>ANA LUCÍA CAICEDO CALDERÓN</w:t>
      </w:r>
      <w:r w:rsidRPr="005C51B9">
        <w:rPr>
          <w:rFonts w:ascii="Arial" w:eastAsia="Calibri" w:hAnsi="Arial" w:cs="Arial"/>
          <w:b/>
          <w:bCs/>
          <w:lang w:val="es-CO" w:eastAsia="en-US"/>
        </w:rPr>
        <w:tab/>
      </w:r>
      <w:r w:rsidRPr="005C51B9">
        <w:rPr>
          <w:rFonts w:ascii="Arial" w:eastAsia="Calibri" w:hAnsi="Arial" w:cs="Arial"/>
          <w:b/>
          <w:bCs/>
          <w:lang w:val="es-CO" w:eastAsia="en-US"/>
        </w:rPr>
        <w:tab/>
        <w:t xml:space="preserve">   GERMÁN DARÍO GÓEZ VINASCO</w:t>
      </w:r>
    </w:p>
    <w:p w14:paraId="5B95CD12" w14:textId="406997A5" w:rsidR="00B72FF6" w:rsidRPr="005C51B9" w:rsidRDefault="005C51B9" w:rsidP="005C51B9">
      <w:pPr>
        <w:spacing w:line="276" w:lineRule="auto"/>
        <w:jc w:val="both"/>
        <w:textAlignment w:val="baseline"/>
        <w:rPr>
          <w:rFonts w:ascii="Arial" w:hAnsi="Arial" w:cs="Arial"/>
          <w:bCs/>
          <w:lang w:val="es-ES_tradnl" w:eastAsia="en-US"/>
        </w:rPr>
      </w:pPr>
      <w:r w:rsidRPr="005C51B9">
        <w:rPr>
          <w:rFonts w:ascii="Arial" w:eastAsia="Calibri" w:hAnsi="Arial" w:cs="Arial"/>
          <w:bCs/>
          <w:lang w:val="es-CO" w:eastAsia="en-US"/>
        </w:rPr>
        <w:t>Magistrada</w:t>
      </w:r>
      <w:r w:rsidRPr="005C51B9">
        <w:rPr>
          <w:rFonts w:ascii="Arial" w:eastAsia="Calibri" w:hAnsi="Arial" w:cs="Arial"/>
          <w:bCs/>
          <w:lang w:val="es-CO" w:eastAsia="en-US"/>
        </w:rPr>
        <w:tab/>
      </w:r>
      <w:r w:rsidRPr="005C51B9">
        <w:rPr>
          <w:rFonts w:ascii="Arial" w:eastAsia="Calibri" w:hAnsi="Arial" w:cs="Arial"/>
          <w:bCs/>
          <w:lang w:val="es-CO" w:eastAsia="en-US"/>
        </w:rPr>
        <w:tab/>
      </w:r>
      <w:r w:rsidRPr="005C51B9">
        <w:rPr>
          <w:rFonts w:ascii="Arial" w:eastAsia="Calibri" w:hAnsi="Arial" w:cs="Arial"/>
          <w:bCs/>
          <w:lang w:val="es-CO" w:eastAsia="en-US"/>
        </w:rPr>
        <w:tab/>
      </w:r>
      <w:r w:rsidRPr="005C51B9">
        <w:rPr>
          <w:rFonts w:ascii="Arial" w:eastAsia="Calibri" w:hAnsi="Arial" w:cs="Arial"/>
          <w:bCs/>
          <w:lang w:val="es-CO" w:eastAsia="en-US"/>
        </w:rPr>
        <w:tab/>
      </w:r>
      <w:r w:rsidRPr="005C51B9">
        <w:rPr>
          <w:rFonts w:ascii="Arial" w:eastAsia="Calibri" w:hAnsi="Arial" w:cs="Arial"/>
          <w:bCs/>
          <w:lang w:val="es-CO" w:eastAsia="en-US"/>
        </w:rPr>
        <w:tab/>
      </w:r>
      <w:r w:rsidRPr="005C51B9">
        <w:rPr>
          <w:rFonts w:ascii="Arial" w:eastAsia="Calibri" w:hAnsi="Arial" w:cs="Arial"/>
          <w:bCs/>
          <w:lang w:val="es-CO" w:eastAsia="en-US"/>
        </w:rPr>
        <w:tab/>
      </w:r>
      <w:r w:rsidRPr="005C51B9">
        <w:rPr>
          <w:rFonts w:ascii="Arial" w:eastAsia="Calibri" w:hAnsi="Arial" w:cs="Arial"/>
          <w:b/>
          <w:bCs/>
          <w:lang w:val="es-CO" w:eastAsia="en-US"/>
        </w:rPr>
        <w:t xml:space="preserve">   </w:t>
      </w:r>
      <w:r w:rsidRPr="005C51B9">
        <w:rPr>
          <w:rFonts w:ascii="Arial" w:hAnsi="Arial" w:cs="Arial"/>
          <w:bCs/>
          <w:lang w:val="es-ES_tradnl" w:eastAsia="en-US"/>
        </w:rPr>
        <w:t>Magistrado</w:t>
      </w:r>
      <w:bookmarkStart w:id="0" w:name="_GoBack"/>
      <w:bookmarkEnd w:id="0"/>
    </w:p>
    <w:sectPr w:rsidR="00B72FF6" w:rsidRPr="005C51B9" w:rsidSect="005C51B9">
      <w:headerReference w:type="default" r:id="rId12"/>
      <w:footerReference w:type="default" r:id="rId13"/>
      <w:pgSz w:w="12242" w:h="18722" w:code="189"/>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CA8037" w16cex:dateUtc="2020-08-14T15:20:41.143Z"/>
  <w16cex:commentExtensible w16cex:durableId="5E44CA45" w16cex:dateUtc="2020-08-14T21:23:19.391Z"/>
  <w16cex:commentExtensible w16cex:durableId="32F58C9D" w16cex:dateUtc="2021-09-07T23:11:58.299Z"/>
  <w16cex:commentExtensible w16cex:durableId="63257EA8" w16cex:dateUtc="2021-09-08T14:08:59.842Z"/>
  <w16cex:commentExtensible w16cex:durableId="5560FE6F" w16cex:dateUtc="2021-09-08T15:23:53.782Z"/>
  <w16cex:commentExtensible w16cex:durableId="56013FC5" w16cex:dateUtc="2021-12-06T17:23:52.221Z"/>
  <w16cex:commentExtensible w16cex:durableId="69A8C7C2" w16cex:dateUtc="2021-12-07T15:43:47.705Z"/>
  <w16cex:commentExtensible w16cex:durableId="0CFDDE8A" w16cex:dateUtc="2021-12-09T19:41:52.952Z"/>
  <w16cex:commentExtensible w16cex:durableId="00449253" w16cex:dateUtc="2023-10-24T19:30:47.819Z"/>
  <w16cex:commentExtensible w16cex:durableId="598143F1" w16cex:dateUtc="2023-10-24T20:30:28.845Z"/>
  <w16cex:commentExtensible w16cex:durableId="1F75C941" w16cex:dateUtc="2023-10-24T21:05:10.39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EB9E" w14:textId="77777777" w:rsidR="001A6454" w:rsidRDefault="001A6454" w:rsidP="00AF43F0">
      <w:r>
        <w:separator/>
      </w:r>
    </w:p>
  </w:endnote>
  <w:endnote w:type="continuationSeparator" w:id="0">
    <w:p w14:paraId="1165AC3E" w14:textId="77777777" w:rsidR="001A6454" w:rsidRDefault="001A6454" w:rsidP="00AF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2464AA2F" w14:paraId="567E8354" w14:textId="77777777" w:rsidTr="2464AA2F">
      <w:trPr>
        <w:trHeight w:val="300"/>
      </w:trPr>
      <w:tc>
        <w:tcPr>
          <w:tcW w:w="2830" w:type="dxa"/>
        </w:tcPr>
        <w:p w14:paraId="3A5FB61F" w14:textId="42EC2C5E" w:rsidR="2464AA2F" w:rsidRDefault="2464AA2F" w:rsidP="2464AA2F">
          <w:pPr>
            <w:pStyle w:val="Encabezado"/>
            <w:ind w:left="-115"/>
          </w:pPr>
        </w:p>
      </w:tc>
      <w:tc>
        <w:tcPr>
          <w:tcW w:w="2830" w:type="dxa"/>
        </w:tcPr>
        <w:p w14:paraId="0BD7CCD7" w14:textId="31E95431" w:rsidR="2464AA2F" w:rsidRDefault="2464AA2F" w:rsidP="2464AA2F">
          <w:pPr>
            <w:pStyle w:val="Encabezado"/>
            <w:jc w:val="center"/>
          </w:pPr>
        </w:p>
      </w:tc>
      <w:tc>
        <w:tcPr>
          <w:tcW w:w="2830" w:type="dxa"/>
        </w:tcPr>
        <w:p w14:paraId="199793E2" w14:textId="4DFCF819" w:rsidR="2464AA2F" w:rsidRDefault="2464AA2F" w:rsidP="2464AA2F">
          <w:pPr>
            <w:pStyle w:val="Encabezado"/>
            <w:ind w:right="-115"/>
            <w:jc w:val="right"/>
          </w:pPr>
        </w:p>
      </w:tc>
    </w:tr>
  </w:tbl>
  <w:p w14:paraId="3766253B" w14:textId="0D5689BB" w:rsidR="2464AA2F" w:rsidRDefault="2464AA2F" w:rsidP="2464AA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2B03" w14:textId="77777777" w:rsidR="001A6454" w:rsidRDefault="001A6454" w:rsidP="00AF43F0">
      <w:r>
        <w:separator/>
      </w:r>
    </w:p>
  </w:footnote>
  <w:footnote w:type="continuationSeparator" w:id="0">
    <w:p w14:paraId="52DFAB5F" w14:textId="77777777" w:rsidR="001A6454" w:rsidRDefault="001A6454" w:rsidP="00AF43F0">
      <w:r>
        <w:continuationSeparator/>
      </w:r>
    </w:p>
  </w:footnote>
  <w:footnote w:id="1">
    <w:p w14:paraId="059C4DCA" w14:textId="77777777" w:rsidR="009A1919" w:rsidRPr="005C51B9" w:rsidRDefault="009A1919" w:rsidP="005C51B9">
      <w:pPr>
        <w:pStyle w:val="Textonotapie"/>
        <w:jc w:val="both"/>
        <w:rPr>
          <w:rFonts w:ascii="Arial" w:hAnsi="Arial" w:cs="Arial"/>
          <w:sz w:val="18"/>
          <w:lang w:val="es-MX"/>
        </w:rPr>
      </w:pPr>
      <w:r w:rsidRPr="005C51B9">
        <w:rPr>
          <w:rStyle w:val="Refdenotaalpie"/>
          <w:rFonts w:ascii="Arial" w:hAnsi="Arial" w:cs="Arial"/>
          <w:sz w:val="18"/>
        </w:rPr>
        <w:footnoteRef/>
      </w:r>
      <w:r w:rsidRPr="005C51B9">
        <w:rPr>
          <w:rFonts w:ascii="Arial" w:hAnsi="Arial" w:cs="Arial"/>
          <w:sz w:val="18"/>
        </w:rPr>
        <w:t xml:space="preserve"> </w:t>
      </w:r>
      <w:r w:rsidRPr="005C51B9">
        <w:rPr>
          <w:rFonts w:ascii="Arial" w:hAnsi="Arial" w:cs="Arial"/>
          <w:sz w:val="18"/>
          <w:lang w:val="es-MX"/>
        </w:rPr>
        <w:t>T-001-97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8701" w14:textId="77777777" w:rsidR="005C51B9" w:rsidRPr="005C51B9" w:rsidRDefault="2464AA2F" w:rsidP="005C51B9">
    <w:pPr>
      <w:pStyle w:val="Encabezado"/>
      <w:jc w:val="center"/>
      <w:rPr>
        <w:rFonts w:ascii="Arial" w:hAnsi="Arial" w:cs="Arial"/>
        <w:sz w:val="18"/>
        <w:szCs w:val="14"/>
      </w:rPr>
    </w:pPr>
    <w:r w:rsidRPr="005C51B9">
      <w:rPr>
        <w:rFonts w:ascii="Arial" w:hAnsi="Arial" w:cs="Arial"/>
        <w:sz w:val="18"/>
        <w:szCs w:val="14"/>
      </w:rPr>
      <w:t>Aníbal de Jesús Villegas Escobar Vs Juzgado Laboral del Circuito de Dosquebradas</w:t>
    </w:r>
  </w:p>
  <w:p w14:paraId="75C211A7" w14:textId="710B3476" w:rsidR="009A1919" w:rsidRPr="005C51B9" w:rsidRDefault="2464AA2F" w:rsidP="005C51B9">
    <w:pPr>
      <w:pStyle w:val="Encabezado"/>
      <w:jc w:val="center"/>
      <w:rPr>
        <w:rFonts w:ascii="Arial" w:hAnsi="Arial" w:cs="Arial"/>
        <w:sz w:val="18"/>
        <w:szCs w:val="14"/>
      </w:rPr>
    </w:pPr>
    <w:r w:rsidRPr="005C51B9">
      <w:rPr>
        <w:rFonts w:ascii="Arial" w:hAnsi="Arial" w:cs="Arial"/>
        <w:sz w:val="18"/>
        <w:szCs w:val="14"/>
      </w:rPr>
      <w:t>Rad 66001220500020231005300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27F4"/>
    <w:multiLevelType w:val="hybridMultilevel"/>
    <w:tmpl w:val="55040914"/>
    <w:lvl w:ilvl="0" w:tplc="ACA272F4">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563BC1"/>
    <w:multiLevelType w:val="hybridMultilevel"/>
    <w:tmpl w:val="39F865DC"/>
    <w:lvl w:ilvl="0" w:tplc="435C795C">
      <w:start w:val="1"/>
      <w:numFmt w:val="decimal"/>
      <w:lvlText w:val="%1."/>
      <w:lvlJc w:val="left"/>
      <w:pPr>
        <w:ind w:left="2487" w:hanging="360"/>
      </w:pPr>
      <w:rPr>
        <w:rFonts w:ascii="Arial,Times New Roman" w:hAnsi="Arial,Times New Roman" w:hint="default"/>
        <w:b/>
      </w:rPr>
    </w:lvl>
    <w:lvl w:ilvl="1" w:tplc="892AB3DE">
      <w:start w:val="1"/>
      <w:numFmt w:val="lowerLetter"/>
      <w:lvlText w:val="%2."/>
      <w:lvlJc w:val="left"/>
      <w:pPr>
        <w:ind w:left="3425" w:hanging="360"/>
      </w:pPr>
    </w:lvl>
    <w:lvl w:ilvl="2" w:tplc="0088A97E">
      <w:start w:val="1"/>
      <w:numFmt w:val="lowerRoman"/>
      <w:lvlText w:val="%3."/>
      <w:lvlJc w:val="right"/>
      <w:pPr>
        <w:ind w:left="4145" w:hanging="180"/>
      </w:pPr>
    </w:lvl>
    <w:lvl w:ilvl="3" w:tplc="D3A850AA">
      <w:start w:val="1"/>
      <w:numFmt w:val="decimal"/>
      <w:lvlText w:val="%4."/>
      <w:lvlJc w:val="left"/>
      <w:pPr>
        <w:ind w:left="4865" w:hanging="360"/>
      </w:pPr>
    </w:lvl>
    <w:lvl w:ilvl="4" w:tplc="012E8012">
      <w:start w:val="1"/>
      <w:numFmt w:val="lowerLetter"/>
      <w:lvlText w:val="%5."/>
      <w:lvlJc w:val="left"/>
      <w:pPr>
        <w:ind w:left="5585" w:hanging="360"/>
      </w:pPr>
    </w:lvl>
    <w:lvl w:ilvl="5" w:tplc="C8EEDA9E">
      <w:start w:val="1"/>
      <w:numFmt w:val="lowerRoman"/>
      <w:lvlText w:val="%6."/>
      <w:lvlJc w:val="right"/>
      <w:pPr>
        <w:ind w:left="6305" w:hanging="180"/>
      </w:pPr>
    </w:lvl>
    <w:lvl w:ilvl="6" w:tplc="8BFA9AAE">
      <w:start w:val="1"/>
      <w:numFmt w:val="decimal"/>
      <w:lvlText w:val="%7."/>
      <w:lvlJc w:val="left"/>
      <w:pPr>
        <w:ind w:left="7025" w:hanging="360"/>
      </w:pPr>
    </w:lvl>
    <w:lvl w:ilvl="7" w:tplc="93BAEB00">
      <w:start w:val="1"/>
      <w:numFmt w:val="lowerLetter"/>
      <w:lvlText w:val="%8."/>
      <w:lvlJc w:val="left"/>
      <w:pPr>
        <w:ind w:left="7745" w:hanging="360"/>
      </w:pPr>
    </w:lvl>
    <w:lvl w:ilvl="8" w:tplc="2828F9EA">
      <w:start w:val="1"/>
      <w:numFmt w:val="lowerRoman"/>
      <w:lvlText w:val="%9."/>
      <w:lvlJc w:val="right"/>
      <w:pPr>
        <w:ind w:left="8465" w:hanging="180"/>
      </w:pPr>
    </w:lvl>
  </w:abstractNum>
  <w:abstractNum w:abstractNumId="2" w15:restartNumberingAfterBreak="0">
    <w:nsid w:val="42975BF3"/>
    <w:multiLevelType w:val="hybridMultilevel"/>
    <w:tmpl w:val="918AF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B"/>
    <w:rsid w:val="00031DBE"/>
    <w:rsid w:val="00032309"/>
    <w:rsid w:val="00034FE8"/>
    <w:rsid w:val="00036EBD"/>
    <w:rsid w:val="00046A05"/>
    <w:rsid w:val="00066C2F"/>
    <w:rsid w:val="000671FE"/>
    <w:rsid w:val="00085503"/>
    <w:rsid w:val="00087314"/>
    <w:rsid w:val="00092F77"/>
    <w:rsid w:val="00095AAC"/>
    <w:rsid w:val="00096D89"/>
    <w:rsid w:val="000B5736"/>
    <w:rsid w:val="000C66D6"/>
    <w:rsid w:val="000F00C9"/>
    <w:rsid w:val="000F758C"/>
    <w:rsid w:val="00100DB2"/>
    <w:rsid w:val="001104FF"/>
    <w:rsid w:val="00115462"/>
    <w:rsid w:val="0012AC54"/>
    <w:rsid w:val="00130350"/>
    <w:rsid w:val="00142F24"/>
    <w:rsid w:val="0014486B"/>
    <w:rsid w:val="00151D26"/>
    <w:rsid w:val="001913A1"/>
    <w:rsid w:val="001947E9"/>
    <w:rsid w:val="001A5795"/>
    <w:rsid w:val="001A6454"/>
    <w:rsid w:val="001B50A6"/>
    <w:rsid w:val="001B57CD"/>
    <w:rsid w:val="001C5F16"/>
    <w:rsid w:val="001D153F"/>
    <w:rsid w:val="001D3975"/>
    <w:rsid w:val="00220F49"/>
    <w:rsid w:val="00224AA7"/>
    <w:rsid w:val="00242496"/>
    <w:rsid w:val="00273B3E"/>
    <w:rsid w:val="00290F0A"/>
    <w:rsid w:val="002B3106"/>
    <w:rsid w:val="002F5F52"/>
    <w:rsid w:val="00300821"/>
    <w:rsid w:val="00320871"/>
    <w:rsid w:val="003410DA"/>
    <w:rsid w:val="00355FCF"/>
    <w:rsid w:val="003607B5"/>
    <w:rsid w:val="00376E24"/>
    <w:rsid w:val="003991E9"/>
    <w:rsid w:val="003A7F18"/>
    <w:rsid w:val="003B1C85"/>
    <w:rsid w:val="003B45E9"/>
    <w:rsid w:val="003E0662"/>
    <w:rsid w:val="0041072A"/>
    <w:rsid w:val="00426165"/>
    <w:rsid w:val="00490816"/>
    <w:rsid w:val="004921F6"/>
    <w:rsid w:val="00494529"/>
    <w:rsid w:val="00495189"/>
    <w:rsid w:val="00495C11"/>
    <w:rsid w:val="004A469A"/>
    <w:rsid w:val="004C0A6B"/>
    <w:rsid w:val="004E210E"/>
    <w:rsid w:val="005105AF"/>
    <w:rsid w:val="005616BD"/>
    <w:rsid w:val="0056270E"/>
    <w:rsid w:val="00562FFB"/>
    <w:rsid w:val="00575868"/>
    <w:rsid w:val="00581855"/>
    <w:rsid w:val="005866D5"/>
    <w:rsid w:val="005B49E1"/>
    <w:rsid w:val="005B5ADD"/>
    <w:rsid w:val="005C1FC3"/>
    <w:rsid w:val="005C51B9"/>
    <w:rsid w:val="005D09BD"/>
    <w:rsid w:val="005D2545"/>
    <w:rsid w:val="0062022B"/>
    <w:rsid w:val="006222EF"/>
    <w:rsid w:val="00634711"/>
    <w:rsid w:val="006497EF"/>
    <w:rsid w:val="0066267C"/>
    <w:rsid w:val="0068244F"/>
    <w:rsid w:val="00683AB6"/>
    <w:rsid w:val="00686E59"/>
    <w:rsid w:val="0068CE3F"/>
    <w:rsid w:val="00695289"/>
    <w:rsid w:val="00696A26"/>
    <w:rsid w:val="006E78BA"/>
    <w:rsid w:val="006F1CEC"/>
    <w:rsid w:val="006F4B4B"/>
    <w:rsid w:val="00716B36"/>
    <w:rsid w:val="00721BD3"/>
    <w:rsid w:val="00734D88"/>
    <w:rsid w:val="0074585F"/>
    <w:rsid w:val="007836C5"/>
    <w:rsid w:val="0078530A"/>
    <w:rsid w:val="00791507"/>
    <w:rsid w:val="007A47AD"/>
    <w:rsid w:val="007B5D25"/>
    <w:rsid w:val="007C2749"/>
    <w:rsid w:val="007E3D9D"/>
    <w:rsid w:val="00812AF5"/>
    <w:rsid w:val="00835F52"/>
    <w:rsid w:val="008627D0"/>
    <w:rsid w:val="0086409D"/>
    <w:rsid w:val="008675DE"/>
    <w:rsid w:val="0087544F"/>
    <w:rsid w:val="00876C40"/>
    <w:rsid w:val="00877846"/>
    <w:rsid w:val="008A1F2E"/>
    <w:rsid w:val="008A39C0"/>
    <w:rsid w:val="008C04DC"/>
    <w:rsid w:val="008E3958"/>
    <w:rsid w:val="009236CD"/>
    <w:rsid w:val="00988164"/>
    <w:rsid w:val="00991335"/>
    <w:rsid w:val="0099648F"/>
    <w:rsid w:val="009A1919"/>
    <w:rsid w:val="009B1F42"/>
    <w:rsid w:val="009B27C1"/>
    <w:rsid w:val="009C0C45"/>
    <w:rsid w:val="009C129C"/>
    <w:rsid w:val="009CF8B8"/>
    <w:rsid w:val="009D314F"/>
    <w:rsid w:val="009D6D64"/>
    <w:rsid w:val="009E0021"/>
    <w:rsid w:val="009F0381"/>
    <w:rsid w:val="009F234D"/>
    <w:rsid w:val="009F593B"/>
    <w:rsid w:val="00A028CB"/>
    <w:rsid w:val="00A1244F"/>
    <w:rsid w:val="00A12B50"/>
    <w:rsid w:val="00A164F9"/>
    <w:rsid w:val="00A7208A"/>
    <w:rsid w:val="00A816C3"/>
    <w:rsid w:val="00A91C1E"/>
    <w:rsid w:val="00AA36E3"/>
    <w:rsid w:val="00AA5C2B"/>
    <w:rsid w:val="00AA7F81"/>
    <w:rsid w:val="00AC1661"/>
    <w:rsid w:val="00AE14F1"/>
    <w:rsid w:val="00AF43F0"/>
    <w:rsid w:val="00AF560B"/>
    <w:rsid w:val="00B14C68"/>
    <w:rsid w:val="00B3445A"/>
    <w:rsid w:val="00B42F4D"/>
    <w:rsid w:val="00B53D69"/>
    <w:rsid w:val="00B61B80"/>
    <w:rsid w:val="00B72FF6"/>
    <w:rsid w:val="00B94B1F"/>
    <w:rsid w:val="00BA0F8D"/>
    <w:rsid w:val="00BA1508"/>
    <w:rsid w:val="00BA6DF9"/>
    <w:rsid w:val="00BA6F4E"/>
    <w:rsid w:val="00BA7EFC"/>
    <w:rsid w:val="00BD701C"/>
    <w:rsid w:val="00C0072E"/>
    <w:rsid w:val="00C05E3F"/>
    <w:rsid w:val="00C125CF"/>
    <w:rsid w:val="00C1347B"/>
    <w:rsid w:val="00C221C6"/>
    <w:rsid w:val="00C314D2"/>
    <w:rsid w:val="00C34B7D"/>
    <w:rsid w:val="00C4759E"/>
    <w:rsid w:val="00C60275"/>
    <w:rsid w:val="00C60A45"/>
    <w:rsid w:val="00C62AD3"/>
    <w:rsid w:val="00C72DD1"/>
    <w:rsid w:val="00C85668"/>
    <w:rsid w:val="00CA3C0B"/>
    <w:rsid w:val="00CD2BFA"/>
    <w:rsid w:val="00D1470B"/>
    <w:rsid w:val="00D27BD3"/>
    <w:rsid w:val="00D45723"/>
    <w:rsid w:val="00D45F81"/>
    <w:rsid w:val="00D60184"/>
    <w:rsid w:val="00D77435"/>
    <w:rsid w:val="00DB2480"/>
    <w:rsid w:val="00DB3D18"/>
    <w:rsid w:val="00DC2A4D"/>
    <w:rsid w:val="00DE7350"/>
    <w:rsid w:val="00E07DB8"/>
    <w:rsid w:val="00E1539B"/>
    <w:rsid w:val="00E32250"/>
    <w:rsid w:val="00E336C8"/>
    <w:rsid w:val="00E36051"/>
    <w:rsid w:val="00E56C6A"/>
    <w:rsid w:val="00ED3956"/>
    <w:rsid w:val="00EE6538"/>
    <w:rsid w:val="00F029E3"/>
    <w:rsid w:val="00F04A94"/>
    <w:rsid w:val="00F12791"/>
    <w:rsid w:val="00F1317A"/>
    <w:rsid w:val="00F16C5D"/>
    <w:rsid w:val="00F279C3"/>
    <w:rsid w:val="00F33F1E"/>
    <w:rsid w:val="00F4092A"/>
    <w:rsid w:val="00F46C29"/>
    <w:rsid w:val="00F567B0"/>
    <w:rsid w:val="00F66A49"/>
    <w:rsid w:val="00F71E1F"/>
    <w:rsid w:val="00F80424"/>
    <w:rsid w:val="00F84889"/>
    <w:rsid w:val="00FA6F84"/>
    <w:rsid w:val="00FC235B"/>
    <w:rsid w:val="00FC6545"/>
    <w:rsid w:val="00FD2C2F"/>
    <w:rsid w:val="00FF3EFB"/>
    <w:rsid w:val="00FF56B3"/>
    <w:rsid w:val="012FAFCA"/>
    <w:rsid w:val="013AAE98"/>
    <w:rsid w:val="0165D985"/>
    <w:rsid w:val="0170ADA9"/>
    <w:rsid w:val="0176BA39"/>
    <w:rsid w:val="01AE22A6"/>
    <w:rsid w:val="01BCC32F"/>
    <w:rsid w:val="01BF151A"/>
    <w:rsid w:val="0229C806"/>
    <w:rsid w:val="02434C6B"/>
    <w:rsid w:val="026285B3"/>
    <w:rsid w:val="02A065FC"/>
    <w:rsid w:val="02BBC61B"/>
    <w:rsid w:val="03217596"/>
    <w:rsid w:val="0378E96A"/>
    <w:rsid w:val="03A373BF"/>
    <w:rsid w:val="03A46BAC"/>
    <w:rsid w:val="03B2683A"/>
    <w:rsid w:val="03B27D22"/>
    <w:rsid w:val="03E5D279"/>
    <w:rsid w:val="04031844"/>
    <w:rsid w:val="04459100"/>
    <w:rsid w:val="04793F2C"/>
    <w:rsid w:val="048830FC"/>
    <w:rsid w:val="04AA75FA"/>
    <w:rsid w:val="04AD2D58"/>
    <w:rsid w:val="04B378D8"/>
    <w:rsid w:val="04F4FFF3"/>
    <w:rsid w:val="0519C18F"/>
    <w:rsid w:val="052A23E8"/>
    <w:rsid w:val="053F0BA0"/>
    <w:rsid w:val="05642FC5"/>
    <w:rsid w:val="05702D62"/>
    <w:rsid w:val="05E49681"/>
    <w:rsid w:val="062B41C6"/>
    <w:rsid w:val="065F4A89"/>
    <w:rsid w:val="069805FF"/>
    <w:rsid w:val="06C0B9F3"/>
    <w:rsid w:val="06C6E342"/>
    <w:rsid w:val="0704E4B9"/>
    <w:rsid w:val="0742D2B3"/>
    <w:rsid w:val="0749C34C"/>
    <w:rsid w:val="076362F5"/>
    <w:rsid w:val="0781ACEF"/>
    <w:rsid w:val="07A10511"/>
    <w:rsid w:val="07EB40EA"/>
    <w:rsid w:val="08151109"/>
    <w:rsid w:val="08465513"/>
    <w:rsid w:val="08774DC9"/>
    <w:rsid w:val="089C5934"/>
    <w:rsid w:val="08B12227"/>
    <w:rsid w:val="08C6CFC8"/>
    <w:rsid w:val="08D8E257"/>
    <w:rsid w:val="08FF8AD1"/>
    <w:rsid w:val="0902F79C"/>
    <w:rsid w:val="09277EBE"/>
    <w:rsid w:val="09302F88"/>
    <w:rsid w:val="093C72B9"/>
    <w:rsid w:val="0993A87D"/>
    <w:rsid w:val="09F8C75D"/>
    <w:rsid w:val="0A1E30DC"/>
    <w:rsid w:val="0A52F58D"/>
    <w:rsid w:val="0A6EA669"/>
    <w:rsid w:val="0A9DCAB4"/>
    <w:rsid w:val="0AD2039D"/>
    <w:rsid w:val="0AED2CBB"/>
    <w:rsid w:val="0B047422"/>
    <w:rsid w:val="0B13C3BC"/>
    <w:rsid w:val="0B188768"/>
    <w:rsid w:val="0B19A029"/>
    <w:rsid w:val="0B469407"/>
    <w:rsid w:val="0B5676F4"/>
    <w:rsid w:val="0BCEC396"/>
    <w:rsid w:val="0BD09181"/>
    <w:rsid w:val="0BEBCBD5"/>
    <w:rsid w:val="0C2F9F82"/>
    <w:rsid w:val="0C376B3F"/>
    <w:rsid w:val="0C6BA0DF"/>
    <w:rsid w:val="0C7128AF"/>
    <w:rsid w:val="0D090C0A"/>
    <w:rsid w:val="0D299160"/>
    <w:rsid w:val="0D3B0B35"/>
    <w:rsid w:val="0D48ABA9"/>
    <w:rsid w:val="0D89650F"/>
    <w:rsid w:val="0D953FCA"/>
    <w:rsid w:val="0DCB6FE3"/>
    <w:rsid w:val="0E124ED1"/>
    <w:rsid w:val="0E274E37"/>
    <w:rsid w:val="0E412E74"/>
    <w:rsid w:val="0E59BF59"/>
    <w:rsid w:val="0E7B3406"/>
    <w:rsid w:val="0ECC01D7"/>
    <w:rsid w:val="0ED9EA28"/>
    <w:rsid w:val="0F0C3C3E"/>
    <w:rsid w:val="0F47C58B"/>
    <w:rsid w:val="0F5056E1"/>
    <w:rsid w:val="0F52268A"/>
    <w:rsid w:val="0F90312D"/>
    <w:rsid w:val="0F909B19"/>
    <w:rsid w:val="10497690"/>
    <w:rsid w:val="105AB7B8"/>
    <w:rsid w:val="106229AC"/>
    <w:rsid w:val="107147AF"/>
    <w:rsid w:val="10929EA2"/>
    <w:rsid w:val="10B2FF41"/>
    <w:rsid w:val="10BBE957"/>
    <w:rsid w:val="1175B825"/>
    <w:rsid w:val="1188EDDF"/>
    <w:rsid w:val="1192D61C"/>
    <w:rsid w:val="11B5FA04"/>
    <w:rsid w:val="120BCAE4"/>
    <w:rsid w:val="12307278"/>
    <w:rsid w:val="1233D1FC"/>
    <w:rsid w:val="123DB20C"/>
    <w:rsid w:val="125BEE58"/>
    <w:rsid w:val="12758BB4"/>
    <w:rsid w:val="129EE106"/>
    <w:rsid w:val="12A8F9E1"/>
    <w:rsid w:val="12B80963"/>
    <w:rsid w:val="12BE74BC"/>
    <w:rsid w:val="12CE4F16"/>
    <w:rsid w:val="12FFAC2D"/>
    <w:rsid w:val="1301EB74"/>
    <w:rsid w:val="1301F4BD"/>
    <w:rsid w:val="13260DAF"/>
    <w:rsid w:val="132A5C87"/>
    <w:rsid w:val="1351CA65"/>
    <w:rsid w:val="1381C8A3"/>
    <w:rsid w:val="1390F6B0"/>
    <w:rsid w:val="13A13935"/>
    <w:rsid w:val="13B1B136"/>
    <w:rsid w:val="13E0C184"/>
    <w:rsid w:val="13E56B36"/>
    <w:rsid w:val="13EFFB73"/>
    <w:rsid w:val="141CCFA2"/>
    <w:rsid w:val="145002AA"/>
    <w:rsid w:val="14878523"/>
    <w:rsid w:val="14B44AE8"/>
    <w:rsid w:val="14C698D5"/>
    <w:rsid w:val="15576543"/>
    <w:rsid w:val="1578FC8D"/>
    <w:rsid w:val="15CFA61F"/>
    <w:rsid w:val="15D4F145"/>
    <w:rsid w:val="15F35917"/>
    <w:rsid w:val="15F67C85"/>
    <w:rsid w:val="16015231"/>
    <w:rsid w:val="1626B68E"/>
    <w:rsid w:val="163729DD"/>
    <w:rsid w:val="16BD80F4"/>
    <w:rsid w:val="1737D34D"/>
    <w:rsid w:val="173A6F16"/>
    <w:rsid w:val="1748CD38"/>
    <w:rsid w:val="17C8016C"/>
    <w:rsid w:val="17CE9BC0"/>
    <w:rsid w:val="17D440D7"/>
    <w:rsid w:val="1808FE6D"/>
    <w:rsid w:val="180B3BC5"/>
    <w:rsid w:val="183A8E36"/>
    <w:rsid w:val="185AA39B"/>
    <w:rsid w:val="189FB3FC"/>
    <w:rsid w:val="18C09ACF"/>
    <w:rsid w:val="1922AB2A"/>
    <w:rsid w:val="1924B7A3"/>
    <w:rsid w:val="193C42BC"/>
    <w:rsid w:val="19B4331F"/>
    <w:rsid w:val="19C10BE9"/>
    <w:rsid w:val="19C4F4B4"/>
    <w:rsid w:val="19D7646D"/>
    <w:rsid w:val="19F34719"/>
    <w:rsid w:val="19F91D24"/>
    <w:rsid w:val="1A020387"/>
    <w:rsid w:val="1A0B84D8"/>
    <w:rsid w:val="1A0D48FF"/>
    <w:rsid w:val="1A6CE973"/>
    <w:rsid w:val="1A7C130F"/>
    <w:rsid w:val="1AD5DBE2"/>
    <w:rsid w:val="1AEA1139"/>
    <w:rsid w:val="1AFAFDE0"/>
    <w:rsid w:val="1B0A9B00"/>
    <w:rsid w:val="1B18D2C2"/>
    <w:rsid w:val="1B43B3ED"/>
    <w:rsid w:val="1B7334CE"/>
    <w:rsid w:val="1BA010EE"/>
    <w:rsid w:val="1BEE9C98"/>
    <w:rsid w:val="1C4AE9F6"/>
    <w:rsid w:val="1C636271"/>
    <w:rsid w:val="1C86A38C"/>
    <w:rsid w:val="1CAF66E2"/>
    <w:rsid w:val="1D161877"/>
    <w:rsid w:val="1D357907"/>
    <w:rsid w:val="1D5EADB8"/>
    <w:rsid w:val="1D7557E7"/>
    <w:rsid w:val="1DD02190"/>
    <w:rsid w:val="1EAAD590"/>
    <w:rsid w:val="1F5320D5"/>
    <w:rsid w:val="1FC95F34"/>
    <w:rsid w:val="1FEC974A"/>
    <w:rsid w:val="2070B193"/>
    <w:rsid w:val="20A1868C"/>
    <w:rsid w:val="20A7CE30"/>
    <w:rsid w:val="20AC0792"/>
    <w:rsid w:val="20D258C4"/>
    <w:rsid w:val="20E31C35"/>
    <w:rsid w:val="20FE0377"/>
    <w:rsid w:val="213F8850"/>
    <w:rsid w:val="216CFF2F"/>
    <w:rsid w:val="2170FB1E"/>
    <w:rsid w:val="2173848A"/>
    <w:rsid w:val="217871F2"/>
    <w:rsid w:val="21A6E599"/>
    <w:rsid w:val="21F30709"/>
    <w:rsid w:val="225A53A9"/>
    <w:rsid w:val="2271D61D"/>
    <w:rsid w:val="227CF96C"/>
    <w:rsid w:val="22B1805A"/>
    <w:rsid w:val="22F8CCCF"/>
    <w:rsid w:val="23082C94"/>
    <w:rsid w:val="2308868D"/>
    <w:rsid w:val="2342B5FA"/>
    <w:rsid w:val="236FE1A7"/>
    <w:rsid w:val="238D541A"/>
    <w:rsid w:val="242CAFE9"/>
    <w:rsid w:val="24374A88"/>
    <w:rsid w:val="2464AA2F"/>
    <w:rsid w:val="248F5DC9"/>
    <w:rsid w:val="24C7945A"/>
    <w:rsid w:val="24E809E6"/>
    <w:rsid w:val="2563C83F"/>
    <w:rsid w:val="261294CC"/>
    <w:rsid w:val="262F92BE"/>
    <w:rsid w:val="263E16A1"/>
    <w:rsid w:val="26BE6AE1"/>
    <w:rsid w:val="27081CF0"/>
    <w:rsid w:val="272C6B7A"/>
    <w:rsid w:val="278A5EAD"/>
    <w:rsid w:val="2809FC78"/>
    <w:rsid w:val="284E90A8"/>
    <w:rsid w:val="2852602B"/>
    <w:rsid w:val="28BDC54C"/>
    <w:rsid w:val="28E8D5F1"/>
    <w:rsid w:val="290D8CD9"/>
    <w:rsid w:val="29118BE0"/>
    <w:rsid w:val="29741419"/>
    <w:rsid w:val="29FD7B00"/>
    <w:rsid w:val="29FEE0EA"/>
    <w:rsid w:val="2A0A6F82"/>
    <w:rsid w:val="2A1C8B49"/>
    <w:rsid w:val="2A240F0D"/>
    <w:rsid w:val="2A3327A7"/>
    <w:rsid w:val="2A8B494F"/>
    <w:rsid w:val="2AB58EE1"/>
    <w:rsid w:val="2ADA69B4"/>
    <w:rsid w:val="2AEC973B"/>
    <w:rsid w:val="2B0303E1"/>
    <w:rsid w:val="2B0F7B71"/>
    <w:rsid w:val="2B1BF54D"/>
    <w:rsid w:val="2B210F50"/>
    <w:rsid w:val="2B7011A9"/>
    <w:rsid w:val="2BC8D17D"/>
    <w:rsid w:val="2BF824C5"/>
    <w:rsid w:val="2C013288"/>
    <w:rsid w:val="2C21CE75"/>
    <w:rsid w:val="2C359285"/>
    <w:rsid w:val="2C9EAF5E"/>
    <w:rsid w:val="2CD0AE17"/>
    <w:rsid w:val="2D38EDC0"/>
    <w:rsid w:val="2DA77AE0"/>
    <w:rsid w:val="2E17DBBA"/>
    <w:rsid w:val="2E63E37F"/>
    <w:rsid w:val="2E84CA52"/>
    <w:rsid w:val="2EBFDC38"/>
    <w:rsid w:val="2EF1E853"/>
    <w:rsid w:val="2F272BA9"/>
    <w:rsid w:val="2F671C44"/>
    <w:rsid w:val="2F973561"/>
    <w:rsid w:val="2FE3559D"/>
    <w:rsid w:val="2FF3AB9F"/>
    <w:rsid w:val="2FFFB3E0"/>
    <w:rsid w:val="300EF73F"/>
    <w:rsid w:val="301C1F89"/>
    <w:rsid w:val="30209AB3"/>
    <w:rsid w:val="30F5055A"/>
    <w:rsid w:val="3107F645"/>
    <w:rsid w:val="310FB713"/>
    <w:rsid w:val="314C3D94"/>
    <w:rsid w:val="316D46AB"/>
    <w:rsid w:val="317611D5"/>
    <w:rsid w:val="317F25FE"/>
    <w:rsid w:val="31BBA2FC"/>
    <w:rsid w:val="31C92028"/>
    <w:rsid w:val="3203AF27"/>
    <w:rsid w:val="320F5D3E"/>
    <w:rsid w:val="321060B8"/>
    <w:rsid w:val="3266A09C"/>
    <w:rsid w:val="329DB0CC"/>
    <w:rsid w:val="32CCE574"/>
    <w:rsid w:val="32D54037"/>
    <w:rsid w:val="32F05742"/>
    <w:rsid w:val="32F1D826"/>
    <w:rsid w:val="33922614"/>
    <w:rsid w:val="33CEB419"/>
    <w:rsid w:val="33DB751F"/>
    <w:rsid w:val="33E00075"/>
    <w:rsid w:val="33F88CAE"/>
    <w:rsid w:val="340248F3"/>
    <w:rsid w:val="3426BD56"/>
    <w:rsid w:val="34499F0C"/>
    <w:rsid w:val="34631053"/>
    <w:rsid w:val="3485B291"/>
    <w:rsid w:val="34AEA148"/>
    <w:rsid w:val="34B6797D"/>
    <w:rsid w:val="3514C0A3"/>
    <w:rsid w:val="353D8659"/>
    <w:rsid w:val="35492541"/>
    <w:rsid w:val="356F8E30"/>
    <w:rsid w:val="357AEE67"/>
    <w:rsid w:val="3591898F"/>
    <w:rsid w:val="359A76B5"/>
    <w:rsid w:val="359E1954"/>
    <w:rsid w:val="35BD57D5"/>
    <w:rsid w:val="35D191F0"/>
    <w:rsid w:val="35EF1751"/>
    <w:rsid w:val="360AD574"/>
    <w:rsid w:val="36406F85"/>
    <w:rsid w:val="3653953D"/>
    <w:rsid w:val="36657B4B"/>
    <w:rsid w:val="366B2806"/>
    <w:rsid w:val="36A59172"/>
    <w:rsid w:val="36B36937"/>
    <w:rsid w:val="36D91BC1"/>
    <w:rsid w:val="3700C376"/>
    <w:rsid w:val="370244D2"/>
    <w:rsid w:val="37055B99"/>
    <w:rsid w:val="370654DB"/>
    <w:rsid w:val="37181F35"/>
    <w:rsid w:val="37922525"/>
    <w:rsid w:val="379BFF6F"/>
    <w:rsid w:val="37CD19AD"/>
    <w:rsid w:val="37DFC76E"/>
    <w:rsid w:val="37E0EF71"/>
    <w:rsid w:val="381402AF"/>
    <w:rsid w:val="38A89527"/>
    <w:rsid w:val="38D2E9F9"/>
    <w:rsid w:val="38E22A75"/>
    <w:rsid w:val="3956EDA6"/>
    <w:rsid w:val="3968EA0E"/>
    <w:rsid w:val="39ADD609"/>
    <w:rsid w:val="3A084DEF"/>
    <w:rsid w:val="3A28E5AF"/>
    <w:rsid w:val="3A56911A"/>
    <w:rsid w:val="3AC3B57F"/>
    <w:rsid w:val="3AC94282"/>
    <w:rsid w:val="3ADE2805"/>
    <w:rsid w:val="3B355674"/>
    <w:rsid w:val="3B4912FC"/>
    <w:rsid w:val="3B75499E"/>
    <w:rsid w:val="3BC2C490"/>
    <w:rsid w:val="3BDDC5AA"/>
    <w:rsid w:val="3BF3C241"/>
    <w:rsid w:val="3C500BDF"/>
    <w:rsid w:val="3C696878"/>
    <w:rsid w:val="3C8C6132"/>
    <w:rsid w:val="3CA08AD0"/>
    <w:rsid w:val="3CA6F0FE"/>
    <w:rsid w:val="3CB46094"/>
    <w:rsid w:val="3CB50D6B"/>
    <w:rsid w:val="3CD3BB70"/>
    <w:rsid w:val="3D0569FC"/>
    <w:rsid w:val="3D0A1975"/>
    <w:rsid w:val="3D4F9ACE"/>
    <w:rsid w:val="3D5B54A9"/>
    <w:rsid w:val="3D93CCA7"/>
    <w:rsid w:val="3DCE9A89"/>
    <w:rsid w:val="3E22E54E"/>
    <w:rsid w:val="3E468591"/>
    <w:rsid w:val="3E58B8DC"/>
    <w:rsid w:val="3E59CB29"/>
    <w:rsid w:val="3E81F4CF"/>
    <w:rsid w:val="3E97BA68"/>
    <w:rsid w:val="3EC7F949"/>
    <w:rsid w:val="3F05D283"/>
    <w:rsid w:val="3F0DB370"/>
    <w:rsid w:val="3F3B9D9B"/>
    <w:rsid w:val="3F46B252"/>
    <w:rsid w:val="3F511EB6"/>
    <w:rsid w:val="3F61AE02"/>
    <w:rsid w:val="3F671E0D"/>
    <w:rsid w:val="401B8F5A"/>
    <w:rsid w:val="4095D36D"/>
    <w:rsid w:val="40FD83EE"/>
    <w:rsid w:val="4108169F"/>
    <w:rsid w:val="410DEDC5"/>
    <w:rsid w:val="412F873C"/>
    <w:rsid w:val="414C5891"/>
    <w:rsid w:val="418C8A69"/>
    <w:rsid w:val="41DD9D17"/>
    <w:rsid w:val="41EBD0AC"/>
    <w:rsid w:val="422508DE"/>
    <w:rsid w:val="42629552"/>
    <w:rsid w:val="426303C5"/>
    <w:rsid w:val="42766A77"/>
    <w:rsid w:val="42EB78EA"/>
    <w:rsid w:val="42FE7176"/>
    <w:rsid w:val="430718C7"/>
    <w:rsid w:val="43CDA275"/>
    <w:rsid w:val="43D25C7C"/>
    <w:rsid w:val="43F1F4B2"/>
    <w:rsid w:val="443C2F6B"/>
    <w:rsid w:val="444B6560"/>
    <w:rsid w:val="4495CAD6"/>
    <w:rsid w:val="44BD52FD"/>
    <w:rsid w:val="44F017B2"/>
    <w:rsid w:val="45C04CF6"/>
    <w:rsid w:val="45D7285C"/>
    <w:rsid w:val="46253C23"/>
    <w:rsid w:val="46958AC6"/>
    <w:rsid w:val="46B60E19"/>
    <w:rsid w:val="46D93748"/>
    <w:rsid w:val="46FB7542"/>
    <w:rsid w:val="46FE8B21"/>
    <w:rsid w:val="47646B64"/>
    <w:rsid w:val="4774E2CA"/>
    <w:rsid w:val="4785E5CA"/>
    <w:rsid w:val="47A9DFB3"/>
    <w:rsid w:val="47D2D1D2"/>
    <w:rsid w:val="47D863BC"/>
    <w:rsid w:val="47EB2AFD"/>
    <w:rsid w:val="47F4F3BF"/>
    <w:rsid w:val="47FF816C"/>
    <w:rsid w:val="480C2B8F"/>
    <w:rsid w:val="481E1850"/>
    <w:rsid w:val="482A7F71"/>
    <w:rsid w:val="483F1B86"/>
    <w:rsid w:val="48549855"/>
    <w:rsid w:val="486E931C"/>
    <w:rsid w:val="489C1EFA"/>
    <w:rsid w:val="48D6F9BF"/>
    <w:rsid w:val="48F14E0E"/>
    <w:rsid w:val="48F291AF"/>
    <w:rsid w:val="4908C4B4"/>
    <w:rsid w:val="492408EB"/>
    <w:rsid w:val="4945B014"/>
    <w:rsid w:val="496FB870"/>
    <w:rsid w:val="4992E39C"/>
    <w:rsid w:val="49A73521"/>
    <w:rsid w:val="49ADB802"/>
    <w:rsid w:val="49B4C0BE"/>
    <w:rsid w:val="49C9310A"/>
    <w:rsid w:val="49EDAEDB"/>
    <w:rsid w:val="4A04D3ED"/>
    <w:rsid w:val="4A185D24"/>
    <w:rsid w:val="4A33A028"/>
    <w:rsid w:val="4A43487C"/>
    <w:rsid w:val="4A510E99"/>
    <w:rsid w:val="4A6A1A67"/>
    <w:rsid w:val="4AB53AD8"/>
    <w:rsid w:val="4AC53C30"/>
    <w:rsid w:val="4B26B96E"/>
    <w:rsid w:val="4B37222E"/>
    <w:rsid w:val="4B4A56DA"/>
    <w:rsid w:val="4B5E17CF"/>
    <w:rsid w:val="4B6077D7"/>
    <w:rsid w:val="4B8C3917"/>
    <w:rsid w:val="4BD52597"/>
    <w:rsid w:val="4C2F8E7A"/>
    <w:rsid w:val="4C60C0CE"/>
    <w:rsid w:val="4CE0BBE8"/>
    <w:rsid w:val="4D0916C6"/>
    <w:rsid w:val="4D4F85CE"/>
    <w:rsid w:val="4D914930"/>
    <w:rsid w:val="4DB09930"/>
    <w:rsid w:val="4E33F8A9"/>
    <w:rsid w:val="4E70021F"/>
    <w:rsid w:val="4E981899"/>
    <w:rsid w:val="4E9C2328"/>
    <w:rsid w:val="4EA42A34"/>
    <w:rsid w:val="4EAD4424"/>
    <w:rsid w:val="4EC3D9D9"/>
    <w:rsid w:val="4EE06C53"/>
    <w:rsid w:val="4EF5EFDC"/>
    <w:rsid w:val="4F068727"/>
    <w:rsid w:val="4F465E9A"/>
    <w:rsid w:val="4F497453"/>
    <w:rsid w:val="4F5AE1CC"/>
    <w:rsid w:val="4F6A3B58"/>
    <w:rsid w:val="4F6F7D49"/>
    <w:rsid w:val="4F7C62CE"/>
    <w:rsid w:val="4F7C70BA"/>
    <w:rsid w:val="4FA23C47"/>
    <w:rsid w:val="4FD64ED4"/>
    <w:rsid w:val="4FF63CE2"/>
    <w:rsid w:val="500CEA8D"/>
    <w:rsid w:val="505F7A23"/>
    <w:rsid w:val="507F166E"/>
    <w:rsid w:val="5085E148"/>
    <w:rsid w:val="50892F2B"/>
    <w:rsid w:val="509E2099"/>
    <w:rsid w:val="512D627A"/>
    <w:rsid w:val="517D2603"/>
    <w:rsid w:val="5185E5D6"/>
    <w:rsid w:val="51D3982A"/>
    <w:rsid w:val="51E3E46F"/>
    <w:rsid w:val="51F6171E"/>
    <w:rsid w:val="52156C9D"/>
    <w:rsid w:val="5220115D"/>
    <w:rsid w:val="524A610F"/>
    <w:rsid w:val="529E4C7C"/>
    <w:rsid w:val="5337058C"/>
    <w:rsid w:val="534CF763"/>
    <w:rsid w:val="53660577"/>
    <w:rsid w:val="53722019"/>
    <w:rsid w:val="539E7E3D"/>
    <w:rsid w:val="53F0180B"/>
    <w:rsid w:val="5401EA5A"/>
    <w:rsid w:val="541A4F59"/>
    <w:rsid w:val="543C1B73"/>
    <w:rsid w:val="544576AF"/>
    <w:rsid w:val="546FEED1"/>
    <w:rsid w:val="549B61B6"/>
    <w:rsid w:val="54C81BF3"/>
    <w:rsid w:val="54D29494"/>
    <w:rsid w:val="55236483"/>
    <w:rsid w:val="555CFA5D"/>
    <w:rsid w:val="556B40D7"/>
    <w:rsid w:val="55A7A0D9"/>
    <w:rsid w:val="55C59670"/>
    <w:rsid w:val="55CB8025"/>
    <w:rsid w:val="55D0B0BE"/>
    <w:rsid w:val="55DFF13E"/>
    <w:rsid w:val="55E8FF69"/>
    <w:rsid w:val="56617AB0"/>
    <w:rsid w:val="566AE53C"/>
    <w:rsid w:val="5681C25B"/>
    <w:rsid w:val="568F26D2"/>
    <w:rsid w:val="56B38868"/>
    <w:rsid w:val="56EE540B"/>
    <w:rsid w:val="56F02C2A"/>
    <w:rsid w:val="56FB6607"/>
    <w:rsid w:val="57004898"/>
    <w:rsid w:val="57031954"/>
    <w:rsid w:val="57511078"/>
    <w:rsid w:val="57519753"/>
    <w:rsid w:val="57661D84"/>
    <w:rsid w:val="576AF6A6"/>
    <w:rsid w:val="578C2EAC"/>
    <w:rsid w:val="57F82F9C"/>
    <w:rsid w:val="5815248B"/>
    <w:rsid w:val="581D92BC"/>
    <w:rsid w:val="585E8C7E"/>
    <w:rsid w:val="58A66564"/>
    <w:rsid w:val="58EA02A8"/>
    <w:rsid w:val="58F7BA95"/>
    <w:rsid w:val="590430BF"/>
    <w:rsid w:val="593666C2"/>
    <w:rsid w:val="593D9CFB"/>
    <w:rsid w:val="5997763C"/>
    <w:rsid w:val="59E0192E"/>
    <w:rsid w:val="5A0F94E3"/>
    <w:rsid w:val="5A33FE0F"/>
    <w:rsid w:val="5A45F220"/>
    <w:rsid w:val="5A50DFAA"/>
    <w:rsid w:val="5A61C9B8"/>
    <w:rsid w:val="5A82AD84"/>
    <w:rsid w:val="5A9FAB32"/>
    <w:rsid w:val="5AB1FFF5"/>
    <w:rsid w:val="5AC0874A"/>
    <w:rsid w:val="5AC15D5F"/>
    <w:rsid w:val="5AEAEE48"/>
    <w:rsid w:val="5B23D464"/>
    <w:rsid w:val="5B3209D8"/>
    <w:rsid w:val="5B323223"/>
    <w:rsid w:val="5B51F496"/>
    <w:rsid w:val="5B5C1526"/>
    <w:rsid w:val="5B894030"/>
    <w:rsid w:val="5C02FAFD"/>
    <w:rsid w:val="5C30F6B0"/>
    <w:rsid w:val="5C47D5AB"/>
    <w:rsid w:val="5C4F32C2"/>
    <w:rsid w:val="5C753DBD"/>
    <w:rsid w:val="5C91483A"/>
    <w:rsid w:val="5C9162AE"/>
    <w:rsid w:val="5CCE454E"/>
    <w:rsid w:val="5CEB86B7"/>
    <w:rsid w:val="5D0A7419"/>
    <w:rsid w:val="5DA76CFA"/>
    <w:rsid w:val="5E08E210"/>
    <w:rsid w:val="5E17CA53"/>
    <w:rsid w:val="5E82A1E2"/>
    <w:rsid w:val="5EA8D9D2"/>
    <w:rsid w:val="5EC62D79"/>
    <w:rsid w:val="5EF6B154"/>
    <w:rsid w:val="5F109582"/>
    <w:rsid w:val="5F2751D5"/>
    <w:rsid w:val="5F433D5B"/>
    <w:rsid w:val="5F6DAB27"/>
    <w:rsid w:val="6005E610"/>
    <w:rsid w:val="600E85AA"/>
    <w:rsid w:val="60166251"/>
    <w:rsid w:val="60755467"/>
    <w:rsid w:val="608E181E"/>
    <w:rsid w:val="609F52F5"/>
    <w:rsid w:val="60B3F35C"/>
    <w:rsid w:val="60CD476D"/>
    <w:rsid w:val="6133EE9D"/>
    <w:rsid w:val="61349A87"/>
    <w:rsid w:val="613510B5"/>
    <w:rsid w:val="6144123A"/>
    <w:rsid w:val="6181562D"/>
    <w:rsid w:val="619983D1"/>
    <w:rsid w:val="619D61EA"/>
    <w:rsid w:val="61C3B4B9"/>
    <w:rsid w:val="61D29ED9"/>
    <w:rsid w:val="61FC0C0A"/>
    <w:rsid w:val="62198BEB"/>
    <w:rsid w:val="621B89AC"/>
    <w:rsid w:val="6226D3E5"/>
    <w:rsid w:val="6276AFA5"/>
    <w:rsid w:val="62BDCEF1"/>
    <w:rsid w:val="62C077BB"/>
    <w:rsid w:val="63355432"/>
    <w:rsid w:val="6365FD2C"/>
    <w:rsid w:val="6377E38B"/>
    <w:rsid w:val="638F8E5E"/>
    <w:rsid w:val="63EB4652"/>
    <w:rsid w:val="640C9B28"/>
    <w:rsid w:val="6466C15F"/>
    <w:rsid w:val="647464A7"/>
    <w:rsid w:val="64D8BA92"/>
    <w:rsid w:val="64DA7F36"/>
    <w:rsid w:val="64EB0374"/>
    <w:rsid w:val="64EFE35E"/>
    <w:rsid w:val="654DC2B1"/>
    <w:rsid w:val="656F5DB7"/>
    <w:rsid w:val="6578564B"/>
    <w:rsid w:val="65DD1784"/>
    <w:rsid w:val="668F77F4"/>
    <w:rsid w:val="66A41230"/>
    <w:rsid w:val="66D90D02"/>
    <w:rsid w:val="66FAE7F0"/>
    <w:rsid w:val="6700480D"/>
    <w:rsid w:val="672F16C4"/>
    <w:rsid w:val="677664B6"/>
    <w:rsid w:val="6787C203"/>
    <w:rsid w:val="6788E01C"/>
    <w:rsid w:val="67AC0569"/>
    <w:rsid w:val="67FC57F9"/>
    <w:rsid w:val="6803F84E"/>
    <w:rsid w:val="680AB32F"/>
    <w:rsid w:val="68414955"/>
    <w:rsid w:val="686AE214"/>
    <w:rsid w:val="687731AC"/>
    <w:rsid w:val="689C186E"/>
    <w:rsid w:val="68B36F84"/>
    <w:rsid w:val="6905E2EB"/>
    <w:rsid w:val="692A4B0B"/>
    <w:rsid w:val="692AC518"/>
    <w:rsid w:val="69332E52"/>
    <w:rsid w:val="693BCA12"/>
    <w:rsid w:val="69676A8F"/>
    <w:rsid w:val="696C834E"/>
    <w:rsid w:val="699E27CD"/>
    <w:rsid w:val="69B4478E"/>
    <w:rsid w:val="69E89B77"/>
    <w:rsid w:val="6AA617B9"/>
    <w:rsid w:val="6B1237E9"/>
    <w:rsid w:val="6B2F8FA7"/>
    <w:rsid w:val="6B3C2668"/>
    <w:rsid w:val="6B5017EF"/>
    <w:rsid w:val="6B61EA3E"/>
    <w:rsid w:val="6B7CE55A"/>
    <w:rsid w:val="6B7FDDAA"/>
    <w:rsid w:val="6B95CEA3"/>
    <w:rsid w:val="6BA860B1"/>
    <w:rsid w:val="6BAB894A"/>
    <w:rsid w:val="6BB306A6"/>
    <w:rsid w:val="6BDF6B4E"/>
    <w:rsid w:val="6C07E102"/>
    <w:rsid w:val="6C29ADE9"/>
    <w:rsid w:val="6C3D83AD"/>
    <w:rsid w:val="6CB43124"/>
    <w:rsid w:val="6CB54B1F"/>
    <w:rsid w:val="6CBCFA41"/>
    <w:rsid w:val="6D0582A6"/>
    <w:rsid w:val="6D0B7B79"/>
    <w:rsid w:val="6D1C6BF1"/>
    <w:rsid w:val="6D6F8991"/>
    <w:rsid w:val="6DD9540E"/>
    <w:rsid w:val="6DE0D08A"/>
    <w:rsid w:val="6DFDF2F1"/>
    <w:rsid w:val="6E021E90"/>
    <w:rsid w:val="6E599991"/>
    <w:rsid w:val="6E72453D"/>
    <w:rsid w:val="6E8BCA62"/>
    <w:rsid w:val="6EAFDD85"/>
    <w:rsid w:val="6EB9E631"/>
    <w:rsid w:val="6EC4C0B4"/>
    <w:rsid w:val="6F07ED59"/>
    <w:rsid w:val="6F4C3386"/>
    <w:rsid w:val="6F614EAB"/>
    <w:rsid w:val="6FDBE4B2"/>
    <w:rsid w:val="6FF17F91"/>
    <w:rsid w:val="6FFC2E7A"/>
    <w:rsid w:val="6FFE6220"/>
    <w:rsid w:val="709D9CDF"/>
    <w:rsid w:val="711E8AAA"/>
    <w:rsid w:val="720A293F"/>
    <w:rsid w:val="7223CF52"/>
    <w:rsid w:val="7270BFC6"/>
    <w:rsid w:val="729F49C9"/>
    <w:rsid w:val="72A1E8E4"/>
    <w:rsid w:val="72AC5C6A"/>
    <w:rsid w:val="72F40ACC"/>
    <w:rsid w:val="733A823F"/>
    <w:rsid w:val="7358D0C6"/>
    <w:rsid w:val="73CAA0E3"/>
    <w:rsid w:val="73D21CEE"/>
    <w:rsid w:val="7438CD06"/>
    <w:rsid w:val="74489592"/>
    <w:rsid w:val="745103C3"/>
    <w:rsid w:val="74644727"/>
    <w:rsid w:val="747AF512"/>
    <w:rsid w:val="74BA85E3"/>
    <w:rsid w:val="74ED7F96"/>
    <w:rsid w:val="74F19AFF"/>
    <w:rsid w:val="75334623"/>
    <w:rsid w:val="75434332"/>
    <w:rsid w:val="7549700F"/>
    <w:rsid w:val="759CB83F"/>
    <w:rsid w:val="75ADA7A3"/>
    <w:rsid w:val="75B6F5B3"/>
    <w:rsid w:val="75BB750A"/>
    <w:rsid w:val="75DAA525"/>
    <w:rsid w:val="75E465F3"/>
    <w:rsid w:val="75FD0170"/>
    <w:rsid w:val="76211AC0"/>
    <w:rsid w:val="763F3132"/>
    <w:rsid w:val="76545F9D"/>
    <w:rsid w:val="767F8312"/>
    <w:rsid w:val="76920653"/>
    <w:rsid w:val="769FBE58"/>
    <w:rsid w:val="76E6D368"/>
    <w:rsid w:val="776363C0"/>
    <w:rsid w:val="7777CF2A"/>
    <w:rsid w:val="7781CAB7"/>
    <w:rsid w:val="77839AFF"/>
    <w:rsid w:val="7785659D"/>
    <w:rsid w:val="778B7200"/>
    <w:rsid w:val="779966F8"/>
    <w:rsid w:val="77C4DC10"/>
    <w:rsid w:val="78B8B529"/>
    <w:rsid w:val="78C9A777"/>
    <w:rsid w:val="78D0B2B2"/>
    <w:rsid w:val="78E47CA4"/>
    <w:rsid w:val="79141F3D"/>
    <w:rsid w:val="79537129"/>
    <w:rsid w:val="79736662"/>
    <w:rsid w:val="79837609"/>
    <w:rsid w:val="79D950FB"/>
    <w:rsid w:val="7A07D3A5"/>
    <w:rsid w:val="7A3F0FBC"/>
    <w:rsid w:val="7A415E72"/>
    <w:rsid w:val="7A6EC81B"/>
    <w:rsid w:val="7A93682F"/>
    <w:rsid w:val="7AB20874"/>
    <w:rsid w:val="7AC1988B"/>
    <w:rsid w:val="7AC57C81"/>
    <w:rsid w:val="7B0A9C1E"/>
    <w:rsid w:val="7B106D34"/>
    <w:rsid w:val="7B2FB0ED"/>
    <w:rsid w:val="7BC67201"/>
    <w:rsid w:val="7BD16ABB"/>
    <w:rsid w:val="7BE9E3E7"/>
    <w:rsid w:val="7C282C47"/>
    <w:rsid w:val="7C3AE9EB"/>
    <w:rsid w:val="7C53A777"/>
    <w:rsid w:val="7C6AD4DC"/>
    <w:rsid w:val="7C83D443"/>
    <w:rsid w:val="7DCB08F1"/>
    <w:rsid w:val="7DCC2929"/>
    <w:rsid w:val="7DDE64F2"/>
    <w:rsid w:val="7DF61366"/>
    <w:rsid w:val="7E27D20F"/>
    <w:rsid w:val="7E6B4522"/>
    <w:rsid w:val="7E81D898"/>
    <w:rsid w:val="7EC927A8"/>
    <w:rsid w:val="7EF0A142"/>
    <w:rsid w:val="7EFD46C8"/>
    <w:rsid w:val="7EFE5334"/>
    <w:rsid w:val="7F0AAA7A"/>
    <w:rsid w:val="7F2184A9"/>
    <w:rsid w:val="7F2B4667"/>
    <w:rsid w:val="7F32C49F"/>
    <w:rsid w:val="7FA1E041"/>
    <w:rsid w:val="7FBC9FE7"/>
    <w:rsid w:val="7FD5C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1F83"/>
  <w15:docId w15:val="{225BF934-EED9-487A-8AFD-1C6504C1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2B"/>
    <w:rPr>
      <w:sz w:val="24"/>
      <w:szCs w:val="24"/>
      <w:lang w:val="es-ES" w:eastAsia="es-ES"/>
    </w:rPr>
  </w:style>
  <w:style w:type="paragraph" w:styleId="Ttulo1">
    <w:name w:val="heading 1"/>
    <w:basedOn w:val="Normal"/>
    <w:next w:val="Normal"/>
    <w:link w:val="Ttulo1Car"/>
    <w:autoRedefine/>
    <w:qFormat/>
    <w:rsid w:val="00BA6DF9"/>
    <w:pPr>
      <w:autoSpaceDE w:val="0"/>
      <w:autoSpaceDN w:val="0"/>
      <w:adjustRightInd w:val="0"/>
      <w:spacing w:line="480" w:lineRule="auto"/>
      <w:jc w:val="center"/>
      <w:outlineLvl w:val="0"/>
    </w:pPr>
    <w:rPr>
      <w:b/>
      <w:bCs/>
      <w:lang w:eastAsia="es-CO"/>
    </w:rPr>
  </w:style>
  <w:style w:type="paragraph" w:styleId="Ttulo2">
    <w:name w:val="heading 2"/>
    <w:basedOn w:val="Normal"/>
    <w:next w:val="Normal"/>
    <w:link w:val="Ttulo2Car"/>
    <w:autoRedefine/>
    <w:qFormat/>
    <w:rsid w:val="00BA6DF9"/>
    <w:pPr>
      <w:keepNext/>
      <w:spacing w:line="480" w:lineRule="auto"/>
      <w:outlineLvl w:val="1"/>
    </w:pPr>
    <w:rPr>
      <w:rFonts w:cs="Arial"/>
      <w:b/>
      <w:bCs/>
      <w:iCs/>
      <w:szCs w:val="28"/>
    </w:rPr>
  </w:style>
  <w:style w:type="paragraph" w:styleId="Ttulo3">
    <w:name w:val="heading 3"/>
    <w:basedOn w:val="Normal"/>
    <w:next w:val="Normal"/>
    <w:link w:val="Ttulo3Car"/>
    <w:autoRedefine/>
    <w:qFormat/>
    <w:rsid w:val="00BA6DF9"/>
    <w:pPr>
      <w:outlineLvl w:val="2"/>
    </w:pPr>
  </w:style>
  <w:style w:type="paragraph" w:styleId="Ttulo4">
    <w:name w:val="heading 4"/>
    <w:basedOn w:val="Normal"/>
    <w:next w:val="Normal"/>
    <w:link w:val="Ttulo4Car"/>
    <w:unhideWhenUsed/>
    <w:qFormat/>
    <w:rsid w:val="00BA6DF9"/>
    <w:pPr>
      <w:keepNext/>
      <w:spacing w:before="240" w:after="60"/>
      <w:outlineLvl w:val="3"/>
    </w:pPr>
    <w:rPr>
      <w:b/>
      <w:bCs/>
      <w:i/>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A6DF9"/>
    <w:rPr>
      <w:b/>
      <w:bCs/>
      <w:sz w:val="24"/>
      <w:szCs w:val="24"/>
    </w:rPr>
  </w:style>
  <w:style w:type="character" w:customStyle="1" w:styleId="Ttulo2Car">
    <w:name w:val="Título 2 Car"/>
    <w:basedOn w:val="Fuentedeprrafopredeter"/>
    <w:link w:val="Ttulo2"/>
    <w:rsid w:val="00BA6DF9"/>
    <w:rPr>
      <w:rFonts w:cs="Arial"/>
      <w:b/>
      <w:bCs/>
      <w:iCs/>
      <w:sz w:val="24"/>
      <w:szCs w:val="28"/>
      <w:lang w:val="en-US" w:eastAsia="en-US"/>
    </w:rPr>
  </w:style>
  <w:style w:type="character" w:customStyle="1" w:styleId="Ttulo3Car">
    <w:name w:val="Título 3 Car"/>
    <w:basedOn w:val="Fuentedeprrafopredeter"/>
    <w:link w:val="Ttulo3"/>
    <w:rsid w:val="00BA6DF9"/>
    <w:rPr>
      <w:sz w:val="24"/>
      <w:szCs w:val="24"/>
      <w:lang w:val="es-ES" w:eastAsia="en-US"/>
    </w:rPr>
  </w:style>
  <w:style w:type="character" w:customStyle="1" w:styleId="Ttulo4Car">
    <w:name w:val="Título 4 Car"/>
    <w:link w:val="Ttulo4"/>
    <w:rsid w:val="00BA6DF9"/>
    <w:rPr>
      <w:rFonts w:eastAsia="Times New Roman" w:cs="Times New Roman"/>
      <w:b/>
      <w:bCs/>
      <w:i/>
      <w:sz w:val="28"/>
      <w:szCs w:val="28"/>
    </w:rPr>
  </w:style>
  <w:style w:type="paragraph" w:styleId="Descripcin">
    <w:name w:val="caption"/>
    <w:basedOn w:val="Normal"/>
    <w:next w:val="Normal"/>
    <w:autoRedefine/>
    <w:qFormat/>
    <w:rsid w:val="00BA6DF9"/>
    <w:pPr>
      <w:spacing w:before="120" w:after="120" w:line="480" w:lineRule="auto"/>
    </w:pPr>
    <w:rPr>
      <w:bCs/>
      <w:i/>
      <w:szCs w:val="20"/>
    </w:rPr>
  </w:style>
  <w:style w:type="paragraph" w:styleId="Ttulo">
    <w:name w:val="Title"/>
    <w:basedOn w:val="Normal"/>
    <w:link w:val="TtuloCar"/>
    <w:qFormat/>
    <w:rsid w:val="00BA6DF9"/>
    <w:pPr>
      <w:autoSpaceDE w:val="0"/>
      <w:autoSpaceDN w:val="0"/>
      <w:adjustRightInd w:val="0"/>
      <w:jc w:val="center"/>
    </w:pPr>
    <w:rPr>
      <w:sz w:val="28"/>
      <w:szCs w:val="28"/>
    </w:rPr>
  </w:style>
  <w:style w:type="character" w:customStyle="1" w:styleId="TtuloCar">
    <w:name w:val="Título Car"/>
    <w:basedOn w:val="Fuentedeprrafopredeter"/>
    <w:link w:val="Ttulo"/>
    <w:rsid w:val="00BA6DF9"/>
    <w:rPr>
      <w:sz w:val="28"/>
      <w:szCs w:val="28"/>
      <w:lang w:val="en-US" w:eastAsia="en-US"/>
    </w:rPr>
  </w:style>
  <w:style w:type="paragraph" w:styleId="Subttulo">
    <w:name w:val="Subtitle"/>
    <w:basedOn w:val="Normal"/>
    <w:link w:val="SubttuloCar"/>
    <w:qFormat/>
    <w:rsid w:val="00BA6DF9"/>
    <w:pPr>
      <w:autoSpaceDE w:val="0"/>
      <w:autoSpaceDN w:val="0"/>
      <w:adjustRightInd w:val="0"/>
    </w:pPr>
    <w:rPr>
      <w:b/>
      <w:bCs/>
    </w:rPr>
  </w:style>
  <w:style w:type="character" w:customStyle="1" w:styleId="SubttuloCar">
    <w:name w:val="Subtítulo Car"/>
    <w:basedOn w:val="Fuentedeprrafopredeter"/>
    <w:link w:val="Subttulo"/>
    <w:rsid w:val="00BA6DF9"/>
    <w:rPr>
      <w:b/>
      <w:bCs/>
      <w:sz w:val="24"/>
      <w:szCs w:val="24"/>
      <w:lang w:val="en-US" w:eastAsia="en-US"/>
    </w:rPr>
  </w:style>
  <w:style w:type="paragraph" w:styleId="TtuloTDC">
    <w:name w:val="TOC Heading"/>
    <w:basedOn w:val="Ttulo1"/>
    <w:next w:val="Normal"/>
    <w:uiPriority w:val="39"/>
    <w:semiHidden/>
    <w:unhideWhenUsed/>
    <w:qFormat/>
    <w:rsid w:val="00BA6DF9"/>
    <w:pPr>
      <w:keepNext/>
      <w:keepLines/>
      <w:autoSpaceDE/>
      <w:autoSpaceDN/>
      <w:adjustRightInd/>
      <w:spacing w:before="480" w:line="276" w:lineRule="auto"/>
      <w:jc w:val="left"/>
      <w:outlineLvl w:val="9"/>
    </w:pPr>
    <w:rPr>
      <w:rFonts w:ascii="Cambria" w:hAnsi="Cambria"/>
      <w:color w:val="365F91"/>
      <w:sz w:val="28"/>
      <w:szCs w:val="28"/>
    </w:rPr>
  </w:style>
  <w:style w:type="paragraph" w:customStyle="1" w:styleId="Piedeimagen">
    <w:name w:val="Pie de imagen"/>
    <w:basedOn w:val="Descripcin"/>
    <w:qFormat/>
    <w:rsid w:val="00BA6DF9"/>
    <w:pPr>
      <w:spacing w:before="0" w:after="0"/>
      <w:ind w:firstLine="454"/>
    </w:pPr>
    <w:rPr>
      <w:rFonts w:eastAsia="Calibri"/>
      <w:sz w:val="20"/>
      <w:szCs w:val="24"/>
    </w:rPr>
  </w:style>
  <w:style w:type="paragraph" w:customStyle="1" w:styleId="Titulotabla">
    <w:name w:val="Titulo tabla"/>
    <w:basedOn w:val="Normal"/>
    <w:qFormat/>
    <w:rsid w:val="00BA6DF9"/>
    <w:pPr>
      <w:spacing w:line="276" w:lineRule="auto"/>
    </w:pPr>
    <w:rPr>
      <w:rFonts w:eastAsia="Calibri"/>
      <w:i/>
    </w:rPr>
  </w:style>
  <w:style w:type="paragraph" w:customStyle="1" w:styleId="a">
    <w:basedOn w:val="Normal"/>
    <w:next w:val="Ttulo"/>
    <w:qFormat/>
    <w:rsid w:val="00AA5C2B"/>
    <w:pPr>
      <w:widowControl w:val="0"/>
      <w:autoSpaceDE w:val="0"/>
      <w:autoSpaceDN w:val="0"/>
      <w:adjustRightInd w:val="0"/>
      <w:jc w:val="center"/>
    </w:pPr>
    <w:rPr>
      <w:rFonts w:ascii="Roman 12cpi" w:hAnsi="Roman 12cpi" w:cs="Roman 12cpi"/>
      <w:b/>
      <w:bCs/>
      <w:sz w:val="20"/>
      <w:szCs w:val="20"/>
    </w:rPr>
  </w:style>
  <w:style w:type="paragraph" w:styleId="Textoindependiente">
    <w:name w:val="Body Text"/>
    <w:basedOn w:val="Normal"/>
    <w:link w:val="TextoindependienteCar"/>
    <w:rsid w:val="00AA5C2B"/>
    <w:pPr>
      <w:spacing w:line="360" w:lineRule="auto"/>
      <w:jc w:val="both"/>
    </w:pPr>
    <w:rPr>
      <w:rFonts w:ascii="Arial" w:hAnsi="Arial" w:cs="Arial"/>
      <w:sz w:val="26"/>
      <w:szCs w:val="26"/>
      <w:lang w:val="es-ES_tradnl"/>
    </w:rPr>
  </w:style>
  <w:style w:type="character" w:customStyle="1" w:styleId="TextoindependienteCar">
    <w:name w:val="Texto independiente Car"/>
    <w:basedOn w:val="Fuentedeprrafopredeter"/>
    <w:link w:val="Textoindependiente"/>
    <w:rsid w:val="00AA5C2B"/>
    <w:rPr>
      <w:rFonts w:ascii="Arial" w:hAnsi="Arial" w:cs="Arial"/>
      <w:sz w:val="26"/>
      <w:szCs w:val="26"/>
      <w:lang w:val="es-ES_tradnl" w:eastAsia="es-ES"/>
    </w:rPr>
  </w:style>
  <w:style w:type="paragraph" w:styleId="NormalWeb">
    <w:name w:val="Normal (Web)"/>
    <w:basedOn w:val="Normal"/>
    <w:uiPriority w:val="99"/>
    <w:rsid w:val="00AA5C2B"/>
    <w:pPr>
      <w:spacing w:before="100" w:beforeAutospacing="1" w:after="100" w:afterAutospacing="1"/>
    </w:pPr>
  </w:style>
  <w:style w:type="paragraph" w:styleId="Prrafodelista">
    <w:name w:val="List Paragraph"/>
    <w:basedOn w:val="Normal"/>
    <w:uiPriority w:val="34"/>
    <w:qFormat/>
    <w:rsid w:val="00AA5C2B"/>
    <w:pPr>
      <w:ind w:left="720"/>
      <w:contextualSpacing/>
    </w:pPr>
  </w:style>
  <w:style w:type="paragraph" w:styleId="Textocomentario">
    <w:name w:val="annotation text"/>
    <w:basedOn w:val="Normal"/>
    <w:link w:val="TextocomentarioCar"/>
    <w:uiPriority w:val="99"/>
    <w:semiHidden/>
    <w:unhideWhenUsed/>
    <w:rsid w:val="00716B36"/>
    <w:rPr>
      <w:sz w:val="20"/>
      <w:szCs w:val="20"/>
    </w:rPr>
  </w:style>
  <w:style w:type="character" w:customStyle="1" w:styleId="TextocomentarioCar">
    <w:name w:val="Texto comentario Car"/>
    <w:basedOn w:val="Fuentedeprrafopredeter"/>
    <w:link w:val="Textocomentario"/>
    <w:uiPriority w:val="99"/>
    <w:semiHidden/>
    <w:rsid w:val="00716B36"/>
    <w:rPr>
      <w:lang w:val="es-ES" w:eastAsia="es-ES"/>
    </w:rPr>
  </w:style>
  <w:style w:type="character" w:styleId="Refdecomentario">
    <w:name w:val="annotation reference"/>
    <w:basedOn w:val="Fuentedeprrafopredeter"/>
    <w:uiPriority w:val="99"/>
    <w:semiHidden/>
    <w:unhideWhenUsed/>
    <w:rsid w:val="00716B36"/>
    <w:rPr>
      <w:sz w:val="16"/>
      <w:szCs w:val="16"/>
    </w:rPr>
  </w:style>
  <w:style w:type="paragraph" w:styleId="Textodeglobo">
    <w:name w:val="Balloon Text"/>
    <w:basedOn w:val="Normal"/>
    <w:link w:val="TextodegloboCar"/>
    <w:uiPriority w:val="99"/>
    <w:semiHidden/>
    <w:unhideWhenUsed/>
    <w:rsid w:val="005D0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9BD"/>
    <w:rPr>
      <w:rFonts w:ascii="Segoe UI" w:hAnsi="Segoe UI" w:cs="Segoe UI"/>
      <w:sz w:val="18"/>
      <w:szCs w:val="18"/>
      <w:lang w:val="es-ES" w:eastAsia="es-ES"/>
    </w:rPr>
  </w:style>
  <w:style w:type="character" w:customStyle="1" w:styleId="eop">
    <w:name w:val="eop"/>
    <w:basedOn w:val="Fuentedeprrafopredeter"/>
    <w:rsid w:val="007B5D25"/>
  </w:style>
  <w:style w:type="paragraph" w:styleId="Encabezado">
    <w:name w:val="header"/>
    <w:basedOn w:val="Normal"/>
    <w:link w:val="EncabezadoCar"/>
    <w:uiPriority w:val="99"/>
    <w:unhideWhenUsed/>
    <w:rsid w:val="00AF43F0"/>
    <w:pPr>
      <w:tabs>
        <w:tab w:val="center" w:pos="4252"/>
        <w:tab w:val="right" w:pos="8504"/>
      </w:tabs>
    </w:pPr>
  </w:style>
  <w:style w:type="character" w:customStyle="1" w:styleId="EncabezadoCar">
    <w:name w:val="Encabezado Car"/>
    <w:basedOn w:val="Fuentedeprrafopredeter"/>
    <w:link w:val="Encabezado"/>
    <w:uiPriority w:val="99"/>
    <w:rsid w:val="00AF43F0"/>
    <w:rPr>
      <w:sz w:val="24"/>
      <w:szCs w:val="24"/>
      <w:lang w:val="es-ES" w:eastAsia="es-ES"/>
    </w:rPr>
  </w:style>
  <w:style w:type="paragraph" w:styleId="Piedepgina">
    <w:name w:val="footer"/>
    <w:basedOn w:val="Normal"/>
    <w:link w:val="PiedepginaCar"/>
    <w:uiPriority w:val="99"/>
    <w:unhideWhenUsed/>
    <w:rsid w:val="00AF43F0"/>
    <w:pPr>
      <w:tabs>
        <w:tab w:val="center" w:pos="4252"/>
        <w:tab w:val="right" w:pos="8504"/>
      </w:tabs>
    </w:pPr>
  </w:style>
  <w:style w:type="character" w:customStyle="1" w:styleId="PiedepginaCar">
    <w:name w:val="Pie de página Car"/>
    <w:basedOn w:val="Fuentedeprrafopredeter"/>
    <w:link w:val="Piedepgina"/>
    <w:uiPriority w:val="99"/>
    <w:rsid w:val="00AF43F0"/>
    <w:rPr>
      <w:sz w:val="24"/>
      <w:szCs w:val="24"/>
      <w:lang w:val="es-ES" w:eastAsia="es-ES"/>
    </w:rPr>
  </w:style>
  <w:style w:type="character" w:styleId="Hipervnculo">
    <w:name w:val="Hyperlink"/>
    <w:basedOn w:val="Fuentedeprrafopredeter"/>
    <w:uiPriority w:val="99"/>
    <w:unhideWhenUsed/>
    <w:rsid w:val="008A39C0"/>
    <w:rPr>
      <w:color w:val="0000FF" w:themeColor="hyperlink"/>
      <w:u w:val="single"/>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FA Fu Car2 Car,4_G"/>
    <w:link w:val="4GChar"/>
    <w:uiPriority w:val="99"/>
    <w:qFormat/>
    <w:rsid w:val="006E78BA"/>
    <w:rPr>
      <w:vertAlign w:val="superscript"/>
    </w:rPr>
  </w:style>
  <w:style w:type="paragraph" w:styleId="Textonotapie">
    <w:name w:val="footnote text"/>
    <w:aliases w:val="Footnote Text Char Char Char Char Char,Footnote Text Char Char Char Char,Footnote reference,FA Fu,Footnote Text Char Char Char Car,Footnote Text Char Char Char,Footnote Text Char,texto de nota al pie,FA Fu Car2,Ref. de nota al pie1"/>
    <w:basedOn w:val="Normal"/>
    <w:link w:val="TextonotapieCar"/>
    <w:uiPriority w:val="99"/>
    <w:qFormat/>
    <w:rsid w:val="006E78BA"/>
    <w:rPr>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 Car,Footnote Text Char Char Char Car1,Footnote Text Char Car,texto de nota al pie Car"/>
    <w:basedOn w:val="Fuentedeprrafopredeter"/>
    <w:link w:val="Textonotapie"/>
    <w:uiPriority w:val="99"/>
    <w:qFormat/>
    <w:rsid w:val="006E78BA"/>
    <w:rPr>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E78BA"/>
    <w:pPr>
      <w:jc w:val="both"/>
    </w:pPr>
    <w:rPr>
      <w:sz w:val="20"/>
      <w:szCs w:val="20"/>
      <w:vertAlign w:val="superscript"/>
      <w:lang w:val="es-CO" w:eastAsia="es-CO"/>
    </w:rPr>
  </w:style>
  <w:style w:type="character" w:customStyle="1" w:styleId="UnresolvedMention">
    <w:name w:val="Unresolved Mention"/>
    <w:basedOn w:val="Fuentedeprrafopredeter"/>
    <w:uiPriority w:val="99"/>
    <w:semiHidden/>
    <w:unhideWhenUsed/>
    <w:rsid w:val="00130350"/>
    <w:rPr>
      <w:color w:val="605E5C"/>
      <w:shd w:val="clear" w:color="auto" w:fill="E1DFDD"/>
    </w:rPr>
  </w:style>
  <w:style w:type="character" w:styleId="Textoennegrita">
    <w:name w:val="Strong"/>
    <w:basedOn w:val="Fuentedeprrafopredeter"/>
    <w:uiPriority w:val="22"/>
    <w:qFormat/>
    <w:rsid w:val="00AF560B"/>
    <w:rPr>
      <w:b/>
      <w:bC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6699">
      <w:bodyDiv w:val="1"/>
      <w:marLeft w:val="0"/>
      <w:marRight w:val="0"/>
      <w:marTop w:val="0"/>
      <w:marBottom w:val="0"/>
      <w:divBdr>
        <w:top w:val="none" w:sz="0" w:space="0" w:color="auto"/>
        <w:left w:val="none" w:sz="0" w:space="0" w:color="auto"/>
        <w:bottom w:val="none" w:sz="0" w:space="0" w:color="auto"/>
        <w:right w:val="none" w:sz="0" w:space="0" w:color="auto"/>
      </w:divBdr>
    </w:div>
    <w:div w:id="885676720">
      <w:bodyDiv w:val="1"/>
      <w:marLeft w:val="0"/>
      <w:marRight w:val="0"/>
      <w:marTop w:val="0"/>
      <w:marBottom w:val="0"/>
      <w:divBdr>
        <w:top w:val="none" w:sz="0" w:space="0" w:color="auto"/>
        <w:left w:val="none" w:sz="0" w:space="0" w:color="auto"/>
        <w:bottom w:val="none" w:sz="0" w:space="0" w:color="auto"/>
        <w:right w:val="none" w:sz="0" w:space="0" w:color="auto"/>
      </w:divBdr>
    </w:div>
    <w:div w:id="1224827614">
      <w:bodyDiv w:val="1"/>
      <w:marLeft w:val="0"/>
      <w:marRight w:val="0"/>
      <w:marTop w:val="0"/>
      <w:marBottom w:val="0"/>
      <w:divBdr>
        <w:top w:val="none" w:sz="0" w:space="0" w:color="auto"/>
        <w:left w:val="none" w:sz="0" w:space="0" w:color="auto"/>
        <w:bottom w:val="none" w:sz="0" w:space="0" w:color="auto"/>
        <w:right w:val="none" w:sz="0" w:space="0" w:color="auto"/>
      </w:divBdr>
    </w:div>
    <w:div w:id="21442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tycia@hotmail.com" TargetMode="External"/><Relationship Id="R341f0b881a5f491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cgtycia@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Props1.xml><?xml version="1.0" encoding="utf-8"?>
<ds:datastoreItem xmlns:ds="http://schemas.openxmlformats.org/officeDocument/2006/customXml" ds:itemID="{15E3EF45-6119-48EF-886F-2C303AD641DD}">
  <ds:schemaRefs>
    <ds:schemaRef ds:uri="http://schemas.microsoft.com/sharepoint/v3/contenttype/forms"/>
  </ds:schemaRefs>
</ds:datastoreItem>
</file>

<file path=customXml/itemProps2.xml><?xml version="1.0" encoding="utf-8"?>
<ds:datastoreItem xmlns:ds="http://schemas.openxmlformats.org/officeDocument/2006/customXml" ds:itemID="{FB24D2FC-DB35-43D5-B12F-12B019EF5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B4976-4EA2-4D7F-96A0-AA300F7A7215}">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3197</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 Largo</dc:creator>
  <cp:lastModifiedBy>samsung</cp:lastModifiedBy>
  <cp:revision>12</cp:revision>
  <dcterms:created xsi:type="dcterms:W3CDTF">2023-10-20T19:52:00Z</dcterms:created>
  <dcterms:modified xsi:type="dcterms:W3CDTF">2023-11-29T16:46:00Z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