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97EFB" w14:textId="20E5312D" w:rsidR="00EC2BE3" w:rsidRPr="00A024F7" w:rsidRDefault="00A024F7" w:rsidP="00EC2BE3">
      <w:pPr>
        <w:pStyle w:val="Puesto"/>
        <w:jc w:val="both"/>
        <w:rPr>
          <w:rFonts w:ascii="Arial" w:hAnsi="Arial" w:cs="Arial"/>
          <w:bCs w:val="0"/>
        </w:rPr>
      </w:pPr>
      <w:r w:rsidRPr="00A024F7">
        <w:rPr>
          <w:rFonts w:ascii="Arial" w:hAnsi="Arial" w:cs="Arial"/>
          <w:bCs w:val="0"/>
        </w:rPr>
        <w:t>SEGURIDAD SOCIAL / PAGO INCAPACIDADES MÉDICAS / PROCEDENCIA DE LA TUTELA</w:t>
      </w:r>
    </w:p>
    <w:p w14:paraId="31C834E2" w14:textId="54DA4B0B" w:rsidR="00EC2BE3" w:rsidRDefault="00A024F7" w:rsidP="00EC2BE3">
      <w:pPr>
        <w:pStyle w:val="Puesto"/>
        <w:jc w:val="both"/>
        <w:rPr>
          <w:rFonts w:ascii="Arial" w:hAnsi="Arial" w:cs="Arial"/>
          <w:b w:val="0"/>
          <w:bCs w:val="0"/>
        </w:rPr>
      </w:pPr>
      <w:r w:rsidRPr="00A024F7">
        <w:rPr>
          <w:rFonts w:ascii="Arial" w:hAnsi="Arial" w:cs="Arial"/>
          <w:b w:val="0"/>
          <w:bCs w:val="0"/>
        </w:rPr>
        <w:t>Se acepta por la jurisprudencia constitucional la procedencia de la acción de tutela para reconocer el pago de incapacidades médicas, cuando quien reclama no cuenta “con otra fuente de ingresos para satisfacer sus necesidades básicas y las de sus núcleos familiares, o de personas en situaciones extremas de vulnerabilidad” -T 177 de 2013-, pues en dichos casos es necesario garantizarle la protección de sus derechos a la salud y al mínimo vital.</w:t>
      </w:r>
    </w:p>
    <w:p w14:paraId="557DBCF6" w14:textId="53C70CA5" w:rsidR="00A024F7" w:rsidRDefault="00A024F7" w:rsidP="00EC2BE3">
      <w:pPr>
        <w:pStyle w:val="Puesto"/>
        <w:jc w:val="both"/>
        <w:rPr>
          <w:rFonts w:ascii="Arial" w:hAnsi="Arial" w:cs="Arial"/>
          <w:b w:val="0"/>
          <w:bCs w:val="0"/>
        </w:rPr>
      </w:pPr>
    </w:p>
    <w:p w14:paraId="56EB7C25" w14:textId="6F581E47" w:rsidR="00A024F7" w:rsidRPr="00A024F7" w:rsidRDefault="00A024F7" w:rsidP="00A024F7">
      <w:pPr>
        <w:pStyle w:val="Puesto"/>
        <w:jc w:val="both"/>
        <w:rPr>
          <w:rFonts w:ascii="Arial" w:hAnsi="Arial" w:cs="Arial"/>
          <w:bCs w:val="0"/>
        </w:rPr>
      </w:pPr>
      <w:r w:rsidRPr="00A024F7">
        <w:rPr>
          <w:rFonts w:ascii="Arial" w:hAnsi="Arial" w:cs="Arial"/>
          <w:bCs w:val="0"/>
        </w:rPr>
        <w:t xml:space="preserve">SEGURIDAD SOCIAL / INCAPACIDADES MÉDICAS / </w:t>
      </w:r>
      <w:r>
        <w:rPr>
          <w:rFonts w:ascii="Arial" w:hAnsi="Arial" w:cs="Arial"/>
          <w:bCs w:val="0"/>
        </w:rPr>
        <w:t>PRINCIPIO DE SUBSIDIARIEDAD</w:t>
      </w:r>
    </w:p>
    <w:p w14:paraId="163D09A2" w14:textId="0BE41C27" w:rsidR="00A024F7" w:rsidRPr="00A024F7" w:rsidRDefault="00A024F7" w:rsidP="00A024F7">
      <w:pPr>
        <w:pStyle w:val="Puesto"/>
        <w:jc w:val="both"/>
        <w:rPr>
          <w:rFonts w:ascii="Arial" w:hAnsi="Arial" w:cs="Arial"/>
          <w:b w:val="0"/>
          <w:bCs w:val="0"/>
        </w:rPr>
      </w:pPr>
      <w:r>
        <w:rPr>
          <w:rFonts w:ascii="Arial" w:hAnsi="Arial" w:cs="Arial"/>
          <w:b w:val="0"/>
          <w:bCs w:val="0"/>
        </w:rPr>
        <w:t xml:space="preserve">… </w:t>
      </w:r>
      <w:r w:rsidRPr="00A024F7">
        <w:rPr>
          <w:rFonts w:ascii="Arial" w:hAnsi="Arial" w:cs="Arial"/>
          <w:b w:val="0"/>
          <w:bCs w:val="0"/>
        </w:rPr>
        <w:t>respecto a los mecanismos ordinarios y administrativos de defensa judicial, la Corte Constitucional, en sentencia T-447 de 2017, señaló:</w:t>
      </w:r>
      <w:r>
        <w:rPr>
          <w:rFonts w:ascii="Arial" w:hAnsi="Arial" w:cs="Arial"/>
          <w:b w:val="0"/>
          <w:bCs w:val="0"/>
        </w:rPr>
        <w:t xml:space="preserve"> </w:t>
      </w:r>
      <w:r w:rsidRPr="00A024F7">
        <w:rPr>
          <w:rFonts w:ascii="Arial" w:hAnsi="Arial" w:cs="Arial"/>
          <w:b w:val="0"/>
          <w:bCs w:val="0"/>
        </w:rPr>
        <w:t xml:space="preserve">“(…) si bien existe un proceso jurisdiccional a cargo de la Superintendencia Nacional de Salud al cual el actor podría acudir para </w:t>
      </w:r>
      <w:r>
        <w:rPr>
          <w:rFonts w:ascii="Arial" w:hAnsi="Arial" w:cs="Arial"/>
          <w:b w:val="0"/>
          <w:bCs w:val="0"/>
        </w:rPr>
        <w:t>que le diriman sus pretensiones</w:t>
      </w:r>
      <w:r w:rsidRPr="00A024F7">
        <w:rPr>
          <w:rFonts w:ascii="Arial" w:hAnsi="Arial" w:cs="Arial"/>
          <w:b w:val="0"/>
          <w:bCs w:val="0"/>
        </w:rPr>
        <w:t>, este es ineficaz para la protección del derecho fundamental al mínimo vital del actor, más aún cuando esta Corte ha reconocido anteriormente que “la acción de tutela es el mecanismo idóneo para la protección de derechos fundamentales como el mínimo vital y la salud cuando el peticionario se ve desprovisto del pago de las incapacidades médicas.</w:t>
      </w:r>
      <w:r>
        <w:rPr>
          <w:rFonts w:ascii="Arial" w:hAnsi="Arial" w:cs="Arial"/>
          <w:b w:val="0"/>
          <w:bCs w:val="0"/>
        </w:rPr>
        <w:t>”</w:t>
      </w:r>
    </w:p>
    <w:p w14:paraId="33D02D2F" w14:textId="54624076" w:rsidR="00A024F7" w:rsidRDefault="00A024F7" w:rsidP="00EC2BE3">
      <w:pPr>
        <w:pStyle w:val="Puesto"/>
        <w:jc w:val="both"/>
        <w:rPr>
          <w:rFonts w:ascii="Arial" w:hAnsi="Arial" w:cs="Arial"/>
          <w:b w:val="0"/>
          <w:bCs w:val="0"/>
        </w:rPr>
      </w:pPr>
    </w:p>
    <w:p w14:paraId="078F70DF" w14:textId="34D29FCB" w:rsidR="003A2A2A" w:rsidRPr="00A024F7" w:rsidRDefault="003A2A2A" w:rsidP="003A2A2A">
      <w:pPr>
        <w:pStyle w:val="Puesto"/>
        <w:jc w:val="both"/>
        <w:rPr>
          <w:rFonts w:ascii="Arial" w:hAnsi="Arial" w:cs="Arial"/>
          <w:bCs w:val="0"/>
        </w:rPr>
      </w:pPr>
      <w:r w:rsidRPr="00A024F7">
        <w:rPr>
          <w:rFonts w:ascii="Arial" w:hAnsi="Arial" w:cs="Arial"/>
          <w:bCs w:val="0"/>
        </w:rPr>
        <w:t xml:space="preserve">SEGURIDAD SOCIAL / INCAPACIDADES MÉDICAS / </w:t>
      </w:r>
      <w:r>
        <w:rPr>
          <w:rFonts w:ascii="Arial" w:hAnsi="Arial" w:cs="Arial"/>
          <w:bCs w:val="0"/>
        </w:rPr>
        <w:t>SUPERIORES A 540 DÍAS / PAGO</w:t>
      </w:r>
    </w:p>
    <w:p w14:paraId="584FC748" w14:textId="7017BDDD" w:rsidR="00A024F7" w:rsidRDefault="003A2A2A" w:rsidP="003A2A2A">
      <w:pPr>
        <w:pStyle w:val="Puesto"/>
        <w:jc w:val="both"/>
        <w:rPr>
          <w:rFonts w:ascii="Arial" w:hAnsi="Arial" w:cs="Arial"/>
          <w:b w:val="0"/>
          <w:bCs w:val="0"/>
        </w:rPr>
      </w:pPr>
      <w:r>
        <w:rPr>
          <w:rFonts w:ascii="Arial" w:hAnsi="Arial" w:cs="Arial"/>
          <w:b w:val="0"/>
          <w:bCs w:val="0"/>
        </w:rPr>
        <w:t xml:space="preserve">… </w:t>
      </w:r>
      <w:r w:rsidRPr="003A2A2A">
        <w:rPr>
          <w:rFonts w:ascii="Arial" w:hAnsi="Arial" w:cs="Arial"/>
          <w:b w:val="0"/>
          <w:bCs w:val="0"/>
        </w:rPr>
        <w:t>analizando la normatividad que regula el tema se tiene que, al entrar en vigencia la Ley 100 de 1993, el pago de licencias por enfermedad de origen común le fue asignado a las entidades encargadas de asegurar las contingencias en materia de seguridad social</w:t>
      </w:r>
      <w:r>
        <w:rPr>
          <w:rFonts w:ascii="Arial" w:hAnsi="Arial" w:cs="Arial"/>
          <w:b w:val="0"/>
          <w:bCs w:val="0"/>
        </w:rPr>
        <w:t xml:space="preserve">… </w:t>
      </w:r>
      <w:r w:rsidRPr="003A2A2A">
        <w:rPr>
          <w:rFonts w:ascii="Arial" w:hAnsi="Arial" w:cs="Arial"/>
          <w:b w:val="0"/>
          <w:bCs w:val="0"/>
        </w:rPr>
        <w:t>Frente a las incapacidades que se generan con posterioridad al día 540, la Corte Constitucional en la sentencia T-265-22 precisó:</w:t>
      </w:r>
      <w:r>
        <w:rPr>
          <w:rFonts w:ascii="Arial" w:hAnsi="Arial" w:cs="Arial"/>
          <w:b w:val="0"/>
          <w:bCs w:val="0"/>
        </w:rPr>
        <w:t xml:space="preserve"> </w:t>
      </w:r>
      <w:r w:rsidRPr="003A2A2A">
        <w:rPr>
          <w:rFonts w:ascii="Arial" w:hAnsi="Arial" w:cs="Arial"/>
          <w:b w:val="0"/>
          <w:bCs w:val="0"/>
        </w:rPr>
        <w:t>“5.7. En conclusión, es indiscutible señalar que, con posterioridad a la vigencia de la Ley 1753 de 2015, el déficit de protección que existía con relación al pago de incapacidades superiores a los 540 días a favor de personas que contaban con pérdida de capacidad laboral inferior al 50% quedó superado. Por lo tanto, tal como ha sido ampliamente reiterado por la jurisprudencia constitucional, el pago de dichas prestaciones económicas debe ser asumido por las Entidades Promotoras de Salud, conforme a lo dispuesto en el artículo 67 de Ley 1753 de 2015”.</w:t>
      </w:r>
    </w:p>
    <w:p w14:paraId="2C77E811" w14:textId="77777777" w:rsidR="00A024F7" w:rsidRPr="00EC2BE3" w:rsidRDefault="00A024F7" w:rsidP="00EC2BE3">
      <w:pPr>
        <w:pStyle w:val="Puesto"/>
        <w:jc w:val="both"/>
        <w:rPr>
          <w:rFonts w:ascii="Arial" w:hAnsi="Arial" w:cs="Arial"/>
          <w:b w:val="0"/>
          <w:bCs w:val="0"/>
        </w:rPr>
      </w:pPr>
    </w:p>
    <w:p w14:paraId="46D00C82" w14:textId="77777777" w:rsidR="00EC2BE3" w:rsidRPr="00EC2BE3" w:rsidRDefault="00EC2BE3" w:rsidP="00EC2BE3">
      <w:pPr>
        <w:pStyle w:val="Puesto"/>
        <w:jc w:val="both"/>
        <w:rPr>
          <w:rFonts w:ascii="Arial" w:hAnsi="Arial" w:cs="Arial"/>
          <w:b w:val="0"/>
          <w:bCs w:val="0"/>
        </w:rPr>
      </w:pPr>
    </w:p>
    <w:p w14:paraId="5A94773E" w14:textId="77777777" w:rsidR="00EC2BE3" w:rsidRPr="00EC2BE3" w:rsidRDefault="00EC2BE3" w:rsidP="00EC2BE3">
      <w:pPr>
        <w:pStyle w:val="Puesto"/>
        <w:jc w:val="both"/>
        <w:rPr>
          <w:rFonts w:ascii="Arial" w:hAnsi="Arial" w:cs="Arial"/>
          <w:b w:val="0"/>
          <w:bCs w:val="0"/>
        </w:rPr>
      </w:pPr>
    </w:p>
    <w:p w14:paraId="5FB8E34C" w14:textId="144D1302" w:rsidR="00B9582D" w:rsidRPr="00EC2BE3" w:rsidRDefault="0090265B" w:rsidP="00EC2BE3">
      <w:pPr>
        <w:pStyle w:val="Puesto"/>
        <w:jc w:val="both"/>
        <w:rPr>
          <w:rFonts w:ascii="Arial" w:hAnsi="Arial" w:cs="Arial"/>
          <w:b w:val="0"/>
          <w:bCs w:val="0"/>
        </w:rPr>
      </w:pPr>
      <w:r w:rsidRPr="00EC2BE3">
        <w:rPr>
          <w:rFonts w:ascii="Arial" w:hAnsi="Arial" w:cs="Arial"/>
          <w:b w:val="0"/>
          <w:bCs w:val="0"/>
        </w:rPr>
        <w:t>Providencia</w:t>
      </w:r>
      <w:r w:rsidR="00414219" w:rsidRPr="00EC2BE3">
        <w:rPr>
          <w:rFonts w:ascii="Arial" w:hAnsi="Arial" w:cs="Arial"/>
          <w:b w:val="0"/>
          <w:bCs w:val="0"/>
        </w:rPr>
        <w:t>:</w:t>
      </w:r>
      <w:r w:rsidR="00EC2BE3">
        <w:rPr>
          <w:rFonts w:ascii="Arial" w:hAnsi="Arial" w:cs="Arial"/>
          <w:b w:val="0"/>
          <w:bCs w:val="0"/>
        </w:rPr>
        <w:tab/>
      </w:r>
      <w:r w:rsidR="00EC2BE3">
        <w:rPr>
          <w:rFonts w:ascii="Arial" w:hAnsi="Arial" w:cs="Arial"/>
          <w:b w:val="0"/>
          <w:bCs w:val="0"/>
        </w:rPr>
        <w:tab/>
      </w:r>
      <w:r w:rsidR="00414219" w:rsidRPr="00EC2BE3">
        <w:rPr>
          <w:rFonts w:ascii="Arial" w:hAnsi="Arial" w:cs="Arial"/>
          <w:b w:val="0"/>
          <w:bCs w:val="0"/>
        </w:rPr>
        <w:t xml:space="preserve">Sentencia </w:t>
      </w:r>
      <w:r w:rsidR="002A0B56" w:rsidRPr="00EC2BE3">
        <w:rPr>
          <w:rFonts w:ascii="Arial" w:hAnsi="Arial" w:cs="Arial"/>
          <w:b w:val="0"/>
          <w:bCs w:val="0"/>
        </w:rPr>
        <w:t xml:space="preserve">de </w:t>
      </w:r>
      <w:r w:rsidR="425DC310" w:rsidRPr="00EC2BE3">
        <w:rPr>
          <w:rFonts w:ascii="Arial" w:hAnsi="Arial" w:cs="Arial"/>
          <w:b w:val="0"/>
          <w:bCs w:val="0"/>
        </w:rPr>
        <w:t>8</w:t>
      </w:r>
      <w:r w:rsidR="00A56C4F" w:rsidRPr="00EC2BE3">
        <w:rPr>
          <w:rFonts w:ascii="Arial" w:hAnsi="Arial" w:cs="Arial"/>
          <w:b w:val="0"/>
          <w:bCs w:val="0"/>
        </w:rPr>
        <w:t xml:space="preserve"> de agosto</w:t>
      </w:r>
      <w:r w:rsidR="00D7223A" w:rsidRPr="00EC2BE3">
        <w:rPr>
          <w:rFonts w:ascii="Arial" w:hAnsi="Arial" w:cs="Arial"/>
          <w:b w:val="0"/>
          <w:bCs w:val="0"/>
        </w:rPr>
        <w:t xml:space="preserve"> de </w:t>
      </w:r>
      <w:r w:rsidR="00BF4717" w:rsidRPr="00EC2BE3">
        <w:rPr>
          <w:rFonts w:ascii="Arial" w:hAnsi="Arial" w:cs="Arial"/>
          <w:b w:val="0"/>
          <w:bCs w:val="0"/>
        </w:rPr>
        <w:t>20</w:t>
      </w:r>
      <w:r w:rsidR="00441440" w:rsidRPr="00EC2BE3">
        <w:rPr>
          <w:rFonts w:ascii="Arial" w:hAnsi="Arial" w:cs="Arial"/>
          <w:b w:val="0"/>
          <w:bCs w:val="0"/>
        </w:rPr>
        <w:t>2</w:t>
      </w:r>
      <w:r w:rsidR="00A56C4F" w:rsidRPr="00EC2BE3">
        <w:rPr>
          <w:rFonts w:ascii="Arial" w:hAnsi="Arial" w:cs="Arial"/>
          <w:b w:val="0"/>
          <w:bCs w:val="0"/>
        </w:rPr>
        <w:t>3</w:t>
      </w:r>
    </w:p>
    <w:p w14:paraId="1536961D" w14:textId="7BB2033E" w:rsidR="0090265B" w:rsidRPr="00EC2BE3" w:rsidRDefault="0090265B" w:rsidP="00EC2BE3">
      <w:pPr>
        <w:pStyle w:val="Puesto"/>
        <w:jc w:val="both"/>
        <w:rPr>
          <w:rFonts w:ascii="Arial" w:hAnsi="Arial" w:cs="Arial"/>
          <w:b w:val="0"/>
          <w:bCs w:val="0"/>
        </w:rPr>
      </w:pPr>
      <w:r w:rsidRPr="00EC2BE3">
        <w:rPr>
          <w:rFonts w:ascii="Arial" w:hAnsi="Arial" w:cs="Arial"/>
          <w:b w:val="0"/>
          <w:bCs w:val="0"/>
        </w:rPr>
        <w:t>Ra</w:t>
      </w:r>
      <w:r w:rsidR="00414219" w:rsidRPr="00EC2BE3">
        <w:rPr>
          <w:rFonts w:ascii="Arial" w:hAnsi="Arial" w:cs="Arial"/>
          <w:b w:val="0"/>
          <w:bCs w:val="0"/>
        </w:rPr>
        <w:t>dicación Nro.:</w:t>
      </w:r>
      <w:r w:rsidR="00EC2BE3">
        <w:rPr>
          <w:rFonts w:ascii="Arial" w:hAnsi="Arial" w:cs="Arial"/>
          <w:b w:val="0"/>
          <w:bCs w:val="0"/>
        </w:rPr>
        <w:tab/>
      </w:r>
      <w:r w:rsidR="00414219" w:rsidRPr="00EC2BE3">
        <w:rPr>
          <w:rFonts w:ascii="Arial" w:hAnsi="Arial" w:cs="Arial"/>
          <w:b w:val="0"/>
          <w:bCs w:val="0"/>
        </w:rPr>
        <w:t>660013105</w:t>
      </w:r>
      <w:r w:rsidR="00A56C4F" w:rsidRPr="00EC2BE3">
        <w:rPr>
          <w:rFonts w:ascii="Arial" w:hAnsi="Arial" w:cs="Arial"/>
          <w:b w:val="0"/>
          <w:bCs w:val="0"/>
        </w:rPr>
        <w:t>00420231019501</w:t>
      </w:r>
    </w:p>
    <w:p w14:paraId="76510282" w14:textId="5D4AF9FC" w:rsidR="0090265B" w:rsidRPr="00EC2BE3" w:rsidRDefault="0090265B" w:rsidP="00EC2BE3">
      <w:pPr>
        <w:pStyle w:val="Puesto"/>
        <w:jc w:val="both"/>
        <w:rPr>
          <w:rFonts w:ascii="Arial" w:hAnsi="Arial" w:cs="Arial"/>
          <w:b w:val="0"/>
          <w:bCs w:val="0"/>
        </w:rPr>
      </w:pPr>
      <w:r w:rsidRPr="00EC2BE3">
        <w:rPr>
          <w:rFonts w:ascii="Arial" w:hAnsi="Arial" w:cs="Arial"/>
          <w:b w:val="0"/>
          <w:bCs w:val="0"/>
        </w:rPr>
        <w:t>Accionante:</w:t>
      </w:r>
      <w:r w:rsidR="00EC2BE3">
        <w:rPr>
          <w:rFonts w:ascii="Arial" w:hAnsi="Arial" w:cs="Arial"/>
          <w:b w:val="0"/>
          <w:bCs w:val="0"/>
        </w:rPr>
        <w:tab/>
      </w:r>
      <w:r w:rsidRPr="00EC2BE3">
        <w:rPr>
          <w:rFonts w:ascii="Arial" w:hAnsi="Arial" w:cs="Arial"/>
          <w:b w:val="0"/>
          <w:bCs w:val="0"/>
        </w:rPr>
        <w:tab/>
      </w:r>
      <w:r w:rsidR="00A56C4F" w:rsidRPr="00EC2BE3">
        <w:rPr>
          <w:rFonts w:ascii="Arial" w:hAnsi="Arial" w:cs="Arial"/>
          <w:b w:val="0"/>
          <w:bCs w:val="0"/>
        </w:rPr>
        <w:t>Clara Rosa Restrepo Gómez</w:t>
      </w:r>
    </w:p>
    <w:p w14:paraId="27978ED7" w14:textId="7316B395" w:rsidR="0090265B" w:rsidRPr="00EC2BE3" w:rsidRDefault="0090265B" w:rsidP="00EC2BE3">
      <w:pPr>
        <w:pStyle w:val="Puesto"/>
        <w:jc w:val="both"/>
        <w:rPr>
          <w:rFonts w:ascii="Arial" w:hAnsi="Arial" w:cs="Arial"/>
          <w:b w:val="0"/>
          <w:bCs w:val="0"/>
        </w:rPr>
      </w:pPr>
      <w:r w:rsidRPr="00EC2BE3">
        <w:rPr>
          <w:rFonts w:ascii="Arial" w:hAnsi="Arial" w:cs="Arial"/>
          <w:b w:val="0"/>
          <w:bCs w:val="0"/>
        </w:rPr>
        <w:t>Accionad</w:t>
      </w:r>
      <w:r w:rsidR="00414219" w:rsidRPr="00EC2BE3">
        <w:rPr>
          <w:rFonts w:ascii="Arial" w:hAnsi="Arial" w:cs="Arial"/>
          <w:b w:val="0"/>
          <w:bCs w:val="0"/>
        </w:rPr>
        <w:t>o</w:t>
      </w:r>
      <w:r w:rsidR="009B6864" w:rsidRPr="00EC2BE3">
        <w:rPr>
          <w:rFonts w:ascii="Arial" w:hAnsi="Arial" w:cs="Arial"/>
          <w:b w:val="0"/>
          <w:bCs w:val="0"/>
        </w:rPr>
        <w:t>s</w:t>
      </w:r>
      <w:r w:rsidR="00414219" w:rsidRPr="00EC2BE3">
        <w:rPr>
          <w:rFonts w:ascii="Arial" w:hAnsi="Arial" w:cs="Arial"/>
          <w:b w:val="0"/>
          <w:bCs w:val="0"/>
        </w:rPr>
        <w:t>:</w:t>
      </w:r>
      <w:r w:rsidR="00EC2BE3">
        <w:rPr>
          <w:rFonts w:ascii="Arial" w:hAnsi="Arial" w:cs="Arial"/>
          <w:b w:val="0"/>
          <w:bCs w:val="0"/>
        </w:rPr>
        <w:tab/>
      </w:r>
      <w:r w:rsidR="00EC2BE3">
        <w:rPr>
          <w:rFonts w:ascii="Arial" w:hAnsi="Arial" w:cs="Arial"/>
          <w:b w:val="0"/>
          <w:bCs w:val="0"/>
        </w:rPr>
        <w:tab/>
      </w:r>
      <w:r w:rsidR="005F1713" w:rsidRPr="00EC2BE3">
        <w:rPr>
          <w:rFonts w:ascii="Arial" w:hAnsi="Arial" w:cs="Arial"/>
          <w:b w:val="0"/>
          <w:bCs w:val="0"/>
        </w:rPr>
        <w:t>Colpensiones</w:t>
      </w:r>
      <w:r w:rsidR="00A56C4F" w:rsidRPr="00EC2BE3">
        <w:rPr>
          <w:rFonts w:ascii="Arial" w:hAnsi="Arial" w:cs="Arial"/>
          <w:b w:val="0"/>
          <w:bCs w:val="0"/>
        </w:rPr>
        <w:t xml:space="preserve"> y</w:t>
      </w:r>
      <w:r w:rsidR="005F1713" w:rsidRPr="00EC2BE3">
        <w:rPr>
          <w:rFonts w:ascii="Arial" w:hAnsi="Arial" w:cs="Arial"/>
          <w:b w:val="0"/>
          <w:bCs w:val="0"/>
        </w:rPr>
        <w:t xml:space="preserve"> </w:t>
      </w:r>
      <w:r w:rsidR="00301C88" w:rsidRPr="00EC2BE3">
        <w:rPr>
          <w:rFonts w:ascii="Arial" w:hAnsi="Arial" w:cs="Arial"/>
          <w:b w:val="0"/>
          <w:bCs w:val="0"/>
        </w:rPr>
        <w:t xml:space="preserve">Nueva </w:t>
      </w:r>
      <w:proofErr w:type="spellStart"/>
      <w:r w:rsidR="00301C88" w:rsidRPr="00EC2BE3">
        <w:rPr>
          <w:rFonts w:ascii="Arial" w:hAnsi="Arial" w:cs="Arial"/>
          <w:b w:val="0"/>
          <w:bCs w:val="0"/>
        </w:rPr>
        <w:t>EPS</w:t>
      </w:r>
      <w:proofErr w:type="spellEnd"/>
      <w:r w:rsidR="002A0B56" w:rsidRPr="00EC2BE3">
        <w:rPr>
          <w:rFonts w:ascii="Arial" w:hAnsi="Arial" w:cs="Arial"/>
          <w:b w:val="0"/>
          <w:bCs w:val="0"/>
        </w:rPr>
        <w:t xml:space="preserve"> y Delio Castañeda Torres</w:t>
      </w:r>
    </w:p>
    <w:p w14:paraId="1554580B" w14:textId="6605AFD0" w:rsidR="0090265B" w:rsidRPr="00EC2BE3" w:rsidRDefault="0090265B" w:rsidP="00EC2BE3">
      <w:pPr>
        <w:pStyle w:val="Puesto"/>
        <w:jc w:val="both"/>
        <w:rPr>
          <w:rFonts w:ascii="Arial" w:hAnsi="Arial" w:cs="Arial"/>
          <w:b w:val="0"/>
          <w:bCs w:val="0"/>
        </w:rPr>
      </w:pPr>
      <w:r w:rsidRPr="00EC2BE3">
        <w:rPr>
          <w:rFonts w:ascii="Arial" w:hAnsi="Arial" w:cs="Arial"/>
          <w:b w:val="0"/>
          <w:bCs w:val="0"/>
        </w:rPr>
        <w:t>Proceso:</w:t>
      </w:r>
      <w:r w:rsidR="00EC2BE3">
        <w:rPr>
          <w:rFonts w:ascii="Arial" w:hAnsi="Arial" w:cs="Arial"/>
          <w:b w:val="0"/>
          <w:bCs w:val="0"/>
        </w:rPr>
        <w:tab/>
      </w:r>
      <w:r w:rsidRPr="00EC2BE3">
        <w:rPr>
          <w:rFonts w:ascii="Arial" w:hAnsi="Arial" w:cs="Arial"/>
          <w:b w:val="0"/>
          <w:bCs w:val="0"/>
        </w:rPr>
        <w:tab/>
        <w:t xml:space="preserve">Acción de Tutela </w:t>
      </w:r>
    </w:p>
    <w:p w14:paraId="2126D803" w14:textId="34FA9FE3" w:rsidR="0090265B" w:rsidRPr="00EC2BE3" w:rsidRDefault="0090265B" w:rsidP="00EC2BE3">
      <w:pPr>
        <w:pStyle w:val="Puesto"/>
        <w:jc w:val="both"/>
        <w:rPr>
          <w:rFonts w:ascii="Arial" w:hAnsi="Arial" w:cs="Arial"/>
          <w:b w:val="0"/>
          <w:bCs w:val="0"/>
        </w:rPr>
      </w:pPr>
      <w:r w:rsidRPr="00EC2BE3">
        <w:rPr>
          <w:rFonts w:ascii="Arial" w:hAnsi="Arial" w:cs="Arial"/>
          <w:b w:val="0"/>
          <w:bCs w:val="0"/>
        </w:rPr>
        <w:t>Juzgado de origen:</w:t>
      </w:r>
      <w:r w:rsidR="00EC2BE3">
        <w:rPr>
          <w:rFonts w:ascii="Arial" w:hAnsi="Arial" w:cs="Arial"/>
          <w:b w:val="0"/>
          <w:bCs w:val="0"/>
        </w:rPr>
        <w:tab/>
      </w:r>
      <w:r w:rsidRPr="00EC2BE3">
        <w:rPr>
          <w:rFonts w:ascii="Arial" w:hAnsi="Arial" w:cs="Arial"/>
          <w:b w:val="0"/>
          <w:bCs w:val="0"/>
        </w:rPr>
        <w:t>J</w:t>
      </w:r>
      <w:r w:rsidR="00414219" w:rsidRPr="00EC2BE3">
        <w:rPr>
          <w:rFonts w:ascii="Arial" w:hAnsi="Arial" w:cs="Arial"/>
          <w:b w:val="0"/>
          <w:bCs w:val="0"/>
        </w:rPr>
        <w:t xml:space="preserve">uzgado </w:t>
      </w:r>
      <w:r w:rsidR="00A56C4F" w:rsidRPr="00EC2BE3">
        <w:rPr>
          <w:rFonts w:ascii="Arial" w:hAnsi="Arial" w:cs="Arial"/>
          <w:b w:val="0"/>
          <w:bCs w:val="0"/>
        </w:rPr>
        <w:t>Cuarto</w:t>
      </w:r>
      <w:r w:rsidRPr="00EC2BE3">
        <w:rPr>
          <w:rFonts w:ascii="Arial" w:hAnsi="Arial" w:cs="Arial"/>
          <w:b w:val="0"/>
          <w:bCs w:val="0"/>
        </w:rPr>
        <w:t xml:space="preserve"> Laboral del Circuito</w:t>
      </w:r>
    </w:p>
    <w:p w14:paraId="174E8423" w14:textId="7392501E" w:rsidR="0090265B" w:rsidRPr="00EC2BE3" w:rsidRDefault="0090265B" w:rsidP="00EC2BE3">
      <w:pPr>
        <w:pStyle w:val="Puesto"/>
        <w:jc w:val="both"/>
        <w:rPr>
          <w:rFonts w:ascii="Arial" w:hAnsi="Arial" w:cs="Arial"/>
          <w:b w:val="0"/>
          <w:bCs w:val="0"/>
        </w:rPr>
      </w:pPr>
      <w:r w:rsidRPr="00EC2BE3">
        <w:rPr>
          <w:rFonts w:ascii="Arial" w:hAnsi="Arial" w:cs="Arial"/>
          <w:b w:val="0"/>
          <w:bCs w:val="0"/>
        </w:rPr>
        <w:t>Magistrado Ponente:</w:t>
      </w:r>
      <w:r w:rsidRPr="00EC2BE3">
        <w:rPr>
          <w:rFonts w:ascii="Arial" w:hAnsi="Arial" w:cs="Arial"/>
          <w:b w:val="0"/>
          <w:bCs w:val="0"/>
        </w:rPr>
        <w:tab/>
        <w:t>Julio César Salazar Muñoz</w:t>
      </w:r>
    </w:p>
    <w:p w14:paraId="5B773CFC" w14:textId="77777777" w:rsidR="00EC2BE3" w:rsidRDefault="00EC2BE3" w:rsidP="00EC2BE3">
      <w:pPr>
        <w:jc w:val="both"/>
        <w:rPr>
          <w:rFonts w:ascii="Arial" w:hAnsi="Arial" w:cs="Arial"/>
          <w:b/>
          <w:sz w:val="20"/>
          <w:szCs w:val="20"/>
        </w:rPr>
      </w:pPr>
    </w:p>
    <w:p w14:paraId="0A6959E7" w14:textId="65FAA420" w:rsidR="0090265B" w:rsidRPr="00EC2BE3" w:rsidRDefault="004F1842" w:rsidP="00EC2BE3">
      <w:pPr>
        <w:jc w:val="both"/>
        <w:rPr>
          <w:rFonts w:ascii="Arial" w:hAnsi="Arial" w:cs="Arial"/>
          <w:sz w:val="20"/>
          <w:szCs w:val="20"/>
        </w:rPr>
      </w:pPr>
      <w:r w:rsidRPr="00EC2BE3">
        <w:rPr>
          <w:rFonts w:ascii="Arial" w:hAnsi="Arial" w:cs="Arial"/>
          <w:b/>
          <w:sz w:val="20"/>
          <w:szCs w:val="20"/>
        </w:rPr>
        <w:t xml:space="preserve"> </w:t>
      </w:r>
    </w:p>
    <w:p w14:paraId="672A6659" w14:textId="77777777" w:rsidR="0090265B" w:rsidRPr="00EC2BE3" w:rsidRDefault="0090265B" w:rsidP="00EC2BE3">
      <w:pPr>
        <w:jc w:val="both"/>
        <w:rPr>
          <w:rFonts w:ascii="Arial" w:hAnsi="Arial" w:cs="Arial"/>
          <w:b/>
          <w:sz w:val="20"/>
          <w:szCs w:val="20"/>
        </w:rPr>
      </w:pPr>
    </w:p>
    <w:p w14:paraId="1C3BEE41" w14:textId="77777777" w:rsidR="0090265B" w:rsidRPr="00EC2BE3" w:rsidRDefault="0090265B" w:rsidP="00EC2BE3">
      <w:pPr>
        <w:pStyle w:val="Ttulo3"/>
        <w:spacing w:line="276" w:lineRule="auto"/>
        <w:jc w:val="center"/>
        <w:rPr>
          <w:rFonts w:cs="Arial"/>
          <w:sz w:val="24"/>
          <w:szCs w:val="24"/>
        </w:rPr>
      </w:pPr>
      <w:r w:rsidRPr="00EC2BE3">
        <w:rPr>
          <w:rFonts w:cs="Arial"/>
          <w:sz w:val="24"/>
          <w:szCs w:val="24"/>
        </w:rPr>
        <w:t>TRIBUNAL SUPERIOR DEL DISTRITO JUDICIAL</w:t>
      </w:r>
    </w:p>
    <w:p w14:paraId="51A40248" w14:textId="77777777" w:rsidR="0090265B" w:rsidRPr="00EC2BE3" w:rsidRDefault="0090265B" w:rsidP="00EC2BE3">
      <w:pPr>
        <w:spacing w:line="276" w:lineRule="auto"/>
        <w:jc w:val="center"/>
        <w:rPr>
          <w:rFonts w:ascii="Arial" w:hAnsi="Arial" w:cs="Arial"/>
          <w:b/>
        </w:rPr>
      </w:pPr>
      <w:r w:rsidRPr="00EC2BE3">
        <w:rPr>
          <w:rFonts w:ascii="Arial" w:hAnsi="Arial" w:cs="Arial"/>
          <w:b/>
        </w:rPr>
        <w:t>SALA LABORAL</w:t>
      </w:r>
    </w:p>
    <w:p w14:paraId="0AE4D458" w14:textId="77777777" w:rsidR="0090265B" w:rsidRPr="00EC2BE3" w:rsidRDefault="0090265B" w:rsidP="00EC2BE3">
      <w:pPr>
        <w:spacing w:line="276" w:lineRule="auto"/>
        <w:jc w:val="center"/>
        <w:rPr>
          <w:rFonts w:ascii="Arial" w:hAnsi="Arial" w:cs="Arial"/>
          <w:b/>
        </w:rPr>
      </w:pPr>
      <w:r w:rsidRPr="00EC2BE3">
        <w:rPr>
          <w:rFonts w:ascii="Arial" w:hAnsi="Arial" w:cs="Arial"/>
          <w:b/>
        </w:rPr>
        <w:t>ACCIÓN DE TUTELA</w:t>
      </w:r>
    </w:p>
    <w:p w14:paraId="4E77816B" w14:textId="77777777" w:rsidR="0090265B" w:rsidRPr="00EC2BE3" w:rsidRDefault="0090265B" w:rsidP="00EC2BE3">
      <w:pPr>
        <w:spacing w:line="276" w:lineRule="auto"/>
        <w:jc w:val="center"/>
        <w:rPr>
          <w:rFonts w:ascii="Arial" w:hAnsi="Arial" w:cs="Arial"/>
          <w:b/>
        </w:rPr>
      </w:pPr>
      <w:r w:rsidRPr="00EC2BE3">
        <w:rPr>
          <w:rFonts w:ascii="Arial" w:hAnsi="Arial" w:cs="Arial"/>
          <w:b/>
        </w:rPr>
        <w:t>MAGISTRADO PONENTE: JULIO CÉSAR SALAZAR MUÑOZ</w:t>
      </w:r>
    </w:p>
    <w:p w14:paraId="0A37501D" w14:textId="77777777" w:rsidR="0090265B" w:rsidRPr="00EC2BE3" w:rsidRDefault="0090265B" w:rsidP="00EC2BE3">
      <w:pPr>
        <w:spacing w:line="276" w:lineRule="auto"/>
        <w:jc w:val="center"/>
        <w:rPr>
          <w:rFonts w:ascii="Arial" w:hAnsi="Arial" w:cs="Arial"/>
        </w:rPr>
      </w:pPr>
    </w:p>
    <w:p w14:paraId="1B1BE284" w14:textId="01F87445" w:rsidR="0090265B" w:rsidRPr="00EC2BE3" w:rsidRDefault="009945C9" w:rsidP="00EC2BE3">
      <w:pPr>
        <w:spacing w:line="276" w:lineRule="auto"/>
        <w:jc w:val="center"/>
        <w:rPr>
          <w:rFonts w:ascii="Arial" w:hAnsi="Arial" w:cs="Arial"/>
        </w:rPr>
      </w:pPr>
      <w:r w:rsidRPr="00EC2BE3">
        <w:rPr>
          <w:rFonts w:ascii="Arial" w:hAnsi="Arial" w:cs="Arial"/>
        </w:rPr>
        <w:t xml:space="preserve">Pereira, </w:t>
      </w:r>
      <w:r w:rsidR="66D4276F" w:rsidRPr="00EC2BE3">
        <w:rPr>
          <w:rFonts w:ascii="Arial" w:hAnsi="Arial" w:cs="Arial"/>
        </w:rPr>
        <w:t>ocho</w:t>
      </w:r>
      <w:r w:rsidR="00A56C4F" w:rsidRPr="00EC2BE3">
        <w:rPr>
          <w:rFonts w:ascii="Arial" w:hAnsi="Arial" w:cs="Arial"/>
        </w:rPr>
        <w:t xml:space="preserve"> de agosto de dos mil veintitrés</w:t>
      </w:r>
    </w:p>
    <w:p w14:paraId="28EA3548" w14:textId="57F2FEFD" w:rsidR="0090265B" w:rsidRPr="00EC2BE3" w:rsidRDefault="00BF147B" w:rsidP="00EC2BE3">
      <w:pPr>
        <w:spacing w:line="276" w:lineRule="auto"/>
        <w:jc w:val="center"/>
        <w:rPr>
          <w:rFonts w:ascii="Arial" w:hAnsi="Arial" w:cs="Arial"/>
        </w:rPr>
      </w:pPr>
      <w:r w:rsidRPr="00EC2BE3">
        <w:rPr>
          <w:rFonts w:ascii="Arial" w:hAnsi="Arial" w:cs="Arial"/>
        </w:rPr>
        <w:t xml:space="preserve">Acta </w:t>
      </w:r>
      <w:r w:rsidR="005F11CC" w:rsidRPr="00EC2BE3">
        <w:rPr>
          <w:rFonts w:ascii="Arial" w:hAnsi="Arial" w:cs="Arial"/>
        </w:rPr>
        <w:t xml:space="preserve">de Sala de Discusión </w:t>
      </w:r>
      <w:r w:rsidRPr="00EC2BE3">
        <w:rPr>
          <w:rFonts w:ascii="Arial" w:hAnsi="Arial" w:cs="Arial"/>
        </w:rPr>
        <w:t>N°</w:t>
      </w:r>
      <w:r w:rsidR="005F1713" w:rsidRPr="00EC2BE3">
        <w:rPr>
          <w:rFonts w:ascii="Arial" w:hAnsi="Arial" w:cs="Arial"/>
        </w:rPr>
        <w:t xml:space="preserve"> </w:t>
      </w:r>
      <w:r w:rsidR="26234E81" w:rsidRPr="00EC2BE3">
        <w:rPr>
          <w:rFonts w:ascii="Arial" w:hAnsi="Arial" w:cs="Arial"/>
        </w:rPr>
        <w:t>089</w:t>
      </w:r>
      <w:r w:rsidR="005F1713" w:rsidRPr="00EC2BE3">
        <w:rPr>
          <w:rFonts w:ascii="Arial" w:hAnsi="Arial" w:cs="Arial"/>
        </w:rPr>
        <w:t xml:space="preserve"> </w:t>
      </w:r>
      <w:r w:rsidR="0090265B" w:rsidRPr="00EC2BE3">
        <w:rPr>
          <w:rFonts w:ascii="Arial" w:hAnsi="Arial" w:cs="Arial"/>
        </w:rPr>
        <w:t xml:space="preserve">de </w:t>
      </w:r>
      <w:r w:rsidR="4A238F8B" w:rsidRPr="00EC2BE3">
        <w:rPr>
          <w:rFonts w:ascii="Arial" w:hAnsi="Arial" w:cs="Arial"/>
        </w:rPr>
        <w:t>8</w:t>
      </w:r>
      <w:r w:rsidR="00A56C4F" w:rsidRPr="00EC2BE3">
        <w:rPr>
          <w:rFonts w:ascii="Arial" w:hAnsi="Arial" w:cs="Arial"/>
        </w:rPr>
        <w:t xml:space="preserve"> de agosto de 2023</w:t>
      </w:r>
    </w:p>
    <w:p w14:paraId="5DAB6C7B" w14:textId="0B12396E" w:rsidR="0090265B" w:rsidRDefault="0090265B" w:rsidP="00EC2BE3">
      <w:pPr>
        <w:spacing w:line="276" w:lineRule="auto"/>
        <w:jc w:val="both"/>
        <w:rPr>
          <w:rFonts w:ascii="Arial" w:hAnsi="Arial" w:cs="Arial"/>
        </w:rPr>
      </w:pPr>
    </w:p>
    <w:p w14:paraId="5531EC27" w14:textId="77777777" w:rsidR="000D4458" w:rsidRPr="00EC2BE3" w:rsidRDefault="000D4458" w:rsidP="00EC2BE3">
      <w:pPr>
        <w:spacing w:line="276" w:lineRule="auto"/>
        <w:jc w:val="both"/>
        <w:rPr>
          <w:rFonts w:ascii="Arial" w:hAnsi="Arial" w:cs="Arial"/>
        </w:rPr>
      </w:pPr>
    </w:p>
    <w:p w14:paraId="4BAE239F" w14:textId="4EE1E6F7" w:rsidR="00230D87" w:rsidRPr="00EC2BE3" w:rsidRDefault="0090265B" w:rsidP="00EC2BE3">
      <w:pPr>
        <w:pStyle w:val="Textoindependiente"/>
        <w:spacing w:line="276" w:lineRule="auto"/>
        <w:rPr>
          <w:rFonts w:cs="Arial"/>
          <w:sz w:val="24"/>
          <w:szCs w:val="24"/>
        </w:rPr>
      </w:pPr>
      <w:r w:rsidRPr="00EC2BE3">
        <w:rPr>
          <w:rFonts w:cs="Arial"/>
          <w:sz w:val="24"/>
          <w:szCs w:val="24"/>
        </w:rPr>
        <w:t xml:space="preserve">Procede la Sala </w:t>
      </w:r>
      <w:r w:rsidR="00CF51AC" w:rsidRPr="00EC2BE3">
        <w:rPr>
          <w:rFonts w:cs="Arial"/>
          <w:sz w:val="24"/>
          <w:szCs w:val="24"/>
        </w:rPr>
        <w:t xml:space="preserve">de Decisión Laboral </w:t>
      </w:r>
      <w:r w:rsidRPr="00EC2BE3">
        <w:rPr>
          <w:rFonts w:cs="Arial"/>
          <w:sz w:val="24"/>
          <w:szCs w:val="24"/>
        </w:rPr>
        <w:t xml:space="preserve">del Tribunal Superior de Pereira a resolver la impugnación presentada </w:t>
      </w:r>
      <w:r w:rsidR="000E646B" w:rsidRPr="00EC2BE3">
        <w:rPr>
          <w:rFonts w:cs="Arial"/>
          <w:sz w:val="24"/>
          <w:szCs w:val="24"/>
        </w:rPr>
        <w:t>por</w:t>
      </w:r>
      <w:r w:rsidR="00A56C4F" w:rsidRPr="00EC2BE3">
        <w:rPr>
          <w:rFonts w:cs="Arial"/>
          <w:sz w:val="24"/>
          <w:szCs w:val="24"/>
        </w:rPr>
        <w:t xml:space="preserve"> la Nueva </w:t>
      </w:r>
      <w:proofErr w:type="spellStart"/>
      <w:r w:rsidR="00A56C4F" w:rsidRPr="00EC2BE3">
        <w:rPr>
          <w:rFonts w:cs="Arial"/>
          <w:sz w:val="24"/>
          <w:szCs w:val="24"/>
        </w:rPr>
        <w:t>EPS</w:t>
      </w:r>
      <w:proofErr w:type="spellEnd"/>
      <w:r w:rsidR="00A56C4F" w:rsidRPr="00EC2BE3">
        <w:rPr>
          <w:rFonts w:cs="Arial"/>
          <w:sz w:val="24"/>
          <w:szCs w:val="24"/>
        </w:rPr>
        <w:t xml:space="preserve"> S.A.</w:t>
      </w:r>
      <w:r w:rsidR="00BF147B" w:rsidRPr="00EC2BE3">
        <w:rPr>
          <w:rFonts w:cs="Arial"/>
          <w:b/>
          <w:bCs/>
          <w:sz w:val="24"/>
          <w:szCs w:val="24"/>
        </w:rPr>
        <w:t>,</w:t>
      </w:r>
      <w:r w:rsidR="00BF147B" w:rsidRPr="00EC2BE3">
        <w:rPr>
          <w:rFonts w:cs="Arial"/>
          <w:sz w:val="24"/>
          <w:szCs w:val="24"/>
        </w:rPr>
        <w:t xml:space="preserve"> contra la sentencia </w:t>
      </w:r>
      <w:r w:rsidRPr="00EC2BE3">
        <w:rPr>
          <w:rFonts w:cs="Arial"/>
          <w:sz w:val="24"/>
          <w:szCs w:val="24"/>
        </w:rPr>
        <w:t xml:space="preserve">proferida por el Juzgado </w:t>
      </w:r>
      <w:r w:rsidR="002A0B56" w:rsidRPr="00EC2BE3">
        <w:rPr>
          <w:rFonts w:cs="Arial"/>
          <w:sz w:val="24"/>
          <w:szCs w:val="24"/>
        </w:rPr>
        <w:t>Cuarto</w:t>
      </w:r>
      <w:r w:rsidR="00783128" w:rsidRPr="00EC2BE3">
        <w:rPr>
          <w:rFonts w:cs="Arial"/>
          <w:sz w:val="24"/>
          <w:szCs w:val="24"/>
        </w:rPr>
        <w:t xml:space="preserve"> </w:t>
      </w:r>
      <w:r w:rsidRPr="00EC2BE3">
        <w:rPr>
          <w:rFonts w:cs="Arial"/>
          <w:sz w:val="24"/>
          <w:szCs w:val="24"/>
        </w:rPr>
        <w:t>Laboral del Circuito de Pereira</w:t>
      </w:r>
      <w:r w:rsidR="00BF147B" w:rsidRPr="00EC2BE3">
        <w:rPr>
          <w:rFonts w:cs="Arial"/>
          <w:sz w:val="24"/>
          <w:szCs w:val="24"/>
        </w:rPr>
        <w:t xml:space="preserve"> el día </w:t>
      </w:r>
      <w:r w:rsidR="009C1F32" w:rsidRPr="00EC2BE3">
        <w:rPr>
          <w:rFonts w:cs="Arial"/>
          <w:sz w:val="24"/>
          <w:szCs w:val="24"/>
        </w:rPr>
        <w:t>28 de junio de 2023</w:t>
      </w:r>
      <w:r w:rsidR="00BF147B" w:rsidRPr="00EC2BE3">
        <w:rPr>
          <w:rFonts w:cs="Arial"/>
          <w:sz w:val="24"/>
          <w:szCs w:val="24"/>
        </w:rPr>
        <w:t xml:space="preserve">, dentro del trámite de la </w:t>
      </w:r>
      <w:r w:rsidR="00FB0359" w:rsidRPr="00FB0359">
        <w:rPr>
          <w:rFonts w:cs="Arial"/>
          <w:b/>
          <w:sz w:val="24"/>
          <w:szCs w:val="24"/>
        </w:rPr>
        <w:t>acción de tutela</w:t>
      </w:r>
      <w:r w:rsidR="00FB0359" w:rsidRPr="00EC2BE3">
        <w:rPr>
          <w:rFonts w:cs="Arial"/>
          <w:sz w:val="24"/>
          <w:szCs w:val="24"/>
        </w:rPr>
        <w:t xml:space="preserve"> </w:t>
      </w:r>
      <w:r w:rsidR="00157AEE" w:rsidRPr="00EC2BE3">
        <w:rPr>
          <w:rFonts w:cs="Arial"/>
          <w:sz w:val="24"/>
          <w:szCs w:val="24"/>
        </w:rPr>
        <w:t xml:space="preserve">que </w:t>
      </w:r>
      <w:r w:rsidR="00230D87" w:rsidRPr="00EC2BE3">
        <w:rPr>
          <w:rFonts w:cs="Arial"/>
          <w:sz w:val="24"/>
          <w:szCs w:val="24"/>
        </w:rPr>
        <w:t xml:space="preserve">le promueve </w:t>
      </w:r>
      <w:r w:rsidR="00FB0359" w:rsidRPr="00EC2BE3">
        <w:rPr>
          <w:rFonts w:cs="Arial"/>
          <w:b/>
          <w:bCs/>
          <w:sz w:val="24"/>
          <w:szCs w:val="24"/>
        </w:rPr>
        <w:t>Clara Rosa Restrepo Gómez</w:t>
      </w:r>
      <w:r w:rsidR="00135F5B" w:rsidRPr="00FB0359">
        <w:rPr>
          <w:rFonts w:cs="Arial"/>
          <w:bCs/>
          <w:sz w:val="24"/>
          <w:szCs w:val="24"/>
        </w:rPr>
        <w:t xml:space="preserve">, </w:t>
      </w:r>
      <w:r w:rsidR="009C1F32" w:rsidRPr="00EC2BE3">
        <w:rPr>
          <w:rFonts w:cs="Arial"/>
          <w:sz w:val="24"/>
          <w:szCs w:val="24"/>
        </w:rPr>
        <w:t xml:space="preserve">al que fue vinculada </w:t>
      </w:r>
      <w:r w:rsidR="00FB0359" w:rsidRPr="00EC2BE3">
        <w:rPr>
          <w:rFonts w:cs="Arial"/>
          <w:b/>
          <w:bCs/>
          <w:sz w:val="24"/>
          <w:szCs w:val="24"/>
        </w:rPr>
        <w:t>Colpensiones</w:t>
      </w:r>
      <w:r w:rsidR="009C1F32" w:rsidRPr="00EC2BE3">
        <w:rPr>
          <w:rFonts w:cs="Arial"/>
          <w:b/>
          <w:bCs/>
          <w:sz w:val="24"/>
          <w:szCs w:val="24"/>
        </w:rPr>
        <w:t xml:space="preserve">, </w:t>
      </w:r>
      <w:r w:rsidR="009C1F32" w:rsidRPr="00EC2BE3">
        <w:rPr>
          <w:rFonts w:cs="Arial"/>
          <w:sz w:val="24"/>
          <w:szCs w:val="24"/>
        </w:rPr>
        <w:t xml:space="preserve">la </w:t>
      </w:r>
      <w:r w:rsidR="00FB0359" w:rsidRPr="00EC2BE3">
        <w:rPr>
          <w:rFonts w:cs="Arial"/>
          <w:b/>
          <w:bCs/>
          <w:sz w:val="24"/>
          <w:szCs w:val="24"/>
        </w:rPr>
        <w:t xml:space="preserve">Administradora de los recursos del Sistema General de Seguridad Social en Salud </w:t>
      </w:r>
      <w:r w:rsidR="009C1F32" w:rsidRPr="00EC2BE3">
        <w:rPr>
          <w:rFonts w:cs="Arial"/>
          <w:b/>
          <w:bCs/>
          <w:sz w:val="24"/>
          <w:szCs w:val="24"/>
        </w:rPr>
        <w:t>(ADRES)</w:t>
      </w:r>
      <w:r w:rsidR="009C1F32" w:rsidRPr="00EC2BE3">
        <w:rPr>
          <w:rFonts w:cs="Arial"/>
          <w:sz w:val="24"/>
          <w:szCs w:val="24"/>
        </w:rPr>
        <w:t xml:space="preserve"> y </w:t>
      </w:r>
      <w:r w:rsidR="00FB0359" w:rsidRPr="00EC2BE3">
        <w:rPr>
          <w:rFonts w:cs="Arial"/>
          <w:b/>
          <w:bCs/>
          <w:sz w:val="24"/>
          <w:szCs w:val="24"/>
        </w:rPr>
        <w:t xml:space="preserve">Coomeva </w:t>
      </w:r>
      <w:proofErr w:type="spellStart"/>
      <w:r w:rsidR="009C1F32" w:rsidRPr="00EC2BE3">
        <w:rPr>
          <w:rFonts w:cs="Arial"/>
          <w:b/>
          <w:bCs/>
          <w:sz w:val="24"/>
          <w:szCs w:val="24"/>
        </w:rPr>
        <w:t>EPS</w:t>
      </w:r>
      <w:proofErr w:type="spellEnd"/>
      <w:r w:rsidR="009C1F32" w:rsidRPr="00EC2BE3">
        <w:rPr>
          <w:rFonts w:cs="Arial"/>
          <w:b/>
          <w:bCs/>
          <w:sz w:val="24"/>
          <w:szCs w:val="24"/>
        </w:rPr>
        <w:t xml:space="preserve"> </w:t>
      </w:r>
      <w:r w:rsidR="00FB0359" w:rsidRPr="00EC2BE3">
        <w:rPr>
          <w:rFonts w:cs="Arial"/>
          <w:b/>
          <w:bCs/>
          <w:sz w:val="24"/>
          <w:szCs w:val="24"/>
        </w:rPr>
        <w:t>en Liquidación</w:t>
      </w:r>
      <w:r w:rsidR="009C1F32" w:rsidRPr="00EC2BE3">
        <w:rPr>
          <w:rFonts w:cs="Arial"/>
          <w:sz w:val="24"/>
          <w:szCs w:val="24"/>
        </w:rPr>
        <w:t>.</w:t>
      </w:r>
    </w:p>
    <w:p w14:paraId="02EB378F" w14:textId="77777777" w:rsidR="00230D87" w:rsidRPr="00EC2BE3" w:rsidRDefault="00230D87" w:rsidP="00EC2BE3">
      <w:pPr>
        <w:pStyle w:val="Textoindependiente"/>
        <w:spacing w:line="276" w:lineRule="auto"/>
        <w:rPr>
          <w:rFonts w:cs="Arial"/>
          <w:sz w:val="24"/>
          <w:szCs w:val="24"/>
        </w:rPr>
      </w:pPr>
    </w:p>
    <w:p w14:paraId="0F10BAA5" w14:textId="77777777" w:rsidR="0090265B" w:rsidRPr="00EC2BE3" w:rsidRDefault="0090265B" w:rsidP="00EC2BE3">
      <w:pPr>
        <w:pStyle w:val="Ttulo2"/>
        <w:spacing w:line="276" w:lineRule="auto"/>
        <w:jc w:val="center"/>
        <w:rPr>
          <w:rFonts w:cs="Arial"/>
          <w:szCs w:val="24"/>
        </w:rPr>
      </w:pPr>
      <w:r w:rsidRPr="00EC2BE3">
        <w:rPr>
          <w:rFonts w:cs="Arial"/>
          <w:szCs w:val="24"/>
        </w:rPr>
        <w:t>ANTECEDENTES</w:t>
      </w:r>
    </w:p>
    <w:p w14:paraId="6A05A809" w14:textId="77777777" w:rsidR="0090265B" w:rsidRPr="00EC2BE3" w:rsidRDefault="0090265B" w:rsidP="00EC2BE3">
      <w:pPr>
        <w:spacing w:line="276" w:lineRule="auto"/>
        <w:jc w:val="both"/>
        <w:rPr>
          <w:rFonts w:ascii="Arial" w:hAnsi="Arial" w:cs="Arial"/>
        </w:rPr>
      </w:pPr>
    </w:p>
    <w:p w14:paraId="330633FA" w14:textId="50F06A6E" w:rsidR="00567625" w:rsidRPr="00EC2BE3" w:rsidRDefault="00B67C7C" w:rsidP="00EC2BE3">
      <w:pPr>
        <w:spacing w:line="276" w:lineRule="auto"/>
        <w:jc w:val="both"/>
        <w:rPr>
          <w:rFonts w:ascii="Arial" w:hAnsi="Arial" w:cs="Arial"/>
        </w:rPr>
      </w:pPr>
      <w:r w:rsidRPr="00EC2BE3">
        <w:rPr>
          <w:rFonts w:ascii="Arial" w:hAnsi="Arial" w:cs="Arial"/>
        </w:rPr>
        <w:lastRenderedPageBreak/>
        <w:t>Informa</w:t>
      </w:r>
      <w:r w:rsidR="00567625" w:rsidRPr="00EC2BE3">
        <w:rPr>
          <w:rFonts w:ascii="Arial" w:hAnsi="Arial" w:cs="Arial"/>
        </w:rPr>
        <w:t xml:space="preserve"> </w:t>
      </w:r>
      <w:r w:rsidR="00375CCF" w:rsidRPr="00EC2BE3">
        <w:rPr>
          <w:rFonts w:ascii="Arial" w:hAnsi="Arial" w:cs="Arial"/>
        </w:rPr>
        <w:t>la señora Clara Rosa Restrepo Gómez que debido a varias patología</w:t>
      </w:r>
      <w:r w:rsidR="009C1F32" w:rsidRPr="00EC2BE3">
        <w:rPr>
          <w:rFonts w:ascii="Arial" w:hAnsi="Arial" w:cs="Arial"/>
        </w:rPr>
        <w:t>s</w:t>
      </w:r>
      <w:r w:rsidR="00375CCF" w:rsidRPr="00EC2BE3">
        <w:rPr>
          <w:rFonts w:ascii="Arial" w:hAnsi="Arial" w:cs="Arial"/>
        </w:rPr>
        <w:t xml:space="preserve"> que la aquejan viene siendo incapacitada desde el 26 de mayo de 2021; que inicialmente </w:t>
      </w:r>
      <w:r w:rsidR="00E44BAB" w:rsidRPr="00EC2BE3">
        <w:rPr>
          <w:rFonts w:ascii="Arial" w:hAnsi="Arial" w:cs="Arial"/>
        </w:rPr>
        <w:t xml:space="preserve">estuvo afiliada a Coomeva </w:t>
      </w:r>
      <w:proofErr w:type="spellStart"/>
      <w:r w:rsidR="00E44BAB" w:rsidRPr="00EC2BE3">
        <w:rPr>
          <w:rFonts w:ascii="Arial" w:hAnsi="Arial" w:cs="Arial"/>
        </w:rPr>
        <w:t>EPS</w:t>
      </w:r>
      <w:proofErr w:type="spellEnd"/>
      <w:r w:rsidR="008C28A9" w:rsidRPr="00EC2BE3">
        <w:rPr>
          <w:rFonts w:ascii="Arial" w:hAnsi="Arial" w:cs="Arial"/>
        </w:rPr>
        <w:t xml:space="preserve"> y </w:t>
      </w:r>
      <w:r w:rsidR="009C1F32" w:rsidRPr="00EC2BE3">
        <w:rPr>
          <w:rFonts w:ascii="Arial" w:hAnsi="Arial" w:cs="Arial"/>
        </w:rPr>
        <w:t xml:space="preserve">posteriormente, </w:t>
      </w:r>
      <w:r w:rsidR="008C28A9" w:rsidRPr="00EC2BE3">
        <w:rPr>
          <w:rFonts w:ascii="Arial" w:hAnsi="Arial" w:cs="Arial"/>
        </w:rPr>
        <w:t xml:space="preserve">ante la liquidación de esa entidad fue asignada a la Nueva </w:t>
      </w:r>
      <w:proofErr w:type="spellStart"/>
      <w:r w:rsidR="008C28A9" w:rsidRPr="00EC2BE3">
        <w:rPr>
          <w:rFonts w:ascii="Arial" w:hAnsi="Arial" w:cs="Arial"/>
        </w:rPr>
        <w:t>EPS</w:t>
      </w:r>
      <w:proofErr w:type="spellEnd"/>
      <w:r w:rsidR="008C28A9" w:rsidRPr="00EC2BE3">
        <w:rPr>
          <w:rFonts w:ascii="Arial" w:hAnsi="Arial" w:cs="Arial"/>
        </w:rPr>
        <w:t xml:space="preserve">; que la primera de las mencionas canceló incapacidades hasta </w:t>
      </w:r>
      <w:r w:rsidR="009C1F32" w:rsidRPr="00EC2BE3">
        <w:rPr>
          <w:rFonts w:ascii="Arial" w:hAnsi="Arial" w:cs="Arial"/>
        </w:rPr>
        <w:t>el 2 de enero de 2022, cuando alcanz</w:t>
      </w:r>
      <w:r w:rsidR="0F04E163" w:rsidRPr="00EC2BE3">
        <w:rPr>
          <w:rFonts w:ascii="Arial" w:hAnsi="Arial" w:cs="Arial"/>
        </w:rPr>
        <w:t>ó</w:t>
      </w:r>
      <w:r w:rsidR="009C1F32" w:rsidRPr="00EC2BE3">
        <w:rPr>
          <w:rFonts w:ascii="Arial" w:hAnsi="Arial" w:cs="Arial"/>
        </w:rPr>
        <w:t xml:space="preserve"> los 180 días de licencia por enfermedad</w:t>
      </w:r>
      <w:r w:rsidR="00C55323" w:rsidRPr="00EC2BE3">
        <w:rPr>
          <w:rFonts w:ascii="Arial" w:hAnsi="Arial" w:cs="Arial"/>
        </w:rPr>
        <w:t xml:space="preserve">; que de ahí en adelante, en virtud a la sentencia de tutela </w:t>
      </w:r>
      <w:r w:rsidR="009C1F32" w:rsidRPr="00EC2BE3">
        <w:rPr>
          <w:rFonts w:ascii="Arial" w:hAnsi="Arial" w:cs="Arial"/>
        </w:rPr>
        <w:t xml:space="preserve">proferida por </w:t>
      </w:r>
      <w:r w:rsidR="00C55323" w:rsidRPr="00EC2BE3">
        <w:rPr>
          <w:rFonts w:ascii="Arial" w:hAnsi="Arial" w:cs="Arial"/>
        </w:rPr>
        <w:t>el Juzgado Segundo Laboral del Circuito</w:t>
      </w:r>
      <w:r w:rsidR="001F551D" w:rsidRPr="00EC2BE3">
        <w:rPr>
          <w:rFonts w:ascii="Arial" w:hAnsi="Arial" w:cs="Arial"/>
        </w:rPr>
        <w:t xml:space="preserve"> de Pereira, Colpensiones canceló las incapacidades desde el día 181 hasta el 540</w:t>
      </w:r>
      <w:r w:rsidR="00FB4B19" w:rsidRPr="00EC2BE3">
        <w:rPr>
          <w:rFonts w:ascii="Arial" w:hAnsi="Arial" w:cs="Arial"/>
        </w:rPr>
        <w:t xml:space="preserve">, los cuales fueron cumplidos el 15 de enero de 2023; que a partir de allí la Nueva </w:t>
      </w:r>
      <w:proofErr w:type="spellStart"/>
      <w:r w:rsidR="00FB4B19" w:rsidRPr="00EC2BE3">
        <w:rPr>
          <w:rFonts w:ascii="Arial" w:hAnsi="Arial" w:cs="Arial"/>
        </w:rPr>
        <w:t>EPS</w:t>
      </w:r>
      <w:proofErr w:type="spellEnd"/>
      <w:r w:rsidR="00FB4B19" w:rsidRPr="00EC2BE3">
        <w:rPr>
          <w:rFonts w:ascii="Arial" w:hAnsi="Arial" w:cs="Arial"/>
        </w:rPr>
        <w:t xml:space="preserve"> no ha cancel</w:t>
      </w:r>
      <w:r w:rsidR="00C67A77" w:rsidRPr="00EC2BE3">
        <w:rPr>
          <w:rFonts w:ascii="Arial" w:hAnsi="Arial" w:cs="Arial"/>
        </w:rPr>
        <w:t>ado</w:t>
      </w:r>
      <w:r w:rsidR="00FB4B19" w:rsidRPr="00EC2BE3">
        <w:rPr>
          <w:rFonts w:ascii="Arial" w:hAnsi="Arial" w:cs="Arial"/>
        </w:rPr>
        <w:t xml:space="preserve"> l</w:t>
      </w:r>
      <w:r w:rsidR="00C67A77" w:rsidRPr="00EC2BE3">
        <w:rPr>
          <w:rFonts w:ascii="Arial" w:hAnsi="Arial" w:cs="Arial"/>
        </w:rPr>
        <w:t>as incapacidades otorgadas con posterioridad, siéndole informado verbalmente que tal obligación está a cargo de Colpensiones.</w:t>
      </w:r>
    </w:p>
    <w:p w14:paraId="5A39BBE3" w14:textId="77777777" w:rsidR="00567625" w:rsidRPr="00EC2BE3" w:rsidRDefault="00567625" w:rsidP="00EC2BE3">
      <w:pPr>
        <w:spacing w:line="276" w:lineRule="auto"/>
        <w:jc w:val="both"/>
        <w:rPr>
          <w:rFonts w:ascii="Arial" w:hAnsi="Arial" w:cs="Arial"/>
        </w:rPr>
      </w:pPr>
    </w:p>
    <w:p w14:paraId="259A4D98" w14:textId="77777777" w:rsidR="00C67A77" w:rsidRPr="00EC2BE3" w:rsidRDefault="00C67A77" w:rsidP="00EC2BE3">
      <w:pPr>
        <w:spacing w:line="276" w:lineRule="auto"/>
        <w:jc w:val="both"/>
        <w:rPr>
          <w:rFonts w:ascii="Arial" w:hAnsi="Arial" w:cs="Arial"/>
        </w:rPr>
      </w:pPr>
      <w:r w:rsidRPr="00EC2BE3">
        <w:rPr>
          <w:rFonts w:ascii="Arial" w:hAnsi="Arial" w:cs="Arial"/>
        </w:rPr>
        <w:t>Cuenta también que el 24 de marzo del presente año fue calificada por Medicina Laboral de Colpensiones con una pérdida de capacidad laboral igual a 33.80%, dictamen contra el cual formuló inconformidades que están a la espera de ser resueltas por la Junta Regional de Calificación de Invalidez.</w:t>
      </w:r>
    </w:p>
    <w:p w14:paraId="41C8F396" w14:textId="77777777" w:rsidR="00C67A77" w:rsidRPr="00EC2BE3" w:rsidRDefault="00C67A77" w:rsidP="00EC2BE3">
      <w:pPr>
        <w:spacing w:line="276" w:lineRule="auto"/>
        <w:jc w:val="both"/>
        <w:rPr>
          <w:rFonts w:ascii="Arial" w:hAnsi="Arial" w:cs="Arial"/>
        </w:rPr>
      </w:pPr>
    </w:p>
    <w:p w14:paraId="36B84AE7" w14:textId="71355DE5" w:rsidR="00363455" w:rsidRPr="00EC2BE3" w:rsidRDefault="003866B8" w:rsidP="00EC2BE3">
      <w:pPr>
        <w:spacing w:line="276" w:lineRule="auto"/>
        <w:jc w:val="both"/>
        <w:rPr>
          <w:rFonts w:ascii="Arial" w:hAnsi="Arial" w:cs="Arial"/>
        </w:rPr>
      </w:pPr>
      <w:r w:rsidRPr="00EC2BE3">
        <w:rPr>
          <w:rFonts w:ascii="Arial" w:hAnsi="Arial" w:cs="Arial"/>
        </w:rPr>
        <w:t>Refiere que</w:t>
      </w:r>
      <w:r w:rsidR="00575231" w:rsidRPr="00EC2BE3">
        <w:rPr>
          <w:rFonts w:ascii="Arial" w:hAnsi="Arial" w:cs="Arial"/>
        </w:rPr>
        <w:t xml:space="preserve"> su situación económica </w:t>
      </w:r>
      <w:r w:rsidR="00C67A77" w:rsidRPr="00EC2BE3">
        <w:rPr>
          <w:rFonts w:ascii="Arial" w:hAnsi="Arial" w:cs="Arial"/>
        </w:rPr>
        <w:t xml:space="preserve">y de salud son delicadas; que requiere del pago de las incapacidades para </w:t>
      </w:r>
      <w:r w:rsidR="00363455" w:rsidRPr="00EC2BE3">
        <w:rPr>
          <w:rFonts w:ascii="Arial" w:hAnsi="Arial" w:cs="Arial"/>
        </w:rPr>
        <w:t xml:space="preserve">solventar sus necesidades, encontrándose en la actualidad, debido a la omisión de la Nueva </w:t>
      </w:r>
      <w:proofErr w:type="spellStart"/>
      <w:r w:rsidR="00363455" w:rsidRPr="00EC2BE3">
        <w:rPr>
          <w:rFonts w:ascii="Arial" w:hAnsi="Arial" w:cs="Arial"/>
        </w:rPr>
        <w:t>EPS</w:t>
      </w:r>
      <w:proofErr w:type="spellEnd"/>
      <w:r w:rsidR="00363455" w:rsidRPr="00EC2BE3">
        <w:rPr>
          <w:rFonts w:ascii="Arial" w:hAnsi="Arial" w:cs="Arial"/>
        </w:rPr>
        <w:t>, en mora de cancelar arriendo y servicios públicos</w:t>
      </w:r>
      <w:r w:rsidR="4F349437" w:rsidRPr="00EC2BE3">
        <w:rPr>
          <w:rFonts w:ascii="Arial" w:hAnsi="Arial" w:cs="Arial"/>
        </w:rPr>
        <w:t>,</w:t>
      </w:r>
      <w:r w:rsidR="00363455" w:rsidRPr="00EC2BE3">
        <w:rPr>
          <w:rFonts w:ascii="Arial" w:hAnsi="Arial" w:cs="Arial"/>
        </w:rPr>
        <w:t xml:space="preserve"> al paso que los productos de la canasta familiar escasean, </w:t>
      </w:r>
      <w:r w:rsidR="009C1F32" w:rsidRPr="00EC2BE3">
        <w:rPr>
          <w:rFonts w:ascii="Arial" w:hAnsi="Arial" w:cs="Arial"/>
        </w:rPr>
        <w:t>situación que considera</w:t>
      </w:r>
      <w:r w:rsidR="00363455" w:rsidRPr="00EC2BE3">
        <w:rPr>
          <w:rFonts w:ascii="Arial" w:hAnsi="Arial" w:cs="Arial"/>
        </w:rPr>
        <w:t xml:space="preserve"> </w:t>
      </w:r>
      <w:proofErr w:type="spellStart"/>
      <w:r w:rsidR="00363455" w:rsidRPr="00EC2BE3">
        <w:rPr>
          <w:rFonts w:ascii="Arial" w:hAnsi="Arial" w:cs="Arial"/>
        </w:rPr>
        <w:t>vulneratori</w:t>
      </w:r>
      <w:r w:rsidR="009C1F32" w:rsidRPr="00EC2BE3">
        <w:rPr>
          <w:rFonts w:ascii="Arial" w:hAnsi="Arial" w:cs="Arial"/>
        </w:rPr>
        <w:t>a</w:t>
      </w:r>
      <w:proofErr w:type="spellEnd"/>
      <w:r w:rsidR="00363455" w:rsidRPr="00EC2BE3">
        <w:rPr>
          <w:rFonts w:ascii="Arial" w:hAnsi="Arial" w:cs="Arial"/>
        </w:rPr>
        <w:t xml:space="preserve"> de los derechos fundamentales al mínimo vital, seguridad social, dignidad humana e igual</w:t>
      </w:r>
      <w:r w:rsidR="009C1F32" w:rsidRPr="00EC2BE3">
        <w:rPr>
          <w:rFonts w:ascii="Arial" w:hAnsi="Arial" w:cs="Arial"/>
        </w:rPr>
        <w:t>dad</w:t>
      </w:r>
      <w:r w:rsidR="4E3237D8" w:rsidRPr="00EC2BE3">
        <w:rPr>
          <w:rFonts w:ascii="Arial" w:hAnsi="Arial" w:cs="Arial"/>
        </w:rPr>
        <w:t>,</w:t>
      </w:r>
      <w:r w:rsidR="009C1F32" w:rsidRPr="00EC2BE3">
        <w:rPr>
          <w:rFonts w:ascii="Arial" w:hAnsi="Arial" w:cs="Arial"/>
        </w:rPr>
        <w:t xml:space="preserve"> de los cuales es titular</w:t>
      </w:r>
      <w:r w:rsidR="00363455" w:rsidRPr="00EC2BE3">
        <w:rPr>
          <w:rFonts w:ascii="Arial" w:hAnsi="Arial" w:cs="Arial"/>
        </w:rPr>
        <w:t>.</w:t>
      </w:r>
    </w:p>
    <w:p w14:paraId="72A3D3EC" w14:textId="77777777" w:rsidR="00363455" w:rsidRPr="00EC2BE3" w:rsidRDefault="00363455" w:rsidP="00EC2BE3">
      <w:pPr>
        <w:spacing w:line="276" w:lineRule="auto"/>
        <w:jc w:val="both"/>
        <w:rPr>
          <w:rFonts w:ascii="Arial" w:hAnsi="Arial" w:cs="Arial"/>
        </w:rPr>
      </w:pPr>
    </w:p>
    <w:p w14:paraId="753EFC9E" w14:textId="1D318CEC" w:rsidR="00363455" w:rsidRPr="00EC2BE3" w:rsidRDefault="00363455" w:rsidP="00EC2BE3">
      <w:pPr>
        <w:spacing w:line="276" w:lineRule="auto"/>
        <w:jc w:val="both"/>
        <w:rPr>
          <w:rFonts w:ascii="Arial" w:hAnsi="Arial" w:cs="Arial"/>
        </w:rPr>
      </w:pPr>
      <w:r w:rsidRPr="00EC2BE3">
        <w:rPr>
          <w:rFonts w:ascii="Arial" w:hAnsi="Arial" w:cs="Arial"/>
        </w:rPr>
        <w:t xml:space="preserve">Señala que </w:t>
      </w:r>
      <w:r w:rsidR="009C1F32" w:rsidRPr="00EC2BE3">
        <w:rPr>
          <w:rFonts w:ascii="Arial" w:hAnsi="Arial" w:cs="Arial"/>
        </w:rPr>
        <w:t>los hechos narrados</w:t>
      </w:r>
      <w:r w:rsidRPr="00EC2BE3">
        <w:rPr>
          <w:rFonts w:ascii="Arial" w:hAnsi="Arial" w:cs="Arial"/>
        </w:rPr>
        <w:t xml:space="preserve"> la llev</w:t>
      </w:r>
      <w:r w:rsidR="009C1F32" w:rsidRPr="00EC2BE3">
        <w:rPr>
          <w:rFonts w:ascii="Arial" w:hAnsi="Arial" w:cs="Arial"/>
        </w:rPr>
        <w:t>aron</w:t>
      </w:r>
      <w:r w:rsidRPr="00EC2BE3">
        <w:rPr>
          <w:rFonts w:ascii="Arial" w:hAnsi="Arial" w:cs="Arial"/>
        </w:rPr>
        <w:t xml:space="preserve"> a formular la presente acción de tutela con el fin que sean amparadas las garantías fundamentales antes señalad</w:t>
      </w:r>
      <w:r w:rsidR="009C1F32" w:rsidRPr="00EC2BE3">
        <w:rPr>
          <w:rFonts w:ascii="Arial" w:hAnsi="Arial" w:cs="Arial"/>
        </w:rPr>
        <w:t>a</w:t>
      </w:r>
      <w:r w:rsidRPr="00EC2BE3">
        <w:rPr>
          <w:rFonts w:ascii="Arial" w:hAnsi="Arial" w:cs="Arial"/>
        </w:rPr>
        <w:t>s, l</w:t>
      </w:r>
      <w:r w:rsidR="009C1F32" w:rsidRPr="00EC2BE3">
        <w:rPr>
          <w:rFonts w:ascii="Arial" w:hAnsi="Arial" w:cs="Arial"/>
        </w:rPr>
        <w:t>a</w:t>
      </w:r>
      <w:r w:rsidRPr="00EC2BE3">
        <w:rPr>
          <w:rFonts w:ascii="Arial" w:hAnsi="Arial" w:cs="Arial"/>
        </w:rPr>
        <w:t xml:space="preserve">s cuales estima </w:t>
      </w:r>
      <w:r w:rsidR="0772E305" w:rsidRPr="00EC2BE3">
        <w:rPr>
          <w:rFonts w:ascii="Arial" w:hAnsi="Arial" w:cs="Arial"/>
        </w:rPr>
        <w:t>que sean restablecidas</w:t>
      </w:r>
      <w:r w:rsidRPr="00EC2BE3">
        <w:rPr>
          <w:rFonts w:ascii="Arial" w:hAnsi="Arial" w:cs="Arial"/>
        </w:rPr>
        <w:t xml:space="preserve"> en la medida que se ordene</w:t>
      </w:r>
      <w:r w:rsidR="00CE1D27" w:rsidRPr="00EC2BE3">
        <w:rPr>
          <w:rFonts w:ascii="Arial" w:hAnsi="Arial" w:cs="Arial"/>
        </w:rPr>
        <w:t xml:space="preserve"> a la Nueva </w:t>
      </w:r>
      <w:proofErr w:type="spellStart"/>
      <w:r w:rsidR="00CE1D27" w:rsidRPr="00EC2BE3">
        <w:rPr>
          <w:rFonts w:ascii="Arial" w:hAnsi="Arial" w:cs="Arial"/>
        </w:rPr>
        <w:t>EPS</w:t>
      </w:r>
      <w:proofErr w:type="spellEnd"/>
      <w:r w:rsidR="00CE1D27" w:rsidRPr="00EC2BE3">
        <w:rPr>
          <w:rFonts w:ascii="Arial" w:hAnsi="Arial" w:cs="Arial"/>
        </w:rPr>
        <w:t xml:space="preserve"> pagar las incapacidades médicas que se le adeudan, así como las que se sigan generado con posterioridad.</w:t>
      </w:r>
    </w:p>
    <w:p w14:paraId="0D0B940D" w14:textId="77777777" w:rsidR="000710FE" w:rsidRPr="00EC2BE3" w:rsidRDefault="000710FE" w:rsidP="00EC2BE3">
      <w:pPr>
        <w:pStyle w:val="Ttulo2"/>
        <w:spacing w:line="276" w:lineRule="auto"/>
        <w:jc w:val="center"/>
        <w:rPr>
          <w:rFonts w:cs="Arial"/>
          <w:szCs w:val="24"/>
          <w:lang w:val="es-ES"/>
        </w:rPr>
      </w:pPr>
    </w:p>
    <w:p w14:paraId="5CE58782" w14:textId="77777777" w:rsidR="0090265B" w:rsidRPr="00EC2BE3" w:rsidRDefault="0090265B" w:rsidP="00EC2BE3">
      <w:pPr>
        <w:pStyle w:val="Ttulo2"/>
        <w:spacing w:line="276" w:lineRule="auto"/>
        <w:jc w:val="center"/>
        <w:rPr>
          <w:rFonts w:cs="Arial"/>
          <w:szCs w:val="24"/>
        </w:rPr>
      </w:pPr>
      <w:r w:rsidRPr="00EC2BE3">
        <w:rPr>
          <w:rFonts w:cs="Arial"/>
          <w:szCs w:val="24"/>
        </w:rPr>
        <w:t>TRÁMITE IMPARTIDO</w:t>
      </w:r>
    </w:p>
    <w:p w14:paraId="0E27B00A" w14:textId="77777777" w:rsidR="0090265B" w:rsidRPr="00EC2BE3" w:rsidRDefault="0090265B" w:rsidP="00EC2BE3">
      <w:pPr>
        <w:spacing w:line="276" w:lineRule="auto"/>
        <w:rPr>
          <w:rFonts w:ascii="Arial" w:hAnsi="Arial" w:cs="Arial"/>
          <w:lang w:val="es-ES_tradnl"/>
        </w:rPr>
      </w:pPr>
    </w:p>
    <w:p w14:paraId="5D3C6CD3" w14:textId="6EE17A8B" w:rsidR="00A4697B" w:rsidRPr="00EC2BE3" w:rsidRDefault="0090265B" w:rsidP="00EC2BE3">
      <w:pPr>
        <w:spacing w:line="276" w:lineRule="auto"/>
        <w:jc w:val="both"/>
        <w:rPr>
          <w:rFonts w:ascii="Arial" w:hAnsi="Arial" w:cs="Arial"/>
        </w:rPr>
      </w:pPr>
      <w:r w:rsidRPr="00EC2BE3">
        <w:rPr>
          <w:rFonts w:ascii="Arial" w:hAnsi="Arial" w:cs="Arial"/>
        </w:rPr>
        <w:t xml:space="preserve">La acción de tutela </w:t>
      </w:r>
      <w:r w:rsidR="00AA31C0" w:rsidRPr="00EC2BE3">
        <w:rPr>
          <w:rFonts w:ascii="Arial" w:hAnsi="Arial" w:cs="Arial"/>
        </w:rPr>
        <w:t>fue admitida por</w:t>
      </w:r>
      <w:r w:rsidR="00A4697B" w:rsidRPr="00EC2BE3">
        <w:rPr>
          <w:rFonts w:ascii="Arial" w:hAnsi="Arial" w:cs="Arial"/>
        </w:rPr>
        <w:t xml:space="preserve"> al Juzgado </w:t>
      </w:r>
      <w:r w:rsidR="00575231" w:rsidRPr="00EC2BE3">
        <w:rPr>
          <w:rFonts w:ascii="Arial" w:hAnsi="Arial" w:cs="Arial"/>
        </w:rPr>
        <w:t xml:space="preserve">Cuarto </w:t>
      </w:r>
      <w:r w:rsidRPr="00EC2BE3">
        <w:rPr>
          <w:rFonts w:ascii="Arial" w:hAnsi="Arial" w:cs="Arial"/>
        </w:rPr>
        <w:t>Labo</w:t>
      </w:r>
      <w:r w:rsidR="00A4697B" w:rsidRPr="00EC2BE3">
        <w:rPr>
          <w:rFonts w:ascii="Arial" w:hAnsi="Arial" w:cs="Arial"/>
        </w:rPr>
        <w:t>ral del Circuito de esta ciudad</w:t>
      </w:r>
      <w:r w:rsidR="00AA31C0" w:rsidRPr="00EC2BE3">
        <w:rPr>
          <w:rFonts w:ascii="Arial" w:hAnsi="Arial" w:cs="Arial"/>
        </w:rPr>
        <w:t xml:space="preserve"> por auto de </w:t>
      </w:r>
      <w:r w:rsidR="00CE1D27" w:rsidRPr="00EC2BE3">
        <w:rPr>
          <w:rFonts w:ascii="Arial" w:hAnsi="Arial" w:cs="Arial"/>
        </w:rPr>
        <w:t>15 de junio de 2023</w:t>
      </w:r>
      <w:r w:rsidR="00AA31C0" w:rsidRPr="00EC2BE3">
        <w:rPr>
          <w:rFonts w:ascii="Arial" w:hAnsi="Arial" w:cs="Arial"/>
        </w:rPr>
        <w:t xml:space="preserve">, </w:t>
      </w:r>
      <w:r w:rsidR="00575231" w:rsidRPr="00EC2BE3">
        <w:rPr>
          <w:rFonts w:ascii="Arial" w:hAnsi="Arial" w:cs="Arial"/>
        </w:rPr>
        <w:t>concediendo a las accionada</w:t>
      </w:r>
      <w:r w:rsidR="00551986" w:rsidRPr="00EC2BE3">
        <w:rPr>
          <w:rFonts w:ascii="Arial" w:hAnsi="Arial" w:cs="Arial"/>
        </w:rPr>
        <w:t xml:space="preserve"> </w:t>
      </w:r>
      <w:r w:rsidR="001C5950" w:rsidRPr="00EC2BE3">
        <w:rPr>
          <w:rFonts w:ascii="Arial" w:hAnsi="Arial" w:cs="Arial"/>
        </w:rPr>
        <w:t xml:space="preserve">el </w:t>
      </w:r>
      <w:r w:rsidR="00AA31C0" w:rsidRPr="00EC2BE3">
        <w:rPr>
          <w:rFonts w:ascii="Arial" w:hAnsi="Arial" w:cs="Arial"/>
        </w:rPr>
        <w:t xml:space="preserve">término de </w:t>
      </w:r>
      <w:r w:rsidR="00551986" w:rsidRPr="00EC2BE3">
        <w:rPr>
          <w:rFonts w:ascii="Arial" w:hAnsi="Arial" w:cs="Arial"/>
        </w:rPr>
        <w:t>dos</w:t>
      </w:r>
      <w:r w:rsidR="00AA31C0" w:rsidRPr="00EC2BE3">
        <w:rPr>
          <w:rFonts w:ascii="Arial" w:hAnsi="Arial" w:cs="Arial"/>
        </w:rPr>
        <w:t xml:space="preserve"> (</w:t>
      </w:r>
      <w:r w:rsidR="00551986" w:rsidRPr="00EC2BE3">
        <w:rPr>
          <w:rFonts w:ascii="Arial" w:hAnsi="Arial" w:cs="Arial"/>
        </w:rPr>
        <w:t>2</w:t>
      </w:r>
      <w:r w:rsidR="00AA31C0" w:rsidRPr="00EC2BE3">
        <w:rPr>
          <w:rFonts w:ascii="Arial" w:hAnsi="Arial" w:cs="Arial"/>
        </w:rPr>
        <w:t xml:space="preserve">) días para </w:t>
      </w:r>
      <w:r w:rsidR="0D2F0EB5" w:rsidRPr="00EC2BE3">
        <w:rPr>
          <w:rFonts w:ascii="Arial" w:hAnsi="Arial" w:cs="Arial"/>
        </w:rPr>
        <w:t>el</w:t>
      </w:r>
      <w:r w:rsidR="00AA31C0" w:rsidRPr="00EC2BE3">
        <w:rPr>
          <w:rFonts w:ascii="Arial" w:hAnsi="Arial" w:cs="Arial"/>
        </w:rPr>
        <w:t xml:space="preserve"> ejerc</w:t>
      </w:r>
      <w:r w:rsidR="5CC319F8" w:rsidRPr="00EC2BE3">
        <w:rPr>
          <w:rFonts w:ascii="Arial" w:hAnsi="Arial" w:cs="Arial"/>
        </w:rPr>
        <w:t>icio de</w:t>
      </w:r>
      <w:r w:rsidR="00DC74FF" w:rsidRPr="00EC2BE3">
        <w:rPr>
          <w:rFonts w:ascii="Arial" w:hAnsi="Arial" w:cs="Arial"/>
        </w:rPr>
        <w:t xml:space="preserve"> su legítimo derecho de defensa</w:t>
      </w:r>
      <w:r w:rsidR="00575231" w:rsidRPr="00EC2BE3">
        <w:rPr>
          <w:rFonts w:ascii="Arial" w:hAnsi="Arial" w:cs="Arial"/>
        </w:rPr>
        <w:t xml:space="preserve">, lapso que también fue otorgado a la </w:t>
      </w:r>
      <w:r w:rsidR="00CE1D27" w:rsidRPr="00EC2BE3">
        <w:rPr>
          <w:rFonts w:ascii="Arial" w:hAnsi="Arial" w:cs="Arial"/>
        </w:rPr>
        <w:t>Administradora de los Recursos del Sistema General de Seguridad Social en Salud (Adres), a Colpensiones y a Coomeva en liquidación</w:t>
      </w:r>
      <w:r w:rsidR="00575231" w:rsidRPr="00EC2BE3">
        <w:rPr>
          <w:rFonts w:ascii="Arial" w:hAnsi="Arial" w:cs="Arial"/>
        </w:rPr>
        <w:t xml:space="preserve">, </w:t>
      </w:r>
      <w:r w:rsidR="00CE1D27" w:rsidRPr="00EC2BE3">
        <w:rPr>
          <w:rFonts w:ascii="Arial" w:hAnsi="Arial" w:cs="Arial"/>
        </w:rPr>
        <w:t xml:space="preserve">entidades que fueron vinculadas de </w:t>
      </w:r>
      <w:r w:rsidR="00575231" w:rsidRPr="00EC2BE3">
        <w:rPr>
          <w:rFonts w:ascii="Arial" w:hAnsi="Arial" w:cs="Arial"/>
        </w:rPr>
        <w:t>oficio al</w:t>
      </w:r>
      <w:r w:rsidR="009C1F32" w:rsidRPr="00EC2BE3">
        <w:rPr>
          <w:rFonts w:ascii="Arial" w:hAnsi="Arial" w:cs="Arial"/>
        </w:rPr>
        <w:t xml:space="preserve"> </w:t>
      </w:r>
      <w:r w:rsidR="00575231" w:rsidRPr="00EC2BE3">
        <w:rPr>
          <w:rFonts w:ascii="Arial" w:hAnsi="Arial" w:cs="Arial"/>
        </w:rPr>
        <w:t>trámite.</w:t>
      </w:r>
    </w:p>
    <w:p w14:paraId="60061E4C" w14:textId="77777777" w:rsidR="00CA0FA7" w:rsidRPr="00EC2BE3" w:rsidRDefault="00CA0FA7" w:rsidP="00EC2BE3">
      <w:pPr>
        <w:spacing w:line="276" w:lineRule="auto"/>
        <w:jc w:val="both"/>
        <w:rPr>
          <w:rFonts w:ascii="Arial" w:hAnsi="Arial" w:cs="Arial"/>
        </w:rPr>
      </w:pPr>
    </w:p>
    <w:p w14:paraId="5D23BECE" w14:textId="203EDCFD" w:rsidR="00B52223" w:rsidRPr="00EC2BE3" w:rsidRDefault="002B2039" w:rsidP="00EC2BE3">
      <w:pPr>
        <w:spacing w:line="276" w:lineRule="auto"/>
        <w:jc w:val="both"/>
        <w:rPr>
          <w:rFonts w:ascii="Arial" w:hAnsi="Arial" w:cs="Arial"/>
        </w:rPr>
      </w:pPr>
      <w:r w:rsidRPr="00EC2BE3">
        <w:rPr>
          <w:rFonts w:ascii="Arial" w:hAnsi="Arial" w:cs="Arial"/>
        </w:rPr>
        <w:t>La Administradora de los Recursos del Sistema General de Seguridad Social en Salud (Adres) luego de hacer referencia a su naturaleza jurídica</w:t>
      </w:r>
      <w:r w:rsidR="008E64DB" w:rsidRPr="00EC2BE3">
        <w:rPr>
          <w:rFonts w:ascii="Arial" w:hAnsi="Arial" w:cs="Arial"/>
        </w:rPr>
        <w:t xml:space="preserve"> y a los derechos que se denuncian como vulnerados, precisó que se presenta una falta de legitimación en la causa por pasiva en consideración a que no es la entidad responsable del agravio denunciado por la accionante, al paso que denuncia que esta no es la vía para lograr el pago de incapacidades médicas, ya que existe un medio ordinario de defensa judicial en el que se puede ventilar la controversia de carácter económico que acá se suscita.</w:t>
      </w:r>
    </w:p>
    <w:p w14:paraId="44EAFD9C" w14:textId="77777777" w:rsidR="00B52223" w:rsidRPr="00EC2BE3" w:rsidRDefault="00B52223" w:rsidP="00EC2BE3">
      <w:pPr>
        <w:spacing w:line="276" w:lineRule="auto"/>
        <w:jc w:val="both"/>
        <w:rPr>
          <w:rFonts w:ascii="Arial" w:hAnsi="Arial" w:cs="Arial"/>
        </w:rPr>
      </w:pPr>
    </w:p>
    <w:p w14:paraId="5145E897" w14:textId="48CCDDA2" w:rsidR="00B52223" w:rsidRPr="00EC2BE3" w:rsidRDefault="00B52223" w:rsidP="00EC2BE3">
      <w:pPr>
        <w:spacing w:line="276" w:lineRule="auto"/>
        <w:jc w:val="both"/>
        <w:rPr>
          <w:rFonts w:ascii="Arial" w:hAnsi="Arial" w:cs="Arial"/>
        </w:rPr>
      </w:pPr>
      <w:r w:rsidRPr="00EC2BE3">
        <w:rPr>
          <w:rFonts w:ascii="Arial" w:hAnsi="Arial" w:cs="Arial"/>
        </w:rPr>
        <w:lastRenderedPageBreak/>
        <w:t>Frente al reconocimiento y pago de incapacidades médicas, la entidad hizo una relación de las normas que regulan el asunto y las entidades o personas encargadas de su pago dependien</w:t>
      </w:r>
      <w:r w:rsidR="256A3ACF" w:rsidRPr="00EC2BE3">
        <w:rPr>
          <w:rFonts w:ascii="Arial" w:hAnsi="Arial" w:cs="Arial"/>
        </w:rPr>
        <w:t>do</w:t>
      </w:r>
      <w:r w:rsidRPr="00EC2BE3">
        <w:rPr>
          <w:rFonts w:ascii="Arial" w:hAnsi="Arial" w:cs="Arial"/>
        </w:rPr>
        <w:t xml:space="preserve"> del periodo en el que </w:t>
      </w:r>
      <w:r w:rsidR="6FC4BFB1" w:rsidRPr="00EC2BE3">
        <w:rPr>
          <w:rFonts w:ascii="Arial" w:hAnsi="Arial" w:cs="Arial"/>
        </w:rPr>
        <w:t xml:space="preserve">se </w:t>
      </w:r>
      <w:r w:rsidRPr="00EC2BE3">
        <w:rPr>
          <w:rFonts w:ascii="Arial" w:hAnsi="Arial" w:cs="Arial"/>
        </w:rPr>
        <w:t xml:space="preserve">otorgan, para </w:t>
      </w:r>
      <w:r w:rsidR="2BD0D133" w:rsidRPr="00EC2BE3">
        <w:rPr>
          <w:rFonts w:ascii="Arial" w:hAnsi="Arial" w:cs="Arial"/>
        </w:rPr>
        <w:t>concluir señalando</w:t>
      </w:r>
      <w:r w:rsidRPr="00EC2BE3">
        <w:rPr>
          <w:rFonts w:ascii="Arial" w:hAnsi="Arial" w:cs="Arial"/>
        </w:rPr>
        <w:t xml:space="preserve"> </w:t>
      </w:r>
      <w:r w:rsidR="00EB6F57" w:rsidRPr="00EC2BE3">
        <w:rPr>
          <w:rFonts w:ascii="Arial" w:hAnsi="Arial" w:cs="Arial"/>
        </w:rPr>
        <w:t xml:space="preserve">que el pago de los subsidios que se </w:t>
      </w:r>
      <w:r w:rsidRPr="00EC2BE3">
        <w:rPr>
          <w:rFonts w:ascii="Arial" w:hAnsi="Arial" w:cs="Arial"/>
        </w:rPr>
        <w:t xml:space="preserve">generan con posterioridad al día 540 le corresponde a las </w:t>
      </w:r>
      <w:proofErr w:type="spellStart"/>
      <w:r w:rsidRPr="00EC2BE3">
        <w:rPr>
          <w:rFonts w:ascii="Arial" w:hAnsi="Arial" w:cs="Arial"/>
        </w:rPr>
        <w:t>EPS</w:t>
      </w:r>
      <w:proofErr w:type="spellEnd"/>
      <w:r w:rsidRPr="00EC2BE3">
        <w:rPr>
          <w:rFonts w:ascii="Arial" w:hAnsi="Arial" w:cs="Arial"/>
        </w:rPr>
        <w:t xml:space="preserve"> y demás </w:t>
      </w:r>
      <w:proofErr w:type="spellStart"/>
      <w:r w:rsidRPr="00EC2BE3">
        <w:rPr>
          <w:rFonts w:ascii="Arial" w:hAnsi="Arial" w:cs="Arial"/>
        </w:rPr>
        <w:t>EOC</w:t>
      </w:r>
      <w:proofErr w:type="spellEnd"/>
      <w:r w:rsidRPr="00EC2BE3">
        <w:rPr>
          <w:rFonts w:ascii="Arial" w:hAnsi="Arial" w:cs="Arial"/>
        </w:rPr>
        <w:t xml:space="preserve">, </w:t>
      </w:r>
      <w:r w:rsidR="00EB6F57" w:rsidRPr="00EC2BE3">
        <w:rPr>
          <w:rFonts w:ascii="Arial" w:hAnsi="Arial" w:cs="Arial"/>
        </w:rPr>
        <w:t>“</w:t>
      </w:r>
      <w:r w:rsidRPr="00C1628A">
        <w:rPr>
          <w:rFonts w:ascii="Arial" w:hAnsi="Arial" w:cs="Arial"/>
          <w:i/>
          <w:iCs/>
          <w:sz w:val="22"/>
        </w:rPr>
        <w:t xml:space="preserve">cuando el paciente no haya tenido recuperación durante el curso de la enfermedad o lesión que originó la incapacidad por enfermedad general de origen común, habiéndose seguido con los protocolos y guías de atención y las recomendaciones del </w:t>
      </w:r>
      <w:r w:rsidR="1AC09CAE" w:rsidRPr="00C1628A">
        <w:rPr>
          <w:rFonts w:ascii="Arial" w:hAnsi="Arial" w:cs="Arial"/>
          <w:i/>
          <w:iCs/>
          <w:sz w:val="22"/>
        </w:rPr>
        <w:t>médico</w:t>
      </w:r>
      <w:r w:rsidRPr="00C1628A">
        <w:rPr>
          <w:rFonts w:ascii="Arial" w:hAnsi="Arial" w:cs="Arial"/>
          <w:i/>
          <w:iCs/>
          <w:sz w:val="22"/>
        </w:rPr>
        <w:t xml:space="preserve"> tratante</w:t>
      </w:r>
      <w:r w:rsidR="00EB6F57" w:rsidRPr="00EC2BE3">
        <w:rPr>
          <w:rFonts w:ascii="Arial" w:hAnsi="Arial" w:cs="Arial"/>
        </w:rPr>
        <w:t>”</w:t>
      </w:r>
      <w:r w:rsidRPr="00EC2BE3">
        <w:rPr>
          <w:rFonts w:ascii="Arial" w:hAnsi="Arial" w:cs="Arial"/>
        </w:rPr>
        <w:t xml:space="preserve">, entre otros casos y que el valor de dicho </w:t>
      </w:r>
      <w:r w:rsidR="00EB6F57" w:rsidRPr="00EC2BE3">
        <w:rPr>
          <w:rFonts w:ascii="Arial" w:hAnsi="Arial" w:cs="Arial"/>
        </w:rPr>
        <w:t xml:space="preserve">auxilio </w:t>
      </w:r>
      <w:r w:rsidRPr="00EC2BE3">
        <w:rPr>
          <w:rFonts w:ascii="Arial" w:hAnsi="Arial" w:cs="Arial"/>
        </w:rPr>
        <w:t>está a cargo del porcentaje adicional ya reconocido por la Administradora de los Recursos del Sistema General de Seguridad Social en Salud (Adres).</w:t>
      </w:r>
    </w:p>
    <w:p w14:paraId="100C5B58" w14:textId="77777777" w:rsidR="008E64DB" w:rsidRPr="00EC2BE3" w:rsidRDefault="008E64DB" w:rsidP="00EC2BE3">
      <w:pPr>
        <w:spacing w:line="276" w:lineRule="auto"/>
        <w:jc w:val="both"/>
        <w:rPr>
          <w:rFonts w:ascii="Arial" w:hAnsi="Arial" w:cs="Arial"/>
        </w:rPr>
      </w:pPr>
      <w:r w:rsidRPr="00EC2BE3">
        <w:rPr>
          <w:rFonts w:ascii="Arial" w:hAnsi="Arial" w:cs="Arial"/>
        </w:rPr>
        <w:t xml:space="preserve"> </w:t>
      </w:r>
    </w:p>
    <w:p w14:paraId="1E7B2887" w14:textId="651AAD9B" w:rsidR="00276926" w:rsidRPr="00EC2BE3" w:rsidRDefault="00276926" w:rsidP="00EC2BE3">
      <w:pPr>
        <w:spacing w:line="276" w:lineRule="auto"/>
        <w:jc w:val="both"/>
        <w:rPr>
          <w:rFonts w:ascii="Arial" w:hAnsi="Arial" w:cs="Arial"/>
        </w:rPr>
      </w:pPr>
      <w:r w:rsidRPr="00EC2BE3">
        <w:rPr>
          <w:rFonts w:ascii="Arial" w:hAnsi="Arial" w:cs="Arial"/>
        </w:rPr>
        <w:t xml:space="preserve">Coomeva </w:t>
      </w:r>
      <w:proofErr w:type="spellStart"/>
      <w:r w:rsidRPr="00EC2BE3">
        <w:rPr>
          <w:rFonts w:ascii="Arial" w:hAnsi="Arial" w:cs="Arial"/>
        </w:rPr>
        <w:t>EPS</w:t>
      </w:r>
      <w:proofErr w:type="spellEnd"/>
      <w:r w:rsidRPr="00EC2BE3">
        <w:rPr>
          <w:rFonts w:ascii="Arial" w:hAnsi="Arial" w:cs="Arial"/>
        </w:rPr>
        <w:t xml:space="preserve"> en liquidación </w:t>
      </w:r>
      <w:r w:rsidR="005F2D19" w:rsidRPr="00EC2BE3">
        <w:rPr>
          <w:rFonts w:ascii="Arial" w:hAnsi="Arial" w:cs="Arial"/>
        </w:rPr>
        <w:t>a su turno, hizo alusión al proceso de liquidación en el que se encuentra inmersa y que se adelanta ante la Superintendencia de Salud</w:t>
      </w:r>
      <w:r w:rsidR="00793148" w:rsidRPr="00EC2BE3">
        <w:rPr>
          <w:rFonts w:ascii="Arial" w:hAnsi="Arial" w:cs="Arial"/>
        </w:rPr>
        <w:t xml:space="preserve">, </w:t>
      </w:r>
      <w:r w:rsidR="53C06778" w:rsidRPr="00EC2BE3">
        <w:rPr>
          <w:rFonts w:ascii="Arial" w:hAnsi="Arial" w:cs="Arial"/>
        </w:rPr>
        <w:t>añadiendo que</w:t>
      </w:r>
      <w:r w:rsidR="00EB6F57" w:rsidRPr="00EC2BE3">
        <w:rPr>
          <w:rFonts w:ascii="Arial" w:hAnsi="Arial" w:cs="Arial"/>
        </w:rPr>
        <w:t>,</w:t>
      </w:r>
      <w:r w:rsidR="00793148" w:rsidRPr="00EC2BE3">
        <w:rPr>
          <w:rFonts w:ascii="Arial" w:hAnsi="Arial" w:cs="Arial"/>
        </w:rPr>
        <w:t xml:space="preserve"> la señora Clara Rosa Restrepo Gómez se encuentra afiliada a la Nueva </w:t>
      </w:r>
      <w:proofErr w:type="spellStart"/>
      <w:r w:rsidR="00793148" w:rsidRPr="00EC2BE3">
        <w:rPr>
          <w:rFonts w:ascii="Arial" w:hAnsi="Arial" w:cs="Arial"/>
        </w:rPr>
        <w:t>EPS</w:t>
      </w:r>
      <w:proofErr w:type="spellEnd"/>
      <w:r w:rsidR="00793148" w:rsidRPr="00EC2BE3">
        <w:rPr>
          <w:rFonts w:ascii="Arial" w:hAnsi="Arial" w:cs="Arial"/>
        </w:rPr>
        <w:t xml:space="preserve"> desde el 1 de febrero de 2022 y su estado es activo, por lo tanto, el auxilio por enfermedad reclamado por el periodo comprendido entre el 15 de enero de 2023 al 20 de mayo de 2023 es competencia de la entidad a la cual se encuentra afiliada, </w:t>
      </w:r>
      <w:r w:rsidR="00EB6F57" w:rsidRPr="00EC2BE3">
        <w:rPr>
          <w:rFonts w:ascii="Arial" w:hAnsi="Arial" w:cs="Arial"/>
        </w:rPr>
        <w:t xml:space="preserve">lo cual indica que </w:t>
      </w:r>
      <w:r w:rsidR="00793148" w:rsidRPr="00EC2BE3">
        <w:rPr>
          <w:rFonts w:ascii="Arial" w:hAnsi="Arial" w:cs="Arial"/>
        </w:rPr>
        <w:t>se presenta una falta de legitimación en la causa por pasiva</w:t>
      </w:r>
      <w:r w:rsidR="00EB6F57" w:rsidRPr="00EC2BE3">
        <w:rPr>
          <w:rFonts w:ascii="Arial" w:hAnsi="Arial" w:cs="Arial"/>
        </w:rPr>
        <w:t xml:space="preserve"> frente a Coomeva </w:t>
      </w:r>
      <w:proofErr w:type="spellStart"/>
      <w:r w:rsidR="00EB6F57" w:rsidRPr="00EC2BE3">
        <w:rPr>
          <w:rFonts w:ascii="Arial" w:hAnsi="Arial" w:cs="Arial"/>
        </w:rPr>
        <w:t>EPS</w:t>
      </w:r>
      <w:proofErr w:type="spellEnd"/>
      <w:r w:rsidR="00EB6F57" w:rsidRPr="00EC2BE3">
        <w:rPr>
          <w:rFonts w:ascii="Arial" w:hAnsi="Arial" w:cs="Arial"/>
        </w:rPr>
        <w:t xml:space="preserve"> en liquidación.</w:t>
      </w:r>
    </w:p>
    <w:p w14:paraId="4B94D5A5" w14:textId="77777777" w:rsidR="00AA31C0" w:rsidRPr="00EC2BE3" w:rsidRDefault="00AA31C0" w:rsidP="00EC2BE3">
      <w:pPr>
        <w:spacing w:line="276" w:lineRule="auto"/>
        <w:jc w:val="both"/>
        <w:rPr>
          <w:rFonts w:ascii="Arial" w:hAnsi="Arial" w:cs="Arial"/>
        </w:rPr>
      </w:pPr>
    </w:p>
    <w:p w14:paraId="1DA21A13" w14:textId="1008B26B" w:rsidR="001A701B" w:rsidRPr="00EC2BE3" w:rsidRDefault="00575231" w:rsidP="00EC2BE3">
      <w:pPr>
        <w:spacing w:line="276" w:lineRule="auto"/>
        <w:jc w:val="both"/>
        <w:rPr>
          <w:rFonts w:ascii="Arial" w:hAnsi="Arial" w:cs="Arial"/>
        </w:rPr>
      </w:pPr>
      <w:r w:rsidRPr="00EC2BE3">
        <w:rPr>
          <w:rFonts w:ascii="Arial" w:hAnsi="Arial" w:cs="Arial"/>
        </w:rPr>
        <w:t xml:space="preserve">La Nueva </w:t>
      </w:r>
      <w:proofErr w:type="spellStart"/>
      <w:r w:rsidRPr="00EC2BE3">
        <w:rPr>
          <w:rFonts w:ascii="Arial" w:hAnsi="Arial" w:cs="Arial"/>
        </w:rPr>
        <w:t>EPS</w:t>
      </w:r>
      <w:proofErr w:type="spellEnd"/>
      <w:r w:rsidRPr="00EC2BE3">
        <w:rPr>
          <w:rFonts w:ascii="Arial" w:hAnsi="Arial" w:cs="Arial"/>
        </w:rPr>
        <w:t xml:space="preserve"> </w:t>
      </w:r>
      <w:r w:rsidR="000E37C9" w:rsidRPr="00EC2BE3">
        <w:rPr>
          <w:rFonts w:ascii="Arial" w:hAnsi="Arial" w:cs="Arial"/>
        </w:rPr>
        <w:t xml:space="preserve">precisó que no es su obligación el pago de incapacidades a la señora Restrepo Gómez, toda vez que se encuentra calificada con un pérdida de capacidad laboral </w:t>
      </w:r>
      <w:r w:rsidR="00A36510" w:rsidRPr="00EC2BE3">
        <w:rPr>
          <w:rFonts w:ascii="Arial" w:hAnsi="Arial" w:cs="Arial"/>
        </w:rPr>
        <w:t>inferior al 50%, adquiriendo con ello el estatus de afiliado incapacitado permanente parcial, de acuerdo con lo previsto en el literal b del artículo 2º del Decreto 917 de 1999, por lo que debe iniciar</w:t>
      </w:r>
      <w:r w:rsidR="00EB6F57" w:rsidRPr="00EC2BE3">
        <w:rPr>
          <w:rFonts w:ascii="Arial" w:hAnsi="Arial" w:cs="Arial"/>
        </w:rPr>
        <w:t>se</w:t>
      </w:r>
      <w:r w:rsidR="00A36510" w:rsidRPr="00EC2BE3">
        <w:rPr>
          <w:rFonts w:ascii="Arial" w:hAnsi="Arial" w:cs="Arial"/>
        </w:rPr>
        <w:t xml:space="preserve"> el proceso de reintegro laboral para garantizar el mínimo vital, </w:t>
      </w:r>
      <w:r w:rsidR="5A26FDDC" w:rsidRPr="00EC2BE3">
        <w:rPr>
          <w:rFonts w:ascii="Arial" w:hAnsi="Arial" w:cs="Arial"/>
        </w:rPr>
        <w:t>trámite</w:t>
      </w:r>
      <w:r w:rsidR="00EB6F57" w:rsidRPr="00EC2BE3">
        <w:rPr>
          <w:rFonts w:ascii="Arial" w:hAnsi="Arial" w:cs="Arial"/>
        </w:rPr>
        <w:t xml:space="preserve"> que debe surtirse a través de</w:t>
      </w:r>
      <w:r w:rsidR="00A36510" w:rsidRPr="00EC2BE3">
        <w:rPr>
          <w:rFonts w:ascii="Arial" w:hAnsi="Arial" w:cs="Arial"/>
        </w:rPr>
        <w:t xml:space="preserve">l médico especialista en salud ocupacional o en seguridad y salud en el trabajo de su empresa o </w:t>
      </w:r>
      <w:r w:rsidR="00EB6F57" w:rsidRPr="00EC2BE3">
        <w:rPr>
          <w:rFonts w:ascii="Arial" w:hAnsi="Arial" w:cs="Arial"/>
        </w:rPr>
        <w:t xml:space="preserve">por medio de la </w:t>
      </w:r>
      <w:proofErr w:type="spellStart"/>
      <w:r w:rsidR="00A36510" w:rsidRPr="00EC2BE3">
        <w:rPr>
          <w:rFonts w:ascii="Arial" w:hAnsi="Arial" w:cs="Arial"/>
        </w:rPr>
        <w:t>IPS</w:t>
      </w:r>
      <w:proofErr w:type="spellEnd"/>
      <w:r w:rsidR="00A36510" w:rsidRPr="00EC2BE3">
        <w:rPr>
          <w:rFonts w:ascii="Arial" w:hAnsi="Arial" w:cs="Arial"/>
        </w:rPr>
        <w:t xml:space="preserve"> que </w:t>
      </w:r>
      <w:r w:rsidR="00EB6F57" w:rsidRPr="00EC2BE3">
        <w:rPr>
          <w:rFonts w:ascii="Arial" w:hAnsi="Arial" w:cs="Arial"/>
        </w:rPr>
        <w:t>el empleador t</w:t>
      </w:r>
      <w:r w:rsidR="00A36510" w:rsidRPr="00EC2BE3">
        <w:rPr>
          <w:rFonts w:ascii="Arial" w:hAnsi="Arial" w:cs="Arial"/>
        </w:rPr>
        <w:t>enga contratada.</w:t>
      </w:r>
    </w:p>
    <w:p w14:paraId="3DEEC669" w14:textId="77777777" w:rsidR="00EF746D" w:rsidRPr="00EC2BE3" w:rsidRDefault="00EF746D" w:rsidP="00EC2BE3">
      <w:pPr>
        <w:spacing w:line="276" w:lineRule="auto"/>
        <w:jc w:val="both"/>
        <w:rPr>
          <w:rFonts w:ascii="Arial" w:hAnsi="Arial" w:cs="Arial"/>
        </w:rPr>
      </w:pPr>
    </w:p>
    <w:p w14:paraId="6950E9D5" w14:textId="71AE623C" w:rsidR="00EF746D" w:rsidRPr="00EC2BE3" w:rsidRDefault="00EF746D" w:rsidP="00EC2BE3">
      <w:pPr>
        <w:spacing w:line="276" w:lineRule="auto"/>
        <w:jc w:val="both"/>
        <w:rPr>
          <w:rFonts w:ascii="Arial" w:hAnsi="Arial" w:cs="Arial"/>
        </w:rPr>
      </w:pPr>
      <w:r w:rsidRPr="00EC2BE3">
        <w:rPr>
          <w:rFonts w:ascii="Arial" w:hAnsi="Arial" w:cs="Arial"/>
        </w:rPr>
        <w:t>Refier</w:t>
      </w:r>
      <w:r w:rsidR="00EB6F57" w:rsidRPr="00EC2BE3">
        <w:rPr>
          <w:rFonts w:ascii="Arial" w:hAnsi="Arial" w:cs="Arial"/>
        </w:rPr>
        <w:t>e</w:t>
      </w:r>
      <w:r w:rsidRPr="00EC2BE3">
        <w:rPr>
          <w:rFonts w:ascii="Arial" w:hAnsi="Arial" w:cs="Arial"/>
        </w:rPr>
        <w:t xml:space="preserve"> que después del día 180 de incapacidad le corresponde a las AFP reconocer el beneficio económico que corresponde, </w:t>
      </w:r>
      <w:r w:rsidR="00EB6F57" w:rsidRPr="00EC2BE3">
        <w:rPr>
          <w:rFonts w:ascii="Arial" w:hAnsi="Arial" w:cs="Arial"/>
        </w:rPr>
        <w:t xml:space="preserve">en </w:t>
      </w:r>
      <w:r w:rsidR="18CBE30E" w:rsidRPr="00EC2BE3">
        <w:rPr>
          <w:rFonts w:ascii="Arial" w:hAnsi="Arial" w:cs="Arial"/>
        </w:rPr>
        <w:t>la medida a</w:t>
      </w:r>
      <w:r w:rsidR="00EB6F57" w:rsidRPr="00EC2BE3">
        <w:rPr>
          <w:rFonts w:ascii="Arial" w:hAnsi="Arial" w:cs="Arial"/>
        </w:rPr>
        <w:t xml:space="preserve"> que</w:t>
      </w:r>
      <w:r w:rsidR="7DB066F6" w:rsidRPr="00EC2BE3">
        <w:rPr>
          <w:rFonts w:ascii="Arial" w:hAnsi="Arial" w:cs="Arial"/>
        </w:rPr>
        <w:t>,</w:t>
      </w:r>
      <w:r w:rsidR="00EB6F57" w:rsidRPr="00EC2BE3">
        <w:rPr>
          <w:rFonts w:ascii="Arial" w:hAnsi="Arial" w:cs="Arial"/>
        </w:rPr>
        <w:t xml:space="preserve"> en este caso</w:t>
      </w:r>
      <w:r w:rsidR="5E937985" w:rsidRPr="00EC2BE3">
        <w:rPr>
          <w:rFonts w:ascii="Arial" w:hAnsi="Arial" w:cs="Arial"/>
        </w:rPr>
        <w:t>,</w:t>
      </w:r>
      <w:r w:rsidR="00EB6F57" w:rsidRPr="00EC2BE3">
        <w:rPr>
          <w:rFonts w:ascii="Arial" w:hAnsi="Arial" w:cs="Arial"/>
        </w:rPr>
        <w:t xml:space="preserve"> </w:t>
      </w:r>
      <w:r w:rsidRPr="00EC2BE3">
        <w:rPr>
          <w:rFonts w:ascii="Arial" w:hAnsi="Arial" w:cs="Arial"/>
        </w:rPr>
        <w:t>media el concepto de rehabilitación favorable.</w:t>
      </w:r>
    </w:p>
    <w:p w14:paraId="3656B9AB" w14:textId="77777777" w:rsidR="00A36510" w:rsidRPr="00EC2BE3" w:rsidRDefault="00A36510" w:rsidP="00EC2BE3">
      <w:pPr>
        <w:spacing w:line="276" w:lineRule="auto"/>
        <w:jc w:val="both"/>
        <w:rPr>
          <w:rFonts w:ascii="Arial" w:hAnsi="Arial" w:cs="Arial"/>
        </w:rPr>
      </w:pPr>
    </w:p>
    <w:p w14:paraId="49FBDA4E" w14:textId="5EDFC08A" w:rsidR="00A36510" w:rsidRPr="00EC2BE3" w:rsidRDefault="00A36510" w:rsidP="00EC2BE3">
      <w:pPr>
        <w:spacing w:line="276" w:lineRule="auto"/>
        <w:jc w:val="both"/>
        <w:rPr>
          <w:rFonts w:ascii="Arial" w:hAnsi="Arial" w:cs="Arial"/>
        </w:rPr>
      </w:pPr>
      <w:r w:rsidRPr="00EC2BE3">
        <w:rPr>
          <w:rFonts w:ascii="Arial" w:hAnsi="Arial" w:cs="Arial"/>
        </w:rPr>
        <w:t>Por lo anterior, considera que los derechos fundamentales de la actora no están siendo afectados por esa entidad y por ello debe ser desvinculada del trámite</w:t>
      </w:r>
      <w:r w:rsidR="00E46702" w:rsidRPr="00EC2BE3">
        <w:rPr>
          <w:rFonts w:ascii="Arial" w:hAnsi="Arial" w:cs="Arial"/>
        </w:rPr>
        <w:t>.</w:t>
      </w:r>
      <w:r w:rsidRPr="00EC2BE3">
        <w:rPr>
          <w:rFonts w:ascii="Arial" w:hAnsi="Arial" w:cs="Arial"/>
        </w:rPr>
        <w:t xml:space="preserve"> </w:t>
      </w:r>
    </w:p>
    <w:p w14:paraId="45FB0818" w14:textId="77777777" w:rsidR="00263B8C" w:rsidRPr="00EC2BE3" w:rsidRDefault="00263B8C" w:rsidP="00EC2BE3">
      <w:pPr>
        <w:spacing w:line="276" w:lineRule="auto"/>
        <w:jc w:val="both"/>
        <w:rPr>
          <w:rFonts w:ascii="Arial" w:hAnsi="Arial" w:cs="Arial"/>
        </w:rPr>
      </w:pPr>
    </w:p>
    <w:p w14:paraId="7E0E44C6" w14:textId="1E8000FA" w:rsidR="00263B8C" w:rsidRPr="00EC2BE3" w:rsidRDefault="00263B8C" w:rsidP="00EC2BE3">
      <w:pPr>
        <w:spacing w:line="276" w:lineRule="auto"/>
        <w:jc w:val="both"/>
        <w:rPr>
          <w:rFonts w:ascii="Arial" w:hAnsi="Arial" w:cs="Arial"/>
        </w:rPr>
      </w:pPr>
      <w:r w:rsidRPr="00EC2BE3">
        <w:rPr>
          <w:rFonts w:ascii="Arial" w:hAnsi="Arial" w:cs="Arial"/>
        </w:rPr>
        <w:t xml:space="preserve">Colpensiones por su parte </w:t>
      </w:r>
      <w:r w:rsidR="00001CAF" w:rsidRPr="00EC2BE3">
        <w:rPr>
          <w:rFonts w:ascii="Arial" w:hAnsi="Arial" w:cs="Arial"/>
        </w:rPr>
        <w:t>señal</w:t>
      </w:r>
      <w:r w:rsidR="764E84DB" w:rsidRPr="00EC2BE3">
        <w:rPr>
          <w:rFonts w:ascii="Arial" w:hAnsi="Arial" w:cs="Arial"/>
        </w:rPr>
        <w:t>ó</w:t>
      </w:r>
      <w:r w:rsidR="00001CAF" w:rsidRPr="00EC2BE3">
        <w:rPr>
          <w:rFonts w:ascii="Arial" w:hAnsi="Arial" w:cs="Arial"/>
        </w:rPr>
        <w:t xml:space="preserve"> que en este asunto canceló a favor de la actora un total de $9.080.000 correspondientes a 270 días de subsidio por incapacidad, con lo cual es encuentra cubierto el periodo comprendido entre el 20 de enero de 2022 y el 15 de enero de 2023, correspondiente a 540 días de incapacidad.</w:t>
      </w:r>
    </w:p>
    <w:p w14:paraId="049F31CB" w14:textId="77777777" w:rsidR="00001CAF" w:rsidRPr="00EC2BE3" w:rsidRDefault="00001CAF" w:rsidP="00EC2BE3">
      <w:pPr>
        <w:spacing w:line="276" w:lineRule="auto"/>
        <w:jc w:val="both"/>
        <w:rPr>
          <w:rFonts w:ascii="Arial" w:hAnsi="Arial" w:cs="Arial"/>
        </w:rPr>
      </w:pPr>
    </w:p>
    <w:p w14:paraId="1091D326" w14:textId="77777777" w:rsidR="00001CAF" w:rsidRPr="00EC2BE3" w:rsidRDefault="00001CAF" w:rsidP="00EC2BE3">
      <w:pPr>
        <w:spacing w:line="276" w:lineRule="auto"/>
        <w:jc w:val="both"/>
        <w:rPr>
          <w:rFonts w:ascii="Arial" w:hAnsi="Arial" w:cs="Arial"/>
        </w:rPr>
      </w:pPr>
      <w:r w:rsidRPr="00EC2BE3">
        <w:rPr>
          <w:rFonts w:ascii="Arial" w:hAnsi="Arial" w:cs="Arial"/>
        </w:rPr>
        <w:t>Como argumentos defensivos, el fondo de pensiones hace notar la improcedencia de la acción de tutela para procurar el pago de incapacidades médicas; reseña el trámite administrativo que se debe observar para reclamar dicho auxilio;</w:t>
      </w:r>
      <w:r w:rsidR="00EB6F57" w:rsidRPr="00EC2BE3">
        <w:rPr>
          <w:rFonts w:ascii="Arial" w:hAnsi="Arial" w:cs="Arial"/>
        </w:rPr>
        <w:t xml:space="preserve"> pone de presente</w:t>
      </w:r>
      <w:r w:rsidRPr="00EC2BE3">
        <w:rPr>
          <w:rFonts w:ascii="Arial" w:hAnsi="Arial" w:cs="Arial"/>
        </w:rPr>
        <w:t xml:space="preserve"> la falta de competencia del juez de tutela para resolver asuntos de ésta índole; la obligación de las  </w:t>
      </w:r>
      <w:proofErr w:type="spellStart"/>
      <w:r w:rsidRPr="00EC2BE3">
        <w:rPr>
          <w:rFonts w:ascii="Arial" w:hAnsi="Arial" w:cs="Arial"/>
        </w:rPr>
        <w:t>EPS</w:t>
      </w:r>
      <w:proofErr w:type="spellEnd"/>
      <w:r w:rsidRPr="00EC2BE3">
        <w:rPr>
          <w:rFonts w:ascii="Arial" w:hAnsi="Arial" w:cs="Arial"/>
        </w:rPr>
        <w:t xml:space="preserve"> de cancelar las incapacidades generadas con posterioridad al día 540 y </w:t>
      </w:r>
      <w:r w:rsidR="00EB6F57" w:rsidRPr="00EC2BE3">
        <w:rPr>
          <w:rFonts w:ascii="Arial" w:hAnsi="Arial" w:cs="Arial"/>
        </w:rPr>
        <w:t xml:space="preserve">el deber </w:t>
      </w:r>
      <w:r w:rsidRPr="00EC2BE3">
        <w:rPr>
          <w:rFonts w:ascii="Arial" w:hAnsi="Arial" w:cs="Arial"/>
        </w:rPr>
        <w:t xml:space="preserve"> de los jueces de la República de proteger el patrimonio Público.</w:t>
      </w:r>
    </w:p>
    <w:p w14:paraId="53128261" w14:textId="77777777" w:rsidR="00001CAF" w:rsidRPr="00EC2BE3" w:rsidRDefault="00001CAF" w:rsidP="00EC2BE3">
      <w:pPr>
        <w:spacing w:line="276" w:lineRule="auto"/>
        <w:jc w:val="both"/>
        <w:rPr>
          <w:rFonts w:ascii="Arial" w:hAnsi="Arial" w:cs="Arial"/>
        </w:rPr>
      </w:pPr>
    </w:p>
    <w:p w14:paraId="3EDCED23" w14:textId="77777777" w:rsidR="00EB6F57" w:rsidRPr="00EC2BE3" w:rsidRDefault="00BC4F60" w:rsidP="00EC2BE3">
      <w:pPr>
        <w:spacing w:line="276" w:lineRule="auto"/>
        <w:jc w:val="both"/>
        <w:rPr>
          <w:rFonts w:ascii="Arial" w:hAnsi="Arial" w:cs="Arial"/>
        </w:rPr>
      </w:pPr>
      <w:r w:rsidRPr="00EC2BE3">
        <w:rPr>
          <w:rFonts w:ascii="Arial" w:hAnsi="Arial" w:cs="Arial"/>
        </w:rPr>
        <w:t xml:space="preserve">Llegado el día de fallo, el juzgado amparó los derechos fundamentales al mínimo vital y salud de los cuales es titular la señora Clara Rosa Restrepo Gómez, los cuales advirtió vulnerados por la Nueva </w:t>
      </w:r>
      <w:proofErr w:type="spellStart"/>
      <w:r w:rsidRPr="00EC2BE3">
        <w:rPr>
          <w:rFonts w:ascii="Arial" w:hAnsi="Arial" w:cs="Arial"/>
        </w:rPr>
        <w:t>EPS</w:t>
      </w:r>
      <w:proofErr w:type="spellEnd"/>
      <w:r w:rsidRPr="00EC2BE3">
        <w:rPr>
          <w:rFonts w:ascii="Arial" w:hAnsi="Arial" w:cs="Arial"/>
        </w:rPr>
        <w:t xml:space="preserve"> al sustraerse de la obligación de cancelar las incapacidades reclamadas por la demandante, </w:t>
      </w:r>
      <w:r w:rsidR="00EB6F57" w:rsidRPr="00EC2BE3">
        <w:rPr>
          <w:rFonts w:ascii="Arial" w:hAnsi="Arial" w:cs="Arial"/>
        </w:rPr>
        <w:t xml:space="preserve">carga que le fue asignada de conformidad con lo dispuesto </w:t>
      </w:r>
      <w:r w:rsidRPr="00EC2BE3">
        <w:rPr>
          <w:rFonts w:ascii="Arial" w:hAnsi="Arial" w:cs="Arial"/>
        </w:rPr>
        <w:t>en el artículo 6</w:t>
      </w:r>
      <w:r w:rsidR="009156FB" w:rsidRPr="00EC2BE3">
        <w:rPr>
          <w:rFonts w:ascii="Arial" w:hAnsi="Arial" w:cs="Arial"/>
        </w:rPr>
        <w:t>7</w:t>
      </w:r>
      <w:r w:rsidRPr="00EC2BE3">
        <w:rPr>
          <w:rFonts w:ascii="Arial" w:hAnsi="Arial" w:cs="Arial"/>
        </w:rPr>
        <w:t xml:space="preserve"> de la Ley 1753 de 2015 y la jurisprudencia constitucional</w:t>
      </w:r>
      <w:r w:rsidR="00EB6F57" w:rsidRPr="00EC2BE3">
        <w:rPr>
          <w:rFonts w:ascii="Arial" w:hAnsi="Arial" w:cs="Arial"/>
        </w:rPr>
        <w:t>.</w:t>
      </w:r>
    </w:p>
    <w:p w14:paraId="62486C05" w14:textId="77777777" w:rsidR="00EB6F57" w:rsidRPr="00EC2BE3" w:rsidRDefault="00EB6F57" w:rsidP="00EC2BE3">
      <w:pPr>
        <w:spacing w:line="276" w:lineRule="auto"/>
        <w:jc w:val="both"/>
        <w:rPr>
          <w:rFonts w:ascii="Arial" w:hAnsi="Arial" w:cs="Arial"/>
        </w:rPr>
      </w:pPr>
    </w:p>
    <w:p w14:paraId="146E08D5" w14:textId="0461BAC3" w:rsidR="00BC4F60" w:rsidRPr="00EC2BE3" w:rsidRDefault="00EB6F57" w:rsidP="00EC2BE3">
      <w:pPr>
        <w:spacing w:line="276" w:lineRule="auto"/>
        <w:jc w:val="both"/>
        <w:rPr>
          <w:rFonts w:ascii="Arial" w:hAnsi="Arial" w:cs="Arial"/>
        </w:rPr>
      </w:pPr>
      <w:r w:rsidRPr="00EC2BE3">
        <w:rPr>
          <w:rFonts w:ascii="Arial" w:hAnsi="Arial" w:cs="Arial"/>
        </w:rPr>
        <w:t xml:space="preserve">Consecuente con lo anterior, </w:t>
      </w:r>
      <w:r w:rsidR="3A750123" w:rsidRPr="00EC2BE3">
        <w:rPr>
          <w:rFonts w:ascii="Arial" w:hAnsi="Arial" w:cs="Arial"/>
        </w:rPr>
        <w:t>ordenó a</w:t>
      </w:r>
      <w:r w:rsidRPr="00EC2BE3">
        <w:rPr>
          <w:rFonts w:ascii="Arial" w:hAnsi="Arial" w:cs="Arial"/>
        </w:rPr>
        <w:t xml:space="preserve"> esa entidad </w:t>
      </w:r>
      <w:r w:rsidR="00BC4F60" w:rsidRPr="00EC2BE3">
        <w:rPr>
          <w:rFonts w:ascii="Arial" w:hAnsi="Arial" w:cs="Arial"/>
        </w:rPr>
        <w:t xml:space="preserve">cancelar el auxilio por enfermedad </w:t>
      </w:r>
      <w:r w:rsidR="53658D84" w:rsidRPr="00EC2BE3">
        <w:rPr>
          <w:rFonts w:ascii="Arial" w:hAnsi="Arial" w:cs="Arial"/>
        </w:rPr>
        <w:t>dispuesto</w:t>
      </w:r>
      <w:r w:rsidR="00BC4F60" w:rsidRPr="00EC2BE3">
        <w:rPr>
          <w:rFonts w:ascii="Arial" w:hAnsi="Arial" w:cs="Arial"/>
        </w:rPr>
        <w:t xml:space="preserve"> entre 15 de enero y el 20 de mayo de 2023 y l</w:t>
      </w:r>
      <w:r w:rsidR="009156FB" w:rsidRPr="00EC2BE3">
        <w:rPr>
          <w:rFonts w:ascii="Arial" w:hAnsi="Arial" w:cs="Arial"/>
        </w:rPr>
        <w:t>os</w:t>
      </w:r>
      <w:r w:rsidR="00BC4F60" w:rsidRPr="00EC2BE3">
        <w:rPr>
          <w:rFonts w:ascii="Arial" w:hAnsi="Arial" w:cs="Arial"/>
        </w:rPr>
        <w:t xml:space="preserve"> que se dispongan con posterioridad. </w:t>
      </w:r>
    </w:p>
    <w:p w14:paraId="4101652C" w14:textId="77777777" w:rsidR="00A36510" w:rsidRPr="00EC2BE3" w:rsidRDefault="00A36510" w:rsidP="00EC2BE3">
      <w:pPr>
        <w:spacing w:line="276" w:lineRule="auto"/>
        <w:jc w:val="both"/>
        <w:rPr>
          <w:rFonts w:ascii="Arial" w:hAnsi="Arial" w:cs="Arial"/>
        </w:rPr>
      </w:pPr>
    </w:p>
    <w:p w14:paraId="08669585" w14:textId="51A08576" w:rsidR="00BC4F60" w:rsidRPr="00EC2BE3" w:rsidRDefault="00BC4F60" w:rsidP="00EC2BE3">
      <w:pPr>
        <w:spacing w:line="276" w:lineRule="auto"/>
        <w:jc w:val="both"/>
        <w:rPr>
          <w:rFonts w:ascii="Arial" w:hAnsi="Arial" w:cs="Arial"/>
        </w:rPr>
      </w:pPr>
      <w:r w:rsidRPr="00EC2BE3">
        <w:rPr>
          <w:rFonts w:ascii="Arial" w:hAnsi="Arial" w:cs="Arial"/>
        </w:rPr>
        <w:t xml:space="preserve">Inconforme con </w:t>
      </w:r>
      <w:r w:rsidR="00F70D29" w:rsidRPr="00EC2BE3">
        <w:rPr>
          <w:rFonts w:ascii="Arial" w:hAnsi="Arial" w:cs="Arial"/>
        </w:rPr>
        <w:t xml:space="preserve">la sentencia, la Nueva </w:t>
      </w:r>
      <w:proofErr w:type="spellStart"/>
      <w:r w:rsidR="00F70D29" w:rsidRPr="00EC2BE3">
        <w:rPr>
          <w:rFonts w:ascii="Arial" w:hAnsi="Arial" w:cs="Arial"/>
        </w:rPr>
        <w:t>EPS</w:t>
      </w:r>
      <w:proofErr w:type="spellEnd"/>
      <w:r w:rsidR="00F70D29" w:rsidRPr="00EC2BE3">
        <w:rPr>
          <w:rFonts w:ascii="Arial" w:hAnsi="Arial" w:cs="Arial"/>
        </w:rPr>
        <w:t xml:space="preserve"> impugnó la decisión trayendo a colación iguales argumentos a los expuestos al momento de dar respuesta a la acción.</w:t>
      </w:r>
    </w:p>
    <w:p w14:paraId="4B99056E" w14:textId="77777777" w:rsidR="006255DC" w:rsidRPr="00EC2BE3" w:rsidRDefault="006255DC" w:rsidP="00EC2BE3">
      <w:pPr>
        <w:tabs>
          <w:tab w:val="left" w:pos="4164"/>
        </w:tabs>
        <w:spacing w:line="276" w:lineRule="auto"/>
        <w:jc w:val="both"/>
        <w:rPr>
          <w:rFonts w:ascii="Arial" w:hAnsi="Arial" w:cs="Arial"/>
        </w:rPr>
      </w:pPr>
    </w:p>
    <w:p w14:paraId="2E0A79F2" w14:textId="77777777" w:rsidR="00D62760" w:rsidRPr="00EC2BE3" w:rsidRDefault="00D62760" w:rsidP="00EC2BE3">
      <w:pPr>
        <w:tabs>
          <w:tab w:val="left" w:pos="4164"/>
        </w:tabs>
        <w:spacing w:line="276" w:lineRule="auto"/>
        <w:jc w:val="center"/>
        <w:rPr>
          <w:rFonts w:ascii="Arial" w:hAnsi="Arial" w:cs="Arial"/>
          <w:b/>
        </w:rPr>
      </w:pPr>
      <w:r w:rsidRPr="00EC2BE3">
        <w:rPr>
          <w:rFonts w:ascii="Arial" w:hAnsi="Arial" w:cs="Arial"/>
          <w:b/>
        </w:rPr>
        <w:t>CONSIDERACIONES</w:t>
      </w:r>
    </w:p>
    <w:p w14:paraId="1299C43A" w14:textId="77777777" w:rsidR="00D62760" w:rsidRPr="00EC2BE3" w:rsidRDefault="00D62760" w:rsidP="00EC2BE3">
      <w:pPr>
        <w:spacing w:line="276" w:lineRule="auto"/>
        <w:jc w:val="both"/>
        <w:rPr>
          <w:rFonts w:ascii="Arial" w:hAnsi="Arial" w:cs="Arial"/>
        </w:rPr>
      </w:pPr>
    </w:p>
    <w:p w14:paraId="4DDBEF00" w14:textId="6028CCC0" w:rsidR="00175FF5" w:rsidRPr="00FB0359" w:rsidRDefault="00D62760" w:rsidP="00FB0359">
      <w:pPr>
        <w:spacing w:line="276" w:lineRule="auto"/>
        <w:jc w:val="both"/>
        <w:rPr>
          <w:rFonts w:ascii="Arial" w:hAnsi="Arial" w:cs="Arial"/>
          <w:b/>
        </w:rPr>
      </w:pPr>
      <w:r w:rsidRPr="00EC2BE3">
        <w:rPr>
          <w:rFonts w:ascii="Arial" w:hAnsi="Arial" w:cs="Arial"/>
          <w:b/>
        </w:rPr>
        <w:t>PROBLEMA JURÍDICO</w:t>
      </w:r>
    </w:p>
    <w:p w14:paraId="3461D779" w14:textId="77777777" w:rsidR="00175FF5" w:rsidRPr="00EC2BE3" w:rsidRDefault="00175FF5" w:rsidP="00EC2BE3">
      <w:pPr>
        <w:spacing w:line="276" w:lineRule="auto"/>
        <w:ind w:left="284" w:right="476"/>
        <w:jc w:val="both"/>
        <w:rPr>
          <w:rFonts w:ascii="Arial" w:hAnsi="Arial" w:cs="Arial"/>
          <w:b/>
          <w:i/>
        </w:rPr>
      </w:pPr>
    </w:p>
    <w:p w14:paraId="0FB78278" w14:textId="5CF0BC9E" w:rsidR="00A15AE2" w:rsidRPr="00EC2BE3" w:rsidRDefault="00C414C0" w:rsidP="00FB0359">
      <w:pPr>
        <w:spacing w:line="276" w:lineRule="auto"/>
        <w:ind w:left="426" w:right="420"/>
        <w:jc w:val="both"/>
        <w:rPr>
          <w:rFonts w:ascii="Arial" w:hAnsi="Arial" w:cs="Arial"/>
        </w:rPr>
      </w:pPr>
      <w:r w:rsidRPr="00EC2BE3">
        <w:rPr>
          <w:rFonts w:ascii="Arial" w:hAnsi="Arial" w:cs="Arial"/>
          <w:b/>
          <w:i/>
        </w:rPr>
        <w:t>¿</w:t>
      </w:r>
      <w:r w:rsidR="006255DC" w:rsidRPr="00EC2BE3">
        <w:rPr>
          <w:rFonts w:ascii="Arial" w:hAnsi="Arial" w:cs="Arial"/>
          <w:b/>
          <w:i/>
        </w:rPr>
        <w:t xml:space="preserve">Vulnera </w:t>
      </w:r>
      <w:r w:rsidR="00F70D29" w:rsidRPr="00EC2BE3">
        <w:rPr>
          <w:rFonts w:ascii="Arial" w:hAnsi="Arial" w:cs="Arial"/>
          <w:b/>
          <w:i/>
        </w:rPr>
        <w:t xml:space="preserve">la Nueva </w:t>
      </w:r>
      <w:proofErr w:type="spellStart"/>
      <w:r w:rsidR="00F70D29" w:rsidRPr="00EC2BE3">
        <w:rPr>
          <w:rFonts w:ascii="Arial" w:hAnsi="Arial" w:cs="Arial"/>
          <w:b/>
          <w:i/>
        </w:rPr>
        <w:t>EPS</w:t>
      </w:r>
      <w:proofErr w:type="spellEnd"/>
      <w:r w:rsidR="006255DC" w:rsidRPr="00EC2BE3">
        <w:rPr>
          <w:rFonts w:ascii="Arial" w:hAnsi="Arial" w:cs="Arial"/>
          <w:b/>
          <w:i/>
        </w:rPr>
        <w:t xml:space="preserve"> las garantías fundamentales de</w:t>
      </w:r>
      <w:r w:rsidR="009156FB" w:rsidRPr="00EC2BE3">
        <w:rPr>
          <w:rFonts w:ascii="Arial" w:hAnsi="Arial" w:cs="Arial"/>
          <w:b/>
          <w:i/>
        </w:rPr>
        <w:t xml:space="preserve"> </w:t>
      </w:r>
      <w:r w:rsidR="006255DC" w:rsidRPr="00EC2BE3">
        <w:rPr>
          <w:rFonts w:ascii="Arial" w:hAnsi="Arial" w:cs="Arial"/>
          <w:b/>
          <w:i/>
        </w:rPr>
        <w:t>l</w:t>
      </w:r>
      <w:r w:rsidR="009156FB" w:rsidRPr="00EC2BE3">
        <w:rPr>
          <w:rFonts w:ascii="Arial" w:hAnsi="Arial" w:cs="Arial"/>
          <w:b/>
          <w:i/>
        </w:rPr>
        <w:t>a</w:t>
      </w:r>
      <w:r w:rsidR="006255DC" w:rsidRPr="00EC2BE3">
        <w:rPr>
          <w:rFonts w:ascii="Arial" w:hAnsi="Arial" w:cs="Arial"/>
          <w:b/>
          <w:i/>
        </w:rPr>
        <w:t xml:space="preserve"> actora, al </w:t>
      </w:r>
      <w:r w:rsidR="00DD52DD" w:rsidRPr="00EC2BE3">
        <w:rPr>
          <w:rFonts w:ascii="Arial" w:hAnsi="Arial" w:cs="Arial"/>
          <w:b/>
          <w:i/>
        </w:rPr>
        <w:t>no</w:t>
      </w:r>
      <w:r w:rsidR="006255DC" w:rsidRPr="00EC2BE3">
        <w:rPr>
          <w:rFonts w:ascii="Arial" w:hAnsi="Arial" w:cs="Arial"/>
          <w:b/>
          <w:i/>
        </w:rPr>
        <w:t xml:space="preserve"> </w:t>
      </w:r>
      <w:r w:rsidR="00A11E23" w:rsidRPr="00EC2BE3">
        <w:rPr>
          <w:rFonts w:ascii="Arial" w:hAnsi="Arial" w:cs="Arial"/>
          <w:b/>
          <w:i/>
        </w:rPr>
        <w:t>cancelar las</w:t>
      </w:r>
      <w:r w:rsidR="006255DC" w:rsidRPr="00EC2BE3">
        <w:rPr>
          <w:rFonts w:ascii="Arial" w:hAnsi="Arial" w:cs="Arial"/>
          <w:b/>
          <w:i/>
        </w:rPr>
        <w:t xml:space="preserve"> incapacidades médicas</w:t>
      </w:r>
      <w:r w:rsidR="00A11E23" w:rsidRPr="00EC2BE3">
        <w:rPr>
          <w:rFonts w:ascii="Arial" w:hAnsi="Arial" w:cs="Arial"/>
          <w:b/>
          <w:i/>
        </w:rPr>
        <w:t xml:space="preserve"> generadas con posterioridad al día </w:t>
      </w:r>
      <w:r w:rsidR="00F70D29" w:rsidRPr="00EC2BE3">
        <w:rPr>
          <w:rFonts w:ascii="Arial" w:hAnsi="Arial" w:cs="Arial"/>
          <w:b/>
          <w:i/>
        </w:rPr>
        <w:t>540</w:t>
      </w:r>
      <w:r w:rsidR="00A11E23" w:rsidRPr="00EC2BE3">
        <w:rPr>
          <w:rFonts w:ascii="Arial" w:hAnsi="Arial" w:cs="Arial"/>
          <w:b/>
          <w:i/>
        </w:rPr>
        <w:t xml:space="preserve"> de licencia por enfermedad</w:t>
      </w:r>
      <w:r w:rsidR="00D62760" w:rsidRPr="00EC2BE3">
        <w:rPr>
          <w:rFonts w:ascii="Arial" w:hAnsi="Arial" w:cs="Arial"/>
          <w:b/>
          <w:i/>
        </w:rPr>
        <w:t>?</w:t>
      </w:r>
      <w:r w:rsidR="00FB0359" w:rsidRPr="00EC2BE3">
        <w:rPr>
          <w:rFonts w:ascii="Arial" w:hAnsi="Arial" w:cs="Arial"/>
        </w:rPr>
        <w:t xml:space="preserve"> </w:t>
      </w:r>
    </w:p>
    <w:p w14:paraId="7CAC853B" w14:textId="77777777" w:rsidR="00FB0359" w:rsidRDefault="00FB0359" w:rsidP="00FB0359">
      <w:pPr>
        <w:spacing w:line="276" w:lineRule="auto"/>
        <w:ind w:right="-5"/>
        <w:jc w:val="both"/>
        <w:rPr>
          <w:rFonts w:ascii="Arial" w:hAnsi="Arial" w:cs="Arial"/>
        </w:rPr>
      </w:pPr>
    </w:p>
    <w:p w14:paraId="2801A23B" w14:textId="3871B153" w:rsidR="00A15AE2" w:rsidRPr="00EC2BE3" w:rsidRDefault="00D62760" w:rsidP="00FB0359">
      <w:pPr>
        <w:spacing w:line="276" w:lineRule="auto"/>
        <w:ind w:right="-5"/>
        <w:jc w:val="both"/>
        <w:rPr>
          <w:rFonts w:ascii="Arial" w:hAnsi="Arial" w:cs="Arial"/>
        </w:rPr>
      </w:pPr>
      <w:r w:rsidRPr="00EC2BE3">
        <w:rPr>
          <w:rFonts w:ascii="Arial" w:hAnsi="Arial" w:cs="Arial"/>
        </w:rPr>
        <w:t>Antes de entrar a revolver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1FC39945" w14:textId="77777777" w:rsidR="00A15AE2" w:rsidRPr="00EC2BE3" w:rsidRDefault="00A15AE2" w:rsidP="00EC2BE3">
      <w:pPr>
        <w:spacing w:line="276" w:lineRule="auto"/>
        <w:ind w:left="284" w:right="476"/>
        <w:jc w:val="both"/>
        <w:rPr>
          <w:rFonts w:ascii="Arial" w:hAnsi="Arial" w:cs="Arial"/>
        </w:rPr>
      </w:pPr>
    </w:p>
    <w:p w14:paraId="0015FA2A" w14:textId="77777777" w:rsidR="00F70D29" w:rsidRPr="00EC2BE3" w:rsidRDefault="00F70D29" w:rsidP="00EC2BE3">
      <w:pPr>
        <w:spacing w:line="276" w:lineRule="auto"/>
        <w:ind w:left="284" w:right="476" w:hanging="284"/>
        <w:jc w:val="both"/>
        <w:rPr>
          <w:rFonts w:ascii="Arial" w:hAnsi="Arial" w:cs="Arial"/>
          <w:b/>
        </w:rPr>
      </w:pPr>
      <w:r w:rsidRPr="00EC2BE3">
        <w:rPr>
          <w:rFonts w:ascii="Arial" w:hAnsi="Arial" w:cs="Arial"/>
          <w:b/>
        </w:rPr>
        <w:t>1.</w:t>
      </w:r>
      <w:r w:rsidRPr="00EC2BE3">
        <w:rPr>
          <w:rFonts w:ascii="Arial" w:hAnsi="Arial" w:cs="Arial"/>
        </w:rPr>
        <w:t xml:space="preserve"> </w:t>
      </w:r>
      <w:r w:rsidRPr="00EC2BE3">
        <w:rPr>
          <w:rFonts w:ascii="Arial" w:hAnsi="Arial" w:cs="Arial"/>
          <w:b/>
        </w:rPr>
        <w:t>DEL RECONOCIMIENTO DE LAS INCAPACIDADES LABORALES.</w:t>
      </w:r>
    </w:p>
    <w:p w14:paraId="0562CB0E" w14:textId="77777777" w:rsidR="00F70D29" w:rsidRPr="00EC2BE3" w:rsidRDefault="00F70D29" w:rsidP="00FB0359">
      <w:pPr>
        <w:spacing w:line="276" w:lineRule="auto"/>
        <w:ind w:right="-5"/>
        <w:jc w:val="both"/>
        <w:rPr>
          <w:rFonts w:ascii="Arial" w:hAnsi="Arial" w:cs="Arial"/>
        </w:rPr>
      </w:pPr>
    </w:p>
    <w:p w14:paraId="08A4930A" w14:textId="77777777" w:rsidR="00F70D29" w:rsidRPr="00EC2BE3" w:rsidRDefault="00F70D29" w:rsidP="00FB0359">
      <w:pPr>
        <w:spacing w:line="276" w:lineRule="auto"/>
        <w:ind w:right="-5"/>
        <w:jc w:val="both"/>
        <w:rPr>
          <w:rFonts w:ascii="Arial" w:hAnsi="Arial" w:cs="Arial"/>
        </w:rPr>
      </w:pPr>
      <w:r w:rsidRPr="00EC2BE3">
        <w:rPr>
          <w:rFonts w:ascii="Arial" w:hAnsi="Arial" w:cs="Arial"/>
        </w:rPr>
        <w:t xml:space="preserve">Se acepta por la jurisprudencia constitucional la procedencia de la acción de tutela para reconocer el pago de incapacidades médicas, cuando quien reclama no cuenta </w:t>
      </w:r>
      <w:r w:rsidRPr="00FB0359">
        <w:rPr>
          <w:rFonts w:ascii="Arial" w:hAnsi="Arial" w:cs="Arial"/>
        </w:rPr>
        <w:t>“</w:t>
      </w:r>
      <w:r w:rsidRPr="00C1628A">
        <w:rPr>
          <w:rFonts w:ascii="Arial" w:hAnsi="Arial" w:cs="Arial"/>
          <w:sz w:val="22"/>
        </w:rPr>
        <w:t>con otra fuente de ingresos para satisfacer sus necesidades básicas y las de sus núcleos familiares, o de personas en situaciones extremas de vulnerabilidad</w:t>
      </w:r>
      <w:r w:rsidRPr="00FB0359">
        <w:rPr>
          <w:rFonts w:ascii="Arial" w:hAnsi="Arial" w:cs="Arial"/>
        </w:rPr>
        <w:t xml:space="preserve">” </w:t>
      </w:r>
      <w:r w:rsidRPr="00EC2BE3">
        <w:rPr>
          <w:rFonts w:ascii="Arial" w:hAnsi="Arial" w:cs="Arial"/>
        </w:rPr>
        <w:t>-T 177 de 2013-, pues en dichos casos es necesario garantizarle la protección de sus derechos a la salud y al mínimo vital.</w:t>
      </w:r>
    </w:p>
    <w:p w14:paraId="34CE0A41" w14:textId="77777777" w:rsidR="00F70D29" w:rsidRPr="00EC2BE3" w:rsidRDefault="00F70D29" w:rsidP="00FB0359">
      <w:pPr>
        <w:spacing w:line="276" w:lineRule="auto"/>
        <w:ind w:right="-5"/>
        <w:jc w:val="both"/>
        <w:rPr>
          <w:rFonts w:ascii="Arial" w:hAnsi="Arial" w:cs="Arial"/>
        </w:rPr>
      </w:pPr>
    </w:p>
    <w:p w14:paraId="004A62CA" w14:textId="77777777" w:rsidR="00F70D29" w:rsidRPr="00EC2BE3" w:rsidRDefault="00F70D29" w:rsidP="00FB0359">
      <w:pPr>
        <w:spacing w:line="276" w:lineRule="auto"/>
        <w:ind w:right="-5"/>
        <w:jc w:val="both"/>
        <w:rPr>
          <w:rFonts w:ascii="Arial" w:hAnsi="Arial" w:cs="Arial"/>
        </w:rPr>
      </w:pPr>
      <w:r w:rsidRPr="00EC2BE3">
        <w:rPr>
          <w:rFonts w:ascii="Arial" w:hAnsi="Arial" w:cs="Arial"/>
        </w:rPr>
        <w:t>Ahora, respecto a los mecanismos ordinarios y administrativos de defensa judicial, la Corte Constitucional, en sentencia T-447 de 2017, señaló:</w:t>
      </w:r>
    </w:p>
    <w:p w14:paraId="62EBF3C5" w14:textId="77777777" w:rsidR="00F70D29" w:rsidRPr="00EC2BE3" w:rsidRDefault="00F70D29" w:rsidP="00FB0359">
      <w:pPr>
        <w:spacing w:line="276" w:lineRule="auto"/>
        <w:ind w:right="-5"/>
        <w:jc w:val="both"/>
        <w:rPr>
          <w:rFonts w:ascii="Arial" w:hAnsi="Arial" w:cs="Arial"/>
        </w:rPr>
      </w:pPr>
    </w:p>
    <w:p w14:paraId="1F04AE9D" w14:textId="77777777" w:rsidR="00F70D29" w:rsidRPr="00FB0359" w:rsidRDefault="00F70D29" w:rsidP="00FB0359">
      <w:pPr>
        <w:ind w:left="426" w:right="420"/>
        <w:jc w:val="both"/>
        <w:rPr>
          <w:rFonts w:ascii="Arial" w:hAnsi="Arial" w:cs="Arial"/>
          <w:sz w:val="22"/>
        </w:rPr>
      </w:pPr>
      <w:r w:rsidRPr="00FB0359">
        <w:rPr>
          <w:rFonts w:ascii="Arial" w:hAnsi="Arial" w:cs="Arial"/>
          <w:sz w:val="22"/>
        </w:rPr>
        <w:t>“(…) si bien existe un proceso jurisdiccional a cargo de la Superintendencia Nacional de Salud al cual el actor podría acudir para que le diriman sus pretensiones</w:t>
      </w:r>
      <w:r w:rsidRPr="00C1628A">
        <w:rPr>
          <w:rFonts w:ascii="Arial" w:hAnsi="Arial" w:cs="Arial"/>
          <w:sz w:val="22"/>
          <w:vertAlign w:val="superscript"/>
        </w:rPr>
        <w:footnoteReference w:id="1"/>
      </w:r>
      <w:r w:rsidRPr="00FB0359">
        <w:rPr>
          <w:rFonts w:ascii="Arial" w:hAnsi="Arial" w:cs="Arial"/>
          <w:sz w:val="22"/>
        </w:rPr>
        <w:t xml:space="preserve">, este </w:t>
      </w:r>
      <w:r w:rsidRPr="00FB0359">
        <w:rPr>
          <w:rFonts w:ascii="Arial" w:hAnsi="Arial" w:cs="Arial"/>
          <w:sz w:val="22"/>
        </w:rPr>
        <w:lastRenderedPageBreak/>
        <w:t>es ineficaz para la protección del derecho fundamental al mínimo vital del actor, más aún cuando esta Corte ha reconocido anteriormente que “la acción de tutela es el mecanismo idóneo para la protección de derechos fundamentales como el mínimo vital y la salud cuando el peticionario se ve desprovisto del pago de las incapacidades médicas. Esto, aun cuando el conocimiento de las reclamaciones concernientes a las prestaciones económicas del Sistema de Seguridad Social Integral corresponda, en principio, a la jurisdicción ordinaria en su especialidad laboral y de la seguridad social”</w:t>
      </w:r>
      <w:r w:rsidRPr="00C1628A">
        <w:rPr>
          <w:rFonts w:ascii="Arial" w:hAnsi="Arial" w:cs="Arial"/>
          <w:sz w:val="22"/>
          <w:vertAlign w:val="superscript"/>
        </w:rPr>
        <w:footnoteReference w:id="2"/>
      </w:r>
      <w:r w:rsidRPr="00FB0359">
        <w:rPr>
          <w:rFonts w:ascii="Arial" w:hAnsi="Arial" w:cs="Arial"/>
          <w:sz w:val="22"/>
        </w:rPr>
        <w:t xml:space="preserve">. </w:t>
      </w:r>
    </w:p>
    <w:p w14:paraId="6D98A12B" w14:textId="77777777" w:rsidR="00F70D29" w:rsidRPr="00FB0359" w:rsidRDefault="00F70D29" w:rsidP="00FB0359">
      <w:pPr>
        <w:ind w:left="426" w:right="420"/>
        <w:jc w:val="both"/>
        <w:rPr>
          <w:rFonts w:ascii="Arial" w:hAnsi="Arial" w:cs="Arial"/>
          <w:sz w:val="22"/>
        </w:rPr>
      </w:pPr>
    </w:p>
    <w:p w14:paraId="3E5BF5ED" w14:textId="77777777" w:rsidR="00F70D29" w:rsidRPr="00FB0359" w:rsidRDefault="00F70D29" w:rsidP="00FB0359">
      <w:pPr>
        <w:ind w:left="426" w:right="420"/>
        <w:jc w:val="both"/>
        <w:rPr>
          <w:rFonts w:ascii="Arial" w:hAnsi="Arial" w:cs="Arial"/>
          <w:sz w:val="22"/>
        </w:rPr>
      </w:pPr>
      <w:r w:rsidRPr="00FB0359">
        <w:rPr>
          <w:rFonts w:ascii="Arial" w:hAnsi="Arial" w:cs="Arial"/>
          <w:sz w:val="22"/>
        </w:rPr>
        <w:t>En el mismo sentido, a pesar de que el numeral 4 del artículo 2 del Código Procesal del Trabajo y de la Seguridad Social</w:t>
      </w:r>
      <w:r w:rsidRPr="00C1628A">
        <w:rPr>
          <w:rFonts w:ascii="Arial" w:hAnsi="Arial" w:cs="Arial"/>
          <w:sz w:val="22"/>
          <w:vertAlign w:val="superscript"/>
        </w:rPr>
        <w:footnoteReference w:id="3"/>
      </w:r>
      <w:r w:rsidRPr="00FB0359">
        <w:rPr>
          <w:rFonts w:ascii="Arial" w:hAnsi="Arial" w:cs="Arial"/>
          <w:sz w:val="22"/>
        </w:rPr>
        <w:t xml:space="preserve"> disponga que le corresponde a la Jurisdicción Ordinaria, en sus especialidades laboral y de seguridad social, conocer de asuntos como el que ocupa la atención de la Sala y, en principio, las reclamaciones relativas al reconocimiento y pago de incapacidades que puedan presentarse entre un afiliado y las entidades del Sistema de Seguridad Social Integral o su empleador deberían ser ventiladas por estas vía ordinaria, las consideraciones precedentes obligan a concluir que en el caso del señor López Cabrera estos no son eficaces ni idóneos.”</w:t>
      </w:r>
    </w:p>
    <w:p w14:paraId="2946DB82" w14:textId="77777777" w:rsidR="00F70D29" w:rsidRPr="00EC2BE3" w:rsidRDefault="00F70D29" w:rsidP="00EC2BE3">
      <w:pPr>
        <w:pStyle w:val="Textoindependiente"/>
        <w:spacing w:line="276" w:lineRule="auto"/>
        <w:rPr>
          <w:rFonts w:cs="Arial"/>
          <w:sz w:val="24"/>
          <w:szCs w:val="24"/>
        </w:rPr>
      </w:pPr>
    </w:p>
    <w:p w14:paraId="3788E440" w14:textId="77777777" w:rsidR="00F70D29" w:rsidRPr="00EC2BE3" w:rsidRDefault="00F70D29" w:rsidP="00EC2BE3">
      <w:pPr>
        <w:pStyle w:val="Textoindependiente"/>
        <w:spacing w:line="276" w:lineRule="auto"/>
        <w:rPr>
          <w:rFonts w:cs="Arial"/>
          <w:sz w:val="24"/>
          <w:szCs w:val="24"/>
        </w:rPr>
      </w:pPr>
      <w:r w:rsidRPr="00EC2BE3">
        <w:rPr>
          <w:rFonts w:cs="Arial"/>
          <w:sz w:val="24"/>
          <w:szCs w:val="24"/>
        </w:rPr>
        <w:t xml:space="preserve">Así las cosas, analizando la normatividad que regula el tema se tiene que, al entrar en vigencia la Ley 100 de 1993, el pago de licencias por enfermedad de origen común le fue asignado a las entidades encargadas de asegurar las contingencias en materia de seguridad social, correspondiéndole al Decreto 1406 de 1999, reglamentario de ésta última disposición, establecer que el empleador es responsable del pago de las incapacidades laborales de origen común iguales o menores a dos días y que las </w:t>
      </w:r>
      <w:proofErr w:type="spellStart"/>
      <w:r w:rsidRPr="00EC2BE3">
        <w:rPr>
          <w:rFonts w:cs="Arial"/>
          <w:sz w:val="24"/>
          <w:szCs w:val="24"/>
        </w:rPr>
        <w:t>EPS</w:t>
      </w:r>
      <w:proofErr w:type="spellEnd"/>
      <w:r w:rsidRPr="00EC2BE3">
        <w:rPr>
          <w:rFonts w:cs="Arial"/>
          <w:sz w:val="24"/>
          <w:szCs w:val="24"/>
        </w:rPr>
        <w:t xml:space="preserve"> cubren las que se causen desde entonces y hasta el día 180, siempre y cuando el empleador haya efectuado la afiliación del trabajador al </w:t>
      </w:r>
      <w:proofErr w:type="spellStart"/>
      <w:r w:rsidRPr="00EC2BE3">
        <w:rPr>
          <w:rFonts w:cs="Arial"/>
          <w:sz w:val="24"/>
          <w:szCs w:val="24"/>
        </w:rPr>
        <w:t>SGSS</w:t>
      </w:r>
      <w:proofErr w:type="spellEnd"/>
      <w:r w:rsidRPr="00EC2BE3">
        <w:rPr>
          <w:rFonts w:cs="Arial"/>
          <w:sz w:val="24"/>
          <w:szCs w:val="24"/>
        </w:rPr>
        <w:t xml:space="preserve">, porque de lo contrario, o en el evento en que se encuentre en mora en las cotizaciones sin que la </w:t>
      </w:r>
      <w:proofErr w:type="spellStart"/>
      <w:r w:rsidRPr="00EC2BE3">
        <w:rPr>
          <w:rFonts w:cs="Arial"/>
          <w:sz w:val="24"/>
          <w:szCs w:val="24"/>
        </w:rPr>
        <w:t>EPS</w:t>
      </w:r>
      <w:proofErr w:type="spellEnd"/>
      <w:r w:rsidRPr="00EC2BE3">
        <w:rPr>
          <w:rFonts w:cs="Arial"/>
          <w:sz w:val="24"/>
          <w:szCs w:val="24"/>
        </w:rPr>
        <w:t xml:space="preserve"> se hubiera allanado a ella, el pago de las incapacidades corre por su cuenta.</w:t>
      </w:r>
    </w:p>
    <w:p w14:paraId="5997CC1D" w14:textId="77777777" w:rsidR="00F70D29" w:rsidRPr="00EC2BE3" w:rsidRDefault="00F70D29" w:rsidP="00EC2BE3">
      <w:pPr>
        <w:pStyle w:val="Textoindependiente"/>
        <w:spacing w:line="276" w:lineRule="auto"/>
        <w:rPr>
          <w:rFonts w:cs="Arial"/>
          <w:sz w:val="24"/>
          <w:szCs w:val="24"/>
        </w:rPr>
      </w:pPr>
    </w:p>
    <w:p w14:paraId="79B88859" w14:textId="77777777" w:rsidR="00F70D29" w:rsidRPr="00EC2BE3" w:rsidRDefault="00F70D29" w:rsidP="00EC2BE3">
      <w:pPr>
        <w:pStyle w:val="Textoindependiente"/>
        <w:spacing w:line="276" w:lineRule="auto"/>
        <w:rPr>
          <w:rFonts w:cs="Arial"/>
          <w:sz w:val="24"/>
          <w:szCs w:val="24"/>
        </w:rPr>
      </w:pPr>
      <w:r w:rsidRPr="00EC2BE3">
        <w:rPr>
          <w:rFonts w:cs="Arial"/>
          <w:sz w:val="24"/>
          <w:szCs w:val="24"/>
        </w:rPr>
        <w:t xml:space="preserve">Ahora, la responsabilidad en el pago de las incapacidades causadas después del día 180, se rige por las disposiciones previstas en el artículo 23 del Decreto 2463 de 2001, siendo la jurisprudencia constitucional consistente en señalar que luego del día 181 de incapacidad, es la administradora de pensiones quien asume su pago, hasta tanto se defina su derecho pensional.  En ese sentido, la Corte Constitucional en sentencia T-200-17, elaboró la siguiente tabla, respecto a la responsabilidad de las entidades que integran el </w:t>
      </w:r>
      <w:proofErr w:type="spellStart"/>
      <w:r w:rsidRPr="00EC2BE3">
        <w:rPr>
          <w:rFonts w:cs="Arial"/>
          <w:sz w:val="24"/>
          <w:szCs w:val="24"/>
        </w:rPr>
        <w:t>SGSS</w:t>
      </w:r>
      <w:proofErr w:type="spellEnd"/>
      <w:r w:rsidRPr="00EC2BE3">
        <w:rPr>
          <w:rFonts w:cs="Arial"/>
          <w:sz w:val="24"/>
          <w:szCs w:val="24"/>
        </w:rPr>
        <w:t>:</w:t>
      </w:r>
    </w:p>
    <w:p w14:paraId="110FFD37" w14:textId="77777777" w:rsidR="00F70D29" w:rsidRPr="00EC2BE3" w:rsidRDefault="00F70D29" w:rsidP="00EC2BE3">
      <w:pPr>
        <w:spacing w:line="276" w:lineRule="auto"/>
        <w:ind w:right="-27"/>
        <w:jc w:val="both"/>
        <w:rPr>
          <w:rFonts w:ascii="Arial" w:hAnsi="Arial" w:cs="Arial"/>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78"/>
        <w:gridCol w:w="3142"/>
      </w:tblGrid>
      <w:tr w:rsidR="00F70D29" w:rsidRPr="00C1628A" w14:paraId="631FE447" w14:textId="77777777" w:rsidTr="009B2B1A">
        <w:tc>
          <w:tcPr>
            <w:tcW w:w="3227" w:type="dxa"/>
          </w:tcPr>
          <w:p w14:paraId="181FF30D" w14:textId="77777777" w:rsidR="00F70D29" w:rsidRPr="00C1628A" w:rsidRDefault="00F70D29" w:rsidP="00FB0359">
            <w:pPr>
              <w:widowControl w:val="0"/>
              <w:ind w:right="-93"/>
              <w:jc w:val="center"/>
              <w:rPr>
                <w:rFonts w:ascii="Arial" w:hAnsi="Arial" w:cs="Arial"/>
                <w:b/>
                <w:bCs/>
                <w:sz w:val="20"/>
              </w:rPr>
            </w:pPr>
            <w:r w:rsidRPr="00C1628A">
              <w:rPr>
                <w:rFonts w:ascii="Arial" w:hAnsi="Arial" w:cs="Arial"/>
                <w:b/>
                <w:bCs/>
                <w:sz w:val="20"/>
              </w:rPr>
              <w:t>Periodo</w:t>
            </w:r>
          </w:p>
          <w:p w14:paraId="6B699379" w14:textId="77777777" w:rsidR="00F70D29" w:rsidRPr="00C1628A" w:rsidRDefault="00F70D29" w:rsidP="00FB0359">
            <w:pPr>
              <w:widowControl w:val="0"/>
              <w:ind w:right="-93"/>
              <w:jc w:val="center"/>
              <w:rPr>
                <w:rFonts w:ascii="Arial" w:hAnsi="Arial" w:cs="Arial"/>
                <w:b/>
                <w:bCs/>
                <w:sz w:val="20"/>
              </w:rPr>
            </w:pPr>
          </w:p>
        </w:tc>
        <w:tc>
          <w:tcPr>
            <w:tcW w:w="2278" w:type="dxa"/>
          </w:tcPr>
          <w:p w14:paraId="5D2C1E78" w14:textId="77777777" w:rsidR="00F70D29" w:rsidRPr="00C1628A" w:rsidRDefault="00F70D29" w:rsidP="00FB0359">
            <w:pPr>
              <w:widowControl w:val="0"/>
              <w:ind w:right="-93"/>
              <w:jc w:val="center"/>
              <w:rPr>
                <w:rFonts w:ascii="Arial" w:hAnsi="Arial" w:cs="Arial"/>
                <w:b/>
                <w:bCs/>
                <w:sz w:val="20"/>
              </w:rPr>
            </w:pPr>
            <w:r w:rsidRPr="00C1628A">
              <w:rPr>
                <w:rFonts w:ascii="Arial" w:hAnsi="Arial" w:cs="Arial"/>
                <w:b/>
                <w:bCs/>
                <w:sz w:val="20"/>
              </w:rPr>
              <w:t>Entidad obligada</w:t>
            </w:r>
          </w:p>
        </w:tc>
        <w:tc>
          <w:tcPr>
            <w:tcW w:w="3142" w:type="dxa"/>
          </w:tcPr>
          <w:p w14:paraId="5E492D14" w14:textId="77777777" w:rsidR="00F70D29" w:rsidRPr="00C1628A" w:rsidRDefault="00F70D29" w:rsidP="00FB0359">
            <w:pPr>
              <w:widowControl w:val="0"/>
              <w:ind w:right="-93"/>
              <w:jc w:val="center"/>
              <w:rPr>
                <w:rFonts w:ascii="Arial" w:hAnsi="Arial" w:cs="Arial"/>
                <w:b/>
                <w:bCs/>
                <w:sz w:val="20"/>
              </w:rPr>
            </w:pPr>
            <w:r w:rsidRPr="00C1628A">
              <w:rPr>
                <w:rFonts w:ascii="Arial" w:hAnsi="Arial" w:cs="Arial"/>
                <w:b/>
                <w:bCs/>
                <w:sz w:val="20"/>
              </w:rPr>
              <w:t>Fuente normativa</w:t>
            </w:r>
          </w:p>
        </w:tc>
      </w:tr>
      <w:tr w:rsidR="00F70D29" w:rsidRPr="00C1628A" w14:paraId="54749917" w14:textId="77777777" w:rsidTr="009B2B1A">
        <w:tc>
          <w:tcPr>
            <w:tcW w:w="3227" w:type="dxa"/>
          </w:tcPr>
          <w:p w14:paraId="550E77B7"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t>Día 1 a 2</w:t>
            </w:r>
          </w:p>
        </w:tc>
        <w:tc>
          <w:tcPr>
            <w:tcW w:w="2278" w:type="dxa"/>
          </w:tcPr>
          <w:p w14:paraId="404A0DDF" w14:textId="77777777" w:rsidR="00F70D29" w:rsidRPr="00C1628A" w:rsidRDefault="00F70D29" w:rsidP="00FB0359">
            <w:pPr>
              <w:widowControl w:val="0"/>
              <w:ind w:right="-93"/>
              <w:rPr>
                <w:rFonts w:ascii="Arial" w:hAnsi="Arial" w:cs="Arial"/>
                <w:sz w:val="20"/>
              </w:rPr>
            </w:pPr>
            <w:r w:rsidRPr="00C1628A">
              <w:rPr>
                <w:rFonts w:ascii="Arial" w:hAnsi="Arial" w:cs="Arial"/>
                <w:sz w:val="20"/>
              </w:rPr>
              <w:t>Empleador</w:t>
            </w:r>
          </w:p>
        </w:tc>
        <w:tc>
          <w:tcPr>
            <w:tcW w:w="3142" w:type="dxa"/>
          </w:tcPr>
          <w:p w14:paraId="46F70C76"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t>Artículo 1 del Decreto 2943 de 2013</w:t>
            </w:r>
          </w:p>
        </w:tc>
      </w:tr>
      <w:tr w:rsidR="00F70D29" w:rsidRPr="00C1628A" w14:paraId="70F50427" w14:textId="77777777" w:rsidTr="009B2B1A">
        <w:tc>
          <w:tcPr>
            <w:tcW w:w="3227" w:type="dxa"/>
          </w:tcPr>
          <w:p w14:paraId="5714EACA"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t>Día 3 a 180</w:t>
            </w:r>
          </w:p>
        </w:tc>
        <w:tc>
          <w:tcPr>
            <w:tcW w:w="2278" w:type="dxa"/>
          </w:tcPr>
          <w:p w14:paraId="12F89A6F" w14:textId="77777777" w:rsidR="00F70D29" w:rsidRPr="00C1628A" w:rsidRDefault="00F70D29" w:rsidP="00FB0359">
            <w:pPr>
              <w:widowControl w:val="0"/>
              <w:ind w:right="-93"/>
              <w:rPr>
                <w:rFonts w:ascii="Arial" w:hAnsi="Arial" w:cs="Arial"/>
                <w:sz w:val="20"/>
              </w:rPr>
            </w:pPr>
            <w:proofErr w:type="spellStart"/>
            <w:r w:rsidRPr="00C1628A">
              <w:rPr>
                <w:rFonts w:ascii="Arial" w:hAnsi="Arial" w:cs="Arial"/>
                <w:sz w:val="20"/>
              </w:rPr>
              <w:t>EPS</w:t>
            </w:r>
            <w:proofErr w:type="spellEnd"/>
          </w:p>
        </w:tc>
        <w:tc>
          <w:tcPr>
            <w:tcW w:w="3142" w:type="dxa"/>
          </w:tcPr>
          <w:p w14:paraId="2CF01AB0"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t>Artículo 1 del Decreto 2943 de 2013</w:t>
            </w:r>
          </w:p>
        </w:tc>
      </w:tr>
      <w:tr w:rsidR="00F70D29" w:rsidRPr="00C1628A" w14:paraId="47E074C1" w14:textId="77777777" w:rsidTr="009B2B1A">
        <w:tc>
          <w:tcPr>
            <w:tcW w:w="3227" w:type="dxa"/>
          </w:tcPr>
          <w:p w14:paraId="6E1046FF"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lastRenderedPageBreak/>
              <w:t>Día 181 hasta un plazo de 540 días</w:t>
            </w:r>
          </w:p>
        </w:tc>
        <w:tc>
          <w:tcPr>
            <w:tcW w:w="2278" w:type="dxa"/>
          </w:tcPr>
          <w:p w14:paraId="6CFF1B32" w14:textId="77777777" w:rsidR="00F70D29" w:rsidRPr="00C1628A" w:rsidRDefault="00F70D29" w:rsidP="00FB0359">
            <w:pPr>
              <w:widowControl w:val="0"/>
              <w:ind w:right="-93"/>
              <w:rPr>
                <w:rFonts w:ascii="Arial" w:hAnsi="Arial" w:cs="Arial"/>
                <w:sz w:val="20"/>
              </w:rPr>
            </w:pPr>
            <w:r w:rsidRPr="00C1628A">
              <w:rPr>
                <w:rFonts w:ascii="Arial" w:hAnsi="Arial" w:cs="Arial"/>
                <w:sz w:val="20"/>
              </w:rPr>
              <w:t>Fondo de Pensiones</w:t>
            </w:r>
          </w:p>
        </w:tc>
        <w:tc>
          <w:tcPr>
            <w:tcW w:w="3142" w:type="dxa"/>
          </w:tcPr>
          <w:p w14:paraId="1337C25A"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t>Artículo 52 de la Ley 962 de 2005</w:t>
            </w:r>
          </w:p>
        </w:tc>
      </w:tr>
      <w:tr w:rsidR="00F70D29" w:rsidRPr="00C1628A" w14:paraId="6CDF01B7" w14:textId="77777777" w:rsidTr="009B2B1A">
        <w:tc>
          <w:tcPr>
            <w:tcW w:w="3227" w:type="dxa"/>
          </w:tcPr>
          <w:p w14:paraId="2C48BCE8"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t>Día 541 en adelante</w:t>
            </w:r>
          </w:p>
        </w:tc>
        <w:tc>
          <w:tcPr>
            <w:tcW w:w="2278" w:type="dxa"/>
          </w:tcPr>
          <w:p w14:paraId="5EBE01AF" w14:textId="77777777" w:rsidR="00F70D29" w:rsidRPr="00C1628A" w:rsidRDefault="00F70D29" w:rsidP="00FB0359">
            <w:pPr>
              <w:widowControl w:val="0"/>
              <w:ind w:right="-93"/>
              <w:rPr>
                <w:rFonts w:ascii="Arial" w:hAnsi="Arial" w:cs="Arial"/>
                <w:sz w:val="20"/>
              </w:rPr>
            </w:pPr>
            <w:proofErr w:type="spellStart"/>
            <w:r w:rsidRPr="00C1628A">
              <w:rPr>
                <w:rFonts w:ascii="Arial" w:hAnsi="Arial" w:cs="Arial"/>
                <w:sz w:val="20"/>
              </w:rPr>
              <w:t>EPS</w:t>
            </w:r>
            <w:proofErr w:type="spellEnd"/>
            <w:r w:rsidRPr="00C1628A">
              <w:rPr>
                <w:rStyle w:val="Refdenotaalpie"/>
                <w:rFonts w:ascii="Arial" w:hAnsi="Arial" w:cs="Arial"/>
                <w:sz w:val="20"/>
              </w:rPr>
              <w:footnoteReference w:id="4"/>
            </w:r>
          </w:p>
        </w:tc>
        <w:tc>
          <w:tcPr>
            <w:tcW w:w="3142" w:type="dxa"/>
          </w:tcPr>
          <w:p w14:paraId="39FF9BD8" w14:textId="77777777" w:rsidR="00F70D29" w:rsidRPr="00C1628A" w:rsidRDefault="00F70D29" w:rsidP="00FB0359">
            <w:pPr>
              <w:widowControl w:val="0"/>
              <w:ind w:right="-93"/>
              <w:jc w:val="both"/>
              <w:rPr>
                <w:rFonts w:ascii="Arial" w:hAnsi="Arial" w:cs="Arial"/>
                <w:sz w:val="20"/>
              </w:rPr>
            </w:pPr>
            <w:r w:rsidRPr="00C1628A">
              <w:rPr>
                <w:rFonts w:ascii="Arial" w:hAnsi="Arial" w:cs="Arial"/>
                <w:sz w:val="20"/>
              </w:rPr>
              <w:t>Artículo 67 de la Ley 1753 de 2015</w:t>
            </w:r>
          </w:p>
        </w:tc>
      </w:tr>
    </w:tbl>
    <w:p w14:paraId="1F72F646" w14:textId="77777777" w:rsidR="00F70D29" w:rsidRPr="00EC2BE3" w:rsidRDefault="00F70D29" w:rsidP="00EC2BE3">
      <w:pPr>
        <w:spacing w:line="276" w:lineRule="auto"/>
        <w:ind w:right="-27"/>
        <w:jc w:val="both"/>
        <w:rPr>
          <w:rFonts w:ascii="Arial" w:hAnsi="Arial" w:cs="Arial"/>
          <w:i/>
          <w:iCs/>
          <w:color w:val="000000"/>
          <w:bdr w:val="none" w:sz="0" w:space="0" w:color="auto" w:frame="1"/>
          <w:shd w:val="clear" w:color="auto" w:fill="FFFFFF"/>
          <w:lang w:val="es-ES_tradnl"/>
        </w:rPr>
      </w:pPr>
    </w:p>
    <w:p w14:paraId="0ADB45E1" w14:textId="77777777" w:rsidR="00D34EFD" w:rsidRPr="00EC2BE3" w:rsidRDefault="00F70D29" w:rsidP="00EC2BE3">
      <w:pPr>
        <w:spacing w:line="276" w:lineRule="auto"/>
        <w:ind w:right="-27"/>
        <w:jc w:val="both"/>
        <w:rPr>
          <w:rFonts w:ascii="Arial" w:hAnsi="Arial" w:cs="Arial"/>
          <w:iCs/>
          <w:color w:val="000000"/>
          <w:bdr w:val="none" w:sz="0" w:space="0" w:color="auto" w:frame="1"/>
          <w:shd w:val="clear" w:color="auto" w:fill="FFFFFF"/>
          <w:lang w:val="es-ES_tradnl"/>
        </w:rPr>
      </w:pPr>
      <w:r w:rsidRPr="00EC2BE3">
        <w:rPr>
          <w:rFonts w:ascii="Arial" w:hAnsi="Arial" w:cs="Arial"/>
          <w:iCs/>
          <w:color w:val="000000"/>
          <w:bdr w:val="none" w:sz="0" w:space="0" w:color="auto" w:frame="1"/>
          <w:shd w:val="clear" w:color="auto" w:fill="FFFFFF"/>
          <w:lang w:val="es-ES_tradnl"/>
        </w:rPr>
        <w:t xml:space="preserve">Frente </w:t>
      </w:r>
      <w:r w:rsidR="00D34EFD" w:rsidRPr="00EC2BE3">
        <w:rPr>
          <w:rFonts w:ascii="Arial" w:hAnsi="Arial" w:cs="Arial"/>
          <w:iCs/>
          <w:color w:val="000000"/>
          <w:bdr w:val="none" w:sz="0" w:space="0" w:color="auto" w:frame="1"/>
          <w:shd w:val="clear" w:color="auto" w:fill="FFFFFF"/>
          <w:lang w:val="es-ES_tradnl"/>
        </w:rPr>
        <w:t>a las incapacidades que se generan con posterioridad al día 540, la Corte Constitucional en la sentencia T-265-22 precisó:</w:t>
      </w:r>
    </w:p>
    <w:p w14:paraId="08CE6F91" w14:textId="77777777" w:rsidR="00D34EFD" w:rsidRPr="00EC2BE3" w:rsidRDefault="00D34EFD" w:rsidP="00EC2BE3">
      <w:pPr>
        <w:spacing w:line="276" w:lineRule="auto"/>
        <w:ind w:right="-27"/>
        <w:jc w:val="both"/>
        <w:rPr>
          <w:rFonts w:ascii="Arial" w:hAnsi="Arial" w:cs="Arial"/>
          <w:i/>
          <w:iCs/>
          <w:color w:val="000000"/>
          <w:bdr w:val="none" w:sz="0" w:space="0" w:color="auto" w:frame="1"/>
          <w:shd w:val="clear" w:color="auto" w:fill="FFFFFF"/>
          <w:lang w:val="es-ES_tradnl"/>
        </w:rPr>
      </w:pPr>
    </w:p>
    <w:p w14:paraId="3DB61746" w14:textId="7C20DABA" w:rsidR="00D37569" w:rsidRPr="00FB0359" w:rsidRDefault="00D34EFD" w:rsidP="00C1628A">
      <w:pPr>
        <w:ind w:left="426" w:right="420"/>
        <w:jc w:val="both"/>
        <w:rPr>
          <w:rFonts w:ascii="Arial" w:hAnsi="Arial" w:cs="Arial"/>
          <w:sz w:val="22"/>
        </w:rPr>
      </w:pPr>
      <w:r w:rsidRPr="00FB0359">
        <w:rPr>
          <w:rFonts w:ascii="Arial" w:hAnsi="Arial" w:cs="Arial"/>
          <w:sz w:val="22"/>
        </w:rPr>
        <w:t>“5.7. En conclusión, es indiscutible señalar que, con posterioridad a la vigencia de la Ley 1753 de 2015, el déficit de protección que existía con relación al pago de incapacidades superiores a los 540 días a favor de personas que contaban con pérdida de capacidad laboral inferior al 50% quedó superado. Por lo tanto, tal como ha sido ampliamente reiterado por la jurisprudencia constitucional, el pago de dichas prestaciones económicas debe ser asumido por las Entidades Promotoras de Salud, conforme a lo dispuesto en el artículo 67 de Ley 1753 de 2015</w:t>
      </w:r>
      <w:r w:rsidR="00F70D29" w:rsidRPr="00FB0359">
        <w:rPr>
          <w:rFonts w:ascii="Arial" w:hAnsi="Arial" w:cs="Arial"/>
          <w:sz w:val="22"/>
        </w:rPr>
        <w:t>”.</w:t>
      </w:r>
    </w:p>
    <w:p w14:paraId="6BB9E253" w14:textId="77777777" w:rsidR="00D34EFD" w:rsidRPr="00EC2BE3" w:rsidRDefault="00D34EFD" w:rsidP="00EC2BE3">
      <w:pPr>
        <w:spacing w:line="276" w:lineRule="auto"/>
        <w:ind w:right="-27"/>
        <w:jc w:val="both"/>
        <w:rPr>
          <w:rFonts w:ascii="Arial" w:hAnsi="Arial" w:cs="Arial"/>
          <w:b/>
        </w:rPr>
      </w:pPr>
    </w:p>
    <w:p w14:paraId="018CEB51" w14:textId="77777777" w:rsidR="00D62760" w:rsidRPr="00EC2BE3" w:rsidRDefault="00D34EFD" w:rsidP="00EC2BE3">
      <w:pPr>
        <w:spacing w:line="276" w:lineRule="auto"/>
        <w:ind w:right="-27"/>
        <w:jc w:val="both"/>
        <w:rPr>
          <w:rFonts w:ascii="Arial" w:hAnsi="Arial" w:cs="Arial"/>
        </w:rPr>
      </w:pPr>
      <w:r w:rsidRPr="00EC2BE3">
        <w:rPr>
          <w:rFonts w:ascii="Arial" w:hAnsi="Arial" w:cs="Arial"/>
          <w:b/>
          <w:bCs/>
        </w:rPr>
        <w:t>2</w:t>
      </w:r>
      <w:r w:rsidR="00D0197B" w:rsidRPr="00EC2BE3">
        <w:rPr>
          <w:rFonts w:ascii="Arial" w:hAnsi="Arial" w:cs="Arial"/>
          <w:b/>
          <w:bCs/>
        </w:rPr>
        <w:t xml:space="preserve">. </w:t>
      </w:r>
      <w:r w:rsidR="00D62760" w:rsidRPr="00EC2BE3">
        <w:rPr>
          <w:rFonts w:ascii="Arial" w:hAnsi="Arial" w:cs="Arial"/>
          <w:b/>
          <w:bCs/>
        </w:rPr>
        <w:t>CASO CONCRETO</w:t>
      </w:r>
    </w:p>
    <w:p w14:paraId="42C2B6DD" w14:textId="3332B545" w:rsidR="673A588C" w:rsidRPr="00EC2BE3" w:rsidRDefault="673A588C" w:rsidP="00EC2BE3">
      <w:pPr>
        <w:spacing w:line="276" w:lineRule="auto"/>
        <w:jc w:val="both"/>
        <w:rPr>
          <w:rFonts w:ascii="Arial" w:hAnsi="Arial" w:cs="Arial"/>
        </w:rPr>
      </w:pPr>
    </w:p>
    <w:p w14:paraId="242D29EF" w14:textId="42A3925B" w:rsidR="00DD52DD" w:rsidRPr="00EC2BE3" w:rsidRDefault="00DD52DD" w:rsidP="00EC2BE3">
      <w:pPr>
        <w:spacing w:line="276" w:lineRule="auto"/>
        <w:jc w:val="both"/>
        <w:rPr>
          <w:rFonts w:ascii="Arial" w:hAnsi="Arial" w:cs="Arial"/>
        </w:rPr>
      </w:pPr>
      <w:r w:rsidRPr="00EC2BE3">
        <w:rPr>
          <w:rFonts w:ascii="Arial" w:hAnsi="Arial" w:cs="Arial"/>
        </w:rPr>
        <w:t>E</w:t>
      </w:r>
      <w:r w:rsidR="00D34EFD" w:rsidRPr="00EC2BE3">
        <w:rPr>
          <w:rFonts w:ascii="Arial" w:hAnsi="Arial" w:cs="Arial"/>
        </w:rPr>
        <w:t xml:space="preserve">ntendiendo, como lo ha hecho la Corte Constitucional, que las incapacidades representan el único medio de subsistencia de los afiliados que </w:t>
      </w:r>
      <w:r w:rsidR="009156FB" w:rsidRPr="00EC2BE3">
        <w:rPr>
          <w:rFonts w:ascii="Arial" w:hAnsi="Arial" w:cs="Arial"/>
        </w:rPr>
        <w:t xml:space="preserve">se </w:t>
      </w:r>
      <w:r w:rsidR="00D34EFD" w:rsidRPr="00EC2BE3">
        <w:rPr>
          <w:rFonts w:ascii="Arial" w:hAnsi="Arial" w:cs="Arial"/>
        </w:rPr>
        <w:t xml:space="preserve">encuentran imposibilitados para trabajar por su condición de salud, es claro que resulta procedente la acción de tutela para procurar su pago como consecuencia </w:t>
      </w:r>
      <w:r w:rsidR="009156FB" w:rsidRPr="00EC2BE3">
        <w:rPr>
          <w:rFonts w:ascii="Arial" w:hAnsi="Arial" w:cs="Arial"/>
        </w:rPr>
        <w:t>de</w:t>
      </w:r>
      <w:r w:rsidR="00D34EFD" w:rsidRPr="00EC2BE3">
        <w:rPr>
          <w:rFonts w:ascii="Arial" w:hAnsi="Arial" w:cs="Arial"/>
        </w:rPr>
        <w:t xml:space="preserve"> la protección al mínimo vital como derecho fundamental, afectado con </w:t>
      </w:r>
      <w:r w:rsidR="009156FB" w:rsidRPr="00EC2BE3">
        <w:rPr>
          <w:rFonts w:ascii="Arial" w:hAnsi="Arial" w:cs="Arial"/>
        </w:rPr>
        <w:t xml:space="preserve">la </w:t>
      </w:r>
      <w:r w:rsidR="00D34EFD" w:rsidRPr="00EC2BE3">
        <w:rPr>
          <w:rFonts w:ascii="Arial" w:hAnsi="Arial" w:cs="Arial"/>
        </w:rPr>
        <w:t>nega</w:t>
      </w:r>
      <w:r w:rsidR="009156FB" w:rsidRPr="00EC2BE3">
        <w:rPr>
          <w:rFonts w:ascii="Arial" w:hAnsi="Arial" w:cs="Arial"/>
        </w:rPr>
        <w:t xml:space="preserve">tiva </w:t>
      </w:r>
      <w:r w:rsidR="00D34EFD" w:rsidRPr="00EC2BE3">
        <w:rPr>
          <w:rFonts w:ascii="Arial" w:hAnsi="Arial" w:cs="Arial"/>
        </w:rPr>
        <w:t xml:space="preserve">de las entidades que conforman el sistema de seguridad </w:t>
      </w:r>
      <w:r w:rsidR="04B9E260" w:rsidRPr="00EC2BE3">
        <w:rPr>
          <w:rFonts w:ascii="Arial" w:hAnsi="Arial" w:cs="Arial"/>
        </w:rPr>
        <w:t xml:space="preserve">Social </w:t>
      </w:r>
      <w:r w:rsidR="0047138D" w:rsidRPr="00EC2BE3">
        <w:rPr>
          <w:rFonts w:ascii="Arial" w:hAnsi="Arial" w:cs="Arial"/>
        </w:rPr>
        <w:t>de asumir tales obligaciones</w:t>
      </w:r>
      <w:r w:rsidR="009156FB" w:rsidRPr="00EC2BE3">
        <w:rPr>
          <w:rFonts w:ascii="Arial" w:hAnsi="Arial" w:cs="Arial"/>
        </w:rPr>
        <w:t xml:space="preserve"> a pesar de estar a su cargo</w:t>
      </w:r>
      <w:r w:rsidR="0047138D" w:rsidRPr="00EC2BE3">
        <w:rPr>
          <w:rFonts w:ascii="Arial" w:hAnsi="Arial" w:cs="Arial"/>
        </w:rPr>
        <w:t>, argumentos que también soportan la</w:t>
      </w:r>
      <w:r w:rsidRPr="00EC2BE3">
        <w:rPr>
          <w:rFonts w:ascii="Arial" w:hAnsi="Arial" w:cs="Arial"/>
        </w:rPr>
        <w:t xml:space="preserve"> falta de idoneidad y eficacia de los me</w:t>
      </w:r>
      <w:r w:rsidR="0047138D" w:rsidRPr="00EC2BE3">
        <w:rPr>
          <w:rFonts w:ascii="Arial" w:hAnsi="Arial" w:cs="Arial"/>
        </w:rPr>
        <w:t>dios</w:t>
      </w:r>
      <w:r w:rsidRPr="00EC2BE3">
        <w:rPr>
          <w:rFonts w:ascii="Arial" w:hAnsi="Arial" w:cs="Arial"/>
        </w:rPr>
        <w:t xml:space="preserve"> ordinarios y administrativos de defensa judicial para dar </w:t>
      </w:r>
      <w:r w:rsidR="0047138D" w:rsidRPr="00EC2BE3">
        <w:rPr>
          <w:rFonts w:ascii="Arial" w:hAnsi="Arial" w:cs="Arial"/>
        </w:rPr>
        <w:t>oportuna</w:t>
      </w:r>
      <w:r w:rsidRPr="00EC2BE3">
        <w:rPr>
          <w:rFonts w:ascii="Arial" w:hAnsi="Arial" w:cs="Arial"/>
        </w:rPr>
        <w:t xml:space="preserve"> solución </w:t>
      </w:r>
      <w:r w:rsidR="0047138D" w:rsidRPr="00EC2BE3">
        <w:rPr>
          <w:rFonts w:ascii="Arial" w:hAnsi="Arial" w:cs="Arial"/>
        </w:rPr>
        <w:t xml:space="preserve">la situación de vulnerabilidad a la que </w:t>
      </w:r>
      <w:r w:rsidR="3F316506" w:rsidRPr="00EC2BE3">
        <w:rPr>
          <w:rFonts w:ascii="Arial" w:hAnsi="Arial" w:cs="Arial"/>
        </w:rPr>
        <w:t xml:space="preserve">se </w:t>
      </w:r>
      <w:r w:rsidR="0047138D" w:rsidRPr="00EC2BE3">
        <w:rPr>
          <w:rFonts w:ascii="Arial" w:hAnsi="Arial" w:cs="Arial"/>
        </w:rPr>
        <w:t>exponen los afectados.</w:t>
      </w:r>
    </w:p>
    <w:p w14:paraId="23DE523C" w14:textId="77777777" w:rsidR="0047138D" w:rsidRPr="00EC2BE3" w:rsidRDefault="0047138D" w:rsidP="00EC2BE3">
      <w:pPr>
        <w:spacing w:line="276" w:lineRule="auto"/>
        <w:jc w:val="both"/>
        <w:rPr>
          <w:rFonts w:ascii="Arial" w:hAnsi="Arial" w:cs="Arial"/>
        </w:rPr>
      </w:pPr>
    </w:p>
    <w:p w14:paraId="40814C15" w14:textId="50699663" w:rsidR="0047138D" w:rsidRPr="00EC2BE3" w:rsidRDefault="0047138D" w:rsidP="00EC2BE3">
      <w:pPr>
        <w:spacing w:line="276" w:lineRule="auto"/>
        <w:jc w:val="both"/>
        <w:rPr>
          <w:rFonts w:ascii="Arial" w:hAnsi="Arial" w:cs="Arial"/>
        </w:rPr>
      </w:pPr>
      <w:r w:rsidRPr="00EC2BE3">
        <w:rPr>
          <w:rFonts w:ascii="Arial" w:hAnsi="Arial" w:cs="Arial"/>
        </w:rPr>
        <w:t>Dicho esto, es necesario precisar en est</w:t>
      </w:r>
      <w:r w:rsidR="2ACCD245" w:rsidRPr="00EC2BE3">
        <w:rPr>
          <w:rFonts w:ascii="Arial" w:hAnsi="Arial" w:cs="Arial"/>
        </w:rPr>
        <w:t>e</w:t>
      </w:r>
      <w:r w:rsidRPr="00EC2BE3">
        <w:rPr>
          <w:rFonts w:ascii="Arial" w:hAnsi="Arial" w:cs="Arial"/>
        </w:rPr>
        <w:t xml:space="preserve"> asunto que, de acuerdo con las pruebas adosadas el plenario</w:t>
      </w:r>
      <w:r w:rsidR="00553BBD" w:rsidRPr="00EC2BE3">
        <w:rPr>
          <w:rFonts w:ascii="Arial" w:hAnsi="Arial" w:cs="Arial"/>
        </w:rPr>
        <w:t xml:space="preserve"> -</w:t>
      </w:r>
      <w:r w:rsidR="00553BBD" w:rsidRPr="00EC2BE3">
        <w:rPr>
          <w:rFonts w:ascii="Arial" w:hAnsi="Arial" w:cs="Arial"/>
          <w:i/>
          <w:iCs/>
        </w:rPr>
        <w:t>numerales 4 y 5 del cuaderno digital de primera instancia</w:t>
      </w:r>
      <w:r w:rsidR="00553BBD" w:rsidRPr="00EC2BE3">
        <w:rPr>
          <w:rFonts w:ascii="Arial" w:hAnsi="Arial" w:cs="Arial"/>
        </w:rPr>
        <w:t>-</w:t>
      </w:r>
      <w:r w:rsidRPr="00EC2BE3">
        <w:rPr>
          <w:rFonts w:ascii="Arial" w:hAnsi="Arial" w:cs="Arial"/>
        </w:rPr>
        <w:t xml:space="preserve">,  a la señora Clara Rosa Restrepo Gómez, en virtud </w:t>
      </w:r>
      <w:r w:rsidR="59D7ED7F" w:rsidRPr="00EC2BE3">
        <w:rPr>
          <w:rFonts w:ascii="Arial" w:hAnsi="Arial" w:cs="Arial"/>
        </w:rPr>
        <w:t>de</w:t>
      </w:r>
      <w:r w:rsidRPr="00EC2BE3">
        <w:rPr>
          <w:rFonts w:ascii="Arial" w:hAnsi="Arial" w:cs="Arial"/>
        </w:rPr>
        <w:t xml:space="preserve"> tutela previa</w:t>
      </w:r>
      <w:r w:rsidR="6F541BB8" w:rsidRPr="00EC2BE3">
        <w:rPr>
          <w:rFonts w:ascii="Arial" w:hAnsi="Arial" w:cs="Arial"/>
        </w:rPr>
        <w:t>,</w:t>
      </w:r>
      <w:r w:rsidRPr="00EC2BE3">
        <w:rPr>
          <w:rFonts w:ascii="Arial" w:hAnsi="Arial" w:cs="Arial"/>
        </w:rPr>
        <w:t xml:space="preserve"> cuyo conocimiento le correspondió al Juzgado Segundo Laboral del Circuito de Pereira, le fueron canceladas</w:t>
      </w:r>
      <w:r w:rsidR="00553BBD" w:rsidRPr="00EC2BE3">
        <w:rPr>
          <w:rFonts w:ascii="Arial" w:hAnsi="Arial" w:cs="Arial"/>
        </w:rPr>
        <w:t xml:space="preserve"> por parte de Colpensiones</w:t>
      </w:r>
      <w:r w:rsidRPr="00EC2BE3">
        <w:rPr>
          <w:rFonts w:ascii="Arial" w:hAnsi="Arial" w:cs="Arial"/>
        </w:rPr>
        <w:t xml:space="preserve"> las incapacidades generadas desde el día 3 de enero de 2022 hasta el 15 de enero de 2023</w:t>
      </w:r>
      <w:r w:rsidR="00553BBD" w:rsidRPr="00EC2BE3">
        <w:rPr>
          <w:rFonts w:ascii="Arial" w:hAnsi="Arial" w:cs="Arial"/>
        </w:rPr>
        <w:t xml:space="preserve"> por parte de Colpensiones, es decir por 540 días, por lo que ningún análisis merece tal actuación en esta Sede.</w:t>
      </w:r>
    </w:p>
    <w:p w14:paraId="52E56223" w14:textId="77777777" w:rsidR="00DD52DD" w:rsidRPr="00EC2BE3" w:rsidRDefault="00DD52DD" w:rsidP="00EC2BE3">
      <w:pPr>
        <w:spacing w:line="276" w:lineRule="auto"/>
        <w:jc w:val="both"/>
        <w:rPr>
          <w:rFonts w:ascii="Arial" w:hAnsi="Arial" w:cs="Arial"/>
        </w:rPr>
      </w:pPr>
    </w:p>
    <w:p w14:paraId="46ED11F2" w14:textId="02EB534F" w:rsidR="00553BBD" w:rsidRPr="00EC2BE3" w:rsidRDefault="00553BBD" w:rsidP="00EC2BE3">
      <w:pPr>
        <w:spacing w:line="276" w:lineRule="auto"/>
        <w:jc w:val="both"/>
        <w:rPr>
          <w:rFonts w:ascii="Arial" w:hAnsi="Arial" w:cs="Arial"/>
        </w:rPr>
      </w:pPr>
      <w:r w:rsidRPr="00EC2BE3">
        <w:rPr>
          <w:rFonts w:ascii="Arial" w:hAnsi="Arial" w:cs="Arial"/>
        </w:rPr>
        <w:t xml:space="preserve">Sin embargo, era necesario </w:t>
      </w:r>
      <w:r w:rsidR="009B2B1A" w:rsidRPr="00EC2BE3">
        <w:rPr>
          <w:rFonts w:ascii="Arial" w:hAnsi="Arial" w:cs="Arial"/>
        </w:rPr>
        <w:t xml:space="preserve">lo anterior para </w:t>
      </w:r>
      <w:r w:rsidRPr="00EC2BE3">
        <w:rPr>
          <w:rFonts w:ascii="Arial" w:hAnsi="Arial" w:cs="Arial"/>
        </w:rPr>
        <w:t xml:space="preserve">precisar que las incapacidades generadas con posterioridad, siempre y cuando correspondan al mismo diagnóstico, deben ser asumidas por la Nueva </w:t>
      </w:r>
      <w:proofErr w:type="spellStart"/>
      <w:r w:rsidRPr="00EC2BE3">
        <w:rPr>
          <w:rFonts w:ascii="Arial" w:hAnsi="Arial" w:cs="Arial"/>
        </w:rPr>
        <w:t>EPS</w:t>
      </w:r>
      <w:proofErr w:type="spellEnd"/>
      <w:r w:rsidRPr="00EC2BE3">
        <w:rPr>
          <w:rFonts w:ascii="Arial" w:hAnsi="Arial" w:cs="Arial"/>
        </w:rPr>
        <w:t>, conforme las consideraciones antes vertidas, sin que sea oportuno considera</w:t>
      </w:r>
      <w:r w:rsidR="09776A2F" w:rsidRPr="00EC2BE3">
        <w:rPr>
          <w:rFonts w:ascii="Arial" w:hAnsi="Arial" w:cs="Arial"/>
        </w:rPr>
        <w:t>r</w:t>
      </w:r>
      <w:r w:rsidRPr="00EC2BE3">
        <w:rPr>
          <w:rFonts w:ascii="Arial" w:hAnsi="Arial" w:cs="Arial"/>
        </w:rPr>
        <w:t xml:space="preserve"> que lo que debe proceder en este caso es el reintegro de la trabajadora a su sitio de trabajo, pues es claro que no </w:t>
      </w:r>
      <w:r w:rsidR="2B510467" w:rsidRPr="00EC2BE3">
        <w:rPr>
          <w:rFonts w:ascii="Arial" w:hAnsi="Arial" w:cs="Arial"/>
        </w:rPr>
        <w:t xml:space="preserve">se </w:t>
      </w:r>
      <w:r w:rsidRPr="00EC2BE3">
        <w:rPr>
          <w:rFonts w:ascii="Arial" w:hAnsi="Arial" w:cs="Arial"/>
        </w:rPr>
        <w:t>encuentra en condiciones para ello, ya que viene siendo incapacitada de manera consecutiva</w:t>
      </w:r>
      <w:r w:rsidR="00263B8C" w:rsidRPr="00EC2BE3">
        <w:rPr>
          <w:rFonts w:ascii="Arial" w:hAnsi="Arial" w:cs="Arial"/>
        </w:rPr>
        <w:t xml:space="preserve"> y</w:t>
      </w:r>
      <w:r w:rsidRPr="00EC2BE3">
        <w:rPr>
          <w:rFonts w:ascii="Arial" w:hAnsi="Arial" w:cs="Arial"/>
        </w:rPr>
        <w:t xml:space="preserve"> </w:t>
      </w:r>
      <w:r w:rsidR="00263B8C" w:rsidRPr="00EC2BE3">
        <w:rPr>
          <w:rFonts w:ascii="Arial" w:hAnsi="Arial" w:cs="Arial"/>
        </w:rPr>
        <w:t xml:space="preserve">fue calificada con un pérdida de capacidad laboral de 33.80%, dictamen que si bien no se encuentra en firme porque la Junta Regional de Calificación de Invalidez debe pronunciarse en torno a las informidades presentadas por la actora, de algún modo evidencia la merma en la condiciones de salud de la actora que han impedido que retorne a cumplir sus funciones como madre comunitaria, lo cual ha sido avalado por </w:t>
      </w:r>
      <w:r w:rsidR="00263B8C" w:rsidRPr="00EC2BE3">
        <w:rPr>
          <w:rFonts w:ascii="Arial" w:hAnsi="Arial" w:cs="Arial"/>
        </w:rPr>
        <w:lastRenderedPageBreak/>
        <w:t>su médico tratante, pues no otra cosa explica por qué e</w:t>
      </w:r>
      <w:r w:rsidR="5746588E" w:rsidRPr="00EC2BE3">
        <w:rPr>
          <w:rFonts w:ascii="Arial" w:hAnsi="Arial" w:cs="Arial"/>
        </w:rPr>
        <w:t>s</w:t>
      </w:r>
      <w:r w:rsidR="00263B8C" w:rsidRPr="00EC2BE3">
        <w:rPr>
          <w:rFonts w:ascii="Arial" w:hAnsi="Arial" w:cs="Arial"/>
        </w:rPr>
        <w:t>te continúa expidiendo licencias por enfermedad a su nombre.</w:t>
      </w:r>
    </w:p>
    <w:p w14:paraId="07547A01" w14:textId="77777777" w:rsidR="00263B8C" w:rsidRPr="00EC2BE3" w:rsidRDefault="00263B8C" w:rsidP="00EC2BE3">
      <w:pPr>
        <w:spacing w:line="276" w:lineRule="auto"/>
        <w:jc w:val="both"/>
        <w:rPr>
          <w:rFonts w:ascii="Arial" w:hAnsi="Arial" w:cs="Arial"/>
        </w:rPr>
      </w:pPr>
    </w:p>
    <w:p w14:paraId="3850C9BF" w14:textId="77777777" w:rsidR="00DD52DD" w:rsidRPr="00EC2BE3" w:rsidRDefault="00DD52DD" w:rsidP="00EC2BE3">
      <w:pPr>
        <w:spacing w:line="276" w:lineRule="auto"/>
        <w:jc w:val="both"/>
        <w:rPr>
          <w:rFonts w:ascii="Arial" w:hAnsi="Arial" w:cs="Arial"/>
        </w:rPr>
      </w:pPr>
      <w:r w:rsidRPr="00EC2BE3">
        <w:rPr>
          <w:rFonts w:ascii="Arial" w:hAnsi="Arial" w:cs="Arial"/>
        </w:rPr>
        <w:t xml:space="preserve">Es así entonces que en este </w:t>
      </w:r>
      <w:r w:rsidR="009B2B1A" w:rsidRPr="00EC2BE3">
        <w:rPr>
          <w:rFonts w:ascii="Arial" w:hAnsi="Arial" w:cs="Arial"/>
        </w:rPr>
        <w:t xml:space="preserve">asunto se tiene que la actora viene siendo incapacitada por el diagnóstico M069 (Artritis reumatoide, no especificada) desde el 16 de enero al 22 de abril  de 2023 y del  23 de abril al 20 de mayo de 2023, por los diagnósticos M059 y M150 (Artritis </w:t>
      </w:r>
      <w:proofErr w:type="spellStart"/>
      <w:r w:rsidR="009B2B1A" w:rsidRPr="00EC2BE3">
        <w:rPr>
          <w:rFonts w:ascii="Arial" w:hAnsi="Arial" w:cs="Arial"/>
        </w:rPr>
        <w:t>reumatoideas</w:t>
      </w:r>
      <w:proofErr w:type="spellEnd"/>
      <w:r w:rsidR="009B2B1A" w:rsidRPr="00EC2BE3">
        <w:rPr>
          <w:rFonts w:ascii="Arial" w:hAnsi="Arial" w:cs="Arial"/>
        </w:rPr>
        <w:t xml:space="preserve"> seropositivas y (</w:t>
      </w:r>
      <w:proofErr w:type="spellStart"/>
      <w:r w:rsidR="009B2B1A" w:rsidRPr="00EC2BE3">
        <w:rPr>
          <w:rFonts w:ascii="Arial" w:hAnsi="Arial" w:cs="Arial"/>
        </w:rPr>
        <w:t>Osteo</w:t>
      </w:r>
      <w:proofErr w:type="spellEnd"/>
      <w:r w:rsidR="009B2B1A" w:rsidRPr="00EC2BE3">
        <w:rPr>
          <w:rFonts w:ascii="Arial" w:hAnsi="Arial" w:cs="Arial"/>
        </w:rPr>
        <w:t>) artrosis primaria generalizada)</w:t>
      </w:r>
      <w:r w:rsidR="003202D2" w:rsidRPr="00EC2BE3">
        <w:rPr>
          <w:rFonts w:ascii="Arial" w:hAnsi="Arial" w:cs="Arial"/>
        </w:rPr>
        <w:t xml:space="preserve"> -Clasificación Internacional de Enfermedades CIE-</w:t>
      </w:r>
      <w:r w:rsidR="009B2B1A" w:rsidRPr="00EC2BE3">
        <w:rPr>
          <w:rFonts w:ascii="Arial" w:hAnsi="Arial" w:cs="Arial"/>
        </w:rPr>
        <w:t xml:space="preserve">, lo que indica que trata de incapacidades ininterrumpidas por la misma enfermedad, por lo que ninguna discusión ofrece el hecho de que su pago está a cargo de la Nueva </w:t>
      </w:r>
      <w:proofErr w:type="spellStart"/>
      <w:r w:rsidR="009B2B1A" w:rsidRPr="00EC2BE3">
        <w:rPr>
          <w:rFonts w:ascii="Arial" w:hAnsi="Arial" w:cs="Arial"/>
        </w:rPr>
        <w:t>EPS</w:t>
      </w:r>
      <w:proofErr w:type="spellEnd"/>
      <w:r w:rsidR="009B2B1A" w:rsidRPr="00EC2BE3">
        <w:rPr>
          <w:rFonts w:ascii="Arial" w:hAnsi="Arial" w:cs="Arial"/>
        </w:rPr>
        <w:t>, tal como lo consideró la juez de la causa.</w:t>
      </w:r>
    </w:p>
    <w:p w14:paraId="5043CB0F" w14:textId="77777777" w:rsidR="009B2B1A" w:rsidRPr="00EC2BE3" w:rsidRDefault="009B2B1A" w:rsidP="00EC2BE3">
      <w:pPr>
        <w:spacing w:line="276" w:lineRule="auto"/>
        <w:jc w:val="both"/>
        <w:rPr>
          <w:rFonts w:ascii="Arial" w:hAnsi="Arial" w:cs="Arial"/>
        </w:rPr>
      </w:pPr>
    </w:p>
    <w:p w14:paraId="4A89A917" w14:textId="77777777" w:rsidR="00DD52DD" w:rsidRPr="00EC2BE3" w:rsidRDefault="00DD52DD" w:rsidP="00EC2BE3">
      <w:pPr>
        <w:spacing w:line="276" w:lineRule="auto"/>
        <w:jc w:val="both"/>
        <w:rPr>
          <w:rFonts w:ascii="Arial" w:hAnsi="Arial" w:cs="Arial"/>
        </w:rPr>
      </w:pPr>
      <w:r w:rsidRPr="00EC2BE3">
        <w:rPr>
          <w:rFonts w:ascii="Arial" w:hAnsi="Arial" w:cs="Arial"/>
        </w:rPr>
        <w:t xml:space="preserve">De acuerdo con todo lo expuesto, </w:t>
      </w:r>
      <w:r w:rsidR="003202D2" w:rsidRPr="00EC2BE3">
        <w:rPr>
          <w:rFonts w:ascii="Arial" w:hAnsi="Arial" w:cs="Arial"/>
        </w:rPr>
        <w:t>teniendo en cuenta que tanto la normatividad como la jurisprudencia constitucional respaldan la decisión de primer grado, la misma será confirmada en su integridad.</w:t>
      </w:r>
    </w:p>
    <w:p w14:paraId="07459315" w14:textId="77777777" w:rsidR="00DD52DD" w:rsidRPr="00EC2BE3" w:rsidRDefault="00DD52DD" w:rsidP="00EC2BE3">
      <w:pPr>
        <w:spacing w:line="276" w:lineRule="auto"/>
        <w:jc w:val="both"/>
        <w:rPr>
          <w:rFonts w:ascii="Arial" w:hAnsi="Arial" w:cs="Arial"/>
        </w:rPr>
      </w:pPr>
    </w:p>
    <w:p w14:paraId="2238E731" w14:textId="77777777" w:rsidR="00DD52DD" w:rsidRPr="00EC2BE3" w:rsidRDefault="00DD52DD" w:rsidP="00EC2BE3">
      <w:pPr>
        <w:spacing w:line="276" w:lineRule="auto"/>
        <w:jc w:val="both"/>
        <w:rPr>
          <w:rFonts w:ascii="Arial" w:hAnsi="Arial" w:cs="Arial"/>
        </w:rPr>
      </w:pPr>
      <w:r w:rsidRPr="00EC2BE3">
        <w:rPr>
          <w:rFonts w:ascii="Arial" w:hAnsi="Arial" w:cs="Arial"/>
        </w:rPr>
        <w:t xml:space="preserve">En virtud de lo anterior, la </w:t>
      </w:r>
      <w:r w:rsidRPr="00EC2BE3">
        <w:rPr>
          <w:rFonts w:ascii="Arial" w:hAnsi="Arial" w:cs="Arial"/>
          <w:b/>
          <w:bCs/>
        </w:rPr>
        <w:t>Sala de Decisión Laboral del Tribunal Superior del Distrito Judicial de Pereira</w:t>
      </w:r>
      <w:r w:rsidRPr="00EC2BE3">
        <w:rPr>
          <w:rFonts w:ascii="Arial" w:hAnsi="Arial" w:cs="Arial"/>
        </w:rPr>
        <w:t xml:space="preserve">, administrando justicia en nombre del Pueblo y por mandato de la Constitución, </w:t>
      </w:r>
    </w:p>
    <w:p w14:paraId="6537F28F" w14:textId="77777777" w:rsidR="00DD52DD" w:rsidRPr="00EC2BE3" w:rsidRDefault="00DD52DD" w:rsidP="00EC2BE3">
      <w:pPr>
        <w:spacing w:line="276" w:lineRule="auto"/>
        <w:jc w:val="both"/>
        <w:rPr>
          <w:rFonts w:ascii="Arial" w:hAnsi="Arial" w:cs="Arial"/>
        </w:rPr>
      </w:pPr>
    </w:p>
    <w:p w14:paraId="68A3624F" w14:textId="77777777" w:rsidR="00DD52DD" w:rsidRPr="00EC2BE3" w:rsidRDefault="00DD52DD" w:rsidP="00EC2BE3">
      <w:pPr>
        <w:spacing w:line="276" w:lineRule="auto"/>
        <w:jc w:val="center"/>
        <w:rPr>
          <w:rFonts w:ascii="Arial" w:hAnsi="Arial" w:cs="Arial"/>
          <w:b/>
        </w:rPr>
      </w:pPr>
      <w:r w:rsidRPr="00EC2BE3">
        <w:rPr>
          <w:rFonts w:ascii="Arial" w:hAnsi="Arial" w:cs="Arial"/>
          <w:b/>
        </w:rPr>
        <w:t>RESUELVE</w:t>
      </w:r>
    </w:p>
    <w:p w14:paraId="6DFB9E20" w14:textId="77777777" w:rsidR="00DD52DD" w:rsidRPr="00EC2BE3" w:rsidRDefault="00DD52DD" w:rsidP="00EC2BE3">
      <w:pPr>
        <w:spacing w:line="276" w:lineRule="auto"/>
        <w:jc w:val="center"/>
        <w:rPr>
          <w:rFonts w:ascii="Arial" w:hAnsi="Arial" w:cs="Arial"/>
          <w:b/>
        </w:rPr>
      </w:pPr>
    </w:p>
    <w:p w14:paraId="5F8397FC" w14:textId="77777777" w:rsidR="00CE495F" w:rsidRPr="00EC2BE3" w:rsidRDefault="00DD52DD" w:rsidP="00EC2BE3">
      <w:pPr>
        <w:spacing w:line="276" w:lineRule="auto"/>
        <w:jc w:val="both"/>
        <w:rPr>
          <w:rFonts w:ascii="Arial" w:hAnsi="Arial" w:cs="Arial"/>
        </w:rPr>
      </w:pPr>
      <w:r w:rsidRPr="00EC2BE3">
        <w:rPr>
          <w:rFonts w:ascii="Arial" w:hAnsi="Arial" w:cs="Arial"/>
          <w:b/>
          <w:bCs/>
        </w:rPr>
        <w:t xml:space="preserve">PRIMERO: </w:t>
      </w:r>
      <w:r w:rsidR="003202D2" w:rsidRPr="00EC2BE3">
        <w:rPr>
          <w:rFonts w:ascii="Arial" w:hAnsi="Arial" w:cs="Arial"/>
          <w:b/>
          <w:bCs/>
        </w:rPr>
        <w:t xml:space="preserve">CONFIRMAR </w:t>
      </w:r>
      <w:r w:rsidR="003202D2" w:rsidRPr="00EC2BE3">
        <w:rPr>
          <w:rFonts w:ascii="Arial" w:hAnsi="Arial" w:cs="Arial"/>
          <w:bCs/>
        </w:rPr>
        <w:t>la sentencia proferida por el Juzgado Cuarto Laboral del Circuito el 28 de junio de 2023</w:t>
      </w:r>
      <w:r w:rsidR="00CE495F" w:rsidRPr="00EC2BE3">
        <w:rPr>
          <w:rFonts w:ascii="Arial" w:hAnsi="Arial" w:cs="Arial"/>
        </w:rPr>
        <w:t>.</w:t>
      </w:r>
    </w:p>
    <w:p w14:paraId="70DF9E56" w14:textId="77777777" w:rsidR="00DD52DD" w:rsidRPr="00EC2BE3" w:rsidRDefault="00DD52DD" w:rsidP="00EC2BE3">
      <w:pPr>
        <w:spacing w:line="276" w:lineRule="auto"/>
        <w:jc w:val="both"/>
        <w:rPr>
          <w:rFonts w:ascii="Arial" w:hAnsi="Arial" w:cs="Arial"/>
        </w:rPr>
      </w:pPr>
    </w:p>
    <w:p w14:paraId="19B85461" w14:textId="67425666" w:rsidR="00DD52DD" w:rsidRPr="00EC2BE3" w:rsidRDefault="003202D2" w:rsidP="00EC2BE3">
      <w:pPr>
        <w:spacing w:line="276" w:lineRule="auto"/>
        <w:jc w:val="both"/>
        <w:rPr>
          <w:rFonts w:ascii="Arial" w:hAnsi="Arial" w:cs="Arial"/>
        </w:rPr>
      </w:pPr>
      <w:r w:rsidRPr="00EC2BE3">
        <w:rPr>
          <w:rFonts w:ascii="Arial" w:hAnsi="Arial" w:cs="Arial"/>
          <w:b/>
          <w:bCs/>
        </w:rPr>
        <w:t>SEGUNDO</w:t>
      </w:r>
      <w:r w:rsidR="00DD52DD" w:rsidRPr="00EC2BE3">
        <w:rPr>
          <w:rFonts w:ascii="Arial" w:hAnsi="Arial" w:cs="Arial"/>
          <w:b/>
          <w:bCs/>
        </w:rPr>
        <w:t xml:space="preserve">: </w:t>
      </w:r>
      <w:r w:rsidR="009772CC" w:rsidRPr="00EC2BE3">
        <w:rPr>
          <w:rFonts w:ascii="Arial" w:hAnsi="Arial" w:cs="Arial"/>
          <w:b/>
          <w:bCs/>
        </w:rPr>
        <w:t>NOTIFICAR</w:t>
      </w:r>
      <w:bookmarkStart w:id="0" w:name="_GoBack"/>
      <w:bookmarkEnd w:id="0"/>
      <w:r w:rsidR="00DD52DD" w:rsidRPr="00EC2BE3">
        <w:rPr>
          <w:rFonts w:ascii="Arial" w:hAnsi="Arial" w:cs="Arial"/>
          <w:b/>
          <w:bCs/>
        </w:rPr>
        <w:t xml:space="preserve"> </w:t>
      </w:r>
      <w:r w:rsidR="00DD52DD" w:rsidRPr="00EC2BE3">
        <w:rPr>
          <w:rFonts w:ascii="Arial" w:hAnsi="Arial" w:cs="Arial"/>
        </w:rPr>
        <w:t>esta decisión a las partes por el medio más expedito.</w:t>
      </w:r>
    </w:p>
    <w:p w14:paraId="44E871BC" w14:textId="77777777" w:rsidR="00CE495F" w:rsidRPr="00EC2BE3" w:rsidRDefault="00CE495F" w:rsidP="00EC2BE3">
      <w:pPr>
        <w:pStyle w:val="Textoindependiente"/>
        <w:spacing w:line="276" w:lineRule="auto"/>
        <w:rPr>
          <w:rFonts w:cs="Arial"/>
          <w:b/>
          <w:bCs/>
          <w:sz w:val="24"/>
          <w:szCs w:val="24"/>
        </w:rPr>
      </w:pPr>
    </w:p>
    <w:p w14:paraId="75DCF1C5" w14:textId="16FC3789" w:rsidR="00DD52DD" w:rsidRPr="00EC2BE3" w:rsidRDefault="003202D2" w:rsidP="00EC2BE3">
      <w:pPr>
        <w:pStyle w:val="Textoindependiente"/>
        <w:spacing w:line="276" w:lineRule="auto"/>
        <w:rPr>
          <w:rFonts w:cs="Arial"/>
          <w:sz w:val="24"/>
          <w:szCs w:val="24"/>
        </w:rPr>
      </w:pPr>
      <w:r w:rsidRPr="00EC2BE3">
        <w:rPr>
          <w:rFonts w:cs="Arial"/>
          <w:b/>
          <w:bCs/>
          <w:sz w:val="24"/>
          <w:szCs w:val="24"/>
        </w:rPr>
        <w:t>TERCERO</w:t>
      </w:r>
      <w:r w:rsidR="00DD52DD" w:rsidRPr="00EC2BE3">
        <w:rPr>
          <w:rFonts w:cs="Arial"/>
          <w:b/>
          <w:bCs/>
          <w:sz w:val="24"/>
          <w:szCs w:val="24"/>
        </w:rPr>
        <w:t xml:space="preserve">: </w:t>
      </w:r>
      <w:r w:rsidR="009772CC" w:rsidRPr="00EC2BE3">
        <w:rPr>
          <w:rFonts w:cs="Arial"/>
          <w:b/>
          <w:bCs/>
          <w:sz w:val="24"/>
          <w:szCs w:val="24"/>
        </w:rPr>
        <w:t>ENVIAR</w:t>
      </w:r>
      <w:r w:rsidR="00DD52DD" w:rsidRPr="00EC2BE3">
        <w:rPr>
          <w:rFonts w:cs="Arial"/>
          <w:b/>
          <w:bCs/>
          <w:sz w:val="24"/>
          <w:szCs w:val="24"/>
        </w:rPr>
        <w:t xml:space="preserve"> </w:t>
      </w:r>
      <w:r w:rsidR="00DD52DD" w:rsidRPr="00EC2BE3">
        <w:rPr>
          <w:rFonts w:cs="Arial"/>
          <w:bCs/>
          <w:sz w:val="24"/>
          <w:szCs w:val="24"/>
        </w:rPr>
        <w:t>el expediente</w:t>
      </w:r>
      <w:r w:rsidR="00DD52DD" w:rsidRPr="00EC2BE3">
        <w:rPr>
          <w:rFonts w:cs="Arial"/>
          <w:sz w:val="24"/>
          <w:szCs w:val="24"/>
        </w:rPr>
        <w:t xml:space="preserve"> a la Corte Constitucional, para su eventual revisión.</w:t>
      </w:r>
    </w:p>
    <w:p w14:paraId="144A5D23" w14:textId="77777777" w:rsidR="00DD52DD" w:rsidRPr="00EC2BE3" w:rsidRDefault="00DD52DD" w:rsidP="00EC2BE3">
      <w:pPr>
        <w:widowControl w:val="0"/>
        <w:spacing w:line="276" w:lineRule="auto"/>
        <w:rPr>
          <w:rFonts w:ascii="Arial" w:hAnsi="Arial" w:cs="Arial"/>
          <w:color w:val="CCFFFF"/>
          <w:lang w:val="es-ES_tradnl"/>
        </w:rPr>
      </w:pPr>
    </w:p>
    <w:p w14:paraId="57E379D6" w14:textId="77777777" w:rsidR="00DD52DD" w:rsidRPr="00EC2BE3" w:rsidRDefault="00DD52DD" w:rsidP="00EC2BE3">
      <w:pPr>
        <w:spacing w:line="276" w:lineRule="auto"/>
        <w:jc w:val="both"/>
        <w:rPr>
          <w:rFonts w:ascii="Arial" w:hAnsi="Arial" w:cs="Arial"/>
          <w:spacing w:val="-2"/>
        </w:rPr>
      </w:pPr>
      <w:r w:rsidRPr="00EC2BE3">
        <w:rPr>
          <w:rFonts w:ascii="Arial" w:hAnsi="Arial" w:cs="Arial"/>
          <w:b/>
          <w:spacing w:val="-2"/>
        </w:rPr>
        <w:t>CÓPIESE, NOTIFÍQUESE Y CÚMPLASE.</w:t>
      </w:r>
      <w:r w:rsidRPr="00EC2BE3">
        <w:rPr>
          <w:rFonts w:ascii="Arial" w:hAnsi="Arial" w:cs="Arial"/>
          <w:spacing w:val="-2"/>
        </w:rPr>
        <w:t xml:space="preserve"> </w:t>
      </w:r>
    </w:p>
    <w:p w14:paraId="43782ADC" w14:textId="77777777" w:rsidR="00EC2BE3" w:rsidRPr="00EC2BE3" w:rsidRDefault="00EC2BE3" w:rsidP="00EC2BE3">
      <w:pPr>
        <w:spacing w:line="276" w:lineRule="auto"/>
        <w:jc w:val="both"/>
        <w:rPr>
          <w:rFonts w:ascii="Arial" w:eastAsia="Arial" w:hAnsi="Arial" w:cs="Arial"/>
          <w:lang w:val="es-CO" w:eastAsia="es-CO"/>
        </w:rPr>
      </w:pPr>
    </w:p>
    <w:p w14:paraId="74111495" w14:textId="77777777" w:rsidR="00EC2BE3" w:rsidRPr="00EC2BE3" w:rsidRDefault="00EC2BE3" w:rsidP="00EC2BE3">
      <w:pPr>
        <w:spacing w:line="276" w:lineRule="auto"/>
        <w:jc w:val="both"/>
        <w:textAlignment w:val="baseline"/>
        <w:rPr>
          <w:rFonts w:ascii="Arial" w:hAnsi="Arial" w:cs="Arial"/>
          <w:spacing w:val="-4"/>
          <w:lang w:eastAsia="es-CO"/>
        </w:rPr>
      </w:pPr>
      <w:r w:rsidRPr="00EC2BE3">
        <w:rPr>
          <w:rFonts w:ascii="Arial" w:hAnsi="Arial" w:cs="Arial"/>
          <w:spacing w:val="-4"/>
          <w:lang w:eastAsia="es-CO"/>
        </w:rPr>
        <w:t>Quienes Integran la Sala,</w:t>
      </w:r>
    </w:p>
    <w:p w14:paraId="4E4F9017" w14:textId="77777777" w:rsidR="00EC2BE3" w:rsidRPr="00EC2BE3" w:rsidRDefault="00EC2BE3" w:rsidP="00EC2BE3">
      <w:pPr>
        <w:widowControl w:val="0"/>
        <w:autoSpaceDE w:val="0"/>
        <w:autoSpaceDN w:val="0"/>
        <w:adjustRightInd w:val="0"/>
        <w:spacing w:line="276" w:lineRule="auto"/>
        <w:rPr>
          <w:rFonts w:ascii="Arial" w:eastAsia="Calibri" w:hAnsi="Arial" w:cs="Arial"/>
          <w:b/>
          <w:lang w:val="es-CO" w:eastAsia="en-US"/>
        </w:rPr>
      </w:pPr>
    </w:p>
    <w:p w14:paraId="5D5794DA" w14:textId="77777777" w:rsidR="00EC2BE3" w:rsidRPr="00EC2BE3" w:rsidRDefault="00EC2BE3" w:rsidP="00EC2BE3">
      <w:pPr>
        <w:widowControl w:val="0"/>
        <w:autoSpaceDE w:val="0"/>
        <w:autoSpaceDN w:val="0"/>
        <w:adjustRightInd w:val="0"/>
        <w:spacing w:line="276" w:lineRule="auto"/>
        <w:rPr>
          <w:rFonts w:ascii="Arial" w:eastAsia="Calibri" w:hAnsi="Arial" w:cs="Arial"/>
          <w:b/>
          <w:lang w:val="es-CO" w:eastAsia="en-US"/>
        </w:rPr>
      </w:pPr>
    </w:p>
    <w:p w14:paraId="03F64884" w14:textId="77777777" w:rsidR="00EC2BE3" w:rsidRPr="00EC2BE3" w:rsidRDefault="00EC2BE3" w:rsidP="00EC2BE3">
      <w:pPr>
        <w:widowControl w:val="0"/>
        <w:autoSpaceDE w:val="0"/>
        <w:autoSpaceDN w:val="0"/>
        <w:adjustRightInd w:val="0"/>
        <w:spacing w:line="276" w:lineRule="auto"/>
        <w:rPr>
          <w:rFonts w:ascii="Arial" w:eastAsia="Calibri" w:hAnsi="Arial" w:cs="Arial"/>
          <w:b/>
          <w:lang w:val="es-CO" w:eastAsia="en-US"/>
        </w:rPr>
      </w:pPr>
    </w:p>
    <w:p w14:paraId="1A4890D9" w14:textId="77777777" w:rsidR="00EC2BE3" w:rsidRPr="00EC2BE3" w:rsidRDefault="00EC2BE3" w:rsidP="00EC2BE3">
      <w:pPr>
        <w:widowControl w:val="0"/>
        <w:autoSpaceDE w:val="0"/>
        <w:autoSpaceDN w:val="0"/>
        <w:adjustRightInd w:val="0"/>
        <w:spacing w:line="276" w:lineRule="auto"/>
        <w:jc w:val="center"/>
        <w:rPr>
          <w:rFonts w:ascii="Arial" w:eastAsia="Calibri" w:hAnsi="Arial" w:cs="Arial"/>
          <w:b/>
          <w:bCs/>
          <w:lang w:val="es-CO" w:eastAsia="en-US"/>
        </w:rPr>
      </w:pPr>
      <w:r w:rsidRPr="00EC2BE3">
        <w:rPr>
          <w:rFonts w:ascii="Arial" w:eastAsia="Calibri" w:hAnsi="Arial" w:cs="Arial"/>
          <w:b/>
          <w:bCs/>
          <w:lang w:val="es-CO" w:eastAsia="en-US"/>
        </w:rPr>
        <w:t>JULIO CÉSAR SALAZAR MUÑOZ</w:t>
      </w:r>
    </w:p>
    <w:p w14:paraId="6CE9A4B4" w14:textId="77777777" w:rsidR="00EC2BE3" w:rsidRPr="00EC2BE3" w:rsidRDefault="00EC2BE3" w:rsidP="00EC2BE3">
      <w:pPr>
        <w:widowControl w:val="0"/>
        <w:autoSpaceDE w:val="0"/>
        <w:autoSpaceDN w:val="0"/>
        <w:adjustRightInd w:val="0"/>
        <w:spacing w:line="276" w:lineRule="auto"/>
        <w:jc w:val="center"/>
        <w:rPr>
          <w:rFonts w:ascii="Arial" w:eastAsia="Calibri" w:hAnsi="Arial" w:cs="Arial"/>
          <w:lang w:val="es-CO" w:eastAsia="en-US"/>
        </w:rPr>
      </w:pPr>
      <w:r w:rsidRPr="00EC2BE3">
        <w:rPr>
          <w:rFonts w:ascii="Arial" w:eastAsia="Calibri" w:hAnsi="Arial" w:cs="Arial"/>
          <w:lang w:val="es-CO" w:eastAsia="en-US"/>
        </w:rPr>
        <w:t>Magistrado Ponente</w:t>
      </w:r>
    </w:p>
    <w:p w14:paraId="5A607F5B" w14:textId="77777777" w:rsidR="00EC2BE3" w:rsidRPr="00EC2BE3" w:rsidRDefault="00EC2BE3" w:rsidP="00EC2BE3">
      <w:pPr>
        <w:widowControl w:val="0"/>
        <w:autoSpaceDE w:val="0"/>
        <w:autoSpaceDN w:val="0"/>
        <w:adjustRightInd w:val="0"/>
        <w:spacing w:line="276" w:lineRule="auto"/>
        <w:rPr>
          <w:rFonts w:ascii="Arial" w:eastAsia="Calibri" w:hAnsi="Arial" w:cs="Arial"/>
          <w:lang w:val="es-CO" w:eastAsia="en-US"/>
        </w:rPr>
      </w:pPr>
    </w:p>
    <w:p w14:paraId="4302AA8A" w14:textId="77777777" w:rsidR="00EC2BE3" w:rsidRPr="00EC2BE3" w:rsidRDefault="00EC2BE3" w:rsidP="00EC2BE3">
      <w:pPr>
        <w:widowControl w:val="0"/>
        <w:autoSpaceDE w:val="0"/>
        <w:autoSpaceDN w:val="0"/>
        <w:adjustRightInd w:val="0"/>
        <w:spacing w:line="276" w:lineRule="auto"/>
        <w:rPr>
          <w:rFonts w:ascii="Arial" w:eastAsia="Calibri" w:hAnsi="Arial" w:cs="Arial"/>
          <w:lang w:val="es-CO" w:eastAsia="en-US"/>
        </w:rPr>
      </w:pPr>
    </w:p>
    <w:p w14:paraId="585539DC" w14:textId="77777777" w:rsidR="00EC2BE3" w:rsidRPr="00EC2BE3" w:rsidRDefault="00EC2BE3" w:rsidP="00EC2BE3">
      <w:pPr>
        <w:widowControl w:val="0"/>
        <w:autoSpaceDE w:val="0"/>
        <w:autoSpaceDN w:val="0"/>
        <w:adjustRightInd w:val="0"/>
        <w:spacing w:line="276" w:lineRule="auto"/>
        <w:rPr>
          <w:rFonts w:ascii="Arial" w:eastAsia="Calibri" w:hAnsi="Arial" w:cs="Arial"/>
          <w:lang w:val="es-CO" w:eastAsia="en-US"/>
        </w:rPr>
      </w:pPr>
    </w:p>
    <w:p w14:paraId="5899A2EF" w14:textId="775F55A6" w:rsidR="00EC2BE3" w:rsidRPr="00EC2BE3" w:rsidRDefault="00EC2BE3" w:rsidP="00EC2BE3">
      <w:pPr>
        <w:widowControl w:val="0"/>
        <w:autoSpaceDE w:val="0"/>
        <w:autoSpaceDN w:val="0"/>
        <w:adjustRightInd w:val="0"/>
        <w:spacing w:line="276" w:lineRule="auto"/>
        <w:rPr>
          <w:rFonts w:ascii="Arial" w:eastAsia="Calibri" w:hAnsi="Arial" w:cs="Arial"/>
          <w:lang w:val="es-CO" w:eastAsia="en-US"/>
        </w:rPr>
      </w:pPr>
      <w:r w:rsidRPr="00EC2BE3">
        <w:rPr>
          <w:rFonts w:ascii="Arial" w:eastAsia="Calibri" w:hAnsi="Arial" w:cs="Arial"/>
          <w:b/>
          <w:bCs/>
          <w:lang w:val="es-CO" w:eastAsia="en-US"/>
        </w:rPr>
        <w:t>ANA LUCÍA CAICEDO CALDERÓN</w:t>
      </w:r>
      <w:r w:rsidRPr="00EC2BE3">
        <w:rPr>
          <w:rFonts w:ascii="Arial" w:eastAsia="Calibri" w:hAnsi="Arial" w:cs="Arial"/>
          <w:b/>
          <w:bCs/>
          <w:lang w:val="es-CO" w:eastAsia="en-US"/>
        </w:rPr>
        <w:tab/>
      </w:r>
      <w:r w:rsidRPr="00EC2BE3">
        <w:rPr>
          <w:rFonts w:ascii="Arial" w:eastAsia="Calibri" w:hAnsi="Arial" w:cs="Arial"/>
          <w:b/>
          <w:bCs/>
          <w:lang w:val="es-CO" w:eastAsia="en-US"/>
        </w:rPr>
        <w:tab/>
      </w:r>
      <w:r w:rsidR="009772CC">
        <w:rPr>
          <w:rFonts w:ascii="Arial" w:eastAsia="Calibri" w:hAnsi="Arial" w:cs="Arial"/>
          <w:b/>
          <w:bCs/>
          <w:lang w:val="es-CO" w:eastAsia="en-US"/>
        </w:rPr>
        <w:t xml:space="preserve"> </w:t>
      </w:r>
      <w:r w:rsidRPr="00EC2BE3">
        <w:rPr>
          <w:rFonts w:ascii="Arial" w:eastAsia="Calibri" w:hAnsi="Arial" w:cs="Arial"/>
          <w:b/>
          <w:bCs/>
          <w:lang w:val="es-CO" w:eastAsia="en-US"/>
        </w:rPr>
        <w:t xml:space="preserve">GERMÁN DARÍO </w:t>
      </w:r>
      <w:proofErr w:type="spellStart"/>
      <w:r w:rsidRPr="00EC2BE3">
        <w:rPr>
          <w:rFonts w:ascii="Arial" w:eastAsia="Calibri" w:hAnsi="Arial" w:cs="Arial"/>
          <w:b/>
          <w:bCs/>
          <w:lang w:val="es-CO" w:eastAsia="en-US"/>
        </w:rPr>
        <w:t>GÓEZ</w:t>
      </w:r>
      <w:proofErr w:type="spellEnd"/>
      <w:r w:rsidRPr="00EC2BE3">
        <w:rPr>
          <w:rFonts w:ascii="Arial" w:eastAsia="Calibri" w:hAnsi="Arial" w:cs="Arial"/>
          <w:b/>
          <w:bCs/>
          <w:lang w:val="es-CO" w:eastAsia="en-US"/>
        </w:rPr>
        <w:t xml:space="preserve"> </w:t>
      </w:r>
      <w:proofErr w:type="spellStart"/>
      <w:r w:rsidRPr="00EC2BE3">
        <w:rPr>
          <w:rFonts w:ascii="Arial" w:eastAsia="Calibri" w:hAnsi="Arial" w:cs="Arial"/>
          <w:b/>
          <w:bCs/>
          <w:lang w:val="es-CO" w:eastAsia="en-US"/>
        </w:rPr>
        <w:t>VINASCO</w:t>
      </w:r>
      <w:proofErr w:type="spellEnd"/>
    </w:p>
    <w:p w14:paraId="2DBF0D7D" w14:textId="585C18B2" w:rsidR="00135F5B" w:rsidRPr="00EC2BE3" w:rsidRDefault="00EC2BE3" w:rsidP="00EC2BE3">
      <w:pPr>
        <w:spacing w:line="276" w:lineRule="auto"/>
        <w:jc w:val="both"/>
        <w:textAlignment w:val="baseline"/>
        <w:rPr>
          <w:rFonts w:ascii="Arial" w:hAnsi="Arial" w:cs="Arial"/>
          <w:bCs/>
          <w:lang w:val="es-ES_tradnl" w:eastAsia="en-US"/>
        </w:rPr>
      </w:pPr>
      <w:r w:rsidRPr="00EC2BE3">
        <w:rPr>
          <w:rFonts w:ascii="Arial" w:eastAsia="Calibri" w:hAnsi="Arial" w:cs="Arial"/>
          <w:bCs/>
          <w:lang w:val="es-CO" w:eastAsia="en-US"/>
        </w:rPr>
        <w:t>Magistrada</w:t>
      </w:r>
      <w:r w:rsidRPr="00EC2BE3">
        <w:rPr>
          <w:rFonts w:ascii="Arial" w:eastAsia="Calibri" w:hAnsi="Arial" w:cs="Arial"/>
          <w:bCs/>
          <w:lang w:val="es-CO" w:eastAsia="en-US"/>
        </w:rPr>
        <w:tab/>
      </w:r>
      <w:r w:rsidRPr="00EC2BE3">
        <w:rPr>
          <w:rFonts w:ascii="Arial" w:eastAsia="Calibri" w:hAnsi="Arial" w:cs="Arial"/>
          <w:bCs/>
          <w:lang w:val="es-CO" w:eastAsia="en-US"/>
        </w:rPr>
        <w:tab/>
      </w:r>
      <w:r w:rsidRPr="00EC2BE3">
        <w:rPr>
          <w:rFonts w:ascii="Arial" w:eastAsia="Calibri" w:hAnsi="Arial" w:cs="Arial"/>
          <w:bCs/>
          <w:lang w:val="es-CO" w:eastAsia="en-US"/>
        </w:rPr>
        <w:tab/>
      </w:r>
      <w:r w:rsidRPr="00EC2BE3">
        <w:rPr>
          <w:rFonts w:ascii="Arial" w:eastAsia="Calibri" w:hAnsi="Arial" w:cs="Arial"/>
          <w:bCs/>
          <w:lang w:val="es-CO" w:eastAsia="en-US"/>
        </w:rPr>
        <w:tab/>
      </w:r>
      <w:r w:rsidRPr="00EC2BE3">
        <w:rPr>
          <w:rFonts w:ascii="Arial" w:eastAsia="Calibri" w:hAnsi="Arial" w:cs="Arial"/>
          <w:bCs/>
          <w:lang w:val="es-CO" w:eastAsia="en-US"/>
        </w:rPr>
        <w:tab/>
      </w:r>
      <w:r w:rsidRPr="00EC2BE3">
        <w:rPr>
          <w:rFonts w:ascii="Arial" w:eastAsia="Calibri" w:hAnsi="Arial" w:cs="Arial"/>
          <w:bCs/>
          <w:lang w:val="es-CO" w:eastAsia="en-US"/>
        </w:rPr>
        <w:tab/>
      </w:r>
      <w:r w:rsidRPr="00EC2BE3">
        <w:rPr>
          <w:rFonts w:ascii="Arial" w:eastAsia="Calibri" w:hAnsi="Arial" w:cs="Arial"/>
          <w:b/>
          <w:bCs/>
          <w:lang w:val="es-CO" w:eastAsia="en-US"/>
        </w:rPr>
        <w:t xml:space="preserve"> </w:t>
      </w:r>
      <w:r w:rsidRPr="00EC2BE3">
        <w:rPr>
          <w:rFonts w:ascii="Arial" w:hAnsi="Arial" w:cs="Arial"/>
          <w:bCs/>
          <w:lang w:val="es-ES_tradnl" w:eastAsia="en-US"/>
        </w:rPr>
        <w:t>Magistrado</w:t>
      </w:r>
    </w:p>
    <w:sectPr w:rsidR="00135F5B" w:rsidRPr="00EC2BE3" w:rsidSect="003A2A2A">
      <w:headerReference w:type="default" r:id="rId10"/>
      <w:footerReference w:type="default" r:id="rId11"/>
      <w:pgSz w:w="12242" w:h="18722" w:code="258"/>
      <w:pgMar w:top="1985" w:right="1361" w:bottom="1418" w:left="1928"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2C4406" w16cex:dateUtc="2020-10-21T20:26:06.959Z"/>
  <w16cex:commentExtensible w16cex:durableId="71164AA7" w16cex:dateUtc="2020-10-22T17:50:55.756Z"/>
  <w16cex:commentExtensible w16cex:durableId="60873EDC" w16cex:dateUtc="2021-01-22T16:04:26.656Z"/>
  <w16cex:commentExtensible w16cex:durableId="45945E99" w16cex:dateUtc="2021-01-25T14:49:18.85Z"/>
  <w16cex:commentExtensible w16cex:durableId="6F7946AB" w16cex:dateUtc="2021-04-26T15:03:14.059Z"/>
  <w16cex:commentExtensible w16cex:durableId="2778DB95" w16cex:dateUtc="2021-04-27T16:00:55.073Z"/>
  <w16cex:commentExtensible w16cex:durableId="34D3AD74" w16cex:dateUtc="2023-08-04T20:59:51.50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7E346" w16cid:durableId="34D3AD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9EC2B" w14:textId="77777777" w:rsidR="00A14E2C" w:rsidRDefault="00A14E2C">
      <w:r>
        <w:separator/>
      </w:r>
    </w:p>
  </w:endnote>
  <w:endnote w:type="continuationSeparator" w:id="0">
    <w:p w14:paraId="7795DF1F" w14:textId="77777777" w:rsidR="00A14E2C" w:rsidRDefault="00A1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0BDA" w14:textId="6716D449" w:rsidR="009B2B1A" w:rsidRPr="00EC2BE3" w:rsidRDefault="009B2B1A" w:rsidP="00EC2BE3">
    <w:pPr>
      <w:pStyle w:val="Ttulo1"/>
      <w:spacing w:before="0" w:after="0"/>
      <w:ind w:right="50"/>
      <w:jc w:val="right"/>
      <w:rPr>
        <w:rFonts w:ascii="Arial" w:hAnsi="Arial" w:cs="Arial"/>
        <w:b w:val="0"/>
        <w:sz w:val="18"/>
        <w:szCs w:val="14"/>
      </w:rPr>
    </w:pPr>
    <w:r w:rsidRPr="00EC2BE3">
      <w:rPr>
        <w:rFonts w:ascii="Arial" w:hAnsi="Arial" w:cs="Arial"/>
        <w:b w:val="0"/>
        <w:sz w:val="18"/>
        <w:szCs w:val="14"/>
      </w:rPr>
      <w:fldChar w:fldCharType="begin"/>
    </w:r>
    <w:r w:rsidRPr="00EC2BE3">
      <w:rPr>
        <w:rFonts w:ascii="Arial" w:hAnsi="Arial" w:cs="Arial"/>
        <w:b w:val="0"/>
        <w:sz w:val="18"/>
        <w:szCs w:val="14"/>
      </w:rPr>
      <w:instrText>PAGE   \* MERGEFORMAT</w:instrText>
    </w:r>
    <w:r w:rsidRPr="00EC2BE3">
      <w:rPr>
        <w:rFonts w:ascii="Arial" w:hAnsi="Arial" w:cs="Arial"/>
        <w:b w:val="0"/>
        <w:sz w:val="18"/>
        <w:szCs w:val="14"/>
      </w:rPr>
      <w:fldChar w:fldCharType="separate"/>
    </w:r>
    <w:r w:rsidR="009772CC">
      <w:rPr>
        <w:rFonts w:ascii="Arial" w:hAnsi="Arial" w:cs="Arial"/>
        <w:b w:val="0"/>
        <w:noProof/>
        <w:sz w:val="18"/>
        <w:szCs w:val="14"/>
      </w:rPr>
      <w:t>6</w:t>
    </w:r>
    <w:r w:rsidRPr="00EC2BE3">
      <w:rPr>
        <w:rFonts w:ascii="Arial" w:hAnsi="Arial" w:cs="Arial"/>
        <w:b w:val="0"/>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A095B" w14:textId="77777777" w:rsidR="00A14E2C" w:rsidRDefault="00A14E2C">
      <w:r>
        <w:separator/>
      </w:r>
    </w:p>
  </w:footnote>
  <w:footnote w:type="continuationSeparator" w:id="0">
    <w:p w14:paraId="072DEBEC" w14:textId="77777777" w:rsidR="00A14E2C" w:rsidRDefault="00A14E2C">
      <w:r>
        <w:continuationSeparator/>
      </w:r>
    </w:p>
  </w:footnote>
  <w:footnote w:id="1">
    <w:p w14:paraId="284DCCEE" w14:textId="77777777" w:rsidR="009B2B1A" w:rsidRPr="00C1628A" w:rsidRDefault="009B2B1A" w:rsidP="00C1628A">
      <w:pPr>
        <w:pStyle w:val="Textonotapie"/>
        <w:jc w:val="both"/>
        <w:rPr>
          <w:rFonts w:ascii="Arial" w:hAnsi="Arial" w:cs="Arial"/>
          <w:sz w:val="18"/>
          <w:szCs w:val="18"/>
        </w:rPr>
      </w:pPr>
      <w:r w:rsidRPr="00C1628A">
        <w:rPr>
          <w:rFonts w:ascii="Arial" w:hAnsi="Arial" w:cs="Arial"/>
          <w:sz w:val="18"/>
          <w:szCs w:val="18"/>
          <w:vertAlign w:val="superscript"/>
        </w:rPr>
        <w:footnoteRef/>
      </w:r>
      <w:r w:rsidRPr="00C1628A">
        <w:rPr>
          <w:rFonts w:ascii="Arial" w:hAnsi="Arial" w:cs="Arial"/>
          <w:sz w:val="18"/>
          <w:szCs w:val="18"/>
        </w:rPr>
        <w:t xml:space="preserve"> Desarrollado en la Ley 1122 de 2007, en virtud de la cual se llevaron a cabo algunas modificaciones en el Sistema General de Seguridad Social en Salud y se dictaron otras disposiciones, donde se consagró expresamente que la Superintendencia Nacional de Salud además de ejercer su cometido genérico de inspección, vigilancia y control en el sector, tendrá la competencia para ejercer una función jurisdiccional, como lo señala su artículo 41º </w:t>
      </w:r>
      <w:r w:rsidRPr="00C1628A">
        <w:rPr>
          <w:rFonts w:ascii="Arial" w:hAnsi="Arial" w:cs="Arial"/>
          <w:i/>
          <w:sz w:val="18"/>
          <w:szCs w:val="18"/>
        </w:rPr>
        <w:t>“con el fin de garantizar la efectiva prestación del derecho a la salud de los usuarios del Sistema General de Seguridad Social en Salud y en ejercicio del artículo 116 de la Constitución Política”</w:t>
      </w:r>
      <w:r w:rsidRPr="00C1628A">
        <w:rPr>
          <w:rFonts w:ascii="Arial" w:hAnsi="Arial" w:cs="Arial"/>
          <w:sz w:val="18"/>
          <w:szCs w:val="18"/>
        </w:rPr>
        <w:t xml:space="preserve">. Entonces, en el ejercicio de dicha labor podrá </w:t>
      </w:r>
      <w:r w:rsidRPr="00C1628A">
        <w:rPr>
          <w:rFonts w:ascii="Arial" w:hAnsi="Arial" w:cs="Arial"/>
          <w:i/>
          <w:sz w:val="18"/>
          <w:szCs w:val="18"/>
        </w:rPr>
        <w:t>“conocer y fallar en derecho, con carácter definitivo y con las facultades propias de un juez”</w:t>
      </w:r>
      <w:r w:rsidRPr="00C1628A">
        <w:rPr>
          <w:rFonts w:ascii="Arial" w:hAnsi="Arial" w:cs="Arial"/>
          <w:sz w:val="18"/>
          <w:szCs w:val="18"/>
        </w:rPr>
        <w:t xml:space="preserve">  distintos asuntos, entre ellos: </w:t>
      </w:r>
      <w:r w:rsidRPr="00C1628A">
        <w:rPr>
          <w:rFonts w:ascii="Arial" w:hAnsi="Arial" w:cs="Arial"/>
          <w:i/>
          <w:sz w:val="18"/>
          <w:szCs w:val="18"/>
        </w:rPr>
        <w:t xml:space="preserve">“b) (el) reconocimiento económico de los gastos en que haya incurrido el afiliado por concepto de atención de urgencias en caso de ser atendido en una </w:t>
      </w:r>
      <w:proofErr w:type="spellStart"/>
      <w:r w:rsidRPr="00C1628A">
        <w:rPr>
          <w:rFonts w:ascii="Arial" w:hAnsi="Arial" w:cs="Arial"/>
          <w:i/>
          <w:sz w:val="18"/>
          <w:szCs w:val="18"/>
        </w:rPr>
        <w:t>IPS</w:t>
      </w:r>
      <w:proofErr w:type="spellEnd"/>
      <w:r w:rsidRPr="00C1628A">
        <w:rPr>
          <w:rFonts w:ascii="Arial" w:hAnsi="Arial" w:cs="Arial"/>
          <w:i/>
          <w:sz w:val="18"/>
          <w:szCs w:val="18"/>
        </w:rPr>
        <w:t xml:space="preserve"> que no tenga contrato con la respectiva </w:t>
      </w:r>
      <w:proofErr w:type="spellStart"/>
      <w:r w:rsidRPr="00C1628A">
        <w:rPr>
          <w:rFonts w:ascii="Arial" w:hAnsi="Arial" w:cs="Arial"/>
          <w:i/>
          <w:sz w:val="18"/>
          <w:szCs w:val="18"/>
        </w:rPr>
        <w:t>EPS</w:t>
      </w:r>
      <w:proofErr w:type="spellEnd"/>
      <w:r w:rsidRPr="00C1628A">
        <w:rPr>
          <w:rFonts w:ascii="Arial" w:hAnsi="Arial" w:cs="Arial"/>
          <w:i/>
          <w:sz w:val="18"/>
          <w:szCs w:val="18"/>
        </w:rPr>
        <w:t xml:space="preserve"> cuando haya sido autorizado expresamente por la </w:t>
      </w:r>
      <w:proofErr w:type="spellStart"/>
      <w:r w:rsidRPr="00C1628A">
        <w:rPr>
          <w:rFonts w:ascii="Arial" w:hAnsi="Arial" w:cs="Arial"/>
          <w:i/>
          <w:sz w:val="18"/>
          <w:szCs w:val="18"/>
        </w:rPr>
        <w:t>EPS</w:t>
      </w:r>
      <w:proofErr w:type="spellEnd"/>
      <w:r w:rsidRPr="00C1628A">
        <w:rPr>
          <w:rFonts w:ascii="Arial" w:hAnsi="Arial" w:cs="Arial"/>
          <w:i/>
          <w:sz w:val="18"/>
          <w:szCs w:val="18"/>
        </w:rPr>
        <w:t xml:space="preserve"> para una atención específica y en caso de incapacidad, imposibilidad, negativa injustificada o negligencia demostrada de la Entidad Promotora de Salud para cubrir las obligaciones para con sus usuarios”</w:t>
      </w:r>
      <w:r w:rsidRPr="00C1628A">
        <w:rPr>
          <w:rFonts w:ascii="Arial" w:hAnsi="Arial" w:cs="Arial"/>
          <w:sz w:val="18"/>
          <w:szCs w:val="18"/>
        </w:rPr>
        <w:t xml:space="preserve">  (negrillas y subrayado fuera del texto). Finalmente, dicha disposición agrega que esta autoridad sólo podrá conocer y fallar tales asuntos a petición de parte y, no podrá conocer de ningún caso que por virtud de las disposiciones legales vigentes deba ser sometido a un proceso de carácter ejecutivo o acciones de carácter penal, agregando que el trámite a seguir en este tipo de procedimientos será el previsto en el artículo 148 de la Ley 446 de 1998.</w:t>
      </w:r>
    </w:p>
  </w:footnote>
  <w:footnote w:id="2">
    <w:p w14:paraId="774B4567" w14:textId="77777777" w:rsidR="009B2B1A" w:rsidRPr="00C1628A" w:rsidRDefault="009B2B1A" w:rsidP="00C1628A">
      <w:pPr>
        <w:pStyle w:val="Textonotapie"/>
        <w:jc w:val="both"/>
        <w:rPr>
          <w:rFonts w:ascii="Arial" w:hAnsi="Arial" w:cs="Arial"/>
          <w:sz w:val="18"/>
          <w:szCs w:val="18"/>
        </w:rPr>
      </w:pPr>
      <w:r w:rsidRPr="00C1628A">
        <w:rPr>
          <w:rFonts w:ascii="Arial" w:hAnsi="Arial" w:cs="Arial"/>
          <w:sz w:val="18"/>
          <w:szCs w:val="18"/>
          <w:vertAlign w:val="superscript"/>
        </w:rPr>
        <w:footnoteRef/>
      </w:r>
      <w:r w:rsidRPr="00C1628A">
        <w:rPr>
          <w:rFonts w:ascii="Arial" w:hAnsi="Arial" w:cs="Arial"/>
          <w:sz w:val="18"/>
          <w:szCs w:val="18"/>
          <w:lang w:val="es-ES"/>
        </w:rPr>
        <w:t>Sentencia T-140/16.</w:t>
      </w:r>
    </w:p>
  </w:footnote>
  <w:footnote w:id="3">
    <w:p w14:paraId="683411DA" w14:textId="77777777" w:rsidR="009B2B1A" w:rsidRPr="00C1628A" w:rsidRDefault="009B2B1A" w:rsidP="00C1628A">
      <w:pPr>
        <w:pStyle w:val="Textonotapie"/>
        <w:jc w:val="both"/>
        <w:rPr>
          <w:rFonts w:ascii="Arial" w:hAnsi="Arial" w:cs="Arial"/>
          <w:sz w:val="18"/>
          <w:szCs w:val="18"/>
        </w:rPr>
      </w:pPr>
      <w:r w:rsidRPr="00C1628A">
        <w:rPr>
          <w:rFonts w:ascii="Arial" w:hAnsi="Arial" w:cs="Arial"/>
          <w:sz w:val="18"/>
          <w:szCs w:val="18"/>
          <w:vertAlign w:val="superscript"/>
        </w:rPr>
        <w:footnoteRef/>
      </w:r>
      <w:r w:rsidRPr="00C1628A">
        <w:rPr>
          <w:rFonts w:ascii="Arial" w:hAnsi="Arial" w:cs="Arial"/>
          <w:i/>
          <w:sz w:val="18"/>
          <w:szCs w:val="18"/>
        </w:rPr>
        <w:t>“Las controversias referentes al sistema de seguridad social integral que se susciten entre los afiliados, beneficiarios o usuarios, los empleadores y las entidades administradoras o prestadoras, cualquiera que sea la naturaleza de la relación jurídica y de los actos jurídicos que se controviertan”.</w:t>
      </w:r>
    </w:p>
  </w:footnote>
  <w:footnote w:id="4">
    <w:p w14:paraId="220058EC" w14:textId="77777777" w:rsidR="009B2B1A" w:rsidRPr="00C1628A" w:rsidRDefault="009B2B1A" w:rsidP="00C1628A">
      <w:pPr>
        <w:pStyle w:val="Textonotapie"/>
        <w:jc w:val="both"/>
        <w:rPr>
          <w:rFonts w:ascii="Arial" w:hAnsi="Arial" w:cs="Arial"/>
          <w:sz w:val="18"/>
          <w:szCs w:val="18"/>
        </w:rPr>
      </w:pPr>
      <w:r w:rsidRPr="00C1628A">
        <w:rPr>
          <w:rStyle w:val="Refdenotaalpie"/>
          <w:rFonts w:ascii="Arial" w:hAnsi="Arial" w:cs="Arial"/>
          <w:sz w:val="18"/>
          <w:szCs w:val="18"/>
        </w:rPr>
        <w:footnoteRef/>
      </w:r>
      <w:r w:rsidRPr="00C1628A">
        <w:rPr>
          <w:rFonts w:ascii="Arial" w:hAnsi="Arial" w:cs="Arial"/>
          <w:sz w:val="18"/>
          <w:szCs w:val="18"/>
        </w:rPr>
        <w:t xml:space="preserve"> </w:t>
      </w:r>
      <w:r w:rsidRPr="00C1628A">
        <w:rPr>
          <w:rFonts w:ascii="Arial" w:hAnsi="Arial" w:cs="Arial"/>
          <w:i/>
          <w:sz w:val="18"/>
          <w:szCs w:val="18"/>
        </w:rPr>
        <w:t xml:space="preserve">La </w:t>
      </w:r>
      <w:proofErr w:type="spellStart"/>
      <w:r w:rsidRPr="00C1628A">
        <w:rPr>
          <w:rFonts w:ascii="Arial" w:hAnsi="Arial" w:cs="Arial"/>
          <w:i/>
          <w:sz w:val="18"/>
          <w:szCs w:val="18"/>
        </w:rPr>
        <w:t>EPS</w:t>
      </w:r>
      <w:proofErr w:type="spellEnd"/>
      <w:r w:rsidRPr="00C1628A">
        <w:rPr>
          <w:rFonts w:ascii="Arial" w:hAnsi="Arial" w:cs="Arial"/>
          <w:i/>
          <w:sz w:val="18"/>
          <w:szCs w:val="18"/>
        </w:rPr>
        <w:t xml:space="preserve"> podrá perseguir el pago de dichas incapacidades ante la Entidad Administradora de los Recursos del Sistema General de Seguridad Social en Salud, según el artículo 67 de la Ley 1753 de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53C8" w14:textId="77777777" w:rsidR="00EC2BE3" w:rsidRPr="00EC2BE3" w:rsidRDefault="003202D2" w:rsidP="00EC2BE3">
    <w:pPr>
      <w:pStyle w:val="Ttulo1"/>
      <w:spacing w:before="0" w:after="0"/>
      <w:ind w:right="50"/>
      <w:jc w:val="center"/>
      <w:rPr>
        <w:rFonts w:ascii="Arial" w:hAnsi="Arial" w:cs="Arial"/>
        <w:b w:val="0"/>
        <w:sz w:val="18"/>
        <w:szCs w:val="14"/>
      </w:rPr>
    </w:pPr>
    <w:r w:rsidRPr="00EC2BE3">
      <w:rPr>
        <w:rFonts w:ascii="Arial" w:hAnsi="Arial" w:cs="Arial"/>
        <w:b w:val="0"/>
        <w:sz w:val="18"/>
        <w:szCs w:val="14"/>
      </w:rPr>
      <w:t xml:space="preserve">Clara Rosa Restrepo Gómez </w:t>
    </w:r>
    <w:r w:rsidR="009B2B1A" w:rsidRPr="00EC2BE3">
      <w:rPr>
        <w:rFonts w:ascii="Arial" w:hAnsi="Arial" w:cs="Arial"/>
        <w:b w:val="0"/>
        <w:sz w:val="18"/>
        <w:szCs w:val="14"/>
      </w:rPr>
      <w:t xml:space="preserve">s </w:t>
    </w:r>
    <w:r w:rsidRPr="00EC2BE3">
      <w:rPr>
        <w:rFonts w:ascii="Arial" w:hAnsi="Arial" w:cs="Arial"/>
        <w:b w:val="0"/>
        <w:sz w:val="18"/>
        <w:szCs w:val="14"/>
      </w:rPr>
      <w:t xml:space="preserve">Nueva </w:t>
    </w:r>
    <w:proofErr w:type="spellStart"/>
    <w:r w:rsidRPr="00EC2BE3">
      <w:rPr>
        <w:rFonts w:ascii="Arial" w:hAnsi="Arial" w:cs="Arial"/>
        <w:b w:val="0"/>
        <w:sz w:val="18"/>
        <w:szCs w:val="14"/>
      </w:rPr>
      <w:t>EPS</w:t>
    </w:r>
    <w:proofErr w:type="spellEnd"/>
    <w:r w:rsidRPr="00EC2BE3">
      <w:rPr>
        <w:rFonts w:ascii="Arial" w:hAnsi="Arial" w:cs="Arial"/>
        <w:b w:val="0"/>
        <w:sz w:val="18"/>
        <w:szCs w:val="14"/>
      </w:rPr>
      <w:t xml:space="preserve"> </w:t>
    </w:r>
    <w:r w:rsidR="009B2B1A" w:rsidRPr="00EC2BE3">
      <w:rPr>
        <w:rFonts w:ascii="Arial" w:hAnsi="Arial" w:cs="Arial"/>
        <w:b w:val="0"/>
        <w:sz w:val="18"/>
        <w:szCs w:val="14"/>
      </w:rPr>
      <w:t>y otra</w:t>
    </w:r>
    <w:r w:rsidRPr="00EC2BE3">
      <w:rPr>
        <w:rFonts w:ascii="Arial" w:hAnsi="Arial" w:cs="Arial"/>
        <w:b w:val="0"/>
        <w:sz w:val="18"/>
        <w:szCs w:val="14"/>
      </w:rPr>
      <w:t>s</w:t>
    </w:r>
  </w:p>
  <w:p w14:paraId="36FEB5B0" w14:textId="66FBBD20" w:rsidR="009B2B1A" w:rsidRPr="00EC2BE3" w:rsidRDefault="009B2B1A" w:rsidP="00EC2BE3">
    <w:pPr>
      <w:pStyle w:val="Ttulo1"/>
      <w:spacing w:before="0" w:after="0"/>
      <w:ind w:right="50"/>
      <w:jc w:val="center"/>
      <w:rPr>
        <w:rFonts w:ascii="Arial" w:hAnsi="Arial" w:cs="Arial"/>
        <w:b w:val="0"/>
        <w:sz w:val="18"/>
        <w:szCs w:val="14"/>
      </w:rPr>
    </w:pPr>
    <w:r w:rsidRPr="00EC2BE3">
      <w:rPr>
        <w:rFonts w:ascii="Arial" w:hAnsi="Arial" w:cs="Arial"/>
        <w:b w:val="0"/>
        <w:sz w:val="18"/>
        <w:szCs w:val="14"/>
      </w:rPr>
      <w:t>Rad. 66001-31-05-00</w:t>
    </w:r>
    <w:r w:rsidR="003202D2" w:rsidRPr="00EC2BE3">
      <w:rPr>
        <w:rFonts w:ascii="Arial" w:hAnsi="Arial" w:cs="Arial"/>
        <w:b w:val="0"/>
        <w:sz w:val="18"/>
        <w:szCs w:val="14"/>
      </w:rPr>
      <w:t>4-2023</w:t>
    </w:r>
    <w:r w:rsidRPr="00EC2BE3">
      <w:rPr>
        <w:rFonts w:ascii="Arial" w:hAnsi="Arial" w:cs="Arial"/>
        <w:b w:val="0"/>
        <w:sz w:val="18"/>
        <w:szCs w:val="14"/>
      </w:rPr>
      <w:t>-</w:t>
    </w:r>
    <w:r w:rsidR="003202D2" w:rsidRPr="00EC2BE3">
      <w:rPr>
        <w:rFonts w:ascii="Arial" w:hAnsi="Arial" w:cs="Arial"/>
        <w:b w:val="0"/>
        <w:sz w:val="18"/>
        <w:szCs w:val="14"/>
      </w:rPr>
      <w:t>10195-</w:t>
    </w:r>
    <w:r w:rsidRPr="00EC2BE3">
      <w:rPr>
        <w:rFonts w:ascii="Arial" w:hAnsi="Arial" w:cs="Arial"/>
        <w:b w:val="0"/>
        <w:sz w:val="18"/>
        <w:szCs w:val="14"/>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hybridMultilevel"/>
    <w:tmpl w:val="0C0A0003"/>
    <w:lvl w:ilvl="0" w:tplc="984E5C18">
      <w:start w:val="1"/>
      <w:numFmt w:val="bullet"/>
      <w:lvlText w:val=""/>
      <w:lvlJc w:val="left"/>
      <w:pPr>
        <w:tabs>
          <w:tab w:val="num" w:pos="360"/>
        </w:tabs>
        <w:ind w:left="360" w:hanging="360"/>
      </w:pPr>
      <w:rPr>
        <w:rFonts w:ascii="Symbol" w:hAnsi="Symbol" w:hint="default"/>
      </w:rPr>
    </w:lvl>
    <w:lvl w:ilvl="1" w:tplc="69AC81C6">
      <w:numFmt w:val="decimal"/>
      <w:lvlText w:val=""/>
      <w:lvlJc w:val="left"/>
    </w:lvl>
    <w:lvl w:ilvl="2" w:tplc="E7B22D2E">
      <w:numFmt w:val="decimal"/>
      <w:lvlText w:val=""/>
      <w:lvlJc w:val="left"/>
    </w:lvl>
    <w:lvl w:ilvl="3" w:tplc="89BC8A4A">
      <w:numFmt w:val="decimal"/>
      <w:lvlText w:val=""/>
      <w:lvlJc w:val="left"/>
    </w:lvl>
    <w:lvl w:ilvl="4" w:tplc="E1B20052">
      <w:numFmt w:val="decimal"/>
      <w:lvlText w:val=""/>
      <w:lvlJc w:val="left"/>
    </w:lvl>
    <w:lvl w:ilvl="5" w:tplc="B1DE3DBE">
      <w:numFmt w:val="decimal"/>
      <w:lvlText w:val=""/>
      <w:lvlJc w:val="left"/>
    </w:lvl>
    <w:lvl w:ilvl="6" w:tplc="EC90033A">
      <w:numFmt w:val="decimal"/>
      <w:lvlText w:val=""/>
      <w:lvlJc w:val="left"/>
    </w:lvl>
    <w:lvl w:ilvl="7" w:tplc="3F7CD5D6">
      <w:numFmt w:val="decimal"/>
      <w:lvlText w:val=""/>
      <w:lvlJc w:val="left"/>
    </w:lvl>
    <w:lvl w:ilvl="8" w:tplc="142E9D1A">
      <w:numFmt w:val="decimal"/>
      <w:lvlText w:val=""/>
      <w:lvlJc w:val="left"/>
    </w:lvl>
  </w:abstractNum>
  <w:abstractNum w:abstractNumId="2" w15:restartNumberingAfterBreak="0">
    <w:nsid w:val="07881273"/>
    <w:multiLevelType w:val="hybridMultilevel"/>
    <w:tmpl w:val="0C0A0003"/>
    <w:lvl w:ilvl="0" w:tplc="B8180846">
      <w:start w:val="1"/>
      <w:numFmt w:val="bullet"/>
      <w:lvlText w:val=""/>
      <w:lvlJc w:val="left"/>
      <w:pPr>
        <w:tabs>
          <w:tab w:val="num" w:pos="360"/>
        </w:tabs>
        <w:ind w:left="360" w:hanging="360"/>
      </w:pPr>
      <w:rPr>
        <w:rFonts w:ascii="Symbol" w:hAnsi="Symbol" w:hint="default"/>
      </w:rPr>
    </w:lvl>
    <w:lvl w:ilvl="1" w:tplc="D2DAA26A">
      <w:numFmt w:val="decimal"/>
      <w:lvlText w:val=""/>
      <w:lvlJc w:val="left"/>
    </w:lvl>
    <w:lvl w:ilvl="2" w:tplc="420ADBE0">
      <w:numFmt w:val="decimal"/>
      <w:lvlText w:val=""/>
      <w:lvlJc w:val="left"/>
    </w:lvl>
    <w:lvl w:ilvl="3" w:tplc="A7107ACE">
      <w:numFmt w:val="decimal"/>
      <w:lvlText w:val=""/>
      <w:lvlJc w:val="left"/>
    </w:lvl>
    <w:lvl w:ilvl="4" w:tplc="C15EB750">
      <w:numFmt w:val="decimal"/>
      <w:lvlText w:val=""/>
      <w:lvlJc w:val="left"/>
    </w:lvl>
    <w:lvl w:ilvl="5" w:tplc="27D4715A">
      <w:numFmt w:val="decimal"/>
      <w:lvlText w:val=""/>
      <w:lvlJc w:val="left"/>
    </w:lvl>
    <w:lvl w:ilvl="6" w:tplc="0290BFF0">
      <w:numFmt w:val="decimal"/>
      <w:lvlText w:val=""/>
      <w:lvlJc w:val="left"/>
    </w:lvl>
    <w:lvl w:ilvl="7" w:tplc="06A65EA4">
      <w:numFmt w:val="decimal"/>
      <w:lvlText w:val=""/>
      <w:lvlJc w:val="left"/>
    </w:lvl>
    <w:lvl w:ilvl="8" w:tplc="1EBC97F4">
      <w:numFmt w:val="decimal"/>
      <w:lvlText w:val=""/>
      <w:lvlJc w:val="left"/>
    </w:lvl>
  </w:abstractNum>
  <w:abstractNum w:abstractNumId="3" w15:restartNumberingAfterBreak="0">
    <w:nsid w:val="07FA2667"/>
    <w:multiLevelType w:val="hybridMultilevel"/>
    <w:tmpl w:val="EAE84D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7" w15:restartNumberingAfterBreak="0">
    <w:nsid w:val="1AA43867"/>
    <w:multiLevelType w:val="hybridMultilevel"/>
    <w:tmpl w:val="3AECBB7C"/>
    <w:lvl w:ilvl="0" w:tplc="0C0A000F">
      <w:start w:val="1"/>
      <w:numFmt w:val="decimal"/>
      <w:lvlText w:val="%1."/>
      <w:lvlJc w:val="left"/>
      <w:pPr>
        <w:tabs>
          <w:tab w:val="num" w:pos="4046"/>
        </w:tabs>
        <w:ind w:left="4046" w:hanging="360"/>
      </w:pPr>
      <w:rPr>
        <w:rFonts w:hint="default"/>
      </w:rPr>
    </w:lvl>
    <w:lvl w:ilvl="1" w:tplc="0C0A0019" w:tentative="1">
      <w:start w:val="1"/>
      <w:numFmt w:val="lowerLetter"/>
      <w:lvlText w:val="%2."/>
      <w:lvlJc w:val="left"/>
      <w:pPr>
        <w:tabs>
          <w:tab w:val="num" w:pos="4766"/>
        </w:tabs>
        <w:ind w:left="4766" w:hanging="360"/>
      </w:p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abstractNum w:abstractNumId="8" w15:restartNumberingAfterBreak="0">
    <w:nsid w:val="23327C25"/>
    <w:multiLevelType w:val="hybridMultilevel"/>
    <w:tmpl w:val="A3209E7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73094A"/>
    <w:multiLevelType w:val="hybridMultilevel"/>
    <w:tmpl w:val="0C0A0003"/>
    <w:lvl w:ilvl="0" w:tplc="C2445444">
      <w:start w:val="1"/>
      <w:numFmt w:val="bullet"/>
      <w:lvlText w:val=""/>
      <w:lvlJc w:val="left"/>
      <w:pPr>
        <w:tabs>
          <w:tab w:val="num" w:pos="360"/>
        </w:tabs>
        <w:ind w:left="360" w:hanging="360"/>
      </w:pPr>
      <w:rPr>
        <w:rFonts w:ascii="Symbol" w:hAnsi="Symbol" w:hint="default"/>
      </w:rPr>
    </w:lvl>
    <w:lvl w:ilvl="1" w:tplc="4BFEE0CC">
      <w:numFmt w:val="decimal"/>
      <w:lvlText w:val=""/>
      <w:lvlJc w:val="left"/>
    </w:lvl>
    <w:lvl w:ilvl="2" w:tplc="78B8BD5A">
      <w:numFmt w:val="decimal"/>
      <w:lvlText w:val=""/>
      <w:lvlJc w:val="left"/>
    </w:lvl>
    <w:lvl w:ilvl="3" w:tplc="977A8EF2">
      <w:numFmt w:val="decimal"/>
      <w:lvlText w:val=""/>
      <w:lvlJc w:val="left"/>
    </w:lvl>
    <w:lvl w:ilvl="4" w:tplc="424E285E">
      <w:numFmt w:val="decimal"/>
      <w:lvlText w:val=""/>
      <w:lvlJc w:val="left"/>
    </w:lvl>
    <w:lvl w:ilvl="5" w:tplc="05304D7C">
      <w:numFmt w:val="decimal"/>
      <w:lvlText w:val=""/>
      <w:lvlJc w:val="left"/>
    </w:lvl>
    <w:lvl w:ilvl="6" w:tplc="1AFCB996">
      <w:numFmt w:val="decimal"/>
      <w:lvlText w:val=""/>
      <w:lvlJc w:val="left"/>
    </w:lvl>
    <w:lvl w:ilvl="7" w:tplc="299A631C">
      <w:numFmt w:val="decimal"/>
      <w:lvlText w:val=""/>
      <w:lvlJc w:val="left"/>
    </w:lvl>
    <w:lvl w:ilvl="8" w:tplc="A4803D78">
      <w:numFmt w:val="decimal"/>
      <w:lvlText w:val=""/>
      <w:lvlJc w:val="left"/>
    </w:lvl>
  </w:abstractNum>
  <w:abstractNum w:abstractNumId="10"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DB4BC7"/>
    <w:multiLevelType w:val="hybridMultilevel"/>
    <w:tmpl w:val="AAF60F64"/>
    <w:lvl w:ilvl="0" w:tplc="F0663E34">
      <w:numFmt w:val="none"/>
      <w:lvlText w:val="-"/>
      <w:legacy w:legacy="1" w:legacySpace="120" w:legacyIndent="360"/>
      <w:lvlJc w:val="left"/>
      <w:pPr>
        <w:ind w:left="360" w:hanging="360"/>
      </w:pPr>
    </w:lvl>
    <w:lvl w:ilvl="1" w:tplc="D18C7AEA">
      <w:start w:val="1"/>
      <w:numFmt w:val="none"/>
      <w:lvlText w:val="o"/>
      <w:legacy w:legacy="1" w:legacySpace="120" w:legacyIndent="360"/>
      <w:lvlJc w:val="left"/>
      <w:pPr>
        <w:ind w:left="720" w:hanging="360"/>
      </w:pPr>
      <w:rPr>
        <w:rFonts w:ascii="Courier New" w:hAnsi="Courier New" w:hint="default"/>
      </w:rPr>
    </w:lvl>
    <w:lvl w:ilvl="2" w:tplc="ED600E08">
      <w:start w:val="1"/>
      <w:numFmt w:val="none"/>
      <w:lvlText w:val=""/>
      <w:legacy w:legacy="1" w:legacySpace="120" w:legacyIndent="360"/>
      <w:lvlJc w:val="left"/>
      <w:pPr>
        <w:ind w:left="1080" w:hanging="360"/>
      </w:pPr>
      <w:rPr>
        <w:rFonts w:ascii="Wingdings" w:hAnsi="Wingdings" w:hint="default"/>
      </w:rPr>
    </w:lvl>
    <w:lvl w:ilvl="3" w:tplc="A2066D06">
      <w:start w:val="1"/>
      <w:numFmt w:val="none"/>
      <w:lvlText w:val=""/>
      <w:legacy w:legacy="1" w:legacySpace="120" w:legacyIndent="360"/>
      <w:lvlJc w:val="left"/>
      <w:pPr>
        <w:ind w:left="1440" w:hanging="360"/>
      </w:pPr>
      <w:rPr>
        <w:rFonts w:ascii="Symbol" w:hAnsi="Symbol" w:hint="default"/>
      </w:rPr>
    </w:lvl>
    <w:lvl w:ilvl="4" w:tplc="045A2B1E">
      <w:start w:val="1"/>
      <w:numFmt w:val="none"/>
      <w:lvlText w:val="o"/>
      <w:legacy w:legacy="1" w:legacySpace="120" w:legacyIndent="360"/>
      <w:lvlJc w:val="left"/>
      <w:pPr>
        <w:ind w:left="1800" w:hanging="360"/>
      </w:pPr>
      <w:rPr>
        <w:rFonts w:ascii="Courier New" w:hAnsi="Courier New" w:hint="default"/>
      </w:rPr>
    </w:lvl>
    <w:lvl w:ilvl="5" w:tplc="77D46C50">
      <w:start w:val="1"/>
      <w:numFmt w:val="none"/>
      <w:lvlText w:val=""/>
      <w:legacy w:legacy="1" w:legacySpace="120" w:legacyIndent="360"/>
      <w:lvlJc w:val="left"/>
      <w:pPr>
        <w:ind w:left="2160" w:hanging="360"/>
      </w:pPr>
      <w:rPr>
        <w:rFonts w:ascii="Wingdings" w:hAnsi="Wingdings" w:hint="default"/>
      </w:rPr>
    </w:lvl>
    <w:lvl w:ilvl="6" w:tplc="9AD0ABFE">
      <w:start w:val="1"/>
      <w:numFmt w:val="none"/>
      <w:lvlText w:val=""/>
      <w:legacy w:legacy="1" w:legacySpace="120" w:legacyIndent="360"/>
      <w:lvlJc w:val="left"/>
      <w:pPr>
        <w:ind w:left="2520" w:hanging="360"/>
      </w:pPr>
      <w:rPr>
        <w:rFonts w:ascii="Symbol" w:hAnsi="Symbol" w:hint="default"/>
      </w:rPr>
    </w:lvl>
    <w:lvl w:ilvl="7" w:tplc="A7BA3510">
      <w:start w:val="1"/>
      <w:numFmt w:val="none"/>
      <w:lvlText w:val="o"/>
      <w:legacy w:legacy="1" w:legacySpace="120" w:legacyIndent="360"/>
      <w:lvlJc w:val="left"/>
      <w:pPr>
        <w:ind w:left="2880" w:hanging="360"/>
      </w:pPr>
      <w:rPr>
        <w:rFonts w:ascii="Courier New" w:hAnsi="Courier New" w:hint="default"/>
      </w:rPr>
    </w:lvl>
    <w:lvl w:ilvl="8" w:tplc="EF6CB0A4">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522FC5"/>
    <w:multiLevelType w:val="hybridMultilevel"/>
    <w:tmpl w:val="0C0A0003"/>
    <w:lvl w:ilvl="0" w:tplc="A18058D0">
      <w:start w:val="1"/>
      <w:numFmt w:val="bullet"/>
      <w:lvlText w:val=""/>
      <w:lvlJc w:val="left"/>
      <w:pPr>
        <w:tabs>
          <w:tab w:val="num" w:pos="360"/>
        </w:tabs>
        <w:ind w:left="360" w:hanging="360"/>
      </w:pPr>
      <w:rPr>
        <w:rFonts w:ascii="Symbol" w:hAnsi="Symbol" w:hint="default"/>
      </w:rPr>
    </w:lvl>
    <w:lvl w:ilvl="1" w:tplc="ACC47D28">
      <w:numFmt w:val="decimal"/>
      <w:lvlText w:val=""/>
      <w:lvlJc w:val="left"/>
    </w:lvl>
    <w:lvl w:ilvl="2" w:tplc="C5DC42C8">
      <w:numFmt w:val="decimal"/>
      <w:lvlText w:val=""/>
      <w:lvlJc w:val="left"/>
    </w:lvl>
    <w:lvl w:ilvl="3" w:tplc="7564080A">
      <w:numFmt w:val="decimal"/>
      <w:lvlText w:val=""/>
      <w:lvlJc w:val="left"/>
    </w:lvl>
    <w:lvl w:ilvl="4" w:tplc="D13CAAFC">
      <w:numFmt w:val="decimal"/>
      <w:lvlText w:val=""/>
      <w:lvlJc w:val="left"/>
    </w:lvl>
    <w:lvl w:ilvl="5" w:tplc="F4D4EAA0">
      <w:numFmt w:val="decimal"/>
      <w:lvlText w:val=""/>
      <w:lvlJc w:val="left"/>
    </w:lvl>
    <w:lvl w:ilvl="6" w:tplc="86F4DB50">
      <w:numFmt w:val="decimal"/>
      <w:lvlText w:val=""/>
      <w:lvlJc w:val="left"/>
    </w:lvl>
    <w:lvl w:ilvl="7" w:tplc="2C88C3A4">
      <w:numFmt w:val="decimal"/>
      <w:lvlText w:val=""/>
      <w:lvlJc w:val="left"/>
    </w:lvl>
    <w:lvl w:ilvl="8" w:tplc="255A389A">
      <w:numFmt w:val="decimal"/>
      <w:lvlText w:val=""/>
      <w:lvlJc w:val="left"/>
    </w:lvl>
  </w:abstractNum>
  <w:abstractNum w:abstractNumId="13" w15:restartNumberingAfterBreak="0">
    <w:nsid w:val="350C3E75"/>
    <w:multiLevelType w:val="hybridMultilevel"/>
    <w:tmpl w:val="0C0A0003"/>
    <w:lvl w:ilvl="0" w:tplc="CA1E7BDC">
      <w:start w:val="1"/>
      <w:numFmt w:val="bullet"/>
      <w:lvlText w:val=""/>
      <w:lvlJc w:val="left"/>
      <w:pPr>
        <w:tabs>
          <w:tab w:val="num" w:pos="360"/>
        </w:tabs>
        <w:ind w:left="360" w:hanging="360"/>
      </w:pPr>
      <w:rPr>
        <w:rFonts w:ascii="Symbol" w:hAnsi="Symbol" w:hint="default"/>
      </w:rPr>
    </w:lvl>
    <w:lvl w:ilvl="1" w:tplc="34D41B94">
      <w:numFmt w:val="decimal"/>
      <w:lvlText w:val=""/>
      <w:lvlJc w:val="left"/>
    </w:lvl>
    <w:lvl w:ilvl="2" w:tplc="3FA27AA4">
      <w:numFmt w:val="decimal"/>
      <w:lvlText w:val=""/>
      <w:lvlJc w:val="left"/>
    </w:lvl>
    <w:lvl w:ilvl="3" w:tplc="5DBE9506">
      <w:numFmt w:val="decimal"/>
      <w:lvlText w:val=""/>
      <w:lvlJc w:val="left"/>
    </w:lvl>
    <w:lvl w:ilvl="4" w:tplc="7C4A91A8">
      <w:numFmt w:val="decimal"/>
      <w:lvlText w:val=""/>
      <w:lvlJc w:val="left"/>
    </w:lvl>
    <w:lvl w:ilvl="5" w:tplc="4E54502A">
      <w:numFmt w:val="decimal"/>
      <w:lvlText w:val=""/>
      <w:lvlJc w:val="left"/>
    </w:lvl>
    <w:lvl w:ilvl="6" w:tplc="A97C7E32">
      <w:numFmt w:val="decimal"/>
      <w:lvlText w:val=""/>
      <w:lvlJc w:val="left"/>
    </w:lvl>
    <w:lvl w:ilvl="7" w:tplc="CF4E79D6">
      <w:numFmt w:val="decimal"/>
      <w:lvlText w:val=""/>
      <w:lvlJc w:val="left"/>
    </w:lvl>
    <w:lvl w:ilvl="8" w:tplc="7ED66016">
      <w:numFmt w:val="decimal"/>
      <w:lvlText w:val=""/>
      <w:lvlJc w:val="left"/>
    </w:lvl>
  </w:abstractNum>
  <w:abstractNum w:abstractNumId="14"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E5261B"/>
    <w:multiLevelType w:val="multilevel"/>
    <w:tmpl w:val="934678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21"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B1B2AFF"/>
    <w:multiLevelType w:val="hybridMultilevel"/>
    <w:tmpl w:val="0C0A0003"/>
    <w:lvl w:ilvl="0" w:tplc="EEDC29BA">
      <w:start w:val="1"/>
      <w:numFmt w:val="bullet"/>
      <w:lvlText w:val=""/>
      <w:lvlJc w:val="left"/>
      <w:pPr>
        <w:tabs>
          <w:tab w:val="num" w:pos="360"/>
        </w:tabs>
        <w:ind w:left="360" w:hanging="360"/>
      </w:pPr>
      <w:rPr>
        <w:rFonts w:ascii="Symbol" w:hAnsi="Symbol" w:hint="default"/>
      </w:rPr>
    </w:lvl>
    <w:lvl w:ilvl="1" w:tplc="3C340316">
      <w:numFmt w:val="decimal"/>
      <w:lvlText w:val=""/>
      <w:lvlJc w:val="left"/>
    </w:lvl>
    <w:lvl w:ilvl="2" w:tplc="BF3CFD8E">
      <w:numFmt w:val="decimal"/>
      <w:lvlText w:val=""/>
      <w:lvlJc w:val="left"/>
    </w:lvl>
    <w:lvl w:ilvl="3" w:tplc="D952D194">
      <w:numFmt w:val="decimal"/>
      <w:lvlText w:val=""/>
      <w:lvlJc w:val="left"/>
    </w:lvl>
    <w:lvl w:ilvl="4" w:tplc="BC9660AE">
      <w:numFmt w:val="decimal"/>
      <w:lvlText w:val=""/>
      <w:lvlJc w:val="left"/>
    </w:lvl>
    <w:lvl w:ilvl="5" w:tplc="69984DBA">
      <w:numFmt w:val="decimal"/>
      <w:lvlText w:val=""/>
      <w:lvlJc w:val="left"/>
    </w:lvl>
    <w:lvl w:ilvl="6" w:tplc="2D1E67FA">
      <w:numFmt w:val="decimal"/>
      <w:lvlText w:val=""/>
      <w:lvlJc w:val="left"/>
    </w:lvl>
    <w:lvl w:ilvl="7" w:tplc="822C3304">
      <w:numFmt w:val="decimal"/>
      <w:lvlText w:val=""/>
      <w:lvlJc w:val="left"/>
    </w:lvl>
    <w:lvl w:ilvl="8" w:tplc="98964170">
      <w:numFmt w:val="decimal"/>
      <w:lvlText w:val=""/>
      <w:lvlJc w:val="left"/>
    </w:lvl>
  </w:abstractNum>
  <w:abstractNum w:abstractNumId="23"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4"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1"/>
    <w:lvlOverride w:ilvl="0">
      <w:lvl w:ilvl="0" w:tplc="F0663E34">
        <w:numFmt w:val="none"/>
        <w:lvlText w:val="-"/>
        <w:legacy w:legacy="1" w:legacySpace="120" w:legacyIndent="360"/>
        <w:lvlJc w:val="left"/>
        <w:pPr>
          <w:ind w:left="360" w:hanging="360"/>
        </w:pPr>
      </w:lvl>
    </w:lvlOverride>
    <w:lvlOverride w:ilvl="1">
      <w:lvl w:ilvl="1" w:tplc="D18C7AEA">
        <w:start w:val="1"/>
        <w:numFmt w:val="none"/>
        <w:lvlText w:val="o"/>
        <w:legacy w:legacy="1" w:legacySpace="120" w:legacyIndent="360"/>
        <w:lvlJc w:val="left"/>
        <w:pPr>
          <w:ind w:left="720" w:hanging="360"/>
        </w:pPr>
        <w:rPr>
          <w:rFonts w:ascii="Courier New" w:hAnsi="Courier New" w:hint="default"/>
        </w:rPr>
      </w:lvl>
    </w:lvlOverride>
    <w:lvlOverride w:ilvl="2">
      <w:lvl w:ilvl="2" w:tplc="ED600E08">
        <w:start w:val="1"/>
        <w:numFmt w:val="none"/>
        <w:lvlText w:val=""/>
        <w:legacy w:legacy="1" w:legacySpace="120" w:legacyIndent="360"/>
        <w:lvlJc w:val="left"/>
        <w:pPr>
          <w:ind w:left="1080" w:hanging="360"/>
        </w:pPr>
        <w:rPr>
          <w:rFonts w:ascii="Wingdings" w:hAnsi="Wingdings" w:hint="default"/>
        </w:rPr>
      </w:lvl>
    </w:lvlOverride>
    <w:lvlOverride w:ilvl="3">
      <w:lvl w:ilvl="3" w:tplc="A2066D06">
        <w:start w:val="1"/>
        <w:numFmt w:val="none"/>
        <w:lvlText w:val=""/>
        <w:legacy w:legacy="1" w:legacySpace="120" w:legacyIndent="360"/>
        <w:lvlJc w:val="left"/>
        <w:pPr>
          <w:ind w:left="1440" w:hanging="360"/>
        </w:pPr>
        <w:rPr>
          <w:rFonts w:ascii="Symbol" w:hAnsi="Symbol" w:hint="default"/>
        </w:rPr>
      </w:lvl>
    </w:lvlOverride>
    <w:lvlOverride w:ilvl="4">
      <w:lvl w:ilvl="4" w:tplc="045A2B1E">
        <w:start w:val="1"/>
        <w:numFmt w:val="none"/>
        <w:lvlText w:val="o"/>
        <w:legacy w:legacy="1" w:legacySpace="120" w:legacyIndent="360"/>
        <w:lvlJc w:val="left"/>
        <w:pPr>
          <w:ind w:left="1800" w:hanging="360"/>
        </w:pPr>
        <w:rPr>
          <w:rFonts w:ascii="Courier New" w:hAnsi="Courier New" w:hint="default"/>
        </w:rPr>
      </w:lvl>
    </w:lvlOverride>
    <w:lvlOverride w:ilvl="5">
      <w:lvl w:ilvl="5" w:tplc="77D46C50">
        <w:start w:val="1"/>
        <w:numFmt w:val="none"/>
        <w:lvlText w:val=""/>
        <w:legacy w:legacy="1" w:legacySpace="120" w:legacyIndent="360"/>
        <w:lvlJc w:val="left"/>
        <w:pPr>
          <w:ind w:left="2160" w:hanging="360"/>
        </w:pPr>
        <w:rPr>
          <w:rFonts w:ascii="Wingdings" w:hAnsi="Wingdings" w:hint="default"/>
        </w:rPr>
      </w:lvl>
    </w:lvlOverride>
    <w:lvlOverride w:ilvl="6">
      <w:lvl w:ilvl="6" w:tplc="9AD0ABFE">
        <w:start w:val="1"/>
        <w:numFmt w:val="none"/>
        <w:lvlText w:val=""/>
        <w:legacy w:legacy="1" w:legacySpace="120" w:legacyIndent="360"/>
        <w:lvlJc w:val="left"/>
        <w:pPr>
          <w:ind w:left="2520" w:hanging="360"/>
        </w:pPr>
        <w:rPr>
          <w:rFonts w:ascii="Symbol" w:hAnsi="Symbol" w:hint="default"/>
        </w:rPr>
      </w:lvl>
    </w:lvlOverride>
    <w:lvlOverride w:ilvl="7">
      <w:lvl w:ilvl="7" w:tplc="A7BA3510">
        <w:start w:val="1"/>
        <w:numFmt w:val="none"/>
        <w:lvlText w:val="o"/>
        <w:legacy w:legacy="1" w:legacySpace="120" w:legacyIndent="360"/>
        <w:lvlJc w:val="left"/>
        <w:pPr>
          <w:ind w:left="2880" w:hanging="360"/>
        </w:pPr>
        <w:rPr>
          <w:rFonts w:ascii="Courier New" w:hAnsi="Courier New" w:hint="default"/>
        </w:rPr>
      </w:lvl>
    </w:lvlOverride>
    <w:lvlOverride w:ilvl="8">
      <w:lvl w:ilvl="8" w:tplc="EF6CB0A4">
        <w:start w:val="1"/>
        <w:numFmt w:val="none"/>
        <w:lvlText w:val=""/>
        <w:legacy w:legacy="1" w:legacySpace="120" w:legacyIndent="360"/>
        <w:lvlJc w:val="left"/>
        <w:pPr>
          <w:ind w:left="3240" w:hanging="360"/>
        </w:pPr>
        <w:rPr>
          <w:rFonts w:ascii="Wingdings" w:hAnsi="Wingdings" w:hint="default"/>
        </w:rPr>
      </w:lvl>
    </w:lvlOverride>
  </w:num>
  <w:num w:numId="3">
    <w:abstractNumId w:val="12"/>
  </w:num>
  <w:num w:numId="4">
    <w:abstractNumId w:val="9"/>
  </w:num>
  <w:num w:numId="5">
    <w:abstractNumId w:val="0"/>
  </w:num>
  <w:num w:numId="6">
    <w:abstractNumId w:val="2"/>
  </w:num>
  <w:num w:numId="7">
    <w:abstractNumId w:val="5"/>
  </w:num>
  <w:num w:numId="8">
    <w:abstractNumId w:val="1"/>
  </w:num>
  <w:num w:numId="9">
    <w:abstractNumId w:val="22"/>
  </w:num>
  <w:num w:numId="10">
    <w:abstractNumId w:val="13"/>
  </w:num>
  <w:num w:numId="11">
    <w:abstractNumId w:val="10"/>
  </w:num>
  <w:num w:numId="12">
    <w:abstractNumId w:val="23"/>
  </w:num>
  <w:num w:numId="13">
    <w:abstractNumId w:val="24"/>
  </w:num>
  <w:num w:numId="14">
    <w:abstractNumId w:val="4"/>
  </w:num>
  <w:num w:numId="15">
    <w:abstractNumId w:val="20"/>
  </w:num>
  <w:num w:numId="16">
    <w:abstractNumId w:val="6"/>
  </w:num>
  <w:num w:numId="17">
    <w:abstractNumId w:val="25"/>
  </w:num>
  <w:num w:numId="18">
    <w:abstractNumId w:val="21"/>
  </w:num>
  <w:num w:numId="19">
    <w:abstractNumId w:val="14"/>
  </w:num>
  <w:num w:numId="20">
    <w:abstractNumId w:val="19"/>
  </w:num>
  <w:num w:numId="21">
    <w:abstractNumId w:val="18"/>
  </w:num>
  <w:num w:numId="22">
    <w:abstractNumId w:val="17"/>
  </w:num>
  <w:num w:numId="23">
    <w:abstractNumId w:val="16"/>
  </w:num>
  <w:num w:numId="24">
    <w:abstractNumId w:val="15"/>
  </w:num>
  <w:num w:numId="25">
    <w:abstractNumId w:val="8"/>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A"/>
    <w:rsid w:val="00001B1A"/>
    <w:rsid w:val="00001CAF"/>
    <w:rsid w:val="0000742D"/>
    <w:rsid w:val="000111EF"/>
    <w:rsid w:val="00014FEB"/>
    <w:rsid w:val="00015AF3"/>
    <w:rsid w:val="000216E2"/>
    <w:rsid w:val="00035885"/>
    <w:rsid w:val="000358E7"/>
    <w:rsid w:val="000445B6"/>
    <w:rsid w:val="000574C3"/>
    <w:rsid w:val="000657B2"/>
    <w:rsid w:val="000710FE"/>
    <w:rsid w:val="00072225"/>
    <w:rsid w:val="000765B2"/>
    <w:rsid w:val="00081863"/>
    <w:rsid w:val="00091765"/>
    <w:rsid w:val="00097556"/>
    <w:rsid w:val="000A039B"/>
    <w:rsid w:val="000A1E94"/>
    <w:rsid w:val="000A2C1D"/>
    <w:rsid w:val="000A547C"/>
    <w:rsid w:val="000B33F5"/>
    <w:rsid w:val="000B7470"/>
    <w:rsid w:val="000C07D6"/>
    <w:rsid w:val="000C2219"/>
    <w:rsid w:val="000C45EB"/>
    <w:rsid w:val="000C4BC7"/>
    <w:rsid w:val="000D0061"/>
    <w:rsid w:val="000D0550"/>
    <w:rsid w:val="000D4458"/>
    <w:rsid w:val="000D7568"/>
    <w:rsid w:val="000E0A9B"/>
    <w:rsid w:val="000E37C9"/>
    <w:rsid w:val="000E5F56"/>
    <w:rsid w:val="000E646B"/>
    <w:rsid w:val="000E7743"/>
    <w:rsid w:val="000F38DE"/>
    <w:rsid w:val="00100D32"/>
    <w:rsid w:val="001035D9"/>
    <w:rsid w:val="00106163"/>
    <w:rsid w:val="00111ECA"/>
    <w:rsid w:val="00112D3A"/>
    <w:rsid w:val="0011700A"/>
    <w:rsid w:val="001237FE"/>
    <w:rsid w:val="001253A5"/>
    <w:rsid w:val="001259A9"/>
    <w:rsid w:val="00133FB7"/>
    <w:rsid w:val="001343B8"/>
    <w:rsid w:val="00135F5B"/>
    <w:rsid w:val="001474B3"/>
    <w:rsid w:val="001535FE"/>
    <w:rsid w:val="001545D4"/>
    <w:rsid w:val="00157AEE"/>
    <w:rsid w:val="001631DE"/>
    <w:rsid w:val="00166247"/>
    <w:rsid w:val="00167A45"/>
    <w:rsid w:val="00167BF2"/>
    <w:rsid w:val="00167F8B"/>
    <w:rsid w:val="00170670"/>
    <w:rsid w:val="00172866"/>
    <w:rsid w:val="00175FF5"/>
    <w:rsid w:val="00177139"/>
    <w:rsid w:val="00181F6E"/>
    <w:rsid w:val="00182639"/>
    <w:rsid w:val="00183694"/>
    <w:rsid w:val="00191C88"/>
    <w:rsid w:val="001A701B"/>
    <w:rsid w:val="001B2E5C"/>
    <w:rsid w:val="001B336F"/>
    <w:rsid w:val="001B77A3"/>
    <w:rsid w:val="001C5950"/>
    <w:rsid w:val="001C6C77"/>
    <w:rsid w:val="001D04DB"/>
    <w:rsid w:val="001D0568"/>
    <w:rsid w:val="001D4A1C"/>
    <w:rsid w:val="001E100F"/>
    <w:rsid w:val="001E1727"/>
    <w:rsid w:val="001E19F4"/>
    <w:rsid w:val="001E39AA"/>
    <w:rsid w:val="001F0626"/>
    <w:rsid w:val="001F1BE2"/>
    <w:rsid w:val="001F31CC"/>
    <w:rsid w:val="001F551D"/>
    <w:rsid w:val="001F6EEA"/>
    <w:rsid w:val="001F71EA"/>
    <w:rsid w:val="00210E59"/>
    <w:rsid w:val="00211E51"/>
    <w:rsid w:val="002132A5"/>
    <w:rsid w:val="0021355A"/>
    <w:rsid w:val="0021358D"/>
    <w:rsid w:val="00216B4D"/>
    <w:rsid w:val="00217D18"/>
    <w:rsid w:val="00226905"/>
    <w:rsid w:val="00230D87"/>
    <w:rsid w:val="00235EB9"/>
    <w:rsid w:val="00240A21"/>
    <w:rsid w:val="0024117E"/>
    <w:rsid w:val="00242E77"/>
    <w:rsid w:val="0025011A"/>
    <w:rsid w:val="0025070E"/>
    <w:rsid w:val="00250F79"/>
    <w:rsid w:val="00254D91"/>
    <w:rsid w:val="002552A3"/>
    <w:rsid w:val="00256145"/>
    <w:rsid w:val="00263B8C"/>
    <w:rsid w:val="002671E5"/>
    <w:rsid w:val="00271C28"/>
    <w:rsid w:val="0027200A"/>
    <w:rsid w:val="002754FC"/>
    <w:rsid w:val="002758A2"/>
    <w:rsid w:val="00276926"/>
    <w:rsid w:val="002814AD"/>
    <w:rsid w:val="00286CF0"/>
    <w:rsid w:val="0029620E"/>
    <w:rsid w:val="0029642F"/>
    <w:rsid w:val="002A0B56"/>
    <w:rsid w:val="002A2AE9"/>
    <w:rsid w:val="002A2F69"/>
    <w:rsid w:val="002B2039"/>
    <w:rsid w:val="002B5E02"/>
    <w:rsid w:val="002B60D4"/>
    <w:rsid w:val="002C02FA"/>
    <w:rsid w:val="002C7D48"/>
    <w:rsid w:val="002C7F42"/>
    <w:rsid w:val="002D145C"/>
    <w:rsid w:val="002D2577"/>
    <w:rsid w:val="002D3294"/>
    <w:rsid w:val="002E24F8"/>
    <w:rsid w:val="002E4DF2"/>
    <w:rsid w:val="002E6FF9"/>
    <w:rsid w:val="002F1C22"/>
    <w:rsid w:val="002F7123"/>
    <w:rsid w:val="002F73EE"/>
    <w:rsid w:val="00301C88"/>
    <w:rsid w:val="00303073"/>
    <w:rsid w:val="00303513"/>
    <w:rsid w:val="003077D5"/>
    <w:rsid w:val="003107BA"/>
    <w:rsid w:val="00311524"/>
    <w:rsid w:val="00314FD9"/>
    <w:rsid w:val="003202D2"/>
    <w:rsid w:val="00326E04"/>
    <w:rsid w:val="003428C9"/>
    <w:rsid w:val="003443AF"/>
    <w:rsid w:val="00350622"/>
    <w:rsid w:val="0035153F"/>
    <w:rsid w:val="00352D0E"/>
    <w:rsid w:val="00363455"/>
    <w:rsid w:val="003650E7"/>
    <w:rsid w:val="00367FB8"/>
    <w:rsid w:val="00375CCF"/>
    <w:rsid w:val="003812A2"/>
    <w:rsid w:val="003857DC"/>
    <w:rsid w:val="003860AB"/>
    <w:rsid w:val="003866B8"/>
    <w:rsid w:val="00386A44"/>
    <w:rsid w:val="003A2A2A"/>
    <w:rsid w:val="003A56C3"/>
    <w:rsid w:val="003A706B"/>
    <w:rsid w:val="003B03B9"/>
    <w:rsid w:val="003B659C"/>
    <w:rsid w:val="003B6673"/>
    <w:rsid w:val="003C4428"/>
    <w:rsid w:val="003C5758"/>
    <w:rsid w:val="003D15BF"/>
    <w:rsid w:val="003D6010"/>
    <w:rsid w:val="003D6D7A"/>
    <w:rsid w:val="003D7E30"/>
    <w:rsid w:val="003E17DB"/>
    <w:rsid w:val="003E2921"/>
    <w:rsid w:val="003E4977"/>
    <w:rsid w:val="003E4AB5"/>
    <w:rsid w:val="003F1498"/>
    <w:rsid w:val="003F4749"/>
    <w:rsid w:val="003F6DB6"/>
    <w:rsid w:val="00400BDD"/>
    <w:rsid w:val="0040634F"/>
    <w:rsid w:val="00412A74"/>
    <w:rsid w:val="00414219"/>
    <w:rsid w:val="004151AE"/>
    <w:rsid w:val="00415235"/>
    <w:rsid w:val="00416D6A"/>
    <w:rsid w:val="004218EB"/>
    <w:rsid w:val="00421ACC"/>
    <w:rsid w:val="004234CB"/>
    <w:rsid w:val="004235AD"/>
    <w:rsid w:val="004312BA"/>
    <w:rsid w:val="00437694"/>
    <w:rsid w:val="004401BE"/>
    <w:rsid w:val="00441440"/>
    <w:rsid w:val="00441751"/>
    <w:rsid w:val="004419E2"/>
    <w:rsid w:val="00441AA4"/>
    <w:rsid w:val="004428B8"/>
    <w:rsid w:val="004506D5"/>
    <w:rsid w:val="00450A82"/>
    <w:rsid w:val="00453661"/>
    <w:rsid w:val="00457BB4"/>
    <w:rsid w:val="0047138D"/>
    <w:rsid w:val="0047632D"/>
    <w:rsid w:val="00477552"/>
    <w:rsid w:val="00477B69"/>
    <w:rsid w:val="00482B91"/>
    <w:rsid w:val="00485158"/>
    <w:rsid w:val="004855DF"/>
    <w:rsid w:val="00487576"/>
    <w:rsid w:val="0049405E"/>
    <w:rsid w:val="00497B93"/>
    <w:rsid w:val="004A0AED"/>
    <w:rsid w:val="004A1842"/>
    <w:rsid w:val="004C0A45"/>
    <w:rsid w:val="004C3DC4"/>
    <w:rsid w:val="004C78A6"/>
    <w:rsid w:val="004D33AA"/>
    <w:rsid w:val="004D4DE7"/>
    <w:rsid w:val="004F1842"/>
    <w:rsid w:val="005027AB"/>
    <w:rsid w:val="005040D0"/>
    <w:rsid w:val="00505976"/>
    <w:rsid w:val="00505BF6"/>
    <w:rsid w:val="005068F5"/>
    <w:rsid w:val="00510B04"/>
    <w:rsid w:val="00513C54"/>
    <w:rsid w:val="00524F37"/>
    <w:rsid w:val="00526C76"/>
    <w:rsid w:val="005273D0"/>
    <w:rsid w:val="00530F12"/>
    <w:rsid w:val="0053379E"/>
    <w:rsid w:val="005339BD"/>
    <w:rsid w:val="00536B40"/>
    <w:rsid w:val="00541FDD"/>
    <w:rsid w:val="005431E5"/>
    <w:rsid w:val="00545DA1"/>
    <w:rsid w:val="00546BAB"/>
    <w:rsid w:val="00550297"/>
    <w:rsid w:val="00551986"/>
    <w:rsid w:val="00553742"/>
    <w:rsid w:val="00553B82"/>
    <w:rsid w:val="00553BBD"/>
    <w:rsid w:val="0055663A"/>
    <w:rsid w:val="00560131"/>
    <w:rsid w:val="0056750E"/>
    <w:rsid w:val="00567625"/>
    <w:rsid w:val="0056769A"/>
    <w:rsid w:val="00575231"/>
    <w:rsid w:val="00581201"/>
    <w:rsid w:val="00587672"/>
    <w:rsid w:val="00590BAF"/>
    <w:rsid w:val="00592204"/>
    <w:rsid w:val="00593D3B"/>
    <w:rsid w:val="005950F3"/>
    <w:rsid w:val="005960A3"/>
    <w:rsid w:val="005A4DDD"/>
    <w:rsid w:val="005B1865"/>
    <w:rsid w:val="005B3A95"/>
    <w:rsid w:val="005B665F"/>
    <w:rsid w:val="005C3E9C"/>
    <w:rsid w:val="005C68FC"/>
    <w:rsid w:val="005E0FD0"/>
    <w:rsid w:val="005E5DF6"/>
    <w:rsid w:val="005F11CC"/>
    <w:rsid w:val="005F1713"/>
    <w:rsid w:val="005F2D19"/>
    <w:rsid w:val="005F69C2"/>
    <w:rsid w:val="006004C2"/>
    <w:rsid w:val="00602D9A"/>
    <w:rsid w:val="00605180"/>
    <w:rsid w:val="00611C99"/>
    <w:rsid w:val="00612176"/>
    <w:rsid w:val="0061581C"/>
    <w:rsid w:val="00624E49"/>
    <w:rsid w:val="006255DC"/>
    <w:rsid w:val="0062761F"/>
    <w:rsid w:val="00632804"/>
    <w:rsid w:val="00632B1D"/>
    <w:rsid w:val="00633870"/>
    <w:rsid w:val="006404FC"/>
    <w:rsid w:val="00641E3C"/>
    <w:rsid w:val="006430D1"/>
    <w:rsid w:val="0065028F"/>
    <w:rsid w:val="00662F53"/>
    <w:rsid w:val="0067059A"/>
    <w:rsid w:val="00670AA8"/>
    <w:rsid w:val="00670F72"/>
    <w:rsid w:val="0067387C"/>
    <w:rsid w:val="0067490E"/>
    <w:rsid w:val="006813F2"/>
    <w:rsid w:val="0068333E"/>
    <w:rsid w:val="00686ACC"/>
    <w:rsid w:val="00687115"/>
    <w:rsid w:val="006911E2"/>
    <w:rsid w:val="00691F31"/>
    <w:rsid w:val="006A290A"/>
    <w:rsid w:val="006A7CF4"/>
    <w:rsid w:val="006B1973"/>
    <w:rsid w:val="006B7DC9"/>
    <w:rsid w:val="006C34FE"/>
    <w:rsid w:val="006C4FB2"/>
    <w:rsid w:val="006C54B2"/>
    <w:rsid w:val="006C5D7C"/>
    <w:rsid w:val="006D28E7"/>
    <w:rsid w:val="006D2938"/>
    <w:rsid w:val="006D7848"/>
    <w:rsid w:val="006F4DF0"/>
    <w:rsid w:val="007046DC"/>
    <w:rsid w:val="00704D95"/>
    <w:rsid w:val="00705734"/>
    <w:rsid w:val="007111CC"/>
    <w:rsid w:val="00720397"/>
    <w:rsid w:val="00721AF2"/>
    <w:rsid w:val="007259A0"/>
    <w:rsid w:val="00726A14"/>
    <w:rsid w:val="00730C0B"/>
    <w:rsid w:val="00730CC7"/>
    <w:rsid w:val="00733FE2"/>
    <w:rsid w:val="00734BBA"/>
    <w:rsid w:val="00735089"/>
    <w:rsid w:val="00735D91"/>
    <w:rsid w:val="00736F84"/>
    <w:rsid w:val="0074084F"/>
    <w:rsid w:val="00744475"/>
    <w:rsid w:val="007508CA"/>
    <w:rsid w:val="00761331"/>
    <w:rsid w:val="00761BA4"/>
    <w:rsid w:val="00761E57"/>
    <w:rsid w:val="00783128"/>
    <w:rsid w:val="00783FBC"/>
    <w:rsid w:val="00787B49"/>
    <w:rsid w:val="00793148"/>
    <w:rsid w:val="007A364A"/>
    <w:rsid w:val="007A60C1"/>
    <w:rsid w:val="007A6999"/>
    <w:rsid w:val="007B2E7B"/>
    <w:rsid w:val="007B360E"/>
    <w:rsid w:val="007B7F6B"/>
    <w:rsid w:val="007D0D9C"/>
    <w:rsid w:val="007F434A"/>
    <w:rsid w:val="007F67FD"/>
    <w:rsid w:val="007F728F"/>
    <w:rsid w:val="007F7E37"/>
    <w:rsid w:val="0080130D"/>
    <w:rsid w:val="00802881"/>
    <w:rsid w:val="008030EC"/>
    <w:rsid w:val="00804CB8"/>
    <w:rsid w:val="00806606"/>
    <w:rsid w:val="0081414D"/>
    <w:rsid w:val="00815BC2"/>
    <w:rsid w:val="00815DAA"/>
    <w:rsid w:val="00823F91"/>
    <w:rsid w:val="008362F3"/>
    <w:rsid w:val="00836451"/>
    <w:rsid w:val="0083671C"/>
    <w:rsid w:val="00836B4C"/>
    <w:rsid w:val="008379D3"/>
    <w:rsid w:val="00840C00"/>
    <w:rsid w:val="00841EA9"/>
    <w:rsid w:val="0084783C"/>
    <w:rsid w:val="00861294"/>
    <w:rsid w:val="00863F04"/>
    <w:rsid w:val="00870982"/>
    <w:rsid w:val="008724D0"/>
    <w:rsid w:val="00874B10"/>
    <w:rsid w:val="0087515C"/>
    <w:rsid w:val="00883913"/>
    <w:rsid w:val="00891337"/>
    <w:rsid w:val="00893BA4"/>
    <w:rsid w:val="008940AA"/>
    <w:rsid w:val="008A7F03"/>
    <w:rsid w:val="008C260E"/>
    <w:rsid w:val="008C28A9"/>
    <w:rsid w:val="008C40AE"/>
    <w:rsid w:val="008D0937"/>
    <w:rsid w:val="008D29D6"/>
    <w:rsid w:val="008D6A1C"/>
    <w:rsid w:val="008E1266"/>
    <w:rsid w:val="008E3585"/>
    <w:rsid w:val="008E5615"/>
    <w:rsid w:val="008E64DB"/>
    <w:rsid w:val="008E6DE2"/>
    <w:rsid w:val="008F20C1"/>
    <w:rsid w:val="008F266D"/>
    <w:rsid w:val="008F6D7B"/>
    <w:rsid w:val="009008BC"/>
    <w:rsid w:val="00900E2A"/>
    <w:rsid w:val="0090134C"/>
    <w:rsid w:val="00901A77"/>
    <w:rsid w:val="0090265B"/>
    <w:rsid w:val="00904972"/>
    <w:rsid w:val="00910DE9"/>
    <w:rsid w:val="009156FB"/>
    <w:rsid w:val="009237AA"/>
    <w:rsid w:val="00924FB8"/>
    <w:rsid w:val="0092559A"/>
    <w:rsid w:val="0093231A"/>
    <w:rsid w:val="00936021"/>
    <w:rsid w:val="00937AD5"/>
    <w:rsid w:val="00937EF7"/>
    <w:rsid w:val="009439F7"/>
    <w:rsid w:val="00945234"/>
    <w:rsid w:val="00945972"/>
    <w:rsid w:val="00951442"/>
    <w:rsid w:val="0095207F"/>
    <w:rsid w:val="009630F6"/>
    <w:rsid w:val="0096765A"/>
    <w:rsid w:val="0097511F"/>
    <w:rsid w:val="009772CC"/>
    <w:rsid w:val="00980EC1"/>
    <w:rsid w:val="00982C8D"/>
    <w:rsid w:val="00985371"/>
    <w:rsid w:val="0098579C"/>
    <w:rsid w:val="00992D48"/>
    <w:rsid w:val="00993121"/>
    <w:rsid w:val="00993B11"/>
    <w:rsid w:val="009945C9"/>
    <w:rsid w:val="00995930"/>
    <w:rsid w:val="009A1AFD"/>
    <w:rsid w:val="009A26C3"/>
    <w:rsid w:val="009A33FF"/>
    <w:rsid w:val="009A52F8"/>
    <w:rsid w:val="009B0649"/>
    <w:rsid w:val="009B0FC4"/>
    <w:rsid w:val="009B2B1A"/>
    <w:rsid w:val="009B37BD"/>
    <w:rsid w:val="009B5B2C"/>
    <w:rsid w:val="009B6864"/>
    <w:rsid w:val="009C08DC"/>
    <w:rsid w:val="009C1F32"/>
    <w:rsid w:val="009C4562"/>
    <w:rsid w:val="009D11D5"/>
    <w:rsid w:val="009D22C4"/>
    <w:rsid w:val="009D3AD2"/>
    <w:rsid w:val="009D426E"/>
    <w:rsid w:val="009D6ADE"/>
    <w:rsid w:val="009D7E83"/>
    <w:rsid w:val="009E4C85"/>
    <w:rsid w:val="009E4F11"/>
    <w:rsid w:val="009F601A"/>
    <w:rsid w:val="009F6100"/>
    <w:rsid w:val="009F7FD8"/>
    <w:rsid w:val="00A00739"/>
    <w:rsid w:val="00A024F7"/>
    <w:rsid w:val="00A0790B"/>
    <w:rsid w:val="00A11E23"/>
    <w:rsid w:val="00A14E2C"/>
    <w:rsid w:val="00A15AE2"/>
    <w:rsid w:val="00A17528"/>
    <w:rsid w:val="00A23B33"/>
    <w:rsid w:val="00A330CB"/>
    <w:rsid w:val="00A3584E"/>
    <w:rsid w:val="00A36510"/>
    <w:rsid w:val="00A41529"/>
    <w:rsid w:val="00A4697B"/>
    <w:rsid w:val="00A47864"/>
    <w:rsid w:val="00A4795E"/>
    <w:rsid w:val="00A56C4F"/>
    <w:rsid w:val="00A57A98"/>
    <w:rsid w:val="00A62B88"/>
    <w:rsid w:val="00A62FC4"/>
    <w:rsid w:val="00A65BDA"/>
    <w:rsid w:val="00A66767"/>
    <w:rsid w:val="00A74DC3"/>
    <w:rsid w:val="00A7642F"/>
    <w:rsid w:val="00A77B7E"/>
    <w:rsid w:val="00A82585"/>
    <w:rsid w:val="00A8362A"/>
    <w:rsid w:val="00A83CB6"/>
    <w:rsid w:val="00A85599"/>
    <w:rsid w:val="00A94377"/>
    <w:rsid w:val="00A95EC7"/>
    <w:rsid w:val="00A969D9"/>
    <w:rsid w:val="00AA31C0"/>
    <w:rsid w:val="00AA5E75"/>
    <w:rsid w:val="00AA6B8A"/>
    <w:rsid w:val="00AB11EC"/>
    <w:rsid w:val="00AB7DA3"/>
    <w:rsid w:val="00AC1305"/>
    <w:rsid w:val="00AC327C"/>
    <w:rsid w:val="00AC32B4"/>
    <w:rsid w:val="00AD3B39"/>
    <w:rsid w:val="00AD58CD"/>
    <w:rsid w:val="00AD68AC"/>
    <w:rsid w:val="00AD7A46"/>
    <w:rsid w:val="00AE0D03"/>
    <w:rsid w:val="00AF582B"/>
    <w:rsid w:val="00AF7105"/>
    <w:rsid w:val="00B01B92"/>
    <w:rsid w:val="00B046F1"/>
    <w:rsid w:val="00B05797"/>
    <w:rsid w:val="00B07A71"/>
    <w:rsid w:val="00B1506F"/>
    <w:rsid w:val="00B15CC0"/>
    <w:rsid w:val="00B17DD2"/>
    <w:rsid w:val="00B22B4A"/>
    <w:rsid w:val="00B237E3"/>
    <w:rsid w:val="00B31099"/>
    <w:rsid w:val="00B45799"/>
    <w:rsid w:val="00B52223"/>
    <w:rsid w:val="00B52AC0"/>
    <w:rsid w:val="00B541BD"/>
    <w:rsid w:val="00B60318"/>
    <w:rsid w:val="00B64F66"/>
    <w:rsid w:val="00B657B9"/>
    <w:rsid w:val="00B67AC3"/>
    <w:rsid w:val="00B67C7C"/>
    <w:rsid w:val="00B717A4"/>
    <w:rsid w:val="00B73BB1"/>
    <w:rsid w:val="00B77A2F"/>
    <w:rsid w:val="00B81A8C"/>
    <w:rsid w:val="00B82F9F"/>
    <w:rsid w:val="00B90F53"/>
    <w:rsid w:val="00B9582D"/>
    <w:rsid w:val="00BA5689"/>
    <w:rsid w:val="00BB1859"/>
    <w:rsid w:val="00BB2BF9"/>
    <w:rsid w:val="00BB5AFA"/>
    <w:rsid w:val="00BC4F60"/>
    <w:rsid w:val="00BC78A5"/>
    <w:rsid w:val="00BD3409"/>
    <w:rsid w:val="00BE019E"/>
    <w:rsid w:val="00BE157E"/>
    <w:rsid w:val="00BE1EC6"/>
    <w:rsid w:val="00BE40C8"/>
    <w:rsid w:val="00BE6B5A"/>
    <w:rsid w:val="00BE75E9"/>
    <w:rsid w:val="00BF147B"/>
    <w:rsid w:val="00BF2655"/>
    <w:rsid w:val="00BF2844"/>
    <w:rsid w:val="00BF4717"/>
    <w:rsid w:val="00BF472B"/>
    <w:rsid w:val="00C04D2D"/>
    <w:rsid w:val="00C0697C"/>
    <w:rsid w:val="00C10DF1"/>
    <w:rsid w:val="00C110A9"/>
    <w:rsid w:val="00C11F30"/>
    <w:rsid w:val="00C1628A"/>
    <w:rsid w:val="00C216E2"/>
    <w:rsid w:val="00C22918"/>
    <w:rsid w:val="00C245CC"/>
    <w:rsid w:val="00C2488E"/>
    <w:rsid w:val="00C26749"/>
    <w:rsid w:val="00C33CEE"/>
    <w:rsid w:val="00C3705A"/>
    <w:rsid w:val="00C414C0"/>
    <w:rsid w:val="00C42ACA"/>
    <w:rsid w:val="00C42D04"/>
    <w:rsid w:val="00C4686C"/>
    <w:rsid w:val="00C479B1"/>
    <w:rsid w:val="00C55323"/>
    <w:rsid w:val="00C55C5F"/>
    <w:rsid w:val="00C5706F"/>
    <w:rsid w:val="00C570D5"/>
    <w:rsid w:val="00C60E4C"/>
    <w:rsid w:val="00C6112A"/>
    <w:rsid w:val="00C63144"/>
    <w:rsid w:val="00C63F87"/>
    <w:rsid w:val="00C66EA8"/>
    <w:rsid w:val="00C67A77"/>
    <w:rsid w:val="00C7067F"/>
    <w:rsid w:val="00C72810"/>
    <w:rsid w:val="00C736B2"/>
    <w:rsid w:val="00C7591A"/>
    <w:rsid w:val="00C76F54"/>
    <w:rsid w:val="00C7787B"/>
    <w:rsid w:val="00C82524"/>
    <w:rsid w:val="00C833CD"/>
    <w:rsid w:val="00C83CD1"/>
    <w:rsid w:val="00C91C05"/>
    <w:rsid w:val="00C926F0"/>
    <w:rsid w:val="00CA0FA7"/>
    <w:rsid w:val="00CA3FA8"/>
    <w:rsid w:val="00CA4C32"/>
    <w:rsid w:val="00CB1D2C"/>
    <w:rsid w:val="00CB5485"/>
    <w:rsid w:val="00CB64DA"/>
    <w:rsid w:val="00CB6C2C"/>
    <w:rsid w:val="00CC79AD"/>
    <w:rsid w:val="00CD0920"/>
    <w:rsid w:val="00CD6843"/>
    <w:rsid w:val="00CD6C04"/>
    <w:rsid w:val="00CD7FAE"/>
    <w:rsid w:val="00CE1D27"/>
    <w:rsid w:val="00CE495F"/>
    <w:rsid w:val="00CE4E64"/>
    <w:rsid w:val="00CE74EC"/>
    <w:rsid w:val="00CE7514"/>
    <w:rsid w:val="00CF51AC"/>
    <w:rsid w:val="00D0197B"/>
    <w:rsid w:val="00D074FB"/>
    <w:rsid w:val="00D15F91"/>
    <w:rsid w:val="00D22D72"/>
    <w:rsid w:val="00D23BA9"/>
    <w:rsid w:val="00D27059"/>
    <w:rsid w:val="00D32E5B"/>
    <w:rsid w:val="00D34EFD"/>
    <w:rsid w:val="00D367EA"/>
    <w:rsid w:val="00D372FE"/>
    <w:rsid w:val="00D37569"/>
    <w:rsid w:val="00D41CB1"/>
    <w:rsid w:val="00D44C5F"/>
    <w:rsid w:val="00D62760"/>
    <w:rsid w:val="00D62B25"/>
    <w:rsid w:val="00D64C1D"/>
    <w:rsid w:val="00D6781D"/>
    <w:rsid w:val="00D67D35"/>
    <w:rsid w:val="00D7223A"/>
    <w:rsid w:val="00D73BCB"/>
    <w:rsid w:val="00D74872"/>
    <w:rsid w:val="00D81F51"/>
    <w:rsid w:val="00D8773D"/>
    <w:rsid w:val="00D87CFC"/>
    <w:rsid w:val="00DA2B21"/>
    <w:rsid w:val="00DA5E34"/>
    <w:rsid w:val="00DA67BA"/>
    <w:rsid w:val="00DB30DB"/>
    <w:rsid w:val="00DC3B29"/>
    <w:rsid w:val="00DC74FF"/>
    <w:rsid w:val="00DC75E2"/>
    <w:rsid w:val="00DC7CE0"/>
    <w:rsid w:val="00DD2E29"/>
    <w:rsid w:val="00DD52DD"/>
    <w:rsid w:val="00DE11B6"/>
    <w:rsid w:val="00DE26DD"/>
    <w:rsid w:val="00DE2987"/>
    <w:rsid w:val="00DE641E"/>
    <w:rsid w:val="00DF00F6"/>
    <w:rsid w:val="00DF5382"/>
    <w:rsid w:val="00DF55C6"/>
    <w:rsid w:val="00E01F69"/>
    <w:rsid w:val="00E042A5"/>
    <w:rsid w:val="00E045D7"/>
    <w:rsid w:val="00E052D5"/>
    <w:rsid w:val="00E06E9A"/>
    <w:rsid w:val="00E07A4A"/>
    <w:rsid w:val="00E11A4D"/>
    <w:rsid w:val="00E13DAB"/>
    <w:rsid w:val="00E1688D"/>
    <w:rsid w:val="00E22573"/>
    <w:rsid w:val="00E23076"/>
    <w:rsid w:val="00E26148"/>
    <w:rsid w:val="00E30DDA"/>
    <w:rsid w:val="00E42AF1"/>
    <w:rsid w:val="00E44BAB"/>
    <w:rsid w:val="00E46545"/>
    <w:rsid w:val="00E46702"/>
    <w:rsid w:val="00E54C11"/>
    <w:rsid w:val="00E55166"/>
    <w:rsid w:val="00E55945"/>
    <w:rsid w:val="00E56329"/>
    <w:rsid w:val="00E655B8"/>
    <w:rsid w:val="00E65E57"/>
    <w:rsid w:val="00E743D5"/>
    <w:rsid w:val="00E74547"/>
    <w:rsid w:val="00E8300A"/>
    <w:rsid w:val="00E838D2"/>
    <w:rsid w:val="00E90A85"/>
    <w:rsid w:val="00E921C7"/>
    <w:rsid w:val="00E97A69"/>
    <w:rsid w:val="00EA173C"/>
    <w:rsid w:val="00EA75C8"/>
    <w:rsid w:val="00EA7B12"/>
    <w:rsid w:val="00EB6F57"/>
    <w:rsid w:val="00EC2BE3"/>
    <w:rsid w:val="00EC3428"/>
    <w:rsid w:val="00EC52FE"/>
    <w:rsid w:val="00EC5C98"/>
    <w:rsid w:val="00ED001D"/>
    <w:rsid w:val="00ED3988"/>
    <w:rsid w:val="00EE25FF"/>
    <w:rsid w:val="00EE4F34"/>
    <w:rsid w:val="00EF746D"/>
    <w:rsid w:val="00F00DCC"/>
    <w:rsid w:val="00F00FFE"/>
    <w:rsid w:val="00F04959"/>
    <w:rsid w:val="00F0565B"/>
    <w:rsid w:val="00F058A3"/>
    <w:rsid w:val="00F07F9A"/>
    <w:rsid w:val="00F11E1D"/>
    <w:rsid w:val="00F150E0"/>
    <w:rsid w:val="00F15DBB"/>
    <w:rsid w:val="00F1707B"/>
    <w:rsid w:val="00F22582"/>
    <w:rsid w:val="00F23E29"/>
    <w:rsid w:val="00F24D27"/>
    <w:rsid w:val="00F35B85"/>
    <w:rsid w:val="00F43AB5"/>
    <w:rsid w:val="00F44F06"/>
    <w:rsid w:val="00F47C25"/>
    <w:rsid w:val="00F5029B"/>
    <w:rsid w:val="00F50BA3"/>
    <w:rsid w:val="00F546DE"/>
    <w:rsid w:val="00F5487A"/>
    <w:rsid w:val="00F65162"/>
    <w:rsid w:val="00F70D29"/>
    <w:rsid w:val="00F80565"/>
    <w:rsid w:val="00F8287E"/>
    <w:rsid w:val="00F906EC"/>
    <w:rsid w:val="00F920CB"/>
    <w:rsid w:val="00FA09BD"/>
    <w:rsid w:val="00FA5098"/>
    <w:rsid w:val="00FA7688"/>
    <w:rsid w:val="00FB0359"/>
    <w:rsid w:val="00FB0C4B"/>
    <w:rsid w:val="00FB4357"/>
    <w:rsid w:val="00FB461B"/>
    <w:rsid w:val="00FB4B19"/>
    <w:rsid w:val="00FB57DB"/>
    <w:rsid w:val="00FC4515"/>
    <w:rsid w:val="00FD18CE"/>
    <w:rsid w:val="00FD2C8A"/>
    <w:rsid w:val="00FD4317"/>
    <w:rsid w:val="00FD5A50"/>
    <w:rsid w:val="00FD7B49"/>
    <w:rsid w:val="00FD7DC0"/>
    <w:rsid w:val="00FE013A"/>
    <w:rsid w:val="00FE0736"/>
    <w:rsid w:val="00FE7A48"/>
    <w:rsid w:val="00FF21AB"/>
    <w:rsid w:val="00FF71D6"/>
    <w:rsid w:val="015A645E"/>
    <w:rsid w:val="01EC8CEE"/>
    <w:rsid w:val="0261A866"/>
    <w:rsid w:val="034F207D"/>
    <w:rsid w:val="03BA68C0"/>
    <w:rsid w:val="04B9E260"/>
    <w:rsid w:val="04BAEBE0"/>
    <w:rsid w:val="04F78E32"/>
    <w:rsid w:val="05174D55"/>
    <w:rsid w:val="060EEEAB"/>
    <w:rsid w:val="06162FD1"/>
    <w:rsid w:val="0772E305"/>
    <w:rsid w:val="07EC9855"/>
    <w:rsid w:val="08395382"/>
    <w:rsid w:val="09776A2F"/>
    <w:rsid w:val="098DC9BE"/>
    <w:rsid w:val="0CAFA7B5"/>
    <w:rsid w:val="0CF6E495"/>
    <w:rsid w:val="0D2F0EB5"/>
    <w:rsid w:val="0D8F85BD"/>
    <w:rsid w:val="0DE1917C"/>
    <w:rsid w:val="0DEA1C6C"/>
    <w:rsid w:val="0F04E163"/>
    <w:rsid w:val="0F2B561E"/>
    <w:rsid w:val="0F6093BF"/>
    <w:rsid w:val="0F975642"/>
    <w:rsid w:val="0FD4226F"/>
    <w:rsid w:val="109E361F"/>
    <w:rsid w:val="110C1AB4"/>
    <w:rsid w:val="1126CABF"/>
    <w:rsid w:val="126E481B"/>
    <w:rsid w:val="12EEA8C1"/>
    <w:rsid w:val="12FEF37B"/>
    <w:rsid w:val="1301E619"/>
    <w:rsid w:val="1314C60C"/>
    <w:rsid w:val="1339ACC8"/>
    <w:rsid w:val="13E46FF4"/>
    <w:rsid w:val="14519F08"/>
    <w:rsid w:val="15300E65"/>
    <w:rsid w:val="1572D23B"/>
    <w:rsid w:val="15B6ACE6"/>
    <w:rsid w:val="1673DC9D"/>
    <w:rsid w:val="16961EAE"/>
    <w:rsid w:val="178107B9"/>
    <w:rsid w:val="17BB9E54"/>
    <w:rsid w:val="17E8372F"/>
    <w:rsid w:val="1800663B"/>
    <w:rsid w:val="182F1B9F"/>
    <w:rsid w:val="1869173E"/>
    <w:rsid w:val="18CBE30E"/>
    <w:rsid w:val="1911F64D"/>
    <w:rsid w:val="1925102B"/>
    <w:rsid w:val="1948215A"/>
    <w:rsid w:val="195D6711"/>
    <w:rsid w:val="19A0C031"/>
    <w:rsid w:val="1A87FB7C"/>
    <w:rsid w:val="1A9A48CA"/>
    <w:rsid w:val="1AC09CAE"/>
    <w:rsid w:val="1B1FD7F1"/>
    <w:rsid w:val="1C25EE6A"/>
    <w:rsid w:val="1C2D050D"/>
    <w:rsid w:val="1CA078EC"/>
    <w:rsid w:val="1D273A3A"/>
    <w:rsid w:val="1EA50180"/>
    <w:rsid w:val="1ECE5A16"/>
    <w:rsid w:val="1EF0ED01"/>
    <w:rsid w:val="1FE490BA"/>
    <w:rsid w:val="1FE98EE0"/>
    <w:rsid w:val="203DF0F5"/>
    <w:rsid w:val="216761EA"/>
    <w:rsid w:val="216D16EA"/>
    <w:rsid w:val="21ED31D4"/>
    <w:rsid w:val="22B96A2F"/>
    <w:rsid w:val="233A283C"/>
    <w:rsid w:val="256A3ACF"/>
    <w:rsid w:val="25DAA748"/>
    <w:rsid w:val="25DB0B37"/>
    <w:rsid w:val="26014CD6"/>
    <w:rsid w:val="26234E81"/>
    <w:rsid w:val="26ABD372"/>
    <w:rsid w:val="284EB9C0"/>
    <w:rsid w:val="28793222"/>
    <w:rsid w:val="29196B08"/>
    <w:rsid w:val="2941E9CF"/>
    <w:rsid w:val="29644AD9"/>
    <w:rsid w:val="29B37047"/>
    <w:rsid w:val="2ACCD245"/>
    <w:rsid w:val="2B0B93AE"/>
    <w:rsid w:val="2B510467"/>
    <w:rsid w:val="2BD0D133"/>
    <w:rsid w:val="2C419431"/>
    <w:rsid w:val="2D149ACA"/>
    <w:rsid w:val="2D80FC9D"/>
    <w:rsid w:val="2DD454EA"/>
    <w:rsid w:val="2F2E020D"/>
    <w:rsid w:val="2F483713"/>
    <w:rsid w:val="2F4C48D0"/>
    <w:rsid w:val="2FF2C059"/>
    <w:rsid w:val="30E723E0"/>
    <w:rsid w:val="317E2FD7"/>
    <w:rsid w:val="318091EA"/>
    <w:rsid w:val="33800A50"/>
    <w:rsid w:val="33C56413"/>
    <w:rsid w:val="345CB0F1"/>
    <w:rsid w:val="34BE6614"/>
    <w:rsid w:val="350D5212"/>
    <w:rsid w:val="3588D1DE"/>
    <w:rsid w:val="35DF4C15"/>
    <w:rsid w:val="36F79EDE"/>
    <w:rsid w:val="377CDBF1"/>
    <w:rsid w:val="3811975F"/>
    <w:rsid w:val="386D7351"/>
    <w:rsid w:val="39095A65"/>
    <w:rsid w:val="3916ECD7"/>
    <w:rsid w:val="3969157F"/>
    <w:rsid w:val="39B77237"/>
    <w:rsid w:val="3A468EBC"/>
    <w:rsid w:val="3A750123"/>
    <w:rsid w:val="3AA3642C"/>
    <w:rsid w:val="3B0BA032"/>
    <w:rsid w:val="3B898D87"/>
    <w:rsid w:val="3E387EA7"/>
    <w:rsid w:val="3E57560A"/>
    <w:rsid w:val="3F24E632"/>
    <w:rsid w:val="3F316506"/>
    <w:rsid w:val="3F331F4C"/>
    <w:rsid w:val="3F47F602"/>
    <w:rsid w:val="3FD9F1B7"/>
    <w:rsid w:val="40F7500C"/>
    <w:rsid w:val="416D3AF0"/>
    <w:rsid w:val="417F84E5"/>
    <w:rsid w:val="418EA6F4"/>
    <w:rsid w:val="41C50629"/>
    <w:rsid w:val="425DC310"/>
    <w:rsid w:val="429DE925"/>
    <w:rsid w:val="42CAC09F"/>
    <w:rsid w:val="42D290E8"/>
    <w:rsid w:val="439E88BA"/>
    <w:rsid w:val="43B9D3C4"/>
    <w:rsid w:val="43E9BFDB"/>
    <w:rsid w:val="445140F6"/>
    <w:rsid w:val="4718A863"/>
    <w:rsid w:val="47715A48"/>
    <w:rsid w:val="4844E2C6"/>
    <w:rsid w:val="4862B090"/>
    <w:rsid w:val="49A559D3"/>
    <w:rsid w:val="4A238F8B"/>
    <w:rsid w:val="4A5263E4"/>
    <w:rsid w:val="4BCCABA9"/>
    <w:rsid w:val="4C42FF54"/>
    <w:rsid w:val="4C908D31"/>
    <w:rsid w:val="4C9C2091"/>
    <w:rsid w:val="4DC0B489"/>
    <w:rsid w:val="4E3237D8"/>
    <w:rsid w:val="4E63FDE5"/>
    <w:rsid w:val="4E802104"/>
    <w:rsid w:val="4EE4A86F"/>
    <w:rsid w:val="4F349437"/>
    <w:rsid w:val="5006D4F4"/>
    <w:rsid w:val="501114DC"/>
    <w:rsid w:val="508E46CD"/>
    <w:rsid w:val="51134AF4"/>
    <w:rsid w:val="514107F8"/>
    <w:rsid w:val="51D4773C"/>
    <w:rsid w:val="53049C8F"/>
    <w:rsid w:val="53658D84"/>
    <w:rsid w:val="536E6EE1"/>
    <w:rsid w:val="537E99B3"/>
    <w:rsid w:val="53C06778"/>
    <w:rsid w:val="5488D8AB"/>
    <w:rsid w:val="55F5E1DB"/>
    <w:rsid w:val="5746588E"/>
    <w:rsid w:val="5759B7B9"/>
    <w:rsid w:val="5871A5B5"/>
    <w:rsid w:val="5880D518"/>
    <w:rsid w:val="59D7ED7F"/>
    <w:rsid w:val="59F5F4FB"/>
    <w:rsid w:val="5A26FDDC"/>
    <w:rsid w:val="5A3BB0FE"/>
    <w:rsid w:val="5A968EE8"/>
    <w:rsid w:val="5AF828F6"/>
    <w:rsid w:val="5C435074"/>
    <w:rsid w:val="5CA39798"/>
    <w:rsid w:val="5CA4BF2A"/>
    <w:rsid w:val="5CC319F8"/>
    <w:rsid w:val="5D6A8D41"/>
    <w:rsid w:val="5E937985"/>
    <w:rsid w:val="5F0B5EAE"/>
    <w:rsid w:val="5F624455"/>
    <w:rsid w:val="5FE88061"/>
    <w:rsid w:val="5FFBB041"/>
    <w:rsid w:val="617AEFAB"/>
    <w:rsid w:val="620293D7"/>
    <w:rsid w:val="6230CE6C"/>
    <w:rsid w:val="62729390"/>
    <w:rsid w:val="629A66AE"/>
    <w:rsid w:val="62E690C8"/>
    <w:rsid w:val="64045071"/>
    <w:rsid w:val="64651736"/>
    <w:rsid w:val="655ADCBC"/>
    <w:rsid w:val="66842F36"/>
    <w:rsid w:val="66BA860E"/>
    <w:rsid w:val="66D4276F"/>
    <w:rsid w:val="673A588C"/>
    <w:rsid w:val="674B5AA0"/>
    <w:rsid w:val="67DC0AC8"/>
    <w:rsid w:val="680CEFFA"/>
    <w:rsid w:val="68FB9E8B"/>
    <w:rsid w:val="692ED3BB"/>
    <w:rsid w:val="6A1459D3"/>
    <w:rsid w:val="6A35C73B"/>
    <w:rsid w:val="6B0F6F46"/>
    <w:rsid w:val="6B8BB391"/>
    <w:rsid w:val="6BBE4A7A"/>
    <w:rsid w:val="6BC5934F"/>
    <w:rsid w:val="6BFAAAB0"/>
    <w:rsid w:val="6C6A08D5"/>
    <w:rsid w:val="6D764AEA"/>
    <w:rsid w:val="6F541BB8"/>
    <w:rsid w:val="6FC4BFB1"/>
    <w:rsid w:val="7059C7CD"/>
    <w:rsid w:val="709CF6D6"/>
    <w:rsid w:val="70B0E351"/>
    <w:rsid w:val="723863A5"/>
    <w:rsid w:val="727F4896"/>
    <w:rsid w:val="7308F02A"/>
    <w:rsid w:val="73098831"/>
    <w:rsid w:val="73E01AB0"/>
    <w:rsid w:val="7407AAE7"/>
    <w:rsid w:val="7415DB7A"/>
    <w:rsid w:val="74751E37"/>
    <w:rsid w:val="758FC99C"/>
    <w:rsid w:val="764E84DB"/>
    <w:rsid w:val="769A45A9"/>
    <w:rsid w:val="770232E8"/>
    <w:rsid w:val="772B99FD"/>
    <w:rsid w:val="775CC997"/>
    <w:rsid w:val="777FA83E"/>
    <w:rsid w:val="7800F4CE"/>
    <w:rsid w:val="78A0C826"/>
    <w:rsid w:val="790CC732"/>
    <w:rsid w:val="79F3432A"/>
    <w:rsid w:val="7A1F5880"/>
    <w:rsid w:val="7A25CE9D"/>
    <w:rsid w:val="7C41A42F"/>
    <w:rsid w:val="7C700698"/>
    <w:rsid w:val="7D792931"/>
    <w:rsid w:val="7DB066F6"/>
    <w:rsid w:val="7E14CDE3"/>
    <w:rsid w:val="7EB77E0B"/>
    <w:rsid w:val="7EDEF136"/>
    <w:rsid w:val="7FAF4898"/>
    <w:rsid w:val="7FC8D7CF"/>
    <w:rsid w:val="7FCCC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B8216"/>
  <w15:docId w15:val="{67BE0813-F47A-4FA8-9374-731B9D5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BC"/>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783FBC"/>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783FBC"/>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83FBC"/>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783FBC"/>
    <w:pPr>
      <w:spacing w:line="360" w:lineRule="auto"/>
      <w:jc w:val="both"/>
    </w:pPr>
    <w:rPr>
      <w:rFonts w:ascii="Arial" w:hAnsi="Arial"/>
      <w:sz w:val="26"/>
      <w:szCs w:val="20"/>
      <w:lang w:val="es-ES_tradnl"/>
    </w:rPr>
  </w:style>
  <w:style w:type="paragraph" w:styleId="Textoindependiente2">
    <w:name w:val="Body Text 2"/>
    <w:basedOn w:val="Normal"/>
    <w:rsid w:val="00783FBC"/>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
    <w:rsid w:val="00783FBC"/>
    <w:rPr>
      <w:vertAlign w:val="superscript"/>
    </w:rPr>
  </w:style>
  <w:style w:type="paragraph" w:styleId="Cierre">
    <w:name w:val="Closing"/>
    <w:basedOn w:val="Normal"/>
    <w:rsid w:val="00783FBC"/>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783FBC"/>
    <w:rPr>
      <w:sz w:val="20"/>
      <w:szCs w:val="20"/>
      <w:lang w:val="es-ES_tradnl"/>
    </w:rPr>
  </w:style>
  <w:style w:type="paragraph" w:styleId="Encabezado">
    <w:name w:val="header"/>
    <w:basedOn w:val="Normal"/>
    <w:rsid w:val="00783FBC"/>
    <w:pPr>
      <w:tabs>
        <w:tab w:val="center" w:pos="4252"/>
        <w:tab w:val="right" w:pos="8504"/>
      </w:tabs>
    </w:pPr>
    <w:rPr>
      <w:sz w:val="20"/>
      <w:szCs w:val="20"/>
      <w:lang w:val="es-ES_tradnl"/>
    </w:rPr>
  </w:style>
  <w:style w:type="paragraph" w:styleId="Piedepgina">
    <w:name w:val="footer"/>
    <w:basedOn w:val="Normal"/>
    <w:rsid w:val="00783FBC"/>
    <w:pPr>
      <w:tabs>
        <w:tab w:val="center" w:pos="4419"/>
        <w:tab w:val="right" w:pos="8838"/>
      </w:tabs>
    </w:pPr>
    <w:rPr>
      <w:sz w:val="20"/>
      <w:szCs w:val="20"/>
      <w:lang w:val="es-ES_tradnl"/>
    </w:rPr>
  </w:style>
  <w:style w:type="character" w:styleId="Hipervnculo">
    <w:name w:val="Hyperlink"/>
    <w:rsid w:val="00783FBC"/>
    <w:rPr>
      <w:rFonts w:ascii="Times New Roman" w:hAnsi="Times New Roman" w:cs="Times New Roman" w:hint="default"/>
      <w:color w:val="660099"/>
      <w:u w:val="single"/>
    </w:rPr>
  </w:style>
  <w:style w:type="character" w:customStyle="1" w:styleId="PiedepginaCar">
    <w:name w:val="Pie de página Car"/>
    <w:locked/>
    <w:rsid w:val="00783FBC"/>
    <w:rPr>
      <w:lang w:val="es-ES_tradnl" w:eastAsia="es-ES" w:bidi="ar-SA"/>
    </w:rPr>
  </w:style>
  <w:style w:type="paragraph" w:styleId="Textodebloque">
    <w:name w:val="Block Text"/>
    <w:basedOn w:val="Normal"/>
    <w:rsid w:val="00783FBC"/>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uiPriority w:val="99"/>
    <w:rsid w:val="00783FBC"/>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uiPriority w:val="99"/>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iaj">
    <w:name w:val="i_aj"/>
    <w:rsid w:val="00DC3B29"/>
  </w:style>
  <w:style w:type="table" w:styleId="Tablaconcuadrcula">
    <w:name w:val="Table Grid"/>
    <w:basedOn w:val="Tablanormal"/>
    <w:rsid w:val="00C1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unhideWhenUsed/>
    <w:rsid w:val="00CC79AD"/>
    <w:rPr>
      <w:sz w:val="20"/>
      <w:szCs w:val="20"/>
    </w:rPr>
  </w:style>
  <w:style w:type="character" w:customStyle="1" w:styleId="TextocomentarioCar">
    <w:name w:val="Texto comentario Car"/>
    <w:basedOn w:val="Fuentedeprrafopredeter"/>
    <w:link w:val="Textocomentario"/>
    <w:semiHidden/>
    <w:rsid w:val="00CC79AD"/>
  </w:style>
  <w:style w:type="character" w:styleId="Refdecomentario">
    <w:name w:val="annotation reference"/>
    <w:basedOn w:val="Fuentedeprrafopredeter"/>
    <w:semiHidden/>
    <w:unhideWhenUsed/>
    <w:rsid w:val="00CC79AD"/>
    <w:rPr>
      <w:sz w:val="16"/>
      <w:szCs w:val="16"/>
    </w:rPr>
  </w:style>
  <w:style w:type="paragraph" w:styleId="Asuntodelcomentario">
    <w:name w:val="annotation subject"/>
    <w:basedOn w:val="Textocomentario"/>
    <w:next w:val="Textocomentario"/>
    <w:link w:val="AsuntodelcomentarioCar"/>
    <w:semiHidden/>
    <w:unhideWhenUsed/>
    <w:rsid w:val="000D7568"/>
    <w:rPr>
      <w:b/>
      <w:bCs/>
    </w:rPr>
  </w:style>
  <w:style w:type="character" w:customStyle="1" w:styleId="AsuntodelcomentarioCar">
    <w:name w:val="Asunto del comentario Car"/>
    <w:basedOn w:val="TextocomentarioCar"/>
    <w:link w:val="Asuntodelcomentario"/>
    <w:semiHidden/>
    <w:rsid w:val="000D7568"/>
    <w:rPr>
      <w:b/>
      <w:bCs/>
    </w:rPr>
  </w:style>
  <w:style w:type="character" w:customStyle="1" w:styleId="eop">
    <w:name w:val="eop"/>
    <w:basedOn w:val="Fuentedeprrafopredeter"/>
    <w:rsid w:val="008D0937"/>
  </w:style>
  <w:style w:type="character" w:styleId="nfasis">
    <w:name w:val="Emphasis"/>
    <w:basedOn w:val="Fuentedeprrafopredeter"/>
    <w:uiPriority w:val="20"/>
    <w:qFormat/>
    <w:rsid w:val="005E0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012">
      <w:bodyDiv w:val="1"/>
      <w:marLeft w:val="0"/>
      <w:marRight w:val="0"/>
      <w:marTop w:val="0"/>
      <w:marBottom w:val="0"/>
      <w:divBdr>
        <w:top w:val="none" w:sz="0" w:space="0" w:color="auto"/>
        <w:left w:val="none" w:sz="0" w:space="0" w:color="auto"/>
        <w:bottom w:val="none" w:sz="0" w:space="0" w:color="auto"/>
        <w:right w:val="none" w:sz="0" w:space="0" w:color="auto"/>
      </w:divBdr>
    </w:div>
    <w:div w:id="120736030">
      <w:bodyDiv w:val="1"/>
      <w:marLeft w:val="0"/>
      <w:marRight w:val="0"/>
      <w:marTop w:val="0"/>
      <w:marBottom w:val="0"/>
      <w:divBdr>
        <w:top w:val="none" w:sz="0" w:space="0" w:color="auto"/>
        <w:left w:val="none" w:sz="0" w:space="0" w:color="auto"/>
        <w:bottom w:val="none" w:sz="0" w:space="0" w:color="auto"/>
        <w:right w:val="none" w:sz="0" w:space="0" w:color="auto"/>
      </w:divBdr>
    </w:div>
    <w:div w:id="384064485">
      <w:bodyDiv w:val="1"/>
      <w:marLeft w:val="0"/>
      <w:marRight w:val="0"/>
      <w:marTop w:val="0"/>
      <w:marBottom w:val="0"/>
      <w:divBdr>
        <w:top w:val="none" w:sz="0" w:space="0" w:color="auto"/>
        <w:left w:val="none" w:sz="0" w:space="0" w:color="auto"/>
        <w:bottom w:val="none" w:sz="0" w:space="0" w:color="auto"/>
        <w:right w:val="none" w:sz="0" w:space="0" w:color="auto"/>
      </w:divBdr>
      <w:divsChild>
        <w:div w:id="671294139">
          <w:marLeft w:val="0"/>
          <w:marRight w:val="0"/>
          <w:marTop w:val="0"/>
          <w:marBottom w:val="86"/>
          <w:divBdr>
            <w:top w:val="none" w:sz="0" w:space="0" w:color="auto"/>
            <w:left w:val="none" w:sz="0" w:space="0" w:color="auto"/>
            <w:bottom w:val="none" w:sz="0" w:space="0" w:color="auto"/>
            <w:right w:val="none" w:sz="0" w:space="0" w:color="auto"/>
          </w:divBdr>
          <w:divsChild>
            <w:div w:id="1188837588">
              <w:marLeft w:val="0"/>
              <w:marRight w:val="0"/>
              <w:marTop w:val="0"/>
              <w:marBottom w:val="0"/>
              <w:divBdr>
                <w:top w:val="none" w:sz="0" w:space="0" w:color="auto"/>
                <w:left w:val="none" w:sz="0" w:space="0" w:color="auto"/>
                <w:bottom w:val="none" w:sz="0" w:space="0" w:color="auto"/>
                <w:right w:val="none" w:sz="0" w:space="0" w:color="auto"/>
              </w:divBdr>
            </w:div>
          </w:divsChild>
        </w:div>
        <w:div w:id="1942563200">
          <w:marLeft w:val="0"/>
          <w:marRight w:val="0"/>
          <w:marTop w:val="0"/>
          <w:marBottom w:val="86"/>
          <w:divBdr>
            <w:top w:val="none" w:sz="0" w:space="0" w:color="auto"/>
            <w:left w:val="none" w:sz="0" w:space="0" w:color="auto"/>
            <w:bottom w:val="none" w:sz="0" w:space="0" w:color="auto"/>
            <w:right w:val="none" w:sz="0" w:space="0" w:color="auto"/>
          </w:divBdr>
          <w:divsChild>
            <w:div w:id="17493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808">
      <w:bodyDiv w:val="1"/>
      <w:marLeft w:val="0"/>
      <w:marRight w:val="0"/>
      <w:marTop w:val="0"/>
      <w:marBottom w:val="0"/>
      <w:divBdr>
        <w:top w:val="none" w:sz="0" w:space="0" w:color="auto"/>
        <w:left w:val="none" w:sz="0" w:space="0" w:color="auto"/>
        <w:bottom w:val="none" w:sz="0" w:space="0" w:color="auto"/>
        <w:right w:val="none" w:sz="0" w:space="0" w:color="auto"/>
      </w:divBdr>
      <w:divsChild>
        <w:div w:id="1985810496">
          <w:marLeft w:val="0"/>
          <w:marRight w:val="0"/>
          <w:marTop w:val="0"/>
          <w:marBottom w:val="86"/>
          <w:divBdr>
            <w:top w:val="none" w:sz="0" w:space="0" w:color="auto"/>
            <w:left w:val="none" w:sz="0" w:space="0" w:color="auto"/>
            <w:bottom w:val="none" w:sz="0" w:space="0" w:color="auto"/>
            <w:right w:val="none" w:sz="0" w:space="0" w:color="auto"/>
          </w:divBdr>
          <w:divsChild>
            <w:div w:id="712735082">
              <w:marLeft w:val="0"/>
              <w:marRight w:val="0"/>
              <w:marTop w:val="0"/>
              <w:marBottom w:val="0"/>
              <w:divBdr>
                <w:top w:val="none" w:sz="0" w:space="0" w:color="auto"/>
                <w:left w:val="none" w:sz="0" w:space="0" w:color="auto"/>
                <w:bottom w:val="none" w:sz="0" w:space="0" w:color="auto"/>
                <w:right w:val="none" w:sz="0" w:space="0" w:color="auto"/>
              </w:divBdr>
            </w:div>
          </w:divsChild>
        </w:div>
        <w:div w:id="758334306">
          <w:marLeft w:val="0"/>
          <w:marRight w:val="0"/>
          <w:marTop w:val="0"/>
          <w:marBottom w:val="86"/>
          <w:divBdr>
            <w:top w:val="none" w:sz="0" w:space="0" w:color="auto"/>
            <w:left w:val="none" w:sz="0" w:space="0" w:color="auto"/>
            <w:bottom w:val="none" w:sz="0" w:space="0" w:color="auto"/>
            <w:right w:val="none" w:sz="0" w:space="0" w:color="auto"/>
          </w:divBdr>
          <w:divsChild>
            <w:div w:id="16843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326">
      <w:bodyDiv w:val="1"/>
      <w:marLeft w:val="0"/>
      <w:marRight w:val="0"/>
      <w:marTop w:val="0"/>
      <w:marBottom w:val="0"/>
      <w:divBdr>
        <w:top w:val="none" w:sz="0" w:space="0" w:color="auto"/>
        <w:left w:val="none" w:sz="0" w:space="0" w:color="auto"/>
        <w:bottom w:val="none" w:sz="0" w:space="0" w:color="auto"/>
        <w:right w:val="none" w:sz="0" w:space="0" w:color="auto"/>
      </w:divBdr>
    </w:div>
    <w:div w:id="1388995446">
      <w:bodyDiv w:val="1"/>
      <w:marLeft w:val="0"/>
      <w:marRight w:val="0"/>
      <w:marTop w:val="0"/>
      <w:marBottom w:val="0"/>
      <w:divBdr>
        <w:top w:val="none" w:sz="0" w:space="0" w:color="auto"/>
        <w:left w:val="none" w:sz="0" w:space="0" w:color="auto"/>
        <w:bottom w:val="none" w:sz="0" w:space="0" w:color="auto"/>
        <w:right w:val="none" w:sz="0" w:space="0" w:color="auto"/>
      </w:divBdr>
      <w:divsChild>
        <w:div w:id="877857274">
          <w:marLeft w:val="0"/>
          <w:marRight w:val="0"/>
          <w:marTop w:val="0"/>
          <w:marBottom w:val="86"/>
          <w:divBdr>
            <w:top w:val="none" w:sz="0" w:space="0" w:color="auto"/>
            <w:left w:val="none" w:sz="0" w:space="0" w:color="auto"/>
            <w:bottom w:val="none" w:sz="0" w:space="0" w:color="auto"/>
            <w:right w:val="none" w:sz="0" w:space="0" w:color="auto"/>
          </w:divBdr>
          <w:divsChild>
            <w:div w:id="813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2029721576">
      <w:bodyDiv w:val="1"/>
      <w:marLeft w:val="0"/>
      <w:marRight w:val="0"/>
      <w:marTop w:val="0"/>
      <w:marBottom w:val="0"/>
      <w:divBdr>
        <w:top w:val="none" w:sz="0" w:space="0" w:color="auto"/>
        <w:left w:val="none" w:sz="0" w:space="0" w:color="auto"/>
        <w:bottom w:val="none" w:sz="0" w:space="0" w:color="auto"/>
        <w:right w:val="none" w:sz="0" w:space="0" w:color="auto"/>
      </w:divBdr>
      <w:divsChild>
        <w:div w:id="544951336">
          <w:marLeft w:val="0"/>
          <w:marRight w:val="0"/>
          <w:marTop w:val="86"/>
          <w:marBottom w:val="86"/>
          <w:divBdr>
            <w:top w:val="none" w:sz="0" w:space="0" w:color="auto"/>
            <w:left w:val="none" w:sz="0" w:space="0" w:color="auto"/>
            <w:bottom w:val="none" w:sz="0" w:space="0" w:color="auto"/>
            <w:right w:val="none" w:sz="0" w:space="0" w:color="auto"/>
          </w:divBdr>
          <w:divsChild>
            <w:div w:id="1752585873">
              <w:marLeft w:val="0"/>
              <w:marRight w:val="0"/>
              <w:marTop w:val="0"/>
              <w:marBottom w:val="0"/>
              <w:divBdr>
                <w:top w:val="none" w:sz="0" w:space="0" w:color="auto"/>
                <w:left w:val="none" w:sz="0" w:space="0" w:color="auto"/>
                <w:bottom w:val="none" w:sz="0" w:space="0" w:color="auto"/>
                <w:right w:val="none" w:sz="0" w:space="0" w:color="auto"/>
              </w:divBdr>
            </w:div>
          </w:divsChild>
        </w:div>
        <w:div w:id="1932736015">
          <w:marLeft w:val="0"/>
          <w:marRight w:val="0"/>
          <w:marTop w:val="0"/>
          <w:marBottom w:val="86"/>
          <w:divBdr>
            <w:top w:val="none" w:sz="0" w:space="0" w:color="auto"/>
            <w:left w:val="none" w:sz="0" w:space="0" w:color="auto"/>
            <w:bottom w:val="none" w:sz="0" w:space="0" w:color="auto"/>
            <w:right w:val="none" w:sz="0" w:space="0" w:color="auto"/>
          </w:divBdr>
          <w:divsChild>
            <w:div w:id="7795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d01e2fcc49d94b9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91732-8452-4BAC-B398-DB7EEF4E24D2}">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D49C147C-D803-4ED6-8BF0-66EE8F65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8E695-5763-4F68-B3B8-05F49343F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2853</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samsung</cp:lastModifiedBy>
  <cp:revision>6</cp:revision>
  <cp:lastPrinted>2020-02-19T15:27:00Z</cp:lastPrinted>
  <dcterms:created xsi:type="dcterms:W3CDTF">2023-08-08T14:43:00Z</dcterms:created>
  <dcterms:modified xsi:type="dcterms:W3CDTF">2023-10-05T17:02:00Z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