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6FD72" w14:textId="46CFA707" w:rsidR="00EE70FD" w:rsidRDefault="00EE70FD" w:rsidP="00BC4244">
      <w:pPr>
        <w:pStyle w:val="Ttulo"/>
        <w:jc w:val="both"/>
        <w:rPr>
          <w:rFonts w:ascii="Arial" w:hAnsi="Arial" w:cs="Arial"/>
          <w:bCs w:val="0"/>
          <w:szCs w:val="24"/>
        </w:rPr>
      </w:pPr>
      <w:r>
        <w:rPr>
          <w:rFonts w:ascii="Arial" w:hAnsi="Arial" w:cs="Arial"/>
          <w:bCs w:val="0"/>
          <w:szCs w:val="24"/>
        </w:rPr>
        <w:t>CONDENA EN COSTAS / REGULACIÓN LEGAL</w:t>
      </w:r>
    </w:p>
    <w:p w14:paraId="7050B61E" w14:textId="50112DC2" w:rsidR="00EE70FD" w:rsidRPr="00EE70FD" w:rsidRDefault="00EE70FD" w:rsidP="00BC4244">
      <w:pPr>
        <w:pStyle w:val="Ttulo"/>
        <w:jc w:val="both"/>
        <w:rPr>
          <w:rFonts w:ascii="Arial" w:hAnsi="Arial" w:cs="Arial"/>
          <w:b w:val="0"/>
          <w:bCs w:val="0"/>
          <w:szCs w:val="24"/>
        </w:rPr>
      </w:pPr>
      <w:r w:rsidRPr="00EE70FD">
        <w:rPr>
          <w:rFonts w:ascii="Arial" w:hAnsi="Arial" w:cs="Arial"/>
          <w:b w:val="0"/>
          <w:bCs w:val="0"/>
          <w:szCs w:val="24"/>
        </w:rPr>
        <w:t>El Código General de Proceso, dispone en su artículo 365 modificado por la Ley 1395 de 2010, la condena en costas a la parte vencida en juicio o  a quien se le resuelva desfavorablemente el recurso de apelación, súplica, queja, casación, revisión o anulación que haya formulado; así como a quien se le resuelva de manera desfavorable un incidente, la formulación de excepciones previas, una solicitud de nulidad o un amparo de pobreza, sin perjuicio de lo dispuesto en relación con la temeridad o mala fe.</w:t>
      </w:r>
    </w:p>
    <w:p w14:paraId="06EDCF1A" w14:textId="6C2ED044" w:rsidR="00EE70FD" w:rsidRPr="00EE70FD" w:rsidRDefault="00EE70FD" w:rsidP="00BC4244">
      <w:pPr>
        <w:pStyle w:val="Ttulo"/>
        <w:jc w:val="both"/>
        <w:rPr>
          <w:rFonts w:ascii="Arial" w:hAnsi="Arial" w:cs="Arial"/>
          <w:b w:val="0"/>
          <w:bCs w:val="0"/>
          <w:szCs w:val="24"/>
        </w:rPr>
      </w:pPr>
    </w:p>
    <w:p w14:paraId="476AAB08" w14:textId="61114CC9" w:rsidR="00EE70FD" w:rsidRDefault="00EE70FD" w:rsidP="00EE70FD">
      <w:pPr>
        <w:pStyle w:val="Ttulo"/>
        <w:jc w:val="both"/>
        <w:rPr>
          <w:rFonts w:ascii="Arial" w:hAnsi="Arial" w:cs="Arial"/>
          <w:bCs w:val="0"/>
          <w:szCs w:val="24"/>
        </w:rPr>
      </w:pPr>
      <w:r>
        <w:rPr>
          <w:rFonts w:ascii="Arial" w:hAnsi="Arial" w:cs="Arial"/>
          <w:bCs w:val="0"/>
          <w:szCs w:val="24"/>
        </w:rPr>
        <w:t>AGENCIAS EN DERECHO / ESTIMACIÓN</w:t>
      </w:r>
    </w:p>
    <w:p w14:paraId="5AF8A6E7" w14:textId="177BB4C4" w:rsidR="00EE70FD" w:rsidRPr="00EE70FD" w:rsidRDefault="00EE70FD" w:rsidP="00BC4244">
      <w:pPr>
        <w:pStyle w:val="Ttulo"/>
        <w:jc w:val="both"/>
        <w:rPr>
          <w:rFonts w:ascii="Arial" w:hAnsi="Arial" w:cs="Arial"/>
          <w:b w:val="0"/>
          <w:bCs w:val="0"/>
          <w:szCs w:val="24"/>
        </w:rPr>
      </w:pPr>
      <w:r w:rsidRPr="00EE70FD">
        <w:rPr>
          <w:rFonts w:ascii="Arial" w:hAnsi="Arial" w:cs="Arial"/>
          <w:b w:val="0"/>
          <w:bCs w:val="0"/>
          <w:szCs w:val="24"/>
        </w:rPr>
        <w:t>Es indiscutible que, para establecer el valor de las costas, deben observarse una serie de circunstancias propias, que se extraen del debate procesal en estricto cumplimiento del canon 366 ibidem, que dispone en su numeral 4º: “Para la fijación de agencias en derecho deberán aplicarse las tarifas que establezca el Consejo Superior de la Judicatura. Si aquéllas establecen solamente un mínimo, o éste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6535C2F8" w14:textId="5A8589C5" w:rsidR="00EE70FD" w:rsidRPr="00EE70FD" w:rsidRDefault="00EE70FD" w:rsidP="00BC4244">
      <w:pPr>
        <w:pStyle w:val="Ttulo"/>
        <w:jc w:val="both"/>
        <w:rPr>
          <w:rFonts w:ascii="Arial" w:hAnsi="Arial" w:cs="Arial"/>
          <w:b w:val="0"/>
          <w:bCs w:val="0"/>
          <w:szCs w:val="24"/>
        </w:rPr>
      </w:pPr>
    </w:p>
    <w:p w14:paraId="22BCC0C0" w14:textId="0EC1F54B" w:rsidR="00EE70FD" w:rsidRDefault="00EE70FD" w:rsidP="00EE70FD">
      <w:pPr>
        <w:pStyle w:val="Ttulo"/>
        <w:jc w:val="both"/>
        <w:rPr>
          <w:rFonts w:ascii="Arial" w:hAnsi="Arial" w:cs="Arial"/>
          <w:bCs w:val="0"/>
          <w:szCs w:val="24"/>
        </w:rPr>
      </w:pPr>
      <w:r>
        <w:rPr>
          <w:rFonts w:ascii="Arial" w:hAnsi="Arial" w:cs="Arial"/>
          <w:bCs w:val="0"/>
          <w:szCs w:val="24"/>
        </w:rPr>
        <w:t>CONDENA EN COSTAS / EXONERACIÓN / REQUISITOS</w:t>
      </w:r>
    </w:p>
    <w:p w14:paraId="50033710" w14:textId="0A0C5E4A" w:rsidR="00EE70FD" w:rsidRPr="00EE70FD" w:rsidRDefault="00EE70FD" w:rsidP="00BC4244">
      <w:pPr>
        <w:pStyle w:val="Ttulo"/>
        <w:jc w:val="both"/>
        <w:rPr>
          <w:rFonts w:ascii="Arial" w:hAnsi="Arial" w:cs="Arial"/>
          <w:b w:val="0"/>
          <w:bCs w:val="0"/>
          <w:szCs w:val="24"/>
        </w:rPr>
      </w:pPr>
      <w:r w:rsidRPr="00EE70FD">
        <w:rPr>
          <w:rFonts w:ascii="Arial" w:hAnsi="Arial" w:cs="Arial"/>
          <w:b w:val="0"/>
          <w:bCs w:val="0"/>
          <w:szCs w:val="24"/>
        </w:rPr>
        <w:t xml:space="preserve">El Código General del Proceso establece en el artículo 440 que “Cumplida la obligación dentro del término señalado en el mandamiento ejecutivo, se condenará en costas al ejecutado, quien, sin embargo, podrá pedir dentro de los tres (3) días siguientes a la notificación del auto que las imponga, que se les exonere de ellas si prueba que estuvo dispuesto a pagar antes de ser demandado y que el acreedor no se allanó a recibirle”.  </w:t>
      </w:r>
    </w:p>
    <w:p w14:paraId="6E41E94D" w14:textId="71A0341E" w:rsidR="00EE70FD" w:rsidRPr="00EE70FD" w:rsidRDefault="00EE70FD" w:rsidP="00BC4244">
      <w:pPr>
        <w:pStyle w:val="Ttulo"/>
        <w:jc w:val="both"/>
        <w:rPr>
          <w:rFonts w:ascii="Arial" w:hAnsi="Arial" w:cs="Arial"/>
          <w:b w:val="0"/>
          <w:bCs w:val="0"/>
          <w:szCs w:val="24"/>
        </w:rPr>
      </w:pPr>
    </w:p>
    <w:p w14:paraId="29FC5A90" w14:textId="512AFCEF" w:rsidR="00EE70FD" w:rsidRPr="00EE70FD" w:rsidRDefault="00EE70FD" w:rsidP="00BC4244">
      <w:pPr>
        <w:pStyle w:val="Ttulo"/>
        <w:jc w:val="both"/>
        <w:rPr>
          <w:rFonts w:ascii="Arial" w:hAnsi="Arial" w:cs="Arial"/>
          <w:b w:val="0"/>
          <w:bCs w:val="0"/>
          <w:szCs w:val="24"/>
        </w:rPr>
      </w:pPr>
    </w:p>
    <w:p w14:paraId="7936469F" w14:textId="77777777" w:rsidR="00EE70FD" w:rsidRPr="00EE70FD" w:rsidRDefault="00EE70FD" w:rsidP="00BC4244">
      <w:pPr>
        <w:pStyle w:val="Ttulo"/>
        <w:jc w:val="both"/>
        <w:rPr>
          <w:rFonts w:ascii="Arial" w:hAnsi="Arial" w:cs="Arial"/>
          <w:b w:val="0"/>
          <w:bCs w:val="0"/>
          <w:szCs w:val="24"/>
        </w:rPr>
      </w:pPr>
    </w:p>
    <w:p w14:paraId="03F9D590" w14:textId="2795C466" w:rsidR="00A71BE2" w:rsidRPr="00BC4244" w:rsidRDefault="00A71BE2" w:rsidP="00BC4244">
      <w:pPr>
        <w:pStyle w:val="Ttulo"/>
        <w:jc w:val="both"/>
        <w:rPr>
          <w:rFonts w:ascii="Arial" w:hAnsi="Arial" w:cs="Arial"/>
          <w:b w:val="0"/>
          <w:bCs w:val="0"/>
          <w:szCs w:val="24"/>
        </w:rPr>
      </w:pPr>
      <w:r w:rsidRPr="00BC4244">
        <w:rPr>
          <w:rFonts w:ascii="Arial" w:hAnsi="Arial" w:cs="Arial"/>
          <w:b w:val="0"/>
          <w:bCs w:val="0"/>
          <w:szCs w:val="24"/>
        </w:rPr>
        <w:t>Providencia:</w:t>
      </w:r>
      <w:r w:rsidR="00BC4244">
        <w:rPr>
          <w:rFonts w:ascii="Arial" w:hAnsi="Arial" w:cs="Arial"/>
          <w:b w:val="0"/>
          <w:bCs w:val="0"/>
          <w:szCs w:val="24"/>
        </w:rPr>
        <w:tab/>
      </w:r>
      <w:r w:rsidRPr="00BC4244">
        <w:rPr>
          <w:rFonts w:ascii="Arial" w:hAnsi="Arial" w:cs="Arial"/>
          <w:szCs w:val="24"/>
        </w:rPr>
        <w:tab/>
      </w:r>
      <w:r w:rsidRPr="00BC4244">
        <w:rPr>
          <w:rFonts w:ascii="Arial" w:hAnsi="Arial" w:cs="Arial"/>
          <w:b w:val="0"/>
          <w:bCs w:val="0"/>
          <w:szCs w:val="24"/>
        </w:rPr>
        <w:t xml:space="preserve">Auto de </w:t>
      </w:r>
      <w:r w:rsidR="003A2880" w:rsidRPr="00BC4244">
        <w:rPr>
          <w:rFonts w:ascii="Arial" w:hAnsi="Arial" w:cs="Arial"/>
          <w:b w:val="0"/>
          <w:bCs w:val="0"/>
          <w:szCs w:val="24"/>
        </w:rPr>
        <w:t>19 de julio</w:t>
      </w:r>
      <w:r w:rsidR="76B8CAE0" w:rsidRPr="00BC4244">
        <w:rPr>
          <w:rFonts w:ascii="Arial" w:hAnsi="Arial" w:cs="Arial"/>
          <w:b w:val="0"/>
          <w:bCs w:val="0"/>
          <w:szCs w:val="24"/>
        </w:rPr>
        <w:t xml:space="preserve"> de </w:t>
      </w:r>
      <w:r w:rsidR="00DF2342" w:rsidRPr="00BC4244">
        <w:rPr>
          <w:rFonts w:ascii="Arial" w:hAnsi="Arial" w:cs="Arial"/>
          <w:b w:val="0"/>
          <w:bCs w:val="0"/>
          <w:szCs w:val="24"/>
        </w:rPr>
        <w:t>20</w:t>
      </w:r>
      <w:r w:rsidR="000E3E3A" w:rsidRPr="00BC4244">
        <w:rPr>
          <w:rFonts w:ascii="Arial" w:hAnsi="Arial" w:cs="Arial"/>
          <w:b w:val="0"/>
          <w:bCs w:val="0"/>
          <w:szCs w:val="24"/>
        </w:rPr>
        <w:t>23</w:t>
      </w:r>
    </w:p>
    <w:p w14:paraId="7643B1F8" w14:textId="6F660B51" w:rsidR="00A71BE2" w:rsidRPr="00BC4244" w:rsidRDefault="00A71BE2" w:rsidP="00BC4244">
      <w:pPr>
        <w:pStyle w:val="Ttulo"/>
        <w:jc w:val="both"/>
        <w:rPr>
          <w:rFonts w:ascii="Arial" w:hAnsi="Arial" w:cs="Arial"/>
          <w:b w:val="0"/>
          <w:bCs w:val="0"/>
          <w:szCs w:val="24"/>
        </w:rPr>
      </w:pPr>
      <w:r w:rsidRPr="00BC4244">
        <w:rPr>
          <w:rFonts w:ascii="Arial" w:hAnsi="Arial" w:cs="Arial"/>
          <w:b w:val="0"/>
          <w:bCs w:val="0"/>
          <w:szCs w:val="24"/>
        </w:rPr>
        <w:t>Radicación Nro.:</w:t>
      </w:r>
      <w:r w:rsidRPr="00BC4244">
        <w:rPr>
          <w:rFonts w:ascii="Arial" w:hAnsi="Arial" w:cs="Arial"/>
          <w:szCs w:val="24"/>
        </w:rPr>
        <w:tab/>
      </w:r>
      <w:r w:rsidR="00711EF4" w:rsidRPr="00BC4244">
        <w:rPr>
          <w:rFonts w:ascii="Arial" w:hAnsi="Arial" w:cs="Arial"/>
          <w:b w:val="0"/>
          <w:bCs w:val="0"/>
          <w:szCs w:val="24"/>
        </w:rPr>
        <w:t>66001310500</w:t>
      </w:r>
      <w:r w:rsidR="00D33A9A" w:rsidRPr="00BC4244">
        <w:rPr>
          <w:rFonts w:ascii="Arial" w:hAnsi="Arial" w:cs="Arial"/>
          <w:b w:val="0"/>
          <w:bCs w:val="0"/>
          <w:szCs w:val="24"/>
        </w:rPr>
        <w:t>120120007402</w:t>
      </w:r>
    </w:p>
    <w:p w14:paraId="4D6BD119" w14:textId="3A0FA7A2" w:rsidR="00A71BE2" w:rsidRPr="00BC4244" w:rsidRDefault="00A71BE2" w:rsidP="00BC4244">
      <w:pPr>
        <w:pStyle w:val="Ttulo"/>
        <w:jc w:val="both"/>
        <w:rPr>
          <w:rFonts w:ascii="Arial" w:hAnsi="Arial" w:cs="Arial"/>
          <w:b w:val="0"/>
          <w:szCs w:val="24"/>
        </w:rPr>
      </w:pPr>
      <w:r w:rsidRPr="00BC4244">
        <w:rPr>
          <w:rFonts w:ascii="Arial" w:hAnsi="Arial" w:cs="Arial"/>
          <w:b w:val="0"/>
          <w:szCs w:val="24"/>
        </w:rPr>
        <w:t>Proceso:</w:t>
      </w:r>
      <w:r w:rsidRPr="00BC4244">
        <w:rPr>
          <w:rFonts w:ascii="Arial" w:hAnsi="Arial" w:cs="Arial"/>
          <w:b w:val="0"/>
          <w:szCs w:val="24"/>
        </w:rPr>
        <w:tab/>
      </w:r>
      <w:r w:rsidRPr="00BC4244">
        <w:rPr>
          <w:rFonts w:ascii="Arial" w:hAnsi="Arial" w:cs="Arial"/>
          <w:b w:val="0"/>
          <w:szCs w:val="24"/>
        </w:rPr>
        <w:tab/>
        <w:t xml:space="preserve">Ejecutivo Laboral  </w:t>
      </w:r>
    </w:p>
    <w:p w14:paraId="79A35A2B" w14:textId="40CB02E0" w:rsidR="00A71BE2" w:rsidRPr="00BC4244" w:rsidRDefault="00A71BE2" w:rsidP="00BC4244">
      <w:pPr>
        <w:pStyle w:val="Ttulo"/>
        <w:jc w:val="both"/>
        <w:rPr>
          <w:rFonts w:ascii="Arial" w:hAnsi="Arial" w:cs="Arial"/>
          <w:b w:val="0"/>
          <w:szCs w:val="24"/>
        </w:rPr>
      </w:pPr>
      <w:r w:rsidRPr="00BC4244">
        <w:rPr>
          <w:rFonts w:ascii="Arial" w:hAnsi="Arial" w:cs="Arial"/>
          <w:b w:val="0"/>
          <w:szCs w:val="24"/>
        </w:rPr>
        <w:t>Demandante:</w:t>
      </w:r>
      <w:r w:rsidRPr="00BC4244">
        <w:rPr>
          <w:rFonts w:ascii="Arial" w:hAnsi="Arial" w:cs="Arial"/>
          <w:b w:val="0"/>
          <w:szCs w:val="24"/>
        </w:rPr>
        <w:tab/>
      </w:r>
      <w:r w:rsidRPr="00BC4244">
        <w:rPr>
          <w:rFonts w:ascii="Arial" w:hAnsi="Arial" w:cs="Arial"/>
          <w:b w:val="0"/>
          <w:szCs w:val="24"/>
        </w:rPr>
        <w:tab/>
      </w:r>
      <w:r w:rsidR="00D33A9A" w:rsidRPr="00BC4244">
        <w:rPr>
          <w:rFonts w:ascii="Arial" w:hAnsi="Arial" w:cs="Arial"/>
          <w:b w:val="0"/>
          <w:szCs w:val="24"/>
        </w:rPr>
        <w:t>María Idalba Ramírez Pulgarín</w:t>
      </w:r>
    </w:p>
    <w:p w14:paraId="12B2E2A7" w14:textId="55C54AE6" w:rsidR="00A71BE2" w:rsidRPr="00BC4244" w:rsidRDefault="00A71BE2" w:rsidP="00BC4244">
      <w:pPr>
        <w:pStyle w:val="Ttulo"/>
        <w:ind w:left="2124" w:hanging="2124"/>
        <w:jc w:val="both"/>
        <w:rPr>
          <w:rFonts w:ascii="Arial" w:hAnsi="Arial" w:cs="Arial"/>
          <w:b w:val="0"/>
          <w:bCs w:val="0"/>
          <w:szCs w:val="24"/>
        </w:rPr>
      </w:pPr>
      <w:r w:rsidRPr="00BC4244">
        <w:rPr>
          <w:rFonts w:ascii="Arial" w:hAnsi="Arial" w:cs="Arial"/>
          <w:b w:val="0"/>
          <w:bCs w:val="0"/>
          <w:szCs w:val="24"/>
        </w:rPr>
        <w:t>Demandado:</w:t>
      </w:r>
      <w:r w:rsidR="00BC4244" w:rsidRPr="00BC4244">
        <w:rPr>
          <w:rFonts w:ascii="Arial" w:hAnsi="Arial" w:cs="Arial"/>
          <w:b w:val="0"/>
          <w:bCs w:val="0"/>
          <w:szCs w:val="24"/>
        </w:rPr>
        <w:tab/>
      </w:r>
      <w:r w:rsidR="00D33A9A" w:rsidRPr="00BC4244">
        <w:rPr>
          <w:rFonts w:ascii="Arial" w:hAnsi="Arial" w:cs="Arial"/>
          <w:b w:val="0"/>
          <w:bCs w:val="0"/>
          <w:szCs w:val="24"/>
        </w:rPr>
        <w:t>Unidad Administrativa Especial de Gestión Pensional y Contribuciones Parafiscales de la Protección Social -UGPP-</w:t>
      </w:r>
      <w:r w:rsidR="00711EF4" w:rsidRPr="00BC4244">
        <w:rPr>
          <w:rFonts w:ascii="Arial" w:hAnsi="Arial" w:cs="Arial"/>
          <w:b w:val="0"/>
          <w:bCs w:val="0"/>
          <w:szCs w:val="24"/>
        </w:rPr>
        <w:t xml:space="preserve"> </w:t>
      </w:r>
    </w:p>
    <w:p w14:paraId="34D66710" w14:textId="1D73374E" w:rsidR="00A71BE2" w:rsidRPr="00BC4244" w:rsidRDefault="00A71BE2" w:rsidP="00BC4244">
      <w:pPr>
        <w:pStyle w:val="Ttulo"/>
        <w:jc w:val="both"/>
        <w:rPr>
          <w:rFonts w:ascii="Arial" w:hAnsi="Arial" w:cs="Arial"/>
          <w:b w:val="0"/>
          <w:szCs w:val="24"/>
        </w:rPr>
      </w:pPr>
      <w:r w:rsidRPr="00BC4244">
        <w:rPr>
          <w:rFonts w:ascii="Arial" w:hAnsi="Arial" w:cs="Arial"/>
          <w:b w:val="0"/>
          <w:szCs w:val="24"/>
        </w:rPr>
        <w:t>Juzgado de origen:</w:t>
      </w:r>
      <w:r w:rsidRPr="00BC4244">
        <w:rPr>
          <w:rFonts w:ascii="Arial" w:hAnsi="Arial" w:cs="Arial"/>
          <w:b w:val="0"/>
          <w:szCs w:val="24"/>
        </w:rPr>
        <w:tab/>
        <w:t xml:space="preserve">Juzgado </w:t>
      </w:r>
      <w:r w:rsidR="003C63A9" w:rsidRPr="00BC4244">
        <w:rPr>
          <w:rFonts w:ascii="Arial" w:hAnsi="Arial" w:cs="Arial"/>
          <w:b w:val="0"/>
          <w:szCs w:val="24"/>
        </w:rPr>
        <w:t>Primero</w:t>
      </w:r>
      <w:r w:rsidRPr="00BC4244">
        <w:rPr>
          <w:rFonts w:ascii="Arial" w:hAnsi="Arial" w:cs="Arial"/>
          <w:b w:val="0"/>
          <w:szCs w:val="24"/>
        </w:rPr>
        <w:t xml:space="preserve"> Laboral del Circuito</w:t>
      </w:r>
    </w:p>
    <w:p w14:paraId="24545016" w14:textId="11E6D4FD" w:rsidR="00A71BE2" w:rsidRPr="00BC4244" w:rsidRDefault="00A71BE2" w:rsidP="00BC4244">
      <w:pPr>
        <w:pStyle w:val="Ttulo"/>
        <w:jc w:val="both"/>
        <w:rPr>
          <w:rFonts w:ascii="Arial" w:hAnsi="Arial" w:cs="Arial"/>
          <w:b w:val="0"/>
          <w:szCs w:val="24"/>
        </w:rPr>
      </w:pPr>
      <w:r w:rsidRPr="00BC4244">
        <w:rPr>
          <w:rFonts w:ascii="Arial" w:hAnsi="Arial" w:cs="Arial"/>
          <w:b w:val="0"/>
          <w:szCs w:val="24"/>
        </w:rPr>
        <w:t>Magistrado Ponente:</w:t>
      </w:r>
      <w:r w:rsidRPr="00BC4244">
        <w:rPr>
          <w:rFonts w:ascii="Arial" w:hAnsi="Arial" w:cs="Arial"/>
          <w:b w:val="0"/>
          <w:szCs w:val="24"/>
        </w:rPr>
        <w:tab/>
        <w:t>Julio César Salazar Muñoz</w:t>
      </w:r>
    </w:p>
    <w:p w14:paraId="672A6659" w14:textId="753B632E" w:rsidR="00A71BE2" w:rsidRDefault="00A71BE2" w:rsidP="00BC4244">
      <w:pPr>
        <w:pStyle w:val="Ttulo2"/>
        <w:spacing w:line="240" w:lineRule="auto"/>
        <w:rPr>
          <w:rFonts w:cs="Arial"/>
          <w:sz w:val="20"/>
          <w:szCs w:val="24"/>
        </w:rPr>
      </w:pPr>
    </w:p>
    <w:p w14:paraId="0258CFDB" w14:textId="77777777" w:rsidR="00BC4244" w:rsidRPr="00BC4244" w:rsidRDefault="00BC4244" w:rsidP="00BC4244"/>
    <w:p w14:paraId="0A37501D" w14:textId="77777777" w:rsidR="00A71BE2" w:rsidRPr="00BC4244" w:rsidRDefault="00A71BE2" w:rsidP="00BC4244">
      <w:pPr>
        <w:pStyle w:val="Ttulo2"/>
        <w:spacing w:line="240" w:lineRule="auto"/>
        <w:rPr>
          <w:rFonts w:cs="Arial"/>
          <w:sz w:val="20"/>
          <w:szCs w:val="24"/>
        </w:rPr>
      </w:pPr>
    </w:p>
    <w:p w14:paraId="1C3BEE41" w14:textId="77777777" w:rsidR="00A71BE2" w:rsidRPr="00BC4244" w:rsidRDefault="00A71BE2" w:rsidP="00BC4244">
      <w:pPr>
        <w:pStyle w:val="Ttulo2"/>
        <w:spacing w:line="276" w:lineRule="auto"/>
        <w:jc w:val="center"/>
        <w:rPr>
          <w:rFonts w:cs="Arial"/>
          <w:szCs w:val="24"/>
        </w:rPr>
      </w:pPr>
      <w:bookmarkStart w:id="0" w:name="_GoBack"/>
      <w:bookmarkEnd w:id="0"/>
      <w:r w:rsidRPr="00BC4244">
        <w:rPr>
          <w:rFonts w:cs="Arial"/>
          <w:szCs w:val="24"/>
        </w:rPr>
        <w:t>TRIBUNAL SUPERIOR DEL DISTRITO JUDICIAL</w:t>
      </w:r>
    </w:p>
    <w:p w14:paraId="51A40248" w14:textId="77777777" w:rsidR="00A71BE2" w:rsidRPr="00BC4244" w:rsidRDefault="00A71BE2" w:rsidP="00BC4244">
      <w:pPr>
        <w:spacing w:line="276" w:lineRule="auto"/>
        <w:jc w:val="center"/>
        <w:rPr>
          <w:rFonts w:ascii="Arial" w:hAnsi="Arial" w:cs="Arial"/>
          <w:b/>
          <w:sz w:val="24"/>
          <w:szCs w:val="24"/>
        </w:rPr>
      </w:pPr>
      <w:r w:rsidRPr="00BC4244">
        <w:rPr>
          <w:rFonts w:ascii="Arial" w:hAnsi="Arial" w:cs="Arial"/>
          <w:b/>
          <w:sz w:val="24"/>
          <w:szCs w:val="24"/>
        </w:rPr>
        <w:t>SALA LABORAL</w:t>
      </w:r>
    </w:p>
    <w:p w14:paraId="4E77816B" w14:textId="77777777" w:rsidR="00A71BE2" w:rsidRPr="00BC4244" w:rsidRDefault="00A71BE2" w:rsidP="00BC4244">
      <w:pPr>
        <w:spacing w:line="276" w:lineRule="auto"/>
        <w:jc w:val="center"/>
        <w:rPr>
          <w:rFonts w:ascii="Arial" w:hAnsi="Arial" w:cs="Arial"/>
          <w:b/>
          <w:sz w:val="24"/>
          <w:szCs w:val="24"/>
        </w:rPr>
      </w:pPr>
      <w:r w:rsidRPr="00BC4244">
        <w:rPr>
          <w:rFonts w:ascii="Arial" w:hAnsi="Arial" w:cs="Arial"/>
          <w:b/>
          <w:sz w:val="24"/>
          <w:szCs w:val="24"/>
        </w:rPr>
        <w:t>MAGISTRADO PONENTE: JULIO CÉSAR SALAZAR MUÑOZ</w:t>
      </w:r>
    </w:p>
    <w:p w14:paraId="5DAB6C7B" w14:textId="77777777" w:rsidR="00A71BE2" w:rsidRPr="00BC4244" w:rsidRDefault="00A71BE2" w:rsidP="00BC4244">
      <w:pPr>
        <w:spacing w:line="276" w:lineRule="auto"/>
        <w:jc w:val="center"/>
        <w:rPr>
          <w:rFonts w:ascii="Arial" w:hAnsi="Arial" w:cs="Arial"/>
          <w:b/>
          <w:sz w:val="24"/>
          <w:szCs w:val="24"/>
        </w:rPr>
      </w:pPr>
    </w:p>
    <w:p w14:paraId="0B5C074B" w14:textId="46D29E1C" w:rsidR="00A71BE2" w:rsidRPr="00BC4244" w:rsidRDefault="00A71BE2" w:rsidP="00BC4244">
      <w:pPr>
        <w:spacing w:line="276" w:lineRule="auto"/>
        <w:jc w:val="center"/>
        <w:rPr>
          <w:rFonts w:ascii="Arial" w:hAnsi="Arial" w:cs="Arial"/>
          <w:sz w:val="24"/>
          <w:szCs w:val="24"/>
        </w:rPr>
      </w:pPr>
      <w:r w:rsidRPr="00BC4244">
        <w:rPr>
          <w:rFonts w:ascii="Arial" w:hAnsi="Arial" w:cs="Arial"/>
          <w:sz w:val="24"/>
          <w:szCs w:val="24"/>
        </w:rPr>
        <w:t xml:space="preserve">Pereira, </w:t>
      </w:r>
      <w:r w:rsidR="003A2880" w:rsidRPr="00BC4244">
        <w:rPr>
          <w:rFonts w:ascii="Arial" w:hAnsi="Arial" w:cs="Arial"/>
          <w:sz w:val="24"/>
          <w:szCs w:val="24"/>
        </w:rPr>
        <w:t>diecinueve de julio</w:t>
      </w:r>
      <w:r w:rsidR="00DF2342" w:rsidRPr="00BC4244">
        <w:rPr>
          <w:rFonts w:ascii="Arial" w:hAnsi="Arial" w:cs="Arial"/>
          <w:sz w:val="24"/>
          <w:szCs w:val="24"/>
        </w:rPr>
        <w:t xml:space="preserve"> de dos mil veinti</w:t>
      </w:r>
      <w:r w:rsidR="000E3E3A" w:rsidRPr="00BC4244">
        <w:rPr>
          <w:rFonts w:ascii="Arial" w:hAnsi="Arial" w:cs="Arial"/>
          <w:sz w:val="24"/>
          <w:szCs w:val="24"/>
        </w:rPr>
        <w:t>trés</w:t>
      </w:r>
    </w:p>
    <w:p w14:paraId="610B335F" w14:textId="6765FB4A" w:rsidR="00A71BE2" w:rsidRPr="00BC4244" w:rsidRDefault="00A71BE2" w:rsidP="00BC4244">
      <w:pPr>
        <w:tabs>
          <w:tab w:val="center" w:pos="4420"/>
          <w:tab w:val="left" w:pos="7873"/>
        </w:tabs>
        <w:spacing w:line="276" w:lineRule="auto"/>
        <w:jc w:val="center"/>
        <w:rPr>
          <w:rFonts w:ascii="Arial" w:hAnsi="Arial" w:cs="Arial"/>
          <w:sz w:val="24"/>
          <w:szCs w:val="24"/>
        </w:rPr>
      </w:pPr>
      <w:r w:rsidRPr="00BC4244">
        <w:rPr>
          <w:rFonts w:ascii="Arial" w:hAnsi="Arial" w:cs="Arial"/>
          <w:sz w:val="24"/>
          <w:szCs w:val="24"/>
        </w:rPr>
        <w:t xml:space="preserve">Acta </w:t>
      </w:r>
      <w:r w:rsidR="00711EF4" w:rsidRPr="00BC4244">
        <w:rPr>
          <w:rFonts w:ascii="Arial" w:hAnsi="Arial" w:cs="Arial"/>
          <w:sz w:val="24"/>
          <w:szCs w:val="24"/>
        </w:rPr>
        <w:t>de Sala de Discusión No</w:t>
      </w:r>
      <w:r w:rsidR="00DF35E7" w:rsidRPr="00BC4244">
        <w:rPr>
          <w:rFonts w:ascii="Arial" w:hAnsi="Arial" w:cs="Arial"/>
          <w:sz w:val="24"/>
          <w:szCs w:val="24"/>
        </w:rPr>
        <w:t xml:space="preserve"> </w:t>
      </w:r>
      <w:r w:rsidR="00BB6194" w:rsidRPr="00BC4244">
        <w:rPr>
          <w:rFonts w:ascii="Arial" w:hAnsi="Arial" w:cs="Arial"/>
          <w:sz w:val="24"/>
          <w:szCs w:val="24"/>
        </w:rPr>
        <w:t>112</w:t>
      </w:r>
      <w:r w:rsidR="00711EF4" w:rsidRPr="00BC4244">
        <w:rPr>
          <w:rFonts w:ascii="Arial" w:hAnsi="Arial" w:cs="Arial"/>
          <w:sz w:val="24"/>
          <w:szCs w:val="24"/>
        </w:rPr>
        <w:t xml:space="preserve"> de </w:t>
      </w:r>
      <w:r w:rsidR="003A2880" w:rsidRPr="00BC4244">
        <w:rPr>
          <w:rFonts w:ascii="Arial" w:hAnsi="Arial" w:cs="Arial"/>
          <w:sz w:val="24"/>
          <w:szCs w:val="24"/>
        </w:rPr>
        <w:t>17 de julio</w:t>
      </w:r>
      <w:r w:rsidR="000E3E3A" w:rsidRPr="00BC4244">
        <w:rPr>
          <w:rFonts w:ascii="Arial" w:hAnsi="Arial" w:cs="Arial"/>
          <w:sz w:val="24"/>
          <w:szCs w:val="24"/>
        </w:rPr>
        <w:t xml:space="preserve"> de 2023</w:t>
      </w:r>
    </w:p>
    <w:p w14:paraId="02EB378F" w14:textId="22EF49B9" w:rsidR="00A71BE2" w:rsidRDefault="00A71BE2" w:rsidP="00BC4244">
      <w:pPr>
        <w:spacing w:line="276" w:lineRule="auto"/>
        <w:jc w:val="both"/>
        <w:rPr>
          <w:rFonts w:ascii="Arial" w:hAnsi="Arial" w:cs="Arial"/>
          <w:sz w:val="24"/>
          <w:szCs w:val="24"/>
        </w:rPr>
      </w:pPr>
    </w:p>
    <w:p w14:paraId="50EC1666" w14:textId="77777777" w:rsidR="00BC4244" w:rsidRPr="00BC4244" w:rsidRDefault="00BC4244" w:rsidP="00BC4244">
      <w:pPr>
        <w:spacing w:line="276" w:lineRule="auto"/>
        <w:jc w:val="both"/>
        <w:rPr>
          <w:rFonts w:ascii="Arial" w:hAnsi="Arial" w:cs="Arial"/>
          <w:sz w:val="24"/>
          <w:szCs w:val="24"/>
        </w:rPr>
      </w:pPr>
    </w:p>
    <w:p w14:paraId="20B09445" w14:textId="5633D523" w:rsidR="00A71BE2" w:rsidRPr="00BC4244" w:rsidRDefault="00A71BE2" w:rsidP="00BC4244">
      <w:pPr>
        <w:spacing w:line="276" w:lineRule="auto"/>
        <w:jc w:val="both"/>
        <w:rPr>
          <w:rFonts w:ascii="Arial" w:hAnsi="Arial" w:cs="Arial"/>
          <w:sz w:val="24"/>
          <w:szCs w:val="24"/>
        </w:rPr>
      </w:pPr>
      <w:r w:rsidRPr="00BC4244">
        <w:rPr>
          <w:rFonts w:ascii="Arial" w:hAnsi="Arial" w:cs="Arial"/>
          <w:sz w:val="24"/>
          <w:szCs w:val="24"/>
        </w:rPr>
        <w:t xml:space="preserve">Procede la Sala Laboral del Tribunal Superior del Distrito Judicial de Pereira a desatar el recurso de apelación presentado por </w:t>
      </w:r>
      <w:r w:rsidR="003A2880" w:rsidRPr="00BC4244">
        <w:rPr>
          <w:rFonts w:ascii="Arial" w:hAnsi="Arial" w:cs="Arial"/>
          <w:sz w:val="24"/>
          <w:szCs w:val="24"/>
        </w:rPr>
        <w:t xml:space="preserve">la </w:t>
      </w:r>
      <w:r w:rsidR="003A2880" w:rsidRPr="00BC4244">
        <w:rPr>
          <w:rFonts w:ascii="Arial" w:hAnsi="Arial" w:cs="Arial"/>
          <w:b/>
          <w:sz w:val="24"/>
          <w:szCs w:val="24"/>
        </w:rPr>
        <w:t>Unidad Administrativa Especial de Gestión Pensional y Contribuciones Parafiscales de la Protección Social -UGPP-</w:t>
      </w:r>
      <w:r w:rsidRPr="00BC4244">
        <w:rPr>
          <w:rFonts w:ascii="Arial" w:hAnsi="Arial" w:cs="Arial"/>
          <w:sz w:val="24"/>
          <w:szCs w:val="24"/>
        </w:rPr>
        <w:t xml:space="preserve"> </w:t>
      </w:r>
      <w:r w:rsidR="009B63EE" w:rsidRPr="00BC4244">
        <w:rPr>
          <w:rFonts w:ascii="Arial" w:hAnsi="Arial" w:cs="Arial"/>
          <w:sz w:val="24"/>
          <w:szCs w:val="24"/>
        </w:rPr>
        <w:t xml:space="preserve">contra el auto proferido por el </w:t>
      </w:r>
      <w:r w:rsidRPr="00BC4244">
        <w:rPr>
          <w:rFonts w:ascii="Arial" w:hAnsi="Arial" w:cs="Arial"/>
          <w:sz w:val="24"/>
          <w:szCs w:val="24"/>
        </w:rPr>
        <w:t xml:space="preserve">Juzgado </w:t>
      </w:r>
      <w:r w:rsidR="003A2880" w:rsidRPr="00BC4244">
        <w:rPr>
          <w:rFonts w:ascii="Arial" w:hAnsi="Arial" w:cs="Arial"/>
          <w:sz w:val="24"/>
          <w:szCs w:val="24"/>
        </w:rPr>
        <w:t>Primero</w:t>
      </w:r>
      <w:r w:rsidRPr="00BC4244">
        <w:rPr>
          <w:rFonts w:ascii="Arial" w:hAnsi="Arial" w:cs="Arial"/>
          <w:sz w:val="24"/>
          <w:szCs w:val="24"/>
        </w:rPr>
        <w:t xml:space="preserve"> Laboral del Circuito </w:t>
      </w:r>
      <w:r w:rsidR="00711EF4" w:rsidRPr="00BC4244">
        <w:rPr>
          <w:rFonts w:ascii="Arial" w:hAnsi="Arial" w:cs="Arial"/>
          <w:sz w:val="24"/>
          <w:szCs w:val="24"/>
        </w:rPr>
        <w:t xml:space="preserve">Pereira </w:t>
      </w:r>
      <w:r w:rsidRPr="00BC4244">
        <w:rPr>
          <w:rFonts w:ascii="Arial" w:hAnsi="Arial" w:cs="Arial"/>
          <w:sz w:val="24"/>
          <w:szCs w:val="24"/>
        </w:rPr>
        <w:t xml:space="preserve">el día </w:t>
      </w:r>
      <w:r w:rsidR="003A2880" w:rsidRPr="00BC4244">
        <w:rPr>
          <w:rFonts w:ascii="Arial" w:hAnsi="Arial" w:cs="Arial"/>
          <w:sz w:val="24"/>
          <w:szCs w:val="24"/>
        </w:rPr>
        <w:t>16 de junio de 2022</w:t>
      </w:r>
      <w:r w:rsidRPr="00BC4244">
        <w:rPr>
          <w:rFonts w:ascii="Arial" w:hAnsi="Arial" w:cs="Arial"/>
          <w:sz w:val="24"/>
          <w:szCs w:val="24"/>
        </w:rPr>
        <w:t xml:space="preserve">, por medio del cual </w:t>
      </w:r>
      <w:r w:rsidR="003A2880" w:rsidRPr="00BC4244">
        <w:rPr>
          <w:rFonts w:ascii="Arial" w:hAnsi="Arial" w:cs="Arial"/>
          <w:sz w:val="24"/>
          <w:szCs w:val="24"/>
        </w:rPr>
        <w:t>se aprobó la liquidación de costas realizada</w:t>
      </w:r>
      <w:r w:rsidR="009B63EE" w:rsidRPr="00BC4244">
        <w:rPr>
          <w:rFonts w:ascii="Arial" w:hAnsi="Arial" w:cs="Arial"/>
          <w:sz w:val="24"/>
          <w:szCs w:val="24"/>
        </w:rPr>
        <w:t xml:space="preserve"> dentro del proceso </w:t>
      </w:r>
      <w:r w:rsidR="003A2880" w:rsidRPr="00BC4244">
        <w:rPr>
          <w:rFonts w:ascii="Arial" w:hAnsi="Arial" w:cs="Arial"/>
          <w:b/>
          <w:sz w:val="24"/>
          <w:szCs w:val="24"/>
        </w:rPr>
        <w:t>ejecutivo laboral</w:t>
      </w:r>
      <w:r w:rsidR="003A2880" w:rsidRPr="00BC4244">
        <w:rPr>
          <w:rFonts w:ascii="Arial" w:hAnsi="Arial" w:cs="Arial"/>
          <w:sz w:val="24"/>
          <w:szCs w:val="24"/>
        </w:rPr>
        <w:t xml:space="preserve"> que en su contra adelanta la señora </w:t>
      </w:r>
      <w:r w:rsidR="003A2880" w:rsidRPr="00BC4244">
        <w:rPr>
          <w:rFonts w:ascii="Arial" w:hAnsi="Arial" w:cs="Arial"/>
          <w:b/>
          <w:sz w:val="24"/>
          <w:szCs w:val="24"/>
        </w:rPr>
        <w:t>María Idalba Ramírez</w:t>
      </w:r>
      <w:r w:rsidRPr="00BC4244">
        <w:rPr>
          <w:rFonts w:ascii="Arial" w:hAnsi="Arial" w:cs="Arial"/>
          <w:sz w:val="24"/>
          <w:szCs w:val="24"/>
        </w:rPr>
        <w:t>,</w:t>
      </w:r>
      <w:r w:rsidR="003A2880" w:rsidRPr="00BC4244">
        <w:rPr>
          <w:rFonts w:ascii="Arial" w:hAnsi="Arial" w:cs="Arial"/>
          <w:sz w:val="24"/>
          <w:szCs w:val="24"/>
        </w:rPr>
        <w:t xml:space="preserve"> </w:t>
      </w:r>
      <w:r w:rsidRPr="00BC4244">
        <w:rPr>
          <w:rFonts w:ascii="Arial" w:hAnsi="Arial" w:cs="Arial"/>
          <w:sz w:val="24"/>
          <w:szCs w:val="24"/>
        </w:rPr>
        <w:t xml:space="preserve">cuya radicación corresponde al </w:t>
      </w:r>
      <w:proofErr w:type="spellStart"/>
      <w:r w:rsidRPr="00BC4244">
        <w:rPr>
          <w:rFonts w:ascii="Arial" w:hAnsi="Arial" w:cs="Arial"/>
          <w:sz w:val="24"/>
          <w:szCs w:val="24"/>
        </w:rPr>
        <w:t>Nº</w:t>
      </w:r>
      <w:proofErr w:type="spellEnd"/>
      <w:r w:rsidRPr="00BC4244">
        <w:rPr>
          <w:rFonts w:ascii="Arial" w:hAnsi="Arial" w:cs="Arial"/>
          <w:sz w:val="24"/>
          <w:szCs w:val="24"/>
        </w:rPr>
        <w:t xml:space="preserve"> </w:t>
      </w:r>
      <w:r w:rsidR="00711EF4" w:rsidRPr="00BC4244">
        <w:rPr>
          <w:rFonts w:ascii="Arial" w:hAnsi="Arial" w:cs="Arial"/>
          <w:sz w:val="24"/>
          <w:szCs w:val="24"/>
        </w:rPr>
        <w:t>66001</w:t>
      </w:r>
      <w:r w:rsidR="00BC4244">
        <w:rPr>
          <w:rFonts w:ascii="Arial" w:hAnsi="Arial" w:cs="Arial"/>
          <w:sz w:val="24"/>
          <w:szCs w:val="24"/>
        </w:rPr>
        <w:t>-</w:t>
      </w:r>
      <w:r w:rsidR="00711EF4" w:rsidRPr="00BC4244">
        <w:rPr>
          <w:rFonts w:ascii="Arial" w:hAnsi="Arial" w:cs="Arial"/>
          <w:sz w:val="24"/>
          <w:szCs w:val="24"/>
        </w:rPr>
        <w:t>31</w:t>
      </w:r>
      <w:r w:rsidR="00BC4244">
        <w:rPr>
          <w:rFonts w:ascii="Arial" w:hAnsi="Arial" w:cs="Arial"/>
          <w:sz w:val="24"/>
          <w:szCs w:val="24"/>
        </w:rPr>
        <w:t>-</w:t>
      </w:r>
      <w:r w:rsidR="00711EF4" w:rsidRPr="00BC4244">
        <w:rPr>
          <w:rFonts w:ascii="Arial" w:hAnsi="Arial" w:cs="Arial"/>
          <w:sz w:val="24"/>
          <w:szCs w:val="24"/>
        </w:rPr>
        <w:t>05</w:t>
      </w:r>
      <w:r w:rsidR="00BC4244">
        <w:rPr>
          <w:rFonts w:ascii="Arial" w:hAnsi="Arial" w:cs="Arial"/>
          <w:sz w:val="24"/>
          <w:szCs w:val="24"/>
        </w:rPr>
        <w:t>-</w:t>
      </w:r>
      <w:r w:rsidR="00711EF4" w:rsidRPr="00BC4244">
        <w:rPr>
          <w:rFonts w:ascii="Arial" w:hAnsi="Arial" w:cs="Arial"/>
          <w:sz w:val="24"/>
          <w:szCs w:val="24"/>
        </w:rPr>
        <w:t>00</w:t>
      </w:r>
      <w:r w:rsidR="003A2880" w:rsidRPr="00BC4244">
        <w:rPr>
          <w:rFonts w:ascii="Arial" w:hAnsi="Arial" w:cs="Arial"/>
          <w:sz w:val="24"/>
          <w:szCs w:val="24"/>
        </w:rPr>
        <w:t>1</w:t>
      </w:r>
      <w:r w:rsidR="00BC4244">
        <w:rPr>
          <w:rFonts w:ascii="Arial" w:hAnsi="Arial" w:cs="Arial"/>
          <w:sz w:val="24"/>
          <w:szCs w:val="24"/>
        </w:rPr>
        <w:t>-</w:t>
      </w:r>
      <w:r w:rsidR="003A2880" w:rsidRPr="00BC4244">
        <w:rPr>
          <w:rFonts w:ascii="Arial" w:hAnsi="Arial" w:cs="Arial"/>
          <w:sz w:val="24"/>
          <w:szCs w:val="24"/>
        </w:rPr>
        <w:t>2012</w:t>
      </w:r>
      <w:r w:rsidR="00BC4244">
        <w:rPr>
          <w:rFonts w:ascii="Arial" w:hAnsi="Arial" w:cs="Arial"/>
          <w:sz w:val="24"/>
          <w:szCs w:val="24"/>
        </w:rPr>
        <w:t>-</w:t>
      </w:r>
      <w:r w:rsidR="003A2880" w:rsidRPr="00BC4244">
        <w:rPr>
          <w:rFonts w:ascii="Arial" w:hAnsi="Arial" w:cs="Arial"/>
          <w:sz w:val="24"/>
          <w:szCs w:val="24"/>
        </w:rPr>
        <w:t>00074</w:t>
      </w:r>
      <w:r w:rsidR="00BC4244">
        <w:rPr>
          <w:rFonts w:ascii="Arial" w:hAnsi="Arial" w:cs="Arial"/>
          <w:sz w:val="24"/>
          <w:szCs w:val="24"/>
        </w:rPr>
        <w:t>-</w:t>
      </w:r>
      <w:r w:rsidR="009B63EE" w:rsidRPr="00BC4244">
        <w:rPr>
          <w:rFonts w:ascii="Arial" w:hAnsi="Arial" w:cs="Arial"/>
          <w:sz w:val="24"/>
          <w:szCs w:val="24"/>
        </w:rPr>
        <w:t>02</w:t>
      </w:r>
      <w:r w:rsidR="00711EF4" w:rsidRPr="00BC4244">
        <w:rPr>
          <w:rFonts w:ascii="Arial" w:hAnsi="Arial" w:cs="Arial"/>
          <w:sz w:val="24"/>
          <w:szCs w:val="24"/>
        </w:rPr>
        <w:t>.</w:t>
      </w:r>
    </w:p>
    <w:p w14:paraId="6A05A809" w14:textId="77777777" w:rsidR="00A71BE2" w:rsidRPr="00BC4244" w:rsidRDefault="00A71BE2" w:rsidP="00BC4244">
      <w:pPr>
        <w:tabs>
          <w:tab w:val="left" w:pos="-720"/>
        </w:tabs>
        <w:suppressAutoHyphens/>
        <w:spacing w:line="276" w:lineRule="auto"/>
        <w:jc w:val="both"/>
        <w:rPr>
          <w:rFonts w:ascii="Arial" w:hAnsi="Arial" w:cs="Arial"/>
          <w:sz w:val="24"/>
          <w:szCs w:val="24"/>
        </w:rPr>
      </w:pPr>
    </w:p>
    <w:p w14:paraId="43921523" w14:textId="06388872" w:rsidR="00A71BE2" w:rsidRDefault="00A71BE2" w:rsidP="00BC4244">
      <w:pPr>
        <w:tabs>
          <w:tab w:val="left" w:pos="-720"/>
        </w:tabs>
        <w:suppressAutoHyphens/>
        <w:spacing w:line="276" w:lineRule="auto"/>
        <w:jc w:val="both"/>
        <w:rPr>
          <w:rFonts w:ascii="Arial" w:hAnsi="Arial" w:cs="Arial"/>
          <w:sz w:val="24"/>
          <w:szCs w:val="24"/>
        </w:rPr>
      </w:pPr>
      <w:r w:rsidRPr="00BC4244">
        <w:rPr>
          <w:rFonts w:ascii="Arial" w:hAnsi="Arial" w:cs="Arial"/>
          <w:sz w:val="24"/>
          <w:szCs w:val="24"/>
        </w:rPr>
        <w:t>Previamente se revisó, discutió y aprobó el proyecto elaborado por el Magistrado ponente que corresponde a los siguientes,</w:t>
      </w:r>
    </w:p>
    <w:p w14:paraId="41D72906" w14:textId="77777777" w:rsidR="00C11AF2" w:rsidRPr="00BC4244" w:rsidRDefault="00C11AF2" w:rsidP="00BC4244">
      <w:pPr>
        <w:tabs>
          <w:tab w:val="left" w:pos="-720"/>
        </w:tabs>
        <w:suppressAutoHyphens/>
        <w:spacing w:line="276" w:lineRule="auto"/>
        <w:jc w:val="both"/>
        <w:rPr>
          <w:rFonts w:ascii="Arial" w:hAnsi="Arial" w:cs="Arial"/>
          <w:sz w:val="24"/>
          <w:szCs w:val="24"/>
        </w:rPr>
      </w:pPr>
    </w:p>
    <w:p w14:paraId="0F10BAA5" w14:textId="77777777" w:rsidR="00A71BE2" w:rsidRPr="00BC4244" w:rsidRDefault="00A71BE2" w:rsidP="00BC4244">
      <w:pPr>
        <w:pStyle w:val="Ttulo4"/>
        <w:spacing w:line="276" w:lineRule="auto"/>
        <w:rPr>
          <w:rFonts w:cs="Arial"/>
          <w:b/>
          <w:sz w:val="24"/>
          <w:szCs w:val="24"/>
        </w:rPr>
      </w:pPr>
      <w:r w:rsidRPr="00BC4244">
        <w:rPr>
          <w:rFonts w:cs="Arial"/>
          <w:b/>
          <w:sz w:val="24"/>
          <w:szCs w:val="24"/>
        </w:rPr>
        <w:t>ANTECEDENTES</w:t>
      </w:r>
    </w:p>
    <w:p w14:paraId="41C8F396" w14:textId="77777777" w:rsidR="00A71BE2" w:rsidRPr="00BC4244" w:rsidRDefault="00A71BE2" w:rsidP="00BC4244">
      <w:pPr>
        <w:spacing w:line="276" w:lineRule="auto"/>
        <w:jc w:val="both"/>
        <w:rPr>
          <w:rFonts w:ascii="Arial" w:hAnsi="Arial" w:cs="Arial"/>
          <w:bCs/>
          <w:sz w:val="24"/>
          <w:szCs w:val="24"/>
        </w:rPr>
      </w:pPr>
    </w:p>
    <w:p w14:paraId="09A482CF" w14:textId="3122D009" w:rsidR="00A47428" w:rsidRPr="00BC4244" w:rsidRDefault="2BDBB3B8" w:rsidP="00BC4244">
      <w:pPr>
        <w:spacing w:line="276" w:lineRule="auto"/>
        <w:ind w:right="51"/>
        <w:jc w:val="both"/>
        <w:rPr>
          <w:rFonts w:ascii="Arial" w:hAnsi="Arial" w:cs="Arial"/>
          <w:sz w:val="24"/>
          <w:szCs w:val="24"/>
        </w:rPr>
      </w:pPr>
      <w:r w:rsidRPr="00BC4244">
        <w:rPr>
          <w:rFonts w:ascii="Arial" w:hAnsi="Arial" w:cs="Arial"/>
          <w:sz w:val="24"/>
          <w:szCs w:val="24"/>
        </w:rPr>
        <w:lastRenderedPageBreak/>
        <w:t>E</w:t>
      </w:r>
      <w:r w:rsidR="009B63EE" w:rsidRPr="00BC4244">
        <w:rPr>
          <w:rFonts w:ascii="Arial" w:hAnsi="Arial" w:cs="Arial"/>
          <w:sz w:val="24"/>
          <w:szCs w:val="24"/>
        </w:rPr>
        <w:t xml:space="preserve">l </w:t>
      </w:r>
      <w:r w:rsidR="009B5CA8" w:rsidRPr="00BC4244">
        <w:rPr>
          <w:rFonts w:ascii="Arial" w:hAnsi="Arial" w:cs="Arial"/>
          <w:sz w:val="24"/>
          <w:szCs w:val="24"/>
        </w:rPr>
        <w:t>21 de agosto de 2012</w:t>
      </w:r>
      <w:r w:rsidR="009B63EE" w:rsidRPr="00BC4244">
        <w:rPr>
          <w:rFonts w:ascii="Arial" w:hAnsi="Arial" w:cs="Arial"/>
          <w:sz w:val="24"/>
          <w:szCs w:val="24"/>
        </w:rPr>
        <w:t xml:space="preserve"> el </w:t>
      </w:r>
      <w:r w:rsidR="009B5CA8" w:rsidRPr="00BC4244">
        <w:rPr>
          <w:rFonts w:ascii="Arial" w:hAnsi="Arial" w:cs="Arial"/>
          <w:sz w:val="24"/>
          <w:szCs w:val="24"/>
        </w:rPr>
        <w:t>J</w:t>
      </w:r>
      <w:r w:rsidR="009B63EE" w:rsidRPr="00BC4244">
        <w:rPr>
          <w:rFonts w:ascii="Arial" w:hAnsi="Arial" w:cs="Arial"/>
          <w:sz w:val="24"/>
          <w:szCs w:val="24"/>
        </w:rPr>
        <w:t xml:space="preserve">uzgado </w:t>
      </w:r>
      <w:r w:rsidR="009B5CA8" w:rsidRPr="00BC4244">
        <w:rPr>
          <w:rFonts w:ascii="Arial" w:hAnsi="Arial" w:cs="Arial"/>
          <w:sz w:val="24"/>
          <w:szCs w:val="24"/>
        </w:rPr>
        <w:t>Primero</w:t>
      </w:r>
      <w:r w:rsidR="009B63EE" w:rsidRPr="00BC4244">
        <w:rPr>
          <w:rFonts w:ascii="Arial" w:hAnsi="Arial" w:cs="Arial"/>
          <w:sz w:val="24"/>
          <w:szCs w:val="24"/>
        </w:rPr>
        <w:t xml:space="preserve"> Laboral del Circuito de Pereira profirió sentencia de instancia dentro del proceso ordinario</w:t>
      </w:r>
      <w:r w:rsidR="00D10C79" w:rsidRPr="00BC4244">
        <w:rPr>
          <w:rFonts w:ascii="Arial" w:hAnsi="Arial" w:cs="Arial"/>
          <w:sz w:val="24"/>
          <w:szCs w:val="24"/>
        </w:rPr>
        <w:t xml:space="preserve"> laboral </w:t>
      </w:r>
      <w:r w:rsidR="5D0AC4D5" w:rsidRPr="00BC4244">
        <w:rPr>
          <w:rFonts w:ascii="Arial" w:hAnsi="Arial" w:cs="Arial"/>
          <w:sz w:val="24"/>
          <w:szCs w:val="24"/>
        </w:rPr>
        <w:t>iniciado</w:t>
      </w:r>
      <w:r w:rsidR="009B63EE" w:rsidRPr="00BC4244">
        <w:rPr>
          <w:rFonts w:ascii="Arial" w:hAnsi="Arial" w:cs="Arial"/>
          <w:sz w:val="24"/>
          <w:szCs w:val="24"/>
        </w:rPr>
        <w:t xml:space="preserve"> por </w:t>
      </w:r>
      <w:r w:rsidR="009B5CA8" w:rsidRPr="00BC4244">
        <w:rPr>
          <w:rFonts w:ascii="Arial" w:hAnsi="Arial" w:cs="Arial"/>
          <w:sz w:val="24"/>
          <w:szCs w:val="24"/>
        </w:rPr>
        <w:t xml:space="preserve">la señora María Idalba Ramírez Pulgarín contra la Unidad Administrativa Especial de Gestión Pensional y Contribuciones Parafiscales de la Protección Social -UFPP-, ordenando a ésta última reconocer y pagar a favor de la demandante la pensión </w:t>
      </w:r>
      <w:r w:rsidR="00134F07" w:rsidRPr="00BC4244">
        <w:rPr>
          <w:rFonts w:ascii="Arial" w:hAnsi="Arial" w:cs="Arial"/>
          <w:sz w:val="24"/>
          <w:szCs w:val="24"/>
        </w:rPr>
        <w:t xml:space="preserve">de jubilación reajustada en un 100%, </w:t>
      </w:r>
      <w:r w:rsidR="009B5CA8" w:rsidRPr="00BC4244">
        <w:rPr>
          <w:rFonts w:ascii="Arial" w:hAnsi="Arial" w:cs="Arial"/>
          <w:sz w:val="24"/>
          <w:szCs w:val="24"/>
        </w:rPr>
        <w:t>a partir del 1 de febrero de 2011</w:t>
      </w:r>
      <w:r w:rsidR="00134F07" w:rsidRPr="00BC4244">
        <w:rPr>
          <w:rFonts w:ascii="Arial" w:hAnsi="Arial" w:cs="Arial"/>
          <w:sz w:val="24"/>
          <w:szCs w:val="24"/>
        </w:rPr>
        <w:t>, lo cual arrojó un retroactivo a su favor del orden de $12.972.611.63.  Las agencias en derecho fueron liquidadas y tasadas en la suma de $3.780.000.</w:t>
      </w:r>
    </w:p>
    <w:p w14:paraId="72A3D3EC" w14:textId="77777777" w:rsidR="00A47428" w:rsidRPr="00BC4244" w:rsidRDefault="00A47428" w:rsidP="00BC4244">
      <w:pPr>
        <w:spacing w:line="276" w:lineRule="auto"/>
        <w:ind w:right="51"/>
        <w:jc w:val="both"/>
        <w:rPr>
          <w:rFonts w:ascii="Arial" w:hAnsi="Arial" w:cs="Arial"/>
          <w:sz w:val="24"/>
          <w:szCs w:val="24"/>
        </w:rPr>
      </w:pPr>
    </w:p>
    <w:p w14:paraId="3D8E7152" w14:textId="15E460DD" w:rsidR="009F1480" w:rsidRPr="00BC4244" w:rsidRDefault="00CD426F" w:rsidP="00BC4244">
      <w:pPr>
        <w:spacing w:line="276" w:lineRule="auto"/>
        <w:ind w:right="51"/>
        <w:jc w:val="both"/>
        <w:rPr>
          <w:rFonts w:ascii="Arial" w:eastAsia="Arial" w:hAnsi="Arial" w:cs="Arial"/>
          <w:sz w:val="24"/>
          <w:szCs w:val="24"/>
        </w:rPr>
      </w:pPr>
      <w:r w:rsidRPr="00BC4244">
        <w:rPr>
          <w:rFonts w:ascii="Arial" w:eastAsia="Arial" w:hAnsi="Arial" w:cs="Arial"/>
          <w:sz w:val="24"/>
          <w:szCs w:val="24"/>
        </w:rPr>
        <w:t xml:space="preserve">Ante la ausencia de cumplimiento de la orden judicial, </w:t>
      </w:r>
      <w:r w:rsidR="00134F07" w:rsidRPr="00BC4244">
        <w:rPr>
          <w:rFonts w:ascii="Arial" w:eastAsia="Arial" w:hAnsi="Arial" w:cs="Arial"/>
          <w:sz w:val="24"/>
          <w:szCs w:val="24"/>
        </w:rPr>
        <w:t>la actora, el día 12 de octubre de 2012,</w:t>
      </w:r>
      <w:r w:rsidRPr="00BC4244">
        <w:rPr>
          <w:rFonts w:ascii="Arial" w:eastAsia="Arial" w:hAnsi="Arial" w:cs="Arial"/>
          <w:sz w:val="24"/>
          <w:szCs w:val="24"/>
        </w:rPr>
        <w:t xml:space="preserve"> solicitó que se librara mandamiento de pago</w:t>
      </w:r>
      <w:r w:rsidR="009F1480" w:rsidRPr="00BC4244">
        <w:rPr>
          <w:rFonts w:ascii="Arial" w:eastAsia="Arial" w:hAnsi="Arial" w:cs="Arial"/>
          <w:sz w:val="24"/>
          <w:szCs w:val="24"/>
        </w:rPr>
        <w:t xml:space="preserve"> en contra de </w:t>
      </w:r>
      <w:r w:rsidR="00134F07" w:rsidRPr="00BC4244">
        <w:rPr>
          <w:rFonts w:ascii="Arial" w:eastAsia="Arial" w:hAnsi="Arial" w:cs="Arial"/>
          <w:sz w:val="24"/>
          <w:szCs w:val="24"/>
        </w:rPr>
        <w:t>la demandada</w:t>
      </w:r>
      <w:r w:rsidR="009F1480" w:rsidRPr="00BC4244">
        <w:rPr>
          <w:rFonts w:ascii="Arial" w:eastAsia="Arial" w:hAnsi="Arial" w:cs="Arial"/>
          <w:sz w:val="24"/>
          <w:szCs w:val="24"/>
        </w:rPr>
        <w:t xml:space="preserve"> por la</w:t>
      </w:r>
      <w:r w:rsidR="4C4ACEB2" w:rsidRPr="00BC4244">
        <w:rPr>
          <w:rFonts w:ascii="Arial" w:eastAsia="Arial" w:hAnsi="Arial" w:cs="Arial"/>
          <w:sz w:val="24"/>
          <w:szCs w:val="24"/>
        </w:rPr>
        <w:t>s</w:t>
      </w:r>
      <w:r w:rsidR="009F1480" w:rsidRPr="00BC4244">
        <w:rPr>
          <w:rFonts w:ascii="Arial" w:eastAsia="Arial" w:hAnsi="Arial" w:cs="Arial"/>
          <w:sz w:val="24"/>
          <w:szCs w:val="24"/>
        </w:rPr>
        <w:t xml:space="preserve"> condenas que fueron impuestas en su contra.</w:t>
      </w:r>
    </w:p>
    <w:p w14:paraId="44EAFD9C" w14:textId="77777777" w:rsidR="009F1480" w:rsidRPr="00BC4244" w:rsidRDefault="009F1480" w:rsidP="00BC4244">
      <w:pPr>
        <w:spacing w:line="276" w:lineRule="auto"/>
        <w:ind w:right="51"/>
        <w:jc w:val="both"/>
        <w:rPr>
          <w:rFonts w:ascii="Arial" w:eastAsia="Arial" w:hAnsi="Arial" w:cs="Arial"/>
          <w:sz w:val="24"/>
          <w:szCs w:val="24"/>
        </w:rPr>
      </w:pPr>
    </w:p>
    <w:p w14:paraId="79036877" w14:textId="51EB480F" w:rsidR="00F16052" w:rsidRPr="00BC4244" w:rsidRDefault="009F1480" w:rsidP="00BC4244">
      <w:pPr>
        <w:spacing w:line="276" w:lineRule="auto"/>
        <w:ind w:right="51"/>
        <w:jc w:val="both"/>
        <w:rPr>
          <w:rFonts w:ascii="Arial" w:hAnsi="Arial" w:cs="Arial"/>
          <w:sz w:val="24"/>
          <w:szCs w:val="24"/>
        </w:rPr>
      </w:pPr>
      <w:r w:rsidRPr="00BC4244">
        <w:rPr>
          <w:rFonts w:ascii="Arial" w:eastAsia="Arial" w:hAnsi="Arial" w:cs="Arial"/>
          <w:sz w:val="24"/>
          <w:szCs w:val="24"/>
        </w:rPr>
        <w:t xml:space="preserve">En providencia adiada </w:t>
      </w:r>
      <w:r w:rsidR="00134F07" w:rsidRPr="00BC4244">
        <w:rPr>
          <w:rFonts w:ascii="Arial" w:eastAsia="Arial" w:hAnsi="Arial" w:cs="Arial"/>
          <w:sz w:val="24"/>
          <w:szCs w:val="24"/>
        </w:rPr>
        <w:t>25 de noviembre de 2016</w:t>
      </w:r>
      <w:r w:rsidR="00777095" w:rsidRPr="00BC4244">
        <w:rPr>
          <w:rFonts w:ascii="Arial" w:eastAsia="Arial" w:hAnsi="Arial" w:cs="Arial"/>
          <w:sz w:val="24"/>
          <w:szCs w:val="24"/>
        </w:rPr>
        <w:t xml:space="preserve"> </w:t>
      </w:r>
      <w:r w:rsidR="00134F07" w:rsidRPr="00BC4244">
        <w:rPr>
          <w:rFonts w:ascii="Arial" w:eastAsia="Arial" w:hAnsi="Arial" w:cs="Arial"/>
          <w:sz w:val="24"/>
          <w:szCs w:val="24"/>
        </w:rPr>
        <w:t>el Juzgado libró orden de pago en contra de</w:t>
      </w:r>
      <w:r w:rsidR="00F1027F" w:rsidRPr="00BC4244">
        <w:rPr>
          <w:rFonts w:ascii="Arial" w:hAnsi="Arial" w:cs="Arial"/>
          <w:sz w:val="24"/>
          <w:szCs w:val="24"/>
        </w:rPr>
        <w:t xml:space="preserve"> la Unidad Administrativa Especial de Gestión Pensional y Contribuciones Parafiscales de la Protección Social -U</w:t>
      </w:r>
      <w:r w:rsidR="26EBAFDE" w:rsidRPr="00BC4244">
        <w:rPr>
          <w:rFonts w:ascii="Arial" w:hAnsi="Arial" w:cs="Arial"/>
          <w:sz w:val="24"/>
          <w:szCs w:val="24"/>
        </w:rPr>
        <w:t>G</w:t>
      </w:r>
      <w:r w:rsidR="00F1027F" w:rsidRPr="00BC4244">
        <w:rPr>
          <w:rFonts w:ascii="Arial" w:hAnsi="Arial" w:cs="Arial"/>
          <w:sz w:val="24"/>
          <w:szCs w:val="24"/>
        </w:rPr>
        <w:t>PP por el retroactivo y el reajuste pensional ordenado en la sentencia, las costas del proceso ordinario, los intereses legales y las costas del trámite ejecutivo.</w:t>
      </w:r>
    </w:p>
    <w:p w14:paraId="45FB0818" w14:textId="77777777" w:rsidR="002E4171" w:rsidRPr="00BC4244" w:rsidRDefault="002E4171" w:rsidP="00BC4244">
      <w:pPr>
        <w:spacing w:line="276" w:lineRule="auto"/>
        <w:ind w:right="51"/>
        <w:jc w:val="both"/>
        <w:rPr>
          <w:rFonts w:ascii="Arial" w:eastAsia="Arial" w:hAnsi="Arial" w:cs="Arial"/>
          <w:sz w:val="24"/>
          <w:szCs w:val="24"/>
        </w:rPr>
      </w:pPr>
    </w:p>
    <w:p w14:paraId="34C319D4" w14:textId="3702BA53" w:rsidR="00797E4A" w:rsidRPr="00BC4244" w:rsidRDefault="00B31C74" w:rsidP="00BC4244">
      <w:pPr>
        <w:spacing w:line="276" w:lineRule="auto"/>
        <w:ind w:right="51"/>
        <w:jc w:val="both"/>
        <w:rPr>
          <w:rFonts w:ascii="Arial" w:eastAsia="Arial" w:hAnsi="Arial" w:cs="Arial"/>
          <w:sz w:val="24"/>
          <w:szCs w:val="24"/>
        </w:rPr>
      </w:pPr>
      <w:r w:rsidRPr="00BC4244">
        <w:rPr>
          <w:rFonts w:ascii="Arial" w:eastAsia="Arial" w:hAnsi="Arial" w:cs="Arial"/>
          <w:sz w:val="24"/>
          <w:szCs w:val="24"/>
        </w:rPr>
        <w:t xml:space="preserve">Una vez </w:t>
      </w:r>
      <w:r w:rsidR="002E4171" w:rsidRPr="00BC4244">
        <w:rPr>
          <w:rFonts w:ascii="Arial" w:eastAsia="Arial" w:hAnsi="Arial" w:cs="Arial"/>
          <w:sz w:val="24"/>
          <w:szCs w:val="24"/>
        </w:rPr>
        <w:t>integrad</w:t>
      </w:r>
      <w:r w:rsidR="00C4794F" w:rsidRPr="00BC4244">
        <w:rPr>
          <w:rFonts w:ascii="Arial" w:eastAsia="Arial" w:hAnsi="Arial" w:cs="Arial"/>
          <w:sz w:val="24"/>
          <w:szCs w:val="24"/>
        </w:rPr>
        <w:t>a</w:t>
      </w:r>
      <w:r w:rsidR="002E4171" w:rsidRPr="00BC4244">
        <w:rPr>
          <w:rFonts w:ascii="Arial" w:eastAsia="Arial" w:hAnsi="Arial" w:cs="Arial"/>
          <w:sz w:val="24"/>
          <w:szCs w:val="24"/>
        </w:rPr>
        <w:t xml:space="preserve"> a la litis</w:t>
      </w:r>
      <w:r w:rsidRPr="00BC4244">
        <w:rPr>
          <w:rFonts w:ascii="Arial" w:eastAsia="Arial" w:hAnsi="Arial" w:cs="Arial"/>
          <w:sz w:val="24"/>
          <w:szCs w:val="24"/>
        </w:rPr>
        <w:t xml:space="preserve">, </w:t>
      </w:r>
      <w:r w:rsidR="00F1027F" w:rsidRPr="00BC4244">
        <w:rPr>
          <w:rFonts w:ascii="Arial" w:eastAsia="Arial" w:hAnsi="Arial" w:cs="Arial"/>
          <w:sz w:val="24"/>
          <w:szCs w:val="24"/>
        </w:rPr>
        <w:t xml:space="preserve">la entidad requerida formuló excepciones que fueron </w:t>
      </w:r>
      <w:r w:rsidR="00DA09C1" w:rsidRPr="00BC4244">
        <w:rPr>
          <w:rFonts w:ascii="Arial" w:eastAsia="Arial" w:hAnsi="Arial" w:cs="Arial"/>
          <w:sz w:val="24"/>
          <w:szCs w:val="24"/>
        </w:rPr>
        <w:t xml:space="preserve">resueltas de manera desfavorable </w:t>
      </w:r>
      <w:r w:rsidR="0068547A" w:rsidRPr="00BC4244">
        <w:rPr>
          <w:rFonts w:ascii="Arial" w:eastAsia="Arial" w:hAnsi="Arial" w:cs="Arial"/>
          <w:sz w:val="24"/>
          <w:szCs w:val="24"/>
        </w:rPr>
        <w:t xml:space="preserve">en primera y </w:t>
      </w:r>
      <w:r w:rsidR="004110B9" w:rsidRPr="00BC4244">
        <w:rPr>
          <w:rFonts w:ascii="Arial" w:eastAsia="Arial" w:hAnsi="Arial" w:cs="Arial"/>
          <w:sz w:val="24"/>
          <w:szCs w:val="24"/>
        </w:rPr>
        <w:t>segunda instancia</w:t>
      </w:r>
      <w:r w:rsidR="00910FF1" w:rsidRPr="00BC4244">
        <w:rPr>
          <w:rFonts w:ascii="Arial" w:eastAsia="Arial" w:hAnsi="Arial" w:cs="Arial"/>
          <w:sz w:val="24"/>
          <w:szCs w:val="24"/>
        </w:rPr>
        <w:t>,</w:t>
      </w:r>
      <w:r w:rsidR="004110B9" w:rsidRPr="00BC4244">
        <w:rPr>
          <w:rFonts w:ascii="Arial" w:eastAsia="Arial" w:hAnsi="Arial" w:cs="Arial"/>
          <w:sz w:val="24"/>
          <w:szCs w:val="24"/>
        </w:rPr>
        <w:t xml:space="preserve"> </w:t>
      </w:r>
      <w:r w:rsidR="00797E4A" w:rsidRPr="00BC4244">
        <w:rPr>
          <w:rFonts w:ascii="Arial" w:eastAsia="Arial" w:hAnsi="Arial" w:cs="Arial"/>
          <w:sz w:val="24"/>
          <w:szCs w:val="24"/>
        </w:rPr>
        <w:t>ordenándose seguir adelante con la ejecución.</w:t>
      </w:r>
    </w:p>
    <w:p w14:paraId="3815E33F" w14:textId="77777777" w:rsidR="00797E4A" w:rsidRPr="00BC4244" w:rsidRDefault="00797E4A" w:rsidP="00BC4244">
      <w:pPr>
        <w:spacing w:line="276" w:lineRule="auto"/>
        <w:ind w:right="51"/>
        <w:jc w:val="both"/>
        <w:rPr>
          <w:rFonts w:ascii="Arial" w:eastAsia="Arial" w:hAnsi="Arial" w:cs="Arial"/>
          <w:sz w:val="24"/>
          <w:szCs w:val="24"/>
        </w:rPr>
      </w:pPr>
    </w:p>
    <w:p w14:paraId="15E9A86C" w14:textId="2DAC2CFD" w:rsidR="007A79A5" w:rsidRPr="00BC4244" w:rsidRDefault="00797E4A" w:rsidP="00BC4244">
      <w:pPr>
        <w:spacing w:line="276" w:lineRule="auto"/>
        <w:ind w:right="51"/>
        <w:jc w:val="both"/>
        <w:rPr>
          <w:rFonts w:ascii="Arial" w:hAnsi="Arial" w:cs="Arial"/>
          <w:sz w:val="24"/>
          <w:szCs w:val="24"/>
        </w:rPr>
      </w:pPr>
      <w:r w:rsidRPr="00BC4244">
        <w:rPr>
          <w:rFonts w:ascii="Arial" w:eastAsia="Arial" w:hAnsi="Arial" w:cs="Arial"/>
          <w:sz w:val="24"/>
          <w:szCs w:val="24"/>
        </w:rPr>
        <w:t xml:space="preserve">Presentada la liquidación del crédito por la parte ejecutante, </w:t>
      </w:r>
      <w:r w:rsidRPr="00BC4244">
        <w:rPr>
          <w:rFonts w:ascii="Arial" w:hAnsi="Arial" w:cs="Arial"/>
          <w:sz w:val="24"/>
          <w:szCs w:val="24"/>
        </w:rPr>
        <w:t>la Unidad Administrativa Especial de Gestión Pensional y Contribuciones Parafiscales de la Protección Social -UFPP- solicitó se realiza</w:t>
      </w:r>
      <w:r w:rsidR="715F0924" w:rsidRPr="00BC4244">
        <w:rPr>
          <w:rFonts w:ascii="Arial" w:hAnsi="Arial" w:cs="Arial"/>
          <w:sz w:val="24"/>
          <w:szCs w:val="24"/>
        </w:rPr>
        <w:t>ra</w:t>
      </w:r>
      <w:r w:rsidRPr="00BC4244">
        <w:rPr>
          <w:rFonts w:ascii="Arial" w:hAnsi="Arial" w:cs="Arial"/>
          <w:sz w:val="24"/>
          <w:szCs w:val="24"/>
        </w:rPr>
        <w:t xml:space="preserve">n aclaraciones y correcciones aritméticas a las que el juzgado no accedió, pero procedió </w:t>
      </w:r>
      <w:r w:rsidR="007A79A5" w:rsidRPr="00BC4244">
        <w:rPr>
          <w:rFonts w:ascii="Arial" w:hAnsi="Arial" w:cs="Arial"/>
          <w:sz w:val="24"/>
          <w:szCs w:val="24"/>
        </w:rPr>
        <w:t xml:space="preserve">a modificar </w:t>
      </w:r>
      <w:r w:rsidR="00F448A4" w:rsidRPr="00BC4244">
        <w:rPr>
          <w:rFonts w:ascii="Arial" w:hAnsi="Arial" w:cs="Arial"/>
          <w:sz w:val="24"/>
          <w:szCs w:val="24"/>
        </w:rPr>
        <w:t>la tasación de lo debido</w:t>
      </w:r>
      <w:r w:rsidR="007A79A5" w:rsidRPr="00BC4244">
        <w:rPr>
          <w:rFonts w:ascii="Arial" w:hAnsi="Arial" w:cs="Arial"/>
          <w:sz w:val="24"/>
          <w:szCs w:val="24"/>
        </w:rPr>
        <w:t xml:space="preserve">, fijando el valor de lo adeudado en la suma de $104.462.371, </w:t>
      </w:r>
      <w:r w:rsidR="0199DEE0" w:rsidRPr="00BC4244">
        <w:rPr>
          <w:rFonts w:ascii="Arial" w:hAnsi="Arial" w:cs="Arial"/>
          <w:sz w:val="24"/>
          <w:szCs w:val="24"/>
        </w:rPr>
        <w:t xml:space="preserve">cifra </w:t>
      </w:r>
      <w:r w:rsidR="00F448A4" w:rsidRPr="00BC4244">
        <w:rPr>
          <w:rFonts w:ascii="Arial" w:hAnsi="Arial" w:cs="Arial"/>
          <w:sz w:val="24"/>
          <w:szCs w:val="24"/>
        </w:rPr>
        <w:t xml:space="preserve">a la </w:t>
      </w:r>
      <w:r w:rsidR="2326A84C" w:rsidRPr="00BC4244">
        <w:rPr>
          <w:rFonts w:ascii="Arial" w:hAnsi="Arial" w:cs="Arial"/>
          <w:sz w:val="24"/>
          <w:szCs w:val="24"/>
        </w:rPr>
        <w:t>que</w:t>
      </w:r>
      <w:r w:rsidR="00F448A4" w:rsidRPr="00BC4244">
        <w:rPr>
          <w:rFonts w:ascii="Arial" w:hAnsi="Arial" w:cs="Arial"/>
          <w:sz w:val="24"/>
          <w:szCs w:val="24"/>
        </w:rPr>
        <w:t xml:space="preserve"> le descontó</w:t>
      </w:r>
      <w:r w:rsidR="007A79A5" w:rsidRPr="00BC4244">
        <w:rPr>
          <w:rFonts w:ascii="Arial" w:hAnsi="Arial" w:cs="Arial"/>
          <w:sz w:val="24"/>
          <w:szCs w:val="24"/>
        </w:rPr>
        <w:t xml:space="preserve"> el pago realizado por la entidad ejecutada por valor de $93.160.819, </w:t>
      </w:r>
      <w:r w:rsidR="00F448A4" w:rsidRPr="00BC4244">
        <w:rPr>
          <w:rFonts w:ascii="Arial" w:hAnsi="Arial" w:cs="Arial"/>
          <w:sz w:val="24"/>
          <w:szCs w:val="24"/>
        </w:rPr>
        <w:t xml:space="preserve">obteniendo </w:t>
      </w:r>
      <w:r w:rsidR="007A79A5" w:rsidRPr="00BC4244">
        <w:rPr>
          <w:rFonts w:ascii="Arial" w:hAnsi="Arial" w:cs="Arial"/>
          <w:sz w:val="24"/>
          <w:szCs w:val="24"/>
        </w:rPr>
        <w:t xml:space="preserve">un total de $11.301.552.49, </w:t>
      </w:r>
      <w:r w:rsidR="77C59F88" w:rsidRPr="00BC4244">
        <w:rPr>
          <w:rFonts w:ascii="Arial" w:hAnsi="Arial" w:cs="Arial"/>
          <w:sz w:val="24"/>
          <w:szCs w:val="24"/>
        </w:rPr>
        <w:t>monto</w:t>
      </w:r>
      <w:r w:rsidR="007A79A5" w:rsidRPr="00BC4244">
        <w:rPr>
          <w:rFonts w:ascii="Arial" w:hAnsi="Arial" w:cs="Arial"/>
          <w:sz w:val="24"/>
          <w:szCs w:val="24"/>
        </w:rPr>
        <w:t xml:space="preserve"> que</w:t>
      </w:r>
      <w:r w:rsidR="00F448A4" w:rsidRPr="00BC4244">
        <w:rPr>
          <w:rFonts w:ascii="Arial" w:hAnsi="Arial" w:cs="Arial"/>
          <w:sz w:val="24"/>
          <w:szCs w:val="24"/>
        </w:rPr>
        <w:t>,</w:t>
      </w:r>
      <w:r w:rsidR="007A79A5" w:rsidRPr="00BC4244">
        <w:rPr>
          <w:rFonts w:ascii="Arial" w:hAnsi="Arial" w:cs="Arial"/>
          <w:sz w:val="24"/>
          <w:szCs w:val="24"/>
        </w:rPr>
        <w:t xml:space="preserve"> sin los aportes al sistema de salud</w:t>
      </w:r>
      <w:r w:rsidR="00F448A4" w:rsidRPr="00BC4244">
        <w:rPr>
          <w:rFonts w:ascii="Arial" w:hAnsi="Arial" w:cs="Arial"/>
          <w:sz w:val="24"/>
          <w:szCs w:val="24"/>
        </w:rPr>
        <w:t>,</w:t>
      </w:r>
      <w:r w:rsidR="007A79A5" w:rsidRPr="00BC4244">
        <w:rPr>
          <w:rFonts w:ascii="Arial" w:hAnsi="Arial" w:cs="Arial"/>
          <w:sz w:val="24"/>
          <w:szCs w:val="24"/>
        </w:rPr>
        <w:t xml:space="preserve"> </w:t>
      </w:r>
      <w:r w:rsidR="00210E2F" w:rsidRPr="00BC4244">
        <w:rPr>
          <w:rFonts w:ascii="Arial" w:hAnsi="Arial" w:cs="Arial"/>
          <w:sz w:val="24"/>
          <w:szCs w:val="24"/>
        </w:rPr>
        <w:t xml:space="preserve">arrojaría un saldo insoluto </w:t>
      </w:r>
      <w:r w:rsidR="00E97E5C" w:rsidRPr="00BC4244">
        <w:rPr>
          <w:rFonts w:ascii="Arial" w:hAnsi="Arial" w:cs="Arial"/>
          <w:sz w:val="24"/>
          <w:szCs w:val="24"/>
        </w:rPr>
        <w:t>del orden de $9.945.366. -</w:t>
      </w:r>
      <w:r w:rsidR="00E97E5C" w:rsidRPr="00BC4244">
        <w:rPr>
          <w:rFonts w:ascii="Arial" w:hAnsi="Arial" w:cs="Arial"/>
          <w:i/>
          <w:iCs/>
          <w:sz w:val="24"/>
          <w:szCs w:val="24"/>
        </w:rPr>
        <w:t>numeral 43 del cuaderno digital de primera instancia</w:t>
      </w:r>
      <w:r w:rsidR="00E97E5C" w:rsidRPr="00BC4244">
        <w:rPr>
          <w:rFonts w:ascii="Arial" w:hAnsi="Arial" w:cs="Arial"/>
          <w:sz w:val="24"/>
          <w:szCs w:val="24"/>
        </w:rPr>
        <w:t>-</w:t>
      </w:r>
    </w:p>
    <w:p w14:paraId="666DBAC2" w14:textId="25B54CC5" w:rsidR="007A79A5" w:rsidRPr="00BC4244" w:rsidRDefault="007A79A5" w:rsidP="00BC4244">
      <w:pPr>
        <w:spacing w:line="276" w:lineRule="auto"/>
        <w:ind w:right="51"/>
        <w:jc w:val="both"/>
        <w:rPr>
          <w:rFonts w:ascii="Arial" w:hAnsi="Arial" w:cs="Arial"/>
          <w:sz w:val="24"/>
          <w:szCs w:val="24"/>
        </w:rPr>
      </w:pPr>
    </w:p>
    <w:p w14:paraId="32E5D578" w14:textId="1FBE270F" w:rsidR="00E97E5C" w:rsidRPr="00BC4244" w:rsidRDefault="008A38E2" w:rsidP="00BC4244">
      <w:pPr>
        <w:spacing w:line="276" w:lineRule="auto"/>
        <w:ind w:right="51"/>
        <w:jc w:val="both"/>
        <w:rPr>
          <w:rFonts w:ascii="Arial" w:hAnsi="Arial" w:cs="Arial"/>
          <w:sz w:val="24"/>
          <w:szCs w:val="24"/>
        </w:rPr>
      </w:pPr>
      <w:r w:rsidRPr="00BC4244">
        <w:rPr>
          <w:rFonts w:ascii="Arial" w:hAnsi="Arial" w:cs="Arial"/>
          <w:sz w:val="24"/>
          <w:szCs w:val="24"/>
        </w:rPr>
        <w:t xml:space="preserve">Las agencias en derecho </w:t>
      </w:r>
      <w:r w:rsidR="00E97E5C" w:rsidRPr="00BC4244">
        <w:rPr>
          <w:rFonts w:ascii="Arial" w:hAnsi="Arial" w:cs="Arial"/>
          <w:sz w:val="24"/>
          <w:szCs w:val="24"/>
        </w:rPr>
        <w:t>se fijaron en un 5% del crédito perseguido, que al liquidarlas arrojó un valor de $5.223.118, las cuales fueron aprobadas en auto de fecha 16 de junio de 2022.</w:t>
      </w:r>
    </w:p>
    <w:p w14:paraId="19AF65F9" w14:textId="77777777" w:rsidR="00E97E5C" w:rsidRPr="00BC4244" w:rsidRDefault="00E97E5C" w:rsidP="00BC4244">
      <w:pPr>
        <w:spacing w:line="276" w:lineRule="auto"/>
        <w:ind w:right="51"/>
        <w:jc w:val="both"/>
        <w:rPr>
          <w:rFonts w:ascii="Arial" w:hAnsi="Arial" w:cs="Arial"/>
          <w:sz w:val="24"/>
          <w:szCs w:val="24"/>
        </w:rPr>
      </w:pPr>
    </w:p>
    <w:p w14:paraId="374EECF2" w14:textId="5D538221" w:rsidR="00E97E5C" w:rsidRPr="00BC4244" w:rsidRDefault="00E97E5C" w:rsidP="00BC4244">
      <w:pPr>
        <w:spacing w:line="276" w:lineRule="auto"/>
        <w:ind w:right="51"/>
        <w:jc w:val="both"/>
        <w:rPr>
          <w:rFonts w:ascii="Arial" w:hAnsi="Arial" w:cs="Arial"/>
          <w:sz w:val="24"/>
          <w:szCs w:val="24"/>
        </w:rPr>
      </w:pPr>
      <w:r w:rsidRPr="00BC4244">
        <w:rPr>
          <w:rFonts w:ascii="Arial" w:hAnsi="Arial" w:cs="Arial"/>
          <w:sz w:val="24"/>
          <w:szCs w:val="24"/>
        </w:rPr>
        <w:t>Inconforme con esa decisión</w:t>
      </w:r>
      <w:r w:rsidR="008A38E2" w:rsidRPr="00BC4244">
        <w:rPr>
          <w:rFonts w:ascii="Arial" w:hAnsi="Arial" w:cs="Arial"/>
          <w:sz w:val="24"/>
          <w:szCs w:val="24"/>
        </w:rPr>
        <w:t>,</w:t>
      </w:r>
      <w:r w:rsidRPr="00BC4244">
        <w:rPr>
          <w:rFonts w:ascii="Arial" w:hAnsi="Arial" w:cs="Arial"/>
          <w:sz w:val="24"/>
          <w:szCs w:val="24"/>
        </w:rPr>
        <w:t xml:space="preserve"> la UGPP</w:t>
      </w:r>
      <w:r w:rsidR="008A38E2" w:rsidRPr="00BC4244">
        <w:rPr>
          <w:rFonts w:ascii="Arial" w:hAnsi="Arial" w:cs="Arial"/>
          <w:sz w:val="24"/>
          <w:szCs w:val="24"/>
        </w:rPr>
        <w:t xml:space="preserve"> </w:t>
      </w:r>
      <w:r w:rsidR="00C571F4" w:rsidRPr="00BC4244">
        <w:rPr>
          <w:rFonts w:ascii="Arial" w:hAnsi="Arial" w:cs="Arial"/>
          <w:sz w:val="24"/>
          <w:szCs w:val="24"/>
        </w:rPr>
        <w:t>interpuso recurso de apelación</w:t>
      </w:r>
      <w:r w:rsidR="008A38E2" w:rsidRPr="00BC4244">
        <w:rPr>
          <w:rFonts w:ascii="Arial" w:hAnsi="Arial" w:cs="Arial"/>
          <w:sz w:val="24"/>
          <w:szCs w:val="24"/>
        </w:rPr>
        <w:t xml:space="preserve"> indicando que el 5% del crédito perseguido es equivalente a $497.268.31 ($9.945.366.20*5%) y no suma liquidada por </w:t>
      </w:r>
      <w:r w:rsidR="63610CC7" w:rsidRPr="00BC4244">
        <w:rPr>
          <w:rFonts w:ascii="Arial" w:hAnsi="Arial" w:cs="Arial"/>
          <w:sz w:val="24"/>
          <w:szCs w:val="24"/>
        </w:rPr>
        <w:t>la a</w:t>
      </w:r>
      <w:r w:rsidR="008A38E2" w:rsidRPr="00BC4244">
        <w:rPr>
          <w:rFonts w:ascii="Arial" w:hAnsi="Arial" w:cs="Arial"/>
          <w:i/>
          <w:iCs/>
          <w:sz w:val="24"/>
          <w:szCs w:val="24"/>
        </w:rPr>
        <w:t xml:space="preserve"> quo, </w:t>
      </w:r>
      <w:r w:rsidR="008A38E2" w:rsidRPr="00BC4244">
        <w:rPr>
          <w:rFonts w:ascii="Arial" w:hAnsi="Arial" w:cs="Arial"/>
          <w:sz w:val="24"/>
          <w:szCs w:val="24"/>
        </w:rPr>
        <w:t>la cual la califica de desproporcionada.</w:t>
      </w:r>
    </w:p>
    <w:p w14:paraId="7E2A030B" w14:textId="77777777" w:rsidR="008A38E2" w:rsidRPr="00BC4244" w:rsidRDefault="008A38E2" w:rsidP="00BC4244">
      <w:pPr>
        <w:spacing w:line="276" w:lineRule="auto"/>
        <w:ind w:right="51"/>
        <w:jc w:val="both"/>
        <w:rPr>
          <w:rFonts w:ascii="Arial" w:hAnsi="Arial" w:cs="Arial"/>
          <w:sz w:val="24"/>
          <w:szCs w:val="24"/>
        </w:rPr>
      </w:pPr>
    </w:p>
    <w:p w14:paraId="64E4882E" w14:textId="48159783" w:rsidR="00A213E9" w:rsidRPr="00BC4244" w:rsidRDefault="00C571F4" w:rsidP="00BC4244">
      <w:pPr>
        <w:spacing w:line="276" w:lineRule="auto"/>
        <w:jc w:val="both"/>
        <w:rPr>
          <w:rFonts w:ascii="Arial" w:hAnsi="Arial" w:cs="Arial"/>
          <w:sz w:val="24"/>
          <w:szCs w:val="24"/>
        </w:rPr>
      </w:pPr>
      <w:r w:rsidRPr="00BC4244">
        <w:rPr>
          <w:rFonts w:ascii="Arial" w:hAnsi="Arial" w:cs="Arial"/>
          <w:sz w:val="24"/>
          <w:szCs w:val="24"/>
        </w:rPr>
        <w:t>Concedido el recurso de apelación, el expediente fue remitido a esta Sala para decidir lo pertinente.</w:t>
      </w:r>
    </w:p>
    <w:p w14:paraId="4DDBEF00" w14:textId="300C57DD" w:rsidR="0092639D" w:rsidRPr="00BC4244" w:rsidRDefault="009834A8" w:rsidP="00BC4244">
      <w:pPr>
        <w:spacing w:line="276" w:lineRule="auto"/>
        <w:jc w:val="both"/>
        <w:rPr>
          <w:rFonts w:ascii="Arial" w:hAnsi="Arial" w:cs="Arial"/>
          <w:sz w:val="24"/>
          <w:szCs w:val="24"/>
        </w:rPr>
      </w:pPr>
      <w:r w:rsidRPr="00BC4244">
        <w:rPr>
          <w:rFonts w:ascii="Arial" w:hAnsi="Arial" w:cs="Arial"/>
          <w:sz w:val="24"/>
          <w:szCs w:val="24"/>
        </w:rPr>
        <w:t xml:space="preserve"> </w:t>
      </w:r>
    </w:p>
    <w:p w14:paraId="4513C534" w14:textId="77777777" w:rsidR="00A71BE2" w:rsidRPr="00BC4244" w:rsidRDefault="37C00739" w:rsidP="00BC4244">
      <w:pPr>
        <w:keepNext/>
        <w:suppressAutoHyphens/>
        <w:spacing w:line="276" w:lineRule="auto"/>
        <w:jc w:val="center"/>
        <w:rPr>
          <w:rFonts w:ascii="Arial" w:hAnsi="Arial" w:cs="Arial"/>
          <w:sz w:val="24"/>
          <w:szCs w:val="24"/>
        </w:rPr>
      </w:pPr>
      <w:r w:rsidRPr="00BC4244">
        <w:rPr>
          <w:rFonts w:ascii="Arial" w:eastAsia="Arial" w:hAnsi="Arial" w:cs="Arial"/>
          <w:b/>
          <w:bCs/>
          <w:sz w:val="24"/>
          <w:szCs w:val="24"/>
          <w:lang w:val="es-CO"/>
        </w:rPr>
        <w:lastRenderedPageBreak/>
        <w:t>ALEGATOS DE CONCLUSIÓN</w:t>
      </w:r>
      <w:r w:rsidRPr="00BC4244">
        <w:rPr>
          <w:rFonts w:ascii="Arial" w:eastAsia="Arial" w:hAnsi="Arial" w:cs="Arial"/>
          <w:sz w:val="24"/>
          <w:szCs w:val="24"/>
          <w:lang w:val="es-CO"/>
        </w:rPr>
        <w:t xml:space="preserve"> </w:t>
      </w:r>
    </w:p>
    <w:p w14:paraId="0A6959E7" w14:textId="77777777" w:rsidR="00A71BE2" w:rsidRPr="00BC4244" w:rsidRDefault="37C00739" w:rsidP="00BC4244">
      <w:pPr>
        <w:keepNext/>
        <w:suppressAutoHyphens/>
        <w:spacing w:line="276" w:lineRule="auto"/>
        <w:jc w:val="center"/>
        <w:rPr>
          <w:rFonts w:ascii="Arial" w:hAnsi="Arial" w:cs="Arial"/>
          <w:sz w:val="24"/>
          <w:szCs w:val="24"/>
        </w:rPr>
      </w:pPr>
      <w:r w:rsidRPr="00BC4244">
        <w:rPr>
          <w:rFonts w:ascii="Arial" w:eastAsia="Arial" w:hAnsi="Arial" w:cs="Arial"/>
          <w:sz w:val="24"/>
          <w:szCs w:val="24"/>
          <w:lang w:val="es-CO"/>
        </w:rPr>
        <w:t xml:space="preserve"> </w:t>
      </w:r>
    </w:p>
    <w:p w14:paraId="249CE90E" w14:textId="77777777" w:rsidR="00A71BE2" w:rsidRPr="00BC4244" w:rsidRDefault="37C00739" w:rsidP="00BC4244">
      <w:pPr>
        <w:keepNext/>
        <w:suppressAutoHyphens/>
        <w:spacing w:line="276" w:lineRule="auto"/>
        <w:jc w:val="both"/>
        <w:rPr>
          <w:rFonts w:ascii="Arial" w:hAnsi="Arial" w:cs="Arial"/>
          <w:sz w:val="24"/>
          <w:szCs w:val="24"/>
        </w:rPr>
      </w:pPr>
      <w:r w:rsidRPr="00BC4244">
        <w:rPr>
          <w:rFonts w:ascii="Arial" w:eastAsia="Arial" w:hAnsi="Arial" w:cs="Arial"/>
          <w:sz w:val="24"/>
          <w:szCs w:val="24"/>
          <w:lang w:val="es-CO"/>
        </w:rPr>
        <w:t xml:space="preserve">Conforme se dejó plasmado en la constancia emitida por la Secretaría de la Corporación, </w:t>
      </w:r>
      <w:r w:rsidR="007C2297" w:rsidRPr="00BC4244">
        <w:rPr>
          <w:rFonts w:ascii="Arial" w:eastAsia="Arial" w:hAnsi="Arial" w:cs="Arial"/>
          <w:sz w:val="24"/>
          <w:szCs w:val="24"/>
          <w:lang w:val="es-CO"/>
        </w:rPr>
        <w:t>ninguno de los litigan</w:t>
      </w:r>
      <w:r w:rsidR="0020203F" w:rsidRPr="00BC4244">
        <w:rPr>
          <w:rFonts w:ascii="Arial" w:eastAsia="Arial" w:hAnsi="Arial" w:cs="Arial"/>
          <w:sz w:val="24"/>
          <w:szCs w:val="24"/>
          <w:lang w:val="es-CO"/>
        </w:rPr>
        <w:t>t</w:t>
      </w:r>
      <w:r w:rsidR="007C2297" w:rsidRPr="00BC4244">
        <w:rPr>
          <w:rFonts w:ascii="Arial" w:eastAsia="Arial" w:hAnsi="Arial" w:cs="Arial"/>
          <w:sz w:val="24"/>
          <w:szCs w:val="24"/>
          <w:lang w:val="es-CO"/>
        </w:rPr>
        <w:t>es</w:t>
      </w:r>
      <w:r w:rsidRPr="00BC4244">
        <w:rPr>
          <w:rFonts w:ascii="Arial" w:eastAsia="Arial" w:hAnsi="Arial" w:cs="Arial"/>
          <w:sz w:val="24"/>
          <w:szCs w:val="24"/>
          <w:lang w:val="es-CO"/>
        </w:rPr>
        <w:t xml:space="preserve"> hizo uso del derecho a presentar alegatos de conclusión en término.</w:t>
      </w:r>
    </w:p>
    <w:p w14:paraId="3461D779" w14:textId="77777777" w:rsidR="00A71BE2" w:rsidRPr="00BC4244" w:rsidRDefault="00A71BE2" w:rsidP="00BC4244">
      <w:pPr>
        <w:keepNext/>
        <w:suppressAutoHyphens/>
        <w:spacing w:line="276" w:lineRule="auto"/>
        <w:jc w:val="center"/>
        <w:outlineLvl w:val="3"/>
        <w:rPr>
          <w:rFonts w:ascii="Arial" w:hAnsi="Arial" w:cs="Arial"/>
          <w:b/>
          <w:bCs/>
          <w:sz w:val="24"/>
          <w:szCs w:val="24"/>
        </w:rPr>
      </w:pPr>
    </w:p>
    <w:p w14:paraId="35CE8A98" w14:textId="77777777" w:rsidR="00A71BE2" w:rsidRPr="00BC4244" w:rsidRDefault="00A71BE2" w:rsidP="00BC4244">
      <w:pPr>
        <w:keepNext/>
        <w:suppressAutoHyphens/>
        <w:spacing w:line="276" w:lineRule="auto"/>
        <w:jc w:val="center"/>
        <w:outlineLvl w:val="3"/>
        <w:rPr>
          <w:rFonts w:ascii="Arial" w:hAnsi="Arial" w:cs="Arial"/>
          <w:b/>
          <w:bCs/>
          <w:spacing w:val="-3"/>
          <w:sz w:val="24"/>
          <w:szCs w:val="24"/>
        </w:rPr>
      </w:pPr>
      <w:r w:rsidRPr="00BC4244">
        <w:rPr>
          <w:rFonts w:ascii="Arial" w:hAnsi="Arial" w:cs="Arial"/>
          <w:b/>
          <w:bCs/>
          <w:spacing w:val="-3"/>
          <w:sz w:val="24"/>
          <w:szCs w:val="24"/>
        </w:rPr>
        <w:t>CONSIDERACIONES:</w:t>
      </w:r>
    </w:p>
    <w:p w14:paraId="3CF2D8B6" w14:textId="77777777" w:rsidR="00A71BE2" w:rsidRPr="00BC4244" w:rsidRDefault="00A71BE2" w:rsidP="00BC4244">
      <w:pPr>
        <w:spacing w:line="276" w:lineRule="auto"/>
        <w:jc w:val="both"/>
        <w:rPr>
          <w:rFonts w:ascii="Arial" w:hAnsi="Arial" w:cs="Arial"/>
          <w:sz w:val="24"/>
          <w:szCs w:val="24"/>
        </w:rPr>
      </w:pPr>
    </w:p>
    <w:p w14:paraId="3ABF6859" w14:textId="77777777" w:rsidR="00A71BE2" w:rsidRPr="00BC4244" w:rsidRDefault="00A71BE2" w:rsidP="00BC4244">
      <w:pPr>
        <w:spacing w:line="276" w:lineRule="auto"/>
        <w:jc w:val="both"/>
        <w:rPr>
          <w:rFonts w:ascii="Arial" w:hAnsi="Arial" w:cs="Arial"/>
          <w:b/>
          <w:sz w:val="24"/>
          <w:szCs w:val="24"/>
        </w:rPr>
      </w:pPr>
      <w:r w:rsidRPr="00BC4244">
        <w:rPr>
          <w:rFonts w:ascii="Arial" w:hAnsi="Arial" w:cs="Arial"/>
          <w:b/>
          <w:sz w:val="24"/>
          <w:szCs w:val="24"/>
        </w:rPr>
        <w:t>PRESUPUESTOS PROCESALES</w:t>
      </w:r>
    </w:p>
    <w:p w14:paraId="0FB78278" w14:textId="77777777" w:rsidR="00A71BE2" w:rsidRPr="00BC4244" w:rsidRDefault="00A71BE2" w:rsidP="00BC4244">
      <w:pPr>
        <w:spacing w:line="276" w:lineRule="auto"/>
        <w:ind w:left="360"/>
        <w:jc w:val="both"/>
        <w:rPr>
          <w:rFonts w:ascii="Arial" w:hAnsi="Arial" w:cs="Arial"/>
          <w:sz w:val="24"/>
          <w:szCs w:val="24"/>
        </w:rPr>
      </w:pPr>
    </w:p>
    <w:p w14:paraId="1C23C91C" w14:textId="77777777" w:rsidR="00A71BE2" w:rsidRPr="00BC4244" w:rsidRDefault="00A71BE2" w:rsidP="00BC4244">
      <w:pPr>
        <w:spacing w:line="276" w:lineRule="auto"/>
        <w:jc w:val="both"/>
        <w:rPr>
          <w:rFonts w:ascii="Arial" w:hAnsi="Arial" w:cs="Arial"/>
          <w:sz w:val="24"/>
          <w:szCs w:val="24"/>
        </w:rPr>
      </w:pPr>
      <w:r w:rsidRPr="00BC4244">
        <w:rPr>
          <w:rFonts w:ascii="Arial" w:hAnsi="Arial" w:cs="Arial"/>
          <w:sz w:val="24"/>
          <w:szCs w:val="24"/>
        </w:rPr>
        <w:t xml:space="preserve">No observándose nulidad que afecte la actuación y satisfechos, como se encuentran, los presupuestos procesales de demanda en forma, capacidad procesal y competencia, para resolver la instancia la Sala se plantea </w:t>
      </w:r>
      <w:r w:rsidR="003D2DCC" w:rsidRPr="00BC4244">
        <w:rPr>
          <w:rFonts w:ascii="Arial" w:hAnsi="Arial" w:cs="Arial"/>
          <w:sz w:val="24"/>
          <w:szCs w:val="24"/>
        </w:rPr>
        <w:t>los siguientes</w:t>
      </w:r>
      <w:r w:rsidRPr="00BC4244">
        <w:rPr>
          <w:rFonts w:ascii="Arial" w:hAnsi="Arial" w:cs="Arial"/>
          <w:sz w:val="24"/>
          <w:szCs w:val="24"/>
        </w:rPr>
        <w:t>:</w:t>
      </w:r>
    </w:p>
    <w:p w14:paraId="0562CB0E" w14:textId="77777777" w:rsidR="003D2DCC" w:rsidRPr="00BC4244" w:rsidRDefault="003D2DCC" w:rsidP="00BC4244">
      <w:pPr>
        <w:spacing w:line="276" w:lineRule="auto"/>
        <w:jc w:val="both"/>
        <w:rPr>
          <w:rFonts w:ascii="Arial" w:hAnsi="Arial" w:cs="Arial"/>
          <w:b/>
          <w:sz w:val="24"/>
          <w:szCs w:val="24"/>
        </w:rPr>
      </w:pPr>
    </w:p>
    <w:p w14:paraId="4167840F" w14:textId="77777777" w:rsidR="007B5945" w:rsidRPr="00BC4244" w:rsidRDefault="235E867D" w:rsidP="00BC4244">
      <w:pPr>
        <w:widowControl w:val="0"/>
        <w:autoSpaceDE w:val="0"/>
        <w:autoSpaceDN w:val="0"/>
        <w:adjustRightInd w:val="0"/>
        <w:spacing w:line="276" w:lineRule="auto"/>
        <w:jc w:val="both"/>
        <w:rPr>
          <w:rFonts w:ascii="Arial" w:hAnsi="Arial" w:cs="Arial"/>
          <w:sz w:val="24"/>
          <w:szCs w:val="24"/>
        </w:rPr>
      </w:pPr>
      <w:r w:rsidRPr="00BC4244">
        <w:rPr>
          <w:rFonts w:ascii="Arial" w:eastAsia="Arial" w:hAnsi="Arial" w:cs="Arial"/>
          <w:b/>
          <w:bCs/>
          <w:sz w:val="24"/>
          <w:szCs w:val="24"/>
          <w:lang w:val="es-ES"/>
        </w:rPr>
        <w:t>PROBLEMAS JURÍDICOS</w:t>
      </w:r>
    </w:p>
    <w:p w14:paraId="100C5B58" w14:textId="77777777" w:rsidR="007B5945" w:rsidRPr="00BC4244" w:rsidRDefault="235E867D" w:rsidP="00BC4244">
      <w:pPr>
        <w:widowControl w:val="0"/>
        <w:autoSpaceDE w:val="0"/>
        <w:autoSpaceDN w:val="0"/>
        <w:adjustRightInd w:val="0"/>
        <w:spacing w:line="276" w:lineRule="auto"/>
        <w:jc w:val="both"/>
        <w:rPr>
          <w:rFonts w:ascii="Arial" w:hAnsi="Arial" w:cs="Arial"/>
          <w:sz w:val="24"/>
          <w:szCs w:val="24"/>
        </w:rPr>
      </w:pPr>
      <w:r w:rsidRPr="00BC4244">
        <w:rPr>
          <w:rFonts w:ascii="Arial" w:eastAsia="Arial" w:hAnsi="Arial" w:cs="Arial"/>
          <w:b/>
          <w:bCs/>
          <w:sz w:val="24"/>
          <w:szCs w:val="24"/>
          <w:lang w:val="es-ES"/>
        </w:rPr>
        <w:t xml:space="preserve"> </w:t>
      </w:r>
    </w:p>
    <w:p w14:paraId="77BCC434" w14:textId="3958073E" w:rsidR="007B5945" w:rsidRPr="00BC4244" w:rsidRDefault="235E867D" w:rsidP="00C11AF2">
      <w:pPr>
        <w:widowControl w:val="0"/>
        <w:autoSpaceDE w:val="0"/>
        <w:autoSpaceDN w:val="0"/>
        <w:adjustRightInd w:val="0"/>
        <w:spacing w:line="276" w:lineRule="auto"/>
        <w:ind w:left="426" w:right="420"/>
        <w:jc w:val="both"/>
        <w:rPr>
          <w:rFonts w:ascii="Arial" w:hAnsi="Arial" w:cs="Arial"/>
          <w:sz w:val="24"/>
          <w:szCs w:val="24"/>
        </w:rPr>
      </w:pPr>
      <w:r w:rsidRPr="00BC4244">
        <w:rPr>
          <w:rFonts w:ascii="Arial" w:eastAsia="Arial" w:hAnsi="Arial" w:cs="Arial"/>
          <w:b/>
          <w:bCs/>
          <w:i/>
          <w:iCs/>
          <w:sz w:val="24"/>
          <w:szCs w:val="24"/>
          <w:lang w:val="es-ES"/>
        </w:rPr>
        <w:t>¿</w:t>
      </w:r>
      <w:r w:rsidR="0089787D" w:rsidRPr="00BC4244">
        <w:rPr>
          <w:rFonts w:ascii="Arial" w:eastAsia="Arial" w:hAnsi="Arial" w:cs="Arial"/>
          <w:b/>
          <w:bCs/>
          <w:i/>
          <w:iCs/>
          <w:sz w:val="24"/>
          <w:szCs w:val="24"/>
          <w:lang w:val="es-ES"/>
        </w:rPr>
        <w:t>Sobre qué monto deben liquidarse las agencias en derecho en este asunto</w:t>
      </w:r>
      <w:r w:rsidRPr="00BC4244">
        <w:rPr>
          <w:rFonts w:ascii="Arial" w:eastAsia="Arial" w:hAnsi="Arial" w:cs="Arial"/>
          <w:b/>
          <w:bCs/>
          <w:i/>
          <w:iCs/>
          <w:sz w:val="24"/>
          <w:szCs w:val="24"/>
          <w:lang w:val="es-ES"/>
        </w:rPr>
        <w:t>?</w:t>
      </w:r>
    </w:p>
    <w:p w14:paraId="12F40E89" w14:textId="77777777" w:rsidR="007B5945" w:rsidRPr="00BC4244" w:rsidRDefault="235E867D" w:rsidP="00BC4244">
      <w:pPr>
        <w:widowControl w:val="0"/>
        <w:autoSpaceDE w:val="0"/>
        <w:autoSpaceDN w:val="0"/>
        <w:adjustRightInd w:val="0"/>
        <w:spacing w:line="276" w:lineRule="auto"/>
        <w:jc w:val="both"/>
        <w:rPr>
          <w:rFonts w:ascii="Arial" w:hAnsi="Arial" w:cs="Arial"/>
          <w:sz w:val="24"/>
          <w:szCs w:val="24"/>
        </w:rPr>
      </w:pPr>
      <w:r w:rsidRPr="00BC4244">
        <w:rPr>
          <w:rFonts w:ascii="Arial" w:eastAsia="Arial" w:hAnsi="Arial" w:cs="Arial"/>
          <w:sz w:val="24"/>
          <w:szCs w:val="24"/>
          <w:lang w:val="es-ES"/>
        </w:rPr>
        <w:t xml:space="preserve"> </w:t>
      </w:r>
    </w:p>
    <w:p w14:paraId="50EE3041" w14:textId="77777777" w:rsidR="007B5945" w:rsidRPr="00BC4244" w:rsidRDefault="235E867D" w:rsidP="00BC4244">
      <w:pPr>
        <w:widowControl w:val="0"/>
        <w:autoSpaceDE w:val="0"/>
        <w:autoSpaceDN w:val="0"/>
        <w:adjustRightInd w:val="0"/>
        <w:spacing w:line="276" w:lineRule="auto"/>
        <w:jc w:val="both"/>
        <w:rPr>
          <w:rFonts w:ascii="Arial" w:hAnsi="Arial" w:cs="Arial"/>
          <w:sz w:val="24"/>
          <w:szCs w:val="24"/>
        </w:rPr>
      </w:pPr>
      <w:r w:rsidRPr="00BC4244">
        <w:rPr>
          <w:rFonts w:ascii="Arial" w:eastAsia="Arial" w:hAnsi="Arial" w:cs="Arial"/>
          <w:sz w:val="24"/>
          <w:szCs w:val="24"/>
          <w:lang w:val="es-ES"/>
        </w:rPr>
        <w:t xml:space="preserve">Con el propósito de dar solución al interrogante en el caso concreto, la Sala considera necesario precisar </w:t>
      </w:r>
      <w:r w:rsidR="00F231EB" w:rsidRPr="00BC4244">
        <w:rPr>
          <w:rFonts w:ascii="Arial" w:eastAsia="Arial" w:hAnsi="Arial" w:cs="Arial"/>
          <w:sz w:val="24"/>
          <w:szCs w:val="24"/>
          <w:lang w:val="es-ES"/>
        </w:rPr>
        <w:t>el siguiente aspecto</w:t>
      </w:r>
      <w:r w:rsidRPr="00BC4244">
        <w:rPr>
          <w:rFonts w:ascii="Arial" w:eastAsia="Arial" w:hAnsi="Arial" w:cs="Arial"/>
          <w:sz w:val="24"/>
          <w:szCs w:val="24"/>
          <w:lang w:val="es-ES"/>
        </w:rPr>
        <w:t>:</w:t>
      </w:r>
    </w:p>
    <w:p w14:paraId="2B5E1F73" w14:textId="77777777" w:rsidR="00D57AC9" w:rsidRPr="00BC4244" w:rsidRDefault="00D57AC9" w:rsidP="00BC4244">
      <w:pPr>
        <w:widowControl w:val="0"/>
        <w:autoSpaceDE w:val="0"/>
        <w:autoSpaceDN w:val="0"/>
        <w:adjustRightInd w:val="0"/>
        <w:spacing w:line="276" w:lineRule="auto"/>
        <w:jc w:val="both"/>
        <w:rPr>
          <w:rFonts w:ascii="Arial" w:eastAsia="Arial" w:hAnsi="Arial" w:cs="Arial"/>
          <w:sz w:val="24"/>
          <w:szCs w:val="24"/>
          <w:lang w:val="es-ES"/>
        </w:rPr>
      </w:pPr>
    </w:p>
    <w:p w14:paraId="039741FD" w14:textId="77777777" w:rsidR="00D57AC9" w:rsidRPr="00BC4244" w:rsidRDefault="00D57AC9" w:rsidP="00BC4244">
      <w:pPr>
        <w:numPr>
          <w:ilvl w:val="0"/>
          <w:numId w:val="10"/>
        </w:numPr>
        <w:spacing w:line="276" w:lineRule="auto"/>
        <w:ind w:left="0" w:firstLine="0"/>
        <w:jc w:val="both"/>
        <w:textAlignment w:val="baseline"/>
        <w:rPr>
          <w:rFonts w:ascii="Arial" w:hAnsi="Arial" w:cs="Arial"/>
          <w:sz w:val="24"/>
          <w:szCs w:val="24"/>
          <w:lang w:eastAsia="es-CO"/>
        </w:rPr>
      </w:pPr>
      <w:r w:rsidRPr="00BC4244">
        <w:rPr>
          <w:rFonts w:ascii="Arial" w:hAnsi="Arial" w:cs="Arial"/>
          <w:b/>
          <w:bCs/>
          <w:sz w:val="24"/>
          <w:szCs w:val="24"/>
          <w:lang w:val="es-ES" w:eastAsia="es-CO"/>
        </w:rPr>
        <w:t>FIJACION DE AGENCIAS EN DERECHO   </w:t>
      </w:r>
      <w:r w:rsidRPr="00BC4244">
        <w:rPr>
          <w:rFonts w:ascii="Arial" w:hAnsi="Arial" w:cs="Arial"/>
          <w:sz w:val="24"/>
          <w:szCs w:val="24"/>
          <w:lang w:eastAsia="es-CO"/>
        </w:rPr>
        <w:t> </w:t>
      </w:r>
    </w:p>
    <w:p w14:paraId="5CCB31FE" w14:textId="77777777" w:rsidR="00D57AC9" w:rsidRPr="00BC4244" w:rsidRDefault="00D57AC9" w:rsidP="00BC4244">
      <w:pPr>
        <w:spacing w:line="276" w:lineRule="auto"/>
        <w:jc w:val="both"/>
        <w:textAlignment w:val="baseline"/>
        <w:rPr>
          <w:rFonts w:ascii="Arial" w:hAnsi="Arial" w:cs="Arial"/>
          <w:sz w:val="24"/>
          <w:szCs w:val="24"/>
          <w:lang w:eastAsia="es-CO"/>
        </w:rPr>
      </w:pPr>
      <w:r w:rsidRPr="00BC4244">
        <w:rPr>
          <w:rFonts w:ascii="Arial" w:hAnsi="Arial" w:cs="Arial"/>
          <w:sz w:val="24"/>
          <w:szCs w:val="24"/>
          <w:lang w:eastAsia="es-CO"/>
        </w:rPr>
        <w:t> </w:t>
      </w:r>
    </w:p>
    <w:p w14:paraId="7A49C81E" w14:textId="77777777" w:rsidR="00D57AC9" w:rsidRPr="00BC4244" w:rsidRDefault="00D57AC9" w:rsidP="00BC4244">
      <w:pPr>
        <w:spacing w:line="276" w:lineRule="auto"/>
        <w:jc w:val="both"/>
        <w:textAlignment w:val="baseline"/>
        <w:rPr>
          <w:rFonts w:ascii="Arial" w:hAnsi="Arial" w:cs="Arial"/>
          <w:sz w:val="24"/>
          <w:szCs w:val="24"/>
          <w:lang w:eastAsia="es-CO"/>
        </w:rPr>
      </w:pPr>
      <w:r w:rsidRPr="00BC4244">
        <w:rPr>
          <w:rFonts w:ascii="Arial" w:hAnsi="Arial" w:cs="Arial"/>
          <w:sz w:val="24"/>
          <w:szCs w:val="24"/>
          <w:lang w:val="es-ES" w:eastAsia="es-CO"/>
        </w:rPr>
        <w:t>El Código General de Proceso, dispone en su artículo 365 modificado por la Ley 1395 de 2010, la condena en costas a la parte vencida en juicio o  a quien se le resuelva desfavorablemente el recurso de apelación, súplica, queja, casación, revisión o anulación que haya formulado; así como a quien se le resuelva de manera desfavorable un incidente, la formulación de excepciones previas, una solicitud de nulidad o un amparo de pobreza, sin perjuicio de lo dispuesto en relación con la temeridad o mala fe.</w:t>
      </w:r>
      <w:r w:rsidRPr="00BC4244">
        <w:rPr>
          <w:rFonts w:ascii="Arial" w:hAnsi="Arial" w:cs="Arial"/>
          <w:sz w:val="24"/>
          <w:szCs w:val="24"/>
          <w:lang w:eastAsia="es-CO"/>
        </w:rPr>
        <w:t> </w:t>
      </w:r>
    </w:p>
    <w:p w14:paraId="7B8F27D9" w14:textId="77777777" w:rsidR="00D57AC9" w:rsidRPr="00BC4244" w:rsidRDefault="00D57AC9" w:rsidP="00BC4244">
      <w:pPr>
        <w:spacing w:line="276" w:lineRule="auto"/>
        <w:jc w:val="both"/>
        <w:textAlignment w:val="baseline"/>
        <w:rPr>
          <w:rFonts w:ascii="Arial" w:hAnsi="Arial" w:cs="Arial"/>
          <w:sz w:val="24"/>
          <w:szCs w:val="24"/>
          <w:lang w:eastAsia="es-CO"/>
        </w:rPr>
      </w:pPr>
      <w:r w:rsidRPr="00BC4244">
        <w:rPr>
          <w:rFonts w:ascii="Arial" w:hAnsi="Arial" w:cs="Arial"/>
          <w:sz w:val="24"/>
          <w:szCs w:val="24"/>
          <w:lang w:eastAsia="es-CO"/>
        </w:rPr>
        <w:t> </w:t>
      </w:r>
    </w:p>
    <w:p w14:paraId="3DF8A0E6" w14:textId="77777777" w:rsidR="00D57AC9" w:rsidRPr="00BC4244" w:rsidRDefault="00D57AC9" w:rsidP="00BC4244">
      <w:pPr>
        <w:spacing w:line="276" w:lineRule="auto"/>
        <w:jc w:val="both"/>
        <w:textAlignment w:val="baseline"/>
        <w:rPr>
          <w:rFonts w:ascii="Arial" w:hAnsi="Arial" w:cs="Arial"/>
          <w:sz w:val="24"/>
          <w:szCs w:val="24"/>
          <w:lang w:eastAsia="es-CO"/>
        </w:rPr>
      </w:pPr>
      <w:r w:rsidRPr="00BC4244">
        <w:rPr>
          <w:rFonts w:ascii="Arial" w:hAnsi="Arial" w:cs="Arial"/>
          <w:sz w:val="24"/>
          <w:szCs w:val="24"/>
          <w:lang w:val="es-ES" w:eastAsia="es-CO"/>
        </w:rPr>
        <w:t xml:space="preserve">Es indiscutible que, para establecer el valor de las costas, deben observarse una serie de circunstancias propias, que se extraen del debate procesal en estricto cumplimiento del canon 366 ibidem, que dispone en su numeral 4º: </w:t>
      </w:r>
      <w:r w:rsidRPr="00BC4244">
        <w:rPr>
          <w:rFonts w:ascii="Arial" w:hAnsi="Arial" w:cs="Arial"/>
          <w:i/>
          <w:iCs/>
          <w:sz w:val="24"/>
          <w:szCs w:val="24"/>
          <w:lang w:val="es-ES" w:eastAsia="es-CO"/>
        </w:rPr>
        <w:t>“</w:t>
      </w:r>
      <w:r w:rsidRPr="00C11AF2">
        <w:rPr>
          <w:rFonts w:ascii="Arial" w:hAnsi="Arial" w:cs="Arial"/>
          <w:i/>
          <w:iCs/>
          <w:sz w:val="22"/>
          <w:szCs w:val="24"/>
          <w:lang w:val="es-ES" w:eastAsia="es-CO"/>
        </w:rPr>
        <w:t>Para la fijación de agencias en derecho deberán aplicarse las tarifas que establezca el Consejo Superior de la Judicatura. Si aquéllas establecen solamente un mínimo, o éste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BC4244">
        <w:rPr>
          <w:rFonts w:ascii="Arial" w:hAnsi="Arial" w:cs="Arial"/>
          <w:i/>
          <w:iCs/>
          <w:sz w:val="24"/>
          <w:szCs w:val="24"/>
          <w:lang w:val="es-ES" w:eastAsia="es-CO"/>
        </w:rPr>
        <w:t>.”</w:t>
      </w:r>
      <w:r w:rsidRPr="00BC4244">
        <w:rPr>
          <w:rFonts w:ascii="Arial" w:hAnsi="Arial" w:cs="Arial"/>
          <w:sz w:val="24"/>
          <w:szCs w:val="24"/>
          <w:lang w:eastAsia="es-CO"/>
        </w:rPr>
        <w:t> </w:t>
      </w:r>
    </w:p>
    <w:p w14:paraId="06417525" w14:textId="77777777" w:rsidR="00D57AC9" w:rsidRPr="00BC4244" w:rsidRDefault="00D57AC9" w:rsidP="00BC4244">
      <w:pPr>
        <w:spacing w:line="276" w:lineRule="auto"/>
        <w:jc w:val="both"/>
        <w:textAlignment w:val="baseline"/>
        <w:rPr>
          <w:rFonts w:ascii="Arial" w:hAnsi="Arial" w:cs="Arial"/>
          <w:sz w:val="24"/>
          <w:szCs w:val="24"/>
          <w:lang w:eastAsia="es-CO"/>
        </w:rPr>
      </w:pPr>
      <w:r w:rsidRPr="00BC4244">
        <w:rPr>
          <w:rFonts w:ascii="Arial" w:hAnsi="Arial" w:cs="Arial"/>
          <w:sz w:val="24"/>
          <w:szCs w:val="24"/>
          <w:lang w:eastAsia="es-CO"/>
        </w:rPr>
        <w:t> </w:t>
      </w:r>
    </w:p>
    <w:p w14:paraId="1837BAE6" w14:textId="77777777" w:rsidR="00D57AC9" w:rsidRPr="00BC4244" w:rsidRDefault="00D57AC9" w:rsidP="00BC4244">
      <w:pPr>
        <w:spacing w:line="276" w:lineRule="auto"/>
        <w:jc w:val="both"/>
        <w:textAlignment w:val="baseline"/>
        <w:rPr>
          <w:rFonts w:ascii="Arial" w:hAnsi="Arial" w:cs="Arial"/>
          <w:sz w:val="24"/>
          <w:szCs w:val="24"/>
          <w:lang w:eastAsia="es-CO"/>
        </w:rPr>
      </w:pPr>
      <w:r w:rsidRPr="00BC4244">
        <w:rPr>
          <w:rFonts w:ascii="Arial" w:hAnsi="Arial" w:cs="Arial"/>
          <w:sz w:val="24"/>
          <w:szCs w:val="24"/>
          <w:lang w:val="es-ES" w:eastAsia="es-CO"/>
        </w:rPr>
        <w:t>Ahora bien, la normatividad vigente respecto a las tarifas de agencias en derecho es el Acuerdo PSAA16-10554 de 2016, expedido por el Consejo Superior de la Judicatura que empezó a regir a partir de la fecha de su publicación el 5 de agosto de esa anualidad y aplicaba para los procesos iniciados a partir de esta data. </w:t>
      </w:r>
      <w:r w:rsidRPr="00BC4244">
        <w:rPr>
          <w:rFonts w:ascii="Arial" w:hAnsi="Arial" w:cs="Arial"/>
          <w:sz w:val="24"/>
          <w:szCs w:val="24"/>
          <w:lang w:eastAsia="es-CO"/>
        </w:rPr>
        <w:t> </w:t>
      </w:r>
    </w:p>
    <w:p w14:paraId="2D09D4B6" w14:textId="77777777" w:rsidR="00D57AC9" w:rsidRPr="00BC4244" w:rsidRDefault="00D57AC9" w:rsidP="00BC4244">
      <w:pPr>
        <w:spacing w:line="276" w:lineRule="auto"/>
        <w:jc w:val="both"/>
        <w:textAlignment w:val="baseline"/>
        <w:rPr>
          <w:rFonts w:ascii="Arial" w:hAnsi="Arial" w:cs="Arial"/>
          <w:sz w:val="24"/>
          <w:szCs w:val="24"/>
          <w:lang w:eastAsia="es-CO"/>
        </w:rPr>
      </w:pPr>
      <w:r w:rsidRPr="00BC4244">
        <w:rPr>
          <w:rFonts w:ascii="Arial" w:hAnsi="Arial" w:cs="Arial"/>
          <w:sz w:val="24"/>
          <w:szCs w:val="24"/>
          <w:lang w:eastAsia="es-CO"/>
        </w:rPr>
        <w:t> </w:t>
      </w:r>
    </w:p>
    <w:p w14:paraId="6D3204B5" w14:textId="77777777" w:rsidR="00D57AC9" w:rsidRPr="00BC4244" w:rsidRDefault="00D57AC9" w:rsidP="00BC4244">
      <w:pPr>
        <w:spacing w:line="276" w:lineRule="auto"/>
        <w:jc w:val="both"/>
        <w:textAlignment w:val="baseline"/>
        <w:rPr>
          <w:rFonts w:ascii="Arial" w:hAnsi="Arial" w:cs="Arial"/>
          <w:sz w:val="24"/>
          <w:szCs w:val="24"/>
          <w:lang w:eastAsia="es-CO"/>
        </w:rPr>
      </w:pPr>
      <w:r w:rsidRPr="00BC4244">
        <w:rPr>
          <w:rFonts w:ascii="Arial" w:hAnsi="Arial" w:cs="Arial"/>
          <w:sz w:val="24"/>
          <w:szCs w:val="24"/>
          <w:lang w:val="es-ES" w:eastAsia="es-CO"/>
        </w:rPr>
        <w:t>Dicho Acuerdo, establece en lo pertinente:</w:t>
      </w:r>
      <w:r w:rsidRPr="00BC4244">
        <w:rPr>
          <w:rFonts w:ascii="Arial" w:hAnsi="Arial" w:cs="Arial"/>
          <w:sz w:val="24"/>
          <w:szCs w:val="24"/>
          <w:lang w:eastAsia="es-CO"/>
        </w:rPr>
        <w:t> </w:t>
      </w:r>
    </w:p>
    <w:p w14:paraId="32EB959B" w14:textId="77777777" w:rsidR="00D57AC9" w:rsidRPr="00BC4244" w:rsidRDefault="00D57AC9" w:rsidP="00BC4244">
      <w:pPr>
        <w:spacing w:line="276" w:lineRule="auto"/>
        <w:jc w:val="both"/>
        <w:textAlignment w:val="baseline"/>
        <w:rPr>
          <w:rFonts w:ascii="Arial" w:hAnsi="Arial" w:cs="Arial"/>
          <w:sz w:val="24"/>
          <w:szCs w:val="24"/>
          <w:lang w:eastAsia="es-CO"/>
        </w:rPr>
      </w:pPr>
      <w:r w:rsidRPr="00BC4244">
        <w:rPr>
          <w:rFonts w:ascii="Arial" w:hAnsi="Arial" w:cs="Arial"/>
          <w:sz w:val="24"/>
          <w:szCs w:val="24"/>
          <w:lang w:eastAsia="es-CO"/>
        </w:rPr>
        <w:t> </w:t>
      </w:r>
    </w:p>
    <w:p w14:paraId="12D72CE9" w14:textId="274F22A1" w:rsidR="00D57AC9" w:rsidRPr="00C11AF2" w:rsidRDefault="00D57AC9" w:rsidP="00C11AF2">
      <w:pPr>
        <w:ind w:left="426" w:right="420"/>
        <w:jc w:val="both"/>
        <w:textAlignment w:val="baseline"/>
        <w:rPr>
          <w:rFonts w:ascii="Arial" w:hAnsi="Arial" w:cs="Arial"/>
          <w:i/>
          <w:iCs/>
          <w:sz w:val="22"/>
          <w:szCs w:val="24"/>
          <w:lang w:eastAsia="es-CO"/>
        </w:rPr>
      </w:pPr>
      <w:r w:rsidRPr="00C11AF2">
        <w:rPr>
          <w:rFonts w:ascii="Arial" w:hAnsi="Arial" w:cs="Arial"/>
          <w:i/>
          <w:iCs/>
          <w:sz w:val="22"/>
          <w:szCs w:val="24"/>
          <w:lang w:val="es-ES" w:eastAsia="es-CO"/>
        </w:rPr>
        <w:t>ARTÍCULO 5º. Tarifas. Las tarifas de agencias en derecho son: </w:t>
      </w:r>
      <w:r w:rsidRPr="00C11AF2">
        <w:rPr>
          <w:rFonts w:ascii="Arial" w:hAnsi="Arial" w:cs="Arial"/>
          <w:i/>
          <w:iCs/>
          <w:sz w:val="22"/>
          <w:szCs w:val="24"/>
          <w:lang w:eastAsia="es-CO"/>
        </w:rPr>
        <w:t> </w:t>
      </w:r>
    </w:p>
    <w:p w14:paraId="63E292B3" w14:textId="77777777" w:rsidR="00D57AC9" w:rsidRPr="00C11AF2" w:rsidRDefault="00D57AC9" w:rsidP="00C11AF2">
      <w:pPr>
        <w:ind w:left="426" w:right="420"/>
        <w:jc w:val="both"/>
        <w:textAlignment w:val="baseline"/>
        <w:rPr>
          <w:rFonts w:ascii="Arial" w:hAnsi="Arial" w:cs="Arial"/>
          <w:i/>
          <w:sz w:val="22"/>
          <w:szCs w:val="24"/>
          <w:lang w:eastAsia="es-CO"/>
        </w:rPr>
      </w:pPr>
      <w:r w:rsidRPr="00C11AF2">
        <w:rPr>
          <w:rFonts w:ascii="Arial" w:hAnsi="Arial" w:cs="Arial"/>
          <w:i/>
          <w:sz w:val="22"/>
          <w:szCs w:val="24"/>
          <w:lang w:eastAsia="es-CO"/>
        </w:rPr>
        <w:lastRenderedPageBreak/>
        <w:t> </w:t>
      </w:r>
    </w:p>
    <w:p w14:paraId="64F59BE4" w14:textId="77777777" w:rsidR="00D57AC9" w:rsidRPr="00C11AF2" w:rsidRDefault="00D57AC9" w:rsidP="00C11AF2">
      <w:pPr>
        <w:ind w:left="426" w:right="420"/>
        <w:jc w:val="both"/>
        <w:textAlignment w:val="baseline"/>
        <w:rPr>
          <w:rFonts w:ascii="Arial" w:hAnsi="Arial" w:cs="Arial"/>
          <w:b/>
          <w:i/>
          <w:sz w:val="22"/>
          <w:szCs w:val="24"/>
        </w:rPr>
      </w:pPr>
      <w:r w:rsidRPr="00C11AF2">
        <w:rPr>
          <w:rFonts w:ascii="Arial" w:hAnsi="Arial" w:cs="Arial"/>
          <w:b/>
          <w:i/>
          <w:sz w:val="22"/>
          <w:szCs w:val="24"/>
        </w:rPr>
        <w:t>4. PROCESOS EJECUTIVOS.</w:t>
      </w:r>
    </w:p>
    <w:p w14:paraId="3679D1DE" w14:textId="77777777" w:rsidR="00D57AC9" w:rsidRPr="00C11AF2" w:rsidRDefault="00D57AC9" w:rsidP="00C11AF2">
      <w:pPr>
        <w:ind w:left="426" w:right="420"/>
        <w:jc w:val="both"/>
        <w:textAlignment w:val="baseline"/>
        <w:rPr>
          <w:rFonts w:ascii="Arial" w:hAnsi="Arial" w:cs="Arial"/>
          <w:i/>
          <w:sz w:val="22"/>
          <w:szCs w:val="24"/>
        </w:rPr>
      </w:pPr>
    </w:p>
    <w:p w14:paraId="243E31F2" w14:textId="3D6A6A39" w:rsidR="00D57AC9" w:rsidRPr="00C11AF2" w:rsidRDefault="00D57AC9" w:rsidP="00C11AF2">
      <w:pPr>
        <w:ind w:left="426" w:right="420"/>
        <w:jc w:val="both"/>
        <w:textAlignment w:val="baseline"/>
        <w:rPr>
          <w:rFonts w:ascii="Arial" w:hAnsi="Arial" w:cs="Arial"/>
          <w:i/>
          <w:sz w:val="22"/>
          <w:szCs w:val="24"/>
        </w:rPr>
      </w:pPr>
      <w:r w:rsidRPr="00C11AF2">
        <w:rPr>
          <w:rFonts w:ascii="Arial" w:hAnsi="Arial" w:cs="Arial"/>
          <w:i/>
          <w:sz w:val="22"/>
          <w:szCs w:val="24"/>
        </w:rPr>
        <w:t xml:space="preserve"> En única y primera instancia - Obligaciones de dar sumas de dinero; o de dar especies muebles o bienes de género distintos al dinero, de hacer, o de no hacer, que además contengan pretensiones de índole dinerario.</w:t>
      </w:r>
    </w:p>
    <w:p w14:paraId="30264FC4" w14:textId="77777777" w:rsidR="00D57AC9" w:rsidRPr="00C11AF2" w:rsidRDefault="00D57AC9" w:rsidP="00C11AF2">
      <w:pPr>
        <w:ind w:left="426" w:right="420"/>
        <w:jc w:val="both"/>
        <w:textAlignment w:val="baseline"/>
        <w:rPr>
          <w:rFonts w:ascii="Arial" w:hAnsi="Arial" w:cs="Arial"/>
          <w:i/>
          <w:sz w:val="22"/>
          <w:szCs w:val="24"/>
        </w:rPr>
      </w:pPr>
    </w:p>
    <w:p w14:paraId="71A6C702" w14:textId="77777777" w:rsidR="00D57AC9" w:rsidRPr="00C11AF2" w:rsidRDefault="00D57AC9" w:rsidP="00C11AF2">
      <w:pPr>
        <w:pStyle w:val="Prrafodelista"/>
        <w:numPr>
          <w:ilvl w:val="0"/>
          <w:numId w:val="11"/>
        </w:numPr>
        <w:ind w:left="426" w:right="420" w:firstLine="0"/>
        <w:jc w:val="both"/>
        <w:textAlignment w:val="baseline"/>
        <w:rPr>
          <w:rFonts w:ascii="Arial" w:hAnsi="Arial" w:cs="Arial"/>
          <w:i/>
          <w:sz w:val="22"/>
          <w:szCs w:val="24"/>
        </w:rPr>
      </w:pPr>
      <w:r w:rsidRPr="00C11AF2">
        <w:rPr>
          <w:rFonts w:ascii="Arial" w:hAnsi="Arial" w:cs="Arial"/>
          <w:i/>
          <w:sz w:val="22"/>
          <w:szCs w:val="24"/>
        </w:rPr>
        <w:t xml:space="preserve">De mínima cuantía. </w:t>
      </w:r>
    </w:p>
    <w:p w14:paraId="3462799A" w14:textId="77777777" w:rsidR="00D57AC9" w:rsidRPr="00C11AF2" w:rsidRDefault="00D57AC9" w:rsidP="00C11AF2">
      <w:pPr>
        <w:pStyle w:val="Prrafodelista"/>
        <w:ind w:left="426" w:right="420"/>
        <w:jc w:val="both"/>
        <w:textAlignment w:val="baseline"/>
        <w:rPr>
          <w:rFonts w:ascii="Arial" w:hAnsi="Arial" w:cs="Arial"/>
          <w:i/>
          <w:sz w:val="22"/>
          <w:szCs w:val="24"/>
        </w:rPr>
      </w:pPr>
    </w:p>
    <w:p w14:paraId="39E7F8C5" w14:textId="000E01AA" w:rsidR="00D57AC9" w:rsidRPr="00C11AF2" w:rsidRDefault="00D57AC9" w:rsidP="00C11AF2">
      <w:pPr>
        <w:pStyle w:val="Prrafodelista"/>
        <w:ind w:left="426" w:right="420"/>
        <w:jc w:val="both"/>
        <w:textAlignment w:val="baseline"/>
        <w:rPr>
          <w:rFonts w:ascii="Arial" w:hAnsi="Arial" w:cs="Arial"/>
          <w:i/>
          <w:sz w:val="22"/>
          <w:szCs w:val="24"/>
        </w:rPr>
      </w:pPr>
      <w:r w:rsidRPr="00C11AF2">
        <w:rPr>
          <w:rFonts w:ascii="Arial" w:hAnsi="Arial" w:cs="Arial"/>
          <w:i/>
          <w:sz w:val="22"/>
          <w:szCs w:val="24"/>
        </w:rPr>
        <w:t>Si se dicta sentencia ordenando seguir adelante la ejecución, entre el 5% y el 15% de la suma determinada, sin perjuicio de lo señalado en el parágrafo quinto del artículo tercero de este acuerdo.</w:t>
      </w:r>
    </w:p>
    <w:p w14:paraId="398A0C7E" w14:textId="77777777" w:rsidR="00D57AC9" w:rsidRPr="00C11AF2" w:rsidRDefault="00D57AC9" w:rsidP="00C11AF2">
      <w:pPr>
        <w:pStyle w:val="Prrafodelista"/>
        <w:ind w:left="426" w:right="420"/>
        <w:jc w:val="both"/>
        <w:textAlignment w:val="baseline"/>
        <w:rPr>
          <w:rFonts w:ascii="Arial" w:hAnsi="Arial" w:cs="Arial"/>
          <w:i/>
          <w:sz w:val="22"/>
          <w:szCs w:val="24"/>
        </w:rPr>
      </w:pPr>
    </w:p>
    <w:p w14:paraId="3D9C421E" w14:textId="262D790F" w:rsidR="00D57AC9" w:rsidRPr="00C11AF2" w:rsidRDefault="00D57AC9" w:rsidP="00C11AF2">
      <w:pPr>
        <w:pStyle w:val="Prrafodelista"/>
        <w:ind w:left="426" w:right="420"/>
        <w:jc w:val="both"/>
        <w:textAlignment w:val="baseline"/>
        <w:rPr>
          <w:rFonts w:ascii="Arial" w:hAnsi="Arial" w:cs="Arial"/>
          <w:i/>
          <w:sz w:val="22"/>
          <w:szCs w:val="24"/>
          <w:lang w:eastAsia="es-CO"/>
        </w:rPr>
      </w:pPr>
      <w:r w:rsidRPr="00C11AF2">
        <w:rPr>
          <w:rFonts w:ascii="Arial" w:hAnsi="Arial" w:cs="Arial"/>
          <w:i/>
          <w:sz w:val="22"/>
          <w:szCs w:val="24"/>
        </w:rPr>
        <w:t xml:space="preserve"> Si se dicta sentencia de excepciones totalmente favorable al demandado, entre el 5% y el 15% del valor total que se ordenó pagar en el mandamiento de pago.</w:t>
      </w:r>
      <w:r w:rsidRPr="00C11AF2">
        <w:rPr>
          <w:rFonts w:ascii="Arial" w:hAnsi="Arial" w:cs="Arial"/>
          <w:i/>
          <w:sz w:val="22"/>
          <w:szCs w:val="24"/>
          <w:lang w:eastAsia="es-CO"/>
        </w:rPr>
        <w:t> </w:t>
      </w:r>
    </w:p>
    <w:p w14:paraId="1B396DDD" w14:textId="77777777" w:rsidR="00D57AC9" w:rsidRPr="00C11AF2" w:rsidRDefault="00D57AC9" w:rsidP="00C11AF2">
      <w:pPr>
        <w:ind w:left="426" w:right="420"/>
        <w:jc w:val="both"/>
        <w:textAlignment w:val="baseline"/>
        <w:rPr>
          <w:rFonts w:ascii="Arial" w:hAnsi="Arial" w:cs="Arial"/>
          <w:i/>
          <w:sz w:val="22"/>
          <w:szCs w:val="24"/>
        </w:rPr>
      </w:pPr>
    </w:p>
    <w:p w14:paraId="6116C47E" w14:textId="77777777" w:rsidR="00D57AC9" w:rsidRPr="00C11AF2" w:rsidRDefault="00D57AC9" w:rsidP="00C11AF2">
      <w:pPr>
        <w:ind w:left="426" w:right="420"/>
        <w:jc w:val="both"/>
        <w:textAlignment w:val="baseline"/>
        <w:rPr>
          <w:rFonts w:ascii="Arial" w:hAnsi="Arial" w:cs="Arial"/>
          <w:i/>
          <w:sz w:val="22"/>
          <w:szCs w:val="24"/>
        </w:rPr>
      </w:pPr>
      <w:r w:rsidRPr="00C11AF2">
        <w:rPr>
          <w:rFonts w:ascii="Arial" w:hAnsi="Arial" w:cs="Arial"/>
          <w:i/>
          <w:sz w:val="22"/>
          <w:szCs w:val="24"/>
        </w:rPr>
        <w:t xml:space="preserve">b. De menor cuantía. Si se dicta sentencia ordenando seguir adelante la ejecución, entre el 4% y el 10% de la suma determinada, sin perjuicio de lo señalado en el parágrafo quinto del artículo tercero de este acuerdo. Si se dicta sentencia de excepciones totalmente favorable al demandado, entre el 4% y el 10% del valor total que se ordenó pagar en el mandamiento de pago. </w:t>
      </w:r>
    </w:p>
    <w:p w14:paraId="72E415FA" w14:textId="77777777" w:rsidR="00D57AC9" w:rsidRPr="00C11AF2" w:rsidRDefault="00D57AC9" w:rsidP="00C11AF2">
      <w:pPr>
        <w:ind w:left="426" w:right="420"/>
        <w:jc w:val="both"/>
        <w:textAlignment w:val="baseline"/>
        <w:rPr>
          <w:rFonts w:ascii="Arial" w:hAnsi="Arial" w:cs="Arial"/>
          <w:i/>
          <w:sz w:val="22"/>
          <w:szCs w:val="24"/>
        </w:rPr>
      </w:pPr>
    </w:p>
    <w:p w14:paraId="1DBBFF2E" w14:textId="77777777" w:rsidR="00D57AC9" w:rsidRPr="00C11AF2" w:rsidRDefault="00D57AC9" w:rsidP="00C11AF2">
      <w:pPr>
        <w:ind w:left="426" w:right="420"/>
        <w:jc w:val="both"/>
        <w:textAlignment w:val="baseline"/>
        <w:rPr>
          <w:rFonts w:ascii="Arial" w:hAnsi="Arial" w:cs="Arial"/>
          <w:i/>
          <w:sz w:val="22"/>
          <w:szCs w:val="24"/>
        </w:rPr>
      </w:pPr>
      <w:r w:rsidRPr="00C11AF2">
        <w:rPr>
          <w:rFonts w:ascii="Arial" w:hAnsi="Arial" w:cs="Arial"/>
          <w:i/>
          <w:sz w:val="22"/>
          <w:szCs w:val="24"/>
        </w:rPr>
        <w:t xml:space="preserve">c. De mayor cuantía. Si se dicta sentencia ordenando seguir adelante la ejecución, entre el 3% y el 7.5% de la suma determinada, sin perjuicio de lo señalado en el parágrafo quinto del artículo tercero de este acuerdo. </w:t>
      </w:r>
    </w:p>
    <w:p w14:paraId="43941914" w14:textId="77777777" w:rsidR="00D57AC9" w:rsidRPr="00C11AF2" w:rsidRDefault="00D57AC9" w:rsidP="00C11AF2">
      <w:pPr>
        <w:ind w:left="426" w:right="420"/>
        <w:jc w:val="both"/>
        <w:textAlignment w:val="baseline"/>
        <w:rPr>
          <w:rFonts w:ascii="Arial" w:hAnsi="Arial" w:cs="Arial"/>
          <w:i/>
          <w:sz w:val="22"/>
          <w:szCs w:val="24"/>
        </w:rPr>
      </w:pPr>
    </w:p>
    <w:p w14:paraId="548F0CF5" w14:textId="4C98422F" w:rsidR="00D57AC9" w:rsidRPr="00C11AF2" w:rsidRDefault="00D57AC9" w:rsidP="00C11AF2">
      <w:pPr>
        <w:ind w:left="426" w:right="420"/>
        <w:jc w:val="both"/>
        <w:textAlignment w:val="baseline"/>
        <w:rPr>
          <w:rFonts w:ascii="Arial" w:hAnsi="Arial" w:cs="Arial"/>
          <w:i/>
          <w:sz w:val="22"/>
          <w:szCs w:val="24"/>
        </w:rPr>
      </w:pPr>
      <w:r w:rsidRPr="00C11AF2">
        <w:rPr>
          <w:rFonts w:ascii="Arial" w:hAnsi="Arial" w:cs="Arial"/>
          <w:i/>
          <w:sz w:val="22"/>
          <w:szCs w:val="24"/>
        </w:rPr>
        <w:t xml:space="preserve">Si se dicta sentencia de excepciones totalmente favorable al demandado, entre el 3% y el 7.5% del valor total que se ordenó pagar en el mandamiento de pago. – </w:t>
      </w:r>
    </w:p>
    <w:p w14:paraId="2DE6BB6F" w14:textId="77777777" w:rsidR="00D57AC9" w:rsidRPr="00C11AF2" w:rsidRDefault="00D57AC9" w:rsidP="00C11AF2">
      <w:pPr>
        <w:ind w:left="426" w:right="420"/>
        <w:jc w:val="both"/>
        <w:textAlignment w:val="baseline"/>
        <w:rPr>
          <w:rFonts w:ascii="Arial" w:hAnsi="Arial" w:cs="Arial"/>
          <w:i/>
          <w:sz w:val="22"/>
          <w:szCs w:val="24"/>
        </w:rPr>
      </w:pPr>
    </w:p>
    <w:p w14:paraId="2EA1542A" w14:textId="082FD40D" w:rsidR="00D57AC9" w:rsidRPr="00C11AF2" w:rsidRDefault="00D57AC9" w:rsidP="00C11AF2">
      <w:pPr>
        <w:ind w:left="426" w:right="420"/>
        <w:jc w:val="both"/>
        <w:textAlignment w:val="baseline"/>
        <w:rPr>
          <w:rFonts w:ascii="Arial" w:hAnsi="Arial" w:cs="Arial"/>
          <w:i/>
          <w:sz w:val="22"/>
          <w:szCs w:val="24"/>
        </w:rPr>
      </w:pPr>
      <w:r w:rsidRPr="00C11AF2">
        <w:rPr>
          <w:rFonts w:ascii="Arial" w:hAnsi="Arial" w:cs="Arial"/>
          <w:i/>
          <w:sz w:val="22"/>
          <w:szCs w:val="24"/>
        </w:rPr>
        <w:t>De obligaciones de dar especies muebles o bienes de género distintos al dinero, de hacer, o de no hacer, sin contenido dinerario. Entre 1 y 6 S.M.M.L.V.</w:t>
      </w:r>
    </w:p>
    <w:p w14:paraId="753168BA" w14:textId="77777777" w:rsidR="00D57AC9" w:rsidRPr="00BC4244" w:rsidRDefault="00D57AC9" w:rsidP="00BC4244">
      <w:pPr>
        <w:spacing w:line="276" w:lineRule="auto"/>
        <w:jc w:val="both"/>
        <w:textAlignment w:val="baseline"/>
        <w:rPr>
          <w:rFonts w:ascii="Arial" w:hAnsi="Arial" w:cs="Arial"/>
          <w:sz w:val="24"/>
          <w:szCs w:val="24"/>
          <w:lang w:val="es-ES" w:eastAsia="es-CO"/>
        </w:rPr>
      </w:pPr>
    </w:p>
    <w:p w14:paraId="7E268BDF" w14:textId="575AB8D8" w:rsidR="00D57AC9" w:rsidRPr="00BC4244" w:rsidRDefault="00D57AC9" w:rsidP="00BC4244">
      <w:pPr>
        <w:spacing w:line="276" w:lineRule="auto"/>
        <w:jc w:val="both"/>
        <w:textAlignment w:val="baseline"/>
        <w:rPr>
          <w:rFonts w:ascii="Arial" w:hAnsi="Arial" w:cs="Arial"/>
          <w:sz w:val="24"/>
          <w:szCs w:val="24"/>
          <w:lang w:val="es-ES" w:eastAsia="es-CO"/>
        </w:rPr>
      </w:pPr>
      <w:r w:rsidRPr="00BC4244">
        <w:rPr>
          <w:rFonts w:ascii="Arial" w:hAnsi="Arial" w:cs="Arial"/>
          <w:sz w:val="24"/>
          <w:szCs w:val="24"/>
          <w:lang w:val="es-ES" w:eastAsia="es-CO"/>
        </w:rPr>
        <w:t>Como puede verse, la norma otorga al operador jurídico la facultad de moverse entre los topes mínimos y máximos establecidos en el Acuerdo No PSAA16-10554 de 2016, debiendo antes, analizar los presupuestos a tener en cuenta antes trascritos</w:t>
      </w:r>
      <w:r w:rsidR="007060EF" w:rsidRPr="00BC4244">
        <w:rPr>
          <w:rFonts w:ascii="Arial" w:hAnsi="Arial" w:cs="Arial"/>
          <w:sz w:val="24"/>
          <w:szCs w:val="24"/>
          <w:lang w:val="es-ES" w:eastAsia="es-CO"/>
        </w:rPr>
        <w:t>.</w:t>
      </w:r>
    </w:p>
    <w:p w14:paraId="14687526" w14:textId="0852FF1A" w:rsidR="00D57AC9" w:rsidRPr="00BC4244" w:rsidRDefault="00D57AC9" w:rsidP="00BC4244">
      <w:pPr>
        <w:spacing w:line="276" w:lineRule="auto"/>
        <w:jc w:val="both"/>
        <w:textAlignment w:val="baseline"/>
        <w:rPr>
          <w:rFonts w:ascii="Arial" w:hAnsi="Arial" w:cs="Arial"/>
          <w:sz w:val="24"/>
          <w:szCs w:val="24"/>
          <w:lang w:eastAsia="es-CO"/>
        </w:rPr>
      </w:pPr>
    </w:p>
    <w:p w14:paraId="2356F89F" w14:textId="3F3D19E0" w:rsidR="007B5945" w:rsidRPr="00BC4244" w:rsidRDefault="00F231EB" w:rsidP="00BC4244">
      <w:pPr>
        <w:pStyle w:val="Prrafodelista"/>
        <w:widowControl w:val="0"/>
        <w:numPr>
          <w:ilvl w:val="0"/>
          <w:numId w:val="10"/>
        </w:numPr>
        <w:tabs>
          <w:tab w:val="clear" w:pos="720"/>
          <w:tab w:val="num" w:pos="426"/>
        </w:tabs>
        <w:autoSpaceDE w:val="0"/>
        <w:autoSpaceDN w:val="0"/>
        <w:adjustRightInd w:val="0"/>
        <w:spacing w:line="276" w:lineRule="auto"/>
        <w:ind w:hanging="720"/>
        <w:jc w:val="both"/>
        <w:rPr>
          <w:rFonts w:ascii="Arial" w:eastAsiaTheme="minorEastAsia" w:hAnsi="Arial" w:cs="Arial"/>
          <w:b/>
          <w:bCs/>
          <w:sz w:val="24"/>
          <w:szCs w:val="24"/>
        </w:rPr>
      </w:pPr>
      <w:r w:rsidRPr="00BC4244">
        <w:rPr>
          <w:rFonts w:ascii="Arial" w:eastAsia="Arial" w:hAnsi="Arial" w:cs="Arial"/>
          <w:b/>
          <w:bCs/>
          <w:sz w:val="24"/>
          <w:szCs w:val="24"/>
          <w:lang w:val="es-ES"/>
        </w:rPr>
        <w:t>D</w:t>
      </w:r>
      <w:r w:rsidR="004A3AE9" w:rsidRPr="00BC4244">
        <w:rPr>
          <w:rFonts w:ascii="Arial" w:eastAsia="Arial" w:hAnsi="Arial" w:cs="Arial"/>
          <w:b/>
          <w:bCs/>
          <w:sz w:val="24"/>
          <w:szCs w:val="24"/>
          <w:lang w:val="es-ES"/>
        </w:rPr>
        <w:t xml:space="preserve">EL CUMPLIMIENTO </w:t>
      </w:r>
      <w:r w:rsidR="00702A35" w:rsidRPr="00BC4244">
        <w:rPr>
          <w:rFonts w:ascii="Arial" w:eastAsia="Arial" w:hAnsi="Arial" w:cs="Arial"/>
          <w:b/>
          <w:bCs/>
          <w:sz w:val="24"/>
          <w:szCs w:val="24"/>
          <w:lang w:val="es-ES"/>
        </w:rPr>
        <w:t>DE LA OBLIGACIÓN Y CONDENA EN COSTAS.</w:t>
      </w:r>
    </w:p>
    <w:p w14:paraId="62EBF3C5" w14:textId="77777777" w:rsidR="007B5945" w:rsidRPr="00BC4244" w:rsidRDefault="007B5945" w:rsidP="00BC4244">
      <w:pPr>
        <w:widowControl w:val="0"/>
        <w:autoSpaceDE w:val="0"/>
        <w:autoSpaceDN w:val="0"/>
        <w:adjustRightInd w:val="0"/>
        <w:spacing w:line="276" w:lineRule="auto"/>
        <w:jc w:val="both"/>
        <w:rPr>
          <w:rFonts w:ascii="Arial" w:eastAsia="Arial" w:hAnsi="Arial" w:cs="Arial"/>
          <w:sz w:val="24"/>
          <w:szCs w:val="24"/>
          <w:lang w:val="es-ES"/>
        </w:rPr>
      </w:pPr>
    </w:p>
    <w:p w14:paraId="12F96D6A" w14:textId="423C80E9" w:rsidR="007B5945" w:rsidRPr="00BC4244" w:rsidRDefault="351FD828" w:rsidP="00BC4244">
      <w:pPr>
        <w:widowControl w:val="0"/>
        <w:autoSpaceDE w:val="0"/>
        <w:autoSpaceDN w:val="0"/>
        <w:adjustRightInd w:val="0"/>
        <w:spacing w:line="276" w:lineRule="auto"/>
        <w:jc w:val="both"/>
        <w:rPr>
          <w:rFonts w:ascii="Arial" w:hAnsi="Arial" w:cs="Arial"/>
          <w:sz w:val="24"/>
          <w:szCs w:val="24"/>
        </w:rPr>
      </w:pPr>
      <w:r w:rsidRPr="00BC4244">
        <w:rPr>
          <w:rFonts w:ascii="Arial" w:eastAsia="Arial" w:hAnsi="Arial" w:cs="Arial"/>
          <w:sz w:val="24"/>
          <w:szCs w:val="24"/>
          <w:lang w:val="es-ES"/>
        </w:rPr>
        <w:t>El Código General del Proceso establece</w:t>
      </w:r>
      <w:r w:rsidR="00702A35" w:rsidRPr="00BC4244">
        <w:rPr>
          <w:rFonts w:ascii="Arial" w:eastAsia="Arial" w:hAnsi="Arial" w:cs="Arial"/>
          <w:sz w:val="24"/>
          <w:szCs w:val="24"/>
          <w:lang w:val="es-ES"/>
        </w:rPr>
        <w:t xml:space="preserve"> en el artículo 440 que </w:t>
      </w:r>
      <w:r w:rsidRPr="00BC4244">
        <w:rPr>
          <w:rFonts w:ascii="Arial" w:eastAsia="Arial" w:hAnsi="Arial" w:cs="Arial"/>
          <w:sz w:val="24"/>
          <w:szCs w:val="24"/>
          <w:lang w:val="es-ES"/>
        </w:rPr>
        <w:t>“</w:t>
      </w:r>
      <w:r w:rsidR="00702A35" w:rsidRPr="00C11AF2">
        <w:rPr>
          <w:rFonts w:ascii="Arial" w:eastAsia="Arial" w:hAnsi="Arial" w:cs="Arial"/>
          <w:i/>
          <w:iCs/>
          <w:sz w:val="22"/>
          <w:szCs w:val="24"/>
          <w:lang w:val="es-ES"/>
        </w:rPr>
        <w:t xml:space="preserve">Cumplida la obligación dentro del término señalado en el mandamiento ejecutivo, se condenará en costas al ejecutado, </w:t>
      </w:r>
      <w:r w:rsidR="00C11AF2" w:rsidRPr="00C11AF2">
        <w:rPr>
          <w:rFonts w:ascii="Arial" w:eastAsia="Arial" w:hAnsi="Arial" w:cs="Arial"/>
          <w:i/>
          <w:iCs/>
          <w:sz w:val="22"/>
          <w:szCs w:val="24"/>
          <w:lang w:val="es-ES"/>
        </w:rPr>
        <w:t>quien,</w:t>
      </w:r>
      <w:r w:rsidR="00702A35" w:rsidRPr="00C11AF2">
        <w:rPr>
          <w:rFonts w:ascii="Arial" w:eastAsia="Arial" w:hAnsi="Arial" w:cs="Arial"/>
          <w:i/>
          <w:iCs/>
          <w:sz w:val="22"/>
          <w:szCs w:val="24"/>
          <w:lang w:val="es-ES"/>
        </w:rPr>
        <w:t xml:space="preserve"> sin embargo, podrá pedir dentro de los tres (3) días siguientes a la notificación del auto que las imponga, que se les exonere de ellas si prueba que estuvo dispuesto a pagar antes de ser demandado y que el</w:t>
      </w:r>
      <w:r w:rsidR="0019372D" w:rsidRPr="00C11AF2">
        <w:rPr>
          <w:rFonts w:ascii="Arial" w:eastAsia="Arial" w:hAnsi="Arial" w:cs="Arial"/>
          <w:i/>
          <w:iCs/>
          <w:sz w:val="22"/>
          <w:szCs w:val="24"/>
          <w:lang w:val="es-ES"/>
        </w:rPr>
        <w:t xml:space="preserve"> </w:t>
      </w:r>
      <w:r w:rsidR="00702A35" w:rsidRPr="00C11AF2">
        <w:rPr>
          <w:rFonts w:ascii="Arial" w:eastAsia="Arial" w:hAnsi="Arial" w:cs="Arial"/>
          <w:i/>
          <w:iCs/>
          <w:sz w:val="22"/>
          <w:szCs w:val="24"/>
          <w:lang w:val="es-ES"/>
        </w:rPr>
        <w:t>acreedor no se allanó a recibirle</w:t>
      </w:r>
      <w:r w:rsidRPr="00BC4244">
        <w:rPr>
          <w:rFonts w:ascii="Arial" w:eastAsia="Arial" w:hAnsi="Arial" w:cs="Arial"/>
          <w:sz w:val="24"/>
          <w:szCs w:val="24"/>
          <w:lang w:val="es-ES"/>
        </w:rPr>
        <w:t xml:space="preserve">”.  </w:t>
      </w:r>
    </w:p>
    <w:p w14:paraId="6D98A12B" w14:textId="77777777" w:rsidR="00702A35" w:rsidRPr="00BC4244" w:rsidRDefault="00702A35" w:rsidP="00BC4244">
      <w:pPr>
        <w:widowControl w:val="0"/>
        <w:autoSpaceDE w:val="0"/>
        <w:autoSpaceDN w:val="0"/>
        <w:adjustRightInd w:val="0"/>
        <w:spacing w:line="276" w:lineRule="auto"/>
        <w:jc w:val="both"/>
        <w:rPr>
          <w:rFonts w:ascii="Arial" w:eastAsia="Arial" w:hAnsi="Arial" w:cs="Arial"/>
          <w:sz w:val="24"/>
          <w:szCs w:val="24"/>
          <w:lang w:val="es-ES"/>
        </w:rPr>
      </w:pPr>
    </w:p>
    <w:p w14:paraId="279108C2" w14:textId="3BD208B3" w:rsidR="007B5945" w:rsidRPr="00BC4244" w:rsidRDefault="00702A35" w:rsidP="00BC4244">
      <w:pPr>
        <w:widowControl w:val="0"/>
        <w:autoSpaceDE w:val="0"/>
        <w:autoSpaceDN w:val="0"/>
        <w:adjustRightInd w:val="0"/>
        <w:spacing w:line="276" w:lineRule="auto"/>
        <w:jc w:val="both"/>
        <w:rPr>
          <w:rFonts w:ascii="Arial" w:hAnsi="Arial" w:cs="Arial"/>
          <w:sz w:val="24"/>
          <w:szCs w:val="24"/>
        </w:rPr>
      </w:pPr>
      <w:r w:rsidRPr="00BC4244">
        <w:rPr>
          <w:rFonts w:ascii="Arial" w:eastAsia="Arial" w:hAnsi="Arial" w:cs="Arial"/>
          <w:sz w:val="24"/>
          <w:szCs w:val="24"/>
          <w:lang w:val="es-ES"/>
        </w:rPr>
        <w:t xml:space="preserve">Ahora, el término a que hace referencia la norma, para el caso que ocupa la atención de la Sala </w:t>
      </w:r>
      <w:r w:rsidR="7660B171" w:rsidRPr="00BC4244">
        <w:rPr>
          <w:rFonts w:ascii="Arial" w:eastAsia="Arial" w:hAnsi="Arial" w:cs="Arial"/>
          <w:sz w:val="24"/>
          <w:szCs w:val="24"/>
          <w:lang w:val="es-ES"/>
        </w:rPr>
        <w:t>está</w:t>
      </w:r>
      <w:r w:rsidRPr="00BC4244">
        <w:rPr>
          <w:rFonts w:ascii="Arial" w:eastAsia="Arial" w:hAnsi="Arial" w:cs="Arial"/>
          <w:sz w:val="24"/>
          <w:szCs w:val="24"/>
          <w:lang w:val="es-ES"/>
        </w:rPr>
        <w:t xml:space="preserve"> regulado por el </w:t>
      </w:r>
      <w:r w:rsidR="0019372D" w:rsidRPr="00BC4244">
        <w:rPr>
          <w:rFonts w:ascii="Arial" w:eastAsia="Arial" w:hAnsi="Arial" w:cs="Arial"/>
          <w:sz w:val="24"/>
          <w:szCs w:val="24"/>
          <w:lang w:val="es-ES"/>
        </w:rPr>
        <w:t>articulo 431 ibidem, que establece que “</w:t>
      </w:r>
      <w:r w:rsidR="0019372D" w:rsidRPr="00C11AF2">
        <w:rPr>
          <w:rFonts w:ascii="Arial" w:eastAsia="Arial" w:hAnsi="Arial" w:cs="Arial"/>
          <w:i/>
          <w:iCs/>
          <w:sz w:val="22"/>
          <w:szCs w:val="24"/>
          <w:lang w:val="es-ES"/>
        </w:rPr>
        <w:t>Si la obligación versa sobre una cantidad liquida de dinero, se ordenará su pago en el término de cinco (5) días</w:t>
      </w:r>
      <w:r w:rsidR="00A213E9" w:rsidRPr="00BC4244">
        <w:rPr>
          <w:rFonts w:ascii="Arial" w:eastAsia="Arial" w:hAnsi="Arial" w:cs="Arial"/>
          <w:sz w:val="24"/>
          <w:szCs w:val="24"/>
          <w:lang w:val="es-ES"/>
        </w:rPr>
        <w:t>”</w:t>
      </w:r>
      <w:r w:rsidR="0019372D" w:rsidRPr="00BC4244">
        <w:rPr>
          <w:rFonts w:ascii="Arial" w:eastAsia="Arial" w:hAnsi="Arial" w:cs="Arial"/>
          <w:sz w:val="24"/>
          <w:szCs w:val="24"/>
          <w:lang w:val="es-ES"/>
        </w:rPr>
        <w:t>.</w:t>
      </w:r>
      <w:r w:rsidR="351FD828" w:rsidRPr="00BC4244">
        <w:rPr>
          <w:rFonts w:ascii="Arial" w:eastAsia="Arial" w:hAnsi="Arial" w:cs="Arial"/>
          <w:sz w:val="24"/>
          <w:szCs w:val="24"/>
          <w:lang w:val="es-ES"/>
        </w:rPr>
        <w:t xml:space="preserve"> </w:t>
      </w:r>
    </w:p>
    <w:p w14:paraId="5997CC1D" w14:textId="77777777" w:rsidR="007B5945" w:rsidRPr="00BC4244" w:rsidRDefault="007B5945" w:rsidP="00BC4244">
      <w:pPr>
        <w:widowControl w:val="0"/>
        <w:autoSpaceDE w:val="0"/>
        <w:autoSpaceDN w:val="0"/>
        <w:adjustRightInd w:val="0"/>
        <w:spacing w:line="276" w:lineRule="auto"/>
        <w:jc w:val="both"/>
        <w:rPr>
          <w:rFonts w:ascii="Arial" w:hAnsi="Arial" w:cs="Arial"/>
          <w:i/>
          <w:iCs/>
          <w:sz w:val="24"/>
          <w:szCs w:val="24"/>
          <w:lang w:val="es-ES"/>
        </w:rPr>
      </w:pPr>
    </w:p>
    <w:p w14:paraId="6D93C6CD" w14:textId="7DCABC66" w:rsidR="007B5945" w:rsidRPr="00BC4244" w:rsidRDefault="00D57AC9" w:rsidP="00BC4244">
      <w:pPr>
        <w:pStyle w:val="Prrafodelista"/>
        <w:widowControl w:val="0"/>
        <w:autoSpaceDE w:val="0"/>
        <w:autoSpaceDN w:val="0"/>
        <w:adjustRightInd w:val="0"/>
        <w:spacing w:line="276" w:lineRule="auto"/>
        <w:ind w:left="0"/>
        <w:jc w:val="both"/>
        <w:rPr>
          <w:rFonts w:ascii="Arial" w:eastAsiaTheme="minorEastAsia" w:hAnsi="Arial" w:cs="Arial"/>
          <w:b/>
          <w:bCs/>
          <w:sz w:val="24"/>
          <w:szCs w:val="24"/>
          <w:highlight w:val="yellow"/>
          <w:lang w:val="es-ES"/>
        </w:rPr>
      </w:pPr>
      <w:r w:rsidRPr="00BC4244">
        <w:rPr>
          <w:rFonts w:ascii="Arial" w:eastAsia="Arial" w:hAnsi="Arial" w:cs="Arial"/>
          <w:b/>
          <w:sz w:val="24"/>
          <w:szCs w:val="24"/>
          <w:lang w:val="es-ES"/>
        </w:rPr>
        <w:t>3</w:t>
      </w:r>
      <w:r w:rsidR="00DF35E7" w:rsidRPr="00BC4244">
        <w:rPr>
          <w:rFonts w:ascii="Arial" w:eastAsia="Arial" w:hAnsi="Arial" w:cs="Arial"/>
          <w:b/>
          <w:sz w:val="24"/>
          <w:szCs w:val="24"/>
          <w:lang w:val="es-ES"/>
        </w:rPr>
        <w:t>.</w:t>
      </w:r>
      <w:r w:rsidR="00DF35E7" w:rsidRPr="00BC4244">
        <w:rPr>
          <w:rFonts w:ascii="Arial" w:eastAsia="Arial" w:hAnsi="Arial" w:cs="Arial"/>
          <w:sz w:val="24"/>
          <w:szCs w:val="24"/>
          <w:lang w:val="es-ES"/>
        </w:rPr>
        <w:t xml:space="preserve"> </w:t>
      </w:r>
      <w:r w:rsidR="235E867D" w:rsidRPr="00BC4244">
        <w:rPr>
          <w:rFonts w:ascii="Arial" w:eastAsia="Arial" w:hAnsi="Arial" w:cs="Arial"/>
          <w:sz w:val="24"/>
          <w:szCs w:val="24"/>
          <w:lang w:val="es-ES"/>
        </w:rPr>
        <w:t xml:space="preserve"> </w:t>
      </w:r>
      <w:r w:rsidR="235E867D" w:rsidRPr="00BC4244">
        <w:rPr>
          <w:rFonts w:ascii="Arial" w:eastAsia="Arial" w:hAnsi="Arial" w:cs="Arial"/>
          <w:b/>
          <w:bCs/>
          <w:sz w:val="24"/>
          <w:szCs w:val="24"/>
          <w:lang w:val="es-ES"/>
        </w:rPr>
        <w:t>EL CASO CONCRETO</w:t>
      </w:r>
    </w:p>
    <w:p w14:paraId="2BAC6FC9" w14:textId="77777777" w:rsidR="0019372D" w:rsidRPr="00BC4244" w:rsidRDefault="235E867D" w:rsidP="00BC4244">
      <w:pPr>
        <w:widowControl w:val="0"/>
        <w:autoSpaceDE w:val="0"/>
        <w:autoSpaceDN w:val="0"/>
        <w:adjustRightInd w:val="0"/>
        <w:spacing w:line="276" w:lineRule="auto"/>
        <w:jc w:val="both"/>
        <w:rPr>
          <w:rFonts w:ascii="Arial" w:hAnsi="Arial" w:cs="Arial"/>
          <w:sz w:val="24"/>
          <w:szCs w:val="24"/>
        </w:rPr>
      </w:pPr>
      <w:r w:rsidRPr="00BC4244">
        <w:rPr>
          <w:rFonts w:ascii="Arial" w:eastAsia="Arial" w:hAnsi="Arial" w:cs="Arial"/>
          <w:b/>
          <w:bCs/>
          <w:sz w:val="24"/>
          <w:szCs w:val="24"/>
          <w:lang w:val="es-ES"/>
        </w:rPr>
        <w:t xml:space="preserve"> </w:t>
      </w:r>
    </w:p>
    <w:p w14:paraId="65AA7E1A" w14:textId="2DE68167" w:rsidR="00D57AC9" w:rsidRPr="00BC4244" w:rsidRDefault="00D57AC9" w:rsidP="00BC4244">
      <w:pPr>
        <w:spacing w:line="276" w:lineRule="auto"/>
        <w:jc w:val="both"/>
        <w:textAlignment w:val="baseline"/>
        <w:rPr>
          <w:rFonts w:ascii="Arial" w:hAnsi="Arial" w:cs="Arial"/>
          <w:sz w:val="24"/>
          <w:szCs w:val="24"/>
          <w:lang w:eastAsia="es-CO"/>
        </w:rPr>
      </w:pPr>
      <w:r w:rsidRPr="00BC4244">
        <w:rPr>
          <w:rFonts w:ascii="Arial" w:hAnsi="Arial" w:cs="Arial"/>
          <w:sz w:val="24"/>
          <w:szCs w:val="24"/>
          <w:lang w:eastAsia="es-CO"/>
        </w:rPr>
        <w:t xml:space="preserve">Al ocuparse la Sala de la inconformidad planteada por la parte demandada, respecto a la tasación de las agencias en derecho, debe decirse que, en primer lugar, no existe discusión frente al hecho de que la norma que regula el asunto es el Acuerdo PSAA16-10554 de 5 de agosto de 2016, por encontrarse vigente para momento de </w:t>
      </w:r>
      <w:r w:rsidRPr="00BC4244">
        <w:rPr>
          <w:rFonts w:ascii="Arial" w:hAnsi="Arial" w:cs="Arial"/>
          <w:sz w:val="24"/>
          <w:szCs w:val="24"/>
          <w:lang w:eastAsia="es-CO"/>
        </w:rPr>
        <w:lastRenderedPageBreak/>
        <w:t xml:space="preserve">presentación de la demanda </w:t>
      </w:r>
      <w:r w:rsidR="00F448A4" w:rsidRPr="00BC4244">
        <w:rPr>
          <w:rFonts w:ascii="Arial" w:hAnsi="Arial" w:cs="Arial"/>
          <w:sz w:val="24"/>
          <w:szCs w:val="24"/>
          <w:lang w:eastAsia="es-CO"/>
        </w:rPr>
        <w:t xml:space="preserve">ejecutiva </w:t>
      </w:r>
      <w:r w:rsidRPr="00BC4244">
        <w:rPr>
          <w:rFonts w:ascii="Arial" w:hAnsi="Arial" w:cs="Arial"/>
          <w:sz w:val="24"/>
          <w:szCs w:val="24"/>
          <w:lang w:eastAsia="es-CO"/>
        </w:rPr>
        <w:t>y, en segundo lugar, la asignación de agencias</w:t>
      </w:r>
      <w:r w:rsidRPr="00BC4244">
        <w:rPr>
          <w:rFonts w:ascii="Arial" w:hAnsi="Arial" w:cs="Arial"/>
          <w:sz w:val="24"/>
          <w:szCs w:val="24"/>
          <w:lang w:val="es-ES" w:eastAsia="es-CO"/>
        </w:rPr>
        <w:t> debe estar precedida del análisis de los criterios establecidos en el artículo 366 del Código General del Proceso. </w:t>
      </w:r>
      <w:r w:rsidRPr="00BC4244">
        <w:rPr>
          <w:rFonts w:ascii="Arial" w:hAnsi="Arial" w:cs="Arial"/>
          <w:sz w:val="24"/>
          <w:szCs w:val="24"/>
          <w:lang w:eastAsia="es-CO"/>
        </w:rPr>
        <w:t> </w:t>
      </w:r>
    </w:p>
    <w:p w14:paraId="58B49EC2" w14:textId="77777777" w:rsidR="00D57AC9" w:rsidRPr="00BC4244" w:rsidRDefault="00D57AC9" w:rsidP="00BC4244">
      <w:pPr>
        <w:spacing w:line="276" w:lineRule="auto"/>
        <w:jc w:val="both"/>
        <w:textAlignment w:val="baseline"/>
        <w:rPr>
          <w:rFonts w:ascii="Arial" w:hAnsi="Arial" w:cs="Arial"/>
          <w:sz w:val="24"/>
          <w:szCs w:val="24"/>
          <w:lang w:eastAsia="es-CO"/>
        </w:rPr>
      </w:pPr>
      <w:r w:rsidRPr="00BC4244">
        <w:rPr>
          <w:rFonts w:ascii="Arial" w:hAnsi="Arial" w:cs="Arial"/>
          <w:sz w:val="24"/>
          <w:szCs w:val="24"/>
          <w:lang w:eastAsia="es-CO"/>
        </w:rPr>
        <w:t> </w:t>
      </w:r>
    </w:p>
    <w:p w14:paraId="243B6739" w14:textId="203AF987" w:rsidR="00D57AC9" w:rsidRPr="00BC4244" w:rsidRDefault="00D57AC9" w:rsidP="00BC4244">
      <w:pPr>
        <w:spacing w:line="276" w:lineRule="auto"/>
        <w:jc w:val="both"/>
        <w:textAlignment w:val="baseline"/>
        <w:rPr>
          <w:rFonts w:ascii="Arial" w:hAnsi="Arial" w:cs="Arial"/>
          <w:sz w:val="24"/>
          <w:szCs w:val="24"/>
          <w:lang w:eastAsia="es-CO"/>
        </w:rPr>
      </w:pPr>
      <w:r w:rsidRPr="00BC4244">
        <w:rPr>
          <w:rFonts w:ascii="Arial" w:hAnsi="Arial" w:cs="Arial"/>
          <w:sz w:val="24"/>
          <w:szCs w:val="24"/>
          <w:lang w:val="es-ES" w:eastAsia="es-CO"/>
        </w:rPr>
        <w:t xml:space="preserve">Antes de abordar los motivos de inconformidad del recurrente, es necesario señalar que </w:t>
      </w:r>
      <w:r w:rsidR="00AE4821" w:rsidRPr="00BC4244">
        <w:rPr>
          <w:rFonts w:ascii="Arial" w:hAnsi="Arial" w:cs="Arial"/>
          <w:sz w:val="24"/>
          <w:szCs w:val="24"/>
          <w:lang w:val="es-ES" w:eastAsia="es-CO"/>
        </w:rPr>
        <w:t xml:space="preserve">habiendo establecido la misma disposición </w:t>
      </w:r>
      <w:r w:rsidR="00630654" w:rsidRPr="00BC4244">
        <w:rPr>
          <w:rFonts w:ascii="Arial" w:hAnsi="Arial" w:cs="Arial"/>
          <w:sz w:val="24"/>
          <w:szCs w:val="24"/>
          <w:lang w:val="es-ES" w:eastAsia="es-CO"/>
        </w:rPr>
        <w:t>en el artículo 4</w:t>
      </w:r>
      <w:r w:rsidR="00AE4821" w:rsidRPr="00BC4244">
        <w:rPr>
          <w:rFonts w:ascii="Arial" w:hAnsi="Arial" w:cs="Arial"/>
          <w:sz w:val="24"/>
          <w:szCs w:val="24"/>
          <w:lang w:val="es-ES" w:eastAsia="es-CO"/>
        </w:rPr>
        <w:t xml:space="preserve">º </w:t>
      </w:r>
      <w:r w:rsidR="00AE4821" w:rsidRPr="00BC4244">
        <w:rPr>
          <w:rStyle w:val="normaltextrun"/>
          <w:rFonts w:ascii="Arial" w:hAnsi="Arial" w:cs="Arial"/>
          <w:color w:val="000000"/>
          <w:sz w:val="24"/>
          <w:szCs w:val="24"/>
          <w:shd w:val="clear" w:color="auto" w:fill="FFFFFF"/>
          <w:lang w:val="es-ES"/>
        </w:rPr>
        <w:t xml:space="preserve">que </w:t>
      </w:r>
      <w:r w:rsidR="00AE4821" w:rsidRPr="00BC4244">
        <w:rPr>
          <w:rStyle w:val="normaltextrun"/>
          <w:rFonts w:ascii="Arial" w:hAnsi="Arial" w:cs="Arial"/>
          <w:i/>
          <w:iCs/>
          <w:color w:val="000000"/>
          <w:sz w:val="24"/>
          <w:szCs w:val="24"/>
          <w:shd w:val="clear" w:color="auto" w:fill="FFFFFF"/>
          <w:lang w:val="es-ES"/>
        </w:rPr>
        <w:t>“</w:t>
      </w:r>
      <w:r w:rsidR="00AE4821" w:rsidRPr="00C11AF2">
        <w:rPr>
          <w:rStyle w:val="normaltextrun"/>
          <w:rFonts w:ascii="Arial" w:hAnsi="Arial" w:cs="Arial"/>
          <w:i/>
          <w:iCs/>
          <w:color w:val="000000"/>
          <w:sz w:val="22"/>
          <w:szCs w:val="24"/>
          <w:shd w:val="clear" w:color="auto" w:fill="FFFFFF"/>
          <w:lang w:val="es-ES"/>
        </w:rPr>
        <w:t>A los trámites no contemplados en este acuerdo se aplicarán las tarifas establecidas para asuntos similares</w:t>
      </w:r>
      <w:r w:rsidR="00AE4821" w:rsidRPr="00BC4244">
        <w:rPr>
          <w:rStyle w:val="normaltextrun"/>
          <w:rFonts w:ascii="Arial" w:hAnsi="Arial" w:cs="Arial"/>
          <w:color w:val="000000"/>
          <w:sz w:val="24"/>
          <w:szCs w:val="24"/>
          <w:shd w:val="clear" w:color="auto" w:fill="FFFFFF"/>
          <w:lang w:val="es-ES"/>
        </w:rPr>
        <w:t xml:space="preserve">”, resulta claro </w:t>
      </w:r>
      <w:r w:rsidR="00630654" w:rsidRPr="00BC4244">
        <w:rPr>
          <w:rStyle w:val="normaltextrun"/>
          <w:rFonts w:ascii="Arial" w:hAnsi="Arial" w:cs="Arial"/>
          <w:color w:val="000000"/>
          <w:sz w:val="24"/>
          <w:szCs w:val="24"/>
          <w:shd w:val="clear" w:color="auto" w:fill="FFFFFF"/>
          <w:lang w:val="es-ES"/>
        </w:rPr>
        <w:t>que,</w:t>
      </w:r>
      <w:r w:rsidR="00244EE7" w:rsidRPr="00BC4244">
        <w:rPr>
          <w:rStyle w:val="normaltextrun"/>
          <w:rFonts w:ascii="Arial" w:hAnsi="Arial" w:cs="Arial"/>
          <w:color w:val="000000"/>
          <w:sz w:val="24"/>
          <w:szCs w:val="24"/>
          <w:shd w:val="clear" w:color="auto" w:fill="FFFFFF"/>
          <w:lang w:val="es-ES"/>
        </w:rPr>
        <w:t xml:space="preserve"> </w:t>
      </w:r>
      <w:r w:rsidR="00630654" w:rsidRPr="00BC4244">
        <w:rPr>
          <w:rStyle w:val="normaltextrun"/>
          <w:rFonts w:ascii="Arial" w:hAnsi="Arial" w:cs="Arial"/>
          <w:color w:val="000000"/>
          <w:sz w:val="24"/>
          <w:szCs w:val="24"/>
          <w:shd w:val="clear" w:color="auto" w:fill="FFFFFF"/>
          <w:lang w:val="es-ES"/>
        </w:rPr>
        <w:t>para el caso d</w:t>
      </w:r>
      <w:r w:rsidR="00AE4821" w:rsidRPr="00BC4244">
        <w:rPr>
          <w:rStyle w:val="normaltextrun"/>
          <w:rFonts w:ascii="Arial" w:hAnsi="Arial" w:cs="Arial"/>
          <w:color w:val="000000"/>
          <w:sz w:val="24"/>
          <w:szCs w:val="24"/>
          <w:shd w:val="clear" w:color="auto" w:fill="FFFFFF"/>
          <w:lang w:val="es-ES"/>
        </w:rPr>
        <w:t xml:space="preserve">el proceso ejecutivo laboral, que no </w:t>
      </w:r>
      <w:r w:rsidR="00630654" w:rsidRPr="00BC4244">
        <w:rPr>
          <w:rStyle w:val="normaltextrun"/>
          <w:rFonts w:ascii="Arial" w:hAnsi="Arial" w:cs="Arial"/>
          <w:color w:val="000000"/>
          <w:sz w:val="24"/>
          <w:szCs w:val="24"/>
          <w:shd w:val="clear" w:color="auto" w:fill="FFFFFF"/>
          <w:lang w:val="es-ES"/>
        </w:rPr>
        <w:t xml:space="preserve">fue </w:t>
      </w:r>
      <w:r w:rsidR="00AE4821" w:rsidRPr="00BC4244">
        <w:rPr>
          <w:rStyle w:val="normaltextrun"/>
          <w:rFonts w:ascii="Arial" w:hAnsi="Arial" w:cs="Arial"/>
          <w:color w:val="000000"/>
          <w:sz w:val="24"/>
          <w:szCs w:val="24"/>
          <w:shd w:val="clear" w:color="auto" w:fill="FFFFFF"/>
          <w:lang w:val="es-ES"/>
        </w:rPr>
        <w:t>incluido de manera específi</w:t>
      </w:r>
      <w:r w:rsidR="008B6CE0" w:rsidRPr="00BC4244">
        <w:rPr>
          <w:rStyle w:val="normaltextrun"/>
          <w:rFonts w:ascii="Arial" w:hAnsi="Arial" w:cs="Arial"/>
          <w:color w:val="000000"/>
          <w:sz w:val="24"/>
          <w:szCs w:val="24"/>
          <w:shd w:val="clear" w:color="auto" w:fill="FFFFFF"/>
          <w:lang w:val="es-ES"/>
        </w:rPr>
        <w:t>ca, debe recurrirse a lo dispuesto</w:t>
      </w:r>
      <w:r w:rsidR="00630654" w:rsidRPr="00BC4244">
        <w:rPr>
          <w:rStyle w:val="normaltextrun"/>
          <w:rFonts w:ascii="Arial" w:hAnsi="Arial" w:cs="Arial"/>
          <w:color w:val="000000"/>
          <w:sz w:val="24"/>
          <w:szCs w:val="24"/>
          <w:shd w:val="clear" w:color="auto" w:fill="FFFFFF"/>
          <w:lang w:val="es-ES"/>
        </w:rPr>
        <w:t xml:space="preserve"> en el numeral 4º del artículo 5º del acto administrativo en mención </w:t>
      </w:r>
      <w:r w:rsidR="00244EE7" w:rsidRPr="00BC4244">
        <w:rPr>
          <w:rStyle w:val="normaltextrun"/>
          <w:rFonts w:ascii="Arial" w:hAnsi="Arial" w:cs="Arial"/>
          <w:color w:val="000000"/>
          <w:sz w:val="24"/>
          <w:szCs w:val="24"/>
          <w:shd w:val="clear" w:color="auto" w:fill="FFFFFF"/>
          <w:lang w:val="es-ES"/>
        </w:rPr>
        <w:t>y ubicar el asunto</w:t>
      </w:r>
      <w:r w:rsidR="00F448A4" w:rsidRPr="00BC4244">
        <w:rPr>
          <w:rStyle w:val="normaltextrun"/>
          <w:rFonts w:ascii="Arial" w:hAnsi="Arial" w:cs="Arial"/>
          <w:color w:val="000000"/>
          <w:sz w:val="24"/>
          <w:szCs w:val="24"/>
          <w:shd w:val="clear" w:color="auto" w:fill="FFFFFF"/>
          <w:lang w:val="es-ES"/>
        </w:rPr>
        <w:t>,</w:t>
      </w:r>
      <w:r w:rsidR="00244EE7" w:rsidRPr="00BC4244">
        <w:rPr>
          <w:rStyle w:val="normaltextrun"/>
          <w:rFonts w:ascii="Arial" w:hAnsi="Arial" w:cs="Arial"/>
          <w:color w:val="000000"/>
          <w:sz w:val="24"/>
          <w:szCs w:val="24"/>
          <w:shd w:val="clear" w:color="auto" w:fill="FFFFFF"/>
          <w:lang w:val="es-ES"/>
        </w:rPr>
        <w:t xml:space="preserve"> de acuerdo </w:t>
      </w:r>
      <w:r w:rsidR="00F448A4" w:rsidRPr="00BC4244">
        <w:rPr>
          <w:rStyle w:val="normaltextrun"/>
          <w:rFonts w:ascii="Arial" w:hAnsi="Arial" w:cs="Arial"/>
          <w:color w:val="000000"/>
          <w:sz w:val="24"/>
          <w:szCs w:val="24"/>
          <w:shd w:val="clear" w:color="auto" w:fill="FFFFFF"/>
          <w:lang w:val="es-ES"/>
        </w:rPr>
        <w:t>a</w:t>
      </w:r>
      <w:r w:rsidR="00244EE7" w:rsidRPr="00BC4244">
        <w:rPr>
          <w:rStyle w:val="normaltextrun"/>
          <w:rFonts w:ascii="Arial" w:hAnsi="Arial" w:cs="Arial"/>
          <w:color w:val="000000"/>
          <w:sz w:val="24"/>
          <w:szCs w:val="24"/>
          <w:shd w:val="clear" w:color="auto" w:fill="FFFFFF"/>
          <w:lang w:val="es-ES"/>
        </w:rPr>
        <w:t>l monto de la obligación cobrada</w:t>
      </w:r>
      <w:r w:rsidR="00F448A4" w:rsidRPr="00BC4244">
        <w:rPr>
          <w:rStyle w:val="normaltextrun"/>
          <w:rFonts w:ascii="Arial" w:hAnsi="Arial" w:cs="Arial"/>
          <w:color w:val="000000"/>
          <w:sz w:val="24"/>
          <w:szCs w:val="24"/>
          <w:shd w:val="clear" w:color="auto" w:fill="FFFFFF"/>
          <w:lang w:val="es-ES"/>
        </w:rPr>
        <w:t>,</w:t>
      </w:r>
      <w:r w:rsidR="00244EE7" w:rsidRPr="00BC4244">
        <w:rPr>
          <w:rStyle w:val="normaltextrun"/>
          <w:rFonts w:ascii="Arial" w:hAnsi="Arial" w:cs="Arial"/>
          <w:color w:val="000000"/>
          <w:sz w:val="24"/>
          <w:szCs w:val="24"/>
          <w:shd w:val="clear" w:color="auto" w:fill="FFFFFF"/>
          <w:lang w:val="es-ES"/>
        </w:rPr>
        <w:t xml:space="preserve"> entre los proceso allí descritos (ejecutivos de mínima, menor y mayor cuantía).</w:t>
      </w:r>
    </w:p>
    <w:p w14:paraId="15F3BB05" w14:textId="77777777" w:rsidR="00D57AC9" w:rsidRPr="00BC4244" w:rsidRDefault="00D57AC9" w:rsidP="00BC4244">
      <w:pPr>
        <w:spacing w:line="276" w:lineRule="auto"/>
        <w:jc w:val="both"/>
        <w:textAlignment w:val="baseline"/>
        <w:rPr>
          <w:rFonts w:ascii="Arial" w:hAnsi="Arial" w:cs="Arial"/>
          <w:sz w:val="24"/>
          <w:szCs w:val="24"/>
          <w:lang w:eastAsia="es-CO"/>
        </w:rPr>
      </w:pPr>
      <w:r w:rsidRPr="00BC4244">
        <w:rPr>
          <w:rFonts w:ascii="Arial" w:hAnsi="Arial" w:cs="Arial"/>
          <w:sz w:val="24"/>
          <w:szCs w:val="24"/>
          <w:lang w:eastAsia="es-CO"/>
        </w:rPr>
        <w:t> </w:t>
      </w:r>
    </w:p>
    <w:p w14:paraId="0AC5F8E2" w14:textId="50C9B1BC" w:rsidR="005F293A" w:rsidRPr="00BC4244" w:rsidRDefault="005F293A" w:rsidP="00BC4244">
      <w:pPr>
        <w:spacing w:line="276" w:lineRule="auto"/>
        <w:jc w:val="both"/>
        <w:rPr>
          <w:rFonts w:ascii="Arial" w:hAnsi="Arial" w:cs="Arial"/>
          <w:sz w:val="24"/>
          <w:szCs w:val="24"/>
          <w:lang w:eastAsia="es-CO"/>
        </w:rPr>
      </w:pPr>
      <w:r w:rsidRPr="00BC4244">
        <w:rPr>
          <w:rFonts w:ascii="Arial" w:hAnsi="Arial" w:cs="Arial"/>
          <w:sz w:val="24"/>
          <w:szCs w:val="24"/>
          <w:lang w:val="es-ES" w:eastAsia="es-CO"/>
        </w:rPr>
        <w:t xml:space="preserve">Claro lo anterior, baste decir que la inconformidad del recurrente se suscribe </w:t>
      </w:r>
      <w:r w:rsidR="000724FF" w:rsidRPr="00BC4244">
        <w:rPr>
          <w:rFonts w:ascii="Arial" w:hAnsi="Arial" w:cs="Arial"/>
          <w:sz w:val="24"/>
          <w:szCs w:val="24"/>
          <w:lang w:val="es-ES" w:eastAsia="es-CO"/>
        </w:rPr>
        <w:t>al valor del crédito a considerar para liquidar las agencias en derecho</w:t>
      </w:r>
      <w:r w:rsidRPr="00BC4244">
        <w:rPr>
          <w:rFonts w:ascii="Arial" w:hAnsi="Arial" w:cs="Arial"/>
          <w:sz w:val="24"/>
          <w:szCs w:val="24"/>
          <w:lang w:val="es-ES" w:eastAsia="es-CO"/>
        </w:rPr>
        <w:t>, sin que ningún reproche le merezca el porcentaje asignado por el juzgado ni</w:t>
      </w:r>
      <w:r w:rsidRPr="00BC4244">
        <w:rPr>
          <w:rFonts w:ascii="Arial" w:hAnsi="Arial" w:cs="Arial"/>
          <w:sz w:val="24"/>
          <w:szCs w:val="24"/>
          <w:lang w:eastAsia="es-CO"/>
        </w:rPr>
        <w:t xml:space="preserve"> los criterios tenidos en cuenta para su asignación, por lo tanto, ningún análisis se hará en relación con estos dos aspectos.</w:t>
      </w:r>
    </w:p>
    <w:p w14:paraId="5C2545B7" w14:textId="22759C82" w:rsidR="00CE2B62" w:rsidRPr="00BC4244" w:rsidRDefault="00CE2B62" w:rsidP="00BC4244">
      <w:pPr>
        <w:spacing w:line="276" w:lineRule="auto"/>
        <w:jc w:val="both"/>
        <w:rPr>
          <w:rFonts w:ascii="Arial" w:hAnsi="Arial" w:cs="Arial"/>
          <w:sz w:val="24"/>
          <w:szCs w:val="24"/>
          <w:lang w:eastAsia="es-CO"/>
        </w:rPr>
      </w:pPr>
    </w:p>
    <w:p w14:paraId="1501DDA1" w14:textId="51C55EB8" w:rsidR="00CE2B62" w:rsidRPr="00BC4244" w:rsidRDefault="00CE2B62" w:rsidP="00BC4244">
      <w:pPr>
        <w:spacing w:line="276" w:lineRule="auto"/>
        <w:jc w:val="both"/>
        <w:rPr>
          <w:rFonts w:ascii="Arial" w:hAnsi="Arial" w:cs="Arial"/>
          <w:i/>
          <w:iCs/>
          <w:sz w:val="24"/>
          <w:szCs w:val="24"/>
          <w:lang w:eastAsia="es-CO"/>
        </w:rPr>
      </w:pPr>
      <w:r w:rsidRPr="00BC4244">
        <w:rPr>
          <w:rFonts w:ascii="Arial" w:hAnsi="Arial" w:cs="Arial"/>
          <w:sz w:val="24"/>
          <w:szCs w:val="24"/>
          <w:lang w:eastAsia="es-CO"/>
        </w:rPr>
        <w:t>De otro la</w:t>
      </w:r>
      <w:r w:rsidR="007B249A" w:rsidRPr="00BC4244">
        <w:rPr>
          <w:rFonts w:ascii="Arial" w:hAnsi="Arial" w:cs="Arial"/>
          <w:sz w:val="24"/>
          <w:szCs w:val="24"/>
          <w:lang w:eastAsia="es-CO"/>
        </w:rPr>
        <w:t>do, ha de tenerse en cuenta que la acción ejecutiva que ocupa la atención de la Sala inició el 12 de oct</w:t>
      </w:r>
      <w:r w:rsidR="00BF4697" w:rsidRPr="00BC4244">
        <w:rPr>
          <w:rFonts w:ascii="Arial" w:hAnsi="Arial" w:cs="Arial"/>
          <w:sz w:val="24"/>
          <w:szCs w:val="24"/>
          <w:lang w:eastAsia="es-CO"/>
        </w:rPr>
        <w:t xml:space="preserve">ubre </w:t>
      </w:r>
      <w:r w:rsidR="0082401A" w:rsidRPr="00BC4244">
        <w:rPr>
          <w:rFonts w:ascii="Arial" w:hAnsi="Arial" w:cs="Arial"/>
          <w:sz w:val="24"/>
          <w:szCs w:val="24"/>
          <w:lang w:eastAsia="es-CO"/>
        </w:rPr>
        <w:t>de 2016 ante la ausencia de pago de la condena impuesta a la UGPP</w:t>
      </w:r>
      <w:r w:rsidR="00651F6B" w:rsidRPr="00BC4244">
        <w:rPr>
          <w:rFonts w:ascii="Arial" w:hAnsi="Arial" w:cs="Arial"/>
          <w:sz w:val="24"/>
          <w:szCs w:val="24"/>
          <w:lang w:eastAsia="es-CO"/>
        </w:rPr>
        <w:t xml:space="preserve"> en este asunto, motivo por el cual se libró mandamiento de pago, frente al </w:t>
      </w:r>
      <w:r w:rsidR="4672ED11" w:rsidRPr="00BC4244">
        <w:rPr>
          <w:rFonts w:ascii="Arial" w:hAnsi="Arial" w:cs="Arial"/>
          <w:sz w:val="24"/>
          <w:szCs w:val="24"/>
          <w:lang w:eastAsia="es-CO"/>
        </w:rPr>
        <w:t>que</w:t>
      </w:r>
      <w:r w:rsidR="00651F6B" w:rsidRPr="00BC4244">
        <w:rPr>
          <w:rFonts w:ascii="Arial" w:hAnsi="Arial" w:cs="Arial"/>
          <w:sz w:val="24"/>
          <w:szCs w:val="24"/>
          <w:lang w:eastAsia="es-CO"/>
        </w:rPr>
        <w:t xml:space="preserve"> </w:t>
      </w:r>
      <w:r w:rsidR="006644F9" w:rsidRPr="00BC4244">
        <w:rPr>
          <w:rFonts w:ascii="Arial" w:hAnsi="Arial" w:cs="Arial"/>
          <w:sz w:val="24"/>
          <w:szCs w:val="24"/>
          <w:lang w:eastAsia="es-CO"/>
        </w:rPr>
        <w:t>la ejecutada, el día 3 de febrero de 2017, formuló el</w:t>
      </w:r>
      <w:r w:rsidR="00651F6B" w:rsidRPr="00BC4244">
        <w:rPr>
          <w:rFonts w:ascii="Arial" w:hAnsi="Arial" w:cs="Arial"/>
          <w:sz w:val="24"/>
          <w:szCs w:val="24"/>
          <w:lang w:eastAsia="es-CO"/>
        </w:rPr>
        <w:t xml:space="preserve"> incidente de nulidad</w:t>
      </w:r>
      <w:r w:rsidR="006644F9" w:rsidRPr="00BC4244">
        <w:rPr>
          <w:rFonts w:ascii="Arial" w:hAnsi="Arial" w:cs="Arial"/>
          <w:sz w:val="24"/>
          <w:szCs w:val="24"/>
          <w:lang w:eastAsia="es-CO"/>
        </w:rPr>
        <w:t xml:space="preserve"> </w:t>
      </w:r>
      <w:r w:rsidR="00651F6B" w:rsidRPr="00BC4244">
        <w:rPr>
          <w:rFonts w:ascii="Arial" w:hAnsi="Arial" w:cs="Arial"/>
          <w:sz w:val="24"/>
          <w:szCs w:val="24"/>
          <w:lang w:eastAsia="es-CO"/>
        </w:rPr>
        <w:t>y</w:t>
      </w:r>
      <w:r w:rsidR="006644F9" w:rsidRPr="00BC4244">
        <w:rPr>
          <w:rFonts w:ascii="Arial" w:hAnsi="Arial" w:cs="Arial"/>
          <w:sz w:val="24"/>
          <w:szCs w:val="24"/>
          <w:lang w:eastAsia="es-CO"/>
        </w:rPr>
        <w:t xml:space="preserve"> posteriormente, el </w:t>
      </w:r>
      <w:r w:rsidR="006644F9" w:rsidRPr="00BC4244">
        <w:rPr>
          <w:rFonts w:ascii="Arial" w:hAnsi="Arial" w:cs="Arial"/>
          <w:b/>
          <w:bCs/>
          <w:sz w:val="24"/>
          <w:szCs w:val="24"/>
          <w:lang w:eastAsia="es-CO"/>
        </w:rPr>
        <w:t>9 de febrero de 2017</w:t>
      </w:r>
      <w:r w:rsidR="00620545" w:rsidRPr="00BC4244">
        <w:rPr>
          <w:rFonts w:ascii="Arial" w:hAnsi="Arial" w:cs="Arial"/>
          <w:sz w:val="24"/>
          <w:szCs w:val="24"/>
          <w:lang w:eastAsia="es-CO"/>
        </w:rPr>
        <w:t xml:space="preserve"> </w:t>
      </w:r>
      <w:r w:rsidR="00A322BC" w:rsidRPr="00BC4244">
        <w:rPr>
          <w:rFonts w:ascii="Arial" w:hAnsi="Arial" w:cs="Arial"/>
          <w:sz w:val="24"/>
          <w:szCs w:val="24"/>
          <w:lang w:eastAsia="es-CO"/>
        </w:rPr>
        <w:t>propuso las</w:t>
      </w:r>
      <w:r w:rsidR="00FF21E8" w:rsidRPr="00BC4244">
        <w:rPr>
          <w:rFonts w:ascii="Arial" w:hAnsi="Arial" w:cs="Arial"/>
          <w:sz w:val="24"/>
          <w:szCs w:val="24"/>
          <w:lang w:eastAsia="es-CO"/>
        </w:rPr>
        <w:t xml:space="preserve"> </w:t>
      </w:r>
      <w:r w:rsidR="00620545" w:rsidRPr="00BC4244">
        <w:rPr>
          <w:rFonts w:ascii="Arial" w:hAnsi="Arial" w:cs="Arial"/>
          <w:sz w:val="24"/>
          <w:szCs w:val="24"/>
          <w:lang w:eastAsia="es-CO"/>
        </w:rPr>
        <w:t xml:space="preserve">excepciones de </w:t>
      </w:r>
      <w:r w:rsidR="00620545" w:rsidRPr="00BC4244">
        <w:rPr>
          <w:rFonts w:ascii="Arial" w:hAnsi="Arial" w:cs="Arial"/>
          <w:i/>
          <w:iCs/>
          <w:sz w:val="24"/>
          <w:szCs w:val="24"/>
          <w:lang w:eastAsia="es-CO"/>
        </w:rPr>
        <w:t>“</w:t>
      </w:r>
      <w:r w:rsidR="00BD0411" w:rsidRPr="00BC4244">
        <w:rPr>
          <w:rFonts w:ascii="Arial" w:hAnsi="Arial" w:cs="Arial"/>
          <w:i/>
          <w:iCs/>
          <w:sz w:val="24"/>
          <w:szCs w:val="24"/>
          <w:lang w:eastAsia="es-CO"/>
        </w:rPr>
        <w:t>P</w:t>
      </w:r>
      <w:r w:rsidR="00620545" w:rsidRPr="00BC4244">
        <w:rPr>
          <w:rFonts w:ascii="Arial" w:hAnsi="Arial" w:cs="Arial"/>
          <w:i/>
          <w:iCs/>
          <w:sz w:val="24"/>
          <w:szCs w:val="24"/>
          <w:lang w:eastAsia="es-CO"/>
        </w:rPr>
        <w:t>ago de la obligación”, “</w:t>
      </w:r>
      <w:r w:rsidR="00BD0411" w:rsidRPr="00BC4244">
        <w:rPr>
          <w:rFonts w:ascii="Arial" w:hAnsi="Arial" w:cs="Arial"/>
          <w:i/>
          <w:iCs/>
          <w:sz w:val="24"/>
          <w:szCs w:val="24"/>
          <w:lang w:eastAsia="es-CO"/>
        </w:rPr>
        <w:t>F</w:t>
      </w:r>
      <w:r w:rsidR="00620545" w:rsidRPr="00BC4244">
        <w:rPr>
          <w:rFonts w:ascii="Arial" w:hAnsi="Arial" w:cs="Arial"/>
          <w:i/>
          <w:iCs/>
          <w:sz w:val="24"/>
          <w:szCs w:val="24"/>
          <w:lang w:eastAsia="es-CO"/>
        </w:rPr>
        <w:t xml:space="preserve">alta de competencia de la Unidad Administrativa Especial de Gestión Pensional y Contribuciones Parafiscales de la Protección Social –UGPP-, para asumir las resulta de este proceso ejecutivo”, “falta de legitimación en la causa por pasiva”, “Inexistencia de la Obligación por parte de </w:t>
      </w:r>
      <w:proofErr w:type="spellStart"/>
      <w:r w:rsidR="00620545" w:rsidRPr="00BC4244">
        <w:rPr>
          <w:rFonts w:ascii="Arial" w:hAnsi="Arial" w:cs="Arial"/>
          <w:i/>
          <w:iCs/>
          <w:sz w:val="24"/>
          <w:szCs w:val="24"/>
          <w:lang w:eastAsia="es-CO"/>
        </w:rPr>
        <w:t>al</w:t>
      </w:r>
      <w:proofErr w:type="spellEnd"/>
      <w:r w:rsidR="00620545" w:rsidRPr="00BC4244">
        <w:rPr>
          <w:rFonts w:ascii="Arial" w:hAnsi="Arial" w:cs="Arial"/>
          <w:i/>
          <w:iCs/>
          <w:sz w:val="24"/>
          <w:szCs w:val="24"/>
          <w:lang w:eastAsia="es-CO"/>
        </w:rPr>
        <w:t xml:space="preserve"> UGPP”, “Prescripción Extintiva de la Acción Ejecutiva Laboral”, “Buena fe</w:t>
      </w:r>
      <w:r w:rsidR="00620545" w:rsidRPr="00BC4244">
        <w:rPr>
          <w:rFonts w:ascii="Arial" w:hAnsi="Arial" w:cs="Arial"/>
          <w:sz w:val="24"/>
          <w:szCs w:val="24"/>
          <w:lang w:eastAsia="es-CO"/>
        </w:rPr>
        <w:t xml:space="preserve">” </w:t>
      </w:r>
      <w:r w:rsidR="00426250" w:rsidRPr="00BC4244">
        <w:rPr>
          <w:rFonts w:ascii="Arial" w:hAnsi="Arial" w:cs="Arial"/>
          <w:sz w:val="24"/>
          <w:szCs w:val="24"/>
          <w:lang w:eastAsia="es-CO"/>
        </w:rPr>
        <w:t>y la que denominó</w:t>
      </w:r>
      <w:r w:rsidR="00426250" w:rsidRPr="00BC4244">
        <w:rPr>
          <w:rFonts w:ascii="Arial" w:hAnsi="Arial" w:cs="Arial"/>
          <w:i/>
          <w:iCs/>
          <w:sz w:val="24"/>
          <w:szCs w:val="24"/>
          <w:lang w:eastAsia="es-CO"/>
        </w:rPr>
        <w:t xml:space="preserve"> “</w:t>
      </w:r>
      <w:r w:rsidR="00BD0411" w:rsidRPr="00BC4244">
        <w:rPr>
          <w:rFonts w:ascii="Arial" w:hAnsi="Arial" w:cs="Arial"/>
          <w:i/>
          <w:iCs/>
          <w:sz w:val="24"/>
          <w:szCs w:val="24"/>
          <w:lang w:eastAsia="es-CO"/>
        </w:rPr>
        <w:t>Genérica</w:t>
      </w:r>
      <w:r w:rsidR="00426250" w:rsidRPr="00BC4244">
        <w:rPr>
          <w:rFonts w:ascii="Arial" w:hAnsi="Arial" w:cs="Arial"/>
          <w:i/>
          <w:iCs/>
          <w:sz w:val="24"/>
          <w:szCs w:val="24"/>
          <w:lang w:eastAsia="es-CO"/>
        </w:rPr>
        <w:t>”</w:t>
      </w:r>
      <w:r w:rsidR="00BD0411" w:rsidRPr="00BC4244">
        <w:rPr>
          <w:rFonts w:ascii="Arial" w:hAnsi="Arial" w:cs="Arial"/>
          <w:i/>
          <w:iCs/>
          <w:sz w:val="24"/>
          <w:szCs w:val="24"/>
          <w:lang w:eastAsia="es-CO"/>
        </w:rPr>
        <w:t>.</w:t>
      </w:r>
    </w:p>
    <w:p w14:paraId="452E34D5" w14:textId="18ADBB0E" w:rsidR="00BD0411" w:rsidRPr="00BC4244" w:rsidRDefault="00BD0411" w:rsidP="00BC4244">
      <w:pPr>
        <w:spacing w:line="276" w:lineRule="auto"/>
        <w:jc w:val="both"/>
        <w:rPr>
          <w:rFonts w:ascii="Arial" w:hAnsi="Arial" w:cs="Arial"/>
          <w:i/>
          <w:sz w:val="24"/>
          <w:szCs w:val="24"/>
          <w:lang w:eastAsia="es-CO"/>
        </w:rPr>
      </w:pPr>
    </w:p>
    <w:p w14:paraId="0D263070" w14:textId="0C2B6330" w:rsidR="00BD0411" w:rsidRPr="00BC4244" w:rsidRDefault="00BD0411" w:rsidP="00BC4244">
      <w:pPr>
        <w:spacing w:line="276" w:lineRule="auto"/>
        <w:jc w:val="both"/>
        <w:rPr>
          <w:rFonts w:ascii="Arial" w:hAnsi="Arial" w:cs="Arial"/>
          <w:sz w:val="24"/>
          <w:szCs w:val="24"/>
          <w:lang w:eastAsia="es-CO"/>
        </w:rPr>
      </w:pPr>
      <w:r w:rsidRPr="00BC4244">
        <w:rPr>
          <w:rFonts w:ascii="Arial" w:hAnsi="Arial" w:cs="Arial"/>
          <w:sz w:val="24"/>
          <w:szCs w:val="24"/>
          <w:lang w:eastAsia="es-CO"/>
        </w:rPr>
        <w:t xml:space="preserve">La nulidad y las excepciones propuestas no resultaron prósperas y frente a la de pago, específicamente esta Sala de Decisión se pronunció en providencia de fecha 30 de septiembre de 2020, con ponencia de quien hoy cumple el mismo encargo, precisando que </w:t>
      </w:r>
      <w:r w:rsidR="00FF21E8" w:rsidRPr="00BC4244">
        <w:rPr>
          <w:rFonts w:ascii="Arial" w:hAnsi="Arial" w:cs="Arial"/>
          <w:sz w:val="24"/>
          <w:szCs w:val="24"/>
          <w:lang w:eastAsia="es-CO"/>
        </w:rPr>
        <w:t xml:space="preserve">lo </w:t>
      </w:r>
      <w:r w:rsidR="042DD271" w:rsidRPr="00BC4244">
        <w:rPr>
          <w:rFonts w:ascii="Arial" w:hAnsi="Arial" w:cs="Arial"/>
          <w:sz w:val="24"/>
          <w:szCs w:val="24"/>
          <w:lang w:eastAsia="es-CO"/>
        </w:rPr>
        <w:t>cancelado a</w:t>
      </w:r>
      <w:r w:rsidRPr="00BC4244">
        <w:rPr>
          <w:rFonts w:ascii="Arial" w:hAnsi="Arial" w:cs="Arial"/>
          <w:sz w:val="24"/>
          <w:szCs w:val="24"/>
          <w:lang w:eastAsia="es-CO"/>
        </w:rPr>
        <w:t xml:space="preserve"> la demandante no correspondía a este proceso sino al adelantado por la misma persona en contra del Instituto de Seguros Sociales en liquidación </w:t>
      </w:r>
      <w:r w:rsidR="320E5A50" w:rsidRPr="00BC4244">
        <w:rPr>
          <w:rFonts w:ascii="Arial" w:hAnsi="Arial" w:cs="Arial"/>
          <w:sz w:val="24"/>
          <w:szCs w:val="24"/>
          <w:lang w:eastAsia="es-CO"/>
        </w:rPr>
        <w:t>que, en</w:t>
      </w:r>
      <w:r w:rsidRPr="00BC4244">
        <w:rPr>
          <w:rFonts w:ascii="Arial" w:hAnsi="Arial" w:cs="Arial"/>
          <w:sz w:val="24"/>
          <w:szCs w:val="24"/>
          <w:lang w:eastAsia="es-CO"/>
        </w:rPr>
        <w:t xml:space="preserve"> su condición de empleador, fue condenado a pagar prestaciones sociales.  En </w:t>
      </w:r>
      <w:r w:rsidR="00A322BC" w:rsidRPr="00BC4244">
        <w:rPr>
          <w:rFonts w:ascii="Arial" w:hAnsi="Arial" w:cs="Arial"/>
          <w:sz w:val="24"/>
          <w:szCs w:val="24"/>
          <w:lang w:eastAsia="es-CO"/>
        </w:rPr>
        <w:t>aquella</w:t>
      </w:r>
      <w:r w:rsidRPr="00BC4244">
        <w:rPr>
          <w:rFonts w:ascii="Arial" w:hAnsi="Arial" w:cs="Arial"/>
          <w:sz w:val="24"/>
          <w:szCs w:val="24"/>
          <w:lang w:eastAsia="es-CO"/>
        </w:rPr>
        <w:t xml:space="preserve"> oportunidad dijo la Corporación:</w:t>
      </w:r>
    </w:p>
    <w:p w14:paraId="29189EE1" w14:textId="77777777" w:rsidR="00BD0411" w:rsidRPr="00BC4244" w:rsidRDefault="00BD0411" w:rsidP="00BC4244">
      <w:pPr>
        <w:spacing w:line="276" w:lineRule="auto"/>
        <w:jc w:val="both"/>
        <w:rPr>
          <w:rFonts w:ascii="Arial" w:hAnsi="Arial" w:cs="Arial"/>
          <w:sz w:val="24"/>
          <w:szCs w:val="24"/>
          <w:lang w:eastAsia="es-CO"/>
        </w:rPr>
      </w:pPr>
    </w:p>
    <w:p w14:paraId="7F5F983D" w14:textId="3CA0855B" w:rsidR="00BD0411" w:rsidRPr="00C11AF2" w:rsidRDefault="00BD0411" w:rsidP="00C11AF2">
      <w:pPr>
        <w:ind w:left="426" w:right="420"/>
        <w:jc w:val="both"/>
        <w:rPr>
          <w:rFonts w:ascii="Arial" w:hAnsi="Arial" w:cs="Arial"/>
          <w:i/>
          <w:sz w:val="22"/>
          <w:szCs w:val="24"/>
          <w:lang w:eastAsia="es-CO"/>
        </w:rPr>
      </w:pPr>
      <w:r w:rsidRPr="00C11AF2">
        <w:rPr>
          <w:rFonts w:ascii="Arial" w:hAnsi="Arial" w:cs="Arial"/>
          <w:sz w:val="22"/>
          <w:szCs w:val="24"/>
          <w:lang w:eastAsia="es-CO"/>
        </w:rPr>
        <w:t>“</w:t>
      </w:r>
      <w:r w:rsidRPr="00C11AF2">
        <w:rPr>
          <w:rFonts w:ascii="Arial" w:hAnsi="Arial" w:cs="Arial"/>
          <w:i/>
          <w:sz w:val="22"/>
          <w:szCs w:val="24"/>
          <w:lang w:eastAsia="es-CO"/>
        </w:rPr>
        <w:t xml:space="preserve">Hay evidencia en el plenario que el Instituto de Seguros Sociales en liquidación, a través de su agente liquidador, la Fiduprevisora S.A., mediante Resolución No 10729 de 31 de marzo de 2015 reconoció y admitió a favor de María Idalba Ramírez </w:t>
      </w:r>
      <w:r w:rsidR="00A322BC" w:rsidRPr="00C11AF2">
        <w:rPr>
          <w:rFonts w:ascii="Arial" w:hAnsi="Arial" w:cs="Arial"/>
          <w:i/>
          <w:sz w:val="22"/>
          <w:szCs w:val="24"/>
          <w:lang w:eastAsia="es-CO"/>
        </w:rPr>
        <w:t>Pulgarín</w:t>
      </w:r>
      <w:r w:rsidRPr="00C11AF2">
        <w:rPr>
          <w:rFonts w:ascii="Arial" w:hAnsi="Arial" w:cs="Arial"/>
          <w:i/>
          <w:sz w:val="22"/>
          <w:szCs w:val="24"/>
          <w:lang w:eastAsia="es-CO"/>
        </w:rPr>
        <w:t xml:space="preserve"> el crédito laboral de primera clase, en cumplimiento de la sentencia que sirve de título de recaudo, mediante la cual se condenó a la entidad en liquidación al pago de prestaciones sociales –</w:t>
      </w:r>
      <w:proofErr w:type="spellStart"/>
      <w:r w:rsidRPr="00C11AF2">
        <w:rPr>
          <w:rFonts w:ascii="Arial" w:hAnsi="Arial" w:cs="Arial"/>
          <w:i/>
          <w:sz w:val="22"/>
          <w:szCs w:val="24"/>
          <w:lang w:eastAsia="es-CO"/>
        </w:rPr>
        <w:t>fl</w:t>
      </w:r>
      <w:proofErr w:type="spellEnd"/>
      <w:r w:rsidRPr="00C11AF2">
        <w:rPr>
          <w:rFonts w:ascii="Arial" w:hAnsi="Arial" w:cs="Arial"/>
          <w:i/>
          <w:sz w:val="22"/>
          <w:szCs w:val="24"/>
          <w:lang w:eastAsia="es-CO"/>
        </w:rPr>
        <w:t xml:space="preserve"> 115 </w:t>
      </w:r>
      <w:proofErr w:type="spellStart"/>
      <w:r w:rsidRPr="00C11AF2">
        <w:rPr>
          <w:rFonts w:ascii="Arial" w:hAnsi="Arial" w:cs="Arial"/>
          <w:i/>
          <w:sz w:val="22"/>
          <w:szCs w:val="24"/>
          <w:lang w:eastAsia="es-CO"/>
        </w:rPr>
        <w:t>vto</w:t>
      </w:r>
      <w:proofErr w:type="spellEnd"/>
      <w:r w:rsidRPr="00C11AF2">
        <w:rPr>
          <w:rFonts w:ascii="Arial" w:hAnsi="Arial" w:cs="Arial"/>
          <w:i/>
          <w:sz w:val="22"/>
          <w:szCs w:val="24"/>
          <w:lang w:eastAsia="es-CO"/>
        </w:rPr>
        <w:t>-.</w:t>
      </w:r>
    </w:p>
    <w:p w14:paraId="130FB022" w14:textId="77777777" w:rsidR="00BD0411" w:rsidRPr="00C11AF2" w:rsidRDefault="00BD0411" w:rsidP="00C11AF2">
      <w:pPr>
        <w:ind w:left="426" w:right="420"/>
        <w:jc w:val="both"/>
        <w:rPr>
          <w:rFonts w:ascii="Arial" w:hAnsi="Arial" w:cs="Arial"/>
          <w:i/>
          <w:sz w:val="22"/>
          <w:szCs w:val="24"/>
          <w:lang w:eastAsia="es-CO"/>
        </w:rPr>
      </w:pPr>
    </w:p>
    <w:p w14:paraId="254290B9" w14:textId="5C6304B2" w:rsidR="00BD0411" w:rsidRPr="00C11AF2" w:rsidRDefault="00BD0411" w:rsidP="00C11AF2">
      <w:pPr>
        <w:ind w:left="426" w:right="420"/>
        <w:jc w:val="both"/>
        <w:rPr>
          <w:rFonts w:ascii="Arial" w:hAnsi="Arial" w:cs="Arial"/>
          <w:sz w:val="22"/>
          <w:szCs w:val="24"/>
          <w:lang w:eastAsia="es-CO"/>
        </w:rPr>
      </w:pPr>
      <w:r w:rsidRPr="00C11AF2">
        <w:rPr>
          <w:rFonts w:ascii="Arial" w:hAnsi="Arial" w:cs="Arial"/>
          <w:i/>
          <w:sz w:val="22"/>
          <w:szCs w:val="24"/>
          <w:lang w:eastAsia="es-CO"/>
        </w:rPr>
        <w:t>De acuerdo con lo expuesto, siendo este el fundamento de la UGPP para asegurar</w:t>
      </w:r>
      <w:r w:rsidR="00A322BC" w:rsidRPr="00C11AF2">
        <w:rPr>
          <w:rFonts w:ascii="Arial" w:hAnsi="Arial" w:cs="Arial"/>
          <w:i/>
          <w:sz w:val="22"/>
          <w:szCs w:val="24"/>
          <w:lang w:eastAsia="es-CO"/>
        </w:rPr>
        <w:t xml:space="preserve"> </w:t>
      </w:r>
      <w:r w:rsidRPr="00C11AF2">
        <w:rPr>
          <w:rFonts w:ascii="Arial" w:hAnsi="Arial" w:cs="Arial"/>
          <w:i/>
          <w:sz w:val="22"/>
          <w:szCs w:val="24"/>
          <w:lang w:eastAsia="es-CO"/>
        </w:rPr>
        <w:t>que la obligación cobrada por este medio fue cancelada, no tiene posibilidad alguna de prosperar la excepción de pago de la obligación, pues como viene de</w:t>
      </w:r>
      <w:r w:rsidR="00A322BC" w:rsidRPr="00C11AF2">
        <w:rPr>
          <w:rFonts w:ascii="Arial" w:hAnsi="Arial" w:cs="Arial"/>
          <w:i/>
          <w:sz w:val="22"/>
          <w:szCs w:val="24"/>
          <w:lang w:eastAsia="es-CO"/>
        </w:rPr>
        <w:t xml:space="preserve"> </w:t>
      </w:r>
      <w:r w:rsidRPr="00C11AF2">
        <w:rPr>
          <w:rFonts w:ascii="Arial" w:hAnsi="Arial" w:cs="Arial"/>
          <w:i/>
          <w:sz w:val="22"/>
          <w:szCs w:val="24"/>
          <w:lang w:eastAsia="es-CO"/>
        </w:rPr>
        <w:t>verse, lo que reclama la parte ejecutante es la condena impuesta por cuenta del</w:t>
      </w:r>
      <w:r w:rsidR="00A322BC" w:rsidRPr="00C11AF2">
        <w:rPr>
          <w:rFonts w:ascii="Arial" w:hAnsi="Arial" w:cs="Arial"/>
          <w:i/>
          <w:sz w:val="22"/>
          <w:szCs w:val="24"/>
          <w:lang w:eastAsia="es-CO"/>
        </w:rPr>
        <w:t xml:space="preserve"> </w:t>
      </w:r>
      <w:r w:rsidRPr="00C11AF2">
        <w:rPr>
          <w:rFonts w:ascii="Arial" w:hAnsi="Arial" w:cs="Arial"/>
          <w:i/>
          <w:sz w:val="22"/>
          <w:szCs w:val="24"/>
          <w:lang w:eastAsia="es-CO"/>
        </w:rPr>
        <w:t xml:space="preserve">reajuste del cual fue objeto la pensión de jubilación de naturaleza convencional reconocida por el extinto Instituto de Seguros Sociales, obligación que de acuerdo con lo previsto en </w:t>
      </w:r>
      <w:r w:rsidRPr="00C11AF2">
        <w:rPr>
          <w:rFonts w:ascii="Arial" w:hAnsi="Arial" w:cs="Arial"/>
          <w:i/>
          <w:sz w:val="22"/>
          <w:szCs w:val="24"/>
          <w:lang w:eastAsia="es-CO"/>
        </w:rPr>
        <w:lastRenderedPageBreak/>
        <w:t>los artículos 27 y 28 del Decreto 2013 de 2012, se encuentra a su cargo desde el 28 de febrero de 2014, de conformidad con lo previsto en el</w:t>
      </w:r>
      <w:r w:rsidR="00A322BC" w:rsidRPr="00C11AF2">
        <w:rPr>
          <w:rFonts w:ascii="Arial" w:hAnsi="Arial" w:cs="Arial"/>
          <w:i/>
          <w:sz w:val="22"/>
          <w:szCs w:val="24"/>
          <w:lang w:eastAsia="es-CO"/>
        </w:rPr>
        <w:t xml:space="preserve"> </w:t>
      </w:r>
      <w:r w:rsidRPr="00C11AF2">
        <w:rPr>
          <w:rFonts w:ascii="Arial" w:hAnsi="Arial" w:cs="Arial"/>
          <w:i/>
          <w:sz w:val="22"/>
          <w:szCs w:val="24"/>
          <w:lang w:eastAsia="es-CO"/>
        </w:rPr>
        <w:t>Decreto 3000 de 2014</w:t>
      </w:r>
      <w:r w:rsidRPr="00C11AF2">
        <w:rPr>
          <w:rFonts w:ascii="Arial" w:hAnsi="Arial" w:cs="Arial"/>
          <w:sz w:val="22"/>
          <w:szCs w:val="24"/>
          <w:lang w:eastAsia="es-CO"/>
        </w:rPr>
        <w:t xml:space="preserve">”.  </w:t>
      </w:r>
    </w:p>
    <w:p w14:paraId="66C78FFA" w14:textId="10F858DC" w:rsidR="00CE2B62" w:rsidRPr="00BC4244" w:rsidRDefault="00CE2B62" w:rsidP="00BC4244">
      <w:pPr>
        <w:spacing w:line="276" w:lineRule="auto"/>
        <w:jc w:val="both"/>
        <w:rPr>
          <w:rFonts w:ascii="Arial" w:hAnsi="Arial" w:cs="Arial"/>
          <w:sz w:val="24"/>
          <w:szCs w:val="24"/>
          <w:lang w:eastAsia="es-CO"/>
        </w:rPr>
      </w:pPr>
    </w:p>
    <w:p w14:paraId="461A5EA2" w14:textId="0C3B7E7A" w:rsidR="00080C68" w:rsidRPr="00BC4244" w:rsidRDefault="00A322BC" w:rsidP="00BC4244">
      <w:pPr>
        <w:widowControl w:val="0"/>
        <w:autoSpaceDE w:val="0"/>
        <w:autoSpaceDN w:val="0"/>
        <w:adjustRightInd w:val="0"/>
        <w:spacing w:line="276" w:lineRule="auto"/>
        <w:jc w:val="both"/>
        <w:rPr>
          <w:rFonts w:ascii="Arial" w:eastAsia="Arial" w:hAnsi="Arial" w:cs="Arial"/>
          <w:sz w:val="24"/>
          <w:szCs w:val="24"/>
          <w:lang w:val="es-ES"/>
        </w:rPr>
      </w:pPr>
      <w:r w:rsidRPr="00BC4244">
        <w:rPr>
          <w:rFonts w:ascii="Arial" w:eastAsia="Arial" w:hAnsi="Arial" w:cs="Arial"/>
          <w:sz w:val="24"/>
          <w:szCs w:val="24"/>
          <w:lang w:val="es-ES"/>
        </w:rPr>
        <w:t>No resultando airosas las excepciones y ordenándose dar continuidad al proceso</w:t>
      </w:r>
      <w:r w:rsidR="00080C68" w:rsidRPr="00BC4244">
        <w:rPr>
          <w:rFonts w:ascii="Arial" w:eastAsia="Arial" w:hAnsi="Arial" w:cs="Arial"/>
          <w:sz w:val="24"/>
          <w:szCs w:val="24"/>
          <w:lang w:val="es-ES"/>
        </w:rPr>
        <w:t xml:space="preserve">, para el ciclo de </w:t>
      </w:r>
      <w:r w:rsidR="00080C68" w:rsidRPr="00BC4244">
        <w:rPr>
          <w:rFonts w:ascii="Arial" w:eastAsia="Arial" w:hAnsi="Arial" w:cs="Arial"/>
          <w:b/>
          <w:bCs/>
          <w:sz w:val="24"/>
          <w:szCs w:val="24"/>
          <w:lang w:val="es-ES"/>
        </w:rPr>
        <w:t>septiembre de 2021</w:t>
      </w:r>
      <w:r w:rsidR="00080C68" w:rsidRPr="00BC4244">
        <w:rPr>
          <w:rFonts w:ascii="Arial" w:eastAsia="Arial" w:hAnsi="Arial" w:cs="Arial"/>
          <w:sz w:val="24"/>
          <w:szCs w:val="24"/>
          <w:lang w:val="es-ES"/>
        </w:rPr>
        <w:t>, la parte acciona</w:t>
      </w:r>
      <w:r w:rsidR="006B34A0" w:rsidRPr="00BC4244">
        <w:rPr>
          <w:rFonts w:ascii="Arial" w:eastAsia="Arial" w:hAnsi="Arial" w:cs="Arial"/>
          <w:sz w:val="24"/>
          <w:szCs w:val="24"/>
          <w:lang w:val="es-ES"/>
        </w:rPr>
        <w:t>da</w:t>
      </w:r>
      <w:r w:rsidR="00080C68" w:rsidRPr="00BC4244">
        <w:rPr>
          <w:rFonts w:ascii="Arial" w:eastAsia="Arial" w:hAnsi="Arial" w:cs="Arial"/>
          <w:sz w:val="24"/>
          <w:szCs w:val="24"/>
          <w:lang w:val="es-ES"/>
        </w:rPr>
        <w:t xml:space="preserve"> dispuso el pago de $93.160.819 -</w:t>
      </w:r>
      <w:r w:rsidR="00080C68" w:rsidRPr="00BC4244">
        <w:rPr>
          <w:rFonts w:ascii="Arial" w:eastAsia="Arial" w:hAnsi="Arial" w:cs="Arial"/>
          <w:i/>
          <w:iCs/>
          <w:sz w:val="24"/>
          <w:szCs w:val="24"/>
          <w:lang w:val="es-ES"/>
        </w:rPr>
        <w:t>hoja 2 del numeral 41 de la carpeta C01Ejecutivo de la carpeta digital de primea instancia</w:t>
      </w:r>
      <w:r w:rsidR="00080C68" w:rsidRPr="00BC4244">
        <w:rPr>
          <w:rFonts w:ascii="Arial" w:eastAsia="Arial" w:hAnsi="Arial" w:cs="Arial"/>
          <w:sz w:val="24"/>
          <w:szCs w:val="24"/>
          <w:lang w:val="es-ES"/>
        </w:rPr>
        <w:t>-.</w:t>
      </w:r>
    </w:p>
    <w:p w14:paraId="1DDFAD17" w14:textId="48DA1926" w:rsidR="00080C68" w:rsidRPr="00BC4244" w:rsidRDefault="00080C68" w:rsidP="00BC4244">
      <w:pPr>
        <w:widowControl w:val="0"/>
        <w:autoSpaceDE w:val="0"/>
        <w:autoSpaceDN w:val="0"/>
        <w:adjustRightInd w:val="0"/>
        <w:spacing w:line="276" w:lineRule="auto"/>
        <w:jc w:val="both"/>
        <w:rPr>
          <w:rFonts w:ascii="Arial" w:eastAsia="Arial" w:hAnsi="Arial" w:cs="Arial"/>
          <w:sz w:val="24"/>
          <w:szCs w:val="24"/>
          <w:lang w:val="es-ES"/>
        </w:rPr>
      </w:pPr>
    </w:p>
    <w:p w14:paraId="03F6FB58" w14:textId="21ADF4A9" w:rsidR="007E7B6F" w:rsidRPr="00BC4244" w:rsidRDefault="00080C68" w:rsidP="00BC4244">
      <w:pPr>
        <w:widowControl w:val="0"/>
        <w:autoSpaceDE w:val="0"/>
        <w:autoSpaceDN w:val="0"/>
        <w:adjustRightInd w:val="0"/>
        <w:spacing w:line="276" w:lineRule="auto"/>
        <w:jc w:val="both"/>
        <w:rPr>
          <w:rFonts w:ascii="Arial" w:eastAsia="Arial" w:hAnsi="Arial" w:cs="Arial"/>
          <w:sz w:val="24"/>
          <w:szCs w:val="24"/>
          <w:lang w:val="es-ES"/>
        </w:rPr>
      </w:pPr>
      <w:r w:rsidRPr="00BC4244">
        <w:rPr>
          <w:rFonts w:ascii="Arial" w:eastAsia="Arial" w:hAnsi="Arial" w:cs="Arial"/>
          <w:sz w:val="24"/>
          <w:szCs w:val="24"/>
          <w:lang w:val="es-ES"/>
        </w:rPr>
        <w:t xml:space="preserve">Como puede verse el pago realizado por la entidad </w:t>
      </w:r>
      <w:r w:rsidR="00F335D1" w:rsidRPr="00BC4244">
        <w:rPr>
          <w:rFonts w:ascii="Arial" w:eastAsia="Arial" w:hAnsi="Arial" w:cs="Arial"/>
          <w:sz w:val="24"/>
          <w:szCs w:val="24"/>
          <w:lang w:val="es-ES"/>
        </w:rPr>
        <w:t>ejecutada</w:t>
      </w:r>
      <w:r w:rsidR="009627F6" w:rsidRPr="00BC4244">
        <w:rPr>
          <w:rFonts w:ascii="Arial" w:eastAsia="Arial" w:hAnsi="Arial" w:cs="Arial"/>
          <w:sz w:val="24"/>
          <w:szCs w:val="24"/>
          <w:lang w:val="es-ES"/>
        </w:rPr>
        <w:t>,</w:t>
      </w:r>
      <w:r w:rsidR="00F335D1" w:rsidRPr="00BC4244">
        <w:rPr>
          <w:rFonts w:ascii="Arial" w:eastAsia="Arial" w:hAnsi="Arial" w:cs="Arial"/>
          <w:sz w:val="24"/>
          <w:szCs w:val="24"/>
          <w:lang w:val="es-ES"/>
        </w:rPr>
        <w:t xml:space="preserve"> </w:t>
      </w:r>
      <w:r w:rsidR="009627F6" w:rsidRPr="00BC4244">
        <w:rPr>
          <w:rFonts w:ascii="Arial" w:eastAsia="Arial" w:hAnsi="Arial" w:cs="Arial"/>
          <w:sz w:val="24"/>
          <w:szCs w:val="24"/>
          <w:lang w:val="es-ES"/>
        </w:rPr>
        <w:t xml:space="preserve">de la suma que </w:t>
      </w:r>
      <w:r w:rsidR="00F335D1" w:rsidRPr="00BC4244">
        <w:rPr>
          <w:rFonts w:ascii="Arial" w:eastAsia="Arial" w:hAnsi="Arial" w:cs="Arial"/>
          <w:sz w:val="24"/>
          <w:szCs w:val="24"/>
          <w:lang w:val="es-ES"/>
        </w:rPr>
        <w:t>estimó deber a la demandante</w:t>
      </w:r>
      <w:r w:rsidR="009627F6" w:rsidRPr="00BC4244">
        <w:rPr>
          <w:rFonts w:ascii="Arial" w:eastAsia="Arial" w:hAnsi="Arial" w:cs="Arial"/>
          <w:sz w:val="24"/>
          <w:szCs w:val="24"/>
          <w:lang w:val="es-ES"/>
        </w:rPr>
        <w:t xml:space="preserve">, fue efectuado por </w:t>
      </w:r>
      <w:r w:rsidR="00F335D1" w:rsidRPr="00BC4244">
        <w:rPr>
          <w:rFonts w:ascii="Arial" w:eastAsia="Arial" w:hAnsi="Arial" w:cs="Arial"/>
          <w:sz w:val="24"/>
          <w:szCs w:val="24"/>
          <w:lang w:val="es-ES"/>
        </w:rPr>
        <w:t xml:space="preserve">fuera del término conferido para </w:t>
      </w:r>
      <w:r w:rsidR="009627F6" w:rsidRPr="00BC4244">
        <w:rPr>
          <w:rFonts w:ascii="Arial" w:eastAsia="Arial" w:hAnsi="Arial" w:cs="Arial"/>
          <w:sz w:val="24"/>
          <w:szCs w:val="24"/>
          <w:lang w:val="es-ES"/>
        </w:rPr>
        <w:t>para ello, es más, el mismo se hizo cuatro años después de formularse la acción ejecutiva -</w:t>
      </w:r>
      <w:r w:rsidR="009627F6" w:rsidRPr="00BC4244">
        <w:rPr>
          <w:rFonts w:ascii="Arial" w:eastAsia="Arial" w:hAnsi="Arial" w:cs="Arial"/>
          <w:i/>
          <w:sz w:val="24"/>
          <w:szCs w:val="24"/>
          <w:lang w:val="es-ES"/>
        </w:rPr>
        <w:t xml:space="preserve">12 de octubre de 2016-, </w:t>
      </w:r>
      <w:r w:rsidR="009627F6" w:rsidRPr="00BC4244">
        <w:rPr>
          <w:rFonts w:ascii="Arial" w:eastAsia="Arial" w:hAnsi="Arial" w:cs="Arial"/>
          <w:sz w:val="24"/>
          <w:szCs w:val="24"/>
          <w:lang w:val="es-ES"/>
        </w:rPr>
        <w:t>de lo cual emerge claro que</w:t>
      </w:r>
      <w:r w:rsidR="00FF21E8" w:rsidRPr="00BC4244">
        <w:rPr>
          <w:rFonts w:ascii="Arial" w:eastAsia="Arial" w:hAnsi="Arial" w:cs="Arial"/>
          <w:sz w:val="24"/>
          <w:szCs w:val="24"/>
          <w:lang w:val="es-ES"/>
        </w:rPr>
        <w:t xml:space="preserve"> </w:t>
      </w:r>
      <w:r w:rsidR="009627F6" w:rsidRPr="00BC4244">
        <w:rPr>
          <w:rFonts w:ascii="Arial" w:eastAsia="Arial" w:hAnsi="Arial" w:cs="Arial"/>
          <w:sz w:val="24"/>
          <w:szCs w:val="24"/>
          <w:lang w:val="es-ES"/>
        </w:rPr>
        <w:t xml:space="preserve">el valor del crédito cobrado necesariamente debía reflejar la obligación liquidada hasta la fecha de pago, que resultó ser un abono, pues la juez evidenció </w:t>
      </w:r>
      <w:r w:rsidR="00DC7125" w:rsidRPr="00BC4244">
        <w:rPr>
          <w:rFonts w:ascii="Arial" w:eastAsia="Arial" w:hAnsi="Arial" w:cs="Arial"/>
          <w:sz w:val="24"/>
          <w:szCs w:val="24"/>
          <w:lang w:val="es-ES"/>
        </w:rPr>
        <w:t xml:space="preserve">un saldo insoluto a favor de la señora Ramírez </w:t>
      </w:r>
      <w:r w:rsidR="007E7B6F" w:rsidRPr="00BC4244">
        <w:rPr>
          <w:rFonts w:ascii="Arial" w:eastAsia="Arial" w:hAnsi="Arial" w:cs="Arial"/>
          <w:sz w:val="24"/>
          <w:szCs w:val="24"/>
          <w:lang w:val="es-ES"/>
        </w:rPr>
        <w:t>Pulgarín que impide terminar el trámite por pago total de la obligación.</w:t>
      </w:r>
    </w:p>
    <w:p w14:paraId="264ACB93" w14:textId="77777777" w:rsidR="007E7B6F" w:rsidRPr="00BC4244" w:rsidRDefault="007E7B6F" w:rsidP="00BC4244">
      <w:pPr>
        <w:widowControl w:val="0"/>
        <w:autoSpaceDE w:val="0"/>
        <w:autoSpaceDN w:val="0"/>
        <w:adjustRightInd w:val="0"/>
        <w:spacing w:line="276" w:lineRule="auto"/>
        <w:jc w:val="both"/>
        <w:rPr>
          <w:rFonts w:ascii="Arial" w:eastAsia="Arial" w:hAnsi="Arial" w:cs="Arial"/>
          <w:sz w:val="24"/>
          <w:szCs w:val="24"/>
          <w:lang w:val="es-ES"/>
        </w:rPr>
      </w:pPr>
    </w:p>
    <w:p w14:paraId="7203A343" w14:textId="064C0CD5" w:rsidR="00080C68" w:rsidRPr="00BC4244" w:rsidRDefault="007E7B6F" w:rsidP="00BC4244">
      <w:pPr>
        <w:widowControl w:val="0"/>
        <w:autoSpaceDE w:val="0"/>
        <w:autoSpaceDN w:val="0"/>
        <w:adjustRightInd w:val="0"/>
        <w:spacing w:line="276" w:lineRule="auto"/>
        <w:jc w:val="both"/>
        <w:rPr>
          <w:rFonts w:ascii="Arial" w:eastAsia="Arial" w:hAnsi="Arial" w:cs="Arial"/>
          <w:sz w:val="24"/>
          <w:szCs w:val="24"/>
          <w:lang w:val="es-ES"/>
        </w:rPr>
      </w:pPr>
      <w:r w:rsidRPr="00BC4244">
        <w:rPr>
          <w:rFonts w:ascii="Arial" w:eastAsia="Arial" w:hAnsi="Arial" w:cs="Arial"/>
          <w:sz w:val="24"/>
          <w:szCs w:val="24"/>
          <w:lang w:val="es-ES"/>
        </w:rPr>
        <w:t>En consonancia con lo expuesto, al haber fijado la</w:t>
      </w:r>
      <w:r w:rsidRPr="00BC4244">
        <w:rPr>
          <w:rFonts w:ascii="Arial" w:eastAsia="Arial" w:hAnsi="Arial" w:cs="Arial"/>
          <w:i/>
          <w:sz w:val="24"/>
          <w:szCs w:val="24"/>
          <w:lang w:val="es-ES"/>
        </w:rPr>
        <w:t xml:space="preserve"> a </w:t>
      </w:r>
      <w:proofErr w:type="gramStart"/>
      <w:r w:rsidRPr="00BC4244">
        <w:rPr>
          <w:rFonts w:ascii="Arial" w:eastAsia="Arial" w:hAnsi="Arial" w:cs="Arial"/>
          <w:i/>
          <w:sz w:val="24"/>
          <w:szCs w:val="24"/>
          <w:lang w:val="es-ES"/>
        </w:rPr>
        <w:t xml:space="preserve">quo </w:t>
      </w:r>
      <w:r w:rsidRPr="00BC4244">
        <w:rPr>
          <w:rFonts w:ascii="Arial" w:eastAsia="Arial" w:hAnsi="Arial" w:cs="Arial"/>
          <w:sz w:val="24"/>
          <w:szCs w:val="24"/>
          <w:lang w:val="es-ES"/>
        </w:rPr>
        <w:t xml:space="preserve"> las</w:t>
      </w:r>
      <w:proofErr w:type="gramEnd"/>
      <w:r w:rsidRPr="00BC4244">
        <w:rPr>
          <w:rFonts w:ascii="Arial" w:eastAsia="Arial" w:hAnsi="Arial" w:cs="Arial"/>
          <w:sz w:val="24"/>
          <w:szCs w:val="24"/>
          <w:lang w:val="es-ES"/>
        </w:rPr>
        <w:t xml:space="preserve"> agencias en derecho </w:t>
      </w:r>
      <w:r w:rsidR="003D6D01" w:rsidRPr="00BC4244">
        <w:rPr>
          <w:rFonts w:ascii="Arial" w:eastAsia="Arial" w:hAnsi="Arial" w:cs="Arial"/>
          <w:sz w:val="24"/>
          <w:szCs w:val="24"/>
          <w:lang w:val="es-ES"/>
        </w:rPr>
        <w:t xml:space="preserve">en un </w:t>
      </w:r>
      <w:r w:rsidR="003D6D01" w:rsidRPr="00BC4244">
        <w:rPr>
          <w:rFonts w:ascii="Arial" w:eastAsia="Arial" w:hAnsi="Arial" w:cs="Arial"/>
          <w:b/>
          <w:sz w:val="24"/>
          <w:szCs w:val="24"/>
          <w:lang w:val="es-ES"/>
        </w:rPr>
        <w:t>5%</w:t>
      </w:r>
      <w:r w:rsidR="003D6D01" w:rsidRPr="00BC4244">
        <w:rPr>
          <w:rFonts w:ascii="Arial" w:eastAsia="Arial" w:hAnsi="Arial" w:cs="Arial"/>
          <w:sz w:val="24"/>
          <w:szCs w:val="24"/>
          <w:lang w:val="es-ES"/>
        </w:rPr>
        <w:t xml:space="preserve"> del valor de crédito, se refería a la suma de </w:t>
      </w:r>
      <w:r w:rsidR="003D6D01" w:rsidRPr="00BC4244">
        <w:rPr>
          <w:rFonts w:ascii="Arial" w:eastAsia="Arial" w:hAnsi="Arial" w:cs="Arial"/>
          <w:b/>
          <w:sz w:val="24"/>
          <w:szCs w:val="24"/>
          <w:lang w:val="es-ES"/>
        </w:rPr>
        <w:t>$104.462.371</w:t>
      </w:r>
      <w:r w:rsidR="003D6D01" w:rsidRPr="00BC4244">
        <w:rPr>
          <w:rFonts w:ascii="Arial" w:eastAsia="Arial" w:hAnsi="Arial" w:cs="Arial"/>
          <w:sz w:val="24"/>
          <w:szCs w:val="24"/>
          <w:lang w:val="es-ES"/>
        </w:rPr>
        <w:t xml:space="preserve"> y no al saldo pendiente de cancelar, establecido en $9.945.366.20, por lo que la cifra aprobada a título de agencias en derecho resulta ser acertada </w:t>
      </w:r>
      <w:r w:rsidR="003D6D01" w:rsidRPr="00BC4244">
        <w:rPr>
          <w:rFonts w:ascii="Arial" w:eastAsia="Arial" w:hAnsi="Arial" w:cs="Arial"/>
          <w:i/>
          <w:sz w:val="24"/>
          <w:szCs w:val="24"/>
          <w:lang w:val="es-ES"/>
        </w:rPr>
        <w:t>-$5.223.118</w:t>
      </w:r>
      <w:r w:rsidR="003D6D01" w:rsidRPr="00BC4244">
        <w:rPr>
          <w:rFonts w:ascii="Arial" w:eastAsia="Arial" w:hAnsi="Arial" w:cs="Arial"/>
          <w:sz w:val="24"/>
          <w:szCs w:val="24"/>
          <w:lang w:val="es-ES"/>
        </w:rPr>
        <w:t>-, como también la decisión recurrida en lo que toca al monto sobre el cual se aplicó el referido porcentaje.</w:t>
      </w:r>
    </w:p>
    <w:p w14:paraId="3002F9AD" w14:textId="77777777" w:rsidR="00080C68" w:rsidRPr="00BC4244" w:rsidRDefault="00080C68" w:rsidP="00BC4244">
      <w:pPr>
        <w:widowControl w:val="0"/>
        <w:autoSpaceDE w:val="0"/>
        <w:autoSpaceDN w:val="0"/>
        <w:adjustRightInd w:val="0"/>
        <w:spacing w:line="276" w:lineRule="auto"/>
        <w:jc w:val="both"/>
        <w:rPr>
          <w:rFonts w:ascii="Arial" w:eastAsia="Arial" w:hAnsi="Arial" w:cs="Arial"/>
          <w:sz w:val="24"/>
          <w:szCs w:val="24"/>
          <w:lang w:val="es-ES"/>
        </w:rPr>
      </w:pPr>
    </w:p>
    <w:p w14:paraId="4B8D0884" w14:textId="38568F2B" w:rsidR="001A6950" w:rsidRPr="00BC4244" w:rsidRDefault="1ADAC558" w:rsidP="00BC4244">
      <w:pPr>
        <w:widowControl w:val="0"/>
        <w:autoSpaceDE w:val="0"/>
        <w:autoSpaceDN w:val="0"/>
        <w:adjustRightInd w:val="0"/>
        <w:spacing w:line="276" w:lineRule="auto"/>
        <w:jc w:val="both"/>
        <w:rPr>
          <w:rFonts w:ascii="Arial" w:eastAsia="Arial" w:hAnsi="Arial" w:cs="Arial"/>
          <w:sz w:val="24"/>
          <w:szCs w:val="24"/>
          <w:lang w:val="es-ES"/>
        </w:rPr>
      </w:pPr>
      <w:r w:rsidRPr="00BC4244">
        <w:rPr>
          <w:rFonts w:ascii="Arial" w:eastAsia="Arial" w:hAnsi="Arial" w:cs="Arial"/>
          <w:sz w:val="24"/>
          <w:szCs w:val="24"/>
          <w:lang w:val="es-ES"/>
        </w:rPr>
        <w:t>De acuerdo con lo expuesto</w:t>
      </w:r>
      <w:r w:rsidR="00866BD4" w:rsidRPr="00BC4244">
        <w:rPr>
          <w:rFonts w:ascii="Arial" w:eastAsia="Arial" w:hAnsi="Arial" w:cs="Arial"/>
          <w:sz w:val="24"/>
          <w:szCs w:val="24"/>
          <w:lang w:val="es-ES"/>
        </w:rPr>
        <w:t>, no exist</w:t>
      </w:r>
      <w:r w:rsidR="5BAFF269" w:rsidRPr="00BC4244">
        <w:rPr>
          <w:rFonts w:ascii="Arial" w:eastAsia="Arial" w:hAnsi="Arial" w:cs="Arial"/>
          <w:sz w:val="24"/>
          <w:szCs w:val="24"/>
          <w:lang w:val="es-ES"/>
        </w:rPr>
        <w:t>iendo</w:t>
      </w:r>
      <w:r w:rsidR="00866BD4" w:rsidRPr="00BC4244">
        <w:rPr>
          <w:rFonts w:ascii="Arial" w:eastAsia="Arial" w:hAnsi="Arial" w:cs="Arial"/>
          <w:sz w:val="24"/>
          <w:szCs w:val="24"/>
          <w:lang w:val="es-ES"/>
        </w:rPr>
        <w:t xml:space="preserve"> mérito alguno para variar la decisión de primer grado, la misma será </w:t>
      </w:r>
      <w:r w:rsidR="001A6950" w:rsidRPr="00BC4244">
        <w:rPr>
          <w:rFonts w:ascii="Arial" w:eastAsia="Arial" w:hAnsi="Arial" w:cs="Arial"/>
          <w:sz w:val="24"/>
          <w:szCs w:val="24"/>
          <w:lang w:val="es-ES"/>
        </w:rPr>
        <w:t>confirmada en su integridad.</w:t>
      </w:r>
    </w:p>
    <w:p w14:paraId="6BB9E253" w14:textId="77777777" w:rsidR="000C2FBA" w:rsidRPr="00BC4244" w:rsidRDefault="000C2FBA" w:rsidP="00BC4244">
      <w:pPr>
        <w:widowControl w:val="0"/>
        <w:autoSpaceDE w:val="0"/>
        <w:autoSpaceDN w:val="0"/>
        <w:adjustRightInd w:val="0"/>
        <w:spacing w:line="276" w:lineRule="auto"/>
        <w:jc w:val="both"/>
        <w:rPr>
          <w:rFonts w:ascii="Arial" w:eastAsia="Arial" w:hAnsi="Arial" w:cs="Arial"/>
          <w:sz w:val="24"/>
          <w:szCs w:val="24"/>
          <w:lang w:val="es-ES"/>
        </w:rPr>
      </w:pPr>
    </w:p>
    <w:p w14:paraId="4A157D26" w14:textId="3A46DEA9" w:rsidR="007B5945" w:rsidRPr="00BC4244" w:rsidRDefault="003452ED" w:rsidP="00BC4244">
      <w:pPr>
        <w:widowControl w:val="0"/>
        <w:autoSpaceDE w:val="0"/>
        <w:autoSpaceDN w:val="0"/>
        <w:adjustRightInd w:val="0"/>
        <w:spacing w:line="276" w:lineRule="auto"/>
        <w:jc w:val="both"/>
        <w:rPr>
          <w:rFonts w:ascii="Arial" w:eastAsia="Arial" w:hAnsi="Arial" w:cs="Arial"/>
          <w:sz w:val="24"/>
          <w:szCs w:val="24"/>
          <w:lang w:val="es-ES"/>
        </w:rPr>
      </w:pPr>
      <w:r w:rsidRPr="00BC4244">
        <w:rPr>
          <w:rFonts w:ascii="Arial" w:eastAsia="Arial" w:hAnsi="Arial" w:cs="Arial"/>
          <w:sz w:val="24"/>
          <w:szCs w:val="24"/>
          <w:lang w:val="es-ES"/>
        </w:rPr>
        <w:t>Constas en esta instancia a cargo de</w:t>
      </w:r>
      <w:r w:rsidR="003D6D01" w:rsidRPr="00BC4244">
        <w:rPr>
          <w:rFonts w:ascii="Arial" w:eastAsia="Arial" w:hAnsi="Arial" w:cs="Arial"/>
          <w:sz w:val="24"/>
          <w:szCs w:val="24"/>
          <w:lang w:val="es-ES"/>
        </w:rPr>
        <w:t xml:space="preserve"> la</w:t>
      </w:r>
      <w:r w:rsidRPr="00BC4244">
        <w:rPr>
          <w:rFonts w:ascii="Arial" w:eastAsia="Arial" w:hAnsi="Arial" w:cs="Arial"/>
          <w:sz w:val="24"/>
          <w:szCs w:val="24"/>
          <w:lang w:val="es-ES"/>
        </w:rPr>
        <w:t xml:space="preserve"> parte ejecuta</w:t>
      </w:r>
      <w:r w:rsidR="003D6D01" w:rsidRPr="00BC4244">
        <w:rPr>
          <w:rFonts w:ascii="Arial" w:eastAsia="Arial" w:hAnsi="Arial" w:cs="Arial"/>
          <w:sz w:val="24"/>
          <w:szCs w:val="24"/>
          <w:lang w:val="es-ES"/>
        </w:rPr>
        <w:t>da</w:t>
      </w:r>
      <w:r w:rsidRPr="00BC4244">
        <w:rPr>
          <w:rFonts w:ascii="Arial" w:eastAsia="Arial" w:hAnsi="Arial" w:cs="Arial"/>
          <w:sz w:val="24"/>
          <w:szCs w:val="24"/>
          <w:lang w:val="es-ES"/>
        </w:rPr>
        <w:t>.</w:t>
      </w:r>
    </w:p>
    <w:p w14:paraId="156A6281" w14:textId="77777777" w:rsidR="007B5945" w:rsidRPr="00BC4244" w:rsidRDefault="235E867D" w:rsidP="00BC4244">
      <w:pPr>
        <w:widowControl w:val="0"/>
        <w:autoSpaceDE w:val="0"/>
        <w:autoSpaceDN w:val="0"/>
        <w:adjustRightInd w:val="0"/>
        <w:spacing w:line="276" w:lineRule="auto"/>
        <w:jc w:val="both"/>
        <w:rPr>
          <w:rFonts w:ascii="Arial" w:hAnsi="Arial" w:cs="Arial"/>
          <w:sz w:val="24"/>
          <w:szCs w:val="24"/>
        </w:rPr>
      </w:pPr>
      <w:r w:rsidRPr="00BC4244">
        <w:rPr>
          <w:rFonts w:ascii="Arial" w:eastAsia="Arial" w:hAnsi="Arial" w:cs="Arial"/>
          <w:sz w:val="24"/>
          <w:szCs w:val="24"/>
          <w:lang w:val="es-ES"/>
        </w:rPr>
        <w:t xml:space="preserve"> </w:t>
      </w:r>
    </w:p>
    <w:p w14:paraId="1E529DF9" w14:textId="77777777" w:rsidR="007B5945" w:rsidRPr="00BC4244" w:rsidRDefault="235E867D" w:rsidP="00BC4244">
      <w:pPr>
        <w:widowControl w:val="0"/>
        <w:autoSpaceDE w:val="0"/>
        <w:autoSpaceDN w:val="0"/>
        <w:adjustRightInd w:val="0"/>
        <w:spacing w:line="276" w:lineRule="auto"/>
        <w:jc w:val="both"/>
        <w:rPr>
          <w:rFonts w:ascii="Arial" w:hAnsi="Arial" w:cs="Arial"/>
          <w:sz w:val="24"/>
          <w:szCs w:val="24"/>
        </w:rPr>
      </w:pPr>
      <w:r w:rsidRPr="00BC4244">
        <w:rPr>
          <w:rFonts w:ascii="Arial" w:eastAsia="Arial" w:hAnsi="Arial" w:cs="Arial"/>
          <w:sz w:val="24"/>
          <w:szCs w:val="24"/>
          <w:lang w:val="es-ES"/>
        </w:rPr>
        <w:t xml:space="preserve">En mérito de lo expuesto, la </w:t>
      </w:r>
      <w:r w:rsidRPr="00BC4244">
        <w:rPr>
          <w:rFonts w:ascii="Arial" w:eastAsia="Arial" w:hAnsi="Arial" w:cs="Arial"/>
          <w:b/>
          <w:bCs/>
          <w:sz w:val="24"/>
          <w:szCs w:val="24"/>
          <w:lang w:val="es-ES"/>
        </w:rPr>
        <w:t>Sala Laboral del Tribunal Superior del Distrito Judicial de Pereira</w:t>
      </w:r>
      <w:r w:rsidRPr="00BC4244">
        <w:rPr>
          <w:rFonts w:ascii="Arial" w:eastAsia="Arial" w:hAnsi="Arial" w:cs="Arial"/>
          <w:sz w:val="24"/>
          <w:szCs w:val="24"/>
          <w:lang w:val="es-ES"/>
        </w:rPr>
        <w:t xml:space="preserve">, </w:t>
      </w:r>
    </w:p>
    <w:p w14:paraId="20876B09" w14:textId="77777777" w:rsidR="007B5945" w:rsidRPr="00BC4244" w:rsidRDefault="235E867D" w:rsidP="00BC4244">
      <w:pPr>
        <w:widowControl w:val="0"/>
        <w:autoSpaceDE w:val="0"/>
        <w:autoSpaceDN w:val="0"/>
        <w:adjustRightInd w:val="0"/>
        <w:spacing w:line="276" w:lineRule="auto"/>
        <w:jc w:val="both"/>
        <w:rPr>
          <w:rFonts w:ascii="Arial" w:hAnsi="Arial" w:cs="Arial"/>
          <w:sz w:val="24"/>
          <w:szCs w:val="24"/>
        </w:rPr>
      </w:pPr>
      <w:r w:rsidRPr="00BC4244">
        <w:rPr>
          <w:rFonts w:ascii="Arial" w:eastAsia="Arial" w:hAnsi="Arial" w:cs="Arial"/>
          <w:sz w:val="24"/>
          <w:szCs w:val="24"/>
          <w:lang w:val="es-ES"/>
        </w:rPr>
        <w:t xml:space="preserve"> </w:t>
      </w:r>
    </w:p>
    <w:p w14:paraId="68A3624F" w14:textId="77777777" w:rsidR="007B5945" w:rsidRPr="00BC4244" w:rsidRDefault="235E867D" w:rsidP="00BC4244">
      <w:pPr>
        <w:widowControl w:val="0"/>
        <w:autoSpaceDE w:val="0"/>
        <w:autoSpaceDN w:val="0"/>
        <w:adjustRightInd w:val="0"/>
        <w:spacing w:line="276" w:lineRule="auto"/>
        <w:jc w:val="center"/>
        <w:rPr>
          <w:rFonts w:ascii="Arial" w:hAnsi="Arial" w:cs="Arial"/>
          <w:sz w:val="24"/>
          <w:szCs w:val="24"/>
        </w:rPr>
      </w:pPr>
      <w:r w:rsidRPr="00BC4244">
        <w:rPr>
          <w:rFonts w:ascii="Arial" w:eastAsia="Arial" w:hAnsi="Arial" w:cs="Arial"/>
          <w:b/>
          <w:bCs/>
          <w:sz w:val="24"/>
          <w:szCs w:val="24"/>
          <w:lang w:val="es-ES"/>
        </w:rPr>
        <w:t>RESUELVE</w:t>
      </w:r>
    </w:p>
    <w:p w14:paraId="10146664" w14:textId="77777777" w:rsidR="007B5945" w:rsidRPr="00BC4244" w:rsidRDefault="235E867D" w:rsidP="00BC4244">
      <w:pPr>
        <w:widowControl w:val="0"/>
        <w:autoSpaceDE w:val="0"/>
        <w:autoSpaceDN w:val="0"/>
        <w:adjustRightInd w:val="0"/>
        <w:spacing w:line="276" w:lineRule="auto"/>
        <w:jc w:val="both"/>
        <w:rPr>
          <w:rFonts w:ascii="Arial" w:hAnsi="Arial" w:cs="Arial"/>
          <w:sz w:val="24"/>
          <w:szCs w:val="24"/>
        </w:rPr>
      </w:pPr>
      <w:r w:rsidRPr="00BC4244">
        <w:rPr>
          <w:rFonts w:ascii="Arial" w:eastAsia="Arial" w:hAnsi="Arial" w:cs="Arial"/>
          <w:sz w:val="24"/>
          <w:szCs w:val="24"/>
          <w:lang w:val="es-ES"/>
        </w:rPr>
        <w:t xml:space="preserve"> </w:t>
      </w:r>
    </w:p>
    <w:p w14:paraId="03E3291E" w14:textId="17C5C97B" w:rsidR="235E867D" w:rsidRPr="00BC4244" w:rsidRDefault="235E867D" w:rsidP="00BC4244">
      <w:pPr>
        <w:spacing w:line="276" w:lineRule="auto"/>
        <w:jc w:val="both"/>
        <w:rPr>
          <w:rFonts w:ascii="Arial" w:hAnsi="Arial" w:cs="Arial"/>
          <w:sz w:val="24"/>
          <w:szCs w:val="24"/>
          <w:lang w:val="es-ES"/>
        </w:rPr>
      </w:pPr>
      <w:r w:rsidRPr="00BC4244">
        <w:rPr>
          <w:rFonts w:ascii="Arial" w:eastAsia="Arial" w:hAnsi="Arial" w:cs="Arial"/>
          <w:b/>
          <w:bCs/>
          <w:sz w:val="24"/>
          <w:szCs w:val="24"/>
          <w:lang w:val="es-ES"/>
        </w:rPr>
        <w:t>PRIMERO.</w:t>
      </w:r>
      <w:r w:rsidR="003452ED" w:rsidRPr="00BC4244">
        <w:rPr>
          <w:rFonts w:ascii="Arial" w:eastAsia="Arial" w:hAnsi="Arial" w:cs="Arial"/>
          <w:b/>
          <w:bCs/>
          <w:sz w:val="24"/>
          <w:szCs w:val="24"/>
          <w:lang w:val="es-ES"/>
        </w:rPr>
        <w:t xml:space="preserve"> CONFIRMAR</w:t>
      </w:r>
      <w:r w:rsidR="0461C451" w:rsidRPr="00BC4244">
        <w:rPr>
          <w:rFonts w:ascii="Arial" w:eastAsia="Arial" w:hAnsi="Arial" w:cs="Arial"/>
          <w:b/>
          <w:bCs/>
          <w:sz w:val="24"/>
          <w:szCs w:val="24"/>
          <w:lang w:val="es-ES"/>
        </w:rPr>
        <w:t xml:space="preserve"> </w:t>
      </w:r>
      <w:r w:rsidR="3D2EC398" w:rsidRPr="00BC4244">
        <w:rPr>
          <w:rFonts w:ascii="Arial" w:eastAsia="Arial" w:hAnsi="Arial" w:cs="Arial"/>
          <w:sz w:val="24"/>
          <w:szCs w:val="24"/>
          <w:lang w:val="es-ES"/>
        </w:rPr>
        <w:t xml:space="preserve">el auto de fecha </w:t>
      </w:r>
      <w:r w:rsidR="003452ED" w:rsidRPr="00BC4244">
        <w:rPr>
          <w:rFonts w:ascii="Arial" w:eastAsia="Arial" w:hAnsi="Arial" w:cs="Arial"/>
          <w:sz w:val="24"/>
          <w:szCs w:val="24"/>
          <w:lang w:val="es-ES"/>
        </w:rPr>
        <w:t xml:space="preserve">6 </w:t>
      </w:r>
      <w:r w:rsidR="003D6D01" w:rsidRPr="00BC4244">
        <w:rPr>
          <w:rFonts w:ascii="Arial" w:eastAsia="Arial" w:hAnsi="Arial" w:cs="Arial"/>
          <w:sz w:val="24"/>
          <w:szCs w:val="24"/>
          <w:lang w:val="es-ES"/>
        </w:rPr>
        <w:t>de junio</w:t>
      </w:r>
      <w:r w:rsidR="003452ED" w:rsidRPr="00BC4244">
        <w:rPr>
          <w:rFonts w:ascii="Arial" w:eastAsia="Arial" w:hAnsi="Arial" w:cs="Arial"/>
          <w:sz w:val="24"/>
          <w:szCs w:val="24"/>
          <w:lang w:val="es-ES"/>
        </w:rPr>
        <w:t xml:space="preserve"> de 2022</w:t>
      </w:r>
      <w:r w:rsidR="3D2EC398" w:rsidRPr="00BC4244">
        <w:rPr>
          <w:rFonts w:ascii="Arial" w:eastAsia="Arial" w:hAnsi="Arial" w:cs="Arial"/>
          <w:sz w:val="24"/>
          <w:szCs w:val="24"/>
          <w:lang w:val="es-ES"/>
        </w:rPr>
        <w:t xml:space="preserve"> proferido por el Juzgado </w:t>
      </w:r>
      <w:r w:rsidR="003D6D01" w:rsidRPr="00BC4244">
        <w:rPr>
          <w:rFonts w:ascii="Arial" w:eastAsia="Arial" w:hAnsi="Arial" w:cs="Arial"/>
          <w:sz w:val="24"/>
          <w:szCs w:val="24"/>
          <w:lang w:val="es-ES"/>
        </w:rPr>
        <w:t>Primero</w:t>
      </w:r>
      <w:r w:rsidR="3D2EC398" w:rsidRPr="00BC4244">
        <w:rPr>
          <w:rFonts w:ascii="Arial" w:eastAsia="Arial" w:hAnsi="Arial" w:cs="Arial"/>
          <w:sz w:val="24"/>
          <w:szCs w:val="24"/>
          <w:lang w:val="es-ES"/>
        </w:rPr>
        <w:t xml:space="preserve"> Laboral del Circuito de Pereira</w:t>
      </w:r>
      <w:r w:rsidR="5DD1D2A7" w:rsidRPr="00BC4244">
        <w:rPr>
          <w:rFonts w:ascii="Arial" w:eastAsia="Arial" w:hAnsi="Arial" w:cs="Arial"/>
          <w:sz w:val="24"/>
          <w:szCs w:val="24"/>
          <w:lang w:val="es-ES"/>
        </w:rPr>
        <w:t>.</w:t>
      </w:r>
    </w:p>
    <w:p w14:paraId="23DE523C" w14:textId="77777777" w:rsidR="0D7BF5C9" w:rsidRPr="00BC4244" w:rsidRDefault="0D7BF5C9" w:rsidP="00BC4244">
      <w:pPr>
        <w:spacing w:line="276" w:lineRule="auto"/>
        <w:jc w:val="both"/>
        <w:rPr>
          <w:rFonts w:ascii="Arial" w:eastAsia="Arial" w:hAnsi="Arial" w:cs="Arial"/>
          <w:sz w:val="24"/>
          <w:szCs w:val="24"/>
          <w:lang w:val="es-ES"/>
        </w:rPr>
      </w:pPr>
    </w:p>
    <w:p w14:paraId="463BE9AE" w14:textId="7D709649" w:rsidR="007B5945" w:rsidRPr="00BC4244" w:rsidRDefault="235E867D" w:rsidP="00BC4244">
      <w:pPr>
        <w:widowControl w:val="0"/>
        <w:autoSpaceDE w:val="0"/>
        <w:autoSpaceDN w:val="0"/>
        <w:adjustRightInd w:val="0"/>
        <w:spacing w:line="276" w:lineRule="auto"/>
        <w:jc w:val="both"/>
        <w:rPr>
          <w:rFonts w:ascii="Arial" w:eastAsia="Arial" w:hAnsi="Arial" w:cs="Arial"/>
          <w:sz w:val="24"/>
          <w:szCs w:val="24"/>
          <w:lang w:val="es-ES"/>
        </w:rPr>
      </w:pPr>
      <w:r w:rsidRPr="00BC4244">
        <w:rPr>
          <w:rFonts w:ascii="Arial" w:eastAsia="Arial" w:hAnsi="Arial" w:cs="Arial"/>
          <w:b/>
          <w:bCs/>
          <w:sz w:val="24"/>
          <w:szCs w:val="24"/>
          <w:lang w:val="es-ES"/>
        </w:rPr>
        <w:t>SEGUNDO</w:t>
      </w:r>
      <w:r w:rsidRPr="00BC4244">
        <w:rPr>
          <w:rFonts w:ascii="Arial" w:eastAsia="Arial" w:hAnsi="Arial" w:cs="Arial"/>
          <w:sz w:val="24"/>
          <w:szCs w:val="24"/>
          <w:lang w:val="es-ES"/>
        </w:rPr>
        <w:t xml:space="preserve">. </w:t>
      </w:r>
      <w:r w:rsidR="003452ED" w:rsidRPr="00BC4244">
        <w:rPr>
          <w:rFonts w:ascii="Arial" w:eastAsia="Arial" w:hAnsi="Arial" w:cs="Arial"/>
          <w:b/>
          <w:bCs/>
          <w:sz w:val="24"/>
          <w:szCs w:val="24"/>
          <w:lang w:val="es-ES"/>
        </w:rPr>
        <w:t xml:space="preserve">CONDENAR </w:t>
      </w:r>
      <w:r w:rsidR="003452ED" w:rsidRPr="00BC4244">
        <w:rPr>
          <w:rFonts w:ascii="Arial" w:eastAsia="Arial" w:hAnsi="Arial" w:cs="Arial"/>
          <w:bCs/>
          <w:sz w:val="24"/>
          <w:szCs w:val="24"/>
          <w:lang w:val="es-ES"/>
        </w:rPr>
        <w:t xml:space="preserve">en costas </w:t>
      </w:r>
      <w:r w:rsidR="003D6D01" w:rsidRPr="00BC4244">
        <w:rPr>
          <w:rFonts w:ascii="Arial" w:eastAsia="Arial" w:hAnsi="Arial" w:cs="Arial"/>
          <w:bCs/>
          <w:sz w:val="24"/>
          <w:szCs w:val="24"/>
          <w:lang w:val="es-ES"/>
        </w:rPr>
        <w:t xml:space="preserve">a la </w:t>
      </w:r>
      <w:r w:rsidR="003D6D01" w:rsidRPr="00BC4244">
        <w:rPr>
          <w:rFonts w:ascii="Arial" w:hAnsi="Arial" w:cs="Arial"/>
          <w:sz w:val="24"/>
          <w:szCs w:val="24"/>
        </w:rPr>
        <w:t>Unidad Administrativa Especial de Gestión Pensional y Contribuciones Parafiscales de la Protección Social -UFPP</w:t>
      </w:r>
    </w:p>
    <w:p w14:paraId="07547A01" w14:textId="77777777" w:rsidR="00A71BE2" w:rsidRPr="00BC4244" w:rsidRDefault="00A71BE2" w:rsidP="00BC4244">
      <w:pPr>
        <w:widowControl w:val="0"/>
        <w:autoSpaceDE w:val="0"/>
        <w:autoSpaceDN w:val="0"/>
        <w:adjustRightInd w:val="0"/>
        <w:spacing w:line="276" w:lineRule="auto"/>
        <w:jc w:val="both"/>
        <w:rPr>
          <w:rFonts w:ascii="Arial" w:eastAsia="Arial" w:hAnsi="Arial" w:cs="Arial"/>
          <w:sz w:val="24"/>
          <w:szCs w:val="24"/>
          <w:lang w:val="es-CO"/>
        </w:rPr>
      </w:pPr>
    </w:p>
    <w:p w14:paraId="259FCA14" w14:textId="77777777" w:rsidR="00A71BE2" w:rsidRPr="00BC4244" w:rsidRDefault="5FB49897" w:rsidP="00BC4244">
      <w:pPr>
        <w:widowControl w:val="0"/>
        <w:autoSpaceDE w:val="0"/>
        <w:autoSpaceDN w:val="0"/>
        <w:adjustRightInd w:val="0"/>
        <w:spacing w:line="276" w:lineRule="auto"/>
        <w:jc w:val="both"/>
        <w:rPr>
          <w:rFonts w:ascii="Arial" w:hAnsi="Arial" w:cs="Arial"/>
          <w:sz w:val="24"/>
          <w:szCs w:val="24"/>
        </w:rPr>
      </w:pPr>
      <w:r w:rsidRPr="00BC4244">
        <w:rPr>
          <w:rFonts w:ascii="Arial" w:eastAsia="Arial" w:hAnsi="Arial" w:cs="Arial"/>
          <w:sz w:val="24"/>
          <w:szCs w:val="24"/>
          <w:lang w:val="es-CO"/>
        </w:rPr>
        <w:t>Notifíquese por estado y a los correos electrónicos de los apoderados de las partes.</w:t>
      </w:r>
    </w:p>
    <w:p w14:paraId="728A5FC7" w14:textId="77777777" w:rsidR="00BC4244" w:rsidRPr="00BC4244" w:rsidRDefault="00BC4244" w:rsidP="00BC4244">
      <w:pPr>
        <w:spacing w:line="276" w:lineRule="auto"/>
        <w:ind w:right="20"/>
        <w:jc w:val="both"/>
        <w:rPr>
          <w:rFonts w:ascii="Arial" w:hAnsi="Arial" w:cs="Arial"/>
          <w:sz w:val="24"/>
          <w:szCs w:val="24"/>
        </w:rPr>
      </w:pPr>
    </w:p>
    <w:p w14:paraId="41895B7D" w14:textId="77777777" w:rsidR="00BC4244" w:rsidRPr="00BC4244" w:rsidRDefault="00BC4244" w:rsidP="00BC4244">
      <w:pPr>
        <w:spacing w:line="276" w:lineRule="auto"/>
        <w:ind w:right="20"/>
        <w:jc w:val="both"/>
        <w:rPr>
          <w:rFonts w:ascii="Arial" w:hAnsi="Arial" w:cs="Arial"/>
          <w:sz w:val="24"/>
          <w:szCs w:val="24"/>
        </w:rPr>
      </w:pPr>
      <w:r w:rsidRPr="00BC4244">
        <w:rPr>
          <w:rFonts w:ascii="Arial" w:hAnsi="Arial" w:cs="Arial"/>
          <w:sz w:val="24"/>
          <w:szCs w:val="24"/>
        </w:rPr>
        <w:t>Quienes Integran la Sala,</w:t>
      </w:r>
    </w:p>
    <w:p w14:paraId="698C67B6" w14:textId="77777777" w:rsidR="00BC4244" w:rsidRPr="00BC4244" w:rsidRDefault="00BC4244" w:rsidP="00BC4244">
      <w:pPr>
        <w:widowControl w:val="0"/>
        <w:autoSpaceDE w:val="0"/>
        <w:autoSpaceDN w:val="0"/>
        <w:adjustRightInd w:val="0"/>
        <w:spacing w:line="276" w:lineRule="auto"/>
        <w:rPr>
          <w:rFonts w:ascii="Arial" w:eastAsia="Calibri" w:hAnsi="Arial" w:cs="Arial"/>
          <w:b/>
          <w:sz w:val="24"/>
          <w:szCs w:val="24"/>
          <w:lang w:val="es-CO" w:eastAsia="en-US"/>
        </w:rPr>
      </w:pPr>
    </w:p>
    <w:p w14:paraId="4A739931" w14:textId="77777777" w:rsidR="00BC4244" w:rsidRPr="00BC4244" w:rsidRDefault="00BC4244" w:rsidP="00BC4244">
      <w:pPr>
        <w:widowControl w:val="0"/>
        <w:autoSpaceDE w:val="0"/>
        <w:autoSpaceDN w:val="0"/>
        <w:adjustRightInd w:val="0"/>
        <w:spacing w:line="276" w:lineRule="auto"/>
        <w:rPr>
          <w:rFonts w:ascii="Arial" w:eastAsia="Calibri" w:hAnsi="Arial" w:cs="Arial"/>
          <w:b/>
          <w:sz w:val="24"/>
          <w:szCs w:val="24"/>
          <w:lang w:val="es-CO" w:eastAsia="en-US"/>
        </w:rPr>
      </w:pPr>
    </w:p>
    <w:p w14:paraId="4FC8D21A" w14:textId="77777777" w:rsidR="00BC4244" w:rsidRPr="00BC4244" w:rsidRDefault="00BC4244" w:rsidP="00BC4244">
      <w:pPr>
        <w:widowControl w:val="0"/>
        <w:autoSpaceDE w:val="0"/>
        <w:autoSpaceDN w:val="0"/>
        <w:adjustRightInd w:val="0"/>
        <w:spacing w:line="276" w:lineRule="auto"/>
        <w:jc w:val="center"/>
        <w:rPr>
          <w:rFonts w:ascii="Arial" w:eastAsia="Calibri" w:hAnsi="Arial" w:cs="Arial"/>
          <w:b/>
          <w:bCs/>
          <w:sz w:val="24"/>
          <w:szCs w:val="24"/>
          <w:lang w:val="es-CO" w:eastAsia="en-US"/>
        </w:rPr>
      </w:pPr>
      <w:r w:rsidRPr="00BC4244">
        <w:rPr>
          <w:rFonts w:ascii="Arial" w:eastAsia="Calibri" w:hAnsi="Arial" w:cs="Arial"/>
          <w:b/>
          <w:bCs/>
          <w:sz w:val="24"/>
          <w:szCs w:val="24"/>
          <w:lang w:val="es-CO" w:eastAsia="en-US"/>
        </w:rPr>
        <w:t>JULIO CÉSAR SALAZAR MUÑOZ</w:t>
      </w:r>
    </w:p>
    <w:p w14:paraId="66311F76" w14:textId="77777777" w:rsidR="00BC4244" w:rsidRPr="00BC4244" w:rsidRDefault="00BC4244" w:rsidP="00BC4244">
      <w:pPr>
        <w:widowControl w:val="0"/>
        <w:autoSpaceDE w:val="0"/>
        <w:autoSpaceDN w:val="0"/>
        <w:adjustRightInd w:val="0"/>
        <w:spacing w:line="276" w:lineRule="auto"/>
        <w:jc w:val="center"/>
        <w:rPr>
          <w:rFonts w:ascii="Arial" w:eastAsia="Calibri" w:hAnsi="Arial" w:cs="Arial"/>
          <w:sz w:val="24"/>
          <w:szCs w:val="24"/>
          <w:lang w:val="es-CO" w:eastAsia="en-US"/>
        </w:rPr>
      </w:pPr>
      <w:r w:rsidRPr="00BC4244">
        <w:rPr>
          <w:rFonts w:ascii="Arial" w:eastAsia="Calibri" w:hAnsi="Arial" w:cs="Arial"/>
          <w:sz w:val="24"/>
          <w:szCs w:val="24"/>
          <w:lang w:val="es-CO" w:eastAsia="en-US"/>
        </w:rPr>
        <w:t>Magistrado Ponente</w:t>
      </w:r>
    </w:p>
    <w:p w14:paraId="0590E0EA" w14:textId="77777777" w:rsidR="00BC4244" w:rsidRPr="00BC4244" w:rsidRDefault="00BC4244" w:rsidP="00BC4244">
      <w:pPr>
        <w:widowControl w:val="0"/>
        <w:autoSpaceDE w:val="0"/>
        <w:autoSpaceDN w:val="0"/>
        <w:adjustRightInd w:val="0"/>
        <w:spacing w:line="276" w:lineRule="auto"/>
        <w:rPr>
          <w:rFonts w:ascii="Arial" w:eastAsia="Calibri" w:hAnsi="Arial" w:cs="Arial"/>
          <w:sz w:val="24"/>
          <w:szCs w:val="24"/>
          <w:lang w:val="es-CO" w:eastAsia="en-US"/>
        </w:rPr>
      </w:pPr>
    </w:p>
    <w:p w14:paraId="07CB2E0C" w14:textId="77777777" w:rsidR="00BC4244" w:rsidRPr="00BC4244" w:rsidRDefault="00BC4244" w:rsidP="00BC4244">
      <w:pPr>
        <w:widowControl w:val="0"/>
        <w:autoSpaceDE w:val="0"/>
        <w:autoSpaceDN w:val="0"/>
        <w:adjustRightInd w:val="0"/>
        <w:spacing w:line="276" w:lineRule="auto"/>
        <w:rPr>
          <w:rFonts w:ascii="Arial" w:eastAsia="Calibri" w:hAnsi="Arial" w:cs="Arial"/>
          <w:sz w:val="24"/>
          <w:szCs w:val="24"/>
          <w:lang w:val="es-CO" w:eastAsia="en-US"/>
        </w:rPr>
      </w:pPr>
    </w:p>
    <w:p w14:paraId="18B24785" w14:textId="77777777" w:rsidR="00BC4244" w:rsidRPr="00BC4244" w:rsidRDefault="00BC4244" w:rsidP="00BC4244">
      <w:pPr>
        <w:widowControl w:val="0"/>
        <w:autoSpaceDE w:val="0"/>
        <w:autoSpaceDN w:val="0"/>
        <w:adjustRightInd w:val="0"/>
        <w:spacing w:line="276" w:lineRule="auto"/>
        <w:rPr>
          <w:rFonts w:ascii="Arial" w:eastAsia="Calibri" w:hAnsi="Arial" w:cs="Arial"/>
          <w:sz w:val="24"/>
          <w:szCs w:val="24"/>
          <w:lang w:val="es-CO" w:eastAsia="en-US"/>
        </w:rPr>
      </w:pPr>
      <w:r w:rsidRPr="00BC4244">
        <w:rPr>
          <w:rFonts w:ascii="Arial" w:eastAsia="Calibri" w:hAnsi="Arial" w:cs="Arial"/>
          <w:b/>
          <w:bCs/>
          <w:sz w:val="24"/>
          <w:szCs w:val="24"/>
          <w:lang w:val="es-CO" w:eastAsia="en-US"/>
        </w:rPr>
        <w:t>ANA LUCÍA CAICEDO CALDERON</w:t>
      </w:r>
      <w:r w:rsidRPr="00BC4244">
        <w:rPr>
          <w:rFonts w:ascii="Arial" w:eastAsia="Calibri" w:hAnsi="Arial" w:cs="Arial"/>
          <w:b/>
          <w:bCs/>
          <w:sz w:val="24"/>
          <w:szCs w:val="24"/>
          <w:lang w:val="es-CO" w:eastAsia="en-US"/>
        </w:rPr>
        <w:tab/>
      </w:r>
      <w:r w:rsidRPr="00BC4244">
        <w:rPr>
          <w:rFonts w:ascii="Arial" w:eastAsia="Calibri" w:hAnsi="Arial" w:cs="Arial"/>
          <w:b/>
          <w:bCs/>
          <w:sz w:val="24"/>
          <w:szCs w:val="24"/>
          <w:lang w:val="es-CO" w:eastAsia="en-US"/>
        </w:rPr>
        <w:tab/>
        <w:t xml:space="preserve">   GERMÁN DARÍO GÓEZ VINASCO</w:t>
      </w:r>
    </w:p>
    <w:p w14:paraId="61829076" w14:textId="3C6F293A" w:rsidR="00C17841" w:rsidRPr="00BC4244" w:rsidRDefault="00BC4244" w:rsidP="00BC4244">
      <w:pPr>
        <w:spacing w:line="276" w:lineRule="auto"/>
        <w:jc w:val="both"/>
        <w:textAlignment w:val="baseline"/>
        <w:rPr>
          <w:rFonts w:ascii="Arial" w:hAnsi="Arial" w:cs="Arial"/>
          <w:bCs/>
          <w:sz w:val="24"/>
          <w:szCs w:val="24"/>
          <w:lang w:eastAsia="en-US"/>
        </w:rPr>
      </w:pPr>
      <w:r w:rsidRPr="00BC4244">
        <w:rPr>
          <w:rFonts w:ascii="Arial" w:eastAsia="Calibri" w:hAnsi="Arial" w:cs="Arial"/>
          <w:bCs/>
          <w:sz w:val="24"/>
          <w:szCs w:val="24"/>
          <w:lang w:val="es-CO" w:eastAsia="en-US"/>
        </w:rPr>
        <w:t>Magistrada</w:t>
      </w:r>
      <w:r w:rsidRPr="00BC4244">
        <w:rPr>
          <w:rFonts w:ascii="Arial" w:eastAsia="Calibri" w:hAnsi="Arial" w:cs="Arial"/>
          <w:bCs/>
          <w:sz w:val="24"/>
          <w:szCs w:val="24"/>
          <w:lang w:val="es-CO" w:eastAsia="en-US"/>
        </w:rPr>
        <w:tab/>
      </w:r>
      <w:r w:rsidRPr="00BC4244">
        <w:rPr>
          <w:rFonts w:ascii="Arial" w:eastAsia="Calibri" w:hAnsi="Arial" w:cs="Arial"/>
          <w:bCs/>
          <w:sz w:val="24"/>
          <w:szCs w:val="24"/>
          <w:lang w:val="es-CO" w:eastAsia="en-US"/>
        </w:rPr>
        <w:tab/>
      </w:r>
      <w:r w:rsidRPr="00BC4244">
        <w:rPr>
          <w:rFonts w:ascii="Arial" w:eastAsia="Calibri" w:hAnsi="Arial" w:cs="Arial"/>
          <w:bCs/>
          <w:sz w:val="24"/>
          <w:szCs w:val="24"/>
          <w:lang w:val="es-CO" w:eastAsia="en-US"/>
        </w:rPr>
        <w:tab/>
      </w:r>
      <w:r w:rsidRPr="00BC4244">
        <w:rPr>
          <w:rFonts w:ascii="Arial" w:eastAsia="Calibri" w:hAnsi="Arial" w:cs="Arial"/>
          <w:bCs/>
          <w:sz w:val="24"/>
          <w:szCs w:val="24"/>
          <w:lang w:val="es-CO" w:eastAsia="en-US"/>
        </w:rPr>
        <w:tab/>
      </w:r>
      <w:r w:rsidRPr="00BC4244">
        <w:rPr>
          <w:rFonts w:ascii="Arial" w:eastAsia="Calibri" w:hAnsi="Arial" w:cs="Arial"/>
          <w:bCs/>
          <w:sz w:val="24"/>
          <w:szCs w:val="24"/>
          <w:lang w:val="es-CO" w:eastAsia="en-US"/>
        </w:rPr>
        <w:tab/>
      </w:r>
      <w:r w:rsidRPr="00BC4244">
        <w:rPr>
          <w:rFonts w:ascii="Arial" w:eastAsia="Calibri" w:hAnsi="Arial" w:cs="Arial"/>
          <w:bCs/>
          <w:sz w:val="24"/>
          <w:szCs w:val="24"/>
          <w:lang w:val="es-CO" w:eastAsia="en-US"/>
        </w:rPr>
        <w:tab/>
      </w:r>
      <w:r w:rsidRPr="00BC4244">
        <w:rPr>
          <w:rFonts w:ascii="Arial" w:eastAsia="Calibri" w:hAnsi="Arial" w:cs="Arial"/>
          <w:b/>
          <w:bCs/>
          <w:sz w:val="24"/>
          <w:szCs w:val="24"/>
          <w:lang w:val="es-CO" w:eastAsia="en-US"/>
        </w:rPr>
        <w:t xml:space="preserve">   </w:t>
      </w:r>
      <w:r w:rsidRPr="00BC4244">
        <w:rPr>
          <w:rFonts w:ascii="Arial" w:hAnsi="Arial" w:cs="Arial"/>
          <w:bCs/>
          <w:sz w:val="24"/>
          <w:szCs w:val="24"/>
          <w:lang w:eastAsia="en-US"/>
        </w:rPr>
        <w:t>Magistrado</w:t>
      </w:r>
    </w:p>
    <w:sectPr w:rsidR="00C17841" w:rsidRPr="00BC4244" w:rsidSect="00BC4244">
      <w:headerReference w:type="default" r:id="rId10"/>
      <w:foot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70FE69A" w16cex:dateUtc="2021-09-01T20:07:01.602Z"/>
  <w16cex:commentExtensible w16cex:durableId="2CE0DA09" w16cex:dateUtc="2021-09-06T16:13:07.099Z"/>
  <w16cex:commentExtensible w16cex:durableId="14AB97F0" w16cex:dateUtc="2023-06-14T15:31:00.458Z"/>
  <w16cex:commentExtensible w16cex:durableId="72941E8A" w16cex:dateUtc="2023-07-12T19:35:52.347Z"/>
  <w16cex:commentExtensible w16cex:durableId="5B1E960E" w16cex:dateUtc="2023-07-17T14:50:19.889Z"/>
  <w16cex:commentExtensible w16cex:durableId="06CA1480" w16cex:dateUtc="2023-07-17T20:13:42.69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64E6C" w14:textId="77777777" w:rsidR="008277B5" w:rsidRDefault="008277B5" w:rsidP="00A71BE2">
      <w:r>
        <w:separator/>
      </w:r>
    </w:p>
  </w:endnote>
  <w:endnote w:type="continuationSeparator" w:id="0">
    <w:p w14:paraId="5912072E" w14:textId="77777777" w:rsidR="008277B5" w:rsidRDefault="008277B5" w:rsidP="00A7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46F9" w14:textId="7635D18D" w:rsidR="00087F0F" w:rsidRPr="002E6E7E" w:rsidRDefault="00087F0F" w:rsidP="002E6E7E">
    <w:pPr>
      <w:pStyle w:val="Encabezado"/>
      <w:jc w:val="right"/>
      <w:rPr>
        <w:rFonts w:ascii="Arial" w:hAnsi="Arial" w:cs="Arial"/>
        <w:sz w:val="18"/>
        <w:szCs w:val="16"/>
        <w:lang w:val="es-CO"/>
      </w:rPr>
    </w:pPr>
    <w:r w:rsidRPr="002E6E7E">
      <w:rPr>
        <w:rFonts w:ascii="Arial" w:hAnsi="Arial" w:cs="Arial"/>
        <w:sz w:val="18"/>
        <w:szCs w:val="16"/>
        <w:lang w:val="es-CO"/>
      </w:rPr>
      <w:fldChar w:fldCharType="begin"/>
    </w:r>
    <w:r w:rsidRPr="002E6E7E">
      <w:rPr>
        <w:rFonts w:ascii="Arial" w:hAnsi="Arial" w:cs="Arial"/>
        <w:sz w:val="18"/>
        <w:szCs w:val="16"/>
        <w:lang w:val="es-CO"/>
      </w:rPr>
      <w:instrText>PAGE   \* MERGEFORMAT</w:instrText>
    </w:r>
    <w:r w:rsidRPr="002E6E7E">
      <w:rPr>
        <w:rFonts w:ascii="Arial" w:hAnsi="Arial" w:cs="Arial"/>
        <w:sz w:val="18"/>
        <w:szCs w:val="16"/>
        <w:lang w:val="es-CO"/>
      </w:rPr>
      <w:fldChar w:fldCharType="separate"/>
    </w:r>
    <w:r w:rsidR="002E6E7E">
      <w:rPr>
        <w:rFonts w:ascii="Arial" w:hAnsi="Arial" w:cs="Arial"/>
        <w:noProof/>
        <w:sz w:val="18"/>
        <w:szCs w:val="16"/>
        <w:lang w:val="es-CO"/>
      </w:rPr>
      <w:t>3</w:t>
    </w:r>
    <w:r w:rsidRPr="002E6E7E">
      <w:rPr>
        <w:rFonts w:ascii="Arial" w:hAnsi="Arial" w:cs="Arial"/>
        <w:sz w:val="18"/>
        <w:szCs w:val="16"/>
        <w:lang w:val="es-C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FE5D9" w14:textId="77777777" w:rsidR="008277B5" w:rsidRDefault="008277B5" w:rsidP="00A71BE2">
      <w:r>
        <w:separator/>
      </w:r>
    </w:p>
  </w:footnote>
  <w:footnote w:type="continuationSeparator" w:id="0">
    <w:p w14:paraId="6340C84F" w14:textId="77777777" w:rsidR="008277B5" w:rsidRDefault="008277B5" w:rsidP="00A71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D0CE1" w14:textId="0A2B6D28" w:rsidR="002E6E7E" w:rsidRPr="002E6E7E" w:rsidRDefault="00C571F4" w:rsidP="00567D58">
    <w:pPr>
      <w:pStyle w:val="Encabezado"/>
      <w:jc w:val="center"/>
      <w:rPr>
        <w:rFonts w:ascii="Arial" w:hAnsi="Arial" w:cs="Arial"/>
        <w:sz w:val="18"/>
        <w:szCs w:val="16"/>
        <w:lang w:val="es-CO"/>
      </w:rPr>
    </w:pPr>
    <w:r w:rsidRPr="002E6E7E">
      <w:rPr>
        <w:rFonts w:ascii="Arial" w:hAnsi="Arial" w:cs="Arial"/>
        <w:sz w:val="18"/>
        <w:szCs w:val="16"/>
        <w:lang w:val="es-CO"/>
      </w:rPr>
      <w:t xml:space="preserve">María Idalba Ramírez Pulgarín </w:t>
    </w:r>
    <w:r w:rsidR="00087F0F" w:rsidRPr="002E6E7E">
      <w:rPr>
        <w:rFonts w:ascii="Arial" w:hAnsi="Arial" w:cs="Arial"/>
        <w:sz w:val="18"/>
        <w:szCs w:val="16"/>
        <w:lang w:val="es-CO"/>
      </w:rPr>
      <w:t xml:space="preserve">vs </w:t>
    </w:r>
    <w:r w:rsidRPr="002E6E7E">
      <w:rPr>
        <w:rFonts w:ascii="Arial" w:hAnsi="Arial" w:cs="Arial"/>
        <w:sz w:val="18"/>
        <w:szCs w:val="16"/>
        <w:lang w:val="es-CO"/>
      </w:rPr>
      <w:t>UGPP</w:t>
    </w:r>
    <w:r w:rsidR="002E6E7E" w:rsidRPr="002E6E7E">
      <w:rPr>
        <w:rFonts w:ascii="Arial" w:hAnsi="Arial" w:cs="Arial"/>
        <w:sz w:val="18"/>
        <w:szCs w:val="16"/>
        <w:lang w:val="es-CO"/>
      </w:rPr>
      <w:t>.</w:t>
    </w:r>
  </w:p>
  <w:p w14:paraId="6EAE3740" w14:textId="733F5B43" w:rsidR="00087F0F" w:rsidRPr="002E6E7E" w:rsidRDefault="00087F0F" w:rsidP="00567D58">
    <w:pPr>
      <w:pStyle w:val="Encabezado"/>
      <w:jc w:val="center"/>
      <w:rPr>
        <w:sz w:val="18"/>
        <w:szCs w:val="16"/>
        <w:lang w:val="es-CO"/>
      </w:rPr>
    </w:pPr>
    <w:r w:rsidRPr="002E6E7E">
      <w:rPr>
        <w:rFonts w:ascii="Arial" w:hAnsi="Arial" w:cs="Arial"/>
        <w:sz w:val="18"/>
        <w:szCs w:val="16"/>
        <w:lang w:val="es-CO"/>
      </w:rPr>
      <w:t>Rad. 66001310500</w:t>
    </w:r>
    <w:r w:rsidR="00C571F4" w:rsidRPr="002E6E7E">
      <w:rPr>
        <w:rFonts w:ascii="Arial" w:hAnsi="Arial" w:cs="Arial"/>
        <w:sz w:val="18"/>
        <w:szCs w:val="16"/>
        <w:lang w:val="es-CO"/>
      </w:rPr>
      <w:t>120120007402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E6E"/>
    <w:multiLevelType w:val="hybridMultilevel"/>
    <w:tmpl w:val="C506ED5E"/>
    <w:lvl w:ilvl="0" w:tplc="4FD407FC">
      <w:start w:val="1"/>
      <w:numFmt w:val="lowerLetter"/>
      <w:lvlText w:val="%1."/>
      <w:lvlJc w:val="left"/>
      <w:pPr>
        <w:ind w:left="972" w:hanging="360"/>
      </w:pPr>
      <w:rPr>
        <w:rFonts w:hint="default"/>
      </w:rPr>
    </w:lvl>
    <w:lvl w:ilvl="1" w:tplc="240A0019" w:tentative="1">
      <w:start w:val="1"/>
      <w:numFmt w:val="lowerLetter"/>
      <w:lvlText w:val="%2."/>
      <w:lvlJc w:val="left"/>
      <w:pPr>
        <w:ind w:left="1692" w:hanging="360"/>
      </w:pPr>
    </w:lvl>
    <w:lvl w:ilvl="2" w:tplc="240A001B" w:tentative="1">
      <w:start w:val="1"/>
      <w:numFmt w:val="lowerRoman"/>
      <w:lvlText w:val="%3."/>
      <w:lvlJc w:val="right"/>
      <w:pPr>
        <w:ind w:left="2412" w:hanging="180"/>
      </w:pPr>
    </w:lvl>
    <w:lvl w:ilvl="3" w:tplc="240A000F" w:tentative="1">
      <w:start w:val="1"/>
      <w:numFmt w:val="decimal"/>
      <w:lvlText w:val="%4."/>
      <w:lvlJc w:val="left"/>
      <w:pPr>
        <w:ind w:left="3132" w:hanging="360"/>
      </w:pPr>
    </w:lvl>
    <w:lvl w:ilvl="4" w:tplc="240A0019" w:tentative="1">
      <w:start w:val="1"/>
      <w:numFmt w:val="lowerLetter"/>
      <w:lvlText w:val="%5."/>
      <w:lvlJc w:val="left"/>
      <w:pPr>
        <w:ind w:left="3852" w:hanging="360"/>
      </w:pPr>
    </w:lvl>
    <w:lvl w:ilvl="5" w:tplc="240A001B" w:tentative="1">
      <w:start w:val="1"/>
      <w:numFmt w:val="lowerRoman"/>
      <w:lvlText w:val="%6."/>
      <w:lvlJc w:val="right"/>
      <w:pPr>
        <w:ind w:left="4572" w:hanging="180"/>
      </w:pPr>
    </w:lvl>
    <w:lvl w:ilvl="6" w:tplc="240A000F" w:tentative="1">
      <w:start w:val="1"/>
      <w:numFmt w:val="decimal"/>
      <w:lvlText w:val="%7."/>
      <w:lvlJc w:val="left"/>
      <w:pPr>
        <w:ind w:left="5292" w:hanging="360"/>
      </w:pPr>
    </w:lvl>
    <w:lvl w:ilvl="7" w:tplc="240A0019" w:tentative="1">
      <w:start w:val="1"/>
      <w:numFmt w:val="lowerLetter"/>
      <w:lvlText w:val="%8."/>
      <w:lvlJc w:val="left"/>
      <w:pPr>
        <w:ind w:left="6012" w:hanging="360"/>
      </w:pPr>
    </w:lvl>
    <w:lvl w:ilvl="8" w:tplc="240A001B" w:tentative="1">
      <w:start w:val="1"/>
      <w:numFmt w:val="lowerRoman"/>
      <w:lvlText w:val="%9."/>
      <w:lvlJc w:val="right"/>
      <w:pPr>
        <w:ind w:left="6732" w:hanging="180"/>
      </w:pPr>
    </w:lvl>
  </w:abstractNum>
  <w:abstractNum w:abstractNumId="1" w15:restartNumberingAfterBreak="0">
    <w:nsid w:val="09D430CF"/>
    <w:multiLevelType w:val="hybridMultilevel"/>
    <w:tmpl w:val="17E03808"/>
    <w:lvl w:ilvl="0" w:tplc="14206058">
      <w:start w:val="1"/>
      <w:numFmt w:val="decimal"/>
      <w:lvlText w:val="%1."/>
      <w:lvlJc w:val="left"/>
      <w:pPr>
        <w:ind w:left="720" w:hanging="360"/>
      </w:pPr>
      <w:rPr>
        <w:b/>
      </w:rPr>
    </w:lvl>
    <w:lvl w:ilvl="1" w:tplc="CB4CDF2A">
      <w:start w:val="1"/>
      <w:numFmt w:val="lowerLetter"/>
      <w:lvlText w:val="%2."/>
      <w:lvlJc w:val="left"/>
      <w:pPr>
        <w:ind w:left="1440" w:hanging="360"/>
      </w:pPr>
    </w:lvl>
    <w:lvl w:ilvl="2" w:tplc="CD20E204">
      <w:start w:val="1"/>
      <w:numFmt w:val="lowerRoman"/>
      <w:lvlText w:val="%3."/>
      <w:lvlJc w:val="right"/>
      <w:pPr>
        <w:ind w:left="2160" w:hanging="180"/>
      </w:pPr>
    </w:lvl>
    <w:lvl w:ilvl="3" w:tplc="6F56A384">
      <w:start w:val="1"/>
      <w:numFmt w:val="decimal"/>
      <w:lvlText w:val="%4."/>
      <w:lvlJc w:val="left"/>
      <w:pPr>
        <w:ind w:left="2880" w:hanging="360"/>
      </w:pPr>
    </w:lvl>
    <w:lvl w:ilvl="4" w:tplc="AC3AAC48">
      <w:start w:val="1"/>
      <w:numFmt w:val="lowerLetter"/>
      <w:lvlText w:val="%5."/>
      <w:lvlJc w:val="left"/>
      <w:pPr>
        <w:ind w:left="3600" w:hanging="360"/>
      </w:pPr>
    </w:lvl>
    <w:lvl w:ilvl="5" w:tplc="DCF664FA">
      <w:start w:val="1"/>
      <w:numFmt w:val="lowerRoman"/>
      <w:lvlText w:val="%6."/>
      <w:lvlJc w:val="right"/>
      <w:pPr>
        <w:ind w:left="4320" w:hanging="180"/>
      </w:pPr>
    </w:lvl>
    <w:lvl w:ilvl="6" w:tplc="6748B464">
      <w:start w:val="1"/>
      <w:numFmt w:val="decimal"/>
      <w:lvlText w:val="%7."/>
      <w:lvlJc w:val="left"/>
      <w:pPr>
        <w:ind w:left="5040" w:hanging="360"/>
      </w:pPr>
    </w:lvl>
    <w:lvl w:ilvl="7" w:tplc="E160C9CA">
      <w:start w:val="1"/>
      <w:numFmt w:val="lowerLetter"/>
      <w:lvlText w:val="%8."/>
      <w:lvlJc w:val="left"/>
      <w:pPr>
        <w:ind w:left="5760" w:hanging="360"/>
      </w:pPr>
    </w:lvl>
    <w:lvl w:ilvl="8" w:tplc="E304C294">
      <w:start w:val="1"/>
      <w:numFmt w:val="lowerRoman"/>
      <w:lvlText w:val="%9."/>
      <w:lvlJc w:val="right"/>
      <w:pPr>
        <w:ind w:left="6480" w:hanging="180"/>
      </w:pPr>
    </w:lvl>
  </w:abstractNum>
  <w:abstractNum w:abstractNumId="2" w15:restartNumberingAfterBreak="0">
    <w:nsid w:val="150223FF"/>
    <w:multiLevelType w:val="hybridMultilevel"/>
    <w:tmpl w:val="AC0856A0"/>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1D16E32"/>
    <w:multiLevelType w:val="hybridMultilevel"/>
    <w:tmpl w:val="675E0A38"/>
    <w:lvl w:ilvl="0" w:tplc="74601F82">
      <w:start w:val="1"/>
      <w:numFmt w:val="lowerLetter"/>
      <w:lvlText w:val="%1."/>
      <w:lvlJc w:val="left"/>
      <w:pPr>
        <w:ind w:left="720" w:hanging="360"/>
      </w:pPr>
    </w:lvl>
    <w:lvl w:ilvl="1" w:tplc="23F4CD68">
      <w:start w:val="1"/>
      <w:numFmt w:val="lowerLetter"/>
      <w:lvlText w:val="%2."/>
      <w:lvlJc w:val="left"/>
      <w:pPr>
        <w:ind w:left="1440" w:hanging="360"/>
      </w:pPr>
    </w:lvl>
    <w:lvl w:ilvl="2" w:tplc="BA1EBA2C">
      <w:start w:val="1"/>
      <w:numFmt w:val="lowerRoman"/>
      <w:lvlText w:val="%3."/>
      <w:lvlJc w:val="right"/>
      <w:pPr>
        <w:ind w:left="2160" w:hanging="180"/>
      </w:pPr>
    </w:lvl>
    <w:lvl w:ilvl="3" w:tplc="A2284872">
      <w:start w:val="1"/>
      <w:numFmt w:val="decimal"/>
      <w:lvlText w:val="%4."/>
      <w:lvlJc w:val="left"/>
      <w:pPr>
        <w:ind w:left="2880" w:hanging="360"/>
      </w:pPr>
    </w:lvl>
    <w:lvl w:ilvl="4" w:tplc="95A45C34">
      <w:start w:val="1"/>
      <w:numFmt w:val="lowerLetter"/>
      <w:lvlText w:val="%5."/>
      <w:lvlJc w:val="left"/>
      <w:pPr>
        <w:ind w:left="3600" w:hanging="360"/>
      </w:pPr>
    </w:lvl>
    <w:lvl w:ilvl="5" w:tplc="9626B28C">
      <w:start w:val="1"/>
      <w:numFmt w:val="lowerRoman"/>
      <w:lvlText w:val="%6."/>
      <w:lvlJc w:val="right"/>
      <w:pPr>
        <w:ind w:left="4320" w:hanging="180"/>
      </w:pPr>
    </w:lvl>
    <w:lvl w:ilvl="6" w:tplc="123AB2CC">
      <w:start w:val="1"/>
      <w:numFmt w:val="decimal"/>
      <w:lvlText w:val="%7."/>
      <w:lvlJc w:val="left"/>
      <w:pPr>
        <w:ind w:left="5040" w:hanging="360"/>
      </w:pPr>
    </w:lvl>
    <w:lvl w:ilvl="7" w:tplc="EAB26E38">
      <w:start w:val="1"/>
      <w:numFmt w:val="lowerLetter"/>
      <w:lvlText w:val="%8."/>
      <w:lvlJc w:val="left"/>
      <w:pPr>
        <w:ind w:left="5760" w:hanging="360"/>
      </w:pPr>
    </w:lvl>
    <w:lvl w:ilvl="8" w:tplc="E48449C0">
      <w:start w:val="1"/>
      <w:numFmt w:val="lowerRoman"/>
      <w:lvlText w:val="%9."/>
      <w:lvlJc w:val="right"/>
      <w:pPr>
        <w:ind w:left="6480" w:hanging="180"/>
      </w:pPr>
    </w:lvl>
  </w:abstractNum>
  <w:abstractNum w:abstractNumId="4" w15:restartNumberingAfterBreak="0">
    <w:nsid w:val="41FE6118"/>
    <w:multiLevelType w:val="hybridMultilevel"/>
    <w:tmpl w:val="1A929920"/>
    <w:lvl w:ilvl="0" w:tplc="9B12690A">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E735440"/>
    <w:multiLevelType w:val="hybridMultilevel"/>
    <w:tmpl w:val="18A02C5C"/>
    <w:lvl w:ilvl="0" w:tplc="50B242AE">
      <w:start w:val="1"/>
      <w:numFmt w:val="lowerLetter"/>
      <w:lvlText w:val="%1-"/>
      <w:lvlJc w:val="left"/>
      <w:pPr>
        <w:ind w:left="928" w:hanging="360"/>
      </w:pPr>
      <w:rPr>
        <w:rFonts w:ascii="Arial" w:eastAsia="Times New Roman" w:hAnsi="Arial" w:cs="Arial"/>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6" w15:restartNumberingAfterBreak="0">
    <w:nsid w:val="4E9C7F2A"/>
    <w:multiLevelType w:val="hybridMultilevel"/>
    <w:tmpl w:val="18A02C5C"/>
    <w:lvl w:ilvl="0" w:tplc="50B242AE">
      <w:start w:val="1"/>
      <w:numFmt w:val="lowerLetter"/>
      <w:lvlText w:val="%1-"/>
      <w:lvlJc w:val="left"/>
      <w:pPr>
        <w:ind w:left="928" w:hanging="360"/>
      </w:pPr>
      <w:rPr>
        <w:rFonts w:ascii="Arial" w:eastAsia="Times New Roman" w:hAnsi="Arial" w:cs="Arial"/>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7" w15:restartNumberingAfterBreak="0">
    <w:nsid w:val="5B8E2382"/>
    <w:multiLevelType w:val="multilevel"/>
    <w:tmpl w:val="0CC4350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7C11FB"/>
    <w:multiLevelType w:val="hybridMultilevel"/>
    <w:tmpl w:val="2354D23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21E5942"/>
    <w:multiLevelType w:val="hybridMultilevel"/>
    <w:tmpl w:val="866C814C"/>
    <w:lvl w:ilvl="0" w:tplc="A75C14BA">
      <w:start w:val="1"/>
      <w:numFmt w:val="lowerLetter"/>
      <w:lvlText w:val="%1)"/>
      <w:lvlJc w:val="left"/>
      <w:pPr>
        <w:ind w:left="420" w:hanging="360"/>
      </w:pPr>
      <w:rPr>
        <w:rFonts w:hint="default"/>
        <w:b/>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0" w15:restartNumberingAfterBreak="0">
    <w:nsid w:val="663129B4"/>
    <w:multiLevelType w:val="hybridMultilevel"/>
    <w:tmpl w:val="344215B8"/>
    <w:lvl w:ilvl="0" w:tplc="9FD06ACC">
      <w:start w:val="1"/>
      <w:numFmt w:val="lowerLetter"/>
      <w:lvlText w:val="%1."/>
      <w:lvlJc w:val="left"/>
      <w:pPr>
        <w:ind w:left="720" w:hanging="360"/>
      </w:pPr>
    </w:lvl>
    <w:lvl w:ilvl="1" w:tplc="8762453A">
      <w:start w:val="1"/>
      <w:numFmt w:val="lowerLetter"/>
      <w:lvlText w:val="%2."/>
      <w:lvlJc w:val="left"/>
      <w:pPr>
        <w:ind w:left="1440" w:hanging="360"/>
      </w:pPr>
    </w:lvl>
    <w:lvl w:ilvl="2" w:tplc="18409672">
      <w:start w:val="1"/>
      <w:numFmt w:val="lowerRoman"/>
      <w:lvlText w:val="%3."/>
      <w:lvlJc w:val="right"/>
      <w:pPr>
        <w:ind w:left="2160" w:hanging="180"/>
      </w:pPr>
    </w:lvl>
    <w:lvl w:ilvl="3" w:tplc="2C982214">
      <w:start w:val="1"/>
      <w:numFmt w:val="decimal"/>
      <w:lvlText w:val="%4."/>
      <w:lvlJc w:val="left"/>
      <w:pPr>
        <w:ind w:left="2880" w:hanging="360"/>
      </w:pPr>
    </w:lvl>
    <w:lvl w:ilvl="4" w:tplc="AC023E30">
      <w:start w:val="1"/>
      <w:numFmt w:val="lowerLetter"/>
      <w:lvlText w:val="%5."/>
      <w:lvlJc w:val="left"/>
      <w:pPr>
        <w:ind w:left="3600" w:hanging="360"/>
      </w:pPr>
    </w:lvl>
    <w:lvl w:ilvl="5" w:tplc="48BA7FFE">
      <w:start w:val="1"/>
      <w:numFmt w:val="lowerRoman"/>
      <w:lvlText w:val="%6."/>
      <w:lvlJc w:val="right"/>
      <w:pPr>
        <w:ind w:left="4320" w:hanging="180"/>
      </w:pPr>
    </w:lvl>
    <w:lvl w:ilvl="6" w:tplc="93D62664">
      <w:start w:val="1"/>
      <w:numFmt w:val="decimal"/>
      <w:lvlText w:val="%7."/>
      <w:lvlJc w:val="left"/>
      <w:pPr>
        <w:ind w:left="5040" w:hanging="360"/>
      </w:pPr>
    </w:lvl>
    <w:lvl w:ilvl="7" w:tplc="57CE03B4">
      <w:start w:val="1"/>
      <w:numFmt w:val="lowerLetter"/>
      <w:lvlText w:val="%8."/>
      <w:lvlJc w:val="left"/>
      <w:pPr>
        <w:ind w:left="5760" w:hanging="360"/>
      </w:pPr>
    </w:lvl>
    <w:lvl w:ilvl="8" w:tplc="8F205340">
      <w:start w:val="1"/>
      <w:numFmt w:val="lowerRoman"/>
      <w:lvlText w:val="%9."/>
      <w:lvlJc w:val="right"/>
      <w:pPr>
        <w:ind w:left="6480" w:hanging="180"/>
      </w:pPr>
    </w:lvl>
  </w:abstractNum>
  <w:num w:numId="1">
    <w:abstractNumId w:val="3"/>
  </w:num>
  <w:num w:numId="2">
    <w:abstractNumId w:val="10"/>
  </w:num>
  <w:num w:numId="3">
    <w:abstractNumId w:val="1"/>
  </w:num>
  <w:num w:numId="4">
    <w:abstractNumId w:val="6"/>
  </w:num>
  <w:num w:numId="5">
    <w:abstractNumId w:val="4"/>
  </w:num>
  <w:num w:numId="6">
    <w:abstractNumId w:val="5"/>
  </w:num>
  <w:num w:numId="7">
    <w:abstractNumId w:val="8"/>
  </w:num>
  <w:num w:numId="8">
    <w:abstractNumId w:val="2"/>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BE2"/>
    <w:rsid w:val="00005D16"/>
    <w:rsid w:val="00013F45"/>
    <w:rsid w:val="000724FF"/>
    <w:rsid w:val="00076331"/>
    <w:rsid w:val="00080C68"/>
    <w:rsid w:val="00087F0F"/>
    <w:rsid w:val="000B3BEA"/>
    <w:rsid w:val="000C2FBA"/>
    <w:rsid w:val="000E3E3A"/>
    <w:rsid w:val="000F6478"/>
    <w:rsid w:val="001248D5"/>
    <w:rsid w:val="00132C6A"/>
    <w:rsid w:val="00134F07"/>
    <w:rsid w:val="0014341A"/>
    <w:rsid w:val="00143E24"/>
    <w:rsid w:val="001538DF"/>
    <w:rsid w:val="0019372D"/>
    <w:rsid w:val="001A56EA"/>
    <w:rsid w:val="001A6950"/>
    <w:rsid w:val="001B09CD"/>
    <w:rsid w:val="001C566D"/>
    <w:rsid w:val="0020203F"/>
    <w:rsid w:val="00210E2F"/>
    <w:rsid w:val="0022589E"/>
    <w:rsid w:val="00244EE7"/>
    <w:rsid w:val="0028E6E3"/>
    <w:rsid w:val="00297899"/>
    <w:rsid w:val="002E4171"/>
    <w:rsid w:val="002E6E7E"/>
    <w:rsid w:val="002F7F7D"/>
    <w:rsid w:val="00321FA0"/>
    <w:rsid w:val="003248C8"/>
    <w:rsid w:val="003452ED"/>
    <w:rsid w:val="00345E5C"/>
    <w:rsid w:val="003A231E"/>
    <w:rsid w:val="003A2880"/>
    <w:rsid w:val="003C63A9"/>
    <w:rsid w:val="003D2DCC"/>
    <w:rsid w:val="003D6D01"/>
    <w:rsid w:val="004110B9"/>
    <w:rsid w:val="00426250"/>
    <w:rsid w:val="00427970"/>
    <w:rsid w:val="00434E78"/>
    <w:rsid w:val="00445A65"/>
    <w:rsid w:val="00473F6B"/>
    <w:rsid w:val="00481D90"/>
    <w:rsid w:val="0048397E"/>
    <w:rsid w:val="0049055C"/>
    <w:rsid w:val="00497F18"/>
    <w:rsid w:val="004A3AE9"/>
    <w:rsid w:val="004B351C"/>
    <w:rsid w:val="004D1171"/>
    <w:rsid w:val="004DEC87"/>
    <w:rsid w:val="004E6807"/>
    <w:rsid w:val="005250F1"/>
    <w:rsid w:val="0053299C"/>
    <w:rsid w:val="00550FC7"/>
    <w:rsid w:val="00553688"/>
    <w:rsid w:val="005539DC"/>
    <w:rsid w:val="00555CCD"/>
    <w:rsid w:val="00556FF3"/>
    <w:rsid w:val="00567D58"/>
    <w:rsid w:val="00574000"/>
    <w:rsid w:val="005F293A"/>
    <w:rsid w:val="00620545"/>
    <w:rsid w:val="00630654"/>
    <w:rsid w:val="00633350"/>
    <w:rsid w:val="00651F6B"/>
    <w:rsid w:val="006644F9"/>
    <w:rsid w:val="006750F8"/>
    <w:rsid w:val="0068547A"/>
    <w:rsid w:val="0069294D"/>
    <w:rsid w:val="006B34A0"/>
    <w:rsid w:val="006B6178"/>
    <w:rsid w:val="006F21BE"/>
    <w:rsid w:val="006F39D2"/>
    <w:rsid w:val="006F74C0"/>
    <w:rsid w:val="00702A35"/>
    <w:rsid w:val="007060EF"/>
    <w:rsid w:val="00711EF4"/>
    <w:rsid w:val="00727868"/>
    <w:rsid w:val="00763BB2"/>
    <w:rsid w:val="00777095"/>
    <w:rsid w:val="00797E4A"/>
    <w:rsid w:val="007A040B"/>
    <w:rsid w:val="007A0E90"/>
    <w:rsid w:val="007A3D08"/>
    <w:rsid w:val="007A79A5"/>
    <w:rsid w:val="007B249A"/>
    <w:rsid w:val="007B5945"/>
    <w:rsid w:val="007C0E23"/>
    <w:rsid w:val="007C2297"/>
    <w:rsid w:val="007C259E"/>
    <w:rsid w:val="007C3A1F"/>
    <w:rsid w:val="007E7B6F"/>
    <w:rsid w:val="007F6947"/>
    <w:rsid w:val="008027A6"/>
    <w:rsid w:val="0082401A"/>
    <w:rsid w:val="008277B5"/>
    <w:rsid w:val="00866BD4"/>
    <w:rsid w:val="0089787D"/>
    <w:rsid w:val="008A38E2"/>
    <w:rsid w:val="008B6CE0"/>
    <w:rsid w:val="008D0077"/>
    <w:rsid w:val="008E6EB0"/>
    <w:rsid w:val="008F3A10"/>
    <w:rsid w:val="00910FF1"/>
    <w:rsid w:val="0092639D"/>
    <w:rsid w:val="0094350D"/>
    <w:rsid w:val="009627F6"/>
    <w:rsid w:val="009834A8"/>
    <w:rsid w:val="009B5CA8"/>
    <w:rsid w:val="009B63EE"/>
    <w:rsid w:val="009C1EFE"/>
    <w:rsid w:val="009D210C"/>
    <w:rsid w:val="009F1480"/>
    <w:rsid w:val="00A0A807"/>
    <w:rsid w:val="00A213E9"/>
    <w:rsid w:val="00A30C28"/>
    <w:rsid w:val="00A322BC"/>
    <w:rsid w:val="00A47428"/>
    <w:rsid w:val="00A61665"/>
    <w:rsid w:val="00A61D33"/>
    <w:rsid w:val="00A71BE2"/>
    <w:rsid w:val="00A734D0"/>
    <w:rsid w:val="00A90F28"/>
    <w:rsid w:val="00AB40A8"/>
    <w:rsid w:val="00AB4E5E"/>
    <w:rsid w:val="00AD706F"/>
    <w:rsid w:val="00AE4821"/>
    <w:rsid w:val="00B20F3B"/>
    <w:rsid w:val="00B31C74"/>
    <w:rsid w:val="00B735C2"/>
    <w:rsid w:val="00B77BC1"/>
    <w:rsid w:val="00BB1B12"/>
    <w:rsid w:val="00BB6194"/>
    <w:rsid w:val="00BC0FCC"/>
    <w:rsid w:val="00BC4244"/>
    <w:rsid w:val="00BD0411"/>
    <w:rsid w:val="00BD184C"/>
    <w:rsid w:val="00BD5A11"/>
    <w:rsid w:val="00BF4697"/>
    <w:rsid w:val="00C01752"/>
    <w:rsid w:val="00C11AF2"/>
    <w:rsid w:val="00C11BDA"/>
    <w:rsid w:val="00C145DC"/>
    <w:rsid w:val="00C17841"/>
    <w:rsid w:val="00C43D1F"/>
    <w:rsid w:val="00C4794F"/>
    <w:rsid w:val="00C571F4"/>
    <w:rsid w:val="00C6667B"/>
    <w:rsid w:val="00C7B003"/>
    <w:rsid w:val="00C84301"/>
    <w:rsid w:val="00CA73F5"/>
    <w:rsid w:val="00CC7D2A"/>
    <w:rsid w:val="00CD426F"/>
    <w:rsid w:val="00CE2B62"/>
    <w:rsid w:val="00D10C79"/>
    <w:rsid w:val="00D31A63"/>
    <w:rsid w:val="00D322BE"/>
    <w:rsid w:val="00D33A9A"/>
    <w:rsid w:val="00D57AC9"/>
    <w:rsid w:val="00DA09C1"/>
    <w:rsid w:val="00DC7125"/>
    <w:rsid w:val="00DF2342"/>
    <w:rsid w:val="00DF35E7"/>
    <w:rsid w:val="00E1198D"/>
    <w:rsid w:val="00E119C7"/>
    <w:rsid w:val="00E172FE"/>
    <w:rsid w:val="00E1755B"/>
    <w:rsid w:val="00E34E5F"/>
    <w:rsid w:val="00E852A6"/>
    <w:rsid w:val="00E941D6"/>
    <w:rsid w:val="00E97E5C"/>
    <w:rsid w:val="00EA4783"/>
    <w:rsid w:val="00EB06E5"/>
    <w:rsid w:val="00EE70FD"/>
    <w:rsid w:val="00EF24DA"/>
    <w:rsid w:val="00F1027F"/>
    <w:rsid w:val="00F158C6"/>
    <w:rsid w:val="00F16052"/>
    <w:rsid w:val="00F231EB"/>
    <w:rsid w:val="00F335D1"/>
    <w:rsid w:val="00F448A4"/>
    <w:rsid w:val="00F75FA8"/>
    <w:rsid w:val="00F95E1D"/>
    <w:rsid w:val="00FB748D"/>
    <w:rsid w:val="00FD08D6"/>
    <w:rsid w:val="00FD127C"/>
    <w:rsid w:val="00FF21E8"/>
    <w:rsid w:val="01280FDA"/>
    <w:rsid w:val="01858129"/>
    <w:rsid w:val="0199DEE0"/>
    <w:rsid w:val="01E7B427"/>
    <w:rsid w:val="0232ED12"/>
    <w:rsid w:val="0274B238"/>
    <w:rsid w:val="0373F826"/>
    <w:rsid w:val="0388E467"/>
    <w:rsid w:val="03A9A185"/>
    <w:rsid w:val="03F62B4F"/>
    <w:rsid w:val="042DD271"/>
    <w:rsid w:val="04599C79"/>
    <w:rsid w:val="0461C451"/>
    <w:rsid w:val="048CAC4B"/>
    <w:rsid w:val="04E32FA9"/>
    <w:rsid w:val="054571E6"/>
    <w:rsid w:val="0555ACF6"/>
    <w:rsid w:val="05920337"/>
    <w:rsid w:val="059ADFF6"/>
    <w:rsid w:val="05CB55CC"/>
    <w:rsid w:val="05E13D07"/>
    <w:rsid w:val="05F56CDA"/>
    <w:rsid w:val="06200152"/>
    <w:rsid w:val="065D243A"/>
    <w:rsid w:val="0669FC94"/>
    <w:rsid w:val="06DE6336"/>
    <w:rsid w:val="06E0B583"/>
    <w:rsid w:val="0710F132"/>
    <w:rsid w:val="0727E2F8"/>
    <w:rsid w:val="076CDF5E"/>
    <w:rsid w:val="079F72A8"/>
    <w:rsid w:val="08CF366D"/>
    <w:rsid w:val="08D636EF"/>
    <w:rsid w:val="08D7B5D3"/>
    <w:rsid w:val="0A05FE9F"/>
    <w:rsid w:val="0B06438C"/>
    <w:rsid w:val="0B92389A"/>
    <w:rsid w:val="0BD7F9F4"/>
    <w:rsid w:val="0BDDF341"/>
    <w:rsid w:val="0C433E70"/>
    <w:rsid w:val="0CAB4F0F"/>
    <w:rsid w:val="0CC57E23"/>
    <w:rsid w:val="0CF59DBE"/>
    <w:rsid w:val="0D25296A"/>
    <w:rsid w:val="0D40C251"/>
    <w:rsid w:val="0D4DA4BA"/>
    <w:rsid w:val="0D7BF5C9"/>
    <w:rsid w:val="0DA312BB"/>
    <w:rsid w:val="0F91B6A0"/>
    <w:rsid w:val="0FCD25ED"/>
    <w:rsid w:val="1076FFE1"/>
    <w:rsid w:val="109E6DD9"/>
    <w:rsid w:val="10B1C6D0"/>
    <w:rsid w:val="10CEC53E"/>
    <w:rsid w:val="11423401"/>
    <w:rsid w:val="11F302F0"/>
    <w:rsid w:val="123A3E3A"/>
    <w:rsid w:val="12497540"/>
    <w:rsid w:val="12607BD1"/>
    <w:rsid w:val="1264DDDC"/>
    <w:rsid w:val="135C2D83"/>
    <w:rsid w:val="135D8312"/>
    <w:rsid w:val="13CEF434"/>
    <w:rsid w:val="14351233"/>
    <w:rsid w:val="143A0C26"/>
    <w:rsid w:val="14A32937"/>
    <w:rsid w:val="14A9388D"/>
    <w:rsid w:val="14D8AE85"/>
    <w:rsid w:val="156D7CF1"/>
    <w:rsid w:val="163EF998"/>
    <w:rsid w:val="16523155"/>
    <w:rsid w:val="166715AE"/>
    <w:rsid w:val="16CC2013"/>
    <w:rsid w:val="16F041C3"/>
    <w:rsid w:val="16FB70D4"/>
    <w:rsid w:val="17D7032F"/>
    <w:rsid w:val="17E849F3"/>
    <w:rsid w:val="1838E1BB"/>
    <w:rsid w:val="1893E2DC"/>
    <w:rsid w:val="189A9EFE"/>
    <w:rsid w:val="1924AEAA"/>
    <w:rsid w:val="193C501A"/>
    <w:rsid w:val="195DCC1C"/>
    <w:rsid w:val="1989D217"/>
    <w:rsid w:val="1A4C7340"/>
    <w:rsid w:val="1A8612F7"/>
    <w:rsid w:val="1ADAC558"/>
    <w:rsid w:val="1B0195D7"/>
    <w:rsid w:val="1B817691"/>
    <w:rsid w:val="1BE843A1"/>
    <w:rsid w:val="1BF5AC3E"/>
    <w:rsid w:val="1C07C6AA"/>
    <w:rsid w:val="1D1010AB"/>
    <w:rsid w:val="1D3F631C"/>
    <w:rsid w:val="1D54E03A"/>
    <w:rsid w:val="1DB7CB74"/>
    <w:rsid w:val="1DBFBA18"/>
    <w:rsid w:val="1DC9FC78"/>
    <w:rsid w:val="1DD01C3C"/>
    <w:rsid w:val="1E1988FB"/>
    <w:rsid w:val="1E2C1EBE"/>
    <w:rsid w:val="1E3686D7"/>
    <w:rsid w:val="1E578B77"/>
    <w:rsid w:val="1F5446A5"/>
    <w:rsid w:val="1F59EDF8"/>
    <w:rsid w:val="1FB74E2D"/>
    <w:rsid w:val="1FC7EF1F"/>
    <w:rsid w:val="1FFF05B4"/>
    <w:rsid w:val="20781065"/>
    <w:rsid w:val="20AF5F5B"/>
    <w:rsid w:val="211D91BB"/>
    <w:rsid w:val="21DFC401"/>
    <w:rsid w:val="2215D29A"/>
    <w:rsid w:val="227E8D21"/>
    <w:rsid w:val="22AAB717"/>
    <w:rsid w:val="22C0A9E2"/>
    <w:rsid w:val="22D1200F"/>
    <w:rsid w:val="22D386F4"/>
    <w:rsid w:val="2326A84C"/>
    <w:rsid w:val="235E867D"/>
    <w:rsid w:val="246769CF"/>
    <w:rsid w:val="24E70DC2"/>
    <w:rsid w:val="26007F33"/>
    <w:rsid w:val="266B7FCB"/>
    <w:rsid w:val="266E4738"/>
    <w:rsid w:val="26EBAFDE"/>
    <w:rsid w:val="2711DF4A"/>
    <w:rsid w:val="279968CC"/>
    <w:rsid w:val="27EF8573"/>
    <w:rsid w:val="2807502C"/>
    <w:rsid w:val="280A1799"/>
    <w:rsid w:val="28927496"/>
    <w:rsid w:val="28B17965"/>
    <w:rsid w:val="28DEC016"/>
    <w:rsid w:val="2996475C"/>
    <w:rsid w:val="29A3FC2C"/>
    <w:rsid w:val="29F9BD5E"/>
    <w:rsid w:val="2A9A51CA"/>
    <w:rsid w:val="2B0EA087"/>
    <w:rsid w:val="2B561E29"/>
    <w:rsid w:val="2B79D67E"/>
    <w:rsid w:val="2BDBB3B8"/>
    <w:rsid w:val="2CAA70E8"/>
    <w:rsid w:val="2D76F3D4"/>
    <w:rsid w:val="2D79AF28"/>
    <w:rsid w:val="2E3FB1D7"/>
    <w:rsid w:val="2E6DAF41"/>
    <w:rsid w:val="2F43E7CC"/>
    <w:rsid w:val="2F6FFEC3"/>
    <w:rsid w:val="2F813709"/>
    <w:rsid w:val="2F83A8CB"/>
    <w:rsid w:val="2FDC21A0"/>
    <w:rsid w:val="30017376"/>
    <w:rsid w:val="303D3067"/>
    <w:rsid w:val="3084B70C"/>
    <w:rsid w:val="30E86059"/>
    <w:rsid w:val="315143A2"/>
    <w:rsid w:val="3156ECBE"/>
    <w:rsid w:val="316ABBF4"/>
    <w:rsid w:val="31A0DB55"/>
    <w:rsid w:val="31DB69DF"/>
    <w:rsid w:val="320E5A50"/>
    <w:rsid w:val="324C3503"/>
    <w:rsid w:val="32759675"/>
    <w:rsid w:val="3290516E"/>
    <w:rsid w:val="3292573D"/>
    <w:rsid w:val="32A4BCD2"/>
    <w:rsid w:val="339B7577"/>
    <w:rsid w:val="339E608B"/>
    <w:rsid w:val="33F4E5EB"/>
    <w:rsid w:val="3430B1E1"/>
    <w:rsid w:val="34DA2E35"/>
    <w:rsid w:val="34DB96DE"/>
    <w:rsid w:val="351FD828"/>
    <w:rsid w:val="3529FC5C"/>
    <w:rsid w:val="3541EBF4"/>
    <w:rsid w:val="355E6057"/>
    <w:rsid w:val="35E740CC"/>
    <w:rsid w:val="36082323"/>
    <w:rsid w:val="365C2CC7"/>
    <w:rsid w:val="369C9B44"/>
    <w:rsid w:val="374EF9B1"/>
    <w:rsid w:val="37B7DA06"/>
    <w:rsid w:val="37C00739"/>
    <w:rsid w:val="3815C94D"/>
    <w:rsid w:val="3952D0E1"/>
    <w:rsid w:val="39C131DD"/>
    <w:rsid w:val="39CFD2A5"/>
    <w:rsid w:val="39FD6D7F"/>
    <w:rsid w:val="3AC0725E"/>
    <w:rsid w:val="3B993DE0"/>
    <w:rsid w:val="3C188744"/>
    <w:rsid w:val="3C568250"/>
    <w:rsid w:val="3C5C4F43"/>
    <w:rsid w:val="3C5FD0DC"/>
    <w:rsid w:val="3C742FCC"/>
    <w:rsid w:val="3CBD8350"/>
    <w:rsid w:val="3D2EC398"/>
    <w:rsid w:val="3D35B943"/>
    <w:rsid w:val="3D65A3D9"/>
    <w:rsid w:val="3DEF5CFF"/>
    <w:rsid w:val="3DFBA13D"/>
    <w:rsid w:val="3E141064"/>
    <w:rsid w:val="3E26A589"/>
    <w:rsid w:val="3E858EBF"/>
    <w:rsid w:val="3EB2279A"/>
    <w:rsid w:val="3F070B30"/>
    <w:rsid w:val="3F665B27"/>
    <w:rsid w:val="3F6B89AE"/>
    <w:rsid w:val="3F8B2D60"/>
    <w:rsid w:val="3FAF0569"/>
    <w:rsid w:val="3FBBA894"/>
    <w:rsid w:val="400E6895"/>
    <w:rsid w:val="40215F20"/>
    <w:rsid w:val="402656AF"/>
    <w:rsid w:val="40366909"/>
    <w:rsid w:val="40A81A3D"/>
    <w:rsid w:val="40C66CED"/>
    <w:rsid w:val="4129F373"/>
    <w:rsid w:val="4181D209"/>
    <w:rsid w:val="41B915ED"/>
    <w:rsid w:val="41BD2F81"/>
    <w:rsid w:val="4262675D"/>
    <w:rsid w:val="4297B853"/>
    <w:rsid w:val="43460957"/>
    <w:rsid w:val="43925E2F"/>
    <w:rsid w:val="43F674A6"/>
    <w:rsid w:val="452D701C"/>
    <w:rsid w:val="455D1122"/>
    <w:rsid w:val="45B23DAD"/>
    <w:rsid w:val="45BCDF1F"/>
    <w:rsid w:val="45C85B26"/>
    <w:rsid w:val="4672ED11"/>
    <w:rsid w:val="467DAA19"/>
    <w:rsid w:val="477B1C20"/>
    <w:rsid w:val="4844750A"/>
    <w:rsid w:val="4894B1E4"/>
    <w:rsid w:val="4923CA81"/>
    <w:rsid w:val="49C05D78"/>
    <w:rsid w:val="4A76FAB0"/>
    <w:rsid w:val="4AA4ABC3"/>
    <w:rsid w:val="4ABC0459"/>
    <w:rsid w:val="4AC66377"/>
    <w:rsid w:val="4B52252E"/>
    <w:rsid w:val="4B983AA5"/>
    <w:rsid w:val="4BAB704F"/>
    <w:rsid w:val="4C4ACEB2"/>
    <w:rsid w:val="4C5CCC49"/>
    <w:rsid w:val="4C6F5BD0"/>
    <w:rsid w:val="4D0D371B"/>
    <w:rsid w:val="4DD3796A"/>
    <w:rsid w:val="4E3EF977"/>
    <w:rsid w:val="4E79D3B4"/>
    <w:rsid w:val="4EFAF660"/>
    <w:rsid w:val="4F0E24F6"/>
    <w:rsid w:val="4F7C7EF1"/>
    <w:rsid w:val="5044D7DD"/>
    <w:rsid w:val="50596C14"/>
    <w:rsid w:val="508087CB"/>
    <w:rsid w:val="5123F92E"/>
    <w:rsid w:val="512BDCEA"/>
    <w:rsid w:val="51303D6C"/>
    <w:rsid w:val="516C5239"/>
    <w:rsid w:val="51BA0FCC"/>
    <w:rsid w:val="524E68BC"/>
    <w:rsid w:val="527BD2CD"/>
    <w:rsid w:val="52CD7891"/>
    <w:rsid w:val="52DF1961"/>
    <w:rsid w:val="539C6F39"/>
    <w:rsid w:val="543A0FCE"/>
    <w:rsid w:val="544242CB"/>
    <w:rsid w:val="547086BD"/>
    <w:rsid w:val="54840583"/>
    <w:rsid w:val="54C3173B"/>
    <w:rsid w:val="55867F11"/>
    <w:rsid w:val="5587BB9C"/>
    <w:rsid w:val="55EBC075"/>
    <w:rsid w:val="55F42363"/>
    <w:rsid w:val="56E60DCC"/>
    <w:rsid w:val="56E70A21"/>
    <w:rsid w:val="56F30850"/>
    <w:rsid w:val="579E1DEA"/>
    <w:rsid w:val="57A50D1F"/>
    <w:rsid w:val="57E1E5E9"/>
    <w:rsid w:val="583D2377"/>
    <w:rsid w:val="58BC5BA6"/>
    <w:rsid w:val="5939EE4B"/>
    <w:rsid w:val="5979D374"/>
    <w:rsid w:val="59B79318"/>
    <w:rsid w:val="5A1FB103"/>
    <w:rsid w:val="5AB4B53B"/>
    <w:rsid w:val="5ABF3198"/>
    <w:rsid w:val="5AD88590"/>
    <w:rsid w:val="5AE56F2F"/>
    <w:rsid w:val="5B3FBAE3"/>
    <w:rsid w:val="5BAFF269"/>
    <w:rsid w:val="5BDE2055"/>
    <w:rsid w:val="5C1972AF"/>
    <w:rsid w:val="5C54DE32"/>
    <w:rsid w:val="5C7A30D8"/>
    <w:rsid w:val="5CB24CF9"/>
    <w:rsid w:val="5D0AC4D5"/>
    <w:rsid w:val="5D222BF5"/>
    <w:rsid w:val="5D668C5B"/>
    <w:rsid w:val="5DD1D2A7"/>
    <w:rsid w:val="5E78FACF"/>
    <w:rsid w:val="5F01A5E7"/>
    <w:rsid w:val="5FA92FCF"/>
    <w:rsid w:val="5FB49897"/>
    <w:rsid w:val="5FBCAAE5"/>
    <w:rsid w:val="6036BEC8"/>
    <w:rsid w:val="6073FBCB"/>
    <w:rsid w:val="610923E4"/>
    <w:rsid w:val="6128414A"/>
    <w:rsid w:val="612EA39D"/>
    <w:rsid w:val="613BB1C8"/>
    <w:rsid w:val="61618C6C"/>
    <w:rsid w:val="6176B3EA"/>
    <w:rsid w:val="620FCC2C"/>
    <w:rsid w:val="6217AD40"/>
    <w:rsid w:val="62D48A61"/>
    <w:rsid w:val="6301B2E8"/>
    <w:rsid w:val="63610CC7"/>
    <w:rsid w:val="63916D79"/>
    <w:rsid w:val="6397BAE9"/>
    <w:rsid w:val="63B92814"/>
    <w:rsid w:val="63C70D60"/>
    <w:rsid w:val="6457B818"/>
    <w:rsid w:val="64A4020D"/>
    <w:rsid w:val="64E14B48"/>
    <w:rsid w:val="652D3DDA"/>
    <w:rsid w:val="654C5850"/>
    <w:rsid w:val="65797CA6"/>
    <w:rsid w:val="657C5B9C"/>
    <w:rsid w:val="66C90E3B"/>
    <w:rsid w:val="681E71E8"/>
    <w:rsid w:val="682C5C8B"/>
    <w:rsid w:val="685F26D9"/>
    <w:rsid w:val="6886EEC4"/>
    <w:rsid w:val="698E8509"/>
    <w:rsid w:val="6A226248"/>
    <w:rsid w:val="6A64B75F"/>
    <w:rsid w:val="6AC6548D"/>
    <w:rsid w:val="6B36A2AB"/>
    <w:rsid w:val="6B73F0DE"/>
    <w:rsid w:val="6B838F7C"/>
    <w:rsid w:val="6C07C19E"/>
    <w:rsid w:val="6C2BBD30"/>
    <w:rsid w:val="6C481056"/>
    <w:rsid w:val="6C8DD93D"/>
    <w:rsid w:val="6CDFF934"/>
    <w:rsid w:val="6CF91010"/>
    <w:rsid w:val="6DECF44B"/>
    <w:rsid w:val="6E4B378F"/>
    <w:rsid w:val="6F80B59E"/>
    <w:rsid w:val="6FA883C7"/>
    <w:rsid w:val="7094A699"/>
    <w:rsid w:val="713E452A"/>
    <w:rsid w:val="7148547E"/>
    <w:rsid w:val="715F0924"/>
    <w:rsid w:val="71A4AFBF"/>
    <w:rsid w:val="721CD861"/>
    <w:rsid w:val="7238A9A4"/>
    <w:rsid w:val="723D6D41"/>
    <w:rsid w:val="725EB964"/>
    <w:rsid w:val="72F9CC12"/>
    <w:rsid w:val="7321620B"/>
    <w:rsid w:val="73496BD8"/>
    <w:rsid w:val="734ADC36"/>
    <w:rsid w:val="736638A8"/>
    <w:rsid w:val="7411741A"/>
    <w:rsid w:val="748455AF"/>
    <w:rsid w:val="7550A06C"/>
    <w:rsid w:val="7562940D"/>
    <w:rsid w:val="7660B171"/>
    <w:rsid w:val="76B8CAE0"/>
    <w:rsid w:val="771C8BFB"/>
    <w:rsid w:val="778E7072"/>
    <w:rsid w:val="77A9D87B"/>
    <w:rsid w:val="77C59F88"/>
    <w:rsid w:val="77C8DB2A"/>
    <w:rsid w:val="77CD9823"/>
    <w:rsid w:val="783CEFAF"/>
    <w:rsid w:val="784F9B5F"/>
    <w:rsid w:val="786FB82F"/>
    <w:rsid w:val="7888412E"/>
    <w:rsid w:val="789505FB"/>
    <w:rsid w:val="78AE4EA0"/>
    <w:rsid w:val="78C18C50"/>
    <w:rsid w:val="7959DD45"/>
    <w:rsid w:val="79C6389E"/>
    <w:rsid w:val="7A0BE80C"/>
    <w:rsid w:val="7A2B3ECF"/>
    <w:rsid w:val="7A460CB3"/>
    <w:rsid w:val="7A599806"/>
    <w:rsid w:val="7A6D0F25"/>
    <w:rsid w:val="7AD10A33"/>
    <w:rsid w:val="7AD25EB3"/>
    <w:rsid w:val="7ADBC0B0"/>
    <w:rsid w:val="7BB720F4"/>
    <w:rsid w:val="7BB7B7FC"/>
    <w:rsid w:val="7BF10E52"/>
    <w:rsid w:val="7C201EAA"/>
    <w:rsid w:val="7C33CF70"/>
    <w:rsid w:val="7C4315B3"/>
    <w:rsid w:val="7D757B85"/>
    <w:rsid w:val="7D7E2C28"/>
    <w:rsid w:val="7D81BFC3"/>
    <w:rsid w:val="7DCBE076"/>
    <w:rsid w:val="7E441CF3"/>
    <w:rsid w:val="7E785752"/>
    <w:rsid w:val="7E90AD8D"/>
    <w:rsid w:val="7EB1DF55"/>
    <w:rsid w:val="7F722A51"/>
    <w:rsid w:val="7FD3ED0F"/>
    <w:rsid w:val="7FF7E3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C2ED"/>
  <w15:docId w15:val="{43885DA2-48F7-4455-A28C-CDAA49BB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BE2"/>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qFormat/>
    <w:rsid w:val="00A71BE2"/>
    <w:pPr>
      <w:keepNext/>
      <w:spacing w:line="360" w:lineRule="auto"/>
      <w:ind w:right="284"/>
      <w:jc w:val="both"/>
      <w:outlineLvl w:val="1"/>
    </w:pPr>
    <w:rPr>
      <w:rFonts w:ascii="Arial" w:hAnsi="Arial"/>
      <w:b/>
      <w:sz w:val="24"/>
    </w:rPr>
  </w:style>
  <w:style w:type="paragraph" w:styleId="Ttulo4">
    <w:name w:val="heading 4"/>
    <w:basedOn w:val="Normal"/>
    <w:next w:val="Normal"/>
    <w:link w:val="Ttulo4Car"/>
    <w:qFormat/>
    <w:rsid w:val="00A71BE2"/>
    <w:pPr>
      <w:keepNext/>
      <w:tabs>
        <w:tab w:val="left" w:pos="-720"/>
      </w:tabs>
      <w:suppressAutoHyphens/>
      <w:spacing w:line="360" w:lineRule="auto"/>
      <w:jc w:val="center"/>
      <w:outlineLvl w:val="3"/>
    </w:pPr>
    <w:rPr>
      <w:rFonts w:ascii="Arial" w:hAnsi="Arial"/>
      <w:spacing w:val="-3"/>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71BE2"/>
    <w:rPr>
      <w:rFonts w:ascii="Arial" w:eastAsia="Times New Roman" w:hAnsi="Arial" w:cs="Times New Roman"/>
      <w:b/>
      <w:sz w:val="24"/>
      <w:szCs w:val="20"/>
      <w:lang w:val="es-ES_tradnl" w:eastAsia="es-ES"/>
    </w:rPr>
  </w:style>
  <w:style w:type="character" w:customStyle="1" w:styleId="Ttulo4Car">
    <w:name w:val="Título 4 Car"/>
    <w:basedOn w:val="Fuentedeprrafopredeter"/>
    <w:link w:val="Ttulo4"/>
    <w:rsid w:val="00A71BE2"/>
    <w:rPr>
      <w:rFonts w:ascii="Arial" w:eastAsia="Times New Roman" w:hAnsi="Arial" w:cs="Times New Roman"/>
      <w:spacing w:val="-3"/>
      <w:sz w:val="36"/>
      <w:szCs w:val="20"/>
      <w:lang w:val="es-ES_tradnl" w:eastAsia="es-ES"/>
    </w:rPr>
  </w:style>
  <w:style w:type="paragraph" w:styleId="Ttulo">
    <w:name w:val="Title"/>
    <w:basedOn w:val="Normal"/>
    <w:link w:val="TtuloCar"/>
    <w:qFormat/>
    <w:rsid w:val="00A71BE2"/>
    <w:pPr>
      <w:widowControl w:val="0"/>
      <w:autoSpaceDE w:val="0"/>
      <w:autoSpaceDN w:val="0"/>
      <w:adjustRightInd w:val="0"/>
      <w:jc w:val="center"/>
    </w:pPr>
    <w:rPr>
      <w:rFonts w:ascii="Roman 12cpi" w:hAnsi="Roman 12cpi"/>
      <w:b/>
      <w:bCs/>
      <w:lang w:val="es-ES"/>
    </w:rPr>
  </w:style>
  <w:style w:type="character" w:customStyle="1" w:styleId="TtuloCar">
    <w:name w:val="Título Car"/>
    <w:basedOn w:val="Fuentedeprrafopredeter"/>
    <w:link w:val="Ttulo"/>
    <w:rsid w:val="00A71BE2"/>
    <w:rPr>
      <w:rFonts w:ascii="Roman 12cpi" w:eastAsia="Times New Roman" w:hAnsi="Roman 12cpi" w:cs="Times New Roman"/>
      <w:b/>
      <w:bCs/>
      <w:sz w:val="20"/>
      <w:szCs w:val="20"/>
      <w:lang w:eastAsia="es-ES"/>
    </w:rPr>
  </w:style>
  <w:style w:type="paragraph" w:styleId="Textoindependiente">
    <w:name w:val="Body Text"/>
    <w:basedOn w:val="Normal"/>
    <w:link w:val="TextoindependienteCar"/>
    <w:semiHidden/>
    <w:rsid w:val="00A71BE2"/>
    <w:pPr>
      <w:spacing w:line="360" w:lineRule="auto"/>
      <w:jc w:val="both"/>
    </w:pPr>
    <w:rPr>
      <w:rFonts w:ascii="Arial" w:hAnsi="Arial"/>
      <w:sz w:val="26"/>
    </w:rPr>
  </w:style>
  <w:style w:type="character" w:customStyle="1" w:styleId="TextoindependienteCar">
    <w:name w:val="Texto independiente Car"/>
    <w:basedOn w:val="Fuentedeprrafopredeter"/>
    <w:link w:val="Textoindependiente"/>
    <w:semiHidden/>
    <w:rsid w:val="00A71BE2"/>
    <w:rPr>
      <w:rFonts w:ascii="Arial" w:eastAsia="Times New Roman" w:hAnsi="Arial" w:cs="Times New Roman"/>
      <w:sz w:val="26"/>
      <w:szCs w:val="20"/>
      <w:lang w:val="es-ES_tradnl" w:eastAsia="es-ES"/>
    </w:rPr>
  </w:style>
  <w:style w:type="paragraph" w:styleId="Textonotapie">
    <w:name w:val="footnote text"/>
    <w:basedOn w:val="Normal"/>
    <w:link w:val="TextonotapieCar"/>
    <w:semiHidden/>
    <w:unhideWhenUsed/>
    <w:rsid w:val="00A71BE2"/>
  </w:style>
  <w:style w:type="character" w:customStyle="1" w:styleId="TextonotapieCar">
    <w:name w:val="Texto nota pie Car"/>
    <w:basedOn w:val="Fuentedeprrafopredeter"/>
    <w:link w:val="Textonotapie"/>
    <w:semiHidden/>
    <w:rsid w:val="00A71BE2"/>
    <w:rPr>
      <w:rFonts w:ascii="Times New Roman" w:eastAsia="Times New Roman" w:hAnsi="Times New Roman" w:cs="Times New Roman"/>
      <w:sz w:val="20"/>
      <w:szCs w:val="20"/>
      <w:lang w:val="es-ES_tradnl" w:eastAsia="es-ES"/>
    </w:rPr>
  </w:style>
  <w:style w:type="character" w:styleId="Refdenotaalpie">
    <w:name w:val="footnote reference"/>
    <w:semiHidden/>
    <w:unhideWhenUsed/>
    <w:rsid w:val="00A71BE2"/>
    <w:rPr>
      <w:vertAlign w:val="superscript"/>
    </w:rPr>
  </w:style>
  <w:style w:type="paragraph" w:styleId="Encabezado">
    <w:name w:val="header"/>
    <w:basedOn w:val="Normal"/>
    <w:link w:val="EncabezadoCar"/>
    <w:unhideWhenUsed/>
    <w:rsid w:val="00A71BE2"/>
    <w:pPr>
      <w:tabs>
        <w:tab w:val="center" w:pos="4419"/>
        <w:tab w:val="right" w:pos="8838"/>
      </w:tabs>
    </w:pPr>
  </w:style>
  <w:style w:type="character" w:customStyle="1" w:styleId="EncabezadoCar">
    <w:name w:val="Encabezado Car"/>
    <w:basedOn w:val="Fuentedeprrafopredeter"/>
    <w:link w:val="Encabezado"/>
    <w:rsid w:val="00A71BE2"/>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A71BE2"/>
    <w:pPr>
      <w:tabs>
        <w:tab w:val="center" w:pos="4419"/>
        <w:tab w:val="right" w:pos="8838"/>
      </w:tabs>
    </w:pPr>
  </w:style>
  <w:style w:type="character" w:customStyle="1" w:styleId="PiedepginaCar">
    <w:name w:val="Pie de página Car"/>
    <w:basedOn w:val="Fuentedeprrafopredeter"/>
    <w:link w:val="Piedepgina"/>
    <w:uiPriority w:val="99"/>
    <w:rsid w:val="00A71BE2"/>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7C3A1F"/>
    <w:pPr>
      <w:ind w:left="720"/>
      <w:contextualSpacing/>
    </w:pPr>
  </w:style>
  <w:style w:type="paragraph" w:styleId="Textocomentario">
    <w:name w:val="annotation text"/>
    <w:basedOn w:val="Normal"/>
    <w:link w:val="TextocomentarioCar"/>
    <w:uiPriority w:val="99"/>
    <w:semiHidden/>
    <w:unhideWhenUsed/>
    <w:rsid w:val="007C3A1F"/>
  </w:style>
  <w:style w:type="character" w:customStyle="1" w:styleId="TextocomentarioCar">
    <w:name w:val="Texto comentario Car"/>
    <w:basedOn w:val="Fuentedeprrafopredeter"/>
    <w:link w:val="Textocomentario"/>
    <w:uiPriority w:val="99"/>
    <w:semiHidden/>
    <w:rsid w:val="007C3A1F"/>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sid w:val="007C3A1F"/>
    <w:rPr>
      <w:sz w:val="16"/>
      <w:szCs w:val="16"/>
    </w:rPr>
  </w:style>
  <w:style w:type="paragraph" w:styleId="Textodeglobo">
    <w:name w:val="Balloon Text"/>
    <w:basedOn w:val="Normal"/>
    <w:link w:val="TextodegloboCar"/>
    <w:uiPriority w:val="99"/>
    <w:semiHidden/>
    <w:unhideWhenUsed/>
    <w:rsid w:val="00DF35E7"/>
    <w:rPr>
      <w:rFonts w:ascii="Tahoma" w:hAnsi="Tahoma" w:cs="Tahoma"/>
      <w:sz w:val="16"/>
      <w:szCs w:val="16"/>
    </w:rPr>
  </w:style>
  <w:style w:type="character" w:customStyle="1" w:styleId="TextodegloboCar">
    <w:name w:val="Texto de globo Car"/>
    <w:basedOn w:val="Fuentedeprrafopredeter"/>
    <w:link w:val="Textodeglobo"/>
    <w:uiPriority w:val="99"/>
    <w:semiHidden/>
    <w:rsid w:val="00DF35E7"/>
    <w:rPr>
      <w:rFonts w:ascii="Tahoma" w:eastAsia="Times New Roman" w:hAnsi="Tahoma" w:cs="Tahoma"/>
      <w:sz w:val="16"/>
      <w:szCs w:val="16"/>
      <w:lang w:val="es-ES_tradnl" w:eastAsia="es-ES"/>
    </w:rPr>
  </w:style>
  <w:style w:type="character" w:customStyle="1" w:styleId="normaltextrun">
    <w:name w:val="normaltextrun"/>
    <w:basedOn w:val="Fuentedeprrafopredeter"/>
    <w:rsid w:val="00D57AC9"/>
  </w:style>
  <w:style w:type="character" w:customStyle="1" w:styleId="eop">
    <w:name w:val="eop"/>
    <w:basedOn w:val="Fuentedeprrafopredeter"/>
    <w:rsid w:val="00D57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06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808e2e195fb547d1"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157412b-f7d0-435c-8dc3-c57cc9ba3390">
      <UserInfo>
        <DisplayName>German Dario Goez Vinasco</DisplayName>
        <AccountId>206</AccountId>
        <AccountType/>
      </UserInfo>
      <UserInfo>
        <DisplayName>Ana Lucia Caicedo Calderon</DisplayName>
        <AccountId>20</AccountId>
        <AccountType/>
      </UserInfo>
      <UserInfo>
        <DisplayName>Julio Cesar Salazar Muñoz</DisplayName>
        <AccountId>12</AccountId>
        <AccountType/>
      </UserInfo>
    </SharedWithUsers>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74881-1AA3-4600-8565-9B77DCB8DBF4}">
  <ds:schemaRefs>
    <ds:schemaRef ds:uri="http://schemas.microsoft.com/sharepoint/v3/contenttype/forms"/>
  </ds:schemaRefs>
</ds:datastoreItem>
</file>

<file path=customXml/itemProps2.xml><?xml version="1.0" encoding="utf-8"?>
<ds:datastoreItem xmlns:ds="http://schemas.openxmlformats.org/officeDocument/2006/customXml" ds:itemID="{94587DD3-5E9E-4933-8144-86890AAFC689}">
  <ds:schemaRefs>
    <ds:schemaRef ds:uri="http://schemas.microsoft.com/office/2006/metadata/properties"/>
    <ds:schemaRef ds:uri="http://schemas.microsoft.com/office/infopath/2007/PartnerControls"/>
    <ds:schemaRef ds:uri="b157412b-f7d0-435c-8dc3-c57cc9ba3390"/>
    <ds:schemaRef ds:uri="dded84e4-001b-470d-a0e6-15ddd3924142"/>
  </ds:schemaRefs>
</ds:datastoreItem>
</file>

<file path=customXml/itemProps3.xml><?xml version="1.0" encoding="utf-8"?>
<ds:datastoreItem xmlns:ds="http://schemas.openxmlformats.org/officeDocument/2006/customXml" ds:itemID="{0C7D8F93-97A5-4183-BB44-0BDF0BEDB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2560</Words>
  <Characters>14081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Ramirez - Largo</dc:creator>
  <cp:lastModifiedBy>Relatoria Tribunal Superior - Risaralda - Pereira</cp:lastModifiedBy>
  <cp:revision>23</cp:revision>
  <dcterms:created xsi:type="dcterms:W3CDTF">2023-07-11T16:55:00Z</dcterms:created>
  <dcterms:modified xsi:type="dcterms:W3CDTF">2023-09-12T19:17:00Z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