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E902C" w14:textId="01AB0759" w:rsidR="000A7A06" w:rsidRPr="00EE5801" w:rsidRDefault="00EE5801" w:rsidP="000A7A06">
      <w:pPr>
        <w:jc w:val="both"/>
        <w:textAlignment w:val="baseline"/>
        <w:rPr>
          <w:rFonts w:ascii="Arial" w:hAnsi="Arial" w:cs="Arial"/>
          <w:b/>
          <w:sz w:val="20"/>
          <w:lang w:eastAsia="es-CO"/>
        </w:rPr>
      </w:pPr>
      <w:r>
        <w:rPr>
          <w:rFonts w:ascii="Arial" w:hAnsi="Arial" w:cs="Arial"/>
          <w:b/>
          <w:sz w:val="20"/>
          <w:lang w:eastAsia="es-CO"/>
        </w:rPr>
        <w:t xml:space="preserve">LLAMAMIENTO EN GARANTÍA / PROCEDENCIA / </w:t>
      </w:r>
      <w:r w:rsidR="00075370">
        <w:rPr>
          <w:rFonts w:ascii="Arial" w:hAnsi="Arial" w:cs="Arial"/>
          <w:b/>
          <w:sz w:val="20"/>
          <w:lang w:eastAsia="es-CO"/>
        </w:rPr>
        <w:t xml:space="preserve">RESPECTO </w:t>
      </w:r>
      <w:r w:rsidR="00633F36">
        <w:rPr>
          <w:rFonts w:ascii="Arial" w:hAnsi="Arial" w:cs="Arial"/>
          <w:b/>
          <w:sz w:val="20"/>
          <w:lang w:eastAsia="es-CO"/>
        </w:rPr>
        <w:t xml:space="preserve">DE UN TERCERO / </w:t>
      </w:r>
      <w:proofErr w:type="spellStart"/>
      <w:r w:rsidR="00633F36">
        <w:rPr>
          <w:rFonts w:ascii="Arial" w:hAnsi="Arial" w:cs="Arial"/>
          <w:b/>
          <w:sz w:val="20"/>
          <w:lang w:eastAsia="es-CO"/>
        </w:rPr>
        <w:t>CPC</w:t>
      </w:r>
      <w:proofErr w:type="spellEnd"/>
    </w:p>
    <w:p w14:paraId="184DE3D8" w14:textId="659E8359" w:rsidR="000A7A06" w:rsidRPr="00EE5801" w:rsidRDefault="00EE5801" w:rsidP="00EE5801">
      <w:pPr>
        <w:jc w:val="both"/>
        <w:textAlignment w:val="baseline"/>
        <w:rPr>
          <w:rFonts w:ascii="Arial" w:hAnsi="Arial" w:cs="Arial"/>
          <w:sz w:val="20"/>
          <w:lang w:eastAsia="es-CO"/>
        </w:rPr>
      </w:pPr>
      <w:r w:rsidRPr="00EE5801">
        <w:rPr>
          <w:rFonts w:ascii="Arial" w:hAnsi="Arial" w:cs="Arial"/>
          <w:sz w:val="20"/>
          <w:lang w:eastAsia="es-CO"/>
        </w:rPr>
        <w:t>Conforme al artículo 64 del C.G.P., el llamamiento en garantía deviene de la afirmación de una de las partes del proceso de tener un derecho legal o contractual para exigir “de otro” la indemnización del perjuicio que llegare a sufrir o el reembolso total o parcial del pago que tuviere que hacer como consecuencia de la sentencia dictada en el proceso que promueva o se promueva en su contra.</w:t>
      </w:r>
      <w:r>
        <w:rPr>
          <w:rFonts w:ascii="Arial" w:hAnsi="Arial" w:cs="Arial"/>
          <w:sz w:val="20"/>
          <w:lang w:eastAsia="es-CO"/>
        </w:rPr>
        <w:t xml:space="preserve"> (…) </w:t>
      </w:r>
      <w:r w:rsidR="00633F36" w:rsidRPr="00633F36">
        <w:rPr>
          <w:rFonts w:ascii="Arial" w:hAnsi="Arial" w:cs="Arial"/>
          <w:sz w:val="20"/>
          <w:lang w:eastAsia="es-CO"/>
        </w:rPr>
        <w:t>En cuanto a la expresión “de otro” al tenor de la jurisprudencia citada por la juzgadora (</w:t>
      </w:r>
      <w:proofErr w:type="spellStart"/>
      <w:r w:rsidR="00633F36" w:rsidRPr="00633F36">
        <w:rPr>
          <w:rFonts w:ascii="Arial" w:hAnsi="Arial" w:cs="Arial"/>
          <w:sz w:val="20"/>
          <w:lang w:eastAsia="es-CO"/>
        </w:rPr>
        <w:t>AC2900</w:t>
      </w:r>
      <w:proofErr w:type="spellEnd"/>
      <w:r w:rsidR="00633F36" w:rsidRPr="00633F36">
        <w:rPr>
          <w:rFonts w:ascii="Arial" w:hAnsi="Arial" w:cs="Arial"/>
          <w:sz w:val="20"/>
          <w:lang w:eastAsia="es-CO"/>
        </w:rPr>
        <w:t xml:space="preserve">-2017) era concebible que bajo el marco del extinto </w:t>
      </w:r>
      <w:proofErr w:type="spellStart"/>
      <w:r w:rsidR="00633F36" w:rsidRPr="00633F36">
        <w:rPr>
          <w:rFonts w:ascii="Arial" w:hAnsi="Arial" w:cs="Arial"/>
          <w:sz w:val="20"/>
          <w:lang w:eastAsia="es-CO"/>
        </w:rPr>
        <w:t>C.P.C</w:t>
      </w:r>
      <w:proofErr w:type="spellEnd"/>
      <w:r w:rsidR="00633F36" w:rsidRPr="00633F36">
        <w:rPr>
          <w:rFonts w:ascii="Arial" w:hAnsi="Arial" w:cs="Arial"/>
          <w:sz w:val="20"/>
          <w:lang w:eastAsia="es-CO"/>
        </w:rPr>
        <w:t>. el llamamiento en garantía solo concerniera a tercero, pues incluso su ubicación dentro de la normativa ubicaba el llamamiento en garantía en el capítulo iii, del título vi, del libro i, esto es –intervención de terceros y sucesión procesal–.</w:t>
      </w:r>
    </w:p>
    <w:p w14:paraId="0A640EFA" w14:textId="3B9F4E9C" w:rsidR="00653FDA" w:rsidRDefault="00653FDA" w:rsidP="000A7A06">
      <w:pPr>
        <w:jc w:val="both"/>
        <w:textAlignment w:val="baseline"/>
        <w:rPr>
          <w:rFonts w:ascii="Arial" w:hAnsi="Arial" w:cs="Arial"/>
          <w:sz w:val="20"/>
          <w:lang w:eastAsia="es-CO"/>
        </w:rPr>
      </w:pPr>
    </w:p>
    <w:p w14:paraId="418BD0EF" w14:textId="403ABCA0" w:rsidR="00633F36" w:rsidRPr="00EE5801" w:rsidRDefault="00633F36" w:rsidP="00633F36">
      <w:pPr>
        <w:jc w:val="both"/>
        <w:textAlignment w:val="baseline"/>
        <w:rPr>
          <w:rFonts w:ascii="Arial" w:hAnsi="Arial" w:cs="Arial"/>
          <w:b/>
          <w:sz w:val="20"/>
          <w:lang w:eastAsia="es-CO"/>
        </w:rPr>
      </w:pPr>
      <w:r>
        <w:rPr>
          <w:rFonts w:ascii="Arial" w:hAnsi="Arial" w:cs="Arial"/>
          <w:b/>
          <w:sz w:val="20"/>
          <w:lang w:eastAsia="es-CO"/>
        </w:rPr>
        <w:t xml:space="preserve">LLAMAMIENTO EN GARANTÍA / </w:t>
      </w:r>
      <w:r w:rsidR="00075370">
        <w:rPr>
          <w:rFonts w:ascii="Arial" w:hAnsi="Arial" w:cs="Arial"/>
          <w:b/>
          <w:sz w:val="20"/>
          <w:lang w:eastAsia="es-CO"/>
        </w:rPr>
        <w:t xml:space="preserve">RESPECTO DE UNA PARTE / </w:t>
      </w:r>
      <w:r w:rsidR="00C07DDD">
        <w:rPr>
          <w:rFonts w:ascii="Arial" w:hAnsi="Arial" w:cs="Arial"/>
          <w:b/>
          <w:sz w:val="20"/>
          <w:lang w:eastAsia="es-CO"/>
        </w:rPr>
        <w:t xml:space="preserve">IMPROCEDENCIA / </w:t>
      </w:r>
      <w:proofErr w:type="spellStart"/>
      <w:r w:rsidR="00075370">
        <w:rPr>
          <w:rFonts w:ascii="Arial" w:hAnsi="Arial" w:cs="Arial"/>
          <w:b/>
          <w:sz w:val="20"/>
          <w:lang w:eastAsia="es-CO"/>
        </w:rPr>
        <w:t>CGP</w:t>
      </w:r>
      <w:proofErr w:type="spellEnd"/>
    </w:p>
    <w:p w14:paraId="69977C94" w14:textId="5623FEDD" w:rsidR="00653FDA" w:rsidRDefault="005B395A" w:rsidP="005B395A">
      <w:pPr>
        <w:jc w:val="both"/>
        <w:textAlignment w:val="baseline"/>
        <w:rPr>
          <w:rFonts w:ascii="Arial" w:hAnsi="Arial" w:cs="Arial"/>
          <w:sz w:val="20"/>
          <w:lang w:eastAsia="es-CO"/>
        </w:rPr>
      </w:pPr>
      <w:r w:rsidRPr="005B395A">
        <w:rPr>
          <w:rFonts w:ascii="Arial" w:hAnsi="Arial" w:cs="Arial"/>
          <w:sz w:val="20"/>
          <w:lang w:eastAsia="es-CO"/>
        </w:rPr>
        <w:t>No obstante, al tenor de la nueva codificación – Código General del Proceso – y concretamente frente al trámite del llamamiento en garantía, el parágrafo del artículo 66 del C.G.P. establece, en cuanto a la notificación del llamado, que debe notificarse personalmente, a menos que el llamado “actué en el proceso como parte”.</w:t>
      </w:r>
      <w:r>
        <w:rPr>
          <w:rFonts w:ascii="Arial" w:hAnsi="Arial" w:cs="Arial"/>
          <w:sz w:val="20"/>
          <w:lang w:eastAsia="es-CO"/>
        </w:rPr>
        <w:t xml:space="preserve"> (…) </w:t>
      </w:r>
      <w:r w:rsidRPr="005B395A">
        <w:rPr>
          <w:rFonts w:ascii="Arial" w:hAnsi="Arial" w:cs="Arial"/>
          <w:sz w:val="20"/>
          <w:lang w:eastAsia="es-CO"/>
        </w:rPr>
        <w:t>Sin embargo, tal interpretación literal resulta desacertada en la medida que las relaciones que se traban entre demandante y demandado vienen precedidas por la acción principal, esto es, el libelo genitor y su contestación y solo en la medida que el sujeto pasivo de la contienda considere tener pretensiones contra el sujeto activo, es que procederá la demanda de reconvención.</w:t>
      </w:r>
    </w:p>
    <w:p w14:paraId="01A36FB2" w14:textId="456AADDA" w:rsidR="00653FDA" w:rsidRDefault="00653FDA" w:rsidP="000A7A06">
      <w:pPr>
        <w:jc w:val="both"/>
        <w:textAlignment w:val="baseline"/>
        <w:rPr>
          <w:rFonts w:ascii="Arial" w:hAnsi="Arial" w:cs="Arial"/>
          <w:sz w:val="20"/>
          <w:lang w:eastAsia="es-CO"/>
        </w:rPr>
      </w:pPr>
    </w:p>
    <w:p w14:paraId="0619DAA7" w14:textId="79492CAA" w:rsidR="00C07DDD" w:rsidRPr="00EE5801" w:rsidRDefault="00C07DDD" w:rsidP="00C07DDD">
      <w:pPr>
        <w:jc w:val="both"/>
        <w:textAlignment w:val="baseline"/>
        <w:rPr>
          <w:rFonts w:ascii="Arial" w:hAnsi="Arial" w:cs="Arial"/>
          <w:b/>
          <w:sz w:val="20"/>
          <w:lang w:eastAsia="es-CO"/>
        </w:rPr>
      </w:pPr>
      <w:r>
        <w:rPr>
          <w:rFonts w:ascii="Arial" w:hAnsi="Arial" w:cs="Arial"/>
          <w:b/>
          <w:sz w:val="20"/>
          <w:lang w:eastAsia="es-CO"/>
        </w:rPr>
        <w:t xml:space="preserve">LLAMAMIENTO EN GARANTÍA / </w:t>
      </w:r>
      <w:r w:rsidR="00C50C2F">
        <w:rPr>
          <w:rFonts w:ascii="Arial" w:hAnsi="Arial" w:cs="Arial"/>
          <w:b/>
          <w:sz w:val="20"/>
          <w:lang w:eastAsia="es-CO"/>
        </w:rPr>
        <w:t xml:space="preserve">ENTRE </w:t>
      </w:r>
      <w:proofErr w:type="spellStart"/>
      <w:r w:rsidR="00C50C2F">
        <w:rPr>
          <w:rFonts w:ascii="Arial" w:hAnsi="Arial" w:cs="Arial"/>
          <w:b/>
          <w:sz w:val="20"/>
          <w:lang w:eastAsia="es-CO"/>
        </w:rPr>
        <w:t>COPARTES</w:t>
      </w:r>
      <w:proofErr w:type="spellEnd"/>
      <w:r w:rsidR="00C50C2F">
        <w:rPr>
          <w:rFonts w:ascii="Arial" w:hAnsi="Arial" w:cs="Arial"/>
          <w:b/>
          <w:sz w:val="20"/>
          <w:lang w:eastAsia="es-CO"/>
        </w:rPr>
        <w:t xml:space="preserve"> </w:t>
      </w:r>
      <w:r>
        <w:rPr>
          <w:rFonts w:ascii="Arial" w:hAnsi="Arial" w:cs="Arial"/>
          <w:b/>
          <w:sz w:val="20"/>
          <w:lang w:eastAsia="es-CO"/>
        </w:rPr>
        <w:t xml:space="preserve">/ </w:t>
      </w:r>
      <w:r w:rsidR="00C50C2F">
        <w:rPr>
          <w:rFonts w:ascii="Arial" w:hAnsi="Arial" w:cs="Arial"/>
          <w:b/>
          <w:sz w:val="20"/>
          <w:lang w:eastAsia="es-CO"/>
        </w:rPr>
        <w:t>NO A LA CONTRAPARTE</w:t>
      </w:r>
    </w:p>
    <w:p w14:paraId="289C4B61" w14:textId="2E29F487" w:rsidR="00653FDA" w:rsidRDefault="00C50C2F" w:rsidP="00C50C2F">
      <w:pPr>
        <w:jc w:val="both"/>
        <w:textAlignment w:val="baseline"/>
        <w:rPr>
          <w:rFonts w:ascii="Arial" w:hAnsi="Arial" w:cs="Arial"/>
          <w:sz w:val="20"/>
          <w:lang w:eastAsia="es-CO"/>
        </w:rPr>
      </w:pPr>
      <w:r>
        <w:rPr>
          <w:rFonts w:ascii="Arial" w:hAnsi="Arial" w:cs="Arial"/>
          <w:sz w:val="20"/>
          <w:lang w:eastAsia="es-CO"/>
        </w:rPr>
        <w:t xml:space="preserve">… </w:t>
      </w:r>
      <w:r w:rsidRPr="00C50C2F">
        <w:rPr>
          <w:rFonts w:ascii="Arial" w:hAnsi="Arial" w:cs="Arial"/>
          <w:sz w:val="20"/>
          <w:lang w:eastAsia="es-CO"/>
        </w:rPr>
        <w:t xml:space="preserve">la misma decisión traída a colación por el apelante aclara dicha relación para explicar que bajo la nueva codificación -Código General del Proceso- existe “la posibilidad de que un demandado llame en garantía a otro demandado, figura denominada demanda de coparte”. Así, el llamamiento en garantía a otra parte del proceso, figura permitida a través del C.G.P. corresponde a la citación de una coparte, es decir, cita a un codemandado, más no de su contraparte, como ocurre en los eventos de deudores solidarios que ocupan la misma relación de sujeción – codemandados </w:t>
      </w:r>
      <w:r>
        <w:rPr>
          <w:rFonts w:ascii="Arial" w:hAnsi="Arial" w:cs="Arial"/>
          <w:sz w:val="20"/>
          <w:lang w:eastAsia="es-CO"/>
        </w:rPr>
        <w:t>–…</w:t>
      </w:r>
    </w:p>
    <w:p w14:paraId="5CDFE264" w14:textId="708C9897" w:rsidR="00653FDA" w:rsidRDefault="00653FDA" w:rsidP="000A7A06">
      <w:pPr>
        <w:jc w:val="both"/>
        <w:textAlignment w:val="baseline"/>
        <w:rPr>
          <w:rFonts w:ascii="Arial" w:hAnsi="Arial" w:cs="Arial"/>
          <w:sz w:val="20"/>
          <w:lang w:eastAsia="es-CO"/>
        </w:rPr>
      </w:pPr>
    </w:p>
    <w:p w14:paraId="5CC6BC0F" w14:textId="4F29782B" w:rsidR="00653FDA" w:rsidRDefault="00653FDA" w:rsidP="000A7A06">
      <w:pPr>
        <w:jc w:val="both"/>
        <w:textAlignment w:val="baseline"/>
        <w:rPr>
          <w:rFonts w:ascii="Arial" w:hAnsi="Arial" w:cs="Arial"/>
          <w:sz w:val="20"/>
          <w:lang w:eastAsia="es-CO"/>
        </w:rPr>
      </w:pPr>
    </w:p>
    <w:p w14:paraId="7F2A92AE" w14:textId="77777777" w:rsidR="000A7A06" w:rsidRPr="000A7A06" w:rsidRDefault="000A7A06" w:rsidP="000A7A06">
      <w:pPr>
        <w:jc w:val="both"/>
        <w:textAlignment w:val="baseline"/>
        <w:rPr>
          <w:rFonts w:ascii="Arial" w:hAnsi="Arial" w:cs="Arial"/>
          <w:sz w:val="20"/>
          <w:lang w:eastAsia="es-CO"/>
        </w:rPr>
      </w:pPr>
    </w:p>
    <w:p w14:paraId="1F4A2CC7" w14:textId="77777777" w:rsidR="000A7A06" w:rsidRPr="000A7A06" w:rsidRDefault="000A7A06" w:rsidP="000A7A06">
      <w:pPr>
        <w:spacing w:line="276" w:lineRule="auto"/>
        <w:jc w:val="center"/>
        <w:textAlignment w:val="baseline"/>
        <w:rPr>
          <w:rFonts w:ascii="Arial" w:hAnsi="Arial" w:cs="Arial"/>
          <w:lang w:eastAsia="es-CO"/>
        </w:rPr>
      </w:pPr>
      <w:r w:rsidRPr="000A7A06">
        <w:rPr>
          <w:rFonts w:ascii="Arial" w:hAnsi="Arial" w:cs="Arial"/>
          <w:noProof/>
          <w:lang w:val="en-US" w:eastAsia="en-US"/>
        </w:rPr>
        <w:drawing>
          <wp:inline distT="0" distB="0" distL="0" distR="0" wp14:anchorId="4E24214A" wp14:editId="5B1DEE52">
            <wp:extent cx="790575" cy="771525"/>
            <wp:effectExtent l="0" t="0" r="9525" b="9525"/>
            <wp:docPr id="2"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0A7A06">
        <w:rPr>
          <w:rFonts w:ascii="Arial" w:hAnsi="Arial" w:cs="Arial"/>
          <w:lang w:eastAsia="es-CO"/>
        </w:rPr>
        <w:t> </w:t>
      </w:r>
    </w:p>
    <w:p w14:paraId="7BA482AA" w14:textId="77777777" w:rsidR="000A7A06" w:rsidRPr="000A7A06" w:rsidRDefault="000A7A06" w:rsidP="000A7A06">
      <w:pPr>
        <w:spacing w:line="276" w:lineRule="auto"/>
        <w:jc w:val="center"/>
        <w:textAlignment w:val="baseline"/>
        <w:rPr>
          <w:rFonts w:ascii="Arial" w:hAnsi="Arial" w:cs="Arial"/>
          <w:lang w:eastAsia="es-CO"/>
        </w:rPr>
      </w:pPr>
      <w:r w:rsidRPr="000A7A06">
        <w:rPr>
          <w:rFonts w:ascii="Arial" w:hAnsi="Arial" w:cs="Arial"/>
          <w:b/>
          <w:bCs/>
          <w:lang w:val="es-ES" w:eastAsia="es-CO"/>
        </w:rPr>
        <w:t>RAMA JUDICIAL DEL PODER PÚBLICO</w:t>
      </w:r>
      <w:r w:rsidRPr="000A7A06">
        <w:rPr>
          <w:rFonts w:ascii="Arial" w:hAnsi="Arial" w:cs="Arial"/>
          <w:lang w:eastAsia="es-CO"/>
        </w:rPr>
        <w:t> </w:t>
      </w:r>
    </w:p>
    <w:p w14:paraId="7135B2AF" w14:textId="77777777" w:rsidR="000A7A06" w:rsidRPr="000A7A06" w:rsidRDefault="000A7A06" w:rsidP="000A7A06">
      <w:pPr>
        <w:spacing w:line="276" w:lineRule="auto"/>
        <w:jc w:val="center"/>
        <w:textAlignment w:val="baseline"/>
        <w:rPr>
          <w:rFonts w:ascii="Arial" w:hAnsi="Arial" w:cs="Arial"/>
          <w:lang w:eastAsia="es-CO"/>
        </w:rPr>
      </w:pPr>
      <w:r w:rsidRPr="000A7A06">
        <w:rPr>
          <w:rFonts w:ascii="Arial" w:hAnsi="Arial" w:cs="Arial"/>
          <w:b/>
          <w:bCs/>
          <w:lang w:val="es-ES" w:eastAsia="es-CO"/>
        </w:rPr>
        <w:t>TRIBUNAL SUPERIOR DEL DISTRITO JUDICIAL DE PEREIRA</w:t>
      </w:r>
      <w:r w:rsidRPr="000A7A06">
        <w:rPr>
          <w:rFonts w:ascii="Arial" w:hAnsi="Arial" w:cs="Arial"/>
          <w:lang w:eastAsia="es-CO"/>
        </w:rPr>
        <w:t> </w:t>
      </w:r>
    </w:p>
    <w:p w14:paraId="3414D863" w14:textId="77777777" w:rsidR="000A7A06" w:rsidRPr="000A7A06" w:rsidRDefault="000A7A06" w:rsidP="000A7A06">
      <w:pPr>
        <w:spacing w:line="276" w:lineRule="auto"/>
        <w:jc w:val="center"/>
        <w:textAlignment w:val="baseline"/>
        <w:rPr>
          <w:rFonts w:ascii="Arial" w:hAnsi="Arial" w:cs="Arial"/>
          <w:lang w:eastAsia="es-CO"/>
        </w:rPr>
      </w:pPr>
      <w:r w:rsidRPr="000A7A06">
        <w:rPr>
          <w:rFonts w:ascii="Arial" w:hAnsi="Arial" w:cs="Arial"/>
          <w:b/>
          <w:bCs/>
          <w:lang w:val="es-ES" w:eastAsia="es-CO"/>
        </w:rPr>
        <w:t>SALA DE DECISIÓN LABORAL</w:t>
      </w:r>
      <w:r w:rsidRPr="000A7A06">
        <w:rPr>
          <w:rFonts w:ascii="Arial" w:hAnsi="Arial" w:cs="Arial"/>
          <w:lang w:eastAsia="es-CO"/>
        </w:rPr>
        <w:t> </w:t>
      </w:r>
    </w:p>
    <w:p w14:paraId="1EBE2EB3" w14:textId="77777777" w:rsidR="000A7A06" w:rsidRPr="000A7A06" w:rsidRDefault="000A7A06" w:rsidP="000A7A06">
      <w:pPr>
        <w:spacing w:line="276" w:lineRule="auto"/>
        <w:jc w:val="both"/>
        <w:textAlignment w:val="baseline"/>
        <w:rPr>
          <w:rFonts w:ascii="Arial" w:hAnsi="Arial" w:cs="Arial"/>
          <w:lang w:eastAsia="es-CO"/>
        </w:rPr>
      </w:pPr>
    </w:p>
    <w:p w14:paraId="01124F9D" w14:textId="77777777" w:rsidR="000A7A06" w:rsidRPr="000A7A06" w:rsidRDefault="000A7A06" w:rsidP="000A7A06">
      <w:pPr>
        <w:spacing w:line="276" w:lineRule="auto"/>
        <w:jc w:val="center"/>
        <w:textAlignment w:val="baseline"/>
        <w:rPr>
          <w:rFonts w:ascii="Arial" w:hAnsi="Arial" w:cs="Arial"/>
          <w:lang w:eastAsia="es-CO"/>
        </w:rPr>
      </w:pPr>
      <w:r w:rsidRPr="000A7A06">
        <w:rPr>
          <w:rFonts w:ascii="Arial" w:hAnsi="Arial" w:cs="Arial"/>
          <w:color w:val="000000"/>
          <w:lang w:val="es-ES" w:eastAsia="es-CO"/>
        </w:rPr>
        <w:t>Magistrada Ponente</w:t>
      </w:r>
      <w:r w:rsidRPr="000A7A06">
        <w:rPr>
          <w:rFonts w:ascii="Arial" w:hAnsi="Arial" w:cs="Arial"/>
          <w:color w:val="000000"/>
          <w:lang w:eastAsia="es-CO"/>
        </w:rPr>
        <w:t> </w:t>
      </w:r>
    </w:p>
    <w:p w14:paraId="3684F18F" w14:textId="77777777" w:rsidR="000A7A06" w:rsidRPr="000A7A06" w:rsidRDefault="000A7A06" w:rsidP="000A7A06">
      <w:pPr>
        <w:spacing w:line="276" w:lineRule="auto"/>
        <w:jc w:val="center"/>
        <w:textAlignment w:val="baseline"/>
        <w:rPr>
          <w:rFonts w:ascii="Arial" w:hAnsi="Arial" w:cs="Arial"/>
          <w:lang w:eastAsia="es-CO"/>
        </w:rPr>
      </w:pPr>
      <w:r w:rsidRPr="000A7A06">
        <w:rPr>
          <w:rFonts w:ascii="Arial" w:hAnsi="Arial" w:cs="Arial"/>
          <w:b/>
          <w:bCs/>
          <w:color w:val="000000"/>
          <w:lang w:eastAsia="es-CO"/>
        </w:rPr>
        <w:t>OLGA LUCÍA HOYOS SEPÚLVEDA</w:t>
      </w:r>
      <w:r w:rsidRPr="000A7A06">
        <w:rPr>
          <w:rFonts w:ascii="Arial" w:hAnsi="Arial" w:cs="Arial"/>
          <w:color w:val="000000"/>
          <w:lang w:eastAsia="es-CO"/>
        </w:rPr>
        <w:t> </w:t>
      </w:r>
    </w:p>
    <w:p w14:paraId="2533C548" w14:textId="7A1ED356" w:rsidR="000A7A06" w:rsidRDefault="000A7A06" w:rsidP="00653FDA">
      <w:pPr>
        <w:spacing w:line="276" w:lineRule="auto"/>
        <w:jc w:val="both"/>
        <w:textAlignment w:val="baseline"/>
        <w:rPr>
          <w:rFonts w:ascii="Arial" w:hAnsi="Arial" w:cs="Arial"/>
          <w:lang w:eastAsia="es-CO"/>
        </w:rPr>
      </w:pPr>
    </w:p>
    <w:p w14:paraId="659E4994" w14:textId="0D5432A2" w:rsidR="00967D18" w:rsidRPr="00FD30A8" w:rsidRDefault="00967D18" w:rsidP="00FD30A8">
      <w:pPr>
        <w:pStyle w:val="Ttulo"/>
        <w:spacing w:line="240" w:lineRule="auto"/>
        <w:ind w:left="2124"/>
        <w:jc w:val="left"/>
        <w:rPr>
          <w:rFonts w:ascii="Arial" w:hAnsi="Arial" w:cs="Arial"/>
          <w:sz w:val="22"/>
          <w:szCs w:val="24"/>
        </w:rPr>
      </w:pPr>
      <w:r w:rsidRPr="00FD30A8">
        <w:rPr>
          <w:rFonts w:ascii="Arial" w:hAnsi="Arial" w:cs="Arial"/>
          <w:bCs/>
          <w:sz w:val="22"/>
          <w:szCs w:val="24"/>
        </w:rPr>
        <w:t>Asunto.</w:t>
      </w:r>
      <w:r w:rsidR="00FD30A8" w:rsidRPr="00FD30A8">
        <w:rPr>
          <w:rFonts w:ascii="Arial" w:hAnsi="Arial" w:cs="Arial"/>
          <w:bCs/>
          <w:sz w:val="22"/>
          <w:szCs w:val="24"/>
        </w:rPr>
        <w:tab/>
      </w:r>
      <w:r w:rsidR="00FD30A8" w:rsidRPr="00FD30A8">
        <w:rPr>
          <w:rFonts w:ascii="Arial" w:hAnsi="Arial" w:cs="Arial"/>
          <w:bCs/>
          <w:sz w:val="22"/>
          <w:szCs w:val="24"/>
        </w:rPr>
        <w:tab/>
      </w:r>
      <w:r w:rsidRPr="00FD30A8">
        <w:rPr>
          <w:rFonts w:ascii="Arial" w:hAnsi="Arial" w:cs="Arial"/>
          <w:sz w:val="22"/>
          <w:szCs w:val="24"/>
        </w:rPr>
        <w:t xml:space="preserve">Apelación auto  </w:t>
      </w:r>
    </w:p>
    <w:p w14:paraId="19534D8C" w14:textId="753449D7" w:rsidR="00967D18" w:rsidRPr="00FD30A8" w:rsidRDefault="00967D18" w:rsidP="00FD30A8">
      <w:pPr>
        <w:pStyle w:val="Ttulo"/>
        <w:spacing w:line="240" w:lineRule="auto"/>
        <w:ind w:left="2124"/>
        <w:jc w:val="left"/>
        <w:rPr>
          <w:rFonts w:ascii="Arial" w:hAnsi="Arial" w:cs="Arial"/>
          <w:bCs/>
          <w:sz w:val="22"/>
          <w:szCs w:val="24"/>
        </w:rPr>
      </w:pPr>
      <w:r w:rsidRPr="00FD30A8">
        <w:rPr>
          <w:rFonts w:ascii="Arial" w:hAnsi="Arial" w:cs="Arial"/>
          <w:bCs/>
          <w:sz w:val="22"/>
          <w:szCs w:val="24"/>
        </w:rPr>
        <w:t>Proceso.</w:t>
      </w:r>
      <w:r w:rsidR="00FD30A8" w:rsidRPr="00FD30A8">
        <w:rPr>
          <w:rFonts w:ascii="Arial" w:hAnsi="Arial" w:cs="Arial"/>
          <w:bCs/>
          <w:sz w:val="22"/>
          <w:szCs w:val="24"/>
        </w:rPr>
        <w:tab/>
      </w:r>
      <w:r w:rsidR="00FD30A8" w:rsidRPr="00FD30A8">
        <w:rPr>
          <w:rFonts w:ascii="Arial" w:hAnsi="Arial" w:cs="Arial"/>
          <w:bCs/>
          <w:sz w:val="22"/>
          <w:szCs w:val="24"/>
        </w:rPr>
        <w:tab/>
      </w:r>
      <w:r w:rsidR="008B0CDB" w:rsidRPr="00FD30A8">
        <w:rPr>
          <w:rFonts w:ascii="Arial" w:hAnsi="Arial" w:cs="Arial"/>
          <w:bCs/>
          <w:sz w:val="22"/>
          <w:szCs w:val="24"/>
        </w:rPr>
        <w:t xml:space="preserve">Ordinario Laboral </w:t>
      </w:r>
    </w:p>
    <w:p w14:paraId="0FA1FAA6" w14:textId="083344A6" w:rsidR="00967D18" w:rsidRPr="00FD30A8" w:rsidRDefault="00967D18" w:rsidP="00FD30A8">
      <w:pPr>
        <w:pStyle w:val="Ttulo"/>
        <w:spacing w:line="240" w:lineRule="auto"/>
        <w:ind w:left="2124"/>
        <w:jc w:val="left"/>
        <w:rPr>
          <w:rFonts w:ascii="Arial" w:hAnsi="Arial" w:cs="Arial"/>
          <w:bCs/>
          <w:sz w:val="22"/>
          <w:szCs w:val="24"/>
        </w:rPr>
      </w:pPr>
      <w:r w:rsidRPr="00FD30A8">
        <w:rPr>
          <w:rFonts w:ascii="Arial" w:hAnsi="Arial" w:cs="Arial"/>
          <w:bCs/>
          <w:sz w:val="22"/>
          <w:szCs w:val="24"/>
        </w:rPr>
        <w:t>Radicación.</w:t>
      </w:r>
      <w:r w:rsidR="00FD30A8" w:rsidRPr="00FD30A8">
        <w:rPr>
          <w:rFonts w:ascii="Arial" w:hAnsi="Arial" w:cs="Arial"/>
          <w:bCs/>
          <w:sz w:val="22"/>
          <w:szCs w:val="24"/>
        </w:rPr>
        <w:tab/>
      </w:r>
      <w:r w:rsidR="00FD30A8" w:rsidRPr="00FD30A8">
        <w:rPr>
          <w:rFonts w:ascii="Arial" w:hAnsi="Arial" w:cs="Arial"/>
          <w:bCs/>
          <w:sz w:val="22"/>
          <w:szCs w:val="24"/>
        </w:rPr>
        <w:tab/>
      </w:r>
      <w:bookmarkStart w:id="0" w:name="_GoBack"/>
      <w:r w:rsidR="008023CE" w:rsidRPr="00FD30A8">
        <w:rPr>
          <w:rFonts w:ascii="Arial" w:hAnsi="Arial" w:cs="Arial"/>
          <w:bCs/>
          <w:sz w:val="22"/>
          <w:szCs w:val="24"/>
        </w:rPr>
        <w:t>6</w:t>
      </w:r>
      <w:r w:rsidR="00DD4FA9" w:rsidRPr="00FD30A8">
        <w:rPr>
          <w:rFonts w:ascii="Arial" w:hAnsi="Arial" w:cs="Arial"/>
          <w:bCs/>
          <w:sz w:val="22"/>
          <w:szCs w:val="24"/>
        </w:rPr>
        <w:t>6</w:t>
      </w:r>
      <w:r w:rsidR="008E61DF" w:rsidRPr="00FD30A8">
        <w:rPr>
          <w:rFonts w:ascii="Arial" w:hAnsi="Arial" w:cs="Arial"/>
          <w:bCs/>
          <w:sz w:val="22"/>
          <w:szCs w:val="24"/>
        </w:rPr>
        <w:t>0</w:t>
      </w:r>
      <w:r w:rsidR="00DD4FA9" w:rsidRPr="00FD30A8">
        <w:rPr>
          <w:rFonts w:ascii="Arial" w:hAnsi="Arial" w:cs="Arial"/>
          <w:bCs/>
          <w:sz w:val="22"/>
          <w:szCs w:val="24"/>
        </w:rPr>
        <w:t>013</w:t>
      </w:r>
      <w:r w:rsidR="007E4C56" w:rsidRPr="00FD30A8">
        <w:rPr>
          <w:rFonts w:ascii="Arial" w:hAnsi="Arial" w:cs="Arial"/>
          <w:bCs/>
          <w:sz w:val="22"/>
          <w:szCs w:val="24"/>
        </w:rPr>
        <w:t>105</w:t>
      </w:r>
      <w:r w:rsidR="00DD4FA9" w:rsidRPr="00FD30A8">
        <w:rPr>
          <w:rFonts w:ascii="Arial" w:hAnsi="Arial" w:cs="Arial"/>
          <w:bCs/>
          <w:sz w:val="22"/>
          <w:szCs w:val="24"/>
        </w:rPr>
        <w:t>00</w:t>
      </w:r>
      <w:r w:rsidR="00A25266" w:rsidRPr="00FD30A8">
        <w:rPr>
          <w:rFonts w:ascii="Arial" w:hAnsi="Arial" w:cs="Arial"/>
          <w:bCs/>
          <w:sz w:val="22"/>
          <w:szCs w:val="24"/>
        </w:rPr>
        <w:t>1</w:t>
      </w:r>
      <w:r w:rsidR="007E4C56" w:rsidRPr="00FD30A8">
        <w:rPr>
          <w:rFonts w:ascii="Arial" w:hAnsi="Arial" w:cs="Arial"/>
          <w:bCs/>
          <w:sz w:val="22"/>
          <w:szCs w:val="24"/>
        </w:rPr>
        <w:t>20</w:t>
      </w:r>
      <w:r w:rsidR="00345781" w:rsidRPr="00FD30A8">
        <w:rPr>
          <w:rFonts w:ascii="Arial" w:hAnsi="Arial" w:cs="Arial"/>
          <w:bCs/>
          <w:sz w:val="22"/>
          <w:szCs w:val="24"/>
        </w:rPr>
        <w:t>20</w:t>
      </w:r>
      <w:r w:rsidR="008023CE" w:rsidRPr="00FD30A8">
        <w:rPr>
          <w:rFonts w:ascii="Arial" w:hAnsi="Arial" w:cs="Arial"/>
          <w:bCs/>
          <w:sz w:val="22"/>
          <w:szCs w:val="24"/>
        </w:rPr>
        <w:t>0</w:t>
      </w:r>
      <w:r w:rsidR="007E4C56" w:rsidRPr="00FD30A8">
        <w:rPr>
          <w:rFonts w:ascii="Arial" w:hAnsi="Arial" w:cs="Arial"/>
          <w:bCs/>
          <w:sz w:val="22"/>
          <w:szCs w:val="24"/>
        </w:rPr>
        <w:t>0</w:t>
      </w:r>
      <w:r w:rsidR="00A25266" w:rsidRPr="00FD30A8">
        <w:rPr>
          <w:rFonts w:ascii="Arial" w:hAnsi="Arial" w:cs="Arial"/>
          <w:bCs/>
          <w:sz w:val="22"/>
          <w:szCs w:val="24"/>
        </w:rPr>
        <w:t>136</w:t>
      </w:r>
      <w:r w:rsidR="008E61DF" w:rsidRPr="00FD30A8">
        <w:rPr>
          <w:rFonts w:ascii="Arial" w:hAnsi="Arial" w:cs="Arial"/>
          <w:bCs/>
          <w:sz w:val="22"/>
          <w:szCs w:val="24"/>
        </w:rPr>
        <w:t>0</w:t>
      </w:r>
      <w:r w:rsidR="008023CE" w:rsidRPr="00FD30A8">
        <w:rPr>
          <w:rFonts w:ascii="Arial" w:hAnsi="Arial" w:cs="Arial"/>
          <w:bCs/>
          <w:sz w:val="22"/>
          <w:szCs w:val="24"/>
        </w:rPr>
        <w:t>1</w:t>
      </w:r>
      <w:bookmarkEnd w:id="0"/>
    </w:p>
    <w:p w14:paraId="0FF1552F" w14:textId="7416C441" w:rsidR="00967D18" w:rsidRPr="00FD30A8" w:rsidRDefault="00967D18" w:rsidP="00FD30A8">
      <w:pPr>
        <w:pStyle w:val="Ttulo"/>
        <w:spacing w:line="240" w:lineRule="auto"/>
        <w:ind w:left="2124"/>
        <w:jc w:val="left"/>
        <w:rPr>
          <w:rFonts w:ascii="Arial" w:hAnsi="Arial" w:cs="Arial"/>
          <w:bCs/>
          <w:sz w:val="22"/>
          <w:szCs w:val="24"/>
        </w:rPr>
      </w:pPr>
      <w:r w:rsidRPr="00FD30A8">
        <w:rPr>
          <w:rFonts w:ascii="Arial" w:hAnsi="Arial" w:cs="Arial"/>
          <w:bCs/>
          <w:sz w:val="22"/>
          <w:szCs w:val="24"/>
        </w:rPr>
        <w:t>Demandante.</w:t>
      </w:r>
      <w:r w:rsidR="00FD30A8" w:rsidRPr="00FD30A8">
        <w:rPr>
          <w:rFonts w:ascii="Arial" w:hAnsi="Arial" w:cs="Arial"/>
          <w:bCs/>
          <w:sz w:val="22"/>
          <w:szCs w:val="24"/>
        </w:rPr>
        <w:tab/>
      </w:r>
      <w:r w:rsidR="00FD30A8" w:rsidRPr="00FD30A8">
        <w:rPr>
          <w:rFonts w:ascii="Arial" w:hAnsi="Arial" w:cs="Arial"/>
          <w:bCs/>
          <w:sz w:val="22"/>
          <w:szCs w:val="24"/>
        </w:rPr>
        <w:tab/>
      </w:r>
      <w:r w:rsidR="00A25266" w:rsidRPr="00FD30A8">
        <w:rPr>
          <w:rFonts w:ascii="Arial" w:hAnsi="Arial" w:cs="Arial"/>
          <w:bCs/>
          <w:sz w:val="22"/>
          <w:szCs w:val="24"/>
        </w:rPr>
        <w:t>Carlos Arturo Ospina Gómez</w:t>
      </w:r>
    </w:p>
    <w:p w14:paraId="23BCBB3D" w14:textId="10313F66" w:rsidR="00345781" w:rsidRPr="00FD30A8" w:rsidRDefault="00967D18" w:rsidP="00FD30A8">
      <w:pPr>
        <w:pStyle w:val="Ttulo"/>
        <w:spacing w:line="240" w:lineRule="auto"/>
        <w:ind w:left="2124"/>
        <w:jc w:val="left"/>
        <w:rPr>
          <w:rFonts w:ascii="Arial" w:hAnsi="Arial" w:cs="Arial"/>
          <w:bCs/>
          <w:sz w:val="22"/>
          <w:szCs w:val="24"/>
        </w:rPr>
      </w:pPr>
      <w:r w:rsidRPr="00FD30A8">
        <w:rPr>
          <w:rFonts w:ascii="Arial" w:hAnsi="Arial" w:cs="Arial"/>
          <w:bCs/>
          <w:sz w:val="22"/>
          <w:szCs w:val="24"/>
        </w:rPr>
        <w:t>Demand</w:t>
      </w:r>
      <w:r w:rsidR="002A648A" w:rsidRPr="00FD30A8">
        <w:rPr>
          <w:rFonts w:ascii="Arial" w:hAnsi="Arial" w:cs="Arial"/>
          <w:bCs/>
          <w:sz w:val="22"/>
          <w:szCs w:val="24"/>
        </w:rPr>
        <w:t>ado</w:t>
      </w:r>
      <w:r w:rsidRPr="00FD30A8">
        <w:rPr>
          <w:rFonts w:ascii="Arial" w:hAnsi="Arial" w:cs="Arial"/>
          <w:bCs/>
          <w:sz w:val="22"/>
          <w:szCs w:val="24"/>
        </w:rPr>
        <w:t>.</w:t>
      </w:r>
      <w:r w:rsidR="00FD30A8" w:rsidRPr="00FD30A8">
        <w:rPr>
          <w:rFonts w:ascii="Arial" w:hAnsi="Arial" w:cs="Arial"/>
          <w:bCs/>
          <w:sz w:val="22"/>
          <w:szCs w:val="24"/>
        </w:rPr>
        <w:tab/>
      </w:r>
      <w:r w:rsidRPr="00FD30A8">
        <w:rPr>
          <w:rFonts w:ascii="Arial" w:hAnsi="Arial" w:cs="Arial"/>
          <w:bCs/>
          <w:sz w:val="22"/>
          <w:szCs w:val="24"/>
        </w:rPr>
        <w:tab/>
      </w:r>
      <w:r w:rsidR="00A25266" w:rsidRPr="00FD30A8">
        <w:rPr>
          <w:rFonts w:ascii="Arial" w:hAnsi="Arial" w:cs="Arial"/>
          <w:bCs/>
          <w:sz w:val="22"/>
          <w:szCs w:val="24"/>
        </w:rPr>
        <w:t>Flota Occidental S.A.</w:t>
      </w:r>
    </w:p>
    <w:p w14:paraId="29D6B04F" w14:textId="4D0568D5" w:rsidR="00967D18" w:rsidRPr="007467E3" w:rsidRDefault="00967D18" w:rsidP="007467E3">
      <w:pPr>
        <w:pStyle w:val="Ttulo"/>
        <w:spacing w:line="240" w:lineRule="auto"/>
        <w:ind w:left="4239" w:hanging="2115"/>
        <w:jc w:val="left"/>
        <w:rPr>
          <w:rFonts w:ascii="Arial" w:hAnsi="Arial" w:cs="Arial"/>
          <w:sz w:val="24"/>
          <w:szCs w:val="24"/>
        </w:rPr>
      </w:pPr>
      <w:r w:rsidRPr="00FD30A8">
        <w:rPr>
          <w:rFonts w:ascii="Arial" w:hAnsi="Arial" w:cs="Arial"/>
          <w:bCs/>
          <w:sz w:val="22"/>
          <w:szCs w:val="24"/>
        </w:rPr>
        <w:t>Te</w:t>
      </w:r>
      <w:r w:rsidR="007E4C56" w:rsidRPr="00FD30A8">
        <w:rPr>
          <w:rFonts w:ascii="Arial" w:hAnsi="Arial" w:cs="Arial"/>
          <w:bCs/>
          <w:sz w:val="22"/>
          <w:szCs w:val="24"/>
        </w:rPr>
        <w:t>ma.</w:t>
      </w:r>
      <w:r w:rsidR="00FD30A8" w:rsidRPr="00FD30A8">
        <w:rPr>
          <w:rFonts w:ascii="Arial" w:hAnsi="Arial" w:cs="Arial"/>
          <w:bCs/>
          <w:sz w:val="22"/>
          <w:szCs w:val="24"/>
        </w:rPr>
        <w:tab/>
      </w:r>
      <w:r w:rsidR="00FD30A8" w:rsidRPr="00FD30A8">
        <w:rPr>
          <w:rFonts w:ascii="Arial" w:hAnsi="Arial" w:cs="Arial"/>
          <w:bCs/>
          <w:sz w:val="22"/>
          <w:szCs w:val="24"/>
        </w:rPr>
        <w:tab/>
      </w:r>
      <w:r w:rsidR="007E4C56" w:rsidRPr="00FD30A8">
        <w:rPr>
          <w:rFonts w:ascii="Arial" w:hAnsi="Arial" w:cs="Arial"/>
          <w:bCs/>
          <w:sz w:val="22"/>
          <w:szCs w:val="24"/>
        </w:rPr>
        <w:t xml:space="preserve">Apelación de auto </w:t>
      </w:r>
      <w:r w:rsidR="00DD4FA9" w:rsidRPr="00FD30A8">
        <w:rPr>
          <w:rFonts w:ascii="Arial" w:hAnsi="Arial" w:cs="Arial"/>
          <w:bCs/>
          <w:sz w:val="22"/>
          <w:szCs w:val="24"/>
        </w:rPr>
        <w:t xml:space="preserve">que </w:t>
      </w:r>
      <w:r w:rsidR="00A25266" w:rsidRPr="00FD30A8">
        <w:rPr>
          <w:rFonts w:ascii="Arial" w:hAnsi="Arial" w:cs="Arial"/>
          <w:bCs/>
          <w:sz w:val="22"/>
          <w:szCs w:val="24"/>
        </w:rPr>
        <w:t>rechaza un llamamiento en garantía</w:t>
      </w:r>
    </w:p>
    <w:p w14:paraId="6B0231B3" w14:textId="77777777" w:rsidR="007467E3" w:rsidRDefault="007467E3" w:rsidP="00653FDA">
      <w:pPr>
        <w:spacing w:line="276" w:lineRule="auto"/>
        <w:jc w:val="center"/>
        <w:rPr>
          <w:rFonts w:ascii="Arial" w:eastAsia="Arial" w:hAnsi="Arial" w:cs="Arial"/>
          <w:color w:val="000000" w:themeColor="text1"/>
          <w:lang w:val="es-ES_tradnl"/>
        </w:rPr>
      </w:pPr>
    </w:p>
    <w:p w14:paraId="4EFCE6C4" w14:textId="16DE58D2" w:rsidR="090C8DD1" w:rsidRPr="00653FDA" w:rsidRDefault="090C8DD1" w:rsidP="00653FDA">
      <w:pPr>
        <w:spacing w:line="276" w:lineRule="auto"/>
        <w:jc w:val="center"/>
        <w:rPr>
          <w:rFonts w:ascii="Arial" w:eastAsia="Arial" w:hAnsi="Arial" w:cs="Arial"/>
          <w:color w:val="000000" w:themeColor="text1"/>
          <w:lang w:val="es-ES"/>
        </w:rPr>
      </w:pPr>
      <w:r w:rsidRPr="00653FDA">
        <w:rPr>
          <w:rFonts w:ascii="Arial" w:eastAsia="Arial" w:hAnsi="Arial" w:cs="Arial"/>
          <w:color w:val="000000" w:themeColor="text1"/>
          <w:lang w:val="es-ES"/>
        </w:rPr>
        <w:t xml:space="preserve">Pereira, Risaralda, </w:t>
      </w:r>
      <w:r w:rsidR="720B2D60" w:rsidRPr="00653FDA">
        <w:rPr>
          <w:rFonts w:ascii="Arial" w:eastAsia="Arial" w:hAnsi="Arial" w:cs="Arial"/>
          <w:color w:val="000000" w:themeColor="text1"/>
          <w:lang w:val="es-ES"/>
        </w:rPr>
        <w:t>trece</w:t>
      </w:r>
      <w:r w:rsidRPr="00653FDA">
        <w:rPr>
          <w:rFonts w:ascii="Arial" w:eastAsia="Arial" w:hAnsi="Arial" w:cs="Arial"/>
          <w:color w:val="000000" w:themeColor="text1"/>
          <w:lang w:val="es-ES"/>
        </w:rPr>
        <w:t xml:space="preserve"> (</w:t>
      </w:r>
      <w:r w:rsidR="62704823" w:rsidRPr="00653FDA">
        <w:rPr>
          <w:rFonts w:ascii="Arial" w:eastAsia="Arial" w:hAnsi="Arial" w:cs="Arial"/>
          <w:color w:val="000000" w:themeColor="text1"/>
          <w:lang w:val="es-ES"/>
        </w:rPr>
        <w:t>13</w:t>
      </w:r>
      <w:r w:rsidRPr="00653FDA">
        <w:rPr>
          <w:rFonts w:ascii="Arial" w:eastAsia="Arial" w:hAnsi="Arial" w:cs="Arial"/>
          <w:color w:val="000000" w:themeColor="text1"/>
          <w:lang w:val="es-ES"/>
        </w:rPr>
        <w:t xml:space="preserve">) de </w:t>
      </w:r>
      <w:r w:rsidR="6E626A64" w:rsidRPr="00653FDA">
        <w:rPr>
          <w:rFonts w:ascii="Arial" w:eastAsia="Arial" w:hAnsi="Arial" w:cs="Arial"/>
          <w:color w:val="000000" w:themeColor="text1"/>
          <w:lang w:val="es-ES"/>
        </w:rPr>
        <w:t>diciembre</w:t>
      </w:r>
      <w:r w:rsidRPr="00653FDA">
        <w:rPr>
          <w:rFonts w:ascii="Arial" w:eastAsia="Arial" w:hAnsi="Arial" w:cs="Arial"/>
          <w:color w:val="000000" w:themeColor="text1"/>
          <w:lang w:val="es-ES"/>
        </w:rPr>
        <w:t xml:space="preserve"> de dos mil veintitrés (2023)</w:t>
      </w:r>
    </w:p>
    <w:p w14:paraId="74136654" w14:textId="715EB6F2" w:rsidR="090C8DD1" w:rsidRPr="00653FDA" w:rsidRDefault="090C8DD1" w:rsidP="00653FDA">
      <w:pPr>
        <w:spacing w:line="276" w:lineRule="auto"/>
        <w:jc w:val="center"/>
        <w:rPr>
          <w:rFonts w:ascii="Arial" w:eastAsia="Arial" w:hAnsi="Arial" w:cs="Arial"/>
          <w:color w:val="000000" w:themeColor="text1"/>
          <w:lang w:val="es-ES"/>
        </w:rPr>
      </w:pPr>
      <w:r w:rsidRPr="00653FDA">
        <w:rPr>
          <w:rFonts w:ascii="Arial" w:eastAsia="Arial" w:hAnsi="Arial" w:cs="Arial"/>
          <w:color w:val="000000" w:themeColor="text1"/>
          <w:lang w:val="es-ES"/>
        </w:rPr>
        <w:t>Acta número</w:t>
      </w:r>
      <w:r w:rsidR="7C75E586" w:rsidRPr="00653FDA">
        <w:rPr>
          <w:rFonts w:ascii="Arial" w:eastAsia="Arial" w:hAnsi="Arial" w:cs="Arial"/>
          <w:color w:val="000000" w:themeColor="text1"/>
          <w:lang w:val="es-ES"/>
        </w:rPr>
        <w:t xml:space="preserve"> 200</w:t>
      </w:r>
      <w:r w:rsidRPr="00653FDA">
        <w:rPr>
          <w:rFonts w:ascii="Arial" w:eastAsia="Arial" w:hAnsi="Arial" w:cs="Arial"/>
          <w:color w:val="000000" w:themeColor="text1"/>
          <w:lang w:val="es-ES"/>
        </w:rPr>
        <w:t xml:space="preserve"> de </w:t>
      </w:r>
      <w:r w:rsidR="7C96498F" w:rsidRPr="00653FDA">
        <w:rPr>
          <w:rFonts w:ascii="Arial" w:eastAsia="Arial" w:hAnsi="Arial" w:cs="Arial"/>
          <w:color w:val="000000" w:themeColor="text1"/>
          <w:lang w:val="es-ES"/>
        </w:rPr>
        <w:t>11</w:t>
      </w:r>
      <w:r w:rsidRPr="00653FDA">
        <w:rPr>
          <w:rFonts w:ascii="Arial" w:eastAsia="Arial" w:hAnsi="Arial" w:cs="Arial"/>
          <w:color w:val="000000" w:themeColor="text1"/>
          <w:lang w:val="es-ES"/>
        </w:rPr>
        <w:t>-1</w:t>
      </w:r>
      <w:r w:rsidR="217B723C" w:rsidRPr="00653FDA">
        <w:rPr>
          <w:rFonts w:ascii="Arial" w:eastAsia="Arial" w:hAnsi="Arial" w:cs="Arial"/>
          <w:color w:val="000000" w:themeColor="text1"/>
          <w:lang w:val="es-ES"/>
        </w:rPr>
        <w:t>2</w:t>
      </w:r>
      <w:r w:rsidRPr="00653FDA">
        <w:rPr>
          <w:rFonts w:ascii="Arial" w:eastAsia="Arial" w:hAnsi="Arial" w:cs="Arial"/>
          <w:color w:val="000000" w:themeColor="text1"/>
          <w:lang w:val="es-ES"/>
        </w:rPr>
        <w:t>-2023</w:t>
      </w:r>
    </w:p>
    <w:p w14:paraId="0BBDF7E8" w14:textId="77777777" w:rsidR="008A69BA" w:rsidRPr="00653FDA" w:rsidRDefault="008A69BA" w:rsidP="00653FDA">
      <w:pPr>
        <w:spacing w:line="276" w:lineRule="auto"/>
        <w:jc w:val="both"/>
        <w:rPr>
          <w:rFonts w:ascii="Arial" w:hAnsi="Arial" w:cs="Arial"/>
        </w:rPr>
      </w:pPr>
    </w:p>
    <w:p w14:paraId="653A2F97" w14:textId="19099B9C" w:rsidR="007609F0" w:rsidRPr="001D29D9" w:rsidRDefault="002A648A" w:rsidP="00653FDA">
      <w:pPr>
        <w:widowControl w:val="0"/>
        <w:autoSpaceDE w:val="0"/>
        <w:autoSpaceDN w:val="0"/>
        <w:adjustRightInd w:val="0"/>
        <w:spacing w:line="276" w:lineRule="auto"/>
        <w:jc w:val="both"/>
        <w:rPr>
          <w:rFonts w:ascii="Arial" w:eastAsia="Calibri" w:hAnsi="Arial" w:cs="Arial"/>
          <w:spacing w:val="-2"/>
          <w:lang w:eastAsia="en-US"/>
        </w:rPr>
      </w:pPr>
      <w:r w:rsidRPr="001D29D9">
        <w:rPr>
          <w:rFonts w:ascii="Arial" w:eastAsia="Calibri" w:hAnsi="Arial" w:cs="Arial"/>
          <w:spacing w:val="-2"/>
          <w:lang w:eastAsia="en-US"/>
        </w:rPr>
        <w:t>Procede la Sala a desatar el recurso de apelación propuesto por</w:t>
      </w:r>
      <w:r w:rsidR="00345781" w:rsidRPr="001D29D9">
        <w:rPr>
          <w:rFonts w:ascii="Arial" w:eastAsia="Calibri" w:hAnsi="Arial" w:cs="Arial"/>
          <w:spacing w:val="-2"/>
          <w:lang w:eastAsia="en-US"/>
        </w:rPr>
        <w:t xml:space="preserve"> </w:t>
      </w:r>
      <w:r w:rsidR="00A25266" w:rsidRPr="001D29D9">
        <w:rPr>
          <w:rFonts w:ascii="Arial" w:eastAsia="Calibri" w:hAnsi="Arial" w:cs="Arial"/>
          <w:spacing w:val="-2"/>
          <w:lang w:eastAsia="en-US"/>
        </w:rPr>
        <w:t>la Flota Occidental S.A.</w:t>
      </w:r>
      <w:r w:rsidR="00732A0E" w:rsidRPr="001D29D9">
        <w:rPr>
          <w:rFonts w:ascii="Arial" w:hAnsi="Arial" w:cs="Arial"/>
          <w:spacing w:val="-2"/>
        </w:rPr>
        <w:t xml:space="preserve"> </w:t>
      </w:r>
      <w:r w:rsidR="00DD4FA9" w:rsidRPr="001D29D9">
        <w:rPr>
          <w:rFonts w:ascii="Arial" w:eastAsia="Calibri" w:hAnsi="Arial" w:cs="Arial"/>
          <w:spacing w:val="-2"/>
          <w:lang w:eastAsia="en-US"/>
        </w:rPr>
        <w:t xml:space="preserve">contra el auto proferido el </w:t>
      </w:r>
      <w:r w:rsidR="00A25266" w:rsidRPr="001D29D9">
        <w:rPr>
          <w:rFonts w:ascii="Arial" w:eastAsia="Calibri" w:hAnsi="Arial" w:cs="Arial"/>
          <w:spacing w:val="-2"/>
          <w:lang w:eastAsia="en-US"/>
        </w:rPr>
        <w:t>18 de enero de 2023</w:t>
      </w:r>
      <w:r w:rsidR="7F90A3BA" w:rsidRPr="001D29D9">
        <w:rPr>
          <w:rFonts w:ascii="Arial" w:eastAsia="Calibri" w:hAnsi="Arial" w:cs="Arial"/>
          <w:spacing w:val="-2"/>
          <w:lang w:eastAsia="en-US"/>
        </w:rPr>
        <w:t xml:space="preserve"> por el Juzgado </w:t>
      </w:r>
      <w:r w:rsidR="00A25266" w:rsidRPr="001D29D9">
        <w:rPr>
          <w:rFonts w:ascii="Arial" w:eastAsia="Calibri" w:hAnsi="Arial" w:cs="Arial"/>
          <w:spacing w:val="-2"/>
          <w:lang w:eastAsia="en-US"/>
        </w:rPr>
        <w:t>Primero</w:t>
      </w:r>
      <w:r w:rsidR="008E61DF" w:rsidRPr="001D29D9">
        <w:rPr>
          <w:rFonts w:ascii="Arial" w:eastAsia="Calibri" w:hAnsi="Arial" w:cs="Arial"/>
          <w:spacing w:val="-2"/>
          <w:lang w:eastAsia="en-US"/>
        </w:rPr>
        <w:t xml:space="preserve"> Laboral del Circuito de Pereira</w:t>
      </w:r>
      <w:r w:rsidR="00DD4FA9" w:rsidRPr="001D29D9">
        <w:rPr>
          <w:rFonts w:ascii="Arial" w:eastAsia="Calibri" w:hAnsi="Arial" w:cs="Arial"/>
          <w:spacing w:val="-2"/>
          <w:lang w:eastAsia="en-US"/>
        </w:rPr>
        <w:t xml:space="preserve"> </w:t>
      </w:r>
      <w:r w:rsidRPr="001D29D9">
        <w:rPr>
          <w:rFonts w:ascii="Arial" w:eastAsia="Calibri" w:hAnsi="Arial" w:cs="Arial"/>
          <w:spacing w:val="-2"/>
          <w:lang w:eastAsia="en-US"/>
        </w:rPr>
        <w:t xml:space="preserve">dentro del proceso </w:t>
      </w:r>
      <w:r w:rsidR="008C217D" w:rsidRPr="001D29D9">
        <w:rPr>
          <w:rFonts w:ascii="Arial" w:eastAsia="Calibri" w:hAnsi="Arial" w:cs="Arial"/>
          <w:b/>
          <w:spacing w:val="-2"/>
          <w:lang w:eastAsia="en-US"/>
        </w:rPr>
        <w:t xml:space="preserve">ordinario laboral </w:t>
      </w:r>
      <w:r w:rsidRPr="001D29D9">
        <w:rPr>
          <w:rFonts w:ascii="Arial" w:eastAsia="Calibri" w:hAnsi="Arial" w:cs="Arial"/>
          <w:spacing w:val="-2"/>
          <w:lang w:eastAsia="en-US"/>
        </w:rPr>
        <w:t xml:space="preserve">promovido por </w:t>
      </w:r>
      <w:r w:rsidR="00A25266" w:rsidRPr="001D29D9">
        <w:rPr>
          <w:rFonts w:ascii="Arial" w:eastAsia="Calibri" w:hAnsi="Arial" w:cs="Arial"/>
          <w:b/>
          <w:spacing w:val="-2"/>
          <w:lang w:eastAsia="en-US"/>
        </w:rPr>
        <w:t>Carlos Arturo Ospina Gómez</w:t>
      </w:r>
      <w:r w:rsidR="00732A0E" w:rsidRPr="001D29D9">
        <w:rPr>
          <w:rFonts w:ascii="Arial" w:eastAsia="Calibri" w:hAnsi="Arial" w:cs="Arial"/>
          <w:spacing w:val="-2"/>
          <w:lang w:eastAsia="en-US"/>
        </w:rPr>
        <w:t xml:space="preserve"> contra </w:t>
      </w:r>
      <w:r w:rsidR="00A25266" w:rsidRPr="001D29D9">
        <w:rPr>
          <w:rFonts w:ascii="Arial" w:eastAsia="Calibri" w:hAnsi="Arial" w:cs="Arial"/>
          <w:spacing w:val="-2"/>
          <w:lang w:eastAsia="en-US"/>
        </w:rPr>
        <w:t xml:space="preserve">la </w:t>
      </w:r>
      <w:r w:rsidR="00A25266" w:rsidRPr="001D29D9">
        <w:rPr>
          <w:rFonts w:ascii="Arial" w:eastAsia="Calibri" w:hAnsi="Arial" w:cs="Arial"/>
          <w:b/>
          <w:spacing w:val="-2"/>
          <w:lang w:eastAsia="en-US"/>
        </w:rPr>
        <w:t>Flota Occidental S.A.</w:t>
      </w:r>
      <w:r w:rsidR="008E61DF" w:rsidRPr="001D29D9">
        <w:rPr>
          <w:rFonts w:ascii="Arial" w:eastAsia="Calibri" w:hAnsi="Arial" w:cs="Arial"/>
          <w:spacing w:val="-2"/>
          <w:lang w:eastAsia="en-US"/>
        </w:rPr>
        <w:t xml:space="preserve"> </w:t>
      </w:r>
      <w:r w:rsidR="00EE71D8" w:rsidRPr="001D29D9">
        <w:rPr>
          <w:rFonts w:ascii="Arial" w:eastAsia="Calibri" w:hAnsi="Arial" w:cs="Arial"/>
          <w:spacing w:val="-2"/>
          <w:lang w:eastAsia="en-US"/>
        </w:rPr>
        <w:t>a través del cual se rechazó</w:t>
      </w:r>
      <w:r w:rsidR="00DD4FA9" w:rsidRPr="001D29D9">
        <w:rPr>
          <w:rFonts w:ascii="Arial" w:eastAsia="Calibri" w:hAnsi="Arial" w:cs="Arial"/>
          <w:spacing w:val="-2"/>
          <w:lang w:eastAsia="en-US"/>
        </w:rPr>
        <w:t xml:space="preserve"> </w:t>
      </w:r>
      <w:r w:rsidR="00A25266" w:rsidRPr="001D29D9">
        <w:rPr>
          <w:rFonts w:ascii="Arial" w:eastAsia="Calibri" w:hAnsi="Arial" w:cs="Arial"/>
          <w:spacing w:val="-2"/>
          <w:lang w:eastAsia="en-US"/>
        </w:rPr>
        <w:t xml:space="preserve">un llamamiento en garantía. </w:t>
      </w:r>
    </w:p>
    <w:p w14:paraId="6FA0CCF5" w14:textId="06E3B9CF" w:rsidR="009877BB" w:rsidRPr="001D29D9" w:rsidRDefault="009877BB" w:rsidP="00653FDA">
      <w:pPr>
        <w:widowControl w:val="0"/>
        <w:autoSpaceDE w:val="0"/>
        <w:autoSpaceDN w:val="0"/>
        <w:adjustRightInd w:val="0"/>
        <w:spacing w:line="276" w:lineRule="auto"/>
        <w:jc w:val="both"/>
        <w:rPr>
          <w:rFonts w:ascii="Arial" w:eastAsia="Arial" w:hAnsi="Arial" w:cs="Arial"/>
          <w:spacing w:val="-2"/>
        </w:rPr>
      </w:pPr>
    </w:p>
    <w:p w14:paraId="695BF5C4" w14:textId="2B90E08B" w:rsidR="009877BB" w:rsidRPr="001D29D9" w:rsidRDefault="009877BB" w:rsidP="00653FDA">
      <w:pPr>
        <w:widowControl w:val="0"/>
        <w:autoSpaceDE w:val="0"/>
        <w:autoSpaceDN w:val="0"/>
        <w:adjustRightInd w:val="0"/>
        <w:spacing w:line="276" w:lineRule="auto"/>
        <w:jc w:val="both"/>
        <w:rPr>
          <w:rFonts w:ascii="Arial" w:eastAsia="Arial" w:hAnsi="Arial" w:cs="Arial"/>
          <w:spacing w:val="-2"/>
        </w:rPr>
      </w:pPr>
      <w:r w:rsidRPr="001D29D9">
        <w:rPr>
          <w:rFonts w:ascii="Arial" w:eastAsia="Arial" w:hAnsi="Arial" w:cs="Arial"/>
          <w:spacing w:val="-2"/>
        </w:rPr>
        <w:t>Recurso que fue concedido por la a quo el 31/05/2023; repartido a esta Colegiatura el 17/08/2023 y remitido al despacho que presido el 13/09/2023.</w:t>
      </w:r>
    </w:p>
    <w:p w14:paraId="7FC74492" w14:textId="2B334C81" w:rsidR="007609F0" w:rsidRPr="001D29D9" w:rsidRDefault="007609F0" w:rsidP="00653FDA">
      <w:pPr>
        <w:widowControl w:val="0"/>
        <w:autoSpaceDE w:val="0"/>
        <w:autoSpaceDN w:val="0"/>
        <w:adjustRightInd w:val="0"/>
        <w:spacing w:line="276" w:lineRule="auto"/>
        <w:jc w:val="both"/>
        <w:rPr>
          <w:rFonts w:ascii="Arial" w:hAnsi="Arial" w:cs="Arial"/>
          <w:spacing w:val="-2"/>
        </w:rPr>
      </w:pPr>
    </w:p>
    <w:p w14:paraId="0F10BAA5" w14:textId="77777777" w:rsidR="00967D18" w:rsidRPr="001D29D9" w:rsidRDefault="00967D18" w:rsidP="00653FDA">
      <w:pPr>
        <w:spacing w:line="276" w:lineRule="auto"/>
        <w:ind w:firstLine="851"/>
        <w:jc w:val="center"/>
        <w:rPr>
          <w:rFonts w:ascii="Arial" w:hAnsi="Arial" w:cs="Arial"/>
          <w:b/>
          <w:bCs/>
          <w:spacing w:val="-2"/>
          <w:lang w:val="es-ES"/>
        </w:rPr>
      </w:pPr>
      <w:r w:rsidRPr="001D29D9">
        <w:rPr>
          <w:rFonts w:ascii="Arial" w:hAnsi="Arial" w:cs="Arial"/>
          <w:b/>
          <w:bCs/>
          <w:spacing w:val="-2"/>
          <w:lang w:val="es-ES"/>
        </w:rPr>
        <w:t>ANTECEDENTES</w:t>
      </w:r>
    </w:p>
    <w:p w14:paraId="41C8F396" w14:textId="77777777" w:rsidR="00967D18" w:rsidRPr="001D29D9" w:rsidRDefault="00967D18" w:rsidP="00653FDA">
      <w:pPr>
        <w:autoSpaceDE w:val="0"/>
        <w:autoSpaceDN w:val="0"/>
        <w:adjustRightInd w:val="0"/>
        <w:spacing w:line="276" w:lineRule="auto"/>
        <w:jc w:val="center"/>
        <w:rPr>
          <w:rFonts w:ascii="Arial" w:hAnsi="Arial" w:cs="Arial"/>
          <w:b/>
          <w:bCs/>
          <w:spacing w:val="-2"/>
          <w:lang w:val="es-ES"/>
        </w:rPr>
      </w:pPr>
    </w:p>
    <w:p w14:paraId="07DB81BB" w14:textId="77777777" w:rsidR="00967D18" w:rsidRPr="001D29D9" w:rsidRDefault="00967D18" w:rsidP="00653FDA">
      <w:pPr>
        <w:spacing w:line="276" w:lineRule="auto"/>
        <w:jc w:val="both"/>
        <w:rPr>
          <w:rFonts w:ascii="Arial" w:hAnsi="Arial" w:cs="Arial"/>
          <w:spacing w:val="-2"/>
        </w:rPr>
      </w:pPr>
      <w:r w:rsidRPr="001D29D9">
        <w:rPr>
          <w:rFonts w:ascii="Arial" w:hAnsi="Arial" w:cs="Arial"/>
          <w:b/>
          <w:bCs/>
          <w:spacing w:val="-2"/>
        </w:rPr>
        <w:t>1. Crónica procesal</w:t>
      </w:r>
    </w:p>
    <w:p w14:paraId="72A3D3EC" w14:textId="77777777" w:rsidR="00967D18" w:rsidRPr="001D29D9" w:rsidRDefault="00967D18" w:rsidP="00653FDA">
      <w:pPr>
        <w:spacing w:line="276" w:lineRule="auto"/>
        <w:jc w:val="both"/>
        <w:rPr>
          <w:rFonts w:ascii="Arial" w:hAnsi="Arial" w:cs="Arial"/>
          <w:spacing w:val="-2"/>
        </w:rPr>
      </w:pPr>
    </w:p>
    <w:p w14:paraId="4749556D" w14:textId="30A92A2E" w:rsidR="00A25266" w:rsidRPr="001D29D9" w:rsidRDefault="00A25266" w:rsidP="00653FDA">
      <w:pPr>
        <w:autoSpaceDE w:val="0"/>
        <w:autoSpaceDN w:val="0"/>
        <w:adjustRightInd w:val="0"/>
        <w:spacing w:line="276" w:lineRule="auto"/>
        <w:jc w:val="both"/>
        <w:rPr>
          <w:rFonts w:ascii="Arial" w:hAnsi="Arial" w:cs="Arial"/>
          <w:spacing w:val="-2"/>
        </w:rPr>
      </w:pPr>
      <w:r w:rsidRPr="001D29D9">
        <w:rPr>
          <w:rFonts w:ascii="Arial" w:hAnsi="Arial" w:cs="Arial"/>
          <w:spacing w:val="-2"/>
        </w:rPr>
        <w:t>1.1. Carlos Arturo Ospina Gómez</w:t>
      </w:r>
      <w:r w:rsidR="008E61DF" w:rsidRPr="001D29D9">
        <w:rPr>
          <w:rFonts w:ascii="Arial" w:hAnsi="Arial" w:cs="Arial"/>
          <w:spacing w:val="-2"/>
        </w:rPr>
        <w:t xml:space="preserve"> pretende</w:t>
      </w:r>
      <w:r w:rsidRPr="001D29D9">
        <w:rPr>
          <w:rFonts w:ascii="Arial" w:hAnsi="Arial" w:cs="Arial"/>
          <w:spacing w:val="-2"/>
        </w:rPr>
        <w:t xml:space="preserve"> la declaratoria de “una relación laboral” con la Flota Occidental S.A. desde el 19/10/1994 hasta el 15/02/2019. Para fundamentar dicha pretensión principal argumentó que sostuvo dos relaciones laborales sin solución de continuidad la primera a través de un contrato verbal y la segunda a través de un contrato de trabajo escrito a término fijo que tenían como finalidad desempeñarse como conductor de un vehículo que era de propiedad del mismo demandante, pero adscrito a la empresa de transporte demandada (archivo 07, exp. Digital).</w:t>
      </w:r>
    </w:p>
    <w:p w14:paraId="5142C7A5" w14:textId="77777777" w:rsidR="00A25266" w:rsidRPr="001D29D9" w:rsidRDefault="00A25266" w:rsidP="00653FDA">
      <w:pPr>
        <w:autoSpaceDE w:val="0"/>
        <w:autoSpaceDN w:val="0"/>
        <w:adjustRightInd w:val="0"/>
        <w:spacing w:line="276" w:lineRule="auto"/>
        <w:jc w:val="both"/>
        <w:rPr>
          <w:rFonts w:ascii="Arial" w:hAnsi="Arial" w:cs="Arial"/>
          <w:spacing w:val="-2"/>
        </w:rPr>
      </w:pPr>
    </w:p>
    <w:p w14:paraId="1B979DE9" w14:textId="34C4B25D" w:rsidR="00A25266" w:rsidRPr="001D29D9" w:rsidRDefault="00A25266" w:rsidP="00653FDA">
      <w:pPr>
        <w:autoSpaceDE w:val="0"/>
        <w:autoSpaceDN w:val="0"/>
        <w:adjustRightInd w:val="0"/>
        <w:spacing w:line="276" w:lineRule="auto"/>
        <w:jc w:val="both"/>
        <w:rPr>
          <w:rFonts w:ascii="Arial" w:hAnsi="Arial" w:cs="Arial"/>
          <w:spacing w:val="-2"/>
        </w:rPr>
      </w:pPr>
      <w:r w:rsidRPr="001D29D9">
        <w:rPr>
          <w:rFonts w:ascii="Arial" w:hAnsi="Arial" w:cs="Arial"/>
          <w:spacing w:val="-2"/>
        </w:rPr>
        <w:t>1.2. Al contestar la demanda, Flota Occidental S.A. se opuso a las pretensiones porque el demandante era tanto conductor como propietario del vehículo y por ello, era deudor solidario de las acreencias que reclama</w:t>
      </w:r>
      <w:r w:rsidR="00C92165" w:rsidRPr="001D29D9">
        <w:rPr>
          <w:rFonts w:ascii="Arial" w:hAnsi="Arial" w:cs="Arial"/>
          <w:spacing w:val="-2"/>
        </w:rPr>
        <w:t xml:space="preserve"> y en el mismo escrito de contestación hizo una “solicitud especial” de llamamiento en garantía al mismo demandante porque ostenta “</w:t>
      </w:r>
      <w:r w:rsidR="00C92165" w:rsidRPr="001D29D9">
        <w:rPr>
          <w:rFonts w:ascii="Arial" w:hAnsi="Arial" w:cs="Arial"/>
          <w:spacing w:val="-2"/>
          <w:sz w:val="22"/>
        </w:rPr>
        <w:t>la doble condición de acreedor y deudor a la vez (…) en razón a que el demandante firmó los siguientes contratos de vinculación de vehículo de servicio público sin administración (…) En los citados contratos, el aquí demandante, es solidariamente responsable de todos y cada uno de los gastos que genere el vehículo de su propiedad, incluido los laborales, que reclama en esta demanda</w:t>
      </w:r>
      <w:r w:rsidR="00C92165" w:rsidRPr="001D29D9">
        <w:rPr>
          <w:rFonts w:ascii="Arial" w:hAnsi="Arial" w:cs="Arial"/>
          <w:spacing w:val="-2"/>
        </w:rPr>
        <w:t>” (</w:t>
      </w:r>
      <w:proofErr w:type="spellStart"/>
      <w:r w:rsidR="00C92165" w:rsidRPr="001D29D9">
        <w:rPr>
          <w:rFonts w:ascii="Arial" w:hAnsi="Arial" w:cs="Arial"/>
          <w:spacing w:val="-2"/>
        </w:rPr>
        <w:t>fl</w:t>
      </w:r>
      <w:proofErr w:type="spellEnd"/>
      <w:r w:rsidR="00C92165" w:rsidRPr="001D29D9">
        <w:rPr>
          <w:rFonts w:ascii="Arial" w:hAnsi="Arial" w:cs="Arial"/>
          <w:spacing w:val="-2"/>
        </w:rPr>
        <w:t>. 15, archivo</w:t>
      </w:r>
      <w:r w:rsidRPr="001D29D9">
        <w:rPr>
          <w:rFonts w:ascii="Arial" w:hAnsi="Arial" w:cs="Arial"/>
          <w:spacing w:val="-2"/>
        </w:rPr>
        <w:t xml:space="preserve"> 13, exp. Digital).</w:t>
      </w:r>
      <w:r w:rsidR="00C92165" w:rsidRPr="001D29D9">
        <w:rPr>
          <w:rFonts w:ascii="Arial" w:hAnsi="Arial" w:cs="Arial"/>
          <w:spacing w:val="-2"/>
        </w:rPr>
        <w:t xml:space="preserve"> También solicitó llamar en garantía a Sandra Milena Londoño Ospina que también firmó el contrato de vinculación de vehículo (</w:t>
      </w:r>
      <w:proofErr w:type="spellStart"/>
      <w:r w:rsidR="00C92165" w:rsidRPr="001D29D9">
        <w:rPr>
          <w:rFonts w:ascii="Arial" w:hAnsi="Arial" w:cs="Arial"/>
          <w:spacing w:val="-2"/>
        </w:rPr>
        <w:t>fl</w:t>
      </w:r>
      <w:proofErr w:type="spellEnd"/>
      <w:r w:rsidR="00C92165" w:rsidRPr="001D29D9">
        <w:rPr>
          <w:rFonts w:ascii="Arial" w:hAnsi="Arial" w:cs="Arial"/>
          <w:spacing w:val="-2"/>
        </w:rPr>
        <w:t>. 16, ibidem).</w:t>
      </w:r>
    </w:p>
    <w:p w14:paraId="78FB6922" w14:textId="5FFD24E7" w:rsidR="00C92165" w:rsidRPr="001D29D9" w:rsidRDefault="00C92165" w:rsidP="00653FDA">
      <w:pPr>
        <w:autoSpaceDE w:val="0"/>
        <w:autoSpaceDN w:val="0"/>
        <w:adjustRightInd w:val="0"/>
        <w:spacing w:line="276" w:lineRule="auto"/>
        <w:jc w:val="both"/>
        <w:rPr>
          <w:rFonts w:ascii="Arial" w:hAnsi="Arial" w:cs="Arial"/>
          <w:spacing w:val="-2"/>
        </w:rPr>
      </w:pPr>
    </w:p>
    <w:p w14:paraId="0D7D8CF6" w14:textId="3D17443E" w:rsidR="00C92165" w:rsidRPr="001D29D9" w:rsidRDefault="00C92165" w:rsidP="00653FDA">
      <w:pPr>
        <w:autoSpaceDE w:val="0"/>
        <w:autoSpaceDN w:val="0"/>
        <w:adjustRightInd w:val="0"/>
        <w:spacing w:line="276" w:lineRule="auto"/>
        <w:jc w:val="both"/>
        <w:rPr>
          <w:rFonts w:ascii="Arial" w:hAnsi="Arial" w:cs="Arial"/>
          <w:spacing w:val="-2"/>
        </w:rPr>
      </w:pPr>
      <w:r w:rsidRPr="001D29D9">
        <w:rPr>
          <w:rFonts w:ascii="Arial" w:hAnsi="Arial" w:cs="Arial"/>
          <w:spacing w:val="-2"/>
        </w:rPr>
        <w:t>1.3. El 02/03/2022 el despacho de primer grado admitió el llamamiento en garantía propuesto por Flota Occidental S.A. contra el demandante y Sandra Milena Londoño Ospina (archivo 14, ibidem). Decisión contra la que el demandante presentó recurso de reposición para que se inadmitiera el llamamiento en su contra, puesto que el llamamiento implica la comparecencia forzosa de terceros y no de la misma parte, pues de lo contrario el demandante tendría la doble condición de demandante y demandado; de ahí que la pretensión del demandado debe encaminarse a través de una herramienta jurídica diferente (archivo 18, ibidem).</w:t>
      </w:r>
    </w:p>
    <w:p w14:paraId="0AA595BB" w14:textId="0D6DEFEB" w:rsidR="00C92165" w:rsidRPr="001D29D9" w:rsidRDefault="00C92165" w:rsidP="00653FDA">
      <w:pPr>
        <w:autoSpaceDE w:val="0"/>
        <w:autoSpaceDN w:val="0"/>
        <w:adjustRightInd w:val="0"/>
        <w:spacing w:line="276" w:lineRule="auto"/>
        <w:jc w:val="both"/>
        <w:rPr>
          <w:rFonts w:ascii="Arial" w:hAnsi="Arial" w:cs="Arial"/>
          <w:spacing w:val="-2"/>
        </w:rPr>
      </w:pPr>
    </w:p>
    <w:p w14:paraId="30A63352" w14:textId="1FA3B2BF" w:rsidR="009A7C4B" w:rsidRPr="001D29D9" w:rsidRDefault="0053149B" w:rsidP="00653FDA">
      <w:pPr>
        <w:autoSpaceDE w:val="0"/>
        <w:autoSpaceDN w:val="0"/>
        <w:adjustRightInd w:val="0"/>
        <w:spacing w:line="276" w:lineRule="auto"/>
        <w:jc w:val="both"/>
        <w:rPr>
          <w:rFonts w:ascii="Arial" w:hAnsi="Arial" w:cs="Arial"/>
          <w:b/>
          <w:bCs/>
          <w:spacing w:val="-2"/>
        </w:rPr>
      </w:pPr>
      <w:r w:rsidRPr="001D29D9">
        <w:rPr>
          <w:rFonts w:ascii="Arial" w:hAnsi="Arial" w:cs="Arial"/>
          <w:b/>
          <w:bCs/>
          <w:spacing w:val="-2"/>
        </w:rPr>
        <w:t>2. Auto recurrido</w:t>
      </w:r>
    </w:p>
    <w:p w14:paraId="660D05A1" w14:textId="1C9DCCD4" w:rsidR="0053149B" w:rsidRPr="001D29D9" w:rsidRDefault="0053149B" w:rsidP="00653FDA">
      <w:pPr>
        <w:autoSpaceDE w:val="0"/>
        <w:autoSpaceDN w:val="0"/>
        <w:adjustRightInd w:val="0"/>
        <w:spacing w:line="276" w:lineRule="auto"/>
        <w:jc w:val="both"/>
        <w:rPr>
          <w:rFonts w:ascii="Arial" w:hAnsi="Arial" w:cs="Arial"/>
          <w:spacing w:val="-2"/>
        </w:rPr>
      </w:pPr>
    </w:p>
    <w:p w14:paraId="7040B11B" w14:textId="59530CF1" w:rsidR="00C92165" w:rsidRPr="001D29D9" w:rsidRDefault="00C92165" w:rsidP="00653FDA">
      <w:pPr>
        <w:autoSpaceDE w:val="0"/>
        <w:autoSpaceDN w:val="0"/>
        <w:adjustRightInd w:val="0"/>
        <w:spacing w:line="276" w:lineRule="auto"/>
        <w:jc w:val="both"/>
        <w:rPr>
          <w:rFonts w:ascii="Arial" w:hAnsi="Arial" w:cs="Arial"/>
          <w:spacing w:val="-2"/>
        </w:rPr>
      </w:pPr>
      <w:r w:rsidRPr="001D29D9">
        <w:rPr>
          <w:rFonts w:ascii="Arial" w:hAnsi="Arial" w:cs="Arial"/>
          <w:spacing w:val="-2"/>
        </w:rPr>
        <w:t>El 18/01/2023</w:t>
      </w:r>
      <w:r w:rsidR="00DB4AF6" w:rsidRPr="001D29D9">
        <w:rPr>
          <w:rFonts w:ascii="Arial" w:hAnsi="Arial" w:cs="Arial"/>
          <w:spacing w:val="-2"/>
        </w:rPr>
        <w:t xml:space="preserve"> el despacho</w:t>
      </w:r>
      <w:r w:rsidRPr="001D29D9">
        <w:rPr>
          <w:rFonts w:ascii="Arial" w:hAnsi="Arial" w:cs="Arial"/>
          <w:spacing w:val="-2"/>
        </w:rPr>
        <w:t xml:space="preserve"> repuso su decisión para negar el llamamiento en garantía propuesto por el demandado únicamente contra el demandante Carlos Arturo Ospina Gómez. </w:t>
      </w:r>
    </w:p>
    <w:p w14:paraId="62244F58" w14:textId="2604BBFC" w:rsidR="00C92165" w:rsidRPr="001D29D9" w:rsidRDefault="00C92165" w:rsidP="00653FDA">
      <w:pPr>
        <w:autoSpaceDE w:val="0"/>
        <w:autoSpaceDN w:val="0"/>
        <w:adjustRightInd w:val="0"/>
        <w:spacing w:line="276" w:lineRule="auto"/>
        <w:jc w:val="both"/>
        <w:rPr>
          <w:rFonts w:ascii="Arial" w:hAnsi="Arial" w:cs="Arial"/>
          <w:spacing w:val="-2"/>
        </w:rPr>
      </w:pPr>
    </w:p>
    <w:p w14:paraId="1EAC844C" w14:textId="0B92FF53" w:rsidR="00C92165" w:rsidRPr="001D29D9" w:rsidRDefault="00C92165" w:rsidP="00653FDA">
      <w:pPr>
        <w:autoSpaceDE w:val="0"/>
        <w:autoSpaceDN w:val="0"/>
        <w:adjustRightInd w:val="0"/>
        <w:spacing w:line="276" w:lineRule="auto"/>
        <w:jc w:val="both"/>
        <w:rPr>
          <w:rFonts w:ascii="Arial" w:hAnsi="Arial" w:cs="Arial"/>
          <w:spacing w:val="-2"/>
        </w:rPr>
      </w:pPr>
      <w:r w:rsidRPr="001D29D9">
        <w:rPr>
          <w:rFonts w:ascii="Arial" w:hAnsi="Arial" w:cs="Arial"/>
          <w:spacing w:val="-2"/>
        </w:rPr>
        <w:t>Como fundamento para dicha determinación argumentó que el llamamiento en garantía se realiza frente a un tercero, de ahí que el mismo solo procede cuando existe un vínculo jurídico entre una parte del proceso y un tercero, para que este último funja como garante de las obligaciones a las que eventualmente sea condenada la parte. Fundó su decisión en el auto AC2900-2017. Si bien, anotó que el artículo 64 del C.G.P. hace alusión a “otro” y por ello puede ser llamada la parte, para la juzgadora solo puede llamarse en garantía el tercero, pues el demandado</w:t>
      </w:r>
      <w:r w:rsidR="00E12608" w:rsidRPr="001D29D9">
        <w:rPr>
          <w:rFonts w:ascii="Arial" w:hAnsi="Arial" w:cs="Arial"/>
          <w:spacing w:val="-2"/>
        </w:rPr>
        <w:t xml:space="preserve"> tiene como herramienta para pretender de su demandante alguna condena, la demanda de reconvención. </w:t>
      </w:r>
    </w:p>
    <w:p w14:paraId="40ACCFC6" w14:textId="77777777" w:rsidR="00BD65E6" w:rsidRPr="001D29D9" w:rsidRDefault="00BD65E6" w:rsidP="00653FDA">
      <w:pPr>
        <w:spacing w:line="276" w:lineRule="auto"/>
        <w:jc w:val="both"/>
        <w:rPr>
          <w:rFonts w:ascii="Arial" w:hAnsi="Arial" w:cs="Arial"/>
          <w:b/>
          <w:bCs/>
          <w:spacing w:val="-2"/>
          <w:lang w:val="es-ES"/>
        </w:rPr>
      </w:pPr>
    </w:p>
    <w:p w14:paraId="7BF7F981" w14:textId="189253FD" w:rsidR="00261FD5" w:rsidRPr="001D29D9" w:rsidRDefault="00261FD5" w:rsidP="00653FDA">
      <w:pPr>
        <w:spacing w:line="276" w:lineRule="auto"/>
        <w:jc w:val="both"/>
        <w:rPr>
          <w:rFonts w:ascii="Arial" w:hAnsi="Arial" w:cs="Arial"/>
          <w:b/>
          <w:bCs/>
          <w:spacing w:val="-2"/>
          <w:lang w:val="es-ES"/>
        </w:rPr>
      </w:pPr>
      <w:r w:rsidRPr="001D29D9">
        <w:rPr>
          <w:rFonts w:ascii="Arial" w:hAnsi="Arial" w:cs="Arial"/>
          <w:b/>
          <w:bCs/>
          <w:spacing w:val="-2"/>
          <w:lang w:val="es-ES"/>
        </w:rPr>
        <w:t>3. Síntesis del recurso de apelación</w:t>
      </w:r>
    </w:p>
    <w:p w14:paraId="732BC9FD" w14:textId="37EDE760" w:rsidR="00261FD5" w:rsidRPr="001D29D9" w:rsidRDefault="00261FD5" w:rsidP="00653FDA">
      <w:pPr>
        <w:autoSpaceDE w:val="0"/>
        <w:autoSpaceDN w:val="0"/>
        <w:adjustRightInd w:val="0"/>
        <w:spacing w:line="276" w:lineRule="auto"/>
        <w:jc w:val="both"/>
        <w:rPr>
          <w:rFonts w:ascii="Arial" w:hAnsi="Arial" w:cs="Arial"/>
          <w:spacing w:val="-2"/>
          <w:lang w:val="es-ES"/>
        </w:rPr>
      </w:pPr>
    </w:p>
    <w:p w14:paraId="41087054" w14:textId="77777777" w:rsidR="00B10766" w:rsidRPr="001D29D9" w:rsidRDefault="00DB4AF6" w:rsidP="00653FDA">
      <w:pPr>
        <w:autoSpaceDE w:val="0"/>
        <w:autoSpaceDN w:val="0"/>
        <w:adjustRightInd w:val="0"/>
        <w:spacing w:line="276" w:lineRule="auto"/>
        <w:jc w:val="both"/>
        <w:rPr>
          <w:rFonts w:ascii="Arial" w:hAnsi="Arial" w:cs="Arial"/>
          <w:spacing w:val="-2"/>
          <w:lang w:val="es-ES"/>
        </w:rPr>
      </w:pPr>
      <w:r w:rsidRPr="001D29D9">
        <w:rPr>
          <w:rFonts w:ascii="Arial" w:hAnsi="Arial" w:cs="Arial"/>
          <w:spacing w:val="-2"/>
          <w:lang w:val="es-ES"/>
        </w:rPr>
        <w:t xml:space="preserve">Inconforme con la decisión </w:t>
      </w:r>
      <w:r w:rsidR="00E12608" w:rsidRPr="001D29D9">
        <w:rPr>
          <w:rFonts w:ascii="Arial" w:hAnsi="Arial" w:cs="Arial"/>
          <w:spacing w:val="-2"/>
          <w:lang w:val="es-ES"/>
        </w:rPr>
        <w:t>la Flota Occidental presentó recurso de alzada para lo cual argumentó que conforme al artículo 64 del C.G.P. se hace alusión al llamamiento de “otro” y por eso, no se limita únicamente a los terceros, sino también a la parte</w:t>
      </w:r>
      <w:r w:rsidR="00B10766" w:rsidRPr="001D29D9">
        <w:rPr>
          <w:rFonts w:ascii="Arial" w:hAnsi="Arial" w:cs="Arial"/>
          <w:spacing w:val="-2"/>
          <w:lang w:val="es-ES"/>
        </w:rPr>
        <w:t xml:space="preserve">. Así, explicó que el demandante es llamado en garantía porque es él mismo quien debe pagar las condenas que resulten contra Flota Occidental porque suscribió unos contratos de vinculación sin administración de vehículo, en tanto el demandante es el propietario del automotor y conforme a dichos pactos el propietario del vehículo debe pagar las obligaciones laborales que este origine. </w:t>
      </w:r>
    </w:p>
    <w:p w14:paraId="12344CA9" w14:textId="77777777" w:rsidR="00B10766" w:rsidRPr="001D29D9" w:rsidRDefault="00B10766" w:rsidP="00653FDA">
      <w:pPr>
        <w:autoSpaceDE w:val="0"/>
        <w:autoSpaceDN w:val="0"/>
        <w:adjustRightInd w:val="0"/>
        <w:spacing w:line="276" w:lineRule="auto"/>
        <w:jc w:val="both"/>
        <w:rPr>
          <w:rFonts w:ascii="Arial" w:hAnsi="Arial" w:cs="Arial"/>
          <w:spacing w:val="-2"/>
          <w:lang w:val="es-ES"/>
        </w:rPr>
      </w:pPr>
    </w:p>
    <w:p w14:paraId="705C4611" w14:textId="3B1F54A0" w:rsidR="00E12608" w:rsidRPr="001D29D9" w:rsidRDefault="00B10766" w:rsidP="00653FDA">
      <w:pPr>
        <w:autoSpaceDE w:val="0"/>
        <w:autoSpaceDN w:val="0"/>
        <w:adjustRightInd w:val="0"/>
        <w:spacing w:line="276" w:lineRule="auto"/>
        <w:jc w:val="both"/>
        <w:rPr>
          <w:rFonts w:ascii="Arial" w:hAnsi="Arial" w:cs="Arial"/>
          <w:spacing w:val="-2"/>
          <w:lang w:val="es-ES"/>
        </w:rPr>
      </w:pPr>
      <w:r w:rsidRPr="001D29D9">
        <w:rPr>
          <w:rFonts w:ascii="Arial" w:hAnsi="Arial" w:cs="Arial"/>
          <w:spacing w:val="-2"/>
          <w:lang w:val="es-ES"/>
        </w:rPr>
        <w:t xml:space="preserve">Para sustentar su argumento citó la decisión SC-1304/2018 </w:t>
      </w:r>
      <w:r w:rsidR="00A016EC" w:rsidRPr="001D29D9">
        <w:rPr>
          <w:rFonts w:ascii="Arial" w:hAnsi="Arial" w:cs="Arial"/>
          <w:spacing w:val="-2"/>
          <w:lang w:val="es-ES"/>
        </w:rPr>
        <w:t xml:space="preserve">a partir de la cual concluyó que </w:t>
      </w:r>
      <w:r w:rsidRPr="001D29D9">
        <w:rPr>
          <w:rFonts w:ascii="Arial" w:hAnsi="Arial" w:cs="Arial"/>
          <w:spacing w:val="-2"/>
          <w:lang w:val="es-ES"/>
        </w:rPr>
        <w:t>el llamamiento corresponde a la citación de la persona respecto de la que se tiene una relación de garantía sin importar que quien lo solicite sea la parte demandante o demandada dentro del proceso, o que a quien se llama ya conforme la Litis</w:t>
      </w:r>
      <w:r w:rsidR="00A016EC" w:rsidRPr="001D29D9">
        <w:rPr>
          <w:rFonts w:ascii="Arial" w:hAnsi="Arial" w:cs="Arial"/>
          <w:spacing w:val="-2"/>
          <w:lang w:val="es-ES"/>
        </w:rPr>
        <w:t xml:space="preserve">; por lo que, con base en esa decisión </w:t>
      </w:r>
      <w:r w:rsidRPr="001D29D9">
        <w:rPr>
          <w:rFonts w:ascii="Arial" w:hAnsi="Arial" w:cs="Arial"/>
          <w:spacing w:val="-2"/>
          <w:lang w:val="es-ES"/>
        </w:rPr>
        <w:t xml:space="preserve">también pueden ser llamados en garantía las partes del proceso. </w:t>
      </w:r>
    </w:p>
    <w:p w14:paraId="4FEC7585" w14:textId="77777777" w:rsidR="00E12608" w:rsidRPr="001D29D9" w:rsidRDefault="00E12608" w:rsidP="00653FDA">
      <w:pPr>
        <w:autoSpaceDE w:val="0"/>
        <w:autoSpaceDN w:val="0"/>
        <w:adjustRightInd w:val="0"/>
        <w:spacing w:line="276" w:lineRule="auto"/>
        <w:jc w:val="both"/>
        <w:rPr>
          <w:rFonts w:ascii="Arial" w:hAnsi="Arial" w:cs="Arial"/>
          <w:spacing w:val="-2"/>
          <w:lang w:val="es-ES"/>
        </w:rPr>
      </w:pPr>
    </w:p>
    <w:p w14:paraId="47314EB5" w14:textId="4FA0ADD5" w:rsidR="490C513B" w:rsidRPr="001D29D9" w:rsidRDefault="490C513B" w:rsidP="00653FDA">
      <w:pPr>
        <w:spacing w:line="276" w:lineRule="auto"/>
        <w:jc w:val="both"/>
        <w:rPr>
          <w:rFonts w:ascii="Arial" w:eastAsia="Arial" w:hAnsi="Arial" w:cs="Arial"/>
          <w:spacing w:val="-2"/>
          <w:lang w:val="es-ES"/>
        </w:rPr>
      </w:pPr>
      <w:r w:rsidRPr="001D29D9">
        <w:rPr>
          <w:rFonts w:ascii="Arial" w:eastAsia="Arial" w:hAnsi="Arial" w:cs="Arial"/>
          <w:b/>
          <w:bCs/>
          <w:spacing w:val="-2"/>
          <w:lang w:val="es-ES"/>
        </w:rPr>
        <w:t>4</w:t>
      </w:r>
      <w:r w:rsidR="49030203" w:rsidRPr="001D29D9">
        <w:rPr>
          <w:rFonts w:ascii="Arial" w:eastAsia="Arial" w:hAnsi="Arial" w:cs="Arial"/>
          <w:b/>
          <w:bCs/>
          <w:spacing w:val="-2"/>
          <w:lang w:val="es-ES"/>
        </w:rPr>
        <w:t>. Alegatos de conclusión</w:t>
      </w:r>
    </w:p>
    <w:p w14:paraId="6D7796BF" w14:textId="15AA9060" w:rsidR="00AC7B43" w:rsidRPr="001D29D9" w:rsidRDefault="00AC7B43" w:rsidP="00653FDA">
      <w:pPr>
        <w:autoSpaceDE w:val="0"/>
        <w:autoSpaceDN w:val="0"/>
        <w:adjustRightInd w:val="0"/>
        <w:spacing w:line="276" w:lineRule="auto"/>
        <w:jc w:val="both"/>
        <w:rPr>
          <w:rFonts w:ascii="Arial" w:eastAsia="Arial" w:hAnsi="Arial" w:cs="Arial"/>
          <w:spacing w:val="-2"/>
          <w:lang w:val="es-ES"/>
        </w:rPr>
      </w:pPr>
    </w:p>
    <w:p w14:paraId="672B9D18" w14:textId="480A4E88" w:rsidR="70E94479" w:rsidRPr="001D29D9" w:rsidRDefault="70E94479" w:rsidP="00653FDA">
      <w:pPr>
        <w:spacing w:line="276" w:lineRule="auto"/>
        <w:jc w:val="both"/>
        <w:rPr>
          <w:rFonts w:ascii="Arial" w:eastAsia="Arial" w:hAnsi="Arial" w:cs="Arial"/>
          <w:spacing w:val="-2"/>
          <w:lang w:val="es-ES"/>
        </w:rPr>
      </w:pPr>
      <w:r w:rsidRPr="001D29D9">
        <w:rPr>
          <w:rFonts w:ascii="Arial" w:eastAsia="Arial" w:hAnsi="Arial" w:cs="Arial"/>
          <w:spacing w:val="-2"/>
          <w:lang w:val="es-ES"/>
        </w:rPr>
        <w:t>Únicamente fueron presentados por la parte demandada que coincide con los temas que serán abordados en la presente decisión.</w:t>
      </w:r>
    </w:p>
    <w:p w14:paraId="3E6B12EF" w14:textId="4D21A4A1" w:rsidR="1F661348" w:rsidRPr="001D29D9" w:rsidRDefault="1F661348" w:rsidP="00653FDA">
      <w:pPr>
        <w:spacing w:line="276" w:lineRule="auto"/>
        <w:jc w:val="both"/>
        <w:rPr>
          <w:rFonts w:ascii="Arial" w:eastAsia="Arial" w:hAnsi="Arial" w:cs="Arial"/>
          <w:spacing w:val="-2"/>
          <w:lang w:val="es-ES"/>
        </w:rPr>
      </w:pPr>
    </w:p>
    <w:p w14:paraId="16B09DE6" w14:textId="77777777" w:rsidR="00B918F3" w:rsidRPr="001D29D9" w:rsidRDefault="00B918F3" w:rsidP="00653FDA">
      <w:pPr>
        <w:autoSpaceDE w:val="0"/>
        <w:autoSpaceDN w:val="0"/>
        <w:adjustRightInd w:val="0"/>
        <w:spacing w:line="276" w:lineRule="auto"/>
        <w:jc w:val="center"/>
        <w:rPr>
          <w:rFonts w:ascii="Arial" w:hAnsi="Arial" w:cs="Arial"/>
          <w:b/>
          <w:bCs/>
          <w:spacing w:val="-2"/>
          <w:lang w:val="es-ES"/>
        </w:rPr>
      </w:pPr>
      <w:r w:rsidRPr="001D29D9">
        <w:rPr>
          <w:rFonts w:ascii="Arial" w:hAnsi="Arial" w:cs="Arial"/>
          <w:b/>
          <w:bCs/>
          <w:spacing w:val="-2"/>
          <w:lang w:val="es-ES"/>
        </w:rPr>
        <w:t>CONSIDERACIONES</w:t>
      </w:r>
    </w:p>
    <w:p w14:paraId="10A63874" w14:textId="77777777" w:rsidR="00B918F3" w:rsidRPr="001D29D9" w:rsidRDefault="00B918F3" w:rsidP="00653FDA">
      <w:pPr>
        <w:autoSpaceDE w:val="0"/>
        <w:autoSpaceDN w:val="0"/>
        <w:adjustRightInd w:val="0"/>
        <w:spacing w:line="276" w:lineRule="auto"/>
        <w:ind w:firstLine="708"/>
        <w:jc w:val="both"/>
        <w:rPr>
          <w:rFonts w:ascii="Arial" w:hAnsi="Arial" w:cs="Arial"/>
          <w:spacing w:val="-2"/>
          <w:lang w:val="es-ES"/>
        </w:rPr>
      </w:pPr>
    </w:p>
    <w:p w14:paraId="53D080F2" w14:textId="77777777" w:rsidR="00B918F3" w:rsidRPr="001D29D9" w:rsidRDefault="00B918F3" w:rsidP="00653FDA">
      <w:pPr>
        <w:autoSpaceDE w:val="0"/>
        <w:autoSpaceDN w:val="0"/>
        <w:adjustRightInd w:val="0"/>
        <w:spacing w:line="276" w:lineRule="auto"/>
        <w:jc w:val="both"/>
        <w:rPr>
          <w:rFonts w:ascii="Arial" w:hAnsi="Arial" w:cs="Arial"/>
          <w:spacing w:val="-2"/>
          <w:lang w:val="es-ES"/>
        </w:rPr>
      </w:pPr>
      <w:r w:rsidRPr="001D29D9">
        <w:rPr>
          <w:rFonts w:ascii="Arial" w:hAnsi="Arial" w:cs="Arial"/>
          <w:b/>
          <w:bCs/>
          <w:spacing w:val="-2"/>
          <w:lang w:val="es-ES"/>
        </w:rPr>
        <w:t>1</w:t>
      </w:r>
      <w:r w:rsidRPr="001D29D9">
        <w:rPr>
          <w:rFonts w:ascii="Arial" w:hAnsi="Arial" w:cs="Arial"/>
          <w:b/>
          <w:bCs/>
          <w:i/>
          <w:iCs/>
          <w:spacing w:val="-2"/>
          <w:lang w:val="es-ES"/>
        </w:rPr>
        <w:t>.</w:t>
      </w:r>
      <w:r w:rsidRPr="001D29D9">
        <w:rPr>
          <w:rFonts w:ascii="Arial" w:hAnsi="Arial" w:cs="Arial"/>
          <w:b/>
          <w:bCs/>
          <w:spacing w:val="-2"/>
          <w:lang w:val="es-ES"/>
        </w:rPr>
        <w:t xml:space="preserve"> Problema jurídico</w:t>
      </w:r>
    </w:p>
    <w:p w14:paraId="00EFB6B5" w14:textId="77777777" w:rsidR="00B918F3" w:rsidRPr="001D29D9" w:rsidRDefault="00B918F3" w:rsidP="00653FDA">
      <w:pPr>
        <w:autoSpaceDE w:val="0"/>
        <w:autoSpaceDN w:val="0"/>
        <w:adjustRightInd w:val="0"/>
        <w:spacing w:line="276" w:lineRule="auto"/>
        <w:jc w:val="both"/>
        <w:rPr>
          <w:rFonts w:ascii="Arial" w:hAnsi="Arial" w:cs="Arial"/>
          <w:spacing w:val="-2"/>
          <w:lang w:val="es-ES"/>
        </w:rPr>
      </w:pPr>
      <w:r w:rsidRPr="001D29D9">
        <w:rPr>
          <w:rFonts w:ascii="Arial" w:hAnsi="Arial" w:cs="Arial"/>
          <w:spacing w:val="-2"/>
          <w:lang w:val="es-ES"/>
        </w:rPr>
        <w:t> </w:t>
      </w:r>
    </w:p>
    <w:p w14:paraId="0740FBB9" w14:textId="77777777" w:rsidR="00B918F3" w:rsidRPr="001D29D9" w:rsidRDefault="00B918F3" w:rsidP="00653FDA">
      <w:pPr>
        <w:autoSpaceDE w:val="0"/>
        <w:autoSpaceDN w:val="0"/>
        <w:adjustRightInd w:val="0"/>
        <w:spacing w:line="276" w:lineRule="auto"/>
        <w:jc w:val="both"/>
        <w:rPr>
          <w:rFonts w:ascii="Arial" w:hAnsi="Arial" w:cs="Arial"/>
          <w:spacing w:val="-2"/>
          <w:lang w:val="es-ES"/>
        </w:rPr>
      </w:pPr>
      <w:r w:rsidRPr="001D29D9">
        <w:rPr>
          <w:rFonts w:ascii="Arial" w:hAnsi="Arial" w:cs="Arial"/>
          <w:spacing w:val="-2"/>
          <w:lang w:val="es-ES"/>
        </w:rPr>
        <w:t>Visto el recuento anterior se formula la Sala el siguiente interrogante,</w:t>
      </w:r>
    </w:p>
    <w:p w14:paraId="6305A400" w14:textId="77777777" w:rsidR="00B918F3" w:rsidRPr="001D29D9" w:rsidRDefault="00B918F3" w:rsidP="00653FDA">
      <w:pPr>
        <w:autoSpaceDE w:val="0"/>
        <w:autoSpaceDN w:val="0"/>
        <w:adjustRightInd w:val="0"/>
        <w:spacing w:line="276" w:lineRule="auto"/>
        <w:jc w:val="both"/>
        <w:rPr>
          <w:rFonts w:ascii="Arial" w:hAnsi="Arial" w:cs="Arial"/>
          <w:spacing w:val="-2"/>
          <w:lang w:val="es-ES"/>
        </w:rPr>
      </w:pPr>
    </w:p>
    <w:p w14:paraId="6A717764" w14:textId="04A76F36" w:rsidR="00B918F3" w:rsidRPr="001D29D9" w:rsidRDefault="00B918F3" w:rsidP="00653FDA">
      <w:pPr>
        <w:autoSpaceDE w:val="0"/>
        <w:autoSpaceDN w:val="0"/>
        <w:adjustRightInd w:val="0"/>
        <w:spacing w:line="276" w:lineRule="auto"/>
        <w:jc w:val="both"/>
        <w:rPr>
          <w:rFonts w:ascii="Arial" w:hAnsi="Arial" w:cs="Arial"/>
          <w:spacing w:val="-2"/>
          <w:lang w:val="es-ES"/>
        </w:rPr>
      </w:pPr>
      <w:r w:rsidRPr="001D29D9">
        <w:rPr>
          <w:rFonts w:ascii="Arial" w:hAnsi="Arial" w:cs="Arial"/>
          <w:spacing w:val="-2"/>
          <w:lang w:val="es-ES"/>
        </w:rPr>
        <w:t>¿</w:t>
      </w:r>
      <w:r w:rsidR="00B10766" w:rsidRPr="001D29D9">
        <w:rPr>
          <w:rFonts w:ascii="Arial" w:hAnsi="Arial" w:cs="Arial"/>
          <w:spacing w:val="-2"/>
          <w:lang w:val="es-ES"/>
        </w:rPr>
        <w:t>El demandado puede llamar en garantía al demandante</w:t>
      </w:r>
      <w:r w:rsidRPr="001D29D9">
        <w:rPr>
          <w:rFonts w:ascii="Arial" w:hAnsi="Arial" w:cs="Arial"/>
          <w:spacing w:val="-2"/>
          <w:lang w:val="es-ES"/>
        </w:rPr>
        <w:t>?</w:t>
      </w:r>
    </w:p>
    <w:p w14:paraId="1DFE2254" w14:textId="77777777" w:rsidR="00B918F3" w:rsidRPr="001D29D9" w:rsidRDefault="00B918F3" w:rsidP="00653FDA">
      <w:pPr>
        <w:autoSpaceDE w:val="0"/>
        <w:autoSpaceDN w:val="0"/>
        <w:adjustRightInd w:val="0"/>
        <w:spacing w:line="276" w:lineRule="auto"/>
        <w:jc w:val="both"/>
        <w:rPr>
          <w:rFonts w:ascii="Arial" w:hAnsi="Arial" w:cs="Arial"/>
          <w:b/>
          <w:bCs/>
          <w:i/>
          <w:iCs/>
          <w:spacing w:val="-2"/>
          <w:lang w:val="es-ES"/>
        </w:rPr>
      </w:pPr>
      <w:r w:rsidRPr="001D29D9">
        <w:rPr>
          <w:rFonts w:ascii="Arial" w:hAnsi="Arial" w:cs="Arial"/>
          <w:spacing w:val="-2"/>
          <w:lang w:val="es-ES"/>
        </w:rPr>
        <w:t xml:space="preserve"> </w:t>
      </w:r>
    </w:p>
    <w:p w14:paraId="3977B2AE" w14:textId="77777777" w:rsidR="00B918F3" w:rsidRPr="001D29D9" w:rsidRDefault="00B918F3" w:rsidP="00653FDA">
      <w:pPr>
        <w:autoSpaceDE w:val="0"/>
        <w:autoSpaceDN w:val="0"/>
        <w:adjustRightInd w:val="0"/>
        <w:spacing w:line="276" w:lineRule="auto"/>
        <w:jc w:val="both"/>
        <w:rPr>
          <w:rFonts w:ascii="Arial" w:hAnsi="Arial" w:cs="Arial"/>
          <w:b/>
          <w:bCs/>
          <w:spacing w:val="-2"/>
          <w:lang w:val="es-ES"/>
        </w:rPr>
      </w:pPr>
      <w:r w:rsidRPr="001D29D9">
        <w:rPr>
          <w:rFonts w:ascii="Arial" w:hAnsi="Arial" w:cs="Arial"/>
          <w:b/>
          <w:bCs/>
          <w:i/>
          <w:iCs/>
          <w:spacing w:val="-2"/>
          <w:lang w:val="es-ES"/>
        </w:rPr>
        <w:t xml:space="preserve">2. </w:t>
      </w:r>
      <w:r w:rsidRPr="001D29D9">
        <w:rPr>
          <w:rFonts w:ascii="Arial" w:hAnsi="Arial" w:cs="Arial"/>
          <w:b/>
          <w:bCs/>
          <w:spacing w:val="-2"/>
          <w:lang w:val="es-ES"/>
        </w:rPr>
        <w:t>Solución al interrogante planteado</w:t>
      </w:r>
    </w:p>
    <w:p w14:paraId="400E7F99" w14:textId="77777777" w:rsidR="00B918F3" w:rsidRPr="001D29D9" w:rsidRDefault="00B918F3" w:rsidP="00653FDA">
      <w:pPr>
        <w:autoSpaceDE w:val="0"/>
        <w:autoSpaceDN w:val="0"/>
        <w:adjustRightInd w:val="0"/>
        <w:spacing w:line="276" w:lineRule="auto"/>
        <w:jc w:val="both"/>
        <w:rPr>
          <w:rFonts w:ascii="Arial" w:hAnsi="Arial" w:cs="Arial"/>
          <w:b/>
          <w:bCs/>
          <w:spacing w:val="-2"/>
          <w:lang w:val="es-ES"/>
        </w:rPr>
      </w:pPr>
      <w:bookmarkStart w:id="1" w:name="_Hlk150948898"/>
    </w:p>
    <w:p w14:paraId="1AFBA97B" w14:textId="396ABC8D" w:rsidR="00B10766" w:rsidRPr="001D29D9" w:rsidRDefault="00B918F3" w:rsidP="00653FDA">
      <w:pPr>
        <w:autoSpaceDE w:val="0"/>
        <w:autoSpaceDN w:val="0"/>
        <w:adjustRightInd w:val="0"/>
        <w:spacing w:line="276" w:lineRule="auto"/>
        <w:jc w:val="both"/>
        <w:rPr>
          <w:rFonts w:ascii="Arial" w:hAnsi="Arial" w:cs="Arial"/>
          <w:spacing w:val="-2"/>
          <w:lang w:val="es-ES"/>
        </w:rPr>
      </w:pPr>
      <w:r w:rsidRPr="001D29D9">
        <w:rPr>
          <w:rFonts w:ascii="Arial" w:hAnsi="Arial" w:cs="Arial"/>
          <w:b/>
          <w:bCs/>
          <w:spacing w:val="-2"/>
          <w:lang w:val="es-ES"/>
        </w:rPr>
        <w:t>2.1.</w:t>
      </w:r>
      <w:r w:rsidRPr="001D29D9">
        <w:rPr>
          <w:rFonts w:ascii="Arial" w:hAnsi="Arial" w:cs="Arial"/>
          <w:spacing w:val="-2"/>
          <w:lang w:val="es-ES"/>
        </w:rPr>
        <w:t xml:space="preserve"> </w:t>
      </w:r>
      <w:r w:rsidR="00B10766" w:rsidRPr="001D29D9">
        <w:rPr>
          <w:rFonts w:ascii="Arial" w:hAnsi="Arial" w:cs="Arial"/>
          <w:spacing w:val="-2"/>
          <w:lang w:val="es-ES"/>
        </w:rPr>
        <w:t>Conforme al artículo 64 del C.G.P.</w:t>
      </w:r>
      <w:r w:rsidR="00EE5801" w:rsidRPr="001D29D9">
        <w:rPr>
          <w:rFonts w:ascii="Arial" w:hAnsi="Arial" w:cs="Arial"/>
          <w:spacing w:val="-2"/>
          <w:lang w:val="es-ES"/>
        </w:rPr>
        <w:t>,</w:t>
      </w:r>
      <w:r w:rsidR="00B10766" w:rsidRPr="001D29D9">
        <w:rPr>
          <w:rFonts w:ascii="Arial" w:hAnsi="Arial" w:cs="Arial"/>
          <w:spacing w:val="-2"/>
          <w:lang w:val="es-ES"/>
        </w:rPr>
        <w:t xml:space="preserve"> aplic</w:t>
      </w:r>
      <w:r w:rsidR="00EE5801" w:rsidRPr="001D29D9">
        <w:rPr>
          <w:rFonts w:ascii="Arial" w:hAnsi="Arial" w:cs="Arial"/>
          <w:spacing w:val="-2"/>
          <w:lang w:val="es-ES"/>
        </w:rPr>
        <w:t>able por reenvío del artículo 145</w:t>
      </w:r>
      <w:r w:rsidR="00B10766" w:rsidRPr="001D29D9">
        <w:rPr>
          <w:rFonts w:ascii="Arial" w:hAnsi="Arial" w:cs="Arial"/>
          <w:spacing w:val="-2"/>
          <w:lang w:val="es-ES"/>
        </w:rPr>
        <w:t xml:space="preserve"> del C.P.L. y de la S.S. al procedimiento laboral</w:t>
      </w:r>
      <w:r w:rsidR="00EE5801" w:rsidRPr="001D29D9">
        <w:rPr>
          <w:rFonts w:ascii="Arial" w:hAnsi="Arial" w:cs="Arial"/>
          <w:spacing w:val="-2"/>
          <w:lang w:val="es-ES"/>
        </w:rPr>
        <w:t>,</w:t>
      </w:r>
      <w:r w:rsidR="00B10766" w:rsidRPr="001D29D9">
        <w:rPr>
          <w:rFonts w:ascii="Arial" w:hAnsi="Arial" w:cs="Arial"/>
          <w:spacing w:val="-2"/>
          <w:lang w:val="es-ES"/>
        </w:rPr>
        <w:t xml:space="preserve"> el llamamiento en garantía</w:t>
      </w:r>
      <w:r w:rsidR="00294474" w:rsidRPr="001D29D9">
        <w:rPr>
          <w:rFonts w:ascii="Arial" w:hAnsi="Arial" w:cs="Arial"/>
          <w:spacing w:val="-2"/>
          <w:lang w:val="es-ES"/>
        </w:rPr>
        <w:t xml:space="preserve"> deviene de la afirmación de una de las partes del proceso de tener un derecho legal o contractual para exigir “de otro” la indemnización del perjuicio que llegare a sufrir o el reembolso total o parcial del pago que tuviere que hacer como consecuencia de la sentencia dictada en el proceso que promueva o se promueva en su contra. </w:t>
      </w:r>
    </w:p>
    <w:p w14:paraId="50392E83" w14:textId="3CBA304E" w:rsidR="00294474" w:rsidRPr="001D29D9" w:rsidRDefault="00294474" w:rsidP="00653FDA">
      <w:pPr>
        <w:autoSpaceDE w:val="0"/>
        <w:autoSpaceDN w:val="0"/>
        <w:adjustRightInd w:val="0"/>
        <w:spacing w:line="276" w:lineRule="auto"/>
        <w:jc w:val="both"/>
        <w:rPr>
          <w:rFonts w:ascii="Arial" w:hAnsi="Arial" w:cs="Arial"/>
          <w:spacing w:val="-2"/>
          <w:lang w:val="es-ES"/>
        </w:rPr>
      </w:pPr>
    </w:p>
    <w:p w14:paraId="4DDBFC92" w14:textId="44E88EC2" w:rsidR="00294474" w:rsidRPr="001D29D9" w:rsidRDefault="00294474" w:rsidP="00653FDA">
      <w:pPr>
        <w:autoSpaceDE w:val="0"/>
        <w:autoSpaceDN w:val="0"/>
        <w:adjustRightInd w:val="0"/>
        <w:spacing w:line="276" w:lineRule="auto"/>
        <w:jc w:val="both"/>
        <w:rPr>
          <w:rFonts w:ascii="Arial" w:hAnsi="Arial" w:cs="Arial"/>
          <w:spacing w:val="-2"/>
          <w:lang w:val="es-ES"/>
        </w:rPr>
      </w:pPr>
      <w:r w:rsidRPr="001D29D9">
        <w:rPr>
          <w:rFonts w:ascii="Arial" w:hAnsi="Arial" w:cs="Arial"/>
          <w:spacing w:val="-2"/>
          <w:lang w:val="es-ES"/>
        </w:rPr>
        <w:t>Artículo del que se desprende que tanto el demandante como el demandado pueden llamar en garantía a otro, del que consideren tienen un derecho para exigirle el pago de los perjuicios o condenas que sufriere en el marco de un proceso judicial.</w:t>
      </w:r>
    </w:p>
    <w:p w14:paraId="28B99367" w14:textId="7258919C" w:rsidR="00294474" w:rsidRPr="001D29D9" w:rsidRDefault="00294474" w:rsidP="00653FDA">
      <w:pPr>
        <w:autoSpaceDE w:val="0"/>
        <w:autoSpaceDN w:val="0"/>
        <w:adjustRightInd w:val="0"/>
        <w:spacing w:line="276" w:lineRule="auto"/>
        <w:jc w:val="both"/>
        <w:rPr>
          <w:rFonts w:ascii="Arial" w:hAnsi="Arial" w:cs="Arial"/>
          <w:spacing w:val="-2"/>
          <w:lang w:val="es-ES"/>
        </w:rPr>
      </w:pPr>
    </w:p>
    <w:p w14:paraId="59D4F0E9" w14:textId="7DD4DBEC" w:rsidR="00294474" w:rsidRPr="001D29D9" w:rsidRDefault="00294474" w:rsidP="00653FDA">
      <w:pPr>
        <w:autoSpaceDE w:val="0"/>
        <w:autoSpaceDN w:val="0"/>
        <w:adjustRightInd w:val="0"/>
        <w:spacing w:line="276" w:lineRule="auto"/>
        <w:jc w:val="both"/>
        <w:rPr>
          <w:rFonts w:ascii="Arial" w:hAnsi="Arial" w:cs="Arial"/>
          <w:spacing w:val="-2"/>
        </w:rPr>
      </w:pPr>
      <w:r w:rsidRPr="001D29D9">
        <w:rPr>
          <w:rFonts w:ascii="Arial" w:hAnsi="Arial" w:cs="Arial"/>
          <w:spacing w:val="-2"/>
          <w:lang w:val="es-ES"/>
        </w:rPr>
        <w:t>En cuanto a la expresión “</w:t>
      </w:r>
      <w:r w:rsidRPr="001D29D9">
        <w:rPr>
          <w:rFonts w:ascii="Arial" w:hAnsi="Arial" w:cs="Arial"/>
          <w:i/>
          <w:iCs/>
          <w:spacing w:val="-2"/>
          <w:lang w:val="es-ES"/>
        </w:rPr>
        <w:t>de otro”</w:t>
      </w:r>
      <w:r w:rsidRPr="001D29D9">
        <w:rPr>
          <w:rFonts w:ascii="Arial" w:hAnsi="Arial" w:cs="Arial"/>
          <w:spacing w:val="-2"/>
          <w:lang w:val="es-ES"/>
        </w:rPr>
        <w:t xml:space="preserve"> al tenor de la jurisprudencia citada por la juzgadora (</w:t>
      </w:r>
      <w:r w:rsidRPr="001D29D9">
        <w:rPr>
          <w:rFonts w:ascii="Arial" w:hAnsi="Arial" w:cs="Arial"/>
          <w:spacing w:val="-2"/>
        </w:rPr>
        <w:t xml:space="preserve">AC2900-2017) era concebible que bajo el marco del extinto C.P.C. el llamamiento en garantía solo concerniera a tercero, pues incluso su ubicación dentro de la normativa ubicaba el llamamiento en garantía en el </w:t>
      </w:r>
      <w:r w:rsidR="2B5127D3" w:rsidRPr="001D29D9">
        <w:rPr>
          <w:rFonts w:ascii="Arial" w:hAnsi="Arial" w:cs="Arial"/>
          <w:spacing w:val="-2"/>
        </w:rPr>
        <w:t>capítulo</w:t>
      </w:r>
      <w:r w:rsidRPr="001D29D9">
        <w:rPr>
          <w:rFonts w:ascii="Arial" w:hAnsi="Arial" w:cs="Arial"/>
          <w:spacing w:val="-2"/>
        </w:rPr>
        <w:t xml:space="preserve"> iii, del título vi, del libro i, esto es – intervención de terceros y sucesión procesal</w:t>
      </w:r>
      <w:r w:rsidR="00633F36" w:rsidRPr="001D29D9">
        <w:rPr>
          <w:rFonts w:ascii="Arial" w:hAnsi="Arial" w:cs="Arial"/>
          <w:spacing w:val="-2"/>
        </w:rPr>
        <w:t>–</w:t>
      </w:r>
      <w:r w:rsidRPr="001D29D9">
        <w:rPr>
          <w:rFonts w:ascii="Arial" w:hAnsi="Arial" w:cs="Arial"/>
          <w:spacing w:val="-2"/>
        </w:rPr>
        <w:t xml:space="preserve">. En ese sentido, la citada jurisprudencia señalaba que el llamamiento en garantía correspondía a la intervención forzosa de un </w:t>
      </w:r>
      <w:r w:rsidRPr="001D29D9">
        <w:rPr>
          <w:rFonts w:ascii="Arial" w:hAnsi="Arial" w:cs="Arial"/>
          <w:spacing w:val="-2"/>
        </w:rPr>
        <w:lastRenderedPageBreak/>
        <w:t>tercero, es decir, un sujeto de derecho diferente a la parte – art. 53 del C.G.P. -, esto es, diferente de quien reclama un derecho y de quien se reclama el mismo.</w:t>
      </w:r>
    </w:p>
    <w:p w14:paraId="4830F687" w14:textId="196E73EF" w:rsidR="00294474" w:rsidRPr="001D29D9" w:rsidRDefault="00294474" w:rsidP="00653FDA">
      <w:pPr>
        <w:autoSpaceDE w:val="0"/>
        <w:autoSpaceDN w:val="0"/>
        <w:adjustRightInd w:val="0"/>
        <w:spacing w:line="276" w:lineRule="auto"/>
        <w:jc w:val="both"/>
        <w:rPr>
          <w:rFonts w:ascii="Arial" w:hAnsi="Arial" w:cs="Arial"/>
          <w:spacing w:val="-2"/>
        </w:rPr>
      </w:pPr>
    </w:p>
    <w:p w14:paraId="3D6257F7" w14:textId="061ACDC4" w:rsidR="00294474" w:rsidRPr="001D29D9" w:rsidRDefault="00294474" w:rsidP="00653FDA">
      <w:pPr>
        <w:autoSpaceDE w:val="0"/>
        <w:autoSpaceDN w:val="0"/>
        <w:adjustRightInd w:val="0"/>
        <w:spacing w:line="276" w:lineRule="auto"/>
        <w:jc w:val="both"/>
        <w:rPr>
          <w:rFonts w:ascii="Arial" w:hAnsi="Arial" w:cs="Arial"/>
          <w:spacing w:val="-2"/>
        </w:rPr>
      </w:pPr>
      <w:r w:rsidRPr="001D29D9">
        <w:rPr>
          <w:rFonts w:ascii="Arial" w:hAnsi="Arial" w:cs="Arial"/>
          <w:spacing w:val="-2"/>
        </w:rPr>
        <w:t xml:space="preserve">Tercero que puede ser llamado en la medida que tiene una obligación ya sea por disposición legal o contractual para que, en caso de que el </w:t>
      </w:r>
      <w:proofErr w:type="spellStart"/>
      <w:r w:rsidRPr="001D29D9">
        <w:rPr>
          <w:rFonts w:ascii="Arial" w:hAnsi="Arial" w:cs="Arial"/>
          <w:spacing w:val="-2"/>
        </w:rPr>
        <w:t>citante</w:t>
      </w:r>
      <w:proofErr w:type="spellEnd"/>
      <w:r w:rsidRPr="001D29D9">
        <w:rPr>
          <w:rFonts w:ascii="Arial" w:hAnsi="Arial" w:cs="Arial"/>
          <w:spacing w:val="-2"/>
        </w:rPr>
        <w:t xml:space="preserve"> sufra un perjuicio o sea condenado al pago de un emolumento, dichas consecuencias pecuniarias se transfirieran al citado. </w:t>
      </w:r>
    </w:p>
    <w:p w14:paraId="4D547E6B" w14:textId="3D829AC6" w:rsidR="00294474" w:rsidRPr="001D29D9" w:rsidRDefault="00294474" w:rsidP="00653FDA">
      <w:pPr>
        <w:autoSpaceDE w:val="0"/>
        <w:autoSpaceDN w:val="0"/>
        <w:adjustRightInd w:val="0"/>
        <w:spacing w:line="276" w:lineRule="auto"/>
        <w:jc w:val="both"/>
        <w:rPr>
          <w:rFonts w:ascii="Arial" w:hAnsi="Arial" w:cs="Arial"/>
          <w:spacing w:val="-2"/>
        </w:rPr>
      </w:pPr>
    </w:p>
    <w:p w14:paraId="567877D8" w14:textId="2C95F438" w:rsidR="00294474" w:rsidRPr="001D29D9" w:rsidRDefault="00A016EC" w:rsidP="00653FDA">
      <w:pPr>
        <w:autoSpaceDE w:val="0"/>
        <w:autoSpaceDN w:val="0"/>
        <w:adjustRightInd w:val="0"/>
        <w:spacing w:line="276" w:lineRule="auto"/>
        <w:jc w:val="both"/>
        <w:rPr>
          <w:rFonts w:ascii="Arial" w:hAnsi="Arial" w:cs="Arial"/>
          <w:spacing w:val="-2"/>
        </w:rPr>
      </w:pPr>
      <w:r w:rsidRPr="001D29D9">
        <w:rPr>
          <w:rFonts w:ascii="Arial" w:hAnsi="Arial" w:cs="Arial"/>
          <w:spacing w:val="-2"/>
        </w:rPr>
        <w:t>C</w:t>
      </w:r>
      <w:r w:rsidR="00294474" w:rsidRPr="001D29D9">
        <w:rPr>
          <w:rFonts w:ascii="Arial" w:hAnsi="Arial" w:cs="Arial"/>
          <w:spacing w:val="-2"/>
        </w:rPr>
        <w:t>on posterioridad la Corte Suprema de Justicia en su Sala Civil (SC1304-2018</w:t>
      </w:r>
      <w:r w:rsidRPr="001D29D9">
        <w:rPr>
          <w:rFonts w:ascii="Arial" w:hAnsi="Arial" w:cs="Arial"/>
          <w:spacing w:val="-2"/>
        </w:rPr>
        <w:t xml:space="preserve"> – decisión citada por el apelante</w:t>
      </w:r>
      <w:r w:rsidR="00294474" w:rsidRPr="001D29D9">
        <w:rPr>
          <w:rFonts w:ascii="Arial" w:hAnsi="Arial" w:cs="Arial"/>
          <w:spacing w:val="-2"/>
        </w:rPr>
        <w:t>) al analizar la misma institución jurídica concluyó que</w:t>
      </w:r>
      <w:r w:rsidRPr="001D29D9">
        <w:rPr>
          <w:rFonts w:ascii="Arial" w:hAnsi="Arial" w:cs="Arial"/>
          <w:spacing w:val="-2"/>
        </w:rPr>
        <w:t xml:space="preserve"> bajo el imperio del C.P.C. el llamamiento corresponde a una relación de garantía para “</w:t>
      </w:r>
      <w:r w:rsidRPr="001D29D9">
        <w:rPr>
          <w:rFonts w:ascii="Arial" w:hAnsi="Arial" w:cs="Arial"/>
          <w:i/>
          <w:iCs/>
          <w:spacing w:val="-2"/>
          <w:sz w:val="22"/>
        </w:rPr>
        <w:t>convocar a un tercero que le proteja y que pague por él o le reembolse lo que erogó por razón de la condena</w:t>
      </w:r>
      <w:r w:rsidRPr="001D29D9">
        <w:rPr>
          <w:rFonts w:ascii="Arial" w:hAnsi="Arial" w:cs="Arial"/>
          <w:i/>
          <w:iCs/>
          <w:spacing w:val="-2"/>
        </w:rPr>
        <w:t>”</w:t>
      </w:r>
      <w:r w:rsidRPr="001D29D9">
        <w:rPr>
          <w:rFonts w:ascii="Arial" w:hAnsi="Arial" w:cs="Arial"/>
          <w:spacing w:val="-2"/>
        </w:rPr>
        <w:t>, sin que en aparte alguno dicha decisión concluyera que el llamamiento en garantía permite al demandado llamar en garantía al demandante.</w:t>
      </w:r>
    </w:p>
    <w:p w14:paraId="0FC6D3BA" w14:textId="59B52FB4" w:rsidR="00A016EC" w:rsidRPr="001D29D9" w:rsidRDefault="00A016EC" w:rsidP="00653FDA">
      <w:pPr>
        <w:autoSpaceDE w:val="0"/>
        <w:autoSpaceDN w:val="0"/>
        <w:adjustRightInd w:val="0"/>
        <w:spacing w:line="276" w:lineRule="auto"/>
        <w:jc w:val="both"/>
        <w:rPr>
          <w:rFonts w:ascii="Arial" w:hAnsi="Arial" w:cs="Arial"/>
          <w:spacing w:val="-2"/>
        </w:rPr>
      </w:pPr>
    </w:p>
    <w:p w14:paraId="16F401E2" w14:textId="1D015F00" w:rsidR="00A016EC" w:rsidRPr="001D29D9" w:rsidRDefault="00A016EC" w:rsidP="00653FDA">
      <w:pPr>
        <w:autoSpaceDE w:val="0"/>
        <w:autoSpaceDN w:val="0"/>
        <w:adjustRightInd w:val="0"/>
        <w:spacing w:line="276" w:lineRule="auto"/>
        <w:jc w:val="both"/>
        <w:rPr>
          <w:rFonts w:ascii="Arial" w:hAnsi="Arial" w:cs="Arial"/>
          <w:i/>
          <w:iCs/>
          <w:spacing w:val="-2"/>
        </w:rPr>
      </w:pPr>
      <w:r w:rsidRPr="001D29D9">
        <w:rPr>
          <w:rFonts w:ascii="Arial" w:hAnsi="Arial" w:cs="Arial"/>
          <w:spacing w:val="-2"/>
        </w:rPr>
        <w:t>No obstante, al tenor de la nueva codificación – Código General del Proceso – y concretamente frente al trámite del llamamiento en garantía, el parágrafo del artículo 66 del C.G.P. establece, en cuanto a la notificación del llamado, que debe notificarse personalmente, a menos que el llamado “</w:t>
      </w:r>
      <w:r w:rsidRPr="001D29D9">
        <w:rPr>
          <w:rFonts w:ascii="Arial" w:hAnsi="Arial" w:cs="Arial"/>
          <w:i/>
          <w:iCs/>
          <w:spacing w:val="-2"/>
          <w:sz w:val="22"/>
        </w:rPr>
        <w:t>actué en el proceso como parte</w:t>
      </w:r>
      <w:r w:rsidRPr="001D29D9">
        <w:rPr>
          <w:rFonts w:ascii="Arial" w:hAnsi="Arial" w:cs="Arial"/>
          <w:i/>
          <w:iCs/>
          <w:spacing w:val="-2"/>
        </w:rPr>
        <w:t>”.</w:t>
      </w:r>
    </w:p>
    <w:p w14:paraId="58A653EC" w14:textId="7FEE652A" w:rsidR="00A016EC" w:rsidRPr="001D29D9" w:rsidRDefault="00A016EC" w:rsidP="00653FDA">
      <w:pPr>
        <w:autoSpaceDE w:val="0"/>
        <w:autoSpaceDN w:val="0"/>
        <w:adjustRightInd w:val="0"/>
        <w:spacing w:line="276" w:lineRule="auto"/>
        <w:jc w:val="both"/>
        <w:rPr>
          <w:rFonts w:ascii="Arial" w:hAnsi="Arial" w:cs="Arial"/>
          <w:spacing w:val="-2"/>
        </w:rPr>
      </w:pPr>
    </w:p>
    <w:p w14:paraId="77ABF3B1" w14:textId="65882D01" w:rsidR="00A016EC" w:rsidRPr="001D29D9" w:rsidRDefault="00A016EC" w:rsidP="00653FDA">
      <w:pPr>
        <w:autoSpaceDE w:val="0"/>
        <w:autoSpaceDN w:val="0"/>
        <w:adjustRightInd w:val="0"/>
        <w:spacing w:line="276" w:lineRule="auto"/>
        <w:jc w:val="both"/>
        <w:rPr>
          <w:rFonts w:ascii="Arial" w:hAnsi="Arial" w:cs="Arial"/>
          <w:spacing w:val="-2"/>
        </w:rPr>
      </w:pPr>
      <w:r w:rsidRPr="001D29D9">
        <w:rPr>
          <w:rFonts w:ascii="Arial" w:hAnsi="Arial" w:cs="Arial"/>
          <w:spacing w:val="-2"/>
        </w:rPr>
        <w:t xml:space="preserve">Expresión contenida en el artículo que en principio daría la razón al demandado para llamar en garantía al demandante, pues al tenor del citado parágrafo </w:t>
      </w:r>
      <w:r w:rsidR="00833918" w:rsidRPr="001D29D9">
        <w:rPr>
          <w:rFonts w:ascii="Arial" w:hAnsi="Arial" w:cs="Arial"/>
          <w:spacing w:val="-2"/>
        </w:rPr>
        <w:t xml:space="preserve">el C.G.P. sí contempla la posibilidad de que las partes mismas sean llamadas a comparecer </w:t>
      </w:r>
      <w:r w:rsidRPr="001D29D9">
        <w:rPr>
          <w:rFonts w:ascii="Arial" w:hAnsi="Arial" w:cs="Arial"/>
          <w:spacing w:val="-2"/>
        </w:rPr>
        <w:t>bajo la citada garantía.</w:t>
      </w:r>
    </w:p>
    <w:p w14:paraId="3C299BFE" w14:textId="23522748" w:rsidR="00A016EC" w:rsidRPr="001D29D9" w:rsidRDefault="00A016EC" w:rsidP="00653FDA">
      <w:pPr>
        <w:autoSpaceDE w:val="0"/>
        <w:autoSpaceDN w:val="0"/>
        <w:adjustRightInd w:val="0"/>
        <w:spacing w:line="276" w:lineRule="auto"/>
        <w:jc w:val="both"/>
        <w:rPr>
          <w:rFonts w:ascii="Arial" w:hAnsi="Arial" w:cs="Arial"/>
          <w:spacing w:val="-2"/>
        </w:rPr>
      </w:pPr>
    </w:p>
    <w:p w14:paraId="21B9BDFD" w14:textId="5713A63A" w:rsidR="00A016EC" w:rsidRPr="001D29D9" w:rsidRDefault="00A016EC" w:rsidP="00653FDA">
      <w:pPr>
        <w:autoSpaceDE w:val="0"/>
        <w:autoSpaceDN w:val="0"/>
        <w:adjustRightInd w:val="0"/>
        <w:spacing w:line="276" w:lineRule="auto"/>
        <w:jc w:val="both"/>
        <w:rPr>
          <w:rFonts w:ascii="Arial" w:hAnsi="Arial" w:cs="Arial"/>
          <w:spacing w:val="-2"/>
        </w:rPr>
      </w:pPr>
      <w:r w:rsidRPr="001D29D9">
        <w:rPr>
          <w:rFonts w:ascii="Arial" w:hAnsi="Arial" w:cs="Arial"/>
          <w:spacing w:val="-2"/>
        </w:rPr>
        <w:t>Sin embargo, tal interpretación literal</w:t>
      </w:r>
      <w:r w:rsidR="00833918" w:rsidRPr="001D29D9">
        <w:rPr>
          <w:rFonts w:ascii="Arial" w:hAnsi="Arial" w:cs="Arial"/>
          <w:spacing w:val="-2"/>
        </w:rPr>
        <w:t xml:space="preserve"> resulta desacertada en la medida que, las relaciones que se traban entre demandante y demandado vienen precedidas por la acción principal, esto es, el libelo genitor y su contestación y solo en la medida que el sujeto pasivo de la contienda considere tener pretensiones contra el sujeto activo, es que procederá la demanda de reconvención. Forma clásica de acumulación de acciones.</w:t>
      </w:r>
    </w:p>
    <w:p w14:paraId="27DCF516" w14:textId="62B303B0" w:rsidR="00833918" w:rsidRPr="001D29D9" w:rsidRDefault="00833918" w:rsidP="00653FDA">
      <w:pPr>
        <w:autoSpaceDE w:val="0"/>
        <w:autoSpaceDN w:val="0"/>
        <w:adjustRightInd w:val="0"/>
        <w:spacing w:line="276" w:lineRule="auto"/>
        <w:jc w:val="both"/>
        <w:rPr>
          <w:rFonts w:ascii="Arial" w:hAnsi="Arial" w:cs="Arial"/>
          <w:spacing w:val="-2"/>
        </w:rPr>
      </w:pPr>
    </w:p>
    <w:p w14:paraId="08A167B5" w14:textId="0048D0FE" w:rsidR="00833918" w:rsidRPr="001D29D9" w:rsidRDefault="00833918" w:rsidP="00653FDA">
      <w:pPr>
        <w:autoSpaceDE w:val="0"/>
        <w:autoSpaceDN w:val="0"/>
        <w:adjustRightInd w:val="0"/>
        <w:spacing w:line="276" w:lineRule="auto"/>
        <w:jc w:val="both"/>
        <w:rPr>
          <w:rFonts w:ascii="Arial" w:hAnsi="Arial" w:cs="Arial"/>
          <w:spacing w:val="-2"/>
        </w:rPr>
      </w:pPr>
      <w:r w:rsidRPr="001D29D9">
        <w:rPr>
          <w:rFonts w:ascii="Arial" w:hAnsi="Arial" w:cs="Arial"/>
          <w:spacing w:val="-2"/>
        </w:rPr>
        <w:t>Sin que sea posible incluir la presencia de pretensiones del demandado frente al demandante a través del llamamiento en garantía, aun cuando ambos sean partes en el proceso, pues esta institución procesal tiene como finalidad llamar a “otro” que ostenta una posición de garantía legal o contractual frente al llamante, y que tal como anota el apelante sí puede ser “</w:t>
      </w:r>
      <w:r w:rsidRPr="001D29D9">
        <w:rPr>
          <w:rFonts w:ascii="Arial" w:hAnsi="Arial" w:cs="Arial"/>
          <w:i/>
          <w:iCs/>
          <w:spacing w:val="-2"/>
        </w:rPr>
        <w:t>parte”</w:t>
      </w:r>
      <w:r w:rsidRPr="001D29D9">
        <w:rPr>
          <w:rFonts w:ascii="Arial" w:hAnsi="Arial" w:cs="Arial"/>
          <w:spacing w:val="-2"/>
        </w:rPr>
        <w:t xml:space="preserve"> dentro del proceso, pero no corresponde a su antagonista, sino a otra parte dentro del mismo nivel de sujeción, esto es, a otro demandado, más no su opuesto demandante. </w:t>
      </w:r>
    </w:p>
    <w:p w14:paraId="048647D7" w14:textId="2E7EB2FD" w:rsidR="00833918" w:rsidRPr="001D29D9" w:rsidRDefault="00833918" w:rsidP="00653FDA">
      <w:pPr>
        <w:autoSpaceDE w:val="0"/>
        <w:autoSpaceDN w:val="0"/>
        <w:adjustRightInd w:val="0"/>
        <w:spacing w:line="276" w:lineRule="auto"/>
        <w:jc w:val="both"/>
        <w:rPr>
          <w:rFonts w:ascii="Arial" w:hAnsi="Arial" w:cs="Arial"/>
          <w:spacing w:val="-2"/>
        </w:rPr>
      </w:pPr>
    </w:p>
    <w:p w14:paraId="50C0A29B" w14:textId="2B4D66A6" w:rsidR="00A016EC" w:rsidRPr="001D29D9" w:rsidRDefault="00833918" w:rsidP="00653FDA">
      <w:pPr>
        <w:autoSpaceDE w:val="0"/>
        <w:autoSpaceDN w:val="0"/>
        <w:adjustRightInd w:val="0"/>
        <w:spacing w:line="276" w:lineRule="auto"/>
        <w:jc w:val="both"/>
        <w:rPr>
          <w:rFonts w:ascii="Arial" w:hAnsi="Arial" w:cs="Arial"/>
          <w:spacing w:val="-2"/>
        </w:rPr>
      </w:pPr>
      <w:r w:rsidRPr="001D29D9">
        <w:rPr>
          <w:rFonts w:ascii="Arial" w:hAnsi="Arial" w:cs="Arial"/>
          <w:spacing w:val="-2"/>
        </w:rPr>
        <w:t>En efecto, la misma decisión traí</w:t>
      </w:r>
      <w:r w:rsidR="0F74192E" w:rsidRPr="001D29D9">
        <w:rPr>
          <w:rFonts w:ascii="Arial" w:hAnsi="Arial" w:cs="Arial"/>
          <w:spacing w:val="-2"/>
        </w:rPr>
        <w:t>d</w:t>
      </w:r>
      <w:r w:rsidRPr="001D29D9">
        <w:rPr>
          <w:rFonts w:ascii="Arial" w:hAnsi="Arial" w:cs="Arial"/>
          <w:spacing w:val="-2"/>
        </w:rPr>
        <w:t>a a colación por el apelante aclara dicha relación para explicar que</w:t>
      </w:r>
      <w:r w:rsidR="00A016EC" w:rsidRPr="001D29D9">
        <w:rPr>
          <w:rFonts w:ascii="Arial" w:hAnsi="Arial" w:cs="Arial"/>
          <w:spacing w:val="-2"/>
        </w:rPr>
        <w:t xml:space="preserve"> bajo la nueva codificación</w:t>
      </w:r>
      <w:r w:rsidRPr="001D29D9">
        <w:rPr>
          <w:rFonts w:ascii="Arial" w:hAnsi="Arial" w:cs="Arial"/>
          <w:spacing w:val="-2"/>
        </w:rPr>
        <w:t xml:space="preserve"> -Código General del Proceso-</w:t>
      </w:r>
      <w:r w:rsidR="00A016EC" w:rsidRPr="001D29D9">
        <w:rPr>
          <w:rFonts w:ascii="Arial" w:hAnsi="Arial" w:cs="Arial"/>
          <w:spacing w:val="-2"/>
        </w:rPr>
        <w:t xml:space="preserve"> existe “</w:t>
      </w:r>
      <w:r w:rsidR="00A016EC" w:rsidRPr="001D29D9">
        <w:rPr>
          <w:rFonts w:ascii="Arial" w:hAnsi="Arial" w:cs="Arial"/>
          <w:i/>
          <w:iCs/>
          <w:spacing w:val="-2"/>
          <w:sz w:val="22"/>
        </w:rPr>
        <w:t>la posibilidad de que un demandado llame en garantía a otro demandado, figura denominada demanda de coparte</w:t>
      </w:r>
      <w:r w:rsidR="00A016EC" w:rsidRPr="001D29D9">
        <w:rPr>
          <w:rFonts w:ascii="Arial" w:hAnsi="Arial" w:cs="Arial"/>
          <w:i/>
          <w:iCs/>
          <w:spacing w:val="-2"/>
        </w:rPr>
        <w:t>”.</w:t>
      </w:r>
      <w:r w:rsidR="00A016EC" w:rsidRPr="001D29D9">
        <w:rPr>
          <w:rFonts w:ascii="Arial" w:hAnsi="Arial" w:cs="Arial"/>
          <w:spacing w:val="-2"/>
        </w:rPr>
        <w:t xml:space="preserve"> </w:t>
      </w:r>
    </w:p>
    <w:p w14:paraId="4AD1DB33" w14:textId="6FD30F9D" w:rsidR="00833918" w:rsidRPr="001D29D9" w:rsidRDefault="00833918" w:rsidP="00653FDA">
      <w:pPr>
        <w:autoSpaceDE w:val="0"/>
        <w:autoSpaceDN w:val="0"/>
        <w:adjustRightInd w:val="0"/>
        <w:spacing w:line="276" w:lineRule="auto"/>
        <w:jc w:val="both"/>
        <w:rPr>
          <w:rFonts w:ascii="Arial" w:hAnsi="Arial" w:cs="Arial"/>
          <w:spacing w:val="-2"/>
        </w:rPr>
      </w:pPr>
    </w:p>
    <w:p w14:paraId="0F0ADCF2" w14:textId="092736A0" w:rsidR="00833918" w:rsidRPr="001D29D9" w:rsidRDefault="00833918" w:rsidP="00653FDA">
      <w:pPr>
        <w:autoSpaceDE w:val="0"/>
        <w:autoSpaceDN w:val="0"/>
        <w:adjustRightInd w:val="0"/>
        <w:spacing w:line="276" w:lineRule="auto"/>
        <w:jc w:val="both"/>
        <w:rPr>
          <w:rFonts w:ascii="Arial" w:hAnsi="Arial" w:cs="Arial"/>
          <w:spacing w:val="-2"/>
        </w:rPr>
      </w:pPr>
      <w:r w:rsidRPr="001D29D9">
        <w:rPr>
          <w:rFonts w:ascii="Arial" w:hAnsi="Arial" w:cs="Arial"/>
          <w:spacing w:val="-2"/>
        </w:rPr>
        <w:t xml:space="preserve">Así, el llamamiento en garantía a otra parte del proceso, figura permitida a través del C.G.P. corresponde a la citación de una coparte, es decir, cita a un codemandado, más no de su contraparte, como ocurre en los eventos de </w:t>
      </w:r>
      <w:r w:rsidR="009C293E" w:rsidRPr="001D29D9">
        <w:rPr>
          <w:rFonts w:ascii="Arial" w:hAnsi="Arial" w:cs="Arial"/>
          <w:spacing w:val="-2"/>
        </w:rPr>
        <w:t xml:space="preserve">deudores solidarios que ocupan la misma relación de sujeción – codemandados </w:t>
      </w:r>
      <w:r w:rsidR="00C50C2F" w:rsidRPr="001D29D9">
        <w:rPr>
          <w:rFonts w:ascii="Arial" w:hAnsi="Arial" w:cs="Arial"/>
          <w:spacing w:val="-2"/>
        </w:rPr>
        <w:t>–</w:t>
      </w:r>
      <w:r w:rsidR="009C293E" w:rsidRPr="001D29D9">
        <w:rPr>
          <w:rFonts w:ascii="Arial" w:hAnsi="Arial" w:cs="Arial"/>
          <w:spacing w:val="-2"/>
        </w:rPr>
        <w:t xml:space="preserve">; </w:t>
      </w:r>
      <w:r w:rsidRPr="001D29D9">
        <w:rPr>
          <w:rFonts w:ascii="Arial" w:hAnsi="Arial" w:cs="Arial"/>
          <w:spacing w:val="-2"/>
        </w:rPr>
        <w:t>relaciones entre comuneros – art. 2325 del C.C.</w:t>
      </w:r>
      <w:r w:rsidR="009C293E" w:rsidRPr="001D29D9">
        <w:rPr>
          <w:rFonts w:ascii="Arial" w:hAnsi="Arial" w:cs="Arial"/>
          <w:spacing w:val="-2"/>
        </w:rPr>
        <w:t xml:space="preserve">; obligaciones emanadas del contrato de transporte – art. 986 del. </w:t>
      </w:r>
      <w:proofErr w:type="spellStart"/>
      <w:r w:rsidR="009C293E" w:rsidRPr="001D29D9">
        <w:rPr>
          <w:rFonts w:ascii="Arial" w:hAnsi="Arial" w:cs="Arial"/>
          <w:spacing w:val="-2"/>
        </w:rPr>
        <w:t>C.Co</w:t>
      </w:r>
      <w:proofErr w:type="spellEnd"/>
      <w:r w:rsidR="009C293E" w:rsidRPr="001D29D9">
        <w:rPr>
          <w:rFonts w:ascii="Arial" w:hAnsi="Arial" w:cs="Arial"/>
          <w:spacing w:val="-2"/>
        </w:rPr>
        <w:t>.-.</w:t>
      </w:r>
    </w:p>
    <w:p w14:paraId="580DA468" w14:textId="1E6904F9" w:rsidR="00833918" w:rsidRPr="001D29D9" w:rsidRDefault="00833918" w:rsidP="00653FDA">
      <w:pPr>
        <w:autoSpaceDE w:val="0"/>
        <w:autoSpaceDN w:val="0"/>
        <w:adjustRightInd w:val="0"/>
        <w:spacing w:line="276" w:lineRule="auto"/>
        <w:jc w:val="both"/>
        <w:rPr>
          <w:rFonts w:ascii="Arial" w:hAnsi="Arial" w:cs="Arial"/>
          <w:spacing w:val="-2"/>
        </w:rPr>
      </w:pPr>
    </w:p>
    <w:p w14:paraId="3DF07A1B" w14:textId="22259B7E" w:rsidR="00833918" w:rsidRPr="001D29D9" w:rsidRDefault="00833918" w:rsidP="00653FDA">
      <w:pPr>
        <w:autoSpaceDE w:val="0"/>
        <w:autoSpaceDN w:val="0"/>
        <w:adjustRightInd w:val="0"/>
        <w:spacing w:line="276" w:lineRule="auto"/>
        <w:jc w:val="both"/>
        <w:rPr>
          <w:rFonts w:ascii="Arial" w:hAnsi="Arial" w:cs="Arial"/>
          <w:spacing w:val="-2"/>
        </w:rPr>
      </w:pPr>
      <w:r w:rsidRPr="001D29D9">
        <w:rPr>
          <w:rFonts w:ascii="Arial" w:hAnsi="Arial" w:cs="Arial"/>
          <w:spacing w:val="-2"/>
        </w:rPr>
        <w:t xml:space="preserve">En este sentido, la doctrina ha explicado con bastante amplitud la demanda de la coparte para incluirla dentro del llamamiento en garantía con el propósito de satisfacer la normativa contenida en el parágrafo del artículo 66 del C.G.P. </w:t>
      </w:r>
    </w:p>
    <w:p w14:paraId="17CB05E5" w14:textId="62ADE2DA" w:rsidR="00833918" w:rsidRPr="001D29D9" w:rsidRDefault="00833918" w:rsidP="00653FDA">
      <w:pPr>
        <w:autoSpaceDE w:val="0"/>
        <w:autoSpaceDN w:val="0"/>
        <w:adjustRightInd w:val="0"/>
        <w:spacing w:line="276" w:lineRule="auto"/>
        <w:jc w:val="both"/>
        <w:rPr>
          <w:rFonts w:ascii="Arial" w:hAnsi="Arial" w:cs="Arial"/>
          <w:spacing w:val="-2"/>
        </w:rPr>
      </w:pPr>
    </w:p>
    <w:p w14:paraId="43E4BC08" w14:textId="2517ABC3" w:rsidR="00833918" w:rsidRPr="001D29D9" w:rsidRDefault="00833918" w:rsidP="00653FDA">
      <w:pPr>
        <w:autoSpaceDE w:val="0"/>
        <w:autoSpaceDN w:val="0"/>
        <w:adjustRightInd w:val="0"/>
        <w:spacing w:line="276" w:lineRule="auto"/>
        <w:jc w:val="both"/>
        <w:rPr>
          <w:rFonts w:ascii="Arial" w:hAnsi="Arial" w:cs="Arial"/>
          <w:spacing w:val="-2"/>
        </w:rPr>
      </w:pPr>
      <w:r w:rsidRPr="001D29D9">
        <w:rPr>
          <w:rFonts w:ascii="Arial" w:hAnsi="Arial" w:cs="Arial"/>
          <w:spacing w:val="-2"/>
        </w:rPr>
        <w:t xml:space="preserve">Así, </w:t>
      </w:r>
      <w:r w:rsidRPr="001D29D9">
        <w:rPr>
          <w:rFonts w:ascii="Arial" w:hAnsi="Arial" w:cs="Arial"/>
          <w:b/>
          <w:bCs/>
          <w:spacing w:val="-2"/>
        </w:rPr>
        <w:t>Hernán Fabio López Blanco</w:t>
      </w:r>
      <w:r w:rsidRPr="001D29D9">
        <w:rPr>
          <w:rFonts w:ascii="Arial" w:hAnsi="Arial" w:cs="Arial"/>
          <w:spacing w:val="-2"/>
        </w:rPr>
        <w:t xml:space="preserve"> explicó:</w:t>
      </w:r>
    </w:p>
    <w:p w14:paraId="18252C70" w14:textId="65267AEF" w:rsidR="00833918" w:rsidRPr="001D29D9" w:rsidRDefault="00833918" w:rsidP="00653FDA">
      <w:pPr>
        <w:autoSpaceDE w:val="0"/>
        <w:autoSpaceDN w:val="0"/>
        <w:adjustRightInd w:val="0"/>
        <w:spacing w:line="276" w:lineRule="auto"/>
        <w:jc w:val="both"/>
        <w:rPr>
          <w:rFonts w:ascii="Arial" w:hAnsi="Arial" w:cs="Arial"/>
          <w:spacing w:val="-2"/>
        </w:rPr>
      </w:pPr>
    </w:p>
    <w:p w14:paraId="10471026" w14:textId="5FAEA4A8" w:rsidR="00833918" w:rsidRPr="001D29D9" w:rsidRDefault="00833918" w:rsidP="00102697">
      <w:pPr>
        <w:autoSpaceDE w:val="0"/>
        <w:autoSpaceDN w:val="0"/>
        <w:adjustRightInd w:val="0"/>
        <w:ind w:left="426" w:right="420"/>
        <w:jc w:val="both"/>
        <w:rPr>
          <w:rFonts w:ascii="Arial" w:hAnsi="Arial" w:cs="Arial"/>
          <w:i/>
          <w:iCs/>
          <w:spacing w:val="-2"/>
          <w:sz w:val="22"/>
        </w:rPr>
      </w:pPr>
      <w:r w:rsidRPr="001D29D9">
        <w:rPr>
          <w:rFonts w:ascii="Arial" w:hAnsi="Arial" w:cs="Arial"/>
          <w:i/>
          <w:iCs/>
          <w:spacing w:val="-2"/>
          <w:sz w:val="22"/>
        </w:rPr>
        <w:t xml:space="preserve">“(…) la demanda a la coparte, que es una de las varias modalidades del llamamiento en garantía, porque busca que cuando existe </w:t>
      </w:r>
      <w:proofErr w:type="spellStart"/>
      <w:r w:rsidRPr="001D29D9">
        <w:rPr>
          <w:rFonts w:ascii="Arial" w:hAnsi="Arial" w:cs="Arial"/>
          <w:i/>
          <w:iCs/>
          <w:spacing w:val="-2"/>
          <w:sz w:val="22"/>
        </w:rPr>
        <w:t>listisconsorcio</w:t>
      </w:r>
      <w:proofErr w:type="spellEnd"/>
      <w:r w:rsidRPr="001D29D9">
        <w:rPr>
          <w:rFonts w:ascii="Arial" w:hAnsi="Arial" w:cs="Arial"/>
          <w:i/>
          <w:iCs/>
          <w:spacing w:val="-2"/>
          <w:sz w:val="22"/>
        </w:rPr>
        <w:t xml:space="preserve">, en cualquiera de sus modalidades, se permita a uno o varios litisconsortes </w:t>
      </w:r>
      <w:proofErr w:type="spellStart"/>
      <w:r w:rsidRPr="001D29D9">
        <w:rPr>
          <w:rFonts w:ascii="Arial" w:hAnsi="Arial" w:cs="Arial"/>
          <w:i/>
          <w:iCs/>
          <w:spacing w:val="-2"/>
          <w:sz w:val="22"/>
        </w:rPr>
        <w:t>fomular</w:t>
      </w:r>
      <w:proofErr w:type="spellEnd"/>
      <w:r w:rsidRPr="001D29D9">
        <w:rPr>
          <w:rFonts w:ascii="Arial" w:hAnsi="Arial" w:cs="Arial"/>
          <w:i/>
          <w:iCs/>
          <w:spacing w:val="-2"/>
          <w:sz w:val="22"/>
        </w:rPr>
        <w:t xml:space="preserve"> una demanda en contra de otro u otros de los que </w:t>
      </w:r>
      <w:r w:rsidRPr="001D29D9">
        <w:rPr>
          <w:rFonts w:ascii="Arial" w:hAnsi="Arial" w:cs="Arial"/>
          <w:b/>
          <w:bCs/>
          <w:i/>
          <w:iCs/>
          <w:spacing w:val="-2"/>
          <w:sz w:val="22"/>
        </w:rPr>
        <w:t>con él comparte la calidad de parte</w:t>
      </w:r>
      <w:r w:rsidR="009C293E" w:rsidRPr="001D29D9">
        <w:rPr>
          <w:rFonts w:ascii="Arial" w:hAnsi="Arial" w:cs="Arial"/>
          <w:b/>
          <w:bCs/>
          <w:i/>
          <w:iCs/>
          <w:spacing w:val="-2"/>
          <w:sz w:val="22"/>
        </w:rPr>
        <w:t xml:space="preserve"> (…) </w:t>
      </w:r>
      <w:r w:rsidR="009C293E" w:rsidRPr="001D29D9">
        <w:rPr>
          <w:rFonts w:ascii="Arial" w:hAnsi="Arial" w:cs="Arial"/>
          <w:i/>
          <w:iCs/>
          <w:spacing w:val="-2"/>
          <w:sz w:val="22"/>
        </w:rPr>
        <w:t>solicitar mediante la demanda de coparte que se declare que el otro demandado debe restituirle toda suma que él como consecuencia de condenas de la demanda formuladas en su contra tenga que erogar</w:t>
      </w:r>
      <w:r w:rsidRPr="001D29D9">
        <w:rPr>
          <w:rFonts w:ascii="Arial" w:hAnsi="Arial" w:cs="Arial"/>
          <w:b/>
          <w:bCs/>
          <w:i/>
          <w:iCs/>
          <w:spacing w:val="-2"/>
          <w:sz w:val="22"/>
        </w:rPr>
        <w:t>”</w:t>
      </w:r>
      <w:r w:rsidR="009C293E" w:rsidRPr="001D29D9">
        <w:rPr>
          <w:rFonts w:ascii="Arial" w:hAnsi="Arial" w:cs="Arial"/>
          <w:b/>
          <w:bCs/>
          <w:i/>
          <w:iCs/>
          <w:spacing w:val="-2"/>
          <w:sz w:val="22"/>
        </w:rPr>
        <w:t xml:space="preserve"> </w:t>
      </w:r>
      <w:r w:rsidR="009C293E" w:rsidRPr="001D29D9">
        <w:rPr>
          <w:rFonts w:ascii="Arial" w:hAnsi="Arial" w:cs="Arial"/>
          <w:i/>
          <w:iCs/>
          <w:spacing w:val="-2"/>
          <w:sz w:val="22"/>
        </w:rPr>
        <w:t>(pp. 378, Código General del Proceso).</w:t>
      </w:r>
    </w:p>
    <w:p w14:paraId="52807770" w14:textId="2572F222" w:rsidR="009C293E" w:rsidRPr="001D29D9" w:rsidRDefault="009C293E" w:rsidP="00653FDA">
      <w:pPr>
        <w:autoSpaceDE w:val="0"/>
        <w:autoSpaceDN w:val="0"/>
        <w:adjustRightInd w:val="0"/>
        <w:spacing w:line="276" w:lineRule="auto"/>
        <w:jc w:val="both"/>
        <w:rPr>
          <w:rFonts w:ascii="Arial" w:hAnsi="Arial" w:cs="Arial"/>
          <w:spacing w:val="-2"/>
        </w:rPr>
      </w:pPr>
    </w:p>
    <w:p w14:paraId="1D70E1A0" w14:textId="77777777" w:rsidR="00A52CD2" w:rsidRPr="001D29D9" w:rsidRDefault="009C293E" w:rsidP="00653FDA">
      <w:pPr>
        <w:autoSpaceDE w:val="0"/>
        <w:autoSpaceDN w:val="0"/>
        <w:adjustRightInd w:val="0"/>
        <w:spacing w:line="276" w:lineRule="auto"/>
        <w:jc w:val="both"/>
        <w:rPr>
          <w:rFonts w:ascii="Arial" w:hAnsi="Arial" w:cs="Arial"/>
          <w:spacing w:val="-2"/>
        </w:rPr>
      </w:pPr>
      <w:r w:rsidRPr="001D29D9">
        <w:rPr>
          <w:rFonts w:ascii="Arial" w:hAnsi="Arial" w:cs="Arial"/>
          <w:spacing w:val="-2"/>
        </w:rPr>
        <w:t xml:space="preserve">Por su parte, </w:t>
      </w:r>
      <w:r w:rsidRPr="001D29D9">
        <w:rPr>
          <w:rFonts w:ascii="Arial" w:hAnsi="Arial" w:cs="Arial"/>
          <w:b/>
          <w:bCs/>
          <w:spacing w:val="-2"/>
        </w:rPr>
        <w:t>Henry Sanabria Santos</w:t>
      </w:r>
      <w:r w:rsidRPr="001D29D9">
        <w:rPr>
          <w:rFonts w:ascii="Arial" w:hAnsi="Arial" w:cs="Arial"/>
          <w:spacing w:val="-2"/>
        </w:rPr>
        <w:t xml:space="preserve"> al enseñar las disquisiciones sobre el llamamiento en garantía indicó bajo el gobierno del C.P.C. existían muchas discusiones en torno a si el llamamiento en garantía podía presentarse contra una parte dentro del proceso, que para dicho doctrinante no era posible en la medida que “</w:t>
      </w:r>
      <w:r w:rsidRPr="001D29D9">
        <w:rPr>
          <w:rFonts w:ascii="Arial" w:hAnsi="Arial" w:cs="Arial"/>
          <w:spacing w:val="-2"/>
          <w:sz w:val="22"/>
        </w:rPr>
        <w:t>en dicho estatuto el llamado en garantía era considerado un tercero</w:t>
      </w:r>
      <w:r w:rsidRPr="001D29D9">
        <w:rPr>
          <w:rFonts w:ascii="Arial" w:hAnsi="Arial" w:cs="Arial"/>
          <w:spacing w:val="-2"/>
        </w:rPr>
        <w:t>” (pp. 314,  Derecho Procesal Civil General); sin embargo, con la introducción del Código General del Proceso dicha discusión se zanjó para que bajo el citado parágrafo del artículo 66 del C.G.P.</w:t>
      </w:r>
      <w:r w:rsidR="00A52CD2" w:rsidRPr="001D29D9">
        <w:rPr>
          <w:rFonts w:ascii="Arial" w:hAnsi="Arial" w:cs="Arial"/>
          <w:spacing w:val="-2"/>
        </w:rPr>
        <w:t>:</w:t>
      </w:r>
    </w:p>
    <w:p w14:paraId="3C77E0E5" w14:textId="77777777" w:rsidR="00A52CD2" w:rsidRPr="001D29D9" w:rsidRDefault="00A52CD2" w:rsidP="00653FDA">
      <w:pPr>
        <w:autoSpaceDE w:val="0"/>
        <w:autoSpaceDN w:val="0"/>
        <w:adjustRightInd w:val="0"/>
        <w:spacing w:line="276" w:lineRule="auto"/>
        <w:jc w:val="both"/>
        <w:rPr>
          <w:rFonts w:ascii="Arial" w:hAnsi="Arial" w:cs="Arial"/>
          <w:spacing w:val="-2"/>
        </w:rPr>
      </w:pPr>
    </w:p>
    <w:p w14:paraId="6225715E" w14:textId="218699EC" w:rsidR="00294474" w:rsidRPr="001D29D9" w:rsidRDefault="009C293E" w:rsidP="00102697">
      <w:pPr>
        <w:autoSpaceDE w:val="0"/>
        <w:autoSpaceDN w:val="0"/>
        <w:adjustRightInd w:val="0"/>
        <w:ind w:left="426" w:right="420"/>
        <w:jc w:val="both"/>
        <w:rPr>
          <w:rFonts w:ascii="Arial" w:hAnsi="Arial" w:cs="Arial"/>
          <w:i/>
          <w:iCs/>
          <w:spacing w:val="-2"/>
          <w:sz w:val="22"/>
        </w:rPr>
      </w:pPr>
      <w:r w:rsidRPr="001D29D9">
        <w:rPr>
          <w:rFonts w:ascii="Arial" w:hAnsi="Arial" w:cs="Arial"/>
          <w:i/>
          <w:iCs/>
          <w:spacing w:val="-2"/>
          <w:sz w:val="22"/>
        </w:rPr>
        <w:t>“</w:t>
      </w:r>
      <w:r w:rsidR="00A52CD2" w:rsidRPr="001D29D9">
        <w:rPr>
          <w:rFonts w:ascii="Arial" w:hAnsi="Arial" w:cs="Arial"/>
          <w:i/>
          <w:iCs/>
          <w:spacing w:val="-2"/>
          <w:sz w:val="22"/>
        </w:rPr>
        <w:t xml:space="preserve">(…) </w:t>
      </w:r>
      <w:r w:rsidRPr="001D29D9">
        <w:rPr>
          <w:rFonts w:ascii="Arial" w:hAnsi="Arial" w:cs="Arial"/>
          <w:i/>
          <w:iCs/>
          <w:spacing w:val="-2"/>
          <w:sz w:val="22"/>
        </w:rPr>
        <w:t xml:space="preserve">un demandado llame en garantía a otro demandado, figura que doctrinalmente se denomina demanda de coparte (…) ahora es claro que un demandado, cuando </w:t>
      </w:r>
      <w:r w:rsidR="00A52CD2" w:rsidRPr="001D29D9">
        <w:rPr>
          <w:rFonts w:ascii="Arial" w:hAnsi="Arial" w:cs="Arial"/>
          <w:i/>
          <w:iCs/>
          <w:spacing w:val="-2"/>
          <w:sz w:val="22"/>
        </w:rPr>
        <w:t>considera</w:t>
      </w:r>
      <w:r w:rsidRPr="001D29D9">
        <w:rPr>
          <w:rFonts w:ascii="Arial" w:hAnsi="Arial" w:cs="Arial"/>
          <w:i/>
          <w:iCs/>
          <w:spacing w:val="-2"/>
          <w:sz w:val="22"/>
        </w:rPr>
        <w:t xml:space="preserve"> </w:t>
      </w:r>
      <w:r w:rsidR="00A52CD2" w:rsidRPr="001D29D9">
        <w:rPr>
          <w:rFonts w:ascii="Arial" w:hAnsi="Arial" w:cs="Arial"/>
          <w:i/>
          <w:iCs/>
          <w:spacing w:val="-2"/>
          <w:sz w:val="22"/>
        </w:rPr>
        <w:t>que</w:t>
      </w:r>
      <w:r w:rsidRPr="001D29D9">
        <w:rPr>
          <w:rFonts w:ascii="Arial" w:hAnsi="Arial" w:cs="Arial"/>
          <w:i/>
          <w:iCs/>
          <w:spacing w:val="-2"/>
          <w:sz w:val="22"/>
        </w:rPr>
        <w:t xml:space="preserve"> otro de los demandados está obligado a reembolsarse lo que sea obligado a pagar en virtud de la condena, podrá llamarlo en garantí para que en la sentencia que le ponga fin al litigio no solo se resuelva si los demandados deben o no indemnizar al demandante (…) sino también para que se decida cómo quedan las relaciones internas entre los distintos demandados, esto es, si entre ellos deben operar restituciones por las condenas impuestas” (pp. 313, ibidem)</w:t>
      </w:r>
      <w:r w:rsidR="00A52CD2" w:rsidRPr="001D29D9">
        <w:rPr>
          <w:rFonts w:ascii="Arial" w:hAnsi="Arial" w:cs="Arial"/>
          <w:i/>
          <w:iCs/>
          <w:spacing w:val="-2"/>
          <w:sz w:val="22"/>
        </w:rPr>
        <w:t>.</w:t>
      </w:r>
    </w:p>
    <w:p w14:paraId="7BA649C3" w14:textId="77777777" w:rsidR="00294474" w:rsidRPr="001D29D9" w:rsidRDefault="00294474" w:rsidP="00653FDA">
      <w:pPr>
        <w:autoSpaceDE w:val="0"/>
        <w:autoSpaceDN w:val="0"/>
        <w:adjustRightInd w:val="0"/>
        <w:spacing w:line="276" w:lineRule="auto"/>
        <w:jc w:val="both"/>
        <w:rPr>
          <w:rFonts w:ascii="Arial" w:hAnsi="Arial" w:cs="Arial"/>
          <w:spacing w:val="-2"/>
        </w:rPr>
      </w:pPr>
    </w:p>
    <w:p w14:paraId="0C3E958B" w14:textId="029A09CF" w:rsidR="00294474" w:rsidRPr="001D29D9" w:rsidRDefault="00A52CD2" w:rsidP="00653FDA">
      <w:pPr>
        <w:autoSpaceDE w:val="0"/>
        <w:autoSpaceDN w:val="0"/>
        <w:adjustRightInd w:val="0"/>
        <w:spacing w:line="276" w:lineRule="auto"/>
        <w:jc w:val="both"/>
        <w:rPr>
          <w:rFonts w:ascii="Arial" w:hAnsi="Arial" w:cs="Arial"/>
          <w:spacing w:val="-2"/>
        </w:rPr>
      </w:pPr>
      <w:r w:rsidRPr="001D29D9">
        <w:rPr>
          <w:rFonts w:ascii="Arial" w:hAnsi="Arial" w:cs="Arial"/>
          <w:spacing w:val="-2"/>
        </w:rPr>
        <w:t xml:space="preserve">Finalmente, </w:t>
      </w:r>
      <w:r w:rsidRPr="001D29D9">
        <w:rPr>
          <w:rFonts w:ascii="Arial" w:hAnsi="Arial" w:cs="Arial"/>
          <w:b/>
          <w:bCs/>
          <w:spacing w:val="-2"/>
        </w:rPr>
        <w:t>Miguel Enrique Rojas Gómez</w:t>
      </w:r>
      <w:r w:rsidRPr="001D29D9">
        <w:rPr>
          <w:rFonts w:ascii="Arial" w:hAnsi="Arial" w:cs="Arial"/>
          <w:spacing w:val="-2"/>
        </w:rPr>
        <w:t xml:space="preserve"> al explicar la institución jurídica en mención también concluyó que:</w:t>
      </w:r>
    </w:p>
    <w:p w14:paraId="6A7703AB" w14:textId="72D49D2C" w:rsidR="00A52CD2" w:rsidRPr="001D29D9" w:rsidRDefault="00A52CD2" w:rsidP="00653FDA">
      <w:pPr>
        <w:autoSpaceDE w:val="0"/>
        <w:autoSpaceDN w:val="0"/>
        <w:adjustRightInd w:val="0"/>
        <w:spacing w:line="276" w:lineRule="auto"/>
        <w:ind w:left="708"/>
        <w:jc w:val="both"/>
        <w:rPr>
          <w:rFonts w:ascii="Arial" w:hAnsi="Arial" w:cs="Arial"/>
          <w:spacing w:val="-2"/>
        </w:rPr>
      </w:pPr>
    </w:p>
    <w:p w14:paraId="619EA0F6" w14:textId="035002AC" w:rsidR="00A52CD2" w:rsidRPr="001D29D9" w:rsidRDefault="00A52CD2" w:rsidP="00102697">
      <w:pPr>
        <w:autoSpaceDE w:val="0"/>
        <w:autoSpaceDN w:val="0"/>
        <w:adjustRightInd w:val="0"/>
        <w:ind w:left="426" w:right="420"/>
        <w:jc w:val="both"/>
        <w:rPr>
          <w:rFonts w:ascii="Arial" w:hAnsi="Arial" w:cs="Arial"/>
          <w:i/>
          <w:iCs/>
          <w:spacing w:val="-2"/>
          <w:sz w:val="22"/>
        </w:rPr>
      </w:pPr>
      <w:r w:rsidRPr="001D29D9">
        <w:rPr>
          <w:rFonts w:ascii="Arial" w:hAnsi="Arial" w:cs="Arial"/>
          <w:i/>
          <w:iCs/>
          <w:spacing w:val="-2"/>
          <w:sz w:val="22"/>
        </w:rPr>
        <w:t>“(…) con la particularidad de que llamante y llamado son integrantes de una misma parte en el proceso: la pasiva. Por lo tanto, formular el llamamiento en garantía en cualquier de tales hipótesis implica instaurar una demanda en contra de la coparte (…) luce imperioso concluir que ahora la demanda de coparte goza de asidero en el régimen procesal, aunque no con ese rótulo sino con el de llamamiento en garantía” (pp. 130, Lecciones de Derecho Procesal, T. 2).</w:t>
      </w:r>
    </w:p>
    <w:p w14:paraId="2F8337C8" w14:textId="57FFCF72" w:rsidR="00A52CD2" w:rsidRPr="001D29D9" w:rsidRDefault="00A52CD2" w:rsidP="00653FDA">
      <w:pPr>
        <w:autoSpaceDE w:val="0"/>
        <w:autoSpaceDN w:val="0"/>
        <w:adjustRightInd w:val="0"/>
        <w:spacing w:line="276" w:lineRule="auto"/>
        <w:jc w:val="both"/>
        <w:rPr>
          <w:rFonts w:ascii="Arial" w:hAnsi="Arial" w:cs="Arial"/>
          <w:spacing w:val="-2"/>
        </w:rPr>
      </w:pPr>
    </w:p>
    <w:p w14:paraId="0BC62674" w14:textId="1698A44F" w:rsidR="00A52CD2" w:rsidRPr="001D29D9" w:rsidRDefault="00A52CD2" w:rsidP="00653FDA">
      <w:pPr>
        <w:autoSpaceDE w:val="0"/>
        <w:autoSpaceDN w:val="0"/>
        <w:adjustRightInd w:val="0"/>
        <w:spacing w:line="276" w:lineRule="auto"/>
        <w:jc w:val="both"/>
        <w:rPr>
          <w:rFonts w:ascii="Arial" w:hAnsi="Arial" w:cs="Arial"/>
          <w:spacing w:val="-2"/>
        </w:rPr>
      </w:pPr>
      <w:r w:rsidRPr="001D29D9">
        <w:rPr>
          <w:rFonts w:ascii="Arial" w:hAnsi="Arial" w:cs="Arial"/>
          <w:spacing w:val="-2"/>
        </w:rPr>
        <w:t xml:space="preserve">Puestas de ese modo las cosas, es dable concluir que bajo el imperio del código adjetivo extinto el llamamiento en garantía solo podía reputarse de terceros ajenos al proceso, y bajo la nueva codificación también pueden ser llamadas las partes integrantes del mismo, pero bajo la condición de que tenga la misma relación de sujeción entre ellas, esto es, de codemandados, pues solo entre estos es que existen relaciones de garantía legal o contractual. </w:t>
      </w:r>
    </w:p>
    <w:p w14:paraId="6C2F4E65" w14:textId="77777777" w:rsidR="00294474" w:rsidRPr="001D29D9" w:rsidRDefault="00294474" w:rsidP="00653FDA">
      <w:pPr>
        <w:autoSpaceDE w:val="0"/>
        <w:autoSpaceDN w:val="0"/>
        <w:adjustRightInd w:val="0"/>
        <w:spacing w:line="276" w:lineRule="auto"/>
        <w:jc w:val="both"/>
        <w:rPr>
          <w:rFonts w:ascii="Arial" w:hAnsi="Arial" w:cs="Arial"/>
          <w:spacing w:val="-2"/>
        </w:rPr>
      </w:pPr>
    </w:p>
    <w:p w14:paraId="521D8913" w14:textId="20CF70B5" w:rsidR="00A52CD2" w:rsidRPr="001D29D9" w:rsidRDefault="00B918F3" w:rsidP="00653FDA">
      <w:pPr>
        <w:autoSpaceDE w:val="0"/>
        <w:autoSpaceDN w:val="0"/>
        <w:adjustRightInd w:val="0"/>
        <w:spacing w:line="276" w:lineRule="auto"/>
        <w:jc w:val="both"/>
        <w:rPr>
          <w:rFonts w:ascii="Arial" w:hAnsi="Arial" w:cs="Arial"/>
          <w:spacing w:val="-2"/>
          <w:lang w:val="es-ES"/>
        </w:rPr>
      </w:pPr>
      <w:r w:rsidRPr="001D29D9">
        <w:rPr>
          <w:rFonts w:ascii="Arial" w:hAnsi="Arial" w:cs="Arial"/>
          <w:b/>
          <w:bCs/>
          <w:spacing w:val="-2"/>
          <w:lang w:val="es-ES"/>
        </w:rPr>
        <w:t>2.2.</w:t>
      </w:r>
      <w:r w:rsidRPr="001D29D9">
        <w:rPr>
          <w:rFonts w:ascii="Arial" w:hAnsi="Arial" w:cs="Arial"/>
          <w:spacing w:val="-2"/>
          <w:lang w:val="es-ES"/>
        </w:rPr>
        <w:t xml:space="preserve"> Descendiendo al caso en concreto</w:t>
      </w:r>
      <w:r w:rsidR="00A52CD2" w:rsidRPr="001D29D9">
        <w:rPr>
          <w:rFonts w:ascii="Arial" w:hAnsi="Arial" w:cs="Arial"/>
          <w:spacing w:val="-2"/>
          <w:lang w:val="es-ES"/>
        </w:rPr>
        <w:t xml:space="preserve"> de entrada fracasa el recurso de apelación propuesto por el demandado Flota Occidental S.A. para llamar en garantía a su contraparte</w:t>
      </w:r>
      <w:r w:rsidR="007467E3" w:rsidRPr="001D29D9">
        <w:rPr>
          <w:rFonts w:ascii="Arial" w:hAnsi="Arial" w:cs="Arial"/>
          <w:spacing w:val="-2"/>
          <w:lang w:val="es-ES"/>
        </w:rPr>
        <w:t>, el</w:t>
      </w:r>
      <w:r w:rsidR="00A52CD2" w:rsidRPr="001D29D9">
        <w:rPr>
          <w:rFonts w:ascii="Arial" w:hAnsi="Arial" w:cs="Arial"/>
          <w:spacing w:val="-2"/>
          <w:lang w:val="es-ES"/>
        </w:rPr>
        <w:t xml:space="preserve"> demandante Carlos Arturo Ospina Gómez, pues este corresponde a su contrincante y de quien el demandado debe resistir las pretensiones propuestas por aquel, más no invocarlo como garante de las eventuales condenas a las que sea obligado. </w:t>
      </w:r>
    </w:p>
    <w:p w14:paraId="46393C2E" w14:textId="77777777" w:rsidR="00A52CD2" w:rsidRPr="001D29D9" w:rsidRDefault="00A52CD2" w:rsidP="00653FDA">
      <w:pPr>
        <w:autoSpaceDE w:val="0"/>
        <w:autoSpaceDN w:val="0"/>
        <w:adjustRightInd w:val="0"/>
        <w:spacing w:line="276" w:lineRule="auto"/>
        <w:jc w:val="both"/>
        <w:rPr>
          <w:rFonts w:ascii="Arial" w:hAnsi="Arial" w:cs="Arial"/>
          <w:spacing w:val="-2"/>
          <w:lang w:val="es-ES"/>
        </w:rPr>
      </w:pPr>
    </w:p>
    <w:p w14:paraId="7B857673" w14:textId="77777777" w:rsidR="009877BB" w:rsidRPr="001D29D9" w:rsidRDefault="00A52CD2" w:rsidP="00653FDA">
      <w:pPr>
        <w:autoSpaceDE w:val="0"/>
        <w:autoSpaceDN w:val="0"/>
        <w:adjustRightInd w:val="0"/>
        <w:spacing w:line="276" w:lineRule="auto"/>
        <w:jc w:val="both"/>
        <w:rPr>
          <w:rFonts w:ascii="Arial" w:hAnsi="Arial" w:cs="Arial"/>
          <w:spacing w:val="-2"/>
          <w:lang w:val="es-ES"/>
        </w:rPr>
      </w:pPr>
      <w:r w:rsidRPr="001D29D9">
        <w:rPr>
          <w:rFonts w:ascii="Arial" w:hAnsi="Arial" w:cs="Arial"/>
          <w:spacing w:val="-2"/>
          <w:lang w:val="es-ES"/>
        </w:rPr>
        <w:t>Así, el llamamiento en garantía a otra de las partes dentro del proceso acaece cuando el demandado ejerce la acción de demanda de coparte, bajo la cual cita a un codemandado, por orden legal o contractual, para transferir</w:t>
      </w:r>
      <w:r w:rsidR="009877BB" w:rsidRPr="001D29D9">
        <w:rPr>
          <w:rFonts w:ascii="Arial" w:hAnsi="Arial" w:cs="Arial"/>
          <w:spacing w:val="-2"/>
          <w:lang w:val="es-ES"/>
        </w:rPr>
        <w:t>le</w:t>
      </w:r>
      <w:r w:rsidRPr="001D29D9">
        <w:rPr>
          <w:rFonts w:ascii="Arial" w:hAnsi="Arial" w:cs="Arial"/>
          <w:spacing w:val="-2"/>
          <w:lang w:val="es-ES"/>
        </w:rPr>
        <w:t xml:space="preserve"> al llamado las consecuencias pecuniarias de las condenas que eventualmente se le impongan producto de una acción judicial ejercida en contra del demandado</w:t>
      </w:r>
      <w:r w:rsidR="009877BB" w:rsidRPr="001D29D9">
        <w:rPr>
          <w:rFonts w:ascii="Arial" w:hAnsi="Arial" w:cs="Arial"/>
          <w:spacing w:val="-2"/>
          <w:lang w:val="es-ES"/>
        </w:rPr>
        <w:t>, dicho de otra forma, para que ese otro codemandado, que se encuentra bajo la misma relación de sujeción – encargado de resistir las pretensiones – le proteja y pague por él o le reembolse la condena.</w:t>
      </w:r>
    </w:p>
    <w:p w14:paraId="0169F1D4" w14:textId="77777777" w:rsidR="009877BB" w:rsidRPr="001D29D9" w:rsidRDefault="009877BB" w:rsidP="00653FDA">
      <w:pPr>
        <w:autoSpaceDE w:val="0"/>
        <w:autoSpaceDN w:val="0"/>
        <w:adjustRightInd w:val="0"/>
        <w:spacing w:line="276" w:lineRule="auto"/>
        <w:jc w:val="both"/>
        <w:rPr>
          <w:rFonts w:ascii="Arial" w:hAnsi="Arial" w:cs="Arial"/>
          <w:spacing w:val="-2"/>
          <w:lang w:val="es-ES"/>
        </w:rPr>
      </w:pPr>
    </w:p>
    <w:p w14:paraId="645A9F84" w14:textId="2F15CF77" w:rsidR="00A52CD2" w:rsidRPr="001D29D9" w:rsidRDefault="009877BB" w:rsidP="00653FDA">
      <w:pPr>
        <w:autoSpaceDE w:val="0"/>
        <w:autoSpaceDN w:val="0"/>
        <w:adjustRightInd w:val="0"/>
        <w:spacing w:line="276" w:lineRule="auto"/>
        <w:jc w:val="both"/>
        <w:rPr>
          <w:rFonts w:ascii="Arial" w:hAnsi="Arial" w:cs="Arial"/>
          <w:spacing w:val="-2"/>
          <w:lang w:val="es-ES"/>
        </w:rPr>
      </w:pPr>
      <w:r w:rsidRPr="001D29D9">
        <w:rPr>
          <w:rFonts w:ascii="Arial" w:hAnsi="Arial" w:cs="Arial"/>
          <w:spacing w:val="-2"/>
          <w:lang w:val="es-ES"/>
        </w:rPr>
        <w:t xml:space="preserve">Situación que en el evento de ahora no puede utilizar el demandado Flota Occidental S.A. para llamar en su protección al mismo demandante Carlos Arturo Ospina Gómez, esto es, a quien le reclama un derecho u obligación, pues de considerar que el sujeto activo le debe obligación alguna, entonces </w:t>
      </w:r>
      <w:r w:rsidR="2A69BA56" w:rsidRPr="001D29D9">
        <w:rPr>
          <w:rFonts w:ascii="Arial" w:hAnsi="Arial" w:cs="Arial"/>
          <w:spacing w:val="-2"/>
          <w:lang w:val="es-ES"/>
        </w:rPr>
        <w:t>debe iniciar otro tipo de acciones</w:t>
      </w:r>
      <w:r w:rsidRPr="001D29D9">
        <w:rPr>
          <w:rFonts w:ascii="Arial" w:hAnsi="Arial" w:cs="Arial"/>
          <w:spacing w:val="-2"/>
          <w:lang w:val="es-ES"/>
        </w:rPr>
        <w:t xml:space="preserve">, más no la acción de protección de llamamiento en garantía.  </w:t>
      </w:r>
    </w:p>
    <w:p w14:paraId="172F1587" w14:textId="764CA646" w:rsidR="009877BB" w:rsidRPr="001D29D9" w:rsidRDefault="009877BB" w:rsidP="00653FDA">
      <w:pPr>
        <w:autoSpaceDE w:val="0"/>
        <w:autoSpaceDN w:val="0"/>
        <w:adjustRightInd w:val="0"/>
        <w:spacing w:line="276" w:lineRule="auto"/>
        <w:jc w:val="both"/>
        <w:rPr>
          <w:rFonts w:ascii="Arial" w:hAnsi="Arial" w:cs="Arial"/>
          <w:spacing w:val="-2"/>
          <w:lang w:val="es-ES"/>
        </w:rPr>
      </w:pPr>
    </w:p>
    <w:p w14:paraId="7593C436" w14:textId="3DDA77E5" w:rsidR="009877BB" w:rsidRPr="001D29D9" w:rsidRDefault="009877BB" w:rsidP="00653FDA">
      <w:pPr>
        <w:autoSpaceDE w:val="0"/>
        <w:autoSpaceDN w:val="0"/>
        <w:adjustRightInd w:val="0"/>
        <w:spacing w:line="276" w:lineRule="auto"/>
        <w:jc w:val="both"/>
        <w:rPr>
          <w:rFonts w:ascii="Arial" w:hAnsi="Arial" w:cs="Arial"/>
          <w:spacing w:val="-2"/>
          <w:lang w:val="es-ES"/>
        </w:rPr>
      </w:pPr>
      <w:r w:rsidRPr="001D29D9">
        <w:rPr>
          <w:rFonts w:ascii="Arial" w:hAnsi="Arial" w:cs="Arial"/>
          <w:spacing w:val="-2"/>
          <w:lang w:val="es-ES"/>
        </w:rPr>
        <w:t>Fracaso del recurso de apelación que implica la condena en costas al demandado a favor del demandante al tenor del numeral 1º del artículo 365 del C.G.P.</w:t>
      </w:r>
    </w:p>
    <w:p w14:paraId="01365C4B" w14:textId="77777777" w:rsidR="009877BB" w:rsidRPr="001D29D9" w:rsidRDefault="009877BB" w:rsidP="00653FDA">
      <w:pPr>
        <w:autoSpaceDE w:val="0"/>
        <w:autoSpaceDN w:val="0"/>
        <w:adjustRightInd w:val="0"/>
        <w:spacing w:line="276" w:lineRule="auto"/>
        <w:jc w:val="both"/>
        <w:rPr>
          <w:rFonts w:ascii="Arial" w:hAnsi="Arial" w:cs="Arial"/>
          <w:spacing w:val="-2"/>
          <w:lang w:val="es-ES"/>
        </w:rPr>
      </w:pPr>
    </w:p>
    <w:bookmarkEnd w:id="1"/>
    <w:p w14:paraId="54FB57C7" w14:textId="77777777" w:rsidR="00967D18" w:rsidRPr="001D29D9" w:rsidRDefault="00967D18" w:rsidP="00653FDA">
      <w:pPr>
        <w:autoSpaceDE w:val="0"/>
        <w:autoSpaceDN w:val="0"/>
        <w:adjustRightInd w:val="0"/>
        <w:spacing w:line="276" w:lineRule="auto"/>
        <w:jc w:val="center"/>
        <w:rPr>
          <w:rFonts w:ascii="Arial" w:hAnsi="Arial" w:cs="Arial"/>
          <w:b/>
          <w:bCs/>
          <w:spacing w:val="-2"/>
          <w:lang w:val="es-ES"/>
        </w:rPr>
      </w:pPr>
      <w:r w:rsidRPr="001D29D9">
        <w:rPr>
          <w:rFonts w:ascii="Arial" w:hAnsi="Arial" w:cs="Arial"/>
          <w:b/>
          <w:bCs/>
          <w:spacing w:val="-2"/>
          <w:lang w:val="es-ES"/>
        </w:rPr>
        <w:t>DECISIÓN</w:t>
      </w:r>
    </w:p>
    <w:p w14:paraId="2BA226A1" w14:textId="77777777" w:rsidR="00967D18" w:rsidRPr="001D29D9" w:rsidRDefault="00967D18" w:rsidP="00653FDA">
      <w:pPr>
        <w:autoSpaceDE w:val="0"/>
        <w:autoSpaceDN w:val="0"/>
        <w:adjustRightInd w:val="0"/>
        <w:spacing w:line="276" w:lineRule="auto"/>
        <w:ind w:firstLine="708"/>
        <w:jc w:val="both"/>
        <w:rPr>
          <w:rFonts w:ascii="Arial" w:hAnsi="Arial" w:cs="Arial"/>
          <w:spacing w:val="-2"/>
          <w:lang w:val="es-ES"/>
        </w:rPr>
      </w:pPr>
    </w:p>
    <w:p w14:paraId="429E7952" w14:textId="77777777" w:rsidR="00967D18" w:rsidRPr="001D29D9" w:rsidRDefault="00967D18" w:rsidP="00653FDA">
      <w:pPr>
        <w:spacing w:line="276" w:lineRule="auto"/>
        <w:jc w:val="both"/>
        <w:rPr>
          <w:rFonts w:ascii="Arial" w:hAnsi="Arial" w:cs="Arial"/>
          <w:spacing w:val="-2"/>
          <w:lang w:val="es-ES"/>
        </w:rPr>
      </w:pPr>
      <w:r w:rsidRPr="001D29D9">
        <w:rPr>
          <w:rFonts w:ascii="Arial" w:hAnsi="Arial" w:cs="Arial"/>
          <w:spacing w:val="-2"/>
          <w:lang w:val="es-ES"/>
        </w:rPr>
        <w:t xml:space="preserve">En mérito de lo expuesto, la Sala de Decisión Laboral del Tribunal Superior de Distrito Judicial de Pereira - Risaralda, </w:t>
      </w:r>
    </w:p>
    <w:p w14:paraId="17AD93B2" w14:textId="77777777" w:rsidR="00967D18" w:rsidRPr="001D29D9" w:rsidRDefault="00967D18" w:rsidP="00102697">
      <w:pPr>
        <w:spacing w:line="276" w:lineRule="auto"/>
        <w:rPr>
          <w:rFonts w:ascii="Arial" w:hAnsi="Arial" w:cs="Arial"/>
          <w:b/>
          <w:bCs/>
          <w:spacing w:val="-2"/>
          <w:lang w:val="es-ES"/>
        </w:rPr>
      </w:pPr>
    </w:p>
    <w:p w14:paraId="68A3624F" w14:textId="77777777" w:rsidR="00967D18" w:rsidRPr="001D29D9" w:rsidRDefault="00967D18" w:rsidP="00653FDA">
      <w:pPr>
        <w:spacing w:line="276" w:lineRule="auto"/>
        <w:jc w:val="center"/>
        <w:rPr>
          <w:rFonts w:ascii="Arial" w:hAnsi="Arial" w:cs="Arial"/>
          <w:spacing w:val="-2"/>
          <w:lang w:val="es-ES"/>
        </w:rPr>
      </w:pPr>
      <w:r w:rsidRPr="001D29D9">
        <w:rPr>
          <w:rFonts w:ascii="Arial" w:hAnsi="Arial" w:cs="Arial"/>
          <w:b/>
          <w:bCs/>
          <w:spacing w:val="-2"/>
          <w:lang w:val="es-ES"/>
        </w:rPr>
        <w:t>RESUELVE</w:t>
      </w:r>
    </w:p>
    <w:p w14:paraId="0DE4B5B7" w14:textId="77777777" w:rsidR="00967D18" w:rsidRPr="001D29D9" w:rsidRDefault="00967D18" w:rsidP="00102697">
      <w:pPr>
        <w:spacing w:line="276" w:lineRule="auto"/>
        <w:jc w:val="both"/>
        <w:rPr>
          <w:rFonts w:ascii="Arial" w:hAnsi="Arial" w:cs="Arial"/>
          <w:spacing w:val="-2"/>
          <w:lang w:val="es-ES"/>
        </w:rPr>
      </w:pPr>
    </w:p>
    <w:p w14:paraId="61C6CD20" w14:textId="77777777" w:rsidR="009877BB" w:rsidRPr="001D29D9" w:rsidRDefault="00967D18" w:rsidP="00653FDA">
      <w:pPr>
        <w:widowControl w:val="0"/>
        <w:autoSpaceDE w:val="0"/>
        <w:autoSpaceDN w:val="0"/>
        <w:adjustRightInd w:val="0"/>
        <w:spacing w:line="276" w:lineRule="auto"/>
        <w:jc w:val="both"/>
        <w:rPr>
          <w:rFonts w:ascii="Arial" w:eastAsia="Arial" w:hAnsi="Arial" w:cs="Arial"/>
          <w:spacing w:val="-2"/>
        </w:rPr>
      </w:pPr>
      <w:r w:rsidRPr="001D29D9">
        <w:rPr>
          <w:rFonts w:ascii="Arial" w:hAnsi="Arial" w:cs="Arial"/>
          <w:b/>
          <w:bCs/>
          <w:spacing w:val="-2"/>
          <w:lang w:val="es-ES"/>
        </w:rPr>
        <w:t xml:space="preserve">PRIMERO. </w:t>
      </w:r>
      <w:r w:rsidR="000C3575" w:rsidRPr="001D29D9">
        <w:rPr>
          <w:rFonts w:ascii="Arial" w:hAnsi="Arial" w:cs="Arial"/>
          <w:b/>
          <w:bCs/>
          <w:spacing w:val="-2"/>
          <w:lang w:val="es-ES"/>
        </w:rPr>
        <w:t>CONFIRMAR</w:t>
      </w:r>
      <w:r w:rsidR="00371F44" w:rsidRPr="001D29D9">
        <w:rPr>
          <w:rFonts w:ascii="Arial" w:hAnsi="Arial" w:cs="Arial"/>
          <w:b/>
          <w:bCs/>
          <w:spacing w:val="-2"/>
          <w:lang w:val="es-ES"/>
        </w:rPr>
        <w:t xml:space="preserve"> </w:t>
      </w:r>
      <w:r w:rsidR="00371F44" w:rsidRPr="001D29D9">
        <w:rPr>
          <w:rFonts w:ascii="Arial" w:hAnsi="Arial" w:cs="Arial"/>
          <w:spacing w:val="-2"/>
          <w:lang w:val="es-ES"/>
        </w:rPr>
        <w:t>el auto d</w:t>
      </w:r>
      <w:r w:rsidR="000C3575" w:rsidRPr="001D29D9">
        <w:rPr>
          <w:rFonts w:ascii="Arial" w:eastAsia="Calibri" w:hAnsi="Arial" w:cs="Arial"/>
          <w:spacing w:val="-2"/>
          <w:lang w:eastAsia="en-US"/>
        </w:rPr>
        <w:t xml:space="preserve">el </w:t>
      </w:r>
      <w:r w:rsidR="009877BB" w:rsidRPr="001D29D9">
        <w:rPr>
          <w:rFonts w:ascii="Arial" w:eastAsia="Calibri" w:hAnsi="Arial" w:cs="Arial"/>
          <w:spacing w:val="-2"/>
          <w:lang w:eastAsia="en-US"/>
        </w:rPr>
        <w:t xml:space="preserve">18 de enero de 2023 por el Juzgado Primero Laboral del Circuito de Pereira dentro del proceso promovido por Carlos Arturo Ospina Gómez contra la Flota Occidental S.A. a través del cual se rechazó un llamamiento en garantía. </w:t>
      </w:r>
    </w:p>
    <w:p w14:paraId="5AAD23E9" w14:textId="49EC6A3D" w:rsidR="00A64F47" w:rsidRPr="001D29D9" w:rsidRDefault="00A64F47" w:rsidP="00653FDA">
      <w:pPr>
        <w:widowControl w:val="0"/>
        <w:autoSpaceDE w:val="0"/>
        <w:autoSpaceDN w:val="0"/>
        <w:adjustRightInd w:val="0"/>
        <w:spacing w:line="276" w:lineRule="auto"/>
        <w:jc w:val="both"/>
        <w:rPr>
          <w:rFonts w:ascii="Arial" w:hAnsi="Arial" w:cs="Arial"/>
          <w:b/>
          <w:bCs/>
          <w:spacing w:val="-2"/>
        </w:rPr>
      </w:pPr>
    </w:p>
    <w:p w14:paraId="39F6203F" w14:textId="114CE56B" w:rsidR="00494FE9" w:rsidRPr="001D29D9" w:rsidRDefault="00967D18" w:rsidP="00653FDA">
      <w:pPr>
        <w:autoSpaceDE w:val="0"/>
        <w:autoSpaceDN w:val="0"/>
        <w:adjustRightInd w:val="0"/>
        <w:spacing w:line="276" w:lineRule="auto"/>
        <w:jc w:val="both"/>
        <w:rPr>
          <w:rFonts w:ascii="Arial" w:hAnsi="Arial" w:cs="Arial"/>
          <w:spacing w:val="-2"/>
          <w:lang w:val="es-ES"/>
        </w:rPr>
      </w:pPr>
      <w:r w:rsidRPr="001D29D9">
        <w:rPr>
          <w:rFonts w:ascii="Arial" w:hAnsi="Arial" w:cs="Arial"/>
          <w:b/>
          <w:bCs/>
          <w:spacing w:val="-2"/>
          <w:lang w:val="es-ES"/>
        </w:rPr>
        <w:t xml:space="preserve">SEGUNDO. </w:t>
      </w:r>
      <w:r w:rsidR="000C3575" w:rsidRPr="001D29D9">
        <w:rPr>
          <w:rFonts w:ascii="Arial" w:hAnsi="Arial" w:cs="Arial"/>
          <w:b/>
          <w:bCs/>
          <w:spacing w:val="-2"/>
          <w:lang w:val="es-ES"/>
        </w:rPr>
        <w:t xml:space="preserve">CONDENAR </w:t>
      </w:r>
      <w:r w:rsidR="000C3575" w:rsidRPr="001D29D9">
        <w:rPr>
          <w:rFonts w:ascii="Arial" w:hAnsi="Arial" w:cs="Arial"/>
          <w:spacing w:val="-2"/>
          <w:lang w:val="es-ES"/>
        </w:rPr>
        <w:t xml:space="preserve">en costas en esta instancia </w:t>
      </w:r>
      <w:r w:rsidR="009877BB" w:rsidRPr="001D29D9">
        <w:rPr>
          <w:rFonts w:ascii="Arial" w:hAnsi="Arial" w:cs="Arial"/>
          <w:spacing w:val="-2"/>
          <w:lang w:val="es-ES"/>
        </w:rPr>
        <w:t xml:space="preserve">al demandado a favor del demandante. </w:t>
      </w:r>
      <w:r w:rsidR="000C3575" w:rsidRPr="001D29D9">
        <w:rPr>
          <w:rFonts w:ascii="Arial" w:hAnsi="Arial" w:cs="Arial"/>
          <w:spacing w:val="-2"/>
          <w:lang w:val="es-ES"/>
        </w:rPr>
        <w:t xml:space="preserve"> </w:t>
      </w:r>
    </w:p>
    <w:p w14:paraId="2DBF0D7D" w14:textId="3C022945" w:rsidR="00967D18" w:rsidRPr="00653FDA" w:rsidRDefault="00494FE9" w:rsidP="00653FDA">
      <w:pPr>
        <w:autoSpaceDE w:val="0"/>
        <w:autoSpaceDN w:val="0"/>
        <w:adjustRightInd w:val="0"/>
        <w:spacing w:line="276" w:lineRule="auto"/>
        <w:jc w:val="both"/>
        <w:rPr>
          <w:rFonts w:ascii="Arial" w:hAnsi="Arial" w:cs="Arial"/>
          <w:lang w:val="es-ES"/>
        </w:rPr>
      </w:pPr>
      <w:r w:rsidRPr="00653FDA">
        <w:rPr>
          <w:rFonts w:ascii="Arial" w:hAnsi="Arial" w:cs="Arial"/>
          <w:lang w:val="es-ES"/>
        </w:rPr>
        <w:t xml:space="preserve"> </w:t>
      </w:r>
    </w:p>
    <w:p w14:paraId="63DBADC9" w14:textId="77777777" w:rsidR="00967D18" w:rsidRPr="00653FDA" w:rsidRDefault="00967D18" w:rsidP="00653FDA">
      <w:pPr>
        <w:spacing w:line="276" w:lineRule="auto"/>
        <w:rPr>
          <w:rFonts w:ascii="Arial" w:hAnsi="Arial" w:cs="Arial"/>
          <w:lang w:val="es-ES"/>
        </w:rPr>
      </w:pPr>
      <w:r w:rsidRPr="00653FDA">
        <w:rPr>
          <w:rFonts w:ascii="Arial" w:hAnsi="Arial" w:cs="Arial"/>
          <w:lang w:val="es-ES"/>
        </w:rPr>
        <w:t>Notifíquese y cúmplase,</w:t>
      </w:r>
    </w:p>
    <w:p w14:paraId="40FF9A23" w14:textId="77777777" w:rsidR="00653FDA" w:rsidRPr="00653FDA" w:rsidRDefault="00653FDA" w:rsidP="00653FDA">
      <w:pPr>
        <w:spacing w:line="276" w:lineRule="auto"/>
        <w:contextualSpacing/>
        <w:jc w:val="both"/>
        <w:rPr>
          <w:rFonts w:ascii="Arial" w:eastAsia="Calibri" w:hAnsi="Arial" w:cs="Arial"/>
          <w:lang w:val="es-ES_tradnl" w:eastAsia="es-ES"/>
        </w:rPr>
      </w:pPr>
    </w:p>
    <w:p w14:paraId="28C9083C" w14:textId="77777777" w:rsidR="00653FDA" w:rsidRPr="00653FDA" w:rsidRDefault="00653FDA" w:rsidP="00653FDA">
      <w:pPr>
        <w:widowControl w:val="0"/>
        <w:autoSpaceDE w:val="0"/>
        <w:autoSpaceDN w:val="0"/>
        <w:adjustRightInd w:val="0"/>
        <w:spacing w:line="276" w:lineRule="auto"/>
        <w:contextualSpacing/>
        <w:jc w:val="both"/>
        <w:rPr>
          <w:rFonts w:ascii="Arial" w:hAnsi="Arial" w:cs="Arial"/>
          <w:lang w:val="es-ES_tradnl" w:eastAsia="es-ES"/>
        </w:rPr>
      </w:pPr>
      <w:r w:rsidRPr="00653FDA">
        <w:rPr>
          <w:rFonts w:ascii="Arial" w:hAnsi="Arial" w:cs="Arial"/>
          <w:lang w:val="es-ES_tradnl" w:eastAsia="es-ES"/>
        </w:rPr>
        <w:t>Quienes integran la Sala,</w:t>
      </w:r>
    </w:p>
    <w:p w14:paraId="434D9F44" w14:textId="71637C16" w:rsidR="00653FDA" w:rsidRDefault="00653FDA" w:rsidP="00653FDA">
      <w:pPr>
        <w:spacing w:line="276" w:lineRule="auto"/>
        <w:contextualSpacing/>
        <w:jc w:val="both"/>
        <w:rPr>
          <w:rFonts w:ascii="Arial" w:eastAsia="Calibri" w:hAnsi="Arial" w:cs="Arial"/>
          <w:lang w:val="es-ES_tradnl" w:eastAsia="es-ES"/>
        </w:rPr>
      </w:pPr>
    </w:p>
    <w:p w14:paraId="13E3D9C2" w14:textId="77777777" w:rsidR="00653FDA" w:rsidRPr="00653FDA" w:rsidRDefault="00653FDA" w:rsidP="00653FDA">
      <w:pPr>
        <w:spacing w:line="276" w:lineRule="auto"/>
        <w:contextualSpacing/>
        <w:jc w:val="both"/>
        <w:rPr>
          <w:rFonts w:ascii="Arial" w:eastAsia="Calibri" w:hAnsi="Arial" w:cs="Arial"/>
          <w:lang w:val="es-ES_tradnl" w:eastAsia="es-ES"/>
        </w:rPr>
      </w:pPr>
    </w:p>
    <w:p w14:paraId="2725AA17" w14:textId="77777777" w:rsidR="00653FDA" w:rsidRPr="00653FDA" w:rsidRDefault="00653FDA" w:rsidP="00653FDA">
      <w:pPr>
        <w:spacing w:line="276" w:lineRule="auto"/>
        <w:contextualSpacing/>
        <w:jc w:val="center"/>
        <w:rPr>
          <w:rFonts w:ascii="Arial" w:eastAsiaTheme="minorHAnsi" w:hAnsi="Arial" w:cs="Arial"/>
          <w:b/>
          <w:bCs/>
          <w:lang w:val="es-ES_tradnl" w:eastAsia="en-US"/>
        </w:rPr>
      </w:pPr>
      <w:r w:rsidRPr="00653FDA">
        <w:rPr>
          <w:rFonts w:ascii="Arial" w:eastAsiaTheme="minorHAnsi" w:hAnsi="Arial" w:cs="Arial"/>
          <w:b/>
          <w:bCs/>
          <w:lang w:val="es-ES_tradnl" w:eastAsia="en-US"/>
        </w:rPr>
        <w:t>OLGA LUCÍA HOYOS SEPÚLVEDA</w:t>
      </w:r>
    </w:p>
    <w:p w14:paraId="6AFAFA30" w14:textId="77777777" w:rsidR="00653FDA" w:rsidRPr="00653FDA" w:rsidRDefault="00653FDA" w:rsidP="00653FDA">
      <w:pPr>
        <w:spacing w:line="276" w:lineRule="auto"/>
        <w:contextualSpacing/>
        <w:jc w:val="center"/>
        <w:rPr>
          <w:rFonts w:ascii="Arial" w:eastAsiaTheme="minorHAnsi" w:hAnsi="Arial" w:cs="Arial"/>
          <w:lang w:val="es-ES_tradnl" w:eastAsia="en-US"/>
        </w:rPr>
      </w:pPr>
      <w:r w:rsidRPr="00653FDA">
        <w:rPr>
          <w:rFonts w:ascii="Arial" w:eastAsiaTheme="minorHAnsi" w:hAnsi="Arial" w:cs="Arial"/>
          <w:lang w:val="es-ES_tradnl" w:eastAsia="en-US"/>
        </w:rPr>
        <w:t>Magistrada Ponente</w:t>
      </w:r>
    </w:p>
    <w:p w14:paraId="395CE85E" w14:textId="1B67DF58" w:rsidR="00653FDA" w:rsidRDefault="00653FDA" w:rsidP="00653FDA">
      <w:pPr>
        <w:spacing w:line="276" w:lineRule="auto"/>
        <w:contextualSpacing/>
        <w:rPr>
          <w:rFonts w:ascii="Arial" w:eastAsiaTheme="minorHAnsi" w:hAnsi="Arial" w:cs="Arial"/>
          <w:lang w:val="es-ES_tradnl" w:eastAsia="en-US"/>
        </w:rPr>
      </w:pPr>
    </w:p>
    <w:p w14:paraId="3C4B2B66" w14:textId="77777777" w:rsidR="00653FDA" w:rsidRPr="00653FDA" w:rsidRDefault="00653FDA" w:rsidP="00653FDA">
      <w:pPr>
        <w:spacing w:line="276" w:lineRule="auto"/>
        <w:contextualSpacing/>
        <w:rPr>
          <w:rFonts w:ascii="Arial" w:eastAsiaTheme="minorHAnsi" w:hAnsi="Arial" w:cs="Arial"/>
          <w:lang w:val="es-ES_tradnl" w:eastAsia="en-US"/>
        </w:rPr>
      </w:pPr>
    </w:p>
    <w:p w14:paraId="2ACCCC4F" w14:textId="77777777" w:rsidR="00653FDA" w:rsidRPr="00653FDA" w:rsidRDefault="00653FDA" w:rsidP="00653FDA">
      <w:pPr>
        <w:spacing w:line="276" w:lineRule="auto"/>
        <w:contextualSpacing/>
        <w:jc w:val="center"/>
        <w:rPr>
          <w:rFonts w:ascii="Arial" w:hAnsi="Arial" w:cs="Arial"/>
          <w:lang w:val="es-ES_tradnl" w:eastAsia="es-ES"/>
        </w:rPr>
      </w:pPr>
      <w:r w:rsidRPr="00653FDA">
        <w:rPr>
          <w:rFonts w:ascii="Arial" w:hAnsi="Arial" w:cs="Arial"/>
          <w:b/>
          <w:bCs/>
          <w:lang w:val="es-ES_tradnl" w:eastAsia="es-ES"/>
        </w:rPr>
        <w:t>JULIO CÉSAR SALAZAR MUÑOZ</w:t>
      </w:r>
    </w:p>
    <w:p w14:paraId="0DC6CDE4" w14:textId="7FF62531" w:rsidR="00653FDA" w:rsidRDefault="00653FDA" w:rsidP="00653FDA">
      <w:pPr>
        <w:spacing w:line="276" w:lineRule="auto"/>
        <w:contextualSpacing/>
        <w:jc w:val="center"/>
        <w:rPr>
          <w:rFonts w:ascii="Arial" w:hAnsi="Arial" w:cs="Arial"/>
          <w:lang w:val="es-ES_tradnl" w:eastAsia="es-ES"/>
        </w:rPr>
      </w:pPr>
      <w:r w:rsidRPr="00653FDA">
        <w:rPr>
          <w:rFonts w:ascii="Arial" w:hAnsi="Arial" w:cs="Arial"/>
          <w:lang w:val="es-ES_tradnl" w:eastAsia="es-ES"/>
        </w:rPr>
        <w:t>Magistrado</w:t>
      </w:r>
    </w:p>
    <w:p w14:paraId="20FDD106" w14:textId="38C4AA36" w:rsidR="00653FDA" w:rsidRDefault="00653FDA" w:rsidP="00653FDA">
      <w:pPr>
        <w:spacing w:line="276" w:lineRule="auto"/>
        <w:contextualSpacing/>
        <w:jc w:val="center"/>
        <w:rPr>
          <w:rFonts w:ascii="Arial" w:hAnsi="Arial" w:cs="Arial"/>
          <w:lang w:val="es-ES_tradnl" w:eastAsia="es-ES"/>
        </w:rPr>
      </w:pPr>
      <w:r>
        <w:rPr>
          <w:rFonts w:ascii="Arial" w:hAnsi="Arial" w:cs="Arial"/>
          <w:lang w:val="es-ES_tradnl" w:eastAsia="es-ES"/>
        </w:rPr>
        <w:t>Con ausencia justificada</w:t>
      </w:r>
    </w:p>
    <w:p w14:paraId="1ED5597B" w14:textId="77777777" w:rsidR="00653FDA" w:rsidRPr="00653FDA" w:rsidRDefault="00653FDA" w:rsidP="00653FDA">
      <w:pPr>
        <w:spacing w:line="276" w:lineRule="auto"/>
        <w:contextualSpacing/>
        <w:rPr>
          <w:rFonts w:ascii="Arial" w:eastAsiaTheme="minorHAnsi" w:hAnsi="Arial" w:cs="Arial"/>
          <w:lang w:val="es-ES_tradnl" w:eastAsia="en-US"/>
        </w:rPr>
      </w:pPr>
    </w:p>
    <w:p w14:paraId="79D67941" w14:textId="77777777" w:rsidR="00653FDA" w:rsidRPr="00653FDA" w:rsidRDefault="00653FDA" w:rsidP="00653FDA">
      <w:pPr>
        <w:spacing w:line="276" w:lineRule="auto"/>
        <w:contextualSpacing/>
        <w:rPr>
          <w:rFonts w:ascii="Arial" w:eastAsiaTheme="minorHAnsi" w:hAnsi="Arial" w:cs="Arial"/>
          <w:lang w:val="es-ES_tradnl" w:eastAsia="en-US"/>
        </w:rPr>
      </w:pPr>
    </w:p>
    <w:p w14:paraId="27691177" w14:textId="14C810DF" w:rsidR="00E45712" w:rsidRPr="00653FDA" w:rsidRDefault="00E45712" w:rsidP="00653FDA">
      <w:pPr>
        <w:spacing w:line="276" w:lineRule="auto"/>
        <w:contextualSpacing/>
        <w:jc w:val="center"/>
        <w:rPr>
          <w:rFonts w:ascii="Arial" w:hAnsi="Arial" w:cs="Arial"/>
        </w:rPr>
      </w:pPr>
      <w:r w:rsidRPr="00653FDA">
        <w:rPr>
          <w:rFonts w:ascii="Arial" w:hAnsi="Arial" w:cs="Arial"/>
          <w:b/>
          <w:bCs/>
        </w:rPr>
        <w:t>ANA LUCÍA CAICEDO CALDERÓN</w:t>
      </w:r>
    </w:p>
    <w:p w14:paraId="3135639A" w14:textId="272C48EF" w:rsidR="0B19BD77" w:rsidRPr="00653FDA" w:rsidRDefault="0B19BD77" w:rsidP="00653FDA">
      <w:pPr>
        <w:spacing w:line="276" w:lineRule="auto"/>
        <w:contextualSpacing/>
        <w:jc w:val="center"/>
        <w:rPr>
          <w:rFonts w:ascii="Arial" w:hAnsi="Arial" w:cs="Arial"/>
        </w:rPr>
      </w:pPr>
      <w:r w:rsidRPr="00653FDA">
        <w:rPr>
          <w:rFonts w:ascii="Arial" w:eastAsia="Arial" w:hAnsi="Arial" w:cs="Arial"/>
          <w:color w:val="000000" w:themeColor="text1"/>
        </w:rPr>
        <w:t>Magistrada</w:t>
      </w:r>
    </w:p>
    <w:sectPr w:rsidR="0B19BD77" w:rsidRPr="00653FDA" w:rsidSect="007467E3">
      <w:headerReference w:type="default" r:id="rId12"/>
      <w:footerReference w:type="default" r:id="rId13"/>
      <w:pgSz w:w="12242" w:h="18722" w:code="258"/>
      <w:pgMar w:top="1758" w:right="1191" w:bottom="1191" w:left="1758" w:header="567" w:footer="567"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8272225" w16cex:dateUtc="2022-11-16T21:46:56.091Z"/>
  <w16cex:commentExtensible w16cex:durableId="3558FE0E" w16cex:dateUtc="2023-11-21T21:12:21.77Z"/>
  <w16cex:commentExtensible w16cex:durableId="3EE650B9" w16cex:dateUtc="2023-11-22T18:41:19.551Z"/>
  <w16cex:commentExtensible w16cex:durableId="501F8929" w16cex:dateUtc="2023-11-22T18:42:29.599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9B7C9" w14:textId="77777777" w:rsidR="006B3E81" w:rsidRDefault="006B3E81" w:rsidP="004D7674">
      <w:r>
        <w:separator/>
      </w:r>
    </w:p>
  </w:endnote>
  <w:endnote w:type="continuationSeparator" w:id="0">
    <w:p w14:paraId="1AF6D5F9" w14:textId="77777777" w:rsidR="006B3E81" w:rsidRDefault="006B3E81" w:rsidP="004D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AE699" w14:textId="593E6116" w:rsidR="009B1111" w:rsidRPr="00102697" w:rsidRDefault="009B1111" w:rsidP="00102697">
    <w:pPr>
      <w:pStyle w:val="Encabezado"/>
      <w:jc w:val="right"/>
      <w:rPr>
        <w:rFonts w:ascii="Arial" w:hAnsi="Arial" w:cs="Arial"/>
        <w:sz w:val="18"/>
        <w:szCs w:val="18"/>
      </w:rPr>
    </w:pPr>
    <w:r w:rsidRPr="00102697">
      <w:rPr>
        <w:rFonts w:ascii="Arial" w:hAnsi="Arial" w:cs="Arial"/>
        <w:sz w:val="18"/>
        <w:szCs w:val="18"/>
      </w:rPr>
      <w:fldChar w:fldCharType="begin"/>
    </w:r>
    <w:r w:rsidRPr="00102697">
      <w:rPr>
        <w:rFonts w:ascii="Arial" w:hAnsi="Arial" w:cs="Arial"/>
        <w:sz w:val="18"/>
        <w:szCs w:val="18"/>
      </w:rPr>
      <w:instrText xml:space="preserve"> PAGE   \* MERGEFORMAT </w:instrText>
    </w:r>
    <w:r w:rsidRPr="00102697">
      <w:rPr>
        <w:rFonts w:ascii="Arial" w:hAnsi="Arial" w:cs="Arial"/>
        <w:sz w:val="18"/>
        <w:szCs w:val="18"/>
      </w:rPr>
      <w:fldChar w:fldCharType="separate"/>
    </w:r>
    <w:r w:rsidR="001D29D9">
      <w:rPr>
        <w:rFonts w:ascii="Arial" w:hAnsi="Arial" w:cs="Arial"/>
        <w:noProof/>
        <w:sz w:val="18"/>
        <w:szCs w:val="18"/>
      </w:rPr>
      <w:t>2</w:t>
    </w:r>
    <w:r w:rsidRPr="00102697">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66B9" w14:textId="77777777" w:rsidR="006B3E81" w:rsidRDefault="006B3E81" w:rsidP="004D7674">
      <w:r>
        <w:separator/>
      </w:r>
    </w:p>
  </w:footnote>
  <w:footnote w:type="continuationSeparator" w:id="0">
    <w:p w14:paraId="5E1E083D" w14:textId="77777777" w:rsidR="006B3E81" w:rsidRDefault="006B3E81" w:rsidP="004D76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CCEC7" w14:textId="77777777" w:rsidR="002A648A" w:rsidRPr="00174E3F" w:rsidRDefault="002A648A" w:rsidP="00102697">
    <w:pPr>
      <w:pStyle w:val="Encabezado"/>
      <w:jc w:val="center"/>
      <w:rPr>
        <w:rFonts w:ascii="Arial" w:hAnsi="Arial" w:cs="Arial"/>
        <w:sz w:val="18"/>
        <w:szCs w:val="18"/>
      </w:rPr>
    </w:pPr>
    <w:r w:rsidRPr="00174E3F">
      <w:rPr>
        <w:rFonts w:ascii="Arial" w:hAnsi="Arial" w:cs="Arial"/>
        <w:sz w:val="18"/>
        <w:szCs w:val="18"/>
      </w:rPr>
      <w:t>Proceso Ordi</w:t>
    </w:r>
    <w:r>
      <w:rPr>
        <w:rFonts w:ascii="Arial" w:hAnsi="Arial" w:cs="Arial"/>
        <w:sz w:val="18"/>
        <w:szCs w:val="18"/>
      </w:rPr>
      <w:t>n</w:t>
    </w:r>
    <w:r w:rsidRPr="00174E3F">
      <w:rPr>
        <w:rFonts w:ascii="Arial" w:hAnsi="Arial" w:cs="Arial"/>
        <w:sz w:val="18"/>
        <w:szCs w:val="18"/>
      </w:rPr>
      <w:t xml:space="preserve">ario Laboral </w:t>
    </w:r>
  </w:p>
  <w:p w14:paraId="0A46701B" w14:textId="085FD577" w:rsidR="002A648A" w:rsidRPr="00174E3F" w:rsidRDefault="002A648A" w:rsidP="00102697">
    <w:pPr>
      <w:pStyle w:val="Encabezado"/>
      <w:jc w:val="center"/>
      <w:rPr>
        <w:rFonts w:ascii="Arial" w:hAnsi="Arial" w:cs="Arial"/>
        <w:sz w:val="18"/>
        <w:szCs w:val="18"/>
      </w:rPr>
    </w:pPr>
    <w:r>
      <w:rPr>
        <w:rFonts w:ascii="Arial" w:hAnsi="Arial" w:cs="Arial"/>
        <w:sz w:val="18"/>
        <w:szCs w:val="18"/>
      </w:rPr>
      <w:t>66</w:t>
    </w:r>
    <w:r w:rsidR="008E61DF">
      <w:rPr>
        <w:rFonts w:ascii="Arial" w:hAnsi="Arial" w:cs="Arial"/>
        <w:sz w:val="18"/>
        <w:szCs w:val="18"/>
      </w:rPr>
      <w:t>001</w:t>
    </w:r>
    <w:r>
      <w:rPr>
        <w:rFonts w:ascii="Arial" w:hAnsi="Arial" w:cs="Arial"/>
        <w:sz w:val="18"/>
        <w:szCs w:val="18"/>
      </w:rPr>
      <w:t>-31-05-00</w:t>
    </w:r>
    <w:r w:rsidR="00A25266">
      <w:rPr>
        <w:rFonts w:ascii="Arial" w:hAnsi="Arial" w:cs="Arial"/>
        <w:sz w:val="18"/>
        <w:szCs w:val="18"/>
      </w:rPr>
      <w:t>1</w:t>
    </w:r>
    <w:r>
      <w:rPr>
        <w:rFonts w:ascii="Arial" w:hAnsi="Arial" w:cs="Arial"/>
        <w:sz w:val="18"/>
        <w:szCs w:val="18"/>
      </w:rPr>
      <w:t>-20</w:t>
    </w:r>
    <w:r w:rsidR="00DD4FA9">
      <w:rPr>
        <w:rFonts w:ascii="Arial" w:hAnsi="Arial" w:cs="Arial"/>
        <w:sz w:val="18"/>
        <w:szCs w:val="18"/>
      </w:rPr>
      <w:t>20</w:t>
    </w:r>
    <w:r>
      <w:rPr>
        <w:rFonts w:ascii="Arial" w:hAnsi="Arial" w:cs="Arial"/>
        <w:sz w:val="18"/>
        <w:szCs w:val="18"/>
      </w:rPr>
      <w:t>-00</w:t>
    </w:r>
    <w:r w:rsidR="00A25266">
      <w:rPr>
        <w:rFonts w:ascii="Arial" w:hAnsi="Arial" w:cs="Arial"/>
        <w:sz w:val="18"/>
        <w:szCs w:val="18"/>
      </w:rPr>
      <w:t>136</w:t>
    </w:r>
    <w:r w:rsidRPr="00174E3F">
      <w:rPr>
        <w:rFonts w:ascii="Arial" w:hAnsi="Arial" w:cs="Arial"/>
        <w:sz w:val="18"/>
        <w:szCs w:val="18"/>
      </w:rPr>
      <w:t>-0</w:t>
    </w:r>
    <w:r>
      <w:rPr>
        <w:rFonts w:ascii="Arial" w:hAnsi="Arial" w:cs="Arial"/>
        <w:sz w:val="18"/>
        <w:szCs w:val="18"/>
      </w:rPr>
      <w:t>1</w:t>
    </w:r>
  </w:p>
  <w:p w14:paraId="4A38D953" w14:textId="755D89C7" w:rsidR="009B1111" w:rsidRPr="002A648A" w:rsidRDefault="00A25266" w:rsidP="00102697">
    <w:pPr>
      <w:pStyle w:val="Encabezado"/>
      <w:jc w:val="center"/>
    </w:pPr>
    <w:r>
      <w:rPr>
        <w:rFonts w:ascii="Arial" w:hAnsi="Arial" w:cs="Arial"/>
        <w:sz w:val="18"/>
        <w:szCs w:val="18"/>
      </w:rPr>
      <w:t>Carlos Arturo Ospina Gómez</w:t>
    </w:r>
    <w:r w:rsidR="007C1979">
      <w:rPr>
        <w:rFonts w:ascii="Arial" w:hAnsi="Arial" w:cs="Arial"/>
        <w:sz w:val="18"/>
        <w:szCs w:val="18"/>
      </w:rPr>
      <w:t xml:space="preserve"> </w:t>
    </w:r>
    <w:r w:rsidR="002A648A">
      <w:rPr>
        <w:rFonts w:ascii="Arial" w:hAnsi="Arial" w:cs="Arial"/>
        <w:sz w:val="18"/>
        <w:szCs w:val="18"/>
      </w:rPr>
      <w:t xml:space="preserve">vs </w:t>
    </w:r>
    <w:r>
      <w:rPr>
        <w:rFonts w:ascii="Arial" w:hAnsi="Arial" w:cs="Arial"/>
        <w:bCs/>
        <w:sz w:val="18"/>
        <w:szCs w:val="18"/>
      </w:rPr>
      <w:t>Flota Occidental S.A.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4EC1"/>
    <w:multiLevelType w:val="hybridMultilevel"/>
    <w:tmpl w:val="37F044A6"/>
    <w:lvl w:ilvl="0" w:tplc="56847F8A">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D4C3C54"/>
    <w:multiLevelType w:val="hybridMultilevel"/>
    <w:tmpl w:val="6220F264"/>
    <w:lvl w:ilvl="0" w:tplc="6F2A3BB0">
      <w:start w:val="1"/>
      <w:numFmt w:val="lowerRoman"/>
      <w:lvlText w:val="%1)"/>
      <w:lvlJc w:val="left"/>
      <w:pPr>
        <w:ind w:left="1080" w:hanging="72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B573A65"/>
    <w:multiLevelType w:val="hybridMultilevel"/>
    <w:tmpl w:val="37F044A6"/>
    <w:lvl w:ilvl="0" w:tplc="56847F8A">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CC05AAE"/>
    <w:multiLevelType w:val="hybridMultilevel"/>
    <w:tmpl w:val="7D9072F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5CE3A8E"/>
    <w:multiLevelType w:val="hybridMultilevel"/>
    <w:tmpl w:val="52AC11DE"/>
    <w:lvl w:ilvl="0" w:tplc="CDDC3060">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53D425EB"/>
    <w:multiLevelType w:val="multilevel"/>
    <w:tmpl w:val="CF2C53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7334F69"/>
    <w:multiLevelType w:val="multilevel"/>
    <w:tmpl w:val="888CFEC2"/>
    <w:lvl w:ilvl="0">
      <w:start w:val="1"/>
      <w:numFmt w:val="decimal"/>
      <w:lvlText w:val="%1."/>
      <w:lvlJc w:val="left"/>
      <w:pPr>
        <w:ind w:left="360" w:hanging="360"/>
      </w:pPr>
      <w:rPr>
        <w:rFonts w:cs="Times New Roman"/>
        <w:sz w:val="24"/>
      </w:rPr>
    </w:lvl>
    <w:lvl w:ilvl="1">
      <w:start w:val="1"/>
      <w:numFmt w:val="decimal"/>
      <w:isLgl/>
      <w:lvlText w:val="%1.%2."/>
      <w:lvlJc w:val="left"/>
      <w:pPr>
        <w:ind w:left="720" w:hanging="720"/>
      </w:pPr>
      <w:rPr>
        <w:rFonts w:cs="Times New Roman" w:hint="default"/>
        <w:sz w:val="24"/>
      </w:rPr>
    </w:lvl>
    <w:lvl w:ilvl="2">
      <w:start w:val="1"/>
      <w:numFmt w:val="decimal"/>
      <w:isLgl/>
      <w:lvlText w:val="%1.%2.%3."/>
      <w:lvlJc w:val="left"/>
      <w:pPr>
        <w:ind w:left="720" w:hanging="720"/>
      </w:pPr>
      <w:rPr>
        <w:rFonts w:cs="Times New Roman" w:hint="default"/>
        <w:sz w:val="24"/>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15:restartNumberingAfterBreak="0">
    <w:nsid w:val="67601EAC"/>
    <w:multiLevelType w:val="hybridMultilevel"/>
    <w:tmpl w:val="52AC11DE"/>
    <w:lvl w:ilvl="0" w:tplc="CDDC3060">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6C3F7DED"/>
    <w:multiLevelType w:val="multilevel"/>
    <w:tmpl w:val="7A28DCF2"/>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5"/>
  </w:num>
  <w:num w:numId="4">
    <w:abstractNumId w:val="1"/>
  </w:num>
  <w:num w:numId="5">
    <w:abstractNumId w:val="3"/>
  </w:num>
  <w:num w:numId="6">
    <w:abstractNumId w:val="2"/>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48A"/>
    <w:rsid w:val="00004332"/>
    <w:rsid w:val="0001534B"/>
    <w:rsid w:val="0002047A"/>
    <w:rsid w:val="000236A2"/>
    <w:rsid w:val="00025BA2"/>
    <w:rsid w:val="00031955"/>
    <w:rsid w:val="00034A4F"/>
    <w:rsid w:val="0004714C"/>
    <w:rsid w:val="00052486"/>
    <w:rsid w:val="0006096A"/>
    <w:rsid w:val="00066D48"/>
    <w:rsid w:val="00075370"/>
    <w:rsid w:val="000842F0"/>
    <w:rsid w:val="000A7A06"/>
    <w:rsid w:val="000B0F25"/>
    <w:rsid w:val="000B22ED"/>
    <w:rsid w:val="000C3575"/>
    <w:rsid w:val="000C45C8"/>
    <w:rsid w:val="000D5B1C"/>
    <w:rsid w:val="00102697"/>
    <w:rsid w:val="00104498"/>
    <w:rsid w:val="001116E0"/>
    <w:rsid w:val="001128F4"/>
    <w:rsid w:val="00114D7A"/>
    <w:rsid w:val="00121CBD"/>
    <w:rsid w:val="00123CDA"/>
    <w:rsid w:val="00130598"/>
    <w:rsid w:val="00140B84"/>
    <w:rsid w:val="001456D4"/>
    <w:rsid w:val="00156370"/>
    <w:rsid w:val="00171C79"/>
    <w:rsid w:val="001806F9"/>
    <w:rsid w:val="00183719"/>
    <w:rsid w:val="00184012"/>
    <w:rsid w:val="00193A75"/>
    <w:rsid w:val="0019507C"/>
    <w:rsid w:val="001A335F"/>
    <w:rsid w:val="001C293F"/>
    <w:rsid w:val="001D22AF"/>
    <w:rsid w:val="001D248A"/>
    <w:rsid w:val="001D25B2"/>
    <w:rsid w:val="001D29D9"/>
    <w:rsid w:val="001E0862"/>
    <w:rsid w:val="001E0892"/>
    <w:rsid w:val="001E2AC8"/>
    <w:rsid w:val="001E5293"/>
    <w:rsid w:val="001F762B"/>
    <w:rsid w:val="00206218"/>
    <w:rsid w:val="00206C03"/>
    <w:rsid w:val="00214DB5"/>
    <w:rsid w:val="00230DED"/>
    <w:rsid w:val="00232B3C"/>
    <w:rsid w:val="00236DC7"/>
    <w:rsid w:val="002450BC"/>
    <w:rsid w:val="00247DBF"/>
    <w:rsid w:val="00252B98"/>
    <w:rsid w:val="00261FD5"/>
    <w:rsid w:val="0026483D"/>
    <w:rsid w:val="00271951"/>
    <w:rsid w:val="00272570"/>
    <w:rsid w:val="0027617F"/>
    <w:rsid w:val="00294474"/>
    <w:rsid w:val="00296C44"/>
    <w:rsid w:val="002A165A"/>
    <w:rsid w:val="002A4587"/>
    <w:rsid w:val="002A648A"/>
    <w:rsid w:val="002B4380"/>
    <w:rsid w:val="002B785C"/>
    <w:rsid w:val="002C6382"/>
    <w:rsid w:val="002C6548"/>
    <w:rsid w:val="002D36AB"/>
    <w:rsid w:val="002F5E40"/>
    <w:rsid w:val="00310771"/>
    <w:rsid w:val="003177ED"/>
    <w:rsid w:val="00323106"/>
    <w:rsid w:val="00326CB2"/>
    <w:rsid w:val="00330368"/>
    <w:rsid w:val="00345781"/>
    <w:rsid w:val="003565F9"/>
    <w:rsid w:val="003674B3"/>
    <w:rsid w:val="00371F44"/>
    <w:rsid w:val="00375169"/>
    <w:rsid w:val="00394D4E"/>
    <w:rsid w:val="003A1140"/>
    <w:rsid w:val="003A1685"/>
    <w:rsid w:val="003A1B60"/>
    <w:rsid w:val="003A2CA4"/>
    <w:rsid w:val="003A4A86"/>
    <w:rsid w:val="003D5F50"/>
    <w:rsid w:val="003D790E"/>
    <w:rsid w:val="003E0072"/>
    <w:rsid w:val="003E034F"/>
    <w:rsid w:val="003E22C9"/>
    <w:rsid w:val="003E2D9A"/>
    <w:rsid w:val="003F3B63"/>
    <w:rsid w:val="00402D4C"/>
    <w:rsid w:val="004055EA"/>
    <w:rsid w:val="004070C8"/>
    <w:rsid w:val="0041573B"/>
    <w:rsid w:val="00422F3F"/>
    <w:rsid w:val="004335DE"/>
    <w:rsid w:val="00441C8D"/>
    <w:rsid w:val="0044525E"/>
    <w:rsid w:val="004651F8"/>
    <w:rsid w:val="00473157"/>
    <w:rsid w:val="00494FE9"/>
    <w:rsid w:val="00497B52"/>
    <w:rsid w:val="00497FF4"/>
    <w:rsid w:val="004A5481"/>
    <w:rsid w:val="004D18AE"/>
    <w:rsid w:val="004D650B"/>
    <w:rsid w:val="004D7674"/>
    <w:rsid w:val="004E2439"/>
    <w:rsid w:val="004F6287"/>
    <w:rsid w:val="00505A9D"/>
    <w:rsid w:val="00505C90"/>
    <w:rsid w:val="00506CC5"/>
    <w:rsid w:val="005206F1"/>
    <w:rsid w:val="00525D64"/>
    <w:rsid w:val="0053149B"/>
    <w:rsid w:val="005412D0"/>
    <w:rsid w:val="005474F0"/>
    <w:rsid w:val="005541D0"/>
    <w:rsid w:val="00564223"/>
    <w:rsid w:val="00574B0E"/>
    <w:rsid w:val="00580B2F"/>
    <w:rsid w:val="0058522C"/>
    <w:rsid w:val="00587537"/>
    <w:rsid w:val="00590575"/>
    <w:rsid w:val="005918F9"/>
    <w:rsid w:val="005A57A8"/>
    <w:rsid w:val="005B13FA"/>
    <w:rsid w:val="005B2132"/>
    <w:rsid w:val="005B395A"/>
    <w:rsid w:val="005B5C5F"/>
    <w:rsid w:val="005B791A"/>
    <w:rsid w:val="005C07A7"/>
    <w:rsid w:val="005C28E8"/>
    <w:rsid w:val="005C622E"/>
    <w:rsid w:val="005D04D3"/>
    <w:rsid w:val="005D6059"/>
    <w:rsid w:val="005D6F9C"/>
    <w:rsid w:val="005F01F1"/>
    <w:rsid w:val="005F13FC"/>
    <w:rsid w:val="005F6920"/>
    <w:rsid w:val="00622DAD"/>
    <w:rsid w:val="006272F4"/>
    <w:rsid w:val="00633F36"/>
    <w:rsid w:val="006346DC"/>
    <w:rsid w:val="00653A58"/>
    <w:rsid w:val="00653FDA"/>
    <w:rsid w:val="006717A2"/>
    <w:rsid w:val="00676CCB"/>
    <w:rsid w:val="00683CE2"/>
    <w:rsid w:val="00696512"/>
    <w:rsid w:val="006A0204"/>
    <w:rsid w:val="006B3E81"/>
    <w:rsid w:val="006C086F"/>
    <w:rsid w:val="006C5F04"/>
    <w:rsid w:val="006D3170"/>
    <w:rsid w:val="006E72FB"/>
    <w:rsid w:val="00711B53"/>
    <w:rsid w:val="00723568"/>
    <w:rsid w:val="007278A3"/>
    <w:rsid w:val="00732A0E"/>
    <w:rsid w:val="00744D72"/>
    <w:rsid w:val="00745A0A"/>
    <w:rsid w:val="007467E3"/>
    <w:rsid w:val="00755055"/>
    <w:rsid w:val="007563FE"/>
    <w:rsid w:val="007609F0"/>
    <w:rsid w:val="007657CF"/>
    <w:rsid w:val="0077126F"/>
    <w:rsid w:val="0077242D"/>
    <w:rsid w:val="00786162"/>
    <w:rsid w:val="007A38A0"/>
    <w:rsid w:val="007A7299"/>
    <w:rsid w:val="007B3460"/>
    <w:rsid w:val="007B3ACD"/>
    <w:rsid w:val="007C1979"/>
    <w:rsid w:val="007E1328"/>
    <w:rsid w:val="007E4C56"/>
    <w:rsid w:val="007F1E09"/>
    <w:rsid w:val="007F266F"/>
    <w:rsid w:val="008023CE"/>
    <w:rsid w:val="00810083"/>
    <w:rsid w:val="00810C10"/>
    <w:rsid w:val="00815E9B"/>
    <w:rsid w:val="00833918"/>
    <w:rsid w:val="00835E73"/>
    <w:rsid w:val="0084061D"/>
    <w:rsid w:val="00840AD5"/>
    <w:rsid w:val="00843B9F"/>
    <w:rsid w:val="00850DA6"/>
    <w:rsid w:val="00851418"/>
    <w:rsid w:val="00855E1F"/>
    <w:rsid w:val="008726E2"/>
    <w:rsid w:val="00882DD4"/>
    <w:rsid w:val="008870C1"/>
    <w:rsid w:val="00897E7A"/>
    <w:rsid w:val="008A6482"/>
    <w:rsid w:val="008A69BA"/>
    <w:rsid w:val="008B0CDB"/>
    <w:rsid w:val="008B528E"/>
    <w:rsid w:val="008C10C5"/>
    <w:rsid w:val="008C217D"/>
    <w:rsid w:val="008C57BD"/>
    <w:rsid w:val="008E61DF"/>
    <w:rsid w:val="008F68E0"/>
    <w:rsid w:val="008F7DAC"/>
    <w:rsid w:val="0090019F"/>
    <w:rsid w:val="00902EB5"/>
    <w:rsid w:val="0090336D"/>
    <w:rsid w:val="00903E61"/>
    <w:rsid w:val="0090752F"/>
    <w:rsid w:val="00953290"/>
    <w:rsid w:val="00954C7F"/>
    <w:rsid w:val="00961AA5"/>
    <w:rsid w:val="00961FEE"/>
    <w:rsid w:val="00965A53"/>
    <w:rsid w:val="00967BF0"/>
    <w:rsid w:val="00967D18"/>
    <w:rsid w:val="00968CC1"/>
    <w:rsid w:val="009855EC"/>
    <w:rsid w:val="009877BB"/>
    <w:rsid w:val="009A3E07"/>
    <w:rsid w:val="009A7C4B"/>
    <w:rsid w:val="009B1111"/>
    <w:rsid w:val="009B7B95"/>
    <w:rsid w:val="009C293E"/>
    <w:rsid w:val="009E4F74"/>
    <w:rsid w:val="00A016EC"/>
    <w:rsid w:val="00A02950"/>
    <w:rsid w:val="00A12F1A"/>
    <w:rsid w:val="00A21913"/>
    <w:rsid w:val="00A21BED"/>
    <w:rsid w:val="00A25266"/>
    <w:rsid w:val="00A33D4A"/>
    <w:rsid w:val="00A36AA8"/>
    <w:rsid w:val="00A52CD2"/>
    <w:rsid w:val="00A64F47"/>
    <w:rsid w:val="00A723D0"/>
    <w:rsid w:val="00A737B1"/>
    <w:rsid w:val="00A747B8"/>
    <w:rsid w:val="00A954BD"/>
    <w:rsid w:val="00AA2670"/>
    <w:rsid w:val="00AB1655"/>
    <w:rsid w:val="00AB25FE"/>
    <w:rsid w:val="00AB2C60"/>
    <w:rsid w:val="00AC56BF"/>
    <w:rsid w:val="00AC7B43"/>
    <w:rsid w:val="00AE676B"/>
    <w:rsid w:val="00AF1B8A"/>
    <w:rsid w:val="00B10766"/>
    <w:rsid w:val="00B13CD9"/>
    <w:rsid w:val="00B177B9"/>
    <w:rsid w:val="00B21372"/>
    <w:rsid w:val="00B40CA4"/>
    <w:rsid w:val="00B41AA4"/>
    <w:rsid w:val="00B42AB3"/>
    <w:rsid w:val="00B43828"/>
    <w:rsid w:val="00B46221"/>
    <w:rsid w:val="00B51126"/>
    <w:rsid w:val="00B51D80"/>
    <w:rsid w:val="00B62F03"/>
    <w:rsid w:val="00B74B21"/>
    <w:rsid w:val="00B802C9"/>
    <w:rsid w:val="00B8511D"/>
    <w:rsid w:val="00B918F3"/>
    <w:rsid w:val="00B95956"/>
    <w:rsid w:val="00BA7CE2"/>
    <w:rsid w:val="00BA7EE8"/>
    <w:rsid w:val="00BB345F"/>
    <w:rsid w:val="00BC25B1"/>
    <w:rsid w:val="00BC67CB"/>
    <w:rsid w:val="00BD4F3D"/>
    <w:rsid w:val="00BD65E6"/>
    <w:rsid w:val="00BE0412"/>
    <w:rsid w:val="00BE6E9D"/>
    <w:rsid w:val="00BF5788"/>
    <w:rsid w:val="00C010AE"/>
    <w:rsid w:val="00C07DDD"/>
    <w:rsid w:val="00C120EA"/>
    <w:rsid w:val="00C13AA2"/>
    <w:rsid w:val="00C14D6C"/>
    <w:rsid w:val="00C30852"/>
    <w:rsid w:val="00C35B62"/>
    <w:rsid w:val="00C35E55"/>
    <w:rsid w:val="00C50C2F"/>
    <w:rsid w:val="00C51B27"/>
    <w:rsid w:val="00C60DE6"/>
    <w:rsid w:val="00C776C6"/>
    <w:rsid w:val="00C92165"/>
    <w:rsid w:val="00C96504"/>
    <w:rsid w:val="00CB2296"/>
    <w:rsid w:val="00CB70D7"/>
    <w:rsid w:val="00CB71D0"/>
    <w:rsid w:val="00CC675F"/>
    <w:rsid w:val="00CD7FF3"/>
    <w:rsid w:val="00CE16A9"/>
    <w:rsid w:val="00D0394F"/>
    <w:rsid w:val="00D078A2"/>
    <w:rsid w:val="00D13292"/>
    <w:rsid w:val="00D160A7"/>
    <w:rsid w:val="00D203B4"/>
    <w:rsid w:val="00D21D15"/>
    <w:rsid w:val="00D22776"/>
    <w:rsid w:val="00D229AC"/>
    <w:rsid w:val="00D22F8D"/>
    <w:rsid w:val="00D23342"/>
    <w:rsid w:val="00D4079E"/>
    <w:rsid w:val="00D4354E"/>
    <w:rsid w:val="00D43F2E"/>
    <w:rsid w:val="00D51DE3"/>
    <w:rsid w:val="00D52412"/>
    <w:rsid w:val="00D53638"/>
    <w:rsid w:val="00D5600A"/>
    <w:rsid w:val="00D6560F"/>
    <w:rsid w:val="00D75D24"/>
    <w:rsid w:val="00D84946"/>
    <w:rsid w:val="00D97466"/>
    <w:rsid w:val="00DA6A7E"/>
    <w:rsid w:val="00DB3369"/>
    <w:rsid w:val="00DB4A0E"/>
    <w:rsid w:val="00DB4AF6"/>
    <w:rsid w:val="00DB7DBF"/>
    <w:rsid w:val="00DC721D"/>
    <w:rsid w:val="00DD4FA9"/>
    <w:rsid w:val="00DD759D"/>
    <w:rsid w:val="00DE52C7"/>
    <w:rsid w:val="00E12608"/>
    <w:rsid w:val="00E12FB2"/>
    <w:rsid w:val="00E23094"/>
    <w:rsid w:val="00E23FF8"/>
    <w:rsid w:val="00E335D3"/>
    <w:rsid w:val="00E337AE"/>
    <w:rsid w:val="00E358D7"/>
    <w:rsid w:val="00E3737C"/>
    <w:rsid w:val="00E45712"/>
    <w:rsid w:val="00E53496"/>
    <w:rsid w:val="00E54AC8"/>
    <w:rsid w:val="00E63811"/>
    <w:rsid w:val="00E76CAA"/>
    <w:rsid w:val="00E86FA5"/>
    <w:rsid w:val="00E91FB9"/>
    <w:rsid w:val="00E93A72"/>
    <w:rsid w:val="00EB0972"/>
    <w:rsid w:val="00EB441C"/>
    <w:rsid w:val="00ED162A"/>
    <w:rsid w:val="00EE5801"/>
    <w:rsid w:val="00EE71D8"/>
    <w:rsid w:val="00EF41F9"/>
    <w:rsid w:val="00F00ABD"/>
    <w:rsid w:val="00F0169D"/>
    <w:rsid w:val="00F177E5"/>
    <w:rsid w:val="00F2171E"/>
    <w:rsid w:val="00F25EE2"/>
    <w:rsid w:val="00F33C6D"/>
    <w:rsid w:val="00F46B76"/>
    <w:rsid w:val="00F54EFD"/>
    <w:rsid w:val="00F6064B"/>
    <w:rsid w:val="00F620F1"/>
    <w:rsid w:val="00F66FE6"/>
    <w:rsid w:val="00F7264E"/>
    <w:rsid w:val="00F77C70"/>
    <w:rsid w:val="00FA15DE"/>
    <w:rsid w:val="00FA4952"/>
    <w:rsid w:val="00FD30A8"/>
    <w:rsid w:val="00FE3CC6"/>
    <w:rsid w:val="00FF09F2"/>
    <w:rsid w:val="01405F55"/>
    <w:rsid w:val="014E29E2"/>
    <w:rsid w:val="01B360F0"/>
    <w:rsid w:val="02E22C8B"/>
    <w:rsid w:val="02E3C0A8"/>
    <w:rsid w:val="0312E8C4"/>
    <w:rsid w:val="0318A790"/>
    <w:rsid w:val="031AECFB"/>
    <w:rsid w:val="035B113E"/>
    <w:rsid w:val="0377CC55"/>
    <w:rsid w:val="041427D7"/>
    <w:rsid w:val="05BC8A02"/>
    <w:rsid w:val="06798E5D"/>
    <w:rsid w:val="06E19B94"/>
    <w:rsid w:val="06EB7F39"/>
    <w:rsid w:val="0722C397"/>
    <w:rsid w:val="074BC899"/>
    <w:rsid w:val="07753331"/>
    <w:rsid w:val="07B283A5"/>
    <w:rsid w:val="07C824E2"/>
    <w:rsid w:val="082BEADE"/>
    <w:rsid w:val="0839F1BB"/>
    <w:rsid w:val="08A960A1"/>
    <w:rsid w:val="090C8DD1"/>
    <w:rsid w:val="091EF44C"/>
    <w:rsid w:val="09279B3E"/>
    <w:rsid w:val="09E6DCD2"/>
    <w:rsid w:val="0A5CBCC9"/>
    <w:rsid w:val="0B19BD77"/>
    <w:rsid w:val="0B1C33E7"/>
    <w:rsid w:val="0BAD7309"/>
    <w:rsid w:val="0C4A11C8"/>
    <w:rsid w:val="0C69A425"/>
    <w:rsid w:val="0D58A1D8"/>
    <w:rsid w:val="0DD2CCA1"/>
    <w:rsid w:val="0E44F1B6"/>
    <w:rsid w:val="0E47F7EB"/>
    <w:rsid w:val="0EE7A79E"/>
    <w:rsid w:val="0F74192E"/>
    <w:rsid w:val="0FAB5453"/>
    <w:rsid w:val="1084BA60"/>
    <w:rsid w:val="10C9ED50"/>
    <w:rsid w:val="10F2AADF"/>
    <w:rsid w:val="11D8A4A7"/>
    <w:rsid w:val="12FC8706"/>
    <w:rsid w:val="13C59DF1"/>
    <w:rsid w:val="13CEEC4C"/>
    <w:rsid w:val="14174CA9"/>
    <w:rsid w:val="14DA4695"/>
    <w:rsid w:val="14ED83C2"/>
    <w:rsid w:val="14F95033"/>
    <w:rsid w:val="15032216"/>
    <w:rsid w:val="15867026"/>
    <w:rsid w:val="15902FCC"/>
    <w:rsid w:val="15B57E96"/>
    <w:rsid w:val="15CFB9EF"/>
    <w:rsid w:val="15EEF783"/>
    <w:rsid w:val="161D4B92"/>
    <w:rsid w:val="1685CA1A"/>
    <w:rsid w:val="16B83C39"/>
    <w:rsid w:val="1703B807"/>
    <w:rsid w:val="173ADB37"/>
    <w:rsid w:val="174C2497"/>
    <w:rsid w:val="17B47589"/>
    <w:rsid w:val="181776FD"/>
    <w:rsid w:val="192B51BE"/>
    <w:rsid w:val="19AEFEF1"/>
    <w:rsid w:val="19ED6259"/>
    <w:rsid w:val="1A36C7E4"/>
    <w:rsid w:val="1A5B9845"/>
    <w:rsid w:val="1A7F9427"/>
    <w:rsid w:val="1AA9A379"/>
    <w:rsid w:val="1AAEB4FD"/>
    <w:rsid w:val="1B0D47E2"/>
    <w:rsid w:val="1B31CEF9"/>
    <w:rsid w:val="1B593B3D"/>
    <w:rsid w:val="1BB78779"/>
    <w:rsid w:val="1BD16387"/>
    <w:rsid w:val="1BDAE2C7"/>
    <w:rsid w:val="1C5493EF"/>
    <w:rsid w:val="1C7D4D50"/>
    <w:rsid w:val="1CB759C6"/>
    <w:rsid w:val="1D4792CF"/>
    <w:rsid w:val="1D58B134"/>
    <w:rsid w:val="1D59DFC7"/>
    <w:rsid w:val="1DBE2EEF"/>
    <w:rsid w:val="1E143793"/>
    <w:rsid w:val="1EBDE55A"/>
    <w:rsid w:val="1EDD21FE"/>
    <w:rsid w:val="1F661348"/>
    <w:rsid w:val="1F8B71DE"/>
    <w:rsid w:val="1F99F19F"/>
    <w:rsid w:val="1FC8FE69"/>
    <w:rsid w:val="202AFC52"/>
    <w:rsid w:val="20A7FE16"/>
    <w:rsid w:val="20CACAC7"/>
    <w:rsid w:val="217B723C"/>
    <w:rsid w:val="2199597B"/>
    <w:rsid w:val="2219AFDA"/>
    <w:rsid w:val="22CB509F"/>
    <w:rsid w:val="23D86027"/>
    <w:rsid w:val="23DBE207"/>
    <w:rsid w:val="241BBEF5"/>
    <w:rsid w:val="243D77EF"/>
    <w:rsid w:val="24D9D636"/>
    <w:rsid w:val="250BE247"/>
    <w:rsid w:val="2581C50D"/>
    <w:rsid w:val="259616D9"/>
    <w:rsid w:val="261EA1F2"/>
    <w:rsid w:val="264513AF"/>
    <w:rsid w:val="267AACDC"/>
    <w:rsid w:val="2688AEEB"/>
    <w:rsid w:val="26F62CA5"/>
    <w:rsid w:val="274E547B"/>
    <w:rsid w:val="27E51131"/>
    <w:rsid w:val="287C787A"/>
    <w:rsid w:val="28A25C57"/>
    <w:rsid w:val="293A23D8"/>
    <w:rsid w:val="2944A995"/>
    <w:rsid w:val="29A9E329"/>
    <w:rsid w:val="29DB7C2C"/>
    <w:rsid w:val="29F7CC45"/>
    <w:rsid w:val="2A0B436A"/>
    <w:rsid w:val="2A42F4F9"/>
    <w:rsid w:val="2A69BA56"/>
    <w:rsid w:val="2A9E7618"/>
    <w:rsid w:val="2AF45AF4"/>
    <w:rsid w:val="2B22405B"/>
    <w:rsid w:val="2B259DD5"/>
    <w:rsid w:val="2B410B9D"/>
    <w:rsid w:val="2B458F2C"/>
    <w:rsid w:val="2B5127D3"/>
    <w:rsid w:val="2B8A4B85"/>
    <w:rsid w:val="2BAC3476"/>
    <w:rsid w:val="2BB7376B"/>
    <w:rsid w:val="2BCE5EF4"/>
    <w:rsid w:val="2BDEC55A"/>
    <w:rsid w:val="2BDFD0CD"/>
    <w:rsid w:val="2BEACC34"/>
    <w:rsid w:val="2C14802E"/>
    <w:rsid w:val="2C654249"/>
    <w:rsid w:val="2C7145D4"/>
    <w:rsid w:val="2CBFBA74"/>
    <w:rsid w:val="2CE4C984"/>
    <w:rsid w:val="2D827704"/>
    <w:rsid w:val="2E2D7E4B"/>
    <w:rsid w:val="2E9C5BF7"/>
    <w:rsid w:val="2F1332BE"/>
    <w:rsid w:val="2F1C30B5"/>
    <w:rsid w:val="2F28A753"/>
    <w:rsid w:val="2F3998B6"/>
    <w:rsid w:val="3036CB30"/>
    <w:rsid w:val="30380F36"/>
    <w:rsid w:val="308C8415"/>
    <w:rsid w:val="30B9472B"/>
    <w:rsid w:val="31F512B6"/>
    <w:rsid w:val="324342E0"/>
    <w:rsid w:val="3249AD66"/>
    <w:rsid w:val="331D95E1"/>
    <w:rsid w:val="3326787A"/>
    <w:rsid w:val="3350AE72"/>
    <w:rsid w:val="34EFDB69"/>
    <w:rsid w:val="34FAE2F8"/>
    <w:rsid w:val="3501296E"/>
    <w:rsid w:val="357EC581"/>
    <w:rsid w:val="35973A63"/>
    <w:rsid w:val="35A71AB1"/>
    <w:rsid w:val="363A1BCA"/>
    <w:rsid w:val="36E4D243"/>
    <w:rsid w:val="37BB7351"/>
    <w:rsid w:val="3879D85C"/>
    <w:rsid w:val="38D578E8"/>
    <w:rsid w:val="39865975"/>
    <w:rsid w:val="398F3265"/>
    <w:rsid w:val="39FEC1AB"/>
    <w:rsid w:val="3A0AA2FC"/>
    <w:rsid w:val="3A0D82F1"/>
    <w:rsid w:val="3A0EB809"/>
    <w:rsid w:val="3A1C3F98"/>
    <w:rsid w:val="3A4C8A60"/>
    <w:rsid w:val="3A63F3E5"/>
    <w:rsid w:val="3A68EDB8"/>
    <w:rsid w:val="3B599D94"/>
    <w:rsid w:val="3C0BC308"/>
    <w:rsid w:val="3D3CD976"/>
    <w:rsid w:val="3D7EA1D6"/>
    <w:rsid w:val="3DAEFEDC"/>
    <w:rsid w:val="3DB22C96"/>
    <w:rsid w:val="3E2D7682"/>
    <w:rsid w:val="3E74A29B"/>
    <w:rsid w:val="3E7D8FC7"/>
    <w:rsid w:val="3E86955D"/>
    <w:rsid w:val="3EE410A0"/>
    <w:rsid w:val="3FBDFCD5"/>
    <w:rsid w:val="405043B7"/>
    <w:rsid w:val="40A5B192"/>
    <w:rsid w:val="40B64298"/>
    <w:rsid w:val="40D8F4BE"/>
    <w:rsid w:val="4154A46D"/>
    <w:rsid w:val="41C199DC"/>
    <w:rsid w:val="41CE5E71"/>
    <w:rsid w:val="41E40BCF"/>
    <w:rsid w:val="42E2D30C"/>
    <w:rsid w:val="4321E75C"/>
    <w:rsid w:val="438C574C"/>
    <w:rsid w:val="439C9A12"/>
    <w:rsid w:val="43BBA9BD"/>
    <w:rsid w:val="4444C968"/>
    <w:rsid w:val="44839E22"/>
    <w:rsid w:val="44B62C0C"/>
    <w:rsid w:val="453A3BB6"/>
    <w:rsid w:val="45781A9C"/>
    <w:rsid w:val="45F528CF"/>
    <w:rsid w:val="46799578"/>
    <w:rsid w:val="46874EEE"/>
    <w:rsid w:val="4688A737"/>
    <w:rsid w:val="4711E963"/>
    <w:rsid w:val="4713EAFD"/>
    <w:rsid w:val="471E6E55"/>
    <w:rsid w:val="4724392F"/>
    <w:rsid w:val="478C0EF8"/>
    <w:rsid w:val="48C51EF1"/>
    <w:rsid w:val="48D2D35A"/>
    <w:rsid w:val="49030203"/>
    <w:rsid w:val="490C513B"/>
    <w:rsid w:val="490FDB14"/>
    <w:rsid w:val="4964F783"/>
    <w:rsid w:val="49AA6396"/>
    <w:rsid w:val="49C047F9"/>
    <w:rsid w:val="4A1F2469"/>
    <w:rsid w:val="4A78CEE8"/>
    <w:rsid w:val="4AE25E56"/>
    <w:rsid w:val="4B9E4CC2"/>
    <w:rsid w:val="4BBAF4CA"/>
    <w:rsid w:val="4BCD9726"/>
    <w:rsid w:val="4BE92041"/>
    <w:rsid w:val="4BED480C"/>
    <w:rsid w:val="4BEEB157"/>
    <w:rsid w:val="4C346D85"/>
    <w:rsid w:val="4CE24D46"/>
    <w:rsid w:val="4D89186D"/>
    <w:rsid w:val="4DB004B1"/>
    <w:rsid w:val="4E09614D"/>
    <w:rsid w:val="4E68FB4E"/>
    <w:rsid w:val="4F388387"/>
    <w:rsid w:val="4F473EB0"/>
    <w:rsid w:val="4F4C34B7"/>
    <w:rsid w:val="4F6C0E47"/>
    <w:rsid w:val="4F6F7B7C"/>
    <w:rsid w:val="5080B6EB"/>
    <w:rsid w:val="50997680"/>
    <w:rsid w:val="50C611E2"/>
    <w:rsid w:val="50DBB625"/>
    <w:rsid w:val="51043D13"/>
    <w:rsid w:val="510A2D8B"/>
    <w:rsid w:val="51B09FC7"/>
    <w:rsid w:val="51C4563E"/>
    <w:rsid w:val="5273D17D"/>
    <w:rsid w:val="53791CF3"/>
    <w:rsid w:val="53D945A8"/>
    <w:rsid w:val="542ABB5D"/>
    <w:rsid w:val="5480D70F"/>
    <w:rsid w:val="548B502D"/>
    <w:rsid w:val="550A4453"/>
    <w:rsid w:val="5551CCFE"/>
    <w:rsid w:val="55A35615"/>
    <w:rsid w:val="55BEC9F4"/>
    <w:rsid w:val="55DB4FCB"/>
    <w:rsid w:val="563A7490"/>
    <w:rsid w:val="56648930"/>
    <w:rsid w:val="56F1D3CA"/>
    <w:rsid w:val="58A2C7C4"/>
    <w:rsid w:val="58FED42D"/>
    <w:rsid w:val="5991C63C"/>
    <w:rsid w:val="599FB31D"/>
    <w:rsid w:val="59D7A848"/>
    <w:rsid w:val="5A2D28D7"/>
    <w:rsid w:val="5B227C38"/>
    <w:rsid w:val="5B88CBF0"/>
    <w:rsid w:val="5BBB57B2"/>
    <w:rsid w:val="5C3168F2"/>
    <w:rsid w:val="5C96ADAA"/>
    <w:rsid w:val="5D586A2E"/>
    <w:rsid w:val="5E75FA72"/>
    <w:rsid w:val="5E819897"/>
    <w:rsid w:val="5EDD61A9"/>
    <w:rsid w:val="5F0D3F5C"/>
    <w:rsid w:val="5F7ED30E"/>
    <w:rsid w:val="5F8F7F0B"/>
    <w:rsid w:val="5FBAB86C"/>
    <w:rsid w:val="5FE257CD"/>
    <w:rsid w:val="60223139"/>
    <w:rsid w:val="6032DED9"/>
    <w:rsid w:val="603E3EAC"/>
    <w:rsid w:val="60A68DD9"/>
    <w:rsid w:val="60BB2EDF"/>
    <w:rsid w:val="612B4F6C"/>
    <w:rsid w:val="61B1778F"/>
    <w:rsid w:val="61C03D06"/>
    <w:rsid w:val="620318E4"/>
    <w:rsid w:val="62472B49"/>
    <w:rsid w:val="62704823"/>
    <w:rsid w:val="629D4CFC"/>
    <w:rsid w:val="63279B08"/>
    <w:rsid w:val="632EAA3A"/>
    <w:rsid w:val="6349078A"/>
    <w:rsid w:val="63496B95"/>
    <w:rsid w:val="635D1E7E"/>
    <w:rsid w:val="63AFDB31"/>
    <w:rsid w:val="63BBE946"/>
    <w:rsid w:val="6507E393"/>
    <w:rsid w:val="6515DB67"/>
    <w:rsid w:val="6594EB7A"/>
    <w:rsid w:val="65F32796"/>
    <w:rsid w:val="6655209E"/>
    <w:rsid w:val="66C6DA91"/>
    <w:rsid w:val="66D8643E"/>
    <w:rsid w:val="679CED4C"/>
    <w:rsid w:val="6820B913"/>
    <w:rsid w:val="68834C54"/>
    <w:rsid w:val="68C4C162"/>
    <w:rsid w:val="68CBF1C0"/>
    <w:rsid w:val="68E9F680"/>
    <w:rsid w:val="69E343FF"/>
    <w:rsid w:val="6A1EB0FF"/>
    <w:rsid w:val="6A7A7002"/>
    <w:rsid w:val="6B3816A0"/>
    <w:rsid w:val="6BB93026"/>
    <w:rsid w:val="6BF879D6"/>
    <w:rsid w:val="6C0680B3"/>
    <w:rsid w:val="6C51BFAD"/>
    <w:rsid w:val="6D08C582"/>
    <w:rsid w:val="6D3B4FAF"/>
    <w:rsid w:val="6D65D34D"/>
    <w:rsid w:val="6DCF11C6"/>
    <w:rsid w:val="6E25C93C"/>
    <w:rsid w:val="6E626A64"/>
    <w:rsid w:val="6F1688B5"/>
    <w:rsid w:val="6F7FE12F"/>
    <w:rsid w:val="6FEBC8B4"/>
    <w:rsid w:val="70024EC4"/>
    <w:rsid w:val="707DF440"/>
    <w:rsid w:val="709BDC15"/>
    <w:rsid w:val="70E58C8C"/>
    <w:rsid w:val="70E94479"/>
    <w:rsid w:val="70FB406B"/>
    <w:rsid w:val="71C79B59"/>
    <w:rsid w:val="71F59875"/>
    <w:rsid w:val="720B2D60"/>
    <w:rsid w:val="720D75AE"/>
    <w:rsid w:val="72830E3C"/>
    <w:rsid w:val="729D2CC2"/>
    <w:rsid w:val="72A9F7B9"/>
    <w:rsid w:val="72C949E6"/>
    <w:rsid w:val="72D45BE8"/>
    <w:rsid w:val="72E5311D"/>
    <w:rsid w:val="7339EF86"/>
    <w:rsid w:val="7371D21D"/>
    <w:rsid w:val="74743CFF"/>
    <w:rsid w:val="748A17E6"/>
    <w:rsid w:val="74DA8F3F"/>
    <w:rsid w:val="74F6BB69"/>
    <w:rsid w:val="755BB78C"/>
    <w:rsid w:val="75613DF2"/>
    <w:rsid w:val="75E1987B"/>
    <w:rsid w:val="76324CA9"/>
    <w:rsid w:val="765B0A38"/>
    <w:rsid w:val="76683013"/>
    <w:rsid w:val="76D0F6D9"/>
    <w:rsid w:val="775F17C7"/>
    <w:rsid w:val="782D63D0"/>
    <w:rsid w:val="78E9A4A0"/>
    <w:rsid w:val="79117773"/>
    <w:rsid w:val="792B890A"/>
    <w:rsid w:val="7AA68CBE"/>
    <w:rsid w:val="7B56CAB4"/>
    <w:rsid w:val="7B81852E"/>
    <w:rsid w:val="7C365957"/>
    <w:rsid w:val="7C75E586"/>
    <w:rsid w:val="7C96498F"/>
    <w:rsid w:val="7CACA321"/>
    <w:rsid w:val="7D12F96B"/>
    <w:rsid w:val="7E3EB908"/>
    <w:rsid w:val="7F204502"/>
    <w:rsid w:val="7F2DA9E6"/>
    <w:rsid w:val="7F3B5D61"/>
    <w:rsid w:val="7F3D08AB"/>
    <w:rsid w:val="7F90A3BA"/>
    <w:rsid w:val="7FA67A1A"/>
    <w:rsid w:val="7FDA43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DB5C5"/>
  <w15:chartTrackingRefBased/>
  <w15:docId w15:val="{10A66B6E-D79F-4BB7-A319-05586A03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A0E"/>
    <w:pPr>
      <w:spacing w:after="0" w:line="240" w:lineRule="auto"/>
    </w:pPr>
    <w:rPr>
      <w:rFonts w:ascii="Times New Roman" w:eastAsia="Times New Roman" w:hAnsi="Times New Roman" w:cs="Times New Roman"/>
      <w:sz w:val="24"/>
      <w:szCs w:val="24"/>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67D18"/>
    <w:pPr>
      <w:tabs>
        <w:tab w:val="center" w:pos="4252"/>
        <w:tab w:val="right" w:pos="8504"/>
      </w:tabs>
    </w:pPr>
    <w:rPr>
      <w:lang w:eastAsia="es-ES"/>
    </w:rPr>
  </w:style>
  <w:style w:type="character" w:customStyle="1" w:styleId="EncabezadoCar">
    <w:name w:val="Encabezado Car"/>
    <w:basedOn w:val="Fuentedeprrafopredeter"/>
    <w:link w:val="Encabezado"/>
    <w:rsid w:val="00967D18"/>
    <w:rPr>
      <w:rFonts w:ascii="Times New Roman" w:eastAsia="Times New Roman" w:hAnsi="Times New Roman" w:cs="Times New Roman"/>
      <w:sz w:val="24"/>
      <w:szCs w:val="24"/>
      <w:lang w:val="es-CO" w:eastAsia="es-ES"/>
    </w:rPr>
  </w:style>
  <w:style w:type="paragraph" w:styleId="Piedepgina">
    <w:name w:val="footer"/>
    <w:basedOn w:val="Normal"/>
    <w:link w:val="PiedepginaCar"/>
    <w:uiPriority w:val="99"/>
    <w:rsid w:val="00967D18"/>
    <w:pPr>
      <w:tabs>
        <w:tab w:val="center" w:pos="4252"/>
        <w:tab w:val="right" w:pos="8504"/>
      </w:tabs>
    </w:pPr>
    <w:rPr>
      <w:lang w:eastAsia="es-ES"/>
    </w:rPr>
  </w:style>
  <w:style w:type="character" w:customStyle="1" w:styleId="PiedepginaCar">
    <w:name w:val="Pie de página Car"/>
    <w:basedOn w:val="Fuentedeprrafopredeter"/>
    <w:link w:val="Piedepgina"/>
    <w:uiPriority w:val="99"/>
    <w:rsid w:val="00967D18"/>
    <w:rPr>
      <w:rFonts w:ascii="Times New Roman" w:eastAsia="Times New Roman" w:hAnsi="Times New Roman" w:cs="Times New Roman"/>
      <w:sz w:val="24"/>
      <w:szCs w:val="24"/>
      <w:lang w:val="es-CO" w:eastAsia="es-ES"/>
    </w:rPr>
  </w:style>
  <w:style w:type="paragraph" w:styleId="NormalWeb">
    <w:name w:val="Normal (Web)"/>
    <w:basedOn w:val="Normal"/>
    <w:uiPriority w:val="99"/>
    <w:unhideWhenUsed/>
    <w:rsid w:val="00967D18"/>
    <w:pPr>
      <w:spacing w:before="100" w:beforeAutospacing="1" w:after="100" w:afterAutospacing="1"/>
    </w:pPr>
    <w:rPr>
      <w:lang w:val="es-ES" w:eastAsia="es-ES"/>
    </w:rPr>
  </w:style>
  <w:style w:type="paragraph" w:styleId="Ttulo">
    <w:name w:val="Title"/>
    <w:basedOn w:val="Normal"/>
    <w:link w:val="TtuloCar"/>
    <w:qFormat/>
    <w:rsid w:val="00967D18"/>
    <w:pPr>
      <w:spacing w:line="360" w:lineRule="auto"/>
      <w:jc w:val="center"/>
    </w:pPr>
    <w:rPr>
      <w:rFonts w:ascii="Verdana" w:hAnsi="Verdana"/>
      <w:sz w:val="28"/>
      <w:szCs w:val="28"/>
      <w:lang w:val="es-ES_tradnl" w:eastAsia="es-MX"/>
    </w:rPr>
  </w:style>
  <w:style w:type="character" w:customStyle="1" w:styleId="TtuloCar">
    <w:name w:val="Título Car"/>
    <w:basedOn w:val="Fuentedeprrafopredeter"/>
    <w:link w:val="Ttulo"/>
    <w:rsid w:val="00967D18"/>
    <w:rPr>
      <w:rFonts w:ascii="Verdana" w:eastAsia="Times New Roman" w:hAnsi="Verdana" w:cs="Times New Roman"/>
      <w:sz w:val="28"/>
      <w:szCs w:val="28"/>
      <w:lang w:val="es-ES_tradnl" w:eastAsia="es-MX"/>
    </w:rPr>
  </w:style>
  <w:style w:type="paragraph" w:styleId="Textoindependiente2">
    <w:name w:val="Body Text 2"/>
    <w:basedOn w:val="Normal"/>
    <w:link w:val="Textoindependiente2Car"/>
    <w:uiPriority w:val="99"/>
    <w:unhideWhenUsed/>
    <w:rsid w:val="00967D18"/>
    <w:pPr>
      <w:spacing w:after="120" w:line="480" w:lineRule="auto"/>
    </w:pPr>
    <w:rPr>
      <w:lang w:val="es-ES" w:eastAsia="es-ES"/>
    </w:rPr>
  </w:style>
  <w:style w:type="character" w:customStyle="1" w:styleId="Textoindependiente2Car">
    <w:name w:val="Texto independiente 2 Car"/>
    <w:basedOn w:val="Fuentedeprrafopredeter"/>
    <w:link w:val="Textoindependiente2"/>
    <w:uiPriority w:val="99"/>
    <w:rsid w:val="00967D18"/>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4D7674"/>
    <w:pPr>
      <w:spacing w:after="120"/>
    </w:pPr>
    <w:rPr>
      <w:sz w:val="16"/>
      <w:szCs w:val="16"/>
      <w:lang w:eastAsia="es-ES"/>
    </w:rPr>
  </w:style>
  <w:style w:type="character" w:customStyle="1" w:styleId="Textoindependiente3Car">
    <w:name w:val="Texto independiente 3 Car"/>
    <w:basedOn w:val="Fuentedeprrafopredeter"/>
    <w:link w:val="Textoindependiente3"/>
    <w:uiPriority w:val="99"/>
    <w:semiHidden/>
    <w:rsid w:val="004D7674"/>
    <w:rPr>
      <w:rFonts w:ascii="Times New Roman" w:eastAsia="Times New Roman" w:hAnsi="Times New Roman" w:cs="Times New Roman"/>
      <w:sz w:val="16"/>
      <w:szCs w:val="16"/>
      <w:lang w:val="es-CO" w:eastAsia="es-ES"/>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texto de nota al pi,Footnote refere"/>
    <w:basedOn w:val="Normal"/>
    <w:link w:val="TextonotapieCar"/>
    <w:uiPriority w:val="99"/>
    <w:unhideWhenUsed/>
    <w:rsid w:val="004D7674"/>
    <w:pPr>
      <w:widowControl w:val="0"/>
      <w:overflowPunct w:val="0"/>
      <w:autoSpaceDE w:val="0"/>
      <w:autoSpaceDN w:val="0"/>
      <w:adjustRightInd w:val="0"/>
    </w:pPr>
    <w:rPr>
      <w:kern w:val="28"/>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uiPriority w:val="99"/>
    <w:rsid w:val="004D7674"/>
    <w:rPr>
      <w:rFonts w:ascii="Times New Roman" w:eastAsia="Times New Roman" w:hAnsi="Times New Roman" w:cs="Times New Roman"/>
      <w:kern w:val="28"/>
      <w:sz w:val="20"/>
      <w:szCs w:val="20"/>
      <w:lang w:eastAsia="es-ES"/>
    </w:rPr>
  </w:style>
  <w:style w:type="character" w:styleId="Refdenotaalpie">
    <w:name w:val="footnote reference"/>
    <w:aliases w:val="Texto de nota al pie,referencia nota al pie"/>
    <w:uiPriority w:val="99"/>
    <w:unhideWhenUsed/>
    <w:rsid w:val="004D7674"/>
    <w:rPr>
      <w:vertAlign w:val="superscript"/>
    </w:rPr>
  </w:style>
  <w:style w:type="paragraph" w:styleId="Textoindependiente">
    <w:name w:val="Body Text"/>
    <w:basedOn w:val="Normal"/>
    <w:link w:val="TextoindependienteCar"/>
    <w:uiPriority w:val="99"/>
    <w:semiHidden/>
    <w:unhideWhenUsed/>
    <w:rsid w:val="005474F0"/>
    <w:pPr>
      <w:spacing w:after="120"/>
    </w:pPr>
    <w:rPr>
      <w:lang w:eastAsia="es-ES"/>
    </w:rPr>
  </w:style>
  <w:style w:type="character" w:customStyle="1" w:styleId="TextoindependienteCar">
    <w:name w:val="Texto independiente Car"/>
    <w:basedOn w:val="Fuentedeprrafopredeter"/>
    <w:link w:val="Textoindependiente"/>
    <w:uiPriority w:val="99"/>
    <w:semiHidden/>
    <w:rsid w:val="005474F0"/>
    <w:rPr>
      <w:rFonts w:ascii="Times New Roman" w:eastAsia="Times New Roman" w:hAnsi="Times New Roman" w:cs="Times New Roman"/>
      <w:sz w:val="24"/>
      <w:szCs w:val="24"/>
      <w:lang w:val="es-CO" w:eastAsia="es-ES"/>
    </w:rPr>
  </w:style>
  <w:style w:type="paragraph" w:customStyle="1" w:styleId="Textopredeterminado">
    <w:name w:val="Texto predeterminado"/>
    <w:basedOn w:val="Normal"/>
    <w:rsid w:val="002F5E40"/>
    <w:pPr>
      <w:overflowPunct w:val="0"/>
      <w:autoSpaceDE w:val="0"/>
      <w:autoSpaceDN w:val="0"/>
      <w:adjustRightInd w:val="0"/>
      <w:textAlignment w:val="baseline"/>
    </w:pPr>
    <w:rPr>
      <w:color w:val="000000"/>
      <w:szCs w:val="20"/>
      <w:lang w:eastAsia="es-ES"/>
    </w:rPr>
  </w:style>
  <w:style w:type="paragraph" w:styleId="Sinespaciado">
    <w:name w:val="No Spacing"/>
    <w:link w:val="SinespaciadoCar"/>
    <w:uiPriority w:val="1"/>
    <w:qFormat/>
    <w:rsid w:val="002F5E40"/>
    <w:pPr>
      <w:spacing w:after="0" w:line="240" w:lineRule="auto"/>
    </w:pPr>
    <w:rPr>
      <w:rFonts w:ascii="Calibri" w:eastAsia="Times New Roman" w:hAnsi="Calibri" w:cs="Times New Roman"/>
      <w:lang w:eastAsia="es-ES"/>
    </w:rPr>
  </w:style>
  <w:style w:type="character" w:customStyle="1" w:styleId="SinespaciadoCar">
    <w:name w:val="Sin espaciado Car"/>
    <w:link w:val="Sinespaciado"/>
    <w:uiPriority w:val="1"/>
    <w:locked/>
    <w:rsid w:val="002F5E40"/>
    <w:rPr>
      <w:rFonts w:ascii="Calibri" w:eastAsia="Times New Roman" w:hAnsi="Calibri" w:cs="Times New Roman"/>
      <w:lang w:eastAsia="es-ES"/>
    </w:rPr>
  </w:style>
  <w:style w:type="paragraph" w:styleId="Prrafodelista">
    <w:name w:val="List Paragraph"/>
    <w:basedOn w:val="Normal"/>
    <w:uiPriority w:val="34"/>
    <w:qFormat/>
    <w:rsid w:val="00E86FA5"/>
    <w:pPr>
      <w:ind w:left="720"/>
      <w:contextualSpacing/>
    </w:pPr>
    <w:rPr>
      <w:lang w:eastAsia="es-ES"/>
    </w:rPr>
  </w:style>
  <w:style w:type="paragraph" w:styleId="Textodeglobo">
    <w:name w:val="Balloon Text"/>
    <w:basedOn w:val="Normal"/>
    <w:link w:val="TextodegloboCar"/>
    <w:uiPriority w:val="99"/>
    <w:semiHidden/>
    <w:unhideWhenUsed/>
    <w:rsid w:val="005D6F9C"/>
    <w:rPr>
      <w:rFonts w:ascii="Segoe UI" w:hAnsi="Segoe UI" w:cs="Segoe UI"/>
      <w:sz w:val="18"/>
      <w:szCs w:val="18"/>
      <w:lang w:eastAsia="es-ES"/>
    </w:rPr>
  </w:style>
  <w:style w:type="character" w:customStyle="1" w:styleId="TextodegloboCar">
    <w:name w:val="Texto de globo Car"/>
    <w:basedOn w:val="Fuentedeprrafopredeter"/>
    <w:link w:val="Textodeglobo"/>
    <w:uiPriority w:val="99"/>
    <w:semiHidden/>
    <w:rsid w:val="005D6F9C"/>
    <w:rPr>
      <w:rFonts w:ascii="Segoe UI" w:eastAsia="Times New Roman" w:hAnsi="Segoe UI" w:cs="Segoe UI"/>
      <w:sz w:val="18"/>
      <w:szCs w:val="18"/>
      <w:lang w:val="es-CO" w:eastAsia="es-ES"/>
    </w:rPr>
  </w:style>
  <w:style w:type="character" w:customStyle="1" w:styleId="normaltextrun">
    <w:name w:val="normaltextrun"/>
    <w:basedOn w:val="Fuentedeprrafopredeter"/>
    <w:rsid w:val="007609F0"/>
  </w:style>
  <w:style w:type="paragraph" w:customStyle="1" w:styleId="paragraph">
    <w:name w:val="paragraph"/>
    <w:basedOn w:val="Normal"/>
    <w:rsid w:val="007609F0"/>
    <w:pPr>
      <w:spacing w:before="100" w:beforeAutospacing="1" w:after="100" w:afterAutospacing="1"/>
    </w:pPr>
    <w:rPr>
      <w:lang w:eastAsia="es-CO"/>
    </w:rPr>
  </w:style>
  <w:style w:type="character" w:customStyle="1" w:styleId="eop">
    <w:name w:val="eop"/>
    <w:basedOn w:val="Fuentedeprrafopredeter"/>
    <w:rsid w:val="007609F0"/>
  </w:style>
  <w:style w:type="paragraph" w:styleId="Textocomentario">
    <w:name w:val="annotation text"/>
    <w:basedOn w:val="Normal"/>
    <w:link w:val="TextocomentarioCar"/>
    <w:uiPriority w:val="99"/>
    <w:semiHidden/>
    <w:unhideWhenUsed/>
    <w:rPr>
      <w:sz w:val="20"/>
      <w:szCs w:val="20"/>
      <w:lang w:eastAsia="es-ES"/>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CO" w:eastAsia="es-ES"/>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303662">
      <w:bodyDiv w:val="1"/>
      <w:marLeft w:val="0"/>
      <w:marRight w:val="0"/>
      <w:marTop w:val="0"/>
      <w:marBottom w:val="0"/>
      <w:divBdr>
        <w:top w:val="none" w:sz="0" w:space="0" w:color="auto"/>
        <w:left w:val="none" w:sz="0" w:space="0" w:color="auto"/>
        <w:bottom w:val="none" w:sz="0" w:space="0" w:color="auto"/>
        <w:right w:val="none" w:sz="0" w:space="0" w:color="auto"/>
      </w:divBdr>
    </w:div>
    <w:div w:id="549466339">
      <w:bodyDiv w:val="1"/>
      <w:marLeft w:val="0"/>
      <w:marRight w:val="0"/>
      <w:marTop w:val="0"/>
      <w:marBottom w:val="0"/>
      <w:divBdr>
        <w:top w:val="none" w:sz="0" w:space="0" w:color="auto"/>
        <w:left w:val="none" w:sz="0" w:space="0" w:color="auto"/>
        <w:bottom w:val="none" w:sz="0" w:space="0" w:color="auto"/>
        <w:right w:val="none" w:sz="0" w:space="0" w:color="auto"/>
      </w:divBdr>
      <w:divsChild>
        <w:div w:id="1877425216">
          <w:marLeft w:val="0"/>
          <w:marRight w:val="0"/>
          <w:marTop w:val="0"/>
          <w:marBottom w:val="0"/>
          <w:divBdr>
            <w:top w:val="none" w:sz="0" w:space="0" w:color="auto"/>
            <w:left w:val="none" w:sz="0" w:space="0" w:color="auto"/>
            <w:bottom w:val="none" w:sz="0" w:space="0" w:color="auto"/>
            <w:right w:val="none" w:sz="0" w:space="0" w:color="auto"/>
          </w:divBdr>
        </w:div>
        <w:div w:id="76481265">
          <w:marLeft w:val="0"/>
          <w:marRight w:val="0"/>
          <w:marTop w:val="0"/>
          <w:marBottom w:val="0"/>
          <w:divBdr>
            <w:top w:val="none" w:sz="0" w:space="0" w:color="auto"/>
            <w:left w:val="none" w:sz="0" w:space="0" w:color="auto"/>
            <w:bottom w:val="none" w:sz="0" w:space="0" w:color="auto"/>
            <w:right w:val="none" w:sz="0" w:space="0" w:color="auto"/>
          </w:divBdr>
        </w:div>
        <w:div w:id="1472866731">
          <w:marLeft w:val="0"/>
          <w:marRight w:val="0"/>
          <w:marTop w:val="0"/>
          <w:marBottom w:val="0"/>
          <w:divBdr>
            <w:top w:val="none" w:sz="0" w:space="0" w:color="auto"/>
            <w:left w:val="none" w:sz="0" w:space="0" w:color="auto"/>
            <w:bottom w:val="none" w:sz="0" w:space="0" w:color="auto"/>
            <w:right w:val="none" w:sz="0" w:space="0" w:color="auto"/>
          </w:divBdr>
        </w:div>
        <w:div w:id="227351801">
          <w:marLeft w:val="0"/>
          <w:marRight w:val="0"/>
          <w:marTop w:val="0"/>
          <w:marBottom w:val="0"/>
          <w:divBdr>
            <w:top w:val="none" w:sz="0" w:space="0" w:color="auto"/>
            <w:left w:val="none" w:sz="0" w:space="0" w:color="auto"/>
            <w:bottom w:val="none" w:sz="0" w:space="0" w:color="auto"/>
            <w:right w:val="none" w:sz="0" w:space="0" w:color="auto"/>
          </w:divBdr>
        </w:div>
        <w:div w:id="247277774">
          <w:marLeft w:val="0"/>
          <w:marRight w:val="0"/>
          <w:marTop w:val="0"/>
          <w:marBottom w:val="0"/>
          <w:divBdr>
            <w:top w:val="none" w:sz="0" w:space="0" w:color="auto"/>
            <w:left w:val="none" w:sz="0" w:space="0" w:color="auto"/>
            <w:bottom w:val="none" w:sz="0" w:space="0" w:color="auto"/>
            <w:right w:val="none" w:sz="0" w:space="0" w:color="auto"/>
          </w:divBdr>
        </w:div>
        <w:div w:id="1972201496">
          <w:marLeft w:val="0"/>
          <w:marRight w:val="0"/>
          <w:marTop w:val="0"/>
          <w:marBottom w:val="0"/>
          <w:divBdr>
            <w:top w:val="none" w:sz="0" w:space="0" w:color="auto"/>
            <w:left w:val="none" w:sz="0" w:space="0" w:color="auto"/>
            <w:bottom w:val="none" w:sz="0" w:space="0" w:color="auto"/>
            <w:right w:val="none" w:sz="0" w:space="0" w:color="auto"/>
          </w:divBdr>
        </w:div>
        <w:div w:id="2079395267">
          <w:marLeft w:val="0"/>
          <w:marRight w:val="0"/>
          <w:marTop w:val="0"/>
          <w:marBottom w:val="0"/>
          <w:divBdr>
            <w:top w:val="none" w:sz="0" w:space="0" w:color="auto"/>
            <w:left w:val="none" w:sz="0" w:space="0" w:color="auto"/>
            <w:bottom w:val="none" w:sz="0" w:space="0" w:color="auto"/>
            <w:right w:val="none" w:sz="0" w:space="0" w:color="auto"/>
          </w:divBdr>
        </w:div>
        <w:div w:id="1850294164">
          <w:marLeft w:val="0"/>
          <w:marRight w:val="0"/>
          <w:marTop w:val="0"/>
          <w:marBottom w:val="0"/>
          <w:divBdr>
            <w:top w:val="none" w:sz="0" w:space="0" w:color="auto"/>
            <w:left w:val="none" w:sz="0" w:space="0" w:color="auto"/>
            <w:bottom w:val="none" w:sz="0" w:space="0" w:color="auto"/>
            <w:right w:val="none" w:sz="0" w:space="0" w:color="auto"/>
          </w:divBdr>
        </w:div>
        <w:div w:id="732775782">
          <w:marLeft w:val="0"/>
          <w:marRight w:val="0"/>
          <w:marTop w:val="0"/>
          <w:marBottom w:val="0"/>
          <w:divBdr>
            <w:top w:val="none" w:sz="0" w:space="0" w:color="auto"/>
            <w:left w:val="none" w:sz="0" w:space="0" w:color="auto"/>
            <w:bottom w:val="none" w:sz="0" w:space="0" w:color="auto"/>
            <w:right w:val="none" w:sz="0" w:space="0" w:color="auto"/>
          </w:divBdr>
        </w:div>
        <w:div w:id="1885171650">
          <w:marLeft w:val="0"/>
          <w:marRight w:val="0"/>
          <w:marTop w:val="0"/>
          <w:marBottom w:val="0"/>
          <w:divBdr>
            <w:top w:val="none" w:sz="0" w:space="0" w:color="auto"/>
            <w:left w:val="none" w:sz="0" w:space="0" w:color="auto"/>
            <w:bottom w:val="none" w:sz="0" w:space="0" w:color="auto"/>
            <w:right w:val="none" w:sz="0" w:space="0" w:color="auto"/>
          </w:divBdr>
        </w:div>
      </w:divsChild>
    </w:div>
    <w:div w:id="1274282565">
      <w:bodyDiv w:val="1"/>
      <w:marLeft w:val="0"/>
      <w:marRight w:val="0"/>
      <w:marTop w:val="0"/>
      <w:marBottom w:val="0"/>
      <w:divBdr>
        <w:top w:val="none" w:sz="0" w:space="0" w:color="auto"/>
        <w:left w:val="none" w:sz="0" w:space="0" w:color="auto"/>
        <w:bottom w:val="none" w:sz="0" w:space="0" w:color="auto"/>
        <w:right w:val="none" w:sz="0" w:space="0" w:color="auto"/>
      </w:divBdr>
    </w:div>
    <w:div w:id="1321621532">
      <w:bodyDiv w:val="1"/>
      <w:marLeft w:val="0"/>
      <w:marRight w:val="0"/>
      <w:marTop w:val="0"/>
      <w:marBottom w:val="0"/>
      <w:divBdr>
        <w:top w:val="none" w:sz="0" w:space="0" w:color="auto"/>
        <w:left w:val="none" w:sz="0" w:space="0" w:color="auto"/>
        <w:bottom w:val="none" w:sz="0" w:space="0" w:color="auto"/>
        <w:right w:val="none" w:sz="0" w:space="0" w:color="auto"/>
      </w:divBdr>
    </w:div>
    <w:div w:id="181922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1cf287801dce4d5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4" ma:contentTypeDescription="Crear nuevo documento." ma:contentTypeScope="" ma:versionID="c611ed92cf3432d7aebfbf8e07c8d659">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9e62e0efa90537a00ff38c3beb2a0f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C482-DD1F-4BCF-9212-724571167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C11281-759F-46FC-AE06-5814EF87BD7F}">
  <ds:schemaRefs>
    <ds:schemaRef ds:uri="http://schemas.microsoft.com/sharepoint/v3/contenttype/forms"/>
  </ds:schemaRefs>
</ds:datastoreItem>
</file>

<file path=customXml/itemProps3.xml><?xml version="1.0" encoding="utf-8"?>
<ds:datastoreItem xmlns:ds="http://schemas.openxmlformats.org/officeDocument/2006/customXml" ds:itemID="{ADF5F814-9FBB-4AA2-8D7A-9654CDBE86C1}">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267388FC-0430-450A-A853-DFB8C70A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2618</Words>
  <Characters>14924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Lucía Hoyos Sepulveda</dc:creator>
  <cp:keywords/>
  <dc:description/>
  <cp:lastModifiedBy>samsung</cp:lastModifiedBy>
  <cp:revision>17</cp:revision>
  <cp:lastPrinted>2019-10-22T15:36:00Z</cp:lastPrinted>
  <dcterms:created xsi:type="dcterms:W3CDTF">2023-11-15T16:35:00Z</dcterms:created>
  <dcterms:modified xsi:type="dcterms:W3CDTF">2024-02-16T20:24:00Z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