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1A78" w14:textId="688EF771" w:rsidR="0000449E" w:rsidRPr="00EF5CAA" w:rsidRDefault="00EF5CAA" w:rsidP="0000449E">
      <w:pPr>
        <w:jc w:val="both"/>
        <w:textAlignment w:val="baseline"/>
        <w:rPr>
          <w:rFonts w:cs="Arial"/>
          <w:b/>
          <w:sz w:val="20"/>
          <w:szCs w:val="24"/>
          <w:lang w:eastAsia="es-CO"/>
        </w:rPr>
      </w:pPr>
      <w:r>
        <w:rPr>
          <w:rFonts w:cs="Arial"/>
          <w:b/>
          <w:sz w:val="20"/>
          <w:szCs w:val="24"/>
          <w:lang w:eastAsia="es-CO"/>
        </w:rPr>
        <w:t>CONTROL DE LEGALIDAD / REGULACIÓN LEGAL</w:t>
      </w:r>
    </w:p>
    <w:p w14:paraId="4E61DCA0" w14:textId="55EDA7E1" w:rsidR="0000449E" w:rsidRDefault="00EF5CAA" w:rsidP="0000449E">
      <w:pPr>
        <w:jc w:val="both"/>
        <w:textAlignment w:val="baseline"/>
        <w:rPr>
          <w:rFonts w:cs="Arial"/>
          <w:sz w:val="20"/>
          <w:szCs w:val="24"/>
          <w:lang w:eastAsia="es-CO"/>
        </w:rPr>
      </w:pPr>
      <w:r>
        <w:rPr>
          <w:rFonts w:cs="Arial"/>
          <w:sz w:val="20"/>
          <w:szCs w:val="24"/>
          <w:lang w:eastAsia="es-CO"/>
        </w:rPr>
        <w:t xml:space="preserve">… </w:t>
      </w:r>
      <w:r w:rsidRPr="00EF5CAA">
        <w:rPr>
          <w:rFonts w:cs="Arial"/>
          <w:sz w:val="20"/>
          <w:szCs w:val="24"/>
          <w:lang w:eastAsia="es-CO"/>
        </w:rPr>
        <w:t>el numeral 12º del artículo 42 establece que es deber del juez realizar el control de legalidad de la actuación procesal cada vez que se agote una etapa del proceso. En el mismo sentido, el artículo 132 del C.G.P. establece que “agotada cada etapa del proceso” corresponde al juez realizar un control de legalidad para corregir o sanear los vicios que configuren nulidades o cualquier otra irregularidad del proceso</w:t>
      </w:r>
      <w:r>
        <w:rPr>
          <w:rFonts w:cs="Arial"/>
          <w:sz w:val="20"/>
          <w:szCs w:val="24"/>
          <w:lang w:eastAsia="es-CO"/>
        </w:rPr>
        <w:t>…</w:t>
      </w:r>
    </w:p>
    <w:p w14:paraId="7F7B8479" w14:textId="77777777" w:rsidR="00EF5CAA" w:rsidRDefault="00EF5CAA" w:rsidP="0000449E">
      <w:pPr>
        <w:jc w:val="both"/>
        <w:textAlignment w:val="baseline"/>
        <w:rPr>
          <w:rFonts w:cs="Arial"/>
          <w:sz w:val="20"/>
          <w:szCs w:val="24"/>
          <w:lang w:eastAsia="es-CO"/>
        </w:rPr>
      </w:pPr>
    </w:p>
    <w:p w14:paraId="483B90AB" w14:textId="6538CC41" w:rsidR="00993F90" w:rsidRPr="00EF5CAA" w:rsidRDefault="00EF5CAA" w:rsidP="0000449E">
      <w:pPr>
        <w:jc w:val="both"/>
        <w:textAlignment w:val="baseline"/>
        <w:rPr>
          <w:rFonts w:cs="Arial"/>
          <w:b/>
          <w:sz w:val="20"/>
          <w:szCs w:val="24"/>
          <w:lang w:eastAsia="es-CO"/>
        </w:rPr>
      </w:pPr>
      <w:r w:rsidRPr="00EF5CAA">
        <w:rPr>
          <w:rFonts w:cs="Arial"/>
          <w:b/>
          <w:sz w:val="20"/>
          <w:szCs w:val="24"/>
          <w:lang w:eastAsia="es-CO"/>
        </w:rPr>
        <w:t>COMPETENCIA / JURISDICCI</w:t>
      </w:r>
      <w:r w:rsidR="001931A6">
        <w:rPr>
          <w:rFonts w:cs="Arial"/>
          <w:b/>
          <w:sz w:val="20"/>
          <w:szCs w:val="24"/>
          <w:lang w:eastAsia="es-CO"/>
        </w:rPr>
        <w:t xml:space="preserve">ÓN </w:t>
      </w:r>
      <w:r w:rsidRPr="00EF5CAA">
        <w:rPr>
          <w:rFonts w:cs="Arial"/>
          <w:b/>
          <w:sz w:val="20"/>
          <w:szCs w:val="24"/>
          <w:lang w:eastAsia="es-CO"/>
        </w:rPr>
        <w:t>ORDINARIA</w:t>
      </w:r>
      <w:r w:rsidR="00CC55E2">
        <w:rPr>
          <w:rFonts w:cs="Arial"/>
          <w:b/>
          <w:sz w:val="20"/>
          <w:szCs w:val="24"/>
          <w:lang w:eastAsia="es-CO"/>
        </w:rPr>
        <w:t>,</w:t>
      </w:r>
      <w:r w:rsidR="001931A6">
        <w:rPr>
          <w:rFonts w:cs="Arial"/>
          <w:b/>
          <w:sz w:val="20"/>
          <w:szCs w:val="24"/>
          <w:lang w:eastAsia="es-CO"/>
        </w:rPr>
        <w:t xml:space="preserve"> TRABAJADORES OFICIALES / </w:t>
      </w:r>
      <w:r w:rsidRPr="00EF5CAA">
        <w:rPr>
          <w:rFonts w:cs="Arial"/>
          <w:b/>
          <w:sz w:val="20"/>
          <w:szCs w:val="24"/>
          <w:lang w:eastAsia="es-CO"/>
        </w:rPr>
        <w:t>CONTENCIOSA</w:t>
      </w:r>
      <w:r w:rsidR="00CC55E2">
        <w:rPr>
          <w:rFonts w:cs="Arial"/>
          <w:b/>
          <w:sz w:val="20"/>
          <w:szCs w:val="24"/>
          <w:lang w:eastAsia="es-CO"/>
        </w:rPr>
        <w:t xml:space="preserve">, </w:t>
      </w:r>
      <w:r w:rsidR="001931A6">
        <w:rPr>
          <w:rFonts w:cs="Arial"/>
          <w:b/>
          <w:sz w:val="20"/>
          <w:szCs w:val="24"/>
          <w:lang w:eastAsia="es-CO"/>
        </w:rPr>
        <w:t>SERVIDORES PÚBLICOS</w:t>
      </w:r>
      <w:bookmarkStart w:id="0" w:name="_GoBack"/>
      <w:bookmarkEnd w:id="0"/>
    </w:p>
    <w:p w14:paraId="3029D8F2" w14:textId="616102C8" w:rsidR="00993F90" w:rsidRDefault="0000449E" w:rsidP="0000449E">
      <w:pPr>
        <w:jc w:val="both"/>
        <w:textAlignment w:val="baseline"/>
        <w:rPr>
          <w:rFonts w:cs="Arial"/>
          <w:sz w:val="20"/>
          <w:szCs w:val="24"/>
          <w:lang w:eastAsia="es-CO"/>
        </w:rPr>
      </w:pPr>
      <w:r>
        <w:rPr>
          <w:rFonts w:cs="Arial"/>
          <w:sz w:val="20"/>
          <w:szCs w:val="24"/>
          <w:lang w:eastAsia="es-CO"/>
        </w:rPr>
        <w:t xml:space="preserve">… </w:t>
      </w:r>
      <w:r w:rsidRPr="0000449E">
        <w:rPr>
          <w:rFonts w:cs="Arial"/>
          <w:sz w:val="20"/>
          <w:szCs w:val="24"/>
          <w:lang w:eastAsia="es-CO"/>
        </w:rPr>
        <w:t>el numeral 1º del artículo 2º del C.P.L. y de la S.S. modificado por la Ley 1564 de 2012 atribuyó de manera general a la Jurisdicción Ordinaria Laboral la competencia para conocer de los asuntos relativos a los conflictos que se originan directa o indirectame</w:t>
      </w:r>
      <w:r>
        <w:rPr>
          <w:rFonts w:cs="Arial"/>
          <w:sz w:val="20"/>
          <w:szCs w:val="24"/>
          <w:lang w:eastAsia="es-CO"/>
        </w:rPr>
        <w:t xml:space="preserve">nte en el contrato de trabajo. </w:t>
      </w:r>
      <w:r w:rsidRPr="0000449E">
        <w:rPr>
          <w:rFonts w:cs="Arial"/>
          <w:sz w:val="20"/>
          <w:szCs w:val="24"/>
          <w:lang w:eastAsia="es-CO"/>
        </w:rPr>
        <w:t>Por el contrario, y de manera especial el numeral 2º del artículo 104 de la Ley 1473 de 2011 definió la competencia de la Jurisdicción Contencioso Administrativa para conocer de los contratos, cualquiera que sea su régimen, en los que sea parte una entidad pública y en el numeral 4º ibídem establece que también conocerá de las relaciones legales y reglamentarias entre los servidores públicos y el Estado</w:t>
      </w:r>
      <w:r>
        <w:rPr>
          <w:rFonts w:cs="Arial"/>
          <w:sz w:val="20"/>
          <w:szCs w:val="24"/>
          <w:lang w:eastAsia="es-CO"/>
        </w:rPr>
        <w:t>…</w:t>
      </w:r>
    </w:p>
    <w:p w14:paraId="18208028" w14:textId="2655424A" w:rsidR="00993F90" w:rsidRDefault="00993F90" w:rsidP="0000449E">
      <w:pPr>
        <w:jc w:val="both"/>
        <w:textAlignment w:val="baseline"/>
        <w:rPr>
          <w:rFonts w:cs="Arial"/>
          <w:sz w:val="20"/>
          <w:szCs w:val="24"/>
          <w:lang w:eastAsia="es-CO"/>
        </w:rPr>
      </w:pPr>
    </w:p>
    <w:p w14:paraId="2FDCC988" w14:textId="02D86B6B" w:rsidR="00797457" w:rsidRPr="00797457" w:rsidRDefault="00797457" w:rsidP="0000449E">
      <w:pPr>
        <w:jc w:val="both"/>
        <w:textAlignment w:val="baseline"/>
        <w:rPr>
          <w:rFonts w:cs="Arial"/>
          <w:b/>
          <w:sz w:val="20"/>
          <w:szCs w:val="24"/>
          <w:lang w:eastAsia="es-CO"/>
        </w:rPr>
      </w:pPr>
      <w:r>
        <w:rPr>
          <w:rFonts w:cs="Arial"/>
          <w:b/>
          <w:sz w:val="20"/>
          <w:szCs w:val="24"/>
          <w:lang w:eastAsia="es-CO"/>
        </w:rPr>
        <w:t xml:space="preserve">COMPETENCIA / </w:t>
      </w:r>
      <w:r w:rsidR="004109AF">
        <w:rPr>
          <w:rFonts w:cs="Arial"/>
          <w:b/>
          <w:sz w:val="20"/>
          <w:szCs w:val="24"/>
          <w:lang w:eastAsia="es-CO"/>
        </w:rPr>
        <w:t xml:space="preserve">PRIMACÍA DE LA REALIDAD / </w:t>
      </w:r>
      <w:r>
        <w:rPr>
          <w:rFonts w:cs="Arial"/>
          <w:b/>
          <w:sz w:val="20"/>
          <w:szCs w:val="24"/>
          <w:lang w:eastAsia="es-CO"/>
        </w:rPr>
        <w:t xml:space="preserve">CONTRATOS DE PRESTACIÓN DE SERVICIOS / </w:t>
      </w:r>
      <w:r w:rsidR="004109AF">
        <w:rPr>
          <w:rFonts w:cs="Arial"/>
          <w:b/>
          <w:sz w:val="20"/>
          <w:szCs w:val="24"/>
          <w:lang w:eastAsia="es-CO"/>
        </w:rPr>
        <w:t>JURISDICCIÓN CONTENCIOSO ADMINISTRATIVA</w:t>
      </w:r>
    </w:p>
    <w:p w14:paraId="274B2845" w14:textId="71382F89" w:rsidR="00993F90" w:rsidRDefault="00084438" w:rsidP="00797457">
      <w:pPr>
        <w:jc w:val="both"/>
        <w:textAlignment w:val="baseline"/>
        <w:rPr>
          <w:rFonts w:cs="Arial"/>
          <w:sz w:val="20"/>
          <w:szCs w:val="24"/>
          <w:lang w:eastAsia="es-CO"/>
        </w:rPr>
      </w:pPr>
      <w:r w:rsidRPr="00084438">
        <w:rPr>
          <w:rFonts w:cs="Arial"/>
          <w:sz w:val="20"/>
          <w:szCs w:val="24"/>
          <w:lang w:eastAsia="es-CO"/>
        </w:rPr>
        <w:t>Corporación que sentó como tesis que corresponde a la jurisdicción contenciosa administrativa conocer de las controversias en las que se discuten vínculos laborales ocultos bajo contratos de prestación de servicios celebrados con el Estado.</w:t>
      </w:r>
      <w:r>
        <w:rPr>
          <w:rFonts w:cs="Arial"/>
          <w:sz w:val="20"/>
          <w:szCs w:val="24"/>
          <w:lang w:eastAsia="es-CO"/>
        </w:rPr>
        <w:t xml:space="preserve"> (…) </w:t>
      </w:r>
      <w:r w:rsidR="00797457" w:rsidRPr="00797457">
        <w:rPr>
          <w:rFonts w:cs="Arial"/>
          <w:sz w:val="20"/>
          <w:szCs w:val="24"/>
          <w:lang w:eastAsia="es-CO"/>
        </w:rPr>
        <w:t>la Corte Constitucional</w:t>
      </w:r>
      <w:r w:rsidR="00797457">
        <w:rPr>
          <w:rFonts w:cs="Arial"/>
          <w:sz w:val="20"/>
          <w:szCs w:val="24"/>
          <w:lang w:eastAsia="es-CO"/>
        </w:rPr>
        <w:t>…</w:t>
      </w:r>
      <w:r w:rsidR="00797457" w:rsidRPr="00797457">
        <w:rPr>
          <w:rFonts w:cs="Arial"/>
          <w:sz w:val="20"/>
          <w:szCs w:val="24"/>
          <w:lang w:eastAsia="es-CO"/>
        </w:rPr>
        <w:t xml:space="preserve"> explicó que el conocimiento del asunto correspondía a la jurisdicción contencioso administrativa porque:</w:t>
      </w:r>
      <w:r w:rsidR="00797457">
        <w:rPr>
          <w:rFonts w:cs="Arial"/>
          <w:sz w:val="20"/>
          <w:szCs w:val="24"/>
          <w:lang w:eastAsia="es-CO"/>
        </w:rPr>
        <w:t xml:space="preserve"> </w:t>
      </w:r>
      <w:r w:rsidR="00797457" w:rsidRPr="00797457">
        <w:rPr>
          <w:rFonts w:cs="Arial"/>
          <w:sz w:val="20"/>
          <w:szCs w:val="24"/>
          <w:lang w:eastAsia="es-CO"/>
        </w:rPr>
        <w:t>1.</w:t>
      </w:r>
      <w:r w:rsidR="00797457">
        <w:rPr>
          <w:rFonts w:cs="Arial"/>
          <w:sz w:val="20"/>
          <w:szCs w:val="24"/>
          <w:lang w:eastAsia="es-CO"/>
        </w:rPr>
        <w:t xml:space="preserve"> </w:t>
      </w:r>
      <w:r w:rsidR="00797457" w:rsidRPr="00797457">
        <w:rPr>
          <w:rFonts w:cs="Arial"/>
          <w:sz w:val="20"/>
          <w:szCs w:val="24"/>
          <w:lang w:eastAsia="es-CO"/>
        </w:rPr>
        <w:t>Que “la competencia judicial para conocer de las demandas que se presenten en contra de las entidades públicas, con el fin de obtener la declaración de un contrato realidad presuntamente encubierto en la suscripción sucesiva de contratos de prestación de servicios, corresponde a la Jurisdicción de lo Contencioso Administrativo” en la medida que se cuestiona la legalidad de un contrato de prestación de servicios celebrado con una entidad pública, de ahí que solo la contencioso administrativa puede revisar un contrato estatal y determinar si su naturaleza es o no laboral</w:t>
      </w:r>
      <w:r w:rsidR="00797457">
        <w:rPr>
          <w:rFonts w:cs="Arial"/>
          <w:sz w:val="20"/>
          <w:szCs w:val="24"/>
          <w:lang w:eastAsia="es-CO"/>
        </w:rPr>
        <w:t>”</w:t>
      </w:r>
      <w:r w:rsidR="00797457" w:rsidRPr="00797457">
        <w:rPr>
          <w:rFonts w:cs="Arial"/>
          <w:sz w:val="20"/>
          <w:szCs w:val="24"/>
          <w:lang w:eastAsia="es-CO"/>
        </w:rPr>
        <w:t>.</w:t>
      </w:r>
    </w:p>
    <w:p w14:paraId="74C3B53D" w14:textId="130CD482" w:rsidR="00993F90" w:rsidRDefault="00993F90" w:rsidP="0000449E">
      <w:pPr>
        <w:jc w:val="both"/>
        <w:textAlignment w:val="baseline"/>
        <w:rPr>
          <w:rFonts w:cs="Arial"/>
          <w:sz w:val="20"/>
          <w:szCs w:val="24"/>
          <w:lang w:eastAsia="es-CO"/>
        </w:rPr>
      </w:pPr>
    </w:p>
    <w:p w14:paraId="6E4146A1" w14:textId="593F92A9" w:rsidR="00993F90" w:rsidRDefault="00993F90" w:rsidP="0000449E">
      <w:pPr>
        <w:jc w:val="both"/>
        <w:textAlignment w:val="baseline"/>
        <w:rPr>
          <w:rFonts w:cs="Arial"/>
          <w:sz w:val="20"/>
          <w:szCs w:val="24"/>
          <w:lang w:eastAsia="es-CO"/>
        </w:rPr>
      </w:pPr>
    </w:p>
    <w:p w14:paraId="76EA471E" w14:textId="0064999D" w:rsidR="00993F90" w:rsidRDefault="00993F90" w:rsidP="0000449E">
      <w:pPr>
        <w:jc w:val="both"/>
        <w:textAlignment w:val="baseline"/>
        <w:rPr>
          <w:rFonts w:cs="Arial"/>
          <w:sz w:val="20"/>
          <w:szCs w:val="24"/>
          <w:lang w:eastAsia="es-CO"/>
        </w:rPr>
      </w:pPr>
    </w:p>
    <w:p w14:paraId="50749A2C" w14:textId="77777777" w:rsidR="00993F90" w:rsidRPr="00993F90" w:rsidRDefault="00993F90" w:rsidP="00993F90">
      <w:pPr>
        <w:spacing w:line="276" w:lineRule="auto"/>
        <w:jc w:val="center"/>
        <w:textAlignment w:val="baseline"/>
        <w:rPr>
          <w:rFonts w:cs="Arial"/>
          <w:szCs w:val="24"/>
          <w:lang w:eastAsia="es-CO"/>
        </w:rPr>
      </w:pPr>
      <w:r w:rsidRPr="00993F90">
        <w:rPr>
          <w:rFonts w:cs="Arial"/>
          <w:noProof/>
          <w:szCs w:val="24"/>
          <w:lang w:val="en-US" w:eastAsia="en-US"/>
        </w:rPr>
        <w:drawing>
          <wp:inline distT="0" distB="0" distL="0" distR="0" wp14:anchorId="556A4BE5" wp14:editId="69EE792A">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993F90">
        <w:rPr>
          <w:rFonts w:cs="Arial"/>
          <w:szCs w:val="24"/>
          <w:lang w:eastAsia="es-CO"/>
        </w:rPr>
        <w:t> </w:t>
      </w:r>
    </w:p>
    <w:p w14:paraId="244B7728" w14:textId="77777777" w:rsidR="00993F90" w:rsidRPr="00993F90" w:rsidRDefault="00993F90" w:rsidP="00993F90">
      <w:pPr>
        <w:spacing w:line="276" w:lineRule="auto"/>
        <w:jc w:val="center"/>
        <w:textAlignment w:val="baseline"/>
        <w:rPr>
          <w:rFonts w:cs="Arial"/>
          <w:szCs w:val="24"/>
          <w:lang w:eastAsia="es-CO"/>
        </w:rPr>
      </w:pPr>
      <w:r w:rsidRPr="00993F90">
        <w:rPr>
          <w:rFonts w:cs="Arial"/>
          <w:b/>
          <w:bCs/>
          <w:szCs w:val="24"/>
          <w:lang w:val="es-ES" w:eastAsia="es-CO"/>
        </w:rPr>
        <w:t>RAMA JUDICIAL DEL PODER PÚBLICO</w:t>
      </w:r>
      <w:r w:rsidRPr="00993F90">
        <w:rPr>
          <w:rFonts w:cs="Arial"/>
          <w:szCs w:val="24"/>
          <w:lang w:eastAsia="es-CO"/>
        </w:rPr>
        <w:t> </w:t>
      </w:r>
    </w:p>
    <w:p w14:paraId="7E2705F4" w14:textId="77777777" w:rsidR="00993F90" w:rsidRPr="00993F90" w:rsidRDefault="00993F90" w:rsidP="00993F90">
      <w:pPr>
        <w:spacing w:line="276" w:lineRule="auto"/>
        <w:jc w:val="center"/>
        <w:textAlignment w:val="baseline"/>
        <w:rPr>
          <w:rFonts w:cs="Arial"/>
          <w:szCs w:val="24"/>
          <w:lang w:eastAsia="es-CO"/>
        </w:rPr>
      </w:pPr>
      <w:r w:rsidRPr="00993F90">
        <w:rPr>
          <w:rFonts w:cs="Arial"/>
          <w:b/>
          <w:bCs/>
          <w:szCs w:val="24"/>
          <w:lang w:val="es-ES" w:eastAsia="es-CO"/>
        </w:rPr>
        <w:t>TRIBUNAL SUPERIOR DEL DISTRITO JUDICIAL DE PEREIRA</w:t>
      </w:r>
      <w:r w:rsidRPr="00993F90">
        <w:rPr>
          <w:rFonts w:cs="Arial"/>
          <w:szCs w:val="24"/>
          <w:lang w:eastAsia="es-CO"/>
        </w:rPr>
        <w:t> </w:t>
      </w:r>
    </w:p>
    <w:p w14:paraId="3A1C6C55" w14:textId="77777777" w:rsidR="00993F90" w:rsidRPr="00993F90" w:rsidRDefault="00993F90" w:rsidP="00993F90">
      <w:pPr>
        <w:spacing w:line="276" w:lineRule="auto"/>
        <w:jc w:val="center"/>
        <w:textAlignment w:val="baseline"/>
        <w:rPr>
          <w:rFonts w:cs="Arial"/>
          <w:szCs w:val="24"/>
          <w:lang w:eastAsia="es-CO"/>
        </w:rPr>
      </w:pPr>
      <w:r w:rsidRPr="00993F90">
        <w:rPr>
          <w:rFonts w:cs="Arial"/>
          <w:b/>
          <w:bCs/>
          <w:szCs w:val="24"/>
          <w:lang w:val="es-ES" w:eastAsia="es-CO"/>
        </w:rPr>
        <w:t>SALA DE DECISIÓN LABORAL</w:t>
      </w:r>
      <w:r w:rsidRPr="00993F90">
        <w:rPr>
          <w:rFonts w:cs="Arial"/>
          <w:szCs w:val="24"/>
          <w:lang w:eastAsia="es-CO"/>
        </w:rPr>
        <w:t> </w:t>
      </w:r>
    </w:p>
    <w:p w14:paraId="6F74DB1B" w14:textId="18807E37" w:rsidR="00993F90" w:rsidRPr="00993F90" w:rsidRDefault="00993F90" w:rsidP="00993F90">
      <w:pPr>
        <w:spacing w:line="276" w:lineRule="auto"/>
        <w:jc w:val="both"/>
        <w:textAlignment w:val="baseline"/>
        <w:rPr>
          <w:rFonts w:cs="Arial"/>
          <w:szCs w:val="24"/>
          <w:lang w:eastAsia="es-CO"/>
        </w:rPr>
      </w:pPr>
    </w:p>
    <w:p w14:paraId="7106A007" w14:textId="77777777" w:rsidR="00993F90" w:rsidRPr="00993F90" w:rsidRDefault="00993F90" w:rsidP="00993F90">
      <w:pPr>
        <w:spacing w:line="276" w:lineRule="auto"/>
        <w:jc w:val="center"/>
        <w:textAlignment w:val="baseline"/>
        <w:rPr>
          <w:rFonts w:cs="Arial"/>
          <w:szCs w:val="24"/>
          <w:lang w:eastAsia="es-CO"/>
        </w:rPr>
      </w:pPr>
      <w:r w:rsidRPr="00993F90">
        <w:rPr>
          <w:rFonts w:cs="Arial"/>
          <w:color w:val="000000"/>
          <w:szCs w:val="24"/>
          <w:lang w:val="es-ES" w:eastAsia="es-CO"/>
        </w:rPr>
        <w:t>Magistrada Ponente</w:t>
      </w:r>
      <w:r w:rsidRPr="00993F90">
        <w:rPr>
          <w:rFonts w:cs="Arial"/>
          <w:color w:val="000000"/>
          <w:szCs w:val="24"/>
          <w:lang w:eastAsia="es-CO"/>
        </w:rPr>
        <w:t> </w:t>
      </w:r>
    </w:p>
    <w:p w14:paraId="26362B40" w14:textId="77777777" w:rsidR="00993F90" w:rsidRPr="00993F90" w:rsidRDefault="00993F90" w:rsidP="00993F90">
      <w:pPr>
        <w:spacing w:line="276" w:lineRule="auto"/>
        <w:jc w:val="center"/>
        <w:textAlignment w:val="baseline"/>
        <w:rPr>
          <w:rFonts w:cs="Arial"/>
          <w:szCs w:val="24"/>
          <w:lang w:eastAsia="es-CO"/>
        </w:rPr>
      </w:pPr>
      <w:r w:rsidRPr="00993F90">
        <w:rPr>
          <w:rFonts w:cs="Arial"/>
          <w:b/>
          <w:bCs/>
          <w:color w:val="000000"/>
          <w:szCs w:val="24"/>
          <w:lang w:eastAsia="es-CO"/>
        </w:rPr>
        <w:t>OLGA LUCÍA HOYOS SEPÚLVEDA</w:t>
      </w:r>
      <w:r w:rsidRPr="00993F90">
        <w:rPr>
          <w:rFonts w:cs="Arial"/>
          <w:color w:val="000000"/>
          <w:szCs w:val="24"/>
          <w:lang w:eastAsia="es-CO"/>
        </w:rPr>
        <w:t> </w:t>
      </w:r>
    </w:p>
    <w:p w14:paraId="0725EFB9" w14:textId="1F436AFA" w:rsidR="00993F90" w:rsidRPr="00993F90" w:rsidRDefault="00993F90" w:rsidP="00993F90">
      <w:pPr>
        <w:spacing w:line="276" w:lineRule="auto"/>
        <w:jc w:val="both"/>
        <w:textAlignment w:val="baseline"/>
        <w:rPr>
          <w:rFonts w:cs="Arial"/>
          <w:szCs w:val="24"/>
          <w:lang w:eastAsia="es-CO"/>
        </w:rPr>
      </w:pPr>
    </w:p>
    <w:p w14:paraId="2A35A619" w14:textId="5293FB1B" w:rsidR="008F6DC3" w:rsidRPr="00F8759F" w:rsidRDefault="008F6DC3" w:rsidP="00F8759F">
      <w:pPr>
        <w:pStyle w:val="Ttulo"/>
        <w:spacing w:line="240" w:lineRule="auto"/>
        <w:ind w:left="2124"/>
        <w:jc w:val="left"/>
        <w:rPr>
          <w:rFonts w:ascii="Arial" w:hAnsi="Arial" w:cs="Arial"/>
          <w:sz w:val="22"/>
          <w:szCs w:val="24"/>
        </w:rPr>
      </w:pPr>
      <w:r w:rsidRPr="00F8759F">
        <w:rPr>
          <w:rFonts w:ascii="Arial" w:hAnsi="Arial" w:cs="Arial"/>
          <w:bCs/>
          <w:sz w:val="22"/>
          <w:szCs w:val="24"/>
        </w:rPr>
        <w:t>Asunto.</w:t>
      </w:r>
      <w:r w:rsidRPr="00F8759F">
        <w:rPr>
          <w:rFonts w:ascii="Arial" w:hAnsi="Arial" w:cs="Arial"/>
          <w:sz w:val="22"/>
          <w:szCs w:val="24"/>
        </w:rPr>
        <w:tab/>
      </w:r>
      <w:r w:rsidRPr="00F8759F">
        <w:rPr>
          <w:rFonts w:ascii="Arial" w:hAnsi="Arial" w:cs="Arial"/>
          <w:sz w:val="22"/>
          <w:szCs w:val="24"/>
        </w:rPr>
        <w:tab/>
      </w:r>
      <w:r w:rsidR="00115E17" w:rsidRPr="00F8759F">
        <w:rPr>
          <w:rFonts w:ascii="Arial" w:hAnsi="Arial" w:cs="Arial"/>
          <w:sz w:val="22"/>
          <w:szCs w:val="24"/>
        </w:rPr>
        <w:t>Consulta Sentencia</w:t>
      </w:r>
      <w:r w:rsidRPr="00F8759F">
        <w:rPr>
          <w:rFonts w:ascii="Arial" w:hAnsi="Arial" w:cs="Arial"/>
          <w:sz w:val="22"/>
          <w:szCs w:val="24"/>
        </w:rPr>
        <w:t xml:space="preserve"> </w:t>
      </w:r>
    </w:p>
    <w:p w14:paraId="6731DF47" w14:textId="54D02A91" w:rsidR="008F6DC3" w:rsidRPr="00F8759F" w:rsidRDefault="008F6DC3" w:rsidP="00F8759F">
      <w:pPr>
        <w:pStyle w:val="Ttulo"/>
        <w:spacing w:line="240" w:lineRule="auto"/>
        <w:ind w:left="2124"/>
        <w:jc w:val="left"/>
        <w:rPr>
          <w:rFonts w:ascii="Arial" w:hAnsi="Arial" w:cs="Arial"/>
          <w:sz w:val="22"/>
          <w:szCs w:val="24"/>
        </w:rPr>
      </w:pPr>
      <w:r w:rsidRPr="00F8759F">
        <w:rPr>
          <w:rFonts w:ascii="Arial" w:hAnsi="Arial" w:cs="Arial"/>
          <w:bCs/>
          <w:sz w:val="22"/>
          <w:szCs w:val="24"/>
        </w:rPr>
        <w:t>Proceso.</w:t>
      </w:r>
      <w:r w:rsidRPr="00F8759F">
        <w:rPr>
          <w:rFonts w:ascii="Arial" w:hAnsi="Arial" w:cs="Arial"/>
          <w:sz w:val="22"/>
          <w:szCs w:val="24"/>
        </w:rPr>
        <w:tab/>
      </w:r>
      <w:r w:rsidRPr="00F8759F">
        <w:rPr>
          <w:rFonts w:ascii="Arial" w:hAnsi="Arial" w:cs="Arial"/>
          <w:sz w:val="22"/>
          <w:szCs w:val="24"/>
        </w:rPr>
        <w:tab/>
        <w:t xml:space="preserve">Ordinario Laboral </w:t>
      </w:r>
    </w:p>
    <w:p w14:paraId="7F4F8A98" w14:textId="0429BB78" w:rsidR="008F6DC3" w:rsidRPr="00F8759F" w:rsidRDefault="008F6DC3" w:rsidP="00F8759F">
      <w:pPr>
        <w:pStyle w:val="Ttulo"/>
        <w:spacing w:line="240" w:lineRule="auto"/>
        <w:ind w:left="2124"/>
        <w:jc w:val="left"/>
        <w:rPr>
          <w:rFonts w:ascii="Arial" w:hAnsi="Arial" w:cs="Arial"/>
          <w:bCs/>
          <w:sz w:val="22"/>
          <w:szCs w:val="24"/>
        </w:rPr>
      </w:pPr>
      <w:r w:rsidRPr="00F8759F">
        <w:rPr>
          <w:rFonts w:ascii="Arial" w:hAnsi="Arial" w:cs="Arial"/>
          <w:bCs/>
          <w:sz w:val="22"/>
          <w:szCs w:val="24"/>
        </w:rPr>
        <w:t>Radicación.</w:t>
      </w:r>
      <w:r w:rsidRPr="00F8759F">
        <w:rPr>
          <w:rFonts w:ascii="Arial" w:hAnsi="Arial" w:cs="Arial"/>
          <w:bCs/>
          <w:sz w:val="22"/>
          <w:szCs w:val="24"/>
        </w:rPr>
        <w:tab/>
      </w:r>
      <w:r w:rsidRPr="00F8759F">
        <w:rPr>
          <w:rFonts w:ascii="Arial" w:hAnsi="Arial" w:cs="Arial"/>
          <w:bCs/>
          <w:sz w:val="22"/>
          <w:szCs w:val="24"/>
        </w:rPr>
        <w:tab/>
        <w:t>6</w:t>
      </w:r>
      <w:r w:rsidR="000A17EF">
        <w:rPr>
          <w:rFonts w:ascii="Arial" w:hAnsi="Arial" w:cs="Arial"/>
          <w:bCs/>
          <w:sz w:val="22"/>
          <w:szCs w:val="24"/>
        </w:rPr>
        <w:t>6</w:t>
      </w:r>
      <w:r w:rsidRPr="00F8759F">
        <w:rPr>
          <w:rFonts w:ascii="Arial" w:hAnsi="Arial" w:cs="Arial"/>
          <w:bCs/>
          <w:sz w:val="22"/>
          <w:szCs w:val="24"/>
        </w:rPr>
        <w:t>00131050</w:t>
      </w:r>
      <w:r w:rsidR="00EF192F" w:rsidRPr="00F8759F">
        <w:rPr>
          <w:rFonts w:ascii="Arial" w:hAnsi="Arial" w:cs="Arial"/>
          <w:bCs/>
          <w:sz w:val="22"/>
          <w:szCs w:val="24"/>
        </w:rPr>
        <w:t>0</w:t>
      </w:r>
      <w:r w:rsidR="00166D31" w:rsidRPr="00F8759F">
        <w:rPr>
          <w:rFonts w:ascii="Arial" w:hAnsi="Arial" w:cs="Arial"/>
          <w:bCs/>
          <w:sz w:val="22"/>
          <w:szCs w:val="24"/>
        </w:rPr>
        <w:t>2</w:t>
      </w:r>
      <w:r w:rsidRPr="00F8759F">
        <w:rPr>
          <w:rFonts w:ascii="Arial" w:hAnsi="Arial" w:cs="Arial"/>
          <w:bCs/>
          <w:sz w:val="22"/>
          <w:szCs w:val="24"/>
        </w:rPr>
        <w:t>20</w:t>
      </w:r>
      <w:r w:rsidR="00166D31" w:rsidRPr="00F8759F">
        <w:rPr>
          <w:rFonts w:ascii="Arial" w:hAnsi="Arial" w:cs="Arial"/>
          <w:bCs/>
          <w:sz w:val="22"/>
          <w:szCs w:val="24"/>
        </w:rPr>
        <w:t>19</w:t>
      </w:r>
      <w:r w:rsidRPr="00F8759F">
        <w:rPr>
          <w:rFonts w:ascii="Arial" w:hAnsi="Arial" w:cs="Arial"/>
          <w:bCs/>
          <w:sz w:val="22"/>
          <w:szCs w:val="24"/>
        </w:rPr>
        <w:t>00</w:t>
      </w:r>
      <w:r w:rsidR="00166D31" w:rsidRPr="00F8759F">
        <w:rPr>
          <w:rFonts w:ascii="Arial" w:hAnsi="Arial" w:cs="Arial"/>
          <w:bCs/>
          <w:sz w:val="22"/>
          <w:szCs w:val="24"/>
        </w:rPr>
        <w:t>007</w:t>
      </w:r>
      <w:r w:rsidRPr="00F8759F">
        <w:rPr>
          <w:rFonts w:ascii="Arial" w:hAnsi="Arial" w:cs="Arial"/>
          <w:bCs/>
          <w:sz w:val="22"/>
          <w:szCs w:val="24"/>
        </w:rPr>
        <w:t>01</w:t>
      </w:r>
    </w:p>
    <w:p w14:paraId="2984E753" w14:textId="42F287CD" w:rsidR="008F6DC3" w:rsidRPr="00F8759F" w:rsidRDefault="008F6DC3" w:rsidP="00F8759F">
      <w:pPr>
        <w:pStyle w:val="Ttulo"/>
        <w:spacing w:line="240" w:lineRule="auto"/>
        <w:ind w:left="2124"/>
        <w:jc w:val="left"/>
        <w:rPr>
          <w:rFonts w:ascii="Arial" w:hAnsi="Arial" w:cs="Arial"/>
          <w:bCs/>
          <w:sz w:val="22"/>
          <w:szCs w:val="24"/>
        </w:rPr>
      </w:pPr>
      <w:r w:rsidRPr="00F8759F">
        <w:rPr>
          <w:rFonts w:ascii="Arial" w:hAnsi="Arial" w:cs="Arial"/>
          <w:bCs/>
          <w:sz w:val="22"/>
          <w:szCs w:val="24"/>
        </w:rPr>
        <w:t>Demandante.</w:t>
      </w:r>
      <w:r w:rsidR="00F8759F" w:rsidRPr="00F8759F">
        <w:rPr>
          <w:rFonts w:ascii="Arial" w:hAnsi="Arial" w:cs="Arial"/>
          <w:bCs/>
          <w:sz w:val="22"/>
          <w:szCs w:val="24"/>
        </w:rPr>
        <w:tab/>
      </w:r>
      <w:r w:rsidR="00F8759F">
        <w:rPr>
          <w:rFonts w:ascii="Arial" w:hAnsi="Arial" w:cs="Arial"/>
          <w:bCs/>
          <w:sz w:val="22"/>
          <w:szCs w:val="24"/>
        </w:rPr>
        <w:tab/>
      </w:r>
      <w:r w:rsidR="00166D31" w:rsidRPr="00F8759F">
        <w:rPr>
          <w:rFonts w:ascii="Arial" w:hAnsi="Arial" w:cs="Arial"/>
          <w:bCs/>
          <w:sz w:val="22"/>
          <w:szCs w:val="24"/>
        </w:rPr>
        <w:t>Alirio Tabares</w:t>
      </w:r>
    </w:p>
    <w:p w14:paraId="6AAB299A" w14:textId="719595B8" w:rsidR="008F6DC3" w:rsidRPr="00F8759F" w:rsidRDefault="008F6DC3" w:rsidP="00F8759F">
      <w:pPr>
        <w:pStyle w:val="Ttulo"/>
        <w:spacing w:line="240" w:lineRule="auto"/>
        <w:ind w:left="2124"/>
        <w:jc w:val="left"/>
        <w:rPr>
          <w:rFonts w:ascii="Arial" w:hAnsi="Arial" w:cs="Arial"/>
          <w:bCs/>
          <w:sz w:val="22"/>
          <w:szCs w:val="24"/>
        </w:rPr>
      </w:pPr>
      <w:r w:rsidRPr="00F8759F">
        <w:rPr>
          <w:rFonts w:ascii="Arial" w:hAnsi="Arial" w:cs="Arial"/>
          <w:bCs/>
          <w:sz w:val="22"/>
          <w:szCs w:val="24"/>
        </w:rPr>
        <w:t>Demandado.</w:t>
      </w:r>
      <w:r w:rsidR="00F8759F" w:rsidRPr="00F8759F">
        <w:rPr>
          <w:rFonts w:ascii="Arial" w:hAnsi="Arial" w:cs="Arial"/>
          <w:bCs/>
          <w:sz w:val="22"/>
          <w:szCs w:val="24"/>
        </w:rPr>
        <w:tab/>
      </w:r>
      <w:r w:rsidR="00F8759F">
        <w:rPr>
          <w:rFonts w:ascii="Arial" w:hAnsi="Arial" w:cs="Arial"/>
          <w:bCs/>
          <w:sz w:val="22"/>
          <w:szCs w:val="24"/>
        </w:rPr>
        <w:tab/>
      </w:r>
      <w:r w:rsidR="00166D31" w:rsidRPr="00F8759F">
        <w:rPr>
          <w:rFonts w:ascii="Arial" w:hAnsi="Arial" w:cs="Arial"/>
          <w:bCs/>
          <w:sz w:val="22"/>
          <w:szCs w:val="24"/>
        </w:rPr>
        <w:t>Municipio de Pereira</w:t>
      </w:r>
      <w:r w:rsidR="00EF192F" w:rsidRPr="00F8759F">
        <w:rPr>
          <w:rFonts w:ascii="Arial" w:hAnsi="Arial" w:cs="Arial"/>
          <w:bCs/>
          <w:sz w:val="22"/>
          <w:szCs w:val="24"/>
        </w:rPr>
        <w:t xml:space="preserve"> </w:t>
      </w:r>
    </w:p>
    <w:p w14:paraId="4367D99A" w14:textId="7DE78A6A" w:rsidR="008F6DC3" w:rsidRPr="00F8759F" w:rsidRDefault="008F6DC3" w:rsidP="00F8759F">
      <w:pPr>
        <w:pStyle w:val="Ttulo"/>
        <w:spacing w:line="240" w:lineRule="auto"/>
        <w:ind w:left="2124"/>
        <w:jc w:val="left"/>
        <w:rPr>
          <w:rFonts w:ascii="Arial" w:hAnsi="Arial" w:cs="Arial"/>
          <w:bCs/>
          <w:sz w:val="22"/>
          <w:szCs w:val="24"/>
        </w:rPr>
      </w:pPr>
      <w:r w:rsidRPr="00F8759F">
        <w:rPr>
          <w:rFonts w:ascii="Arial" w:hAnsi="Arial" w:cs="Arial"/>
          <w:bCs/>
          <w:sz w:val="22"/>
          <w:szCs w:val="24"/>
        </w:rPr>
        <w:t>Tema.</w:t>
      </w:r>
      <w:r w:rsidRPr="00F8759F">
        <w:rPr>
          <w:rFonts w:ascii="Arial" w:hAnsi="Arial" w:cs="Arial"/>
          <w:bCs/>
          <w:sz w:val="22"/>
          <w:szCs w:val="24"/>
        </w:rPr>
        <w:tab/>
      </w:r>
      <w:r w:rsidRPr="00F8759F">
        <w:rPr>
          <w:rFonts w:ascii="Arial" w:hAnsi="Arial" w:cs="Arial"/>
          <w:bCs/>
          <w:sz w:val="22"/>
          <w:szCs w:val="24"/>
        </w:rPr>
        <w:tab/>
      </w:r>
      <w:r w:rsidR="00F8759F">
        <w:rPr>
          <w:rFonts w:ascii="Arial" w:hAnsi="Arial" w:cs="Arial"/>
          <w:bCs/>
          <w:sz w:val="22"/>
          <w:szCs w:val="24"/>
        </w:rPr>
        <w:tab/>
      </w:r>
      <w:r w:rsidRPr="00F8759F">
        <w:rPr>
          <w:rFonts w:ascii="Arial" w:hAnsi="Arial" w:cs="Arial"/>
          <w:bCs/>
          <w:sz w:val="22"/>
          <w:szCs w:val="24"/>
        </w:rPr>
        <w:t>Falta de jurisdicción</w:t>
      </w:r>
    </w:p>
    <w:p w14:paraId="0213CEED" w14:textId="77777777" w:rsidR="008F6DC3" w:rsidRPr="00993F90" w:rsidRDefault="008F6DC3" w:rsidP="00993F90">
      <w:pPr>
        <w:pStyle w:val="Ttulo"/>
        <w:spacing w:line="276" w:lineRule="auto"/>
        <w:ind w:left="4239" w:hanging="2115"/>
        <w:jc w:val="left"/>
        <w:rPr>
          <w:rFonts w:ascii="Arial" w:hAnsi="Arial" w:cs="Arial"/>
          <w:sz w:val="24"/>
          <w:szCs w:val="24"/>
        </w:rPr>
      </w:pPr>
      <w:r w:rsidRPr="00993F90">
        <w:rPr>
          <w:rFonts w:ascii="Arial" w:hAnsi="Arial" w:cs="Arial"/>
          <w:b/>
          <w:bCs/>
          <w:sz w:val="24"/>
          <w:szCs w:val="24"/>
          <w:lang w:val="es-CO"/>
        </w:rPr>
        <w:t xml:space="preserve"> </w:t>
      </w:r>
      <w:r w:rsidRPr="00993F90">
        <w:rPr>
          <w:rFonts w:ascii="Arial" w:hAnsi="Arial" w:cs="Arial"/>
          <w:color w:val="000000" w:themeColor="text1"/>
          <w:sz w:val="24"/>
          <w:szCs w:val="24"/>
        </w:rPr>
        <w:t xml:space="preserve"> </w:t>
      </w:r>
    </w:p>
    <w:p w14:paraId="11B416CA" w14:textId="21AE07DF" w:rsidR="66E8793A" w:rsidRPr="00993F90" w:rsidRDefault="66E8793A" w:rsidP="00993F90">
      <w:pPr>
        <w:spacing w:line="276" w:lineRule="auto"/>
        <w:jc w:val="center"/>
        <w:rPr>
          <w:rFonts w:eastAsia="Arial" w:cs="Arial"/>
          <w:color w:val="000000" w:themeColor="text1"/>
          <w:szCs w:val="24"/>
          <w:lang w:val="es-ES"/>
        </w:rPr>
      </w:pPr>
      <w:r w:rsidRPr="00993F90">
        <w:rPr>
          <w:rFonts w:eastAsia="Arial" w:cs="Arial"/>
          <w:color w:val="000000" w:themeColor="text1"/>
          <w:szCs w:val="24"/>
          <w:lang w:val="es-ES"/>
        </w:rPr>
        <w:t>Pereira, Risaralda, veintinueve (29) de noviembre de dos mil veintitrés (2023)</w:t>
      </w:r>
    </w:p>
    <w:p w14:paraId="7D053C2F" w14:textId="792240FD" w:rsidR="66E8793A" w:rsidRPr="00993F90" w:rsidRDefault="66E8793A" w:rsidP="00993F90">
      <w:pPr>
        <w:spacing w:line="276" w:lineRule="auto"/>
        <w:jc w:val="center"/>
        <w:rPr>
          <w:rFonts w:eastAsia="Arial" w:cs="Arial"/>
          <w:color w:val="000000" w:themeColor="text1"/>
          <w:szCs w:val="24"/>
          <w:lang w:val="es-ES"/>
        </w:rPr>
      </w:pPr>
      <w:r w:rsidRPr="00993F90">
        <w:rPr>
          <w:rFonts w:eastAsia="Arial" w:cs="Arial"/>
          <w:color w:val="000000" w:themeColor="text1"/>
          <w:szCs w:val="24"/>
          <w:lang w:val="es-ES"/>
        </w:rPr>
        <w:t xml:space="preserve"> Aprobado en acta de discusión 193 del 27-11-2023</w:t>
      </w:r>
    </w:p>
    <w:p w14:paraId="5AD7CE1D" w14:textId="77777777" w:rsidR="00AA0CB4" w:rsidRPr="00993F90" w:rsidRDefault="00AA0CB4" w:rsidP="00993F90">
      <w:pPr>
        <w:spacing w:line="276" w:lineRule="auto"/>
        <w:jc w:val="both"/>
        <w:rPr>
          <w:rFonts w:cs="Arial"/>
          <w:szCs w:val="24"/>
        </w:rPr>
      </w:pPr>
    </w:p>
    <w:p w14:paraId="240B284C" w14:textId="77777777" w:rsidR="00C17C55" w:rsidRPr="00257040" w:rsidRDefault="00C17C55" w:rsidP="00993F90">
      <w:pPr>
        <w:spacing w:line="276" w:lineRule="auto"/>
        <w:jc w:val="center"/>
        <w:rPr>
          <w:rFonts w:cs="Arial"/>
          <w:b/>
          <w:bCs/>
          <w:szCs w:val="24"/>
        </w:rPr>
      </w:pPr>
      <w:r w:rsidRPr="00257040">
        <w:rPr>
          <w:rFonts w:cs="Arial"/>
          <w:b/>
          <w:bCs/>
          <w:szCs w:val="24"/>
        </w:rPr>
        <w:t>OBJETO DE DECISIÓN</w:t>
      </w:r>
    </w:p>
    <w:p w14:paraId="5B15A574" w14:textId="77777777" w:rsidR="00C17C55" w:rsidRPr="00993F90" w:rsidRDefault="00C17C55" w:rsidP="00993F90">
      <w:pPr>
        <w:spacing w:line="276" w:lineRule="auto"/>
        <w:jc w:val="center"/>
        <w:rPr>
          <w:rFonts w:eastAsia="Calibri" w:cs="Arial"/>
          <w:b/>
          <w:szCs w:val="24"/>
          <w:lang w:eastAsia="en-US"/>
        </w:rPr>
      </w:pPr>
    </w:p>
    <w:p w14:paraId="687935AB" w14:textId="108C1471" w:rsidR="00C17C55" w:rsidRPr="00993F90" w:rsidRDefault="00C912CF" w:rsidP="00993F90">
      <w:pPr>
        <w:spacing w:line="276" w:lineRule="auto"/>
        <w:jc w:val="both"/>
        <w:rPr>
          <w:rFonts w:cs="Arial"/>
          <w:szCs w:val="24"/>
        </w:rPr>
      </w:pPr>
      <w:r w:rsidRPr="00993F90">
        <w:rPr>
          <w:rFonts w:eastAsia="Arial" w:cs="Arial"/>
          <w:color w:val="000000" w:themeColor="text1"/>
          <w:szCs w:val="24"/>
          <w:lang w:val="es-ES"/>
        </w:rPr>
        <w:t>Derrotada la ponencia del Magistrado Germán Darío Goez Vinasco s</w:t>
      </w:r>
      <w:r w:rsidR="2AEE0D61" w:rsidRPr="00993F90">
        <w:rPr>
          <w:rFonts w:eastAsia="Arial" w:cs="Arial"/>
          <w:color w:val="000000" w:themeColor="text1"/>
          <w:szCs w:val="24"/>
          <w:lang w:val="es-ES"/>
        </w:rPr>
        <w:t xml:space="preserve">ería del caso proceder a decidir </w:t>
      </w:r>
      <w:r w:rsidRPr="00993F90">
        <w:rPr>
          <w:rFonts w:eastAsia="Arial" w:cs="Arial"/>
          <w:color w:val="000000" w:themeColor="text1"/>
          <w:szCs w:val="24"/>
          <w:lang w:val="es-ES"/>
        </w:rPr>
        <w:t xml:space="preserve">el recurso de apelación y grado jurisdiccional de consulta </w:t>
      </w:r>
      <w:r w:rsidR="00115E17" w:rsidRPr="00993F90">
        <w:rPr>
          <w:rFonts w:cs="Arial"/>
          <w:szCs w:val="24"/>
          <w:lang w:val="es-ES"/>
        </w:rPr>
        <w:t>que se ordenó surtir frente a</w:t>
      </w:r>
      <w:r w:rsidR="008F6DC3" w:rsidRPr="00993F90">
        <w:rPr>
          <w:rFonts w:cs="Arial"/>
          <w:szCs w:val="24"/>
          <w:lang w:val="es-ES"/>
        </w:rPr>
        <w:t xml:space="preserve"> </w:t>
      </w:r>
      <w:r w:rsidR="00E4405E" w:rsidRPr="00993F90">
        <w:rPr>
          <w:rFonts w:cs="Arial"/>
          <w:szCs w:val="24"/>
          <w:lang w:val="es-ES"/>
        </w:rPr>
        <w:t xml:space="preserve">la sentencia </w:t>
      </w:r>
      <w:r w:rsidR="008F6DC3" w:rsidRPr="00993F90">
        <w:rPr>
          <w:rFonts w:cs="Arial"/>
          <w:szCs w:val="24"/>
          <w:lang w:val="es-ES"/>
        </w:rPr>
        <w:t xml:space="preserve">del </w:t>
      </w:r>
      <w:r w:rsidRPr="00993F90">
        <w:rPr>
          <w:rFonts w:cs="Arial"/>
          <w:szCs w:val="24"/>
          <w:lang w:val="es-ES"/>
        </w:rPr>
        <w:t>16 de febrero de 2022</w:t>
      </w:r>
      <w:r w:rsidR="008F6DC3" w:rsidRPr="00993F90">
        <w:rPr>
          <w:rFonts w:cs="Arial"/>
          <w:szCs w:val="24"/>
          <w:lang w:val="es-ES"/>
        </w:rPr>
        <w:t xml:space="preserve"> </w:t>
      </w:r>
      <w:r w:rsidR="00B16B0E" w:rsidRPr="00993F90">
        <w:rPr>
          <w:rFonts w:cs="Arial"/>
          <w:szCs w:val="24"/>
          <w:lang w:val="es-ES"/>
        </w:rPr>
        <w:t xml:space="preserve">por el Juzgado </w:t>
      </w:r>
      <w:r w:rsidRPr="00993F90">
        <w:rPr>
          <w:rFonts w:cs="Arial"/>
          <w:szCs w:val="24"/>
          <w:lang w:val="es-ES"/>
        </w:rPr>
        <w:t xml:space="preserve">Segundo </w:t>
      </w:r>
      <w:r w:rsidR="00B16B0E" w:rsidRPr="00993F90">
        <w:rPr>
          <w:rFonts w:cs="Arial"/>
          <w:szCs w:val="24"/>
          <w:lang w:val="es-ES"/>
        </w:rPr>
        <w:lastRenderedPageBreak/>
        <w:t xml:space="preserve">Laboral del Circuito de Pereira, dentro del proceso </w:t>
      </w:r>
      <w:r w:rsidR="00B16B0E" w:rsidRPr="00CE1549">
        <w:rPr>
          <w:rFonts w:cs="Arial"/>
          <w:b/>
          <w:szCs w:val="24"/>
          <w:lang w:val="es-ES"/>
        </w:rPr>
        <w:t>ordinario laboral</w:t>
      </w:r>
      <w:r w:rsidR="00B16B0E" w:rsidRPr="00993F90">
        <w:rPr>
          <w:rFonts w:cs="Arial"/>
          <w:szCs w:val="24"/>
          <w:lang w:val="es-ES"/>
        </w:rPr>
        <w:t xml:space="preserve"> de la referencia, </w:t>
      </w:r>
      <w:r w:rsidR="008F6DC3" w:rsidRPr="00993F90">
        <w:rPr>
          <w:rFonts w:cs="Arial"/>
          <w:szCs w:val="24"/>
          <w:lang w:val="es-ES"/>
        </w:rPr>
        <w:t>si no</w:t>
      </w:r>
      <w:r w:rsidR="00B16B0E" w:rsidRPr="00993F90">
        <w:rPr>
          <w:rFonts w:cs="Arial"/>
          <w:szCs w:val="24"/>
          <w:lang w:val="es-ES"/>
        </w:rPr>
        <w:t xml:space="preserve"> fuera porque </w:t>
      </w:r>
      <w:r w:rsidR="00A20DB2" w:rsidRPr="00993F90">
        <w:rPr>
          <w:rFonts w:cs="Arial"/>
          <w:szCs w:val="24"/>
          <w:lang w:val="es-ES"/>
        </w:rPr>
        <w:t>se observa</w:t>
      </w:r>
      <w:r w:rsidR="00C17C55" w:rsidRPr="00993F90">
        <w:rPr>
          <w:rFonts w:cs="Arial"/>
          <w:szCs w:val="24"/>
          <w:lang w:val="es-ES"/>
        </w:rPr>
        <w:t xml:space="preserve"> </w:t>
      </w:r>
      <w:r w:rsidR="00C17C55" w:rsidRPr="00993F90">
        <w:rPr>
          <w:rFonts w:cs="Arial"/>
          <w:szCs w:val="24"/>
        </w:rPr>
        <w:t xml:space="preserve">la necesidad de declarar la falta de jurisdicción </w:t>
      </w:r>
      <w:r w:rsidR="00A20DB2" w:rsidRPr="00993F90">
        <w:rPr>
          <w:rFonts w:cs="Arial"/>
          <w:szCs w:val="24"/>
        </w:rPr>
        <w:t xml:space="preserve">para seguir tramitando el asunto, </w:t>
      </w:r>
      <w:r w:rsidR="00C17C55" w:rsidRPr="00993F90">
        <w:rPr>
          <w:rFonts w:cs="Arial"/>
          <w:szCs w:val="24"/>
        </w:rPr>
        <w:t xml:space="preserve">de conformidad con el artículo 138 del C.G.P. aplicable por </w:t>
      </w:r>
      <w:r w:rsidR="00E97FFD" w:rsidRPr="00993F90">
        <w:rPr>
          <w:rFonts w:cs="Arial"/>
          <w:szCs w:val="24"/>
        </w:rPr>
        <w:t xml:space="preserve">remisión </w:t>
      </w:r>
      <w:r w:rsidR="00A20DB2" w:rsidRPr="00993F90">
        <w:rPr>
          <w:rFonts w:cs="Arial"/>
          <w:szCs w:val="24"/>
        </w:rPr>
        <w:t>al procesal laboral según lo dispuesto en el</w:t>
      </w:r>
      <w:r w:rsidR="00C17C55" w:rsidRPr="00993F90">
        <w:rPr>
          <w:rFonts w:cs="Arial"/>
          <w:szCs w:val="24"/>
        </w:rPr>
        <w:t xml:space="preserve"> artículo 145 del C.P.L. y de la S.S.</w:t>
      </w:r>
      <w:r w:rsidR="004777C9" w:rsidRPr="00993F90">
        <w:rPr>
          <w:rFonts w:cs="Arial"/>
          <w:szCs w:val="24"/>
        </w:rPr>
        <w:t>, como pasa a explicarse.</w:t>
      </w:r>
    </w:p>
    <w:p w14:paraId="6DD6F277" w14:textId="697E2404" w:rsidR="23368AF8" w:rsidRPr="00993F90" w:rsidRDefault="23368AF8" w:rsidP="00993F90">
      <w:pPr>
        <w:spacing w:line="276" w:lineRule="auto"/>
        <w:jc w:val="both"/>
        <w:rPr>
          <w:rFonts w:cs="Arial"/>
          <w:szCs w:val="24"/>
        </w:rPr>
      </w:pPr>
    </w:p>
    <w:p w14:paraId="308DBE30" w14:textId="06B6C041" w:rsidR="4A7A41BA" w:rsidRPr="00993F90" w:rsidRDefault="4A7A41BA" w:rsidP="00993F90">
      <w:pPr>
        <w:spacing w:line="276" w:lineRule="auto"/>
        <w:jc w:val="both"/>
        <w:rPr>
          <w:rFonts w:eastAsia="Arial" w:cs="Arial"/>
          <w:szCs w:val="24"/>
        </w:rPr>
      </w:pPr>
      <w:r w:rsidRPr="00993F90">
        <w:rPr>
          <w:rFonts w:eastAsia="Arial" w:cs="Arial"/>
          <w:color w:val="000000" w:themeColor="text1"/>
          <w:szCs w:val="24"/>
        </w:rPr>
        <w:t>Al punto se indica el proceso entró al despacho de la ponente de ahora el pasado 31/10/2023.</w:t>
      </w:r>
    </w:p>
    <w:p w14:paraId="7B029B13" w14:textId="2E041752" w:rsidR="00E97FFD" w:rsidRPr="00993F90" w:rsidRDefault="00E97FFD" w:rsidP="00993F90">
      <w:pPr>
        <w:spacing w:line="276" w:lineRule="auto"/>
        <w:jc w:val="both"/>
        <w:rPr>
          <w:rFonts w:cs="Arial"/>
          <w:szCs w:val="24"/>
        </w:rPr>
      </w:pPr>
    </w:p>
    <w:p w14:paraId="415B2844" w14:textId="77777777" w:rsidR="00C17C55" w:rsidRPr="00993F90" w:rsidRDefault="00C17C55" w:rsidP="00993F90">
      <w:pPr>
        <w:spacing w:line="276" w:lineRule="auto"/>
        <w:jc w:val="center"/>
        <w:rPr>
          <w:rFonts w:cs="Arial"/>
          <w:b/>
          <w:bCs/>
          <w:szCs w:val="24"/>
        </w:rPr>
      </w:pPr>
      <w:r w:rsidRPr="00993F90">
        <w:rPr>
          <w:rFonts w:cs="Arial"/>
          <w:b/>
          <w:bCs/>
          <w:szCs w:val="24"/>
        </w:rPr>
        <w:t>CONSIDERACIONES</w:t>
      </w:r>
    </w:p>
    <w:p w14:paraId="7CCADFF4" w14:textId="3860CABA" w:rsidR="006C28EC" w:rsidRPr="00993F90" w:rsidRDefault="006C28EC" w:rsidP="00993F90">
      <w:pPr>
        <w:spacing w:line="276" w:lineRule="auto"/>
        <w:jc w:val="both"/>
        <w:rPr>
          <w:rFonts w:cs="Arial"/>
          <w:b/>
          <w:bCs/>
          <w:szCs w:val="24"/>
        </w:rPr>
      </w:pPr>
    </w:p>
    <w:p w14:paraId="0DFE9682" w14:textId="77777777" w:rsidR="006C28EC" w:rsidRPr="00993F90" w:rsidRDefault="006C28EC" w:rsidP="00993F90">
      <w:pPr>
        <w:spacing w:line="276" w:lineRule="auto"/>
        <w:jc w:val="both"/>
        <w:rPr>
          <w:rFonts w:cs="Arial"/>
          <w:szCs w:val="24"/>
        </w:rPr>
      </w:pPr>
      <w:r w:rsidRPr="00993F90">
        <w:rPr>
          <w:rFonts w:cs="Arial"/>
          <w:b/>
          <w:szCs w:val="24"/>
        </w:rPr>
        <w:t>1.</w:t>
      </w:r>
      <w:r w:rsidRPr="00993F90">
        <w:rPr>
          <w:rFonts w:cs="Arial"/>
          <w:szCs w:val="24"/>
        </w:rPr>
        <w:t xml:space="preserve"> </w:t>
      </w:r>
      <w:r w:rsidRPr="00993F90">
        <w:rPr>
          <w:rFonts w:eastAsia="Arial" w:cs="Arial"/>
          <w:szCs w:val="24"/>
          <w:lang w:val="es"/>
        </w:rPr>
        <w:t>El artículo 29 de la C.N. establece el principio de legalidad para garantizar el debido proceso en todas las actuaciones judiciales, de ahí que el C.G.P. otorga al juzgador una herramienta para sanear cualquier vicio que se haya manifestado en el trámite procesal y que tenga tal entidad como para impedir la continuidad del proceso.</w:t>
      </w:r>
    </w:p>
    <w:p w14:paraId="7AE0A2A9" w14:textId="77777777" w:rsidR="006C28EC" w:rsidRPr="00993F90" w:rsidRDefault="006C28EC" w:rsidP="00993F90">
      <w:pPr>
        <w:spacing w:line="276" w:lineRule="auto"/>
        <w:jc w:val="both"/>
        <w:rPr>
          <w:rFonts w:cs="Arial"/>
          <w:szCs w:val="24"/>
        </w:rPr>
      </w:pPr>
      <w:r w:rsidRPr="00993F90">
        <w:rPr>
          <w:rFonts w:eastAsia="Arial" w:cs="Arial"/>
          <w:szCs w:val="24"/>
          <w:lang w:val="es"/>
        </w:rPr>
        <w:t xml:space="preserve"> </w:t>
      </w:r>
    </w:p>
    <w:p w14:paraId="16CD1865" w14:textId="77777777" w:rsidR="006C28EC" w:rsidRPr="00993F90" w:rsidRDefault="006C28EC" w:rsidP="00993F90">
      <w:pPr>
        <w:spacing w:line="276" w:lineRule="auto"/>
        <w:jc w:val="both"/>
        <w:rPr>
          <w:rFonts w:eastAsia="Arial" w:cs="Arial"/>
          <w:szCs w:val="24"/>
          <w:lang w:val="es"/>
        </w:rPr>
      </w:pPr>
      <w:r w:rsidRPr="00993F90">
        <w:rPr>
          <w:rFonts w:eastAsia="Arial" w:cs="Arial"/>
          <w:szCs w:val="24"/>
          <w:lang w:val="es"/>
        </w:rPr>
        <w:t>As</w:t>
      </w:r>
      <w:r w:rsidRPr="00993F90">
        <w:rPr>
          <w:rFonts w:eastAsia="Arial" w:cs="Arial"/>
          <w:szCs w:val="24"/>
          <w:lang w:val="es-ES"/>
        </w:rPr>
        <w:t>í</w:t>
      </w:r>
      <w:r w:rsidRPr="00993F90">
        <w:rPr>
          <w:rFonts w:eastAsia="Arial" w:cs="Arial"/>
          <w:szCs w:val="24"/>
          <w:lang w:val="es"/>
        </w:rPr>
        <w:t xml:space="preserve"> el numeral 12º del artículo 42 establece que es deber del juez realizar el control de legalidad de la actuación procesal cada vez que se agote una etapa del proceso. En el mismo sentido, el artículo 132 del C.G.P. establece que “</w:t>
      </w:r>
      <w:r w:rsidRPr="00993F90">
        <w:rPr>
          <w:rFonts w:eastAsia="Arial" w:cs="Arial"/>
          <w:i/>
          <w:iCs/>
          <w:szCs w:val="24"/>
          <w:lang w:val="es"/>
        </w:rPr>
        <w:t>agotada cada etapa del proceso”</w:t>
      </w:r>
      <w:r w:rsidRPr="00993F90">
        <w:rPr>
          <w:rFonts w:eastAsia="Arial" w:cs="Arial"/>
          <w:szCs w:val="24"/>
          <w:lang w:val="es"/>
        </w:rPr>
        <w:t xml:space="preserve"> corresponde al juez realizar un control de legalidad para corregir o sanear los vicios que configuren nulidades o </w:t>
      </w:r>
      <w:r w:rsidRPr="00993F90">
        <w:rPr>
          <w:rFonts w:eastAsia="Arial" w:cs="Arial"/>
          <w:b/>
          <w:bCs/>
          <w:szCs w:val="24"/>
          <w:lang w:val="es"/>
        </w:rPr>
        <w:t xml:space="preserve">cualquier otra irregularidad del proceso; </w:t>
      </w:r>
      <w:r w:rsidRPr="00993F90">
        <w:rPr>
          <w:rFonts w:eastAsia="Arial" w:cs="Arial"/>
          <w:bCs/>
          <w:szCs w:val="24"/>
          <w:lang w:val="es"/>
        </w:rPr>
        <w:t xml:space="preserve">puestas de ese modo las cosas, </w:t>
      </w:r>
      <w:r w:rsidRPr="00993F90">
        <w:rPr>
          <w:rFonts w:eastAsia="Arial" w:cs="Arial"/>
          <w:szCs w:val="24"/>
          <w:lang w:val="es"/>
        </w:rPr>
        <w:t>el juzgador ostenta una facultad para enmendar cualquier desviación del procedimiento a través del citado control de legalidad.</w:t>
      </w:r>
    </w:p>
    <w:p w14:paraId="7F019026" w14:textId="7A03F32B" w:rsidR="00B05EF6" w:rsidRPr="00993F90" w:rsidRDefault="00B05EF6" w:rsidP="00993F90">
      <w:pPr>
        <w:pStyle w:val="paragraph"/>
        <w:spacing w:before="0" w:beforeAutospacing="0" w:after="0" w:afterAutospacing="0" w:line="276" w:lineRule="auto"/>
        <w:jc w:val="both"/>
        <w:textAlignment w:val="baseline"/>
        <w:rPr>
          <w:rStyle w:val="normaltextrun"/>
          <w:rFonts w:ascii="Arial" w:hAnsi="Arial" w:cs="Arial"/>
          <w:lang w:val="es-ES"/>
        </w:rPr>
      </w:pPr>
    </w:p>
    <w:p w14:paraId="2E833E86" w14:textId="6F6E1F6F" w:rsidR="005A1EB7" w:rsidRPr="00993F90" w:rsidRDefault="00B05EF6" w:rsidP="00993F90">
      <w:pPr>
        <w:spacing w:line="276" w:lineRule="auto"/>
        <w:jc w:val="both"/>
        <w:rPr>
          <w:rFonts w:cs="Arial"/>
          <w:szCs w:val="24"/>
        </w:rPr>
      </w:pPr>
      <w:r w:rsidRPr="00993F90">
        <w:rPr>
          <w:rFonts w:cs="Arial"/>
          <w:b/>
          <w:szCs w:val="24"/>
        </w:rPr>
        <w:t>2.</w:t>
      </w:r>
      <w:r w:rsidRPr="00993F90">
        <w:rPr>
          <w:rFonts w:cs="Arial"/>
          <w:szCs w:val="24"/>
        </w:rPr>
        <w:t xml:space="preserve"> Ahora bien, e</w:t>
      </w:r>
      <w:r w:rsidR="00DA1259" w:rsidRPr="00993F90">
        <w:rPr>
          <w:rFonts w:cs="Arial"/>
          <w:szCs w:val="24"/>
        </w:rPr>
        <w:t xml:space="preserve">l numeral </w:t>
      </w:r>
      <w:r w:rsidR="00B16B0E" w:rsidRPr="00993F90">
        <w:rPr>
          <w:rFonts w:cs="Arial"/>
          <w:szCs w:val="24"/>
        </w:rPr>
        <w:t>1</w:t>
      </w:r>
      <w:r w:rsidR="00DA1259" w:rsidRPr="00993F90">
        <w:rPr>
          <w:rFonts w:cs="Arial"/>
          <w:szCs w:val="24"/>
        </w:rPr>
        <w:t>º del artículo 2º del C.P.L. y de la S.S. modificado por la Ley 1564 de 2012 atribuyó de manera general a la Jurisdicción Ordinaria Laboral la competencia para conocer de los asuntos</w:t>
      </w:r>
      <w:r w:rsidR="00B16B0E" w:rsidRPr="00993F90">
        <w:rPr>
          <w:rFonts w:cs="Arial"/>
          <w:szCs w:val="24"/>
        </w:rPr>
        <w:t xml:space="preserve"> relativos a los conflictos que se originan directa o indirectamente en el contrato de trabajo. </w:t>
      </w:r>
    </w:p>
    <w:p w14:paraId="4888D518" w14:textId="77777777" w:rsidR="00B16B0E" w:rsidRPr="00993F90" w:rsidRDefault="00B16B0E" w:rsidP="00993F90">
      <w:pPr>
        <w:spacing w:line="276" w:lineRule="auto"/>
        <w:jc w:val="both"/>
        <w:rPr>
          <w:rFonts w:cs="Arial"/>
          <w:szCs w:val="24"/>
        </w:rPr>
      </w:pPr>
    </w:p>
    <w:p w14:paraId="7C026EAC" w14:textId="7AB7D54A" w:rsidR="00AE6483" w:rsidRPr="00993F90" w:rsidRDefault="00B05EF6" w:rsidP="00993F90">
      <w:pPr>
        <w:spacing w:line="276" w:lineRule="auto"/>
        <w:jc w:val="both"/>
        <w:rPr>
          <w:rFonts w:cs="Arial"/>
          <w:szCs w:val="24"/>
        </w:rPr>
      </w:pPr>
      <w:r w:rsidRPr="00993F90">
        <w:rPr>
          <w:rFonts w:cs="Arial"/>
          <w:b/>
          <w:szCs w:val="24"/>
        </w:rPr>
        <w:t>3</w:t>
      </w:r>
      <w:r w:rsidR="00CB5659" w:rsidRPr="00993F90">
        <w:rPr>
          <w:rFonts w:cs="Arial"/>
          <w:szCs w:val="24"/>
        </w:rPr>
        <w:t xml:space="preserve">. </w:t>
      </w:r>
      <w:r w:rsidR="00DA1259" w:rsidRPr="00993F90">
        <w:rPr>
          <w:rFonts w:cs="Arial"/>
          <w:szCs w:val="24"/>
        </w:rPr>
        <w:t xml:space="preserve">Por el contrario y de manera especial el numeral </w:t>
      </w:r>
      <w:r w:rsidR="00EC59B2" w:rsidRPr="00993F90">
        <w:rPr>
          <w:rFonts w:cs="Arial"/>
          <w:szCs w:val="24"/>
        </w:rPr>
        <w:t>2</w:t>
      </w:r>
      <w:r w:rsidR="00115E17" w:rsidRPr="00993F90">
        <w:rPr>
          <w:rFonts w:cs="Arial"/>
          <w:szCs w:val="24"/>
        </w:rPr>
        <w:t xml:space="preserve">º </w:t>
      </w:r>
      <w:r w:rsidR="00EC59B2" w:rsidRPr="00993F90">
        <w:rPr>
          <w:rFonts w:cs="Arial"/>
          <w:szCs w:val="24"/>
        </w:rPr>
        <w:t xml:space="preserve">del artículo 104 de la Ley 1473 de 2011 definió la competencia </w:t>
      </w:r>
      <w:r w:rsidR="00AE6483" w:rsidRPr="00993F90">
        <w:rPr>
          <w:rFonts w:cs="Arial"/>
          <w:szCs w:val="24"/>
        </w:rPr>
        <w:t xml:space="preserve">de la Jurisdicción Contencioso Administrativa </w:t>
      </w:r>
      <w:r w:rsidR="00C6725E" w:rsidRPr="00993F90">
        <w:rPr>
          <w:rFonts w:cs="Arial"/>
          <w:szCs w:val="24"/>
        </w:rPr>
        <w:t xml:space="preserve">para conocer de </w:t>
      </w:r>
      <w:r w:rsidR="00EC59B2" w:rsidRPr="00993F90">
        <w:rPr>
          <w:rFonts w:cs="Arial"/>
          <w:szCs w:val="24"/>
        </w:rPr>
        <w:t>los contratos, cualquiera que sea su régimen, en los que sea parte una entidad pública</w:t>
      </w:r>
      <w:r w:rsidR="00BB1159" w:rsidRPr="00993F90">
        <w:rPr>
          <w:rFonts w:cs="Arial"/>
          <w:szCs w:val="24"/>
        </w:rPr>
        <w:t xml:space="preserve"> y en el numeral 4</w:t>
      </w:r>
      <w:r w:rsidR="00115E17" w:rsidRPr="00993F90">
        <w:rPr>
          <w:rFonts w:cs="Arial"/>
          <w:szCs w:val="24"/>
        </w:rPr>
        <w:t xml:space="preserve">º </w:t>
      </w:r>
      <w:r w:rsidR="009B23F5" w:rsidRPr="00993F90">
        <w:rPr>
          <w:rFonts w:cs="Arial"/>
          <w:szCs w:val="24"/>
        </w:rPr>
        <w:t>ibídem</w:t>
      </w:r>
      <w:r w:rsidR="00BB1159" w:rsidRPr="00993F90">
        <w:rPr>
          <w:rFonts w:cs="Arial"/>
          <w:szCs w:val="24"/>
        </w:rPr>
        <w:t xml:space="preserve"> establece que también conocerá de las relaciones legales y reglamentarias entre los servidores públicos y el Estado, pues de conformidad con el numeral 4</w:t>
      </w:r>
      <w:r w:rsidR="00115E17" w:rsidRPr="00993F90">
        <w:rPr>
          <w:rFonts w:cs="Arial"/>
          <w:szCs w:val="24"/>
        </w:rPr>
        <w:t xml:space="preserve">º </w:t>
      </w:r>
      <w:r w:rsidR="00BB1159" w:rsidRPr="00993F90">
        <w:rPr>
          <w:rFonts w:cs="Arial"/>
          <w:szCs w:val="24"/>
        </w:rPr>
        <w:t xml:space="preserve">del artículo 105 dicha jurisdicción no conocerá de los conflictos de carácter laboral surgidos entre entidades públicas y trabajadores oficiales. </w:t>
      </w:r>
    </w:p>
    <w:p w14:paraId="10FF5654" w14:textId="2E9FA19E" w:rsidR="00EC59B2" w:rsidRPr="00993F90" w:rsidRDefault="00EC59B2" w:rsidP="00993F90">
      <w:pPr>
        <w:spacing w:line="276" w:lineRule="auto"/>
        <w:jc w:val="both"/>
        <w:rPr>
          <w:rFonts w:cs="Arial"/>
          <w:szCs w:val="24"/>
        </w:rPr>
      </w:pPr>
    </w:p>
    <w:p w14:paraId="30A4EFB9" w14:textId="77777777" w:rsidR="00C912CF" w:rsidRPr="00993F90" w:rsidRDefault="00B05EF6" w:rsidP="00993F90">
      <w:pPr>
        <w:spacing w:line="276" w:lineRule="auto"/>
        <w:jc w:val="both"/>
        <w:rPr>
          <w:rFonts w:cs="Arial"/>
          <w:color w:val="000000"/>
          <w:szCs w:val="24"/>
          <w:shd w:val="clear" w:color="auto" w:fill="FFFFFF"/>
        </w:rPr>
      </w:pPr>
      <w:r w:rsidRPr="00993F90">
        <w:rPr>
          <w:rFonts w:cs="Arial"/>
          <w:b/>
          <w:szCs w:val="24"/>
        </w:rPr>
        <w:t>4</w:t>
      </w:r>
      <w:r w:rsidR="00721F33" w:rsidRPr="00993F90">
        <w:rPr>
          <w:rFonts w:cs="Arial"/>
          <w:b/>
          <w:szCs w:val="24"/>
        </w:rPr>
        <w:t>.</w:t>
      </w:r>
      <w:r w:rsidR="00721F33" w:rsidRPr="00993F90">
        <w:rPr>
          <w:rFonts w:cs="Arial"/>
          <w:szCs w:val="24"/>
        </w:rPr>
        <w:t xml:space="preserve"> </w:t>
      </w:r>
      <w:r w:rsidR="00721F33" w:rsidRPr="00993F90">
        <w:rPr>
          <w:rFonts w:cs="Arial"/>
          <w:color w:val="000000"/>
          <w:szCs w:val="24"/>
          <w:shd w:val="clear" w:color="auto" w:fill="FFFFFF"/>
        </w:rPr>
        <w:t>C</w:t>
      </w:r>
      <w:r w:rsidR="00793F37" w:rsidRPr="00993F90">
        <w:rPr>
          <w:rFonts w:cs="Arial"/>
          <w:color w:val="000000"/>
          <w:szCs w:val="24"/>
          <w:shd w:val="clear" w:color="auto" w:fill="FFFFFF"/>
        </w:rPr>
        <w:t xml:space="preserve">on ocasión al artículo 14 del Acto Legislativo 02 de 2015 los conflictos de competencia entre jurisdicciones diferentes que eran dirimidos por la Sala Jurisdiccional Disciplinaria del Consejo Superior de la Judicatura pasaron a ser resueltos por la Corte Constitucional. </w:t>
      </w:r>
    </w:p>
    <w:p w14:paraId="44BED579" w14:textId="77777777" w:rsidR="00C912CF" w:rsidRPr="00993F90" w:rsidRDefault="00C912CF" w:rsidP="00993F90">
      <w:pPr>
        <w:spacing w:line="276" w:lineRule="auto"/>
        <w:jc w:val="both"/>
        <w:rPr>
          <w:rFonts w:cs="Arial"/>
          <w:color w:val="000000"/>
          <w:szCs w:val="24"/>
          <w:shd w:val="clear" w:color="auto" w:fill="FFFFFF"/>
        </w:rPr>
      </w:pPr>
    </w:p>
    <w:p w14:paraId="12C08ABC" w14:textId="77777777" w:rsidR="00C912CF" w:rsidRPr="00993F90" w:rsidRDefault="00793F37"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 xml:space="preserve">Corporación que sentó como tesis que corresponde a la jurisdicción contenciosa administrativa conocer de las controversias en las que se discuten vínculos laborales ocultos bajo contratos de prestación de servicios celebrados con el Estado.  Así, lo ha enseñado en los autos A479-2021, A908-2021, A492-2021, A330-2021, A491-2021, A739-2021, constituyéndose en una posición consolidada; todo ello, porque corresponde a la jurisdicción contenciosa el estudio de los contratos estatales y la </w:t>
      </w:r>
      <w:r w:rsidRPr="00993F90">
        <w:rPr>
          <w:rFonts w:cs="Arial"/>
          <w:color w:val="000000"/>
          <w:szCs w:val="24"/>
          <w:shd w:val="clear" w:color="auto" w:fill="FFFFFF"/>
        </w:rPr>
        <w:lastRenderedPageBreak/>
        <w:t xml:space="preserve">calificación de la naturaleza jurídica del vínculo que ató al contratista con la administración.  </w:t>
      </w:r>
    </w:p>
    <w:p w14:paraId="5E00E80D" w14:textId="77777777" w:rsidR="00C912CF" w:rsidRPr="00993F90" w:rsidRDefault="00C912CF" w:rsidP="00993F90">
      <w:pPr>
        <w:spacing w:line="276" w:lineRule="auto"/>
        <w:jc w:val="both"/>
        <w:rPr>
          <w:rFonts w:cs="Arial"/>
          <w:color w:val="000000"/>
          <w:szCs w:val="24"/>
          <w:shd w:val="clear" w:color="auto" w:fill="FFFFFF"/>
        </w:rPr>
      </w:pPr>
    </w:p>
    <w:p w14:paraId="6149A9D5" w14:textId="6E7B6B74" w:rsidR="00E47F70" w:rsidRPr="00993F90" w:rsidRDefault="00C912CF"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Posición que permanece en la actualidad como se desprende de los siguientes autos A1453-2022, A1223-2023, A1533-2023, A141-2023</w:t>
      </w:r>
      <w:r w:rsidR="00A1586D" w:rsidRPr="00993F90">
        <w:rPr>
          <w:rFonts w:cs="Arial"/>
          <w:color w:val="000000"/>
          <w:szCs w:val="24"/>
          <w:shd w:val="clear" w:color="auto" w:fill="FFFFFF"/>
        </w:rPr>
        <w:t>, A1276-2023,</w:t>
      </w:r>
      <w:r w:rsidRPr="00993F90">
        <w:rPr>
          <w:rFonts w:cs="Arial"/>
          <w:color w:val="000000"/>
          <w:szCs w:val="24"/>
          <w:shd w:val="clear" w:color="auto" w:fill="FFFFFF"/>
        </w:rPr>
        <w:t xml:space="preserve"> entre muchos otros. </w:t>
      </w:r>
    </w:p>
    <w:p w14:paraId="7D2E411F" w14:textId="77777777" w:rsidR="00E47F70" w:rsidRPr="00993F90" w:rsidRDefault="00E47F70" w:rsidP="00993F90">
      <w:pPr>
        <w:spacing w:line="276" w:lineRule="auto"/>
        <w:jc w:val="both"/>
        <w:rPr>
          <w:rFonts w:cs="Arial"/>
          <w:color w:val="000000"/>
          <w:szCs w:val="24"/>
          <w:shd w:val="clear" w:color="auto" w:fill="FFFFFF"/>
        </w:rPr>
      </w:pPr>
    </w:p>
    <w:p w14:paraId="62920D55" w14:textId="17D057D3" w:rsidR="00A1586D" w:rsidRPr="00993F90" w:rsidRDefault="00C912CF"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Concretamente</w:t>
      </w:r>
      <w:r w:rsidR="00E47F70" w:rsidRPr="00993F90">
        <w:rPr>
          <w:rFonts w:cs="Arial"/>
          <w:color w:val="000000"/>
          <w:szCs w:val="24"/>
          <w:shd w:val="clear" w:color="auto" w:fill="FFFFFF"/>
        </w:rPr>
        <w:t xml:space="preserve"> en el Auto </w:t>
      </w:r>
      <w:r w:rsidR="00A1586D" w:rsidRPr="00993F90">
        <w:rPr>
          <w:rFonts w:cs="Arial"/>
          <w:color w:val="000000"/>
          <w:szCs w:val="24"/>
          <w:shd w:val="clear" w:color="auto" w:fill="FFFFFF"/>
        </w:rPr>
        <w:t>1276 del 22/06/2023</w:t>
      </w:r>
      <w:r w:rsidR="00E47F70" w:rsidRPr="00993F90">
        <w:rPr>
          <w:rFonts w:cs="Arial"/>
          <w:color w:val="000000"/>
          <w:szCs w:val="24"/>
          <w:shd w:val="clear" w:color="auto" w:fill="FFFFFF"/>
        </w:rPr>
        <w:t xml:space="preserve"> la Corte Constitucional resolvió un conflicto de competencia</w:t>
      </w:r>
      <w:r w:rsidR="00A1586D" w:rsidRPr="00993F90">
        <w:rPr>
          <w:rFonts w:cs="Arial"/>
          <w:color w:val="000000"/>
          <w:szCs w:val="24"/>
          <w:shd w:val="clear" w:color="auto" w:fill="FFFFFF"/>
        </w:rPr>
        <w:t xml:space="preserve"> en el que los hechos son iguales a los de ahora.</w:t>
      </w:r>
    </w:p>
    <w:p w14:paraId="2EC5F333" w14:textId="7B0FB22E" w:rsidR="00A1586D" w:rsidRPr="00993F90" w:rsidRDefault="00A1586D" w:rsidP="00993F90">
      <w:pPr>
        <w:spacing w:line="276" w:lineRule="auto"/>
        <w:jc w:val="both"/>
        <w:rPr>
          <w:rFonts w:cs="Arial"/>
          <w:color w:val="000000"/>
          <w:szCs w:val="24"/>
          <w:shd w:val="clear" w:color="auto" w:fill="FFFFFF"/>
        </w:rPr>
      </w:pPr>
    </w:p>
    <w:p w14:paraId="243399EE" w14:textId="176A0DE0" w:rsidR="00A1586D" w:rsidRPr="00993F90" w:rsidRDefault="00A1586D"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En efecto, en dicha decisión el demandante presentó proceso ordinario laboral contra el MUNICIPIO DE PEREIRA por haberse desempeñado como obrero y en ese sentido, reclamaba la condición de trabajador oficial, ser beneficiario de las convenciones colectivas de trabajo y el reconocimiento de pago de las acreencias laborales. Además, se indicó que había sido vinculado con el municipio a través de contratos de prestación de servicios.</w:t>
      </w:r>
    </w:p>
    <w:p w14:paraId="5AA3069E" w14:textId="3B41B6BD" w:rsidR="00A1586D" w:rsidRPr="00993F90" w:rsidRDefault="00A1586D" w:rsidP="00993F90">
      <w:pPr>
        <w:spacing w:line="276" w:lineRule="auto"/>
        <w:jc w:val="both"/>
        <w:rPr>
          <w:rFonts w:cs="Arial"/>
          <w:color w:val="000000"/>
          <w:szCs w:val="24"/>
          <w:shd w:val="clear" w:color="auto" w:fill="FFFFFF"/>
        </w:rPr>
      </w:pPr>
    </w:p>
    <w:p w14:paraId="190DCDD6" w14:textId="24791EFD" w:rsidR="00A1586D" w:rsidRPr="00993F90" w:rsidRDefault="00A1586D"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Providencia en la que la Corte Constitucional específicamente explicó que el conocimiento del asunto correspondía a la jurisdicción contencios</w:t>
      </w:r>
      <w:r w:rsidR="000442EE">
        <w:rPr>
          <w:rFonts w:cs="Arial"/>
          <w:color w:val="000000"/>
          <w:szCs w:val="24"/>
          <w:shd w:val="clear" w:color="auto" w:fill="FFFFFF"/>
        </w:rPr>
        <w:t>o</w:t>
      </w:r>
      <w:r w:rsidRPr="00993F90">
        <w:rPr>
          <w:rFonts w:cs="Arial"/>
          <w:color w:val="000000"/>
          <w:szCs w:val="24"/>
          <w:shd w:val="clear" w:color="auto" w:fill="FFFFFF"/>
        </w:rPr>
        <w:t xml:space="preserve"> administrativa porque:</w:t>
      </w:r>
    </w:p>
    <w:p w14:paraId="534AB1D9" w14:textId="7395A3E0" w:rsidR="00A1586D" w:rsidRPr="00993F90" w:rsidRDefault="00A1586D" w:rsidP="00993F90">
      <w:pPr>
        <w:spacing w:line="276" w:lineRule="auto"/>
        <w:jc w:val="both"/>
        <w:rPr>
          <w:rFonts w:cs="Arial"/>
          <w:color w:val="000000"/>
          <w:szCs w:val="24"/>
          <w:shd w:val="clear" w:color="auto" w:fill="FFFFFF"/>
        </w:rPr>
      </w:pPr>
    </w:p>
    <w:p w14:paraId="7857B5B3" w14:textId="20382156" w:rsidR="00A1586D" w:rsidRDefault="00A1586D" w:rsidP="007A0D2F">
      <w:pPr>
        <w:pStyle w:val="Prrafodelista"/>
        <w:numPr>
          <w:ilvl w:val="0"/>
          <w:numId w:val="3"/>
        </w:numPr>
        <w:spacing w:line="240" w:lineRule="auto"/>
        <w:ind w:left="851" w:right="420"/>
        <w:jc w:val="both"/>
        <w:rPr>
          <w:rFonts w:ascii="Arial" w:eastAsia="Times New Roman" w:hAnsi="Arial" w:cs="Arial"/>
          <w:color w:val="000000"/>
          <w:szCs w:val="24"/>
          <w:shd w:val="clear" w:color="auto" w:fill="FFFFFF"/>
          <w:lang w:val="es-CO" w:eastAsia="es-ES"/>
        </w:rPr>
      </w:pPr>
      <w:r w:rsidRPr="007A0D2F">
        <w:rPr>
          <w:rFonts w:ascii="Arial" w:eastAsia="Times New Roman" w:hAnsi="Arial" w:cs="Arial"/>
          <w:color w:val="000000"/>
          <w:szCs w:val="24"/>
          <w:shd w:val="clear" w:color="auto" w:fill="FFFFFF"/>
          <w:lang w:val="es-CO" w:eastAsia="es-ES"/>
        </w:rPr>
        <w:t>Que “</w:t>
      </w:r>
      <w:r w:rsidRPr="007A0D2F">
        <w:rPr>
          <w:rFonts w:ascii="Arial" w:eastAsia="Times New Roman" w:hAnsi="Arial" w:cs="Arial"/>
          <w:i/>
          <w:color w:val="000000"/>
          <w:szCs w:val="24"/>
          <w:shd w:val="clear" w:color="auto" w:fill="FFFFFF"/>
          <w:lang w:val="es-CO" w:eastAsia="es-ES"/>
        </w:rPr>
        <w:t>la competencia judicial para conocer de las demandas que se presenten en contra de las entidades públicas, con el fin de obtener la declaración de un contrato realidad presuntamente encubierto en la suscripción sucesiva de contratos de prestación de servicios, corresponde a la Jurisdicción de lo Contencioso Administrativo”</w:t>
      </w:r>
      <w:r w:rsidRPr="007A0D2F">
        <w:rPr>
          <w:rFonts w:ascii="Arial" w:eastAsia="Times New Roman" w:hAnsi="Arial" w:cs="Arial"/>
          <w:color w:val="000000"/>
          <w:szCs w:val="24"/>
          <w:shd w:val="clear" w:color="auto" w:fill="FFFFFF"/>
          <w:lang w:val="es-CO" w:eastAsia="es-ES"/>
        </w:rPr>
        <w:t xml:space="preserve"> en la medida que se cuestiona la legalidad de un contrato de prestación de servicios celebrado con una entidad pública, de ahí que solo la contencioso administrativa puede revisar un contrato estatal y determinar si su naturaleza es o no laboral.</w:t>
      </w:r>
    </w:p>
    <w:p w14:paraId="2463AED8" w14:textId="77777777" w:rsidR="00C5531A" w:rsidRPr="007A0D2F" w:rsidRDefault="00C5531A" w:rsidP="00C5531A">
      <w:pPr>
        <w:pStyle w:val="Prrafodelista"/>
        <w:spacing w:line="240" w:lineRule="auto"/>
        <w:ind w:left="851" w:right="420"/>
        <w:jc w:val="both"/>
        <w:rPr>
          <w:rFonts w:ascii="Arial" w:eastAsia="Times New Roman" w:hAnsi="Arial" w:cs="Arial"/>
          <w:color w:val="000000"/>
          <w:szCs w:val="24"/>
          <w:shd w:val="clear" w:color="auto" w:fill="FFFFFF"/>
          <w:lang w:val="es-CO" w:eastAsia="es-ES"/>
        </w:rPr>
      </w:pPr>
    </w:p>
    <w:p w14:paraId="1B94FF02" w14:textId="1260AE1C" w:rsidR="00C5531A" w:rsidRDefault="00A1586D" w:rsidP="00C5531A">
      <w:pPr>
        <w:pStyle w:val="Prrafodelista"/>
        <w:numPr>
          <w:ilvl w:val="0"/>
          <w:numId w:val="3"/>
        </w:numPr>
        <w:spacing w:after="0" w:line="240" w:lineRule="auto"/>
        <w:ind w:left="851" w:right="420"/>
        <w:jc w:val="both"/>
        <w:rPr>
          <w:rFonts w:ascii="Arial" w:eastAsia="Times New Roman" w:hAnsi="Arial" w:cs="Arial"/>
          <w:i/>
          <w:color w:val="000000"/>
          <w:szCs w:val="24"/>
          <w:shd w:val="clear" w:color="auto" w:fill="FFFFFF"/>
          <w:lang w:val="es-CO" w:eastAsia="es-ES"/>
        </w:rPr>
      </w:pPr>
      <w:r w:rsidRPr="007A0D2F">
        <w:rPr>
          <w:rFonts w:ascii="Arial" w:eastAsia="Times New Roman" w:hAnsi="Arial" w:cs="Arial"/>
          <w:i/>
          <w:color w:val="000000"/>
          <w:szCs w:val="24"/>
          <w:shd w:val="clear" w:color="auto" w:fill="FFFFFF"/>
          <w:lang w:val="es-CO" w:eastAsia="es-ES"/>
        </w:rPr>
        <w:t>“(…) el examen que se debe adelantar cuando se pretende la declaratoria de un contrato realidad en el marco de la aparente celebración indebida de contratos de prestación de servicios con el Estado, “(…) se trata de evaluar i) la actuación desplegada por entidades públicas en la suscripción de ii) contratos de naturaleza distinta a una vinculación laboral. Adicionalmente, la única autoridad judicial competente para validar si la labor contratada corresponde a una función que “no puede realizarse con personal de planta o requiere conocimientos especializados” es el juez contencioso. (…)”.</w:t>
      </w:r>
    </w:p>
    <w:p w14:paraId="220430B4" w14:textId="507011B1" w:rsidR="00C5531A" w:rsidRPr="00C5531A" w:rsidRDefault="00C5531A" w:rsidP="00C5531A">
      <w:pPr>
        <w:ind w:right="420"/>
        <w:jc w:val="both"/>
        <w:rPr>
          <w:rFonts w:cs="Arial"/>
          <w:i/>
          <w:color w:val="000000"/>
          <w:szCs w:val="24"/>
          <w:shd w:val="clear" w:color="auto" w:fill="FFFFFF"/>
        </w:rPr>
      </w:pPr>
    </w:p>
    <w:p w14:paraId="200DF264" w14:textId="2B6072C4" w:rsidR="00CA62E5" w:rsidRPr="007A0D2F" w:rsidRDefault="00CA62E5" w:rsidP="007A0D2F">
      <w:pPr>
        <w:pStyle w:val="Prrafodelista"/>
        <w:numPr>
          <w:ilvl w:val="0"/>
          <w:numId w:val="3"/>
        </w:numPr>
        <w:spacing w:after="0" w:line="240" w:lineRule="auto"/>
        <w:ind w:left="851" w:right="420"/>
        <w:jc w:val="both"/>
        <w:rPr>
          <w:rFonts w:ascii="Arial" w:eastAsia="Times New Roman" w:hAnsi="Arial" w:cs="Arial"/>
          <w:i/>
          <w:color w:val="000000"/>
          <w:szCs w:val="24"/>
          <w:shd w:val="clear" w:color="auto" w:fill="FFFFFF"/>
          <w:lang w:val="es-CO" w:eastAsia="es-ES"/>
        </w:rPr>
      </w:pPr>
      <w:r w:rsidRPr="007A0D2F">
        <w:rPr>
          <w:rFonts w:ascii="Arial" w:eastAsia="Times New Roman" w:hAnsi="Arial" w:cs="Arial"/>
          <w:color w:val="000000"/>
          <w:szCs w:val="24"/>
          <w:shd w:val="clear" w:color="auto" w:fill="FFFFFF"/>
          <w:lang w:val="es-CO" w:eastAsia="es-ES"/>
        </w:rPr>
        <w:t>La naturaleza de las funciones que realizaba el demandante a favor del Municipio no son determinantes para elegir la jurisdicción, porque para</w:t>
      </w:r>
      <w:r w:rsidRPr="007A0D2F">
        <w:rPr>
          <w:rFonts w:ascii="Arial" w:eastAsia="Times New Roman" w:hAnsi="Arial" w:cs="Arial"/>
          <w:i/>
          <w:color w:val="000000"/>
          <w:szCs w:val="24"/>
          <w:shd w:val="clear" w:color="auto" w:fill="FFFFFF"/>
          <w:lang w:val="es-CO" w:eastAsia="es-ES"/>
        </w:rPr>
        <w:t> “la Corporación examinar las funciones desempeñadas por los contratistas del Estado para definir la competencia, constituía un examen de fondo de la controversia, pues implicaba para esta situación pronunciarse sobre la existencia de la relación laboral. Más aún “(…) este tipo de asuntos solo pueden ser decididos por el juez contencioso administrativo que es el facultado para evaluar las actuaciones de la Administración (…)”.</w:t>
      </w:r>
    </w:p>
    <w:p w14:paraId="2FABC197" w14:textId="1CA36B56" w:rsidR="00A1586D" w:rsidRPr="00993F90" w:rsidRDefault="00A1586D" w:rsidP="00993F90">
      <w:pPr>
        <w:spacing w:line="276" w:lineRule="auto"/>
        <w:jc w:val="both"/>
        <w:rPr>
          <w:rFonts w:cs="Arial"/>
          <w:color w:val="000000"/>
          <w:szCs w:val="24"/>
          <w:shd w:val="clear" w:color="auto" w:fill="FFFFFF"/>
        </w:rPr>
      </w:pPr>
    </w:p>
    <w:p w14:paraId="44598275" w14:textId="1C7352A2" w:rsidR="00CA62E5" w:rsidRPr="00993F90" w:rsidRDefault="00CA62E5"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 xml:space="preserve">Entonces, concluyó la Corte que en el asunto analizado en el que se demandó al Municipio de Pereira en el que se pretendía la aplicación del principio de la primacía de la realidad y en consecuencia la declaración de una relación laboral y pago de acreencias laborales debía ser conocida por la jurisdicción de lo Contencioso Administrativo, pues allí el medio de vinculación estuvo precedido por contratos de prestación de servicios. </w:t>
      </w:r>
    </w:p>
    <w:p w14:paraId="79177371" w14:textId="77777777" w:rsidR="00C912CF" w:rsidRPr="00993F90" w:rsidRDefault="00C912CF" w:rsidP="00993F90">
      <w:pPr>
        <w:spacing w:line="276" w:lineRule="auto"/>
        <w:jc w:val="both"/>
        <w:rPr>
          <w:rFonts w:cs="Arial"/>
          <w:color w:val="000000"/>
          <w:szCs w:val="24"/>
          <w:shd w:val="clear" w:color="auto" w:fill="FFFFFF"/>
        </w:rPr>
      </w:pPr>
    </w:p>
    <w:p w14:paraId="114D93AE" w14:textId="6348C0C0" w:rsidR="00793F37" w:rsidRPr="00993F90" w:rsidRDefault="00721F33" w:rsidP="00993F90">
      <w:pPr>
        <w:spacing w:line="276" w:lineRule="auto"/>
        <w:jc w:val="both"/>
        <w:rPr>
          <w:rFonts w:cs="Arial"/>
          <w:color w:val="000000"/>
          <w:szCs w:val="24"/>
          <w:shd w:val="clear" w:color="auto" w:fill="FFFFFF"/>
        </w:rPr>
      </w:pPr>
      <w:r w:rsidRPr="00993F90">
        <w:rPr>
          <w:rFonts w:cs="Arial"/>
          <w:color w:val="000000"/>
          <w:szCs w:val="24"/>
          <w:shd w:val="clear" w:color="auto" w:fill="FFFFFF"/>
        </w:rPr>
        <w:t>Decisiones de la alta corporación que son vinculantes al tenor de la sentencia C-816 de 2011 que resaltó la fuerza vinculante de las decisiones o precedentes del citado órgano constitucional.</w:t>
      </w:r>
    </w:p>
    <w:p w14:paraId="63BD7D2B" w14:textId="77777777" w:rsidR="00115E17" w:rsidRPr="00993F90" w:rsidRDefault="00115E17" w:rsidP="00993F90">
      <w:pPr>
        <w:spacing w:line="276" w:lineRule="auto"/>
        <w:jc w:val="both"/>
        <w:rPr>
          <w:rFonts w:cs="Arial"/>
          <w:color w:val="000000" w:themeColor="text1"/>
          <w:szCs w:val="24"/>
        </w:rPr>
      </w:pPr>
    </w:p>
    <w:p w14:paraId="64D6C188" w14:textId="53B5D935" w:rsidR="009F1D32" w:rsidRPr="00993F90" w:rsidRDefault="009F1D32" w:rsidP="00993F90">
      <w:pPr>
        <w:spacing w:line="276" w:lineRule="auto"/>
        <w:jc w:val="both"/>
        <w:rPr>
          <w:rFonts w:cs="Arial"/>
          <w:szCs w:val="24"/>
        </w:rPr>
      </w:pPr>
      <w:r w:rsidRPr="00993F90">
        <w:rPr>
          <w:rFonts w:cs="Arial"/>
          <w:szCs w:val="24"/>
        </w:rPr>
        <w:t xml:space="preserve">Además, </w:t>
      </w:r>
      <w:r w:rsidR="00CA62E5" w:rsidRPr="00993F90">
        <w:rPr>
          <w:rFonts w:cs="Arial"/>
          <w:szCs w:val="24"/>
        </w:rPr>
        <w:t xml:space="preserve">en diversos de los autos citados la Corte Constitucional también </w:t>
      </w:r>
      <w:r w:rsidRPr="00993F90">
        <w:rPr>
          <w:rFonts w:cs="Arial"/>
          <w:szCs w:val="24"/>
        </w:rPr>
        <w:t>recordó la posición del Consejo de Estado</w:t>
      </w:r>
      <w:r w:rsidRPr="00993F90">
        <w:rPr>
          <w:rStyle w:val="Refdenotaalpie"/>
          <w:rFonts w:cs="Arial"/>
          <w:szCs w:val="24"/>
        </w:rPr>
        <w:footnoteReference w:id="1"/>
      </w:r>
      <w:r w:rsidRPr="00993F90">
        <w:rPr>
          <w:rFonts w:cs="Arial"/>
          <w:szCs w:val="24"/>
        </w:rPr>
        <w:t xml:space="preserve"> frente al tema para clarificar que cuando el tema a debatir </w:t>
      </w:r>
      <w:r w:rsidR="00861BEF" w:rsidRPr="00993F90">
        <w:rPr>
          <w:rFonts w:cs="Arial"/>
          <w:szCs w:val="24"/>
        </w:rPr>
        <w:t>no proviene de un contrato de trabajo, sino de su presunta existencia, entonces su discusión debe darse a través del medio de control de nulidad y restablecimiento del derecho, porque el hecho en cuestión se deriva de la validez del acto administrativo a través del cual la Administración Pública contesta la reclamación administrativa elevada por el contratante que reclama la existencia del vínculo laboral, y la legalidad de la modalidad contractual utilizada por la entidad pública.</w:t>
      </w:r>
    </w:p>
    <w:p w14:paraId="7A4EAE5E" w14:textId="711816B9" w:rsidR="27E18904" w:rsidRPr="00993F90" w:rsidRDefault="27E18904" w:rsidP="00993F90">
      <w:pPr>
        <w:spacing w:line="276" w:lineRule="auto"/>
        <w:jc w:val="both"/>
        <w:rPr>
          <w:rFonts w:cs="Arial"/>
          <w:szCs w:val="24"/>
        </w:rPr>
      </w:pPr>
    </w:p>
    <w:p w14:paraId="6223A17A" w14:textId="42CCEA2E" w:rsidR="00861BEF" w:rsidRPr="00993F90" w:rsidRDefault="00861BEF" w:rsidP="00993F90">
      <w:pPr>
        <w:spacing w:line="276" w:lineRule="auto"/>
        <w:jc w:val="both"/>
        <w:rPr>
          <w:rFonts w:cs="Arial"/>
          <w:szCs w:val="24"/>
        </w:rPr>
      </w:pPr>
      <w:r w:rsidRPr="00993F90">
        <w:rPr>
          <w:rFonts w:cs="Arial"/>
          <w:szCs w:val="24"/>
        </w:rPr>
        <w:t xml:space="preserve">Explicó la alta corporación que aun cuando en la jurisdicción contencioso administrativa se reconoce la existencia del contrato de trabajo y </w:t>
      </w:r>
      <w:r w:rsidR="00115E17" w:rsidRPr="00993F90">
        <w:rPr>
          <w:rFonts w:cs="Arial"/>
          <w:szCs w:val="24"/>
        </w:rPr>
        <w:t>los</w:t>
      </w:r>
      <w:r w:rsidRPr="00993F90">
        <w:rPr>
          <w:rFonts w:cs="Arial"/>
          <w:szCs w:val="24"/>
        </w:rPr>
        <w:t xml:space="preserve"> derechos económicos de aquellos que fueron vinculados con el Estado a través de un contrato de prestación de servicios, lo cierto es que no se les otorga la calidad de servidores públicos – trabajadores oficiales – pues no se cumple con el presupuesto de ingreso al servicio – contrato de trabajo </w:t>
      </w:r>
      <w:r w:rsidR="000442EE">
        <w:rPr>
          <w:rFonts w:cs="Arial"/>
          <w:szCs w:val="24"/>
        </w:rPr>
        <w:t>–</w:t>
      </w:r>
      <w:r w:rsidRPr="00993F90">
        <w:rPr>
          <w:rFonts w:cs="Arial"/>
          <w:szCs w:val="24"/>
        </w:rPr>
        <w:t xml:space="preserve"> , pero ello no obsta para que, ante la configuración de la verdadera relación de trabajo y el consecuente reconocimiento de prestaciones sociales, las mismas se hagan a título de indemnización.</w:t>
      </w:r>
    </w:p>
    <w:p w14:paraId="0D899435" w14:textId="7207679A" w:rsidR="00861BEF" w:rsidRPr="00993F90" w:rsidRDefault="00861BEF" w:rsidP="00993F90">
      <w:pPr>
        <w:spacing w:line="276" w:lineRule="auto"/>
        <w:jc w:val="both"/>
        <w:rPr>
          <w:rFonts w:cs="Arial"/>
          <w:szCs w:val="24"/>
        </w:rPr>
      </w:pPr>
    </w:p>
    <w:p w14:paraId="211E818C" w14:textId="68105646" w:rsidR="00861BEF" w:rsidRPr="00993F90" w:rsidRDefault="00861BEF" w:rsidP="00993F90">
      <w:pPr>
        <w:spacing w:line="276" w:lineRule="auto"/>
        <w:jc w:val="both"/>
        <w:rPr>
          <w:rFonts w:cs="Arial"/>
          <w:szCs w:val="24"/>
        </w:rPr>
      </w:pPr>
      <w:r w:rsidRPr="00993F90">
        <w:rPr>
          <w:rFonts w:cs="Arial"/>
          <w:szCs w:val="24"/>
        </w:rPr>
        <w:t>En consecuencia, cada vez que se reclame la existencia de un contrato de trabajo real, por oposición a</w:t>
      </w:r>
      <w:r w:rsidR="00A81B25" w:rsidRPr="00993F90">
        <w:rPr>
          <w:rFonts w:cs="Arial"/>
          <w:szCs w:val="24"/>
        </w:rPr>
        <w:t xml:space="preserve"> la vinculación con la administración pública a través de un contrato de prestación de servicios, entonces será la Jurisdicción Contenciosa Administrativa la que deba desentrañar la cuestión puesta en conocimiento de la justicia, en tanto que corresponde a esta la determinación de la legalidad de la modalidad contractual elegida por la administración, así como las consecuencias derivadas del acto administrativo que resuelve una petición en ese sentido, máxime que de ninguna manera la decisión judicial puede declarar que quien demanda</w:t>
      </w:r>
      <w:r w:rsidR="00115E17" w:rsidRPr="00993F90">
        <w:rPr>
          <w:rFonts w:cs="Arial"/>
          <w:szCs w:val="24"/>
        </w:rPr>
        <w:t>,</w:t>
      </w:r>
      <w:r w:rsidR="00A81B25" w:rsidRPr="00993F90">
        <w:rPr>
          <w:rFonts w:cs="Arial"/>
          <w:szCs w:val="24"/>
        </w:rPr>
        <w:t xml:space="preserve"> alcance la calidad de trabajador oficial, pues ello contraría las formas de vinculación con la administración pública, en la medida que “</w:t>
      </w:r>
      <w:r w:rsidR="00A81B25" w:rsidRPr="00373AF1">
        <w:rPr>
          <w:rFonts w:cs="Arial"/>
          <w:i/>
          <w:iCs/>
          <w:sz w:val="22"/>
          <w:szCs w:val="24"/>
        </w:rPr>
        <w:t>por el hecho de haber laborado para el Estado, no se adquiere la calidad de empleado público, pues se deben cumplir con las condiciones establecidas en la Constitución y la Ley para ello</w:t>
      </w:r>
      <w:r w:rsidR="00A81B25" w:rsidRPr="00993F90">
        <w:rPr>
          <w:rFonts w:cs="Arial"/>
          <w:i/>
          <w:iCs/>
          <w:szCs w:val="24"/>
        </w:rPr>
        <w:t xml:space="preserve">” </w:t>
      </w:r>
      <w:r w:rsidR="009B40DE" w:rsidRPr="00993F90">
        <w:rPr>
          <w:rFonts w:cs="Arial"/>
          <w:szCs w:val="24"/>
        </w:rPr>
        <w:t>A479-2021</w:t>
      </w:r>
      <w:r w:rsidR="00A81B25" w:rsidRPr="00993F90">
        <w:rPr>
          <w:rFonts w:cs="Arial"/>
          <w:i/>
          <w:iCs/>
          <w:szCs w:val="24"/>
        </w:rPr>
        <w:t xml:space="preserve">. </w:t>
      </w:r>
    </w:p>
    <w:p w14:paraId="2E59C5CD" w14:textId="45060ACF" w:rsidR="00A81B25" w:rsidRPr="00993F90" w:rsidRDefault="00A81B25" w:rsidP="00993F90">
      <w:pPr>
        <w:spacing w:line="276" w:lineRule="auto"/>
        <w:jc w:val="both"/>
        <w:rPr>
          <w:rFonts w:cs="Arial"/>
          <w:szCs w:val="24"/>
        </w:rPr>
      </w:pPr>
    </w:p>
    <w:p w14:paraId="060AE3B2" w14:textId="780D1CB2" w:rsidR="00A81B25" w:rsidRPr="00993F90" w:rsidRDefault="00A81B25" w:rsidP="00993F90">
      <w:pPr>
        <w:spacing w:line="276" w:lineRule="auto"/>
        <w:jc w:val="both"/>
        <w:rPr>
          <w:rFonts w:cs="Arial"/>
          <w:szCs w:val="24"/>
        </w:rPr>
      </w:pPr>
      <w:r w:rsidRPr="00993F90">
        <w:rPr>
          <w:rFonts w:cs="Arial"/>
          <w:szCs w:val="24"/>
        </w:rPr>
        <w:t xml:space="preserve">Situación diferente acontece cuando lo controvertido se deriva precisamente de una relación de trabajo legalmente constituida, esto es, cuando el problema a resolver proviene de un trabajador oficial vinculado con la administración a través de contrato de trabajo. Evento en el cual, por la excepción contenida en el numeral 4º del artículo 105 de la Ley 1437 de 2011, corresponde exclusivamente a la jurisdicción ordinaria laboral su conocimiento. </w:t>
      </w:r>
    </w:p>
    <w:p w14:paraId="5B5D951F" w14:textId="58A573F4" w:rsidR="64CD582B" w:rsidRPr="00993F90" w:rsidRDefault="64CD582B" w:rsidP="00993F90">
      <w:pPr>
        <w:spacing w:line="276" w:lineRule="auto"/>
        <w:jc w:val="both"/>
        <w:rPr>
          <w:rFonts w:cs="Arial"/>
          <w:szCs w:val="24"/>
        </w:rPr>
      </w:pPr>
    </w:p>
    <w:p w14:paraId="09DCF425" w14:textId="49631334" w:rsidR="00C912CF" w:rsidRPr="00993F90" w:rsidRDefault="00092783" w:rsidP="00993F90">
      <w:pPr>
        <w:spacing w:line="276" w:lineRule="auto"/>
        <w:jc w:val="both"/>
        <w:rPr>
          <w:rFonts w:cs="Arial"/>
          <w:szCs w:val="24"/>
        </w:rPr>
      </w:pPr>
      <w:r w:rsidRPr="00993F90">
        <w:rPr>
          <w:rFonts w:cs="Arial"/>
          <w:szCs w:val="24"/>
        </w:rPr>
        <w:t>Posición de la Corte Constitucional que acata esta Sala de Decisión, como lo ha realizado en las providencias del pasado 18/05/2022 rad. 02-2020-00161-01 y 01-2018-00240-01.</w:t>
      </w:r>
    </w:p>
    <w:p w14:paraId="78E49E29" w14:textId="759476CA" w:rsidR="00EB199C" w:rsidRPr="00993F90" w:rsidRDefault="00EB199C" w:rsidP="00993F90">
      <w:pPr>
        <w:spacing w:line="276" w:lineRule="auto"/>
        <w:jc w:val="both"/>
        <w:rPr>
          <w:rFonts w:cs="Arial"/>
          <w:szCs w:val="24"/>
        </w:rPr>
      </w:pPr>
    </w:p>
    <w:p w14:paraId="6829DC87" w14:textId="085F104F" w:rsidR="00CA62E5" w:rsidRPr="00993F90" w:rsidRDefault="00B05EF6" w:rsidP="00993F90">
      <w:pPr>
        <w:spacing w:line="276" w:lineRule="auto"/>
        <w:jc w:val="both"/>
        <w:rPr>
          <w:rFonts w:cs="Arial"/>
          <w:szCs w:val="24"/>
        </w:rPr>
      </w:pPr>
      <w:r w:rsidRPr="00993F90">
        <w:rPr>
          <w:rFonts w:cs="Arial"/>
          <w:b/>
          <w:szCs w:val="24"/>
        </w:rPr>
        <w:t>5</w:t>
      </w:r>
      <w:r w:rsidR="001E615C" w:rsidRPr="00993F90">
        <w:rPr>
          <w:rFonts w:cs="Arial"/>
          <w:b/>
          <w:szCs w:val="24"/>
        </w:rPr>
        <w:t>.</w:t>
      </w:r>
      <w:r w:rsidR="001E615C" w:rsidRPr="00993F90">
        <w:rPr>
          <w:rFonts w:cs="Arial"/>
          <w:szCs w:val="24"/>
        </w:rPr>
        <w:t xml:space="preserve"> </w:t>
      </w:r>
      <w:r w:rsidR="009B40DE" w:rsidRPr="00993F90">
        <w:rPr>
          <w:rFonts w:cs="Arial"/>
          <w:szCs w:val="24"/>
        </w:rPr>
        <w:t xml:space="preserve">Descendiendo al caso en concreto, se advierte que </w:t>
      </w:r>
      <w:r w:rsidR="00CA62E5" w:rsidRPr="00993F90">
        <w:rPr>
          <w:rFonts w:cs="Arial"/>
          <w:szCs w:val="24"/>
        </w:rPr>
        <w:t>Alirio Tabares presentó demanda ordinaria laboral ante el juez laboral del circuito con las siguientes características:</w:t>
      </w:r>
    </w:p>
    <w:p w14:paraId="42016351" w14:textId="1460E52E" w:rsidR="00CA62E5" w:rsidRPr="00993F90" w:rsidRDefault="00CA62E5" w:rsidP="00993F90">
      <w:pPr>
        <w:spacing w:line="276" w:lineRule="auto"/>
        <w:jc w:val="both"/>
        <w:rPr>
          <w:rFonts w:cs="Arial"/>
          <w:szCs w:val="24"/>
        </w:rPr>
      </w:pPr>
    </w:p>
    <w:p w14:paraId="6444C3CA" w14:textId="1A276C11" w:rsidR="00CA62E5" w:rsidRPr="00993F90" w:rsidRDefault="00CA62E5" w:rsidP="00993F90">
      <w:pPr>
        <w:spacing w:line="276" w:lineRule="auto"/>
        <w:jc w:val="both"/>
        <w:rPr>
          <w:rFonts w:cs="Arial"/>
          <w:szCs w:val="24"/>
        </w:rPr>
      </w:pPr>
      <w:r w:rsidRPr="00993F90">
        <w:rPr>
          <w:rFonts w:cs="Arial"/>
          <w:szCs w:val="24"/>
        </w:rPr>
        <w:t>a. El sujeto pasivo de la contienda es el Municipio de Pereira.</w:t>
      </w:r>
    </w:p>
    <w:p w14:paraId="645F6514" w14:textId="77777777" w:rsidR="00EB199C" w:rsidRPr="00993F90" w:rsidRDefault="00CA62E5" w:rsidP="00993F90">
      <w:pPr>
        <w:spacing w:line="276" w:lineRule="auto"/>
        <w:jc w:val="both"/>
        <w:rPr>
          <w:rFonts w:cs="Arial"/>
          <w:szCs w:val="24"/>
        </w:rPr>
      </w:pPr>
      <w:r w:rsidRPr="00993F90">
        <w:rPr>
          <w:rFonts w:cs="Arial"/>
          <w:szCs w:val="24"/>
        </w:rPr>
        <w:t xml:space="preserve">b. </w:t>
      </w:r>
      <w:r w:rsidR="00EB199C" w:rsidRPr="00993F90">
        <w:rPr>
          <w:rFonts w:cs="Arial"/>
          <w:szCs w:val="24"/>
        </w:rPr>
        <w:t>Pretende el reconocimiento de un contrato de trabajo.</w:t>
      </w:r>
    </w:p>
    <w:p w14:paraId="75698F5B" w14:textId="04EA00C3" w:rsidR="00CA62E5" w:rsidRPr="00993F90" w:rsidRDefault="00EB199C" w:rsidP="00993F90">
      <w:pPr>
        <w:spacing w:line="276" w:lineRule="auto"/>
        <w:jc w:val="both"/>
        <w:rPr>
          <w:rFonts w:cs="Arial"/>
          <w:szCs w:val="24"/>
        </w:rPr>
      </w:pPr>
      <w:r w:rsidRPr="00993F90">
        <w:rPr>
          <w:rFonts w:cs="Arial"/>
          <w:szCs w:val="24"/>
        </w:rPr>
        <w:t>c.  Su vinculación con el municipio se dio a través de un contrato de prestación de servicios, No. 2176-2015.</w:t>
      </w:r>
    </w:p>
    <w:p w14:paraId="202BF084" w14:textId="50B6A9DB" w:rsidR="00EB199C" w:rsidRPr="00993F90" w:rsidRDefault="00EB199C" w:rsidP="00993F90">
      <w:pPr>
        <w:spacing w:line="276" w:lineRule="auto"/>
        <w:jc w:val="both"/>
        <w:rPr>
          <w:rFonts w:cs="Arial"/>
          <w:szCs w:val="24"/>
        </w:rPr>
      </w:pPr>
    </w:p>
    <w:p w14:paraId="0A9F0F5A" w14:textId="2C2329DD" w:rsidR="00EB199C" w:rsidRPr="00993F90" w:rsidRDefault="00EB199C" w:rsidP="00993F90">
      <w:pPr>
        <w:spacing w:line="276" w:lineRule="auto"/>
        <w:jc w:val="both"/>
        <w:rPr>
          <w:rFonts w:cs="Arial"/>
          <w:color w:val="000000"/>
          <w:szCs w:val="24"/>
          <w:shd w:val="clear" w:color="auto" w:fill="FFFFFF"/>
        </w:rPr>
      </w:pPr>
      <w:r w:rsidRPr="00993F90">
        <w:rPr>
          <w:rFonts w:cs="Arial"/>
          <w:szCs w:val="24"/>
        </w:rPr>
        <w:t>Elementos a partir de los cuales solo es posible concluir que el conocimiento de este asunto corresponde a la jurisdicción de lo contencioso administrativo, más aun, teniendo en cuenta que este asunto guarda similaridad fáctica con el auto ya decidido por la Corte Constitucional (A-</w:t>
      </w:r>
      <w:r w:rsidRPr="00993F90">
        <w:rPr>
          <w:rFonts w:cs="Arial"/>
          <w:color w:val="000000"/>
          <w:szCs w:val="24"/>
          <w:shd w:val="clear" w:color="auto" w:fill="FFFFFF"/>
        </w:rPr>
        <w:t xml:space="preserve">1276 del 22/06/2023) en el que el demandante adujo que, como en el caso de ahora, se había desempeñado como obrero a favor del municipio. </w:t>
      </w:r>
    </w:p>
    <w:p w14:paraId="5C09D43E" w14:textId="002045A0" w:rsidR="00EB199C" w:rsidRPr="00993F90" w:rsidRDefault="00EB199C" w:rsidP="00993F90">
      <w:pPr>
        <w:spacing w:line="276" w:lineRule="auto"/>
        <w:jc w:val="both"/>
        <w:rPr>
          <w:rFonts w:cs="Arial"/>
          <w:szCs w:val="24"/>
        </w:rPr>
      </w:pPr>
    </w:p>
    <w:p w14:paraId="247CBA39" w14:textId="1337DE7C" w:rsidR="00EB199C" w:rsidRPr="00993F90" w:rsidRDefault="00EB199C" w:rsidP="00993F90">
      <w:pPr>
        <w:spacing w:line="276" w:lineRule="auto"/>
        <w:jc w:val="both"/>
        <w:rPr>
          <w:rFonts w:cs="Arial"/>
          <w:color w:val="000000"/>
          <w:szCs w:val="24"/>
          <w:shd w:val="clear" w:color="auto" w:fill="FFFFFF"/>
        </w:rPr>
      </w:pPr>
      <w:r w:rsidRPr="00993F90">
        <w:rPr>
          <w:rFonts w:cs="Arial"/>
          <w:szCs w:val="24"/>
        </w:rPr>
        <w:t>De otro lado, es preciso acotar que si bien en el presente asunto la demanda se presentó el 21/01/2019, esto es, cuando la corporación que definía los conflictos de competencia era la Sala Jurisdiccional Disciplinaria del Consejo Superior de la Judicatura que para ese entonces consideraba que el conocimiento de estos asuntos era de la jurisdicción ordinaria laboral, lo cierto es que para el momento en que se profirió la decisión de primer grado, 16/02/2022 ya se había sentado y consolidado el criterio de la nueva corporación que decide los conflictos de competencia, esto es, la Corte Constitucional</w:t>
      </w:r>
      <w:r w:rsidR="00084438">
        <w:rPr>
          <w:rFonts w:cs="Arial"/>
          <w:szCs w:val="24"/>
        </w:rPr>
        <w:t>,</w:t>
      </w:r>
      <w:r w:rsidRPr="00993F90">
        <w:rPr>
          <w:rFonts w:cs="Arial"/>
          <w:szCs w:val="24"/>
        </w:rPr>
        <w:t xml:space="preserve"> pues había modificado dichas reglas desde los autos </w:t>
      </w:r>
      <w:r w:rsidRPr="00993F90">
        <w:rPr>
          <w:rFonts w:cs="Arial"/>
          <w:color w:val="000000"/>
          <w:szCs w:val="24"/>
          <w:shd w:val="clear" w:color="auto" w:fill="FFFFFF"/>
        </w:rPr>
        <w:t>A479-2021, A908-2021, A492-2021, A330-2021, A491-2021, A739-2021, de ahí que no podía desatenderse dicho criterio, que como se anotó es de obligatorio cumplimiento al tenor de la sentencia C-816 de 2011 que resaltó la fuerza vinculante de las decisiones o precedentes del citado órgano constitucional</w:t>
      </w:r>
      <w:r w:rsidR="007D7E8B" w:rsidRPr="00993F90">
        <w:rPr>
          <w:rFonts w:cs="Arial"/>
          <w:color w:val="000000"/>
          <w:szCs w:val="24"/>
          <w:shd w:val="clear" w:color="auto" w:fill="FFFFFF"/>
        </w:rPr>
        <w:t>, y por ello, la juez de primer grado no podía desconocer tal criterio, más aun cuando la jurisdicción es improrrogable, al tenor del artículo 16 del C.G.P.</w:t>
      </w:r>
    </w:p>
    <w:p w14:paraId="0EEB5B07" w14:textId="760FE56B" w:rsidR="007D7E8B" w:rsidRPr="00993F90" w:rsidRDefault="007D7E8B" w:rsidP="00993F90">
      <w:pPr>
        <w:spacing w:line="276" w:lineRule="auto"/>
        <w:jc w:val="both"/>
        <w:rPr>
          <w:rFonts w:cs="Arial"/>
          <w:color w:val="000000"/>
          <w:szCs w:val="24"/>
          <w:shd w:val="clear" w:color="auto" w:fill="FFFFFF"/>
        </w:rPr>
      </w:pPr>
    </w:p>
    <w:p w14:paraId="3F1E3A8D" w14:textId="5C467CFF" w:rsidR="00EB199C" w:rsidRPr="00993F90" w:rsidRDefault="007D7E8B" w:rsidP="00993F90">
      <w:pPr>
        <w:spacing w:line="276" w:lineRule="auto"/>
        <w:jc w:val="both"/>
        <w:rPr>
          <w:rFonts w:cs="Arial"/>
          <w:szCs w:val="24"/>
        </w:rPr>
      </w:pPr>
      <w:r w:rsidRPr="00993F90">
        <w:rPr>
          <w:rFonts w:cs="Arial"/>
          <w:color w:val="000000"/>
          <w:szCs w:val="24"/>
          <w:shd w:val="clear" w:color="auto" w:fill="FFFFFF"/>
        </w:rPr>
        <w:t xml:space="preserve">Improrrogabilidad de la competencia que no se puede desconocer por mucho tiempo que haya pasado entre la radicación del proceso y el pronunciamiento de primer o segundo grado, pues incluso en las decisiones proferidas por la Corte, concretamente en el A491 del 23/06/2021 en el que la demanda se radicó el 07/09/2012 y solo hasta el 26/02/2019 el Tribunal Superior de Barranquilla declaró la falta de jurisdicción, respecto de la cual el Juzgado Administrativo de Barranquilla propuso el conflicto de competencia el 19/02/2020 y solo resuelto el 23/06/2021, lo que evidencia que pese al paso del tiempo, en el evento allí analizado, transcurrieron más de 8 años, la tardanza o demora en resolver el asunto no habilita a una jurisdicción para conocer un asunto, pese a carecer de competencia para ello, pues la misma es improrrogable. </w:t>
      </w:r>
    </w:p>
    <w:p w14:paraId="44A3DD6C" w14:textId="2DEBF2E1" w:rsidR="00CA62E5" w:rsidRPr="00993F90" w:rsidRDefault="00CA62E5" w:rsidP="00993F90">
      <w:pPr>
        <w:spacing w:line="276" w:lineRule="auto"/>
        <w:jc w:val="both"/>
        <w:rPr>
          <w:rFonts w:cs="Arial"/>
          <w:szCs w:val="24"/>
        </w:rPr>
      </w:pPr>
    </w:p>
    <w:p w14:paraId="5AA9CE4D" w14:textId="5BF701D2" w:rsidR="00B94999" w:rsidRPr="00993F90" w:rsidRDefault="00B94999" w:rsidP="00993F90">
      <w:pPr>
        <w:spacing w:line="276" w:lineRule="auto"/>
        <w:jc w:val="both"/>
        <w:rPr>
          <w:rFonts w:cs="Arial"/>
          <w:bCs/>
          <w:szCs w:val="24"/>
        </w:rPr>
      </w:pPr>
      <w:r w:rsidRPr="00993F90">
        <w:rPr>
          <w:rFonts w:cs="Arial"/>
          <w:bCs/>
          <w:szCs w:val="24"/>
        </w:rPr>
        <w:t xml:space="preserve">En consecuencia, al tenor del artículo 138 del C.G.P. </w:t>
      </w:r>
      <w:r w:rsidRPr="00993F90">
        <w:rPr>
          <w:rFonts w:cs="Arial"/>
          <w:szCs w:val="24"/>
        </w:rPr>
        <w:t xml:space="preserve">se desprende el infortunio de la sentencia dictada el </w:t>
      </w:r>
      <w:r w:rsidR="00EB199C" w:rsidRPr="00993F90">
        <w:rPr>
          <w:rFonts w:cs="Arial"/>
          <w:szCs w:val="24"/>
          <w:lang w:val="es-ES"/>
        </w:rPr>
        <w:t>16 de febrero de 2022</w:t>
      </w:r>
      <w:r w:rsidR="00CE7CE3" w:rsidRPr="00993F90">
        <w:rPr>
          <w:rFonts w:cs="Arial"/>
          <w:szCs w:val="24"/>
          <w:lang w:val="es-ES"/>
        </w:rPr>
        <w:t xml:space="preserve"> por el Juzgado Primero </w:t>
      </w:r>
      <w:r w:rsidR="00EB199C" w:rsidRPr="00993F90">
        <w:rPr>
          <w:rFonts w:cs="Arial"/>
          <w:szCs w:val="24"/>
          <w:lang w:val="es-ES"/>
        </w:rPr>
        <w:t>Segundo</w:t>
      </w:r>
      <w:r w:rsidR="00CE7CE3" w:rsidRPr="00993F90">
        <w:rPr>
          <w:rFonts w:cs="Arial"/>
          <w:szCs w:val="24"/>
          <w:lang w:val="es-ES"/>
        </w:rPr>
        <w:t xml:space="preserve"> del </w:t>
      </w:r>
      <w:r w:rsidR="00CE7CE3" w:rsidRPr="00993F90">
        <w:rPr>
          <w:rFonts w:cs="Arial"/>
          <w:szCs w:val="24"/>
          <w:lang w:val="es-ES"/>
        </w:rPr>
        <w:lastRenderedPageBreak/>
        <w:t>Circuito de Pereira</w:t>
      </w:r>
      <w:r w:rsidRPr="00993F90">
        <w:rPr>
          <w:rFonts w:cs="Arial"/>
          <w:szCs w:val="24"/>
        </w:rPr>
        <w:t>;</w:t>
      </w:r>
      <w:r w:rsidRPr="00993F90">
        <w:rPr>
          <w:rFonts w:cs="Arial"/>
          <w:bCs/>
          <w:szCs w:val="24"/>
        </w:rPr>
        <w:t xml:space="preserve"> por lo tanto, se declarará la falta de jurisdicción y se remitirá el expediente a los Juzgados Administrativos de Pereira – reparto -, a través de la oficina correspondiente.</w:t>
      </w:r>
    </w:p>
    <w:p w14:paraId="3F5C5503" w14:textId="77777777" w:rsidR="00B94999" w:rsidRPr="00993F90" w:rsidRDefault="00B94999" w:rsidP="00993F90">
      <w:pPr>
        <w:spacing w:line="276" w:lineRule="auto"/>
        <w:jc w:val="both"/>
        <w:rPr>
          <w:rFonts w:cs="Arial"/>
          <w:bCs/>
          <w:szCs w:val="24"/>
        </w:rPr>
      </w:pPr>
    </w:p>
    <w:p w14:paraId="5436234A" w14:textId="77777777" w:rsidR="00B94999" w:rsidRPr="00993F90" w:rsidRDefault="00B94999" w:rsidP="00993F90">
      <w:pPr>
        <w:spacing w:line="276" w:lineRule="auto"/>
        <w:jc w:val="both"/>
        <w:rPr>
          <w:rFonts w:cs="Arial"/>
          <w:szCs w:val="24"/>
        </w:rPr>
      </w:pPr>
      <w:r w:rsidRPr="00993F90">
        <w:rPr>
          <w:rFonts w:cs="Arial"/>
          <w:bCs/>
          <w:szCs w:val="24"/>
        </w:rPr>
        <w:t>Lo actuado hasta la sentencia invalidada conservará su validez, así como las pruebas practicadas, que tendrán eficacia respecto de quienes tuvieron oportunidad de controvertirlas, de conformidad con el artículo 138 del C.G.P., aplicable por analogía del artículo 145 del C.P.T. y de la S.S.</w:t>
      </w:r>
      <w:r w:rsidRPr="00993F90">
        <w:rPr>
          <w:rFonts w:cs="Arial"/>
          <w:szCs w:val="24"/>
        </w:rPr>
        <w:t xml:space="preserve"> </w:t>
      </w:r>
    </w:p>
    <w:p w14:paraId="257BAC02" w14:textId="77777777" w:rsidR="00721F33" w:rsidRPr="00993F90" w:rsidRDefault="00721F33" w:rsidP="00993F90">
      <w:pPr>
        <w:spacing w:line="276" w:lineRule="auto"/>
        <w:jc w:val="both"/>
        <w:rPr>
          <w:rFonts w:cs="Arial"/>
          <w:szCs w:val="24"/>
        </w:rPr>
      </w:pPr>
    </w:p>
    <w:p w14:paraId="019F58F4" w14:textId="77777777" w:rsidR="00823788" w:rsidRPr="00993F90" w:rsidRDefault="00823788" w:rsidP="00257040">
      <w:pPr>
        <w:spacing w:line="276" w:lineRule="auto"/>
        <w:jc w:val="center"/>
        <w:rPr>
          <w:rFonts w:cs="Arial"/>
          <w:b/>
          <w:bCs/>
          <w:szCs w:val="24"/>
        </w:rPr>
      </w:pPr>
      <w:r w:rsidRPr="00993F90">
        <w:rPr>
          <w:rFonts w:cs="Arial"/>
          <w:b/>
          <w:bCs/>
          <w:szCs w:val="24"/>
        </w:rPr>
        <w:t>DECISIÓN</w:t>
      </w:r>
    </w:p>
    <w:p w14:paraId="59242975" w14:textId="77777777" w:rsidR="001E288D" w:rsidRPr="00993F90" w:rsidRDefault="001A5118" w:rsidP="00993F90">
      <w:pPr>
        <w:spacing w:line="276" w:lineRule="auto"/>
        <w:jc w:val="both"/>
        <w:rPr>
          <w:rFonts w:cs="Arial"/>
          <w:szCs w:val="24"/>
        </w:rPr>
      </w:pPr>
      <w:r w:rsidRPr="00993F90">
        <w:rPr>
          <w:rFonts w:cs="Arial"/>
          <w:szCs w:val="24"/>
        </w:rPr>
        <w:t xml:space="preserve"> </w:t>
      </w:r>
    </w:p>
    <w:p w14:paraId="5B575CC6" w14:textId="409A2385" w:rsidR="004C3F64" w:rsidRDefault="004C3F64" w:rsidP="00993F90">
      <w:pPr>
        <w:spacing w:line="276" w:lineRule="auto"/>
        <w:jc w:val="both"/>
        <w:rPr>
          <w:rFonts w:cs="Arial"/>
          <w:bCs/>
          <w:szCs w:val="24"/>
        </w:rPr>
      </w:pPr>
      <w:r w:rsidRPr="00993F90">
        <w:rPr>
          <w:rFonts w:cs="Arial"/>
          <w:szCs w:val="24"/>
        </w:rPr>
        <w:t xml:space="preserve">Por lo expuesto, el </w:t>
      </w:r>
      <w:r w:rsidRPr="00993F90">
        <w:rPr>
          <w:rFonts w:cs="Arial"/>
          <w:b/>
          <w:bCs/>
          <w:szCs w:val="24"/>
        </w:rPr>
        <w:t xml:space="preserve">Tribunal Superior del </w:t>
      </w:r>
      <w:r w:rsidR="004777C9" w:rsidRPr="00993F90">
        <w:rPr>
          <w:rFonts w:cs="Arial"/>
          <w:b/>
          <w:bCs/>
          <w:szCs w:val="24"/>
        </w:rPr>
        <w:t>Distrito Judicial de Pereira,</w:t>
      </w:r>
      <w:r w:rsidRPr="00993F90">
        <w:rPr>
          <w:rFonts w:cs="Arial"/>
          <w:b/>
          <w:bCs/>
          <w:szCs w:val="24"/>
        </w:rPr>
        <w:t xml:space="preserve"> Sala Laboral</w:t>
      </w:r>
      <w:r w:rsidR="434074ED" w:rsidRPr="007A0D2F">
        <w:rPr>
          <w:rFonts w:cs="Arial"/>
          <w:bCs/>
          <w:szCs w:val="24"/>
        </w:rPr>
        <w:t>,</w:t>
      </w:r>
    </w:p>
    <w:p w14:paraId="74516D9F" w14:textId="77777777" w:rsidR="007A0D2F" w:rsidRPr="00993F90" w:rsidRDefault="007A0D2F" w:rsidP="00993F90">
      <w:pPr>
        <w:spacing w:line="276" w:lineRule="auto"/>
        <w:jc w:val="both"/>
        <w:rPr>
          <w:rFonts w:cs="Arial"/>
          <w:szCs w:val="24"/>
        </w:rPr>
      </w:pPr>
    </w:p>
    <w:p w14:paraId="418EF31E" w14:textId="77777777" w:rsidR="004C3F64" w:rsidRPr="00993F90" w:rsidRDefault="004C3F64" w:rsidP="00257040">
      <w:pPr>
        <w:spacing w:line="276" w:lineRule="auto"/>
        <w:jc w:val="center"/>
        <w:rPr>
          <w:rFonts w:cs="Arial"/>
          <w:b/>
          <w:bCs/>
          <w:szCs w:val="24"/>
        </w:rPr>
      </w:pPr>
      <w:r w:rsidRPr="00993F90">
        <w:rPr>
          <w:rFonts w:cs="Arial"/>
          <w:b/>
          <w:bCs/>
          <w:szCs w:val="24"/>
        </w:rPr>
        <w:t>RESUELVE</w:t>
      </w:r>
    </w:p>
    <w:p w14:paraId="2411A1EA" w14:textId="77777777" w:rsidR="00D773E5" w:rsidRPr="00993F90" w:rsidRDefault="00D773E5" w:rsidP="007A0D2F">
      <w:pPr>
        <w:spacing w:line="276" w:lineRule="auto"/>
        <w:jc w:val="both"/>
        <w:rPr>
          <w:rFonts w:cs="Arial"/>
          <w:b/>
          <w:bCs/>
          <w:szCs w:val="24"/>
        </w:rPr>
      </w:pPr>
    </w:p>
    <w:p w14:paraId="0BEB53AE" w14:textId="77777777" w:rsidR="00733B49" w:rsidRPr="00993F90" w:rsidRDefault="00733B49" w:rsidP="00993F90">
      <w:pPr>
        <w:spacing w:line="276" w:lineRule="auto"/>
        <w:jc w:val="both"/>
        <w:rPr>
          <w:rFonts w:cs="Arial"/>
          <w:szCs w:val="24"/>
        </w:rPr>
      </w:pPr>
      <w:r w:rsidRPr="00993F90">
        <w:rPr>
          <w:rFonts w:cs="Arial"/>
          <w:b/>
          <w:szCs w:val="24"/>
        </w:rPr>
        <w:t xml:space="preserve">PRIMERO: DECLARAR </w:t>
      </w:r>
      <w:r w:rsidRPr="00993F90">
        <w:rPr>
          <w:rFonts w:cs="Arial"/>
          <w:szCs w:val="24"/>
        </w:rPr>
        <w:t>la falta de jurisdicción para conocer el presente asunto, conforme a lo expuesto a la parte motiva.</w:t>
      </w:r>
    </w:p>
    <w:p w14:paraId="5DF5F614" w14:textId="77777777" w:rsidR="00733B49" w:rsidRPr="00993F90" w:rsidRDefault="00733B49" w:rsidP="00993F90">
      <w:pPr>
        <w:spacing w:line="276" w:lineRule="auto"/>
        <w:jc w:val="both"/>
        <w:rPr>
          <w:rFonts w:cs="Arial"/>
          <w:b/>
          <w:szCs w:val="24"/>
        </w:rPr>
      </w:pPr>
    </w:p>
    <w:p w14:paraId="3FEE3C20" w14:textId="1F3F15F0" w:rsidR="00733B49" w:rsidRPr="00993F90" w:rsidRDefault="00733B49" w:rsidP="00993F90">
      <w:pPr>
        <w:spacing w:line="276" w:lineRule="auto"/>
        <w:jc w:val="both"/>
        <w:rPr>
          <w:rFonts w:cs="Arial"/>
          <w:szCs w:val="24"/>
        </w:rPr>
      </w:pPr>
      <w:r w:rsidRPr="00993F90">
        <w:rPr>
          <w:rFonts w:cs="Arial"/>
          <w:b/>
          <w:szCs w:val="24"/>
        </w:rPr>
        <w:t>SEGUNDO:</w:t>
      </w:r>
      <w:r w:rsidRPr="00993F90">
        <w:rPr>
          <w:rFonts w:cs="Arial"/>
          <w:szCs w:val="24"/>
        </w:rPr>
        <w:t xml:space="preserve"> </w:t>
      </w:r>
      <w:r w:rsidRPr="00993F90">
        <w:rPr>
          <w:rFonts w:cs="Arial"/>
          <w:b/>
          <w:szCs w:val="24"/>
        </w:rPr>
        <w:t xml:space="preserve">INVALIDAR </w:t>
      </w:r>
      <w:r w:rsidRPr="00993F90">
        <w:rPr>
          <w:rFonts w:cs="Arial"/>
          <w:szCs w:val="24"/>
        </w:rPr>
        <w:t xml:space="preserve">la sentencia de primera instancia proferida el </w:t>
      </w:r>
      <w:r w:rsidR="00EB199C" w:rsidRPr="00993F90">
        <w:rPr>
          <w:rFonts w:cs="Arial"/>
          <w:szCs w:val="24"/>
          <w:lang w:val="es-ES"/>
        </w:rPr>
        <w:t xml:space="preserve">16 de febrero de 2022 por el Juzgado Segundo Laboral del Circuito de Pereira, dentro del proceso ordinario laboral </w:t>
      </w:r>
      <w:r w:rsidRPr="00993F90">
        <w:rPr>
          <w:rFonts w:cs="Arial"/>
          <w:bCs/>
          <w:szCs w:val="24"/>
        </w:rPr>
        <w:t xml:space="preserve">iniciado por </w:t>
      </w:r>
      <w:r w:rsidR="00EB199C" w:rsidRPr="00993F90">
        <w:rPr>
          <w:rFonts w:cs="Arial"/>
          <w:bCs/>
          <w:szCs w:val="24"/>
        </w:rPr>
        <w:t xml:space="preserve">Alirio Tabares contra el Municipio de Pereira. </w:t>
      </w:r>
      <w:r w:rsidRPr="00993F90">
        <w:rPr>
          <w:rFonts w:cs="Arial"/>
          <w:bCs/>
          <w:szCs w:val="24"/>
        </w:rPr>
        <w:t>Lo</w:t>
      </w:r>
      <w:r w:rsidRPr="00993F90">
        <w:rPr>
          <w:rFonts w:cs="Arial"/>
          <w:szCs w:val="24"/>
        </w:rPr>
        <w:t xml:space="preserve"> actuado con anterioridad a ella conservará su validez, </w:t>
      </w:r>
      <w:r w:rsidRPr="00993F90">
        <w:rPr>
          <w:rFonts w:cs="Arial"/>
          <w:bCs/>
          <w:szCs w:val="24"/>
        </w:rPr>
        <w:t>así como las pruebas practicadas, que tendrán eficacia respecto de quienes tuvieron oportunidad de controvertirlas.</w:t>
      </w:r>
    </w:p>
    <w:p w14:paraId="31856FD1" w14:textId="77777777" w:rsidR="00733B49" w:rsidRPr="00993F90" w:rsidRDefault="00733B49" w:rsidP="00993F90">
      <w:pPr>
        <w:spacing w:line="276" w:lineRule="auto"/>
        <w:jc w:val="both"/>
        <w:rPr>
          <w:rFonts w:cs="Arial"/>
          <w:szCs w:val="24"/>
        </w:rPr>
      </w:pPr>
    </w:p>
    <w:p w14:paraId="671F76BF" w14:textId="77777777" w:rsidR="00733B49" w:rsidRPr="00993F90" w:rsidRDefault="00733B49" w:rsidP="00993F90">
      <w:pPr>
        <w:spacing w:line="276" w:lineRule="auto"/>
        <w:jc w:val="both"/>
        <w:rPr>
          <w:rFonts w:cs="Arial"/>
          <w:bCs/>
          <w:szCs w:val="24"/>
        </w:rPr>
      </w:pPr>
      <w:r w:rsidRPr="00993F90">
        <w:rPr>
          <w:rFonts w:cs="Arial"/>
          <w:b/>
          <w:szCs w:val="24"/>
        </w:rPr>
        <w:t xml:space="preserve">TERCERO: REMITIR </w:t>
      </w:r>
      <w:r w:rsidRPr="00993F90">
        <w:rPr>
          <w:rFonts w:cs="Arial"/>
          <w:szCs w:val="24"/>
        </w:rPr>
        <w:t xml:space="preserve">el expediente a los Juzgados Administrativos del Circuito Pereira –reparto- a través de la oficina competente. </w:t>
      </w:r>
    </w:p>
    <w:p w14:paraId="3A9C2AB6" w14:textId="77777777" w:rsidR="00005F5D" w:rsidRPr="00005F5D" w:rsidRDefault="00005F5D" w:rsidP="00005F5D">
      <w:pPr>
        <w:shd w:val="clear" w:color="auto" w:fill="FFFFFF" w:themeFill="background1"/>
        <w:tabs>
          <w:tab w:val="left" w:pos="5197"/>
        </w:tabs>
        <w:jc w:val="both"/>
        <w:rPr>
          <w:rFonts w:cs="Arial"/>
          <w:bCs/>
          <w:szCs w:val="24"/>
          <w:lang w:val="es-ES_tradnl"/>
        </w:rPr>
      </w:pPr>
    </w:p>
    <w:p w14:paraId="141F4C61" w14:textId="77777777" w:rsidR="00005F5D" w:rsidRPr="00005F5D" w:rsidRDefault="00005F5D" w:rsidP="00005F5D">
      <w:pPr>
        <w:widowControl w:val="0"/>
        <w:autoSpaceDE w:val="0"/>
        <w:autoSpaceDN w:val="0"/>
        <w:adjustRightInd w:val="0"/>
        <w:spacing w:line="276" w:lineRule="auto"/>
        <w:contextualSpacing/>
        <w:jc w:val="both"/>
        <w:rPr>
          <w:rFonts w:cs="Arial"/>
          <w:szCs w:val="24"/>
          <w:lang w:val="es-ES_tradnl"/>
        </w:rPr>
      </w:pPr>
      <w:r w:rsidRPr="00005F5D">
        <w:rPr>
          <w:rFonts w:cs="Arial"/>
          <w:szCs w:val="24"/>
          <w:lang w:val="es-ES_tradnl"/>
        </w:rPr>
        <w:t xml:space="preserve">Notifíquese y cúmplase, </w:t>
      </w:r>
    </w:p>
    <w:p w14:paraId="62B48BBD" w14:textId="77777777" w:rsidR="00846395" w:rsidRPr="00846395" w:rsidRDefault="00846395" w:rsidP="00846395">
      <w:pPr>
        <w:spacing w:line="276" w:lineRule="auto"/>
        <w:contextualSpacing/>
        <w:jc w:val="both"/>
        <w:rPr>
          <w:rFonts w:eastAsia="Calibri" w:cs="Arial"/>
          <w:szCs w:val="24"/>
          <w:lang w:val="es-ES_tradnl"/>
        </w:rPr>
      </w:pPr>
    </w:p>
    <w:p w14:paraId="16059347" w14:textId="210DB97D" w:rsidR="00846395" w:rsidRPr="00846395" w:rsidRDefault="00846395" w:rsidP="00846395">
      <w:pPr>
        <w:widowControl w:val="0"/>
        <w:autoSpaceDE w:val="0"/>
        <w:autoSpaceDN w:val="0"/>
        <w:adjustRightInd w:val="0"/>
        <w:spacing w:line="276" w:lineRule="auto"/>
        <w:contextualSpacing/>
        <w:jc w:val="both"/>
        <w:rPr>
          <w:rFonts w:cs="Arial"/>
          <w:szCs w:val="24"/>
          <w:lang w:val="es-ES_tradnl"/>
        </w:rPr>
      </w:pPr>
      <w:r w:rsidRPr="00846395">
        <w:rPr>
          <w:rFonts w:cs="Arial"/>
          <w:szCs w:val="24"/>
          <w:lang w:val="es-ES_tradnl"/>
        </w:rPr>
        <w:t>Quienes integran la Sala,</w:t>
      </w:r>
    </w:p>
    <w:p w14:paraId="6EEFC250" w14:textId="77777777" w:rsidR="00846395" w:rsidRPr="00846395" w:rsidRDefault="00846395" w:rsidP="00846395">
      <w:pPr>
        <w:spacing w:line="276" w:lineRule="auto"/>
        <w:contextualSpacing/>
        <w:jc w:val="both"/>
        <w:rPr>
          <w:rFonts w:eastAsia="Calibri" w:cs="Arial"/>
          <w:szCs w:val="24"/>
          <w:lang w:val="es-ES_tradnl"/>
        </w:rPr>
      </w:pPr>
    </w:p>
    <w:p w14:paraId="7EFE67C0" w14:textId="77777777" w:rsidR="00846395" w:rsidRPr="00846395" w:rsidRDefault="00846395" w:rsidP="00846395">
      <w:pPr>
        <w:spacing w:line="276" w:lineRule="auto"/>
        <w:contextualSpacing/>
        <w:jc w:val="both"/>
        <w:rPr>
          <w:rFonts w:eastAsia="Calibri" w:cs="Arial"/>
          <w:szCs w:val="24"/>
          <w:lang w:val="es-ES_tradnl"/>
        </w:rPr>
      </w:pPr>
    </w:p>
    <w:p w14:paraId="426652FD" w14:textId="77777777" w:rsidR="00005F5D" w:rsidRPr="00005F5D" w:rsidRDefault="00005F5D" w:rsidP="00005F5D">
      <w:pPr>
        <w:spacing w:line="276" w:lineRule="auto"/>
        <w:contextualSpacing/>
        <w:jc w:val="center"/>
        <w:rPr>
          <w:rFonts w:eastAsiaTheme="minorHAnsi" w:cs="Arial"/>
          <w:b/>
          <w:bCs/>
          <w:szCs w:val="24"/>
          <w:lang w:val="es-ES_tradnl" w:eastAsia="en-US"/>
        </w:rPr>
      </w:pPr>
      <w:r w:rsidRPr="00005F5D">
        <w:rPr>
          <w:rFonts w:eastAsiaTheme="minorHAnsi" w:cs="Arial"/>
          <w:b/>
          <w:bCs/>
          <w:szCs w:val="24"/>
          <w:lang w:val="es-ES_tradnl" w:eastAsia="en-US"/>
        </w:rPr>
        <w:t>OLGA LUCÍA HOYOS SEPÚLVEDA</w:t>
      </w:r>
    </w:p>
    <w:p w14:paraId="6A8A9072" w14:textId="77777777" w:rsidR="00005F5D" w:rsidRPr="00005F5D" w:rsidRDefault="00005F5D" w:rsidP="00005F5D">
      <w:pPr>
        <w:spacing w:line="276" w:lineRule="auto"/>
        <w:contextualSpacing/>
        <w:jc w:val="center"/>
        <w:rPr>
          <w:rFonts w:eastAsiaTheme="minorHAnsi" w:cs="Arial"/>
          <w:szCs w:val="24"/>
          <w:lang w:val="es-ES_tradnl" w:eastAsia="en-US"/>
        </w:rPr>
      </w:pPr>
      <w:r w:rsidRPr="00005F5D">
        <w:rPr>
          <w:rFonts w:eastAsiaTheme="minorHAnsi" w:cs="Arial"/>
          <w:szCs w:val="24"/>
          <w:lang w:val="es-ES_tradnl" w:eastAsia="en-US"/>
        </w:rPr>
        <w:t>Magistrada Ponente</w:t>
      </w:r>
    </w:p>
    <w:p w14:paraId="60D44BC4" w14:textId="77777777" w:rsidR="00005F5D" w:rsidRPr="00005F5D" w:rsidRDefault="00005F5D" w:rsidP="00005F5D">
      <w:pPr>
        <w:spacing w:line="276" w:lineRule="auto"/>
        <w:contextualSpacing/>
        <w:rPr>
          <w:rFonts w:eastAsiaTheme="minorHAnsi" w:cs="Arial"/>
          <w:szCs w:val="24"/>
          <w:lang w:val="es-ES_tradnl" w:eastAsia="en-US"/>
        </w:rPr>
      </w:pPr>
    </w:p>
    <w:p w14:paraId="4B6B7CB0" w14:textId="77777777" w:rsidR="00005F5D" w:rsidRPr="00005F5D" w:rsidRDefault="00005F5D" w:rsidP="00005F5D">
      <w:pPr>
        <w:spacing w:line="276" w:lineRule="auto"/>
        <w:contextualSpacing/>
        <w:rPr>
          <w:rFonts w:eastAsiaTheme="minorHAnsi" w:cs="Arial"/>
          <w:szCs w:val="24"/>
          <w:lang w:val="es-ES_tradnl" w:eastAsia="en-US"/>
        </w:rPr>
      </w:pPr>
    </w:p>
    <w:p w14:paraId="759B47A6" w14:textId="77777777" w:rsidR="00005F5D" w:rsidRPr="00005F5D" w:rsidRDefault="00005F5D" w:rsidP="00005F5D">
      <w:pPr>
        <w:spacing w:line="276" w:lineRule="auto"/>
        <w:contextualSpacing/>
        <w:jc w:val="center"/>
        <w:rPr>
          <w:rFonts w:cs="Arial"/>
          <w:szCs w:val="24"/>
          <w:lang w:val="es-ES_tradnl"/>
        </w:rPr>
      </w:pPr>
      <w:r w:rsidRPr="00005F5D">
        <w:rPr>
          <w:rFonts w:cs="Arial"/>
          <w:b/>
          <w:bCs/>
          <w:szCs w:val="24"/>
          <w:lang w:val="es-ES_tradnl"/>
        </w:rPr>
        <w:t>JULIO CÉSAR SALAZAR MUÑOZ</w:t>
      </w:r>
    </w:p>
    <w:p w14:paraId="611891BB" w14:textId="77777777" w:rsidR="00005F5D" w:rsidRPr="00005F5D" w:rsidRDefault="00005F5D" w:rsidP="00005F5D">
      <w:pPr>
        <w:spacing w:line="276" w:lineRule="auto"/>
        <w:contextualSpacing/>
        <w:jc w:val="center"/>
        <w:rPr>
          <w:rFonts w:cs="Arial"/>
          <w:b/>
          <w:bCs/>
          <w:szCs w:val="24"/>
          <w:lang w:val="es-ES_tradnl"/>
        </w:rPr>
      </w:pPr>
      <w:r w:rsidRPr="00005F5D">
        <w:rPr>
          <w:rFonts w:cs="Arial"/>
          <w:szCs w:val="24"/>
          <w:lang w:val="es-ES_tradnl"/>
        </w:rPr>
        <w:t>Magistrado</w:t>
      </w:r>
    </w:p>
    <w:p w14:paraId="069B9877" w14:textId="77777777" w:rsidR="00005F5D" w:rsidRPr="00005F5D" w:rsidRDefault="00005F5D" w:rsidP="00005F5D">
      <w:pPr>
        <w:spacing w:line="276" w:lineRule="auto"/>
        <w:contextualSpacing/>
        <w:rPr>
          <w:rFonts w:eastAsiaTheme="minorHAnsi" w:cs="Arial"/>
          <w:szCs w:val="24"/>
          <w:lang w:val="es-ES_tradnl" w:eastAsia="en-US"/>
        </w:rPr>
      </w:pPr>
    </w:p>
    <w:p w14:paraId="1A34C56E" w14:textId="77777777" w:rsidR="00005F5D" w:rsidRPr="00005F5D" w:rsidRDefault="00005F5D" w:rsidP="00005F5D">
      <w:pPr>
        <w:spacing w:line="276" w:lineRule="auto"/>
        <w:contextualSpacing/>
        <w:rPr>
          <w:rFonts w:eastAsiaTheme="minorHAnsi" w:cs="Arial"/>
          <w:szCs w:val="24"/>
          <w:lang w:val="es-ES_tradnl" w:eastAsia="en-US"/>
        </w:rPr>
      </w:pPr>
    </w:p>
    <w:p w14:paraId="390487D4" w14:textId="79C65977" w:rsidR="004777C9" w:rsidRPr="00993F90" w:rsidRDefault="00EB199C" w:rsidP="00993F90">
      <w:pPr>
        <w:spacing w:line="276" w:lineRule="auto"/>
        <w:jc w:val="center"/>
        <w:rPr>
          <w:rFonts w:cs="Arial"/>
          <w:szCs w:val="24"/>
          <w:lang w:val="es-ES"/>
        </w:rPr>
      </w:pPr>
      <w:r w:rsidRPr="00993F90">
        <w:rPr>
          <w:rFonts w:cs="Arial"/>
          <w:b/>
          <w:bCs/>
          <w:iCs/>
          <w:szCs w:val="24"/>
          <w:lang w:val="es-ES"/>
        </w:rPr>
        <w:t>GERMÁN DARÍO GOEZ VINASCO</w:t>
      </w:r>
    </w:p>
    <w:p w14:paraId="7DDBA415" w14:textId="01BA48DA" w:rsidR="004777C9" w:rsidRPr="00993F90" w:rsidRDefault="004777C9" w:rsidP="00993F90">
      <w:pPr>
        <w:spacing w:line="276" w:lineRule="auto"/>
        <w:jc w:val="center"/>
        <w:rPr>
          <w:rFonts w:cs="Arial"/>
          <w:szCs w:val="24"/>
          <w:lang w:val="es-ES"/>
        </w:rPr>
      </w:pPr>
      <w:r w:rsidRPr="00993F90">
        <w:rPr>
          <w:rFonts w:cs="Arial"/>
          <w:szCs w:val="24"/>
          <w:lang w:val="es-ES"/>
        </w:rPr>
        <w:t>Magistrad</w:t>
      </w:r>
      <w:r w:rsidR="00005F5D">
        <w:rPr>
          <w:rFonts w:cs="Arial"/>
          <w:szCs w:val="24"/>
          <w:lang w:val="es-ES"/>
        </w:rPr>
        <w:t>o</w:t>
      </w:r>
    </w:p>
    <w:p w14:paraId="6E340386" w14:textId="5527D304" w:rsidR="004946C9" w:rsidRPr="00257040" w:rsidRDefault="00F8759F" w:rsidP="00257040">
      <w:pPr>
        <w:spacing w:line="276" w:lineRule="auto"/>
        <w:jc w:val="center"/>
        <w:rPr>
          <w:rFonts w:cs="Arial"/>
          <w:b/>
          <w:szCs w:val="24"/>
        </w:rPr>
      </w:pPr>
      <w:r>
        <w:rPr>
          <w:rFonts w:cs="Arial"/>
          <w:szCs w:val="24"/>
          <w:lang w:val="es-ES"/>
        </w:rPr>
        <w:t>Con salvamento de voto</w:t>
      </w:r>
    </w:p>
    <w:sectPr w:rsidR="004946C9" w:rsidRPr="00257040" w:rsidSect="00993F90">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D271B4" w16cex:dateUtc="2022-05-11T22:25:28.453Z"/>
  <w16cex:commentExtensible w16cex:durableId="3E1C80BC" w16cex:dateUtc="2022-10-31T22:30:12.47Z"/>
  <w16cex:commentExtensible w16cex:durableId="6F5EED77" w16cex:dateUtc="2023-11-27T17:58:10.82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231D" w14:textId="77777777" w:rsidR="0024728A" w:rsidRDefault="0024728A" w:rsidP="00CF2FE1">
      <w:r>
        <w:separator/>
      </w:r>
    </w:p>
  </w:endnote>
  <w:endnote w:type="continuationSeparator" w:id="0">
    <w:p w14:paraId="682F081A" w14:textId="77777777" w:rsidR="0024728A" w:rsidRDefault="0024728A" w:rsidP="00C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49380"/>
      <w:docPartObj>
        <w:docPartGallery w:val="Page Numbers (Bottom of Page)"/>
        <w:docPartUnique/>
      </w:docPartObj>
    </w:sdtPr>
    <w:sdtEndPr>
      <w:rPr>
        <w:rFonts w:cs="Arial"/>
        <w:sz w:val="18"/>
        <w:szCs w:val="18"/>
      </w:rPr>
    </w:sdtEndPr>
    <w:sdtContent>
      <w:p w14:paraId="23368F0C" w14:textId="5495C949" w:rsidR="00EB769E" w:rsidRPr="00257040" w:rsidRDefault="00EB769E">
        <w:pPr>
          <w:pStyle w:val="Piedepgina"/>
          <w:jc w:val="right"/>
          <w:rPr>
            <w:rFonts w:cs="Arial"/>
            <w:sz w:val="18"/>
            <w:szCs w:val="18"/>
          </w:rPr>
        </w:pPr>
        <w:r w:rsidRPr="00257040">
          <w:rPr>
            <w:rFonts w:cs="Arial"/>
            <w:sz w:val="18"/>
            <w:szCs w:val="18"/>
          </w:rPr>
          <w:fldChar w:fldCharType="begin"/>
        </w:r>
        <w:r w:rsidRPr="00257040">
          <w:rPr>
            <w:rFonts w:cs="Arial"/>
            <w:sz w:val="18"/>
            <w:szCs w:val="18"/>
          </w:rPr>
          <w:instrText>PAGE   \* MERGEFORMAT</w:instrText>
        </w:r>
        <w:r w:rsidRPr="00257040">
          <w:rPr>
            <w:rFonts w:cs="Arial"/>
            <w:sz w:val="18"/>
            <w:szCs w:val="18"/>
          </w:rPr>
          <w:fldChar w:fldCharType="separate"/>
        </w:r>
        <w:r w:rsidR="00CC55E2">
          <w:rPr>
            <w:rFonts w:cs="Arial"/>
            <w:noProof/>
            <w:sz w:val="18"/>
            <w:szCs w:val="18"/>
          </w:rPr>
          <w:t>6</w:t>
        </w:r>
        <w:r w:rsidRPr="00257040">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79009" w14:textId="77777777" w:rsidR="0024728A" w:rsidRDefault="0024728A" w:rsidP="00CF2FE1">
      <w:r>
        <w:separator/>
      </w:r>
    </w:p>
  </w:footnote>
  <w:footnote w:type="continuationSeparator" w:id="0">
    <w:p w14:paraId="3344F727" w14:textId="77777777" w:rsidR="0024728A" w:rsidRDefault="0024728A" w:rsidP="00CF2FE1">
      <w:r>
        <w:continuationSeparator/>
      </w:r>
    </w:p>
  </w:footnote>
  <w:footnote w:id="1">
    <w:p w14:paraId="2BD837AF" w14:textId="5E896036" w:rsidR="009F1D32" w:rsidRPr="00257040" w:rsidRDefault="009F1D32" w:rsidP="00257040">
      <w:pPr>
        <w:pStyle w:val="Textonotapie"/>
        <w:jc w:val="both"/>
        <w:rPr>
          <w:rFonts w:ascii="Arial" w:hAnsi="Arial" w:cs="Arial"/>
          <w:sz w:val="18"/>
          <w:szCs w:val="18"/>
        </w:rPr>
      </w:pPr>
      <w:r w:rsidRPr="00257040">
        <w:rPr>
          <w:rStyle w:val="Refdenotaalpie"/>
          <w:rFonts w:ascii="Arial" w:hAnsi="Arial" w:cs="Arial"/>
          <w:sz w:val="18"/>
          <w:szCs w:val="18"/>
        </w:rPr>
        <w:footnoteRef/>
      </w:r>
      <w:r w:rsidRPr="00257040">
        <w:rPr>
          <w:rFonts w:ascii="Arial" w:hAnsi="Arial" w:cs="Arial"/>
          <w:sz w:val="18"/>
          <w:szCs w:val="18"/>
        </w:rPr>
        <w:t xml:space="preserve"> Sección Segunda del Consejo de Estado, decisiones del 2 de marzo de 2017, Exp. 4066-14; 6 de octubre de 2016, Exp. 3308-13; 25 de agosto de 2016, Exp. 0088-15; 21 de julio de 2016, Exp. 2830-13; 16 de junio de 2016, Exp. 1317-15; 4 de febrero de 2016; Exp. 0316-14; 9 de abril de 2014, Exp. 0131-13; 13 de diciembre de 2012, Exp. 1662-12; 24 de octubre de 2012, Exp. 1201-12; 15 de junio de 2011, Exp. 1129-10; 4 de noviembre de 2010, Exp. 0761-10; 7 de octubre de 2010, Exp. 1343-09; 19 de agosto de 2010, Exp. 0259-10; 13 de mayo de 2010, Exp. 0924-09; 19 de febrero de 2009, Exp. 3074-05; 6 de septiembre de 2008, Exp. 2152-06; 17 de abril de 2008, Exp 2776-05; 16 de noviembre de 2006, Exp. 9776; 24 de noviembre de 2005, Expediente: 4058-04; 4 de noviembre de 2004, Exp. 3661-03; 21 de agosto de 2003, Exp. 0370-03; 3 de julio de 2003, Exp. 4798-02; 21 de febrero de 2002, Exp.3530-01; 28 de junio de 2001, Exp. 2324-00, entre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9763" w14:textId="77777777" w:rsidR="008F6DC3" w:rsidRPr="00174E3F" w:rsidRDefault="008F6DC3" w:rsidP="00257040">
    <w:pPr>
      <w:pStyle w:val="Encabezado"/>
      <w:jc w:val="center"/>
      <w:rPr>
        <w:rFonts w:cs="Arial"/>
        <w:sz w:val="18"/>
        <w:szCs w:val="18"/>
      </w:rPr>
    </w:pPr>
    <w:r w:rsidRPr="00174E3F">
      <w:rPr>
        <w:rFonts w:cs="Arial"/>
        <w:sz w:val="18"/>
        <w:szCs w:val="18"/>
      </w:rPr>
      <w:t>Proceso Ordi</w:t>
    </w:r>
    <w:r>
      <w:rPr>
        <w:rFonts w:cs="Arial"/>
        <w:sz w:val="18"/>
        <w:szCs w:val="18"/>
      </w:rPr>
      <w:t>n</w:t>
    </w:r>
    <w:r w:rsidRPr="00174E3F">
      <w:rPr>
        <w:rFonts w:cs="Arial"/>
        <w:sz w:val="18"/>
        <w:szCs w:val="18"/>
      </w:rPr>
      <w:t xml:space="preserve">ario Laboral </w:t>
    </w:r>
  </w:p>
  <w:p w14:paraId="35CF9D16" w14:textId="77755AE6" w:rsidR="008F6DC3" w:rsidRPr="00174E3F" w:rsidRDefault="008F6DC3" w:rsidP="00257040">
    <w:pPr>
      <w:pStyle w:val="Encabezado"/>
      <w:jc w:val="center"/>
      <w:rPr>
        <w:rFonts w:cs="Arial"/>
        <w:sz w:val="18"/>
        <w:szCs w:val="18"/>
      </w:rPr>
    </w:pPr>
    <w:r>
      <w:rPr>
        <w:rFonts w:cs="Arial"/>
        <w:sz w:val="18"/>
        <w:szCs w:val="18"/>
      </w:rPr>
      <w:t>66001-31-05-00</w:t>
    </w:r>
    <w:r w:rsidR="00E4405E">
      <w:rPr>
        <w:rFonts w:cs="Arial"/>
        <w:sz w:val="18"/>
        <w:szCs w:val="18"/>
      </w:rPr>
      <w:t>1</w:t>
    </w:r>
    <w:r>
      <w:rPr>
        <w:rFonts w:cs="Arial"/>
        <w:sz w:val="18"/>
        <w:szCs w:val="18"/>
      </w:rPr>
      <w:t>-20</w:t>
    </w:r>
    <w:r w:rsidR="00E4405E">
      <w:rPr>
        <w:rFonts w:cs="Arial"/>
        <w:sz w:val="18"/>
        <w:szCs w:val="18"/>
      </w:rPr>
      <w:t>1</w:t>
    </w:r>
    <w:r w:rsidR="00115E17">
      <w:rPr>
        <w:rFonts w:cs="Arial"/>
        <w:sz w:val="18"/>
        <w:szCs w:val="18"/>
      </w:rPr>
      <w:t>8</w:t>
    </w:r>
    <w:r>
      <w:rPr>
        <w:rFonts w:cs="Arial"/>
        <w:sz w:val="18"/>
        <w:szCs w:val="18"/>
      </w:rPr>
      <w:t>-00</w:t>
    </w:r>
    <w:r w:rsidR="00115E17">
      <w:rPr>
        <w:rFonts w:cs="Arial"/>
        <w:sz w:val="18"/>
        <w:szCs w:val="18"/>
      </w:rPr>
      <w:t>183</w:t>
    </w:r>
    <w:r w:rsidRPr="00174E3F">
      <w:rPr>
        <w:rFonts w:cs="Arial"/>
        <w:sz w:val="18"/>
        <w:szCs w:val="18"/>
      </w:rPr>
      <w:t>-0</w:t>
    </w:r>
    <w:r w:rsidR="00115E17">
      <w:rPr>
        <w:rFonts w:cs="Arial"/>
        <w:sz w:val="18"/>
        <w:szCs w:val="18"/>
      </w:rPr>
      <w:t>1</w:t>
    </w:r>
  </w:p>
  <w:p w14:paraId="58A15BE7" w14:textId="56CF35F2" w:rsidR="00885D8C" w:rsidRDefault="00115E17" w:rsidP="00257040">
    <w:pPr>
      <w:pStyle w:val="Encabezado"/>
      <w:jc w:val="center"/>
    </w:pPr>
    <w:r>
      <w:rPr>
        <w:rFonts w:cs="Arial"/>
        <w:sz w:val="18"/>
        <w:szCs w:val="18"/>
      </w:rPr>
      <w:t>Heriberto de Jesús Bermúdez</w:t>
    </w:r>
    <w:r w:rsidR="008F6DC3">
      <w:rPr>
        <w:rFonts w:cs="Arial"/>
        <w:sz w:val="18"/>
        <w:szCs w:val="18"/>
      </w:rPr>
      <w:t xml:space="preserve"> vs </w:t>
    </w:r>
    <w:r>
      <w:rPr>
        <w:rFonts w:cs="Arial"/>
        <w:bCs/>
        <w:sz w:val="18"/>
        <w:szCs w:val="18"/>
      </w:rPr>
      <w:t>E.S.E. Salud Pereira</w:t>
    </w:r>
    <w:r w:rsidR="00257040">
      <w:rPr>
        <w:rFonts w:ascii="Century Schoolbook" w:hAnsi="Century Schoolbook"/>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3708"/>
    <w:multiLevelType w:val="hybridMultilevel"/>
    <w:tmpl w:val="400C5EEC"/>
    <w:lvl w:ilvl="0" w:tplc="439C0C9C">
      <w:start w:val="1"/>
      <w:numFmt w:val="decimal"/>
      <w:lvlText w:val="%1."/>
      <w:lvlJc w:val="lef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641911"/>
    <w:multiLevelType w:val="hybridMultilevel"/>
    <w:tmpl w:val="F9F4A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1B799E"/>
    <w:multiLevelType w:val="hybridMultilevel"/>
    <w:tmpl w:val="F9F4A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94F56AB"/>
    <w:multiLevelType w:val="hybridMultilevel"/>
    <w:tmpl w:val="EA426FBA"/>
    <w:lvl w:ilvl="0" w:tplc="0E2C052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E1"/>
    <w:rsid w:val="00000DDC"/>
    <w:rsid w:val="0000449E"/>
    <w:rsid w:val="00005F5D"/>
    <w:rsid w:val="00007BE3"/>
    <w:rsid w:val="0001520D"/>
    <w:rsid w:val="000313EF"/>
    <w:rsid w:val="000442EE"/>
    <w:rsid w:val="00076ED9"/>
    <w:rsid w:val="00084438"/>
    <w:rsid w:val="00092783"/>
    <w:rsid w:val="00092EA8"/>
    <w:rsid w:val="000A17EF"/>
    <w:rsid w:val="000A2755"/>
    <w:rsid w:val="000C2992"/>
    <w:rsid w:val="000C7885"/>
    <w:rsid w:val="000D12C4"/>
    <w:rsid w:val="000E7B5A"/>
    <w:rsid w:val="000F3C79"/>
    <w:rsid w:val="00100295"/>
    <w:rsid w:val="00101056"/>
    <w:rsid w:val="00111A17"/>
    <w:rsid w:val="00113B15"/>
    <w:rsid w:val="00115E17"/>
    <w:rsid w:val="00124BD9"/>
    <w:rsid w:val="0012754F"/>
    <w:rsid w:val="001351BC"/>
    <w:rsid w:val="00141868"/>
    <w:rsid w:val="00143A1E"/>
    <w:rsid w:val="00144703"/>
    <w:rsid w:val="00165692"/>
    <w:rsid w:val="00166D31"/>
    <w:rsid w:val="0017180A"/>
    <w:rsid w:val="001745CF"/>
    <w:rsid w:val="00175213"/>
    <w:rsid w:val="0018722E"/>
    <w:rsid w:val="001931A6"/>
    <w:rsid w:val="001A0239"/>
    <w:rsid w:val="001A45E1"/>
    <w:rsid w:val="001A5118"/>
    <w:rsid w:val="001C1C3C"/>
    <w:rsid w:val="001C225B"/>
    <w:rsid w:val="001C5856"/>
    <w:rsid w:val="001C71A1"/>
    <w:rsid w:val="001D09B3"/>
    <w:rsid w:val="001E288D"/>
    <w:rsid w:val="001E5DD9"/>
    <w:rsid w:val="001E615C"/>
    <w:rsid w:val="002041EF"/>
    <w:rsid w:val="0021107F"/>
    <w:rsid w:val="00222FF4"/>
    <w:rsid w:val="002277D9"/>
    <w:rsid w:val="00227881"/>
    <w:rsid w:val="00237B8C"/>
    <w:rsid w:val="0024444D"/>
    <w:rsid w:val="0024728A"/>
    <w:rsid w:val="002479D0"/>
    <w:rsid w:val="00256012"/>
    <w:rsid w:val="00257040"/>
    <w:rsid w:val="0026061D"/>
    <w:rsid w:val="00260E69"/>
    <w:rsid w:val="00265B5A"/>
    <w:rsid w:val="00276B88"/>
    <w:rsid w:val="00284685"/>
    <w:rsid w:val="00291508"/>
    <w:rsid w:val="00297410"/>
    <w:rsid w:val="002A563B"/>
    <w:rsid w:val="002C27FC"/>
    <w:rsid w:val="002C5C1D"/>
    <w:rsid w:val="002C688C"/>
    <w:rsid w:val="002C7006"/>
    <w:rsid w:val="002D33C8"/>
    <w:rsid w:val="0032299E"/>
    <w:rsid w:val="00323AC5"/>
    <w:rsid w:val="00327A3A"/>
    <w:rsid w:val="00337074"/>
    <w:rsid w:val="00347A09"/>
    <w:rsid w:val="00352D41"/>
    <w:rsid w:val="00355A07"/>
    <w:rsid w:val="00361CB6"/>
    <w:rsid w:val="0037396F"/>
    <w:rsid w:val="00373AF1"/>
    <w:rsid w:val="00373C21"/>
    <w:rsid w:val="003924E4"/>
    <w:rsid w:val="00396A6D"/>
    <w:rsid w:val="00397BFA"/>
    <w:rsid w:val="003A7FAB"/>
    <w:rsid w:val="003B0F45"/>
    <w:rsid w:val="003B3CB4"/>
    <w:rsid w:val="003B54CC"/>
    <w:rsid w:val="003C0750"/>
    <w:rsid w:val="003C1C43"/>
    <w:rsid w:val="003E434B"/>
    <w:rsid w:val="003F4DD7"/>
    <w:rsid w:val="003F5306"/>
    <w:rsid w:val="0040592B"/>
    <w:rsid w:val="00405CCC"/>
    <w:rsid w:val="004109AF"/>
    <w:rsid w:val="0042159E"/>
    <w:rsid w:val="00426195"/>
    <w:rsid w:val="004316C5"/>
    <w:rsid w:val="00460C6E"/>
    <w:rsid w:val="00464F0D"/>
    <w:rsid w:val="004672B1"/>
    <w:rsid w:val="0046743D"/>
    <w:rsid w:val="00474471"/>
    <w:rsid w:val="00475069"/>
    <w:rsid w:val="00475A21"/>
    <w:rsid w:val="00476924"/>
    <w:rsid w:val="004777C9"/>
    <w:rsid w:val="0048171E"/>
    <w:rsid w:val="004826B7"/>
    <w:rsid w:val="004872B4"/>
    <w:rsid w:val="00492570"/>
    <w:rsid w:val="00493BF2"/>
    <w:rsid w:val="004946C9"/>
    <w:rsid w:val="004A02FF"/>
    <w:rsid w:val="004B71BB"/>
    <w:rsid w:val="004C3BA8"/>
    <w:rsid w:val="004C3F64"/>
    <w:rsid w:val="004C5AE8"/>
    <w:rsid w:val="004C5D21"/>
    <w:rsid w:val="004D1FA4"/>
    <w:rsid w:val="004E232F"/>
    <w:rsid w:val="004E5470"/>
    <w:rsid w:val="004E5BCE"/>
    <w:rsid w:val="004F056E"/>
    <w:rsid w:val="00514423"/>
    <w:rsid w:val="005156FF"/>
    <w:rsid w:val="00526122"/>
    <w:rsid w:val="00542F23"/>
    <w:rsid w:val="00565A45"/>
    <w:rsid w:val="00577F86"/>
    <w:rsid w:val="00582A3B"/>
    <w:rsid w:val="005949BA"/>
    <w:rsid w:val="00597FA5"/>
    <w:rsid w:val="005A1EB7"/>
    <w:rsid w:val="005B29CB"/>
    <w:rsid w:val="005D2052"/>
    <w:rsid w:val="005D2155"/>
    <w:rsid w:val="005E6FDD"/>
    <w:rsid w:val="005F6A8B"/>
    <w:rsid w:val="00607062"/>
    <w:rsid w:val="00623B0E"/>
    <w:rsid w:val="0063245D"/>
    <w:rsid w:val="00635A12"/>
    <w:rsid w:val="0065027D"/>
    <w:rsid w:val="006534DB"/>
    <w:rsid w:val="006545C8"/>
    <w:rsid w:val="006645F3"/>
    <w:rsid w:val="006656CF"/>
    <w:rsid w:val="00667C44"/>
    <w:rsid w:val="0067182D"/>
    <w:rsid w:val="0068087B"/>
    <w:rsid w:val="006A5FBF"/>
    <w:rsid w:val="006B72FE"/>
    <w:rsid w:val="006C28EC"/>
    <w:rsid w:val="0070670B"/>
    <w:rsid w:val="00707D1C"/>
    <w:rsid w:val="00710A52"/>
    <w:rsid w:val="0071686B"/>
    <w:rsid w:val="00721D30"/>
    <w:rsid w:val="00721E9F"/>
    <w:rsid w:val="00721F33"/>
    <w:rsid w:val="0072493C"/>
    <w:rsid w:val="00731483"/>
    <w:rsid w:val="00733B49"/>
    <w:rsid w:val="007463E8"/>
    <w:rsid w:val="00760282"/>
    <w:rsid w:val="00761F43"/>
    <w:rsid w:val="0077497A"/>
    <w:rsid w:val="007766B5"/>
    <w:rsid w:val="00780E7F"/>
    <w:rsid w:val="007854FC"/>
    <w:rsid w:val="0078551F"/>
    <w:rsid w:val="00785854"/>
    <w:rsid w:val="00786544"/>
    <w:rsid w:val="00793F37"/>
    <w:rsid w:val="00797457"/>
    <w:rsid w:val="007A0C6C"/>
    <w:rsid w:val="007A0D2F"/>
    <w:rsid w:val="007A4CAE"/>
    <w:rsid w:val="007A7FFB"/>
    <w:rsid w:val="007B247D"/>
    <w:rsid w:val="007B398E"/>
    <w:rsid w:val="007B6532"/>
    <w:rsid w:val="007C1D18"/>
    <w:rsid w:val="007D755B"/>
    <w:rsid w:val="007D7E8B"/>
    <w:rsid w:val="007E5782"/>
    <w:rsid w:val="007E685A"/>
    <w:rsid w:val="0080219C"/>
    <w:rsid w:val="00805885"/>
    <w:rsid w:val="0080706B"/>
    <w:rsid w:val="008124D0"/>
    <w:rsid w:val="0082027F"/>
    <w:rsid w:val="008229DA"/>
    <w:rsid w:val="00823788"/>
    <w:rsid w:val="00831FEC"/>
    <w:rsid w:val="00835CF5"/>
    <w:rsid w:val="00837A66"/>
    <w:rsid w:val="00842C69"/>
    <w:rsid w:val="00842EBE"/>
    <w:rsid w:val="00846395"/>
    <w:rsid w:val="00852BED"/>
    <w:rsid w:val="00861BEF"/>
    <w:rsid w:val="00867F6E"/>
    <w:rsid w:val="0088093D"/>
    <w:rsid w:val="00884A8F"/>
    <w:rsid w:val="00885D8C"/>
    <w:rsid w:val="00886387"/>
    <w:rsid w:val="00893ABD"/>
    <w:rsid w:val="00897D6E"/>
    <w:rsid w:val="008A550D"/>
    <w:rsid w:val="008B78E8"/>
    <w:rsid w:val="008E2B17"/>
    <w:rsid w:val="008E3136"/>
    <w:rsid w:val="008E7774"/>
    <w:rsid w:val="008F5027"/>
    <w:rsid w:val="008F5A24"/>
    <w:rsid w:val="008F6DC3"/>
    <w:rsid w:val="00900D77"/>
    <w:rsid w:val="00903CB6"/>
    <w:rsid w:val="00904B6A"/>
    <w:rsid w:val="00904FC7"/>
    <w:rsid w:val="009050EE"/>
    <w:rsid w:val="00907308"/>
    <w:rsid w:val="00910433"/>
    <w:rsid w:val="009119FC"/>
    <w:rsid w:val="00913676"/>
    <w:rsid w:val="0092063C"/>
    <w:rsid w:val="00920D5C"/>
    <w:rsid w:val="009241BD"/>
    <w:rsid w:val="009354BC"/>
    <w:rsid w:val="00944826"/>
    <w:rsid w:val="00964EB3"/>
    <w:rsid w:val="00971ED3"/>
    <w:rsid w:val="00972FF8"/>
    <w:rsid w:val="00973E99"/>
    <w:rsid w:val="00980846"/>
    <w:rsid w:val="009845B1"/>
    <w:rsid w:val="0098661F"/>
    <w:rsid w:val="00993F90"/>
    <w:rsid w:val="009A1F25"/>
    <w:rsid w:val="009A3DA3"/>
    <w:rsid w:val="009A4BA2"/>
    <w:rsid w:val="009B23F5"/>
    <w:rsid w:val="009B40DE"/>
    <w:rsid w:val="009B6B9C"/>
    <w:rsid w:val="009B6E0D"/>
    <w:rsid w:val="009C2F46"/>
    <w:rsid w:val="009D0B2E"/>
    <w:rsid w:val="009F1D32"/>
    <w:rsid w:val="009F362F"/>
    <w:rsid w:val="00A04FEA"/>
    <w:rsid w:val="00A052EE"/>
    <w:rsid w:val="00A12424"/>
    <w:rsid w:val="00A1586D"/>
    <w:rsid w:val="00A20DB2"/>
    <w:rsid w:val="00A21710"/>
    <w:rsid w:val="00A24385"/>
    <w:rsid w:val="00A321D1"/>
    <w:rsid w:val="00A357BE"/>
    <w:rsid w:val="00A42548"/>
    <w:rsid w:val="00A450F0"/>
    <w:rsid w:val="00A567C4"/>
    <w:rsid w:val="00A63843"/>
    <w:rsid w:val="00A64FE7"/>
    <w:rsid w:val="00A73083"/>
    <w:rsid w:val="00A806C1"/>
    <w:rsid w:val="00A81B25"/>
    <w:rsid w:val="00A827DA"/>
    <w:rsid w:val="00A87BFF"/>
    <w:rsid w:val="00AA0CB4"/>
    <w:rsid w:val="00AB7BC4"/>
    <w:rsid w:val="00AC2F69"/>
    <w:rsid w:val="00AD565A"/>
    <w:rsid w:val="00AE1310"/>
    <w:rsid w:val="00AE6483"/>
    <w:rsid w:val="00AF0DC2"/>
    <w:rsid w:val="00AF39C3"/>
    <w:rsid w:val="00AF4393"/>
    <w:rsid w:val="00B05EF6"/>
    <w:rsid w:val="00B0636A"/>
    <w:rsid w:val="00B102A3"/>
    <w:rsid w:val="00B1671A"/>
    <w:rsid w:val="00B16B0E"/>
    <w:rsid w:val="00B214BA"/>
    <w:rsid w:val="00B25BA6"/>
    <w:rsid w:val="00B306C1"/>
    <w:rsid w:val="00B32B7F"/>
    <w:rsid w:val="00B43A08"/>
    <w:rsid w:val="00B45563"/>
    <w:rsid w:val="00B64D1D"/>
    <w:rsid w:val="00B65FAB"/>
    <w:rsid w:val="00B70E99"/>
    <w:rsid w:val="00B80A3C"/>
    <w:rsid w:val="00B8550B"/>
    <w:rsid w:val="00B87C9F"/>
    <w:rsid w:val="00B94999"/>
    <w:rsid w:val="00BB1159"/>
    <w:rsid w:val="00BB7F4A"/>
    <w:rsid w:val="00BC2775"/>
    <w:rsid w:val="00BC35E2"/>
    <w:rsid w:val="00BD3151"/>
    <w:rsid w:val="00BD4AEA"/>
    <w:rsid w:val="00BD5391"/>
    <w:rsid w:val="00BE4F25"/>
    <w:rsid w:val="00C054E6"/>
    <w:rsid w:val="00C1427F"/>
    <w:rsid w:val="00C17C55"/>
    <w:rsid w:val="00C31D05"/>
    <w:rsid w:val="00C33484"/>
    <w:rsid w:val="00C3617A"/>
    <w:rsid w:val="00C41870"/>
    <w:rsid w:val="00C51CA2"/>
    <w:rsid w:val="00C54500"/>
    <w:rsid w:val="00C5531A"/>
    <w:rsid w:val="00C6115A"/>
    <w:rsid w:val="00C649B3"/>
    <w:rsid w:val="00C67143"/>
    <w:rsid w:val="00C6725E"/>
    <w:rsid w:val="00C72AF9"/>
    <w:rsid w:val="00C7453E"/>
    <w:rsid w:val="00C806CA"/>
    <w:rsid w:val="00C87A94"/>
    <w:rsid w:val="00C90557"/>
    <w:rsid w:val="00C912CF"/>
    <w:rsid w:val="00C95CB7"/>
    <w:rsid w:val="00C962B7"/>
    <w:rsid w:val="00CA07E8"/>
    <w:rsid w:val="00CA62E5"/>
    <w:rsid w:val="00CA72D0"/>
    <w:rsid w:val="00CA7ECE"/>
    <w:rsid w:val="00CB1946"/>
    <w:rsid w:val="00CB3E0D"/>
    <w:rsid w:val="00CB50D2"/>
    <w:rsid w:val="00CB55F2"/>
    <w:rsid w:val="00CB5659"/>
    <w:rsid w:val="00CC55E2"/>
    <w:rsid w:val="00CE1549"/>
    <w:rsid w:val="00CE1BA0"/>
    <w:rsid w:val="00CE42CB"/>
    <w:rsid w:val="00CE7CE3"/>
    <w:rsid w:val="00CF2FE1"/>
    <w:rsid w:val="00CF4CF7"/>
    <w:rsid w:val="00CF57FA"/>
    <w:rsid w:val="00CF5EE8"/>
    <w:rsid w:val="00CF790E"/>
    <w:rsid w:val="00D000E6"/>
    <w:rsid w:val="00D009B6"/>
    <w:rsid w:val="00D0730F"/>
    <w:rsid w:val="00D126A9"/>
    <w:rsid w:val="00D205C7"/>
    <w:rsid w:val="00D25C62"/>
    <w:rsid w:val="00D305FD"/>
    <w:rsid w:val="00D36016"/>
    <w:rsid w:val="00D5642E"/>
    <w:rsid w:val="00D773E5"/>
    <w:rsid w:val="00D773FF"/>
    <w:rsid w:val="00D82D37"/>
    <w:rsid w:val="00D86938"/>
    <w:rsid w:val="00D93DB2"/>
    <w:rsid w:val="00DA1259"/>
    <w:rsid w:val="00DA26CB"/>
    <w:rsid w:val="00DB40CB"/>
    <w:rsid w:val="00DD1FF3"/>
    <w:rsid w:val="00DD5BAB"/>
    <w:rsid w:val="00DD6D3F"/>
    <w:rsid w:val="00DD6DF7"/>
    <w:rsid w:val="00DD742B"/>
    <w:rsid w:val="00DE4423"/>
    <w:rsid w:val="00DE4F20"/>
    <w:rsid w:val="00DF1ABB"/>
    <w:rsid w:val="00DF32F5"/>
    <w:rsid w:val="00DF7D2B"/>
    <w:rsid w:val="00E02359"/>
    <w:rsid w:val="00E03E3D"/>
    <w:rsid w:val="00E07F67"/>
    <w:rsid w:val="00E15692"/>
    <w:rsid w:val="00E157CE"/>
    <w:rsid w:val="00E2692E"/>
    <w:rsid w:val="00E30CA8"/>
    <w:rsid w:val="00E30E8A"/>
    <w:rsid w:val="00E322BC"/>
    <w:rsid w:val="00E35106"/>
    <w:rsid w:val="00E402D4"/>
    <w:rsid w:val="00E432B4"/>
    <w:rsid w:val="00E4405E"/>
    <w:rsid w:val="00E45ABC"/>
    <w:rsid w:val="00E469D8"/>
    <w:rsid w:val="00E47F70"/>
    <w:rsid w:val="00E50568"/>
    <w:rsid w:val="00E54F0F"/>
    <w:rsid w:val="00E62884"/>
    <w:rsid w:val="00E80F3B"/>
    <w:rsid w:val="00E970C3"/>
    <w:rsid w:val="00E97FFD"/>
    <w:rsid w:val="00EA27D6"/>
    <w:rsid w:val="00EA3E44"/>
    <w:rsid w:val="00EB0F19"/>
    <w:rsid w:val="00EB199C"/>
    <w:rsid w:val="00EB769E"/>
    <w:rsid w:val="00EC59B2"/>
    <w:rsid w:val="00ED1DE6"/>
    <w:rsid w:val="00ED75EC"/>
    <w:rsid w:val="00EE0AEF"/>
    <w:rsid w:val="00EE165F"/>
    <w:rsid w:val="00EF192F"/>
    <w:rsid w:val="00EF5CAA"/>
    <w:rsid w:val="00EF7CFA"/>
    <w:rsid w:val="00F103B6"/>
    <w:rsid w:val="00F23E82"/>
    <w:rsid w:val="00F27638"/>
    <w:rsid w:val="00F44DF8"/>
    <w:rsid w:val="00F528CC"/>
    <w:rsid w:val="00F6533E"/>
    <w:rsid w:val="00F66765"/>
    <w:rsid w:val="00F8201B"/>
    <w:rsid w:val="00F83F8B"/>
    <w:rsid w:val="00F8759F"/>
    <w:rsid w:val="00FA2A80"/>
    <w:rsid w:val="00FB0DA3"/>
    <w:rsid w:val="00FB150A"/>
    <w:rsid w:val="00FB7B08"/>
    <w:rsid w:val="00FC5F4A"/>
    <w:rsid w:val="00FD3D56"/>
    <w:rsid w:val="00FD4B4A"/>
    <w:rsid w:val="00FD4B65"/>
    <w:rsid w:val="00FD69B9"/>
    <w:rsid w:val="00FE1A51"/>
    <w:rsid w:val="00FE4AF1"/>
    <w:rsid w:val="00FE4C7C"/>
    <w:rsid w:val="00FE7A25"/>
    <w:rsid w:val="00FF313D"/>
    <w:rsid w:val="00FF3649"/>
    <w:rsid w:val="01AEFDBF"/>
    <w:rsid w:val="05D488EE"/>
    <w:rsid w:val="070B1910"/>
    <w:rsid w:val="09EE87A8"/>
    <w:rsid w:val="0A6C0E53"/>
    <w:rsid w:val="111D141B"/>
    <w:rsid w:val="13C58B73"/>
    <w:rsid w:val="1454B4DD"/>
    <w:rsid w:val="202E3A1B"/>
    <w:rsid w:val="23368AF8"/>
    <w:rsid w:val="2453C54A"/>
    <w:rsid w:val="27E18904"/>
    <w:rsid w:val="2AEE0D61"/>
    <w:rsid w:val="2B1B55F2"/>
    <w:rsid w:val="3223F645"/>
    <w:rsid w:val="32B45F45"/>
    <w:rsid w:val="36150449"/>
    <w:rsid w:val="36DE3F0B"/>
    <w:rsid w:val="3C69544F"/>
    <w:rsid w:val="434074ED"/>
    <w:rsid w:val="44234F4B"/>
    <w:rsid w:val="4A7A41BA"/>
    <w:rsid w:val="4E7B51C2"/>
    <w:rsid w:val="5B2DEC41"/>
    <w:rsid w:val="5B74F9EF"/>
    <w:rsid w:val="5E75789C"/>
    <w:rsid w:val="64CD582B"/>
    <w:rsid w:val="64D33AF0"/>
    <w:rsid w:val="66E8793A"/>
    <w:rsid w:val="68468455"/>
    <w:rsid w:val="6A51D26D"/>
    <w:rsid w:val="6CD6A3A8"/>
    <w:rsid w:val="6CE83299"/>
    <w:rsid w:val="6D8E47C9"/>
    <w:rsid w:val="6EDD1367"/>
    <w:rsid w:val="6F226EFD"/>
    <w:rsid w:val="7241A023"/>
    <w:rsid w:val="72E6F9FF"/>
    <w:rsid w:val="77F849D6"/>
    <w:rsid w:val="7B02921A"/>
    <w:rsid w:val="7CFC5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928A3"/>
  <w15:chartTrackingRefBased/>
  <w15:docId w15:val="{2031B27C-9E88-4DAB-A5F6-8F0D71F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E1"/>
    <w:rPr>
      <w:rFonts w:eastAsia="Times New Roman"/>
      <w:sz w:val="24"/>
      <w:lang w:val="es-CO"/>
    </w:rPr>
  </w:style>
  <w:style w:type="paragraph" w:styleId="Ttulo8">
    <w:name w:val="heading 8"/>
    <w:basedOn w:val="Normal"/>
    <w:next w:val="Normal"/>
    <w:link w:val="Ttulo8Car"/>
    <w:qFormat/>
    <w:rsid w:val="00CF2FE1"/>
    <w:pPr>
      <w:keepNext/>
      <w:spacing w:line="360" w:lineRule="auto"/>
      <w:jc w:val="both"/>
      <w:outlineLvl w:val="7"/>
    </w:pPr>
    <w:rPr>
      <w:b/>
      <w:i/>
      <w:snapToGrid w:val="0"/>
      <w:sz w:val="26"/>
    </w:rPr>
  </w:style>
  <w:style w:type="paragraph" w:styleId="Ttulo9">
    <w:name w:val="heading 9"/>
    <w:basedOn w:val="Normal"/>
    <w:next w:val="Normal"/>
    <w:link w:val="Ttulo9Car"/>
    <w:qFormat/>
    <w:rsid w:val="00CF2FE1"/>
    <w:pPr>
      <w:keepNext/>
      <w:ind w:left="2124" w:firstLine="708"/>
      <w:outlineLvl w:val="8"/>
    </w:pPr>
    <w:rPr>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CF2FE1"/>
    <w:rPr>
      <w:rFonts w:eastAsia="Times New Roman" w:cs="Times New Roman"/>
      <w:b/>
      <w:i/>
      <w:snapToGrid w:val="0"/>
      <w:sz w:val="26"/>
      <w:szCs w:val="20"/>
      <w:lang w:val="es-CO" w:eastAsia="es-ES"/>
    </w:rPr>
  </w:style>
  <w:style w:type="character" w:customStyle="1" w:styleId="Ttulo9Car">
    <w:name w:val="Título 9 Car"/>
    <w:basedOn w:val="Fuentedeprrafopredeter"/>
    <w:link w:val="Ttulo9"/>
    <w:rsid w:val="00CF2FE1"/>
    <w:rPr>
      <w:rFonts w:eastAsia="Times New Roman" w:cs="Times New Roman"/>
      <w:b/>
      <w:sz w:val="26"/>
      <w:szCs w:val="20"/>
      <w:lang w:val="es-CO" w:eastAsia="es-ES"/>
    </w:rPr>
  </w:style>
  <w:style w:type="paragraph" w:styleId="Encabezado">
    <w:name w:val="header"/>
    <w:basedOn w:val="Normal"/>
    <w:link w:val="EncabezadoCar"/>
    <w:unhideWhenUsed/>
    <w:rsid w:val="00CF2FE1"/>
    <w:pPr>
      <w:tabs>
        <w:tab w:val="center" w:pos="4252"/>
        <w:tab w:val="right" w:pos="8504"/>
      </w:tabs>
    </w:pPr>
  </w:style>
  <w:style w:type="character" w:customStyle="1" w:styleId="EncabezadoCar">
    <w:name w:val="Encabezado Car"/>
    <w:basedOn w:val="Fuentedeprrafopredeter"/>
    <w:link w:val="Encabezado"/>
    <w:rsid w:val="00CF2FE1"/>
    <w:rPr>
      <w:rFonts w:eastAsia="Times New Roman" w:cs="Times New Roman"/>
      <w:szCs w:val="20"/>
      <w:lang w:val="es-CO" w:eastAsia="es-ES"/>
    </w:rPr>
  </w:style>
  <w:style w:type="paragraph" w:styleId="Piedepgina">
    <w:name w:val="footer"/>
    <w:basedOn w:val="Normal"/>
    <w:link w:val="PiedepginaCar"/>
    <w:uiPriority w:val="99"/>
    <w:unhideWhenUsed/>
    <w:rsid w:val="00CF2FE1"/>
    <w:pPr>
      <w:tabs>
        <w:tab w:val="center" w:pos="4252"/>
        <w:tab w:val="right" w:pos="8504"/>
      </w:tabs>
    </w:pPr>
  </w:style>
  <w:style w:type="character" w:customStyle="1" w:styleId="PiedepginaCar">
    <w:name w:val="Pie de página Car"/>
    <w:basedOn w:val="Fuentedeprrafopredeter"/>
    <w:link w:val="Piedepgina"/>
    <w:uiPriority w:val="99"/>
    <w:rsid w:val="00CF2FE1"/>
    <w:rPr>
      <w:rFonts w:eastAsia="Times New Roman" w:cs="Times New Roman"/>
      <w:szCs w:val="20"/>
      <w:lang w:val="es-CO" w:eastAsia="es-ES"/>
    </w:rPr>
  </w:style>
  <w:style w:type="paragraph" w:styleId="Textodeglobo">
    <w:name w:val="Balloon Text"/>
    <w:basedOn w:val="Normal"/>
    <w:link w:val="TextodegloboCar"/>
    <w:uiPriority w:val="99"/>
    <w:semiHidden/>
    <w:unhideWhenUsed/>
    <w:rsid w:val="00CF2FE1"/>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FE1"/>
    <w:rPr>
      <w:rFonts w:ascii="Tahoma" w:eastAsia="Times New Roman" w:hAnsi="Tahoma" w:cs="Tahoma"/>
      <w:sz w:val="16"/>
      <w:szCs w:val="16"/>
      <w:lang w:val="es-CO" w:eastAsia="es-ES"/>
    </w:rPr>
  </w:style>
  <w:style w:type="paragraph" w:styleId="Sinespaciado">
    <w:name w:val="No Spacing"/>
    <w:uiPriority w:val="1"/>
    <w:qFormat/>
    <w:rsid w:val="00227881"/>
    <w:rPr>
      <w:rFonts w:ascii="Calibri" w:hAnsi="Calibri"/>
      <w:sz w:val="22"/>
      <w:szCs w:val="22"/>
      <w:lang w:eastAsia="en-US"/>
    </w:rPr>
  </w:style>
  <w:style w:type="paragraph" w:styleId="Textoindependiente">
    <w:name w:val="Body Text"/>
    <w:basedOn w:val="Normal"/>
    <w:link w:val="TextoindependienteCar"/>
    <w:rsid w:val="004D1FA4"/>
    <w:pPr>
      <w:widowControl w:val="0"/>
      <w:spacing w:line="360" w:lineRule="auto"/>
      <w:jc w:val="both"/>
    </w:pPr>
    <w:rPr>
      <w:i/>
      <w:snapToGrid w:val="0"/>
      <w:sz w:val="28"/>
      <w:lang w:val="es-ES"/>
    </w:rPr>
  </w:style>
  <w:style w:type="character" w:customStyle="1" w:styleId="TextoindependienteCar">
    <w:name w:val="Texto independiente Car"/>
    <w:basedOn w:val="Fuentedeprrafopredeter"/>
    <w:link w:val="Textoindependiente"/>
    <w:rsid w:val="004D1FA4"/>
    <w:rPr>
      <w:rFonts w:eastAsia="Times New Roman" w:cs="Times New Roman"/>
      <w:i/>
      <w:snapToGrid w:val="0"/>
      <w:sz w:val="28"/>
      <w:szCs w:val="20"/>
      <w:lang w:eastAsia="es-ES"/>
    </w:rPr>
  </w:style>
  <w:style w:type="paragraph" w:styleId="Textonotapie">
    <w:name w:val="footnote text"/>
    <w:aliases w:val="Ref. de nota al pie1,Texto de nota al pie,Footnotes refss,Appel note de bas de page,referencia nota al pie,Footnote number,BVI fnr,f,Texto nota pie Car Car1,texto de nota al pie Car Car,Texto nota pie Car Car Car,Ref. de nota al pie 2,4_G"/>
    <w:basedOn w:val="Normal"/>
    <w:link w:val="TextonotapieCar"/>
    <w:uiPriority w:val="99"/>
    <w:qFormat/>
    <w:rsid w:val="00AE6483"/>
    <w:rPr>
      <w:rFonts w:ascii="Times New Roman" w:hAnsi="Times New Roman"/>
      <w:sz w:val="20"/>
      <w:lang w:val="es-ES"/>
    </w:rPr>
  </w:style>
  <w:style w:type="character" w:customStyle="1" w:styleId="TextonotapieCar">
    <w:name w:val="Texto nota pie Car"/>
    <w:aliases w:val="Ref. de nota al pie1 Car,Texto de nota al pie Car,Footnotes refss Car,Appel note de bas de page Car,referencia nota al pie Car,Footnote number Car,BVI fnr Car,f Car,Texto nota pie Car Car1 Car,texto de nota al pie Car Car Car,4_G Car"/>
    <w:basedOn w:val="Fuentedeprrafopredeter"/>
    <w:link w:val="Textonotapie"/>
    <w:uiPriority w:val="99"/>
    <w:rsid w:val="00AE6483"/>
    <w:rPr>
      <w:rFonts w:ascii="Times New Roman" w:eastAsia="Times New Roman" w:hAnsi="Times New Roman"/>
    </w:rPr>
  </w:style>
  <w:style w:type="character" w:styleId="Refdenotaalpie">
    <w:name w:val="footnote reference"/>
    <w:aliases w:val="Ref,de nota al pie,FC,Appel note d,Appel note de,Appel note de bas de p,Appel note de bas de,Fago Fußnotenzeichen,Texto nota pie Car2,Footnote Text Char Char Char Char Char Car2,Footnote Text Char Char Char Char Car2,FA Fu Car2"/>
    <w:uiPriority w:val="99"/>
    <w:qFormat/>
    <w:rsid w:val="00AE6483"/>
    <w:rPr>
      <w:vertAlign w:val="superscript"/>
    </w:rPr>
  </w:style>
  <w:style w:type="character" w:styleId="Textoennegrita">
    <w:name w:val="Strong"/>
    <w:basedOn w:val="Fuentedeprrafopredeter"/>
    <w:uiPriority w:val="22"/>
    <w:qFormat/>
    <w:rsid w:val="00C17C55"/>
    <w:rPr>
      <w:b/>
      <w:bCs/>
    </w:rPr>
  </w:style>
  <w:style w:type="paragraph" w:styleId="Prrafodelista">
    <w:name w:val="List Paragraph"/>
    <w:aliases w:val="Footnote,Colorful List - Accent 11,List Paragraph2,List Paragraph1,Ha,lp1"/>
    <w:basedOn w:val="Normal"/>
    <w:link w:val="PrrafodelistaCar"/>
    <w:uiPriority w:val="34"/>
    <w:qFormat/>
    <w:rsid w:val="00A20DB2"/>
    <w:pPr>
      <w:spacing w:after="160" w:line="259" w:lineRule="auto"/>
      <w:ind w:left="720"/>
      <w:contextualSpacing/>
    </w:pPr>
    <w:rPr>
      <w:rFonts w:asciiTheme="minorHAnsi" w:eastAsiaTheme="minorHAnsi" w:hAnsiTheme="minorHAnsi" w:cstheme="minorBidi"/>
      <w:sz w:val="22"/>
      <w:szCs w:val="22"/>
      <w:lang w:val="es-ES_tradnl" w:eastAsia="en-US"/>
    </w:rPr>
  </w:style>
  <w:style w:type="paragraph" w:customStyle="1" w:styleId="Listavistosa-nfasis11">
    <w:name w:val="Lista vistosa - Énfasis 11"/>
    <w:basedOn w:val="Normal"/>
    <w:uiPriority w:val="34"/>
    <w:qFormat/>
    <w:rsid w:val="009F1D32"/>
    <w:pPr>
      <w:spacing w:before="-1" w:after="160" w:line="259" w:lineRule="auto"/>
      <w:ind w:left="720"/>
      <w:contextualSpacing/>
    </w:pPr>
    <w:rPr>
      <w:rFonts w:ascii="Times New Roman" w:hAnsi="Times New Roman"/>
      <w:sz w:val="28"/>
      <w:szCs w:val="22"/>
      <w:lang w:val="es-ES" w:eastAsia="en-US"/>
    </w:rPr>
  </w:style>
  <w:style w:type="character" w:customStyle="1" w:styleId="PrrafodelistaCar">
    <w:name w:val="Párrafo de lista Car"/>
    <w:aliases w:val="Footnote Car,Colorful List - Accent 11 Car,List Paragraph2 Car,List Paragraph1 Car,Ha Car,lp1 Car"/>
    <w:link w:val="Prrafodelista"/>
    <w:uiPriority w:val="34"/>
    <w:locked/>
    <w:rsid w:val="009F1D32"/>
    <w:rPr>
      <w:rFonts w:asciiTheme="minorHAnsi" w:eastAsiaTheme="minorHAnsi" w:hAnsiTheme="minorHAnsi" w:cstheme="minorBidi"/>
      <w:sz w:val="22"/>
      <w:szCs w:val="22"/>
      <w:lang w:val="es-ES_tradnl" w:eastAsia="en-US"/>
    </w:rPr>
  </w:style>
  <w:style w:type="character" w:styleId="nfasis">
    <w:name w:val="Emphasis"/>
    <w:basedOn w:val="Fuentedeprrafopredeter"/>
    <w:uiPriority w:val="20"/>
    <w:qFormat/>
    <w:rsid w:val="003924E4"/>
    <w:rPr>
      <w:i/>
      <w:iC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lang w:val="es-CO"/>
    </w:rPr>
  </w:style>
  <w:style w:type="character" w:styleId="Refdecomentario">
    <w:name w:val="annotation reference"/>
    <w:basedOn w:val="Fuentedeprrafopredeter"/>
    <w:uiPriority w:val="99"/>
    <w:semiHidden/>
    <w:unhideWhenUsed/>
    <w:rPr>
      <w:sz w:val="16"/>
      <w:szCs w:val="16"/>
    </w:rPr>
  </w:style>
  <w:style w:type="paragraph" w:styleId="Ttulo">
    <w:name w:val="Title"/>
    <w:basedOn w:val="Normal"/>
    <w:link w:val="TtuloCar"/>
    <w:qFormat/>
    <w:rsid w:val="008F6DC3"/>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8F6DC3"/>
    <w:rPr>
      <w:rFonts w:ascii="Verdana" w:eastAsia="Times New Roman" w:hAnsi="Verdana"/>
      <w:sz w:val="28"/>
      <w:szCs w:val="28"/>
      <w:lang w:val="es-ES_tradnl" w:eastAsia="es-MX"/>
    </w:rPr>
  </w:style>
  <w:style w:type="character" w:customStyle="1" w:styleId="normaltextrun">
    <w:name w:val="normaltextrun"/>
    <w:basedOn w:val="Fuentedeprrafopredeter"/>
    <w:rsid w:val="00793F37"/>
  </w:style>
  <w:style w:type="paragraph" w:customStyle="1" w:styleId="paragraph">
    <w:name w:val="paragraph"/>
    <w:basedOn w:val="Normal"/>
    <w:rsid w:val="004C5AE8"/>
    <w:pPr>
      <w:spacing w:before="100" w:beforeAutospacing="1" w:after="100" w:afterAutospacing="1"/>
    </w:pPr>
    <w:rPr>
      <w:rFonts w:ascii="Times New Roman" w:hAnsi="Times New Roman"/>
      <w:szCs w:val="24"/>
      <w:lang w:eastAsia="es-ES_tradnl"/>
    </w:rPr>
  </w:style>
  <w:style w:type="character" w:customStyle="1" w:styleId="eop">
    <w:name w:val="eop"/>
    <w:basedOn w:val="Fuentedeprrafopredeter"/>
    <w:rsid w:val="004C5AE8"/>
  </w:style>
  <w:style w:type="paragraph" w:styleId="Asuntodelcomentario">
    <w:name w:val="annotation subject"/>
    <w:basedOn w:val="Textocomentario"/>
    <w:next w:val="Textocomentario"/>
    <w:link w:val="AsuntodelcomentarioCar"/>
    <w:uiPriority w:val="99"/>
    <w:semiHidden/>
    <w:unhideWhenUsed/>
    <w:rsid w:val="00565A45"/>
    <w:rPr>
      <w:b/>
      <w:bCs/>
    </w:rPr>
  </w:style>
  <w:style w:type="character" w:customStyle="1" w:styleId="AsuntodelcomentarioCar">
    <w:name w:val="Asunto del comentario Car"/>
    <w:basedOn w:val="TextocomentarioCar"/>
    <w:link w:val="Asuntodelcomentario"/>
    <w:uiPriority w:val="99"/>
    <w:semiHidden/>
    <w:rsid w:val="00565A45"/>
    <w:rPr>
      <w:rFonts w:eastAsia="Times New Roman"/>
      <w:b/>
      <w:bCs/>
      <w:lang w:val="es-CO"/>
    </w:rPr>
  </w:style>
  <w:style w:type="character" w:customStyle="1" w:styleId="user-highlighted-active">
    <w:name w:val="user-highlighted-active"/>
    <w:basedOn w:val="Fuentedeprrafopredeter"/>
    <w:rsid w:val="0056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0598">
      <w:bodyDiv w:val="1"/>
      <w:marLeft w:val="0"/>
      <w:marRight w:val="0"/>
      <w:marTop w:val="0"/>
      <w:marBottom w:val="0"/>
      <w:divBdr>
        <w:top w:val="none" w:sz="0" w:space="0" w:color="auto"/>
        <w:left w:val="none" w:sz="0" w:space="0" w:color="auto"/>
        <w:bottom w:val="none" w:sz="0" w:space="0" w:color="auto"/>
        <w:right w:val="none" w:sz="0" w:space="0" w:color="auto"/>
      </w:divBdr>
    </w:div>
    <w:div w:id="139419135">
      <w:bodyDiv w:val="1"/>
      <w:marLeft w:val="0"/>
      <w:marRight w:val="0"/>
      <w:marTop w:val="0"/>
      <w:marBottom w:val="0"/>
      <w:divBdr>
        <w:top w:val="none" w:sz="0" w:space="0" w:color="auto"/>
        <w:left w:val="none" w:sz="0" w:space="0" w:color="auto"/>
        <w:bottom w:val="none" w:sz="0" w:space="0" w:color="auto"/>
        <w:right w:val="none" w:sz="0" w:space="0" w:color="auto"/>
      </w:divBdr>
    </w:div>
    <w:div w:id="272131538">
      <w:bodyDiv w:val="1"/>
      <w:marLeft w:val="0"/>
      <w:marRight w:val="0"/>
      <w:marTop w:val="0"/>
      <w:marBottom w:val="0"/>
      <w:divBdr>
        <w:top w:val="none" w:sz="0" w:space="0" w:color="auto"/>
        <w:left w:val="none" w:sz="0" w:space="0" w:color="auto"/>
        <w:bottom w:val="none" w:sz="0" w:space="0" w:color="auto"/>
        <w:right w:val="none" w:sz="0" w:space="0" w:color="auto"/>
      </w:divBdr>
      <w:divsChild>
        <w:div w:id="848524742">
          <w:marLeft w:val="0"/>
          <w:marRight w:val="0"/>
          <w:marTop w:val="0"/>
          <w:marBottom w:val="0"/>
          <w:divBdr>
            <w:top w:val="none" w:sz="0" w:space="0" w:color="auto"/>
            <w:left w:val="none" w:sz="0" w:space="0" w:color="auto"/>
            <w:bottom w:val="none" w:sz="0" w:space="0" w:color="auto"/>
            <w:right w:val="none" w:sz="0" w:space="0" w:color="auto"/>
          </w:divBdr>
        </w:div>
        <w:div w:id="1383558306">
          <w:marLeft w:val="0"/>
          <w:marRight w:val="0"/>
          <w:marTop w:val="0"/>
          <w:marBottom w:val="0"/>
          <w:divBdr>
            <w:top w:val="none" w:sz="0" w:space="0" w:color="auto"/>
            <w:left w:val="none" w:sz="0" w:space="0" w:color="auto"/>
            <w:bottom w:val="none" w:sz="0" w:space="0" w:color="auto"/>
            <w:right w:val="none" w:sz="0" w:space="0" w:color="auto"/>
          </w:divBdr>
        </w:div>
        <w:div w:id="598875226">
          <w:marLeft w:val="0"/>
          <w:marRight w:val="0"/>
          <w:marTop w:val="0"/>
          <w:marBottom w:val="0"/>
          <w:divBdr>
            <w:top w:val="none" w:sz="0" w:space="0" w:color="auto"/>
            <w:left w:val="none" w:sz="0" w:space="0" w:color="auto"/>
            <w:bottom w:val="none" w:sz="0" w:space="0" w:color="auto"/>
            <w:right w:val="none" w:sz="0" w:space="0" w:color="auto"/>
          </w:divBdr>
        </w:div>
        <w:div w:id="978265778">
          <w:marLeft w:val="0"/>
          <w:marRight w:val="0"/>
          <w:marTop w:val="0"/>
          <w:marBottom w:val="0"/>
          <w:divBdr>
            <w:top w:val="none" w:sz="0" w:space="0" w:color="auto"/>
            <w:left w:val="none" w:sz="0" w:space="0" w:color="auto"/>
            <w:bottom w:val="none" w:sz="0" w:space="0" w:color="auto"/>
            <w:right w:val="none" w:sz="0" w:space="0" w:color="auto"/>
          </w:divBdr>
        </w:div>
        <w:div w:id="152181096">
          <w:marLeft w:val="0"/>
          <w:marRight w:val="0"/>
          <w:marTop w:val="0"/>
          <w:marBottom w:val="0"/>
          <w:divBdr>
            <w:top w:val="none" w:sz="0" w:space="0" w:color="auto"/>
            <w:left w:val="none" w:sz="0" w:space="0" w:color="auto"/>
            <w:bottom w:val="none" w:sz="0" w:space="0" w:color="auto"/>
            <w:right w:val="none" w:sz="0" w:space="0" w:color="auto"/>
          </w:divBdr>
        </w:div>
        <w:div w:id="996568765">
          <w:marLeft w:val="0"/>
          <w:marRight w:val="0"/>
          <w:marTop w:val="0"/>
          <w:marBottom w:val="0"/>
          <w:divBdr>
            <w:top w:val="none" w:sz="0" w:space="0" w:color="auto"/>
            <w:left w:val="none" w:sz="0" w:space="0" w:color="auto"/>
            <w:bottom w:val="none" w:sz="0" w:space="0" w:color="auto"/>
            <w:right w:val="none" w:sz="0" w:space="0" w:color="auto"/>
          </w:divBdr>
        </w:div>
        <w:div w:id="2077043780">
          <w:marLeft w:val="0"/>
          <w:marRight w:val="0"/>
          <w:marTop w:val="0"/>
          <w:marBottom w:val="0"/>
          <w:divBdr>
            <w:top w:val="none" w:sz="0" w:space="0" w:color="auto"/>
            <w:left w:val="none" w:sz="0" w:space="0" w:color="auto"/>
            <w:bottom w:val="none" w:sz="0" w:space="0" w:color="auto"/>
            <w:right w:val="none" w:sz="0" w:space="0" w:color="auto"/>
          </w:divBdr>
        </w:div>
        <w:div w:id="815606713">
          <w:marLeft w:val="0"/>
          <w:marRight w:val="0"/>
          <w:marTop w:val="0"/>
          <w:marBottom w:val="0"/>
          <w:divBdr>
            <w:top w:val="none" w:sz="0" w:space="0" w:color="auto"/>
            <w:left w:val="none" w:sz="0" w:space="0" w:color="auto"/>
            <w:bottom w:val="none" w:sz="0" w:space="0" w:color="auto"/>
            <w:right w:val="none" w:sz="0" w:space="0" w:color="auto"/>
          </w:divBdr>
        </w:div>
        <w:div w:id="1776440797">
          <w:marLeft w:val="0"/>
          <w:marRight w:val="0"/>
          <w:marTop w:val="0"/>
          <w:marBottom w:val="0"/>
          <w:divBdr>
            <w:top w:val="none" w:sz="0" w:space="0" w:color="auto"/>
            <w:left w:val="none" w:sz="0" w:space="0" w:color="auto"/>
            <w:bottom w:val="none" w:sz="0" w:space="0" w:color="auto"/>
            <w:right w:val="none" w:sz="0" w:space="0" w:color="auto"/>
          </w:divBdr>
        </w:div>
        <w:div w:id="277837572">
          <w:marLeft w:val="0"/>
          <w:marRight w:val="0"/>
          <w:marTop w:val="0"/>
          <w:marBottom w:val="0"/>
          <w:divBdr>
            <w:top w:val="none" w:sz="0" w:space="0" w:color="auto"/>
            <w:left w:val="none" w:sz="0" w:space="0" w:color="auto"/>
            <w:bottom w:val="none" w:sz="0" w:space="0" w:color="auto"/>
            <w:right w:val="none" w:sz="0" w:space="0" w:color="auto"/>
          </w:divBdr>
        </w:div>
        <w:div w:id="2146510441">
          <w:marLeft w:val="0"/>
          <w:marRight w:val="0"/>
          <w:marTop w:val="0"/>
          <w:marBottom w:val="0"/>
          <w:divBdr>
            <w:top w:val="none" w:sz="0" w:space="0" w:color="auto"/>
            <w:left w:val="none" w:sz="0" w:space="0" w:color="auto"/>
            <w:bottom w:val="none" w:sz="0" w:space="0" w:color="auto"/>
            <w:right w:val="none" w:sz="0" w:space="0" w:color="auto"/>
          </w:divBdr>
        </w:div>
        <w:div w:id="629936856">
          <w:marLeft w:val="0"/>
          <w:marRight w:val="0"/>
          <w:marTop w:val="0"/>
          <w:marBottom w:val="0"/>
          <w:divBdr>
            <w:top w:val="none" w:sz="0" w:space="0" w:color="auto"/>
            <w:left w:val="none" w:sz="0" w:space="0" w:color="auto"/>
            <w:bottom w:val="none" w:sz="0" w:space="0" w:color="auto"/>
            <w:right w:val="none" w:sz="0" w:space="0" w:color="auto"/>
          </w:divBdr>
        </w:div>
        <w:div w:id="1875993791">
          <w:marLeft w:val="0"/>
          <w:marRight w:val="0"/>
          <w:marTop w:val="0"/>
          <w:marBottom w:val="0"/>
          <w:divBdr>
            <w:top w:val="none" w:sz="0" w:space="0" w:color="auto"/>
            <w:left w:val="none" w:sz="0" w:space="0" w:color="auto"/>
            <w:bottom w:val="none" w:sz="0" w:space="0" w:color="auto"/>
            <w:right w:val="none" w:sz="0" w:space="0" w:color="auto"/>
          </w:divBdr>
        </w:div>
        <w:div w:id="486089384">
          <w:marLeft w:val="0"/>
          <w:marRight w:val="0"/>
          <w:marTop w:val="0"/>
          <w:marBottom w:val="0"/>
          <w:divBdr>
            <w:top w:val="none" w:sz="0" w:space="0" w:color="auto"/>
            <w:left w:val="none" w:sz="0" w:space="0" w:color="auto"/>
            <w:bottom w:val="none" w:sz="0" w:space="0" w:color="auto"/>
            <w:right w:val="none" w:sz="0" w:space="0" w:color="auto"/>
          </w:divBdr>
        </w:div>
        <w:div w:id="367609135">
          <w:marLeft w:val="0"/>
          <w:marRight w:val="0"/>
          <w:marTop w:val="0"/>
          <w:marBottom w:val="0"/>
          <w:divBdr>
            <w:top w:val="none" w:sz="0" w:space="0" w:color="auto"/>
            <w:left w:val="none" w:sz="0" w:space="0" w:color="auto"/>
            <w:bottom w:val="none" w:sz="0" w:space="0" w:color="auto"/>
            <w:right w:val="none" w:sz="0" w:space="0" w:color="auto"/>
          </w:divBdr>
        </w:div>
        <w:div w:id="1048726706">
          <w:marLeft w:val="0"/>
          <w:marRight w:val="0"/>
          <w:marTop w:val="0"/>
          <w:marBottom w:val="0"/>
          <w:divBdr>
            <w:top w:val="none" w:sz="0" w:space="0" w:color="auto"/>
            <w:left w:val="none" w:sz="0" w:space="0" w:color="auto"/>
            <w:bottom w:val="none" w:sz="0" w:space="0" w:color="auto"/>
            <w:right w:val="none" w:sz="0" w:space="0" w:color="auto"/>
          </w:divBdr>
        </w:div>
        <w:div w:id="1546333452">
          <w:marLeft w:val="0"/>
          <w:marRight w:val="0"/>
          <w:marTop w:val="0"/>
          <w:marBottom w:val="0"/>
          <w:divBdr>
            <w:top w:val="none" w:sz="0" w:space="0" w:color="auto"/>
            <w:left w:val="none" w:sz="0" w:space="0" w:color="auto"/>
            <w:bottom w:val="none" w:sz="0" w:space="0" w:color="auto"/>
            <w:right w:val="none" w:sz="0" w:space="0" w:color="auto"/>
          </w:divBdr>
        </w:div>
        <w:div w:id="1163858817">
          <w:marLeft w:val="0"/>
          <w:marRight w:val="0"/>
          <w:marTop w:val="0"/>
          <w:marBottom w:val="0"/>
          <w:divBdr>
            <w:top w:val="none" w:sz="0" w:space="0" w:color="auto"/>
            <w:left w:val="none" w:sz="0" w:space="0" w:color="auto"/>
            <w:bottom w:val="none" w:sz="0" w:space="0" w:color="auto"/>
            <w:right w:val="none" w:sz="0" w:space="0" w:color="auto"/>
          </w:divBdr>
        </w:div>
        <w:div w:id="1243756980">
          <w:marLeft w:val="0"/>
          <w:marRight w:val="0"/>
          <w:marTop w:val="0"/>
          <w:marBottom w:val="0"/>
          <w:divBdr>
            <w:top w:val="none" w:sz="0" w:space="0" w:color="auto"/>
            <w:left w:val="none" w:sz="0" w:space="0" w:color="auto"/>
            <w:bottom w:val="none" w:sz="0" w:space="0" w:color="auto"/>
            <w:right w:val="none" w:sz="0" w:space="0" w:color="auto"/>
          </w:divBdr>
        </w:div>
        <w:div w:id="135202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8f999e668a784d3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bf8172-42e8-4085-84e4-246814540625" xsi:nil="true"/>
    <lcf76f155ced4ddcb4097134ff3c332f xmlns="8ea46be8-aa31-4c77-8529-d2c5d754ab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3A23-48E0-4E15-A5A2-271D5E8E9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D4156-674E-473B-935C-5EA9FE57EEA0}">
  <ds:schemaRefs>
    <ds:schemaRef ds:uri="http://schemas.microsoft.com/office/2006/metadata/properties"/>
    <ds:schemaRef ds:uri="http://schemas.microsoft.com/office/infopath/2007/PartnerControls"/>
    <ds:schemaRef ds:uri="23bf8172-42e8-4085-84e4-246814540625"/>
    <ds:schemaRef ds:uri="8ea46be8-aa31-4c77-8529-d2c5d754abba"/>
  </ds:schemaRefs>
</ds:datastoreItem>
</file>

<file path=customXml/itemProps3.xml><?xml version="1.0" encoding="utf-8"?>
<ds:datastoreItem xmlns:ds="http://schemas.openxmlformats.org/officeDocument/2006/customXml" ds:itemID="{9097E93F-FD9D-4558-8C04-FAB2029502B4}">
  <ds:schemaRefs>
    <ds:schemaRef ds:uri="http://schemas.microsoft.com/sharepoint/v3/contenttype/forms"/>
  </ds:schemaRefs>
</ds:datastoreItem>
</file>

<file path=customXml/itemProps4.xml><?xml version="1.0" encoding="utf-8"?>
<ds:datastoreItem xmlns:ds="http://schemas.openxmlformats.org/officeDocument/2006/customXml" ds:itemID="{DC4307DB-C62E-4B7B-8E5C-468B96FB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2520</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Laboral 3</dc:creator>
  <cp:keywords/>
  <dc:description/>
  <cp:lastModifiedBy>samsung</cp:lastModifiedBy>
  <cp:revision>15</cp:revision>
  <cp:lastPrinted>2018-08-15T14:06:00Z</cp:lastPrinted>
  <dcterms:created xsi:type="dcterms:W3CDTF">2023-11-20T19:41:00Z</dcterms:created>
  <dcterms:modified xsi:type="dcterms:W3CDTF">2024-01-25T20:13:00Z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