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9A9D8DD" w14:textId="07A7D3E6" w:rsidR="001F21A7" w:rsidRPr="00915CF1" w:rsidRDefault="00915CF1" w:rsidP="001F21A7">
      <w:pPr>
        <w:jc w:val="both"/>
        <w:textAlignment w:val="baseline"/>
        <w:rPr>
          <w:rFonts w:ascii="Arial" w:hAnsi="Arial" w:cs="Arial"/>
          <w:b/>
          <w:sz w:val="20"/>
          <w:lang w:eastAsia="es-CO"/>
        </w:rPr>
      </w:pPr>
      <w:r>
        <w:rPr>
          <w:rFonts w:ascii="Arial" w:hAnsi="Arial" w:cs="Arial"/>
          <w:b/>
          <w:sz w:val="20"/>
          <w:lang w:eastAsia="es-CO"/>
        </w:rPr>
        <w:t xml:space="preserve">PRESCRIPCIÓN / INTERRUPCIÓN CIVIL / </w:t>
      </w:r>
      <w:r w:rsidR="002D033F">
        <w:rPr>
          <w:rFonts w:ascii="Arial" w:hAnsi="Arial" w:cs="Arial"/>
          <w:b/>
          <w:sz w:val="20"/>
          <w:lang w:eastAsia="es-CO"/>
        </w:rPr>
        <w:t>REQUISITOS</w:t>
      </w:r>
    </w:p>
    <w:p w14:paraId="03F193A5" w14:textId="02F56375" w:rsidR="001F21A7" w:rsidRPr="00915CF1" w:rsidRDefault="00DA0EE5" w:rsidP="00915CF1">
      <w:pPr>
        <w:jc w:val="both"/>
        <w:textAlignment w:val="baseline"/>
        <w:rPr>
          <w:rFonts w:ascii="Arial" w:hAnsi="Arial" w:cs="Arial"/>
          <w:sz w:val="20"/>
          <w:lang w:eastAsia="es-CO"/>
        </w:rPr>
      </w:pPr>
      <w:r w:rsidRPr="00DA0EE5">
        <w:rPr>
          <w:rFonts w:ascii="Arial" w:hAnsi="Arial" w:cs="Arial"/>
          <w:sz w:val="20"/>
          <w:lang w:eastAsia="es-CO"/>
        </w:rPr>
        <w:t xml:space="preserve">El artículo 151 del </w:t>
      </w:r>
      <w:proofErr w:type="spellStart"/>
      <w:r w:rsidRPr="00DA0EE5">
        <w:rPr>
          <w:rFonts w:ascii="Arial" w:hAnsi="Arial" w:cs="Arial"/>
          <w:sz w:val="20"/>
          <w:lang w:eastAsia="es-CO"/>
        </w:rPr>
        <w:t>C.P.L</w:t>
      </w:r>
      <w:proofErr w:type="spellEnd"/>
      <w:r w:rsidRPr="00DA0EE5">
        <w:rPr>
          <w:rFonts w:ascii="Arial" w:hAnsi="Arial" w:cs="Arial"/>
          <w:sz w:val="20"/>
          <w:lang w:eastAsia="es-CO"/>
        </w:rPr>
        <w:t xml:space="preserve">. y de la S.S. y 488 del </w:t>
      </w:r>
      <w:proofErr w:type="spellStart"/>
      <w:r w:rsidRPr="00DA0EE5">
        <w:rPr>
          <w:rFonts w:ascii="Arial" w:hAnsi="Arial" w:cs="Arial"/>
          <w:sz w:val="20"/>
          <w:lang w:eastAsia="es-CO"/>
        </w:rPr>
        <w:t>CST</w:t>
      </w:r>
      <w:proofErr w:type="spellEnd"/>
      <w:r w:rsidRPr="00DA0EE5">
        <w:rPr>
          <w:rFonts w:ascii="Arial" w:hAnsi="Arial" w:cs="Arial"/>
          <w:sz w:val="20"/>
          <w:lang w:eastAsia="es-CO"/>
        </w:rPr>
        <w:t xml:space="preserve"> señalan el plazo de 3 años para la extinción de los derechos emanados de las leyes sociales o consagrados en la ley sustancial laboral, que empieza a correr a partir de la exigibilidad de la respectiva obligación, esto es, desde que el trabajador tenga la posibilidad de reclamar al deudor el pago de su acreencia.</w:t>
      </w:r>
      <w:r>
        <w:rPr>
          <w:rFonts w:ascii="Arial" w:hAnsi="Arial" w:cs="Arial"/>
          <w:sz w:val="20"/>
          <w:lang w:eastAsia="es-CO"/>
        </w:rPr>
        <w:t xml:space="preserve"> (…) </w:t>
      </w:r>
      <w:r w:rsidRPr="00DA0EE5">
        <w:rPr>
          <w:rFonts w:ascii="Arial" w:hAnsi="Arial" w:cs="Arial"/>
          <w:sz w:val="20"/>
          <w:lang w:eastAsia="es-CO"/>
        </w:rPr>
        <w:t xml:space="preserve">La interrupción natural se presenta cuando el deudor reconoce la obligación de manera expresa o tácita; o con la reclamación escrita que haga el acreedor a su deudor, ya en los términos del artículo 6 del </w:t>
      </w:r>
      <w:proofErr w:type="spellStart"/>
      <w:r w:rsidRPr="00DA0EE5">
        <w:rPr>
          <w:rFonts w:ascii="Arial" w:hAnsi="Arial" w:cs="Arial"/>
          <w:sz w:val="20"/>
          <w:lang w:eastAsia="es-CO"/>
        </w:rPr>
        <w:t>C.P.T</w:t>
      </w:r>
      <w:proofErr w:type="spellEnd"/>
      <w:r w:rsidRPr="00DA0EE5">
        <w:rPr>
          <w:rFonts w:ascii="Arial" w:hAnsi="Arial" w:cs="Arial"/>
          <w:sz w:val="20"/>
          <w:lang w:eastAsia="es-CO"/>
        </w:rPr>
        <w:t xml:space="preserve">., </w:t>
      </w:r>
      <w:r>
        <w:rPr>
          <w:rFonts w:ascii="Arial" w:hAnsi="Arial" w:cs="Arial"/>
          <w:sz w:val="20"/>
          <w:lang w:eastAsia="es-CO"/>
        </w:rPr>
        <w:t xml:space="preserve">488 del </w:t>
      </w:r>
      <w:proofErr w:type="spellStart"/>
      <w:r>
        <w:rPr>
          <w:rFonts w:ascii="Arial" w:hAnsi="Arial" w:cs="Arial"/>
          <w:sz w:val="20"/>
          <w:lang w:eastAsia="es-CO"/>
        </w:rPr>
        <w:t>C.S.T</w:t>
      </w:r>
      <w:proofErr w:type="spellEnd"/>
      <w:r>
        <w:rPr>
          <w:rFonts w:ascii="Arial" w:hAnsi="Arial" w:cs="Arial"/>
          <w:sz w:val="20"/>
          <w:lang w:eastAsia="es-CO"/>
        </w:rPr>
        <w:t>., o 94 del C.G.P…</w:t>
      </w:r>
    </w:p>
    <w:p w14:paraId="65B9D012" w14:textId="77777777" w:rsidR="001F21A7" w:rsidRPr="001F21A7" w:rsidRDefault="001F21A7" w:rsidP="001F21A7">
      <w:pPr>
        <w:jc w:val="both"/>
        <w:textAlignment w:val="baseline"/>
        <w:rPr>
          <w:rFonts w:ascii="Arial" w:hAnsi="Arial" w:cs="Arial"/>
          <w:sz w:val="20"/>
          <w:lang w:eastAsia="es-CO"/>
        </w:rPr>
      </w:pPr>
    </w:p>
    <w:p w14:paraId="2470260C" w14:textId="33CA75E8" w:rsidR="001F21A7" w:rsidRPr="001F21A7" w:rsidRDefault="00915CF1" w:rsidP="001F21A7">
      <w:pPr>
        <w:jc w:val="both"/>
        <w:textAlignment w:val="baseline"/>
        <w:rPr>
          <w:rFonts w:ascii="Arial" w:hAnsi="Arial" w:cs="Arial"/>
          <w:sz w:val="20"/>
          <w:lang w:eastAsia="es-CO"/>
        </w:rPr>
      </w:pPr>
      <w:r>
        <w:rPr>
          <w:rFonts w:ascii="Arial" w:hAnsi="Arial" w:cs="Arial"/>
          <w:b/>
          <w:sz w:val="20"/>
          <w:lang w:eastAsia="es-CO"/>
        </w:rPr>
        <w:t>PRESCRIPCIÓN / INTERRUPCIÓN CIVIL / ARTÍCULO 94 DEL CGP</w:t>
      </w:r>
      <w:r w:rsidR="00CC075B">
        <w:rPr>
          <w:rFonts w:ascii="Arial" w:hAnsi="Arial" w:cs="Arial"/>
          <w:b/>
          <w:sz w:val="20"/>
          <w:lang w:eastAsia="es-CO"/>
        </w:rPr>
        <w:t xml:space="preserve"> / APLICACIÓN EN LABORAL</w:t>
      </w:r>
    </w:p>
    <w:p w14:paraId="4F0588D8" w14:textId="00EFA0ED" w:rsidR="002D033F" w:rsidRPr="00915CF1" w:rsidRDefault="002D033F" w:rsidP="002D033F">
      <w:pPr>
        <w:jc w:val="both"/>
        <w:textAlignment w:val="baseline"/>
        <w:rPr>
          <w:rFonts w:ascii="Arial" w:hAnsi="Arial" w:cs="Arial"/>
          <w:sz w:val="20"/>
          <w:lang w:eastAsia="es-CO"/>
        </w:rPr>
      </w:pPr>
      <w:r w:rsidRPr="00915CF1">
        <w:rPr>
          <w:rFonts w:ascii="Arial" w:hAnsi="Arial" w:cs="Arial"/>
          <w:sz w:val="20"/>
          <w:lang w:eastAsia="es-CO"/>
        </w:rPr>
        <w:t>Frente a la interrupción civil, su ocurrencia depende de un acto complejo, es decir, compuesto de dos eventos. Así, no basta la presentación de la demanda o solicitud de mandamiento de pago para interrumpir la prescripción, sino que, al tenor del artículo 94 del C.G.P. debe notificarse al demandado o ejecutado dentro del año siguiente al auto admisorio del escrito introductor.</w:t>
      </w:r>
      <w:r w:rsidR="00CC075B">
        <w:rPr>
          <w:rFonts w:ascii="Arial" w:hAnsi="Arial" w:cs="Arial"/>
          <w:sz w:val="20"/>
          <w:lang w:eastAsia="es-CO"/>
        </w:rPr>
        <w:t xml:space="preserve"> (…) </w:t>
      </w:r>
      <w:r w:rsidR="00CC075B" w:rsidRPr="00CC075B">
        <w:rPr>
          <w:rFonts w:ascii="Arial" w:hAnsi="Arial" w:cs="Arial"/>
          <w:sz w:val="20"/>
          <w:lang w:eastAsia="es-CO"/>
        </w:rPr>
        <w:t>es de mencionar que la Jurisprudencia de la Corte ha sido recurrente en indicar que en materia laboral es aplicable el artículo 94 CGP, pero dicha disposición no se aplica de manera automática porque es imperante el «examinar si la tardanza en la notificación del auto admisorio de la demanda se debió a la negligencia de la actora, si fue ocasionada por las órdenes del director del proceso, o si fue consecuencia de la conducta procesal observada por la demandada» (CSJ SL2156-2020 reiterada en la SL1431-2022).</w:t>
      </w:r>
    </w:p>
    <w:p w14:paraId="7D705639" w14:textId="24317538" w:rsidR="001F21A7" w:rsidRPr="001F21A7" w:rsidRDefault="001F21A7" w:rsidP="001F21A7">
      <w:pPr>
        <w:jc w:val="both"/>
        <w:textAlignment w:val="baseline"/>
        <w:rPr>
          <w:rFonts w:ascii="Arial" w:hAnsi="Arial" w:cs="Arial"/>
          <w:sz w:val="20"/>
          <w:lang w:eastAsia="es-CO"/>
        </w:rPr>
      </w:pPr>
    </w:p>
    <w:p w14:paraId="69FCB853" w14:textId="4C9799A5" w:rsidR="00CC075B" w:rsidRPr="001F21A7" w:rsidRDefault="00CC075B" w:rsidP="00CC075B">
      <w:pPr>
        <w:jc w:val="both"/>
        <w:textAlignment w:val="baseline"/>
        <w:rPr>
          <w:rFonts w:ascii="Arial" w:hAnsi="Arial" w:cs="Arial"/>
          <w:sz w:val="20"/>
          <w:lang w:eastAsia="es-CO"/>
        </w:rPr>
      </w:pPr>
      <w:r>
        <w:rPr>
          <w:rFonts w:ascii="Arial" w:hAnsi="Arial" w:cs="Arial"/>
          <w:b/>
          <w:sz w:val="20"/>
          <w:lang w:eastAsia="es-CO"/>
        </w:rPr>
        <w:t xml:space="preserve">PRESCRIPCIÓN / INTERRUPCIÓN CIVIL / ARTÍCULO 94 DEL CGP / </w:t>
      </w:r>
      <w:r>
        <w:rPr>
          <w:rFonts w:ascii="Arial" w:hAnsi="Arial" w:cs="Arial"/>
          <w:b/>
          <w:sz w:val="20"/>
          <w:lang w:eastAsia="es-CO"/>
        </w:rPr>
        <w:t>NOTIFICACIÓN AL DEMANDADO</w:t>
      </w:r>
      <w:r w:rsidR="0054421C">
        <w:rPr>
          <w:rFonts w:ascii="Arial" w:hAnsi="Arial" w:cs="Arial"/>
          <w:b/>
          <w:sz w:val="20"/>
          <w:lang w:eastAsia="es-CO"/>
        </w:rPr>
        <w:t xml:space="preserve"> POR ESTADO</w:t>
      </w:r>
    </w:p>
    <w:p w14:paraId="59A8CDEE" w14:textId="6F4825A1" w:rsidR="001F21A7" w:rsidRPr="00CC075B" w:rsidRDefault="00CC075B" w:rsidP="00CC075B">
      <w:pPr>
        <w:jc w:val="both"/>
        <w:textAlignment w:val="baseline"/>
        <w:rPr>
          <w:rFonts w:ascii="Arial" w:hAnsi="Arial" w:cs="Arial"/>
          <w:sz w:val="20"/>
          <w:lang w:eastAsia="es-CO"/>
        </w:rPr>
      </w:pPr>
      <w:r w:rsidRPr="00CC075B">
        <w:rPr>
          <w:rFonts w:ascii="Arial" w:hAnsi="Arial" w:cs="Arial"/>
          <w:sz w:val="20"/>
          <w:lang w:eastAsia="es-CO"/>
        </w:rPr>
        <w:t>Finalmente, la notificación de las providencias – art. 289 del C.G.P. – corresponde precisamente a la materialidad de la decisión adoptada, pues de nada sirve pronunciar una decisión que no ha sido conocida por las partes, de ahí que las providencias judiciales se harán saber a las partes y demás interesados a través de la notificación, entre las que se encuentra, la notificación por estados – art. 295 del C.G.P. -, que elabora el secretario del despacho. Así, la notificación por estado debe contener la determinación del proceso por su clase (tipo de proceso y número de radicado), la indicación de los nombres del demandante y demandados, entre otros.</w:t>
      </w:r>
    </w:p>
    <w:p w14:paraId="3BF0FBCD" w14:textId="77777777" w:rsidR="001F21A7" w:rsidRPr="001F21A7" w:rsidRDefault="001F21A7" w:rsidP="001F21A7">
      <w:pPr>
        <w:jc w:val="both"/>
        <w:textAlignment w:val="baseline"/>
        <w:rPr>
          <w:rFonts w:ascii="Arial" w:hAnsi="Arial" w:cs="Arial"/>
          <w:sz w:val="20"/>
          <w:lang w:eastAsia="es-CO"/>
        </w:rPr>
      </w:pPr>
    </w:p>
    <w:p w14:paraId="6847120C" w14:textId="77777777" w:rsidR="001F21A7" w:rsidRPr="001F21A7" w:rsidRDefault="001F21A7" w:rsidP="001F21A7">
      <w:pPr>
        <w:jc w:val="both"/>
        <w:textAlignment w:val="baseline"/>
        <w:rPr>
          <w:rFonts w:ascii="Arial" w:hAnsi="Arial" w:cs="Arial"/>
          <w:sz w:val="20"/>
          <w:lang w:eastAsia="es-CO"/>
        </w:rPr>
      </w:pPr>
    </w:p>
    <w:p w14:paraId="098C422F" w14:textId="77777777" w:rsidR="001F21A7" w:rsidRPr="001F21A7" w:rsidRDefault="001F21A7" w:rsidP="001F21A7">
      <w:pPr>
        <w:jc w:val="both"/>
        <w:textAlignment w:val="baseline"/>
        <w:rPr>
          <w:rFonts w:ascii="Arial" w:hAnsi="Arial" w:cs="Arial"/>
          <w:sz w:val="20"/>
          <w:lang w:eastAsia="es-CO"/>
        </w:rPr>
      </w:pPr>
    </w:p>
    <w:p w14:paraId="2B8C51AD" w14:textId="77777777" w:rsidR="001F21A7" w:rsidRPr="001F21A7" w:rsidRDefault="001F21A7" w:rsidP="001F21A7">
      <w:pPr>
        <w:spacing w:line="276" w:lineRule="auto"/>
        <w:jc w:val="center"/>
        <w:textAlignment w:val="baseline"/>
        <w:rPr>
          <w:rFonts w:ascii="Arial" w:hAnsi="Arial" w:cs="Arial"/>
          <w:lang w:eastAsia="es-CO"/>
        </w:rPr>
      </w:pPr>
      <w:r w:rsidRPr="001F21A7">
        <w:rPr>
          <w:rFonts w:ascii="Arial" w:hAnsi="Arial" w:cs="Arial"/>
          <w:noProof/>
          <w:lang w:val="en-US" w:eastAsia="en-US"/>
        </w:rPr>
        <w:drawing>
          <wp:inline distT="0" distB="0" distL="0" distR="0" wp14:anchorId="399098F8" wp14:editId="7B4925AD">
            <wp:extent cx="790575" cy="771525"/>
            <wp:effectExtent l="0" t="0" r="9525" b="9525"/>
            <wp:docPr id="2" name="Imagen 1"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1F21A7">
        <w:rPr>
          <w:rFonts w:ascii="Arial" w:hAnsi="Arial" w:cs="Arial"/>
          <w:lang w:eastAsia="es-CO"/>
        </w:rPr>
        <w:t> </w:t>
      </w:r>
    </w:p>
    <w:p w14:paraId="41263543" w14:textId="77777777" w:rsidR="001F21A7" w:rsidRPr="001F21A7" w:rsidRDefault="001F21A7" w:rsidP="001F21A7">
      <w:pPr>
        <w:spacing w:line="276" w:lineRule="auto"/>
        <w:jc w:val="center"/>
        <w:textAlignment w:val="baseline"/>
        <w:rPr>
          <w:rFonts w:ascii="Arial" w:hAnsi="Arial" w:cs="Arial"/>
          <w:lang w:eastAsia="es-CO"/>
        </w:rPr>
      </w:pPr>
      <w:r w:rsidRPr="001F21A7">
        <w:rPr>
          <w:rFonts w:ascii="Arial" w:hAnsi="Arial" w:cs="Arial"/>
          <w:b/>
          <w:bCs/>
          <w:lang w:val="es-ES" w:eastAsia="es-CO"/>
        </w:rPr>
        <w:t>RAMA JUDICIAL DEL PODER PÚBLICO</w:t>
      </w:r>
      <w:r w:rsidRPr="001F21A7">
        <w:rPr>
          <w:rFonts w:ascii="Arial" w:hAnsi="Arial" w:cs="Arial"/>
          <w:lang w:eastAsia="es-CO"/>
        </w:rPr>
        <w:t> </w:t>
      </w:r>
    </w:p>
    <w:p w14:paraId="71D615E4" w14:textId="77777777" w:rsidR="001F21A7" w:rsidRPr="001F21A7" w:rsidRDefault="001F21A7" w:rsidP="001F21A7">
      <w:pPr>
        <w:spacing w:line="276" w:lineRule="auto"/>
        <w:jc w:val="center"/>
        <w:textAlignment w:val="baseline"/>
        <w:rPr>
          <w:rFonts w:ascii="Arial" w:hAnsi="Arial" w:cs="Arial"/>
          <w:lang w:eastAsia="es-CO"/>
        </w:rPr>
      </w:pPr>
      <w:r w:rsidRPr="001F21A7">
        <w:rPr>
          <w:rFonts w:ascii="Arial" w:hAnsi="Arial" w:cs="Arial"/>
          <w:b/>
          <w:bCs/>
          <w:lang w:val="es-ES" w:eastAsia="es-CO"/>
        </w:rPr>
        <w:t>TRIBUNAL SUPERIOR DEL DISTRITO JUDICIAL DE PEREIRA</w:t>
      </w:r>
      <w:r w:rsidRPr="001F21A7">
        <w:rPr>
          <w:rFonts w:ascii="Arial" w:hAnsi="Arial" w:cs="Arial"/>
          <w:lang w:eastAsia="es-CO"/>
        </w:rPr>
        <w:t> </w:t>
      </w:r>
    </w:p>
    <w:p w14:paraId="3D12C1C4" w14:textId="77777777" w:rsidR="001F21A7" w:rsidRPr="001F21A7" w:rsidRDefault="001F21A7" w:rsidP="001F21A7">
      <w:pPr>
        <w:spacing w:line="276" w:lineRule="auto"/>
        <w:jc w:val="center"/>
        <w:textAlignment w:val="baseline"/>
        <w:rPr>
          <w:rFonts w:ascii="Arial" w:hAnsi="Arial" w:cs="Arial"/>
          <w:lang w:eastAsia="es-CO"/>
        </w:rPr>
      </w:pPr>
      <w:r w:rsidRPr="001F21A7">
        <w:rPr>
          <w:rFonts w:ascii="Arial" w:hAnsi="Arial" w:cs="Arial"/>
          <w:b/>
          <w:bCs/>
          <w:lang w:val="es-ES" w:eastAsia="es-CO"/>
        </w:rPr>
        <w:t>SALA DE DECISIÓN LABORAL</w:t>
      </w:r>
      <w:r w:rsidRPr="001F21A7">
        <w:rPr>
          <w:rFonts w:ascii="Arial" w:hAnsi="Arial" w:cs="Arial"/>
          <w:lang w:eastAsia="es-CO"/>
        </w:rPr>
        <w:t> </w:t>
      </w:r>
    </w:p>
    <w:p w14:paraId="13A05273" w14:textId="77777777" w:rsidR="001F21A7" w:rsidRPr="001F21A7" w:rsidRDefault="001F21A7" w:rsidP="001F21A7">
      <w:pPr>
        <w:spacing w:line="276" w:lineRule="auto"/>
        <w:jc w:val="both"/>
        <w:textAlignment w:val="baseline"/>
        <w:rPr>
          <w:rFonts w:ascii="Arial" w:hAnsi="Arial" w:cs="Arial"/>
          <w:lang w:eastAsia="es-CO"/>
        </w:rPr>
      </w:pPr>
    </w:p>
    <w:p w14:paraId="0887BBE1" w14:textId="77777777" w:rsidR="001F21A7" w:rsidRPr="001F21A7" w:rsidRDefault="001F21A7" w:rsidP="001F21A7">
      <w:pPr>
        <w:spacing w:line="276" w:lineRule="auto"/>
        <w:jc w:val="center"/>
        <w:textAlignment w:val="baseline"/>
        <w:rPr>
          <w:rFonts w:ascii="Arial" w:hAnsi="Arial" w:cs="Arial"/>
          <w:lang w:eastAsia="es-CO"/>
        </w:rPr>
      </w:pPr>
      <w:r w:rsidRPr="001F21A7">
        <w:rPr>
          <w:rFonts w:ascii="Arial" w:hAnsi="Arial" w:cs="Arial"/>
          <w:color w:val="000000"/>
          <w:lang w:val="es-ES" w:eastAsia="es-CO"/>
        </w:rPr>
        <w:t>Magistrada Ponente</w:t>
      </w:r>
      <w:r w:rsidRPr="001F21A7">
        <w:rPr>
          <w:rFonts w:ascii="Arial" w:hAnsi="Arial" w:cs="Arial"/>
          <w:color w:val="000000"/>
          <w:lang w:eastAsia="es-CO"/>
        </w:rPr>
        <w:t> </w:t>
      </w:r>
    </w:p>
    <w:p w14:paraId="5A3F5FC2" w14:textId="77777777" w:rsidR="001F21A7" w:rsidRPr="001F21A7" w:rsidRDefault="001F21A7" w:rsidP="001F21A7">
      <w:pPr>
        <w:spacing w:line="276" w:lineRule="auto"/>
        <w:jc w:val="center"/>
        <w:textAlignment w:val="baseline"/>
        <w:rPr>
          <w:rFonts w:ascii="Arial" w:hAnsi="Arial" w:cs="Arial"/>
          <w:lang w:eastAsia="es-CO"/>
        </w:rPr>
      </w:pPr>
      <w:r w:rsidRPr="001F21A7">
        <w:rPr>
          <w:rFonts w:ascii="Arial" w:hAnsi="Arial" w:cs="Arial"/>
          <w:b/>
          <w:bCs/>
          <w:color w:val="000000"/>
          <w:lang w:eastAsia="es-CO"/>
        </w:rPr>
        <w:t>OLGA LUCÍA HOYOS SEPÚLVEDA</w:t>
      </w:r>
      <w:r w:rsidRPr="001F21A7">
        <w:rPr>
          <w:rFonts w:ascii="Arial" w:hAnsi="Arial" w:cs="Arial"/>
          <w:color w:val="000000"/>
          <w:lang w:eastAsia="es-CO"/>
        </w:rPr>
        <w:t> </w:t>
      </w:r>
    </w:p>
    <w:p w14:paraId="4C497815" w14:textId="77777777" w:rsidR="001F21A7" w:rsidRPr="001F21A7" w:rsidRDefault="001F21A7" w:rsidP="001F21A7">
      <w:pPr>
        <w:spacing w:line="276" w:lineRule="auto"/>
        <w:jc w:val="both"/>
        <w:textAlignment w:val="baseline"/>
        <w:rPr>
          <w:rFonts w:ascii="Arial" w:hAnsi="Arial" w:cs="Arial"/>
          <w:lang w:eastAsia="es-CO"/>
        </w:rPr>
      </w:pPr>
    </w:p>
    <w:p w14:paraId="6FDC66AE" w14:textId="68226AA4" w:rsidR="005A742F" w:rsidRDefault="00E20B33" w:rsidP="005A742F">
      <w:pPr>
        <w:pStyle w:val="Ttulo"/>
        <w:spacing w:line="240" w:lineRule="auto"/>
        <w:ind w:left="2124"/>
        <w:jc w:val="left"/>
        <w:rPr>
          <w:rFonts w:ascii="Arial" w:hAnsi="Arial" w:cs="Arial"/>
          <w:sz w:val="22"/>
          <w:szCs w:val="24"/>
        </w:rPr>
      </w:pPr>
      <w:r w:rsidRPr="005A742F">
        <w:rPr>
          <w:rFonts w:ascii="Arial" w:hAnsi="Arial" w:cs="Arial"/>
          <w:bCs/>
          <w:sz w:val="22"/>
          <w:szCs w:val="24"/>
        </w:rPr>
        <w:t>Asunto.</w:t>
      </w:r>
      <w:r w:rsidRPr="005A742F">
        <w:rPr>
          <w:rFonts w:ascii="Arial" w:hAnsi="Arial" w:cs="Arial"/>
          <w:sz w:val="22"/>
          <w:szCs w:val="24"/>
        </w:rPr>
        <w:tab/>
      </w:r>
      <w:r w:rsidRPr="005A742F">
        <w:rPr>
          <w:rFonts w:ascii="Arial" w:hAnsi="Arial" w:cs="Arial"/>
          <w:sz w:val="22"/>
          <w:szCs w:val="24"/>
        </w:rPr>
        <w:tab/>
      </w:r>
      <w:r w:rsidR="00D95837" w:rsidRPr="005A742F">
        <w:rPr>
          <w:rFonts w:ascii="Arial" w:hAnsi="Arial" w:cs="Arial"/>
          <w:sz w:val="22"/>
          <w:szCs w:val="24"/>
        </w:rPr>
        <w:t xml:space="preserve">Derrota </w:t>
      </w:r>
      <w:r w:rsidR="00EB5D90">
        <w:rPr>
          <w:rFonts w:ascii="Arial" w:hAnsi="Arial" w:cs="Arial"/>
          <w:sz w:val="22"/>
          <w:szCs w:val="24"/>
        </w:rPr>
        <w:t>–</w:t>
      </w:r>
      <w:r w:rsidR="00D95837" w:rsidRPr="005A742F">
        <w:rPr>
          <w:rFonts w:ascii="Arial" w:hAnsi="Arial" w:cs="Arial"/>
          <w:sz w:val="22"/>
          <w:szCs w:val="24"/>
        </w:rPr>
        <w:t xml:space="preserve"> </w:t>
      </w:r>
      <w:r w:rsidR="005A742F">
        <w:rPr>
          <w:rFonts w:ascii="Arial" w:hAnsi="Arial" w:cs="Arial"/>
          <w:sz w:val="22"/>
          <w:szCs w:val="24"/>
        </w:rPr>
        <w:t>Apelación auto</w:t>
      </w:r>
    </w:p>
    <w:p w14:paraId="3859A9E8" w14:textId="7A998DA8" w:rsidR="00E20B33" w:rsidRPr="005A742F" w:rsidRDefault="00E20B33" w:rsidP="005A742F">
      <w:pPr>
        <w:pStyle w:val="Ttulo"/>
        <w:spacing w:line="240" w:lineRule="auto"/>
        <w:ind w:left="2124"/>
        <w:jc w:val="left"/>
        <w:rPr>
          <w:rFonts w:ascii="Arial" w:hAnsi="Arial" w:cs="Arial"/>
          <w:sz w:val="22"/>
          <w:szCs w:val="24"/>
        </w:rPr>
      </w:pPr>
      <w:r w:rsidRPr="005A742F">
        <w:rPr>
          <w:rFonts w:ascii="Arial" w:hAnsi="Arial" w:cs="Arial"/>
          <w:bCs/>
          <w:sz w:val="22"/>
          <w:szCs w:val="24"/>
        </w:rPr>
        <w:t>Proceso.</w:t>
      </w:r>
      <w:r w:rsidRPr="005A742F">
        <w:rPr>
          <w:rFonts w:ascii="Arial" w:hAnsi="Arial" w:cs="Arial"/>
          <w:sz w:val="22"/>
          <w:szCs w:val="24"/>
        </w:rPr>
        <w:tab/>
      </w:r>
      <w:r w:rsidRPr="005A742F">
        <w:rPr>
          <w:rFonts w:ascii="Arial" w:hAnsi="Arial" w:cs="Arial"/>
          <w:sz w:val="22"/>
          <w:szCs w:val="24"/>
        </w:rPr>
        <w:tab/>
      </w:r>
      <w:r w:rsidR="002D12A5" w:rsidRPr="005A742F">
        <w:rPr>
          <w:rFonts w:ascii="Arial" w:hAnsi="Arial" w:cs="Arial"/>
          <w:sz w:val="22"/>
          <w:szCs w:val="24"/>
        </w:rPr>
        <w:t xml:space="preserve">Ejecutivo </w:t>
      </w:r>
      <w:r w:rsidRPr="005A742F">
        <w:rPr>
          <w:rFonts w:ascii="Arial" w:hAnsi="Arial" w:cs="Arial"/>
          <w:sz w:val="22"/>
          <w:szCs w:val="24"/>
        </w:rPr>
        <w:t>Laboral</w:t>
      </w:r>
    </w:p>
    <w:p w14:paraId="62D7EE97" w14:textId="00D88F68" w:rsidR="00E20B33" w:rsidRPr="005A742F" w:rsidRDefault="00E20B33" w:rsidP="005A742F">
      <w:pPr>
        <w:pStyle w:val="Ttulo"/>
        <w:spacing w:line="240" w:lineRule="auto"/>
        <w:ind w:left="2124"/>
        <w:jc w:val="left"/>
        <w:rPr>
          <w:rFonts w:ascii="Arial" w:hAnsi="Arial" w:cs="Arial"/>
          <w:bCs/>
          <w:sz w:val="22"/>
          <w:szCs w:val="24"/>
        </w:rPr>
      </w:pPr>
      <w:r w:rsidRPr="005A742F">
        <w:rPr>
          <w:rFonts w:ascii="Arial" w:hAnsi="Arial" w:cs="Arial"/>
          <w:bCs/>
          <w:sz w:val="22"/>
          <w:szCs w:val="24"/>
        </w:rPr>
        <w:t>Radicación.</w:t>
      </w:r>
      <w:r w:rsidRPr="005A742F">
        <w:rPr>
          <w:rFonts w:ascii="Arial" w:hAnsi="Arial" w:cs="Arial"/>
          <w:bCs/>
          <w:sz w:val="22"/>
          <w:szCs w:val="24"/>
        </w:rPr>
        <w:tab/>
      </w:r>
      <w:r w:rsidRPr="005A742F">
        <w:rPr>
          <w:rFonts w:ascii="Arial" w:hAnsi="Arial" w:cs="Arial"/>
          <w:bCs/>
          <w:sz w:val="22"/>
          <w:szCs w:val="24"/>
        </w:rPr>
        <w:tab/>
      </w:r>
      <w:bookmarkStart w:id="0" w:name="_GoBack"/>
      <w:r w:rsidRPr="005A742F">
        <w:rPr>
          <w:rFonts w:ascii="Arial" w:hAnsi="Arial" w:cs="Arial"/>
          <w:bCs/>
          <w:sz w:val="22"/>
          <w:szCs w:val="24"/>
        </w:rPr>
        <w:t>66</w:t>
      </w:r>
      <w:r w:rsidR="00D95837" w:rsidRPr="005A742F">
        <w:rPr>
          <w:rFonts w:ascii="Arial" w:hAnsi="Arial" w:cs="Arial"/>
          <w:bCs/>
          <w:sz w:val="22"/>
          <w:szCs w:val="24"/>
        </w:rPr>
        <w:t>170</w:t>
      </w:r>
      <w:r w:rsidRPr="005A742F">
        <w:rPr>
          <w:rFonts w:ascii="Arial" w:hAnsi="Arial" w:cs="Arial"/>
          <w:bCs/>
          <w:sz w:val="22"/>
          <w:szCs w:val="24"/>
        </w:rPr>
        <w:t>31</w:t>
      </w:r>
      <w:r w:rsidR="00F96B06" w:rsidRPr="005A742F">
        <w:rPr>
          <w:rFonts w:ascii="Arial" w:hAnsi="Arial" w:cs="Arial"/>
          <w:bCs/>
          <w:sz w:val="22"/>
          <w:szCs w:val="24"/>
        </w:rPr>
        <w:t>05</w:t>
      </w:r>
      <w:r w:rsidRPr="005A742F">
        <w:rPr>
          <w:rFonts w:ascii="Arial" w:hAnsi="Arial" w:cs="Arial"/>
          <w:bCs/>
          <w:sz w:val="22"/>
          <w:szCs w:val="24"/>
        </w:rPr>
        <w:t>0</w:t>
      </w:r>
      <w:r w:rsidR="00AD4572" w:rsidRPr="005A742F">
        <w:rPr>
          <w:rFonts w:ascii="Arial" w:hAnsi="Arial" w:cs="Arial"/>
          <w:bCs/>
          <w:sz w:val="22"/>
          <w:szCs w:val="24"/>
        </w:rPr>
        <w:t>0</w:t>
      </w:r>
      <w:r w:rsidR="00D95837" w:rsidRPr="005A742F">
        <w:rPr>
          <w:rFonts w:ascii="Arial" w:hAnsi="Arial" w:cs="Arial"/>
          <w:bCs/>
          <w:sz w:val="22"/>
          <w:szCs w:val="24"/>
        </w:rPr>
        <w:t>1</w:t>
      </w:r>
      <w:r w:rsidRPr="005A742F">
        <w:rPr>
          <w:rFonts w:ascii="Arial" w:hAnsi="Arial" w:cs="Arial"/>
          <w:bCs/>
          <w:sz w:val="22"/>
          <w:szCs w:val="24"/>
        </w:rPr>
        <w:t>20</w:t>
      </w:r>
      <w:r w:rsidR="00D95837" w:rsidRPr="005A742F">
        <w:rPr>
          <w:rFonts w:ascii="Arial" w:hAnsi="Arial" w:cs="Arial"/>
          <w:bCs/>
          <w:sz w:val="22"/>
          <w:szCs w:val="24"/>
        </w:rPr>
        <w:t>09</w:t>
      </w:r>
      <w:r w:rsidRPr="005A742F">
        <w:rPr>
          <w:rFonts w:ascii="Arial" w:hAnsi="Arial" w:cs="Arial"/>
          <w:bCs/>
          <w:sz w:val="22"/>
          <w:szCs w:val="24"/>
        </w:rPr>
        <w:t>00</w:t>
      </w:r>
      <w:r w:rsidR="00D95837" w:rsidRPr="005A742F">
        <w:rPr>
          <w:rFonts w:ascii="Arial" w:hAnsi="Arial" w:cs="Arial"/>
          <w:bCs/>
          <w:sz w:val="22"/>
          <w:szCs w:val="24"/>
        </w:rPr>
        <w:t>165</w:t>
      </w:r>
      <w:r w:rsidRPr="005A742F">
        <w:rPr>
          <w:rFonts w:ascii="Arial" w:hAnsi="Arial" w:cs="Arial"/>
          <w:bCs/>
          <w:sz w:val="22"/>
          <w:szCs w:val="24"/>
        </w:rPr>
        <w:t>0</w:t>
      </w:r>
      <w:r w:rsidR="00D95837" w:rsidRPr="005A742F">
        <w:rPr>
          <w:rFonts w:ascii="Arial" w:hAnsi="Arial" w:cs="Arial"/>
          <w:bCs/>
          <w:sz w:val="22"/>
          <w:szCs w:val="24"/>
        </w:rPr>
        <w:t>2</w:t>
      </w:r>
      <w:bookmarkEnd w:id="0"/>
    </w:p>
    <w:p w14:paraId="10E8F15F" w14:textId="0692851A" w:rsidR="00E20B33" w:rsidRPr="005A742F" w:rsidRDefault="00E20B33" w:rsidP="005A742F">
      <w:pPr>
        <w:pStyle w:val="Ttulo"/>
        <w:spacing w:line="240" w:lineRule="auto"/>
        <w:ind w:left="2124"/>
        <w:jc w:val="left"/>
        <w:rPr>
          <w:rFonts w:ascii="Arial" w:hAnsi="Arial" w:cs="Arial"/>
          <w:bCs/>
          <w:sz w:val="22"/>
          <w:szCs w:val="24"/>
        </w:rPr>
      </w:pPr>
      <w:r w:rsidRPr="005A742F">
        <w:rPr>
          <w:rFonts w:ascii="Arial" w:hAnsi="Arial" w:cs="Arial"/>
          <w:bCs/>
          <w:sz w:val="22"/>
          <w:szCs w:val="24"/>
        </w:rPr>
        <w:t>Demandante.</w:t>
      </w:r>
      <w:r w:rsidRPr="005A742F">
        <w:rPr>
          <w:rFonts w:ascii="Arial" w:hAnsi="Arial" w:cs="Arial"/>
          <w:bCs/>
          <w:sz w:val="22"/>
          <w:szCs w:val="24"/>
        </w:rPr>
        <w:tab/>
      </w:r>
      <w:r w:rsidRPr="005A742F">
        <w:rPr>
          <w:rFonts w:ascii="Arial" w:hAnsi="Arial" w:cs="Arial"/>
          <w:bCs/>
          <w:sz w:val="22"/>
          <w:szCs w:val="24"/>
        </w:rPr>
        <w:tab/>
      </w:r>
      <w:r w:rsidR="00D95837" w:rsidRPr="005A742F">
        <w:rPr>
          <w:rFonts w:ascii="Arial" w:hAnsi="Arial" w:cs="Arial"/>
          <w:bCs/>
          <w:sz w:val="22"/>
          <w:szCs w:val="24"/>
        </w:rPr>
        <w:t>Hisley Patricia Loaiza Martínez</w:t>
      </w:r>
    </w:p>
    <w:p w14:paraId="3E08ECD8" w14:textId="1B3809EB" w:rsidR="00D95837" w:rsidRPr="005A742F" w:rsidRDefault="00D95837" w:rsidP="005A742F">
      <w:pPr>
        <w:pStyle w:val="Ttulo"/>
        <w:spacing w:line="240" w:lineRule="auto"/>
        <w:ind w:left="2124"/>
        <w:jc w:val="left"/>
        <w:rPr>
          <w:rFonts w:ascii="Arial" w:hAnsi="Arial" w:cs="Arial"/>
          <w:bCs/>
          <w:sz w:val="22"/>
          <w:szCs w:val="24"/>
        </w:rPr>
      </w:pPr>
      <w:r w:rsidRPr="005A742F">
        <w:rPr>
          <w:rFonts w:ascii="Arial" w:hAnsi="Arial" w:cs="Arial"/>
          <w:bCs/>
          <w:sz w:val="22"/>
          <w:szCs w:val="24"/>
        </w:rPr>
        <w:tab/>
      </w:r>
      <w:r w:rsidR="005A742F">
        <w:rPr>
          <w:rFonts w:ascii="Arial" w:hAnsi="Arial" w:cs="Arial"/>
          <w:bCs/>
          <w:sz w:val="22"/>
          <w:szCs w:val="24"/>
        </w:rPr>
        <w:tab/>
      </w:r>
      <w:r w:rsidR="005A742F">
        <w:rPr>
          <w:rFonts w:ascii="Arial" w:hAnsi="Arial" w:cs="Arial"/>
          <w:bCs/>
          <w:sz w:val="22"/>
          <w:szCs w:val="24"/>
        </w:rPr>
        <w:tab/>
      </w:r>
      <w:r w:rsidRPr="005A742F">
        <w:rPr>
          <w:rFonts w:ascii="Arial" w:hAnsi="Arial" w:cs="Arial"/>
          <w:bCs/>
          <w:sz w:val="22"/>
          <w:szCs w:val="24"/>
        </w:rPr>
        <w:t>Omar Flórez Morales</w:t>
      </w:r>
    </w:p>
    <w:p w14:paraId="53808D2C" w14:textId="3F8CD4C4" w:rsidR="00E20B33" w:rsidRPr="005A742F" w:rsidRDefault="00E20B33" w:rsidP="005A742F">
      <w:pPr>
        <w:pStyle w:val="Ttulo"/>
        <w:spacing w:line="240" w:lineRule="auto"/>
        <w:ind w:left="2124"/>
        <w:jc w:val="left"/>
        <w:rPr>
          <w:rFonts w:ascii="Arial" w:hAnsi="Arial" w:cs="Arial"/>
          <w:bCs/>
          <w:sz w:val="22"/>
          <w:szCs w:val="24"/>
        </w:rPr>
      </w:pPr>
      <w:r w:rsidRPr="005A742F">
        <w:rPr>
          <w:rFonts w:ascii="Arial" w:hAnsi="Arial" w:cs="Arial"/>
          <w:bCs/>
          <w:sz w:val="22"/>
          <w:szCs w:val="24"/>
        </w:rPr>
        <w:t>Demand</w:t>
      </w:r>
      <w:r w:rsidR="005A742F">
        <w:rPr>
          <w:rFonts w:ascii="Arial" w:hAnsi="Arial" w:cs="Arial"/>
          <w:bCs/>
          <w:sz w:val="22"/>
          <w:szCs w:val="24"/>
        </w:rPr>
        <w:t>ad</w:t>
      </w:r>
      <w:r w:rsidRPr="005A742F">
        <w:rPr>
          <w:rFonts w:ascii="Arial" w:hAnsi="Arial" w:cs="Arial"/>
          <w:bCs/>
          <w:sz w:val="22"/>
          <w:szCs w:val="24"/>
        </w:rPr>
        <w:t>o.</w:t>
      </w:r>
      <w:r w:rsidRPr="005A742F">
        <w:rPr>
          <w:rFonts w:ascii="Arial" w:hAnsi="Arial" w:cs="Arial"/>
          <w:bCs/>
          <w:sz w:val="22"/>
          <w:szCs w:val="24"/>
        </w:rPr>
        <w:tab/>
      </w:r>
      <w:r w:rsidRPr="005A742F">
        <w:rPr>
          <w:rFonts w:ascii="Arial" w:hAnsi="Arial" w:cs="Arial"/>
          <w:bCs/>
          <w:sz w:val="22"/>
          <w:szCs w:val="24"/>
        </w:rPr>
        <w:tab/>
      </w:r>
      <w:r w:rsidR="00D95837" w:rsidRPr="005A742F">
        <w:rPr>
          <w:rFonts w:ascii="Arial" w:hAnsi="Arial" w:cs="Arial"/>
          <w:bCs/>
          <w:sz w:val="22"/>
          <w:szCs w:val="24"/>
        </w:rPr>
        <w:t>Alejandra María López Jaramillo</w:t>
      </w:r>
    </w:p>
    <w:p w14:paraId="05B4ABA7" w14:textId="01EA8F26" w:rsidR="00E20B33" w:rsidRPr="005A742F" w:rsidRDefault="00E20B33" w:rsidP="005A742F">
      <w:pPr>
        <w:pStyle w:val="Ttulo"/>
        <w:spacing w:line="240" w:lineRule="auto"/>
        <w:ind w:left="2124"/>
        <w:jc w:val="left"/>
        <w:rPr>
          <w:rFonts w:ascii="Arial" w:hAnsi="Arial" w:cs="Arial"/>
          <w:bCs/>
          <w:sz w:val="22"/>
          <w:szCs w:val="24"/>
        </w:rPr>
      </w:pPr>
      <w:r w:rsidRPr="005A742F">
        <w:rPr>
          <w:rFonts w:ascii="Arial" w:hAnsi="Arial" w:cs="Arial"/>
          <w:bCs/>
          <w:sz w:val="22"/>
          <w:szCs w:val="24"/>
        </w:rPr>
        <w:t>Tema.</w:t>
      </w:r>
      <w:r w:rsidRPr="005A742F">
        <w:rPr>
          <w:rFonts w:ascii="Arial" w:hAnsi="Arial" w:cs="Arial"/>
          <w:bCs/>
          <w:sz w:val="22"/>
          <w:szCs w:val="24"/>
        </w:rPr>
        <w:tab/>
      </w:r>
      <w:r w:rsidRPr="005A742F">
        <w:rPr>
          <w:rFonts w:ascii="Arial" w:hAnsi="Arial" w:cs="Arial"/>
          <w:bCs/>
          <w:sz w:val="22"/>
          <w:szCs w:val="24"/>
        </w:rPr>
        <w:tab/>
      </w:r>
      <w:r w:rsidR="005A742F">
        <w:rPr>
          <w:rFonts w:ascii="Arial" w:hAnsi="Arial" w:cs="Arial"/>
          <w:bCs/>
          <w:sz w:val="22"/>
          <w:szCs w:val="24"/>
        </w:rPr>
        <w:tab/>
      </w:r>
      <w:r w:rsidR="00D95837" w:rsidRPr="005A742F">
        <w:rPr>
          <w:rFonts w:ascii="Arial" w:hAnsi="Arial" w:cs="Arial"/>
          <w:bCs/>
          <w:sz w:val="22"/>
          <w:szCs w:val="24"/>
        </w:rPr>
        <w:t>Excepción de prescripción</w:t>
      </w:r>
      <w:r w:rsidR="00F96B06" w:rsidRPr="005A742F">
        <w:rPr>
          <w:rFonts w:ascii="Arial" w:hAnsi="Arial" w:cs="Arial"/>
          <w:bCs/>
          <w:sz w:val="22"/>
          <w:szCs w:val="24"/>
        </w:rPr>
        <w:t xml:space="preserve"> </w:t>
      </w:r>
    </w:p>
    <w:p w14:paraId="7F29D0E6" w14:textId="77777777" w:rsidR="00E20B33" w:rsidRPr="001F21A7" w:rsidRDefault="00E20B33" w:rsidP="001F21A7">
      <w:pPr>
        <w:pStyle w:val="Ttulo"/>
        <w:spacing w:line="276" w:lineRule="auto"/>
        <w:ind w:left="4239" w:hanging="2115"/>
        <w:jc w:val="left"/>
        <w:rPr>
          <w:rFonts w:ascii="Arial" w:hAnsi="Arial" w:cs="Arial"/>
          <w:sz w:val="24"/>
          <w:szCs w:val="24"/>
        </w:rPr>
      </w:pPr>
      <w:r w:rsidRPr="001F21A7">
        <w:rPr>
          <w:rFonts w:ascii="Arial" w:hAnsi="Arial" w:cs="Arial"/>
          <w:b/>
          <w:sz w:val="24"/>
          <w:szCs w:val="24"/>
          <w:lang w:val="es-CO"/>
        </w:rPr>
        <w:t xml:space="preserve"> </w:t>
      </w:r>
      <w:r w:rsidRPr="001F21A7">
        <w:rPr>
          <w:rFonts w:ascii="Arial" w:hAnsi="Arial" w:cs="Arial"/>
          <w:bCs/>
          <w:color w:val="000000"/>
          <w:sz w:val="24"/>
          <w:szCs w:val="24"/>
        </w:rPr>
        <w:t xml:space="preserve"> </w:t>
      </w:r>
    </w:p>
    <w:p w14:paraId="5EA4CD94" w14:textId="5AE68AF3" w:rsidR="729E7D46" w:rsidRPr="001F21A7" w:rsidRDefault="729E7D46" w:rsidP="001F21A7">
      <w:pPr>
        <w:spacing w:line="276" w:lineRule="auto"/>
        <w:jc w:val="center"/>
        <w:rPr>
          <w:rFonts w:ascii="Arial" w:eastAsia="Arial" w:hAnsi="Arial" w:cs="Arial"/>
          <w:color w:val="000000" w:themeColor="text1"/>
        </w:rPr>
      </w:pPr>
      <w:r w:rsidRPr="001F21A7">
        <w:rPr>
          <w:rFonts w:ascii="Arial" w:eastAsia="Arial" w:hAnsi="Arial" w:cs="Arial"/>
          <w:color w:val="000000" w:themeColor="text1"/>
          <w:lang w:val="es-ES"/>
        </w:rPr>
        <w:t xml:space="preserve">Pereira, Risaralda, </w:t>
      </w:r>
      <w:r w:rsidR="3F81E189" w:rsidRPr="001F21A7">
        <w:rPr>
          <w:rFonts w:ascii="Arial" w:eastAsia="Arial" w:hAnsi="Arial" w:cs="Arial"/>
          <w:color w:val="000000" w:themeColor="text1"/>
          <w:lang w:val="es-ES"/>
        </w:rPr>
        <w:t xml:space="preserve">veintinueve </w:t>
      </w:r>
      <w:r w:rsidRPr="001F21A7">
        <w:rPr>
          <w:rFonts w:ascii="Arial" w:eastAsia="Arial" w:hAnsi="Arial" w:cs="Arial"/>
          <w:color w:val="000000" w:themeColor="text1"/>
          <w:lang w:val="es-ES"/>
        </w:rPr>
        <w:t>(</w:t>
      </w:r>
      <w:r w:rsidR="5965ABE8" w:rsidRPr="001F21A7">
        <w:rPr>
          <w:rFonts w:ascii="Arial" w:eastAsia="Arial" w:hAnsi="Arial" w:cs="Arial"/>
          <w:color w:val="000000" w:themeColor="text1"/>
          <w:lang w:val="es-ES"/>
        </w:rPr>
        <w:t>29</w:t>
      </w:r>
      <w:r w:rsidRPr="001F21A7">
        <w:rPr>
          <w:rFonts w:ascii="Arial" w:eastAsia="Arial" w:hAnsi="Arial" w:cs="Arial"/>
          <w:color w:val="000000" w:themeColor="text1"/>
          <w:lang w:val="es-ES"/>
        </w:rPr>
        <w:t xml:space="preserve">) de </w:t>
      </w:r>
      <w:r w:rsidR="00D95837" w:rsidRPr="001F21A7">
        <w:rPr>
          <w:rFonts w:ascii="Arial" w:eastAsia="Arial" w:hAnsi="Arial" w:cs="Arial"/>
          <w:color w:val="000000" w:themeColor="text1"/>
          <w:lang w:val="es-ES"/>
        </w:rPr>
        <w:t>noviembre</w:t>
      </w:r>
      <w:r w:rsidRPr="001F21A7">
        <w:rPr>
          <w:rFonts w:ascii="Arial" w:eastAsia="Arial" w:hAnsi="Arial" w:cs="Arial"/>
          <w:color w:val="000000" w:themeColor="text1"/>
          <w:lang w:val="es-ES"/>
        </w:rPr>
        <w:t xml:space="preserve"> de dos mil veintitrés (2023)</w:t>
      </w:r>
    </w:p>
    <w:p w14:paraId="5CF18EAC" w14:textId="00FAEEDF" w:rsidR="729E7D46" w:rsidRPr="001F21A7" w:rsidRDefault="729E7D46" w:rsidP="001F21A7">
      <w:pPr>
        <w:spacing w:line="276" w:lineRule="auto"/>
        <w:jc w:val="center"/>
        <w:rPr>
          <w:rFonts w:ascii="Arial" w:eastAsia="Arial" w:hAnsi="Arial" w:cs="Arial"/>
          <w:color w:val="000000" w:themeColor="text1"/>
        </w:rPr>
      </w:pPr>
      <w:r w:rsidRPr="001F21A7">
        <w:rPr>
          <w:rFonts w:ascii="Arial" w:eastAsia="Arial" w:hAnsi="Arial" w:cs="Arial"/>
          <w:color w:val="000000" w:themeColor="text1"/>
          <w:lang w:val="es-ES"/>
        </w:rPr>
        <w:t xml:space="preserve">Aprobado en acta de discusión </w:t>
      </w:r>
      <w:r w:rsidR="5D952554" w:rsidRPr="001F21A7">
        <w:rPr>
          <w:rFonts w:ascii="Arial" w:eastAsia="Arial" w:hAnsi="Arial" w:cs="Arial"/>
          <w:color w:val="000000" w:themeColor="text1"/>
          <w:lang w:val="es-ES"/>
        </w:rPr>
        <w:t>193</w:t>
      </w:r>
      <w:r w:rsidRPr="001F21A7">
        <w:rPr>
          <w:rFonts w:ascii="Arial" w:eastAsia="Arial" w:hAnsi="Arial" w:cs="Arial"/>
          <w:color w:val="000000" w:themeColor="text1"/>
          <w:lang w:val="es-ES"/>
        </w:rPr>
        <w:t xml:space="preserve"> del </w:t>
      </w:r>
      <w:r w:rsidR="3F19740A" w:rsidRPr="001F21A7">
        <w:rPr>
          <w:rFonts w:ascii="Arial" w:eastAsia="Arial" w:hAnsi="Arial" w:cs="Arial"/>
          <w:color w:val="000000" w:themeColor="text1"/>
          <w:lang w:val="es-ES"/>
        </w:rPr>
        <w:t>27</w:t>
      </w:r>
      <w:r w:rsidRPr="001F21A7">
        <w:rPr>
          <w:rFonts w:ascii="Arial" w:eastAsia="Arial" w:hAnsi="Arial" w:cs="Arial"/>
          <w:color w:val="000000" w:themeColor="text1"/>
          <w:lang w:val="es-ES"/>
        </w:rPr>
        <w:t>-</w:t>
      </w:r>
      <w:r w:rsidR="00D95837" w:rsidRPr="001F21A7">
        <w:rPr>
          <w:rFonts w:ascii="Arial" w:eastAsia="Arial" w:hAnsi="Arial" w:cs="Arial"/>
          <w:color w:val="000000" w:themeColor="text1"/>
          <w:lang w:val="es-ES"/>
        </w:rPr>
        <w:t>11</w:t>
      </w:r>
      <w:r w:rsidRPr="001F21A7">
        <w:rPr>
          <w:rFonts w:ascii="Arial" w:eastAsia="Arial" w:hAnsi="Arial" w:cs="Arial"/>
          <w:color w:val="000000" w:themeColor="text1"/>
          <w:lang w:val="es-ES"/>
        </w:rPr>
        <w:t>-2023</w:t>
      </w:r>
    </w:p>
    <w:p w14:paraId="1DE00565" w14:textId="77777777" w:rsidR="00E20B33" w:rsidRPr="001F21A7" w:rsidRDefault="00E20B33" w:rsidP="001F21A7">
      <w:pPr>
        <w:spacing w:line="276" w:lineRule="auto"/>
        <w:jc w:val="both"/>
        <w:rPr>
          <w:rFonts w:ascii="Arial" w:hAnsi="Arial" w:cs="Arial"/>
        </w:rPr>
      </w:pPr>
    </w:p>
    <w:p w14:paraId="363BC0B8" w14:textId="7E4A41A1" w:rsidR="00E20B33" w:rsidRPr="001F21A7" w:rsidRDefault="0014677B" w:rsidP="001F21A7">
      <w:pPr>
        <w:spacing w:line="276" w:lineRule="auto"/>
        <w:jc w:val="both"/>
        <w:rPr>
          <w:rFonts w:ascii="Arial" w:hAnsi="Arial" w:cs="Arial"/>
        </w:rPr>
      </w:pPr>
      <w:r w:rsidRPr="001F21A7">
        <w:rPr>
          <w:rFonts w:ascii="Arial" w:hAnsi="Arial" w:cs="Arial"/>
        </w:rPr>
        <w:t xml:space="preserve">Derrotado el proyecto presentado por el Magistrado Germán Darío Goez Vinasco procede la Sala Mayoritaria a desatar el recurso </w:t>
      </w:r>
      <w:r w:rsidR="00E20B33" w:rsidRPr="001F21A7">
        <w:rPr>
          <w:rFonts w:ascii="Arial" w:hAnsi="Arial" w:cs="Arial"/>
        </w:rPr>
        <w:t xml:space="preserve">de apelación </w:t>
      </w:r>
      <w:r w:rsidR="002B34B6" w:rsidRPr="001F21A7">
        <w:rPr>
          <w:rFonts w:ascii="Arial" w:hAnsi="Arial" w:cs="Arial"/>
        </w:rPr>
        <w:t>presentado</w:t>
      </w:r>
      <w:r w:rsidR="009E5133" w:rsidRPr="001F21A7">
        <w:rPr>
          <w:rFonts w:ascii="Arial" w:hAnsi="Arial" w:cs="Arial"/>
        </w:rPr>
        <w:t xml:space="preserve"> </w:t>
      </w:r>
      <w:r w:rsidR="00E20B33" w:rsidRPr="001F21A7">
        <w:rPr>
          <w:rFonts w:ascii="Arial" w:hAnsi="Arial" w:cs="Arial"/>
        </w:rPr>
        <w:t xml:space="preserve">contra el auto proferido </w:t>
      </w:r>
      <w:r w:rsidR="002B34B6" w:rsidRPr="001F21A7">
        <w:rPr>
          <w:rFonts w:ascii="Arial" w:hAnsi="Arial" w:cs="Arial"/>
        </w:rPr>
        <w:t xml:space="preserve">el </w:t>
      </w:r>
      <w:r w:rsidR="00D95837" w:rsidRPr="001F21A7">
        <w:rPr>
          <w:rFonts w:ascii="Arial" w:hAnsi="Arial" w:cs="Arial"/>
        </w:rPr>
        <w:t>09 de febrero</w:t>
      </w:r>
      <w:r w:rsidR="002B34B6" w:rsidRPr="001F21A7">
        <w:rPr>
          <w:rFonts w:ascii="Arial" w:hAnsi="Arial" w:cs="Arial"/>
        </w:rPr>
        <w:t xml:space="preserve"> de 2023</w:t>
      </w:r>
      <w:r w:rsidR="00E20B33" w:rsidRPr="001F21A7">
        <w:rPr>
          <w:rFonts w:ascii="Arial" w:hAnsi="Arial" w:cs="Arial"/>
        </w:rPr>
        <w:t xml:space="preserve"> por el Juzgado </w:t>
      </w:r>
      <w:r w:rsidR="00D95837" w:rsidRPr="001F21A7">
        <w:rPr>
          <w:rFonts w:ascii="Arial" w:hAnsi="Arial" w:cs="Arial"/>
        </w:rPr>
        <w:t>L</w:t>
      </w:r>
      <w:r w:rsidR="00F96B06" w:rsidRPr="001F21A7">
        <w:rPr>
          <w:rFonts w:ascii="Arial" w:hAnsi="Arial" w:cs="Arial"/>
        </w:rPr>
        <w:t xml:space="preserve">aboral del Circuito de </w:t>
      </w:r>
      <w:r w:rsidR="00D95837" w:rsidRPr="001F21A7">
        <w:rPr>
          <w:rFonts w:ascii="Arial" w:hAnsi="Arial" w:cs="Arial"/>
        </w:rPr>
        <w:t>Dosquebradas</w:t>
      </w:r>
      <w:r w:rsidR="009E5133" w:rsidRPr="001F21A7">
        <w:rPr>
          <w:rFonts w:ascii="Arial" w:hAnsi="Arial" w:cs="Arial"/>
        </w:rPr>
        <w:t>, Risaralda</w:t>
      </w:r>
      <w:r w:rsidR="00E20B33" w:rsidRPr="001F21A7">
        <w:rPr>
          <w:rFonts w:ascii="Arial" w:hAnsi="Arial" w:cs="Arial"/>
        </w:rPr>
        <w:t xml:space="preserve">, dentro del proceso </w:t>
      </w:r>
      <w:r w:rsidR="00EB5D90">
        <w:rPr>
          <w:rFonts w:ascii="Arial" w:hAnsi="Arial" w:cs="Arial"/>
          <w:b/>
        </w:rPr>
        <w:t xml:space="preserve">ejecutivo laboral </w:t>
      </w:r>
      <w:r w:rsidR="00757115" w:rsidRPr="001F21A7">
        <w:rPr>
          <w:rFonts w:ascii="Arial" w:hAnsi="Arial" w:cs="Arial"/>
        </w:rPr>
        <w:t xml:space="preserve">promovido por </w:t>
      </w:r>
      <w:r w:rsidR="00D95837" w:rsidRPr="00EB5D90">
        <w:rPr>
          <w:rFonts w:ascii="Arial" w:hAnsi="Arial" w:cs="Arial"/>
          <w:b/>
        </w:rPr>
        <w:t xml:space="preserve">Hisley </w:t>
      </w:r>
      <w:r w:rsidR="00D95837" w:rsidRPr="00EB5D90">
        <w:rPr>
          <w:rFonts w:ascii="Arial" w:hAnsi="Arial" w:cs="Arial"/>
          <w:b/>
        </w:rPr>
        <w:lastRenderedPageBreak/>
        <w:t>Patricia Loaiza Martínez</w:t>
      </w:r>
      <w:r w:rsidR="00D95837" w:rsidRPr="001F21A7">
        <w:rPr>
          <w:rFonts w:ascii="Arial" w:hAnsi="Arial" w:cs="Arial"/>
        </w:rPr>
        <w:t xml:space="preserve"> y </w:t>
      </w:r>
      <w:r w:rsidR="00D95837" w:rsidRPr="00EB5D90">
        <w:rPr>
          <w:rFonts w:ascii="Arial" w:hAnsi="Arial" w:cs="Arial"/>
          <w:b/>
        </w:rPr>
        <w:t>Omar Flórez Morales</w:t>
      </w:r>
      <w:r w:rsidR="00D95837" w:rsidRPr="001F21A7">
        <w:rPr>
          <w:rFonts w:ascii="Arial" w:hAnsi="Arial" w:cs="Arial"/>
        </w:rPr>
        <w:t xml:space="preserve"> contra </w:t>
      </w:r>
      <w:r w:rsidR="00D95837" w:rsidRPr="00EB5D90">
        <w:rPr>
          <w:rFonts w:ascii="Arial" w:hAnsi="Arial" w:cs="Arial"/>
          <w:b/>
        </w:rPr>
        <w:t>Alejandra María López Jaramillo</w:t>
      </w:r>
      <w:r w:rsidR="00D95837" w:rsidRPr="001F21A7">
        <w:rPr>
          <w:rFonts w:ascii="Arial" w:hAnsi="Arial" w:cs="Arial"/>
        </w:rPr>
        <w:t>.</w:t>
      </w:r>
    </w:p>
    <w:p w14:paraId="79B93062" w14:textId="24F3A481" w:rsidR="420DDE70" w:rsidRPr="001F21A7" w:rsidRDefault="420DDE70" w:rsidP="001F21A7">
      <w:pPr>
        <w:spacing w:line="276" w:lineRule="auto"/>
        <w:jc w:val="both"/>
        <w:rPr>
          <w:rFonts w:ascii="Arial" w:hAnsi="Arial" w:cs="Arial"/>
        </w:rPr>
      </w:pPr>
    </w:p>
    <w:p w14:paraId="3E68F6A2" w14:textId="77777777" w:rsidR="00E20B33" w:rsidRPr="001F21A7" w:rsidRDefault="00E20B33" w:rsidP="001F21A7">
      <w:pPr>
        <w:spacing w:line="276" w:lineRule="auto"/>
        <w:ind w:firstLine="851"/>
        <w:jc w:val="center"/>
        <w:rPr>
          <w:rFonts w:ascii="Arial" w:hAnsi="Arial" w:cs="Arial"/>
          <w:b/>
          <w:lang w:val="es-ES"/>
        </w:rPr>
      </w:pPr>
      <w:r w:rsidRPr="001F21A7">
        <w:rPr>
          <w:rFonts w:ascii="Arial" w:hAnsi="Arial" w:cs="Arial"/>
          <w:b/>
          <w:lang w:val="es-ES"/>
        </w:rPr>
        <w:t>ANTECEDENTES</w:t>
      </w:r>
    </w:p>
    <w:p w14:paraId="5BCA6AE8" w14:textId="77777777" w:rsidR="00E20B33" w:rsidRPr="001F21A7" w:rsidRDefault="00E20B33" w:rsidP="001F21A7">
      <w:pPr>
        <w:autoSpaceDE w:val="0"/>
        <w:autoSpaceDN w:val="0"/>
        <w:adjustRightInd w:val="0"/>
        <w:spacing w:line="276" w:lineRule="auto"/>
        <w:jc w:val="center"/>
        <w:rPr>
          <w:rFonts w:ascii="Arial" w:hAnsi="Arial" w:cs="Arial"/>
          <w:b/>
          <w:lang w:val="es-ES"/>
        </w:rPr>
      </w:pPr>
    </w:p>
    <w:p w14:paraId="7F74401C" w14:textId="77777777" w:rsidR="00E20B33" w:rsidRPr="001F21A7" w:rsidRDefault="00E20B33" w:rsidP="001F21A7">
      <w:pPr>
        <w:spacing w:line="276" w:lineRule="auto"/>
        <w:jc w:val="both"/>
        <w:rPr>
          <w:rFonts w:ascii="Arial" w:hAnsi="Arial" w:cs="Arial"/>
          <w:b/>
        </w:rPr>
      </w:pPr>
      <w:r w:rsidRPr="001F21A7">
        <w:rPr>
          <w:rFonts w:ascii="Arial" w:hAnsi="Arial" w:cs="Arial"/>
          <w:b/>
        </w:rPr>
        <w:t>1. Crónica procesal</w:t>
      </w:r>
    </w:p>
    <w:p w14:paraId="29CC7FB7" w14:textId="77777777" w:rsidR="00E20B33" w:rsidRPr="001F21A7" w:rsidRDefault="00E20B33" w:rsidP="001F21A7">
      <w:pPr>
        <w:spacing w:line="276" w:lineRule="auto"/>
        <w:jc w:val="both"/>
        <w:rPr>
          <w:rFonts w:ascii="Arial" w:hAnsi="Arial" w:cs="Arial"/>
        </w:rPr>
      </w:pPr>
    </w:p>
    <w:p w14:paraId="3CCA0248" w14:textId="41CF23A8" w:rsidR="003A64A0" w:rsidRPr="001F21A7" w:rsidRDefault="003A64A0" w:rsidP="001F21A7">
      <w:pPr>
        <w:autoSpaceDE w:val="0"/>
        <w:autoSpaceDN w:val="0"/>
        <w:adjustRightInd w:val="0"/>
        <w:spacing w:line="276" w:lineRule="auto"/>
        <w:jc w:val="both"/>
        <w:rPr>
          <w:rFonts w:ascii="Arial" w:hAnsi="Arial" w:cs="Arial"/>
        </w:rPr>
      </w:pPr>
      <w:r w:rsidRPr="001F21A7">
        <w:rPr>
          <w:rFonts w:ascii="Arial" w:hAnsi="Arial" w:cs="Arial"/>
        </w:rPr>
        <w:t xml:space="preserve">El 12/06/2009 Hisley Patricia Loaiza Martínez y Omar Flórez Morales pretendieron que se librara mandamiento de pago contra Alejandra María López Jaramillo por los conceptos reconocidos en la sentencia proferida el 28/11/2008 del Juzgado Laboral del Circuito de Dosquebradas (archivo 30, exp. digital); decisión que fue confirmada por esta Sala en sentencia del 20/03/2009 (archivo 09, exp. Digital). </w:t>
      </w:r>
    </w:p>
    <w:p w14:paraId="4297BE65" w14:textId="7CCA09E3" w:rsidR="003A64A0" w:rsidRPr="001F21A7" w:rsidRDefault="003A64A0" w:rsidP="001F21A7">
      <w:pPr>
        <w:autoSpaceDE w:val="0"/>
        <w:autoSpaceDN w:val="0"/>
        <w:adjustRightInd w:val="0"/>
        <w:spacing w:line="276" w:lineRule="auto"/>
        <w:jc w:val="both"/>
        <w:rPr>
          <w:rFonts w:ascii="Arial" w:hAnsi="Arial" w:cs="Arial"/>
        </w:rPr>
      </w:pPr>
    </w:p>
    <w:p w14:paraId="6DEA4758" w14:textId="119B0587" w:rsidR="003A64A0" w:rsidRPr="001F21A7" w:rsidRDefault="003A64A0" w:rsidP="001F21A7">
      <w:pPr>
        <w:autoSpaceDE w:val="0"/>
        <w:autoSpaceDN w:val="0"/>
        <w:adjustRightInd w:val="0"/>
        <w:spacing w:line="276" w:lineRule="auto"/>
        <w:jc w:val="both"/>
        <w:rPr>
          <w:rFonts w:ascii="Arial" w:hAnsi="Arial" w:cs="Arial"/>
        </w:rPr>
      </w:pPr>
      <w:r w:rsidRPr="001F21A7">
        <w:rPr>
          <w:rFonts w:ascii="Arial" w:hAnsi="Arial" w:cs="Arial"/>
        </w:rPr>
        <w:t>El 13/07/2009 se notificó por estados el auto que libró mandamiento ejecutivo conforme se desprende del sello de secretaría (archivo 03, c. ejecutivo, exp. Digital).</w:t>
      </w:r>
    </w:p>
    <w:p w14:paraId="5CEA2B53" w14:textId="1E8CF428" w:rsidR="003A64A0" w:rsidRPr="001F21A7" w:rsidRDefault="003A64A0" w:rsidP="001F21A7">
      <w:pPr>
        <w:autoSpaceDE w:val="0"/>
        <w:autoSpaceDN w:val="0"/>
        <w:adjustRightInd w:val="0"/>
        <w:spacing w:line="276" w:lineRule="auto"/>
        <w:jc w:val="both"/>
        <w:rPr>
          <w:rFonts w:ascii="Arial" w:hAnsi="Arial" w:cs="Arial"/>
        </w:rPr>
      </w:pPr>
    </w:p>
    <w:p w14:paraId="207F76AE" w14:textId="259A0AD9" w:rsidR="003A64A0" w:rsidRPr="001F21A7" w:rsidRDefault="003A64A0" w:rsidP="001F21A7">
      <w:pPr>
        <w:autoSpaceDE w:val="0"/>
        <w:autoSpaceDN w:val="0"/>
        <w:adjustRightInd w:val="0"/>
        <w:spacing w:line="276" w:lineRule="auto"/>
        <w:jc w:val="both"/>
        <w:rPr>
          <w:rFonts w:ascii="Arial" w:hAnsi="Arial" w:cs="Arial"/>
        </w:rPr>
      </w:pPr>
      <w:r w:rsidRPr="001F21A7">
        <w:rPr>
          <w:rFonts w:ascii="Arial" w:hAnsi="Arial" w:cs="Arial"/>
        </w:rPr>
        <w:t xml:space="preserve">El 17/11/2009 se solicitó el decreto de medidas cautelares que se concedieron en auto del 23/11/2009 (archivo 04, </w:t>
      </w:r>
      <w:r w:rsidR="001F5931" w:rsidRPr="001F21A7">
        <w:rPr>
          <w:rFonts w:ascii="Arial" w:hAnsi="Arial" w:cs="Arial"/>
        </w:rPr>
        <w:t>ibídem</w:t>
      </w:r>
      <w:r w:rsidRPr="001F21A7">
        <w:rPr>
          <w:rFonts w:ascii="Arial" w:hAnsi="Arial" w:cs="Arial"/>
        </w:rPr>
        <w:t xml:space="preserve">). Decisión notificada el día siguiente (archivo 05, </w:t>
      </w:r>
      <w:r w:rsidR="001F5931" w:rsidRPr="001F21A7">
        <w:rPr>
          <w:rFonts w:ascii="Arial" w:hAnsi="Arial" w:cs="Arial"/>
        </w:rPr>
        <w:t>ibídem</w:t>
      </w:r>
      <w:r w:rsidRPr="001F21A7">
        <w:rPr>
          <w:rFonts w:ascii="Arial" w:hAnsi="Arial" w:cs="Arial"/>
        </w:rPr>
        <w:t>).</w:t>
      </w:r>
    </w:p>
    <w:p w14:paraId="7DFD81B6" w14:textId="016613AA" w:rsidR="003A64A0" w:rsidRPr="001F21A7" w:rsidRDefault="003A64A0" w:rsidP="001F21A7">
      <w:pPr>
        <w:autoSpaceDE w:val="0"/>
        <w:autoSpaceDN w:val="0"/>
        <w:adjustRightInd w:val="0"/>
        <w:spacing w:line="276" w:lineRule="auto"/>
        <w:jc w:val="both"/>
        <w:rPr>
          <w:rFonts w:ascii="Arial" w:hAnsi="Arial" w:cs="Arial"/>
        </w:rPr>
      </w:pPr>
    </w:p>
    <w:p w14:paraId="440D0DA4" w14:textId="36306E80" w:rsidR="003A64A0" w:rsidRPr="001F21A7" w:rsidRDefault="003A64A0" w:rsidP="001F21A7">
      <w:pPr>
        <w:autoSpaceDE w:val="0"/>
        <w:autoSpaceDN w:val="0"/>
        <w:adjustRightInd w:val="0"/>
        <w:spacing w:line="276" w:lineRule="auto"/>
        <w:jc w:val="both"/>
        <w:rPr>
          <w:rFonts w:ascii="Arial" w:hAnsi="Arial" w:cs="Arial"/>
        </w:rPr>
      </w:pPr>
      <w:r w:rsidRPr="001F21A7">
        <w:rPr>
          <w:rFonts w:ascii="Arial" w:hAnsi="Arial" w:cs="Arial"/>
        </w:rPr>
        <w:t xml:space="preserve">Casi una década más tarde, esto es, el 12/11/2018 los ejecutantes volvieron a solicitar las medidas cautelares (archivo 15, </w:t>
      </w:r>
      <w:r w:rsidR="001F5931" w:rsidRPr="001F21A7">
        <w:rPr>
          <w:rFonts w:ascii="Arial" w:hAnsi="Arial" w:cs="Arial"/>
        </w:rPr>
        <w:t>ibídem</w:t>
      </w:r>
      <w:r w:rsidRPr="001F21A7">
        <w:rPr>
          <w:rFonts w:ascii="Arial" w:hAnsi="Arial" w:cs="Arial"/>
        </w:rPr>
        <w:t xml:space="preserve">) que se decretaron en auto del 19/09/2018, notificado el día siguiente (archivo 16, </w:t>
      </w:r>
      <w:r w:rsidR="001F5931" w:rsidRPr="001F21A7">
        <w:rPr>
          <w:rFonts w:ascii="Arial" w:hAnsi="Arial" w:cs="Arial"/>
        </w:rPr>
        <w:t>ibídem</w:t>
      </w:r>
      <w:r w:rsidRPr="001F21A7">
        <w:rPr>
          <w:rFonts w:ascii="Arial" w:hAnsi="Arial" w:cs="Arial"/>
        </w:rPr>
        <w:t>).</w:t>
      </w:r>
    </w:p>
    <w:p w14:paraId="79DE0025" w14:textId="54B87DB5" w:rsidR="003A64A0" w:rsidRPr="001F21A7" w:rsidRDefault="003A64A0" w:rsidP="001F21A7">
      <w:pPr>
        <w:autoSpaceDE w:val="0"/>
        <w:autoSpaceDN w:val="0"/>
        <w:adjustRightInd w:val="0"/>
        <w:spacing w:line="276" w:lineRule="auto"/>
        <w:jc w:val="both"/>
        <w:rPr>
          <w:rFonts w:ascii="Arial" w:hAnsi="Arial" w:cs="Arial"/>
        </w:rPr>
      </w:pPr>
    </w:p>
    <w:p w14:paraId="44BB6E48" w14:textId="2155E13C" w:rsidR="003A64A0" w:rsidRPr="001F21A7" w:rsidRDefault="003A64A0" w:rsidP="001F21A7">
      <w:pPr>
        <w:autoSpaceDE w:val="0"/>
        <w:autoSpaceDN w:val="0"/>
        <w:adjustRightInd w:val="0"/>
        <w:spacing w:line="276" w:lineRule="auto"/>
        <w:jc w:val="both"/>
        <w:rPr>
          <w:rFonts w:ascii="Arial" w:hAnsi="Arial" w:cs="Arial"/>
        </w:rPr>
      </w:pPr>
      <w:r w:rsidRPr="001F21A7">
        <w:rPr>
          <w:rFonts w:ascii="Arial" w:hAnsi="Arial" w:cs="Arial"/>
        </w:rPr>
        <w:t xml:space="preserve">Dos años más tarde, el 19/10/2020 nuevamente el ejecutante solicitó la aplicación de medidas cautelares sobre un bien inmueble de propiedad de la demandada (archivo 18, </w:t>
      </w:r>
      <w:r w:rsidR="001F5931" w:rsidRPr="001F21A7">
        <w:rPr>
          <w:rFonts w:ascii="Arial" w:hAnsi="Arial" w:cs="Arial"/>
        </w:rPr>
        <w:t>ibídem</w:t>
      </w:r>
      <w:r w:rsidRPr="001F21A7">
        <w:rPr>
          <w:rFonts w:ascii="Arial" w:hAnsi="Arial" w:cs="Arial"/>
        </w:rPr>
        <w:t xml:space="preserve">), que se decretaron en auto del 09/02/2021 notificado el día siguiente (archivo 19, </w:t>
      </w:r>
      <w:r w:rsidR="001F5931" w:rsidRPr="001F21A7">
        <w:rPr>
          <w:rFonts w:ascii="Arial" w:hAnsi="Arial" w:cs="Arial"/>
        </w:rPr>
        <w:t>ibídem</w:t>
      </w:r>
      <w:r w:rsidRPr="001F21A7">
        <w:rPr>
          <w:rFonts w:ascii="Arial" w:hAnsi="Arial" w:cs="Arial"/>
        </w:rPr>
        <w:t>).</w:t>
      </w:r>
    </w:p>
    <w:p w14:paraId="48709245" w14:textId="21A838BC" w:rsidR="003A64A0" w:rsidRPr="001F21A7" w:rsidRDefault="003A64A0" w:rsidP="001F21A7">
      <w:pPr>
        <w:autoSpaceDE w:val="0"/>
        <w:autoSpaceDN w:val="0"/>
        <w:adjustRightInd w:val="0"/>
        <w:spacing w:line="276" w:lineRule="auto"/>
        <w:jc w:val="both"/>
        <w:rPr>
          <w:rFonts w:ascii="Arial" w:hAnsi="Arial" w:cs="Arial"/>
        </w:rPr>
      </w:pPr>
    </w:p>
    <w:p w14:paraId="427BFF82" w14:textId="455F17FB" w:rsidR="002B34B6" w:rsidRPr="001F21A7" w:rsidRDefault="003A64A0" w:rsidP="001F21A7">
      <w:pPr>
        <w:autoSpaceDE w:val="0"/>
        <w:autoSpaceDN w:val="0"/>
        <w:adjustRightInd w:val="0"/>
        <w:spacing w:line="276" w:lineRule="auto"/>
        <w:jc w:val="both"/>
        <w:rPr>
          <w:rFonts w:ascii="Arial" w:hAnsi="Arial" w:cs="Arial"/>
        </w:rPr>
      </w:pPr>
      <w:r w:rsidRPr="001F21A7">
        <w:rPr>
          <w:rFonts w:ascii="Arial" w:hAnsi="Arial" w:cs="Arial"/>
        </w:rPr>
        <w:t xml:space="preserve">El 26/03/2021 la ejecutada solicitó acceso al expediente (archivo 21, </w:t>
      </w:r>
      <w:r w:rsidR="001F5931" w:rsidRPr="001F21A7">
        <w:rPr>
          <w:rFonts w:ascii="Arial" w:hAnsi="Arial" w:cs="Arial"/>
        </w:rPr>
        <w:t>ibídem</w:t>
      </w:r>
      <w:r w:rsidRPr="001F21A7">
        <w:rPr>
          <w:rFonts w:ascii="Arial" w:hAnsi="Arial" w:cs="Arial"/>
        </w:rPr>
        <w:t xml:space="preserve">) y el 13/05/2021 solicitó su notificación (archivo 22, </w:t>
      </w:r>
      <w:r w:rsidR="001F5931" w:rsidRPr="001F21A7">
        <w:rPr>
          <w:rFonts w:ascii="Arial" w:hAnsi="Arial" w:cs="Arial"/>
        </w:rPr>
        <w:t>ibídem</w:t>
      </w:r>
      <w:r w:rsidRPr="001F21A7">
        <w:rPr>
          <w:rFonts w:ascii="Arial" w:hAnsi="Arial" w:cs="Arial"/>
        </w:rPr>
        <w:t xml:space="preserve">); de ahí que el 25/10/2021 se dio por notificada por conducta concluyente, pero en dicha decisión se </w:t>
      </w:r>
      <w:r w:rsidR="00F01898" w:rsidRPr="001F21A7">
        <w:rPr>
          <w:rFonts w:ascii="Arial" w:hAnsi="Arial" w:cs="Arial"/>
        </w:rPr>
        <w:t xml:space="preserve">afirmó </w:t>
      </w:r>
      <w:r w:rsidRPr="001F21A7">
        <w:rPr>
          <w:rFonts w:ascii="Arial" w:hAnsi="Arial" w:cs="Arial"/>
        </w:rPr>
        <w:t xml:space="preserve">que aun cuando el auto que libró el mandamiento de pago se ordenó su notificación por estado, ello no aconteció (archivo 23, </w:t>
      </w:r>
      <w:r w:rsidR="001F5931" w:rsidRPr="001F21A7">
        <w:rPr>
          <w:rFonts w:ascii="Arial" w:hAnsi="Arial" w:cs="Arial"/>
        </w:rPr>
        <w:t>ibídem</w:t>
      </w:r>
      <w:r w:rsidRPr="001F21A7">
        <w:rPr>
          <w:rFonts w:ascii="Arial" w:hAnsi="Arial" w:cs="Arial"/>
        </w:rPr>
        <w:t>).</w:t>
      </w:r>
      <w:r w:rsidR="00F01898" w:rsidRPr="001F21A7">
        <w:rPr>
          <w:rFonts w:ascii="Arial" w:hAnsi="Arial" w:cs="Arial"/>
        </w:rPr>
        <w:t xml:space="preserve"> En consecuencia, dentro del término legal la ejecutada presentó excepciones contra el mandamiento ejecutivo, dentro de la que se encuentra la prescripción (archivo 24, </w:t>
      </w:r>
      <w:r w:rsidR="001F5931" w:rsidRPr="001F21A7">
        <w:rPr>
          <w:rFonts w:ascii="Arial" w:hAnsi="Arial" w:cs="Arial"/>
        </w:rPr>
        <w:t>ibídem</w:t>
      </w:r>
      <w:r w:rsidR="00F01898" w:rsidRPr="001F21A7">
        <w:rPr>
          <w:rFonts w:ascii="Arial" w:hAnsi="Arial" w:cs="Arial"/>
        </w:rPr>
        <w:t>).</w:t>
      </w:r>
    </w:p>
    <w:p w14:paraId="11364E48" w14:textId="77777777" w:rsidR="00C94138" w:rsidRPr="001F21A7" w:rsidRDefault="00C94138" w:rsidP="001F21A7">
      <w:pPr>
        <w:spacing w:line="276" w:lineRule="auto"/>
        <w:rPr>
          <w:rFonts w:ascii="Arial" w:hAnsi="Arial" w:cs="Arial"/>
        </w:rPr>
      </w:pPr>
    </w:p>
    <w:p w14:paraId="68466402" w14:textId="243D203C" w:rsidR="00C35F95" w:rsidRPr="001F21A7" w:rsidRDefault="00C35F95" w:rsidP="001F21A7">
      <w:pPr>
        <w:autoSpaceDE w:val="0"/>
        <w:autoSpaceDN w:val="0"/>
        <w:adjustRightInd w:val="0"/>
        <w:spacing w:line="276" w:lineRule="auto"/>
        <w:jc w:val="both"/>
        <w:rPr>
          <w:rFonts w:ascii="Arial" w:hAnsi="Arial" w:cs="Arial"/>
        </w:rPr>
      </w:pPr>
      <w:r w:rsidRPr="001F21A7">
        <w:rPr>
          <w:rFonts w:ascii="Arial" w:hAnsi="Arial" w:cs="Arial"/>
          <w:b/>
        </w:rPr>
        <w:t>2.2 Auto recurrido</w:t>
      </w:r>
      <w:r w:rsidRPr="001F21A7">
        <w:rPr>
          <w:rFonts w:ascii="Arial" w:hAnsi="Arial" w:cs="Arial"/>
        </w:rPr>
        <w:t xml:space="preserve"> </w:t>
      </w:r>
    </w:p>
    <w:p w14:paraId="580A58D7" w14:textId="1FFF0F0B" w:rsidR="00C94138" w:rsidRPr="001F21A7" w:rsidRDefault="00C94138" w:rsidP="001F21A7">
      <w:pPr>
        <w:autoSpaceDE w:val="0"/>
        <w:autoSpaceDN w:val="0"/>
        <w:adjustRightInd w:val="0"/>
        <w:spacing w:line="276" w:lineRule="auto"/>
        <w:jc w:val="both"/>
        <w:rPr>
          <w:rFonts w:ascii="Arial" w:hAnsi="Arial" w:cs="Arial"/>
        </w:rPr>
      </w:pPr>
    </w:p>
    <w:p w14:paraId="67A44FB3" w14:textId="2FD98900" w:rsidR="00F01898" w:rsidRPr="001F21A7" w:rsidRDefault="00F01898" w:rsidP="001F21A7">
      <w:pPr>
        <w:autoSpaceDE w:val="0"/>
        <w:autoSpaceDN w:val="0"/>
        <w:adjustRightInd w:val="0"/>
        <w:spacing w:line="276" w:lineRule="auto"/>
        <w:jc w:val="both"/>
        <w:rPr>
          <w:rFonts w:ascii="Arial" w:hAnsi="Arial" w:cs="Arial"/>
        </w:rPr>
      </w:pPr>
      <w:r w:rsidRPr="001F21A7">
        <w:rPr>
          <w:rFonts w:ascii="Arial" w:hAnsi="Arial" w:cs="Arial"/>
        </w:rPr>
        <w:t>El 09/02/2023 e</w:t>
      </w:r>
      <w:r w:rsidR="00C94138" w:rsidRPr="001F21A7">
        <w:rPr>
          <w:rFonts w:ascii="Arial" w:hAnsi="Arial" w:cs="Arial"/>
        </w:rPr>
        <w:t xml:space="preserve">l juzgado de primer grado </w:t>
      </w:r>
      <w:r w:rsidRPr="001F21A7">
        <w:rPr>
          <w:rFonts w:ascii="Arial" w:hAnsi="Arial" w:cs="Arial"/>
        </w:rPr>
        <w:t xml:space="preserve">declaró no probada la excepción de prescripción y ordenó continuar con la ejecución, para lo cual solicitó la presentación de la liquidación de crédito (archivo 36, </w:t>
      </w:r>
      <w:r w:rsidR="001F5931" w:rsidRPr="001F21A7">
        <w:rPr>
          <w:rFonts w:ascii="Arial" w:hAnsi="Arial" w:cs="Arial"/>
        </w:rPr>
        <w:t>ibídem</w:t>
      </w:r>
      <w:r w:rsidRPr="001F21A7">
        <w:rPr>
          <w:rFonts w:ascii="Arial" w:hAnsi="Arial" w:cs="Arial"/>
        </w:rPr>
        <w:t>).</w:t>
      </w:r>
    </w:p>
    <w:p w14:paraId="3C9D17A3" w14:textId="2C9DA93F" w:rsidR="008A1615" w:rsidRPr="001F21A7" w:rsidRDefault="008A1615" w:rsidP="001F21A7">
      <w:pPr>
        <w:autoSpaceDE w:val="0"/>
        <w:autoSpaceDN w:val="0"/>
        <w:adjustRightInd w:val="0"/>
        <w:spacing w:line="276" w:lineRule="auto"/>
        <w:jc w:val="both"/>
        <w:rPr>
          <w:rFonts w:ascii="Arial" w:hAnsi="Arial" w:cs="Arial"/>
        </w:rPr>
      </w:pPr>
    </w:p>
    <w:p w14:paraId="42F64002" w14:textId="5EDAF9DB" w:rsidR="0014677B" w:rsidRPr="001F21A7" w:rsidRDefault="0014677B" w:rsidP="001F21A7">
      <w:pPr>
        <w:autoSpaceDE w:val="0"/>
        <w:autoSpaceDN w:val="0"/>
        <w:adjustRightInd w:val="0"/>
        <w:spacing w:line="276" w:lineRule="auto"/>
        <w:jc w:val="both"/>
        <w:rPr>
          <w:rFonts w:ascii="Arial" w:hAnsi="Arial" w:cs="Arial"/>
        </w:rPr>
      </w:pPr>
      <w:r w:rsidRPr="001F21A7">
        <w:rPr>
          <w:rFonts w:ascii="Arial" w:hAnsi="Arial" w:cs="Arial"/>
        </w:rPr>
        <w:t>Como fundamento de dicha determinación concluyó que en la medida que dentro del proceso ordinario laboral la decisión de segundo grado se produjo el 20/03/2009, y la solicitud de ejecución se presentó el 12/06/2009, entonces debía ser notificada por estados judiciales. Así, explicó que el 10/07/2009 se colgó el estado judicial que daba cuenta de la citada notificación, pero que el mismo no tuvo efectos notificatorios</w:t>
      </w:r>
      <w:r w:rsidR="3F094B6D" w:rsidRPr="001F21A7">
        <w:rPr>
          <w:rFonts w:ascii="Arial" w:hAnsi="Arial" w:cs="Arial"/>
        </w:rPr>
        <w:t>,</w:t>
      </w:r>
      <w:r w:rsidRPr="001F21A7">
        <w:rPr>
          <w:rFonts w:ascii="Arial" w:hAnsi="Arial" w:cs="Arial"/>
        </w:rPr>
        <w:t xml:space="preserve"> porque el radicado fue escrito erróneamente y no se incluyó la ejecutada, máxime que </w:t>
      </w:r>
      <w:r w:rsidRPr="001F21A7">
        <w:rPr>
          <w:rFonts w:ascii="Arial" w:hAnsi="Arial" w:cs="Arial"/>
        </w:rPr>
        <w:lastRenderedPageBreak/>
        <w:t>los autos posteriores a través de los cuales se decidieron las solicitudes de medidas cautelares tampoco notificaron el mandamiento de pago y en el estado tampoco se incluía el nombre de la ejecutada. Finalmente indicó que la notificación ocurrió por conducta concluyente el 25/10/2021.</w:t>
      </w:r>
    </w:p>
    <w:p w14:paraId="71D494BD" w14:textId="035AFBAB" w:rsidR="0014677B" w:rsidRPr="001F21A7" w:rsidRDefault="0014677B" w:rsidP="001F21A7">
      <w:pPr>
        <w:autoSpaceDE w:val="0"/>
        <w:autoSpaceDN w:val="0"/>
        <w:adjustRightInd w:val="0"/>
        <w:spacing w:line="276" w:lineRule="auto"/>
        <w:jc w:val="both"/>
        <w:rPr>
          <w:rFonts w:ascii="Arial" w:hAnsi="Arial" w:cs="Arial"/>
        </w:rPr>
      </w:pPr>
    </w:p>
    <w:p w14:paraId="54757CE7" w14:textId="59D5374C" w:rsidR="0014677B" w:rsidRPr="001F21A7" w:rsidRDefault="0014677B" w:rsidP="001F21A7">
      <w:pPr>
        <w:autoSpaceDE w:val="0"/>
        <w:autoSpaceDN w:val="0"/>
        <w:adjustRightInd w:val="0"/>
        <w:spacing w:line="276" w:lineRule="auto"/>
        <w:jc w:val="both"/>
        <w:rPr>
          <w:rFonts w:ascii="Arial" w:hAnsi="Arial" w:cs="Arial"/>
        </w:rPr>
      </w:pPr>
      <w:r w:rsidRPr="001F21A7">
        <w:rPr>
          <w:rFonts w:ascii="Arial" w:hAnsi="Arial" w:cs="Arial"/>
        </w:rPr>
        <w:t xml:space="preserve">Derrotero del que concluyó la a quo que la mora en la notificación de la ejecutada provenía de un yerro de la secretaría del despacho al realizar indebidamente la notificación del mandamiento de pago, de ahí que no podía trasladarse al ejecutante la carga de soportar las omisiones procesales del despacho de primer grado, máxime que pesaba una confianza legítima sobre la legalidad del procedimiento y por ello, no prosperaba la excepción de prescripción. </w:t>
      </w:r>
    </w:p>
    <w:p w14:paraId="2016DC80" w14:textId="77777777" w:rsidR="00C94138" w:rsidRPr="001F21A7" w:rsidRDefault="00C94138" w:rsidP="001F21A7">
      <w:pPr>
        <w:spacing w:line="276" w:lineRule="auto"/>
        <w:rPr>
          <w:rFonts w:ascii="Arial" w:hAnsi="Arial" w:cs="Arial"/>
        </w:rPr>
      </w:pPr>
    </w:p>
    <w:p w14:paraId="0373506D" w14:textId="37437273" w:rsidR="00C35F95" w:rsidRPr="001F21A7" w:rsidRDefault="00C35F95" w:rsidP="001F21A7">
      <w:pPr>
        <w:autoSpaceDE w:val="0"/>
        <w:autoSpaceDN w:val="0"/>
        <w:adjustRightInd w:val="0"/>
        <w:spacing w:line="276" w:lineRule="auto"/>
        <w:jc w:val="both"/>
        <w:rPr>
          <w:rFonts w:ascii="Arial" w:hAnsi="Arial" w:cs="Arial"/>
          <w:b/>
          <w:lang w:val="es-ES"/>
        </w:rPr>
      </w:pPr>
      <w:r w:rsidRPr="001F21A7">
        <w:rPr>
          <w:rFonts w:ascii="Arial" w:hAnsi="Arial" w:cs="Arial"/>
          <w:b/>
          <w:lang w:val="es-ES"/>
        </w:rPr>
        <w:t>3. Síntesis del recurso</w:t>
      </w:r>
    </w:p>
    <w:p w14:paraId="597548B6" w14:textId="37DD6A39" w:rsidR="00C35F95" w:rsidRPr="001F21A7" w:rsidRDefault="00C35F95" w:rsidP="001F21A7">
      <w:pPr>
        <w:autoSpaceDE w:val="0"/>
        <w:autoSpaceDN w:val="0"/>
        <w:adjustRightInd w:val="0"/>
        <w:spacing w:line="276" w:lineRule="auto"/>
        <w:jc w:val="both"/>
        <w:rPr>
          <w:rFonts w:ascii="Arial" w:hAnsi="Arial" w:cs="Arial"/>
        </w:rPr>
      </w:pPr>
    </w:p>
    <w:p w14:paraId="4440DFA7" w14:textId="7FDA42B7" w:rsidR="0014677B" w:rsidRPr="001F21A7" w:rsidRDefault="23216A24" w:rsidP="001F21A7">
      <w:pPr>
        <w:autoSpaceDE w:val="0"/>
        <w:autoSpaceDN w:val="0"/>
        <w:adjustRightInd w:val="0"/>
        <w:spacing w:line="276" w:lineRule="auto"/>
        <w:jc w:val="both"/>
        <w:rPr>
          <w:rFonts w:ascii="Arial" w:hAnsi="Arial" w:cs="Arial"/>
        </w:rPr>
      </w:pPr>
      <w:r w:rsidRPr="001F21A7">
        <w:rPr>
          <w:rFonts w:ascii="Arial" w:hAnsi="Arial" w:cs="Arial"/>
        </w:rPr>
        <w:t>La ejecutada presentó recurso de apelación contra dicha decisión para lo cual argumentó que un error del juzgado de conocimiento no podía afectar sus intereses, pues la primer</w:t>
      </w:r>
      <w:r w:rsidR="7CB3D0FA" w:rsidRPr="001F21A7">
        <w:rPr>
          <w:rFonts w:ascii="Arial" w:hAnsi="Arial" w:cs="Arial"/>
        </w:rPr>
        <w:t>a</w:t>
      </w:r>
      <w:r w:rsidRPr="001F21A7">
        <w:rPr>
          <w:rFonts w:ascii="Arial" w:hAnsi="Arial" w:cs="Arial"/>
        </w:rPr>
        <w:t xml:space="preserve"> notificación al ejecutado es el acto más importante del proceso y el juzgado reconoció la falta de notificación, de ahí que era la ejecutante quien tenía que prever dichos yerros que solo se advirtieron 12 años después y por ello, la parte ejecutante era quien tenía que verificar los estados e informar de los errores al despacho de primer grado.</w:t>
      </w:r>
    </w:p>
    <w:p w14:paraId="56F0CFCE" w14:textId="6DAFB1EE" w:rsidR="25342D9F" w:rsidRPr="001F21A7" w:rsidRDefault="25342D9F" w:rsidP="001F21A7">
      <w:pPr>
        <w:spacing w:line="276" w:lineRule="auto"/>
        <w:jc w:val="both"/>
        <w:rPr>
          <w:rFonts w:ascii="Arial" w:hAnsi="Arial" w:cs="Arial"/>
          <w:b/>
          <w:bCs/>
        </w:rPr>
      </w:pPr>
    </w:p>
    <w:p w14:paraId="24100FC2" w14:textId="6FD3E909" w:rsidR="76AAEA27" w:rsidRPr="001F21A7" w:rsidRDefault="76AAEA27" w:rsidP="001F21A7">
      <w:pPr>
        <w:spacing w:line="276" w:lineRule="auto"/>
        <w:jc w:val="both"/>
        <w:rPr>
          <w:rFonts w:ascii="Arial" w:hAnsi="Arial" w:cs="Arial"/>
          <w:b/>
          <w:bCs/>
        </w:rPr>
      </w:pPr>
      <w:r w:rsidRPr="001F21A7">
        <w:rPr>
          <w:rFonts w:ascii="Arial" w:hAnsi="Arial" w:cs="Arial"/>
          <w:b/>
          <w:bCs/>
        </w:rPr>
        <w:t>4. Alegatos de conclusión</w:t>
      </w:r>
    </w:p>
    <w:p w14:paraId="7B82C9D6" w14:textId="47826528" w:rsidR="00C35F95" w:rsidRPr="001F21A7" w:rsidRDefault="00C35F95" w:rsidP="001F21A7">
      <w:pPr>
        <w:autoSpaceDE w:val="0"/>
        <w:autoSpaceDN w:val="0"/>
        <w:adjustRightInd w:val="0"/>
        <w:spacing w:line="276" w:lineRule="auto"/>
        <w:jc w:val="both"/>
        <w:rPr>
          <w:rFonts w:ascii="Arial" w:hAnsi="Arial" w:cs="Arial"/>
        </w:rPr>
      </w:pPr>
    </w:p>
    <w:p w14:paraId="651B22EC" w14:textId="08572F65" w:rsidR="35B38D30" w:rsidRPr="001F21A7" w:rsidRDefault="0E09A5C3" w:rsidP="001F21A7">
      <w:pPr>
        <w:spacing w:line="276" w:lineRule="auto"/>
        <w:jc w:val="both"/>
        <w:rPr>
          <w:rFonts w:ascii="Arial" w:hAnsi="Arial" w:cs="Arial"/>
        </w:rPr>
      </w:pPr>
      <w:r w:rsidRPr="001F21A7">
        <w:rPr>
          <w:rFonts w:ascii="Arial" w:hAnsi="Arial" w:cs="Arial"/>
        </w:rPr>
        <w:t xml:space="preserve">Ninguna de las partes presentó alegatos de conclusión. </w:t>
      </w:r>
    </w:p>
    <w:p w14:paraId="30E065CB" w14:textId="13006910" w:rsidR="25342D9F" w:rsidRPr="001F21A7" w:rsidRDefault="25342D9F" w:rsidP="001F21A7">
      <w:pPr>
        <w:spacing w:line="276" w:lineRule="auto"/>
        <w:jc w:val="both"/>
        <w:rPr>
          <w:rFonts w:ascii="Arial" w:hAnsi="Arial" w:cs="Arial"/>
        </w:rPr>
      </w:pPr>
    </w:p>
    <w:p w14:paraId="06297491" w14:textId="77777777" w:rsidR="00E20B33" w:rsidRPr="001F21A7" w:rsidRDefault="65BA2915" w:rsidP="001F21A7">
      <w:pPr>
        <w:autoSpaceDE w:val="0"/>
        <w:autoSpaceDN w:val="0"/>
        <w:adjustRightInd w:val="0"/>
        <w:spacing w:line="276" w:lineRule="auto"/>
        <w:jc w:val="center"/>
        <w:rPr>
          <w:rFonts w:ascii="Arial" w:hAnsi="Arial" w:cs="Arial"/>
          <w:b/>
          <w:lang w:val="es-ES"/>
        </w:rPr>
      </w:pPr>
      <w:r w:rsidRPr="001F21A7">
        <w:rPr>
          <w:rFonts w:ascii="Arial" w:hAnsi="Arial" w:cs="Arial"/>
          <w:b/>
          <w:bCs/>
          <w:lang w:val="es-ES"/>
        </w:rPr>
        <w:t>CONSIDERACIONES</w:t>
      </w:r>
    </w:p>
    <w:p w14:paraId="52A77C04" w14:textId="4FCEAF4C" w:rsidR="0E2B928E" w:rsidRPr="001F21A7" w:rsidRDefault="0E2B928E" w:rsidP="001F21A7">
      <w:pPr>
        <w:spacing w:line="276" w:lineRule="auto"/>
        <w:ind w:firstLine="708"/>
        <w:jc w:val="both"/>
        <w:rPr>
          <w:rFonts w:ascii="Arial" w:hAnsi="Arial" w:cs="Arial"/>
          <w:lang w:val="es-ES"/>
        </w:rPr>
      </w:pPr>
    </w:p>
    <w:p w14:paraId="1143A665" w14:textId="77777777" w:rsidR="00E20B33" w:rsidRPr="001F21A7" w:rsidRDefault="00E20B33" w:rsidP="001F21A7">
      <w:pPr>
        <w:autoSpaceDE w:val="0"/>
        <w:autoSpaceDN w:val="0"/>
        <w:adjustRightInd w:val="0"/>
        <w:spacing w:line="276" w:lineRule="auto"/>
        <w:jc w:val="both"/>
        <w:rPr>
          <w:rFonts w:ascii="Arial" w:hAnsi="Arial" w:cs="Arial"/>
          <w:lang w:val="es-ES"/>
        </w:rPr>
      </w:pPr>
      <w:r w:rsidRPr="001F21A7">
        <w:rPr>
          <w:rFonts w:ascii="Arial" w:hAnsi="Arial" w:cs="Arial"/>
          <w:b/>
          <w:lang w:val="es-ES"/>
        </w:rPr>
        <w:t>1. Problema jurídico</w:t>
      </w:r>
    </w:p>
    <w:p w14:paraId="6B531D45" w14:textId="77777777" w:rsidR="00E20B33" w:rsidRPr="001F21A7" w:rsidRDefault="00E20B33" w:rsidP="001F21A7">
      <w:pPr>
        <w:autoSpaceDE w:val="0"/>
        <w:autoSpaceDN w:val="0"/>
        <w:adjustRightInd w:val="0"/>
        <w:spacing w:line="276" w:lineRule="auto"/>
        <w:jc w:val="both"/>
        <w:rPr>
          <w:rFonts w:ascii="Arial" w:hAnsi="Arial" w:cs="Arial"/>
          <w:lang w:val="es-ES"/>
        </w:rPr>
      </w:pPr>
      <w:r w:rsidRPr="001F21A7">
        <w:rPr>
          <w:rFonts w:ascii="Arial" w:hAnsi="Arial" w:cs="Arial"/>
          <w:lang w:val="es-ES"/>
        </w:rPr>
        <w:t> </w:t>
      </w:r>
    </w:p>
    <w:p w14:paraId="6E96E330" w14:textId="238D6FF6" w:rsidR="00E20B33" w:rsidRPr="001F21A7" w:rsidRDefault="00E20B33" w:rsidP="001F21A7">
      <w:pPr>
        <w:autoSpaceDE w:val="0"/>
        <w:autoSpaceDN w:val="0"/>
        <w:adjustRightInd w:val="0"/>
        <w:spacing w:line="276" w:lineRule="auto"/>
        <w:jc w:val="both"/>
        <w:rPr>
          <w:rFonts w:ascii="Arial" w:hAnsi="Arial" w:cs="Arial"/>
          <w:lang w:val="es-ES"/>
        </w:rPr>
      </w:pPr>
      <w:r w:rsidRPr="001F21A7">
        <w:rPr>
          <w:rFonts w:ascii="Arial" w:hAnsi="Arial" w:cs="Arial"/>
          <w:lang w:val="es-ES"/>
        </w:rPr>
        <w:t xml:space="preserve">Visto el recuento anterior se formula la Sala </w:t>
      </w:r>
      <w:r w:rsidR="0014677B" w:rsidRPr="001F21A7">
        <w:rPr>
          <w:rFonts w:ascii="Arial" w:hAnsi="Arial" w:cs="Arial"/>
          <w:lang w:val="es-ES"/>
        </w:rPr>
        <w:t>el</w:t>
      </w:r>
      <w:r w:rsidRPr="001F21A7">
        <w:rPr>
          <w:rFonts w:ascii="Arial" w:hAnsi="Arial" w:cs="Arial"/>
          <w:lang w:val="es-ES"/>
        </w:rPr>
        <w:t xml:space="preserve"> siguiente:</w:t>
      </w:r>
    </w:p>
    <w:p w14:paraId="2D96A3D9" w14:textId="77777777" w:rsidR="00E20B33" w:rsidRPr="001F21A7" w:rsidRDefault="00E20B33" w:rsidP="001F21A7">
      <w:pPr>
        <w:autoSpaceDE w:val="0"/>
        <w:autoSpaceDN w:val="0"/>
        <w:adjustRightInd w:val="0"/>
        <w:spacing w:line="276" w:lineRule="auto"/>
        <w:jc w:val="both"/>
        <w:rPr>
          <w:rFonts w:ascii="Arial" w:hAnsi="Arial" w:cs="Arial"/>
          <w:lang w:val="es-ES"/>
        </w:rPr>
      </w:pPr>
    </w:p>
    <w:p w14:paraId="02372F1D" w14:textId="0AB8471E" w:rsidR="006D7304" w:rsidRPr="001F21A7" w:rsidRDefault="006D7304" w:rsidP="001F21A7">
      <w:pPr>
        <w:spacing w:line="276" w:lineRule="auto"/>
        <w:jc w:val="both"/>
        <w:rPr>
          <w:rFonts w:ascii="Arial" w:hAnsi="Arial" w:cs="Arial"/>
        </w:rPr>
      </w:pPr>
      <w:r w:rsidRPr="001F21A7">
        <w:rPr>
          <w:rFonts w:ascii="Arial" w:hAnsi="Arial" w:cs="Arial"/>
        </w:rPr>
        <w:t xml:space="preserve">¿Los términos deben correr con todos sus efectos, pese a que en el medio de notificación de la decisión judicial a partir del cual comenzaba a correr el citado término contuviera información errónea? </w:t>
      </w:r>
    </w:p>
    <w:p w14:paraId="01E88078" w14:textId="77777777" w:rsidR="006D7304" w:rsidRPr="001F21A7" w:rsidRDefault="006D7304" w:rsidP="001F21A7">
      <w:pPr>
        <w:spacing w:line="276" w:lineRule="auto"/>
        <w:jc w:val="both"/>
        <w:rPr>
          <w:rFonts w:ascii="Arial" w:hAnsi="Arial" w:cs="Arial"/>
        </w:rPr>
      </w:pPr>
    </w:p>
    <w:p w14:paraId="383D03B8" w14:textId="7D39BAE7" w:rsidR="00E20B33" w:rsidRPr="001F21A7" w:rsidRDefault="00E20B33" w:rsidP="001F21A7">
      <w:pPr>
        <w:autoSpaceDE w:val="0"/>
        <w:autoSpaceDN w:val="0"/>
        <w:adjustRightInd w:val="0"/>
        <w:spacing w:line="276" w:lineRule="auto"/>
        <w:jc w:val="both"/>
        <w:rPr>
          <w:rFonts w:ascii="Arial" w:hAnsi="Arial" w:cs="Arial"/>
          <w:b/>
          <w:bCs/>
          <w:lang w:val="es-ES"/>
        </w:rPr>
      </w:pPr>
      <w:r w:rsidRPr="001F21A7">
        <w:rPr>
          <w:rFonts w:ascii="Arial" w:hAnsi="Arial" w:cs="Arial"/>
          <w:b/>
          <w:bCs/>
          <w:i/>
          <w:iCs/>
          <w:lang w:val="es-ES"/>
        </w:rPr>
        <w:t xml:space="preserve">2. </w:t>
      </w:r>
      <w:r w:rsidRPr="001F21A7">
        <w:rPr>
          <w:rFonts w:ascii="Arial" w:hAnsi="Arial" w:cs="Arial"/>
          <w:b/>
          <w:bCs/>
          <w:lang w:val="es-ES"/>
        </w:rPr>
        <w:t>Solución a</w:t>
      </w:r>
      <w:r w:rsidR="11E182ED" w:rsidRPr="001F21A7">
        <w:rPr>
          <w:rFonts w:ascii="Arial" w:hAnsi="Arial" w:cs="Arial"/>
          <w:b/>
          <w:bCs/>
          <w:lang w:val="es-ES"/>
        </w:rPr>
        <w:t xml:space="preserve"> </w:t>
      </w:r>
      <w:r w:rsidRPr="001F21A7">
        <w:rPr>
          <w:rFonts w:ascii="Arial" w:hAnsi="Arial" w:cs="Arial"/>
          <w:b/>
          <w:bCs/>
          <w:lang w:val="es-ES"/>
        </w:rPr>
        <w:t>l</w:t>
      </w:r>
      <w:r w:rsidR="11E182ED" w:rsidRPr="001F21A7">
        <w:rPr>
          <w:rFonts w:ascii="Arial" w:hAnsi="Arial" w:cs="Arial"/>
          <w:b/>
          <w:bCs/>
          <w:lang w:val="es-ES"/>
        </w:rPr>
        <w:t>os</w:t>
      </w:r>
      <w:r w:rsidRPr="001F21A7">
        <w:rPr>
          <w:rFonts w:ascii="Arial" w:hAnsi="Arial" w:cs="Arial"/>
          <w:b/>
          <w:bCs/>
          <w:lang w:val="es-ES"/>
        </w:rPr>
        <w:t xml:space="preserve"> interrogante</w:t>
      </w:r>
      <w:r w:rsidR="2FDB4F26" w:rsidRPr="001F21A7">
        <w:rPr>
          <w:rFonts w:ascii="Arial" w:hAnsi="Arial" w:cs="Arial"/>
          <w:b/>
          <w:bCs/>
          <w:lang w:val="es-ES"/>
        </w:rPr>
        <w:t>s</w:t>
      </w:r>
      <w:r w:rsidRPr="001F21A7">
        <w:rPr>
          <w:rFonts w:ascii="Arial" w:hAnsi="Arial" w:cs="Arial"/>
          <w:b/>
          <w:bCs/>
          <w:lang w:val="es-ES"/>
        </w:rPr>
        <w:t xml:space="preserve"> planteado</w:t>
      </w:r>
      <w:r w:rsidR="7F76601E" w:rsidRPr="001F21A7">
        <w:rPr>
          <w:rFonts w:ascii="Arial" w:hAnsi="Arial" w:cs="Arial"/>
          <w:b/>
          <w:bCs/>
          <w:lang w:val="es-ES"/>
        </w:rPr>
        <w:t>s</w:t>
      </w:r>
    </w:p>
    <w:p w14:paraId="003337C9" w14:textId="47EFD31D" w:rsidR="00C94138" w:rsidRPr="001F21A7" w:rsidRDefault="00C94138" w:rsidP="001F21A7">
      <w:pPr>
        <w:autoSpaceDE w:val="0"/>
        <w:autoSpaceDN w:val="0"/>
        <w:adjustRightInd w:val="0"/>
        <w:spacing w:line="276" w:lineRule="auto"/>
        <w:jc w:val="both"/>
        <w:rPr>
          <w:rFonts w:ascii="Arial" w:hAnsi="Arial" w:cs="Arial"/>
          <w:b/>
          <w:lang w:val="es-ES"/>
        </w:rPr>
      </w:pPr>
    </w:p>
    <w:p w14:paraId="3B062B79" w14:textId="6624A600" w:rsidR="006D7304" w:rsidRPr="001F21A7" w:rsidRDefault="1D17CFD0" w:rsidP="001F21A7">
      <w:pPr>
        <w:autoSpaceDE w:val="0"/>
        <w:autoSpaceDN w:val="0"/>
        <w:adjustRightInd w:val="0"/>
        <w:spacing w:line="276" w:lineRule="auto"/>
        <w:jc w:val="both"/>
        <w:rPr>
          <w:rFonts w:ascii="Arial" w:hAnsi="Arial" w:cs="Arial"/>
        </w:rPr>
      </w:pPr>
      <w:r w:rsidRPr="001F21A7">
        <w:rPr>
          <w:rFonts w:ascii="Arial" w:hAnsi="Arial" w:cs="Arial"/>
          <w:b/>
          <w:bCs/>
          <w:lang w:val="es-ES"/>
        </w:rPr>
        <w:t xml:space="preserve">2.1. </w:t>
      </w:r>
      <w:r w:rsidR="0E859514" w:rsidRPr="001F21A7">
        <w:rPr>
          <w:rFonts w:ascii="Arial" w:hAnsi="Arial" w:cs="Arial"/>
          <w:b/>
          <w:bCs/>
          <w:lang w:val="es-ES"/>
        </w:rPr>
        <w:t xml:space="preserve">De </w:t>
      </w:r>
      <w:r w:rsidR="48FD64FE" w:rsidRPr="001F21A7">
        <w:rPr>
          <w:rFonts w:ascii="Arial" w:hAnsi="Arial" w:cs="Arial"/>
          <w:b/>
          <w:bCs/>
          <w:lang w:val="es-ES"/>
        </w:rPr>
        <w:t>las notificaciones y términos judiciales</w:t>
      </w:r>
    </w:p>
    <w:p w14:paraId="28E0EE11" w14:textId="77777777" w:rsidR="006D7304" w:rsidRPr="001F21A7" w:rsidRDefault="006D7304" w:rsidP="001F21A7">
      <w:pPr>
        <w:spacing w:line="276" w:lineRule="auto"/>
        <w:jc w:val="both"/>
        <w:rPr>
          <w:rFonts w:ascii="Arial" w:hAnsi="Arial" w:cs="Arial"/>
        </w:rPr>
      </w:pPr>
    </w:p>
    <w:p w14:paraId="2F55344F" w14:textId="77777777" w:rsidR="006D7304" w:rsidRPr="001F21A7" w:rsidRDefault="006D7304" w:rsidP="001F21A7">
      <w:pPr>
        <w:spacing w:line="276" w:lineRule="auto"/>
        <w:jc w:val="both"/>
        <w:rPr>
          <w:rFonts w:ascii="Arial" w:hAnsi="Arial" w:cs="Arial"/>
          <w:lang w:val="es-ES"/>
        </w:rPr>
      </w:pPr>
      <w:r w:rsidRPr="001F21A7">
        <w:rPr>
          <w:rFonts w:ascii="Arial" w:hAnsi="Arial" w:cs="Arial"/>
          <w:lang w:val="es-ES"/>
        </w:rPr>
        <w:t xml:space="preserve">El artículo 151 del C.P.L. y de la S.S. y 488 del CST señalan el plazo de 3 años para la extinción de los derechos emanados de las leyes sociales o consagrados en la ley sustancial laboral, que empieza a correr a partir de la exigibilidad de la respectiva obligación, esto es, desde que el trabajador tenga la posibilidad de reclamar al deudor el pago de su acreencia. </w:t>
      </w:r>
    </w:p>
    <w:p w14:paraId="5BA49ACF" w14:textId="72C47584" w:rsidR="006D7304" w:rsidRPr="001F21A7" w:rsidRDefault="006D7304" w:rsidP="001F21A7">
      <w:pPr>
        <w:spacing w:line="276" w:lineRule="auto"/>
        <w:jc w:val="both"/>
        <w:rPr>
          <w:rFonts w:ascii="Arial" w:hAnsi="Arial" w:cs="Arial"/>
        </w:rPr>
      </w:pPr>
    </w:p>
    <w:p w14:paraId="0CB47C3A" w14:textId="77777777" w:rsidR="006D7304" w:rsidRPr="001F21A7" w:rsidRDefault="006D7304" w:rsidP="001F21A7">
      <w:pPr>
        <w:spacing w:line="276" w:lineRule="auto"/>
        <w:jc w:val="both"/>
        <w:rPr>
          <w:rFonts w:ascii="Arial" w:hAnsi="Arial" w:cs="Arial"/>
          <w:lang w:val="es-ES"/>
        </w:rPr>
      </w:pPr>
      <w:r w:rsidRPr="001F21A7">
        <w:rPr>
          <w:rFonts w:ascii="Arial" w:hAnsi="Arial" w:cs="Arial"/>
          <w:lang w:val="es-ES"/>
        </w:rPr>
        <w:t>Fenómeno deletéreo que puede interrumpirse civil o naturalmente como lo señala el artículo 2539 del C.C., aplicable al laboral por reenvío del artículo 16 del C.S.T.</w:t>
      </w:r>
    </w:p>
    <w:p w14:paraId="030E7951" w14:textId="77777777" w:rsidR="006D7304" w:rsidRPr="001F21A7" w:rsidRDefault="006D7304" w:rsidP="001F21A7">
      <w:pPr>
        <w:spacing w:line="276" w:lineRule="auto"/>
        <w:jc w:val="both"/>
        <w:rPr>
          <w:rFonts w:ascii="Arial" w:hAnsi="Arial" w:cs="Arial"/>
          <w:lang w:val="es-ES"/>
        </w:rPr>
      </w:pPr>
    </w:p>
    <w:p w14:paraId="5D50CD66" w14:textId="77777777" w:rsidR="006D7304" w:rsidRPr="001F21A7" w:rsidRDefault="006D7304" w:rsidP="001F21A7">
      <w:pPr>
        <w:spacing w:line="276" w:lineRule="auto"/>
        <w:jc w:val="both"/>
        <w:rPr>
          <w:rFonts w:ascii="Arial" w:hAnsi="Arial" w:cs="Arial"/>
          <w:lang w:val="es-ES"/>
        </w:rPr>
      </w:pPr>
      <w:r w:rsidRPr="001F21A7">
        <w:rPr>
          <w:rFonts w:ascii="Arial" w:hAnsi="Arial" w:cs="Arial"/>
          <w:lang w:val="es-ES"/>
        </w:rPr>
        <w:lastRenderedPageBreak/>
        <w:t>La interrupción natural se presenta cuando el deudor reconoce la obligación de manera expresa o tácita; o con la reclamación escrita que haga el acreedor a su deudor, ya en los términos del artículo 6 del C.P.T., 488 del C.S.T., o 94 del C.G.P.; sin embargo, ha de tenerse en cuenta que la reclamación escrita del trabajador, no interrumpe el término de prescripción cuando se trate de la ejecución de una obligación reconocida judicialmente, al tenor de la jurisprudencia de la Sala Laboral de la Corte Suprema de Justicia STL7311/2019, STL7447-2019, STL11276-2016, entre otras.</w:t>
      </w:r>
    </w:p>
    <w:p w14:paraId="7FE4AC01" w14:textId="77777777" w:rsidR="006D7304" w:rsidRPr="001F21A7" w:rsidRDefault="006D7304" w:rsidP="001F21A7">
      <w:pPr>
        <w:spacing w:line="276" w:lineRule="auto"/>
        <w:jc w:val="both"/>
        <w:rPr>
          <w:rFonts w:ascii="Arial" w:hAnsi="Arial" w:cs="Arial"/>
          <w:lang w:val="es-ES"/>
        </w:rPr>
      </w:pPr>
    </w:p>
    <w:p w14:paraId="02A78D11" w14:textId="64B7E6D1" w:rsidR="006D7304" w:rsidRPr="001F21A7" w:rsidRDefault="48FD64FE" w:rsidP="001F21A7">
      <w:pPr>
        <w:spacing w:line="276" w:lineRule="auto"/>
        <w:jc w:val="both"/>
        <w:rPr>
          <w:rFonts w:ascii="Arial" w:hAnsi="Arial" w:cs="Arial"/>
          <w:lang w:val="es-ES"/>
        </w:rPr>
      </w:pPr>
      <w:r w:rsidRPr="001F21A7">
        <w:rPr>
          <w:rFonts w:ascii="Arial" w:hAnsi="Arial" w:cs="Arial"/>
          <w:lang w:val="es-ES"/>
        </w:rPr>
        <w:t>Frente a la interrupción civil, su ocurrencia depende de un acto complejo, es decir, compuesto de dos eventos. Así, no basta la presentación de la demanda o solicitud de mandamiento de pago para interrumpir la prescripción, sino que, al tenor del artículo 94 del C.G.P. debe notificarse al demandado o ejecutado dentro del año siguiente al auto admisorio del escrito introductor. Entonces, la presentación de la demanda interrumpe el término prescriptivo, “</w:t>
      </w:r>
      <w:r w:rsidRPr="00EE2274">
        <w:rPr>
          <w:rFonts w:ascii="Arial" w:hAnsi="Arial" w:cs="Arial"/>
          <w:i/>
          <w:iCs/>
          <w:sz w:val="22"/>
          <w:lang w:val="es-ES"/>
        </w:rPr>
        <w:t>siempre que (…) el mandamiento ejecutivo se notifique al demandado dentro del término de un (1) año contado a partir del día siguiente a la notificación de tales providencias al demandante</w:t>
      </w:r>
      <w:r w:rsidRPr="001F21A7">
        <w:rPr>
          <w:rFonts w:ascii="Arial" w:hAnsi="Arial" w:cs="Arial"/>
          <w:lang w:val="es-ES"/>
        </w:rPr>
        <w:t xml:space="preserve">”; en caso contrario, esto es, de haberse notificado el mandamiento ejecutivo después de dicho año, entonces la interrupción de la prescripción solo se contará con la notificación al demandado. </w:t>
      </w:r>
    </w:p>
    <w:p w14:paraId="7E1EDA48" w14:textId="77777777" w:rsidR="00E03F3E" w:rsidRPr="001F21A7" w:rsidRDefault="00E03F3E" w:rsidP="001F21A7">
      <w:pPr>
        <w:spacing w:line="276" w:lineRule="auto"/>
        <w:jc w:val="both"/>
        <w:rPr>
          <w:rFonts w:ascii="Arial" w:hAnsi="Arial" w:cs="Arial"/>
          <w:lang w:val="es-ES"/>
        </w:rPr>
      </w:pPr>
    </w:p>
    <w:p w14:paraId="2CB6871B" w14:textId="1FE8B244" w:rsidR="006D7304" w:rsidRPr="001F21A7" w:rsidRDefault="006D7304" w:rsidP="001F21A7">
      <w:pPr>
        <w:spacing w:line="276" w:lineRule="auto"/>
        <w:jc w:val="both"/>
        <w:rPr>
          <w:rFonts w:ascii="Arial" w:hAnsi="Arial" w:cs="Arial"/>
          <w:lang w:val="es-ES"/>
        </w:rPr>
      </w:pPr>
      <w:r w:rsidRPr="001F21A7">
        <w:rPr>
          <w:rFonts w:ascii="Arial" w:hAnsi="Arial" w:cs="Arial"/>
          <w:lang w:val="es-ES"/>
        </w:rPr>
        <w:t xml:space="preserve">Eventos para interrumpir la prescripción, ya sea con la presentación de la demanda o con la notificación del auto admisorio del mismo, que cobran relevancia cuando </w:t>
      </w:r>
      <w:r w:rsidRPr="001F21A7">
        <w:rPr>
          <w:rFonts w:ascii="Arial" w:hAnsi="Arial" w:cs="Arial"/>
          <w:i/>
          <w:iCs/>
          <w:lang w:val="es-ES"/>
        </w:rPr>
        <w:t>“</w:t>
      </w:r>
      <w:r w:rsidRPr="00EE2274">
        <w:rPr>
          <w:rFonts w:ascii="Arial" w:hAnsi="Arial" w:cs="Arial"/>
          <w:i/>
          <w:iCs/>
          <w:sz w:val="22"/>
          <w:lang w:val="es-ES"/>
        </w:rPr>
        <w:t>(…) se deja para última hora la presentación de la demanda, pues si lo anterior se efectúa con la suficiente antelación, viene a ser indiferente que se interrumpa en la fecha de la presentación o en la notificación de la demanda al demandado, por cuanto en los dos eventos usualmente aún no ha corrido todo el lapso de prescripción (…)</w:t>
      </w:r>
      <w:r w:rsidRPr="001F21A7">
        <w:rPr>
          <w:rFonts w:ascii="Arial" w:hAnsi="Arial" w:cs="Arial"/>
          <w:i/>
          <w:iCs/>
          <w:lang w:val="es-ES"/>
        </w:rPr>
        <w:t>”</w:t>
      </w:r>
      <w:r w:rsidRPr="001F21A7">
        <w:rPr>
          <w:rFonts w:ascii="Arial" w:hAnsi="Arial" w:cs="Arial"/>
          <w:lang w:val="es-ES"/>
        </w:rPr>
        <w:t xml:space="preserve"> (López, B., H.F., Código General del Proceso, pp. 566).</w:t>
      </w:r>
    </w:p>
    <w:p w14:paraId="29C2194F" w14:textId="0F7575FF" w:rsidR="689BC509" w:rsidRPr="001F21A7" w:rsidRDefault="689BC509" w:rsidP="001F21A7">
      <w:pPr>
        <w:spacing w:line="276" w:lineRule="auto"/>
        <w:jc w:val="both"/>
        <w:rPr>
          <w:rFonts w:ascii="Arial" w:hAnsi="Arial" w:cs="Arial"/>
          <w:lang w:val="es-ES"/>
        </w:rPr>
      </w:pPr>
    </w:p>
    <w:p w14:paraId="0AF35324" w14:textId="606AEA12" w:rsidR="00B64F9B" w:rsidRPr="001F21A7" w:rsidRDefault="00B64F9B" w:rsidP="001F21A7">
      <w:pPr>
        <w:spacing w:line="276" w:lineRule="auto"/>
        <w:jc w:val="both"/>
        <w:rPr>
          <w:rFonts w:ascii="Arial" w:hAnsi="Arial" w:cs="Arial"/>
        </w:rPr>
      </w:pPr>
      <w:r w:rsidRPr="001F21A7">
        <w:rPr>
          <w:rFonts w:ascii="Arial" w:hAnsi="Arial" w:cs="Arial"/>
        </w:rPr>
        <w:t xml:space="preserve">Aquí, es que cobra relevancia el establecer si conforme al artículo 94 CGP en otrora, el </w:t>
      </w:r>
      <w:r w:rsidR="001F5931" w:rsidRPr="001F21A7">
        <w:rPr>
          <w:rFonts w:ascii="Arial" w:hAnsi="Arial" w:cs="Arial"/>
        </w:rPr>
        <w:t>artículo</w:t>
      </w:r>
      <w:r w:rsidRPr="001F21A7">
        <w:rPr>
          <w:rFonts w:ascii="Arial" w:hAnsi="Arial" w:cs="Arial"/>
        </w:rPr>
        <w:t xml:space="preserve"> 90 CPC., se logró interrumpir el término de prescripción o se impidió que se produjera la caducidad.</w:t>
      </w:r>
    </w:p>
    <w:p w14:paraId="33C930B8" w14:textId="77777777" w:rsidR="00B64F9B" w:rsidRPr="001F21A7" w:rsidRDefault="00B64F9B" w:rsidP="001F21A7">
      <w:pPr>
        <w:spacing w:line="276" w:lineRule="auto"/>
        <w:jc w:val="both"/>
        <w:rPr>
          <w:rFonts w:ascii="Arial" w:hAnsi="Arial" w:cs="Arial"/>
        </w:rPr>
      </w:pPr>
    </w:p>
    <w:p w14:paraId="485ED5DD" w14:textId="77777777" w:rsidR="00B64F9B" w:rsidRPr="001F21A7" w:rsidRDefault="00B64F9B" w:rsidP="001F21A7">
      <w:pPr>
        <w:spacing w:line="276" w:lineRule="auto"/>
        <w:jc w:val="both"/>
        <w:rPr>
          <w:rFonts w:ascii="Arial" w:hAnsi="Arial" w:cs="Arial"/>
        </w:rPr>
      </w:pPr>
      <w:r w:rsidRPr="001F21A7">
        <w:rPr>
          <w:rFonts w:ascii="Arial" w:hAnsi="Arial" w:cs="Arial"/>
        </w:rPr>
        <w:t>En efecto, el artículo 94 del CGP, aplicable a los procesos laborales en virtud de lo dispuesto por el artículo 145 del CPTSS, contempla la posibilidad que el término de tres años se entienda interrumpido desde la fecha de radicación de la demanda, siempre que el auto admisorio de aquella, o el de mandamiento ejecutivo, según sea al caso, «se notifique al demandado dentro del término de un (1) año contado a partir del día siguiente a la notificación al demandante de tales providencias». Pasado este término, los mencionados efectos solo se producirán con la notificación al demandado, siempre que se determine que las razones que conllevaron a la tardanza en la notificación del mandamiento ejecutivo se debieron a la negligencia de la actora (SL3693-2017, SL3788-2020).</w:t>
      </w:r>
    </w:p>
    <w:p w14:paraId="793F6303" w14:textId="77777777" w:rsidR="00B64F9B" w:rsidRPr="001F21A7" w:rsidRDefault="00B64F9B" w:rsidP="001F21A7">
      <w:pPr>
        <w:spacing w:line="276" w:lineRule="auto"/>
        <w:jc w:val="both"/>
        <w:rPr>
          <w:rFonts w:ascii="Arial" w:hAnsi="Arial" w:cs="Arial"/>
        </w:rPr>
      </w:pPr>
    </w:p>
    <w:p w14:paraId="0FC6613B" w14:textId="77777777" w:rsidR="00B64F9B" w:rsidRPr="001F21A7" w:rsidRDefault="00B64F9B" w:rsidP="001F21A7">
      <w:pPr>
        <w:spacing w:line="276" w:lineRule="auto"/>
        <w:jc w:val="both"/>
        <w:rPr>
          <w:rFonts w:ascii="Arial" w:hAnsi="Arial" w:cs="Arial"/>
        </w:rPr>
      </w:pPr>
      <w:r w:rsidRPr="001F21A7">
        <w:rPr>
          <w:rFonts w:ascii="Arial" w:hAnsi="Arial" w:cs="Arial"/>
        </w:rPr>
        <w:t xml:space="preserve">En este punto es de mencionar que la Jurisprudencia de la Corte ha sido recurrente en indicar que en materia laboral es aplicable el artículo 94 CGP, pero dicha disposición no se aplica de manera automática porque es imperante el «examinar si la tardanza en la notificación del auto admisorio de la demanda se debió a la negligencia de la actora, si fue ocasionada por las órdenes del director del proceso, o </w:t>
      </w:r>
      <w:r w:rsidRPr="001F21A7">
        <w:rPr>
          <w:rFonts w:ascii="Arial" w:hAnsi="Arial" w:cs="Arial"/>
        </w:rPr>
        <w:lastRenderedPageBreak/>
        <w:t>si fue consecuencia de la conducta procesal observada por la demandada» (CSJ SL2156-2020 reiterada en la SL1431-2022).</w:t>
      </w:r>
    </w:p>
    <w:p w14:paraId="147FEEA8" w14:textId="77777777" w:rsidR="00B64F9B" w:rsidRPr="001F21A7" w:rsidRDefault="00B64F9B" w:rsidP="001F21A7">
      <w:pPr>
        <w:spacing w:line="276" w:lineRule="auto"/>
        <w:jc w:val="both"/>
        <w:rPr>
          <w:rFonts w:ascii="Arial" w:hAnsi="Arial" w:cs="Arial"/>
          <w:lang w:val="es-ES"/>
        </w:rPr>
      </w:pPr>
    </w:p>
    <w:p w14:paraId="1C4E9DF1" w14:textId="1966B6CF" w:rsidR="00124C47" w:rsidRPr="001F21A7" w:rsidRDefault="00124C47" w:rsidP="001F21A7">
      <w:pPr>
        <w:spacing w:line="276" w:lineRule="auto"/>
        <w:jc w:val="both"/>
        <w:rPr>
          <w:rFonts w:ascii="Arial" w:hAnsi="Arial" w:cs="Arial"/>
          <w:lang w:val="es-ES"/>
        </w:rPr>
      </w:pPr>
      <w:r w:rsidRPr="001F21A7">
        <w:rPr>
          <w:rFonts w:ascii="Arial" w:hAnsi="Arial" w:cs="Arial"/>
          <w:lang w:val="es-ES"/>
        </w:rPr>
        <w:t xml:space="preserve">Finalmente, la notificación de las providencias – art. 289 del C.G.P. – corresponde precisamente a la materialidad de la decisión adoptada, pues de nada sirve pronunciar una decisión que no ha sido conocida por las partes, de ahí que las providencias judiciales se harán saber a las partes y demás interesados a través de la notificación, entre las que se encuentra, la notificación por estados – art. 295 del C.G.P. -, que elabora el secretario del despacho. </w:t>
      </w:r>
    </w:p>
    <w:p w14:paraId="341CE028" w14:textId="52D04089" w:rsidR="00124C47" w:rsidRPr="001F21A7" w:rsidRDefault="00124C47" w:rsidP="001F21A7">
      <w:pPr>
        <w:spacing w:line="276" w:lineRule="auto"/>
        <w:jc w:val="both"/>
        <w:rPr>
          <w:rFonts w:ascii="Arial" w:hAnsi="Arial" w:cs="Arial"/>
          <w:lang w:val="es-ES"/>
        </w:rPr>
      </w:pPr>
    </w:p>
    <w:p w14:paraId="1A48B817" w14:textId="3DFC713C" w:rsidR="00124C47" w:rsidRPr="001F21A7" w:rsidRDefault="0A0AA082" w:rsidP="001F21A7">
      <w:pPr>
        <w:spacing w:line="276" w:lineRule="auto"/>
        <w:jc w:val="both"/>
        <w:rPr>
          <w:rFonts w:ascii="Arial" w:hAnsi="Arial" w:cs="Arial"/>
          <w:lang w:val="es-ES"/>
        </w:rPr>
      </w:pPr>
      <w:r w:rsidRPr="001F21A7">
        <w:rPr>
          <w:rFonts w:ascii="Arial" w:hAnsi="Arial" w:cs="Arial"/>
          <w:lang w:val="es-ES"/>
        </w:rPr>
        <w:t>Así, la notificación por estado debe contener la determinación del proceso por su clase</w:t>
      </w:r>
      <w:r w:rsidR="26978F1F" w:rsidRPr="001F21A7">
        <w:rPr>
          <w:rFonts w:ascii="Arial" w:hAnsi="Arial" w:cs="Arial"/>
          <w:lang w:val="es-ES"/>
        </w:rPr>
        <w:t xml:space="preserve"> (tipo de proceso y número de radicado)</w:t>
      </w:r>
      <w:r w:rsidRPr="001F21A7">
        <w:rPr>
          <w:rFonts w:ascii="Arial" w:hAnsi="Arial" w:cs="Arial"/>
          <w:lang w:val="es-ES"/>
        </w:rPr>
        <w:t xml:space="preserve">, la indicación de los nombres del demandante y demandados, entre otros. </w:t>
      </w:r>
    </w:p>
    <w:p w14:paraId="652C6BB8" w14:textId="742D641B" w:rsidR="006D7304" w:rsidRPr="001F21A7" w:rsidRDefault="006D7304" w:rsidP="001F21A7">
      <w:pPr>
        <w:spacing w:line="276" w:lineRule="auto"/>
        <w:jc w:val="both"/>
        <w:rPr>
          <w:rFonts w:ascii="Arial" w:hAnsi="Arial" w:cs="Arial"/>
          <w:b/>
          <w:lang w:val="es-ES"/>
        </w:rPr>
      </w:pPr>
    </w:p>
    <w:p w14:paraId="0C666017" w14:textId="2502DFD2" w:rsidR="006D7304" w:rsidRPr="001F21A7" w:rsidRDefault="48FD64FE" w:rsidP="001F21A7">
      <w:pPr>
        <w:spacing w:line="276" w:lineRule="auto"/>
        <w:jc w:val="both"/>
        <w:rPr>
          <w:rFonts w:ascii="Arial" w:hAnsi="Arial" w:cs="Arial"/>
          <w:b/>
          <w:bCs/>
          <w:lang w:val="es-ES"/>
        </w:rPr>
      </w:pPr>
      <w:r w:rsidRPr="001F21A7">
        <w:rPr>
          <w:rFonts w:ascii="Arial" w:hAnsi="Arial" w:cs="Arial"/>
          <w:b/>
          <w:bCs/>
          <w:lang w:val="es-ES"/>
        </w:rPr>
        <w:t xml:space="preserve">2.2. </w:t>
      </w:r>
      <w:r w:rsidR="4623FD0C" w:rsidRPr="001F21A7">
        <w:rPr>
          <w:rFonts w:ascii="Arial" w:hAnsi="Arial" w:cs="Arial"/>
          <w:b/>
          <w:bCs/>
          <w:lang w:val="es-ES"/>
        </w:rPr>
        <w:t>D</w:t>
      </w:r>
      <w:r w:rsidRPr="001F21A7">
        <w:rPr>
          <w:rFonts w:ascii="Arial" w:hAnsi="Arial" w:cs="Arial"/>
          <w:b/>
          <w:bCs/>
          <w:lang w:val="es-ES"/>
        </w:rPr>
        <w:t>ebido proceso y lealtad procesal</w:t>
      </w:r>
    </w:p>
    <w:p w14:paraId="70621FCA" w14:textId="7F6A7E3E" w:rsidR="006D7304" w:rsidRPr="001F21A7" w:rsidRDefault="006D7304" w:rsidP="001F21A7">
      <w:pPr>
        <w:spacing w:line="276" w:lineRule="auto"/>
        <w:jc w:val="both"/>
        <w:rPr>
          <w:rFonts w:ascii="Arial" w:hAnsi="Arial" w:cs="Arial"/>
          <w:lang w:val="es-ES"/>
        </w:rPr>
      </w:pPr>
    </w:p>
    <w:p w14:paraId="2F8B2235" w14:textId="0D05B30C" w:rsidR="006D7304" w:rsidRPr="001F21A7" w:rsidRDefault="1E664AA9" w:rsidP="001F21A7">
      <w:pPr>
        <w:autoSpaceDE w:val="0"/>
        <w:autoSpaceDN w:val="0"/>
        <w:adjustRightInd w:val="0"/>
        <w:spacing w:line="276" w:lineRule="auto"/>
        <w:jc w:val="both"/>
        <w:rPr>
          <w:rFonts w:ascii="Arial" w:hAnsi="Arial" w:cs="Arial"/>
          <w:lang w:val="es-ES"/>
        </w:rPr>
      </w:pPr>
      <w:r w:rsidRPr="001F21A7">
        <w:rPr>
          <w:rFonts w:ascii="Arial" w:hAnsi="Arial" w:cs="Arial"/>
          <w:lang w:val="es-ES"/>
        </w:rPr>
        <w:t>Conforme al numeral 4° del artículo 625 del C.G.P. - tránsito de la legislación entre el Código de Procedimiento Civil y el Código General del Proceso –</w:t>
      </w:r>
      <w:r w:rsidR="6ED6F516" w:rsidRPr="001F21A7">
        <w:rPr>
          <w:rFonts w:ascii="Arial" w:hAnsi="Arial" w:cs="Arial"/>
          <w:lang w:val="es-ES"/>
        </w:rPr>
        <w:t>; artículo que entró en vigencia el 12/07/2012, definió</w:t>
      </w:r>
      <w:r w:rsidRPr="001F21A7">
        <w:rPr>
          <w:rFonts w:ascii="Arial" w:hAnsi="Arial" w:cs="Arial"/>
          <w:lang w:val="es-ES"/>
        </w:rPr>
        <w:t xml:space="preserve"> para los procesos ejecutivos la siguiente regla:</w:t>
      </w:r>
    </w:p>
    <w:p w14:paraId="227751AB" w14:textId="349E54B4" w:rsidR="006D7304" w:rsidRPr="001F21A7" w:rsidRDefault="006D7304" w:rsidP="001F21A7">
      <w:pPr>
        <w:autoSpaceDE w:val="0"/>
        <w:autoSpaceDN w:val="0"/>
        <w:adjustRightInd w:val="0"/>
        <w:spacing w:line="276" w:lineRule="auto"/>
        <w:jc w:val="both"/>
        <w:rPr>
          <w:rFonts w:ascii="Arial" w:hAnsi="Arial" w:cs="Arial"/>
          <w:lang w:val="es-ES"/>
        </w:rPr>
      </w:pPr>
    </w:p>
    <w:p w14:paraId="137A5A28" w14:textId="77777777" w:rsidR="0054421C" w:rsidRDefault="1E664AA9" w:rsidP="001F21A7">
      <w:pPr>
        <w:pStyle w:val="Prrafodelista"/>
        <w:numPr>
          <w:ilvl w:val="0"/>
          <w:numId w:val="1"/>
        </w:numPr>
        <w:autoSpaceDE w:val="0"/>
        <w:autoSpaceDN w:val="0"/>
        <w:adjustRightInd w:val="0"/>
        <w:spacing w:line="276" w:lineRule="auto"/>
        <w:jc w:val="both"/>
        <w:rPr>
          <w:rFonts w:ascii="Arial" w:hAnsi="Arial" w:cs="Arial"/>
          <w:lang w:val="es-ES"/>
        </w:rPr>
      </w:pPr>
      <w:r w:rsidRPr="001F21A7">
        <w:rPr>
          <w:rFonts w:ascii="Arial" w:hAnsi="Arial" w:cs="Arial"/>
          <w:lang w:val="es-ES"/>
        </w:rPr>
        <w:t>Los procesos ejecutivos en curso se tramitarán hasta el vencimiento del término para proponer excepciones con base en la legislación anterior – C.P.C.</w:t>
      </w:r>
      <w:r w:rsidR="0054421C">
        <w:rPr>
          <w:rFonts w:ascii="Arial" w:hAnsi="Arial" w:cs="Arial"/>
          <w:lang w:val="es-ES"/>
        </w:rPr>
        <w:t xml:space="preserve"> –</w:t>
      </w:r>
    </w:p>
    <w:p w14:paraId="35081CCC" w14:textId="707F0CE2" w:rsidR="006D7304" w:rsidRPr="001F21A7" w:rsidRDefault="1E664AA9" w:rsidP="001F21A7">
      <w:pPr>
        <w:pStyle w:val="Prrafodelista"/>
        <w:numPr>
          <w:ilvl w:val="0"/>
          <w:numId w:val="1"/>
        </w:numPr>
        <w:autoSpaceDE w:val="0"/>
        <w:autoSpaceDN w:val="0"/>
        <w:adjustRightInd w:val="0"/>
        <w:spacing w:line="276" w:lineRule="auto"/>
        <w:jc w:val="both"/>
        <w:rPr>
          <w:rFonts w:ascii="Arial" w:hAnsi="Arial" w:cs="Arial"/>
          <w:lang w:val="es-ES"/>
        </w:rPr>
      </w:pPr>
      <w:r w:rsidRPr="001F21A7">
        <w:rPr>
          <w:rFonts w:ascii="Arial" w:hAnsi="Arial" w:cs="Arial"/>
          <w:lang w:val="es-ES"/>
        </w:rPr>
        <w:t>Vencido dicho término el proceso continuará su trámite conforme a las reglas establecidas en el Código General del Proceso.</w:t>
      </w:r>
    </w:p>
    <w:p w14:paraId="68C81C07" w14:textId="6EEBBE5A" w:rsidR="006D7304" w:rsidRPr="001F21A7" w:rsidRDefault="006D7304" w:rsidP="001F21A7">
      <w:pPr>
        <w:autoSpaceDE w:val="0"/>
        <w:autoSpaceDN w:val="0"/>
        <w:adjustRightInd w:val="0"/>
        <w:spacing w:line="276" w:lineRule="auto"/>
        <w:jc w:val="both"/>
        <w:rPr>
          <w:rFonts w:ascii="Arial" w:hAnsi="Arial" w:cs="Arial"/>
          <w:lang w:val="es-ES"/>
        </w:rPr>
      </w:pPr>
    </w:p>
    <w:p w14:paraId="2A43A49F" w14:textId="78EF0DB4" w:rsidR="006D7304" w:rsidRPr="001F21A7" w:rsidRDefault="1E664AA9" w:rsidP="001F21A7">
      <w:pPr>
        <w:autoSpaceDE w:val="0"/>
        <w:autoSpaceDN w:val="0"/>
        <w:adjustRightInd w:val="0"/>
        <w:spacing w:line="276" w:lineRule="auto"/>
        <w:jc w:val="both"/>
        <w:rPr>
          <w:rFonts w:ascii="Arial" w:hAnsi="Arial" w:cs="Arial"/>
          <w:lang w:val="es-ES"/>
        </w:rPr>
      </w:pPr>
      <w:r w:rsidRPr="001F21A7">
        <w:rPr>
          <w:rFonts w:ascii="Arial" w:hAnsi="Arial" w:cs="Arial"/>
          <w:lang w:val="es-ES"/>
        </w:rPr>
        <w:t xml:space="preserve">Así, en el evento de ahora </w:t>
      </w:r>
      <w:r w:rsidR="68705EB2" w:rsidRPr="001F21A7">
        <w:rPr>
          <w:rFonts w:ascii="Arial" w:hAnsi="Arial" w:cs="Arial"/>
          <w:lang w:val="es-ES"/>
        </w:rPr>
        <w:t>el 12/06/2009 la parte demandante solicitó la ejecución de la sentencia judicial y el 10/07/2009 se libró el mandamiento de pago que fue notificado al día siguiente por estados, de ahí que la norma que gobernaba dicho</w:t>
      </w:r>
      <w:r w:rsidR="091DEC1A" w:rsidRPr="001F21A7">
        <w:rPr>
          <w:rFonts w:ascii="Arial" w:hAnsi="Arial" w:cs="Arial"/>
          <w:lang w:val="es-ES"/>
        </w:rPr>
        <w:t xml:space="preserve"> trámite era el Código de Procedimiento Civil que </w:t>
      </w:r>
      <w:r w:rsidR="3C8B7CF9" w:rsidRPr="001F21A7">
        <w:rPr>
          <w:rFonts w:ascii="Arial" w:hAnsi="Arial" w:cs="Arial"/>
          <w:lang w:val="es-ES"/>
        </w:rPr>
        <w:t xml:space="preserve">conforme al numeral 1° del artículo 37 exigía al juzgador el deber de dirigir el proceso, velar por su rápida solución, adoptar las medidas conducentes para impedir la paralización y procurar la mayor economía procesal. </w:t>
      </w:r>
    </w:p>
    <w:p w14:paraId="1CD76502" w14:textId="4133DE31" w:rsidR="006D7304" w:rsidRPr="001F21A7" w:rsidRDefault="006D7304" w:rsidP="001F21A7">
      <w:pPr>
        <w:autoSpaceDE w:val="0"/>
        <w:autoSpaceDN w:val="0"/>
        <w:adjustRightInd w:val="0"/>
        <w:spacing w:line="276" w:lineRule="auto"/>
        <w:jc w:val="both"/>
        <w:rPr>
          <w:rFonts w:ascii="Arial" w:hAnsi="Arial" w:cs="Arial"/>
          <w:lang w:val="es-ES"/>
        </w:rPr>
      </w:pPr>
    </w:p>
    <w:p w14:paraId="45120083" w14:textId="4EB1364B" w:rsidR="006D7304" w:rsidRPr="001F21A7" w:rsidRDefault="3C8B7CF9" w:rsidP="001F21A7">
      <w:pPr>
        <w:autoSpaceDE w:val="0"/>
        <w:autoSpaceDN w:val="0"/>
        <w:adjustRightInd w:val="0"/>
        <w:spacing w:line="276" w:lineRule="auto"/>
        <w:jc w:val="both"/>
        <w:rPr>
          <w:rFonts w:ascii="Arial" w:hAnsi="Arial" w:cs="Arial"/>
        </w:rPr>
      </w:pPr>
      <w:r w:rsidRPr="001F21A7">
        <w:rPr>
          <w:rFonts w:ascii="Arial" w:hAnsi="Arial" w:cs="Arial"/>
          <w:lang w:val="es-ES"/>
        </w:rPr>
        <w:t>Ahora bien, en tanto que e</w:t>
      </w:r>
      <w:r w:rsidRPr="001F21A7">
        <w:rPr>
          <w:rFonts w:ascii="Arial" w:hAnsi="Arial" w:cs="Arial"/>
        </w:rPr>
        <w:t xml:space="preserve">l 26/03/2021 la ejecutada solicitó acceso al expediente (archivo 21, </w:t>
      </w:r>
      <w:r w:rsidR="001F5931" w:rsidRPr="001F21A7">
        <w:rPr>
          <w:rFonts w:ascii="Arial" w:hAnsi="Arial" w:cs="Arial"/>
        </w:rPr>
        <w:t>ibídem</w:t>
      </w:r>
      <w:r w:rsidRPr="001F21A7">
        <w:rPr>
          <w:rFonts w:ascii="Arial" w:hAnsi="Arial" w:cs="Arial"/>
        </w:rPr>
        <w:t xml:space="preserve">) y el 13/05/2021 solicitó su notificación (archivo 22, </w:t>
      </w:r>
      <w:r w:rsidR="001F5931" w:rsidRPr="001F21A7">
        <w:rPr>
          <w:rFonts w:ascii="Arial" w:hAnsi="Arial" w:cs="Arial"/>
        </w:rPr>
        <w:t>ibídem</w:t>
      </w:r>
      <w:r w:rsidRPr="001F21A7">
        <w:rPr>
          <w:rFonts w:ascii="Arial" w:hAnsi="Arial" w:cs="Arial"/>
        </w:rPr>
        <w:t xml:space="preserve">); de ahí que el 25/10/2021 se dio por notificada por conducta concluyente. Notificación que por demás no fue reprochada por el ejecutante. Y posteriormente la ejecutada presentó excepciones contra el mandamiento ejecutivo, dentro de la que se encuentra la prescripción (archivo 24, </w:t>
      </w:r>
      <w:r w:rsidR="001F5931" w:rsidRPr="001F21A7">
        <w:rPr>
          <w:rFonts w:ascii="Arial" w:hAnsi="Arial" w:cs="Arial"/>
        </w:rPr>
        <w:t>ibídem</w:t>
      </w:r>
      <w:r w:rsidRPr="001F21A7">
        <w:rPr>
          <w:rFonts w:ascii="Arial" w:hAnsi="Arial" w:cs="Arial"/>
        </w:rPr>
        <w:t>).</w:t>
      </w:r>
    </w:p>
    <w:p w14:paraId="78FD21F3" w14:textId="02F3700F" w:rsidR="006D7304" w:rsidRPr="001F21A7" w:rsidRDefault="006D7304" w:rsidP="001F21A7">
      <w:pPr>
        <w:autoSpaceDE w:val="0"/>
        <w:autoSpaceDN w:val="0"/>
        <w:adjustRightInd w:val="0"/>
        <w:spacing w:line="276" w:lineRule="auto"/>
        <w:jc w:val="both"/>
        <w:rPr>
          <w:rFonts w:ascii="Arial" w:hAnsi="Arial" w:cs="Arial"/>
        </w:rPr>
      </w:pPr>
    </w:p>
    <w:p w14:paraId="4BDB7775" w14:textId="19AC6670" w:rsidR="006D7304" w:rsidRPr="001F21A7" w:rsidRDefault="03418127" w:rsidP="001F21A7">
      <w:pPr>
        <w:autoSpaceDE w:val="0"/>
        <w:autoSpaceDN w:val="0"/>
        <w:adjustRightInd w:val="0"/>
        <w:spacing w:line="276" w:lineRule="auto"/>
        <w:jc w:val="both"/>
        <w:rPr>
          <w:rFonts w:ascii="Arial" w:hAnsi="Arial" w:cs="Arial"/>
          <w:b/>
          <w:bCs/>
          <w:lang w:val="es-ES"/>
        </w:rPr>
      </w:pPr>
      <w:r w:rsidRPr="001F21A7">
        <w:rPr>
          <w:rFonts w:ascii="Arial" w:hAnsi="Arial" w:cs="Arial"/>
        </w:rPr>
        <w:t xml:space="preserve">En consecuencia, </w:t>
      </w:r>
      <w:r w:rsidR="024F95C8" w:rsidRPr="001F21A7">
        <w:rPr>
          <w:rFonts w:ascii="Arial" w:hAnsi="Arial" w:cs="Arial"/>
        </w:rPr>
        <w:t>en tanto que venció el término para proponer las excepciones entonces el proceso continuó conforme al C.G.P</w:t>
      </w:r>
      <w:r w:rsidR="0404977F" w:rsidRPr="001F21A7">
        <w:rPr>
          <w:rFonts w:ascii="Arial" w:hAnsi="Arial" w:cs="Arial"/>
        </w:rPr>
        <w:t>. que</w:t>
      </w:r>
      <w:r w:rsidR="48FD64FE" w:rsidRPr="001F21A7">
        <w:rPr>
          <w:rFonts w:ascii="Arial" w:hAnsi="Arial" w:cs="Arial"/>
          <w:lang w:val="es-ES"/>
        </w:rPr>
        <w:t xml:space="preserve"> </w:t>
      </w:r>
      <w:r w:rsidR="0A0AA082" w:rsidRPr="001F21A7">
        <w:rPr>
          <w:rFonts w:ascii="Arial" w:hAnsi="Arial" w:cs="Arial"/>
          <w:lang w:val="es-ES"/>
        </w:rPr>
        <w:t>impone</w:t>
      </w:r>
      <w:r w:rsidR="48FD64FE" w:rsidRPr="001F21A7">
        <w:rPr>
          <w:rFonts w:ascii="Arial" w:hAnsi="Arial" w:cs="Arial"/>
          <w:lang w:val="es-ES"/>
        </w:rPr>
        <w:t xml:space="preserve"> al juzgador en el numeral 12º del artículo 42 </w:t>
      </w:r>
      <w:r w:rsidR="0A0AA082" w:rsidRPr="001F21A7">
        <w:rPr>
          <w:rFonts w:ascii="Arial" w:hAnsi="Arial" w:cs="Arial"/>
          <w:lang w:val="es-ES"/>
        </w:rPr>
        <w:t>el deber</w:t>
      </w:r>
      <w:r w:rsidR="48FD64FE" w:rsidRPr="001F21A7">
        <w:rPr>
          <w:rFonts w:ascii="Arial" w:hAnsi="Arial" w:cs="Arial"/>
          <w:lang w:val="es-ES"/>
        </w:rPr>
        <w:t xml:space="preserve"> de realizar el control de legalidad de la actuación procesal cada vez que se agote una etapa del proceso. En el mismo sentido, el artículo 132 del C.G.P. establece que “</w:t>
      </w:r>
      <w:r w:rsidR="48FD64FE" w:rsidRPr="00EE2274">
        <w:rPr>
          <w:rFonts w:ascii="Arial" w:hAnsi="Arial" w:cs="Arial"/>
          <w:i/>
          <w:iCs/>
          <w:sz w:val="22"/>
          <w:lang w:val="es-ES"/>
        </w:rPr>
        <w:t>agotada cada etapa del proceso</w:t>
      </w:r>
      <w:r w:rsidR="48FD64FE" w:rsidRPr="001F21A7">
        <w:rPr>
          <w:rFonts w:ascii="Arial" w:hAnsi="Arial" w:cs="Arial"/>
          <w:i/>
          <w:iCs/>
          <w:lang w:val="es-ES"/>
        </w:rPr>
        <w:t>”</w:t>
      </w:r>
      <w:r w:rsidR="48FD64FE" w:rsidRPr="001F21A7">
        <w:rPr>
          <w:rFonts w:ascii="Arial" w:hAnsi="Arial" w:cs="Arial"/>
          <w:lang w:val="es-ES"/>
        </w:rPr>
        <w:t xml:space="preserve"> corresponde al juez realizar un control de legalidad para corregir o sanear los vicios que configuren nulidades o </w:t>
      </w:r>
      <w:r w:rsidR="48FD64FE" w:rsidRPr="001F21A7">
        <w:rPr>
          <w:rFonts w:ascii="Arial" w:hAnsi="Arial" w:cs="Arial"/>
          <w:b/>
          <w:bCs/>
          <w:lang w:val="es-ES"/>
        </w:rPr>
        <w:t>cualquier otra irregularidad del proceso</w:t>
      </w:r>
      <w:r w:rsidR="0A0AA082" w:rsidRPr="001F21A7">
        <w:rPr>
          <w:rFonts w:ascii="Arial" w:hAnsi="Arial" w:cs="Arial"/>
          <w:b/>
          <w:bCs/>
          <w:lang w:val="es-ES"/>
        </w:rPr>
        <w:t>.</w:t>
      </w:r>
    </w:p>
    <w:p w14:paraId="407C6742" w14:textId="7F923626" w:rsidR="00983C1B" w:rsidRPr="001F21A7" w:rsidRDefault="00983C1B" w:rsidP="001F21A7">
      <w:pPr>
        <w:autoSpaceDE w:val="0"/>
        <w:autoSpaceDN w:val="0"/>
        <w:adjustRightInd w:val="0"/>
        <w:spacing w:line="276" w:lineRule="auto"/>
        <w:jc w:val="both"/>
        <w:rPr>
          <w:rFonts w:ascii="Arial" w:hAnsi="Arial" w:cs="Arial"/>
          <w:lang w:val="es-ES"/>
        </w:rPr>
      </w:pPr>
    </w:p>
    <w:p w14:paraId="27345494" w14:textId="54D804D6" w:rsidR="00983C1B" w:rsidRPr="001F21A7" w:rsidRDefault="0BBA3363" w:rsidP="001F21A7">
      <w:pPr>
        <w:autoSpaceDE w:val="0"/>
        <w:autoSpaceDN w:val="0"/>
        <w:adjustRightInd w:val="0"/>
        <w:spacing w:line="276" w:lineRule="auto"/>
        <w:jc w:val="both"/>
        <w:rPr>
          <w:rFonts w:ascii="Arial" w:hAnsi="Arial" w:cs="Arial"/>
          <w:lang w:val="es-ES"/>
        </w:rPr>
      </w:pPr>
      <w:r w:rsidRPr="001F21A7">
        <w:rPr>
          <w:rFonts w:ascii="Arial" w:hAnsi="Arial" w:cs="Arial"/>
          <w:lang w:val="es-ES"/>
        </w:rPr>
        <w:lastRenderedPageBreak/>
        <w:t>Así, es obligación del juzgador verificar en conjunto con el secretario del despacho todas las cuestiones relativas al proceso, tal como lo establece el numeral 11 del artículo 42 del C.G.P.</w:t>
      </w:r>
    </w:p>
    <w:p w14:paraId="03C0978A" w14:textId="77777777" w:rsidR="00124C47" w:rsidRPr="001F21A7" w:rsidRDefault="00124C47" w:rsidP="001F21A7">
      <w:pPr>
        <w:autoSpaceDE w:val="0"/>
        <w:autoSpaceDN w:val="0"/>
        <w:adjustRightInd w:val="0"/>
        <w:spacing w:line="276" w:lineRule="auto"/>
        <w:jc w:val="both"/>
        <w:rPr>
          <w:rFonts w:ascii="Arial" w:hAnsi="Arial" w:cs="Arial"/>
          <w:lang w:val="es-ES"/>
        </w:rPr>
      </w:pPr>
    </w:p>
    <w:p w14:paraId="337A0616" w14:textId="11619AA2" w:rsidR="006D7304" w:rsidRPr="001F21A7" w:rsidRDefault="0A0AA082" w:rsidP="001F21A7">
      <w:pPr>
        <w:spacing w:line="276" w:lineRule="auto"/>
        <w:jc w:val="both"/>
        <w:rPr>
          <w:rFonts w:ascii="Arial" w:hAnsi="Arial" w:cs="Arial"/>
          <w:lang w:val="es-ES"/>
        </w:rPr>
      </w:pPr>
      <w:r w:rsidRPr="001F21A7">
        <w:rPr>
          <w:rFonts w:ascii="Arial" w:hAnsi="Arial" w:cs="Arial"/>
          <w:lang w:val="es-ES"/>
        </w:rPr>
        <w:t>Ahora bien, conforme al artículo 78 del C.G.P. las partes y apoderados tienen deberes y responsabilidades dentro del proceso, el primero de ellos y más importante es “</w:t>
      </w:r>
      <w:r w:rsidRPr="00EE2274">
        <w:rPr>
          <w:rFonts w:ascii="Arial" w:hAnsi="Arial" w:cs="Arial"/>
          <w:i/>
          <w:iCs/>
          <w:sz w:val="22"/>
          <w:lang w:val="es-ES"/>
        </w:rPr>
        <w:t>proceder con lealtad y buena fe en todos sus actos</w:t>
      </w:r>
      <w:r w:rsidRPr="001F21A7">
        <w:rPr>
          <w:rFonts w:ascii="Arial" w:hAnsi="Arial" w:cs="Arial"/>
          <w:i/>
          <w:iCs/>
          <w:lang w:val="es-ES"/>
        </w:rPr>
        <w:t>”</w:t>
      </w:r>
      <w:r w:rsidRPr="001F21A7">
        <w:rPr>
          <w:rFonts w:ascii="Arial" w:hAnsi="Arial" w:cs="Arial"/>
          <w:lang w:val="es-ES"/>
        </w:rPr>
        <w:t xml:space="preserve"> – numeral 1°</w:t>
      </w:r>
      <w:r w:rsidR="006A0B07">
        <w:rPr>
          <w:rFonts w:ascii="Arial" w:hAnsi="Arial" w:cs="Arial"/>
          <w:lang w:val="es-ES"/>
        </w:rPr>
        <w:t xml:space="preserve"> –</w:t>
      </w:r>
      <w:r w:rsidRPr="001F21A7">
        <w:rPr>
          <w:rFonts w:ascii="Arial" w:hAnsi="Arial" w:cs="Arial"/>
          <w:lang w:val="es-ES"/>
        </w:rPr>
        <w:t xml:space="preserve">, así como que tienen la responsabilidad de realizar las gestiones y diligencias necesarias para lograr oportunamente la integración del contradictorio – numeral 6° </w:t>
      </w:r>
      <w:r w:rsidR="006A0B07">
        <w:rPr>
          <w:rFonts w:ascii="Arial" w:hAnsi="Arial" w:cs="Arial"/>
          <w:lang w:val="es-ES"/>
        </w:rPr>
        <w:t>–</w:t>
      </w:r>
      <w:r w:rsidR="4EE52607" w:rsidRPr="001F21A7">
        <w:rPr>
          <w:rFonts w:ascii="Arial" w:hAnsi="Arial" w:cs="Arial"/>
          <w:lang w:val="es-ES"/>
        </w:rPr>
        <w:t>.</w:t>
      </w:r>
    </w:p>
    <w:p w14:paraId="75DD3958" w14:textId="7169DD50" w:rsidR="006D7304" w:rsidRPr="001F21A7" w:rsidRDefault="006D7304" w:rsidP="001F21A7">
      <w:pPr>
        <w:spacing w:line="276" w:lineRule="auto"/>
        <w:jc w:val="both"/>
        <w:rPr>
          <w:rFonts w:ascii="Arial" w:hAnsi="Arial" w:cs="Arial"/>
        </w:rPr>
      </w:pPr>
    </w:p>
    <w:p w14:paraId="055C4359" w14:textId="5CEDAD6E" w:rsidR="006D7304" w:rsidRPr="001F21A7" w:rsidRDefault="006D7304" w:rsidP="001F21A7">
      <w:pPr>
        <w:spacing w:line="276" w:lineRule="auto"/>
        <w:jc w:val="both"/>
        <w:rPr>
          <w:rFonts w:ascii="Arial" w:hAnsi="Arial" w:cs="Arial"/>
          <w:b/>
        </w:rPr>
      </w:pPr>
      <w:r w:rsidRPr="001F21A7">
        <w:rPr>
          <w:rFonts w:ascii="Arial" w:hAnsi="Arial" w:cs="Arial"/>
          <w:b/>
        </w:rPr>
        <w:t>2.2. Fundamento fáctico</w:t>
      </w:r>
    </w:p>
    <w:p w14:paraId="252339BE" w14:textId="536AED43" w:rsidR="006D7304" w:rsidRPr="001F21A7" w:rsidRDefault="006D7304" w:rsidP="001F21A7">
      <w:pPr>
        <w:spacing w:line="276" w:lineRule="auto"/>
        <w:jc w:val="both"/>
        <w:rPr>
          <w:rFonts w:ascii="Arial" w:hAnsi="Arial" w:cs="Arial"/>
        </w:rPr>
      </w:pPr>
    </w:p>
    <w:p w14:paraId="1CAF3C96" w14:textId="1BD60465" w:rsidR="000A36AF" w:rsidRPr="001F21A7" w:rsidRDefault="48FD64FE" w:rsidP="001F21A7">
      <w:pPr>
        <w:spacing w:line="276" w:lineRule="auto"/>
        <w:jc w:val="both"/>
        <w:rPr>
          <w:rFonts w:ascii="Arial" w:hAnsi="Arial" w:cs="Arial"/>
          <w:lang w:val="es-ES"/>
        </w:rPr>
      </w:pPr>
      <w:r w:rsidRPr="001F21A7">
        <w:rPr>
          <w:rFonts w:ascii="Arial" w:hAnsi="Arial" w:cs="Arial"/>
          <w:lang w:val="es-ES"/>
        </w:rPr>
        <w:t>Escrutado el material probatorio se observa que el título de recaudo ejecutivo es una providencia judicial</w:t>
      </w:r>
      <w:r w:rsidR="1FB7EDDF" w:rsidRPr="001F21A7">
        <w:rPr>
          <w:rFonts w:ascii="Arial" w:hAnsi="Arial" w:cs="Arial"/>
          <w:lang w:val="es-ES"/>
        </w:rPr>
        <w:t xml:space="preserve"> proferida el </w:t>
      </w:r>
      <w:r w:rsidR="261AC976" w:rsidRPr="001F21A7">
        <w:rPr>
          <w:rFonts w:ascii="Arial" w:hAnsi="Arial" w:cs="Arial"/>
          <w:lang w:val="es-ES"/>
        </w:rPr>
        <w:t>28/11/2008 (fl. 9, archivo 30, c. 1, exp. Digital)</w:t>
      </w:r>
      <w:r w:rsidRPr="001F21A7">
        <w:rPr>
          <w:rFonts w:ascii="Arial" w:hAnsi="Arial" w:cs="Arial"/>
          <w:lang w:val="es-ES"/>
        </w:rPr>
        <w:t>, y concretamente el reclamó ejecutivo proviene</w:t>
      </w:r>
      <w:r w:rsidR="28F58DFA" w:rsidRPr="001F21A7">
        <w:rPr>
          <w:rFonts w:ascii="Arial" w:hAnsi="Arial" w:cs="Arial"/>
          <w:lang w:val="es-ES"/>
        </w:rPr>
        <w:t xml:space="preserve"> de un proceso ordinario laboral en el que se condenó a la ejecutada al pago de prestaciones sociales, indemnizaciones y aportes pensionales (archivo 30, c. principal, exp. Digital), que a su vez fueron exigibles</w:t>
      </w:r>
      <w:r w:rsidR="2E3AB82A" w:rsidRPr="001F21A7">
        <w:rPr>
          <w:rFonts w:ascii="Arial" w:hAnsi="Arial" w:cs="Arial"/>
          <w:lang w:val="es-ES"/>
        </w:rPr>
        <w:t xml:space="preserve"> al día siguiente </w:t>
      </w:r>
      <w:r w:rsidR="70DABB0A" w:rsidRPr="001F21A7">
        <w:rPr>
          <w:rFonts w:ascii="Arial" w:hAnsi="Arial" w:cs="Arial"/>
          <w:lang w:val="es-ES"/>
        </w:rPr>
        <w:t>al de la notificación del auto de obedecimiento a lo resuelto por el superior – art. 305 del C.G.P. -</w:t>
      </w:r>
      <w:r w:rsidR="28F58DFA" w:rsidRPr="001F21A7">
        <w:rPr>
          <w:rFonts w:ascii="Arial" w:hAnsi="Arial" w:cs="Arial"/>
          <w:lang w:val="es-ES"/>
        </w:rPr>
        <w:t>,</w:t>
      </w:r>
      <w:r w:rsidR="0BE95C93" w:rsidRPr="001F21A7">
        <w:rPr>
          <w:rFonts w:ascii="Arial" w:hAnsi="Arial" w:cs="Arial"/>
          <w:lang w:val="es-ES"/>
        </w:rPr>
        <w:t xml:space="preserve"> </w:t>
      </w:r>
      <w:r w:rsidR="28F58DFA" w:rsidRPr="001F21A7">
        <w:rPr>
          <w:rFonts w:ascii="Arial" w:hAnsi="Arial" w:cs="Arial"/>
          <w:lang w:val="es-ES"/>
        </w:rPr>
        <w:t>el 2</w:t>
      </w:r>
      <w:r w:rsidR="6D42F3FC" w:rsidRPr="001F21A7">
        <w:rPr>
          <w:rFonts w:ascii="Arial" w:hAnsi="Arial" w:cs="Arial"/>
          <w:lang w:val="es-ES"/>
        </w:rPr>
        <w:t>2</w:t>
      </w:r>
      <w:r w:rsidR="28F58DFA" w:rsidRPr="001F21A7">
        <w:rPr>
          <w:rFonts w:ascii="Arial" w:hAnsi="Arial" w:cs="Arial"/>
          <w:lang w:val="es-ES"/>
        </w:rPr>
        <w:t>/05/2009</w:t>
      </w:r>
      <w:r w:rsidR="6AC2C3DD" w:rsidRPr="001F21A7">
        <w:rPr>
          <w:rFonts w:ascii="Arial" w:hAnsi="Arial" w:cs="Arial"/>
          <w:lang w:val="es-ES"/>
        </w:rPr>
        <w:t xml:space="preserve"> </w:t>
      </w:r>
      <w:r w:rsidR="28F58DFA" w:rsidRPr="001F21A7">
        <w:rPr>
          <w:rFonts w:ascii="Arial" w:hAnsi="Arial" w:cs="Arial"/>
          <w:lang w:val="es-ES"/>
        </w:rPr>
        <w:t>(archivo 19, c. 2da instancia, c. apelación de sentencia).</w:t>
      </w:r>
    </w:p>
    <w:p w14:paraId="7F39B625" w14:textId="25432A01" w:rsidR="006D7304" w:rsidRPr="001F21A7" w:rsidRDefault="000A36AF" w:rsidP="001F21A7">
      <w:pPr>
        <w:spacing w:line="276" w:lineRule="auto"/>
        <w:jc w:val="both"/>
        <w:rPr>
          <w:rFonts w:ascii="Arial" w:hAnsi="Arial" w:cs="Arial"/>
          <w:lang w:val="es-ES"/>
        </w:rPr>
      </w:pPr>
      <w:r w:rsidRPr="001F21A7">
        <w:rPr>
          <w:rFonts w:ascii="Arial" w:hAnsi="Arial" w:cs="Arial"/>
          <w:lang w:val="es-ES"/>
        </w:rPr>
        <w:t xml:space="preserve"> </w:t>
      </w:r>
    </w:p>
    <w:p w14:paraId="4718B130" w14:textId="01EE71AC" w:rsidR="006D7304" w:rsidRPr="001F21A7" w:rsidRDefault="48FD64FE" w:rsidP="001F21A7">
      <w:pPr>
        <w:spacing w:line="276" w:lineRule="auto"/>
        <w:jc w:val="both"/>
        <w:rPr>
          <w:rFonts w:ascii="Arial" w:hAnsi="Arial" w:cs="Arial"/>
          <w:lang w:val="es-ES"/>
        </w:rPr>
      </w:pPr>
      <w:r w:rsidRPr="001F21A7">
        <w:rPr>
          <w:rFonts w:ascii="Arial" w:hAnsi="Arial" w:cs="Arial"/>
          <w:lang w:val="es-ES"/>
        </w:rPr>
        <w:t xml:space="preserve">Ahora bien, el </w:t>
      </w:r>
      <w:r w:rsidR="28F58DFA" w:rsidRPr="001F21A7">
        <w:rPr>
          <w:rFonts w:ascii="Arial" w:hAnsi="Arial" w:cs="Arial"/>
          <w:lang w:val="es-ES"/>
        </w:rPr>
        <w:t>12/06/2009</w:t>
      </w:r>
      <w:r w:rsidRPr="001F21A7">
        <w:rPr>
          <w:rFonts w:ascii="Arial" w:hAnsi="Arial" w:cs="Arial"/>
          <w:lang w:val="es-ES"/>
        </w:rPr>
        <w:t xml:space="preserve"> se solicitó que se librara mandamiento de pago (</w:t>
      </w:r>
      <w:r w:rsidR="28F58DFA" w:rsidRPr="001F21A7">
        <w:rPr>
          <w:rFonts w:ascii="Arial" w:hAnsi="Arial" w:cs="Arial"/>
          <w:lang w:val="es-ES"/>
        </w:rPr>
        <w:t>fl. 4, archivo 01, c. ejecutivo</w:t>
      </w:r>
      <w:r w:rsidRPr="001F21A7">
        <w:rPr>
          <w:rFonts w:ascii="Arial" w:hAnsi="Arial" w:cs="Arial"/>
          <w:lang w:val="es-ES"/>
        </w:rPr>
        <w:t>)</w:t>
      </w:r>
      <w:r w:rsidR="6CCAAD29" w:rsidRPr="001F21A7">
        <w:rPr>
          <w:rFonts w:ascii="Arial" w:hAnsi="Arial" w:cs="Arial"/>
          <w:lang w:val="es-ES"/>
        </w:rPr>
        <w:t xml:space="preserve"> dentro del término </w:t>
      </w:r>
      <w:r w:rsidR="600737A8" w:rsidRPr="001F21A7">
        <w:rPr>
          <w:rFonts w:ascii="Arial" w:hAnsi="Arial" w:cs="Arial"/>
          <w:lang w:val="es-ES"/>
        </w:rPr>
        <w:t>30 días</w:t>
      </w:r>
      <w:r w:rsidR="03DCAC56" w:rsidRPr="001F21A7">
        <w:rPr>
          <w:rFonts w:ascii="Arial" w:hAnsi="Arial" w:cs="Arial"/>
          <w:lang w:val="es-ES"/>
        </w:rPr>
        <w:t xml:space="preserve"> siguientes a la ejecutoria de la notificación del auto de obedecimiento a lo dispuesto por el superior,</w:t>
      </w:r>
      <w:r w:rsidR="0F7B98A6" w:rsidRPr="001F21A7">
        <w:rPr>
          <w:rFonts w:ascii="Arial" w:hAnsi="Arial" w:cs="Arial"/>
          <w:lang w:val="es-ES"/>
        </w:rPr>
        <w:t xml:space="preserve"> tal como dispone</w:t>
      </w:r>
      <w:r w:rsidR="600737A8" w:rsidRPr="001F21A7">
        <w:rPr>
          <w:rFonts w:ascii="Arial" w:hAnsi="Arial" w:cs="Arial"/>
          <w:lang w:val="es-ES"/>
        </w:rPr>
        <w:t xml:space="preserve"> el artículo 306 del C.G.P. para que la notificación</w:t>
      </w:r>
      <w:r w:rsidR="1321D923" w:rsidRPr="001F21A7">
        <w:rPr>
          <w:rFonts w:ascii="Arial" w:hAnsi="Arial" w:cs="Arial"/>
          <w:lang w:val="es-ES"/>
        </w:rPr>
        <w:t xml:space="preserve"> al ejecutado se surtiera a través de</w:t>
      </w:r>
      <w:r w:rsidR="600737A8" w:rsidRPr="001F21A7">
        <w:rPr>
          <w:rFonts w:ascii="Arial" w:hAnsi="Arial" w:cs="Arial"/>
          <w:lang w:val="es-ES"/>
        </w:rPr>
        <w:t xml:space="preserve"> estados. </w:t>
      </w:r>
    </w:p>
    <w:p w14:paraId="2517233C" w14:textId="773A06C2" w:rsidR="006D7304" w:rsidRPr="001F21A7" w:rsidRDefault="006D7304" w:rsidP="001F21A7">
      <w:pPr>
        <w:spacing w:line="276" w:lineRule="auto"/>
        <w:jc w:val="both"/>
        <w:rPr>
          <w:rFonts w:ascii="Arial" w:hAnsi="Arial" w:cs="Arial"/>
          <w:lang w:val="es-ES"/>
        </w:rPr>
      </w:pPr>
    </w:p>
    <w:p w14:paraId="0690B1CA" w14:textId="7E3C3295" w:rsidR="006D7304" w:rsidRPr="001F21A7" w:rsidRDefault="600737A8" w:rsidP="001F21A7">
      <w:pPr>
        <w:spacing w:line="276" w:lineRule="auto"/>
        <w:jc w:val="both"/>
        <w:rPr>
          <w:rFonts w:ascii="Arial" w:hAnsi="Arial" w:cs="Arial"/>
          <w:lang w:val="es-ES"/>
        </w:rPr>
      </w:pPr>
      <w:r w:rsidRPr="001F21A7">
        <w:rPr>
          <w:rFonts w:ascii="Arial" w:hAnsi="Arial" w:cs="Arial"/>
          <w:lang w:val="es-ES"/>
        </w:rPr>
        <w:t>Así, el 10/07/2009</w:t>
      </w:r>
      <w:r w:rsidR="48FD64FE" w:rsidRPr="001F21A7">
        <w:rPr>
          <w:rFonts w:ascii="Arial" w:hAnsi="Arial" w:cs="Arial"/>
          <w:lang w:val="es-ES"/>
        </w:rPr>
        <w:t xml:space="preserve"> se libró el mandamiento de pago (archivo </w:t>
      </w:r>
      <w:r w:rsidR="28F58DFA" w:rsidRPr="001F21A7">
        <w:rPr>
          <w:rFonts w:ascii="Arial" w:hAnsi="Arial" w:cs="Arial"/>
          <w:lang w:val="es-ES"/>
        </w:rPr>
        <w:t>03</w:t>
      </w:r>
      <w:r w:rsidR="48FD64FE" w:rsidRPr="001F21A7">
        <w:rPr>
          <w:rFonts w:ascii="Arial" w:hAnsi="Arial" w:cs="Arial"/>
          <w:lang w:val="es-ES"/>
        </w:rPr>
        <w:t xml:space="preserve">, </w:t>
      </w:r>
      <w:r w:rsidR="28F58DFA" w:rsidRPr="001F21A7">
        <w:rPr>
          <w:rFonts w:ascii="Arial" w:hAnsi="Arial" w:cs="Arial"/>
          <w:lang w:val="es-ES"/>
        </w:rPr>
        <w:t xml:space="preserve">c. ejecutivo, </w:t>
      </w:r>
      <w:r w:rsidR="48FD64FE" w:rsidRPr="001F21A7">
        <w:rPr>
          <w:rFonts w:ascii="Arial" w:hAnsi="Arial" w:cs="Arial"/>
          <w:lang w:val="es-ES"/>
        </w:rPr>
        <w:t>exp. digital)</w:t>
      </w:r>
      <w:r w:rsidR="28F58DFA" w:rsidRPr="001F21A7">
        <w:rPr>
          <w:rFonts w:ascii="Arial" w:hAnsi="Arial" w:cs="Arial"/>
          <w:lang w:val="es-ES"/>
        </w:rPr>
        <w:t xml:space="preserve"> y se insertó en estados el día siguiente (fl. 4, </w:t>
      </w:r>
      <w:r w:rsidR="001F5931" w:rsidRPr="001F21A7">
        <w:rPr>
          <w:rFonts w:ascii="Arial" w:hAnsi="Arial" w:cs="Arial"/>
          <w:lang w:val="es-ES"/>
        </w:rPr>
        <w:t>ibídem</w:t>
      </w:r>
      <w:r w:rsidR="28F58DFA" w:rsidRPr="001F21A7">
        <w:rPr>
          <w:rFonts w:ascii="Arial" w:hAnsi="Arial" w:cs="Arial"/>
          <w:lang w:val="es-ES"/>
        </w:rPr>
        <w:t xml:space="preserve"> y fl. 1, archivo 31, c. ejecutivo, exp. Digital)</w:t>
      </w:r>
      <w:r w:rsidR="28C3E49C" w:rsidRPr="001F21A7">
        <w:rPr>
          <w:rFonts w:ascii="Arial" w:hAnsi="Arial" w:cs="Arial"/>
          <w:lang w:val="es-ES"/>
        </w:rPr>
        <w:t>; no obstante</w:t>
      </w:r>
      <w:r w:rsidR="1CDF8F64" w:rsidRPr="001F21A7">
        <w:rPr>
          <w:rFonts w:ascii="Arial" w:hAnsi="Arial" w:cs="Arial"/>
          <w:lang w:val="es-ES"/>
        </w:rPr>
        <w:t xml:space="preserve"> esta providencia </w:t>
      </w:r>
      <w:r w:rsidR="28C3E49C" w:rsidRPr="001F21A7">
        <w:rPr>
          <w:rFonts w:ascii="Arial" w:hAnsi="Arial" w:cs="Arial"/>
          <w:lang w:val="es-ES"/>
        </w:rPr>
        <w:t>fue indebidamente insertad</w:t>
      </w:r>
      <w:r w:rsidR="4A3E439F" w:rsidRPr="001F21A7">
        <w:rPr>
          <w:rFonts w:ascii="Arial" w:hAnsi="Arial" w:cs="Arial"/>
          <w:lang w:val="es-ES"/>
        </w:rPr>
        <w:t>a</w:t>
      </w:r>
      <w:r w:rsidR="28C3E49C" w:rsidRPr="001F21A7">
        <w:rPr>
          <w:rFonts w:ascii="Arial" w:hAnsi="Arial" w:cs="Arial"/>
          <w:lang w:val="es-ES"/>
        </w:rPr>
        <w:t xml:space="preserve"> en el estado No. 106 del 13/07/2009, pues se escribió un radicado erróneo y no se ingresó el nombre del ejecutado, tal como exige el artículo 295 del C.G.P.</w:t>
      </w:r>
      <w:r w:rsidR="29D8C012" w:rsidRPr="001F21A7">
        <w:rPr>
          <w:rFonts w:ascii="Arial" w:hAnsi="Arial" w:cs="Arial"/>
          <w:lang w:val="es-ES"/>
        </w:rPr>
        <w:t>,</w:t>
      </w:r>
      <w:r w:rsidR="28C3E49C" w:rsidRPr="001F21A7">
        <w:rPr>
          <w:rFonts w:ascii="Arial" w:hAnsi="Arial" w:cs="Arial"/>
          <w:lang w:val="es-ES"/>
        </w:rPr>
        <w:t xml:space="preserve"> como se explicará a detalle en las líneas siguientes; por lo que, el auto que libró mandamiento de pago no fue notificado</w:t>
      </w:r>
      <w:r w:rsidR="6E530805" w:rsidRPr="001F21A7">
        <w:rPr>
          <w:rFonts w:ascii="Arial" w:hAnsi="Arial" w:cs="Arial"/>
          <w:lang w:val="es-ES"/>
        </w:rPr>
        <w:t xml:space="preserve"> a</w:t>
      </w:r>
      <w:r w:rsidR="1951F081" w:rsidRPr="001F21A7">
        <w:rPr>
          <w:rFonts w:ascii="Arial" w:hAnsi="Arial" w:cs="Arial"/>
          <w:lang w:val="es-ES"/>
        </w:rPr>
        <w:t xml:space="preserve"> </w:t>
      </w:r>
      <w:r w:rsidR="6E530805" w:rsidRPr="001F21A7">
        <w:rPr>
          <w:rFonts w:ascii="Arial" w:hAnsi="Arial" w:cs="Arial"/>
          <w:lang w:val="es-ES"/>
        </w:rPr>
        <w:t>l</w:t>
      </w:r>
      <w:r w:rsidR="1951F081" w:rsidRPr="001F21A7">
        <w:rPr>
          <w:rFonts w:ascii="Arial" w:hAnsi="Arial" w:cs="Arial"/>
          <w:lang w:val="es-ES"/>
        </w:rPr>
        <w:t>a</w:t>
      </w:r>
      <w:r w:rsidR="6E530805" w:rsidRPr="001F21A7">
        <w:rPr>
          <w:rFonts w:ascii="Arial" w:hAnsi="Arial" w:cs="Arial"/>
          <w:lang w:val="es-ES"/>
        </w:rPr>
        <w:t xml:space="preserve"> ejecutad</w:t>
      </w:r>
      <w:r w:rsidR="789169FE" w:rsidRPr="001F21A7">
        <w:rPr>
          <w:rFonts w:ascii="Arial" w:hAnsi="Arial" w:cs="Arial"/>
          <w:lang w:val="es-ES"/>
        </w:rPr>
        <w:t>a</w:t>
      </w:r>
      <w:r w:rsidR="28C3E49C" w:rsidRPr="001F21A7">
        <w:rPr>
          <w:rFonts w:ascii="Arial" w:hAnsi="Arial" w:cs="Arial"/>
          <w:lang w:val="es-ES"/>
        </w:rPr>
        <w:t xml:space="preserve"> al día siguiente de su proferimiento, sino hasta el 13/05/2021 cuando se dio por notificada por conducta concluyente conforme al auto proferido el 25/10/2021 (archivo 23, c. ejecutivo, exp. Digital), esto es, más de una década después del año con que contaba la parte ejecutante para interrumpir la prescripción de 3 años que consagran las normas laborales,</w:t>
      </w:r>
      <w:r w:rsidR="7A0BCB9F" w:rsidRPr="001F21A7">
        <w:rPr>
          <w:rFonts w:ascii="Arial" w:hAnsi="Arial" w:cs="Arial"/>
          <w:lang w:val="es-ES"/>
        </w:rPr>
        <w:t xml:space="preserve"> es decir</w:t>
      </w:r>
      <w:r w:rsidR="28C3E49C" w:rsidRPr="001F21A7">
        <w:rPr>
          <w:rFonts w:ascii="Arial" w:hAnsi="Arial" w:cs="Arial"/>
          <w:lang w:val="es-ES"/>
        </w:rPr>
        <w:t xml:space="preserve">, tenía hasta el 10/07/2010, pero solo lo hizo el 25/10/2021, </w:t>
      </w:r>
      <w:r w:rsidR="48FD64FE" w:rsidRPr="001F21A7">
        <w:rPr>
          <w:rFonts w:ascii="Arial" w:hAnsi="Arial" w:cs="Arial"/>
          <w:lang w:val="es-ES"/>
        </w:rPr>
        <w:t xml:space="preserve">de ahí que el cobro ejecutivo de </w:t>
      </w:r>
      <w:r w:rsidR="28C3E49C" w:rsidRPr="001F21A7">
        <w:rPr>
          <w:rFonts w:ascii="Arial" w:hAnsi="Arial" w:cs="Arial"/>
          <w:lang w:val="es-ES"/>
        </w:rPr>
        <w:t>la providencia judicial</w:t>
      </w:r>
      <w:r w:rsidR="48FD64FE" w:rsidRPr="001F21A7">
        <w:rPr>
          <w:rFonts w:ascii="Arial" w:hAnsi="Arial" w:cs="Arial"/>
          <w:lang w:val="es-ES"/>
        </w:rPr>
        <w:t xml:space="preserve"> </w:t>
      </w:r>
      <w:r w:rsidR="3AFC21E0" w:rsidRPr="001F21A7">
        <w:rPr>
          <w:rFonts w:ascii="Arial" w:hAnsi="Arial" w:cs="Arial"/>
          <w:lang w:val="es-ES"/>
        </w:rPr>
        <w:t>prescribió.</w:t>
      </w:r>
    </w:p>
    <w:p w14:paraId="481D08DE" w14:textId="77777777" w:rsidR="006D7304" w:rsidRPr="001F21A7" w:rsidRDefault="006D7304" w:rsidP="001F21A7">
      <w:pPr>
        <w:spacing w:line="276" w:lineRule="auto"/>
        <w:jc w:val="both"/>
        <w:rPr>
          <w:rFonts w:ascii="Arial" w:hAnsi="Arial" w:cs="Arial"/>
        </w:rPr>
      </w:pPr>
    </w:p>
    <w:p w14:paraId="1F29CA88" w14:textId="2E38BA28" w:rsidR="006D7304" w:rsidRPr="001F21A7" w:rsidRDefault="00983C1B" w:rsidP="001F21A7">
      <w:pPr>
        <w:spacing w:line="276" w:lineRule="auto"/>
        <w:jc w:val="both"/>
        <w:rPr>
          <w:rFonts w:ascii="Arial" w:hAnsi="Arial" w:cs="Arial"/>
        </w:rPr>
      </w:pPr>
      <w:r w:rsidRPr="001F21A7">
        <w:rPr>
          <w:rFonts w:ascii="Arial" w:hAnsi="Arial" w:cs="Arial"/>
        </w:rPr>
        <w:t>Al punto es preciso acotar que en el evento de ahora la aludida prescripción deviene por los siguientes argumentos.</w:t>
      </w:r>
    </w:p>
    <w:p w14:paraId="3A2D6610" w14:textId="7AB147A7" w:rsidR="00983C1B" w:rsidRPr="001F21A7" w:rsidRDefault="00983C1B" w:rsidP="001F21A7">
      <w:pPr>
        <w:spacing w:line="276" w:lineRule="auto"/>
        <w:jc w:val="both"/>
        <w:rPr>
          <w:rFonts w:ascii="Arial" w:hAnsi="Arial" w:cs="Arial"/>
        </w:rPr>
      </w:pPr>
    </w:p>
    <w:p w14:paraId="7E16DBAF" w14:textId="3D4E41B4" w:rsidR="00983C1B" w:rsidRPr="001F21A7" w:rsidRDefault="0BBA3363" w:rsidP="001F21A7">
      <w:pPr>
        <w:spacing w:line="276" w:lineRule="auto"/>
        <w:jc w:val="both"/>
        <w:rPr>
          <w:rFonts w:ascii="Arial" w:hAnsi="Arial" w:cs="Arial"/>
        </w:rPr>
      </w:pPr>
      <w:r w:rsidRPr="001F21A7">
        <w:rPr>
          <w:rFonts w:ascii="Arial" w:hAnsi="Arial" w:cs="Arial"/>
        </w:rPr>
        <w:t>Conforme a las pruebas aportadas al plenario se advierte que la decisión a través de la cual se libró el mandamiento de pago se inscribió en el estado</w:t>
      </w:r>
      <w:r w:rsidR="4F60B4A1" w:rsidRPr="001F21A7">
        <w:rPr>
          <w:rFonts w:ascii="Arial" w:hAnsi="Arial" w:cs="Arial"/>
        </w:rPr>
        <w:t xml:space="preserve"> número 106</w:t>
      </w:r>
      <w:r w:rsidRPr="001F21A7">
        <w:rPr>
          <w:rFonts w:ascii="Arial" w:hAnsi="Arial" w:cs="Arial"/>
        </w:rPr>
        <w:t xml:space="preserve"> publicado el 13/07/2009 (fl. 1, archivo 31, c. ejecutivo, exp. Digital) en el que </w:t>
      </w:r>
      <w:r w:rsidR="22C1FC1B" w:rsidRPr="001F21A7">
        <w:rPr>
          <w:rFonts w:ascii="Arial" w:hAnsi="Arial" w:cs="Arial"/>
        </w:rPr>
        <w:t>se ve</w:t>
      </w:r>
      <w:r w:rsidRPr="001F21A7">
        <w:rPr>
          <w:rFonts w:ascii="Arial" w:hAnsi="Arial" w:cs="Arial"/>
        </w:rPr>
        <w:t xml:space="preserve"> que </w:t>
      </w:r>
      <w:r w:rsidR="0FC5EED2" w:rsidRPr="001F21A7">
        <w:rPr>
          <w:rFonts w:ascii="Arial" w:hAnsi="Arial" w:cs="Arial"/>
        </w:rPr>
        <w:t xml:space="preserve">en </w:t>
      </w:r>
      <w:r w:rsidRPr="001F21A7">
        <w:rPr>
          <w:rFonts w:ascii="Arial" w:hAnsi="Arial" w:cs="Arial"/>
        </w:rPr>
        <w:t>el documento publicado en el lugar visible de la secretaria se inscribieron los siguientes datos:</w:t>
      </w:r>
    </w:p>
    <w:p w14:paraId="35AB5AD7" w14:textId="41AF7130" w:rsidR="00983C1B" w:rsidRPr="001F21A7" w:rsidRDefault="00983C1B" w:rsidP="001F21A7">
      <w:pPr>
        <w:spacing w:line="276" w:lineRule="auto"/>
        <w:jc w:val="both"/>
        <w:rPr>
          <w:rFonts w:ascii="Arial" w:hAnsi="Arial" w:cs="Arial"/>
        </w:rPr>
      </w:pPr>
    </w:p>
    <w:p w14:paraId="0296065F" w14:textId="507F2C5F" w:rsidR="00983C1B" w:rsidRPr="001F21A7" w:rsidRDefault="00983C1B" w:rsidP="00EE2274">
      <w:pPr>
        <w:spacing w:line="276" w:lineRule="auto"/>
        <w:jc w:val="center"/>
        <w:rPr>
          <w:rFonts w:ascii="Arial" w:hAnsi="Arial" w:cs="Arial"/>
        </w:rPr>
      </w:pPr>
      <w:r w:rsidRPr="001F21A7">
        <w:rPr>
          <w:rFonts w:ascii="Arial" w:hAnsi="Arial" w:cs="Arial"/>
          <w:noProof/>
          <w:lang w:val="en-US" w:eastAsia="en-US"/>
        </w:rPr>
        <w:lastRenderedPageBreak/>
        <w:drawing>
          <wp:inline distT="0" distB="0" distL="0" distR="0" wp14:anchorId="39D62BC1" wp14:editId="68596387">
            <wp:extent cx="4352381" cy="1438095"/>
            <wp:effectExtent l="0" t="0" r="0" b="0"/>
            <wp:docPr id="310321352"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321352" name="Imagen 1" descr="Tabla&#10;&#10;Descripción generada automáticamente"/>
                    <pic:cNvPicPr/>
                  </pic:nvPicPr>
                  <pic:blipFill>
                    <a:blip r:embed="rId12"/>
                    <a:stretch>
                      <a:fillRect/>
                    </a:stretch>
                  </pic:blipFill>
                  <pic:spPr>
                    <a:xfrm>
                      <a:off x="0" y="0"/>
                      <a:ext cx="4352381" cy="1438095"/>
                    </a:xfrm>
                    <a:prstGeom prst="rect">
                      <a:avLst/>
                    </a:prstGeom>
                  </pic:spPr>
                </pic:pic>
              </a:graphicData>
            </a:graphic>
          </wp:inline>
        </w:drawing>
      </w:r>
    </w:p>
    <w:p w14:paraId="68EE38D2" w14:textId="1606C09C" w:rsidR="006D7304" w:rsidRPr="001F21A7" w:rsidRDefault="006D7304" w:rsidP="001F21A7">
      <w:pPr>
        <w:spacing w:line="276" w:lineRule="auto"/>
        <w:jc w:val="both"/>
        <w:rPr>
          <w:rFonts w:ascii="Arial" w:hAnsi="Arial" w:cs="Arial"/>
        </w:rPr>
      </w:pPr>
    </w:p>
    <w:p w14:paraId="437DE9E4" w14:textId="4787BBA6" w:rsidR="00983C1B" w:rsidRPr="001F21A7" w:rsidRDefault="0BBA3363" w:rsidP="001F21A7">
      <w:pPr>
        <w:autoSpaceDE w:val="0"/>
        <w:autoSpaceDN w:val="0"/>
        <w:adjustRightInd w:val="0"/>
        <w:spacing w:line="276" w:lineRule="auto"/>
        <w:jc w:val="both"/>
        <w:rPr>
          <w:rFonts w:ascii="Arial" w:hAnsi="Arial" w:cs="Arial"/>
        </w:rPr>
      </w:pPr>
      <w:r w:rsidRPr="001F21A7">
        <w:rPr>
          <w:rFonts w:ascii="Arial" w:hAnsi="Arial" w:cs="Arial"/>
        </w:rPr>
        <w:t>Esto es, se señaló la clase del proceso correspondiente al “</w:t>
      </w:r>
      <w:r w:rsidRPr="001F21A7">
        <w:rPr>
          <w:rFonts w:ascii="Arial" w:hAnsi="Arial" w:cs="Arial"/>
          <w:i/>
          <w:iCs/>
        </w:rPr>
        <w:t>ejecutivo”,</w:t>
      </w:r>
      <w:r w:rsidRPr="001F21A7">
        <w:rPr>
          <w:rFonts w:ascii="Arial" w:hAnsi="Arial" w:cs="Arial"/>
        </w:rPr>
        <w:t xml:space="preserve"> y solamente se insertó el nombre de los ejecutantes de ahora, pero nada se dijo sobre su parte contradictoria y más </w:t>
      </w:r>
      <w:r w:rsidR="63C54762" w:rsidRPr="001F21A7">
        <w:rPr>
          <w:rFonts w:ascii="Arial" w:hAnsi="Arial" w:cs="Arial"/>
        </w:rPr>
        <w:t>aún</w:t>
      </w:r>
      <w:r w:rsidRPr="001F21A7">
        <w:rPr>
          <w:rFonts w:ascii="Arial" w:hAnsi="Arial" w:cs="Arial"/>
        </w:rPr>
        <w:t xml:space="preserve">, el radicado que se indicó como correspondiente a ese proceso correspondió al </w:t>
      </w:r>
      <w:r w:rsidR="72910ABE" w:rsidRPr="001F21A7">
        <w:rPr>
          <w:rFonts w:ascii="Arial" w:hAnsi="Arial" w:cs="Arial"/>
        </w:rPr>
        <w:t>2009-00</w:t>
      </w:r>
      <w:r w:rsidRPr="001F21A7">
        <w:rPr>
          <w:rFonts w:ascii="Arial" w:hAnsi="Arial" w:cs="Arial"/>
        </w:rPr>
        <w:t xml:space="preserve">167, cuando el radicado del asunto correspondía a otro, esto es, el </w:t>
      </w:r>
      <w:r w:rsidR="48C05AB6" w:rsidRPr="001F21A7">
        <w:rPr>
          <w:rFonts w:ascii="Arial" w:hAnsi="Arial" w:cs="Arial"/>
        </w:rPr>
        <w:t>2009-00</w:t>
      </w:r>
      <w:r w:rsidRPr="001F21A7">
        <w:rPr>
          <w:rFonts w:ascii="Arial" w:hAnsi="Arial" w:cs="Arial"/>
        </w:rPr>
        <w:t>165.</w:t>
      </w:r>
    </w:p>
    <w:p w14:paraId="60EEDC89" w14:textId="468F4BF6" w:rsidR="00983C1B" w:rsidRPr="001F21A7" w:rsidRDefault="00983C1B" w:rsidP="001F21A7">
      <w:pPr>
        <w:autoSpaceDE w:val="0"/>
        <w:autoSpaceDN w:val="0"/>
        <w:adjustRightInd w:val="0"/>
        <w:spacing w:line="276" w:lineRule="auto"/>
        <w:jc w:val="both"/>
        <w:rPr>
          <w:rFonts w:ascii="Arial" w:hAnsi="Arial" w:cs="Arial"/>
        </w:rPr>
      </w:pPr>
    </w:p>
    <w:p w14:paraId="0261EE31" w14:textId="34080208" w:rsidR="00983C1B" w:rsidRPr="001F21A7" w:rsidRDefault="0BBA3363" w:rsidP="001F21A7">
      <w:pPr>
        <w:autoSpaceDE w:val="0"/>
        <w:autoSpaceDN w:val="0"/>
        <w:adjustRightInd w:val="0"/>
        <w:spacing w:line="276" w:lineRule="auto"/>
        <w:jc w:val="both"/>
        <w:rPr>
          <w:rFonts w:ascii="Arial" w:hAnsi="Arial" w:cs="Arial"/>
        </w:rPr>
      </w:pPr>
      <w:r w:rsidRPr="001F21A7">
        <w:rPr>
          <w:rFonts w:ascii="Arial" w:hAnsi="Arial" w:cs="Arial"/>
        </w:rPr>
        <w:t xml:space="preserve">Estado judicial que de entrada se advierte incumplió con lo preceptuado en el artículo 295 del C.G.P. </w:t>
      </w:r>
      <w:r w:rsidR="4F8B312A" w:rsidRPr="001F21A7">
        <w:rPr>
          <w:rFonts w:ascii="Arial" w:hAnsi="Arial" w:cs="Arial"/>
        </w:rPr>
        <w:t>- antes art. 321 del C.P.C. -</w:t>
      </w:r>
      <w:r w:rsidR="000A7327">
        <w:rPr>
          <w:rFonts w:ascii="Arial" w:hAnsi="Arial" w:cs="Arial"/>
        </w:rPr>
        <w:t xml:space="preserve"> </w:t>
      </w:r>
      <w:r w:rsidRPr="001F21A7">
        <w:rPr>
          <w:rFonts w:ascii="Arial" w:hAnsi="Arial" w:cs="Arial"/>
        </w:rPr>
        <w:t xml:space="preserve">en la medida que omitió ingresar el nombre del ejecutado, impidiendo con ello a Alejandra María López Jaramillo conocer que había sido propuesta una ejecución judicial en su contra, y más </w:t>
      </w:r>
      <w:r w:rsidR="6CD32335" w:rsidRPr="001F21A7">
        <w:rPr>
          <w:rFonts w:ascii="Arial" w:hAnsi="Arial" w:cs="Arial"/>
        </w:rPr>
        <w:t>aún</w:t>
      </w:r>
      <w:r w:rsidRPr="001F21A7">
        <w:rPr>
          <w:rFonts w:ascii="Arial" w:hAnsi="Arial" w:cs="Arial"/>
        </w:rPr>
        <w:t xml:space="preserve"> cuando el citado estado también omitió la determinación del proceso por su clase, pues </w:t>
      </w:r>
      <w:r w:rsidR="0472D4CA" w:rsidRPr="001F21A7">
        <w:rPr>
          <w:rFonts w:ascii="Arial" w:hAnsi="Arial" w:cs="Arial"/>
        </w:rPr>
        <w:t xml:space="preserve">pese que </w:t>
      </w:r>
      <w:r w:rsidRPr="001F21A7">
        <w:rPr>
          <w:rFonts w:ascii="Arial" w:hAnsi="Arial" w:cs="Arial"/>
        </w:rPr>
        <w:t xml:space="preserve">indicó que era un ejecutivo, no ingresó correctamente el número radicado y con ello también impidió a la ejecutada, que si bien no fue nombrada en el estado, conocer que se refería al proceso en el que ella había sido demandada en el proceso ordinario, pues no se determinó correctamente el proceso ejecutivo en su contra, </w:t>
      </w:r>
      <w:r w:rsidR="587D80A2" w:rsidRPr="001F21A7">
        <w:rPr>
          <w:rFonts w:ascii="Arial" w:hAnsi="Arial" w:cs="Arial"/>
        </w:rPr>
        <w:t xml:space="preserve"> pues</w:t>
      </w:r>
      <w:r w:rsidRPr="001F21A7">
        <w:rPr>
          <w:rFonts w:ascii="Arial" w:hAnsi="Arial" w:cs="Arial"/>
        </w:rPr>
        <w:t xml:space="preserve"> se erró en el número de radicación del proceso.</w:t>
      </w:r>
    </w:p>
    <w:p w14:paraId="18E4EA10" w14:textId="6C49411C" w:rsidR="0E2B928E" w:rsidRPr="001F21A7" w:rsidRDefault="0E2B928E" w:rsidP="001F21A7">
      <w:pPr>
        <w:spacing w:line="276" w:lineRule="auto"/>
        <w:jc w:val="both"/>
        <w:rPr>
          <w:rFonts w:ascii="Arial" w:hAnsi="Arial" w:cs="Arial"/>
        </w:rPr>
      </w:pPr>
    </w:p>
    <w:p w14:paraId="65C37CF9" w14:textId="134F2133" w:rsidR="2B99DC8B" w:rsidRPr="001F21A7" w:rsidRDefault="2B99DC8B" w:rsidP="001F21A7">
      <w:pPr>
        <w:spacing w:line="276" w:lineRule="auto"/>
        <w:jc w:val="both"/>
        <w:rPr>
          <w:rFonts w:ascii="Arial" w:hAnsi="Arial" w:cs="Arial"/>
        </w:rPr>
      </w:pPr>
      <w:r w:rsidRPr="001F21A7">
        <w:rPr>
          <w:rFonts w:ascii="Arial" w:hAnsi="Arial" w:cs="Arial"/>
        </w:rPr>
        <w:t xml:space="preserve">Entonces los dos </w:t>
      </w:r>
      <w:r w:rsidR="4BC5BD52" w:rsidRPr="001F21A7">
        <w:rPr>
          <w:rFonts w:ascii="Arial" w:hAnsi="Arial" w:cs="Arial"/>
        </w:rPr>
        <w:t>ú</w:t>
      </w:r>
      <w:r w:rsidRPr="001F21A7">
        <w:rPr>
          <w:rFonts w:ascii="Arial" w:hAnsi="Arial" w:cs="Arial"/>
        </w:rPr>
        <w:t>nicos datos que le permit</w:t>
      </w:r>
      <w:r w:rsidR="09795D5F" w:rsidRPr="001F21A7">
        <w:rPr>
          <w:rFonts w:ascii="Arial" w:hAnsi="Arial" w:cs="Arial"/>
        </w:rPr>
        <w:t>í</w:t>
      </w:r>
      <w:r w:rsidRPr="001F21A7">
        <w:rPr>
          <w:rFonts w:ascii="Arial" w:hAnsi="Arial" w:cs="Arial"/>
        </w:rPr>
        <w:t xml:space="preserve">an </w:t>
      </w:r>
      <w:r w:rsidR="6E3F1B6C" w:rsidRPr="001F21A7">
        <w:rPr>
          <w:rFonts w:ascii="Arial" w:hAnsi="Arial" w:cs="Arial"/>
        </w:rPr>
        <w:t xml:space="preserve">a la ejecutada </w:t>
      </w:r>
      <w:r w:rsidRPr="001F21A7">
        <w:rPr>
          <w:rFonts w:ascii="Arial" w:hAnsi="Arial" w:cs="Arial"/>
        </w:rPr>
        <w:t xml:space="preserve">saber que ese proceso se había presentado en su contra era i) por insertarse su nombre allí o ii) por ingresarse el número del radicado del proceso; de ahí que ante la ausencia de estos datos </w:t>
      </w:r>
      <w:r w:rsidR="1C11CF4A" w:rsidRPr="001F21A7">
        <w:rPr>
          <w:rFonts w:ascii="Arial" w:hAnsi="Arial" w:cs="Arial"/>
        </w:rPr>
        <w:t xml:space="preserve">impedía que ella conociera del asunto y de contera, se diera por notificada del mandamiento de pago a través de la notificación por estado. </w:t>
      </w:r>
    </w:p>
    <w:p w14:paraId="71E37D37" w14:textId="3DBCC0E1" w:rsidR="0E2B928E" w:rsidRPr="001F21A7" w:rsidRDefault="0E2B928E" w:rsidP="001F21A7">
      <w:pPr>
        <w:spacing w:line="276" w:lineRule="auto"/>
        <w:jc w:val="both"/>
        <w:rPr>
          <w:rFonts w:ascii="Arial" w:hAnsi="Arial" w:cs="Arial"/>
        </w:rPr>
      </w:pPr>
    </w:p>
    <w:p w14:paraId="34F605C1" w14:textId="7D906905" w:rsidR="00983C1B" w:rsidRPr="001F21A7" w:rsidRDefault="1D7C1D10" w:rsidP="001F21A7">
      <w:pPr>
        <w:autoSpaceDE w:val="0"/>
        <w:autoSpaceDN w:val="0"/>
        <w:adjustRightInd w:val="0"/>
        <w:spacing w:line="276" w:lineRule="auto"/>
        <w:jc w:val="both"/>
        <w:rPr>
          <w:rFonts w:ascii="Arial" w:hAnsi="Arial" w:cs="Arial"/>
        </w:rPr>
      </w:pPr>
      <w:r w:rsidRPr="001F21A7">
        <w:rPr>
          <w:rFonts w:ascii="Arial" w:hAnsi="Arial" w:cs="Arial"/>
        </w:rPr>
        <w:t>Documento – estado judicial – que en tanto corresponde a la expresión y materialidad de una decisión judicial, pues esta solo podrá surtir efectos una vez es conocida por los interesados, pues rememórese que el inciso 2º del artículo 289</w:t>
      </w:r>
      <w:r w:rsidR="6662D79E" w:rsidRPr="001F21A7">
        <w:rPr>
          <w:rFonts w:ascii="Arial" w:hAnsi="Arial" w:cs="Arial"/>
        </w:rPr>
        <w:t xml:space="preserve"> del C.G.P. - antes 313 del C.P.C.-</w:t>
      </w:r>
      <w:r w:rsidRPr="001F21A7">
        <w:rPr>
          <w:rFonts w:ascii="Arial" w:hAnsi="Arial" w:cs="Arial"/>
        </w:rPr>
        <w:t xml:space="preserve"> expresamente indica que “</w:t>
      </w:r>
      <w:r w:rsidRPr="00EE2274">
        <w:rPr>
          <w:rFonts w:ascii="Arial" w:hAnsi="Arial" w:cs="Arial"/>
          <w:i/>
          <w:iCs/>
          <w:sz w:val="22"/>
        </w:rPr>
        <w:t>ninguna providencia producirá efectos antes de haberse notificado</w:t>
      </w:r>
      <w:r w:rsidRPr="001F21A7">
        <w:rPr>
          <w:rFonts w:ascii="Arial" w:hAnsi="Arial" w:cs="Arial"/>
          <w:i/>
          <w:iCs/>
        </w:rPr>
        <w:t>”,</w:t>
      </w:r>
      <w:r w:rsidRPr="001F21A7">
        <w:rPr>
          <w:rFonts w:ascii="Arial" w:hAnsi="Arial" w:cs="Arial"/>
        </w:rPr>
        <w:t xml:space="preserve"> entonces debía advertirle al despacho de primer grado que el estado número 106 a través del cual se notificaba el auto que libraba el mandamiento de pago</w:t>
      </w:r>
      <w:r w:rsidR="133F2DEF" w:rsidRPr="001F21A7">
        <w:rPr>
          <w:rFonts w:ascii="Arial" w:hAnsi="Arial" w:cs="Arial"/>
        </w:rPr>
        <w:t xml:space="preserve"> a la demandada</w:t>
      </w:r>
      <w:r w:rsidRPr="001F21A7">
        <w:rPr>
          <w:rFonts w:ascii="Arial" w:hAnsi="Arial" w:cs="Arial"/>
        </w:rPr>
        <w:t xml:space="preserve">, no lo ataba al </w:t>
      </w:r>
      <w:r w:rsidR="58C7AB48" w:rsidRPr="001F21A7">
        <w:rPr>
          <w:rFonts w:ascii="Arial" w:hAnsi="Arial" w:cs="Arial"/>
        </w:rPr>
        <w:t>no cumplir esta finalidad</w:t>
      </w:r>
      <w:r w:rsidRPr="001F21A7">
        <w:rPr>
          <w:rFonts w:ascii="Arial" w:hAnsi="Arial" w:cs="Arial"/>
        </w:rPr>
        <w:t>, pues se itera la notificación es la expresión de la decisión, de ahí que en tanto que el estado no se encontraba conforme a las reglas del derecho – requisitos contenidos en el artículo 295 del C.G.P. – entonces la juzgadora</w:t>
      </w:r>
      <w:r w:rsidR="27D697CE" w:rsidRPr="001F21A7">
        <w:rPr>
          <w:rFonts w:ascii="Arial" w:hAnsi="Arial" w:cs="Arial"/>
        </w:rPr>
        <w:t xml:space="preserve"> debía ordenar </w:t>
      </w:r>
      <w:r w:rsidR="637FC4F1" w:rsidRPr="001F21A7">
        <w:rPr>
          <w:rFonts w:ascii="Arial" w:hAnsi="Arial" w:cs="Arial"/>
        </w:rPr>
        <w:t xml:space="preserve">nuevamente </w:t>
      </w:r>
      <w:r w:rsidRPr="001F21A7">
        <w:rPr>
          <w:rFonts w:ascii="Arial" w:hAnsi="Arial" w:cs="Arial"/>
        </w:rPr>
        <w:t>la notificación</w:t>
      </w:r>
      <w:r w:rsidR="21EC7E1C" w:rsidRPr="001F21A7">
        <w:rPr>
          <w:rFonts w:ascii="Arial" w:hAnsi="Arial" w:cs="Arial"/>
        </w:rPr>
        <w:t xml:space="preserve"> </w:t>
      </w:r>
      <w:r w:rsidR="7E1A777F" w:rsidRPr="001F21A7">
        <w:rPr>
          <w:rFonts w:ascii="Arial" w:hAnsi="Arial" w:cs="Arial"/>
        </w:rPr>
        <w:t xml:space="preserve">al demandado ya fuera, a través de estados, si estaba </w:t>
      </w:r>
      <w:r w:rsidR="20A52383" w:rsidRPr="001F21A7">
        <w:rPr>
          <w:rFonts w:ascii="Arial" w:hAnsi="Arial" w:cs="Arial"/>
        </w:rPr>
        <w:t>aún</w:t>
      </w:r>
      <w:r w:rsidR="7E1A777F" w:rsidRPr="001F21A7">
        <w:rPr>
          <w:rFonts w:ascii="Arial" w:hAnsi="Arial" w:cs="Arial"/>
        </w:rPr>
        <w:t xml:space="preserve"> dentro del término del artículo 306 del C.G.P. o de forma personal si dicho plazo había fenecido, o</w:t>
      </w:r>
      <w:r w:rsidRPr="001F21A7">
        <w:rPr>
          <w:rFonts w:ascii="Arial" w:hAnsi="Arial" w:cs="Arial"/>
        </w:rPr>
        <w:t xml:space="preserve"> bien contabilizar la prescripción a partir del auto que tuvo por notificado por conducta concluyente a la ejecutada. </w:t>
      </w:r>
    </w:p>
    <w:p w14:paraId="31301366" w14:textId="1C64EE66" w:rsidR="00285F5D" w:rsidRPr="001F21A7" w:rsidRDefault="00285F5D" w:rsidP="001F21A7">
      <w:pPr>
        <w:autoSpaceDE w:val="0"/>
        <w:autoSpaceDN w:val="0"/>
        <w:adjustRightInd w:val="0"/>
        <w:spacing w:line="276" w:lineRule="auto"/>
        <w:jc w:val="both"/>
        <w:rPr>
          <w:rFonts w:ascii="Arial" w:hAnsi="Arial" w:cs="Arial"/>
        </w:rPr>
      </w:pPr>
    </w:p>
    <w:p w14:paraId="671A7753" w14:textId="351B7FDA" w:rsidR="00285F5D" w:rsidRPr="001F21A7" w:rsidRDefault="00285F5D" w:rsidP="001F21A7">
      <w:pPr>
        <w:autoSpaceDE w:val="0"/>
        <w:autoSpaceDN w:val="0"/>
        <w:adjustRightInd w:val="0"/>
        <w:spacing w:line="276" w:lineRule="auto"/>
        <w:jc w:val="both"/>
        <w:rPr>
          <w:rFonts w:ascii="Arial" w:hAnsi="Arial" w:cs="Arial"/>
        </w:rPr>
      </w:pPr>
      <w:r w:rsidRPr="001F21A7">
        <w:rPr>
          <w:rFonts w:ascii="Arial" w:hAnsi="Arial" w:cs="Arial"/>
        </w:rPr>
        <w:t xml:space="preserve">Al punto es preciso acotar que de ninguna manera puede aducirse que los estados son única responsabilidad del secretario del despacho, pese a que en este recae la </w:t>
      </w:r>
      <w:r w:rsidRPr="001F21A7">
        <w:rPr>
          <w:rFonts w:ascii="Arial" w:hAnsi="Arial" w:cs="Arial"/>
        </w:rPr>
        <w:lastRenderedPageBreak/>
        <w:t xml:space="preserve">obligación de su elaboración – art. 295 del C.G.P. </w:t>
      </w:r>
      <w:r w:rsidR="00EE2274">
        <w:rPr>
          <w:rFonts w:ascii="Arial" w:hAnsi="Arial" w:cs="Arial"/>
        </w:rPr>
        <w:t>–</w:t>
      </w:r>
      <w:r w:rsidRPr="001F21A7">
        <w:rPr>
          <w:rFonts w:ascii="Arial" w:hAnsi="Arial" w:cs="Arial"/>
        </w:rPr>
        <w:t xml:space="preserve">, todo ello porque al tenor del numeral 11° del artículo 42 del C.G.P. es deber del director del despacho verificar con el secretario todas las cuestiones relativas al proceso, entre otras, la notificación por estados, que </w:t>
      </w:r>
      <w:r w:rsidR="000A36AF" w:rsidRPr="001F21A7">
        <w:rPr>
          <w:rFonts w:ascii="Arial" w:hAnsi="Arial" w:cs="Arial"/>
        </w:rPr>
        <w:t>corresponde</w:t>
      </w:r>
      <w:r w:rsidRPr="001F21A7">
        <w:rPr>
          <w:rFonts w:ascii="Arial" w:hAnsi="Arial" w:cs="Arial"/>
        </w:rPr>
        <w:t xml:space="preserve"> como se ha indicado a la materialización de la decisión judicial. </w:t>
      </w:r>
    </w:p>
    <w:p w14:paraId="01F22EA0" w14:textId="42F34E52" w:rsidR="00285F5D" w:rsidRPr="001F21A7" w:rsidRDefault="00285F5D" w:rsidP="001F21A7">
      <w:pPr>
        <w:autoSpaceDE w:val="0"/>
        <w:autoSpaceDN w:val="0"/>
        <w:adjustRightInd w:val="0"/>
        <w:spacing w:line="276" w:lineRule="auto"/>
        <w:jc w:val="both"/>
        <w:rPr>
          <w:rFonts w:ascii="Arial" w:hAnsi="Arial" w:cs="Arial"/>
        </w:rPr>
      </w:pPr>
    </w:p>
    <w:p w14:paraId="0B10815A" w14:textId="2A6F8FAE" w:rsidR="00285F5D" w:rsidRPr="001F21A7" w:rsidRDefault="00285F5D" w:rsidP="001F21A7">
      <w:pPr>
        <w:autoSpaceDE w:val="0"/>
        <w:autoSpaceDN w:val="0"/>
        <w:adjustRightInd w:val="0"/>
        <w:spacing w:line="276" w:lineRule="auto"/>
        <w:jc w:val="both"/>
        <w:rPr>
          <w:rFonts w:ascii="Arial" w:hAnsi="Arial" w:cs="Arial"/>
        </w:rPr>
      </w:pPr>
      <w:r w:rsidRPr="001F21A7">
        <w:rPr>
          <w:rFonts w:ascii="Arial" w:hAnsi="Arial" w:cs="Arial"/>
        </w:rPr>
        <w:t xml:space="preserve">En ese sentido, bien podía la juzgadora dejar de lado tal notificación para </w:t>
      </w:r>
      <w:r w:rsidR="000A36AF" w:rsidRPr="001F21A7">
        <w:rPr>
          <w:rFonts w:ascii="Arial" w:hAnsi="Arial" w:cs="Arial"/>
        </w:rPr>
        <w:t>rehacerla</w:t>
      </w:r>
      <w:r w:rsidRPr="001F21A7">
        <w:rPr>
          <w:rFonts w:ascii="Arial" w:hAnsi="Arial" w:cs="Arial"/>
        </w:rPr>
        <w:t xml:space="preserve"> con el propósito de evitar cualquier irregularidad en el proceso.</w:t>
      </w:r>
    </w:p>
    <w:p w14:paraId="315DEB49" w14:textId="7B1829E1" w:rsidR="00285F5D" w:rsidRPr="001F21A7" w:rsidRDefault="00285F5D" w:rsidP="001F21A7">
      <w:pPr>
        <w:autoSpaceDE w:val="0"/>
        <w:autoSpaceDN w:val="0"/>
        <w:adjustRightInd w:val="0"/>
        <w:spacing w:line="276" w:lineRule="auto"/>
        <w:jc w:val="both"/>
        <w:rPr>
          <w:rFonts w:ascii="Arial" w:hAnsi="Arial" w:cs="Arial"/>
        </w:rPr>
      </w:pPr>
    </w:p>
    <w:p w14:paraId="690B9F30" w14:textId="0BDC0D02" w:rsidR="00285F5D" w:rsidRPr="001F21A7" w:rsidRDefault="1D7C1D10" w:rsidP="001F21A7">
      <w:pPr>
        <w:spacing w:line="276" w:lineRule="auto"/>
        <w:jc w:val="both"/>
        <w:rPr>
          <w:rFonts w:ascii="Arial" w:hAnsi="Arial" w:cs="Arial"/>
        </w:rPr>
      </w:pPr>
      <w:r w:rsidRPr="001F21A7">
        <w:rPr>
          <w:rFonts w:ascii="Arial" w:hAnsi="Arial" w:cs="Arial"/>
        </w:rPr>
        <w:t xml:space="preserve">De otro lado, pese a la indebida creación del estado judicial número 106, tal error no podía imputarse </w:t>
      </w:r>
      <w:r w:rsidR="644AECAE" w:rsidRPr="001F21A7">
        <w:rPr>
          <w:rFonts w:ascii="Arial" w:hAnsi="Arial" w:cs="Arial"/>
        </w:rPr>
        <w:t xml:space="preserve">solo </w:t>
      </w:r>
      <w:r w:rsidRPr="001F21A7">
        <w:rPr>
          <w:rFonts w:ascii="Arial" w:hAnsi="Arial" w:cs="Arial"/>
        </w:rPr>
        <w:t xml:space="preserve">al despacho con la finalidad de que </w:t>
      </w:r>
      <w:r w:rsidR="25589D13" w:rsidRPr="001F21A7">
        <w:rPr>
          <w:rFonts w:ascii="Arial" w:hAnsi="Arial" w:cs="Arial"/>
        </w:rPr>
        <w:t>los</w:t>
      </w:r>
      <w:r w:rsidRPr="001F21A7">
        <w:rPr>
          <w:rFonts w:ascii="Arial" w:hAnsi="Arial" w:cs="Arial"/>
        </w:rPr>
        <w:t xml:space="preserve"> ejecutante</w:t>
      </w:r>
      <w:r w:rsidR="25589D13" w:rsidRPr="001F21A7">
        <w:rPr>
          <w:rFonts w:ascii="Arial" w:hAnsi="Arial" w:cs="Arial"/>
        </w:rPr>
        <w:t>s</w:t>
      </w:r>
      <w:r w:rsidRPr="001F21A7">
        <w:rPr>
          <w:rFonts w:ascii="Arial" w:hAnsi="Arial" w:cs="Arial"/>
        </w:rPr>
        <w:t xml:space="preserve"> sacara</w:t>
      </w:r>
      <w:r w:rsidR="25589D13" w:rsidRPr="001F21A7">
        <w:rPr>
          <w:rFonts w:ascii="Arial" w:hAnsi="Arial" w:cs="Arial"/>
        </w:rPr>
        <w:t>n</w:t>
      </w:r>
      <w:r w:rsidRPr="001F21A7">
        <w:rPr>
          <w:rFonts w:ascii="Arial" w:hAnsi="Arial" w:cs="Arial"/>
        </w:rPr>
        <w:t xml:space="preserve"> provecho de</w:t>
      </w:r>
      <w:r w:rsidR="25589D13" w:rsidRPr="001F21A7">
        <w:rPr>
          <w:rFonts w:ascii="Arial" w:hAnsi="Arial" w:cs="Arial"/>
        </w:rPr>
        <w:t xml:space="preserve"> dicho error,</w:t>
      </w:r>
      <w:r w:rsidRPr="001F21A7">
        <w:rPr>
          <w:rFonts w:ascii="Arial" w:hAnsi="Arial" w:cs="Arial"/>
        </w:rPr>
        <w:t xml:space="preserve"> impidiendo </w:t>
      </w:r>
      <w:r w:rsidR="116320C9" w:rsidRPr="001F21A7">
        <w:rPr>
          <w:rFonts w:ascii="Arial" w:hAnsi="Arial" w:cs="Arial"/>
        </w:rPr>
        <w:t>que el ejecutado tuviera conocimiento de la ejecución en su contra para ejercer sus medios de defensa</w:t>
      </w:r>
      <w:r w:rsidRPr="001F21A7">
        <w:rPr>
          <w:rFonts w:ascii="Arial" w:hAnsi="Arial" w:cs="Arial"/>
        </w:rPr>
        <w:t>, puesto que al tenor de los</w:t>
      </w:r>
      <w:r w:rsidR="25589D13" w:rsidRPr="001F21A7">
        <w:rPr>
          <w:rFonts w:ascii="Arial" w:hAnsi="Arial" w:cs="Arial"/>
        </w:rPr>
        <w:t xml:space="preserve"> numerales 1° y 6° del artículo 78 del C.G</w:t>
      </w:r>
      <w:r w:rsidR="3BA5836A" w:rsidRPr="001F21A7">
        <w:rPr>
          <w:rFonts w:ascii="Arial" w:hAnsi="Arial" w:cs="Arial"/>
        </w:rPr>
        <w:t>.</w:t>
      </w:r>
      <w:r w:rsidR="25589D13" w:rsidRPr="001F21A7">
        <w:rPr>
          <w:rFonts w:ascii="Arial" w:hAnsi="Arial" w:cs="Arial"/>
        </w:rPr>
        <w:t xml:space="preserve">P. era deber de la parte ejecutante y su apoderado </w:t>
      </w:r>
      <w:r w:rsidRPr="001F21A7">
        <w:rPr>
          <w:rFonts w:ascii="Arial" w:hAnsi="Arial" w:cs="Arial"/>
        </w:rPr>
        <w:t>actuar con lealtad y probidad</w:t>
      </w:r>
      <w:r w:rsidR="25589D13" w:rsidRPr="001F21A7">
        <w:rPr>
          <w:rFonts w:ascii="Arial" w:hAnsi="Arial" w:cs="Arial"/>
        </w:rPr>
        <w:t xml:space="preserve"> en todos sus actos, entre ellos el realizar las gestiones necesarias para lograr oportunamente la integración del contradictorio</w:t>
      </w:r>
      <w:r w:rsidRPr="001F21A7">
        <w:rPr>
          <w:rFonts w:ascii="Arial" w:hAnsi="Arial" w:cs="Arial"/>
        </w:rPr>
        <w:t>, pues</w:t>
      </w:r>
      <w:r w:rsidR="25589D13" w:rsidRPr="001F21A7">
        <w:rPr>
          <w:rFonts w:ascii="Arial" w:hAnsi="Arial" w:cs="Arial"/>
        </w:rPr>
        <w:t xml:space="preserve"> en este evento, fueron Hisley Patricia Loaiza Martínez y Omar </w:t>
      </w:r>
      <w:r w:rsidR="48B5CBD2" w:rsidRPr="001F21A7">
        <w:rPr>
          <w:rFonts w:ascii="Arial" w:hAnsi="Arial" w:cs="Arial"/>
        </w:rPr>
        <w:t>Flórez</w:t>
      </w:r>
      <w:r w:rsidR="25589D13" w:rsidRPr="001F21A7">
        <w:rPr>
          <w:rFonts w:ascii="Arial" w:hAnsi="Arial" w:cs="Arial"/>
        </w:rPr>
        <w:t xml:space="preserve"> Morales, quienes solicitaron</w:t>
      </w:r>
      <w:r w:rsidRPr="001F21A7">
        <w:rPr>
          <w:rFonts w:ascii="Arial" w:hAnsi="Arial" w:cs="Arial"/>
        </w:rPr>
        <w:t xml:space="preserve"> su ejecución,</w:t>
      </w:r>
      <w:r w:rsidR="0D141231" w:rsidRPr="001F21A7">
        <w:rPr>
          <w:rFonts w:ascii="Arial" w:hAnsi="Arial" w:cs="Arial"/>
        </w:rPr>
        <w:t xml:space="preserve"> y sí se encontraban debidamente notificados</w:t>
      </w:r>
      <w:r w:rsidR="2DC19F98" w:rsidRPr="001F21A7">
        <w:rPr>
          <w:rFonts w:ascii="Arial" w:hAnsi="Arial" w:cs="Arial"/>
        </w:rPr>
        <w:t xml:space="preserve"> – pues fueron ellos quienes hicieron la petición de ejecución y en el estado No. 106 sí aparecía el nombre de estos -</w:t>
      </w:r>
      <w:r w:rsidR="0D141231" w:rsidRPr="001F21A7">
        <w:rPr>
          <w:rFonts w:ascii="Arial" w:hAnsi="Arial" w:cs="Arial"/>
        </w:rPr>
        <w:t>,</w:t>
      </w:r>
      <w:r w:rsidRPr="001F21A7">
        <w:rPr>
          <w:rFonts w:ascii="Arial" w:hAnsi="Arial" w:cs="Arial"/>
        </w:rPr>
        <w:t xml:space="preserve"> </w:t>
      </w:r>
      <w:r w:rsidR="25589D13" w:rsidRPr="001F21A7">
        <w:rPr>
          <w:rFonts w:ascii="Arial" w:hAnsi="Arial" w:cs="Arial"/>
        </w:rPr>
        <w:t xml:space="preserve">de ahí que </w:t>
      </w:r>
      <w:r w:rsidRPr="001F21A7">
        <w:rPr>
          <w:rFonts w:ascii="Arial" w:hAnsi="Arial" w:cs="Arial"/>
        </w:rPr>
        <w:t xml:space="preserve">en su </w:t>
      </w:r>
      <w:r w:rsidR="25589D13" w:rsidRPr="001F21A7">
        <w:rPr>
          <w:rFonts w:ascii="Arial" w:hAnsi="Arial" w:cs="Arial"/>
        </w:rPr>
        <w:t>órbita</w:t>
      </w:r>
      <w:r w:rsidRPr="001F21A7">
        <w:rPr>
          <w:rFonts w:ascii="Arial" w:hAnsi="Arial" w:cs="Arial"/>
        </w:rPr>
        <w:t xml:space="preserve"> se encontraba la responsabilidad de verificar si se había ordenado librar la ejecución y </w:t>
      </w:r>
      <w:r w:rsidR="25589D13" w:rsidRPr="001F21A7">
        <w:rPr>
          <w:rFonts w:ascii="Arial" w:hAnsi="Arial" w:cs="Arial"/>
        </w:rPr>
        <w:t>en consecuencia, s</w:t>
      </w:r>
      <w:r w:rsidR="7527ABB6" w:rsidRPr="001F21A7">
        <w:rPr>
          <w:rFonts w:ascii="Arial" w:hAnsi="Arial" w:cs="Arial"/>
        </w:rPr>
        <w:t>i</w:t>
      </w:r>
      <w:r w:rsidR="25589D13" w:rsidRPr="001F21A7">
        <w:rPr>
          <w:rFonts w:ascii="Arial" w:hAnsi="Arial" w:cs="Arial"/>
        </w:rPr>
        <w:t xml:space="preserve"> </w:t>
      </w:r>
      <w:r w:rsidRPr="001F21A7">
        <w:rPr>
          <w:rFonts w:ascii="Arial" w:hAnsi="Arial" w:cs="Arial"/>
        </w:rPr>
        <w:t xml:space="preserve">su notificación </w:t>
      </w:r>
      <w:r w:rsidR="25589D13" w:rsidRPr="001F21A7">
        <w:rPr>
          <w:rFonts w:ascii="Arial" w:hAnsi="Arial" w:cs="Arial"/>
        </w:rPr>
        <w:t xml:space="preserve">había quedado </w:t>
      </w:r>
      <w:r w:rsidRPr="001F21A7">
        <w:rPr>
          <w:rFonts w:ascii="Arial" w:hAnsi="Arial" w:cs="Arial"/>
        </w:rPr>
        <w:t>debidamente realizada</w:t>
      </w:r>
      <w:r w:rsidR="32A4CABF" w:rsidRPr="001F21A7">
        <w:rPr>
          <w:rFonts w:ascii="Arial" w:hAnsi="Arial" w:cs="Arial"/>
        </w:rPr>
        <w:t xml:space="preserve"> al ejecutado</w:t>
      </w:r>
      <w:r w:rsidRPr="001F21A7">
        <w:rPr>
          <w:rFonts w:ascii="Arial" w:hAnsi="Arial" w:cs="Arial"/>
        </w:rPr>
        <w:t>,</w:t>
      </w:r>
      <w:r w:rsidR="25589D13" w:rsidRPr="001F21A7">
        <w:rPr>
          <w:rFonts w:ascii="Arial" w:hAnsi="Arial" w:cs="Arial"/>
        </w:rPr>
        <w:t xml:space="preserve"> de ahí que los ejecutantes no </w:t>
      </w:r>
      <w:r w:rsidRPr="001F21A7">
        <w:rPr>
          <w:rFonts w:ascii="Arial" w:hAnsi="Arial" w:cs="Arial"/>
        </w:rPr>
        <w:t>puede</w:t>
      </w:r>
      <w:r w:rsidR="25589D13" w:rsidRPr="001F21A7">
        <w:rPr>
          <w:rFonts w:ascii="Arial" w:hAnsi="Arial" w:cs="Arial"/>
        </w:rPr>
        <w:t>n</w:t>
      </w:r>
      <w:r w:rsidRPr="001F21A7">
        <w:rPr>
          <w:rFonts w:ascii="Arial" w:hAnsi="Arial" w:cs="Arial"/>
        </w:rPr>
        <w:t xml:space="preserve"> ahora </w:t>
      </w:r>
      <w:r w:rsidR="25589D13" w:rsidRPr="001F21A7">
        <w:rPr>
          <w:rFonts w:ascii="Arial" w:hAnsi="Arial" w:cs="Arial"/>
        </w:rPr>
        <w:t>beneficiarse</w:t>
      </w:r>
      <w:r w:rsidRPr="001F21A7">
        <w:rPr>
          <w:rFonts w:ascii="Arial" w:hAnsi="Arial" w:cs="Arial"/>
        </w:rPr>
        <w:t xml:space="preserve"> de su propia culpa, pues </w:t>
      </w:r>
      <w:r w:rsidR="25589D13" w:rsidRPr="001F21A7">
        <w:rPr>
          <w:rFonts w:ascii="Arial" w:hAnsi="Arial" w:cs="Arial"/>
        </w:rPr>
        <w:t xml:space="preserve">era precisamente la parte ejecutante </w:t>
      </w:r>
      <w:r w:rsidRPr="001F21A7">
        <w:rPr>
          <w:rFonts w:ascii="Arial" w:hAnsi="Arial" w:cs="Arial"/>
        </w:rPr>
        <w:t xml:space="preserve">la única </w:t>
      </w:r>
      <w:r w:rsidR="25589D13" w:rsidRPr="001F21A7">
        <w:rPr>
          <w:rFonts w:ascii="Arial" w:hAnsi="Arial" w:cs="Arial"/>
        </w:rPr>
        <w:t xml:space="preserve">que podía advertir sin asomo de duda que el estado realizado por el despacho con el fin de integrar el contradictorio había quedado mal radicado y que además carecía del nombre de la ejecutada, </w:t>
      </w:r>
      <w:r w:rsidRPr="001F21A7">
        <w:rPr>
          <w:rFonts w:ascii="Arial" w:hAnsi="Arial" w:cs="Arial"/>
        </w:rPr>
        <w:t xml:space="preserve">actos que </w:t>
      </w:r>
      <w:r w:rsidR="25589D13" w:rsidRPr="001F21A7">
        <w:rPr>
          <w:rFonts w:ascii="Arial" w:hAnsi="Arial" w:cs="Arial"/>
        </w:rPr>
        <w:t>evidentemente</w:t>
      </w:r>
      <w:r w:rsidRPr="001F21A7">
        <w:rPr>
          <w:rFonts w:ascii="Arial" w:hAnsi="Arial" w:cs="Arial"/>
        </w:rPr>
        <w:t xml:space="preserve"> implicarían que </w:t>
      </w:r>
      <w:r w:rsidR="25589D13" w:rsidRPr="001F21A7">
        <w:rPr>
          <w:rFonts w:ascii="Arial" w:hAnsi="Arial" w:cs="Arial"/>
        </w:rPr>
        <w:t>su contraparte</w:t>
      </w:r>
      <w:r w:rsidRPr="001F21A7">
        <w:rPr>
          <w:rFonts w:ascii="Arial" w:hAnsi="Arial" w:cs="Arial"/>
        </w:rPr>
        <w:t xml:space="preserve"> no tuviera conocimiento del proceso seguido en su contra. </w:t>
      </w:r>
    </w:p>
    <w:p w14:paraId="26E61519" w14:textId="6B38235C" w:rsidR="0E2B928E" w:rsidRPr="001F21A7" w:rsidRDefault="0E2B928E" w:rsidP="001F21A7">
      <w:pPr>
        <w:spacing w:line="276" w:lineRule="auto"/>
        <w:jc w:val="both"/>
        <w:rPr>
          <w:rFonts w:ascii="Arial" w:hAnsi="Arial" w:cs="Arial"/>
        </w:rPr>
      </w:pPr>
    </w:p>
    <w:p w14:paraId="5DE31396" w14:textId="52229151" w:rsidR="3FECFE80" w:rsidRPr="001F21A7" w:rsidRDefault="3FECFE80" w:rsidP="001F21A7">
      <w:pPr>
        <w:spacing w:line="276" w:lineRule="auto"/>
        <w:jc w:val="both"/>
        <w:rPr>
          <w:rFonts w:ascii="Arial" w:hAnsi="Arial" w:cs="Arial"/>
        </w:rPr>
      </w:pPr>
      <w:r w:rsidRPr="001F21A7">
        <w:rPr>
          <w:rFonts w:ascii="Arial" w:hAnsi="Arial" w:cs="Arial"/>
        </w:rPr>
        <w:t xml:space="preserve">Tanto es así que en </w:t>
      </w:r>
      <w:r w:rsidR="754AA1A4" w:rsidRPr="001F21A7">
        <w:rPr>
          <w:rFonts w:ascii="Arial" w:hAnsi="Arial" w:cs="Arial"/>
        </w:rPr>
        <w:t xml:space="preserve">durante </w:t>
      </w:r>
      <w:r w:rsidRPr="001F21A7">
        <w:rPr>
          <w:rFonts w:ascii="Arial" w:hAnsi="Arial" w:cs="Arial"/>
        </w:rPr>
        <w:t xml:space="preserve">una década los ejecutantes ni siquiera solicitaron al despacho que se dejara la constancia de vencimiento de término </w:t>
      </w:r>
      <w:r w:rsidR="2CCEA4CC" w:rsidRPr="001F21A7">
        <w:rPr>
          <w:rFonts w:ascii="Arial" w:hAnsi="Arial" w:cs="Arial"/>
        </w:rPr>
        <w:t>para proponer excepciones contra el mandamiento; que se ordenara seguir adelante con la ejecución y mucho menos solicitaron que se liquidara el crédito</w:t>
      </w:r>
      <w:r w:rsidR="16976711" w:rsidRPr="001F21A7">
        <w:rPr>
          <w:rFonts w:ascii="Arial" w:hAnsi="Arial" w:cs="Arial"/>
        </w:rPr>
        <w:t xml:space="preserve">, si es que el juez no lo hubiera hecho, de ahí que ningún beneficio podía obtener la parte ejecutante de su propia culpa. </w:t>
      </w:r>
    </w:p>
    <w:p w14:paraId="660A902E" w14:textId="4D017F7F" w:rsidR="00285F5D" w:rsidRPr="001F21A7" w:rsidRDefault="00285F5D" w:rsidP="001F21A7">
      <w:pPr>
        <w:autoSpaceDE w:val="0"/>
        <w:autoSpaceDN w:val="0"/>
        <w:adjustRightInd w:val="0"/>
        <w:spacing w:line="276" w:lineRule="auto"/>
        <w:jc w:val="both"/>
        <w:rPr>
          <w:rFonts w:ascii="Arial" w:hAnsi="Arial" w:cs="Arial"/>
        </w:rPr>
      </w:pPr>
    </w:p>
    <w:p w14:paraId="50AA4ED5" w14:textId="03084A3A" w:rsidR="00B64F9B" w:rsidRPr="001F21A7" w:rsidRDefault="00B64F9B" w:rsidP="001F21A7">
      <w:pPr>
        <w:autoSpaceDE w:val="0"/>
        <w:autoSpaceDN w:val="0"/>
        <w:adjustRightInd w:val="0"/>
        <w:spacing w:line="276" w:lineRule="auto"/>
        <w:jc w:val="both"/>
        <w:rPr>
          <w:rFonts w:ascii="Arial" w:hAnsi="Arial" w:cs="Arial"/>
        </w:rPr>
      </w:pPr>
      <w:r w:rsidRPr="001F21A7">
        <w:rPr>
          <w:rFonts w:ascii="Arial" w:hAnsi="Arial" w:cs="Arial"/>
        </w:rPr>
        <w:t>Puestas de este modo las cosas,</w:t>
      </w:r>
      <w:r w:rsidR="006D7304" w:rsidRPr="001F21A7">
        <w:rPr>
          <w:rFonts w:ascii="Arial" w:hAnsi="Arial" w:cs="Arial"/>
        </w:rPr>
        <w:t xml:space="preserve"> conforme al devenir procesal observado</w:t>
      </w:r>
      <w:r w:rsidRPr="001F21A7">
        <w:rPr>
          <w:rFonts w:ascii="Arial" w:hAnsi="Arial" w:cs="Arial"/>
        </w:rPr>
        <w:t xml:space="preserve"> el mandamiento de pago no se notificó por el estado No. 106 del pasado </w:t>
      </w:r>
      <w:r w:rsidR="00864F6C" w:rsidRPr="001F21A7">
        <w:rPr>
          <w:rFonts w:ascii="Arial" w:hAnsi="Arial" w:cs="Arial"/>
        </w:rPr>
        <w:t>13/07/</w:t>
      </w:r>
      <w:r w:rsidRPr="001F21A7">
        <w:rPr>
          <w:rFonts w:ascii="Arial" w:hAnsi="Arial" w:cs="Arial"/>
        </w:rPr>
        <w:t xml:space="preserve">2009, sino que se notificó por conducta concluyente el </w:t>
      </w:r>
      <w:r w:rsidR="00864F6C" w:rsidRPr="001F21A7">
        <w:rPr>
          <w:rFonts w:ascii="Arial" w:hAnsi="Arial" w:cs="Arial"/>
          <w:lang w:val="es-ES"/>
        </w:rPr>
        <w:t>13/05/2021 conforme al auto proferido el 25/10/2021 (archivo 23, c. ejecutivo, exp. Digital),</w:t>
      </w:r>
      <w:r w:rsidRPr="001F21A7">
        <w:rPr>
          <w:rFonts w:ascii="Arial" w:hAnsi="Arial" w:cs="Arial"/>
        </w:rPr>
        <w:t xml:space="preserve"> esto es, tardíamente. Tardanza que ahora solo es imputable a la</w:t>
      </w:r>
      <w:r w:rsidR="00EA4631" w:rsidRPr="001F21A7">
        <w:rPr>
          <w:rFonts w:ascii="Arial" w:hAnsi="Arial" w:cs="Arial"/>
        </w:rPr>
        <w:t xml:space="preserve"> conducta procesal de la</w:t>
      </w:r>
      <w:r w:rsidRPr="001F21A7">
        <w:rPr>
          <w:rFonts w:ascii="Arial" w:hAnsi="Arial" w:cs="Arial"/>
        </w:rPr>
        <w:t xml:space="preserve"> parte ejecutante</w:t>
      </w:r>
      <w:r w:rsidR="00EA4631" w:rsidRPr="001F21A7">
        <w:rPr>
          <w:rFonts w:ascii="Arial" w:hAnsi="Arial" w:cs="Arial"/>
        </w:rPr>
        <w:t>; por lo que</w:t>
      </w:r>
      <w:r w:rsidR="757D69BA" w:rsidRPr="001F21A7">
        <w:rPr>
          <w:rFonts w:ascii="Arial" w:hAnsi="Arial" w:cs="Arial"/>
        </w:rPr>
        <w:t>,</w:t>
      </w:r>
      <w:r w:rsidR="00EA4631" w:rsidRPr="001F21A7">
        <w:rPr>
          <w:rFonts w:ascii="Arial" w:hAnsi="Arial" w:cs="Arial"/>
        </w:rPr>
        <w:t xml:space="preserve"> en este evento, pese a que la solicitud de ejecución se presentó en tiempo, lo cierto es que el fenómeno deletéreo no se interrumpió al tenor del artículo 94 del C.G.P. pues el auto que ordenó librar el mandamiento de pago solo se notificó más de una década después de librada la orden de pago. </w:t>
      </w:r>
    </w:p>
    <w:p w14:paraId="631202F2" w14:textId="77777777" w:rsidR="00B64F9B" w:rsidRPr="001F21A7" w:rsidRDefault="00B64F9B" w:rsidP="001F21A7">
      <w:pPr>
        <w:autoSpaceDE w:val="0"/>
        <w:autoSpaceDN w:val="0"/>
        <w:adjustRightInd w:val="0"/>
        <w:spacing w:line="276" w:lineRule="auto"/>
        <w:jc w:val="both"/>
        <w:rPr>
          <w:rFonts w:ascii="Arial" w:hAnsi="Arial" w:cs="Arial"/>
        </w:rPr>
      </w:pPr>
    </w:p>
    <w:p w14:paraId="07DEC3EC" w14:textId="11EFE1B1" w:rsidR="006D7304" w:rsidRPr="001F21A7" w:rsidRDefault="006D7304" w:rsidP="001F21A7">
      <w:pPr>
        <w:spacing w:line="276" w:lineRule="auto"/>
        <w:jc w:val="both"/>
        <w:rPr>
          <w:rFonts w:ascii="Arial" w:hAnsi="Arial" w:cs="Arial"/>
        </w:rPr>
      </w:pPr>
      <w:r w:rsidRPr="001F21A7">
        <w:rPr>
          <w:rFonts w:ascii="Arial" w:hAnsi="Arial" w:cs="Arial"/>
        </w:rPr>
        <w:t xml:space="preserve">Por lo anterior, se deberá </w:t>
      </w:r>
      <w:r w:rsidR="00EA4631" w:rsidRPr="001F21A7">
        <w:rPr>
          <w:rFonts w:ascii="Arial" w:hAnsi="Arial" w:cs="Arial"/>
        </w:rPr>
        <w:t xml:space="preserve">revocar </w:t>
      </w:r>
      <w:r w:rsidRPr="001F21A7">
        <w:rPr>
          <w:rFonts w:ascii="Arial" w:hAnsi="Arial" w:cs="Arial"/>
        </w:rPr>
        <w:t>la decisión recurrida</w:t>
      </w:r>
      <w:r w:rsidR="00EA4631" w:rsidRPr="001F21A7">
        <w:rPr>
          <w:rFonts w:ascii="Arial" w:hAnsi="Arial" w:cs="Arial"/>
        </w:rPr>
        <w:t xml:space="preserve"> para en su lugar declarar la prosperidad de la excepción de prescripción y</w:t>
      </w:r>
      <w:r w:rsidR="00864F6C" w:rsidRPr="001F21A7">
        <w:rPr>
          <w:rFonts w:ascii="Arial" w:hAnsi="Arial" w:cs="Arial"/>
        </w:rPr>
        <w:t>,</w:t>
      </w:r>
      <w:r w:rsidR="00EA4631" w:rsidRPr="001F21A7">
        <w:rPr>
          <w:rFonts w:ascii="Arial" w:hAnsi="Arial" w:cs="Arial"/>
        </w:rPr>
        <w:t xml:space="preserve"> en consecuencia, dejar sin efectos el auto que libró mandamiento de pago y al tenor del numeral 3º del artículo 443 del </w:t>
      </w:r>
      <w:r w:rsidR="00EA4631" w:rsidRPr="001F21A7">
        <w:rPr>
          <w:rFonts w:ascii="Arial" w:hAnsi="Arial" w:cs="Arial"/>
        </w:rPr>
        <w:lastRenderedPageBreak/>
        <w:t>C.G.P. se ordena poner fin al proceso y el levantamiento las medidas cautelares que pesaran en contra de la ejecutada.</w:t>
      </w:r>
    </w:p>
    <w:p w14:paraId="403D10E9" w14:textId="77777777" w:rsidR="00EA4631" w:rsidRPr="001F21A7" w:rsidRDefault="00EA4631" w:rsidP="001F21A7">
      <w:pPr>
        <w:spacing w:line="276" w:lineRule="auto"/>
        <w:jc w:val="both"/>
        <w:rPr>
          <w:rFonts w:ascii="Arial" w:hAnsi="Arial" w:cs="Arial"/>
        </w:rPr>
      </w:pPr>
    </w:p>
    <w:p w14:paraId="62C43E78" w14:textId="77777777" w:rsidR="002106CD" w:rsidRPr="001F21A7" w:rsidRDefault="002106CD" w:rsidP="001F21A7">
      <w:pPr>
        <w:spacing w:line="276" w:lineRule="auto"/>
        <w:jc w:val="center"/>
        <w:rPr>
          <w:rFonts w:ascii="Arial" w:hAnsi="Arial" w:cs="Arial"/>
          <w:b/>
        </w:rPr>
      </w:pPr>
      <w:r w:rsidRPr="001F21A7">
        <w:rPr>
          <w:rFonts w:ascii="Arial" w:hAnsi="Arial" w:cs="Arial"/>
          <w:b/>
        </w:rPr>
        <w:t>CONCLUSIÓN</w:t>
      </w:r>
    </w:p>
    <w:p w14:paraId="1D9D6314" w14:textId="77777777" w:rsidR="002106CD" w:rsidRPr="001F21A7" w:rsidRDefault="002106CD" w:rsidP="001F21A7">
      <w:pPr>
        <w:spacing w:line="276" w:lineRule="auto"/>
        <w:jc w:val="both"/>
        <w:rPr>
          <w:rFonts w:ascii="Arial" w:eastAsia="Arial Unicode MS" w:hAnsi="Arial" w:cs="Arial"/>
        </w:rPr>
      </w:pPr>
    </w:p>
    <w:p w14:paraId="39EEB5CE" w14:textId="219C3155" w:rsidR="002106CD" w:rsidRPr="00EE2274" w:rsidRDefault="00E64627" w:rsidP="001F21A7">
      <w:pPr>
        <w:spacing w:line="276" w:lineRule="auto"/>
        <w:jc w:val="both"/>
        <w:rPr>
          <w:rFonts w:ascii="Arial" w:hAnsi="Arial" w:cs="Arial"/>
        </w:rPr>
      </w:pPr>
      <w:r w:rsidRPr="001F21A7">
        <w:rPr>
          <w:rFonts w:ascii="Arial" w:eastAsia="Arial Unicode MS" w:hAnsi="Arial" w:cs="Arial"/>
        </w:rPr>
        <w:t xml:space="preserve">Se </w:t>
      </w:r>
      <w:r w:rsidR="00EA4631" w:rsidRPr="001F21A7">
        <w:rPr>
          <w:rFonts w:ascii="Arial" w:eastAsia="Arial Unicode MS" w:hAnsi="Arial" w:cs="Arial"/>
        </w:rPr>
        <w:t>revocará</w:t>
      </w:r>
      <w:r w:rsidRPr="001F21A7">
        <w:rPr>
          <w:rFonts w:ascii="Arial" w:eastAsia="Arial Unicode MS" w:hAnsi="Arial" w:cs="Arial"/>
        </w:rPr>
        <w:t xml:space="preserve"> la decisión de primer grado</w:t>
      </w:r>
      <w:r w:rsidR="00EA4631" w:rsidRPr="001F21A7">
        <w:rPr>
          <w:rFonts w:ascii="Arial" w:eastAsia="Arial Unicode MS" w:hAnsi="Arial" w:cs="Arial"/>
        </w:rPr>
        <w:t>, para en su lugar dejar sin efectos el auto que libró mandamiento de pago para que no continúe la ejecución</w:t>
      </w:r>
      <w:r w:rsidR="0ED2F406" w:rsidRPr="001F21A7">
        <w:rPr>
          <w:rFonts w:ascii="Arial" w:eastAsia="Arial Unicode MS" w:hAnsi="Arial" w:cs="Arial"/>
        </w:rPr>
        <w:t>;</w:t>
      </w:r>
      <w:r w:rsidR="00EA4631" w:rsidRPr="001F21A7">
        <w:rPr>
          <w:rFonts w:ascii="Arial" w:eastAsia="Arial Unicode MS" w:hAnsi="Arial" w:cs="Arial"/>
        </w:rPr>
        <w:t xml:space="preserve"> disponer la finalización del proceso y ordenar el levantamiento de las medidas cautelares que pesaran en contra de la ejecutada</w:t>
      </w:r>
      <w:r w:rsidRPr="001F21A7">
        <w:rPr>
          <w:rFonts w:ascii="Arial" w:eastAsia="Arial Unicode MS" w:hAnsi="Arial" w:cs="Arial"/>
        </w:rPr>
        <w:t xml:space="preserve">. </w:t>
      </w:r>
      <w:r w:rsidR="00EA4631" w:rsidRPr="001F21A7">
        <w:rPr>
          <w:rFonts w:ascii="Arial" w:hAnsi="Arial" w:cs="Arial"/>
        </w:rPr>
        <w:t xml:space="preserve">Finalmente, en aplicación del numeral 4° del artículo 365 del C.G.P. se condenará en costas de ambas instancias a la ejecutante a favor de la ejecutada. </w:t>
      </w:r>
    </w:p>
    <w:p w14:paraId="27C5E251" w14:textId="77777777" w:rsidR="00902CF7" w:rsidRPr="001F21A7" w:rsidRDefault="00902CF7" w:rsidP="001F21A7">
      <w:pPr>
        <w:spacing w:line="276" w:lineRule="auto"/>
        <w:jc w:val="both"/>
        <w:rPr>
          <w:rFonts w:ascii="Arial" w:eastAsia="Arial Unicode MS" w:hAnsi="Arial" w:cs="Arial"/>
        </w:rPr>
      </w:pPr>
    </w:p>
    <w:p w14:paraId="15C17AE0" w14:textId="77777777" w:rsidR="00E20B33" w:rsidRPr="001F21A7" w:rsidRDefault="00E20B33" w:rsidP="001F21A7">
      <w:pPr>
        <w:autoSpaceDE w:val="0"/>
        <w:autoSpaceDN w:val="0"/>
        <w:adjustRightInd w:val="0"/>
        <w:spacing w:line="276" w:lineRule="auto"/>
        <w:jc w:val="center"/>
        <w:rPr>
          <w:rFonts w:ascii="Arial" w:hAnsi="Arial" w:cs="Arial"/>
          <w:b/>
          <w:lang w:val="es-ES"/>
        </w:rPr>
      </w:pPr>
      <w:r w:rsidRPr="001F21A7">
        <w:rPr>
          <w:rFonts w:ascii="Arial" w:hAnsi="Arial" w:cs="Arial"/>
          <w:b/>
          <w:lang w:val="es-ES"/>
        </w:rPr>
        <w:t>DECISIÓN</w:t>
      </w:r>
    </w:p>
    <w:p w14:paraId="3A93B173" w14:textId="77777777" w:rsidR="00E20B33" w:rsidRPr="001F21A7" w:rsidRDefault="00E20B33" w:rsidP="001F21A7">
      <w:pPr>
        <w:spacing w:line="276" w:lineRule="auto"/>
        <w:jc w:val="both"/>
        <w:rPr>
          <w:rFonts w:ascii="Arial" w:hAnsi="Arial" w:cs="Arial"/>
          <w:lang w:val="es-ES"/>
        </w:rPr>
      </w:pPr>
    </w:p>
    <w:p w14:paraId="4F0B6CF5" w14:textId="741AF6A8" w:rsidR="00E20B33" w:rsidRPr="001F21A7" w:rsidRDefault="00E20B33" w:rsidP="001F21A7">
      <w:pPr>
        <w:spacing w:line="276" w:lineRule="auto"/>
        <w:jc w:val="both"/>
        <w:rPr>
          <w:rFonts w:ascii="Arial" w:hAnsi="Arial" w:cs="Arial"/>
          <w:lang w:val="es-ES"/>
        </w:rPr>
      </w:pPr>
      <w:r w:rsidRPr="001F21A7">
        <w:rPr>
          <w:rFonts w:ascii="Arial" w:hAnsi="Arial" w:cs="Arial"/>
          <w:lang w:val="es-ES"/>
        </w:rPr>
        <w:t xml:space="preserve">En mérito de lo expuesto, </w:t>
      </w:r>
      <w:r w:rsidRPr="001F21A7">
        <w:rPr>
          <w:rFonts w:ascii="Arial" w:hAnsi="Arial" w:cs="Arial"/>
          <w:b/>
          <w:lang w:val="es-ES"/>
        </w:rPr>
        <w:t>la Sala</w:t>
      </w:r>
      <w:r w:rsidR="00510AA8" w:rsidRPr="001F21A7">
        <w:rPr>
          <w:rFonts w:ascii="Arial" w:hAnsi="Arial" w:cs="Arial"/>
          <w:b/>
          <w:lang w:val="es-ES"/>
        </w:rPr>
        <w:t xml:space="preserve"> </w:t>
      </w:r>
      <w:r w:rsidRPr="001F21A7">
        <w:rPr>
          <w:rFonts w:ascii="Arial" w:hAnsi="Arial" w:cs="Arial"/>
          <w:b/>
          <w:lang w:val="es-ES"/>
        </w:rPr>
        <w:t>de Decisión Laboral del Tribunal Superior de Distrito Judicial de Pereira - Risaralda,</w:t>
      </w:r>
      <w:r w:rsidRPr="001F21A7">
        <w:rPr>
          <w:rFonts w:ascii="Arial" w:hAnsi="Arial" w:cs="Arial"/>
          <w:lang w:val="es-ES"/>
        </w:rPr>
        <w:t xml:space="preserve"> </w:t>
      </w:r>
    </w:p>
    <w:p w14:paraId="045FC73A" w14:textId="77777777" w:rsidR="00E20B33" w:rsidRPr="001F21A7" w:rsidRDefault="00E20B33" w:rsidP="001F21A7">
      <w:pPr>
        <w:spacing w:line="276" w:lineRule="auto"/>
        <w:ind w:firstLine="1404"/>
        <w:jc w:val="center"/>
        <w:rPr>
          <w:rFonts w:ascii="Arial" w:hAnsi="Arial" w:cs="Arial"/>
          <w:b/>
          <w:lang w:val="es-ES"/>
        </w:rPr>
      </w:pPr>
    </w:p>
    <w:p w14:paraId="696AB5D6" w14:textId="77777777" w:rsidR="00E20B33" w:rsidRPr="001F21A7" w:rsidRDefault="00E20B33" w:rsidP="001F21A7">
      <w:pPr>
        <w:spacing w:line="276" w:lineRule="auto"/>
        <w:jc w:val="center"/>
        <w:rPr>
          <w:rFonts w:ascii="Arial" w:hAnsi="Arial" w:cs="Arial"/>
          <w:b/>
          <w:lang w:val="es-ES"/>
        </w:rPr>
      </w:pPr>
      <w:r w:rsidRPr="001F21A7">
        <w:rPr>
          <w:rFonts w:ascii="Arial" w:hAnsi="Arial" w:cs="Arial"/>
          <w:b/>
          <w:lang w:val="es-ES"/>
        </w:rPr>
        <w:t>RESUELVE</w:t>
      </w:r>
    </w:p>
    <w:p w14:paraId="3DCED4AB" w14:textId="77777777" w:rsidR="00E20B33" w:rsidRPr="001F21A7" w:rsidRDefault="00E20B33" w:rsidP="001F21A7">
      <w:pPr>
        <w:spacing w:line="276" w:lineRule="auto"/>
        <w:ind w:firstLine="851"/>
        <w:jc w:val="both"/>
        <w:rPr>
          <w:rFonts w:ascii="Arial" w:hAnsi="Arial" w:cs="Arial"/>
          <w:lang w:val="es-ES"/>
        </w:rPr>
      </w:pPr>
    </w:p>
    <w:p w14:paraId="4D0B8EC7" w14:textId="77777777" w:rsidR="00EA4631" w:rsidRPr="001F21A7" w:rsidRDefault="00E20B33" w:rsidP="001F21A7">
      <w:pPr>
        <w:spacing w:line="276" w:lineRule="auto"/>
        <w:jc w:val="both"/>
        <w:rPr>
          <w:rFonts w:ascii="Arial" w:hAnsi="Arial" w:cs="Arial"/>
        </w:rPr>
      </w:pPr>
      <w:r w:rsidRPr="001F21A7">
        <w:rPr>
          <w:rFonts w:ascii="Arial" w:hAnsi="Arial" w:cs="Arial"/>
          <w:b/>
          <w:bCs/>
          <w:lang w:val="es-ES"/>
        </w:rPr>
        <w:t xml:space="preserve">PRIMERO. </w:t>
      </w:r>
      <w:r w:rsidR="00EA4631" w:rsidRPr="001F21A7">
        <w:rPr>
          <w:rFonts w:ascii="Arial" w:hAnsi="Arial" w:cs="Arial"/>
          <w:b/>
          <w:bCs/>
          <w:lang w:val="es-ES"/>
        </w:rPr>
        <w:t>REVOCAR</w:t>
      </w:r>
      <w:r w:rsidRPr="001F21A7">
        <w:rPr>
          <w:rFonts w:ascii="Arial" w:hAnsi="Arial" w:cs="Arial"/>
          <w:b/>
          <w:bCs/>
          <w:lang w:val="es-ES"/>
        </w:rPr>
        <w:t xml:space="preserve"> </w:t>
      </w:r>
      <w:r w:rsidR="00C94138" w:rsidRPr="001F21A7">
        <w:rPr>
          <w:rFonts w:ascii="Arial" w:hAnsi="Arial" w:cs="Arial"/>
          <w:lang w:val="es-ES"/>
        </w:rPr>
        <w:t xml:space="preserve">el auto </w:t>
      </w:r>
      <w:r w:rsidR="00E64627" w:rsidRPr="001F21A7">
        <w:rPr>
          <w:rFonts w:ascii="Arial" w:hAnsi="Arial" w:cs="Arial"/>
        </w:rPr>
        <w:t xml:space="preserve">proferido el </w:t>
      </w:r>
      <w:r w:rsidR="00EA4631" w:rsidRPr="001F21A7">
        <w:rPr>
          <w:rFonts w:ascii="Arial" w:hAnsi="Arial" w:cs="Arial"/>
        </w:rPr>
        <w:t xml:space="preserve">09 de febrero de 2023 por el Juzgado Laboral del Circuito de Dosquebradas, Risaralda, dentro del proceso promovido por Hisley Patricia Loaiza Martínez y Omar Flórez Morales contra Alejandra María López Jaramillo para en su lugar </w:t>
      </w:r>
      <w:r w:rsidR="00EA4631" w:rsidRPr="001F21A7">
        <w:rPr>
          <w:rFonts w:ascii="Arial" w:hAnsi="Arial" w:cs="Arial"/>
          <w:b/>
        </w:rPr>
        <w:t>DECLARAR</w:t>
      </w:r>
      <w:r w:rsidR="00EA4631" w:rsidRPr="001F21A7">
        <w:rPr>
          <w:rFonts w:ascii="Arial" w:hAnsi="Arial" w:cs="Arial"/>
        </w:rPr>
        <w:t xml:space="preserve"> próspera la excepción de prescripción. </w:t>
      </w:r>
    </w:p>
    <w:p w14:paraId="2DE5654C" w14:textId="66350DF4" w:rsidR="00E20B33" w:rsidRPr="001F21A7" w:rsidRDefault="00E20B33" w:rsidP="001F21A7">
      <w:pPr>
        <w:spacing w:line="276" w:lineRule="auto"/>
        <w:jc w:val="both"/>
        <w:rPr>
          <w:rFonts w:ascii="Arial" w:hAnsi="Arial" w:cs="Arial"/>
          <w:b/>
          <w:bCs/>
          <w:lang w:val="es-ES"/>
        </w:rPr>
      </w:pPr>
    </w:p>
    <w:p w14:paraId="04D75033" w14:textId="1C6E623D" w:rsidR="00EA4631" w:rsidRPr="001F21A7" w:rsidRDefault="00E20B33" w:rsidP="001F21A7">
      <w:pPr>
        <w:spacing w:line="276" w:lineRule="auto"/>
        <w:jc w:val="both"/>
        <w:rPr>
          <w:rFonts w:ascii="Arial" w:hAnsi="Arial" w:cs="Arial"/>
        </w:rPr>
      </w:pPr>
      <w:r w:rsidRPr="001F21A7">
        <w:rPr>
          <w:rFonts w:ascii="Arial" w:hAnsi="Arial" w:cs="Arial"/>
          <w:b/>
          <w:bCs/>
          <w:lang w:val="es-ES"/>
        </w:rPr>
        <w:t xml:space="preserve">SEGUNDO. </w:t>
      </w:r>
      <w:r w:rsidR="00EA4631" w:rsidRPr="001F21A7">
        <w:rPr>
          <w:rFonts w:ascii="Arial" w:hAnsi="Arial" w:cs="Arial"/>
          <w:b/>
        </w:rPr>
        <w:t>ORDENAR</w:t>
      </w:r>
      <w:r w:rsidR="00EA4631" w:rsidRPr="001F21A7">
        <w:rPr>
          <w:rFonts w:ascii="Arial" w:hAnsi="Arial" w:cs="Arial"/>
        </w:rPr>
        <w:t xml:space="preserve"> no seguir adelante con la ejecución</w:t>
      </w:r>
      <w:r w:rsidR="000A36AF" w:rsidRPr="001F21A7">
        <w:rPr>
          <w:rFonts w:ascii="Arial" w:hAnsi="Arial" w:cs="Arial"/>
        </w:rPr>
        <w:t xml:space="preserve"> </w:t>
      </w:r>
      <w:r w:rsidR="001F5931" w:rsidRPr="001F21A7">
        <w:rPr>
          <w:rFonts w:ascii="Arial" w:hAnsi="Arial" w:cs="Arial"/>
        </w:rPr>
        <w:t>y,</w:t>
      </w:r>
      <w:r w:rsidR="000A36AF" w:rsidRPr="001F21A7">
        <w:rPr>
          <w:rFonts w:ascii="Arial" w:hAnsi="Arial" w:cs="Arial"/>
        </w:rPr>
        <w:t xml:space="preserve"> en consecuencia, la terminación del proceso.</w:t>
      </w:r>
    </w:p>
    <w:p w14:paraId="680F5C68" w14:textId="781652FA" w:rsidR="006A22A4" w:rsidRPr="006A22A4" w:rsidRDefault="006A22A4" w:rsidP="006A22A4">
      <w:pPr>
        <w:shd w:val="clear" w:color="auto" w:fill="FFFFFF"/>
        <w:tabs>
          <w:tab w:val="left" w:pos="5197"/>
        </w:tabs>
        <w:jc w:val="both"/>
        <w:rPr>
          <w:rFonts w:ascii="Arial" w:hAnsi="Arial" w:cs="Arial"/>
          <w:bCs/>
          <w:lang w:val="es-ES_tradnl"/>
        </w:rPr>
      </w:pPr>
    </w:p>
    <w:p w14:paraId="3058E609" w14:textId="77777777" w:rsidR="006A22A4" w:rsidRPr="006A22A4" w:rsidRDefault="006A22A4" w:rsidP="006A22A4">
      <w:pPr>
        <w:widowControl w:val="0"/>
        <w:autoSpaceDE w:val="0"/>
        <w:autoSpaceDN w:val="0"/>
        <w:adjustRightInd w:val="0"/>
        <w:spacing w:line="276" w:lineRule="auto"/>
        <w:contextualSpacing/>
        <w:jc w:val="both"/>
        <w:rPr>
          <w:rFonts w:ascii="Arial" w:hAnsi="Arial" w:cs="Arial"/>
          <w:lang w:val="es-ES_tradnl"/>
        </w:rPr>
      </w:pPr>
      <w:r w:rsidRPr="006A22A4">
        <w:rPr>
          <w:rFonts w:ascii="Arial" w:hAnsi="Arial" w:cs="Arial"/>
          <w:lang w:val="es-ES_tradnl"/>
        </w:rPr>
        <w:t xml:space="preserve">Notifíquese y cúmplase, </w:t>
      </w:r>
    </w:p>
    <w:p w14:paraId="5D7DC275" w14:textId="77777777" w:rsidR="006A22A4" w:rsidRPr="006A22A4" w:rsidRDefault="006A22A4" w:rsidP="006A22A4">
      <w:pPr>
        <w:spacing w:line="276" w:lineRule="auto"/>
        <w:contextualSpacing/>
        <w:jc w:val="both"/>
        <w:rPr>
          <w:rFonts w:ascii="Arial" w:eastAsia="Calibri" w:hAnsi="Arial" w:cs="Arial"/>
          <w:lang w:val="es-ES_tradnl"/>
        </w:rPr>
      </w:pPr>
    </w:p>
    <w:p w14:paraId="3C99DE84" w14:textId="77777777" w:rsidR="006A22A4" w:rsidRPr="006A22A4" w:rsidRDefault="006A22A4" w:rsidP="006A22A4">
      <w:pPr>
        <w:widowControl w:val="0"/>
        <w:autoSpaceDE w:val="0"/>
        <w:autoSpaceDN w:val="0"/>
        <w:adjustRightInd w:val="0"/>
        <w:spacing w:line="276" w:lineRule="auto"/>
        <w:contextualSpacing/>
        <w:jc w:val="both"/>
        <w:rPr>
          <w:rFonts w:ascii="Arial" w:hAnsi="Arial" w:cs="Arial"/>
          <w:lang w:val="es-ES_tradnl"/>
        </w:rPr>
      </w:pPr>
      <w:r w:rsidRPr="006A22A4">
        <w:rPr>
          <w:rFonts w:ascii="Arial" w:hAnsi="Arial" w:cs="Arial"/>
          <w:lang w:val="es-ES_tradnl"/>
        </w:rPr>
        <w:t>Quienes integran la Sala,</w:t>
      </w:r>
    </w:p>
    <w:p w14:paraId="75FA49E3" w14:textId="049D68F7" w:rsidR="006A22A4" w:rsidRDefault="006A22A4" w:rsidP="006A22A4">
      <w:pPr>
        <w:spacing w:line="276" w:lineRule="auto"/>
        <w:contextualSpacing/>
        <w:jc w:val="both"/>
        <w:rPr>
          <w:rFonts w:ascii="Arial" w:eastAsia="Calibri" w:hAnsi="Arial" w:cs="Arial"/>
          <w:lang w:val="es-ES_tradnl"/>
        </w:rPr>
      </w:pPr>
    </w:p>
    <w:p w14:paraId="25D0880D" w14:textId="77777777" w:rsidR="006A22A4" w:rsidRPr="006A22A4" w:rsidRDefault="006A22A4" w:rsidP="006A22A4">
      <w:pPr>
        <w:spacing w:line="276" w:lineRule="auto"/>
        <w:contextualSpacing/>
        <w:jc w:val="both"/>
        <w:rPr>
          <w:rFonts w:ascii="Arial" w:eastAsia="Calibri" w:hAnsi="Arial" w:cs="Arial"/>
          <w:lang w:val="es-ES_tradnl"/>
        </w:rPr>
      </w:pPr>
    </w:p>
    <w:p w14:paraId="451462B6" w14:textId="77777777" w:rsidR="005A742F" w:rsidRPr="005A742F" w:rsidRDefault="005A742F" w:rsidP="005A742F">
      <w:pPr>
        <w:spacing w:line="276" w:lineRule="auto"/>
        <w:contextualSpacing/>
        <w:jc w:val="center"/>
        <w:rPr>
          <w:rFonts w:ascii="Arial" w:eastAsia="Calibri" w:hAnsi="Arial" w:cs="Arial"/>
          <w:b/>
          <w:bCs/>
          <w:lang w:val="es-ES_tradnl" w:eastAsia="en-US"/>
        </w:rPr>
      </w:pPr>
      <w:r w:rsidRPr="005A742F">
        <w:rPr>
          <w:rFonts w:ascii="Arial" w:eastAsia="Calibri" w:hAnsi="Arial" w:cs="Arial"/>
          <w:b/>
          <w:bCs/>
          <w:lang w:val="es-ES_tradnl" w:eastAsia="en-US"/>
        </w:rPr>
        <w:t>OLGA LUCÍA HOYOS SEPÚLVEDA</w:t>
      </w:r>
    </w:p>
    <w:p w14:paraId="3A1BB6A9" w14:textId="77777777" w:rsidR="005A742F" w:rsidRPr="005A742F" w:rsidRDefault="005A742F" w:rsidP="005A742F">
      <w:pPr>
        <w:spacing w:line="276" w:lineRule="auto"/>
        <w:contextualSpacing/>
        <w:jc w:val="center"/>
        <w:rPr>
          <w:rFonts w:ascii="Arial" w:eastAsia="Calibri" w:hAnsi="Arial" w:cs="Arial"/>
          <w:lang w:val="es-ES_tradnl" w:eastAsia="en-US"/>
        </w:rPr>
      </w:pPr>
      <w:r w:rsidRPr="005A742F">
        <w:rPr>
          <w:rFonts w:ascii="Arial" w:eastAsia="Calibri" w:hAnsi="Arial" w:cs="Arial"/>
          <w:lang w:val="es-ES_tradnl" w:eastAsia="en-US"/>
        </w:rPr>
        <w:t>Magistrada Ponente</w:t>
      </w:r>
    </w:p>
    <w:p w14:paraId="543B435D" w14:textId="77777777" w:rsidR="005A742F" w:rsidRPr="005A742F" w:rsidRDefault="005A742F" w:rsidP="005A742F">
      <w:pPr>
        <w:spacing w:line="276" w:lineRule="auto"/>
        <w:contextualSpacing/>
        <w:rPr>
          <w:rFonts w:ascii="Arial" w:eastAsia="Calibri" w:hAnsi="Arial" w:cs="Arial"/>
          <w:lang w:val="es-ES_tradnl" w:eastAsia="en-US"/>
        </w:rPr>
      </w:pPr>
    </w:p>
    <w:p w14:paraId="00943C0D" w14:textId="77777777" w:rsidR="005A742F" w:rsidRPr="005A742F" w:rsidRDefault="005A742F" w:rsidP="005A742F">
      <w:pPr>
        <w:spacing w:line="276" w:lineRule="auto"/>
        <w:contextualSpacing/>
        <w:rPr>
          <w:rFonts w:ascii="Arial" w:eastAsia="Calibri" w:hAnsi="Arial" w:cs="Arial"/>
          <w:lang w:val="es-ES_tradnl" w:eastAsia="en-US"/>
        </w:rPr>
      </w:pPr>
    </w:p>
    <w:p w14:paraId="51D07C76" w14:textId="77777777" w:rsidR="005A742F" w:rsidRPr="005A742F" w:rsidRDefault="005A742F" w:rsidP="005A742F">
      <w:pPr>
        <w:spacing w:line="276" w:lineRule="auto"/>
        <w:contextualSpacing/>
        <w:jc w:val="center"/>
        <w:rPr>
          <w:rFonts w:ascii="Arial" w:hAnsi="Arial" w:cs="Arial"/>
          <w:lang w:val="es-ES_tradnl"/>
        </w:rPr>
      </w:pPr>
      <w:r w:rsidRPr="005A742F">
        <w:rPr>
          <w:rFonts w:ascii="Arial" w:hAnsi="Arial" w:cs="Arial"/>
          <w:b/>
          <w:bCs/>
          <w:lang w:val="es-ES_tradnl"/>
        </w:rPr>
        <w:t>JULIO CÉSAR SALAZAR MUÑOZ</w:t>
      </w:r>
    </w:p>
    <w:p w14:paraId="4643AE7C" w14:textId="77777777" w:rsidR="005A742F" w:rsidRPr="005A742F" w:rsidRDefault="005A742F" w:rsidP="005A742F">
      <w:pPr>
        <w:spacing w:line="276" w:lineRule="auto"/>
        <w:contextualSpacing/>
        <w:jc w:val="center"/>
        <w:rPr>
          <w:rFonts w:ascii="Arial" w:hAnsi="Arial" w:cs="Arial"/>
          <w:b/>
          <w:bCs/>
          <w:lang w:val="es-ES_tradnl"/>
        </w:rPr>
      </w:pPr>
      <w:r w:rsidRPr="005A742F">
        <w:rPr>
          <w:rFonts w:ascii="Arial" w:hAnsi="Arial" w:cs="Arial"/>
          <w:lang w:val="es-ES_tradnl"/>
        </w:rPr>
        <w:t>Magistrado</w:t>
      </w:r>
    </w:p>
    <w:p w14:paraId="2D899467" w14:textId="77777777" w:rsidR="005A742F" w:rsidRPr="005A742F" w:rsidRDefault="005A742F" w:rsidP="005A742F">
      <w:pPr>
        <w:spacing w:line="276" w:lineRule="auto"/>
        <w:contextualSpacing/>
        <w:rPr>
          <w:rFonts w:ascii="Arial" w:eastAsia="Calibri" w:hAnsi="Arial" w:cs="Arial"/>
          <w:lang w:val="es-ES_tradnl" w:eastAsia="en-US"/>
        </w:rPr>
      </w:pPr>
    </w:p>
    <w:p w14:paraId="120F0697" w14:textId="77777777" w:rsidR="005A742F" w:rsidRPr="005A742F" w:rsidRDefault="005A742F" w:rsidP="005A742F">
      <w:pPr>
        <w:spacing w:line="276" w:lineRule="auto"/>
        <w:contextualSpacing/>
        <w:rPr>
          <w:rFonts w:ascii="Arial" w:eastAsia="Calibri" w:hAnsi="Arial" w:cs="Arial"/>
          <w:lang w:val="es-ES_tradnl" w:eastAsia="en-US"/>
        </w:rPr>
      </w:pPr>
    </w:p>
    <w:p w14:paraId="657C9A28" w14:textId="77777777" w:rsidR="005A742F" w:rsidRPr="005A742F" w:rsidRDefault="005A742F" w:rsidP="005A742F">
      <w:pPr>
        <w:spacing w:line="276" w:lineRule="auto"/>
        <w:jc w:val="center"/>
        <w:rPr>
          <w:rFonts w:ascii="Arial" w:hAnsi="Arial" w:cs="Arial"/>
          <w:lang w:val="es-ES"/>
        </w:rPr>
      </w:pPr>
      <w:r w:rsidRPr="005A742F">
        <w:rPr>
          <w:rFonts w:ascii="Arial" w:hAnsi="Arial" w:cs="Arial"/>
          <w:b/>
          <w:bCs/>
          <w:iCs/>
          <w:lang w:val="es-ES"/>
        </w:rPr>
        <w:t>GERMÁN DARÍO GOEZ VINASCO</w:t>
      </w:r>
    </w:p>
    <w:p w14:paraId="7832DF6C" w14:textId="77777777" w:rsidR="005A742F" w:rsidRPr="005A742F" w:rsidRDefault="005A742F" w:rsidP="005A742F">
      <w:pPr>
        <w:spacing w:line="276" w:lineRule="auto"/>
        <w:jc w:val="center"/>
        <w:rPr>
          <w:rFonts w:ascii="Arial" w:hAnsi="Arial" w:cs="Arial"/>
          <w:lang w:val="es-ES"/>
        </w:rPr>
      </w:pPr>
      <w:r w:rsidRPr="005A742F">
        <w:rPr>
          <w:rFonts w:ascii="Arial" w:hAnsi="Arial" w:cs="Arial"/>
          <w:lang w:val="es-ES"/>
        </w:rPr>
        <w:t>Magistrado</w:t>
      </w:r>
    </w:p>
    <w:p w14:paraId="074B3D3A" w14:textId="7EDAD6BF" w:rsidR="001632A9" w:rsidRPr="005A742F" w:rsidRDefault="005A742F" w:rsidP="005A742F">
      <w:pPr>
        <w:spacing w:line="276" w:lineRule="auto"/>
        <w:jc w:val="center"/>
        <w:rPr>
          <w:rFonts w:ascii="Arial" w:hAnsi="Arial" w:cs="Arial"/>
          <w:b/>
        </w:rPr>
      </w:pPr>
      <w:r w:rsidRPr="005A742F">
        <w:rPr>
          <w:rFonts w:ascii="Arial" w:hAnsi="Arial" w:cs="Arial"/>
          <w:lang w:val="es-ES"/>
        </w:rPr>
        <w:t>Con salvamento de voto</w:t>
      </w:r>
    </w:p>
    <w:sectPr w:rsidR="001632A9" w:rsidRPr="005A742F" w:rsidSect="001F21A7">
      <w:headerReference w:type="default" r:id="rId13"/>
      <w:footerReference w:type="default" r:id="rId14"/>
      <w:pgSz w:w="12242" w:h="18722" w:code="258"/>
      <w:pgMar w:top="1871" w:right="1304" w:bottom="1304" w:left="1871" w:header="567" w:footer="567" w:gutter="0"/>
      <w:cols w:space="720"/>
      <w:noEndnote/>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34DAF7D" w16cex:dateUtc="2023-06-28T16:28:53.919Z"/>
  <w16cex:commentExtensible w16cex:durableId="77569DF2" w16cex:dateUtc="2023-06-29T13:14:31.422Z"/>
  <w16cex:commentExtensible w16cex:durableId="2FEC0818" w16cex:dateUtc="2023-11-27T17:51:17.001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C6762" w14:textId="77777777" w:rsidR="00DB0E1A" w:rsidRDefault="00DB0E1A" w:rsidP="00E20B33">
      <w:r>
        <w:separator/>
      </w:r>
    </w:p>
  </w:endnote>
  <w:endnote w:type="continuationSeparator" w:id="0">
    <w:p w14:paraId="06C9D7A0" w14:textId="77777777" w:rsidR="00DB0E1A" w:rsidRDefault="00DB0E1A" w:rsidP="00E2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F3CF2" w14:textId="674AC217" w:rsidR="0071295B" w:rsidRPr="00EE2274" w:rsidRDefault="00020B0D" w:rsidP="00EE2274">
    <w:pPr>
      <w:pStyle w:val="Encabezado"/>
      <w:jc w:val="right"/>
      <w:rPr>
        <w:rFonts w:ascii="Arial" w:hAnsi="Arial" w:cs="Arial"/>
        <w:sz w:val="18"/>
        <w:szCs w:val="18"/>
        <w:lang w:val="es-ES"/>
      </w:rPr>
    </w:pPr>
    <w:r w:rsidRPr="00EE2274">
      <w:rPr>
        <w:rFonts w:ascii="Arial" w:hAnsi="Arial" w:cs="Arial"/>
        <w:sz w:val="18"/>
        <w:szCs w:val="18"/>
        <w:lang w:val="es-ES"/>
      </w:rPr>
      <w:fldChar w:fldCharType="begin"/>
    </w:r>
    <w:r w:rsidRPr="00EE2274">
      <w:rPr>
        <w:rFonts w:ascii="Arial" w:hAnsi="Arial" w:cs="Arial"/>
        <w:sz w:val="18"/>
        <w:szCs w:val="18"/>
        <w:lang w:val="es-ES"/>
      </w:rPr>
      <w:instrText xml:space="preserve"> PAGE   \* MERGEFORMAT </w:instrText>
    </w:r>
    <w:r w:rsidRPr="00EE2274">
      <w:rPr>
        <w:rFonts w:ascii="Arial" w:hAnsi="Arial" w:cs="Arial"/>
        <w:sz w:val="18"/>
        <w:szCs w:val="18"/>
        <w:lang w:val="es-ES"/>
      </w:rPr>
      <w:fldChar w:fldCharType="separate"/>
    </w:r>
    <w:r w:rsidR="00806C43">
      <w:rPr>
        <w:rFonts w:ascii="Arial" w:hAnsi="Arial" w:cs="Arial"/>
        <w:noProof/>
        <w:sz w:val="18"/>
        <w:szCs w:val="18"/>
        <w:lang w:val="es-ES"/>
      </w:rPr>
      <w:t>2</w:t>
    </w:r>
    <w:r w:rsidRPr="00EE2274">
      <w:rPr>
        <w:rFonts w:ascii="Arial" w:hAnsi="Arial" w:cs="Arial"/>
        <w:sz w:val="18"/>
        <w:szCs w:val="18"/>
        <w:lang w:val="es-E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5E26B" w14:textId="77777777" w:rsidR="00DB0E1A" w:rsidRDefault="00DB0E1A" w:rsidP="00E20B33">
      <w:r>
        <w:separator/>
      </w:r>
    </w:p>
  </w:footnote>
  <w:footnote w:type="continuationSeparator" w:id="0">
    <w:p w14:paraId="7A77AF1C" w14:textId="77777777" w:rsidR="00DB0E1A" w:rsidRDefault="00DB0E1A" w:rsidP="00E20B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96F31" w14:textId="3425979C" w:rsidR="00582E50" w:rsidRDefault="00582E50" w:rsidP="00EE2274">
    <w:pPr>
      <w:pStyle w:val="Encabezado"/>
      <w:jc w:val="center"/>
      <w:rPr>
        <w:rFonts w:ascii="Arial" w:hAnsi="Arial" w:cs="Arial"/>
        <w:sz w:val="18"/>
        <w:szCs w:val="18"/>
        <w:lang w:val="es-ES"/>
      </w:rPr>
    </w:pPr>
    <w:r>
      <w:rPr>
        <w:rFonts w:ascii="Arial" w:hAnsi="Arial" w:cs="Arial"/>
        <w:sz w:val="18"/>
        <w:szCs w:val="18"/>
        <w:lang w:val="es-ES"/>
      </w:rPr>
      <w:t>Ejecutivo Laboral</w:t>
    </w:r>
  </w:p>
  <w:p w14:paraId="3A5CF468" w14:textId="3BCD1B32" w:rsidR="0071295B" w:rsidRPr="009B65F9" w:rsidRDefault="00D95837" w:rsidP="00EE2274">
    <w:pPr>
      <w:pStyle w:val="Encabezado"/>
      <w:jc w:val="center"/>
      <w:rPr>
        <w:rFonts w:ascii="Arial" w:hAnsi="Arial" w:cs="Arial"/>
        <w:sz w:val="18"/>
        <w:szCs w:val="18"/>
        <w:lang w:val="es-ES"/>
      </w:rPr>
    </w:pPr>
    <w:r>
      <w:rPr>
        <w:rFonts w:ascii="Arial" w:hAnsi="Arial" w:cs="Arial"/>
        <w:sz w:val="18"/>
        <w:szCs w:val="18"/>
        <w:lang w:val="es-ES"/>
      </w:rPr>
      <w:t>Hisley Patricia Loaiza Martínez y otro</w:t>
    </w:r>
    <w:r w:rsidR="00805DEC">
      <w:rPr>
        <w:rFonts w:ascii="Arial" w:hAnsi="Arial" w:cs="Arial"/>
        <w:sz w:val="18"/>
        <w:szCs w:val="18"/>
        <w:lang w:val="es-ES"/>
      </w:rPr>
      <w:t xml:space="preserve"> </w:t>
    </w:r>
    <w:r>
      <w:rPr>
        <w:rFonts w:ascii="Arial" w:hAnsi="Arial" w:cs="Arial"/>
        <w:sz w:val="18"/>
        <w:szCs w:val="18"/>
        <w:lang w:val="es-ES"/>
      </w:rPr>
      <w:t>V</w:t>
    </w:r>
    <w:r w:rsidR="00020B0D">
      <w:rPr>
        <w:rFonts w:ascii="Arial" w:hAnsi="Arial" w:cs="Arial"/>
        <w:sz w:val="18"/>
        <w:szCs w:val="18"/>
        <w:lang w:val="es-ES"/>
      </w:rPr>
      <w:t xml:space="preserve">s </w:t>
    </w:r>
    <w:r w:rsidR="003A64A0">
      <w:rPr>
        <w:rFonts w:ascii="Arial" w:hAnsi="Arial" w:cs="Arial"/>
        <w:sz w:val="18"/>
        <w:szCs w:val="18"/>
        <w:lang w:val="es-ES"/>
      </w:rPr>
      <w:t>Alejandra María López Jaramillo</w:t>
    </w:r>
    <w:r w:rsidR="00020B0D">
      <w:rPr>
        <w:rFonts w:ascii="Arial" w:hAnsi="Arial" w:cs="Arial"/>
        <w:sz w:val="18"/>
        <w:szCs w:val="18"/>
        <w:lang w:val="es-ES"/>
      </w:rPr>
      <w:t xml:space="preserve"> </w:t>
    </w:r>
  </w:p>
  <w:p w14:paraId="1B191426" w14:textId="7C559BF3" w:rsidR="0071295B" w:rsidRPr="009B65F9" w:rsidRDefault="00020B0D" w:rsidP="00EE2274">
    <w:pPr>
      <w:pStyle w:val="Encabezado"/>
      <w:jc w:val="center"/>
      <w:rPr>
        <w:rFonts w:ascii="Arial" w:hAnsi="Arial" w:cs="Arial"/>
        <w:sz w:val="18"/>
        <w:szCs w:val="18"/>
        <w:lang w:val="es-ES"/>
      </w:rPr>
    </w:pPr>
    <w:r>
      <w:rPr>
        <w:rFonts w:ascii="Arial" w:hAnsi="Arial" w:cs="Arial"/>
        <w:sz w:val="18"/>
        <w:szCs w:val="18"/>
        <w:lang w:val="es-ES"/>
      </w:rPr>
      <w:t>Radicado 66</w:t>
    </w:r>
    <w:r w:rsidR="003A64A0">
      <w:rPr>
        <w:rFonts w:ascii="Arial" w:hAnsi="Arial" w:cs="Arial"/>
        <w:sz w:val="18"/>
        <w:szCs w:val="18"/>
        <w:lang w:val="es-ES"/>
      </w:rPr>
      <w:t>170</w:t>
    </w:r>
    <w:r>
      <w:rPr>
        <w:rFonts w:ascii="Arial" w:hAnsi="Arial" w:cs="Arial"/>
        <w:sz w:val="18"/>
        <w:szCs w:val="18"/>
        <w:lang w:val="es-ES"/>
      </w:rPr>
      <w:t>-31-</w:t>
    </w:r>
    <w:r w:rsidR="00F96B06">
      <w:rPr>
        <w:rFonts w:ascii="Arial" w:hAnsi="Arial" w:cs="Arial"/>
        <w:sz w:val="18"/>
        <w:szCs w:val="18"/>
        <w:lang w:val="es-ES"/>
      </w:rPr>
      <w:t>05</w:t>
    </w:r>
    <w:r>
      <w:rPr>
        <w:rFonts w:ascii="Arial" w:hAnsi="Arial" w:cs="Arial"/>
        <w:sz w:val="18"/>
        <w:szCs w:val="18"/>
        <w:lang w:val="es-ES"/>
      </w:rPr>
      <w:t>-00</w:t>
    </w:r>
    <w:r w:rsidR="003A64A0">
      <w:rPr>
        <w:rFonts w:ascii="Arial" w:hAnsi="Arial" w:cs="Arial"/>
        <w:sz w:val="18"/>
        <w:szCs w:val="18"/>
        <w:lang w:val="es-ES"/>
      </w:rPr>
      <w:t>1</w:t>
    </w:r>
    <w:r w:rsidRPr="009B65F9">
      <w:rPr>
        <w:rFonts w:ascii="Arial" w:hAnsi="Arial" w:cs="Arial"/>
        <w:sz w:val="18"/>
        <w:szCs w:val="18"/>
        <w:lang w:val="es-ES"/>
      </w:rPr>
      <w:t>-20</w:t>
    </w:r>
    <w:r w:rsidR="003A64A0">
      <w:rPr>
        <w:rFonts w:ascii="Arial" w:hAnsi="Arial" w:cs="Arial"/>
        <w:sz w:val="18"/>
        <w:szCs w:val="18"/>
        <w:lang w:val="es-ES"/>
      </w:rPr>
      <w:t>09</w:t>
    </w:r>
    <w:r w:rsidRPr="009B65F9">
      <w:rPr>
        <w:rFonts w:ascii="Arial" w:hAnsi="Arial" w:cs="Arial"/>
        <w:sz w:val="18"/>
        <w:szCs w:val="18"/>
        <w:lang w:val="es-ES"/>
      </w:rPr>
      <w:t>-00</w:t>
    </w:r>
    <w:r w:rsidR="003A64A0">
      <w:rPr>
        <w:rFonts w:ascii="Arial" w:hAnsi="Arial" w:cs="Arial"/>
        <w:sz w:val="18"/>
        <w:szCs w:val="18"/>
        <w:lang w:val="es-ES"/>
      </w:rPr>
      <w:t>165</w:t>
    </w:r>
    <w:r w:rsidRPr="009B65F9">
      <w:rPr>
        <w:rFonts w:ascii="Arial" w:hAnsi="Arial" w:cs="Arial"/>
        <w:sz w:val="18"/>
        <w:szCs w:val="18"/>
        <w:lang w:val="es-ES"/>
      </w:rPr>
      <w:t>-0</w:t>
    </w:r>
    <w:r w:rsidR="00F96B06">
      <w:rPr>
        <w:rFonts w:ascii="Arial" w:hAnsi="Arial" w:cs="Arial"/>
        <w:sz w:val="18"/>
        <w:szCs w:val="18"/>
        <w:lang w:val="es-ES"/>
      </w:rPr>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017"/>
    <w:multiLevelType w:val="multilevel"/>
    <w:tmpl w:val="34CA9654"/>
    <w:lvl w:ilvl="0">
      <w:start w:val="4"/>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 w15:restartNumberingAfterBreak="0">
    <w:nsid w:val="09D430CF"/>
    <w:multiLevelType w:val="hybridMultilevel"/>
    <w:tmpl w:val="17E03808"/>
    <w:lvl w:ilvl="0" w:tplc="14206058">
      <w:start w:val="1"/>
      <w:numFmt w:val="decimal"/>
      <w:lvlText w:val="%1."/>
      <w:lvlJc w:val="left"/>
      <w:pPr>
        <w:ind w:left="720" w:hanging="360"/>
      </w:pPr>
      <w:rPr>
        <w:b/>
      </w:rPr>
    </w:lvl>
    <w:lvl w:ilvl="1" w:tplc="CB4CDF2A">
      <w:start w:val="1"/>
      <w:numFmt w:val="lowerLetter"/>
      <w:lvlText w:val="%2."/>
      <w:lvlJc w:val="left"/>
      <w:pPr>
        <w:ind w:left="1440" w:hanging="360"/>
      </w:pPr>
    </w:lvl>
    <w:lvl w:ilvl="2" w:tplc="CD20E204">
      <w:start w:val="1"/>
      <w:numFmt w:val="lowerRoman"/>
      <w:lvlText w:val="%3."/>
      <w:lvlJc w:val="right"/>
      <w:pPr>
        <w:ind w:left="2160" w:hanging="180"/>
      </w:pPr>
    </w:lvl>
    <w:lvl w:ilvl="3" w:tplc="6F56A384">
      <w:start w:val="1"/>
      <w:numFmt w:val="decimal"/>
      <w:lvlText w:val="%4."/>
      <w:lvlJc w:val="left"/>
      <w:pPr>
        <w:ind w:left="2880" w:hanging="360"/>
      </w:pPr>
    </w:lvl>
    <w:lvl w:ilvl="4" w:tplc="AC3AAC48">
      <w:start w:val="1"/>
      <w:numFmt w:val="lowerLetter"/>
      <w:lvlText w:val="%5."/>
      <w:lvlJc w:val="left"/>
      <w:pPr>
        <w:ind w:left="3600" w:hanging="360"/>
      </w:pPr>
    </w:lvl>
    <w:lvl w:ilvl="5" w:tplc="DCF664FA">
      <w:start w:val="1"/>
      <w:numFmt w:val="lowerRoman"/>
      <w:lvlText w:val="%6."/>
      <w:lvlJc w:val="right"/>
      <w:pPr>
        <w:ind w:left="4320" w:hanging="180"/>
      </w:pPr>
    </w:lvl>
    <w:lvl w:ilvl="6" w:tplc="6748B464">
      <w:start w:val="1"/>
      <w:numFmt w:val="decimal"/>
      <w:lvlText w:val="%7."/>
      <w:lvlJc w:val="left"/>
      <w:pPr>
        <w:ind w:left="5040" w:hanging="360"/>
      </w:pPr>
    </w:lvl>
    <w:lvl w:ilvl="7" w:tplc="E160C9CA">
      <w:start w:val="1"/>
      <w:numFmt w:val="lowerLetter"/>
      <w:lvlText w:val="%8."/>
      <w:lvlJc w:val="left"/>
      <w:pPr>
        <w:ind w:left="5760" w:hanging="360"/>
      </w:pPr>
    </w:lvl>
    <w:lvl w:ilvl="8" w:tplc="E304C294">
      <w:start w:val="1"/>
      <w:numFmt w:val="lowerRoman"/>
      <w:lvlText w:val="%9."/>
      <w:lvlJc w:val="right"/>
      <w:pPr>
        <w:ind w:left="6480" w:hanging="180"/>
      </w:pPr>
    </w:lvl>
  </w:abstractNum>
  <w:abstractNum w:abstractNumId="2" w15:restartNumberingAfterBreak="0">
    <w:nsid w:val="24591A56"/>
    <w:multiLevelType w:val="hybridMultilevel"/>
    <w:tmpl w:val="3FB8C376"/>
    <w:lvl w:ilvl="0" w:tplc="A0D46654">
      <w:start w:val="1"/>
      <w:numFmt w:val="decimal"/>
      <w:lvlText w:val="%1."/>
      <w:lvlJc w:val="left"/>
      <w:pPr>
        <w:ind w:left="1211" w:hanging="360"/>
      </w:pPr>
      <w:rPr>
        <w:rFonts w:hint="default"/>
        <w:b/>
        <w:i/>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 w15:restartNumberingAfterBreak="0">
    <w:nsid w:val="31D16E32"/>
    <w:multiLevelType w:val="hybridMultilevel"/>
    <w:tmpl w:val="675E0A38"/>
    <w:lvl w:ilvl="0" w:tplc="74601F82">
      <w:start w:val="1"/>
      <w:numFmt w:val="lowerLetter"/>
      <w:lvlText w:val="%1."/>
      <w:lvlJc w:val="left"/>
      <w:pPr>
        <w:ind w:left="720" w:hanging="360"/>
      </w:pPr>
    </w:lvl>
    <w:lvl w:ilvl="1" w:tplc="23F4CD68">
      <w:start w:val="1"/>
      <w:numFmt w:val="lowerLetter"/>
      <w:lvlText w:val="%2."/>
      <w:lvlJc w:val="left"/>
      <w:pPr>
        <w:ind w:left="1440" w:hanging="360"/>
      </w:pPr>
    </w:lvl>
    <w:lvl w:ilvl="2" w:tplc="BA1EBA2C">
      <w:start w:val="1"/>
      <w:numFmt w:val="lowerRoman"/>
      <w:lvlText w:val="%3."/>
      <w:lvlJc w:val="right"/>
      <w:pPr>
        <w:ind w:left="2160" w:hanging="180"/>
      </w:pPr>
    </w:lvl>
    <w:lvl w:ilvl="3" w:tplc="A2284872">
      <w:start w:val="1"/>
      <w:numFmt w:val="decimal"/>
      <w:lvlText w:val="%4."/>
      <w:lvlJc w:val="left"/>
      <w:pPr>
        <w:ind w:left="2880" w:hanging="360"/>
      </w:pPr>
    </w:lvl>
    <w:lvl w:ilvl="4" w:tplc="95A45C34">
      <w:start w:val="1"/>
      <w:numFmt w:val="lowerLetter"/>
      <w:lvlText w:val="%5."/>
      <w:lvlJc w:val="left"/>
      <w:pPr>
        <w:ind w:left="3600" w:hanging="360"/>
      </w:pPr>
    </w:lvl>
    <w:lvl w:ilvl="5" w:tplc="9626B28C">
      <w:start w:val="1"/>
      <w:numFmt w:val="lowerRoman"/>
      <w:lvlText w:val="%6."/>
      <w:lvlJc w:val="right"/>
      <w:pPr>
        <w:ind w:left="4320" w:hanging="180"/>
      </w:pPr>
    </w:lvl>
    <w:lvl w:ilvl="6" w:tplc="123AB2CC">
      <w:start w:val="1"/>
      <w:numFmt w:val="decimal"/>
      <w:lvlText w:val="%7."/>
      <w:lvlJc w:val="left"/>
      <w:pPr>
        <w:ind w:left="5040" w:hanging="360"/>
      </w:pPr>
    </w:lvl>
    <w:lvl w:ilvl="7" w:tplc="EAB26E38">
      <w:start w:val="1"/>
      <w:numFmt w:val="lowerLetter"/>
      <w:lvlText w:val="%8."/>
      <w:lvlJc w:val="left"/>
      <w:pPr>
        <w:ind w:left="5760" w:hanging="360"/>
      </w:pPr>
    </w:lvl>
    <w:lvl w:ilvl="8" w:tplc="E48449C0">
      <w:start w:val="1"/>
      <w:numFmt w:val="lowerRoman"/>
      <w:lvlText w:val="%9."/>
      <w:lvlJc w:val="right"/>
      <w:pPr>
        <w:ind w:left="6480" w:hanging="180"/>
      </w:pPr>
    </w:lvl>
  </w:abstractNum>
  <w:abstractNum w:abstractNumId="4" w15:restartNumberingAfterBreak="0">
    <w:nsid w:val="3C0F5678"/>
    <w:multiLevelType w:val="hybridMultilevel"/>
    <w:tmpl w:val="67EC63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BDD6EC5"/>
    <w:multiLevelType w:val="hybridMultilevel"/>
    <w:tmpl w:val="A548369A"/>
    <w:lvl w:ilvl="0" w:tplc="37228E70">
      <w:start w:val="1"/>
      <w:numFmt w:val="bullet"/>
      <w:lvlText w:val="-"/>
      <w:lvlJc w:val="left"/>
      <w:pPr>
        <w:ind w:left="720" w:hanging="360"/>
      </w:pPr>
      <w:rPr>
        <w:rFonts w:ascii="Calibri" w:hAnsi="Calibri" w:hint="default"/>
      </w:rPr>
    </w:lvl>
    <w:lvl w:ilvl="1" w:tplc="02E8CF00">
      <w:start w:val="1"/>
      <w:numFmt w:val="bullet"/>
      <w:lvlText w:val="o"/>
      <w:lvlJc w:val="left"/>
      <w:pPr>
        <w:ind w:left="1440" w:hanging="360"/>
      </w:pPr>
      <w:rPr>
        <w:rFonts w:ascii="Courier New" w:hAnsi="Courier New" w:hint="default"/>
      </w:rPr>
    </w:lvl>
    <w:lvl w:ilvl="2" w:tplc="DB06FE70">
      <w:start w:val="1"/>
      <w:numFmt w:val="bullet"/>
      <w:lvlText w:val=""/>
      <w:lvlJc w:val="left"/>
      <w:pPr>
        <w:ind w:left="2160" w:hanging="360"/>
      </w:pPr>
      <w:rPr>
        <w:rFonts w:ascii="Wingdings" w:hAnsi="Wingdings" w:hint="default"/>
      </w:rPr>
    </w:lvl>
    <w:lvl w:ilvl="3" w:tplc="B3E4A114">
      <w:start w:val="1"/>
      <w:numFmt w:val="bullet"/>
      <w:lvlText w:val=""/>
      <w:lvlJc w:val="left"/>
      <w:pPr>
        <w:ind w:left="2880" w:hanging="360"/>
      </w:pPr>
      <w:rPr>
        <w:rFonts w:ascii="Symbol" w:hAnsi="Symbol" w:hint="default"/>
      </w:rPr>
    </w:lvl>
    <w:lvl w:ilvl="4" w:tplc="FB188984">
      <w:start w:val="1"/>
      <w:numFmt w:val="bullet"/>
      <w:lvlText w:val="o"/>
      <w:lvlJc w:val="left"/>
      <w:pPr>
        <w:ind w:left="3600" w:hanging="360"/>
      </w:pPr>
      <w:rPr>
        <w:rFonts w:ascii="Courier New" w:hAnsi="Courier New" w:hint="default"/>
      </w:rPr>
    </w:lvl>
    <w:lvl w:ilvl="5" w:tplc="2728B32C">
      <w:start w:val="1"/>
      <w:numFmt w:val="bullet"/>
      <w:lvlText w:val=""/>
      <w:lvlJc w:val="left"/>
      <w:pPr>
        <w:ind w:left="4320" w:hanging="360"/>
      </w:pPr>
      <w:rPr>
        <w:rFonts w:ascii="Wingdings" w:hAnsi="Wingdings" w:hint="default"/>
      </w:rPr>
    </w:lvl>
    <w:lvl w:ilvl="6" w:tplc="393E68C8">
      <w:start w:val="1"/>
      <w:numFmt w:val="bullet"/>
      <w:lvlText w:val=""/>
      <w:lvlJc w:val="left"/>
      <w:pPr>
        <w:ind w:left="5040" w:hanging="360"/>
      </w:pPr>
      <w:rPr>
        <w:rFonts w:ascii="Symbol" w:hAnsi="Symbol" w:hint="default"/>
      </w:rPr>
    </w:lvl>
    <w:lvl w:ilvl="7" w:tplc="2C9E15E2">
      <w:start w:val="1"/>
      <w:numFmt w:val="bullet"/>
      <w:lvlText w:val="o"/>
      <w:lvlJc w:val="left"/>
      <w:pPr>
        <w:ind w:left="5760" w:hanging="360"/>
      </w:pPr>
      <w:rPr>
        <w:rFonts w:ascii="Courier New" w:hAnsi="Courier New" w:hint="default"/>
      </w:rPr>
    </w:lvl>
    <w:lvl w:ilvl="8" w:tplc="E55A6A24">
      <w:start w:val="1"/>
      <w:numFmt w:val="bullet"/>
      <w:lvlText w:val=""/>
      <w:lvlJc w:val="left"/>
      <w:pPr>
        <w:ind w:left="6480" w:hanging="360"/>
      </w:pPr>
      <w:rPr>
        <w:rFonts w:ascii="Wingdings" w:hAnsi="Wingdings" w:hint="default"/>
      </w:rPr>
    </w:lvl>
  </w:abstractNum>
  <w:abstractNum w:abstractNumId="6" w15:restartNumberingAfterBreak="0">
    <w:nsid w:val="663129B4"/>
    <w:multiLevelType w:val="hybridMultilevel"/>
    <w:tmpl w:val="344215B8"/>
    <w:lvl w:ilvl="0" w:tplc="9FD06ACC">
      <w:start w:val="1"/>
      <w:numFmt w:val="lowerLetter"/>
      <w:lvlText w:val="%1."/>
      <w:lvlJc w:val="left"/>
      <w:pPr>
        <w:ind w:left="720" w:hanging="360"/>
      </w:pPr>
    </w:lvl>
    <w:lvl w:ilvl="1" w:tplc="8762453A">
      <w:start w:val="1"/>
      <w:numFmt w:val="lowerLetter"/>
      <w:lvlText w:val="%2."/>
      <w:lvlJc w:val="left"/>
      <w:pPr>
        <w:ind w:left="1440" w:hanging="360"/>
      </w:pPr>
    </w:lvl>
    <w:lvl w:ilvl="2" w:tplc="18409672">
      <w:start w:val="1"/>
      <w:numFmt w:val="lowerRoman"/>
      <w:lvlText w:val="%3."/>
      <w:lvlJc w:val="right"/>
      <w:pPr>
        <w:ind w:left="2160" w:hanging="180"/>
      </w:pPr>
    </w:lvl>
    <w:lvl w:ilvl="3" w:tplc="2C982214">
      <w:start w:val="1"/>
      <w:numFmt w:val="decimal"/>
      <w:lvlText w:val="%4."/>
      <w:lvlJc w:val="left"/>
      <w:pPr>
        <w:ind w:left="2880" w:hanging="360"/>
      </w:pPr>
    </w:lvl>
    <w:lvl w:ilvl="4" w:tplc="AC023E30">
      <w:start w:val="1"/>
      <w:numFmt w:val="lowerLetter"/>
      <w:lvlText w:val="%5."/>
      <w:lvlJc w:val="left"/>
      <w:pPr>
        <w:ind w:left="3600" w:hanging="360"/>
      </w:pPr>
    </w:lvl>
    <w:lvl w:ilvl="5" w:tplc="48BA7FFE">
      <w:start w:val="1"/>
      <w:numFmt w:val="lowerRoman"/>
      <w:lvlText w:val="%6."/>
      <w:lvlJc w:val="right"/>
      <w:pPr>
        <w:ind w:left="4320" w:hanging="180"/>
      </w:pPr>
    </w:lvl>
    <w:lvl w:ilvl="6" w:tplc="93D62664">
      <w:start w:val="1"/>
      <w:numFmt w:val="decimal"/>
      <w:lvlText w:val="%7."/>
      <w:lvlJc w:val="left"/>
      <w:pPr>
        <w:ind w:left="5040" w:hanging="360"/>
      </w:pPr>
    </w:lvl>
    <w:lvl w:ilvl="7" w:tplc="57CE03B4">
      <w:start w:val="1"/>
      <w:numFmt w:val="lowerLetter"/>
      <w:lvlText w:val="%8."/>
      <w:lvlJc w:val="left"/>
      <w:pPr>
        <w:ind w:left="5760" w:hanging="360"/>
      </w:pPr>
    </w:lvl>
    <w:lvl w:ilvl="8" w:tplc="8F205340">
      <w:start w:val="1"/>
      <w:numFmt w:val="lowerRoman"/>
      <w:lvlText w:val="%9."/>
      <w:lvlJc w:val="right"/>
      <w:pPr>
        <w:ind w:left="6480" w:hanging="180"/>
      </w:pPr>
    </w:lvl>
  </w:abstractNum>
  <w:abstractNum w:abstractNumId="7" w15:restartNumberingAfterBreak="0">
    <w:nsid w:val="6BD23049"/>
    <w:multiLevelType w:val="hybridMultilevel"/>
    <w:tmpl w:val="496C10B6"/>
    <w:lvl w:ilvl="0" w:tplc="08DAD356">
      <w:numFmt w:val="bullet"/>
      <w:lvlText w:val="-"/>
      <w:lvlJc w:val="left"/>
      <w:pPr>
        <w:ind w:left="786" w:hanging="360"/>
      </w:pPr>
      <w:rPr>
        <w:rFonts w:ascii="Book Antiqua" w:eastAsiaTheme="minorHAnsi" w:hAnsi="Book Antiqua" w:cstheme="minorBidi"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num w:numId="1">
    <w:abstractNumId w:val="5"/>
  </w:num>
  <w:num w:numId="2">
    <w:abstractNumId w:val="2"/>
  </w:num>
  <w:num w:numId="3">
    <w:abstractNumId w:val="7"/>
  </w:num>
  <w:num w:numId="4">
    <w:abstractNumId w:val="3"/>
  </w:num>
  <w:num w:numId="5">
    <w:abstractNumId w:val="6"/>
  </w:num>
  <w:num w:numId="6">
    <w:abstractNumId w:val="1"/>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EB1"/>
    <w:rsid w:val="00011E19"/>
    <w:rsid w:val="00020B0D"/>
    <w:rsid w:val="000706E5"/>
    <w:rsid w:val="00081273"/>
    <w:rsid w:val="000A307B"/>
    <w:rsid w:val="000A36AF"/>
    <w:rsid w:val="000A63FF"/>
    <w:rsid w:val="000A7327"/>
    <w:rsid w:val="000B6687"/>
    <w:rsid w:val="000C1BA7"/>
    <w:rsid w:val="000D5BD9"/>
    <w:rsid w:val="000D6D0C"/>
    <w:rsid w:val="000F3A8D"/>
    <w:rsid w:val="00105D5C"/>
    <w:rsid w:val="0010730F"/>
    <w:rsid w:val="00116750"/>
    <w:rsid w:val="00120115"/>
    <w:rsid w:val="00123466"/>
    <w:rsid w:val="00124C47"/>
    <w:rsid w:val="00130346"/>
    <w:rsid w:val="0014677B"/>
    <w:rsid w:val="001632A9"/>
    <w:rsid w:val="001711A0"/>
    <w:rsid w:val="00180117"/>
    <w:rsid w:val="00182D26"/>
    <w:rsid w:val="001A5F8C"/>
    <w:rsid w:val="001B1775"/>
    <w:rsid w:val="001D7D4B"/>
    <w:rsid w:val="001F1438"/>
    <w:rsid w:val="001F21A7"/>
    <w:rsid w:val="001F3043"/>
    <w:rsid w:val="001F5931"/>
    <w:rsid w:val="002106CD"/>
    <w:rsid w:val="00211B5F"/>
    <w:rsid w:val="002128A9"/>
    <w:rsid w:val="0024182F"/>
    <w:rsid w:val="00250E71"/>
    <w:rsid w:val="00255AC8"/>
    <w:rsid w:val="002571A6"/>
    <w:rsid w:val="002573F4"/>
    <w:rsid w:val="00285F5D"/>
    <w:rsid w:val="0029281E"/>
    <w:rsid w:val="0029571D"/>
    <w:rsid w:val="00297CBA"/>
    <w:rsid w:val="002B34B6"/>
    <w:rsid w:val="002B4A9E"/>
    <w:rsid w:val="002C3E7D"/>
    <w:rsid w:val="002D033F"/>
    <w:rsid w:val="002D12A5"/>
    <w:rsid w:val="00310B7D"/>
    <w:rsid w:val="003511D1"/>
    <w:rsid w:val="00395179"/>
    <w:rsid w:val="00395293"/>
    <w:rsid w:val="00396558"/>
    <w:rsid w:val="003A64A0"/>
    <w:rsid w:val="003C267A"/>
    <w:rsid w:val="003C4937"/>
    <w:rsid w:val="003C4A39"/>
    <w:rsid w:val="00433EE2"/>
    <w:rsid w:val="00442918"/>
    <w:rsid w:val="004637B3"/>
    <w:rsid w:val="0049046F"/>
    <w:rsid w:val="0049337C"/>
    <w:rsid w:val="004B0FD3"/>
    <w:rsid w:val="004D572F"/>
    <w:rsid w:val="004E5F1D"/>
    <w:rsid w:val="004F021A"/>
    <w:rsid w:val="004F03B9"/>
    <w:rsid w:val="00510AA8"/>
    <w:rsid w:val="00514DCD"/>
    <w:rsid w:val="00527BDF"/>
    <w:rsid w:val="00535ACF"/>
    <w:rsid w:val="0054421C"/>
    <w:rsid w:val="005577BF"/>
    <w:rsid w:val="00566010"/>
    <w:rsid w:val="005664CB"/>
    <w:rsid w:val="00582E50"/>
    <w:rsid w:val="00585F6A"/>
    <w:rsid w:val="005A0CC8"/>
    <w:rsid w:val="005A742F"/>
    <w:rsid w:val="005A7AE4"/>
    <w:rsid w:val="005E62C2"/>
    <w:rsid w:val="005F4364"/>
    <w:rsid w:val="006048A7"/>
    <w:rsid w:val="00643F6A"/>
    <w:rsid w:val="00652AC1"/>
    <w:rsid w:val="006721E9"/>
    <w:rsid w:val="006A0B07"/>
    <w:rsid w:val="006A0E0B"/>
    <w:rsid w:val="006A22A4"/>
    <w:rsid w:val="006B2118"/>
    <w:rsid w:val="006B248D"/>
    <w:rsid w:val="006B2B2D"/>
    <w:rsid w:val="006D5A28"/>
    <w:rsid w:val="006D7304"/>
    <w:rsid w:val="006F145C"/>
    <w:rsid w:val="006F3FE2"/>
    <w:rsid w:val="006F4572"/>
    <w:rsid w:val="006F4F3E"/>
    <w:rsid w:val="007102FD"/>
    <w:rsid w:val="00727E21"/>
    <w:rsid w:val="0074019F"/>
    <w:rsid w:val="00753DDF"/>
    <w:rsid w:val="00757115"/>
    <w:rsid w:val="0077730A"/>
    <w:rsid w:val="007774EE"/>
    <w:rsid w:val="007A1F14"/>
    <w:rsid w:val="007A3C2F"/>
    <w:rsid w:val="007B4EB1"/>
    <w:rsid w:val="007C7D37"/>
    <w:rsid w:val="007D6075"/>
    <w:rsid w:val="007E0AF8"/>
    <w:rsid w:val="007E7724"/>
    <w:rsid w:val="00801FC4"/>
    <w:rsid w:val="00805DEC"/>
    <w:rsid w:val="00806C43"/>
    <w:rsid w:val="0083538D"/>
    <w:rsid w:val="00854530"/>
    <w:rsid w:val="00864F6C"/>
    <w:rsid w:val="00871C0F"/>
    <w:rsid w:val="0087698F"/>
    <w:rsid w:val="008A1615"/>
    <w:rsid w:val="008A25CF"/>
    <w:rsid w:val="008B2974"/>
    <w:rsid w:val="008B3A03"/>
    <w:rsid w:val="008D3A17"/>
    <w:rsid w:val="008EAC7B"/>
    <w:rsid w:val="008F243E"/>
    <w:rsid w:val="008F6CB4"/>
    <w:rsid w:val="009019BC"/>
    <w:rsid w:val="00902CF7"/>
    <w:rsid w:val="00915CF1"/>
    <w:rsid w:val="00941148"/>
    <w:rsid w:val="00944EA1"/>
    <w:rsid w:val="00957C79"/>
    <w:rsid w:val="00957FF7"/>
    <w:rsid w:val="0096345A"/>
    <w:rsid w:val="0098251B"/>
    <w:rsid w:val="00983C1B"/>
    <w:rsid w:val="009E5133"/>
    <w:rsid w:val="009F184B"/>
    <w:rsid w:val="00A06DC2"/>
    <w:rsid w:val="00A07008"/>
    <w:rsid w:val="00A07D98"/>
    <w:rsid w:val="00A36291"/>
    <w:rsid w:val="00A75092"/>
    <w:rsid w:val="00A82323"/>
    <w:rsid w:val="00A86CEF"/>
    <w:rsid w:val="00AA6E6E"/>
    <w:rsid w:val="00AB7050"/>
    <w:rsid w:val="00AC4CBE"/>
    <w:rsid w:val="00AD2023"/>
    <w:rsid w:val="00AD4572"/>
    <w:rsid w:val="00AE572C"/>
    <w:rsid w:val="00AF2D41"/>
    <w:rsid w:val="00AF7AFE"/>
    <w:rsid w:val="00B311CB"/>
    <w:rsid w:val="00B34344"/>
    <w:rsid w:val="00B64F9B"/>
    <w:rsid w:val="00B8062B"/>
    <w:rsid w:val="00B86789"/>
    <w:rsid w:val="00B96695"/>
    <w:rsid w:val="00BC74B2"/>
    <w:rsid w:val="00BD181B"/>
    <w:rsid w:val="00BF06F4"/>
    <w:rsid w:val="00BF4DA6"/>
    <w:rsid w:val="00C1583D"/>
    <w:rsid w:val="00C2014D"/>
    <w:rsid w:val="00C35CFA"/>
    <w:rsid w:val="00C35F95"/>
    <w:rsid w:val="00C40D6A"/>
    <w:rsid w:val="00C53BCF"/>
    <w:rsid w:val="00C549CD"/>
    <w:rsid w:val="00C57FF1"/>
    <w:rsid w:val="00C65CB4"/>
    <w:rsid w:val="00C85B5B"/>
    <w:rsid w:val="00C86702"/>
    <w:rsid w:val="00C94138"/>
    <w:rsid w:val="00C9682F"/>
    <w:rsid w:val="00CC075B"/>
    <w:rsid w:val="00CC4AAD"/>
    <w:rsid w:val="00CC6A2D"/>
    <w:rsid w:val="00CD4B6B"/>
    <w:rsid w:val="00CE3309"/>
    <w:rsid w:val="00CF5E77"/>
    <w:rsid w:val="00D10D73"/>
    <w:rsid w:val="00D279CD"/>
    <w:rsid w:val="00D43BF8"/>
    <w:rsid w:val="00D77C74"/>
    <w:rsid w:val="00D81629"/>
    <w:rsid w:val="00D95837"/>
    <w:rsid w:val="00DA0EE5"/>
    <w:rsid w:val="00DA545A"/>
    <w:rsid w:val="00DB0E1A"/>
    <w:rsid w:val="00DB2D62"/>
    <w:rsid w:val="00DB503D"/>
    <w:rsid w:val="00DC10F1"/>
    <w:rsid w:val="00DC1BA0"/>
    <w:rsid w:val="00DE3154"/>
    <w:rsid w:val="00DE3DD1"/>
    <w:rsid w:val="00DE7482"/>
    <w:rsid w:val="00E03F3E"/>
    <w:rsid w:val="00E050C8"/>
    <w:rsid w:val="00E20B33"/>
    <w:rsid w:val="00E27A51"/>
    <w:rsid w:val="00E45097"/>
    <w:rsid w:val="00E51CAE"/>
    <w:rsid w:val="00E604D5"/>
    <w:rsid w:val="00E64627"/>
    <w:rsid w:val="00E752D1"/>
    <w:rsid w:val="00E76A8A"/>
    <w:rsid w:val="00E76AB6"/>
    <w:rsid w:val="00E8204C"/>
    <w:rsid w:val="00E9005B"/>
    <w:rsid w:val="00EA4631"/>
    <w:rsid w:val="00EA7502"/>
    <w:rsid w:val="00EB5D90"/>
    <w:rsid w:val="00EC57FF"/>
    <w:rsid w:val="00EE2274"/>
    <w:rsid w:val="00EE5DB0"/>
    <w:rsid w:val="00F01898"/>
    <w:rsid w:val="00F04C3D"/>
    <w:rsid w:val="00F13D52"/>
    <w:rsid w:val="00F155AB"/>
    <w:rsid w:val="00F2053E"/>
    <w:rsid w:val="00F2056C"/>
    <w:rsid w:val="00F26836"/>
    <w:rsid w:val="00F40B8F"/>
    <w:rsid w:val="00F41AF1"/>
    <w:rsid w:val="00F453D4"/>
    <w:rsid w:val="00F50C96"/>
    <w:rsid w:val="00F5321C"/>
    <w:rsid w:val="00F86313"/>
    <w:rsid w:val="00F914C5"/>
    <w:rsid w:val="00F96B06"/>
    <w:rsid w:val="00FA0A96"/>
    <w:rsid w:val="00FA36F4"/>
    <w:rsid w:val="00FF3322"/>
    <w:rsid w:val="00FF625C"/>
    <w:rsid w:val="019BEC39"/>
    <w:rsid w:val="024F95C8"/>
    <w:rsid w:val="026FF785"/>
    <w:rsid w:val="02BA8747"/>
    <w:rsid w:val="02C743C0"/>
    <w:rsid w:val="03418127"/>
    <w:rsid w:val="03DCAC56"/>
    <w:rsid w:val="0404977F"/>
    <w:rsid w:val="040A69AA"/>
    <w:rsid w:val="042C01F8"/>
    <w:rsid w:val="0472D4CA"/>
    <w:rsid w:val="05262D22"/>
    <w:rsid w:val="0540A314"/>
    <w:rsid w:val="05E5BC25"/>
    <w:rsid w:val="06422D09"/>
    <w:rsid w:val="06705F9D"/>
    <w:rsid w:val="07FB97BB"/>
    <w:rsid w:val="091DEC1A"/>
    <w:rsid w:val="09368544"/>
    <w:rsid w:val="093CF070"/>
    <w:rsid w:val="09795D5F"/>
    <w:rsid w:val="09E66F33"/>
    <w:rsid w:val="0A0AA082"/>
    <w:rsid w:val="0BBA3363"/>
    <w:rsid w:val="0BD1D846"/>
    <w:rsid w:val="0BE95C93"/>
    <w:rsid w:val="0C8604A2"/>
    <w:rsid w:val="0D141231"/>
    <w:rsid w:val="0D1543C2"/>
    <w:rsid w:val="0D74B93F"/>
    <w:rsid w:val="0E09A5C3"/>
    <w:rsid w:val="0E2B928E"/>
    <w:rsid w:val="0E859514"/>
    <w:rsid w:val="0EA2F40D"/>
    <w:rsid w:val="0ED2F406"/>
    <w:rsid w:val="0F461DE3"/>
    <w:rsid w:val="0F7B98A6"/>
    <w:rsid w:val="0F8C9E6B"/>
    <w:rsid w:val="0FC5EED2"/>
    <w:rsid w:val="10E4A6CD"/>
    <w:rsid w:val="116320C9"/>
    <w:rsid w:val="11E182ED"/>
    <w:rsid w:val="12D0FE7D"/>
    <w:rsid w:val="1321D923"/>
    <w:rsid w:val="133F2DEF"/>
    <w:rsid w:val="1356D02B"/>
    <w:rsid w:val="13848546"/>
    <w:rsid w:val="13FB4AA7"/>
    <w:rsid w:val="14255D65"/>
    <w:rsid w:val="145CC2F7"/>
    <w:rsid w:val="15CFD1F2"/>
    <w:rsid w:val="16976711"/>
    <w:rsid w:val="16EAF48A"/>
    <w:rsid w:val="18363D9C"/>
    <w:rsid w:val="18C14614"/>
    <w:rsid w:val="1900FCCE"/>
    <w:rsid w:val="193B6E37"/>
    <w:rsid w:val="1951F081"/>
    <w:rsid w:val="1A83C199"/>
    <w:rsid w:val="1A9EE1A7"/>
    <w:rsid w:val="1B718233"/>
    <w:rsid w:val="1C11CF4A"/>
    <w:rsid w:val="1C730EF9"/>
    <w:rsid w:val="1CB6EE88"/>
    <w:rsid w:val="1CDF8F64"/>
    <w:rsid w:val="1D17CFD0"/>
    <w:rsid w:val="1D7C1D10"/>
    <w:rsid w:val="1E664AA9"/>
    <w:rsid w:val="1E9982D2"/>
    <w:rsid w:val="1F6D2425"/>
    <w:rsid w:val="1FB7EDDF"/>
    <w:rsid w:val="20355333"/>
    <w:rsid w:val="206AF5D4"/>
    <w:rsid w:val="20914834"/>
    <w:rsid w:val="20A52383"/>
    <w:rsid w:val="20D9CDAF"/>
    <w:rsid w:val="21025C36"/>
    <w:rsid w:val="212EC5ED"/>
    <w:rsid w:val="21B13CA1"/>
    <w:rsid w:val="21EC7E1C"/>
    <w:rsid w:val="221A9B5A"/>
    <w:rsid w:val="225F2B1A"/>
    <w:rsid w:val="22C1FC1B"/>
    <w:rsid w:val="23216A24"/>
    <w:rsid w:val="2371358E"/>
    <w:rsid w:val="2384819E"/>
    <w:rsid w:val="246666AF"/>
    <w:rsid w:val="2508C456"/>
    <w:rsid w:val="25342D9F"/>
    <w:rsid w:val="25589D13"/>
    <w:rsid w:val="26023710"/>
    <w:rsid w:val="261AC976"/>
    <w:rsid w:val="2626B08F"/>
    <w:rsid w:val="2649B391"/>
    <w:rsid w:val="26978F1F"/>
    <w:rsid w:val="26A372F6"/>
    <w:rsid w:val="26A494B7"/>
    <w:rsid w:val="27D697CE"/>
    <w:rsid w:val="2889F026"/>
    <w:rsid w:val="28C3E49C"/>
    <w:rsid w:val="28F58DFA"/>
    <w:rsid w:val="291EE4C2"/>
    <w:rsid w:val="29D8C012"/>
    <w:rsid w:val="2A1910FB"/>
    <w:rsid w:val="2AD43A05"/>
    <w:rsid w:val="2B180789"/>
    <w:rsid w:val="2B5B4A8B"/>
    <w:rsid w:val="2B99DC8B"/>
    <w:rsid w:val="2BBC2696"/>
    <w:rsid w:val="2C624093"/>
    <w:rsid w:val="2C700A66"/>
    <w:rsid w:val="2CC3C0CD"/>
    <w:rsid w:val="2CCEA4CC"/>
    <w:rsid w:val="2D4978DC"/>
    <w:rsid w:val="2D97F515"/>
    <w:rsid w:val="2DC19F98"/>
    <w:rsid w:val="2E3AB82A"/>
    <w:rsid w:val="2EB138FA"/>
    <w:rsid w:val="2FDB4F26"/>
    <w:rsid w:val="309CDC49"/>
    <w:rsid w:val="32A4CABF"/>
    <w:rsid w:val="32A8B997"/>
    <w:rsid w:val="332DD456"/>
    <w:rsid w:val="345CF1C4"/>
    <w:rsid w:val="3460D642"/>
    <w:rsid w:val="35B227C5"/>
    <w:rsid w:val="35B38D30"/>
    <w:rsid w:val="35D78F48"/>
    <w:rsid w:val="374DF826"/>
    <w:rsid w:val="3781D0E4"/>
    <w:rsid w:val="388EC5D1"/>
    <w:rsid w:val="38A7EE2E"/>
    <w:rsid w:val="39F0BE8F"/>
    <w:rsid w:val="3A43BE8F"/>
    <w:rsid w:val="3AB971A6"/>
    <w:rsid w:val="3ADA74CF"/>
    <w:rsid w:val="3AFC21E0"/>
    <w:rsid w:val="3B42546E"/>
    <w:rsid w:val="3BA5836A"/>
    <w:rsid w:val="3C8B7CF9"/>
    <w:rsid w:val="3CA73123"/>
    <w:rsid w:val="3E39B893"/>
    <w:rsid w:val="3F094B6D"/>
    <w:rsid w:val="3F15B068"/>
    <w:rsid w:val="3F19740A"/>
    <w:rsid w:val="3F81E189"/>
    <w:rsid w:val="3FECFE80"/>
    <w:rsid w:val="40A5CF33"/>
    <w:rsid w:val="410B76B5"/>
    <w:rsid w:val="412B2CB5"/>
    <w:rsid w:val="420DDE70"/>
    <w:rsid w:val="429F27AC"/>
    <w:rsid w:val="42D805BE"/>
    <w:rsid w:val="439333B2"/>
    <w:rsid w:val="43BDA353"/>
    <w:rsid w:val="43C63ACA"/>
    <w:rsid w:val="441352D1"/>
    <w:rsid w:val="4473D61F"/>
    <w:rsid w:val="453FF148"/>
    <w:rsid w:val="460FA680"/>
    <w:rsid w:val="4623FD0C"/>
    <w:rsid w:val="467915C0"/>
    <w:rsid w:val="469CAED9"/>
    <w:rsid w:val="46F3C767"/>
    <w:rsid w:val="475654EE"/>
    <w:rsid w:val="47BF60B5"/>
    <w:rsid w:val="48B5CBD2"/>
    <w:rsid w:val="48C05AB6"/>
    <w:rsid w:val="48FD64FE"/>
    <w:rsid w:val="49795E0E"/>
    <w:rsid w:val="499EF915"/>
    <w:rsid w:val="4A3E439F"/>
    <w:rsid w:val="4A3F501D"/>
    <w:rsid w:val="4A6C215F"/>
    <w:rsid w:val="4AD1DCCC"/>
    <w:rsid w:val="4BC5BD52"/>
    <w:rsid w:val="4D654452"/>
    <w:rsid w:val="4D7DDDF7"/>
    <w:rsid w:val="4E20CA21"/>
    <w:rsid w:val="4E3732A9"/>
    <w:rsid w:val="4EE52607"/>
    <w:rsid w:val="4F161C51"/>
    <w:rsid w:val="4F60B4A1"/>
    <w:rsid w:val="4F712613"/>
    <w:rsid w:val="4F8B312A"/>
    <w:rsid w:val="503786DD"/>
    <w:rsid w:val="50C1D962"/>
    <w:rsid w:val="5219718A"/>
    <w:rsid w:val="524EA1DC"/>
    <w:rsid w:val="52E29E78"/>
    <w:rsid w:val="52F080B6"/>
    <w:rsid w:val="54A6742D"/>
    <w:rsid w:val="54DB5F35"/>
    <w:rsid w:val="5642448E"/>
    <w:rsid w:val="56F2FE3B"/>
    <w:rsid w:val="5717F289"/>
    <w:rsid w:val="5835ABFE"/>
    <w:rsid w:val="587D80A2"/>
    <w:rsid w:val="58B3C2EA"/>
    <w:rsid w:val="58C7AB48"/>
    <w:rsid w:val="590D0F71"/>
    <w:rsid w:val="5965ABE8"/>
    <w:rsid w:val="5AAC0700"/>
    <w:rsid w:val="5B056A8C"/>
    <w:rsid w:val="5BF3F08B"/>
    <w:rsid w:val="5CFCE188"/>
    <w:rsid w:val="5D952554"/>
    <w:rsid w:val="5E953388"/>
    <w:rsid w:val="5F23046E"/>
    <w:rsid w:val="5F704F1B"/>
    <w:rsid w:val="600737A8"/>
    <w:rsid w:val="610B5EF2"/>
    <w:rsid w:val="623F6BE1"/>
    <w:rsid w:val="625171B5"/>
    <w:rsid w:val="631CAFDC"/>
    <w:rsid w:val="637FC4F1"/>
    <w:rsid w:val="63C54762"/>
    <w:rsid w:val="63D7F77C"/>
    <w:rsid w:val="644AECAE"/>
    <w:rsid w:val="64A67085"/>
    <w:rsid w:val="64CD737C"/>
    <w:rsid w:val="65BA2915"/>
    <w:rsid w:val="6631060F"/>
    <w:rsid w:val="6662D79E"/>
    <w:rsid w:val="673BE026"/>
    <w:rsid w:val="67FCE4F8"/>
    <w:rsid w:val="681E3571"/>
    <w:rsid w:val="68705EB2"/>
    <w:rsid w:val="689BC509"/>
    <w:rsid w:val="68A11E34"/>
    <w:rsid w:val="690D320C"/>
    <w:rsid w:val="69E50AF4"/>
    <w:rsid w:val="6A3CEE95"/>
    <w:rsid w:val="6A718E01"/>
    <w:rsid w:val="6AC2C3DD"/>
    <w:rsid w:val="6BD72442"/>
    <w:rsid w:val="6BD8BEF6"/>
    <w:rsid w:val="6BFD1A53"/>
    <w:rsid w:val="6C7D3972"/>
    <w:rsid w:val="6C8BFF64"/>
    <w:rsid w:val="6CCAAD29"/>
    <w:rsid w:val="6CD32335"/>
    <w:rsid w:val="6D42F3FC"/>
    <w:rsid w:val="6D5B66FA"/>
    <w:rsid w:val="6D72F4A3"/>
    <w:rsid w:val="6E27CFC5"/>
    <w:rsid w:val="6E3F1B6C"/>
    <w:rsid w:val="6E530805"/>
    <w:rsid w:val="6E6064C4"/>
    <w:rsid w:val="6EB18C7D"/>
    <w:rsid w:val="6ED6F516"/>
    <w:rsid w:val="6EFCDD85"/>
    <w:rsid w:val="6F105FB8"/>
    <w:rsid w:val="6F72FFDB"/>
    <w:rsid w:val="70218CA1"/>
    <w:rsid w:val="70DABB0A"/>
    <w:rsid w:val="7114D01C"/>
    <w:rsid w:val="71A0BCB3"/>
    <w:rsid w:val="7281435F"/>
    <w:rsid w:val="72910ABE"/>
    <w:rsid w:val="729E7D46"/>
    <w:rsid w:val="73156564"/>
    <w:rsid w:val="73AD2066"/>
    <w:rsid w:val="73E3D0DB"/>
    <w:rsid w:val="7527ABB6"/>
    <w:rsid w:val="754AA1A4"/>
    <w:rsid w:val="756C1F09"/>
    <w:rsid w:val="757D69BA"/>
    <w:rsid w:val="75B75B70"/>
    <w:rsid w:val="75CE6C3A"/>
    <w:rsid w:val="762C093E"/>
    <w:rsid w:val="76534449"/>
    <w:rsid w:val="76AAEA27"/>
    <w:rsid w:val="7751143E"/>
    <w:rsid w:val="787B4868"/>
    <w:rsid w:val="789169FE"/>
    <w:rsid w:val="78CB2BD2"/>
    <w:rsid w:val="78ECE49F"/>
    <w:rsid w:val="7A0BCB9F"/>
    <w:rsid w:val="7A53125F"/>
    <w:rsid w:val="7AD01D43"/>
    <w:rsid w:val="7AD2A41D"/>
    <w:rsid w:val="7CB3D0FA"/>
    <w:rsid w:val="7CE9125B"/>
    <w:rsid w:val="7D000FA9"/>
    <w:rsid w:val="7D35912E"/>
    <w:rsid w:val="7DC055C2"/>
    <w:rsid w:val="7DE264F4"/>
    <w:rsid w:val="7E1A777F"/>
    <w:rsid w:val="7E85373F"/>
    <w:rsid w:val="7F7660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ECFC1"/>
  <w15:chartTrackingRefBased/>
  <w15:docId w15:val="{FAA1AEE2-33AF-4A1C-B1B0-18A68103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B33"/>
    <w:pPr>
      <w:spacing w:after="0" w:line="240" w:lineRule="auto"/>
    </w:pPr>
    <w:rPr>
      <w:rFonts w:ascii="Times New Roman" w:eastAsia="Times New Roman" w:hAnsi="Times New Roman" w:cs="Times New Roman"/>
      <w:sz w:val="24"/>
      <w:szCs w:val="24"/>
      <w:lang w:val="es-CO" w:eastAsia="es-ES"/>
    </w:rPr>
  </w:style>
  <w:style w:type="paragraph" w:styleId="Ttulo3">
    <w:name w:val="heading 3"/>
    <w:basedOn w:val="Normal"/>
    <w:next w:val="Normal"/>
    <w:link w:val="Ttulo3Car"/>
    <w:qFormat/>
    <w:rsid w:val="00DC1BA0"/>
    <w:pPr>
      <w:keepNext/>
      <w:spacing w:line="360" w:lineRule="auto"/>
      <w:jc w:val="both"/>
      <w:outlineLvl w:val="2"/>
    </w:pPr>
    <w:rPr>
      <w:rFonts w:ascii="Arial" w:hAnsi="Arial"/>
      <w:b/>
      <w:sz w:val="3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20B33"/>
    <w:pPr>
      <w:tabs>
        <w:tab w:val="center" w:pos="4252"/>
        <w:tab w:val="right" w:pos="8504"/>
      </w:tabs>
    </w:pPr>
  </w:style>
  <w:style w:type="character" w:customStyle="1" w:styleId="EncabezadoCar">
    <w:name w:val="Encabezado Car"/>
    <w:basedOn w:val="Fuentedeprrafopredeter"/>
    <w:link w:val="Encabezado"/>
    <w:rsid w:val="00E20B33"/>
    <w:rPr>
      <w:rFonts w:ascii="Times New Roman" w:eastAsia="Times New Roman" w:hAnsi="Times New Roman" w:cs="Times New Roman"/>
      <w:sz w:val="24"/>
      <w:szCs w:val="24"/>
      <w:lang w:val="es-CO" w:eastAsia="es-ES"/>
    </w:rPr>
  </w:style>
  <w:style w:type="paragraph" w:styleId="Piedepgina">
    <w:name w:val="footer"/>
    <w:basedOn w:val="Normal"/>
    <w:link w:val="PiedepginaCar"/>
    <w:uiPriority w:val="99"/>
    <w:rsid w:val="00E20B33"/>
    <w:pPr>
      <w:tabs>
        <w:tab w:val="center" w:pos="4252"/>
        <w:tab w:val="right" w:pos="8504"/>
      </w:tabs>
    </w:pPr>
  </w:style>
  <w:style w:type="character" w:customStyle="1" w:styleId="PiedepginaCar">
    <w:name w:val="Pie de página Car"/>
    <w:basedOn w:val="Fuentedeprrafopredeter"/>
    <w:link w:val="Piedepgina"/>
    <w:uiPriority w:val="99"/>
    <w:rsid w:val="00E20B33"/>
    <w:rPr>
      <w:rFonts w:ascii="Times New Roman" w:eastAsia="Times New Roman" w:hAnsi="Times New Roman" w:cs="Times New Roman"/>
      <w:sz w:val="24"/>
      <w:szCs w:val="24"/>
      <w:lang w:val="es-CO" w:eastAsia="es-ES"/>
    </w:rPr>
  </w:style>
  <w:style w:type="paragraph" w:styleId="NormalWeb">
    <w:name w:val="Normal (Web)"/>
    <w:basedOn w:val="Normal"/>
    <w:uiPriority w:val="99"/>
    <w:unhideWhenUsed/>
    <w:rsid w:val="00E20B33"/>
    <w:pPr>
      <w:spacing w:before="100" w:beforeAutospacing="1" w:after="100" w:afterAutospacing="1"/>
    </w:pPr>
    <w:rPr>
      <w:lang w:val="es-ES"/>
    </w:rPr>
  </w:style>
  <w:style w:type="paragraph" w:styleId="Ttulo">
    <w:name w:val="Title"/>
    <w:basedOn w:val="Normal"/>
    <w:link w:val="TtuloCar"/>
    <w:qFormat/>
    <w:rsid w:val="00E20B33"/>
    <w:pPr>
      <w:spacing w:line="360" w:lineRule="auto"/>
      <w:jc w:val="center"/>
    </w:pPr>
    <w:rPr>
      <w:rFonts w:ascii="Verdana" w:hAnsi="Verdana"/>
      <w:sz w:val="28"/>
      <w:szCs w:val="28"/>
      <w:lang w:val="es-ES_tradnl" w:eastAsia="es-MX"/>
    </w:rPr>
  </w:style>
  <w:style w:type="character" w:customStyle="1" w:styleId="TtuloCar">
    <w:name w:val="Título Car"/>
    <w:basedOn w:val="Fuentedeprrafopredeter"/>
    <w:link w:val="Ttulo"/>
    <w:rsid w:val="00E20B33"/>
    <w:rPr>
      <w:rFonts w:ascii="Verdana" w:eastAsia="Times New Roman" w:hAnsi="Verdana" w:cs="Times New Roman"/>
      <w:sz w:val="28"/>
      <w:szCs w:val="28"/>
      <w:lang w:val="es-ES_tradnl" w:eastAsia="es-MX"/>
    </w:rPr>
  </w:style>
  <w:style w:type="paragraph" w:styleId="Textoindependiente">
    <w:name w:val="Body Text"/>
    <w:basedOn w:val="Normal"/>
    <w:link w:val="TextoindependienteCar"/>
    <w:rsid w:val="00E20B33"/>
    <w:pPr>
      <w:spacing w:after="120"/>
    </w:pPr>
    <w:rPr>
      <w:lang w:val="es-ES"/>
    </w:rPr>
  </w:style>
  <w:style w:type="character" w:customStyle="1" w:styleId="TextoindependienteCar">
    <w:name w:val="Texto independiente Car"/>
    <w:basedOn w:val="Fuentedeprrafopredeter"/>
    <w:link w:val="Textoindependiente"/>
    <w:rsid w:val="00E20B33"/>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texto de nota al pi,Footnote refere"/>
    <w:basedOn w:val="Normal"/>
    <w:link w:val="TextonotapieCar"/>
    <w:uiPriority w:val="99"/>
    <w:unhideWhenUsed/>
    <w:rsid w:val="00E20B33"/>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uiPriority w:val="99"/>
    <w:rsid w:val="00E20B33"/>
    <w:rPr>
      <w:rFonts w:ascii="Times New Roman" w:eastAsia="Times New Roman" w:hAnsi="Times New Roman" w:cs="Times New Roman"/>
      <w:sz w:val="20"/>
      <w:szCs w:val="20"/>
      <w:lang w:val="es-CO" w:eastAsia="es-ES"/>
    </w:rPr>
  </w:style>
  <w:style w:type="character" w:styleId="Refdenotaalpie">
    <w:name w:val="footnote reference"/>
    <w:aliases w:val="Texto de nota al pie,referencia nota al pie"/>
    <w:basedOn w:val="Fuentedeprrafopredeter"/>
    <w:uiPriority w:val="99"/>
    <w:unhideWhenUsed/>
    <w:rsid w:val="00E20B33"/>
    <w:rPr>
      <w:vertAlign w:val="superscript"/>
    </w:rPr>
  </w:style>
  <w:style w:type="paragraph" w:styleId="Sinespaciado">
    <w:name w:val="No Spacing"/>
    <w:uiPriority w:val="1"/>
    <w:qFormat/>
    <w:rsid w:val="00E20B33"/>
    <w:pPr>
      <w:spacing w:after="0" w:line="240" w:lineRule="auto"/>
    </w:pPr>
    <w:rPr>
      <w:lang w:val="es-ES_tradnl"/>
    </w:rPr>
  </w:style>
  <w:style w:type="paragraph" w:styleId="Prrafodelista">
    <w:name w:val="List Paragraph"/>
    <w:basedOn w:val="Normal"/>
    <w:uiPriority w:val="34"/>
    <w:qFormat/>
    <w:rsid w:val="002D12A5"/>
    <w:pPr>
      <w:ind w:left="720"/>
      <w:contextualSpacing/>
    </w:pPr>
  </w:style>
  <w:style w:type="paragraph" w:customStyle="1" w:styleId="Textopredeterminado">
    <w:name w:val="Texto predeterminado"/>
    <w:basedOn w:val="Normal"/>
    <w:rsid w:val="00180117"/>
    <w:pPr>
      <w:overflowPunct w:val="0"/>
      <w:autoSpaceDE w:val="0"/>
      <w:autoSpaceDN w:val="0"/>
      <w:adjustRightInd w:val="0"/>
    </w:pPr>
    <w:rPr>
      <w:color w:val="000000"/>
      <w:szCs w:val="20"/>
      <w:lang w:val="es-ES"/>
    </w:rPr>
  </w:style>
  <w:style w:type="paragraph" w:styleId="Textosinformato">
    <w:name w:val="Plain Text"/>
    <w:basedOn w:val="Normal"/>
    <w:link w:val="TextosinformatoCar"/>
    <w:semiHidden/>
    <w:rsid w:val="002106CD"/>
    <w:rPr>
      <w:rFonts w:ascii="Courier New" w:eastAsia="MS Mincho" w:hAnsi="Courier New"/>
      <w:sz w:val="20"/>
      <w:szCs w:val="20"/>
      <w:lang w:val="es-ES" w:eastAsia="ja-JP"/>
    </w:rPr>
  </w:style>
  <w:style w:type="character" w:customStyle="1" w:styleId="TextosinformatoCar">
    <w:name w:val="Texto sin formato Car"/>
    <w:basedOn w:val="Fuentedeprrafopredeter"/>
    <w:link w:val="Textosinformato"/>
    <w:semiHidden/>
    <w:rsid w:val="002106CD"/>
    <w:rPr>
      <w:rFonts w:ascii="Courier New" w:eastAsia="MS Mincho" w:hAnsi="Courier New" w:cs="Times New Roman"/>
      <w:sz w:val="20"/>
      <w:szCs w:val="20"/>
      <w:lang w:eastAsia="ja-JP"/>
    </w:rPr>
  </w:style>
  <w:style w:type="paragraph" w:styleId="Sangradetextonormal">
    <w:name w:val="Body Text Indent"/>
    <w:basedOn w:val="Normal"/>
    <w:link w:val="SangradetextonormalCar"/>
    <w:uiPriority w:val="99"/>
    <w:semiHidden/>
    <w:unhideWhenUsed/>
    <w:rsid w:val="00081273"/>
    <w:pPr>
      <w:spacing w:after="120"/>
      <w:ind w:left="283"/>
    </w:pPr>
  </w:style>
  <w:style w:type="character" w:customStyle="1" w:styleId="SangradetextonormalCar">
    <w:name w:val="Sangría de texto normal Car"/>
    <w:basedOn w:val="Fuentedeprrafopredeter"/>
    <w:link w:val="Sangradetextonormal"/>
    <w:uiPriority w:val="99"/>
    <w:semiHidden/>
    <w:rsid w:val="00081273"/>
    <w:rPr>
      <w:rFonts w:ascii="Times New Roman" w:eastAsia="Times New Roman" w:hAnsi="Times New Roman" w:cs="Times New Roman"/>
      <w:sz w:val="24"/>
      <w:szCs w:val="24"/>
      <w:lang w:val="es-CO" w:eastAsia="es-ES"/>
    </w:rPr>
  </w:style>
  <w:style w:type="paragraph" w:styleId="Textodeglobo">
    <w:name w:val="Balloon Text"/>
    <w:basedOn w:val="Normal"/>
    <w:link w:val="TextodegloboCar"/>
    <w:uiPriority w:val="99"/>
    <w:semiHidden/>
    <w:unhideWhenUsed/>
    <w:rsid w:val="00F40B8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0B8F"/>
    <w:rPr>
      <w:rFonts w:ascii="Segoe UI" w:eastAsia="Times New Roman" w:hAnsi="Segoe UI" w:cs="Segoe UI"/>
      <w:sz w:val="18"/>
      <w:szCs w:val="18"/>
      <w:lang w:val="es-CO" w:eastAsia="es-ES"/>
    </w:rPr>
  </w:style>
  <w:style w:type="paragraph" w:styleId="Textoindependiente2">
    <w:name w:val="Body Text 2"/>
    <w:basedOn w:val="Normal"/>
    <w:link w:val="Textoindependiente2Car"/>
    <w:uiPriority w:val="99"/>
    <w:semiHidden/>
    <w:unhideWhenUsed/>
    <w:rsid w:val="00DC1BA0"/>
    <w:pPr>
      <w:spacing w:after="120" w:line="480" w:lineRule="auto"/>
    </w:pPr>
  </w:style>
  <w:style w:type="character" w:customStyle="1" w:styleId="Textoindependiente2Car">
    <w:name w:val="Texto independiente 2 Car"/>
    <w:basedOn w:val="Fuentedeprrafopredeter"/>
    <w:link w:val="Textoindependiente2"/>
    <w:uiPriority w:val="99"/>
    <w:semiHidden/>
    <w:rsid w:val="00DC1BA0"/>
    <w:rPr>
      <w:rFonts w:ascii="Times New Roman" w:eastAsia="Times New Roman" w:hAnsi="Times New Roman" w:cs="Times New Roman"/>
      <w:sz w:val="24"/>
      <w:szCs w:val="24"/>
      <w:lang w:val="es-CO" w:eastAsia="es-ES"/>
    </w:rPr>
  </w:style>
  <w:style w:type="character" w:customStyle="1" w:styleId="Ttulo3Car">
    <w:name w:val="Título 3 Car"/>
    <w:basedOn w:val="Fuentedeprrafopredeter"/>
    <w:link w:val="Ttulo3"/>
    <w:rsid w:val="00DC1BA0"/>
    <w:rPr>
      <w:rFonts w:ascii="Arial" w:eastAsia="Times New Roman" w:hAnsi="Arial" w:cs="Times New Roman"/>
      <w:b/>
      <w:sz w:val="36"/>
      <w:szCs w:val="20"/>
      <w:lang w:val="es-ES_tradnl" w:eastAsia="es-ES"/>
    </w:rPr>
  </w:style>
  <w:style w:type="paragraph" w:customStyle="1" w:styleId="Textoindependiente21">
    <w:name w:val="Texto independiente 21"/>
    <w:basedOn w:val="Normal"/>
    <w:rsid w:val="00DC1BA0"/>
    <w:pPr>
      <w:spacing w:line="360" w:lineRule="auto"/>
      <w:jc w:val="both"/>
    </w:pPr>
    <w:rPr>
      <w:rFonts w:ascii="Arial" w:hAnsi="Arial"/>
      <w:b/>
      <w:sz w:val="28"/>
      <w:szCs w:val="20"/>
      <w:lang w:val="es-ES_tradnl"/>
    </w:rPr>
  </w:style>
  <w:style w:type="paragraph" w:customStyle="1" w:styleId="Prrafodelista1">
    <w:name w:val="Párrafo de lista1"/>
    <w:basedOn w:val="Normal"/>
    <w:rsid w:val="00DC1BA0"/>
    <w:pPr>
      <w:spacing w:after="200" w:line="276" w:lineRule="auto"/>
      <w:ind w:left="720"/>
      <w:contextualSpacing/>
    </w:pPr>
    <w:rPr>
      <w:rFonts w:ascii="Calibri" w:hAnsi="Calibri"/>
      <w:sz w:val="22"/>
      <w:szCs w:val="22"/>
      <w:lang w:eastAsia="en-US"/>
    </w:rPr>
  </w:style>
  <w:style w:type="character" w:styleId="Hipervnculo">
    <w:name w:val="Hyperlink"/>
    <w:basedOn w:val="Fuentedeprrafopredeter"/>
    <w:uiPriority w:val="99"/>
    <w:unhideWhenUsed/>
    <w:rsid w:val="00B8062B"/>
    <w:rPr>
      <w:color w:val="0563C1" w:themeColor="hyperlink"/>
      <w:u w:val="single"/>
    </w:rPr>
  </w:style>
  <w:style w:type="character" w:customStyle="1" w:styleId="UnresolvedMention">
    <w:name w:val="Unresolved Mention"/>
    <w:basedOn w:val="Fuentedeprrafopredeter"/>
    <w:uiPriority w:val="99"/>
    <w:semiHidden/>
    <w:unhideWhenUsed/>
    <w:rsid w:val="00B8062B"/>
    <w:rPr>
      <w:color w:val="605E5C"/>
      <w:shd w:val="clear" w:color="auto" w:fill="E1DFDD"/>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CO" w:eastAsia="es-E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08984">
      <w:bodyDiv w:val="1"/>
      <w:marLeft w:val="0"/>
      <w:marRight w:val="0"/>
      <w:marTop w:val="0"/>
      <w:marBottom w:val="0"/>
      <w:divBdr>
        <w:top w:val="none" w:sz="0" w:space="0" w:color="auto"/>
        <w:left w:val="none" w:sz="0" w:space="0" w:color="auto"/>
        <w:bottom w:val="none" w:sz="0" w:space="0" w:color="auto"/>
        <w:right w:val="none" w:sz="0" w:space="0" w:color="auto"/>
      </w:divBdr>
    </w:div>
    <w:div w:id="310329696">
      <w:bodyDiv w:val="1"/>
      <w:marLeft w:val="0"/>
      <w:marRight w:val="0"/>
      <w:marTop w:val="0"/>
      <w:marBottom w:val="0"/>
      <w:divBdr>
        <w:top w:val="none" w:sz="0" w:space="0" w:color="auto"/>
        <w:left w:val="none" w:sz="0" w:space="0" w:color="auto"/>
        <w:bottom w:val="none" w:sz="0" w:space="0" w:color="auto"/>
        <w:right w:val="none" w:sz="0" w:space="0" w:color="auto"/>
      </w:divBdr>
    </w:div>
    <w:div w:id="483203775">
      <w:bodyDiv w:val="1"/>
      <w:marLeft w:val="0"/>
      <w:marRight w:val="0"/>
      <w:marTop w:val="0"/>
      <w:marBottom w:val="0"/>
      <w:divBdr>
        <w:top w:val="none" w:sz="0" w:space="0" w:color="auto"/>
        <w:left w:val="none" w:sz="0" w:space="0" w:color="auto"/>
        <w:bottom w:val="none" w:sz="0" w:space="0" w:color="auto"/>
        <w:right w:val="none" w:sz="0" w:space="0" w:color="auto"/>
      </w:divBdr>
    </w:div>
    <w:div w:id="1005863072">
      <w:bodyDiv w:val="1"/>
      <w:marLeft w:val="0"/>
      <w:marRight w:val="0"/>
      <w:marTop w:val="0"/>
      <w:marBottom w:val="0"/>
      <w:divBdr>
        <w:top w:val="none" w:sz="0" w:space="0" w:color="auto"/>
        <w:left w:val="none" w:sz="0" w:space="0" w:color="auto"/>
        <w:bottom w:val="none" w:sz="0" w:space="0" w:color="auto"/>
        <w:right w:val="none" w:sz="0" w:space="0" w:color="auto"/>
      </w:divBdr>
    </w:div>
    <w:div w:id="1148592377">
      <w:bodyDiv w:val="1"/>
      <w:marLeft w:val="0"/>
      <w:marRight w:val="0"/>
      <w:marTop w:val="0"/>
      <w:marBottom w:val="0"/>
      <w:divBdr>
        <w:top w:val="none" w:sz="0" w:space="0" w:color="auto"/>
        <w:left w:val="none" w:sz="0" w:space="0" w:color="auto"/>
        <w:bottom w:val="none" w:sz="0" w:space="0" w:color="auto"/>
        <w:right w:val="none" w:sz="0" w:space="0" w:color="auto"/>
      </w:divBdr>
    </w:div>
    <w:div w:id="1183083114">
      <w:bodyDiv w:val="1"/>
      <w:marLeft w:val="0"/>
      <w:marRight w:val="0"/>
      <w:marTop w:val="0"/>
      <w:marBottom w:val="0"/>
      <w:divBdr>
        <w:top w:val="none" w:sz="0" w:space="0" w:color="auto"/>
        <w:left w:val="none" w:sz="0" w:space="0" w:color="auto"/>
        <w:bottom w:val="none" w:sz="0" w:space="0" w:color="auto"/>
        <w:right w:val="none" w:sz="0" w:space="0" w:color="auto"/>
      </w:divBdr>
    </w:div>
    <w:div w:id="1340112395">
      <w:bodyDiv w:val="1"/>
      <w:marLeft w:val="0"/>
      <w:marRight w:val="0"/>
      <w:marTop w:val="0"/>
      <w:marBottom w:val="0"/>
      <w:divBdr>
        <w:top w:val="none" w:sz="0" w:space="0" w:color="auto"/>
        <w:left w:val="none" w:sz="0" w:space="0" w:color="auto"/>
        <w:bottom w:val="none" w:sz="0" w:space="0" w:color="auto"/>
        <w:right w:val="none" w:sz="0" w:space="0" w:color="auto"/>
      </w:divBdr>
    </w:div>
    <w:div w:id="202547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ab322331fbd9404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3bf8172-42e8-4085-84e4-246814540625" xsi:nil="true"/>
    <lcf76f155ced4ddcb4097134ff3c332f xmlns="8ea46be8-aa31-4c77-8529-d2c5d754ab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30D68-2A72-4DB3-AC29-BF44A32CE459}">
  <ds:schemaRefs>
    <ds:schemaRef ds:uri="http://schemas.microsoft.com/sharepoint/v3/contenttype/forms"/>
  </ds:schemaRefs>
</ds:datastoreItem>
</file>

<file path=customXml/itemProps2.xml><?xml version="1.0" encoding="utf-8"?>
<ds:datastoreItem xmlns:ds="http://schemas.openxmlformats.org/officeDocument/2006/customXml" ds:itemID="{9C903520-4718-4ACB-A737-249F0FC39BCA}">
  <ds:schemaRefs>
    <ds:schemaRef ds:uri="http://schemas.microsoft.com/office/2006/metadata/properties"/>
    <ds:schemaRef ds:uri="http://schemas.microsoft.com/office/infopath/2007/PartnerControls"/>
    <ds:schemaRef ds:uri="23bf8172-42e8-4085-84e4-246814540625"/>
    <ds:schemaRef ds:uri="8ea46be8-aa31-4c77-8529-d2c5d754abba"/>
  </ds:schemaRefs>
</ds:datastoreItem>
</file>

<file path=customXml/itemProps3.xml><?xml version="1.0" encoding="utf-8"?>
<ds:datastoreItem xmlns:ds="http://schemas.openxmlformats.org/officeDocument/2006/customXml" ds:itemID="{1E00594D-8B3F-4723-B61C-FE5BFB62B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E579E9-3C2D-4991-AE54-36060C660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3759</Words>
  <Characters>21428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Lucía Hoyos Sepulveda</dc:creator>
  <cp:keywords/>
  <dc:description/>
  <cp:lastModifiedBy>samsung</cp:lastModifiedBy>
  <cp:revision>15</cp:revision>
  <cp:lastPrinted>2020-03-10T16:15:00Z</cp:lastPrinted>
  <dcterms:created xsi:type="dcterms:W3CDTF">2023-10-27T15:13:00Z</dcterms:created>
  <dcterms:modified xsi:type="dcterms:W3CDTF">2024-01-25T14:29:00Z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