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48093" w14:textId="7A37B43B" w:rsidR="00F45848" w:rsidRPr="00607C0B" w:rsidRDefault="005E5363" w:rsidP="00F45848">
      <w:pPr>
        <w:jc w:val="both"/>
        <w:textAlignment w:val="baseline"/>
        <w:rPr>
          <w:rFonts w:ascii="Arial" w:hAnsi="Arial" w:cs="Arial"/>
          <w:b/>
          <w:sz w:val="20"/>
          <w:szCs w:val="24"/>
          <w:lang w:val="es-CO" w:eastAsia="es-CO"/>
        </w:rPr>
      </w:pPr>
      <w:r w:rsidRPr="00607C0B">
        <w:rPr>
          <w:rFonts w:ascii="Arial" w:hAnsi="Arial" w:cs="Arial"/>
          <w:b/>
          <w:sz w:val="20"/>
          <w:szCs w:val="24"/>
          <w:lang w:val="es-CO" w:eastAsia="es-CO"/>
        </w:rPr>
        <w:t xml:space="preserve">PENSIÓN DE VEJEZ / ACUERDO 049 DE 1990 / </w:t>
      </w:r>
      <w:r w:rsidR="00607C0B" w:rsidRPr="00607C0B">
        <w:rPr>
          <w:rFonts w:ascii="Arial" w:hAnsi="Arial" w:cs="Arial"/>
          <w:b/>
          <w:sz w:val="20"/>
          <w:szCs w:val="24"/>
          <w:lang w:val="es-CO" w:eastAsia="es-CO"/>
        </w:rPr>
        <w:t>CÁLCULO DEL IBL</w:t>
      </w:r>
    </w:p>
    <w:p w14:paraId="2C954718" w14:textId="03427A8B" w:rsidR="00F45848" w:rsidRPr="005E5363" w:rsidRDefault="005E5363" w:rsidP="005E5363">
      <w:pPr>
        <w:jc w:val="both"/>
        <w:textAlignment w:val="baseline"/>
        <w:rPr>
          <w:rFonts w:ascii="Arial" w:hAnsi="Arial" w:cs="Arial"/>
          <w:sz w:val="20"/>
          <w:szCs w:val="24"/>
          <w:lang w:val="es-CO" w:eastAsia="es-CO"/>
        </w:rPr>
      </w:pPr>
      <w:r w:rsidRPr="005E5363">
        <w:rPr>
          <w:rFonts w:ascii="Arial" w:hAnsi="Arial" w:cs="Arial"/>
          <w:sz w:val="20"/>
          <w:szCs w:val="24"/>
          <w:lang w:val="es-CO" w:eastAsia="es-CO"/>
        </w:rPr>
        <w:t xml:space="preserve">El parágrafo 1º del artículo 20 del Acuerdo 049 de 1990 que se ocupa de la forma de integrar la pensión de vejez señaló que corresponde a las últimas 100 de cotización para hallar el IBL de quienes aspiren a pensionarse con fundamento en estas normas. </w:t>
      </w:r>
      <w:r>
        <w:rPr>
          <w:rFonts w:ascii="Arial" w:hAnsi="Arial" w:cs="Arial"/>
          <w:sz w:val="20"/>
          <w:szCs w:val="24"/>
          <w:lang w:val="es-CO" w:eastAsia="es-CO"/>
        </w:rPr>
        <w:t xml:space="preserve">(…) </w:t>
      </w:r>
      <w:r w:rsidRPr="005E5363">
        <w:rPr>
          <w:rFonts w:ascii="Arial" w:hAnsi="Arial" w:cs="Arial"/>
          <w:sz w:val="20"/>
          <w:szCs w:val="24"/>
          <w:lang w:val="es-CO" w:eastAsia="es-CO"/>
        </w:rPr>
        <w:t>Este mismo canon dispone que el monto mínimo de la pensión es del 45% que se aumenta a razón del 3% por cada cincuenta semanas de cotización adicionales a las primeras quinientas.</w:t>
      </w:r>
    </w:p>
    <w:p w14:paraId="75D52654" w14:textId="77777777" w:rsidR="00F45848" w:rsidRPr="00F45848" w:rsidRDefault="00F45848" w:rsidP="00F45848">
      <w:pPr>
        <w:jc w:val="both"/>
        <w:textAlignment w:val="baseline"/>
        <w:rPr>
          <w:rFonts w:ascii="Arial" w:hAnsi="Arial" w:cs="Arial"/>
          <w:sz w:val="20"/>
          <w:szCs w:val="24"/>
          <w:lang w:val="es-CO" w:eastAsia="es-CO"/>
        </w:rPr>
      </w:pPr>
    </w:p>
    <w:p w14:paraId="44125480" w14:textId="4E79BEC2" w:rsidR="00607C0B" w:rsidRPr="00607C0B" w:rsidRDefault="00607C0B" w:rsidP="00607C0B">
      <w:pPr>
        <w:jc w:val="both"/>
        <w:textAlignment w:val="baseline"/>
        <w:rPr>
          <w:rFonts w:ascii="Arial" w:hAnsi="Arial" w:cs="Arial"/>
          <w:b/>
          <w:sz w:val="20"/>
          <w:szCs w:val="24"/>
          <w:lang w:val="es-CO" w:eastAsia="es-CO"/>
        </w:rPr>
      </w:pPr>
      <w:r w:rsidRPr="00607C0B">
        <w:rPr>
          <w:rFonts w:ascii="Arial" w:hAnsi="Arial" w:cs="Arial"/>
          <w:b/>
          <w:sz w:val="20"/>
          <w:szCs w:val="24"/>
          <w:lang w:val="es-CO" w:eastAsia="es-CO"/>
        </w:rPr>
        <w:t xml:space="preserve">PENSIÓN DE VEJEZ / </w:t>
      </w:r>
      <w:r w:rsidR="00662F5D">
        <w:rPr>
          <w:rFonts w:ascii="Arial" w:hAnsi="Arial" w:cs="Arial"/>
          <w:b/>
          <w:sz w:val="20"/>
          <w:szCs w:val="24"/>
          <w:lang w:val="es-CO" w:eastAsia="es-CO"/>
        </w:rPr>
        <w:t xml:space="preserve">INDEXACIÓN DE LOS SALARIOS BASE DEL IBL </w:t>
      </w:r>
      <w:r w:rsidRPr="00607C0B">
        <w:rPr>
          <w:rFonts w:ascii="Arial" w:hAnsi="Arial" w:cs="Arial"/>
          <w:b/>
          <w:sz w:val="20"/>
          <w:szCs w:val="24"/>
          <w:lang w:val="es-CO" w:eastAsia="es-CO"/>
        </w:rPr>
        <w:t xml:space="preserve">/ </w:t>
      </w:r>
      <w:r w:rsidR="00E55C4E">
        <w:rPr>
          <w:rFonts w:ascii="Arial" w:hAnsi="Arial" w:cs="Arial"/>
          <w:b/>
          <w:sz w:val="20"/>
          <w:szCs w:val="24"/>
          <w:lang w:val="es-CO" w:eastAsia="es-CO"/>
        </w:rPr>
        <w:t>POSICIÓN JURISPRUDENCIAL</w:t>
      </w:r>
    </w:p>
    <w:p w14:paraId="0D2C50B7" w14:textId="1A36AF75" w:rsidR="00F45848" w:rsidRPr="00F45848" w:rsidRDefault="00607C0B" w:rsidP="00F45848">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607C0B">
        <w:rPr>
          <w:rFonts w:ascii="Arial" w:hAnsi="Arial" w:cs="Arial"/>
          <w:sz w:val="20"/>
          <w:szCs w:val="24"/>
          <w:lang w:val="es-CO" w:eastAsia="es-CO"/>
        </w:rPr>
        <w:t>sobre la indexación solicitada, ha de decirse que la Sala de Casación Laboral de la Corte Suprema de Justicia, en sentencia 16 de octubre de 2013, radicado No. 47709</w:t>
      </w:r>
      <w:r w:rsidR="0032772B">
        <w:rPr>
          <w:rFonts w:ascii="Arial" w:hAnsi="Arial" w:cs="Arial"/>
          <w:sz w:val="20"/>
          <w:szCs w:val="24"/>
          <w:lang w:val="es-CO" w:eastAsia="es-CO"/>
        </w:rPr>
        <w:t>…</w:t>
      </w:r>
      <w:r w:rsidRPr="00607C0B">
        <w:rPr>
          <w:rFonts w:ascii="Arial" w:hAnsi="Arial" w:cs="Arial"/>
          <w:sz w:val="20"/>
          <w:szCs w:val="24"/>
          <w:lang w:val="es-CO" w:eastAsia="es-CO"/>
        </w:rPr>
        <w:t>, rectificó su tesis</w:t>
      </w:r>
      <w:r w:rsidR="00394305">
        <w:rPr>
          <w:rFonts w:ascii="Arial" w:hAnsi="Arial" w:cs="Arial"/>
          <w:sz w:val="20"/>
          <w:szCs w:val="24"/>
          <w:lang w:val="es-CO" w:eastAsia="es-CO"/>
        </w:rPr>
        <w:t>…</w:t>
      </w:r>
      <w:r w:rsidRPr="00607C0B">
        <w:rPr>
          <w:rFonts w:ascii="Arial" w:hAnsi="Arial" w:cs="Arial"/>
          <w:sz w:val="20"/>
          <w:szCs w:val="24"/>
          <w:lang w:val="es-CO" w:eastAsia="es-CO"/>
        </w:rPr>
        <w:t>, al acoger el criterio según el cual es procedente la indexación de las pensiones causadas antes y después de la entrada en vigencia de la Constitución Política, dado que la pérdida del poder adquisitivo de la moneda es un fenómeno que afecta a todo tipo de pensión por igual, indistintamente de la naturaleza de la prestación o la fecha de su reconocimiento</w:t>
      </w:r>
      <w:r>
        <w:rPr>
          <w:rFonts w:ascii="Arial" w:hAnsi="Arial" w:cs="Arial"/>
          <w:sz w:val="20"/>
          <w:szCs w:val="24"/>
          <w:lang w:val="es-CO" w:eastAsia="es-CO"/>
        </w:rPr>
        <w:t xml:space="preserve">… </w:t>
      </w:r>
      <w:r w:rsidR="0032772B" w:rsidRPr="0032772B">
        <w:rPr>
          <w:rFonts w:ascii="Arial" w:hAnsi="Arial" w:cs="Arial"/>
          <w:sz w:val="20"/>
          <w:szCs w:val="24"/>
          <w:lang w:val="es-CO" w:eastAsia="es-CO"/>
        </w:rPr>
        <w:t>No obstante, también ha apuntado de manera constante , y de forma reciente en decisiones SL2319-2023</w:t>
      </w:r>
      <w:r w:rsidR="0032772B">
        <w:rPr>
          <w:rFonts w:ascii="Arial" w:hAnsi="Arial" w:cs="Arial"/>
          <w:sz w:val="20"/>
          <w:szCs w:val="24"/>
          <w:lang w:val="es-CO" w:eastAsia="es-CO"/>
        </w:rPr>
        <w:t>…</w:t>
      </w:r>
      <w:r w:rsidR="0032772B" w:rsidRPr="0032772B">
        <w:rPr>
          <w:rFonts w:ascii="Arial" w:hAnsi="Arial" w:cs="Arial"/>
          <w:sz w:val="20"/>
          <w:szCs w:val="24"/>
          <w:lang w:val="es-CO" w:eastAsia="es-CO"/>
        </w:rPr>
        <w:t>, entre otras, que es improcedente la indexación cuando se trata de pensiones reconocidas con fundamento en el parágrafo 1º del artículo 20 del Acuerdo 049 de 1990, para lo cual aduce dos argumentos: a) que la norma establece una fórmula para el cálculo de la prestación, que toma en cuenta el número de semanas cotizadas por el afiliado a la entidad de seguridad social y no los salarios devengados y b) que el afiliado puede seguir cotizando hasta que cumpla la edad para aumentar la tasa de remplazo; por lo que es él y no la entidad de seguridad social quien debe asumir la actualización de su pensión</w:t>
      </w:r>
      <w:r w:rsidR="00A20BB1">
        <w:rPr>
          <w:rFonts w:ascii="Arial" w:hAnsi="Arial" w:cs="Arial"/>
          <w:sz w:val="20"/>
          <w:szCs w:val="24"/>
          <w:lang w:val="es-CO" w:eastAsia="es-CO"/>
        </w:rPr>
        <w:t>…</w:t>
      </w:r>
    </w:p>
    <w:p w14:paraId="78213B0B" w14:textId="77777777" w:rsidR="00F45848" w:rsidRPr="00F45848" w:rsidRDefault="00F45848" w:rsidP="00F45848">
      <w:pPr>
        <w:jc w:val="both"/>
        <w:textAlignment w:val="baseline"/>
        <w:rPr>
          <w:rFonts w:ascii="Arial" w:hAnsi="Arial" w:cs="Arial"/>
          <w:sz w:val="20"/>
          <w:szCs w:val="24"/>
          <w:lang w:val="es-CO" w:eastAsia="es-CO"/>
        </w:rPr>
      </w:pPr>
    </w:p>
    <w:p w14:paraId="2DE30889" w14:textId="77777777" w:rsidR="00F45848" w:rsidRPr="00F45848" w:rsidRDefault="00F45848" w:rsidP="00F45848">
      <w:pPr>
        <w:jc w:val="both"/>
        <w:textAlignment w:val="baseline"/>
        <w:rPr>
          <w:rFonts w:ascii="Arial" w:hAnsi="Arial" w:cs="Arial"/>
          <w:sz w:val="20"/>
          <w:szCs w:val="24"/>
          <w:lang w:val="es-CO" w:eastAsia="es-CO"/>
        </w:rPr>
      </w:pPr>
    </w:p>
    <w:p w14:paraId="79CB4D34" w14:textId="77777777" w:rsidR="00F45848" w:rsidRPr="00F45848" w:rsidRDefault="00F45848" w:rsidP="00F45848">
      <w:pPr>
        <w:jc w:val="both"/>
        <w:textAlignment w:val="baseline"/>
        <w:rPr>
          <w:rFonts w:ascii="Arial" w:hAnsi="Arial" w:cs="Arial"/>
          <w:sz w:val="20"/>
          <w:szCs w:val="24"/>
          <w:lang w:val="es-CO" w:eastAsia="es-CO"/>
        </w:rPr>
      </w:pPr>
    </w:p>
    <w:p w14:paraId="075DB124" w14:textId="77777777" w:rsidR="00F45848" w:rsidRPr="00F45848" w:rsidRDefault="00F45848" w:rsidP="00F45848">
      <w:pPr>
        <w:jc w:val="both"/>
        <w:textAlignment w:val="baseline"/>
        <w:rPr>
          <w:rFonts w:ascii="Arial" w:hAnsi="Arial" w:cs="Arial"/>
          <w:sz w:val="20"/>
          <w:szCs w:val="24"/>
          <w:lang w:val="es-CO" w:eastAsia="es-CO"/>
        </w:rPr>
      </w:pPr>
    </w:p>
    <w:p w14:paraId="30615F43" w14:textId="77777777" w:rsidR="00F45848" w:rsidRPr="00F45848" w:rsidRDefault="00F45848" w:rsidP="00F45848">
      <w:pPr>
        <w:jc w:val="both"/>
        <w:textAlignment w:val="baseline"/>
        <w:rPr>
          <w:rFonts w:ascii="Arial" w:hAnsi="Arial" w:cs="Arial"/>
          <w:sz w:val="20"/>
          <w:szCs w:val="24"/>
          <w:lang w:val="es-CO" w:eastAsia="es-CO"/>
        </w:rPr>
      </w:pPr>
    </w:p>
    <w:p w14:paraId="22905520" w14:textId="77777777" w:rsidR="00F45848" w:rsidRPr="00F45848" w:rsidRDefault="00F45848" w:rsidP="00F45848">
      <w:pPr>
        <w:jc w:val="both"/>
        <w:textAlignment w:val="baseline"/>
        <w:rPr>
          <w:rFonts w:ascii="Arial" w:hAnsi="Arial" w:cs="Arial"/>
          <w:sz w:val="20"/>
          <w:szCs w:val="24"/>
          <w:lang w:val="es-CO" w:eastAsia="es-CO"/>
        </w:rPr>
      </w:pPr>
    </w:p>
    <w:p w14:paraId="161E608E" w14:textId="77777777" w:rsidR="00F45848" w:rsidRPr="00F45848" w:rsidRDefault="00F45848" w:rsidP="00F45848">
      <w:pPr>
        <w:jc w:val="both"/>
        <w:textAlignment w:val="baseline"/>
        <w:rPr>
          <w:rFonts w:ascii="Arial" w:hAnsi="Arial" w:cs="Arial"/>
          <w:sz w:val="20"/>
          <w:szCs w:val="24"/>
          <w:lang w:val="es-CO" w:eastAsia="es-CO"/>
        </w:rPr>
      </w:pPr>
    </w:p>
    <w:p w14:paraId="266AD658" w14:textId="77777777" w:rsidR="00F45848" w:rsidRPr="00F45848" w:rsidRDefault="00F45848" w:rsidP="00F45848">
      <w:pPr>
        <w:jc w:val="both"/>
        <w:textAlignment w:val="baseline"/>
        <w:rPr>
          <w:rFonts w:ascii="Arial" w:hAnsi="Arial" w:cs="Arial"/>
          <w:sz w:val="20"/>
          <w:szCs w:val="24"/>
          <w:lang w:val="es-CO" w:eastAsia="es-CO"/>
        </w:rPr>
      </w:pPr>
    </w:p>
    <w:p w14:paraId="6BADAEA1" w14:textId="77777777" w:rsidR="00F45848" w:rsidRPr="00F45848" w:rsidRDefault="00F45848" w:rsidP="00F45848">
      <w:pPr>
        <w:spacing w:line="276" w:lineRule="auto"/>
        <w:jc w:val="center"/>
        <w:textAlignment w:val="baseline"/>
        <w:rPr>
          <w:rFonts w:ascii="Arial" w:hAnsi="Arial" w:cs="Arial"/>
          <w:szCs w:val="24"/>
          <w:lang w:val="es-CO" w:eastAsia="es-CO"/>
        </w:rPr>
      </w:pPr>
      <w:r w:rsidRPr="00F45848">
        <w:rPr>
          <w:rFonts w:ascii="Arial" w:hAnsi="Arial" w:cs="Arial"/>
          <w:noProof/>
          <w:szCs w:val="24"/>
          <w:lang w:val="en-US" w:eastAsia="en-US"/>
        </w:rPr>
        <w:drawing>
          <wp:inline distT="0" distB="0" distL="0" distR="0" wp14:anchorId="06364518" wp14:editId="6B0550AE">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F45848">
        <w:rPr>
          <w:rFonts w:ascii="Arial" w:hAnsi="Arial" w:cs="Arial"/>
          <w:szCs w:val="24"/>
          <w:lang w:val="es-CO" w:eastAsia="es-CO"/>
        </w:rPr>
        <w:t> </w:t>
      </w:r>
    </w:p>
    <w:p w14:paraId="01114D54" w14:textId="77777777" w:rsidR="00F45848" w:rsidRPr="00F45848" w:rsidRDefault="00F45848" w:rsidP="00F45848">
      <w:pPr>
        <w:spacing w:line="276" w:lineRule="auto"/>
        <w:jc w:val="center"/>
        <w:textAlignment w:val="baseline"/>
        <w:rPr>
          <w:rFonts w:ascii="Arial" w:hAnsi="Arial" w:cs="Arial"/>
          <w:szCs w:val="24"/>
          <w:lang w:val="es-CO" w:eastAsia="es-CO"/>
        </w:rPr>
      </w:pPr>
      <w:r w:rsidRPr="00F45848">
        <w:rPr>
          <w:rFonts w:ascii="Arial" w:hAnsi="Arial" w:cs="Arial"/>
          <w:b/>
          <w:bCs/>
          <w:szCs w:val="24"/>
          <w:lang w:val="es-ES" w:eastAsia="es-CO"/>
        </w:rPr>
        <w:t>RAMA JUDICIAL DEL PODER PÚBLICO</w:t>
      </w:r>
      <w:r w:rsidRPr="00F45848">
        <w:rPr>
          <w:rFonts w:ascii="Arial" w:hAnsi="Arial" w:cs="Arial"/>
          <w:szCs w:val="24"/>
          <w:lang w:val="es-CO" w:eastAsia="es-CO"/>
        </w:rPr>
        <w:t> </w:t>
      </w:r>
    </w:p>
    <w:p w14:paraId="0FD0464B" w14:textId="77777777" w:rsidR="00F45848" w:rsidRPr="00F45848" w:rsidRDefault="00F45848" w:rsidP="00F45848">
      <w:pPr>
        <w:spacing w:line="276" w:lineRule="auto"/>
        <w:jc w:val="center"/>
        <w:textAlignment w:val="baseline"/>
        <w:rPr>
          <w:rFonts w:ascii="Arial" w:hAnsi="Arial" w:cs="Arial"/>
          <w:szCs w:val="24"/>
          <w:lang w:val="es-CO" w:eastAsia="es-CO"/>
        </w:rPr>
      </w:pPr>
      <w:r w:rsidRPr="00F45848">
        <w:rPr>
          <w:rFonts w:ascii="Arial" w:hAnsi="Arial" w:cs="Arial"/>
          <w:b/>
          <w:bCs/>
          <w:szCs w:val="24"/>
          <w:lang w:val="es-ES" w:eastAsia="es-CO"/>
        </w:rPr>
        <w:t>TRIBUNAL SUPERIOR DEL DISTRITO JUDICIAL DE PEREIRA</w:t>
      </w:r>
      <w:r w:rsidRPr="00F45848">
        <w:rPr>
          <w:rFonts w:ascii="Arial" w:hAnsi="Arial" w:cs="Arial"/>
          <w:szCs w:val="24"/>
          <w:lang w:val="es-CO" w:eastAsia="es-CO"/>
        </w:rPr>
        <w:t> </w:t>
      </w:r>
    </w:p>
    <w:p w14:paraId="44255642" w14:textId="77777777" w:rsidR="00F45848" w:rsidRPr="00F45848" w:rsidRDefault="00F45848" w:rsidP="00F45848">
      <w:pPr>
        <w:spacing w:line="276" w:lineRule="auto"/>
        <w:jc w:val="center"/>
        <w:textAlignment w:val="baseline"/>
        <w:rPr>
          <w:rFonts w:ascii="Arial" w:hAnsi="Arial" w:cs="Arial"/>
          <w:szCs w:val="24"/>
          <w:lang w:val="es-CO" w:eastAsia="es-CO"/>
        </w:rPr>
      </w:pPr>
      <w:r w:rsidRPr="00F45848">
        <w:rPr>
          <w:rFonts w:ascii="Arial" w:hAnsi="Arial" w:cs="Arial"/>
          <w:b/>
          <w:bCs/>
          <w:szCs w:val="24"/>
          <w:lang w:val="es-ES" w:eastAsia="es-CO"/>
        </w:rPr>
        <w:t>SALA DE DECISIÓN LABORAL</w:t>
      </w:r>
      <w:r w:rsidRPr="00F45848">
        <w:rPr>
          <w:rFonts w:ascii="Arial" w:hAnsi="Arial" w:cs="Arial"/>
          <w:szCs w:val="24"/>
          <w:lang w:val="es-CO" w:eastAsia="es-CO"/>
        </w:rPr>
        <w:t> </w:t>
      </w:r>
    </w:p>
    <w:p w14:paraId="676AEAFE" w14:textId="77777777" w:rsidR="00F45848" w:rsidRPr="00F45848" w:rsidRDefault="00F45848" w:rsidP="00F45848">
      <w:pPr>
        <w:spacing w:line="276" w:lineRule="auto"/>
        <w:jc w:val="both"/>
        <w:textAlignment w:val="baseline"/>
        <w:rPr>
          <w:rFonts w:ascii="Arial" w:hAnsi="Arial" w:cs="Arial"/>
          <w:szCs w:val="24"/>
          <w:lang w:val="es-CO" w:eastAsia="es-CO"/>
        </w:rPr>
      </w:pPr>
    </w:p>
    <w:p w14:paraId="0BC5FFAC" w14:textId="77777777" w:rsidR="00F45848" w:rsidRPr="00F45848" w:rsidRDefault="00F45848" w:rsidP="00F45848">
      <w:pPr>
        <w:spacing w:line="276" w:lineRule="auto"/>
        <w:jc w:val="center"/>
        <w:textAlignment w:val="baseline"/>
        <w:rPr>
          <w:rFonts w:ascii="Arial" w:hAnsi="Arial" w:cs="Arial"/>
          <w:szCs w:val="24"/>
          <w:lang w:val="es-CO" w:eastAsia="es-CO"/>
        </w:rPr>
      </w:pPr>
      <w:r w:rsidRPr="00F45848">
        <w:rPr>
          <w:rFonts w:ascii="Arial" w:hAnsi="Arial" w:cs="Arial"/>
          <w:color w:val="000000"/>
          <w:szCs w:val="24"/>
          <w:lang w:val="es-ES" w:eastAsia="es-CO"/>
        </w:rPr>
        <w:t>Magistrada Ponente</w:t>
      </w:r>
      <w:r w:rsidRPr="00F45848">
        <w:rPr>
          <w:rFonts w:ascii="Arial" w:hAnsi="Arial" w:cs="Arial"/>
          <w:color w:val="000000"/>
          <w:szCs w:val="24"/>
          <w:lang w:val="es-CO" w:eastAsia="es-CO"/>
        </w:rPr>
        <w:t> </w:t>
      </w:r>
    </w:p>
    <w:p w14:paraId="45EE2474" w14:textId="77777777" w:rsidR="00F45848" w:rsidRPr="00F45848" w:rsidRDefault="00F45848" w:rsidP="00F45848">
      <w:pPr>
        <w:spacing w:line="276" w:lineRule="auto"/>
        <w:jc w:val="center"/>
        <w:textAlignment w:val="baseline"/>
        <w:rPr>
          <w:rFonts w:ascii="Arial" w:hAnsi="Arial" w:cs="Arial"/>
          <w:szCs w:val="24"/>
          <w:lang w:val="es-CO" w:eastAsia="es-CO"/>
        </w:rPr>
      </w:pPr>
      <w:r w:rsidRPr="00F45848">
        <w:rPr>
          <w:rFonts w:ascii="Arial" w:hAnsi="Arial" w:cs="Arial"/>
          <w:b/>
          <w:bCs/>
          <w:color w:val="000000"/>
          <w:szCs w:val="24"/>
          <w:lang w:val="es-CO" w:eastAsia="es-CO"/>
        </w:rPr>
        <w:t>OLGA LUCÍA HOYOS SEPÚLVEDA</w:t>
      </w:r>
      <w:r w:rsidRPr="00F45848">
        <w:rPr>
          <w:rFonts w:ascii="Arial" w:hAnsi="Arial" w:cs="Arial"/>
          <w:color w:val="000000"/>
          <w:szCs w:val="24"/>
          <w:lang w:val="es-CO" w:eastAsia="es-CO"/>
        </w:rPr>
        <w:t> </w:t>
      </w:r>
    </w:p>
    <w:p w14:paraId="5BF94E1B" w14:textId="77777777" w:rsidR="00F45848" w:rsidRPr="00F45848" w:rsidRDefault="00F45848" w:rsidP="00F45848">
      <w:pPr>
        <w:spacing w:line="276" w:lineRule="auto"/>
        <w:jc w:val="both"/>
        <w:textAlignment w:val="baseline"/>
        <w:rPr>
          <w:rFonts w:ascii="Arial" w:hAnsi="Arial" w:cs="Arial"/>
          <w:szCs w:val="24"/>
          <w:lang w:val="es-CO" w:eastAsia="es-CO"/>
        </w:rPr>
      </w:pPr>
    </w:p>
    <w:p w14:paraId="1791A4DD" w14:textId="309F7CFE" w:rsidR="005C17C1" w:rsidRPr="0084409D" w:rsidRDefault="005C17C1" w:rsidP="0084409D">
      <w:pPr>
        <w:pStyle w:val="Sinespaciado"/>
        <w:ind w:left="2124"/>
        <w:jc w:val="both"/>
        <w:rPr>
          <w:rFonts w:ascii="Arial" w:eastAsia="Calibri" w:hAnsi="Arial" w:cs="Arial"/>
          <w:szCs w:val="18"/>
        </w:rPr>
      </w:pPr>
      <w:r w:rsidRPr="0084409D">
        <w:rPr>
          <w:rFonts w:ascii="Arial" w:eastAsia="Calibri" w:hAnsi="Arial" w:cs="Arial"/>
          <w:bCs/>
          <w:szCs w:val="18"/>
        </w:rPr>
        <w:t>Providencia:</w:t>
      </w:r>
      <w:r w:rsidRPr="0084409D">
        <w:rPr>
          <w:rFonts w:ascii="Arial" w:hAnsi="Arial" w:cs="Arial"/>
          <w:sz w:val="28"/>
        </w:rPr>
        <w:tab/>
      </w:r>
      <w:r w:rsidRPr="0084409D">
        <w:rPr>
          <w:rFonts w:ascii="Arial" w:hAnsi="Arial" w:cs="Arial"/>
          <w:sz w:val="28"/>
        </w:rPr>
        <w:tab/>
      </w:r>
      <w:r w:rsidR="00C37219" w:rsidRPr="0084409D">
        <w:rPr>
          <w:rFonts w:ascii="Arial" w:eastAsia="Calibri" w:hAnsi="Arial" w:cs="Arial"/>
          <w:szCs w:val="18"/>
        </w:rPr>
        <w:t>Apelación de sentencia</w:t>
      </w:r>
    </w:p>
    <w:p w14:paraId="1886BFAF" w14:textId="0FCCC71B" w:rsidR="005C17C1" w:rsidRPr="0084409D" w:rsidRDefault="005C17C1" w:rsidP="0084409D">
      <w:pPr>
        <w:pStyle w:val="Sinespaciado"/>
        <w:ind w:left="2124"/>
        <w:jc w:val="both"/>
        <w:rPr>
          <w:rFonts w:ascii="Arial" w:eastAsia="Calibri" w:hAnsi="Arial" w:cs="Arial"/>
          <w:bCs/>
          <w:szCs w:val="18"/>
        </w:rPr>
      </w:pPr>
      <w:r w:rsidRPr="0084409D">
        <w:rPr>
          <w:rFonts w:ascii="Arial" w:eastAsia="Calibri" w:hAnsi="Arial" w:cs="Arial"/>
          <w:bCs/>
          <w:szCs w:val="18"/>
        </w:rPr>
        <w:t>Proceso:</w:t>
      </w:r>
      <w:r w:rsidRPr="0084409D">
        <w:rPr>
          <w:rFonts w:ascii="Arial" w:eastAsia="Calibri" w:hAnsi="Arial" w:cs="Arial"/>
          <w:bCs/>
          <w:szCs w:val="18"/>
        </w:rPr>
        <w:tab/>
      </w:r>
      <w:r w:rsidRPr="0084409D">
        <w:rPr>
          <w:rFonts w:ascii="Arial" w:eastAsia="Calibri" w:hAnsi="Arial" w:cs="Arial"/>
          <w:bCs/>
          <w:szCs w:val="18"/>
        </w:rPr>
        <w:tab/>
        <w:t>Ordinario laboral</w:t>
      </w:r>
    </w:p>
    <w:p w14:paraId="42A64E5E" w14:textId="643880D8" w:rsidR="005C17C1" w:rsidRPr="0084409D" w:rsidRDefault="0084409D" w:rsidP="0084409D">
      <w:pPr>
        <w:pStyle w:val="Sinespaciado"/>
        <w:ind w:left="2124"/>
        <w:jc w:val="both"/>
        <w:rPr>
          <w:rFonts w:ascii="Arial" w:eastAsia="Calibri" w:hAnsi="Arial" w:cs="Arial"/>
          <w:bCs/>
          <w:szCs w:val="18"/>
        </w:rPr>
      </w:pPr>
      <w:r w:rsidRPr="0084409D">
        <w:rPr>
          <w:rFonts w:ascii="Arial" w:eastAsia="Calibri" w:hAnsi="Arial" w:cs="Arial"/>
          <w:bCs/>
          <w:szCs w:val="18"/>
        </w:rPr>
        <w:t>Radicación N</w:t>
      </w:r>
      <w:r>
        <w:rPr>
          <w:rFonts w:ascii="Arial" w:eastAsia="Calibri" w:hAnsi="Arial" w:cs="Arial"/>
          <w:bCs/>
          <w:szCs w:val="18"/>
        </w:rPr>
        <w:t>°:</w:t>
      </w:r>
      <w:r w:rsidR="005C17C1" w:rsidRPr="0084409D">
        <w:rPr>
          <w:rFonts w:ascii="Arial" w:eastAsia="Calibri" w:hAnsi="Arial" w:cs="Arial"/>
          <w:bCs/>
          <w:szCs w:val="18"/>
        </w:rPr>
        <w:tab/>
        <w:t>66001310500</w:t>
      </w:r>
      <w:r w:rsidR="00C37219" w:rsidRPr="0084409D">
        <w:rPr>
          <w:rFonts w:ascii="Arial" w:eastAsia="Calibri" w:hAnsi="Arial" w:cs="Arial"/>
          <w:bCs/>
          <w:szCs w:val="18"/>
        </w:rPr>
        <w:t>4</w:t>
      </w:r>
      <w:r w:rsidR="005C17C1" w:rsidRPr="0084409D">
        <w:rPr>
          <w:rFonts w:ascii="Arial" w:eastAsia="Calibri" w:hAnsi="Arial" w:cs="Arial"/>
          <w:bCs/>
          <w:szCs w:val="18"/>
        </w:rPr>
        <w:t>20</w:t>
      </w:r>
      <w:r w:rsidR="00C37219" w:rsidRPr="0084409D">
        <w:rPr>
          <w:rFonts w:ascii="Arial" w:eastAsia="Calibri" w:hAnsi="Arial" w:cs="Arial"/>
          <w:bCs/>
          <w:szCs w:val="18"/>
        </w:rPr>
        <w:t>23</w:t>
      </w:r>
      <w:r w:rsidR="005C17C1" w:rsidRPr="0084409D">
        <w:rPr>
          <w:rFonts w:ascii="Arial" w:eastAsia="Calibri" w:hAnsi="Arial" w:cs="Arial"/>
          <w:bCs/>
          <w:szCs w:val="18"/>
        </w:rPr>
        <w:t>00</w:t>
      </w:r>
      <w:r w:rsidR="00C37219" w:rsidRPr="0084409D">
        <w:rPr>
          <w:rFonts w:ascii="Arial" w:eastAsia="Calibri" w:hAnsi="Arial" w:cs="Arial"/>
          <w:bCs/>
          <w:szCs w:val="18"/>
        </w:rPr>
        <w:t>082</w:t>
      </w:r>
      <w:r w:rsidR="005C17C1" w:rsidRPr="0084409D">
        <w:rPr>
          <w:rFonts w:ascii="Arial" w:eastAsia="Calibri" w:hAnsi="Arial" w:cs="Arial"/>
          <w:bCs/>
          <w:szCs w:val="18"/>
        </w:rPr>
        <w:t>01</w:t>
      </w:r>
    </w:p>
    <w:p w14:paraId="1CEE6617" w14:textId="5CB4D3E5" w:rsidR="005C17C1" w:rsidRPr="0084409D" w:rsidRDefault="0084409D" w:rsidP="0084409D">
      <w:pPr>
        <w:pStyle w:val="Sinespaciado"/>
        <w:ind w:left="2124"/>
        <w:jc w:val="both"/>
        <w:rPr>
          <w:rFonts w:ascii="Arial" w:eastAsia="Calibri" w:hAnsi="Arial" w:cs="Arial"/>
          <w:bCs/>
          <w:szCs w:val="18"/>
        </w:rPr>
      </w:pPr>
      <w:r>
        <w:rPr>
          <w:rFonts w:ascii="Arial" w:eastAsia="Calibri" w:hAnsi="Arial" w:cs="Arial"/>
          <w:bCs/>
          <w:szCs w:val="18"/>
        </w:rPr>
        <w:t>Demandante:</w:t>
      </w:r>
      <w:r>
        <w:rPr>
          <w:rFonts w:ascii="Arial" w:eastAsia="Calibri" w:hAnsi="Arial" w:cs="Arial"/>
          <w:bCs/>
          <w:szCs w:val="18"/>
        </w:rPr>
        <w:tab/>
      </w:r>
      <w:r w:rsidR="005C17C1" w:rsidRPr="0084409D">
        <w:rPr>
          <w:rFonts w:ascii="Arial" w:eastAsia="Calibri" w:hAnsi="Arial" w:cs="Arial"/>
          <w:bCs/>
          <w:szCs w:val="18"/>
        </w:rPr>
        <w:tab/>
      </w:r>
      <w:r w:rsidR="00C37219" w:rsidRPr="0084409D">
        <w:rPr>
          <w:rFonts w:ascii="Arial" w:eastAsia="Calibri" w:hAnsi="Arial" w:cs="Arial"/>
          <w:bCs/>
          <w:szCs w:val="18"/>
        </w:rPr>
        <w:t xml:space="preserve">Óscar López Barco sucedido procesalmente por </w:t>
      </w:r>
      <w:r w:rsidR="005D5265">
        <w:rPr>
          <w:rFonts w:ascii="Arial" w:eastAsia="Calibri" w:hAnsi="Arial" w:cs="Arial"/>
          <w:bCs/>
          <w:szCs w:val="18"/>
        </w:rPr>
        <w:tab/>
      </w:r>
      <w:r w:rsidR="005D5265">
        <w:rPr>
          <w:rFonts w:ascii="Arial" w:eastAsia="Calibri" w:hAnsi="Arial" w:cs="Arial"/>
          <w:bCs/>
          <w:szCs w:val="18"/>
        </w:rPr>
        <w:tab/>
      </w:r>
      <w:r w:rsidR="005D5265">
        <w:rPr>
          <w:rFonts w:ascii="Arial" w:eastAsia="Calibri" w:hAnsi="Arial" w:cs="Arial"/>
          <w:bCs/>
          <w:szCs w:val="18"/>
        </w:rPr>
        <w:tab/>
      </w:r>
      <w:r w:rsidR="00C37219" w:rsidRPr="0084409D">
        <w:rPr>
          <w:rFonts w:ascii="Arial" w:eastAsia="Calibri" w:hAnsi="Arial" w:cs="Arial"/>
          <w:bCs/>
          <w:szCs w:val="18"/>
        </w:rPr>
        <w:t>Jairo, Adiela y Liliana López Castaño</w:t>
      </w:r>
    </w:p>
    <w:p w14:paraId="615192AB" w14:textId="140F027E" w:rsidR="005C17C1" w:rsidRPr="0084409D" w:rsidRDefault="005C17C1" w:rsidP="005D5265">
      <w:pPr>
        <w:pStyle w:val="Sinespaciado"/>
        <w:ind w:left="4239" w:hanging="2115"/>
        <w:jc w:val="both"/>
        <w:rPr>
          <w:rFonts w:ascii="Arial" w:eastAsia="Calibri" w:hAnsi="Arial" w:cs="Arial"/>
          <w:bCs/>
          <w:szCs w:val="18"/>
        </w:rPr>
      </w:pPr>
      <w:r w:rsidRPr="0084409D">
        <w:rPr>
          <w:rFonts w:ascii="Arial" w:eastAsia="Calibri" w:hAnsi="Arial" w:cs="Arial"/>
          <w:bCs/>
          <w:szCs w:val="18"/>
        </w:rPr>
        <w:t>Demandado:</w:t>
      </w:r>
      <w:r w:rsidRPr="0084409D">
        <w:rPr>
          <w:rFonts w:ascii="Arial" w:eastAsia="Calibri" w:hAnsi="Arial" w:cs="Arial"/>
          <w:bCs/>
          <w:szCs w:val="18"/>
        </w:rPr>
        <w:tab/>
      </w:r>
      <w:r w:rsidRPr="0084409D">
        <w:rPr>
          <w:rFonts w:ascii="Arial" w:eastAsia="Calibri" w:hAnsi="Arial" w:cs="Arial"/>
          <w:bCs/>
          <w:szCs w:val="18"/>
        </w:rPr>
        <w:tab/>
      </w:r>
      <w:r w:rsidR="00C37219" w:rsidRPr="0084409D">
        <w:rPr>
          <w:rFonts w:ascii="Arial" w:eastAsia="Calibri" w:hAnsi="Arial" w:cs="Arial"/>
          <w:bCs/>
          <w:szCs w:val="18"/>
        </w:rPr>
        <w:t xml:space="preserve">Administradora Colombiana de Pensiones </w:t>
      </w:r>
      <w:r w:rsidR="005D5265">
        <w:rPr>
          <w:rFonts w:ascii="Arial" w:eastAsia="Calibri" w:hAnsi="Arial" w:cs="Arial"/>
          <w:bCs/>
          <w:szCs w:val="18"/>
        </w:rPr>
        <w:t>–</w:t>
      </w:r>
      <w:r w:rsidR="00C37219" w:rsidRPr="0084409D">
        <w:rPr>
          <w:rFonts w:ascii="Arial" w:eastAsia="Calibri" w:hAnsi="Arial" w:cs="Arial"/>
          <w:bCs/>
          <w:szCs w:val="18"/>
        </w:rPr>
        <w:t xml:space="preserve"> Colpensiones</w:t>
      </w:r>
    </w:p>
    <w:p w14:paraId="7C2E03AF" w14:textId="4D2EEB14" w:rsidR="005C17C1" w:rsidRPr="0084409D" w:rsidRDefault="005C17C1" w:rsidP="005D5265">
      <w:pPr>
        <w:pStyle w:val="Sinespaciado"/>
        <w:ind w:left="4239" w:hanging="2115"/>
        <w:jc w:val="both"/>
        <w:rPr>
          <w:rFonts w:ascii="Arial" w:eastAsia="Calibri" w:hAnsi="Arial" w:cs="Arial"/>
          <w:bCs/>
          <w:szCs w:val="18"/>
        </w:rPr>
      </w:pPr>
      <w:r w:rsidRPr="0084409D">
        <w:rPr>
          <w:rFonts w:ascii="Arial" w:eastAsia="Calibri" w:hAnsi="Arial" w:cs="Arial"/>
          <w:bCs/>
          <w:szCs w:val="18"/>
        </w:rPr>
        <w:t>Tema a tratar:</w:t>
      </w:r>
      <w:r w:rsidR="0084409D">
        <w:rPr>
          <w:rFonts w:ascii="Arial" w:eastAsia="Calibri" w:hAnsi="Arial" w:cs="Arial"/>
          <w:bCs/>
          <w:szCs w:val="18"/>
        </w:rPr>
        <w:tab/>
      </w:r>
      <w:r w:rsidR="0084409D">
        <w:rPr>
          <w:rFonts w:ascii="Arial" w:eastAsia="Calibri" w:hAnsi="Arial" w:cs="Arial"/>
          <w:bCs/>
          <w:szCs w:val="18"/>
        </w:rPr>
        <w:tab/>
      </w:r>
      <w:r w:rsidRPr="0084409D">
        <w:rPr>
          <w:rFonts w:ascii="Arial" w:eastAsia="Calibri" w:hAnsi="Arial" w:cs="Arial"/>
          <w:bCs/>
          <w:szCs w:val="18"/>
        </w:rPr>
        <w:t xml:space="preserve">Cálculo del </w:t>
      </w:r>
      <w:r w:rsidR="00E971BE" w:rsidRPr="0084409D">
        <w:rPr>
          <w:rFonts w:ascii="Arial" w:eastAsia="Calibri" w:hAnsi="Arial" w:cs="Arial"/>
          <w:bCs/>
          <w:szCs w:val="18"/>
        </w:rPr>
        <w:t xml:space="preserve">IBL </w:t>
      </w:r>
      <w:r w:rsidR="005D5265">
        <w:rPr>
          <w:rFonts w:ascii="Arial" w:eastAsia="Calibri" w:hAnsi="Arial" w:cs="Arial"/>
          <w:bCs/>
          <w:szCs w:val="18"/>
        </w:rPr>
        <w:t>–</w:t>
      </w:r>
      <w:r w:rsidR="00C37219" w:rsidRPr="0084409D">
        <w:rPr>
          <w:rFonts w:ascii="Arial" w:eastAsia="Calibri" w:hAnsi="Arial" w:cs="Arial"/>
          <w:bCs/>
          <w:szCs w:val="18"/>
        </w:rPr>
        <w:t xml:space="preserve"> Acuerdo 049/1990 </w:t>
      </w:r>
      <w:r w:rsidR="005D5265">
        <w:rPr>
          <w:rFonts w:ascii="Arial" w:eastAsia="Calibri" w:hAnsi="Arial" w:cs="Arial"/>
          <w:bCs/>
          <w:szCs w:val="18"/>
        </w:rPr>
        <w:t>–</w:t>
      </w:r>
      <w:r w:rsidR="00E971BE" w:rsidRPr="0084409D">
        <w:rPr>
          <w:rFonts w:ascii="Arial" w:eastAsia="Calibri" w:hAnsi="Arial" w:cs="Arial"/>
          <w:bCs/>
          <w:szCs w:val="18"/>
        </w:rPr>
        <w:t xml:space="preserve"> improcedente</w:t>
      </w:r>
      <w:r w:rsidR="00593DE6" w:rsidRPr="0084409D">
        <w:rPr>
          <w:rFonts w:ascii="Arial" w:eastAsia="Calibri" w:hAnsi="Arial" w:cs="Arial"/>
          <w:bCs/>
          <w:szCs w:val="18"/>
        </w:rPr>
        <w:t xml:space="preserve"> la</w:t>
      </w:r>
      <w:r w:rsidR="008B0C8E" w:rsidRPr="0084409D">
        <w:rPr>
          <w:rFonts w:ascii="Arial" w:eastAsia="Calibri" w:hAnsi="Arial" w:cs="Arial"/>
          <w:bCs/>
          <w:szCs w:val="18"/>
        </w:rPr>
        <w:t xml:space="preserve"> indexación de los salarios de las 100 semanas </w:t>
      </w:r>
    </w:p>
    <w:p w14:paraId="5A39BBE3" w14:textId="77777777" w:rsidR="00530FFD" w:rsidRPr="00F45848" w:rsidRDefault="00530FFD" w:rsidP="00F45848">
      <w:pPr>
        <w:spacing w:line="276" w:lineRule="auto"/>
        <w:ind w:left="1416" w:firstLine="708"/>
        <w:jc w:val="both"/>
        <w:rPr>
          <w:rFonts w:ascii="Arial" w:hAnsi="Arial" w:cs="Arial"/>
          <w:b/>
          <w:bCs/>
          <w:szCs w:val="24"/>
        </w:rPr>
      </w:pPr>
    </w:p>
    <w:p w14:paraId="7C46D768" w14:textId="2FBC1AB2" w:rsidR="00C37219" w:rsidRPr="00F45848" w:rsidRDefault="00C37219" w:rsidP="00F45848">
      <w:pPr>
        <w:pStyle w:val="paragraph"/>
        <w:spacing w:before="0" w:beforeAutospacing="0" w:after="0" w:afterAutospacing="0" w:line="276" w:lineRule="auto"/>
        <w:jc w:val="center"/>
        <w:textAlignment w:val="baseline"/>
        <w:rPr>
          <w:rFonts w:ascii="Arial" w:hAnsi="Arial" w:cs="Arial"/>
        </w:rPr>
      </w:pPr>
      <w:r w:rsidRPr="00F45848">
        <w:rPr>
          <w:rStyle w:val="normaltextrun"/>
          <w:rFonts w:ascii="Arial" w:hAnsi="Arial" w:cs="Arial"/>
          <w:lang w:val="es-ES"/>
        </w:rPr>
        <w:t>Pereira, Risaralda,</w:t>
      </w:r>
      <w:r w:rsidRPr="00F45848">
        <w:rPr>
          <w:rStyle w:val="normaltextrun"/>
          <w:rFonts w:ascii="Arial" w:hAnsi="Arial" w:cs="Arial"/>
          <w:color w:val="000000" w:themeColor="text1"/>
          <w:lang w:val="es-MX"/>
        </w:rPr>
        <w:t> </w:t>
      </w:r>
      <w:r w:rsidR="7B439A14" w:rsidRPr="00F45848">
        <w:rPr>
          <w:rStyle w:val="normaltextrun"/>
          <w:rFonts w:ascii="Arial" w:hAnsi="Arial" w:cs="Arial"/>
          <w:color w:val="000000" w:themeColor="text1"/>
          <w:lang w:val="es-MX"/>
        </w:rPr>
        <w:t>veintidós</w:t>
      </w:r>
      <w:r w:rsidRPr="00F45848">
        <w:rPr>
          <w:rStyle w:val="normaltextrun"/>
          <w:rFonts w:ascii="Arial" w:hAnsi="Arial" w:cs="Arial"/>
          <w:color w:val="000000" w:themeColor="text1"/>
          <w:lang w:val="es-MX"/>
        </w:rPr>
        <w:t xml:space="preserve"> (</w:t>
      </w:r>
      <w:r w:rsidR="529D34FA" w:rsidRPr="00F45848">
        <w:rPr>
          <w:rStyle w:val="normaltextrun"/>
          <w:rFonts w:ascii="Arial" w:hAnsi="Arial" w:cs="Arial"/>
          <w:color w:val="000000" w:themeColor="text1"/>
          <w:lang w:val="es-MX"/>
        </w:rPr>
        <w:t>22</w:t>
      </w:r>
      <w:r w:rsidRPr="00F45848">
        <w:rPr>
          <w:rStyle w:val="normaltextrun"/>
          <w:rFonts w:ascii="Arial" w:hAnsi="Arial" w:cs="Arial"/>
          <w:color w:val="000000" w:themeColor="text1"/>
          <w:lang w:val="es-MX"/>
        </w:rPr>
        <w:t>) de noviembre de dos mil veintitrés (2023)</w:t>
      </w:r>
      <w:r w:rsidRPr="00F45848">
        <w:rPr>
          <w:rStyle w:val="eop"/>
          <w:rFonts w:ascii="Arial" w:hAnsi="Arial" w:cs="Arial"/>
          <w:color w:val="000000" w:themeColor="text1"/>
        </w:rPr>
        <w:t> </w:t>
      </w:r>
    </w:p>
    <w:p w14:paraId="7A570219" w14:textId="781EB37F" w:rsidR="00C37219" w:rsidRPr="00F45848" w:rsidRDefault="00C37219" w:rsidP="00F45848">
      <w:pPr>
        <w:pStyle w:val="paragraph"/>
        <w:spacing w:before="0" w:beforeAutospacing="0" w:after="0" w:afterAutospacing="0" w:line="276" w:lineRule="auto"/>
        <w:jc w:val="center"/>
        <w:textAlignment w:val="baseline"/>
        <w:rPr>
          <w:rFonts w:ascii="Arial" w:hAnsi="Arial" w:cs="Arial"/>
        </w:rPr>
      </w:pPr>
      <w:r w:rsidRPr="00F45848">
        <w:rPr>
          <w:rStyle w:val="normaltextrun"/>
          <w:rFonts w:ascii="Arial" w:hAnsi="Arial" w:cs="Arial"/>
          <w:lang w:val="es-ES"/>
        </w:rPr>
        <w:t xml:space="preserve">Acta número </w:t>
      </w:r>
      <w:r w:rsidR="1F225DC4" w:rsidRPr="00F45848">
        <w:rPr>
          <w:rStyle w:val="normaltextrun"/>
          <w:rFonts w:ascii="Arial" w:hAnsi="Arial" w:cs="Arial"/>
          <w:lang w:val="es-ES"/>
        </w:rPr>
        <w:t>186</w:t>
      </w:r>
      <w:r w:rsidRPr="00F45848">
        <w:rPr>
          <w:rStyle w:val="normaltextrun"/>
          <w:rFonts w:ascii="Arial" w:hAnsi="Arial" w:cs="Arial"/>
          <w:lang w:val="es-ES"/>
        </w:rPr>
        <w:t xml:space="preserve"> de </w:t>
      </w:r>
      <w:r w:rsidR="6438ABDD" w:rsidRPr="00F45848">
        <w:rPr>
          <w:rStyle w:val="normaltextrun"/>
          <w:rFonts w:ascii="Arial" w:hAnsi="Arial" w:cs="Arial"/>
          <w:lang w:val="es-ES"/>
        </w:rPr>
        <w:t>17</w:t>
      </w:r>
      <w:r w:rsidRPr="00F45848">
        <w:rPr>
          <w:rStyle w:val="normaltextrun"/>
          <w:rFonts w:ascii="Arial" w:hAnsi="Arial" w:cs="Arial"/>
          <w:lang w:val="es-ES"/>
        </w:rPr>
        <w:t>-11-2023</w:t>
      </w:r>
    </w:p>
    <w:p w14:paraId="63E4A9CD" w14:textId="77777777" w:rsidR="00C37219" w:rsidRPr="00F45848" w:rsidRDefault="00C37219" w:rsidP="00F45848">
      <w:pPr>
        <w:pStyle w:val="paragraph"/>
        <w:spacing w:before="0" w:beforeAutospacing="0" w:after="0" w:afterAutospacing="0" w:line="276" w:lineRule="auto"/>
        <w:jc w:val="both"/>
        <w:textAlignment w:val="baseline"/>
        <w:rPr>
          <w:rFonts w:ascii="Arial" w:hAnsi="Arial" w:cs="Arial"/>
        </w:rPr>
      </w:pPr>
      <w:r w:rsidRPr="00F45848">
        <w:rPr>
          <w:rStyle w:val="eop"/>
          <w:rFonts w:ascii="Arial" w:hAnsi="Arial" w:cs="Arial"/>
        </w:rPr>
        <w:t> </w:t>
      </w:r>
    </w:p>
    <w:p w14:paraId="033B7367" w14:textId="1096815E" w:rsidR="00C37219" w:rsidRPr="00F45848" w:rsidRDefault="00C37219" w:rsidP="00F45848">
      <w:pPr>
        <w:pStyle w:val="paragraph"/>
        <w:spacing w:before="0" w:beforeAutospacing="0" w:after="0" w:afterAutospacing="0" w:line="276" w:lineRule="auto"/>
        <w:jc w:val="both"/>
        <w:textAlignment w:val="baseline"/>
        <w:rPr>
          <w:rFonts w:ascii="Arial" w:hAnsi="Arial" w:cs="Arial"/>
          <w:b/>
          <w:bCs/>
        </w:rPr>
      </w:pPr>
      <w:r w:rsidRPr="00F45848">
        <w:rPr>
          <w:rStyle w:val="normaltextrun"/>
          <w:rFonts w:ascii="Arial" w:hAnsi="Arial" w:cs="Arial"/>
        </w:rPr>
        <w:t>Vencido el término para alegar otorgado a las partes, procede la Sala de Decisión Laboral del Tribunal Superior de Pereira a proferir sentencia con el propósito de</w:t>
      </w:r>
      <w:r w:rsidRPr="00F45848">
        <w:rPr>
          <w:rStyle w:val="normaltextrun"/>
          <w:rFonts w:ascii="Arial" w:hAnsi="Arial" w:cs="Arial"/>
          <w:color w:val="000000" w:themeColor="text1"/>
          <w:lang w:val="es-ES"/>
        </w:rPr>
        <w:t xml:space="preserve"> resolver el recurso de apelación presentado contra la sentencia p</w:t>
      </w:r>
      <w:r w:rsidRPr="00F45848">
        <w:rPr>
          <w:rStyle w:val="normaltextrun"/>
          <w:rFonts w:ascii="Arial" w:hAnsi="Arial" w:cs="Arial"/>
          <w:lang w:val="es-ES"/>
        </w:rPr>
        <w:t>roferida el 25 de julio de</w:t>
      </w:r>
      <w:r w:rsidRPr="00F45848">
        <w:rPr>
          <w:rStyle w:val="normaltextrun"/>
          <w:rFonts w:ascii="Arial" w:hAnsi="Arial" w:cs="Arial"/>
          <w:color w:val="000000" w:themeColor="text1"/>
          <w:lang w:val="es-ES"/>
        </w:rPr>
        <w:t xml:space="preserve"> 2023 por el Juzgado Cuarto Laboral del Circuito de Pereira, dentro del proceso </w:t>
      </w:r>
      <w:r w:rsidR="005D5265">
        <w:rPr>
          <w:rStyle w:val="normaltextrun"/>
          <w:rFonts w:ascii="Arial" w:hAnsi="Arial" w:cs="Arial"/>
          <w:b/>
          <w:color w:val="000000" w:themeColor="text1"/>
          <w:lang w:val="es-ES"/>
        </w:rPr>
        <w:lastRenderedPageBreak/>
        <w:t xml:space="preserve">ordinario laboral </w:t>
      </w:r>
      <w:r w:rsidRPr="00F45848">
        <w:rPr>
          <w:rStyle w:val="normaltextrun"/>
          <w:rFonts w:ascii="Arial" w:hAnsi="Arial" w:cs="Arial"/>
          <w:color w:val="000000" w:themeColor="text1"/>
          <w:lang w:val="es-ES"/>
        </w:rPr>
        <w:t>promovido por </w:t>
      </w:r>
      <w:r w:rsidRPr="00F45848">
        <w:rPr>
          <w:rStyle w:val="normaltextrun"/>
          <w:rFonts w:ascii="Arial" w:hAnsi="Arial" w:cs="Arial"/>
          <w:b/>
          <w:bCs/>
          <w:color w:val="000000" w:themeColor="text1"/>
          <w:lang w:val="es-ES"/>
        </w:rPr>
        <w:t xml:space="preserve">Óscar López Barco </w:t>
      </w:r>
      <w:r w:rsidRPr="005D5265">
        <w:rPr>
          <w:rStyle w:val="normaltextrun"/>
          <w:rFonts w:ascii="Arial" w:hAnsi="Arial" w:cs="Arial"/>
          <w:bCs/>
          <w:color w:val="000000" w:themeColor="text1"/>
          <w:lang w:val="es-ES"/>
        </w:rPr>
        <w:t>sucedido procesalmente por</w:t>
      </w:r>
      <w:r w:rsidRPr="00F45848">
        <w:rPr>
          <w:rStyle w:val="normaltextrun"/>
          <w:rFonts w:ascii="Arial" w:hAnsi="Arial" w:cs="Arial"/>
          <w:b/>
          <w:bCs/>
          <w:color w:val="000000" w:themeColor="text1"/>
          <w:lang w:val="es-ES"/>
        </w:rPr>
        <w:t xml:space="preserve"> Jairo, Adiela y Liliana López Castaño</w:t>
      </w:r>
      <w:r w:rsidRPr="00F45848">
        <w:rPr>
          <w:rStyle w:val="normaltextrun"/>
          <w:rFonts w:ascii="Arial" w:hAnsi="Arial" w:cs="Arial"/>
          <w:b/>
          <w:bCs/>
          <w:lang w:val="es-ES"/>
        </w:rPr>
        <w:t xml:space="preserve"> </w:t>
      </w:r>
      <w:r w:rsidRPr="00F45848">
        <w:rPr>
          <w:rStyle w:val="normaltextrun"/>
          <w:rFonts w:ascii="Arial" w:hAnsi="Arial" w:cs="Arial"/>
          <w:lang w:val="es-ES"/>
        </w:rPr>
        <w:t xml:space="preserve">contra </w:t>
      </w:r>
      <w:r w:rsidRPr="00F45848">
        <w:rPr>
          <w:rStyle w:val="normaltextrun"/>
          <w:rFonts w:ascii="Arial" w:hAnsi="Arial" w:cs="Arial"/>
          <w:b/>
          <w:bCs/>
          <w:lang w:val="es-ES"/>
        </w:rPr>
        <w:t>la Administradora Colombiana de Pensiones – Colpensiones.</w:t>
      </w:r>
    </w:p>
    <w:p w14:paraId="4F6584BE" w14:textId="77777777" w:rsidR="00C37219" w:rsidRPr="00F45848" w:rsidRDefault="00C37219" w:rsidP="00F45848">
      <w:pPr>
        <w:pStyle w:val="paragraph"/>
        <w:spacing w:before="0" w:beforeAutospacing="0" w:after="0" w:afterAutospacing="0" w:line="276" w:lineRule="auto"/>
        <w:jc w:val="both"/>
        <w:textAlignment w:val="baseline"/>
        <w:rPr>
          <w:rFonts w:ascii="Arial" w:hAnsi="Arial" w:cs="Arial"/>
        </w:rPr>
      </w:pPr>
      <w:r w:rsidRPr="00F45848">
        <w:rPr>
          <w:rStyle w:val="eop"/>
          <w:rFonts w:ascii="Arial" w:hAnsi="Arial" w:cs="Arial"/>
        </w:rPr>
        <w:t> </w:t>
      </w:r>
    </w:p>
    <w:p w14:paraId="0D85B761" w14:textId="77777777" w:rsidR="00C37219" w:rsidRPr="00F45848" w:rsidRDefault="00C37219" w:rsidP="00F45848">
      <w:pPr>
        <w:pStyle w:val="paragraph"/>
        <w:spacing w:before="0" w:beforeAutospacing="0" w:after="0" w:afterAutospacing="0" w:line="276" w:lineRule="auto"/>
        <w:jc w:val="both"/>
        <w:textAlignment w:val="baseline"/>
        <w:rPr>
          <w:rFonts w:ascii="Arial" w:hAnsi="Arial" w:cs="Arial"/>
        </w:rPr>
      </w:pPr>
      <w:r w:rsidRPr="00F45848">
        <w:rPr>
          <w:rFonts w:ascii="Arial" w:hAnsi="Arial" w:cs="Arial"/>
        </w:rPr>
        <w:t>Recurso que fue repartido a esta Colegiatura el 08 de agosto de 2023.</w:t>
      </w:r>
    </w:p>
    <w:p w14:paraId="41C8F396" w14:textId="77777777" w:rsidR="00530FFD" w:rsidRPr="00F45848" w:rsidRDefault="00530FFD" w:rsidP="00F45848">
      <w:pPr>
        <w:spacing w:line="276" w:lineRule="auto"/>
        <w:ind w:firstLine="851"/>
        <w:contextualSpacing/>
        <w:jc w:val="center"/>
        <w:rPr>
          <w:rFonts w:ascii="Arial" w:hAnsi="Arial" w:cs="Arial"/>
          <w:b/>
          <w:bCs/>
          <w:szCs w:val="24"/>
        </w:rPr>
      </w:pPr>
    </w:p>
    <w:p w14:paraId="2B133F43" w14:textId="77777777" w:rsidR="003371E3" w:rsidRPr="00F45848" w:rsidRDefault="003371E3" w:rsidP="00F45848">
      <w:pPr>
        <w:spacing w:line="276" w:lineRule="auto"/>
        <w:ind w:firstLine="851"/>
        <w:contextualSpacing/>
        <w:jc w:val="center"/>
        <w:rPr>
          <w:rFonts w:ascii="Arial" w:hAnsi="Arial" w:cs="Arial"/>
          <w:b/>
          <w:bCs/>
          <w:szCs w:val="24"/>
        </w:rPr>
      </w:pPr>
      <w:r w:rsidRPr="00F45848">
        <w:rPr>
          <w:rFonts w:ascii="Arial" w:hAnsi="Arial" w:cs="Arial"/>
          <w:b/>
          <w:bCs/>
          <w:szCs w:val="24"/>
        </w:rPr>
        <w:t>ANTECEDENTES:</w:t>
      </w:r>
    </w:p>
    <w:p w14:paraId="72A3D3EC" w14:textId="77777777" w:rsidR="003371E3" w:rsidRPr="00F45848" w:rsidRDefault="003371E3" w:rsidP="00F45848">
      <w:pPr>
        <w:pStyle w:val="Sinespaciado"/>
        <w:spacing w:line="276" w:lineRule="auto"/>
        <w:contextualSpacing/>
        <w:rPr>
          <w:rFonts w:ascii="Arial" w:hAnsi="Arial" w:cs="Arial"/>
          <w:sz w:val="24"/>
          <w:szCs w:val="24"/>
        </w:rPr>
      </w:pPr>
    </w:p>
    <w:p w14:paraId="47895ADB" w14:textId="77777777" w:rsidR="003371E3" w:rsidRPr="00F45848" w:rsidRDefault="00966D44" w:rsidP="00F45848">
      <w:pPr>
        <w:spacing w:line="276" w:lineRule="auto"/>
        <w:jc w:val="both"/>
        <w:rPr>
          <w:rFonts w:ascii="Arial" w:hAnsi="Arial" w:cs="Arial"/>
          <w:b/>
          <w:bCs/>
          <w:szCs w:val="24"/>
        </w:rPr>
      </w:pPr>
      <w:r w:rsidRPr="00F45848">
        <w:rPr>
          <w:rFonts w:ascii="Arial" w:hAnsi="Arial" w:cs="Arial"/>
          <w:b/>
          <w:bCs/>
          <w:szCs w:val="24"/>
        </w:rPr>
        <w:t xml:space="preserve">1. </w:t>
      </w:r>
      <w:r w:rsidR="003371E3" w:rsidRPr="00F45848">
        <w:rPr>
          <w:rFonts w:ascii="Arial" w:hAnsi="Arial" w:cs="Arial"/>
          <w:b/>
          <w:bCs/>
          <w:szCs w:val="24"/>
        </w:rPr>
        <w:t>Síntesis de la demanda y su contestación</w:t>
      </w:r>
    </w:p>
    <w:p w14:paraId="0D0B940D" w14:textId="77777777" w:rsidR="00966D44" w:rsidRPr="00F45848" w:rsidRDefault="00966D44" w:rsidP="00F45848">
      <w:pPr>
        <w:spacing w:line="276" w:lineRule="auto"/>
        <w:jc w:val="both"/>
        <w:rPr>
          <w:rFonts w:ascii="Arial" w:hAnsi="Arial" w:cs="Arial"/>
          <w:szCs w:val="24"/>
        </w:rPr>
      </w:pPr>
    </w:p>
    <w:p w14:paraId="7871B219" w14:textId="0BC4CBED" w:rsidR="006E0A69" w:rsidRPr="00F45848" w:rsidRDefault="006E0A69" w:rsidP="00F45848">
      <w:pPr>
        <w:spacing w:line="276" w:lineRule="auto"/>
        <w:jc w:val="both"/>
        <w:rPr>
          <w:rFonts w:ascii="Arial" w:hAnsi="Arial" w:cs="Arial"/>
          <w:szCs w:val="24"/>
        </w:rPr>
      </w:pPr>
      <w:r w:rsidRPr="00F45848">
        <w:rPr>
          <w:rFonts w:ascii="Arial" w:hAnsi="Arial" w:cs="Arial"/>
          <w:szCs w:val="24"/>
        </w:rPr>
        <w:t>Óscar López Barco pretende que se declare que tiene derecho a la indexación de los salarios base de las últimas 100 semanas cotizadas (</w:t>
      </w:r>
      <w:r w:rsidR="00D85220" w:rsidRPr="00F45848">
        <w:rPr>
          <w:rFonts w:ascii="Arial" w:hAnsi="Arial" w:cs="Arial"/>
          <w:szCs w:val="24"/>
        </w:rPr>
        <w:t>“</w:t>
      </w:r>
      <w:r w:rsidRPr="00F45848">
        <w:rPr>
          <w:rFonts w:ascii="Arial" w:hAnsi="Arial" w:cs="Arial"/>
          <w:szCs w:val="24"/>
        </w:rPr>
        <w:t>31/01/1992</w:t>
      </w:r>
      <w:r w:rsidR="00D85220" w:rsidRPr="00F45848">
        <w:rPr>
          <w:rFonts w:ascii="Arial" w:hAnsi="Arial" w:cs="Arial"/>
          <w:szCs w:val="24"/>
        </w:rPr>
        <w:t>”</w:t>
      </w:r>
      <w:r w:rsidRPr="00F45848">
        <w:rPr>
          <w:rFonts w:ascii="Arial" w:hAnsi="Arial" w:cs="Arial"/>
          <w:szCs w:val="24"/>
        </w:rPr>
        <w:t xml:space="preserve"> </w:t>
      </w:r>
      <w:r w:rsidR="00D85220" w:rsidRPr="00F45848">
        <w:rPr>
          <w:rFonts w:ascii="Arial" w:hAnsi="Arial" w:cs="Arial"/>
          <w:szCs w:val="24"/>
        </w:rPr>
        <w:t>–sic</w:t>
      </w:r>
      <w:r w:rsidR="005D5265">
        <w:rPr>
          <w:rFonts w:ascii="Arial" w:hAnsi="Arial" w:cs="Arial"/>
          <w:szCs w:val="24"/>
        </w:rPr>
        <w:t>–</w:t>
      </w:r>
      <w:r w:rsidR="00D85220" w:rsidRPr="00F45848">
        <w:rPr>
          <w:rFonts w:ascii="Arial" w:hAnsi="Arial" w:cs="Arial"/>
          <w:szCs w:val="24"/>
        </w:rPr>
        <w:t xml:space="preserve"> </w:t>
      </w:r>
      <w:r w:rsidRPr="00F45848">
        <w:rPr>
          <w:rFonts w:ascii="Arial" w:hAnsi="Arial" w:cs="Arial"/>
          <w:szCs w:val="24"/>
        </w:rPr>
        <w:t xml:space="preserve">a 30/12/1992) previas a la fecha de reconocimiento de la pensión de vejez (30/12/1992) dado por Colpensiones. Además, que se reconozca que su IBL corresponde a $99.994 que </w:t>
      </w:r>
      <w:r w:rsidR="2F66A270" w:rsidRPr="00F45848">
        <w:rPr>
          <w:rFonts w:ascii="Arial" w:hAnsi="Arial" w:cs="Arial"/>
          <w:szCs w:val="24"/>
        </w:rPr>
        <w:t>resulta</w:t>
      </w:r>
      <w:r w:rsidRPr="00F45848">
        <w:rPr>
          <w:rFonts w:ascii="Arial" w:hAnsi="Arial" w:cs="Arial"/>
          <w:szCs w:val="24"/>
        </w:rPr>
        <w:t xml:space="preserve"> </w:t>
      </w:r>
      <w:r w:rsidR="22F13F37" w:rsidRPr="00F45848">
        <w:rPr>
          <w:rFonts w:ascii="Arial" w:hAnsi="Arial" w:cs="Arial"/>
          <w:szCs w:val="24"/>
        </w:rPr>
        <w:t>de</w:t>
      </w:r>
      <w:r w:rsidRPr="00F45848">
        <w:rPr>
          <w:rFonts w:ascii="Arial" w:hAnsi="Arial" w:cs="Arial"/>
          <w:szCs w:val="24"/>
        </w:rPr>
        <w:t xml:space="preserve">l promedio de los IBC de las </w:t>
      </w:r>
      <w:r w:rsidR="3A28A989" w:rsidRPr="00F45848">
        <w:rPr>
          <w:rFonts w:ascii="Arial" w:hAnsi="Arial" w:cs="Arial"/>
          <w:szCs w:val="24"/>
        </w:rPr>
        <w:t>ú</w:t>
      </w:r>
      <w:r w:rsidRPr="00F45848">
        <w:rPr>
          <w:rFonts w:ascii="Arial" w:hAnsi="Arial" w:cs="Arial"/>
          <w:szCs w:val="24"/>
        </w:rPr>
        <w:t xml:space="preserve">ltimas 100 semanas debidamente indexadas. Solicitó que su IBL </w:t>
      </w:r>
      <w:r w:rsidR="0CDD1842" w:rsidRPr="00F45848">
        <w:rPr>
          <w:rFonts w:ascii="Arial" w:hAnsi="Arial" w:cs="Arial"/>
          <w:szCs w:val="24"/>
        </w:rPr>
        <w:t xml:space="preserve">pase </w:t>
      </w:r>
      <w:r w:rsidRPr="00F45848">
        <w:rPr>
          <w:rFonts w:ascii="Arial" w:hAnsi="Arial" w:cs="Arial"/>
          <w:szCs w:val="24"/>
        </w:rPr>
        <w:t>de $90.761 a $99.994</w:t>
      </w:r>
      <w:r w:rsidR="341B6A39" w:rsidRPr="00F45848">
        <w:rPr>
          <w:rFonts w:ascii="Arial" w:hAnsi="Arial" w:cs="Arial"/>
          <w:szCs w:val="24"/>
        </w:rPr>
        <w:t xml:space="preserve">, este último guarismo </w:t>
      </w:r>
      <w:r w:rsidRPr="00F45848">
        <w:rPr>
          <w:rFonts w:ascii="Arial" w:hAnsi="Arial" w:cs="Arial"/>
          <w:szCs w:val="24"/>
        </w:rPr>
        <w:t>al que debe aplicársele una tasa de reemplazo de 87%, de ahí que su primera mesada pensional debe ser igual a $86.995 a partir del 30/12/1992 y que la mesada pensional para el año 2020 es igual a $918.230.</w:t>
      </w:r>
    </w:p>
    <w:p w14:paraId="0E27B00A" w14:textId="77777777" w:rsidR="00E46A1C" w:rsidRPr="00F45848" w:rsidRDefault="00E46A1C" w:rsidP="00F45848">
      <w:pPr>
        <w:spacing w:line="276" w:lineRule="auto"/>
        <w:jc w:val="both"/>
        <w:rPr>
          <w:rFonts w:ascii="Arial" w:hAnsi="Arial" w:cs="Arial"/>
          <w:szCs w:val="24"/>
        </w:rPr>
      </w:pPr>
    </w:p>
    <w:p w14:paraId="6A187445" w14:textId="5D25057A" w:rsidR="00E46A1C" w:rsidRPr="00F45848" w:rsidRDefault="00E46A1C" w:rsidP="00F45848">
      <w:pPr>
        <w:spacing w:line="276" w:lineRule="auto"/>
        <w:jc w:val="both"/>
        <w:rPr>
          <w:rFonts w:ascii="Arial" w:hAnsi="Arial" w:cs="Arial"/>
          <w:szCs w:val="24"/>
        </w:rPr>
      </w:pPr>
      <w:r w:rsidRPr="00F45848">
        <w:rPr>
          <w:rFonts w:ascii="Arial" w:hAnsi="Arial" w:cs="Arial"/>
          <w:szCs w:val="24"/>
        </w:rPr>
        <w:t>Como fundamento para dichas pretensiones argumentó que: i) cotizó al ISS desde el 01/03/1967 a 15/01/1993 un total de 1.184 semanas, pero revisada la historia laboral tipo CAN tiene un total de 1.242 semanas</w:t>
      </w:r>
      <w:r w:rsidR="00565DFC" w:rsidRPr="00F45848">
        <w:rPr>
          <w:rFonts w:ascii="Arial" w:hAnsi="Arial" w:cs="Arial"/>
          <w:szCs w:val="24"/>
        </w:rPr>
        <w:t xml:space="preserve">; ii) el ISS </w:t>
      </w:r>
      <w:r w:rsidR="2BFFD21E" w:rsidRPr="00F45848">
        <w:rPr>
          <w:rFonts w:ascii="Arial" w:hAnsi="Arial" w:cs="Arial"/>
          <w:szCs w:val="24"/>
        </w:rPr>
        <w:t xml:space="preserve">le </w:t>
      </w:r>
      <w:r w:rsidR="00565DFC" w:rsidRPr="00F45848">
        <w:rPr>
          <w:rFonts w:ascii="Arial" w:hAnsi="Arial" w:cs="Arial"/>
          <w:szCs w:val="24"/>
        </w:rPr>
        <w:t>reconoció</w:t>
      </w:r>
      <w:r w:rsidR="1967A2DC" w:rsidRPr="00F45848">
        <w:rPr>
          <w:rFonts w:ascii="Arial" w:hAnsi="Arial" w:cs="Arial"/>
          <w:szCs w:val="24"/>
        </w:rPr>
        <w:t xml:space="preserve"> la</w:t>
      </w:r>
      <w:r w:rsidR="00565DFC" w:rsidRPr="00F45848">
        <w:rPr>
          <w:rFonts w:ascii="Arial" w:hAnsi="Arial" w:cs="Arial"/>
          <w:szCs w:val="24"/>
        </w:rPr>
        <w:t xml:space="preserve"> pensión de vejez en </w:t>
      </w:r>
      <w:r w:rsidR="76A3D16A" w:rsidRPr="00F45848">
        <w:rPr>
          <w:rFonts w:ascii="Arial" w:hAnsi="Arial" w:cs="Arial"/>
          <w:szCs w:val="24"/>
        </w:rPr>
        <w:t xml:space="preserve">la </w:t>
      </w:r>
      <w:r w:rsidR="00565DFC" w:rsidRPr="00F45848">
        <w:rPr>
          <w:rFonts w:ascii="Arial" w:hAnsi="Arial" w:cs="Arial"/>
          <w:szCs w:val="24"/>
        </w:rPr>
        <w:t>Resolución No. 04605 del 16/12/1992</w:t>
      </w:r>
      <w:r w:rsidR="643E20EB" w:rsidRPr="00F45848">
        <w:rPr>
          <w:rFonts w:ascii="Arial" w:hAnsi="Arial" w:cs="Arial"/>
          <w:szCs w:val="24"/>
        </w:rPr>
        <w:t>,</w:t>
      </w:r>
      <w:r w:rsidR="00565DFC" w:rsidRPr="00F45848">
        <w:rPr>
          <w:rFonts w:ascii="Arial" w:hAnsi="Arial" w:cs="Arial"/>
          <w:szCs w:val="24"/>
        </w:rPr>
        <w:t xml:space="preserve"> con fundamento en el Acuerdo 049/1990</w:t>
      </w:r>
      <w:r w:rsidR="737187CE" w:rsidRPr="00F45848">
        <w:rPr>
          <w:rFonts w:ascii="Arial" w:hAnsi="Arial" w:cs="Arial"/>
          <w:szCs w:val="24"/>
        </w:rPr>
        <w:t>,</w:t>
      </w:r>
      <w:r w:rsidR="00565DFC" w:rsidRPr="00F45848">
        <w:rPr>
          <w:rFonts w:ascii="Arial" w:hAnsi="Arial" w:cs="Arial"/>
          <w:szCs w:val="24"/>
        </w:rPr>
        <w:t xml:space="preserve"> a partir del 30/12/1992; iii) el IBL hallado fue de $90.761 teniendo en cuenta los IBC de las últimas 100 semanas, con 1239 semanas y una tasa de reemplazo de 87%</w:t>
      </w:r>
      <w:r w:rsidR="07935CB8" w:rsidRPr="00F45848">
        <w:rPr>
          <w:rFonts w:ascii="Arial" w:hAnsi="Arial" w:cs="Arial"/>
          <w:szCs w:val="24"/>
        </w:rPr>
        <w:t>,</w:t>
      </w:r>
      <w:r w:rsidR="00565DFC" w:rsidRPr="00F45848">
        <w:rPr>
          <w:rFonts w:ascii="Arial" w:hAnsi="Arial" w:cs="Arial"/>
          <w:szCs w:val="24"/>
        </w:rPr>
        <w:t xml:space="preserve"> que arrojó una mesada pensional de $78.962 a partir del 30/12/1993; iv) el extinto ISS no indexó los salarios base de cotización de las últimas 100 semanas a la fecha de reconocimiento pensional que van del 31/01/1991 al 30/12/1992; v) de haberlo hecho el IBL era de $99.994 y aplicada una tasa de reemplazo de 87% por 1239 semanas arrojaría una mesada de $86.995.</w:t>
      </w:r>
      <w:r w:rsidRPr="00F45848">
        <w:rPr>
          <w:rFonts w:ascii="Arial" w:hAnsi="Arial" w:cs="Arial"/>
          <w:szCs w:val="24"/>
        </w:rPr>
        <w:t xml:space="preserve"> </w:t>
      </w:r>
    </w:p>
    <w:p w14:paraId="60061E4C" w14:textId="77777777" w:rsidR="006E0A69" w:rsidRPr="00F45848" w:rsidRDefault="006E0A69" w:rsidP="00F45848">
      <w:pPr>
        <w:spacing w:line="276" w:lineRule="auto"/>
        <w:jc w:val="both"/>
        <w:rPr>
          <w:rFonts w:ascii="Arial" w:hAnsi="Arial" w:cs="Arial"/>
          <w:szCs w:val="24"/>
        </w:rPr>
      </w:pPr>
    </w:p>
    <w:p w14:paraId="74328E5F" w14:textId="77777777" w:rsidR="005C3850" w:rsidRPr="00F45848" w:rsidRDefault="00565DFC" w:rsidP="00F45848">
      <w:pPr>
        <w:spacing w:line="276" w:lineRule="auto"/>
        <w:jc w:val="both"/>
        <w:rPr>
          <w:rFonts w:ascii="Arial" w:hAnsi="Arial" w:cs="Arial"/>
          <w:szCs w:val="24"/>
        </w:rPr>
      </w:pPr>
      <w:r w:rsidRPr="00F45848">
        <w:rPr>
          <w:rFonts w:ascii="Arial" w:hAnsi="Arial" w:cs="Arial"/>
          <w:szCs w:val="24"/>
        </w:rPr>
        <w:t xml:space="preserve">La </w:t>
      </w:r>
      <w:r w:rsidR="00591F75" w:rsidRPr="00F45848">
        <w:rPr>
          <w:rFonts w:ascii="Arial" w:hAnsi="Arial" w:cs="Arial"/>
          <w:b/>
          <w:bCs/>
          <w:szCs w:val="24"/>
        </w:rPr>
        <w:t xml:space="preserve">Administradora </w:t>
      </w:r>
      <w:r w:rsidR="0003196A" w:rsidRPr="00F45848">
        <w:rPr>
          <w:rFonts w:ascii="Arial" w:hAnsi="Arial" w:cs="Arial"/>
          <w:b/>
          <w:bCs/>
          <w:szCs w:val="24"/>
        </w:rPr>
        <w:t>Colombiana de Pensiones -</w:t>
      </w:r>
      <w:r w:rsidRPr="00F45848">
        <w:rPr>
          <w:rFonts w:ascii="Arial" w:hAnsi="Arial" w:cs="Arial"/>
          <w:b/>
          <w:bCs/>
          <w:szCs w:val="24"/>
        </w:rPr>
        <w:t>Colpensiones</w:t>
      </w:r>
      <w:r w:rsidR="0003196A" w:rsidRPr="00F45848">
        <w:rPr>
          <w:rFonts w:ascii="Arial" w:hAnsi="Arial" w:cs="Arial"/>
          <w:szCs w:val="24"/>
        </w:rPr>
        <w:t>-</w:t>
      </w:r>
      <w:r w:rsidRPr="00F45848">
        <w:rPr>
          <w:rFonts w:ascii="Arial" w:hAnsi="Arial" w:cs="Arial"/>
          <w:szCs w:val="24"/>
        </w:rPr>
        <w:t xml:space="preserve"> al contestar la demanda se opuso a la totalidad de las pretensiones</w:t>
      </w:r>
      <w:r w:rsidR="00D13AA3" w:rsidRPr="00F45848">
        <w:rPr>
          <w:rFonts w:ascii="Arial" w:hAnsi="Arial" w:cs="Arial"/>
          <w:szCs w:val="24"/>
        </w:rPr>
        <w:t xml:space="preserve"> de la demanda</w:t>
      </w:r>
      <w:r w:rsidRPr="00F45848">
        <w:rPr>
          <w:rFonts w:ascii="Arial" w:hAnsi="Arial" w:cs="Arial"/>
          <w:szCs w:val="24"/>
        </w:rPr>
        <w:t xml:space="preserve"> para lo cual argumentó que </w:t>
      </w:r>
      <w:r w:rsidR="006C4F12" w:rsidRPr="00F45848">
        <w:rPr>
          <w:rFonts w:ascii="Arial" w:hAnsi="Arial" w:cs="Arial"/>
          <w:szCs w:val="24"/>
        </w:rPr>
        <w:t xml:space="preserve">no había lugar a indexar los valores pretendidos, puesto que el ISS realizó los cálculos aritméticos óptimos para el reconocimiento del derecho. Presentó como medios de defensa </w:t>
      </w:r>
      <w:r w:rsidR="0024524B" w:rsidRPr="00F45848">
        <w:rPr>
          <w:rFonts w:ascii="Arial" w:hAnsi="Arial" w:cs="Arial"/>
          <w:szCs w:val="24"/>
        </w:rPr>
        <w:t>l</w:t>
      </w:r>
      <w:r w:rsidR="006C4F12" w:rsidRPr="00F45848">
        <w:rPr>
          <w:rFonts w:ascii="Arial" w:hAnsi="Arial" w:cs="Arial"/>
          <w:szCs w:val="24"/>
        </w:rPr>
        <w:t>o</w:t>
      </w:r>
      <w:r w:rsidR="004A0EB9" w:rsidRPr="00F45848">
        <w:rPr>
          <w:rFonts w:ascii="Arial" w:hAnsi="Arial" w:cs="Arial"/>
          <w:szCs w:val="24"/>
        </w:rPr>
        <w:t xml:space="preserve">s que </w:t>
      </w:r>
      <w:r w:rsidR="00495F0F" w:rsidRPr="00F45848">
        <w:rPr>
          <w:rFonts w:ascii="Arial" w:hAnsi="Arial" w:cs="Arial"/>
          <w:szCs w:val="24"/>
        </w:rPr>
        <w:t>denominó “inexistencia de la obligación”, “</w:t>
      </w:r>
      <w:r w:rsidR="006C4F12" w:rsidRPr="00F45848">
        <w:rPr>
          <w:rFonts w:ascii="Arial" w:hAnsi="Arial" w:cs="Arial"/>
          <w:szCs w:val="24"/>
        </w:rPr>
        <w:t>buena fe</w:t>
      </w:r>
      <w:r w:rsidR="00495F0F" w:rsidRPr="00F45848">
        <w:rPr>
          <w:rFonts w:ascii="Arial" w:hAnsi="Arial" w:cs="Arial"/>
          <w:szCs w:val="24"/>
        </w:rPr>
        <w:t>” y “prescripción”.</w:t>
      </w:r>
    </w:p>
    <w:p w14:paraId="44EAFD9C" w14:textId="77777777" w:rsidR="00474E2F" w:rsidRPr="00F45848" w:rsidRDefault="00474E2F" w:rsidP="00F45848">
      <w:pPr>
        <w:spacing w:line="276" w:lineRule="auto"/>
        <w:jc w:val="both"/>
        <w:rPr>
          <w:rFonts w:ascii="Arial" w:hAnsi="Arial" w:cs="Arial"/>
          <w:szCs w:val="24"/>
        </w:rPr>
      </w:pPr>
    </w:p>
    <w:p w14:paraId="07C9E9BE" w14:textId="77777777" w:rsidR="003371E3" w:rsidRPr="00F45848" w:rsidRDefault="003371E3" w:rsidP="00F45848">
      <w:pPr>
        <w:spacing w:line="276" w:lineRule="auto"/>
        <w:rPr>
          <w:rFonts w:ascii="Arial" w:hAnsi="Arial" w:cs="Arial"/>
          <w:b/>
          <w:bCs/>
          <w:szCs w:val="24"/>
        </w:rPr>
      </w:pPr>
      <w:r w:rsidRPr="00F45848">
        <w:rPr>
          <w:rFonts w:ascii="Arial" w:hAnsi="Arial" w:cs="Arial"/>
          <w:b/>
          <w:bCs/>
          <w:szCs w:val="24"/>
        </w:rPr>
        <w:t xml:space="preserve">2. </w:t>
      </w:r>
      <w:r w:rsidR="00241347" w:rsidRPr="00F45848">
        <w:rPr>
          <w:rFonts w:ascii="Arial" w:hAnsi="Arial" w:cs="Arial"/>
          <w:b/>
          <w:bCs/>
          <w:szCs w:val="24"/>
        </w:rPr>
        <w:t>Síntesis de la sentencia</w:t>
      </w:r>
      <w:r w:rsidR="00C16716" w:rsidRPr="00F45848">
        <w:rPr>
          <w:rFonts w:ascii="Arial" w:hAnsi="Arial" w:cs="Arial"/>
          <w:b/>
          <w:bCs/>
          <w:szCs w:val="24"/>
        </w:rPr>
        <w:t xml:space="preserve"> consultada</w:t>
      </w:r>
    </w:p>
    <w:p w14:paraId="4B94D5A5" w14:textId="77777777" w:rsidR="00226D5F" w:rsidRPr="00F45848" w:rsidRDefault="00226D5F" w:rsidP="00F45848">
      <w:pPr>
        <w:pStyle w:val="Sinespaciado"/>
        <w:spacing w:line="276" w:lineRule="auto"/>
        <w:rPr>
          <w:rFonts w:ascii="Arial" w:hAnsi="Arial" w:cs="Arial"/>
          <w:sz w:val="24"/>
          <w:szCs w:val="24"/>
        </w:rPr>
      </w:pPr>
    </w:p>
    <w:p w14:paraId="4D9CFB28" w14:textId="77777777" w:rsidR="001C7271" w:rsidRPr="00F45848" w:rsidRDefault="00226D5F" w:rsidP="00F45848">
      <w:pPr>
        <w:spacing w:line="276" w:lineRule="auto"/>
        <w:jc w:val="both"/>
        <w:rPr>
          <w:rFonts w:ascii="Arial" w:hAnsi="Arial" w:cs="Arial"/>
          <w:color w:val="000000"/>
          <w:szCs w:val="24"/>
          <w:lang w:eastAsia="es-CO"/>
        </w:rPr>
      </w:pPr>
      <w:r w:rsidRPr="00F45848">
        <w:rPr>
          <w:rFonts w:ascii="Arial" w:hAnsi="Arial" w:cs="Arial"/>
          <w:color w:val="000000" w:themeColor="text1"/>
          <w:szCs w:val="24"/>
          <w:lang w:eastAsia="es-CO"/>
        </w:rPr>
        <w:t xml:space="preserve">El </w:t>
      </w:r>
      <w:r w:rsidR="006C4F12" w:rsidRPr="00F45848">
        <w:rPr>
          <w:rFonts w:ascii="Arial" w:hAnsi="Arial" w:cs="Arial"/>
          <w:color w:val="000000" w:themeColor="text1"/>
          <w:szCs w:val="24"/>
          <w:lang w:eastAsia="es-CO"/>
        </w:rPr>
        <w:t>Juzgado Cuarto</w:t>
      </w:r>
      <w:r w:rsidR="00EF6D99" w:rsidRPr="00F45848">
        <w:rPr>
          <w:rFonts w:ascii="Arial" w:hAnsi="Arial" w:cs="Arial"/>
          <w:color w:val="000000" w:themeColor="text1"/>
          <w:szCs w:val="24"/>
          <w:lang w:eastAsia="es-CO"/>
        </w:rPr>
        <w:t xml:space="preserve"> </w:t>
      </w:r>
      <w:r w:rsidRPr="00F45848">
        <w:rPr>
          <w:rFonts w:ascii="Arial" w:hAnsi="Arial" w:cs="Arial"/>
          <w:color w:val="000000" w:themeColor="text1"/>
          <w:szCs w:val="24"/>
          <w:lang w:eastAsia="es-CO"/>
        </w:rPr>
        <w:t>Laboral del Circuito de Pereira</w:t>
      </w:r>
      <w:r w:rsidR="002C313D" w:rsidRPr="00F45848">
        <w:rPr>
          <w:rFonts w:ascii="Arial" w:hAnsi="Arial" w:cs="Arial"/>
          <w:color w:val="000000" w:themeColor="text1"/>
          <w:szCs w:val="24"/>
          <w:lang w:eastAsia="es-CO"/>
        </w:rPr>
        <w:t xml:space="preserve"> </w:t>
      </w:r>
      <w:r w:rsidR="00EF6D99" w:rsidRPr="00F45848">
        <w:rPr>
          <w:rFonts w:ascii="Arial" w:hAnsi="Arial" w:cs="Arial"/>
          <w:color w:val="000000" w:themeColor="text1"/>
          <w:szCs w:val="24"/>
          <w:lang w:eastAsia="es-CO"/>
        </w:rPr>
        <w:t>declaró probada la excepción de inexistencia de la obligación</w:t>
      </w:r>
      <w:r w:rsidR="00251C28" w:rsidRPr="00F45848">
        <w:rPr>
          <w:rFonts w:ascii="Arial" w:hAnsi="Arial" w:cs="Arial"/>
          <w:color w:val="000000" w:themeColor="text1"/>
          <w:szCs w:val="24"/>
          <w:lang w:eastAsia="es-CO"/>
        </w:rPr>
        <w:t>,</w:t>
      </w:r>
      <w:r w:rsidR="00EF6D99" w:rsidRPr="00F45848">
        <w:rPr>
          <w:rFonts w:ascii="Arial" w:hAnsi="Arial" w:cs="Arial"/>
          <w:color w:val="000000" w:themeColor="text1"/>
          <w:szCs w:val="24"/>
          <w:lang w:eastAsia="es-CO"/>
        </w:rPr>
        <w:t xml:space="preserve"> negó las pretensiones de la demanda y condenó en costas a la parte actora.</w:t>
      </w:r>
    </w:p>
    <w:p w14:paraId="3DEEC669" w14:textId="77777777" w:rsidR="00EF6D99" w:rsidRPr="00F45848" w:rsidRDefault="00EF6D99" w:rsidP="00F45848">
      <w:pPr>
        <w:spacing w:line="276" w:lineRule="auto"/>
        <w:jc w:val="both"/>
        <w:rPr>
          <w:rFonts w:ascii="Arial" w:hAnsi="Arial" w:cs="Arial"/>
          <w:color w:val="000000"/>
          <w:szCs w:val="24"/>
          <w:lang w:eastAsia="es-CO"/>
        </w:rPr>
      </w:pPr>
    </w:p>
    <w:p w14:paraId="7CC22CCA" w14:textId="3F2EE504" w:rsidR="006C4F12" w:rsidRPr="00F45848" w:rsidRDefault="00EF6D99" w:rsidP="00F45848">
      <w:pPr>
        <w:spacing w:line="276" w:lineRule="auto"/>
        <w:jc w:val="both"/>
        <w:rPr>
          <w:rFonts w:ascii="Arial" w:hAnsi="Arial" w:cs="Arial"/>
          <w:color w:val="000000" w:themeColor="text1"/>
          <w:szCs w:val="24"/>
          <w:lang w:eastAsia="es-CO"/>
        </w:rPr>
      </w:pPr>
      <w:r w:rsidRPr="00F45848">
        <w:rPr>
          <w:rFonts w:ascii="Arial" w:hAnsi="Arial" w:cs="Arial"/>
          <w:color w:val="000000" w:themeColor="text1"/>
          <w:szCs w:val="24"/>
          <w:lang w:eastAsia="es-CO"/>
        </w:rPr>
        <w:t>Para</w:t>
      </w:r>
      <w:r w:rsidR="0030780B" w:rsidRPr="00F45848">
        <w:rPr>
          <w:rFonts w:ascii="Arial" w:hAnsi="Arial" w:cs="Arial"/>
          <w:color w:val="000000" w:themeColor="text1"/>
          <w:szCs w:val="24"/>
          <w:lang w:eastAsia="es-CO"/>
        </w:rPr>
        <w:t xml:space="preserve"> arribar a la anterior decisión</w:t>
      </w:r>
      <w:r w:rsidR="006C4F12" w:rsidRPr="00F45848">
        <w:rPr>
          <w:rFonts w:ascii="Arial" w:hAnsi="Arial" w:cs="Arial"/>
          <w:color w:val="000000" w:themeColor="text1"/>
          <w:szCs w:val="24"/>
          <w:lang w:eastAsia="es-CO"/>
        </w:rPr>
        <w:t xml:space="preserve"> argumentó que conforme a la jurisprudencia de la Sala Laboral de la Corte Suprema de Justicia no hay lugar a reconocer la indexación pretendida porque fue reconocida en vigencia del Acuerdo 049/1990, que contiene </w:t>
      </w:r>
      <w:r w:rsidR="006C4F12" w:rsidRPr="00F45848">
        <w:rPr>
          <w:rFonts w:ascii="Arial" w:hAnsi="Arial" w:cs="Arial"/>
          <w:color w:val="000000" w:themeColor="text1"/>
          <w:szCs w:val="24"/>
          <w:lang w:eastAsia="es-CO"/>
        </w:rPr>
        <w:lastRenderedPageBreak/>
        <w:t xml:space="preserve">reglas propias para la liquidación de la prestación consistente en </w:t>
      </w:r>
      <w:r w:rsidR="00722CD7" w:rsidRPr="00F45848">
        <w:rPr>
          <w:rFonts w:ascii="Arial" w:hAnsi="Arial" w:cs="Arial"/>
          <w:color w:val="000000" w:themeColor="text1"/>
          <w:szCs w:val="24"/>
          <w:lang w:eastAsia="es-CO"/>
        </w:rPr>
        <w:t xml:space="preserve">la aplicación del factor 4.33 a la sumatoria de las últimas 100 semanas de cotización. </w:t>
      </w:r>
    </w:p>
    <w:p w14:paraId="636021DD" w14:textId="08C979AD" w:rsidR="5948F4F7" w:rsidRPr="00F45848" w:rsidRDefault="5948F4F7" w:rsidP="00F45848">
      <w:pPr>
        <w:spacing w:line="276" w:lineRule="auto"/>
        <w:jc w:val="both"/>
        <w:rPr>
          <w:rFonts w:ascii="Arial" w:hAnsi="Arial" w:cs="Arial"/>
          <w:color w:val="000000" w:themeColor="text1"/>
          <w:szCs w:val="24"/>
          <w:lang w:eastAsia="es-CO"/>
        </w:rPr>
      </w:pPr>
    </w:p>
    <w:p w14:paraId="33FF3C18" w14:textId="6E78DEB9" w:rsidR="006C4F12" w:rsidRPr="00F45848" w:rsidRDefault="00722CD7" w:rsidP="00F45848">
      <w:pPr>
        <w:spacing w:line="276" w:lineRule="auto"/>
        <w:jc w:val="both"/>
        <w:rPr>
          <w:rFonts w:ascii="Arial" w:hAnsi="Arial" w:cs="Arial"/>
          <w:color w:val="000000"/>
          <w:szCs w:val="24"/>
          <w:lang w:eastAsia="es-CO"/>
        </w:rPr>
      </w:pPr>
      <w:r w:rsidRPr="00F45848">
        <w:rPr>
          <w:rFonts w:ascii="Arial" w:hAnsi="Arial" w:cs="Arial"/>
          <w:color w:val="000000" w:themeColor="text1"/>
          <w:szCs w:val="24"/>
          <w:lang w:eastAsia="es-CO"/>
        </w:rPr>
        <w:t>Advirtió que la indexación que reclama el demandante proviene de la Ley 100 de 1993 que no tiene efectos retroactivos, pues la pensión se reconoció en el año 1992. Finalmente, argumentó que revisada la liquidación que hizo el ISS al reconocer la liquidación</w:t>
      </w:r>
      <w:r w:rsidR="005E5363">
        <w:rPr>
          <w:rFonts w:ascii="Arial" w:hAnsi="Arial" w:cs="Arial"/>
          <w:color w:val="000000" w:themeColor="text1"/>
          <w:szCs w:val="24"/>
          <w:lang w:eastAsia="es-CO"/>
        </w:rPr>
        <w:t>,</w:t>
      </w:r>
      <w:r w:rsidRPr="00F45848">
        <w:rPr>
          <w:rFonts w:ascii="Arial" w:hAnsi="Arial" w:cs="Arial"/>
          <w:color w:val="000000" w:themeColor="text1"/>
          <w:szCs w:val="24"/>
          <w:lang w:eastAsia="es-CO"/>
        </w:rPr>
        <w:t xml:space="preserve"> la misma cumple con los presupuestos normativos vigentes para la época. </w:t>
      </w:r>
    </w:p>
    <w:p w14:paraId="45FB0818" w14:textId="77777777" w:rsidR="0030780B" w:rsidRPr="00F45848" w:rsidRDefault="0030780B" w:rsidP="00F45848">
      <w:pPr>
        <w:spacing w:line="276" w:lineRule="auto"/>
        <w:jc w:val="both"/>
        <w:rPr>
          <w:rFonts w:ascii="Arial" w:hAnsi="Arial" w:cs="Arial"/>
          <w:color w:val="000000"/>
          <w:szCs w:val="24"/>
          <w:lang w:eastAsia="es-CO"/>
        </w:rPr>
      </w:pPr>
    </w:p>
    <w:p w14:paraId="1CF0B7DE" w14:textId="77777777" w:rsidR="00C83F1F" w:rsidRPr="00F45848" w:rsidRDefault="00D16703" w:rsidP="00F45848">
      <w:pPr>
        <w:spacing w:line="276" w:lineRule="auto"/>
        <w:jc w:val="both"/>
        <w:rPr>
          <w:rFonts w:ascii="Arial" w:hAnsi="Arial" w:cs="Arial"/>
          <w:b/>
          <w:bCs/>
          <w:szCs w:val="24"/>
        </w:rPr>
      </w:pPr>
      <w:r w:rsidRPr="00F45848">
        <w:rPr>
          <w:rFonts w:ascii="Arial" w:hAnsi="Arial" w:cs="Arial"/>
          <w:b/>
          <w:bCs/>
          <w:szCs w:val="24"/>
        </w:rPr>
        <w:t xml:space="preserve">3. </w:t>
      </w:r>
      <w:r w:rsidR="00722CD7" w:rsidRPr="00F45848">
        <w:rPr>
          <w:rFonts w:ascii="Arial" w:hAnsi="Arial" w:cs="Arial"/>
          <w:b/>
          <w:bCs/>
          <w:szCs w:val="24"/>
        </w:rPr>
        <w:t>Recurso de apelación</w:t>
      </w:r>
    </w:p>
    <w:p w14:paraId="049F31CB" w14:textId="77777777" w:rsidR="00722CD7" w:rsidRPr="00F45848" w:rsidRDefault="00722CD7" w:rsidP="00F45848">
      <w:pPr>
        <w:spacing w:line="276" w:lineRule="auto"/>
        <w:jc w:val="both"/>
        <w:rPr>
          <w:rFonts w:ascii="Arial" w:hAnsi="Arial" w:cs="Arial"/>
          <w:szCs w:val="24"/>
        </w:rPr>
      </w:pPr>
    </w:p>
    <w:p w14:paraId="24B1DE24" w14:textId="6CD6D6A0" w:rsidR="00722CD7" w:rsidRPr="00F45848" w:rsidRDefault="00722CD7" w:rsidP="00F45848">
      <w:pPr>
        <w:spacing w:line="276" w:lineRule="auto"/>
        <w:jc w:val="both"/>
        <w:rPr>
          <w:rFonts w:ascii="Arial" w:hAnsi="Arial" w:cs="Arial"/>
          <w:szCs w:val="24"/>
        </w:rPr>
      </w:pPr>
      <w:r w:rsidRPr="00F45848">
        <w:rPr>
          <w:rFonts w:ascii="Arial" w:hAnsi="Arial" w:cs="Arial"/>
          <w:szCs w:val="24"/>
        </w:rPr>
        <w:t>Inconforme con la decisión el demandante presentó recurso de alzada para lo cual argumentó que debía otorgársele primacía a la jurisprudencia de la Corte Constitucional que en sus sentencias de unificación</w:t>
      </w:r>
      <w:r w:rsidR="58E82111" w:rsidRPr="00F45848">
        <w:rPr>
          <w:rFonts w:ascii="Arial" w:hAnsi="Arial" w:cs="Arial"/>
          <w:szCs w:val="24"/>
        </w:rPr>
        <w:t xml:space="preserve"> ha</w:t>
      </w:r>
      <w:r w:rsidRPr="00F45848">
        <w:rPr>
          <w:rFonts w:ascii="Arial" w:hAnsi="Arial" w:cs="Arial"/>
          <w:szCs w:val="24"/>
        </w:rPr>
        <w:t xml:space="preserve"> accedido a la citada indexación, tal como lo han realizado otros tribunales del país, como Medellín y Cali. A</w:t>
      </w:r>
      <w:r w:rsidR="6AC8F9CF" w:rsidRPr="00F45848">
        <w:rPr>
          <w:rFonts w:ascii="Arial" w:hAnsi="Arial" w:cs="Arial"/>
          <w:szCs w:val="24"/>
        </w:rPr>
        <w:t>gregó</w:t>
      </w:r>
      <w:r w:rsidRPr="00F45848">
        <w:rPr>
          <w:rFonts w:ascii="Arial" w:hAnsi="Arial" w:cs="Arial"/>
          <w:szCs w:val="24"/>
        </w:rPr>
        <w:t xml:space="preserve"> que sí acreditó que había una diferencia pensional entre la reconocida y la que se debía reconocer debido a los IPC iniciales y finales usados para calcular la pensión. Insistió en que por motivos de equidad debe otorgarse la indexación para evitar la depreciación del dinero.</w:t>
      </w:r>
    </w:p>
    <w:p w14:paraId="615D0B5C" w14:textId="54A868CA" w:rsidR="19B7EE80" w:rsidRPr="00F45848" w:rsidRDefault="19B7EE80" w:rsidP="00F45848">
      <w:pPr>
        <w:spacing w:line="276" w:lineRule="auto"/>
        <w:jc w:val="both"/>
        <w:rPr>
          <w:rFonts w:ascii="Arial" w:hAnsi="Arial" w:cs="Arial"/>
          <w:szCs w:val="24"/>
        </w:rPr>
      </w:pPr>
    </w:p>
    <w:p w14:paraId="5FCDA3AD" w14:textId="38402A21" w:rsidR="6DEC9041" w:rsidRPr="00F45848" w:rsidRDefault="6DEC9041" w:rsidP="00F45848">
      <w:pPr>
        <w:spacing w:line="276" w:lineRule="auto"/>
        <w:jc w:val="both"/>
        <w:rPr>
          <w:rFonts w:ascii="Arial" w:hAnsi="Arial" w:cs="Arial"/>
          <w:b/>
          <w:bCs/>
          <w:szCs w:val="24"/>
        </w:rPr>
      </w:pPr>
      <w:r w:rsidRPr="00F45848">
        <w:rPr>
          <w:rFonts w:ascii="Arial" w:hAnsi="Arial" w:cs="Arial"/>
          <w:b/>
          <w:bCs/>
          <w:szCs w:val="24"/>
        </w:rPr>
        <w:t>4. Alegatos de conclusión</w:t>
      </w:r>
    </w:p>
    <w:p w14:paraId="3317B9DC" w14:textId="4F324382" w:rsidR="5948F4F7" w:rsidRPr="00F45848" w:rsidRDefault="5948F4F7" w:rsidP="00F45848">
      <w:pPr>
        <w:spacing w:line="276" w:lineRule="auto"/>
        <w:jc w:val="both"/>
        <w:rPr>
          <w:rFonts w:ascii="Arial" w:hAnsi="Arial" w:cs="Arial"/>
          <w:b/>
          <w:bCs/>
          <w:szCs w:val="24"/>
        </w:rPr>
      </w:pPr>
    </w:p>
    <w:p w14:paraId="1FD9F783" w14:textId="25487463" w:rsidR="6DEC9041" w:rsidRPr="00F45848" w:rsidRDefault="6DEC9041" w:rsidP="00F45848">
      <w:pPr>
        <w:spacing w:line="276" w:lineRule="auto"/>
        <w:jc w:val="both"/>
        <w:rPr>
          <w:rFonts w:ascii="Arial" w:hAnsi="Arial" w:cs="Arial"/>
          <w:szCs w:val="24"/>
        </w:rPr>
      </w:pPr>
      <w:r w:rsidRPr="00F45848">
        <w:rPr>
          <w:rFonts w:ascii="Arial" w:hAnsi="Arial" w:cs="Arial"/>
          <w:szCs w:val="24"/>
        </w:rPr>
        <w:t xml:space="preserve">Únicamente fueron presentados por el demandante que coinciden con los temas que serán abordados en la presente decisión. </w:t>
      </w:r>
    </w:p>
    <w:p w14:paraId="53128261" w14:textId="77777777" w:rsidR="00006874" w:rsidRPr="00F45848" w:rsidRDefault="00006874" w:rsidP="00F45848">
      <w:pPr>
        <w:shd w:val="clear" w:color="auto" w:fill="FFFFFF" w:themeFill="background1"/>
        <w:spacing w:line="276" w:lineRule="auto"/>
        <w:jc w:val="center"/>
        <w:rPr>
          <w:rFonts w:ascii="Arial" w:hAnsi="Arial" w:cs="Arial"/>
          <w:b/>
          <w:bCs/>
          <w:szCs w:val="24"/>
        </w:rPr>
      </w:pPr>
    </w:p>
    <w:p w14:paraId="2E0A79F2" w14:textId="77777777" w:rsidR="003371E3" w:rsidRPr="00F45848" w:rsidRDefault="003371E3" w:rsidP="00F45848">
      <w:pPr>
        <w:shd w:val="clear" w:color="auto" w:fill="FFFFFF" w:themeFill="background1"/>
        <w:spacing w:line="276" w:lineRule="auto"/>
        <w:jc w:val="center"/>
        <w:rPr>
          <w:rFonts w:ascii="Arial" w:hAnsi="Arial" w:cs="Arial"/>
          <w:b/>
          <w:bCs/>
          <w:szCs w:val="24"/>
        </w:rPr>
      </w:pPr>
      <w:r w:rsidRPr="00F45848">
        <w:rPr>
          <w:rFonts w:ascii="Arial" w:hAnsi="Arial" w:cs="Arial"/>
          <w:b/>
          <w:bCs/>
          <w:szCs w:val="24"/>
        </w:rPr>
        <w:t>CONSIDERACIONES</w:t>
      </w:r>
    </w:p>
    <w:p w14:paraId="62486C05" w14:textId="77777777" w:rsidR="00530FFD" w:rsidRPr="00F45848" w:rsidRDefault="00530FFD" w:rsidP="00F45848">
      <w:pPr>
        <w:shd w:val="clear" w:color="auto" w:fill="FFFFFF" w:themeFill="background1"/>
        <w:tabs>
          <w:tab w:val="left" w:pos="5197"/>
        </w:tabs>
        <w:spacing w:line="276" w:lineRule="auto"/>
        <w:contextualSpacing/>
        <w:jc w:val="both"/>
        <w:rPr>
          <w:rFonts w:ascii="Arial" w:hAnsi="Arial" w:cs="Arial"/>
          <w:szCs w:val="24"/>
        </w:rPr>
      </w:pPr>
    </w:p>
    <w:p w14:paraId="3C1D4B36" w14:textId="77777777" w:rsidR="003371E3" w:rsidRPr="00F45848" w:rsidRDefault="0030780B" w:rsidP="00F45848">
      <w:pPr>
        <w:pStyle w:val="Prrafodelista"/>
        <w:numPr>
          <w:ilvl w:val="0"/>
          <w:numId w:val="11"/>
        </w:numPr>
        <w:shd w:val="clear" w:color="auto" w:fill="FFFFFF" w:themeFill="background1"/>
        <w:tabs>
          <w:tab w:val="left" w:pos="5197"/>
        </w:tabs>
        <w:spacing w:after="0" w:line="276" w:lineRule="auto"/>
        <w:jc w:val="both"/>
        <w:rPr>
          <w:rFonts w:ascii="Arial" w:hAnsi="Arial" w:cs="Arial"/>
          <w:b/>
          <w:bCs/>
          <w:sz w:val="24"/>
          <w:szCs w:val="24"/>
        </w:rPr>
      </w:pPr>
      <w:r w:rsidRPr="00F45848">
        <w:rPr>
          <w:rFonts w:ascii="Arial" w:hAnsi="Arial" w:cs="Arial"/>
          <w:b/>
          <w:bCs/>
          <w:sz w:val="24"/>
          <w:szCs w:val="24"/>
        </w:rPr>
        <w:t>Problema</w:t>
      </w:r>
      <w:r w:rsidR="003371E3" w:rsidRPr="00F45848">
        <w:rPr>
          <w:rFonts w:ascii="Arial" w:hAnsi="Arial" w:cs="Arial"/>
          <w:b/>
          <w:bCs/>
          <w:sz w:val="24"/>
          <w:szCs w:val="24"/>
        </w:rPr>
        <w:t xml:space="preserve"> jurídico</w:t>
      </w:r>
    </w:p>
    <w:p w14:paraId="7A89BA5F" w14:textId="77777777" w:rsidR="00F45848" w:rsidRDefault="00F45848" w:rsidP="00F45848">
      <w:pPr>
        <w:shd w:val="clear" w:color="auto" w:fill="FFFFFF" w:themeFill="background1"/>
        <w:tabs>
          <w:tab w:val="left" w:pos="5197"/>
        </w:tabs>
        <w:spacing w:line="276" w:lineRule="auto"/>
        <w:jc w:val="both"/>
        <w:rPr>
          <w:rFonts w:ascii="Arial" w:hAnsi="Arial" w:cs="Arial"/>
          <w:szCs w:val="24"/>
        </w:rPr>
      </w:pPr>
    </w:p>
    <w:p w14:paraId="4E23C22F" w14:textId="43F07372" w:rsidR="0030780B" w:rsidRPr="00F45848" w:rsidRDefault="0030780B" w:rsidP="00F45848">
      <w:pPr>
        <w:shd w:val="clear" w:color="auto" w:fill="FFFFFF" w:themeFill="background1"/>
        <w:tabs>
          <w:tab w:val="left" w:pos="5197"/>
        </w:tabs>
        <w:spacing w:line="276" w:lineRule="auto"/>
        <w:jc w:val="both"/>
        <w:rPr>
          <w:rFonts w:ascii="Arial" w:hAnsi="Arial" w:cs="Arial"/>
          <w:szCs w:val="24"/>
        </w:rPr>
      </w:pPr>
      <w:r w:rsidRPr="00F45848">
        <w:rPr>
          <w:rFonts w:ascii="Arial" w:hAnsi="Arial" w:cs="Arial"/>
          <w:szCs w:val="24"/>
        </w:rPr>
        <w:t>Visto el recuento anterior, se formula la Sala el siguiente</w:t>
      </w:r>
      <w:r w:rsidR="00E9376C" w:rsidRPr="00F45848">
        <w:rPr>
          <w:rFonts w:ascii="Arial" w:hAnsi="Arial" w:cs="Arial"/>
          <w:szCs w:val="24"/>
        </w:rPr>
        <w:t>:</w:t>
      </w:r>
    </w:p>
    <w:p w14:paraId="4101652C" w14:textId="77777777" w:rsidR="00C850A8" w:rsidRPr="00F45848" w:rsidRDefault="00C850A8" w:rsidP="00F45848">
      <w:pPr>
        <w:shd w:val="clear" w:color="auto" w:fill="FFFFFF" w:themeFill="background1"/>
        <w:tabs>
          <w:tab w:val="left" w:pos="5197"/>
        </w:tabs>
        <w:spacing w:line="276" w:lineRule="auto"/>
        <w:jc w:val="both"/>
        <w:rPr>
          <w:rFonts w:ascii="Arial" w:hAnsi="Arial" w:cs="Arial"/>
          <w:szCs w:val="24"/>
        </w:rPr>
      </w:pPr>
    </w:p>
    <w:p w14:paraId="359945A0" w14:textId="043D1B26" w:rsidR="001929DC" w:rsidRPr="00F45848" w:rsidRDefault="001929DC" w:rsidP="00F45848">
      <w:pPr>
        <w:tabs>
          <w:tab w:val="left" w:pos="8647"/>
        </w:tabs>
        <w:spacing w:line="276" w:lineRule="auto"/>
        <w:jc w:val="both"/>
        <w:rPr>
          <w:rFonts w:ascii="Arial" w:hAnsi="Arial" w:cs="Arial"/>
          <w:szCs w:val="24"/>
          <w:lang w:eastAsia="es-CO"/>
        </w:rPr>
      </w:pPr>
      <w:r w:rsidRPr="00F45848">
        <w:rPr>
          <w:rFonts w:ascii="Arial" w:hAnsi="Arial" w:cs="Arial"/>
          <w:szCs w:val="24"/>
          <w:lang w:eastAsia="es-CO"/>
        </w:rPr>
        <w:t xml:space="preserve">¿Hay lugar a </w:t>
      </w:r>
      <w:r w:rsidR="096D8539" w:rsidRPr="00F45848">
        <w:rPr>
          <w:rFonts w:ascii="Arial" w:hAnsi="Arial" w:cs="Arial"/>
          <w:szCs w:val="24"/>
          <w:lang w:eastAsia="es-CO"/>
        </w:rPr>
        <w:t>reliquidar</w:t>
      </w:r>
      <w:r w:rsidR="00A17078" w:rsidRPr="00F45848">
        <w:rPr>
          <w:rFonts w:ascii="Arial" w:hAnsi="Arial" w:cs="Arial"/>
          <w:szCs w:val="24"/>
          <w:lang w:eastAsia="es-CO"/>
        </w:rPr>
        <w:t xml:space="preserve"> la pensión de vejez</w:t>
      </w:r>
      <w:r w:rsidR="171E3D99" w:rsidRPr="00F45848">
        <w:rPr>
          <w:rFonts w:ascii="Arial" w:hAnsi="Arial" w:cs="Arial"/>
          <w:szCs w:val="24"/>
          <w:lang w:eastAsia="es-CO"/>
        </w:rPr>
        <w:t>, reconocida en vigencia del A 049 de 1990,</w:t>
      </w:r>
      <w:r w:rsidR="00A17078" w:rsidRPr="00F45848">
        <w:rPr>
          <w:rFonts w:ascii="Arial" w:hAnsi="Arial" w:cs="Arial"/>
          <w:szCs w:val="24"/>
          <w:lang w:eastAsia="es-CO"/>
        </w:rPr>
        <w:t xml:space="preserve"> con el promedio de </w:t>
      </w:r>
      <w:r w:rsidR="00C133B7" w:rsidRPr="00F45848">
        <w:rPr>
          <w:rFonts w:ascii="Arial" w:hAnsi="Arial" w:cs="Arial"/>
          <w:szCs w:val="24"/>
          <w:lang w:eastAsia="es-CO"/>
        </w:rPr>
        <w:t>los salarios devengados durante las últimas 100 semanas</w:t>
      </w:r>
      <w:r w:rsidR="00A17078" w:rsidRPr="00F45848">
        <w:rPr>
          <w:rFonts w:ascii="Arial" w:hAnsi="Arial" w:cs="Arial"/>
          <w:szCs w:val="24"/>
          <w:lang w:eastAsia="es-CO"/>
        </w:rPr>
        <w:t xml:space="preserve"> </w:t>
      </w:r>
      <w:r w:rsidR="34916341" w:rsidRPr="00F45848">
        <w:rPr>
          <w:rFonts w:ascii="Arial" w:hAnsi="Arial" w:cs="Arial"/>
          <w:szCs w:val="24"/>
          <w:lang w:eastAsia="es-CO"/>
        </w:rPr>
        <w:t>debidamente</w:t>
      </w:r>
      <w:r w:rsidR="00A17078" w:rsidRPr="00F45848">
        <w:rPr>
          <w:rFonts w:ascii="Arial" w:hAnsi="Arial" w:cs="Arial"/>
          <w:szCs w:val="24"/>
          <w:lang w:eastAsia="es-CO"/>
        </w:rPr>
        <w:t xml:space="preserve"> index</w:t>
      </w:r>
      <w:r w:rsidR="004D5A63" w:rsidRPr="00F45848">
        <w:rPr>
          <w:rFonts w:ascii="Arial" w:hAnsi="Arial" w:cs="Arial"/>
          <w:szCs w:val="24"/>
          <w:lang w:eastAsia="es-CO"/>
        </w:rPr>
        <w:t>ad</w:t>
      </w:r>
      <w:r w:rsidR="202CD080" w:rsidRPr="00F45848">
        <w:rPr>
          <w:rFonts w:ascii="Arial" w:hAnsi="Arial" w:cs="Arial"/>
          <w:szCs w:val="24"/>
          <w:lang w:eastAsia="es-CO"/>
        </w:rPr>
        <w:t>as?</w:t>
      </w:r>
    </w:p>
    <w:p w14:paraId="4B99056E" w14:textId="77777777" w:rsidR="004D5A63" w:rsidRPr="00F45848" w:rsidRDefault="004D5A63" w:rsidP="00F45848">
      <w:pPr>
        <w:shd w:val="clear" w:color="auto" w:fill="FFFFFF" w:themeFill="background1"/>
        <w:tabs>
          <w:tab w:val="left" w:pos="5197"/>
        </w:tabs>
        <w:spacing w:line="276" w:lineRule="auto"/>
        <w:jc w:val="both"/>
        <w:rPr>
          <w:rFonts w:ascii="Arial" w:hAnsi="Arial" w:cs="Arial"/>
          <w:szCs w:val="24"/>
        </w:rPr>
      </w:pPr>
    </w:p>
    <w:p w14:paraId="2140DA1E" w14:textId="77777777" w:rsidR="005439BB" w:rsidRPr="00F45848" w:rsidRDefault="00E9376C" w:rsidP="00F45848">
      <w:pPr>
        <w:autoSpaceDE w:val="0"/>
        <w:autoSpaceDN w:val="0"/>
        <w:adjustRightInd w:val="0"/>
        <w:spacing w:line="276" w:lineRule="auto"/>
        <w:jc w:val="both"/>
        <w:rPr>
          <w:rFonts w:ascii="Arial" w:hAnsi="Arial" w:cs="Arial"/>
          <w:b/>
          <w:bCs/>
          <w:szCs w:val="24"/>
        </w:rPr>
      </w:pPr>
      <w:r w:rsidRPr="00F45848">
        <w:rPr>
          <w:rFonts w:ascii="Arial" w:hAnsi="Arial" w:cs="Arial"/>
          <w:b/>
          <w:bCs/>
          <w:szCs w:val="24"/>
        </w:rPr>
        <w:t xml:space="preserve">2. </w:t>
      </w:r>
      <w:r w:rsidR="00EC241E" w:rsidRPr="00F45848">
        <w:rPr>
          <w:rFonts w:ascii="Arial" w:hAnsi="Arial" w:cs="Arial"/>
          <w:b/>
          <w:bCs/>
          <w:szCs w:val="24"/>
        </w:rPr>
        <w:t>Solución a</w:t>
      </w:r>
      <w:r w:rsidR="003371E3" w:rsidRPr="00F45848">
        <w:rPr>
          <w:rFonts w:ascii="Arial" w:hAnsi="Arial" w:cs="Arial"/>
          <w:b/>
          <w:bCs/>
          <w:szCs w:val="24"/>
        </w:rPr>
        <w:t>l</w:t>
      </w:r>
      <w:r w:rsidR="00EC241E" w:rsidRPr="00F45848">
        <w:rPr>
          <w:rFonts w:ascii="Arial" w:hAnsi="Arial" w:cs="Arial"/>
          <w:b/>
          <w:bCs/>
          <w:szCs w:val="24"/>
        </w:rPr>
        <w:t xml:space="preserve"> </w:t>
      </w:r>
      <w:r w:rsidR="003371E3" w:rsidRPr="00F45848">
        <w:rPr>
          <w:rFonts w:ascii="Arial" w:hAnsi="Arial" w:cs="Arial"/>
          <w:b/>
          <w:bCs/>
          <w:szCs w:val="24"/>
        </w:rPr>
        <w:t>interrogante</w:t>
      </w:r>
      <w:r w:rsidR="00EC241E" w:rsidRPr="00F45848">
        <w:rPr>
          <w:rFonts w:ascii="Arial" w:hAnsi="Arial" w:cs="Arial"/>
          <w:b/>
          <w:bCs/>
          <w:szCs w:val="24"/>
        </w:rPr>
        <w:t xml:space="preserve"> planteado</w:t>
      </w:r>
    </w:p>
    <w:p w14:paraId="1299C43A" w14:textId="77777777" w:rsidR="005439BB" w:rsidRPr="00F45848" w:rsidRDefault="005439BB" w:rsidP="00F45848">
      <w:pPr>
        <w:autoSpaceDE w:val="0"/>
        <w:autoSpaceDN w:val="0"/>
        <w:adjustRightInd w:val="0"/>
        <w:spacing w:line="276" w:lineRule="auto"/>
        <w:jc w:val="both"/>
        <w:rPr>
          <w:rFonts w:ascii="Arial" w:hAnsi="Arial" w:cs="Arial"/>
          <w:b/>
          <w:bCs/>
          <w:szCs w:val="24"/>
        </w:rPr>
      </w:pPr>
    </w:p>
    <w:p w14:paraId="3D87FD11" w14:textId="77777777" w:rsidR="005439BB" w:rsidRPr="00F45848" w:rsidRDefault="002D5B82" w:rsidP="00F45848">
      <w:pPr>
        <w:pStyle w:val="Prrafodelista"/>
        <w:numPr>
          <w:ilvl w:val="1"/>
          <w:numId w:val="12"/>
        </w:numPr>
        <w:autoSpaceDE w:val="0"/>
        <w:autoSpaceDN w:val="0"/>
        <w:adjustRightInd w:val="0"/>
        <w:spacing w:after="0" w:line="276" w:lineRule="auto"/>
        <w:jc w:val="both"/>
        <w:rPr>
          <w:rFonts w:ascii="Arial" w:hAnsi="Arial" w:cs="Arial"/>
          <w:b/>
          <w:bCs/>
          <w:sz w:val="24"/>
          <w:szCs w:val="24"/>
        </w:rPr>
      </w:pPr>
      <w:r w:rsidRPr="00F45848">
        <w:rPr>
          <w:rFonts w:ascii="Arial" w:hAnsi="Arial" w:cs="Arial"/>
          <w:b/>
          <w:bCs/>
          <w:sz w:val="24"/>
          <w:szCs w:val="24"/>
        </w:rPr>
        <w:t xml:space="preserve"> </w:t>
      </w:r>
      <w:r w:rsidR="005439BB" w:rsidRPr="00F45848">
        <w:rPr>
          <w:rFonts w:ascii="Arial" w:hAnsi="Arial" w:cs="Arial"/>
          <w:b/>
          <w:bCs/>
          <w:sz w:val="24"/>
          <w:szCs w:val="24"/>
        </w:rPr>
        <w:t>Fundamento jurídico</w:t>
      </w:r>
    </w:p>
    <w:p w14:paraId="6D97111B" w14:textId="77777777" w:rsidR="00F45848" w:rsidRDefault="00F45848" w:rsidP="00F45848">
      <w:pPr>
        <w:widowControl w:val="0"/>
        <w:autoSpaceDE w:val="0"/>
        <w:autoSpaceDN w:val="0"/>
        <w:adjustRightInd w:val="0"/>
        <w:spacing w:line="276" w:lineRule="auto"/>
        <w:jc w:val="both"/>
        <w:rPr>
          <w:rFonts w:ascii="Arial" w:hAnsi="Arial" w:cs="Arial"/>
          <w:szCs w:val="24"/>
        </w:rPr>
      </w:pPr>
    </w:p>
    <w:p w14:paraId="3E2853A2" w14:textId="49C6E048" w:rsidR="009A31E3" w:rsidRPr="00F45848" w:rsidRDefault="00722CD7" w:rsidP="00F45848">
      <w:pPr>
        <w:widowControl w:val="0"/>
        <w:autoSpaceDE w:val="0"/>
        <w:autoSpaceDN w:val="0"/>
        <w:adjustRightInd w:val="0"/>
        <w:spacing w:line="276" w:lineRule="auto"/>
        <w:jc w:val="both"/>
        <w:rPr>
          <w:rFonts w:ascii="Arial" w:hAnsi="Arial" w:cs="Arial"/>
          <w:szCs w:val="24"/>
        </w:rPr>
      </w:pPr>
      <w:r w:rsidRPr="00F45848">
        <w:rPr>
          <w:rFonts w:ascii="Arial" w:hAnsi="Arial" w:cs="Arial"/>
          <w:szCs w:val="24"/>
        </w:rPr>
        <w:t>El parágrafo 1º del artículo 20 del Acuerdo 049 de 1990</w:t>
      </w:r>
      <w:r w:rsidR="00073BBD" w:rsidRPr="00F45848">
        <w:rPr>
          <w:rFonts w:ascii="Arial" w:hAnsi="Arial" w:cs="Arial"/>
          <w:szCs w:val="24"/>
        </w:rPr>
        <w:t xml:space="preserve"> </w:t>
      </w:r>
      <w:r w:rsidR="00E9376C" w:rsidRPr="00F45848">
        <w:rPr>
          <w:rFonts w:ascii="Arial" w:hAnsi="Arial" w:cs="Arial"/>
          <w:szCs w:val="24"/>
        </w:rPr>
        <w:t>que se ocupa</w:t>
      </w:r>
      <w:r w:rsidR="00B554B8" w:rsidRPr="00F45848">
        <w:rPr>
          <w:rFonts w:ascii="Arial" w:hAnsi="Arial" w:cs="Arial"/>
          <w:szCs w:val="24"/>
        </w:rPr>
        <w:t xml:space="preserve"> </w:t>
      </w:r>
      <w:r w:rsidR="00E9376C" w:rsidRPr="00F45848">
        <w:rPr>
          <w:rFonts w:ascii="Arial" w:hAnsi="Arial" w:cs="Arial"/>
          <w:szCs w:val="24"/>
        </w:rPr>
        <w:t>de</w:t>
      </w:r>
      <w:r w:rsidR="00073BBD" w:rsidRPr="00F45848">
        <w:rPr>
          <w:rFonts w:ascii="Arial" w:hAnsi="Arial" w:cs="Arial"/>
          <w:szCs w:val="24"/>
        </w:rPr>
        <w:t xml:space="preserve"> la forma de integrar la pensión de vejez </w:t>
      </w:r>
      <w:r w:rsidR="00B554B8" w:rsidRPr="00F45848">
        <w:rPr>
          <w:rFonts w:ascii="Arial" w:hAnsi="Arial" w:cs="Arial"/>
          <w:szCs w:val="24"/>
        </w:rPr>
        <w:t xml:space="preserve">señaló </w:t>
      </w:r>
      <w:r w:rsidR="00073BBD" w:rsidRPr="00F45848">
        <w:rPr>
          <w:rFonts w:ascii="Arial" w:hAnsi="Arial" w:cs="Arial"/>
          <w:szCs w:val="24"/>
        </w:rPr>
        <w:t xml:space="preserve">que </w:t>
      </w:r>
      <w:r w:rsidRPr="00F45848">
        <w:rPr>
          <w:rFonts w:ascii="Arial" w:hAnsi="Arial" w:cs="Arial"/>
          <w:szCs w:val="24"/>
        </w:rPr>
        <w:t xml:space="preserve">corresponde a las últimas </w:t>
      </w:r>
      <w:r w:rsidR="00B554B8" w:rsidRPr="00F45848">
        <w:rPr>
          <w:rFonts w:ascii="Arial" w:hAnsi="Arial" w:cs="Arial"/>
          <w:szCs w:val="24"/>
        </w:rPr>
        <w:t xml:space="preserve">100 </w:t>
      </w:r>
      <w:r w:rsidRPr="00F45848">
        <w:rPr>
          <w:rFonts w:ascii="Arial" w:hAnsi="Arial" w:cs="Arial"/>
          <w:szCs w:val="24"/>
        </w:rPr>
        <w:t>de cotización para</w:t>
      </w:r>
      <w:r w:rsidR="009A31E3" w:rsidRPr="00F45848">
        <w:rPr>
          <w:rFonts w:ascii="Arial" w:hAnsi="Arial" w:cs="Arial"/>
          <w:szCs w:val="24"/>
        </w:rPr>
        <w:t xml:space="preserve"> hallar el IBL</w:t>
      </w:r>
      <w:r w:rsidR="00B554B8" w:rsidRPr="00F45848">
        <w:rPr>
          <w:rFonts w:ascii="Arial" w:hAnsi="Arial" w:cs="Arial"/>
          <w:szCs w:val="24"/>
        </w:rPr>
        <w:t xml:space="preserve"> de quienes aspiren a pensionarse con fundamento en estas normas</w:t>
      </w:r>
      <w:r w:rsidRPr="00F45848">
        <w:rPr>
          <w:rFonts w:ascii="Arial" w:hAnsi="Arial" w:cs="Arial"/>
          <w:szCs w:val="24"/>
        </w:rPr>
        <w:t>.</w:t>
      </w:r>
      <w:r w:rsidR="009824CD" w:rsidRPr="00F45848">
        <w:rPr>
          <w:rFonts w:ascii="Arial" w:hAnsi="Arial" w:cs="Arial"/>
          <w:szCs w:val="24"/>
        </w:rPr>
        <w:t xml:space="preserve"> </w:t>
      </w:r>
    </w:p>
    <w:p w14:paraId="4DDBEF00" w14:textId="77777777" w:rsidR="009A31E3" w:rsidRPr="00F45848" w:rsidRDefault="009A31E3" w:rsidP="00F45848">
      <w:pPr>
        <w:widowControl w:val="0"/>
        <w:autoSpaceDE w:val="0"/>
        <w:autoSpaceDN w:val="0"/>
        <w:adjustRightInd w:val="0"/>
        <w:spacing w:line="276" w:lineRule="auto"/>
        <w:jc w:val="both"/>
        <w:rPr>
          <w:rFonts w:ascii="Arial" w:hAnsi="Arial" w:cs="Arial"/>
          <w:szCs w:val="24"/>
        </w:rPr>
      </w:pPr>
    </w:p>
    <w:p w14:paraId="0A126848" w14:textId="77777777" w:rsidR="00B554B8" w:rsidRPr="00F45848" w:rsidRDefault="009A31E3" w:rsidP="00F45848">
      <w:pPr>
        <w:pStyle w:val="Textoindependiente"/>
        <w:spacing w:line="276" w:lineRule="auto"/>
        <w:contextualSpacing/>
        <w:rPr>
          <w:szCs w:val="24"/>
        </w:rPr>
      </w:pPr>
      <w:r w:rsidRPr="00F45848">
        <w:rPr>
          <w:szCs w:val="24"/>
        </w:rPr>
        <w:t>Bien</w:t>
      </w:r>
      <w:r w:rsidR="00B554B8" w:rsidRPr="00F45848">
        <w:rPr>
          <w:szCs w:val="24"/>
        </w:rPr>
        <w:t>, así reza el canon inicialmente mencionado:</w:t>
      </w:r>
    </w:p>
    <w:p w14:paraId="29D6B04F" w14:textId="77777777" w:rsidR="009A31E3" w:rsidRPr="00F45848" w:rsidRDefault="00B554B8" w:rsidP="00F45848">
      <w:pPr>
        <w:pStyle w:val="Textoindependiente"/>
        <w:spacing w:line="276" w:lineRule="auto"/>
        <w:contextualSpacing/>
        <w:rPr>
          <w:szCs w:val="24"/>
        </w:rPr>
      </w:pPr>
      <w:r w:rsidRPr="00F45848">
        <w:rPr>
          <w:szCs w:val="24"/>
        </w:rPr>
        <w:t xml:space="preserve"> </w:t>
      </w:r>
    </w:p>
    <w:p w14:paraId="17D98FCD" w14:textId="1369F023" w:rsidR="009A31E3" w:rsidRPr="005D5265" w:rsidRDefault="00B554B8" w:rsidP="005D5265">
      <w:pPr>
        <w:widowControl w:val="0"/>
        <w:autoSpaceDE w:val="0"/>
        <w:autoSpaceDN w:val="0"/>
        <w:adjustRightInd w:val="0"/>
        <w:ind w:left="426" w:right="420"/>
        <w:jc w:val="both"/>
        <w:rPr>
          <w:rFonts w:ascii="Arial" w:hAnsi="Arial" w:cs="Arial"/>
          <w:i/>
          <w:iCs/>
          <w:sz w:val="22"/>
          <w:szCs w:val="24"/>
        </w:rPr>
      </w:pPr>
      <w:r w:rsidRPr="005D5265">
        <w:rPr>
          <w:rFonts w:ascii="Arial" w:hAnsi="Arial" w:cs="Arial"/>
          <w:sz w:val="22"/>
          <w:szCs w:val="24"/>
        </w:rPr>
        <w:t xml:space="preserve"> </w:t>
      </w:r>
      <w:r w:rsidR="009A31E3" w:rsidRPr="005D5265">
        <w:rPr>
          <w:rFonts w:ascii="Arial" w:hAnsi="Arial" w:cs="Arial"/>
          <w:i/>
          <w:iCs/>
          <w:sz w:val="22"/>
          <w:szCs w:val="24"/>
        </w:rPr>
        <w:t>“…</w:t>
      </w:r>
      <w:r w:rsidR="00C014CC">
        <w:rPr>
          <w:rFonts w:ascii="Arial" w:hAnsi="Arial" w:cs="Arial"/>
          <w:i/>
          <w:iCs/>
          <w:sz w:val="22"/>
          <w:szCs w:val="24"/>
        </w:rPr>
        <w:t xml:space="preserve"> </w:t>
      </w:r>
      <w:r w:rsidR="009A31E3" w:rsidRPr="005D5265">
        <w:rPr>
          <w:rFonts w:ascii="Arial" w:hAnsi="Arial" w:cs="Arial"/>
          <w:i/>
          <w:iCs/>
          <w:sz w:val="22"/>
          <w:szCs w:val="24"/>
        </w:rPr>
        <w:t>Para los efectos de este artículo, constituye salario mensual de base el que resulte de multiplicar por el factor 4.33, la centésima parte de la suma de los salarios semanales sobre los cuales cotizó en las últimas cien (100) semanas de cotización.</w:t>
      </w:r>
      <w:r w:rsidR="009A31E3" w:rsidRPr="005D5265">
        <w:rPr>
          <w:rFonts w:ascii="Arial" w:hAnsi="Arial" w:cs="Arial"/>
          <w:b/>
          <w:bCs/>
          <w:sz w:val="22"/>
          <w:szCs w:val="24"/>
        </w:rPr>
        <w:t xml:space="preserve">” </w:t>
      </w:r>
    </w:p>
    <w:p w14:paraId="3461D779" w14:textId="77777777" w:rsidR="009A31E3" w:rsidRPr="00F45848" w:rsidRDefault="009A31E3" w:rsidP="00F45848">
      <w:pPr>
        <w:pStyle w:val="Textoindependiente"/>
        <w:spacing w:line="276" w:lineRule="auto"/>
        <w:contextualSpacing/>
        <w:rPr>
          <w:szCs w:val="24"/>
        </w:rPr>
      </w:pPr>
    </w:p>
    <w:p w14:paraId="6BBDB90F" w14:textId="5329351E" w:rsidR="009A31E3" w:rsidRPr="00F45848" w:rsidRDefault="00B554B8" w:rsidP="00F45848">
      <w:pPr>
        <w:widowControl w:val="0"/>
        <w:autoSpaceDE w:val="0"/>
        <w:autoSpaceDN w:val="0"/>
        <w:adjustRightInd w:val="0"/>
        <w:spacing w:line="276" w:lineRule="auto"/>
        <w:jc w:val="both"/>
        <w:rPr>
          <w:rFonts w:ascii="Arial" w:hAnsi="Arial" w:cs="Arial"/>
          <w:szCs w:val="24"/>
        </w:rPr>
      </w:pPr>
      <w:r w:rsidRPr="00F45848">
        <w:rPr>
          <w:rFonts w:ascii="Arial" w:hAnsi="Arial" w:cs="Arial"/>
          <w:szCs w:val="24"/>
        </w:rPr>
        <w:t>Est</w:t>
      </w:r>
      <w:r w:rsidR="0282CD9C" w:rsidRPr="00F45848">
        <w:rPr>
          <w:rFonts w:ascii="Arial" w:hAnsi="Arial" w:cs="Arial"/>
          <w:szCs w:val="24"/>
        </w:rPr>
        <w:t>e</w:t>
      </w:r>
      <w:r w:rsidRPr="00F45848">
        <w:rPr>
          <w:rFonts w:ascii="Arial" w:hAnsi="Arial" w:cs="Arial"/>
          <w:szCs w:val="24"/>
        </w:rPr>
        <w:t xml:space="preserve"> mism</w:t>
      </w:r>
      <w:r w:rsidR="53F8B79B" w:rsidRPr="00F45848">
        <w:rPr>
          <w:rFonts w:ascii="Arial" w:hAnsi="Arial" w:cs="Arial"/>
          <w:szCs w:val="24"/>
        </w:rPr>
        <w:t>o canon</w:t>
      </w:r>
      <w:r w:rsidRPr="00F45848">
        <w:rPr>
          <w:rFonts w:ascii="Arial" w:hAnsi="Arial" w:cs="Arial"/>
          <w:szCs w:val="24"/>
        </w:rPr>
        <w:t xml:space="preserve"> dispone que el </w:t>
      </w:r>
      <w:r w:rsidR="009A31E3" w:rsidRPr="00F45848">
        <w:rPr>
          <w:rFonts w:ascii="Arial" w:hAnsi="Arial" w:cs="Arial"/>
          <w:szCs w:val="24"/>
        </w:rPr>
        <w:t xml:space="preserve">monto mínimo de </w:t>
      </w:r>
      <w:r w:rsidRPr="00F45848">
        <w:rPr>
          <w:rFonts w:ascii="Arial" w:hAnsi="Arial" w:cs="Arial"/>
          <w:szCs w:val="24"/>
        </w:rPr>
        <w:t xml:space="preserve">la </w:t>
      </w:r>
      <w:r w:rsidR="009A31E3" w:rsidRPr="00F45848">
        <w:rPr>
          <w:rFonts w:ascii="Arial" w:hAnsi="Arial" w:cs="Arial"/>
          <w:szCs w:val="24"/>
        </w:rPr>
        <w:t xml:space="preserve">pensión </w:t>
      </w:r>
      <w:r w:rsidRPr="00F45848">
        <w:rPr>
          <w:rFonts w:ascii="Arial" w:hAnsi="Arial" w:cs="Arial"/>
          <w:szCs w:val="24"/>
        </w:rPr>
        <w:t xml:space="preserve">es </w:t>
      </w:r>
      <w:r w:rsidR="009A31E3" w:rsidRPr="00F45848">
        <w:rPr>
          <w:rFonts w:ascii="Arial" w:hAnsi="Arial" w:cs="Arial"/>
          <w:szCs w:val="24"/>
        </w:rPr>
        <w:t xml:space="preserve">del 45% que se </w:t>
      </w:r>
      <w:r w:rsidR="009A31E3" w:rsidRPr="00F45848">
        <w:rPr>
          <w:rFonts w:ascii="Arial" w:hAnsi="Arial" w:cs="Arial"/>
          <w:szCs w:val="24"/>
        </w:rPr>
        <w:lastRenderedPageBreak/>
        <w:t>aumenta a razón del 3% por cada cincuenta semanas de cotización adicionales a las primeras quinientas. De tal forma que el afiliado está en la capacidad de lograr una tasa de remplazo mayor, pues para ello solo debe seguir cotizando.</w:t>
      </w:r>
    </w:p>
    <w:p w14:paraId="3CF2D8B6" w14:textId="77777777" w:rsidR="009A31E3" w:rsidRPr="00F45848" w:rsidRDefault="009A31E3" w:rsidP="00F45848">
      <w:pPr>
        <w:autoSpaceDE w:val="0"/>
        <w:autoSpaceDN w:val="0"/>
        <w:adjustRightInd w:val="0"/>
        <w:spacing w:line="276" w:lineRule="auto"/>
        <w:jc w:val="both"/>
        <w:rPr>
          <w:rFonts w:ascii="Arial" w:hAnsi="Arial" w:cs="Arial"/>
          <w:szCs w:val="24"/>
        </w:rPr>
      </w:pPr>
    </w:p>
    <w:p w14:paraId="2B31FC52" w14:textId="77777777" w:rsidR="009824CD" w:rsidRPr="00F45848" w:rsidRDefault="009824CD" w:rsidP="00F45848">
      <w:pPr>
        <w:spacing w:line="276" w:lineRule="auto"/>
        <w:jc w:val="both"/>
        <w:rPr>
          <w:rFonts w:ascii="Arial" w:hAnsi="Arial" w:cs="Arial"/>
          <w:szCs w:val="24"/>
        </w:rPr>
      </w:pPr>
      <w:r w:rsidRPr="00F45848">
        <w:rPr>
          <w:rFonts w:ascii="Arial" w:hAnsi="Arial" w:cs="Arial"/>
          <w:szCs w:val="24"/>
        </w:rPr>
        <w:t>Ahora, sobre la indexación solicitada, ha de decirse que la Sala de Casación Laboral de la Corte Suprema de Justicia, en sentencia 16 de octubre de 2013, radicado No. 47709, con ocasión de la sentencia SU 1073 de 2012</w:t>
      </w:r>
      <w:r w:rsidR="00A12D18" w:rsidRPr="00F45848">
        <w:rPr>
          <w:rStyle w:val="Refdenotaalpie"/>
          <w:rFonts w:ascii="Arial" w:hAnsi="Arial" w:cs="Arial"/>
          <w:szCs w:val="24"/>
        </w:rPr>
        <w:footnoteReference w:id="1"/>
      </w:r>
      <w:r w:rsidRPr="00F45848">
        <w:rPr>
          <w:rFonts w:ascii="Arial" w:hAnsi="Arial" w:cs="Arial"/>
          <w:szCs w:val="24"/>
        </w:rPr>
        <w:t xml:space="preserve"> proferida por </w:t>
      </w:r>
      <w:r w:rsidRPr="00F45848">
        <w:rPr>
          <w:rFonts w:ascii="Arial" w:hAnsi="Arial" w:cs="Arial"/>
          <w:b/>
          <w:bCs/>
          <w:szCs w:val="24"/>
        </w:rPr>
        <w:t>la Corte Constitucional</w:t>
      </w:r>
      <w:r w:rsidRPr="00F45848">
        <w:rPr>
          <w:rFonts w:ascii="Arial" w:hAnsi="Arial" w:cs="Arial"/>
          <w:szCs w:val="24"/>
        </w:rPr>
        <w:t>, rectificó su tesis,</w:t>
      </w:r>
      <w:r w:rsidR="00984633" w:rsidRPr="00F45848">
        <w:rPr>
          <w:rFonts w:ascii="Arial" w:hAnsi="Arial" w:cs="Arial"/>
          <w:szCs w:val="24"/>
        </w:rPr>
        <w:t xml:space="preserve"> que permanece en la actualidad en sentencias, como SL1334-2023, SL525-2022,</w:t>
      </w:r>
      <w:r w:rsidRPr="00F45848">
        <w:rPr>
          <w:rFonts w:ascii="Arial" w:hAnsi="Arial" w:cs="Arial"/>
          <w:szCs w:val="24"/>
        </w:rPr>
        <w:t xml:space="preserve"> al acoger el criterio según el cual es procedente la indexación de las pensiones causadas antes y después de la entrada en vigencia de la Constitución Política, dado que la pérdida del poder adquisitivo de la moneda es un fenómeno que afecta a todo tipo de pensión por igual, indistintamente de la naturaleza de la prestación o la fecha de su reconocimiento, máxime que no existe prohibición en la ley que lo impida con anterioridad a la vigencia de la Constitución de 1991</w:t>
      </w:r>
      <w:r w:rsidR="00984633" w:rsidRPr="00F45848">
        <w:rPr>
          <w:rFonts w:ascii="Arial" w:hAnsi="Arial" w:cs="Arial"/>
          <w:szCs w:val="24"/>
        </w:rPr>
        <w:t>;</w:t>
      </w:r>
      <w:r w:rsidRPr="00F45848">
        <w:rPr>
          <w:rFonts w:ascii="Arial" w:hAnsi="Arial" w:cs="Arial"/>
          <w:szCs w:val="24"/>
        </w:rPr>
        <w:t xml:space="preserve"> </w:t>
      </w:r>
      <w:r w:rsidR="00984633" w:rsidRPr="00F45848">
        <w:rPr>
          <w:rFonts w:ascii="Arial" w:hAnsi="Arial" w:cs="Arial"/>
          <w:szCs w:val="24"/>
        </w:rPr>
        <w:t>p</w:t>
      </w:r>
      <w:r w:rsidRPr="00F45848">
        <w:rPr>
          <w:rFonts w:ascii="Arial" w:hAnsi="Arial" w:cs="Arial"/>
          <w:szCs w:val="24"/>
        </w:rPr>
        <w:t>or lo que</w:t>
      </w:r>
      <w:r w:rsidR="00984633" w:rsidRPr="00F45848">
        <w:rPr>
          <w:rFonts w:ascii="Arial" w:hAnsi="Arial" w:cs="Arial"/>
          <w:szCs w:val="24"/>
        </w:rPr>
        <w:t>,</w:t>
      </w:r>
      <w:r w:rsidRPr="00F45848">
        <w:rPr>
          <w:rFonts w:ascii="Arial" w:hAnsi="Arial" w:cs="Arial"/>
          <w:szCs w:val="24"/>
        </w:rPr>
        <w:t xml:space="preserve"> la indexación encuentra apoyo en los criterios de equidad, justicia y  principios generales del derecho, que deben aplicarse, en los términos del artículo 8 de la Ley 153 de 1887 y del artículo 19 del C.S. de T.</w:t>
      </w:r>
    </w:p>
    <w:p w14:paraId="0FB78278" w14:textId="77777777" w:rsidR="009824CD" w:rsidRPr="00F45848" w:rsidRDefault="009824CD" w:rsidP="00F45848">
      <w:pPr>
        <w:spacing w:line="276" w:lineRule="auto"/>
        <w:jc w:val="both"/>
        <w:rPr>
          <w:rFonts w:ascii="Arial" w:hAnsi="Arial" w:cs="Arial"/>
          <w:szCs w:val="24"/>
        </w:rPr>
      </w:pPr>
    </w:p>
    <w:p w14:paraId="2187EA41" w14:textId="057B71B6" w:rsidR="009824CD" w:rsidRPr="00F45848" w:rsidRDefault="009824CD" w:rsidP="00F45848">
      <w:pPr>
        <w:spacing w:line="276" w:lineRule="auto"/>
        <w:jc w:val="both"/>
        <w:rPr>
          <w:rFonts w:ascii="Arial" w:hAnsi="Arial" w:cs="Arial"/>
          <w:szCs w:val="24"/>
        </w:rPr>
      </w:pPr>
      <w:r w:rsidRPr="00F45848">
        <w:rPr>
          <w:rFonts w:ascii="Arial" w:hAnsi="Arial" w:cs="Arial"/>
          <w:szCs w:val="24"/>
        </w:rPr>
        <w:t>No obstante, también ha apuntado de manera constante</w:t>
      </w:r>
      <w:r w:rsidRPr="00F45848">
        <w:rPr>
          <w:rStyle w:val="Refdenotaalpie"/>
          <w:rFonts w:ascii="Arial" w:hAnsi="Arial" w:cs="Arial"/>
          <w:szCs w:val="24"/>
        </w:rPr>
        <w:footnoteReference w:id="2"/>
      </w:r>
      <w:r w:rsidR="0050681B" w:rsidRPr="00F45848">
        <w:rPr>
          <w:rFonts w:ascii="Arial" w:hAnsi="Arial" w:cs="Arial"/>
          <w:szCs w:val="24"/>
        </w:rPr>
        <w:t>, y de forma reciente en decisiones SL2319-2023, SL2147-2023, SL407-2023, SL2106-2022, SL324-2022, SL4387-2021, entre otras</w:t>
      </w:r>
      <w:r w:rsidRPr="00F45848">
        <w:rPr>
          <w:rFonts w:ascii="Arial" w:hAnsi="Arial" w:cs="Arial"/>
          <w:szCs w:val="24"/>
        </w:rPr>
        <w:t>, que es improcedente la indexación cuando se trata de pensiones reconocidas con fundamento en el parágrafo 1º del artículo 20 del Acuerdo 049 de 1990, para lo cual aduce dos argumentos: a) que la norma establece una fórmula para el cálculo de la prestación, que toma en cuenta el número de semanas cotizadas por el afiliado a la entidad de seguridad social y no los salarios devengados y b) que el afiliado puede seguir cotizando hasta que cumpla la edad para aumentar la tasa de remplazo; por lo que es él y no la entidad de seguridad social quien debe asumir la actualización de su pensión</w:t>
      </w:r>
      <w:r w:rsidR="00D85220" w:rsidRPr="00F45848">
        <w:rPr>
          <w:rFonts w:ascii="Arial" w:hAnsi="Arial" w:cs="Arial"/>
          <w:szCs w:val="24"/>
        </w:rPr>
        <w:t xml:space="preserve">; en consecuencia, fracasa el recurso de apelación del demandante para intentar alcanzar la aplicación de la sentencia de la Corte Constitucional. </w:t>
      </w:r>
    </w:p>
    <w:p w14:paraId="0A6959E7" w14:textId="77777777" w:rsidR="009824CD" w:rsidRPr="00F45848" w:rsidRDefault="009824CD" w:rsidP="00F45848">
      <w:pPr>
        <w:tabs>
          <w:tab w:val="left" w:pos="2160"/>
        </w:tabs>
        <w:suppressAutoHyphens/>
        <w:spacing w:line="276" w:lineRule="auto"/>
        <w:ind w:left="709"/>
        <w:jc w:val="both"/>
        <w:rPr>
          <w:rFonts w:ascii="Arial" w:hAnsi="Arial" w:cs="Arial"/>
          <w:szCs w:val="24"/>
        </w:rPr>
      </w:pPr>
      <w:r w:rsidRPr="00F45848">
        <w:rPr>
          <w:rFonts w:ascii="Arial" w:hAnsi="Arial" w:cs="Arial"/>
          <w:i/>
          <w:iCs/>
          <w:szCs w:val="24"/>
          <w:lang w:val="es-CO"/>
        </w:rPr>
        <w:t xml:space="preserve"> </w:t>
      </w:r>
    </w:p>
    <w:p w14:paraId="6855CFBA" w14:textId="09A3DBA8" w:rsidR="009824CD" w:rsidRDefault="009824CD" w:rsidP="00F45848">
      <w:pPr>
        <w:spacing w:line="276" w:lineRule="auto"/>
        <w:jc w:val="both"/>
        <w:rPr>
          <w:rFonts w:ascii="Arial" w:hAnsi="Arial" w:cs="Arial"/>
          <w:szCs w:val="24"/>
        </w:rPr>
      </w:pPr>
      <w:r w:rsidRPr="00F45848">
        <w:rPr>
          <w:rFonts w:ascii="Arial" w:hAnsi="Arial" w:cs="Arial"/>
          <w:szCs w:val="24"/>
        </w:rPr>
        <w:t>Sobre este aspecto, en reciente decisión de la Sala de Casación Laboral en descongestión de la Corte Suprema de justicia</w:t>
      </w:r>
      <w:r w:rsidR="0050681B" w:rsidRPr="00F45848">
        <w:rPr>
          <w:rFonts w:ascii="Arial" w:hAnsi="Arial" w:cs="Arial"/>
          <w:szCs w:val="24"/>
        </w:rPr>
        <w:t>, que ha mantenido la misma línea desde antaño (SL2319-2023)</w:t>
      </w:r>
      <w:r w:rsidRPr="00F45848">
        <w:rPr>
          <w:rStyle w:val="Refdenotaalpie"/>
          <w:rFonts w:ascii="Arial" w:hAnsi="Arial" w:cs="Arial"/>
          <w:szCs w:val="24"/>
        </w:rPr>
        <w:footnoteReference w:id="3"/>
      </w:r>
      <w:r w:rsidR="00C014CC">
        <w:rPr>
          <w:rFonts w:ascii="Arial" w:hAnsi="Arial" w:cs="Arial"/>
          <w:szCs w:val="24"/>
        </w:rPr>
        <w:t xml:space="preserve"> se dijo:</w:t>
      </w:r>
    </w:p>
    <w:p w14:paraId="6E2E7400" w14:textId="77777777" w:rsidR="00C014CC" w:rsidRPr="00F45848" w:rsidRDefault="00C014CC" w:rsidP="00F45848">
      <w:pPr>
        <w:spacing w:line="276" w:lineRule="auto"/>
        <w:jc w:val="both"/>
        <w:rPr>
          <w:rFonts w:ascii="Arial" w:hAnsi="Arial" w:cs="Arial"/>
          <w:szCs w:val="24"/>
        </w:rPr>
      </w:pPr>
    </w:p>
    <w:p w14:paraId="2DA21984" w14:textId="77777777" w:rsidR="009824CD" w:rsidRPr="00C014CC" w:rsidRDefault="009824CD" w:rsidP="00C014CC">
      <w:pPr>
        <w:widowControl w:val="0"/>
        <w:autoSpaceDE w:val="0"/>
        <w:autoSpaceDN w:val="0"/>
        <w:adjustRightInd w:val="0"/>
        <w:ind w:left="426" w:right="420"/>
        <w:jc w:val="both"/>
        <w:rPr>
          <w:rFonts w:ascii="Arial" w:hAnsi="Arial" w:cs="Arial"/>
          <w:sz w:val="22"/>
          <w:szCs w:val="24"/>
        </w:rPr>
      </w:pPr>
      <w:r w:rsidRPr="00C014CC">
        <w:rPr>
          <w:rFonts w:ascii="Arial" w:hAnsi="Arial" w:cs="Arial"/>
          <w:sz w:val="22"/>
          <w:szCs w:val="24"/>
        </w:rPr>
        <w:t xml:space="preserve">“… </w:t>
      </w:r>
      <w:r w:rsidR="0050681B" w:rsidRPr="00C014CC">
        <w:rPr>
          <w:rFonts w:ascii="Arial" w:hAnsi="Arial" w:cs="Arial"/>
          <w:sz w:val="22"/>
          <w:szCs w:val="24"/>
        </w:rPr>
        <w:t>la Corte ha dicho que no hay lugar a reconocer la actualización deprecada cuando la pensión ha sido causada y liquidada en vigencia de los parágrafos 1° y 2° del artículo 20 del Acuerdo 049 de 1990, aprobado por el Decreto 758 del mismo año</w:t>
      </w:r>
      <w:r w:rsidR="00927238" w:rsidRPr="00C014CC">
        <w:rPr>
          <w:rFonts w:ascii="Arial" w:hAnsi="Arial" w:cs="Arial"/>
          <w:sz w:val="22"/>
          <w:szCs w:val="24"/>
        </w:rPr>
        <w:t>”</w:t>
      </w:r>
      <w:r w:rsidRPr="00C014CC">
        <w:rPr>
          <w:rFonts w:ascii="Arial" w:hAnsi="Arial" w:cs="Arial"/>
          <w:sz w:val="22"/>
          <w:szCs w:val="24"/>
        </w:rPr>
        <w:t xml:space="preserve">. </w:t>
      </w:r>
    </w:p>
    <w:p w14:paraId="0E4646E0" w14:textId="77777777" w:rsidR="00C014CC" w:rsidRDefault="00C014CC" w:rsidP="00F45848">
      <w:pPr>
        <w:spacing w:line="276" w:lineRule="auto"/>
        <w:jc w:val="both"/>
        <w:rPr>
          <w:rFonts w:ascii="Arial" w:hAnsi="Arial" w:cs="Arial"/>
          <w:color w:val="000000"/>
          <w:szCs w:val="24"/>
          <w:shd w:val="clear" w:color="auto" w:fill="FFFFFF"/>
          <w:lang w:val="es-ES"/>
        </w:rPr>
      </w:pPr>
    </w:p>
    <w:p w14:paraId="6F853422" w14:textId="09A15BAA" w:rsidR="009824CD" w:rsidRPr="00F45848" w:rsidRDefault="009824CD" w:rsidP="00F45848">
      <w:pPr>
        <w:spacing w:line="276" w:lineRule="auto"/>
        <w:jc w:val="both"/>
        <w:rPr>
          <w:rFonts w:ascii="Arial" w:hAnsi="Arial" w:cs="Arial"/>
          <w:color w:val="000000"/>
          <w:szCs w:val="24"/>
          <w:shd w:val="clear" w:color="auto" w:fill="FFFFFF"/>
          <w:lang w:val="es-ES"/>
        </w:rPr>
      </w:pPr>
      <w:r w:rsidRPr="00F45848">
        <w:rPr>
          <w:rFonts w:ascii="Arial" w:hAnsi="Arial" w:cs="Arial"/>
          <w:color w:val="000000"/>
          <w:szCs w:val="24"/>
          <w:shd w:val="clear" w:color="auto" w:fill="FFFFFF"/>
          <w:lang w:val="es-ES"/>
        </w:rPr>
        <w:t>La tesis planteada la comparte esta Sala</w:t>
      </w:r>
      <w:r w:rsidR="0050681B" w:rsidRPr="00F45848">
        <w:rPr>
          <w:rFonts w:ascii="Arial" w:hAnsi="Arial" w:cs="Arial"/>
          <w:color w:val="000000"/>
          <w:szCs w:val="24"/>
          <w:shd w:val="clear" w:color="auto" w:fill="FFFFFF"/>
          <w:lang w:val="es-ES"/>
        </w:rPr>
        <w:t xml:space="preserve"> de Decisión incluso desde decisiones proferidas, entre otras, en decisión del 24/07/2018, rad. 2016-00424-01.</w:t>
      </w:r>
    </w:p>
    <w:p w14:paraId="1FC39945" w14:textId="77777777" w:rsidR="009824CD" w:rsidRPr="00F45848" w:rsidRDefault="009824CD" w:rsidP="00F45848">
      <w:pPr>
        <w:spacing w:line="276" w:lineRule="auto"/>
        <w:ind w:firstLine="709"/>
        <w:jc w:val="both"/>
        <w:rPr>
          <w:rFonts w:ascii="Arial" w:hAnsi="Arial" w:cs="Arial"/>
          <w:szCs w:val="24"/>
        </w:rPr>
      </w:pPr>
    </w:p>
    <w:p w14:paraId="5E2229A6" w14:textId="77777777" w:rsidR="009824CD" w:rsidRPr="00F45848" w:rsidRDefault="009824CD" w:rsidP="00F45848">
      <w:pPr>
        <w:spacing w:line="276" w:lineRule="auto"/>
        <w:jc w:val="both"/>
        <w:rPr>
          <w:rFonts w:ascii="Arial" w:hAnsi="Arial" w:cs="Arial"/>
          <w:color w:val="000000"/>
          <w:szCs w:val="24"/>
          <w:shd w:val="clear" w:color="auto" w:fill="FFFFFF"/>
          <w:lang w:val="es-ES"/>
        </w:rPr>
      </w:pPr>
      <w:r w:rsidRPr="00F45848">
        <w:rPr>
          <w:rFonts w:ascii="Arial" w:hAnsi="Arial" w:cs="Arial"/>
          <w:color w:val="000000"/>
          <w:szCs w:val="24"/>
          <w:shd w:val="clear" w:color="auto" w:fill="FFFFFF"/>
          <w:lang w:val="es-ES"/>
        </w:rPr>
        <w:t xml:space="preserve">Vale agregar, que es incontrovertible que por contabilizarse solo el salario de las últimas 100 semanas cotizadas, que corresponde a algo menos de 2 años, este lapso </w:t>
      </w:r>
      <w:r w:rsidRPr="00F45848">
        <w:rPr>
          <w:rFonts w:ascii="Arial" w:hAnsi="Arial" w:cs="Arial"/>
          <w:color w:val="000000"/>
          <w:szCs w:val="24"/>
          <w:shd w:val="clear" w:color="auto" w:fill="FFFFFF"/>
          <w:lang w:val="es-ES"/>
        </w:rPr>
        <w:lastRenderedPageBreak/>
        <w:t>no es significativo para colegir pérdida del poder adquisitivo del peso, que amerite la indexación; contrario a lo que sucede en otras pensiones legales, como la Ley 33 de 1985 y Ley 71 de 1988, donde el periodo que se abarca para hallar el IBL es mucho mayor, donde sí se presenta de manera importante la pérdida del poder adquisitivo del peso</w:t>
      </w:r>
      <w:r w:rsidR="00D85220" w:rsidRPr="00F45848">
        <w:rPr>
          <w:rFonts w:ascii="Arial" w:hAnsi="Arial" w:cs="Arial"/>
          <w:color w:val="000000"/>
          <w:szCs w:val="24"/>
          <w:shd w:val="clear" w:color="auto" w:fill="FFFFFF"/>
          <w:lang w:val="es-ES"/>
        </w:rPr>
        <w:t>.</w:t>
      </w:r>
    </w:p>
    <w:p w14:paraId="0562CB0E" w14:textId="77777777" w:rsidR="009824CD" w:rsidRPr="00F45848" w:rsidRDefault="009824CD" w:rsidP="00F45848">
      <w:pPr>
        <w:spacing w:line="276" w:lineRule="auto"/>
        <w:jc w:val="both"/>
        <w:rPr>
          <w:rFonts w:ascii="Arial" w:hAnsi="Arial" w:cs="Arial"/>
          <w:color w:val="000000"/>
          <w:szCs w:val="24"/>
          <w:shd w:val="clear" w:color="auto" w:fill="FFFFFF"/>
          <w:lang w:val="es-ES"/>
        </w:rPr>
      </w:pPr>
    </w:p>
    <w:p w14:paraId="7A0C659E" w14:textId="77777777" w:rsidR="009824CD" w:rsidRPr="00F45848" w:rsidRDefault="009824CD" w:rsidP="00F45848">
      <w:pPr>
        <w:spacing w:line="276" w:lineRule="auto"/>
        <w:jc w:val="both"/>
        <w:rPr>
          <w:rFonts w:ascii="Arial" w:hAnsi="Arial" w:cs="Arial"/>
          <w:szCs w:val="24"/>
        </w:rPr>
      </w:pPr>
      <w:r w:rsidRPr="00F45848">
        <w:rPr>
          <w:rFonts w:ascii="Arial" w:hAnsi="Arial" w:cs="Arial"/>
          <w:szCs w:val="24"/>
        </w:rPr>
        <w:t xml:space="preserve">De otro lado, juega papel preponderante, que el monto de la pensión no </w:t>
      </w:r>
      <w:r w:rsidR="0050681B" w:rsidRPr="00F45848">
        <w:rPr>
          <w:rFonts w:ascii="Arial" w:hAnsi="Arial" w:cs="Arial"/>
          <w:szCs w:val="24"/>
        </w:rPr>
        <w:t>esté</w:t>
      </w:r>
      <w:r w:rsidRPr="00F45848">
        <w:rPr>
          <w:rFonts w:ascii="Arial" w:hAnsi="Arial" w:cs="Arial"/>
          <w:szCs w:val="24"/>
        </w:rPr>
        <w:t xml:space="preserve"> dado por un factor único fijado en la ley, como sucede para los beneficiarios de las leyes ya citadas, donde la tasa de reemplazo está predeterminada en un monto del 75%; sino variable, que depende del número de semanas cotizadas. </w:t>
      </w:r>
    </w:p>
    <w:p w14:paraId="34CE0A41" w14:textId="77777777" w:rsidR="009824CD" w:rsidRPr="00F45848" w:rsidRDefault="009824CD" w:rsidP="00F45848">
      <w:pPr>
        <w:spacing w:line="276" w:lineRule="auto"/>
        <w:jc w:val="both"/>
        <w:rPr>
          <w:rFonts w:ascii="Arial" w:hAnsi="Arial" w:cs="Arial"/>
          <w:szCs w:val="24"/>
        </w:rPr>
      </w:pPr>
    </w:p>
    <w:p w14:paraId="62E5C43E" w14:textId="77777777" w:rsidR="009824CD" w:rsidRPr="00F45848" w:rsidRDefault="009824CD" w:rsidP="00F45848">
      <w:pPr>
        <w:spacing w:line="276" w:lineRule="auto"/>
        <w:jc w:val="both"/>
        <w:rPr>
          <w:rFonts w:ascii="Arial" w:hAnsi="Arial" w:cs="Arial"/>
          <w:szCs w:val="24"/>
        </w:rPr>
      </w:pPr>
      <w:r w:rsidRPr="00F45848">
        <w:rPr>
          <w:rFonts w:ascii="Arial" w:hAnsi="Arial" w:cs="Arial"/>
          <w:szCs w:val="24"/>
        </w:rPr>
        <w:t xml:space="preserve">Así, se fija un monto mínimo de pensión del 45% que se aumenta a razón del 3% por cada cincuenta semanas de cotización adicionales a las primeras quinientas. De tal forma que el afiliado está en la capacidad de lograr una tasa de remplazo mayor, pues para ello solo debe seguir cotizando. </w:t>
      </w:r>
    </w:p>
    <w:p w14:paraId="62EBF3C5" w14:textId="77777777" w:rsidR="009824CD" w:rsidRPr="00F45848" w:rsidRDefault="009824CD" w:rsidP="00F45848">
      <w:pPr>
        <w:spacing w:line="276" w:lineRule="auto"/>
        <w:jc w:val="both"/>
        <w:rPr>
          <w:rFonts w:ascii="Arial" w:hAnsi="Arial" w:cs="Arial"/>
          <w:b/>
          <w:bCs/>
          <w:szCs w:val="24"/>
        </w:rPr>
      </w:pPr>
    </w:p>
    <w:p w14:paraId="232883F6" w14:textId="77777777" w:rsidR="009824CD" w:rsidRPr="00F45848" w:rsidRDefault="009824CD" w:rsidP="00F45848">
      <w:pPr>
        <w:spacing w:line="276" w:lineRule="auto"/>
        <w:jc w:val="both"/>
        <w:rPr>
          <w:rFonts w:ascii="Arial" w:hAnsi="Arial" w:cs="Arial"/>
          <w:b/>
          <w:bCs/>
          <w:szCs w:val="24"/>
        </w:rPr>
      </w:pPr>
      <w:r w:rsidRPr="00F45848">
        <w:rPr>
          <w:rFonts w:ascii="Arial" w:hAnsi="Arial" w:cs="Arial"/>
          <w:b/>
          <w:bCs/>
          <w:szCs w:val="24"/>
        </w:rPr>
        <w:t>2.2 Fundamento fáctico.</w:t>
      </w:r>
    </w:p>
    <w:p w14:paraId="6D98A12B" w14:textId="77777777" w:rsidR="009824CD" w:rsidRPr="00F45848" w:rsidRDefault="009824CD" w:rsidP="00F45848">
      <w:pPr>
        <w:spacing w:line="276" w:lineRule="auto"/>
        <w:jc w:val="both"/>
        <w:rPr>
          <w:rFonts w:ascii="Arial" w:hAnsi="Arial" w:cs="Arial"/>
          <w:b/>
          <w:bCs/>
          <w:szCs w:val="24"/>
        </w:rPr>
      </w:pPr>
    </w:p>
    <w:p w14:paraId="4253B566" w14:textId="7775450C" w:rsidR="009824CD" w:rsidRPr="00F45848" w:rsidRDefault="009824CD" w:rsidP="00F45848">
      <w:pPr>
        <w:spacing w:line="276" w:lineRule="auto"/>
        <w:jc w:val="both"/>
        <w:rPr>
          <w:rFonts w:ascii="Arial" w:hAnsi="Arial" w:cs="Arial"/>
          <w:szCs w:val="24"/>
        </w:rPr>
      </w:pPr>
      <w:r w:rsidRPr="00F45848">
        <w:rPr>
          <w:rFonts w:ascii="Arial" w:hAnsi="Arial" w:cs="Arial"/>
          <w:szCs w:val="24"/>
        </w:rPr>
        <w:t>Descendiendo al caso bajo examen</w:t>
      </w:r>
      <w:r w:rsidR="0050681B" w:rsidRPr="00F45848">
        <w:rPr>
          <w:rFonts w:ascii="Arial" w:hAnsi="Arial" w:cs="Arial"/>
          <w:szCs w:val="24"/>
        </w:rPr>
        <w:t xml:space="preserve"> se advierte que el ISS mediante la Resolución No. 04605 del 16/12/1992 reconoció una pensión de vejez Óscar López Barco</w:t>
      </w:r>
      <w:r w:rsidR="008A7036" w:rsidRPr="00F45848">
        <w:rPr>
          <w:rFonts w:ascii="Arial" w:hAnsi="Arial" w:cs="Arial"/>
          <w:szCs w:val="24"/>
        </w:rPr>
        <w:t xml:space="preserve"> a partir del 30/12/1992 en cuantía de $78.962 con fundamento en 1.239 semanas</w:t>
      </w:r>
      <w:r w:rsidR="486D9354" w:rsidRPr="00F45848">
        <w:rPr>
          <w:rFonts w:ascii="Arial" w:hAnsi="Arial" w:cs="Arial"/>
          <w:szCs w:val="24"/>
        </w:rPr>
        <w:t>;</w:t>
      </w:r>
      <w:r w:rsidR="008A7036" w:rsidRPr="00F45848">
        <w:rPr>
          <w:rFonts w:ascii="Arial" w:hAnsi="Arial" w:cs="Arial"/>
          <w:szCs w:val="24"/>
        </w:rPr>
        <w:t xml:space="preserve"> </w:t>
      </w:r>
      <w:r w:rsidR="46805185" w:rsidRPr="00F45848">
        <w:rPr>
          <w:rFonts w:ascii="Arial" w:hAnsi="Arial" w:cs="Arial"/>
          <w:szCs w:val="24"/>
        </w:rPr>
        <w:t>m</w:t>
      </w:r>
      <w:r w:rsidR="008A7036" w:rsidRPr="00F45848">
        <w:rPr>
          <w:rFonts w:ascii="Arial" w:hAnsi="Arial" w:cs="Arial"/>
          <w:szCs w:val="24"/>
        </w:rPr>
        <w:t>omento para el que la normativa vigente era el Acuerdo 049/1990</w:t>
      </w:r>
      <w:r w:rsidR="046A7C03" w:rsidRPr="00F45848">
        <w:rPr>
          <w:rFonts w:ascii="Arial" w:hAnsi="Arial" w:cs="Arial"/>
          <w:szCs w:val="24"/>
        </w:rPr>
        <w:t>;</w:t>
      </w:r>
      <w:r w:rsidR="008A7036" w:rsidRPr="00F45848">
        <w:rPr>
          <w:rFonts w:ascii="Arial" w:hAnsi="Arial" w:cs="Arial"/>
          <w:szCs w:val="24"/>
        </w:rPr>
        <w:t xml:space="preserve"> en consecuencia, resulta improcedente la pretensión de indexación de la primera mesada pensional como se explicó en la parte normativa de esta decisión, máxime que en este evento, el demandante cotizó hasta el día 15/01/1993 y la prestación se reconoció desde el día 30/12/1992, esto es, si</w:t>
      </w:r>
      <w:r w:rsidR="63BCEE9B" w:rsidRPr="00F45848">
        <w:rPr>
          <w:rFonts w:ascii="Arial" w:hAnsi="Arial" w:cs="Arial"/>
          <w:szCs w:val="24"/>
        </w:rPr>
        <w:t xml:space="preserve">n </w:t>
      </w:r>
      <w:r w:rsidR="008A7036" w:rsidRPr="00F45848">
        <w:rPr>
          <w:rFonts w:ascii="Arial" w:hAnsi="Arial" w:cs="Arial"/>
          <w:szCs w:val="24"/>
        </w:rPr>
        <w:t>que pudiera sufrir alguna pérdida de poder adquisitivo.</w:t>
      </w:r>
    </w:p>
    <w:p w14:paraId="372F0D68" w14:textId="6CB938D6" w:rsidR="01C839E6" w:rsidRPr="00F45848" w:rsidRDefault="01C839E6" w:rsidP="00F45848">
      <w:pPr>
        <w:spacing w:line="276" w:lineRule="auto"/>
        <w:jc w:val="both"/>
        <w:rPr>
          <w:rFonts w:ascii="Arial" w:hAnsi="Arial" w:cs="Arial"/>
          <w:szCs w:val="24"/>
        </w:rPr>
      </w:pPr>
    </w:p>
    <w:p w14:paraId="65305631" w14:textId="5DF853BF" w:rsidR="009824CD" w:rsidRPr="00F45848" w:rsidRDefault="00D85220" w:rsidP="00F45848">
      <w:pPr>
        <w:spacing w:line="276" w:lineRule="auto"/>
        <w:jc w:val="both"/>
        <w:rPr>
          <w:rFonts w:ascii="Arial" w:hAnsi="Arial" w:cs="Arial"/>
          <w:szCs w:val="24"/>
        </w:rPr>
      </w:pPr>
      <w:r w:rsidRPr="00F45848">
        <w:rPr>
          <w:rFonts w:ascii="Arial" w:hAnsi="Arial" w:cs="Arial"/>
          <w:szCs w:val="24"/>
        </w:rPr>
        <w:t>Finalmente, en tanto que la prestación reconocida no es susceptible de indexación, entonces inane resultan los argumentos tendientes a verificar la aplicación de un IPC</w:t>
      </w:r>
      <w:r w:rsidR="00C25222" w:rsidRPr="00F45848">
        <w:rPr>
          <w:rFonts w:ascii="Arial" w:hAnsi="Arial" w:cs="Arial"/>
          <w:szCs w:val="24"/>
        </w:rPr>
        <w:t xml:space="preserve"> inicial y final diferente. </w:t>
      </w:r>
    </w:p>
    <w:p w14:paraId="61E6FE71" w14:textId="73365FE3" w:rsidR="591B8064" w:rsidRPr="00F45848" w:rsidRDefault="591B8064" w:rsidP="00F45848">
      <w:pPr>
        <w:spacing w:line="276" w:lineRule="auto"/>
        <w:jc w:val="both"/>
        <w:rPr>
          <w:rFonts w:ascii="Arial" w:hAnsi="Arial" w:cs="Arial"/>
          <w:szCs w:val="24"/>
        </w:rPr>
      </w:pPr>
    </w:p>
    <w:p w14:paraId="3EF6E22A" w14:textId="2F587171" w:rsidR="0D6442FE" w:rsidRPr="00F45848" w:rsidRDefault="0D6442FE" w:rsidP="00F45848">
      <w:pPr>
        <w:spacing w:line="276" w:lineRule="auto"/>
        <w:jc w:val="both"/>
        <w:rPr>
          <w:rFonts w:ascii="Arial" w:hAnsi="Arial" w:cs="Arial"/>
          <w:szCs w:val="24"/>
        </w:rPr>
      </w:pPr>
      <w:r w:rsidRPr="00F45848">
        <w:rPr>
          <w:rFonts w:ascii="Arial" w:hAnsi="Arial" w:cs="Arial"/>
          <w:szCs w:val="24"/>
        </w:rPr>
        <w:t>De otro lado, verificada la liquidación que realizó el extinto ISS para conceder la pensión de vejez en el año 1992 se advierte que el valor de la mesada otorgada se ajustó a derecho, como se desprende de la siguiente liquidación.</w:t>
      </w:r>
    </w:p>
    <w:p w14:paraId="5C5207CE" w14:textId="33FFEA04" w:rsidR="591B8064" w:rsidRPr="00F45848" w:rsidRDefault="591B8064" w:rsidP="00F45848">
      <w:pPr>
        <w:spacing w:line="276" w:lineRule="auto"/>
        <w:jc w:val="both"/>
        <w:rPr>
          <w:rFonts w:ascii="Arial" w:hAnsi="Arial" w:cs="Arial"/>
          <w:szCs w:val="24"/>
        </w:rPr>
      </w:pPr>
    </w:p>
    <w:tbl>
      <w:tblPr>
        <w:tblW w:w="0" w:type="auto"/>
        <w:tblLayout w:type="fixed"/>
        <w:tblLook w:val="06A0" w:firstRow="1" w:lastRow="0" w:firstColumn="1" w:lastColumn="0" w:noHBand="1" w:noVBand="1"/>
      </w:tblPr>
      <w:tblGrid>
        <w:gridCol w:w="982"/>
        <w:gridCol w:w="982"/>
        <w:gridCol w:w="233"/>
        <w:gridCol w:w="775"/>
        <w:gridCol w:w="851"/>
        <w:gridCol w:w="992"/>
        <w:gridCol w:w="850"/>
        <w:gridCol w:w="1209"/>
        <w:gridCol w:w="435"/>
        <w:gridCol w:w="1528"/>
      </w:tblGrid>
      <w:tr w:rsidR="00C014CC" w:rsidRPr="00C014CC" w14:paraId="6EA40FBC" w14:textId="77777777" w:rsidTr="00734D01">
        <w:trPr>
          <w:trHeight w:val="285"/>
        </w:trPr>
        <w:tc>
          <w:tcPr>
            <w:tcW w:w="2972" w:type="dxa"/>
            <w:gridSpan w:val="4"/>
            <w:tcBorders>
              <w:top w:val="single" w:sz="4" w:space="0" w:color="auto"/>
              <w:left w:val="single" w:sz="4" w:space="0" w:color="auto"/>
              <w:bottom w:val="nil"/>
              <w:right w:val="single" w:sz="4" w:space="0" w:color="auto"/>
            </w:tcBorders>
            <w:shd w:val="clear" w:color="auto" w:fill="333F4F"/>
            <w:tcMar>
              <w:top w:w="15" w:type="dxa"/>
              <w:left w:w="15" w:type="dxa"/>
              <w:right w:w="15" w:type="dxa"/>
            </w:tcMar>
            <w:vAlign w:val="center"/>
          </w:tcPr>
          <w:p w14:paraId="761066FD" w14:textId="6FA31C8A"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DESDE</w:t>
            </w:r>
          </w:p>
        </w:tc>
        <w:tc>
          <w:tcPr>
            <w:tcW w:w="2693" w:type="dxa"/>
            <w:gridSpan w:val="3"/>
            <w:tcBorders>
              <w:top w:val="single" w:sz="4" w:space="0" w:color="auto"/>
              <w:left w:val="nil"/>
              <w:bottom w:val="nil"/>
              <w:right w:val="single" w:sz="4" w:space="0" w:color="auto"/>
            </w:tcBorders>
            <w:shd w:val="clear" w:color="auto" w:fill="8497B0"/>
            <w:tcMar>
              <w:top w:w="15" w:type="dxa"/>
              <w:left w:w="15" w:type="dxa"/>
              <w:right w:w="15" w:type="dxa"/>
            </w:tcMar>
            <w:vAlign w:val="center"/>
          </w:tcPr>
          <w:p w14:paraId="638D06FA" w14:textId="7E5D7D6E"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HASTA</w:t>
            </w:r>
          </w:p>
        </w:tc>
        <w:tc>
          <w:tcPr>
            <w:tcW w:w="1209" w:type="dxa"/>
            <w:tcBorders>
              <w:top w:val="nil"/>
              <w:left w:val="nil"/>
              <w:bottom w:val="nil"/>
              <w:right w:val="nil"/>
            </w:tcBorders>
            <w:tcMar>
              <w:top w:w="15" w:type="dxa"/>
              <w:left w:w="15" w:type="dxa"/>
              <w:right w:w="15" w:type="dxa"/>
            </w:tcMar>
            <w:vAlign w:val="bottom"/>
          </w:tcPr>
          <w:p w14:paraId="55BD16D8" w14:textId="492AEEC4" w:rsidR="591B8064" w:rsidRPr="00C014CC" w:rsidRDefault="591B8064" w:rsidP="00C014CC">
            <w:pPr>
              <w:rPr>
                <w:rFonts w:ascii="Arial" w:hAnsi="Arial" w:cs="Arial"/>
                <w:sz w:val="22"/>
                <w:szCs w:val="24"/>
              </w:rPr>
            </w:pPr>
          </w:p>
        </w:tc>
        <w:tc>
          <w:tcPr>
            <w:tcW w:w="435" w:type="dxa"/>
            <w:tcBorders>
              <w:top w:val="nil"/>
              <w:left w:val="nil"/>
              <w:bottom w:val="nil"/>
              <w:right w:val="nil"/>
            </w:tcBorders>
            <w:tcMar>
              <w:top w:w="15" w:type="dxa"/>
              <w:left w:w="15" w:type="dxa"/>
              <w:right w:w="15" w:type="dxa"/>
            </w:tcMar>
            <w:vAlign w:val="bottom"/>
          </w:tcPr>
          <w:p w14:paraId="09E4DB89" w14:textId="2CAA0343" w:rsidR="591B8064" w:rsidRPr="00C014CC" w:rsidRDefault="591B8064" w:rsidP="00C014CC">
            <w:pPr>
              <w:rPr>
                <w:rFonts w:ascii="Arial" w:hAnsi="Arial" w:cs="Arial"/>
                <w:sz w:val="22"/>
                <w:szCs w:val="24"/>
              </w:rPr>
            </w:pPr>
          </w:p>
        </w:tc>
        <w:tc>
          <w:tcPr>
            <w:tcW w:w="1528" w:type="dxa"/>
            <w:tcBorders>
              <w:top w:val="nil"/>
              <w:left w:val="nil"/>
              <w:bottom w:val="nil"/>
              <w:right w:val="nil"/>
            </w:tcBorders>
            <w:tcMar>
              <w:top w:w="15" w:type="dxa"/>
              <w:left w:w="15" w:type="dxa"/>
              <w:right w:w="15" w:type="dxa"/>
            </w:tcMar>
            <w:vAlign w:val="bottom"/>
          </w:tcPr>
          <w:p w14:paraId="543D5A84" w14:textId="0F8957C3" w:rsidR="591B8064" w:rsidRPr="00C014CC" w:rsidRDefault="591B8064" w:rsidP="00C014CC">
            <w:pPr>
              <w:rPr>
                <w:rFonts w:ascii="Arial" w:hAnsi="Arial" w:cs="Arial"/>
                <w:sz w:val="22"/>
                <w:szCs w:val="24"/>
              </w:rPr>
            </w:pPr>
          </w:p>
        </w:tc>
      </w:tr>
      <w:tr w:rsidR="00C014CC" w:rsidRPr="00C014CC" w14:paraId="7960DB20" w14:textId="77777777" w:rsidTr="00734D01">
        <w:trPr>
          <w:trHeight w:val="285"/>
        </w:trPr>
        <w:tc>
          <w:tcPr>
            <w:tcW w:w="982" w:type="dxa"/>
            <w:tcBorders>
              <w:top w:val="single" w:sz="4" w:space="0" w:color="auto"/>
              <w:left w:val="single" w:sz="4" w:space="0" w:color="auto"/>
              <w:bottom w:val="single" w:sz="4" w:space="0" w:color="auto"/>
              <w:right w:val="single" w:sz="4" w:space="0" w:color="auto"/>
            </w:tcBorders>
            <w:shd w:val="clear" w:color="auto" w:fill="333F4F"/>
            <w:tcMar>
              <w:top w:w="15" w:type="dxa"/>
              <w:left w:w="15" w:type="dxa"/>
              <w:right w:w="15" w:type="dxa"/>
            </w:tcMar>
            <w:vAlign w:val="center"/>
          </w:tcPr>
          <w:p w14:paraId="297E1B13" w14:textId="18D0769B"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Año</w:t>
            </w:r>
          </w:p>
        </w:tc>
        <w:tc>
          <w:tcPr>
            <w:tcW w:w="982" w:type="dxa"/>
            <w:tcBorders>
              <w:top w:val="single" w:sz="4" w:space="0" w:color="auto"/>
              <w:left w:val="single" w:sz="4" w:space="0" w:color="auto"/>
              <w:bottom w:val="single" w:sz="4" w:space="0" w:color="auto"/>
              <w:right w:val="single" w:sz="4" w:space="0" w:color="auto"/>
            </w:tcBorders>
            <w:shd w:val="clear" w:color="auto" w:fill="333F4F"/>
            <w:tcMar>
              <w:top w:w="15" w:type="dxa"/>
              <w:left w:w="15" w:type="dxa"/>
              <w:right w:w="15" w:type="dxa"/>
            </w:tcMar>
            <w:vAlign w:val="center"/>
          </w:tcPr>
          <w:p w14:paraId="7779C71C" w14:textId="6AAD72A1"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Mes</w:t>
            </w:r>
          </w:p>
        </w:tc>
        <w:tc>
          <w:tcPr>
            <w:tcW w:w="1008" w:type="dxa"/>
            <w:gridSpan w:val="2"/>
            <w:tcBorders>
              <w:top w:val="single" w:sz="4" w:space="0" w:color="auto"/>
              <w:left w:val="single" w:sz="4" w:space="0" w:color="auto"/>
              <w:bottom w:val="single" w:sz="4" w:space="0" w:color="auto"/>
              <w:right w:val="single" w:sz="4" w:space="0" w:color="auto"/>
            </w:tcBorders>
            <w:shd w:val="clear" w:color="auto" w:fill="333F4F"/>
            <w:tcMar>
              <w:top w:w="15" w:type="dxa"/>
              <w:left w:w="15" w:type="dxa"/>
              <w:right w:w="15" w:type="dxa"/>
            </w:tcMar>
            <w:vAlign w:val="center"/>
          </w:tcPr>
          <w:p w14:paraId="1641B5A9" w14:textId="096FBA4D"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Día</w:t>
            </w:r>
          </w:p>
        </w:tc>
        <w:tc>
          <w:tcPr>
            <w:tcW w:w="851" w:type="dxa"/>
            <w:tcBorders>
              <w:top w:val="single" w:sz="4" w:space="0" w:color="auto"/>
              <w:left w:val="single" w:sz="4" w:space="0" w:color="auto"/>
              <w:bottom w:val="single" w:sz="4" w:space="0" w:color="auto"/>
              <w:right w:val="single" w:sz="4" w:space="0" w:color="auto"/>
            </w:tcBorders>
            <w:shd w:val="clear" w:color="auto" w:fill="8497B0"/>
            <w:tcMar>
              <w:top w:w="15" w:type="dxa"/>
              <w:left w:w="15" w:type="dxa"/>
              <w:right w:w="15" w:type="dxa"/>
            </w:tcMar>
            <w:vAlign w:val="center"/>
          </w:tcPr>
          <w:p w14:paraId="51CCBF16" w14:textId="04E990A0"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Año</w:t>
            </w:r>
          </w:p>
        </w:tc>
        <w:tc>
          <w:tcPr>
            <w:tcW w:w="992" w:type="dxa"/>
            <w:tcBorders>
              <w:top w:val="single" w:sz="4" w:space="0" w:color="auto"/>
              <w:left w:val="single" w:sz="4" w:space="0" w:color="auto"/>
              <w:bottom w:val="single" w:sz="4" w:space="0" w:color="auto"/>
              <w:right w:val="single" w:sz="4" w:space="0" w:color="auto"/>
            </w:tcBorders>
            <w:shd w:val="clear" w:color="auto" w:fill="8497B0"/>
            <w:tcMar>
              <w:top w:w="15" w:type="dxa"/>
              <w:left w:w="15" w:type="dxa"/>
              <w:right w:w="15" w:type="dxa"/>
            </w:tcMar>
            <w:vAlign w:val="center"/>
          </w:tcPr>
          <w:p w14:paraId="1B7F5BCD" w14:textId="32417974"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Mes</w:t>
            </w:r>
          </w:p>
        </w:tc>
        <w:tc>
          <w:tcPr>
            <w:tcW w:w="850" w:type="dxa"/>
            <w:tcBorders>
              <w:top w:val="single" w:sz="4" w:space="0" w:color="auto"/>
              <w:left w:val="single" w:sz="4" w:space="0" w:color="auto"/>
              <w:bottom w:val="single" w:sz="4" w:space="0" w:color="auto"/>
              <w:right w:val="single" w:sz="4" w:space="0" w:color="auto"/>
            </w:tcBorders>
            <w:shd w:val="clear" w:color="auto" w:fill="8497B0"/>
            <w:tcMar>
              <w:top w:w="15" w:type="dxa"/>
              <w:left w:w="15" w:type="dxa"/>
              <w:right w:w="15" w:type="dxa"/>
            </w:tcMar>
            <w:vAlign w:val="center"/>
          </w:tcPr>
          <w:p w14:paraId="661EB0C5" w14:textId="5B82981C"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Día</w:t>
            </w:r>
          </w:p>
        </w:tc>
        <w:tc>
          <w:tcPr>
            <w:tcW w:w="1209" w:type="dxa"/>
            <w:tcBorders>
              <w:top w:val="single" w:sz="4" w:space="0" w:color="auto"/>
              <w:left w:val="single" w:sz="4" w:space="0" w:color="auto"/>
              <w:bottom w:val="single" w:sz="4" w:space="0" w:color="auto"/>
              <w:right w:val="single" w:sz="4" w:space="0" w:color="auto"/>
            </w:tcBorders>
            <w:shd w:val="clear" w:color="auto" w:fill="8497B0"/>
            <w:tcMar>
              <w:top w:w="15" w:type="dxa"/>
              <w:left w:w="15" w:type="dxa"/>
              <w:right w:w="15" w:type="dxa"/>
            </w:tcMar>
            <w:vAlign w:val="center"/>
          </w:tcPr>
          <w:p w14:paraId="7E83CAE2" w14:textId="3A24944B"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IBC</w:t>
            </w:r>
          </w:p>
        </w:tc>
        <w:tc>
          <w:tcPr>
            <w:tcW w:w="435" w:type="dxa"/>
            <w:tcBorders>
              <w:top w:val="single" w:sz="4" w:space="0" w:color="auto"/>
              <w:left w:val="single" w:sz="4" w:space="0" w:color="auto"/>
              <w:bottom w:val="single" w:sz="4" w:space="0" w:color="auto"/>
              <w:right w:val="single" w:sz="4" w:space="0" w:color="auto"/>
            </w:tcBorders>
            <w:shd w:val="clear" w:color="auto" w:fill="8497B0"/>
            <w:tcMar>
              <w:top w:w="15" w:type="dxa"/>
              <w:left w:w="15" w:type="dxa"/>
              <w:right w:w="15" w:type="dxa"/>
            </w:tcMar>
            <w:vAlign w:val="center"/>
          </w:tcPr>
          <w:p w14:paraId="1373FB11" w14:textId="40BA64BE"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 Días</w:t>
            </w:r>
          </w:p>
        </w:tc>
        <w:tc>
          <w:tcPr>
            <w:tcW w:w="1528" w:type="dxa"/>
            <w:tcBorders>
              <w:top w:val="single" w:sz="4" w:space="0" w:color="auto"/>
              <w:left w:val="single" w:sz="4" w:space="0" w:color="auto"/>
              <w:bottom w:val="single" w:sz="4" w:space="0" w:color="auto"/>
              <w:right w:val="single" w:sz="4" w:space="0" w:color="auto"/>
            </w:tcBorders>
            <w:shd w:val="clear" w:color="auto" w:fill="8497B0"/>
            <w:tcMar>
              <w:top w:w="15" w:type="dxa"/>
              <w:left w:w="15" w:type="dxa"/>
              <w:right w:w="15" w:type="dxa"/>
            </w:tcMar>
            <w:vAlign w:val="center"/>
          </w:tcPr>
          <w:p w14:paraId="207A4C12" w14:textId="08D575E8" w:rsidR="591B8064" w:rsidRPr="00C014CC" w:rsidRDefault="591B8064" w:rsidP="00C014CC">
            <w:pPr>
              <w:jc w:val="center"/>
              <w:rPr>
                <w:rFonts w:ascii="Arial" w:hAnsi="Arial" w:cs="Arial"/>
                <w:sz w:val="22"/>
                <w:szCs w:val="24"/>
              </w:rPr>
            </w:pPr>
            <w:r w:rsidRPr="00C014CC">
              <w:rPr>
                <w:rFonts w:ascii="Arial" w:eastAsia="Arial Nova Cond" w:hAnsi="Arial" w:cs="Arial"/>
                <w:b/>
                <w:bCs/>
                <w:sz w:val="22"/>
                <w:szCs w:val="24"/>
              </w:rPr>
              <w:t>SALARIOS</w:t>
            </w:r>
          </w:p>
        </w:tc>
      </w:tr>
      <w:tr w:rsidR="00C014CC" w:rsidRPr="00C014CC" w14:paraId="5F930890" w14:textId="77777777" w:rsidTr="00734D01">
        <w:trPr>
          <w:trHeight w:val="285"/>
        </w:trPr>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A72463" w14:textId="25E77A42"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1991</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2C4F95" w14:textId="00D859D8"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01</w:t>
            </w:r>
          </w:p>
        </w:tc>
        <w:tc>
          <w:tcPr>
            <w:tcW w:w="100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9A7FE2" w14:textId="75F17BFE"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31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5368D" w14:textId="376DCB63"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1991</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9A08F7" w14:textId="463FA877"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07</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86E74A" w14:textId="4321A4B6"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31</w:t>
            </w:r>
          </w:p>
        </w:tc>
        <w:tc>
          <w:tcPr>
            <w:tcW w:w="12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CD10A" w14:textId="4FCF96F1"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$ 61.950,00</w:t>
            </w:r>
          </w:p>
        </w:tc>
        <w:tc>
          <w:tcPr>
            <w:tcW w:w="43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07DB2C27" w14:textId="2A528AB1"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182</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3CDD52" w14:textId="08DCD684"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$ 375.830,00</w:t>
            </w:r>
          </w:p>
        </w:tc>
      </w:tr>
      <w:tr w:rsidR="00C014CC" w:rsidRPr="00C014CC" w14:paraId="79C8B1BE" w14:textId="77777777" w:rsidTr="00734D01">
        <w:trPr>
          <w:trHeight w:val="285"/>
        </w:trPr>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9C082A" w14:textId="1762B1AB"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1991</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E3782" w14:textId="4F6B7625"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08</w:t>
            </w:r>
          </w:p>
        </w:tc>
        <w:tc>
          <w:tcPr>
            <w:tcW w:w="100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467F78" w14:textId="7E1E2BD9"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01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242D66" w14:textId="57E230A7"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1991</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3639F4" w14:textId="4B4577E9"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12</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054356" w14:textId="72E1D149"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31</w:t>
            </w:r>
          </w:p>
        </w:tc>
        <w:tc>
          <w:tcPr>
            <w:tcW w:w="12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F85DA" w14:textId="778AD0B9"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$ 99.630,00</w:t>
            </w:r>
          </w:p>
        </w:tc>
        <w:tc>
          <w:tcPr>
            <w:tcW w:w="43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5D9436CB" w14:textId="4BD63B27"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153</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CCF44" w14:textId="6013DE93"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$ 508.113,00</w:t>
            </w:r>
          </w:p>
        </w:tc>
      </w:tr>
      <w:tr w:rsidR="00C014CC" w:rsidRPr="00C014CC" w14:paraId="54F77DE5" w14:textId="77777777" w:rsidTr="00734D01">
        <w:trPr>
          <w:trHeight w:val="285"/>
        </w:trPr>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CD4E43" w14:textId="00A99C20"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1992</w:t>
            </w:r>
          </w:p>
        </w:tc>
        <w:tc>
          <w:tcPr>
            <w:tcW w:w="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7402D0" w14:textId="72B4FD32"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01</w:t>
            </w:r>
          </w:p>
        </w:tc>
        <w:tc>
          <w:tcPr>
            <w:tcW w:w="1008"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9892E" w14:textId="0BC87B28"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01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39046E" w14:textId="37841CEE"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1992</w:t>
            </w:r>
          </w:p>
        </w:tc>
        <w:tc>
          <w:tcPr>
            <w:tcW w:w="9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1B25A6" w14:textId="7B0C72B4"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12</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572678" w14:textId="18368F6B"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31</w:t>
            </w:r>
          </w:p>
        </w:tc>
        <w:tc>
          <w:tcPr>
            <w:tcW w:w="12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FE3FCB" w14:textId="588D69D1"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$ 99.630,00</w:t>
            </w:r>
          </w:p>
        </w:tc>
        <w:tc>
          <w:tcPr>
            <w:tcW w:w="435"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14:paraId="3FE0439C" w14:textId="553A8895"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365</w:t>
            </w:r>
          </w:p>
        </w:tc>
        <w:tc>
          <w:tcPr>
            <w:tcW w:w="15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3BF9D" w14:textId="0E02963E" w:rsidR="591B8064" w:rsidRPr="00C014CC" w:rsidRDefault="591B8064" w:rsidP="00C014CC">
            <w:pPr>
              <w:jc w:val="center"/>
              <w:rPr>
                <w:rFonts w:ascii="Arial" w:hAnsi="Arial" w:cs="Arial"/>
                <w:sz w:val="22"/>
                <w:szCs w:val="24"/>
              </w:rPr>
            </w:pPr>
            <w:r w:rsidRPr="00C014CC">
              <w:rPr>
                <w:rFonts w:ascii="Arial" w:eastAsia="Arial Nova Cond" w:hAnsi="Arial" w:cs="Arial"/>
                <w:sz w:val="22"/>
                <w:szCs w:val="24"/>
              </w:rPr>
              <w:t>$ 1.212.165,00</w:t>
            </w:r>
          </w:p>
        </w:tc>
      </w:tr>
      <w:tr w:rsidR="00C014CC" w:rsidRPr="00C014CC" w14:paraId="687CA78A" w14:textId="77777777" w:rsidTr="00734D01">
        <w:trPr>
          <w:trHeight w:val="285"/>
        </w:trPr>
        <w:tc>
          <w:tcPr>
            <w:tcW w:w="982" w:type="dxa"/>
            <w:tcBorders>
              <w:top w:val="single" w:sz="4" w:space="0" w:color="auto"/>
              <w:left w:val="nil"/>
              <w:bottom w:val="nil"/>
              <w:right w:val="nil"/>
            </w:tcBorders>
            <w:tcMar>
              <w:top w:w="15" w:type="dxa"/>
              <w:left w:w="15" w:type="dxa"/>
              <w:right w:w="15" w:type="dxa"/>
            </w:tcMar>
            <w:vAlign w:val="bottom"/>
          </w:tcPr>
          <w:p w14:paraId="4F146EF1" w14:textId="775EEBC7" w:rsidR="591B8064" w:rsidRPr="00C014CC" w:rsidRDefault="591B8064" w:rsidP="00C014CC">
            <w:pPr>
              <w:rPr>
                <w:rFonts w:ascii="Arial" w:hAnsi="Arial" w:cs="Arial"/>
                <w:sz w:val="22"/>
                <w:szCs w:val="24"/>
              </w:rPr>
            </w:pPr>
          </w:p>
        </w:tc>
        <w:tc>
          <w:tcPr>
            <w:tcW w:w="982" w:type="dxa"/>
            <w:tcBorders>
              <w:top w:val="single" w:sz="4" w:space="0" w:color="auto"/>
              <w:left w:val="nil"/>
              <w:bottom w:val="nil"/>
              <w:right w:val="nil"/>
            </w:tcBorders>
            <w:tcMar>
              <w:top w:w="15" w:type="dxa"/>
              <w:left w:w="15" w:type="dxa"/>
              <w:right w:w="15" w:type="dxa"/>
            </w:tcMar>
            <w:vAlign w:val="bottom"/>
          </w:tcPr>
          <w:p w14:paraId="113BC1ED" w14:textId="639215C4" w:rsidR="591B8064" w:rsidRPr="00C014CC" w:rsidRDefault="591B8064" w:rsidP="00C014CC">
            <w:pPr>
              <w:rPr>
                <w:rFonts w:ascii="Arial" w:hAnsi="Arial" w:cs="Arial"/>
                <w:sz w:val="22"/>
                <w:szCs w:val="24"/>
              </w:rPr>
            </w:pPr>
          </w:p>
        </w:tc>
        <w:tc>
          <w:tcPr>
            <w:tcW w:w="1008" w:type="dxa"/>
            <w:gridSpan w:val="2"/>
            <w:tcBorders>
              <w:top w:val="single" w:sz="4" w:space="0" w:color="auto"/>
              <w:left w:val="nil"/>
              <w:bottom w:val="nil"/>
              <w:right w:val="nil"/>
            </w:tcBorders>
            <w:tcMar>
              <w:top w:w="15" w:type="dxa"/>
              <w:left w:w="15" w:type="dxa"/>
              <w:right w:w="15" w:type="dxa"/>
            </w:tcMar>
            <w:vAlign w:val="bottom"/>
          </w:tcPr>
          <w:p w14:paraId="211440EF" w14:textId="6880ADF9" w:rsidR="591B8064" w:rsidRPr="00C014CC" w:rsidRDefault="591B8064" w:rsidP="00C014CC">
            <w:pPr>
              <w:rPr>
                <w:rFonts w:ascii="Arial" w:hAnsi="Arial" w:cs="Arial"/>
                <w:sz w:val="22"/>
                <w:szCs w:val="24"/>
              </w:rPr>
            </w:pPr>
          </w:p>
        </w:tc>
        <w:tc>
          <w:tcPr>
            <w:tcW w:w="851" w:type="dxa"/>
            <w:tcBorders>
              <w:top w:val="single" w:sz="4" w:space="0" w:color="auto"/>
              <w:left w:val="nil"/>
              <w:bottom w:val="nil"/>
              <w:right w:val="nil"/>
            </w:tcBorders>
            <w:tcMar>
              <w:top w:w="15" w:type="dxa"/>
              <w:left w:w="15" w:type="dxa"/>
              <w:right w:w="15" w:type="dxa"/>
            </w:tcMar>
            <w:vAlign w:val="bottom"/>
          </w:tcPr>
          <w:p w14:paraId="1CA867E0" w14:textId="12F1AB15" w:rsidR="591B8064" w:rsidRPr="00C014CC" w:rsidRDefault="591B8064" w:rsidP="00C014CC">
            <w:pPr>
              <w:rPr>
                <w:rFonts w:ascii="Arial" w:hAnsi="Arial" w:cs="Arial"/>
                <w:sz w:val="22"/>
                <w:szCs w:val="24"/>
              </w:rPr>
            </w:pPr>
          </w:p>
        </w:tc>
        <w:tc>
          <w:tcPr>
            <w:tcW w:w="992" w:type="dxa"/>
            <w:tcBorders>
              <w:top w:val="single" w:sz="4" w:space="0" w:color="auto"/>
              <w:left w:val="nil"/>
              <w:bottom w:val="nil"/>
              <w:right w:val="nil"/>
            </w:tcBorders>
            <w:tcMar>
              <w:top w:w="15" w:type="dxa"/>
              <w:left w:w="15" w:type="dxa"/>
              <w:right w:w="15" w:type="dxa"/>
            </w:tcMar>
            <w:vAlign w:val="bottom"/>
          </w:tcPr>
          <w:p w14:paraId="0422B660" w14:textId="7AA1028F" w:rsidR="591B8064" w:rsidRPr="00C014CC" w:rsidRDefault="591B8064" w:rsidP="00C014CC">
            <w:pPr>
              <w:rPr>
                <w:rFonts w:ascii="Arial" w:hAnsi="Arial" w:cs="Arial"/>
                <w:sz w:val="22"/>
                <w:szCs w:val="24"/>
              </w:rPr>
            </w:pPr>
          </w:p>
        </w:tc>
        <w:tc>
          <w:tcPr>
            <w:tcW w:w="850" w:type="dxa"/>
            <w:tcBorders>
              <w:top w:val="single" w:sz="4" w:space="0" w:color="auto"/>
              <w:left w:val="nil"/>
              <w:bottom w:val="nil"/>
              <w:right w:val="nil"/>
            </w:tcBorders>
            <w:tcMar>
              <w:top w:w="15" w:type="dxa"/>
              <w:left w:w="15" w:type="dxa"/>
              <w:right w:w="15" w:type="dxa"/>
            </w:tcMar>
            <w:vAlign w:val="bottom"/>
          </w:tcPr>
          <w:p w14:paraId="35DF0CB4" w14:textId="5519F6ED" w:rsidR="591B8064" w:rsidRPr="00C014CC" w:rsidRDefault="591B8064" w:rsidP="00C014CC">
            <w:pPr>
              <w:rPr>
                <w:rFonts w:ascii="Arial" w:hAnsi="Arial" w:cs="Arial"/>
                <w:sz w:val="22"/>
                <w:szCs w:val="24"/>
              </w:rPr>
            </w:pPr>
          </w:p>
        </w:tc>
        <w:tc>
          <w:tcPr>
            <w:tcW w:w="1209" w:type="dxa"/>
            <w:tcBorders>
              <w:top w:val="single" w:sz="4" w:space="0" w:color="auto"/>
              <w:left w:val="nil"/>
              <w:bottom w:val="nil"/>
              <w:right w:val="nil"/>
            </w:tcBorders>
            <w:tcMar>
              <w:top w:w="15" w:type="dxa"/>
              <w:left w:w="15" w:type="dxa"/>
              <w:right w:w="15" w:type="dxa"/>
            </w:tcMar>
            <w:vAlign w:val="bottom"/>
          </w:tcPr>
          <w:p w14:paraId="6AFCA5CA" w14:textId="7D36969A" w:rsidR="591B8064" w:rsidRPr="00C014CC" w:rsidRDefault="591B8064" w:rsidP="00C014CC">
            <w:pPr>
              <w:rPr>
                <w:rFonts w:ascii="Arial" w:hAnsi="Arial" w:cs="Arial"/>
                <w:sz w:val="22"/>
                <w:szCs w:val="24"/>
              </w:rPr>
            </w:pPr>
          </w:p>
        </w:tc>
        <w:tc>
          <w:tcPr>
            <w:tcW w:w="435" w:type="dxa"/>
            <w:tcBorders>
              <w:top w:val="single" w:sz="4" w:space="0" w:color="auto"/>
              <w:left w:val="nil"/>
              <w:bottom w:val="nil"/>
              <w:right w:val="nil"/>
            </w:tcBorders>
            <w:tcMar>
              <w:top w:w="15" w:type="dxa"/>
              <w:left w:w="15" w:type="dxa"/>
              <w:right w:w="15" w:type="dxa"/>
            </w:tcMar>
            <w:vAlign w:val="bottom"/>
          </w:tcPr>
          <w:p w14:paraId="50673B07" w14:textId="7A19A709" w:rsidR="591B8064" w:rsidRPr="00C014CC" w:rsidRDefault="591B8064" w:rsidP="00C014CC">
            <w:pPr>
              <w:rPr>
                <w:rFonts w:ascii="Arial" w:hAnsi="Arial" w:cs="Arial"/>
                <w:sz w:val="22"/>
                <w:szCs w:val="24"/>
              </w:rPr>
            </w:pPr>
          </w:p>
        </w:tc>
        <w:tc>
          <w:tcPr>
            <w:tcW w:w="1528" w:type="dxa"/>
            <w:tcBorders>
              <w:top w:val="single" w:sz="4" w:space="0" w:color="auto"/>
              <w:left w:val="nil"/>
              <w:bottom w:val="nil"/>
              <w:right w:val="nil"/>
            </w:tcBorders>
            <w:tcMar>
              <w:top w:w="15" w:type="dxa"/>
              <w:left w:w="15" w:type="dxa"/>
              <w:right w:w="15" w:type="dxa"/>
            </w:tcMar>
            <w:vAlign w:val="bottom"/>
          </w:tcPr>
          <w:p w14:paraId="0701C1A4" w14:textId="18E96C66" w:rsidR="591B8064" w:rsidRPr="00C014CC" w:rsidRDefault="591B8064" w:rsidP="00C014CC">
            <w:pPr>
              <w:rPr>
                <w:rFonts w:ascii="Arial" w:hAnsi="Arial" w:cs="Arial"/>
                <w:sz w:val="22"/>
                <w:szCs w:val="24"/>
              </w:rPr>
            </w:pPr>
          </w:p>
        </w:tc>
      </w:tr>
      <w:tr w:rsidR="00C014CC" w:rsidRPr="00C014CC" w14:paraId="09D1766B"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71DE535D" w14:textId="26D75121"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2C23D5E9" w14:textId="042B29AE"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6C0EC136" w14:textId="60E26EFF"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4A825" w14:textId="1A430409" w:rsidR="591B8064" w:rsidRPr="00C014CC" w:rsidRDefault="591B8064" w:rsidP="00C014CC">
            <w:pPr>
              <w:jc w:val="right"/>
              <w:rPr>
                <w:rFonts w:ascii="Arial" w:hAnsi="Arial" w:cs="Arial"/>
                <w:sz w:val="22"/>
                <w:szCs w:val="24"/>
              </w:rPr>
            </w:pPr>
            <w:r w:rsidRPr="00C014CC">
              <w:rPr>
                <w:rFonts w:ascii="Arial" w:eastAsia="Arial Nova Cond" w:hAnsi="Arial" w:cs="Arial"/>
                <w:sz w:val="22"/>
                <w:szCs w:val="24"/>
              </w:rPr>
              <w:t>SUMATORIA DEVENGADO</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27F2E49" w14:textId="29363F3F" w:rsidR="591B8064" w:rsidRPr="00C014CC" w:rsidRDefault="591B8064" w:rsidP="00C014CC">
            <w:pPr>
              <w:rPr>
                <w:rFonts w:ascii="Arial" w:hAnsi="Arial" w:cs="Arial"/>
                <w:sz w:val="22"/>
                <w:szCs w:val="24"/>
              </w:rPr>
            </w:pPr>
            <w:r w:rsidRPr="00C014CC">
              <w:rPr>
                <w:rFonts w:ascii="Arial" w:eastAsia="Arial Nova Cond" w:hAnsi="Arial" w:cs="Arial"/>
                <w:sz w:val="22"/>
                <w:szCs w:val="24"/>
              </w:rPr>
              <w:t>$ 2.096.108,00</w:t>
            </w:r>
          </w:p>
        </w:tc>
      </w:tr>
      <w:tr w:rsidR="00C014CC" w:rsidRPr="00C014CC" w14:paraId="0B412DD6"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0073DCFB" w14:textId="62D1AA16"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7B12B4BA" w14:textId="10A3B55F"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01F576D6" w14:textId="79A96207"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F5F8B" w14:textId="78A9355E" w:rsidR="591B8064" w:rsidRPr="00C014CC" w:rsidRDefault="00623264" w:rsidP="00623264">
            <w:pPr>
              <w:jc w:val="right"/>
              <w:rPr>
                <w:rFonts w:ascii="Arial" w:hAnsi="Arial" w:cs="Arial"/>
                <w:sz w:val="22"/>
                <w:szCs w:val="24"/>
              </w:rPr>
            </w:pPr>
            <w:r w:rsidRPr="00C014CC">
              <w:rPr>
                <w:rFonts w:ascii="Arial" w:eastAsia="Arial Nova Cond" w:hAnsi="Arial" w:cs="Arial"/>
                <w:sz w:val="22"/>
                <w:szCs w:val="24"/>
              </w:rPr>
              <w:t>CENTÉSIMA</w:t>
            </w:r>
            <w:r w:rsidR="591B8064" w:rsidRPr="00C014CC">
              <w:rPr>
                <w:rFonts w:ascii="Arial" w:eastAsia="Arial Nova Cond" w:hAnsi="Arial" w:cs="Arial"/>
                <w:sz w:val="22"/>
                <w:szCs w:val="24"/>
              </w:rPr>
              <w:t xml:space="preserve"> PARTE SALARIOS </w:t>
            </w:r>
            <w:r>
              <w:rPr>
                <w:rFonts w:ascii="Arial" w:eastAsia="Arial Nova Cond" w:hAnsi="Arial" w:cs="Arial"/>
                <w:sz w:val="22"/>
                <w:szCs w:val="24"/>
              </w:rPr>
              <w:t>DE</w:t>
            </w:r>
            <w:r w:rsidR="591B8064" w:rsidRPr="00C014CC">
              <w:rPr>
                <w:rFonts w:ascii="Arial" w:eastAsia="Arial Nova Cond" w:hAnsi="Arial" w:cs="Arial"/>
                <w:sz w:val="22"/>
                <w:szCs w:val="24"/>
              </w:rPr>
              <w:t>VENGADOS</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714DC370" w14:textId="699F2410" w:rsidR="591B8064" w:rsidRPr="00C014CC" w:rsidRDefault="591B8064" w:rsidP="00C014CC">
            <w:pPr>
              <w:rPr>
                <w:rFonts w:ascii="Arial" w:hAnsi="Arial" w:cs="Arial"/>
                <w:sz w:val="22"/>
                <w:szCs w:val="24"/>
              </w:rPr>
            </w:pPr>
            <w:r w:rsidRPr="00C014CC">
              <w:rPr>
                <w:rFonts w:ascii="Arial" w:eastAsia="Arial Nova Cond" w:hAnsi="Arial" w:cs="Arial"/>
                <w:sz w:val="22"/>
                <w:szCs w:val="24"/>
              </w:rPr>
              <w:t>$ 20.961,08</w:t>
            </w:r>
          </w:p>
        </w:tc>
      </w:tr>
      <w:tr w:rsidR="00C014CC" w:rsidRPr="00C014CC" w14:paraId="4AC05C91" w14:textId="77777777" w:rsidTr="00623264">
        <w:trPr>
          <w:trHeight w:val="247"/>
        </w:trPr>
        <w:tc>
          <w:tcPr>
            <w:tcW w:w="982" w:type="dxa"/>
            <w:tcBorders>
              <w:top w:val="nil"/>
              <w:left w:val="nil"/>
              <w:bottom w:val="nil"/>
              <w:right w:val="nil"/>
            </w:tcBorders>
            <w:tcMar>
              <w:top w:w="15" w:type="dxa"/>
              <w:left w:w="15" w:type="dxa"/>
              <w:right w:w="15" w:type="dxa"/>
            </w:tcMar>
            <w:vAlign w:val="bottom"/>
          </w:tcPr>
          <w:p w14:paraId="228FF712" w14:textId="38AE3EFD"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65E2DA69" w14:textId="41F40D9C"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6432C8F1" w14:textId="2650233F"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EBDBBB" w14:textId="2BE34119" w:rsidR="591B8064" w:rsidRPr="00C014CC" w:rsidRDefault="591B8064" w:rsidP="00C014CC">
            <w:pPr>
              <w:jc w:val="right"/>
              <w:rPr>
                <w:rFonts w:ascii="Arial" w:hAnsi="Arial" w:cs="Arial"/>
                <w:sz w:val="22"/>
                <w:szCs w:val="24"/>
              </w:rPr>
            </w:pPr>
            <w:r w:rsidRPr="00C014CC">
              <w:rPr>
                <w:rFonts w:ascii="Arial" w:eastAsia="Arial Nova Cond" w:hAnsi="Arial" w:cs="Arial"/>
                <w:sz w:val="22"/>
                <w:szCs w:val="24"/>
              </w:rPr>
              <w:t>FACTOR SEMANAS AÑO/MESES AÑO</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1E470154" w14:textId="72220F8F" w:rsidR="591B8064" w:rsidRPr="00C014CC" w:rsidRDefault="00623264" w:rsidP="00C014CC">
            <w:pPr>
              <w:rPr>
                <w:rFonts w:ascii="Arial" w:hAnsi="Arial" w:cs="Arial"/>
                <w:sz w:val="22"/>
                <w:szCs w:val="24"/>
              </w:rPr>
            </w:pPr>
            <w:r>
              <w:rPr>
                <w:rFonts w:ascii="Arial" w:eastAsia="Arial Nova Cond" w:hAnsi="Arial" w:cs="Arial"/>
                <w:sz w:val="22"/>
                <w:szCs w:val="24"/>
              </w:rPr>
              <w:t xml:space="preserve"> </w:t>
            </w:r>
            <w:r w:rsidR="591B8064" w:rsidRPr="00C014CC">
              <w:rPr>
                <w:rFonts w:ascii="Arial" w:eastAsia="Arial Nova Cond" w:hAnsi="Arial" w:cs="Arial"/>
                <w:sz w:val="22"/>
                <w:szCs w:val="24"/>
              </w:rPr>
              <w:t xml:space="preserve">     4,33 </w:t>
            </w:r>
          </w:p>
        </w:tc>
      </w:tr>
      <w:tr w:rsidR="00C014CC" w:rsidRPr="00C014CC" w14:paraId="6D3D5559"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4D2BE714" w14:textId="13D35D59"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5FE68CCF" w14:textId="7E46AA14"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231FA2CD" w14:textId="7E514DCC"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B0DE48" w14:textId="7A50D3F7" w:rsidR="591B8064" w:rsidRPr="00C014CC" w:rsidRDefault="591B8064" w:rsidP="00C014CC">
            <w:pPr>
              <w:jc w:val="right"/>
              <w:rPr>
                <w:rFonts w:ascii="Arial" w:hAnsi="Arial" w:cs="Arial"/>
                <w:sz w:val="22"/>
                <w:szCs w:val="24"/>
              </w:rPr>
            </w:pPr>
            <w:r w:rsidRPr="00C014CC">
              <w:rPr>
                <w:rFonts w:ascii="Arial" w:eastAsia="Arial Nova Cond" w:hAnsi="Arial" w:cs="Arial"/>
                <w:sz w:val="22"/>
                <w:szCs w:val="24"/>
              </w:rPr>
              <w:t>SALARIO MENSUAL BASE</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7D2C310D" w14:textId="1B957326" w:rsidR="591B8064" w:rsidRPr="00C014CC" w:rsidRDefault="591B8064" w:rsidP="00C014CC">
            <w:pPr>
              <w:rPr>
                <w:rFonts w:ascii="Arial" w:hAnsi="Arial" w:cs="Arial"/>
                <w:sz w:val="22"/>
                <w:szCs w:val="24"/>
              </w:rPr>
            </w:pPr>
            <w:r w:rsidRPr="00C014CC">
              <w:rPr>
                <w:rFonts w:ascii="Arial" w:eastAsia="Arial Nova Cond" w:hAnsi="Arial" w:cs="Arial"/>
                <w:sz w:val="22"/>
                <w:szCs w:val="24"/>
              </w:rPr>
              <w:t>$ 90.761,48</w:t>
            </w:r>
          </w:p>
        </w:tc>
      </w:tr>
      <w:tr w:rsidR="00C014CC" w:rsidRPr="00C014CC" w14:paraId="32BB392B" w14:textId="77777777" w:rsidTr="00734D01">
        <w:trPr>
          <w:trHeight w:val="285"/>
        </w:trPr>
        <w:tc>
          <w:tcPr>
            <w:tcW w:w="982" w:type="dxa"/>
            <w:tcBorders>
              <w:top w:val="nil"/>
              <w:left w:val="nil"/>
              <w:bottom w:val="nil"/>
              <w:right w:val="nil"/>
            </w:tcBorders>
            <w:tcMar>
              <w:top w:w="15" w:type="dxa"/>
              <w:left w:w="15" w:type="dxa"/>
              <w:right w:w="15" w:type="dxa"/>
            </w:tcMar>
            <w:vAlign w:val="bottom"/>
          </w:tcPr>
          <w:p w14:paraId="703FEC4F" w14:textId="569B9ECD"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21CD9F28" w14:textId="47A67E06" w:rsidR="591B8064" w:rsidRPr="00C014CC" w:rsidRDefault="591B8064" w:rsidP="00C014CC">
            <w:pPr>
              <w:rPr>
                <w:rFonts w:ascii="Arial" w:hAnsi="Arial" w:cs="Arial"/>
                <w:sz w:val="22"/>
                <w:szCs w:val="24"/>
              </w:rPr>
            </w:pPr>
          </w:p>
        </w:tc>
        <w:tc>
          <w:tcPr>
            <w:tcW w:w="1008" w:type="dxa"/>
            <w:gridSpan w:val="2"/>
            <w:tcBorders>
              <w:top w:val="nil"/>
              <w:left w:val="nil"/>
              <w:bottom w:val="nil"/>
              <w:right w:val="nil"/>
            </w:tcBorders>
            <w:tcMar>
              <w:top w:w="15" w:type="dxa"/>
              <w:left w:w="15" w:type="dxa"/>
              <w:right w:w="15" w:type="dxa"/>
            </w:tcMar>
            <w:vAlign w:val="bottom"/>
          </w:tcPr>
          <w:p w14:paraId="35D68E03" w14:textId="2C506DD5" w:rsidR="591B8064" w:rsidRPr="00C014CC" w:rsidRDefault="591B8064" w:rsidP="00C014CC">
            <w:pPr>
              <w:rPr>
                <w:rFonts w:ascii="Arial" w:hAnsi="Arial" w:cs="Arial"/>
                <w:sz w:val="22"/>
                <w:szCs w:val="24"/>
              </w:rPr>
            </w:pPr>
          </w:p>
        </w:tc>
        <w:tc>
          <w:tcPr>
            <w:tcW w:w="851" w:type="dxa"/>
            <w:tcBorders>
              <w:top w:val="single" w:sz="4" w:space="0" w:color="auto"/>
              <w:left w:val="nil"/>
              <w:bottom w:val="nil"/>
              <w:right w:val="nil"/>
            </w:tcBorders>
            <w:tcMar>
              <w:top w:w="15" w:type="dxa"/>
              <w:left w:w="15" w:type="dxa"/>
              <w:right w:w="15" w:type="dxa"/>
            </w:tcMar>
            <w:vAlign w:val="bottom"/>
          </w:tcPr>
          <w:p w14:paraId="1942A9E8" w14:textId="3FDC69C0" w:rsidR="591B8064" w:rsidRPr="00C014CC" w:rsidRDefault="591B8064" w:rsidP="00C014CC">
            <w:pPr>
              <w:rPr>
                <w:rFonts w:ascii="Arial" w:hAnsi="Arial" w:cs="Arial"/>
                <w:sz w:val="22"/>
                <w:szCs w:val="24"/>
              </w:rPr>
            </w:pPr>
          </w:p>
        </w:tc>
        <w:tc>
          <w:tcPr>
            <w:tcW w:w="992" w:type="dxa"/>
            <w:tcBorders>
              <w:top w:val="nil"/>
              <w:left w:val="nil"/>
              <w:bottom w:val="nil"/>
              <w:right w:val="nil"/>
            </w:tcBorders>
            <w:tcMar>
              <w:top w:w="15" w:type="dxa"/>
              <w:left w:w="15" w:type="dxa"/>
              <w:right w:w="15" w:type="dxa"/>
            </w:tcMar>
            <w:vAlign w:val="bottom"/>
          </w:tcPr>
          <w:p w14:paraId="3BD84771" w14:textId="71EC92ED" w:rsidR="591B8064" w:rsidRPr="00C014CC" w:rsidRDefault="591B8064" w:rsidP="00C014CC">
            <w:pPr>
              <w:rPr>
                <w:rFonts w:ascii="Arial" w:hAnsi="Arial" w:cs="Arial"/>
                <w:sz w:val="22"/>
                <w:szCs w:val="24"/>
              </w:rPr>
            </w:pPr>
          </w:p>
        </w:tc>
        <w:tc>
          <w:tcPr>
            <w:tcW w:w="850" w:type="dxa"/>
            <w:tcBorders>
              <w:top w:val="nil"/>
              <w:left w:val="nil"/>
              <w:bottom w:val="nil"/>
              <w:right w:val="nil"/>
            </w:tcBorders>
            <w:tcMar>
              <w:top w:w="15" w:type="dxa"/>
              <w:left w:w="15" w:type="dxa"/>
              <w:right w:w="15" w:type="dxa"/>
            </w:tcMar>
            <w:vAlign w:val="bottom"/>
          </w:tcPr>
          <w:p w14:paraId="3CB5557F" w14:textId="7147DA7E" w:rsidR="591B8064" w:rsidRPr="00C014CC" w:rsidRDefault="591B8064" w:rsidP="00C014CC">
            <w:pPr>
              <w:rPr>
                <w:rFonts w:ascii="Arial" w:hAnsi="Arial" w:cs="Arial"/>
                <w:sz w:val="22"/>
                <w:szCs w:val="24"/>
              </w:rPr>
            </w:pPr>
          </w:p>
        </w:tc>
        <w:tc>
          <w:tcPr>
            <w:tcW w:w="1209" w:type="dxa"/>
            <w:tcBorders>
              <w:top w:val="nil"/>
              <w:left w:val="nil"/>
              <w:bottom w:val="nil"/>
              <w:right w:val="nil"/>
            </w:tcBorders>
            <w:tcMar>
              <w:top w:w="15" w:type="dxa"/>
              <w:left w:w="15" w:type="dxa"/>
              <w:right w:w="15" w:type="dxa"/>
            </w:tcMar>
            <w:vAlign w:val="bottom"/>
          </w:tcPr>
          <w:p w14:paraId="7E410416" w14:textId="2DD994B0" w:rsidR="591B8064" w:rsidRPr="00C014CC" w:rsidRDefault="591B8064" w:rsidP="00C014CC">
            <w:pPr>
              <w:rPr>
                <w:rFonts w:ascii="Arial" w:hAnsi="Arial" w:cs="Arial"/>
                <w:sz w:val="22"/>
                <w:szCs w:val="24"/>
              </w:rPr>
            </w:pPr>
          </w:p>
        </w:tc>
        <w:tc>
          <w:tcPr>
            <w:tcW w:w="435" w:type="dxa"/>
            <w:tcBorders>
              <w:top w:val="nil"/>
              <w:left w:val="nil"/>
              <w:bottom w:val="nil"/>
              <w:right w:val="nil"/>
            </w:tcBorders>
            <w:tcMar>
              <w:top w:w="15" w:type="dxa"/>
              <w:left w:w="15" w:type="dxa"/>
              <w:right w:w="15" w:type="dxa"/>
            </w:tcMar>
            <w:vAlign w:val="bottom"/>
          </w:tcPr>
          <w:p w14:paraId="2E057E83" w14:textId="33BB27BE" w:rsidR="591B8064" w:rsidRPr="00C014CC" w:rsidRDefault="591B8064" w:rsidP="00C014CC">
            <w:pPr>
              <w:rPr>
                <w:rFonts w:ascii="Arial" w:hAnsi="Arial" w:cs="Arial"/>
                <w:sz w:val="22"/>
                <w:szCs w:val="24"/>
              </w:rPr>
            </w:pPr>
          </w:p>
        </w:tc>
        <w:tc>
          <w:tcPr>
            <w:tcW w:w="1528" w:type="dxa"/>
            <w:tcBorders>
              <w:top w:val="single" w:sz="4" w:space="0" w:color="auto"/>
              <w:left w:val="nil"/>
              <w:bottom w:val="nil"/>
              <w:right w:val="nil"/>
            </w:tcBorders>
            <w:tcMar>
              <w:top w:w="15" w:type="dxa"/>
              <w:left w:w="15" w:type="dxa"/>
              <w:right w:w="15" w:type="dxa"/>
            </w:tcMar>
            <w:vAlign w:val="bottom"/>
          </w:tcPr>
          <w:p w14:paraId="14AE7549" w14:textId="3F6B2D51" w:rsidR="591B8064" w:rsidRPr="00C014CC" w:rsidRDefault="591B8064" w:rsidP="00C014CC">
            <w:pPr>
              <w:rPr>
                <w:rFonts w:ascii="Arial" w:hAnsi="Arial" w:cs="Arial"/>
                <w:sz w:val="22"/>
                <w:szCs w:val="24"/>
              </w:rPr>
            </w:pPr>
          </w:p>
        </w:tc>
      </w:tr>
      <w:tr w:rsidR="00C014CC" w:rsidRPr="00C014CC" w14:paraId="783F6C4F"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1D33081C" w14:textId="7C34C29D"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348EB465" w14:textId="16D0EAB2"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06F4127A" w14:textId="4534BBDF"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0B4CCE" w14:textId="5BD35896" w:rsidR="591B8064" w:rsidRPr="00C014CC" w:rsidRDefault="591B8064" w:rsidP="00C014CC">
            <w:pPr>
              <w:jc w:val="right"/>
              <w:rPr>
                <w:rFonts w:ascii="Arial" w:hAnsi="Arial" w:cs="Arial"/>
                <w:sz w:val="22"/>
                <w:szCs w:val="24"/>
              </w:rPr>
            </w:pPr>
            <w:r w:rsidRPr="00C014CC">
              <w:rPr>
                <w:rFonts w:ascii="Arial" w:eastAsia="Arial Nova Cond" w:hAnsi="Arial" w:cs="Arial"/>
                <w:sz w:val="22"/>
                <w:szCs w:val="24"/>
              </w:rPr>
              <w:t>SEMANAS ADICIONALES</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857BFB7" w14:textId="62073606" w:rsidR="591B8064" w:rsidRPr="00C014CC" w:rsidRDefault="591B8064" w:rsidP="00C014CC">
            <w:pPr>
              <w:rPr>
                <w:rFonts w:ascii="Arial" w:hAnsi="Arial" w:cs="Arial"/>
                <w:sz w:val="22"/>
                <w:szCs w:val="24"/>
              </w:rPr>
            </w:pPr>
            <w:r w:rsidRPr="00C014CC">
              <w:rPr>
                <w:rFonts w:ascii="Arial" w:eastAsia="Arial Nova Cond" w:hAnsi="Arial" w:cs="Arial"/>
                <w:sz w:val="22"/>
                <w:szCs w:val="24"/>
              </w:rPr>
              <w:t>739</w:t>
            </w:r>
          </w:p>
        </w:tc>
      </w:tr>
      <w:tr w:rsidR="00C014CC" w:rsidRPr="00C014CC" w14:paraId="6CDCDFD9"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154B2282" w14:textId="2E23F1E7"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7A77C933" w14:textId="218D8F2D"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04B8B19E" w14:textId="12708BFB"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4D2EC0" w14:textId="29210913" w:rsidR="591B8064" w:rsidRPr="00C014CC" w:rsidRDefault="591B8064" w:rsidP="00C014CC">
            <w:pPr>
              <w:jc w:val="right"/>
              <w:rPr>
                <w:rFonts w:ascii="Arial" w:hAnsi="Arial" w:cs="Arial"/>
                <w:sz w:val="22"/>
                <w:szCs w:val="24"/>
              </w:rPr>
            </w:pPr>
            <w:r w:rsidRPr="00C014CC">
              <w:rPr>
                <w:rFonts w:ascii="Arial" w:eastAsia="Arial Nova Cond" w:hAnsi="Arial" w:cs="Arial"/>
                <w:sz w:val="22"/>
                <w:szCs w:val="24"/>
              </w:rPr>
              <w:t>% ADICIONAL (3% POR CADA 50 SEMANAS)</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BEE5CE8" w14:textId="0A3F1AB2" w:rsidR="591B8064" w:rsidRPr="00C014CC" w:rsidRDefault="591B8064" w:rsidP="00C014CC">
            <w:pPr>
              <w:rPr>
                <w:rFonts w:ascii="Arial" w:hAnsi="Arial" w:cs="Arial"/>
                <w:sz w:val="22"/>
                <w:szCs w:val="24"/>
              </w:rPr>
            </w:pPr>
            <w:r w:rsidRPr="00C014CC">
              <w:rPr>
                <w:rFonts w:ascii="Arial" w:eastAsia="Arial Nova Cond" w:hAnsi="Arial" w:cs="Arial"/>
                <w:sz w:val="22"/>
                <w:szCs w:val="24"/>
              </w:rPr>
              <w:t>42%</w:t>
            </w:r>
          </w:p>
        </w:tc>
      </w:tr>
      <w:tr w:rsidR="00C014CC" w:rsidRPr="00C014CC" w14:paraId="23F3794A"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36C35EEB" w14:textId="02884933"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558DA627" w14:textId="42392AA7"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4366BBCB" w14:textId="753C58A5"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F1B829" w14:textId="2B21A92E" w:rsidR="591B8064" w:rsidRPr="00623264" w:rsidRDefault="591B8064" w:rsidP="00623264">
            <w:pPr>
              <w:jc w:val="right"/>
              <w:rPr>
                <w:rFonts w:ascii="Arial" w:hAnsi="Arial" w:cs="Arial"/>
                <w:sz w:val="20"/>
                <w:szCs w:val="24"/>
              </w:rPr>
            </w:pPr>
            <w:r w:rsidRPr="00623264">
              <w:rPr>
                <w:rFonts w:ascii="Arial" w:eastAsia="Arial Nova Cond" w:hAnsi="Arial" w:cs="Arial"/>
                <w:sz w:val="20"/>
                <w:szCs w:val="24"/>
              </w:rPr>
              <w:t xml:space="preserve">PORCENTAJE PARA </w:t>
            </w:r>
            <w:r w:rsidR="00734D01" w:rsidRPr="00623264">
              <w:rPr>
                <w:rFonts w:ascii="Arial" w:eastAsia="Arial Nova Cond" w:hAnsi="Arial" w:cs="Arial"/>
                <w:sz w:val="20"/>
                <w:szCs w:val="24"/>
              </w:rPr>
              <w:t>PENSIÓN</w:t>
            </w:r>
            <w:r w:rsidRPr="00623264">
              <w:rPr>
                <w:rFonts w:ascii="Arial" w:eastAsia="Arial Nova Cond" w:hAnsi="Arial" w:cs="Arial"/>
                <w:sz w:val="20"/>
                <w:szCs w:val="24"/>
              </w:rPr>
              <w:t xml:space="preserve"> (45% + %</w:t>
            </w:r>
            <w:r w:rsidR="00734D01" w:rsidRPr="00623264">
              <w:rPr>
                <w:rFonts w:ascii="Arial" w:eastAsia="Arial Nova Cond" w:hAnsi="Arial" w:cs="Arial"/>
                <w:sz w:val="20"/>
                <w:szCs w:val="24"/>
              </w:rPr>
              <w:t xml:space="preserve"> </w:t>
            </w:r>
            <w:r w:rsidRPr="00623264">
              <w:rPr>
                <w:rFonts w:ascii="Arial" w:eastAsia="Arial Nova Cond" w:hAnsi="Arial" w:cs="Arial"/>
                <w:sz w:val="20"/>
                <w:szCs w:val="24"/>
              </w:rPr>
              <w:t>ADICIONAL)</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37AC6A1D" w14:textId="4AD827AD" w:rsidR="591B8064" w:rsidRPr="00C014CC" w:rsidRDefault="591B8064" w:rsidP="00C014CC">
            <w:pPr>
              <w:rPr>
                <w:rFonts w:ascii="Arial" w:hAnsi="Arial" w:cs="Arial"/>
                <w:sz w:val="22"/>
                <w:szCs w:val="24"/>
              </w:rPr>
            </w:pPr>
            <w:r w:rsidRPr="00C014CC">
              <w:rPr>
                <w:rFonts w:ascii="Arial" w:eastAsia="Arial Nova Cond" w:hAnsi="Arial" w:cs="Arial"/>
                <w:sz w:val="22"/>
                <w:szCs w:val="24"/>
              </w:rPr>
              <w:t>87%</w:t>
            </w:r>
          </w:p>
        </w:tc>
      </w:tr>
      <w:tr w:rsidR="00C014CC" w:rsidRPr="00C014CC" w14:paraId="434B7119" w14:textId="77777777" w:rsidTr="00623264">
        <w:trPr>
          <w:trHeight w:val="285"/>
        </w:trPr>
        <w:tc>
          <w:tcPr>
            <w:tcW w:w="982" w:type="dxa"/>
            <w:tcBorders>
              <w:top w:val="nil"/>
              <w:left w:val="nil"/>
              <w:bottom w:val="nil"/>
              <w:right w:val="nil"/>
            </w:tcBorders>
            <w:tcMar>
              <w:top w:w="15" w:type="dxa"/>
              <w:left w:w="15" w:type="dxa"/>
              <w:right w:w="15" w:type="dxa"/>
            </w:tcMar>
            <w:vAlign w:val="bottom"/>
          </w:tcPr>
          <w:p w14:paraId="2865A130" w14:textId="302840F6" w:rsidR="591B8064" w:rsidRPr="00C014CC" w:rsidRDefault="591B8064" w:rsidP="00C014CC">
            <w:pPr>
              <w:rPr>
                <w:rFonts w:ascii="Arial" w:hAnsi="Arial" w:cs="Arial"/>
                <w:sz w:val="22"/>
                <w:szCs w:val="24"/>
              </w:rPr>
            </w:pPr>
          </w:p>
        </w:tc>
        <w:tc>
          <w:tcPr>
            <w:tcW w:w="982" w:type="dxa"/>
            <w:tcBorders>
              <w:top w:val="nil"/>
              <w:left w:val="nil"/>
              <w:bottom w:val="nil"/>
              <w:right w:val="nil"/>
            </w:tcBorders>
            <w:tcMar>
              <w:top w:w="15" w:type="dxa"/>
              <w:left w:w="15" w:type="dxa"/>
              <w:right w:w="15" w:type="dxa"/>
            </w:tcMar>
            <w:vAlign w:val="bottom"/>
          </w:tcPr>
          <w:p w14:paraId="5A98F0D3" w14:textId="21A2D014" w:rsidR="591B8064" w:rsidRPr="00C014CC" w:rsidRDefault="591B8064" w:rsidP="00C014CC">
            <w:pPr>
              <w:rPr>
                <w:rFonts w:ascii="Arial" w:hAnsi="Arial" w:cs="Arial"/>
                <w:sz w:val="22"/>
                <w:szCs w:val="24"/>
              </w:rPr>
            </w:pPr>
          </w:p>
        </w:tc>
        <w:tc>
          <w:tcPr>
            <w:tcW w:w="233" w:type="dxa"/>
            <w:tcBorders>
              <w:top w:val="nil"/>
              <w:left w:val="nil"/>
              <w:bottom w:val="nil"/>
              <w:right w:val="nil"/>
            </w:tcBorders>
            <w:tcMar>
              <w:top w:w="15" w:type="dxa"/>
              <w:left w:w="15" w:type="dxa"/>
              <w:right w:w="15" w:type="dxa"/>
            </w:tcMar>
            <w:vAlign w:val="bottom"/>
          </w:tcPr>
          <w:p w14:paraId="5CF45F46" w14:textId="5E02AAB9" w:rsidR="591B8064" w:rsidRPr="00C014CC" w:rsidRDefault="591B8064" w:rsidP="00C014CC">
            <w:pPr>
              <w:rPr>
                <w:rFonts w:ascii="Arial" w:hAnsi="Arial" w:cs="Arial"/>
                <w:sz w:val="22"/>
                <w:szCs w:val="24"/>
              </w:rPr>
            </w:pPr>
          </w:p>
        </w:tc>
        <w:tc>
          <w:tcPr>
            <w:tcW w:w="5112"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A8FEC" w14:textId="03F16F3B" w:rsidR="591B8064" w:rsidRPr="00C014CC" w:rsidRDefault="591B8064" w:rsidP="00C014CC">
            <w:pPr>
              <w:jc w:val="right"/>
              <w:rPr>
                <w:rFonts w:ascii="Arial" w:hAnsi="Arial" w:cs="Arial"/>
                <w:sz w:val="22"/>
                <w:szCs w:val="24"/>
              </w:rPr>
            </w:pPr>
            <w:r w:rsidRPr="00C014CC">
              <w:rPr>
                <w:rFonts w:ascii="Arial" w:eastAsia="Arial Nova Cond" w:hAnsi="Arial" w:cs="Arial"/>
                <w:sz w:val="22"/>
                <w:szCs w:val="24"/>
              </w:rPr>
              <w:t>VALOR MESADA PENSIONAL</w:t>
            </w:r>
          </w:p>
        </w:tc>
        <w:tc>
          <w:tcPr>
            <w:tcW w:w="1528"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56616B4E" w14:textId="1F638DAA" w:rsidR="591B8064" w:rsidRPr="00C014CC" w:rsidRDefault="591B8064" w:rsidP="00C014CC">
            <w:pPr>
              <w:rPr>
                <w:rFonts w:ascii="Arial" w:hAnsi="Arial" w:cs="Arial"/>
                <w:sz w:val="22"/>
                <w:szCs w:val="24"/>
              </w:rPr>
            </w:pPr>
            <w:r w:rsidRPr="00C014CC">
              <w:rPr>
                <w:rFonts w:ascii="Arial" w:eastAsia="Arial Nova Cond" w:hAnsi="Arial" w:cs="Arial"/>
                <w:b/>
                <w:bCs/>
                <w:i/>
                <w:iCs/>
                <w:sz w:val="22"/>
                <w:szCs w:val="24"/>
              </w:rPr>
              <w:t>$ 78.962,48</w:t>
            </w:r>
          </w:p>
        </w:tc>
      </w:tr>
    </w:tbl>
    <w:p w14:paraId="314CFE91" w14:textId="28D08D77" w:rsidR="591B8064" w:rsidRPr="00F45848" w:rsidRDefault="591B8064" w:rsidP="00F45848">
      <w:pPr>
        <w:spacing w:line="276" w:lineRule="auto"/>
        <w:jc w:val="both"/>
        <w:rPr>
          <w:rFonts w:ascii="Arial" w:hAnsi="Arial" w:cs="Arial"/>
          <w:szCs w:val="24"/>
        </w:rPr>
      </w:pPr>
    </w:p>
    <w:p w14:paraId="5DCD01CB" w14:textId="77777777" w:rsidR="001929DC" w:rsidRPr="00F45848" w:rsidRDefault="001929DC" w:rsidP="00F45848">
      <w:pPr>
        <w:tabs>
          <w:tab w:val="left" w:pos="-1440"/>
          <w:tab w:val="left" w:pos="-720"/>
          <w:tab w:val="left" w:pos="2160"/>
        </w:tabs>
        <w:suppressAutoHyphens/>
        <w:spacing w:line="276" w:lineRule="auto"/>
        <w:jc w:val="center"/>
        <w:rPr>
          <w:rFonts w:ascii="Arial" w:hAnsi="Arial" w:cs="Arial"/>
          <w:b/>
          <w:color w:val="000000"/>
          <w:szCs w:val="24"/>
          <w:lang w:eastAsia="es-CO"/>
        </w:rPr>
      </w:pPr>
      <w:r w:rsidRPr="00F45848">
        <w:rPr>
          <w:rFonts w:ascii="Arial" w:hAnsi="Arial" w:cs="Arial"/>
          <w:b/>
          <w:color w:val="000000"/>
          <w:szCs w:val="24"/>
          <w:lang w:eastAsia="es-CO"/>
        </w:rPr>
        <w:t>CONCLUSIÓN</w:t>
      </w:r>
    </w:p>
    <w:p w14:paraId="5997CC1D" w14:textId="77777777" w:rsidR="001929DC" w:rsidRPr="00F45848" w:rsidRDefault="001929DC" w:rsidP="00F45848">
      <w:pPr>
        <w:spacing w:line="276" w:lineRule="auto"/>
        <w:ind w:firstLine="708"/>
        <w:jc w:val="both"/>
        <w:rPr>
          <w:rFonts w:ascii="Arial" w:hAnsi="Arial" w:cs="Arial"/>
          <w:szCs w:val="24"/>
        </w:rPr>
      </w:pPr>
    </w:p>
    <w:p w14:paraId="480D38BC" w14:textId="77777777" w:rsidR="00EA3CA8" w:rsidRPr="00F45848" w:rsidRDefault="001726C7" w:rsidP="00F45848">
      <w:pPr>
        <w:shd w:val="clear" w:color="auto" w:fill="FFFFFF" w:themeFill="background1"/>
        <w:tabs>
          <w:tab w:val="left" w:pos="3439"/>
        </w:tabs>
        <w:spacing w:line="276" w:lineRule="auto"/>
        <w:jc w:val="both"/>
        <w:rPr>
          <w:rFonts w:ascii="Arial" w:hAnsi="Arial" w:cs="Arial"/>
          <w:szCs w:val="24"/>
        </w:rPr>
      </w:pPr>
      <w:r w:rsidRPr="00F45848">
        <w:rPr>
          <w:rFonts w:ascii="Arial" w:hAnsi="Arial" w:cs="Arial"/>
          <w:szCs w:val="24"/>
        </w:rPr>
        <w:t>En este orden de ideas</w:t>
      </w:r>
      <w:r w:rsidR="008260C9" w:rsidRPr="00F45848">
        <w:rPr>
          <w:rFonts w:ascii="Arial" w:hAnsi="Arial" w:cs="Arial"/>
          <w:szCs w:val="24"/>
        </w:rPr>
        <w:t xml:space="preserve">, </w:t>
      </w:r>
      <w:r w:rsidR="00311C9C" w:rsidRPr="00F45848">
        <w:rPr>
          <w:rFonts w:ascii="Arial" w:hAnsi="Arial" w:cs="Arial"/>
          <w:szCs w:val="24"/>
        </w:rPr>
        <w:t xml:space="preserve">encuentra la Sala que la decisión de primera instancia habrá </w:t>
      </w:r>
      <w:r w:rsidR="003D6CB5" w:rsidRPr="00F45848">
        <w:rPr>
          <w:rFonts w:ascii="Arial" w:hAnsi="Arial" w:cs="Arial"/>
          <w:szCs w:val="24"/>
        </w:rPr>
        <w:t>de confirmarse</w:t>
      </w:r>
      <w:r w:rsidR="00C25222" w:rsidRPr="00F45848">
        <w:rPr>
          <w:rFonts w:ascii="Arial" w:hAnsi="Arial" w:cs="Arial"/>
          <w:szCs w:val="24"/>
        </w:rPr>
        <w:t>. Costas en esta instancia a cargo del demandante y a favor de Colpensiones ante el fracaso del recurso de apelación al tenor del numeral 1º del artículo 365 del C.G.P.</w:t>
      </w:r>
    </w:p>
    <w:p w14:paraId="110FFD37" w14:textId="77777777" w:rsidR="006B2959" w:rsidRPr="00F45848" w:rsidRDefault="006B2959" w:rsidP="00F45848">
      <w:pPr>
        <w:spacing w:line="276" w:lineRule="auto"/>
        <w:jc w:val="both"/>
        <w:rPr>
          <w:rFonts w:ascii="Arial" w:hAnsi="Arial" w:cs="Arial"/>
          <w:szCs w:val="24"/>
        </w:rPr>
      </w:pPr>
    </w:p>
    <w:p w14:paraId="54FB57C7" w14:textId="77777777" w:rsidR="003371E3" w:rsidRPr="00F45848" w:rsidRDefault="003371E3" w:rsidP="00F45848">
      <w:pPr>
        <w:spacing w:line="276" w:lineRule="auto"/>
        <w:jc w:val="center"/>
        <w:rPr>
          <w:rFonts w:ascii="Arial" w:hAnsi="Arial" w:cs="Arial"/>
          <w:b/>
          <w:bCs/>
          <w:szCs w:val="24"/>
        </w:rPr>
      </w:pPr>
      <w:r w:rsidRPr="00F45848">
        <w:rPr>
          <w:rFonts w:ascii="Arial" w:hAnsi="Arial" w:cs="Arial"/>
          <w:b/>
          <w:bCs/>
          <w:szCs w:val="24"/>
        </w:rPr>
        <w:t>DECISIÓN</w:t>
      </w:r>
    </w:p>
    <w:p w14:paraId="6B699379" w14:textId="77777777" w:rsidR="001929DC" w:rsidRPr="00F45848" w:rsidRDefault="001929DC" w:rsidP="00F45848">
      <w:pPr>
        <w:spacing w:line="276" w:lineRule="auto"/>
        <w:jc w:val="center"/>
        <w:rPr>
          <w:rFonts w:ascii="Arial" w:hAnsi="Arial" w:cs="Arial"/>
          <w:b/>
          <w:bCs/>
          <w:szCs w:val="24"/>
        </w:rPr>
      </w:pPr>
    </w:p>
    <w:p w14:paraId="2BB002B1" w14:textId="77777777" w:rsidR="00226D5F" w:rsidRPr="00F45848" w:rsidRDefault="00226D5F" w:rsidP="00F45848">
      <w:pPr>
        <w:pStyle w:val="Prrafodelista2"/>
        <w:spacing w:after="0"/>
        <w:ind w:left="0"/>
        <w:jc w:val="both"/>
        <w:rPr>
          <w:rFonts w:ascii="Arial" w:hAnsi="Arial" w:cs="Arial"/>
          <w:sz w:val="24"/>
          <w:szCs w:val="24"/>
        </w:rPr>
      </w:pPr>
      <w:r w:rsidRPr="00F45848">
        <w:rPr>
          <w:rFonts w:ascii="Arial" w:hAnsi="Arial" w:cs="Arial"/>
          <w:sz w:val="24"/>
          <w:szCs w:val="24"/>
        </w:rPr>
        <w:t xml:space="preserve">En mérito de lo expuesto, el </w:t>
      </w:r>
      <w:r w:rsidRPr="00F45848">
        <w:rPr>
          <w:rFonts w:ascii="Arial" w:hAnsi="Arial" w:cs="Arial"/>
          <w:b/>
          <w:bCs/>
          <w:sz w:val="24"/>
          <w:szCs w:val="24"/>
        </w:rPr>
        <w:t xml:space="preserve">Tribunal Superior del Distrito Judicial de Pereira - Risaralda, Sala </w:t>
      </w:r>
      <w:r w:rsidR="003371E3" w:rsidRPr="00F45848">
        <w:rPr>
          <w:rFonts w:ascii="Arial" w:hAnsi="Arial" w:cs="Arial"/>
          <w:b/>
          <w:bCs/>
          <w:sz w:val="24"/>
          <w:szCs w:val="24"/>
        </w:rPr>
        <w:t xml:space="preserve">de Decisión </w:t>
      </w:r>
      <w:r w:rsidRPr="00F45848">
        <w:rPr>
          <w:rFonts w:ascii="Arial" w:hAnsi="Arial" w:cs="Arial"/>
          <w:b/>
          <w:bCs/>
          <w:sz w:val="24"/>
          <w:szCs w:val="24"/>
        </w:rPr>
        <w:t>Laboral,</w:t>
      </w:r>
      <w:r w:rsidRPr="00F45848">
        <w:rPr>
          <w:rFonts w:ascii="Arial" w:hAnsi="Arial" w:cs="Arial"/>
          <w:sz w:val="24"/>
          <w:szCs w:val="24"/>
        </w:rPr>
        <w:t xml:space="preserve"> administrando justicia en nombre de la República y por autoridad de la ley,</w:t>
      </w:r>
    </w:p>
    <w:p w14:paraId="3FE9F23F" w14:textId="77777777" w:rsidR="00D578CB" w:rsidRPr="00F45848" w:rsidRDefault="00D578CB" w:rsidP="00F45848">
      <w:pPr>
        <w:pStyle w:val="Prrafodelista2"/>
        <w:spacing w:after="0"/>
        <w:ind w:left="0" w:firstLine="708"/>
        <w:jc w:val="both"/>
        <w:rPr>
          <w:rFonts w:ascii="Arial" w:hAnsi="Arial" w:cs="Arial"/>
          <w:sz w:val="24"/>
          <w:szCs w:val="24"/>
        </w:rPr>
      </w:pPr>
    </w:p>
    <w:p w14:paraId="68A3624F" w14:textId="77777777" w:rsidR="00226D5F" w:rsidRPr="00F45848" w:rsidRDefault="00D578CB" w:rsidP="00F45848">
      <w:pPr>
        <w:spacing w:line="276" w:lineRule="auto"/>
        <w:jc w:val="center"/>
        <w:rPr>
          <w:rFonts w:ascii="Arial" w:hAnsi="Arial" w:cs="Arial"/>
          <w:b/>
          <w:bCs/>
          <w:szCs w:val="24"/>
        </w:rPr>
      </w:pPr>
      <w:r w:rsidRPr="00F45848">
        <w:rPr>
          <w:rFonts w:ascii="Arial" w:hAnsi="Arial" w:cs="Arial"/>
          <w:b/>
          <w:bCs/>
          <w:szCs w:val="24"/>
        </w:rPr>
        <w:t>RESUELVE</w:t>
      </w:r>
    </w:p>
    <w:p w14:paraId="1F72F646" w14:textId="77777777" w:rsidR="003638F6" w:rsidRPr="00F45848" w:rsidRDefault="003638F6" w:rsidP="00F45848">
      <w:pPr>
        <w:widowControl w:val="0"/>
        <w:autoSpaceDE w:val="0"/>
        <w:autoSpaceDN w:val="0"/>
        <w:adjustRightInd w:val="0"/>
        <w:spacing w:line="276" w:lineRule="auto"/>
        <w:jc w:val="both"/>
        <w:rPr>
          <w:rFonts w:ascii="Arial" w:hAnsi="Arial" w:cs="Arial"/>
          <w:b/>
          <w:bCs/>
          <w:szCs w:val="24"/>
          <w:u w:val="single"/>
        </w:rPr>
      </w:pPr>
    </w:p>
    <w:p w14:paraId="055C78C5" w14:textId="77777777" w:rsidR="00C25222" w:rsidRPr="00F45848" w:rsidRDefault="001320DB" w:rsidP="00F45848">
      <w:pPr>
        <w:pStyle w:val="paragraph"/>
        <w:spacing w:before="0" w:beforeAutospacing="0" w:after="0" w:afterAutospacing="0" w:line="276" w:lineRule="auto"/>
        <w:jc w:val="both"/>
        <w:textAlignment w:val="baseline"/>
        <w:rPr>
          <w:rFonts w:ascii="Arial" w:hAnsi="Arial" w:cs="Arial"/>
          <w:b/>
          <w:bCs/>
        </w:rPr>
      </w:pPr>
      <w:r w:rsidRPr="00F45848">
        <w:rPr>
          <w:rFonts w:ascii="Arial" w:hAnsi="Arial" w:cs="Arial"/>
          <w:b/>
          <w:bCs/>
          <w:u w:val="single"/>
        </w:rPr>
        <w:t>PRIM</w:t>
      </w:r>
      <w:r w:rsidR="00121F87" w:rsidRPr="00F45848">
        <w:rPr>
          <w:rFonts w:ascii="Arial" w:hAnsi="Arial" w:cs="Arial"/>
          <w:b/>
          <w:bCs/>
          <w:u w:val="single"/>
        </w:rPr>
        <w:t>ERO</w:t>
      </w:r>
      <w:r w:rsidR="00121F87" w:rsidRPr="00F45848">
        <w:rPr>
          <w:rFonts w:ascii="Arial" w:hAnsi="Arial" w:cs="Arial"/>
          <w:b/>
          <w:bCs/>
        </w:rPr>
        <w:t xml:space="preserve">: </w:t>
      </w:r>
      <w:r w:rsidR="001365C6" w:rsidRPr="00F45848">
        <w:rPr>
          <w:rFonts w:ascii="Arial" w:hAnsi="Arial" w:cs="Arial"/>
          <w:b/>
          <w:bCs/>
        </w:rPr>
        <w:t xml:space="preserve">CONFIRMAR </w:t>
      </w:r>
      <w:r w:rsidRPr="00F45848">
        <w:rPr>
          <w:rFonts w:ascii="Arial" w:hAnsi="Arial" w:cs="Arial"/>
        </w:rPr>
        <w:t xml:space="preserve">la sentencia </w:t>
      </w:r>
      <w:r w:rsidR="00EA3CA8" w:rsidRPr="00F45848">
        <w:rPr>
          <w:rFonts w:ascii="Arial" w:hAnsi="Arial" w:cs="Arial"/>
        </w:rPr>
        <w:t>proferida</w:t>
      </w:r>
      <w:r w:rsidR="00C06011" w:rsidRPr="00F45848">
        <w:rPr>
          <w:rFonts w:ascii="Arial" w:hAnsi="Arial" w:cs="Arial"/>
        </w:rPr>
        <w:t xml:space="preserve"> el </w:t>
      </w:r>
      <w:r w:rsidR="00C25222" w:rsidRPr="00F45848">
        <w:rPr>
          <w:rStyle w:val="normaltextrun"/>
          <w:rFonts w:ascii="Arial" w:hAnsi="Arial" w:cs="Arial"/>
          <w:lang w:val="es-ES"/>
        </w:rPr>
        <w:t>25 de julio de</w:t>
      </w:r>
      <w:r w:rsidR="00C25222" w:rsidRPr="00F45848">
        <w:rPr>
          <w:rStyle w:val="normaltextrun"/>
          <w:rFonts w:ascii="Arial" w:hAnsi="Arial" w:cs="Arial"/>
          <w:color w:val="000000" w:themeColor="text1"/>
          <w:lang w:val="es-ES"/>
        </w:rPr>
        <w:t xml:space="preserve"> 2023 por el Juzgado Cuarto Laboral del Circuito de Pereira, dentro del proceso promovido por </w:t>
      </w:r>
      <w:r w:rsidR="00C25222" w:rsidRPr="00F45848">
        <w:rPr>
          <w:rStyle w:val="normaltextrun"/>
          <w:rFonts w:ascii="Arial" w:hAnsi="Arial" w:cs="Arial"/>
          <w:b/>
          <w:bCs/>
          <w:color w:val="000000" w:themeColor="text1"/>
          <w:lang w:val="es-ES"/>
        </w:rPr>
        <w:t>Óscar López Barco sucedido procesalmente por Jairo, Adiela y Liliana López Castaño</w:t>
      </w:r>
      <w:r w:rsidR="00C25222" w:rsidRPr="00F45848">
        <w:rPr>
          <w:rStyle w:val="normaltextrun"/>
          <w:rFonts w:ascii="Arial" w:hAnsi="Arial" w:cs="Arial"/>
          <w:b/>
          <w:bCs/>
          <w:lang w:val="es-ES"/>
        </w:rPr>
        <w:t xml:space="preserve"> </w:t>
      </w:r>
      <w:r w:rsidR="00C25222" w:rsidRPr="00F45848">
        <w:rPr>
          <w:rStyle w:val="normaltextrun"/>
          <w:rFonts w:ascii="Arial" w:hAnsi="Arial" w:cs="Arial"/>
          <w:lang w:val="es-ES"/>
        </w:rPr>
        <w:t xml:space="preserve">contra </w:t>
      </w:r>
      <w:r w:rsidR="00C25222" w:rsidRPr="00F45848">
        <w:rPr>
          <w:rStyle w:val="normaltextrun"/>
          <w:rFonts w:ascii="Arial" w:hAnsi="Arial" w:cs="Arial"/>
          <w:b/>
          <w:bCs/>
          <w:lang w:val="es-ES"/>
        </w:rPr>
        <w:t>la Administradora Colombiana de Pensiones – Colpensiones.</w:t>
      </w:r>
    </w:p>
    <w:p w14:paraId="08CE6F91" w14:textId="77777777" w:rsidR="00311C9C" w:rsidRPr="00F45848" w:rsidRDefault="00311C9C" w:rsidP="00F45848">
      <w:pPr>
        <w:widowControl w:val="0"/>
        <w:autoSpaceDE w:val="0"/>
        <w:autoSpaceDN w:val="0"/>
        <w:adjustRightInd w:val="0"/>
        <w:spacing w:line="276" w:lineRule="auto"/>
        <w:jc w:val="both"/>
        <w:rPr>
          <w:rFonts w:ascii="Arial" w:hAnsi="Arial" w:cs="Arial"/>
          <w:szCs w:val="24"/>
        </w:rPr>
      </w:pPr>
    </w:p>
    <w:p w14:paraId="56DCB462" w14:textId="77777777" w:rsidR="00F93015" w:rsidRPr="00F45848" w:rsidRDefault="001365C6" w:rsidP="00F45848">
      <w:pPr>
        <w:spacing w:line="276" w:lineRule="auto"/>
        <w:jc w:val="both"/>
        <w:rPr>
          <w:rFonts w:ascii="Arial" w:hAnsi="Arial" w:cs="Arial"/>
          <w:szCs w:val="24"/>
        </w:rPr>
      </w:pPr>
      <w:r w:rsidRPr="00F45848">
        <w:rPr>
          <w:rFonts w:ascii="Arial" w:hAnsi="Arial" w:cs="Arial"/>
          <w:b/>
          <w:bCs/>
          <w:szCs w:val="24"/>
          <w:u w:val="single"/>
        </w:rPr>
        <w:t>SEGUNDO</w:t>
      </w:r>
      <w:r w:rsidRPr="00F45848">
        <w:rPr>
          <w:rFonts w:ascii="Arial" w:hAnsi="Arial" w:cs="Arial"/>
          <w:b/>
          <w:bCs/>
          <w:szCs w:val="24"/>
        </w:rPr>
        <w:t xml:space="preserve">: </w:t>
      </w:r>
      <w:r w:rsidR="00C25222" w:rsidRPr="00F45848">
        <w:rPr>
          <w:rFonts w:ascii="Arial" w:hAnsi="Arial" w:cs="Arial"/>
          <w:b/>
          <w:bCs/>
          <w:szCs w:val="24"/>
        </w:rPr>
        <w:t>CONDENAR</w:t>
      </w:r>
      <w:r w:rsidR="00C25222" w:rsidRPr="00F45848">
        <w:rPr>
          <w:rFonts w:ascii="Arial" w:hAnsi="Arial" w:cs="Arial"/>
          <w:szCs w:val="24"/>
        </w:rPr>
        <w:t xml:space="preserve"> en costas al demandante y a favor de la demandada por lo expuesto. </w:t>
      </w:r>
    </w:p>
    <w:p w14:paraId="074ED916" w14:textId="77777777" w:rsidR="00F45848" w:rsidRPr="005F1BED" w:rsidRDefault="00F45848" w:rsidP="00F45848">
      <w:pPr>
        <w:shd w:val="clear" w:color="auto" w:fill="FFFFFF"/>
        <w:tabs>
          <w:tab w:val="left" w:pos="5197"/>
        </w:tabs>
        <w:jc w:val="both"/>
        <w:rPr>
          <w:rFonts w:ascii="Arial" w:hAnsi="Arial" w:cs="Arial"/>
          <w:bCs/>
          <w:szCs w:val="24"/>
        </w:rPr>
      </w:pPr>
    </w:p>
    <w:p w14:paraId="76EAD4B1" w14:textId="77777777" w:rsidR="00F45848" w:rsidRPr="005F1BED" w:rsidRDefault="00F45848" w:rsidP="00F45848">
      <w:pPr>
        <w:widowControl w:val="0"/>
        <w:autoSpaceDE w:val="0"/>
        <w:autoSpaceDN w:val="0"/>
        <w:adjustRightInd w:val="0"/>
        <w:spacing w:line="276" w:lineRule="auto"/>
        <w:contextualSpacing/>
        <w:jc w:val="both"/>
        <w:rPr>
          <w:rFonts w:ascii="Arial" w:hAnsi="Arial" w:cs="Arial"/>
          <w:szCs w:val="24"/>
        </w:rPr>
      </w:pPr>
      <w:r w:rsidRPr="005F1BED">
        <w:rPr>
          <w:rFonts w:ascii="Arial" w:hAnsi="Arial" w:cs="Arial"/>
          <w:szCs w:val="24"/>
        </w:rPr>
        <w:t xml:space="preserve">Notifíquese y cúmplase, </w:t>
      </w:r>
    </w:p>
    <w:p w14:paraId="29EE70E1" w14:textId="77777777" w:rsidR="00F45848" w:rsidRPr="00032BFF" w:rsidRDefault="00F45848" w:rsidP="00F45848">
      <w:pPr>
        <w:spacing w:line="276" w:lineRule="auto"/>
        <w:contextualSpacing/>
        <w:jc w:val="both"/>
        <w:rPr>
          <w:rFonts w:ascii="Arial" w:eastAsia="Calibri" w:hAnsi="Arial" w:cs="Arial"/>
          <w:szCs w:val="24"/>
        </w:rPr>
      </w:pPr>
    </w:p>
    <w:p w14:paraId="3B6D34D7" w14:textId="77777777" w:rsidR="00F45848" w:rsidRPr="00032BFF" w:rsidRDefault="00F45848" w:rsidP="00F45848">
      <w:pPr>
        <w:widowControl w:val="0"/>
        <w:autoSpaceDE w:val="0"/>
        <w:autoSpaceDN w:val="0"/>
        <w:adjustRightInd w:val="0"/>
        <w:spacing w:line="276" w:lineRule="auto"/>
        <w:contextualSpacing/>
        <w:jc w:val="both"/>
        <w:rPr>
          <w:rFonts w:ascii="Arial" w:hAnsi="Arial" w:cs="Arial"/>
          <w:szCs w:val="24"/>
        </w:rPr>
      </w:pPr>
      <w:r w:rsidRPr="00032BFF">
        <w:rPr>
          <w:rFonts w:ascii="Arial" w:hAnsi="Arial" w:cs="Arial"/>
          <w:szCs w:val="24"/>
        </w:rPr>
        <w:t>Quienes integran la Sala,</w:t>
      </w:r>
    </w:p>
    <w:p w14:paraId="6790F26C" w14:textId="77777777" w:rsidR="00F45848" w:rsidRPr="00124189" w:rsidRDefault="00F45848" w:rsidP="00F45848">
      <w:pPr>
        <w:spacing w:line="276" w:lineRule="auto"/>
        <w:contextualSpacing/>
        <w:jc w:val="both"/>
        <w:rPr>
          <w:rFonts w:ascii="Arial" w:eastAsia="Calibri" w:hAnsi="Arial" w:cs="Arial"/>
          <w:szCs w:val="24"/>
        </w:rPr>
      </w:pPr>
    </w:p>
    <w:p w14:paraId="3EB0FCAA" w14:textId="0EBBAFF6" w:rsidR="00F45848" w:rsidRDefault="00F45848" w:rsidP="00F45848">
      <w:pPr>
        <w:spacing w:line="276" w:lineRule="auto"/>
        <w:contextualSpacing/>
        <w:jc w:val="both"/>
        <w:rPr>
          <w:rFonts w:ascii="Arial" w:eastAsia="Calibri" w:hAnsi="Arial" w:cs="Arial"/>
          <w:szCs w:val="24"/>
        </w:rPr>
      </w:pPr>
    </w:p>
    <w:p w14:paraId="515A2D35" w14:textId="77777777" w:rsidR="00A20BB1" w:rsidRPr="00124189" w:rsidRDefault="00A20BB1" w:rsidP="00F45848">
      <w:pPr>
        <w:spacing w:line="276" w:lineRule="auto"/>
        <w:contextualSpacing/>
        <w:jc w:val="both"/>
        <w:rPr>
          <w:rFonts w:ascii="Arial" w:eastAsia="Calibri" w:hAnsi="Arial" w:cs="Arial"/>
          <w:szCs w:val="24"/>
        </w:rPr>
      </w:pPr>
    </w:p>
    <w:p w14:paraId="26D9E106" w14:textId="77777777" w:rsidR="00F45848" w:rsidRPr="00124189" w:rsidRDefault="00F45848" w:rsidP="00F45848">
      <w:pPr>
        <w:spacing w:line="276" w:lineRule="auto"/>
        <w:jc w:val="center"/>
        <w:rPr>
          <w:rFonts w:ascii="Arial" w:eastAsia="Calibri" w:hAnsi="Arial" w:cs="Arial"/>
          <w:b/>
          <w:bCs/>
          <w:szCs w:val="24"/>
          <w:lang w:val="es-ES" w:eastAsia="en-US"/>
        </w:rPr>
      </w:pPr>
      <w:r w:rsidRPr="00124189">
        <w:rPr>
          <w:rFonts w:ascii="Arial" w:eastAsia="Calibri" w:hAnsi="Arial" w:cs="Arial"/>
          <w:b/>
          <w:bCs/>
          <w:szCs w:val="24"/>
          <w:lang w:val="es-ES" w:eastAsia="en-US"/>
        </w:rPr>
        <w:t>OLGA LUCÍA HOYOS SEPÚLVEDA</w:t>
      </w:r>
    </w:p>
    <w:p w14:paraId="0F9A5FCD" w14:textId="77777777" w:rsidR="00F45848" w:rsidRPr="00124189" w:rsidRDefault="00F45848" w:rsidP="00F45848">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Magistrada Ponente</w:t>
      </w:r>
    </w:p>
    <w:p w14:paraId="3059ECED" w14:textId="037E3905" w:rsidR="00F45848" w:rsidRDefault="00F45848" w:rsidP="00F45848">
      <w:pPr>
        <w:spacing w:line="276" w:lineRule="auto"/>
        <w:contextualSpacing/>
        <w:jc w:val="both"/>
        <w:rPr>
          <w:rFonts w:ascii="Arial" w:eastAsia="Calibri" w:hAnsi="Arial" w:cs="Arial"/>
          <w:szCs w:val="24"/>
        </w:rPr>
      </w:pPr>
    </w:p>
    <w:p w14:paraId="1C5E24C6" w14:textId="77777777" w:rsidR="00A20BB1" w:rsidRPr="00124189" w:rsidRDefault="00A20BB1" w:rsidP="00F45848">
      <w:pPr>
        <w:spacing w:line="276" w:lineRule="auto"/>
        <w:contextualSpacing/>
        <w:jc w:val="both"/>
        <w:rPr>
          <w:rFonts w:ascii="Arial" w:eastAsia="Calibri" w:hAnsi="Arial" w:cs="Arial"/>
          <w:szCs w:val="24"/>
        </w:rPr>
      </w:pPr>
    </w:p>
    <w:p w14:paraId="04E31572" w14:textId="77777777" w:rsidR="00F45848" w:rsidRPr="00124189" w:rsidRDefault="00F45848" w:rsidP="00F45848">
      <w:pPr>
        <w:spacing w:line="276" w:lineRule="auto"/>
        <w:contextualSpacing/>
        <w:jc w:val="both"/>
        <w:rPr>
          <w:rFonts w:ascii="Arial" w:eastAsia="Calibri" w:hAnsi="Arial" w:cs="Arial"/>
          <w:szCs w:val="24"/>
        </w:rPr>
      </w:pPr>
    </w:p>
    <w:p w14:paraId="16BA659F" w14:textId="77777777" w:rsidR="00F45848" w:rsidRPr="00124189" w:rsidRDefault="00F45848" w:rsidP="00F45848">
      <w:pPr>
        <w:spacing w:line="276" w:lineRule="auto"/>
        <w:jc w:val="center"/>
        <w:rPr>
          <w:rFonts w:ascii="Arial" w:hAnsi="Arial" w:cs="Arial"/>
          <w:szCs w:val="24"/>
          <w:lang w:val="es-ES"/>
        </w:rPr>
      </w:pPr>
      <w:r w:rsidRPr="00124189">
        <w:rPr>
          <w:rFonts w:ascii="Arial" w:hAnsi="Arial" w:cs="Arial"/>
          <w:b/>
          <w:bCs/>
          <w:szCs w:val="24"/>
          <w:lang w:val="es-ES"/>
        </w:rPr>
        <w:t>JULIO CÉSAR SALAZAR MUÑOZ</w:t>
      </w:r>
    </w:p>
    <w:p w14:paraId="07D948E0" w14:textId="77777777" w:rsidR="00F45848" w:rsidRPr="00124189" w:rsidRDefault="00F45848" w:rsidP="00F45848">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 xml:space="preserve">Magistrado </w:t>
      </w:r>
    </w:p>
    <w:p w14:paraId="35CD711F" w14:textId="67EAF7CF" w:rsidR="00F45848" w:rsidRDefault="00F45848" w:rsidP="00F45848">
      <w:pPr>
        <w:spacing w:line="276" w:lineRule="auto"/>
        <w:contextualSpacing/>
        <w:jc w:val="both"/>
        <w:rPr>
          <w:rFonts w:ascii="Arial" w:eastAsia="Calibri" w:hAnsi="Arial" w:cs="Arial"/>
          <w:szCs w:val="24"/>
        </w:rPr>
      </w:pPr>
    </w:p>
    <w:p w14:paraId="3C319E3C" w14:textId="77777777" w:rsidR="00A20BB1" w:rsidRPr="00124189" w:rsidRDefault="00A20BB1" w:rsidP="00F45848">
      <w:pPr>
        <w:spacing w:line="276" w:lineRule="auto"/>
        <w:contextualSpacing/>
        <w:jc w:val="both"/>
        <w:rPr>
          <w:rFonts w:ascii="Arial" w:eastAsia="Calibri" w:hAnsi="Arial" w:cs="Arial"/>
          <w:szCs w:val="24"/>
        </w:rPr>
      </w:pPr>
    </w:p>
    <w:p w14:paraId="2579917F" w14:textId="77777777" w:rsidR="00F45848" w:rsidRPr="00124189" w:rsidRDefault="00F45848" w:rsidP="00F45848">
      <w:pPr>
        <w:spacing w:line="276" w:lineRule="auto"/>
        <w:contextualSpacing/>
        <w:jc w:val="both"/>
        <w:rPr>
          <w:rFonts w:ascii="Arial" w:eastAsia="Calibri" w:hAnsi="Arial" w:cs="Arial"/>
          <w:szCs w:val="24"/>
        </w:rPr>
      </w:pPr>
    </w:p>
    <w:p w14:paraId="43CF89CE" w14:textId="77777777" w:rsidR="00F45848" w:rsidRPr="00124189" w:rsidRDefault="00F45848" w:rsidP="00F45848">
      <w:pPr>
        <w:spacing w:line="276" w:lineRule="auto"/>
        <w:jc w:val="center"/>
        <w:rPr>
          <w:rFonts w:ascii="Arial" w:hAnsi="Arial" w:cs="Arial"/>
          <w:szCs w:val="24"/>
          <w:lang w:val="es-ES"/>
        </w:rPr>
      </w:pPr>
      <w:r w:rsidRPr="00124189">
        <w:rPr>
          <w:rFonts w:ascii="Arial" w:hAnsi="Arial" w:cs="Arial"/>
          <w:b/>
          <w:bCs/>
          <w:szCs w:val="24"/>
          <w:lang w:val="es-ES"/>
        </w:rPr>
        <w:t>ANA LUCIA CAICEDO CALDERÓN</w:t>
      </w:r>
    </w:p>
    <w:p w14:paraId="0994BBDF" w14:textId="63C41DF3" w:rsidR="004167C3" w:rsidRPr="00F45848" w:rsidRDefault="00F45848" w:rsidP="00F45848">
      <w:pPr>
        <w:spacing w:line="276" w:lineRule="auto"/>
        <w:jc w:val="center"/>
        <w:rPr>
          <w:rFonts w:ascii="Arial" w:hAnsi="Arial" w:cs="Arial"/>
          <w:b/>
          <w:bCs/>
          <w:szCs w:val="24"/>
          <w:lang w:val="es-ES"/>
        </w:rPr>
      </w:pPr>
      <w:r w:rsidRPr="00124189">
        <w:rPr>
          <w:rFonts w:ascii="Arial" w:hAnsi="Arial" w:cs="Arial"/>
          <w:szCs w:val="24"/>
          <w:lang w:val="es-ES"/>
        </w:rPr>
        <w:t>Magistrada</w:t>
      </w:r>
      <w:bookmarkStart w:id="0" w:name="_GoBack"/>
      <w:bookmarkEnd w:id="0"/>
    </w:p>
    <w:sectPr w:rsidR="004167C3" w:rsidRPr="00F45848" w:rsidSect="00F45848">
      <w:headerReference w:type="default" r:id="rId12"/>
      <w:footerReference w:type="even" r:id="rId13"/>
      <w:footerReference w:type="defaul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3DE438" w16cex:dateUtc="2023-11-15T16:28:32.222Z"/>
  <w16cex:commentExtensible w16cex:durableId="09034CE4" w16cex:dateUtc="2023-11-15T20:11:35.93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1C612" w14:textId="77777777" w:rsidR="00964076" w:rsidRDefault="00964076" w:rsidP="00226D5F">
      <w:r>
        <w:separator/>
      </w:r>
    </w:p>
  </w:endnote>
  <w:endnote w:type="continuationSeparator" w:id="0">
    <w:p w14:paraId="18F6D746" w14:textId="77777777" w:rsidR="00964076" w:rsidRDefault="00964076"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260C9" w:rsidRDefault="008260C9" w:rsidP="008260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3F29E8" w14:textId="77777777" w:rsidR="008260C9" w:rsidRDefault="008260C9" w:rsidP="008260C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CC4" w14:textId="7E1A6856" w:rsidR="008260C9" w:rsidRDefault="008260C9" w:rsidP="008260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C4E">
      <w:rPr>
        <w:rStyle w:val="Nmerodepgina"/>
        <w:noProof/>
      </w:rPr>
      <w:t>6</w:t>
    </w:r>
    <w:r>
      <w:rPr>
        <w:rStyle w:val="Nmerodepgina"/>
      </w:rPr>
      <w:fldChar w:fldCharType="end"/>
    </w:r>
  </w:p>
  <w:p w14:paraId="637805D2" w14:textId="77777777" w:rsidR="008260C9" w:rsidRDefault="008260C9" w:rsidP="008260C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24074" w14:textId="77777777" w:rsidR="00964076" w:rsidRDefault="00964076" w:rsidP="00226D5F">
      <w:r>
        <w:separator/>
      </w:r>
    </w:p>
  </w:footnote>
  <w:footnote w:type="continuationSeparator" w:id="0">
    <w:p w14:paraId="7C0019B7" w14:textId="77777777" w:rsidR="00964076" w:rsidRDefault="00964076" w:rsidP="00226D5F">
      <w:r>
        <w:continuationSeparator/>
      </w:r>
    </w:p>
  </w:footnote>
  <w:footnote w:id="1">
    <w:p w14:paraId="79B276B7" w14:textId="77777777" w:rsidR="00A12D18" w:rsidRPr="00C014CC" w:rsidRDefault="00A12D18" w:rsidP="00C014CC">
      <w:pPr>
        <w:pStyle w:val="Textonotapie"/>
        <w:jc w:val="both"/>
        <w:rPr>
          <w:rFonts w:ascii="Arial" w:hAnsi="Arial" w:cs="Arial"/>
          <w:sz w:val="18"/>
          <w:szCs w:val="18"/>
          <w:lang w:val="es-CO"/>
        </w:rPr>
      </w:pPr>
      <w:r w:rsidRPr="00C014CC">
        <w:rPr>
          <w:rStyle w:val="Refdenotaalpie"/>
          <w:rFonts w:ascii="Arial" w:hAnsi="Arial" w:cs="Arial"/>
          <w:sz w:val="18"/>
          <w:szCs w:val="18"/>
        </w:rPr>
        <w:footnoteRef/>
      </w:r>
      <w:r w:rsidRPr="00C014CC">
        <w:rPr>
          <w:rFonts w:ascii="Arial" w:hAnsi="Arial" w:cs="Arial"/>
          <w:sz w:val="18"/>
          <w:szCs w:val="18"/>
        </w:rPr>
        <w:t xml:space="preserve"> </w:t>
      </w:r>
      <w:r w:rsidRPr="00C014CC">
        <w:rPr>
          <w:rFonts w:ascii="Arial" w:hAnsi="Arial" w:cs="Arial"/>
          <w:sz w:val="18"/>
          <w:szCs w:val="18"/>
          <w:lang w:val="es-CO"/>
        </w:rPr>
        <w:t>Tesis que se ratifica en la sentencia SU-069-2018.</w:t>
      </w:r>
    </w:p>
  </w:footnote>
  <w:footnote w:id="2">
    <w:p w14:paraId="738610EB" w14:textId="33A6395D" w:rsidR="009824CD" w:rsidRPr="00C014CC" w:rsidRDefault="009824CD" w:rsidP="00C014CC">
      <w:pPr>
        <w:tabs>
          <w:tab w:val="left" w:pos="-1440"/>
          <w:tab w:val="left" w:pos="-720"/>
          <w:tab w:val="left" w:pos="2160"/>
        </w:tabs>
        <w:suppressAutoHyphens/>
        <w:jc w:val="both"/>
        <w:rPr>
          <w:rFonts w:ascii="Arial" w:hAnsi="Arial" w:cs="Arial"/>
          <w:sz w:val="18"/>
          <w:szCs w:val="18"/>
          <w:lang w:val="es-CO"/>
        </w:rPr>
      </w:pPr>
      <w:r w:rsidRPr="00C014CC">
        <w:rPr>
          <w:rStyle w:val="Refdenotaalpie"/>
          <w:rFonts w:ascii="Arial" w:hAnsi="Arial" w:cs="Arial"/>
          <w:sz w:val="18"/>
          <w:szCs w:val="18"/>
        </w:rPr>
        <w:footnoteRef/>
      </w:r>
      <w:r w:rsidR="00C014CC">
        <w:rPr>
          <w:rFonts w:ascii="Arial" w:hAnsi="Arial" w:cs="Arial"/>
          <w:sz w:val="18"/>
          <w:szCs w:val="18"/>
        </w:rPr>
        <w:t xml:space="preserve"> </w:t>
      </w:r>
      <w:r w:rsidR="00C850A8" w:rsidRPr="00C014CC">
        <w:rPr>
          <w:rFonts w:ascii="Arial" w:hAnsi="Arial" w:cs="Arial"/>
          <w:sz w:val="18"/>
          <w:szCs w:val="18"/>
        </w:rPr>
        <w:t>CORTE SUPREMA DE JUSTICIA, Sala de Casación Laboral</w:t>
      </w:r>
      <w:r w:rsidRPr="00C014CC">
        <w:rPr>
          <w:rFonts w:ascii="Arial" w:hAnsi="Arial" w:cs="Arial"/>
          <w:sz w:val="18"/>
          <w:szCs w:val="18"/>
        </w:rPr>
        <w:t xml:space="preserve"> Sentencias </w:t>
      </w:r>
      <w:r w:rsidRPr="00C014CC">
        <w:rPr>
          <w:rFonts w:ascii="Arial" w:hAnsi="Arial" w:cs="Arial"/>
          <w:i/>
          <w:sz w:val="18"/>
          <w:szCs w:val="18"/>
        </w:rPr>
        <w:t xml:space="preserve">SL 629-2013; </w:t>
      </w:r>
      <w:r w:rsidRPr="00C014CC">
        <w:rPr>
          <w:rFonts w:ascii="Arial" w:hAnsi="Arial" w:cs="Arial"/>
          <w:sz w:val="18"/>
          <w:szCs w:val="18"/>
        </w:rPr>
        <w:t>del 29-07-2015, radicación SL12153; del 2-12-2015, SL16727, radicado 52007, MP JORGE MAURICIO BURGOS RUIZ; del 11-11-2015, SL15680-2015, rad. 50307, MP Rigoberto Echeverri Bueno; SL6613-2017, Rad. 48242, MP CLARA CECILIA DUEÑAS QUEVEDO;</w:t>
      </w:r>
      <w:r w:rsidRPr="00C014CC">
        <w:rPr>
          <w:rFonts w:ascii="Arial" w:hAnsi="Arial" w:cs="Arial"/>
          <w:i/>
          <w:sz w:val="18"/>
          <w:szCs w:val="18"/>
        </w:rPr>
        <w:t xml:space="preserve"> SL13183-2015.</w:t>
      </w:r>
    </w:p>
  </w:footnote>
  <w:footnote w:id="3">
    <w:p w14:paraId="6D94016E" w14:textId="720C3EDE" w:rsidR="009824CD" w:rsidRPr="00C014CC" w:rsidRDefault="009824CD" w:rsidP="00C014CC">
      <w:pPr>
        <w:tabs>
          <w:tab w:val="left" w:pos="-1440"/>
          <w:tab w:val="left" w:pos="-720"/>
          <w:tab w:val="left" w:pos="2160"/>
        </w:tabs>
        <w:suppressAutoHyphens/>
        <w:jc w:val="both"/>
        <w:rPr>
          <w:rFonts w:ascii="Arial" w:hAnsi="Arial" w:cs="Arial"/>
          <w:sz w:val="18"/>
          <w:szCs w:val="18"/>
          <w:lang w:val="es-CO"/>
        </w:rPr>
      </w:pPr>
      <w:r w:rsidRPr="00C014CC">
        <w:rPr>
          <w:rStyle w:val="Refdenotaalpie"/>
          <w:rFonts w:ascii="Arial" w:hAnsi="Arial" w:cs="Arial"/>
          <w:sz w:val="18"/>
          <w:szCs w:val="18"/>
        </w:rPr>
        <w:footnoteRef/>
      </w:r>
      <w:r w:rsidR="00C014CC">
        <w:rPr>
          <w:rFonts w:ascii="Arial" w:hAnsi="Arial" w:cs="Arial"/>
          <w:sz w:val="18"/>
          <w:szCs w:val="18"/>
        </w:rPr>
        <w:t xml:space="preserve"> </w:t>
      </w:r>
      <w:r w:rsidRPr="00C014CC">
        <w:rPr>
          <w:rFonts w:ascii="Arial" w:hAnsi="Arial" w:cs="Arial"/>
          <w:sz w:val="18"/>
          <w:szCs w:val="18"/>
        </w:rPr>
        <w:t>CORTE SUPREMA DE JUSTICIA, Sala de Casación Laboral, descongestión Sentencia 12-07-2017, SL10187-2017, rad. 52435,</w:t>
      </w:r>
      <w:r w:rsidRPr="00C014CC">
        <w:rPr>
          <w:rFonts w:ascii="Arial" w:hAnsi="Arial" w:cs="Arial"/>
          <w:color w:val="000000"/>
          <w:sz w:val="18"/>
          <w:szCs w:val="18"/>
          <w:shd w:val="clear" w:color="auto" w:fill="FFFFFF"/>
          <w:lang w:val="es-ES"/>
        </w:rPr>
        <w:t xml:space="preserve"> </w:t>
      </w:r>
      <w:r w:rsidRPr="00C014CC">
        <w:rPr>
          <w:rFonts w:ascii="Arial" w:hAnsi="Arial" w:cs="Arial"/>
          <w:sz w:val="18"/>
          <w:szCs w:val="18"/>
        </w:rPr>
        <w:t xml:space="preserve">MP ERNESTO FORERO VARGAS.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BA3D" w14:textId="77777777" w:rsidR="008260C9" w:rsidRPr="005C16D6" w:rsidRDefault="008260C9" w:rsidP="00355FBC">
    <w:pPr>
      <w:pStyle w:val="Encabezado"/>
      <w:jc w:val="center"/>
      <w:rPr>
        <w:rFonts w:ascii="Arial" w:hAnsi="Arial" w:cs="Arial"/>
        <w:sz w:val="16"/>
        <w:szCs w:val="16"/>
      </w:rPr>
    </w:pPr>
    <w:r w:rsidRPr="005C16D6">
      <w:rPr>
        <w:rFonts w:ascii="Arial" w:hAnsi="Arial" w:cs="Arial"/>
        <w:sz w:val="16"/>
        <w:szCs w:val="16"/>
      </w:rPr>
      <w:t>Proceso Ordinario Laboral</w:t>
    </w:r>
  </w:p>
  <w:p w14:paraId="0E552556" w14:textId="77777777" w:rsidR="008260C9" w:rsidRPr="005C16D6" w:rsidRDefault="008260C9" w:rsidP="00355FBC">
    <w:pPr>
      <w:pStyle w:val="Encabezado"/>
      <w:jc w:val="center"/>
      <w:rPr>
        <w:rFonts w:ascii="Arial" w:hAnsi="Arial" w:cs="Arial"/>
        <w:sz w:val="16"/>
        <w:szCs w:val="16"/>
      </w:rPr>
    </w:pPr>
    <w:r w:rsidRPr="005C16D6">
      <w:rPr>
        <w:rFonts w:ascii="Arial" w:hAnsi="Arial" w:cs="Arial"/>
        <w:sz w:val="16"/>
        <w:szCs w:val="16"/>
      </w:rPr>
      <w:t xml:space="preserve">Radicado: </w:t>
    </w:r>
    <w:r w:rsidR="005C16D6" w:rsidRPr="005C16D6">
      <w:rPr>
        <w:rFonts w:ascii="Arial" w:eastAsia="Calibri" w:hAnsi="Arial" w:cs="Arial"/>
        <w:sz w:val="16"/>
        <w:szCs w:val="16"/>
      </w:rPr>
      <w:t>66001-31-05-00</w:t>
    </w:r>
    <w:r w:rsidR="00C37219">
      <w:rPr>
        <w:rFonts w:ascii="Arial" w:eastAsia="Calibri" w:hAnsi="Arial" w:cs="Arial"/>
        <w:sz w:val="16"/>
        <w:szCs w:val="16"/>
      </w:rPr>
      <w:t>4</w:t>
    </w:r>
    <w:r w:rsidR="005C16D6" w:rsidRPr="005C16D6">
      <w:rPr>
        <w:rFonts w:ascii="Arial" w:eastAsia="Calibri" w:hAnsi="Arial" w:cs="Arial"/>
        <w:sz w:val="16"/>
        <w:szCs w:val="16"/>
      </w:rPr>
      <w:t>-20</w:t>
    </w:r>
    <w:r w:rsidR="006E0A69">
      <w:rPr>
        <w:rFonts w:ascii="Arial" w:eastAsia="Calibri" w:hAnsi="Arial" w:cs="Arial"/>
        <w:sz w:val="16"/>
        <w:szCs w:val="16"/>
      </w:rPr>
      <w:t>23</w:t>
    </w:r>
    <w:r w:rsidR="005C16D6" w:rsidRPr="005C16D6">
      <w:rPr>
        <w:rFonts w:ascii="Arial" w:eastAsia="Calibri" w:hAnsi="Arial" w:cs="Arial"/>
        <w:sz w:val="16"/>
        <w:szCs w:val="16"/>
      </w:rPr>
      <w:t>-00</w:t>
    </w:r>
    <w:r w:rsidR="006E0A69">
      <w:rPr>
        <w:rFonts w:ascii="Arial" w:eastAsia="Calibri" w:hAnsi="Arial" w:cs="Arial"/>
        <w:sz w:val="16"/>
        <w:szCs w:val="16"/>
      </w:rPr>
      <w:t>082</w:t>
    </w:r>
    <w:r w:rsidR="005C16D6" w:rsidRPr="005C16D6">
      <w:rPr>
        <w:rFonts w:ascii="Arial" w:eastAsia="Calibri" w:hAnsi="Arial" w:cs="Arial"/>
        <w:sz w:val="16"/>
        <w:szCs w:val="16"/>
      </w:rPr>
      <w:t>-01</w:t>
    </w:r>
  </w:p>
  <w:p w14:paraId="70C23661" w14:textId="77777777" w:rsidR="008260C9" w:rsidRPr="005C16D6" w:rsidRDefault="006E0A69" w:rsidP="00355FBC">
    <w:pPr>
      <w:pStyle w:val="Encabezado"/>
      <w:jc w:val="center"/>
      <w:rPr>
        <w:rFonts w:ascii="Arial" w:hAnsi="Arial" w:cs="Arial"/>
        <w:sz w:val="16"/>
        <w:szCs w:val="16"/>
      </w:rPr>
    </w:pPr>
    <w:r>
      <w:rPr>
        <w:rFonts w:ascii="Arial" w:hAnsi="Arial" w:cs="Arial"/>
        <w:sz w:val="16"/>
        <w:szCs w:val="16"/>
      </w:rPr>
      <w:t>Óscar López Barco</w:t>
    </w:r>
    <w:r w:rsidR="00C06011" w:rsidRPr="005C16D6">
      <w:rPr>
        <w:rFonts w:ascii="Arial" w:hAnsi="Arial" w:cs="Arial"/>
        <w:sz w:val="16"/>
        <w:szCs w:val="16"/>
      </w:rPr>
      <w:t xml:space="preserve"> </w:t>
    </w:r>
    <w:r w:rsidR="008260C9" w:rsidRPr="005C16D6">
      <w:rPr>
        <w:rFonts w:ascii="Arial" w:hAnsi="Arial" w:cs="Arial"/>
        <w:sz w:val="16"/>
        <w:szCs w:val="16"/>
      </w:rPr>
      <w:t xml:space="preserve">vs Colpensiones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55B6C"/>
    <w:multiLevelType w:val="multilevel"/>
    <w:tmpl w:val="ECCCFE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3" w15:restartNumberingAfterBreak="0">
    <w:nsid w:val="272E5BBB"/>
    <w:multiLevelType w:val="hybridMultilevel"/>
    <w:tmpl w:val="5D32C3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125623"/>
    <w:multiLevelType w:val="hybridMultilevel"/>
    <w:tmpl w:val="F31AF52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502497E"/>
    <w:multiLevelType w:val="multilevel"/>
    <w:tmpl w:val="67966806"/>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9"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70C0446C"/>
    <w:multiLevelType w:val="multilevel"/>
    <w:tmpl w:val="9860264E"/>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sz w:val="24"/>
        <w:szCs w:val="24"/>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7F3B5E3E"/>
    <w:multiLevelType w:val="hybridMultilevel"/>
    <w:tmpl w:val="38BE4DA8"/>
    <w:lvl w:ilvl="0" w:tplc="8E722A08">
      <w:start w:val="1"/>
      <w:numFmt w:val="decimal"/>
      <w:lvlText w:val="%1."/>
      <w:lvlJc w:val="left"/>
      <w:pPr>
        <w:ind w:left="360" w:hanging="360"/>
      </w:pPr>
      <w:rPr>
        <w:rFonts w:hint="default"/>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9"/>
  </w:num>
  <w:num w:numId="5">
    <w:abstractNumId w:val="0"/>
  </w:num>
  <w:num w:numId="6">
    <w:abstractNumId w:val="7"/>
  </w:num>
  <w:num w:numId="7">
    <w:abstractNumId w:val="8"/>
  </w:num>
  <w:num w:numId="8">
    <w:abstractNumId w:val="1"/>
  </w:num>
  <w:num w:numId="9">
    <w:abstractNumId w:val="6"/>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4BBE"/>
    <w:rsid w:val="0000581C"/>
    <w:rsid w:val="00005D7F"/>
    <w:rsid w:val="00006874"/>
    <w:rsid w:val="00007B72"/>
    <w:rsid w:val="00007D86"/>
    <w:rsid w:val="000119A4"/>
    <w:rsid w:val="00020A06"/>
    <w:rsid w:val="00026E6D"/>
    <w:rsid w:val="0003196A"/>
    <w:rsid w:val="00040E9A"/>
    <w:rsid w:val="00041DE7"/>
    <w:rsid w:val="000429E7"/>
    <w:rsid w:val="000452F4"/>
    <w:rsid w:val="000537EA"/>
    <w:rsid w:val="00054CAF"/>
    <w:rsid w:val="00056404"/>
    <w:rsid w:val="00057FAE"/>
    <w:rsid w:val="00066167"/>
    <w:rsid w:val="000709EE"/>
    <w:rsid w:val="00073BBD"/>
    <w:rsid w:val="0008377A"/>
    <w:rsid w:val="00084002"/>
    <w:rsid w:val="00090FD9"/>
    <w:rsid w:val="00093664"/>
    <w:rsid w:val="00095847"/>
    <w:rsid w:val="000A397D"/>
    <w:rsid w:val="000A40DE"/>
    <w:rsid w:val="000A7156"/>
    <w:rsid w:val="000A71D5"/>
    <w:rsid w:val="000A7327"/>
    <w:rsid w:val="000B4F3C"/>
    <w:rsid w:val="000B59D5"/>
    <w:rsid w:val="000B6BB1"/>
    <w:rsid w:val="000C08B1"/>
    <w:rsid w:val="000C0A51"/>
    <w:rsid w:val="000C581D"/>
    <w:rsid w:val="000D0444"/>
    <w:rsid w:val="000D401F"/>
    <w:rsid w:val="000D6873"/>
    <w:rsid w:val="000D6AE3"/>
    <w:rsid w:val="000E70EB"/>
    <w:rsid w:val="000E7F42"/>
    <w:rsid w:val="000F08C1"/>
    <w:rsid w:val="000F1880"/>
    <w:rsid w:val="000F38F8"/>
    <w:rsid w:val="000F5775"/>
    <w:rsid w:val="000F6FF9"/>
    <w:rsid w:val="001005F1"/>
    <w:rsid w:val="00101DEB"/>
    <w:rsid w:val="00106A7E"/>
    <w:rsid w:val="00116A56"/>
    <w:rsid w:val="00117283"/>
    <w:rsid w:val="00117CE5"/>
    <w:rsid w:val="00121F87"/>
    <w:rsid w:val="00122A57"/>
    <w:rsid w:val="00123D49"/>
    <w:rsid w:val="00126CC0"/>
    <w:rsid w:val="00127390"/>
    <w:rsid w:val="001320DB"/>
    <w:rsid w:val="00132136"/>
    <w:rsid w:val="00133E70"/>
    <w:rsid w:val="00134C86"/>
    <w:rsid w:val="001365C6"/>
    <w:rsid w:val="00142110"/>
    <w:rsid w:val="00144CC0"/>
    <w:rsid w:val="001455D1"/>
    <w:rsid w:val="00146784"/>
    <w:rsid w:val="00146B1E"/>
    <w:rsid w:val="0015718B"/>
    <w:rsid w:val="00161A67"/>
    <w:rsid w:val="00164E8B"/>
    <w:rsid w:val="001667FB"/>
    <w:rsid w:val="00167549"/>
    <w:rsid w:val="00171BDD"/>
    <w:rsid w:val="00171C56"/>
    <w:rsid w:val="001726C7"/>
    <w:rsid w:val="00172834"/>
    <w:rsid w:val="00183477"/>
    <w:rsid w:val="001841D7"/>
    <w:rsid w:val="001926F2"/>
    <w:rsid w:val="001929DC"/>
    <w:rsid w:val="001935A5"/>
    <w:rsid w:val="0019411B"/>
    <w:rsid w:val="001962B7"/>
    <w:rsid w:val="00196815"/>
    <w:rsid w:val="001A2492"/>
    <w:rsid w:val="001A2E17"/>
    <w:rsid w:val="001A4D21"/>
    <w:rsid w:val="001B03FA"/>
    <w:rsid w:val="001B71E3"/>
    <w:rsid w:val="001C46FA"/>
    <w:rsid w:val="001C4D7F"/>
    <w:rsid w:val="001C7271"/>
    <w:rsid w:val="001D1BC0"/>
    <w:rsid w:val="001D4EB8"/>
    <w:rsid w:val="001D669C"/>
    <w:rsid w:val="001E0313"/>
    <w:rsid w:val="001E3462"/>
    <w:rsid w:val="001E3DB0"/>
    <w:rsid w:val="001F4718"/>
    <w:rsid w:val="00201403"/>
    <w:rsid w:val="002029C9"/>
    <w:rsid w:val="00202BEA"/>
    <w:rsid w:val="00216DFF"/>
    <w:rsid w:val="00217431"/>
    <w:rsid w:val="00222B11"/>
    <w:rsid w:val="002233EC"/>
    <w:rsid w:val="00226D5F"/>
    <w:rsid w:val="002302B8"/>
    <w:rsid w:val="0023095E"/>
    <w:rsid w:val="00230AFD"/>
    <w:rsid w:val="00231C21"/>
    <w:rsid w:val="002320EB"/>
    <w:rsid w:val="002404DA"/>
    <w:rsid w:val="00241347"/>
    <w:rsid w:val="00242152"/>
    <w:rsid w:val="00244804"/>
    <w:rsid w:val="0024524B"/>
    <w:rsid w:val="00247BBE"/>
    <w:rsid w:val="00251C28"/>
    <w:rsid w:val="00251CC1"/>
    <w:rsid w:val="00252811"/>
    <w:rsid w:val="00253138"/>
    <w:rsid w:val="00265520"/>
    <w:rsid w:val="00272C8B"/>
    <w:rsid w:val="00273805"/>
    <w:rsid w:val="00286873"/>
    <w:rsid w:val="00287CC2"/>
    <w:rsid w:val="00290C0B"/>
    <w:rsid w:val="00293CA8"/>
    <w:rsid w:val="00294CE2"/>
    <w:rsid w:val="002A02BA"/>
    <w:rsid w:val="002A1785"/>
    <w:rsid w:val="002A554E"/>
    <w:rsid w:val="002A5948"/>
    <w:rsid w:val="002B2069"/>
    <w:rsid w:val="002B3144"/>
    <w:rsid w:val="002B556B"/>
    <w:rsid w:val="002B6D13"/>
    <w:rsid w:val="002C15F7"/>
    <w:rsid w:val="002C2088"/>
    <w:rsid w:val="002C2A22"/>
    <w:rsid w:val="002C313D"/>
    <w:rsid w:val="002C530D"/>
    <w:rsid w:val="002D5B82"/>
    <w:rsid w:val="002D6807"/>
    <w:rsid w:val="002E09C2"/>
    <w:rsid w:val="002E36F9"/>
    <w:rsid w:val="002E4F47"/>
    <w:rsid w:val="002F07BA"/>
    <w:rsid w:val="002F1F5F"/>
    <w:rsid w:val="002F4207"/>
    <w:rsid w:val="0030453F"/>
    <w:rsid w:val="003048D2"/>
    <w:rsid w:val="0030780B"/>
    <w:rsid w:val="00311C9C"/>
    <w:rsid w:val="0031467E"/>
    <w:rsid w:val="0031596A"/>
    <w:rsid w:val="00316580"/>
    <w:rsid w:val="00322786"/>
    <w:rsid w:val="00324AD2"/>
    <w:rsid w:val="00325F73"/>
    <w:rsid w:val="00326F8A"/>
    <w:rsid w:val="0032772B"/>
    <w:rsid w:val="00336C7F"/>
    <w:rsid w:val="003371E3"/>
    <w:rsid w:val="003440CA"/>
    <w:rsid w:val="003463CD"/>
    <w:rsid w:val="003465C4"/>
    <w:rsid w:val="00347C69"/>
    <w:rsid w:val="003541D4"/>
    <w:rsid w:val="00355FBC"/>
    <w:rsid w:val="0035637F"/>
    <w:rsid w:val="003578D3"/>
    <w:rsid w:val="00357D26"/>
    <w:rsid w:val="0036213E"/>
    <w:rsid w:val="0036349A"/>
    <w:rsid w:val="003638F6"/>
    <w:rsid w:val="00363924"/>
    <w:rsid w:val="003643A6"/>
    <w:rsid w:val="00372DA4"/>
    <w:rsid w:val="003812A8"/>
    <w:rsid w:val="00381936"/>
    <w:rsid w:val="00382914"/>
    <w:rsid w:val="00382C70"/>
    <w:rsid w:val="00390620"/>
    <w:rsid w:val="00390B71"/>
    <w:rsid w:val="003918FF"/>
    <w:rsid w:val="003922FA"/>
    <w:rsid w:val="003932F1"/>
    <w:rsid w:val="00394305"/>
    <w:rsid w:val="003B320D"/>
    <w:rsid w:val="003B4EA7"/>
    <w:rsid w:val="003B5B81"/>
    <w:rsid w:val="003C1D2E"/>
    <w:rsid w:val="003C2DCF"/>
    <w:rsid w:val="003D0157"/>
    <w:rsid w:val="003D0DFC"/>
    <w:rsid w:val="003D0F2F"/>
    <w:rsid w:val="003D6CB5"/>
    <w:rsid w:val="003E2354"/>
    <w:rsid w:val="003F228F"/>
    <w:rsid w:val="003F2C50"/>
    <w:rsid w:val="003F39CE"/>
    <w:rsid w:val="003F4162"/>
    <w:rsid w:val="003F4E7E"/>
    <w:rsid w:val="003F62D0"/>
    <w:rsid w:val="00410F60"/>
    <w:rsid w:val="004136EB"/>
    <w:rsid w:val="004167C3"/>
    <w:rsid w:val="00416A8D"/>
    <w:rsid w:val="004254F9"/>
    <w:rsid w:val="00427DEC"/>
    <w:rsid w:val="00427FE1"/>
    <w:rsid w:val="004348AB"/>
    <w:rsid w:val="00434DF8"/>
    <w:rsid w:val="00435084"/>
    <w:rsid w:val="004453BD"/>
    <w:rsid w:val="00445692"/>
    <w:rsid w:val="0044769F"/>
    <w:rsid w:val="00450598"/>
    <w:rsid w:val="00450903"/>
    <w:rsid w:val="004517BE"/>
    <w:rsid w:val="004519EB"/>
    <w:rsid w:val="0045273B"/>
    <w:rsid w:val="00453DC3"/>
    <w:rsid w:val="00470873"/>
    <w:rsid w:val="004729BA"/>
    <w:rsid w:val="00472AA3"/>
    <w:rsid w:val="00474E2F"/>
    <w:rsid w:val="00480C56"/>
    <w:rsid w:val="00492808"/>
    <w:rsid w:val="00495F0F"/>
    <w:rsid w:val="004A0EB9"/>
    <w:rsid w:val="004A12CC"/>
    <w:rsid w:val="004A2468"/>
    <w:rsid w:val="004A52AC"/>
    <w:rsid w:val="004A7157"/>
    <w:rsid w:val="004A7AB4"/>
    <w:rsid w:val="004B1C89"/>
    <w:rsid w:val="004B2C4C"/>
    <w:rsid w:val="004B454F"/>
    <w:rsid w:val="004C019B"/>
    <w:rsid w:val="004C33B5"/>
    <w:rsid w:val="004C5857"/>
    <w:rsid w:val="004C5B27"/>
    <w:rsid w:val="004C681C"/>
    <w:rsid w:val="004D018B"/>
    <w:rsid w:val="004D01C5"/>
    <w:rsid w:val="004D5A63"/>
    <w:rsid w:val="004D5F52"/>
    <w:rsid w:val="004E4CC6"/>
    <w:rsid w:val="004F02DD"/>
    <w:rsid w:val="004F158C"/>
    <w:rsid w:val="004F6766"/>
    <w:rsid w:val="004F724D"/>
    <w:rsid w:val="00501034"/>
    <w:rsid w:val="00502691"/>
    <w:rsid w:val="00505103"/>
    <w:rsid w:val="0050681B"/>
    <w:rsid w:val="0051055C"/>
    <w:rsid w:val="00514FCE"/>
    <w:rsid w:val="00515BDC"/>
    <w:rsid w:val="005254D7"/>
    <w:rsid w:val="00530FFD"/>
    <w:rsid w:val="005319C5"/>
    <w:rsid w:val="005334A2"/>
    <w:rsid w:val="00533F10"/>
    <w:rsid w:val="0053562A"/>
    <w:rsid w:val="00540AB8"/>
    <w:rsid w:val="005439BB"/>
    <w:rsid w:val="00551347"/>
    <w:rsid w:val="00552CE3"/>
    <w:rsid w:val="005541CC"/>
    <w:rsid w:val="0055465D"/>
    <w:rsid w:val="00556BC1"/>
    <w:rsid w:val="0056183E"/>
    <w:rsid w:val="00563496"/>
    <w:rsid w:val="00565DFC"/>
    <w:rsid w:val="00565E83"/>
    <w:rsid w:val="0056670C"/>
    <w:rsid w:val="00567B33"/>
    <w:rsid w:val="00567C97"/>
    <w:rsid w:val="00572006"/>
    <w:rsid w:val="00572BE9"/>
    <w:rsid w:val="00576934"/>
    <w:rsid w:val="00577FBF"/>
    <w:rsid w:val="00586CB3"/>
    <w:rsid w:val="005878E1"/>
    <w:rsid w:val="00590EF2"/>
    <w:rsid w:val="00591F75"/>
    <w:rsid w:val="00591FDE"/>
    <w:rsid w:val="00593DE6"/>
    <w:rsid w:val="00594723"/>
    <w:rsid w:val="005A026A"/>
    <w:rsid w:val="005A693B"/>
    <w:rsid w:val="005A6B1D"/>
    <w:rsid w:val="005B0292"/>
    <w:rsid w:val="005B1FAB"/>
    <w:rsid w:val="005B4113"/>
    <w:rsid w:val="005B7D0B"/>
    <w:rsid w:val="005C16D6"/>
    <w:rsid w:val="005C17C1"/>
    <w:rsid w:val="005C3850"/>
    <w:rsid w:val="005C3E71"/>
    <w:rsid w:val="005C66DD"/>
    <w:rsid w:val="005D1C5A"/>
    <w:rsid w:val="005D5265"/>
    <w:rsid w:val="005D5800"/>
    <w:rsid w:val="005D7829"/>
    <w:rsid w:val="005D7A47"/>
    <w:rsid w:val="005E0ED1"/>
    <w:rsid w:val="005E5363"/>
    <w:rsid w:val="005E7DA5"/>
    <w:rsid w:val="005F1504"/>
    <w:rsid w:val="005F4872"/>
    <w:rsid w:val="005F4EE2"/>
    <w:rsid w:val="005F5E82"/>
    <w:rsid w:val="005F7385"/>
    <w:rsid w:val="00603BA5"/>
    <w:rsid w:val="006074D3"/>
    <w:rsid w:val="00607C0B"/>
    <w:rsid w:val="006135E9"/>
    <w:rsid w:val="0061484D"/>
    <w:rsid w:val="00615E23"/>
    <w:rsid w:val="00616F01"/>
    <w:rsid w:val="00617D5D"/>
    <w:rsid w:val="0062213D"/>
    <w:rsid w:val="006228C7"/>
    <w:rsid w:val="00622B0F"/>
    <w:rsid w:val="00623264"/>
    <w:rsid w:val="006261F7"/>
    <w:rsid w:val="0063108D"/>
    <w:rsid w:val="00635E8F"/>
    <w:rsid w:val="00637118"/>
    <w:rsid w:val="0064158C"/>
    <w:rsid w:val="006424B0"/>
    <w:rsid w:val="00643D10"/>
    <w:rsid w:val="00651658"/>
    <w:rsid w:val="006516CA"/>
    <w:rsid w:val="00654311"/>
    <w:rsid w:val="00656568"/>
    <w:rsid w:val="00656587"/>
    <w:rsid w:val="00662013"/>
    <w:rsid w:val="00662287"/>
    <w:rsid w:val="00662F5D"/>
    <w:rsid w:val="00663488"/>
    <w:rsid w:val="0066529E"/>
    <w:rsid w:val="006720B3"/>
    <w:rsid w:val="00675E25"/>
    <w:rsid w:val="00682BA8"/>
    <w:rsid w:val="00684B25"/>
    <w:rsid w:val="00687961"/>
    <w:rsid w:val="00690F87"/>
    <w:rsid w:val="006A0D48"/>
    <w:rsid w:val="006A3D88"/>
    <w:rsid w:val="006A4FD9"/>
    <w:rsid w:val="006B2959"/>
    <w:rsid w:val="006B79EE"/>
    <w:rsid w:val="006C07DE"/>
    <w:rsid w:val="006C0983"/>
    <w:rsid w:val="006C0D0D"/>
    <w:rsid w:val="006C1C3B"/>
    <w:rsid w:val="006C2385"/>
    <w:rsid w:val="006C48AA"/>
    <w:rsid w:val="006C4F12"/>
    <w:rsid w:val="006D07D3"/>
    <w:rsid w:val="006D0816"/>
    <w:rsid w:val="006D4576"/>
    <w:rsid w:val="006D46EB"/>
    <w:rsid w:val="006E0A69"/>
    <w:rsid w:val="006E11A2"/>
    <w:rsid w:val="006E1F37"/>
    <w:rsid w:val="006E2F01"/>
    <w:rsid w:val="006E3949"/>
    <w:rsid w:val="006F2FF3"/>
    <w:rsid w:val="006F3D12"/>
    <w:rsid w:val="006F616F"/>
    <w:rsid w:val="006F68BC"/>
    <w:rsid w:val="007038B1"/>
    <w:rsid w:val="0070724D"/>
    <w:rsid w:val="00712CFC"/>
    <w:rsid w:val="00713558"/>
    <w:rsid w:val="00716474"/>
    <w:rsid w:val="007220D1"/>
    <w:rsid w:val="007225C3"/>
    <w:rsid w:val="00722CD7"/>
    <w:rsid w:val="00723F65"/>
    <w:rsid w:val="007257B2"/>
    <w:rsid w:val="007258A6"/>
    <w:rsid w:val="007266F7"/>
    <w:rsid w:val="00726CC1"/>
    <w:rsid w:val="007308D1"/>
    <w:rsid w:val="00734D01"/>
    <w:rsid w:val="007364DD"/>
    <w:rsid w:val="00745389"/>
    <w:rsid w:val="007465BA"/>
    <w:rsid w:val="0074785C"/>
    <w:rsid w:val="00750744"/>
    <w:rsid w:val="007510BB"/>
    <w:rsid w:val="007632AA"/>
    <w:rsid w:val="00764C9B"/>
    <w:rsid w:val="00765ADF"/>
    <w:rsid w:val="00776EC7"/>
    <w:rsid w:val="00777D9C"/>
    <w:rsid w:val="007809CE"/>
    <w:rsid w:val="0078235F"/>
    <w:rsid w:val="007840CD"/>
    <w:rsid w:val="00784E91"/>
    <w:rsid w:val="00785001"/>
    <w:rsid w:val="007903F5"/>
    <w:rsid w:val="00795237"/>
    <w:rsid w:val="007A13DF"/>
    <w:rsid w:val="007A2D40"/>
    <w:rsid w:val="007A2F5F"/>
    <w:rsid w:val="007A73A3"/>
    <w:rsid w:val="007B1977"/>
    <w:rsid w:val="007B2F6C"/>
    <w:rsid w:val="007B5499"/>
    <w:rsid w:val="007B6F39"/>
    <w:rsid w:val="007C2252"/>
    <w:rsid w:val="007C36EF"/>
    <w:rsid w:val="007C4103"/>
    <w:rsid w:val="007C4EAC"/>
    <w:rsid w:val="007C5A02"/>
    <w:rsid w:val="007D17BF"/>
    <w:rsid w:val="007D40B8"/>
    <w:rsid w:val="007E0BAF"/>
    <w:rsid w:val="007E3F4A"/>
    <w:rsid w:val="007E5218"/>
    <w:rsid w:val="007E5F18"/>
    <w:rsid w:val="007F0C8C"/>
    <w:rsid w:val="007F111B"/>
    <w:rsid w:val="007F176A"/>
    <w:rsid w:val="007F1F65"/>
    <w:rsid w:val="007F4743"/>
    <w:rsid w:val="007F7476"/>
    <w:rsid w:val="007F7CE7"/>
    <w:rsid w:val="008031E8"/>
    <w:rsid w:val="0080364F"/>
    <w:rsid w:val="0080681F"/>
    <w:rsid w:val="00807187"/>
    <w:rsid w:val="00810397"/>
    <w:rsid w:val="00815A02"/>
    <w:rsid w:val="0082278C"/>
    <w:rsid w:val="0082528F"/>
    <w:rsid w:val="0082591D"/>
    <w:rsid w:val="008260C9"/>
    <w:rsid w:val="008261E9"/>
    <w:rsid w:val="0083061B"/>
    <w:rsid w:val="0083155E"/>
    <w:rsid w:val="00832ECD"/>
    <w:rsid w:val="00834E7B"/>
    <w:rsid w:val="00842F01"/>
    <w:rsid w:val="0084409D"/>
    <w:rsid w:val="00845A8E"/>
    <w:rsid w:val="008460CC"/>
    <w:rsid w:val="008472E5"/>
    <w:rsid w:val="00862EBC"/>
    <w:rsid w:val="00863CB4"/>
    <w:rsid w:val="008751D8"/>
    <w:rsid w:val="008778BA"/>
    <w:rsid w:val="00881457"/>
    <w:rsid w:val="00881830"/>
    <w:rsid w:val="00885AF2"/>
    <w:rsid w:val="008860B2"/>
    <w:rsid w:val="008865CE"/>
    <w:rsid w:val="008868A2"/>
    <w:rsid w:val="008914D9"/>
    <w:rsid w:val="00891545"/>
    <w:rsid w:val="00892C62"/>
    <w:rsid w:val="00895036"/>
    <w:rsid w:val="008972FD"/>
    <w:rsid w:val="008A04F6"/>
    <w:rsid w:val="008A316B"/>
    <w:rsid w:val="008A38AF"/>
    <w:rsid w:val="008A7036"/>
    <w:rsid w:val="008B0C8E"/>
    <w:rsid w:val="008B153E"/>
    <w:rsid w:val="008B205F"/>
    <w:rsid w:val="008B2194"/>
    <w:rsid w:val="008B4039"/>
    <w:rsid w:val="008B48B8"/>
    <w:rsid w:val="008C57CD"/>
    <w:rsid w:val="008C7B99"/>
    <w:rsid w:val="008D0040"/>
    <w:rsid w:val="008D27EF"/>
    <w:rsid w:val="008D7B4F"/>
    <w:rsid w:val="008E039A"/>
    <w:rsid w:val="008E0EF1"/>
    <w:rsid w:val="008E2244"/>
    <w:rsid w:val="008E27AE"/>
    <w:rsid w:val="008E4150"/>
    <w:rsid w:val="008F003B"/>
    <w:rsid w:val="008F2258"/>
    <w:rsid w:val="008F31EB"/>
    <w:rsid w:val="009000D4"/>
    <w:rsid w:val="009018F8"/>
    <w:rsid w:val="00902592"/>
    <w:rsid w:val="009071F5"/>
    <w:rsid w:val="00907A5F"/>
    <w:rsid w:val="00910042"/>
    <w:rsid w:val="00911B29"/>
    <w:rsid w:val="009137A5"/>
    <w:rsid w:val="00915EE3"/>
    <w:rsid w:val="009200D8"/>
    <w:rsid w:val="00924585"/>
    <w:rsid w:val="00927238"/>
    <w:rsid w:val="00936813"/>
    <w:rsid w:val="00942E96"/>
    <w:rsid w:val="00943F86"/>
    <w:rsid w:val="0094541B"/>
    <w:rsid w:val="009548D5"/>
    <w:rsid w:val="00955499"/>
    <w:rsid w:val="00964076"/>
    <w:rsid w:val="00964D1C"/>
    <w:rsid w:val="009660D4"/>
    <w:rsid w:val="0096635A"/>
    <w:rsid w:val="00966D44"/>
    <w:rsid w:val="00966F23"/>
    <w:rsid w:val="009740CF"/>
    <w:rsid w:val="00975BE8"/>
    <w:rsid w:val="00975DEE"/>
    <w:rsid w:val="00981496"/>
    <w:rsid w:val="00981DA7"/>
    <w:rsid w:val="009824CD"/>
    <w:rsid w:val="009827E2"/>
    <w:rsid w:val="00984633"/>
    <w:rsid w:val="009849BE"/>
    <w:rsid w:val="00984DDE"/>
    <w:rsid w:val="00991805"/>
    <w:rsid w:val="00991D5B"/>
    <w:rsid w:val="00992BDD"/>
    <w:rsid w:val="00993A28"/>
    <w:rsid w:val="00995393"/>
    <w:rsid w:val="009954BE"/>
    <w:rsid w:val="00995835"/>
    <w:rsid w:val="009A0106"/>
    <w:rsid w:val="009A0660"/>
    <w:rsid w:val="009A31E3"/>
    <w:rsid w:val="009A4BC5"/>
    <w:rsid w:val="009C03C2"/>
    <w:rsid w:val="009C3579"/>
    <w:rsid w:val="009C6681"/>
    <w:rsid w:val="009C77EB"/>
    <w:rsid w:val="009D1438"/>
    <w:rsid w:val="009D5BB7"/>
    <w:rsid w:val="009D64B0"/>
    <w:rsid w:val="009D6F42"/>
    <w:rsid w:val="009D7443"/>
    <w:rsid w:val="009E396A"/>
    <w:rsid w:val="009E5A8E"/>
    <w:rsid w:val="009F0B85"/>
    <w:rsid w:val="009F0E24"/>
    <w:rsid w:val="009F1835"/>
    <w:rsid w:val="009F3EC5"/>
    <w:rsid w:val="00A02274"/>
    <w:rsid w:val="00A0277C"/>
    <w:rsid w:val="00A100EF"/>
    <w:rsid w:val="00A122E8"/>
    <w:rsid w:val="00A124A0"/>
    <w:rsid w:val="00A12D18"/>
    <w:rsid w:val="00A1521A"/>
    <w:rsid w:val="00A17078"/>
    <w:rsid w:val="00A20BB1"/>
    <w:rsid w:val="00A227F4"/>
    <w:rsid w:val="00A23CFA"/>
    <w:rsid w:val="00A24966"/>
    <w:rsid w:val="00A25A2E"/>
    <w:rsid w:val="00A26C03"/>
    <w:rsid w:val="00A27137"/>
    <w:rsid w:val="00A30D33"/>
    <w:rsid w:val="00A32B05"/>
    <w:rsid w:val="00A32D42"/>
    <w:rsid w:val="00A3481F"/>
    <w:rsid w:val="00A36196"/>
    <w:rsid w:val="00A363B9"/>
    <w:rsid w:val="00A36479"/>
    <w:rsid w:val="00A36956"/>
    <w:rsid w:val="00A41823"/>
    <w:rsid w:val="00A41AF2"/>
    <w:rsid w:val="00A42244"/>
    <w:rsid w:val="00A5024C"/>
    <w:rsid w:val="00A51B5D"/>
    <w:rsid w:val="00A5463B"/>
    <w:rsid w:val="00A57E6A"/>
    <w:rsid w:val="00A6190F"/>
    <w:rsid w:val="00A63BAD"/>
    <w:rsid w:val="00A642D6"/>
    <w:rsid w:val="00A66B8A"/>
    <w:rsid w:val="00A70BB7"/>
    <w:rsid w:val="00A72A19"/>
    <w:rsid w:val="00A7488C"/>
    <w:rsid w:val="00A75252"/>
    <w:rsid w:val="00A928D2"/>
    <w:rsid w:val="00A93DCA"/>
    <w:rsid w:val="00A957FB"/>
    <w:rsid w:val="00AA2F30"/>
    <w:rsid w:val="00AB2427"/>
    <w:rsid w:val="00AB32B4"/>
    <w:rsid w:val="00AB5128"/>
    <w:rsid w:val="00AB6819"/>
    <w:rsid w:val="00AB7FA5"/>
    <w:rsid w:val="00AC09A6"/>
    <w:rsid w:val="00AC1793"/>
    <w:rsid w:val="00AC36EA"/>
    <w:rsid w:val="00AC3762"/>
    <w:rsid w:val="00AC486E"/>
    <w:rsid w:val="00AD47A2"/>
    <w:rsid w:val="00AD78BB"/>
    <w:rsid w:val="00AD7EF8"/>
    <w:rsid w:val="00AE118E"/>
    <w:rsid w:val="00AE39F4"/>
    <w:rsid w:val="00AE3A4F"/>
    <w:rsid w:val="00AE58C3"/>
    <w:rsid w:val="00AE62E4"/>
    <w:rsid w:val="00AF0935"/>
    <w:rsid w:val="00AF5C75"/>
    <w:rsid w:val="00AF6BA7"/>
    <w:rsid w:val="00AF6E3F"/>
    <w:rsid w:val="00B04151"/>
    <w:rsid w:val="00B0466B"/>
    <w:rsid w:val="00B04949"/>
    <w:rsid w:val="00B06053"/>
    <w:rsid w:val="00B06343"/>
    <w:rsid w:val="00B06B33"/>
    <w:rsid w:val="00B11EEA"/>
    <w:rsid w:val="00B12BDA"/>
    <w:rsid w:val="00B162A7"/>
    <w:rsid w:val="00B220D2"/>
    <w:rsid w:val="00B22E56"/>
    <w:rsid w:val="00B24C28"/>
    <w:rsid w:val="00B3436D"/>
    <w:rsid w:val="00B364A1"/>
    <w:rsid w:val="00B3687A"/>
    <w:rsid w:val="00B50CFC"/>
    <w:rsid w:val="00B5427D"/>
    <w:rsid w:val="00B554B8"/>
    <w:rsid w:val="00B56E76"/>
    <w:rsid w:val="00B63804"/>
    <w:rsid w:val="00B65F9A"/>
    <w:rsid w:val="00B67118"/>
    <w:rsid w:val="00B67C66"/>
    <w:rsid w:val="00B75647"/>
    <w:rsid w:val="00B80B3E"/>
    <w:rsid w:val="00B84644"/>
    <w:rsid w:val="00B86AC5"/>
    <w:rsid w:val="00B92076"/>
    <w:rsid w:val="00B9380B"/>
    <w:rsid w:val="00B9600C"/>
    <w:rsid w:val="00BA0C20"/>
    <w:rsid w:val="00BB03B4"/>
    <w:rsid w:val="00BB1F45"/>
    <w:rsid w:val="00BB2C59"/>
    <w:rsid w:val="00BB669B"/>
    <w:rsid w:val="00BC12B5"/>
    <w:rsid w:val="00BC31C8"/>
    <w:rsid w:val="00BC385C"/>
    <w:rsid w:val="00BC691B"/>
    <w:rsid w:val="00BC70D9"/>
    <w:rsid w:val="00BC75BC"/>
    <w:rsid w:val="00BE0373"/>
    <w:rsid w:val="00BF2489"/>
    <w:rsid w:val="00BF3967"/>
    <w:rsid w:val="00C00FD9"/>
    <w:rsid w:val="00C014CC"/>
    <w:rsid w:val="00C03688"/>
    <w:rsid w:val="00C06011"/>
    <w:rsid w:val="00C0766F"/>
    <w:rsid w:val="00C1062A"/>
    <w:rsid w:val="00C133B7"/>
    <w:rsid w:val="00C1591F"/>
    <w:rsid w:val="00C16716"/>
    <w:rsid w:val="00C20356"/>
    <w:rsid w:val="00C22EE6"/>
    <w:rsid w:val="00C22FF8"/>
    <w:rsid w:val="00C25222"/>
    <w:rsid w:val="00C26F5C"/>
    <w:rsid w:val="00C37219"/>
    <w:rsid w:val="00C411F8"/>
    <w:rsid w:val="00C419D5"/>
    <w:rsid w:val="00C43D62"/>
    <w:rsid w:val="00C51BFB"/>
    <w:rsid w:val="00C51CFD"/>
    <w:rsid w:val="00C56E3E"/>
    <w:rsid w:val="00C634AF"/>
    <w:rsid w:val="00C65FCA"/>
    <w:rsid w:val="00C73C09"/>
    <w:rsid w:val="00C75002"/>
    <w:rsid w:val="00C80996"/>
    <w:rsid w:val="00C81260"/>
    <w:rsid w:val="00C81FE6"/>
    <w:rsid w:val="00C83F1F"/>
    <w:rsid w:val="00C850A8"/>
    <w:rsid w:val="00C91182"/>
    <w:rsid w:val="00C9173E"/>
    <w:rsid w:val="00C93C83"/>
    <w:rsid w:val="00C9691D"/>
    <w:rsid w:val="00C97513"/>
    <w:rsid w:val="00CA1E17"/>
    <w:rsid w:val="00CA5C6C"/>
    <w:rsid w:val="00CB17D9"/>
    <w:rsid w:val="00CB550B"/>
    <w:rsid w:val="00CB5B17"/>
    <w:rsid w:val="00CC0590"/>
    <w:rsid w:val="00CC0AEC"/>
    <w:rsid w:val="00CC2187"/>
    <w:rsid w:val="00CC473D"/>
    <w:rsid w:val="00CC4952"/>
    <w:rsid w:val="00CC4EF1"/>
    <w:rsid w:val="00CC52FF"/>
    <w:rsid w:val="00CC61F3"/>
    <w:rsid w:val="00CD0F44"/>
    <w:rsid w:val="00CD17ED"/>
    <w:rsid w:val="00CD79DF"/>
    <w:rsid w:val="00CE2717"/>
    <w:rsid w:val="00CE618B"/>
    <w:rsid w:val="00CE714F"/>
    <w:rsid w:val="00CE7753"/>
    <w:rsid w:val="00CF1AEC"/>
    <w:rsid w:val="00CF2E16"/>
    <w:rsid w:val="00CF3BCB"/>
    <w:rsid w:val="00CF576A"/>
    <w:rsid w:val="00D0228B"/>
    <w:rsid w:val="00D060CA"/>
    <w:rsid w:val="00D13232"/>
    <w:rsid w:val="00D13723"/>
    <w:rsid w:val="00D13AA3"/>
    <w:rsid w:val="00D16703"/>
    <w:rsid w:val="00D22C10"/>
    <w:rsid w:val="00D25A1C"/>
    <w:rsid w:val="00D260C3"/>
    <w:rsid w:val="00D320B2"/>
    <w:rsid w:val="00D33344"/>
    <w:rsid w:val="00D37912"/>
    <w:rsid w:val="00D43921"/>
    <w:rsid w:val="00D445BD"/>
    <w:rsid w:val="00D4502A"/>
    <w:rsid w:val="00D45520"/>
    <w:rsid w:val="00D4562A"/>
    <w:rsid w:val="00D50A1D"/>
    <w:rsid w:val="00D51CB6"/>
    <w:rsid w:val="00D578CB"/>
    <w:rsid w:val="00D603F5"/>
    <w:rsid w:val="00D62F31"/>
    <w:rsid w:val="00D736BD"/>
    <w:rsid w:val="00D747E2"/>
    <w:rsid w:val="00D758F1"/>
    <w:rsid w:val="00D85220"/>
    <w:rsid w:val="00D867DB"/>
    <w:rsid w:val="00D90E0C"/>
    <w:rsid w:val="00D91996"/>
    <w:rsid w:val="00D93BC8"/>
    <w:rsid w:val="00D959B2"/>
    <w:rsid w:val="00D96DB6"/>
    <w:rsid w:val="00D97AC4"/>
    <w:rsid w:val="00D97DBA"/>
    <w:rsid w:val="00DA3E57"/>
    <w:rsid w:val="00DA4B0A"/>
    <w:rsid w:val="00DA5400"/>
    <w:rsid w:val="00DA7F6C"/>
    <w:rsid w:val="00DB157E"/>
    <w:rsid w:val="00DB17B9"/>
    <w:rsid w:val="00DB4EFD"/>
    <w:rsid w:val="00DB798F"/>
    <w:rsid w:val="00DC3D92"/>
    <w:rsid w:val="00DC45C9"/>
    <w:rsid w:val="00DC4604"/>
    <w:rsid w:val="00DD4697"/>
    <w:rsid w:val="00DD6BF4"/>
    <w:rsid w:val="00DD7786"/>
    <w:rsid w:val="00DE0005"/>
    <w:rsid w:val="00DE0016"/>
    <w:rsid w:val="00DF30A5"/>
    <w:rsid w:val="00DF3B2A"/>
    <w:rsid w:val="00DF5376"/>
    <w:rsid w:val="00E031D6"/>
    <w:rsid w:val="00E04B5A"/>
    <w:rsid w:val="00E062F9"/>
    <w:rsid w:val="00E0665C"/>
    <w:rsid w:val="00E1122B"/>
    <w:rsid w:val="00E13372"/>
    <w:rsid w:val="00E205E5"/>
    <w:rsid w:val="00E226FE"/>
    <w:rsid w:val="00E272B3"/>
    <w:rsid w:val="00E27B52"/>
    <w:rsid w:val="00E32437"/>
    <w:rsid w:val="00E32E6A"/>
    <w:rsid w:val="00E368B2"/>
    <w:rsid w:val="00E40BFC"/>
    <w:rsid w:val="00E46A1C"/>
    <w:rsid w:val="00E523D6"/>
    <w:rsid w:val="00E55139"/>
    <w:rsid w:val="00E55A0E"/>
    <w:rsid w:val="00E55C4E"/>
    <w:rsid w:val="00E55DF2"/>
    <w:rsid w:val="00E63EB3"/>
    <w:rsid w:val="00E665CA"/>
    <w:rsid w:val="00E70A48"/>
    <w:rsid w:val="00E72202"/>
    <w:rsid w:val="00E762DE"/>
    <w:rsid w:val="00E77022"/>
    <w:rsid w:val="00E92205"/>
    <w:rsid w:val="00E93052"/>
    <w:rsid w:val="00E9376C"/>
    <w:rsid w:val="00E971BE"/>
    <w:rsid w:val="00EA0A58"/>
    <w:rsid w:val="00EA1BA4"/>
    <w:rsid w:val="00EA3CA8"/>
    <w:rsid w:val="00EA4765"/>
    <w:rsid w:val="00EC241E"/>
    <w:rsid w:val="00EC3C6F"/>
    <w:rsid w:val="00EC4C32"/>
    <w:rsid w:val="00ED29F1"/>
    <w:rsid w:val="00ED6759"/>
    <w:rsid w:val="00ED6AF6"/>
    <w:rsid w:val="00ED7CCD"/>
    <w:rsid w:val="00EE1A62"/>
    <w:rsid w:val="00EE35B2"/>
    <w:rsid w:val="00EE6437"/>
    <w:rsid w:val="00EF1695"/>
    <w:rsid w:val="00EF2074"/>
    <w:rsid w:val="00EF46E6"/>
    <w:rsid w:val="00EF6C04"/>
    <w:rsid w:val="00EF6D99"/>
    <w:rsid w:val="00EF79EF"/>
    <w:rsid w:val="00F017BF"/>
    <w:rsid w:val="00F06048"/>
    <w:rsid w:val="00F0668C"/>
    <w:rsid w:val="00F11410"/>
    <w:rsid w:val="00F140D2"/>
    <w:rsid w:val="00F36F15"/>
    <w:rsid w:val="00F40D65"/>
    <w:rsid w:val="00F43CE5"/>
    <w:rsid w:val="00F45848"/>
    <w:rsid w:val="00F500A7"/>
    <w:rsid w:val="00F518A4"/>
    <w:rsid w:val="00F527FA"/>
    <w:rsid w:val="00F5456E"/>
    <w:rsid w:val="00F551B8"/>
    <w:rsid w:val="00F5740B"/>
    <w:rsid w:val="00F57ABD"/>
    <w:rsid w:val="00F65645"/>
    <w:rsid w:val="00F7229A"/>
    <w:rsid w:val="00F760D1"/>
    <w:rsid w:val="00F814C0"/>
    <w:rsid w:val="00F820ED"/>
    <w:rsid w:val="00F848E0"/>
    <w:rsid w:val="00F90D97"/>
    <w:rsid w:val="00F90F88"/>
    <w:rsid w:val="00F919EA"/>
    <w:rsid w:val="00F920B2"/>
    <w:rsid w:val="00F93015"/>
    <w:rsid w:val="00F9550A"/>
    <w:rsid w:val="00FA27BE"/>
    <w:rsid w:val="00FA38AE"/>
    <w:rsid w:val="00FA4929"/>
    <w:rsid w:val="00FA6675"/>
    <w:rsid w:val="00FA71FD"/>
    <w:rsid w:val="00FC04DF"/>
    <w:rsid w:val="00FC4D00"/>
    <w:rsid w:val="00FD6247"/>
    <w:rsid w:val="00FE059A"/>
    <w:rsid w:val="00FE078F"/>
    <w:rsid w:val="00FE21F3"/>
    <w:rsid w:val="00FE2BDE"/>
    <w:rsid w:val="00FE52E6"/>
    <w:rsid w:val="00FE73D1"/>
    <w:rsid w:val="00FE7515"/>
    <w:rsid w:val="00FF200A"/>
    <w:rsid w:val="00FF24FA"/>
    <w:rsid w:val="00FF2F05"/>
    <w:rsid w:val="00FF3CF9"/>
    <w:rsid w:val="00FF5F2F"/>
    <w:rsid w:val="01C839E6"/>
    <w:rsid w:val="0282CD9C"/>
    <w:rsid w:val="046A7C03"/>
    <w:rsid w:val="07935CB8"/>
    <w:rsid w:val="096D8539"/>
    <w:rsid w:val="0A6ED322"/>
    <w:rsid w:val="0CDD1842"/>
    <w:rsid w:val="0D03BBD5"/>
    <w:rsid w:val="0D6442FE"/>
    <w:rsid w:val="171E3D99"/>
    <w:rsid w:val="1967A2DC"/>
    <w:rsid w:val="19B7EE80"/>
    <w:rsid w:val="1A866EA6"/>
    <w:rsid w:val="1AEB38B6"/>
    <w:rsid w:val="1B9B33AA"/>
    <w:rsid w:val="1F225DC4"/>
    <w:rsid w:val="202CD080"/>
    <w:rsid w:val="22F13F37"/>
    <w:rsid w:val="2BB99277"/>
    <w:rsid w:val="2BFFD21E"/>
    <w:rsid w:val="2C15CFB4"/>
    <w:rsid w:val="2F66A270"/>
    <w:rsid w:val="341B6A39"/>
    <w:rsid w:val="34916341"/>
    <w:rsid w:val="34EA0E87"/>
    <w:rsid w:val="36E2A829"/>
    <w:rsid w:val="3A28A989"/>
    <w:rsid w:val="4070892D"/>
    <w:rsid w:val="411FD1C2"/>
    <w:rsid w:val="42BBA223"/>
    <w:rsid w:val="430D5551"/>
    <w:rsid w:val="46805185"/>
    <w:rsid w:val="486D9354"/>
    <w:rsid w:val="4D136A0D"/>
    <w:rsid w:val="529D34FA"/>
    <w:rsid w:val="53F8B79B"/>
    <w:rsid w:val="571EF764"/>
    <w:rsid w:val="58E82111"/>
    <w:rsid w:val="591B8064"/>
    <w:rsid w:val="5948F4F7"/>
    <w:rsid w:val="5A357CC3"/>
    <w:rsid w:val="5F08EDE6"/>
    <w:rsid w:val="61017A6A"/>
    <w:rsid w:val="63BCEE9B"/>
    <w:rsid w:val="63C336AC"/>
    <w:rsid w:val="6438ABDD"/>
    <w:rsid w:val="643E20EB"/>
    <w:rsid w:val="6896A7CF"/>
    <w:rsid w:val="6AC8F9CF"/>
    <w:rsid w:val="6DEC9041"/>
    <w:rsid w:val="6FF9AC46"/>
    <w:rsid w:val="70974F4F"/>
    <w:rsid w:val="71F20761"/>
    <w:rsid w:val="737187CE"/>
    <w:rsid w:val="738DD7C2"/>
    <w:rsid w:val="76A3D16A"/>
    <w:rsid w:val="79A08E8C"/>
    <w:rsid w:val="7B439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CAB8"/>
  <w15:chartTrackingRefBased/>
  <w15:docId w15:val="{29428121-8B51-4B5C-8461-AAD9320C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link w:val="SinespaciadoCar"/>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nhideWhenUsed/>
    <w:rsid w:val="00226D5F"/>
    <w:pPr>
      <w:tabs>
        <w:tab w:val="center" w:pos="4419"/>
        <w:tab w:val="right" w:pos="8838"/>
      </w:tabs>
    </w:pPr>
  </w:style>
  <w:style w:type="character" w:customStyle="1" w:styleId="EncabezadoCar">
    <w:name w:val="Encabezado Car"/>
    <w:basedOn w:val="Fuentedeprrafopredeter"/>
    <w:link w:val="Encabezado"/>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basedOn w:val="Normal"/>
    <w:link w:val="TextonotapieCar"/>
    <w:uiPriority w:val="99"/>
    <w:semiHidden/>
    <w:unhideWhenUsed/>
    <w:rsid w:val="00A27137"/>
    <w:rPr>
      <w:sz w:val="20"/>
    </w:rPr>
  </w:style>
  <w:style w:type="character" w:customStyle="1" w:styleId="TextonotapieCar">
    <w:name w:val="Texto nota pie Car"/>
    <w:basedOn w:val="Fuentedeprrafopredeter"/>
    <w:link w:val="Textonotapie"/>
    <w:uiPriority w:val="99"/>
    <w:semiHidden/>
    <w:rsid w:val="00A27137"/>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27137"/>
    <w:rPr>
      <w:vertAlign w:val="superscript"/>
    </w:rPr>
  </w:style>
  <w:style w:type="character" w:customStyle="1" w:styleId="apple-converted-space">
    <w:name w:val="apple-converted-space"/>
    <w:basedOn w:val="Fuentedeprrafopredeter"/>
    <w:rsid w:val="00AF5C75"/>
  </w:style>
  <w:style w:type="character" w:styleId="Textoennegrita">
    <w:name w:val="Strong"/>
    <w:basedOn w:val="Fuentedeprrafopredeter"/>
    <w:uiPriority w:val="22"/>
    <w:qFormat/>
    <w:rsid w:val="00AF5C75"/>
    <w:rPr>
      <w:b/>
      <w:bCs/>
    </w:rPr>
  </w:style>
  <w:style w:type="character" w:styleId="Hipervnculo">
    <w:name w:val="Hyperlink"/>
    <w:basedOn w:val="Fuentedeprrafopredeter"/>
    <w:uiPriority w:val="99"/>
    <w:semiHidden/>
    <w:unhideWhenUsed/>
    <w:rsid w:val="00AF5C75"/>
    <w:rPr>
      <w:color w:val="0000FF"/>
      <w:u w:val="single"/>
    </w:rPr>
  </w:style>
  <w:style w:type="paragraph" w:styleId="Textoindependiente2">
    <w:name w:val="Body Text 2"/>
    <w:basedOn w:val="Normal"/>
    <w:link w:val="Textoindependiente2Car"/>
    <w:uiPriority w:val="99"/>
    <w:semiHidden/>
    <w:unhideWhenUsed/>
    <w:rsid w:val="00A42244"/>
    <w:pPr>
      <w:spacing w:after="120" w:line="480" w:lineRule="auto"/>
    </w:pPr>
  </w:style>
  <w:style w:type="character" w:customStyle="1" w:styleId="Textoindependiente2Car">
    <w:name w:val="Texto independiente 2 Car"/>
    <w:basedOn w:val="Fuentedeprrafopredeter"/>
    <w:link w:val="Textoindependiente2"/>
    <w:uiPriority w:val="99"/>
    <w:semiHidden/>
    <w:rsid w:val="00A42244"/>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8F31EB"/>
    <w:pPr>
      <w:spacing w:line="360" w:lineRule="auto"/>
      <w:jc w:val="both"/>
    </w:pPr>
    <w:rPr>
      <w:rFonts w:ascii="Arial" w:hAnsi="Arial"/>
    </w:rPr>
  </w:style>
  <w:style w:type="character" w:customStyle="1" w:styleId="iaj">
    <w:name w:val="i_aj"/>
    <w:basedOn w:val="Fuentedeprrafopredeter"/>
    <w:rsid w:val="008E4150"/>
  </w:style>
  <w:style w:type="character" w:customStyle="1" w:styleId="baj">
    <w:name w:val="b_aj"/>
    <w:basedOn w:val="Fuentedeprrafopredeter"/>
    <w:rsid w:val="008E4150"/>
  </w:style>
  <w:style w:type="character" w:customStyle="1" w:styleId="FontStyle12">
    <w:name w:val="Font Style12"/>
    <w:uiPriority w:val="99"/>
    <w:rsid w:val="00B06053"/>
    <w:rPr>
      <w:rFonts w:ascii="Bookman Old Style" w:hAnsi="Bookman Old Style" w:cs="Bookman Old Style"/>
      <w:sz w:val="28"/>
      <w:szCs w:val="28"/>
    </w:rPr>
  </w:style>
  <w:style w:type="paragraph" w:customStyle="1" w:styleId="Textoindependiente33">
    <w:name w:val="Texto independiente 33"/>
    <w:basedOn w:val="Normal"/>
    <w:rsid w:val="00BB669B"/>
    <w:pPr>
      <w:spacing w:line="360" w:lineRule="auto"/>
      <w:jc w:val="both"/>
    </w:pPr>
    <w:rPr>
      <w:rFonts w:ascii="Arial" w:hAnsi="Arial"/>
    </w:rPr>
  </w:style>
  <w:style w:type="paragraph" w:styleId="Textoindependiente3">
    <w:name w:val="Body Text 3"/>
    <w:basedOn w:val="Normal"/>
    <w:link w:val="Textoindependiente3Car"/>
    <w:uiPriority w:val="99"/>
    <w:semiHidden/>
    <w:unhideWhenUsed/>
    <w:rsid w:val="0044569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45692"/>
    <w:rPr>
      <w:rFonts w:ascii="Times New Roman" w:eastAsia="Times New Roman" w:hAnsi="Times New Roman" w:cs="Times New Roman"/>
      <w:sz w:val="16"/>
      <w:szCs w:val="16"/>
      <w:lang w:val="es-ES_tradnl" w:eastAsia="es-ES"/>
    </w:rPr>
  </w:style>
  <w:style w:type="paragraph" w:customStyle="1" w:styleId="Default">
    <w:name w:val="Default"/>
    <w:rsid w:val="0056670C"/>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customStyle="1" w:styleId="SinespaciadoCar">
    <w:name w:val="Sin espaciado Car"/>
    <w:link w:val="Sinespaciado"/>
    <w:uiPriority w:val="1"/>
    <w:locked/>
    <w:rsid w:val="005C17C1"/>
    <w:rPr>
      <w:lang w:val="es-ES_tradnl"/>
    </w:rPr>
  </w:style>
  <w:style w:type="paragraph" w:customStyle="1" w:styleId="paragraph">
    <w:name w:val="paragraph"/>
    <w:basedOn w:val="Normal"/>
    <w:rsid w:val="00C37219"/>
    <w:pPr>
      <w:spacing w:before="100" w:beforeAutospacing="1" w:after="100" w:afterAutospacing="1"/>
    </w:pPr>
    <w:rPr>
      <w:szCs w:val="24"/>
      <w:lang w:val="es-CO" w:eastAsia="es-CO"/>
    </w:rPr>
  </w:style>
  <w:style w:type="character" w:customStyle="1" w:styleId="normaltextrun">
    <w:name w:val="normaltextrun"/>
    <w:rsid w:val="00C37219"/>
  </w:style>
  <w:style w:type="character" w:customStyle="1" w:styleId="eop">
    <w:name w:val="eop"/>
    <w:rsid w:val="00C37219"/>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953">
      <w:bodyDiv w:val="1"/>
      <w:marLeft w:val="0"/>
      <w:marRight w:val="0"/>
      <w:marTop w:val="0"/>
      <w:marBottom w:val="0"/>
      <w:divBdr>
        <w:top w:val="none" w:sz="0" w:space="0" w:color="auto"/>
        <w:left w:val="none" w:sz="0" w:space="0" w:color="auto"/>
        <w:bottom w:val="none" w:sz="0" w:space="0" w:color="auto"/>
        <w:right w:val="none" w:sz="0" w:space="0" w:color="auto"/>
      </w:divBdr>
    </w:div>
    <w:div w:id="467362574">
      <w:bodyDiv w:val="1"/>
      <w:marLeft w:val="0"/>
      <w:marRight w:val="0"/>
      <w:marTop w:val="0"/>
      <w:marBottom w:val="0"/>
      <w:divBdr>
        <w:top w:val="none" w:sz="0" w:space="0" w:color="auto"/>
        <w:left w:val="none" w:sz="0" w:space="0" w:color="auto"/>
        <w:bottom w:val="none" w:sz="0" w:space="0" w:color="auto"/>
        <w:right w:val="none" w:sz="0" w:space="0" w:color="auto"/>
      </w:divBdr>
    </w:div>
    <w:div w:id="557396107">
      <w:bodyDiv w:val="1"/>
      <w:marLeft w:val="0"/>
      <w:marRight w:val="0"/>
      <w:marTop w:val="0"/>
      <w:marBottom w:val="0"/>
      <w:divBdr>
        <w:top w:val="none" w:sz="0" w:space="0" w:color="auto"/>
        <w:left w:val="none" w:sz="0" w:space="0" w:color="auto"/>
        <w:bottom w:val="none" w:sz="0" w:space="0" w:color="auto"/>
        <w:right w:val="none" w:sz="0" w:space="0" w:color="auto"/>
      </w:divBdr>
    </w:div>
    <w:div w:id="567693397">
      <w:bodyDiv w:val="1"/>
      <w:marLeft w:val="0"/>
      <w:marRight w:val="0"/>
      <w:marTop w:val="0"/>
      <w:marBottom w:val="0"/>
      <w:divBdr>
        <w:top w:val="none" w:sz="0" w:space="0" w:color="auto"/>
        <w:left w:val="none" w:sz="0" w:space="0" w:color="auto"/>
        <w:bottom w:val="none" w:sz="0" w:space="0" w:color="auto"/>
        <w:right w:val="none" w:sz="0" w:space="0" w:color="auto"/>
      </w:divBdr>
    </w:div>
    <w:div w:id="820579998">
      <w:bodyDiv w:val="1"/>
      <w:marLeft w:val="0"/>
      <w:marRight w:val="0"/>
      <w:marTop w:val="0"/>
      <w:marBottom w:val="0"/>
      <w:divBdr>
        <w:top w:val="none" w:sz="0" w:space="0" w:color="auto"/>
        <w:left w:val="none" w:sz="0" w:space="0" w:color="auto"/>
        <w:bottom w:val="none" w:sz="0" w:space="0" w:color="auto"/>
        <w:right w:val="none" w:sz="0" w:space="0" w:color="auto"/>
      </w:divBdr>
    </w:div>
    <w:div w:id="901015137">
      <w:bodyDiv w:val="1"/>
      <w:marLeft w:val="0"/>
      <w:marRight w:val="0"/>
      <w:marTop w:val="0"/>
      <w:marBottom w:val="0"/>
      <w:divBdr>
        <w:top w:val="none" w:sz="0" w:space="0" w:color="auto"/>
        <w:left w:val="none" w:sz="0" w:space="0" w:color="auto"/>
        <w:bottom w:val="none" w:sz="0" w:space="0" w:color="auto"/>
        <w:right w:val="none" w:sz="0" w:space="0" w:color="auto"/>
      </w:divBdr>
    </w:div>
    <w:div w:id="965281854">
      <w:bodyDiv w:val="1"/>
      <w:marLeft w:val="0"/>
      <w:marRight w:val="0"/>
      <w:marTop w:val="0"/>
      <w:marBottom w:val="0"/>
      <w:divBdr>
        <w:top w:val="none" w:sz="0" w:space="0" w:color="auto"/>
        <w:left w:val="none" w:sz="0" w:space="0" w:color="auto"/>
        <w:bottom w:val="none" w:sz="0" w:space="0" w:color="auto"/>
        <w:right w:val="none" w:sz="0" w:space="0" w:color="auto"/>
      </w:divBdr>
    </w:div>
    <w:div w:id="1006397725">
      <w:bodyDiv w:val="1"/>
      <w:marLeft w:val="0"/>
      <w:marRight w:val="0"/>
      <w:marTop w:val="0"/>
      <w:marBottom w:val="0"/>
      <w:divBdr>
        <w:top w:val="none" w:sz="0" w:space="0" w:color="auto"/>
        <w:left w:val="none" w:sz="0" w:space="0" w:color="auto"/>
        <w:bottom w:val="none" w:sz="0" w:space="0" w:color="auto"/>
        <w:right w:val="none" w:sz="0" w:space="0" w:color="auto"/>
      </w:divBdr>
    </w:div>
    <w:div w:id="1469206491">
      <w:bodyDiv w:val="1"/>
      <w:marLeft w:val="0"/>
      <w:marRight w:val="0"/>
      <w:marTop w:val="0"/>
      <w:marBottom w:val="0"/>
      <w:divBdr>
        <w:top w:val="none" w:sz="0" w:space="0" w:color="auto"/>
        <w:left w:val="none" w:sz="0" w:space="0" w:color="auto"/>
        <w:bottom w:val="none" w:sz="0" w:space="0" w:color="auto"/>
        <w:right w:val="none" w:sz="0" w:space="0" w:color="auto"/>
      </w:divBdr>
    </w:div>
    <w:div w:id="153800621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14558477">
      <w:bodyDiv w:val="1"/>
      <w:marLeft w:val="0"/>
      <w:marRight w:val="0"/>
      <w:marTop w:val="0"/>
      <w:marBottom w:val="0"/>
      <w:divBdr>
        <w:top w:val="none" w:sz="0" w:space="0" w:color="auto"/>
        <w:left w:val="none" w:sz="0" w:space="0" w:color="auto"/>
        <w:bottom w:val="none" w:sz="0" w:space="0" w:color="auto"/>
        <w:right w:val="none" w:sz="0" w:space="0" w:color="auto"/>
      </w:divBdr>
    </w:div>
    <w:div w:id="16829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370917b93718495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AC9BE-92A2-4BF8-B843-9A701A1CB1A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B5FB33CC-3436-4BB3-B4CB-CC05F94DE08A}">
  <ds:schemaRefs>
    <ds:schemaRef ds:uri="http://schemas.microsoft.com/sharepoint/v3/contenttype/forms"/>
  </ds:schemaRefs>
</ds:datastoreItem>
</file>

<file path=customXml/itemProps3.xml><?xml version="1.0" encoding="utf-8"?>
<ds:datastoreItem xmlns:ds="http://schemas.openxmlformats.org/officeDocument/2006/customXml" ds:itemID="{794D98A3-F8CD-4371-9B64-0C190356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5BF07-F0D9-4D3D-994A-781158E9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2166</Words>
  <Characters>12347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14</cp:revision>
  <cp:lastPrinted>2018-07-17T16:35:00Z</cp:lastPrinted>
  <dcterms:created xsi:type="dcterms:W3CDTF">2023-11-09T15:52:00Z</dcterms:created>
  <dcterms:modified xsi:type="dcterms:W3CDTF">2024-01-25T20:06:00Z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