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E8D8" w14:textId="7A843D4A" w:rsidR="006307FC" w:rsidRPr="006307FC" w:rsidRDefault="006307FC" w:rsidP="006307FC">
      <w:pPr>
        <w:overflowPunct/>
        <w:autoSpaceDE/>
        <w:autoSpaceDN/>
        <w:adjustRightInd/>
        <w:jc w:val="both"/>
        <w:rPr>
          <w:rFonts w:ascii="Arial" w:hAnsi="Arial" w:cs="Arial"/>
          <w:b/>
          <w:sz w:val="20"/>
          <w:szCs w:val="24"/>
          <w:lang w:val="es-CO"/>
        </w:rPr>
      </w:pPr>
      <w:bookmarkStart w:id="0" w:name="_GoBack"/>
      <w:bookmarkEnd w:id="0"/>
      <w:r>
        <w:rPr>
          <w:rFonts w:ascii="Arial" w:hAnsi="Arial" w:cs="Arial"/>
          <w:b/>
          <w:sz w:val="20"/>
          <w:szCs w:val="24"/>
          <w:lang w:val="es-CO"/>
        </w:rPr>
        <w:t>INTEGRACIÓN DEL CONTRADICTORIO / LITISCONSORTES NECESARIOS / DEFINICIÓN</w:t>
      </w:r>
    </w:p>
    <w:p w14:paraId="15434E49" w14:textId="2878683E" w:rsidR="00F51928" w:rsidRPr="006307FC" w:rsidRDefault="006307FC" w:rsidP="006307FC">
      <w:pPr>
        <w:overflowPunct/>
        <w:autoSpaceDE/>
        <w:autoSpaceDN/>
        <w:adjustRightInd/>
        <w:jc w:val="both"/>
        <w:rPr>
          <w:rFonts w:ascii="Arial" w:hAnsi="Arial" w:cs="Arial"/>
          <w:sz w:val="20"/>
          <w:szCs w:val="24"/>
          <w:lang w:val="es-CO"/>
        </w:rPr>
      </w:pPr>
      <w:r w:rsidRPr="006307FC">
        <w:rPr>
          <w:rFonts w:ascii="Arial" w:hAnsi="Arial" w:cs="Arial"/>
          <w:sz w:val="20"/>
          <w:szCs w:val="24"/>
          <w:lang w:val="es-CO"/>
        </w:rPr>
        <w:t xml:space="preserve">El artículo 61 del C.G.P. dispone que los listisconsortes necesarios son aquellos indispensables para resolver el asunto en controversia, en la medida que la cuestión litigiosa debe resolverse de manera uniforme para todos, ya por versar el proceso sobre relaciones o actos jurídicos que por su naturaleza o disposición legal no fuere posible hacerlo sin que concurran los sujetos de tales relaciones o de quienes </w:t>
      </w:r>
      <w:r>
        <w:rPr>
          <w:rFonts w:ascii="Arial" w:hAnsi="Arial" w:cs="Arial"/>
          <w:sz w:val="20"/>
          <w:szCs w:val="24"/>
          <w:lang w:val="es-CO"/>
        </w:rPr>
        <w:t xml:space="preserve">intervinieron en dichos actos.  </w:t>
      </w:r>
      <w:r w:rsidRPr="006307FC">
        <w:rPr>
          <w:rFonts w:ascii="Arial" w:hAnsi="Arial" w:cs="Arial"/>
          <w:sz w:val="20"/>
          <w:szCs w:val="24"/>
          <w:lang w:val="es-CO"/>
        </w:rPr>
        <w:t>A su vez, esta institución no debe confundirse con la legitimación en la causa, presupuesto sustancial que debe concurrir para que la sentencia a emitir pueda ser favorable a las pretensiones del actor, siempre que se cumplan los requisitos de la acción.</w:t>
      </w:r>
    </w:p>
    <w:p w14:paraId="1DD8BA15" w14:textId="77777777" w:rsidR="006F319D" w:rsidRPr="00F51928" w:rsidRDefault="006F319D" w:rsidP="00F51928">
      <w:pPr>
        <w:overflowPunct/>
        <w:autoSpaceDE/>
        <w:autoSpaceDN/>
        <w:adjustRightInd/>
        <w:jc w:val="both"/>
        <w:rPr>
          <w:rFonts w:ascii="Arial" w:hAnsi="Arial" w:cs="Arial"/>
          <w:sz w:val="20"/>
          <w:szCs w:val="24"/>
          <w:lang w:val="es-CO"/>
        </w:rPr>
      </w:pPr>
    </w:p>
    <w:p w14:paraId="5A0C9A9B" w14:textId="6224AB55" w:rsidR="006307FC" w:rsidRPr="006307FC" w:rsidRDefault="00711DBF" w:rsidP="006307FC">
      <w:pPr>
        <w:overflowPunct/>
        <w:autoSpaceDE/>
        <w:autoSpaceDN/>
        <w:adjustRightInd/>
        <w:jc w:val="both"/>
        <w:rPr>
          <w:rFonts w:ascii="Arial" w:hAnsi="Arial" w:cs="Arial"/>
          <w:b/>
          <w:sz w:val="20"/>
          <w:szCs w:val="24"/>
          <w:lang w:val="es-CO"/>
        </w:rPr>
      </w:pPr>
      <w:r>
        <w:rPr>
          <w:rFonts w:ascii="Arial" w:hAnsi="Arial" w:cs="Arial"/>
          <w:b/>
          <w:sz w:val="20"/>
          <w:szCs w:val="24"/>
          <w:lang w:val="es-CO"/>
        </w:rPr>
        <w:t>CONTRATISTAS INDEPENDIENTES / RESPONSABILIDAD SOLIDARIA DEL CONTRATANTE</w:t>
      </w:r>
    </w:p>
    <w:p w14:paraId="521F0143" w14:textId="79A3C68F" w:rsidR="00F51928" w:rsidRPr="006307FC" w:rsidRDefault="006307FC" w:rsidP="006307FC">
      <w:pPr>
        <w:overflowPunct/>
        <w:autoSpaceDE/>
        <w:autoSpaceDN/>
        <w:adjustRightInd/>
        <w:jc w:val="both"/>
        <w:rPr>
          <w:rFonts w:ascii="Arial" w:hAnsi="Arial" w:cs="Arial"/>
          <w:sz w:val="20"/>
          <w:szCs w:val="24"/>
          <w:lang w:val="es-CO"/>
        </w:rPr>
      </w:pPr>
      <w:r w:rsidRPr="006307FC">
        <w:rPr>
          <w:rFonts w:ascii="Arial" w:hAnsi="Arial" w:cs="Arial"/>
          <w:sz w:val="20"/>
          <w:szCs w:val="24"/>
          <w:lang w:val="es-CO"/>
        </w:rPr>
        <w:t>Por su parte el canon 34 del CST, expresa que el contratista independiente es verdadero patrono; por lo tanto, es quien asume todos los riesgos al realizar una subcontratación; sin embargo, el contratante puede ser obligado solidario con aquel, cuando las obras o prestación del servicio contratado no le sea extraña o diferente a sus actividades normales</w:t>
      </w:r>
      <w:r>
        <w:rPr>
          <w:rFonts w:ascii="Arial" w:hAnsi="Arial" w:cs="Arial"/>
          <w:sz w:val="20"/>
          <w:szCs w:val="24"/>
          <w:lang w:val="es-CO"/>
        </w:rPr>
        <w:t xml:space="preserve">.  </w:t>
      </w:r>
      <w:r w:rsidRPr="006307FC">
        <w:rPr>
          <w:rFonts w:ascii="Arial" w:hAnsi="Arial" w:cs="Arial"/>
          <w:sz w:val="20"/>
          <w:szCs w:val="24"/>
          <w:lang w:val="es-CO"/>
        </w:rPr>
        <w:t>De ahí, que a pesar de poder ser el contratante un potencial obligado solidario con el contratista independiente por las obligaciones laborales del actor; ello no implica que deba concurrir al proceso el primero de los mencionados para salir airosas las pretensiones de la demanda, al tratarse de relaciones jurídicas diferentes.</w:t>
      </w:r>
    </w:p>
    <w:p w14:paraId="0A8050C4" w14:textId="77777777" w:rsidR="00F51928" w:rsidRPr="00F51928" w:rsidRDefault="00F51928" w:rsidP="00F51928">
      <w:pPr>
        <w:overflowPunct/>
        <w:autoSpaceDE/>
        <w:autoSpaceDN/>
        <w:adjustRightInd/>
        <w:jc w:val="both"/>
        <w:rPr>
          <w:rFonts w:ascii="Arial" w:hAnsi="Arial" w:cs="Arial"/>
          <w:sz w:val="20"/>
          <w:szCs w:val="24"/>
          <w:lang w:val="es-CO"/>
        </w:rPr>
      </w:pPr>
    </w:p>
    <w:p w14:paraId="7F6F6637" w14:textId="7637F80C" w:rsidR="00711DBF" w:rsidRPr="006307FC" w:rsidRDefault="00711DBF" w:rsidP="00711DBF">
      <w:pPr>
        <w:overflowPunct/>
        <w:autoSpaceDE/>
        <w:autoSpaceDN/>
        <w:adjustRightInd/>
        <w:jc w:val="both"/>
        <w:rPr>
          <w:rFonts w:ascii="Arial" w:hAnsi="Arial" w:cs="Arial"/>
          <w:b/>
          <w:sz w:val="20"/>
          <w:szCs w:val="24"/>
          <w:lang w:val="es-CO"/>
        </w:rPr>
      </w:pPr>
      <w:r>
        <w:rPr>
          <w:rFonts w:ascii="Arial" w:hAnsi="Arial" w:cs="Arial"/>
          <w:b/>
          <w:sz w:val="20"/>
          <w:szCs w:val="24"/>
          <w:lang w:val="es-CO"/>
        </w:rPr>
        <w:t>CONSORCIOS Y UNIONES TEMPORALES / CAPACIDAD PARA SER PARTE</w:t>
      </w:r>
    </w:p>
    <w:p w14:paraId="77A7387B" w14:textId="6A6CCAB0" w:rsidR="00F51928" w:rsidRPr="00F51928" w:rsidRDefault="00711DBF" w:rsidP="00F51928">
      <w:pPr>
        <w:overflowPunct/>
        <w:autoSpaceDE/>
        <w:autoSpaceDN/>
        <w:adjustRightInd/>
        <w:jc w:val="both"/>
        <w:rPr>
          <w:rFonts w:ascii="Arial" w:hAnsi="Arial" w:cs="Arial"/>
          <w:sz w:val="20"/>
          <w:szCs w:val="24"/>
          <w:lang w:val="es-CO"/>
        </w:rPr>
      </w:pPr>
      <w:r w:rsidRPr="00711DBF">
        <w:rPr>
          <w:rFonts w:ascii="Arial" w:hAnsi="Arial" w:cs="Arial"/>
          <w:sz w:val="20"/>
          <w:szCs w:val="24"/>
          <w:lang w:val="es-CO"/>
        </w:rPr>
        <w:t>Conforme a la sentencia SL676-2021 la Sala Laboral de la Corte Suprema de Justicia definió que tanto las uniones temporales como los consorcios “tiene capacidad para ser parte y comparecer al proceso a través de su representante legal y sin que deba constituirse un litisconsorcio necesario con cada uno de sus integrantes, los cuales pueden responder solidariamente”.</w:t>
      </w:r>
    </w:p>
    <w:p w14:paraId="652EB93F" w14:textId="77777777" w:rsidR="00F51928" w:rsidRPr="00F51928" w:rsidRDefault="00F51928" w:rsidP="00F51928">
      <w:pPr>
        <w:overflowPunct/>
        <w:autoSpaceDE/>
        <w:autoSpaceDN/>
        <w:adjustRightInd/>
        <w:jc w:val="both"/>
        <w:rPr>
          <w:rFonts w:ascii="Arial" w:hAnsi="Arial" w:cs="Arial"/>
          <w:sz w:val="20"/>
          <w:szCs w:val="24"/>
          <w:lang w:val="es-CO"/>
        </w:rPr>
      </w:pPr>
    </w:p>
    <w:p w14:paraId="705D3611" w14:textId="77777777" w:rsidR="00F51928" w:rsidRPr="00F51928" w:rsidRDefault="00F51928" w:rsidP="00F51928">
      <w:pPr>
        <w:overflowPunct/>
        <w:autoSpaceDE/>
        <w:autoSpaceDN/>
        <w:adjustRightInd/>
        <w:jc w:val="both"/>
        <w:rPr>
          <w:rFonts w:ascii="Arial" w:hAnsi="Arial" w:cs="Arial"/>
          <w:sz w:val="20"/>
          <w:szCs w:val="24"/>
          <w:lang w:val="es-CO"/>
        </w:rPr>
      </w:pPr>
    </w:p>
    <w:p w14:paraId="42F00F8E" w14:textId="77777777" w:rsidR="00F51928" w:rsidRPr="00F51928" w:rsidRDefault="00F51928" w:rsidP="00F51928">
      <w:pPr>
        <w:overflowPunct/>
        <w:autoSpaceDE/>
        <w:autoSpaceDN/>
        <w:adjustRightInd/>
        <w:jc w:val="both"/>
        <w:rPr>
          <w:rFonts w:ascii="Arial" w:hAnsi="Arial" w:cs="Arial"/>
          <w:sz w:val="20"/>
          <w:szCs w:val="24"/>
          <w:lang w:val="es-CO"/>
        </w:rPr>
      </w:pPr>
    </w:p>
    <w:p w14:paraId="0E91A237" w14:textId="77777777" w:rsidR="00F51928" w:rsidRPr="00F51928" w:rsidRDefault="00F51928" w:rsidP="00F51928">
      <w:pPr>
        <w:overflowPunct/>
        <w:autoSpaceDE/>
        <w:autoSpaceDN/>
        <w:adjustRightInd/>
        <w:spacing w:line="276" w:lineRule="auto"/>
        <w:jc w:val="center"/>
        <w:rPr>
          <w:rFonts w:ascii="Arial" w:hAnsi="Arial" w:cs="Arial"/>
          <w:szCs w:val="24"/>
          <w:lang w:val="es-CO"/>
        </w:rPr>
      </w:pPr>
      <w:r w:rsidRPr="00F51928">
        <w:rPr>
          <w:rFonts w:ascii="Arial" w:hAnsi="Arial" w:cs="Arial"/>
          <w:noProof/>
          <w:szCs w:val="24"/>
          <w:lang w:val="en-US" w:eastAsia="en-US"/>
        </w:rPr>
        <w:drawing>
          <wp:inline distT="0" distB="0" distL="0" distR="0" wp14:anchorId="3C7F3FC7" wp14:editId="78BE7D5F">
            <wp:extent cx="790575" cy="771525"/>
            <wp:effectExtent l="0" t="0" r="9525" b="9525"/>
            <wp:docPr id="2" name="Imagen 1"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F51928">
        <w:rPr>
          <w:rFonts w:ascii="Arial" w:hAnsi="Arial" w:cs="Arial"/>
          <w:szCs w:val="24"/>
          <w:lang w:val="es-CO"/>
        </w:rPr>
        <w:t> </w:t>
      </w:r>
    </w:p>
    <w:p w14:paraId="0408D37A" w14:textId="77777777" w:rsidR="00F51928" w:rsidRPr="00F51928" w:rsidRDefault="00F51928" w:rsidP="00F51928">
      <w:pPr>
        <w:overflowPunct/>
        <w:autoSpaceDE/>
        <w:autoSpaceDN/>
        <w:adjustRightInd/>
        <w:spacing w:line="276" w:lineRule="auto"/>
        <w:jc w:val="center"/>
        <w:rPr>
          <w:rFonts w:ascii="Arial" w:hAnsi="Arial" w:cs="Arial"/>
          <w:szCs w:val="24"/>
          <w:lang w:val="es-CO"/>
        </w:rPr>
      </w:pPr>
      <w:r w:rsidRPr="00F51928">
        <w:rPr>
          <w:rFonts w:ascii="Arial" w:hAnsi="Arial" w:cs="Arial"/>
          <w:b/>
          <w:bCs/>
          <w:szCs w:val="24"/>
          <w:lang w:val="es-ES"/>
        </w:rPr>
        <w:t>RAMA JUDICIAL DEL PODER PÚBLICO</w:t>
      </w:r>
      <w:r w:rsidRPr="00F51928">
        <w:rPr>
          <w:rFonts w:ascii="Arial" w:hAnsi="Arial" w:cs="Arial"/>
          <w:szCs w:val="24"/>
          <w:lang w:val="es-CO"/>
        </w:rPr>
        <w:t> </w:t>
      </w:r>
    </w:p>
    <w:p w14:paraId="61A5AB56" w14:textId="77777777" w:rsidR="00F51928" w:rsidRPr="00F51928" w:rsidRDefault="00F51928" w:rsidP="00F51928">
      <w:pPr>
        <w:overflowPunct/>
        <w:autoSpaceDE/>
        <w:autoSpaceDN/>
        <w:adjustRightInd/>
        <w:spacing w:line="276" w:lineRule="auto"/>
        <w:jc w:val="center"/>
        <w:rPr>
          <w:rFonts w:ascii="Arial" w:hAnsi="Arial" w:cs="Arial"/>
          <w:szCs w:val="24"/>
          <w:lang w:val="es-CO"/>
        </w:rPr>
      </w:pPr>
      <w:r w:rsidRPr="00F51928">
        <w:rPr>
          <w:rFonts w:ascii="Arial" w:hAnsi="Arial" w:cs="Arial"/>
          <w:b/>
          <w:bCs/>
          <w:szCs w:val="24"/>
          <w:lang w:val="es-ES"/>
        </w:rPr>
        <w:t>TRIBUNAL SUPERIOR DEL DISTRITO JUDICIAL DE PEREIRA</w:t>
      </w:r>
      <w:r w:rsidRPr="00F51928">
        <w:rPr>
          <w:rFonts w:ascii="Arial" w:hAnsi="Arial" w:cs="Arial"/>
          <w:szCs w:val="24"/>
          <w:lang w:val="es-CO"/>
        </w:rPr>
        <w:t> </w:t>
      </w:r>
    </w:p>
    <w:p w14:paraId="2BAAEF0A" w14:textId="77777777" w:rsidR="00F51928" w:rsidRPr="00F51928" w:rsidRDefault="00F51928" w:rsidP="00F51928">
      <w:pPr>
        <w:overflowPunct/>
        <w:autoSpaceDE/>
        <w:autoSpaceDN/>
        <w:adjustRightInd/>
        <w:spacing w:line="276" w:lineRule="auto"/>
        <w:jc w:val="center"/>
        <w:rPr>
          <w:rFonts w:ascii="Arial" w:hAnsi="Arial" w:cs="Arial"/>
          <w:szCs w:val="24"/>
          <w:lang w:val="es-CO"/>
        </w:rPr>
      </w:pPr>
      <w:r w:rsidRPr="00F51928">
        <w:rPr>
          <w:rFonts w:ascii="Arial" w:hAnsi="Arial" w:cs="Arial"/>
          <w:b/>
          <w:bCs/>
          <w:szCs w:val="24"/>
          <w:lang w:val="es-ES"/>
        </w:rPr>
        <w:t>SALA DE DECISIÓN LABORAL</w:t>
      </w:r>
      <w:r w:rsidRPr="00F51928">
        <w:rPr>
          <w:rFonts w:ascii="Arial" w:hAnsi="Arial" w:cs="Arial"/>
          <w:szCs w:val="24"/>
          <w:lang w:val="es-CO"/>
        </w:rPr>
        <w:t> </w:t>
      </w:r>
    </w:p>
    <w:p w14:paraId="57A12295" w14:textId="77777777" w:rsidR="00F51928" w:rsidRPr="00F51928" w:rsidRDefault="00F51928" w:rsidP="00F51928">
      <w:pPr>
        <w:overflowPunct/>
        <w:autoSpaceDE/>
        <w:autoSpaceDN/>
        <w:adjustRightInd/>
        <w:spacing w:line="276" w:lineRule="auto"/>
        <w:jc w:val="both"/>
        <w:rPr>
          <w:rFonts w:ascii="Arial" w:hAnsi="Arial" w:cs="Arial"/>
          <w:szCs w:val="24"/>
          <w:lang w:val="es-CO"/>
        </w:rPr>
      </w:pPr>
      <w:r w:rsidRPr="00F51928">
        <w:rPr>
          <w:rFonts w:ascii="Arial" w:hAnsi="Arial" w:cs="Arial"/>
          <w:szCs w:val="24"/>
          <w:lang w:val="es-CO"/>
        </w:rPr>
        <w:t> </w:t>
      </w:r>
    </w:p>
    <w:p w14:paraId="5BB880B3" w14:textId="77777777" w:rsidR="00F51928" w:rsidRPr="00F51928" w:rsidRDefault="00F51928" w:rsidP="00F51928">
      <w:pPr>
        <w:overflowPunct/>
        <w:autoSpaceDE/>
        <w:autoSpaceDN/>
        <w:adjustRightInd/>
        <w:spacing w:line="276" w:lineRule="auto"/>
        <w:jc w:val="center"/>
        <w:rPr>
          <w:rFonts w:ascii="Arial" w:hAnsi="Arial" w:cs="Arial"/>
          <w:szCs w:val="24"/>
          <w:lang w:val="es-CO"/>
        </w:rPr>
      </w:pPr>
      <w:r w:rsidRPr="00F51928">
        <w:rPr>
          <w:rFonts w:ascii="Arial" w:hAnsi="Arial" w:cs="Arial"/>
          <w:color w:val="000000"/>
          <w:szCs w:val="24"/>
          <w:lang w:val="es-ES"/>
        </w:rPr>
        <w:t>Magistrada Ponente</w:t>
      </w:r>
      <w:r w:rsidRPr="00F51928">
        <w:rPr>
          <w:rFonts w:ascii="Arial" w:hAnsi="Arial" w:cs="Arial"/>
          <w:color w:val="000000"/>
          <w:szCs w:val="24"/>
          <w:lang w:val="es-CO"/>
        </w:rPr>
        <w:t> </w:t>
      </w:r>
    </w:p>
    <w:p w14:paraId="502E334F" w14:textId="77777777" w:rsidR="00F51928" w:rsidRPr="00F51928" w:rsidRDefault="00F51928" w:rsidP="00F51928">
      <w:pPr>
        <w:overflowPunct/>
        <w:autoSpaceDE/>
        <w:autoSpaceDN/>
        <w:adjustRightInd/>
        <w:spacing w:line="276" w:lineRule="auto"/>
        <w:jc w:val="center"/>
        <w:rPr>
          <w:rFonts w:ascii="Arial" w:hAnsi="Arial" w:cs="Arial"/>
          <w:szCs w:val="24"/>
          <w:lang w:val="es-CO"/>
        </w:rPr>
      </w:pPr>
      <w:r w:rsidRPr="00F51928">
        <w:rPr>
          <w:rFonts w:ascii="Arial" w:hAnsi="Arial" w:cs="Arial"/>
          <w:b/>
          <w:bCs/>
          <w:color w:val="000000"/>
          <w:szCs w:val="24"/>
          <w:lang w:val="es-CO"/>
        </w:rPr>
        <w:t>OLGA LUCÍA HOYOS SEPÚLVEDA</w:t>
      </w:r>
      <w:r w:rsidRPr="00F51928">
        <w:rPr>
          <w:rFonts w:ascii="Arial" w:hAnsi="Arial" w:cs="Arial"/>
          <w:color w:val="000000"/>
          <w:szCs w:val="24"/>
          <w:lang w:val="es-CO"/>
        </w:rPr>
        <w:t> </w:t>
      </w:r>
    </w:p>
    <w:p w14:paraId="17734733" w14:textId="77777777" w:rsidR="00F51928" w:rsidRPr="00F51928" w:rsidRDefault="00F51928" w:rsidP="00F51928">
      <w:pPr>
        <w:overflowPunct/>
        <w:autoSpaceDE/>
        <w:autoSpaceDN/>
        <w:adjustRightInd/>
        <w:spacing w:line="276" w:lineRule="auto"/>
        <w:jc w:val="both"/>
        <w:rPr>
          <w:rFonts w:ascii="Arial" w:hAnsi="Arial" w:cs="Arial"/>
          <w:szCs w:val="24"/>
          <w:lang w:val="es-CO"/>
        </w:rPr>
      </w:pPr>
      <w:r w:rsidRPr="00F51928">
        <w:rPr>
          <w:rFonts w:ascii="Arial" w:hAnsi="Arial" w:cs="Arial"/>
          <w:color w:val="000000"/>
          <w:szCs w:val="24"/>
          <w:lang w:val="es-CO"/>
        </w:rPr>
        <w:t> </w:t>
      </w:r>
    </w:p>
    <w:p w14:paraId="65FE8CBE" w14:textId="480BB935" w:rsidR="00764878" w:rsidRPr="00F1301A" w:rsidRDefault="00764878" w:rsidP="008C0D19">
      <w:pPr>
        <w:ind w:left="2410"/>
        <w:jc w:val="both"/>
        <w:rPr>
          <w:rFonts w:ascii="Arial" w:hAnsi="Arial" w:cs="Arial"/>
          <w:bCs/>
          <w:sz w:val="22"/>
          <w:szCs w:val="16"/>
        </w:rPr>
      </w:pPr>
      <w:r w:rsidRPr="00F1301A">
        <w:rPr>
          <w:rFonts w:ascii="Arial" w:hAnsi="Arial" w:cs="Arial"/>
          <w:bCs/>
          <w:sz w:val="22"/>
          <w:szCs w:val="16"/>
        </w:rPr>
        <w:t>Asunto.</w:t>
      </w:r>
      <w:r w:rsidR="00F51928" w:rsidRPr="00F1301A">
        <w:rPr>
          <w:sz w:val="36"/>
        </w:rPr>
        <w:tab/>
      </w:r>
      <w:r w:rsidRPr="00F1301A">
        <w:rPr>
          <w:sz w:val="36"/>
        </w:rPr>
        <w:tab/>
      </w:r>
      <w:r w:rsidRPr="00F1301A">
        <w:rPr>
          <w:rFonts w:ascii="Arial" w:hAnsi="Arial" w:cs="Arial"/>
          <w:sz w:val="22"/>
          <w:szCs w:val="16"/>
        </w:rPr>
        <w:t xml:space="preserve">Apelación de </w:t>
      </w:r>
      <w:r w:rsidR="00DF177D" w:rsidRPr="00F1301A">
        <w:rPr>
          <w:rFonts w:ascii="Arial" w:hAnsi="Arial" w:cs="Arial"/>
          <w:sz w:val="22"/>
          <w:szCs w:val="16"/>
        </w:rPr>
        <w:t>auto</w:t>
      </w:r>
      <w:r w:rsidRPr="00F1301A">
        <w:rPr>
          <w:sz w:val="36"/>
        </w:rPr>
        <w:tab/>
      </w:r>
    </w:p>
    <w:p w14:paraId="716A371A" w14:textId="1D1BECAE" w:rsidR="00F23848" w:rsidRPr="00F1301A" w:rsidRDefault="00F23848" w:rsidP="008C0D19">
      <w:pPr>
        <w:ind w:left="2410"/>
        <w:jc w:val="both"/>
        <w:rPr>
          <w:rFonts w:ascii="Arial" w:hAnsi="Arial" w:cs="Arial"/>
          <w:bCs/>
          <w:sz w:val="22"/>
          <w:szCs w:val="16"/>
        </w:rPr>
      </w:pPr>
      <w:r w:rsidRPr="00F1301A">
        <w:rPr>
          <w:rFonts w:ascii="Arial" w:hAnsi="Arial" w:cs="Arial"/>
          <w:bCs/>
          <w:sz w:val="22"/>
          <w:szCs w:val="16"/>
        </w:rPr>
        <w:t>Proceso.</w:t>
      </w:r>
      <w:r w:rsidRPr="00F1301A">
        <w:rPr>
          <w:rFonts w:ascii="Arial" w:hAnsi="Arial" w:cs="Arial"/>
          <w:bCs/>
          <w:sz w:val="22"/>
          <w:szCs w:val="16"/>
        </w:rPr>
        <w:tab/>
      </w:r>
      <w:r w:rsidRPr="00F1301A">
        <w:rPr>
          <w:rFonts w:ascii="Arial" w:hAnsi="Arial" w:cs="Arial"/>
          <w:bCs/>
          <w:sz w:val="22"/>
          <w:szCs w:val="16"/>
        </w:rPr>
        <w:tab/>
      </w:r>
      <w:r w:rsidR="00D671EF" w:rsidRPr="00F1301A">
        <w:rPr>
          <w:rFonts w:ascii="Arial" w:hAnsi="Arial" w:cs="Arial"/>
          <w:bCs/>
          <w:sz w:val="22"/>
          <w:szCs w:val="16"/>
        </w:rPr>
        <w:t>Ordinario Laboral</w:t>
      </w:r>
    </w:p>
    <w:p w14:paraId="12D0D7BC" w14:textId="3C4CC425" w:rsidR="002767D1" w:rsidRPr="00F1301A" w:rsidRDefault="00AF5CFC" w:rsidP="008C0D19">
      <w:pPr>
        <w:ind w:left="2410"/>
        <w:jc w:val="both"/>
        <w:rPr>
          <w:rFonts w:ascii="Arial" w:hAnsi="Arial" w:cs="Arial"/>
          <w:bCs/>
          <w:sz w:val="22"/>
          <w:szCs w:val="16"/>
        </w:rPr>
      </w:pPr>
      <w:r w:rsidRPr="00F1301A">
        <w:rPr>
          <w:rFonts w:ascii="Arial" w:hAnsi="Arial" w:cs="Arial"/>
          <w:bCs/>
          <w:sz w:val="22"/>
          <w:szCs w:val="16"/>
        </w:rPr>
        <w:t>R</w:t>
      </w:r>
      <w:r w:rsidR="002767D1" w:rsidRPr="00F1301A">
        <w:rPr>
          <w:rFonts w:ascii="Arial" w:hAnsi="Arial" w:cs="Arial"/>
          <w:bCs/>
          <w:sz w:val="22"/>
          <w:szCs w:val="16"/>
        </w:rPr>
        <w:t>adicación Nro.</w:t>
      </w:r>
      <w:r w:rsidRPr="00F1301A">
        <w:rPr>
          <w:rFonts w:ascii="Arial" w:hAnsi="Arial" w:cs="Arial"/>
          <w:bCs/>
          <w:sz w:val="22"/>
          <w:szCs w:val="16"/>
        </w:rPr>
        <w:tab/>
      </w:r>
      <w:r w:rsidR="002767D1" w:rsidRPr="00F1301A">
        <w:rPr>
          <w:rFonts w:ascii="Arial" w:hAnsi="Arial" w:cs="Arial"/>
          <w:bCs/>
          <w:sz w:val="22"/>
          <w:szCs w:val="16"/>
        </w:rPr>
        <w:t>66001310500</w:t>
      </w:r>
      <w:r w:rsidR="00C07DE2" w:rsidRPr="00F1301A">
        <w:rPr>
          <w:rFonts w:ascii="Arial" w:hAnsi="Arial" w:cs="Arial"/>
          <w:bCs/>
          <w:sz w:val="22"/>
          <w:szCs w:val="16"/>
        </w:rPr>
        <w:t>3</w:t>
      </w:r>
      <w:r w:rsidR="002767D1" w:rsidRPr="00F1301A">
        <w:rPr>
          <w:rFonts w:ascii="Arial" w:hAnsi="Arial" w:cs="Arial"/>
          <w:bCs/>
          <w:sz w:val="22"/>
          <w:szCs w:val="16"/>
        </w:rPr>
        <w:t>20</w:t>
      </w:r>
      <w:r w:rsidR="00C07DE2" w:rsidRPr="00F1301A">
        <w:rPr>
          <w:rFonts w:ascii="Arial" w:hAnsi="Arial" w:cs="Arial"/>
          <w:bCs/>
          <w:sz w:val="22"/>
          <w:szCs w:val="16"/>
        </w:rPr>
        <w:t>21</w:t>
      </w:r>
      <w:r w:rsidR="002767D1" w:rsidRPr="00F1301A">
        <w:rPr>
          <w:rFonts w:ascii="Arial" w:hAnsi="Arial" w:cs="Arial"/>
          <w:bCs/>
          <w:sz w:val="22"/>
          <w:szCs w:val="16"/>
        </w:rPr>
        <w:t>00</w:t>
      </w:r>
      <w:r w:rsidR="00C07DE2" w:rsidRPr="00F1301A">
        <w:rPr>
          <w:rFonts w:ascii="Arial" w:hAnsi="Arial" w:cs="Arial"/>
          <w:bCs/>
          <w:sz w:val="22"/>
          <w:szCs w:val="16"/>
        </w:rPr>
        <w:t>382</w:t>
      </w:r>
      <w:r w:rsidR="002767D1" w:rsidRPr="00F1301A">
        <w:rPr>
          <w:rFonts w:ascii="Arial" w:hAnsi="Arial" w:cs="Arial"/>
          <w:bCs/>
          <w:sz w:val="22"/>
          <w:szCs w:val="16"/>
        </w:rPr>
        <w:t>0</w:t>
      </w:r>
      <w:r w:rsidR="00D671EF" w:rsidRPr="00F1301A">
        <w:rPr>
          <w:rFonts w:ascii="Arial" w:hAnsi="Arial" w:cs="Arial"/>
          <w:bCs/>
          <w:sz w:val="22"/>
          <w:szCs w:val="16"/>
        </w:rPr>
        <w:t>1</w:t>
      </w:r>
      <w:r w:rsidR="002767D1" w:rsidRPr="00F1301A">
        <w:rPr>
          <w:rFonts w:ascii="Arial" w:hAnsi="Arial" w:cs="Arial"/>
          <w:bCs/>
          <w:sz w:val="22"/>
          <w:szCs w:val="16"/>
        </w:rPr>
        <w:t xml:space="preserve"> </w:t>
      </w:r>
    </w:p>
    <w:p w14:paraId="70F1015D" w14:textId="1C1EB83F" w:rsidR="002767D1" w:rsidRPr="00F1301A" w:rsidRDefault="00F51928" w:rsidP="008C0D19">
      <w:pPr>
        <w:ind w:left="2410"/>
        <w:jc w:val="both"/>
        <w:rPr>
          <w:rFonts w:ascii="Arial" w:hAnsi="Arial" w:cs="Arial"/>
          <w:bCs/>
          <w:sz w:val="22"/>
          <w:szCs w:val="16"/>
        </w:rPr>
      </w:pPr>
      <w:r w:rsidRPr="00F1301A">
        <w:rPr>
          <w:rFonts w:ascii="Arial" w:hAnsi="Arial" w:cs="Arial"/>
          <w:bCs/>
          <w:sz w:val="22"/>
          <w:szCs w:val="16"/>
        </w:rPr>
        <w:t>Demandante.</w:t>
      </w:r>
      <w:r w:rsidR="002767D1" w:rsidRPr="00F1301A">
        <w:rPr>
          <w:rFonts w:ascii="Arial" w:hAnsi="Arial" w:cs="Arial"/>
          <w:bCs/>
          <w:sz w:val="22"/>
          <w:szCs w:val="16"/>
        </w:rPr>
        <w:tab/>
      </w:r>
      <w:r w:rsidR="00C07DE2" w:rsidRPr="00F1301A">
        <w:rPr>
          <w:rFonts w:ascii="Arial" w:hAnsi="Arial" w:cs="Arial"/>
          <w:bCs/>
          <w:sz w:val="22"/>
          <w:szCs w:val="16"/>
        </w:rPr>
        <w:t>Víctor Alfonso Sánchez Arrubla</w:t>
      </w:r>
    </w:p>
    <w:p w14:paraId="79337066" w14:textId="515D0E02" w:rsidR="00C07DE2" w:rsidRPr="00F1301A" w:rsidRDefault="00F51928" w:rsidP="008C0D19">
      <w:pPr>
        <w:ind w:left="4240" w:hanging="1830"/>
        <w:jc w:val="both"/>
        <w:rPr>
          <w:rFonts w:ascii="Arial" w:hAnsi="Arial" w:cs="Arial"/>
          <w:bCs/>
          <w:sz w:val="22"/>
          <w:szCs w:val="16"/>
        </w:rPr>
      </w:pPr>
      <w:r w:rsidRPr="00F1301A">
        <w:rPr>
          <w:rFonts w:ascii="Arial" w:hAnsi="Arial" w:cs="Arial"/>
          <w:bCs/>
          <w:sz w:val="22"/>
          <w:szCs w:val="16"/>
        </w:rPr>
        <w:t>Demando.</w:t>
      </w:r>
      <w:r w:rsidR="00F1301A">
        <w:rPr>
          <w:rFonts w:ascii="Arial" w:hAnsi="Arial" w:cs="Arial"/>
          <w:bCs/>
          <w:sz w:val="22"/>
          <w:szCs w:val="16"/>
        </w:rPr>
        <w:tab/>
      </w:r>
      <w:r w:rsidR="00C07DE2" w:rsidRPr="00F1301A">
        <w:rPr>
          <w:rFonts w:ascii="Arial" w:hAnsi="Arial" w:cs="Arial"/>
          <w:bCs/>
          <w:sz w:val="22"/>
          <w:szCs w:val="16"/>
        </w:rPr>
        <w:t>Simetría Constructora y Soluciones Mobiliarias S.A.S.</w:t>
      </w:r>
      <w:r w:rsidRPr="00F1301A">
        <w:rPr>
          <w:rFonts w:ascii="Arial" w:hAnsi="Arial" w:cs="Arial"/>
          <w:bCs/>
          <w:sz w:val="22"/>
          <w:szCs w:val="16"/>
        </w:rPr>
        <w:t xml:space="preserve"> y otros</w:t>
      </w:r>
    </w:p>
    <w:p w14:paraId="421A21E1" w14:textId="5B91E30A" w:rsidR="009B757C" w:rsidRPr="00F1301A" w:rsidRDefault="009B757C" w:rsidP="008C0D19">
      <w:pPr>
        <w:ind w:left="2410"/>
        <w:jc w:val="both"/>
        <w:rPr>
          <w:rFonts w:ascii="Arial" w:hAnsi="Arial" w:cs="Arial"/>
          <w:bCs/>
          <w:sz w:val="22"/>
          <w:szCs w:val="16"/>
        </w:rPr>
      </w:pPr>
      <w:r w:rsidRPr="00F1301A">
        <w:rPr>
          <w:rFonts w:ascii="Arial" w:hAnsi="Arial" w:cs="Arial"/>
          <w:bCs/>
          <w:sz w:val="22"/>
          <w:szCs w:val="16"/>
        </w:rPr>
        <w:t>Juzgado</w:t>
      </w:r>
      <w:r w:rsidR="00F51928" w:rsidRPr="00F1301A">
        <w:rPr>
          <w:rFonts w:ascii="Arial" w:hAnsi="Arial" w:cs="Arial"/>
          <w:bCs/>
          <w:sz w:val="22"/>
          <w:szCs w:val="16"/>
        </w:rPr>
        <w:t>.</w:t>
      </w:r>
      <w:r w:rsidR="008C0D19" w:rsidRPr="00F1301A">
        <w:rPr>
          <w:rFonts w:ascii="Arial" w:hAnsi="Arial" w:cs="Arial"/>
          <w:bCs/>
          <w:sz w:val="22"/>
          <w:szCs w:val="16"/>
        </w:rPr>
        <w:tab/>
      </w:r>
      <w:r w:rsidRPr="00F1301A">
        <w:rPr>
          <w:rFonts w:ascii="Arial" w:hAnsi="Arial" w:cs="Arial"/>
          <w:bCs/>
          <w:sz w:val="22"/>
          <w:szCs w:val="16"/>
        </w:rPr>
        <w:tab/>
      </w:r>
      <w:r w:rsidR="00C07DE2" w:rsidRPr="00F1301A">
        <w:rPr>
          <w:rFonts w:ascii="Arial" w:hAnsi="Arial" w:cs="Arial"/>
          <w:bCs/>
          <w:sz w:val="22"/>
          <w:szCs w:val="16"/>
        </w:rPr>
        <w:t>Tercero</w:t>
      </w:r>
      <w:r w:rsidRPr="00F1301A">
        <w:rPr>
          <w:rFonts w:ascii="Arial" w:hAnsi="Arial" w:cs="Arial"/>
          <w:bCs/>
          <w:sz w:val="22"/>
          <w:szCs w:val="16"/>
        </w:rPr>
        <w:t xml:space="preserve"> Laboral del Circuito de Pereira</w:t>
      </w:r>
    </w:p>
    <w:p w14:paraId="4C1C06DD" w14:textId="08B59339" w:rsidR="00807B72" w:rsidRPr="00F1301A" w:rsidRDefault="002767D1" w:rsidP="008C0D19">
      <w:pPr>
        <w:ind w:left="2410"/>
        <w:jc w:val="both"/>
        <w:rPr>
          <w:rFonts w:ascii="Arial" w:hAnsi="Arial" w:cs="Arial"/>
          <w:bCs/>
          <w:sz w:val="22"/>
          <w:szCs w:val="16"/>
        </w:rPr>
      </w:pPr>
      <w:r w:rsidRPr="00F1301A">
        <w:rPr>
          <w:rFonts w:ascii="Arial" w:hAnsi="Arial" w:cs="Arial"/>
          <w:bCs/>
          <w:sz w:val="22"/>
          <w:szCs w:val="16"/>
        </w:rPr>
        <w:t>Tema a Tratar</w:t>
      </w:r>
      <w:r w:rsidR="00F51928" w:rsidRPr="00F1301A">
        <w:rPr>
          <w:rFonts w:ascii="Arial" w:hAnsi="Arial" w:cs="Arial"/>
          <w:bCs/>
          <w:sz w:val="22"/>
          <w:szCs w:val="16"/>
        </w:rPr>
        <w:t>.</w:t>
      </w:r>
      <w:r w:rsidR="008C0D19" w:rsidRPr="00F1301A">
        <w:rPr>
          <w:rFonts w:ascii="Arial" w:hAnsi="Arial" w:cs="Arial"/>
          <w:bCs/>
          <w:sz w:val="22"/>
          <w:szCs w:val="16"/>
        </w:rPr>
        <w:tab/>
        <w:t>E</w:t>
      </w:r>
      <w:r w:rsidR="00D671EF" w:rsidRPr="00F1301A">
        <w:rPr>
          <w:rFonts w:ascii="Arial" w:hAnsi="Arial" w:cs="Arial"/>
          <w:bCs/>
          <w:sz w:val="22"/>
          <w:szCs w:val="16"/>
        </w:rPr>
        <w:t>xcepción previa – integración de litisconsorte</w:t>
      </w:r>
    </w:p>
    <w:p w14:paraId="09442567" w14:textId="45C1871B" w:rsidR="002D6D18" w:rsidRPr="008C0D19" w:rsidRDefault="002D6D18" w:rsidP="008C0D19">
      <w:pPr>
        <w:suppressAutoHyphens/>
        <w:spacing w:line="276" w:lineRule="auto"/>
        <w:jc w:val="both"/>
        <w:rPr>
          <w:rFonts w:ascii="Arial" w:hAnsi="Arial" w:cs="Arial"/>
          <w:szCs w:val="24"/>
        </w:rPr>
      </w:pPr>
    </w:p>
    <w:p w14:paraId="06F1267C" w14:textId="758C7AB0" w:rsidR="002767D1" w:rsidRPr="008C0D19" w:rsidRDefault="002767D1" w:rsidP="008C0D19">
      <w:pPr>
        <w:spacing w:line="276" w:lineRule="auto"/>
        <w:jc w:val="center"/>
        <w:rPr>
          <w:rFonts w:ascii="Arial" w:hAnsi="Arial" w:cs="Arial"/>
          <w:szCs w:val="24"/>
        </w:rPr>
      </w:pPr>
      <w:r w:rsidRPr="008C0D19">
        <w:rPr>
          <w:rFonts w:ascii="Arial" w:hAnsi="Arial" w:cs="Arial"/>
          <w:szCs w:val="24"/>
        </w:rPr>
        <w:t>Pereira</w:t>
      </w:r>
      <w:r w:rsidR="009508BE" w:rsidRPr="008C0D19">
        <w:rPr>
          <w:rFonts w:ascii="Arial" w:hAnsi="Arial" w:cs="Arial"/>
          <w:szCs w:val="24"/>
        </w:rPr>
        <w:t>, Risaralda</w:t>
      </w:r>
      <w:r w:rsidRPr="008C0D19">
        <w:rPr>
          <w:rFonts w:ascii="Arial" w:hAnsi="Arial" w:cs="Arial"/>
          <w:szCs w:val="24"/>
        </w:rPr>
        <w:t>,</w:t>
      </w:r>
      <w:r w:rsidR="00FB0699" w:rsidRPr="008C0D19">
        <w:rPr>
          <w:rFonts w:ascii="Arial" w:hAnsi="Arial" w:cs="Arial"/>
          <w:szCs w:val="24"/>
        </w:rPr>
        <w:t xml:space="preserve"> </w:t>
      </w:r>
      <w:r w:rsidR="596C26E6" w:rsidRPr="008C0D19">
        <w:rPr>
          <w:rFonts w:ascii="Arial" w:hAnsi="Arial" w:cs="Arial"/>
          <w:szCs w:val="24"/>
        </w:rPr>
        <w:t>dieciocho</w:t>
      </w:r>
      <w:r w:rsidR="002D1268" w:rsidRPr="008C0D19">
        <w:rPr>
          <w:rFonts w:ascii="Arial" w:hAnsi="Arial" w:cs="Arial"/>
          <w:szCs w:val="24"/>
        </w:rPr>
        <w:t xml:space="preserve"> </w:t>
      </w:r>
      <w:r w:rsidRPr="008C0D19">
        <w:rPr>
          <w:rFonts w:ascii="Arial" w:hAnsi="Arial" w:cs="Arial"/>
          <w:szCs w:val="24"/>
        </w:rPr>
        <w:t>(</w:t>
      </w:r>
      <w:r w:rsidR="460A3B42" w:rsidRPr="008C0D19">
        <w:rPr>
          <w:rFonts w:ascii="Arial" w:hAnsi="Arial" w:cs="Arial"/>
          <w:szCs w:val="24"/>
        </w:rPr>
        <w:t>18</w:t>
      </w:r>
      <w:r w:rsidRPr="008C0D19">
        <w:rPr>
          <w:rFonts w:ascii="Arial" w:hAnsi="Arial" w:cs="Arial"/>
          <w:szCs w:val="24"/>
        </w:rPr>
        <w:t>)</w:t>
      </w:r>
      <w:r w:rsidR="004C27BF" w:rsidRPr="008C0D19">
        <w:rPr>
          <w:rFonts w:ascii="Arial" w:hAnsi="Arial" w:cs="Arial"/>
          <w:szCs w:val="24"/>
        </w:rPr>
        <w:t xml:space="preserve"> </w:t>
      </w:r>
      <w:r w:rsidR="002D1268" w:rsidRPr="008C0D19">
        <w:rPr>
          <w:rFonts w:ascii="Arial" w:hAnsi="Arial" w:cs="Arial"/>
          <w:szCs w:val="24"/>
        </w:rPr>
        <w:t xml:space="preserve">de </w:t>
      </w:r>
      <w:r w:rsidR="00C07DE2" w:rsidRPr="008C0D19">
        <w:rPr>
          <w:rFonts w:ascii="Arial" w:hAnsi="Arial" w:cs="Arial"/>
          <w:szCs w:val="24"/>
        </w:rPr>
        <w:t>octubre</w:t>
      </w:r>
      <w:r w:rsidRPr="008C0D19">
        <w:rPr>
          <w:rFonts w:ascii="Arial" w:hAnsi="Arial" w:cs="Arial"/>
          <w:szCs w:val="24"/>
        </w:rPr>
        <w:t xml:space="preserve"> de dos mil </w:t>
      </w:r>
      <w:r w:rsidR="009B757C" w:rsidRPr="008C0D19">
        <w:rPr>
          <w:rFonts w:ascii="Arial" w:hAnsi="Arial" w:cs="Arial"/>
          <w:szCs w:val="24"/>
        </w:rPr>
        <w:t>veint</w:t>
      </w:r>
      <w:r w:rsidR="00D671EF" w:rsidRPr="008C0D19">
        <w:rPr>
          <w:rFonts w:ascii="Arial" w:hAnsi="Arial" w:cs="Arial"/>
          <w:szCs w:val="24"/>
        </w:rPr>
        <w:t>i</w:t>
      </w:r>
      <w:r w:rsidR="00C07DE2" w:rsidRPr="008C0D19">
        <w:rPr>
          <w:rFonts w:ascii="Arial" w:hAnsi="Arial" w:cs="Arial"/>
          <w:szCs w:val="24"/>
        </w:rPr>
        <w:t>trés</w:t>
      </w:r>
      <w:r w:rsidR="00DF177D" w:rsidRPr="008C0D19">
        <w:rPr>
          <w:rFonts w:ascii="Arial" w:hAnsi="Arial" w:cs="Arial"/>
          <w:szCs w:val="24"/>
        </w:rPr>
        <w:t xml:space="preserve"> (20</w:t>
      </w:r>
      <w:r w:rsidR="009B757C" w:rsidRPr="008C0D19">
        <w:rPr>
          <w:rFonts w:ascii="Arial" w:hAnsi="Arial" w:cs="Arial"/>
          <w:szCs w:val="24"/>
        </w:rPr>
        <w:t>2</w:t>
      </w:r>
      <w:r w:rsidR="00C07DE2" w:rsidRPr="008C0D19">
        <w:rPr>
          <w:rFonts w:ascii="Arial" w:hAnsi="Arial" w:cs="Arial"/>
          <w:szCs w:val="24"/>
        </w:rPr>
        <w:t>3</w:t>
      </w:r>
      <w:r w:rsidRPr="008C0D19">
        <w:rPr>
          <w:rFonts w:ascii="Arial" w:hAnsi="Arial" w:cs="Arial"/>
          <w:szCs w:val="24"/>
        </w:rPr>
        <w:t>)</w:t>
      </w:r>
      <w:r w:rsidR="00AF5CFC" w:rsidRPr="008C0D19">
        <w:rPr>
          <w:rFonts w:ascii="Arial" w:hAnsi="Arial" w:cs="Arial"/>
          <w:szCs w:val="24"/>
        </w:rPr>
        <w:t xml:space="preserve"> </w:t>
      </w:r>
    </w:p>
    <w:p w14:paraId="11C0FB01" w14:textId="59BD2A86" w:rsidR="009E60C6" w:rsidRPr="008C0D19" w:rsidRDefault="00884088" w:rsidP="008C0D19">
      <w:pPr>
        <w:spacing w:line="276" w:lineRule="auto"/>
        <w:jc w:val="center"/>
        <w:rPr>
          <w:rFonts w:ascii="Arial" w:hAnsi="Arial" w:cs="Arial"/>
          <w:szCs w:val="24"/>
        </w:rPr>
      </w:pPr>
      <w:r w:rsidRPr="008C0D19">
        <w:rPr>
          <w:rFonts w:ascii="Arial" w:hAnsi="Arial" w:cs="Arial"/>
          <w:szCs w:val="24"/>
        </w:rPr>
        <w:t xml:space="preserve">Acta de discusión No. </w:t>
      </w:r>
      <w:r w:rsidR="002456A2" w:rsidRPr="008C0D19">
        <w:rPr>
          <w:rFonts w:ascii="Arial" w:hAnsi="Arial" w:cs="Arial"/>
          <w:szCs w:val="24"/>
        </w:rPr>
        <w:t>163</w:t>
      </w:r>
      <w:r w:rsidR="009E60C6" w:rsidRPr="008C0D19">
        <w:rPr>
          <w:rFonts w:ascii="Arial" w:hAnsi="Arial" w:cs="Arial"/>
          <w:szCs w:val="24"/>
        </w:rPr>
        <w:t xml:space="preserve"> de </w:t>
      </w:r>
      <w:r w:rsidR="6EA9A58D" w:rsidRPr="008C0D19">
        <w:rPr>
          <w:rFonts w:ascii="Arial" w:hAnsi="Arial" w:cs="Arial"/>
          <w:szCs w:val="24"/>
        </w:rPr>
        <w:t>13</w:t>
      </w:r>
      <w:r w:rsidR="002D1268" w:rsidRPr="008C0D19">
        <w:rPr>
          <w:rFonts w:ascii="Arial" w:hAnsi="Arial" w:cs="Arial"/>
          <w:szCs w:val="24"/>
        </w:rPr>
        <w:t>-</w:t>
      </w:r>
      <w:r w:rsidR="00C07DE2" w:rsidRPr="008C0D19">
        <w:rPr>
          <w:rFonts w:ascii="Arial" w:hAnsi="Arial" w:cs="Arial"/>
          <w:szCs w:val="24"/>
        </w:rPr>
        <w:t>10</w:t>
      </w:r>
      <w:r w:rsidR="002D1268" w:rsidRPr="008C0D19">
        <w:rPr>
          <w:rFonts w:ascii="Arial" w:hAnsi="Arial" w:cs="Arial"/>
          <w:szCs w:val="24"/>
        </w:rPr>
        <w:t>-</w:t>
      </w:r>
      <w:r w:rsidR="009E60C6" w:rsidRPr="008C0D19">
        <w:rPr>
          <w:rFonts w:ascii="Arial" w:hAnsi="Arial" w:cs="Arial"/>
          <w:szCs w:val="24"/>
        </w:rPr>
        <w:t>20</w:t>
      </w:r>
      <w:r w:rsidR="009B757C" w:rsidRPr="008C0D19">
        <w:rPr>
          <w:rFonts w:ascii="Arial" w:hAnsi="Arial" w:cs="Arial"/>
          <w:szCs w:val="24"/>
        </w:rPr>
        <w:t>2</w:t>
      </w:r>
      <w:r w:rsidR="00C07DE2" w:rsidRPr="008C0D19">
        <w:rPr>
          <w:rFonts w:ascii="Arial" w:hAnsi="Arial" w:cs="Arial"/>
          <w:szCs w:val="24"/>
        </w:rPr>
        <w:t>3</w:t>
      </w:r>
    </w:p>
    <w:p w14:paraId="6C5E21E9" w14:textId="77777777" w:rsidR="002767D1" w:rsidRPr="008C0D19" w:rsidRDefault="002767D1" w:rsidP="008C0D19">
      <w:pPr>
        <w:keepNext/>
        <w:spacing w:line="276" w:lineRule="auto"/>
        <w:rPr>
          <w:rFonts w:ascii="Arial" w:hAnsi="Arial" w:cs="Arial"/>
          <w:szCs w:val="24"/>
        </w:rPr>
      </w:pPr>
    </w:p>
    <w:p w14:paraId="1CFB4010" w14:textId="2FD38C27" w:rsidR="00C07DE2" w:rsidRPr="008C0D19" w:rsidRDefault="00845379" w:rsidP="008C0D19">
      <w:pPr>
        <w:suppressAutoHyphens/>
        <w:spacing w:line="276" w:lineRule="auto"/>
        <w:jc w:val="both"/>
        <w:rPr>
          <w:rFonts w:ascii="Arial" w:hAnsi="Arial" w:cs="Arial"/>
          <w:szCs w:val="24"/>
        </w:rPr>
      </w:pPr>
      <w:r w:rsidRPr="008C0D19">
        <w:rPr>
          <w:rFonts w:ascii="Arial" w:hAnsi="Arial" w:cs="Arial"/>
          <w:spacing w:val="-2"/>
          <w:szCs w:val="24"/>
        </w:rPr>
        <w:t xml:space="preserve">Procede </w:t>
      </w:r>
      <w:r w:rsidR="00B350CF" w:rsidRPr="008C0D19">
        <w:rPr>
          <w:rFonts w:ascii="Arial" w:hAnsi="Arial" w:cs="Arial"/>
          <w:spacing w:val="-2"/>
          <w:szCs w:val="24"/>
        </w:rPr>
        <w:t>la Sala de Decisión Laboral del Tribunal Superior d</w:t>
      </w:r>
      <w:r w:rsidR="00DF177D" w:rsidRPr="008C0D19">
        <w:rPr>
          <w:rFonts w:ascii="Arial" w:hAnsi="Arial" w:cs="Arial"/>
          <w:spacing w:val="-2"/>
          <w:szCs w:val="24"/>
        </w:rPr>
        <w:t>el Distrito Judicial de Pereira</w:t>
      </w:r>
      <w:r w:rsidR="00B350CF" w:rsidRPr="008C0D19">
        <w:rPr>
          <w:rFonts w:ascii="Arial" w:hAnsi="Arial" w:cs="Arial"/>
          <w:spacing w:val="-2"/>
          <w:szCs w:val="24"/>
        </w:rPr>
        <w:t xml:space="preserve"> a resolver el </w:t>
      </w:r>
      <w:r w:rsidR="00CB3C54" w:rsidRPr="008C0D19">
        <w:rPr>
          <w:rFonts w:ascii="Arial" w:hAnsi="Arial" w:cs="Arial"/>
          <w:spacing w:val="-2"/>
          <w:szCs w:val="24"/>
        </w:rPr>
        <w:t xml:space="preserve">recurso </w:t>
      </w:r>
      <w:r w:rsidR="00B350CF" w:rsidRPr="008C0D19">
        <w:rPr>
          <w:rFonts w:ascii="Arial" w:hAnsi="Arial" w:cs="Arial"/>
          <w:spacing w:val="-2"/>
          <w:szCs w:val="24"/>
        </w:rPr>
        <w:t xml:space="preserve">de </w:t>
      </w:r>
      <w:r w:rsidR="00CB3C54" w:rsidRPr="008C0D19">
        <w:rPr>
          <w:rFonts w:ascii="Arial" w:hAnsi="Arial" w:cs="Arial"/>
          <w:spacing w:val="-2"/>
          <w:szCs w:val="24"/>
        </w:rPr>
        <w:t xml:space="preserve">apelación interpuesto </w:t>
      </w:r>
      <w:r w:rsidR="004A0696" w:rsidRPr="008C0D19">
        <w:rPr>
          <w:rFonts w:ascii="Arial" w:hAnsi="Arial" w:cs="Arial"/>
          <w:spacing w:val="-2"/>
          <w:szCs w:val="24"/>
        </w:rPr>
        <w:t xml:space="preserve">por la demandada </w:t>
      </w:r>
      <w:r w:rsidR="00C07DE2" w:rsidRPr="008C0D19">
        <w:rPr>
          <w:rFonts w:ascii="Arial" w:hAnsi="Arial" w:cs="Arial"/>
          <w:spacing w:val="-2"/>
          <w:szCs w:val="24"/>
        </w:rPr>
        <w:t xml:space="preserve">Consorcio FFIE Alianza BBVA </w:t>
      </w:r>
      <w:r w:rsidR="009B757C" w:rsidRPr="008C0D19">
        <w:rPr>
          <w:rFonts w:ascii="Arial" w:hAnsi="Arial" w:cs="Arial"/>
          <w:spacing w:val="-2"/>
          <w:szCs w:val="24"/>
        </w:rPr>
        <w:t xml:space="preserve">contra </w:t>
      </w:r>
      <w:r w:rsidR="00E04F5C" w:rsidRPr="008C0D19">
        <w:rPr>
          <w:rFonts w:ascii="Arial" w:hAnsi="Arial" w:cs="Arial"/>
          <w:spacing w:val="-2"/>
          <w:szCs w:val="24"/>
        </w:rPr>
        <w:t>el auto</w:t>
      </w:r>
      <w:r w:rsidR="004B6E1D" w:rsidRPr="008C0D19">
        <w:rPr>
          <w:rFonts w:ascii="Arial" w:hAnsi="Arial" w:cs="Arial"/>
          <w:spacing w:val="-2"/>
          <w:szCs w:val="24"/>
        </w:rPr>
        <w:t xml:space="preserve"> </w:t>
      </w:r>
      <w:r w:rsidR="009B757C" w:rsidRPr="008C0D19">
        <w:rPr>
          <w:rFonts w:ascii="Arial" w:hAnsi="Arial" w:cs="Arial"/>
          <w:spacing w:val="-2"/>
          <w:szCs w:val="24"/>
        </w:rPr>
        <w:t xml:space="preserve">proferido por el Juzgado </w:t>
      </w:r>
      <w:r w:rsidR="00C07DE2" w:rsidRPr="008C0D19">
        <w:rPr>
          <w:rFonts w:ascii="Arial" w:hAnsi="Arial" w:cs="Arial"/>
          <w:spacing w:val="-2"/>
          <w:szCs w:val="24"/>
        </w:rPr>
        <w:t>Tercero</w:t>
      </w:r>
      <w:r w:rsidR="00D671EF" w:rsidRPr="008C0D19">
        <w:rPr>
          <w:rFonts w:ascii="Arial" w:hAnsi="Arial" w:cs="Arial"/>
          <w:spacing w:val="-2"/>
          <w:szCs w:val="24"/>
        </w:rPr>
        <w:t xml:space="preserve"> </w:t>
      </w:r>
      <w:r w:rsidR="009B757C" w:rsidRPr="008C0D19">
        <w:rPr>
          <w:rFonts w:ascii="Arial" w:hAnsi="Arial" w:cs="Arial"/>
          <w:spacing w:val="-2"/>
          <w:szCs w:val="24"/>
        </w:rPr>
        <w:t xml:space="preserve">Laboral del Circuito de Pereira </w:t>
      </w:r>
      <w:r w:rsidR="006E33E4" w:rsidRPr="008C0D19">
        <w:rPr>
          <w:rFonts w:ascii="Arial" w:hAnsi="Arial" w:cs="Arial"/>
          <w:spacing w:val="-2"/>
          <w:szCs w:val="24"/>
        </w:rPr>
        <w:t>el</w:t>
      </w:r>
      <w:r w:rsidRPr="008C0D19">
        <w:rPr>
          <w:rFonts w:ascii="Arial" w:hAnsi="Arial" w:cs="Arial"/>
          <w:spacing w:val="-2"/>
          <w:szCs w:val="24"/>
        </w:rPr>
        <w:t xml:space="preserve"> </w:t>
      </w:r>
      <w:r w:rsidR="00C07DE2" w:rsidRPr="008C0D19">
        <w:rPr>
          <w:rFonts w:ascii="Arial" w:hAnsi="Arial" w:cs="Arial"/>
          <w:spacing w:val="-2"/>
          <w:szCs w:val="24"/>
        </w:rPr>
        <w:t>20 de junio</w:t>
      </w:r>
      <w:r w:rsidR="00D671EF" w:rsidRPr="008C0D19">
        <w:rPr>
          <w:rFonts w:ascii="Arial" w:hAnsi="Arial" w:cs="Arial"/>
          <w:spacing w:val="-2"/>
          <w:szCs w:val="24"/>
        </w:rPr>
        <w:t xml:space="preserve"> de 202</w:t>
      </w:r>
      <w:r w:rsidR="00C07DE2" w:rsidRPr="008C0D19">
        <w:rPr>
          <w:rFonts w:ascii="Arial" w:hAnsi="Arial" w:cs="Arial"/>
          <w:spacing w:val="-2"/>
          <w:szCs w:val="24"/>
        </w:rPr>
        <w:t>3</w:t>
      </w:r>
      <w:r w:rsidRPr="008C0D19">
        <w:rPr>
          <w:rFonts w:ascii="Arial" w:hAnsi="Arial" w:cs="Arial"/>
          <w:spacing w:val="-2"/>
          <w:szCs w:val="24"/>
        </w:rPr>
        <w:t>,</w:t>
      </w:r>
      <w:r w:rsidR="00DF177D" w:rsidRPr="008C0D19">
        <w:rPr>
          <w:rFonts w:ascii="Arial" w:hAnsi="Arial" w:cs="Arial"/>
          <w:spacing w:val="-2"/>
          <w:szCs w:val="24"/>
        </w:rPr>
        <w:t xml:space="preserve"> a través del cual se declar</w:t>
      </w:r>
      <w:r w:rsidR="00D671EF" w:rsidRPr="008C0D19">
        <w:rPr>
          <w:rFonts w:ascii="Arial" w:hAnsi="Arial" w:cs="Arial"/>
          <w:spacing w:val="-2"/>
          <w:szCs w:val="24"/>
        </w:rPr>
        <w:t>ó</w:t>
      </w:r>
      <w:r w:rsidR="00087017" w:rsidRPr="008C0D19">
        <w:rPr>
          <w:rFonts w:ascii="Arial" w:hAnsi="Arial" w:cs="Arial"/>
          <w:spacing w:val="-2"/>
          <w:szCs w:val="24"/>
        </w:rPr>
        <w:t xml:space="preserve"> no</w:t>
      </w:r>
      <w:r w:rsidR="00E04F5C" w:rsidRPr="008C0D19">
        <w:rPr>
          <w:rFonts w:ascii="Arial" w:hAnsi="Arial" w:cs="Arial"/>
          <w:spacing w:val="-2"/>
          <w:szCs w:val="24"/>
        </w:rPr>
        <w:t xml:space="preserve"> probada</w:t>
      </w:r>
      <w:r w:rsidR="00DF177D" w:rsidRPr="008C0D19">
        <w:rPr>
          <w:rFonts w:ascii="Arial" w:hAnsi="Arial" w:cs="Arial"/>
          <w:spacing w:val="-2"/>
          <w:szCs w:val="24"/>
        </w:rPr>
        <w:t xml:space="preserve"> la</w:t>
      </w:r>
      <w:r w:rsidR="00CE0FF6" w:rsidRPr="008C0D19">
        <w:rPr>
          <w:rFonts w:ascii="Arial" w:hAnsi="Arial" w:cs="Arial"/>
          <w:spacing w:val="-2"/>
          <w:szCs w:val="24"/>
        </w:rPr>
        <w:t xml:space="preserve"> excepci</w:t>
      </w:r>
      <w:r w:rsidR="00D671EF" w:rsidRPr="008C0D19">
        <w:rPr>
          <w:rFonts w:ascii="Arial" w:hAnsi="Arial" w:cs="Arial"/>
          <w:spacing w:val="-2"/>
          <w:szCs w:val="24"/>
        </w:rPr>
        <w:t>ón</w:t>
      </w:r>
      <w:r w:rsidR="00DF177D" w:rsidRPr="008C0D19">
        <w:rPr>
          <w:rFonts w:ascii="Arial" w:hAnsi="Arial" w:cs="Arial"/>
          <w:spacing w:val="-2"/>
          <w:szCs w:val="24"/>
        </w:rPr>
        <w:t xml:space="preserve"> previa</w:t>
      </w:r>
      <w:r w:rsidR="00087017" w:rsidRPr="008C0D19">
        <w:rPr>
          <w:rFonts w:ascii="Arial" w:hAnsi="Arial" w:cs="Arial"/>
          <w:spacing w:val="-2"/>
          <w:szCs w:val="24"/>
        </w:rPr>
        <w:t xml:space="preserve"> de falta de integración de </w:t>
      </w:r>
      <w:r w:rsidR="00D671EF" w:rsidRPr="008C0D19">
        <w:rPr>
          <w:rFonts w:ascii="Arial" w:hAnsi="Arial" w:cs="Arial"/>
          <w:spacing w:val="-2"/>
          <w:szCs w:val="24"/>
        </w:rPr>
        <w:t>litisconsorte necesario</w:t>
      </w:r>
      <w:r w:rsidR="00DF177D" w:rsidRPr="008C0D19">
        <w:rPr>
          <w:rFonts w:ascii="Arial" w:hAnsi="Arial" w:cs="Arial"/>
          <w:spacing w:val="-2"/>
          <w:szCs w:val="24"/>
        </w:rPr>
        <w:t xml:space="preserve"> </w:t>
      </w:r>
      <w:r w:rsidR="00087017" w:rsidRPr="008C0D19">
        <w:rPr>
          <w:rFonts w:ascii="Arial" w:hAnsi="Arial" w:cs="Arial"/>
          <w:spacing w:val="-2"/>
          <w:szCs w:val="24"/>
        </w:rPr>
        <w:t xml:space="preserve">dentro </w:t>
      </w:r>
      <w:r w:rsidR="00087017" w:rsidRPr="001F1121">
        <w:rPr>
          <w:rFonts w:ascii="Arial" w:hAnsi="Arial" w:cs="Arial"/>
          <w:spacing w:val="-2"/>
          <w:szCs w:val="24"/>
        </w:rPr>
        <w:t>del</w:t>
      </w:r>
      <w:r w:rsidR="00087017" w:rsidRPr="001F1121">
        <w:rPr>
          <w:rFonts w:ascii="Arial" w:hAnsi="Arial" w:cs="Arial"/>
          <w:b/>
          <w:spacing w:val="-2"/>
          <w:szCs w:val="24"/>
        </w:rPr>
        <w:t xml:space="preserve"> proceso </w:t>
      </w:r>
      <w:r w:rsidR="00D671EF" w:rsidRPr="001F1121">
        <w:rPr>
          <w:rFonts w:ascii="Arial" w:hAnsi="Arial" w:cs="Arial"/>
          <w:b/>
          <w:spacing w:val="-2"/>
          <w:szCs w:val="24"/>
        </w:rPr>
        <w:t xml:space="preserve">ordinario laboral </w:t>
      </w:r>
      <w:r w:rsidR="00F20E98" w:rsidRPr="001F1121">
        <w:rPr>
          <w:rFonts w:ascii="Arial" w:hAnsi="Arial" w:cs="Arial"/>
          <w:spacing w:val="-2"/>
          <w:szCs w:val="24"/>
        </w:rPr>
        <w:t xml:space="preserve">iniciado </w:t>
      </w:r>
      <w:r w:rsidR="00CE0FF6" w:rsidRPr="001F1121">
        <w:rPr>
          <w:rFonts w:ascii="Arial" w:hAnsi="Arial" w:cs="Arial"/>
          <w:spacing w:val="-2"/>
          <w:szCs w:val="24"/>
        </w:rPr>
        <w:t>por</w:t>
      </w:r>
      <w:r w:rsidR="00CE0FF6" w:rsidRPr="001F1121">
        <w:rPr>
          <w:rFonts w:ascii="Arial" w:hAnsi="Arial" w:cs="Arial"/>
          <w:b/>
          <w:spacing w:val="-2"/>
          <w:szCs w:val="24"/>
        </w:rPr>
        <w:t xml:space="preserve"> </w:t>
      </w:r>
      <w:r w:rsidR="00C07DE2" w:rsidRPr="001F1121">
        <w:rPr>
          <w:rFonts w:ascii="Arial" w:hAnsi="Arial" w:cs="Arial"/>
          <w:b/>
          <w:spacing w:val="-2"/>
          <w:szCs w:val="24"/>
        </w:rPr>
        <w:t xml:space="preserve">Víctor Alfonso Sánchez Arrubla </w:t>
      </w:r>
      <w:r w:rsidR="00621444" w:rsidRPr="001F1121">
        <w:rPr>
          <w:rFonts w:ascii="Arial" w:hAnsi="Arial" w:cs="Arial"/>
          <w:spacing w:val="-2"/>
          <w:szCs w:val="24"/>
        </w:rPr>
        <w:t>contra</w:t>
      </w:r>
      <w:r w:rsidR="00621444" w:rsidRPr="001F1121">
        <w:rPr>
          <w:rFonts w:ascii="Arial" w:hAnsi="Arial" w:cs="Arial"/>
          <w:b/>
          <w:spacing w:val="-2"/>
          <w:szCs w:val="24"/>
        </w:rPr>
        <w:t xml:space="preserve"> </w:t>
      </w:r>
      <w:r w:rsidR="00C07DE2" w:rsidRPr="001F1121">
        <w:rPr>
          <w:rFonts w:ascii="Arial" w:hAnsi="Arial" w:cs="Arial"/>
          <w:b/>
          <w:spacing w:val="-2"/>
          <w:szCs w:val="24"/>
        </w:rPr>
        <w:t>Simetría Constructora y Soluciones Mobiliarias S.A.S.</w:t>
      </w:r>
      <w:r w:rsidR="007819D3" w:rsidRPr="001F1121">
        <w:rPr>
          <w:rFonts w:ascii="Arial" w:hAnsi="Arial" w:cs="Arial"/>
          <w:b/>
          <w:spacing w:val="-2"/>
          <w:szCs w:val="24"/>
        </w:rPr>
        <w:t>;</w:t>
      </w:r>
      <w:r w:rsidR="00C07DE2" w:rsidRPr="001F1121">
        <w:rPr>
          <w:rFonts w:ascii="Arial" w:hAnsi="Arial" w:cs="Arial"/>
          <w:b/>
          <w:spacing w:val="-2"/>
          <w:szCs w:val="24"/>
        </w:rPr>
        <w:t xml:space="preserve"> Mota Engil Perú S.A. Sucursal Colombia</w:t>
      </w:r>
      <w:r w:rsidR="007819D3" w:rsidRPr="001F1121">
        <w:rPr>
          <w:rFonts w:ascii="Arial" w:hAnsi="Arial" w:cs="Arial"/>
          <w:b/>
          <w:spacing w:val="-2"/>
          <w:szCs w:val="24"/>
        </w:rPr>
        <w:t>;</w:t>
      </w:r>
      <w:r w:rsidR="00C07DE2" w:rsidRPr="001F1121">
        <w:rPr>
          <w:rFonts w:ascii="Arial" w:hAnsi="Arial" w:cs="Arial"/>
          <w:b/>
          <w:spacing w:val="-2"/>
          <w:szCs w:val="24"/>
        </w:rPr>
        <w:t xml:space="preserve"> Mota </w:t>
      </w:r>
      <w:r w:rsidR="00C07DE2" w:rsidRPr="001F1121">
        <w:rPr>
          <w:rFonts w:ascii="Arial" w:hAnsi="Arial" w:cs="Arial"/>
          <w:b/>
          <w:spacing w:val="-2"/>
          <w:szCs w:val="24"/>
        </w:rPr>
        <w:lastRenderedPageBreak/>
        <w:t>Engil Engenharia e Construcao S.A. Sucursal Colombia</w:t>
      </w:r>
      <w:r w:rsidR="00C07DE2" w:rsidRPr="008C0D19">
        <w:rPr>
          <w:rFonts w:ascii="Arial" w:hAnsi="Arial" w:cs="Arial"/>
          <w:spacing w:val="-2"/>
          <w:szCs w:val="24"/>
        </w:rPr>
        <w:t xml:space="preserve"> y la </w:t>
      </w:r>
      <w:r w:rsidR="00C07DE2" w:rsidRPr="001F1121">
        <w:rPr>
          <w:rFonts w:ascii="Arial" w:hAnsi="Arial" w:cs="Arial"/>
          <w:b/>
          <w:spacing w:val="-2"/>
          <w:szCs w:val="24"/>
        </w:rPr>
        <w:t>Alianza Fiduciaria S.A.</w:t>
      </w:r>
      <w:r w:rsidR="00C07DE2" w:rsidRPr="008C0D19">
        <w:rPr>
          <w:rFonts w:ascii="Arial" w:hAnsi="Arial" w:cs="Arial"/>
          <w:spacing w:val="-2"/>
          <w:szCs w:val="24"/>
        </w:rPr>
        <w:t xml:space="preserve"> como representante legal del </w:t>
      </w:r>
      <w:r w:rsidR="00C07DE2" w:rsidRPr="007B1541">
        <w:rPr>
          <w:rFonts w:ascii="Arial" w:hAnsi="Arial" w:cs="Arial"/>
          <w:b/>
          <w:spacing w:val="-2"/>
          <w:szCs w:val="24"/>
        </w:rPr>
        <w:t>Consorcio FFIE Alianza BBVA</w:t>
      </w:r>
      <w:r w:rsidR="00C07DE2" w:rsidRPr="008C0D19">
        <w:rPr>
          <w:rFonts w:ascii="Arial" w:hAnsi="Arial" w:cs="Arial"/>
          <w:spacing w:val="-2"/>
          <w:szCs w:val="24"/>
        </w:rPr>
        <w:t>.</w:t>
      </w:r>
    </w:p>
    <w:p w14:paraId="4363BADB" w14:textId="77777777" w:rsidR="00434543" w:rsidRPr="008C0D19" w:rsidRDefault="00434543" w:rsidP="008C0D19">
      <w:pPr>
        <w:suppressAutoHyphens/>
        <w:spacing w:line="276" w:lineRule="auto"/>
        <w:jc w:val="both"/>
        <w:rPr>
          <w:rFonts w:ascii="Arial" w:hAnsi="Arial" w:cs="Arial"/>
          <w:spacing w:val="-2"/>
          <w:szCs w:val="24"/>
        </w:rPr>
      </w:pPr>
    </w:p>
    <w:p w14:paraId="64042FD5" w14:textId="77777777" w:rsidR="00B350CF" w:rsidRPr="008C0D19" w:rsidRDefault="00B350CF" w:rsidP="008C0D19">
      <w:pPr>
        <w:suppressAutoHyphens/>
        <w:spacing w:line="276" w:lineRule="auto"/>
        <w:jc w:val="center"/>
        <w:rPr>
          <w:rFonts w:ascii="Arial" w:hAnsi="Arial" w:cs="Arial"/>
          <w:b/>
          <w:bCs/>
          <w:spacing w:val="-2"/>
          <w:szCs w:val="24"/>
        </w:rPr>
      </w:pPr>
      <w:r w:rsidRPr="008C0D19">
        <w:rPr>
          <w:rFonts w:ascii="Arial" w:hAnsi="Arial" w:cs="Arial"/>
          <w:b/>
          <w:bCs/>
          <w:spacing w:val="-2"/>
          <w:szCs w:val="24"/>
        </w:rPr>
        <w:t>ANTECEDENTES</w:t>
      </w:r>
    </w:p>
    <w:p w14:paraId="0FABFB23" w14:textId="77777777" w:rsidR="004B0EB0" w:rsidRPr="008C0D19" w:rsidRDefault="004B0EB0" w:rsidP="008C0D19">
      <w:pPr>
        <w:suppressAutoHyphens/>
        <w:spacing w:line="276" w:lineRule="auto"/>
        <w:jc w:val="center"/>
        <w:rPr>
          <w:rFonts w:ascii="Arial" w:hAnsi="Arial" w:cs="Arial"/>
          <w:spacing w:val="-2"/>
          <w:szCs w:val="24"/>
        </w:rPr>
      </w:pPr>
    </w:p>
    <w:p w14:paraId="53CE31C0" w14:textId="77777777" w:rsidR="00CB3C54" w:rsidRPr="008C0D19" w:rsidRDefault="00845379" w:rsidP="008C0D19">
      <w:pPr>
        <w:suppressAutoHyphens/>
        <w:spacing w:line="276" w:lineRule="auto"/>
        <w:jc w:val="both"/>
        <w:rPr>
          <w:rFonts w:ascii="Arial" w:hAnsi="Arial" w:cs="Arial"/>
          <w:b/>
          <w:bCs/>
          <w:spacing w:val="-2"/>
          <w:szCs w:val="24"/>
        </w:rPr>
      </w:pPr>
      <w:r w:rsidRPr="008C0D19">
        <w:rPr>
          <w:rFonts w:ascii="Arial" w:hAnsi="Arial" w:cs="Arial"/>
          <w:b/>
          <w:bCs/>
          <w:spacing w:val="-2"/>
          <w:szCs w:val="24"/>
        </w:rPr>
        <w:t xml:space="preserve">1. </w:t>
      </w:r>
      <w:r w:rsidR="00CB3C54" w:rsidRPr="008C0D19">
        <w:rPr>
          <w:rFonts w:ascii="Arial" w:hAnsi="Arial" w:cs="Arial"/>
          <w:b/>
          <w:bCs/>
          <w:spacing w:val="-2"/>
          <w:szCs w:val="24"/>
        </w:rPr>
        <w:t>Síntesis de la demanda y su contestación</w:t>
      </w:r>
    </w:p>
    <w:p w14:paraId="285769E5" w14:textId="77777777" w:rsidR="00CB3C54" w:rsidRPr="008C0D19" w:rsidRDefault="00CB3C54" w:rsidP="008C0D19">
      <w:pPr>
        <w:suppressAutoHyphens/>
        <w:spacing w:line="276" w:lineRule="auto"/>
        <w:ind w:left="720"/>
        <w:jc w:val="both"/>
        <w:rPr>
          <w:rFonts w:ascii="Arial" w:hAnsi="Arial" w:cs="Arial"/>
          <w:b/>
          <w:bCs/>
          <w:spacing w:val="-2"/>
          <w:szCs w:val="24"/>
        </w:rPr>
      </w:pPr>
    </w:p>
    <w:p w14:paraId="4B0C6482" w14:textId="6AD51905" w:rsidR="007819D3" w:rsidRPr="008C0D19" w:rsidRDefault="00C07DE2" w:rsidP="008C0D19">
      <w:pPr>
        <w:spacing w:line="276" w:lineRule="auto"/>
        <w:jc w:val="both"/>
        <w:rPr>
          <w:rFonts w:ascii="Arial" w:hAnsi="Arial" w:cs="Arial"/>
          <w:szCs w:val="24"/>
        </w:rPr>
      </w:pPr>
      <w:r w:rsidRPr="008C0D19">
        <w:rPr>
          <w:rFonts w:ascii="Arial" w:hAnsi="Arial" w:cs="Arial"/>
          <w:spacing w:val="-2"/>
          <w:szCs w:val="24"/>
        </w:rPr>
        <w:t xml:space="preserve">Víctor Alfonso Sánchez Arrubla </w:t>
      </w:r>
      <w:r w:rsidR="00B431CB" w:rsidRPr="008C0D19">
        <w:rPr>
          <w:rFonts w:ascii="Arial" w:hAnsi="Arial" w:cs="Arial"/>
          <w:szCs w:val="24"/>
        </w:rPr>
        <w:t>presentó</w:t>
      </w:r>
      <w:r w:rsidR="00C014A5" w:rsidRPr="008C0D19">
        <w:rPr>
          <w:rFonts w:ascii="Arial" w:hAnsi="Arial" w:cs="Arial"/>
          <w:szCs w:val="24"/>
        </w:rPr>
        <w:t xml:space="preserve"> demanda en contra de</w:t>
      </w:r>
      <w:r w:rsidR="00B431CB" w:rsidRPr="008C0D19">
        <w:rPr>
          <w:rFonts w:ascii="Arial" w:hAnsi="Arial" w:cs="Arial"/>
          <w:szCs w:val="24"/>
        </w:rPr>
        <w:t xml:space="preserve"> </w:t>
      </w:r>
      <w:r w:rsidR="007819D3" w:rsidRPr="008C0D19">
        <w:rPr>
          <w:rFonts w:ascii="Arial" w:hAnsi="Arial" w:cs="Arial"/>
          <w:szCs w:val="24"/>
        </w:rPr>
        <w:t xml:space="preserve">Simetría Constructora y Soluciones Inmobiliarias S.A.S. con el propósito que se declarara la existencia de un contrato de trabajo a término indefinido desde el 26/07/2018 hasta el 21/12/2018, que finalizó mediando una estabilidad laboral reforzada sin permiso del Ministerio del Trabajo por lo que la terminación es ineficaz y en consecuencia solicitó el reintegro laboral, así como los aportes a la seguridad social desde su desvinculación, salarios y prestaciones sociales; de forma subsidiaria pretendió la indemnización por despido sin justa causa y sanción moratoria. </w:t>
      </w:r>
    </w:p>
    <w:p w14:paraId="427FE2BB" w14:textId="77777777" w:rsidR="007819D3" w:rsidRPr="008C0D19" w:rsidRDefault="007819D3" w:rsidP="008C0D19">
      <w:pPr>
        <w:spacing w:line="276" w:lineRule="auto"/>
        <w:jc w:val="both"/>
        <w:rPr>
          <w:rFonts w:ascii="Arial" w:hAnsi="Arial" w:cs="Arial"/>
          <w:szCs w:val="24"/>
        </w:rPr>
      </w:pPr>
    </w:p>
    <w:p w14:paraId="463AEB4D" w14:textId="1777279C" w:rsidR="007819D3" w:rsidRDefault="007819D3" w:rsidP="008C0D19">
      <w:pPr>
        <w:spacing w:line="276" w:lineRule="auto"/>
        <w:jc w:val="both"/>
        <w:rPr>
          <w:rFonts w:ascii="Arial" w:hAnsi="Arial" w:cs="Arial"/>
          <w:szCs w:val="24"/>
        </w:rPr>
      </w:pPr>
      <w:r w:rsidRPr="008C0D19">
        <w:rPr>
          <w:rFonts w:ascii="Arial" w:hAnsi="Arial" w:cs="Arial"/>
          <w:szCs w:val="24"/>
        </w:rPr>
        <w:t>De otro lado, pretendió que se declare solidariamente responsable a:</w:t>
      </w:r>
    </w:p>
    <w:p w14:paraId="5137504E" w14:textId="77777777" w:rsidR="00F94073" w:rsidRPr="008C0D19" w:rsidRDefault="00F94073" w:rsidP="008C0D19">
      <w:pPr>
        <w:spacing w:line="276" w:lineRule="auto"/>
        <w:jc w:val="both"/>
        <w:rPr>
          <w:rFonts w:ascii="Arial" w:hAnsi="Arial" w:cs="Arial"/>
          <w:szCs w:val="24"/>
        </w:rPr>
      </w:pPr>
    </w:p>
    <w:p w14:paraId="167D5DE4" w14:textId="3DEF40C3" w:rsidR="007819D3" w:rsidRPr="008C0D19" w:rsidRDefault="007819D3" w:rsidP="00F94073">
      <w:pPr>
        <w:pStyle w:val="Prrafodelista"/>
        <w:numPr>
          <w:ilvl w:val="0"/>
          <w:numId w:val="11"/>
        </w:numPr>
        <w:spacing w:after="0"/>
        <w:jc w:val="both"/>
        <w:rPr>
          <w:rFonts w:ascii="Arial" w:hAnsi="Arial" w:cs="Arial"/>
          <w:sz w:val="24"/>
          <w:szCs w:val="24"/>
        </w:rPr>
      </w:pPr>
      <w:r w:rsidRPr="008C0D19">
        <w:rPr>
          <w:rFonts w:ascii="Arial" w:hAnsi="Arial" w:cs="Arial"/>
          <w:sz w:val="24"/>
          <w:szCs w:val="24"/>
        </w:rPr>
        <w:t>Consorcio FFIE Alianza BBVA – “como beneficiaria de la obra”.</w:t>
      </w:r>
    </w:p>
    <w:p w14:paraId="38D06A6E" w14:textId="3E9BF6B0" w:rsidR="007819D3" w:rsidRPr="008C0D19" w:rsidRDefault="007819D3" w:rsidP="00F94073">
      <w:pPr>
        <w:pStyle w:val="Prrafodelista"/>
        <w:numPr>
          <w:ilvl w:val="0"/>
          <w:numId w:val="11"/>
        </w:numPr>
        <w:spacing w:after="0"/>
        <w:jc w:val="both"/>
        <w:rPr>
          <w:rFonts w:ascii="Arial" w:hAnsi="Arial" w:cs="Arial"/>
          <w:sz w:val="24"/>
          <w:szCs w:val="24"/>
        </w:rPr>
      </w:pPr>
      <w:r w:rsidRPr="008C0D19">
        <w:rPr>
          <w:rFonts w:ascii="Arial" w:hAnsi="Arial" w:cs="Arial"/>
          <w:sz w:val="24"/>
          <w:szCs w:val="24"/>
        </w:rPr>
        <w:t>“Consorcio Mota Engil”.</w:t>
      </w:r>
    </w:p>
    <w:p w14:paraId="7059CA16" w14:textId="77777777" w:rsidR="007819D3" w:rsidRPr="008C0D19" w:rsidRDefault="007819D3" w:rsidP="008C0D19">
      <w:pPr>
        <w:spacing w:line="276" w:lineRule="auto"/>
        <w:jc w:val="both"/>
        <w:rPr>
          <w:rFonts w:ascii="Arial" w:hAnsi="Arial" w:cs="Arial"/>
          <w:szCs w:val="24"/>
        </w:rPr>
      </w:pPr>
    </w:p>
    <w:p w14:paraId="2647AB98" w14:textId="6249FF2C" w:rsidR="007819D3" w:rsidRPr="008C0D19" w:rsidRDefault="00C014A5" w:rsidP="008C0D19">
      <w:pPr>
        <w:spacing w:line="276" w:lineRule="auto"/>
        <w:jc w:val="both"/>
        <w:rPr>
          <w:rFonts w:ascii="Arial" w:hAnsi="Arial" w:cs="Arial"/>
          <w:szCs w:val="24"/>
        </w:rPr>
      </w:pPr>
      <w:r w:rsidRPr="008C0D19">
        <w:rPr>
          <w:rFonts w:ascii="Arial" w:hAnsi="Arial" w:cs="Arial"/>
          <w:szCs w:val="24"/>
        </w:rPr>
        <w:t>Funda</w:t>
      </w:r>
      <w:r w:rsidR="00B431CB" w:rsidRPr="008C0D19">
        <w:rPr>
          <w:rFonts w:ascii="Arial" w:hAnsi="Arial" w:cs="Arial"/>
          <w:szCs w:val="24"/>
        </w:rPr>
        <w:t xml:space="preserve">menta sus pretensiones en que: </w:t>
      </w:r>
      <w:r w:rsidRPr="008C0D19">
        <w:rPr>
          <w:rFonts w:ascii="Arial" w:hAnsi="Arial" w:cs="Arial"/>
          <w:i/>
          <w:iCs/>
          <w:szCs w:val="24"/>
        </w:rPr>
        <w:t>i)</w:t>
      </w:r>
      <w:r w:rsidRPr="008C0D19">
        <w:rPr>
          <w:rFonts w:ascii="Arial" w:hAnsi="Arial" w:cs="Arial"/>
          <w:szCs w:val="24"/>
        </w:rPr>
        <w:t xml:space="preserve"> </w:t>
      </w:r>
      <w:r w:rsidR="009B757C" w:rsidRPr="008C0D19">
        <w:rPr>
          <w:rFonts w:ascii="Arial" w:hAnsi="Arial" w:cs="Arial"/>
          <w:szCs w:val="24"/>
        </w:rPr>
        <w:t>prestó sus servicios</w:t>
      </w:r>
      <w:r w:rsidR="007819D3" w:rsidRPr="008C0D19">
        <w:rPr>
          <w:rFonts w:ascii="Arial" w:hAnsi="Arial" w:cs="Arial"/>
          <w:szCs w:val="24"/>
        </w:rPr>
        <w:t xml:space="preserve"> como obrero de construcción a Simetría Constructora y Soluciones Inmobiliarias S.A.S.</w:t>
      </w:r>
      <w:r w:rsidR="00CE0FF6" w:rsidRPr="008C0D19">
        <w:rPr>
          <w:rFonts w:ascii="Arial" w:hAnsi="Arial" w:cs="Arial"/>
          <w:szCs w:val="24"/>
        </w:rPr>
        <w:t xml:space="preserve">; </w:t>
      </w:r>
      <w:r w:rsidR="00CE0FF6" w:rsidRPr="008C0D19">
        <w:rPr>
          <w:rFonts w:ascii="Arial" w:hAnsi="Arial" w:cs="Arial"/>
          <w:i/>
          <w:iCs/>
          <w:szCs w:val="24"/>
        </w:rPr>
        <w:t xml:space="preserve">ii) </w:t>
      </w:r>
      <w:r w:rsidR="00AB7BDF" w:rsidRPr="008C0D19">
        <w:rPr>
          <w:rFonts w:ascii="Arial" w:hAnsi="Arial" w:cs="Arial"/>
          <w:szCs w:val="24"/>
        </w:rPr>
        <w:t xml:space="preserve">el </w:t>
      </w:r>
      <w:r w:rsidR="007819D3" w:rsidRPr="008C0D19">
        <w:rPr>
          <w:rFonts w:ascii="Arial" w:hAnsi="Arial" w:cs="Arial"/>
          <w:szCs w:val="24"/>
        </w:rPr>
        <w:t>02/10/2018 sufrió un accidente de trabajo; iii) sus incapacidades se pagaron hasta el “25/09/2020” debido a que el empleador no pagó más incapacidades; iv) el 22/12/2018 de forma verbal su empleador terminó el contrato de trabajo estando incapacitado.</w:t>
      </w:r>
    </w:p>
    <w:p w14:paraId="63B7A4CE" w14:textId="77777777" w:rsidR="007819D3" w:rsidRPr="008C0D19" w:rsidRDefault="007819D3" w:rsidP="008C0D19">
      <w:pPr>
        <w:spacing w:line="276" w:lineRule="auto"/>
        <w:jc w:val="both"/>
        <w:rPr>
          <w:rFonts w:ascii="Arial" w:hAnsi="Arial" w:cs="Arial"/>
          <w:szCs w:val="24"/>
        </w:rPr>
      </w:pPr>
    </w:p>
    <w:p w14:paraId="332C140E" w14:textId="72B036EA" w:rsidR="007819D3" w:rsidRPr="008C0D19" w:rsidRDefault="007819D3" w:rsidP="008C0D19">
      <w:pPr>
        <w:spacing w:line="276" w:lineRule="auto"/>
        <w:jc w:val="both"/>
        <w:rPr>
          <w:rFonts w:ascii="Arial" w:hAnsi="Arial" w:cs="Arial"/>
          <w:szCs w:val="24"/>
        </w:rPr>
      </w:pPr>
      <w:r w:rsidRPr="008C0D19">
        <w:rPr>
          <w:rFonts w:ascii="Arial" w:hAnsi="Arial" w:cs="Arial"/>
          <w:szCs w:val="24"/>
        </w:rPr>
        <w:t>v) Simetría Constructora Soluciones S.A.S. ejecuta una obra con ocasión al contrato de fiducia mercantil No. 1380 de 2018 celebrado entre el consorcio FFIE Alianza BBVA y el Ministerio de Educación.</w:t>
      </w:r>
    </w:p>
    <w:p w14:paraId="0CA5783B" w14:textId="77777777" w:rsidR="007819D3" w:rsidRPr="008C0D19" w:rsidRDefault="007819D3" w:rsidP="008C0D19">
      <w:pPr>
        <w:spacing w:line="276" w:lineRule="auto"/>
        <w:jc w:val="both"/>
        <w:rPr>
          <w:rFonts w:ascii="Arial" w:hAnsi="Arial" w:cs="Arial"/>
          <w:szCs w:val="24"/>
        </w:rPr>
      </w:pPr>
    </w:p>
    <w:p w14:paraId="427B27E8" w14:textId="543E51C4" w:rsidR="007819D3" w:rsidRPr="008C0D19" w:rsidRDefault="007819D3" w:rsidP="008C0D19">
      <w:pPr>
        <w:spacing w:line="276" w:lineRule="auto"/>
        <w:jc w:val="both"/>
        <w:rPr>
          <w:rFonts w:ascii="Arial" w:hAnsi="Arial" w:cs="Arial"/>
          <w:szCs w:val="24"/>
        </w:rPr>
      </w:pPr>
      <w:r w:rsidRPr="008C0D19">
        <w:rPr>
          <w:rFonts w:ascii="Arial" w:hAnsi="Arial" w:cs="Arial"/>
          <w:szCs w:val="24"/>
        </w:rPr>
        <w:t>vi) El consorcio FFIE Alianza BBVA est</w:t>
      </w:r>
      <w:r w:rsidR="0A13A18B" w:rsidRPr="008C0D19">
        <w:rPr>
          <w:rFonts w:ascii="Arial" w:hAnsi="Arial" w:cs="Arial"/>
          <w:szCs w:val="24"/>
        </w:rPr>
        <w:t>á</w:t>
      </w:r>
      <w:r w:rsidRPr="008C0D19">
        <w:rPr>
          <w:rFonts w:ascii="Arial" w:hAnsi="Arial" w:cs="Arial"/>
          <w:szCs w:val="24"/>
        </w:rPr>
        <w:t xml:space="preserve"> conformada por: a) Alianza Fiduciaria S.A. y b) BBVA Asset Management S.A., que a su vez actúan como voceros y administradores del Patrimonio Autónomo del Fondo de Infraestructura Educativa FFIA.</w:t>
      </w:r>
    </w:p>
    <w:p w14:paraId="71C3D232" w14:textId="77777777" w:rsidR="009C1BB4" w:rsidRPr="008C0D19" w:rsidRDefault="009C1BB4" w:rsidP="008C0D19">
      <w:pPr>
        <w:spacing w:line="276" w:lineRule="auto"/>
        <w:jc w:val="both"/>
        <w:rPr>
          <w:rFonts w:ascii="Arial" w:hAnsi="Arial" w:cs="Arial"/>
          <w:szCs w:val="24"/>
        </w:rPr>
      </w:pPr>
    </w:p>
    <w:p w14:paraId="0F0A8FE6" w14:textId="4F1A7465" w:rsidR="009C1BB4" w:rsidRPr="008C0D19" w:rsidRDefault="009C1BB4" w:rsidP="008C0D19">
      <w:pPr>
        <w:spacing w:line="276" w:lineRule="auto"/>
        <w:jc w:val="both"/>
        <w:rPr>
          <w:rFonts w:ascii="Arial" w:hAnsi="Arial" w:cs="Arial"/>
          <w:szCs w:val="24"/>
        </w:rPr>
      </w:pPr>
      <w:r w:rsidRPr="008C0D19">
        <w:rPr>
          <w:rFonts w:ascii="Arial" w:hAnsi="Arial" w:cs="Arial"/>
          <w:szCs w:val="24"/>
        </w:rPr>
        <w:t>vii) El consorcio FFIE Alianza BBVA celebró un contrato marco de obra No. 1380-40-2016 con la sociedad Graña y Montero S.A., esta última sociedad cedió el contrato de obra al “Consorcio Mota Engil”.</w:t>
      </w:r>
    </w:p>
    <w:p w14:paraId="22699A1A" w14:textId="77777777" w:rsidR="009C1BB4" w:rsidRPr="008C0D19" w:rsidRDefault="009C1BB4" w:rsidP="008C0D19">
      <w:pPr>
        <w:spacing w:line="276" w:lineRule="auto"/>
        <w:jc w:val="both"/>
        <w:rPr>
          <w:rFonts w:ascii="Arial" w:hAnsi="Arial" w:cs="Arial"/>
          <w:szCs w:val="24"/>
        </w:rPr>
      </w:pPr>
    </w:p>
    <w:p w14:paraId="493AE7B5" w14:textId="2A4D7EC2" w:rsidR="009C1BB4" w:rsidRPr="008C0D19" w:rsidRDefault="009C1BB4" w:rsidP="008C0D19">
      <w:pPr>
        <w:spacing w:line="276" w:lineRule="auto"/>
        <w:jc w:val="both"/>
        <w:rPr>
          <w:rFonts w:ascii="Arial" w:hAnsi="Arial" w:cs="Arial"/>
          <w:szCs w:val="24"/>
        </w:rPr>
      </w:pPr>
      <w:r w:rsidRPr="008C0D19">
        <w:rPr>
          <w:rFonts w:ascii="Arial" w:hAnsi="Arial" w:cs="Arial"/>
          <w:szCs w:val="24"/>
        </w:rPr>
        <w:t xml:space="preserve">viii) El “Consorcio Mota Engil” está integrado por Mota Engil Engenharia e Construcao S.A. Sucursal Colombia y Mota Engil Peru S.A. Sucursal Colombia. </w:t>
      </w:r>
    </w:p>
    <w:p w14:paraId="451EB263" w14:textId="77777777" w:rsidR="009C1BB4" w:rsidRPr="008C0D19" w:rsidRDefault="009C1BB4" w:rsidP="008C0D19">
      <w:pPr>
        <w:spacing w:line="276" w:lineRule="auto"/>
        <w:jc w:val="both"/>
        <w:rPr>
          <w:rFonts w:ascii="Arial" w:hAnsi="Arial" w:cs="Arial"/>
          <w:szCs w:val="24"/>
        </w:rPr>
      </w:pPr>
    </w:p>
    <w:p w14:paraId="4F7565F4" w14:textId="44F02BEB" w:rsidR="009C1BB4" w:rsidRPr="008C0D19" w:rsidRDefault="009C1BB4" w:rsidP="008C0D19">
      <w:pPr>
        <w:spacing w:line="276" w:lineRule="auto"/>
        <w:jc w:val="both"/>
        <w:rPr>
          <w:rFonts w:ascii="Arial" w:hAnsi="Arial" w:cs="Arial"/>
          <w:szCs w:val="24"/>
        </w:rPr>
      </w:pPr>
      <w:r w:rsidRPr="008C0D19">
        <w:rPr>
          <w:rFonts w:ascii="Arial" w:hAnsi="Arial" w:cs="Arial"/>
          <w:szCs w:val="24"/>
        </w:rPr>
        <w:t>ix) El “Consorcio Mota Engil” celebró contrato de obra con Simetría Constructora y Soluciones Inmobiliarias S.A.S. que es la empleadora del demandante.</w:t>
      </w:r>
    </w:p>
    <w:p w14:paraId="25A95F0A" w14:textId="77777777" w:rsidR="009C1BB4" w:rsidRPr="008C0D19" w:rsidRDefault="009C1BB4" w:rsidP="008C0D19">
      <w:pPr>
        <w:spacing w:line="276" w:lineRule="auto"/>
        <w:jc w:val="both"/>
        <w:rPr>
          <w:rFonts w:ascii="Arial" w:hAnsi="Arial" w:cs="Arial"/>
          <w:szCs w:val="24"/>
        </w:rPr>
      </w:pPr>
    </w:p>
    <w:p w14:paraId="43732D7B" w14:textId="1A9C2B67" w:rsidR="003046AA" w:rsidRPr="008C0D19" w:rsidRDefault="009C1BB4" w:rsidP="008C0D19">
      <w:pPr>
        <w:spacing w:line="276" w:lineRule="auto"/>
        <w:jc w:val="both"/>
        <w:rPr>
          <w:rFonts w:ascii="Arial" w:hAnsi="Arial" w:cs="Arial"/>
          <w:szCs w:val="24"/>
        </w:rPr>
      </w:pPr>
      <w:r w:rsidRPr="008C0D19">
        <w:rPr>
          <w:rFonts w:ascii="Arial" w:hAnsi="Arial" w:cs="Arial"/>
          <w:szCs w:val="24"/>
        </w:rPr>
        <w:t>x) El Consorcio FFIE Alianza BBVA es beneficiaria del contrato marco de obra 1380-40-2016.</w:t>
      </w:r>
      <w:r w:rsidR="008107BA" w:rsidRPr="008C0D19">
        <w:rPr>
          <w:rFonts w:ascii="Arial" w:hAnsi="Arial" w:cs="Arial"/>
          <w:szCs w:val="24"/>
        </w:rPr>
        <w:t xml:space="preserve"> </w:t>
      </w:r>
    </w:p>
    <w:p w14:paraId="14BFEC59" w14:textId="77777777" w:rsidR="008107BA" w:rsidRPr="008C0D19" w:rsidRDefault="008107BA" w:rsidP="008C0D19">
      <w:pPr>
        <w:spacing w:line="276" w:lineRule="auto"/>
        <w:jc w:val="both"/>
        <w:rPr>
          <w:rFonts w:ascii="Arial" w:hAnsi="Arial" w:cs="Arial"/>
          <w:szCs w:val="24"/>
        </w:rPr>
      </w:pPr>
    </w:p>
    <w:p w14:paraId="5DBA8528" w14:textId="26C2A35D" w:rsidR="00015DE3" w:rsidRPr="008C0D19" w:rsidRDefault="00BB43A1" w:rsidP="008C0D19">
      <w:pPr>
        <w:spacing w:line="276" w:lineRule="auto"/>
        <w:jc w:val="both"/>
        <w:rPr>
          <w:rFonts w:ascii="Arial" w:hAnsi="Arial" w:cs="Arial"/>
          <w:b/>
          <w:bCs/>
          <w:szCs w:val="24"/>
        </w:rPr>
      </w:pPr>
      <w:r w:rsidRPr="008C0D19">
        <w:rPr>
          <w:rFonts w:ascii="Arial" w:hAnsi="Arial" w:cs="Arial"/>
          <w:b/>
          <w:bCs/>
          <w:szCs w:val="24"/>
        </w:rPr>
        <w:lastRenderedPageBreak/>
        <w:t>2. Excepciones previas</w:t>
      </w:r>
      <w:r w:rsidR="00CE2A3C" w:rsidRPr="008C0D19">
        <w:rPr>
          <w:rFonts w:ascii="Arial" w:hAnsi="Arial" w:cs="Arial"/>
          <w:b/>
          <w:bCs/>
          <w:szCs w:val="24"/>
        </w:rPr>
        <w:t xml:space="preserve"> - S</w:t>
      </w:r>
      <w:r w:rsidR="00600632" w:rsidRPr="008C0D19">
        <w:rPr>
          <w:rFonts w:ascii="Arial" w:hAnsi="Arial" w:cs="Arial"/>
          <w:b/>
          <w:bCs/>
          <w:szCs w:val="24"/>
        </w:rPr>
        <w:t>íntesis del auto apelado.</w:t>
      </w:r>
    </w:p>
    <w:p w14:paraId="5793270C" w14:textId="77777777" w:rsidR="00474C22" w:rsidRPr="008C0D19" w:rsidRDefault="00474C22" w:rsidP="008C0D19">
      <w:pPr>
        <w:spacing w:line="276" w:lineRule="auto"/>
        <w:jc w:val="both"/>
        <w:rPr>
          <w:rFonts w:ascii="Arial" w:hAnsi="Arial" w:cs="Arial"/>
          <w:szCs w:val="24"/>
        </w:rPr>
      </w:pPr>
    </w:p>
    <w:p w14:paraId="4D9BB952" w14:textId="15480A67" w:rsidR="009C1BB4" w:rsidRPr="008C0D19" w:rsidRDefault="00537FF2" w:rsidP="008C0D19">
      <w:pPr>
        <w:pStyle w:val="Encabezado"/>
        <w:spacing w:line="276" w:lineRule="auto"/>
        <w:jc w:val="both"/>
        <w:rPr>
          <w:rFonts w:ascii="Arial" w:hAnsi="Arial" w:cs="Arial"/>
          <w:sz w:val="24"/>
          <w:szCs w:val="24"/>
        </w:rPr>
      </w:pPr>
      <w:r w:rsidRPr="008C0D19">
        <w:rPr>
          <w:rFonts w:ascii="Arial" w:hAnsi="Arial" w:cs="Arial"/>
          <w:sz w:val="24"/>
          <w:szCs w:val="24"/>
        </w:rPr>
        <w:t>La demandada</w:t>
      </w:r>
      <w:r w:rsidR="00F61B7E" w:rsidRPr="008C0D19">
        <w:rPr>
          <w:rFonts w:ascii="Arial" w:hAnsi="Arial" w:cs="Arial"/>
          <w:sz w:val="24"/>
          <w:szCs w:val="24"/>
        </w:rPr>
        <w:t xml:space="preserve"> </w:t>
      </w:r>
      <w:r w:rsidR="009C1BB4" w:rsidRPr="008C0D19">
        <w:rPr>
          <w:rFonts w:ascii="Arial" w:hAnsi="Arial" w:cs="Arial"/>
          <w:sz w:val="24"/>
          <w:szCs w:val="24"/>
        </w:rPr>
        <w:t xml:space="preserve">Consorcio FFIE Alianza BBVA </w:t>
      </w:r>
      <w:r w:rsidR="00BB43A1" w:rsidRPr="008C0D19">
        <w:rPr>
          <w:rFonts w:ascii="Arial" w:hAnsi="Arial" w:cs="Arial"/>
          <w:sz w:val="24"/>
          <w:szCs w:val="24"/>
        </w:rPr>
        <w:t>al contestar el libelo introductor pro</w:t>
      </w:r>
      <w:r w:rsidR="00F61B7E" w:rsidRPr="008C0D19">
        <w:rPr>
          <w:rFonts w:ascii="Arial" w:hAnsi="Arial" w:cs="Arial"/>
          <w:sz w:val="24"/>
          <w:szCs w:val="24"/>
        </w:rPr>
        <w:t xml:space="preserve">puso </w:t>
      </w:r>
      <w:r w:rsidR="008107BA" w:rsidRPr="008C0D19">
        <w:rPr>
          <w:rFonts w:ascii="Arial" w:hAnsi="Arial" w:cs="Arial"/>
          <w:sz w:val="24"/>
          <w:szCs w:val="24"/>
        </w:rPr>
        <w:t>como</w:t>
      </w:r>
      <w:r w:rsidR="00D662E6" w:rsidRPr="008C0D19">
        <w:rPr>
          <w:rFonts w:ascii="Arial" w:hAnsi="Arial" w:cs="Arial"/>
          <w:sz w:val="24"/>
          <w:szCs w:val="24"/>
        </w:rPr>
        <w:t xml:space="preserve"> excepción previa </w:t>
      </w:r>
      <w:r w:rsidR="00A23EA2" w:rsidRPr="008C0D19">
        <w:rPr>
          <w:rFonts w:ascii="Arial" w:hAnsi="Arial" w:cs="Arial"/>
          <w:sz w:val="24"/>
          <w:szCs w:val="24"/>
        </w:rPr>
        <w:t>“</w:t>
      </w:r>
      <w:r w:rsidR="00A23EA2" w:rsidRPr="000C4560">
        <w:rPr>
          <w:rFonts w:ascii="Arial" w:hAnsi="Arial" w:cs="Arial"/>
          <w:sz w:val="22"/>
          <w:szCs w:val="24"/>
        </w:rPr>
        <w:t>no comprender la demanda a todos los litisconsortes necesarios</w:t>
      </w:r>
      <w:r w:rsidR="00A23EA2" w:rsidRPr="008C0D19">
        <w:rPr>
          <w:rFonts w:ascii="Arial" w:hAnsi="Arial" w:cs="Arial"/>
          <w:sz w:val="24"/>
          <w:szCs w:val="24"/>
        </w:rPr>
        <w:t>” para lo cual argumentó que debe integrarse a:</w:t>
      </w:r>
    </w:p>
    <w:p w14:paraId="7C6E01F9" w14:textId="77777777" w:rsidR="00A23EA2" w:rsidRPr="008C0D19" w:rsidRDefault="00A23EA2" w:rsidP="008C0D19">
      <w:pPr>
        <w:pStyle w:val="Encabezado"/>
        <w:spacing w:line="276" w:lineRule="auto"/>
        <w:jc w:val="both"/>
        <w:rPr>
          <w:rFonts w:ascii="Arial" w:hAnsi="Arial" w:cs="Arial"/>
          <w:sz w:val="24"/>
          <w:szCs w:val="24"/>
        </w:rPr>
      </w:pPr>
    </w:p>
    <w:p w14:paraId="1CAF6AF0" w14:textId="32208AE8" w:rsidR="00A23EA2" w:rsidRPr="008C0D19" w:rsidRDefault="00A23EA2" w:rsidP="008C0D19">
      <w:pPr>
        <w:pStyle w:val="Encabezado"/>
        <w:numPr>
          <w:ilvl w:val="0"/>
          <w:numId w:val="12"/>
        </w:numPr>
        <w:spacing w:line="276" w:lineRule="auto"/>
        <w:jc w:val="both"/>
        <w:rPr>
          <w:rFonts w:ascii="Arial" w:hAnsi="Arial" w:cs="Arial"/>
          <w:sz w:val="24"/>
          <w:szCs w:val="24"/>
        </w:rPr>
      </w:pPr>
      <w:r w:rsidRPr="008C0D19">
        <w:rPr>
          <w:rFonts w:ascii="Arial" w:hAnsi="Arial" w:cs="Arial"/>
          <w:sz w:val="24"/>
          <w:szCs w:val="24"/>
        </w:rPr>
        <w:t>El Fideicomiso Patrimonio Autónomo del Fondo de Infraestructura Educativa, FFIE para que pueda defender sus intereses.</w:t>
      </w:r>
    </w:p>
    <w:p w14:paraId="28D72471" w14:textId="65BEA7FC" w:rsidR="00A23EA2" w:rsidRPr="008C0D19" w:rsidRDefault="00A23EA2" w:rsidP="008C0D19">
      <w:pPr>
        <w:pStyle w:val="Encabezado"/>
        <w:numPr>
          <w:ilvl w:val="0"/>
          <w:numId w:val="12"/>
        </w:numPr>
        <w:spacing w:line="276" w:lineRule="auto"/>
        <w:jc w:val="both"/>
        <w:rPr>
          <w:rFonts w:ascii="Arial" w:hAnsi="Arial" w:cs="Arial"/>
          <w:sz w:val="24"/>
          <w:szCs w:val="24"/>
        </w:rPr>
      </w:pPr>
      <w:r w:rsidRPr="008C0D19">
        <w:rPr>
          <w:rFonts w:ascii="Arial" w:hAnsi="Arial" w:cs="Arial"/>
          <w:sz w:val="24"/>
          <w:szCs w:val="24"/>
        </w:rPr>
        <w:t>El Ministerio de Educación Nacional</w:t>
      </w:r>
    </w:p>
    <w:p w14:paraId="61ADF48C" w14:textId="77777777" w:rsidR="00A23EA2" w:rsidRPr="008C0D19" w:rsidRDefault="00A23EA2" w:rsidP="008C0D19">
      <w:pPr>
        <w:pStyle w:val="Encabezado"/>
        <w:spacing w:line="276" w:lineRule="auto"/>
        <w:jc w:val="both"/>
        <w:rPr>
          <w:rFonts w:ascii="Arial" w:hAnsi="Arial" w:cs="Arial"/>
          <w:sz w:val="24"/>
          <w:szCs w:val="24"/>
        </w:rPr>
      </w:pPr>
    </w:p>
    <w:p w14:paraId="2A0375C6" w14:textId="03DDF514" w:rsidR="00A23EA2" w:rsidRPr="008C0D19" w:rsidRDefault="00A23EA2" w:rsidP="008C0D19">
      <w:pPr>
        <w:pStyle w:val="Encabezado"/>
        <w:spacing w:line="276" w:lineRule="auto"/>
        <w:jc w:val="both"/>
        <w:rPr>
          <w:rFonts w:ascii="Arial" w:hAnsi="Arial" w:cs="Arial"/>
          <w:sz w:val="24"/>
          <w:szCs w:val="24"/>
        </w:rPr>
      </w:pPr>
      <w:r w:rsidRPr="008C0D19">
        <w:rPr>
          <w:rFonts w:ascii="Arial" w:hAnsi="Arial" w:cs="Arial"/>
          <w:sz w:val="24"/>
          <w:szCs w:val="24"/>
        </w:rPr>
        <w:t xml:space="preserve">Lo anterior por cuanto debe distinguirse entre el consorcio, las sociedades fiduciarias que lo integran y el patrimonio autónomo que administra. Indicó que el demandante tiene un entendimiento errado del beneficiario de la obra, puesto que el Consorcio FFIE Alianza BBVA está integrado por </w:t>
      </w:r>
      <w:r w:rsidR="2DAD5580" w:rsidRPr="008C0D19">
        <w:rPr>
          <w:rFonts w:ascii="Arial" w:hAnsi="Arial" w:cs="Arial"/>
          <w:sz w:val="24"/>
          <w:szCs w:val="24"/>
        </w:rPr>
        <w:t xml:space="preserve">la </w:t>
      </w:r>
      <w:r w:rsidRPr="008C0D19">
        <w:rPr>
          <w:rFonts w:ascii="Arial" w:hAnsi="Arial" w:cs="Arial"/>
          <w:sz w:val="24"/>
          <w:szCs w:val="24"/>
        </w:rPr>
        <w:t xml:space="preserve">sociedad que lo administra y ejerce el encargo por quien constituye el patrimonio autónomo, por lo que Alianza Fiduciaria S.A. y BBVA Asset Managment S.A. son fiduciarias que solo pueden desempeñarse como tales. </w:t>
      </w:r>
    </w:p>
    <w:p w14:paraId="3E751C5E" w14:textId="77777777" w:rsidR="00A23EA2" w:rsidRPr="008C0D19" w:rsidRDefault="00A23EA2" w:rsidP="008C0D19">
      <w:pPr>
        <w:pStyle w:val="Encabezado"/>
        <w:spacing w:line="276" w:lineRule="auto"/>
        <w:jc w:val="both"/>
        <w:rPr>
          <w:rFonts w:ascii="Arial" w:hAnsi="Arial" w:cs="Arial"/>
          <w:sz w:val="24"/>
          <w:szCs w:val="24"/>
        </w:rPr>
      </w:pPr>
    </w:p>
    <w:p w14:paraId="56FAABBF" w14:textId="65170AE6" w:rsidR="00A23EA2" w:rsidRPr="008C0D19" w:rsidRDefault="00A23EA2" w:rsidP="008C0D19">
      <w:pPr>
        <w:pStyle w:val="Encabezado"/>
        <w:spacing w:line="276" w:lineRule="auto"/>
        <w:jc w:val="both"/>
        <w:rPr>
          <w:rFonts w:ascii="Arial" w:hAnsi="Arial" w:cs="Arial"/>
          <w:sz w:val="24"/>
          <w:szCs w:val="24"/>
        </w:rPr>
      </w:pPr>
      <w:r w:rsidRPr="008C0D19">
        <w:rPr>
          <w:rFonts w:ascii="Arial" w:hAnsi="Arial" w:cs="Arial"/>
          <w:sz w:val="24"/>
          <w:szCs w:val="24"/>
        </w:rPr>
        <w:t xml:space="preserve">Así, resaltó que el demandante prestó sus servicios en las obras civiles que encargó el Ministerio de Educación Nacional, para lo que constituyó un patrimonio </w:t>
      </w:r>
      <w:r w:rsidR="1948C2BF" w:rsidRPr="008C0D19">
        <w:rPr>
          <w:rFonts w:ascii="Arial" w:hAnsi="Arial" w:cs="Arial"/>
          <w:sz w:val="24"/>
          <w:szCs w:val="24"/>
        </w:rPr>
        <w:t>Autónomo</w:t>
      </w:r>
      <w:r w:rsidRPr="008C0D19">
        <w:rPr>
          <w:rFonts w:ascii="Arial" w:hAnsi="Arial" w:cs="Arial"/>
          <w:sz w:val="24"/>
          <w:szCs w:val="24"/>
        </w:rPr>
        <w:t xml:space="preserve">, y por ende deben ser integrados a la litis. </w:t>
      </w:r>
    </w:p>
    <w:p w14:paraId="58BBFE16" w14:textId="77777777" w:rsidR="00A23EA2" w:rsidRPr="008C0D19" w:rsidRDefault="00A23EA2" w:rsidP="008C0D19">
      <w:pPr>
        <w:pStyle w:val="Encabezado"/>
        <w:spacing w:line="276" w:lineRule="auto"/>
        <w:jc w:val="both"/>
        <w:rPr>
          <w:rFonts w:ascii="Arial" w:hAnsi="Arial" w:cs="Arial"/>
          <w:sz w:val="24"/>
          <w:szCs w:val="24"/>
        </w:rPr>
      </w:pPr>
    </w:p>
    <w:p w14:paraId="4ED94E57" w14:textId="27404A2F" w:rsidR="00A23EA2" w:rsidRPr="008C0D19" w:rsidRDefault="00A23EA2" w:rsidP="008C0D19">
      <w:pPr>
        <w:pStyle w:val="Encabezado"/>
        <w:spacing w:line="276" w:lineRule="auto"/>
        <w:jc w:val="both"/>
        <w:rPr>
          <w:rFonts w:ascii="Arial" w:hAnsi="Arial" w:cs="Arial"/>
          <w:sz w:val="24"/>
          <w:szCs w:val="24"/>
        </w:rPr>
      </w:pPr>
      <w:r w:rsidRPr="008C0D19">
        <w:rPr>
          <w:rFonts w:ascii="Arial" w:hAnsi="Arial" w:cs="Arial"/>
          <w:sz w:val="24"/>
          <w:szCs w:val="24"/>
        </w:rPr>
        <w:t xml:space="preserve">También explicó que el Ministerio de Educación Nacional como fideicomitente contrató al Consorcio FFIE Alianza BBVA como fiduciaria para administrar y pagar las obligaciones de la ejecución del plan nacional de infraestructura educativa a través del patrimonio autónomo constituido con los recursos transferidos del fondo de infraestructura educativa preescolar, </w:t>
      </w:r>
      <w:r w:rsidR="00DB4AEB" w:rsidRPr="008C0D19">
        <w:rPr>
          <w:rFonts w:ascii="Arial" w:hAnsi="Arial" w:cs="Arial"/>
          <w:sz w:val="24"/>
          <w:szCs w:val="24"/>
        </w:rPr>
        <w:t>básica</w:t>
      </w:r>
      <w:r w:rsidRPr="008C0D19">
        <w:rPr>
          <w:rFonts w:ascii="Arial" w:hAnsi="Arial" w:cs="Arial"/>
          <w:sz w:val="24"/>
          <w:szCs w:val="24"/>
        </w:rPr>
        <w:t xml:space="preserve"> y media. </w:t>
      </w:r>
    </w:p>
    <w:p w14:paraId="6E82F55E" w14:textId="77777777" w:rsidR="00A23EA2" w:rsidRPr="008C0D19" w:rsidRDefault="00A23EA2" w:rsidP="008C0D19">
      <w:pPr>
        <w:pStyle w:val="Encabezado"/>
        <w:spacing w:line="276" w:lineRule="auto"/>
        <w:jc w:val="both"/>
        <w:rPr>
          <w:rFonts w:ascii="Arial" w:hAnsi="Arial" w:cs="Arial"/>
          <w:sz w:val="24"/>
          <w:szCs w:val="24"/>
        </w:rPr>
      </w:pPr>
    </w:p>
    <w:p w14:paraId="4635C635" w14:textId="29E9D5EF" w:rsidR="00C212B1" w:rsidRPr="008C0D19" w:rsidRDefault="00A23EA2" w:rsidP="008C0D19">
      <w:pPr>
        <w:pStyle w:val="Encabezado"/>
        <w:spacing w:line="276" w:lineRule="auto"/>
        <w:jc w:val="both"/>
        <w:rPr>
          <w:rFonts w:ascii="Arial" w:hAnsi="Arial" w:cs="Arial"/>
          <w:sz w:val="24"/>
          <w:szCs w:val="24"/>
        </w:rPr>
      </w:pPr>
      <w:r w:rsidRPr="008C0D19">
        <w:rPr>
          <w:rFonts w:ascii="Arial" w:hAnsi="Arial" w:cs="Arial"/>
          <w:sz w:val="24"/>
          <w:szCs w:val="24"/>
        </w:rPr>
        <w:t>Concluyó que la fiduciaria solo ejerce una administración del patrimonio autónomo, y por ende</w:t>
      </w:r>
      <w:r w:rsidR="5787CFB8" w:rsidRPr="008C0D19">
        <w:rPr>
          <w:rFonts w:ascii="Arial" w:hAnsi="Arial" w:cs="Arial"/>
          <w:sz w:val="24"/>
          <w:szCs w:val="24"/>
        </w:rPr>
        <w:t>,</w:t>
      </w:r>
      <w:r w:rsidRPr="008C0D19">
        <w:rPr>
          <w:rFonts w:ascii="Arial" w:hAnsi="Arial" w:cs="Arial"/>
          <w:sz w:val="24"/>
          <w:szCs w:val="24"/>
        </w:rPr>
        <w:t xml:space="preserve"> el consorcio no se beneficia ni perjudica frente a los réditos o responsabilidades </w:t>
      </w:r>
      <w:r w:rsidR="7102505B" w:rsidRPr="008C0D19">
        <w:rPr>
          <w:rFonts w:ascii="Arial" w:hAnsi="Arial" w:cs="Arial"/>
          <w:sz w:val="24"/>
          <w:szCs w:val="24"/>
        </w:rPr>
        <w:t>frente a las actividades del</w:t>
      </w:r>
      <w:r w:rsidRPr="008C0D19">
        <w:rPr>
          <w:rFonts w:ascii="Arial" w:hAnsi="Arial" w:cs="Arial"/>
          <w:sz w:val="24"/>
          <w:szCs w:val="24"/>
        </w:rPr>
        <w:t xml:space="preserve"> patrimonio autónomo. </w:t>
      </w:r>
      <w:r w:rsidR="00DB4AEB" w:rsidRPr="008C0D19">
        <w:rPr>
          <w:rFonts w:ascii="Arial" w:hAnsi="Arial" w:cs="Arial"/>
          <w:sz w:val="24"/>
          <w:szCs w:val="24"/>
        </w:rPr>
        <w:t xml:space="preserve">Entonces, en tanto que el Consorcio FFIE Alianza BBVA actúa como vocero y administrador del Patrimonio Autónomo del FFIE que constituyó el Ministerio de Educación Nacional, entonces el beneficiario de la obra es el patrimonio y el Ministerio anunciado, de ahí que deben integrarse al contradictorio. </w:t>
      </w:r>
      <w:r w:rsidRPr="008C0D19">
        <w:rPr>
          <w:rFonts w:ascii="Arial" w:hAnsi="Arial" w:cs="Arial"/>
          <w:sz w:val="24"/>
          <w:szCs w:val="24"/>
        </w:rPr>
        <w:t xml:space="preserve"> </w:t>
      </w:r>
    </w:p>
    <w:p w14:paraId="70B00119" w14:textId="77777777" w:rsidR="00DB4AEB" w:rsidRPr="008C0D19" w:rsidRDefault="00DB4AEB" w:rsidP="008C0D19">
      <w:pPr>
        <w:pStyle w:val="Encabezado"/>
        <w:spacing w:line="276" w:lineRule="auto"/>
        <w:jc w:val="both"/>
        <w:rPr>
          <w:rFonts w:ascii="Arial" w:hAnsi="Arial" w:cs="Arial"/>
          <w:sz w:val="24"/>
          <w:szCs w:val="24"/>
        </w:rPr>
      </w:pPr>
    </w:p>
    <w:p w14:paraId="13B1CE15" w14:textId="04F5BD28" w:rsidR="00DB4AEB" w:rsidRPr="008C0D19" w:rsidRDefault="00DB4AEB" w:rsidP="008C0D19">
      <w:pPr>
        <w:pStyle w:val="Encabezado"/>
        <w:spacing w:line="276" w:lineRule="auto"/>
        <w:jc w:val="both"/>
        <w:rPr>
          <w:rFonts w:ascii="Arial" w:hAnsi="Arial" w:cs="Arial"/>
          <w:b/>
          <w:bCs/>
          <w:sz w:val="24"/>
          <w:szCs w:val="24"/>
        </w:rPr>
      </w:pPr>
      <w:r w:rsidRPr="008C0D19">
        <w:rPr>
          <w:rFonts w:ascii="Arial" w:hAnsi="Arial" w:cs="Arial"/>
          <w:b/>
          <w:bCs/>
          <w:sz w:val="24"/>
          <w:szCs w:val="24"/>
        </w:rPr>
        <w:t>3. Síntesis del auto apelado</w:t>
      </w:r>
    </w:p>
    <w:p w14:paraId="77DC7556" w14:textId="77777777" w:rsidR="00DB4AEB" w:rsidRPr="008C0D19" w:rsidRDefault="00DB4AEB" w:rsidP="008C0D19">
      <w:pPr>
        <w:pStyle w:val="Encabezado"/>
        <w:spacing w:line="276" w:lineRule="auto"/>
        <w:jc w:val="both"/>
        <w:rPr>
          <w:rFonts w:ascii="Arial" w:hAnsi="Arial" w:cs="Arial"/>
          <w:sz w:val="24"/>
          <w:szCs w:val="24"/>
        </w:rPr>
      </w:pPr>
    </w:p>
    <w:p w14:paraId="71EA3B07" w14:textId="7AAD6B0D" w:rsidR="00DB4AEB" w:rsidRPr="008C0D19" w:rsidRDefault="00DB4AEB" w:rsidP="008C0D19">
      <w:pPr>
        <w:pStyle w:val="Encabezado"/>
        <w:spacing w:line="276" w:lineRule="auto"/>
        <w:jc w:val="both"/>
        <w:rPr>
          <w:rFonts w:ascii="Arial" w:hAnsi="Arial" w:cs="Arial"/>
          <w:sz w:val="24"/>
          <w:szCs w:val="24"/>
        </w:rPr>
      </w:pPr>
      <w:r w:rsidRPr="008C0D19">
        <w:rPr>
          <w:rFonts w:ascii="Arial" w:hAnsi="Arial" w:cs="Arial"/>
          <w:sz w:val="24"/>
          <w:szCs w:val="24"/>
        </w:rPr>
        <w:t>El despacho de primer grado declaró no probada la excepción previa de falta de integración de litisconsorte necesario porque la parte pasiva se integra conforme el demandante haya indicado corresponde a su sujeto contradictor y en tanto el demandante señaló como su empleador a la constructora Simetría y Soluciones Inmobiliarias S.A.S. y como beneficiaria de la obra al consorcio FFIE Alianza BBVA y al Consorcio Mota Engil, entonces bien puede el despacho resolver el asunto de fondo con dichos demandados, sin que se trunque la decisión de instancia ante la ausencia del Ministerio de Educación o el Patrimonio Autónomo del FFIE. Además, indicó que</w:t>
      </w:r>
      <w:r w:rsidR="644F54CF" w:rsidRPr="008C0D19">
        <w:rPr>
          <w:rFonts w:ascii="Arial" w:hAnsi="Arial" w:cs="Arial"/>
          <w:sz w:val="24"/>
          <w:szCs w:val="24"/>
        </w:rPr>
        <w:t>,</w:t>
      </w:r>
      <w:r w:rsidRPr="008C0D19">
        <w:rPr>
          <w:rFonts w:ascii="Arial" w:hAnsi="Arial" w:cs="Arial"/>
          <w:sz w:val="24"/>
          <w:szCs w:val="24"/>
        </w:rPr>
        <w:t xml:space="preserve"> si lo esperado por el Consorcio FFIE Alianza BBVA es que participaran lo</w:t>
      </w:r>
      <w:r w:rsidR="33702C86" w:rsidRPr="008C0D19">
        <w:rPr>
          <w:rFonts w:ascii="Arial" w:hAnsi="Arial" w:cs="Arial"/>
          <w:sz w:val="24"/>
          <w:szCs w:val="24"/>
        </w:rPr>
        <w:t>s</w:t>
      </w:r>
      <w:r w:rsidRPr="008C0D19">
        <w:rPr>
          <w:rFonts w:ascii="Arial" w:hAnsi="Arial" w:cs="Arial"/>
          <w:sz w:val="24"/>
          <w:szCs w:val="24"/>
        </w:rPr>
        <w:t xml:space="preserve"> recién echados de menos, entonces pudo haberlo solicitado a través de otras figuras jurídicas que no son el litisconsorte necesario.</w:t>
      </w:r>
    </w:p>
    <w:p w14:paraId="662C875D" w14:textId="77777777" w:rsidR="00B4652E" w:rsidRPr="008C0D19" w:rsidRDefault="00B4652E" w:rsidP="008C0D19">
      <w:pPr>
        <w:pStyle w:val="Encabezado"/>
        <w:spacing w:line="276" w:lineRule="auto"/>
        <w:jc w:val="both"/>
        <w:rPr>
          <w:rFonts w:ascii="Arial" w:hAnsi="Arial" w:cs="Arial"/>
          <w:sz w:val="24"/>
          <w:szCs w:val="24"/>
        </w:rPr>
      </w:pPr>
    </w:p>
    <w:p w14:paraId="41FD3147" w14:textId="5E677BFB" w:rsidR="00B4652E" w:rsidRPr="008C0D19" w:rsidRDefault="00B4652E" w:rsidP="008C0D19">
      <w:pPr>
        <w:pStyle w:val="Encabezado"/>
        <w:spacing w:line="276" w:lineRule="auto"/>
        <w:jc w:val="both"/>
        <w:rPr>
          <w:rFonts w:ascii="Arial" w:hAnsi="Arial" w:cs="Arial"/>
          <w:b/>
          <w:bCs/>
          <w:sz w:val="24"/>
          <w:szCs w:val="24"/>
        </w:rPr>
      </w:pPr>
      <w:r w:rsidRPr="008C0D19">
        <w:rPr>
          <w:rFonts w:ascii="Arial" w:hAnsi="Arial" w:cs="Arial"/>
          <w:sz w:val="24"/>
          <w:szCs w:val="24"/>
        </w:rPr>
        <w:t>Se aclara que la juzgadora al resolver el recurso de reposición adujo que no era necesario vincular ni al Ministerio de Educación ni al Patrimonio Autónomo del FFIE.</w:t>
      </w:r>
    </w:p>
    <w:p w14:paraId="6A936058" w14:textId="77777777" w:rsidR="00537FF2" w:rsidRPr="008C0D19" w:rsidRDefault="00537FF2" w:rsidP="008C0D19">
      <w:pPr>
        <w:pStyle w:val="Encabezado"/>
        <w:spacing w:line="276" w:lineRule="auto"/>
        <w:jc w:val="both"/>
        <w:rPr>
          <w:rFonts w:ascii="Arial" w:hAnsi="Arial" w:cs="Arial"/>
          <w:sz w:val="24"/>
          <w:szCs w:val="24"/>
        </w:rPr>
      </w:pPr>
    </w:p>
    <w:p w14:paraId="74DA9143" w14:textId="0CFA5F2D" w:rsidR="00600632" w:rsidRPr="008C0D19" w:rsidRDefault="00DB4AEB" w:rsidP="008C0D19">
      <w:pPr>
        <w:spacing w:line="276" w:lineRule="auto"/>
        <w:jc w:val="both"/>
        <w:rPr>
          <w:rFonts w:ascii="Arial" w:hAnsi="Arial" w:cs="Arial"/>
          <w:b/>
          <w:bCs/>
          <w:szCs w:val="24"/>
        </w:rPr>
      </w:pPr>
      <w:r w:rsidRPr="008C0D19">
        <w:rPr>
          <w:rFonts w:ascii="Arial" w:hAnsi="Arial" w:cs="Arial"/>
          <w:b/>
          <w:bCs/>
          <w:szCs w:val="24"/>
        </w:rPr>
        <w:t>4</w:t>
      </w:r>
      <w:r w:rsidR="009508BE" w:rsidRPr="008C0D19">
        <w:rPr>
          <w:rFonts w:ascii="Arial" w:hAnsi="Arial" w:cs="Arial"/>
          <w:b/>
          <w:bCs/>
          <w:szCs w:val="24"/>
        </w:rPr>
        <w:t>. S</w:t>
      </w:r>
      <w:r w:rsidR="00600632" w:rsidRPr="008C0D19">
        <w:rPr>
          <w:rFonts w:ascii="Arial" w:hAnsi="Arial" w:cs="Arial"/>
          <w:b/>
          <w:bCs/>
          <w:szCs w:val="24"/>
        </w:rPr>
        <w:t>íntesis del recurso de apelación del auto.</w:t>
      </w:r>
    </w:p>
    <w:p w14:paraId="7E74F550" w14:textId="77777777" w:rsidR="00BA10E1" w:rsidRPr="008C0D19" w:rsidRDefault="00BA10E1" w:rsidP="008C0D19">
      <w:pPr>
        <w:spacing w:line="276" w:lineRule="auto"/>
        <w:jc w:val="both"/>
        <w:rPr>
          <w:rFonts w:ascii="Arial" w:hAnsi="Arial" w:cs="Arial"/>
          <w:b/>
          <w:bCs/>
          <w:szCs w:val="24"/>
        </w:rPr>
      </w:pPr>
    </w:p>
    <w:p w14:paraId="4C08A0EA" w14:textId="3DA78546" w:rsidR="00B4652E" w:rsidRPr="008C0D19" w:rsidRDefault="00EC3176" w:rsidP="008C0D19">
      <w:pPr>
        <w:spacing w:line="276" w:lineRule="auto"/>
        <w:jc w:val="both"/>
        <w:rPr>
          <w:rFonts w:ascii="Arial" w:hAnsi="Arial" w:cs="Arial"/>
          <w:szCs w:val="24"/>
          <w:lang w:val="es-MX"/>
        </w:rPr>
      </w:pPr>
      <w:r w:rsidRPr="008C0D19">
        <w:rPr>
          <w:rFonts w:ascii="Arial" w:hAnsi="Arial" w:cs="Arial"/>
          <w:szCs w:val="24"/>
        </w:rPr>
        <w:t>Inconforme con dicha decisión</w:t>
      </w:r>
      <w:r w:rsidR="00DB4AEB" w:rsidRPr="008C0D19">
        <w:rPr>
          <w:rFonts w:ascii="Arial" w:hAnsi="Arial" w:cs="Arial"/>
          <w:szCs w:val="24"/>
        </w:rPr>
        <w:t xml:space="preserve"> el Consorcio </w:t>
      </w:r>
      <w:r w:rsidR="00B4652E" w:rsidRPr="008C0D19">
        <w:rPr>
          <w:rFonts w:ascii="Arial" w:hAnsi="Arial" w:cs="Arial"/>
          <w:szCs w:val="24"/>
        </w:rPr>
        <w:t>FFIE Alianza BBVA presentó recurso de alzada para lo cual argumentó que la juez solo se pronunció frente al Ministerio de Educación Nacional y nada dijo sobre el Patrimonio Autónomo del FFIE. Así, señaló que el patrimonio tiene capacidad para ser parte dentro del proceso, pese a que carezca de personería jurídica y en el evento de ahora la demanda se admitió contra Alianza Fiduciaria como representante del Consorcio FFIE Alianza Fiduciaria y no se vinculó al patrimonio</w:t>
      </w:r>
      <w:r w:rsidR="00B4652E" w:rsidRPr="008C0D19">
        <w:rPr>
          <w:rFonts w:ascii="Arial" w:hAnsi="Arial" w:cs="Arial"/>
          <w:szCs w:val="24"/>
          <w:lang w:val="es-MX"/>
        </w:rPr>
        <w:t>.</w:t>
      </w:r>
    </w:p>
    <w:p w14:paraId="60CE4C02" w14:textId="77777777" w:rsidR="00B4652E" w:rsidRPr="008C0D19" w:rsidRDefault="00B4652E" w:rsidP="008C0D19">
      <w:pPr>
        <w:spacing w:line="276" w:lineRule="auto"/>
        <w:jc w:val="both"/>
        <w:rPr>
          <w:rFonts w:ascii="Arial" w:hAnsi="Arial" w:cs="Arial"/>
          <w:szCs w:val="24"/>
        </w:rPr>
      </w:pPr>
    </w:p>
    <w:p w14:paraId="227DD558" w14:textId="3F600428" w:rsidR="00B4652E" w:rsidRPr="008C0D19" w:rsidRDefault="00B4652E" w:rsidP="008C0D19">
      <w:pPr>
        <w:spacing w:line="276" w:lineRule="auto"/>
        <w:jc w:val="both"/>
        <w:rPr>
          <w:rFonts w:ascii="Arial" w:hAnsi="Arial" w:cs="Arial"/>
          <w:szCs w:val="24"/>
        </w:rPr>
      </w:pPr>
      <w:r w:rsidRPr="008C0D19">
        <w:rPr>
          <w:rFonts w:ascii="Arial" w:hAnsi="Arial" w:cs="Arial"/>
          <w:szCs w:val="24"/>
        </w:rPr>
        <w:t xml:space="preserve">Indicó que el Consorcio tiene por objeto celebrar una fiducia para constituir un patrimonio </w:t>
      </w:r>
      <w:r w:rsidR="5A0AA532" w:rsidRPr="008C0D19">
        <w:rPr>
          <w:rFonts w:ascii="Arial" w:hAnsi="Arial" w:cs="Arial"/>
          <w:szCs w:val="24"/>
        </w:rPr>
        <w:t>autónomo</w:t>
      </w:r>
      <w:r w:rsidRPr="008C0D19">
        <w:rPr>
          <w:rFonts w:ascii="Arial" w:hAnsi="Arial" w:cs="Arial"/>
          <w:szCs w:val="24"/>
        </w:rPr>
        <w:t xml:space="preserve"> que administre los recursos del fondo </w:t>
      </w:r>
      <w:r w:rsidR="28ABB3E8" w:rsidRPr="008C0D19">
        <w:rPr>
          <w:rFonts w:ascii="Arial" w:hAnsi="Arial" w:cs="Arial"/>
          <w:szCs w:val="24"/>
        </w:rPr>
        <w:t>escolar, que</w:t>
      </w:r>
      <w:r w:rsidRPr="008C0D19">
        <w:rPr>
          <w:rFonts w:ascii="Arial" w:hAnsi="Arial" w:cs="Arial"/>
          <w:szCs w:val="24"/>
        </w:rPr>
        <w:t xml:space="preserve"> son una cuenta especial de propiedad del Ministerio de Educación y con dich</w:t>
      </w:r>
      <w:r w:rsidR="70898B75" w:rsidRPr="008C0D19">
        <w:rPr>
          <w:rFonts w:ascii="Arial" w:hAnsi="Arial" w:cs="Arial"/>
          <w:szCs w:val="24"/>
        </w:rPr>
        <w:t>o</w:t>
      </w:r>
      <w:r w:rsidRPr="008C0D19">
        <w:rPr>
          <w:rFonts w:ascii="Arial" w:hAnsi="Arial" w:cs="Arial"/>
          <w:szCs w:val="24"/>
        </w:rPr>
        <w:t>s recursos se atender</w:t>
      </w:r>
      <w:r w:rsidR="60CFE7A3" w:rsidRPr="008C0D19">
        <w:rPr>
          <w:rFonts w:ascii="Arial" w:hAnsi="Arial" w:cs="Arial"/>
          <w:szCs w:val="24"/>
        </w:rPr>
        <w:t>á</w:t>
      </w:r>
      <w:r w:rsidRPr="008C0D19">
        <w:rPr>
          <w:rFonts w:ascii="Arial" w:hAnsi="Arial" w:cs="Arial"/>
          <w:szCs w:val="24"/>
        </w:rPr>
        <w:t xml:space="preserve">n obligaciones del plan nacional de educación, de ahí que si se pretende establecer una responsabilidad solidaria al amparo del artículo 34 del C.S.T. entonces debía vincularse al patrimonio y al ministerio. </w:t>
      </w:r>
    </w:p>
    <w:p w14:paraId="24AA1AB3" w14:textId="66BB4B55" w:rsidR="61BB00CA" w:rsidRPr="008C0D19" w:rsidRDefault="61BB00CA" w:rsidP="008C0D19">
      <w:pPr>
        <w:spacing w:line="276" w:lineRule="auto"/>
        <w:jc w:val="both"/>
        <w:rPr>
          <w:rFonts w:ascii="Arial" w:hAnsi="Arial" w:cs="Arial"/>
          <w:b/>
          <w:bCs/>
          <w:szCs w:val="24"/>
        </w:rPr>
      </w:pPr>
    </w:p>
    <w:p w14:paraId="34CA7183" w14:textId="57E3402E" w:rsidR="5240E45B" w:rsidRPr="008C0D19" w:rsidRDefault="5240E45B" w:rsidP="008C0D19">
      <w:pPr>
        <w:spacing w:line="276" w:lineRule="auto"/>
        <w:jc w:val="both"/>
        <w:rPr>
          <w:rFonts w:ascii="Arial" w:hAnsi="Arial" w:cs="Arial"/>
          <w:b/>
          <w:bCs/>
          <w:szCs w:val="24"/>
        </w:rPr>
      </w:pPr>
      <w:r w:rsidRPr="008C0D19">
        <w:rPr>
          <w:rFonts w:ascii="Arial" w:hAnsi="Arial" w:cs="Arial"/>
          <w:b/>
          <w:bCs/>
          <w:szCs w:val="24"/>
        </w:rPr>
        <w:t xml:space="preserve">5. </w:t>
      </w:r>
      <w:r w:rsidR="6140070F" w:rsidRPr="008C0D19">
        <w:rPr>
          <w:rFonts w:ascii="Arial" w:hAnsi="Arial" w:cs="Arial"/>
          <w:b/>
          <w:bCs/>
          <w:szCs w:val="24"/>
        </w:rPr>
        <w:t>Alegatos de conclusión</w:t>
      </w:r>
    </w:p>
    <w:p w14:paraId="506E43E9" w14:textId="77777777" w:rsidR="00B4652E" w:rsidRPr="008C0D19" w:rsidRDefault="00B4652E" w:rsidP="008C0D19">
      <w:pPr>
        <w:spacing w:line="276" w:lineRule="auto"/>
        <w:rPr>
          <w:rFonts w:ascii="Arial" w:hAnsi="Arial" w:cs="Arial"/>
          <w:szCs w:val="24"/>
          <w:lang w:val="es-MX"/>
        </w:rPr>
      </w:pPr>
    </w:p>
    <w:p w14:paraId="21D74819" w14:textId="0DC991D4" w:rsidR="6140070F" w:rsidRPr="008C0D19" w:rsidRDefault="6140070F" w:rsidP="008C0D19">
      <w:pPr>
        <w:spacing w:line="276" w:lineRule="auto"/>
        <w:rPr>
          <w:rFonts w:ascii="Arial" w:hAnsi="Arial" w:cs="Arial"/>
          <w:szCs w:val="24"/>
          <w:lang w:val="es-MX"/>
        </w:rPr>
      </w:pPr>
      <w:r w:rsidRPr="008C0D19">
        <w:rPr>
          <w:rFonts w:ascii="Arial" w:hAnsi="Arial" w:cs="Arial"/>
          <w:szCs w:val="24"/>
          <w:lang w:val="es-MX"/>
        </w:rPr>
        <w:t xml:space="preserve">Ninguna de las partes presentó alegatos. </w:t>
      </w:r>
    </w:p>
    <w:p w14:paraId="7B50DE5F" w14:textId="13D3C1E6" w:rsidR="61BB00CA" w:rsidRPr="008C0D19" w:rsidRDefault="61BB00CA" w:rsidP="008C0D19">
      <w:pPr>
        <w:spacing w:line="276" w:lineRule="auto"/>
        <w:rPr>
          <w:rFonts w:ascii="Arial" w:hAnsi="Arial" w:cs="Arial"/>
          <w:szCs w:val="24"/>
          <w:lang w:val="es-MX"/>
        </w:rPr>
      </w:pPr>
    </w:p>
    <w:p w14:paraId="048B501D" w14:textId="77777777" w:rsidR="00B350CF" w:rsidRPr="008C0D19" w:rsidRDefault="00B350CF" w:rsidP="008C0D19">
      <w:pPr>
        <w:pStyle w:val="Ttulo4"/>
        <w:spacing w:line="276" w:lineRule="auto"/>
        <w:ind w:firstLine="0"/>
        <w:rPr>
          <w:szCs w:val="24"/>
        </w:rPr>
      </w:pPr>
      <w:r w:rsidRPr="008C0D19">
        <w:rPr>
          <w:szCs w:val="24"/>
        </w:rPr>
        <w:t>CONSIDERACIONES</w:t>
      </w:r>
    </w:p>
    <w:p w14:paraId="25356D9A" w14:textId="4D8446E3" w:rsidR="0045222D" w:rsidRPr="008C0D19" w:rsidRDefault="0045222D" w:rsidP="008C0D19">
      <w:pPr>
        <w:spacing w:line="276" w:lineRule="auto"/>
        <w:rPr>
          <w:rFonts w:ascii="Arial" w:hAnsi="Arial" w:cs="Arial"/>
          <w:szCs w:val="24"/>
        </w:rPr>
      </w:pPr>
    </w:p>
    <w:p w14:paraId="1383F03F" w14:textId="77777777" w:rsidR="00CB3C54" w:rsidRPr="008C0D19" w:rsidRDefault="00434543" w:rsidP="008C0D19">
      <w:pPr>
        <w:spacing w:line="276" w:lineRule="auto"/>
        <w:rPr>
          <w:rFonts w:ascii="Arial" w:hAnsi="Arial" w:cs="Arial"/>
          <w:b/>
          <w:bCs/>
          <w:szCs w:val="24"/>
        </w:rPr>
      </w:pPr>
      <w:r w:rsidRPr="008C0D19">
        <w:rPr>
          <w:rFonts w:ascii="Arial" w:hAnsi="Arial" w:cs="Arial"/>
          <w:b/>
          <w:bCs/>
          <w:szCs w:val="24"/>
        </w:rPr>
        <w:t xml:space="preserve">1. </w:t>
      </w:r>
      <w:r w:rsidR="00CB3C54" w:rsidRPr="008C0D19">
        <w:rPr>
          <w:rFonts w:ascii="Arial" w:hAnsi="Arial" w:cs="Arial"/>
          <w:b/>
          <w:bCs/>
          <w:szCs w:val="24"/>
        </w:rPr>
        <w:t>Problema jurídico</w:t>
      </w:r>
    </w:p>
    <w:p w14:paraId="7FA19B55" w14:textId="77777777" w:rsidR="000D652D" w:rsidRPr="008C0D19" w:rsidRDefault="000D652D" w:rsidP="008C0D19">
      <w:pPr>
        <w:spacing w:line="276" w:lineRule="auto"/>
        <w:rPr>
          <w:rFonts w:ascii="Arial" w:hAnsi="Arial" w:cs="Arial"/>
          <w:b/>
          <w:bCs/>
          <w:szCs w:val="24"/>
        </w:rPr>
      </w:pPr>
    </w:p>
    <w:p w14:paraId="2280E3E5" w14:textId="7B3D2368" w:rsidR="00CB3C54" w:rsidRPr="008C0D19" w:rsidRDefault="00356E63" w:rsidP="008C0D19">
      <w:pPr>
        <w:suppressAutoHyphens/>
        <w:spacing w:line="276" w:lineRule="auto"/>
        <w:jc w:val="both"/>
        <w:rPr>
          <w:rFonts w:ascii="Arial" w:hAnsi="Arial" w:cs="Arial"/>
          <w:szCs w:val="24"/>
        </w:rPr>
      </w:pPr>
      <w:r w:rsidRPr="008C0D19">
        <w:rPr>
          <w:rFonts w:ascii="Arial" w:hAnsi="Arial" w:cs="Arial"/>
          <w:szCs w:val="24"/>
        </w:rPr>
        <w:t>1</w:t>
      </w:r>
      <w:r w:rsidR="005A4BFC" w:rsidRPr="008C0D19">
        <w:rPr>
          <w:rFonts w:ascii="Arial" w:hAnsi="Arial" w:cs="Arial"/>
          <w:szCs w:val="24"/>
        </w:rPr>
        <w:t>.</w:t>
      </w:r>
      <w:r w:rsidRPr="008C0D19">
        <w:rPr>
          <w:rFonts w:ascii="Arial" w:hAnsi="Arial" w:cs="Arial"/>
          <w:szCs w:val="24"/>
        </w:rPr>
        <w:t xml:space="preserve"> </w:t>
      </w:r>
      <w:r w:rsidR="00E260AF" w:rsidRPr="008C0D19">
        <w:rPr>
          <w:rFonts w:ascii="Arial" w:hAnsi="Arial" w:cs="Arial"/>
          <w:szCs w:val="24"/>
        </w:rPr>
        <w:t>¿</w:t>
      </w:r>
      <w:r w:rsidR="376C2A0B" w:rsidRPr="008C0D19">
        <w:rPr>
          <w:rFonts w:ascii="Arial" w:hAnsi="Arial" w:cs="Arial"/>
          <w:szCs w:val="24"/>
        </w:rPr>
        <w:t>Se probó</w:t>
      </w:r>
      <w:r w:rsidR="00E260AF" w:rsidRPr="008C0D19">
        <w:rPr>
          <w:rFonts w:ascii="Arial" w:hAnsi="Arial" w:cs="Arial"/>
          <w:szCs w:val="24"/>
        </w:rPr>
        <w:t xml:space="preserve"> </w:t>
      </w:r>
      <w:r w:rsidR="00E11C8A" w:rsidRPr="008C0D19">
        <w:rPr>
          <w:rFonts w:ascii="Arial" w:hAnsi="Arial" w:cs="Arial"/>
          <w:szCs w:val="24"/>
        </w:rPr>
        <w:t>la</w:t>
      </w:r>
      <w:r w:rsidR="00376D14" w:rsidRPr="008C0D19">
        <w:rPr>
          <w:rFonts w:ascii="Arial" w:hAnsi="Arial" w:cs="Arial"/>
          <w:szCs w:val="24"/>
        </w:rPr>
        <w:t xml:space="preserve"> </w:t>
      </w:r>
      <w:r w:rsidR="00E11C8A" w:rsidRPr="008C0D19">
        <w:rPr>
          <w:rFonts w:ascii="Arial" w:hAnsi="Arial" w:cs="Arial"/>
          <w:szCs w:val="24"/>
        </w:rPr>
        <w:t>excepci</w:t>
      </w:r>
      <w:r w:rsidR="00376D14" w:rsidRPr="008C0D19">
        <w:rPr>
          <w:rFonts w:ascii="Arial" w:hAnsi="Arial" w:cs="Arial"/>
          <w:szCs w:val="24"/>
        </w:rPr>
        <w:t>ón</w:t>
      </w:r>
      <w:r w:rsidR="00E11C8A" w:rsidRPr="008C0D19">
        <w:rPr>
          <w:rFonts w:ascii="Arial" w:hAnsi="Arial" w:cs="Arial"/>
          <w:szCs w:val="24"/>
        </w:rPr>
        <w:t xml:space="preserve"> previa de falta de integración del litisconsorcio necesario</w:t>
      </w:r>
      <w:r w:rsidR="00E260AF" w:rsidRPr="008C0D19">
        <w:rPr>
          <w:rFonts w:ascii="Arial" w:hAnsi="Arial" w:cs="Arial"/>
          <w:szCs w:val="24"/>
        </w:rPr>
        <w:t>?</w:t>
      </w:r>
    </w:p>
    <w:p w14:paraId="2D77C715" w14:textId="77777777" w:rsidR="0095733C" w:rsidRPr="008C0D19" w:rsidRDefault="0095733C" w:rsidP="008C0D19">
      <w:pPr>
        <w:suppressAutoHyphens/>
        <w:spacing w:line="276" w:lineRule="auto"/>
        <w:jc w:val="both"/>
        <w:rPr>
          <w:rFonts w:ascii="Arial" w:hAnsi="Arial" w:cs="Arial"/>
          <w:szCs w:val="24"/>
          <w:highlight w:val="yellow"/>
        </w:rPr>
      </w:pPr>
    </w:p>
    <w:p w14:paraId="671D2D9E" w14:textId="77777777" w:rsidR="00CB3C54" w:rsidRPr="008C0D19" w:rsidRDefault="007C47E6" w:rsidP="008C0D19">
      <w:pPr>
        <w:suppressAutoHyphens/>
        <w:spacing w:line="276" w:lineRule="auto"/>
        <w:jc w:val="both"/>
        <w:rPr>
          <w:rFonts w:ascii="Arial" w:hAnsi="Arial" w:cs="Arial"/>
          <w:b/>
          <w:bCs/>
          <w:szCs w:val="24"/>
        </w:rPr>
      </w:pPr>
      <w:r w:rsidRPr="008C0D19">
        <w:rPr>
          <w:rFonts w:ascii="Arial" w:hAnsi="Arial" w:cs="Arial"/>
          <w:b/>
          <w:bCs/>
          <w:szCs w:val="24"/>
        </w:rPr>
        <w:t xml:space="preserve">2. </w:t>
      </w:r>
      <w:r w:rsidR="00CB3C54" w:rsidRPr="008C0D19">
        <w:rPr>
          <w:rFonts w:ascii="Arial" w:hAnsi="Arial" w:cs="Arial"/>
          <w:b/>
          <w:bCs/>
          <w:szCs w:val="24"/>
        </w:rPr>
        <w:t>Solución a los interrogantes planteados</w:t>
      </w:r>
    </w:p>
    <w:p w14:paraId="656C010E" w14:textId="77777777" w:rsidR="001F0B0C" w:rsidRPr="008C0D19" w:rsidRDefault="001F0B0C" w:rsidP="008C0D19">
      <w:pPr>
        <w:suppressAutoHyphens/>
        <w:spacing w:line="276" w:lineRule="auto"/>
        <w:jc w:val="both"/>
        <w:rPr>
          <w:rFonts w:ascii="Arial" w:hAnsi="Arial" w:cs="Arial"/>
          <w:szCs w:val="24"/>
          <w:highlight w:val="yellow"/>
        </w:rPr>
      </w:pPr>
    </w:p>
    <w:p w14:paraId="1FB0EAC2" w14:textId="6FCB3F71" w:rsidR="00C212B1" w:rsidRPr="008C0D19" w:rsidRDefault="00AD114B" w:rsidP="008C0D19">
      <w:pPr>
        <w:suppressAutoHyphens/>
        <w:spacing w:line="276" w:lineRule="auto"/>
        <w:jc w:val="both"/>
        <w:rPr>
          <w:rFonts w:ascii="Arial" w:hAnsi="Arial" w:cs="Arial"/>
          <w:b/>
          <w:bCs/>
          <w:szCs w:val="24"/>
        </w:rPr>
      </w:pPr>
      <w:r w:rsidRPr="008C0D19">
        <w:rPr>
          <w:rFonts w:ascii="Arial" w:hAnsi="Arial" w:cs="Arial"/>
          <w:b/>
          <w:bCs/>
          <w:szCs w:val="24"/>
        </w:rPr>
        <w:t xml:space="preserve">2.1. </w:t>
      </w:r>
      <w:r w:rsidR="00C212B1" w:rsidRPr="008C0D19">
        <w:rPr>
          <w:rFonts w:ascii="Arial" w:hAnsi="Arial" w:cs="Arial"/>
          <w:b/>
          <w:bCs/>
          <w:szCs w:val="24"/>
        </w:rPr>
        <w:t>De la falta integración d</w:t>
      </w:r>
      <w:r w:rsidR="00376D14" w:rsidRPr="008C0D19">
        <w:rPr>
          <w:rFonts w:ascii="Arial" w:hAnsi="Arial" w:cs="Arial"/>
          <w:b/>
          <w:bCs/>
          <w:szCs w:val="24"/>
        </w:rPr>
        <w:t>el</w:t>
      </w:r>
      <w:r w:rsidR="00C212B1" w:rsidRPr="008C0D19">
        <w:rPr>
          <w:rFonts w:ascii="Arial" w:hAnsi="Arial" w:cs="Arial"/>
          <w:b/>
          <w:bCs/>
          <w:szCs w:val="24"/>
        </w:rPr>
        <w:t xml:space="preserve"> litisconsorte necesario</w:t>
      </w:r>
    </w:p>
    <w:p w14:paraId="41FDA509" w14:textId="77777777" w:rsidR="00C212B1" w:rsidRPr="008C0D19" w:rsidRDefault="00C212B1" w:rsidP="008C0D19">
      <w:pPr>
        <w:suppressAutoHyphens/>
        <w:spacing w:line="276" w:lineRule="auto"/>
        <w:jc w:val="both"/>
        <w:rPr>
          <w:rFonts w:ascii="Arial" w:hAnsi="Arial" w:cs="Arial"/>
          <w:b/>
          <w:bCs/>
          <w:szCs w:val="24"/>
        </w:rPr>
      </w:pPr>
    </w:p>
    <w:p w14:paraId="456608E8" w14:textId="15FE7439" w:rsidR="005A114B" w:rsidRPr="008C0D19" w:rsidRDefault="00B21CFE" w:rsidP="008C0D19">
      <w:pPr>
        <w:spacing w:line="276" w:lineRule="auto"/>
        <w:jc w:val="both"/>
        <w:rPr>
          <w:rFonts w:ascii="Arial" w:hAnsi="Arial" w:cs="Arial"/>
          <w:szCs w:val="24"/>
        </w:rPr>
      </w:pPr>
      <w:r w:rsidRPr="008C0D19">
        <w:rPr>
          <w:rFonts w:ascii="Arial" w:hAnsi="Arial" w:cs="Arial"/>
          <w:szCs w:val="24"/>
        </w:rPr>
        <w:t xml:space="preserve">El </w:t>
      </w:r>
      <w:r w:rsidR="00B949FB" w:rsidRPr="008C0D19">
        <w:rPr>
          <w:rFonts w:ascii="Arial" w:hAnsi="Arial" w:cs="Arial"/>
          <w:szCs w:val="24"/>
          <w:lang w:val="es-ES"/>
        </w:rPr>
        <w:t>artículo</w:t>
      </w:r>
      <w:r w:rsidR="005A114B" w:rsidRPr="008C0D19">
        <w:rPr>
          <w:rFonts w:ascii="Arial" w:hAnsi="Arial" w:cs="Arial"/>
          <w:szCs w:val="24"/>
        </w:rPr>
        <w:t xml:space="preserve"> 61 del C</w:t>
      </w:r>
      <w:r w:rsidR="00B949FB" w:rsidRPr="008C0D19">
        <w:rPr>
          <w:rFonts w:ascii="Arial" w:hAnsi="Arial" w:cs="Arial"/>
          <w:szCs w:val="24"/>
        </w:rPr>
        <w:t>.</w:t>
      </w:r>
      <w:r w:rsidR="005A114B" w:rsidRPr="008C0D19">
        <w:rPr>
          <w:rFonts w:ascii="Arial" w:hAnsi="Arial" w:cs="Arial"/>
          <w:szCs w:val="24"/>
        </w:rPr>
        <w:t>G</w:t>
      </w:r>
      <w:r w:rsidR="00B949FB" w:rsidRPr="008C0D19">
        <w:rPr>
          <w:rFonts w:ascii="Arial" w:hAnsi="Arial" w:cs="Arial"/>
          <w:szCs w:val="24"/>
        </w:rPr>
        <w:t>.</w:t>
      </w:r>
      <w:r w:rsidR="005A114B" w:rsidRPr="008C0D19">
        <w:rPr>
          <w:rFonts w:ascii="Arial" w:hAnsi="Arial" w:cs="Arial"/>
          <w:szCs w:val="24"/>
        </w:rPr>
        <w:t>P</w:t>
      </w:r>
      <w:r w:rsidR="00B949FB" w:rsidRPr="008C0D19">
        <w:rPr>
          <w:rFonts w:ascii="Arial" w:hAnsi="Arial" w:cs="Arial"/>
          <w:szCs w:val="24"/>
        </w:rPr>
        <w:t xml:space="preserve">. dispone que los listisconsortes necesarios son aquellos </w:t>
      </w:r>
      <w:r w:rsidR="005A114B" w:rsidRPr="008C0D19">
        <w:rPr>
          <w:rFonts w:ascii="Arial" w:hAnsi="Arial" w:cs="Arial"/>
          <w:szCs w:val="24"/>
        </w:rPr>
        <w:t>indispensables</w:t>
      </w:r>
      <w:r w:rsidR="00B949FB" w:rsidRPr="008C0D19">
        <w:rPr>
          <w:rFonts w:ascii="Arial" w:hAnsi="Arial" w:cs="Arial"/>
          <w:szCs w:val="24"/>
        </w:rPr>
        <w:t xml:space="preserve"> para resolver el </w:t>
      </w:r>
      <w:r w:rsidR="00376D14" w:rsidRPr="008C0D19">
        <w:rPr>
          <w:rFonts w:ascii="Arial" w:hAnsi="Arial" w:cs="Arial"/>
          <w:szCs w:val="24"/>
        </w:rPr>
        <w:t>asunto en controversia</w:t>
      </w:r>
      <w:r w:rsidR="00B949FB" w:rsidRPr="008C0D19">
        <w:rPr>
          <w:rFonts w:ascii="Arial" w:hAnsi="Arial" w:cs="Arial"/>
          <w:szCs w:val="24"/>
        </w:rPr>
        <w:t xml:space="preserve">, en la medida que </w:t>
      </w:r>
      <w:r w:rsidR="005A114B" w:rsidRPr="008C0D19">
        <w:rPr>
          <w:rFonts w:ascii="Arial" w:hAnsi="Arial" w:cs="Arial"/>
          <w:szCs w:val="24"/>
        </w:rPr>
        <w:t xml:space="preserve">la cuestión litigiosa debe resolverse de manera uniforme para todos, ya por versar el proceso sobre relaciones o actos jurídicos que por su naturaleza o disposición legal no fuere posible hacerlo sin que concurran los sujetos de tales relaciones o de quienes intervinieron en dichos actos. </w:t>
      </w:r>
    </w:p>
    <w:p w14:paraId="76708285" w14:textId="77777777" w:rsidR="005A114B" w:rsidRPr="008C0D19" w:rsidRDefault="005A114B" w:rsidP="008C0D19">
      <w:pPr>
        <w:spacing w:line="276" w:lineRule="auto"/>
        <w:jc w:val="both"/>
        <w:rPr>
          <w:rFonts w:ascii="Arial" w:hAnsi="Arial" w:cs="Arial"/>
          <w:szCs w:val="24"/>
        </w:rPr>
      </w:pPr>
    </w:p>
    <w:p w14:paraId="554C2B24" w14:textId="45135AC1" w:rsidR="005A114B" w:rsidRPr="008C0D19" w:rsidRDefault="00B949FB" w:rsidP="008C0D19">
      <w:pPr>
        <w:spacing w:line="276" w:lineRule="auto"/>
        <w:jc w:val="both"/>
        <w:rPr>
          <w:rFonts w:ascii="Arial" w:hAnsi="Arial" w:cs="Arial"/>
          <w:szCs w:val="24"/>
        </w:rPr>
      </w:pPr>
      <w:r w:rsidRPr="008C0D19">
        <w:rPr>
          <w:rFonts w:ascii="Arial" w:hAnsi="Arial" w:cs="Arial"/>
          <w:szCs w:val="24"/>
        </w:rPr>
        <w:t>A su vez,</w:t>
      </w:r>
      <w:r w:rsidR="005A114B" w:rsidRPr="008C0D19">
        <w:rPr>
          <w:rFonts w:ascii="Arial" w:hAnsi="Arial" w:cs="Arial"/>
          <w:szCs w:val="24"/>
        </w:rPr>
        <w:t xml:space="preserve"> esta institución no debe confundirse con la legitimación en la causa, presupuesto sustancial </w:t>
      </w:r>
      <w:r w:rsidRPr="008C0D19">
        <w:rPr>
          <w:rFonts w:ascii="Arial" w:hAnsi="Arial" w:cs="Arial"/>
          <w:szCs w:val="24"/>
        </w:rPr>
        <w:t>que debe concurrir</w:t>
      </w:r>
      <w:r w:rsidR="005A114B" w:rsidRPr="008C0D19">
        <w:rPr>
          <w:rFonts w:ascii="Arial" w:hAnsi="Arial" w:cs="Arial"/>
          <w:szCs w:val="24"/>
        </w:rPr>
        <w:t xml:space="preserve"> para que la sentencia a emitir pueda ser favorable a las pretensiones del actor, </w:t>
      </w:r>
      <w:r w:rsidRPr="008C0D19">
        <w:rPr>
          <w:rFonts w:ascii="Arial" w:hAnsi="Arial" w:cs="Arial"/>
          <w:szCs w:val="24"/>
        </w:rPr>
        <w:t>siempre que se cumplan</w:t>
      </w:r>
      <w:r w:rsidR="005A114B" w:rsidRPr="008C0D19">
        <w:rPr>
          <w:rFonts w:ascii="Arial" w:hAnsi="Arial" w:cs="Arial"/>
          <w:szCs w:val="24"/>
        </w:rPr>
        <w:t xml:space="preserve"> los requisitos de la acción</w:t>
      </w:r>
      <w:r w:rsidRPr="008C0D19">
        <w:rPr>
          <w:rFonts w:ascii="Arial" w:hAnsi="Arial" w:cs="Arial"/>
          <w:szCs w:val="24"/>
        </w:rPr>
        <w:t xml:space="preserve">. </w:t>
      </w:r>
      <w:r w:rsidR="00376D14" w:rsidRPr="008C0D19">
        <w:rPr>
          <w:rFonts w:ascii="Arial" w:hAnsi="Arial" w:cs="Arial"/>
          <w:szCs w:val="24"/>
        </w:rPr>
        <w:t>Ú</w:t>
      </w:r>
      <w:r w:rsidRPr="008C0D19">
        <w:rPr>
          <w:rFonts w:ascii="Arial" w:hAnsi="Arial" w:cs="Arial"/>
          <w:szCs w:val="24"/>
        </w:rPr>
        <w:t>ltima</w:t>
      </w:r>
      <w:r w:rsidR="005A114B" w:rsidRPr="008C0D19">
        <w:rPr>
          <w:rFonts w:ascii="Arial" w:hAnsi="Arial" w:cs="Arial"/>
          <w:szCs w:val="24"/>
        </w:rPr>
        <w:t xml:space="preserve"> que se ha entendido como la identidad entre quienes figuran como demandante o demandados, con las personas a las cuales la ley otorga el derecho para postular determinadas pretensiones y oponerse, respectivamente</w:t>
      </w:r>
      <w:r w:rsidRPr="008C0D19">
        <w:rPr>
          <w:rFonts w:ascii="Arial" w:hAnsi="Arial" w:cs="Arial"/>
          <w:szCs w:val="24"/>
        </w:rPr>
        <w:t xml:space="preserve">, pues </w:t>
      </w:r>
      <w:r w:rsidR="005A114B" w:rsidRPr="008C0D19">
        <w:rPr>
          <w:rFonts w:ascii="Arial" w:hAnsi="Arial" w:cs="Arial"/>
          <w:szCs w:val="24"/>
        </w:rPr>
        <w:t xml:space="preserve">de faltar este requisito habrá lugar a desestimar las pretensiones.   </w:t>
      </w:r>
    </w:p>
    <w:p w14:paraId="18605FDC" w14:textId="77777777" w:rsidR="003C54E9" w:rsidRPr="008C0D19" w:rsidRDefault="003C54E9" w:rsidP="008C0D19">
      <w:pPr>
        <w:spacing w:line="276" w:lineRule="auto"/>
        <w:jc w:val="both"/>
        <w:rPr>
          <w:rFonts w:ascii="Arial" w:hAnsi="Arial" w:cs="Arial"/>
          <w:b/>
          <w:bCs/>
          <w:szCs w:val="24"/>
        </w:rPr>
      </w:pPr>
    </w:p>
    <w:p w14:paraId="6F5B3446" w14:textId="1BE3055A" w:rsidR="003C54E9" w:rsidRPr="008C0D19" w:rsidRDefault="003C54E9" w:rsidP="008C0D19">
      <w:pPr>
        <w:spacing w:line="276" w:lineRule="auto"/>
        <w:jc w:val="both"/>
        <w:rPr>
          <w:rFonts w:ascii="Arial" w:hAnsi="Arial" w:cs="Arial"/>
          <w:b/>
          <w:bCs/>
          <w:szCs w:val="24"/>
        </w:rPr>
      </w:pPr>
      <w:r w:rsidRPr="008C0D19">
        <w:rPr>
          <w:rFonts w:ascii="Arial" w:hAnsi="Arial" w:cs="Arial"/>
          <w:b/>
          <w:bCs/>
          <w:szCs w:val="24"/>
        </w:rPr>
        <w:t>2.2. De la solidaridad del beneficiario de la obra</w:t>
      </w:r>
    </w:p>
    <w:p w14:paraId="0A34045A" w14:textId="77777777" w:rsidR="00B4652E" w:rsidRPr="008C0D19" w:rsidRDefault="00B4652E" w:rsidP="008C0D19">
      <w:pPr>
        <w:spacing w:line="276" w:lineRule="auto"/>
        <w:jc w:val="both"/>
        <w:rPr>
          <w:rFonts w:ascii="Arial" w:hAnsi="Arial" w:cs="Arial"/>
          <w:szCs w:val="24"/>
        </w:rPr>
      </w:pPr>
    </w:p>
    <w:p w14:paraId="7C8B7E7B" w14:textId="701A0DF6" w:rsidR="00B4652E" w:rsidRPr="008C0D19" w:rsidRDefault="00B4652E" w:rsidP="008C0D19">
      <w:pPr>
        <w:spacing w:line="276" w:lineRule="auto"/>
        <w:jc w:val="both"/>
        <w:rPr>
          <w:rFonts w:ascii="Arial" w:hAnsi="Arial" w:cs="Arial"/>
          <w:szCs w:val="24"/>
          <w:lang w:val="es-CO"/>
        </w:rPr>
      </w:pPr>
      <w:r w:rsidRPr="008C0D19">
        <w:rPr>
          <w:rFonts w:ascii="Arial" w:hAnsi="Arial" w:cs="Arial"/>
          <w:szCs w:val="24"/>
          <w:lang w:val="es-CO"/>
        </w:rPr>
        <w:t>Por su parte el canon 34 del CST, expresa que el contratista independiente es verdadero patrono; por lo tanto, es quien asume todos los riesgos al realizar una subcontratación; sin embargo, el contratante puede ser obligado solidario con aquel, cuando las obras o prestación del servicio contratado no le sea extraña o diferente a sus actividades normales.</w:t>
      </w:r>
    </w:p>
    <w:p w14:paraId="0E8024C8" w14:textId="77777777" w:rsidR="00B4652E" w:rsidRPr="008C0D19" w:rsidRDefault="00B4652E" w:rsidP="008C0D19">
      <w:pPr>
        <w:pStyle w:val="Sinespaciado"/>
        <w:spacing w:line="276" w:lineRule="auto"/>
        <w:jc w:val="both"/>
        <w:rPr>
          <w:rFonts w:ascii="Arial" w:hAnsi="Arial" w:cs="Arial"/>
        </w:rPr>
      </w:pPr>
    </w:p>
    <w:p w14:paraId="650FB5F1" w14:textId="45249B5C" w:rsidR="00B4652E" w:rsidRPr="008C0D19" w:rsidRDefault="00B4652E" w:rsidP="008C0D19">
      <w:pPr>
        <w:pStyle w:val="Sinespaciado"/>
        <w:spacing w:line="276" w:lineRule="auto"/>
        <w:jc w:val="both"/>
        <w:rPr>
          <w:rFonts w:ascii="Arial" w:hAnsi="Arial" w:cs="Arial"/>
        </w:rPr>
      </w:pPr>
      <w:r w:rsidRPr="008C0D19">
        <w:rPr>
          <w:rFonts w:ascii="Arial" w:hAnsi="Arial" w:cs="Arial"/>
        </w:rPr>
        <w:t xml:space="preserve">De ahí, que a pesar de poder ser el contratante un potencial obligado solidario con el contratista independiente por las obligaciones laborales del actor; ello no implica que deba concurrir al proceso el primero de los mencionados para salir airosas las pretensiones de la demanda, al tratarse de relaciones jurídicas diferentes. De lo que sigue que solo es un Litis consorte facultativo, no necesario, por lo que su integración a la Litis dependerá del demandante, lo que debe hacer al incoar el libelo introductorio. </w:t>
      </w:r>
    </w:p>
    <w:p w14:paraId="26C3BB9D" w14:textId="77777777" w:rsidR="00B4652E" w:rsidRPr="008C0D19" w:rsidRDefault="00B4652E" w:rsidP="008C0D19">
      <w:pPr>
        <w:pStyle w:val="Sinespaciado"/>
        <w:spacing w:line="276" w:lineRule="auto"/>
        <w:jc w:val="both"/>
        <w:rPr>
          <w:rFonts w:ascii="Arial" w:hAnsi="Arial" w:cs="Arial"/>
        </w:rPr>
      </w:pPr>
    </w:p>
    <w:p w14:paraId="3E014070" w14:textId="4B90D863" w:rsidR="00B4652E" w:rsidRDefault="00B4652E" w:rsidP="008C0D19">
      <w:pPr>
        <w:pStyle w:val="Sinespaciado"/>
        <w:spacing w:line="276" w:lineRule="auto"/>
        <w:jc w:val="both"/>
        <w:rPr>
          <w:rFonts w:ascii="Arial" w:hAnsi="Arial" w:cs="Arial"/>
        </w:rPr>
      </w:pPr>
      <w:r w:rsidRPr="008C0D19">
        <w:rPr>
          <w:rFonts w:ascii="Arial" w:hAnsi="Arial" w:cs="Arial"/>
        </w:rPr>
        <w:t>Sobre este tópico y de vieja data el órgano de cierre de esta especialidad ha sostenido lo siguiente:</w:t>
      </w:r>
    </w:p>
    <w:p w14:paraId="0ECA2423" w14:textId="77777777" w:rsidR="000C4560" w:rsidRPr="008C0D19" w:rsidRDefault="000C4560" w:rsidP="008C0D19">
      <w:pPr>
        <w:pStyle w:val="Sinespaciado"/>
        <w:spacing w:line="276" w:lineRule="auto"/>
        <w:jc w:val="both"/>
        <w:rPr>
          <w:rFonts w:ascii="Arial" w:hAnsi="Arial" w:cs="Arial"/>
        </w:rPr>
      </w:pPr>
    </w:p>
    <w:p w14:paraId="5111F0B0" w14:textId="77777777" w:rsidR="00B4652E" w:rsidRPr="008C0D19" w:rsidRDefault="00B4652E" w:rsidP="000C4560">
      <w:pPr>
        <w:pStyle w:val="unico"/>
        <w:spacing w:before="0" w:beforeAutospacing="0" w:after="0" w:afterAutospacing="0" w:line="276" w:lineRule="auto"/>
        <w:ind w:left="708"/>
        <w:jc w:val="both"/>
        <w:rPr>
          <w:rFonts w:ascii="Arial" w:hAnsi="Arial" w:cs="Arial"/>
          <w:i/>
          <w:iCs/>
        </w:rPr>
      </w:pPr>
      <w:r w:rsidRPr="008C0D19">
        <w:rPr>
          <w:rFonts w:ascii="Arial" w:hAnsi="Arial" w:cs="Arial"/>
          <w:i/>
          <w:iCs/>
        </w:rPr>
        <w:t>a) El trabajador puede demandar solo al contratista independiente, verdadero patrono del primero, sin pretender solidaridad de nadie y sin vincular a otra persona a la Litis.</w:t>
      </w:r>
    </w:p>
    <w:p w14:paraId="384B6E46" w14:textId="77777777" w:rsidR="00B4652E" w:rsidRPr="008C0D19" w:rsidRDefault="00B4652E" w:rsidP="000C4560">
      <w:pPr>
        <w:pStyle w:val="unico"/>
        <w:spacing w:before="0" w:beforeAutospacing="0" w:after="0" w:afterAutospacing="0" w:line="276" w:lineRule="auto"/>
        <w:ind w:left="708"/>
        <w:jc w:val="both"/>
        <w:rPr>
          <w:rFonts w:ascii="Arial" w:hAnsi="Arial" w:cs="Arial"/>
          <w:i/>
          <w:iCs/>
        </w:rPr>
      </w:pPr>
      <w:r w:rsidRPr="008C0D19">
        <w:rPr>
          <w:rFonts w:ascii="Arial" w:hAnsi="Arial" w:cs="Arial"/>
          <w:i/>
          <w:iCs/>
        </w:rPr>
        <w:t>b) El trabajador puede demandar conjuntamente al contratista patrono y al beneficiario o dueño de la obra como deudores. Se trata de un litisconsorcio prohijado por la ley, y existe la posibilidad que se controvierta en el proceso la doble relación entre el demandante y el empleador y éste con el beneficiario de la obra, como también la solidaridad del último y su responsabilidad frente a los trabajadores del contratista independiente.</w:t>
      </w:r>
    </w:p>
    <w:p w14:paraId="40D24135" w14:textId="4E8615B1" w:rsidR="00B4652E" w:rsidRDefault="00B4652E" w:rsidP="000C4560">
      <w:pPr>
        <w:pStyle w:val="unico"/>
        <w:spacing w:before="0" w:beforeAutospacing="0" w:after="0" w:afterAutospacing="0" w:line="276" w:lineRule="auto"/>
        <w:ind w:left="708"/>
        <w:jc w:val="both"/>
        <w:rPr>
          <w:rFonts w:ascii="Arial" w:hAnsi="Arial" w:cs="Arial"/>
        </w:rPr>
      </w:pPr>
      <w:r w:rsidRPr="008C0D19">
        <w:rPr>
          <w:rFonts w:ascii="Arial" w:hAnsi="Arial" w:cs="Arial"/>
          <w:i/>
          <w:iCs/>
        </w:rPr>
        <w:t>c) El trabajador puede demandar solamente al beneficiario de la obra, como deudor solidario si la obligación del verdadero patrono, entendiéndose como tal al contratista independiente “</w:t>
      </w:r>
      <w:r w:rsidRPr="000C4560">
        <w:rPr>
          <w:rFonts w:ascii="Arial" w:hAnsi="Arial" w:cs="Arial"/>
          <w:i/>
          <w:iCs/>
          <w:sz w:val="22"/>
        </w:rPr>
        <w:t>existe en forma clara expresa y actualmente exigible, por reconocimiento incuestionable de éste o porque se le haya deducido en juicio anterior adelantado tan solo contra el mismo</w:t>
      </w:r>
      <w:r w:rsidRPr="008C0D19">
        <w:rPr>
          <w:rFonts w:ascii="Arial" w:hAnsi="Arial" w:cs="Arial"/>
        </w:rPr>
        <w:t>”.</w:t>
      </w:r>
      <w:r w:rsidRPr="008C0D19">
        <w:rPr>
          <w:rStyle w:val="Refdenotaalpie"/>
          <w:rFonts w:ascii="Arial" w:hAnsi="Arial" w:cs="Arial"/>
        </w:rPr>
        <w:footnoteReference w:id="1"/>
      </w:r>
    </w:p>
    <w:p w14:paraId="08FAF53B" w14:textId="77777777" w:rsidR="000C4560" w:rsidRPr="008C0D19" w:rsidRDefault="000C4560" w:rsidP="000C4560">
      <w:pPr>
        <w:pStyle w:val="unico"/>
        <w:spacing w:before="0" w:beforeAutospacing="0" w:after="0" w:afterAutospacing="0" w:line="276" w:lineRule="auto"/>
        <w:ind w:left="708"/>
        <w:jc w:val="both"/>
        <w:rPr>
          <w:rFonts w:ascii="Arial" w:hAnsi="Arial" w:cs="Arial"/>
        </w:rPr>
      </w:pPr>
    </w:p>
    <w:p w14:paraId="3B93C078" w14:textId="2F58E828" w:rsidR="003C54E9" w:rsidRPr="008C0D19" w:rsidRDefault="003C54E9" w:rsidP="008C0D19">
      <w:pPr>
        <w:pStyle w:val="paragraph"/>
        <w:spacing w:before="0" w:beforeAutospacing="0" w:after="0" w:afterAutospacing="0" w:line="276" w:lineRule="auto"/>
        <w:jc w:val="both"/>
        <w:textAlignment w:val="baseline"/>
        <w:rPr>
          <w:rFonts w:ascii="Arial" w:hAnsi="Arial" w:cs="Arial"/>
        </w:rPr>
      </w:pPr>
      <w:r w:rsidRPr="008C0D19">
        <w:rPr>
          <w:rStyle w:val="normaltextrun"/>
          <w:rFonts w:ascii="Arial" w:hAnsi="Arial" w:cs="Arial"/>
          <w:b/>
          <w:bCs/>
          <w:color w:val="000000" w:themeColor="text1"/>
          <w:lang w:val="es-ES"/>
        </w:rPr>
        <w:t>2.3. De la capacidad para ser parte de las uniones temporales y consorcios</w:t>
      </w:r>
      <w:r w:rsidRPr="008C0D19">
        <w:rPr>
          <w:rStyle w:val="eop"/>
          <w:rFonts w:ascii="Arial" w:hAnsi="Arial" w:cs="Arial"/>
          <w:color w:val="000000" w:themeColor="text1"/>
        </w:rPr>
        <w:t> </w:t>
      </w:r>
    </w:p>
    <w:p w14:paraId="2E4B9369" w14:textId="77777777" w:rsidR="003C54E9" w:rsidRPr="008C0D19" w:rsidRDefault="003C54E9" w:rsidP="008C0D19">
      <w:pPr>
        <w:pStyle w:val="paragraph"/>
        <w:spacing w:before="0" w:beforeAutospacing="0" w:after="0" w:afterAutospacing="0" w:line="276" w:lineRule="auto"/>
        <w:jc w:val="both"/>
        <w:textAlignment w:val="baseline"/>
        <w:rPr>
          <w:rFonts w:ascii="Arial" w:hAnsi="Arial" w:cs="Arial"/>
        </w:rPr>
      </w:pPr>
      <w:r w:rsidRPr="008C0D19">
        <w:rPr>
          <w:rStyle w:val="eop"/>
          <w:rFonts w:ascii="Arial" w:hAnsi="Arial" w:cs="Arial"/>
          <w:color w:val="000000" w:themeColor="text1"/>
        </w:rPr>
        <w:t> </w:t>
      </w:r>
    </w:p>
    <w:p w14:paraId="2462F87D" w14:textId="25EE649E" w:rsidR="003C54E9" w:rsidRPr="008C0D19" w:rsidRDefault="003C54E9" w:rsidP="008C0D19">
      <w:pPr>
        <w:pStyle w:val="paragraph"/>
        <w:spacing w:before="0" w:beforeAutospacing="0" w:after="0" w:afterAutospacing="0" w:line="276" w:lineRule="auto"/>
        <w:jc w:val="both"/>
        <w:textAlignment w:val="baseline"/>
        <w:rPr>
          <w:rFonts w:ascii="Arial" w:hAnsi="Arial" w:cs="Arial"/>
        </w:rPr>
      </w:pPr>
      <w:r w:rsidRPr="008C0D19">
        <w:rPr>
          <w:rStyle w:val="normaltextrun"/>
          <w:rFonts w:ascii="Arial" w:hAnsi="Arial" w:cs="Arial"/>
          <w:lang w:val="es-ES"/>
        </w:rPr>
        <w:t>Conforme a la sentencia SL676-2021 la Sala Laboral de la Corte Suprema de Justicia definió que tanto las uniones temporales como los consorcios “</w:t>
      </w:r>
      <w:r w:rsidRPr="000C4560">
        <w:rPr>
          <w:rStyle w:val="normaltextrun"/>
          <w:rFonts w:ascii="Arial" w:hAnsi="Arial" w:cs="Arial"/>
          <w:i/>
          <w:iCs/>
          <w:sz w:val="22"/>
          <w:lang w:val="es-ES"/>
        </w:rPr>
        <w:t>tiene capacidad para ser parte y comparecer al proceso a través de su representante legal y sin que deba constituirse un litisconsorcio necesario con cada uno de sus integrantes, los cuales pueden responder solidariamente</w:t>
      </w:r>
      <w:r w:rsidRPr="008C0D19">
        <w:rPr>
          <w:rStyle w:val="normaltextrun"/>
          <w:rFonts w:ascii="Arial" w:hAnsi="Arial" w:cs="Arial"/>
          <w:i/>
          <w:iCs/>
          <w:lang w:val="es-ES"/>
        </w:rPr>
        <w:t>”.</w:t>
      </w:r>
    </w:p>
    <w:p w14:paraId="3DFA8CB7" w14:textId="77777777" w:rsidR="00B4652E" w:rsidRPr="008C0D19" w:rsidRDefault="00B4652E" w:rsidP="008C0D19">
      <w:pPr>
        <w:spacing w:line="276" w:lineRule="auto"/>
        <w:jc w:val="both"/>
        <w:rPr>
          <w:rFonts w:ascii="Arial" w:hAnsi="Arial" w:cs="Arial"/>
          <w:b/>
          <w:bCs/>
          <w:szCs w:val="24"/>
          <w:lang w:val="es-CO"/>
        </w:rPr>
      </w:pPr>
    </w:p>
    <w:p w14:paraId="642F2236" w14:textId="2EDEFB1D" w:rsidR="00C212B1" w:rsidRPr="008C0D19" w:rsidRDefault="00C212B1" w:rsidP="008C0D19">
      <w:pPr>
        <w:suppressAutoHyphens/>
        <w:spacing w:line="276" w:lineRule="auto"/>
        <w:jc w:val="both"/>
        <w:rPr>
          <w:rFonts w:ascii="Arial" w:hAnsi="Arial" w:cs="Arial"/>
          <w:b/>
          <w:bCs/>
          <w:szCs w:val="24"/>
        </w:rPr>
      </w:pPr>
      <w:r w:rsidRPr="008C0D19">
        <w:rPr>
          <w:rFonts w:ascii="Arial" w:hAnsi="Arial" w:cs="Arial"/>
          <w:b/>
          <w:bCs/>
          <w:szCs w:val="24"/>
        </w:rPr>
        <w:t>2.</w:t>
      </w:r>
      <w:r w:rsidR="003C54E9" w:rsidRPr="008C0D19">
        <w:rPr>
          <w:rFonts w:ascii="Arial" w:hAnsi="Arial" w:cs="Arial"/>
          <w:b/>
          <w:bCs/>
          <w:szCs w:val="24"/>
        </w:rPr>
        <w:t>4.</w:t>
      </w:r>
      <w:r w:rsidRPr="008C0D19">
        <w:rPr>
          <w:rFonts w:ascii="Arial" w:hAnsi="Arial" w:cs="Arial"/>
          <w:b/>
          <w:bCs/>
          <w:szCs w:val="24"/>
        </w:rPr>
        <w:t xml:space="preserve"> Fundamento fáctico</w:t>
      </w:r>
    </w:p>
    <w:p w14:paraId="0A7080DF" w14:textId="190C9BF2" w:rsidR="00C212B1" w:rsidRPr="008C0D19" w:rsidRDefault="00C212B1" w:rsidP="008C0D19">
      <w:pPr>
        <w:suppressAutoHyphens/>
        <w:spacing w:line="276" w:lineRule="auto"/>
        <w:jc w:val="both"/>
        <w:rPr>
          <w:rFonts w:ascii="Arial" w:hAnsi="Arial" w:cs="Arial"/>
          <w:b/>
          <w:bCs/>
          <w:szCs w:val="24"/>
        </w:rPr>
      </w:pPr>
    </w:p>
    <w:p w14:paraId="5AF51F19" w14:textId="7A7B2EE2" w:rsidR="00B4652E" w:rsidRPr="008C0D19" w:rsidRDefault="00B4652E" w:rsidP="008C0D19">
      <w:pPr>
        <w:pStyle w:val="Textoindependiente2"/>
        <w:spacing w:line="276" w:lineRule="auto"/>
        <w:rPr>
          <w:rFonts w:ascii="Arial" w:hAnsi="Arial" w:cs="Arial"/>
          <w:sz w:val="24"/>
          <w:szCs w:val="24"/>
        </w:rPr>
      </w:pPr>
      <w:r w:rsidRPr="008C0D19">
        <w:rPr>
          <w:rFonts w:ascii="Arial" w:hAnsi="Arial" w:cs="Arial"/>
          <w:sz w:val="24"/>
          <w:szCs w:val="24"/>
        </w:rPr>
        <w:lastRenderedPageBreak/>
        <w:t>El demandante en el libelo genitor señaló que se desempeñó como obrero a favor de Simetría Constructora y Soluciones Mobiliarias S.A.S.</w:t>
      </w:r>
      <w:r w:rsidR="003C54E9" w:rsidRPr="008C0D19">
        <w:rPr>
          <w:rFonts w:ascii="Arial" w:hAnsi="Arial" w:cs="Arial"/>
          <w:sz w:val="24"/>
          <w:szCs w:val="24"/>
        </w:rPr>
        <w:t>, que fungió como su empleadora.</w:t>
      </w:r>
    </w:p>
    <w:p w14:paraId="5EA91B88" w14:textId="77777777" w:rsidR="003C54E9" w:rsidRPr="008C0D19" w:rsidRDefault="003C54E9" w:rsidP="008C0D19">
      <w:pPr>
        <w:pStyle w:val="Textoindependiente2"/>
        <w:spacing w:line="276" w:lineRule="auto"/>
        <w:rPr>
          <w:rFonts w:ascii="Arial" w:hAnsi="Arial" w:cs="Arial"/>
          <w:sz w:val="24"/>
          <w:szCs w:val="24"/>
        </w:rPr>
      </w:pPr>
    </w:p>
    <w:p w14:paraId="6EE28792" w14:textId="2C25FE53" w:rsidR="00B4652E" w:rsidRPr="008C0D19" w:rsidRDefault="003C54E9" w:rsidP="008C0D19">
      <w:pPr>
        <w:pStyle w:val="Textoindependiente2"/>
        <w:spacing w:line="276" w:lineRule="auto"/>
        <w:rPr>
          <w:rFonts w:ascii="Arial" w:hAnsi="Arial" w:cs="Arial"/>
          <w:sz w:val="24"/>
          <w:szCs w:val="24"/>
        </w:rPr>
      </w:pPr>
      <w:r w:rsidRPr="008C0D19">
        <w:rPr>
          <w:rFonts w:ascii="Arial" w:hAnsi="Arial" w:cs="Arial"/>
          <w:sz w:val="24"/>
          <w:szCs w:val="24"/>
        </w:rPr>
        <w:t>Luego, pretendió la responsabilidad solidaria de las personas que este anuncia como beneficiarias de la obra – art. 34 del C.S.T. – en ese sentido, señaló a:</w:t>
      </w:r>
    </w:p>
    <w:p w14:paraId="68ECA2C5" w14:textId="77777777" w:rsidR="003C54E9" w:rsidRPr="008C0D19" w:rsidRDefault="003C54E9" w:rsidP="008C0D19">
      <w:pPr>
        <w:pStyle w:val="Textoindependiente2"/>
        <w:spacing w:line="276" w:lineRule="auto"/>
        <w:rPr>
          <w:rFonts w:ascii="Arial" w:hAnsi="Arial" w:cs="Arial"/>
          <w:sz w:val="24"/>
          <w:szCs w:val="24"/>
        </w:rPr>
      </w:pPr>
    </w:p>
    <w:p w14:paraId="6A707305" w14:textId="48A4E944" w:rsidR="003C54E9" w:rsidRPr="008C0D19" w:rsidRDefault="003C54E9" w:rsidP="00F94073">
      <w:pPr>
        <w:pStyle w:val="Prrafodelista"/>
        <w:numPr>
          <w:ilvl w:val="0"/>
          <w:numId w:val="14"/>
        </w:numPr>
        <w:spacing w:after="0"/>
        <w:jc w:val="both"/>
        <w:rPr>
          <w:rFonts w:ascii="Arial" w:hAnsi="Arial" w:cs="Arial"/>
          <w:sz w:val="24"/>
          <w:szCs w:val="24"/>
        </w:rPr>
      </w:pPr>
      <w:r w:rsidRPr="008C0D19">
        <w:rPr>
          <w:rFonts w:ascii="Arial" w:hAnsi="Arial" w:cs="Arial"/>
          <w:sz w:val="24"/>
          <w:szCs w:val="24"/>
        </w:rPr>
        <w:t>Consorcio FFIE Alianza BBVA.</w:t>
      </w:r>
    </w:p>
    <w:p w14:paraId="76F98584" w14:textId="77777777" w:rsidR="003C54E9" w:rsidRPr="008C0D19" w:rsidRDefault="003C54E9" w:rsidP="00F94073">
      <w:pPr>
        <w:pStyle w:val="Prrafodelista"/>
        <w:numPr>
          <w:ilvl w:val="0"/>
          <w:numId w:val="14"/>
        </w:numPr>
        <w:spacing w:after="0"/>
        <w:jc w:val="both"/>
        <w:rPr>
          <w:rFonts w:ascii="Arial" w:hAnsi="Arial" w:cs="Arial"/>
          <w:sz w:val="24"/>
          <w:szCs w:val="24"/>
        </w:rPr>
      </w:pPr>
      <w:r w:rsidRPr="008C0D19">
        <w:rPr>
          <w:rFonts w:ascii="Arial" w:hAnsi="Arial" w:cs="Arial"/>
          <w:sz w:val="24"/>
          <w:szCs w:val="24"/>
        </w:rPr>
        <w:t>“Consorcio Mota Engil”.</w:t>
      </w:r>
    </w:p>
    <w:p w14:paraId="006AA2EE" w14:textId="77777777" w:rsidR="003C54E9" w:rsidRPr="008C0D19" w:rsidRDefault="003C54E9" w:rsidP="008C0D19">
      <w:pPr>
        <w:spacing w:line="276" w:lineRule="auto"/>
        <w:jc w:val="both"/>
        <w:rPr>
          <w:rFonts w:ascii="Arial" w:hAnsi="Arial" w:cs="Arial"/>
          <w:szCs w:val="24"/>
        </w:rPr>
      </w:pPr>
    </w:p>
    <w:p w14:paraId="4ADEB300" w14:textId="77777777" w:rsidR="00144D5C" w:rsidRPr="008C0D19" w:rsidRDefault="003C54E9" w:rsidP="008C0D19">
      <w:pPr>
        <w:spacing w:line="276" w:lineRule="auto"/>
        <w:jc w:val="both"/>
        <w:rPr>
          <w:rFonts w:ascii="Arial" w:hAnsi="Arial" w:cs="Arial"/>
          <w:szCs w:val="24"/>
        </w:rPr>
      </w:pPr>
      <w:r w:rsidRPr="008C0D19">
        <w:rPr>
          <w:rFonts w:ascii="Arial" w:hAnsi="Arial" w:cs="Arial"/>
          <w:szCs w:val="24"/>
        </w:rPr>
        <w:t>En los hechos de</w:t>
      </w:r>
      <w:r w:rsidR="00144D5C" w:rsidRPr="008C0D19">
        <w:rPr>
          <w:rFonts w:ascii="Arial" w:hAnsi="Arial" w:cs="Arial"/>
          <w:szCs w:val="24"/>
        </w:rPr>
        <w:t xml:space="preserve"> </w:t>
      </w:r>
      <w:r w:rsidRPr="008C0D19">
        <w:rPr>
          <w:rFonts w:ascii="Arial" w:hAnsi="Arial" w:cs="Arial"/>
          <w:szCs w:val="24"/>
        </w:rPr>
        <w:t>la demanda explicó que</w:t>
      </w:r>
      <w:r w:rsidR="00144D5C" w:rsidRPr="008C0D19">
        <w:rPr>
          <w:rFonts w:ascii="Arial" w:hAnsi="Arial" w:cs="Arial"/>
          <w:szCs w:val="24"/>
        </w:rPr>
        <w:t>:</w:t>
      </w:r>
    </w:p>
    <w:p w14:paraId="6026C041" w14:textId="77777777" w:rsidR="00144D5C" w:rsidRPr="008C0D19" w:rsidRDefault="00144D5C" w:rsidP="008C0D19">
      <w:pPr>
        <w:spacing w:line="276" w:lineRule="auto"/>
        <w:jc w:val="both"/>
        <w:rPr>
          <w:rFonts w:ascii="Arial" w:hAnsi="Arial" w:cs="Arial"/>
          <w:szCs w:val="24"/>
        </w:rPr>
      </w:pPr>
    </w:p>
    <w:p w14:paraId="53A1CC15" w14:textId="77777777" w:rsidR="00144D5C" w:rsidRPr="008C0D19" w:rsidRDefault="00144D5C" w:rsidP="008C0D19">
      <w:pPr>
        <w:spacing w:line="276" w:lineRule="auto"/>
        <w:jc w:val="both"/>
        <w:rPr>
          <w:rFonts w:ascii="Arial" w:hAnsi="Arial" w:cs="Arial"/>
          <w:szCs w:val="24"/>
        </w:rPr>
      </w:pPr>
      <w:r w:rsidRPr="008C0D19">
        <w:rPr>
          <w:rFonts w:ascii="Arial" w:hAnsi="Arial" w:cs="Arial"/>
          <w:szCs w:val="24"/>
        </w:rPr>
        <w:t>a)</w:t>
      </w:r>
      <w:r w:rsidR="003C54E9" w:rsidRPr="008C0D19">
        <w:rPr>
          <w:rFonts w:ascii="Arial" w:hAnsi="Arial" w:cs="Arial"/>
          <w:szCs w:val="24"/>
        </w:rPr>
        <w:t xml:space="preserve"> </w:t>
      </w:r>
      <w:r w:rsidRPr="008C0D19">
        <w:rPr>
          <w:rFonts w:ascii="Arial" w:hAnsi="Arial" w:cs="Arial"/>
          <w:szCs w:val="24"/>
        </w:rPr>
        <w:t xml:space="preserve">Su empleador celebró un contrato de obra con el Consorcio Mota Engil. </w:t>
      </w:r>
    </w:p>
    <w:p w14:paraId="2C05B3F9" w14:textId="77777777" w:rsidR="00144D5C" w:rsidRPr="008C0D19" w:rsidRDefault="00144D5C" w:rsidP="008C0D19">
      <w:pPr>
        <w:spacing w:line="276" w:lineRule="auto"/>
        <w:jc w:val="both"/>
        <w:rPr>
          <w:rFonts w:ascii="Arial" w:hAnsi="Arial" w:cs="Arial"/>
          <w:szCs w:val="24"/>
        </w:rPr>
      </w:pPr>
    </w:p>
    <w:p w14:paraId="62FBF1C5" w14:textId="5A625147" w:rsidR="00144D5C" w:rsidRPr="008C0D19" w:rsidRDefault="00144D5C" w:rsidP="008C0D19">
      <w:pPr>
        <w:spacing w:line="276" w:lineRule="auto"/>
        <w:jc w:val="both"/>
        <w:rPr>
          <w:rFonts w:ascii="Arial" w:hAnsi="Arial" w:cs="Arial"/>
          <w:szCs w:val="24"/>
        </w:rPr>
      </w:pPr>
      <w:r w:rsidRPr="008C0D19">
        <w:rPr>
          <w:rFonts w:ascii="Arial" w:hAnsi="Arial" w:cs="Arial"/>
          <w:szCs w:val="24"/>
        </w:rPr>
        <w:t>b) El consorcio Mota Engil, con ocasión a una cesión contractual, celebró un contrato marco de obra No. 1380-40-2016 con el Consorcio FFIE Alianza BBVA.</w:t>
      </w:r>
    </w:p>
    <w:p w14:paraId="13369E6D" w14:textId="77777777" w:rsidR="00144D5C" w:rsidRPr="008C0D19" w:rsidRDefault="00144D5C" w:rsidP="008C0D19">
      <w:pPr>
        <w:spacing w:line="276" w:lineRule="auto"/>
        <w:jc w:val="both"/>
        <w:rPr>
          <w:rFonts w:ascii="Arial" w:hAnsi="Arial" w:cs="Arial"/>
          <w:szCs w:val="24"/>
        </w:rPr>
      </w:pPr>
    </w:p>
    <w:p w14:paraId="6CE0A783" w14:textId="4E19B48E" w:rsidR="00144D5C" w:rsidRPr="008C0D19" w:rsidRDefault="00144D5C" w:rsidP="008C0D19">
      <w:pPr>
        <w:spacing w:line="276" w:lineRule="auto"/>
        <w:jc w:val="both"/>
        <w:rPr>
          <w:rFonts w:ascii="Arial" w:hAnsi="Arial" w:cs="Arial"/>
          <w:szCs w:val="24"/>
        </w:rPr>
      </w:pPr>
      <w:r w:rsidRPr="008C0D19">
        <w:rPr>
          <w:rFonts w:ascii="Arial" w:hAnsi="Arial" w:cs="Arial"/>
          <w:szCs w:val="24"/>
        </w:rPr>
        <w:t>c) El consorcio FFIE Alianza BBVA celebró una fiducia mercantil No. 1380 de 2018 con el Ministerio de Educación Nacional.</w:t>
      </w:r>
    </w:p>
    <w:p w14:paraId="4A8374D3" w14:textId="7123CFAA" w:rsidR="00144D5C" w:rsidRPr="008C0D19" w:rsidRDefault="00144D5C" w:rsidP="008C0D19">
      <w:pPr>
        <w:spacing w:line="276" w:lineRule="auto"/>
        <w:jc w:val="both"/>
        <w:rPr>
          <w:rFonts w:ascii="Arial" w:hAnsi="Arial" w:cs="Arial"/>
          <w:szCs w:val="24"/>
        </w:rPr>
      </w:pPr>
      <w:r w:rsidRPr="008C0D19">
        <w:rPr>
          <w:rFonts w:ascii="Arial" w:hAnsi="Arial" w:cs="Arial"/>
          <w:szCs w:val="24"/>
        </w:rPr>
        <w:t xml:space="preserve">d) Que el Consorcio FFIE Alianza BBVA está conformado por dos sociedades que actúan como voceras y administradoras del Patrimonio Autónomo del Fondo de Infraestructura Educativa FFIA. </w:t>
      </w:r>
    </w:p>
    <w:p w14:paraId="19416D30" w14:textId="77777777" w:rsidR="00144D5C" w:rsidRPr="008C0D19" w:rsidRDefault="00144D5C" w:rsidP="008C0D19">
      <w:pPr>
        <w:spacing w:line="276" w:lineRule="auto"/>
        <w:jc w:val="both"/>
        <w:rPr>
          <w:rFonts w:ascii="Arial" w:hAnsi="Arial" w:cs="Arial"/>
          <w:szCs w:val="24"/>
        </w:rPr>
      </w:pPr>
    </w:p>
    <w:p w14:paraId="5A782769" w14:textId="08623AAD" w:rsidR="00144D5C" w:rsidRPr="008C0D19" w:rsidRDefault="4C1AA652" w:rsidP="008C0D19">
      <w:pPr>
        <w:spacing w:line="276" w:lineRule="auto"/>
        <w:jc w:val="both"/>
        <w:rPr>
          <w:rFonts w:ascii="Arial" w:hAnsi="Arial" w:cs="Arial"/>
          <w:szCs w:val="24"/>
        </w:rPr>
      </w:pPr>
      <w:r w:rsidRPr="008C0D19">
        <w:rPr>
          <w:rFonts w:ascii="Arial" w:hAnsi="Arial" w:cs="Arial"/>
          <w:szCs w:val="24"/>
        </w:rPr>
        <w:t>e</w:t>
      </w:r>
      <w:r w:rsidR="00144D5C" w:rsidRPr="008C0D19">
        <w:rPr>
          <w:rFonts w:ascii="Arial" w:hAnsi="Arial" w:cs="Arial"/>
          <w:szCs w:val="24"/>
        </w:rPr>
        <w:t xml:space="preserve">) </w:t>
      </w:r>
      <w:r w:rsidR="0C6515DE" w:rsidRPr="008C0D19">
        <w:rPr>
          <w:rFonts w:ascii="Arial" w:hAnsi="Arial" w:cs="Arial"/>
          <w:szCs w:val="24"/>
        </w:rPr>
        <w:t>Q</w:t>
      </w:r>
      <w:r w:rsidR="00144D5C" w:rsidRPr="008C0D19">
        <w:rPr>
          <w:rFonts w:ascii="Arial" w:hAnsi="Arial" w:cs="Arial"/>
          <w:szCs w:val="24"/>
        </w:rPr>
        <w:t>ue l</w:t>
      </w:r>
      <w:r w:rsidR="37B61391" w:rsidRPr="008C0D19">
        <w:rPr>
          <w:rFonts w:ascii="Arial" w:hAnsi="Arial" w:cs="Arial"/>
          <w:szCs w:val="24"/>
        </w:rPr>
        <w:t>os</w:t>
      </w:r>
      <w:r w:rsidR="00144D5C" w:rsidRPr="008C0D19">
        <w:rPr>
          <w:rFonts w:ascii="Arial" w:hAnsi="Arial" w:cs="Arial"/>
          <w:szCs w:val="24"/>
        </w:rPr>
        <w:t xml:space="preserve"> beneficiario</w:t>
      </w:r>
      <w:r w:rsidR="247D8E92" w:rsidRPr="008C0D19">
        <w:rPr>
          <w:rFonts w:ascii="Arial" w:hAnsi="Arial" w:cs="Arial"/>
          <w:szCs w:val="24"/>
        </w:rPr>
        <w:t>s</w:t>
      </w:r>
      <w:r w:rsidR="00144D5C" w:rsidRPr="008C0D19">
        <w:rPr>
          <w:rFonts w:ascii="Arial" w:hAnsi="Arial" w:cs="Arial"/>
          <w:szCs w:val="24"/>
        </w:rPr>
        <w:t xml:space="preserve"> de la obra </w:t>
      </w:r>
      <w:r w:rsidR="75F46EE6" w:rsidRPr="008C0D19">
        <w:rPr>
          <w:rFonts w:ascii="Arial" w:hAnsi="Arial" w:cs="Arial"/>
          <w:szCs w:val="24"/>
        </w:rPr>
        <w:t xml:space="preserve">son </w:t>
      </w:r>
      <w:r w:rsidR="00144D5C" w:rsidRPr="008C0D19">
        <w:rPr>
          <w:rFonts w:ascii="Arial" w:hAnsi="Arial" w:cs="Arial"/>
          <w:szCs w:val="24"/>
        </w:rPr>
        <w:t>el Consorcio FFIE Alianza BBVA y el Consorcio Mota Engil.</w:t>
      </w:r>
    </w:p>
    <w:p w14:paraId="6D9E181D" w14:textId="77777777" w:rsidR="00144D5C" w:rsidRPr="008C0D19" w:rsidRDefault="00144D5C" w:rsidP="008C0D19">
      <w:pPr>
        <w:spacing w:line="276" w:lineRule="auto"/>
        <w:jc w:val="both"/>
        <w:rPr>
          <w:rFonts w:ascii="Arial" w:hAnsi="Arial" w:cs="Arial"/>
          <w:szCs w:val="24"/>
        </w:rPr>
      </w:pPr>
    </w:p>
    <w:p w14:paraId="6733FE5B" w14:textId="4273CC12" w:rsidR="00054EDC" w:rsidRPr="008C0D19" w:rsidRDefault="00144D5C" w:rsidP="008C0D19">
      <w:pPr>
        <w:spacing w:line="276" w:lineRule="auto"/>
        <w:jc w:val="both"/>
        <w:rPr>
          <w:rFonts w:ascii="Arial" w:hAnsi="Arial" w:cs="Arial"/>
          <w:szCs w:val="24"/>
        </w:rPr>
      </w:pPr>
      <w:r w:rsidRPr="008C0D19">
        <w:rPr>
          <w:rFonts w:ascii="Arial" w:hAnsi="Arial" w:cs="Arial"/>
          <w:szCs w:val="24"/>
        </w:rPr>
        <w:t xml:space="preserve">Finalmente, el apelante consorcio FFIE Alianza BBVA </w:t>
      </w:r>
      <w:r w:rsidR="00B949FB" w:rsidRPr="008C0D19">
        <w:rPr>
          <w:rFonts w:ascii="Arial" w:hAnsi="Arial" w:cs="Arial"/>
          <w:szCs w:val="24"/>
        </w:rPr>
        <w:t>fundó su inconformidad en que resultaba necesaria la comparecencia de</w:t>
      </w:r>
      <w:r w:rsidR="00B4652E" w:rsidRPr="008C0D19">
        <w:rPr>
          <w:rFonts w:ascii="Arial" w:hAnsi="Arial" w:cs="Arial"/>
          <w:szCs w:val="24"/>
        </w:rPr>
        <w:t xml:space="preserve">l Ministerio de Educación Nacional y el Patrimonio Autónomo del FFIE pues el primero es el beneficiario de la obra que se construye con los recursos del patrimonio autónomo. </w:t>
      </w:r>
    </w:p>
    <w:p w14:paraId="2D411E53" w14:textId="77777777" w:rsidR="00B4652E" w:rsidRPr="008C0D19" w:rsidRDefault="00B4652E" w:rsidP="008C0D19">
      <w:pPr>
        <w:pStyle w:val="Textoindependiente2"/>
        <w:spacing w:line="276" w:lineRule="auto"/>
        <w:rPr>
          <w:rFonts w:ascii="Arial" w:hAnsi="Arial" w:cs="Arial"/>
          <w:sz w:val="24"/>
          <w:szCs w:val="24"/>
        </w:rPr>
      </w:pPr>
    </w:p>
    <w:p w14:paraId="028DA8B5" w14:textId="77777777" w:rsidR="00144D5C" w:rsidRPr="008C0D19" w:rsidRDefault="00144D5C" w:rsidP="008C0D19">
      <w:pPr>
        <w:pStyle w:val="Textoindependiente2"/>
        <w:spacing w:line="276" w:lineRule="auto"/>
        <w:rPr>
          <w:rFonts w:ascii="Arial" w:hAnsi="Arial" w:cs="Arial"/>
          <w:sz w:val="24"/>
          <w:szCs w:val="24"/>
        </w:rPr>
      </w:pPr>
      <w:r w:rsidRPr="008C0D19">
        <w:rPr>
          <w:rFonts w:ascii="Arial" w:hAnsi="Arial" w:cs="Arial"/>
          <w:sz w:val="24"/>
          <w:szCs w:val="24"/>
        </w:rPr>
        <w:t>Conforme a lo anterior se confirmará el auto apelado por las siguientes razones:</w:t>
      </w:r>
    </w:p>
    <w:p w14:paraId="4EF265B0" w14:textId="77777777" w:rsidR="00144D5C" w:rsidRPr="008C0D19" w:rsidRDefault="00144D5C" w:rsidP="008C0D19">
      <w:pPr>
        <w:pStyle w:val="Textoindependiente2"/>
        <w:spacing w:line="276" w:lineRule="auto"/>
        <w:rPr>
          <w:rFonts w:ascii="Arial" w:hAnsi="Arial" w:cs="Arial"/>
          <w:sz w:val="24"/>
          <w:szCs w:val="24"/>
        </w:rPr>
      </w:pPr>
    </w:p>
    <w:p w14:paraId="3134384F" w14:textId="1DB8115B" w:rsidR="00B4652E" w:rsidRPr="008C0D19" w:rsidRDefault="00144D5C" w:rsidP="008C0D19">
      <w:pPr>
        <w:pStyle w:val="Textoindependiente2"/>
        <w:spacing w:line="276" w:lineRule="auto"/>
        <w:rPr>
          <w:rFonts w:ascii="Arial" w:hAnsi="Arial" w:cs="Arial"/>
          <w:sz w:val="24"/>
          <w:szCs w:val="24"/>
        </w:rPr>
      </w:pPr>
      <w:r w:rsidRPr="008C0D19">
        <w:rPr>
          <w:rFonts w:ascii="Arial" w:hAnsi="Arial" w:cs="Arial"/>
          <w:sz w:val="24"/>
          <w:szCs w:val="24"/>
        </w:rPr>
        <w:t>Como se explicó en los fundamentos normativos de esta decisión en los eventos en los que se pretende la declaración de un contrato de trabajo y de un obligado solidario al tenor del artículo 34 del C.S.T. la integración a la litis depende del demandante, pues no existe un litisconsorcio necesario entre el empleador y el solidario.</w:t>
      </w:r>
    </w:p>
    <w:p w14:paraId="62ACDF13" w14:textId="77777777" w:rsidR="00144D5C" w:rsidRPr="008C0D19" w:rsidRDefault="00144D5C" w:rsidP="008C0D19">
      <w:pPr>
        <w:pStyle w:val="Textoindependiente2"/>
        <w:spacing w:line="276" w:lineRule="auto"/>
        <w:rPr>
          <w:rFonts w:ascii="Arial" w:hAnsi="Arial" w:cs="Arial"/>
          <w:sz w:val="24"/>
          <w:szCs w:val="24"/>
        </w:rPr>
      </w:pPr>
    </w:p>
    <w:p w14:paraId="43DCFB33" w14:textId="751F3AA1" w:rsidR="00144D5C" w:rsidRPr="008C0D19" w:rsidRDefault="00144D5C" w:rsidP="008C0D19">
      <w:pPr>
        <w:pStyle w:val="Textoindependiente2"/>
        <w:spacing w:line="276" w:lineRule="auto"/>
        <w:rPr>
          <w:rFonts w:ascii="Arial" w:hAnsi="Arial" w:cs="Arial"/>
          <w:sz w:val="24"/>
          <w:szCs w:val="24"/>
        </w:rPr>
      </w:pPr>
      <w:r w:rsidRPr="008C0D19">
        <w:rPr>
          <w:rFonts w:ascii="Arial" w:hAnsi="Arial" w:cs="Arial"/>
          <w:sz w:val="24"/>
          <w:szCs w:val="24"/>
        </w:rPr>
        <w:t xml:space="preserve">Ahora bien, en tanto que el trabajador puede demandar conjuntamente al contratista – empleador – y al beneficiario de la obra como deudor solidario, </w:t>
      </w:r>
      <w:r w:rsidR="006D6C64" w:rsidRPr="008C0D19">
        <w:rPr>
          <w:rFonts w:ascii="Arial" w:hAnsi="Arial" w:cs="Arial"/>
          <w:sz w:val="24"/>
          <w:szCs w:val="24"/>
        </w:rPr>
        <w:t>la mención de este último como sujeto contradictor del derecho se encuentra en cabeza del demandante, pues es este quien señala al sujeto pasivo de la contienda.</w:t>
      </w:r>
    </w:p>
    <w:p w14:paraId="406A8820" w14:textId="77777777" w:rsidR="006D6C64" w:rsidRPr="008C0D19" w:rsidRDefault="006D6C64" w:rsidP="008C0D19">
      <w:pPr>
        <w:pStyle w:val="Textoindependiente2"/>
        <w:spacing w:line="276" w:lineRule="auto"/>
        <w:rPr>
          <w:rFonts w:ascii="Arial" w:hAnsi="Arial" w:cs="Arial"/>
          <w:sz w:val="24"/>
          <w:szCs w:val="24"/>
        </w:rPr>
      </w:pPr>
    </w:p>
    <w:p w14:paraId="3F38153E" w14:textId="2CB26381" w:rsidR="006D6C64" w:rsidRPr="008C0D19" w:rsidRDefault="006D6C64" w:rsidP="008C0D19">
      <w:pPr>
        <w:pStyle w:val="Textoindependiente2"/>
        <w:spacing w:line="276" w:lineRule="auto"/>
        <w:rPr>
          <w:rFonts w:ascii="Arial" w:hAnsi="Arial" w:cs="Arial"/>
          <w:sz w:val="24"/>
          <w:szCs w:val="24"/>
        </w:rPr>
      </w:pPr>
      <w:r w:rsidRPr="008C0D19">
        <w:rPr>
          <w:rFonts w:ascii="Arial" w:hAnsi="Arial" w:cs="Arial"/>
          <w:sz w:val="24"/>
          <w:szCs w:val="24"/>
        </w:rPr>
        <w:t>Entonces, en tanto que el demandante señaló como sujeto pasivo de la contienda en calidad de deudor solidario al Consorcio FFIE Alianza BBVA, entonces a dicha unión debía atenerse el auto admisorio de la demanda, sin que resulte necesario vincular a los sujetos que lo conforman</w:t>
      </w:r>
      <w:r w:rsidR="4F538F0E" w:rsidRPr="008C0D19">
        <w:rPr>
          <w:rFonts w:ascii="Arial" w:hAnsi="Arial" w:cs="Arial"/>
          <w:sz w:val="24"/>
          <w:szCs w:val="24"/>
        </w:rPr>
        <w:t xml:space="preserve"> </w:t>
      </w:r>
      <w:r w:rsidRPr="008C0D19">
        <w:rPr>
          <w:rFonts w:ascii="Arial" w:hAnsi="Arial" w:cs="Arial"/>
          <w:sz w:val="24"/>
          <w:szCs w:val="24"/>
        </w:rPr>
        <w:t xml:space="preserve"> pues al tenor del artículo 54 del C.G.P. los patrimonios autónomos comparecen al proceso por medio de sus representantes</w:t>
      </w:r>
      <w:r w:rsidR="64FC828F" w:rsidRPr="008C0D19">
        <w:rPr>
          <w:rFonts w:ascii="Arial" w:hAnsi="Arial" w:cs="Arial"/>
          <w:sz w:val="24"/>
          <w:szCs w:val="24"/>
        </w:rPr>
        <w:t>, y</w:t>
      </w:r>
      <w:r w:rsidRPr="008C0D19">
        <w:rPr>
          <w:rFonts w:ascii="Arial" w:hAnsi="Arial" w:cs="Arial"/>
          <w:sz w:val="24"/>
          <w:szCs w:val="24"/>
        </w:rPr>
        <w:t xml:space="preserve"> si el patrimonio autónomo está constituido a través de sociedades fiduciarias, entonces comparecerá al </w:t>
      </w:r>
      <w:r w:rsidRPr="008C0D19">
        <w:rPr>
          <w:rFonts w:ascii="Arial" w:hAnsi="Arial" w:cs="Arial"/>
          <w:sz w:val="24"/>
          <w:szCs w:val="24"/>
        </w:rPr>
        <w:lastRenderedPageBreak/>
        <w:t xml:space="preserve">proceso a través del representante legal o apoderado de la respectiva sociedad fiduciaria, que actuará como su vocera. </w:t>
      </w:r>
    </w:p>
    <w:p w14:paraId="25ECE516" w14:textId="77777777" w:rsidR="006D6C64" w:rsidRPr="008C0D19" w:rsidRDefault="006D6C64" w:rsidP="008C0D19">
      <w:pPr>
        <w:pStyle w:val="Textoindependiente2"/>
        <w:spacing w:line="276" w:lineRule="auto"/>
        <w:rPr>
          <w:rFonts w:ascii="Arial" w:hAnsi="Arial" w:cs="Arial"/>
          <w:sz w:val="24"/>
          <w:szCs w:val="24"/>
        </w:rPr>
      </w:pPr>
    </w:p>
    <w:p w14:paraId="5AF26E0F" w14:textId="7320D4C1" w:rsidR="006D6C64" w:rsidRPr="008C0D19" w:rsidRDefault="001D0F90" w:rsidP="008C0D19">
      <w:pPr>
        <w:pStyle w:val="Textoindependiente2"/>
        <w:spacing w:line="276" w:lineRule="auto"/>
        <w:rPr>
          <w:rFonts w:ascii="Arial" w:hAnsi="Arial" w:cs="Arial"/>
          <w:sz w:val="24"/>
          <w:szCs w:val="24"/>
        </w:rPr>
      </w:pPr>
      <w:r w:rsidRPr="008C0D19">
        <w:rPr>
          <w:rFonts w:ascii="Arial" w:hAnsi="Arial" w:cs="Arial"/>
          <w:sz w:val="24"/>
          <w:szCs w:val="24"/>
        </w:rPr>
        <w:t>E</w:t>
      </w:r>
      <w:r w:rsidR="006D6C64" w:rsidRPr="008C0D19">
        <w:rPr>
          <w:rFonts w:ascii="Arial" w:hAnsi="Arial" w:cs="Arial"/>
          <w:sz w:val="24"/>
          <w:szCs w:val="24"/>
        </w:rPr>
        <w:t>n el evento de ahora el Consorcio FFIE Alianza BBVA</w:t>
      </w:r>
      <w:r w:rsidRPr="008C0D19">
        <w:rPr>
          <w:rFonts w:ascii="Arial" w:hAnsi="Arial" w:cs="Arial"/>
          <w:sz w:val="24"/>
          <w:szCs w:val="24"/>
        </w:rPr>
        <w:t xml:space="preserve"> se creó con el único objetivo de constituir </w:t>
      </w:r>
      <w:r w:rsidR="006D6C64" w:rsidRPr="008C0D19">
        <w:rPr>
          <w:rFonts w:ascii="Arial" w:hAnsi="Arial" w:cs="Arial"/>
          <w:sz w:val="24"/>
          <w:szCs w:val="24"/>
        </w:rPr>
        <w:t>un patrimonio autónomo con los recursos que le transfiere el Ministerio de Educación nacional y</w:t>
      </w:r>
      <w:r w:rsidRPr="008C0D19">
        <w:rPr>
          <w:rFonts w:ascii="Arial" w:hAnsi="Arial" w:cs="Arial"/>
          <w:sz w:val="24"/>
          <w:szCs w:val="24"/>
        </w:rPr>
        <w:t>, a su vez,</w:t>
      </w:r>
      <w:r w:rsidR="006D6C64" w:rsidRPr="008C0D19">
        <w:rPr>
          <w:rFonts w:ascii="Arial" w:hAnsi="Arial" w:cs="Arial"/>
          <w:sz w:val="24"/>
          <w:szCs w:val="24"/>
        </w:rPr>
        <w:t xml:space="preserve"> administra</w:t>
      </w:r>
      <w:r w:rsidRPr="008C0D19">
        <w:rPr>
          <w:rFonts w:ascii="Arial" w:hAnsi="Arial" w:cs="Arial"/>
          <w:sz w:val="24"/>
          <w:szCs w:val="24"/>
        </w:rPr>
        <w:t>r</w:t>
      </w:r>
      <w:r w:rsidR="006D6C64" w:rsidRPr="008C0D19">
        <w:rPr>
          <w:rFonts w:ascii="Arial" w:hAnsi="Arial" w:cs="Arial"/>
          <w:sz w:val="24"/>
          <w:szCs w:val="24"/>
        </w:rPr>
        <w:t xml:space="preserve"> dichos recursos – Contrato No. 1380 de 2015 – (fl. 35, archivo 08, exp. Digital)</w:t>
      </w:r>
      <w:r w:rsidRPr="008C0D19">
        <w:rPr>
          <w:rFonts w:ascii="Arial" w:hAnsi="Arial" w:cs="Arial"/>
          <w:sz w:val="24"/>
          <w:szCs w:val="24"/>
        </w:rPr>
        <w:t>.</w:t>
      </w:r>
    </w:p>
    <w:p w14:paraId="0002210A" w14:textId="77777777" w:rsidR="001D0F90" w:rsidRPr="008C0D19" w:rsidRDefault="001D0F90" w:rsidP="008C0D19">
      <w:pPr>
        <w:pStyle w:val="Textoindependiente2"/>
        <w:spacing w:line="276" w:lineRule="auto"/>
        <w:rPr>
          <w:rFonts w:ascii="Arial" w:hAnsi="Arial" w:cs="Arial"/>
          <w:sz w:val="24"/>
          <w:szCs w:val="24"/>
        </w:rPr>
      </w:pPr>
    </w:p>
    <w:p w14:paraId="7F36C497" w14:textId="3006A23E" w:rsidR="001D0F90" w:rsidRPr="008C0D19" w:rsidRDefault="001D0F90" w:rsidP="008C0D19">
      <w:pPr>
        <w:pStyle w:val="Textoindependiente2"/>
        <w:spacing w:line="276" w:lineRule="auto"/>
        <w:rPr>
          <w:rFonts w:ascii="Arial" w:hAnsi="Arial" w:cs="Arial"/>
          <w:sz w:val="24"/>
          <w:szCs w:val="24"/>
        </w:rPr>
      </w:pPr>
      <w:r w:rsidRPr="008C0D19">
        <w:rPr>
          <w:rFonts w:ascii="Arial" w:hAnsi="Arial" w:cs="Arial"/>
          <w:sz w:val="24"/>
          <w:szCs w:val="24"/>
        </w:rPr>
        <w:t xml:space="preserve">De ahí que el sujeto pasivo a quien se atribuye la calidad de obligado solidario es el Consorcio FFIE Alianza BBVA, que al tenor de la jurisprudencia citada, sí tiene capacidad para ser parte y comparecer al proceso, pero en este evento lo hace bajo la única calidad para la que fue creado esto es, como administrador del PAR FFIA que constituyó el Ministerio de Educación Nacional, de ahí que resulta suficiente la presencia del Consorcio como agente y representante de las personas jurídicas que el apelante echa de menos. </w:t>
      </w:r>
    </w:p>
    <w:p w14:paraId="7CAF0806" w14:textId="77777777" w:rsidR="006D6C64" w:rsidRPr="008C0D19" w:rsidRDefault="006D6C64" w:rsidP="008C0D19">
      <w:pPr>
        <w:pStyle w:val="Textoindependiente2"/>
        <w:spacing w:line="276" w:lineRule="auto"/>
        <w:rPr>
          <w:rFonts w:ascii="Arial" w:hAnsi="Arial" w:cs="Arial"/>
          <w:sz w:val="24"/>
          <w:szCs w:val="24"/>
        </w:rPr>
      </w:pPr>
    </w:p>
    <w:p w14:paraId="7E925B90" w14:textId="71CCB60A" w:rsidR="006D6C64" w:rsidRPr="008C0D19" w:rsidRDefault="006D6C64" w:rsidP="008C0D19">
      <w:pPr>
        <w:pStyle w:val="Textoindependiente2"/>
        <w:spacing w:line="276" w:lineRule="auto"/>
        <w:rPr>
          <w:rFonts w:ascii="Arial" w:hAnsi="Arial" w:cs="Arial"/>
          <w:sz w:val="24"/>
          <w:szCs w:val="24"/>
        </w:rPr>
      </w:pPr>
      <w:r w:rsidRPr="008C0D19">
        <w:rPr>
          <w:rFonts w:ascii="Arial" w:hAnsi="Arial" w:cs="Arial"/>
          <w:sz w:val="24"/>
          <w:szCs w:val="24"/>
        </w:rPr>
        <w:t xml:space="preserve">Y es que incluso </w:t>
      </w:r>
      <w:r w:rsidR="001D0F90" w:rsidRPr="008C0D19">
        <w:rPr>
          <w:rFonts w:ascii="Arial" w:hAnsi="Arial" w:cs="Arial"/>
          <w:sz w:val="24"/>
          <w:szCs w:val="24"/>
        </w:rPr>
        <w:t>el mismo recurrente</w:t>
      </w:r>
      <w:r w:rsidRPr="008C0D19">
        <w:rPr>
          <w:rFonts w:ascii="Arial" w:hAnsi="Arial" w:cs="Arial"/>
          <w:sz w:val="24"/>
          <w:szCs w:val="24"/>
        </w:rPr>
        <w:t xml:space="preserve"> en los fundamentos de su excepción previa adujo que “</w:t>
      </w:r>
      <w:r w:rsidRPr="000C4560">
        <w:rPr>
          <w:rFonts w:ascii="Arial" w:hAnsi="Arial" w:cs="Arial"/>
          <w:sz w:val="22"/>
          <w:szCs w:val="24"/>
        </w:rPr>
        <w:t>El consorcio FFIE Alianza BBVA actúa única y exclusivamente como vocero del Patrimonio Autónomo del FFIE constituido por el Ministerio de Educación Nacional,</w:t>
      </w:r>
      <w:r w:rsidR="001D0F90" w:rsidRPr="000C4560">
        <w:rPr>
          <w:rFonts w:ascii="Arial" w:hAnsi="Arial" w:cs="Arial"/>
          <w:sz w:val="22"/>
          <w:szCs w:val="24"/>
        </w:rPr>
        <w:t xml:space="preserve"> esto es,</w:t>
      </w:r>
      <w:r w:rsidRPr="000C4560">
        <w:rPr>
          <w:rFonts w:ascii="Arial" w:hAnsi="Arial" w:cs="Arial"/>
          <w:sz w:val="22"/>
          <w:szCs w:val="24"/>
        </w:rPr>
        <w:t xml:space="preserve"> aquel es el representante legal de este patrimonio autónomo</w:t>
      </w:r>
      <w:r w:rsidRPr="008C0D19">
        <w:rPr>
          <w:rFonts w:ascii="Arial" w:hAnsi="Arial" w:cs="Arial"/>
          <w:sz w:val="24"/>
          <w:szCs w:val="24"/>
        </w:rPr>
        <w:t>”</w:t>
      </w:r>
      <w:r w:rsidR="001D0F90" w:rsidRPr="008C0D19">
        <w:rPr>
          <w:rFonts w:ascii="Arial" w:hAnsi="Arial" w:cs="Arial"/>
          <w:sz w:val="24"/>
          <w:szCs w:val="24"/>
        </w:rPr>
        <w:t xml:space="preserve"> (fl. 35, archivo 08, exp. Digital)</w:t>
      </w:r>
      <w:r w:rsidRPr="008C0D19">
        <w:rPr>
          <w:rFonts w:ascii="Arial" w:hAnsi="Arial" w:cs="Arial"/>
          <w:sz w:val="24"/>
          <w:szCs w:val="24"/>
        </w:rPr>
        <w:t>, y por ende su representación la ostenta el citado Consorcio FFIE Alianza BBVA, sujeto señalado por el demandado como obligado solidario al tenor del art. 34 del C.S.T.</w:t>
      </w:r>
      <w:r w:rsidR="001D0F90" w:rsidRPr="008C0D19">
        <w:rPr>
          <w:rFonts w:ascii="Arial" w:hAnsi="Arial" w:cs="Arial"/>
          <w:sz w:val="24"/>
          <w:szCs w:val="24"/>
        </w:rPr>
        <w:t xml:space="preserve">, no por actuar en nombre propio, sino </w:t>
      </w:r>
      <w:r w:rsidRPr="008C0D19">
        <w:rPr>
          <w:rFonts w:ascii="Arial" w:hAnsi="Arial" w:cs="Arial"/>
          <w:sz w:val="24"/>
          <w:szCs w:val="24"/>
        </w:rPr>
        <w:t xml:space="preserve">por ser el precisamente </w:t>
      </w:r>
      <w:r w:rsidR="001D0F90" w:rsidRPr="008C0D19">
        <w:rPr>
          <w:rFonts w:ascii="Arial" w:hAnsi="Arial" w:cs="Arial"/>
          <w:sz w:val="24"/>
          <w:szCs w:val="24"/>
        </w:rPr>
        <w:t>el vocero y</w:t>
      </w:r>
      <w:r w:rsidRPr="008C0D19">
        <w:rPr>
          <w:rFonts w:ascii="Arial" w:hAnsi="Arial" w:cs="Arial"/>
          <w:sz w:val="24"/>
          <w:szCs w:val="24"/>
        </w:rPr>
        <w:t xml:space="preserve"> administrador del PAR FFIA</w:t>
      </w:r>
      <w:r w:rsidR="001D0F90" w:rsidRPr="008C0D19">
        <w:rPr>
          <w:rFonts w:ascii="Arial" w:hAnsi="Arial" w:cs="Arial"/>
          <w:sz w:val="24"/>
          <w:szCs w:val="24"/>
        </w:rPr>
        <w:t>, que además, al tenor de los artículos 1233 y 1234 del Código de Comercio, la fiduciaria es la vocera y administradora del Patrimonio Autónomo para lograr el fin del fideicomiso, que en este evento fue constituido por el Ministerio de Educación Nacional como Fideicomitente (fl. 29, archivo 08, exp. Digital).</w:t>
      </w:r>
    </w:p>
    <w:p w14:paraId="72AE964F" w14:textId="77777777" w:rsidR="001D0F90" w:rsidRPr="008C0D19" w:rsidRDefault="001D0F90" w:rsidP="008C0D19">
      <w:pPr>
        <w:pStyle w:val="Textoindependiente2"/>
        <w:spacing w:line="276" w:lineRule="auto"/>
        <w:rPr>
          <w:rFonts w:ascii="Arial" w:hAnsi="Arial" w:cs="Arial"/>
          <w:sz w:val="24"/>
          <w:szCs w:val="24"/>
        </w:rPr>
      </w:pPr>
    </w:p>
    <w:p w14:paraId="7DA289E3" w14:textId="21D3D002" w:rsidR="001D0F90" w:rsidRPr="008C0D19" w:rsidRDefault="002456A2" w:rsidP="008C0D19">
      <w:pPr>
        <w:pStyle w:val="Textoindependiente2"/>
        <w:spacing w:line="276" w:lineRule="auto"/>
        <w:rPr>
          <w:rFonts w:ascii="Arial" w:hAnsi="Arial" w:cs="Arial"/>
          <w:sz w:val="24"/>
          <w:szCs w:val="24"/>
        </w:rPr>
      </w:pPr>
      <w:r w:rsidRPr="008C0D19">
        <w:rPr>
          <w:rFonts w:ascii="Arial" w:hAnsi="Arial" w:cs="Arial"/>
          <w:sz w:val="24"/>
          <w:szCs w:val="24"/>
        </w:rPr>
        <w:t>R</w:t>
      </w:r>
      <w:r w:rsidR="001D0F90" w:rsidRPr="008C0D19">
        <w:rPr>
          <w:rFonts w:ascii="Arial" w:hAnsi="Arial" w:cs="Arial"/>
          <w:sz w:val="24"/>
          <w:szCs w:val="24"/>
        </w:rPr>
        <w:t>ememórese que la fiducia mercantil tiene como propósito que un fideicomitente transfiera bienes a un fiduciario para que este los administre con una finalidad determinada por el fideicomitente en provecho de este o de un tercero beneficiario – art. 1226 del Código de Comercio -.</w:t>
      </w:r>
    </w:p>
    <w:p w14:paraId="5CE266CC" w14:textId="77777777" w:rsidR="001D0F90" w:rsidRPr="008C0D19" w:rsidRDefault="001D0F90" w:rsidP="008C0D19">
      <w:pPr>
        <w:pStyle w:val="Textoindependiente2"/>
        <w:spacing w:line="276" w:lineRule="auto"/>
        <w:rPr>
          <w:rFonts w:ascii="Arial" w:hAnsi="Arial" w:cs="Arial"/>
          <w:sz w:val="24"/>
          <w:szCs w:val="24"/>
        </w:rPr>
      </w:pPr>
    </w:p>
    <w:p w14:paraId="0939BDDF" w14:textId="4C093295" w:rsidR="001D0F90" w:rsidRPr="008C0D19" w:rsidRDefault="001D0F90" w:rsidP="008C0D19">
      <w:pPr>
        <w:pStyle w:val="Textoindependiente2"/>
        <w:spacing w:line="276" w:lineRule="auto"/>
        <w:rPr>
          <w:rFonts w:ascii="Arial" w:hAnsi="Arial" w:cs="Arial"/>
          <w:sz w:val="24"/>
          <w:szCs w:val="24"/>
        </w:rPr>
      </w:pPr>
      <w:r w:rsidRPr="008C0D19">
        <w:rPr>
          <w:rFonts w:ascii="Arial" w:hAnsi="Arial" w:cs="Arial"/>
          <w:sz w:val="24"/>
          <w:szCs w:val="24"/>
        </w:rPr>
        <w:t>Y en evento de ahora</w:t>
      </w:r>
      <w:r w:rsidR="00735021" w:rsidRPr="008C0D19">
        <w:rPr>
          <w:rFonts w:ascii="Arial" w:hAnsi="Arial" w:cs="Arial"/>
          <w:sz w:val="24"/>
          <w:szCs w:val="24"/>
        </w:rPr>
        <w:t>, se itera que,</w:t>
      </w:r>
      <w:r w:rsidRPr="008C0D19">
        <w:rPr>
          <w:rFonts w:ascii="Arial" w:hAnsi="Arial" w:cs="Arial"/>
          <w:sz w:val="24"/>
          <w:szCs w:val="24"/>
        </w:rPr>
        <w:t xml:space="preserve"> el Ministerio de Educación Nacional como fideicomitente contrató al Consorcio FFIE Alianza BBVA – fiduciaria – para que administrara y pagar las obligaciones del plan de infraestructura educativa, a través de</w:t>
      </w:r>
      <w:r w:rsidR="00735021" w:rsidRPr="008C0D19">
        <w:rPr>
          <w:rFonts w:ascii="Arial" w:hAnsi="Arial" w:cs="Arial"/>
          <w:sz w:val="24"/>
          <w:szCs w:val="24"/>
        </w:rPr>
        <w:t xml:space="preserve"> un patrimonio autónomo – Contrato No. 1380 de 2015 -, de ahí que resultaba más que suficiente la presencia del fiduciario Consorcio FFIE Alianza BBVA como administrador del PAR FFIE como sujeto contradictor de la pretensión de solidaridad como </w:t>
      </w:r>
      <w:r w:rsidR="592C2C13" w:rsidRPr="008C0D19">
        <w:rPr>
          <w:rFonts w:ascii="Arial" w:hAnsi="Arial" w:cs="Arial"/>
          <w:sz w:val="24"/>
          <w:szCs w:val="24"/>
        </w:rPr>
        <w:t xml:space="preserve">presunto </w:t>
      </w:r>
      <w:r w:rsidR="00735021" w:rsidRPr="008C0D19">
        <w:rPr>
          <w:rFonts w:ascii="Arial" w:hAnsi="Arial" w:cs="Arial"/>
          <w:sz w:val="24"/>
          <w:szCs w:val="24"/>
        </w:rPr>
        <w:t>beneficiario de la obra en la que prestó sus servicios el demandante por orden de un presunto empleador denominado Simetría Constructora y Soluciones Mobiliarias S.A.S.</w:t>
      </w:r>
    </w:p>
    <w:p w14:paraId="307A9D79" w14:textId="77777777" w:rsidR="0019631B" w:rsidRPr="008C0D19" w:rsidRDefault="0019631B" w:rsidP="008C0D19">
      <w:pPr>
        <w:pStyle w:val="Textoindependiente2"/>
        <w:spacing w:line="276" w:lineRule="auto"/>
        <w:rPr>
          <w:rFonts w:ascii="Arial" w:hAnsi="Arial" w:cs="Arial"/>
          <w:sz w:val="24"/>
          <w:szCs w:val="24"/>
        </w:rPr>
      </w:pPr>
    </w:p>
    <w:p w14:paraId="3480A01A" w14:textId="18F4CD23" w:rsidR="001D0F90" w:rsidRPr="008C0D19" w:rsidRDefault="002456A2" w:rsidP="008C0D19">
      <w:pPr>
        <w:pStyle w:val="Textoindependiente2"/>
        <w:spacing w:line="276" w:lineRule="auto"/>
        <w:rPr>
          <w:rFonts w:ascii="Arial" w:hAnsi="Arial" w:cs="Arial"/>
          <w:sz w:val="24"/>
          <w:szCs w:val="24"/>
        </w:rPr>
      </w:pPr>
      <w:r w:rsidRPr="008C0D19">
        <w:rPr>
          <w:rFonts w:ascii="Arial" w:hAnsi="Arial" w:cs="Arial"/>
          <w:sz w:val="24"/>
          <w:szCs w:val="24"/>
        </w:rPr>
        <w:t>Del</w:t>
      </w:r>
      <w:r w:rsidR="0019631B" w:rsidRPr="008C0D19">
        <w:rPr>
          <w:rFonts w:ascii="Arial" w:hAnsi="Arial" w:cs="Arial"/>
          <w:sz w:val="24"/>
          <w:szCs w:val="24"/>
        </w:rPr>
        <w:t xml:space="preserve"> caso en estudio se desprende que la parte pasiva se encuentra debidamente integrada por quienes el demandante señaló como sujetos pasivos de la contienda, entre ellos el Consorcio FFIE Alianza Fiduciaria, que ostenta la representación legal del patrimonio autónomo que se constituyó entre el citado consorcio y el Ministerio de Educación Nacional, y por ello no resulta necesario vincular al citado patrimonio ni a la catera ministerial, pues ya se encuentran representados en el plenario a través del citado consorcio y el litigio bien puede definirse de fondo con la presencia de este último, </w:t>
      </w:r>
      <w:r w:rsidR="0019631B" w:rsidRPr="008C0D19">
        <w:rPr>
          <w:rFonts w:ascii="Arial" w:hAnsi="Arial" w:cs="Arial"/>
          <w:sz w:val="24"/>
          <w:szCs w:val="24"/>
        </w:rPr>
        <w:lastRenderedPageBreak/>
        <w:t xml:space="preserve">que se insiste, al tenor del artículo 54 del C.G.P., comparece al proceso a través de su vocera, esto es, de la sociedad fiduciaria constituida, en este caso, el Consorcio FFIE Alianza Fiduciaria.  </w:t>
      </w:r>
    </w:p>
    <w:p w14:paraId="6CF742BB" w14:textId="77777777" w:rsidR="006D6C64" w:rsidRPr="008C0D19" w:rsidRDefault="006D6C64" w:rsidP="008C0D19">
      <w:pPr>
        <w:pStyle w:val="Textoindependiente2"/>
        <w:spacing w:line="276" w:lineRule="auto"/>
        <w:rPr>
          <w:rFonts w:ascii="Arial" w:hAnsi="Arial" w:cs="Arial"/>
          <w:sz w:val="24"/>
          <w:szCs w:val="24"/>
        </w:rPr>
      </w:pPr>
    </w:p>
    <w:p w14:paraId="07BB8296" w14:textId="3C489DCF" w:rsidR="00BC2013" w:rsidRPr="008C0D19" w:rsidRDefault="00BC2013" w:rsidP="008C0D19">
      <w:pPr>
        <w:pStyle w:val="Textoindependiente2"/>
        <w:spacing w:line="276" w:lineRule="auto"/>
        <w:rPr>
          <w:rFonts w:ascii="Arial" w:hAnsi="Arial" w:cs="Arial"/>
          <w:sz w:val="24"/>
          <w:szCs w:val="24"/>
        </w:rPr>
      </w:pPr>
      <w:r w:rsidRPr="008C0D19">
        <w:rPr>
          <w:rFonts w:ascii="Arial" w:hAnsi="Arial" w:cs="Arial"/>
          <w:sz w:val="24"/>
          <w:szCs w:val="24"/>
        </w:rPr>
        <w:t xml:space="preserve">Así las </w:t>
      </w:r>
      <w:r w:rsidR="4D51FA17" w:rsidRPr="008C0D19">
        <w:rPr>
          <w:rFonts w:ascii="Arial" w:hAnsi="Arial" w:cs="Arial"/>
          <w:sz w:val="24"/>
          <w:szCs w:val="24"/>
        </w:rPr>
        <w:t>cosas,</w:t>
      </w:r>
      <w:r w:rsidRPr="008C0D19">
        <w:rPr>
          <w:rFonts w:ascii="Arial" w:hAnsi="Arial" w:cs="Arial"/>
          <w:sz w:val="24"/>
          <w:szCs w:val="24"/>
        </w:rPr>
        <w:t xml:space="preserve"> tuvo razón la </w:t>
      </w:r>
      <w:r w:rsidRPr="008C0D19">
        <w:rPr>
          <w:rFonts w:ascii="Arial" w:hAnsi="Arial" w:cs="Arial"/>
          <w:i/>
          <w:iCs/>
          <w:sz w:val="24"/>
          <w:szCs w:val="24"/>
        </w:rPr>
        <w:t>a quo</w:t>
      </w:r>
      <w:r w:rsidRPr="008C0D19">
        <w:rPr>
          <w:rFonts w:ascii="Arial" w:hAnsi="Arial" w:cs="Arial"/>
          <w:sz w:val="24"/>
          <w:szCs w:val="24"/>
        </w:rPr>
        <w:t xml:space="preserve"> para no declarar la </w:t>
      </w:r>
      <w:r w:rsidR="00376D14" w:rsidRPr="008C0D19">
        <w:rPr>
          <w:rFonts w:ascii="Arial" w:hAnsi="Arial" w:cs="Arial"/>
          <w:sz w:val="24"/>
          <w:szCs w:val="24"/>
        </w:rPr>
        <w:t>excepción previa</w:t>
      </w:r>
      <w:r w:rsidRPr="008C0D19">
        <w:rPr>
          <w:rFonts w:ascii="Arial" w:hAnsi="Arial" w:cs="Arial"/>
          <w:sz w:val="24"/>
          <w:szCs w:val="24"/>
        </w:rPr>
        <w:t xml:space="preserve">, por lo que se confirmará </w:t>
      </w:r>
      <w:r w:rsidR="00054EDC" w:rsidRPr="008C0D19">
        <w:rPr>
          <w:rFonts w:ascii="Arial" w:hAnsi="Arial" w:cs="Arial"/>
          <w:sz w:val="24"/>
          <w:szCs w:val="24"/>
        </w:rPr>
        <w:t>la</w:t>
      </w:r>
      <w:r w:rsidRPr="008C0D19">
        <w:rPr>
          <w:rFonts w:ascii="Arial" w:hAnsi="Arial" w:cs="Arial"/>
          <w:sz w:val="24"/>
          <w:szCs w:val="24"/>
        </w:rPr>
        <w:t xml:space="preserve"> decisión</w:t>
      </w:r>
      <w:r w:rsidR="00376D14" w:rsidRPr="008C0D19">
        <w:rPr>
          <w:rFonts w:ascii="Arial" w:hAnsi="Arial" w:cs="Arial"/>
          <w:sz w:val="24"/>
          <w:szCs w:val="24"/>
        </w:rPr>
        <w:t xml:space="preserve"> de primer grado; y por ello, </w:t>
      </w:r>
      <w:r w:rsidR="0019631B" w:rsidRPr="008C0D19">
        <w:rPr>
          <w:rFonts w:ascii="Arial" w:hAnsi="Arial" w:cs="Arial"/>
          <w:sz w:val="24"/>
          <w:szCs w:val="24"/>
        </w:rPr>
        <w:t xml:space="preserve">se condenará en costas al pluricitado consorcio al resolverse </w:t>
      </w:r>
      <w:r w:rsidR="00376D14" w:rsidRPr="008C0D19">
        <w:rPr>
          <w:rFonts w:ascii="Arial" w:hAnsi="Arial" w:cs="Arial"/>
          <w:sz w:val="24"/>
          <w:szCs w:val="24"/>
        </w:rPr>
        <w:t>desfavorablemente la excepción presentada, todo ello al tenor del inciso 2º del numeral 1º del artículo 365 del C.G.P.</w:t>
      </w:r>
    </w:p>
    <w:p w14:paraId="3236FBE9" w14:textId="77777777" w:rsidR="00C212B1" w:rsidRPr="008C0D19" w:rsidRDefault="00C212B1" w:rsidP="008C0D19">
      <w:pPr>
        <w:suppressAutoHyphens/>
        <w:spacing w:line="276" w:lineRule="auto"/>
        <w:jc w:val="both"/>
        <w:rPr>
          <w:rFonts w:ascii="Arial" w:hAnsi="Arial" w:cs="Arial"/>
          <w:b/>
          <w:bCs/>
          <w:szCs w:val="24"/>
        </w:rPr>
      </w:pPr>
    </w:p>
    <w:p w14:paraId="5F4A5F35" w14:textId="7AF8EDE1" w:rsidR="006E0AA8" w:rsidRPr="008C0D19" w:rsidRDefault="006E0AA8" w:rsidP="008C0D19">
      <w:pPr>
        <w:suppressAutoHyphens/>
        <w:spacing w:line="276" w:lineRule="auto"/>
        <w:jc w:val="center"/>
        <w:rPr>
          <w:rFonts w:ascii="Arial" w:hAnsi="Arial" w:cs="Arial"/>
          <w:b/>
          <w:bCs/>
          <w:spacing w:val="-2"/>
          <w:szCs w:val="24"/>
        </w:rPr>
      </w:pPr>
      <w:r w:rsidRPr="008C0D19">
        <w:rPr>
          <w:rFonts w:ascii="Arial" w:hAnsi="Arial" w:cs="Arial"/>
          <w:b/>
          <w:bCs/>
          <w:spacing w:val="-2"/>
          <w:szCs w:val="24"/>
        </w:rPr>
        <w:t>DECISIÓN</w:t>
      </w:r>
    </w:p>
    <w:p w14:paraId="3ACAD0A4" w14:textId="77777777" w:rsidR="009356AC" w:rsidRPr="008C0D19" w:rsidRDefault="009356AC" w:rsidP="008C0D19">
      <w:pPr>
        <w:suppressAutoHyphens/>
        <w:spacing w:line="276" w:lineRule="auto"/>
        <w:jc w:val="center"/>
        <w:rPr>
          <w:rFonts w:ascii="Arial" w:hAnsi="Arial" w:cs="Arial"/>
          <w:b/>
          <w:bCs/>
          <w:spacing w:val="-2"/>
          <w:szCs w:val="24"/>
        </w:rPr>
      </w:pPr>
    </w:p>
    <w:p w14:paraId="25F695F9" w14:textId="775C8250" w:rsidR="006E0AA8" w:rsidRPr="008C0D19" w:rsidRDefault="00A63CF0" w:rsidP="008C0D19">
      <w:pPr>
        <w:suppressAutoHyphens/>
        <w:spacing w:line="276" w:lineRule="auto"/>
        <w:jc w:val="both"/>
        <w:rPr>
          <w:rFonts w:ascii="Arial" w:hAnsi="Arial" w:cs="Arial"/>
          <w:szCs w:val="24"/>
        </w:rPr>
      </w:pPr>
      <w:r w:rsidRPr="008C0D19">
        <w:rPr>
          <w:rFonts w:ascii="Arial" w:hAnsi="Arial" w:cs="Arial"/>
          <w:spacing w:val="-2"/>
          <w:szCs w:val="24"/>
        </w:rPr>
        <w:t>Por lo expuesto</w:t>
      </w:r>
      <w:r w:rsidR="006E0AA8" w:rsidRPr="008C0D19">
        <w:rPr>
          <w:rFonts w:ascii="Arial" w:hAnsi="Arial" w:cs="Arial"/>
          <w:spacing w:val="-2"/>
          <w:szCs w:val="24"/>
        </w:rPr>
        <w:t xml:space="preserve">, el </w:t>
      </w:r>
      <w:r w:rsidR="006E0AA8" w:rsidRPr="008C0D19">
        <w:rPr>
          <w:rFonts w:ascii="Arial" w:hAnsi="Arial" w:cs="Arial"/>
          <w:b/>
          <w:bCs/>
          <w:spacing w:val="-2"/>
          <w:szCs w:val="24"/>
        </w:rPr>
        <w:t>Tribunal Superior del Distrito Judicial de Pereira, Sala de Decisión Laboral,</w:t>
      </w:r>
      <w:r w:rsidR="006E0AA8" w:rsidRPr="008C0D19">
        <w:rPr>
          <w:rFonts w:ascii="Arial" w:hAnsi="Arial" w:cs="Arial"/>
          <w:spacing w:val="-2"/>
          <w:szCs w:val="24"/>
        </w:rPr>
        <w:t xml:space="preserve"> </w:t>
      </w:r>
    </w:p>
    <w:p w14:paraId="6B52449F" w14:textId="77777777" w:rsidR="002D6D18" w:rsidRPr="008C0D19" w:rsidRDefault="002D6D18" w:rsidP="008C0D19">
      <w:pPr>
        <w:suppressAutoHyphens/>
        <w:spacing w:line="276" w:lineRule="auto"/>
        <w:jc w:val="both"/>
        <w:rPr>
          <w:rFonts w:ascii="Arial" w:hAnsi="Arial" w:cs="Arial"/>
          <w:szCs w:val="24"/>
        </w:rPr>
      </w:pPr>
    </w:p>
    <w:p w14:paraId="7FE441DA" w14:textId="77777777" w:rsidR="006E0AA8" w:rsidRPr="008C0D19" w:rsidRDefault="00EA5374" w:rsidP="008C0D19">
      <w:pPr>
        <w:spacing w:line="276" w:lineRule="auto"/>
        <w:jc w:val="center"/>
        <w:rPr>
          <w:rFonts w:ascii="Arial" w:hAnsi="Arial" w:cs="Arial"/>
          <w:b/>
          <w:bCs/>
          <w:szCs w:val="24"/>
        </w:rPr>
      </w:pPr>
      <w:r w:rsidRPr="008C0D19">
        <w:rPr>
          <w:rFonts w:ascii="Arial" w:hAnsi="Arial" w:cs="Arial"/>
          <w:b/>
          <w:bCs/>
          <w:szCs w:val="24"/>
        </w:rPr>
        <w:t>RESUELVE</w:t>
      </w:r>
    </w:p>
    <w:p w14:paraId="72BF4493" w14:textId="77777777" w:rsidR="006E0AA8" w:rsidRPr="008C0D19" w:rsidRDefault="006E0AA8" w:rsidP="008C0D19">
      <w:pPr>
        <w:spacing w:line="276" w:lineRule="auto"/>
        <w:ind w:firstLine="851"/>
        <w:jc w:val="center"/>
        <w:rPr>
          <w:rFonts w:ascii="Arial" w:hAnsi="Arial" w:cs="Arial"/>
          <w:b/>
          <w:bCs/>
          <w:szCs w:val="24"/>
        </w:rPr>
      </w:pPr>
    </w:p>
    <w:p w14:paraId="21822C70" w14:textId="320D6F50" w:rsidR="0019631B" w:rsidRPr="008C0D19" w:rsidRDefault="00EA5374" w:rsidP="008C0D19">
      <w:pPr>
        <w:suppressAutoHyphens/>
        <w:spacing w:line="276" w:lineRule="auto"/>
        <w:jc w:val="both"/>
        <w:rPr>
          <w:rFonts w:ascii="Arial" w:hAnsi="Arial" w:cs="Arial"/>
          <w:szCs w:val="24"/>
        </w:rPr>
      </w:pPr>
      <w:r w:rsidRPr="008C0D19">
        <w:rPr>
          <w:rFonts w:ascii="Arial" w:hAnsi="Arial" w:cs="Arial"/>
          <w:b/>
          <w:bCs/>
          <w:spacing w:val="-2"/>
          <w:szCs w:val="24"/>
        </w:rPr>
        <w:t>P</w:t>
      </w:r>
      <w:r w:rsidR="00F85B19" w:rsidRPr="008C0D19">
        <w:rPr>
          <w:rFonts w:ascii="Arial" w:hAnsi="Arial" w:cs="Arial"/>
          <w:b/>
          <w:bCs/>
          <w:spacing w:val="-2"/>
          <w:szCs w:val="24"/>
        </w:rPr>
        <w:t>RIMERO</w:t>
      </w:r>
      <w:r w:rsidR="006E0AA8" w:rsidRPr="008C0D19">
        <w:rPr>
          <w:rFonts w:ascii="Arial" w:hAnsi="Arial" w:cs="Arial"/>
          <w:b/>
          <w:bCs/>
          <w:spacing w:val="-2"/>
          <w:szCs w:val="24"/>
        </w:rPr>
        <w:t xml:space="preserve">. </w:t>
      </w:r>
      <w:r w:rsidR="00827B2C" w:rsidRPr="008C0D19">
        <w:rPr>
          <w:rFonts w:ascii="Arial" w:hAnsi="Arial" w:cs="Arial"/>
          <w:b/>
          <w:bCs/>
          <w:spacing w:val="-2"/>
          <w:szCs w:val="24"/>
        </w:rPr>
        <w:t>CONFIRMAR</w:t>
      </w:r>
      <w:r w:rsidR="00677DA3" w:rsidRPr="008C0D19">
        <w:rPr>
          <w:rFonts w:ascii="Arial" w:hAnsi="Arial" w:cs="Arial"/>
          <w:b/>
          <w:bCs/>
          <w:spacing w:val="-2"/>
          <w:szCs w:val="24"/>
        </w:rPr>
        <w:t xml:space="preserve"> </w:t>
      </w:r>
      <w:r w:rsidR="00677DA3" w:rsidRPr="008C0D19">
        <w:rPr>
          <w:rFonts w:ascii="Arial" w:hAnsi="Arial" w:cs="Arial"/>
          <w:spacing w:val="-2"/>
          <w:szCs w:val="24"/>
        </w:rPr>
        <w:t xml:space="preserve">el auto proferido el </w:t>
      </w:r>
      <w:r w:rsidR="0019631B" w:rsidRPr="008C0D19">
        <w:rPr>
          <w:rFonts w:ascii="Arial" w:hAnsi="Arial" w:cs="Arial"/>
          <w:spacing w:val="-2"/>
          <w:szCs w:val="24"/>
        </w:rPr>
        <w:t>20 de junio de 2023</w:t>
      </w:r>
      <w:r w:rsidR="007D3006" w:rsidRPr="008C0D19">
        <w:rPr>
          <w:rFonts w:ascii="Arial" w:hAnsi="Arial" w:cs="Arial"/>
          <w:spacing w:val="-2"/>
          <w:szCs w:val="24"/>
        </w:rPr>
        <w:t xml:space="preserve"> por el Juzgado Tercero Laboral del Circuito de Pereira</w:t>
      </w:r>
      <w:r w:rsidR="0019631B" w:rsidRPr="008C0D19">
        <w:rPr>
          <w:rFonts w:ascii="Arial" w:hAnsi="Arial" w:cs="Arial"/>
          <w:spacing w:val="-2"/>
          <w:szCs w:val="24"/>
        </w:rPr>
        <w:t>, a través del cual se declaró no probada la excepción previa de falta de integración de litisconsorte necesario dentro del proceso ordinario laboral iniciado por Víctor Alfonso Sánchez Arrubla contra Simetría Constructora y Soluciones Mobiliarias S.A.S.; Mota Engil Perú S.A. Sucursal Colombia; Mota Engil Engenharia e Construcao S.A. Sucursal Colombia y la Alianza Fiduciaria S.A. como representante legal del Consorcio FFIE Alianza BBVA.</w:t>
      </w:r>
    </w:p>
    <w:p w14:paraId="50C7A66B" w14:textId="19EF7DC9" w:rsidR="00376D14" w:rsidRPr="008C0D19" w:rsidRDefault="00376D14" w:rsidP="008C0D19">
      <w:pPr>
        <w:suppressAutoHyphens/>
        <w:spacing w:line="276" w:lineRule="auto"/>
        <w:jc w:val="both"/>
        <w:rPr>
          <w:rFonts w:ascii="Arial" w:hAnsi="Arial" w:cs="Arial"/>
          <w:spacing w:val="-2"/>
          <w:szCs w:val="24"/>
        </w:rPr>
      </w:pPr>
    </w:p>
    <w:p w14:paraId="00DC59BC" w14:textId="721070DC" w:rsidR="004C27BF" w:rsidRPr="008C0D19" w:rsidRDefault="00675743" w:rsidP="008C0D19">
      <w:pPr>
        <w:suppressAutoHyphens/>
        <w:spacing w:line="276" w:lineRule="auto"/>
        <w:jc w:val="both"/>
        <w:rPr>
          <w:rFonts w:ascii="Arial" w:hAnsi="Arial" w:cs="Arial"/>
          <w:spacing w:val="-2"/>
          <w:szCs w:val="24"/>
        </w:rPr>
      </w:pPr>
      <w:r w:rsidRPr="008C0D19">
        <w:rPr>
          <w:rFonts w:ascii="Arial" w:hAnsi="Arial" w:cs="Arial"/>
          <w:b/>
          <w:bCs/>
          <w:szCs w:val="24"/>
        </w:rPr>
        <w:t xml:space="preserve">SEGUNDO. </w:t>
      </w:r>
      <w:r w:rsidR="00827B2C" w:rsidRPr="008C0D19">
        <w:rPr>
          <w:rFonts w:ascii="Arial" w:hAnsi="Arial" w:cs="Arial"/>
          <w:spacing w:val="-2"/>
          <w:szCs w:val="24"/>
        </w:rPr>
        <w:t>C</w:t>
      </w:r>
      <w:r w:rsidR="2E49F66F" w:rsidRPr="008C0D19">
        <w:rPr>
          <w:rFonts w:ascii="Arial" w:hAnsi="Arial" w:cs="Arial"/>
          <w:spacing w:val="-2"/>
          <w:szCs w:val="24"/>
        </w:rPr>
        <w:t>ondenar en c</w:t>
      </w:r>
      <w:r w:rsidR="00827B2C" w:rsidRPr="008C0D19">
        <w:rPr>
          <w:rFonts w:ascii="Arial" w:hAnsi="Arial" w:cs="Arial"/>
          <w:spacing w:val="-2"/>
          <w:szCs w:val="24"/>
        </w:rPr>
        <w:t xml:space="preserve">ostas </w:t>
      </w:r>
      <w:r w:rsidR="2495153E" w:rsidRPr="008C0D19">
        <w:rPr>
          <w:rFonts w:ascii="Arial" w:hAnsi="Arial" w:cs="Arial"/>
          <w:spacing w:val="-2"/>
          <w:szCs w:val="24"/>
        </w:rPr>
        <w:t xml:space="preserve">de segunda instancia </w:t>
      </w:r>
      <w:r w:rsidR="0019631B" w:rsidRPr="008C0D19">
        <w:rPr>
          <w:rFonts w:ascii="Arial" w:hAnsi="Arial" w:cs="Arial"/>
          <w:spacing w:val="-2"/>
          <w:szCs w:val="24"/>
        </w:rPr>
        <w:t>al Consorcio FFIE Alianza BBVA a favor del demandante.</w:t>
      </w:r>
    </w:p>
    <w:p w14:paraId="2EB6A953" w14:textId="47D24F62" w:rsidR="00F85B19" w:rsidRPr="008C0D19" w:rsidRDefault="00F85B19" w:rsidP="008C0D19">
      <w:pPr>
        <w:suppressAutoHyphens/>
        <w:spacing w:line="276" w:lineRule="auto"/>
        <w:jc w:val="both"/>
        <w:rPr>
          <w:rFonts w:ascii="Arial" w:hAnsi="Arial" w:cs="Arial"/>
          <w:spacing w:val="-2"/>
          <w:szCs w:val="24"/>
        </w:rPr>
      </w:pPr>
    </w:p>
    <w:p w14:paraId="43DDDF69" w14:textId="04D108F1" w:rsidR="00F85B19" w:rsidRPr="008C0D19" w:rsidRDefault="00675743" w:rsidP="008C0D19">
      <w:pPr>
        <w:spacing w:line="276" w:lineRule="auto"/>
        <w:jc w:val="both"/>
        <w:rPr>
          <w:rFonts w:ascii="Arial" w:hAnsi="Arial" w:cs="Arial"/>
          <w:szCs w:val="24"/>
        </w:rPr>
      </w:pPr>
      <w:r w:rsidRPr="008C0D19">
        <w:rPr>
          <w:rFonts w:ascii="Arial" w:hAnsi="Arial" w:cs="Arial"/>
          <w:b/>
          <w:bCs/>
          <w:szCs w:val="24"/>
        </w:rPr>
        <w:t>TERCERO.</w:t>
      </w:r>
      <w:r w:rsidR="005E6B26" w:rsidRPr="008C0D19">
        <w:rPr>
          <w:rFonts w:ascii="Arial" w:hAnsi="Arial" w:cs="Arial"/>
          <w:b/>
          <w:bCs/>
          <w:szCs w:val="24"/>
        </w:rPr>
        <w:t xml:space="preserve"> DEVOLVER</w:t>
      </w:r>
      <w:r w:rsidR="005E6B26" w:rsidRPr="008C0D19">
        <w:rPr>
          <w:rFonts w:ascii="Arial" w:hAnsi="Arial" w:cs="Arial"/>
          <w:szCs w:val="24"/>
        </w:rPr>
        <w:t xml:space="preserve"> el expediente a su lugar de origen una vez alcance ejecutoria.</w:t>
      </w:r>
    </w:p>
    <w:p w14:paraId="2376550A" w14:textId="77777777" w:rsidR="00F85B19" w:rsidRPr="008C0D19" w:rsidRDefault="00F85B19" w:rsidP="000C4560">
      <w:pPr>
        <w:spacing w:line="276" w:lineRule="auto"/>
        <w:rPr>
          <w:rFonts w:ascii="Arial" w:hAnsi="Arial" w:cs="Arial"/>
          <w:b/>
          <w:bCs/>
          <w:szCs w:val="24"/>
        </w:rPr>
      </w:pPr>
    </w:p>
    <w:p w14:paraId="0DA92F29" w14:textId="77777777" w:rsidR="006E0AA8" w:rsidRPr="008C0D19" w:rsidRDefault="006E0AA8" w:rsidP="008C0D19">
      <w:pPr>
        <w:spacing w:line="276" w:lineRule="auto"/>
        <w:jc w:val="center"/>
        <w:rPr>
          <w:rFonts w:ascii="Arial" w:hAnsi="Arial" w:cs="Arial"/>
          <w:b/>
          <w:bCs/>
          <w:szCs w:val="24"/>
        </w:rPr>
      </w:pPr>
      <w:r w:rsidRPr="008C0D19">
        <w:rPr>
          <w:rFonts w:ascii="Arial" w:hAnsi="Arial" w:cs="Arial"/>
          <w:b/>
          <w:bCs/>
          <w:szCs w:val="24"/>
        </w:rPr>
        <w:t>NOTIFÍQUESE</w:t>
      </w:r>
      <w:r w:rsidR="00F85B19" w:rsidRPr="008C0D19">
        <w:rPr>
          <w:rFonts w:ascii="Arial" w:hAnsi="Arial" w:cs="Arial"/>
          <w:b/>
          <w:bCs/>
          <w:szCs w:val="24"/>
        </w:rPr>
        <w:t xml:space="preserve"> y</w:t>
      </w:r>
      <w:r w:rsidRPr="008C0D19">
        <w:rPr>
          <w:rFonts w:ascii="Arial" w:hAnsi="Arial" w:cs="Arial"/>
          <w:b/>
          <w:bCs/>
          <w:szCs w:val="24"/>
        </w:rPr>
        <w:t xml:space="preserve"> CÚMPLASE</w:t>
      </w:r>
      <w:r w:rsidR="00F85B19" w:rsidRPr="008C0D19">
        <w:rPr>
          <w:rFonts w:ascii="Arial" w:hAnsi="Arial" w:cs="Arial"/>
          <w:b/>
          <w:bCs/>
          <w:szCs w:val="24"/>
        </w:rPr>
        <w:t xml:space="preserve"> </w:t>
      </w:r>
    </w:p>
    <w:p w14:paraId="6892D314" w14:textId="69913AA0" w:rsidR="008C0D19" w:rsidRDefault="008C0D19" w:rsidP="008C0D19">
      <w:pPr>
        <w:overflowPunct/>
        <w:autoSpaceDE/>
        <w:autoSpaceDN/>
        <w:adjustRightInd/>
        <w:spacing w:line="276" w:lineRule="auto"/>
        <w:jc w:val="both"/>
        <w:rPr>
          <w:rFonts w:ascii="Arial" w:hAnsi="Arial" w:cs="Arial"/>
          <w:szCs w:val="24"/>
          <w:lang w:val="es-CO"/>
        </w:rPr>
      </w:pPr>
    </w:p>
    <w:p w14:paraId="0382F1A8" w14:textId="31B6A504" w:rsidR="008C0D19" w:rsidRPr="008C0D19" w:rsidRDefault="008C0D19" w:rsidP="008C0D19">
      <w:pPr>
        <w:overflowPunct/>
        <w:autoSpaceDE/>
        <w:autoSpaceDN/>
        <w:adjustRightInd/>
        <w:spacing w:line="276" w:lineRule="auto"/>
        <w:jc w:val="both"/>
        <w:rPr>
          <w:rFonts w:ascii="Arial" w:hAnsi="Arial" w:cs="Arial"/>
          <w:szCs w:val="24"/>
          <w:lang w:val="es-CO"/>
        </w:rPr>
      </w:pPr>
      <w:r>
        <w:rPr>
          <w:rFonts w:ascii="Arial" w:hAnsi="Arial" w:cs="Arial"/>
          <w:szCs w:val="24"/>
          <w:lang w:val="es-CO"/>
        </w:rPr>
        <w:t>Los Magistrados,</w:t>
      </w:r>
    </w:p>
    <w:p w14:paraId="63B8A052" w14:textId="4264F649" w:rsidR="008C0D19" w:rsidRDefault="008C0D19" w:rsidP="008C0D19">
      <w:pPr>
        <w:overflowPunct/>
        <w:autoSpaceDE/>
        <w:autoSpaceDN/>
        <w:adjustRightInd/>
        <w:spacing w:line="276" w:lineRule="auto"/>
        <w:jc w:val="both"/>
        <w:rPr>
          <w:szCs w:val="24"/>
          <w:lang w:val="es-CO"/>
        </w:rPr>
      </w:pPr>
    </w:p>
    <w:p w14:paraId="36491D7F" w14:textId="77777777" w:rsidR="00C77A75" w:rsidRPr="008C0D19" w:rsidRDefault="00C77A75" w:rsidP="008C0D19">
      <w:pPr>
        <w:overflowPunct/>
        <w:autoSpaceDE/>
        <w:autoSpaceDN/>
        <w:adjustRightInd/>
        <w:spacing w:line="276" w:lineRule="auto"/>
        <w:jc w:val="both"/>
        <w:rPr>
          <w:szCs w:val="24"/>
          <w:lang w:val="es-CO"/>
        </w:rPr>
      </w:pPr>
    </w:p>
    <w:p w14:paraId="3CEB65DF" w14:textId="77777777" w:rsidR="008C0D19" w:rsidRPr="008C0D19" w:rsidRDefault="008C0D19" w:rsidP="008C0D19">
      <w:pPr>
        <w:overflowPunct/>
        <w:autoSpaceDE/>
        <w:autoSpaceDN/>
        <w:adjustRightInd/>
        <w:spacing w:line="276" w:lineRule="auto"/>
        <w:jc w:val="both"/>
        <w:rPr>
          <w:rFonts w:ascii="Arial" w:hAnsi="Arial" w:cs="Arial"/>
          <w:szCs w:val="24"/>
          <w:lang w:val="es-CO"/>
        </w:rPr>
      </w:pPr>
    </w:p>
    <w:p w14:paraId="2DAFEE0F" w14:textId="77777777" w:rsidR="008C0D19" w:rsidRPr="008C0D19" w:rsidRDefault="008C0D19" w:rsidP="008C0D19">
      <w:pPr>
        <w:overflowPunct/>
        <w:autoSpaceDE/>
        <w:autoSpaceDN/>
        <w:adjustRightInd/>
        <w:spacing w:line="276" w:lineRule="auto"/>
        <w:jc w:val="center"/>
        <w:rPr>
          <w:rFonts w:ascii="Arial" w:hAnsi="Arial" w:cs="Arial"/>
          <w:szCs w:val="24"/>
          <w:lang w:val="es-CO"/>
        </w:rPr>
      </w:pPr>
      <w:r w:rsidRPr="008C0D19">
        <w:rPr>
          <w:rFonts w:ascii="Arial" w:hAnsi="Arial" w:cs="Arial"/>
          <w:b/>
          <w:bCs/>
          <w:szCs w:val="24"/>
          <w:lang w:val="es-ES"/>
        </w:rPr>
        <w:t>OLGA LUCÍA HOYOS SEPÚLVEDA</w:t>
      </w:r>
      <w:r w:rsidRPr="008C0D19">
        <w:rPr>
          <w:rFonts w:ascii="Arial" w:hAnsi="Arial" w:cs="Arial"/>
          <w:szCs w:val="24"/>
          <w:lang w:val="es-CO"/>
        </w:rPr>
        <w:t> </w:t>
      </w:r>
    </w:p>
    <w:p w14:paraId="514C8B51" w14:textId="77777777" w:rsidR="008C0D19" w:rsidRPr="008C0D19" w:rsidRDefault="008C0D19" w:rsidP="008C0D19">
      <w:pPr>
        <w:overflowPunct/>
        <w:autoSpaceDE/>
        <w:autoSpaceDN/>
        <w:adjustRightInd/>
        <w:spacing w:line="276" w:lineRule="auto"/>
        <w:jc w:val="center"/>
        <w:rPr>
          <w:rFonts w:ascii="Arial" w:hAnsi="Arial" w:cs="Arial"/>
          <w:szCs w:val="24"/>
          <w:lang w:val="es-CO"/>
        </w:rPr>
      </w:pPr>
      <w:r w:rsidRPr="008C0D19">
        <w:rPr>
          <w:rFonts w:ascii="Arial" w:hAnsi="Arial" w:cs="Arial"/>
          <w:szCs w:val="24"/>
          <w:lang w:val="es-ES"/>
        </w:rPr>
        <w:t>Magistrada Ponente</w:t>
      </w:r>
      <w:r w:rsidRPr="008C0D19">
        <w:rPr>
          <w:rFonts w:ascii="Arial" w:hAnsi="Arial" w:cs="Arial"/>
          <w:szCs w:val="24"/>
          <w:lang w:val="es-CO"/>
        </w:rPr>
        <w:t> </w:t>
      </w:r>
    </w:p>
    <w:p w14:paraId="0089826A" w14:textId="38C72EA0" w:rsidR="008C0D19" w:rsidRDefault="008C0D19" w:rsidP="008C0D19">
      <w:pPr>
        <w:overflowPunct/>
        <w:autoSpaceDE/>
        <w:autoSpaceDN/>
        <w:adjustRightInd/>
        <w:spacing w:line="276" w:lineRule="auto"/>
        <w:jc w:val="both"/>
        <w:rPr>
          <w:rFonts w:ascii="Arial" w:hAnsi="Arial" w:cs="Arial"/>
          <w:szCs w:val="24"/>
          <w:lang w:val="es-CO"/>
        </w:rPr>
      </w:pPr>
    </w:p>
    <w:p w14:paraId="4C5473EF" w14:textId="77777777" w:rsidR="00C77A75" w:rsidRPr="008C0D19" w:rsidRDefault="00C77A75" w:rsidP="008C0D19">
      <w:pPr>
        <w:overflowPunct/>
        <w:autoSpaceDE/>
        <w:autoSpaceDN/>
        <w:adjustRightInd/>
        <w:spacing w:line="276" w:lineRule="auto"/>
        <w:jc w:val="both"/>
        <w:rPr>
          <w:rFonts w:ascii="Arial" w:hAnsi="Arial" w:cs="Arial"/>
          <w:szCs w:val="24"/>
          <w:lang w:val="es-CO"/>
        </w:rPr>
      </w:pPr>
    </w:p>
    <w:p w14:paraId="365CC3C5" w14:textId="77777777" w:rsidR="008C0D19" w:rsidRPr="008C0D19" w:rsidRDefault="008C0D19" w:rsidP="008C0D19">
      <w:pPr>
        <w:overflowPunct/>
        <w:autoSpaceDE/>
        <w:autoSpaceDN/>
        <w:adjustRightInd/>
        <w:spacing w:line="276" w:lineRule="auto"/>
        <w:jc w:val="both"/>
        <w:rPr>
          <w:rFonts w:ascii="Arial" w:hAnsi="Arial" w:cs="Arial"/>
          <w:szCs w:val="24"/>
          <w:lang w:val="es-CO"/>
        </w:rPr>
      </w:pPr>
    </w:p>
    <w:p w14:paraId="1FCF3D4D" w14:textId="77777777" w:rsidR="008C0D19" w:rsidRPr="008C0D19" w:rsidRDefault="008C0D19" w:rsidP="008C0D19">
      <w:pPr>
        <w:overflowPunct/>
        <w:autoSpaceDE/>
        <w:autoSpaceDN/>
        <w:adjustRightInd/>
        <w:spacing w:line="276" w:lineRule="auto"/>
        <w:jc w:val="center"/>
        <w:rPr>
          <w:rFonts w:ascii="Arial" w:hAnsi="Arial" w:cs="Arial"/>
          <w:szCs w:val="24"/>
          <w:lang w:val="es-CO"/>
        </w:rPr>
      </w:pPr>
      <w:r w:rsidRPr="008C0D19">
        <w:rPr>
          <w:rFonts w:ascii="Arial" w:hAnsi="Arial" w:cs="Arial"/>
          <w:b/>
          <w:bCs/>
          <w:szCs w:val="24"/>
          <w:lang w:val="es-ES"/>
        </w:rPr>
        <w:t>JULIO CESAR SALAZAR MUÑOZ</w:t>
      </w:r>
      <w:r w:rsidRPr="008C0D19">
        <w:rPr>
          <w:rFonts w:ascii="Arial" w:hAnsi="Arial" w:cs="Arial"/>
          <w:szCs w:val="24"/>
          <w:lang w:val="es-CO"/>
        </w:rPr>
        <w:t> </w:t>
      </w:r>
    </w:p>
    <w:p w14:paraId="6C6F8504" w14:textId="77777777" w:rsidR="008C0D19" w:rsidRPr="008C0D19" w:rsidRDefault="008C0D19" w:rsidP="008C0D19">
      <w:pPr>
        <w:overflowPunct/>
        <w:autoSpaceDE/>
        <w:autoSpaceDN/>
        <w:adjustRightInd/>
        <w:spacing w:line="276" w:lineRule="auto"/>
        <w:jc w:val="center"/>
        <w:rPr>
          <w:rFonts w:ascii="Arial" w:hAnsi="Arial" w:cs="Arial"/>
          <w:szCs w:val="24"/>
          <w:lang w:val="es-CO"/>
        </w:rPr>
      </w:pPr>
      <w:r w:rsidRPr="008C0D19">
        <w:rPr>
          <w:rFonts w:ascii="Arial" w:hAnsi="Arial" w:cs="Arial"/>
          <w:szCs w:val="24"/>
          <w:lang w:val="es-ES"/>
        </w:rPr>
        <w:t>Magistrado</w:t>
      </w:r>
      <w:r w:rsidRPr="008C0D19">
        <w:rPr>
          <w:rFonts w:ascii="Arial" w:hAnsi="Arial" w:cs="Arial"/>
          <w:szCs w:val="24"/>
          <w:lang w:val="es-CO"/>
        </w:rPr>
        <w:t> </w:t>
      </w:r>
    </w:p>
    <w:p w14:paraId="0D4EE6B0" w14:textId="20A1D245" w:rsidR="008C0D19" w:rsidRDefault="008C0D19" w:rsidP="008C0D19">
      <w:pPr>
        <w:overflowPunct/>
        <w:autoSpaceDE/>
        <w:autoSpaceDN/>
        <w:adjustRightInd/>
        <w:spacing w:line="276" w:lineRule="auto"/>
        <w:jc w:val="both"/>
        <w:rPr>
          <w:szCs w:val="24"/>
          <w:lang w:val="es-CO"/>
        </w:rPr>
      </w:pPr>
    </w:p>
    <w:p w14:paraId="7B0C6985" w14:textId="77777777" w:rsidR="00C77A75" w:rsidRPr="008C0D19" w:rsidRDefault="00C77A75" w:rsidP="008C0D19">
      <w:pPr>
        <w:overflowPunct/>
        <w:autoSpaceDE/>
        <w:autoSpaceDN/>
        <w:adjustRightInd/>
        <w:spacing w:line="276" w:lineRule="auto"/>
        <w:jc w:val="both"/>
        <w:rPr>
          <w:szCs w:val="24"/>
          <w:lang w:val="es-CO"/>
        </w:rPr>
      </w:pPr>
    </w:p>
    <w:p w14:paraId="26F4A7B6" w14:textId="77777777" w:rsidR="008C0D19" w:rsidRPr="008C0D19" w:rsidRDefault="008C0D19" w:rsidP="008C0D19">
      <w:pPr>
        <w:overflowPunct/>
        <w:autoSpaceDE/>
        <w:autoSpaceDN/>
        <w:adjustRightInd/>
        <w:spacing w:line="276" w:lineRule="auto"/>
        <w:jc w:val="both"/>
        <w:rPr>
          <w:rFonts w:ascii="Arial" w:hAnsi="Arial" w:cs="Arial"/>
          <w:szCs w:val="24"/>
          <w:lang w:val="es-CO"/>
        </w:rPr>
      </w:pPr>
    </w:p>
    <w:p w14:paraId="12D2A652" w14:textId="77777777" w:rsidR="008C0D19" w:rsidRPr="008C0D19" w:rsidRDefault="008C0D19" w:rsidP="008C0D19">
      <w:pPr>
        <w:overflowPunct/>
        <w:autoSpaceDE/>
        <w:autoSpaceDN/>
        <w:adjustRightInd/>
        <w:spacing w:line="276" w:lineRule="auto"/>
        <w:jc w:val="center"/>
        <w:rPr>
          <w:rFonts w:ascii="Arial" w:hAnsi="Arial" w:cs="Arial"/>
          <w:szCs w:val="24"/>
          <w:lang w:val="es-CO"/>
        </w:rPr>
      </w:pPr>
      <w:r w:rsidRPr="008C0D19">
        <w:rPr>
          <w:rFonts w:ascii="Arial" w:hAnsi="Arial" w:cs="Arial"/>
          <w:b/>
          <w:bCs/>
          <w:szCs w:val="24"/>
          <w:lang w:val="es-ES"/>
        </w:rPr>
        <w:t>ANA LUCÍA CAICEDO CALDERÓN </w:t>
      </w:r>
      <w:r w:rsidRPr="008C0D19">
        <w:rPr>
          <w:rFonts w:ascii="Arial" w:hAnsi="Arial" w:cs="Arial"/>
          <w:szCs w:val="24"/>
          <w:lang w:val="es-CO"/>
        </w:rPr>
        <w:t> </w:t>
      </w:r>
    </w:p>
    <w:p w14:paraId="1B5264FF" w14:textId="473704DD" w:rsidR="00B350CF" w:rsidRPr="008C0D19" w:rsidRDefault="008C0D19" w:rsidP="008C0D19">
      <w:pPr>
        <w:overflowPunct/>
        <w:autoSpaceDE/>
        <w:autoSpaceDN/>
        <w:adjustRightInd/>
        <w:spacing w:line="276" w:lineRule="auto"/>
        <w:jc w:val="center"/>
        <w:textAlignment w:val="auto"/>
        <w:rPr>
          <w:rFonts w:ascii="Arial" w:hAnsi="Arial" w:cs="Arial"/>
          <w:szCs w:val="24"/>
          <w:lang w:val="es-CO"/>
        </w:rPr>
      </w:pPr>
      <w:r w:rsidRPr="008C0D19">
        <w:rPr>
          <w:rFonts w:ascii="Arial" w:hAnsi="Arial" w:cs="Arial"/>
          <w:szCs w:val="24"/>
          <w:lang w:val="es-ES"/>
        </w:rPr>
        <w:t>Magistrada</w:t>
      </w:r>
      <w:r w:rsidRPr="008C0D19">
        <w:rPr>
          <w:rFonts w:ascii="Arial" w:hAnsi="Arial" w:cs="Arial"/>
          <w:szCs w:val="24"/>
          <w:lang w:val="es-CO"/>
        </w:rPr>
        <w:t> </w:t>
      </w:r>
    </w:p>
    <w:sectPr w:rsidR="00B350CF" w:rsidRPr="008C0D19" w:rsidSect="00F51928">
      <w:headerReference w:type="default" r:id="rId12"/>
      <w:footerReference w:type="default" r:id="rId13"/>
      <w:pgSz w:w="12240" w:h="18720" w:code="258"/>
      <w:pgMar w:top="1871" w:right="1304" w:bottom="1304" w:left="1871" w:header="567" w:footer="567"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BFB7" w14:textId="77777777" w:rsidR="00B130CA" w:rsidRDefault="00B130CA">
      <w:r>
        <w:separator/>
      </w:r>
    </w:p>
  </w:endnote>
  <w:endnote w:type="continuationSeparator" w:id="0">
    <w:p w14:paraId="749C8DE8" w14:textId="77777777" w:rsidR="00B130CA" w:rsidRDefault="00B1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man 12cpi">
    <w:altName w:val="Calibri"/>
    <w:panose1 w:val="00000000000000000000"/>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521EC" w14:textId="7E9CAF57" w:rsidR="00F02DB6" w:rsidRPr="00F94073" w:rsidRDefault="00F02DB6">
    <w:pPr>
      <w:pStyle w:val="Piedepgina"/>
      <w:framePr w:wrap="auto" w:vAnchor="text" w:hAnchor="margin" w:xAlign="right" w:y="1"/>
      <w:rPr>
        <w:rFonts w:ascii="Arial" w:hAnsi="Arial" w:cs="Arial"/>
        <w:sz w:val="18"/>
        <w:szCs w:val="18"/>
      </w:rPr>
    </w:pPr>
    <w:r w:rsidRPr="00F94073">
      <w:rPr>
        <w:rFonts w:ascii="Arial" w:hAnsi="Arial" w:cs="Arial"/>
        <w:sz w:val="18"/>
        <w:szCs w:val="18"/>
      </w:rPr>
      <w:fldChar w:fldCharType="begin"/>
    </w:r>
    <w:r w:rsidRPr="00F94073">
      <w:rPr>
        <w:rFonts w:ascii="Arial" w:hAnsi="Arial" w:cs="Arial"/>
        <w:sz w:val="18"/>
        <w:szCs w:val="18"/>
      </w:rPr>
      <w:instrText xml:space="preserve">PAGE  </w:instrText>
    </w:r>
    <w:r w:rsidRPr="00F94073">
      <w:rPr>
        <w:rFonts w:ascii="Arial" w:hAnsi="Arial" w:cs="Arial"/>
        <w:sz w:val="18"/>
        <w:szCs w:val="18"/>
      </w:rPr>
      <w:fldChar w:fldCharType="separate"/>
    </w:r>
    <w:r w:rsidR="00F1301A">
      <w:rPr>
        <w:rFonts w:ascii="Arial" w:hAnsi="Arial" w:cs="Arial"/>
        <w:noProof/>
        <w:sz w:val="18"/>
        <w:szCs w:val="18"/>
      </w:rPr>
      <w:t>2</w:t>
    </w:r>
    <w:r w:rsidRPr="00F94073">
      <w:rPr>
        <w:rFonts w:ascii="Arial" w:hAnsi="Arial" w:cs="Arial"/>
        <w:sz w:val="18"/>
        <w:szCs w:val="18"/>
      </w:rPr>
      <w:fldChar w:fldCharType="end"/>
    </w:r>
  </w:p>
  <w:p w14:paraId="52834176" w14:textId="77777777" w:rsidR="00F02DB6" w:rsidRDefault="00F02DB6">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8EC1C" w14:textId="77777777" w:rsidR="00B130CA" w:rsidRDefault="00B130CA">
      <w:r>
        <w:separator/>
      </w:r>
    </w:p>
  </w:footnote>
  <w:footnote w:type="continuationSeparator" w:id="0">
    <w:p w14:paraId="1B7D6A2D" w14:textId="77777777" w:rsidR="00B130CA" w:rsidRDefault="00B130CA">
      <w:r>
        <w:continuationSeparator/>
      </w:r>
    </w:p>
  </w:footnote>
  <w:footnote w:id="1">
    <w:p w14:paraId="5D1C568F" w14:textId="77777777" w:rsidR="00B4652E" w:rsidRPr="003A75BB" w:rsidRDefault="00B4652E" w:rsidP="00B4652E">
      <w:pPr>
        <w:pStyle w:val="Sinespaciado"/>
        <w:spacing w:line="276" w:lineRule="auto"/>
        <w:jc w:val="both"/>
        <w:rPr>
          <w:rFonts w:ascii="Arial" w:hAnsi="Arial" w:cs="Arial"/>
          <w:bCs/>
          <w:color w:val="000000" w:themeColor="text1"/>
          <w:sz w:val="16"/>
          <w:szCs w:val="16"/>
        </w:rPr>
      </w:pPr>
      <w:r>
        <w:rPr>
          <w:rStyle w:val="Refdenotaalpie"/>
        </w:rPr>
        <w:footnoteRef/>
      </w:r>
      <w:r w:rsidRPr="003A75BB">
        <w:rPr>
          <w:rFonts w:ascii="Arial" w:hAnsi="Arial" w:cs="Arial"/>
          <w:sz w:val="16"/>
          <w:szCs w:val="16"/>
        </w:rPr>
        <w:t xml:space="preserve">CORTE SUPREMA DE JUSTICIA, Sala de Casación Laboral, </w:t>
      </w:r>
      <w:r w:rsidRPr="003A75BB">
        <w:rPr>
          <w:rFonts w:ascii="Arial" w:hAnsi="Arial" w:cs="Arial"/>
          <w:bCs/>
          <w:color w:val="000000" w:themeColor="text1"/>
          <w:sz w:val="16"/>
          <w:szCs w:val="16"/>
        </w:rPr>
        <w:t xml:space="preserve">sentencia </w:t>
      </w:r>
      <w:r w:rsidRPr="003A75BB">
        <w:rPr>
          <w:rFonts w:ascii="Arial" w:hAnsi="Arial" w:cs="Arial"/>
          <w:sz w:val="16"/>
          <w:szCs w:val="16"/>
        </w:rPr>
        <w:t xml:space="preserve"> del 10-08-1994; RAD. 6494; 10-05-2004, rad.22371, citadas en sentencia del 12-09-2006, rad. 25323 </w:t>
      </w:r>
    </w:p>
    <w:p w14:paraId="233190A8" w14:textId="77777777" w:rsidR="00B4652E" w:rsidRPr="003A75BB" w:rsidRDefault="00B4652E" w:rsidP="00B4652E">
      <w:pPr>
        <w:pStyle w:val="Sinespaciado"/>
        <w:spacing w:line="276" w:lineRule="auto"/>
        <w:jc w:val="both"/>
        <w:rPr>
          <w:rFonts w:ascii="Arial" w:hAnsi="Arial" w:cs="Arial"/>
          <w:bCs/>
          <w:color w:val="000000" w:themeColor="text1"/>
          <w:sz w:val="16"/>
          <w:szCs w:val="16"/>
        </w:rPr>
      </w:pPr>
    </w:p>
    <w:p w14:paraId="3F87354E" w14:textId="77777777" w:rsidR="00B4652E" w:rsidRPr="003A75BB" w:rsidRDefault="00B4652E" w:rsidP="00B4652E">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C55D" w14:textId="512CA344" w:rsidR="00F02DB6" w:rsidRPr="00CB3C54" w:rsidRDefault="00F02DB6" w:rsidP="00CB3C54">
    <w:pPr>
      <w:pStyle w:val="Encabezado"/>
      <w:jc w:val="center"/>
      <w:rPr>
        <w:rFonts w:ascii="Arial" w:hAnsi="Arial" w:cs="Arial"/>
        <w:sz w:val="18"/>
        <w:szCs w:val="18"/>
      </w:rPr>
    </w:pPr>
    <w:r w:rsidRPr="00CB3C54">
      <w:rPr>
        <w:rFonts w:ascii="Arial" w:hAnsi="Arial" w:cs="Arial"/>
        <w:sz w:val="18"/>
        <w:szCs w:val="18"/>
      </w:rPr>
      <w:t xml:space="preserve">Proceso </w:t>
    </w:r>
    <w:r w:rsidR="00D671EF">
      <w:rPr>
        <w:rFonts w:ascii="Arial" w:hAnsi="Arial" w:cs="Arial"/>
        <w:sz w:val="18"/>
        <w:szCs w:val="18"/>
      </w:rPr>
      <w:t>Ordinario Laboral</w:t>
    </w:r>
  </w:p>
  <w:p w14:paraId="578C5527" w14:textId="646B4F47" w:rsidR="00F02DB6" w:rsidRPr="00CB3C54" w:rsidRDefault="00F02DB6" w:rsidP="00CB3C54">
    <w:pPr>
      <w:pStyle w:val="Encabezado"/>
      <w:jc w:val="center"/>
      <w:rPr>
        <w:rFonts w:ascii="Arial" w:hAnsi="Arial" w:cs="Arial"/>
        <w:sz w:val="18"/>
        <w:szCs w:val="18"/>
      </w:rPr>
    </w:pPr>
    <w:r>
      <w:rPr>
        <w:rFonts w:ascii="Arial" w:hAnsi="Arial" w:cs="Arial"/>
        <w:sz w:val="18"/>
        <w:szCs w:val="18"/>
      </w:rPr>
      <w:t>66001-31-05-00</w:t>
    </w:r>
    <w:r w:rsidR="00C07DE2">
      <w:rPr>
        <w:rFonts w:ascii="Arial" w:hAnsi="Arial" w:cs="Arial"/>
        <w:sz w:val="18"/>
        <w:szCs w:val="18"/>
      </w:rPr>
      <w:t>3</w:t>
    </w:r>
    <w:r>
      <w:rPr>
        <w:rFonts w:ascii="Arial" w:hAnsi="Arial" w:cs="Arial"/>
        <w:sz w:val="18"/>
        <w:szCs w:val="18"/>
      </w:rPr>
      <w:t>-20</w:t>
    </w:r>
    <w:r w:rsidR="00C07DE2">
      <w:rPr>
        <w:rFonts w:ascii="Arial" w:hAnsi="Arial" w:cs="Arial"/>
        <w:sz w:val="18"/>
        <w:szCs w:val="18"/>
      </w:rPr>
      <w:t>21</w:t>
    </w:r>
    <w:r w:rsidR="00AD114B">
      <w:rPr>
        <w:rFonts w:ascii="Arial" w:hAnsi="Arial" w:cs="Arial"/>
        <w:sz w:val="18"/>
        <w:szCs w:val="18"/>
      </w:rPr>
      <w:t>-</w:t>
    </w:r>
    <w:r>
      <w:rPr>
        <w:rFonts w:ascii="Arial" w:hAnsi="Arial" w:cs="Arial"/>
        <w:sz w:val="18"/>
        <w:szCs w:val="18"/>
      </w:rPr>
      <w:t>00</w:t>
    </w:r>
    <w:r w:rsidR="00C07DE2">
      <w:rPr>
        <w:rFonts w:ascii="Arial" w:hAnsi="Arial" w:cs="Arial"/>
        <w:sz w:val="18"/>
        <w:szCs w:val="18"/>
      </w:rPr>
      <w:t>382</w:t>
    </w:r>
    <w:r w:rsidRPr="00CB3C54">
      <w:rPr>
        <w:rFonts w:ascii="Arial" w:hAnsi="Arial" w:cs="Arial"/>
        <w:sz w:val="18"/>
        <w:szCs w:val="18"/>
      </w:rPr>
      <w:t>-0</w:t>
    </w:r>
    <w:r w:rsidR="00D671EF">
      <w:rPr>
        <w:rFonts w:ascii="Arial" w:hAnsi="Arial" w:cs="Arial"/>
        <w:sz w:val="18"/>
        <w:szCs w:val="18"/>
      </w:rPr>
      <w:t>1</w:t>
    </w:r>
  </w:p>
  <w:p w14:paraId="3DABA73D" w14:textId="5E51932F" w:rsidR="00F02DB6" w:rsidRPr="004B0EB0" w:rsidRDefault="00C07DE2" w:rsidP="00CB3C54">
    <w:pPr>
      <w:pStyle w:val="Encabezado"/>
      <w:jc w:val="center"/>
      <w:rPr>
        <w:u w:val="single"/>
      </w:rPr>
    </w:pPr>
    <w:r>
      <w:rPr>
        <w:rFonts w:ascii="Arial" w:hAnsi="Arial" w:cs="Arial"/>
        <w:sz w:val="18"/>
        <w:szCs w:val="18"/>
      </w:rPr>
      <w:t>Víctor Alfonso Sánchez Arrubla</w:t>
    </w:r>
    <w:r w:rsidR="00F02DB6">
      <w:rPr>
        <w:rFonts w:ascii="Arial" w:hAnsi="Arial" w:cs="Arial"/>
        <w:sz w:val="18"/>
        <w:szCs w:val="18"/>
      </w:rPr>
      <w:t xml:space="preserve"> Vs</w:t>
    </w:r>
    <w:r>
      <w:rPr>
        <w:rFonts w:ascii="Arial" w:hAnsi="Arial" w:cs="Arial"/>
        <w:sz w:val="18"/>
        <w:szCs w:val="18"/>
      </w:rPr>
      <w:t>.</w:t>
    </w:r>
    <w:r w:rsidR="00F02DB6">
      <w:rPr>
        <w:rFonts w:ascii="Arial" w:hAnsi="Arial" w:cs="Arial"/>
        <w:sz w:val="18"/>
        <w:szCs w:val="18"/>
      </w:rPr>
      <w:t xml:space="preserve"> </w:t>
    </w:r>
    <w:r w:rsidRPr="00C07DE2">
      <w:rPr>
        <w:rFonts w:ascii="Arial" w:hAnsi="Arial" w:cs="Arial"/>
        <w:sz w:val="18"/>
        <w:szCs w:val="18"/>
      </w:rPr>
      <w:t>Simetría Constructora y Soluciones Mobiliarias S.A.S.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39A48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7335E"/>
    <w:multiLevelType w:val="multilevel"/>
    <w:tmpl w:val="5880BD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6360F9"/>
    <w:multiLevelType w:val="hybridMultilevel"/>
    <w:tmpl w:val="174AB90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C90742"/>
    <w:multiLevelType w:val="hybridMultilevel"/>
    <w:tmpl w:val="DAEAC1DA"/>
    <w:lvl w:ilvl="0" w:tplc="B2285BE6">
      <w:start w:val="1"/>
      <w:numFmt w:val="decimal"/>
      <w:lvlText w:val="%1-"/>
      <w:lvlJc w:val="left"/>
      <w:pPr>
        <w:tabs>
          <w:tab w:val="num" w:pos="840"/>
        </w:tabs>
        <w:ind w:left="840" w:hanging="4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2F67D3C"/>
    <w:multiLevelType w:val="hybridMultilevel"/>
    <w:tmpl w:val="F2E61C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3757206"/>
    <w:multiLevelType w:val="hybridMultilevel"/>
    <w:tmpl w:val="D642513A"/>
    <w:lvl w:ilvl="0" w:tplc="48BEF7F4">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3E10032"/>
    <w:multiLevelType w:val="hybridMultilevel"/>
    <w:tmpl w:val="AB427742"/>
    <w:lvl w:ilvl="0" w:tplc="F8A2FBCE">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2C94F4F"/>
    <w:multiLevelType w:val="hybridMultilevel"/>
    <w:tmpl w:val="6F90809A"/>
    <w:lvl w:ilvl="0" w:tplc="8AB00F8A">
      <w:start w:val="1"/>
      <w:numFmt w:val="lowerLetter"/>
      <w:lvlText w:val="%1)"/>
      <w:lvlJc w:val="left"/>
      <w:pPr>
        <w:ind w:left="2191" w:hanging="360"/>
      </w:pPr>
      <w:rPr>
        <w:rFonts w:hint="default"/>
      </w:rPr>
    </w:lvl>
    <w:lvl w:ilvl="1" w:tplc="0C0A0019" w:tentative="1">
      <w:start w:val="1"/>
      <w:numFmt w:val="lowerLetter"/>
      <w:lvlText w:val="%2."/>
      <w:lvlJc w:val="left"/>
      <w:pPr>
        <w:ind w:left="2911" w:hanging="360"/>
      </w:pPr>
    </w:lvl>
    <w:lvl w:ilvl="2" w:tplc="0C0A001B" w:tentative="1">
      <w:start w:val="1"/>
      <w:numFmt w:val="lowerRoman"/>
      <w:lvlText w:val="%3."/>
      <w:lvlJc w:val="right"/>
      <w:pPr>
        <w:ind w:left="3631" w:hanging="180"/>
      </w:pPr>
    </w:lvl>
    <w:lvl w:ilvl="3" w:tplc="0C0A000F" w:tentative="1">
      <w:start w:val="1"/>
      <w:numFmt w:val="decimal"/>
      <w:lvlText w:val="%4."/>
      <w:lvlJc w:val="left"/>
      <w:pPr>
        <w:ind w:left="4351" w:hanging="360"/>
      </w:pPr>
    </w:lvl>
    <w:lvl w:ilvl="4" w:tplc="0C0A0019" w:tentative="1">
      <w:start w:val="1"/>
      <w:numFmt w:val="lowerLetter"/>
      <w:lvlText w:val="%5."/>
      <w:lvlJc w:val="left"/>
      <w:pPr>
        <w:ind w:left="5071" w:hanging="360"/>
      </w:pPr>
    </w:lvl>
    <w:lvl w:ilvl="5" w:tplc="0C0A001B" w:tentative="1">
      <w:start w:val="1"/>
      <w:numFmt w:val="lowerRoman"/>
      <w:lvlText w:val="%6."/>
      <w:lvlJc w:val="right"/>
      <w:pPr>
        <w:ind w:left="5791" w:hanging="180"/>
      </w:pPr>
    </w:lvl>
    <w:lvl w:ilvl="6" w:tplc="0C0A000F" w:tentative="1">
      <w:start w:val="1"/>
      <w:numFmt w:val="decimal"/>
      <w:lvlText w:val="%7."/>
      <w:lvlJc w:val="left"/>
      <w:pPr>
        <w:ind w:left="6511" w:hanging="360"/>
      </w:pPr>
    </w:lvl>
    <w:lvl w:ilvl="7" w:tplc="0C0A0019" w:tentative="1">
      <w:start w:val="1"/>
      <w:numFmt w:val="lowerLetter"/>
      <w:lvlText w:val="%8."/>
      <w:lvlJc w:val="left"/>
      <w:pPr>
        <w:ind w:left="7231" w:hanging="360"/>
      </w:pPr>
    </w:lvl>
    <w:lvl w:ilvl="8" w:tplc="0C0A001B" w:tentative="1">
      <w:start w:val="1"/>
      <w:numFmt w:val="lowerRoman"/>
      <w:lvlText w:val="%9."/>
      <w:lvlJc w:val="right"/>
      <w:pPr>
        <w:ind w:left="7951" w:hanging="180"/>
      </w:pPr>
    </w:lvl>
  </w:abstractNum>
  <w:abstractNum w:abstractNumId="8" w15:restartNumberingAfterBreak="0">
    <w:nsid w:val="45CC533A"/>
    <w:multiLevelType w:val="multilevel"/>
    <w:tmpl w:val="EAD6CB7A"/>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CEE0BAB"/>
    <w:multiLevelType w:val="hybridMultilevel"/>
    <w:tmpl w:val="0FA6D27C"/>
    <w:lvl w:ilvl="0" w:tplc="10CE1B1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F507231"/>
    <w:multiLevelType w:val="multilevel"/>
    <w:tmpl w:val="0F9642F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354757F"/>
    <w:multiLevelType w:val="hybridMultilevel"/>
    <w:tmpl w:val="174AB904"/>
    <w:lvl w:ilvl="0" w:tplc="E3A60B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F2F5E89"/>
    <w:multiLevelType w:val="hybridMultilevel"/>
    <w:tmpl w:val="ACF49564"/>
    <w:lvl w:ilvl="0" w:tplc="37ECB8F2">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5BB77E3"/>
    <w:multiLevelType w:val="hybridMultilevel"/>
    <w:tmpl w:val="174AB90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12"/>
  </w:num>
  <w:num w:numId="5">
    <w:abstractNumId w:val="9"/>
  </w:num>
  <w:num w:numId="6">
    <w:abstractNumId w:val="4"/>
  </w:num>
  <w:num w:numId="7">
    <w:abstractNumId w:val="1"/>
  </w:num>
  <w:num w:numId="8">
    <w:abstractNumId w:val="8"/>
  </w:num>
  <w:num w:numId="9">
    <w:abstractNumId w:val="10"/>
  </w:num>
  <w:num w:numId="10">
    <w:abstractNumId w:val="0"/>
  </w:num>
  <w:num w:numId="11">
    <w:abstractNumId w:val="11"/>
  </w:num>
  <w:num w:numId="12">
    <w:abstractNumId w:val="6"/>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5AF"/>
    <w:rsid w:val="000005FE"/>
    <w:rsid w:val="00002174"/>
    <w:rsid w:val="000047D0"/>
    <w:rsid w:val="0001371E"/>
    <w:rsid w:val="00015368"/>
    <w:rsid w:val="00015DE3"/>
    <w:rsid w:val="0002227C"/>
    <w:rsid w:val="000244AD"/>
    <w:rsid w:val="00025AEB"/>
    <w:rsid w:val="000264EE"/>
    <w:rsid w:val="00031365"/>
    <w:rsid w:val="000401FC"/>
    <w:rsid w:val="000425C4"/>
    <w:rsid w:val="00054EDC"/>
    <w:rsid w:val="00055242"/>
    <w:rsid w:val="0005635E"/>
    <w:rsid w:val="00074980"/>
    <w:rsid w:val="00075165"/>
    <w:rsid w:val="00075C9D"/>
    <w:rsid w:val="00083816"/>
    <w:rsid w:val="00083EE6"/>
    <w:rsid w:val="00087017"/>
    <w:rsid w:val="00092132"/>
    <w:rsid w:val="00092F63"/>
    <w:rsid w:val="0009377E"/>
    <w:rsid w:val="000A14D3"/>
    <w:rsid w:val="000A5849"/>
    <w:rsid w:val="000B0F76"/>
    <w:rsid w:val="000B1DF7"/>
    <w:rsid w:val="000B279C"/>
    <w:rsid w:val="000B6F03"/>
    <w:rsid w:val="000C17AD"/>
    <w:rsid w:val="000C4560"/>
    <w:rsid w:val="000C5F0D"/>
    <w:rsid w:val="000C6AFF"/>
    <w:rsid w:val="000D652D"/>
    <w:rsid w:val="000E0E0F"/>
    <w:rsid w:val="000E5F05"/>
    <w:rsid w:val="000F2222"/>
    <w:rsid w:val="000F22D5"/>
    <w:rsid w:val="000F2E23"/>
    <w:rsid w:val="000F33F8"/>
    <w:rsid w:val="001003F3"/>
    <w:rsid w:val="00107162"/>
    <w:rsid w:val="00112061"/>
    <w:rsid w:val="00126AF8"/>
    <w:rsid w:val="00126C12"/>
    <w:rsid w:val="00136AC5"/>
    <w:rsid w:val="00144D5C"/>
    <w:rsid w:val="001455B4"/>
    <w:rsid w:val="00151384"/>
    <w:rsid w:val="001538A0"/>
    <w:rsid w:val="00180D54"/>
    <w:rsid w:val="00184897"/>
    <w:rsid w:val="00184B1E"/>
    <w:rsid w:val="00190272"/>
    <w:rsid w:val="0019631B"/>
    <w:rsid w:val="001978E8"/>
    <w:rsid w:val="001A0580"/>
    <w:rsid w:val="001A60EF"/>
    <w:rsid w:val="001B5F9A"/>
    <w:rsid w:val="001D0F90"/>
    <w:rsid w:val="001D70AA"/>
    <w:rsid w:val="001E44F0"/>
    <w:rsid w:val="001F073B"/>
    <w:rsid w:val="001F0B0C"/>
    <w:rsid w:val="001F1121"/>
    <w:rsid w:val="001F30C8"/>
    <w:rsid w:val="001F35C7"/>
    <w:rsid w:val="002104BD"/>
    <w:rsid w:val="00212FB5"/>
    <w:rsid w:val="002130D6"/>
    <w:rsid w:val="00215983"/>
    <w:rsid w:val="002167DA"/>
    <w:rsid w:val="0021749E"/>
    <w:rsid w:val="00230957"/>
    <w:rsid w:val="00230F4D"/>
    <w:rsid w:val="002346EF"/>
    <w:rsid w:val="002406D4"/>
    <w:rsid w:val="002417EF"/>
    <w:rsid w:val="00244EC7"/>
    <w:rsid w:val="002456A2"/>
    <w:rsid w:val="00252FEC"/>
    <w:rsid w:val="002612AC"/>
    <w:rsid w:val="00272ECA"/>
    <w:rsid w:val="00273D6B"/>
    <w:rsid w:val="002767D1"/>
    <w:rsid w:val="002B45FB"/>
    <w:rsid w:val="002B7E3D"/>
    <w:rsid w:val="002C4957"/>
    <w:rsid w:val="002C4FC3"/>
    <w:rsid w:val="002C694E"/>
    <w:rsid w:val="002D1268"/>
    <w:rsid w:val="002D539A"/>
    <w:rsid w:val="002D6D18"/>
    <w:rsid w:val="002E165B"/>
    <w:rsid w:val="002F2C21"/>
    <w:rsid w:val="002F2EF0"/>
    <w:rsid w:val="002F40C6"/>
    <w:rsid w:val="002F4637"/>
    <w:rsid w:val="00303CEB"/>
    <w:rsid w:val="00303E9F"/>
    <w:rsid w:val="0030453F"/>
    <w:rsid w:val="003046AA"/>
    <w:rsid w:val="003071FD"/>
    <w:rsid w:val="0031199D"/>
    <w:rsid w:val="00322D93"/>
    <w:rsid w:val="00326600"/>
    <w:rsid w:val="0032740B"/>
    <w:rsid w:val="003300FD"/>
    <w:rsid w:val="003321E3"/>
    <w:rsid w:val="0034372B"/>
    <w:rsid w:val="00352A83"/>
    <w:rsid w:val="00356E63"/>
    <w:rsid w:val="00360BEF"/>
    <w:rsid w:val="00360FE9"/>
    <w:rsid w:val="00364A21"/>
    <w:rsid w:val="00367882"/>
    <w:rsid w:val="003708DD"/>
    <w:rsid w:val="00373E59"/>
    <w:rsid w:val="00376D14"/>
    <w:rsid w:val="00391927"/>
    <w:rsid w:val="00395660"/>
    <w:rsid w:val="00395E50"/>
    <w:rsid w:val="003B3372"/>
    <w:rsid w:val="003B7D51"/>
    <w:rsid w:val="003C1697"/>
    <w:rsid w:val="003C54E9"/>
    <w:rsid w:val="003C5A93"/>
    <w:rsid w:val="003D464E"/>
    <w:rsid w:val="003D5A9D"/>
    <w:rsid w:val="003F0D84"/>
    <w:rsid w:val="00400F80"/>
    <w:rsid w:val="00401AAC"/>
    <w:rsid w:val="00405923"/>
    <w:rsid w:val="00407752"/>
    <w:rsid w:val="004152D9"/>
    <w:rsid w:val="00416866"/>
    <w:rsid w:val="00423102"/>
    <w:rsid w:val="004267B9"/>
    <w:rsid w:val="00427D07"/>
    <w:rsid w:val="00430FF7"/>
    <w:rsid w:val="00431BF1"/>
    <w:rsid w:val="00431DC3"/>
    <w:rsid w:val="00434543"/>
    <w:rsid w:val="00437A2C"/>
    <w:rsid w:val="0045222D"/>
    <w:rsid w:val="004652C4"/>
    <w:rsid w:val="004674C0"/>
    <w:rsid w:val="00474C22"/>
    <w:rsid w:val="00490F62"/>
    <w:rsid w:val="004A0696"/>
    <w:rsid w:val="004B0EB0"/>
    <w:rsid w:val="004B6E1D"/>
    <w:rsid w:val="004C0935"/>
    <w:rsid w:val="004C094D"/>
    <w:rsid w:val="004C27BF"/>
    <w:rsid w:val="004D18FF"/>
    <w:rsid w:val="004D7AA7"/>
    <w:rsid w:val="004E1494"/>
    <w:rsid w:val="004E21A3"/>
    <w:rsid w:val="004F4CB1"/>
    <w:rsid w:val="004F549C"/>
    <w:rsid w:val="0050108A"/>
    <w:rsid w:val="00502A94"/>
    <w:rsid w:val="0050385E"/>
    <w:rsid w:val="00503B32"/>
    <w:rsid w:val="00513154"/>
    <w:rsid w:val="00515707"/>
    <w:rsid w:val="00515E2D"/>
    <w:rsid w:val="005162A2"/>
    <w:rsid w:val="00517B9D"/>
    <w:rsid w:val="00526D81"/>
    <w:rsid w:val="00531984"/>
    <w:rsid w:val="00531B03"/>
    <w:rsid w:val="005325C1"/>
    <w:rsid w:val="00534FB7"/>
    <w:rsid w:val="00536C8B"/>
    <w:rsid w:val="00537D9E"/>
    <w:rsid w:val="00537F3D"/>
    <w:rsid w:val="00537FF2"/>
    <w:rsid w:val="005477C2"/>
    <w:rsid w:val="00556E8D"/>
    <w:rsid w:val="005621CF"/>
    <w:rsid w:val="005727BC"/>
    <w:rsid w:val="0058611B"/>
    <w:rsid w:val="00591CD2"/>
    <w:rsid w:val="00593A1D"/>
    <w:rsid w:val="005A114B"/>
    <w:rsid w:val="005A2CC6"/>
    <w:rsid w:val="005A4BFC"/>
    <w:rsid w:val="005A550F"/>
    <w:rsid w:val="005A7714"/>
    <w:rsid w:val="005A7C38"/>
    <w:rsid w:val="005B27D5"/>
    <w:rsid w:val="005B2CDE"/>
    <w:rsid w:val="005B633D"/>
    <w:rsid w:val="005B6F13"/>
    <w:rsid w:val="005C2A70"/>
    <w:rsid w:val="005C476D"/>
    <w:rsid w:val="005C6E07"/>
    <w:rsid w:val="005D666D"/>
    <w:rsid w:val="005E6B26"/>
    <w:rsid w:val="005E7E34"/>
    <w:rsid w:val="005F3646"/>
    <w:rsid w:val="00600632"/>
    <w:rsid w:val="00600C90"/>
    <w:rsid w:val="00601D8D"/>
    <w:rsid w:val="0060527A"/>
    <w:rsid w:val="00605E38"/>
    <w:rsid w:val="00606CF8"/>
    <w:rsid w:val="00621444"/>
    <w:rsid w:val="00624956"/>
    <w:rsid w:val="006307FC"/>
    <w:rsid w:val="00632764"/>
    <w:rsid w:val="006421B8"/>
    <w:rsid w:val="00645839"/>
    <w:rsid w:val="006500E9"/>
    <w:rsid w:val="00651A43"/>
    <w:rsid w:val="006528AD"/>
    <w:rsid w:val="00660F28"/>
    <w:rsid w:val="00663E71"/>
    <w:rsid w:val="00675743"/>
    <w:rsid w:val="00677DA3"/>
    <w:rsid w:val="00680965"/>
    <w:rsid w:val="0068315B"/>
    <w:rsid w:val="00690248"/>
    <w:rsid w:val="006A39E5"/>
    <w:rsid w:val="006B1B29"/>
    <w:rsid w:val="006B32C8"/>
    <w:rsid w:val="006B4284"/>
    <w:rsid w:val="006D166D"/>
    <w:rsid w:val="006D185B"/>
    <w:rsid w:val="006D6C64"/>
    <w:rsid w:val="006E03A0"/>
    <w:rsid w:val="006E0AA8"/>
    <w:rsid w:val="006E1C51"/>
    <w:rsid w:val="006E2926"/>
    <w:rsid w:val="006E33E4"/>
    <w:rsid w:val="006F319D"/>
    <w:rsid w:val="006F5F12"/>
    <w:rsid w:val="006F79BC"/>
    <w:rsid w:val="007006AE"/>
    <w:rsid w:val="007011B9"/>
    <w:rsid w:val="0070297F"/>
    <w:rsid w:val="00710C05"/>
    <w:rsid w:val="00711DBF"/>
    <w:rsid w:val="007142B7"/>
    <w:rsid w:val="00715C9D"/>
    <w:rsid w:val="007218E7"/>
    <w:rsid w:val="0072471E"/>
    <w:rsid w:val="00726FF9"/>
    <w:rsid w:val="00727C7E"/>
    <w:rsid w:val="00730C6F"/>
    <w:rsid w:val="00735021"/>
    <w:rsid w:val="007359E2"/>
    <w:rsid w:val="0075086F"/>
    <w:rsid w:val="00753463"/>
    <w:rsid w:val="00756665"/>
    <w:rsid w:val="00764878"/>
    <w:rsid w:val="00771A44"/>
    <w:rsid w:val="0077773C"/>
    <w:rsid w:val="00777F35"/>
    <w:rsid w:val="007800D9"/>
    <w:rsid w:val="007815CC"/>
    <w:rsid w:val="007819D3"/>
    <w:rsid w:val="00781A7A"/>
    <w:rsid w:val="00791345"/>
    <w:rsid w:val="00793765"/>
    <w:rsid w:val="007A188F"/>
    <w:rsid w:val="007A2977"/>
    <w:rsid w:val="007A2DDA"/>
    <w:rsid w:val="007B1541"/>
    <w:rsid w:val="007C3C95"/>
    <w:rsid w:val="007C47E6"/>
    <w:rsid w:val="007C78A6"/>
    <w:rsid w:val="007D2B25"/>
    <w:rsid w:val="007D3006"/>
    <w:rsid w:val="007D546A"/>
    <w:rsid w:val="007D5691"/>
    <w:rsid w:val="007D674A"/>
    <w:rsid w:val="007E470C"/>
    <w:rsid w:val="007E4C0C"/>
    <w:rsid w:val="007F5EC8"/>
    <w:rsid w:val="007F7C35"/>
    <w:rsid w:val="00801466"/>
    <w:rsid w:val="00807B72"/>
    <w:rsid w:val="008107BA"/>
    <w:rsid w:val="00815758"/>
    <w:rsid w:val="00816752"/>
    <w:rsid w:val="00824C3C"/>
    <w:rsid w:val="00827B2C"/>
    <w:rsid w:val="00841CF7"/>
    <w:rsid w:val="0084505D"/>
    <w:rsid w:val="00845379"/>
    <w:rsid w:val="00857CF9"/>
    <w:rsid w:val="00862085"/>
    <w:rsid w:val="00864C70"/>
    <w:rsid w:val="00864E2B"/>
    <w:rsid w:val="00871CB7"/>
    <w:rsid w:val="00883135"/>
    <w:rsid w:val="00884088"/>
    <w:rsid w:val="00884711"/>
    <w:rsid w:val="008A04E2"/>
    <w:rsid w:val="008B3B1E"/>
    <w:rsid w:val="008C0612"/>
    <w:rsid w:val="008C0D19"/>
    <w:rsid w:val="008C31D3"/>
    <w:rsid w:val="008C4408"/>
    <w:rsid w:val="008C55D5"/>
    <w:rsid w:val="008D3617"/>
    <w:rsid w:val="008D51BC"/>
    <w:rsid w:val="008E4923"/>
    <w:rsid w:val="008E506D"/>
    <w:rsid w:val="008F5835"/>
    <w:rsid w:val="008F6CF8"/>
    <w:rsid w:val="00905116"/>
    <w:rsid w:val="00907396"/>
    <w:rsid w:val="00910501"/>
    <w:rsid w:val="009251D7"/>
    <w:rsid w:val="009325C2"/>
    <w:rsid w:val="009356AC"/>
    <w:rsid w:val="00936EF2"/>
    <w:rsid w:val="009508BE"/>
    <w:rsid w:val="00956313"/>
    <w:rsid w:val="0095733C"/>
    <w:rsid w:val="009624C1"/>
    <w:rsid w:val="0096788A"/>
    <w:rsid w:val="009706AD"/>
    <w:rsid w:val="009738F7"/>
    <w:rsid w:val="00974169"/>
    <w:rsid w:val="009773AB"/>
    <w:rsid w:val="0098051D"/>
    <w:rsid w:val="00980800"/>
    <w:rsid w:val="00986C8F"/>
    <w:rsid w:val="0099761A"/>
    <w:rsid w:val="009A3119"/>
    <w:rsid w:val="009A78FB"/>
    <w:rsid w:val="009B20A1"/>
    <w:rsid w:val="009B6C2B"/>
    <w:rsid w:val="009B757C"/>
    <w:rsid w:val="009B7B16"/>
    <w:rsid w:val="009C1BB4"/>
    <w:rsid w:val="009C3C71"/>
    <w:rsid w:val="009C6FCD"/>
    <w:rsid w:val="009D2ADF"/>
    <w:rsid w:val="009E30B9"/>
    <w:rsid w:val="009E3946"/>
    <w:rsid w:val="009E60C6"/>
    <w:rsid w:val="009E75DD"/>
    <w:rsid w:val="009F5A2A"/>
    <w:rsid w:val="00A04E6B"/>
    <w:rsid w:val="00A17207"/>
    <w:rsid w:val="00A20380"/>
    <w:rsid w:val="00A22B00"/>
    <w:rsid w:val="00A22CD6"/>
    <w:rsid w:val="00A2368D"/>
    <w:rsid w:val="00A23EA2"/>
    <w:rsid w:val="00A30003"/>
    <w:rsid w:val="00A30180"/>
    <w:rsid w:val="00A407BD"/>
    <w:rsid w:val="00A42147"/>
    <w:rsid w:val="00A519D2"/>
    <w:rsid w:val="00A61855"/>
    <w:rsid w:val="00A63CF0"/>
    <w:rsid w:val="00A80174"/>
    <w:rsid w:val="00A842EA"/>
    <w:rsid w:val="00A847EE"/>
    <w:rsid w:val="00A93373"/>
    <w:rsid w:val="00A95426"/>
    <w:rsid w:val="00AA509C"/>
    <w:rsid w:val="00AB073E"/>
    <w:rsid w:val="00AB101B"/>
    <w:rsid w:val="00AB6754"/>
    <w:rsid w:val="00AB7BDF"/>
    <w:rsid w:val="00AC48DB"/>
    <w:rsid w:val="00AC6752"/>
    <w:rsid w:val="00AC774B"/>
    <w:rsid w:val="00AD0E4F"/>
    <w:rsid w:val="00AD114B"/>
    <w:rsid w:val="00AE078A"/>
    <w:rsid w:val="00AE3B50"/>
    <w:rsid w:val="00AF4228"/>
    <w:rsid w:val="00AF4361"/>
    <w:rsid w:val="00AF5B36"/>
    <w:rsid w:val="00AF5CFC"/>
    <w:rsid w:val="00B126E3"/>
    <w:rsid w:val="00B1298A"/>
    <w:rsid w:val="00B130CA"/>
    <w:rsid w:val="00B13B3F"/>
    <w:rsid w:val="00B21CFE"/>
    <w:rsid w:val="00B350CF"/>
    <w:rsid w:val="00B35F84"/>
    <w:rsid w:val="00B40DCF"/>
    <w:rsid w:val="00B41E2E"/>
    <w:rsid w:val="00B431CB"/>
    <w:rsid w:val="00B45594"/>
    <w:rsid w:val="00B4652E"/>
    <w:rsid w:val="00B53221"/>
    <w:rsid w:val="00B548F8"/>
    <w:rsid w:val="00B55680"/>
    <w:rsid w:val="00B63407"/>
    <w:rsid w:val="00B65703"/>
    <w:rsid w:val="00B84706"/>
    <w:rsid w:val="00B85111"/>
    <w:rsid w:val="00B867F4"/>
    <w:rsid w:val="00B87455"/>
    <w:rsid w:val="00B93FDF"/>
    <w:rsid w:val="00B949FB"/>
    <w:rsid w:val="00B94FF9"/>
    <w:rsid w:val="00B97B2C"/>
    <w:rsid w:val="00BA10E1"/>
    <w:rsid w:val="00BB2068"/>
    <w:rsid w:val="00BB43A1"/>
    <w:rsid w:val="00BB7EB4"/>
    <w:rsid w:val="00BC2013"/>
    <w:rsid w:val="00BD2E4B"/>
    <w:rsid w:val="00BD41B1"/>
    <w:rsid w:val="00BF15AF"/>
    <w:rsid w:val="00BF6D35"/>
    <w:rsid w:val="00C014A5"/>
    <w:rsid w:val="00C05A90"/>
    <w:rsid w:val="00C066A1"/>
    <w:rsid w:val="00C07804"/>
    <w:rsid w:val="00C07DE2"/>
    <w:rsid w:val="00C1298A"/>
    <w:rsid w:val="00C12CBD"/>
    <w:rsid w:val="00C212B1"/>
    <w:rsid w:val="00C21BD3"/>
    <w:rsid w:val="00C318A9"/>
    <w:rsid w:val="00C473AE"/>
    <w:rsid w:val="00C635CB"/>
    <w:rsid w:val="00C6497F"/>
    <w:rsid w:val="00C72717"/>
    <w:rsid w:val="00C772BF"/>
    <w:rsid w:val="00C77A75"/>
    <w:rsid w:val="00C815D8"/>
    <w:rsid w:val="00C84EBD"/>
    <w:rsid w:val="00C947B3"/>
    <w:rsid w:val="00C94DD0"/>
    <w:rsid w:val="00CA45CF"/>
    <w:rsid w:val="00CB00E6"/>
    <w:rsid w:val="00CB2FC3"/>
    <w:rsid w:val="00CB3C54"/>
    <w:rsid w:val="00CB4332"/>
    <w:rsid w:val="00CB5C6D"/>
    <w:rsid w:val="00CB760C"/>
    <w:rsid w:val="00CC1B27"/>
    <w:rsid w:val="00CC4FCB"/>
    <w:rsid w:val="00CD07C3"/>
    <w:rsid w:val="00CD259C"/>
    <w:rsid w:val="00CD31FB"/>
    <w:rsid w:val="00CD6A45"/>
    <w:rsid w:val="00CE0FF6"/>
    <w:rsid w:val="00CE2A3C"/>
    <w:rsid w:val="00CE6CA9"/>
    <w:rsid w:val="00CF15F6"/>
    <w:rsid w:val="00CF2C36"/>
    <w:rsid w:val="00CF41F2"/>
    <w:rsid w:val="00CF53A7"/>
    <w:rsid w:val="00CF61FD"/>
    <w:rsid w:val="00CF62CD"/>
    <w:rsid w:val="00CF7A9E"/>
    <w:rsid w:val="00D0161A"/>
    <w:rsid w:val="00D15C15"/>
    <w:rsid w:val="00D32A72"/>
    <w:rsid w:val="00D333BE"/>
    <w:rsid w:val="00D3759A"/>
    <w:rsid w:val="00D416E9"/>
    <w:rsid w:val="00D47E97"/>
    <w:rsid w:val="00D51A11"/>
    <w:rsid w:val="00D51E4F"/>
    <w:rsid w:val="00D520A9"/>
    <w:rsid w:val="00D52FA1"/>
    <w:rsid w:val="00D662E6"/>
    <w:rsid w:val="00D66B42"/>
    <w:rsid w:val="00D671EF"/>
    <w:rsid w:val="00D74423"/>
    <w:rsid w:val="00D74CC7"/>
    <w:rsid w:val="00D753FF"/>
    <w:rsid w:val="00D76DC2"/>
    <w:rsid w:val="00D91FD1"/>
    <w:rsid w:val="00DA3496"/>
    <w:rsid w:val="00DA4E1C"/>
    <w:rsid w:val="00DB1369"/>
    <w:rsid w:val="00DB4AEB"/>
    <w:rsid w:val="00DB625D"/>
    <w:rsid w:val="00DC2E2F"/>
    <w:rsid w:val="00DC3C06"/>
    <w:rsid w:val="00DC4AB8"/>
    <w:rsid w:val="00DC4F31"/>
    <w:rsid w:val="00DC5227"/>
    <w:rsid w:val="00DD574A"/>
    <w:rsid w:val="00DE397B"/>
    <w:rsid w:val="00DE576D"/>
    <w:rsid w:val="00DF045B"/>
    <w:rsid w:val="00DF177D"/>
    <w:rsid w:val="00E04F5C"/>
    <w:rsid w:val="00E11C8A"/>
    <w:rsid w:val="00E13C85"/>
    <w:rsid w:val="00E15F9B"/>
    <w:rsid w:val="00E17804"/>
    <w:rsid w:val="00E22006"/>
    <w:rsid w:val="00E260AF"/>
    <w:rsid w:val="00E3330D"/>
    <w:rsid w:val="00E44F60"/>
    <w:rsid w:val="00E54B51"/>
    <w:rsid w:val="00E55849"/>
    <w:rsid w:val="00E572F6"/>
    <w:rsid w:val="00E64B49"/>
    <w:rsid w:val="00E64E10"/>
    <w:rsid w:val="00E718A4"/>
    <w:rsid w:val="00E74F5C"/>
    <w:rsid w:val="00E81B7B"/>
    <w:rsid w:val="00E82B27"/>
    <w:rsid w:val="00E970E7"/>
    <w:rsid w:val="00EA46C5"/>
    <w:rsid w:val="00EA5374"/>
    <w:rsid w:val="00EB39F0"/>
    <w:rsid w:val="00EB5C28"/>
    <w:rsid w:val="00EC3176"/>
    <w:rsid w:val="00EC56C1"/>
    <w:rsid w:val="00ED3F25"/>
    <w:rsid w:val="00ED49EB"/>
    <w:rsid w:val="00EE075F"/>
    <w:rsid w:val="00EE27C4"/>
    <w:rsid w:val="00EF0A1E"/>
    <w:rsid w:val="00EF42EA"/>
    <w:rsid w:val="00EF7621"/>
    <w:rsid w:val="00F0137C"/>
    <w:rsid w:val="00F01C5C"/>
    <w:rsid w:val="00F02DB6"/>
    <w:rsid w:val="00F1301A"/>
    <w:rsid w:val="00F139AC"/>
    <w:rsid w:val="00F17765"/>
    <w:rsid w:val="00F17FAB"/>
    <w:rsid w:val="00F20E98"/>
    <w:rsid w:val="00F23412"/>
    <w:rsid w:val="00F23848"/>
    <w:rsid w:val="00F24F65"/>
    <w:rsid w:val="00F265A4"/>
    <w:rsid w:val="00F3172B"/>
    <w:rsid w:val="00F35F05"/>
    <w:rsid w:val="00F41685"/>
    <w:rsid w:val="00F4280F"/>
    <w:rsid w:val="00F4398A"/>
    <w:rsid w:val="00F44765"/>
    <w:rsid w:val="00F44CFC"/>
    <w:rsid w:val="00F46AAE"/>
    <w:rsid w:val="00F51928"/>
    <w:rsid w:val="00F572CD"/>
    <w:rsid w:val="00F57FA0"/>
    <w:rsid w:val="00F61B7E"/>
    <w:rsid w:val="00F63C49"/>
    <w:rsid w:val="00F701D9"/>
    <w:rsid w:val="00F75A85"/>
    <w:rsid w:val="00F85B19"/>
    <w:rsid w:val="00F902C6"/>
    <w:rsid w:val="00F90669"/>
    <w:rsid w:val="00F930CB"/>
    <w:rsid w:val="00F94073"/>
    <w:rsid w:val="00F954D8"/>
    <w:rsid w:val="00F978F5"/>
    <w:rsid w:val="00F97BD4"/>
    <w:rsid w:val="00F97E41"/>
    <w:rsid w:val="00FA19EA"/>
    <w:rsid w:val="00FA7B82"/>
    <w:rsid w:val="00FB0699"/>
    <w:rsid w:val="00FB2F8A"/>
    <w:rsid w:val="00FC1232"/>
    <w:rsid w:val="00FC445A"/>
    <w:rsid w:val="00FC526E"/>
    <w:rsid w:val="00FC71BD"/>
    <w:rsid w:val="00FD0977"/>
    <w:rsid w:val="00FD6C3B"/>
    <w:rsid w:val="00FE3E87"/>
    <w:rsid w:val="00FE6BCF"/>
    <w:rsid w:val="00FE7CA2"/>
    <w:rsid w:val="00FF4413"/>
    <w:rsid w:val="086CB0A8"/>
    <w:rsid w:val="0A13A18B"/>
    <w:rsid w:val="0B0A8BAC"/>
    <w:rsid w:val="0C6515DE"/>
    <w:rsid w:val="0CE29C28"/>
    <w:rsid w:val="0D662EE1"/>
    <w:rsid w:val="13E9119C"/>
    <w:rsid w:val="166B5E87"/>
    <w:rsid w:val="1948C2BF"/>
    <w:rsid w:val="1B3F34A8"/>
    <w:rsid w:val="247D8E92"/>
    <w:rsid w:val="2495153E"/>
    <w:rsid w:val="24FA1EE4"/>
    <w:rsid w:val="25A22C52"/>
    <w:rsid w:val="28ABB3E8"/>
    <w:rsid w:val="2DAD5580"/>
    <w:rsid w:val="2E49F66F"/>
    <w:rsid w:val="33702C86"/>
    <w:rsid w:val="340B44E4"/>
    <w:rsid w:val="35EA7CE7"/>
    <w:rsid w:val="376C2A0B"/>
    <w:rsid w:val="37B61391"/>
    <w:rsid w:val="3A3F426C"/>
    <w:rsid w:val="3AA463BD"/>
    <w:rsid w:val="440BC84E"/>
    <w:rsid w:val="460A3B42"/>
    <w:rsid w:val="46248FAB"/>
    <w:rsid w:val="46F7FC42"/>
    <w:rsid w:val="4857C69D"/>
    <w:rsid w:val="4BCBA6F1"/>
    <w:rsid w:val="4C1AA652"/>
    <w:rsid w:val="4D51FA17"/>
    <w:rsid w:val="4DAF5CAF"/>
    <w:rsid w:val="4EA2E58A"/>
    <w:rsid w:val="4F538F0E"/>
    <w:rsid w:val="505D4062"/>
    <w:rsid w:val="520463A1"/>
    <w:rsid w:val="5240E45B"/>
    <w:rsid w:val="52CD86F2"/>
    <w:rsid w:val="52DCD049"/>
    <w:rsid w:val="55476708"/>
    <w:rsid w:val="55F1E20B"/>
    <w:rsid w:val="577F9EC3"/>
    <w:rsid w:val="5787CFB8"/>
    <w:rsid w:val="58E9FCF2"/>
    <w:rsid w:val="592C2C13"/>
    <w:rsid w:val="596C26E6"/>
    <w:rsid w:val="5A0AA532"/>
    <w:rsid w:val="60CFE7A3"/>
    <w:rsid w:val="6140070F"/>
    <w:rsid w:val="61BB00CA"/>
    <w:rsid w:val="644F54CF"/>
    <w:rsid w:val="64FC828F"/>
    <w:rsid w:val="66798E69"/>
    <w:rsid w:val="66CAA6FE"/>
    <w:rsid w:val="6A2D86D6"/>
    <w:rsid w:val="6C39E961"/>
    <w:rsid w:val="6E9E1194"/>
    <w:rsid w:val="6EA9A58D"/>
    <w:rsid w:val="6FF67E9D"/>
    <w:rsid w:val="70898B75"/>
    <w:rsid w:val="7102505B"/>
    <w:rsid w:val="75F46EE6"/>
    <w:rsid w:val="7608D27C"/>
    <w:rsid w:val="76CFC28D"/>
    <w:rsid w:val="7ADA7CB1"/>
    <w:rsid w:val="7AED78A3"/>
    <w:rsid w:val="7D795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10F813"/>
  <w15:docId w15:val="{71A3050D-D5F4-43C0-9F93-9B97A405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99"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B27"/>
    <w:pPr>
      <w:overflowPunct w:val="0"/>
      <w:autoSpaceDE w:val="0"/>
      <w:autoSpaceDN w:val="0"/>
      <w:adjustRightInd w:val="0"/>
      <w:textAlignment w:val="baseline"/>
    </w:pPr>
    <w:rPr>
      <w:sz w:val="24"/>
      <w:lang w:val="es-ES_tradnl" w:eastAsia="es-CO"/>
    </w:rPr>
  </w:style>
  <w:style w:type="paragraph" w:styleId="Ttulo1">
    <w:name w:val="heading 1"/>
    <w:basedOn w:val="Normal"/>
    <w:next w:val="Normal"/>
    <w:qFormat/>
    <w:pPr>
      <w:keepNext/>
      <w:spacing w:line="360" w:lineRule="auto"/>
      <w:jc w:val="both"/>
      <w:outlineLvl w:val="0"/>
    </w:pPr>
    <w:rPr>
      <w:b/>
      <w:i/>
      <w:sz w:val="26"/>
    </w:rPr>
  </w:style>
  <w:style w:type="paragraph" w:styleId="Ttulo2">
    <w:name w:val="heading 2"/>
    <w:basedOn w:val="Normal"/>
    <w:next w:val="Normal"/>
    <w:qFormat/>
    <w:pPr>
      <w:keepNext/>
      <w:suppressAutoHyphens/>
      <w:spacing w:line="360" w:lineRule="auto"/>
      <w:jc w:val="both"/>
      <w:outlineLvl w:val="1"/>
    </w:pPr>
    <w:rPr>
      <w:spacing w:val="-2"/>
      <w:sz w:val="32"/>
    </w:rPr>
  </w:style>
  <w:style w:type="paragraph" w:styleId="Ttulo3">
    <w:name w:val="heading 3"/>
    <w:basedOn w:val="Normal"/>
    <w:next w:val="Normal"/>
    <w:qFormat/>
    <w:pPr>
      <w:keepNext/>
      <w:tabs>
        <w:tab w:val="left" w:pos="-720"/>
      </w:tabs>
      <w:suppressAutoHyphens/>
      <w:spacing w:after="120" w:line="360" w:lineRule="auto"/>
      <w:jc w:val="center"/>
      <w:outlineLvl w:val="2"/>
    </w:pPr>
    <w:rPr>
      <w:rFonts w:ascii="Arial" w:hAnsi="Arial" w:cs="Arial"/>
      <w:b/>
      <w:spacing w:val="-2"/>
    </w:rPr>
  </w:style>
  <w:style w:type="paragraph" w:styleId="Ttulo4">
    <w:name w:val="heading 4"/>
    <w:basedOn w:val="Normal"/>
    <w:next w:val="Normal"/>
    <w:qFormat/>
    <w:pPr>
      <w:keepNext/>
      <w:suppressAutoHyphens/>
      <w:spacing w:line="360" w:lineRule="auto"/>
      <w:ind w:firstLine="708"/>
      <w:jc w:val="center"/>
      <w:outlineLvl w:val="3"/>
    </w:pPr>
    <w:rPr>
      <w:rFonts w:ascii="Arial" w:hAnsi="Arial" w:cs="Arial"/>
      <w:b/>
      <w:spacing w:val="-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widowControl w:val="0"/>
      <w:tabs>
        <w:tab w:val="center" w:pos="4419"/>
        <w:tab w:val="right" w:pos="8838"/>
      </w:tabs>
    </w:pPr>
    <w:rPr>
      <w:sz w:val="20"/>
    </w:rPr>
  </w:style>
  <w:style w:type="paragraph" w:styleId="Piedepgina">
    <w:name w:val="footer"/>
    <w:basedOn w:val="Normal"/>
    <w:pPr>
      <w:widowControl w:val="0"/>
      <w:tabs>
        <w:tab w:val="center" w:pos="4419"/>
        <w:tab w:val="right" w:pos="8838"/>
      </w:tabs>
    </w:pPr>
    <w:rPr>
      <w:sz w:val="20"/>
    </w:rPr>
  </w:style>
  <w:style w:type="character" w:styleId="Nmerodepgina">
    <w:name w:val="page number"/>
    <w:basedOn w:val="Fuentedeprrafopredeter"/>
  </w:style>
  <w:style w:type="paragraph" w:styleId="Textoindependiente">
    <w:name w:val="Body Text"/>
    <w:basedOn w:val="Normal"/>
    <w:pPr>
      <w:spacing w:line="324" w:lineRule="auto"/>
      <w:jc w:val="both"/>
    </w:pPr>
    <w:rPr>
      <w:sz w:val="26"/>
    </w:rPr>
  </w:style>
  <w:style w:type="character" w:styleId="Hipervnculo">
    <w:name w:val="Hyperlink"/>
    <w:rPr>
      <w:color w:val="0000FF"/>
      <w:u w:val="single"/>
    </w:rPr>
  </w:style>
  <w:style w:type="character" w:customStyle="1" w:styleId="textonavy1">
    <w:name w:val="texto_navy1"/>
    <w:rPr>
      <w:color w:val="000080"/>
    </w:rPr>
  </w:style>
  <w:style w:type="character" w:customStyle="1" w:styleId="textored1">
    <w:name w:val="texto_red1"/>
    <w:rPr>
      <w:color w:val="FF0000"/>
    </w:rPr>
  </w:style>
  <w:style w:type="paragraph" w:styleId="NormalWeb">
    <w:name w:val="Normal (Web)"/>
    <w:basedOn w:val="Normal"/>
    <w:pPr>
      <w:overflowPunct/>
      <w:autoSpaceDE/>
      <w:autoSpaceDN/>
      <w:adjustRightInd/>
      <w:spacing w:before="100" w:beforeAutospacing="1" w:after="100" w:afterAutospacing="1"/>
      <w:textAlignment w:val="auto"/>
    </w:pPr>
    <w:rPr>
      <w:szCs w:val="24"/>
      <w:lang w:val="es-ES" w:eastAsia="es-ES"/>
    </w:rPr>
  </w:style>
  <w:style w:type="character" w:styleId="Textoennegrita">
    <w:name w:val="Strong"/>
    <w:qFormat/>
    <w:rPr>
      <w:b/>
      <w:bCs/>
    </w:rPr>
  </w:style>
  <w:style w:type="paragraph" w:styleId="Textoindependiente2">
    <w:name w:val="Body Text 2"/>
    <w:basedOn w:val="Normal"/>
    <w:pPr>
      <w:suppressAutoHyphens/>
      <w:spacing w:line="360" w:lineRule="auto"/>
      <w:jc w:val="both"/>
    </w:pPr>
    <w:rPr>
      <w:spacing w:val="-2"/>
      <w:sz w:val="32"/>
    </w:rPr>
  </w:style>
  <w:style w:type="paragraph" w:styleId="Textoindependiente3">
    <w:name w:val="Body Text 3"/>
    <w:basedOn w:val="Normal"/>
    <w:pPr>
      <w:suppressAutoHyphens/>
      <w:spacing w:line="360" w:lineRule="auto"/>
      <w:jc w:val="both"/>
    </w:pPr>
    <w:rPr>
      <w:rFonts w:ascii="Arial" w:hAnsi="Arial" w:cs="Arial"/>
    </w:rPr>
  </w:style>
  <w:style w:type="paragraph" w:customStyle="1" w:styleId="BodyText21">
    <w:name w:val="Body Text 21"/>
    <w:basedOn w:val="Normal"/>
    <w:pPr>
      <w:overflowPunct/>
      <w:autoSpaceDE/>
      <w:autoSpaceDN/>
      <w:adjustRightInd/>
      <w:spacing w:line="360" w:lineRule="auto"/>
      <w:jc w:val="both"/>
      <w:textAlignment w:val="auto"/>
    </w:pPr>
    <w:rPr>
      <w:rFonts w:ascii="Arial" w:hAnsi="Arial"/>
      <w:b/>
      <w:sz w:val="28"/>
      <w:lang w:eastAsia="es-ES"/>
    </w:rPr>
  </w:style>
  <w:style w:type="paragraph" w:styleId="Ttulo">
    <w:name w:val="Title"/>
    <w:basedOn w:val="Normal"/>
    <w:qFormat/>
    <w:pPr>
      <w:widowControl w:val="0"/>
      <w:overflowPunct/>
      <w:jc w:val="center"/>
      <w:textAlignment w:val="auto"/>
    </w:pPr>
    <w:rPr>
      <w:rFonts w:ascii="Roman 12cpi" w:hAnsi="Roman 12cpi"/>
      <w:b/>
      <w:bCs/>
      <w:sz w:val="20"/>
      <w:lang w:val="es-ES" w:eastAsia="es-ES"/>
    </w:rPr>
  </w:style>
  <w:style w:type="paragraph" w:styleId="Sangradetextonormal">
    <w:name w:val="Body Text Indent"/>
    <w:basedOn w:val="Normal"/>
    <w:pPr>
      <w:spacing w:after="120"/>
      <w:ind w:left="283"/>
    </w:pPr>
  </w:style>
  <w:style w:type="paragraph" w:styleId="Textodeglobo">
    <w:name w:val="Balloon Text"/>
    <w:basedOn w:val="Normal"/>
    <w:link w:val="TextodegloboCar"/>
    <w:rsid w:val="002B45FB"/>
    <w:rPr>
      <w:rFonts w:ascii="Segoe UI" w:hAnsi="Segoe UI" w:cs="Segoe UI"/>
      <w:sz w:val="18"/>
      <w:szCs w:val="18"/>
    </w:rPr>
  </w:style>
  <w:style w:type="character" w:customStyle="1" w:styleId="TextodegloboCar">
    <w:name w:val="Texto de globo Car"/>
    <w:link w:val="Textodeglobo"/>
    <w:rsid w:val="002B45FB"/>
    <w:rPr>
      <w:rFonts w:ascii="Segoe UI" w:hAnsi="Segoe UI" w:cs="Segoe UI"/>
      <w:sz w:val="18"/>
      <w:szCs w:val="18"/>
      <w:lang w:val="es-ES_tradnl" w:eastAsia="es-CO"/>
    </w:rPr>
  </w:style>
  <w:style w:type="paragraph" w:styleId="Prrafodelista">
    <w:name w:val="List Paragraph"/>
    <w:basedOn w:val="Normal"/>
    <w:uiPriority w:val="99"/>
    <w:qFormat/>
    <w:rsid w:val="002767D1"/>
    <w:pPr>
      <w:overflowPunct/>
      <w:autoSpaceDE/>
      <w:autoSpaceDN/>
      <w:adjustRightInd/>
      <w:spacing w:after="200" w:line="276" w:lineRule="auto"/>
      <w:ind w:left="720"/>
      <w:textAlignment w:val="auto"/>
    </w:pPr>
    <w:rPr>
      <w:rFonts w:ascii="Calibri" w:hAnsi="Calibri" w:cs="Calibri"/>
      <w:sz w:val="22"/>
      <w:szCs w:val="22"/>
      <w:lang w:val="es-CO" w:eastAsia="en-US"/>
    </w:rPr>
  </w:style>
  <w:style w:type="character" w:customStyle="1" w:styleId="EncabezadoCar">
    <w:name w:val="Encabezado Car"/>
    <w:link w:val="Encabezado"/>
    <w:uiPriority w:val="99"/>
    <w:rsid w:val="002767D1"/>
    <w:rPr>
      <w:lang w:val="es-ES_tradnl" w:eastAsia="es-CO"/>
    </w:rPr>
  </w:style>
  <w:style w:type="paragraph" w:styleId="Textonotapie">
    <w:name w:val="footnote text"/>
    <w:aliases w:val="Texto nota pie Car2,Footnote Text Char Char Char Char Char Car1,Footnote Text Char Char Char Char Car1,Footnote reference Car1,FA Fu Car1,Footnote Text Char Char Char Car1,texto de nota al pie Car Car,Texto nota pie Car Car Car,FA Fu,Ca"/>
    <w:basedOn w:val="Normal"/>
    <w:link w:val="TextonotapieCar"/>
    <w:uiPriority w:val="99"/>
    <w:rsid w:val="00DC5227"/>
    <w:rPr>
      <w:sz w:val="20"/>
    </w:rPr>
  </w:style>
  <w:style w:type="character" w:customStyle="1" w:styleId="TextonotapieCar">
    <w:name w:val="Texto nota pie Car"/>
    <w:aliases w:val="Texto nota pie Car2 Car,Footnote Text Char Char Char Char Char Car1 Car,Footnote Text Char Char Char Char Car1 Car,Footnote reference Car1 Car,FA Fu Car1 Car,Footnote Text Char Char Char Car1 Car,texto de nota al pie Car Car Car"/>
    <w:link w:val="Textonotapie"/>
    <w:uiPriority w:val="99"/>
    <w:rsid w:val="00DC5227"/>
    <w:rPr>
      <w:lang w:val="es-ES_tradnl" w:eastAsia="es-CO"/>
    </w:rPr>
  </w:style>
  <w:style w:type="character" w:styleId="Refdenotaalpie">
    <w:name w:val="footnote reference"/>
    <w:aliases w:val="Texto de nota al pie,referencia nota al pie,Ref. de nota al pie 2,Footnotes refss,FC,Ref,de nota al pie,Appel note de bas de p,Appel note de bas de page,Footnote number,BVI fnr,f,4_G,16 Point,Superscript 6 Point"/>
    <w:uiPriority w:val="99"/>
    <w:rsid w:val="00DC5227"/>
    <w:rPr>
      <w:vertAlign w:val="superscript"/>
    </w:rPr>
  </w:style>
  <w:style w:type="character" w:styleId="Refdecomentario">
    <w:name w:val="annotation reference"/>
    <w:rsid w:val="00405923"/>
    <w:rPr>
      <w:sz w:val="16"/>
      <w:szCs w:val="16"/>
    </w:rPr>
  </w:style>
  <w:style w:type="paragraph" w:styleId="Textocomentario">
    <w:name w:val="annotation text"/>
    <w:basedOn w:val="Normal"/>
    <w:link w:val="TextocomentarioCar"/>
    <w:rsid w:val="00405923"/>
    <w:rPr>
      <w:sz w:val="20"/>
    </w:rPr>
  </w:style>
  <w:style w:type="character" w:customStyle="1" w:styleId="TextocomentarioCar">
    <w:name w:val="Texto comentario Car"/>
    <w:link w:val="Textocomentario"/>
    <w:rsid w:val="00405923"/>
    <w:rPr>
      <w:lang w:val="es-ES_tradnl" w:eastAsia="es-CO"/>
    </w:rPr>
  </w:style>
  <w:style w:type="paragraph" w:styleId="Asuntodelcomentario">
    <w:name w:val="annotation subject"/>
    <w:basedOn w:val="Textocomentario"/>
    <w:next w:val="Textocomentario"/>
    <w:link w:val="AsuntodelcomentarioCar"/>
    <w:rsid w:val="00405923"/>
    <w:rPr>
      <w:b/>
      <w:bCs/>
    </w:rPr>
  </w:style>
  <w:style w:type="character" w:customStyle="1" w:styleId="AsuntodelcomentarioCar">
    <w:name w:val="Asunto del comentario Car"/>
    <w:link w:val="Asuntodelcomentario"/>
    <w:rsid w:val="00405923"/>
    <w:rPr>
      <w:b/>
      <w:bCs/>
      <w:lang w:val="es-ES_tradnl" w:eastAsia="es-CO"/>
    </w:rPr>
  </w:style>
  <w:style w:type="paragraph" w:styleId="Sinespaciado">
    <w:name w:val="No Spacing"/>
    <w:link w:val="SinespaciadoCar"/>
    <w:uiPriority w:val="1"/>
    <w:qFormat/>
    <w:rsid w:val="00764878"/>
    <w:pPr>
      <w:widowControl w:val="0"/>
      <w:autoSpaceDE w:val="0"/>
      <w:autoSpaceDN w:val="0"/>
      <w:adjustRightInd w:val="0"/>
    </w:pPr>
    <w:rPr>
      <w:rFonts w:ascii="Courier New" w:hAnsi="Courier New" w:cs="Courier New"/>
      <w:sz w:val="24"/>
      <w:szCs w:val="24"/>
      <w:lang w:val="es-ES" w:eastAsia="es-ES"/>
    </w:rPr>
  </w:style>
  <w:style w:type="character" w:customStyle="1" w:styleId="SinespaciadoCar">
    <w:name w:val="Sin espaciado Car"/>
    <w:link w:val="Sinespaciado"/>
    <w:uiPriority w:val="1"/>
    <w:locked/>
    <w:rsid w:val="00764878"/>
    <w:rPr>
      <w:rFonts w:ascii="Courier New" w:hAnsi="Courier New" w:cs="Courier New"/>
      <w:sz w:val="24"/>
      <w:szCs w:val="24"/>
    </w:rPr>
  </w:style>
  <w:style w:type="paragraph" w:customStyle="1" w:styleId="CM203">
    <w:name w:val="CM203"/>
    <w:basedOn w:val="Normal"/>
    <w:next w:val="Normal"/>
    <w:uiPriority w:val="99"/>
    <w:rsid w:val="00416866"/>
    <w:pPr>
      <w:widowControl w:val="0"/>
      <w:overflowPunct/>
      <w:textAlignment w:val="auto"/>
    </w:pPr>
    <w:rPr>
      <w:szCs w:val="24"/>
      <w:lang w:val="es-ES" w:eastAsia="es-ES"/>
    </w:rPr>
  </w:style>
  <w:style w:type="paragraph" w:customStyle="1" w:styleId="Textoindependiente32">
    <w:name w:val="Texto independiente 32"/>
    <w:basedOn w:val="Normal"/>
    <w:rsid w:val="00356E63"/>
    <w:pPr>
      <w:overflowPunct/>
      <w:autoSpaceDE/>
      <w:autoSpaceDN/>
      <w:adjustRightInd/>
      <w:spacing w:line="360" w:lineRule="auto"/>
      <w:jc w:val="both"/>
      <w:textAlignment w:val="auto"/>
    </w:pPr>
    <w:rPr>
      <w:rFonts w:ascii="Arial" w:hAnsi="Arial"/>
      <w:lang w:eastAsia="es-ES"/>
    </w:rPr>
  </w:style>
  <w:style w:type="paragraph" w:customStyle="1" w:styleId="Textoindependiente31">
    <w:name w:val="Texto independiente 31"/>
    <w:basedOn w:val="Normal"/>
    <w:rsid w:val="006E0AA8"/>
    <w:pPr>
      <w:overflowPunct/>
      <w:autoSpaceDE/>
      <w:autoSpaceDN/>
      <w:adjustRightInd/>
      <w:spacing w:line="360" w:lineRule="auto"/>
      <w:jc w:val="both"/>
      <w:textAlignment w:val="auto"/>
    </w:pPr>
    <w:rPr>
      <w:rFonts w:ascii="Arial" w:hAnsi="Arial"/>
      <w:sz w:val="28"/>
      <w:lang w:eastAsia="es-ES"/>
    </w:rPr>
  </w:style>
  <w:style w:type="paragraph" w:customStyle="1" w:styleId="Prrafodelista1">
    <w:name w:val="Párrafo de lista1"/>
    <w:basedOn w:val="Normal"/>
    <w:rsid w:val="006E0AA8"/>
    <w:pPr>
      <w:overflowPunct/>
      <w:autoSpaceDE/>
      <w:autoSpaceDN/>
      <w:adjustRightInd/>
      <w:spacing w:after="200" w:line="276" w:lineRule="auto"/>
      <w:ind w:left="720"/>
      <w:contextualSpacing/>
      <w:textAlignment w:val="auto"/>
    </w:pPr>
    <w:rPr>
      <w:rFonts w:ascii="Calibri" w:hAnsi="Calibri"/>
      <w:sz w:val="22"/>
      <w:szCs w:val="22"/>
      <w:lang w:val="es-CO" w:eastAsia="en-US"/>
    </w:rPr>
  </w:style>
  <w:style w:type="character" w:customStyle="1" w:styleId="UnresolvedMention">
    <w:name w:val="Unresolved Mention"/>
    <w:basedOn w:val="Fuentedeprrafopredeter"/>
    <w:uiPriority w:val="99"/>
    <w:semiHidden/>
    <w:unhideWhenUsed/>
    <w:rsid w:val="00677DA3"/>
    <w:rPr>
      <w:color w:val="605E5C"/>
      <w:shd w:val="clear" w:color="auto" w:fill="E1DFDD"/>
    </w:rPr>
  </w:style>
  <w:style w:type="paragraph" w:customStyle="1" w:styleId="unico">
    <w:name w:val="unico"/>
    <w:basedOn w:val="Normal"/>
    <w:rsid w:val="00B4652E"/>
    <w:pPr>
      <w:overflowPunct/>
      <w:autoSpaceDE/>
      <w:autoSpaceDN/>
      <w:adjustRightInd/>
      <w:spacing w:before="100" w:beforeAutospacing="1" w:after="100" w:afterAutospacing="1"/>
      <w:textAlignment w:val="auto"/>
    </w:pPr>
    <w:rPr>
      <w:szCs w:val="24"/>
      <w:lang w:val="es-CO"/>
    </w:rPr>
  </w:style>
  <w:style w:type="paragraph" w:customStyle="1" w:styleId="paragraph">
    <w:name w:val="paragraph"/>
    <w:basedOn w:val="Normal"/>
    <w:rsid w:val="003C54E9"/>
    <w:pPr>
      <w:overflowPunct/>
      <w:autoSpaceDE/>
      <w:autoSpaceDN/>
      <w:adjustRightInd/>
      <w:spacing w:before="100" w:beforeAutospacing="1" w:after="100" w:afterAutospacing="1"/>
      <w:textAlignment w:val="auto"/>
    </w:pPr>
    <w:rPr>
      <w:szCs w:val="24"/>
      <w:lang w:val="es-CO" w:eastAsia="es-MX"/>
    </w:rPr>
  </w:style>
  <w:style w:type="character" w:customStyle="1" w:styleId="normaltextrun">
    <w:name w:val="normaltextrun"/>
    <w:basedOn w:val="Fuentedeprrafopredeter"/>
    <w:rsid w:val="003C54E9"/>
  </w:style>
  <w:style w:type="character" w:customStyle="1" w:styleId="eop">
    <w:name w:val="eop"/>
    <w:basedOn w:val="Fuentedeprrafopredeter"/>
    <w:rsid w:val="003C5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8979">
      <w:bodyDiv w:val="1"/>
      <w:marLeft w:val="0"/>
      <w:marRight w:val="0"/>
      <w:marTop w:val="0"/>
      <w:marBottom w:val="0"/>
      <w:divBdr>
        <w:top w:val="none" w:sz="0" w:space="0" w:color="auto"/>
        <w:left w:val="none" w:sz="0" w:space="0" w:color="auto"/>
        <w:bottom w:val="none" w:sz="0" w:space="0" w:color="auto"/>
        <w:right w:val="none" w:sz="0" w:space="0" w:color="auto"/>
      </w:divBdr>
      <w:divsChild>
        <w:div w:id="811605361">
          <w:marLeft w:val="0"/>
          <w:marRight w:val="0"/>
          <w:marTop w:val="0"/>
          <w:marBottom w:val="0"/>
          <w:divBdr>
            <w:top w:val="none" w:sz="0" w:space="0" w:color="auto"/>
            <w:left w:val="none" w:sz="0" w:space="0" w:color="auto"/>
            <w:bottom w:val="none" w:sz="0" w:space="0" w:color="auto"/>
            <w:right w:val="none" w:sz="0" w:space="0" w:color="auto"/>
          </w:divBdr>
        </w:div>
        <w:div w:id="312178548">
          <w:marLeft w:val="0"/>
          <w:marRight w:val="0"/>
          <w:marTop w:val="0"/>
          <w:marBottom w:val="0"/>
          <w:divBdr>
            <w:top w:val="none" w:sz="0" w:space="0" w:color="auto"/>
            <w:left w:val="none" w:sz="0" w:space="0" w:color="auto"/>
            <w:bottom w:val="none" w:sz="0" w:space="0" w:color="auto"/>
            <w:right w:val="none" w:sz="0" w:space="0" w:color="auto"/>
          </w:divBdr>
        </w:div>
        <w:div w:id="1171332372">
          <w:marLeft w:val="0"/>
          <w:marRight w:val="0"/>
          <w:marTop w:val="0"/>
          <w:marBottom w:val="0"/>
          <w:divBdr>
            <w:top w:val="none" w:sz="0" w:space="0" w:color="auto"/>
            <w:left w:val="none" w:sz="0" w:space="0" w:color="auto"/>
            <w:bottom w:val="none" w:sz="0" w:space="0" w:color="auto"/>
            <w:right w:val="none" w:sz="0" w:space="0" w:color="auto"/>
          </w:divBdr>
        </w:div>
      </w:divsChild>
    </w:div>
    <w:div w:id="1684472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8A7F0-4518-4E6F-B101-8D6976701E79}">
  <ds:schemaRefs>
    <ds:schemaRef ds:uri="http://schemas.microsoft.com/sharepoint/v3/contenttype/forms"/>
  </ds:schemaRefs>
</ds:datastoreItem>
</file>

<file path=customXml/itemProps2.xml><?xml version="1.0" encoding="utf-8"?>
<ds:datastoreItem xmlns:ds="http://schemas.openxmlformats.org/officeDocument/2006/customXml" ds:itemID="{7C587D00-61D1-4A7E-B8C2-97D4FB039942}">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4CCB6A25-DFAB-4C4B-90D0-F2C383E01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21AFD-DC1A-45B7-8A4F-DF2297ED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3151</Words>
  <Characters>17966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Demandante: María Cenobia Martínez Grajales</vt:lpstr>
    </vt:vector>
  </TitlesOfParts>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Demandante: María Cenobia Martínez Grajales</dc:title>
  <dc:subject/>
  <dc:creator>windows</dc:creator>
  <cp:keywords/>
  <dc:description/>
  <cp:lastModifiedBy>samsung</cp:lastModifiedBy>
  <cp:revision>17</cp:revision>
  <cp:lastPrinted>2019-05-21T18:53:00Z</cp:lastPrinted>
  <dcterms:created xsi:type="dcterms:W3CDTF">2023-10-03T00:29:00Z</dcterms:created>
  <dcterms:modified xsi:type="dcterms:W3CDTF">2023-11-27T12:49:00Z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