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3F351" w14:textId="032EEA91" w:rsidR="00EB0229" w:rsidRPr="003E308C" w:rsidRDefault="003E308C" w:rsidP="00EB0229">
      <w:pPr>
        <w:jc w:val="both"/>
        <w:textAlignment w:val="baseline"/>
        <w:rPr>
          <w:rFonts w:ascii="Arial" w:hAnsi="Arial" w:cs="Arial"/>
          <w:b/>
          <w:sz w:val="20"/>
          <w:lang w:eastAsia="es-CO"/>
        </w:rPr>
      </w:pPr>
      <w:r w:rsidRPr="003E308C">
        <w:rPr>
          <w:rFonts w:ascii="Arial" w:hAnsi="Arial" w:cs="Arial"/>
          <w:b/>
          <w:sz w:val="20"/>
          <w:lang w:eastAsia="es-CO"/>
        </w:rPr>
        <w:t>PROCESO EJECUTIVO / TÍTULO / REQUISITOS</w:t>
      </w:r>
    </w:p>
    <w:p w14:paraId="6E7A3700" w14:textId="4585086D" w:rsidR="00EB0229" w:rsidRPr="00EB0229" w:rsidRDefault="003E308C" w:rsidP="003E308C">
      <w:pPr>
        <w:jc w:val="both"/>
        <w:textAlignment w:val="baseline"/>
        <w:rPr>
          <w:rFonts w:ascii="Arial" w:hAnsi="Arial" w:cs="Arial"/>
          <w:sz w:val="20"/>
          <w:lang w:eastAsia="es-CO"/>
        </w:rPr>
      </w:pPr>
      <w:r w:rsidRPr="003E308C">
        <w:rPr>
          <w:rFonts w:ascii="Arial" w:hAnsi="Arial" w:cs="Arial"/>
          <w:sz w:val="20"/>
          <w:lang w:eastAsia="es-CO"/>
        </w:rPr>
        <w:t xml:space="preserve">Todo proceso ejecutivo sin importar la especialidad y jurisdicción en donde se intente, debe apuntalarse en un título ejecutivo, cuyos requisitos de forma y fondo se consagran en el art. 422 del </w:t>
      </w:r>
      <w:proofErr w:type="spellStart"/>
      <w:r w:rsidRPr="003E308C">
        <w:rPr>
          <w:rFonts w:ascii="Arial" w:hAnsi="Arial" w:cs="Arial"/>
          <w:sz w:val="20"/>
          <w:lang w:eastAsia="es-CO"/>
        </w:rPr>
        <w:t>CGP</w:t>
      </w:r>
      <w:proofErr w:type="spellEnd"/>
      <w:r w:rsidRPr="003E308C">
        <w:rPr>
          <w:rFonts w:ascii="Arial" w:hAnsi="Arial" w:cs="Arial"/>
          <w:sz w:val="20"/>
          <w:lang w:eastAsia="es-CO"/>
        </w:rPr>
        <w:t>, canon que se aplica por remisión a la especialidad laboral.</w:t>
      </w:r>
      <w:r>
        <w:rPr>
          <w:rFonts w:ascii="Arial" w:hAnsi="Arial" w:cs="Arial"/>
          <w:sz w:val="20"/>
          <w:lang w:eastAsia="es-CO"/>
        </w:rPr>
        <w:t xml:space="preserve"> (…)</w:t>
      </w:r>
      <w:r w:rsidRPr="003E308C">
        <w:rPr>
          <w:rFonts w:ascii="Arial" w:hAnsi="Arial" w:cs="Arial"/>
          <w:sz w:val="20"/>
          <w:lang w:eastAsia="es-CO"/>
        </w:rPr>
        <w:t xml:space="preserve"> también son títulos ejecutivos los que la misma legislación establece, entre ellos, las facturas de servicios públicos, la liquidación que realice el administrador para el cobro de las cuotas de administración de propiedad horizontal y el cobro de aportes pensionales. Eventos en los cuales, la norma señala las condiciones y requisitos que deben constar en el documento para que se pueda cobrar ejecutivamente dichas obligaciones.</w:t>
      </w:r>
    </w:p>
    <w:p w14:paraId="619CED44" w14:textId="77777777" w:rsidR="00EB0229" w:rsidRPr="00EB0229" w:rsidRDefault="00EB0229" w:rsidP="00EB0229">
      <w:pPr>
        <w:jc w:val="both"/>
        <w:textAlignment w:val="baseline"/>
        <w:rPr>
          <w:rFonts w:ascii="Arial" w:hAnsi="Arial" w:cs="Arial"/>
          <w:sz w:val="20"/>
          <w:lang w:eastAsia="es-CO"/>
        </w:rPr>
      </w:pPr>
    </w:p>
    <w:p w14:paraId="5A00CF3F" w14:textId="5DA22F44" w:rsidR="003E308C" w:rsidRPr="003E308C" w:rsidRDefault="008304A0" w:rsidP="003E308C">
      <w:pPr>
        <w:jc w:val="both"/>
        <w:textAlignment w:val="baseline"/>
        <w:rPr>
          <w:rFonts w:ascii="Arial" w:hAnsi="Arial" w:cs="Arial"/>
          <w:b/>
          <w:sz w:val="20"/>
          <w:lang w:eastAsia="es-CO"/>
        </w:rPr>
      </w:pPr>
      <w:r>
        <w:rPr>
          <w:rFonts w:ascii="Arial" w:hAnsi="Arial" w:cs="Arial"/>
          <w:b/>
          <w:sz w:val="20"/>
          <w:lang w:eastAsia="es-CO"/>
        </w:rPr>
        <w:t xml:space="preserve">COBRO DE APORTES PENSIONALES / TÍTULO </w:t>
      </w:r>
      <w:r w:rsidR="003E308C" w:rsidRPr="003E308C">
        <w:rPr>
          <w:rFonts w:ascii="Arial" w:hAnsi="Arial" w:cs="Arial"/>
          <w:b/>
          <w:sz w:val="20"/>
          <w:lang w:eastAsia="es-CO"/>
        </w:rPr>
        <w:t xml:space="preserve">EJECUTIVO / </w:t>
      </w:r>
      <w:r>
        <w:rPr>
          <w:rFonts w:ascii="Arial" w:hAnsi="Arial" w:cs="Arial"/>
          <w:b/>
          <w:sz w:val="20"/>
          <w:lang w:eastAsia="es-CO"/>
        </w:rPr>
        <w:t>LIQUIDACIÓN DE LAS AFP</w:t>
      </w:r>
    </w:p>
    <w:p w14:paraId="5C4723B1" w14:textId="72A4241C" w:rsidR="00EB0229" w:rsidRPr="00EB0229" w:rsidRDefault="008304A0" w:rsidP="00EB0229">
      <w:pPr>
        <w:jc w:val="both"/>
        <w:textAlignment w:val="baseline"/>
        <w:rPr>
          <w:rFonts w:ascii="Arial" w:hAnsi="Arial" w:cs="Arial"/>
          <w:sz w:val="20"/>
          <w:lang w:eastAsia="es-CO"/>
        </w:rPr>
      </w:pPr>
      <w:r w:rsidRPr="008304A0">
        <w:rPr>
          <w:rFonts w:ascii="Arial" w:hAnsi="Arial" w:cs="Arial"/>
          <w:sz w:val="20"/>
          <w:lang w:eastAsia="es-CO"/>
        </w:rPr>
        <w:t>Frente a estos últimos, el artículo 24 de la Ley 100 de 1993 establece que presta mérito ejecutivo las liquidaciones que las administradoras de pensiones realicen sobre las obligaciones incumplidas del empleador, de ahí que el artículo 5º del Decreto 2633 de 1994 regule tal procedimiento, para establecer que se necesita i) requerir al empleador mediante comunicación dirigida a este, esto es, la certeza de que el requerimiento haya sido en efecto conocido por su deudor y ii) la liquidación correspondiente de los aportes en mora</w:t>
      </w:r>
      <w:r>
        <w:rPr>
          <w:rFonts w:ascii="Arial" w:hAnsi="Arial" w:cs="Arial"/>
          <w:sz w:val="20"/>
          <w:lang w:eastAsia="es-CO"/>
        </w:rPr>
        <w:t>…</w:t>
      </w:r>
    </w:p>
    <w:p w14:paraId="30311CE9" w14:textId="77777777" w:rsidR="00EB0229" w:rsidRPr="00EB0229" w:rsidRDefault="00EB0229" w:rsidP="00EB0229">
      <w:pPr>
        <w:jc w:val="both"/>
        <w:textAlignment w:val="baseline"/>
        <w:rPr>
          <w:rFonts w:ascii="Arial" w:hAnsi="Arial" w:cs="Arial"/>
          <w:sz w:val="20"/>
          <w:lang w:eastAsia="es-CO"/>
        </w:rPr>
      </w:pPr>
    </w:p>
    <w:p w14:paraId="2ED6A0C9" w14:textId="3EC55C75" w:rsidR="008304A0" w:rsidRPr="003E308C" w:rsidRDefault="008304A0" w:rsidP="008304A0">
      <w:pPr>
        <w:jc w:val="both"/>
        <w:textAlignment w:val="baseline"/>
        <w:rPr>
          <w:rFonts w:ascii="Arial" w:hAnsi="Arial" w:cs="Arial"/>
          <w:b/>
          <w:sz w:val="20"/>
          <w:lang w:eastAsia="es-CO"/>
        </w:rPr>
      </w:pPr>
      <w:r>
        <w:rPr>
          <w:rFonts w:ascii="Arial" w:hAnsi="Arial" w:cs="Arial"/>
          <w:b/>
          <w:sz w:val="20"/>
          <w:lang w:eastAsia="es-CO"/>
        </w:rPr>
        <w:t xml:space="preserve">COBRO DE APORTES PENSIONALES / </w:t>
      </w:r>
      <w:r w:rsidR="00DA0AF6">
        <w:rPr>
          <w:rFonts w:ascii="Arial" w:hAnsi="Arial" w:cs="Arial"/>
          <w:b/>
          <w:sz w:val="20"/>
          <w:lang w:eastAsia="es-CO"/>
        </w:rPr>
        <w:t>CONSTITUCIÓN EN MORA AL DEUDOR</w:t>
      </w:r>
    </w:p>
    <w:p w14:paraId="672EE7CA" w14:textId="1D423D7E" w:rsidR="00EB0229" w:rsidRPr="00EB0229" w:rsidRDefault="00DA0AF6" w:rsidP="008F30D0">
      <w:pPr>
        <w:jc w:val="both"/>
        <w:textAlignment w:val="baseline"/>
        <w:rPr>
          <w:rFonts w:ascii="Arial" w:hAnsi="Arial" w:cs="Arial"/>
          <w:sz w:val="20"/>
          <w:lang w:eastAsia="es-CO"/>
        </w:rPr>
      </w:pPr>
      <w:r w:rsidRPr="00DA0AF6">
        <w:rPr>
          <w:rFonts w:ascii="Arial" w:hAnsi="Arial" w:cs="Arial"/>
          <w:sz w:val="20"/>
          <w:lang w:eastAsia="es-CO"/>
        </w:rPr>
        <w:t>Esta corporación en providencias del 09/05/2019</w:t>
      </w:r>
      <w:r>
        <w:rPr>
          <w:rFonts w:ascii="Arial" w:hAnsi="Arial" w:cs="Arial"/>
          <w:sz w:val="20"/>
          <w:lang w:eastAsia="es-CO"/>
        </w:rPr>
        <w:t>…</w:t>
      </w:r>
      <w:r w:rsidRPr="00DA0AF6">
        <w:rPr>
          <w:rFonts w:ascii="Arial" w:hAnsi="Arial" w:cs="Arial"/>
          <w:sz w:val="20"/>
          <w:lang w:eastAsia="es-CO"/>
        </w:rPr>
        <w:t xml:space="preserve"> explicó que el requerimiento previo se cumple, siempre que al escrito mediante el cual se cobre la obligación al empleador, se encuentre acompañado del informe sobre el valor adeudado de forma discriminada, esto es, en el que conste una liquidación provisoria de los ciclos adeudados y los trabajadores frente a los cuales se adeudan dichos ciclos; liquidación que debe tener congruencia con la liquidación que se aporta al proceso ejecutivo</w:t>
      </w:r>
      <w:r>
        <w:rPr>
          <w:rFonts w:ascii="Arial" w:hAnsi="Arial" w:cs="Arial"/>
          <w:sz w:val="20"/>
          <w:lang w:eastAsia="es-CO"/>
        </w:rPr>
        <w:t>…</w:t>
      </w:r>
      <w:r w:rsidR="008F30D0">
        <w:rPr>
          <w:rFonts w:ascii="Arial" w:hAnsi="Arial" w:cs="Arial"/>
          <w:sz w:val="20"/>
          <w:lang w:eastAsia="es-CO"/>
        </w:rPr>
        <w:t xml:space="preserve"> </w:t>
      </w:r>
      <w:r w:rsidR="008F30D0" w:rsidRPr="008F30D0">
        <w:rPr>
          <w:rFonts w:ascii="Arial" w:hAnsi="Arial" w:cs="Arial"/>
          <w:sz w:val="20"/>
          <w:lang w:eastAsia="es-CO"/>
        </w:rPr>
        <w:t>también se definió que no puede exigírsele a la administradora pensional que la constitución en mora se entregue “efectivamente al empleador moroso”, en tanto que ello implicaría imponer a la AFP exigencias imposibles de cumplir</w:t>
      </w:r>
      <w:r w:rsidR="008F30D0">
        <w:rPr>
          <w:rFonts w:ascii="Arial" w:hAnsi="Arial" w:cs="Arial"/>
          <w:sz w:val="20"/>
          <w:lang w:eastAsia="es-CO"/>
        </w:rPr>
        <w:t xml:space="preserve">… </w:t>
      </w:r>
      <w:r w:rsidR="008F30D0" w:rsidRPr="008F30D0">
        <w:rPr>
          <w:rFonts w:ascii="Arial" w:hAnsi="Arial" w:cs="Arial"/>
          <w:sz w:val="20"/>
          <w:lang w:eastAsia="es-CO"/>
        </w:rPr>
        <w:t>En ese sentido, la constitución en mora del empleador para esta Colegiatura se entiende cumplida con “la remisión del requerimiento por correo certificado a la dirección que se hubiere informado a la entidad de seguridad social o que figure como dirección de notificaciones en el respectivo certificado de existencia y representación legal”.</w:t>
      </w:r>
    </w:p>
    <w:p w14:paraId="0D7F25B9" w14:textId="62D9CF45" w:rsidR="00EB0229" w:rsidRDefault="00EB0229" w:rsidP="00EB0229">
      <w:pPr>
        <w:jc w:val="both"/>
        <w:textAlignment w:val="baseline"/>
        <w:rPr>
          <w:rFonts w:ascii="Arial" w:hAnsi="Arial" w:cs="Arial"/>
          <w:sz w:val="20"/>
          <w:lang w:eastAsia="es-CO"/>
        </w:rPr>
      </w:pPr>
    </w:p>
    <w:p w14:paraId="173886F6" w14:textId="272CAF42" w:rsidR="00DA0AF6" w:rsidRPr="003E308C" w:rsidRDefault="00DA0AF6" w:rsidP="00DA0AF6">
      <w:pPr>
        <w:jc w:val="both"/>
        <w:textAlignment w:val="baseline"/>
        <w:rPr>
          <w:rFonts w:ascii="Arial" w:hAnsi="Arial" w:cs="Arial"/>
          <w:b/>
          <w:sz w:val="20"/>
          <w:lang w:eastAsia="es-CO"/>
        </w:rPr>
      </w:pPr>
      <w:r>
        <w:rPr>
          <w:rFonts w:ascii="Arial" w:hAnsi="Arial" w:cs="Arial"/>
          <w:b/>
          <w:sz w:val="20"/>
          <w:lang w:eastAsia="es-CO"/>
        </w:rPr>
        <w:t xml:space="preserve">APORTES PENSIONALES / </w:t>
      </w:r>
      <w:r w:rsidR="00F72164">
        <w:rPr>
          <w:rFonts w:ascii="Arial" w:hAnsi="Arial" w:cs="Arial"/>
          <w:b/>
          <w:sz w:val="20"/>
          <w:lang w:eastAsia="es-CO"/>
        </w:rPr>
        <w:t>TÍTULO EJECUTIVO / CONTROL DE LEGALIDAD</w:t>
      </w:r>
    </w:p>
    <w:p w14:paraId="275EF2CC" w14:textId="0EC8F5E8" w:rsidR="00DA0AF6" w:rsidRDefault="003D7E01" w:rsidP="00EB0229">
      <w:pPr>
        <w:jc w:val="both"/>
        <w:textAlignment w:val="baseline"/>
        <w:rPr>
          <w:rFonts w:ascii="Arial" w:hAnsi="Arial" w:cs="Arial"/>
          <w:sz w:val="20"/>
          <w:lang w:eastAsia="es-CO"/>
        </w:rPr>
      </w:pPr>
      <w:r w:rsidRPr="003D7E01">
        <w:rPr>
          <w:rFonts w:ascii="Arial" w:hAnsi="Arial" w:cs="Arial"/>
          <w:sz w:val="20"/>
          <w:lang w:eastAsia="es-CO"/>
        </w:rPr>
        <w:t xml:space="preserve">Al tenor del artículo 430 del </w:t>
      </w:r>
      <w:proofErr w:type="spellStart"/>
      <w:r w:rsidRPr="003D7E01">
        <w:rPr>
          <w:rFonts w:ascii="Arial" w:hAnsi="Arial" w:cs="Arial"/>
          <w:sz w:val="20"/>
          <w:lang w:eastAsia="es-CO"/>
        </w:rPr>
        <w:t>C.G.P</w:t>
      </w:r>
      <w:proofErr w:type="spellEnd"/>
      <w:r w:rsidRPr="003D7E01">
        <w:rPr>
          <w:rFonts w:ascii="Arial" w:hAnsi="Arial" w:cs="Arial"/>
          <w:sz w:val="20"/>
          <w:lang w:eastAsia="es-CO"/>
        </w:rPr>
        <w:t>. los requisitos formales del título ejecutivo solo podrán discutirse mediante recurso de reposición contra el mandamiento ejecutivo, y en consecuencia no se admitirá ninguna otra controversia sobre los requisitos del título</w:t>
      </w:r>
      <w:r>
        <w:rPr>
          <w:rFonts w:ascii="Arial" w:hAnsi="Arial" w:cs="Arial"/>
          <w:sz w:val="20"/>
          <w:lang w:eastAsia="es-CO"/>
        </w:rPr>
        <w:t xml:space="preserve">… </w:t>
      </w:r>
      <w:r w:rsidRPr="003D7E01">
        <w:rPr>
          <w:rFonts w:ascii="Arial" w:hAnsi="Arial" w:cs="Arial"/>
          <w:sz w:val="20"/>
          <w:lang w:eastAsia="es-CO"/>
        </w:rPr>
        <w:t>Sin embargo, esta Corporación en diversas decisiones de contornos similares a la de ahora</w:t>
      </w:r>
      <w:r>
        <w:rPr>
          <w:rFonts w:ascii="Arial" w:hAnsi="Arial" w:cs="Arial"/>
          <w:sz w:val="20"/>
          <w:lang w:eastAsia="es-CO"/>
        </w:rPr>
        <w:t>…</w:t>
      </w:r>
      <w:r w:rsidRPr="003D7E01">
        <w:rPr>
          <w:rFonts w:ascii="Arial" w:hAnsi="Arial" w:cs="Arial"/>
          <w:sz w:val="20"/>
          <w:lang w:eastAsia="es-CO"/>
        </w:rPr>
        <w:t xml:space="preserve"> memoró una decisión de la Sala Civil de la Corte Suprema de Justicia en la que se definió que, pese a la limitante contenida en el artículo 430 ibídem, el juzgador cuenta con la potestad de realizar un control de legalidad en garantía de los derechos sustanciales de las partes</w:t>
      </w:r>
      <w:r>
        <w:rPr>
          <w:rFonts w:ascii="Arial" w:hAnsi="Arial" w:cs="Arial"/>
          <w:sz w:val="20"/>
          <w:lang w:eastAsia="es-CO"/>
        </w:rPr>
        <w:t>…</w:t>
      </w:r>
    </w:p>
    <w:p w14:paraId="7B122854" w14:textId="77777777" w:rsidR="00DA0AF6" w:rsidRPr="00EB0229" w:rsidRDefault="00DA0AF6" w:rsidP="00EB0229">
      <w:pPr>
        <w:jc w:val="both"/>
        <w:textAlignment w:val="baseline"/>
        <w:rPr>
          <w:rFonts w:ascii="Arial" w:hAnsi="Arial" w:cs="Arial"/>
          <w:sz w:val="20"/>
          <w:lang w:eastAsia="es-CO"/>
        </w:rPr>
      </w:pPr>
    </w:p>
    <w:p w14:paraId="61D6EEEA" w14:textId="77777777" w:rsidR="00EB0229" w:rsidRPr="00EB0229" w:rsidRDefault="00EB0229" w:rsidP="00EB0229">
      <w:pPr>
        <w:jc w:val="both"/>
        <w:textAlignment w:val="baseline"/>
        <w:rPr>
          <w:rFonts w:ascii="Arial" w:hAnsi="Arial" w:cs="Arial"/>
          <w:sz w:val="20"/>
          <w:lang w:eastAsia="es-CO"/>
        </w:rPr>
      </w:pPr>
    </w:p>
    <w:p w14:paraId="0D987681" w14:textId="77777777" w:rsidR="00EB0229" w:rsidRPr="00EB0229" w:rsidRDefault="00EB0229" w:rsidP="00EB0229">
      <w:pPr>
        <w:jc w:val="both"/>
        <w:textAlignment w:val="baseline"/>
        <w:rPr>
          <w:rFonts w:ascii="Arial" w:hAnsi="Arial" w:cs="Arial"/>
          <w:sz w:val="20"/>
          <w:lang w:eastAsia="es-CO"/>
        </w:rPr>
      </w:pPr>
    </w:p>
    <w:p w14:paraId="7E5D56A7" w14:textId="77777777" w:rsidR="00EB0229" w:rsidRPr="00EB0229" w:rsidRDefault="00EB0229" w:rsidP="00EB0229">
      <w:pPr>
        <w:spacing w:line="276" w:lineRule="auto"/>
        <w:jc w:val="center"/>
        <w:textAlignment w:val="baseline"/>
        <w:rPr>
          <w:rFonts w:ascii="Arial" w:hAnsi="Arial" w:cs="Arial"/>
          <w:lang w:eastAsia="es-CO"/>
        </w:rPr>
      </w:pPr>
      <w:r w:rsidRPr="00EB0229">
        <w:rPr>
          <w:rFonts w:ascii="Arial" w:hAnsi="Arial" w:cs="Arial"/>
          <w:noProof/>
          <w:lang w:val="en-US" w:eastAsia="en-US"/>
        </w:rPr>
        <w:drawing>
          <wp:inline distT="0" distB="0" distL="0" distR="0" wp14:anchorId="1CAF7FF8" wp14:editId="13CCFFAC">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EB0229">
        <w:rPr>
          <w:rFonts w:ascii="Arial" w:hAnsi="Arial" w:cs="Arial"/>
          <w:lang w:eastAsia="es-CO"/>
        </w:rPr>
        <w:t> </w:t>
      </w:r>
    </w:p>
    <w:p w14:paraId="5DD23270" w14:textId="77777777" w:rsidR="00EB0229" w:rsidRPr="00EB0229" w:rsidRDefault="00EB0229" w:rsidP="00EB0229">
      <w:pPr>
        <w:spacing w:line="276" w:lineRule="auto"/>
        <w:jc w:val="center"/>
        <w:textAlignment w:val="baseline"/>
        <w:rPr>
          <w:rFonts w:ascii="Arial" w:hAnsi="Arial" w:cs="Arial"/>
          <w:lang w:eastAsia="es-CO"/>
        </w:rPr>
      </w:pPr>
      <w:r w:rsidRPr="00EB0229">
        <w:rPr>
          <w:rFonts w:ascii="Arial" w:hAnsi="Arial" w:cs="Arial"/>
          <w:b/>
          <w:bCs/>
          <w:lang w:val="es-ES" w:eastAsia="es-CO"/>
        </w:rPr>
        <w:t>RAMA JUDICIAL DEL PODER PÚBLICO</w:t>
      </w:r>
      <w:r w:rsidRPr="00EB0229">
        <w:rPr>
          <w:rFonts w:ascii="Arial" w:hAnsi="Arial" w:cs="Arial"/>
          <w:lang w:eastAsia="es-CO"/>
        </w:rPr>
        <w:t> </w:t>
      </w:r>
    </w:p>
    <w:p w14:paraId="63E5D092" w14:textId="77777777" w:rsidR="00EB0229" w:rsidRPr="00EB0229" w:rsidRDefault="00EB0229" w:rsidP="00EB0229">
      <w:pPr>
        <w:spacing w:line="276" w:lineRule="auto"/>
        <w:jc w:val="center"/>
        <w:textAlignment w:val="baseline"/>
        <w:rPr>
          <w:rFonts w:ascii="Arial" w:hAnsi="Arial" w:cs="Arial"/>
          <w:lang w:eastAsia="es-CO"/>
        </w:rPr>
      </w:pPr>
      <w:r w:rsidRPr="00EB0229">
        <w:rPr>
          <w:rFonts w:ascii="Arial" w:hAnsi="Arial" w:cs="Arial"/>
          <w:b/>
          <w:bCs/>
          <w:lang w:val="es-ES" w:eastAsia="es-CO"/>
        </w:rPr>
        <w:t>TRIBUNAL SUPERIOR DEL DISTRITO JUDICIAL DE PEREIRA</w:t>
      </w:r>
      <w:r w:rsidRPr="00EB0229">
        <w:rPr>
          <w:rFonts w:ascii="Arial" w:hAnsi="Arial" w:cs="Arial"/>
          <w:lang w:eastAsia="es-CO"/>
        </w:rPr>
        <w:t> </w:t>
      </w:r>
    </w:p>
    <w:p w14:paraId="027F61BC" w14:textId="77777777" w:rsidR="00EB0229" w:rsidRPr="00EB0229" w:rsidRDefault="00EB0229" w:rsidP="00EB0229">
      <w:pPr>
        <w:spacing w:line="276" w:lineRule="auto"/>
        <w:jc w:val="center"/>
        <w:textAlignment w:val="baseline"/>
        <w:rPr>
          <w:rFonts w:ascii="Arial" w:hAnsi="Arial" w:cs="Arial"/>
          <w:lang w:eastAsia="es-CO"/>
        </w:rPr>
      </w:pPr>
      <w:r w:rsidRPr="00EB0229">
        <w:rPr>
          <w:rFonts w:ascii="Arial" w:hAnsi="Arial" w:cs="Arial"/>
          <w:b/>
          <w:bCs/>
          <w:lang w:val="es-ES" w:eastAsia="es-CO"/>
        </w:rPr>
        <w:t>SALA DE DECISIÓN LABORAL</w:t>
      </w:r>
      <w:r w:rsidRPr="00EB0229">
        <w:rPr>
          <w:rFonts w:ascii="Arial" w:hAnsi="Arial" w:cs="Arial"/>
          <w:lang w:eastAsia="es-CO"/>
        </w:rPr>
        <w:t> </w:t>
      </w:r>
    </w:p>
    <w:p w14:paraId="6BD523F7" w14:textId="77777777" w:rsidR="00EB0229" w:rsidRPr="00EB0229" w:rsidRDefault="00EB0229" w:rsidP="00EB0229">
      <w:pPr>
        <w:spacing w:line="276" w:lineRule="auto"/>
        <w:jc w:val="both"/>
        <w:textAlignment w:val="baseline"/>
        <w:rPr>
          <w:rFonts w:ascii="Arial" w:hAnsi="Arial" w:cs="Arial"/>
          <w:lang w:eastAsia="es-CO"/>
        </w:rPr>
      </w:pPr>
      <w:r w:rsidRPr="00EB0229">
        <w:rPr>
          <w:rFonts w:ascii="Arial" w:hAnsi="Arial" w:cs="Arial"/>
          <w:lang w:eastAsia="es-CO"/>
        </w:rPr>
        <w:t> </w:t>
      </w:r>
    </w:p>
    <w:p w14:paraId="6AD19D30" w14:textId="77777777" w:rsidR="00EB0229" w:rsidRPr="00EB0229" w:rsidRDefault="00EB0229" w:rsidP="00EB0229">
      <w:pPr>
        <w:spacing w:line="276" w:lineRule="auto"/>
        <w:jc w:val="center"/>
        <w:textAlignment w:val="baseline"/>
        <w:rPr>
          <w:rFonts w:ascii="Arial" w:hAnsi="Arial" w:cs="Arial"/>
          <w:lang w:eastAsia="es-CO"/>
        </w:rPr>
      </w:pPr>
      <w:r w:rsidRPr="00EB0229">
        <w:rPr>
          <w:rFonts w:ascii="Arial" w:hAnsi="Arial" w:cs="Arial"/>
          <w:color w:val="000000"/>
          <w:lang w:val="es-ES" w:eastAsia="es-CO"/>
        </w:rPr>
        <w:t>Magistrada Ponente</w:t>
      </w:r>
      <w:r w:rsidRPr="00EB0229">
        <w:rPr>
          <w:rFonts w:ascii="Arial" w:hAnsi="Arial" w:cs="Arial"/>
          <w:color w:val="000000"/>
          <w:lang w:eastAsia="es-CO"/>
        </w:rPr>
        <w:t> </w:t>
      </w:r>
    </w:p>
    <w:p w14:paraId="06881EEC" w14:textId="77777777" w:rsidR="00EB0229" w:rsidRPr="00EB0229" w:rsidRDefault="00EB0229" w:rsidP="00EB0229">
      <w:pPr>
        <w:spacing w:line="276" w:lineRule="auto"/>
        <w:jc w:val="center"/>
        <w:textAlignment w:val="baseline"/>
        <w:rPr>
          <w:rFonts w:ascii="Arial" w:hAnsi="Arial" w:cs="Arial"/>
          <w:lang w:eastAsia="es-CO"/>
        </w:rPr>
      </w:pPr>
      <w:r w:rsidRPr="00EB0229">
        <w:rPr>
          <w:rFonts w:ascii="Arial" w:hAnsi="Arial" w:cs="Arial"/>
          <w:b/>
          <w:bCs/>
          <w:color w:val="000000"/>
          <w:lang w:eastAsia="es-CO"/>
        </w:rPr>
        <w:t>OLGA LUCÍA HOYOS SEPÚLVEDA</w:t>
      </w:r>
      <w:r w:rsidRPr="00EB0229">
        <w:rPr>
          <w:rFonts w:ascii="Arial" w:hAnsi="Arial" w:cs="Arial"/>
          <w:color w:val="000000"/>
          <w:lang w:eastAsia="es-CO"/>
        </w:rPr>
        <w:t> </w:t>
      </w:r>
    </w:p>
    <w:p w14:paraId="2F16E72D" w14:textId="77777777" w:rsidR="00EB0229" w:rsidRPr="00EB0229" w:rsidRDefault="00EB0229" w:rsidP="00EB0229">
      <w:pPr>
        <w:spacing w:line="276" w:lineRule="auto"/>
        <w:jc w:val="both"/>
        <w:textAlignment w:val="baseline"/>
        <w:rPr>
          <w:rFonts w:ascii="Arial" w:hAnsi="Arial" w:cs="Arial"/>
          <w:lang w:eastAsia="es-CO"/>
        </w:rPr>
      </w:pPr>
      <w:r w:rsidRPr="00EB0229">
        <w:rPr>
          <w:rFonts w:ascii="Arial" w:hAnsi="Arial" w:cs="Arial"/>
          <w:color w:val="000000"/>
          <w:lang w:eastAsia="es-CO"/>
        </w:rPr>
        <w:t> </w:t>
      </w:r>
    </w:p>
    <w:p w14:paraId="120A833E" w14:textId="21B4D3CE" w:rsidR="00E20B33" w:rsidRPr="00557E1A" w:rsidRDefault="19F50764" w:rsidP="007E490A">
      <w:pPr>
        <w:pStyle w:val="Ttulo"/>
        <w:spacing w:line="240" w:lineRule="auto"/>
        <w:ind w:left="2124"/>
        <w:jc w:val="left"/>
        <w:rPr>
          <w:rFonts w:ascii="Arial" w:hAnsi="Arial" w:cs="Arial"/>
          <w:sz w:val="22"/>
          <w:szCs w:val="24"/>
        </w:rPr>
      </w:pPr>
      <w:r w:rsidRPr="00557E1A">
        <w:rPr>
          <w:rFonts w:ascii="Arial" w:hAnsi="Arial" w:cs="Arial"/>
          <w:bCs/>
          <w:sz w:val="22"/>
          <w:szCs w:val="24"/>
        </w:rPr>
        <w:t>Asunto.</w:t>
      </w:r>
      <w:r w:rsidR="00E20B33" w:rsidRPr="00557E1A">
        <w:rPr>
          <w:rFonts w:ascii="Arial" w:hAnsi="Arial" w:cs="Arial"/>
          <w:sz w:val="22"/>
          <w:szCs w:val="24"/>
        </w:rPr>
        <w:tab/>
      </w:r>
      <w:r w:rsidRPr="00557E1A">
        <w:rPr>
          <w:rFonts w:ascii="Arial" w:hAnsi="Arial" w:cs="Arial"/>
          <w:sz w:val="22"/>
          <w:szCs w:val="24"/>
        </w:rPr>
        <w:t xml:space="preserve">Apelación auto  </w:t>
      </w:r>
    </w:p>
    <w:p w14:paraId="3859A9E8" w14:textId="49C2A716" w:rsidR="00E20B33" w:rsidRPr="00557E1A" w:rsidRDefault="19F50764" w:rsidP="007E490A">
      <w:pPr>
        <w:pStyle w:val="Ttulo"/>
        <w:spacing w:line="240" w:lineRule="auto"/>
        <w:ind w:left="2124"/>
        <w:jc w:val="left"/>
        <w:rPr>
          <w:rFonts w:ascii="Arial" w:hAnsi="Arial" w:cs="Arial"/>
          <w:bCs/>
          <w:sz w:val="22"/>
          <w:szCs w:val="24"/>
        </w:rPr>
      </w:pPr>
      <w:r w:rsidRPr="00557E1A">
        <w:rPr>
          <w:rFonts w:ascii="Arial" w:hAnsi="Arial" w:cs="Arial"/>
          <w:bCs/>
          <w:sz w:val="22"/>
          <w:szCs w:val="24"/>
        </w:rPr>
        <w:t>Proceso.</w:t>
      </w:r>
      <w:r w:rsidR="00E20B33" w:rsidRPr="00557E1A">
        <w:rPr>
          <w:rFonts w:ascii="Arial" w:hAnsi="Arial" w:cs="Arial"/>
          <w:bCs/>
          <w:sz w:val="22"/>
          <w:szCs w:val="24"/>
        </w:rPr>
        <w:tab/>
      </w:r>
      <w:r w:rsidR="23112868" w:rsidRPr="00557E1A">
        <w:rPr>
          <w:rFonts w:ascii="Arial" w:hAnsi="Arial" w:cs="Arial"/>
          <w:bCs/>
          <w:sz w:val="22"/>
          <w:szCs w:val="24"/>
        </w:rPr>
        <w:t xml:space="preserve">Ejecutivo </w:t>
      </w:r>
      <w:r w:rsidRPr="00557E1A">
        <w:rPr>
          <w:rFonts w:ascii="Arial" w:hAnsi="Arial" w:cs="Arial"/>
          <w:bCs/>
          <w:sz w:val="22"/>
          <w:szCs w:val="24"/>
        </w:rPr>
        <w:t>Laboral.</w:t>
      </w:r>
    </w:p>
    <w:p w14:paraId="62D7EE97" w14:textId="7D9D86C7" w:rsidR="00E20B33" w:rsidRPr="00557E1A" w:rsidRDefault="19F50764" w:rsidP="00F33B75">
      <w:pPr>
        <w:pStyle w:val="Ttulo"/>
        <w:spacing w:line="240" w:lineRule="auto"/>
        <w:ind w:left="2124"/>
        <w:jc w:val="left"/>
        <w:rPr>
          <w:rFonts w:ascii="Arial" w:hAnsi="Arial" w:cs="Arial"/>
          <w:bCs/>
          <w:sz w:val="22"/>
          <w:szCs w:val="24"/>
        </w:rPr>
      </w:pPr>
      <w:r w:rsidRPr="00557E1A">
        <w:rPr>
          <w:rFonts w:ascii="Arial" w:hAnsi="Arial" w:cs="Arial"/>
          <w:bCs/>
          <w:sz w:val="22"/>
          <w:szCs w:val="24"/>
        </w:rPr>
        <w:t>Radicación.</w:t>
      </w:r>
      <w:r w:rsidR="00E20B33" w:rsidRPr="00557E1A">
        <w:rPr>
          <w:rFonts w:ascii="Arial" w:hAnsi="Arial" w:cs="Arial"/>
          <w:bCs/>
          <w:sz w:val="22"/>
          <w:szCs w:val="24"/>
        </w:rPr>
        <w:tab/>
      </w:r>
      <w:r w:rsidRPr="00557E1A">
        <w:rPr>
          <w:rFonts w:ascii="Arial" w:hAnsi="Arial" w:cs="Arial"/>
          <w:bCs/>
          <w:sz w:val="22"/>
          <w:szCs w:val="24"/>
        </w:rPr>
        <w:t>66</w:t>
      </w:r>
      <w:r w:rsidR="02D55CA7" w:rsidRPr="00557E1A">
        <w:rPr>
          <w:rFonts w:ascii="Arial" w:hAnsi="Arial" w:cs="Arial"/>
          <w:bCs/>
          <w:sz w:val="22"/>
          <w:szCs w:val="24"/>
        </w:rPr>
        <w:t>001</w:t>
      </w:r>
      <w:r w:rsidRPr="00557E1A">
        <w:rPr>
          <w:rFonts w:ascii="Arial" w:hAnsi="Arial" w:cs="Arial"/>
          <w:bCs/>
          <w:sz w:val="22"/>
          <w:szCs w:val="24"/>
        </w:rPr>
        <w:t>31</w:t>
      </w:r>
      <w:r w:rsidR="02D55CA7" w:rsidRPr="00557E1A">
        <w:rPr>
          <w:rFonts w:ascii="Arial" w:hAnsi="Arial" w:cs="Arial"/>
          <w:bCs/>
          <w:sz w:val="22"/>
          <w:szCs w:val="24"/>
        </w:rPr>
        <w:t>05</w:t>
      </w:r>
      <w:r w:rsidRPr="00557E1A">
        <w:rPr>
          <w:rFonts w:ascii="Arial" w:hAnsi="Arial" w:cs="Arial"/>
          <w:bCs/>
          <w:sz w:val="22"/>
          <w:szCs w:val="24"/>
        </w:rPr>
        <w:t>0</w:t>
      </w:r>
      <w:r w:rsidR="0AA0A3F6" w:rsidRPr="00557E1A">
        <w:rPr>
          <w:rFonts w:ascii="Arial" w:hAnsi="Arial" w:cs="Arial"/>
          <w:bCs/>
          <w:sz w:val="22"/>
          <w:szCs w:val="24"/>
        </w:rPr>
        <w:t>0</w:t>
      </w:r>
      <w:r w:rsidR="099CF341" w:rsidRPr="00557E1A">
        <w:rPr>
          <w:rFonts w:ascii="Arial" w:hAnsi="Arial" w:cs="Arial"/>
          <w:bCs/>
          <w:sz w:val="22"/>
          <w:szCs w:val="24"/>
        </w:rPr>
        <w:t>5</w:t>
      </w:r>
      <w:r w:rsidRPr="00557E1A">
        <w:rPr>
          <w:rFonts w:ascii="Arial" w:hAnsi="Arial" w:cs="Arial"/>
          <w:bCs/>
          <w:sz w:val="22"/>
          <w:szCs w:val="24"/>
        </w:rPr>
        <w:t>20</w:t>
      </w:r>
      <w:r w:rsidR="099CF341" w:rsidRPr="00557E1A">
        <w:rPr>
          <w:rFonts w:ascii="Arial" w:hAnsi="Arial" w:cs="Arial"/>
          <w:bCs/>
          <w:sz w:val="22"/>
          <w:szCs w:val="24"/>
        </w:rPr>
        <w:t>18</w:t>
      </w:r>
      <w:r w:rsidRPr="00557E1A">
        <w:rPr>
          <w:rFonts w:ascii="Arial" w:hAnsi="Arial" w:cs="Arial"/>
          <w:bCs/>
          <w:sz w:val="22"/>
          <w:szCs w:val="24"/>
        </w:rPr>
        <w:t>00</w:t>
      </w:r>
      <w:r w:rsidR="099CF341" w:rsidRPr="00557E1A">
        <w:rPr>
          <w:rFonts w:ascii="Arial" w:hAnsi="Arial" w:cs="Arial"/>
          <w:bCs/>
          <w:sz w:val="22"/>
          <w:szCs w:val="24"/>
        </w:rPr>
        <w:t>144</w:t>
      </w:r>
      <w:r w:rsidRPr="00557E1A">
        <w:rPr>
          <w:rFonts w:ascii="Arial" w:hAnsi="Arial" w:cs="Arial"/>
          <w:bCs/>
          <w:sz w:val="22"/>
          <w:szCs w:val="24"/>
        </w:rPr>
        <w:t>0</w:t>
      </w:r>
      <w:r w:rsidR="02D55CA7" w:rsidRPr="00557E1A">
        <w:rPr>
          <w:rFonts w:ascii="Arial" w:hAnsi="Arial" w:cs="Arial"/>
          <w:bCs/>
          <w:sz w:val="22"/>
          <w:szCs w:val="24"/>
        </w:rPr>
        <w:t>1</w:t>
      </w:r>
    </w:p>
    <w:p w14:paraId="10E8F15F" w14:textId="533F9631" w:rsidR="00E20B33" w:rsidRPr="00557E1A" w:rsidRDefault="19F50764" w:rsidP="00F33B75">
      <w:pPr>
        <w:pStyle w:val="Ttulo"/>
        <w:spacing w:line="240" w:lineRule="auto"/>
        <w:ind w:left="2124"/>
        <w:jc w:val="left"/>
        <w:rPr>
          <w:rFonts w:ascii="Arial" w:hAnsi="Arial" w:cs="Arial"/>
          <w:bCs/>
          <w:sz w:val="22"/>
          <w:szCs w:val="24"/>
        </w:rPr>
      </w:pPr>
      <w:r w:rsidRPr="00557E1A">
        <w:rPr>
          <w:rFonts w:ascii="Arial" w:hAnsi="Arial" w:cs="Arial"/>
          <w:bCs/>
          <w:sz w:val="22"/>
          <w:szCs w:val="24"/>
        </w:rPr>
        <w:t>Demandante.</w:t>
      </w:r>
      <w:r w:rsidR="00E20B33" w:rsidRPr="00557E1A">
        <w:rPr>
          <w:rFonts w:ascii="Arial" w:hAnsi="Arial" w:cs="Arial"/>
          <w:bCs/>
          <w:sz w:val="22"/>
          <w:szCs w:val="24"/>
        </w:rPr>
        <w:tab/>
      </w:r>
      <w:r w:rsidR="0AA0A3F6" w:rsidRPr="00557E1A">
        <w:rPr>
          <w:rFonts w:ascii="Arial" w:hAnsi="Arial" w:cs="Arial"/>
          <w:bCs/>
          <w:sz w:val="22"/>
          <w:szCs w:val="24"/>
        </w:rPr>
        <w:t>P</w:t>
      </w:r>
      <w:r w:rsidR="099CF341" w:rsidRPr="00557E1A">
        <w:rPr>
          <w:rFonts w:ascii="Arial" w:hAnsi="Arial" w:cs="Arial"/>
          <w:bCs/>
          <w:sz w:val="22"/>
          <w:szCs w:val="24"/>
        </w:rPr>
        <w:t>orvenir S</w:t>
      </w:r>
      <w:r w:rsidR="0AA0A3F6" w:rsidRPr="00557E1A">
        <w:rPr>
          <w:rFonts w:ascii="Arial" w:hAnsi="Arial" w:cs="Arial"/>
          <w:bCs/>
          <w:sz w:val="22"/>
          <w:szCs w:val="24"/>
        </w:rPr>
        <w:t>.A.</w:t>
      </w:r>
    </w:p>
    <w:p w14:paraId="53808D2C" w14:textId="5E262D92" w:rsidR="00E20B33" w:rsidRPr="00557E1A" w:rsidRDefault="19F50764" w:rsidP="00557E1A">
      <w:pPr>
        <w:pStyle w:val="Ttulo"/>
        <w:spacing w:line="240" w:lineRule="auto"/>
        <w:ind w:left="3534" w:hanging="1410"/>
        <w:jc w:val="left"/>
        <w:rPr>
          <w:rFonts w:ascii="Arial" w:hAnsi="Arial" w:cs="Arial"/>
          <w:bCs/>
          <w:sz w:val="22"/>
          <w:szCs w:val="24"/>
        </w:rPr>
      </w:pPr>
      <w:r w:rsidRPr="00557E1A">
        <w:rPr>
          <w:rFonts w:ascii="Arial" w:hAnsi="Arial" w:cs="Arial"/>
          <w:bCs/>
          <w:sz w:val="22"/>
          <w:szCs w:val="24"/>
        </w:rPr>
        <w:t>Demand</w:t>
      </w:r>
      <w:r w:rsidR="007E490A" w:rsidRPr="00557E1A">
        <w:rPr>
          <w:rFonts w:ascii="Arial" w:hAnsi="Arial" w:cs="Arial"/>
          <w:bCs/>
          <w:sz w:val="22"/>
          <w:szCs w:val="24"/>
        </w:rPr>
        <w:t>ado</w:t>
      </w:r>
      <w:r w:rsidRPr="00557E1A">
        <w:rPr>
          <w:rFonts w:ascii="Arial" w:hAnsi="Arial" w:cs="Arial"/>
          <w:bCs/>
          <w:sz w:val="22"/>
          <w:szCs w:val="24"/>
        </w:rPr>
        <w:t>.</w:t>
      </w:r>
      <w:r w:rsidR="00E20B33" w:rsidRPr="00557E1A">
        <w:rPr>
          <w:rFonts w:ascii="Arial" w:hAnsi="Arial" w:cs="Arial"/>
          <w:bCs/>
          <w:sz w:val="22"/>
          <w:szCs w:val="24"/>
        </w:rPr>
        <w:tab/>
      </w:r>
      <w:r w:rsidR="099CF341" w:rsidRPr="00557E1A">
        <w:rPr>
          <w:rFonts w:ascii="Arial" w:hAnsi="Arial" w:cs="Arial"/>
          <w:bCs/>
          <w:sz w:val="22"/>
          <w:szCs w:val="24"/>
        </w:rPr>
        <w:t>Servicios Es</w:t>
      </w:r>
      <w:bookmarkStart w:id="0" w:name="_GoBack"/>
      <w:bookmarkEnd w:id="0"/>
      <w:r w:rsidR="099CF341" w:rsidRPr="00557E1A">
        <w:rPr>
          <w:rFonts w:ascii="Arial" w:hAnsi="Arial" w:cs="Arial"/>
          <w:bCs/>
          <w:sz w:val="22"/>
          <w:szCs w:val="24"/>
        </w:rPr>
        <w:t xml:space="preserve">peciales Duque y </w:t>
      </w:r>
      <w:r w:rsidR="007E490A" w:rsidRPr="00557E1A">
        <w:rPr>
          <w:rFonts w:ascii="Arial" w:hAnsi="Arial" w:cs="Arial"/>
          <w:bCs/>
          <w:sz w:val="22"/>
          <w:szCs w:val="24"/>
        </w:rPr>
        <w:t>Cía.</w:t>
      </w:r>
      <w:r w:rsidR="099CF341" w:rsidRPr="00557E1A">
        <w:rPr>
          <w:rFonts w:ascii="Arial" w:hAnsi="Arial" w:cs="Arial"/>
          <w:bCs/>
          <w:sz w:val="22"/>
          <w:szCs w:val="24"/>
        </w:rPr>
        <w:t xml:space="preserve"> S en C en </w:t>
      </w:r>
      <w:r w:rsidR="007E490A" w:rsidRPr="00557E1A">
        <w:rPr>
          <w:rFonts w:ascii="Arial" w:hAnsi="Arial" w:cs="Arial"/>
          <w:bCs/>
          <w:sz w:val="22"/>
          <w:szCs w:val="24"/>
        </w:rPr>
        <w:t>Liquidación</w:t>
      </w:r>
    </w:p>
    <w:p w14:paraId="7F29D0E6" w14:textId="11011E41" w:rsidR="00E20B33" w:rsidRPr="00F33B75" w:rsidRDefault="19F50764" w:rsidP="00F33B75">
      <w:pPr>
        <w:pStyle w:val="Ttulo"/>
        <w:spacing w:line="240" w:lineRule="auto"/>
        <w:ind w:left="2124"/>
        <w:jc w:val="left"/>
        <w:rPr>
          <w:rFonts w:ascii="Arial" w:hAnsi="Arial" w:cs="Arial"/>
          <w:bCs/>
          <w:sz w:val="20"/>
          <w:szCs w:val="24"/>
        </w:rPr>
      </w:pPr>
      <w:r w:rsidRPr="00557E1A">
        <w:rPr>
          <w:rFonts w:ascii="Arial" w:hAnsi="Arial" w:cs="Arial"/>
          <w:bCs/>
          <w:sz w:val="22"/>
          <w:szCs w:val="24"/>
        </w:rPr>
        <w:t>Tema.</w:t>
      </w:r>
      <w:r w:rsidR="00E20B33" w:rsidRPr="00557E1A">
        <w:rPr>
          <w:rFonts w:ascii="Arial" w:hAnsi="Arial" w:cs="Arial"/>
          <w:bCs/>
          <w:sz w:val="22"/>
          <w:szCs w:val="24"/>
        </w:rPr>
        <w:tab/>
      </w:r>
      <w:r w:rsidR="00F33B75" w:rsidRPr="00557E1A">
        <w:rPr>
          <w:rFonts w:ascii="Arial" w:hAnsi="Arial" w:cs="Arial"/>
          <w:bCs/>
          <w:sz w:val="22"/>
          <w:szCs w:val="24"/>
        </w:rPr>
        <w:tab/>
      </w:r>
      <w:r w:rsidR="0C3B5BB5" w:rsidRPr="00557E1A">
        <w:rPr>
          <w:rFonts w:ascii="Arial" w:hAnsi="Arial" w:cs="Arial"/>
          <w:bCs/>
          <w:sz w:val="22"/>
          <w:szCs w:val="24"/>
        </w:rPr>
        <w:t>Constitución en mora</w:t>
      </w:r>
      <w:r w:rsidR="02D55CA7" w:rsidRPr="00557E1A">
        <w:rPr>
          <w:rFonts w:ascii="Arial" w:hAnsi="Arial" w:cs="Arial"/>
          <w:bCs/>
          <w:sz w:val="22"/>
          <w:szCs w:val="24"/>
        </w:rPr>
        <w:t xml:space="preserve"> </w:t>
      </w:r>
      <w:r w:rsidRPr="00557E1A">
        <w:rPr>
          <w:rFonts w:ascii="Arial" w:hAnsi="Arial" w:cs="Arial"/>
          <w:bCs/>
          <w:sz w:val="22"/>
          <w:szCs w:val="24"/>
        </w:rPr>
        <w:t xml:space="preserve">  </w:t>
      </w:r>
    </w:p>
    <w:p w14:paraId="02400058" w14:textId="77777777" w:rsidR="00E20B33" w:rsidRPr="00EB0229" w:rsidRDefault="00E20B33" w:rsidP="00EB0229">
      <w:pPr>
        <w:spacing w:line="276" w:lineRule="auto"/>
        <w:ind w:left="2127"/>
        <w:contextualSpacing/>
        <w:jc w:val="both"/>
        <w:rPr>
          <w:rFonts w:ascii="Arial" w:hAnsi="Arial" w:cs="Arial"/>
          <w:i/>
          <w:iCs/>
        </w:rPr>
      </w:pPr>
    </w:p>
    <w:p w14:paraId="6BC0F778" w14:textId="2E3BA709" w:rsidR="43A78CDB" w:rsidRPr="00EB0229" w:rsidRDefault="4A14F574" w:rsidP="00EB0229">
      <w:pPr>
        <w:spacing w:line="276" w:lineRule="auto"/>
        <w:jc w:val="center"/>
        <w:rPr>
          <w:rFonts w:ascii="Arial" w:eastAsia="Arial" w:hAnsi="Arial" w:cs="Arial"/>
          <w:color w:val="000000" w:themeColor="text1"/>
        </w:rPr>
      </w:pPr>
      <w:r w:rsidRPr="00EB0229">
        <w:rPr>
          <w:rFonts w:ascii="Arial" w:eastAsia="Arial" w:hAnsi="Arial" w:cs="Arial"/>
          <w:color w:val="000000" w:themeColor="text1"/>
          <w:lang w:val="es-ES"/>
        </w:rPr>
        <w:t xml:space="preserve">Pereira, Risaralda, dieciocho (18) de octubre de dos mil veintitrés (2023) </w:t>
      </w:r>
    </w:p>
    <w:p w14:paraId="1B466FBA" w14:textId="21E38ACB" w:rsidR="43A78CDB" w:rsidRPr="00EB0229" w:rsidRDefault="4A14F574" w:rsidP="00EB0229">
      <w:pPr>
        <w:spacing w:line="276" w:lineRule="auto"/>
        <w:jc w:val="center"/>
        <w:rPr>
          <w:rFonts w:ascii="Arial" w:eastAsia="Arial" w:hAnsi="Arial" w:cs="Arial"/>
          <w:color w:val="000000" w:themeColor="text1"/>
        </w:rPr>
      </w:pPr>
      <w:r w:rsidRPr="00EB0229">
        <w:rPr>
          <w:rFonts w:ascii="Arial" w:eastAsia="Arial" w:hAnsi="Arial" w:cs="Arial"/>
          <w:color w:val="000000" w:themeColor="text1"/>
          <w:lang w:val="es-ES"/>
        </w:rPr>
        <w:lastRenderedPageBreak/>
        <w:t xml:space="preserve">Acta de discusión No. </w:t>
      </w:r>
      <w:r w:rsidR="00200B80" w:rsidRPr="00EB0229">
        <w:rPr>
          <w:rFonts w:ascii="Arial" w:eastAsia="Arial" w:hAnsi="Arial" w:cs="Arial"/>
          <w:color w:val="000000" w:themeColor="text1"/>
          <w:lang w:val="es-ES"/>
        </w:rPr>
        <w:t>163</w:t>
      </w:r>
      <w:r w:rsidRPr="00EB0229">
        <w:rPr>
          <w:rFonts w:ascii="Arial" w:eastAsia="Arial" w:hAnsi="Arial" w:cs="Arial"/>
          <w:color w:val="000000" w:themeColor="text1"/>
          <w:lang w:val="es-ES"/>
        </w:rPr>
        <w:t xml:space="preserve"> de 13-10-2023</w:t>
      </w:r>
    </w:p>
    <w:p w14:paraId="1DE00565" w14:textId="77777777" w:rsidR="00E20B33" w:rsidRPr="00EB0229" w:rsidRDefault="00E20B33" w:rsidP="00EB0229">
      <w:pPr>
        <w:spacing w:line="276" w:lineRule="auto"/>
        <w:jc w:val="both"/>
        <w:rPr>
          <w:rFonts w:ascii="Arial" w:hAnsi="Arial" w:cs="Arial"/>
        </w:rPr>
      </w:pPr>
    </w:p>
    <w:p w14:paraId="363BC0B8" w14:textId="29C4A9C5" w:rsidR="00E20B33" w:rsidRPr="00EB0229" w:rsidRDefault="7FB8134C" w:rsidP="00EB0229">
      <w:pPr>
        <w:spacing w:line="276" w:lineRule="auto"/>
        <w:jc w:val="both"/>
        <w:rPr>
          <w:rFonts w:ascii="Arial" w:hAnsi="Arial" w:cs="Arial"/>
        </w:rPr>
      </w:pPr>
      <w:r w:rsidRPr="00EB0229">
        <w:rPr>
          <w:rFonts w:ascii="Arial" w:hAnsi="Arial" w:cs="Arial"/>
        </w:rPr>
        <w:t xml:space="preserve">Vencido el término para alegar otorgado a las partes, procede la Sala de Decisión Laboral del Tribunal Superior de Pereira a resolver </w:t>
      </w:r>
      <w:r w:rsidR="19F50764" w:rsidRPr="00EB0229">
        <w:rPr>
          <w:rFonts w:ascii="Arial" w:hAnsi="Arial" w:cs="Arial"/>
        </w:rPr>
        <w:t xml:space="preserve">el recurso de apelación </w:t>
      </w:r>
      <w:r w:rsidRPr="00EB0229">
        <w:rPr>
          <w:rFonts w:ascii="Arial" w:hAnsi="Arial" w:cs="Arial"/>
        </w:rPr>
        <w:t>presentado</w:t>
      </w:r>
      <w:r w:rsidR="0BB39886" w:rsidRPr="00EB0229">
        <w:rPr>
          <w:rFonts w:ascii="Arial" w:hAnsi="Arial" w:cs="Arial"/>
        </w:rPr>
        <w:t xml:space="preserve"> por </w:t>
      </w:r>
      <w:r w:rsidR="099CF341" w:rsidRPr="00185144">
        <w:rPr>
          <w:rFonts w:ascii="Arial" w:hAnsi="Arial" w:cs="Arial"/>
          <w:b/>
        </w:rPr>
        <w:t>Porvenir</w:t>
      </w:r>
      <w:r w:rsidR="28BAA9FD" w:rsidRPr="00185144">
        <w:rPr>
          <w:rFonts w:ascii="Arial" w:hAnsi="Arial" w:cs="Arial"/>
          <w:b/>
        </w:rPr>
        <w:t xml:space="preserve"> S.A.</w:t>
      </w:r>
      <w:r w:rsidR="19F50764" w:rsidRPr="00EB0229">
        <w:rPr>
          <w:rFonts w:ascii="Arial" w:hAnsi="Arial" w:cs="Arial"/>
        </w:rPr>
        <w:t xml:space="preserve"> contra el auto proferido </w:t>
      </w:r>
      <w:r w:rsidRPr="00EB0229">
        <w:rPr>
          <w:rFonts w:ascii="Arial" w:hAnsi="Arial" w:cs="Arial"/>
        </w:rPr>
        <w:t xml:space="preserve">el </w:t>
      </w:r>
      <w:r w:rsidR="099CF341" w:rsidRPr="00EB0229">
        <w:rPr>
          <w:rFonts w:ascii="Arial" w:hAnsi="Arial" w:cs="Arial"/>
        </w:rPr>
        <w:t>08 de junio</w:t>
      </w:r>
      <w:r w:rsidRPr="00EB0229">
        <w:rPr>
          <w:rFonts w:ascii="Arial" w:hAnsi="Arial" w:cs="Arial"/>
        </w:rPr>
        <w:t xml:space="preserve"> de 2023</w:t>
      </w:r>
      <w:r w:rsidR="19F50764" w:rsidRPr="00EB0229">
        <w:rPr>
          <w:rFonts w:ascii="Arial" w:hAnsi="Arial" w:cs="Arial"/>
        </w:rPr>
        <w:t xml:space="preserve"> por el Juzgado </w:t>
      </w:r>
      <w:r w:rsidR="099CF341" w:rsidRPr="00EB0229">
        <w:rPr>
          <w:rFonts w:ascii="Arial" w:hAnsi="Arial" w:cs="Arial"/>
        </w:rPr>
        <w:t>Quinto</w:t>
      </w:r>
      <w:r w:rsidR="02D55CA7" w:rsidRPr="00EB0229">
        <w:rPr>
          <w:rFonts w:ascii="Arial" w:hAnsi="Arial" w:cs="Arial"/>
        </w:rPr>
        <w:t xml:space="preserve"> Laboral del Circuito de Pereira</w:t>
      </w:r>
      <w:r w:rsidR="0BB39886" w:rsidRPr="00EB0229">
        <w:rPr>
          <w:rFonts w:ascii="Arial" w:hAnsi="Arial" w:cs="Arial"/>
        </w:rPr>
        <w:t>, Risaralda</w:t>
      </w:r>
      <w:r w:rsidR="19F50764" w:rsidRPr="00EB0229">
        <w:rPr>
          <w:rFonts w:ascii="Arial" w:hAnsi="Arial" w:cs="Arial"/>
        </w:rPr>
        <w:t xml:space="preserve">, dentro del proceso </w:t>
      </w:r>
      <w:r w:rsidR="00185144">
        <w:rPr>
          <w:rFonts w:ascii="Arial" w:hAnsi="Arial" w:cs="Arial"/>
          <w:b/>
        </w:rPr>
        <w:t xml:space="preserve">ejecutivo laboral </w:t>
      </w:r>
      <w:r w:rsidR="45CD1B18" w:rsidRPr="00EB0229">
        <w:rPr>
          <w:rFonts w:ascii="Arial" w:hAnsi="Arial" w:cs="Arial"/>
        </w:rPr>
        <w:t xml:space="preserve">promovido por </w:t>
      </w:r>
      <w:r w:rsidR="0BB39886" w:rsidRPr="00EB0229">
        <w:rPr>
          <w:rFonts w:ascii="Arial" w:hAnsi="Arial" w:cs="Arial"/>
        </w:rPr>
        <w:t>el recurrente</w:t>
      </w:r>
      <w:r w:rsidR="45CD1B18" w:rsidRPr="00EB0229">
        <w:rPr>
          <w:rFonts w:ascii="Arial" w:hAnsi="Arial" w:cs="Arial"/>
        </w:rPr>
        <w:t xml:space="preserve"> contra </w:t>
      </w:r>
      <w:r w:rsidR="099CF341" w:rsidRPr="00185144">
        <w:rPr>
          <w:rFonts w:ascii="Arial" w:hAnsi="Arial" w:cs="Arial"/>
          <w:b/>
        </w:rPr>
        <w:t>Servicios Especiales Duque</w:t>
      </w:r>
      <w:r w:rsidR="099CF341" w:rsidRPr="00EB0229">
        <w:rPr>
          <w:rFonts w:ascii="Arial" w:hAnsi="Arial" w:cs="Arial"/>
        </w:rPr>
        <w:t xml:space="preserve"> </w:t>
      </w:r>
      <w:r w:rsidR="099CF341" w:rsidRPr="00185144">
        <w:rPr>
          <w:rFonts w:ascii="Arial" w:hAnsi="Arial" w:cs="Arial"/>
          <w:b/>
        </w:rPr>
        <w:t xml:space="preserve">y </w:t>
      </w:r>
      <w:r w:rsidR="00185144" w:rsidRPr="00185144">
        <w:rPr>
          <w:rFonts w:ascii="Arial" w:hAnsi="Arial" w:cs="Arial"/>
          <w:b/>
        </w:rPr>
        <w:t>Cía.</w:t>
      </w:r>
      <w:r w:rsidR="099CF341" w:rsidRPr="00185144">
        <w:rPr>
          <w:rFonts w:ascii="Arial" w:hAnsi="Arial" w:cs="Arial"/>
          <w:b/>
        </w:rPr>
        <w:t xml:space="preserve"> S en C en liquidación</w:t>
      </w:r>
      <w:r w:rsidR="099CF341" w:rsidRPr="00EB0229">
        <w:rPr>
          <w:rFonts w:ascii="Arial" w:hAnsi="Arial" w:cs="Arial"/>
        </w:rPr>
        <w:t>.</w:t>
      </w:r>
      <w:r w:rsidR="28BAA9FD" w:rsidRPr="00EB0229">
        <w:rPr>
          <w:rFonts w:ascii="Arial" w:hAnsi="Arial" w:cs="Arial"/>
        </w:rPr>
        <w:t xml:space="preserve"> </w:t>
      </w:r>
    </w:p>
    <w:p w14:paraId="3108EC96" w14:textId="77777777" w:rsidR="00E20B33" w:rsidRPr="00EB0229" w:rsidRDefault="00E20B33" w:rsidP="00EB0229">
      <w:pPr>
        <w:spacing w:line="276" w:lineRule="auto"/>
        <w:jc w:val="both"/>
        <w:rPr>
          <w:rFonts w:ascii="Arial" w:hAnsi="Arial" w:cs="Arial"/>
        </w:rPr>
      </w:pPr>
    </w:p>
    <w:p w14:paraId="3E68F6A2" w14:textId="77777777" w:rsidR="00E20B33" w:rsidRPr="00EB0229" w:rsidRDefault="19F50764" w:rsidP="00EB0229">
      <w:pPr>
        <w:spacing w:line="276" w:lineRule="auto"/>
        <w:ind w:firstLine="851"/>
        <w:jc w:val="center"/>
        <w:rPr>
          <w:rFonts w:ascii="Arial" w:hAnsi="Arial" w:cs="Arial"/>
          <w:b/>
          <w:bCs/>
          <w:lang w:val="es-ES"/>
        </w:rPr>
      </w:pPr>
      <w:r w:rsidRPr="00EB0229">
        <w:rPr>
          <w:rFonts w:ascii="Arial" w:hAnsi="Arial" w:cs="Arial"/>
          <w:b/>
          <w:bCs/>
          <w:lang w:val="es-ES"/>
        </w:rPr>
        <w:t>ANTECEDENTES</w:t>
      </w:r>
    </w:p>
    <w:p w14:paraId="5BCA6AE8" w14:textId="77777777" w:rsidR="00E20B33" w:rsidRPr="00EB0229" w:rsidRDefault="00E20B33" w:rsidP="00EB0229">
      <w:pPr>
        <w:autoSpaceDE w:val="0"/>
        <w:autoSpaceDN w:val="0"/>
        <w:adjustRightInd w:val="0"/>
        <w:spacing w:line="276" w:lineRule="auto"/>
        <w:jc w:val="center"/>
        <w:rPr>
          <w:rFonts w:ascii="Arial" w:hAnsi="Arial" w:cs="Arial"/>
          <w:b/>
          <w:bCs/>
          <w:lang w:val="es-ES"/>
        </w:rPr>
      </w:pPr>
    </w:p>
    <w:p w14:paraId="7F74401C" w14:textId="77777777" w:rsidR="00E20B33" w:rsidRPr="00EB0229" w:rsidRDefault="19F50764" w:rsidP="00EB0229">
      <w:pPr>
        <w:spacing w:line="276" w:lineRule="auto"/>
        <w:jc w:val="both"/>
        <w:rPr>
          <w:rFonts w:ascii="Arial" w:hAnsi="Arial" w:cs="Arial"/>
          <w:b/>
          <w:bCs/>
        </w:rPr>
      </w:pPr>
      <w:r w:rsidRPr="00EB0229">
        <w:rPr>
          <w:rFonts w:ascii="Arial" w:hAnsi="Arial" w:cs="Arial"/>
          <w:b/>
          <w:bCs/>
        </w:rPr>
        <w:t>1. Crónica procesal</w:t>
      </w:r>
    </w:p>
    <w:p w14:paraId="29CC7FB7" w14:textId="77777777" w:rsidR="00E20B33" w:rsidRPr="00EB0229" w:rsidRDefault="00E20B33" w:rsidP="00EB0229">
      <w:pPr>
        <w:spacing w:line="276" w:lineRule="auto"/>
        <w:jc w:val="both"/>
        <w:rPr>
          <w:rFonts w:ascii="Arial" w:hAnsi="Arial" w:cs="Arial"/>
        </w:rPr>
      </w:pPr>
    </w:p>
    <w:p w14:paraId="0B59998A" w14:textId="081422D7" w:rsidR="002B34B6" w:rsidRPr="00EB0229" w:rsidRDefault="7FB8134C" w:rsidP="00EB0229">
      <w:pPr>
        <w:autoSpaceDE w:val="0"/>
        <w:autoSpaceDN w:val="0"/>
        <w:adjustRightInd w:val="0"/>
        <w:spacing w:line="276" w:lineRule="auto"/>
        <w:jc w:val="both"/>
        <w:rPr>
          <w:rFonts w:ascii="Arial" w:hAnsi="Arial" w:cs="Arial"/>
        </w:rPr>
      </w:pPr>
      <w:r w:rsidRPr="00EB0229">
        <w:rPr>
          <w:rFonts w:ascii="Arial" w:hAnsi="Arial" w:cs="Arial"/>
        </w:rPr>
        <w:t>P</w:t>
      </w:r>
      <w:r w:rsidR="099CF341" w:rsidRPr="00EB0229">
        <w:rPr>
          <w:rFonts w:ascii="Arial" w:hAnsi="Arial" w:cs="Arial"/>
        </w:rPr>
        <w:t>orvenir</w:t>
      </w:r>
      <w:r w:rsidRPr="00EB0229">
        <w:rPr>
          <w:rFonts w:ascii="Arial" w:hAnsi="Arial" w:cs="Arial"/>
        </w:rPr>
        <w:t xml:space="preserve"> </w:t>
      </w:r>
      <w:r w:rsidR="28BAA9FD" w:rsidRPr="00EB0229">
        <w:rPr>
          <w:rFonts w:ascii="Arial" w:hAnsi="Arial" w:cs="Arial"/>
        </w:rPr>
        <w:t>S.A.</w:t>
      </w:r>
      <w:r w:rsidR="02D55CA7" w:rsidRPr="00EB0229">
        <w:rPr>
          <w:rFonts w:ascii="Arial" w:hAnsi="Arial" w:cs="Arial"/>
        </w:rPr>
        <w:t xml:space="preserve"> solicitó que se librara mandamiento de pago por </w:t>
      </w:r>
      <w:r w:rsidR="28BAA9FD" w:rsidRPr="00EB0229">
        <w:rPr>
          <w:rFonts w:ascii="Arial" w:hAnsi="Arial" w:cs="Arial"/>
        </w:rPr>
        <w:t xml:space="preserve">los aportes en pensión adeudados por la ejecutada </w:t>
      </w:r>
      <w:r w:rsidR="099CF341" w:rsidRPr="00EB0229">
        <w:rPr>
          <w:rFonts w:ascii="Arial" w:hAnsi="Arial" w:cs="Arial"/>
        </w:rPr>
        <w:t>por los periodos comprendidos entre febrero de 1995 y octubre de 2015, por valor de $74’438.040 y $339’232.900 por concepto de intereses moratorios desde la fecha en que el empleador debió cumplir con la obligación de cotizar (</w:t>
      </w:r>
      <w:proofErr w:type="spellStart"/>
      <w:r w:rsidR="099CF341" w:rsidRPr="00EB0229">
        <w:rPr>
          <w:rFonts w:ascii="Arial" w:hAnsi="Arial" w:cs="Arial"/>
        </w:rPr>
        <w:t>fl</w:t>
      </w:r>
      <w:proofErr w:type="spellEnd"/>
      <w:r w:rsidR="099CF341" w:rsidRPr="00EB0229">
        <w:rPr>
          <w:rFonts w:ascii="Arial" w:hAnsi="Arial" w:cs="Arial"/>
        </w:rPr>
        <w:t xml:space="preserve">. 2, archivo 03, </w:t>
      </w:r>
      <w:proofErr w:type="spellStart"/>
      <w:r w:rsidR="099CF341" w:rsidRPr="00EB0229">
        <w:rPr>
          <w:rFonts w:ascii="Arial" w:hAnsi="Arial" w:cs="Arial"/>
        </w:rPr>
        <w:t>exp</w:t>
      </w:r>
      <w:proofErr w:type="spellEnd"/>
      <w:r w:rsidR="099CF341" w:rsidRPr="00EB0229">
        <w:rPr>
          <w:rFonts w:ascii="Arial" w:hAnsi="Arial" w:cs="Arial"/>
        </w:rPr>
        <w:t>. Digital).</w:t>
      </w:r>
    </w:p>
    <w:p w14:paraId="37C95C1B" w14:textId="77777777" w:rsidR="00F35D51" w:rsidRPr="00EB0229" w:rsidRDefault="00F35D51" w:rsidP="00EB0229">
      <w:pPr>
        <w:autoSpaceDE w:val="0"/>
        <w:autoSpaceDN w:val="0"/>
        <w:adjustRightInd w:val="0"/>
        <w:spacing w:line="276" w:lineRule="auto"/>
        <w:jc w:val="both"/>
        <w:rPr>
          <w:rFonts w:ascii="Arial" w:hAnsi="Arial" w:cs="Arial"/>
        </w:rPr>
      </w:pPr>
    </w:p>
    <w:p w14:paraId="08CE2733" w14:textId="13EE4DD0" w:rsidR="00F35D51" w:rsidRPr="00EB0229" w:rsidRDefault="099CF341" w:rsidP="00EB0229">
      <w:pPr>
        <w:autoSpaceDE w:val="0"/>
        <w:autoSpaceDN w:val="0"/>
        <w:adjustRightInd w:val="0"/>
        <w:spacing w:line="276" w:lineRule="auto"/>
        <w:jc w:val="both"/>
        <w:rPr>
          <w:rFonts w:ascii="Arial" w:hAnsi="Arial" w:cs="Arial"/>
        </w:rPr>
      </w:pPr>
      <w:r w:rsidRPr="00EB0229">
        <w:rPr>
          <w:rFonts w:ascii="Arial" w:hAnsi="Arial" w:cs="Arial"/>
        </w:rPr>
        <w:t>Como fundamento para dichas determinaciones argumentó que el ejecutado adeuda los aportes de 206 trabajadores afiliados a Porvenir s.a. por las que adelantó las gestiones de cobró.</w:t>
      </w:r>
    </w:p>
    <w:p w14:paraId="1F9748EB" w14:textId="5E30A5E8" w:rsidR="00C94138" w:rsidRPr="00EB0229" w:rsidRDefault="7FB8134C" w:rsidP="00EB0229">
      <w:pPr>
        <w:autoSpaceDE w:val="0"/>
        <w:autoSpaceDN w:val="0"/>
        <w:adjustRightInd w:val="0"/>
        <w:spacing w:line="276" w:lineRule="auto"/>
        <w:jc w:val="both"/>
        <w:rPr>
          <w:rFonts w:ascii="Arial" w:hAnsi="Arial" w:cs="Arial"/>
        </w:rPr>
      </w:pPr>
      <w:r w:rsidRPr="00EB0229">
        <w:rPr>
          <w:rFonts w:ascii="Arial" w:hAnsi="Arial" w:cs="Arial"/>
        </w:rPr>
        <w:t xml:space="preserve"> </w:t>
      </w:r>
    </w:p>
    <w:p w14:paraId="27701084" w14:textId="07511C06" w:rsidR="00C94138" w:rsidRPr="00EB0229" w:rsidRDefault="28BAA9FD" w:rsidP="00EB0229">
      <w:pPr>
        <w:autoSpaceDE w:val="0"/>
        <w:autoSpaceDN w:val="0"/>
        <w:adjustRightInd w:val="0"/>
        <w:spacing w:line="276" w:lineRule="auto"/>
        <w:jc w:val="both"/>
        <w:rPr>
          <w:rFonts w:ascii="Arial" w:hAnsi="Arial" w:cs="Arial"/>
        </w:rPr>
      </w:pPr>
      <w:r w:rsidRPr="00EB0229">
        <w:rPr>
          <w:rFonts w:ascii="Arial" w:hAnsi="Arial" w:cs="Arial"/>
        </w:rPr>
        <w:t xml:space="preserve">El </w:t>
      </w:r>
      <w:r w:rsidR="099CF341" w:rsidRPr="00EB0229">
        <w:rPr>
          <w:rFonts w:ascii="Arial" w:hAnsi="Arial" w:cs="Arial"/>
        </w:rPr>
        <w:t>10/04/2018</w:t>
      </w:r>
      <w:r w:rsidRPr="00EB0229">
        <w:rPr>
          <w:rFonts w:ascii="Arial" w:hAnsi="Arial" w:cs="Arial"/>
        </w:rPr>
        <w:t xml:space="preserve"> se libró el mandamiento de pago por la</w:t>
      </w:r>
      <w:r w:rsidR="7FB8134C" w:rsidRPr="00EB0229">
        <w:rPr>
          <w:rFonts w:ascii="Arial" w:hAnsi="Arial" w:cs="Arial"/>
        </w:rPr>
        <w:t>s</w:t>
      </w:r>
      <w:r w:rsidRPr="00EB0229">
        <w:rPr>
          <w:rFonts w:ascii="Arial" w:hAnsi="Arial" w:cs="Arial"/>
        </w:rPr>
        <w:t xml:space="preserve"> suma</w:t>
      </w:r>
      <w:r w:rsidR="7FB8134C" w:rsidRPr="00EB0229">
        <w:rPr>
          <w:rFonts w:ascii="Arial" w:hAnsi="Arial" w:cs="Arial"/>
        </w:rPr>
        <w:t>s</w:t>
      </w:r>
      <w:r w:rsidRPr="00EB0229">
        <w:rPr>
          <w:rFonts w:ascii="Arial" w:hAnsi="Arial" w:cs="Arial"/>
        </w:rPr>
        <w:t xml:space="preserve"> pretendida</w:t>
      </w:r>
      <w:r w:rsidR="7FB8134C" w:rsidRPr="00EB0229">
        <w:rPr>
          <w:rFonts w:ascii="Arial" w:hAnsi="Arial" w:cs="Arial"/>
        </w:rPr>
        <w:t>s (archivo 0</w:t>
      </w:r>
      <w:r w:rsidR="099CF341" w:rsidRPr="00EB0229">
        <w:rPr>
          <w:rFonts w:ascii="Arial" w:hAnsi="Arial" w:cs="Arial"/>
        </w:rPr>
        <w:t>6</w:t>
      </w:r>
      <w:r w:rsidR="7FB8134C" w:rsidRPr="00EB0229">
        <w:rPr>
          <w:rFonts w:ascii="Arial" w:hAnsi="Arial" w:cs="Arial"/>
        </w:rPr>
        <w:t xml:space="preserve">, </w:t>
      </w:r>
      <w:proofErr w:type="spellStart"/>
      <w:r w:rsidR="7FB8134C" w:rsidRPr="00EB0229">
        <w:rPr>
          <w:rFonts w:ascii="Arial" w:hAnsi="Arial" w:cs="Arial"/>
        </w:rPr>
        <w:t>exp</w:t>
      </w:r>
      <w:proofErr w:type="spellEnd"/>
      <w:r w:rsidR="7FB8134C" w:rsidRPr="00EB0229">
        <w:rPr>
          <w:rFonts w:ascii="Arial" w:hAnsi="Arial" w:cs="Arial"/>
        </w:rPr>
        <w:t>. Digital).</w:t>
      </w:r>
      <w:r w:rsidRPr="00EB0229">
        <w:rPr>
          <w:rFonts w:ascii="Arial" w:hAnsi="Arial" w:cs="Arial"/>
        </w:rPr>
        <w:t xml:space="preserve"> </w:t>
      </w:r>
    </w:p>
    <w:p w14:paraId="75E8A991" w14:textId="77777777" w:rsidR="00F35D51" w:rsidRPr="00EB0229" w:rsidRDefault="00F35D51" w:rsidP="00EB0229">
      <w:pPr>
        <w:autoSpaceDE w:val="0"/>
        <w:autoSpaceDN w:val="0"/>
        <w:adjustRightInd w:val="0"/>
        <w:spacing w:line="276" w:lineRule="auto"/>
        <w:jc w:val="both"/>
        <w:rPr>
          <w:rFonts w:ascii="Arial" w:hAnsi="Arial" w:cs="Arial"/>
        </w:rPr>
      </w:pPr>
    </w:p>
    <w:p w14:paraId="0AD1AF68" w14:textId="398D95ED" w:rsidR="00F35D51" w:rsidRPr="00EB0229" w:rsidRDefault="099CF341" w:rsidP="00EB0229">
      <w:pPr>
        <w:autoSpaceDE w:val="0"/>
        <w:autoSpaceDN w:val="0"/>
        <w:adjustRightInd w:val="0"/>
        <w:spacing w:line="276" w:lineRule="auto"/>
        <w:jc w:val="both"/>
        <w:rPr>
          <w:rFonts w:ascii="Arial" w:hAnsi="Arial" w:cs="Arial"/>
        </w:rPr>
      </w:pPr>
      <w:r w:rsidRPr="00EB0229">
        <w:rPr>
          <w:rFonts w:ascii="Arial" w:hAnsi="Arial" w:cs="Arial"/>
        </w:rPr>
        <w:t xml:space="preserve">Resultó infructuosa la citación física para notificación personal del ejecutado, sin que este reportara dirección de correo electrónico en el certificado de existencia y representación legal, de ahí que fue emplazado, registrado adecuadamente en el Registro Nacional de Personas Emplazadas a partir del número </w:t>
      </w:r>
      <w:proofErr w:type="spellStart"/>
      <w:r w:rsidRPr="00EB0229">
        <w:rPr>
          <w:rFonts w:ascii="Arial" w:hAnsi="Arial" w:cs="Arial"/>
        </w:rPr>
        <w:t>NIT</w:t>
      </w:r>
      <w:proofErr w:type="spellEnd"/>
      <w:r w:rsidRPr="00EB0229">
        <w:rPr>
          <w:rFonts w:ascii="Arial" w:hAnsi="Arial" w:cs="Arial"/>
        </w:rPr>
        <w:t xml:space="preserve"> (</w:t>
      </w:r>
      <w:r w:rsidR="17824FC8" w:rsidRPr="00EB0229">
        <w:rPr>
          <w:rFonts w:ascii="Arial" w:hAnsi="Arial" w:cs="Arial"/>
        </w:rPr>
        <w:t xml:space="preserve">archivo 15, </w:t>
      </w:r>
      <w:proofErr w:type="spellStart"/>
      <w:r w:rsidR="17824FC8" w:rsidRPr="00EB0229">
        <w:rPr>
          <w:rFonts w:ascii="Arial" w:hAnsi="Arial" w:cs="Arial"/>
        </w:rPr>
        <w:t>exp</w:t>
      </w:r>
      <w:proofErr w:type="spellEnd"/>
      <w:r w:rsidR="17824FC8" w:rsidRPr="00EB0229">
        <w:rPr>
          <w:rFonts w:ascii="Arial" w:hAnsi="Arial" w:cs="Arial"/>
        </w:rPr>
        <w:t xml:space="preserve">. Digital); en consecuencia, el ejecutado se encuentra representado por curador ad litem, que al proponer excepciones indicó la “prescripción de la acción de cobro” e “inexistencia del título ejecutivo” por ausencia de procedimiento para constituir en mora (archivo 24, </w:t>
      </w:r>
      <w:proofErr w:type="spellStart"/>
      <w:r w:rsidR="17824FC8" w:rsidRPr="00EB0229">
        <w:rPr>
          <w:rFonts w:ascii="Arial" w:hAnsi="Arial" w:cs="Arial"/>
        </w:rPr>
        <w:t>exp</w:t>
      </w:r>
      <w:proofErr w:type="spellEnd"/>
      <w:r w:rsidR="17824FC8" w:rsidRPr="00EB0229">
        <w:rPr>
          <w:rFonts w:ascii="Arial" w:hAnsi="Arial" w:cs="Arial"/>
        </w:rPr>
        <w:t>. Digital).</w:t>
      </w:r>
    </w:p>
    <w:p w14:paraId="075DEBA7" w14:textId="39260C42" w:rsidR="002B34B6" w:rsidRPr="00EB0229" w:rsidRDefault="002B34B6" w:rsidP="00EB0229">
      <w:pPr>
        <w:autoSpaceDE w:val="0"/>
        <w:autoSpaceDN w:val="0"/>
        <w:adjustRightInd w:val="0"/>
        <w:spacing w:line="276" w:lineRule="auto"/>
        <w:jc w:val="both"/>
        <w:rPr>
          <w:rFonts w:ascii="Arial" w:hAnsi="Arial" w:cs="Arial"/>
        </w:rPr>
      </w:pPr>
    </w:p>
    <w:p w14:paraId="68466402" w14:textId="243D203C" w:rsidR="00C35F95" w:rsidRPr="00EB0229" w:rsidRDefault="3F367D90" w:rsidP="00EB0229">
      <w:pPr>
        <w:autoSpaceDE w:val="0"/>
        <w:autoSpaceDN w:val="0"/>
        <w:adjustRightInd w:val="0"/>
        <w:spacing w:line="276" w:lineRule="auto"/>
        <w:jc w:val="both"/>
        <w:rPr>
          <w:rFonts w:ascii="Arial" w:hAnsi="Arial" w:cs="Arial"/>
        </w:rPr>
      </w:pPr>
      <w:r w:rsidRPr="00EB0229">
        <w:rPr>
          <w:rFonts w:ascii="Arial" w:hAnsi="Arial" w:cs="Arial"/>
          <w:b/>
          <w:bCs/>
        </w:rPr>
        <w:t>2.2 Auto recurrido</w:t>
      </w:r>
      <w:r w:rsidRPr="00EB0229">
        <w:rPr>
          <w:rFonts w:ascii="Arial" w:hAnsi="Arial" w:cs="Arial"/>
        </w:rPr>
        <w:t xml:space="preserve"> </w:t>
      </w:r>
    </w:p>
    <w:p w14:paraId="580A58D7" w14:textId="1FFF0F0B" w:rsidR="00C94138" w:rsidRPr="00EB0229" w:rsidRDefault="00C94138" w:rsidP="00EB0229">
      <w:pPr>
        <w:autoSpaceDE w:val="0"/>
        <w:autoSpaceDN w:val="0"/>
        <w:adjustRightInd w:val="0"/>
        <w:spacing w:line="276" w:lineRule="auto"/>
        <w:jc w:val="both"/>
        <w:rPr>
          <w:rFonts w:ascii="Arial" w:hAnsi="Arial" w:cs="Arial"/>
        </w:rPr>
      </w:pPr>
    </w:p>
    <w:p w14:paraId="36598AF9" w14:textId="77777777" w:rsidR="00067651" w:rsidRPr="00EB0229" w:rsidRDefault="28BAA9FD" w:rsidP="00EB0229">
      <w:pPr>
        <w:autoSpaceDE w:val="0"/>
        <w:autoSpaceDN w:val="0"/>
        <w:adjustRightInd w:val="0"/>
        <w:spacing w:line="276" w:lineRule="auto"/>
        <w:jc w:val="both"/>
        <w:rPr>
          <w:rFonts w:ascii="Arial" w:hAnsi="Arial" w:cs="Arial"/>
        </w:rPr>
      </w:pPr>
      <w:r w:rsidRPr="00EB0229">
        <w:rPr>
          <w:rFonts w:ascii="Arial" w:hAnsi="Arial" w:cs="Arial"/>
        </w:rPr>
        <w:t xml:space="preserve">El juzgado de primer grado mediante auto del </w:t>
      </w:r>
      <w:r w:rsidR="17824FC8" w:rsidRPr="00EB0229">
        <w:rPr>
          <w:rFonts w:ascii="Arial" w:hAnsi="Arial" w:cs="Arial"/>
        </w:rPr>
        <w:t>08/06/2023 dejó sin efectos el auto que libró el mandamiento de pago para en su lugar negar el mismo y ordenar el levantamiento de las medidas cautelares.</w:t>
      </w:r>
    </w:p>
    <w:p w14:paraId="2C244CA1" w14:textId="77777777" w:rsidR="00067651" w:rsidRPr="00EB0229" w:rsidRDefault="00067651" w:rsidP="00EB0229">
      <w:pPr>
        <w:autoSpaceDE w:val="0"/>
        <w:autoSpaceDN w:val="0"/>
        <w:adjustRightInd w:val="0"/>
        <w:spacing w:line="276" w:lineRule="auto"/>
        <w:jc w:val="both"/>
        <w:rPr>
          <w:rFonts w:ascii="Arial" w:hAnsi="Arial" w:cs="Arial"/>
        </w:rPr>
      </w:pPr>
    </w:p>
    <w:p w14:paraId="18326063" w14:textId="74FAFFC1" w:rsidR="00067651" w:rsidRPr="00EB0229" w:rsidRDefault="17824FC8" w:rsidP="00EB0229">
      <w:pPr>
        <w:autoSpaceDE w:val="0"/>
        <w:autoSpaceDN w:val="0"/>
        <w:adjustRightInd w:val="0"/>
        <w:spacing w:line="276" w:lineRule="auto"/>
        <w:jc w:val="both"/>
        <w:rPr>
          <w:rFonts w:ascii="Arial" w:hAnsi="Arial" w:cs="Arial"/>
        </w:rPr>
      </w:pPr>
      <w:r w:rsidRPr="00EB0229">
        <w:rPr>
          <w:rFonts w:ascii="Arial" w:hAnsi="Arial" w:cs="Arial"/>
        </w:rPr>
        <w:t>Como fundamento para dichas determinaciones argumentó que los requerimientos previos para constituir en mora al empleador no fueron entregados a este, pese a que se intentó en tres ocasiones pues las mismas fueron devueltas porque la persona “</w:t>
      </w:r>
      <w:r w:rsidRPr="003329A5">
        <w:rPr>
          <w:rFonts w:ascii="Arial" w:hAnsi="Arial" w:cs="Arial"/>
          <w:sz w:val="22"/>
        </w:rPr>
        <w:t>ya no labora allí</w:t>
      </w:r>
      <w:r w:rsidRPr="00EB0229">
        <w:rPr>
          <w:rFonts w:ascii="Arial" w:hAnsi="Arial" w:cs="Arial"/>
        </w:rPr>
        <w:t>” o el que atendió adujo no conocer la razón social a notificar; por lo que, no existe prueba alguna que acredite el citado requerimiento previo de ahí que se incumplió con la exigencia contenida en el artículo 5º del Decreto 2633 de 1994. Finalmente, señaló que la sociedad ejecutada se encuentra en estado de disolución por incumplimiento de la renovación de la matrícula mercantil en los últimos 5 años</w:t>
      </w:r>
      <w:r w:rsidR="1F943999" w:rsidRPr="00EB0229">
        <w:rPr>
          <w:rFonts w:ascii="Arial" w:hAnsi="Arial" w:cs="Arial"/>
        </w:rPr>
        <w:t xml:space="preserve">; </w:t>
      </w:r>
      <w:r w:rsidR="1F943999" w:rsidRPr="00EB0229">
        <w:rPr>
          <w:rFonts w:ascii="Arial" w:hAnsi="Arial" w:cs="Arial"/>
        </w:rPr>
        <w:lastRenderedPageBreak/>
        <w:t xml:space="preserve">por lo que, </w:t>
      </w:r>
      <w:r w:rsidRPr="00EB0229">
        <w:rPr>
          <w:rFonts w:ascii="Arial" w:hAnsi="Arial" w:cs="Arial"/>
        </w:rPr>
        <w:t>la ejecutante debió solicitar que se nombrara liquidador para poder cobrarle los aportes pensionales a dicha sociedad.</w:t>
      </w:r>
    </w:p>
    <w:p w14:paraId="330816D8" w14:textId="77777777" w:rsidR="00067651" w:rsidRPr="00EB0229" w:rsidRDefault="00067651" w:rsidP="00EB0229">
      <w:pPr>
        <w:autoSpaceDE w:val="0"/>
        <w:autoSpaceDN w:val="0"/>
        <w:adjustRightInd w:val="0"/>
        <w:spacing w:line="276" w:lineRule="auto"/>
        <w:jc w:val="both"/>
        <w:rPr>
          <w:rFonts w:ascii="Arial" w:hAnsi="Arial" w:cs="Arial"/>
        </w:rPr>
      </w:pPr>
    </w:p>
    <w:p w14:paraId="0373506D" w14:textId="37437273" w:rsidR="00C35F95" w:rsidRPr="00EB0229" w:rsidRDefault="3F367D90" w:rsidP="00EB0229">
      <w:pPr>
        <w:autoSpaceDE w:val="0"/>
        <w:autoSpaceDN w:val="0"/>
        <w:adjustRightInd w:val="0"/>
        <w:spacing w:line="276" w:lineRule="auto"/>
        <w:jc w:val="both"/>
        <w:rPr>
          <w:rFonts w:ascii="Arial" w:hAnsi="Arial" w:cs="Arial"/>
          <w:b/>
          <w:bCs/>
          <w:lang w:val="es-ES"/>
        </w:rPr>
      </w:pPr>
      <w:r w:rsidRPr="00EB0229">
        <w:rPr>
          <w:rFonts w:ascii="Arial" w:hAnsi="Arial" w:cs="Arial"/>
          <w:b/>
          <w:bCs/>
          <w:lang w:val="es-ES"/>
        </w:rPr>
        <w:t>3. Síntesis del recurso</w:t>
      </w:r>
    </w:p>
    <w:p w14:paraId="597548B6" w14:textId="79E1250F" w:rsidR="00C35F95" w:rsidRPr="00EB0229" w:rsidRDefault="00C35F95" w:rsidP="00EB0229">
      <w:pPr>
        <w:autoSpaceDE w:val="0"/>
        <w:autoSpaceDN w:val="0"/>
        <w:adjustRightInd w:val="0"/>
        <w:spacing w:line="276" w:lineRule="auto"/>
        <w:jc w:val="both"/>
        <w:rPr>
          <w:rFonts w:ascii="Arial" w:hAnsi="Arial" w:cs="Arial"/>
        </w:rPr>
      </w:pPr>
    </w:p>
    <w:p w14:paraId="6DC61AA2" w14:textId="5DDB7D3C" w:rsidR="00EE5DB0" w:rsidRPr="00EB0229" w:rsidRDefault="3F367D90" w:rsidP="00EB0229">
      <w:pPr>
        <w:autoSpaceDE w:val="0"/>
        <w:autoSpaceDN w:val="0"/>
        <w:adjustRightInd w:val="0"/>
        <w:spacing w:line="276" w:lineRule="auto"/>
        <w:jc w:val="both"/>
        <w:rPr>
          <w:rFonts w:ascii="Arial" w:hAnsi="Arial" w:cs="Arial"/>
        </w:rPr>
      </w:pPr>
      <w:r w:rsidRPr="00EB0229">
        <w:rPr>
          <w:rFonts w:ascii="Arial" w:hAnsi="Arial" w:cs="Arial"/>
        </w:rPr>
        <w:t xml:space="preserve">Inconforme con dicha determinación la ejecutante presentó </w:t>
      </w:r>
      <w:r w:rsidR="28BAA9FD" w:rsidRPr="00EB0229">
        <w:rPr>
          <w:rFonts w:ascii="Arial" w:hAnsi="Arial" w:cs="Arial"/>
        </w:rPr>
        <w:t xml:space="preserve">recurso </w:t>
      </w:r>
      <w:r w:rsidR="287F3F89" w:rsidRPr="00EB0229">
        <w:rPr>
          <w:rFonts w:ascii="Arial" w:hAnsi="Arial" w:cs="Arial"/>
        </w:rPr>
        <w:t xml:space="preserve">de apelación para lo cual argumentó que </w:t>
      </w:r>
      <w:r w:rsidR="2337C21B" w:rsidRPr="00EB0229">
        <w:rPr>
          <w:rFonts w:ascii="Arial" w:hAnsi="Arial" w:cs="Arial"/>
        </w:rPr>
        <w:t>sí cumplió con la obligación de constituir en mora en la dirección registrada en el certificado de existencia y representación legal, sin que se le pueda pedir una dirección diferente a la allí inscrita</w:t>
      </w:r>
      <w:r w:rsidR="79284903" w:rsidRPr="00EB0229">
        <w:rPr>
          <w:rFonts w:ascii="Arial" w:hAnsi="Arial" w:cs="Arial"/>
        </w:rPr>
        <w:t>; de ahí que</w:t>
      </w:r>
      <w:r w:rsidR="01FB6F04" w:rsidRPr="00EB0229">
        <w:rPr>
          <w:rFonts w:ascii="Arial" w:hAnsi="Arial" w:cs="Arial"/>
        </w:rPr>
        <w:t xml:space="preserve"> resulta desmedido</w:t>
      </w:r>
      <w:r w:rsidR="79284903" w:rsidRPr="00EB0229">
        <w:rPr>
          <w:rFonts w:ascii="Arial" w:hAnsi="Arial" w:cs="Arial"/>
        </w:rPr>
        <w:t xml:space="preserve"> exigir una carga adicional como cerciorarse de que la persona que reciba sea el empleador, sino que basta con que se entregue a la dirección por este reportada ante la AFP o la registrada en el certificado mercantil; además, el empleador estaba obligado a registrarse en el registro único de aportantes</w:t>
      </w:r>
      <w:r w:rsidR="133B68CC" w:rsidRPr="00EB0229">
        <w:rPr>
          <w:rFonts w:ascii="Arial" w:hAnsi="Arial" w:cs="Arial"/>
        </w:rPr>
        <w:t>; por lo tanto, el ejecutante carece de error alguno pues es el empleador, quien debe</w:t>
      </w:r>
      <w:r w:rsidR="79284903" w:rsidRPr="00EB0229">
        <w:rPr>
          <w:rFonts w:ascii="Arial" w:hAnsi="Arial" w:cs="Arial"/>
        </w:rPr>
        <w:t xml:space="preserve"> informar una dirección diferente, y </w:t>
      </w:r>
      <w:r w:rsidR="0461FB5F" w:rsidRPr="00EB0229">
        <w:rPr>
          <w:rFonts w:ascii="Arial" w:hAnsi="Arial" w:cs="Arial"/>
        </w:rPr>
        <w:t>por ello, no se puede</w:t>
      </w:r>
      <w:r w:rsidR="79284903" w:rsidRPr="00EB0229">
        <w:rPr>
          <w:rFonts w:ascii="Arial" w:hAnsi="Arial" w:cs="Arial"/>
        </w:rPr>
        <w:t xml:space="preserve"> beneficiar al empleador incumplido. </w:t>
      </w:r>
    </w:p>
    <w:p w14:paraId="7B82C9D6" w14:textId="63861D16" w:rsidR="00C35F95" w:rsidRPr="00EB0229" w:rsidRDefault="00C35F95" w:rsidP="00EB0229">
      <w:pPr>
        <w:autoSpaceDE w:val="0"/>
        <w:autoSpaceDN w:val="0"/>
        <w:adjustRightInd w:val="0"/>
        <w:spacing w:line="276" w:lineRule="auto"/>
        <w:jc w:val="both"/>
        <w:rPr>
          <w:rFonts w:ascii="Arial" w:hAnsi="Arial" w:cs="Arial"/>
        </w:rPr>
      </w:pPr>
    </w:p>
    <w:p w14:paraId="3DD03FF0" w14:textId="7E8A5082" w:rsidR="2992BCA5" w:rsidRPr="00EB0229" w:rsidRDefault="4F35B914" w:rsidP="00EB0229">
      <w:pPr>
        <w:spacing w:line="276" w:lineRule="auto"/>
        <w:jc w:val="both"/>
        <w:rPr>
          <w:rFonts w:ascii="Arial" w:hAnsi="Arial" w:cs="Arial"/>
          <w:b/>
          <w:bCs/>
        </w:rPr>
      </w:pPr>
      <w:r w:rsidRPr="00EB0229">
        <w:rPr>
          <w:rFonts w:ascii="Arial" w:hAnsi="Arial" w:cs="Arial"/>
          <w:b/>
          <w:bCs/>
        </w:rPr>
        <w:t>4. Alegatos de conclusión</w:t>
      </w:r>
    </w:p>
    <w:p w14:paraId="0C332281" w14:textId="2FF6F4BD" w:rsidR="186935FF" w:rsidRPr="00EB0229" w:rsidRDefault="186935FF" w:rsidP="00EB0229">
      <w:pPr>
        <w:spacing w:line="276" w:lineRule="auto"/>
        <w:jc w:val="both"/>
        <w:rPr>
          <w:rFonts w:ascii="Arial" w:hAnsi="Arial" w:cs="Arial"/>
          <w:b/>
          <w:bCs/>
        </w:rPr>
      </w:pPr>
    </w:p>
    <w:p w14:paraId="053E5E0E" w14:textId="479BEDF1" w:rsidR="37FC85FD" w:rsidRPr="00EB0229" w:rsidRDefault="58A93FD5" w:rsidP="00EB0229">
      <w:pPr>
        <w:spacing w:line="276" w:lineRule="auto"/>
        <w:jc w:val="both"/>
        <w:rPr>
          <w:rFonts w:ascii="Arial" w:hAnsi="Arial" w:cs="Arial"/>
          <w:b/>
          <w:bCs/>
        </w:rPr>
      </w:pPr>
      <w:r w:rsidRPr="00EB0229">
        <w:rPr>
          <w:rFonts w:ascii="Arial" w:hAnsi="Arial" w:cs="Arial"/>
        </w:rPr>
        <w:t>La parte ejecutante y la ejecutada, representada por curador ad litem aportaron los alegatos de conclusión que coinciden con los temas que serán analizados en la presente providencia.</w:t>
      </w:r>
    </w:p>
    <w:p w14:paraId="3E44EA12" w14:textId="073180F2" w:rsidR="186935FF" w:rsidRPr="00EB0229" w:rsidRDefault="186935FF" w:rsidP="00EB0229">
      <w:pPr>
        <w:spacing w:line="276" w:lineRule="auto"/>
        <w:jc w:val="both"/>
        <w:rPr>
          <w:rFonts w:ascii="Arial" w:hAnsi="Arial" w:cs="Arial"/>
        </w:rPr>
      </w:pPr>
    </w:p>
    <w:p w14:paraId="06297491" w14:textId="77777777" w:rsidR="00E20B33" w:rsidRPr="00EB0229" w:rsidRDefault="19F50764" w:rsidP="00EB0229">
      <w:pPr>
        <w:autoSpaceDE w:val="0"/>
        <w:autoSpaceDN w:val="0"/>
        <w:adjustRightInd w:val="0"/>
        <w:spacing w:line="276" w:lineRule="auto"/>
        <w:jc w:val="center"/>
        <w:rPr>
          <w:rFonts w:ascii="Arial" w:hAnsi="Arial" w:cs="Arial"/>
          <w:b/>
          <w:bCs/>
          <w:lang w:val="es-ES"/>
        </w:rPr>
      </w:pPr>
      <w:r w:rsidRPr="00EB0229">
        <w:rPr>
          <w:rFonts w:ascii="Arial" w:hAnsi="Arial" w:cs="Arial"/>
          <w:b/>
          <w:bCs/>
          <w:lang w:val="es-ES"/>
        </w:rPr>
        <w:t>CONSIDERACIONES</w:t>
      </w:r>
    </w:p>
    <w:p w14:paraId="7F6999F1" w14:textId="77777777" w:rsidR="00E20B33" w:rsidRPr="00EB0229" w:rsidRDefault="00E20B33" w:rsidP="00EB0229">
      <w:pPr>
        <w:autoSpaceDE w:val="0"/>
        <w:autoSpaceDN w:val="0"/>
        <w:adjustRightInd w:val="0"/>
        <w:spacing w:line="276" w:lineRule="auto"/>
        <w:ind w:firstLine="708"/>
        <w:jc w:val="both"/>
        <w:rPr>
          <w:rFonts w:ascii="Arial" w:hAnsi="Arial" w:cs="Arial"/>
          <w:lang w:val="es-ES"/>
        </w:rPr>
      </w:pPr>
    </w:p>
    <w:p w14:paraId="1143A665" w14:textId="77777777" w:rsidR="00E20B33" w:rsidRPr="00EB0229" w:rsidRDefault="19F50764" w:rsidP="00EB0229">
      <w:pPr>
        <w:autoSpaceDE w:val="0"/>
        <w:autoSpaceDN w:val="0"/>
        <w:adjustRightInd w:val="0"/>
        <w:spacing w:line="276" w:lineRule="auto"/>
        <w:jc w:val="both"/>
        <w:rPr>
          <w:rFonts w:ascii="Arial" w:hAnsi="Arial" w:cs="Arial"/>
          <w:lang w:val="es-ES"/>
        </w:rPr>
      </w:pPr>
      <w:r w:rsidRPr="00EB0229">
        <w:rPr>
          <w:rFonts w:ascii="Arial" w:hAnsi="Arial" w:cs="Arial"/>
          <w:b/>
          <w:bCs/>
          <w:lang w:val="es-ES"/>
        </w:rPr>
        <w:t>1. Problema jurídico</w:t>
      </w:r>
    </w:p>
    <w:p w14:paraId="6B531D45" w14:textId="77777777" w:rsidR="00E20B33" w:rsidRPr="00EB0229" w:rsidRDefault="19F50764" w:rsidP="00EB0229">
      <w:pPr>
        <w:autoSpaceDE w:val="0"/>
        <w:autoSpaceDN w:val="0"/>
        <w:adjustRightInd w:val="0"/>
        <w:spacing w:line="276" w:lineRule="auto"/>
        <w:jc w:val="both"/>
        <w:rPr>
          <w:rFonts w:ascii="Arial" w:hAnsi="Arial" w:cs="Arial"/>
          <w:lang w:val="es-ES"/>
        </w:rPr>
      </w:pPr>
      <w:r w:rsidRPr="00EB0229">
        <w:rPr>
          <w:rFonts w:ascii="Arial" w:hAnsi="Arial" w:cs="Arial"/>
          <w:lang w:val="es-ES"/>
        </w:rPr>
        <w:t> </w:t>
      </w:r>
    </w:p>
    <w:p w14:paraId="6E96E330" w14:textId="2A6E23EC" w:rsidR="00E20B33" w:rsidRPr="00EB0229" w:rsidRDefault="19F50764" w:rsidP="00EB0229">
      <w:pPr>
        <w:autoSpaceDE w:val="0"/>
        <w:autoSpaceDN w:val="0"/>
        <w:adjustRightInd w:val="0"/>
        <w:spacing w:line="276" w:lineRule="auto"/>
        <w:jc w:val="both"/>
        <w:rPr>
          <w:rFonts w:ascii="Arial" w:hAnsi="Arial" w:cs="Arial"/>
          <w:lang w:val="es-ES"/>
        </w:rPr>
      </w:pPr>
      <w:r w:rsidRPr="00EB0229">
        <w:rPr>
          <w:rFonts w:ascii="Arial" w:hAnsi="Arial" w:cs="Arial"/>
          <w:lang w:val="es-ES"/>
        </w:rPr>
        <w:t xml:space="preserve">Visto el recuento anterior se formula la Sala </w:t>
      </w:r>
      <w:r w:rsidR="48D4E2FF" w:rsidRPr="00EB0229">
        <w:rPr>
          <w:rFonts w:ascii="Arial" w:hAnsi="Arial" w:cs="Arial"/>
          <w:lang w:val="es-ES"/>
        </w:rPr>
        <w:t>los</w:t>
      </w:r>
      <w:r w:rsidRPr="00EB0229">
        <w:rPr>
          <w:rFonts w:ascii="Arial" w:hAnsi="Arial" w:cs="Arial"/>
          <w:lang w:val="es-ES"/>
        </w:rPr>
        <w:t xml:space="preserve"> siguiente</w:t>
      </w:r>
      <w:r w:rsidR="0AF3198A" w:rsidRPr="00EB0229">
        <w:rPr>
          <w:rFonts w:ascii="Arial" w:hAnsi="Arial" w:cs="Arial"/>
          <w:lang w:val="es-ES"/>
        </w:rPr>
        <w:t>s</w:t>
      </w:r>
      <w:r w:rsidRPr="00EB0229">
        <w:rPr>
          <w:rFonts w:ascii="Arial" w:hAnsi="Arial" w:cs="Arial"/>
          <w:lang w:val="es-ES"/>
        </w:rPr>
        <w:t>:</w:t>
      </w:r>
    </w:p>
    <w:p w14:paraId="2D96A3D9" w14:textId="77777777" w:rsidR="00E20B33" w:rsidRPr="00EB0229" w:rsidRDefault="00E20B33" w:rsidP="00EB0229">
      <w:pPr>
        <w:autoSpaceDE w:val="0"/>
        <w:autoSpaceDN w:val="0"/>
        <w:adjustRightInd w:val="0"/>
        <w:spacing w:line="276" w:lineRule="auto"/>
        <w:jc w:val="both"/>
        <w:rPr>
          <w:rFonts w:ascii="Arial" w:hAnsi="Arial" w:cs="Arial"/>
          <w:lang w:val="es-ES"/>
        </w:rPr>
      </w:pPr>
    </w:p>
    <w:p w14:paraId="0718759B" w14:textId="2B0A7E03" w:rsidR="00E20B33" w:rsidRPr="00EB0229" w:rsidRDefault="19F50764" w:rsidP="00EB0229">
      <w:pPr>
        <w:autoSpaceDE w:val="0"/>
        <w:autoSpaceDN w:val="0"/>
        <w:adjustRightInd w:val="0"/>
        <w:spacing w:line="276" w:lineRule="auto"/>
        <w:jc w:val="both"/>
        <w:rPr>
          <w:rFonts w:ascii="Arial" w:hAnsi="Arial" w:cs="Arial"/>
          <w:lang w:val="es-ES"/>
        </w:rPr>
      </w:pPr>
      <w:r w:rsidRPr="00EB0229">
        <w:rPr>
          <w:rFonts w:ascii="Arial" w:hAnsi="Arial" w:cs="Arial"/>
          <w:lang w:val="es-ES"/>
        </w:rPr>
        <w:t>¿</w:t>
      </w:r>
      <w:r w:rsidR="28BAA9FD" w:rsidRPr="00EB0229">
        <w:rPr>
          <w:rFonts w:ascii="Arial" w:hAnsi="Arial" w:cs="Arial"/>
          <w:lang w:val="es-ES"/>
        </w:rPr>
        <w:t>Es procedente realizar el control de legalidad sobre el título ejecutivo en cobro</w:t>
      </w:r>
      <w:r w:rsidRPr="00EB0229">
        <w:rPr>
          <w:rFonts w:ascii="Arial" w:hAnsi="Arial" w:cs="Arial"/>
          <w:lang w:val="es-ES"/>
        </w:rPr>
        <w:t xml:space="preserve">? </w:t>
      </w:r>
    </w:p>
    <w:p w14:paraId="4C911148" w14:textId="7450C8FA" w:rsidR="00C94138" w:rsidRPr="00EB0229" w:rsidRDefault="00C94138" w:rsidP="00EB0229">
      <w:pPr>
        <w:autoSpaceDE w:val="0"/>
        <w:autoSpaceDN w:val="0"/>
        <w:adjustRightInd w:val="0"/>
        <w:spacing w:line="276" w:lineRule="auto"/>
        <w:jc w:val="both"/>
        <w:rPr>
          <w:rFonts w:ascii="Arial" w:hAnsi="Arial" w:cs="Arial"/>
          <w:lang w:val="es-ES"/>
        </w:rPr>
      </w:pPr>
    </w:p>
    <w:p w14:paraId="5A3B0625" w14:textId="37E6F09E" w:rsidR="00C94138" w:rsidRPr="00EB0229" w:rsidRDefault="28BAA9FD" w:rsidP="00EB0229">
      <w:pPr>
        <w:autoSpaceDE w:val="0"/>
        <w:autoSpaceDN w:val="0"/>
        <w:adjustRightInd w:val="0"/>
        <w:spacing w:line="276" w:lineRule="auto"/>
        <w:jc w:val="both"/>
        <w:rPr>
          <w:rFonts w:ascii="Arial" w:hAnsi="Arial" w:cs="Arial"/>
          <w:lang w:val="es-ES"/>
        </w:rPr>
      </w:pPr>
      <w:r w:rsidRPr="00EB0229">
        <w:rPr>
          <w:rFonts w:ascii="Arial" w:hAnsi="Arial" w:cs="Arial"/>
          <w:lang w:val="es-ES"/>
        </w:rPr>
        <w:t>En caso de respuesta positiva, ¿Cuáles son los requisitos que conforman el título ejecutivo de cobro de aportes pensionales en mora ante el incumplimiento de las obligaciones del empleador?</w:t>
      </w:r>
    </w:p>
    <w:p w14:paraId="1D6D3898" w14:textId="0220DEFD" w:rsidR="00C94138" w:rsidRPr="00EB0229" w:rsidRDefault="00C94138" w:rsidP="00EB0229">
      <w:pPr>
        <w:autoSpaceDE w:val="0"/>
        <w:autoSpaceDN w:val="0"/>
        <w:adjustRightInd w:val="0"/>
        <w:spacing w:line="276" w:lineRule="auto"/>
        <w:jc w:val="both"/>
        <w:rPr>
          <w:rFonts w:ascii="Arial" w:hAnsi="Arial" w:cs="Arial"/>
          <w:lang w:val="es-ES"/>
        </w:rPr>
      </w:pPr>
    </w:p>
    <w:p w14:paraId="42173320" w14:textId="63E27D9A" w:rsidR="00C94138" w:rsidRPr="00EB0229" w:rsidRDefault="28BAA9FD" w:rsidP="00EB0229">
      <w:pPr>
        <w:autoSpaceDE w:val="0"/>
        <w:autoSpaceDN w:val="0"/>
        <w:adjustRightInd w:val="0"/>
        <w:spacing w:line="276" w:lineRule="auto"/>
        <w:jc w:val="both"/>
        <w:rPr>
          <w:rFonts w:ascii="Arial" w:hAnsi="Arial" w:cs="Arial"/>
          <w:lang w:val="es-ES"/>
        </w:rPr>
      </w:pPr>
      <w:r w:rsidRPr="00EB0229">
        <w:rPr>
          <w:rFonts w:ascii="Arial" w:hAnsi="Arial" w:cs="Arial"/>
          <w:lang w:val="es-ES"/>
        </w:rPr>
        <w:t>¿Cómo se integra el requerimiento previo al empleador en mora para el pago de los aportes pensionales?</w:t>
      </w:r>
    </w:p>
    <w:p w14:paraId="25FF93A3" w14:textId="5A77F20A" w:rsidR="008EAC7B" w:rsidRPr="00EB0229" w:rsidRDefault="008EAC7B" w:rsidP="00EB0229">
      <w:pPr>
        <w:spacing w:line="276" w:lineRule="auto"/>
        <w:jc w:val="both"/>
        <w:rPr>
          <w:rFonts w:ascii="Arial" w:hAnsi="Arial" w:cs="Arial"/>
          <w:lang w:val="es-ES"/>
        </w:rPr>
      </w:pPr>
    </w:p>
    <w:p w14:paraId="383D03B8" w14:textId="7D39BAE7" w:rsidR="00E20B33" w:rsidRPr="00EB0229" w:rsidRDefault="19F50764" w:rsidP="00EB0229">
      <w:pPr>
        <w:autoSpaceDE w:val="0"/>
        <w:autoSpaceDN w:val="0"/>
        <w:adjustRightInd w:val="0"/>
        <w:spacing w:line="276" w:lineRule="auto"/>
        <w:jc w:val="both"/>
        <w:rPr>
          <w:rFonts w:ascii="Arial" w:hAnsi="Arial" w:cs="Arial"/>
          <w:b/>
          <w:bCs/>
          <w:lang w:val="es-ES"/>
        </w:rPr>
      </w:pPr>
      <w:r w:rsidRPr="00EB0229">
        <w:rPr>
          <w:rFonts w:ascii="Arial" w:hAnsi="Arial" w:cs="Arial"/>
          <w:b/>
          <w:bCs/>
          <w:i/>
          <w:iCs/>
          <w:lang w:val="es-ES"/>
        </w:rPr>
        <w:t xml:space="preserve">2. </w:t>
      </w:r>
      <w:r w:rsidRPr="00EB0229">
        <w:rPr>
          <w:rFonts w:ascii="Arial" w:hAnsi="Arial" w:cs="Arial"/>
          <w:b/>
          <w:bCs/>
          <w:lang w:val="es-ES"/>
        </w:rPr>
        <w:t>Solución a</w:t>
      </w:r>
      <w:r w:rsidR="48C288BE" w:rsidRPr="00EB0229">
        <w:rPr>
          <w:rFonts w:ascii="Arial" w:hAnsi="Arial" w:cs="Arial"/>
          <w:b/>
          <w:bCs/>
          <w:lang w:val="es-ES"/>
        </w:rPr>
        <w:t xml:space="preserve"> </w:t>
      </w:r>
      <w:r w:rsidRPr="00EB0229">
        <w:rPr>
          <w:rFonts w:ascii="Arial" w:hAnsi="Arial" w:cs="Arial"/>
          <w:b/>
          <w:bCs/>
          <w:lang w:val="es-ES"/>
        </w:rPr>
        <w:t>l</w:t>
      </w:r>
      <w:r w:rsidR="48C288BE" w:rsidRPr="00EB0229">
        <w:rPr>
          <w:rFonts w:ascii="Arial" w:hAnsi="Arial" w:cs="Arial"/>
          <w:b/>
          <w:bCs/>
          <w:lang w:val="es-ES"/>
        </w:rPr>
        <w:t>os</w:t>
      </w:r>
      <w:r w:rsidRPr="00EB0229">
        <w:rPr>
          <w:rFonts w:ascii="Arial" w:hAnsi="Arial" w:cs="Arial"/>
          <w:b/>
          <w:bCs/>
          <w:lang w:val="es-ES"/>
        </w:rPr>
        <w:t xml:space="preserve"> interrogante</w:t>
      </w:r>
      <w:r w:rsidR="6D196F8E" w:rsidRPr="00EB0229">
        <w:rPr>
          <w:rFonts w:ascii="Arial" w:hAnsi="Arial" w:cs="Arial"/>
          <w:b/>
          <w:bCs/>
          <w:lang w:val="es-ES"/>
        </w:rPr>
        <w:t>s</w:t>
      </w:r>
      <w:r w:rsidRPr="00EB0229">
        <w:rPr>
          <w:rFonts w:ascii="Arial" w:hAnsi="Arial" w:cs="Arial"/>
          <w:b/>
          <w:bCs/>
          <w:lang w:val="es-ES"/>
        </w:rPr>
        <w:t xml:space="preserve"> planteado</w:t>
      </w:r>
      <w:r w:rsidR="53012568" w:rsidRPr="00EB0229">
        <w:rPr>
          <w:rFonts w:ascii="Arial" w:hAnsi="Arial" w:cs="Arial"/>
          <w:b/>
          <w:bCs/>
          <w:lang w:val="es-ES"/>
        </w:rPr>
        <w:t>s</w:t>
      </w:r>
    </w:p>
    <w:p w14:paraId="003337C9" w14:textId="47EFD31D" w:rsidR="00C94138" w:rsidRPr="00EB0229" w:rsidRDefault="00C94138" w:rsidP="00EB0229">
      <w:pPr>
        <w:autoSpaceDE w:val="0"/>
        <w:autoSpaceDN w:val="0"/>
        <w:adjustRightInd w:val="0"/>
        <w:spacing w:line="276" w:lineRule="auto"/>
        <w:jc w:val="both"/>
        <w:rPr>
          <w:rFonts w:ascii="Arial" w:hAnsi="Arial" w:cs="Arial"/>
          <w:b/>
          <w:bCs/>
          <w:lang w:val="es-ES"/>
        </w:rPr>
      </w:pPr>
    </w:p>
    <w:p w14:paraId="5682E91C" w14:textId="025747BD" w:rsidR="00C94138" w:rsidRPr="00EB0229" w:rsidRDefault="28BAA9FD" w:rsidP="00C7555A">
      <w:pPr>
        <w:autoSpaceDE w:val="0"/>
        <w:autoSpaceDN w:val="0"/>
        <w:adjustRightInd w:val="0"/>
        <w:spacing w:line="276" w:lineRule="auto"/>
        <w:jc w:val="both"/>
        <w:rPr>
          <w:rFonts w:ascii="Arial" w:hAnsi="Arial" w:cs="Arial"/>
          <w:b/>
          <w:bCs/>
          <w:lang w:val="es-ES"/>
        </w:rPr>
      </w:pPr>
      <w:r w:rsidRPr="00EB0229">
        <w:rPr>
          <w:rFonts w:ascii="Arial" w:hAnsi="Arial" w:cs="Arial"/>
          <w:b/>
          <w:bCs/>
          <w:lang w:val="es-ES"/>
        </w:rPr>
        <w:t xml:space="preserve">2.1. </w:t>
      </w:r>
      <w:r w:rsidR="79284903" w:rsidRPr="00EB0229">
        <w:rPr>
          <w:rFonts w:ascii="Arial" w:hAnsi="Arial" w:cs="Arial"/>
          <w:b/>
          <w:bCs/>
          <w:lang w:val="es-ES"/>
        </w:rPr>
        <w:t>Del proceso ejecutivo de cobro de aportes pensionales</w:t>
      </w:r>
    </w:p>
    <w:p w14:paraId="58980BAE" w14:textId="77777777" w:rsidR="00C7555A" w:rsidRDefault="00C7555A" w:rsidP="00C7555A">
      <w:pPr>
        <w:spacing w:line="276" w:lineRule="auto"/>
        <w:jc w:val="both"/>
        <w:rPr>
          <w:rFonts w:ascii="Arial" w:hAnsi="Arial" w:cs="Arial"/>
        </w:rPr>
      </w:pPr>
    </w:p>
    <w:p w14:paraId="17C4712E" w14:textId="141A861F" w:rsidR="00DE3DD1" w:rsidRPr="00EB0229" w:rsidRDefault="03052C3B" w:rsidP="00C7555A">
      <w:pPr>
        <w:spacing w:line="276" w:lineRule="auto"/>
        <w:jc w:val="both"/>
        <w:rPr>
          <w:rFonts w:ascii="Arial" w:hAnsi="Arial" w:cs="Arial"/>
        </w:rPr>
      </w:pPr>
      <w:r w:rsidRPr="00EB0229">
        <w:rPr>
          <w:rFonts w:ascii="Arial" w:hAnsi="Arial" w:cs="Arial"/>
        </w:rPr>
        <w:t>Todo proceso ejecutivo sin importar la especialidad y jurisdicción en donde se intente, debe apuntalarse en un título ejecutivo, cuyos requisitos de forma y fondo se consagran en el art. 4</w:t>
      </w:r>
      <w:r w:rsidR="2847B62E" w:rsidRPr="00EB0229">
        <w:rPr>
          <w:rFonts w:ascii="Arial" w:hAnsi="Arial" w:cs="Arial"/>
        </w:rPr>
        <w:t xml:space="preserve">22 </w:t>
      </w:r>
      <w:r w:rsidRPr="00EB0229">
        <w:rPr>
          <w:rFonts w:ascii="Arial" w:hAnsi="Arial" w:cs="Arial"/>
        </w:rPr>
        <w:t>del C</w:t>
      </w:r>
      <w:r w:rsidR="2847B62E" w:rsidRPr="00EB0229">
        <w:rPr>
          <w:rFonts w:ascii="Arial" w:hAnsi="Arial" w:cs="Arial"/>
        </w:rPr>
        <w:t>GP</w:t>
      </w:r>
      <w:r w:rsidRPr="00EB0229">
        <w:rPr>
          <w:rFonts w:ascii="Arial" w:hAnsi="Arial" w:cs="Arial"/>
        </w:rPr>
        <w:t xml:space="preserve">, </w:t>
      </w:r>
      <w:r w:rsidR="2847B62E" w:rsidRPr="00EB0229">
        <w:rPr>
          <w:rFonts w:ascii="Arial" w:hAnsi="Arial" w:cs="Arial"/>
        </w:rPr>
        <w:t xml:space="preserve">canon </w:t>
      </w:r>
      <w:r w:rsidRPr="00EB0229">
        <w:rPr>
          <w:rFonts w:ascii="Arial" w:hAnsi="Arial" w:cs="Arial"/>
        </w:rPr>
        <w:t>que se aplica por remisión a la especialidad laboral</w:t>
      </w:r>
      <w:r w:rsidR="232FA8E0" w:rsidRPr="00EB0229">
        <w:rPr>
          <w:rFonts w:ascii="Arial" w:hAnsi="Arial" w:cs="Arial"/>
        </w:rPr>
        <w:t>.</w:t>
      </w:r>
    </w:p>
    <w:p w14:paraId="2D997330" w14:textId="77777777" w:rsidR="00C7555A" w:rsidRDefault="00C7555A" w:rsidP="00C7555A">
      <w:pPr>
        <w:spacing w:line="276" w:lineRule="auto"/>
        <w:jc w:val="both"/>
        <w:rPr>
          <w:rFonts w:ascii="Arial" w:hAnsi="Arial" w:cs="Arial"/>
        </w:rPr>
      </w:pPr>
    </w:p>
    <w:p w14:paraId="6636A230" w14:textId="04117A9C" w:rsidR="002106CD" w:rsidRPr="00EB0229" w:rsidRDefault="2847B62E" w:rsidP="00C7555A">
      <w:pPr>
        <w:spacing w:line="276" w:lineRule="auto"/>
        <w:jc w:val="both"/>
        <w:rPr>
          <w:rFonts w:ascii="Arial" w:hAnsi="Arial" w:cs="Arial"/>
        </w:rPr>
      </w:pPr>
      <w:r w:rsidRPr="00EB0229">
        <w:rPr>
          <w:rFonts w:ascii="Arial" w:hAnsi="Arial" w:cs="Arial"/>
        </w:rPr>
        <w:t xml:space="preserve">Lo dicho se complementa </w:t>
      </w:r>
      <w:r w:rsidR="03052C3B" w:rsidRPr="00EB0229">
        <w:rPr>
          <w:rFonts w:ascii="Arial" w:hAnsi="Arial" w:cs="Arial"/>
        </w:rPr>
        <w:t>para el caso que nos ocupa,</w:t>
      </w:r>
      <w:r w:rsidR="3A885ED5" w:rsidRPr="00EB0229">
        <w:rPr>
          <w:rFonts w:ascii="Arial" w:hAnsi="Arial" w:cs="Arial"/>
        </w:rPr>
        <w:t xml:space="preserve"> con</w:t>
      </w:r>
      <w:r w:rsidR="03052C3B" w:rsidRPr="00EB0229">
        <w:rPr>
          <w:rFonts w:ascii="Arial" w:hAnsi="Arial" w:cs="Arial"/>
        </w:rPr>
        <w:t xml:space="preserve"> lo estipulado en el art. 100 del CPT y SS, que es del siguiente tenor “</w:t>
      </w:r>
      <w:r w:rsidR="03052C3B" w:rsidRPr="003329A5">
        <w:rPr>
          <w:rFonts w:ascii="Arial" w:hAnsi="Arial" w:cs="Arial"/>
          <w:i/>
          <w:iCs/>
          <w:sz w:val="22"/>
        </w:rPr>
        <w:t xml:space="preserve">Será exigible ejecutivamente el cumplimiento de toda obligación originada en una relación de trabajo, que conste en acto o documento que </w:t>
      </w:r>
      <w:r w:rsidR="03052C3B" w:rsidRPr="003329A5">
        <w:rPr>
          <w:rFonts w:ascii="Arial" w:hAnsi="Arial" w:cs="Arial"/>
          <w:i/>
          <w:iCs/>
          <w:sz w:val="22"/>
        </w:rPr>
        <w:lastRenderedPageBreak/>
        <w:t>provenga del deudor o de su causante o que emane de una decisión judicial o arbitral en firme</w:t>
      </w:r>
      <w:r w:rsidR="03052C3B" w:rsidRPr="00EB0229">
        <w:rPr>
          <w:rFonts w:ascii="Arial" w:hAnsi="Arial" w:cs="Arial"/>
        </w:rPr>
        <w:t xml:space="preserve">”.  </w:t>
      </w:r>
    </w:p>
    <w:p w14:paraId="6F901BC5" w14:textId="77777777" w:rsidR="00C7555A" w:rsidRDefault="00C7555A" w:rsidP="00C7555A">
      <w:pPr>
        <w:spacing w:line="276" w:lineRule="auto"/>
        <w:jc w:val="both"/>
        <w:rPr>
          <w:rFonts w:ascii="Arial" w:eastAsia="Arial" w:hAnsi="Arial" w:cs="Arial"/>
        </w:rPr>
      </w:pPr>
    </w:p>
    <w:p w14:paraId="30D524BE" w14:textId="516A2166" w:rsidR="008EAC7B" w:rsidRPr="00EB0229" w:rsidRDefault="3A062F90" w:rsidP="00C7555A">
      <w:pPr>
        <w:spacing w:line="276" w:lineRule="auto"/>
        <w:jc w:val="both"/>
        <w:rPr>
          <w:rFonts w:ascii="Arial" w:eastAsia="Arial" w:hAnsi="Arial" w:cs="Arial"/>
        </w:rPr>
      </w:pPr>
      <w:r w:rsidRPr="00EB0229">
        <w:rPr>
          <w:rFonts w:ascii="Arial" w:eastAsia="Arial" w:hAnsi="Arial" w:cs="Arial"/>
        </w:rPr>
        <w:t>No obstante, también son títulos ejecutivos los que la misma legislación establece, entre ellos, las facturas de servicios públicos, la liquidación que realice el administrador para el cobro de las cuotas de administración de propiedad horizontal y el cobro de aportes pensionales. Eventos en los cuales, la norma señala las condiciones y requisitos que deben constar en el documento para que se pueda cobrar ejecutivamente dichas obligaciones.</w:t>
      </w:r>
    </w:p>
    <w:p w14:paraId="4DF7A45A" w14:textId="77777777" w:rsidR="00C7555A" w:rsidRDefault="00C7555A" w:rsidP="00C7555A">
      <w:pPr>
        <w:spacing w:line="276" w:lineRule="auto"/>
        <w:jc w:val="both"/>
        <w:rPr>
          <w:rFonts w:ascii="Arial" w:eastAsia="Arial" w:hAnsi="Arial" w:cs="Arial"/>
        </w:rPr>
      </w:pPr>
    </w:p>
    <w:p w14:paraId="73F517AA" w14:textId="452F986F" w:rsidR="008EAC7B" w:rsidRPr="00EB0229" w:rsidRDefault="3A062F90" w:rsidP="00C7555A">
      <w:pPr>
        <w:spacing w:line="276" w:lineRule="auto"/>
        <w:jc w:val="both"/>
        <w:rPr>
          <w:rFonts w:ascii="Arial" w:eastAsia="Arial" w:hAnsi="Arial" w:cs="Arial"/>
          <w:lang w:val="es-ES"/>
        </w:rPr>
      </w:pPr>
      <w:r w:rsidRPr="00EB0229">
        <w:rPr>
          <w:rFonts w:ascii="Arial" w:eastAsia="Arial" w:hAnsi="Arial" w:cs="Arial"/>
        </w:rPr>
        <w:t xml:space="preserve">Frente a estos últimos, </w:t>
      </w:r>
      <w:r w:rsidR="0461FB5F" w:rsidRPr="00EB0229">
        <w:rPr>
          <w:rFonts w:ascii="Arial" w:eastAsia="Arial" w:hAnsi="Arial" w:cs="Arial"/>
          <w:lang w:val="es-ES"/>
        </w:rPr>
        <w:t>e</w:t>
      </w:r>
      <w:r w:rsidR="28BAA9FD" w:rsidRPr="00EB0229">
        <w:rPr>
          <w:rFonts w:ascii="Arial" w:eastAsia="Arial" w:hAnsi="Arial" w:cs="Arial"/>
          <w:lang w:val="es-ES"/>
        </w:rPr>
        <w:t xml:space="preserve">l artículo 24 de la Ley 100 de 1993 establece que presta mérito ejecutivo las liquidaciones que las administradoras de pensiones realicen sobre las obligaciones incumplidas del empleador, de ahí que el artículo 5º del Decreto 2633 de 1994 regule tal procedimiento, para establecer que se necesita </w:t>
      </w:r>
      <w:r w:rsidR="28BAA9FD" w:rsidRPr="00EB0229">
        <w:rPr>
          <w:rFonts w:ascii="Arial" w:eastAsia="Arial" w:hAnsi="Arial" w:cs="Arial"/>
          <w:i/>
          <w:iCs/>
          <w:lang w:val="es-ES"/>
        </w:rPr>
        <w:t>i)</w:t>
      </w:r>
      <w:r w:rsidR="28BAA9FD" w:rsidRPr="00EB0229">
        <w:rPr>
          <w:rFonts w:ascii="Arial" w:eastAsia="Arial" w:hAnsi="Arial" w:cs="Arial"/>
          <w:lang w:val="es-ES"/>
        </w:rPr>
        <w:t xml:space="preserve"> requerir al empleador mediante comunicación dirigida a este, esto es, la certeza de que el requerimiento haya sido en efecto conocido por su deudor y </w:t>
      </w:r>
      <w:r w:rsidR="28BAA9FD" w:rsidRPr="00EB0229">
        <w:rPr>
          <w:rFonts w:ascii="Arial" w:eastAsia="Arial" w:hAnsi="Arial" w:cs="Arial"/>
          <w:i/>
          <w:iCs/>
          <w:lang w:val="es-ES"/>
        </w:rPr>
        <w:t>ii)</w:t>
      </w:r>
      <w:r w:rsidR="28BAA9FD" w:rsidRPr="00EB0229">
        <w:rPr>
          <w:rFonts w:ascii="Arial" w:eastAsia="Arial" w:hAnsi="Arial" w:cs="Arial"/>
          <w:lang w:val="es-ES"/>
        </w:rPr>
        <w:t xml:space="preserve"> la liquidación correspondiente de los aportes en mora, así el citado artículo establece en su inciso final:</w:t>
      </w:r>
    </w:p>
    <w:p w14:paraId="5096D561" w14:textId="46FF658D" w:rsidR="008EAC7B" w:rsidRPr="00EB0229" w:rsidRDefault="008EAC7B" w:rsidP="00EB0229">
      <w:pPr>
        <w:widowControl w:val="0"/>
        <w:spacing w:line="276" w:lineRule="auto"/>
        <w:ind w:left="630" w:right="540"/>
        <w:jc w:val="both"/>
        <w:rPr>
          <w:rFonts w:ascii="Arial" w:hAnsi="Arial" w:cs="Arial"/>
        </w:rPr>
      </w:pPr>
    </w:p>
    <w:p w14:paraId="1A59FCF9" w14:textId="63F73C04" w:rsidR="00C94138" w:rsidRPr="00DB64E4" w:rsidRDefault="28BAA9FD" w:rsidP="00DB64E4">
      <w:pPr>
        <w:widowControl w:val="0"/>
        <w:ind w:left="426" w:right="420"/>
        <w:jc w:val="both"/>
        <w:rPr>
          <w:rFonts w:ascii="Arial" w:eastAsia="Arial" w:hAnsi="Arial" w:cs="Arial"/>
          <w:i/>
          <w:iCs/>
          <w:sz w:val="22"/>
          <w:lang w:val="es-ES"/>
        </w:rPr>
      </w:pPr>
      <w:r w:rsidRPr="00DB64E4">
        <w:rPr>
          <w:rFonts w:ascii="Arial" w:eastAsia="Arial" w:hAnsi="Arial" w:cs="Arial"/>
          <w:i/>
          <w:iCs/>
          <w:sz w:val="22"/>
          <w:lang w:val="es-ES"/>
        </w:rPr>
        <w:t>“(…) Vencidos los plazos señalados para efectuar las consignaciones respectivas por parte de los empleadores la entidad administradora,</w:t>
      </w:r>
      <w:r w:rsidRPr="00DB64E4">
        <w:rPr>
          <w:rFonts w:ascii="Arial" w:eastAsia="Arial" w:hAnsi="Arial" w:cs="Arial"/>
          <w:i/>
          <w:iCs/>
          <w:sz w:val="22"/>
          <w:u w:val="single"/>
          <w:lang w:val="es-ES"/>
        </w:rPr>
        <w:t xml:space="preserve"> mediante comunicación dirigida al empleador moroso lo requerirá</w:t>
      </w:r>
      <w:r w:rsidRPr="00DB64E4">
        <w:rPr>
          <w:rFonts w:ascii="Arial" w:eastAsia="Arial" w:hAnsi="Arial" w:cs="Arial"/>
          <w:i/>
          <w:iCs/>
          <w:sz w:val="22"/>
          <w:lang w:val="es-ES"/>
        </w:rPr>
        <w:t>. Si dentro de los quince (15) días siguientes a dicho requerimiento el empleador no se ha pronunciado, se procederá a elaborar la liquidación, la cual prestará mérito ejecutivo de conformidad con lo establecido en el artículo 24 de la Ley 100 de 1993.”</w:t>
      </w:r>
    </w:p>
    <w:p w14:paraId="42C2CFBA" w14:textId="46A7DB7A" w:rsidR="00EE5DB0" w:rsidRPr="00EB0229" w:rsidRDefault="00EE5DB0" w:rsidP="00EB0229">
      <w:pPr>
        <w:widowControl w:val="0"/>
        <w:spacing w:line="276" w:lineRule="auto"/>
        <w:ind w:right="540"/>
        <w:jc w:val="both"/>
        <w:rPr>
          <w:rFonts w:ascii="Arial" w:eastAsia="Arial" w:hAnsi="Arial" w:cs="Arial"/>
          <w:i/>
          <w:iCs/>
          <w:lang w:val="es-ES"/>
        </w:rPr>
      </w:pPr>
    </w:p>
    <w:p w14:paraId="309BA70C" w14:textId="7E349AE9" w:rsidR="00EE5DB0" w:rsidRPr="00EB0229" w:rsidRDefault="79284903" w:rsidP="00EB0229">
      <w:pPr>
        <w:widowControl w:val="0"/>
        <w:spacing w:line="276" w:lineRule="auto"/>
        <w:ind w:right="540"/>
        <w:jc w:val="both"/>
        <w:rPr>
          <w:rFonts w:ascii="Arial" w:eastAsia="Arial" w:hAnsi="Arial" w:cs="Arial"/>
          <w:b/>
          <w:bCs/>
          <w:i/>
          <w:iCs/>
          <w:lang w:val="es-ES"/>
        </w:rPr>
      </w:pPr>
      <w:r w:rsidRPr="00EB0229">
        <w:rPr>
          <w:rFonts w:ascii="Arial" w:eastAsia="Arial" w:hAnsi="Arial" w:cs="Arial"/>
          <w:b/>
          <w:bCs/>
        </w:rPr>
        <w:t>2.2. Requisitos para la constitución en mora</w:t>
      </w:r>
    </w:p>
    <w:p w14:paraId="455313D3" w14:textId="77777777" w:rsidR="00EE5DB0" w:rsidRPr="00EB0229" w:rsidRDefault="00EE5DB0" w:rsidP="00EB0229">
      <w:pPr>
        <w:widowControl w:val="0"/>
        <w:spacing w:line="276" w:lineRule="auto"/>
        <w:ind w:right="540"/>
        <w:jc w:val="both"/>
        <w:rPr>
          <w:rFonts w:ascii="Arial" w:eastAsia="Arial" w:hAnsi="Arial" w:cs="Arial"/>
          <w:i/>
          <w:iCs/>
          <w:lang w:val="es-ES"/>
        </w:rPr>
      </w:pPr>
    </w:p>
    <w:p w14:paraId="799FF7EC" w14:textId="6A478172" w:rsidR="00EE5DB0" w:rsidRPr="00EB0229" w:rsidRDefault="79284903" w:rsidP="00EB0229">
      <w:pPr>
        <w:widowControl w:val="0"/>
        <w:spacing w:line="276" w:lineRule="auto"/>
        <w:ind w:right="540"/>
        <w:jc w:val="both"/>
        <w:rPr>
          <w:rFonts w:ascii="Arial" w:eastAsia="Arial" w:hAnsi="Arial" w:cs="Arial"/>
          <w:lang w:val="es-ES"/>
        </w:rPr>
      </w:pPr>
      <w:r w:rsidRPr="00EB0229">
        <w:rPr>
          <w:rFonts w:ascii="Arial" w:eastAsia="Arial" w:hAnsi="Arial" w:cs="Arial"/>
          <w:lang w:val="es-ES"/>
        </w:rPr>
        <w:t>Esta corporación en providencias del 09/05/2019, rad. 2018-00645, 20/08/2019 rad. 2019-00193, M.P. Ana Lucía Caicedo Calderón explicó que el requerimiento previo se cumple</w:t>
      </w:r>
      <w:r w:rsidR="5B0F4EB0" w:rsidRPr="00EB0229">
        <w:rPr>
          <w:rFonts w:ascii="Arial" w:eastAsia="Arial" w:hAnsi="Arial" w:cs="Arial"/>
          <w:lang w:val="es-ES"/>
        </w:rPr>
        <w:t>, siempre que al escrito mediante el cual se cobre la obligación al empleador, se encuentre acompañado del informe sobre el valor adeudado de forma discriminada, esto es, en el que conste una liquidación provisoria de los ciclos adeudados y los trabajadores frente a los cuales se adeudan dichos ciclos; liquidación que debe tener congruencia con la liquidación que se aporta al proceso ejecutivo, y por ello, no se pueden incluir nuevos periodos o sumas adicionales, así, en palabras de esta Corporación</w:t>
      </w:r>
      <w:r w:rsidRPr="00EB0229">
        <w:rPr>
          <w:rFonts w:ascii="Arial" w:eastAsia="Arial" w:hAnsi="Arial" w:cs="Arial"/>
          <w:lang w:val="es-ES"/>
        </w:rPr>
        <w:t>:</w:t>
      </w:r>
    </w:p>
    <w:p w14:paraId="0742E671" w14:textId="77777777" w:rsidR="00EE5DB0" w:rsidRPr="00EB0229" w:rsidRDefault="00EE5DB0" w:rsidP="00EB0229">
      <w:pPr>
        <w:widowControl w:val="0"/>
        <w:spacing w:line="276" w:lineRule="auto"/>
        <w:ind w:right="540"/>
        <w:jc w:val="both"/>
        <w:rPr>
          <w:rFonts w:ascii="Arial" w:eastAsia="Arial" w:hAnsi="Arial" w:cs="Arial"/>
          <w:i/>
          <w:iCs/>
          <w:lang w:val="es-ES"/>
        </w:rPr>
      </w:pPr>
    </w:p>
    <w:p w14:paraId="34A4A470" w14:textId="377A2557" w:rsidR="006F145C" w:rsidRPr="00DB64E4" w:rsidRDefault="79284903" w:rsidP="00DB64E4">
      <w:pPr>
        <w:widowControl w:val="0"/>
        <w:ind w:left="426" w:right="420"/>
        <w:jc w:val="both"/>
        <w:rPr>
          <w:rFonts w:ascii="Arial" w:eastAsia="Arial" w:hAnsi="Arial" w:cs="Arial"/>
          <w:i/>
          <w:iCs/>
          <w:sz w:val="22"/>
          <w:lang w:val="es-ES"/>
        </w:rPr>
      </w:pPr>
      <w:r w:rsidRPr="00DB64E4">
        <w:rPr>
          <w:rFonts w:ascii="Arial" w:eastAsia="Arial" w:hAnsi="Arial" w:cs="Arial"/>
          <w:i/>
          <w:iCs/>
          <w:sz w:val="22"/>
          <w:lang w:val="es-ES"/>
        </w:rPr>
        <w:t xml:space="preserve">“(…) </w:t>
      </w:r>
      <w:r w:rsidR="2337C21B" w:rsidRPr="00DB64E4">
        <w:rPr>
          <w:rFonts w:ascii="Arial" w:eastAsia="Arial" w:hAnsi="Arial" w:cs="Arial"/>
          <w:i/>
          <w:iCs/>
          <w:sz w:val="22"/>
          <w:lang w:val="es-ES"/>
        </w:rPr>
        <w:t xml:space="preserve">el envío de una comunicación por parte del Fondo, en la cual se le requiera el pago de las cotizaciones insolutas, </w:t>
      </w:r>
      <w:r w:rsidR="2337C21B" w:rsidRPr="00DB64E4">
        <w:rPr>
          <w:rFonts w:ascii="Arial" w:eastAsia="Arial" w:hAnsi="Arial" w:cs="Arial"/>
          <w:b/>
          <w:bCs/>
          <w:i/>
          <w:iCs/>
          <w:sz w:val="22"/>
          <w:lang w:val="es-ES"/>
        </w:rPr>
        <w:t>escrito que debe ir acompañado de un informe sobre el valor de lo adeudado y debidamente discriminado con los períodos en mora y los réditos</w:t>
      </w:r>
      <w:r w:rsidR="2337C21B" w:rsidRPr="00DB64E4">
        <w:rPr>
          <w:rFonts w:ascii="Arial" w:eastAsia="Arial" w:hAnsi="Arial" w:cs="Arial"/>
          <w:i/>
          <w:iCs/>
          <w:sz w:val="22"/>
          <w:lang w:val="es-ES"/>
        </w:rPr>
        <w:t>. La constitución en mora se configura vencidos los 15 días siguientes al envío de la comunicación y ese acto, junto a la liquidación que efectúe el Fondo, conforman el sustento del recaudo ejecutivo</w:t>
      </w:r>
      <w:r w:rsidRPr="00DB64E4">
        <w:rPr>
          <w:rFonts w:ascii="Arial" w:eastAsia="Arial" w:hAnsi="Arial" w:cs="Arial"/>
          <w:i/>
          <w:iCs/>
          <w:sz w:val="22"/>
          <w:lang w:val="es-ES"/>
        </w:rPr>
        <w:t>.</w:t>
      </w:r>
    </w:p>
    <w:p w14:paraId="4A38C406" w14:textId="7EC4EF25" w:rsidR="00EE5DB0" w:rsidRPr="00DB64E4" w:rsidRDefault="00EE5DB0" w:rsidP="00DB64E4">
      <w:pPr>
        <w:widowControl w:val="0"/>
        <w:ind w:left="426" w:right="420"/>
        <w:jc w:val="both"/>
        <w:rPr>
          <w:rFonts w:ascii="Arial" w:eastAsia="Arial" w:hAnsi="Arial" w:cs="Arial"/>
          <w:i/>
          <w:iCs/>
          <w:sz w:val="22"/>
          <w:lang w:val="es-ES"/>
        </w:rPr>
      </w:pPr>
    </w:p>
    <w:p w14:paraId="5836F051" w14:textId="69576C49" w:rsidR="00EE5DB0" w:rsidRPr="00DB64E4" w:rsidRDefault="79284903" w:rsidP="00DB64E4">
      <w:pPr>
        <w:widowControl w:val="0"/>
        <w:ind w:left="426" w:right="420"/>
        <w:jc w:val="both"/>
        <w:rPr>
          <w:rFonts w:ascii="Arial" w:eastAsia="Arial" w:hAnsi="Arial" w:cs="Arial"/>
          <w:i/>
          <w:iCs/>
          <w:sz w:val="22"/>
          <w:lang w:val="es-ES"/>
        </w:rPr>
      </w:pPr>
      <w:r w:rsidRPr="00DB64E4">
        <w:rPr>
          <w:rFonts w:ascii="Arial" w:eastAsia="Arial" w:hAnsi="Arial" w:cs="Arial"/>
          <w:i/>
          <w:iCs/>
          <w:sz w:val="22"/>
          <w:lang w:val="es-ES"/>
        </w:rPr>
        <w:t>(…)</w:t>
      </w:r>
    </w:p>
    <w:p w14:paraId="59E20DED" w14:textId="77777777" w:rsidR="00EE5DB0" w:rsidRPr="00DB64E4" w:rsidRDefault="00EE5DB0" w:rsidP="00DB64E4">
      <w:pPr>
        <w:widowControl w:val="0"/>
        <w:ind w:left="426" w:right="420"/>
        <w:jc w:val="both"/>
        <w:rPr>
          <w:rFonts w:ascii="Arial" w:eastAsia="Arial" w:hAnsi="Arial" w:cs="Arial"/>
          <w:i/>
          <w:iCs/>
          <w:sz w:val="22"/>
          <w:lang w:val="es-ES"/>
        </w:rPr>
      </w:pPr>
    </w:p>
    <w:p w14:paraId="16612C37" w14:textId="5CF4D245" w:rsidR="006F145C" w:rsidRPr="00DB64E4" w:rsidRDefault="2337C21B" w:rsidP="00DB64E4">
      <w:pPr>
        <w:ind w:left="426" w:right="420"/>
        <w:jc w:val="both"/>
        <w:rPr>
          <w:rFonts w:ascii="Arial" w:eastAsia="Arial" w:hAnsi="Arial" w:cs="Arial"/>
          <w:sz w:val="22"/>
          <w:lang w:val="es-ES"/>
        </w:rPr>
      </w:pPr>
      <w:r w:rsidRPr="00DB64E4">
        <w:rPr>
          <w:rFonts w:ascii="Arial" w:eastAsia="Arial" w:hAnsi="Arial" w:cs="Arial"/>
          <w:i/>
          <w:iCs/>
          <w:sz w:val="22"/>
          <w:lang w:val="es-ES"/>
        </w:rPr>
        <w:t>De un lado, es indispensable que el escrito mediante el cual se conmina al empleador a cumplir sus obligaciones esté acompañado de una liquidación provisoria en la que conste detalladamente por qué trabajadores y qué ciclos se adeudan</w:t>
      </w:r>
      <w:r w:rsidRPr="00DB64E4">
        <w:rPr>
          <w:rFonts w:ascii="Arial" w:eastAsia="Arial" w:hAnsi="Arial" w:cs="Arial"/>
          <w:b/>
          <w:bCs/>
          <w:i/>
          <w:iCs/>
          <w:sz w:val="22"/>
          <w:lang w:val="es-ES"/>
        </w:rPr>
        <w:t>.</w:t>
      </w:r>
      <w:r w:rsidRPr="00DB64E4">
        <w:rPr>
          <w:rFonts w:ascii="Arial" w:eastAsia="Arial" w:hAnsi="Arial" w:cs="Arial"/>
          <w:i/>
          <w:iCs/>
          <w:sz w:val="22"/>
          <w:lang w:val="es-ES"/>
        </w:rPr>
        <w:t xml:space="preserve"> Ello, </w:t>
      </w:r>
      <w:r w:rsidRPr="00DB64E4">
        <w:rPr>
          <w:rFonts w:ascii="Arial" w:eastAsia="Arial" w:hAnsi="Arial" w:cs="Arial"/>
          <w:b/>
          <w:bCs/>
          <w:i/>
          <w:iCs/>
          <w:sz w:val="22"/>
          <w:lang w:val="es-ES"/>
        </w:rPr>
        <w:t>con el fin de que el requerido tenga la posibilidad de conocer y controvertir dichas situaciones</w:t>
      </w:r>
      <w:r w:rsidRPr="00DB64E4">
        <w:rPr>
          <w:rFonts w:ascii="Arial" w:eastAsia="Arial" w:hAnsi="Arial" w:cs="Arial"/>
          <w:i/>
          <w:iCs/>
          <w:sz w:val="22"/>
          <w:lang w:val="es-ES"/>
        </w:rPr>
        <w:t xml:space="preserve"> y, de ser el caso, entrar a acreditarle a la entidad que ya cumplió o que no tenía la obligación de hacerlo o simplemente para proceder a pagar. Tal </w:t>
      </w:r>
      <w:r w:rsidRPr="00DB64E4">
        <w:rPr>
          <w:rFonts w:ascii="Arial" w:eastAsia="Arial" w:hAnsi="Arial" w:cs="Arial"/>
          <w:i/>
          <w:iCs/>
          <w:sz w:val="22"/>
          <w:lang w:val="es-ES"/>
        </w:rPr>
        <w:lastRenderedPageBreak/>
        <w:t>liquidación, además, debe guardar congruencia con la que se aporta como sustento del recaudo ejecutivo, es decir, no puede existir una diferencia sustancial, como la inclusión de nuevos trabajadores o de nuevos periodos, sino que debe haber igualdad entre los afiliados, los períodos y los montos de capital perseguidos, salvo obviamente que en la liquidación definitiva que emita la AFP para proceder a la ejecución, se persigan menos de las obligaciones requeridas al empleador</w:t>
      </w:r>
      <w:r w:rsidR="79284903" w:rsidRPr="00DB64E4">
        <w:rPr>
          <w:rFonts w:ascii="Arial" w:eastAsia="Arial" w:hAnsi="Arial" w:cs="Arial"/>
          <w:i/>
          <w:iCs/>
          <w:sz w:val="22"/>
          <w:lang w:val="es-ES"/>
        </w:rPr>
        <w:t>”</w:t>
      </w:r>
      <w:r w:rsidR="5B0F4EB0" w:rsidRPr="00DB64E4">
        <w:rPr>
          <w:rFonts w:ascii="Arial" w:eastAsia="Arial" w:hAnsi="Arial" w:cs="Arial"/>
          <w:i/>
          <w:iCs/>
          <w:sz w:val="22"/>
          <w:lang w:val="es-ES"/>
        </w:rPr>
        <w:t xml:space="preserve"> </w:t>
      </w:r>
      <w:r w:rsidR="5B0F4EB0" w:rsidRPr="00DB64E4">
        <w:rPr>
          <w:rFonts w:ascii="Arial" w:eastAsia="Arial" w:hAnsi="Arial" w:cs="Arial"/>
          <w:sz w:val="22"/>
          <w:lang w:val="es-ES"/>
        </w:rPr>
        <w:t>(negrillas propias).</w:t>
      </w:r>
    </w:p>
    <w:p w14:paraId="484363B1" w14:textId="5C5463E0" w:rsidR="00EE5DB0" w:rsidRPr="00EB0229" w:rsidRDefault="00EE5DB0" w:rsidP="00EB0229">
      <w:pPr>
        <w:spacing w:line="276" w:lineRule="auto"/>
        <w:ind w:right="420"/>
        <w:jc w:val="both"/>
        <w:rPr>
          <w:rFonts w:ascii="Arial" w:hAnsi="Arial" w:cs="Arial"/>
        </w:rPr>
      </w:pPr>
    </w:p>
    <w:p w14:paraId="28E9E631" w14:textId="7DE49009" w:rsidR="006F145C" w:rsidRPr="00EB0229" w:rsidRDefault="5B0F4EB0" w:rsidP="00DA0AF6">
      <w:pPr>
        <w:spacing w:line="276" w:lineRule="auto"/>
        <w:jc w:val="both"/>
        <w:rPr>
          <w:rFonts w:ascii="Arial" w:eastAsia="Arial" w:hAnsi="Arial" w:cs="Arial"/>
          <w:b/>
          <w:bCs/>
        </w:rPr>
      </w:pPr>
      <w:r w:rsidRPr="00EB0229">
        <w:rPr>
          <w:rFonts w:ascii="Arial" w:eastAsia="Arial" w:hAnsi="Arial" w:cs="Arial"/>
          <w:b/>
          <w:bCs/>
        </w:rPr>
        <w:t>2.3. Frente a la imposibilidad de entregar al empleador la comunicación a través de la cual es constituido en mora</w:t>
      </w:r>
    </w:p>
    <w:p w14:paraId="4476B802" w14:textId="197DFF9E" w:rsidR="00E45097" w:rsidRPr="00EB0229" w:rsidRDefault="00E45097" w:rsidP="00EB0229">
      <w:pPr>
        <w:spacing w:line="276" w:lineRule="auto"/>
        <w:jc w:val="both"/>
        <w:rPr>
          <w:rFonts w:ascii="Arial" w:eastAsia="Arial" w:hAnsi="Arial" w:cs="Arial"/>
          <w:lang w:val="es-ES"/>
        </w:rPr>
      </w:pPr>
    </w:p>
    <w:p w14:paraId="546C3F58" w14:textId="01CE80ED" w:rsidR="006F145C" w:rsidRPr="00EB0229" w:rsidRDefault="5B0F4EB0" w:rsidP="00EB0229">
      <w:pPr>
        <w:spacing w:line="276" w:lineRule="auto"/>
        <w:jc w:val="both"/>
        <w:rPr>
          <w:rFonts w:ascii="Arial" w:eastAsia="Arial" w:hAnsi="Arial" w:cs="Arial"/>
          <w:lang w:val="es-ES"/>
        </w:rPr>
      </w:pPr>
      <w:r w:rsidRPr="00EB0229">
        <w:rPr>
          <w:rFonts w:ascii="Arial" w:eastAsia="Arial" w:hAnsi="Arial" w:cs="Arial"/>
          <w:lang w:val="es-ES"/>
        </w:rPr>
        <w:t>En las citadas decisiones de este Tribunal también se definió que no puede exigírsele a la administradora pensional que la constitución en mora se entregue “</w:t>
      </w:r>
      <w:r w:rsidRPr="003329A5">
        <w:rPr>
          <w:rFonts w:ascii="Arial" w:eastAsia="Arial" w:hAnsi="Arial" w:cs="Arial"/>
          <w:i/>
          <w:iCs/>
          <w:sz w:val="22"/>
          <w:lang w:val="es-ES"/>
        </w:rPr>
        <w:t>efectivamente al empleador moroso</w:t>
      </w:r>
      <w:r w:rsidRPr="00EB0229">
        <w:rPr>
          <w:rFonts w:ascii="Arial" w:eastAsia="Arial" w:hAnsi="Arial" w:cs="Arial"/>
          <w:i/>
          <w:iCs/>
          <w:lang w:val="es-ES"/>
        </w:rPr>
        <w:t>”,</w:t>
      </w:r>
      <w:r w:rsidRPr="00EB0229">
        <w:rPr>
          <w:rFonts w:ascii="Arial" w:eastAsia="Arial" w:hAnsi="Arial" w:cs="Arial"/>
          <w:lang w:val="es-ES"/>
        </w:rPr>
        <w:t xml:space="preserve"> en tanto que ello implicaría imponer a la AFP exigencias imposibles de cumplir y por demás, ampliamente desproporcionadas además de permitir la elusión de los empleadores en el pago de sus obligaciones. </w:t>
      </w:r>
    </w:p>
    <w:p w14:paraId="7CB4B9F3" w14:textId="3C4EAB05" w:rsidR="00E45097" w:rsidRPr="00EB0229" w:rsidRDefault="00E45097" w:rsidP="00EB0229">
      <w:pPr>
        <w:spacing w:line="276" w:lineRule="auto"/>
        <w:jc w:val="both"/>
        <w:rPr>
          <w:rFonts w:ascii="Arial" w:eastAsia="Arial" w:hAnsi="Arial" w:cs="Arial"/>
          <w:lang w:val="es-ES"/>
        </w:rPr>
      </w:pPr>
    </w:p>
    <w:p w14:paraId="4337212B" w14:textId="5E9AD6FF" w:rsidR="00E45097" w:rsidRPr="00EB0229" w:rsidRDefault="5B0F4EB0" w:rsidP="00EB0229">
      <w:pPr>
        <w:spacing w:line="276" w:lineRule="auto"/>
        <w:jc w:val="both"/>
        <w:rPr>
          <w:rFonts w:ascii="Arial" w:eastAsia="Arial" w:hAnsi="Arial" w:cs="Arial"/>
          <w:i/>
          <w:iCs/>
          <w:lang w:val="es-ES"/>
        </w:rPr>
      </w:pPr>
      <w:r w:rsidRPr="00EB0229">
        <w:rPr>
          <w:rFonts w:ascii="Arial" w:eastAsia="Arial" w:hAnsi="Arial" w:cs="Arial"/>
          <w:lang w:val="es-ES"/>
        </w:rPr>
        <w:t>En ese sentido, la constitución en mora del empleador para esta Colegiatura se entiende cumplida con “</w:t>
      </w:r>
      <w:r w:rsidRPr="003329A5">
        <w:rPr>
          <w:rFonts w:ascii="Arial" w:eastAsia="Arial" w:hAnsi="Arial" w:cs="Arial"/>
          <w:i/>
          <w:iCs/>
          <w:sz w:val="22"/>
          <w:lang w:val="es-ES"/>
        </w:rPr>
        <w:t>la remisión del requerimiento por correo certificado a la dirección que se hubiere informado a la entidad de seguridad social o que figure como dirección de notificaciones en el respectivo certificado de existencia y representación legal</w:t>
      </w:r>
      <w:r w:rsidRPr="00EB0229">
        <w:rPr>
          <w:rFonts w:ascii="Arial" w:eastAsia="Arial" w:hAnsi="Arial" w:cs="Arial"/>
          <w:i/>
          <w:iCs/>
          <w:lang w:val="es-ES"/>
        </w:rPr>
        <w:t>”.</w:t>
      </w:r>
    </w:p>
    <w:p w14:paraId="7536E3C1" w14:textId="55CC4B43" w:rsidR="00E45097" w:rsidRPr="00EB0229" w:rsidRDefault="00E45097" w:rsidP="00EB0229">
      <w:pPr>
        <w:spacing w:line="276" w:lineRule="auto"/>
        <w:jc w:val="both"/>
        <w:rPr>
          <w:rFonts w:ascii="Arial" w:eastAsia="Arial" w:hAnsi="Arial" w:cs="Arial"/>
          <w:lang w:val="es-ES"/>
        </w:rPr>
      </w:pPr>
    </w:p>
    <w:p w14:paraId="1E873571" w14:textId="29AFBD8B" w:rsidR="00E45097" w:rsidRPr="00EB0229" w:rsidRDefault="5B0F4EB0" w:rsidP="00EB0229">
      <w:pPr>
        <w:widowControl w:val="0"/>
        <w:autoSpaceDE w:val="0"/>
        <w:autoSpaceDN w:val="0"/>
        <w:adjustRightInd w:val="0"/>
        <w:spacing w:line="276" w:lineRule="auto"/>
        <w:jc w:val="both"/>
        <w:rPr>
          <w:rFonts w:ascii="Arial" w:eastAsia="Arial" w:hAnsi="Arial" w:cs="Arial"/>
          <w:i/>
          <w:iCs/>
          <w:lang w:val="es-ES"/>
        </w:rPr>
      </w:pPr>
      <w:r w:rsidRPr="00EB0229">
        <w:rPr>
          <w:rFonts w:ascii="Arial" w:eastAsia="Arial" w:hAnsi="Arial" w:cs="Arial"/>
          <w:lang w:val="es-ES"/>
        </w:rPr>
        <w:t xml:space="preserve">Ahora bien, </w:t>
      </w:r>
      <w:r w:rsidR="0461FB5F" w:rsidRPr="00EB0229">
        <w:rPr>
          <w:rFonts w:ascii="Arial" w:eastAsia="Arial" w:hAnsi="Arial" w:cs="Arial"/>
          <w:lang w:val="es-ES"/>
        </w:rPr>
        <w:t>es preciso memorar</w:t>
      </w:r>
      <w:r w:rsidRPr="00EB0229">
        <w:rPr>
          <w:rFonts w:ascii="Arial" w:eastAsia="Arial" w:hAnsi="Arial" w:cs="Arial"/>
          <w:lang w:val="es-ES"/>
        </w:rPr>
        <w:t xml:space="preserve"> la providencia proferida por esta Corporación el 08/09/2021, rad. 2019-00194, M.P. Julio César Salazar Muñoz en </w:t>
      </w:r>
      <w:r w:rsidR="0461FB5F" w:rsidRPr="00EB0229">
        <w:rPr>
          <w:rFonts w:ascii="Arial" w:eastAsia="Arial" w:hAnsi="Arial" w:cs="Arial"/>
          <w:lang w:val="es-ES"/>
        </w:rPr>
        <w:t xml:space="preserve">la que </w:t>
      </w:r>
      <w:r w:rsidRPr="00EB0229">
        <w:rPr>
          <w:rFonts w:ascii="Arial" w:eastAsia="Arial" w:hAnsi="Arial" w:cs="Arial"/>
          <w:lang w:val="es-ES"/>
        </w:rPr>
        <w:t>se incluyó como regla de derecho la “</w:t>
      </w:r>
      <w:r w:rsidRPr="003329A5">
        <w:rPr>
          <w:rFonts w:ascii="Arial" w:eastAsia="Arial" w:hAnsi="Arial" w:cs="Arial"/>
          <w:i/>
          <w:iCs/>
          <w:sz w:val="22"/>
          <w:lang w:val="es-ES"/>
        </w:rPr>
        <w:t>certeza de que la persona que recibió la encomienda tuviera alguna relación con la persona que se pretende ejecutar</w:t>
      </w:r>
      <w:r w:rsidRPr="00EB0229">
        <w:rPr>
          <w:rFonts w:ascii="Arial" w:eastAsia="Arial" w:hAnsi="Arial" w:cs="Arial"/>
          <w:i/>
          <w:iCs/>
          <w:lang w:val="es-ES"/>
        </w:rPr>
        <w:t>”</w:t>
      </w:r>
      <w:r w:rsidR="0461FB5F" w:rsidRPr="00EB0229">
        <w:rPr>
          <w:rFonts w:ascii="Arial" w:eastAsia="Arial" w:hAnsi="Arial" w:cs="Arial"/>
          <w:i/>
          <w:iCs/>
          <w:lang w:val="es-ES"/>
        </w:rPr>
        <w:t xml:space="preserve">, </w:t>
      </w:r>
      <w:r w:rsidR="0461FB5F" w:rsidRPr="00EB0229">
        <w:rPr>
          <w:rFonts w:ascii="Arial" w:eastAsia="Arial" w:hAnsi="Arial" w:cs="Arial"/>
          <w:lang w:val="es-ES"/>
        </w:rPr>
        <w:t>pues en el evento allí analizado</w:t>
      </w:r>
      <w:r w:rsidRPr="00EB0229">
        <w:rPr>
          <w:rFonts w:ascii="Arial" w:hAnsi="Arial" w:cs="Arial"/>
        </w:rPr>
        <w:t xml:space="preserve"> la AFP envió el requerimiento que fue recibido por “</w:t>
      </w:r>
      <w:r w:rsidRPr="003329A5">
        <w:rPr>
          <w:rFonts w:ascii="Arial" w:hAnsi="Arial" w:cs="Arial"/>
          <w:i/>
          <w:iCs/>
          <w:sz w:val="22"/>
        </w:rPr>
        <w:t>Henry Zuleta</w:t>
      </w:r>
      <w:r w:rsidRPr="00EB0229">
        <w:rPr>
          <w:rFonts w:ascii="Arial" w:hAnsi="Arial" w:cs="Arial"/>
          <w:i/>
          <w:iCs/>
        </w:rPr>
        <w:t>”</w:t>
      </w:r>
      <w:r w:rsidR="35A3B540" w:rsidRPr="00EB0229">
        <w:rPr>
          <w:rFonts w:ascii="Arial" w:hAnsi="Arial" w:cs="Arial"/>
        </w:rPr>
        <w:t xml:space="preserve"> y cotejado por la empresa de envíos como entregado; no obstante, anotó el ponente que dicha</w:t>
      </w:r>
      <w:r w:rsidRPr="00EB0229">
        <w:rPr>
          <w:rFonts w:ascii="Arial" w:hAnsi="Arial" w:cs="Arial"/>
        </w:rPr>
        <w:t xml:space="preserve"> persona </w:t>
      </w:r>
      <w:r w:rsidR="35A3B540" w:rsidRPr="00EB0229">
        <w:rPr>
          <w:rFonts w:ascii="Arial" w:hAnsi="Arial" w:cs="Arial"/>
        </w:rPr>
        <w:t xml:space="preserve">era </w:t>
      </w:r>
      <w:r w:rsidRPr="00EB0229">
        <w:rPr>
          <w:rFonts w:ascii="Arial" w:hAnsi="Arial" w:cs="Arial"/>
        </w:rPr>
        <w:t xml:space="preserve">desconocida dentro del proceso, </w:t>
      </w:r>
      <w:r w:rsidR="35A3B540" w:rsidRPr="00EB0229">
        <w:rPr>
          <w:rFonts w:ascii="Arial" w:hAnsi="Arial" w:cs="Arial"/>
        </w:rPr>
        <w:t>y tal situación cobraba relevancia en la medida que l</w:t>
      </w:r>
      <w:r w:rsidRPr="00EB0229">
        <w:rPr>
          <w:rFonts w:ascii="Arial" w:hAnsi="Arial" w:cs="Arial"/>
        </w:rPr>
        <w:t xml:space="preserve">a </w:t>
      </w:r>
      <w:r w:rsidR="35A3B540" w:rsidRPr="00EB0229">
        <w:rPr>
          <w:rFonts w:ascii="Arial" w:hAnsi="Arial" w:cs="Arial"/>
        </w:rPr>
        <w:t xml:space="preserve">citación para notificación  </w:t>
      </w:r>
      <w:r w:rsidRPr="00EB0229">
        <w:rPr>
          <w:rFonts w:ascii="Arial" w:hAnsi="Arial" w:cs="Arial"/>
        </w:rPr>
        <w:t xml:space="preserve">personal del ejecutivo </w:t>
      </w:r>
      <w:r w:rsidR="35A3B540" w:rsidRPr="00EB0229">
        <w:rPr>
          <w:rFonts w:ascii="Arial" w:hAnsi="Arial" w:cs="Arial"/>
        </w:rPr>
        <w:t>fue enviada a la misma dirección del requerimiento, pero la empresa de envíos indicó que el ejecutado Carlos Alberto Sierra Salazar “</w:t>
      </w:r>
      <w:r w:rsidR="35A3B540" w:rsidRPr="003329A5">
        <w:rPr>
          <w:rFonts w:ascii="Arial" w:hAnsi="Arial" w:cs="Arial"/>
          <w:i/>
          <w:iCs/>
          <w:sz w:val="22"/>
        </w:rPr>
        <w:t>no se ubica en dicha dirección</w:t>
      </w:r>
      <w:r w:rsidR="35A3B540" w:rsidRPr="00EB0229">
        <w:rPr>
          <w:rFonts w:ascii="Arial" w:hAnsi="Arial" w:cs="Arial"/>
          <w:i/>
          <w:iCs/>
        </w:rPr>
        <w:t>”,</w:t>
      </w:r>
      <w:r w:rsidR="35A3B540" w:rsidRPr="00EB0229">
        <w:rPr>
          <w:rFonts w:ascii="Arial" w:hAnsi="Arial" w:cs="Arial"/>
        </w:rPr>
        <w:t xml:space="preserve"> de ahí que su representación en el juicio de cobro se hiciera a través de </w:t>
      </w:r>
      <w:r w:rsidR="35A3B540" w:rsidRPr="00EB0229">
        <w:rPr>
          <w:rFonts w:ascii="Arial" w:hAnsi="Arial" w:cs="Arial"/>
          <w:b/>
          <w:bCs/>
          <w:u w:val="single"/>
        </w:rPr>
        <w:t xml:space="preserve">curador ad litem. </w:t>
      </w:r>
    </w:p>
    <w:p w14:paraId="0066D9BC" w14:textId="04BBA484" w:rsidR="006A0E0B" w:rsidRPr="00EB0229" w:rsidRDefault="006A0E0B" w:rsidP="00EB0229">
      <w:pPr>
        <w:widowControl w:val="0"/>
        <w:autoSpaceDE w:val="0"/>
        <w:autoSpaceDN w:val="0"/>
        <w:adjustRightInd w:val="0"/>
        <w:spacing w:line="276" w:lineRule="auto"/>
        <w:jc w:val="both"/>
        <w:rPr>
          <w:rFonts w:ascii="Arial" w:hAnsi="Arial" w:cs="Arial"/>
        </w:rPr>
      </w:pPr>
    </w:p>
    <w:p w14:paraId="2DA31DAB" w14:textId="6E2EE1C6" w:rsidR="006A0E0B" w:rsidRPr="00EB0229" w:rsidRDefault="35A3B540" w:rsidP="00EB0229">
      <w:pPr>
        <w:widowControl w:val="0"/>
        <w:autoSpaceDE w:val="0"/>
        <w:autoSpaceDN w:val="0"/>
        <w:adjustRightInd w:val="0"/>
        <w:spacing w:line="276" w:lineRule="auto"/>
        <w:jc w:val="both"/>
        <w:rPr>
          <w:rFonts w:ascii="Arial" w:hAnsi="Arial" w:cs="Arial"/>
        </w:rPr>
      </w:pPr>
      <w:r w:rsidRPr="00EB0229">
        <w:rPr>
          <w:rFonts w:ascii="Arial" w:hAnsi="Arial" w:cs="Arial"/>
        </w:rPr>
        <w:t>En consecuencia, la decisión de esta Corporación en voces del M.P. Julio César Salazar Muñoz se derivó de la situación fáctic</w:t>
      </w:r>
      <w:r w:rsidR="001F0B3B">
        <w:rPr>
          <w:rFonts w:ascii="Arial" w:hAnsi="Arial" w:cs="Arial"/>
        </w:rPr>
        <w:t>a especialísima recién descrita</w:t>
      </w:r>
      <w:r w:rsidRPr="00EB0229">
        <w:rPr>
          <w:rFonts w:ascii="Arial" w:hAnsi="Arial" w:cs="Arial"/>
        </w:rPr>
        <w:t xml:space="preserve"> y</w:t>
      </w:r>
      <w:r w:rsidR="001F0B3B">
        <w:rPr>
          <w:rFonts w:ascii="Arial" w:hAnsi="Arial" w:cs="Arial"/>
        </w:rPr>
        <w:t>,</w:t>
      </w:r>
      <w:r w:rsidRPr="00EB0229">
        <w:rPr>
          <w:rFonts w:ascii="Arial" w:hAnsi="Arial" w:cs="Arial"/>
        </w:rPr>
        <w:t xml:space="preserve"> por ello</w:t>
      </w:r>
      <w:r w:rsidR="001F0B3B">
        <w:rPr>
          <w:rFonts w:ascii="Arial" w:hAnsi="Arial" w:cs="Arial"/>
        </w:rPr>
        <w:t>,</w:t>
      </w:r>
      <w:r w:rsidRPr="00EB0229">
        <w:rPr>
          <w:rFonts w:ascii="Arial" w:hAnsi="Arial" w:cs="Arial"/>
        </w:rPr>
        <w:t xml:space="preserve"> en esa oportunidad se exigió tener certeza de que quien recibe el requerimiento previo tenga relación alguna con la persona a ejecutar. </w:t>
      </w:r>
    </w:p>
    <w:p w14:paraId="37DB6CC1" w14:textId="77E7FD4E" w:rsidR="00B8062B" w:rsidRPr="00EB0229" w:rsidRDefault="00B8062B" w:rsidP="00EB0229">
      <w:pPr>
        <w:widowControl w:val="0"/>
        <w:autoSpaceDE w:val="0"/>
        <w:autoSpaceDN w:val="0"/>
        <w:adjustRightInd w:val="0"/>
        <w:spacing w:line="276" w:lineRule="auto"/>
        <w:jc w:val="both"/>
        <w:rPr>
          <w:rFonts w:ascii="Arial" w:hAnsi="Arial" w:cs="Arial"/>
          <w:b/>
          <w:bCs/>
        </w:rPr>
      </w:pPr>
    </w:p>
    <w:p w14:paraId="19ED8755" w14:textId="42948ADD" w:rsidR="00B8062B" w:rsidRPr="00EB0229" w:rsidRDefault="47189F5B" w:rsidP="00EB0229">
      <w:pPr>
        <w:widowControl w:val="0"/>
        <w:autoSpaceDE w:val="0"/>
        <w:autoSpaceDN w:val="0"/>
        <w:adjustRightInd w:val="0"/>
        <w:spacing w:line="276" w:lineRule="auto"/>
        <w:jc w:val="both"/>
        <w:rPr>
          <w:rFonts w:ascii="Arial" w:hAnsi="Arial" w:cs="Arial"/>
          <w:b/>
          <w:bCs/>
        </w:rPr>
      </w:pPr>
      <w:r w:rsidRPr="00EB0229">
        <w:rPr>
          <w:rFonts w:ascii="Arial" w:hAnsi="Arial" w:cs="Arial"/>
          <w:b/>
          <w:bCs/>
        </w:rPr>
        <w:t>2.4. Del control oficioso de legalidad</w:t>
      </w:r>
    </w:p>
    <w:p w14:paraId="32BAE0DE" w14:textId="57A01F71" w:rsidR="00B8062B" w:rsidRPr="00EB0229" w:rsidRDefault="00B8062B" w:rsidP="00EB0229">
      <w:pPr>
        <w:widowControl w:val="0"/>
        <w:autoSpaceDE w:val="0"/>
        <w:autoSpaceDN w:val="0"/>
        <w:adjustRightInd w:val="0"/>
        <w:spacing w:line="276" w:lineRule="auto"/>
        <w:jc w:val="both"/>
        <w:rPr>
          <w:rFonts w:ascii="Arial" w:hAnsi="Arial" w:cs="Arial"/>
        </w:rPr>
      </w:pPr>
    </w:p>
    <w:p w14:paraId="34E3261E" w14:textId="2252ABFC" w:rsidR="00B8062B" w:rsidRPr="00EB0229" w:rsidRDefault="47189F5B" w:rsidP="00EB0229">
      <w:pPr>
        <w:widowControl w:val="0"/>
        <w:autoSpaceDE w:val="0"/>
        <w:autoSpaceDN w:val="0"/>
        <w:adjustRightInd w:val="0"/>
        <w:spacing w:line="276" w:lineRule="auto"/>
        <w:jc w:val="both"/>
        <w:rPr>
          <w:rFonts w:ascii="Arial" w:hAnsi="Arial" w:cs="Arial"/>
        </w:rPr>
      </w:pPr>
      <w:r w:rsidRPr="00EB0229">
        <w:rPr>
          <w:rFonts w:ascii="Arial" w:hAnsi="Arial" w:cs="Arial"/>
        </w:rPr>
        <w:t>Al tenor del artículo 430 del C.G.P. los requisitos formales del título ejecutivo solo podrán discutirse mediante recurso de repo</w:t>
      </w:r>
      <w:r w:rsidR="5EFCBAFF" w:rsidRPr="00EB0229">
        <w:rPr>
          <w:rFonts w:ascii="Arial" w:hAnsi="Arial" w:cs="Arial"/>
        </w:rPr>
        <w:t>si</w:t>
      </w:r>
      <w:r w:rsidRPr="00EB0229">
        <w:rPr>
          <w:rFonts w:ascii="Arial" w:hAnsi="Arial" w:cs="Arial"/>
        </w:rPr>
        <w:t xml:space="preserve">ción contra el mandamiento ejecutivo, y en consecuencia no se admitirá ninguna otra controversia sobre los requisitos del título que no haya sido planteada a través del citado recurso. </w:t>
      </w:r>
    </w:p>
    <w:p w14:paraId="0067F76D" w14:textId="2F8BC965" w:rsidR="00B8062B" w:rsidRPr="00EB0229" w:rsidRDefault="00B8062B" w:rsidP="00EB0229">
      <w:pPr>
        <w:widowControl w:val="0"/>
        <w:autoSpaceDE w:val="0"/>
        <w:autoSpaceDN w:val="0"/>
        <w:adjustRightInd w:val="0"/>
        <w:spacing w:line="276" w:lineRule="auto"/>
        <w:jc w:val="both"/>
        <w:rPr>
          <w:rFonts w:ascii="Arial" w:hAnsi="Arial" w:cs="Arial"/>
        </w:rPr>
      </w:pPr>
    </w:p>
    <w:p w14:paraId="3F9D1419" w14:textId="666C9DD2" w:rsidR="00B8062B" w:rsidRPr="00EB0229" w:rsidRDefault="47189F5B" w:rsidP="00EB0229">
      <w:pPr>
        <w:widowControl w:val="0"/>
        <w:autoSpaceDE w:val="0"/>
        <w:autoSpaceDN w:val="0"/>
        <w:adjustRightInd w:val="0"/>
        <w:spacing w:line="276" w:lineRule="auto"/>
        <w:jc w:val="both"/>
        <w:rPr>
          <w:rFonts w:ascii="Arial" w:hAnsi="Arial" w:cs="Arial"/>
        </w:rPr>
      </w:pPr>
      <w:r w:rsidRPr="00EB0229">
        <w:rPr>
          <w:rFonts w:ascii="Arial" w:hAnsi="Arial" w:cs="Arial"/>
        </w:rPr>
        <w:t>Sin embargo, esta Corporación en diversas decisiones de contornos similares a la de ahora, entre ellas la proferida el 08/09/2021, rad. 2019-00194, M.P. Julio César Salazar Muñoz, memoró una decisión de la Sala Civil de la Corte Suprema de Justicia en la que se definió que, pese a la limitante contenida en el artículo 430 ib</w:t>
      </w:r>
      <w:r w:rsidR="00AA377F">
        <w:rPr>
          <w:rFonts w:ascii="Arial" w:hAnsi="Arial" w:cs="Arial"/>
        </w:rPr>
        <w:t>í</w:t>
      </w:r>
      <w:r w:rsidRPr="00EB0229">
        <w:rPr>
          <w:rFonts w:ascii="Arial" w:hAnsi="Arial" w:cs="Arial"/>
        </w:rPr>
        <w:t xml:space="preserve">dem, el </w:t>
      </w:r>
      <w:r w:rsidRPr="00EB0229">
        <w:rPr>
          <w:rFonts w:ascii="Arial" w:hAnsi="Arial" w:cs="Arial"/>
        </w:rPr>
        <w:lastRenderedPageBreak/>
        <w:t>juzgador cuenta con la potestad de realizar un control de legalidad en garantía de los derechos sustanciales de las partes, así en sentencia del 11/09/2017, rad. 2017-00358-01 la alta corporación definió que:</w:t>
      </w:r>
    </w:p>
    <w:p w14:paraId="0818DDD3" w14:textId="77777777" w:rsidR="00B8062B" w:rsidRPr="00EB0229" w:rsidRDefault="47189F5B" w:rsidP="00EB0229">
      <w:pPr>
        <w:widowControl w:val="0"/>
        <w:autoSpaceDE w:val="0"/>
        <w:autoSpaceDN w:val="0"/>
        <w:adjustRightInd w:val="0"/>
        <w:spacing w:line="276" w:lineRule="auto"/>
        <w:jc w:val="both"/>
        <w:rPr>
          <w:rFonts w:ascii="Arial" w:hAnsi="Arial" w:cs="Arial"/>
        </w:rPr>
      </w:pPr>
      <w:r w:rsidRPr="00EB0229">
        <w:rPr>
          <w:rFonts w:ascii="Arial" w:eastAsia="Arial" w:hAnsi="Arial" w:cs="Arial"/>
          <w:lang w:val="es-ES"/>
        </w:rPr>
        <w:t xml:space="preserve"> </w:t>
      </w:r>
    </w:p>
    <w:p w14:paraId="626ABF28" w14:textId="77777777" w:rsidR="00B8062B" w:rsidRPr="00DB64E4" w:rsidRDefault="47189F5B" w:rsidP="00DB64E4">
      <w:pPr>
        <w:widowControl w:val="0"/>
        <w:autoSpaceDE w:val="0"/>
        <w:autoSpaceDN w:val="0"/>
        <w:adjustRightInd w:val="0"/>
        <w:ind w:left="426" w:right="450"/>
        <w:jc w:val="both"/>
        <w:rPr>
          <w:rFonts w:ascii="Arial" w:hAnsi="Arial" w:cs="Arial"/>
          <w:sz w:val="22"/>
        </w:rPr>
      </w:pPr>
      <w:r w:rsidRPr="00DB64E4">
        <w:rPr>
          <w:rFonts w:ascii="Arial" w:eastAsia="Arial" w:hAnsi="Arial" w:cs="Arial"/>
          <w:i/>
          <w:iCs/>
          <w:sz w:val="22"/>
          <w:lang w:val="es-ES"/>
        </w:rPr>
        <w:t>“En conclusión, la hermenéutica que ha de dársele al canon 430 del Código General del Proceso no excluye la «potestad-deber» que tienen los operadores judiciales de revisar «de oficio» el «título ejecutivo» a la hora de dictar sentencia, ya sea esta de única, primera o segunda instancia (…), dado que, como se precisó en CSJ STC 8 nov. 2012, rad. 2012-02414-00, «en los procesos ejecutivos es deber del juez revisar los términos interlocutorios del mandamiento de pago, en orden a verificar que a pesar de haberse proferido, realmente se estructura el título ejecutivo (…) Sobre esta temática, la Sala ha indicado que “la orden de impulsar la ejecución, objeto de las sentencias que se profieran en los procesos ejecutivos, implica el previo y necesario análisis de las condiciones que le dan eficacia al título ejecutivo, sin que en tal caso se encuentre el fallador limitado por el mandamiento de pago proferido al comienzo de la actuación procesal (…)”.</w:t>
      </w:r>
    </w:p>
    <w:p w14:paraId="34344C01" w14:textId="77777777" w:rsidR="00B8062B" w:rsidRPr="00DB64E4" w:rsidRDefault="47189F5B" w:rsidP="00DB64E4">
      <w:pPr>
        <w:widowControl w:val="0"/>
        <w:autoSpaceDE w:val="0"/>
        <w:autoSpaceDN w:val="0"/>
        <w:adjustRightInd w:val="0"/>
        <w:ind w:left="426" w:right="450"/>
        <w:jc w:val="both"/>
        <w:rPr>
          <w:rFonts w:ascii="Arial" w:hAnsi="Arial" w:cs="Arial"/>
          <w:sz w:val="22"/>
        </w:rPr>
      </w:pPr>
      <w:r w:rsidRPr="00DB64E4">
        <w:rPr>
          <w:rFonts w:ascii="Arial" w:eastAsia="Arial" w:hAnsi="Arial" w:cs="Arial"/>
          <w:i/>
          <w:iCs/>
          <w:sz w:val="22"/>
          <w:lang w:val="es-ES"/>
        </w:rPr>
        <w:t xml:space="preserve"> </w:t>
      </w:r>
    </w:p>
    <w:p w14:paraId="5554A079" w14:textId="77777777" w:rsidR="00B8062B" w:rsidRPr="00DB64E4" w:rsidRDefault="47189F5B" w:rsidP="00DB64E4">
      <w:pPr>
        <w:widowControl w:val="0"/>
        <w:autoSpaceDE w:val="0"/>
        <w:autoSpaceDN w:val="0"/>
        <w:adjustRightInd w:val="0"/>
        <w:ind w:left="426" w:right="450"/>
        <w:jc w:val="both"/>
        <w:rPr>
          <w:rFonts w:ascii="Arial" w:hAnsi="Arial" w:cs="Arial"/>
          <w:sz w:val="22"/>
        </w:rPr>
      </w:pPr>
      <w:r w:rsidRPr="00DB64E4">
        <w:rPr>
          <w:rFonts w:ascii="Arial" w:eastAsia="Arial" w:hAnsi="Arial" w:cs="Arial"/>
          <w:i/>
          <w:iCs/>
          <w:sz w:val="22"/>
          <w:lang w:val="es-ES"/>
        </w:rPr>
        <w:t>“De modo que la revisión del título ejecutivo por parte del juez, para que tal se ajuste al canon 422 del Código General del Proceso, debe ser preliminar al emitirse la orden de apremio y también en la sentencia que, con posterioridad, decida sobre la litis, inclusive de forma oficiosa (…)”.</w:t>
      </w:r>
      <w:r w:rsidRPr="00DB64E4">
        <w:rPr>
          <w:rFonts w:ascii="Arial" w:eastAsia="Bookman Old Style" w:hAnsi="Arial" w:cs="Arial"/>
          <w:i/>
          <w:iCs/>
          <w:sz w:val="22"/>
          <w:lang w:val="es-ES"/>
        </w:rPr>
        <w:t xml:space="preserve"> </w:t>
      </w:r>
    </w:p>
    <w:p w14:paraId="1BD1FA69" w14:textId="30D83EA7" w:rsidR="00C94138" w:rsidRPr="00EB0229" w:rsidRDefault="00C94138" w:rsidP="00DB64E4">
      <w:pPr>
        <w:widowControl w:val="0"/>
        <w:autoSpaceDE w:val="0"/>
        <w:autoSpaceDN w:val="0"/>
        <w:adjustRightInd w:val="0"/>
        <w:spacing w:line="276" w:lineRule="auto"/>
        <w:ind w:right="540"/>
        <w:jc w:val="both"/>
        <w:rPr>
          <w:rFonts w:ascii="Arial" w:eastAsia="Arial" w:hAnsi="Arial" w:cs="Arial"/>
          <w:b/>
          <w:bCs/>
          <w:lang w:val="es-ES"/>
        </w:rPr>
      </w:pPr>
    </w:p>
    <w:p w14:paraId="1059A2D3" w14:textId="1345470C" w:rsidR="00C94138" w:rsidRPr="00EB0229" w:rsidRDefault="28BAA9FD" w:rsidP="00EB0229">
      <w:pPr>
        <w:widowControl w:val="0"/>
        <w:autoSpaceDE w:val="0"/>
        <w:autoSpaceDN w:val="0"/>
        <w:adjustRightInd w:val="0"/>
        <w:spacing w:line="276" w:lineRule="auto"/>
        <w:ind w:right="540"/>
        <w:jc w:val="both"/>
        <w:rPr>
          <w:rFonts w:ascii="Arial" w:eastAsia="Arial" w:hAnsi="Arial" w:cs="Arial"/>
          <w:b/>
          <w:bCs/>
          <w:lang w:val="es-ES"/>
        </w:rPr>
      </w:pPr>
      <w:r w:rsidRPr="00EB0229">
        <w:rPr>
          <w:rFonts w:ascii="Arial" w:eastAsia="Arial" w:hAnsi="Arial" w:cs="Arial"/>
          <w:b/>
          <w:bCs/>
          <w:lang w:val="es-ES"/>
        </w:rPr>
        <w:t>2.2. Fundamento fáctico</w:t>
      </w:r>
    </w:p>
    <w:p w14:paraId="19BA45CE" w14:textId="77777777" w:rsidR="00C94138" w:rsidRPr="00EB0229" w:rsidRDefault="00C94138" w:rsidP="00EB0229">
      <w:pPr>
        <w:autoSpaceDE w:val="0"/>
        <w:autoSpaceDN w:val="0"/>
        <w:adjustRightInd w:val="0"/>
        <w:spacing w:line="276" w:lineRule="auto"/>
        <w:jc w:val="both"/>
        <w:rPr>
          <w:rFonts w:ascii="Arial" w:eastAsia="Arial" w:hAnsi="Arial" w:cs="Arial"/>
          <w:lang w:val="es-ES"/>
        </w:rPr>
      </w:pPr>
    </w:p>
    <w:p w14:paraId="386CB466" w14:textId="2F899724" w:rsidR="006A0E0B" w:rsidRPr="00EB0229" w:rsidRDefault="28BAA9FD" w:rsidP="00EB0229">
      <w:pPr>
        <w:autoSpaceDE w:val="0"/>
        <w:autoSpaceDN w:val="0"/>
        <w:adjustRightInd w:val="0"/>
        <w:spacing w:line="276" w:lineRule="auto"/>
        <w:jc w:val="both"/>
        <w:rPr>
          <w:rFonts w:ascii="Arial" w:eastAsia="Arial" w:hAnsi="Arial" w:cs="Arial"/>
          <w:lang w:val="es-ES"/>
        </w:rPr>
      </w:pPr>
      <w:r w:rsidRPr="00EB0229">
        <w:rPr>
          <w:rFonts w:ascii="Arial" w:eastAsia="Arial" w:hAnsi="Arial" w:cs="Arial"/>
          <w:lang w:val="es-ES"/>
        </w:rPr>
        <w:t>Auscultado en detalle el expediente</w:t>
      </w:r>
      <w:r w:rsidR="35A3B540" w:rsidRPr="00EB0229">
        <w:rPr>
          <w:rFonts w:ascii="Arial" w:eastAsia="Arial" w:hAnsi="Arial" w:cs="Arial"/>
          <w:lang w:val="es-ES"/>
        </w:rPr>
        <w:t xml:space="preserve"> y concretamente frente al motivo de la inconformidad elevada en el recurso se advierte que el ejecutado </w:t>
      </w:r>
      <w:r w:rsidR="0461FB5F" w:rsidRPr="00EB0229">
        <w:rPr>
          <w:rFonts w:ascii="Arial" w:eastAsia="Arial" w:hAnsi="Arial" w:cs="Arial"/>
          <w:lang w:val="es-ES"/>
        </w:rPr>
        <w:t xml:space="preserve">Servicios Especiales Duque y Cía. S en C en Liquidación registró en su certificado de existencia y representación legal la dirección “calle 10 nro. 12 b 21” como dirección comercial y </w:t>
      </w:r>
      <w:r w:rsidR="35A3B540" w:rsidRPr="00EB0229">
        <w:rPr>
          <w:rFonts w:ascii="Arial" w:eastAsia="Arial" w:hAnsi="Arial" w:cs="Arial"/>
          <w:lang w:val="es-ES"/>
        </w:rPr>
        <w:t>notificación judicial</w:t>
      </w:r>
      <w:r w:rsidR="6B4C3810" w:rsidRPr="00EB0229">
        <w:rPr>
          <w:rFonts w:ascii="Arial" w:eastAsia="Arial" w:hAnsi="Arial" w:cs="Arial"/>
          <w:lang w:val="es-ES"/>
        </w:rPr>
        <w:t xml:space="preserve">, </w:t>
      </w:r>
      <w:r w:rsidR="0461FB5F" w:rsidRPr="00EB0229">
        <w:rPr>
          <w:rFonts w:ascii="Arial" w:eastAsia="Arial" w:hAnsi="Arial" w:cs="Arial"/>
          <w:lang w:val="es-ES"/>
        </w:rPr>
        <w:t xml:space="preserve">sin indicar correo electrónico alguno </w:t>
      </w:r>
      <w:r w:rsidR="35A3B540" w:rsidRPr="00EB0229">
        <w:rPr>
          <w:rFonts w:ascii="Arial" w:eastAsia="Arial" w:hAnsi="Arial" w:cs="Arial"/>
          <w:lang w:val="es-ES"/>
        </w:rPr>
        <w:t>(</w:t>
      </w:r>
      <w:proofErr w:type="spellStart"/>
      <w:r w:rsidR="35A3B540" w:rsidRPr="00EB0229">
        <w:rPr>
          <w:rFonts w:ascii="Arial" w:eastAsia="Arial" w:hAnsi="Arial" w:cs="Arial"/>
          <w:lang w:val="es-ES"/>
        </w:rPr>
        <w:t>fl</w:t>
      </w:r>
      <w:proofErr w:type="spellEnd"/>
      <w:r w:rsidR="35A3B540" w:rsidRPr="00EB0229">
        <w:rPr>
          <w:rFonts w:ascii="Arial" w:eastAsia="Arial" w:hAnsi="Arial" w:cs="Arial"/>
          <w:lang w:val="es-ES"/>
        </w:rPr>
        <w:t xml:space="preserve">. </w:t>
      </w:r>
      <w:r w:rsidR="0461FB5F" w:rsidRPr="00EB0229">
        <w:rPr>
          <w:rFonts w:ascii="Arial" w:eastAsia="Arial" w:hAnsi="Arial" w:cs="Arial"/>
          <w:lang w:val="es-ES"/>
        </w:rPr>
        <w:t>139</w:t>
      </w:r>
      <w:r w:rsidR="35A3B540" w:rsidRPr="00EB0229">
        <w:rPr>
          <w:rFonts w:ascii="Arial" w:eastAsia="Arial" w:hAnsi="Arial" w:cs="Arial"/>
          <w:lang w:val="es-ES"/>
        </w:rPr>
        <w:t xml:space="preserve">, archivo 4, </w:t>
      </w:r>
      <w:proofErr w:type="spellStart"/>
      <w:r w:rsidR="35A3B540" w:rsidRPr="00EB0229">
        <w:rPr>
          <w:rFonts w:ascii="Arial" w:eastAsia="Arial" w:hAnsi="Arial" w:cs="Arial"/>
          <w:lang w:val="es-ES"/>
        </w:rPr>
        <w:t>exp</w:t>
      </w:r>
      <w:proofErr w:type="spellEnd"/>
      <w:r w:rsidR="35A3B540" w:rsidRPr="00EB0229">
        <w:rPr>
          <w:rFonts w:ascii="Arial" w:eastAsia="Arial" w:hAnsi="Arial" w:cs="Arial"/>
          <w:lang w:val="es-ES"/>
        </w:rPr>
        <w:t>. Digital).</w:t>
      </w:r>
    </w:p>
    <w:p w14:paraId="7AC7FB56" w14:textId="77777777" w:rsidR="006A0E0B" w:rsidRPr="00EB0229" w:rsidRDefault="006A0E0B" w:rsidP="00EB0229">
      <w:pPr>
        <w:autoSpaceDE w:val="0"/>
        <w:autoSpaceDN w:val="0"/>
        <w:adjustRightInd w:val="0"/>
        <w:spacing w:line="276" w:lineRule="auto"/>
        <w:jc w:val="both"/>
        <w:rPr>
          <w:rFonts w:ascii="Arial" w:eastAsia="Arial" w:hAnsi="Arial" w:cs="Arial"/>
          <w:lang w:val="es-ES"/>
        </w:rPr>
      </w:pPr>
    </w:p>
    <w:p w14:paraId="46E3DA47" w14:textId="2C92365B" w:rsidR="00FC1072" w:rsidRPr="00EB0229" w:rsidRDefault="35A3B540" w:rsidP="00EB0229">
      <w:pPr>
        <w:autoSpaceDE w:val="0"/>
        <w:autoSpaceDN w:val="0"/>
        <w:adjustRightInd w:val="0"/>
        <w:spacing w:line="276" w:lineRule="auto"/>
        <w:jc w:val="both"/>
        <w:rPr>
          <w:rFonts w:ascii="Arial" w:eastAsia="Arial" w:hAnsi="Arial" w:cs="Arial"/>
          <w:lang w:val="es-ES"/>
        </w:rPr>
      </w:pPr>
      <w:r w:rsidRPr="00EB0229">
        <w:rPr>
          <w:rFonts w:ascii="Arial" w:eastAsia="Arial" w:hAnsi="Arial" w:cs="Arial"/>
          <w:lang w:val="es-ES"/>
        </w:rPr>
        <w:t xml:space="preserve">Seguidamente obra el </w:t>
      </w:r>
      <w:r w:rsidRPr="00EB0229">
        <w:rPr>
          <w:rFonts w:ascii="Arial" w:eastAsia="Arial" w:hAnsi="Arial" w:cs="Arial"/>
          <w:i/>
          <w:iCs/>
          <w:lang w:val="es-ES"/>
        </w:rPr>
        <w:t>requerimiento por mora de aportes pensi</w:t>
      </w:r>
      <w:r w:rsidR="0461FB5F" w:rsidRPr="00EB0229">
        <w:rPr>
          <w:rFonts w:ascii="Arial" w:eastAsia="Arial" w:hAnsi="Arial" w:cs="Arial"/>
          <w:i/>
          <w:iCs/>
          <w:lang w:val="es-ES"/>
        </w:rPr>
        <w:t xml:space="preserve">ones </w:t>
      </w:r>
      <w:r w:rsidR="0461FB5F" w:rsidRPr="00EB0229">
        <w:rPr>
          <w:rFonts w:ascii="Arial" w:eastAsia="Arial" w:hAnsi="Arial" w:cs="Arial"/>
          <w:lang w:val="es-ES"/>
        </w:rPr>
        <w:t>del 06/12/2017</w:t>
      </w:r>
      <w:r w:rsidRPr="00EB0229">
        <w:rPr>
          <w:rFonts w:ascii="Arial" w:eastAsia="Arial" w:hAnsi="Arial" w:cs="Arial"/>
          <w:i/>
          <w:iCs/>
          <w:lang w:val="es-ES"/>
        </w:rPr>
        <w:t xml:space="preserve"> </w:t>
      </w:r>
      <w:r w:rsidRPr="00EB0229">
        <w:rPr>
          <w:rFonts w:ascii="Arial" w:eastAsia="Arial" w:hAnsi="Arial" w:cs="Arial"/>
          <w:lang w:val="es-ES"/>
        </w:rPr>
        <w:t>(</w:t>
      </w:r>
      <w:proofErr w:type="spellStart"/>
      <w:r w:rsidRPr="00EB0229">
        <w:rPr>
          <w:rFonts w:ascii="Arial" w:eastAsia="Arial" w:hAnsi="Arial" w:cs="Arial"/>
          <w:lang w:val="es-ES"/>
        </w:rPr>
        <w:t>fl</w:t>
      </w:r>
      <w:proofErr w:type="spellEnd"/>
      <w:r w:rsidRPr="00EB0229">
        <w:rPr>
          <w:rFonts w:ascii="Arial" w:eastAsia="Arial" w:hAnsi="Arial" w:cs="Arial"/>
          <w:lang w:val="es-ES"/>
        </w:rPr>
        <w:t xml:space="preserve">. </w:t>
      </w:r>
      <w:r w:rsidR="0461FB5F" w:rsidRPr="00EB0229">
        <w:rPr>
          <w:rFonts w:ascii="Arial" w:eastAsia="Arial" w:hAnsi="Arial" w:cs="Arial"/>
          <w:lang w:val="es-ES"/>
        </w:rPr>
        <w:t>81</w:t>
      </w:r>
      <w:r w:rsidRPr="00EB0229">
        <w:rPr>
          <w:rFonts w:ascii="Arial" w:eastAsia="Arial" w:hAnsi="Arial" w:cs="Arial"/>
          <w:lang w:val="es-ES"/>
        </w:rPr>
        <w:t xml:space="preserve">, archivo 04, </w:t>
      </w:r>
      <w:proofErr w:type="spellStart"/>
      <w:r w:rsidRPr="00EB0229">
        <w:rPr>
          <w:rFonts w:ascii="Arial" w:eastAsia="Arial" w:hAnsi="Arial" w:cs="Arial"/>
          <w:lang w:val="es-ES"/>
        </w:rPr>
        <w:t>exp</w:t>
      </w:r>
      <w:proofErr w:type="spellEnd"/>
      <w:r w:rsidRPr="00EB0229">
        <w:rPr>
          <w:rFonts w:ascii="Arial" w:eastAsia="Arial" w:hAnsi="Arial" w:cs="Arial"/>
          <w:lang w:val="es-ES"/>
        </w:rPr>
        <w:t>. Digital)</w:t>
      </w:r>
      <w:r w:rsidR="6B4C3810" w:rsidRPr="00EB0229">
        <w:rPr>
          <w:rFonts w:ascii="Arial" w:eastAsia="Arial" w:hAnsi="Arial" w:cs="Arial"/>
          <w:lang w:val="es-ES"/>
        </w:rPr>
        <w:t xml:space="preserve">. Documento de </w:t>
      </w:r>
      <w:r w:rsidR="0461FB5F" w:rsidRPr="00EB0229">
        <w:rPr>
          <w:rFonts w:ascii="Arial" w:eastAsia="Arial" w:hAnsi="Arial" w:cs="Arial"/>
          <w:lang w:val="es-ES"/>
        </w:rPr>
        <w:t>3</w:t>
      </w:r>
      <w:r w:rsidR="6B4C3810" w:rsidRPr="00EB0229">
        <w:rPr>
          <w:rFonts w:ascii="Arial" w:eastAsia="Arial" w:hAnsi="Arial" w:cs="Arial"/>
          <w:lang w:val="es-ES"/>
        </w:rPr>
        <w:t xml:space="preserve"> página</w:t>
      </w:r>
      <w:r w:rsidR="0461FB5F" w:rsidRPr="00EB0229">
        <w:rPr>
          <w:rFonts w:ascii="Arial" w:eastAsia="Arial" w:hAnsi="Arial" w:cs="Arial"/>
          <w:lang w:val="es-ES"/>
        </w:rPr>
        <w:t>s</w:t>
      </w:r>
      <w:r w:rsidR="6B4C3810" w:rsidRPr="00EB0229">
        <w:rPr>
          <w:rFonts w:ascii="Arial" w:eastAsia="Arial" w:hAnsi="Arial" w:cs="Arial"/>
          <w:lang w:val="es-ES"/>
        </w:rPr>
        <w:t xml:space="preserve"> que cuenta</w:t>
      </w:r>
      <w:r w:rsidR="0461FB5F" w:rsidRPr="00EB0229">
        <w:rPr>
          <w:rFonts w:ascii="Arial" w:eastAsia="Arial" w:hAnsi="Arial" w:cs="Arial"/>
          <w:lang w:val="es-ES"/>
        </w:rPr>
        <w:t>n</w:t>
      </w:r>
      <w:r w:rsidR="6B4C3810" w:rsidRPr="00EB0229">
        <w:rPr>
          <w:rFonts w:ascii="Arial" w:eastAsia="Arial" w:hAnsi="Arial" w:cs="Arial"/>
          <w:lang w:val="es-ES"/>
        </w:rPr>
        <w:t xml:space="preserve"> en su parte</w:t>
      </w:r>
      <w:r w:rsidR="0461FB5F" w:rsidRPr="00EB0229">
        <w:rPr>
          <w:rFonts w:ascii="Arial" w:eastAsia="Arial" w:hAnsi="Arial" w:cs="Arial"/>
          <w:lang w:val="es-ES"/>
        </w:rPr>
        <w:t xml:space="preserve"> inferior</w:t>
      </w:r>
      <w:r w:rsidR="6B4C3810" w:rsidRPr="00EB0229">
        <w:rPr>
          <w:rFonts w:ascii="Arial" w:eastAsia="Arial" w:hAnsi="Arial" w:cs="Arial"/>
          <w:lang w:val="es-ES"/>
        </w:rPr>
        <w:t xml:space="preserve"> derecha con un sello </w:t>
      </w:r>
      <w:r w:rsidR="075C50FF" w:rsidRPr="00EB0229">
        <w:rPr>
          <w:rFonts w:ascii="Arial" w:eastAsia="Arial" w:hAnsi="Arial" w:cs="Arial"/>
          <w:lang w:val="es-ES"/>
        </w:rPr>
        <w:t>de envío y en documento aparte milita la “</w:t>
      </w:r>
      <w:r w:rsidR="075C50FF" w:rsidRPr="003329A5">
        <w:rPr>
          <w:rFonts w:ascii="Arial" w:eastAsia="Arial" w:hAnsi="Arial" w:cs="Arial"/>
          <w:i/>
          <w:iCs/>
          <w:sz w:val="22"/>
          <w:lang w:val="es-ES"/>
        </w:rPr>
        <w:t>constancia de devolución de comunicaciones y avisos judiciales</w:t>
      </w:r>
      <w:r w:rsidR="075C50FF" w:rsidRPr="00EB0229">
        <w:rPr>
          <w:rFonts w:ascii="Arial" w:eastAsia="Arial" w:hAnsi="Arial" w:cs="Arial"/>
          <w:i/>
          <w:iCs/>
          <w:lang w:val="es-ES"/>
        </w:rPr>
        <w:t>”</w:t>
      </w:r>
      <w:r w:rsidR="075C50FF" w:rsidRPr="00EB0229">
        <w:rPr>
          <w:rFonts w:ascii="Arial" w:eastAsia="Arial" w:hAnsi="Arial" w:cs="Arial"/>
          <w:lang w:val="es-ES"/>
        </w:rPr>
        <w:t xml:space="preserve"> (</w:t>
      </w:r>
      <w:proofErr w:type="spellStart"/>
      <w:r w:rsidR="075C50FF" w:rsidRPr="00EB0229">
        <w:rPr>
          <w:rFonts w:ascii="Arial" w:eastAsia="Arial" w:hAnsi="Arial" w:cs="Arial"/>
          <w:lang w:val="es-ES"/>
        </w:rPr>
        <w:t>fl</w:t>
      </w:r>
      <w:proofErr w:type="spellEnd"/>
      <w:r w:rsidR="075C50FF" w:rsidRPr="00EB0229">
        <w:rPr>
          <w:rFonts w:ascii="Arial" w:eastAsia="Arial" w:hAnsi="Arial" w:cs="Arial"/>
          <w:lang w:val="es-ES"/>
        </w:rPr>
        <w:t>. 80, ibidem) en el que se dejó constancia del envío a la dirección “cl 44 7 20” (ibidem) pero “</w:t>
      </w:r>
      <w:r w:rsidR="075C50FF" w:rsidRPr="002663B2">
        <w:rPr>
          <w:rFonts w:ascii="Arial" w:eastAsia="Arial" w:hAnsi="Arial" w:cs="Arial"/>
          <w:i/>
          <w:iCs/>
          <w:sz w:val="22"/>
          <w:lang w:val="es-ES"/>
        </w:rPr>
        <w:t>nadie atendió al colaborador de Servientrega</w:t>
      </w:r>
      <w:r w:rsidR="075C50FF" w:rsidRPr="00EB0229">
        <w:rPr>
          <w:rFonts w:ascii="Arial" w:eastAsia="Arial" w:hAnsi="Arial" w:cs="Arial"/>
          <w:i/>
          <w:iCs/>
          <w:lang w:val="es-ES"/>
        </w:rPr>
        <w:t>”</w:t>
      </w:r>
      <w:r w:rsidR="075C50FF" w:rsidRPr="00EB0229">
        <w:rPr>
          <w:rFonts w:ascii="Arial" w:eastAsia="Arial" w:hAnsi="Arial" w:cs="Arial"/>
          <w:lang w:val="es-ES"/>
        </w:rPr>
        <w:t xml:space="preserve"> (ibidem). Dirección que es completamente diferente a la reportada para notificaciones judiciales o dirección comercial de la demandada. </w:t>
      </w:r>
    </w:p>
    <w:p w14:paraId="1C59A14F" w14:textId="77777777" w:rsidR="00FC1072" w:rsidRPr="00EB0229" w:rsidRDefault="00FC1072" w:rsidP="00EB0229">
      <w:pPr>
        <w:autoSpaceDE w:val="0"/>
        <w:autoSpaceDN w:val="0"/>
        <w:adjustRightInd w:val="0"/>
        <w:spacing w:line="276" w:lineRule="auto"/>
        <w:jc w:val="both"/>
        <w:rPr>
          <w:rFonts w:ascii="Arial" w:eastAsia="Arial" w:hAnsi="Arial" w:cs="Arial"/>
          <w:lang w:val="es-ES"/>
        </w:rPr>
      </w:pPr>
    </w:p>
    <w:p w14:paraId="24ECC6F3" w14:textId="3F35FE91" w:rsidR="00FC1072" w:rsidRPr="00EB0229" w:rsidRDefault="075C50FF" w:rsidP="00EB0229">
      <w:pPr>
        <w:autoSpaceDE w:val="0"/>
        <w:autoSpaceDN w:val="0"/>
        <w:adjustRightInd w:val="0"/>
        <w:spacing w:line="276" w:lineRule="auto"/>
        <w:jc w:val="both"/>
        <w:rPr>
          <w:rFonts w:ascii="Arial" w:eastAsia="Arial" w:hAnsi="Arial" w:cs="Arial"/>
          <w:lang w:val="es-ES"/>
        </w:rPr>
      </w:pPr>
      <w:r w:rsidRPr="00EB0229">
        <w:rPr>
          <w:rFonts w:ascii="Arial" w:eastAsia="Arial" w:hAnsi="Arial" w:cs="Arial"/>
          <w:lang w:val="es-ES"/>
        </w:rPr>
        <w:t>Luego, milita otro requerimiento en iguales condiciones al recién expuesto de la misma fecha (</w:t>
      </w:r>
      <w:proofErr w:type="spellStart"/>
      <w:r w:rsidRPr="00EB0229">
        <w:rPr>
          <w:rFonts w:ascii="Arial" w:eastAsia="Arial" w:hAnsi="Arial" w:cs="Arial"/>
          <w:lang w:val="es-ES"/>
        </w:rPr>
        <w:t>fl</w:t>
      </w:r>
      <w:proofErr w:type="spellEnd"/>
      <w:r w:rsidRPr="00EB0229">
        <w:rPr>
          <w:rFonts w:ascii="Arial" w:eastAsia="Arial" w:hAnsi="Arial" w:cs="Arial"/>
          <w:lang w:val="es-ES"/>
        </w:rPr>
        <w:t>. 111, ibidem) acompañado del estado de cuenta de aportes pensionales adeudados (</w:t>
      </w:r>
      <w:proofErr w:type="spellStart"/>
      <w:r w:rsidRPr="00EB0229">
        <w:rPr>
          <w:rFonts w:ascii="Arial" w:eastAsia="Arial" w:hAnsi="Arial" w:cs="Arial"/>
          <w:lang w:val="es-ES"/>
        </w:rPr>
        <w:t>fl</w:t>
      </w:r>
      <w:proofErr w:type="spellEnd"/>
      <w:r w:rsidRPr="00EB0229">
        <w:rPr>
          <w:rFonts w:ascii="Arial" w:eastAsia="Arial" w:hAnsi="Arial" w:cs="Arial"/>
          <w:lang w:val="es-ES"/>
        </w:rPr>
        <w:t>. 114, ibidem) y la “</w:t>
      </w:r>
      <w:r w:rsidRPr="002663B2">
        <w:rPr>
          <w:rFonts w:ascii="Arial" w:eastAsia="Arial" w:hAnsi="Arial" w:cs="Arial"/>
          <w:sz w:val="22"/>
          <w:lang w:val="es-ES"/>
        </w:rPr>
        <w:t>constancia de devolución de comunicaciones y avisos judiciales</w:t>
      </w:r>
      <w:r w:rsidRPr="00EB0229">
        <w:rPr>
          <w:rFonts w:ascii="Arial" w:eastAsia="Arial" w:hAnsi="Arial" w:cs="Arial"/>
          <w:lang w:val="es-ES"/>
        </w:rPr>
        <w:t>” (</w:t>
      </w:r>
      <w:proofErr w:type="spellStart"/>
      <w:r w:rsidRPr="00EB0229">
        <w:rPr>
          <w:rFonts w:ascii="Arial" w:eastAsia="Arial" w:hAnsi="Arial" w:cs="Arial"/>
          <w:lang w:val="es-ES"/>
        </w:rPr>
        <w:t>fl</w:t>
      </w:r>
      <w:proofErr w:type="spellEnd"/>
      <w:r w:rsidRPr="00EB0229">
        <w:rPr>
          <w:rFonts w:ascii="Arial" w:eastAsia="Arial" w:hAnsi="Arial" w:cs="Arial"/>
          <w:lang w:val="es-ES"/>
        </w:rPr>
        <w:t>. 110, ibidem) en el que se indicó que se envió dicho requerimiento a la “calle 10 #12b 21”, es decir a la dirección que sí se reportó en el certificado, pero “</w:t>
      </w:r>
      <w:r w:rsidRPr="002663B2">
        <w:rPr>
          <w:rFonts w:ascii="Arial" w:eastAsia="Arial" w:hAnsi="Arial" w:cs="Arial"/>
          <w:sz w:val="22"/>
          <w:lang w:val="es-ES"/>
        </w:rPr>
        <w:t>la persona que atendió manifiesta no conocer la empresa o razón social</w:t>
      </w:r>
      <w:r w:rsidRPr="00EB0229">
        <w:rPr>
          <w:rFonts w:ascii="Arial" w:eastAsia="Arial" w:hAnsi="Arial" w:cs="Arial"/>
          <w:lang w:val="es-ES"/>
        </w:rPr>
        <w:t>” (</w:t>
      </w:r>
      <w:proofErr w:type="spellStart"/>
      <w:r w:rsidRPr="00EB0229">
        <w:rPr>
          <w:rFonts w:ascii="Arial" w:eastAsia="Arial" w:hAnsi="Arial" w:cs="Arial"/>
          <w:lang w:val="es-ES"/>
        </w:rPr>
        <w:t>fl</w:t>
      </w:r>
      <w:proofErr w:type="spellEnd"/>
      <w:r w:rsidRPr="00EB0229">
        <w:rPr>
          <w:rFonts w:ascii="Arial" w:eastAsia="Arial" w:hAnsi="Arial" w:cs="Arial"/>
          <w:lang w:val="es-ES"/>
        </w:rPr>
        <w:t>. 110, ibidem).</w:t>
      </w:r>
    </w:p>
    <w:p w14:paraId="1A39589E" w14:textId="77777777" w:rsidR="00FC1072" w:rsidRPr="00EB0229" w:rsidRDefault="00FC1072" w:rsidP="00EB0229">
      <w:pPr>
        <w:autoSpaceDE w:val="0"/>
        <w:autoSpaceDN w:val="0"/>
        <w:adjustRightInd w:val="0"/>
        <w:spacing w:line="276" w:lineRule="auto"/>
        <w:jc w:val="both"/>
        <w:rPr>
          <w:rFonts w:ascii="Arial" w:eastAsia="Arial" w:hAnsi="Arial" w:cs="Arial"/>
          <w:lang w:val="es-ES"/>
        </w:rPr>
      </w:pPr>
    </w:p>
    <w:p w14:paraId="0D42A9C6" w14:textId="46485441" w:rsidR="00FA0CC8" w:rsidRPr="00EB0229" w:rsidRDefault="075C50FF" w:rsidP="00EB0229">
      <w:pPr>
        <w:autoSpaceDE w:val="0"/>
        <w:autoSpaceDN w:val="0"/>
        <w:adjustRightInd w:val="0"/>
        <w:spacing w:line="276" w:lineRule="auto"/>
        <w:jc w:val="both"/>
        <w:rPr>
          <w:rFonts w:ascii="Arial" w:eastAsia="Arial" w:hAnsi="Arial" w:cs="Arial"/>
          <w:lang w:val="es-ES"/>
        </w:rPr>
      </w:pPr>
      <w:r w:rsidRPr="00EB0229">
        <w:rPr>
          <w:rFonts w:ascii="Arial" w:eastAsia="Arial" w:hAnsi="Arial" w:cs="Arial"/>
          <w:lang w:val="es-ES"/>
        </w:rPr>
        <w:t>Última comunicación que en principio sería suficiente para dar por acreditado el requisito de constitución en mora del empleador, pues se env</w:t>
      </w:r>
      <w:r w:rsidR="4C31C9A2" w:rsidRPr="00EB0229">
        <w:rPr>
          <w:rFonts w:ascii="Arial" w:eastAsia="Arial" w:hAnsi="Arial" w:cs="Arial"/>
          <w:lang w:val="es-ES"/>
        </w:rPr>
        <w:t>ió</w:t>
      </w:r>
      <w:r w:rsidRPr="00EB0229">
        <w:rPr>
          <w:rFonts w:ascii="Arial" w:eastAsia="Arial" w:hAnsi="Arial" w:cs="Arial"/>
          <w:lang w:val="es-ES"/>
        </w:rPr>
        <w:t xml:space="preserve"> el requerimiento a la misma dirección que aparece en su certificado de existencia y representación legal, si</w:t>
      </w:r>
      <w:r w:rsidR="18167E51" w:rsidRPr="00EB0229">
        <w:rPr>
          <w:rFonts w:ascii="Arial" w:eastAsia="Arial" w:hAnsi="Arial" w:cs="Arial"/>
          <w:lang w:val="es-ES"/>
        </w:rPr>
        <w:t xml:space="preserve"> </w:t>
      </w:r>
      <w:r w:rsidRPr="00EB0229">
        <w:rPr>
          <w:rFonts w:ascii="Arial" w:eastAsia="Arial" w:hAnsi="Arial" w:cs="Arial"/>
          <w:lang w:val="es-ES"/>
        </w:rPr>
        <w:t xml:space="preserve">no fuera porque en este caso, tal como ocurrió en la providencia citada en los fundamentos de derecho, el ejecutado se encuentra representado por curador ad </w:t>
      </w:r>
      <w:proofErr w:type="spellStart"/>
      <w:r w:rsidR="00DB64E4">
        <w:rPr>
          <w:rFonts w:ascii="Arial" w:eastAsia="Arial" w:hAnsi="Arial" w:cs="Arial"/>
          <w:lang w:val="es-ES"/>
        </w:rPr>
        <w:t>litem</w:t>
      </w:r>
      <w:proofErr w:type="spellEnd"/>
      <w:r w:rsidRPr="00EB0229">
        <w:rPr>
          <w:rFonts w:ascii="Arial" w:eastAsia="Arial" w:hAnsi="Arial" w:cs="Arial"/>
          <w:lang w:val="es-ES"/>
        </w:rPr>
        <w:t xml:space="preserve">, aspecto que implica para este evento tener certeza de que el empleador moroso </w:t>
      </w:r>
      <w:r w:rsidRPr="00EB0229">
        <w:rPr>
          <w:rFonts w:ascii="Arial" w:eastAsia="Arial" w:hAnsi="Arial" w:cs="Arial"/>
          <w:lang w:val="es-ES"/>
        </w:rPr>
        <w:lastRenderedPageBreak/>
        <w:t>fue requerido de la deuda y que en efecto conoció de ella, pues de lo contrario se trasgrediría sus derecho de contradicción y defensa, esto es para controvertir la deuda en cobro ya sea para acreditarle a la entidad</w:t>
      </w:r>
      <w:r w:rsidR="7528B9B9" w:rsidRPr="00EB0229">
        <w:rPr>
          <w:rFonts w:ascii="Arial" w:eastAsia="Arial" w:hAnsi="Arial" w:cs="Arial"/>
          <w:lang w:val="es-ES"/>
        </w:rPr>
        <w:t xml:space="preserve"> que ya cumplió la obligación, o que no tenía que hacerlo o simplemente proceder a pagar e impedir ser ejecutado vía judicial. </w:t>
      </w:r>
    </w:p>
    <w:p w14:paraId="580234F1" w14:textId="08B516D1" w:rsidR="00FA0CC8" w:rsidRPr="00EB0229" w:rsidRDefault="00FA0CC8" w:rsidP="00EB0229">
      <w:pPr>
        <w:autoSpaceDE w:val="0"/>
        <w:autoSpaceDN w:val="0"/>
        <w:adjustRightInd w:val="0"/>
        <w:spacing w:line="276" w:lineRule="auto"/>
        <w:jc w:val="both"/>
        <w:rPr>
          <w:rFonts w:ascii="Arial" w:eastAsia="Arial" w:hAnsi="Arial" w:cs="Arial"/>
          <w:lang w:val="es-ES"/>
        </w:rPr>
      </w:pPr>
    </w:p>
    <w:p w14:paraId="5E5A85A4" w14:textId="24E5665B" w:rsidR="00FA0CC8" w:rsidRPr="00EB0229" w:rsidRDefault="37CD36E1" w:rsidP="00EB0229">
      <w:pPr>
        <w:autoSpaceDE w:val="0"/>
        <w:autoSpaceDN w:val="0"/>
        <w:adjustRightInd w:val="0"/>
        <w:spacing w:line="276" w:lineRule="auto"/>
        <w:jc w:val="both"/>
        <w:rPr>
          <w:rFonts w:ascii="Arial" w:eastAsia="Arial" w:hAnsi="Arial" w:cs="Arial"/>
          <w:u w:val="single"/>
          <w:lang w:val="es-ES"/>
        </w:rPr>
      </w:pPr>
      <w:r w:rsidRPr="00EB0229">
        <w:rPr>
          <w:rFonts w:ascii="Arial" w:eastAsia="Arial" w:hAnsi="Arial" w:cs="Arial"/>
          <w:u w:val="single"/>
          <w:lang w:val="es-ES"/>
        </w:rPr>
        <w:t>Rememórese que el título ejecutivo se caracteriza por la certeza de la obligación a cargo del deudor y a favor del acreedor, que solo se alcanza cuando se entrega el requerimiento o se entera al deudor de este; en consecuencia, en tanto que en el evento de ahora tal certeza no se alcanzó, entonces n</w:t>
      </w:r>
      <w:r w:rsidR="151EB45A" w:rsidRPr="00EB0229">
        <w:rPr>
          <w:rFonts w:ascii="Arial" w:eastAsia="Arial" w:hAnsi="Arial" w:cs="Arial"/>
          <w:u w:val="single"/>
          <w:lang w:val="es-ES"/>
        </w:rPr>
        <w:t>i siquiera</w:t>
      </w:r>
      <w:r w:rsidRPr="00EB0229">
        <w:rPr>
          <w:rFonts w:ascii="Arial" w:eastAsia="Arial" w:hAnsi="Arial" w:cs="Arial"/>
          <w:u w:val="single"/>
          <w:lang w:val="es-ES"/>
        </w:rPr>
        <w:t xml:space="preserve"> existe título ejecutivo</w:t>
      </w:r>
      <w:r w:rsidR="65A4F5AE" w:rsidRPr="00EB0229">
        <w:rPr>
          <w:rFonts w:ascii="Arial" w:eastAsia="Arial" w:hAnsi="Arial" w:cs="Arial"/>
          <w:u w:val="single"/>
          <w:lang w:val="es-ES"/>
        </w:rPr>
        <w:t xml:space="preserve"> a cobrar.</w:t>
      </w:r>
    </w:p>
    <w:p w14:paraId="55675657" w14:textId="636BBA7C" w:rsidR="00FA0CC8" w:rsidRPr="00EB0229" w:rsidRDefault="00FA0CC8" w:rsidP="00EB0229">
      <w:pPr>
        <w:autoSpaceDE w:val="0"/>
        <w:autoSpaceDN w:val="0"/>
        <w:adjustRightInd w:val="0"/>
        <w:spacing w:line="276" w:lineRule="auto"/>
        <w:jc w:val="both"/>
        <w:rPr>
          <w:rFonts w:ascii="Arial" w:eastAsia="Arial" w:hAnsi="Arial" w:cs="Arial"/>
          <w:u w:val="single"/>
          <w:lang w:val="es-ES"/>
        </w:rPr>
      </w:pPr>
    </w:p>
    <w:p w14:paraId="744AA02D" w14:textId="2B31CF97" w:rsidR="00FA0CC8" w:rsidRPr="00EB0229" w:rsidRDefault="37CD36E1" w:rsidP="00EB0229">
      <w:pPr>
        <w:autoSpaceDE w:val="0"/>
        <w:autoSpaceDN w:val="0"/>
        <w:adjustRightInd w:val="0"/>
        <w:spacing w:line="276" w:lineRule="auto"/>
        <w:jc w:val="both"/>
        <w:rPr>
          <w:rFonts w:ascii="Arial" w:eastAsia="Arial" w:hAnsi="Arial" w:cs="Arial"/>
          <w:u w:val="single"/>
          <w:lang w:val="es-ES"/>
        </w:rPr>
      </w:pPr>
      <w:r w:rsidRPr="00EB0229">
        <w:rPr>
          <w:rFonts w:ascii="Arial" w:eastAsia="Arial" w:hAnsi="Arial" w:cs="Arial"/>
          <w:u w:val="single"/>
          <w:lang w:val="es-ES"/>
        </w:rPr>
        <w:t>Finalmente, es preciso acotar que conforme al artículo 5 del Decreto 2633 de 1994 – que regula el procedimiento – el momento para que las AFP realicen el cobro de los aportes en mora es vencido el plazo señ</w:t>
      </w:r>
      <w:r w:rsidR="6AAD538E" w:rsidRPr="00EB0229">
        <w:rPr>
          <w:rFonts w:ascii="Arial" w:eastAsia="Arial" w:hAnsi="Arial" w:cs="Arial"/>
          <w:u w:val="single"/>
          <w:lang w:val="es-ES"/>
        </w:rPr>
        <w:t>a</w:t>
      </w:r>
      <w:r w:rsidRPr="00EB0229">
        <w:rPr>
          <w:rFonts w:ascii="Arial" w:eastAsia="Arial" w:hAnsi="Arial" w:cs="Arial"/>
          <w:u w:val="single"/>
          <w:lang w:val="es-ES"/>
        </w:rPr>
        <w:t xml:space="preserve">lado para efectuar las consignaciones por parte del empleador, esto es, en un periodo de tiempo casi </w:t>
      </w:r>
      <w:r w:rsidR="708FB7D0" w:rsidRPr="00EB0229">
        <w:rPr>
          <w:rFonts w:ascii="Arial" w:eastAsia="Arial" w:hAnsi="Arial" w:cs="Arial"/>
          <w:u w:val="single"/>
          <w:lang w:val="es-ES"/>
        </w:rPr>
        <w:t xml:space="preserve">inmediato a la ausencia de pago en tiempo, y en el evento de ahora </w:t>
      </w:r>
      <w:r w:rsidR="08207937" w:rsidRPr="00EB0229">
        <w:rPr>
          <w:rFonts w:ascii="Arial" w:eastAsia="Arial" w:hAnsi="Arial" w:cs="Arial"/>
          <w:u w:val="single"/>
          <w:lang w:val="es-ES"/>
        </w:rPr>
        <w:t>los periodos en cobro transitan entre febrero de 1995 y octubre de 2015</w:t>
      </w:r>
      <w:r w:rsidR="11B33E40" w:rsidRPr="00EB0229">
        <w:rPr>
          <w:rFonts w:ascii="Arial" w:eastAsia="Arial" w:hAnsi="Arial" w:cs="Arial"/>
          <w:u w:val="single"/>
          <w:lang w:val="es-ES"/>
        </w:rPr>
        <w:t xml:space="preserve"> </w:t>
      </w:r>
      <w:r w:rsidR="11B33E40" w:rsidRPr="00EB0229">
        <w:rPr>
          <w:rFonts w:ascii="Arial" w:hAnsi="Arial" w:cs="Arial"/>
          <w:u w:val="single"/>
        </w:rPr>
        <w:t>(</w:t>
      </w:r>
      <w:proofErr w:type="spellStart"/>
      <w:r w:rsidR="11B33E40" w:rsidRPr="00EB0229">
        <w:rPr>
          <w:rFonts w:ascii="Arial" w:hAnsi="Arial" w:cs="Arial"/>
          <w:u w:val="single"/>
        </w:rPr>
        <w:t>fl</w:t>
      </w:r>
      <w:proofErr w:type="spellEnd"/>
      <w:r w:rsidR="11B33E40" w:rsidRPr="00EB0229">
        <w:rPr>
          <w:rFonts w:ascii="Arial" w:hAnsi="Arial" w:cs="Arial"/>
          <w:u w:val="single"/>
        </w:rPr>
        <w:t xml:space="preserve">. 2, archivo 03, </w:t>
      </w:r>
      <w:proofErr w:type="spellStart"/>
      <w:r w:rsidR="11B33E40" w:rsidRPr="00EB0229">
        <w:rPr>
          <w:rFonts w:ascii="Arial" w:hAnsi="Arial" w:cs="Arial"/>
          <w:u w:val="single"/>
        </w:rPr>
        <w:t>exp</w:t>
      </w:r>
      <w:proofErr w:type="spellEnd"/>
      <w:r w:rsidR="11B33E40" w:rsidRPr="00EB0229">
        <w:rPr>
          <w:rFonts w:ascii="Arial" w:hAnsi="Arial" w:cs="Arial"/>
          <w:u w:val="single"/>
        </w:rPr>
        <w:t>. Digital).</w:t>
      </w:r>
      <w:r w:rsidR="08207937" w:rsidRPr="00EB0229">
        <w:rPr>
          <w:rFonts w:ascii="Arial" w:eastAsia="Arial" w:hAnsi="Arial" w:cs="Arial"/>
          <w:u w:val="single"/>
          <w:lang w:val="es-ES"/>
        </w:rPr>
        <w:t>, de ahí que nótese la tardanza de la AFP en enviar el requerimiento, pues</w:t>
      </w:r>
      <w:r w:rsidR="0FB951DC" w:rsidRPr="00EB0229">
        <w:rPr>
          <w:rFonts w:ascii="Arial" w:eastAsia="Arial" w:hAnsi="Arial" w:cs="Arial"/>
          <w:u w:val="single"/>
          <w:lang w:val="es-ES"/>
        </w:rPr>
        <w:t xml:space="preserve"> frente al primer periodo en mora, solo lo hizo 22 años después, y respecto al último periodo, además de que requirió su pago </w:t>
      </w:r>
      <w:r w:rsidR="0D031C3F" w:rsidRPr="00EB0229">
        <w:rPr>
          <w:rFonts w:ascii="Arial" w:eastAsia="Arial" w:hAnsi="Arial" w:cs="Arial"/>
          <w:u w:val="single"/>
          <w:lang w:val="es-ES"/>
        </w:rPr>
        <w:t xml:space="preserve">al cabo de </w:t>
      </w:r>
      <w:r w:rsidR="0FB951DC" w:rsidRPr="00EB0229">
        <w:rPr>
          <w:rFonts w:ascii="Arial" w:eastAsia="Arial" w:hAnsi="Arial" w:cs="Arial"/>
          <w:u w:val="single"/>
          <w:lang w:val="es-ES"/>
        </w:rPr>
        <w:t>2 años</w:t>
      </w:r>
      <w:r w:rsidR="53530613" w:rsidRPr="00EB0229">
        <w:rPr>
          <w:rFonts w:ascii="Arial" w:eastAsia="Arial" w:hAnsi="Arial" w:cs="Arial"/>
          <w:u w:val="single"/>
          <w:lang w:val="es-ES"/>
        </w:rPr>
        <w:t xml:space="preserve"> de la mora</w:t>
      </w:r>
      <w:r w:rsidR="0FB951DC" w:rsidRPr="00EB0229">
        <w:rPr>
          <w:rFonts w:ascii="Arial" w:eastAsia="Arial" w:hAnsi="Arial" w:cs="Arial"/>
          <w:u w:val="single"/>
          <w:lang w:val="es-ES"/>
        </w:rPr>
        <w:t xml:space="preserve">, lo cierto para dicha </w:t>
      </w:r>
      <w:r w:rsidR="0D2CFE6D" w:rsidRPr="00EB0229">
        <w:rPr>
          <w:rFonts w:ascii="Arial" w:eastAsia="Arial" w:hAnsi="Arial" w:cs="Arial"/>
          <w:u w:val="single"/>
          <w:lang w:val="es-ES"/>
        </w:rPr>
        <w:t>época</w:t>
      </w:r>
      <w:r w:rsidR="0FB951DC" w:rsidRPr="00EB0229">
        <w:rPr>
          <w:rFonts w:ascii="Arial" w:eastAsia="Arial" w:hAnsi="Arial" w:cs="Arial"/>
          <w:u w:val="single"/>
          <w:lang w:val="es-ES"/>
        </w:rPr>
        <w:t xml:space="preserve"> la sociedad se en</w:t>
      </w:r>
      <w:r w:rsidR="0912FC99" w:rsidRPr="00EB0229">
        <w:rPr>
          <w:rFonts w:ascii="Arial" w:eastAsia="Arial" w:hAnsi="Arial" w:cs="Arial"/>
          <w:u w:val="single"/>
          <w:lang w:val="es-ES"/>
        </w:rPr>
        <w:t>contraba</w:t>
      </w:r>
      <w:r w:rsidR="0FB951DC" w:rsidRPr="00EB0229">
        <w:rPr>
          <w:rFonts w:ascii="Arial" w:eastAsia="Arial" w:hAnsi="Arial" w:cs="Arial"/>
          <w:u w:val="single"/>
          <w:lang w:val="es-ES"/>
        </w:rPr>
        <w:t xml:space="preserve"> en estado de liquidación, al declararse la disolución por ausencia de renovación de la matricula mercantil, en la me</w:t>
      </w:r>
      <w:r w:rsidR="62C2C9CE" w:rsidRPr="00EB0229">
        <w:rPr>
          <w:rFonts w:ascii="Arial" w:eastAsia="Arial" w:hAnsi="Arial" w:cs="Arial"/>
          <w:u w:val="single"/>
          <w:lang w:val="es-ES"/>
        </w:rPr>
        <w:t xml:space="preserve">dida que </w:t>
      </w:r>
      <w:r w:rsidR="19BADF8F" w:rsidRPr="00EB0229">
        <w:rPr>
          <w:rFonts w:ascii="Arial" w:eastAsia="Arial" w:hAnsi="Arial" w:cs="Arial"/>
          <w:u w:val="single"/>
          <w:lang w:val="es-ES"/>
        </w:rPr>
        <w:t>l</w:t>
      </w:r>
      <w:r w:rsidR="62C2C9CE" w:rsidRPr="00EB0229">
        <w:rPr>
          <w:rFonts w:ascii="Arial" w:eastAsia="Arial" w:hAnsi="Arial" w:cs="Arial"/>
          <w:u w:val="single"/>
          <w:lang w:val="es-ES"/>
        </w:rPr>
        <w:t xml:space="preserve">a </w:t>
      </w:r>
      <w:r w:rsidR="7573853F" w:rsidRPr="00EB0229">
        <w:rPr>
          <w:rFonts w:ascii="Arial" w:eastAsia="Arial" w:hAnsi="Arial" w:cs="Arial"/>
          <w:u w:val="single"/>
          <w:lang w:val="es-ES"/>
        </w:rPr>
        <w:t>última</w:t>
      </w:r>
      <w:r w:rsidR="62C2C9CE" w:rsidRPr="00EB0229">
        <w:rPr>
          <w:rFonts w:ascii="Arial" w:eastAsia="Arial" w:hAnsi="Arial" w:cs="Arial"/>
          <w:u w:val="single"/>
          <w:lang w:val="es-ES"/>
        </w:rPr>
        <w:t xml:space="preserve"> renovación se hizo en 1999 (</w:t>
      </w:r>
      <w:proofErr w:type="spellStart"/>
      <w:r w:rsidR="62C2C9CE" w:rsidRPr="00EB0229">
        <w:rPr>
          <w:rFonts w:ascii="Arial" w:eastAsia="Arial" w:hAnsi="Arial" w:cs="Arial"/>
          <w:u w:val="single"/>
          <w:lang w:val="es-ES"/>
        </w:rPr>
        <w:t>fl</w:t>
      </w:r>
      <w:proofErr w:type="spellEnd"/>
      <w:r w:rsidR="62C2C9CE" w:rsidRPr="00EB0229">
        <w:rPr>
          <w:rFonts w:ascii="Arial" w:eastAsia="Arial" w:hAnsi="Arial" w:cs="Arial"/>
          <w:u w:val="single"/>
          <w:lang w:val="es-ES"/>
        </w:rPr>
        <w:t>. 140, ibidem).</w:t>
      </w:r>
      <w:r w:rsidR="1727754A" w:rsidRPr="00EB0229">
        <w:rPr>
          <w:rFonts w:ascii="Arial" w:eastAsia="Arial" w:hAnsi="Arial" w:cs="Arial"/>
          <w:u w:val="single"/>
          <w:lang w:val="es-ES"/>
        </w:rPr>
        <w:t xml:space="preserve"> </w:t>
      </w:r>
      <w:r w:rsidR="7528B9B9" w:rsidRPr="00EB0229">
        <w:rPr>
          <w:rFonts w:ascii="Arial" w:eastAsia="Arial" w:hAnsi="Arial" w:cs="Arial"/>
          <w:u w:val="single"/>
          <w:lang w:val="es-ES"/>
        </w:rPr>
        <w:t>En consecuencia, se confirmará la decisión de primer grado.</w:t>
      </w:r>
    </w:p>
    <w:p w14:paraId="4E100454" w14:textId="138BC812" w:rsidR="00FA0CC8" w:rsidRPr="00EB0229" w:rsidRDefault="7528B9B9" w:rsidP="00EB0229">
      <w:pPr>
        <w:autoSpaceDE w:val="0"/>
        <w:autoSpaceDN w:val="0"/>
        <w:adjustRightInd w:val="0"/>
        <w:spacing w:line="276" w:lineRule="auto"/>
        <w:jc w:val="both"/>
        <w:rPr>
          <w:rFonts w:ascii="Arial" w:eastAsia="Arial" w:hAnsi="Arial" w:cs="Arial"/>
          <w:b/>
          <w:bCs/>
          <w:lang w:val="es-ES"/>
        </w:rPr>
      </w:pPr>
      <w:r w:rsidRPr="00EB0229">
        <w:rPr>
          <w:rFonts w:ascii="Arial" w:eastAsia="Arial" w:hAnsi="Arial" w:cs="Arial"/>
          <w:b/>
          <w:bCs/>
          <w:lang w:val="es-ES"/>
        </w:rPr>
        <w:t>3. Coda final</w:t>
      </w:r>
    </w:p>
    <w:p w14:paraId="7CEF3896" w14:textId="77777777" w:rsidR="00FA0CC8" w:rsidRPr="00EB0229" w:rsidRDefault="00FA0CC8" w:rsidP="00EB0229">
      <w:pPr>
        <w:autoSpaceDE w:val="0"/>
        <w:autoSpaceDN w:val="0"/>
        <w:adjustRightInd w:val="0"/>
        <w:spacing w:line="276" w:lineRule="auto"/>
        <w:jc w:val="both"/>
        <w:rPr>
          <w:rFonts w:ascii="Arial" w:eastAsia="Arial" w:hAnsi="Arial" w:cs="Arial"/>
          <w:b/>
          <w:bCs/>
          <w:lang w:val="es-ES"/>
        </w:rPr>
      </w:pPr>
    </w:p>
    <w:p w14:paraId="1210001D" w14:textId="22AD6302" w:rsidR="00A4163C" w:rsidRPr="00EB0229" w:rsidRDefault="7528B9B9" w:rsidP="00EB0229">
      <w:pPr>
        <w:autoSpaceDE w:val="0"/>
        <w:autoSpaceDN w:val="0"/>
        <w:adjustRightInd w:val="0"/>
        <w:spacing w:line="276" w:lineRule="auto"/>
        <w:jc w:val="both"/>
        <w:rPr>
          <w:rFonts w:ascii="Arial" w:hAnsi="Arial" w:cs="Arial"/>
          <w:lang w:eastAsia="es-MX"/>
        </w:rPr>
      </w:pPr>
      <w:r w:rsidRPr="00EB0229">
        <w:rPr>
          <w:rFonts w:ascii="Arial" w:eastAsia="Arial" w:hAnsi="Arial" w:cs="Arial"/>
          <w:lang w:val="es-ES"/>
        </w:rPr>
        <w:t>Frente al argumento final de la a quo en el que adujo que en tanto la sociedad ejecutada se encuentra en estado de liquidación era necesario que la ejecutante solicitara que se nombrara un liquidador para poderla ejecutar es preciso acotar que esta Corporación en decisión del pasado 14/10/2022, rad. 003-2020-00219-01 en un asunto seguido contra una persona jurídica en liquidación</w:t>
      </w:r>
      <w:r w:rsidR="5F2A5724" w:rsidRPr="00EB0229">
        <w:rPr>
          <w:rFonts w:ascii="Arial" w:eastAsia="Arial" w:hAnsi="Arial" w:cs="Arial"/>
          <w:lang w:val="es-ES"/>
        </w:rPr>
        <w:t xml:space="preserve"> explicó por un lado que, el estado de liquidación de una sociedad no echa al traste su aptitud legal para ser demandante o demandada, pues la</w:t>
      </w:r>
      <w:r w:rsidR="5F2A5724" w:rsidRPr="00EB0229">
        <w:rPr>
          <w:rStyle w:val="normaltextrun"/>
          <w:rFonts w:ascii="Arial" w:hAnsi="Arial" w:cs="Arial"/>
        </w:rPr>
        <w:t xml:space="preserve"> </w:t>
      </w:r>
      <w:r w:rsidR="5F2A5724" w:rsidRPr="00EB0229">
        <w:rPr>
          <w:rStyle w:val="normaltextrun"/>
          <w:rFonts w:ascii="Arial" w:hAnsi="Arial" w:cs="Arial"/>
          <w:i/>
          <w:iCs/>
        </w:rPr>
        <w:t>i)</w:t>
      </w:r>
      <w:r w:rsidR="5F2A5724" w:rsidRPr="00EB0229">
        <w:rPr>
          <w:rStyle w:val="normaltextrun"/>
          <w:rFonts w:ascii="Arial" w:hAnsi="Arial" w:cs="Arial"/>
        </w:rPr>
        <w:t xml:space="preserve"> disolución y posterior</w:t>
      </w:r>
      <w:r w:rsidR="5F2A5724" w:rsidRPr="00EB0229">
        <w:rPr>
          <w:rStyle w:val="normaltextrun"/>
          <w:rFonts w:ascii="Arial" w:hAnsi="Arial" w:cs="Arial"/>
          <w:i/>
          <w:iCs/>
        </w:rPr>
        <w:t xml:space="preserve"> ii)</w:t>
      </w:r>
      <w:r w:rsidR="5F2A5724" w:rsidRPr="00EB0229">
        <w:rPr>
          <w:rStyle w:val="normaltextrun"/>
          <w:rFonts w:ascii="Arial" w:hAnsi="Arial" w:cs="Arial"/>
        </w:rPr>
        <w:t xml:space="preserve"> liquidación y cancelación tienen efectos diferentes. Así, la disolución de la sociedad es el inicio de la extinción de la misma, pero no por ello carece de aptitud legal para asistir como parte demandante o demandada en un proceso, y por ello, la doctrina ha explicado que:</w:t>
      </w:r>
      <w:r w:rsidR="5F2A5724" w:rsidRPr="00EB0229">
        <w:rPr>
          <w:rStyle w:val="eop"/>
          <w:rFonts w:ascii="Arial" w:hAnsi="Arial" w:cs="Arial"/>
        </w:rPr>
        <w:t> </w:t>
      </w:r>
    </w:p>
    <w:p w14:paraId="0AE109D7" w14:textId="77777777" w:rsidR="00A4163C" w:rsidRPr="00EB0229" w:rsidRDefault="5F2A5724" w:rsidP="00EB0229">
      <w:pPr>
        <w:pStyle w:val="paragraph"/>
        <w:spacing w:before="0" w:beforeAutospacing="0" w:after="0" w:afterAutospacing="0" w:line="276" w:lineRule="auto"/>
        <w:jc w:val="both"/>
        <w:textAlignment w:val="baseline"/>
        <w:rPr>
          <w:rFonts w:ascii="Arial" w:hAnsi="Arial" w:cs="Arial"/>
        </w:rPr>
      </w:pPr>
      <w:r w:rsidRPr="00EB0229">
        <w:rPr>
          <w:rStyle w:val="eop"/>
          <w:rFonts w:ascii="Arial" w:hAnsi="Arial" w:cs="Arial"/>
        </w:rPr>
        <w:t> </w:t>
      </w:r>
    </w:p>
    <w:p w14:paraId="76434482" w14:textId="77777777" w:rsidR="00A4163C" w:rsidRPr="00C7555A" w:rsidRDefault="5F2A5724" w:rsidP="00C7555A">
      <w:pPr>
        <w:pStyle w:val="paragraph"/>
        <w:spacing w:before="0" w:beforeAutospacing="0" w:after="0" w:afterAutospacing="0"/>
        <w:ind w:left="426" w:right="420"/>
        <w:jc w:val="both"/>
        <w:textAlignment w:val="baseline"/>
        <w:rPr>
          <w:rFonts w:ascii="Arial" w:hAnsi="Arial" w:cs="Arial"/>
          <w:sz w:val="22"/>
        </w:rPr>
      </w:pPr>
      <w:r w:rsidRPr="00C7555A">
        <w:rPr>
          <w:rStyle w:val="normaltextrun"/>
          <w:rFonts w:ascii="Arial" w:hAnsi="Arial" w:cs="Arial"/>
          <w:sz w:val="22"/>
        </w:rPr>
        <w:t>“</w:t>
      </w:r>
      <w:r w:rsidRPr="00C7555A">
        <w:rPr>
          <w:rStyle w:val="normaltextrun"/>
          <w:rFonts w:ascii="Arial" w:hAnsi="Arial" w:cs="Arial"/>
          <w:i/>
          <w:iCs/>
          <w:sz w:val="22"/>
        </w:rPr>
        <w:t xml:space="preserve">La disolución implica un cercenamiento de su capacidad jurídica porque cesa la vida activa y se inicia una fase en donde la finalidad primordial es realizar los activos para pagar el pasivo externo y luego distribuir el acervo neto. A lo largo de esa fase la sociedad conserva su capacidad jurídica únicamente para los actos conducentes a la liquidación (C. de Co. Art. 222). Su personalidad jurídica subsiste durante toda esta etapa final, pues el ordenamiento mercantil acogió la teoría de la identidad, llamada también de la supervivencia de la sociedad. Conforme a esta teoría la disolución no equivale a la extinción automática de la sociedad. Simplemente ésta concluye su vida activa, a pesar de que frente a los asociados y a tercero persiste como sujeto de derecho con aptitud legal para ser demandante o demandada” </w:t>
      </w:r>
      <w:r w:rsidRPr="00C7555A">
        <w:rPr>
          <w:rStyle w:val="normaltextrun"/>
          <w:rFonts w:ascii="Arial" w:hAnsi="Arial" w:cs="Arial"/>
          <w:sz w:val="22"/>
        </w:rPr>
        <w:t>(pp. 404, Teoría General de las Sociedad, Narváez García, José Ignacio).</w:t>
      </w:r>
      <w:r w:rsidRPr="00C7555A">
        <w:rPr>
          <w:rStyle w:val="eop"/>
          <w:rFonts w:ascii="Arial" w:hAnsi="Arial" w:cs="Arial"/>
          <w:sz w:val="22"/>
        </w:rPr>
        <w:t> </w:t>
      </w:r>
    </w:p>
    <w:p w14:paraId="0DA83367" w14:textId="77777777" w:rsidR="00A4163C" w:rsidRPr="00EB0229" w:rsidRDefault="5F2A5724" w:rsidP="00EB0229">
      <w:pPr>
        <w:pStyle w:val="paragraph"/>
        <w:spacing w:before="0" w:beforeAutospacing="0" w:after="0" w:afterAutospacing="0" w:line="276" w:lineRule="auto"/>
        <w:jc w:val="both"/>
        <w:textAlignment w:val="baseline"/>
        <w:rPr>
          <w:rFonts w:ascii="Arial" w:hAnsi="Arial" w:cs="Arial"/>
        </w:rPr>
      </w:pPr>
      <w:r w:rsidRPr="00EB0229">
        <w:rPr>
          <w:rStyle w:val="eop"/>
          <w:rFonts w:ascii="Arial" w:hAnsi="Arial" w:cs="Arial"/>
        </w:rPr>
        <w:t> </w:t>
      </w:r>
    </w:p>
    <w:p w14:paraId="7C1F6731" w14:textId="2E93F2C0" w:rsidR="00FA0CC8" w:rsidRPr="00EB0229" w:rsidRDefault="5F2A5724" w:rsidP="00EB0229">
      <w:pPr>
        <w:autoSpaceDE w:val="0"/>
        <w:autoSpaceDN w:val="0"/>
        <w:adjustRightInd w:val="0"/>
        <w:spacing w:line="276" w:lineRule="auto"/>
        <w:jc w:val="both"/>
        <w:rPr>
          <w:rFonts w:ascii="Arial" w:eastAsia="Arial" w:hAnsi="Arial" w:cs="Arial"/>
          <w:i/>
          <w:iCs/>
          <w:lang w:val="es-ES"/>
        </w:rPr>
      </w:pPr>
      <w:r w:rsidRPr="00EB0229">
        <w:rPr>
          <w:rFonts w:ascii="Arial" w:eastAsia="Arial" w:hAnsi="Arial" w:cs="Arial"/>
        </w:rPr>
        <w:t xml:space="preserve">Por otro lado, también adujo que </w:t>
      </w:r>
      <w:r w:rsidRPr="00EB0229">
        <w:rPr>
          <w:rStyle w:val="normaltextrun"/>
          <w:rFonts w:ascii="Arial" w:hAnsi="Arial" w:cs="Arial"/>
          <w:color w:val="000000"/>
          <w:bdr w:val="none" w:sz="0" w:space="0" w:color="auto" w:frame="1"/>
          <w:lang w:val="es-ES"/>
        </w:rPr>
        <w:t xml:space="preserve">de conformidad con el artículo 227 del Código de Comercio, mientras no se haga y se registre el nombramiento de liquidadores, </w:t>
      </w:r>
      <w:r w:rsidRPr="00EB0229">
        <w:rPr>
          <w:rStyle w:val="normaltextrun"/>
          <w:rFonts w:ascii="Arial" w:hAnsi="Arial" w:cs="Arial"/>
          <w:color w:val="000000"/>
          <w:bdr w:val="none" w:sz="0" w:space="0" w:color="auto" w:frame="1"/>
          <w:lang w:val="es-ES"/>
        </w:rPr>
        <w:lastRenderedPageBreak/>
        <w:t>actuarán como tales las personas que figuren inscritas en el registro mercantil del domicilio social como representantes de la sociedad; de ahí que los argumentos adicionales de la a quo para dejar sin efectos el mandamiento de pago por el estado de liquidación de la sociedad ejecutada en manera alguna impedían que la ejecutante persiguiera en proceso judicial a la ejecutada y mucho menos que estuviera obligada a solicitar que se nombrara un liquidador, pues ante la ausencia de este, actuará bajo tal calidad el representante legal de la sociedad.</w:t>
      </w:r>
    </w:p>
    <w:p w14:paraId="718A623F" w14:textId="77777777" w:rsidR="00FA0CC8" w:rsidRPr="00EB0229" w:rsidRDefault="00FA0CC8" w:rsidP="00EB0229">
      <w:pPr>
        <w:autoSpaceDE w:val="0"/>
        <w:autoSpaceDN w:val="0"/>
        <w:adjustRightInd w:val="0"/>
        <w:spacing w:line="276" w:lineRule="auto"/>
        <w:jc w:val="both"/>
        <w:rPr>
          <w:rFonts w:ascii="Arial" w:hAnsi="Arial" w:cs="Arial"/>
        </w:rPr>
      </w:pPr>
    </w:p>
    <w:p w14:paraId="62C43E78" w14:textId="77777777" w:rsidR="002106CD" w:rsidRPr="00EB0229" w:rsidRDefault="03052C3B" w:rsidP="00EB0229">
      <w:pPr>
        <w:spacing w:line="276" w:lineRule="auto"/>
        <w:jc w:val="center"/>
        <w:rPr>
          <w:rFonts w:ascii="Arial" w:hAnsi="Arial" w:cs="Arial"/>
          <w:b/>
          <w:bCs/>
        </w:rPr>
      </w:pPr>
      <w:r w:rsidRPr="00EB0229">
        <w:rPr>
          <w:rFonts w:ascii="Arial" w:hAnsi="Arial" w:cs="Arial"/>
          <w:b/>
          <w:bCs/>
        </w:rPr>
        <w:t>CONCLUSIÓN</w:t>
      </w:r>
    </w:p>
    <w:p w14:paraId="1D9D6314" w14:textId="77777777" w:rsidR="002106CD" w:rsidRPr="00EB0229" w:rsidRDefault="002106CD" w:rsidP="00EB0229">
      <w:pPr>
        <w:spacing w:line="276" w:lineRule="auto"/>
        <w:jc w:val="both"/>
        <w:rPr>
          <w:rFonts w:ascii="Arial" w:eastAsia="Arial Unicode MS" w:hAnsi="Arial" w:cs="Arial"/>
        </w:rPr>
      </w:pPr>
    </w:p>
    <w:p w14:paraId="39EEB5CE" w14:textId="6D30207E" w:rsidR="002106CD" w:rsidRPr="00EB0229" w:rsidRDefault="0F8CFC3C" w:rsidP="00EB0229">
      <w:pPr>
        <w:spacing w:line="276" w:lineRule="auto"/>
        <w:jc w:val="both"/>
        <w:rPr>
          <w:rFonts w:ascii="Arial" w:eastAsia="Arial Unicode MS" w:hAnsi="Arial" w:cs="Arial"/>
        </w:rPr>
      </w:pPr>
      <w:r w:rsidRPr="00EB0229">
        <w:rPr>
          <w:rFonts w:ascii="Arial" w:eastAsia="Arial Unicode MS" w:hAnsi="Arial" w:cs="Arial"/>
        </w:rPr>
        <w:t xml:space="preserve">Se confirmará la decisión de primer </w:t>
      </w:r>
      <w:r w:rsidR="5F2A5724" w:rsidRPr="00EB0229">
        <w:rPr>
          <w:rFonts w:ascii="Arial" w:eastAsia="Arial Unicode MS" w:hAnsi="Arial" w:cs="Arial"/>
        </w:rPr>
        <w:t>grado</w:t>
      </w:r>
      <w:r w:rsidRPr="00EB0229">
        <w:rPr>
          <w:rFonts w:ascii="Arial" w:eastAsia="Arial Unicode MS" w:hAnsi="Arial" w:cs="Arial"/>
        </w:rPr>
        <w:t>. Sin costas en esta instancia por no aparecer causadas de conformidad con el numeral 8º del artículo 365 del C.G.P.</w:t>
      </w:r>
    </w:p>
    <w:p w14:paraId="27C5E251" w14:textId="77777777" w:rsidR="00902CF7" w:rsidRPr="00EB0229" w:rsidRDefault="00902CF7" w:rsidP="00EB0229">
      <w:pPr>
        <w:spacing w:line="276" w:lineRule="auto"/>
        <w:jc w:val="both"/>
        <w:rPr>
          <w:rFonts w:ascii="Arial" w:eastAsia="Arial Unicode MS" w:hAnsi="Arial" w:cs="Arial"/>
        </w:rPr>
      </w:pPr>
    </w:p>
    <w:p w14:paraId="15C17AE0" w14:textId="77777777" w:rsidR="00E20B33" w:rsidRPr="00EB0229" w:rsidRDefault="19F50764" w:rsidP="00EB0229">
      <w:pPr>
        <w:autoSpaceDE w:val="0"/>
        <w:autoSpaceDN w:val="0"/>
        <w:adjustRightInd w:val="0"/>
        <w:spacing w:line="276" w:lineRule="auto"/>
        <w:jc w:val="center"/>
        <w:rPr>
          <w:rFonts w:ascii="Arial" w:hAnsi="Arial" w:cs="Arial"/>
          <w:b/>
          <w:bCs/>
          <w:lang w:val="es-ES"/>
        </w:rPr>
      </w:pPr>
      <w:r w:rsidRPr="00EB0229">
        <w:rPr>
          <w:rFonts w:ascii="Arial" w:hAnsi="Arial" w:cs="Arial"/>
          <w:b/>
          <w:bCs/>
          <w:lang w:val="es-ES"/>
        </w:rPr>
        <w:t>DECISIÓN</w:t>
      </w:r>
    </w:p>
    <w:p w14:paraId="3A93B173" w14:textId="77777777" w:rsidR="00E20B33" w:rsidRPr="00EB0229" w:rsidRDefault="00E20B33" w:rsidP="00EB0229">
      <w:pPr>
        <w:spacing w:line="276" w:lineRule="auto"/>
        <w:jc w:val="both"/>
        <w:rPr>
          <w:rFonts w:ascii="Arial" w:hAnsi="Arial" w:cs="Arial"/>
          <w:lang w:val="es-ES"/>
        </w:rPr>
      </w:pPr>
    </w:p>
    <w:p w14:paraId="4F0B6CF5" w14:textId="741AF6A8" w:rsidR="00E20B33" w:rsidRPr="00EB0229" w:rsidRDefault="19F50764" w:rsidP="00EB0229">
      <w:pPr>
        <w:spacing w:line="276" w:lineRule="auto"/>
        <w:jc w:val="both"/>
        <w:rPr>
          <w:rFonts w:ascii="Arial" w:hAnsi="Arial" w:cs="Arial"/>
          <w:lang w:val="es-ES"/>
        </w:rPr>
      </w:pPr>
      <w:r w:rsidRPr="00EB0229">
        <w:rPr>
          <w:rFonts w:ascii="Arial" w:hAnsi="Arial" w:cs="Arial"/>
          <w:lang w:val="es-ES"/>
        </w:rPr>
        <w:t xml:space="preserve">En mérito de lo expuesto, </w:t>
      </w:r>
      <w:r w:rsidRPr="00EB0229">
        <w:rPr>
          <w:rFonts w:ascii="Arial" w:hAnsi="Arial" w:cs="Arial"/>
          <w:b/>
          <w:bCs/>
          <w:lang w:val="es-ES"/>
        </w:rPr>
        <w:t>la Sala</w:t>
      </w:r>
      <w:r w:rsidR="7A6A4E1B" w:rsidRPr="00EB0229">
        <w:rPr>
          <w:rFonts w:ascii="Arial" w:hAnsi="Arial" w:cs="Arial"/>
          <w:b/>
          <w:bCs/>
          <w:lang w:val="es-ES"/>
        </w:rPr>
        <w:t xml:space="preserve"> </w:t>
      </w:r>
      <w:r w:rsidRPr="00EB0229">
        <w:rPr>
          <w:rFonts w:ascii="Arial" w:hAnsi="Arial" w:cs="Arial"/>
          <w:b/>
          <w:bCs/>
          <w:lang w:val="es-ES"/>
        </w:rPr>
        <w:t>de Decisión Laboral del Tribunal Superior de Distrito Judicial de Pereira - Risaralda,</w:t>
      </w:r>
      <w:r w:rsidRPr="00EB0229">
        <w:rPr>
          <w:rFonts w:ascii="Arial" w:hAnsi="Arial" w:cs="Arial"/>
          <w:lang w:val="es-ES"/>
        </w:rPr>
        <w:t xml:space="preserve"> </w:t>
      </w:r>
    </w:p>
    <w:p w14:paraId="045FC73A" w14:textId="77777777" w:rsidR="00E20B33" w:rsidRPr="00EB0229" w:rsidRDefault="00E20B33" w:rsidP="00EB0229">
      <w:pPr>
        <w:spacing w:line="276" w:lineRule="auto"/>
        <w:ind w:firstLine="1404"/>
        <w:jc w:val="center"/>
        <w:rPr>
          <w:rFonts w:ascii="Arial" w:hAnsi="Arial" w:cs="Arial"/>
          <w:b/>
          <w:bCs/>
          <w:lang w:val="es-ES"/>
        </w:rPr>
      </w:pPr>
    </w:p>
    <w:p w14:paraId="696AB5D6" w14:textId="77777777" w:rsidR="00E20B33" w:rsidRPr="00EB0229" w:rsidRDefault="19F50764" w:rsidP="00EB0229">
      <w:pPr>
        <w:spacing w:line="276" w:lineRule="auto"/>
        <w:jc w:val="center"/>
        <w:rPr>
          <w:rFonts w:ascii="Arial" w:hAnsi="Arial" w:cs="Arial"/>
          <w:b/>
          <w:bCs/>
          <w:lang w:val="es-ES"/>
        </w:rPr>
      </w:pPr>
      <w:r w:rsidRPr="00EB0229">
        <w:rPr>
          <w:rFonts w:ascii="Arial" w:hAnsi="Arial" w:cs="Arial"/>
          <w:b/>
          <w:bCs/>
          <w:lang w:val="es-ES"/>
        </w:rPr>
        <w:t>RESUELVE</w:t>
      </w:r>
    </w:p>
    <w:p w14:paraId="3DCED4AB" w14:textId="77777777" w:rsidR="00E20B33" w:rsidRPr="00EB0229" w:rsidRDefault="00E20B33" w:rsidP="00EB0229">
      <w:pPr>
        <w:spacing w:line="276" w:lineRule="auto"/>
        <w:ind w:firstLine="851"/>
        <w:jc w:val="both"/>
        <w:rPr>
          <w:rFonts w:ascii="Arial" w:hAnsi="Arial" w:cs="Arial"/>
          <w:lang w:val="es-ES"/>
        </w:rPr>
      </w:pPr>
    </w:p>
    <w:p w14:paraId="45165318" w14:textId="5EB96B7A" w:rsidR="00A4163C" w:rsidRPr="00EB0229" w:rsidRDefault="19F50764" w:rsidP="00EB0229">
      <w:pPr>
        <w:spacing w:line="276" w:lineRule="auto"/>
        <w:jc w:val="both"/>
        <w:rPr>
          <w:rFonts w:ascii="Arial" w:hAnsi="Arial" w:cs="Arial"/>
        </w:rPr>
      </w:pPr>
      <w:r w:rsidRPr="00EB0229">
        <w:rPr>
          <w:rFonts w:ascii="Arial" w:hAnsi="Arial" w:cs="Arial"/>
          <w:b/>
          <w:bCs/>
          <w:lang w:val="es-ES"/>
        </w:rPr>
        <w:t xml:space="preserve">PRIMERO. </w:t>
      </w:r>
      <w:r w:rsidR="0F8CFC3C" w:rsidRPr="00EB0229">
        <w:rPr>
          <w:rFonts w:ascii="Arial" w:hAnsi="Arial" w:cs="Arial"/>
          <w:b/>
          <w:bCs/>
          <w:lang w:val="es-ES"/>
        </w:rPr>
        <w:t xml:space="preserve">CONFIRMAR </w:t>
      </w:r>
      <w:r w:rsidR="28BAA9FD" w:rsidRPr="00EB0229">
        <w:rPr>
          <w:rFonts w:ascii="Arial" w:hAnsi="Arial" w:cs="Arial"/>
          <w:lang w:val="es-ES"/>
        </w:rPr>
        <w:t xml:space="preserve">el auto </w:t>
      </w:r>
      <w:r w:rsidR="0F8CFC3C" w:rsidRPr="00EB0229">
        <w:rPr>
          <w:rFonts w:ascii="Arial" w:hAnsi="Arial" w:cs="Arial"/>
        </w:rPr>
        <w:t xml:space="preserve">proferido el </w:t>
      </w:r>
      <w:r w:rsidR="5F2A5724" w:rsidRPr="00EB0229">
        <w:rPr>
          <w:rFonts w:ascii="Arial" w:hAnsi="Arial" w:cs="Arial"/>
        </w:rPr>
        <w:t xml:space="preserve">08 de junio de 2023 por el Juzgado Quinto Laboral del Circuito de Pereira, Risaralda, dentro del proceso promovido por el recurrente contra Servicios Especiales Duque y </w:t>
      </w:r>
      <w:r w:rsidR="00C7555A" w:rsidRPr="00EB0229">
        <w:rPr>
          <w:rFonts w:ascii="Arial" w:hAnsi="Arial" w:cs="Arial"/>
        </w:rPr>
        <w:t>Cía.</w:t>
      </w:r>
      <w:r w:rsidR="5F2A5724" w:rsidRPr="00EB0229">
        <w:rPr>
          <w:rFonts w:ascii="Arial" w:hAnsi="Arial" w:cs="Arial"/>
        </w:rPr>
        <w:t xml:space="preserve"> S en C en liquidación. </w:t>
      </w:r>
    </w:p>
    <w:p w14:paraId="047E8EB2" w14:textId="77777777" w:rsidR="00A4163C" w:rsidRPr="00EB0229" w:rsidRDefault="00A4163C" w:rsidP="00EB0229">
      <w:pPr>
        <w:spacing w:line="276" w:lineRule="auto"/>
        <w:jc w:val="both"/>
        <w:rPr>
          <w:rFonts w:ascii="Arial" w:hAnsi="Arial" w:cs="Arial"/>
        </w:rPr>
      </w:pPr>
    </w:p>
    <w:p w14:paraId="4C6AF9E4" w14:textId="503C0F26" w:rsidR="00E20B33" w:rsidRPr="00EB0229" w:rsidRDefault="19F50764" w:rsidP="00EB0229">
      <w:pPr>
        <w:autoSpaceDE w:val="0"/>
        <w:autoSpaceDN w:val="0"/>
        <w:adjustRightInd w:val="0"/>
        <w:spacing w:line="276" w:lineRule="auto"/>
        <w:jc w:val="both"/>
        <w:rPr>
          <w:rFonts w:ascii="Arial" w:hAnsi="Arial" w:cs="Arial"/>
          <w:lang w:val="es-ES"/>
        </w:rPr>
      </w:pPr>
      <w:r w:rsidRPr="00EB0229">
        <w:rPr>
          <w:rFonts w:ascii="Arial" w:hAnsi="Arial" w:cs="Arial"/>
          <w:b/>
          <w:bCs/>
          <w:lang w:val="es-ES"/>
        </w:rPr>
        <w:t>SEGUNDO. DEVOLVER</w:t>
      </w:r>
      <w:r w:rsidRPr="00EB0229">
        <w:rPr>
          <w:rFonts w:ascii="Arial" w:hAnsi="Arial" w:cs="Arial"/>
          <w:lang w:val="es-ES"/>
        </w:rPr>
        <w:t xml:space="preserve"> el expediente al juzgado de origen una vez alcance ejecutoria esta decisión.</w:t>
      </w:r>
    </w:p>
    <w:p w14:paraId="3F018582" w14:textId="13E8F479" w:rsidR="00E20B33" w:rsidRPr="00EB0229" w:rsidRDefault="00E20B33" w:rsidP="00EB0229">
      <w:pPr>
        <w:autoSpaceDE w:val="0"/>
        <w:autoSpaceDN w:val="0"/>
        <w:adjustRightInd w:val="0"/>
        <w:spacing w:line="276" w:lineRule="auto"/>
        <w:jc w:val="both"/>
        <w:rPr>
          <w:rFonts w:ascii="Arial" w:hAnsi="Arial" w:cs="Arial"/>
          <w:lang w:val="es-ES"/>
        </w:rPr>
      </w:pPr>
    </w:p>
    <w:p w14:paraId="2944BDEE" w14:textId="68234B4B" w:rsidR="00C94138" w:rsidRPr="00EB0229" w:rsidRDefault="00C94138" w:rsidP="00EB0229">
      <w:pPr>
        <w:widowControl w:val="0"/>
        <w:autoSpaceDE w:val="0"/>
        <w:autoSpaceDN w:val="0"/>
        <w:adjustRightInd w:val="0"/>
        <w:spacing w:line="276" w:lineRule="auto"/>
        <w:jc w:val="both"/>
        <w:rPr>
          <w:rFonts w:ascii="Arial" w:eastAsia="Arial" w:hAnsi="Arial" w:cs="Arial"/>
          <w:lang w:val="es-ES"/>
        </w:rPr>
      </w:pPr>
      <w:r w:rsidRPr="00EB0229">
        <w:rPr>
          <w:rFonts w:ascii="Arial" w:eastAsia="Arial" w:hAnsi="Arial" w:cs="Arial"/>
          <w:b/>
          <w:bCs/>
          <w:lang w:val="es-ES"/>
        </w:rPr>
        <w:t xml:space="preserve">TERCERO. </w:t>
      </w:r>
      <w:r w:rsidRPr="00EB0229">
        <w:rPr>
          <w:rFonts w:ascii="Arial" w:eastAsia="Arial" w:hAnsi="Arial" w:cs="Arial"/>
          <w:lang w:val="es-ES"/>
        </w:rPr>
        <w:t>Sin costas por lo expuesto.</w:t>
      </w:r>
      <w:r w:rsidRPr="00EB0229">
        <w:rPr>
          <w:rFonts w:ascii="Arial" w:eastAsia="Arial" w:hAnsi="Arial" w:cs="Arial"/>
          <w:b/>
          <w:bCs/>
          <w:lang w:val="es-ES"/>
        </w:rPr>
        <w:t xml:space="preserve"> </w:t>
      </w:r>
    </w:p>
    <w:p w14:paraId="386B925C" w14:textId="77777777" w:rsidR="00E20B33" w:rsidRPr="00EB0229" w:rsidRDefault="19F50764" w:rsidP="00EB0229">
      <w:pPr>
        <w:spacing w:line="276" w:lineRule="auto"/>
        <w:contextualSpacing/>
        <w:jc w:val="both"/>
        <w:rPr>
          <w:rFonts w:ascii="Arial" w:hAnsi="Arial" w:cs="Arial"/>
          <w:color w:val="000000" w:themeColor="text1"/>
        </w:rPr>
      </w:pPr>
      <w:r w:rsidRPr="00EB0229">
        <w:rPr>
          <w:rFonts w:ascii="Arial" w:hAnsi="Arial" w:cs="Arial"/>
          <w:b/>
          <w:bCs/>
          <w:lang w:val="es-ES"/>
        </w:rPr>
        <w:t xml:space="preserve"> </w:t>
      </w:r>
    </w:p>
    <w:p w14:paraId="11DAADDD" w14:textId="5AF3A218" w:rsidR="00E20B33" w:rsidRDefault="007E490A" w:rsidP="00EB0229">
      <w:pPr>
        <w:widowControl w:val="0"/>
        <w:autoSpaceDE w:val="0"/>
        <w:autoSpaceDN w:val="0"/>
        <w:adjustRightInd w:val="0"/>
        <w:spacing w:line="276" w:lineRule="auto"/>
        <w:contextualSpacing/>
        <w:rPr>
          <w:rFonts w:ascii="Arial" w:hAnsi="Arial" w:cs="Arial"/>
          <w:bCs/>
          <w:color w:val="000000" w:themeColor="text1"/>
        </w:rPr>
      </w:pPr>
      <w:r>
        <w:rPr>
          <w:rFonts w:ascii="Arial" w:hAnsi="Arial" w:cs="Arial"/>
          <w:b/>
          <w:bCs/>
          <w:color w:val="000000" w:themeColor="text1"/>
        </w:rPr>
        <w:t>NOTIFÍQUESE Y CÚMPLASE</w:t>
      </w:r>
    </w:p>
    <w:p w14:paraId="4F9E4E48" w14:textId="59EFA78C" w:rsidR="007E490A" w:rsidRDefault="007E490A" w:rsidP="00EB0229">
      <w:pPr>
        <w:widowControl w:val="0"/>
        <w:autoSpaceDE w:val="0"/>
        <w:autoSpaceDN w:val="0"/>
        <w:adjustRightInd w:val="0"/>
        <w:spacing w:line="276" w:lineRule="auto"/>
        <w:contextualSpacing/>
        <w:rPr>
          <w:rFonts w:ascii="Arial" w:hAnsi="Arial" w:cs="Arial"/>
          <w:bCs/>
          <w:color w:val="000000" w:themeColor="text1"/>
        </w:rPr>
      </w:pPr>
    </w:p>
    <w:p w14:paraId="59FB91C1" w14:textId="7BA6D780" w:rsidR="007E490A" w:rsidRPr="007E490A" w:rsidRDefault="007E490A" w:rsidP="00EB0229">
      <w:pPr>
        <w:widowControl w:val="0"/>
        <w:autoSpaceDE w:val="0"/>
        <w:autoSpaceDN w:val="0"/>
        <w:adjustRightInd w:val="0"/>
        <w:spacing w:line="276" w:lineRule="auto"/>
        <w:contextualSpacing/>
        <w:rPr>
          <w:rFonts w:ascii="Arial" w:hAnsi="Arial" w:cs="Arial"/>
          <w:bCs/>
          <w:color w:val="000000" w:themeColor="text1"/>
        </w:rPr>
      </w:pPr>
      <w:r>
        <w:rPr>
          <w:rFonts w:ascii="Arial" w:hAnsi="Arial" w:cs="Arial"/>
          <w:bCs/>
          <w:color w:val="000000" w:themeColor="text1"/>
        </w:rPr>
        <w:t>Los Magistrados,</w:t>
      </w:r>
    </w:p>
    <w:p w14:paraId="6C921DF0" w14:textId="3C936112" w:rsidR="00FF625C" w:rsidRPr="00AA377F" w:rsidRDefault="00FF625C" w:rsidP="00AA377F">
      <w:pPr>
        <w:widowControl w:val="0"/>
        <w:autoSpaceDE w:val="0"/>
        <w:autoSpaceDN w:val="0"/>
        <w:adjustRightInd w:val="0"/>
        <w:spacing w:line="276" w:lineRule="auto"/>
        <w:contextualSpacing/>
        <w:rPr>
          <w:rFonts w:ascii="Arial" w:hAnsi="Arial" w:cs="Arial"/>
          <w:bCs/>
          <w:color w:val="000000" w:themeColor="text1"/>
        </w:rPr>
      </w:pPr>
    </w:p>
    <w:p w14:paraId="7CFFC421" w14:textId="05A0BD5A" w:rsidR="00FF625C" w:rsidRDefault="00FF625C" w:rsidP="00AA377F">
      <w:pPr>
        <w:widowControl w:val="0"/>
        <w:autoSpaceDE w:val="0"/>
        <w:autoSpaceDN w:val="0"/>
        <w:adjustRightInd w:val="0"/>
        <w:spacing w:line="276" w:lineRule="auto"/>
        <w:contextualSpacing/>
        <w:rPr>
          <w:rFonts w:ascii="Arial" w:hAnsi="Arial" w:cs="Arial"/>
          <w:bCs/>
          <w:color w:val="000000" w:themeColor="text1"/>
        </w:rPr>
      </w:pPr>
    </w:p>
    <w:p w14:paraId="028CDAE6" w14:textId="77777777" w:rsidR="00AA377F" w:rsidRPr="00AA377F" w:rsidRDefault="00AA377F" w:rsidP="00AA377F">
      <w:pPr>
        <w:widowControl w:val="0"/>
        <w:autoSpaceDE w:val="0"/>
        <w:autoSpaceDN w:val="0"/>
        <w:adjustRightInd w:val="0"/>
        <w:spacing w:line="276" w:lineRule="auto"/>
        <w:contextualSpacing/>
        <w:rPr>
          <w:rFonts w:ascii="Arial" w:hAnsi="Arial" w:cs="Arial"/>
          <w:bCs/>
          <w:color w:val="000000" w:themeColor="text1"/>
        </w:rPr>
      </w:pPr>
    </w:p>
    <w:p w14:paraId="0D4CB3FB" w14:textId="7E843349" w:rsidR="00805DEC" w:rsidRPr="00EB0229" w:rsidRDefault="674F20F9" w:rsidP="00EB0229">
      <w:pPr>
        <w:widowControl w:val="0"/>
        <w:autoSpaceDE w:val="0"/>
        <w:autoSpaceDN w:val="0"/>
        <w:adjustRightInd w:val="0"/>
        <w:spacing w:line="276" w:lineRule="auto"/>
        <w:contextualSpacing/>
        <w:jc w:val="center"/>
        <w:rPr>
          <w:rFonts w:ascii="Arial" w:hAnsi="Arial" w:cs="Arial"/>
          <w:b/>
          <w:bCs/>
          <w:color w:val="000000" w:themeColor="text1"/>
          <w:lang w:val="es-ES"/>
        </w:rPr>
      </w:pPr>
      <w:r w:rsidRPr="00EB0229">
        <w:rPr>
          <w:rFonts w:ascii="Arial" w:hAnsi="Arial" w:cs="Arial"/>
          <w:b/>
          <w:bCs/>
          <w:color w:val="000000" w:themeColor="text1"/>
          <w:lang w:val="es-ES"/>
        </w:rPr>
        <w:t>OLGA LUCÍA HOYOS SEPÚLVEDA</w:t>
      </w:r>
    </w:p>
    <w:p w14:paraId="30B07E04" w14:textId="77777777" w:rsidR="00957FF7" w:rsidRPr="00AA377F" w:rsidRDefault="00957FF7" w:rsidP="00AA377F">
      <w:pPr>
        <w:widowControl w:val="0"/>
        <w:autoSpaceDE w:val="0"/>
        <w:autoSpaceDN w:val="0"/>
        <w:adjustRightInd w:val="0"/>
        <w:spacing w:line="276" w:lineRule="auto"/>
        <w:contextualSpacing/>
        <w:rPr>
          <w:rFonts w:ascii="Arial" w:hAnsi="Arial" w:cs="Arial"/>
          <w:bCs/>
          <w:color w:val="000000" w:themeColor="text1"/>
        </w:rPr>
      </w:pPr>
    </w:p>
    <w:p w14:paraId="3C950460" w14:textId="6C798389" w:rsidR="00FF625C" w:rsidRPr="00AA377F" w:rsidRDefault="00FF625C" w:rsidP="00AA377F">
      <w:pPr>
        <w:widowControl w:val="0"/>
        <w:autoSpaceDE w:val="0"/>
        <w:autoSpaceDN w:val="0"/>
        <w:adjustRightInd w:val="0"/>
        <w:spacing w:line="276" w:lineRule="auto"/>
        <w:contextualSpacing/>
        <w:rPr>
          <w:rFonts w:ascii="Arial" w:hAnsi="Arial" w:cs="Arial"/>
          <w:bCs/>
          <w:color w:val="000000" w:themeColor="text1"/>
        </w:rPr>
      </w:pPr>
    </w:p>
    <w:p w14:paraId="0CB80D38" w14:textId="77777777" w:rsidR="00AA377F" w:rsidRPr="00AA377F" w:rsidRDefault="00AA377F" w:rsidP="00AA377F">
      <w:pPr>
        <w:widowControl w:val="0"/>
        <w:autoSpaceDE w:val="0"/>
        <w:autoSpaceDN w:val="0"/>
        <w:adjustRightInd w:val="0"/>
        <w:spacing w:line="276" w:lineRule="auto"/>
        <w:contextualSpacing/>
        <w:rPr>
          <w:rFonts w:ascii="Arial" w:hAnsi="Arial" w:cs="Arial"/>
          <w:bCs/>
          <w:color w:val="000000" w:themeColor="text1"/>
        </w:rPr>
      </w:pPr>
    </w:p>
    <w:p w14:paraId="2CA12FC3" w14:textId="7DDF3B16" w:rsidR="00FF625C" w:rsidRPr="00EB0229" w:rsidRDefault="674F20F9" w:rsidP="00EB0229">
      <w:pPr>
        <w:widowControl w:val="0"/>
        <w:autoSpaceDE w:val="0"/>
        <w:autoSpaceDN w:val="0"/>
        <w:adjustRightInd w:val="0"/>
        <w:spacing w:line="276" w:lineRule="auto"/>
        <w:contextualSpacing/>
        <w:jc w:val="center"/>
        <w:rPr>
          <w:rFonts w:ascii="Arial" w:hAnsi="Arial" w:cs="Arial"/>
          <w:b/>
          <w:bCs/>
          <w:color w:val="000000" w:themeColor="text1"/>
          <w:lang w:val="es-ES"/>
        </w:rPr>
      </w:pPr>
      <w:r w:rsidRPr="00EB0229">
        <w:rPr>
          <w:rFonts w:ascii="Arial" w:hAnsi="Arial" w:cs="Arial"/>
          <w:b/>
          <w:bCs/>
          <w:color w:val="000000" w:themeColor="text1"/>
          <w:lang w:val="es-ES"/>
        </w:rPr>
        <w:t>JULIO CÉSAR SALAZAR MUÑOZ</w:t>
      </w:r>
    </w:p>
    <w:p w14:paraId="77EAC0D0" w14:textId="63F928E3" w:rsidR="00957FF7" w:rsidRPr="00AA377F" w:rsidRDefault="00957FF7" w:rsidP="00AA377F">
      <w:pPr>
        <w:widowControl w:val="0"/>
        <w:autoSpaceDE w:val="0"/>
        <w:autoSpaceDN w:val="0"/>
        <w:adjustRightInd w:val="0"/>
        <w:spacing w:line="276" w:lineRule="auto"/>
        <w:contextualSpacing/>
        <w:rPr>
          <w:rFonts w:ascii="Arial" w:hAnsi="Arial" w:cs="Arial"/>
          <w:bCs/>
          <w:color w:val="000000" w:themeColor="text1"/>
        </w:rPr>
      </w:pPr>
    </w:p>
    <w:p w14:paraId="68A26687" w14:textId="77777777" w:rsidR="00AA377F" w:rsidRPr="00AA377F" w:rsidRDefault="00AA377F" w:rsidP="00AA377F">
      <w:pPr>
        <w:widowControl w:val="0"/>
        <w:autoSpaceDE w:val="0"/>
        <w:autoSpaceDN w:val="0"/>
        <w:adjustRightInd w:val="0"/>
        <w:spacing w:line="276" w:lineRule="auto"/>
        <w:contextualSpacing/>
        <w:rPr>
          <w:rFonts w:ascii="Arial" w:hAnsi="Arial" w:cs="Arial"/>
          <w:bCs/>
          <w:color w:val="000000" w:themeColor="text1"/>
        </w:rPr>
      </w:pPr>
    </w:p>
    <w:p w14:paraId="114ABE40" w14:textId="77777777" w:rsidR="00FF625C" w:rsidRPr="00AA377F" w:rsidRDefault="00FF625C" w:rsidP="00AA377F">
      <w:pPr>
        <w:widowControl w:val="0"/>
        <w:autoSpaceDE w:val="0"/>
        <w:autoSpaceDN w:val="0"/>
        <w:adjustRightInd w:val="0"/>
        <w:spacing w:line="276" w:lineRule="auto"/>
        <w:contextualSpacing/>
        <w:rPr>
          <w:rFonts w:ascii="Arial" w:hAnsi="Arial" w:cs="Arial"/>
          <w:bCs/>
          <w:color w:val="000000" w:themeColor="text1"/>
        </w:rPr>
      </w:pPr>
    </w:p>
    <w:p w14:paraId="1E5C21A0" w14:textId="0CC046A8" w:rsidR="00FF625C" w:rsidRPr="00EB0229" w:rsidRDefault="0F8CFC3C" w:rsidP="00EB0229">
      <w:pPr>
        <w:widowControl w:val="0"/>
        <w:autoSpaceDE w:val="0"/>
        <w:autoSpaceDN w:val="0"/>
        <w:adjustRightInd w:val="0"/>
        <w:spacing w:line="276" w:lineRule="auto"/>
        <w:contextualSpacing/>
        <w:jc w:val="center"/>
        <w:rPr>
          <w:rFonts w:ascii="Arial" w:hAnsi="Arial" w:cs="Arial"/>
          <w:b/>
          <w:bCs/>
          <w:color w:val="000000" w:themeColor="text1"/>
          <w:lang w:val="es-ES"/>
        </w:rPr>
      </w:pPr>
      <w:r w:rsidRPr="00EB0229">
        <w:rPr>
          <w:rFonts w:ascii="Arial" w:hAnsi="Arial" w:cs="Arial"/>
          <w:b/>
          <w:bCs/>
          <w:color w:val="000000" w:themeColor="text1"/>
          <w:lang w:val="es-ES"/>
        </w:rPr>
        <w:t>ANA LUCÍA CAICEDO CALDERÓN</w:t>
      </w:r>
    </w:p>
    <w:p w14:paraId="18C75EFB" w14:textId="2F576AAB" w:rsidR="00EB0229" w:rsidRPr="00EB0229" w:rsidRDefault="00EB0229" w:rsidP="00EB0229">
      <w:pPr>
        <w:widowControl w:val="0"/>
        <w:spacing w:line="276" w:lineRule="auto"/>
        <w:contextualSpacing/>
        <w:jc w:val="center"/>
        <w:rPr>
          <w:rFonts w:ascii="Arial" w:hAnsi="Arial" w:cs="Arial"/>
          <w:bCs/>
          <w:color w:val="000000" w:themeColor="text1"/>
          <w:lang w:val="es-ES"/>
        </w:rPr>
      </w:pPr>
      <w:r>
        <w:rPr>
          <w:rFonts w:ascii="Arial" w:hAnsi="Arial" w:cs="Arial"/>
          <w:bCs/>
          <w:color w:val="000000" w:themeColor="text1"/>
          <w:lang w:val="es-ES"/>
        </w:rPr>
        <w:t>Con salvamento de voto</w:t>
      </w:r>
    </w:p>
    <w:sectPr w:rsidR="00EB0229" w:rsidRPr="00EB0229" w:rsidSect="00EB0229">
      <w:headerReference w:type="default" r:id="rId12"/>
      <w:footerReference w:type="default" r:id="rId13"/>
      <w:pgSz w:w="12242" w:h="18722" w:code="258"/>
      <w:pgMar w:top="1871" w:right="1304" w:bottom="1304" w:left="187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02200" w14:textId="77777777" w:rsidR="00AD6BDB" w:rsidRDefault="00AD6BDB" w:rsidP="00E20B33">
      <w:r>
        <w:separator/>
      </w:r>
    </w:p>
  </w:endnote>
  <w:endnote w:type="continuationSeparator" w:id="0">
    <w:p w14:paraId="2DD50AFA" w14:textId="77777777" w:rsidR="00AD6BDB" w:rsidRDefault="00AD6BDB" w:rsidP="00E2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3CF2" w14:textId="11DEDB74" w:rsidR="00B95273" w:rsidRPr="00B35C0A" w:rsidRDefault="00020B0D">
    <w:pPr>
      <w:pStyle w:val="Piedepgina"/>
      <w:jc w:val="right"/>
      <w:rPr>
        <w:rFonts w:ascii="Arial" w:hAnsi="Arial" w:cs="Arial"/>
        <w:sz w:val="18"/>
        <w:szCs w:val="18"/>
      </w:rPr>
    </w:pPr>
    <w:r w:rsidRPr="00B35C0A">
      <w:rPr>
        <w:rFonts w:ascii="Arial" w:hAnsi="Arial" w:cs="Arial"/>
        <w:sz w:val="18"/>
        <w:szCs w:val="18"/>
      </w:rPr>
      <w:fldChar w:fldCharType="begin"/>
    </w:r>
    <w:r w:rsidRPr="00B35C0A">
      <w:rPr>
        <w:rFonts w:ascii="Arial" w:hAnsi="Arial" w:cs="Arial"/>
        <w:sz w:val="18"/>
        <w:szCs w:val="18"/>
      </w:rPr>
      <w:instrText xml:space="preserve"> PAGE   \* MERGEFORMAT </w:instrText>
    </w:r>
    <w:r w:rsidRPr="00B35C0A">
      <w:rPr>
        <w:rFonts w:ascii="Arial" w:hAnsi="Arial" w:cs="Arial"/>
        <w:sz w:val="18"/>
        <w:szCs w:val="18"/>
      </w:rPr>
      <w:fldChar w:fldCharType="separate"/>
    </w:r>
    <w:r w:rsidR="00557E1A">
      <w:rPr>
        <w:rFonts w:ascii="Arial" w:hAnsi="Arial" w:cs="Arial"/>
        <w:noProof/>
        <w:sz w:val="18"/>
        <w:szCs w:val="18"/>
      </w:rPr>
      <w:t>2</w:t>
    </w:r>
    <w:r w:rsidRPr="00B35C0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87C4B" w14:textId="77777777" w:rsidR="00AD6BDB" w:rsidRDefault="00AD6BDB" w:rsidP="00E20B33">
      <w:r>
        <w:separator/>
      </w:r>
    </w:p>
  </w:footnote>
  <w:footnote w:type="continuationSeparator" w:id="0">
    <w:p w14:paraId="693AF8E0" w14:textId="77777777" w:rsidR="00AD6BDB" w:rsidRDefault="00AD6BDB" w:rsidP="00E20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6F31" w14:textId="3425979C" w:rsidR="00582E50" w:rsidRDefault="00582E50" w:rsidP="005B6469">
    <w:pPr>
      <w:pStyle w:val="Encabezado"/>
      <w:jc w:val="center"/>
      <w:rPr>
        <w:rFonts w:ascii="Arial" w:hAnsi="Arial" w:cs="Arial"/>
        <w:sz w:val="18"/>
        <w:szCs w:val="18"/>
        <w:lang w:val="es-ES"/>
      </w:rPr>
    </w:pPr>
    <w:r>
      <w:rPr>
        <w:rFonts w:ascii="Arial" w:hAnsi="Arial" w:cs="Arial"/>
        <w:sz w:val="18"/>
        <w:szCs w:val="18"/>
        <w:lang w:val="es-ES"/>
      </w:rPr>
      <w:t>Ejecutivo Laboral</w:t>
    </w:r>
  </w:p>
  <w:p w14:paraId="3A5CF468" w14:textId="6AAFE66D" w:rsidR="00B95273" w:rsidRPr="009B65F9" w:rsidRDefault="00871C0F" w:rsidP="005B6469">
    <w:pPr>
      <w:pStyle w:val="Encabezado"/>
      <w:jc w:val="center"/>
      <w:rPr>
        <w:rFonts w:ascii="Arial" w:hAnsi="Arial" w:cs="Arial"/>
        <w:sz w:val="18"/>
        <w:szCs w:val="18"/>
        <w:lang w:val="es-ES"/>
      </w:rPr>
    </w:pPr>
    <w:r>
      <w:rPr>
        <w:rFonts w:ascii="Arial" w:hAnsi="Arial" w:cs="Arial"/>
        <w:sz w:val="18"/>
        <w:szCs w:val="18"/>
        <w:lang w:val="es-ES"/>
      </w:rPr>
      <w:t>P</w:t>
    </w:r>
    <w:r w:rsidR="00F35D51">
      <w:rPr>
        <w:rFonts w:ascii="Arial" w:hAnsi="Arial" w:cs="Arial"/>
        <w:sz w:val="18"/>
        <w:szCs w:val="18"/>
        <w:lang w:val="es-ES"/>
      </w:rPr>
      <w:t>orvenir</w:t>
    </w:r>
    <w:r w:rsidR="00C94138">
      <w:rPr>
        <w:rFonts w:ascii="Arial" w:hAnsi="Arial" w:cs="Arial"/>
        <w:sz w:val="18"/>
        <w:szCs w:val="18"/>
        <w:lang w:val="es-ES"/>
      </w:rPr>
      <w:t xml:space="preserve"> S.A.</w:t>
    </w:r>
    <w:r w:rsidR="00805DEC">
      <w:rPr>
        <w:rFonts w:ascii="Arial" w:hAnsi="Arial" w:cs="Arial"/>
        <w:sz w:val="18"/>
        <w:szCs w:val="18"/>
        <w:lang w:val="es-ES"/>
      </w:rPr>
      <w:t xml:space="preserve"> </w:t>
    </w:r>
    <w:r w:rsidR="00020B0D">
      <w:rPr>
        <w:rFonts w:ascii="Arial" w:hAnsi="Arial" w:cs="Arial"/>
        <w:sz w:val="18"/>
        <w:szCs w:val="18"/>
        <w:lang w:val="es-ES"/>
      </w:rPr>
      <w:t xml:space="preserve">vs </w:t>
    </w:r>
    <w:r w:rsidR="00F35D51">
      <w:rPr>
        <w:rFonts w:ascii="Arial" w:hAnsi="Arial" w:cs="Arial"/>
        <w:sz w:val="18"/>
        <w:szCs w:val="18"/>
        <w:lang w:val="es-ES"/>
      </w:rPr>
      <w:t xml:space="preserve">Servicios Especiales Duque y </w:t>
    </w:r>
    <w:r w:rsidR="00B35C0A">
      <w:rPr>
        <w:rFonts w:ascii="Arial" w:hAnsi="Arial" w:cs="Arial"/>
        <w:sz w:val="18"/>
        <w:szCs w:val="18"/>
        <w:lang w:val="es-ES"/>
      </w:rPr>
      <w:t xml:space="preserve">Cía. </w:t>
    </w:r>
    <w:r w:rsidR="00F35D51">
      <w:rPr>
        <w:rFonts w:ascii="Arial" w:hAnsi="Arial" w:cs="Arial"/>
        <w:sz w:val="18"/>
        <w:szCs w:val="18"/>
        <w:lang w:val="es-ES"/>
      </w:rPr>
      <w:t xml:space="preserve">S. en C en </w:t>
    </w:r>
    <w:r w:rsidR="00B35C0A">
      <w:rPr>
        <w:rFonts w:ascii="Arial" w:hAnsi="Arial" w:cs="Arial"/>
        <w:sz w:val="18"/>
        <w:szCs w:val="18"/>
        <w:lang w:val="es-ES"/>
      </w:rPr>
      <w:t xml:space="preserve">Liquidación </w:t>
    </w:r>
  </w:p>
  <w:p w14:paraId="1B191426" w14:textId="12823A1D" w:rsidR="00B95273" w:rsidRPr="009B65F9" w:rsidRDefault="00020B0D" w:rsidP="005B6469">
    <w:pPr>
      <w:pStyle w:val="Encabezado"/>
      <w:jc w:val="center"/>
      <w:rPr>
        <w:rFonts w:ascii="Arial" w:hAnsi="Arial" w:cs="Arial"/>
        <w:sz w:val="18"/>
        <w:szCs w:val="18"/>
        <w:lang w:val="es-ES"/>
      </w:rPr>
    </w:pPr>
    <w:r>
      <w:rPr>
        <w:rFonts w:ascii="Arial" w:hAnsi="Arial" w:cs="Arial"/>
        <w:sz w:val="18"/>
        <w:szCs w:val="18"/>
        <w:lang w:val="es-ES"/>
      </w:rPr>
      <w:t>Radicado 66</w:t>
    </w:r>
    <w:r w:rsidR="00F96B06">
      <w:rPr>
        <w:rFonts w:ascii="Arial" w:hAnsi="Arial" w:cs="Arial"/>
        <w:sz w:val="18"/>
        <w:szCs w:val="18"/>
        <w:lang w:val="es-ES"/>
      </w:rPr>
      <w:t>001</w:t>
    </w:r>
    <w:r>
      <w:rPr>
        <w:rFonts w:ascii="Arial" w:hAnsi="Arial" w:cs="Arial"/>
        <w:sz w:val="18"/>
        <w:szCs w:val="18"/>
        <w:lang w:val="es-ES"/>
      </w:rPr>
      <w:t>-31-</w:t>
    </w:r>
    <w:r w:rsidR="00F96B06">
      <w:rPr>
        <w:rFonts w:ascii="Arial" w:hAnsi="Arial" w:cs="Arial"/>
        <w:sz w:val="18"/>
        <w:szCs w:val="18"/>
        <w:lang w:val="es-ES"/>
      </w:rPr>
      <w:t>05</w:t>
    </w:r>
    <w:r>
      <w:rPr>
        <w:rFonts w:ascii="Arial" w:hAnsi="Arial" w:cs="Arial"/>
        <w:sz w:val="18"/>
        <w:szCs w:val="18"/>
        <w:lang w:val="es-ES"/>
      </w:rPr>
      <w:t>-00</w:t>
    </w:r>
    <w:r w:rsidR="00F35D51">
      <w:rPr>
        <w:rFonts w:ascii="Arial" w:hAnsi="Arial" w:cs="Arial"/>
        <w:sz w:val="18"/>
        <w:szCs w:val="18"/>
        <w:lang w:val="es-ES"/>
      </w:rPr>
      <w:t>5</w:t>
    </w:r>
    <w:r w:rsidRPr="009B65F9">
      <w:rPr>
        <w:rFonts w:ascii="Arial" w:hAnsi="Arial" w:cs="Arial"/>
        <w:sz w:val="18"/>
        <w:szCs w:val="18"/>
        <w:lang w:val="es-ES"/>
      </w:rPr>
      <w:t>-20</w:t>
    </w:r>
    <w:r w:rsidR="00F35D51">
      <w:rPr>
        <w:rFonts w:ascii="Arial" w:hAnsi="Arial" w:cs="Arial"/>
        <w:sz w:val="18"/>
        <w:szCs w:val="18"/>
        <w:lang w:val="es-ES"/>
      </w:rPr>
      <w:t>18</w:t>
    </w:r>
    <w:r w:rsidRPr="009B65F9">
      <w:rPr>
        <w:rFonts w:ascii="Arial" w:hAnsi="Arial" w:cs="Arial"/>
        <w:sz w:val="18"/>
        <w:szCs w:val="18"/>
        <w:lang w:val="es-ES"/>
      </w:rPr>
      <w:t>-00</w:t>
    </w:r>
    <w:r w:rsidR="00F35D51">
      <w:rPr>
        <w:rFonts w:ascii="Arial" w:hAnsi="Arial" w:cs="Arial"/>
        <w:sz w:val="18"/>
        <w:szCs w:val="18"/>
        <w:lang w:val="es-ES"/>
      </w:rPr>
      <w:t>144</w:t>
    </w:r>
    <w:r w:rsidRPr="009B65F9">
      <w:rPr>
        <w:rFonts w:ascii="Arial" w:hAnsi="Arial" w:cs="Arial"/>
        <w:sz w:val="18"/>
        <w:szCs w:val="18"/>
        <w:lang w:val="es-ES"/>
      </w:rPr>
      <w:t>-0</w:t>
    </w:r>
    <w:r w:rsidR="00F96B06">
      <w:rPr>
        <w:rFonts w:ascii="Arial" w:hAnsi="Arial" w:cs="Arial"/>
        <w:sz w:val="18"/>
        <w:szCs w:val="18"/>
        <w:lang w:val="es-ES"/>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017"/>
    <w:multiLevelType w:val="multilevel"/>
    <w:tmpl w:val="34CA9654"/>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 w15:restartNumberingAfterBreak="0">
    <w:nsid w:val="09D430CF"/>
    <w:multiLevelType w:val="hybridMultilevel"/>
    <w:tmpl w:val="17E03808"/>
    <w:lvl w:ilvl="0" w:tplc="14206058">
      <w:start w:val="1"/>
      <w:numFmt w:val="decimal"/>
      <w:lvlText w:val="%1."/>
      <w:lvlJc w:val="left"/>
      <w:pPr>
        <w:ind w:left="720" w:hanging="360"/>
      </w:pPr>
      <w:rPr>
        <w:b/>
      </w:rPr>
    </w:lvl>
    <w:lvl w:ilvl="1" w:tplc="CB4CDF2A">
      <w:start w:val="1"/>
      <w:numFmt w:val="lowerLetter"/>
      <w:lvlText w:val="%2."/>
      <w:lvlJc w:val="left"/>
      <w:pPr>
        <w:ind w:left="1440" w:hanging="360"/>
      </w:pPr>
    </w:lvl>
    <w:lvl w:ilvl="2" w:tplc="CD20E204">
      <w:start w:val="1"/>
      <w:numFmt w:val="lowerRoman"/>
      <w:lvlText w:val="%3."/>
      <w:lvlJc w:val="right"/>
      <w:pPr>
        <w:ind w:left="2160" w:hanging="180"/>
      </w:pPr>
    </w:lvl>
    <w:lvl w:ilvl="3" w:tplc="6F56A384">
      <w:start w:val="1"/>
      <w:numFmt w:val="decimal"/>
      <w:lvlText w:val="%4."/>
      <w:lvlJc w:val="left"/>
      <w:pPr>
        <w:ind w:left="2880" w:hanging="360"/>
      </w:pPr>
    </w:lvl>
    <w:lvl w:ilvl="4" w:tplc="AC3AAC48">
      <w:start w:val="1"/>
      <w:numFmt w:val="lowerLetter"/>
      <w:lvlText w:val="%5."/>
      <w:lvlJc w:val="left"/>
      <w:pPr>
        <w:ind w:left="3600" w:hanging="360"/>
      </w:pPr>
    </w:lvl>
    <w:lvl w:ilvl="5" w:tplc="DCF664FA">
      <w:start w:val="1"/>
      <w:numFmt w:val="lowerRoman"/>
      <w:lvlText w:val="%6."/>
      <w:lvlJc w:val="right"/>
      <w:pPr>
        <w:ind w:left="4320" w:hanging="180"/>
      </w:pPr>
    </w:lvl>
    <w:lvl w:ilvl="6" w:tplc="6748B464">
      <w:start w:val="1"/>
      <w:numFmt w:val="decimal"/>
      <w:lvlText w:val="%7."/>
      <w:lvlJc w:val="left"/>
      <w:pPr>
        <w:ind w:left="5040" w:hanging="360"/>
      </w:pPr>
    </w:lvl>
    <w:lvl w:ilvl="7" w:tplc="E160C9CA">
      <w:start w:val="1"/>
      <w:numFmt w:val="lowerLetter"/>
      <w:lvlText w:val="%8."/>
      <w:lvlJc w:val="left"/>
      <w:pPr>
        <w:ind w:left="5760" w:hanging="360"/>
      </w:pPr>
    </w:lvl>
    <w:lvl w:ilvl="8" w:tplc="E304C294">
      <w:start w:val="1"/>
      <w:numFmt w:val="lowerRoman"/>
      <w:lvlText w:val="%9."/>
      <w:lvlJc w:val="right"/>
      <w:pPr>
        <w:ind w:left="6480" w:hanging="180"/>
      </w:pPr>
    </w:lvl>
  </w:abstractNum>
  <w:abstractNum w:abstractNumId="2" w15:restartNumberingAfterBreak="0">
    <w:nsid w:val="24591A56"/>
    <w:multiLevelType w:val="hybridMultilevel"/>
    <w:tmpl w:val="3FB8C376"/>
    <w:lvl w:ilvl="0" w:tplc="A0D46654">
      <w:start w:val="1"/>
      <w:numFmt w:val="decimal"/>
      <w:lvlText w:val="%1."/>
      <w:lvlJc w:val="left"/>
      <w:pPr>
        <w:ind w:left="1211" w:hanging="360"/>
      </w:pPr>
      <w:rPr>
        <w:rFonts w:hint="default"/>
        <w:b/>
        <w:i/>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31D16E32"/>
    <w:multiLevelType w:val="hybridMultilevel"/>
    <w:tmpl w:val="675E0A38"/>
    <w:lvl w:ilvl="0" w:tplc="74601F82">
      <w:start w:val="1"/>
      <w:numFmt w:val="lowerLetter"/>
      <w:lvlText w:val="%1."/>
      <w:lvlJc w:val="left"/>
      <w:pPr>
        <w:ind w:left="720" w:hanging="360"/>
      </w:pPr>
    </w:lvl>
    <w:lvl w:ilvl="1" w:tplc="23F4CD68">
      <w:start w:val="1"/>
      <w:numFmt w:val="lowerLetter"/>
      <w:lvlText w:val="%2."/>
      <w:lvlJc w:val="left"/>
      <w:pPr>
        <w:ind w:left="1440" w:hanging="360"/>
      </w:pPr>
    </w:lvl>
    <w:lvl w:ilvl="2" w:tplc="BA1EBA2C">
      <w:start w:val="1"/>
      <w:numFmt w:val="lowerRoman"/>
      <w:lvlText w:val="%3."/>
      <w:lvlJc w:val="right"/>
      <w:pPr>
        <w:ind w:left="2160" w:hanging="180"/>
      </w:pPr>
    </w:lvl>
    <w:lvl w:ilvl="3" w:tplc="A2284872">
      <w:start w:val="1"/>
      <w:numFmt w:val="decimal"/>
      <w:lvlText w:val="%4."/>
      <w:lvlJc w:val="left"/>
      <w:pPr>
        <w:ind w:left="2880" w:hanging="360"/>
      </w:pPr>
    </w:lvl>
    <w:lvl w:ilvl="4" w:tplc="95A45C34">
      <w:start w:val="1"/>
      <w:numFmt w:val="lowerLetter"/>
      <w:lvlText w:val="%5."/>
      <w:lvlJc w:val="left"/>
      <w:pPr>
        <w:ind w:left="3600" w:hanging="360"/>
      </w:pPr>
    </w:lvl>
    <w:lvl w:ilvl="5" w:tplc="9626B28C">
      <w:start w:val="1"/>
      <w:numFmt w:val="lowerRoman"/>
      <w:lvlText w:val="%6."/>
      <w:lvlJc w:val="right"/>
      <w:pPr>
        <w:ind w:left="4320" w:hanging="180"/>
      </w:pPr>
    </w:lvl>
    <w:lvl w:ilvl="6" w:tplc="123AB2CC">
      <w:start w:val="1"/>
      <w:numFmt w:val="decimal"/>
      <w:lvlText w:val="%7."/>
      <w:lvlJc w:val="left"/>
      <w:pPr>
        <w:ind w:left="5040" w:hanging="360"/>
      </w:pPr>
    </w:lvl>
    <w:lvl w:ilvl="7" w:tplc="EAB26E38">
      <w:start w:val="1"/>
      <w:numFmt w:val="lowerLetter"/>
      <w:lvlText w:val="%8."/>
      <w:lvlJc w:val="left"/>
      <w:pPr>
        <w:ind w:left="5760" w:hanging="360"/>
      </w:pPr>
    </w:lvl>
    <w:lvl w:ilvl="8" w:tplc="E48449C0">
      <w:start w:val="1"/>
      <w:numFmt w:val="lowerRoman"/>
      <w:lvlText w:val="%9."/>
      <w:lvlJc w:val="right"/>
      <w:pPr>
        <w:ind w:left="6480" w:hanging="180"/>
      </w:pPr>
    </w:lvl>
  </w:abstractNum>
  <w:abstractNum w:abstractNumId="4" w15:restartNumberingAfterBreak="0">
    <w:nsid w:val="58B8F4A1"/>
    <w:multiLevelType w:val="hybridMultilevel"/>
    <w:tmpl w:val="1FBE3F06"/>
    <w:lvl w:ilvl="0" w:tplc="2138C794">
      <w:start w:val="1"/>
      <w:numFmt w:val="decimal"/>
      <w:lvlText w:val="%1."/>
      <w:lvlJc w:val="left"/>
      <w:pPr>
        <w:ind w:left="720" w:hanging="360"/>
      </w:pPr>
    </w:lvl>
    <w:lvl w:ilvl="1" w:tplc="0980BA3C">
      <w:start w:val="1"/>
      <w:numFmt w:val="lowerLetter"/>
      <w:lvlText w:val="%2."/>
      <w:lvlJc w:val="left"/>
      <w:pPr>
        <w:ind w:left="1440" w:hanging="360"/>
      </w:pPr>
    </w:lvl>
    <w:lvl w:ilvl="2" w:tplc="19AC2B3A">
      <w:start w:val="1"/>
      <w:numFmt w:val="lowerRoman"/>
      <w:lvlText w:val="%3."/>
      <w:lvlJc w:val="right"/>
      <w:pPr>
        <w:ind w:left="2160" w:hanging="180"/>
      </w:pPr>
    </w:lvl>
    <w:lvl w:ilvl="3" w:tplc="D7BCCED2">
      <w:start w:val="1"/>
      <w:numFmt w:val="decimal"/>
      <w:lvlText w:val="%4."/>
      <w:lvlJc w:val="left"/>
      <w:pPr>
        <w:ind w:left="2880" w:hanging="360"/>
      </w:pPr>
    </w:lvl>
    <w:lvl w:ilvl="4" w:tplc="D242C6E6">
      <w:start w:val="1"/>
      <w:numFmt w:val="lowerLetter"/>
      <w:lvlText w:val="%5."/>
      <w:lvlJc w:val="left"/>
      <w:pPr>
        <w:ind w:left="3600" w:hanging="360"/>
      </w:pPr>
    </w:lvl>
    <w:lvl w:ilvl="5" w:tplc="19D09FB6">
      <w:start w:val="1"/>
      <w:numFmt w:val="lowerRoman"/>
      <w:lvlText w:val="%6."/>
      <w:lvlJc w:val="right"/>
      <w:pPr>
        <w:ind w:left="4320" w:hanging="180"/>
      </w:pPr>
    </w:lvl>
    <w:lvl w:ilvl="6" w:tplc="A440DAFE">
      <w:start w:val="1"/>
      <w:numFmt w:val="decimal"/>
      <w:lvlText w:val="%7."/>
      <w:lvlJc w:val="left"/>
      <w:pPr>
        <w:ind w:left="5040" w:hanging="360"/>
      </w:pPr>
    </w:lvl>
    <w:lvl w:ilvl="7" w:tplc="C94E5862">
      <w:start w:val="1"/>
      <w:numFmt w:val="lowerLetter"/>
      <w:lvlText w:val="%8."/>
      <w:lvlJc w:val="left"/>
      <w:pPr>
        <w:ind w:left="5760" w:hanging="360"/>
      </w:pPr>
    </w:lvl>
    <w:lvl w:ilvl="8" w:tplc="3050DCAE">
      <w:start w:val="1"/>
      <w:numFmt w:val="lowerRoman"/>
      <w:lvlText w:val="%9."/>
      <w:lvlJc w:val="right"/>
      <w:pPr>
        <w:ind w:left="6480" w:hanging="180"/>
      </w:pPr>
    </w:lvl>
  </w:abstractNum>
  <w:abstractNum w:abstractNumId="5" w15:restartNumberingAfterBreak="0">
    <w:nsid w:val="663129B4"/>
    <w:multiLevelType w:val="hybridMultilevel"/>
    <w:tmpl w:val="344215B8"/>
    <w:lvl w:ilvl="0" w:tplc="9FD06ACC">
      <w:start w:val="1"/>
      <w:numFmt w:val="lowerLetter"/>
      <w:lvlText w:val="%1."/>
      <w:lvlJc w:val="left"/>
      <w:pPr>
        <w:ind w:left="720" w:hanging="360"/>
      </w:pPr>
    </w:lvl>
    <w:lvl w:ilvl="1" w:tplc="8762453A">
      <w:start w:val="1"/>
      <w:numFmt w:val="lowerLetter"/>
      <w:lvlText w:val="%2."/>
      <w:lvlJc w:val="left"/>
      <w:pPr>
        <w:ind w:left="1440" w:hanging="360"/>
      </w:pPr>
    </w:lvl>
    <w:lvl w:ilvl="2" w:tplc="18409672">
      <w:start w:val="1"/>
      <w:numFmt w:val="lowerRoman"/>
      <w:lvlText w:val="%3."/>
      <w:lvlJc w:val="right"/>
      <w:pPr>
        <w:ind w:left="2160" w:hanging="180"/>
      </w:pPr>
    </w:lvl>
    <w:lvl w:ilvl="3" w:tplc="2C982214">
      <w:start w:val="1"/>
      <w:numFmt w:val="decimal"/>
      <w:lvlText w:val="%4."/>
      <w:lvlJc w:val="left"/>
      <w:pPr>
        <w:ind w:left="2880" w:hanging="360"/>
      </w:pPr>
    </w:lvl>
    <w:lvl w:ilvl="4" w:tplc="AC023E30">
      <w:start w:val="1"/>
      <w:numFmt w:val="lowerLetter"/>
      <w:lvlText w:val="%5."/>
      <w:lvlJc w:val="left"/>
      <w:pPr>
        <w:ind w:left="3600" w:hanging="360"/>
      </w:pPr>
    </w:lvl>
    <w:lvl w:ilvl="5" w:tplc="48BA7FFE">
      <w:start w:val="1"/>
      <w:numFmt w:val="lowerRoman"/>
      <w:lvlText w:val="%6."/>
      <w:lvlJc w:val="right"/>
      <w:pPr>
        <w:ind w:left="4320" w:hanging="180"/>
      </w:pPr>
    </w:lvl>
    <w:lvl w:ilvl="6" w:tplc="93D62664">
      <w:start w:val="1"/>
      <w:numFmt w:val="decimal"/>
      <w:lvlText w:val="%7."/>
      <w:lvlJc w:val="left"/>
      <w:pPr>
        <w:ind w:left="5040" w:hanging="360"/>
      </w:pPr>
    </w:lvl>
    <w:lvl w:ilvl="7" w:tplc="57CE03B4">
      <w:start w:val="1"/>
      <w:numFmt w:val="lowerLetter"/>
      <w:lvlText w:val="%8."/>
      <w:lvlJc w:val="left"/>
      <w:pPr>
        <w:ind w:left="5760" w:hanging="360"/>
      </w:pPr>
    </w:lvl>
    <w:lvl w:ilvl="8" w:tplc="8F205340">
      <w:start w:val="1"/>
      <w:numFmt w:val="lowerRoman"/>
      <w:lvlText w:val="%9."/>
      <w:lvlJc w:val="right"/>
      <w:pPr>
        <w:ind w:left="6480" w:hanging="180"/>
      </w:pPr>
    </w:lvl>
  </w:abstractNum>
  <w:abstractNum w:abstractNumId="6" w15:restartNumberingAfterBreak="0">
    <w:nsid w:val="6BD23049"/>
    <w:multiLevelType w:val="hybridMultilevel"/>
    <w:tmpl w:val="496C10B6"/>
    <w:lvl w:ilvl="0" w:tplc="08DAD356">
      <w:numFmt w:val="bullet"/>
      <w:lvlText w:val="-"/>
      <w:lvlJc w:val="left"/>
      <w:pPr>
        <w:ind w:left="786" w:hanging="360"/>
      </w:pPr>
      <w:rPr>
        <w:rFonts w:ascii="Book Antiqua" w:eastAsiaTheme="minorHAnsi" w:hAnsi="Book Antiqua" w:cstheme="minorBid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B1"/>
    <w:rsid w:val="00011E19"/>
    <w:rsid w:val="00020B0D"/>
    <w:rsid w:val="00067651"/>
    <w:rsid w:val="000706E5"/>
    <w:rsid w:val="00081273"/>
    <w:rsid w:val="000A307B"/>
    <w:rsid w:val="000A63FF"/>
    <w:rsid w:val="000B6687"/>
    <w:rsid w:val="000C1BA7"/>
    <w:rsid w:val="000D6D0C"/>
    <w:rsid w:val="000F3A8D"/>
    <w:rsid w:val="00105D5C"/>
    <w:rsid w:val="0010730F"/>
    <w:rsid w:val="00116750"/>
    <w:rsid w:val="00120115"/>
    <w:rsid w:val="00130346"/>
    <w:rsid w:val="001632A9"/>
    <w:rsid w:val="001711A0"/>
    <w:rsid w:val="00180117"/>
    <w:rsid w:val="00182D26"/>
    <w:rsid w:val="00185144"/>
    <w:rsid w:val="001B1775"/>
    <w:rsid w:val="001D7D4B"/>
    <w:rsid w:val="001F0B3B"/>
    <w:rsid w:val="001F1438"/>
    <w:rsid w:val="00200B80"/>
    <w:rsid w:val="002106CD"/>
    <w:rsid w:val="00211B5F"/>
    <w:rsid w:val="002128A9"/>
    <w:rsid w:val="0024182F"/>
    <w:rsid w:val="00250E71"/>
    <w:rsid w:val="00253137"/>
    <w:rsid w:val="00255AC8"/>
    <w:rsid w:val="002571A6"/>
    <w:rsid w:val="002573F4"/>
    <w:rsid w:val="002663B2"/>
    <w:rsid w:val="0029281E"/>
    <w:rsid w:val="0029571D"/>
    <w:rsid w:val="00296DFB"/>
    <w:rsid w:val="00297CBA"/>
    <w:rsid w:val="002B34B6"/>
    <w:rsid w:val="002B4A9E"/>
    <w:rsid w:val="002C3E7D"/>
    <w:rsid w:val="002D12A5"/>
    <w:rsid w:val="00310B7D"/>
    <w:rsid w:val="003329A5"/>
    <w:rsid w:val="003511D1"/>
    <w:rsid w:val="00393803"/>
    <w:rsid w:val="00395179"/>
    <w:rsid w:val="00396558"/>
    <w:rsid w:val="003C267A"/>
    <w:rsid w:val="003C4937"/>
    <w:rsid w:val="003C4A39"/>
    <w:rsid w:val="003D7E01"/>
    <w:rsid w:val="003E308C"/>
    <w:rsid w:val="00433EE2"/>
    <w:rsid w:val="00442918"/>
    <w:rsid w:val="004637B3"/>
    <w:rsid w:val="0049046F"/>
    <w:rsid w:val="0049337C"/>
    <w:rsid w:val="004B0FD3"/>
    <w:rsid w:val="004E5F1D"/>
    <w:rsid w:val="004F021A"/>
    <w:rsid w:val="004F03B9"/>
    <w:rsid w:val="00510AA8"/>
    <w:rsid w:val="00527BDF"/>
    <w:rsid w:val="00535ACF"/>
    <w:rsid w:val="005577BF"/>
    <w:rsid w:val="00557E1A"/>
    <w:rsid w:val="00560902"/>
    <w:rsid w:val="00566010"/>
    <w:rsid w:val="005664CB"/>
    <w:rsid w:val="00582E50"/>
    <w:rsid w:val="00585F6A"/>
    <w:rsid w:val="005A0CC8"/>
    <w:rsid w:val="005A7AE4"/>
    <w:rsid w:val="005E62C2"/>
    <w:rsid w:val="005F4364"/>
    <w:rsid w:val="006048A7"/>
    <w:rsid w:val="00643F6A"/>
    <w:rsid w:val="00652AC1"/>
    <w:rsid w:val="006721E9"/>
    <w:rsid w:val="006A0E0B"/>
    <w:rsid w:val="006B2118"/>
    <w:rsid w:val="006B248D"/>
    <w:rsid w:val="006B2B2D"/>
    <w:rsid w:val="006D5A28"/>
    <w:rsid w:val="006F145C"/>
    <w:rsid w:val="006F3FE2"/>
    <w:rsid w:val="006F4572"/>
    <w:rsid w:val="006F4F3E"/>
    <w:rsid w:val="007102FD"/>
    <w:rsid w:val="00727E21"/>
    <w:rsid w:val="00730555"/>
    <w:rsid w:val="0074019F"/>
    <w:rsid w:val="00753DDF"/>
    <w:rsid w:val="00757115"/>
    <w:rsid w:val="007774EE"/>
    <w:rsid w:val="007A1F14"/>
    <w:rsid w:val="007A3C2F"/>
    <w:rsid w:val="007B4EB1"/>
    <w:rsid w:val="007C7D37"/>
    <w:rsid w:val="007D6075"/>
    <w:rsid w:val="007E0AF8"/>
    <w:rsid w:val="007E490A"/>
    <w:rsid w:val="007E7724"/>
    <w:rsid w:val="00801FC4"/>
    <w:rsid w:val="00805DEC"/>
    <w:rsid w:val="008304A0"/>
    <w:rsid w:val="0083538D"/>
    <w:rsid w:val="00854530"/>
    <w:rsid w:val="00871C0F"/>
    <w:rsid w:val="0087698F"/>
    <w:rsid w:val="008A25CF"/>
    <w:rsid w:val="008B2974"/>
    <w:rsid w:val="008B3A03"/>
    <w:rsid w:val="008D3A17"/>
    <w:rsid w:val="008EAC7B"/>
    <w:rsid w:val="008F243E"/>
    <w:rsid w:val="008F30D0"/>
    <w:rsid w:val="008F6CB4"/>
    <w:rsid w:val="009019BC"/>
    <w:rsid w:val="00902CF7"/>
    <w:rsid w:val="00934369"/>
    <w:rsid w:val="00941148"/>
    <w:rsid w:val="00944EA1"/>
    <w:rsid w:val="00957C79"/>
    <w:rsid w:val="00957FF7"/>
    <w:rsid w:val="0096345A"/>
    <w:rsid w:val="0098251B"/>
    <w:rsid w:val="009B6F24"/>
    <w:rsid w:val="009E5133"/>
    <w:rsid w:val="009F184B"/>
    <w:rsid w:val="00A07008"/>
    <w:rsid w:val="00A07D98"/>
    <w:rsid w:val="00A168E2"/>
    <w:rsid w:val="00A36291"/>
    <w:rsid w:val="00A4163C"/>
    <w:rsid w:val="00A75092"/>
    <w:rsid w:val="00A82323"/>
    <w:rsid w:val="00A86CEF"/>
    <w:rsid w:val="00AA377F"/>
    <w:rsid w:val="00AA6E6E"/>
    <w:rsid w:val="00AB7050"/>
    <w:rsid w:val="00AC4CBE"/>
    <w:rsid w:val="00AD2023"/>
    <w:rsid w:val="00AD4572"/>
    <w:rsid w:val="00AD6BDB"/>
    <w:rsid w:val="00AE1F3C"/>
    <w:rsid w:val="00AE572C"/>
    <w:rsid w:val="00AF2D41"/>
    <w:rsid w:val="00AF7AFE"/>
    <w:rsid w:val="00B311CB"/>
    <w:rsid w:val="00B34344"/>
    <w:rsid w:val="00B35C0A"/>
    <w:rsid w:val="00B8062B"/>
    <w:rsid w:val="00B86789"/>
    <w:rsid w:val="00B87DCC"/>
    <w:rsid w:val="00B95273"/>
    <w:rsid w:val="00B96695"/>
    <w:rsid w:val="00BB331D"/>
    <w:rsid w:val="00BC74B2"/>
    <w:rsid w:val="00BD181B"/>
    <w:rsid w:val="00BF4DA6"/>
    <w:rsid w:val="00C1583D"/>
    <w:rsid w:val="00C2014D"/>
    <w:rsid w:val="00C35CFA"/>
    <w:rsid w:val="00C35F95"/>
    <w:rsid w:val="00C40D6A"/>
    <w:rsid w:val="00C53BCF"/>
    <w:rsid w:val="00C549CD"/>
    <w:rsid w:val="00C57FF1"/>
    <w:rsid w:val="00C65CB4"/>
    <w:rsid w:val="00C7555A"/>
    <w:rsid w:val="00C85B5B"/>
    <w:rsid w:val="00C86702"/>
    <w:rsid w:val="00C94138"/>
    <w:rsid w:val="00C9682F"/>
    <w:rsid w:val="00CC4AAD"/>
    <w:rsid w:val="00CC6A2D"/>
    <w:rsid w:val="00CD4B6B"/>
    <w:rsid w:val="00CE3309"/>
    <w:rsid w:val="00CF5E77"/>
    <w:rsid w:val="00D10D73"/>
    <w:rsid w:val="00D279CD"/>
    <w:rsid w:val="00D43BF8"/>
    <w:rsid w:val="00D77C74"/>
    <w:rsid w:val="00D81629"/>
    <w:rsid w:val="00DA0AF6"/>
    <w:rsid w:val="00DA545A"/>
    <w:rsid w:val="00DB2D62"/>
    <w:rsid w:val="00DB503D"/>
    <w:rsid w:val="00DB64E4"/>
    <w:rsid w:val="00DC10F1"/>
    <w:rsid w:val="00DC1BA0"/>
    <w:rsid w:val="00DE3154"/>
    <w:rsid w:val="00DE3DD1"/>
    <w:rsid w:val="00DE7482"/>
    <w:rsid w:val="00E050C8"/>
    <w:rsid w:val="00E20B33"/>
    <w:rsid w:val="00E27A51"/>
    <w:rsid w:val="00E45097"/>
    <w:rsid w:val="00E51CAE"/>
    <w:rsid w:val="00E604D5"/>
    <w:rsid w:val="00E64627"/>
    <w:rsid w:val="00E752D1"/>
    <w:rsid w:val="00E76A8A"/>
    <w:rsid w:val="00E76AB6"/>
    <w:rsid w:val="00E8204C"/>
    <w:rsid w:val="00E9005B"/>
    <w:rsid w:val="00EA7502"/>
    <w:rsid w:val="00EB0229"/>
    <w:rsid w:val="00EC57FF"/>
    <w:rsid w:val="00EE5DB0"/>
    <w:rsid w:val="00F04C3D"/>
    <w:rsid w:val="00F13D52"/>
    <w:rsid w:val="00F155AB"/>
    <w:rsid w:val="00F2053E"/>
    <w:rsid w:val="00F2056C"/>
    <w:rsid w:val="00F26836"/>
    <w:rsid w:val="00F33B75"/>
    <w:rsid w:val="00F35D51"/>
    <w:rsid w:val="00F40B8F"/>
    <w:rsid w:val="00F41AF1"/>
    <w:rsid w:val="00F50C96"/>
    <w:rsid w:val="00F5321C"/>
    <w:rsid w:val="00F72164"/>
    <w:rsid w:val="00F86313"/>
    <w:rsid w:val="00F914C5"/>
    <w:rsid w:val="00F96B06"/>
    <w:rsid w:val="00FA0A96"/>
    <w:rsid w:val="00FA0CC8"/>
    <w:rsid w:val="00FA36F4"/>
    <w:rsid w:val="00FC1072"/>
    <w:rsid w:val="00FF3322"/>
    <w:rsid w:val="00FF625C"/>
    <w:rsid w:val="01FB6F04"/>
    <w:rsid w:val="026FF785"/>
    <w:rsid w:val="02BA8747"/>
    <w:rsid w:val="02C743C0"/>
    <w:rsid w:val="02D55CA7"/>
    <w:rsid w:val="03052C3B"/>
    <w:rsid w:val="042C01F8"/>
    <w:rsid w:val="0461FB5F"/>
    <w:rsid w:val="04F35D0E"/>
    <w:rsid w:val="05262D22"/>
    <w:rsid w:val="0540A314"/>
    <w:rsid w:val="05E5BC25"/>
    <w:rsid w:val="06705F9D"/>
    <w:rsid w:val="075C50FF"/>
    <w:rsid w:val="08207937"/>
    <w:rsid w:val="0912FC99"/>
    <w:rsid w:val="09368544"/>
    <w:rsid w:val="093CF070"/>
    <w:rsid w:val="099CF341"/>
    <w:rsid w:val="0AA0A3F6"/>
    <w:rsid w:val="0AF3198A"/>
    <w:rsid w:val="0BB39886"/>
    <w:rsid w:val="0BD1D846"/>
    <w:rsid w:val="0C3B5BB5"/>
    <w:rsid w:val="0D031C3F"/>
    <w:rsid w:val="0D2CFE6D"/>
    <w:rsid w:val="0D74B93F"/>
    <w:rsid w:val="0DA41F7C"/>
    <w:rsid w:val="0EA2F40D"/>
    <w:rsid w:val="0EEB8384"/>
    <w:rsid w:val="0F8C9E6B"/>
    <w:rsid w:val="0F8CFC3C"/>
    <w:rsid w:val="0FB951DC"/>
    <w:rsid w:val="10E4A6CD"/>
    <w:rsid w:val="11B33E40"/>
    <w:rsid w:val="11E182ED"/>
    <w:rsid w:val="12262436"/>
    <w:rsid w:val="133B68CC"/>
    <w:rsid w:val="1356D02B"/>
    <w:rsid w:val="14255D65"/>
    <w:rsid w:val="151EB45A"/>
    <w:rsid w:val="153969F3"/>
    <w:rsid w:val="15CFD1F2"/>
    <w:rsid w:val="1727754A"/>
    <w:rsid w:val="17824FC8"/>
    <w:rsid w:val="18167E51"/>
    <w:rsid w:val="18363D9C"/>
    <w:rsid w:val="186935FF"/>
    <w:rsid w:val="193B6E37"/>
    <w:rsid w:val="19BADF8F"/>
    <w:rsid w:val="19F50764"/>
    <w:rsid w:val="1A83C199"/>
    <w:rsid w:val="1B097AFA"/>
    <w:rsid w:val="1B91C6F9"/>
    <w:rsid w:val="1C730EF9"/>
    <w:rsid w:val="1CB6EE88"/>
    <w:rsid w:val="1E9982D2"/>
    <w:rsid w:val="1F6D2425"/>
    <w:rsid w:val="1F943999"/>
    <w:rsid w:val="20355333"/>
    <w:rsid w:val="20FCEAB2"/>
    <w:rsid w:val="2108757C"/>
    <w:rsid w:val="21B13CA1"/>
    <w:rsid w:val="225F2B1A"/>
    <w:rsid w:val="23112868"/>
    <w:rsid w:val="232FA8E0"/>
    <w:rsid w:val="2337C21B"/>
    <w:rsid w:val="2371358E"/>
    <w:rsid w:val="23C3DD9A"/>
    <w:rsid w:val="2508C456"/>
    <w:rsid w:val="2649B391"/>
    <w:rsid w:val="26A494B7"/>
    <w:rsid w:val="26AA3A2C"/>
    <w:rsid w:val="26FB7E5C"/>
    <w:rsid w:val="2847B62E"/>
    <w:rsid w:val="287F3F89"/>
    <w:rsid w:val="2889F026"/>
    <w:rsid w:val="28BAA9FD"/>
    <w:rsid w:val="291EE4C2"/>
    <w:rsid w:val="2975A7F9"/>
    <w:rsid w:val="2992BCA5"/>
    <w:rsid w:val="2AD43A05"/>
    <w:rsid w:val="2BBC2696"/>
    <w:rsid w:val="2C01D6F1"/>
    <w:rsid w:val="2C700A66"/>
    <w:rsid w:val="2C8D8E39"/>
    <w:rsid w:val="2FDB4F26"/>
    <w:rsid w:val="32A8B997"/>
    <w:rsid w:val="332DD456"/>
    <w:rsid w:val="345CF1C4"/>
    <w:rsid w:val="35A3B540"/>
    <w:rsid w:val="35D78F48"/>
    <w:rsid w:val="37CD36E1"/>
    <w:rsid w:val="37FC85FD"/>
    <w:rsid w:val="3A062F90"/>
    <w:rsid w:val="3A5725DD"/>
    <w:rsid w:val="3A885ED5"/>
    <w:rsid w:val="3C6E69AF"/>
    <w:rsid w:val="3E39B893"/>
    <w:rsid w:val="3E5B7E40"/>
    <w:rsid w:val="3EA9C64D"/>
    <w:rsid w:val="3F148DB0"/>
    <w:rsid w:val="3F367D90"/>
    <w:rsid w:val="410B76B5"/>
    <w:rsid w:val="414265C1"/>
    <w:rsid w:val="429F27AC"/>
    <w:rsid w:val="42D805BE"/>
    <w:rsid w:val="439333B2"/>
    <w:rsid w:val="43A78CDB"/>
    <w:rsid w:val="4473D61F"/>
    <w:rsid w:val="453A8D9F"/>
    <w:rsid w:val="45CD1B18"/>
    <w:rsid w:val="460FA680"/>
    <w:rsid w:val="467915C0"/>
    <w:rsid w:val="469CAED9"/>
    <w:rsid w:val="47189F5B"/>
    <w:rsid w:val="475654EE"/>
    <w:rsid w:val="47BF60B5"/>
    <w:rsid w:val="48C288BE"/>
    <w:rsid w:val="48D4E2FF"/>
    <w:rsid w:val="499EF915"/>
    <w:rsid w:val="4A14F574"/>
    <w:rsid w:val="4A3F501D"/>
    <w:rsid w:val="4A6C215F"/>
    <w:rsid w:val="4AD1DCCC"/>
    <w:rsid w:val="4C31C9A2"/>
    <w:rsid w:val="4D654452"/>
    <w:rsid w:val="4D7DDDF7"/>
    <w:rsid w:val="4E798F90"/>
    <w:rsid w:val="4F161C51"/>
    <w:rsid w:val="4F35B914"/>
    <w:rsid w:val="50C06D4F"/>
    <w:rsid w:val="524BC18F"/>
    <w:rsid w:val="52F080B6"/>
    <w:rsid w:val="53012568"/>
    <w:rsid w:val="53530613"/>
    <w:rsid w:val="53CE6993"/>
    <w:rsid w:val="56F2FE3B"/>
    <w:rsid w:val="582071D6"/>
    <w:rsid w:val="5835ABFE"/>
    <w:rsid w:val="58A93FD5"/>
    <w:rsid w:val="590D0F71"/>
    <w:rsid w:val="59BC4237"/>
    <w:rsid w:val="5A3DAB17"/>
    <w:rsid w:val="5AAC0700"/>
    <w:rsid w:val="5B056A8C"/>
    <w:rsid w:val="5B0F4EB0"/>
    <w:rsid w:val="5D9ABB3F"/>
    <w:rsid w:val="5E953388"/>
    <w:rsid w:val="5EFCBAFF"/>
    <w:rsid w:val="5F2A5724"/>
    <w:rsid w:val="606A90F5"/>
    <w:rsid w:val="61AE2BBF"/>
    <w:rsid w:val="623F6BE1"/>
    <w:rsid w:val="625171B5"/>
    <w:rsid w:val="62C2C9CE"/>
    <w:rsid w:val="63D7F77C"/>
    <w:rsid w:val="64CD737C"/>
    <w:rsid w:val="65A4F5AE"/>
    <w:rsid w:val="66819CE2"/>
    <w:rsid w:val="673BE026"/>
    <w:rsid w:val="674F20F9"/>
    <w:rsid w:val="6772EBCF"/>
    <w:rsid w:val="67FCE4F8"/>
    <w:rsid w:val="681E3571"/>
    <w:rsid w:val="68A11E34"/>
    <w:rsid w:val="690D320C"/>
    <w:rsid w:val="69113036"/>
    <w:rsid w:val="69E50AF4"/>
    <w:rsid w:val="6A3CEE95"/>
    <w:rsid w:val="6A718E01"/>
    <w:rsid w:val="6AAA9C7F"/>
    <w:rsid w:val="6AAD538E"/>
    <w:rsid w:val="6B4C3810"/>
    <w:rsid w:val="6BD8BEF6"/>
    <w:rsid w:val="6BFD1A53"/>
    <w:rsid w:val="6C8BFF64"/>
    <w:rsid w:val="6D196F8E"/>
    <w:rsid w:val="6D5B66FA"/>
    <w:rsid w:val="6E27CFC5"/>
    <w:rsid w:val="6E6064C4"/>
    <w:rsid w:val="6F105FB8"/>
    <w:rsid w:val="6FAF2F6C"/>
    <w:rsid w:val="70218CA1"/>
    <w:rsid w:val="708FB7D0"/>
    <w:rsid w:val="73156564"/>
    <w:rsid w:val="73AD2066"/>
    <w:rsid w:val="73E3D0DB"/>
    <w:rsid w:val="7528B9B9"/>
    <w:rsid w:val="7573853F"/>
    <w:rsid w:val="75B75B70"/>
    <w:rsid w:val="778B839F"/>
    <w:rsid w:val="787B4868"/>
    <w:rsid w:val="78CB2BD2"/>
    <w:rsid w:val="79284903"/>
    <w:rsid w:val="7A1A809C"/>
    <w:rsid w:val="7A53125F"/>
    <w:rsid w:val="7A6A4E1B"/>
    <w:rsid w:val="7CE9125B"/>
    <w:rsid w:val="7D000FA9"/>
    <w:rsid w:val="7D35912E"/>
    <w:rsid w:val="7DE264F4"/>
    <w:rsid w:val="7F76601E"/>
    <w:rsid w:val="7FB813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CFC1"/>
  <w15:chartTrackingRefBased/>
  <w15:docId w15:val="{FAA1AEE2-33AF-4A1C-B1B0-18A6810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33"/>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next w:val="Normal"/>
    <w:link w:val="Ttulo3Car"/>
    <w:qFormat/>
    <w:rsid w:val="00DC1BA0"/>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0B33"/>
    <w:pPr>
      <w:tabs>
        <w:tab w:val="center" w:pos="4252"/>
        <w:tab w:val="right" w:pos="8504"/>
      </w:tabs>
    </w:pPr>
  </w:style>
  <w:style w:type="character" w:customStyle="1" w:styleId="EncabezadoCar">
    <w:name w:val="Encabezado Car"/>
    <w:basedOn w:val="Fuentedeprrafopredeter"/>
    <w:link w:val="Encabezado"/>
    <w:rsid w:val="00E20B3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E20B33"/>
    <w:pPr>
      <w:tabs>
        <w:tab w:val="center" w:pos="4252"/>
        <w:tab w:val="right" w:pos="8504"/>
      </w:tabs>
    </w:pPr>
  </w:style>
  <w:style w:type="character" w:customStyle="1" w:styleId="PiedepginaCar">
    <w:name w:val="Pie de página Car"/>
    <w:basedOn w:val="Fuentedeprrafopredeter"/>
    <w:link w:val="Piedepgina"/>
    <w:uiPriority w:val="99"/>
    <w:rsid w:val="00E20B33"/>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E20B33"/>
    <w:pPr>
      <w:spacing w:before="100" w:beforeAutospacing="1" w:after="100" w:afterAutospacing="1"/>
    </w:pPr>
    <w:rPr>
      <w:lang w:val="es-ES"/>
    </w:rPr>
  </w:style>
  <w:style w:type="paragraph" w:styleId="Ttulo">
    <w:name w:val="Title"/>
    <w:basedOn w:val="Normal"/>
    <w:link w:val="TtuloCar"/>
    <w:qFormat/>
    <w:rsid w:val="00E20B33"/>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E20B33"/>
    <w:rPr>
      <w:rFonts w:ascii="Verdana" w:eastAsia="Times New Roman" w:hAnsi="Verdana" w:cs="Times New Roman"/>
      <w:sz w:val="28"/>
      <w:szCs w:val="28"/>
      <w:lang w:val="es-ES_tradnl" w:eastAsia="es-MX"/>
    </w:rPr>
  </w:style>
  <w:style w:type="paragraph" w:styleId="Textoindependiente">
    <w:name w:val="Body Text"/>
    <w:basedOn w:val="Normal"/>
    <w:link w:val="TextoindependienteCar"/>
    <w:rsid w:val="00E20B33"/>
    <w:pPr>
      <w:spacing w:after="120"/>
    </w:pPr>
    <w:rPr>
      <w:lang w:val="es-ES"/>
    </w:rPr>
  </w:style>
  <w:style w:type="character" w:customStyle="1" w:styleId="TextoindependienteCar">
    <w:name w:val="Texto independiente Car"/>
    <w:basedOn w:val="Fuentedeprrafopredeter"/>
    <w:link w:val="Textoindependiente"/>
    <w:rsid w:val="00E20B33"/>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nhideWhenUsed/>
    <w:rsid w:val="00E20B33"/>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E20B33"/>
    <w:rPr>
      <w:rFonts w:ascii="Times New Roman" w:eastAsia="Times New Roman" w:hAnsi="Times New Roman" w:cs="Times New Roman"/>
      <w:sz w:val="20"/>
      <w:szCs w:val="20"/>
      <w:lang w:val="es-CO" w:eastAsia="es-ES"/>
    </w:rPr>
  </w:style>
  <w:style w:type="character" w:styleId="Refdenotaalpie">
    <w:name w:val="footnote reference"/>
    <w:aliases w:val="Texto de nota al pie,referencia nota al pie"/>
    <w:basedOn w:val="Fuentedeprrafopredeter"/>
    <w:unhideWhenUsed/>
    <w:rsid w:val="00E20B33"/>
    <w:rPr>
      <w:vertAlign w:val="superscript"/>
    </w:rPr>
  </w:style>
  <w:style w:type="paragraph" w:styleId="Sinespaciado">
    <w:name w:val="No Spacing"/>
    <w:uiPriority w:val="1"/>
    <w:qFormat/>
    <w:rsid w:val="00E20B33"/>
    <w:pPr>
      <w:spacing w:after="0" w:line="240" w:lineRule="auto"/>
    </w:pPr>
    <w:rPr>
      <w:lang w:val="es-ES_tradnl"/>
    </w:rPr>
  </w:style>
  <w:style w:type="paragraph" w:styleId="Prrafodelista">
    <w:name w:val="List Paragraph"/>
    <w:basedOn w:val="Normal"/>
    <w:uiPriority w:val="34"/>
    <w:qFormat/>
    <w:rsid w:val="002D12A5"/>
    <w:pPr>
      <w:ind w:left="720"/>
      <w:contextualSpacing/>
    </w:pPr>
  </w:style>
  <w:style w:type="paragraph" w:customStyle="1" w:styleId="Textopredeterminado">
    <w:name w:val="Texto predeterminado"/>
    <w:basedOn w:val="Normal"/>
    <w:rsid w:val="00180117"/>
    <w:pPr>
      <w:overflowPunct w:val="0"/>
      <w:autoSpaceDE w:val="0"/>
      <w:autoSpaceDN w:val="0"/>
      <w:adjustRightInd w:val="0"/>
    </w:pPr>
    <w:rPr>
      <w:color w:val="000000"/>
      <w:szCs w:val="20"/>
      <w:lang w:val="es-ES"/>
    </w:rPr>
  </w:style>
  <w:style w:type="paragraph" w:styleId="Textosinformato">
    <w:name w:val="Plain Text"/>
    <w:basedOn w:val="Normal"/>
    <w:link w:val="TextosinformatoCar"/>
    <w:semiHidden/>
    <w:rsid w:val="002106CD"/>
    <w:rPr>
      <w:rFonts w:ascii="Courier New" w:eastAsia="MS Mincho" w:hAnsi="Courier New"/>
      <w:sz w:val="20"/>
      <w:szCs w:val="20"/>
      <w:lang w:val="es-ES" w:eastAsia="ja-JP"/>
    </w:rPr>
  </w:style>
  <w:style w:type="character" w:customStyle="1" w:styleId="TextosinformatoCar">
    <w:name w:val="Texto sin formato Car"/>
    <w:basedOn w:val="Fuentedeprrafopredeter"/>
    <w:link w:val="Textosinformato"/>
    <w:semiHidden/>
    <w:rsid w:val="002106CD"/>
    <w:rPr>
      <w:rFonts w:ascii="Courier New" w:eastAsia="MS Mincho" w:hAnsi="Courier New" w:cs="Times New Roman"/>
      <w:sz w:val="20"/>
      <w:szCs w:val="20"/>
      <w:lang w:eastAsia="ja-JP"/>
    </w:rPr>
  </w:style>
  <w:style w:type="paragraph" w:styleId="Sangradetextonormal">
    <w:name w:val="Body Text Indent"/>
    <w:basedOn w:val="Normal"/>
    <w:link w:val="SangradetextonormalCar"/>
    <w:uiPriority w:val="99"/>
    <w:semiHidden/>
    <w:unhideWhenUsed/>
    <w:rsid w:val="00081273"/>
    <w:pPr>
      <w:spacing w:after="120"/>
      <w:ind w:left="283"/>
    </w:pPr>
  </w:style>
  <w:style w:type="character" w:customStyle="1" w:styleId="SangradetextonormalCar">
    <w:name w:val="Sangría de texto normal Car"/>
    <w:basedOn w:val="Fuentedeprrafopredeter"/>
    <w:link w:val="Sangradetextonormal"/>
    <w:uiPriority w:val="99"/>
    <w:semiHidden/>
    <w:rsid w:val="0008127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F40B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B8F"/>
    <w:rPr>
      <w:rFonts w:ascii="Segoe UI" w:eastAsia="Times New Roman" w:hAnsi="Segoe UI" w:cs="Segoe UI"/>
      <w:sz w:val="18"/>
      <w:szCs w:val="18"/>
      <w:lang w:val="es-CO" w:eastAsia="es-ES"/>
    </w:rPr>
  </w:style>
  <w:style w:type="paragraph" w:styleId="Textoindependiente2">
    <w:name w:val="Body Text 2"/>
    <w:basedOn w:val="Normal"/>
    <w:link w:val="Textoindependiente2Car"/>
    <w:uiPriority w:val="99"/>
    <w:semiHidden/>
    <w:unhideWhenUsed/>
    <w:rsid w:val="00DC1BA0"/>
    <w:pPr>
      <w:spacing w:after="120" w:line="480" w:lineRule="auto"/>
    </w:pPr>
  </w:style>
  <w:style w:type="character" w:customStyle="1" w:styleId="Textoindependiente2Car">
    <w:name w:val="Texto independiente 2 Car"/>
    <w:basedOn w:val="Fuentedeprrafopredeter"/>
    <w:link w:val="Textoindependiente2"/>
    <w:uiPriority w:val="99"/>
    <w:semiHidden/>
    <w:rsid w:val="00DC1BA0"/>
    <w:rPr>
      <w:rFonts w:ascii="Times New Roman" w:eastAsia="Times New Roman" w:hAnsi="Times New Roman" w:cs="Times New Roman"/>
      <w:sz w:val="24"/>
      <w:szCs w:val="24"/>
      <w:lang w:val="es-CO" w:eastAsia="es-ES"/>
    </w:rPr>
  </w:style>
  <w:style w:type="character" w:customStyle="1" w:styleId="Ttulo3Car">
    <w:name w:val="Título 3 Car"/>
    <w:basedOn w:val="Fuentedeprrafopredeter"/>
    <w:link w:val="Ttulo3"/>
    <w:rsid w:val="00DC1BA0"/>
    <w:rPr>
      <w:rFonts w:ascii="Arial" w:eastAsia="Times New Roman" w:hAnsi="Arial" w:cs="Times New Roman"/>
      <w:b/>
      <w:sz w:val="36"/>
      <w:szCs w:val="20"/>
      <w:lang w:val="es-ES_tradnl" w:eastAsia="es-ES"/>
    </w:rPr>
  </w:style>
  <w:style w:type="paragraph" w:customStyle="1" w:styleId="Textoindependiente21">
    <w:name w:val="Texto independiente 21"/>
    <w:basedOn w:val="Normal"/>
    <w:rsid w:val="00DC1BA0"/>
    <w:pPr>
      <w:spacing w:line="360" w:lineRule="auto"/>
      <w:jc w:val="both"/>
    </w:pPr>
    <w:rPr>
      <w:rFonts w:ascii="Arial" w:hAnsi="Arial"/>
      <w:b/>
      <w:sz w:val="28"/>
      <w:szCs w:val="20"/>
      <w:lang w:val="es-ES_tradnl"/>
    </w:rPr>
  </w:style>
  <w:style w:type="paragraph" w:customStyle="1" w:styleId="Prrafodelista1">
    <w:name w:val="Párrafo de lista1"/>
    <w:basedOn w:val="Normal"/>
    <w:rsid w:val="00DC1BA0"/>
    <w:pPr>
      <w:spacing w:after="200" w:line="276" w:lineRule="auto"/>
      <w:ind w:left="720"/>
      <w:contextualSpacing/>
    </w:pPr>
    <w:rPr>
      <w:rFonts w:ascii="Calibri" w:hAnsi="Calibri"/>
      <w:sz w:val="22"/>
      <w:szCs w:val="22"/>
      <w:lang w:eastAsia="en-US"/>
    </w:rPr>
  </w:style>
  <w:style w:type="character" w:styleId="Hipervnculo">
    <w:name w:val="Hyperlink"/>
    <w:basedOn w:val="Fuentedeprrafopredeter"/>
    <w:uiPriority w:val="99"/>
    <w:unhideWhenUsed/>
    <w:rsid w:val="00B8062B"/>
    <w:rPr>
      <w:color w:val="0563C1" w:themeColor="hyperlink"/>
      <w:u w:val="single"/>
    </w:rPr>
  </w:style>
  <w:style w:type="character" w:customStyle="1" w:styleId="UnresolvedMention">
    <w:name w:val="Unresolved Mention"/>
    <w:basedOn w:val="Fuentedeprrafopredeter"/>
    <w:uiPriority w:val="99"/>
    <w:semiHidden/>
    <w:unhideWhenUsed/>
    <w:rsid w:val="00B8062B"/>
    <w:rPr>
      <w:color w:val="605E5C"/>
      <w:shd w:val="clear" w:color="auto" w:fill="E1DFDD"/>
    </w:rPr>
  </w:style>
  <w:style w:type="paragraph" w:customStyle="1" w:styleId="paragraph">
    <w:name w:val="paragraph"/>
    <w:basedOn w:val="Normal"/>
    <w:rsid w:val="00A4163C"/>
    <w:pPr>
      <w:spacing w:before="100" w:beforeAutospacing="1" w:after="100" w:afterAutospacing="1"/>
    </w:pPr>
    <w:rPr>
      <w:lang w:eastAsia="es-MX"/>
    </w:rPr>
  </w:style>
  <w:style w:type="character" w:customStyle="1" w:styleId="normaltextrun">
    <w:name w:val="normaltextrun"/>
    <w:basedOn w:val="Fuentedeprrafopredeter"/>
    <w:rsid w:val="00A4163C"/>
  </w:style>
  <w:style w:type="character" w:customStyle="1" w:styleId="eop">
    <w:name w:val="eop"/>
    <w:basedOn w:val="Fuentedeprrafopredeter"/>
    <w:rsid w:val="00A4163C"/>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9696">
      <w:bodyDiv w:val="1"/>
      <w:marLeft w:val="0"/>
      <w:marRight w:val="0"/>
      <w:marTop w:val="0"/>
      <w:marBottom w:val="0"/>
      <w:divBdr>
        <w:top w:val="none" w:sz="0" w:space="0" w:color="auto"/>
        <w:left w:val="none" w:sz="0" w:space="0" w:color="auto"/>
        <w:bottom w:val="none" w:sz="0" w:space="0" w:color="auto"/>
        <w:right w:val="none" w:sz="0" w:space="0" w:color="auto"/>
      </w:divBdr>
    </w:div>
    <w:div w:id="483203775">
      <w:bodyDiv w:val="1"/>
      <w:marLeft w:val="0"/>
      <w:marRight w:val="0"/>
      <w:marTop w:val="0"/>
      <w:marBottom w:val="0"/>
      <w:divBdr>
        <w:top w:val="none" w:sz="0" w:space="0" w:color="auto"/>
        <w:left w:val="none" w:sz="0" w:space="0" w:color="auto"/>
        <w:bottom w:val="none" w:sz="0" w:space="0" w:color="auto"/>
        <w:right w:val="none" w:sz="0" w:space="0" w:color="auto"/>
      </w:divBdr>
    </w:div>
    <w:div w:id="1114668535">
      <w:bodyDiv w:val="1"/>
      <w:marLeft w:val="0"/>
      <w:marRight w:val="0"/>
      <w:marTop w:val="0"/>
      <w:marBottom w:val="0"/>
      <w:divBdr>
        <w:top w:val="none" w:sz="0" w:space="0" w:color="auto"/>
        <w:left w:val="none" w:sz="0" w:space="0" w:color="auto"/>
        <w:bottom w:val="none" w:sz="0" w:space="0" w:color="auto"/>
        <w:right w:val="none" w:sz="0" w:space="0" w:color="auto"/>
      </w:divBdr>
      <w:divsChild>
        <w:div w:id="2112042274">
          <w:marLeft w:val="0"/>
          <w:marRight w:val="0"/>
          <w:marTop w:val="0"/>
          <w:marBottom w:val="0"/>
          <w:divBdr>
            <w:top w:val="none" w:sz="0" w:space="0" w:color="auto"/>
            <w:left w:val="none" w:sz="0" w:space="0" w:color="auto"/>
            <w:bottom w:val="none" w:sz="0" w:space="0" w:color="auto"/>
            <w:right w:val="none" w:sz="0" w:space="0" w:color="auto"/>
          </w:divBdr>
        </w:div>
        <w:div w:id="1747414743">
          <w:marLeft w:val="0"/>
          <w:marRight w:val="0"/>
          <w:marTop w:val="0"/>
          <w:marBottom w:val="0"/>
          <w:divBdr>
            <w:top w:val="none" w:sz="0" w:space="0" w:color="auto"/>
            <w:left w:val="none" w:sz="0" w:space="0" w:color="auto"/>
            <w:bottom w:val="none" w:sz="0" w:space="0" w:color="auto"/>
            <w:right w:val="none" w:sz="0" w:space="0" w:color="auto"/>
          </w:divBdr>
        </w:div>
        <w:div w:id="1234854305">
          <w:marLeft w:val="0"/>
          <w:marRight w:val="0"/>
          <w:marTop w:val="0"/>
          <w:marBottom w:val="0"/>
          <w:divBdr>
            <w:top w:val="none" w:sz="0" w:space="0" w:color="auto"/>
            <w:left w:val="none" w:sz="0" w:space="0" w:color="auto"/>
            <w:bottom w:val="none" w:sz="0" w:space="0" w:color="auto"/>
            <w:right w:val="none" w:sz="0" w:space="0" w:color="auto"/>
          </w:divBdr>
        </w:div>
        <w:div w:id="226576698">
          <w:marLeft w:val="0"/>
          <w:marRight w:val="0"/>
          <w:marTop w:val="0"/>
          <w:marBottom w:val="0"/>
          <w:divBdr>
            <w:top w:val="none" w:sz="0" w:space="0" w:color="auto"/>
            <w:left w:val="none" w:sz="0" w:space="0" w:color="auto"/>
            <w:bottom w:val="none" w:sz="0" w:space="0" w:color="auto"/>
            <w:right w:val="none" w:sz="0" w:space="0" w:color="auto"/>
          </w:divBdr>
        </w:div>
      </w:divsChild>
    </w:div>
    <w:div w:id="11485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3520-4718-4ACB-A737-249F0FC39BC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77B30D68-2A72-4DB3-AC29-BF44A32CE459}">
  <ds:schemaRefs>
    <ds:schemaRef ds:uri="http://schemas.microsoft.com/sharepoint/v3/contenttype/forms"/>
  </ds:schemaRefs>
</ds:datastoreItem>
</file>

<file path=customXml/itemProps3.xml><?xml version="1.0" encoding="utf-8"?>
<ds:datastoreItem xmlns:ds="http://schemas.openxmlformats.org/officeDocument/2006/customXml" ds:itemID="{076BBF71-47F5-47FF-8F2D-189F7B2DF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80713-4373-4420-BA0F-12AAD6DB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3528</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samsung</cp:lastModifiedBy>
  <cp:revision>16</cp:revision>
  <cp:lastPrinted>2020-03-10T16:15:00Z</cp:lastPrinted>
  <dcterms:created xsi:type="dcterms:W3CDTF">2023-09-28T12:28:00Z</dcterms:created>
  <dcterms:modified xsi:type="dcterms:W3CDTF">2023-11-27T12:48:00Z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