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7882" w14:textId="7792FC0C" w:rsidR="00F15DD0" w:rsidRPr="009D0E82" w:rsidRDefault="009D0E82" w:rsidP="00F15DD0">
      <w:pPr>
        <w:jc w:val="both"/>
        <w:textAlignment w:val="baseline"/>
        <w:rPr>
          <w:rFonts w:cs="Arial"/>
          <w:b/>
          <w:sz w:val="20"/>
          <w:lang w:val="es-CO" w:eastAsia="es-CO"/>
        </w:rPr>
      </w:pPr>
      <w:bookmarkStart w:id="0" w:name="_Hlk55812752"/>
      <w:r>
        <w:rPr>
          <w:rFonts w:cs="Arial"/>
          <w:b/>
          <w:sz w:val="20"/>
          <w:lang w:val="es-CO" w:eastAsia="es-CO"/>
        </w:rPr>
        <w:t xml:space="preserve">PROCESO ORDINARIO / MEDIDAS CAUTELARES / ARTÍCULO </w:t>
      </w:r>
      <w:proofErr w:type="spellStart"/>
      <w:r>
        <w:rPr>
          <w:rFonts w:cs="Arial"/>
          <w:b/>
          <w:sz w:val="20"/>
          <w:lang w:val="es-CO" w:eastAsia="es-CO"/>
        </w:rPr>
        <w:t>85A</w:t>
      </w:r>
      <w:proofErr w:type="spellEnd"/>
      <w:r>
        <w:rPr>
          <w:rFonts w:cs="Arial"/>
          <w:b/>
          <w:sz w:val="20"/>
          <w:lang w:val="es-CO" w:eastAsia="es-CO"/>
        </w:rPr>
        <w:t xml:space="preserve"> </w:t>
      </w:r>
      <w:proofErr w:type="spellStart"/>
      <w:r>
        <w:rPr>
          <w:rFonts w:cs="Arial"/>
          <w:b/>
          <w:sz w:val="20"/>
          <w:lang w:val="es-CO" w:eastAsia="es-CO"/>
        </w:rPr>
        <w:t>CPT</w:t>
      </w:r>
      <w:proofErr w:type="spellEnd"/>
      <w:r>
        <w:rPr>
          <w:rFonts w:cs="Arial"/>
          <w:b/>
          <w:sz w:val="20"/>
          <w:lang w:val="es-CO" w:eastAsia="es-CO"/>
        </w:rPr>
        <w:t xml:space="preserve"> E INNOMINADAS</w:t>
      </w:r>
    </w:p>
    <w:p w14:paraId="30BE015F" w14:textId="2ACA498B" w:rsidR="00F15DD0" w:rsidRPr="00F15DD0" w:rsidRDefault="009D0E82" w:rsidP="009D0E82">
      <w:pPr>
        <w:jc w:val="both"/>
        <w:textAlignment w:val="baseline"/>
        <w:rPr>
          <w:rFonts w:cs="Arial"/>
          <w:sz w:val="20"/>
          <w:lang w:val="es-CO" w:eastAsia="es-CO"/>
        </w:rPr>
      </w:pPr>
      <w:r w:rsidRPr="009D0E82">
        <w:rPr>
          <w:rFonts w:cs="Arial"/>
          <w:sz w:val="20"/>
          <w:lang w:val="es-CO" w:eastAsia="es-CO"/>
        </w:rPr>
        <w:t xml:space="preserve">El artículo 85 A modificado por el artículo </w:t>
      </w:r>
      <w:proofErr w:type="spellStart"/>
      <w:r w:rsidRPr="009D0E82">
        <w:rPr>
          <w:rFonts w:cs="Arial"/>
          <w:sz w:val="20"/>
          <w:lang w:val="es-CO" w:eastAsia="es-CO"/>
        </w:rPr>
        <w:t>37A</w:t>
      </w:r>
      <w:proofErr w:type="spellEnd"/>
      <w:r w:rsidRPr="009D0E82">
        <w:rPr>
          <w:rFonts w:cs="Arial"/>
          <w:sz w:val="20"/>
          <w:lang w:val="es-CO" w:eastAsia="es-CO"/>
        </w:rPr>
        <w:t xml:space="preserve"> de la ley 712 de 2001 se ocupa de establecer como medida cautelar dentro de los procesos ordinarios -la caución entre 30% y 50% del valor de las pretensiones al momento de decretarse; que debe prestar el demandado para garantizar el cumplimiento de la sentencia, so pena de</w:t>
      </w:r>
      <w:r>
        <w:rPr>
          <w:rFonts w:cs="Arial"/>
          <w:sz w:val="20"/>
          <w:lang w:val="es-CO" w:eastAsia="es-CO"/>
        </w:rPr>
        <w:t xml:space="preserve"> no ser oído.  </w:t>
      </w:r>
      <w:r w:rsidRPr="009D0E82">
        <w:rPr>
          <w:rFonts w:cs="Arial"/>
          <w:sz w:val="20"/>
          <w:lang w:val="es-CO" w:eastAsia="es-CO"/>
        </w:rPr>
        <w:t>A su vez, en sentencia C-043/2021 la Corte Constitucional declaró exequible condicionadamente dicho artículo bajo el entendido de que en la jurisdicción ordinaria laboral también podrán invocarse medidas cautelares innominadas</w:t>
      </w:r>
      <w:r>
        <w:rPr>
          <w:rFonts w:cs="Arial"/>
          <w:sz w:val="20"/>
          <w:lang w:val="es-CO" w:eastAsia="es-CO"/>
        </w:rPr>
        <w:t>…</w:t>
      </w:r>
    </w:p>
    <w:p w14:paraId="044773CE" w14:textId="77777777" w:rsidR="00F15DD0" w:rsidRPr="00F15DD0" w:rsidRDefault="00F15DD0" w:rsidP="00F15DD0">
      <w:pPr>
        <w:jc w:val="both"/>
        <w:textAlignment w:val="baseline"/>
        <w:rPr>
          <w:rFonts w:cs="Arial"/>
          <w:sz w:val="20"/>
          <w:lang w:val="es-CO" w:eastAsia="es-CO"/>
        </w:rPr>
      </w:pPr>
    </w:p>
    <w:p w14:paraId="22104FD7" w14:textId="278770F6" w:rsidR="009D0E82" w:rsidRPr="009D0E82" w:rsidRDefault="009D0E82" w:rsidP="009D0E82">
      <w:pPr>
        <w:jc w:val="both"/>
        <w:textAlignment w:val="baseline"/>
        <w:rPr>
          <w:rFonts w:cs="Arial"/>
          <w:b/>
          <w:sz w:val="20"/>
          <w:lang w:val="es-CO" w:eastAsia="es-CO"/>
        </w:rPr>
      </w:pPr>
      <w:r>
        <w:rPr>
          <w:rFonts w:cs="Arial"/>
          <w:b/>
          <w:sz w:val="20"/>
          <w:lang w:val="es-CO" w:eastAsia="es-CO"/>
        </w:rPr>
        <w:t xml:space="preserve">MEDIDAS CAUTELARES / </w:t>
      </w:r>
      <w:r w:rsidR="009A6FF7">
        <w:rPr>
          <w:rFonts w:cs="Arial"/>
          <w:b/>
          <w:sz w:val="20"/>
          <w:lang w:val="es-CO" w:eastAsia="es-CO"/>
        </w:rPr>
        <w:t>CAUCIÓN / REQUISITOS / CARGA PROBATORIA</w:t>
      </w:r>
    </w:p>
    <w:p w14:paraId="44325497" w14:textId="3916C4CC" w:rsidR="00F15DD0" w:rsidRPr="009A6FF7" w:rsidRDefault="009A6FF7" w:rsidP="009A6FF7">
      <w:pPr>
        <w:jc w:val="both"/>
        <w:textAlignment w:val="baseline"/>
        <w:rPr>
          <w:rFonts w:cs="Arial"/>
          <w:sz w:val="20"/>
          <w:lang w:val="es-CO" w:eastAsia="es-CO"/>
        </w:rPr>
      </w:pPr>
      <w:r w:rsidRPr="009A6FF7">
        <w:rPr>
          <w:rFonts w:cs="Arial"/>
          <w:sz w:val="20"/>
          <w:lang w:val="es-CO" w:eastAsia="es-CO"/>
        </w:rPr>
        <w:t xml:space="preserve">Ahora bien, retornando a la caución solicitada por el recurrente ante el a quo, que es la contemplada en el artículo </w:t>
      </w:r>
      <w:proofErr w:type="spellStart"/>
      <w:r w:rsidRPr="009A6FF7">
        <w:rPr>
          <w:rFonts w:cs="Arial"/>
          <w:sz w:val="20"/>
          <w:lang w:val="es-CO" w:eastAsia="es-CO"/>
        </w:rPr>
        <w:t>85A</w:t>
      </w:r>
      <w:proofErr w:type="spellEnd"/>
      <w:r w:rsidRPr="009A6FF7">
        <w:rPr>
          <w:rFonts w:cs="Arial"/>
          <w:sz w:val="20"/>
          <w:lang w:val="es-CO" w:eastAsia="es-CO"/>
        </w:rPr>
        <w:t xml:space="preserve">, para imponerla debe acreditarse alguna de estas dos circunstancias: i) cuando el demandando ejecuta actos tendientes a </w:t>
      </w:r>
      <w:proofErr w:type="spellStart"/>
      <w:r w:rsidRPr="009A6FF7">
        <w:rPr>
          <w:rFonts w:cs="Arial"/>
          <w:sz w:val="20"/>
          <w:lang w:val="es-CO" w:eastAsia="es-CO"/>
        </w:rPr>
        <w:t>insolventarse</w:t>
      </w:r>
      <w:proofErr w:type="spellEnd"/>
      <w:r w:rsidRPr="009A6FF7">
        <w:rPr>
          <w:rFonts w:cs="Arial"/>
          <w:sz w:val="20"/>
          <w:lang w:val="es-CO" w:eastAsia="es-CO"/>
        </w:rPr>
        <w:t xml:space="preserve"> o impedir la efectividad de la sentencia, o ii) cuando el demandado se encuentre en graves y serias dificultades para el cumplimiento oportuno de sus obligaciones. Hechos que tend</w:t>
      </w:r>
      <w:r>
        <w:rPr>
          <w:rFonts w:cs="Arial"/>
          <w:sz w:val="20"/>
          <w:lang w:val="es-CO" w:eastAsia="es-CO"/>
        </w:rPr>
        <w:t xml:space="preserve">rá que demostrar el demandante.  </w:t>
      </w:r>
      <w:r w:rsidRPr="009A6FF7">
        <w:rPr>
          <w:rFonts w:cs="Arial"/>
          <w:sz w:val="20"/>
          <w:lang w:val="es-CO" w:eastAsia="es-CO"/>
        </w:rPr>
        <w:t>Sin embargo, para su procedencia resulta imperativo que se acrediten los supuestos de hecho contemplados en la norma, de manera tal que los dos eventos atrás señalados, deben estar debidamente comprobados</w:t>
      </w:r>
      <w:r>
        <w:rPr>
          <w:rFonts w:cs="Arial"/>
          <w:sz w:val="20"/>
          <w:lang w:val="es-CO" w:eastAsia="es-CO"/>
        </w:rPr>
        <w:t>…</w:t>
      </w:r>
    </w:p>
    <w:p w14:paraId="59E40BE1" w14:textId="77777777" w:rsidR="00F15DD0" w:rsidRPr="00F15DD0" w:rsidRDefault="00F15DD0" w:rsidP="00F15DD0">
      <w:pPr>
        <w:jc w:val="both"/>
        <w:textAlignment w:val="baseline"/>
        <w:rPr>
          <w:rFonts w:cs="Arial"/>
          <w:sz w:val="20"/>
          <w:lang w:val="es-CO" w:eastAsia="es-CO"/>
        </w:rPr>
      </w:pPr>
    </w:p>
    <w:p w14:paraId="6049585D" w14:textId="298D5BE7" w:rsidR="00AC1A83" w:rsidRPr="009D0E82" w:rsidRDefault="00AC1A83" w:rsidP="00AC1A83">
      <w:pPr>
        <w:jc w:val="both"/>
        <w:textAlignment w:val="baseline"/>
        <w:rPr>
          <w:rFonts w:cs="Arial"/>
          <w:b/>
          <w:sz w:val="20"/>
          <w:lang w:val="es-CO" w:eastAsia="es-CO"/>
        </w:rPr>
      </w:pPr>
      <w:r>
        <w:rPr>
          <w:rFonts w:cs="Arial"/>
          <w:b/>
          <w:sz w:val="20"/>
          <w:lang w:val="es-CO" w:eastAsia="es-CO"/>
        </w:rPr>
        <w:t>HEREDEROS / DERECHOS EN LA SUCESIÓN / BENEFICIO DE INVENTARIO / EFECTOS</w:t>
      </w:r>
    </w:p>
    <w:p w14:paraId="1CA8AD94" w14:textId="04720279" w:rsidR="00F15DD0" w:rsidRPr="00AC1A83" w:rsidRDefault="00AC1A83" w:rsidP="00AC1A83">
      <w:pPr>
        <w:jc w:val="both"/>
        <w:textAlignment w:val="baseline"/>
        <w:rPr>
          <w:rFonts w:cs="Arial"/>
          <w:sz w:val="20"/>
          <w:lang w:val="es-CO" w:eastAsia="es-CO"/>
        </w:rPr>
      </w:pPr>
      <w:r>
        <w:rPr>
          <w:rFonts w:cs="Arial"/>
          <w:sz w:val="20"/>
          <w:lang w:val="es-CO" w:eastAsia="es-CO"/>
        </w:rPr>
        <w:t xml:space="preserve">… </w:t>
      </w:r>
      <w:r w:rsidRPr="00AC1A83">
        <w:rPr>
          <w:rFonts w:cs="Arial"/>
          <w:sz w:val="20"/>
          <w:lang w:val="es-CO" w:eastAsia="es-CO"/>
        </w:rPr>
        <w:t xml:space="preserve">para superar la confusión de patrimonios con la muerte del causante y su heredero, la legislación civil ingresó la institución jurídica del beneficio de inventario – art. 1304 del C.C. – que establece que “consiste en no hacer a los herederos que aceptan, responsables de las obligaciones hereditarias o testamentarias, sino hasta concurrencia del valor total de los </w:t>
      </w:r>
      <w:r>
        <w:rPr>
          <w:rFonts w:cs="Arial"/>
          <w:sz w:val="20"/>
          <w:lang w:val="es-CO" w:eastAsia="es-CO"/>
        </w:rPr>
        <w:t xml:space="preserve">bienes, que han heredado”.  </w:t>
      </w:r>
      <w:r w:rsidRPr="00AC1A83">
        <w:rPr>
          <w:rFonts w:cs="Arial"/>
          <w:sz w:val="20"/>
          <w:lang w:val="es-CO" w:eastAsia="es-CO"/>
        </w:rPr>
        <w:t xml:space="preserve">En ese sentido, todos los herederos, sin excepción alguna, gozan de este beneficio de inventario para eliminar toda responsabilidad personal del heredero y por ello, los acreedores hereditarios y testamentarios tienen que resignarse a hacer efectivos sus créditos sobre los bienes de la masa </w:t>
      </w:r>
      <w:proofErr w:type="spellStart"/>
      <w:r w:rsidRPr="00AC1A83">
        <w:rPr>
          <w:rFonts w:cs="Arial"/>
          <w:sz w:val="20"/>
          <w:lang w:val="es-CO" w:eastAsia="es-CO"/>
        </w:rPr>
        <w:t>herencial</w:t>
      </w:r>
      <w:proofErr w:type="spellEnd"/>
      <w:r w:rsidRPr="00AC1A83">
        <w:rPr>
          <w:rFonts w:cs="Arial"/>
          <w:sz w:val="20"/>
          <w:lang w:val="es-CO" w:eastAsia="es-CO"/>
        </w:rPr>
        <w:t>, pues no pueden perseguir los bienes del heredero.</w:t>
      </w:r>
    </w:p>
    <w:p w14:paraId="0E17BD64" w14:textId="77777777" w:rsidR="00F15DD0" w:rsidRPr="00F15DD0" w:rsidRDefault="00F15DD0" w:rsidP="00F15DD0">
      <w:pPr>
        <w:jc w:val="both"/>
        <w:textAlignment w:val="baseline"/>
        <w:rPr>
          <w:rFonts w:cs="Arial"/>
          <w:sz w:val="20"/>
          <w:lang w:val="es-CO" w:eastAsia="es-CO"/>
        </w:rPr>
      </w:pPr>
    </w:p>
    <w:p w14:paraId="2CC4ECF6" w14:textId="77777777" w:rsidR="00F15DD0" w:rsidRPr="00F15DD0" w:rsidRDefault="00F15DD0" w:rsidP="00F15DD0">
      <w:pPr>
        <w:jc w:val="both"/>
        <w:textAlignment w:val="baseline"/>
        <w:rPr>
          <w:rFonts w:cs="Arial"/>
          <w:sz w:val="20"/>
          <w:lang w:val="es-CO" w:eastAsia="es-CO"/>
        </w:rPr>
      </w:pPr>
    </w:p>
    <w:p w14:paraId="19C37754" w14:textId="77777777" w:rsidR="00F15DD0" w:rsidRPr="00F15DD0" w:rsidRDefault="00F15DD0" w:rsidP="00F15DD0">
      <w:pPr>
        <w:jc w:val="both"/>
        <w:textAlignment w:val="baseline"/>
        <w:rPr>
          <w:rFonts w:cs="Arial"/>
          <w:sz w:val="20"/>
          <w:lang w:val="es-CO" w:eastAsia="es-CO"/>
        </w:rPr>
      </w:pPr>
    </w:p>
    <w:p w14:paraId="7AC5A2CF"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noProof/>
          <w:sz w:val="24"/>
          <w:lang w:val="en-US" w:eastAsia="en-US"/>
        </w:rPr>
        <w:drawing>
          <wp:inline distT="0" distB="0" distL="0" distR="0" wp14:anchorId="2B34FBDB" wp14:editId="2AAEB9A8">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F15DD0">
        <w:rPr>
          <w:rFonts w:cs="Arial"/>
          <w:sz w:val="24"/>
          <w:lang w:val="es-CO" w:eastAsia="es-CO"/>
        </w:rPr>
        <w:t> </w:t>
      </w:r>
    </w:p>
    <w:p w14:paraId="0B03E27A"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RAMA JUDICIAL DEL PODER PÚBLICO</w:t>
      </w:r>
      <w:r w:rsidRPr="00F15DD0">
        <w:rPr>
          <w:rFonts w:cs="Arial"/>
          <w:sz w:val="24"/>
          <w:lang w:val="es-CO" w:eastAsia="es-CO"/>
        </w:rPr>
        <w:t> </w:t>
      </w:r>
    </w:p>
    <w:p w14:paraId="2F141ECA"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TRIBUNAL SUPERIOR DEL DISTRITO JUDICIAL DE PEREIRA</w:t>
      </w:r>
      <w:r w:rsidRPr="00F15DD0">
        <w:rPr>
          <w:rFonts w:cs="Arial"/>
          <w:sz w:val="24"/>
          <w:lang w:val="es-CO" w:eastAsia="es-CO"/>
        </w:rPr>
        <w:t> </w:t>
      </w:r>
    </w:p>
    <w:p w14:paraId="31EDF543"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SALA DE DECISIÓN LABORAL</w:t>
      </w:r>
      <w:r w:rsidRPr="00F15DD0">
        <w:rPr>
          <w:rFonts w:cs="Arial"/>
          <w:sz w:val="24"/>
          <w:lang w:val="es-CO" w:eastAsia="es-CO"/>
        </w:rPr>
        <w:t> </w:t>
      </w:r>
    </w:p>
    <w:p w14:paraId="10E6E8EE" w14:textId="77777777" w:rsidR="00F15DD0" w:rsidRPr="00F15DD0" w:rsidRDefault="00F15DD0" w:rsidP="00F15DD0">
      <w:pPr>
        <w:spacing w:line="276" w:lineRule="auto"/>
        <w:jc w:val="both"/>
        <w:textAlignment w:val="baseline"/>
        <w:rPr>
          <w:rFonts w:cs="Arial"/>
          <w:sz w:val="24"/>
          <w:lang w:val="es-CO" w:eastAsia="es-CO"/>
        </w:rPr>
      </w:pPr>
      <w:r w:rsidRPr="00F15DD0">
        <w:rPr>
          <w:rFonts w:cs="Arial"/>
          <w:sz w:val="24"/>
          <w:lang w:val="es-CO" w:eastAsia="es-CO"/>
        </w:rPr>
        <w:t> </w:t>
      </w:r>
    </w:p>
    <w:p w14:paraId="0582A0EC"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color w:val="000000"/>
          <w:sz w:val="24"/>
          <w:lang w:eastAsia="es-CO"/>
        </w:rPr>
        <w:t>Magistrada Ponente</w:t>
      </w:r>
      <w:r w:rsidRPr="00F15DD0">
        <w:rPr>
          <w:rFonts w:cs="Arial"/>
          <w:color w:val="000000"/>
          <w:sz w:val="24"/>
          <w:lang w:val="es-CO" w:eastAsia="es-CO"/>
        </w:rPr>
        <w:t> </w:t>
      </w:r>
    </w:p>
    <w:p w14:paraId="7F642285"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color w:val="000000"/>
          <w:sz w:val="24"/>
          <w:lang w:val="es-CO" w:eastAsia="es-CO"/>
        </w:rPr>
        <w:t>OLGA LUCÍA HOYOS SEPÚLVEDA</w:t>
      </w:r>
      <w:r w:rsidRPr="00F15DD0">
        <w:rPr>
          <w:rFonts w:cs="Arial"/>
          <w:color w:val="000000"/>
          <w:sz w:val="24"/>
          <w:lang w:val="es-CO" w:eastAsia="es-CO"/>
        </w:rPr>
        <w:t> </w:t>
      </w:r>
    </w:p>
    <w:p w14:paraId="3F8D4FA3" w14:textId="77777777" w:rsidR="00F15DD0" w:rsidRPr="00F15DD0" w:rsidRDefault="00F15DD0" w:rsidP="00F15DD0">
      <w:pPr>
        <w:spacing w:line="276" w:lineRule="auto"/>
        <w:jc w:val="both"/>
        <w:textAlignment w:val="baseline"/>
        <w:rPr>
          <w:rFonts w:cs="Arial"/>
          <w:sz w:val="24"/>
          <w:lang w:val="es-CO" w:eastAsia="es-CO"/>
        </w:rPr>
      </w:pPr>
      <w:r w:rsidRPr="00F15DD0">
        <w:rPr>
          <w:rFonts w:cs="Arial"/>
          <w:color w:val="000000"/>
          <w:sz w:val="24"/>
          <w:lang w:val="es-CO" w:eastAsia="es-CO"/>
        </w:rPr>
        <w:t> </w:t>
      </w:r>
    </w:p>
    <w:p w14:paraId="157D7860" w14:textId="79F11F9B" w:rsidR="005537C5" w:rsidRPr="00A425D5" w:rsidRDefault="005537C5" w:rsidP="00F15DD0">
      <w:pPr>
        <w:ind w:left="2127"/>
        <w:jc w:val="both"/>
        <w:rPr>
          <w:rFonts w:cs="Arial"/>
          <w:sz w:val="22"/>
        </w:rPr>
      </w:pPr>
      <w:r w:rsidRPr="00A425D5">
        <w:rPr>
          <w:rFonts w:cs="Arial"/>
          <w:bCs/>
          <w:sz w:val="22"/>
        </w:rPr>
        <w:t>Providencia.</w:t>
      </w:r>
      <w:r w:rsidR="00F15DD0" w:rsidRPr="00A425D5">
        <w:rPr>
          <w:rFonts w:cs="Arial"/>
          <w:bCs/>
          <w:sz w:val="22"/>
        </w:rPr>
        <w:tab/>
      </w:r>
      <w:r w:rsidRPr="00A425D5">
        <w:rPr>
          <w:rFonts w:cs="Arial"/>
          <w:sz w:val="22"/>
        </w:rPr>
        <w:tab/>
        <w:t>A</w:t>
      </w:r>
      <w:r w:rsidRPr="00A425D5">
        <w:rPr>
          <w:rFonts w:cs="Arial"/>
          <w:spacing w:val="-8"/>
          <w:sz w:val="22"/>
        </w:rPr>
        <w:t>pelación auto</w:t>
      </w:r>
    </w:p>
    <w:p w14:paraId="097FB373" w14:textId="3D8968B9" w:rsidR="005537C5" w:rsidRPr="00A425D5" w:rsidRDefault="005537C5" w:rsidP="00F15DD0">
      <w:pPr>
        <w:ind w:left="2127"/>
        <w:jc w:val="both"/>
        <w:rPr>
          <w:rFonts w:cs="Arial"/>
          <w:bCs/>
          <w:sz w:val="22"/>
        </w:rPr>
      </w:pPr>
      <w:r w:rsidRPr="00A425D5">
        <w:rPr>
          <w:rFonts w:cs="Arial"/>
          <w:bCs/>
          <w:sz w:val="22"/>
        </w:rPr>
        <w:t>Proceso.</w:t>
      </w:r>
      <w:r w:rsidR="00F15DD0" w:rsidRPr="00A425D5">
        <w:rPr>
          <w:rFonts w:cs="Arial"/>
          <w:bCs/>
          <w:sz w:val="22"/>
        </w:rPr>
        <w:tab/>
      </w:r>
      <w:r w:rsidRPr="00A425D5">
        <w:rPr>
          <w:rFonts w:cs="Arial"/>
          <w:bCs/>
          <w:sz w:val="22"/>
        </w:rPr>
        <w:tab/>
      </w:r>
      <w:r w:rsidR="00A2669A" w:rsidRPr="00A425D5">
        <w:rPr>
          <w:rFonts w:cs="Arial"/>
          <w:bCs/>
          <w:sz w:val="22"/>
        </w:rPr>
        <w:t>Ordinario</w:t>
      </w:r>
      <w:r w:rsidRPr="00A425D5">
        <w:rPr>
          <w:rFonts w:cs="Arial"/>
          <w:bCs/>
          <w:sz w:val="22"/>
        </w:rPr>
        <w:t xml:space="preserve"> Laboral </w:t>
      </w:r>
    </w:p>
    <w:p w14:paraId="0313FB94" w14:textId="12E17DA4" w:rsidR="005537C5" w:rsidRPr="00A425D5" w:rsidRDefault="005537C5" w:rsidP="00F15DD0">
      <w:pPr>
        <w:ind w:left="2127"/>
        <w:jc w:val="both"/>
        <w:rPr>
          <w:rFonts w:cs="Arial"/>
          <w:bCs/>
          <w:sz w:val="22"/>
        </w:rPr>
      </w:pPr>
      <w:r w:rsidRPr="00A425D5">
        <w:rPr>
          <w:rFonts w:cs="Arial"/>
          <w:bCs/>
          <w:sz w:val="22"/>
        </w:rPr>
        <w:t>Radicación No.</w:t>
      </w:r>
      <w:r w:rsidR="00F15DD0" w:rsidRPr="00A425D5">
        <w:rPr>
          <w:rFonts w:cs="Arial"/>
          <w:bCs/>
          <w:sz w:val="22"/>
        </w:rPr>
        <w:tab/>
      </w:r>
      <w:r w:rsidRPr="00A425D5">
        <w:rPr>
          <w:rFonts w:cs="Arial"/>
          <w:bCs/>
          <w:sz w:val="22"/>
        </w:rPr>
        <w:t>66</w:t>
      </w:r>
      <w:r w:rsidR="00862E45" w:rsidRPr="00A425D5">
        <w:rPr>
          <w:rFonts w:cs="Arial"/>
          <w:bCs/>
          <w:sz w:val="22"/>
        </w:rPr>
        <w:t>088</w:t>
      </w:r>
      <w:r w:rsidRPr="00A425D5">
        <w:rPr>
          <w:rFonts w:cs="Arial"/>
          <w:bCs/>
          <w:sz w:val="22"/>
        </w:rPr>
        <w:t>3</w:t>
      </w:r>
      <w:bookmarkStart w:id="1" w:name="_GoBack"/>
      <w:bookmarkEnd w:id="1"/>
      <w:r w:rsidRPr="00A425D5">
        <w:rPr>
          <w:rFonts w:cs="Arial"/>
          <w:bCs/>
          <w:sz w:val="22"/>
        </w:rPr>
        <w:t>1</w:t>
      </w:r>
      <w:r w:rsidR="00A2669A" w:rsidRPr="00A425D5">
        <w:rPr>
          <w:rFonts w:cs="Arial"/>
          <w:bCs/>
          <w:sz w:val="22"/>
        </w:rPr>
        <w:t>89</w:t>
      </w:r>
      <w:r w:rsidRPr="00A425D5">
        <w:rPr>
          <w:rFonts w:cs="Arial"/>
          <w:bCs/>
          <w:sz w:val="22"/>
        </w:rPr>
        <w:t>00</w:t>
      </w:r>
      <w:r w:rsidR="00A2669A" w:rsidRPr="00A425D5">
        <w:rPr>
          <w:rFonts w:cs="Arial"/>
          <w:bCs/>
          <w:sz w:val="22"/>
        </w:rPr>
        <w:t>1</w:t>
      </w:r>
      <w:r w:rsidRPr="00A425D5">
        <w:rPr>
          <w:rFonts w:cs="Arial"/>
          <w:bCs/>
          <w:sz w:val="22"/>
        </w:rPr>
        <w:t>20</w:t>
      </w:r>
      <w:r w:rsidR="00A2669A" w:rsidRPr="00A425D5">
        <w:rPr>
          <w:rFonts w:cs="Arial"/>
          <w:bCs/>
          <w:sz w:val="22"/>
        </w:rPr>
        <w:t>2</w:t>
      </w:r>
      <w:r w:rsidR="00862E45" w:rsidRPr="00A425D5">
        <w:rPr>
          <w:rFonts w:cs="Arial"/>
          <w:bCs/>
          <w:sz w:val="22"/>
        </w:rPr>
        <w:t>3</w:t>
      </w:r>
      <w:r w:rsidRPr="00A425D5">
        <w:rPr>
          <w:rFonts w:cs="Arial"/>
          <w:bCs/>
          <w:sz w:val="22"/>
        </w:rPr>
        <w:t>0</w:t>
      </w:r>
      <w:r w:rsidR="00862E45" w:rsidRPr="00A425D5">
        <w:rPr>
          <w:rFonts w:cs="Arial"/>
          <w:bCs/>
          <w:sz w:val="22"/>
        </w:rPr>
        <w:t>0018</w:t>
      </w:r>
      <w:r w:rsidRPr="00A425D5">
        <w:rPr>
          <w:rFonts w:cs="Arial"/>
          <w:bCs/>
          <w:sz w:val="22"/>
        </w:rPr>
        <w:t>01</w:t>
      </w:r>
    </w:p>
    <w:p w14:paraId="30A7041B" w14:textId="40C5EA3A" w:rsidR="005537C5" w:rsidRPr="00A425D5" w:rsidRDefault="005537C5" w:rsidP="00F15DD0">
      <w:pPr>
        <w:ind w:left="2127"/>
        <w:jc w:val="both"/>
        <w:rPr>
          <w:rFonts w:cs="Arial"/>
          <w:bCs/>
          <w:sz w:val="22"/>
        </w:rPr>
      </w:pPr>
      <w:r w:rsidRPr="00A425D5">
        <w:rPr>
          <w:rFonts w:cs="Arial"/>
          <w:bCs/>
          <w:sz w:val="22"/>
        </w:rPr>
        <w:t>Demandante.</w:t>
      </w:r>
      <w:r w:rsidR="00F15DD0" w:rsidRPr="00A425D5">
        <w:rPr>
          <w:rFonts w:cs="Arial"/>
          <w:bCs/>
          <w:sz w:val="22"/>
        </w:rPr>
        <w:tab/>
      </w:r>
      <w:r w:rsidRPr="00A425D5">
        <w:rPr>
          <w:rFonts w:cs="Arial"/>
          <w:bCs/>
          <w:sz w:val="22"/>
        </w:rPr>
        <w:tab/>
      </w:r>
      <w:proofErr w:type="spellStart"/>
      <w:r w:rsidR="00615361" w:rsidRPr="00A425D5">
        <w:rPr>
          <w:rFonts w:cs="Arial"/>
          <w:bCs/>
          <w:sz w:val="22"/>
        </w:rPr>
        <w:t>Jhon</w:t>
      </w:r>
      <w:proofErr w:type="spellEnd"/>
      <w:r w:rsidR="00615361" w:rsidRPr="00A425D5">
        <w:rPr>
          <w:rFonts w:cs="Arial"/>
          <w:bCs/>
          <w:sz w:val="22"/>
        </w:rPr>
        <w:t xml:space="preserve"> Fredy </w:t>
      </w:r>
      <w:proofErr w:type="spellStart"/>
      <w:r w:rsidR="00615361" w:rsidRPr="00A425D5">
        <w:rPr>
          <w:rFonts w:cs="Arial"/>
          <w:bCs/>
          <w:sz w:val="22"/>
        </w:rPr>
        <w:t>Quirama</w:t>
      </w:r>
      <w:proofErr w:type="spellEnd"/>
      <w:r w:rsidR="00615361" w:rsidRPr="00A425D5">
        <w:rPr>
          <w:rFonts w:cs="Arial"/>
          <w:bCs/>
          <w:sz w:val="22"/>
        </w:rPr>
        <w:t xml:space="preserve"> Herrera</w:t>
      </w:r>
    </w:p>
    <w:p w14:paraId="12554127" w14:textId="67A77E0D" w:rsidR="005537C5" w:rsidRPr="00A425D5" w:rsidRDefault="005537C5" w:rsidP="00F15DD0">
      <w:pPr>
        <w:ind w:left="2127"/>
        <w:jc w:val="both"/>
        <w:rPr>
          <w:rFonts w:cs="Arial"/>
          <w:bCs/>
          <w:sz w:val="22"/>
        </w:rPr>
      </w:pPr>
      <w:r w:rsidRPr="00A425D5">
        <w:rPr>
          <w:rFonts w:cs="Arial"/>
          <w:bCs/>
          <w:sz w:val="22"/>
        </w:rPr>
        <w:t>Demandado.</w:t>
      </w:r>
      <w:r w:rsidR="00F15DD0" w:rsidRPr="00A425D5">
        <w:rPr>
          <w:rFonts w:cs="Arial"/>
          <w:bCs/>
          <w:sz w:val="22"/>
        </w:rPr>
        <w:tab/>
      </w:r>
      <w:r w:rsidRPr="00A425D5">
        <w:rPr>
          <w:rFonts w:cs="Arial"/>
          <w:bCs/>
          <w:sz w:val="22"/>
        </w:rPr>
        <w:tab/>
      </w:r>
      <w:r w:rsidR="00994F47" w:rsidRPr="00A425D5">
        <w:rPr>
          <w:rFonts w:cs="Arial"/>
          <w:bCs/>
          <w:sz w:val="22"/>
        </w:rPr>
        <w:t xml:space="preserve">Herederos determinados de </w:t>
      </w:r>
      <w:r w:rsidR="00A425D5">
        <w:rPr>
          <w:rFonts w:cs="Arial"/>
          <w:bCs/>
          <w:sz w:val="22"/>
        </w:rPr>
        <w:t>María Omaira Montoya</w:t>
      </w:r>
    </w:p>
    <w:p w14:paraId="6BB12844" w14:textId="5DBBC8E7" w:rsidR="005537C5" w:rsidRPr="00A425D5" w:rsidRDefault="005537C5" w:rsidP="00F15DD0">
      <w:pPr>
        <w:ind w:left="2127"/>
        <w:jc w:val="both"/>
        <w:rPr>
          <w:rFonts w:cs="Arial"/>
          <w:bCs/>
          <w:sz w:val="22"/>
        </w:rPr>
      </w:pPr>
      <w:r w:rsidRPr="00A425D5">
        <w:rPr>
          <w:rFonts w:cs="Arial"/>
          <w:bCs/>
          <w:sz w:val="22"/>
        </w:rPr>
        <w:t>Juzgado de origen.</w:t>
      </w:r>
      <w:r w:rsidR="00F15DD0" w:rsidRPr="00A425D5">
        <w:rPr>
          <w:rFonts w:cs="Arial"/>
          <w:bCs/>
          <w:sz w:val="22"/>
        </w:rPr>
        <w:tab/>
      </w:r>
      <w:r w:rsidR="00A2669A" w:rsidRPr="00A425D5">
        <w:rPr>
          <w:rFonts w:cs="Arial"/>
          <w:bCs/>
          <w:sz w:val="22"/>
        </w:rPr>
        <w:t>Promiscuo</w:t>
      </w:r>
      <w:r w:rsidRPr="00A425D5">
        <w:rPr>
          <w:rFonts w:cs="Arial"/>
          <w:bCs/>
          <w:sz w:val="22"/>
        </w:rPr>
        <w:t xml:space="preserve"> del Circuito de </w:t>
      </w:r>
      <w:r w:rsidR="00615361" w:rsidRPr="00A425D5">
        <w:rPr>
          <w:rFonts w:cs="Arial"/>
          <w:bCs/>
          <w:sz w:val="22"/>
        </w:rPr>
        <w:t>Belén de Umbría</w:t>
      </w:r>
    </w:p>
    <w:p w14:paraId="0662B444" w14:textId="589E69E4" w:rsidR="005537C5" w:rsidRPr="00A425D5" w:rsidRDefault="005537C5" w:rsidP="00F15DD0">
      <w:pPr>
        <w:ind w:left="2127"/>
        <w:jc w:val="both"/>
        <w:rPr>
          <w:rFonts w:cs="Arial"/>
          <w:bCs/>
          <w:sz w:val="22"/>
        </w:rPr>
      </w:pPr>
      <w:r w:rsidRPr="00A425D5">
        <w:rPr>
          <w:rFonts w:cs="Arial"/>
          <w:bCs/>
          <w:sz w:val="22"/>
        </w:rPr>
        <w:t>Tema a tratar.</w:t>
      </w:r>
      <w:r w:rsidR="00F15DD0" w:rsidRPr="00A425D5">
        <w:rPr>
          <w:rFonts w:cs="Arial"/>
          <w:bCs/>
          <w:sz w:val="22"/>
        </w:rPr>
        <w:tab/>
      </w:r>
      <w:r w:rsidRPr="00A425D5">
        <w:rPr>
          <w:rFonts w:cs="Arial"/>
          <w:bCs/>
          <w:sz w:val="22"/>
        </w:rPr>
        <w:tab/>
      </w:r>
      <w:r w:rsidR="00A2669A" w:rsidRPr="00A425D5">
        <w:rPr>
          <w:rFonts w:cs="Arial"/>
          <w:bCs/>
          <w:sz w:val="22"/>
        </w:rPr>
        <w:t>Medida cautelar</w:t>
      </w:r>
      <w:r w:rsidRPr="00A425D5">
        <w:rPr>
          <w:rFonts w:cs="Arial"/>
          <w:bCs/>
          <w:sz w:val="22"/>
        </w:rPr>
        <w:t xml:space="preserve"> </w:t>
      </w:r>
      <w:r w:rsidR="00615361" w:rsidRPr="00A425D5">
        <w:rPr>
          <w:rFonts w:cs="Arial"/>
          <w:bCs/>
          <w:sz w:val="22"/>
        </w:rPr>
        <w:t xml:space="preserve">– </w:t>
      </w:r>
      <w:r w:rsidR="00D10A6A" w:rsidRPr="00A425D5">
        <w:rPr>
          <w:rFonts w:cs="Arial"/>
          <w:bCs/>
          <w:sz w:val="22"/>
        </w:rPr>
        <w:t xml:space="preserve">Herederos </w:t>
      </w:r>
      <w:r w:rsidR="00615361" w:rsidRPr="00A425D5">
        <w:rPr>
          <w:rFonts w:cs="Arial"/>
          <w:bCs/>
          <w:sz w:val="22"/>
        </w:rPr>
        <w:t>determinados</w:t>
      </w:r>
    </w:p>
    <w:p w14:paraId="13AA360D" w14:textId="77777777" w:rsidR="005537C5" w:rsidRPr="00F15DD0" w:rsidRDefault="005537C5" w:rsidP="00F15DD0">
      <w:pPr>
        <w:spacing w:line="276" w:lineRule="auto"/>
        <w:ind w:left="2127" w:hanging="1276"/>
        <w:contextualSpacing/>
        <w:jc w:val="center"/>
        <w:rPr>
          <w:rFonts w:cs="Arial"/>
          <w:b/>
          <w:bCs/>
          <w:sz w:val="24"/>
        </w:rPr>
      </w:pPr>
    </w:p>
    <w:p w14:paraId="68B257E3" w14:textId="370C3545" w:rsidR="5E537E2C" w:rsidRPr="00F15DD0" w:rsidRDefault="5E537E2C" w:rsidP="00F15DD0">
      <w:pPr>
        <w:spacing w:line="276" w:lineRule="auto"/>
        <w:contextualSpacing/>
        <w:jc w:val="center"/>
        <w:rPr>
          <w:rFonts w:eastAsia="Arial" w:cs="Arial"/>
          <w:color w:val="000000" w:themeColor="text1"/>
          <w:sz w:val="24"/>
        </w:rPr>
      </w:pPr>
      <w:r w:rsidRPr="00F15DD0">
        <w:rPr>
          <w:rFonts w:eastAsia="Arial" w:cs="Arial"/>
          <w:color w:val="000000" w:themeColor="text1"/>
          <w:sz w:val="24"/>
        </w:rPr>
        <w:t>Pereira, Risaralda, veinticinco (25) de octubre de dos mil veintitrés (2023)</w:t>
      </w:r>
    </w:p>
    <w:p w14:paraId="75DB1326" w14:textId="28845376" w:rsidR="5E537E2C" w:rsidRPr="00F15DD0" w:rsidRDefault="5E537E2C" w:rsidP="00F15DD0">
      <w:pPr>
        <w:spacing w:line="276" w:lineRule="auto"/>
        <w:contextualSpacing/>
        <w:jc w:val="center"/>
        <w:rPr>
          <w:rFonts w:eastAsia="Arial" w:cs="Arial"/>
          <w:color w:val="000000" w:themeColor="text1"/>
          <w:sz w:val="24"/>
        </w:rPr>
      </w:pPr>
      <w:r w:rsidRPr="00F15DD0">
        <w:rPr>
          <w:rFonts w:eastAsia="Arial" w:cs="Arial"/>
          <w:color w:val="000000" w:themeColor="text1"/>
          <w:sz w:val="24"/>
        </w:rPr>
        <w:t>(Aprobado en acta de discusión No.</w:t>
      </w:r>
      <w:r w:rsidR="56316C32" w:rsidRPr="00F15DD0">
        <w:rPr>
          <w:rFonts w:eastAsia="Arial" w:cs="Arial"/>
          <w:color w:val="000000" w:themeColor="text1"/>
          <w:sz w:val="24"/>
        </w:rPr>
        <w:t xml:space="preserve"> 167</w:t>
      </w:r>
      <w:r w:rsidRPr="00F15DD0">
        <w:rPr>
          <w:rFonts w:eastAsia="Arial" w:cs="Arial"/>
          <w:color w:val="000000" w:themeColor="text1"/>
          <w:sz w:val="24"/>
        </w:rPr>
        <w:t xml:space="preserve"> del 20-10-2023)</w:t>
      </w:r>
    </w:p>
    <w:p w14:paraId="48AAC36E" w14:textId="77777777" w:rsidR="005537C5" w:rsidRPr="00F15DD0" w:rsidRDefault="005537C5" w:rsidP="00F15DD0">
      <w:pPr>
        <w:spacing w:line="276" w:lineRule="auto"/>
        <w:jc w:val="both"/>
        <w:rPr>
          <w:rFonts w:eastAsia="Calibri" w:cs="Arial"/>
          <w:sz w:val="24"/>
          <w:lang w:eastAsia="en-US"/>
        </w:rPr>
      </w:pPr>
    </w:p>
    <w:p w14:paraId="5A18271B" w14:textId="1D8D9360" w:rsidR="005537C5" w:rsidRPr="00F15DD0" w:rsidRDefault="005537C5" w:rsidP="00F15DD0">
      <w:pPr>
        <w:spacing w:line="276" w:lineRule="auto"/>
        <w:jc w:val="both"/>
        <w:rPr>
          <w:rFonts w:cs="Arial"/>
          <w:b/>
          <w:bCs/>
          <w:sz w:val="24"/>
        </w:rPr>
      </w:pPr>
      <w:r w:rsidRPr="00F15DD0">
        <w:rPr>
          <w:rFonts w:eastAsia="Arial" w:cs="Arial"/>
          <w:sz w:val="24"/>
          <w:lang w:val="es-CO"/>
        </w:rPr>
        <w:t xml:space="preserve">Vencido el término para alegar otorgado a las partes, procede la Sala de Decisión Laboral del Tribunal Superior de Pereira a </w:t>
      </w:r>
      <w:r w:rsidRPr="00F15DD0">
        <w:rPr>
          <w:rFonts w:eastAsia="Arial" w:cs="Arial"/>
          <w:sz w:val="24"/>
        </w:rPr>
        <w:t>resolver</w:t>
      </w:r>
      <w:r w:rsidRPr="00F15DD0">
        <w:rPr>
          <w:rFonts w:cs="Arial"/>
          <w:color w:val="000000" w:themeColor="text1"/>
          <w:sz w:val="24"/>
          <w:lang w:eastAsia="es-CO"/>
        </w:rPr>
        <w:t xml:space="preserve"> el recurso de apelación contra el auto p</w:t>
      </w:r>
      <w:r w:rsidRPr="00F15DD0">
        <w:rPr>
          <w:rFonts w:cs="Arial"/>
          <w:sz w:val="24"/>
        </w:rPr>
        <w:t xml:space="preserve">roferido el </w:t>
      </w:r>
      <w:r w:rsidR="00C057E9" w:rsidRPr="00F15DD0">
        <w:rPr>
          <w:rFonts w:cs="Arial"/>
          <w:sz w:val="24"/>
        </w:rPr>
        <w:t>09 de agosto 2023</w:t>
      </w:r>
      <w:r w:rsidRPr="00F15DD0">
        <w:rPr>
          <w:rFonts w:cs="Arial"/>
          <w:sz w:val="24"/>
        </w:rPr>
        <w:t xml:space="preserve"> por el Juzgado </w:t>
      </w:r>
      <w:r w:rsidR="00A2669A" w:rsidRPr="00F15DD0">
        <w:rPr>
          <w:rFonts w:cs="Arial"/>
          <w:sz w:val="24"/>
        </w:rPr>
        <w:t>Promiscuo</w:t>
      </w:r>
      <w:r w:rsidRPr="00F15DD0">
        <w:rPr>
          <w:rFonts w:cs="Arial"/>
          <w:sz w:val="24"/>
        </w:rPr>
        <w:t xml:space="preserve"> del Circuito de </w:t>
      </w:r>
      <w:r w:rsidR="00C057E9" w:rsidRPr="00F15DD0">
        <w:rPr>
          <w:rFonts w:cs="Arial"/>
          <w:sz w:val="24"/>
        </w:rPr>
        <w:t>Belén de Umbría, Risaralda</w:t>
      </w:r>
      <w:r w:rsidR="002922D1" w:rsidRPr="00F15DD0">
        <w:rPr>
          <w:rFonts w:cs="Arial"/>
          <w:sz w:val="24"/>
        </w:rPr>
        <w:t xml:space="preserve"> dentro del proceso</w:t>
      </w:r>
      <w:r w:rsidR="00A2669A" w:rsidRPr="00F15DD0">
        <w:rPr>
          <w:rFonts w:cs="Arial"/>
          <w:sz w:val="24"/>
        </w:rPr>
        <w:t xml:space="preserve"> </w:t>
      </w:r>
      <w:r w:rsidR="00A2669A" w:rsidRPr="00E3708A">
        <w:rPr>
          <w:rFonts w:cs="Arial"/>
          <w:b/>
          <w:sz w:val="24"/>
        </w:rPr>
        <w:t>ordinario</w:t>
      </w:r>
      <w:r w:rsidR="002922D1" w:rsidRPr="00E3708A">
        <w:rPr>
          <w:rFonts w:cs="Arial"/>
          <w:b/>
          <w:sz w:val="24"/>
        </w:rPr>
        <w:t xml:space="preserve"> laboral</w:t>
      </w:r>
      <w:r w:rsidR="002922D1" w:rsidRPr="00F15DD0">
        <w:rPr>
          <w:rFonts w:cs="Arial"/>
          <w:sz w:val="24"/>
        </w:rPr>
        <w:t xml:space="preserve"> </w:t>
      </w:r>
      <w:r w:rsidRPr="00F15DD0">
        <w:rPr>
          <w:rFonts w:cs="Arial"/>
          <w:sz w:val="24"/>
        </w:rPr>
        <w:t xml:space="preserve">promovido por </w:t>
      </w:r>
      <w:proofErr w:type="spellStart"/>
      <w:r w:rsidR="00C057E9" w:rsidRPr="00F15DD0">
        <w:rPr>
          <w:rFonts w:cs="Arial"/>
          <w:b/>
          <w:bCs/>
          <w:sz w:val="24"/>
        </w:rPr>
        <w:t>Jhon</w:t>
      </w:r>
      <w:proofErr w:type="spellEnd"/>
      <w:r w:rsidR="00C057E9" w:rsidRPr="00F15DD0">
        <w:rPr>
          <w:rFonts w:cs="Arial"/>
          <w:b/>
          <w:bCs/>
          <w:sz w:val="24"/>
        </w:rPr>
        <w:t xml:space="preserve"> Fredy </w:t>
      </w:r>
      <w:proofErr w:type="spellStart"/>
      <w:r w:rsidR="00C057E9" w:rsidRPr="00F15DD0">
        <w:rPr>
          <w:rFonts w:cs="Arial"/>
          <w:b/>
          <w:bCs/>
          <w:sz w:val="24"/>
        </w:rPr>
        <w:t>Quirama</w:t>
      </w:r>
      <w:proofErr w:type="spellEnd"/>
      <w:r w:rsidR="00C057E9" w:rsidRPr="00F15DD0">
        <w:rPr>
          <w:rFonts w:cs="Arial"/>
          <w:b/>
          <w:bCs/>
          <w:sz w:val="24"/>
        </w:rPr>
        <w:t xml:space="preserve"> Herrera</w:t>
      </w:r>
      <w:r w:rsidR="00A2669A" w:rsidRPr="00F15DD0">
        <w:rPr>
          <w:rFonts w:cs="Arial"/>
          <w:b/>
          <w:bCs/>
          <w:sz w:val="24"/>
        </w:rPr>
        <w:t xml:space="preserve"> </w:t>
      </w:r>
      <w:r w:rsidRPr="00F15DD0">
        <w:rPr>
          <w:rFonts w:cs="Arial"/>
          <w:sz w:val="24"/>
        </w:rPr>
        <w:t>contra</w:t>
      </w:r>
      <w:r w:rsidR="00994F47" w:rsidRPr="00F15DD0">
        <w:rPr>
          <w:rFonts w:cs="Arial"/>
          <w:sz w:val="24"/>
        </w:rPr>
        <w:t xml:space="preserve"> los </w:t>
      </w:r>
      <w:r w:rsidR="00994F47" w:rsidRPr="00F15DD0">
        <w:rPr>
          <w:rFonts w:cs="Arial"/>
          <w:b/>
          <w:bCs/>
          <w:sz w:val="24"/>
        </w:rPr>
        <w:t xml:space="preserve">herederos determinados de </w:t>
      </w:r>
      <w:r w:rsidR="00C057E9" w:rsidRPr="00F15DD0">
        <w:rPr>
          <w:rFonts w:cs="Arial"/>
          <w:b/>
          <w:bCs/>
          <w:sz w:val="24"/>
        </w:rPr>
        <w:t>María Omaira Montoya.</w:t>
      </w:r>
    </w:p>
    <w:p w14:paraId="6BA10FF9" w14:textId="77777777" w:rsidR="005537C5" w:rsidRPr="00F15DD0" w:rsidRDefault="005537C5" w:rsidP="00F15DD0">
      <w:pPr>
        <w:spacing w:line="276" w:lineRule="auto"/>
        <w:jc w:val="both"/>
        <w:rPr>
          <w:rFonts w:eastAsia="Arial" w:cs="Arial"/>
          <w:sz w:val="24"/>
        </w:rPr>
      </w:pPr>
    </w:p>
    <w:p w14:paraId="1CE37F92" w14:textId="6ED0B7A3" w:rsidR="00C1766B" w:rsidRPr="00F15DD0" w:rsidRDefault="00C1766B" w:rsidP="00F15DD0">
      <w:pPr>
        <w:pStyle w:val="Sinespaciado"/>
        <w:spacing w:line="276" w:lineRule="auto"/>
        <w:ind w:left="1080"/>
        <w:jc w:val="center"/>
        <w:rPr>
          <w:rStyle w:val="Textoennegrita"/>
          <w:rFonts w:cs="Arial"/>
          <w:sz w:val="24"/>
        </w:rPr>
      </w:pPr>
      <w:r w:rsidRPr="00F15DD0">
        <w:rPr>
          <w:rStyle w:val="Textoennegrita"/>
          <w:rFonts w:cs="Arial"/>
          <w:sz w:val="24"/>
        </w:rPr>
        <w:t>ANTECEDENTES</w:t>
      </w:r>
    </w:p>
    <w:p w14:paraId="5EA1D8B5" w14:textId="77777777" w:rsidR="00ED50F7" w:rsidRPr="00F15DD0" w:rsidRDefault="00ED50F7" w:rsidP="00F15DD0">
      <w:pPr>
        <w:pStyle w:val="Sinespaciado"/>
        <w:spacing w:line="276" w:lineRule="auto"/>
        <w:ind w:left="1080"/>
        <w:jc w:val="center"/>
        <w:rPr>
          <w:rStyle w:val="Textoennegrita"/>
          <w:rFonts w:cs="Arial"/>
          <w:sz w:val="24"/>
        </w:rPr>
      </w:pPr>
    </w:p>
    <w:p w14:paraId="02037B56" w14:textId="77777777" w:rsidR="00C1766B" w:rsidRPr="00F15DD0" w:rsidRDefault="00C1766B" w:rsidP="00F15DD0">
      <w:pPr>
        <w:spacing w:line="276" w:lineRule="auto"/>
        <w:contextualSpacing/>
        <w:jc w:val="both"/>
        <w:rPr>
          <w:rFonts w:cs="Arial"/>
          <w:b/>
          <w:bCs/>
          <w:sz w:val="24"/>
        </w:rPr>
      </w:pPr>
      <w:r w:rsidRPr="00F15DD0">
        <w:rPr>
          <w:rFonts w:cs="Arial"/>
          <w:b/>
          <w:bCs/>
          <w:sz w:val="24"/>
        </w:rPr>
        <w:lastRenderedPageBreak/>
        <w:t>1. Crónica procesal</w:t>
      </w:r>
    </w:p>
    <w:p w14:paraId="5A9F5514" w14:textId="77777777" w:rsidR="008177A6" w:rsidRPr="00F15DD0" w:rsidRDefault="008177A6" w:rsidP="00F15DD0">
      <w:pPr>
        <w:spacing w:line="276" w:lineRule="auto"/>
        <w:contextualSpacing/>
        <w:jc w:val="both"/>
        <w:rPr>
          <w:rFonts w:cs="Arial"/>
          <w:b/>
          <w:bCs/>
          <w:sz w:val="24"/>
        </w:rPr>
      </w:pPr>
    </w:p>
    <w:p w14:paraId="4A8DA341" w14:textId="000B765B" w:rsidR="00A2669A" w:rsidRPr="00A01F99" w:rsidRDefault="00A2669A" w:rsidP="00A01F99">
      <w:pPr>
        <w:pStyle w:val="Prrafodelista"/>
        <w:numPr>
          <w:ilvl w:val="1"/>
          <w:numId w:val="17"/>
        </w:numPr>
        <w:spacing w:line="276" w:lineRule="auto"/>
        <w:jc w:val="both"/>
        <w:rPr>
          <w:rFonts w:cs="Arial"/>
          <w:sz w:val="24"/>
        </w:rPr>
      </w:pPr>
      <w:r w:rsidRPr="00F15DD0">
        <w:rPr>
          <w:rFonts w:cs="Arial"/>
          <w:sz w:val="24"/>
        </w:rPr>
        <w:t xml:space="preserve">El demandante elevó demanda ordinaria laboral para que se declare la existencia de un contrato </w:t>
      </w:r>
      <w:r w:rsidR="00C057E9" w:rsidRPr="00F15DD0">
        <w:rPr>
          <w:rFonts w:cs="Arial"/>
          <w:sz w:val="24"/>
        </w:rPr>
        <w:t xml:space="preserve">de trabajo </w:t>
      </w:r>
      <w:r w:rsidRPr="00F15DD0">
        <w:rPr>
          <w:rFonts w:cs="Arial"/>
          <w:sz w:val="24"/>
        </w:rPr>
        <w:t xml:space="preserve">verbal </w:t>
      </w:r>
      <w:r w:rsidR="00C057E9" w:rsidRPr="00F15DD0">
        <w:rPr>
          <w:rFonts w:cs="Arial"/>
          <w:sz w:val="24"/>
        </w:rPr>
        <w:t xml:space="preserve">a término indefinido </w:t>
      </w:r>
      <w:r w:rsidRPr="00F15DD0">
        <w:rPr>
          <w:rFonts w:cs="Arial"/>
          <w:sz w:val="24"/>
        </w:rPr>
        <w:t xml:space="preserve">con </w:t>
      </w:r>
      <w:r w:rsidR="00C057E9" w:rsidRPr="00F15DD0">
        <w:rPr>
          <w:rFonts w:cs="Arial"/>
          <w:sz w:val="24"/>
        </w:rPr>
        <w:t xml:space="preserve">María Omaira Montoya Cadavid – fallecida </w:t>
      </w:r>
      <w:r w:rsidR="00A01F99">
        <w:rPr>
          <w:rFonts w:cs="Arial"/>
          <w:sz w:val="24"/>
        </w:rPr>
        <w:t>–</w:t>
      </w:r>
      <w:r w:rsidRPr="00F15DD0">
        <w:rPr>
          <w:rFonts w:cs="Arial"/>
          <w:sz w:val="24"/>
        </w:rPr>
        <w:t xml:space="preserve"> de</w:t>
      </w:r>
      <w:r w:rsidRPr="00A01F99">
        <w:rPr>
          <w:rFonts w:cs="Arial"/>
          <w:sz w:val="24"/>
        </w:rPr>
        <w:t xml:space="preserve">sde el </w:t>
      </w:r>
      <w:r w:rsidR="00C057E9" w:rsidRPr="00A01F99">
        <w:rPr>
          <w:rFonts w:cs="Arial"/>
          <w:sz w:val="24"/>
        </w:rPr>
        <w:t>01/09/1996</w:t>
      </w:r>
      <w:r w:rsidRPr="00A01F99">
        <w:rPr>
          <w:rFonts w:cs="Arial"/>
          <w:sz w:val="24"/>
        </w:rPr>
        <w:t xml:space="preserve"> hasta </w:t>
      </w:r>
      <w:r w:rsidR="00C057E9" w:rsidRPr="00A01F99">
        <w:rPr>
          <w:rFonts w:cs="Arial"/>
          <w:sz w:val="24"/>
        </w:rPr>
        <w:t>la fecha</w:t>
      </w:r>
      <w:r w:rsidRPr="00A01F99">
        <w:rPr>
          <w:rFonts w:cs="Arial"/>
          <w:sz w:val="24"/>
        </w:rPr>
        <w:t>; en consecuencia, pretende el pago de las prestaciones sociales, vacaciones</w:t>
      </w:r>
      <w:r w:rsidR="00C057E9" w:rsidRPr="00A01F99">
        <w:rPr>
          <w:rFonts w:cs="Arial"/>
          <w:sz w:val="24"/>
        </w:rPr>
        <w:t>, aportes a la seguridad social,</w:t>
      </w:r>
      <w:r w:rsidR="001D5E76" w:rsidRPr="00A01F99">
        <w:rPr>
          <w:rFonts w:cs="Arial"/>
          <w:sz w:val="24"/>
        </w:rPr>
        <w:t xml:space="preserve"> la</w:t>
      </w:r>
      <w:r w:rsidRPr="00A01F99">
        <w:rPr>
          <w:rFonts w:cs="Arial"/>
          <w:sz w:val="24"/>
        </w:rPr>
        <w:t xml:space="preserve"> </w:t>
      </w:r>
      <w:r w:rsidR="001D5E76" w:rsidRPr="00A01F99">
        <w:rPr>
          <w:rFonts w:cs="Arial"/>
          <w:sz w:val="24"/>
        </w:rPr>
        <w:t>indemnización por</w:t>
      </w:r>
      <w:r w:rsidRPr="00A01F99">
        <w:rPr>
          <w:rFonts w:cs="Arial"/>
          <w:sz w:val="24"/>
        </w:rPr>
        <w:t xml:space="preserve"> no consignación de cesantías</w:t>
      </w:r>
      <w:r w:rsidR="00C057E9" w:rsidRPr="00A01F99">
        <w:rPr>
          <w:rFonts w:cs="Arial"/>
          <w:sz w:val="24"/>
        </w:rPr>
        <w:t xml:space="preserve"> y moratoria. </w:t>
      </w:r>
    </w:p>
    <w:p w14:paraId="02C5EC3D" w14:textId="77777777" w:rsidR="00A2669A" w:rsidRPr="00F15DD0" w:rsidRDefault="00A2669A" w:rsidP="00F15DD0">
      <w:pPr>
        <w:pStyle w:val="Prrafodelista"/>
        <w:spacing w:line="276" w:lineRule="auto"/>
        <w:ind w:left="405"/>
        <w:jc w:val="both"/>
        <w:rPr>
          <w:rFonts w:cs="Arial"/>
          <w:sz w:val="24"/>
        </w:rPr>
      </w:pPr>
    </w:p>
    <w:p w14:paraId="2522D952" w14:textId="71E0778F" w:rsidR="00C057E9" w:rsidRPr="00F15DD0" w:rsidRDefault="00A2669A" w:rsidP="00F15DD0">
      <w:pPr>
        <w:pStyle w:val="Prrafodelista"/>
        <w:spacing w:line="276" w:lineRule="auto"/>
        <w:ind w:left="405"/>
        <w:jc w:val="both"/>
        <w:rPr>
          <w:rFonts w:cs="Arial"/>
          <w:sz w:val="24"/>
        </w:rPr>
      </w:pPr>
      <w:r w:rsidRPr="00F15DD0">
        <w:rPr>
          <w:rFonts w:cs="Arial"/>
          <w:sz w:val="24"/>
        </w:rPr>
        <w:t xml:space="preserve">Todo ello, porque </w:t>
      </w:r>
      <w:r w:rsidR="00C057E9" w:rsidRPr="00F15DD0">
        <w:rPr>
          <w:rFonts w:cs="Arial"/>
          <w:sz w:val="24"/>
        </w:rPr>
        <w:t xml:space="preserve">prestó sus servicios personales en un predio de propiedad de la fallecida como administrador, pero que su empleadora falleció el 01/10/2022 por lo que sus herederos le adeudan sus acreencias laborales. Indicó que “los planes” de su empleadora era darle la finca como dación en pago por el tiempo laborado; además, la fallecida lo nombró como fideicomisario y cuando ella muriera el sería el propietario de la finca, pero un año antes de fallecer, los herederos hicieron que se cancelara el citado fideicomiso. </w:t>
      </w:r>
    </w:p>
    <w:p w14:paraId="77F8CAEF" w14:textId="77777777" w:rsidR="00C057E9" w:rsidRPr="00F15DD0" w:rsidRDefault="00C057E9" w:rsidP="00F15DD0">
      <w:pPr>
        <w:pStyle w:val="Prrafodelista"/>
        <w:spacing w:line="276" w:lineRule="auto"/>
        <w:ind w:left="405"/>
        <w:jc w:val="both"/>
        <w:rPr>
          <w:rFonts w:cs="Arial"/>
          <w:sz w:val="24"/>
        </w:rPr>
      </w:pPr>
    </w:p>
    <w:p w14:paraId="7DEFA441" w14:textId="7B9A1383" w:rsidR="00C057E9" w:rsidRPr="00F15DD0" w:rsidRDefault="001D5E76" w:rsidP="00F15DD0">
      <w:pPr>
        <w:spacing w:line="276" w:lineRule="auto"/>
        <w:jc w:val="both"/>
        <w:rPr>
          <w:rFonts w:cs="Arial"/>
          <w:sz w:val="24"/>
        </w:rPr>
      </w:pPr>
      <w:r w:rsidRPr="00F15DD0">
        <w:rPr>
          <w:rFonts w:cs="Arial"/>
          <w:sz w:val="24"/>
        </w:rPr>
        <w:t xml:space="preserve">1.2. Admitida la demanda, se contestó </w:t>
      </w:r>
      <w:r w:rsidR="00C057E9" w:rsidRPr="00F15DD0">
        <w:rPr>
          <w:rFonts w:cs="Arial"/>
          <w:sz w:val="24"/>
        </w:rPr>
        <w:t xml:space="preserve">que el demandante no ha sido administrador del predio, pero la causante el 15/09/2016 sí constituyó una limitación del dominio a favor de aquel – fideicomiso civil </w:t>
      </w:r>
      <w:r w:rsidR="00A01F99">
        <w:rPr>
          <w:rFonts w:cs="Arial"/>
          <w:sz w:val="24"/>
        </w:rPr>
        <w:t>–</w:t>
      </w:r>
      <w:r w:rsidR="00C057E9" w:rsidRPr="00F15DD0">
        <w:rPr>
          <w:rFonts w:cs="Arial"/>
          <w:sz w:val="24"/>
        </w:rPr>
        <w:t>; por lo que, el demandante “</w:t>
      </w:r>
      <w:r w:rsidR="00C057E9" w:rsidRPr="002058C1">
        <w:rPr>
          <w:rFonts w:cs="Arial"/>
          <w:sz w:val="20"/>
        </w:rPr>
        <w:t>asumió el manejo de la finca</w:t>
      </w:r>
      <w:r w:rsidR="00C057E9" w:rsidRPr="00F15DD0">
        <w:rPr>
          <w:rFonts w:cs="Arial"/>
          <w:sz w:val="24"/>
        </w:rPr>
        <w:t>” y por ello, ninguna subordinación tenía frente a la fallecida.</w:t>
      </w:r>
      <w:r w:rsidR="00A539FD" w:rsidRPr="00F15DD0">
        <w:rPr>
          <w:rFonts w:cs="Arial"/>
          <w:sz w:val="24"/>
        </w:rPr>
        <w:t xml:space="preserve"> Adujeron que la causante le tenía temor al demandante, pues este la agredía. Fideicomiso que se canceló en marzo de 2022.</w:t>
      </w:r>
    </w:p>
    <w:p w14:paraId="0768CBF3" w14:textId="5A64E3B8" w:rsidR="00323843" w:rsidRPr="00F15DD0" w:rsidRDefault="00323843" w:rsidP="00F15DD0">
      <w:pPr>
        <w:spacing w:line="276" w:lineRule="auto"/>
        <w:jc w:val="both"/>
        <w:rPr>
          <w:rFonts w:cs="Arial"/>
          <w:sz w:val="24"/>
        </w:rPr>
      </w:pPr>
    </w:p>
    <w:p w14:paraId="691EA247" w14:textId="2857CB45" w:rsidR="00A539FD" w:rsidRPr="00F15DD0" w:rsidRDefault="00323843" w:rsidP="00F15DD0">
      <w:pPr>
        <w:spacing w:line="276" w:lineRule="auto"/>
        <w:jc w:val="both"/>
        <w:rPr>
          <w:rFonts w:cs="Arial"/>
          <w:sz w:val="24"/>
        </w:rPr>
      </w:pPr>
      <w:r w:rsidRPr="00F15DD0">
        <w:rPr>
          <w:rFonts w:cs="Arial"/>
          <w:sz w:val="24"/>
        </w:rPr>
        <w:t xml:space="preserve">1.3. </w:t>
      </w:r>
      <w:r w:rsidR="00A539FD" w:rsidRPr="00F15DD0">
        <w:rPr>
          <w:rFonts w:cs="Arial"/>
          <w:sz w:val="24"/>
        </w:rPr>
        <w:t>El demandante solicitó la audiencia especial del artículo 85A del C.P.L. y de la S.S. para que se imponga como medida cautelar en contra de los herederos determinados el “embargo” de la propiedad de la causante, porque “</w:t>
      </w:r>
      <w:r w:rsidR="00A539FD" w:rsidRPr="002058C1">
        <w:rPr>
          <w:rFonts w:cs="Arial"/>
          <w:sz w:val="22"/>
        </w:rPr>
        <w:t>le ha llegado rumores que los presuntos herederos quieren vender la finca o iniciar un proceso de sucesión</w:t>
      </w:r>
      <w:r w:rsidR="00A539FD" w:rsidRPr="00F15DD0">
        <w:rPr>
          <w:rFonts w:cs="Arial"/>
          <w:sz w:val="24"/>
        </w:rPr>
        <w:t xml:space="preserve">” y con ello, incumplir una posible condena (archivo 22, </w:t>
      </w:r>
      <w:proofErr w:type="spellStart"/>
      <w:r w:rsidR="00A539FD" w:rsidRPr="00F15DD0">
        <w:rPr>
          <w:rFonts w:cs="Arial"/>
          <w:sz w:val="24"/>
        </w:rPr>
        <w:t>exp</w:t>
      </w:r>
      <w:proofErr w:type="spellEnd"/>
      <w:r w:rsidR="00A539FD" w:rsidRPr="00F15DD0">
        <w:rPr>
          <w:rFonts w:cs="Arial"/>
          <w:sz w:val="24"/>
        </w:rPr>
        <w:t>. Digital).</w:t>
      </w:r>
    </w:p>
    <w:p w14:paraId="7047511D" w14:textId="3C8532B3" w:rsidR="00C1766B" w:rsidRPr="00F15DD0" w:rsidRDefault="00C1766B" w:rsidP="00F15DD0">
      <w:pPr>
        <w:spacing w:line="276" w:lineRule="auto"/>
        <w:contextualSpacing/>
        <w:jc w:val="both"/>
        <w:rPr>
          <w:rFonts w:cs="Arial"/>
          <w:sz w:val="24"/>
        </w:rPr>
      </w:pPr>
    </w:p>
    <w:p w14:paraId="7AFFBC5E" w14:textId="77777777" w:rsidR="00C1766B" w:rsidRPr="00F15DD0" w:rsidRDefault="00327D54" w:rsidP="00F15DD0">
      <w:pPr>
        <w:spacing w:line="276" w:lineRule="auto"/>
        <w:contextualSpacing/>
        <w:jc w:val="both"/>
        <w:rPr>
          <w:rFonts w:eastAsiaTheme="majorEastAsia" w:cs="Arial"/>
          <w:b/>
          <w:bCs/>
          <w:sz w:val="24"/>
        </w:rPr>
      </w:pPr>
      <w:r w:rsidRPr="00F15DD0">
        <w:rPr>
          <w:rFonts w:eastAsiaTheme="majorEastAsia" w:cs="Arial"/>
          <w:b/>
          <w:bCs/>
          <w:sz w:val="24"/>
        </w:rPr>
        <w:t>2</w:t>
      </w:r>
      <w:r w:rsidR="00C1766B" w:rsidRPr="00F15DD0">
        <w:rPr>
          <w:rFonts w:eastAsiaTheme="majorEastAsia" w:cs="Arial"/>
          <w:b/>
          <w:bCs/>
          <w:sz w:val="24"/>
        </w:rPr>
        <w:t xml:space="preserve">. </w:t>
      </w:r>
      <w:r w:rsidRPr="00F15DD0">
        <w:rPr>
          <w:rFonts w:eastAsiaTheme="majorEastAsia" w:cs="Arial"/>
          <w:b/>
          <w:bCs/>
          <w:sz w:val="24"/>
        </w:rPr>
        <w:t>Síntesis del a</w:t>
      </w:r>
      <w:r w:rsidR="00C1766B" w:rsidRPr="00F15DD0">
        <w:rPr>
          <w:rFonts w:eastAsiaTheme="majorEastAsia" w:cs="Arial"/>
          <w:b/>
          <w:bCs/>
          <w:sz w:val="24"/>
        </w:rPr>
        <w:t>uto recurrido</w:t>
      </w:r>
    </w:p>
    <w:p w14:paraId="3FEA65A6" w14:textId="77777777" w:rsidR="00C1766B" w:rsidRPr="00F15DD0" w:rsidRDefault="00C1766B" w:rsidP="00F15DD0">
      <w:pPr>
        <w:spacing w:line="276" w:lineRule="auto"/>
        <w:jc w:val="both"/>
        <w:rPr>
          <w:rFonts w:eastAsiaTheme="majorEastAsia" w:cs="Arial"/>
          <w:b/>
          <w:bCs/>
          <w:sz w:val="24"/>
        </w:rPr>
      </w:pPr>
    </w:p>
    <w:p w14:paraId="2C7AC24E" w14:textId="4C6D6EF5" w:rsidR="0046451B" w:rsidRPr="00F15DD0" w:rsidRDefault="00726CEC" w:rsidP="00F15DD0">
      <w:pPr>
        <w:pStyle w:val="paragraph"/>
        <w:spacing w:before="0" w:beforeAutospacing="0" w:after="0" w:afterAutospacing="0" w:line="276" w:lineRule="auto"/>
        <w:jc w:val="both"/>
        <w:textAlignment w:val="baseline"/>
        <w:rPr>
          <w:rFonts w:ascii="Arial" w:eastAsiaTheme="majorEastAsia" w:hAnsi="Arial" w:cs="Arial"/>
          <w:lang w:val="es-ES" w:eastAsia="es-ES"/>
        </w:rPr>
      </w:pPr>
      <w:r w:rsidRPr="00F15DD0">
        <w:rPr>
          <w:rFonts w:ascii="Arial" w:eastAsiaTheme="majorEastAsia" w:hAnsi="Arial" w:cs="Arial"/>
          <w:lang w:val="es-ES" w:eastAsia="es-ES"/>
        </w:rPr>
        <w:t>El Juzgado </w:t>
      </w:r>
      <w:r w:rsidR="00A2669A" w:rsidRPr="00F15DD0">
        <w:rPr>
          <w:rFonts w:ascii="Arial" w:eastAsiaTheme="majorEastAsia" w:hAnsi="Arial" w:cs="Arial"/>
          <w:lang w:val="es-ES" w:eastAsia="es-ES"/>
        </w:rPr>
        <w:t>Promiscuo del</w:t>
      </w:r>
      <w:r w:rsidRPr="00F15DD0">
        <w:rPr>
          <w:rFonts w:ascii="Arial" w:eastAsiaTheme="majorEastAsia" w:hAnsi="Arial" w:cs="Arial"/>
          <w:lang w:val="es-ES" w:eastAsia="es-ES"/>
        </w:rPr>
        <w:t xml:space="preserve"> Circuito </w:t>
      </w:r>
      <w:r w:rsidR="00A539FD" w:rsidRPr="00F15DD0">
        <w:rPr>
          <w:rFonts w:ascii="Arial" w:eastAsiaTheme="majorEastAsia" w:hAnsi="Arial" w:cs="Arial"/>
          <w:lang w:val="es-ES" w:eastAsia="es-ES"/>
        </w:rPr>
        <w:t xml:space="preserve">de Belén de Umbría, Risaralda decretó como medida cautelar la caución en un 50% sobre el valor de las pretensiones, al amparo del artículo 85A del C.G.P. </w:t>
      </w:r>
    </w:p>
    <w:p w14:paraId="60026774" w14:textId="77777777" w:rsidR="0046451B" w:rsidRPr="00F15DD0" w:rsidRDefault="0046451B" w:rsidP="00F15DD0">
      <w:pPr>
        <w:pStyle w:val="paragraph"/>
        <w:spacing w:before="0" w:beforeAutospacing="0" w:after="0" w:afterAutospacing="0" w:line="276" w:lineRule="auto"/>
        <w:jc w:val="both"/>
        <w:textAlignment w:val="baseline"/>
        <w:rPr>
          <w:rFonts w:ascii="Arial" w:eastAsiaTheme="majorEastAsia" w:hAnsi="Arial" w:cs="Arial"/>
          <w:lang w:val="es-ES" w:eastAsia="es-ES"/>
        </w:rPr>
      </w:pPr>
    </w:p>
    <w:p w14:paraId="5E82113D" w14:textId="08551BA2" w:rsidR="00A539FD" w:rsidRPr="00F15DD0" w:rsidRDefault="0046451B" w:rsidP="00F15DD0">
      <w:pPr>
        <w:pStyle w:val="paragraph"/>
        <w:spacing w:before="0" w:beforeAutospacing="0" w:after="0" w:afterAutospacing="0" w:line="276" w:lineRule="auto"/>
        <w:jc w:val="both"/>
        <w:textAlignment w:val="baseline"/>
        <w:rPr>
          <w:rFonts w:ascii="Arial" w:eastAsiaTheme="majorEastAsia" w:hAnsi="Arial" w:cs="Arial"/>
          <w:lang w:val="es-ES" w:eastAsia="es-ES"/>
        </w:rPr>
      </w:pPr>
      <w:r w:rsidRPr="00F15DD0">
        <w:rPr>
          <w:rFonts w:ascii="Arial" w:eastAsiaTheme="majorEastAsia" w:hAnsi="Arial" w:cs="Arial"/>
          <w:lang w:val="es-ES" w:eastAsia="es-ES"/>
        </w:rPr>
        <w:t xml:space="preserve">Como fundamento para dicha determinación adujo que </w:t>
      </w:r>
      <w:r w:rsidR="00A539FD" w:rsidRPr="00F15DD0">
        <w:rPr>
          <w:rFonts w:ascii="Arial" w:eastAsiaTheme="majorEastAsia" w:hAnsi="Arial" w:cs="Arial"/>
          <w:lang w:val="es-ES" w:eastAsia="es-ES"/>
        </w:rPr>
        <w:t xml:space="preserve">conforme a la escritura pública aportada al plenario los herederos tramitaron la sucesión de María Omaira Montoya y aceptaron la herencia con beneficio de inventario; condición que para el juzgador de instancia implicaría </w:t>
      </w:r>
      <w:r w:rsidR="00B837DF" w:rsidRPr="00F15DD0">
        <w:rPr>
          <w:rFonts w:ascii="Arial" w:eastAsiaTheme="majorEastAsia" w:hAnsi="Arial" w:cs="Arial"/>
          <w:lang w:val="es-ES" w:eastAsia="es-ES"/>
        </w:rPr>
        <w:t xml:space="preserve">que </w:t>
      </w:r>
      <w:r w:rsidR="00A539FD" w:rsidRPr="00F15DD0">
        <w:rPr>
          <w:rFonts w:ascii="Arial" w:eastAsiaTheme="majorEastAsia" w:hAnsi="Arial" w:cs="Arial"/>
          <w:lang w:val="es-ES" w:eastAsia="es-ES"/>
        </w:rPr>
        <w:t xml:space="preserve">la eventual condena que se imponga no se pueda ejecutar, pues solo abarcará los bienes liquidados y no los propios bienes de los herederos, con lo que se evidenciaría un posible incumplimiento de las decisiones judiciales. </w:t>
      </w:r>
    </w:p>
    <w:p w14:paraId="36656A9F" w14:textId="77777777" w:rsidR="00A2669A" w:rsidRPr="00F15DD0" w:rsidRDefault="00A2669A" w:rsidP="00F15DD0">
      <w:pPr>
        <w:pStyle w:val="paragraph"/>
        <w:spacing w:before="0" w:beforeAutospacing="0" w:after="0" w:afterAutospacing="0" w:line="276" w:lineRule="auto"/>
        <w:jc w:val="both"/>
        <w:textAlignment w:val="baseline"/>
        <w:rPr>
          <w:rFonts w:ascii="Arial" w:eastAsiaTheme="majorEastAsia" w:hAnsi="Arial" w:cs="Arial"/>
        </w:rPr>
      </w:pPr>
    </w:p>
    <w:p w14:paraId="54F37194" w14:textId="77777777" w:rsidR="00C1766B" w:rsidRPr="00F15DD0" w:rsidRDefault="007F5D7B" w:rsidP="00F15DD0">
      <w:pPr>
        <w:spacing w:line="276" w:lineRule="auto"/>
        <w:jc w:val="both"/>
        <w:rPr>
          <w:rFonts w:eastAsiaTheme="majorEastAsia" w:cs="Arial"/>
          <w:b/>
          <w:bCs/>
          <w:sz w:val="24"/>
        </w:rPr>
      </w:pPr>
      <w:r w:rsidRPr="00F15DD0">
        <w:rPr>
          <w:rFonts w:eastAsiaTheme="majorEastAsia" w:cs="Arial"/>
          <w:b/>
          <w:bCs/>
          <w:sz w:val="24"/>
        </w:rPr>
        <w:t>3</w:t>
      </w:r>
      <w:r w:rsidR="00C1766B" w:rsidRPr="00F15DD0">
        <w:rPr>
          <w:rFonts w:eastAsiaTheme="majorEastAsia" w:cs="Arial"/>
          <w:sz w:val="24"/>
        </w:rPr>
        <w:t>.</w:t>
      </w:r>
      <w:r w:rsidR="00C1766B" w:rsidRPr="00F15DD0">
        <w:rPr>
          <w:rFonts w:eastAsiaTheme="majorEastAsia" w:cs="Arial"/>
          <w:b/>
          <w:bCs/>
          <w:sz w:val="24"/>
        </w:rPr>
        <w:t xml:space="preserve"> El recurso de apelación</w:t>
      </w:r>
    </w:p>
    <w:p w14:paraId="1A590CBD" w14:textId="77777777" w:rsidR="00C1766B" w:rsidRPr="00F15DD0" w:rsidRDefault="00C1766B" w:rsidP="00F15DD0">
      <w:pPr>
        <w:spacing w:line="276" w:lineRule="auto"/>
        <w:jc w:val="both"/>
        <w:rPr>
          <w:rFonts w:eastAsiaTheme="majorEastAsia" w:cs="Arial"/>
          <w:b/>
          <w:bCs/>
          <w:sz w:val="24"/>
        </w:rPr>
      </w:pPr>
    </w:p>
    <w:p w14:paraId="37E4BB9B" w14:textId="06735E6F" w:rsidR="00B837DF" w:rsidRPr="00F15DD0" w:rsidRDefault="0046451B" w:rsidP="00F15DD0">
      <w:pPr>
        <w:pStyle w:val="paragraph"/>
        <w:spacing w:before="0" w:beforeAutospacing="0" w:after="0" w:afterAutospacing="0" w:line="276" w:lineRule="auto"/>
        <w:jc w:val="both"/>
        <w:textAlignment w:val="baseline"/>
        <w:rPr>
          <w:rFonts w:ascii="Arial" w:hAnsi="Arial" w:cs="Arial"/>
          <w:lang w:val="es-ES" w:eastAsia="es-ES"/>
        </w:rPr>
      </w:pPr>
      <w:r w:rsidRPr="00F15DD0">
        <w:rPr>
          <w:rFonts w:ascii="Arial" w:hAnsi="Arial" w:cs="Arial"/>
          <w:lang w:val="es-ES" w:eastAsia="es-ES"/>
        </w:rPr>
        <w:t xml:space="preserve">La parte demandada inconforme con la decisión presentó recurso de alzada para lo cual argumentó que </w:t>
      </w:r>
      <w:r w:rsidR="00B837DF" w:rsidRPr="00F15DD0">
        <w:rPr>
          <w:rFonts w:ascii="Arial" w:hAnsi="Arial" w:cs="Arial"/>
          <w:lang w:val="es-ES" w:eastAsia="es-ES"/>
        </w:rPr>
        <w:t xml:space="preserve">los herederos determinados ningún acto han realizado tendiente a </w:t>
      </w:r>
      <w:proofErr w:type="spellStart"/>
      <w:r w:rsidR="00B837DF" w:rsidRPr="00F15DD0">
        <w:rPr>
          <w:rFonts w:ascii="Arial" w:hAnsi="Arial" w:cs="Arial"/>
          <w:lang w:val="es-ES" w:eastAsia="es-ES"/>
        </w:rPr>
        <w:t>insolventarse</w:t>
      </w:r>
      <w:proofErr w:type="spellEnd"/>
      <w:r w:rsidR="00B837DF" w:rsidRPr="00F15DD0">
        <w:rPr>
          <w:rFonts w:ascii="Arial" w:hAnsi="Arial" w:cs="Arial"/>
          <w:lang w:val="es-ES" w:eastAsia="es-ES"/>
        </w:rPr>
        <w:t xml:space="preserve"> ni para impedir el cumplimiento de la sentencia, y tampoco están en graves dificultades para cumplir oportunamente la decisión que se imparta, sin que el trámite de sucesión haga parte de las 3 causales para imponer la medida cautelar en el procedimiento laboral.</w:t>
      </w:r>
    </w:p>
    <w:p w14:paraId="12FA8BC4" w14:textId="7AE814F9" w:rsidR="00B837DF" w:rsidRPr="00F15DD0" w:rsidRDefault="00B837DF" w:rsidP="00F15DD0">
      <w:pPr>
        <w:pStyle w:val="paragraph"/>
        <w:spacing w:before="0" w:beforeAutospacing="0" w:after="0" w:afterAutospacing="0" w:line="276" w:lineRule="auto"/>
        <w:jc w:val="both"/>
        <w:textAlignment w:val="baseline"/>
        <w:rPr>
          <w:rFonts w:ascii="Arial" w:hAnsi="Arial" w:cs="Arial"/>
          <w:lang w:val="es-ES" w:eastAsia="es-ES"/>
        </w:rPr>
      </w:pPr>
    </w:p>
    <w:p w14:paraId="55DC3ED0" w14:textId="0CD44CD8" w:rsidR="00B837DF" w:rsidRPr="00F15DD0" w:rsidRDefault="00B837DF" w:rsidP="00F15DD0">
      <w:pPr>
        <w:pStyle w:val="paragraph"/>
        <w:spacing w:before="0" w:beforeAutospacing="0" w:after="0" w:afterAutospacing="0" w:line="276" w:lineRule="auto"/>
        <w:jc w:val="both"/>
        <w:textAlignment w:val="baseline"/>
        <w:rPr>
          <w:rFonts w:ascii="Arial" w:hAnsi="Arial" w:cs="Arial"/>
          <w:lang w:val="es-ES" w:eastAsia="es-ES"/>
        </w:rPr>
      </w:pPr>
      <w:r w:rsidRPr="00F15DD0">
        <w:rPr>
          <w:rFonts w:ascii="Arial" w:hAnsi="Arial" w:cs="Arial"/>
          <w:lang w:val="es-ES" w:eastAsia="es-ES"/>
        </w:rPr>
        <w:t xml:space="preserve">Además, recriminó que el demandante ninguna prueba aportó para demostrar la hipótesis planteada, pues tal como lo indicó en el mismo escrito de petición cautelar, solo ha escuchado rumores que pudieran dar a entender que los herederos se van a </w:t>
      </w:r>
      <w:proofErr w:type="spellStart"/>
      <w:r w:rsidRPr="00F15DD0">
        <w:rPr>
          <w:rFonts w:ascii="Arial" w:hAnsi="Arial" w:cs="Arial"/>
          <w:lang w:val="es-ES" w:eastAsia="es-ES"/>
        </w:rPr>
        <w:t>insolventar</w:t>
      </w:r>
      <w:proofErr w:type="spellEnd"/>
      <w:r w:rsidRPr="00F15DD0">
        <w:rPr>
          <w:rFonts w:ascii="Arial" w:hAnsi="Arial" w:cs="Arial"/>
          <w:lang w:val="es-ES" w:eastAsia="es-ES"/>
        </w:rPr>
        <w:t xml:space="preserve">, que no es cierto. </w:t>
      </w:r>
    </w:p>
    <w:p w14:paraId="313449A5" w14:textId="3DFA1C9A" w:rsidR="00A2669A" w:rsidRPr="00F15DD0" w:rsidRDefault="00A2669A" w:rsidP="00F15DD0">
      <w:pPr>
        <w:pStyle w:val="paragraph"/>
        <w:spacing w:before="0" w:beforeAutospacing="0" w:after="0" w:afterAutospacing="0" w:line="276" w:lineRule="auto"/>
        <w:jc w:val="both"/>
        <w:textAlignment w:val="baseline"/>
        <w:rPr>
          <w:rFonts w:ascii="Arial" w:eastAsiaTheme="majorEastAsia" w:hAnsi="Arial" w:cs="Arial"/>
          <w:lang w:val="es-ES" w:eastAsia="es-ES"/>
        </w:rPr>
      </w:pPr>
    </w:p>
    <w:p w14:paraId="7A650605" w14:textId="1A20FD42" w:rsidR="00412642" w:rsidRPr="00F15DD0" w:rsidRDefault="00412642" w:rsidP="00F15DD0">
      <w:pPr>
        <w:spacing w:line="276" w:lineRule="auto"/>
        <w:jc w:val="both"/>
        <w:rPr>
          <w:rFonts w:eastAsiaTheme="majorEastAsia" w:cs="Arial"/>
          <w:b/>
          <w:bCs/>
          <w:sz w:val="24"/>
        </w:rPr>
      </w:pPr>
      <w:r w:rsidRPr="00F15DD0">
        <w:rPr>
          <w:rFonts w:eastAsiaTheme="majorEastAsia" w:cs="Arial"/>
          <w:b/>
          <w:bCs/>
          <w:sz w:val="24"/>
        </w:rPr>
        <w:t xml:space="preserve">4. Alegatos </w:t>
      </w:r>
    </w:p>
    <w:p w14:paraId="61583895" w14:textId="789EAC73" w:rsidR="3025F992" w:rsidRPr="00F15DD0" w:rsidRDefault="3025F992" w:rsidP="00F15DD0">
      <w:pPr>
        <w:spacing w:line="276" w:lineRule="auto"/>
        <w:jc w:val="both"/>
        <w:rPr>
          <w:rFonts w:eastAsiaTheme="majorEastAsia" w:cs="Arial"/>
          <w:b/>
          <w:bCs/>
          <w:sz w:val="24"/>
        </w:rPr>
      </w:pPr>
    </w:p>
    <w:p w14:paraId="0AB631BC" w14:textId="31494FE0" w:rsidR="0B7A9E2D" w:rsidRPr="00F15DD0" w:rsidRDefault="0B7A9E2D" w:rsidP="00F15DD0">
      <w:pPr>
        <w:spacing w:line="276" w:lineRule="auto"/>
        <w:jc w:val="both"/>
        <w:rPr>
          <w:rFonts w:eastAsiaTheme="majorEastAsia" w:cs="Arial"/>
          <w:sz w:val="24"/>
        </w:rPr>
      </w:pPr>
      <w:r w:rsidRPr="00F15DD0">
        <w:rPr>
          <w:rFonts w:eastAsiaTheme="majorEastAsia" w:cs="Arial"/>
          <w:sz w:val="24"/>
        </w:rPr>
        <w:t xml:space="preserve">Ninguna de las partes presentó alegatos de conclusión. </w:t>
      </w:r>
    </w:p>
    <w:p w14:paraId="23D2A402" w14:textId="77777777" w:rsidR="00412642" w:rsidRPr="00F15DD0" w:rsidRDefault="00412642" w:rsidP="00F15DD0">
      <w:pPr>
        <w:spacing w:line="276" w:lineRule="auto"/>
        <w:jc w:val="both"/>
        <w:rPr>
          <w:rFonts w:eastAsiaTheme="majorEastAsia" w:cs="Arial"/>
          <w:b/>
          <w:bCs/>
          <w:sz w:val="24"/>
        </w:rPr>
      </w:pPr>
    </w:p>
    <w:p w14:paraId="5777D556" w14:textId="40368075" w:rsidR="00C1766B" w:rsidRPr="00F15DD0" w:rsidRDefault="00C1766B" w:rsidP="00F15DD0">
      <w:pPr>
        <w:spacing w:line="276" w:lineRule="auto"/>
        <w:jc w:val="center"/>
        <w:rPr>
          <w:rFonts w:cs="Arial"/>
          <w:b/>
          <w:bCs/>
          <w:sz w:val="24"/>
        </w:rPr>
      </w:pPr>
      <w:r w:rsidRPr="00F15DD0">
        <w:rPr>
          <w:rFonts w:cs="Arial"/>
          <w:b/>
          <w:bCs/>
          <w:sz w:val="24"/>
        </w:rPr>
        <w:t>CONSIDERACIONES</w:t>
      </w:r>
    </w:p>
    <w:p w14:paraId="05EACE91" w14:textId="1C033DC9" w:rsidR="002C2D2D" w:rsidRPr="00F15DD0" w:rsidRDefault="002C2D2D" w:rsidP="00F15DD0">
      <w:pPr>
        <w:spacing w:line="276" w:lineRule="auto"/>
        <w:jc w:val="center"/>
        <w:rPr>
          <w:rFonts w:cs="Arial"/>
          <w:b/>
          <w:bCs/>
          <w:sz w:val="24"/>
        </w:rPr>
      </w:pPr>
    </w:p>
    <w:p w14:paraId="5C63212C" w14:textId="77777777" w:rsidR="002C2D2D" w:rsidRPr="00F15DD0" w:rsidRDefault="002C2D2D" w:rsidP="00F15DD0">
      <w:pPr>
        <w:spacing w:line="276" w:lineRule="auto"/>
        <w:jc w:val="both"/>
        <w:rPr>
          <w:rFonts w:cs="Arial"/>
          <w:b/>
          <w:bCs/>
          <w:sz w:val="24"/>
        </w:rPr>
      </w:pPr>
      <w:r w:rsidRPr="00F15DD0">
        <w:rPr>
          <w:rFonts w:cs="Arial"/>
          <w:b/>
          <w:bCs/>
          <w:sz w:val="24"/>
        </w:rPr>
        <w:t>1. Problema jurídico</w:t>
      </w:r>
    </w:p>
    <w:p w14:paraId="61FC7A10" w14:textId="77777777" w:rsidR="002C2D2D" w:rsidRPr="00F15DD0" w:rsidRDefault="002C2D2D" w:rsidP="00F15DD0">
      <w:pPr>
        <w:spacing w:line="276" w:lineRule="auto"/>
        <w:jc w:val="both"/>
        <w:rPr>
          <w:rFonts w:cs="Arial"/>
          <w:b/>
          <w:bCs/>
          <w:sz w:val="24"/>
        </w:rPr>
      </w:pPr>
    </w:p>
    <w:p w14:paraId="2DE392ED" w14:textId="77777777" w:rsidR="002C2D2D" w:rsidRPr="00F15DD0" w:rsidRDefault="002C2D2D" w:rsidP="00F15DD0">
      <w:pPr>
        <w:spacing w:line="276" w:lineRule="auto"/>
        <w:jc w:val="both"/>
        <w:rPr>
          <w:rFonts w:cs="Arial"/>
          <w:sz w:val="24"/>
        </w:rPr>
      </w:pPr>
      <w:r w:rsidRPr="00F15DD0">
        <w:rPr>
          <w:rFonts w:cs="Arial"/>
          <w:sz w:val="24"/>
        </w:rPr>
        <w:t>Visto el recuento anterior la Sala se formula el siguiente:</w:t>
      </w:r>
    </w:p>
    <w:p w14:paraId="0E886325" w14:textId="77777777" w:rsidR="002C2D2D" w:rsidRPr="00F15DD0" w:rsidRDefault="002C2D2D" w:rsidP="00F15DD0">
      <w:pPr>
        <w:spacing w:line="276" w:lineRule="auto"/>
        <w:jc w:val="both"/>
        <w:rPr>
          <w:rFonts w:cs="Arial"/>
          <w:sz w:val="24"/>
        </w:rPr>
      </w:pPr>
    </w:p>
    <w:p w14:paraId="21503C23" w14:textId="4057E791" w:rsidR="002C2D2D" w:rsidRPr="00F15DD0" w:rsidRDefault="002C2D2D" w:rsidP="00F15DD0">
      <w:pPr>
        <w:spacing w:line="276" w:lineRule="auto"/>
        <w:jc w:val="both"/>
        <w:rPr>
          <w:rFonts w:cs="Arial"/>
          <w:sz w:val="24"/>
          <w:u w:val="single"/>
        </w:rPr>
      </w:pPr>
      <w:r w:rsidRPr="00F15DD0">
        <w:rPr>
          <w:rFonts w:cs="Arial"/>
          <w:sz w:val="24"/>
        </w:rPr>
        <w:t>(i) ¿</w:t>
      </w:r>
      <w:r w:rsidR="00B837DF" w:rsidRPr="00F15DD0">
        <w:rPr>
          <w:rFonts w:cs="Arial"/>
          <w:sz w:val="24"/>
        </w:rPr>
        <w:t xml:space="preserve">La aceptación de una herencia con beneficio de inventario, implica que los herederos llamados a resistir unas pretensiones, iure hereditaria, efectuaron un acto tendiente a impedir la efectividad de la sentencia, que hiciera necesaria la imposición de </w:t>
      </w:r>
      <w:r w:rsidRPr="00F15DD0">
        <w:rPr>
          <w:rFonts w:cs="Arial"/>
          <w:sz w:val="24"/>
        </w:rPr>
        <w:t xml:space="preserve">la medida cautelar </w:t>
      </w:r>
      <w:r w:rsidR="3D93ED8A" w:rsidRPr="00F15DD0">
        <w:rPr>
          <w:rFonts w:cs="Arial"/>
          <w:sz w:val="24"/>
        </w:rPr>
        <w:t>con base en el artículo 85A del C.P.L. y de la S.S.</w:t>
      </w:r>
      <w:r w:rsidRPr="00F15DD0">
        <w:rPr>
          <w:rFonts w:cs="Arial"/>
          <w:sz w:val="24"/>
        </w:rPr>
        <w:t>?</w:t>
      </w:r>
    </w:p>
    <w:p w14:paraId="1E1FDF50" w14:textId="77777777" w:rsidR="002C2D2D" w:rsidRPr="00F15DD0" w:rsidRDefault="002C2D2D" w:rsidP="00F15DD0">
      <w:pPr>
        <w:spacing w:line="276" w:lineRule="auto"/>
        <w:jc w:val="both"/>
        <w:rPr>
          <w:rFonts w:cs="Arial"/>
          <w:sz w:val="24"/>
        </w:rPr>
      </w:pPr>
    </w:p>
    <w:p w14:paraId="47C6B64F" w14:textId="77777777" w:rsidR="002C2D2D" w:rsidRPr="00F15DD0" w:rsidRDefault="002C2D2D" w:rsidP="00F15DD0">
      <w:pPr>
        <w:spacing w:line="276" w:lineRule="auto"/>
        <w:jc w:val="both"/>
        <w:rPr>
          <w:rFonts w:cs="Arial"/>
          <w:b/>
          <w:bCs/>
          <w:sz w:val="24"/>
        </w:rPr>
      </w:pPr>
      <w:r w:rsidRPr="00F15DD0">
        <w:rPr>
          <w:rFonts w:cs="Arial"/>
          <w:b/>
          <w:bCs/>
          <w:sz w:val="24"/>
        </w:rPr>
        <w:t>2. Solución al interrogante planteado</w:t>
      </w:r>
    </w:p>
    <w:p w14:paraId="2D4CE205" w14:textId="0B9F882A" w:rsidR="002C2D2D" w:rsidRPr="00F15DD0" w:rsidRDefault="002C2D2D" w:rsidP="00F15DD0">
      <w:pPr>
        <w:spacing w:line="276" w:lineRule="auto"/>
        <w:jc w:val="both"/>
        <w:rPr>
          <w:rFonts w:cs="Arial"/>
          <w:b/>
          <w:bCs/>
          <w:sz w:val="24"/>
        </w:rPr>
      </w:pPr>
    </w:p>
    <w:p w14:paraId="0237743A" w14:textId="50E80020" w:rsidR="00B837DF" w:rsidRPr="00F15DD0" w:rsidRDefault="00B837DF" w:rsidP="00F15DD0">
      <w:pPr>
        <w:spacing w:line="276" w:lineRule="auto"/>
        <w:jc w:val="both"/>
        <w:rPr>
          <w:rFonts w:cs="Arial"/>
          <w:b/>
          <w:bCs/>
          <w:sz w:val="24"/>
        </w:rPr>
      </w:pPr>
      <w:r w:rsidRPr="00F15DD0">
        <w:rPr>
          <w:rFonts w:cs="Arial"/>
          <w:b/>
          <w:bCs/>
          <w:sz w:val="24"/>
        </w:rPr>
        <w:t>2.1. De la medida cautelar en el procedimiento laboral</w:t>
      </w:r>
    </w:p>
    <w:p w14:paraId="5B489C42" w14:textId="77777777" w:rsidR="00B837DF" w:rsidRPr="00F15DD0" w:rsidRDefault="00B837DF" w:rsidP="00F15DD0">
      <w:pPr>
        <w:spacing w:line="276" w:lineRule="auto"/>
        <w:jc w:val="both"/>
        <w:rPr>
          <w:rFonts w:cs="Arial"/>
          <w:b/>
          <w:bCs/>
          <w:sz w:val="24"/>
        </w:rPr>
      </w:pPr>
    </w:p>
    <w:p w14:paraId="63C153B4" w14:textId="49886B82" w:rsidR="002C2D2D" w:rsidRPr="00F15DD0" w:rsidRDefault="002C2D2D" w:rsidP="00F15DD0">
      <w:pPr>
        <w:spacing w:line="276" w:lineRule="auto"/>
        <w:jc w:val="both"/>
        <w:rPr>
          <w:rFonts w:cs="Arial"/>
          <w:sz w:val="24"/>
        </w:rPr>
      </w:pPr>
      <w:r w:rsidRPr="00F15DD0">
        <w:rPr>
          <w:rFonts w:cs="Arial"/>
          <w:sz w:val="24"/>
        </w:rPr>
        <w:t>El artículo 85 A modificado por el artículo 37A de la ley 712 de 2001 se ocupa de establecer como medida cautelar dentro de los procesos ordinarios -la caución entre 30% y 50% del valor de las pretensiones al momento de decretarse -; que debe prestar el demandado para garantizar el cumplimiento de la sentencia, so pena de no ser oído.</w:t>
      </w:r>
    </w:p>
    <w:p w14:paraId="42CDA8F9" w14:textId="66D825A2" w:rsidR="002C2D2D" w:rsidRPr="00F15DD0" w:rsidRDefault="002C2D2D" w:rsidP="00F15DD0">
      <w:pPr>
        <w:spacing w:line="276" w:lineRule="auto"/>
        <w:jc w:val="both"/>
        <w:rPr>
          <w:rFonts w:cs="Arial"/>
          <w:sz w:val="24"/>
        </w:rPr>
      </w:pPr>
    </w:p>
    <w:p w14:paraId="5BF2958B" w14:textId="2EA1D2C9" w:rsidR="003165ED" w:rsidRPr="00F15DD0" w:rsidRDefault="002C2D2D" w:rsidP="00F15DD0">
      <w:pPr>
        <w:spacing w:line="276" w:lineRule="auto"/>
        <w:jc w:val="both"/>
        <w:rPr>
          <w:rFonts w:cs="Arial"/>
          <w:sz w:val="24"/>
        </w:rPr>
      </w:pPr>
      <w:r w:rsidRPr="00F15DD0">
        <w:rPr>
          <w:rFonts w:cs="Arial"/>
          <w:sz w:val="24"/>
        </w:rPr>
        <w:t xml:space="preserve">A su vez, en sentencia C-043/2021 la Corte Constitucional declaró exequible condicionadamente dicho artículo bajo el entendido de que </w:t>
      </w:r>
      <w:r w:rsidR="003165ED" w:rsidRPr="00F15DD0">
        <w:rPr>
          <w:rFonts w:cs="Arial"/>
          <w:sz w:val="24"/>
        </w:rPr>
        <w:t>en la jurisdicción ordinaria laboral también podrán invocarse medidas cautelares innominadas, esto es, las previstas en el literal c) del numeral 1º del artículo 590 del C.G.P.</w:t>
      </w:r>
      <w:r w:rsidR="00B837DF" w:rsidRPr="00F15DD0">
        <w:rPr>
          <w:rFonts w:cs="Arial"/>
          <w:sz w:val="24"/>
        </w:rPr>
        <w:t xml:space="preserve"> </w:t>
      </w:r>
      <w:r w:rsidR="003165ED" w:rsidRPr="00F15DD0">
        <w:rPr>
          <w:rFonts w:cs="Arial"/>
          <w:sz w:val="24"/>
        </w:rPr>
        <w:t xml:space="preserve">Así, las medidas cautelares innominadas corresponden a cualquier medida que el juez encuentre razonable para proteger el derecho objeto del litigio. </w:t>
      </w:r>
    </w:p>
    <w:p w14:paraId="4617F675" w14:textId="2056C3B8" w:rsidR="002C2D2D" w:rsidRPr="00F15DD0" w:rsidRDefault="002C2D2D" w:rsidP="00F15DD0">
      <w:pPr>
        <w:spacing w:line="276" w:lineRule="auto"/>
        <w:jc w:val="both"/>
        <w:rPr>
          <w:rFonts w:cs="Arial"/>
          <w:sz w:val="24"/>
        </w:rPr>
      </w:pPr>
    </w:p>
    <w:p w14:paraId="787A9700" w14:textId="5F5BCAF6" w:rsidR="002C2D2D" w:rsidRPr="00F15DD0" w:rsidRDefault="002C2D2D" w:rsidP="00F15DD0">
      <w:pPr>
        <w:spacing w:line="276" w:lineRule="auto"/>
        <w:jc w:val="both"/>
        <w:rPr>
          <w:rFonts w:cs="Arial"/>
          <w:sz w:val="24"/>
        </w:rPr>
      </w:pPr>
      <w:r w:rsidRPr="00F15DD0">
        <w:rPr>
          <w:rFonts w:cs="Arial"/>
          <w:sz w:val="24"/>
        </w:rPr>
        <w:t xml:space="preserve">Ahora bien, </w:t>
      </w:r>
      <w:r w:rsidR="003165ED" w:rsidRPr="00F15DD0">
        <w:rPr>
          <w:rFonts w:cs="Arial"/>
          <w:sz w:val="24"/>
        </w:rPr>
        <w:t>retornando a la caución</w:t>
      </w:r>
      <w:r w:rsidR="239B4A05" w:rsidRPr="00F15DD0">
        <w:rPr>
          <w:rFonts w:cs="Arial"/>
          <w:sz w:val="24"/>
        </w:rPr>
        <w:t xml:space="preserve"> solicitada por el recurrente ante el </w:t>
      </w:r>
      <w:r w:rsidR="239B4A05" w:rsidRPr="00F15DD0">
        <w:rPr>
          <w:rFonts w:cs="Arial"/>
          <w:i/>
          <w:iCs/>
          <w:sz w:val="24"/>
        </w:rPr>
        <w:t>a quo</w:t>
      </w:r>
      <w:r w:rsidR="239B4A05" w:rsidRPr="00F15DD0">
        <w:rPr>
          <w:rFonts w:cs="Arial"/>
          <w:sz w:val="24"/>
        </w:rPr>
        <w:t>, que es la</w:t>
      </w:r>
      <w:r w:rsidR="003165ED" w:rsidRPr="00F15DD0">
        <w:rPr>
          <w:rFonts w:cs="Arial"/>
          <w:sz w:val="24"/>
        </w:rPr>
        <w:t xml:space="preserve"> contemplada en el artículo 85</w:t>
      </w:r>
      <w:r w:rsidR="5439CC4D" w:rsidRPr="00F15DD0">
        <w:rPr>
          <w:rFonts w:cs="Arial"/>
          <w:sz w:val="24"/>
        </w:rPr>
        <w:t>A</w:t>
      </w:r>
      <w:r w:rsidR="003165ED" w:rsidRPr="00F15DD0">
        <w:rPr>
          <w:rFonts w:cs="Arial"/>
          <w:sz w:val="24"/>
        </w:rPr>
        <w:t>, para imponerla debe acreditarse alguna de estas</w:t>
      </w:r>
      <w:r w:rsidRPr="00F15DD0">
        <w:rPr>
          <w:rFonts w:cs="Arial"/>
          <w:sz w:val="24"/>
        </w:rPr>
        <w:t xml:space="preserve"> dos circunstancias:</w:t>
      </w:r>
      <w:r w:rsidRPr="00F15DD0">
        <w:rPr>
          <w:rFonts w:cs="Arial"/>
          <w:i/>
          <w:iCs/>
          <w:sz w:val="24"/>
        </w:rPr>
        <w:t xml:space="preserve"> i)</w:t>
      </w:r>
      <w:r w:rsidRPr="00F15DD0">
        <w:rPr>
          <w:rFonts w:cs="Arial"/>
          <w:sz w:val="24"/>
        </w:rPr>
        <w:t xml:space="preserve"> cuando el demandando ejecuta actos tendientes a </w:t>
      </w:r>
      <w:proofErr w:type="spellStart"/>
      <w:r w:rsidRPr="00F15DD0">
        <w:rPr>
          <w:rFonts w:cs="Arial"/>
          <w:sz w:val="24"/>
        </w:rPr>
        <w:t>insolventarse</w:t>
      </w:r>
      <w:proofErr w:type="spellEnd"/>
      <w:r w:rsidRPr="00F15DD0">
        <w:rPr>
          <w:rFonts w:cs="Arial"/>
          <w:sz w:val="24"/>
        </w:rPr>
        <w:t xml:space="preserve"> o </w:t>
      </w:r>
      <w:r w:rsidRPr="00F15DD0">
        <w:rPr>
          <w:rFonts w:cs="Arial"/>
          <w:b/>
          <w:bCs/>
          <w:sz w:val="24"/>
        </w:rPr>
        <w:t>impedir la efectividad de la sentencia</w:t>
      </w:r>
      <w:r w:rsidRPr="00F15DD0">
        <w:rPr>
          <w:rFonts w:cs="Arial"/>
          <w:sz w:val="24"/>
        </w:rPr>
        <w:t xml:space="preserve">, o </w:t>
      </w:r>
      <w:r w:rsidRPr="00F15DD0">
        <w:rPr>
          <w:rFonts w:cs="Arial"/>
          <w:i/>
          <w:iCs/>
          <w:sz w:val="24"/>
        </w:rPr>
        <w:t>ii)</w:t>
      </w:r>
      <w:r w:rsidRPr="00F15DD0">
        <w:rPr>
          <w:rFonts w:cs="Arial"/>
          <w:sz w:val="24"/>
        </w:rPr>
        <w:t xml:space="preserve"> cuando el demandado se encuentre en graves y serias dificultades para el cumplimiento oportuno de sus obligaciones. Hechos que tendrá que demostrar el demandante.</w:t>
      </w:r>
    </w:p>
    <w:p w14:paraId="1BBD975A" w14:textId="77777777" w:rsidR="002C2D2D" w:rsidRPr="00F15DD0" w:rsidRDefault="002C2D2D" w:rsidP="00F15DD0">
      <w:pPr>
        <w:spacing w:line="276" w:lineRule="auto"/>
        <w:jc w:val="both"/>
        <w:rPr>
          <w:rFonts w:cs="Arial"/>
          <w:sz w:val="24"/>
        </w:rPr>
      </w:pPr>
    </w:p>
    <w:p w14:paraId="66862C1A" w14:textId="30258456" w:rsidR="002C2D2D" w:rsidRPr="00F15DD0" w:rsidRDefault="78838731" w:rsidP="00F15DD0">
      <w:pPr>
        <w:spacing w:line="276" w:lineRule="auto"/>
        <w:jc w:val="both"/>
        <w:rPr>
          <w:rFonts w:cs="Arial"/>
          <w:sz w:val="24"/>
        </w:rPr>
      </w:pPr>
      <w:r w:rsidRPr="00F15DD0">
        <w:rPr>
          <w:rFonts w:cs="Arial"/>
          <w:sz w:val="24"/>
        </w:rPr>
        <w:t>S</w:t>
      </w:r>
      <w:r w:rsidR="002C2D2D" w:rsidRPr="00F15DD0">
        <w:rPr>
          <w:rFonts w:cs="Arial"/>
          <w:sz w:val="24"/>
        </w:rPr>
        <w:t xml:space="preserve">in embargo, para su procedencia resulta imperativo que se acrediten los supuestos de hecho contemplados en la norma, de manera tal que los dos eventos atrás señalados, deben estar debidamente comprobados y frente a los cuales, el demandado cuenta con la posibilidad de defenderse para evitar la consecuencia jurídica gravosa de la ausencia de pago de la caución, como es la imposibilidad de ejercer el derecho de contradicción durante el restante trámite procesal. </w:t>
      </w:r>
    </w:p>
    <w:p w14:paraId="4456BF8E" w14:textId="77777777" w:rsidR="002C2D2D" w:rsidRPr="00F15DD0" w:rsidRDefault="002C2D2D" w:rsidP="00F15DD0">
      <w:pPr>
        <w:pStyle w:val="Textosinformato"/>
        <w:tabs>
          <w:tab w:val="left" w:pos="1710"/>
        </w:tabs>
        <w:spacing w:line="276" w:lineRule="auto"/>
        <w:jc w:val="both"/>
        <w:rPr>
          <w:rFonts w:ascii="Arial" w:hAnsi="Arial" w:cs="Arial"/>
          <w:sz w:val="24"/>
          <w:szCs w:val="24"/>
        </w:rPr>
      </w:pPr>
    </w:p>
    <w:p w14:paraId="66DB02E0" w14:textId="77777777" w:rsidR="003165ED" w:rsidRPr="00F15DD0" w:rsidRDefault="002C2D2D" w:rsidP="00F15DD0">
      <w:pPr>
        <w:pStyle w:val="Textosinformato"/>
        <w:tabs>
          <w:tab w:val="left" w:pos="1710"/>
        </w:tabs>
        <w:spacing w:line="276" w:lineRule="auto"/>
        <w:jc w:val="both"/>
        <w:rPr>
          <w:rFonts w:ascii="Arial" w:hAnsi="Arial" w:cs="Arial"/>
          <w:i/>
          <w:iCs/>
          <w:sz w:val="24"/>
          <w:szCs w:val="24"/>
        </w:rPr>
      </w:pPr>
      <w:r w:rsidRPr="00F15DD0">
        <w:rPr>
          <w:rFonts w:ascii="Arial" w:hAnsi="Arial" w:cs="Arial"/>
          <w:sz w:val="24"/>
          <w:szCs w:val="24"/>
        </w:rPr>
        <w:t>Entonces, las medidas cautelares son los instrumentos diseñados por el legislador para salvaguardar provisionalmente y mientras dura un proceso, la efectividad del derecho sometido a controversia. Es por ello que su procedencia acaece en virtud a una protección preventiva, no obstante lo anterior su imposición debe realizarse con extremo cuidado, pues la naturaleza de la medida cautelar implica una carga sobre el demandado, sin que haya sido vencido en juicio, y por ello, la concesión de medidas cautelares al garete implicará una trasgresión al “</w:t>
      </w:r>
      <w:r w:rsidRPr="002058C1">
        <w:rPr>
          <w:rFonts w:ascii="Arial" w:hAnsi="Arial" w:cs="Arial"/>
          <w:i/>
          <w:iCs/>
          <w:sz w:val="22"/>
          <w:szCs w:val="24"/>
        </w:rPr>
        <w:t>derecho de defensa y el debido proceso, en la medida en que restringen un derecho de una persona, antes de que ella sea condenada en un juicio</w:t>
      </w:r>
      <w:r w:rsidRPr="00F15DD0">
        <w:rPr>
          <w:rFonts w:ascii="Arial" w:hAnsi="Arial" w:cs="Arial"/>
          <w:i/>
          <w:iCs/>
          <w:sz w:val="24"/>
          <w:szCs w:val="24"/>
        </w:rPr>
        <w:t xml:space="preserve">” </w:t>
      </w:r>
      <w:r w:rsidRPr="00F15DD0">
        <w:rPr>
          <w:rFonts w:ascii="Arial" w:hAnsi="Arial" w:cs="Arial"/>
          <w:sz w:val="24"/>
          <w:szCs w:val="24"/>
        </w:rPr>
        <w:t>C-379-2004</w:t>
      </w:r>
      <w:r w:rsidRPr="00F15DD0">
        <w:rPr>
          <w:rFonts w:ascii="Arial" w:hAnsi="Arial" w:cs="Arial"/>
          <w:i/>
          <w:iCs/>
          <w:sz w:val="24"/>
          <w:szCs w:val="24"/>
        </w:rPr>
        <w:t>.</w:t>
      </w:r>
    </w:p>
    <w:p w14:paraId="60569A3C" w14:textId="5263EEFD" w:rsidR="065F6163" w:rsidRPr="00F15DD0" w:rsidRDefault="065F6163" w:rsidP="00F15DD0">
      <w:pPr>
        <w:pStyle w:val="Textosinformato"/>
        <w:tabs>
          <w:tab w:val="left" w:pos="1710"/>
        </w:tabs>
        <w:spacing w:line="276" w:lineRule="auto"/>
        <w:jc w:val="both"/>
        <w:rPr>
          <w:rFonts w:ascii="Arial" w:hAnsi="Arial" w:cs="Arial"/>
          <w:sz w:val="24"/>
          <w:szCs w:val="24"/>
        </w:rPr>
      </w:pPr>
    </w:p>
    <w:p w14:paraId="7358C795" w14:textId="7B0A4009" w:rsidR="002C2D2D" w:rsidRPr="00F15DD0" w:rsidRDefault="002C2D2D" w:rsidP="00F15DD0">
      <w:pPr>
        <w:pStyle w:val="Textosinformato"/>
        <w:tabs>
          <w:tab w:val="left" w:pos="1710"/>
        </w:tabs>
        <w:spacing w:line="276" w:lineRule="auto"/>
        <w:jc w:val="both"/>
        <w:rPr>
          <w:rFonts w:ascii="Arial" w:eastAsiaTheme="minorEastAsia" w:hAnsi="Arial" w:cs="Arial"/>
          <w:b/>
          <w:bCs/>
          <w:color w:val="2D2D2D"/>
          <w:sz w:val="24"/>
          <w:szCs w:val="24"/>
          <w:lang w:val="es-CO" w:eastAsia="en-US"/>
        </w:rPr>
      </w:pPr>
      <w:r w:rsidRPr="00F15DD0">
        <w:rPr>
          <w:rFonts w:ascii="Arial" w:hAnsi="Arial" w:cs="Arial"/>
          <w:sz w:val="24"/>
          <w:szCs w:val="24"/>
        </w:rPr>
        <w:t>En ese sentido, la causal invocada dentro del procedimiento laboral, ya sea una de ellas o ambas, debe ser estimada por el juez, sin que en manera alguna éste pueda transcender o cruzar los lindes fijados por el solicitante de la caución, pues ello implicaría una marcada trasgresión al principio de congruencia entre lo pedido y lo resuelto por la jurisdicción.</w:t>
      </w:r>
    </w:p>
    <w:p w14:paraId="2FED8854" w14:textId="77777777" w:rsidR="002C2D2D" w:rsidRPr="00F15DD0" w:rsidRDefault="002C2D2D" w:rsidP="00F15DD0">
      <w:pPr>
        <w:pStyle w:val="Textosinformato"/>
        <w:tabs>
          <w:tab w:val="left" w:pos="1710"/>
        </w:tabs>
        <w:spacing w:line="276" w:lineRule="auto"/>
        <w:jc w:val="both"/>
        <w:rPr>
          <w:rFonts w:ascii="Arial" w:hAnsi="Arial" w:cs="Arial"/>
          <w:sz w:val="24"/>
          <w:szCs w:val="24"/>
        </w:rPr>
      </w:pPr>
    </w:p>
    <w:p w14:paraId="4693D941" w14:textId="11203F31" w:rsidR="002C2D2D" w:rsidRPr="00F15DD0" w:rsidRDefault="002C2D2D" w:rsidP="00F15DD0">
      <w:pPr>
        <w:pStyle w:val="Textosinformato"/>
        <w:tabs>
          <w:tab w:val="left" w:pos="1710"/>
        </w:tabs>
        <w:spacing w:line="276" w:lineRule="auto"/>
        <w:jc w:val="both"/>
        <w:rPr>
          <w:rFonts w:ascii="Arial" w:hAnsi="Arial" w:cs="Arial"/>
          <w:sz w:val="24"/>
          <w:szCs w:val="24"/>
        </w:rPr>
      </w:pPr>
      <w:r w:rsidRPr="00F15DD0">
        <w:rPr>
          <w:rFonts w:ascii="Arial" w:hAnsi="Arial" w:cs="Arial"/>
          <w:sz w:val="24"/>
          <w:szCs w:val="24"/>
        </w:rPr>
        <w:t xml:space="preserve">Puestas de ese modo las cosas, la medida cautelar como garantía de la efectividad del derecho del demandante no puede aparecer a su vez como trasgresora de los derechos del demandado a la contradicción y defensa. </w:t>
      </w:r>
    </w:p>
    <w:p w14:paraId="1D24E9EF" w14:textId="2C2F32F8" w:rsidR="00B837DF" w:rsidRPr="00F15DD0" w:rsidRDefault="00B837DF" w:rsidP="00F15DD0">
      <w:pPr>
        <w:pStyle w:val="Textosinformato"/>
        <w:tabs>
          <w:tab w:val="left" w:pos="1710"/>
        </w:tabs>
        <w:spacing w:line="276" w:lineRule="auto"/>
        <w:jc w:val="both"/>
        <w:rPr>
          <w:rFonts w:ascii="Arial" w:hAnsi="Arial" w:cs="Arial"/>
          <w:b/>
          <w:bCs/>
          <w:i/>
          <w:iCs/>
          <w:sz w:val="24"/>
          <w:szCs w:val="24"/>
        </w:rPr>
      </w:pPr>
    </w:p>
    <w:p w14:paraId="29C30FF7" w14:textId="5298775B" w:rsidR="00B837DF" w:rsidRPr="00F15DD0" w:rsidRDefault="00B837DF" w:rsidP="00F15DD0">
      <w:pPr>
        <w:pStyle w:val="Textosinformato"/>
        <w:tabs>
          <w:tab w:val="left" w:pos="1710"/>
        </w:tabs>
        <w:spacing w:line="276" w:lineRule="auto"/>
        <w:jc w:val="both"/>
        <w:rPr>
          <w:rFonts w:ascii="Arial" w:hAnsi="Arial" w:cs="Arial"/>
          <w:b/>
          <w:bCs/>
          <w:i/>
          <w:iCs/>
          <w:sz w:val="24"/>
          <w:szCs w:val="24"/>
        </w:rPr>
      </w:pPr>
      <w:r w:rsidRPr="00F15DD0">
        <w:rPr>
          <w:rFonts w:ascii="Arial" w:hAnsi="Arial" w:cs="Arial"/>
          <w:b/>
          <w:bCs/>
          <w:i/>
          <w:iCs/>
          <w:sz w:val="24"/>
          <w:szCs w:val="24"/>
        </w:rPr>
        <w:t>2.2. De la iure hereditaria</w:t>
      </w:r>
    </w:p>
    <w:p w14:paraId="2D967D6A" w14:textId="0156298C" w:rsidR="00B837DF" w:rsidRPr="00F15DD0" w:rsidRDefault="00B837DF" w:rsidP="00F15DD0">
      <w:pPr>
        <w:pStyle w:val="Textosinformato"/>
        <w:tabs>
          <w:tab w:val="left" w:pos="1710"/>
        </w:tabs>
        <w:spacing w:line="276" w:lineRule="auto"/>
        <w:jc w:val="both"/>
        <w:rPr>
          <w:rFonts w:ascii="Arial" w:hAnsi="Arial" w:cs="Arial"/>
          <w:sz w:val="24"/>
          <w:szCs w:val="24"/>
        </w:rPr>
      </w:pPr>
    </w:p>
    <w:p w14:paraId="376074C1" w14:textId="1591EDE9" w:rsidR="00F308FF" w:rsidRPr="00F15DD0" w:rsidRDefault="00F308FF"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La doctrina ha enseñado que la capacidad de las personas naturales para ser sujetos de derechos y contraer obligaciones inicia con el nacimiento y finaliza con la muerte, de ahí que, una vez ocurrida esta</w:t>
      </w:r>
      <w:r w:rsidR="005F3CE1" w:rsidRPr="00F15DD0">
        <w:rPr>
          <w:rFonts w:cs="Arial"/>
          <w:color w:val="000000" w:themeColor="text1"/>
          <w:sz w:val="24"/>
          <w:lang w:eastAsia="es-CO"/>
        </w:rPr>
        <w:t>,</w:t>
      </w:r>
      <w:r w:rsidRPr="00F15DD0">
        <w:rPr>
          <w:rFonts w:cs="Arial"/>
          <w:color w:val="000000" w:themeColor="text1"/>
          <w:sz w:val="24"/>
          <w:lang w:eastAsia="es-CO"/>
        </w:rPr>
        <w:t xml:space="preserve"> sus derechos y obligaciones son trasmisibles por la causa del fallecimiento – sucesión </w:t>
      </w:r>
      <w:r w:rsidR="00AB7AC5">
        <w:rPr>
          <w:rFonts w:cs="Arial"/>
          <w:color w:val="000000" w:themeColor="text1"/>
          <w:sz w:val="24"/>
          <w:lang w:eastAsia="es-CO"/>
        </w:rPr>
        <w:t>–</w:t>
      </w:r>
      <w:r w:rsidRPr="00F15DD0">
        <w:rPr>
          <w:rFonts w:cs="Arial"/>
          <w:color w:val="000000" w:themeColor="text1"/>
          <w:sz w:val="24"/>
          <w:lang w:eastAsia="es-CO"/>
        </w:rPr>
        <w:t>.</w:t>
      </w:r>
    </w:p>
    <w:p w14:paraId="68FB074F" w14:textId="77777777" w:rsidR="00F308FF" w:rsidRPr="00F15DD0" w:rsidRDefault="00F308FF" w:rsidP="00F15DD0">
      <w:pPr>
        <w:pStyle w:val="Sangradetextonormal"/>
        <w:spacing w:after="0" w:line="276" w:lineRule="auto"/>
        <w:ind w:left="0"/>
        <w:jc w:val="both"/>
        <w:rPr>
          <w:rFonts w:cs="Arial"/>
          <w:color w:val="000000"/>
          <w:sz w:val="24"/>
          <w:lang w:eastAsia="es-CO"/>
        </w:rPr>
      </w:pPr>
    </w:p>
    <w:p w14:paraId="18479BE1" w14:textId="1FE7DFF1" w:rsidR="00B837DF" w:rsidRPr="00F15DD0" w:rsidRDefault="00F308FF"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No obstante, no todos los derechos se pueden trasmitir por causa de la muerte, pues solo son susceptibles de tal acto los patrimoniales que a su vez se dividen en reales o de crédito, también conocidos como personales.</w:t>
      </w:r>
    </w:p>
    <w:p w14:paraId="164B56A8" w14:textId="63481A02" w:rsidR="00F308FF" w:rsidRPr="00F15DD0" w:rsidRDefault="00F308FF" w:rsidP="00F15DD0">
      <w:pPr>
        <w:pStyle w:val="Sangradetextonormal"/>
        <w:spacing w:after="0" w:line="276" w:lineRule="auto"/>
        <w:ind w:left="0"/>
        <w:jc w:val="both"/>
        <w:rPr>
          <w:rFonts w:cs="Arial"/>
          <w:color w:val="000000"/>
          <w:sz w:val="24"/>
          <w:lang w:eastAsia="es-CO"/>
        </w:rPr>
      </w:pPr>
    </w:p>
    <w:p w14:paraId="601ABAA8" w14:textId="458D6646" w:rsidR="00F308FF" w:rsidRPr="00F15DD0" w:rsidRDefault="00F308FF"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 xml:space="preserve">Ahora bien, en cuanto a estos últimos – derechos personales o de crédito – implica que los herederos o legatarios se convierten en </w:t>
      </w:r>
      <w:r w:rsidR="005F3CE1" w:rsidRPr="00F15DD0">
        <w:rPr>
          <w:rFonts w:cs="Arial"/>
          <w:color w:val="000000" w:themeColor="text1"/>
          <w:sz w:val="24"/>
          <w:lang w:eastAsia="es-CO"/>
        </w:rPr>
        <w:t>“</w:t>
      </w:r>
      <w:r w:rsidRPr="002058C1">
        <w:rPr>
          <w:rFonts w:cs="Arial"/>
          <w:color w:val="000000" w:themeColor="text1"/>
          <w:sz w:val="22"/>
          <w:lang w:eastAsia="es-CO"/>
        </w:rPr>
        <w:t>acreedores de los deudores que tuviera el causante al momento de su muerte</w:t>
      </w:r>
      <w:r w:rsidR="005F3CE1" w:rsidRPr="002058C1">
        <w:rPr>
          <w:rFonts w:cs="Arial"/>
          <w:color w:val="000000" w:themeColor="text1"/>
          <w:sz w:val="22"/>
          <w:lang w:eastAsia="es-CO"/>
        </w:rPr>
        <w:t>; igualmente deben cancelar las deudas del causante</w:t>
      </w:r>
      <w:r w:rsidR="005F3CE1" w:rsidRPr="00F15DD0">
        <w:rPr>
          <w:rFonts w:cs="Arial"/>
          <w:color w:val="000000" w:themeColor="text1"/>
          <w:sz w:val="24"/>
          <w:lang w:eastAsia="es-CO"/>
        </w:rPr>
        <w:t xml:space="preserve">” </w:t>
      </w:r>
      <w:r w:rsidR="005F3CE1" w:rsidRPr="00F15DD0">
        <w:rPr>
          <w:rFonts w:eastAsiaTheme="minorEastAsia" w:cs="Arial"/>
          <w:sz w:val="24"/>
        </w:rPr>
        <w:t>(</w:t>
      </w:r>
      <w:r w:rsidR="005F3CE1" w:rsidRPr="00F15DD0">
        <w:rPr>
          <w:rFonts w:cs="Arial"/>
          <w:sz w:val="24"/>
        </w:rPr>
        <w:t>Valencia Zea, A. Derecho Civil, T. VI Sucesiones. Edit. Temis. Pp. 4-5).</w:t>
      </w:r>
    </w:p>
    <w:p w14:paraId="44108F85" w14:textId="4A5EAA5F" w:rsidR="004D61B9" w:rsidRPr="00F15DD0" w:rsidRDefault="004D61B9" w:rsidP="00F15DD0">
      <w:pPr>
        <w:pStyle w:val="Sangradetextonormal"/>
        <w:spacing w:after="0" w:line="276" w:lineRule="auto"/>
        <w:ind w:left="0"/>
        <w:jc w:val="both"/>
        <w:rPr>
          <w:rFonts w:cs="Arial"/>
          <w:color w:val="000000"/>
          <w:sz w:val="24"/>
          <w:lang w:eastAsia="es-CO"/>
        </w:rPr>
      </w:pPr>
    </w:p>
    <w:p w14:paraId="2CBADC2C" w14:textId="492B33BA" w:rsidR="004D61B9" w:rsidRPr="00F15DD0" w:rsidRDefault="004D61B9"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En ese sentido, cuando el fallecido era deudor</w:t>
      </w:r>
      <w:r w:rsidR="005F3CE1" w:rsidRPr="00F15DD0">
        <w:rPr>
          <w:rFonts w:cs="Arial"/>
          <w:color w:val="000000" w:themeColor="text1"/>
          <w:sz w:val="24"/>
          <w:lang w:eastAsia="es-CO"/>
        </w:rPr>
        <w:t xml:space="preserve"> cobra importancia memorar el artículo 2488 del C.C. que establece que toda obligación personal – de crédito – da al acreedor el derecho a perseguir su ejecución sobre todos los bienes raíces o muebles del deudor, sean presentes o futuros.</w:t>
      </w:r>
    </w:p>
    <w:p w14:paraId="196C38FE" w14:textId="67D33A9E" w:rsidR="005F3CE1" w:rsidRPr="00F15DD0" w:rsidRDefault="005F3CE1" w:rsidP="00F15DD0">
      <w:pPr>
        <w:pStyle w:val="Sangradetextonormal"/>
        <w:spacing w:after="0" w:line="276" w:lineRule="auto"/>
        <w:ind w:left="0"/>
        <w:jc w:val="both"/>
        <w:rPr>
          <w:rFonts w:cs="Arial"/>
          <w:color w:val="000000"/>
          <w:sz w:val="24"/>
          <w:lang w:eastAsia="es-CO"/>
        </w:rPr>
      </w:pPr>
    </w:p>
    <w:p w14:paraId="2D7CB124" w14:textId="7DA71347" w:rsidR="005F3CE1" w:rsidRPr="00F15DD0" w:rsidRDefault="005F3CE1"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Prenda general de acreedores que da cuenta que las obligaciones contraídas por el deudor deben ser salda</w:t>
      </w:r>
      <w:r w:rsidR="54ED12DB" w:rsidRPr="00F15DD0">
        <w:rPr>
          <w:rFonts w:cs="Arial"/>
          <w:color w:val="000000" w:themeColor="text1"/>
          <w:sz w:val="24"/>
          <w:lang w:eastAsia="es-CO"/>
        </w:rPr>
        <w:t>da</w:t>
      </w:r>
      <w:r w:rsidRPr="00F15DD0">
        <w:rPr>
          <w:rFonts w:cs="Arial"/>
          <w:color w:val="000000" w:themeColor="text1"/>
          <w:sz w:val="24"/>
          <w:lang w:eastAsia="es-CO"/>
        </w:rPr>
        <w:t>s únicamente con su patrimonio, no con el de un tercero, a menos que este expresamente consienta en ello.</w:t>
      </w:r>
    </w:p>
    <w:p w14:paraId="18278B14" w14:textId="400F3470" w:rsidR="005F3CE1" w:rsidRPr="00F15DD0" w:rsidRDefault="005F3CE1" w:rsidP="00F15DD0">
      <w:pPr>
        <w:pStyle w:val="Sangradetextonormal"/>
        <w:spacing w:after="0" w:line="276" w:lineRule="auto"/>
        <w:ind w:left="0"/>
        <w:jc w:val="both"/>
        <w:rPr>
          <w:rFonts w:cs="Arial"/>
          <w:color w:val="000000"/>
          <w:sz w:val="24"/>
          <w:lang w:eastAsia="es-CO"/>
        </w:rPr>
      </w:pPr>
    </w:p>
    <w:p w14:paraId="225B930B" w14:textId="465704FF" w:rsidR="005F3CE1" w:rsidRPr="00F15DD0" w:rsidRDefault="005F3CE1"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Puestas de ese modo las cosas, esto es, que la</w:t>
      </w:r>
      <w:r w:rsidR="00E271FD" w:rsidRPr="00F15DD0">
        <w:rPr>
          <w:rFonts w:cs="Arial"/>
          <w:color w:val="000000" w:themeColor="text1"/>
          <w:sz w:val="24"/>
          <w:lang w:eastAsia="es-CO"/>
        </w:rPr>
        <w:t>s</w:t>
      </w:r>
      <w:r w:rsidRPr="00F15DD0">
        <w:rPr>
          <w:rFonts w:cs="Arial"/>
          <w:color w:val="000000" w:themeColor="text1"/>
          <w:sz w:val="24"/>
          <w:lang w:eastAsia="es-CO"/>
        </w:rPr>
        <w:t xml:space="preserve"> obligaciones a perseguir por los acreedores se concretan en el patrimonio exclusivo del deudor es que cobra relevancia memorar las reglas de la sucesión.</w:t>
      </w:r>
    </w:p>
    <w:p w14:paraId="7D971FAC" w14:textId="29A708CA" w:rsidR="005F3CE1" w:rsidRPr="00F15DD0" w:rsidRDefault="005F3CE1" w:rsidP="00F15DD0">
      <w:pPr>
        <w:pStyle w:val="Sangradetextonormal"/>
        <w:spacing w:after="0" w:line="276" w:lineRule="auto"/>
        <w:ind w:left="0"/>
        <w:jc w:val="both"/>
        <w:rPr>
          <w:rFonts w:cs="Arial"/>
          <w:color w:val="000000"/>
          <w:sz w:val="24"/>
          <w:lang w:eastAsia="es-CO"/>
        </w:rPr>
      </w:pPr>
    </w:p>
    <w:p w14:paraId="0808F83D" w14:textId="5E3309A2" w:rsidR="005F3CE1" w:rsidRPr="00F15DD0" w:rsidRDefault="005F3CE1"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lastRenderedPageBreak/>
        <w:t>Así, la ciencia jurídica moderna superó las arcaicas ideas de que “</w:t>
      </w:r>
      <w:r w:rsidRPr="002058C1">
        <w:rPr>
          <w:rFonts w:cs="Arial"/>
          <w:i/>
          <w:iCs/>
          <w:color w:val="000000" w:themeColor="text1"/>
          <w:sz w:val="22"/>
          <w:lang w:eastAsia="es-CO"/>
        </w:rPr>
        <w:t>el heredero adquiría el patrimonio de su causante, el cual se confundía automáticamente con el suyo para formar uno solo (…). Por otra parte</w:t>
      </w:r>
      <w:r w:rsidR="58A81842" w:rsidRPr="002058C1">
        <w:rPr>
          <w:rFonts w:cs="Arial"/>
          <w:i/>
          <w:iCs/>
          <w:color w:val="000000" w:themeColor="text1"/>
          <w:sz w:val="22"/>
          <w:lang w:eastAsia="es-CO"/>
        </w:rPr>
        <w:t>,</w:t>
      </w:r>
      <w:r w:rsidRPr="002058C1">
        <w:rPr>
          <w:rFonts w:cs="Arial"/>
          <w:i/>
          <w:iCs/>
          <w:color w:val="000000" w:themeColor="text1"/>
          <w:sz w:val="22"/>
          <w:lang w:eastAsia="es-CO"/>
        </w:rPr>
        <w:t xml:space="preserve"> se afirmaba que el heredero era un continuador de la personalidad del causante, y que al adquirir el patrimonio </w:t>
      </w:r>
      <w:proofErr w:type="spellStart"/>
      <w:r w:rsidRPr="002058C1">
        <w:rPr>
          <w:rFonts w:cs="Arial"/>
          <w:i/>
          <w:iCs/>
          <w:color w:val="000000" w:themeColor="text1"/>
          <w:sz w:val="22"/>
          <w:lang w:eastAsia="es-CO"/>
        </w:rPr>
        <w:t>herencial</w:t>
      </w:r>
      <w:proofErr w:type="spellEnd"/>
      <w:r w:rsidRPr="002058C1">
        <w:rPr>
          <w:rFonts w:cs="Arial"/>
          <w:i/>
          <w:iCs/>
          <w:color w:val="000000" w:themeColor="text1"/>
          <w:sz w:val="22"/>
          <w:lang w:eastAsia="es-CO"/>
        </w:rPr>
        <w:t xml:space="preserve"> y al confundirse este con el suyo, adquiría ipso iure todas las relaciones jurídicas, que se hallaran radicadas en cabeza del causante al momento de morir</w:t>
      </w:r>
      <w:r w:rsidRPr="00F15DD0">
        <w:rPr>
          <w:rFonts w:cs="Arial"/>
          <w:i/>
          <w:iCs/>
          <w:color w:val="000000" w:themeColor="text1"/>
          <w:sz w:val="24"/>
          <w:lang w:eastAsia="es-CO"/>
        </w:rPr>
        <w:t>”</w:t>
      </w:r>
      <w:r w:rsidRPr="00F15DD0">
        <w:rPr>
          <w:rFonts w:cs="Arial"/>
          <w:color w:val="000000" w:themeColor="text1"/>
          <w:sz w:val="24"/>
          <w:lang w:eastAsia="es-CO"/>
        </w:rPr>
        <w:t xml:space="preserve"> (pp. 95, ibidem).</w:t>
      </w:r>
    </w:p>
    <w:p w14:paraId="185C786D" w14:textId="2E84B528" w:rsidR="00C06D61" w:rsidRPr="00F15DD0" w:rsidRDefault="00C06D61" w:rsidP="00F15DD0">
      <w:pPr>
        <w:pStyle w:val="Sangradetextonormal"/>
        <w:spacing w:after="0" w:line="276" w:lineRule="auto"/>
        <w:ind w:left="0"/>
        <w:jc w:val="both"/>
        <w:rPr>
          <w:rFonts w:cs="Arial"/>
          <w:color w:val="000000"/>
          <w:sz w:val="24"/>
          <w:lang w:eastAsia="es-CO"/>
        </w:rPr>
      </w:pPr>
    </w:p>
    <w:p w14:paraId="15F14437" w14:textId="4ACF58B6" w:rsidR="00C06D61" w:rsidRPr="00F15DD0" w:rsidRDefault="00C06D61"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Entonces, para superar la confusión de patrimonios con la muerte del causante y su heredero, la legislación civil ingresó la institución jurídica del beneficio de inventario – art. 1304 del C.C. – que establece que “</w:t>
      </w:r>
      <w:r w:rsidRPr="002058C1">
        <w:rPr>
          <w:rFonts w:cs="Arial"/>
          <w:i/>
          <w:iCs/>
          <w:color w:val="000000" w:themeColor="text1"/>
          <w:sz w:val="22"/>
          <w:lang w:eastAsia="es-CO"/>
        </w:rPr>
        <w:t>consiste en no hacer a los herederos que aceptan, responsables de las obligaciones hereditarias o testamentarias, sino hasta concurrencia del valor total de los bienes, que han heredado</w:t>
      </w:r>
      <w:r w:rsidRPr="00F15DD0">
        <w:rPr>
          <w:rFonts w:cs="Arial"/>
          <w:i/>
          <w:iCs/>
          <w:color w:val="000000" w:themeColor="text1"/>
          <w:sz w:val="24"/>
          <w:lang w:eastAsia="es-CO"/>
        </w:rPr>
        <w:t>”.</w:t>
      </w:r>
    </w:p>
    <w:p w14:paraId="1BEE9B7E" w14:textId="3645D247" w:rsidR="1FE7547A" w:rsidRPr="00F15DD0" w:rsidRDefault="1FE7547A" w:rsidP="00F15DD0">
      <w:pPr>
        <w:pStyle w:val="Sangradetextonormal"/>
        <w:spacing w:after="0" w:line="276" w:lineRule="auto"/>
        <w:ind w:left="0"/>
        <w:jc w:val="both"/>
        <w:rPr>
          <w:rFonts w:cs="Arial"/>
          <w:color w:val="000000" w:themeColor="text1"/>
          <w:sz w:val="24"/>
          <w:lang w:eastAsia="es-CO"/>
        </w:rPr>
      </w:pPr>
    </w:p>
    <w:p w14:paraId="43A19EEF" w14:textId="030D681F" w:rsidR="00C06D61" w:rsidRPr="00F15DD0" w:rsidRDefault="00E271FD"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E</w:t>
      </w:r>
      <w:r w:rsidR="00C06D61" w:rsidRPr="00F15DD0">
        <w:rPr>
          <w:rFonts w:cs="Arial"/>
          <w:color w:val="000000" w:themeColor="text1"/>
          <w:sz w:val="24"/>
          <w:lang w:eastAsia="es-CO"/>
        </w:rPr>
        <w:t xml:space="preserve">n ese sentido, todos los herederos, sin excepción alguna, gozan de este beneficio de inventario para eliminar toda responsabilidad personal del heredero y por ello, los acreedores hereditarios y testamentarios tienen que resignarse a hacer efectivos sus créditos sobre los bienes de la masa </w:t>
      </w:r>
      <w:proofErr w:type="spellStart"/>
      <w:r w:rsidR="00C06D61" w:rsidRPr="00F15DD0">
        <w:rPr>
          <w:rFonts w:cs="Arial"/>
          <w:color w:val="000000" w:themeColor="text1"/>
          <w:sz w:val="24"/>
          <w:lang w:eastAsia="es-CO"/>
        </w:rPr>
        <w:t>herencial</w:t>
      </w:r>
      <w:proofErr w:type="spellEnd"/>
      <w:r w:rsidR="00C06D61" w:rsidRPr="00F15DD0">
        <w:rPr>
          <w:rFonts w:cs="Arial"/>
          <w:color w:val="000000" w:themeColor="text1"/>
          <w:sz w:val="24"/>
          <w:lang w:eastAsia="es-CO"/>
        </w:rPr>
        <w:t xml:space="preserve">, pues no pueden perseguir los bienes del heredero. Así, con este beneficio el heredero rechaza la confusión de su patrimonio con el del causante, y solo pagará las deudas de este último hasta la concurrencia del activo del patrimonio </w:t>
      </w:r>
      <w:proofErr w:type="spellStart"/>
      <w:r w:rsidR="00C06D61" w:rsidRPr="00F15DD0">
        <w:rPr>
          <w:rFonts w:cs="Arial"/>
          <w:color w:val="000000" w:themeColor="text1"/>
          <w:sz w:val="24"/>
          <w:lang w:eastAsia="es-CO"/>
        </w:rPr>
        <w:t>herencial</w:t>
      </w:r>
      <w:proofErr w:type="spellEnd"/>
      <w:r w:rsidR="00C06D61" w:rsidRPr="00F15DD0">
        <w:rPr>
          <w:rFonts w:cs="Arial"/>
          <w:color w:val="000000" w:themeColor="text1"/>
          <w:sz w:val="24"/>
          <w:lang w:eastAsia="es-CO"/>
        </w:rPr>
        <w:t>.</w:t>
      </w:r>
    </w:p>
    <w:p w14:paraId="5CF2683D" w14:textId="5A95DDE6" w:rsidR="00C06D61" w:rsidRPr="00F15DD0" w:rsidRDefault="00C06D61" w:rsidP="00F15DD0">
      <w:pPr>
        <w:pStyle w:val="Sangradetextonormal"/>
        <w:spacing w:after="0" w:line="276" w:lineRule="auto"/>
        <w:ind w:left="0"/>
        <w:jc w:val="both"/>
        <w:rPr>
          <w:rFonts w:cs="Arial"/>
          <w:color w:val="000000"/>
          <w:sz w:val="24"/>
          <w:lang w:eastAsia="es-CO"/>
        </w:rPr>
      </w:pPr>
    </w:p>
    <w:p w14:paraId="426EB66B" w14:textId="0A21D2B9" w:rsidR="00C06D61" w:rsidRPr="00F15DD0" w:rsidRDefault="00C06D61" w:rsidP="00F15DD0">
      <w:pPr>
        <w:pStyle w:val="Sangradetextonormal"/>
        <w:spacing w:after="0" w:line="276" w:lineRule="auto"/>
        <w:ind w:left="0"/>
        <w:jc w:val="both"/>
        <w:rPr>
          <w:rFonts w:cs="Arial"/>
          <w:color w:val="000000"/>
          <w:sz w:val="24"/>
          <w:lang w:eastAsia="es-CO"/>
        </w:rPr>
      </w:pPr>
      <w:r w:rsidRPr="00F15DD0">
        <w:rPr>
          <w:rFonts w:cs="Arial"/>
          <w:color w:val="000000" w:themeColor="text1"/>
          <w:sz w:val="24"/>
          <w:lang w:eastAsia="es-CO"/>
        </w:rPr>
        <w:t>Finalmente, en el marco de un proceso judicial, entre los derechos trasmisibles por causa de muerte, se encuentra el derecho de accionar o derecho de protección jurídica, último a través del cual, ante la administración de justicia se puede pretender la declaración de una situación jurídica, en este caso, contra el causante que en vida pudo ejercer o contraer, de ahí que los herederos son llamados también a resistir las pretensiones que se endilg</w:t>
      </w:r>
      <w:r w:rsidR="6442902D" w:rsidRPr="00F15DD0">
        <w:rPr>
          <w:rFonts w:cs="Arial"/>
          <w:color w:val="000000" w:themeColor="text1"/>
          <w:sz w:val="24"/>
          <w:lang w:eastAsia="es-CO"/>
        </w:rPr>
        <w:t>a</w:t>
      </w:r>
      <w:r w:rsidRPr="00F15DD0">
        <w:rPr>
          <w:rFonts w:cs="Arial"/>
          <w:color w:val="000000" w:themeColor="text1"/>
          <w:sz w:val="24"/>
          <w:lang w:eastAsia="es-CO"/>
        </w:rPr>
        <w:t xml:space="preserve">n en contra del causante, a través de la iure hereditaria. </w:t>
      </w:r>
    </w:p>
    <w:p w14:paraId="00D20FFF" w14:textId="77777777" w:rsidR="00C06D61" w:rsidRPr="00F15DD0" w:rsidRDefault="00C06D61" w:rsidP="00F15DD0">
      <w:pPr>
        <w:pStyle w:val="Sangradetextonormal"/>
        <w:spacing w:after="0" w:line="276" w:lineRule="auto"/>
        <w:ind w:left="0"/>
        <w:jc w:val="both"/>
        <w:rPr>
          <w:rFonts w:cs="Arial"/>
          <w:color w:val="000000"/>
          <w:sz w:val="24"/>
          <w:lang w:eastAsia="es-CO"/>
        </w:rPr>
      </w:pPr>
    </w:p>
    <w:p w14:paraId="44D69203" w14:textId="7BC674E9" w:rsidR="002C2D2D" w:rsidRPr="00F15DD0" w:rsidRDefault="002C2D2D" w:rsidP="00F15DD0">
      <w:pPr>
        <w:spacing w:line="276" w:lineRule="auto"/>
        <w:jc w:val="both"/>
        <w:rPr>
          <w:rFonts w:cs="Arial"/>
          <w:b/>
          <w:bCs/>
          <w:sz w:val="24"/>
        </w:rPr>
      </w:pPr>
      <w:r w:rsidRPr="00F15DD0">
        <w:rPr>
          <w:rFonts w:cs="Arial"/>
          <w:b/>
          <w:bCs/>
          <w:sz w:val="24"/>
        </w:rPr>
        <w:t>2.2. Fundamento fáctico</w:t>
      </w:r>
    </w:p>
    <w:p w14:paraId="3A7E1D2C" w14:textId="77777777" w:rsidR="003165ED" w:rsidRPr="00F15DD0" w:rsidRDefault="003165ED" w:rsidP="00F15DD0">
      <w:pPr>
        <w:spacing w:line="276" w:lineRule="auto"/>
        <w:jc w:val="both"/>
        <w:rPr>
          <w:rFonts w:cs="Arial"/>
          <w:sz w:val="24"/>
        </w:rPr>
      </w:pPr>
    </w:p>
    <w:p w14:paraId="6E9F7AA8" w14:textId="72F2C02D" w:rsidR="00BD4D7B" w:rsidRPr="00F15DD0" w:rsidRDefault="00BD4D7B" w:rsidP="00F15DD0">
      <w:pPr>
        <w:spacing w:line="276" w:lineRule="auto"/>
        <w:jc w:val="both"/>
        <w:rPr>
          <w:rFonts w:cs="Arial"/>
          <w:sz w:val="24"/>
        </w:rPr>
      </w:pPr>
      <w:r w:rsidRPr="00F15DD0">
        <w:rPr>
          <w:rFonts w:cs="Arial"/>
          <w:sz w:val="24"/>
        </w:rPr>
        <w:t xml:space="preserve">Se revocará </w:t>
      </w:r>
      <w:r w:rsidR="00C06D61" w:rsidRPr="00F15DD0">
        <w:rPr>
          <w:rFonts w:cs="Arial"/>
          <w:sz w:val="24"/>
        </w:rPr>
        <w:t xml:space="preserve">íntegramente </w:t>
      </w:r>
      <w:r w:rsidRPr="00F15DD0">
        <w:rPr>
          <w:rFonts w:cs="Arial"/>
          <w:sz w:val="24"/>
        </w:rPr>
        <w:t>el auto apelado en la medida que no se</w:t>
      </w:r>
      <w:r w:rsidR="00C06D61" w:rsidRPr="00F15DD0">
        <w:rPr>
          <w:rFonts w:cs="Arial"/>
          <w:sz w:val="24"/>
        </w:rPr>
        <w:t xml:space="preserve"> acreditó que los herederos determinados de </w:t>
      </w:r>
      <w:r w:rsidR="00E62839" w:rsidRPr="00F15DD0">
        <w:rPr>
          <w:rFonts w:cs="Arial"/>
          <w:sz w:val="24"/>
        </w:rPr>
        <w:t>María</w:t>
      </w:r>
      <w:r w:rsidR="00C06D61" w:rsidRPr="00F15DD0">
        <w:rPr>
          <w:rFonts w:cs="Arial"/>
          <w:sz w:val="24"/>
        </w:rPr>
        <w:t xml:space="preserve"> Omaira Montoya hubieren realizado </w:t>
      </w:r>
      <w:r w:rsidRPr="00F15DD0">
        <w:rPr>
          <w:rFonts w:cs="Arial"/>
          <w:sz w:val="24"/>
        </w:rPr>
        <w:t xml:space="preserve">actos tendientes a </w:t>
      </w:r>
      <w:proofErr w:type="spellStart"/>
      <w:r w:rsidRPr="00F15DD0">
        <w:rPr>
          <w:rFonts w:cs="Arial"/>
          <w:sz w:val="24"/>
        </w:rPr>
        <w:t>insolventarse</w:t>
      </w:r>
      <w:proofErr w:type="spellEnd"/>
      <w:r w:rsidRPr="00F15DD0">
        <w:rPr>
          <w:rFonts w:cs="Arial"/>
          <w:sz w:val="24"/>
        </w:rPr>
        <w:t xml:space="preserve"> o impedir la efectividad de la sentencia </w:t>
      </w:r>
      <w:r w:rsidR="00C06D61" w:rsidRPr="00F15DD0">
        <w:rPr>
          <w:rFonts w:cs="Arial"/>
          <w:sz w:val="24"/>
        </w:rPr>
        <w:t xml:space="preserve">al aceptar la herencia </w:t>
      </w:r>
      <w:r w:rsidR="00E62839" w:rsidRPr="00F15DD0">
        <w:rPr>
          <w:rFonts w:cs="Arial"/>
          <w:sz w:val="24"/>
        </w:rPr>
        <w:t xml:space="preserve">de la fallecida </w:t>
      </w:r>
      <w:r w:rsidR="00C06D61" w:rsidRPr="00F15DD0">
        <w:rPr>
          <w:rFonts w:cs="Arial"/>
          <w:sz w:val="24"/>
        </w:rPr>
        <w:t>con beneficio de inventario.</w:t>
      </w:r>
    </w:p>
    <w:p w14:paraId="51AA2CE0" w14:textId="08887800" w:rsidR="00C06D61" w:rsidRPr="00F15DD0" w:rsidRDefault="00C06D61" w:rsidP="00F15DD0">
      <w:pPr>
        <w:spacing w:line="276" w:lineRule="auto"/>
        <w:jc w:val="both"/>
        <w:rPr>
          <w:rFonts w:cs="Arial"/>
          <w:sz w:val="24"/>
        </w:rPr>
      </w:pPr>
    </w:p>
    <w:p w14:paraId="76705DAE" w14:textId="0399B656" w:rsidR="00C06D61" w:rsidRPr="00F15DD0" w:rsidRDefault="00C06D61" w:rsidP="00F15DD0">
      <w:pPr>
        <w:spacing w:line="276" w:lineRule="auto"/>
        <w:jc w:val="both"/>
        <w:rPr>
          <w:rFonts w:cs="Arial"/>
          <w:sz w:val="24"/>
        </w:rPr>
      </w:pPr>
      <w:r w:rsidRPr="00F15DD0">
        <w:rPr>
          <w:rFonts w:cs="Arial"/>
          <w:sz w:val="24"/>
        </w:rPr>
        <w:t xml:space="preserve">En efecto, obra en el plenario la escritura pública No. 4007 del 07/07/2023 a través de la que se dio trámite a la sucesión ilíquida e intestada de María Omaira Montoya Cadavid </w:t>
      </w:r>
      <w:r w:rsidR="0046332E" w:rsidRPr="00F15DD0">
        <w:rPr>
          <w:rFonts w:cs="Arial"/>
          <w:sz w:val="24"/>
        </w:rPr>
        <w:t>sobre un inmueble rural denominado La Secreta avaluado en $52’482.000. Herencia que fue aceptada con beneficio de inventario (</w:t>
      </w:r>
      <w:proofErr w:type="spellStart"/>
      <w:r w:rsidR="0046332E" w:rsidRPr="00F15DD0">
        <w:rPr>
          <w:rFonts w:cs="Arial"/>
          <w:sz w:val="24"/>
        </w:rPr>
        <w:t>fl</w:t>
      </w:r>
      <w:proofErr w:type="spellEnd"/>
      <w:r w:rsidR="0046332E" w:rsidRPr="00F15DD0">
        <w:rPr>
          <w:rFonts w:cs="Arial"/>
          <w:sz w:val="24"/>
        </w:rPr>
        <w:t xml:space="preserve">. 18, archivo 25, </w:t>
      </w:r>
      <w:proofErr w:type="spellStart"/>
      <w:r w:rsidR="0046332E" w:rsidRPr="00F15DD0">
        <w:rPr>
          <w:rFonts w:cs="Arial"/>
          <w:sz w:val="24"/>
        </w:rPr>
        <w:t>exp</w:t>
      </w:r>
      <w:proofErr w:type="spellEnd"/>
      <w:r w:rsidR="0046332E" w:rsidRPr="00F15DD0">
        <w:rPr>
          <w:rFonts w:cs="Arial"/>
          <w:sz w:val="24"/>
        </w:rPr>
        <w:t>. Digital).</w:t>
      </w:r>
    </w:p>
    <w:p w14:paraId="101A8828" w14:textId="64E6161C" w:rsidR="0046332E" w:rsidRPr="00F15DD0" w:rsidRDefault="0046332E" w:rsidP="00F15DD0">
      <w:pPr>
        <w:spacing w:line="276" w:lineRule="auto"/>
        <w:jc w:val="both"/>
        <w:rPr>
          <w:rFonts w:cs="Arial"/>
          <w:sz w:val="24"/>
        </w:rPr>
      </w:pPr>
    </w:p>
    <w:p w14:paraId="69EB171F" w14:textId="7219AA7B" w:rsidR="0046332E" w:rsidRPr="00F15DD0" w:rsidRDefault="0046332E" w:rsidP="00F15DD0">
      <w:pPr>
        <w:spacing w:line="276" w:lineRule="auto"/>
        <w:jc w:val="both"/>
        <w:rPr>
          <w:rFonts w:cs="Arial"/>
          <w:sz w:val="24"/>
        </w:rPr>
      </w:pPr>
      <w:r w:rsidRPr="00F15DD0">
        <w:rPr>
          <w:rFonts w:cs="Arial"/>
          <w:sz w:val="24"/>
        </w:rPr>
        <w:t>Beneficio de inventario que de ninguna manera encuadra dentro de los actos deleznables que reprocha el artículo 85A del C.P.L. y de la S.S. para imponer una medida cautelar dentro del proceso laboral, porque:</w:t>
      </w:r>
    </w:p>
    <w:p w14:paraId="5DAE3262" w14:textId="7ECFC39F" w:rsidR="0046332E" w:rsidRPr="00F15DD0" w:rsidRDefault="0046332E" w:rsidP="00F15DD0">
      <w:pPr>
        <w:spacing w:line="276" w:lineRule="auto"/>
        <w:jc w:val="both"/>
        <w:rPr>
          <w:rFonts w:cs="Arial"/>
          <w:sz w:val="24"/>
        </w:rPr>
      </w:pPr>
    </w:p>
    <w:p w14:paraId="0390ABCB" w14:textId="346014C0" w:rsidR="0046332E" w:rsidRPr="00F15DD0" w:rsidRDefault="0046332E" w:rsidP="00F15DD0">
      <w:pPr>
        <w:pStyle w:val="Prrafodelista"/>
        <w:numPr>
          <w:ilvl w:val="0"/>
          <w:numId w:val="18"/>
        </w:numPr>
        <w:spacing w:line="276" w:lineRule="auto"/>
        <w:jc w:val="both"/>
        <w:rPr>
          <w:rFonts w:cs="Arial"/>
          <w:sz w:val="24"/>
        </w:rPr>
      </w:pPr>
      <w:r w:rsidRPr="00F15DD0">
        <w:rPr>
          <w:rFonts w:cs="Arial"/>
          <w:sz w:val="24"/>
        </w:rPr>
        <w:t xml:space="preserve">La parte pasiva de la contienda no se encuentra conformada por el presunto deudor de una obligación personal o de crédito, como lo fuera la fallecida María Omaira Montoya en vida, sino por sus herederos determinados. De ahí que, memorando la prenda general de acreedores, </w:t>
      </w:r>
      <w:proofErr w:type="spellStart"/>
      <w:r w:rsidRPr="00F15DD0">
        <w:rPr>
          <w:rFonts w:cs="Arial"/>
          <w:sz w:val="24"/>
        </w:rPr>
        <w:t>Jhon</w:t>
      </w:r>
      <w:proofErr w:type="spellEnd"/>
      <w:r w:rsidRPr="00F15DD0">
        <w:rPr>
          <w:rFonts w:cs="Arial"/>
          <w:sz w:val="24"/>
        </w:rPr>
        <w:t xml:space="preserve"> Fredy </w:t>
      </w:r>
      <w:proofErr w:type="spellStart"/>
      <w:r w:rsidRPr="00F15DD0">
        <w:rPr>
          <w:rFonts w:cs="Arial"/>
          <w:sz w:val="24"/>
        </w:rPr>
        <w:t>Quirama</w:t>
      </w:r>
      <w:proofErr w:type="spellEnd"/>
      <w:r w:rsidRPr="00F15DD0">
        <w:rPr>
          <w:rFonts w:cs="Arial"/>
          <w:sz w:val="24"/>
        </w:rPr>
        <w:t xml:space="preserve"> Herrera solo puede saldar las presuntas obligaciones que se reclaman a su favor con el patrimonio exclusivo de su deudor, más no de un tercero, en este </w:t>
      </w:r>
      <w:r w:rsidRPr="00F15DD0">
        <w:rPr>
          <w:rFonts w:cs="Arial"/>
          <w:sz w:val="24"/>
        </w:rPr>
        <w:lastRenderedPageBreak/>
        <w:t>caso, de los herederos determinados de quien aduce en vida fuera su empleadora.</w:t>
      </w:r>
    </w:p>
    <w:p w14:paraId="74B23096" w14:textId="77777777" w:rsidR="00E62839" w:rsidRPr="00F15DD0" w:rsidRDefault="00E62839" w:rsidP="00F15DD0">
      <w:pPr>
        <w:pStyle w:val="Prrafodelista"/>
        <w:spacing w:line="276" w:lineRule="auto"/>
        <w:ind w:left="1080"/>
        <w:jc w:val="both"/>
        <w:rPr>
          <w:rFonts w:cs="Arial"/>
          <w:sz w:val="24"/>
        </w:rPr>
      </w:pPr>
    </w:p>
    <w:p w14:paraId="6A417F72" w14:textId="519E89EA" w:rsidR="0046332E" w:rsidRPr="00F15DD0" w:rsidRDefault="0046332E" w:rsidP="00F15DD0">
      <w:pPr>
        <w:pStyle w:val="Prrafodelista"/>
        <w:numPr>
          <w:ilvl w:val="0"/>
          <w:numId w:val="18"/>
        </w:numPr>
        <w:spacing w:line="276" w:lineRule="auto"/>
        <w:jc w:val="both"/>
        <w:rPr>
          <w:rFonts w:cs="Arial"/>
          <w:sz w:val="24"/>
        </w:rPr>
      </w:pPr>
      <w:r w:rsidRPr="00F15DD0">
        <w:rPr>
          <w:rFonts w:cs="Arial"/>
          <w:sz w:val="24"/>
        </w:rPr>
        <w:t xml:space="preserve">Con el propósito de que </w:t>
      </w:r>
      <w:r w:rsidR="00E62839" w:rsidRPr="00F15DD0">
        <w:rPr>
          <w:rFonts w:cs="Arial"/>
          <w:sz w:val="24"/>
        </w:rPr>
        <w:t xml:space="preserve">como consecuencia </w:t>
      </w:r>
      <w:r w:rsidRPr="00F15DD0">
        <w:rPr>
          <w:rFonts w:cs="Arial"/>
          <w:sz w:val="24"/>
        </w:rPr>
        <w:t>de una sucesión, el patrimonio producto de esta no se confunda con el patrimonio de quien lo recibe, la legislación civil estableció un beneficio a favor de los hered</w:t>
      </w:r>
      <w:r w:rsidR="00E62839" w:rsidRPr="00F15DD0">
        <w:rPr>
          <w:rFonts w:cs="Arial"/>
          <w:sz w:val="24"/>
        </w:rPr>
        <w:t>e</w:t>
      </w:r>
      <w:r w:rsidRPr="00F15DD0">
        <w:rPr>
          <w:rFonts w:cs="Arial"/>
          <w:sz w:val="24"/>
        </w:rPr>
        <w:t xml:space="preserve">ros, esto es, el beneficio de inventario para </w:t>
      </w:r>
      <w:r w:rsidR="00E62839" w:rsidRPr="00F15DD0">
        <w:rPr>
          <w:rFonts w:cs="Arial"/>
          <w:sz w:val="24"/>
        </w:rPr>
        <w:t>eliminar cualquier responsabilidad personal del heredero respecto de las deudas del causante</w:t>
      </w:r>
      <w:r w:rsidR="00E62839" w:rsidRPr="00F15DD0">
        <w:rPr>
          <w:rFonts w:cs="Arial"/>
          <w:i/>
          <w:iCs/>
          <w:sz w:val="24"/>
        </w:rPr>
        <w:t xml:space="preserve">, </w:t>
      </w:r>
      <w:r w:rsidR="00E62839" w:rsidRPr="00F15DD0">
        <w:rPr>
          <w:rFonts w:cs="Arial"/>
          <w:sz w:val="24"/>
        </w:rPr>
        <w:t>todo ello para protegerse del peligro que suponen las herencias ruinosas e insolventes, en la medida que “</w:t>
      </w:r>
      <w:r w:rsidR="00E62839" w:rsidRPr="002058C1">
        <w:rPr>
          <w:rFonts w:cs="Arial"/>
          <w:i/>
          <w:iCs/>
          <w:sz w:val="22"/>
        </w:rPr>
        <w:t xml:space="preserve">no sería equitativo que el patrimonio personal del heredero, libre de gravámenes, se confundiera o mezclara con el del de </w:t>
      </w:r>
      <w:proofErr w:type="spellStart"/>
      <w:r w:rsidR="00E62839" w:rsidRPr="002058C1">
        <w:rPr>
          <w:rFonts w:cs="Arial"/>
          <w:i/>
          <w:iCs/>
          <w:sz w:val="22"/>
        </w:rPr>
        <w:t>cujus</w:t>
      </w:r>
      <w:proofErr w:type="spellEnd"/>
      <w:r w:rsidR="00E62839" w:rsidRPr="002058C1">
        <w:rPr>
          <w:rFonts w:cs="Arial"/>
          <w:i/>
          <w:iCs/>
          <w:sz w:val="22"/>
        </w:rPr>
        <w:t xml:space="preserve"> y que su responsabilidad quedara comprometida en el mismo grado que la del causante</w:t>
      </w:r>
      <w:r w:rsidR="00E62839" w:rsidRPr="00F15DD0">
        <w:rPr>
          <w:rFonts w:cs="Arial"/>
          <w:i/>
          <w:iCs/>
          <w:sz w:val="24"/>
        </w:rPr>
        <w:t>”</w:t>
      </w:r>
      <w:r w:rsidR="00E62839" w:rsidRPr="00F15DD0">
        <w:rPr>
          <w:rFonts w:cs="Arial"/>
          <w:sz w:val="24"/>
        </w:rPr>
        <w:t xml:space="preserve"> (pp. 96, ibidem).</w:t>
      </w:r>
    </w:p>
    <w:p w14:paraId="0C8CDB81" w14:textId="77777777" w:rsidR="00E62839" w:rsidRPr="00F15DD0" w:rsidRDefault="00E62839" w:rsidP="00F15DD0">
      <w:pPr>
        <w:pStyle w:val="Prrafodelista"/>
        <w:spacing w:line="276" w:lineRule="auto"/>
        <w:ind w:left="1080"/>
        <w:jc w:val="both"/>
        <w:rPr>
          <w:rFonts w:cs="Arial"/>
          <w:sz w:val="24"/>
        </w:rPr>
      </w:pPr>
    </w:p>
    <w:p w14:paraId="1C772E2B" w14:textId="5B63CFDF" w:rsidR="003165ED" w:rsidRPr="00F15DD0" w:rsidRDefault="00E62839" w:rsidP="00F15DD0">
      <w:pPr>
        <w:pStyle w:val="Prrafodelista"/>
        <w:numPr>
          <w:ilvl w:val="0"/>
          <w:numId w:val="18"/>
        </w:numPr>
        <w:spacing w:line="276" w:lineRule="auto"/>
        <w:jc w:val="both"/>
        <w:rPr>
          <w:rFonts w:cs="Arial"/>
          <w:sz w:val="24"/>
        </w:rPr>
      </w:pPr>
      <w:r w:rsidRPr="00F15DD0">
        <w:rPr>
          <w:rFonts w:cs="Arial"/>
          <w:sz w:val="24"/>
        </w:rPr>
        <w:t xml:space="preserve">El beneficio de inventario no supone la evasión de las obligaciones que en vida contrajo el fallecido, sino que sus herederos responderán por aquellas, pero hasta el límite del valor total de los bienes que heredó. </w:t>
      </w:r>
    </w:p>
    <w:p w14:paraId="57FA9126" w14:textId="0FF4A9BE" w:rsidR="25DAD455" w:rsidRPr="00F15DD0" w:rsidRDefault="25DAD455" w:rsidP="00F15DD0">
      <w:pPr>
        <w:spacing w:line="276" w:lineRule="auto"/>
        <w:jc w:val="both"/>
        <w:rPr>
          <w:rFonts w:cs="Arial"/>
          <w:sz w:val="24"/>
          <w:u w:val="single"/>
        </w:rPr>
      </w:pPr>
    </w:p>
    <w:p w14:paraId="51C7FED4" w14:textId="40CC0722" w:rsidR="328C8B6F" w:rsidRPr="00F15DD0" w:rsidRDefault="328C8B6F" w:rsidP="00F15DD0">
      <w:pPr>
        <w:spacing w:line="276" w:lineRule="auto"/>
        <w:jc w:val="both"/>
        <w:rPr>
          <w:rFonts w:cs="Arial"/>
          <w:sz w:val="24"/>
        </w:rPr>
      </w:pPr>
      <w:r w:rsidRPr="00F15DD0">
        <w:rPr>
          <w:rFonts w:cs="Arial"/>
          <w:sz w:val="24"/>
        </w:rPr>
        <w:t xml:space="preserve">Finalmente, es preciso advertir que la apelación de este auto se envió </w:t>
      </w:r>
      <w:r w:rsidR="19E668AD" w:rsidRPr="00F15DD0">
        <w:rPr>
          <w:rFonts w:cs="Arial"/>
          <w:sz w:val="24"/>
        </w:rPr>
        <w:t xml:space="preserve">y admitió </w:t>
      </w:r>
      <w:r w:rsidRPr="00F15DD0">
        <w:rPr>
          <w:rFonts w:cs="Arial"/>
          <w:sz w:val="24"/>
        </w:rPr>
        <w:t xml:space="preserve">en efecto devolutivo; por lo tanto, ante la revocatoria de la decisión que impuso como medida cautelar la caución a los herederos determinados </w:t>
      </w:r>
      <w:r w:rsidR="3961EA7D" w:rsidRPr="00F15DD0">
        <w:rPr>
          <w:rFonts w:cs="Arial"/>
          <w:sz w:val="24"/>
        </w:rPr>
        <w:t>se ordena que:</w:t>
      </w:r>
    </w:p>
    <w:p w14:paraId="1AD871E4" w14:textId="000634D6" w:rsidR="25DAD455" w:rsidRPr="00F15DD0" w:rsidRDefault="25DAD455" w:rsidP="00F15DD0">
      <w:pPr>
        <w:spacing w:line="276" w:lineRule="auto"/>
        <w:jc w:val="both"/>
        <w:rPr>
          <w:rFonts w:cs="Arial"/>
          <w:sz w:val="24"/>
        </w:rPr>
      </w:pPr>
    </w:p>
    <w:p w14:paraId="0B629372" w14:textId="6C527DAC" w:rsidR="3961EA7D" w:rsidRPr="00F15DD0" w:rsidRDefault="3961EA7D" w:rsidP="00F15DD0">
      <w:pPr>
        <w:pStyle w:val="Prrafodelista"/>
        <w:numPr>
          <w:ilvl w:val="0"/>
          <w:numId w:val="5"/>
        </w:numPr>
        <w:spacing w:line="276" w:lineRule="auto"/>
        <w:jc w:val="both"/>
        <w:rPr>
          <w:rFonts w:cs="Arial"/>
          <w:sz w:val="24"/>
        </w:rPr>
      </w:pPr>
      <w:r w:rsidRPr="00F15DD0">
        <w:rPr>
          <w:rFonts w:cs="Arial"/>
          <w:sz w:val="24"/>
        </w:rPr>
        <w:t xml:space="preserve">Si los herederos determinados pagaron la caución impuesta, entonces se deje sin efectos y se devuelva </w:t>
      </w:r>
      <w:r w:rsidR="0A2B25DB" w:rsidRPr="00F15DD0">
        <w:rPr>
          <w:rFonts w:cs="Arial"/>
          <w:sz w:val="24"/>
        </w:rPr>
        <w:t>a estos</w:t>
      </w:r>
      <w:r w:rsidRPr="00F15DD0">
        <w:rPr>
          <w:rFonts w:cs="Arial"/>
          <w:sz w:val="24"/>
        </w:rPr>
        <w:t xml:space="preserve">. </w:t>
      </w:r>
    </w:p>
    <w:p w14:paraId="64AB63C5" w14:textId="3CD1D323" w:rsidR="50F2ABE3" w:rsidRPr="00F15DD0" w:rsidRDefault="50F2ABE3" w:rsidP="00F15DD0">
      <w:pPr>
        <w:pStyle w:val="Prrafodelista"/>
        <w:numPr>
          <w:ilvl w:val="0"/>
          <w:numId w:val="5"/>
        </w:numPr>
        <w:spacing w:line="276" w:lineRule="auto"/>
        <w:jc w:val="both"/>
        <w:rPr>
          <w:rFonts w:cs="Arial"/>
          <w:sz w:val="24"/>
        </w:rPr>
      </w:pPr>
      <w:r w:rsidRPr="00F15DD0">
        <w:rPr>
          <w:rFonts w:cs="Arial"/>
          <w:sz w:val="24"/>
        </w:rPr>
        <w:t xml:space="preserve">Si los herederos determinados no pagaron la caución y como consecuencia de ello, no fueron escuchados dentro del trámite laboral, entonces se retrotraigan las actuaciones para ser escuchados y otorgárseles tanto el derecho de defensa como debido proceso. </w:t>
      </w:r>
    </w:p>
    <w:p w14:paraId="65652480" w14:textId="3AB59925" w:rsidR="25DAD455" w:rsidRPr="00F15DD0" w:rsidRDefault="25DAD455" w:rsidP="00F15DD0">
      <w:pPr>
        <w:spacing w:line="276" w:lineRule="auto"/>
        <w:jc w:val="both"/>
        <w:rPr>
          <w:rFonts w:cs="Arial"/>
          <w:sz w:val="24"/>
        </w:rPr>
      </w:pPr>
    </w:p>
    <w:p w14:paraId="6F2A8DFD" w14:textId="2035DA61" w:rsidR="328C8B6F" w:rsidRPr="00F15DD0" w:rsidRDefault="328C8B6F" w:rsidP="00F15DD0">
      <w:pPr>
        <w:spacing w:line="276" w:lineRule="auto"/>
        <w:jc w:val="both"/>
        <w:rPr>
          <w:rFonts w:cs="Arial"/>
          <w:b/>
          <w:bCs/>
          <w:sz w:val="24"/>
        </w:rPr>
      </w:pPr>
      <w:r w:rsidRPr="00F15DD0">
        <w:rPr>
          <w:rFonts w:cs="Arial"/>
          <w:b/>
          <w:bCs/>
          <w:sz w:val="24"/>
        </w:rPr>
        <w:t>3. Coda final</w:t>
      </w:r>
    </w:p>
    <w:p w14:paraId="099B05BE" w14:textId="4F458852" w:rsidR="25DAD455" w:rsidRPr="00F15DD0" w:rsidRDefault="25DAD455" w:rsidP="00F15DD0">
      <w:pPr>
        <w:spacing w:line="276" w:lineRule="auto"/>
        <w:jc w:val="both"/>
        <w:rPr>
          <w:rFonts w:cs="Arial"/>
          <w:b/>
          <w:bCs/>
          <w:sz w:val="24"/>
        </w:rPr>
      </w:pPr>
    </w:p>
    <w:p w14:paraId="1536E170" w14:textId="57C9F7A5" w:rsidR="1BE08BBB" w:rsidRPr="00F15DD0" w:rsidRDefault="1BE08BBB" w:rsidP="00F15DD0">
      <w:pPr>
        <w:spacing w:line="276" w:lineRule="auto"/>
        <w:jc w:val="both"/>
        <w:rPr>
          <w:rFonts w:cs="Arial"/>
          <w:sz w:val="24"/>
        </w:rPr>
      </w:pPr>
      <w:r w:rsidRPr="00F15DD0">
        <w:rPr>
          <w:rFonts w:cs="Arial"/>
          <w:sz w:val="24"/>
        </w:rPr>
        <w:t>Finalmente, resulta imperativo llamar la atención del juez de instancia ante la inadecuada interpretación que realizó de la institución jurídica del beneficio de inventario, que tal como se explicó en los fundamentos normativos de esta decisión corresponde a un beneficio que la ley otorga a los herederos con el propósito de evitar herencias ruinosas y que el patrimonio de esto</w:t>
      </w:r>
      <w:r w:rsidR="47D5DFE2" w:rsidRPr="00F15DD0">
        <w:rPr>
          <w:rFonts w:cs="Arial"/>
          <w:sz w:val="24"/>
        </w:rPr>
        <w:t xml:space="preserve">s se confunda con el del causante, de ahí que el acto a través del cual los herederos determinados aceptaron la herencia con beneficio de inventario de ninguna manera podía interpretarse como un acto tendiente a </w:t>
      </w:r>
      <w:proofErr w:type="spellStart"/>
      <w:r w:rsidR="47D5DFE2" w:rsidRPr="00F15DD0">
        <w:rPr>
          <w:rFonts w:cs="Arial"/>
          <w:sz w:val="24"/>
        </w:rPr>
        <w:t>insolventarse</w:t>
      </w:r>
      <w:proofErr w:type="spellEnd"/>
      <w:r w:rsidR="47D5DFE2" w:rsidRPr="00F15DD0">
        <w:rPr>
          <w:rFonts w:cs="Arial"/>
          <w:sz w:val="24"/>
        </w:rPr>
        <w:t xml:space="preserve"> o impedir el cumplimiento de la sentencia, pues admitir tal interpretación sería tanto como </w:t>
      </w:r>
      <w:r w:rsidR="2D8EE8DF" w:rsidRPr="00F15DD0">
        <w:rPr>
          <w:rFonts w:cs="Arial"/>
          <w:sz w:val="24"/>
        </w:rPr>
        <w:t>compel</w:t>
      </w:r>
      <w:r w:rsidR="7BE7B8DB" w:rsidRPr="00F15DD0">
        <w:rPr>
          <w:rFonts w:cs="Arial"/>
          <w:sz w:val="24"/>
        </w:rPr>
        <w:t>e</w:t>
      </w:r>
      <w:r w:rsidR="2D8EE8DF" w:rsidRPr="00F15DD0">
        <w:rPr>
          <w:rFonts w:cs="Arial"/>
          <w:sz w:val="24"/>
        </w:rPr>
        <w:t xml:space="preserve">r a los herederos a aceptar sin miramientos una herencia para evitar ser sujetos de una medida cautelar en un proceso de orden laboral, se itera, en contravía con el beneficio que la ley le otorga a estos. </w:t>
      </w:r>
    </w:p>
    <w:p w14:paraId="4B8E0351" w14:textId="77777777" w:rsidR="003165ED" w:rsidRPr="00F15DD0" w:rsidRDefault="003165ED" w:rsidP="00F15DD0">
      <w:pPr>
        <w:spacing w:line="276" w:lineRule="auto"/>
        <w:jc w:val="both"/>
        <w:rPr>
          <w:rFonts w:cs="Arial"/>
          <w:sz w:val="24"/>
        </w:rPr>
      </w:pPr>
    </w:p>
    <w:p w14:paraId="0D442ED6" w14:textId="77777777" w:rsidR="00F22DF5" w:rsidRPr="00F15DD0" w:rsidRDefault="002C2D2D" w:rsidP="00F15DD0">
      <w:pPr>
        <w:spacing w:line="276" w:lineRule="auto"/>
        <w:jc w:val="center"/>
        <w:rPr>
          <w:rFonts w:cs="Arial"/>
          <w:b/>
          <w:bCs/>
          <w:sz w:val="24"/>
        </w:rPr>
      </w:pPr>
      <w:r w:rsidRPr="00F15DD0">
        <w:rPr>
          <w:rFonts w:cs="Arial"/>
          <w:b/>
          <w:bCs/>
          <w:sz w:val="24"/>
        </w:rPr>
        <w:t>CONCLUSIÓN</w:t>
      </w:r>
    </w:p>
    <w:p w14:paraId="34176DDE" w14:textId="77777777" w:rsidR="00F22DF5" w:rsidRPr="00F15DD0" w:rsidRDefault="00F22DF5" w:rsidP="00F15DD0">
      <w:pPr>
        <w:spacing w:line="276" w:lineRule="auto"/>
        <w:jc w:val="center"/>
        <w:rPr>
          <w:rFonts w:cs="Arial"/>
          <w:sz w:val="24"/>
        </w:rPr>
      </w:pPr>
    </w:p>
    <w:p w14:paraId="477BD837" w14:textId="17A9BFB5" w:rsidR="002C2D2D" w:rsidRPr="00F15DD0" w:rsidRDefault="002C2D2D" w:rsidP="00F15DD0">
      <w:pPr>
        <w:spacing w:line="276" w:lineRule="auto"/>
        <w:jc w:val="both"/>
        <w:rPr>
          <w:rFonts w:cs="Arial"/>
          <w:b/>
          <w:bCs/>
          <w:sz w:val="24"/>
        </w:rPr>
      </w:pPr>
      <w:r w:rsidRPr="00F15DD0">
        <w:rPr>
          <w:rFonts w:cs="Arial"/>
          <w:sz w:val="24"/>
        </w:rPr>
        <w:t xml:space="preserve">A tono con lo expuesto, la decisión revisada será </w:t>
      </w:r>
      <w:r w:rsidR="00E62839" w:rsidRPr="00F15DD0">
        <w:rPr>
          <w:rFonts w:cs="Arial"/>
          <w:sz w:val="24"/>
        </w:rPr>
        <w:t>revocada</w:t>
      </w:r>
      <w:r w:rsidR="00CD4E54" w:rsidRPr="00F15DD0">
        <w:rPr>
          <w:rFonts w:cs="Arial"/>
          <w:sz w:val="24"/>
        </w:rPr>
        <w:t>. C</w:t>
      </w:r>
      <w:r w:rsidRPr="00F15DD0">
        <w:rPr>
          <w:rFonts w:cs="Arial"/>
          <w:sz w:val="24"/>
        </w:rPr>
        <w:t xml:space="preserve">ostas </w:t>
      </w:r>
      <w:r w:rsidR="00E62839" w:rsidRPr="00F15DD0">
        <w:rPr>
          <w:rFonts w:cs="Arial"/>
          <w:sz w:val="24"/>
        </w:rPr>
        <w:t xml:space="preserve">en ambas instancias a cargo del demandante y a favor de la parte demandada al tenor del </w:t>
      </w:r>
      <w:r w:rsidR="004C479E" w:rsidRPr="00F15DD0">
        <w:rPr>
          <w:rFonts w:cs="Arial"/>
          <w:sz w:val="24"/>
        </w:rPr>
        <w:t xml:space="preserve">numeral </w:t>
      </w:r>
      <w:r w:rsidR="00E62839" w:rsidRPr="00F15DD0">
        <w:rPr>
          <w:rFonts w:cs="Arial"/>
          <w:sz w:val="24"/>
        </w:rPr>
        <w:t>4</w:t>
      </w:r>
      <w:r w:rsidR="004C479E" w:rsidRPr="00F15DD0">
        <w:rPr>
          <w:rFonts w:cs="Arial"/>
          <w:sz w:val="24"/>
        </w:rPr>
        <w:t>º del artículo 365 del C.G.P.</w:t>
      </w:r>
      <w:r w:rsidRPr="00F15DD0">
        <w:rPr>
          <w:rFonts w:cs="Arial"/>
          <w:sz w:val="24"/>
        </w:rPr>
        <w:t xml:space="preserve"> </w:t>
      </w:r>
    </w:p>
    <w:p w14:paraId="75229968" w14:textId="77777777" w:rsidR="002C2D2D" w:rsidRPr="00F15DD0" w:rsidRDefault="002C2D2D" w:rsidP="00F15DD0">
      <w:pPr>
        <w:spacing w:line="276" w:lineRule="auto"/>
        <w:contextualSpacing/>
        <w:jc w:val="both"/>
        <w:rPr>
          <w:rFonts w:cs="Arial"/>
          <w:sz w:val="24"/>
        </w:rPr>
      </w:pPr>
    </w:p>
    <w:p w14:paraId="4B642C68" w14:textId="77777777" w:rsidR="002C2D2D" w:rsidRPr="00F15DD0" w:rsidRDefault="002C2D2D" w:rsidP="00F15DD0">
      <w:pPr>
        <w:pStyle w:val="Textoindependiente"/>
        <w:spacing w:line="276" w:lineRule="auto"/>
        <w:jc w:val="center"/>
        <w:rPr>
          <w:rFonts w:ascii="Arial" w:hAnsi="Arial" w:cs="Arial"/>
          <w:b/>
          <w:bCs/>
        </w:rPr>
      </w:pPr>
      <w:r w:rsidRPr="00F15DD0">
        <w:rPr>
          <w:rFonts w:ascii="Arial" w:hAnsi="Arial" w:cs="Arial"/>
          <w:b/>
          <w:bCs/>
        </w:rPr>
        <w:t>DECISIÓN</w:t>
      </w:r>
    </w:p>
    <w:p w14:paraId="5D0874E9" w14:textId="77777777" w:rsidR="002C2D2D" w:rsidRPr="00F15DD0" w:rsidRDefault="002C2D2D" w:rsidP="00F15DD0">
      <w:pPr>
        <w:pStyle w:val="Textoindependiente"/>
        <w:spacing w:line="276" w:lineRule="auto"/>
        <w:rPr>
          <w:rFonts w:ascii="Arial" w:hAnsi="Arial" w:cs="Arial"/>
        </w:rPr>
      </w:pPr>
    </w:p>
    <w:p w14:paraId="2879F466" w14:textId="0F08EE10" w:rsidR="002C2D2D" w:rsidRPr="00F15DD0" w:rsidRDefault="002C2D2D" w:rsidP="00F15DD0">
      <w:pPr>
        <w:pStyle w:val="Textoindependiente"/>
        <w:spacing w:line="276" w:lineRule="auto"/>
        <w:rPr>
          <w:rFonts w:ascii="Arial" w:hAnsi="Arial" w:cs="Arial"/>
        </w:rPr>
      </w:pPr>
      <w:r w:rsidRPr="00F15DD0">
        <w:rPr>
          <w:rFonts w:ascii="Arial" w:hAnsi="Arial" w:cs="Arial"/>
        </w:rPr>
        <w:lastRenderedPageBreak/>
        <w:t xml:space="preserve">En mérito de lo expuesto, la </w:t>
      </w:r>
      <w:r w:rsidRPr="00F15DD0">
        <w:rPr>
          <w:rFonts w:ascii="Arial" w:hAnsi="Arial" w:cs="Arial"/>
          <w:b/>
          <w:bCs/>
        </w:rPr>
        <w:t xml:space="preserve">Sala </w:t>
      </w:r>
      <w:r w:rsidR="004C479E" w:rsidRPr="00F15DD0">
        <w:rPr>
          <w:rFonts w:ascii="Arial" w:hAnsi="Arial" w:cs="Arial"/>
          <w:b/>
          <w:bCs/>
        </w:rPr>
        <w:t xml:space="preserve">de Decisión </w:t>
      </w:r>
      <w:r w:rsidRPr="00F15DD0">
        <w:rPr>
          <w:rFonts w:ascii="Arial" w:hAnsi="Arial" w:cs="Arial"/>
          <w:b/>
          <w:bCs/>
        </w:rPr>
        <w:t>Laboral del Tribunal Superior del Distrito Judicial de Pereira</w:t>
      </w:r>
      <w:r w:rsidRPr="00F15DD0">
        <w:rPr>
          <w:rFonts w:ascii="Arial" w:hAnsi="Arial" w:cs="Arial"/>
        </w:rPr>
        <w:t xml:space="preserve">, </w:t>
      </w:r>
    </w:p>
    <w:p w14:paraId="69A1BA27" w14:textId="77777777" w:rsidR="002C2D2D" w:rsidRPr="00F15DD0" w:rsidRDefault="002C2D2D" w:rsidP="00F15DD0">
      <w:pPr>
        <w:pStyle w:val="Textoindependiente"/>
        <w:spacing w:line="276" w:lineRule="auto"/>
        <w:rPr>
          <w:rFonts w:ascii="Arial" w:hAnsi="Arial" w:cs="Arial"/>
        </w:rPr>
      </w:pPr>
    </w:p>
    <w:p w14:paraId="7C6F66D8" w14:textId="77777777" w:rsidR="002C2D2D" w:rsidRPr="00F15DD0" w:rsidRDefault="002C2D2D" w:rsidP="00F15DD0">
      <w:pPr>
        <w:pStyle w:val="Textoindependiente"/>
        <w:spacing w:line="276" w:lineRule="auto"/>
        <w:jc w:val="center"/>
        <w:rPr>
          <w:rFonts w:ascii="Arial" w:hAnsi="Arial" w:cs="Arial"/>
          <w:b/>
          <w:bCs/>
        </w:rPr>
      </w:pPr>
      <w:r w:rsidRPr="00F15DD0">
        <w:rPr>
          <w:rFonts w:ascii="Arial" w:hAnsi="Arial" w:cs="Arial"/>
          <w:b/>
          <w:bCs/>
        </w:rPr>
        <w:t>RESUELVE</w:t>
      </w:r>
    </w:p>
    <w:p w14:paraId="58C97643" w14:textId="77777777" w:rsidR="002C2D2D" w:rsidRPr="00F15DD0" w:rsidRDefault="002C2D2D" w:rsidP="00F15DD0">
      <w:pPr>
        <w:spacing w:line="276" w:lineRule="auto"/>
        <w:jc w:val="both"/>
        <w:rPr>
          <w:rFonts w:cs="Arial"/>
          <w:b/>
          <w:bCs/>
          <w:sz w:val="24"/>
        </w:rPr>
      </w:pPr>
    </w:p>
    <w:p w14:paraId="71B2832E" w14:textId="7F864812" w:rsidR="00E62839" w:rsidRPr="00F15DD0" w:rsidRDefault="002C2D2D" w:rsidP="00F15DD0">
      <w:pPr>
        <w:spacing w:line="276" w:lineRule="auto"/>
        <w:jc w:val="both"/>
        <w:rPr>
          <w:rFonts w:cs="Arial"/>
          <w:sz w:val="24"/>
        </w:rPr>
      </w:pPr>
      <w:r w:rsidRPr="00F15DD0">
        <w:rPr>
          <w:rFonts w:cs="Arial"/>
          <w:b/>
          <w:bCs/>
          <w:sz w:val="24"/>
        </w:rPr>
        <w:t>PRIMERO.</w:t>
      </w:r>
      <w:r w:rsidRPr="00F15DD0">
        <w:rPr>
          <w:rFonts w:cs="Arial"/>
          <w:sz w:val="24"/>
        </w:rPr>
        <w:t xml:space="preserve"> </w:t>
      </w:r>
      <w:r w:rsidR="00E62839" w:rsidRPr="00F15DD0">
        <w:rPr>
          <w:rFonts w:cs="Arial"/>
          <w:b/>
          <w:bCs/>
          <w:sz w:val="24"/>
        </w:rPr>
        <w:t>REVOCAR</w:t>
      </w:r>
      <w:r w:rsidRPr="00F15DD0">
        <w:rPr>
          <w:rFonts w:cs="Arial"/>
          <w:sz w:val="24"/>
        </w:rPr>
        <w:t xml:space="preserve"> el auto </w:t>
      </w:r>
      <w:r w:rsidR="00E62839" w:rsidRPr="00F15DD0">
        <w:rPr>
          <w:rFonts w:cs="Arial"/>
          <w:color w:val="000000" w:themeColor="text1"/>
          <w:sz w:val="24"/>
          <w:lang w:eastAsia="es-CO"/>
        </w:rPr>
        <w:t>p</w:t>
      </w:r>
      <w:r w:rsidR="00E62839" w:rsidRPr="00F15DD0">
        <w:rPr>
          <w:rFonts w:cs="Arial"/>
          <w:sz w:val="24"/>
        </w:rPr>
        <w:t xml:space="preserve">roferido el 09 de agosto 2023 por el Juzgado Promiscuo del Circuito de Belén de Umbría, Risaralda dentro del proceso ordinario laboral promovido por </w:t>
      </w:r>
      <w:proofErr w:type="spellStart"/>
      <w:r w:rsidR="00E62839" w:rsidRPr="00F15DD0">
        <w:rPr>
          <w:rFonts w:cs="Arial"/>
          <w:b/>
          <w:bCs/>
          <w:sz w:val="24"/>
        </w:rPr>
        <w:t>Jhon</w:t>
      </w:r>
      <w:proofErr w:type="spellEnd"/>
      <w:r w:rsidR="00E62839" w:rsidRPr="00F15DD0">
        <w:rPr>
          <w:rFonts w:cs="Arial"/>
          <w:b/>
          <w:bCs/>
          <w:sz w:val="24"/>
        </w:rPr>
        <w:t xml:space="preserve"> Fredy </w:t>
      </w:r>
      <w:proofErr w:type="spellStart"/>
      <w:r w:rsidR="00E62839" w:rsidRPr="00F15DD0">
        <w:rPr>
          <w:rFonts w:cs="Arial"/>
          <w:b/>
          <w:bCs/>
          <w:sz w:val="24"/>
        </w:rPr>
        <w:t>Quirama</w:t>
      </w:r>
      <w:proofErr w:type="spellEnd"/>
      <w:r w:rsidR="00E62839" w:rsidRPr="00F15DD0">
        <w:rPr>
          <w:rFonts w:cs="Arial"/>
          <w:b/>
          <w:bCs/>
          <w:sz w:val="24"/>
        </w:rPr>
        <w:t xml:space="preserve"> Herrera </w:t>
      </w:r>
      <w:r w:rsidR="00E62839" w:rsidRPr="00F15DD0">
        <w:rPr>
          <w:rFonts w:cs="Arial"/>
          <w:sz w:val="24"/>
        </w:rPr>
        <w:t xml:space="preserve">contra los </w:t>
      </w:r>
      <w:r w:rsidR="00E62839" w:rsidRPr="00F15DD0">
        <w:rPr>
          <w:rFonts w:cs="Arial"/>
          <w:b/>
          <w:bCs/>
          <w:sz w:val="24"/>
        </w:rPr>
        <w:t xml:space="preserve">herederos determinados de María Omaira Montoya, PARA EN SU LUGAR </w:t>
      </w:r>
      <w:r w:rsidR="00E62839" w:rsidRPr="00F15DD0">
        <w:rPr>
          <w:rFonts w:cs="Arial"/>
          <w:sz w:val="24"/>
        </w:rPr>
        <w:t xml:space="preserve">denegar la solicitud de medida cautelar elevada por el demandante. </w:t>
      </w:r>
    </w:p>
    <w:p w14:paraId="57789ABF" w14:textId="5731757F" w:rsidR="25DAD455" w:rsidRPr="00F15DD0" w:rsidRDefault="25DAD455" w:rsidP="00F15DD0">
      <w:pPr>
        <w:spacing w:line="276" w:lineRule="auto"/>
        <w:jc w:val="both"/>
        <w:rPr>
          <w:rFonts w:cs="Arial"/>
          <w:sz w:val="24"/>
        </w:rPr>
      </w:pPr>
    </w:p>
    <w:p w14:paraId="7B676E1D" w14:textId="2C189750" w:rsidR="002C2D2D" w:rsidRPr="00F15DD0" w:rsidRDefault="002C2D2D" w:rsidP="00F15DD0">
      <w:pPr>
        <w:spacing w:line="276" w:lineRule="auto"/>
        <w:jc w:val="both"/>
        <w:rPr>
          <w:rFonts w:cs="Arial"/>
          <w:b/>
          <w:bCs/>
          <w:sz w:val="24"/>
        </w:rPr>
      </w:pPr>
      <w:r w:rsidRPr="00F15DD0">
        <w:rPr>
          <w:rFonts w:cs="Arial"/>
          <w:b/>
          <w:bCs/>
          <w:sz w:val="24"/>
        </w:rPr>
        <w:t xml:space="preserve">SEGUNDO: </w:t>
      </w:r>
      <w:r w:rsidR="6C33CE10" w:rsidRPr="00F15DD0">
        <w:rPr>
          <w:rFonts w:cs="Arial"/>
          <w:sz w:val="24"/>
        </w:rPr>
        <w:t>Como consecuencia de la revocatoria de la medida cautelar impuesta</w:t>
      </w:r>
      <w:r w:rsidR="356EFFCF" w:rsidRPr="00F15DD0">
        <w:rPr>
          <w:rFonts w:cs="Arial"/>
          <w:sz w:val="24"/>
        </w:rPr>
        <w:t xml:space="preserve"> y el efecto devolutivo en el que fue enviada la decisión apelada</w:t>
      </w:r>
      <w:r w:rsidR="6C33CE10" w:rsidRPr="00F15DD0">
        <w:rPr>
          <w:rFonts w:cs="Arial"/>
          <w:sz w:val="24"/>
        </w:rPr>
        <w:t xml:space="preserve">, se </w:t>
      </w:r>
      <w:r w:rsidR="6C33CE10" w:rsidRPr="00F15DD0">
        <w:rPr>
          <w:rFonts w:cs="Arial"/>
          <w:b/>
          <w:bCs/>
          <w:sz w:val="24"/>
        </w:rPr>
        <w:t>ORDENA</w:t>
      </w:r>
      <w:r w:rsidR="6C33CE10" w:rsidRPr="00F15DD0">
        <w:rPr>
          <w:rFonts w:cs="Arial"/>
          <w:sz w:val="24"/>
        </w:rPr>
        <w:t xml:space="preserve"> que:</w:t>
      </w:r>
    </w:p>
    <w:p w14:paraId="067FD956" w14:textId="5F28D7C6" w:rsidR="002C2D2D" w:rsidRPr="00F15DD0" w:rsidRDefault="002C2D2D" w:rsidP="00F15DD0">
      <w:pPr>
        <w:spacing w:line="276" w:lineRule="auto"/>
        <w:jc w:val="both"/>
        <w:rPr>
          <w:rFonts w:cs="Arial"/>
          <w:sz w:val="24"/>
          <w:highlight w:val="green"/>
          <w:u w:val="single"/>
        </w:rPr>
      </w:pPr>
    </w:p>
    <w:p w14:paraId="4AC3870E" w14:textId="7F2554A1" w:rsidR="002C2D2D" w:rsidRPr="00F15DD0" w:rsidRDefault="6C33CE10" w:rsidP="00F15DD0">
      <w:pPr>
        <w:pStyle w:val="Prrafodelista"/>
        <w:numPr>
          <w:ilvl w:val="0"/>
          <w:numId w:val="2"/>
        </w:numPr>
        <w:spacing w:line="276" w:lineRule="auto"/>
        <w:jc w:val="both"/>
        <w:rPr>
          <w:rFonts w:cs="Arial"/>
          <w:sz w:val="24"/>
        </w:rPr>
      </w:pPr>
      <w:r w:rsidRPr="00F15DD0">
        <w:rPr>
          <w:rFonts w:cs="Arial"/>
          <w:sz w:val="24"/>
        </w:rPr>
        <w:t xml:space="preserve">Si los herederos determinados pagaron la caución impuesta, entonces se deje sin efectos y se devuelva a estos. </w:t>
      </w:r>
    </w:p>
    <w:p w14:paraId="36EAD4A6" w14:textId="42752932" w:rsidR="002C2D2D" w:rsidRPr="00F15DD0" w:rsidRDefault="002C2D2D" w:rsidP="00F15DD0">
      <w:pPr>
        <w:spacing w:line="276" w:lineRule="auto"/>
        <w:jc w:val="both"/>
        <w:rPr>
          <w:rFonts w:cs="Arial"/>
          <w:sz w:val="24"/>
        </w:rPr>
      </w:pPr>
    </w:p>
    <w:p w14:paraId="26647E4B" w14:textId="57221AB4" w:rsidR="002C2D2D" w:rsidRPr="00F15DD0" w:rsidRDefault="6C33CE10" w:rsidP="00F15DD0">
      <w:pPr>
        <w:pStyle w:val="Prrafodelista"/>
        <w:numPr>
          <w:ilvl w:val="0"/>
          <w:numId w:val="2"/>
        </w:numPr>
        <w:spacing w:line="276" w:lineRule="auto"/>
        <w:jc w:val="both"/>
        <w:rPr>
          <w:rFonts w:cs="Arial"/>
          <w:sz w:val="24"/>
        </w:rPr>
      </w:pPr>
      <w:r w:rsidRPr="00F15DD0">
        <w:rPr>
          <w:rFonts w:cs="Arial"/>
          <w:sz w:val="24"/>
        </w:rPr>
        <w:t>Si los herederos determinados no pagaron la caución y como consecuencia de ello, no fueron escuchados dentro del trámite laboral, entonces se retrotraigan las actuaciones para ser escuchados y otorgárseles tanto el derecho de defensa como debido proceso.</w:t>
      </w:r>
    </w:p>
    <w:p w14:paraId="5635989B" w14:textId="774B4123" w:rsidR="002C2D2D" w:rsidRPr="00F15DD0" w:rsidRDefault="002C2D2D" w:rsidP="00F15DD0">
      <w:pPr>
        <w:spacing w:line="276" w:lineRule="auto"/>
        <w:jc w:val="both"/>
        <w:rPr>
          <w:rFonts w:cs="Arial"/>
          <w:b/>
          <w:bCs/>
          <w:sz w:val="24"/>
        </w:rPr>
      </w:pPr>
    </w:p>
    <w:p w14:paraId="25353ECE" w14:textId="2D8DE5F8" w:rsidR="002C2D2D" w:rsidRPr="00F15DD0" w:rsidRDefault="33F57F43" w:rsidP="00F15DD0">
      <w:pPr>
        <w:spacing w:line="276" w:lineRule="auto"/>
        <w:jc w:val="both"/>
        <w:rPr>
          <w:rFonts w:cs="Arial"/>
          <w:b/>
          <w:bCs/>
          <w:sz w:val="24"/>
        </w:rPr>
      </w:pPr>
      <w:r w:rsidRPr="00F15DD0">
        <w:rPr>
          <w:rFonts w:cs="Arial"/>
          <w:b/>
          <w:bCs/>
          <w:sz w:val="24"/>
        </w:rPr>
        <w:t>TERCERO:</w:t>
      </w:r>
      <w:r w:rsidRPr="00F15DD0">
        <w:rPr>
          <w:rFonts w:cs="Arial"/>
          <w:sz w:val="24"/>
        </w:rPr>
        <w:t xml:space="preserve"> </w:t>
      </w:r>
      <w:r w:rsidR="004C479E" w:rsidRPr="00F15DD0">
        <w:rPr>
          <w:rFonts w:cs="Arial"/>
          <w:sz w:val="24"/>
        </w:rPr>
        <w:t xml:space="preserve">Costas </w:t>
      </w:r>
      <w:r w:rsidR="00E62839" w:rsidRPr="00F15DD0">
        <w:rPr>
          <w:rFonts w:cs="Arial"/>
          <w:sz w:val="24"/>
        </w:rPr>
        <w:t>en ambas instancias a cargo del demandante y a favor de la parte demandada.</w:t>
      </w:r>
      <w:r w:rsidR="004C479E" w:rsidRPr="00F15DD0">
        <w:rPr>
          <w:rFonts w:cs="Arial"/>
          <w:sz w:val="24"/>
        </w:rPr>
        <w:t xml:space="preserve"> </w:t>
      </w:r>
    </w:p>
    <w:p w14:paraId="06B73A8F" w14:textId="77777777" w:rsidR="002C2D2D" w:rsidRPr="00F15DD0" w:rsidRDefault="002C2D2D" w:rsidP="00F15DD0">
      <w:pPr>
        <w:spacing w:line="276" w:lineRule="auto"/>
        <w:ind w:right="-597"/>
        <w:jc w:val="both"/>
        <w:rPr>
          <w:rFonts w:cs="Arial"/>
          <w:b/>
          <w:bCs/>
          <w:sz w:val="24"/>
        </w:rPr>
      </w:pPr>
      <w:r w:rsidRPr="00F15DD0">
        <w:rPr>
          <w:rFonts w:cs="Arial"/>
          <w:b/>
          <w:bCs/>
          <w:sz w:val="24"/>
        </w:rPr>
        <w:t xml:space="preserve"> </w:t>
      </w:r>
    </w:p>
    <w:p w14:paraId="456BE992" w14:textId="58F3F7D5" w:rsidR="0C0AC3D8" w:rsidRPr="00F15DD0" w:rsidRDefault="0C0AC3D8" w:rsidP="00F15DD0">
      <w:pPr>
        <w:spacing w:line="276" w:lineRule="auto"/>
        <w:ind w:right="-597"/>
        <w:jc w:val="both"/>
        <w:rPr>
          <w:rFonts w:cs="Arial"/>
          <w:b/>
          <w:bCs/>
          <w:sz w:val="24"/>
        </w:rPr>
      </w:pPr>
      <w:r w:rsidRPr="00F15DD0">
        <w:rPr>
          <w:rFonts w:cs="Arial"/>
          <w:b/>
          <w:bCs/>
          <w:sz w:val="24"/>
        </w:rPr>
        <w:t>CUARTO. COMUNICAR,</w:t>
      </w:r>
      <w:r w:rsidRPr="00F15DD0">
        <w:rPr>
          <w:rFonts w:cs="Arial"/>
          <w:sz w:val="24"/>
        </w:rPr>
        <w:t xml:space="preserve"> por secretaría, esta decisión inmediatamente al juez de primera instancia (art. 326 inc. 2 CGP)</w:t>
      </w:r>
      <w:r w:rsidR="60E99C5F" w:rsidRPr="00F15DD0">
        <w:rPr>
          <w:rFonts w:cs="Arial"/>
          <w:sz w:val="24"/>
        </w:rPr>
        <w:t>.</w:t>
      </w:r>
      <w:r w:rsidRPr="00F15DD0">
        <w:rPr>
          <w:rFonts w:cs="Arial"/>
          <w:sz w:val="24"/>
        </w:rPr>
        <w:t xml:space="preserve"> </w:t>
      </w:r>
    </w:p>
    <w:p w14:paraId="0BE10B34" w14:textId="26236D6E" w:rsidR="755117AA" w:rsidRPr="00F15DD0" w:rsidRDefault="755117AA" w:rsidP="00F15DD0">
      <w:pPr>
        <w:spacing w:line="276" w:lineRule="auto"/>
        <w:jc w:val="both"/>
        <w:rPr>
          <w:rFonts w:cs="Arial"/>
          <w:sz w:val="24"/>
        </w:rPr>
      </w:pPr>
    </w:p>
    <w:p w14:paraId="3E4E2BA2" w14:textId="3FCFE57D" w:rsidR="002C2D2D" w:rsidRPr="00F15DD0" w:rsidRDefault="004C479E" w:rsidP="00F15DD0">
      <w:pPr>
        <w:spacing w:line="276" w:lineRule="auto"/>
        <w:jc w:val="both"/>
        <w:rPr>
          <w:rFonts w:cs="Arial"/>
          <w:sz w:val="24"/>
        </w:rPr>
      </w:pPr>
      <w:r w:rsidRPr="00F15DD0">
        <w:rPr>
          <w:rFonts w:cs="Arial"/>
          <w:sz w:val="24"/>
        </w:rPr>
        <w:t>Notifíquese y cúmplase,</w:t>
      </w:r>
    </w:p>
    <w:p w14:paraId="57ECBBB8" w14:textId="77777777" w:rsidR="002C2D2D" w:rsidRPr="00F15DD0" w:rsidRDefault="002C2D2D" w:rsidP="00F15DD0">
      <w:pPr>
        <w:spacing w:line="276" w:lineRule="auto"/>
        <w:jc w:val="both"/>
        <w:rPr>
          <w:rFonts w:cs="Arial"/>
          <w:sz w:val="24"/>
        </w:rPr>
      </w:pPr>
    </w:p>
    <w:p w14:paraId="2FEA61D4" w14:textId="77777777" w:rsidR="002C2D2D" w:rsidRPr="00F15DD0" w:rsidRDefault="002C2D2D" w:rsidP="00F15DD0">
      <w:pPr>
        <w:widowControl w:val="0"/>
        <w:autoSpaceDE w:val="0"/>
        <w:autoSpaceDN w:val="0"/>
        <w:adjustRightInd w:val="0"/>
        <w:spacing w:line="276" w:lineRule="auto"/>
        <w:jc w:val="both"/>
        <w:rPr>
          <w:rFonts w:cs="Arial"/>
          <w:sz w:val="24"/>
        </w:rPr>
      </w:pPr>
      <w:r w:rsidRPr="00F15DD0">
        <w:rPr>
          <w:rFonts w:cs="Arial"/>
          <w:sz w:val="24"/>
        </w:rPr>
        <w:t>Los Magistrados,</w:t>
      </w:r>
    </w:p>
    <w:bookmarkEnd w:id="0"/>
    <w:p w14:paraId="06974F5D" w14:textId="77777777" w:rsidR="00F15DD0" w:rsidRPr="00F15DD0" w:rsidRDefault="00F15DD0" w:rsidP="00F15DD0">
      <w:pPr>
        <w:spacing w:line="276" w:lineRule="auto"/>
        <w:jc w:val="both"/>
        <w:textAlignment w:val="baseline"/>
        <w:rPr>
          <w:rFonts w:cs="Arial"/>
          <w:sz w:val="24"/>
          <w:lang w:val="es-CO" w:eastAsia="es-CO"/>
        </w:rPr>
      </w:pPr>
    </w:p>
    <w:p w14:paraId="3A3E83B6" w14:textId="401CF1AF" w:rsidR="00F15DD0" w:rsidRDefault="00F15DD0" w:rsidP="00F15DD0">
      <w:pPr>
        <w:spacing w:line="276" w:lineRule="auto"/>
        <w:jc w:val="both"/>
        <w:textAlignment w:val="baseline"/>
        <w:rPr>
          <w:rFonts w:cs="Arial"/>
          <w:sz w:val="24"/>
          <w:lang w:val="es-CO" w:eastAsia="es-CO"/>
        </w:rPr>
      </w:pPr>
    </w:p>
    <w:p w14:paraId="3170AD61" w14:textId="77777777" w:rsidR="00751DD6" w:rsidRPr="00F15DD0" w:rsidRDefault="00751DD6" w:rsidP="00F15DD0">
      <w:pPr>
        <w:spacing w:line="276" w:lineRule="auto"/>
        <w:jc w:val="both"/>
        <w:textAlignment w:val="baseline"/>
        <w:rPr>
          <w:rFonts w:cs="Arial"/>
          <w:sz w:val="24"/>
          <w:lang w:val="es-CO" w:eastAsia="es-CO"/>
        </w:rPr>
      </w:pPr>
    </w:p>
    <w:p w14:paraId="0B4FB8C2"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OLGA LUCÍA HOYOS SEPÚLVEDA</w:t>
      </w:r>
      <w:r w:rsidRPr="00F15DD0">
        <w:rPr>
          <w:rFonts w:cs="Arial"/>
          <w:sz w:val="24"/>
          <w:lang w:val="es-CO" w:eastAsia="es-CO"/>
        </w:rPr>
        <w:t> </w:t>
      </w:r>
    </w:p>
    <w:p w14:paraId="0C6FA393"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sz w:val="24"/>
          <w:lang w:eastAsia="es-CO"/>
        </w:rPr>
        <w:t>Magistrada Ponente</w:t>
      </w:r>
      <w:r w:rsidRPr="00F15DD0">
        <w:rPr>
          <w:rFonts w:cs="Arial"/>
          <w:sz w:val="24"/>
          <w:lang w:val="es-CO" w:eastAsia="es-CO"/>
        </w:rPr>
        <w:t> </w:t>
      </w:r>
    </w:p>
    <w:p w14:paraId="31E3019D" w14:textId="738F3E6E" w:rsidR="00F15DD0" w:rsidRDefault="00F15DD0" w:rsidP="00F15DD0">
      <w:pPr>
        <w:spacing w:line="276" w:lineRule="auto"/>
        <w:jc w:val="both"/>
        <w:textAlignment w:val="baseline"/>
        <w:rPr>
          <w:rFonts w:cs="Arial"/>
          <w:sz w:val="24"/>
          <w:lang w:val="es-CO" w:eastAsia="es-CO"/>
        </w:rPr>
      </w:pPr>
    </w:p>
    <w:p w14:paraId="595AF653" w14:textId="77777777" w:rsidR="00751DD6" w:rsidRPr="00F15DD0" w:rsidRDefault="00751DD6" w:rsidP="00F15DD0">
      <w:pPr>
        <w:spacing w:line="276" w:lineRule="auto"/>
        <w:jc w:val="both"/>
        <w:textAlignment w:val="baseline"/>
        <w:rPr>
          <w:rFonts w:cs="Arial"/>
          <w:sz w:val="24"/>
          <w:lang w:val="es-CO" w:eastAsia="es-CO"/>
        </w:rPr>
      </w:pPr>
    </w:p>
    <w:p w14:paraId="6CC1BB40" w14:textId="77777777" w:rsidR="00F15DD0" w:rsidRPr="00F15DD0" w:rsidRDefault="00F15DD0" w:rsidP="00F15DD0">
      <w:pPr>
        <w:spacing w:line="276" w:lineRule="auto"/>
        <w:jc w:val="both"/>
        <w:textAlignment w:val="baseline"/>
        <w:rPr>
          <w:rFonts w:cs="Arial"/>
          <w:sz w:val="24"/>
          <w:lang w:val="es-CO" w:eastAsia="es-CO"/>
        </w:rPr>
      </w:pPr>
    </w:p>
    <w:p w14:paraId="5F397092"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JULIO CESAR SALAZAR MUÑOZ</w:t>
      </w:r>
      <w:r w:rsidRPr="00F15DD0">
        <w:rPr>
          <w:rFonts w:cs="Arial"/>
          <w:sz w:val="24"/>
          <w:lang w:val="es-CO" w:eastAsia="es-CO"/>
        </w:rPr>
        <w:t> </w:t>
      </w:r>
    </w:p>
    <w:p w14:paraId="39A087A7"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sz w:val="24"/>
          <w:lang w:eastAsia="es-CO"/>
        </w:rPr>
        <w:t>Magistrado</w:t>
      </w:r>
      <w:r w:rsidRPr="00F15DD0">
        <w:rPr>
          <w:rFonts w:cs="Arial"/>
          <w:sz w:val="24"/>
          <w:lang w:val="es-CO" w:eastAsia="es-CO"/>
        </w:rPr>
        <w:t> </w:t>
      </w:r>
    </w:p>
    <w:p w14:paraId="5E80D9BF" w14:textId="1E027828" w:rsidR="00F15DD0" w:rsidRDefault="00F15DD0" w:rsidP="00F15DD0">
      <w:pPr>
        <w:spacing w:line="276" w:lineRule="auto"/>
        <w:jc w:val="both"/>
        <w:textAlignment w:val="baseline"/>
        <w:rPr>
          <w:rFonts w:ascii="Times New Roman" w:hAnsi="Times New Roman"/>
          <w:sz w:val="24"/>
          <w:lang w:val="es-CO" w:eastAsia="es-CO"/>
        </w:rPr>
      </w:pPr>
    </w:p>
    <w:p w14:paraId="5FC84F66" w14:textId="77777777" w:rsidR="00751DD6" w:rsidRPr="00F15DD0" w:rsidRDefault="00751DD6" w:rsidP="00F15DD0">
      <w:pPr>
        <w:spacing w:line="276" w:lineRule="auto"/>
        <w:jc w:val="both"/>
        <w:textAlignment w:val="baseline"/>
        <w:rPr>
          <w:rFonts w:ascii="Times New Roman" w:hAnsi="Times New Roman"/>
          <w:sz w:val="24"/>
          <w:lang w:val="es-CO" w:eastAsia="es-CO"/>
        </w:rPr>
      </w:pPr>
    </w:p>
    <w:p w14:paraId="102E6A8D" w14:textId="77777777" w:rsidR="00F15DD0" w:rsidRPr="00F15DD0" w:rsidRDefault="00F15DD0" w:rsidP="00F15DD0">
      <w:pPr>
        <w:spacing w:line="276" w:lineRule="auto"/>
        <w:jc w:val="both"/>
        <w:textAlignment w:val="baseline"/>
        <w:rPr>
          <w:rFonts w:cs="Arial"/>
          <w:sz w:val="24"/>
          <w:lang w:val="es-CO" w:eastAsia="es-CO"/>
        </w:rPr>
      </w:pPr>
    </w:p>
    <w:p w14:paraId="5FBA67DB" w14:textId="77777777" w:rsidR="00F15DD0" w:rsidRPr="00F15DD0" w:rsidRDefault="00F15DD0" w:rsidP="00F15DD0">
      <w:pPr>
        <w:spacing w:line="276" w:lineRule="auto"/>
        <w:jc w:val="center"/>
        <w:textAlignment w:val="baseline"/>
        <w:rPr>
          <w:rFonts w:cs="Arial"/>
          <w:sz w:val="24"/>
          <w:lang w:val="es-CO" w:eastAsia="es-CO"/>
        </w:rPr>
      </w:pPr>
      <w:r w:rsidRPr="00F15DD0">
        <w:rPr>
          <w:rFonts w:cs="Arial"/>
          <w:b/>
          <w:bCs/>
          <w:sz w:val="24"/>
          <w:lang w:eastAsia="es-CO"/>
        </w:rPr>
        <w:t>ANA LUCÍA CAICEDO CALDERÓN </w:t>
      </w:r>
      <w:r w:rsidRPr="00F15DD0">
        <w:rPr>
          <w:rFonts w:cs="Arial"/>
          <w:sz w:val="24"/>
          <w:lang w:val="es-CO" w:eastAsia="es-CO"/>
        </w:rPr>
        <w:t> </w:t>
      </w:r>
    </w:p>
    <w:p w14:paraId="7E2BFB68" w14:textId="442C0EF9" w:rsidR="00F15DD0" w:rsidRPr="00F15DD0" w:rsidRDefault="00F15DD0" w:rsidP="00F15DD0">
      <w:pPr>
        <w:spacing w:line="276" w:lineRule="auto"/>
        <w:jc w:val="center"/>
        <w:rPr>
          <w:rFonts w:cs="Arial"/>
          <w:sz w:val="24"/>
          <w:lang w:val="es-CO" w:eastAsia="es-CO"/>
        </w:rPr>
      </w:pPr>
      <w:r w:rsidRPr="00F15DD0">
        <w:rPr>
          <w:rFonts w:cs="Arial"/>
          <w:sz w:val="24"/>
          <w:lang w:eastAsia="es-CO"/>
        </w:rPr>
        <w:t>Magistrada</w:t>
      </w:r>
    </w:p>
    <w:sectPr w:rsidR="00F15DD0" w:rsidRPr="00F15DD0" w:rsidSect="00751DD6">
      <w:headerReference w:type="default" r:id="rId12"/>
      <w:footerReference w:type="default" r:id="rId13"/>
      <w:pgSz w:w="12242" w:h="18722" w:code="14"/>
      <w:pgMar w:top="1701" w:right="1191" w:bottom="1191" w:left="175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CCFDD" w14:textId="77777777" w:rsidR="00E76E0B" w:rsidRDefault="00E76E0B" w:rsidP="00CD49A8">
      <w:r>
        <w:separator/>
      </w:r>
    </w:p>
  </w:endnote>
  <w:endnote w:type="continuationSeparator" w:id="0">
    <w:p w14:paraId="6FD41B04" w14:textId="77777777" w:rsidR="00E76E0B" w:rsidRDefault="00E76E0B" w:rsidP="00CD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64746357"/>
      <w:docPartObj>
        <w:docPartGallery w:val="Page Numbers (Bottom of Page)"/>
        <w:docPartUnique/>
      </w:docPartObj>
    </w:sdtPr>
    <w:sdtEndPr/>
    <w:sdtContent>
      <w:p w14:paraId="37FE6623" w14:textId="436DD8E5" w:rsidR="005F0CE9" w:rsidRPr="00D3744C" w:rsidRDefault="005F0CE9" w:rsidP="003D67A0">
        <w:pPr>
          <w:pStyle w:val="Piedepgina"/>
          <w:tabs>
            <w:tab w:val="left" w:pos="816"/>
            <w:tab w:val="center" w:pos="4675"/>
          </w:tabs>
          <w:jc w:val="right"/>
          <w:rPr>
            <w:sz w:val="24"/>
          </w:rPr>
        </w:pPr>
        <w:r w:rsidRPr="00D3744C">
          <w:rPr>
            <w:sz w:val="24"/>
          </w:rPr>
          <w:tab/>
        </w:r>
        <w:r w:rsidRPr="00D3744C">
          <w:rPr>
            <w:sz w:val="24"/>
          </w:rPr>
          <w:tab/>
        </w:r>
        <w:r w:rsidRPr="00F108FC">
          <w:rPr>
            <w:sz w:val="18"/>
          </w:rPr>
          <w:tab/>
        </w:r>
        <w:r w:rsidRPr="00F108FC">
          <w:rPr>
            <w:sz w:val="18"/>
          </w:rPr>
          <w:fldChar w:fldCharType="begin"/>
        </w:r>
        <w:r w:rsidRPr="00F108FC">
          <w:rPr>
            <w:sz w:val="18"/>
          </w:rPr>
          <w:instrText>PAGE   \* MERGEFORMAT</w:instrText>
        </w:r>
        <w:r w:rsidRPr="00F108FC">
          <w:rPr>
            <w:sz w:val="18"/>
          </w:rPr>
          <w:fldChar w:fldCharType="separate"/>
        </w:r>
        <w:r w:rsidR="00A425D5">
          <w:rPr>
            <w:noProof/>
            <w:sz w:val="18"/>
          </w:rPr>
          <w:t>2</w:t>
        </w:r>
        <w:r w:rsidRPr="00F108FC">
          <w:rPr>
            <w:noProof/>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A1F6" w14:textId="77777777" w:rsidR="00E76E0B" w:rsidRDefault="00E76E0B" w:rsidP="00CD49A8">
      <w:r>
        <w:separator/>
      </w:r>
    </w:p>
  </w:footnote>
  <w:footnote w:type="continuationSeparator" w:id="0">
    <w:p w14:paraId="2E3A9C95" w14:textId="77777777" w:rsidR="00E76E0B" w:rsidRDefault="00E76E0B" w:rsidP="00CD4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A94E" w14:textId="7FD53D43" w:rsidR="00A2669A" w:rsidRDefault="00A2669A" w:rsidP="00D853AA">
    <w:pPr>
      <w:pStyle w:val="Encabezado"/>
      <w:jc w:val="center"/>
      <w:rPr>
        <w:rFonts w:eastAsia="Calibri"/>
        <w:sz w:val="18"/>
        <w:szCs w:val="18"/>
        <w:lang w:eastAsia="en-US"/>
      </w:rPr>
    </w:pPr>
    <w:r>
      <w:rPr>
        <w:rFonts w:eastAsia="Calibri"/>
        <w:sz w:val="18"/>
        <w:szCs w:val="18"/>
        <w:lang w:eastAsia="en-US"/>
      </w:rPr>
      <w:t>Ordinario Laboral</w:t>
    </w:r>
  </w:p>
  <w:p w14:paraId="34855670" w14:textId="46448EBD" w:rsidR="00D853AA" w:rsidRPr="00DA134E" w:rsidRDefault="00D853AA" w:rsidP="00D853AA">
    <w:pPr>
      <w:pStyle w:val="Encabezado"/>
      <w:jc w:val="center"/>
      <w:rPr>
        <w:sz w:val="18"/>
        <w:szCs w:val="18"/>
      </w:rPr>
    </w:pPr>
    <w:r w:rsidRPr="00DA134E">
      <w:rPr>
        <w:rFonts w:eastAsia="Calibri"/>
        <w:sz w:val="18"/>
        <w:szCs w:val="18"/>
        <w:lang w:eastAsia="en-US"/>
      </w:rPr>
      <w:t>66</w:t>
    </w:r>
    <w:r w:rsidR="00C057E9">
      <w:rPr>
        <w:rFonts w:eastAsia="Calibri"/>
        <w:sz w:val="18"/>
        <w:szCs w:val="18"/>
        <w:lang w:eastAsia="en-US"/>
      </w:rPr>
      <w:t>088</w:t>
    </w:r>
    <w:r w:rsidR="0093656B">
      <w:rPr>
        <w:rFonts w:eastAsia="Calibri"/>
        <w:sz w:val="18"/>
        <w:szCs w:val="18"/>
        <w:lang w:eastAsia="en-US"/>
      </w:rPr>
      <w:t>-31-</w:t>
    </w:r>
    <w:r w:rsidR="00A2669A">
      <w:rPr>
        <w:rFonts w:eastAsia="Calibri"/>
        <w:sz w:val="18"/>
        <w:szCs w:val="18"/>
        <w:lang w:eastAsia="en-US"/>
      </w:rPr>
      <w:t>89</w:t>
    </w:r>
    <w:r w:rsidR="0093656B">
      <w:rPr>
        <w:rFonts w:eastAsia="Calibri"/>
        <w:sz w:val="18"/>
        <w:szCs w:val="18"/>
        <w:lang w:eastAsia="en-US"/>
      </w:rPr>
      <w:t>-00</w:t>
    </w:r>
    <w:r w:rsidR="00A2669A">
      <w:rPr>
        <w:rFonts w:eastAsia="Calibri"/>
        <w:sz w:val="18"/>
        <w:szCs w:val="18"/>
        <w:lang w:eastAsia="en-US"/>
      </w:rPr>
      <w:t>1</w:t>
    </w:r>
    <w:r w:rsidR="00691562" w:rsidRPr="00DA134E">
      <w:rPr>
        <w:rFonts w:eastAsia="Calibri"/>
        <w:sz w:val="18"/>
        <w:szCs w:val="18"/>
        <w:lang w:eastAsia="en-US"/>
      </w:rPr>
      <w:t>-20</w:t>
    </w:r>
    <w:r w:rsidR="00A2669A">
      <w:rPr>
        <w:rFonts w:eastAsia="Calibri"/>
        <w:sz w:val="18"/>
        <w:szCs w:val="18"/>
        <w:lang w:eastAsia="en-US"/>
      </w:rPr>
      <w:t>2</w:t>
    </w:r>
    <w:r w:rsidR="00C057E9">
      <w:rPr>
        <w:rFonts w:eastAsia="Calibri"/>
        <w:sz w:val="18"/>
        <w:szCs w:val="18"/>
        <w:lang w:eastAsia="en-US"/>
      </w:rPr>
      <w:t>3</w:t>
    </w:r>
    <w:r w:rsidR="00691562" w:rsidRPr="00DA134E">
      <w:rPr>
        <w:rFonts w:eastAsia="Calibri"/>
        <w:sz w:val="18"/>
        <w:szCs w:val="18"/>
        <w:lang w:eastAsia="en-US"/>
      </w:rPr>
      <w:t>-0</w:t>
    </w:r>
    <w:r w:rsidR="00C057E9">
      <w:rPr>
        <w:rFonts w:eastAsia="Calibri"/>
        <w:sz w:val="18"/>
        <w:szCs w:val="18"/>
        <w:lang w:eastAsia="en-US"/>
      </w:rPr>
      <w:t>0018</w:t>
    </w:r>
    <w:r w:rsidRPr="00DA134E">
      <w:rPr>
        <w:rFonts w:eastAsia="Calibri"/>
        <w:sz w:val="18"/>
        <w:szCs w:val="18"/>
        <w:lang w:eastAsia="en-US"/>
      </w:rPr>
      <w:t>-01</w:t>
    </w:r>
  </w:p>
  <w:p w14:paraId="7A51D2BD" w14:textId="3BBC62AB" w:rsidR="005F0CE9" w:rsidRPr="00A56EF5" w:rsidRDefault="00C057E9" w:rsidP="00A56EF5">
    <w:pPr>
      <w:pStyle w:val="Encabezado"/>
      <w:jc w:val="center"/>
      <w:rPr>
        <w:sz w:val="18"/>
        <w:szCs w:val="18"/>
      </w:rPr>
    </w:pPr>
    <w:proofErr w:type="spellStart"/>
    <w:r>
      <w:rPr>
        <w:sz w:val="18"/>
        <w:szCs w:val="18"/>
      </w:rPr>
      <w:t>Jhon</w:t>
    </w:r>
    <w:proofErr w:type="spellEnd"/>
    <w:r>
      <w:rPr>
        <w:sz w:val="18"/>
        <w:szCs w:val="18"/>
      </w:rPr>
      <w:t xml:space="preserve"> Fredy </w:t>
    </w:r>
    <w:proofErr w:type="spellStart"/>
    <w:r>
      <w:rPr>
        <w:sz w:val="18"/>
        <w:szCs w:val="18"/>
      </w:rPr>
      <w:t>Quirama</w:t>
    </w:r>
    <w:proofErr w:type="spellEnd"/>
    <w:r>
      <w:rPr>
        <w:sz w:val="18"/>
        <w:szCs w:val="18"/>
      </w:rPr>
      <w:t xml:space="preserve"> Herrera</w:t>
    </w:r>
    <w:r w:rsidR="00914245">
      <w:rPr>
        <w:sz w:val="18"/>
        <w:szCs w:val="18"/>
      </w:rPr>
      <w:t xml:space="preserve"> </w:t>
    </w:r>
    <w:r w:rsidR="005F0CE9" w:rsidRPr="00DA134E">
      <w:rPr>
        <w:sz w:val="18"/>
        <w:szCs w:val="18"/>
      </w:rPr>
      <w:t xml:space="preserve">vs </w:t>
    </w:r>
    <w:r w:rsidR="00994F47">
      <w:rPr>
        <w:sz w:val="18"/>
        <w:szCs w:val="18"/>
      </w:rPr>
      <w:t xml:space="preserve">Herederos determinados de </w:t>
    </w:r>
    <w:r>
      <w:rPr>
        <w:sz w:val="18"/>
        <w:szCs w:val="18"/>
      </w:rPr>
      <w:t>María Omaira Montoya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748"/>
    <w:multiLevelType w:val="hybridMultilevel"/>
    <w:tmpl w:val="4AFAB4A6"/>
    <w:lvl w:ilvl="0" w:tplc="B09E24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56D5CC"/>
    <w:multiLevelType w:val="hybridMultilevel"/>
    <w:tmpl w:val="329E2EBC"/>
    <w:lvl w:ilvl="0" w:tplc="391089FC">
      <w:start w:val="1"/>
      <w:numFmt w:val="upperLetter"/>
      <w:lvlText w:val="%1)"/>
      <w:lvlJc w:val="left"/>
      <w:pPr>
        <w:ind w:left="720" w:hanging="360"/>
      </w:pPr>
    </w:lvl>
    <w:lvl w:ilvl="1" w:tplc="FD5C7318">
      <w:start w:val="1"/>
      <w:numFmt w:val="lowerLetter"/>
      <w:lvlText w:val="%2."/>
      <w:lvlJc w:val="left"/>
      <w:pPr>
        <w:ind w:left="1440" w:hanging="360"/>
      </w:pPr>
    </w:lvl>
    <w:lvl w:ilvl="2" w:tplc="C07CF86A">
      <w:start w:val="1"/>
      <w:numFmt w:val="lowerRoman"/>
      <w:lvlText w:val="%3."/>
      <w:lvlJc w:val="right"/>
      <w:pPr>
        <w:ind w:left="2160" w:hanging="180"/>
      </w:pPr>
    </w:lvl>
    <w:lvl w:ilvl="3" w:tplc="B66C064C">
      <w:start w:val="1"/>
      <w:numFmt w:val="decimal"/>
      <w:lvlText w:val="%4."/>
      <w:lvlJc w:val="left"/>
      <w:pPr>
        <w:ind w:left="2880" w:hanging="360"/>
      </w:pPr>
    </w:lvl>
    <w:lvl w:ilvl="4" w:tplc="069038D0">
      <w:start w:val="1"/>
      <w:numFmt w:val="lowerLetter"/>
      <w:lvlText w:val="%5."/>
      <w:lvlJc w:val="left"/>
      <w:pPr>
        <w:ind w:left="3600" w:hanging="360"/>
      </w:pPr>
    </w:lvl>
    <w:lvl w:ilvl="5" w:tplc="EC0C2CEC">
      <w:start w:val="1"/>
      <w:numFmt w:val="lowerRoman"/>
      <w:lvlText w:val="%6."/>
      <w:lvlJc w:val="right"/>
      <w:pPr>
        <w:ind w:left="4320" w:hanging="180"/>
      </w:pPr>
    </w:lvl>
    <w:lvl w:ilvl="6" w:tplc="B688F08A">
      <w:start w:val="1"/>
      <w:numFmt w:val="decimal"/>
      <w:lvlText w:val="%7."/>
      <w:lvlJc w:val="left"/>
      <w:pPr>
        <w:ind w:left="5040" w:hanging="360"/>
      </w:pPr>
    </w:lvl>
    <w:lvl w:ilvl="7" w:tplc="81F06276">
      <w:start w:val="1"/>
      <w:numFmt w:val="lowerLetter"/>
      <w:lvlText w:val="%8."/>
      <w:lvlJc w:val="left"/>
      <w:pPr>
        <w:ind w:left="5760" w:hanging="360"/>
      </w:pPr>
    </w:lvl>
    <w:lvl w:ilvl="8" w:tplc="C81A40F0">
      <w:start w:val="1"/>
      <w:numFmt w:val="lowerRoman"/>
      <w:lvlText w:val="%9."/>
      <w:lvlJc w:val="right"/>
      <w:pPr>
        <w:ind w:left="6480" w:hanging="180"/>
      </w:pPr>
    </w:lvl>
  </w:abstractNum>
  <w:abstractNum w:abstractNumId="2" w15:restartNumberingAfterBreak="0">
    <w:nsid w:val="06B02FE6"/>
    <w:multiLevelType w:val="multilevel"/>
    <w:tmpl w:val="891C74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1D538"/>
    <w:multiLevelType w:val="hybridMultilevel"/>
    <w:tmpl w:val="02B43082"/>
    <w:lvl w:ilvl="0" w:tplc="6504DA22">
      <w:start w:val="1"/>
      <w:numFmt w:val="decimal"/>
      <w:lvlText w:val="%1."/>
      <w:lvlJc w:val="left"/>
      <w:pPr>
        <w:ind w:left="720" w:hanging="360"/>
      </w:pPr>
    </w:lvl>
    <w:lvl w:ilvl="1" w:tplc="D65032E0">
      <w:start w:val="1"/>
      <w:numFmt w:val="lowerLetter"/>
      <w:lvlText w:val="%2."/>
      <w:lvlJc w:val="left"/>
      <w:pPr>
        <w:ind w:left="1440" w:hanging="360"/>
      </w:pPr>
    </w:lvl>
    <w:lvl w:ilvl="2" w:tplc="2BB417E2">
      <w:start w:val="1"/>
      <w:numFmt w:val="lowerRoman"/>
      <w:lvlText w:val="%3."/>
      <w:lvlJc w:val="right"/>
      <w:pPr>
        <w:ind w:left="2160" w:hanging="180"/>
      </w:pPr>
    </w:lvl>
    <w:lvl w:ilvl="3" w:tplc="9EAC95FA">
      <w:start w:val="1"/>
      <w:numFmt w:val="decimal"/>
      <w:lvlText w:val="%4."/>
      <w:lvlJc w:val="left"/>
      <w:pPr>
        <w:ind w:left="2880" w:hanging="360"/>
      </w:pPr>
    </w:lvl>
    <w:lvl w:ilvl="4" w:tplc="45880490">
      <w:start w:val="1"/>
      <w:numFmt w:val="lowerLetter"/>
      <w:lvlText w:val="%5."/>
      <w:lvlJc w:val="left"/>
      <w:pPr>
        <w:ind w:left="3600" w:hanging="360"/>
      </w:pPr>
    </w:lvl>
    <w:lvl w:ilvl="5" w:tplc="68E46C66">
      <w:start w:val="1"/>
      <w:numFmt w:val="lowerRoman"/>
      <w:lvlText w:val="%6."/>
      <w:lvlJc w:val="right"/>
      <w:pPr>
        <w:ind w:left="4320" w:hanging="180"/>
      </w:pPr>
    </w:lvl>
    <w:lvl w:ilvl="6" w:tplc="E9D65308">
      <w:start w:val="1"/>
      <w:numFmt w:val="decimal"/>
      <w:lvlText w:val="%7."/>
      <w:lvlJc w:val="left"/>
      <w:pPr>
        <w:ind w:left="5040" w:hanging="360"/>
      </w:pPr>
    </w:lvl>
    <w:lvl w:ilvl="7" w:tplc="BF5804E0">
      <w:start w:val="1"/>
      <w:numFmt w:val="lowerLetter"/>
      <w:lvlText w:val="%8."/>
      <w:lvlJc w:val="left"/>
      <w:pPr>
        <w:ind w:left="5760" w:hanging="360"/>
      </w:pPr>
    </w:lvl>
    <w:lvl w:ilvl="8" w:tplc="4BBAAB36">
      <w:start w:val="1"/>
      <w:numFmt w:val="lowerRoman"/>
      <w:lvlText w:val="%9."/>
      <w:lvlJc w:val="right"/>
      <w:pPr>
        <w:ind w:left="6480" w:hanging="180"/>
      </w:pPr>
    </w:lvl>
  </w:abstractNum>
  <w:abstractNum w:abstractNumId="4" w15:restartNumberingAfterBreak="0">
    <w:nsid w:val="16C41914"/>
    <w:multiLevelType w:val="hybridMultilevel"/>
    <w:tmpl w:val="C43A8CD2"/>
    <w:lvl w:ilvl="0" w:tplc="8F2874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9F90D3C"/>
    <w:multiLevelType w:val="hybridMultilevel"/>
    <w:tmpl w:val="77046672"/>
    <w:lvl w:ilvl="0" w:tplc="C2A85478">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8F657A"/>
    <w:multiLevelType w:val="hybridMultilevel"/>
    <w:tmpl w:val="1CDC6F58"/>
    <w:lvl w:ilvl="0" w:tplc="0706B9EC">
      <w:start w:val="1"/>
      <w:numFmt w:val="lowerLetter"/>
      <w:lvlText w:val="%1)"/>
      <w:lvlJc w:val="left"/>
      <w:pPr>
        <w:ind w:left="720" w:hanging="360"/>
      </w:pPr>
    </w:lvl>
    <w:lvl w:ilvl="1" w:tplc="12A8F4FC">
      <w:start w:val="1"/>
      <w:numFmt w:val="lowerLetter"/>
      <w:lvlText w:val="%2."/>
      <w:lvlJc w:val="left"/>
      <w:pPr>
        <w:ind w:left="1440" w:hanging="360"/>
      </w:pPr>
    </w:lvl>
    <w:lvl w:ilvl="2" w:tplc="EADA4CD6">
      <w:start w:val="1"/>
      <w:numFmt w:val="lowerRoman"/>
      <w:lvlText w:val="%3."/>
      <w:lvlJc w:val="right"/>
      <w:pPr>
        <w:ind w:left="2160" w:hanging="180"/>
      </w:pPr>
    </w:lvl>
    <w:lvl w:ilvl="3" w:tplc="40266680">
      <w:start w:val="1"/>
      <w:numFmt w:val="decimal"/>
      <w:lvlText w:val="%4."/>
      <w:lvlJc w:val="left"/>
      <w:pPr>
        <w:ind w:left="2880" w:hanging="360"/>
      </w:pPr>
    </w:lvl>
    <w:lvl w:ilvl="4" w:tplc="B1826998">
      <w:start w:val="1"/>
      <w:numFmt w:val="lowerLetter"/>
      <w:lvlText w:val="%5."/>
      <w:lvlJc w:val="left"/>
      <w:pPr>
        <w:ind w:left="3600" w:hanging="360"/>
      </w:pPr>
    </w:lvl>
    <w:lvl w:ilvl="5" w:tplc="47920748">
      <w:start w:val="1"/>
      <w:numFmt w:val="lowerRoman"/>
      <w:lvlText w:val="%6."/>
      <w:lvlJc w:val="right"/>
      <w:pPr>
        <w:ind w:left="4320" w:hanging="180"/>
      </w:pPr>
    </w:lvl>
    <w:lvl w:ilvl="6" w:tplc="D690CE60">
      <w:start w:val="1"/>
      <w:numFmt w:val="decimal"/>
      <w:lvlText w:val="%7."/>
      <w:lvlJc w:val="left"/>
      <w:pPr>
        <w:ind w:left="5040" w:hanging="360"/>
      </w:pPr>
    </w:lvl>
    <w:lvl w:ilvl="7" w:tplc="EF181A22">
      <w:start w:val="1"/>
      <w:numFmt w:val="lowerLetter"/>
      <w:lvlText w:val="%8."/>
      <w:lvlJc w:val="left"/>
      <w:pPr>
        <w:ind w:left="5760" w:hanging="360"/>
      </w:pPr>
    </w:lvl>
    <w:lvl w:ilvl="8" w:tplc="D82A6300">
      <w:start w:val="1"/>
      <w:numFmt w:val="lowerRoman"/>
      <w:lvlText w:val="%9."/>
      <w:lvlJc w:val="right"/>
      <w:pPr>
        <w:ind w:left="6480" w:hanging="180"/>
      </w:pPr>
    </w:lvl>
  </w:abstractNum>
  <w:abstractNum w:abstractNumId="7" w15:restartNumberingAfterBreak="0">
    <w:nsid w:val="34153F49"/>
    <w:multiLevelType w:val="hybridMultilevel"/>
    <w:tmpl w:val="73608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D630A9"/>
    <w:multiLevelType w:val="hybridMultilevel"/>
    <w:tmpl w:val="3830F126"/>
    <w:lvl w:ilvl="0" w:tplc="C8169722">
      <w:start w:val="1"/>
      <w:numFmt w:val="upperLetter"/>
      <w:lvlText w:val="%1)"/>
      <w:lvlJc w:val="left"/>
      <w:pPr>
        <w:ind w:left="720" w:hanging="360"/>
      </w:pPr>
    </w:lvl>
    <w:lvl w:ilvl="1" w:tplc="6BA4EE46">
      <w:start w:val="1"/>
      <w:numFmt w:val="lowerLetter"/>
      <w:lvlText w:val="%2."/>
      <w:lvlJc w:val="left"/>
      <w:pPr>
        <w:ind w:left="1440" w:hanging="360"/>
      </w:pPr>
    </w:lvl>
    <w:lvl w:ilvl="2" w:tplc="9FAAC292">
      <w:start w:val="1"/>
      <w:numFmt w:val="lowerRoman"/>
      <w:lvlText w:val="%3."/>
      <w:lvlJc w:val="right"/>
      <w:pPr>
        <w:ind w:left="2160" w:hanging="180"/>
      </w:pPr>
    </w:lvl>
    <w:lvl w:ilvl="3" w:tplc="D7AC99B0">
      <w:start w:val="1"/>
      <w:numFmt w:val="decimal"/>
      <w:lvlText w:val="%4."/>
      <w:lvlJc w:val="left"/>
      <w:pPr>
        <w:ind w:left="2880" w:hanging="360"/>
      </w:pPr>
    </w:lvl>
    <w:lvl w:ilvl="4" w:tplc="79B45206">
      <w:start w:val="1"/>
      <w:numFmt w:val="lowerLetter"/>
      <w:lvlText w:val="%5."/>
      <w:lvlJc w:val="left"/>
      <w:pPr>
        <w:ind w:left="3600" w:hanging="360"/>
      </w:pPr>
    </w:lvl>
    <w:lvl w:ilvl="5" w:tplc="2304D4DE">
      <w:start w:val="1"/>
      <w:numFmt w:val="lowerRoman"/>
      <w:lvlText w:val="%6."/>
      <w:lvlJc w:val="right"/>
      <w:pPr>
        <w:ind w:left="4320" w:hanging="180"/>
      </w:pPr>
    </w:lvl>
    <w:lvl w:ilvl="6" w:tplc="C8AAB3C2">
      <w:start w:val="1"/>
      <w:numFmt w:val="decimal"/>
      <w:lvlText w:val="%7."/>
      <w:lvlJc w:val="left"/>
      <w:pPr>
        <w:ind w:left="5040" w:hanging="360"/>
      </w:pPr>
    </w:lvl>
    <w:lvl w:ilvl="7" w:tplc="CE72817C">
      <w:start w:val="1"/>
      <w:numFmt w:val="lowerLetter"/>
      <w:lvlText w:val="%8."/>
      <w:lvlJc w:val="left"/>
      <w:pPr>
        <w:ind w:left="5760" w:hanging="360"/>
      </w:pPr>
    </w:lvl>
    <w:lvl w:ilvl="8" w:tplc="CFBACCB2">
      <w:start w:val="1"/>
      <w:numFmt w:val="lowerRoman"/>
      <w:lvlText w:val="%9."/>
      <w:lvlJc w:val="right"/>
      <w:pPr>
        <w:ind w:left="6480" w:hanging="180"/>
      </w:pPr>
    </w:lvl>
  </w:abstractNum>
  <w:abstractNum w:abstractNumId="9" w15:restartNumberingAfterBreak="0">
    <w:nsid w:val="3AD54243"/>
    <w:multiLevelType w:val="hybridMultilevel"/>
    <w:tmpl w:val="F222C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2D5DA5"/>
    <w:multiLevelType w:val="hybridMultilevel"/>
    <w:tmpl w:val="FF725A44"/>
    <w:lvl w:ilvl="0" w:tplc="D8E45C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9EA3ED"/>
    <w:multiLevelType w:val="hybridMultilevel"/>
    <w:tmpl w:val="79C2858A"/>
    <w:lvl w:ilvl="0" w:tplc="75B2C52E">
      <w:start w:val="1"/>
      <w:numFmt w:val="upperLetter"/>
      <w:lvlText w:val="%1)"/>
      <w:lvlJc w:val="left"/>
      <w:pPr>
        <w:ind w:left="720" w:hanging="360"/>
      </w:pPr>
    </w:lvl>
    <w:lvl w:ilvl="1" w:tplc="00E6C1D8">
      <w:start w:val="1"/>
      <w:numFmt w:val="lowerLetter"/>
      <w:lvlText w:val="%2."/>
      <w:lvlJc w:val="left"/>
      <w:pPr>
        <w:ind w:left="1440" w:hanging="360"/>
      </w:pPr>
    </w:lvl>
    <w:lvl w:ilvl="2" w:tplc="FBE07A60">
      <w:start w:val="1"/>
      <w:numFmt w:val="lowerRoman"/>
      <w:lvlText w:val="%3."/>
      <w:lvlJc w:val="right"/>
      <w:pPr>
        <w:ind w:left="2160" w:hanging="180"/>
      </w:pPr>
    </w:lvl>
    <w:lvl w:ilvl="3" w:tplc="4134F002">
      <w:start w:val="1"/>
      <w:numFmt w:val="decimal"/>
      <w:lvlText w:val="%4."/>
      <w:lvlJc w:val="left"/>
      <w:pPr>
        <w:ind w:left="2880" w:hanging="360"/>
      </w:pPr>
    </w:lvl>
    <w:lvl w:ilvl="4" w:tplc="22A45B32">
      <w:start w:val="1"/>
      <w:numFmt w:val="lowerLetter"/>
      <w:lvlText w:val="%5."/>
      <w:lvlJc w:val="left"/>
      <w:pPr>
        <w:ind w:left="3600" w:hanging="360"/>
      </w:pPr>
    </w:lvl>
    <w:lvl w:ilvl="5" w:tplc="1CF8AC94">
      <w:start w:val="1"/>
      <w:numFmt w:val="lowerRoman"/>
      <w:lvlText w:val="%6."/>
      <w:lvlJc w:val="right"/>
      <w:pPr>
        <w:ind w:left="4320" w:hanging="180"/>
      </w:pPr>
    </w:lvl>
    <w:lvl w:ilvl="6" w:tplc="49D2581E">
      <w:start w:val="1"/>
      <w:numFmt w:val="decimal"/>
      <w:lvlText w:val="%7."/>
      <w:lvlJc w:val="left"/>
      <w:pPr>
        <w:ind w:left="5040" w:hanging="360"/>
      </w:pPr>
    </w:lvl>
    <w:lvl w:ilvl="7" w:tplc="F6E2D5AE">
      <w:start w:val="1"/>
      <w:numFmt w:val="lowerLetter"/>
      <w:lvlText w:val="%8."/>
      <w:lvlJc w:val="left"/>
      <w:pPr>
        <w:ind w:left="5760" w:hanging="360"/>
      </w:pPr>
    </w:lvl>
    <w:lvl w:ilvl="8" w:tplc="1E54F808">
      <w:start w:val="1"/>
      <w:numFmt w:val="lowerRoman"/>
      <w:lvlText w:val="%9."/>
      <w:lvlJc w:val="right"/>
      <w:pPr>
        <w:ind w:left="6480" w:hanging="180"/>
      </w:pPr>
    </w:lvl>
  </w:abstractNum>
  <w:abstractNum w:abstractNumId="12" w15:restartNumberingAfterBreak="0">
    <w:nsid w:val="4F8DFC08"/>
    <w:multiLevelType w:val="hybridMultilevel"/>
    <w:tmpl w:val="626E79CE"/>
    <w:lvl w:ilvl="0" w:tplc="40CEAF26">
      <w:start w:val="1"/>
      <w:numFmt w:val="lowerLetter"/>
      <w:lvlText w:val="%1)"/>
      <w:lvlJc w:val="left"/>
      <w:pPr>
        <w:ind w:left="720" w:hanging="360"/>
      </w:pPr>
    </w:lvl>
    <w:lvl w:ilvl="1" w:tplc="CAF2284C">
      <w:start w:val="1"/>
      <w:numFmt w:val="lowerLetter"/>
      <w:lvlText w:val="%2."/>
      <w:lvlJc w:val="left"/>
      <w:pPr>
        <w:ind w:left="1440" w:hanging="360"/>
      </w:pPr>
    </w:lvl>
    <w:lvl w:ilvl="2" w:tplc="6A920122">
      <w:start w:val="1"/>
      <w:numFmt w:val="lowerRoman"/>
      <w:lvlText w:val="%3."/>
      <w:lvlJc w:val="right"/>
      <w:pPr>
        <w:ind w:left="2160" w:hanging="180"/>
      </w:pPr>
    </w:lvl>
    <w:lvl w:ilvl="3" w:tplc="BFDE3844">
      <w:start w:val="1"/>
      <w:numFmt w:val="decimal"/>
      <w:lvlText w:val="%4."/>
      <w:lvlJc w:val="left"/>
      <w:pPr>
        <w:ind w:left="2880" w:hanging="360"/>
      </w:pPr>
    </w:lvl>
    <w:lvl w:ilvl="4" w:tplc="05D62680">
      <w:start w:val="1"/>
      <w:numFmt w:val="lowerLetter"/>
      <w:lvlText w:val="%5."/>
      <w:lvlJc w:val="left"/>
      <w:pPr>
        <w:ind w:left="3600" w:hanging="360"/>
      </w:pPr>
    </w:lvl>
    <w:lvl w:ilvl="5" w:tplc="5D448ECC">
      <w:start w:val="1"/>
      <w:numFmt w:val="lowerRoman"/>
      <w:lvlText w:val="%6."/>
      <w:lvlJc w:val="right"/>
      <w:pPr>
        <w:ind w:left="4320" w:hanging="180"/>
      </w:pPr>
    </w:lvl>
    <w:lvl w:ilvl="6" w:tplc="907C6FE8">
      <w:start w:val="1"/>
      <w:numFmt w:val="decimal"/>
      <w:lvlText w:val="%7."/>
      <w:lvlJc w:val="left"/>
      <w:pPr>
        <w:ind w:left="5040" w:hanging="360"/>
      </w:pPr>
    </w:lvl>
    <w:lvl w:ilvl="7" w:tplc="77AC8B12">
      <w:start w:val="1"/>
      <w:numFmt w:val="lowerLetter"/>
      <w:lvlText w:val="%8."/>
      <w:lvlJc w:val="left"/>
      <w:pPr>
        <w:ind w:left="5760" w:hanging="360"/>
      </w:pPr>
    </w:lvl>
    <w:lvl w:ilvl="8" w:tplc="CB26EB0E">
      <w:start w:val="1"/>
      <w:numFmt w:val="lowerRoman"/>
      <w:lvlText w:val="%9."/>
      <w:lvlJc w:val="right"/>
      <w:pPr>
        <w:ind w:left="6480" w:hanging="180"/>
      </w:pPr>
    </w:lvl>
  </w:abstractNum>
  <w:abstractNum w:abstractNumId="13" w15:restartNumberingAfterBreak="0">
    <w:nsid w:val="59C35283"/>
    <w:multiLevelType w:val="multilevel"/>
    <w:tmpl w:val="308A87B8"/>
    <w:lvl w:ilvl="0">
      <w:start w:val="1"/>
      <w:numFmt w:val="decimal"/>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4" w15:restartNumberingAfterBreak="0">
    <w:nsid w:val="5AAE7FE2"/>
    <w:multiLevelType w:val="hybridMultilevel"/>
    <w:tmpl w:val="C1E2AADC"/>
    <w:lvl w:ilvl="0" w:tplc="330CC300">
      <w:start w:val="1"/>
      <w:numFmt w:val="bullet"/>
      <w:lvlText w:val=""/>
      <w:lvlJc w:val="left"/>
      <w:pPr>
        <w:tabs>
          <w:tab w:val="num" w:pos="720"/>
        </w:tabs>
        <w:ind w:left="720" w:hanging="360"/>
      </w:pPr>
      <w:rPr>
        <w:rFonts w:ascii="Symbol" w:hAnsi="Symbol" w:hint="default"/>
        <w:sz w:val="20"/>
      </w:rPr>
    </w:lvl>
    <w:lvl w:ilvl="1" w:tplc="4F0E35DE" w:tentative="1">
      <w:start w:val="1"/>
      <w:numFmt w:val="bullet"/>
      <w:lvlText w:val="o"/>
      <w:lvlJc w:val="left"/>
      <w:pPr>
        <w:tabs>
          <w:tab w:val="num" w:pos="1440"/>
        </w:tabs>
        <w:ind w:left="1440" w:hanging="360"/>
      </w:pPr>
      <w:rPr>
        <w:rFonts w:ascii="Courier New" w:hAnsi="Courier New" w:hint="default"/>
        <w:sz w:val="20"/>
      </w:rPr>
    </w:lvl>
    <w:lvl w:ilvl="2" w:tplc="F33253FC" w:tentative="1">
      <w:start w:val="1"/>
      <w:numFmt w:val="bullet"/>
      <w:lvlText w:val=""/>
      <w:lvlJc w:val="left"/>
      <w:pPr>
        <w:tabs>
          <w:tab w:val="num" w:pos="2160"/>
        </w:tabs>
        <w:ind w:left="2160" w:hanging="360"/>
      </w:pPr>
      <w:rPr>
        <w:rFonts w:ascii="Wingdings" w:hAnsi="Wingdings" w:hint="default"/>
        <w:sz w:val="20"/>
      </w:rPr>
    </w:lvl>
    <w:lvl w:ilvl="3" w:tplc="7548E57A" w:tentative="1">
      <w:start w:val="1"/>
      <w:numFmt w:val="bullet"/>
      <w:lvlText w:val=""/>
      <w:lvlJc w:val="left"/>
      <w:pPr>
        <w:tabs>
          <w:tab w:val="num" w:pos="2880"/>
        </w:tabs>
        <w:ind w:left="2880" w:hanging="360"/>
      </w:pPr>
      <w:rPr>
        <w:rFonts w:ascii="Wingdings" w:hAnsi="Wingdings" w:hint="default"/>
        <w:sz w:val="20"/>
      </w:rPr>
    </w:lvl>
    <w:lvl w:ilvl="4" w:tplc="07BAD518" w:tentative="1">
      <w:start w:val="1"/>
      <w:numFmt w:val="bullet"/>
      <w:lvlText w:val=""/>
      <w:lvlJc w:val="left"/>
      <w:pPr>
        <w:tabs>
          <w:tab w:val="num" w:pos="3600"/>
        </w:tabs>
        <w:ind w:left="3600" w:hanging="360"/>
      </w:pPr>
      <w:rPr>
        <w:rFonts w:ascii="Wingdings" w:hAnsi="Wingdings" w:hint="default"/>
        <w:sz w:val="20"/>
      </w:rPr>
    </w:lvl>
    <w:lvl w:ilvl="5" w:tplc="B6BE121A" w:tentative="1">
      <w:start w:val="1"/>
      <w:numFmt w:val="bullet"/>
      <w:lvlText w:val=""/>
      <w:lvlJc w:val="left"/>
      <w:pPr>
        <w:tabs>
          <w:tab w:val="num" w:pos="4320"/>
        </w:tabs>
        <w:ind w:left="4320" w:hanging="360"/>
      </w:pPr>
      <w:rPr>
        <w:rFonts w:ascii="Wingdings" w:hAnsi="Wingdings" w:hint="default"/>
        <w:sz w:val="20"/>
      </w:rPr>
    </w:lvl>
    <w:lvl w:ilvl="6" w:tplc="CBAC2A40" w:tentative="1">
      <w:start w:val="1"/>
      <w:numFmt w:val="bullet"/>
      <w:lvlText w:val=""/>
      <w:lvlJc w:val="left"/>
      <w:pPr>
        <w:tabs>
          <w:tab w:val="num" w:pos="5040"/>
        </w:tabs>
        <w:ind w:left="5040" w:hanging="360"/>
      </w:pPr>
      <w:rPr>
        <w:rFonts w:ascii="Wingdings" w:hAnsi="Wingdings" w:hint="default"/>
        <w:sz w:val="20"/>
      </w:rPr>
    </w:lvl>
    <w:lvl w:ilvl="7" w:tplc="2D5EC8D6" w:tentative="1">
      <w:start w:val="1"/>
      <w:numFmt w:val="bullet"/>
      <w:lvlText w:val=""/>
      <w:lvlJc w:val="left"/>
      <w:pPr>
        <w:tabs>
          <w:tab w:val="num" w:pos="5760"/>
        </w:tabs>
        <w:ind w:left="5760" w:hanging="360"/>
      </w:pPr>
      <w:rPr>
        <w:rFonts w:ascii="Wingdings" w:hAnsi="Wingdings" w:hint="default"/>
        <w:sz w:val="20"/>
      </w:rPr>
    </w:lvl>
    <w:lvl w:ilvl="8" w:tplc="5C42E72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33857"/>
    <w:multiLevelType w:val="hybridMultilevel"/>
    <w:tmpl w:val="6F68720E"/>
    <w:lvl w:ilvl="0" w:tplc="898C30A0">
      <w:start w:val="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6D581253"/>
    <w:multiLevelType w:val="multilevel"/>
    <w:tmpl w:val="043CB89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783C74B3"/>
    <w:multiLevelType w:val="hybridMultilevel"/>
    <w:tmpl w:val="E1E227E4"/>
    <w:lvl w:ilvl="0" w:tplc="AFC48E9E">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11"/>
  </w:num>
  <w:num w:numId="5">
    <w:abstractNumId w:val="6"/>
  </w:num>
  <w:num w:numId="6">
    <w:abstractNumId w:val="3"/>
  </w:num>
  <w:num w:numId="7">
    <w:abstractNumId w:val="14"/>
  </w:num>
  <w:num w:numId="8">
    <w:abstractNumId w:val="16"/>
  </w:num>
  <w:num w:numId="9">
    <w:abstractNumId w:val="17"/>
  </w:num>
  <w:num w:numId="10">
    <w:abstractNumId w:val="9"/>
  </w:num>
  <w:num w:numId="11">
    <w:abstractNumId w:val="5"/>
  </w:num>
  <w:num w:numId="12">
    <w:abstractNumId w:val="15"/>
  </w:num>
  <w:num w:numId="13">
    <w:abstractNumId w:val="4"/>
  </w:num>
  <w:num w:numId="14">
    <w:abstractNumId w:val="7"/>
  </w:num>
  <w:num w:numId="15">
    <w:abstractNumId w:val="10"/>
  </w:num>
  <w:num w:numId="16">
    <w:abstractNumId w:val="1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4"/>
    <w:rsid w:val="00001CE9"/>
    <w:rsid w:val="00003BF4"/>
    <w:rsid w:val="00005970"/>
    <w:rsid w:val="000101B5"/>
    <w:rsid w:val="00010981"/>
    <w:rsid w:val="00010C47"/>
    <w:rsid w:val="0001192F"/>
    <w:rsid w:val="00015FB4"/>
    <w:rsid w:val="00021167"/>
    <w:rsid w:val="00022041"/>
    <w:rsid w:val="00023FC2"/>
    <w:rsid w:val="00025BB8"/>
    <w:rsid w:val="00026672"/>
    <w:rsid w:val="000276C5"/>
    <w:rsid w:val="000317EE"/>
    <w:rsid w:val="00033276"/>
    <w:rsid w:val="00035A6F"/>
    <w:rsid w:val="000365C1"/>
    <w:rsid w:val="0004015A"/>
    <w:rsid w:val="000427AF"/>
    <w:rsid w:val="00045173"/>
    <w:rsid w:val="0004603A"/>
    <w:rsid w:val="00051610"/>
    <w:rsid w:val="000608C3"/>
    <w:rsid w:val="000615B2"/>
    <w:rsid w:val="00061AEB"/>
    <w:rsid w:val="00061B3A"/>
    <w:rsid w:val="00061EFF"/>
    <w:rsid w:val="00063D06"/>
    <w:rsid w:val="0007178A"/>
    <w:rsid w:val="000740DE"/>
    <w:rsid w:val="00077A3E"/>
    <w:rsid w:val="00080054"/>
    <w:rsid w:val="00093F94"/>
    <w:rsid w:val="000A173A"/>
    <w:rsid w:val="000A30BE"/>
    <w:rsid w:val="000A67F6"/>
    <w:rsid w:val="000B1B18"/>
    <w:rsid w:val="000B754D"/>
    <w:rsid w:val="000C030B"/>
    <w:rsid w:val="000C24DB"/>
    <w:rsid w:val="000C2A11"/>
    <w:rsid w:val="000D281A"/>
    <w:rsid w:val="000D51F1"/>
    <w:rsid w:val="000D591D"/>
    <w:rsid w:val="000D5AB7"/>
    <w:rsid w:val="000D7A2D"/>
    <w:rsid w:val="000E14B5"/>
    <w:rsid w:val="000E3099"/>
    <w:rsid w:val="000E369C"/>
    <w:rsid w:val="000E3A19"/>
    <w:rsid w:val="000E48B5"/>
    <w:rsid w:val="000E7948"/>
    <w:rsid w:val="000F01ED"/>
    <w:rsid w:val="000F337B"/>
    <w:rsid w:val="000F3C9D"/>
    <w:rsid w:val="000F6090"/>
    <w:rsid w:val="000F6D9E"/>
    <w:rsid w:val="001006FC"/>
    <w:rsid w:val="0010271B"/>
    <w:rsid w:val="0010606F"/>
    <w:rsid w:val="00113E84"/>
    <w:rsid w:val="00117067"/>
    <w:rsid w:val="001234E0"/>
    <w:rsid w:val="00124040"/>
    <w:rsid w:val="00126BD7"/>
    <w:rsid w:val="00127EB4"/>
    <w:rsid w:val="001310BA"/>
    <w:rsid w:val="001437BC"/>
    <w:rsid w:val="00143828"/>
    <w:rsid w:val="00154080"/>
    <w:rsid w:val="00155524"/>
    <w:rsid w:val="0015638A"/>
    <w:rsid w:val="001574CE"/>
    <w:rsid w:val="00163083"/>
    <w:rsid w:val="0016582E"/>
    <w:rsid w:val="001664B5"/>
    <w:rsid w:val="00166709"/>
    <w:rsid w:val="001720AA"/>
    <w:rsid w:val="00174FE1"/>
    <w:rsid w:val="0017674C"/>
    <w:rsid w:val="00177BFA"/>
    <w:rsid w:val="001803C7"/>
    <w:rsid w:val="00181196"/>
    <w:rsid w:val="00183C07"/>
    <w:rsid w:val="00185818"/>
    <w:rsid w:val="001934A4"/>
    <w:rsid w:val="00194481"/>
    <w:rsid w:val="00194B32"/>
    <w:rsid w:val="00194E68"/>
    <w:rsid w:val="0019682D"/>
    <w:rsid w:val="001A4662"/>
    <w:rsid w:val="001A6FAA"/>
    <w:rsid w:val="001A6FC0"/>
    <w:rsid w:val="001A7A47"/>
    <w:rsid w:val="001B0058"/>
    <w:rsid w:val="001B2BD2"/>
    <w:rsid w:val="001B357F"/>
    <w:rsid w:val="001B5727"/>
    <w:rsid w:val="001C17E3"/>
    <w:rsid w:val="001C7BE8"/>
    <w:rsid w:val="001D0DEA"/>
    <w:rsid w:val="001D226B"/>
    <w:rsid w:val="001D46F9"/>
    <w:rsid w:val="001D5E76"/>
    <w:rsid w:val="001E132B"/>
    <w:rsid w:val="002006BD"/>
    <w:rsid w:val="002058C1"/>
    <w:rsid w:val="00205C27"/>
    <w:rsid w:val="0020673F"/>
    <w:rsid w:val="00210169"/>
    <w:rsid w:val="00212441"/>
    <w:rsid w:val="00213439"/>
    <w:rsid w:val="00213DF7"/>
    <w:rsid w:val="00214382"/>
    <w:rsid w:val="00214A34"/>
    <w:rsid w:val="00220939"/>
    <w:rsid w:val="00226638"/>
    <w:rsid w:val="002306C2"/>
    <w:rsid w:val="00242FAF"/>
    <w:rsid w:val="00246003"/>
    <w:rsid w:val="00246647"/>
    <w:rsid w:val="00247700"/>
    <w:rsid w:val="00250A42"/>
    <w:rsid w:val="0025294E"/>
    <w:rsid w:val="0025334A"/>
    <w:rsid w:val="00254002"/>
    <w:rsid w:val="00254DBC"/>
    <w:rsid w:val="00254E83"/>
    <w:rsid w:val="002565DD"/>
    <w:rsid w:val="002620E3"/>
    <w:rsid w:val="00273466"/>
    <w:rsid w:val="0027477A"/>
    <w:rsid w:val="0027692C"/>
    <w:rsid w:val="00281374"/>
    <w:rsid w:val="0028180A"/>
    <w:rsid w:val="002825E8"/>
    <w:rsid w:val="00282A8D"/>
    <w:rsid w:val="00282C2A"/>
    <w:rsid w:val="002847B4"/>
    <w:rsid w:val="002877BB"/>
    <w:rsid w:val="00291AD7"/>
    <w:rsid w:val="00291E8C"/>
    <w:rsid w:val="002922D1"/>
    <w:rsid w:val="00293DFC"/>
    <w:rsid w:val="00293E8A"/>
    <w:rsid w:val="00294574"/>
    <w:rsid w:val="00297B9B"/>
    <w:rsid w:val="002A54CA"/>
    <w:rsid w:val="002A6434"/>
    <w:rsid w:val="002A6686"/>
    <w:rsid w:val="002B134F"/>
    <w:rsid w:val="002B4FE9"/>
    <w:rsid w:val="002B54EE"/>
    <w:rsid w:val="002B6DC3"/>
    <w:rsid w:val="002C0044"/>
    <w:rsid w:val="002C0D84"/>
    <w:rsid w:val="002C1EDF"/>
    <w:rsid w:val="002C2D2D"/>
    <w:rsid w:val="002C2F56"/>
    <w:rsid w:val="002C6E88"/>
    <w:rsid w:val="002D18FD"/>
    <w:rsid w:val="002D37BC"/>
    <w:rsid w:val="002D46BA"/>
    <w:rsid w:val="002D54E1"/>
    <w:rsid w:val="002E13D7"/>
    <w:rsid w:val="002E142B"/>
    <w:rsid w:val="002E59D6"/>
    <w:rsid w:val="002E7467"/>
    <w:rsid w:val="00302CC1"/>
    <w:rsid w:val="003064A5"/>
    <w:rsid w:val="00311ED8"/>
    <w:rsid w:val="00316414"/>
    <w:rsid w:val="003165ED"/>
    <w:rsid w:val="00316670"/>
    <w:rsid w:val="00317D0B"/>
    <w:rsid w:val="00321025"/>
    <w:rsid w:val="003234E0"/>
    <w:rsid w:val="00323843"/>
    <w:rsid w:val="003238DA"/>
    <w:rsid w:val="00327D54"/>
    <w:rsid w:val="003325C4"/>
    <w:rsid w:val="00333683"/>
    <w:rsid w:val="00340A79"/>
    <w:rsid w:val="003465E1"/>
    <w:rsid w:val="00346BAF"/>
    <w:rsid w:val="00347B79"/>
    <w:rsid w:val="00351927"/>
    <w:rsid w:val="0035652E"/>
    <w:rsid w:val="003611ED"/>
    <w:rsid w:val="00361252"/>
    <w:rsid w:val="00366004"/>
    <w:rsid w:val="00367CEA"/>
    <w:rsid w:val="00371793"/>
    <w:rsid w:val="003720BA"/>
    <w:rsid w:val="0038004F"/>
    <w:rsid w:val="0038035D"/>
    <w:rsid w:val="00384D6E"/>
    <w:rsid w:val="003907D2"/>
    <w:rsid w:val="00390EDA"/>
    <w:rsid w:val="003922A6"/>
    <w:rsid w:val="003944DE"/>
    <w:rsid w:val="00396021"/>
    <w:rsid w:val="003A057B"/>
    <w:rsid w:val="003A5A56"/>
    <w:rsid w:val="003B43B2"/>
    <w:rsid w:val="003C38C2"/>
    <w:rsid w:val="003C4324"/>
    <w:rsid w:val="003C48A1"/>
    <w:rsid w:val="003D0717"/>
    <w:rsid w:val="003D2C50"/>
    <w:rsid w:val="003D3246"/>
    <w:rsid w:val="003D67A0"/>
    <w:rsid w:val="003D75D7"/>
    <w:rsid w:val="003E041C"/>
    <w:rsid w:val="003E3EDD"/>
    <w:rsid w:val="003F084F"/>
    <w:rsid w:val="003F5577"/>
    <w:rsid w:val="003F5F95"/>
    <w:rsid w:val="003F67B5"/>
    <w:rsid w:val="004009C6"/>
    <w:rsid w:val="00401258"/>
    <w:rsid w:val="0040315C"/>
    <w:rsid w:val="0040769C"/>
    <w:rsid w:val="0041208C"/>
    <w:rsid w:val="00412422"/>
    <w:rsid w:val="00412642"/>
    <w:rsid w:val="00420642"/>
    <w:rsid w:val="004208EA"/>
    <w:rsid w:val="00424881"/>
    <w:rsid w:val="00427941"/>
    <w:rsid w:val="00430EBD"/>
    <w:rsid w:val="004321CE"/>
    <w:rsid w:val="00433481"/>
    <w:rsid w:val="00435C8C"/>
    <w:rsid w:val="00436A65"/>
    <w:rsid w:val="00436E09"/>
    <w:rsid w:val="00437EC4"/>
    <w:rsid w:val="004406A1"/>
    <w:rsid w:val="00441DCF"/>
    <w:rsid w:val="00442945"/>
    <w:rsid w:val="00444291"/>
    <w:rsid w:val="00445537"/>
    <w:rsid w:val="00450C5D"/>
    <w:rsid w:val="00451241"/>
    <w:rsid w:val="00454581"/>
    <w:rsid w:val="0045595F"/>
    <w:rsid w:val="004567D3"/>
    <w:rsid w:val="0046303E"/>
    <w:rsid w:val="0046332E"/>
    <w:rsid w:val="0046451B"/>
    <w:rsid w:val="00466AA5"/>
    <w:rsid w:val="00470F10"/>
    <w:rsid w:val="004731CC"/>
    <w:rsid w:val="00473B91"/>
    <w:rsid w:val="00473F0D"/>
    <w:rsid w:val="00482EC9"/>
    <w:rsid w:val="0048337A"/>
    <w:rsid w:val="00484C57"/>
    <w:rsid w:val="00491F1F"/>
    <w:rsid w:val="0049203B"/>
    <w:rsid w:val="004961F8"/>
    <w:rsid w:val="00496AD5"/>
    <w:rsid w:val="004A30CD"/>
    <w:rsid w:val="004A41A5"/>
    <w:rsid w:val="004B748B"/>
    <w:rsid w:val="004C4584"/>
    <w:rsid w:val="004C479E"/>
    <w:rsid w:val="004C5803"/>
    <w:rsid w:val="004C5C85"/>
    <w:rsid w:val="004C62FD"/>
    <w:rsid w:val="004C73D4"/>
    <w:rsid w:val="004C7FC0"/>
    <w:rsid w:val="004D2A25"/>
    <w:rsid w:val="004D2BEA"/>
    <w:rsid w:val="004D51C2"/>
    <w:rsid w:val="004D61B9"/>
    <w:rsid w:val="004D6715"/>
    <w:rsid w:val="004E35E9"/>
    <w:rsid w:val="004E4236"/>
    <w:rsid w:val="004E5C67"/>
    <w:rsid w:val="004E6BF3"/>
    <w:rsid w:val="004F01C7"/>
    <w:rsid w:val="004F154A"/>
    <w:rsid w:val="004F43F4"/>
    <w:rsid w:val="00500B74"/>
    <w:rsid w:val="00503276"/>
    <w:rsid w:val="00505DD4"/>
    <w:rsid w:val="005077C9"/>
    <w:rsid w:val="005131E6"/>
    <w:rsid w:val="00514039"/>
    <w:rsid w:val="0051452B"/>
    <w:rsid w:val="005158A9"/>
    <w:rsid w:val="00517DDA"/>
    <w:rsid w:val="005226B0"/>
    <w:rsid w:val="005264FB"/>
    <w:rsid w:val="005324DB"/>
    <w:rsid w:val="00534A89"/>
    <w:rsid w:val="00537882"/>
    <w:rsid w:val="00542439"/>
    <w:rsid w:val="0055184D"/>
    <w:rsid w:val="005537C5"/>
    <w:rsid w:val="00556D1B"/>
    <w:rsid w:val="00556EB2"/>
    <w:rsid w:val="005571BB"/>
    <w:rsid w:val="005645F0"/>
    <w:rsid w:val="005653F1"/>
    <w:rsid w:val="005679EC"/>
    <w:rsid w:val="005700A9"/>
    <w:rsid w:val="00570385"/>
    <w:rsid w:val="00575329"/>
    <w:rsid w:val="00580C3F"/>
    <w:rsid w:val="0058255E"/>
    <w:rsid w:val="00583BF3"/>
    <w:rsid w:val="00584212"/>
    <w:rsid w:val="005861E4"/>
    <w:rsid w:val="0058626B"/>
    <w:rsid w:val="00587221"/>
    <w:rsid w:val="00591EE7"/>
    <w:rsid w:val="00597F02"/>
    <w:rsid w:val="005B16D3"/>
    <w:rsid w:val="005B4C95"/>
    <w:rsid w:val="005B5F90"/>
    <w:rsid w:val="005C025D"/>
    <w:rsid w:val="005C17DC"/>
    <w:rsid w:val="005C300E"/>
    <w:rsid w:val="005C3787"/>
    <w:rsid w:val="005C37B8"/>
    <w:rsid w:val="005C642E"/>
    <w:rsid w:val="005D20B4"/>
    <w:rsid w:val="005D7556"/>
    <w:rsid w:val="005D77E4"/>
    <w:rsid w:val="005E2C14"/>
    <w:rsid w:val="005E2C6D"/>
    <w:rsid w:val="005E6A2F"/>
    <w:rsid w:val="005F0CE9"/>
    <w:rsid w:val="005F2133"/>
    <w:rsid w:val="005F3CE1"/>
    <w:rsid w:val="005F3DA7"/>
    <w:rsid w:val="005F6B94"/>
    <w:rsid w:val="005F7DE1"/>
    <w:rsid w:val="0060139E"/>
    <w:rsid w:val="006044DD"/>
    <w:rsid w:val="006055D3"/>
    <w:rsid w:val="00615361"/>
    <w:rsid w:val="00617E52"/>
    <w:rsid w:val="00623D49"/>
    <w:rsid w:val="00626D72"/>
    <w:rsid w:val="00630613"/>
    <w:rsid w:val="00633394"/>
    <w:rsid w:val="00635A79"/>
    <w:rsid w:val="00640CAC"/>
    <w:rsid w:val="006424B6"/>
    <w:rsid w:val="006458C7"/>
    <w:rsid w:val="00647502"/>
    <w:rsid w:val="00652759"/>
    <w:rsid w:val="00653041"/>
    <w:rsid w:val="0065399F"/>
    <w:rsid w:val="00657C43"/>
    <w:rsid w:val="006604BB"/>
    <w:rsid w:val="006616AC"/>
    <w:rsid w:val="00661754"/>
    <w:rsid w:val="00663527"/>
    <w:rsid w:val="00671BB2"/>
    <w:rsid w:val="00673394"/>
    <w:rsid w:val="0067584C"/>
    <w:rsid w:val="00684CF7"/>
    <w:rsid w:val="00690C66"/>
    <w:rsid w:val="00690D36"/>
    <w:rsid w:val="0069113E"/>
    <w:rsid w:val="00691562"/>
    <w:rsid w:val="0069515B"/>
    <w:rsid w:val="0069731C"/>
    <w:rsid w:val="006A1460"/>
    <w:rsid w:val="006A1621"/>
    <w:rsid w:val="006A28DD"/>
    <w:rsid w:val="006A3879"/>
    <w:rsid w:val="006A4B02"/>
    <w:rsid w:val="006A61B7"/>
    <w:rsid w:val="006B0947"/>
    <w:rsid w:val="006B0A9F"/>
    <w:rsid w:val="006B20AB"/>
    <w:rsid w:val="006B31E0"/>
    <w:rsid w:val="006B7A9C"/>
    <w:rsid w:val="006C309E"/>
    <w:rsid w:val="006C335E"/>
    <w:rsid w:val="006D01D3"/>
    <w:rsid w:val="006D10FC"/>
    <w:rsid w:val="006D51D2"/>
    <w:rsid w:val="006D521F"/>
    <w:rsid w:val="006D7B91"/>
    <w:rsid w:val="006E2543"/>
    <w:rsid w:val="006E4D58"/>
    <w:rsid w:val="006E4D91"/>
    <w:rsid w:val="006E4F0B"/>
    <w:rsid w:val="006E607D"/>
    <w:rsid w:val="006E7609"/>
    <w:rsid w:val="006F439D"/>
    <w:rsid w:val="006F5C03"/>
    <w:rsid w:val="006F5F42"/>
    <w:rsid w:val="007009AE"/>
    <w:rsid w:val="0070756C"/>
    <w:rsid w:val="00710A89"/>
    <w:rsid w:val="00715AC1"/>
    <w:rsid w:val="007162B7"/>
    <w:rsid w:val="007215A9"/>
    <w:rsid w:val="007256C7"/>
    <w:rsid w:val="0072653C"/>
    <w:rsid w:val="00726CEC"/>
    <w:rsid w:val="007319C3"/>
    <w:rsid w:val="00733FC7"/>
    <w:rsid w:val="00737678"/>
    <w:rsid w:val="007422D7"/>
    <w:rsid w:val="00742D53"/>
    <w:rsid w:val="007433FF"/>
    <w:rsid w:val="007474B7"/>
    <w:rsid w:val="00747955"/>
    <w:rsid w:val="00747A24"/>
    <w:rsid w:val="00751DD6"/>
    <w:rsid w:val="007543F5"/>
    <w:rsid w:val="00763698"/>
    <w:rsid w:val="007663B4"/>
    <w:rsid w:val="00774A19"/>
    <w:rsid w:val="007758B0"/>
    <w:rsid w:val="007772C2"/>
    <w:rsid w:val="007818E4"/>
    <w:rsid w:val="007835AB"/>
    <w:rsid w:val="007858B1"/>
    <w:rsid w:val="00787F75"/>
    <w:rsid w:val="0079154B"/>
    <w:rsid w:val="007923D4"/>
    <w:rsid w:val="00794E3B"/>
    <w:rsid w:val="007B5B37"/>
    <w:rsid w:val="007B6D45"/>
    <w:rsid w:val="007B71AC"/>
    <w:rsid w:val="007B7BF8"/>
    <w:rsid w:val="007C00D7"/>
    <w:rsid w:val="007C06A9"/>
    <w:rsid w:val="007C2490"/>
    <w:rsid w:val="007C2AC5"/>
    <w:rsid w:val="007D3304"/>
    <w:rsid w:val="007E08C8"/>
    <w:rsid w:val="007E0A02"/>
    <w:rsid w:val="007F5D7B"/>
    <w:rsid w:val="007F787B"/>
    <w:rsid w:val="00802583"/>
    <w:rsid w:val="00804BA0"/>
    <w:rsid w:val="00804C87"/>
    <w:rsid w:val="00804EFF"/>
    <w:rsid w:val="00806BF8"/>
    <w:rsid w:val="00811996"/>
    <w:rsid w:val="00813C1A"/>
    <w:rsid w:val="00814AF4"/>
    <w:rsid w:val="00815260"/>
    <w:rsid w:val="00816D1E"/>
    <w:rsid w:val="008172B1"/>
    <w:rsid w:val="008177A6"/>
    <w:rsid w:val="008178E9"/>
    <w:rsid w:val="008210BB"/>
    <w:rsid w:val="00821E28"/>
    <w:rsid w:val="0082466D"/>
    <w:rsid w:val="008301EE"/>
    <w:rsid w:val="00831895"/>
    <w:rsid w:val="008362CF"/>
    <w:rsid w:val="0083649E"/>
    <w:rsid w:val="00836F7A"/>
    <w:rsid w:val="00852AAC"/>
    <w:rsid w:val="00857C5A"/>
    <w:rsid w:val="00862ACA"/>
    <w:rsid w:val="00862E45"/>
    <w:rsid w:val="00864CA2"/>
    <w:rsid w:val="00871CA8"/>
    <w:rsid w:val="00873546"/>
    <w:rsid w:val="00873D31"/>
    <w:rsid w:val="00877EBA"/>
    <w:rsid w:val="008908C3"/>
    <w:rsid w:val="00894871"/>
    <w:rsid w:val="00895655"/>
    <w:rsid w:val="008979D9"/>
    <w:rsid w:val="008A235E"/>
    <w:rsid w:val="008A64FA"/>
    <w:rsid w:val="008B032C"/>
    <w:rsid w:val="008B046A"/>
    <w:rsid w:val="008B0BC5"/>
    <w:rsid w:val="008C0692"/>
    <w:rsid w:val="008C2FE7"/>
    <w:rsid w:val="008C7975"/>
    <w:rsid w:val="008D18A5"/>
    <w:rsid w:val="008D2C1D"/>
    <w:rsid w:val="008D3831"/>
    <w:rsid w:val="008E0574"/>
    <w:rsid w:val="008E351F"/>
    <w:rsid w:val="008E3981"/>
    <w:rsid w:val="008F0D22"/>
    <w:rsid w:val="008F451D"/>
    <w:rsid w:val="008F51E9"/>
    <w:rsid w:val="008F7CC5"/>
    <w:rsid w:val="0090087F"/>
    <w:rsid w:val="00900C16"/>
    <w:rsid w:val="00903EB4"/>
    <w:rsid w:val="009108B2"/>
    <w:rsid w:val="00910C21"/>
    <w:rsid w:val="00911FDA"/>
    <w:rsid w:val="00914245"/>
    <w:rsid w:val="00916F05"/>
    <w:rsid w:val="00917E7B"/>
    <w:rsid w:val="0092117F"/>
    <w:rsid w:val="00922A37"/>
    <w:rsid w:val="00926C3F"/>
    <w:rsid w:val="00926EF0"/>
    <w:rsid w:val="00933825"/>
    <w:rsid w:val="00935270"/>
    <w:rsid w:val="0093656B"/>
    <w:rsid w:val="00940939"/>
    <w:rsid w:val="0094388C"/>
    <w:rsid w:val="00945634"/>
    <w:rsid w:val="00947C07"/>
    <w:rsid w:val="0095095C"/>
    <w:rsid w:val="00950EC5"/>
    <w:rsid w:val="0095404C"/>
    <w:rsid w:val="00955300"/>
    <w:rsid w:val="0095691E"/>
    <w:rsid w:val="0095718E"/>
    <w:rsid w:val="00960133"/>
    <w:rsid w:val="0096385D"/>
    <w:rsid w:val="00966564"/>
    <w:rsid w:val="009668B1"/>
    <w:rsid w:val="00967D68"/>
    <w:rsid w:val="00967D7C"/>
    <w:rsid w:val="00972E3C"/>
    <w:rsid w:val="00980CEB"/>
    <w:rsid w:val="00982796"/>
    <w:rsid w:val="009850AF"/>
    <w:rsid w:val="009909C4"/>
    <w:rsid w:val="00994F47"/>
    <w:rsid w:val="009966CE"/>
    <w:rsid w:val="009A02FA"/>
    <w:rsid w:val="009A1065"/>
    <w:rsid w:val="009A4CFF"/>
    <w:rsid w:val="009A6FF7"/>
    <w:rsid w:val="009B6A8D"/>
    <w:rsid w:val="009D0E82"/>
    <w:rsid w:val="009D21DF"/>
    <w:rsid w:val="009D33BF"/>
    <w:rsid w:val="009D3D42"/>
    <w:rsid w:val="009D54E5"/>
    <w:rsid w:val="009D5577"/>
    <w:rsid w:val="009D5E20"/>
    <w:rsid w:val="009D62E9"/>
    <w:rsid w:val="009E0CCD"/>
    <w:rsid w:val="009E1AA4"/>
    <w:rsid w:val="009E7352"/>
    <w:rsid w:val="009F1D74"/>
    <w:rsid w:val="009F2A1C"/>
    <w:rsid w:val="009F7800"/>
    <w:rsid w:val="009F7CC8"/>
    <w:rsid w:val="00A0102F"/>
    <w:rsid w:val="00A01F99"/>
    <w:rsid w:val="00A0242E"/>
    <w:rsid w:val="00A1113D"/>
    <w:rsid w:val="00A121CB"/>
    <w:rsid w:val="00A208DB"/>
    <w:rsid w:val="00A21AF0"/>
    <w:rsid w:val="00A22623"/>
    <w:rsid w:val="00A22CC7"/>
    <w:rsid w:val="00A25A70"/>
    <w:rsid w:val="00A2669A"/>
    <w:rsid w:val="00A27743"/>
    <w:rsid w:val="00A27E32"/>
    <w:rsid w:val="00A310B5"/>
    <w:rsid w:val="00A31220"/>
    <w:rsid w:val="00A32132"/>
    <w:rsid w:val="00A324B4"/>
    <w:rsid w:val="00A35A0E"/>
    <w:rsid w:val="00A41100"/>
    <w:rsid w:val="00A425D5"/>
    <w:rsid w:val="00A43911"/>
    <w:rsid w:val="00A47BA9"/>
    <w:rsid w:val="00A519C1"/>
    <w:rsid w:val="00A51C36"/>
    <w:rsid w:val="00A539FD"/>
    <w:rsid w:val="00A56EF5"/>
    <w:rsid w:val="00A60B3B"/>
    <w:rsid w:val="00A60CDB"/>
    <w:rsid w:val="00A648F7"/>
    <w:rsid w:val="00A72041"/>
    <w:rsid w:val="00A72D1D"/>
    <w:rsid w:val="00A77445"/>
    <w:rsid w:val="00A80ACD"/>
    <w:rsid w:val="00A84E70"/>
    <w:rsid w:val="00A86091"/>
    <w:rsid w:val="00A87E94"/>
    <w:rsid w:val="00A91018"/>
    <w:rsid w:val="00A91EB9"/>
    <w:rsid w:val="00A95B44"/>
    <w:rsid w:val="00AA153C"/>
    <w:rsid w:val="00AA4210"/>
    <w:rsid w:val="00AA4F25"/>
    <w:rsid w:val="00AA6824"/>
    <w:rsid w:val="00AA77C8"/>
    <w:rsid w:val="00AB3173"/>
    <w:rsid w:val="00AB34CC"/>
    <w:rsid w:val="00AB45B1"/>
    <w:rsid w:val="00AB50A6"/>
    <w:rsid w:val="00AB6239"/>
    <w:rsid w:val="00AB7AC5"/>
    <w:rsid w:val="00AB7AE5"/>
    <w:rsid w:val="00AC1917"/>
    <w:rsid w:val="00AC1A54"/>
    <w:rsid w:val="00AC1A83"/>
    <w:rsid w:val="00AC2573"/>
    <w:rsid w:val="00AD0EF9"/>
    <w:rsid w:val="00AD1BF8"/>
    <w:rsid w:val="00AD1F5A"/>
    <w:rsid w:val="00AE11AD"/>
    <w:rsid w:val="00AE139F"/>
    <w:rsid w:val="00AE1BF3"/>
    <w:rsid w:val="00AE211B"/>
    <w:rsid w:val="00AE4638"/>
    <w:rsid w:val="00AE5511"/>
    <w:rsid w:val="00AF3BE5"/>
    <w:rsid w:val="00AF6D03"/>
    <w:rsid w:val="00AF740B"/>
    <w:rsid w:val="00AF74AB"/>
    <w:rsid w:val="00B0163F"/>
    <w:rsid w:val="00B10622"/>
    <w:rsid w:val="00B107DA"/>
    <w:rsid w:val="00B14450"/>
    <w:rsid w:val="00B148A1"/>
    <w:rsid w:val="00B16BFC"/>
    <w:rsid w:val="00B242FB"/>
    <w:rsid w:val="00B32781"/>
    <w:rsid w:val="00B33F99"/>
    <w:rsid w:val="00B34C62"/>
    <w:rsid w:val="00B34E7F"/>
    <w:rsid w:val="00B354E7"/>
    <w:rsid w:val="00B35857"/>
    <w:rsid w:val="00B36204"/>
    <w:rsid w:val="00B37BAE"/>
    <w:rsid w:val="00B45B19"/>
    <w:rsid w:val="00B462E9"/>
    <w:rsid w:val="00B50BCD"/>
    <w:rsid w:val="00B51666"/>
    <w:rsid w:val="00B55B22"/>
    <w:rsid w:val="00B617AF"/>
    <w:rsid w:val="00B717A7"/>
    <w:rsid w:val="00B757CC"/>
    <w:rsid w:val="00B7717B"/>
    <w:rsid w:val="00B80181"/>
    <w:rsid w:val="00B80E75"/>
    <w:rsid w:val="00B837DF"/>
    <w:rsid w:val="00BB3F5A"/>
    <w:rsid w:val="00BB40F4"/>
    <w:rsid w:val="00BB494E"/>
    <w:rsid w:val="00BB7844"/>
    <w:rsid w:val="00BC1AEF"/>
    <w:rsid w:val="00BC4074"/>
    <w:rsid w:val="00BC5CBD"/>
    <w:rsid w:val="00BC7FEE"/>
    <w:rsid w:val="00BD0766"/>
    <w:rsid w:val="00BD1DDB"/>
    <w:rsid w:val="00BD2ACE"/>
    <w:rsid w:val="00BD2CD8"/>
    <w:rsid w:val="00BD309C"/>
    <w:rsid w:val="00BD4D7B"/>
    <w:rsid w:val="00BD5356"/>
    <w:rsid w:val="00BD58C9"/>
    <w:rsid w:val="00BD6B7A"/>
    <w:rsid w:val="00BE20EB"/>
    <w:rsid w:val="00BE250F"/>
    <w:rsid w:val="00BE7F17"/>
    <w:rsid w:val="00BF2C39"/>
    <w:rsid w:val="00BF56F1"/>
    <w:rsid w:val="00C057E9"/>
    <w:rsid w:val="00C06D61"/>
    <w:rsid w:val="00C122BC"/>
    <w:rsid w:val="00C16AB1"/>
    <w:rsid w:val="00C1766B"/>
    <w:rsid w:val="00C24ED9"/>
    <w:rsid w:val="00C27509"/>
    <w:rsid w:val="00C3535B"/>
    <w:rsid w:val="00C3792E"/>
    <w:rsid w:val="00C465E1"/>
    <w:rsid w:val="00C50530"/>
    <w:rsid w:val="00C60342"/>
    <w:rsid w:val="00C60DF9"/>
    <w:rsid w:val="00C61A01"/>
    <w:rsid w:val="00C647B1"/>
    <w:rsid w:val="00C653EF"/>
    <w:rsid w:val="00C744D1"/>
    <w:rsid w:val="00C752D3"/>
    <w:rsid w:val="00C76E72"/>
    <w:rsid w:val="00C81DEC"/>
    <w:rsid w:val="00C82662"/>
    <w:rsid w:val="00C8412F"/>
    <w:rsid w:val="00C8758B"/>
    <w:rsid w:val="00C92712"/>
    <w:rsid w:val="00C92975"/>
    <w:rsid w:val="00C936AC"/>
    <w:rsid w:val="00CA0E0D"/>
    <w:rsid w:val="00CB2838"/>
    <w:rsid w:val="00CB55B1"/>
    <w:rsid w:val="00CB5C7C"/>
    <w:rsid w:val="00CB778F"/>
    <w:rsid w:val="00CC3592"/>
    <w:rsid w:val="00CC3888"/>
    <w:rsid w:val="00CD2AE3"/>
    <w:rsid w:val="00CD3867"/>
    <w:rsid w:val="00CD474A"/>
    <w:rsid w:val="00CD49A8"/>
    <w:rsid w:val="00CD4A9A"/>
    <w:rsid w:val="00CD4E54"/>
    <w:rsid w:val="00CD64A7"/>
    <w:rsid w:val="00CD6811"/>
    <w:rsid w:val="00CE1680"/>
    <w:rsid w:val="00CE3A66"/>
    <w:rsid w:val="00CE400F"/>
    <w:rsid w:val="00CE6413"/>
    <w:rsid w:val="00CF550D"/>
    <w:rsid w:val="00CF5511"/>
    <w:rsid w:val="00D02CE5"/>
    <w:rsid w:val="00D035DC"/>
    <w:rsid w:val="00D05CC6"/>
    <w:rsid w:val="00D10A6A"/>
    <w:rsid w:val="00D116DD"/>
    <w:rsid w:val="00D1508C"/>
    <w:rsid w:val="00D16E65"/>
    <w:rsid w:val="00D201F1"/>
    <w:rsid w:val="00D25892"/>
    <w:rsid w:val="00D32872"/>
    <w:rsid w:val="00D3406D"/>
    <w:rsid w:val="00D354B2"/>
    <w:rsid w:val="00D3744C"/>
    <w:rsid w:val="00D37965"/>
    <w:rsid w:val="00D42173"/>
    <w:rsid w:val="00D4322A"/>
    <w:rsid w:val="00D44070"/>
    <w:rsid w:val="00D46102"/>
    <w:rsid w:val="00D46ACD"/>
    <w:rsid w:val="00D53261"/>
    <w:rsid w:val="00D535E5"/>
    <w:rsid w:val="00D53869"/>
    <w:rsid w:val="00D54060"/>
    <w:rsid w:val="00D57335"/>
    <w:rsid w:val="00D61409"/>
    <w:rsid w:val="00D6175D"/>
    <w:rsid w:val="00D62AC7"/>
    <w:rsid w:val="00D659A9"/>
    <w:rsid w:val="00D716BF"/>
    <w:rsid w:val="00D73F9E"/>
    <w:rsid w:val="00D74B7A"/>
    <w:rsid w:val="00D76CEB"/>
    <w:rsid w:val="00D77B02"/>
    <w:rsid w:val="00D853AA"/>
    <w:rsid w:val="00D91283"/>
    <w:rsid w:val="00D91EBB"/>
    <w:rsid w:val="00D92D71"/>
    <w:rsid w:val="00DA134E"/>
    <w:rsid w:val="00DA7047"/>
    <w:rsid w:val="00DA717F"/>
    <w:rsid w:val="00DB0885"/>
    <w:rsid w:val="00DB5B59"/>
    <w:rsid w:val="00DC10F5"/>
    <w:rsid w:val="00DC2C0A"/>
    <w:rsid w:val="00DC3A2A"/>
    <w:rsid w:val="00DC466D"/>
    <w:rsid w:val="00DC5522"/>
    <w:rsid w:val="00DC5A05"/>
    <w:rsid w:val="00DC5BE5"/>
    <w:rsid w:val="00DC7769"/>
    <w:rsid w:val="00DD0811"/>
    <w:rsid w:val="00DD0FA4"/>
    <w:rsid w:val="00DD3B9D"/>
    <w:rsid w:val="00DD62C3"/>
    <w:rsid w:val="00DD6F71"/>
    <w:rsid w:val="00DE1295"/>
    <w:rsid w:val="00DE1CD4"/>
    <w:rsid w:val="00DE1D81"/>
    <w:rsid w:val="00DE679C"/>
    <w:rsid w:val="00DE6E66"/>
    <w:rsid w:val="00DE6EAE"/>
    <w:rsid w:val="00DF24EF"/>
    <w:rsid w:val="00DF2C80"/>
    <w:rsid w:val="00DF3AED"/>
    <w:rsid w:val="00DF51D0"/>
    <w:rsid w:val="00E023F4"/>
    <w:rsid w:val="00E046C5"/>
    <w:rsid w:val="00E051AF"/>
    <w:rsid w:val="00E07178"/>
    <w:rsid w:val="00E11063"/>
    <w:rsid w:val="00E125A9"/>
    <w:rsid w:val="00E12991"/>
    <w:rsid w:val="00E14AED"/>
    <w:rsid w:val="00E17A90"/>
    <w:rsid w:val="00E22A5C"/>
    <w:rsid w:val="00E23379"/>
    <w:rsid w:val="00E26810"/>
    <w:rsid w:val="00E271FD"/>
    <w:rsid w:val="00E30483"/>
    <w:rsid w:val="00E304CE"/>
    <w:rsid w:val="00E30809"/>
    <w:rsid w:val="00E31EFA"/>
    <w:rsid w:val="00E32540"/>
    <w:rsid w:val="00E328E1"/>
    <w:rsid w:val="00E3514B"/>
    <w:rsid w:val="00E355EF"/>
    <w:rsid w:val="00E3708A"/>
    <w:rsid w:val="00E51509"/>
    <w:rsid w:val="00E5534D"/>
    <w:rsid w:val="00E5753A"/>
    <w:rsid w:val="00E62839"/>
    <w:rsid w:val="00E670E8"/>
    <w:rsid w:val="00E70DDB"/>
    <w:rsid w:val="00E71C2A"/>
    <w:rsid w:val="00E73107"/>
    <w:rsid w:val="00E76D38"/>
    <w:rsid w:val="00E76E0B"/>
    <w:rsid w:val="00E8278A"/>
    <w:rsid w:val="00E848AC"/>
    <w:rsid w:val="00E84C91"/>
    <w:rsid w:val="00E9458B"/>
    <w:rsid w:val="00EA00F8"/>
    <w:rsid w:val="00EA183D"/>
    <w:rsid w:val="00EA2C3F"/>
    <w:rsid w:val="00EA65EF"/>
    <w:rsid w:val="00EB0537"/>
    <w:rsid w:val="00EB6074"/>
    <w:rsid w:val="00EC0AC9"/>
    <w:rsid w:val="00EC6431"/>
    <w:rsid w:val="00EC719A"/>
    <w:rsid w:val="00EC783A"/>
    <w:rsid w:val="00ED2891"/>
    <w:rsid w:val="00ED50F7"/>
    <w:rsid w:val="00EE0470"/>
    <w:rsid w:val="00EE0FCE"/>
    <w:rsid w:val="00EE182A"/>
    <w:rsid w:val="00EE3CFC"/>
    <w:rsid w:val="00EE5BBA"/>
    <w:rsid w:val="00EE6003"/>
    <w:rsid w:val="00EE6DFB"/>
    <w:rsid w:val="00EF0459"/>
    <w:rsid w:val="00EF26FA"/>
    <w:rsid w:val="00EF4CCD"/>
    <w:rsid w:val="00F0185B"/>
    <w:rsid w:val="00F038A3"/>
    <w:rsid w:val="00F07851"/>
    <w:rsid w:val="00F108FC"/>
    <w:rsid w:val="00F14C25"/>
    <w:rsid w:val="00F157CC"/>
    <w:rsid w:val="00F15DD0"/>
    <w:rsid w:val="00F16C88"/>
    <w:rsid w:val="00F20E1C"/>
    <w:rsid w:val="00F22207"/>
    <w:rsid w:val="00F22DF5"/>
    <w:rsid w:val="00F24666"/>
    <w:rsid w:val="00F24B67"/>
    <w:rsid w:val="00F25C29"/>
    <w:rsid w:val="00F2754D"/>
    <w:rsid w:val="00F308FF"/>
    <w:rsid w:val="00F35B0E"/>
    <w:rsid w:val="00F43A38"/>
    <w:rsid w:val="00F44F2F"/>
    <w:rsid w:val="00F4528E"/>
    <w:rsid w:val="00F47407"/>
    <w:rsid w:val="00F53FFF"/>
    <w:rsid w:val="00F55ED8"/>
    <w:rsid w:val="00F576EE"/>
    <w:rsid w:val="00F635AF"/>
    <w:rsid w:val="00F64550"/>
    <w:rsid w:val="00F7101C"/>
    <w:rsid w:val="00F721F5"/>
    <w:rsid w:val="00F74D40"/>
    <w:rsid w:val="00F77E89"/>
    <w:rsid w:val="00F80071"/>
    <w:rsid w:val="00F84B5E"/>
    <w:rsid w:val="00F84D7F"/>
    <w:rsid w:val="00F85F88"/>
    <w:rsid w:val="00F87AB1"/>
    <w:rsid w:val="00FA1A22"/>
    <w:rsid w:val="00FA25F0"/>
    <w:rsid w:val="00FB0441"/>
    <w:rsid w:val="00FB05B9"/>
    <w:rsid w:val="00FB3D07"/>
    <w:rsid w:val="00FB42FB"/>
    <w:rsid w:val="00FB48CF"/>
    <w:rsid w:val="00FB6333"/>
    <w:rsid w:val="00FC0DF5"/>
    <w:rsid w:val="00FC76EA"/>
    <w:rsid w:val="00FD1041"/>
    <w:rsid w:val="00FD26E7"/>
    <w:rsid w:val="00FD4E85"/>
    <w:rsid w:val="00FD5515"/>
    <w:rsid w:val="00FD5751"/>
    <w:rsid w:val="00FD5D62"/>
    <w:rsid w:val="00FE1019"/>
    <w:rsid w:val="00FE2E79"/>
    <w:rsid w:val="00FE45D1"/>
    <w:rsid w:val="00FE52F1"/>
    <w:rsid w:val="00FE625B"/>
    <w:rsid w:val="00FE7297"/>
    <w:rsid w:val="00FF2D06"/>
    <w:rsid w:val="00FF4B77"/>
    <w:rsid w:val="0118BC7F"/>
    <w:rsid w:val="02880560"/>
    <w:rsid w:val="02F57EA1"/>
    <w:rsid w:val="031ADEB3"/>
    <w:rsid w:val="03340710"/>
    <w:rsid w:val="04CB38FF"/>
    <w:rsid w:val="04FA7D8E"/>
    <w:rsid w:val="058410AD"/>
    <w:rsid w:val="065F6163"/>
    <w:rsid w:val="074648E3"/>
    <w:rsid w:val="07F17528"/>
    <w:rsid w:val="088135B5"/>
    <w:rsid w:val="08AB2CB8"/>
    <w:rsid w:val="08E21944"/>
    <w:rsid w:val="0A2B25DB"/>
    <w:rsid w:val="0AD6E88A"/>
    <w:rsid w:val="0B789689"/>
    <w:rsid w:val="0B7A9E2D"/>
    <w:rsid w:val="0C0AC3D8"/>
    <w:rsid w:val="0D45EA74"/>
    <w:rsid w:val="0D5DA84D"/>
    <w:rsid w:val="0DC1826F"/>
    <w:rsid w:val="0E2CF25B"/>
    <w:rsid w:val="0EB81F29"/>
    <w:rsid w:val="107D8B36"/>
    <w:rsid w:val="10E680B6"/>
    <w:rsid w:val="10E9306C"/>
    <w:rsid w:val="116EB4EF"/>
    <w:rsid w:val="11E84A72"/>
    <w:rsid w:val="123483A6"/>
    <w:rsid w:val="13E1F717"/>
    <w:rsid w:val="1517E558"/>
    <w:rsid w:val="155F7790"/>
    <w:rsid w:val="159C177A"/>
    <w:rsid w:val="1761E903"/>
    <w:rsid w:val="177A5DB5"/>
    <w:rsid w:val="17A60F53"/>
    <w:rsid w:val="17C1DA91"/>
    <w:rsid w:val="18194314"/>
    <w:rsid w:val="188870E1"/>
    <w:rsid w:val="18C1BF6A"/>
    <w:rsid w:val="18CC651A"/>
    <w:rsid w:val="1928B757"/>
    <w:rsid w:val="19E668AD"/>
    <w:rsid w:val="1A3B0FDC"/>
    <w:rsid w:val="1BCBE599"/>
    <w:rsid w:val="1BE08BBB"/>
    <w:rsid w:val="1BF9602C"/>
    <w:rsid w:val="1CC4CBB3"/>
    <w:rsid w:val="1CE41091"/>
    <w:rsid w:val="1CE66023"/>
    <w:rsid w:val="1F47635B"/>
    <w:rsid w:val="1FE7547A"/>
    <w:rsid w:val="200D3957"/>
    <w:rsid w:val="22038572"/>
    <w:rsid w:val="22CAA08E"/>
    <w:rsid w:val="2392DBCC"/>
    <w:rsid w:val="239B4A05"/>
    <w:rsid w:val="23AAF68F"/>
    <w:rsid w:val="24047211"/>
    <w:rsid w:val="24DFA41F"/>
    <w:rsid w:val="252122CF"/>
    <w:rsid w:val="25DAD455"/>
    <w:rsid w:val="25E8CCF2"/>
    <w:rsid w:val="260CB040"/>
    <w:rsid w:val="26141B98"/>
    <w:rsid w:val="26C778AA"/>
    <w:rsid w:val="29D5ADB8"/>
    <w:rsid w:val="2A108C45"/>
    <w:rsid w:val="2B1D01A7"/>
    <w:rsid w:val="2D01F97D"/>
    <w:rsid w:val="2D66B9D0"/>
    <w:rsid w:val="2D8EE8DF"/>
    <w:rsid w:val="2E07897B"/>
    <w:rsid w:val="2E5B8A24"/>
    <w:rsid w:val="2F8D1400"/>
    <w:rsid w:val="3025F992"/>
    <w:rsid w:val="30D60949"/>
    <w:rsid w:val="30E13824"/>
    <w:rsid w:val="3192E897"/>
    <w:rsid w:val="328C8B6F"/>
    <w:rsid w:val="33C057FD"/>
    <w:rsid w:val="33F57F43"/>
    <w:rsid w:val="34D2B082"/>
    <w:rsid w:val="356EFFCF"/>
    <w:rsid w:val="375FDC09"/>
    <w:rsid w:val="3961EA7D"/>
    <w:rsid w:val="39E81C6A"/>
    <w:rsid w:val="3A9D0D2A"/>
    <w:rsid w:val="3A9D35C5"/>
    <w:rsid w:val="3BCD2283"/>
    <w:rsid w:val="3D93ED8A"/>
    <w:rsid w:val="3DDA6E04"/>
    <w:rsid w:val="3E2A7C72"/>
    <w:rsid w:val="3E604742"/>
    <w:rsid w:val="3FAD2476"/>
    <w:rsid w:val="402AB271"/>
    <w:rsid w:val="409EDB05"/>
    <w:rsid w:val="43D67BC7"/>
    <w:rsid w:val="447C67B4"/>
    <w:rsid w:val="45724C28"/>
    <w:rsid w:val="4585CD4E"/>
    <w:rsid w:val="463386F7"/>
    <w:rsid w:val="464DFBC2"/>
    <w:rsid w:val="46E19509"/>
    <w:rsid w:val="4705E750"/>
    <w:rsid w:val="47D5DFE2"/>
    <w:rsid w:val="480AEE75"/>
    <w:rsid w:val="4936B7F0"/>
    <w:rsid w:val="4A0B9161"/>
    <w:rsid w:val="4A3215F5"/>
    <w:rsid w:val="4A4DAAD1"/>
    <w:rsid w:val="4B6B0307"/>
    <w:rsid w:val="4BA11FC3"/>
    <w:rsid w:val="4BCD604B"/>
    <w:rsid w:val="4E664C72"/>
    <w:rsid w:val="4FD09916"/>
    <w:rsid w:val="50F2ABE3"/>
    <w:rsid w:val="5110074D"/>
    <w:rsid w:val="51481C4E"/>
    <w:rsid w:val="52057105"/>
    <w:rsid w:val="52C471D9"/>
    <w:rsid w:val="5439CC4D"/>
    <w:rsid w:val="54BE7F4D"/>
    <w:rsid w:val="54ED12DB"/>
    <w:rsid w:val="561B8D71"/>
    <w:rsid w:val="56316C32"/>
    <w:rsid w:val="57DBAAFB"/>
    <w:rsid w:val="58A81842"/>
    <w:rsid w:val="593081EB"/>
    <w:rsid w:val="5940482B"/>
    <w:rsid w:val="5A277650"/>
    <w:rsid w:val="5A3342F7"/>
    <w:rsid w:val="5A5DED79"/>
    <w:rsid w:val="5AFAED1A"/>
    <w:rsid w:val="5B0DE86D"/>
    <w:rsid w:val="5B41FDA7"/>
    <w:rsid w:val="5B6597E3"/>
    <w:rsid w:val="5C5BA664"/>
    <w:rsid w:val="5D8525D1"/>
    <w:rsid w:val="5E537E2C"/>
    <w:rsid w:val="5E7341A2"/>
    <w:rsid w:val="6023E053"/>
    <w:rsid w:val="602CC50D"/>
    <w:rsid w:val="608D6042"/>
    <w:rsid w:val="60E99C5F"/>
    <w:rsid w:val="610D02BA"/>
    <w:rsid w:val="61600D52"/>
    <w:rsid w:val="6237CD73"/>
    <w:rsid w:val="62AB608C"/>
    <w:rsid w:val="62E27BB3"/>
    <w:rsid w:val="63405C7F"/>
    <w:rsid w:val="6442902D"/>
    <w:rsid w:val="64E54B77"/>
    <w:rsid w:val="656B27AD"/>
    <w:rsid w:val="664650A9"/>
    <w:rsid w:val="665B2963"/>
    <w:rsid w:val="66FE1A27"/>
    <w:rsid w:val="68170B17"/>
    <w:rsid w:val="683AB11D"/>
    <w:rsid w:val="685967A2"/>
    <w:rsid w:val="687CBB66"/>
    <w:rsid w:val="6888A15C"/>
    <w:rsid w:val="68B87BDC"/>
    <w:rsid w:val="69050C8E"/>
    <w:rsid w:val="696B1F37"/>
    <w:rsid w:val="6A188BC7"/>
    <w:rsid w:val="6A72D257"/>
    <w:rsid w:val="6B548CFB"/>
    <w:rsid w:val="6C33CE10"/>
    <w:rsid w:val="6C4595FA"/>
    <w:rsid w:val="6C57AC2D"/>
    <w:rsid w:val="6CF05D5C"/>
    <w:rsid w:val="6E0AF1EA"/>
    <w:rsid w:val="6E97D5B8"/>
    <w:rsid w:val="6FA7E6B1"/>
    <w:rsid w:val="7027FE1E"/>
    <w:rsid w:val="70AC2066"/>
    <w:rsid w:val="70CB16B0"/>
    <w:rsid w:val="7182195F"/>
    <w:rsid w:val="71F59665"/>
    <w:rsid w:val="721DD9E3"/>
    <w:rsid w:val="72FB3B77"/>
    <w:rsid w:val="74FB6F41"/>
    <w:rsid w:val="7512B906"/>
    <w:rsid w:val="755117AA"/>
    <w:rsid w:val="7590947C"/>
    <w:rsid w:val="78838731"/>
    <w:rsid w:val="798D24C9"/>
    <w:rsid w:val="79F03861"/>
    <w:rsid w:val="7B2500E8"/>
    <w:rsid w:val="7BE7B8DB"/>
    <w:rsid w:val="7CFEE2D5"/>
    <w:rsid w:val="7E616681"/>
    <w:rsid w:val="7ED20E7F"/>
    <w:rsid w:val="7EDED193"/>
    <w:rsid w:val="7F7CEC1D"/>
    <w:rsid w:val="7FFC6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40B4"/>
  <w15:docId w15:val="{716D7799-B717-48D6-B697-9C4EB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A8"/>
    <w:pPr>
      <w:spacing w:after="0" w:line="240" w:lineRule="auto"/>
    </w:pPr>
    <w:rPr>
      <w:rFonts w:ascii="Arial" w:eastAsia="Times New Roman" w:hAnsi="Arial" w:cs="Times New Roman"/>
      <w:sz w:val="28"/>
      <w:szCs w:val="24"/>
      <w:lang w:val="es-ES" w:eastAsia="es-ES"/>
    </w:rPr>
  </w:style>
  <w:style w:type="paragraph" w:styleId="Ttulo1">
    <w:name w:val="heading 1"/>
    <w:basedOn w:val="Normal"/>
    <w:next w:val="Normal"/>
    <w:link w:val="Ttulo1Car"/>
    <w:uiPriority w:val="9"/>
    <w:qFormat/>
    <w:rsid w:val="006E25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535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D49A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49A8"/>
    <w:rPr>
      <w:rFonts w:ascii="Cambria" w:eastAsia="Times New Roman" w:hAnsi="Cambria" w:cs="Times New Roman"/>
      <w:b/>
      <w:bCs/>
      <w:sz w:val="26"/>
      <w:szCs w:val="26"/>
      <w:lang w:val="es-ES" w:eastAsia="es-ES"/>
    </w:rPr>
  </w:style>
  <w:style w:type="character" w:customStyle="1" w:styleId="TextonotapieCar">
    <w:name w:val="Texto nota pie Car"/>
    <w:aliases w:val="Texto nota pie Car Car Car,Texto nota pie Car Car Car Car Car Car,Footnote Text Char Char Char Char Char Car,Footnote Text Char Char Char Char Car,Footnote reference Car,FA Fu Car,texto de nota al pie Car Car Car Car, Car Car,Car Car"/>
    <w:basedOn w:val="Fuentedeprrafopredeter"/>
    <w:link w:val="Textonotapie"/>
    <w:uiPriority w:val="99"/>
    <w:locked/>
    <w:rsid w:val="00CD49A8"/>
    <w:rPr>
      <w:rFonts w:ascii="Arial" w:eastAsia="Times New Roman" w:hAnsi="Arial" w:cs="Arial"/>
      <w:lang w:val="es-ES" w:eastAsia="es-ES"/>
    </w:rPr>
  </w:style>
  <w:style w:type="paragraph" w:styleId="Textonotapie">
    <w:name w:val="footnote text"/>
    <w:aliases w:val="Texto nota pie Car Car,Texto nota pie Car Car Car Car Car,Footnote Text Char Char Char Char Char,Footnote Text Char Char Char Char,Footnote reference,FA Fu,texto de nota al pie Car Car Car,texto de nota al pie Car, Car,Car,ft,Ca"/>
    <w:basedOn w:val="Normal"/>
    <w:link w:val="TextonotapieCar"/>
    <w:uiPriority w:val="99"/>
    <w:unhideWhenUsed/>
    <w:rsid w:val="00CD49A8"/>
    <w:rPr>
      <w:rFonts w:cs="Arial"/>
      <w:sz w:val="22"/>
      <w:szCs w:val="22"/>
    </w:rPr>
  </w:style>
  <w:style w:type="character" w:customStyle="1" w:styleId="TextonotapieCar1">
    <w:name w:val="Texto nota pie Car1"/>
    <w:basedOn w:val="Fuentedeprrafopredeter"/>
    <w:uiPriority w:val="99"/>
    <w:semiHidden/>
    <w:rsid w:val="00CD49A8"/>
    <w:rPr>
      <w:rFonts w:ascii="Arial" w:eastAsia="Times New Roman" w:hAnsi="Arial" w:cs="Times New Roman"/>
      <w:sz w:val="20"/>
      <w:szCs w:val="20"/>
      <w:lang w:val="es-ES" w:eastAsia="es-ES"/>
    </w:rPr>
  </w:style>
  <w:style w:type="character" w:styleId="Refdenotaalpie">
    <w:name w:val="footnote reference"/>
    <w:aliases w:val="texto de nota al pie Car Car Car2,Texto de nota al pie,referencia nota al pie,Ref. de nota al pie 2,Footnotes refss,FC,Ref,de nota al pie,Appel note de bas de p,Appel note de bas de page,Footnote number,BVI fnr,f,4_G,16 Point"/>
    <w:uiPriority w:val="99"/>
    <w:unhideWhenUsed/>
    <w:rsid w:val="00CD49A8"/>
    <w:rPr>
      <w:vertAlign w:val="superscript"/>
    </w:rPr>
  </w:style>
  <w:style w:type="paragraph" w:styleId="NormalWeb">
    <w:name w:val="Normal (Web)"/>
    <w:basedOn w:val="Normal"/>
    <w:uiPriority w:val="99"/>
    <w:rsid w:val="00CD49A8"/>
    <w:pPr>
      <w:widowControl w:val="0"/>
      <w:autoSpaceDE w:val="0"/>
      <w:autoSpaceDN w:val="0"/>
      <w:adjustRightInd w:val="0"/>
      <w:spacing w:before="100" w:after="100"/>
    </w:pPr>
    <w:rPr>
      <w:rFonts w:ascii="Times New Roman" w:eastAsia="SimSun" w:hAnsi="Times New Roman"/>
      <w:color w:val="0000FF"/>
      <w:sz w:val="24"/>
      <w:lang w:val="es-ES_tradnl" w:eastAsia="zh-CN"/>
    </w:rPr>
  </w:style>
  <w:style w:type="paragraph" w:styleId="Piedepgina">
    <w:name w:val="footer"/>
    <w:basedOn w:val="Normal"/>
    <w:link w:val="PiedepginaCar"/>
    <w:uiPriority w:val="99"/>
    <w:unhideWhenUsed/>
    <w:rsid w:val="00CD49A8"/>
    <w:pPr>
      <w:tabs>
        <w:tab w:val="center" w:pos="4419"/>
        <w:tab w:val="right" w:pos="8838"/>
      </w:tabs>
    </w:pPr>
  </w:style>
  <w:style w:type="character" w:customStyle="1" w:styleId="PiedepginaCar">
    <w:name w:val="Pie de página Car"/>
    <w:basedOn w:val="Fuentedeprrafopredeter"/>
    <w:link w:val="Piedepgina"/>
    <w:uiPriority w:val="99"/>
    <w:rsid w:val="00CD49A8"/>
    <w:rPr>
      <w:rFonts w:ascii="Arial" w:eastAsia="Times New Roman" w:hAnsi="Arial" w:cs="Times New Roman"/>
      <w:sz w:val="28"/>
      <w:szCs w:val="24"/>
      <w:lang w:val="es-ES" w:eastAsia="es-ES"/>
    </w:rPr>
  </w:style>
  <w:style w:type="paragraph" w:styleId="Prrafodelista">
    <w:name w:val="List Paragraph"/>
    <w:basedOn w:val="Normal"/>
    <w:uiPriority w:val="34"/>
    <w:qFormat/>
    <w:rsid w:val="00CD49A8"/>
    <w:pPr>
      <w:ind w:left="720"/>
      <w:contextualSpacing/>
    </w:pPr>
  </w:style>
  <w:style w:type="paragraph" w:customStyle="1" w:styleId="Profesin">
    <w:name w:val="ProfesiÛn"/>
    <w:basedOn w:val="Normal"/>
    <w:rsid w:val="00CD49A8"/>
    <w:pPr>
      <w:tabs>
        <w:tab w:val="left" w:pos="1134"/>
      </w:tabs>
      <w:spacing w:line="360" w:lineRule="atLeast"/>
      <w:jc w:val="center"/>
    </w:pPr>
    <w:rPr>
      <w:b/>
      <w:sz w:val="32"/>
      <w:szCs w:val="20"/>
      <w:lang w:val="es-CO"/>
    </w:rPr>
  </w:style>
  <w:style w:type="character" w:customStyle="1" w:styleId="Ttulo2Car">
    <w:name w:val="Título 2 Car"/>
    <w:basedOn w:val="Fuentedeprrafopredeter"/>
    <w:link w:val="Ttulo2"/>
    <w:uiPriority w:val="9"/>
    <w:rsid w:val="00D535E5"/>
    <w:rPr>
      <w:rFonts w:asciiTheme="majorHAnsi" w:eastAsiaTheme="majorEastAsia" w:hAnsiTheme="majorHAnsi" w:cstheme="majorBidi"/>
      <w:color w:val="365F91" w:themeColor="accent1" w:themeShade="BF"/>
      <w:sz w:val="26"/>
      <w:szCs w:val="26"/>
      <w:lang w:val="es-ES" w:eastAsia="es-ES"/>
    </w:rPr>
  </w:style>
  <w:style w:type="character" w:customStyle="1" w:styleId="Ttulo1Car">
    <w:name w:val="Título 1 Car"/>
    <w:basedOn w:val="Fuentedeprrafopredeter"/>
    <w:link w:val="Ttulo1"/>
    <w:uiPriority w:val="9"/>
    <w:rsid w:val="006E2543"/>
    <w:rPr>
      <w:rFonts w:asciiTheme="majorHAnsi" w:eastAsiaTheme="majorEastAsia" w:hAnsiTheme="majorHAnsi" w:cstheme="majorBidi"/>
      <w:color w:val="365F91" w:themeColor="accent1" w:themeShade="BF"/>
      <w:sz w:val="32"/>
      <w:szCs w:val="32"/>
      <w:lang w:val="es-ES" w:eastAsia="es-ES"/>
    </w:rPr>
  </w:style>
  <w:style w:type="character" w:customStyle="1" w:styleId="apple-converted-space">
    <w:name w:val="apple-converted-space"/>
    <w:basedOn w:val="Fuentedeprrafopredeter"/>
    <w:rsid w:val="006E2543"/>
  </w:style>
  <w:style w:type="paragraph" w:styleId="Textodeglobo">
    <w:name w:val="Balloon Text"/>
    <w:basedOn w:val="Normal"/>
    <w:link w:val="TextodegloboCar"/>
    <w:uiPriority w:val="99"/>
    <w:semiHidden/>
    <w:unhideWhenUsed/>
    <w:rsid w:val="009638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85D"/>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A56EF5"/>
    <w:pPr>
      <w:tabs>
        <w:tab w:val="center" w:pos="4252"/>
        <w:tab w:val="right" w:pos="8504"/>
      </w:tabs>
    </w:pPr>
  </w:style>
  <w:style w:type="character" w:customStyle="1" w:styleId="EncabezadoCar">
    <w:name w:val="Encabezado Car"/>
    <w:basedOn w:val="Fuentedeprrafopredeter"/>
    <w:link w:val="Encabezado"/>
    <w:uiPriority w:val="99"/>
    <w:rsid w:val="00A56EF5"/>
    <w:rPr>
      <w:rFonts w:ascii="Arial" w:eastAsia="Times New Roman" w:hAnsi="Arial" w:cs="Times New Roman"/>
      <w:sz w:val="28"/>
      <w:szCs w:val="24"/>
      <w:lang w:val="es-ES" w:eastAsia="es-ES"/>
    </w:rPr>
  </w:style>
  <w:style w:type="paragraph" w:styleId="Textoindependiente">
    <w:name w:val="Body Text"/>
    <w:basedOn w:val="Normal"/>
    <w:link w:val="TextoindependienteCar"/>
    <w:uiPriority w:val="99"/>
    <w:rsid w:val="00C50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hAnsi="Verdana" w:cs="Verdana"/>
      <w:spacing w:val="-3"/>
      <w:sz w:val="24"/>
      <w:lang w:val="es-ES_tradnl"/>
    </w:rPr>
  </w:style>
  <w:style w:type="character" w:customStyle="1" w:styleId="TextoindependienteCar">
    <w:name w:val="Texto independiente Car"/>
    <w:basedOn w:val="Fuentedeprrafopredeter"/>
    <w:link w:val="Textoindependiente"/>
    <w:uiPriority w:val="99"/>
    <w:rsid w:val="00C50530"/>
    <w:rPr>
      <w:rFonts w:ascii="Verdana" w:eastAsia="Times New Roman" w:hAnsi="Verdana" w:cs="Verdana"/>
      <w:spacing w:val="-3"/>
      <w:sz w:val="24"/>
      <w:szCs w:val="24"/>
      <w:lang w:val="es-ES_tradnl" w:eastAsia="es-ES"/>
    </w:rPr>
  </w:style>
  <w:style w:type="paragraph" w:customStyle="1" w:styleId="Textopredeterminado">
    <w:name w:val="Texto predeterminado"/>
    <w:basedOn w:val="Normal"/>
    <w:rsid w:val="00D46102"/>
    <w:pPr>
      <w:overflowPunct w:val="0"/>
      <w:autoSpaceDE w:val="0"/>
      <w:autoSpaceDN w:val="0"/>
      <w:adjustRightInd w:val="0"/>
    </w:pPr>
    <w:rPr>
      <w:rFonts w:ascii="Calibri" w:hAnsi="Calibri" w:cs="Calibri"/>
      <w:color w:val="000000"/>
      <w:sz w:val="24"/>
    </w:rPr>
  </w:style>
  <w:style w:type="paragraph" w:styleId="Ttulo">
    <w:name w:val="Title"/>
    <w:basedOn w:val="Normal"/>
    <w:link w:val="TtuloCar"/>
    <w:qFormat/>
    <w:rsid w:val="00C24ED9"/>
    <w:pPr>
      <w:spacing w:line="360" w:lineRule="auto"/>
      <w:jc w:val="center"/>
    </w:pPr>
    <w:rPr>
      <w:rFonts w:ascii="Verdana" w:hAnsi="Verdana"/>
      <w:szCs w:val="28"/>
      <w:lang w:val="es-ES_tradnl" w:eastAsia="es-MX"/>
    </w:rPr>
  </w:style>
  <w:style w:type="character" w:customStyle="1" w:styleId="TtuloCar">
    <w:name w:val="Título Car"/>
    <w:basedOn w:val="Fuentedeprrafopredeter"/>
    <w:link w:val="Ttulo"/>
    <w:rsid w:val="00C24ED9"/>
    <w:rPr>
      <w:rFonts w:ascii="Verdana" w:eastAsia="Times New Roman" w:hAnsi="Verdana" w:cs="Times New Roman"/>
      <w:sz w:val="28"/>
      <w:szCs w:val="28"/>
      <w:lang w:val="es-ES_tradnl" w:eastAsia="es-MX"/>
    </w:rPr>
  </w:style>
  <w:style w:type="paragraph" w:styleId="Sinespaciado">
    <w:name w:val="No Spacing"/>
    <w:link w:val="SinespaciadoCar"/>
    <w:uiPriority w:val="1"/>
    <w:qFormat/>
    <w:rsid w:val="006D521F"/>
    <w:pPr>
      <w:spacing w:after="0" w:line="240" w:lineRule="auto"/>
    </w:pPr>
    <w:rPr>
      <w:rFonts w:ascii="Arial" w:eastAsia="Times New Roman" w:hAnsi="Arial" w:cs="Times New Roman"/>
      <w:sz w:val="28"/>
      <w:szCs w:val="24"/>
      <w:lang w:val="es-ES" w:eastAsia="es-ES"/>
    </w:rPr>
  </w:style>
  <w:style w:type="character" w:customStyle="1" w:styleId="SinespaciadoCar">
    <w:name w:val="Sin espaciado Car"/>
    <w:link w:val="Sinespaciado"/>
    <w:uiPriority w:val="1"/>
    <w:locked/>
    <w:rsid w:val="00E046C5"/>
    <w:rPr>
      <w:rFonts w:ascii="Arial" w:eastAsia="Times New Roman" w:hAnsi="Arial" w:cs="Times New Roman"/>
      <w:sz w:val="28"/>
      <w:szCs w:val="24"/>
      <w:lang w:val="es-ES" w:eastAsia="es-ES"/>
    </w:rPr>
  </w:style>
  <w:style w:type="paragraph" w:customStyle="1" w:styleId="centrado">
    <w:name w:val="centrado"/>
    <w:basedOn w:val="Normal"/>
    <w:rsid w:val="005700A9"/>
    <w:pPr>
      <w:spacing w:before="100" w:beforeAutospacing="1" w:after="100" w:afterAutospacing="1"/>
    </w:pPr>
    <w:rPr>
      <w:rFonts w:ascii="Times New Roman" w:hAnsi="Times New Roman"/>
      <w:sz w:val="24"/>
    </w:rPr>
  </w:style>
  <w:style w:type="character" w:customStyle="1" w:styleId="baj">
    <w:name w:val="b_aj"/>
    <w:basedOn w:val="Fuentedeprrafopredeter"/>
    <w:rsid w:val="005700A9"/>
  </w:style>
  <w:style w:type="table" w:styleId="Tablaconcuadrcula">
    <w:name w:val="Table Grid"/>
    <w:basedOn w:val="Tablanormal"/>
    <w:uiPriority w:val="59"/>
    <w:rsid w:val="003C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766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Textoennegrita">
    <w:name w:val="Strong"/>
    <w:basedOn w:val="Fuentedeprrafopredeter"/>
    <w:qFormat/>
    <w:rsid w:val="00C1766B"/>
    <w:rPr>
      <w:b/>
      <w:bCs/>
    </w:rPr>
  </w:style>
  <w:style w:type="character" w:customStyle="1" w:styleId="iaj">
    <w:name w:val="i_aj"/>
    <w:basedOn w:val="Fuentedeprrafopredeter"/>
    <w:rsid w:val="005C300E"/>
  </w:style>
  <w:style w:type="character" w:styleId="Hipervnculo">
    <w:name w:val="Hyperlink"/>
    <w:basedOn w:val="Fuentedeprrafopredeter"/>
    <w:uiPriority w:val="99"/>
    <w:semiHidden/>
    <w:unhideWhenUsed/>
    <w:rsid w:val="005C300E"/>
    <w:rPr>
      <w:color w:val="0000FF"/>
      <w:u w:val="single"/>
    </w:rPr>
  </w:style>
  <w:style w:type="character" w:customStyle="1" w:styleId="FontStyle16">
    <w:name w:val="Font Style16"/>
    <w:rsid w:val="0092117F"/>
    <w:rPr>
      <w:rFonts w:ascii="Arial" w:hAnsi="Arial" w:cs="Arial"/>
      <w:color w:val="000000"/>
      <w:spacing w:val="20"/>
      <w:sz w:val="18"/>
      <w:szCs w:val="18"/>
    </w:rPr>
  </w:style>
  <w:style w:type="paragraph" w:customStyle="1" w:styleId="paragraph">
    <w:name w:val="paragraph"/>
    <w:basedOn w:val="Normal"/>
    <w:rsid w:val="00726CEC"/>
    <w:pPr>
      <w:spacing w:before="100" w:beforeAutospacing="1" w:after="100" w:afterAutospacing="1"/>
    </w:pPr>
    <w:rPr>
      <w:rFonts w:ascii="Times New Roman" w:hAnsi="Times New Roman"/>
      <w:sz w:val="24"/>
      <w:lang w:val="es-CO" w:eastAsia="es-CO"/>
    </w:rPr>
  </w:style>
  <w:style w:type="character" w:customStyle="1" w:styleId="normaltextrun">
    <w:name w:val="normaltextrun"/>
    <w:basedOn w:val="Fuentedeprrafopredeter"/>
    <w:rsid w:val="00726CEC"/>
  </w:style>
  <w:style w:type="character" w:customStyle="1" w:styleId="eop">
    <w:name w:val="eop"/>
    <w:basedOn w:val="Fuentedeprrafopredeter"/>
    <w:rsid w:val="00726CEC"/>
  </w:style>
  <w:style w:type="paragraph" w:styleId="Textosinformato">
    <w:name w:val="Plain Text"/>
    <w:basedOn w:val="Normal"/>
    <w:link w:val="TextosinformatoCar"/>
    <w:semiHidden/>
    <w:rsid w:val="002C2D2D"/>
    <w:rPr>
      <w:rFonts w:ascii="Courier New" w:eastAsia="MS Mincho" w:hAnsi="Courier New"/>
      <w:sz w:val="20"/>
      <w:szCs w:val="20"/>
      <w:lang w:eastAsia="ja-JP"/>
    </w:rPr>
  </w:style>
  <w:style w:type="character" w:customStyle="1" w:styleId="TextosinformatoCar">
    <w:name w:val="Texto sin formato Car"/>
    <w:basedOn w:val="Fuentedeprrafopredeter"/>
    <w:link w:val="Textosinformato"/>
    <w:semiHidden/>
    <w:rsid w:val="002C2D2D"/>
    <w:rPr>
      <w:rFonts w:ascii="Courier New" w:eastAsia="MS Mincho" w:hAnsi="Courier New" w:cs="Times New Roman"/>
      <w:sz w:val="20"/>
      <w:szCs w:val="20"/>
      <w:lang w:val="es-ES" w:eastAsia="ja-JP"/>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F3AED"/>
    <w:rPr>
      <w:b/>
      <w:bCs/>
    </w:rPr>
  </w:style>
  <w:style w:type="character" w:customStyle="1" w:styleId="AsuntodelcomentarioCar">
    <w:name w:val="Asunto del comentario Car"/>
    <w:basedOn w:val="TextocomentarioCar"/>
    <w:link w:val="Asuntodelcomentario"/>
    <w:uiPriority w:val="99"/>
    <w:semiHidden/>
    <w:rsid w:val="00DF3AED"/>
    <w:rPr>
      <w:rFonts w:ascii="Arial" w:eastAsia="Times New Roman" w:hAnsi="Arial" w:cs="Times New Roman"/>
      <w:b/>
      <w:bCs/>
      <w:sz w:val="20"/>
      <w:szCs w:val="20"/>
      <w:lang w:val="es-ES" w:eastAsia="es-ES"/>
    </w:rPr>
  </w:style>
  <w:style w:type="paragraph" w:styleId="Sangradetextonormal">
    <w:name w:val="Body Text Indent"/>
    <w:basedOn w:val="Normal"/>
    <w:link w:val="SangradetextonormalCar"/>
    <w:uiPriority w:val="99"/>
    <w:unhideWhenUsed/>
    <w:rsid w:val="00B837DF"/>
    <w:pPr>
      <w:spacing w:after="120"/>
      <w:ind w:left="283"/>
    </w:pPr>
  </w:style>
  <w:style w:type="character" w:customStyle="1" w:styleId="SangradetextonormalCar">
    <w:name w:val="Sangría de texto normal Car"/>
    <w:basedOn w:val="Fuentedeprrafopredeter"/>
    <w:link w:val="Sangradetextonormal"/>
    <w:uiPriority w:val="99"/>
    <w:rsid w:val="00B837DF"/>
    <w:rPr>
      <w:rFonts w:ascii="Arial" w:eastAsia="Times New Roman" w:hAnsi="Arial" w:cs="Times New Roman"/>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0390">
      <w:bodyDiv w:val="1"/>
      <w:marLeft w:val="0"/>
      <w:marRight w:val="0"/>
      <w:marTop w:val="0"/>
      <w:marBottom w:val="0"/>
      <w:divBdr>
        <w:top w:val="none" w:sz="0" w:space="0" w:color="auto"/>
        <w:left w:val="none" w:sz="0" w:space="0" w:color="auto"/>
        <w:bottom w:val="none" w:sz="0" w:space="0" w:color="auto"/>
        <w:right w:val="none" w:sz="0" w:space="0" w:color="auto"/>
      </w:divBdr>
    </w:div>
    <w:div w:id="332030184">
      <w:bodyDiv w:val="1"/>
      <w:marLeft w:val="0"/>
      <w:marRight w:val="0"/>
      <w:marTop w:val="0"/>
      <w:marBottom w:val="0"/>
      <w:divBdr>
        <w:top w:val="none" w:sz="0" w:space="0" w:color="auto"/>
        <w:left w:val="none" w:sz="0" w:space="0" w:color="auto"/>
        <w:bottom w:val="none" w:sz="0" w:space="0" w:color="auto"/>
        <w:right w:val="none" w:sz="0" w:space="0" w:color="auto"/>
      </w:divBdr>
    </w:div>
    <w:div w:id="493758814">
      <w:bodyDiv w:val="1"/>
      <w:marLeft w:val="0"/>
      <w:marRight w:val="0"/>
      <w:marTop w:val="0"/>
      <w:marBottom w:val="0"/>
      <w:divBdr>
        <w:top w:val="none" w:sz="0" w:space="0" w:color="auto"/>
        <w:left w:val="none" w:sz="0" w:space="0" w:color="auto"/>
        <w:bottom w:val="none" w:sz="0" w:space="0" w:color="auto"/>
        <w:right w:val="none" w:sz="0" w:space="0" w:color="auto"/>
      </w:divBdr>
    </w:div>
    <w:div w:id="643003298">
      <w:bodyDiv w:val="1"/>
      <w:marLeft w:val="0"/>
      <w:marRight w:val="0"/>
      <w:marTop w:val="0"/>
      <w:marBottom w:val="0"/>
      <w:divBdr>
        <w:top w:val="none" w:sz="0" w:space="0" w:color="auto"/>
        <w:left w:val="none" w:sz="0" w:space="0" w:color="auto"/>
        <w:bottom w:val="none" w:sz="0" w:space="0" w:color="auto"/>
        <w:right w:val="none" w:sz="0" w:space="0" w:color="auto"/>
      </w:divBdr>
    </w:div>
    <w:div w:id="721056873">
      <w:bodyDiv w:val="1"/>
      <w:marLeft w:val="0"/>
      <w:marRight w:val="0"/>
      <w:marTop w:val="0"/>
      <w:marBottom w:val="0"/>
      <w:divBdr>
        <w:top w:val="none" w:sz="0" w:space="0" w:color="auto"/>
        <w:left w:val="none" w:sz="0" w:space="0" w:color="auto"/>
        <w:bottom w:val="none" w:sz="0" w:space="0" w:color="auto"/>
        <w:right w:val="none" w:sz="0" w:space="0" w:color="auto"/>
      </w:divBdr>
    </w:div>
    <w:div w:id="738669050">
      <w:bodyDiv w:val="1"/>
      <w:marLeft w:val="0"/>
      <w:marRight w:val="0"/>
      <w:marTop w:val="0"/>
      <w:marBottom w:val="0"/>
      <w:divBdr>
        <w:top w:val="none" w:sz="0" w:space="0" w:color="auto"/>
        <w:left w:val="none" w:sz="0" w:space="0" w:color="auto"/>
        <w:bottom w:val="none" w:sz="0" w:space="0" w:color="auto"/>
        <w:right w:val="none" w:sz="0" w:space="0" w:color="auto"/>
      </w:divBdr>
    </w:div>
    <w:div w:id="751126192">
      <w:bodyDiv w:val="1"/>
      <w:marLeft w:val="0"/>
      <w:marRight w:val="0"/>
      <w:marTop w:val="0"/>
      <w:marBottom w:val="0"/>
      <w:divBdr>
        <w:top w:val="none" w:sz="0" w:space="0" w:color="auto"/>
        <w:left w:val="none" w:sz="0" w:space="0" w:color="auto"/>
        <w:bottom w:val="none" w:sz="0" w:space="0" w:color="auto"/>
        <w:right w:val="none" w:sz="0" w:space="0" w:color="auto"/>
      </w:divBdr>
    </w:div>
    <w:div w:id="766929141">
      <w:bodyDiv w:val="1"/>
      <w:marLeft w:val="0"/>
      <w:marRight w:val="0"/>
      <w:marTop w:val="0"/>
      <w:marBottom w:val="0"/>
      <w:divBdr>
        <w:top w:val="none" w:sz="0" w:space="0" w:color="auto"/>
        <w:left w:val="none" w:sz="0" w:space="0" w:color="auto"/>
        <w:bottom w:val="none" w:sz="0" w:space="0" w:color="auto"/>
        <w:right w:val="none" w:sz="0" w:space="0" w:color="auto"/>
      </w:divBdr>
    </w:div>
    <w:div w:id="879442721">
      <w:bodyDiv w:val="1"/>
      <w:marLeft w:val="0"/>
      <w:marRight w:val="0"/>
      <w:marTop w:val="0"/>
      <w:marBottom w:val="0"/>
      <w:divBdr>
        <w:top w:val="none" w:sz="0" w:space="0" w:color="auto"/>
        <w:left w:val="none" w:sz="0" w:space="0" w:color="auto"/>
        <w:bottom w:val="none" w:sz="0" w:space="0" w:color="auto"/>
        <w:right w:val="none" w:sz="0" w:space="0" w:color="auto"/>
      </w:divBdr>
    </w:div>
    <w:div w:id="917667461">
      <w:bodyDiv w:val="1"/>
      <w:marLeft w:val="0"/>
      <w:marRight w:val="0"/>
      <w:marTop w:val="0"/>
      <w:marBottom w:val="0"/>
      <w:divBdr>
        <w:top w:val="none" w:sz="0" w:space="0" w:color="auto"/>
        <w:left w:val="none" w:sz="0" w:space="0" w:color="auto"/>
        <w:bottom w:val="none" w:sz="0" w:space="0" w:color="auto"/>
        <w:right w:val="none" w:sz="0" w:space="0" w:color="auto"/>
      </w:divBdr>
    </w:div>
    <w:div w:id="975331672">
      <w:bodyDiv w:val="1"/>
      <w:marLeft w:val="0"/>
      <w:marRight w:val="0"/>
      <w:marTop w:val="0"/>
      <w:marBottom w:val="0"/>
      <w:divBdr>
        <w:top w:val="none" w:sz="0" w:space="0" w:color="auto"/>
        <w:left w:val="none" w:sz="0" w:space="0" w:color="auto"/>
        <w:bottom w:val="none" w:sz="0" w:space="0" w:color="auto"/>
        <w:right w:val="none" w:sz="0" w:space="0" w:color="auto"/>
      </w:divBdr>
    </w:div>
    <w:div w:id="1295794366">
      <w:bodyDiv w:val="1"/>
      <w:marLeft w:val="0"/>
      <w:marRight w:val="0"/>
      <w:marTop w:val="0"/>
      <w:marBottom w:val="0"/>
      <w:divBdr>
        <w:top w:val="none" w:sz="0" w:space="0" w:color="auto"/>
        <w:left w:val="none" w:sz="0" w:space="0" w:color="auto"/>
        <w:bottom w:val="none" w:sz="0" w:space="0" w:color="auto"/>
        <w:right w:val="none" w:sz="0" w:space="0" w:color="auto"/>
      </w:divBdr>
    </w:div>
    <w:div w:id="1393197047">
      <w:bodyDiv w:val="1"/>
      <w:marLeft w:val="0"/>
      <w:marRight w:val="0"/>
      <w:marTop w:val="0"/>
      <w:marBottom w:val="0"/>
      <w:divBdr>
        <w:top w:val="none" w:sz="0" w:space="0" w:color="auto"/>
        <w:left w:val="none" w:sz="0" w:space="0" w:color="auto"/>
        <w:bottom w:val="none" w:sz="0" w:space="0" w:color="auto"/>
        <w:right w:val="none" w:sz="0" w:space="0" w:color="auto"/>
      </w:divBdr>
    </w:div>
    <w:div w:id="1685934712">
      <w:bodyDiv w:val="1"/>
      <w:marLeft w:val="0"/>
      <w:marRight w:val="0"/>
      <w:marTop w:val="0"/>
      <w:marBottom w:val="0"/>
      <w:divBdr>
        <w:top w:val="none" w:sz="0" w:space="0" w:color="auto"/>
        <w:left w:val="none" w:sz="0" w:space="0" w:color="auto"/>
        <w:bottom w:val="none" w:sz="0" w:space="0" w:color="auto"/>
        <w:right w:val="none" w:sz="0" w:space="0" w:color="auto"/>
      </w:divBdr>
      <w:divsChild>
        <w:div w:id="88430343">
          <w:marLeft w:val="0"/>
          <w:marRight w:val="0"/>
          <w:marTop w:val="0"/>
          <w:marBottom w:val="0"/>
          <w:divBdr>
            <w:top w:val="none" w:sz="0" w:space="0" w:color="auto"/>
            <w:left w:val="none" w:sz="0" w:space="0" w:color="auto"/>
            <w:bottom w:val="none" w:sz="0" w:space="0" w:color="auto"/>
            <w:right w:val="none" w:sz="0" w:space="0" w:color="auto"/>
          </w:divBdr>
        </w:div>
        <w:div w:id="608050042">
          <w:marLeft w:val="0"/>
          <w:marRight w:val="0"/>
          <w:marTop w:val="0"/>
          <w:marBottom w:val="0"/>
          <w:divBdr>
            <w:top w:val="none" w:sz="0" w:space="0" w:color="auto"/>
            <w:left w:val="none" w:sz="0" w:space="0" w:color="auto"/>
            <w:bottom w:val="none" w:sz="0" w:space="0" w:color="auto"/>
            <w:right w:val="none" w:sz="0" w:space="0" w:color="auto"/>
          </w:divBdr>
        </w:div>
        <w:div w:id="688065050">
          <w:marLeft w:val="0"/>
          <w:marRight w:val="0"/>
          <w:marTop w:val="0"/>
          <w:marBottom w:val="0"/>
          <w:divBdr>
            <w:top w:val="none" w:sz="0" w:space="0" w:color="auto"/>
            <w:left w:val="none" w:sz="0" w:space="0" w:color="auto"/>
            <w:bottom w:val="none" w:sz="0" w:space="0" w:color="auto"/>
            <w:right w:val="none" w:sz="0" w:space="0" w:color="auto"/>
          </w:divBdr>
        </w:div>
        <w:div w:id="808136316">
          <w:marLeft w:val="0"/>
          <w:marRight w:val="0"/>
          <w:marTop w:val="0"/>
          <w:marBottom w:val="0"/>
          <w:divBdr>
            <w:top w:val="none" w:sz="0" w:space="0" w:color="auto"/>
            <w:left w:val="none" w:sz="0" w:space="0" w:color="auto"/>
            <w:bottom w:val="none" w:sz="0" w:space="0" w:color="auto"/>
            <w:right w:val="none" w:sz="0" w:space="0" w:color="auto"/>
          </w:divBdr>
        </w:div>
        <w:div w:id="1233547094">
          <w:marLeft w:val="0"/>
          <w:marRight w:val="0"/>
          <w:marTop w:val="0"/>
          <w:marBottom w:val="0"/>
          <w:divBdr>
            <w:top w:val="none" w:sz="0" w:space="0" w:color="auto"/>
            <w:left w:val="none" w:sz="0" w:space="0" w:color="auto"/>
            <w:bottom w:val="none" w:sz="0" w:space="0" w:color="auto"/>
            <w:right w:val="none" w:sz="0" w:space="0" w:color="auto"/>
          </w:divBdr>
        </w:div>
        <w:div w:id="1520856790">
          <w:marLeft w:val="0"/>
          <w:marRight w:val="0"/>
          <w:marTop w:val="0"/>
          <w:marBottom w:val="0"/>
          <w:divBdr>
            <w:top w:val="none" w:sz="0" w:space="0" w:color="auto"/>
            <w:left w:val="none" w:sz="0" w:space="0" w:color="auto"/>
            <w:bottom w:val="none" w:sz="0" w:space="0" w:color="auto"/>
            <w:right w:val="none" w:sz="0" w:space="0" w:color="auto"/>
          </w:divBdr>
        </w:div>
        <w:div w:id="1885365955">
          <w:marLeft w:val="0"/>
          <w:marRight w:val="0"/>
          <w:marTop w:val="0"/>
          <w:marBottom w:val="0"/>
          <w:divBdr>
            <w:top w:val="none" w:sz="0" w:space="0" w:color="auto"/>
            <w:left w:val="none" w:sz="0" w:space="0" w:color="auto"/>
            <w:bottom w:val="none" w:sz="0" w:space="0" w:color="auto"/>
            <w:right w:val="none" w:sz="0" w:space="0" w:color="auto"/>
          </w:divBdr>
        </w:div>
      </w:divsChild>
    </w:div>
    <w:div w:id="1825586575">
      <w:bodyDiv w:val="1"/>
      <w:marLeft w:val="0"/>
      <w:marRight w:val="0"/>
      <w:marTop w:val="0"/>
      <w:marBottom w:val="0"/>
      <w:divBdr>
        <w:top w:val="none" w:sz="0" w:space="0" w:color="auto"/>
        <w:left w:val="none" w:sz="0" w:space="0" w:color="auto"/>
        <w:bottom w:val="none" w:sz="0" w:space="0" w:color="auto"/>
        <w:right w:val="none" w:sz="0" w:space="0" w:color="auto"/>
      </w:divBdr>
    </w:div>
    <w:div w:id="1843351515">
      <w:bodyDiv w:val="1"/>
      <w:marLeft w:val="0"/>
      <w:marRight w:val="0"/>
      <w:marTop w:val="0"/>
      <w:marBottom w:val="0"/>
      <w:divBdr>
        <w:top w:val="none" w:sz="0" w:space="0" w:color="auto"/>
        <w:left w:val="none" w:sz="0" w:space="0" w:color="auto"/>
        <w:bottom w:val="none" w:sz="0" w:space="0" w:color="auto"/>
        <w:right w:val="none" w:sz="0" w:space="0" w:color="auto"/>
      </w:divBdr>
      <w:divsChild>
        <w:div w:id="986938019">
          <w:marLeft w:val="0"/>
          <w:marRight w:val="0"/>
          <w:marTop w:val="0"/>
          <w:marBottom w:val="0"/>
          <w:divBdr>
            <w:top w:val="none" w:sz="0" w:space="0" w:color="auto"/>
            <w:left w:val="none" w:sz="0" w:space="0" w:color="auto"/>
            <w:bottom w:val="none" w:sz="0" w:space="0" w:color="auto"/>
            <w:right w:val="none" w:sz="0" w:space="0" w:color="auto"/>
          </w:divBdr>
        </w:div>
        <w:div w:id="1308778668">
          <w:marLeft w:val="0"/>
          <w:marRight w:val="0"/>
          <w:marTop w:val="0"/>
          <w:marBottom w:val="0"/>
          <w:divBdr>
            <w:top w:val="none" w:sz="0" w:space="0" w:color="auto"/>
            <w:left w:val="none" w:sz="0" w:space="0" w:color="auto"/>
            <w:bottom w:val="none" w:sz="0" w:space="0" w:color="auto"/>
            <w:right w:val="none" w:sz="0" w:space="0" w:color="auto"/>
          </w:divBdr>
        </w:div>
        <w:div w:id="1688484490">
          <w:marLeft w:val="0"/>
          <w:marRight w:val="0"/>
          <w:marTop w:val="0"/>
          <w:marBottom w:val="0"/>
          <w:divBdr>
            <w:top w:val="none" w:sz="0" w:space="0" w:color="auto"/>
            <w:left w:val="none" w:sz="0" w:space="0" w:color="auto"/>
            <w:bottom w:val="none" w:sz="0" w:space="0" w:color="auto"/>
            <w:right w:val="none" w:sz="0" w:space="0" w:color="auto"/>
          </w:divBdr>
        </w:div>
      </w:divsChild>
    </w:div>
    <w:div w:id="1953977704">
      <w:bodyDiv w:val="1"/>
      <w:marLeft w:val="0"/>
      <w:marRight w:val="0"/>
      <w:marTop w:val="0"/>
      <w:marBottom w:val="0"/>
      <w:divBdr>
        <w:top w:val="none" w:sz="0" w:space="0" w:color="auto"/>
        <w:left w:val="none" w:sz="0" w:space="0" w:color="auto"/>
        <w:bottom w:val="none" w:sz="0" w:space="0" w:color="auto"/>
        <w:right w:val="none" w:sz="0" w:space="0" w:color="auto"/>
      </w:divBdr>
    </w:div>
    <w:div w:id="19607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674B-F219-4CE9-A70E-F5595CCF7ED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7F4A0A3-F396-496F-BDC7-B720BFFC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275CE-4FCC-4BA8-9E25-FCF38A598C4C}">
  <ds:schemaRefs>
    <ds:schemaRef ds:uri="http://schemas.microsoft.com/sharepoint/v3/contenttype/forms"/>
  </ds:schemaRefs>
</ds:datastoreItem>
</file>

<file path=customXml/itemProps4.xml><?xml version="1.0" encoding="utf-8"?>
<ds:datastoreItem xmlns:ds="http://schemas.openxmlformats.org/officeDocument/2006/customXml" ds:itemID="{9DD3AA03-D3DA-4564-B735-1FEEBEF1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2851</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samsung</cp:lastModifiedBy>
  <cp:revision>6</cp:revision>
  <cp:lastPrinted>2019-05-15T15:11:00Z</cp:lastPrinted>
  <dcterms:created xsi:type="dcterms:W3CDTF">2023-10-05T18:13:00Z</dcterms:created>
  <dcterms:modified xsi:type="dcterms:W3CDTF">2023-11-27T12:51:00Z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