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6300256" w14:textId="77777777" w:rsidR="00C529FD" w:rsidRPr="00C529FD" w:rsidRDefault="00C529FD" w:rsidP="00C529FD">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eastAsia="Times New Roman" w:hAnsi="Arial" w:cs="Arial"/>
          <w:color w:val="FF0000"/>
          <w:spacing w:val="-4"/>
          <w:sz w:val="18"/>
          <w:szCs w:val="18"/>
          <w:lang w:val="es-419" w:eastAsia="fr-FR"/>
        </w:rPr>
      </w:pPr>
      <w:bookmarkStart w:id="0" w:name="_30j0zll"/>
      <w:bookmarkStart w:id="1" w:name="_Hlk136339010"/>
      <w:bookmarkStart w:id="2" w:name="_Hlk138835899"/>
      <w:bookmarkEnd w:id="0"/>
      <w:r w:rsidRPr="00C529FD">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4AD65045" w14:textId="77777777" w:rsidR="00C529FD" w:rsidRPr="00C529FD" w:rsidRDefault="00C529FD" w:rsidP="00C529FD">
      <w:pPr>
        <w:spacing w:line="240" w:lineRule="auto"/>
        <w:rPr>
          <w:rFonts w:ascii="Arial" w:eastAsia="Times New Roman" w:hAnsi="Arial" w:cs="Arial"/>
          <w:sz w:val="20"/>
          <w:szCs w:val="20"/>
          <w:lang w:val="es-419" w:eastAsia="es-ES"/>
        </w:rPr>
      </w:pPr>
    </w:p>
    <w:p w14:paraId="73B9B194" w14:textId="730987F7" w:rsidR="00C529FD" w:rsidRPr="00C529FD" w:rsidRDefault="00C529FD" w:rsidP="00C529FD">
      <w:pPr>
        <w:spacing w:line="240" w:lineRule="auto"/>
        <w:rPr>
          <w:rFonts w:ascii="Arial" w:eastAsia="Tahoma" w:hAnsi="Arial" w:cs="Arial"/>
          <w:sz w:val="20"/>
          <w:szCs w:val="20"/>
          <w:lang w:val="es-419" w:eastAsia="es-ES"/>
        </w:rPr>
      </w:pPr>
      <w:r w:rsidRPr="00C529FD">
        <w:rPr>
          <w:rFonts w:ascii="Arial" w:eastAsia="Tahoma" w:hAnsi="Arial" w:cs="Arial"/>
          <w:sz w:val="20"/>
          <w:szCs w:val="20"/>
          <w:lang w:val="es-419" w:eastAsia="es-ES"/>
        </w:rPr>
        <w:t>Radicación No.:</w:t>
      </w:r>
      <w:r w:rsidRPr="00C529FD">
        <w:rPr>
          <w:rFonts w:ascii="Arial" w:eastAsia="Tahoma" w:hAnsi="Arial" w:cs="Arial"/>
          <w:sz w:val="20"/>
          <w:szCs w:val="20"/>
          <w:lang w:val="es-419" w:eastAsia="es-ES"/>
        </w:rPr>
        <w:tab/>
      </w:r>
      <w:r>
        <w:rPr>
          <w:rFonts w:ascii="Arial" w:eastAsia="Tahoma" w:hAnsi="Arial" w:cs="Arial"/>
          <w:sz w:val="20"/>
          <w:szCs w:val="20"/>
          <w:lang w:val="es-419" w:eastAsia="es-ES"/>
        </w:rPr>
        <w:tab/>
      </w:r>
      <w:r w:rsidRPr="00C529FD">
        <w:rPr>
          <w:rFonts w:ascii="Arial" w:eastAsia="Tahoma" w:hAnsi="Arial" w:cs="Arial"/>
          <w:sz w:val="20"/>
          <w:szCs w:val="20"/>
          <w:lang w:val="es-419" w:eastAsia="es-ES"/>
        </w:rPr>
        <w:t>66001-31-05-004-2018-00049-01</w:t>
      </w:r>
    </w:p>
    <w:p w14:paraId="35DE629E" w14:textId="77777777" w:rsidR="00C529FD" w:rsidRPr="00C529FD" w:rsidRDefault="00C529FD" w:rsidP="00C529FD">
      <w:pPr>
        <w:spacing w:line="240" w:lineRule="auto"/>
        <w:rPr>
          <w:rFonts w:ascii="Arial" w:eastAsia="Tahoma" w:hAnsi="Arial" w:cs="Arial"/>
          <w:sz w:val="20"/>
          <w:szCs w:val="20"/>
          <w:lang w:val="es-419" w:eastAsia="es-ES"/>
        </w:rPr>
      </w:pPr>
      <w:r w:rsidRPr="00C529FD">
        <w:rPr>
          <w:rFonts w:ascii="Arial" w:eastAsia="Tahoma" w:hAnsi="Arial" w:cs="Arial"/>
          <w:sz w:val="20"/>
          <w:szCs w:val="20"/>
          <w:lang w:val="es-419" w:eastAsia="es-ES"/>
        </w:rPr>
        <w:t>Proceso:</w:t>
      </w:r>
      <w:r w:rsidRPr="00C529FD">
        <w:rPr>
          <w:rFonts w:ascii="Arial" w:eastAsia="Tahoma" w:hAnsi="Arial" w:cs="Arial"/>
          <w:sz w:val="20"/>
          <w:szCs w:val="20"/>
          <w:lang w:val="es-419" w:eastAsia="es-ES"/>
        </w:rPr>
        <w:tab/>
      </w:r>
      <w:r w:rsidRPr="00C529FD">
        <w:rPr>
          <w:rFonts w:ascii="Arial" w:eastAsia="Tahoma" w:hAnsi="Arial" w:cs="Arial"/>
          <w:sz w:val="20"/>
          <w:szCs w:val="20"/>
          <w:lang w:val="es-419" w:eastAsia="es-ES"/>
        </w:rPr>
        <w:tab/>
        <w:t>Ordinario laboral</w:t>
      </w:r>
    </w:p>
    <w:p w14:paraId="2F7A17F3" w14:textId="77777777" w:rsidR="00C529FD" w:rsidRPr="00C529FD" w:rsidRDefault="00C529FD" w:rsidP="00C529FD">
      <w:pPr>
        <w:spacing w:line="240" w:lineRule="auto"/>
        <w:rPr>
          <w:rFonts w:ascii="Arial" w:eastAsia="Tahoma" w:hAnsi="Arial" w:cs="Arial"/>
          <w:sz w:val="20"/>
          <w:szCs w:val="20"/>
          <w:lang w:val="es-419" w:eastAsia="es-ES"/>
        </w:rPr>
      </w:pPr>
      <w:r w:rsidRPr="00C529FD">
        <w:rPr>
          <w:rFonts w:ascii="Arial" w:eastAsia="Tahoma" w:hAnsi="Arial" w:cs="Arial"/>
          <w:sz w:val="20"/>
          <w:szCs w:val="20"/>
          <w:lang w:val="es-419" w:eastAsia="es-ES"/>
        </w:rPr>
        <w:t>Demandante:</w:t>
      </w:r>
      <w:r w:rsidRPr="00C529FD">
        <w:rPr>
          <w:rFonts w:ascii="Arial" w:eastAsia="Tahoma" w:hAnsi="Arial" w:cs="Arial"/>
          <w:sz w:val="20"/>
          <w:szCs w:val="20"/>
          <w:lang w:val="es-419" w:eastAsia="es-ES"/>
        </w:rPr>
        <w:tab/>
      </w:r>
      <w:r w:rsidRPr="00C529FD">
        <w:rPr>
          <w:rFonts w:ascii="Arial" w:eastAsia="Tahoma" w:hAnsi="Arial" w:cs="Arial"/>
          <w:sz w:val="20"/>
          <w:szCs w:val="20"/>
          <w:lang w:val="es-419" w:eastAsia="es-ES"/>
        </w:rPr>
        <w:tab/>
        <w:t>María Magnolia Ledesma Sánchez</w:t>
      </w:r>
    </w:p>
    <w:p w14:paraId="79F582DD" w14:textId="77777777" w:rsidR="00C529FD" w:rsidRPr="00C529FD" w:rsidRDefault="00C529FD" w:rsidP="00C529FD">
      <w:pPr>
        <w:spacing w:line="240" w:lineRule="auto"/>
        <w:rPr>
          <w:rFonts w:ascii="Arial" w:eastAsia="Tahoma" w:hAnsi="Arial" w:cs="Arial"/>
          <w:sz w:val="20"/>
          <w:szCs w:val="20"/>
          <w:lang w:val="es-419" w:eastAsia="es-ES"/>
        </w:rPr>
      </w:pPr>
      <w:r w:rsidRPr="00C529FD">
        <w:rPr>
          <w:rFonts w:ascii="Arial" w:eastAsia="Tahoma" w:hAnsi="Arial" w:cs="Arial"/>
          <w:sz w:val="20"/>
          <w:szCs w:val="20"/>
          <w:lang w:val="es-419" w:eastAsia="es-ES"/>
        </w:rPr>
        <w:t>Demandado:</w:t>
      </w:r>
      <w:r w:rsidRPr="00C529FD">
        <w:rPr>
          <w:rFonts w:ascii="Arial" w:eastAsia="Tahoma" w:hAnsi="Arial" w:cs="Arial"/>
          <w:sz w:val="20"/>
          <w:szCs w:val="20"/>
          <w:lang w:val="es-419" w:eastAsia="es-ES"/>
        </w:rPr>
        <w:tab/>
      </w:r>
      <w:r w:rsidRPr="00C529FD">
        <w:rPr>
          <w:rFonts w:ascii="Arial" w:eastAsia="Tahoma" w:hAnsi="Arial" w:cs="Arial"/>
          <w:sz w:val="20"/>
          <w:szCs w:val="20"/>
          <w:lang w:val="es-419" w:eastAsia="es-ES"/>
        </w:rPr>
        <w:tab/>
        <w:t>Colpensiones</w:t>
      </w:r>
    </w:p>
    <w:p w14:paraId="5AAA6453" w14:textId="4EA38A9D" w:rsidR="00C529FD" w:rsidRPr="00C529FD" w:rsidRDefault="00C529FD" w:rsidP="00C529FD">
      <w:pPr>
        <w:spacing w:line="240" w:lineRule="auto"/>
        <w:rPr>
          <w:rFonts w:ascii="Arial" w:eastAsia="Tahoma" w:hAnsi="Arial" w:cs="Arial"/>
          <w:sz w:val="20"/>
          <w:szCs w:val="20"/>
          <w:lang w:val="es-419" w:eastAsia="es-ES"/>
        </w:rPr>
      </w:pPr>
      <w:r w:rsidRPr="00C529FD">
        <w:rPr>
          <w:rFonts w:ascii="Arial" w:eastAsia="Tahoma" w:hAnsi="Arial" w:cs="Arial"/>
          <w:sz w:val="20"/>
          <w:szCs w:val="20"/>
          <w:lang w:val="es-419" w:eastAsia="es-ES"/>
        </w:rPr>
        <w:t>Juzgado de origen:</w:t>
      </w:r>
      <w:r w:rsidRPr="00C529FD">
        <w:rPr>
          <w:rFonts w:ascii="Arial" w:eastAsia="Tahoma" w:hAnsi="Arial" w:cs="Arial"/>
          <w:sz w:val="20"/>
          <w:szCs w:val="20"/>
          <w:lang w:val="es-419" w:eastAsia="es-ES"/>
        </w:rPr>
        <w:tab/>
        <w:t xml:space="preserve">Cuarto Laboral del Circuito de Pereira </w:t>
      </w:r>
    </w:p>
    <w:p w14:paraId="4971E94A" w14:textId="77777777" w:rsidR="00C529FD" w:rsidRPr="00C529FD" w:rsidRDefault="00C529FD" w:rsidP="00C529FD">
      <w:pPr>
        <w:spacing w:line="240" w:lineRule="auto"/>
        <w:rPr>
          <w:rFonts w:ascii="Arial" w:eastAsia="Tahoma" w:hAnsi="Arial" w:cs="Arial"/>
          <w:color w:val="000000"/>
          <w:sz w:val="20"/>
          <w:szCs w:val="20"/>
          <w:lang w:eastAsia="es-ES"/>
        </w:rPr>
      </w:pPr>
    </w:p>
    <w:p w14:paraId="320F8709" w14:textId="5E7AD8E4" w:rsidR="00C529FD" w:rsidRPr="00C529FD" w:rsidRDefault="00C529FD" w:rsidP="00C529FD">
      <w:pPr>
        <w:spacing w:line="240" w:lineRule="auto"/>
        <w:rPr>
          <w:rFonts w:ascii="Arial" w:eastAsia="Times New Roman" w:hAnsi="Arial" w:cs="Arial"/>
          <w:b/>
          <w:bCs/>
          <w:iCs/>
          <w:sz w:val="20"/>
          <w:szCs w:val="20"/>
          <w:lang w:val="es-419" w:eastAsia="fr-FR"/>
        </w:rPr>
      </w:pPr>
      <w:r w:rsidRPr="00C529FD">
        <w:rPr>
          <w:rFonts w:ascii="Arial" w:eastAsia="Times New Roman" w:hAnsi="Arial" w:cs="Arial"/>
          <w:b/>
          <w:bCs/>
          <w:iCs/>
          <w:sz w:val="20"/>
          <w:szCs w:val="20"/>
          <w:u w:val="single"/>
          <w:lang w:val="es-419" w:eastAsia="fr-FR"/>
        </w:rPr>
        <w:t>TEMAS:</w:t>
      </w:r>
      <w:r w:rsidRPr="00C529FD">
        <w:rPr>
          <w:rFonts w:ascii="Arial" w:eastAsia="Times New Roman" w:hAnsi="Arial" w:cs="Arial"/>
          <w:b/>
          <w:bCs/>
          <w:iCs/>
          <w:sz w:val="20"/>
          <w:szCs w:val="20"/>
          <w:lang w:val="es-419" w:eastAsia="fr-FR"/>
        </w:rPr>
        <w:tab/>
      </w:r>
      <w:r w:rsidR="001E65EB" w:rsidRPr="001E65EB">
        <w:rPr>
          <w:rFonts w:ascii="Arial" w:eastAsia="Times New Roman" w:hAnsi="Arial" w:cs="Arial"/>
          <w:b/>
          <w:bCs/>
          <w:iCs/>
          <w:sz w:val="20"/>
          <w:szCs w:val="20"/>
          <w:lang w:val="es-419" w:eastAsia="fr-FR"/>
        </w:rPr>
        <w:t xml:space="preserve">PENSIÓN DE VEJEZ / CONVENIO DE SEGURIDAD SOCIAL ENTRE COLOMBIA Y ESPAÑA / LEY 1112 DE 2016 / </w:t>
      </w:r>
      <w:r w:rsidR="001E65EB">
        <w:rPr>
          <w:rFonts w:ascii="Arial" w:eastAsia="Times New Roman" w:hAnsi="Arial" w:cs="Arial"/>
          <w:b/>
          <w:bCs/>
          <w:iCs/>
          <w:sz w:val="20"/>
          <w:szCs w:val="20"/>
          <w:lang w:val="es-419" w:eastAsia="fr-FR"/>
        </w:rPr>
        <w:t xml:space="preserve">ASPECTOS GENERALES / </w:t>
      </w:r>
      <w:r w:rsidR="001E65EB" w:rsidRPr="001E65EB">
        <w:rPr>
          <w:rFonts w:ascii="Arial" w:eastAsia="Times New Roman" w:hAnsi="Arial" w:cs="Arial"/>
          <w:b/>
          <w:bCs/>
          <w:iCs/>
          <w:sz w:val="20"/>
          <w:szCs w:val="20"/>
          <w:lang w:val="es-419" w:eastAsia="fr-FR"/>
        </w:rPr>
        <w:t>APLICACIÓN / A LOS DOS RÉGIMENES DE SEGURIDAD SOCIAL EN PENSIONES VIGENTES / INCLUIDOS LOS BENEFICIARIOS DEL RÉGIMEN DE TRANSICIÓN.</w:t>
      </w:r>
    </w:p>
    <w:p w14:paraId="18BC453B" w14:textId="77777777" w:rsidR="00C529FD" w:rsidRPr="00C529FD" w:rsidRDefault="00C529FD" w:rsidP="00C529FD">
      <w:pPr>
        <w:spacing w:line="240" w:lineRule="auto"/>
        <w:rPr>
          <w:rFonts w:ascii="Arial" w:eastAsia="Times New Roman" w:hAnsi="Arial" w:cs="Arial"/>
          <w:sz w:val="20"/>
          <w:szCs w:val="20"/>
          <w:lang w:val="es-419" w:eastAsia="es-ES"/>
        </w:rPr>
      </w:pPr>
    </w:p>
    <w:p w14:paraId="09B89D90" w14:textId="584DE7D5" w:rsidR="00C529FD" w:rsidRPr="00C529FD" w:rsidRDefault="00FF09FC" w:rsidP="00C529FD">
      <w:pPr>
        <w:spacing w:line="240" w:lineRule="auto"/>
        <w:rPr>
          <w:rFonts w:ascii="Arial" w:eastAsia="Times New Roman" w:hAnsi="Arial" w:cs="Arial"/>
          <w:sz w:val="20"/>
          <w:szCs w:val="20"/>
          <w:lang w:val="es-419" w:eastAsia="es-ES"/>
        </w:rPr>
      </w:pPr>
      <w:r w:rsidRPr="00FF09FC">
        <w:rPr>
          <w:rFonts w:ascii="Arial" w:eastAsia="Times New Roman" w:hAnsi="Arial" w:cs="Arial"/>
          <w:sz w:val="20"/>
          <w:szCs w:val="20"/>
          <w:lang w:val="es-419" w:eastAsia="es-ES"/>
        </w:rPr>
        <w:t>El 6 de septiembre de 2005 la República de Colombia celebró con el Reino de España un Convenio de Seguridad Social, con el fin de “asegurar a los trabajadores de cada uno de los dos Estados que ejerzan o hayan ejercido una actividad profesional en el otro, una mejor garantía de sus derechos”. Dicho convenio se aprobó y desarrolló a través de la ley 1112 del 27 de diciembre de 2006</w:t>
      </w:r>
      <w:r w:rsidR="00C62514">
        <w:rPr>
          <w:rFonts w:ascii="Arial" w:eastAsia="Times New Roman" w:hAnsi="Arial" w:cs="Arial"/>
          <w:sz w:val="20"/>
          <w:szCs w:val="20"/>
          <w:lang w:val="es-419" w:eastAsia="es-ES"/>
        </w:rPr>
        <w:t>…</w:t>
      </w:r>
    </w:p>
    <w:p w14:paraId="0A81487A" w14:textId="77777777" w:rsidR="00C529FD" w:rsidRPr="00C529FD" w:rsidRDefault="00C529FD" w:rsidP="00C529FD">
      <w:pPr>
        <w:spacing w:line="240" w:lineRule="auto"/>
        <w:rPr>
          <w:rFonts w:ascii="Arial" w:eastAsia="Times New Roman" w:hAnsi="Arial" w:cs="Arial"/>
          <w:sz w:val="20"/>
          <w:szCs w:val="20"/>
          <w:lang w:val="es-419" w:eastAsia="es-ES"/>
        </w:rPr>
      </w:pPr>
    </w:p>
    <w:p w14:paraId="1CC6156A" w14:textId="72C96638" w:rsidR="00C529FD" w:rsidRDefault="00C62514" w:rsidP="00C529FD">
      <w:pPr>
        <w:spacing w:line="240" w:lineRule="auto"/>
        <w:rPr>
          <w:rFonts w:ascii="Arial" w:eastAsia="Times New Roman" w:hAnsi="Arial" w:cs="Arial"/>
          <w:sz w:val="20"/>
          <w:szCs w:val="20"/>
          <w:lang w:val="es-419" w:eastAsia="es-ES"/>
        </w:rPr>
      </w:pPr>
      <w:r w:rsidRPr="00C62514">
        <w:rPr>
          <w:rFonts w:ascii="Arial" w:eastAsia="Times New Roman" w:hAnsi="Arial" w:cs="Arial"/>
          <w:sz w:val="20"/>
          <w:szCs w:val="20"/>
          <w:lang w:val="es-419" w:eastAsia="es-ES"/>
        </w:rPr>
        <w:t>Este convenio se aplica a los trabajadores españoles y colombianos que estén o hayan estado sujetos a las legislaciones de Seguridad Social en Colombia, España o ambos países, así como a sus familiares, beneficiarios y sobrevivientes y brinda la posibilidad de acumular para efectos pensionales el tiempo cotizado en España o en Colombia, para tener derecho a las prestaciones que la seguridad social otorga, en condiciones de igualdad</w:t>
      </w:r>
      <w:r>
        <w:rPr>
          <w:rFonts w:ascii="Arial" w:eastAsia="Times New Roman" w:hAnsi="Arial" w:cs="Arial"/>
          <w:sz w:val="20"/>
          <w:szCs w:val="20"/>
          <w:lang w:val="es-419" w:eastAsia="es-ES"/>
        </w:rPr>
        <w:t>…</w:t>
      </w:r>
    </w:p>
    <w:p w14:paraId="336369A1" w14:textId="07D825ED" w:rsidR="00C62514" w:rsidRDefault="00C62514" w:rsidP="00C529FD">
      <w:pPr>
        <w:spacing w:line="240" w:lineRule="auto"/>
        <w:rPr>
          <w:rFonts w:ascii="Arial" w:eastAsia="Times New Roman" w:hAnsi="Arial" w:cs="Arial"/>
          <w:sz w:val="20"/>
          <w:szCs w:val="20"/>
          <w:lang w:val="es-419" w:eastAsia="es-ES"/>
        </w:rPr>
      </w:pPr>
    </w:p>
    <w:p w14:paraId="0A339FCF" w14:textId="19C226FE" w:rsidR="00C62514" w:rsidRDefault="005670DD" w:rsidP="00C529FD">
      <w:pPr>
        <w:spacing w:line="240" w:lineRule="auto"/>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5670DD">
        <w:rPr>
          <w:rFonts w:ascii="Arial" w:eastAsia="Times New Roman" w:hAnsi="Arial" w:cs="Arial"/>
          <w:sz w:val="20"/>
          <w:szCs w:val="20"/>
          <w:lang w:val="es-419" w:eastAsia="es-ES"/>
        </w:rPr>
        <w:t>el artículo 2º del Convenio enmarcado en la Ley 1112 de 2016 establece que este se aplicará a la legislación relativa a las prestaciones económicas dispuestas en el Sistema General de Pensiones (Prima Media con Prestación Definida y Ahorro Individual con Solidaridad), en cuanto a vejez, invalidez y sobrevivientes</w:t>
      </w:r>
      <w:r>
        <w:rPr>
          <w:rFonts w:ascii="Arial" w:eastAsia="Times New Roman" w:hAnsi="Arial" w:cs="Arial"/>
          <w:sz w:val="20"/>
          <w:szCs w:val="20"/>
          <w:lang w:val="es-419" w:eastAsia="es-ES"/>
        </w:rPr>
        <w:t>…</w:t>
      </w:r>
    </w:p>
    <w:p w14:paraId="3A570A16" w14:textId="77777777" w:rsidR="00C62514" w:rsidRPr="00C529FD" w:rsidRDefault="00C62514" w:rsidP="00C529FD">
      <w:pPr>
        <w:spacing w:line="240" w:lineRule="auto"/>
        <w:rPr>
          <w:rFonts w:ascii="Arial" w:eastAsia="Times New Roman" w:hAnsi="Arial" w:cs="Arial"/>
          <w:sz w:val="20"/>
          <w:szCs w:val="20"/>
          <w:lang w:val="es-419" w:eastAsia="es-ES"/>
        </w:rPr>
      </w:pPr>
    </w:p>
    <w:p w14:paraId="7DA0AFE8" w14:textId="77777777" w:rsidR="006D18D4" w:rsidRPr="006D18D4" w:rsidRDefault="006D18D4" w:rsidP="006D18D4">
      <w:pPr>
        <w:spacing w:line="240" w:lineRule="auto"/>
        <w:rPr>
          <w:rFonts w:ascii="Arial" w:eastAsia="Times New Roman" w:hAnsi="Arial" w:cs="Arial"/>
          <w:sz w:val="20"/>
          <w:szCs w:val="20"/>
          <w:lang w:val="es-419" w:eastAsia="es-ES"/>
        </w:rPr>
      </w:pPr>
      <w:r w:rsidRPr="006D18D4">
        <w:rPr>
          <w:rFonts w:ascii="Arial" w:eastAsia="Times New Roman" w:hAnsi="Arial" w:cs="Arial"/>
          <w:sz w:val="20"/>
          <w:szCs w:val="20"/>
          <w:lang w:val="es-419" w:eastAsia="es-ES"/>
        </w:rPr>
        <w:t>En ese orden de ideas, es del caso resaltar que el Sistema General de Pensiones tiene por objeto garantizar a la población el amparo contra las contingencias derivadas de la vejez, la invalidez y la muerte, mediante el reconocimiento de las pensiones y prestaciones en él establecidas, así como propender por la ampliación progresiva de cobertura a los segmentos de población no cubiertos con un sistema de pensiones…</w:t>
      </w:r>
    </w:p>
    <w:p w14:paraId="18894EA5" w14:textId="77777777" w:rsidR="006D18D4" w:rsidRPr="006D18D4" w:rsidRDefault="006D18D4" w:rsidP="006D18D4">
      <w:pPr>
        <w:spacing w:line="240" w:lineRule="auto"/>
        <w:rPr>
          <w:rFonts w:ascii="Arial" w:eastAsia="Times New Roman" w:hAnsi="Arial" w:cs="Arial"/>
          <w:sz w:val="20"/>
          <w:szCs w:val="20"/>
          <w:lang w:val="es-419" w:eastAsia="es-ES"/>
        </w:rPr>
      </w:pPr>
    </w:p>
    <w:p w14:paraId="669AD10D" w14:textId="77777777" w:rsidR="006D18D4" w:rsidRPr="006D18D4" w:rsidRDefault="006D18D4" w:rsidP="006D18D4">
      <w:pPr>
        <w:spacing w:line="240" w:lineRule="auto"/>
        <w:rPr>
          <w:rFonts w:ascii="Arial" w:eastAsia="Times New Roman" w:hAnsi="Arial" w:cs="Arial"/>
          <w:sz w:val="20"/>
          <w:szCs w:val="20"/>
          <w:lang w:val="es-419" w:eastAsia="es-ES"/>
        </w:rPr>
      </w:pPr>
      <w:r w:rsidRPr="006D18D4">
        <w:rPr>
          <w:rFonts w:ascii="Arial" w:eastAsia="Times New Roman" w:hAnsi="Arial" w:cs="Arial"/>
          <w:sz w:val="20"/>
          <w:szCs w:val="20"/>
          <w:lang w:val="es-419" w:eastAsia="es-ES"/>
        </w:rPr>
        <w:t>El régimen de Prima Media con Prestación Definida es definido en el artículo 31 de la citada Ley 100 de 1993, como aquel mediante el cual los afiliados o sus beneficiarios obtienen una pensión de vejez, de invalidez o de sobrevivientes, o una indemnización, previamente definidas, de acuerdo con lo previsto en el Título II de la Ley 100 de 1993 y se previene en el mismo precepto, que serán aplicables a este régimen las disposiciones vigentes para los seguros de invalidez, vejez y muerte a cargo del Instituto de Seguros Sociales…</w:t>
      </w:r>
    </w:p>
    <w:p w14:paraId="5C52DA01" w14:textId="77777777" w:rsidR="006D18D4" w:rsidRPr="006D18D4" w:rsidRDefault="006D18D4" w:rsidP="006D18D4">
      <w:pPr>
        <w:spacing w:line="240" w:lineRule="auto"/>
        <w:rPr>
          <w:rFonts w:ascii="Arial" w:eastAsia="Times New Roman" w:hAnsi="Arial" w:cs="Arial"/>
          <w:sz w:val="20"/>
          <w:szCs w:val="20"/>
          <w:lang w:val="es-419" w:eastAsia="es-ES"/>
        </w:rPr>
      </w:pPr>
    </w:p>
    <w:p w14:paraId="718242FC" w14:textId="77777777" w:rsidR="006D18D4" w:rsidRPr="006D18D4" w:rsidRDefault="006D18D4" w:rsidP="006D18D4">
      <w:pPr>
        <w:spacing w:line="240" w:lineRule="auto"/>
        <w:rPr>
          <w:rFonts w:ascii="Arial" w:eastAsia="Times New Roman" w:hAnsi="Arial" w:cs="Arial"/>
          <w:sz w:val="20"/>
          <w:szCs w:val="20"/>
          <w:lang w:val="es-419" w:eastAsia="es-ES"/>
        </w:rPr>
      </w:pPr>
      <w:r w:rsidRPr="006D18D4">
        <w:rPr>
          <w:rFonts w:ascii="Arial" w:eastAsia="Times New Roman" w:hAnsi="Arial" w:cs="Arial"/>
          <w:sz w:val="20"/>
          <w:szCs w:val="20"/>
          <w:lang w:val="es-419" w:eastAsia="es-ES"/>
        </w:rPr>
        <w:t>Con apoyo en las anteriores premisas normativas, se puede concluir que las pensiones de vejez concedidas con las condiciones del Acuerdo 049 de 1990, bajo el abrigo del régimen de transición, deben entenderse incorporadas al Sistema Integral de Seguridad Social concebido a partir de la expedición de la Ley 100 de 1993… En tal virtud, para efectos de acumular la densidad mínima de semanas exigidas en el Acuerdo 049 de 1990… resulta procedente la aplicación del Convenio de Seguridad Social celebrado entre Colombia y el Reino de España…</w:t>
      </w:r>
    </w:p>
    <w:p w14:paraId="2D50A998" w14:textId="77777777" w:rsidR="006D18D4" w:rsidRPr="006D18D4" w:rsidRDefault="006D18D4" w:rsidP="006D18D4">
      <w:pPr>
        <w:spacing w:line="240" w:lineRule="auto"/>
        <w:rPr>
          <w:rFonts w:ascii="Arial" w:eastAsia="Times New Roman" w:hAnsi="Arial" w:cs="Arial"/>
          <w:sz w:val="20"/>
          <w:szCs w:val="20"/>
          <w:lang w:val="es-419" w:eastAsia="es-ES"/>
        </w:rPr>
      </w:pPr>
    </w:p>
    <w:p w14:paraId="7630339C" w14:textId="0A87035D" w:rsidR="00C529FD" w:rsidRPr="00C529FD" w:rsidRDefault="006D18D4" w:rsidP="006D18D4">
      <w:pPr>
        <w:spacing w:line="240" w:lineRule="auto"/>
        <w:rPr>
          <w:rFonts w:ascii="Arial" w:eastAsia="Times New Roman" w:hAnsi="Arial" w:cs="Arial"/>
          <w:sz w:val="20"/>
          <w:szCs w:val="20"/>
          <w:lang w:val="es-419" w:eastAsia="es-ES"/>
        </w:rPr>
      </w:pPr>
      <w:r w:rsidRPr="006D18D4">
        <w:rPr>
          <w:rFonts w:ascii="Arial" w:eastAsia="Times New Roman" w:hAnsi="Arial" w:cs="Arial"/>
          <w:sz w:val="20"/>
          <w:szCs w:val="20"/>
          <w:lang w:val="es-419" w:eastAsia="es-ES"/>
        </w:rPr>
        <w:t>Cabe agregar, que al respecto tiene fijado la Sala de Casación Laboral de la Corte Suprema de Justicia que “las pensiones otorgadas con base en los Acuerdos del ISS, quedaron integradas al régimen de prima media con prestación definida, previsto en la Ley 100 de 1993”.</w:t>
      </w:r>
    </w:p>
    <w:p w14:paraId="3238D90A" w14:textId="77777777" w:rsidR="00C529FD" w:rsidRPr="00C529FD" w:rsidRDefault="00C529FD" w:rsidP="00C529FD">
      <w:pPr>
        <w:spacing w:line="240" w:lineRule="auto"/>
        <w:rPr>
          <w:rFonts w:ascii="Arial" w:eastAsia="Times New Roman" w:hAnsi="Arial" w:cs="Arial"/>
          <w:sz w:val="20"/>
          <w:szCs w:val="20"/>
          <w:lang w:val="es-419" w:eastAsia="es-ES"/>
        </w:rPr>
      </w:pPr>
    </w:p>
    <w:p w14:paraId="49EB27BA" w14:textId="77777777" w:rsidR="00C529FD" w:rsidRPr="00C529FD" w:rsidRDefault="00C529FD" w:rsidP="00C529FD">
      <w:pPr>
        <w:spacing w:line="240" w:lineRule="auto"/>
        <w:rPr>
          <w:rFonts w:ascii="Arial" w:eastAsia="Times New Roman" w:hAnsi="Arial" w:cs="Arial"/>
          <w:sz w:val="20"/>
          <w:szCs w:val="20"/>
          <w:lang w:val="es-419" w:eastAsia="es-ES"/>
        </w:rPr>
      </w:pPr>
    </w:p>
    <w:p w14:paraId="5D5FF544" w14:textId="77777777" w:rsidR="00C529FD" w:rsidRPr="00C529FD" w:rsidRDefault="00C529FD" w:rsidP="00C529FD">
      <w:pPr>
        <w:spacing w:line="240" w:lineRule="auto"/>
        <w:rPr>
          <w:rFonts w:ascii="Arial" w:eastAsia="Times New Roman" w:hAnsi="Arial" w:cs="Arial"/>
          <w:sz w:val="20"/>
          <w:szCs w:val="20"/>
          <w:lang w:val="es-419" w:eastAsia="es-ES"/>
        </w:rPr>
      </w:pPr>
    </w:p>
    <w:bookmarkEnd w:id="1"/>
    <w:bookmarkEnd w:id="2"/>
    <w:p w14:paraId="13E1BF4B" w14:textId="77777777" w:rsidR="009C7381" w:rsidRPr="00784A41" w:rsidRDefault="009C7381" w:rsidP="00784A41">
      <w:pPr>
        <w:spacing w:line="276" w:lineRule="auto"/>
        <w:jc w:val="center"/>
        <w:textAlignment w:val="baseline"/>
        <w:rPr>
          <w:rFonts w:cs="Tahoma"/>
          <w:b/>
          <w:bCs/>
          <w:color w:val="000000"/>
          <w:szCs w:val="24"/>
          <w:lang w:eastAsia="es-CO"/>
        </w:rPr>
      </w:pPr>
      <w:r w:rsidRPr="00784A41">
        <w:rPr>
          <w:rFonts w:cs="Tahoma"/>
          <w:b/>
          <w:bCs/>
          <w:color w:val="000000"/>
          <w:szCs w:val="24"/>
          <w:lang w:eastAsia="es-CO"/>
        </w:rPr>
        <w:t xml:space="preserve">TRIBUNAL SUPERIOR DEL DISTRITO JUDICIAL DE PEREIRA </w:t>
      </w:r>
    </w:p>
    <w:p w14:paraId="56746C5F" w14:textId="77777777" w:rsidR="009C7381" w:rsidRPr="00784A41" w:rsidRDefault="009C7381" w:rsidP="00784A41">
      <w:pPr>
        <w:spacing w:line="276" w:lineRule="auto"/>
        <w:jc w:val="center"/>
        <w:textAlignment w:val="baseline"/>
        <w:rPr>
          <w:rFonts w:cs="Tahoma"/>
          <w:szCs w:val="24"/>
          <w:lang w:val="es-CO" w:eastAsia="es-CO"/>
        </w:rPr>
      </w:pPr>
      <w:r w:rsidRPr="00784A41">
        <w:rPr>
          <w:rFonts w:cs="Tahoma"/>
          <w:b/>
          <w:bCs/>
          <w:color w:val="000000"/>
          <w:szCs w:val="24"/>
          <w:lang w:eastAsia="es-CO"/>
        </w:rPr>
        <w:t xml:space="preserve">SALA PRIMERA DE DECISION LABORAL </w:t>
      </w:r>
      <w:r w:rsidRPr="00784A41">
        <w:rPr>
          <w:rFonts w:cs="Tahoma"/>
          <w:color w:val="000000"/>
          <w:szCs w:val="24"/>
          <w:lang w:val="es-CO" w:eastAsia="es-CO"/>
        </w:rPr>
        <w:t> </w:t>
      </w:r>
    </w:p>
    <w:p w14:paraId="4B6E6755" w14:textId="77777777" w:rsidR="009C7381" w:rsidRPr="00784A41" w:rsidRDefault="009C7381" w:rsidP="00784A41">
      <w:pPr>
        <w:pStyle w:val="Sinespaciado"/>
        <w:spacing w:line="276" w:lineRule="auto"/>
        <w:rPr>
          <w:rFonts w:ascii="Tahoma" w:hAnsi="Tahoma" w:cs="Tahoma"/>
          <w:lang w:eastAsia="es-CO"/>
        </w:rPr>
      </w:pPr>
      <w:r w:rsidRPr="00784A41">
        <w:rPr>
          <w:rFonts w:ascii="Tahoma" w:hAnsi="Tahoma" w:cs="Tahoma"/>
          <w:lang w:eastAsia="es-CO"/>
        </w:rPr>
        <w:t> </w:t>
      </w:r>
    </w:p>
    <w:p w14:paraId="657EF427" w14:textId="77777777" w:rsidR="009C7381" w:rsidRPr="00784A41" w:rsidRDefault="009C7381" w:rsidP="00784A41">
      <w:pPr>
        <w:spacing w:line="276" w:lineRule="auto"/>
        <w:jc w:val="center"/>
        <w:textAlignment w:val="baseline"/>
        <w:rPr>
          <w:rFonts w:cs="Tahoma"/>
          <w:szCs w:val="24"/>
          <w:lang w:val="es-CO" w:eastAsia="es-CO"/>
        </w:rPr>
      </w:pPr>
      <w:r w:rsidRPr="00784A41">
        <w:rPr>
          <w:rFonts w:cs="Tahoma"/>
          <w:color w:val="000000"/>
          <w:szCs w:val="24"/>
          <w:lang w:eastAsia="es-CO"/>
        </w:rPr>
        <w:t>Magistrada Ponente: </w:t>
      </w:r>
      <w:r w:rsidRPr="00784A41">
        <w:rPr>
          <w:rFonts w:cs="Tahoma"/>
          <w:b/>
          <w:bCs/>
          <w:color w:val="000000"/>
          <w:szCs w:val="24"/>
          <w:lang w:eastAsia="es-CO"/>
        </w:rPr>
        <w:t>Ana Lucía Caicedo Calderón</w:t>
      </w:r>
      <w:r w:rsidRPr="00784A41">
        <w:rPr>
          <w:rFonts w:cs="Tahoma"/>
          <w:color w:val="000000"/>
          <w:szCs w:val="24"/>
          <w:lang w:val="es-CO" w:eastAsia="es-CO"/>
        </w:rPr>
        <w:t> </w:t>
      </w:r>
    </w:p>
    <w:p w14:paraId="526978EC" w14:textId="77777777" w:rsidR="009C7381" w:rsidRPr="00784A41" w:rsidRDefault="009C7381" w:rsidP="00784A41">
      <w:pPr>
        <w:spacing w:line="276" w:lineRule="auto"/>
        <w:jc w:val="center"/>
        <w:textAlignment w:val="baseline"/>
        <w:rPr>
          <w:rFonts w:cs="Tahoma"/>
          <w:szCs w:val="24"/>
          <w:lang w:val="es-CO" w:eastAsia="es-CO"/>
        </w:rPr>
      </w:pPr>
      <w:r w:rsidRPr="00784A41">
        <w:rPr>
          <w:rFonts w:cs="Tahoma"/>
          <w:color w:val="000000"/>
          <w:szCs w:val="24"/>
          <w:lang w:val="es-CO" w:eastAsia="es-CO"/>
        </w:rPr>
        <w:t> </w:t>
      </w:r>
    </w:p>
    <w:p w14:paraId="3350E022" w14:textId="77777777" w:rsidR="009C7381" w:rsidRPr="00784A41" w:rsidRDefault="009C7381" w:rsidP="00784A41">
      <w:pPr>
        <w:spacing w:line="276" w:lineRule="auto"/>
        <w:jc w:val="center"/>
        <w:textAlignment w:val="baseline"/>
        <w:rPr>
          <w:rFonts w:cs="Tahoma"/>
          <w:szCs w:val="24"/>
          <w:lang w:val="es-CO" w:eastAsia="es-CO"/>
        </w:rPr>
      </w:pPr>
      <w:r w:rsidRPr="00784A41">
        <w:rPr>
          <w:rFonts w:cs="Tahoma"/>
          <w:szCs w:val="24"/>
          <w:lang w:val="es-CO" w:eastAsia="es-CO"/>
        </w:rPr>
        <w:t>Pereira, Risaralda, veintinueve (29) de mayo de dos mil veintitrés (2023)  </w:t>
      </w:r>
    </w:p>
    <w:p w14:paraId="40B34F7E" w14:textId="1DB07DE4" w:rsidR="009C7381" w:rsidRPr="00784A41" w:rsidRDefault="009C7381" w:rsidP="00784A41">
      <w:pPr>
        <w:spacing w:line="276" w:lineRule="auto"/>
        <w:jc w:val="center"/>
        <w:textAlignment w:val="baseline"/>
        <w:rPr>
          <w:rFonts w:cs="Tahoma"/>
          <w:szCs w:val="24"/>
          <w:lang w:val="es-CO" w:eastAsia="es-CO"/>
        </w:rPr>
      </w:pPr>
      <w:r w:rsidRPr="00784A41">
        <w:rPr>
          <w:rFonts w:cs="Tahoma"/>
          <w:szCs w:val="24"/>
          <w:lang w:val="es-CO" w:eastAsia="es-CO"/>
        </w:rPr>
        <w:t> Acta No. </w:t>
      </w:r>
      <w:r w:rsidR="1F08534D" w:rsidRPr="00784A41">
        <w:rPr>
          <w:rFonts w:cs="Tahoma"/>
          <w:szCs w:val="24"/>
          <w:lang w:val="es-CO" w:eastAsia="es-CO"/>
        </w:rPr>
        <w:t>83</w:t>
      </w:r>
      <w:r w:rsidRPr="00784A41">
        <w:rPr>
          <w:rFonts w:cs="Tahoma"/>
          <w:szCs w:val="24"/>
          <w:lang w:val="es-CO" w:eastAsia="es-CO"/>
        </w:rPr>
        <w:t xml:space="preserve"> del 25 de mayo de 2023 </w:t>
      </w:r>
    </w:p>
    <w:p w14:paraId="39FD7821" w14:textId="77777777" w:rsidR="009C7381" w:rsidRPr="00784A41" w:rsidRDefault="009C7381" w:rsidP="00784A41">
      <w:pPr>
        <w:pStyle w:val="Sinespaciado"/>
        <w:spacing w:line="276" w:lineRule="auto"/>
        <w:rPr>
          <w:rFonts w:ascii="Tahoma" w:hAnsi="Tahoma" w:cs="Tahoma"/>
        </w:rPr>
      </w:pPr>
      <w:r w:rsidRPr="00784A41">
        <w:rPr>
          <w:rFonts w:ascii="Tahoma" w:hAnsi="Tahoma" w:cs="Tahoma"/>
        </w:rPr>
        <w:tab/>
        <w:t xml:space="preserve"> </w:t>
      </w:r>
    </w:p>
    <w:p w14:paraId="4BF65E48" w14:textId="77777777" w:rsidR="009C7381" w:rsidRPr="00784A41" w:rsidRDefault="009C7381" w:rsidP="00784A41">
      <w:pPr>
        <w:pStyle w:val="Sinespaciado"/>
        <w:spacing w:line="276" w:lineRule="auto"/>
        <w:rPr>
          <w:rFonts w:ascii="Tahoma" w:hAnsi="Tahoma" w:cs="Tahoma"/>
        </w:rPr>
      </w:pPr>
    </w:p>
    <w:p w14:paraId="458BD742" w14:textId="172AAADC" w:rsidR="009C7381" w:rsidRPr="00784A41" w:rsidRDefault="009C7381" w:rsidP="00784A41">
      <w:pPr>
        <w:pStyle w:val="paragraph"/>
        <w:spacing w:before="0" w:beforeAutospacing="0" w:after="0" w:afterAutospacing="0" w:line="276" w:lineRule="auto"/>
        <w:ind w:firstLine="720"/>
        <w:jc w:val="both"/>
        <w:textAlignment w:val="baseline"/>
        <w:rPr>
          <w:rStyle w:val="normaltextrun"/>
          <w:rFonts w:ascii="Tahoma" w:hAnsi="Tahoma" w:cs="Tahoma"/>
          <w:b/>
          <w:bCs/>
        </w:rPr>
      </w:pPr>
      <w:r w:rsidRPr="00784A41">
        <w:rPr>
          <w:rStyle w:val="normaltextrun"/>
          <w:rFonts w:ascii="Tahoma" w:hAnsi="Tahoma" w:cs="Tahoma"/>
          <w:color w:val="000000"/>
          <w:shd w:val="clear" w:color="auto" w:fill="FFFFFF"/>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3" w:name="_Hlk107745858"/>
      <w:r w:rsidRPr="00784A41">
        <w:rPr>
          <w:rStyle w:val="normaltextrun"/>
          <w:rFonts w:ascii="Tahoma" w:hAnsi="Tahoma" w:cs="Tahoma"/>
          <w:color w:val="000000"/>
          <w:shd w:val="clear" w:color="auto" w:fill="FFFFFF"/>
        </w:rPr>
        <w:t>GÓEZ</w:t>
      </w:r>
      <w:bookmarkEnd w:id="3"/>
      <w:r w:rsidRPr="00784A41">
        <w:rPr>
          <w:rStyle w:val="normaltextrun"/>
          <w:rFonts w:ascii="Tahoma" w:hAnsi="Tahoma" w:cs="Tahoma"/>
          <w:color w:val="000000"/>
          <w:shd w:val="clear" w:color="auto" w:fill="FFFFFF"/>
        </w:rPr>
        <w:t> VINASCO</w:t>
      </w:r>
      <w:r w:rsidRPr="00784A41">
        <w:rPr>
          <w:rStyle w:val="normaltextrun"/>
          <w:rFonts w:ascii="Tahoma" w:hAnsi="Tahoma" w:cs="Tahoma"/>
        </w:rPr>
        <w:t xml:space="preserve">, procede a proferir la siguiente sentencia escrita dentro del proceso </w:t>
      </w:r>
      <w:r w:rsidRPr="00784A41">
        <w:rPr>
          <w:rStyle w:val="normaltextrun"/>
          <w:rFonts w:ascii="Tahoma" w:hAnsi="Tahoma" w:cs="Tahoma"/>
          <w:b/>
        </w:rPr>
        <w:t>ordinario laboral</w:t>
      </w:r>
      <w:r w:rsidRPr="00784A41">
        <w:rPr>
          <w:rStyle w:val="normaltextrun"/>
          <w:rFonts w:ascii="Tahoma" w:hAnsi="Tahoma" w:cs="Tahoma"/>
        </w:rPr>
        <w:t xml:space="preserve"> instaurado por </w:t>
      </w:r>
      <w:r w:rsidR="00784A41" w:rsidRPr="00784A41">
        <w:rPr>
          <w:rFonts w:ascii="Tahoma" w:hAnsi="Tahoma" w:cs="Tahoma"/>
          <w:b/>
        </w:rPr>
        <w:t>María Magnol</w:t>
      </w:r>
      <w:r w:rsidR="00784A41">
        <w:rPr>
          <w:rFonts w:ascii="Tahoma" w:hAnsi="Tahoma" w:cs="Tahoma"/>
          <w:b/>
        </w:rPr>
        <w:t xml:space="preserve">ia </w:t>
      </w:r>
      <w:r w:rsidR="00784A41" w:rsidRPr="00784A41">
        <w:rPr>
          <w:rFonts w:ascii="Tahoma" w:hAnsi="Tahoma" w:cs="Tahoma"/>
          <w:b/>
        </w:rPr>
        <w:t>Ledesma Sánchez</w:t>
      </w:r>
      <w:r w:rsidR="00784A41" w:rsidRPr="00784A41">
        <w:rPr>
          <w:rStyle w:val="normaltextrun"/>
          <w:rFonts w:ascii="Tahoma" w:hAnsi="Tahoma" w:cs="Tahoma"/>
          <w:b/>
        </w:rPr>
        <w:t xml:space="preserve"> </w:t>
      </w:r>
      <w:r w:rsidRPr="00784A41">
        <w:rPr>
          <w:rStyle w:val="normaltextrun"/>
          <w:rFonts w:ascii="Tahoma" w:hAnsi="Tahoma" w:cs="Tahoma"/>
        </w:rPr>
        <w:t>en contra de</w:t>
      </w:r>
      <w:r w:rsidR="00316A66" w:rsidRPr="00784A41">
        <w:rPr>
          <w:rStyle w:val="normaltextrun"/>
          <w:rFonts w:ascii="Tahoma" w:hAnsi="Tahoma" w:cs="Tahoma"/>
        </w:rPr>
        <w:t xml:space="preserve"> la </w:t>
      </w:r>
      <w:r w:rsidR="00784A41" w:rsidRPr="00784A41">
        <w:rPr>
          <w:rStyle w:val="normaltextrun"/>
          <w:rFonts w:ascii="Tahoma" w:hAnsi="Tahoma" w:cs="Tahoma"/>
          <w:b/>
          <w:bCs/>
        </w:rPr>
        <w:t xml:space="preserve">Administradora Colombiana de Pensiones </w:t>
      </w:r>
      <w:r w:rsidR="00316A66" w:rsidRPr="00784A41">
        <w:rPr>
          <w:rStyle w:val="normaltextrun"/>
          <w:rFonts w:ascii="Tahoma" w:hAnsi="Tahoma" w:cs="Tahoma"/>
          <w:b/>
          <w:bCs/>
        </w:rPr>
        <w:t>– COLPENSIONES.</w:t>
      </w:r>
      <w:r w:rsidRPr="00784A41">
        <w:rPr>
          <w:rStyle w:val="normaltextrun"/>
          <w:rFonts w:ascii="Tahoma" w:hAnsi="Tahoma" w:cs="Tahoma"/>
          <w:b/>
          <w:bCs/>
        </w:rPr>
        <w:t xml:space="preserve"> </w:t>
      </w:r>
    </w:p>
    <w:p w14:paraId="20CDD66C" w14:textId="77777777" w:rsidR="009C7381" w:rsidRPr="00784A41" w:rsidRDefault="009C7381" w:rsidP="00784A41">
      <w:pPr>
        <w:pStyle w:val="paragraph"/>
        <w:spacing w:before="0" w:beforeAutospacing="0" w:after="0" w:afterAutospacing="0" w:line="276" w:lineRule="auto"/>
        <w:ind w:firstLine="720"/>
        <w:jc w:val="both"/>
        <w:textAlignment w:val="baseline"/>
        <w:rPr>
          <w:rStyle w:val="normaltextrun"/>
          <w:rFonts w:ascii="Tahoma" w:hAnsi="Tahoma" w:cs="Tahoma"/>
          <w:b/>
          <w:bCs/>
        </w:rPr>
      </w:pPr>
    </w:p>
    <w:p w14:paraId="13A79FBD" w14:textId="77777777" w:rsidR="009C7381" w:rsidRPr="00784A41" w:rsidRDefault="009C7381" w:rsidP="00784A41">
      <w:pPr>
        <w:spacing w:line="276" w:lineRule="auto"/>
        <w:jc w:val="center"/>
        <w:rPr>
          <w:rStyle w:val="normaltextrun"/>
          <w:rFonts w:cs="Tahoma"/>
          <w:b/>
          <w:bCs/>
          <w:color w:val="000000"/>
          <w:szCs w:val="24"/>
        </w:rPr>
      </w:pPr>
      <w:r w:rsidRPr="00784A41">
        <w:rPr>
          <w:rStyle w:val="normaltextrun"/>
          <w:rFonts w:cs="Tahoma"/>
          <w:b/>
          <w:bCs/>
          <w:color w:val="000000"/>
          <w:szCs w:val="24"/>
        </w:rPr>
        <w:t>PUNTO A TRATAR</w:t>
      </w:r>
    </w:p>
    <w:p w14:paraId="20A7D979" w14:textId="77777777" w:rsidR="009C7381" w:rsidRPr="00784A41" w:rsidRDefault="009C7381" w:rsidP="00784A41">
      <w:pPr>
        <w:pStyle w:val="Sinespaciado"/>
        <w:spacing w:line="276" w:lineRule="auto"/>
        <w:rPr>
          <w:rFonts w:ascii="Tahoma" w:eastAsia="Tahoma" w:hAnsi="Tahoma" w:cs="Tahoma"/>
        </w:rPr>
      </w:pPr>
    </w:p>
    <w:p w14:paraId="59130CF3" w14:textId="14A93ABD" w:rsidR="00E121A5" w:rsidRPr="00784A41" w:rsidRDefault="009C7381" w:rsidP="00784A41">
      <w:pPr>
        <w:spacing w:line="276" w:lineRule="auto"/>
        <w:ind w:firstLine="708"/>
        <w:rPr>
          <w:rStyle w:val="normaltextrun"/>
          <w:rFonts w:cs="Tahoma"/>
          <w:szCs w:val="24"/>
        </w:rPr>
      </w:pPr>
      <w:r w:rsidRPr="00784A41">
        <w:rPr>
          <w:rStyle w:val="normaltextrun"/>
          <w:rFonts w:cs="Tahoma"/>
          <w:szCs w:val="24"/>
        </w:rPr>
        <w:t>Por medio de esta providencia procede la Sala a</w:t>
      </w:r>
      <w:r w:rsidRPr="00784A41">
        <w:rPr>
          <w:rFonts w:cs="Tahoma"/>
          <w:szCs w:val="24"/>
        </w:rPr>
        <w:t xml:space="preserve"> resolver el recurso de apelación interpuesto por la </w:t>
      </w:r>
      <w:r w:rsidRPr="00784A41">
        <w:rPr>
          <w:rFonts w:cs="Tahoma"/>
          <w:szCs w:val="24"/>
          <w:lang w:val="es-CO"/>
        </w:rPr>
        <w:t>demandante</w:t>
      </w:r>
      <w:r w:rsidRPr="00784A41">
        <w:rPr>
          <w:rFonts w:cs="Tahoma"/>
          <w:szCs w:val="24"/>
        </w:rPr>
        <w:t xml:space="preserve"> en contra de la sentencia proferida por el </w:t>
      </w:r>
      <w:r w:rsidRPr="00784A41">
        <w:rPr>
          <w:rFonts w:cs="Tahoma"/>
          <w:szCs w:val="24"/>
          <w:lang w:val="es-CO"/>
        </w:rPr>
        <w:t xml:space="preserve">Juzgado </w:t>
      </w:r>
      <w:r w:rsidR="00316A66" w:rsidRPr="00784A41">
        <w:rPr>
          <w:rFonts w:cs="Tahoma"/>
          <w:szCs w:val="24"/>
          <w:lang w:val="es-CO"/>
        </w:rPr>
        <w:t>Cuarto</w:t>
      </w:r>
      <w:r w:rsidRPr="00784A41">
        <w:rPr>
          <w:rFonts w:cs="Tahoma"/>
          <w:szCs w:val="24"/>
          <w:lang w:val="es-CO"/>
        </w:rPr>
        <w:t xml:space="preserve"> Laboral del Circuito de Pereira el </w:t>
      </w:r>
      <w:r w:rsidR="00316A66" w:rsidRPr="00784A41">
        <w:rPr>
          <w:rFonts w:cs="Tahoma"/>
          <w:szCs w:val="24"/>
          <w:lang w:val="es-CO"/>
        </w:rPr>
        <w:t>04 de octubre</w:t>
      </w:r>
      <w:r w:rsidRPr="00784A41">
        <w:rPr>
          <w:rFonts w:cs="Tahoma"/>
          <w:szCs w:val="24"/>
          <w:lang w:val="es-CO"/>
        </w:rPr>
        <w:t xml:space="preserve"> de 2022.</w:t>
      </w:r>
      <w:r w:rsidR="00E121A5" w:rsidRPr="00784A41">
        <w:rPr>
          <w:rFonts w:cs="Tahoma"/>
          <w:szCs w:val="24"/>
        </w:rPr>
        <w:t xml:space="preserve"> </w:t>
      </w:r>
      <w:r w:rsidR="00E121A5" w:rsidRPr="00784A41">
        <w:rPr>
          <w:rStyle w:val="normaltextrun"/>
          <w:rFonts w:cs="Tahoma"/>
          <w:szCs w:val="24"/>
        </w:rPr>
        <w:t>Para ello se tiene en cuenta lo siguiente: </w:t>
      </w:r>
    </w:p>
    <w:p w14:paraId="4AE4A07E" w14:textId="77777777" w:rsidR="00E121A5" w:rsidRPr="00784A41" w:rsidRDefault="00E121A5" w:rsidP="00784A41">
      <w:pPr>
        <w:spacing w:line="276" w:lineRule="auto"/>
        <w:ind w:firstLine="708"/>
        <w:rPr>
          <w:rStyle w:val="normaltextrun"/>
          <w:rFonts w:cs="Tahoma"/>
          <w:szCs w:val="24"/>
        </w:rPr>
      </w:pPr>
    </w:p>
    <w:p w14:paraId="3FEDCFED" w14:textId="77777777" w:rsidR="00E121A5" w:rsidRPr="00784A41" w:rsidRDefault="00E121A5" w:rsidP="00784A41">
      <w:pPr>
        <w:pStyle w:val="Prrafodelista"/>
        <w:numPr>
          <w:ilvl w:val="0"/>
          <w:numId w:val="1"/>
        </w:numPr>
        <w:spacing w:line="276" w:lineRule="auto"/>
        <w:ind w:left="426" w:hanging="426"/>
        <w:jc w:val="center"/>
        <w:rPr>
          <w:rFonts w:cs="Tahoma"/>
          <w:b/>
          <w:bCs/>
          <w:szCs w:val="24"/>
        </w:rPr>
      </w:pPr>
      <w:r w:rsidRPr="00784A41">
        <w:rPr>
          <w:rFonts w:cs="Tahoma"/>
          <w:b/>
          <w:bCs/>
          <w:szCs w:val="24"/>
        </w:rPr>
        <w:t>Demanda y contestación de la demanda</w:t>
      </w:r>
    </w:p>
    <w:p w14:paraId="214E7BE2" w14:textId="77777777" w:rsidR="00E121A5" w:rsidRPr="00784A41" w:rsidRDefault="00E121A5" w:rsidP="00784A41">
      <w:pPr>
        <w:spacing w:line="276" w:lineRule="auto"/>
        <w:ind w:firstLine="708"/>
        <w:rPr>
          <w:rStyle w:val="normaltextrun"/>
          <w:rFonts w:cs="Tahoma"/>
          <w:szCs w:val="24"/>
        </w:rPr>
      </w:pPr>
    </w:p>
    <w:p w14:paraId="74FD874F" w14:textId="2188DF9D" w:rsidR="00E121A5" w:rsidRPr="00784A41" w:rsidRDefault="00E121A5" w:rsidP="00784A41">
      <w:pPr>
        <w:spacing w:line="276" w:lineRule="auto"/>
        <w:ind w:firstLine="708"/>
        <w:rPr>
          <w:rStyle w:val="normaltextrun"/>
          <w:rFonts w:cs="Tahoma"/>
          <w:szCs w:val="24"/>
        </w:rPr>
      </w:pPr>
      <w:r w:rsidRPr="00784A41">
        <w:rPr>
          <w:rStyle w:val="normaltextrun"/>
          <w:rFonts w:cs="Tahoma"/>
          <w:szCs w:val="24"/>
        </w:rPr>
        <w:t>Pretende l</w:t>
      </w:r>
      <w:r w:rsidR="00316A66" w:rsidRPr="00784A41">
        <w:rPr>
          <w:rStyle w:val="normaltextrun"/>
          <w:rFonts w:cs="Tahoma"/>
          <w:szCs w:val="24"/>
        </w:rPr>
        <w:t>a</w:t>
      </w:r>
      <w:r w:rsidRPr="00784A41">
        <w:rPr>
          <w:rStyle w:val="normaltextrun"/>
          <w:rFonts w:cs="Tahoma"/>
          <w:szCs w:val="24"/>
        </w:rPr>
        <w:t xml:space="preserve"> demandante que se condene a Colpensiones, previas las respectivas declaraciones, a reconocerle la pensión de vejez consagrada en el Acuerdo 049 de 1990, a partir del </w:t>
      </w:r>
      <w:r w:rsidR="00316A66" w:rsidRPr="00784A41">
        <w:rPr>
          <w:rStyle w:val="normaltextrun"/>
          <w:rFonts w:cs="Tahoma"/>
          <w:szCs w:val="24"/>
        </w:rPr>
        <w:t>30 de octubre de 2017</w:t>
      </w:r>
      <w:r w:rsidRPr="00784A41">
        <w:rPr>
          <w:rStyle w:val="normaltextrun"/>
          <w:rFonts w:cs="Tahoma"/>
          <w:szCs w:val="24"/>
        </w:rPr>
        <w:t xml:space="preserve">, </w:t>
      </w:r>
      <w:r w:rsidR="00A5344A" w:rsidRPr="00784A41">
        <w:rPr>
          <w:rStyle w:val="normaltextrun"/>
          <w:rFonts w:cs="Tahoma"/>
          <w:szCs w:val="24"/>
        </w:rPr>
        <w:t>junto con</w:t>
      </w:r>
      <w:r w:rsidR="00316A66" w:rsidRPr="00784A41">
        <w:rPr>
          <w:rStyle w:val="normaltextrun"/>
          <w:rFonts w:cs="Tahoma"/>
          <w:szCs w:val="24"/>
        </w:rPr>
        <w:t xml:space="preserve"> los </w:t>
      </w:r>
      <w:r w:rsidRPr="00784A41">
        <w:rPr>
          <w:rStyle w:val="normaltextrun"/>
          <w:rFonts w:cs="Tahoma"/>
          <w:szCs w:val="24"/>
        </w:rPr>
        <w:t xml:space="preserve">intereses moratorios y las costas procesales.  </w:t>
      </w:r>
    </w:p>
    <w:p w14:paraId="3D3CCBF3" w14:textId="77777777" w:rsidR="00E121A5" w:rsidRPr="00784A41" w:rsidRDefault="00E121A5" w:rsidP="00784A41">
      <w:pPr>
        <w:spacing w:line="276" w:lineRule="auto"/>
        <w:ind w:firstLine="708"/>
        <w:rPr>
          <w:rStyle w:val="normaltextrun"/>
          <w:rFonts w:cs="Tahoma"/>
          <w:szCs w:val="24"/>
        </w:rPr>
      </w:pPr>
    </w:p>
    <w:p w14:paraId="6068F2A1" w14:textId="67229CDD" w:rsidR="00E121A5" w:rsidRPr="00784A41" w:rsidRDefault="00E121A5" w:rsidP="00784A41">
      <w:pPr>
        <w:spacing w:line="276" w:lineRule="auto"/>
        <w:ind w:firstLine="708"/>
        <w:rPr>
          <w:rStyle w:val="normaltextrun"/>
          <w:rFonts w:cs="Tahoma"/>
          <w:szCs w:val="24"/>
        </w:rPr>
      </w:pPr>
      <w:r w:rsidRPr="00784A41">
        <w:rPr>
          <w:rStyle w:val="normaltextrun"/>
          <w:rFonts w:cs="Tahoma"/>
          <w:szCs w:val="24"/>
        </w:rPr>
        <w:t>Para así pedir manifiesta</w:t>
      </w:r>
      <w:r w:rsidR="001A31D0" w:rsidRPr="00784A41">
        <w:rPr>
          <w:rStyle w:val="normaltextrun"/>
          <w:rFonts w:cs="Tahoma"/>
          <w:szCs w:val="24"/>
        </w:rPr>
        <w:t xml:space="preserve">, en síntesis, </w:t>
      </w:r>
      <w:r w:rsidRPr="00784A41">
        <w:rPr>
          <w:rStyle w:val="normaltextrun"/>
          <w:rFonts w:cs="Tahoma"/>
          <w:szCs w:val="24"/>
        </w:rPr>
        <w:t xml:space="preserve">que nació el </w:t>
      </w:r>
      <w:r w:rsidR="00A5344A" w:rsidRPr="00784A41">
        <w:rPr>
          <w:rStyle w:val="normaltextrun"/>
          <w:rFonts w:cs="Tahoma"/>
          <w:szCs w:val="24"/>
        </w:rPr>
        <w:t>14 de julio de 1953</w:t>
      </w:r>
      <w:r w:rsidR="001A31D0" w:rsidRPr="00784A41">
        <w:rPr>
          <w:rStyle w:val="normaltextrun"/>
          <w:rFonts w:cs="Tahoma"/>
          <w:szCs w:val="24"/>
        </w:rPr>
        <w:t>, por lo que el mismo día del 2004 alcanzó los 55 años de edad, contando con 500.86 semanas cotizadas entre Colombia -451.29- y el Reino de España -49.57- dentro de los 20 años que antecedieron a dicha fecha, esto es entre el 14 de junio de 1988 y el 14 de junio de 2008.</w:t>
      </w:r>
    </w:p>
    <w:p w14:paraId="35310406" w14:textId="77777777" w:rsidR="00E121A5" w:rsidRPr="00784A41" w:rsidRDefault="00E121A5" w:rsidP="00784A41">
      <w:pPr>
        <w:spacing w:line="276" w:lineRule="auto"/>
        <w:ind w:firstLine="708"/>
        <w:rPr>
          <w:rStyle w:val="normaltextrun"/>
          <w:rFonts w:cs="Tahoma"/>
          <w:szCs w:val="24"/>
        </w:rPr>
      </w:pPr>
    </w:p>
    <w:p w14:paraId="3474257C" w14:textId="60AF2789" w:rsidR="00E121A5" w:rsidRPr="00784A41" w:rsidRDefault="00E121A5" w:rsidP="00784A41">
      <w:pPr>
        <w:spacing w:line="276" w:lineRule="auto"/>
        <w:ind w:firstLine="708"/>
        <w:rPr>
          <w:rStyle w:val="normaltextrun"/>
          <w:rFonts w:cs="Tahoma"/>
          <w:szCs w:val="24"/>
        </w:rPr>
      </w:pPr>
      <w:r w:rsidRPr="00784A41">
        <w:rPr>
          <w:rStyle w:val="normaltextrun"/>
          <w:rFonts w:cs="Tahoma"/>
          <w:szCs w:val="24"/>
        </w:rPr>
        <w:t xml:space="preserve">Sostiene que </w:t>
      </w:r>
      <w:r w:rsidR="001A31D0" w:rsidRPr="00784A41">
        <w:rPr>
          <w:rStyle w:val="normaltextrun"/>
          <w:rFonts w:cs="Tahoma"/>
          <w:szCs w:val="24"/>
        </w:rPr>
        <w:t xml:space="preserve">el 16 de agosto de 2017 solicitó ante Colpensiones el reconocimiento de la pensión de vejez, misma que fue negada mediante resolución No. </w:t>
      </w:r>
      <w:r w:rsidR="675745B1" w:rsidRPr="00784A41">
        <w:rPr>
          <w:rStyle w:val="normaltextrun"/>
          <w:rFonts w:cs="Tahoma"/>
          <w:szCs w:val="24"/>
        </w:rPr>
        <w:t>SUB-15339</w:t>
      </w:r>
      <w:r w:rsidR="001A31D0" w:rsidRPr="00784A41">
        <w:rPr>
          <w:rStyle w:val="normaltextrun"/>
          <w:rFonts w:cs="Tahoma"/>
          <w:szCs w:val="24"/>
        </w:rPr>
        <w:t xml:space="preserve"> del 18 de enero de 2018, argumentando la administradora pensional que no cumplía con los requisitos mínimos exigidos en la normatividad.</w:t>
      </w:r>
    </w:p>
    <w:p w14:paraId="2A7C768E" w14:textId="77777777" w:rsidR="00E121A5" w:rsidRPr="00784A41" w:rsidRDefault="00E121A5" w:rsidP="00784A41">
      <w:pPr>
        <w:spacing w:line="276" w:lineRule="auto"/>
        <w:rPr>
          <w:rFonts w:cs="Tahoma"/>
          <w:szCs w:val="24"/>
        </w:rPr>
      </w:pPr>
    </w:p>
    <w:p w14:paraId="232EA77A" w14:textId="39023FBE" w:rsidR="00E121A5" w:rsidRPr="00784A41" w:rsidRDefault="00E121A5" w:rsidP="00784A41">
      <w:pPr>
        <w:spacing w:line="276" w:lineRule="auto"/>
        <w:ind w:firstLine="708"/>
        <w:rPr>
          <w:rStyle w:val="normaltextrun"/>
          <w:rFonts w:cs="Tahoma"/>
          <w:szCs w:val="24"/>
        </w:rPr>
      </w:pPr>
      <w:r w:rsidRPr="00784A41">
        <w:rPr>
          <w:rStyle w:val="normaltextrun"/>
          <w:rFonts w:cs="Tahoma"/>
          <w:b/>
          <w:bCs/>
          <w:szCs w:val="24"/>
        </w:rPr>
        <w:t xml:space="preserve">Colpensiones </w:t>
      </w:r>
      <w:r w:rsidRPr="00784A41">
        <w:rPr>
          <w:rStyle w:val="normaltextrun"/>
          <w:rFonts w:cs="Tahoma"/>
          <w:szCs w:val="24"/>
        </w:rPr>
        <w:t>se opuso a las pretensiones de la demanda alegando que</w:t>
      </w:r>
      <w:r w:rsidR="00C913D8" w:rsidRPr="00784A41">
        <w:rPr>
          <w:rStyle w:val="normaltextrun"/>
          <w:rFonts w:cs="Tahoma"/>
          <w:szCs w:val="24"/>
        </w:rPr>
        <w:t xml:space="preserve"> la actora no logró acreditar los requisitos exigidos en el Acuerdo 049 de 1990, toda vez que en el expediente pensional no se evidencia que el organismo de enlace en el Reino de España haya allegado el formulario ES/CO-02</w:t>
      </w:r>
      <w:r w:rsidR="00927FE1" w:rsidRPr="00784A41">
        <w:rPr>
          <w:rStyle w:val="normaltextrun"/>
          <w:rFonts w:cs="Tahoma"/>
          <w:szCs w:val="24"/>
        </w:rPr>
        <w:t xml:space="preserve"> y, por ende, al negar la prestación actuó conforme a la ley y a los parámetros jurisprudenciales correspondientes. </w:t>
      </w:r>
      <w:r w:rsidRPr="00784A41">
        <w:rPr>
          <w:rStyle w:val="normaltextrun"/>
          <w:rFonts w:cs="Tahoma"/>
          <w:szCs w:val="24"/>
        </w:rPr>
        <w:t>En ese orden de ideas, propuso como excepciones de mérito las que denominó “Inexistencia de la obligación</w:t>
      </w:r>
      <w:r w:rsidR="00E93B5A" w:rsidRPr="00784A41">
        <w:rPr>
          <w:rStyle w:val="normaltextrun"/>
          <w:rFonts w:cs="Tahoma"/>
          <w:szCs w:val="24"/>
        </w:rPr>
        <w:t xml:space="preserve">”, “Cobro de lo no debido”, “Improcedencia de los intereses </w:t>
      </w:r>
      <w:r w:rsidR="00E93B5A" w:rsidRPr="00784A41">
        <w:rPr>
          <w:rStyle w:val="normaltextrun"/>
          <w:rFonts w:cs="Tahoma"/>
          <w:szCs w:val="24"/>
        </w:rPr>
        <w:lastRenderedPageBreak/>
        <w:t xml:space="preserve">moratorios”, “Buena fe”, “Prescripción”, “Imposibilidad de condena en costas” y “Genérica”. </w:t>
      </w:r>
    </w:p>
    <w:p w14:paraId="4FDBC37E" w14:textId="77777777" w:rsidR="00E121A5" w:rsidRPr="00784A41" w:rsidRDefault="00E121A5" w:rsidP="00784A41">
      <w:pPr>
        <w:spacing w:line="276" w:lineRule="auto"/>
        <w:ind w:firstLine="708"/>
        <w:rPr>
          <w:rStyle w:val="normaltextrun"/>
          <w:rFonts w:cs="Tahoma"/>
          <w:szCs w:val="24"/>
        </w:rPr>
      </w:pPr>
    </w:p>
    <w:p w14:paraId="3CE7A040" w14:textId="77777777" w:rsidR="00E121A5" w:rsidRPr="00784A41" w:rsidRDefault="00E121A5" w:rsidP="00784A41">
      <w:pPr>
        <w:pStyle w:val="Prrafodelista"/>
        <w:numPr>
          <w:ilvl w:val="0"/>
          <w:numId w:val="1"/>
        </w:numPr>
        <w:spacing w:line="276" w:lineRule="auto"/>
        <w:ind w:left="426" w:hanging="426"/>
        <w:jc w:val="center"/>
        <w:rPr>
          <w:rFonts w:cs="Tahoma"/>
          <w:b/>
          <w:bCs/>
          <w:szCs w:val="24"/>
        </w:rPr>
      </w:pPr>
      <w:r w:rsidRPr="00784A41">
        <w:rPr>
          <w:rFonts w:cs="Tahoma"/>
          <w:b/>
          <w:bCs/>
          <w:szCs w:val="24"/>
        </w:rPr>
        <w:t>Sentencia de primera instancia</w:t>
      </w:r>
    </w:p>
    <w:p w14:paraId="1CFB8B2C" w14:textId="77777777" w:rsidR="00E121A5" w:rsidRPr="00784A41" w:rsidRDefault="00E121A5" w:rsidP="00784A41">
      <w:pPr>
        <w:spacing w:line="276" w:lineRule="auto"/>
        <w:ind w:left="360"/>
        <w:rPr>
          <w:rFonts w:cs="Tahoma"/>
          <w:b/>
          <w:bCs/>
          <w:szCs w:val="24"/>
        </w:rPr>
      </w:pPr>
    </w:p>
    <w:p w14:paraId="7916DB3E" w14:textId="5F1EA2C3" w:rsidR="00E121A5" w:rsidRPr="00784A41" w:rsidRDefault="00E121A5" w:rsidP="00784A41">
      <w:pPr>
        <w:spacing w:line="276" w:lineRule="auto"/>
        <w:ind w:firstLine="708"/>
        <w:rPr>
          <w:rFonts w:cs="Tahoma"/>
          <w:szCs w:val="24"/>
        </w:rPr>
      </w:pPr>
      <w:r w:rsidRPr="00784A41">
        <w:rPr>
          <w:rFonts w:cs="Tahoma"/>
          <w:szCs w:val="24"/>
        </w:rPr>
        <w:t xml:space="preserve">La Jueza de primera instancia </w:t>
      </w:r>
      <w:r w:rsidR="0068138F" w:rsidRPr="00784A41">
        <w:rPr>
          <w:rFonts w:cs="Tahoma"/>
          <w:szCs w:val="24"/>
        </w:rPr>
        <w:t xml:space="preserve">declaró probada la excepción de inexistencia de la obligación propuesta por Colpensiones y negó las pretensiones de la demanda incoada por la señora María Magnolia Ledesma Sánchez, última a quien condenó en costas procesales. </w:t>
      </w:r>
    </w:p>
    <w:p w14:paraId="376DDF0B" w14:textId="77777777" w:rsidR="00E121A5" w:rsidRPr="00784A41" w:rsidRDefault="00E121A5" w:rsidP="00784A41">
      <w:pPr>
        <w:pStyle w:val="Sinespaciado"/>
        <w:spacing w:line="276" w:lineRule="auto"/>
        <w:rPr>
          <w:rFonts w:ascii="Tahoma" w:hAnsi="Tahoma" w:cs="Tahoma"/>
        </w:rPr>
      </w:pPr>
    </w:p>
    <w:p w14:paraId="58B16BFC" w14:textId="29035AF3" w:rsidR="00322C38" w:rsidRPr="00784A41" w:rsidRDefault="00E121A5" w:rsidP="00784A41">
      <w:pPr>
        <w:spacing w:line="276" w:lineRule="auto"/>
        <w:ind w:firstLine="708"/>
        <w:rPr>
          <w:rFonts w:cs="Tahoma"/>
          <w:szCs w:val="24"/>
        </w:rPr>
      </w:pPr>
      <w:r w:rsidRPr="00784A41">
        <w:rPr>
          <w:rFonts w:cs="Tahoma"/>
          <w:szCs w:val="24"/>
        </w:rPr>
        <w:t xml:space="preserve">Para arribar a tal determinación la A-quo consideró, </w:t>
      </w:r>
      <w:r w:rsidR="00EE28D8" w:rsidRPr="00784A41">
        <w:rPr>
          <w:rFonts w:cs="Tahoma"/>
          <w:szCs w:val="24"/>
        </w:rPr>
        <w:t xml:space="preserve">una vez efectuado un recuento normativo respecto al convenio interadministrativo Colombia- España </w:t>
      </w:r>
      <w:r w:rsidR="00142457" w:rsidRPr="00784A41">
        <w:rPr>
          <w:rFonts w:cs="Tahoma"/>
          <w:szCs w:val="24"/>
        </w:rPr>
        <w:t xml:space="preserve">para el </w:t>
      </w:r>
      <w:r w:rsidR="00EE28D8" w:rsidRPr="00784A41">
        <w:rPr>
          <w:rFonts w:cs="Tahoma"/>
          <w:szCs w:val="24"/>
        </w:rPr>
        <w:t>reconocimiento de pensiones</w:t>
      </w:r>
      <w:r w:rsidR="00142457" w:rsidRPr="00784A41">
        <w:rPr>
          <w:rFonts w:cs="Tahoma"/>
          <w:szCs w:val="24"/>
        </w:rPr>
        <w:t xml:space="preserve"> en uno y otro Estado, </w:t>
      </w:r>
      <w:r w:rsidR="00322C38" w:rsidRPr="00784A41">
        <w:rPr>
          <w:rFonts w:cs="Tahoma"/>
          <w:szCs w:val="24"/>
        </w:rPr>
        <w:t>que,</w:t>
      </w:r>
      <w:r w:rsidR="00142457" w:rsidRPr="00784A41">
        <w:rPr>
          <w:rFonts w:cs="Tahoma"/>
          <w:szCs w:val="24"/>
        </w:rPr>
        <w:t xml:space="preserve"> aunque sea procedente el estudio de la prestación conforme al Acuerdo 049 de 1990, al ser beneficiaria la demandante del régimen de transición por tener al 01 de abril de 1994, </w:t>
      </w:r>
      <w:r w:rsidR="00322C38" w:rsidRPr="00784A41">
        <w:rPr>
          <w:rFonts w:cs="Tahoma"/>
          <w:szCs w:val="24"/>
        </w:rPr>
        <w:t>40</w:t>
      </w:r>
      <w:r w:rsidR="00142457" w:rsidRPr="00784A41">
        <w:rPr>
          <w:rFonts w:cs="Tahoma"/>
          <w:szCs w:val="24"/>
        </w:rPr>
        <w:t xml:space="preserve"> de edad, no alcanzó la densidad de semanas necesarias para </w:t>
      </w:r>
      <w:r w:rsidR="00322C38" w:rsidRPr="00784A41">
        <w:rPr>
          <w:rFonts w:cs="Tahoma"/>
          <w:szCs w:val="24"/>
        </w:rPr>
        <w:t xml:space="preserve">reconocimiento deprecado, en la medida que en los 20 años que antecedieron al cumplimiento de sus 55 años tan solo alcanzó 479.96 semanas y, al 31 de julio de 2010 no acumuló 1.000 semanas para causar las prestación ni tampoco las 750 requeridas para conservar el régimen de transición hasta el 31 de diciembre de 2014. </w:t>
      </w:r>
    </w:p>
    <w:p w14:paraId="393A29D7" w14:textId="77777777" w:rsidR="00245F6A" w:rsidRPr="00784A41" w:rsidRDefault="00245F6A" w:rsidP="00784A41">
      <w:pPr>
        <w:pStyle w:val="Sinespaciado"/>
        <w:spacing w:line="276" w:lineRule="auto"/>
        <w:rPr>
          <w:rFonts w:ascii="Tahoma" w:hAnsi="Tahoma" w:cs="Tahoma"/>
        </w:rPr>
      </w:pPr>
    </w:p>
    <w:p w14:paraId="50D962F0" w14:textId="00D9ED66" w:rsidR="007918F9" w:rsidRPr="00784A41" w:rsidRDefault="007918F9" w:rsidP="00784A41">
      <w:pPr>
        <w:pStyle w:val="Prrafodelista"/>
        <w:numPr>
          <w:ilvl w:val="0"/>
          <w:numId w:val="1"/>
        </w:numPr>
        <w:spacing w:line="276" w:lineRule="auto"/>
        <w:jc w:val="center"/>
        <w:rPr>
          <w:rFonts w:cs="Tahoma"/>
          <w:b/>
          <w:bCs/>
          <w:szCs w:val="24"/>
        </w:rPr>
      </w:pPr>
      <w:r w:rsidRPr="00784A41">
        <w:rPr>
          <w:rFonts w:cs="Tahoma"/>
          <w:b/>
          <w:bCs/>
          <w:szCs w:val="24"/>
        </w:rPr>
        <w:t>Recursos de apelación y procedencia de la consulta</w:t>
      </w:r>
    </w:p>
    <w:p w14:paraId="6E176883" w14:textId="77777777" w:rsidR="00680CCA" w:rsidRPr="00784A41" w:rsidRDefault="00680CCA" w:rsidP="00784A41">
      <w:pPr>
        <w:pStyle w:val="Sinespaciado"/>
        <w:spacing w:line="276" w:lineRule="auto"/>
        <w:rPr>
          <w:rFonts w:ascii="Tahoma" w:hAnsi="Tahoma" w:cs="Tahoma"/>
        </w:rPr>
      </w:pPr>
    </w:p>
    <w:p w14:paraId="2E5B4510" w14:textId="0E10137A" w:rsidR="00F07EDB" w:rsidRPr="00784A41" w:rsidRDefault="00680CCA" w:rsidP="00784A41">
      <w:pPr>
        <w:spacing w:line="276" w:lineRule="auto"/>
        <w:ind w:firstLine="708"/>
        <w:rPr>
          <w:rFonts w:cs="Tahoma"/>
          <w:szCs w:val="24"/>
        </w:rPr>
      </w:pPr>
      <w:r w:rsidRPr="00784A41">
        <w:rPr>
          <w:rFonts w:cs="Tahoma"/>
          <w:szCs w:val="24"/>
        </w:rPr>
        <w:t>La</w:t>
      </w:r>
      <w:r w:rsidR="007918F9" w:rsidRPr="00784A41">
        <w:rPr>
          <w:rFonts w:cs="Tahoma"/>
          <w:szCs w:val="24"/>
        </w:rPr>
        <w:t xml:space="preserve"> apoderad</w:t>
      </w:r>
      <w:r w:rsidRPr="00784A41">
        <w:rPr>
          <w:rFonts w:cs="Tahoma"/>
          <w:szCs w:val="24"/>
        </w:rPr>
        <w:t>a</w:t>
      </w:r>
      <w:r w:rsidR="007918F9" w:rsidRPr="00784A41">
        <w:rPr>
          <w:rFonts w:cs="Tahoma"/>
          <w:szCs w:val="24"/>
        </w:rPr>
        <w:t xml:space="preserve"> de</w:t>
      </w:r>
      <w:r w:rsidR="00322C38" w:rsidRPr="00784A41">
        <w:rPr>
          <w:rFonts w:cs="Tahoma"/>
          <w:szCs w:val="24"/>
        </w:rPr>
        <w:t xml:space="preserve"> </w:t>
      </w:r>
      <w:r w:rsidR="007918F9" w:rsidRPr="00784A41">
        <w:rPr>
          <w:rFonts w:cs="Tahoma"/>
          <w:szCs w:val="24"/>
        </w:rPr>
        <w:t>l</w:t>
      </w:r>
      <w:r w:rsidR="00322C38" w:rsidRPr="00784A41">
        <w:rPr>
          <w:rFonts w:cs="Tahoma"/>
          <w:szCs w:val="24"/>
        </w:rPr>
        <w:t xml:space="preserve">a </w:t>
      </w:r>
      <w:r w:rsidR="007918F9" w:rsidRPr="00784A41">
        <w:rPr>
          <w:rFonts w:cs="Tahoma"/>
          <w:szCs w:val="24"/>
        </w:rPr>
        <w:t>demandante apeló la decisión de instancia</w:t>
      </w:r>
      <w:r w:rsidR="00322C38" w:rsidRPr="00784A41">
        <w:rPr>
          <w:rFonts w:cs="Tahoma"/>
          <w:szCs w:val="24"/>
        </w:rPr>
        <w:t xml:space="preserve">, sustentando su inconformidad en </w:t>
      </w:r>
      <w:r w:rsidR="007034FF" w:rsidRPr="00784A41">
        <w:rPr>
          <w:rFonts w:cs="Tahoma"/>
          <w:szCs w:val="24"/>
        </w:rPr>
        <w:t>que,</w:t>
      </w:r>
      <w:r w:rsidR="00322C38" w:rsidRPr="00784A41">
        <w:rPr>
          <w:rFonts w:cs="Tahoma"/>
          <w:szCs w:val="24"/>
        </w:rPr>
        <w:t xml:space="preserve"> al revisar la historia laboral de su poderdante, la misma cuenta con </w:t>
      </w:r>
      <w:r w:rsidR="00322C38" w:rsidRPr="00784A41">
        <w:rPr>
          <w:rStyle w:val="normaltextrun"/>
          <w:rFonts w:cs="Tahoma"/>
          <w:szCs w:val="24"/>
        </w:rPr>
        <w:t xml:space="preserve">451.29 semanas cotizadas a Colpensiones y </w:t>
      </w:r>
      <w:r w:rsidR="007034FF" w:rsidRPr="00784A41">
        <w:rPr>
          <w:rStyle w:val="normaltextrun"/>
          <w:rFonts w:cs="Tahoma"/>
          <w:szCs w:val="24"/>
        </w:rPr>
        <w:t>48</w:t>
      </w:r>
      <w:r w:rsidR="00322C38" w:rsidRPr="00784A41">
        <w:rPr>
          <w:rStyle w:val="normaltextrun"/>
          <w:rFonts w:cs="Tahoma"/>
          <w:szCs w:val="24"/>
        </w:rPr>
        <w:t xml:space="preserve"> aportadas en el Reino de España, alcanzando así las 500 semanas exigidas </w:t>
      </w:r>
      <w:r w:rsidR="00987326" w:rsidRPr="00784A41">
        <w:rPr>
          <w:rStyle w:val="normaltextrun"/>
          <w:rFonts w:cs="Tahoma"/>
          <w:szCs w:val="24"/>
        </w:rPr>
        <w:t>por el Acuerdo 049 de 1990, de</w:t>
      </w:r>
      <w:r w:rsidR="00322C38" w:rsidRPr="00784A41">
        <w:rPr>
          <w:rStyle w:val="normaltextrun"/>
          <w:rFonts w:cs="Tahoma"/>
          <w:szCs w:val="24"/>
        </w:rPr>
        <w:t>n</w:t>
      </w:r>
      <w:r w:rsidR="00987326" w:rsidRPr="00784A41">
        <w:rPr>
          <w:rStyle w:val="normaltextrun"/>
          <w:rFonts w:cs="Tahoma"/>
          <w:szCs w:val="24"/>
        </w:rPr>
        <w:t>tro de</w:t>
      </w:r>
      <w:r w:rsidR="00322C38" w:rsidRPr="00784A41">
        <w:rPr>
          <w:rStyle w:val="normaltextrun"/>
          <w:rFonts w:cs="Tahoma"/>
          <w:szCs w:val="24"/>
        </w:rPr>
        <w:t xml:space="preserve"> los 20 años anteriores al cumplimiento de los 55 años. </w:t>
      </w:r>
    </w:p>
    <w:p w14:paraId="497E98C5" w14:textId="77777777" w:rsidR="00C007D1" w:rsidRPr="00784A41" w:rsidRDefault="00C007D1" w:rsidP="00784A41">
      <w:pPr>
        <w:pStyle w:val="Sinespaciado"/>
        <w:spacing w:line="276" w:lineRule="auto"/>
        <w:rPr>
          <w:rFonts w:ascii="Tahoma" w:hAnsi="Tahoma" w:cs="Tahoma"/>
        </w:rPr>
      </w:pPr>
    </w:p>
    <w:p w14:paraId="771B2564" w14:textId="072CE957" w:rsidR="00B33A2C" w:rsidRPr="00784A41" w:rsidRDefault="00B33A2C" w:rsidP="00784A41">
      <w:pPr>
        <w:pStyle w:val="Prrafodelista"/>
        <w:numPr>
          <w:ilvl w:val="0"/>
          <w:numId w:val="1"/>
        </w:numPr>
        <w:spacing w:line="276" w:lineRule="auto"/>
        <w:jc w:val="center"/>
        <w:rPr>
          <w:rFonts w:eastAsia="Times New Roman" w:cs="Tahoma"/>
          <w:b/>
          <w:bCs/>
          <w:szCs w:val="24"/>
          <w:lang w:eastAsia="es-ES"/>
        </w:rPr>
      </w:pPr>
      <w:r w:rsidRPr="00784A41">
        <w:rPr>
          <w:rFonts w:eastAsia="Times New Roman" w:cs="Tahoma"/>
          <w:b/>
          <w:bCs/>
          <w:szCs w:val="24"/>
          <w:lang w:eastAsia="es-ES"/>
        </w:rPr>
        <w:t>Alegatos de conclusión</w:t>
      </w:r>
    </w:p>
    <w:p w14:paraId="67765DB8" w14:textId="77777777" w:rsidR="00B33A2C" w:rsidRPr="00784A41" w:rsidRDefault="00B33A2C" w:rsidP="00784A41">
      <w:pPr>
        <w:pStyle w:val="Sinespaciado"/>
        <w:spacing w:line="276" w:lineRule="auto"/>
        <w:rPr>
          <w:rFonts w:ascii="Tahoma" w:hAnsi="Tahoma" w:cs="Tahoma"/>
        </w:rPr>
      </w:pPr>
    </w:p>
    <w:p w14:paraId="5FB4A20D" w14:textId="7CDC3296" w:rsidR="00302CBB" w:rsidRPr="00784A41" w:rsidRDefault="00B33A2C" w:rsidP="00784A41">
      <w:pPr>
        <w:spacing w:line="276" w:lineRule="auto"/>
        <w:ind w:firstLine="708"/>
        <w:rPr>
          <w:rFonts w:cs="Tahoma"/>
          <w:szCs w:val="24"/>
        </w:rPr>
      </w:pPr>
      <w:r w:rsidRPr="00784A41">
        <w:rPr>
          <w:rFonts w:cs="Tahoma"/>
          <w:szCs w:val="24"/>
        </w:rPr>
        <w:t xml:space="preserve">Analizados los alegatos presentados por </w:t>
      </w:r>
      <w:r w:rsidR="00443E23" w:rsidRPr="00784A41">
        <w:rPr>
          <w:rFonts w:cs="Tahoma"/>
          <w:szCs w:val="24"/>
        </w:rPr>
        <w:t xml:space="preserve">Colpensiones </w:t>
      </w:r>
      <w:r w:rsidRPr="00784A41">
        <w:rPr>
          <w:rFonts w:cs="Tahoma"/>
          <w:szCs w:val="24"/>
        </w:rPr>
        <w:t xml:space="preserve">mediante escrito que obra en el expediente digital y al cual nos remitimos por economía procesal en virtud del artículo 280 del C.G.P., la Sala encuentra que los argumentos fácticos y jurídicos expresados concuerdan con los puntos objeto de discusión en esta instancia y se relacionan con el problema jurídico que se expresa a continuación. De otra parte, el Ministerio Público </w:t>
      </w:r>
      <w:r w:rsidR="002D3547" w:rsidRPr="00784A41">
        <w:rPr>
          <w:rFonts w:cs="Tahoma"/>
          <w:szCs w:val="24"/>
        </w:rPr>
        <w:t xml:space="preserve">NO </w:t>
      </w:r>
      <w:r w:rsidRPr="00784A41">
        <w:rPr>
          <w:rFonts w:cs="Tahoma"/>
          <w:szCs w:val="24"/>
        </w:rPr>
        <w:t>rindió concepto</w:t>
      </w:r>
      <w:r w:rsidR="00302CBB" w:rsidRPr="00784A41">
        <w:rPr>
          <w:rFonts w:cs="Tahoma"/>
          <w:szCs w:val="24"/>
        </w:rPr>
        <w:t>.</w:t>
      </w:r>
    </w:p>
    <w:p w14:paraId="4E1B0F7E" w14:textId="77777777" w:rsidR="00446E3B" w:rsidRPr="00784A41" w:rsidRDefault="00446E3B" w:rsidP="00784A41">
      <w:pPr>
        <w:spacing w:line="276" w:lineRule="auto"/>
        <w:rPr>
          <w:rFonts w:cs="Tahoma"/>
          <w:szCs w:val="24"/>
        </w:rPr>
      </w:pPr>
    </w:p>
    <w:p w14:paraId="50418479" w14:textId="45A30467" w:rsidR="00B33A2C" w:rsidRPr="00784A41" w:rsidRDefault="00B33A2C" w:rsidP="00784A41">
      <w:pPr>
        <w:numPr>
          <w:ilvl w:val="0"/>
          <w:numId w:val="1"/>
        </w:numPr>
        <w:spacing w:line="276" w:lineRule="auto"/>
        <w:contextualSpacing/>
        <w:jc w:val="center"/>
        <w:rPr>
          <w:rFonts w:eastAsia="Times New Roman" w:cs="Tahoma"/>
          <w:b/>
          <w:bCs/>
          <w:szCs w:val="24"/>
          <w:lang w:eastAsia="es-ES"/>
        </w:rPr>
      </w:pPr>
      <w:r w:rsidRPr="00784A41">
        <w:rPr>
          <w:rFonts w:eastAsia="Times New Roman" w:cs="Tahoma"/>
          <w:b/>
          <w:bCs/>
          <w:szCs w:val="24"/>
          <w:lang w:eastAsia="es-ES"/>
        </w:rPr>
        <w:t>Problema</w:t>
      </w:r>
      <w:r w:rsidR="002D3547" w:rsidRPr="00784A41">
        <w:rPr>
          <w:rFonts w:eastAsia="Times New Roman" w:cs="Tahoma"/>
          <w:b/>
          <w:bCs/>
          <w:szCs w:val="24"/>
          <w:lang w:eastAsia="es-ES"/>
        </w:rPr>
        <w:t>s</w:t>
      </w:r>
      <w:r w:rsidRPr="00784A41">
        <w:rPr>
          <w:rFonts w:eastAsia="Times New Roman" w:cs="Tahoma"/>
          <w:b/>
          <w:bCs/>
          <w:szCs w:val="24"/>
          <w:lang w:eastAsia="es-ES"/>
        </w:rPr>
        <w:t xml:space="preserve"> jurídicos por resolver</w:t>
      </w:r>
    </w:p>
    <w:p w14:paraId="7C83EFF1" w14:textId="77777777" w:rsidR="00B33A2C" w:rsidRPr="00784A41" w:rsidRDefault="00B33A2C" w:rsidP="00784A41">
      <w:pPr>
        <w:spacing w:line="276" w:lineRule="auto"/>
        <w:rPr>
          <w:rFonts w:cs="Tahoma"/>
          <w:szCs w:val="24"/>
        </w:rPr>
      </w:pPr>
      <w:r w:rsidRPr="00784A41">
        <w:rPr>
          <w:rFonts w:cs="Tahoma"/>
          <w:szCs w:val="24"/>
        </w:rPr>
        <w:t> </w:t>
      </w:r>
    </w:p>
    <w:p w14:paraId="5E675B22" w14:textId="76A3EF99" w:rsidR="006D686F" w:rsidRPr="00784A41" w:rsidRDefault="00F73729" w:rsidP="00784A41">
      <w:pPr>
        <w:spacing w:line="276" w:lineRule="auto"/>
        <w:ind w:firstLine="360"/>
        <w:rPr>
          <w:rFonts w:cs="Tahoma"/>
          <w:szCs w:val="24"/>
        </w:rPr>
      </w:pPr>
      <w:r w:rsidRPr="00784A41">
        <w:rPr>
          <w:rFonts w:cs="Tahoma"/>
          <w:szCs w:val="24"/>
        </w:rPr>
        <w:t>De acuerdo a los argumentos expuestos en la sentencia de primera instancia</w:t>
      </w:r>
      <w:r w:rsidR="00817FD2" w:rsidRPr="00784A41">
        <w:rPr>
          <w:rFonts w:cs="Tahoma"/>
          <w:szCs w:val="24"/>
        </w:rPr>
        <w:t xml:space="preserve"> y el esquema del recurso de apelación, </w:t>
      </w:r>
      <w:r w:rsidRPr="00784A41">
        <w:rPr>
          <w:rFonts w:cs="Tahoma"/>
          <w:szCs w:val="24"/>
        </w:rPr>
        <w:t xml:space="preserve">le corresponde a la Sala determinar </w:t>
      </w:r>
      <w:r w:rsidR="003D5398" w:rsidRPr="00784A41">
        <w:rPr>
          <w:rFonts w:cs="Tahoma"/>
          <w:szCs w:val="24"/>
        </w:rPr>
        <w:t>si l</w:t>
      </w:r>
      <w:r w:rsidR="00817FD2" w:rsidRPr="00784A41">
        <w:rPr>
          <w:rFonts w:cs="Tahoma"/>
          <w:szCs w:val="24"/>
        </w:rPr>
        <w:t>a</w:t>
      </w:r>
      <w:r w:rsidR="003D5398" w:rsidRPr="00784A41">
        <w:rPr>
          <w:rFonts w:cs="Tahoma"/>
          <w:szCs w:val="24"/>
        </w:rPr>
        <w:t xml:space="preserve"> demandante cumple los requisitos para acceder a la pensión de vejez consagrada en el Acuerdo 049 de 1990, en virtud del régimen de transición, </w:t>
      </w:r>
      <w:r w:rsidR="00817FD2" w:rsidRPr="00784A41">
        <w:rPr>
          <w:rFonts w:cs="Tahoma"/>
          <w:szCs w:val="24"/>
        </w:rPr>
        <w:t xml:space="preserve">contabilizando para ello </w:t>
      </w:r>
      <w:r w:rsidR="003D5398" w:rsidRPr="00784A41">
        <w:rPr>
          <w:rFonts w:cs="Tahoma"/>
          <w:szCs w:val="24"/>
        </w:rPr>
        <w:t>los periodos cotizados en España.</w:t>
      </w:r>
      <w:r w:rsidR="006D686F" w:rsidRPr="00784A41">
        <w:rPr>
          <w:rFonts w:cs="Tahoma"/>
          <w:szCs w:val="24"/>
        </w:rPr>
        <w:t xml:space="preserve"> </w:t>
      </w:r>
    </w:p>
    <w:p w14:paraId="2A742690" w14:textId="44F81E55" w:rsidR="00446E3B" w:rsidRPr="00784A41" w:rsidRDefault="00446E3B" w:rsidP="00784A41">
      <w:pPr>
        <w:pStyle w:val="Sinespaciado"/>
        <w:spacing w:line="276" w:lineRule="auto"/>
        <w:rPr>
          <w:rFonts w:ascii="Tahoma" w:hAnsi="Tahoma" w:cs="Tahoma"/>
        </w:rPr>
      </w:pPr>
    </w:p>
    <w:p w14:paraId="3EE8E8E6" w14:textId="12DFE522" w:rsidR="003D5398" w:rsidRPr="00784A41" w:rsidRDefault="003D5398" w:rsidP="00784A41">
      <w:pPr>
        <w:pStyle w:val="Prrafodelista"/>
        <w:widowControl w:val="0"/>
        <w:numPr>
          <w:ilvl w:val="0"/>
          <w:numId w:val="1"/>
        </w:numPr>
        <w:tabs>
          <w:tab w:val="left" w:pos="284"/>
        </w:tabs>
        <w:autoSpaceDE w:val="0"/>
        <w:autoSpaceDN w:val="0"/>
        <w:adjustRightInd w:val="0"/>
        <w:spacing w:line="276" w:lineRule="auto"/>
        <w:ind w:left="0" w:firstLine="0"/>
        <w:jc w:val="center"/>
        <w:rPr>
          <w:rFonts w:cs="Tahoma"/>
          <w:b/>
          <w:szCs w:val="24"/>
        </w:rPr>
      </w:pPr>
      <w:r w:rsidRPr="00784A41">
        <w:rPr>
          <w:rFonts w:cs="Tahoma"/>
          <w:b/>
          <w:szCs w:val="24"/>
        </w:rPr>
        <w:lastRenderedPageBreak/>
        <w:t>Consideraciones</w:t>
      </w:r>
    </w:p>
    <w:p w14:paraId="6207F3C0" w14:textId="77777777" w:rsidR="00D245AE" w:rsidRPr="00784A41" w:rsidRDefault="00D245AE" w:rsidP="00784A41">
      <w:pPr>
        <w:spacing w:line="276" w:lineRule="auto"/>
        <w:ind w:firstLine="708"/>
        <w:rPr>
          <w:rFonts w:cs="Tahoma"/>
          <w:szCs w:val="24"/>
        </w:rPr>
      </w:pPr>
    </w:p>
    <w:p w14:paraId="14F59C42" w14:textId="3A2935D4" w:rsidR="000024DC" w:rsidRPr="00784A41" w:rsidRDefault="000024DC" w:rsidP="00784A41">
      <w:pPr>
        <w:pStyle w:val="Prrafodelista"/>
        <w:numPr>
          <w:ilvl w:val="1"/>
          <w:numId w:val="22"/>
        </w:numPr>
        <w:spacing w:line="276" w:lineRule="auto"/>
        <w:ind w:left="709" w:firstLine="0"/>
        <w:rPr>
          <w:rFonts w:cs="Tahoma"/>
          <w:b/>
          <w:bCs/>
          <w:szCs w:val="24"/>
        </w:rPr>
      </w:pPr>
      <w:r w:rsidRPr="00784A41">
        <w:rPr>
          <w:rFonts w:cs="Tahoma"/>
          <w:b/>
          <w:bCs/>
          <w:szCs w:val="24"/>
        </w:rPr>
        <w:t>Aspectos generales del “Convenio de Seguridad Social entre la República de Colombia y España”.</w:t>
      </w:r>
    </w:p>
    <w:p w14:paraId="2D783FA2" w14:textId="77777777" w:rsidR="000024DC" w:rsidRPr="00784A41" w:rsidRDefault="000024DC" w:rsidP="00784A41">
      <w:pPr>
        <w:spacing w:line="276" w:lineRule="auto"/>
        <w:rPr>
          <w:rFonts w:cs="Tahoma"/>
          <w:b/>
          <w:szCs w:val="24"/>
        </w:rPr>
      </w:pPr>
    </w:p>
    <w:p w14:paraId="792DF168"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El 6 de septiembre de 2005 la República de Colombia celebró con el Reino de España un Convenio de Seguridad Social, con el fin de “</w:t>
      </w:r>
      <w:r w:rsidRPr="00573D45">
        <w:rPr>
          <w:rFonts w:cs="Tahoma"/>
          <w:i/>
          <w:iCs/>
          <w:color w:val="000000" w:themeColor="text1"/>
          <w:sz w:val="22"/>
          <w:szCs w:val="24"/>
        </w:rPr>
        <w:t>asegurar a los trabajadores de cada uno de los dos Estados que ejerzan o hayan ejercido una actividad profesional en el otro, una mejor garantía de sus derechos</w:t>
      </w:r>
      <w:r w:rsidRPr="00784A41">
        <w:rPr>
          <w:rFonts w:cs="Tahoma"/>
          <w:i/>
          <w:iCs/>
          <w:color w:val="000000" w:themeColor="text1"/>
          <w:szCs w:val="24"/>
        </w:rPr>
        <w:t xml:space="preserve">”. </w:t>
      </w:r>
      <w:r w:rsidRPr="00784A41">
        <w:rPr>
          <w:rFonts w:cs="Tahoma"/>
          <w:color w:val="000000" w:themeColor="text1"/>
          <w:szCs w:val="24"/>
        </w:rPr>
        <w:t>Dicho convenio se aprobó y desarrolló a través de la ley 1112 del 27 de diciembre de 2006, y, tras la celebración de un Acuerdo Administrativo sobre Seguridad Social el 28 de enero del 2008, se puso en vigor el 1º de marzo de 2008.</w:t>
      </w:r>
    </w:p>
    <w:p w14:paraId="72930E86" w14:textId="77777777" w:rsidR="000024DC" w:rsidRPr="00784A41" w:rsidRDefault="000024DC" w:rsidP="00784A41">
      <w:pPr>
        <w:spacing w:line="276" w:lineRule="auto"/>
        <w:ind w:firstLine="708"/>
        <w:rPr>
          <w:rFonts w:cs="Tahoma"/>
          <w:color w:val="000000" w:themeColor="text1"/>
          <w:szCs w:val="24"/>
        </w:rPr>
      </w:pPr>
    </w:p>
    <w:p w14:paraId="0EA132AE"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Este convenio se aplica a los trabajadores españoles y colombianos que estén o hayan estado sujetos a las legislaciones de Seguridad Social en Colombia, España o ambos países, así como a sus familiares, beneficiarios y sobrevivientes y brinda la posibilidad de acumular para efectos pensionales el tiempo cotizado en España o en Colombia, para tener derecho a las prestaciones que la seguridad social otorga, en condiciones de igualdad. En virtud del convenio, en España quedan cubiertos la incapacidad permanente, muerte y supervivencia por enfermedad común o accidente no laboral y jubilación, y en Colombia, cubre los riesgos de vejez, invalidez y muerte de origen común.</w:t>
      </w:r>
    </w:p>
    <w:p w14:paraId="5921E466" w14:textId="77777777" w:rsidR="000024DC" w:rsidRPr="00784A41" w:rsidRDefault="000024DC" w:rsidP="00784A41">
      <w:pPr>
        <w:pStyle w:val="Sinespaciado"/>
        <w:spacing w:line="276" w:lineRule="auto"/>
        <w:rPr>
          <w:rFonts w:ascii="Tahoma" w:hAnsi="Tahoma" w:cs="Tahoma"/>
        </w:rPr>
      </w:pPr>
    </w:p>
    <w:p w14:paraId="0443F6D3"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Para efectos de la resolución del presente asunto, conviene hacer un breve recuento de algunas normas contenidas en el citado Convenio y en el Acuerdo Administrativo, así:</w:t>
      </w:r>
    </w:p>
    <w:p w14:paraId="3E60A0FE" w14:textId="77777777" w:rsidR="000024DC" w:rsidRPr="00784A41" w:rsidRDefault="000024DC" w:rsidP="00784A41">
      <w:pPr>
        <w:pStyle w:val="Sinespaciado"/>
        <w:spacing w:line="276" w:lineRule="auto"/>
        <w:rPr>
          <w:rFonts w:ascii="Tahoma" w:hAnsi="Tahoma" w:cs="Tahoma"/>
        </w:rPr>
      </w:pPr>
    </w:p>
    <w:p w14:paraId="1C0D0DC9" w14:textId="77777777" w:rsidR="000024DC" w:rsidRPr="00784A41" w:rsidRDefault="000024DC" w:rsidP="00784A41">
      <w:pPr>
        <w:spacing w:line="276" w:lineRule="auto"/>
        <w:ind w:firstLine="708"/>
        <w:rPr>
          <w:rFonts w:cs="Tahoma"/>
          <w:color w:val="000000" w:themeColor="text1"/>
          <w:szCs w:val="24"/>
        </w:rPr>
      </w:pPr>
      <w:bookmarkStart w:id="4" w:name="OLE_LINK187"/>
      <w:r w:rsidRPr="00784A41">
        <w:rPr>
          <w:rFonts w:cs="Tahoma"/>
          <w:color w:val="000000" w:themeColor="text1"/>
          <w:szCs w:val="24"/>
        </w:rPr>
        <w:t>El artículo 2º del Convenio establece el campo de aplicación material disponiendo que para el caso de Colombia el Convenio se aplicará a la legislación relativa a las prestaciones económicas dispuestas en el Sistema General de Pensiones (Prima Media con Prestación Definida y Ahorro Individual con Solidaridad), en cuanto a vejez, invalidez y sobrevivientes, de origen común. Ahora, en cuanto al término “legislación”, previó el Convenio en el literal b) del artículo 1º que por tal se entiende “</w:t>
      </w:r>
      <w:r w:rsidRPr="00573D45">
        <w:rPr>
          <w:rFonts w:cs="Tahoma"/>
          <w:i/>
          <w:iCs/>
          <w:color w:val="000000" w:themeColor="text1"/>
          <w:sz w:val="22"/>
          <w:szCs w:val="24"/>
        </w:rPr>
        <w:t>las leyes, decretos, reglamentos y demás disposiciones relativas a Seguridad Social vigentes en el territorio de las partes contratantes</w:t>
      </w:r>
      <w:r w:rsidRPr="00784A41">
        <w:rPr>
          <w:rFonts w:cs="Tahoma"/>
          <w:i/>
          <w:iCs/>
          <w:color w:val="000000" w:themeColor="text1"/>
          <w:szCs w:val="24"/>
        </w:rPr>
        <w:t>”.</w:t>
      </w:r>
    </w:p>
    <w:bookmarkEnd w:id="4"/>
    <w:p w14:paraId="3BD6A5DF" w14:textId="77777777" w:rsidR="000024DC" w:rsidRPr="00784A41" w:rsidRDefault="000024DC" w:rsidP="00784A41">
      <w:pPr>
        <w:pStyle w:val="Sinespaciado"/>
        <w:spacing w:line="276" w:lineRule="auto"/>
        <w:rPr>
          <w:rFonts w:ascii="Tahoma" w:hAnsi="Tahoma" w:cs="Tahoma"/>
        </w:rPr>
      </w:pPr>
    </w:p>
    <w:p w14:paraId="34A62B49"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 xml:space="preserve">Más adelante, el artículo 8º del Convenio establece que cuando alguna de las legislaciones condicione la adquisición, reconocimiento o retención de un derecho pensional, la entidad competente tendrá en cuenta los períodos cotizados o aportados al sistema de seguridad social de la otra parte, cuando estos sean necesarios siempre que no se superpongan. A su vez, el art. 9º estipula la forma cómo debe determinarse el derecho y la fórmula aplicable para la liquidación de las prestaciones, en los siguientes términos: </w:t>
      </w:r>
    </w:p>
    <w:p w14:paraId="65D7701A" w14:textId="77777777" w:rsidR="000024DC" w:rsidRPr="00784A41" w:rsidRDefault="000024DC" w:rsidP="00784A41">
      <w:pPr>
        <w:spacing w:line="276" w:lineRule="auto"/>
        <w:ind w:firstLine="708"/>
        <w:rPr>
          <w:rStyle w:val="Refdenotaalpie"/>
          <w:rFonts w:cs="Tahoma"/>
          <w:szCs w:val="24"/>
        </w:rPr>
      </w:pPr>
    </w:p>
    <w:p w14:paraId="14F47475" w14:textId="77777777" w:rsidR="000024DC" w:rsidRPr="00573D45" w:rsidRDefault="000024DC" w:rsidP="00573D45">
      <w:pPr>
        <w:spacing w:line="240" w:lineRule="auto"/>
        <w:ind w:left="426" w:right="420" w:firstLine="708"/>
        <w:rPr>
          <w:rFonts w:cs="Tahoma"/>
          <w:i/>
          <w:iCs/>
          <w:color w:val="000000" w:themeColor="text1"/>
          <w:sz w:val="22"/>
          <w:szCs w:val="24"/>
        </w:rPr>
      </w:pPr>
      <w:r w:rsidRPr="00573D45">
        <w:rPr>
          <w:rFonts w:cs="Tahoma"/>
          <w:i/>
          <w:iCs/>
          <w:color w:val="000000" w:themeColor="text1"/>
          <w:sz w:val="22"/>
          <w:szCs w:val="24"/>
        </w:rPr>
        <w:t xml:space="preserve">“Determinación del derecho y liquidación de las prestaciones: con excepción de lo dispuesto en el artículo 18, el trabajador que haya estado sucesiva o </w:t>
      </w:r>
      <w:r w:rsidRPr="00573D45">
        <w:rPr>
          <w:rFonts w:cs="Tahoma"/>
          <w:i/>
          <w:iCs/>
          <w:color w:val="000000" w:themeColor="text1"/>
          <w:sz w:val="22"/>
          <w:szCs w:val="24"/>
        </w:rPr>
        <w:lastRenderedPageBreak/>
        <w:t>alternativamente sometido a la legislación de una y otra parte contratante tendrá derecho a las prestaciones reguladas en este capítulo en las condiciones siguientes:</w:t>
      </w:r>
    </w:p>
    <w:p w14:paraId="01246C46" w14:textId="77777777" w:rsidR="000024DC" w:rsidRPr="00573D45" w:rsidRDefault="000024DC" w:rsidP="00573D45">
      <w:pPr>
        <w:spacing w:line="240" w:lineRule="auto"/>
        <w:ind w:left="426" w:right="420" w:firstLine="708"/>
        <w:rPr>
          <w:rFonts w:cs="Tahoma"/>
          <w:i/>
          <w:iCs/>
          <w:color w:val="000000" w:themeColor="text1"/>
          <w:sz w:val="22"/>
          <w:szCs w:val="24"/>
        </w:rPr>
      </w:pPr>
    </w:p>
    <w:p w14:paraId="6D5A5CA5" w14:textId="77777777" w:rsidR="000024DC" w:rsidRPr="00573D45" w:rsidRDefault="000024DC" w:rsidP="00573D45">
      <w:pPr>
        <w:pStyle w:val="Prrafodelista"/>
        <w:numPr>
          <w:ilvl w:val="0"/>
          <w:numId w:val="25"/>
        </w:numPr>
        <w:spacing w:line="240" w:lineRule="auto"/>
        <w:ind w:left="426" w:right="420"/>
        <w:rPr>
          <w:rFonts w:cs="Tahoma"/>
          <w:i/>
          <w:iCs/>
          <w:color w:val="000000" w:themeColor="text1"/>
          <w:sz w:val="22"/>
          <w:szCs w:val="24"/>
        </w:rPr>
      </w:pPr>
      <w:bookmarkStart w:id="5" w:name="OLE_LINK191"/>
      <w:r w:rsidRPr="00573D45">
        <w:rPr>
          <w:rFonts w:cs="Tahoma"/>
          <w:i/>
          <w:iCs/>
          <w:color w:val="000000" w:themeColor="text1"/>
          <w:sz w:val="22"/>
          <w:szCs w:val="24"/>
        </w:rPr>
        <w:t>La Institución Competente de cada Parte determinará el derecho y calculará la prestación, teniendo en cuenta únicamente los períodos de seguro o cotización acreditados en esa parte.</w:t>
      </w:r>
    </w:p>
    <w:p w14:paraId="3EA10E05" w14:textId="77777777" w:rsidR="000024DC" w:rsidRPr="00573D45" w:rsidRDefault="000024DC" w:rsidP="00573D45">
      <w:pPr>
        <w:spacing w:line="240" w:lineRule="auto"/>
        <w:ind w:left="426" w:right="420" w:firstLine="708"/>
        <w:rPr>
          <w:rFonts w:cs="Tahoma"/>
          <w:i/>
          <w:iCs/>
          <w:color w:val="000000" w:themeColor="text1"/>
          <w:sz w:val="22"/>
          <w:szCs w:val="24"/>
        </w:rPr>
      </w:pPr>
    </w:p>
    <w:p w14:paraId="43A3A05F" w14:textId="77777777" w:rsidR="000024DC" w:rsidRPr="00573D45" w:rsidRDefault="000024DC" w:rsidP="00573D45">
      <w:pPr>
        <w:pStyle w:val="Prrafodelista"/>
        <w:numPr>
          <w:ilvl w:val="0"/>
          <w:numId w:val="25"/>
        </w:numPr>
        <w:spacing w:line="240" w:lineRule="auto"/>
        <w:ind w:left="426" w:right="420"/>
        <w:rPr>
          <w:rFonts w:cs="Tahoma"/>
          <w:i/>
          <w:iCs/>
          <w:color w:val="000000" w:themeColor="text1"/>
          <w:sz w:val="22"/>
          <w:szCs w:val="24"/>
        </w:rPr>
      </w:pPr>
      <w:r w:rsidRPr="00573D45">
        <w:rPr>
          <w:rFonts w:cs="Tahoma"/>
          <w:i/>
          <w:iCs/>
          <w:color w:val="000000" w:themeColor="text1"/>
          <w:sz w:val="22"/>
          <w:szCs w:val="24"/>
        </w:rPr>
        <w:t>Asimismo, la institución competente de cada parte determinará el derecho a prestaciones totalizando con los propios los periodos de seguro o cotización cumplidos bajo la legislación de la otra parte. Cuando efectuada la totalización se alcance el derecho a la prestación, para el cálculo de la cuantía a pagar, se aplicarán las reglas siguientes:</w:t>
      </w:r>
    </w:p>
    <w:p w14:paraId="774C2C15" w14:textId="77777777" w:rsidR="000024DC" w:rsidRPr="00573D45" w:rsidRDefault="000024DC" w:rsidP="00573D45">
      <w:pPr>
        <w:spacing w:line="240" w:lineRule="auto"/>
        <w:ind w:left="426" w:right="420" w:firstLine="708"/>
        <w:rPr>
          <w:rFonts w:cs="Tahoma"/>
          <w:i/>
          <w:iCs/>
          <w:color w:val="000000" w:themeColor="text1"/>
          <w:sz w:val="22"/>
          <w:szCs w:val="24"/>
        </w:rPr>
      </w:pPr>
    </w:p>
    <w:p w14:paraId="40441E16" w14:textId="77777777" w:rsidR="000024DC" w:rsidRPr="00573D45" w:rsidRDefault="000024DC" w:rsidP="00573D45">
      <w:pPr>
        <w:spacing w:line="240" w:lineRule="auto"/>
        <w:ind w:left="851" w:right="845" w:firstLine="708"/>
        <w:rPr>
          <w:rFonts w:cs="Tahoma"/>
          <w:i/>
          <w:iCs/>
          <w:color w:val="000000" w:themeColor="text1"/>
          <w:sz w:val="22"/>
          <w:szCs w:val="24"/>
        </w:rPr>
      </w:pPr>
      <w:r w:rsidRPr="00573D45">
        <w:rPr>
          <w:rFonts w:cs="Tahoma"/>
          <w:i/>
          <w:iCs/>
          <w:color w:val="000000" w:themeColor="text1"/>
          <w:sz w:val="22"/>
          <w:szCs w:val="24"/>
        </w:rPr>
        <w:t>a) Se determinará la cuantía de la prestación a la cual el interesado hubiera tenido derecho como si todos los períodos de seguro o cotización totalizados hubieran sido cumplidos bajo su propia legislación (pensión teórica);</w:t>
      </w:r>
    </w:p>
    <w:p w14:paraId="10430098" w14:textId="77777777" w:rsidR="000024DC" w:rsidRPr="00573D45" w:rsidRDefault="000024DC" w:rsidP="00573D45">
      <w:pPr>
        <w:spacing w:line="240" w:lineRule="auto"/>
        <w:ind w:left="851" w:right="845" w:firstLine="708"/>
        <w:rPr>
          <w:rFonts w:cs="Tahoma"/>
          <w:i/>
          <w:iCs/>
          <w:color w:val="000000" w:themeColor="text1"/>
          <w:sz w:val="22"/>
          <w:szCs w:val="24"/>
        </w:rPr>
      </w:pPr>
    </w:p>
    <w:p w14:paraId="757A8F72" w14:textId="50384E65" w:rsidR="000024DC" w:rsidRPr="00573D45" w:rsidRDefault="000024DC" w:rsidP="00573D45">
      <w:pPr>
        <w:spacing w:line="240" w:lineRule="auto"/>
        <w:ind w:left="851" w:right="845" w:firstLine="708"/>
        <w:rPr>
          <w:rFonts w:cs="Tahoma"/>
          <w:i/>
          <w:iCs/>
          <w:color w:val="000000" w:themeColor="text1"/>
          <w:sz w:val="22"/>
          <w:szCs w:val="24"/>
        </w:rPr>
      </w:pPr>
      <w:r w:rsidRPr="00573D45">
        <w:rPr>
          <w:rFonts w:cs="Tahoma"/>
          <w:i/>
          <w:iCs/>
          <w:color w:val="000000" w:themeColor="text1"/>
          <w:sz w:val="22"/>
          <w:szCs w:val="24"/>
        </w:rPr>
        <w:t>b) El importe de la prestación se establecerá aplicando a la pensión teórica, calculada según su legislación, la misma proporción existente entre el período de seguro o cotización cumplida en la Parte a que pertenece la Institución que calcula la prestación y la totalidad de los períodos de seguro o cotización cumplidos en ambas Partes (pensión prorrata).</w:t>
      </w:r>
    </w:p>
    <w:p w14:paraId="79DE0C82" w14:textId="77777777" w:rsidR="000024DC" w:rsidRPr="00573D45" w:rsidRDefault="000024DC" w:rsidP="00573D45">
      <w:pPr>
        <w:spacing w:line="240" w:lineRule="auto"/>
        <w:ind w:left="426" w:right="420" w:firstLine="708"/>
        <w:rPr>
          <w:rFonts w:cs="Tahoma"/>
          <w:i/>
          <w:iCs/>
          <w:color w:val="000000" w:themeColor="text1"/>
          <w:sz w:val="22"/>
          <w:szCs w:val="24"/>
        </w:rPr>
      </w:pPr>
    </w:p>
    <w:p w14:paraId="5692E06B" w14:textId="77777777" w:rsidR="000024DC" w:rsidRPr="00573D45" w:rsidRDefault="000024DC" w:rsidP="00573D45">
      <w:pPr>
        <w:pStyle w:val="Prrafodelista"/>
        <w:numPr>
          <w:ilvl w:val="0"/>
          <w:numId w:val="25"/>
        </w:numPr>
        <w:spacing w:line="240" w:lineRule="auto"/>
        <w:ind w:left="426" w:right="420"/>
        <w:rPr>
          <w:rFonts w:cs="Tahoma"/>
          <w:i/>
          <w:iCs/>
          <w:color w:val="000000" w:themeColor="text1"/>
          <w:sz w:val="22"/>
          <w:szCs w:val="24"/>
        </w:rPr>
      </w:pPr>
      <w:r w:rsidRPr="00573D45">
        <w:rPr>
          <w:rFonts w:cs="Tahoma"/>
          <w:i/>
          <w:iCs/>
          <w:color w:val="000000" w:themeColor="text1"/>
          <w:sz w:val="22"/>
          <w:szCs w:val="24"/>
        </w:rPr>
        <w:t>Determinados los derechos conforme se establece en los párrafos precedentes, la Institución Competente de cada Parte reconocerá y abonará la prestación que sea más favorable al interesado, independientemente de la resolución adoptada por la Institución Competente de la otra Parte”.</w:t>
      </w:r>
    </w:p>
    <w:bookmarkEnd w:id="5"/>
    <w:p w14:paraId="5BB85930" w14:textId="77777777" w:rsidR="000024DC" w:rsidRPr="00784A41" w:rsidRDefault="000024DC" w:rsidP="00784A41">
      <w:pPr>
        <w:spacing w:line="276" w:lineRule="auto"/>
        <w:ind w:firstLine="708"/>
        <w:rPr>
          <w:rFonts w:cs="Tahoma"/>
          <w:color w:val="000000" w:themeColor="text1"/>
          <w:szCs w:val="24"/>
        </w:rPr>
      </w:pPr>
    </w:p>
    <w:p w14:paraId="4A426AFE"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De otra parte, en el Artículo 26 se fijaron las obligaciones de las Autoridades Competentes de las dos Partes Contratantes con el objeto de hacer efectivo el Convenio, entre las que se destacan las de: a) establecer los acuerdos administrativos necesarios para la aplicación de convenio; y, b) designar los respectivos organismos de enlace; entre otras.</w:t>
      </w:r>
    </w:p>
    <w:p w14:paraId="710F62F8" w14:textId="77777777" w:rsidR="000024DC" w:rsidRPr="00784A41" w:rsidRDefault="000024DC" w:rsidP="00784A41">
      <w:pPr>
        <w:pStyle w:val="Sinespaciado"/>
        <w:spacing w:line="276" w:lineRule="auto"/>
        <w:rPr>
          <w:rFonts w:ascii="Tahoma" w:hAnsi="Tahoma" w:cs="Tahoma"/>
        </w:rPr>
      </w:pPr>
    </w:p>
    <w:p w14:paraId="7654B5FB"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Ahora, en cumplimiento del susodicho artículo 26, el 28 de enero de 2008 las partes contratantes celebraron acuerdo administrativo mediante el cual se adoptaron las medidas administrativas necesarias para la aplicación del convenio a través de varias disposiciones, entre las cuales cabe destacar las siguientes: en el artículo 2º se designaron los organismos de enlace de cada parte al Ministerio de la Protección Social en Colombia al Instituto Nacional de la Seguridad Social y el Instituto Social de la Marina en España. A su vez, en el artículo 3º se determinaron las instituciones competentes en cada país para la aplicación del Convenio, y en lo que se refiere a Colombia, en el Régimen de prima Media, se designó al Instituto de Seguros Sociales (hoy Colpensiones), las cajas, fondos o entidades de seguridad social existentes, del sector público o privado, únicamente respecto a sus afiliados y mientras estas entidades subsistan, y en el régimen de ahorro individual a las administradoras de los fondos de pensiones. Lo propio se hizo con el Reino de España sin que sea necesario referirnos a ello teniendo en cuenta que la pensión, objeto de este proceso, se reconoció en Colombia.</w:t>
      </w:r>
    </w:p>
    <w:p w14:paraId="2AD661FC" w14:textId="77777777" w:rsidR="000024DC" w:rsidRPr="00784A41" w:rsidRDefault="000024DC" w:rsidP="00784A41">
      <w:pPr>
        <w:spacing w:line="276" w:lineRule="auto"/>
        <w:ind w:firstLine="708"/>
        <w:rPr>
          <w:rFonts w:cs="Tahoma"/>
          <w:color w:val="000000" w:themeColor="text1"/>
          <w:szCs w:val="24"/>
        </w:rPr>
      </w:pPr>
    </w:p>
    <w:p w14:paraId="7D79C780"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lastRenderedPageBreak/>
        <w:t>El Artículo 4º establece, entre otras cosas, que los organismos de enlace elaborarán conjuntamente los formularios necesarios para la aplicación del Convenio y el Acuerdo administrativo, advirtiendo que el envío de dichos formularios NO hace necesaria la reemisión de los documentos justificativos consignados en ellos, salvo cuando se trate de la certificación de períodos de servicios o cotizaciones efectuados en Colombia los cuales deberán ser enviados adjuntos a los formularios. En este punto conviene advertir que los organismos de enlace elaboraron el formulario CO/ES-02 para la solicitud de las pensiones de invalidez, vejez o supervivencia.</w:t>
      </w:r>
    </w:p>
    <w:p w14:paraId="43E77A3A" w14:textId="77777777" w:rsidR="000024DC" w:rsidRPr="00784A41" w:rsidRDefault="000024DC" w:rsidP="00784A41">
      <w:pPr>
        <w:pStyle w:val="Sinespaciado"/>
        <w:spacing w:line="276" w:lineRule="auto"/>
        <w:rPr>
          <w:rFonts w:ascii="Tahoma" w:hAnsi="Tahoma" w:cs="Tahoma"/>
        </w:rPr>
      </w:pPr>
    </w:p>
    <w:p w14:paraId="2248DF4F" w14:textId="77777777" w:rsidR="000024DC" w:rsidRPr="00784A41" w:rsidRDefault="000024DC" w:rsidP="00784A41">
      <w:pPr>
        <w:spacing w:line="276" w:lineRule="auto"/>
        <w:ind w:firstLine="708"/>
        <w:rPr>
          <w:rFonts w:cs="Tahoma"/>
          <w:color w:val="000000" w:themeColor="text1"/>
          <w:szCs w:val="24"/>
        </w:rPr>
      </w:pPr>
      <w:r w:rsidRPr="00784A41">
        <w:rPr>
          <w:rFonts w:cs="Tahoma"/>
          <w:color w:val="000000" w:themeColor="text1"/>
          <w:szCs w:val="24"/>
        </w:rPr>
        <w:t>Ahora, respecto a la institución competente para resolver la solicitud prestacional, estipula el artículo 6º del Acuerdo, que será la que corresponda a la residencia del interesado, salvo cuando aquel resida en un tercer país, caso en el cual la institución competente será la de la parte contratante bajo cuya legislación aquel o su causante hubiera estado asegurado por última vez. En cuanto al trámite de las prestaciones, el artículo 8º dispone, entre otras cosas, que la Institución Competente a quien corresponda la instrucción del expediente, cumplimentará el formulario establecido al efecto y enviará dos ejemplares del mismo al organismo de enlace de la otra parte. A su vez, la institución competente que reciba el formulario devolverá́ a su homóloga un ejemplar de dicho formulario, en donde hará constar los períodos de seguros acreditados bajo su legislación, y en su caso, el importe de la prestación reconocida por esa institución y la fecha de efectos económicos de la misma.</w:t>
      </w:r>
    </w:p>
    <w:p w14:paraId="4A2BA7EF" w14:textId="77777777" w:rsidR="000024DC" w:rsidRPr="00784A41" w:rsidRDefault="000024DC" w:rsidP="00784A41">
      <w:pPr>
        <w:pStyle w:val="Prrafodelista"/>
        <w:spacing w:line="276" w:lineRule="auto"/>
        <w:ind w:left="709"/>
        <w:rPr>
          <w:rFonts w:cs="Tahoma"/>
          <w:b/>
          <w:bCs/>
          <w:szCs w:val="24"/>
        </w:rPr>
      </w:pPr>
    </w:p>
    <w:p w14:paraId="661EEC48" w14:textId="176CF625" w:rsidR="00D245AE" w:rsidRPr="00784A41" w:rsidRDefault="00D245AE" w:rsidP="00784A41">
      <w:pPr>
        <w:pStyle w:val="Prrafodelista"/>
        <w:numPr>
          <w:ilvl w:val="1"/>
          <w:numId w:val="22"/>
        </w:numPr>
        <w:spacing w:line="276" w:lineRule="auto"/>
        <w:ind w:left="709" w:firstLine="0"/>
        <w:rPr>
          <w:rFonts w:cs="Tahoma"/>
          <w:b/>
          <w:bCs/>
          <w:szCs w:val="24"/>
        </w:rPr>
      </w:pPr>
      <w:r w:rsidRPr="00784A41">
        <w:rPr>
          <w:rFonts w:cs="Tahoma"/>
          <w:b/>
          <w:bCs/>
          <w:szCs w:val="24"/>
        </w:rPr>
        <w:t>Campo de aplicación material del Convenio en Colombia</w:t>
      </w:r>
      <w:r w:rsidR="00966B6A" w:rsidRPr="00784A41">
        <w:rPr>
          <w:rFonts w:cs="Tahoma"/>
          <w:b/>
          <w:bCs/>
          <w:szCs w:val="24"/>
        </w:rPr>
        <w:t>-España</w:t>
      </w:r>
      <w:r w:rsidRPr="00784A41">
        <w:rPr>
          <w:rFonts w:cs="Tahoma"/>
          <w:b/>
          <w:bCs/>
          <w:szCs w:val="24"/>
        </w:rPr>
        <w:t xml:space="preserve"> – Composición del Sistema General de Pensiones y Régimen de Prima Media</w:t>
      </w:r>
    </w:p>
    <w:p w14:paraId="4B5B76B3" w14:textId="77777777" w:rsidR="00D245AE" w:rsidRPr="00784A41" w:rsidRDefault="00D245AE" w:rsidP="00784A41">
      <w:pPr>
        <w:spacing w:line="276" w:lineRule="auto"/>
        <w:ind w:firstLine="708"/>
        <w:rPr>
          <w:rFonts w:cs="Tahoma"/>
          <w:szCs w:val="24"/>
        </w:rPr>
      </w:pPr>
    </w:p>
    <w:p w14:paraId="0EE58420" w14:textId="0C1430EB" w:rsidR="00D245AE" w:rsidRPr="00784A41" w:rsidRDefault="000024DC" w:rsidP="00784A41">
      <w:pPr>
        <w:spacing w:line="276" w:lineRule="auto"/>
        <w:ind w:firstLine="708"/>
        <w:rPr>
          <w:rFonts w:cs="Tahoma"/>
          <w:i/>
          <w:szCs w:val="24"/>
        </w:rPr>
      </w:pPr>
      <w:r w:rsidRPr="00784A41">
        <w:rPr>
          <w:rFonts w:cs="Tahoma"/>
          <w:szCs w:val="24"/>
        </w:rPr>
        <w:t xml:space="preserve">Recuérdese que </w:t>
      </w:r>
      <w:r w:rsidR="00D245AE" w:rsidRPr="00784A41">
        <w:rPr>
          <w:rFonts w:cs="Tahoma"/>
          <w:szCs w:val="24"/>
        </w:rPr>
        <w:t xml:space="preserve">el artículo 2º del Convenio </w:t>
      </w:r>
      <w:r w:rsidR="00966B6A" w:rsidRPr="00784A41">
        <w:rPr>
          <w:rFonts w:cs="Tahoma"/>
          <w:szCs w:val="24"/>
        </w:rPr>
        <w:t xml:space="preserve">enmarcado en la Ley 1112 de 2016 </w:t>
      </w:r>
      <w:r w:rsidR="00D245AE" w:rsidRPr="00784A41">
        <w:rPr>
          <w:rFonts w:cs="Tahoma"/>
          <w:szCs w:val="24"/>
        </w:rPr>
        <w:t xml:space="preserve">establece que este se aplicará a la legislación relativa a las prestaciones económicas dispuestas en el Sistema General de Pensiones (Prima Media con Prestación Definida y Ahorro Individual con Solidaridad), en cuanto a vejez, invalidez y sobrevivientes, de origen común y en cuanto al término </w:t>
      </w:r>
      <w:r w:rsidR="00D245AE" w:rsidRPr="00784A41">
        <w:rPr>
          <w:rFonts w:cs="Tahoma"/>
          <w:i/>
          <w:szCs w:val="24"/>
        </w:rPr>
        <w:t>“legislación”,</w:t>
      </w:r>
      <w:r w:rsidR="00D245AE" w:rsidRPr="00784A41">
        <w:rPr>
          <w:rFonts w:cs="Tahoma"/>
          <w:szCs w:val="24"/>
        </w:rPr>
        <w:t xml:space="preserve"> se previene, en el literal b) del artículo 1º ídem, que por tal se entiende </w:t>
      </w:r>
      <w:r w:rsidR="00D245AE" w:rsidRPr="00784A41">
        <w:rPr>
          <w:rFonts w:cs="Tahoma"/>
          <w:i/>
          <w:szCs w:val="24"/>
        </w:rPr>
        <w:t>“</w:t>
      </w:r>
      <w:r w:rsidR="00D245AE" w:rsidRPr="00573D45">
        <w:rPr>
          <w:rFonts w:cs="Tahoma"/>
          <w:i/>
          <w:sz w:val="22"/>
          <w:szCs w:val="24"/>
        </w:rPr>
        <w:t>las leyes, decretos, reglamentos y demás disposiciones relativas a Seguridad Social vigentes en el territorio de las partes contratantes</w:t>
      </w:r>
      <w:r w:rsidR="00D245AE" w:rsidRPr="00784A41">
        <w:rPr>
          <w:rFonts w:cs="Tahoma"/>
          <w:i/>
          <w:szCs w:val="24"/>
        </w:rPr>
        <w:t>”.</w:t>
      </w:r>
    </w:p>
    <w:p w14:paraId="160A83F6" w14:textId="77777777" w:rsidR="00D245AE" w:rsidRPr="00784A41" w:rsidRDefault="00D245AE" w:rsidP="00784A41">
      <w:pPr>
        <w:pStyle w:val="Sinespaciado"/>
        <w:spacing w:line="276" w:lineRule="auto"/>
        <w:rPr>
          <w:rFonts w:ascii="Tahoma" w:hAnsi="Tahoma" w:cs="Tahoma"/>
        </w:rPr>
      </w:pPr>
    </w:p>
    <w:p w14:paraId="2C754105" w14:textId="04050FD2" w:rsidR="00D245AE" w:rsidRPr="00784A41" w:rsidRDefault="00D245AE" w:rsidP="00784A41">
      <w:pPr>
        <w:spacing w:line="276" w:lineRule="auto"/>
        <w:ind w:firstLine="708"/>
        <w:rPr>
          <w:rFonts w:eastAsia="Times New Roman" w:cs="Tahoma"/>
          <w:color w:val="000000" w:themeColor="text1"/>
          <w:szCs w:val="24"/>
        </w:rPr>
      </w:pPr>
      <w:r w:rsidRPr="00784A41">
        <w:rPr>
          <w:rFonts w:eastAsia="Times New Roman" w:cs="Tahoma"/>
          <w:color w:val="000000" w:themeColor="text1"/>
          <w:szCs w:val="24"/>
        </w:rPr>
        <w:t xml:space="preserve">En ese orden de ideas, es del caso resaltar que el Sistema General de Pensiones tiene por objeto garantizar a la población el amparo contra las contingencias derivadas de la vejez, la invalidez y la muerte, mediante el reconocimiento de las pensiones y prestaciones </w:t>
      </w:r>
      <w:r w:rsidR="00966B6A" w:rsidRPr="00784A41">
        <w:rPr>
          <w:rFonts w:eastAsia="Times New Roman" w:cs="Tahoma"/>
          <w:color w:val="000000" w:themeColor="text1"/>
          <w:szCs w:val="24"/>
        </w:rPr>
        <w:t>en él establecidas</w:t>
      </w:r>
      <w:r w:rsidRPr="00784A41">
        <w:rPr>
          <w:rFonts w:eastAsia="Times New Roman" w:cs="Tahoma"/>
          <w:color w:val="000000" w:themeColor="text1"/>
          <w:szCs w:val="24"/>
        </w:rPr>
        <w:t>, así como propender por la ampliación progresiva de cobertura a los segmentos de población no cubiertos con un sistema de pensiones (art 10, Ley 100 de 1993) y que dicho sistema está compuesto por dos regímenes solidarios excluyentes pero que coexisten, a saber: Régimen Solidario de Prima Media con Prestación Definida y Régimen de Ahorro Individual con Solidaridad (Art. 12 ídem).</w:t>
      </w:r>
    </w:p>
    <w:p w14:paraId="294C2FB0" w14:textId="77777777" w:rsidR="00D245AE" w:rsidRPr="00784A41" w:rsidRDefault="00D245AE" w:rsidP="00784A41">
      <w:pPr>
        <w:pStyle w:val="Sinespaciado"/>
        <w:spacing w:line="276" w:lineRule="auto"/>
        <w:rPr>
          <w:rFonts w:ascii="Tahoma" w:hAnsi="Tahoma" w:cs="Tahoma"/>
        </w:rPr>
      </w:pPr>
    </w:p>
    <w:p w14:paraId="6ACE48BA" w14:textId="513C8C08" w:rsidR="00D245AE" w:rsidRPr="00784A41" w:rsidRDefault="00F50947" w:rsidP="00784A41">
      <w:pPr>
        <w:spacing w:line="276" w:lineRule="auto"/>
        <w:ind w:firstLine="708"/>
        <w:rPr>
          <w:rFonts w:cs="Tahoma"/>
          <w:color w:val="000000" w:themeColor="text1"/>
          <w:szCs w:val="24"/>
        </w:rPr>
      </w:pPr>
      <w:r w:rsidRPr="00784A41">
        <w:rPr>
          <w:rFonts w:eastAsia="Times New Roman" w:cs="Tahoma"/>
          <w:color w:val="000000" w:themeColor="text1"/>
          <w:szCs w:val="24"/>
        </w:rPr>
        <w:t xml:space="preserve">El </w:t>
      </w:r>
      <w:r w:rsidR="00D245AE" w:rsidRPr="00784A41">
        <w:rPr>
          <w:rFonts w:eastAsia="Times New Roman" w:cs="Tahoma"/>
          <w:color w:val="000000" w:themeColor="text1"/>
          <w:szCs w:val="24"/>
        </w:rPr>
        <w:t xml:space="preserve">régimen de Prima Media con </w:t>
      </w:r>
      <w:r w:rsidR="00D245AE" w:rsidRPr="00784A41">
        <w:rPr>
          <w:rFonts w:cs="Tahoma"/>
          <w:color w:val="000000" w:themeColor="text1"/>
          <w:szCs w:val="24"/>
        </w:rPr>
        <w:t xml:space="preserve">Prestación Definida es definido en el artículo 31 de la citada Ley 100 de 1993, como aquel mediante el cual los afiliados o sus beneficiarios obtienen una pensión de vejez, de invalidez o de sobrevivientes, o una </w:t>
      </w:r>
      <w:r w:rsidR="00D245AE" w:rsidRPr="00784A41">
        <w:rPr>
          <w:rFonts w:cs="Tahoma"/>
          <w:color w:val="000000" w:themeColor="text1"/>
          <w:szCs w:val="24"/>
        </w:rPr>
        <w:lastRenderedPageBreak/>
        <w:t>indemnización, previamente definidas, de acuerdo con lo previsto en el Título II de la Ley 100 de 1993 y se previene en el mismo precepto, que serán aplicables a este régimen las disposiciones vigentes para los seguros de invalidez, vejez y muerte a cargo del Instituto de Seguros Sociales, con las adiciones, modificaciones y excepciones contenidas en esa ley.</w:t>
      </w:r>
    </w:p>
    <w:p w14:paraId="06C906F4" w14:textId="77777777" w:rsidR="00D245AE" w:rsidRPr="00784A41" w:rsidRDefault="00D245AE" w:rsidP="00784A41">
      <w:pPr>
        <w:pStyle w:val="Sinespaciado"/>
        <w:spacing w:line="276" w:lineRule="auto"/>
        <w:rPr>
          <w:rFonts w:ascii="Tahoma" w:hAnsi="Tahoma" w:cs="Tahoma"/>
        </w:rPr>
      </w:pPr>
    </w:p>
    <w:p w14:paraId="691C6A06" w14:textId="7820769C" w:rsidR="00D245AE" w:rsidRPr="00784A41" w:rsidRDefault="00D245AE" w:rsidP="00784A41">
      <w:pPr>
        <w:spacing w:line="276" w:lineRule="auto"/>
        <w:ind w:firstLine="708"/>
        <w:rPr>
          <w:rFonts w:cs="Tahoma"/>
          <w:color w:val="000000" w:themeColor="text1"/>
          <w:szCs w:val="24"/>
        </w:rPr>
      </w:pPr>
      <w:r w:rsidRPr="00784A41">
        <w:rPr>
          <w:rFonts w:cs="Tahoma"/>
          <w:color w:val="000000" w:themeColor="text1"/>
          <w:szCs w:val="24"/>
        </w:rPr>
        <w:t>Con apoyo en las anteriores premisas normativas, se puede concluir que las pensiones de vejez concedidas con las condiciones del Acuerdo </w:t>
      </w:r>
      <w:hyperlink r:id="rId11" w:anchor="INICIO">
        <w:r w:rsidRPr="00784A41">
          <w:rPr>
            <w:rFonts w:cs="Tahoma"/>
            <w:color w:val="000000" w:themeColor="text1"/>
            <w:szCs w:val="24"/>
          </w:rPr>
          <w:t>049</w:t>
        </w:r>
      </w:hyperlink>
      <w:r w:rsidRPr="00784A41">
        <w:rPr>
          <w:rFonts w:cs="Tahoma"/>
          <w:color w:val="000000" w:themeColor="text1"/>
          <w:szCs w:val="24"/>
        </w:rPr>
        <w:t> de 1990, bajo el abrigo del régimen de transición, deben entenderse incorporadas al Sistema Integral de Seguridad Social concebido a partir de la expedición de la Ley </w:t>
      </w:r>
      <w:hyperlink r:id="rId12" w:anchor="inicio">
        <w:r w:rsidRPr="00784A41">
          <w:rPr>
            <w:rFonts w:cs="Tahoma"/>
            <w:color w:val="000000" w:themeColor="text1"/>
            <w:szCs w:val="24"/>
          </w:rPr>
          <w:t>100</w:t>
        </w:r>
      </w:hyperlink>
      <w:r w:rsidRPr="00784A41">
        <w:rPr>
          <w:rFonts w:cs="Tahoma"/>
          <w:color w:val="000000" w:themeColor="text1"/>
          <w:szCs w:val="24"/>
        </w:rPr>
        <w:t> de 1993, conforme a lo previsto en el artículo 31 de esta normativa. En tal virtud, para efectos de acumular la densidad mínima de semanas exigidas en el Acuerdo 049 de 1990 (y en cualquier otra norma anterior aplicable por remisión del régimen de transición del art. 36 de la Ley 100 de 1993) resulta procedente la aplicación del convenio de seguridad social celebrado entre Colombia y el Reino de España (elevado al rango legal a través de la Ley 1112/ 2006).</w:t>
      </w:r>
    </w:p>
    <w:p w14:paraId="021C488B" w14:textId="77777777" w:rsidR="00D245AE" w:rsidRPr="00784A41" w:rsidRDefault="00D245AE" w:rsidP="00784A41">
      <w:pPr>
        <w:pStyle w:val="Sinespaciado"/>
        <w:spacing w:line="276" w:lineRule="auto"/>
        <w:rPr>
          <w:rFonts w:ascii="Tahoma" w:hAnsi="Tahoma" w:cs="Tahoma"/>
        </w:rPr>
      </w:pPr>
    </w:p>
    <w:p w14:paraId="395CC658" w14:textId="6DDC52C8" w:rsidR="00D245AE" w:rsidRPr="00784A41" w:rsidRDefault="00D245AE" w:rsidP="00784A41">
      <w:pPr>
        <w:spacing w:line="276" w:lineRule="auto"/>
        <w:ind w:firstLine="708"/>
        <w:rPr>
          <w:rFonts w:cs="Tahoma"/>
          <w:color w:val="000000"/>
          <w:szCs w:val="24"/>
        </w:rPr>
      </w:pPr>
      <w:r w:rsidRPr="00784A41">
        <w:rPr>
          <w:rFonts w:cs="Tahoma"/>
          <w:color w:val="000000" w:themeColor="text1"/>
          <w:szCs w:val="24"/>
        </w:rPr>
        <w:t xml:space="preserve">Cabe agregar, que al respecto tiene fijado </w:t>
      </w:r>
      <w:r w:rsidR="00966B6A" w:rsidRPr="00784A41">
        <w:rPr>
          <w:rFonts w:cs="Tahoma"/>
          <w:color w:val="000000"/>
          <w:szCs w:val="24"/>
        </w:rPr>
        <w:t xml:space="preserve">la Sala de Casación Laboral de </w:t>
      </w:r>
      <w:r w:rsidRPr="00784A41">
        <w:rPr>
          <w:rFonts w:cs="Tahoma"/>
          <w:color w:val="000000" w:themeColor="text1"/>
          <w:szCs w:val="24"/>
        </w:rPr>
        <w:t xml:space="preserve">la Corte Suprema de Justicia que </w:t>
      </w:r>
      <w:bookmarkStart w:id="6" w:name="OLE_LINK190"/>
      <w:r w:rsidRPr="00784A41">
        <w:rPr>
          <w:rFonts w:cs="Tahoma"/>
          <w:i/>
          <w:color w:val="000000" w:themeColor="text1"/>
          <w:szCs w:val="24"/>
        </w:rPr>
        <w:t>“</w:t>
      </w:r>
      <w:r w:rsidRPr="00573D45">
        <w:rPr>
          <w:rFonts w:cs="Tahoma"/>
          <w:i/>
          <w:color w:val="000000"/>
          <w:sz w:val="22"/>
          <w:szCs w:val="24"/>
        </w:rPr>
        <w:t>las pensiones otorgadas con base en los Acuerdos del ISS, quedaron integradas al régimen de prima media con prestación definida, previsto en la Ley 100 de 1993</w:t>
      </w:r>
      <w:r w:rsidRPr="00784A41">
        <w:rPr>
          <w:rFonts w:cs="Tahoma"/>
          <w:i/>
          <w:color w:val="000000"/>
          <w:szCs w:val="24"/>
        </w:rPr>
        <w:t xml:space="preserve">”. </w:t>
      </w:r>
      <w:r w:rsidR="00966B6A" w:rsidRPr="00784A41">
        <w:rPr>
          <w:rFonts w:cs="Tahoma"/>
          <w:color w:val="000000"/>
          <w:szCs w:val="24"/>
        </w:rPr>
        <w:t xml:space="preserve">Asimismo, </w:t>
      </w:r>
      <w:bookmarkEnd w:id="6"/>
      <w:r w:rsidRPr="00784A41">
        <w:rPr>
          <w:rFonts w:cs="Tahoma"/>
          <w:color w:val="000000"/>
          <w:szCs w:val="24"/>
        </w:rPr>
        <w:t xml:space="preserve">en la sentencia del 20 de octubre de 2004, radicado 23159, y reiterada en providencias posteriores, como la del 15 y 20 de octubre de 2008, radicaciones 34814 y 30550, respectivamente, precisó que con arreglo al inciso segundo del artículo 31 de la Ley 100 de 1993 </w:t>
      </w:r>
      <w:bookmarkStart w:id="7" w:name="OLE_LINK188"/>
      <w:r w:rsidRPr="00784A41">
        <w:rPr>
          <w:rFonts w:cs="Tahoma"/>
          <w:color w:val="000000"/>
          <w:szCs w:val="24"/>
        </w:rPr>
        <w:t>“</w:t>
      </w:r>
      <w:r w:rsidRPr="00573D45">
        <w:rPr>
          <w:rFonts w:cs="Tahoma"/>
          <w:i/>
          <w:color w:val="000000"/>
          <w:sz w:val="22"/>
          <w:szCs w:val="24"/>
        </w:rPr>
        <w:t>se</w:t>
      </w:r>
      <w:r w:rsidRPr="00573D45">
        <w:rPr>
          <w:rStyle w:val="iaj"/>
          <w:rFonts w:cs="Tahoma"/>
          <w:i/>
          <w:iCs/>
          <w:color w:val="000000"/>
          <w:sz w:val="22"/>
          <w:szCs w:val="24"/>
        </w:rPr>
        <w:t xml:space="preserve"> incorporó al régimen solidario de prima media con prestación definida las “disposiciones vigentes para los seguros de invalidez, vejez y muerte a cargo del Instituto de Seguros Sociales, con las adiciones, modificaciones y excepciones contenidas en esta ley”, al preceptuar que esas disposiciones le serán aplicables a ese régimen, que, como es suficientemente sabido, es uno de los dos que componen el sistema general de pensiones</w:t>
      </w:r>
      <w:r w:rsidRPr="00784A41">
        <w:rPr>
          <w:rStyle w:val="iaj"/>
          <w:rFonts w:cs="Tahoma"/>
          <w:i/>
          <w:iCs/>
          <w:color w:val="000000"/>
          <w:szCs w:val="24"/>
        </w:rPr>
        <w:t>”</w:t>
      </w:r>
      <w:bookmarkEnd w:id="7"/>
      <w:r w:rsidRPr="00784A41">
        <w:rPr>
          <w:rStyle w:val="iaj"/>
          <w:rFonts w:cs="Tahoma"/>
          <w:i/>
          <w:iCs/>
          <w:color w:val="000000"/>
          <w:szCs w:val="24"/>
        </w:rPr>
        <w:t xml:space="preserve">. </w:t>
      </w:r>
    </w:p>
    <w:p w14:paraId="01A20627" w14:textId="77777777" w:rsidR="00966B6A" w:rsidRPr="00784A41" w:rsidRDefault="00966B6A" w:rsidP="00784A41">
      <w:pPr>
        <w:pStyle w:val="Sinespaciado"/>
        <w:spacing w:line="276" w:lineRule="auto"/>
        <w:rPr>
          <w:rFonts w:ascii="Tahoma" w:hAnsi="Tahoma" w:cs="Tahoma"/>
        </w:rPr>
      </w:pPr>
    </w:p>
    <w:p w14:paraId="703C5796" w14:textId="0A4D8E64" w:rsidR="003D5398" w:rsidRPr="00784A41" w:rsidRDefault="003D5398" w:rsidP="00784A41">
      <w:pPr>
        <w:pStyle w:val="Prrafodelista"/>
        <w:numPr>
          <w:ilvl w:val="1"/>
          <w:numId w:val="22"/>
        </w:numPr>
        <w:spacing w:line="276" w:lineRule="auto"/>
        <w:ind w:left="709" w:firstLine="0"/>
        <w:rPr>
          <w:rFonts w:cs="Tahoma"/>
          <w:b/>
          <w:szCs w:val="24"/>
        </w:rPr>
      </w:pPr>
      <w:r w:rsidRPr="00784A41">
        <w:rPr>
          <w:rFonts w:cs="Tahoma"/>
          <w:b/>
          <w:szCs w:val="24"/>
        </w:rPr>
        <w:t>Caso concreto</w:t>
      </w:r>
    </w:p>
    <w:p w14:paraId="55F90E33" w14:textId="77777777" w:rsidR="003D5398" w:rsidRPr="00784A41" w:rsidRDefault="003D5398" w:rsidP="00784A41">
      <w:pPr>
        <w:pStyle w:val="Sinespaciado"/>
        <w:spacing w:line="276" w:lineRule="auto"/>
        <w:rPr>
          <w:rFonts w:ascii="Tahoma" w:hAnsi="Tahoma" w:cs="Tahoma"/>
        </w:rPr>
      </w:pPr>
    </w:p>
    <w:p w14:paraId="58428891" w14:textId="0A572D5F" w:rsidR="00752F12" w:rsidRPr="00784A41" w:rsidRDefault="00A521B9" w:rsidP="00784A41">
      <w:pPr>
        <w:widowControl w:val="0"/>
        <w:autoSpaceDE w:val="0"/>
        <w:autoSpaceDN w:val="0"/>
        <w:adjustRightInd w:val="0"/>
        <w:spacing w:line="276" w:lineRule="auto"/>
        <w:ind w:firstLine="708"/>
        <w:rPr>
          <w:rFonts w:cs="Tahoma"/>
          <w:szCs w:val="24"/>
        </w:rPr>
      </w:pPr>
      <w:r w:rsidRPr="00784A41">
        <w:rPr>
          <w:rFonts w:cs="Tahoma"/>
          <w:szCs w:val="24"/>
        </w:rPr>
        <w:t>Sea lo primero indicar que, de acuerdo al esquema del recurso de apelación, no se discute en este caso que la señora María Magnolia Ledesma Sánchez, si bien fue beneficiaria del régimen de transición por contar con más de 35 años de edad al 01 de abril de 1994, no conservó este benefici</w:t>
      </w:r>
      <w:r w:rsidR="73A7FA1E" w:rsidRPr="00784A41">
        <w:rPr>
          <w:rFonts w:cs="Tahoma"/>
          <w:szCs w:val="24"/>
        </w:rPr>
        <w:t>o</w:t>
      </w:r>
      <w:r w:rsidRPr="00784A41">
        <w:rPr>
          <w:rFonts w:cs="Tahoma"/>
          <w:szCs w:val="24"/>
        </w:rPr>
        <w:t xml:space="preserve"> más allá del 31 de julio de 2010</w:t>
      </w:r>
      <w:r w:rsidR="00752F12" w:rsidRPr="00784A41">
        <w:rPr>
          <w:rFonts w:cs="Tahoma"/>
          <w:szCs w:val="24"/>
        </w:rPr>
        <w:t>, al no tener para este momento 750 semanas cotizadas</w:t>
      </w:r>
    </w:p>
    <w:p w14:paraId="7ED69CE2" w14:textId="77777777" w:rsidR="00752F12" w:rsidRPr="00784A41" w:rsidRDefault="00752F12" w:rsidP="00784A41">
      <w:pPr>
        <w:widowControl w:val="0"/>
        <w:autoSpaceDE w:val="0"/>
        <w:autoSpaceDN w:val="0"/>
        <w:adjustRightInd w:val="0"/>
        <w:spacing w:line="276" w:lineRule="auto"/>
        <w:ind w:firstLine="708"/>
        <w:rPr>
          <w:rFonts w:cs="Tahoma"/>
          <w:szCs w:val="24"/>
        </w:rPr>
      </w:pPr>
    </w:p>
    <w:p w14:paraId="3ADE9AB2" w14:textId="1AFCB12B" w:rsidR="00CB17E6" w:rsidRPr="00784A41" w:rsidRDefault="00752F12" w:rsidP="00784A41">
      <w:pPr>
        <w:widowControl w:val="0"/>
        <w:autoSpaceDE w:val="0"/>
        <w:autoSpaceDN w:val="0"/>
        <w:adjustRightInd w:val="0"/>
        <w:spacing w:line="276" w:lineRule="auto"/>
        <w:ind w:firstLine="708"/>
        <w:rPr>
          <w:rStyle w:val="normaltextrun"/>
          <w:rFonts w:cs="Tahoma"/>
          <w:szCs w:val="24"/>
        </w:rPr>
      </w:pPr>
      <w:r w:rsidRPr="00784A41">
        <w:rPr>
          <w:rFonts w:cs="Tahoma"/>
          <w:szCs w:val="24"/>
        </w:rPr>
        <w:t xml:space="preserve">Así, en esta sede </w:t>
      </w:r>
      <w:r w:rsidR="00A521B9" w:rsidRPr="00784A41">
        <w:rPr>
          <w:rFonts w:cs="Tahoma"/>
          <w:szCs w:val="24"/>
        </w:rPr>
        <w:t>únicamente hay lugar a determinar, con base en la historia laboral allegada por Colpensiones y el</w:t>
      </w:r>
      <w:r w:rsidR="00A521B9" w:rsidRPr="00784A41">
        <w:rPr>
          <w:rStyle w:val="normaltextrun"/>
          <w:rFonts w:cs="Tahoma"/>
          <w:szCs w:val="24"/>
        </w:rPr>
        <w:t xml:space="preserve"> formulario ES/CO-02 remitido por el Ministerio</w:t>
      </w:r>
      <w:r w:rsidRPr="00784A41">
        <w:rPr>
          <w:rStyle w:val="normaltextrun"/>
          <w:rFonts w:cs="Tahoma"/>
          <w:szCs w:val="24"/>
        </w:rPr>
        <w:t xml:space="preserve"> del Trabajo</w:t>
      </w:r>
      <w:r w:rsidR="00A521B9" w:rsidRPr="00784A41">
        <w:rPr>
          <w:rStyle w:val="normaltextrun"/>
          <w:rFonts w:cs="Tahoma"/>
          <w:szCs w:val="24"/>
        </w:rPr>
        <w:t>, si la demandante reúne 500 semanas en los 20 años que antecedieron al cumplimiento de sus 55 años, en el entendido de que al sustentar el recurso no se atacó la conclusión de la a-quo, respecto a que</w:t>
      </w:r>
      <w:r w:rsidRPr="00784A41">
        <w:rPr>
          <w:rStyle w:val="normaltextrun"/>
          <w:rFonts w:cs="Tahoma"/>
          <w:szCs w:val="24"/>
        </w:rPr>
        <w:t xml:space="preserve"> la actora</w:t>
      </w:r>
      <w:r w:rsidR="00A521B9" w:rsidRPr="00784A41">
        <w:rPr>
          <w:rStyle w:val="normaltextrun"/>
          <w:rFonts w:cs="Tahoma"/>
          <w:szCs w:val="24"/>
        </w:rPr>
        <w:t xml:space="preserve"> no alcanzó las 1.000 semanas como primer supuesto del Acuerdo 049 de 1990.</w:t>
      </w:r>
    </w:p>
    <w:p w14:paraId="350D26CD" w14:textId="77777777" w:rsidR="00A521B9" w:rsidRPr="00784A41" w:rsidRDefault="00A521B9" w:rsidP="00784A41">
      <w:pPr>
        <w:pStyle w:val="Sinespaciado"/>
        <w:spacing w:line="276" w:lineRule="auto"/>
        <w:rPr>
          <w:rStyle w:val="normaltextrun"/>
          <w:rFonts w:ascii="Tahoma" w:hAnsi="Tahoma" w:cs="Tahoma"/>
        </w:rPr>
      </w:pPr>
    </w:p>
    <w:p w14:paraId="25D4A770" w14:textId="374558E0" w:rsidR="00A521B9" w:rsidRPr="00784A41" w:rsidRDefault="00A521B9" w:rsidP="00784A41">
      <w:pPr>
        <w:widowControl w:val="0"/>
        <w:autoSpaceDE w:val="0"/>
        <w:autoSpaceDN w:val="0"/>
        <w:adjustRightInd w:val="0"/>
        <w:spacing w:line="276" w:lineRule="auto"/>
        <w:ind w:firstLine="708"/>
        <w:rPr>
          <w:rStyle w:val="normaltextrun"/>
          <w:rFonts w:cs="Tahoma"/>
          <w:szCs w:val="24"/>
        </w:rPr>
      </w:pPr>
      <w:r w:rsidRPr="00784A41">
        <w:rPr>
          <w:rStyle w:val="normaltextrun"/>
          <w:rFonts w:cs="Tahoma"/>
          <w:szCs w:val="24"/>
        </w:rPr>
        <w:t xml:space="preserve">Pues bien, </w:t>
      </w:r>
      <w:r w:rsidR="00752F12" w:rsidRPr="00784A41">
        <w:rPr>
          <w:rStyle w:val="normaltextrun"/>
          <w:rFonts w:cs="Tahoma"/>
          <w:szCs w:val="24"/>
        </w:rPr>
        <w:t>de conformidad con el formulario ES/CO-02 visible en el archivo 49 de la carpeta de primera instancia</w:t>
      </w:r>
      <w:r w:rsidR="000A0933" w:rsidRPr="00784A41">
        <w:rPr>
          <w:rStyle w:val="normaltextrun"/>
          <w:rFonts w:cs="Tahoma"/>
          <w:szCs w:val="24"/>
        </w:rPr>
        <w:t xml:space="preserve">, </w:t>
      </w:r>
      <w:r w:rsidR="00752F12" w:rsidRPr="00784A41">
        <w:rPr>
          <w:rStyle w:val="normaltextrun"/>
          <w:rFonts w:cs="Tahoma"/>
          <w:szCs w:val="24"/>
        </w:rPr>
        <w:t xml:space="preserve">la señora Ledesma Sánchez acreditó en España los </w:t>
      </w:r>
      <w:r w:rsidR="00752F12" w:rsidRPr="00784A41">
        <w:rPr>
          <w:rStyle w:val="normaltextrun"/>
          <w:rFonts w:cs="Tahoma"/>
          <w:szCs w:val="24"/>
        </w:rPr>
        <w:lastRenderedPageBreak/>
        <w:t xml:space="preserve">siguientes periodos: </w:t>
      </w:r>
    </w:p>
    <w:p w14:paraId="3112FB51" w14:textId="77777777" w:rsidR="00A521B9" w:rsidRPr="00784A41" w:rsidRDefault="00A521B9" w:rsidP="00784A41">
      <w:pPr>
        <w:widowControl w:val="0"/>
        <w:autoSpaceDE w:val="0"/>
        <w:autoSpaceDN w:val="0"/>
        <w:adjustRightInd w:val="0"/>
        <w:spacing w:line="276" w:lineRule="auto"/>
        <w:ind w:firstLine="708"/>
        <w:rPr>
          <w:rFonts w:cs="Tahoma"/>
          <w:szCs w:val="24"/>
        </w:rPr>
      </w:pPr>
    </w:p>
    <w:tbl>
      <w:tblPr>
        <w:tblW w:w="3600" w:type="dxa"/>
        <w:tblInd w:w="2614" w:type="dxa"/>
        <w:tblCellMar>
          <w:left w:w="70" w:type="dxa"/>
          <w:right w:w="70" w:type="dxa"/>
        </w:tblCellMar>
        <w:tblLook w:val="04A0" w:firstRow="1" w:lastRow="0" w:firstColumn="1" w:lastColumn="0" w:noHBand="0" w:noVBand="1"/>
      </w:tblPr>
      <w:tblGrid>
        <w:gridCol w:w="1270"/>
        <w:gridCol w:w="1270"/>
        <w:gridCol w:w="1200"/>
      </w:tblGrid>
      <w:tr w:rsidR="000A0933" w:rsidRPr="00784A41" w14:paraId="33417349" w14:textId="77777777" w:rsidTr="000A0933">
        <w:trPr>
          <w:trHeight w:val="31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5684" w14:textId="77777777" w:rsidR="000A0933" w:rsidRPr="00573D45" w:rsidRDefault="000A0933" w:rsidP="00573D45">
            <w:pPr>
              <w:spacing w:line="240" w:lineRule="auto"/>
              <w:jc w:val="center"/>
              <w:rPr>
                <w:rFonts w:eastAsia="Times New Roman" w:cs="Tahoma"/>
                <w:b/>
                <w:bCs/>
                <w:color w:val="000000"/>
                <w:sz w:val="22"/>
                <w:szCs w:val="24"/>
                <w:lang w:eastAsia="es-ES"/>
              </w:rPr>
            </w:pPr>
            <w:r w:rsidRPr="00573D45">
              <w:rPr>
                <w:rFonts w:eastAsia="Times New Roman" w:cs="Tahoma"/>
                <w:b/>
                <w:bCs/>
                <w:color w:val="000000"/>
                <w:sz w:val="22"/>
                <w:szCs w:val="24"/>
                <w:lang w:eastAsia="es-ES"/>
              </w:rPr>
              <w:t>Periodo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1C0F9F2" w14:textId="77777777" w:rsidR="000A0933" w:rsidRPr="00573D45" w:rsidRDefault="000A0933" w:rsidP="00573D45">
            <w:pPr>
              <w:spacing w:line="240" w:lineRule="auto"/>
              <w:jc w:val="center"/>
              <w:rPr>
                <w:rFonts w:eastAsia="Times New Roman" w:cs="Tahoma"/>
                <w:b/>
                <w:bCs/>
                <w:color w:val="000000"/>
                <w:sz w:val="22"/>
                <w:szCs w:val="24"/>
                <w:lang w:eastAsia="es-ES"/>
              </w:rPr>
            </w:pPr>
            <w:r w:rsidRPr="00573D45">
              <w:rPr>
                <w:rFonts w:eastAsia="Times New Roman" w:cs="Tahoma"/>
                <w:b/>
                <w:bCs/>
                <w:color w:val="000000"/>
                <w:sz w:val="22"/>
                <w:szCs w:val="24"/>
                <w:lang w:eastAsia="es-ES"/>
              </w:rPr>
              <w:t>Días</w:t>
            </w:r>
          </w:p>
        </w:tc>
      </w:tr>
      <w:tr w:rsidR="000A0933" w:rsidRPr="00784A41" w14:paraId="4BAA4E28"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F07E19"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15/12/2000</w:t>
            </w:r>
          </w:p>
        </w:tc>
        <w:tc>
          <w:tcPr>
            <w:tcW w:w="1200" w:type="dxa"/>
            <w:tcBorders>
              <w:top w:val="nil"/>
              <w:left w:val="nil"/>
              <w:bottom w:val="single" w:sz="4" w:space="0" w:color="auto"/>
              <w:right w:val="single" w:sz="4" w:space="0" w:color="auto"/>
            </w:tcBorders>
            <w:shd w:val="clear" w:color="auto" w:fill="auto"/>
            <w:noWrap/>
            <w:vAlign w:val="bottom"/>
            <w:hideMark/>
          </w:tcPr>
          <w:p w14:paraId="55228954"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31/12/2000</w:t>
            </w:r>
          </w:p>
        </w:tc>
        <w:tc>
          <w:tcPr>
            <w:tcW w:w="1200" w:type="dxa"/>
            <w:tcBorders>
              <w:top w:val="nil"/>
              <w:left w:val="nil"/>
              <w:bottom w:val="single" w:sz="4" w:space="0" w:color="auto"/>
              <w:right w:val="single" w:sz="4" w:space="0" w:color="auto"/>
            </w:tcBorders>
            <w:shd w:val="clear" w:color="auto" w:fill="auto"/>
            <w:noWrap/>
            <w:vAlign w:val="bottom"/>
            <w:hideMark/>
          </w:tcPr>
          <w:p w14:paraId="28FB4C49"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17</w:t>
            </w:r>
          </w:p>
        </w:tc>
      </w:tr>
      <w:tr w:rsidR="000A0933" w:rsidRPr="00784A41" w14:paraId="3231279F"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F8532DD"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16/01/2001</w:t>
            </w:r>
          </w:p>
        </w:tc>
        <w:tc>
          <w:tcPr>
            <w:tcW w:w="1200" w:type="dxa"/>
            <w:tcBorders>
              <w:top w:val="nil"/>
              <w:left w:val="nil"/>
              <w:bottom w:val="single" w:sz="4" w:space="0" w:color="auto"/>
              <w:right w:val="single" w:sz="4" w:space="0" w:color="auto"/>
            </w:tcBorders>
            <w:shd w:val="clear" w:color="auto" w:fill="auto"/>
            <w:noWrap/>
            <w:vAlign w:val="bottom"/>
            <w:hideMark/>
          </w:tcPr>
          <w:p w14:paraId="13FD3C6D"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10/09/2001</w:t>
            </w:r>
          </w:p>
        </w:tc>
        <w:tc>
          <w:tcPr>
            <w:tcW w:w="1200" w:type="dxa"/>
            <w:tcBorders>
              <w:top w:val="nil"/>
              <w:left w:val="nil"/>
              <w:bottom w:val="single" w:sz="4" w:space="0" w:color="auto"/>
              <w:right w:val="single" w:sz="4" w:space="0" w:color="auto"/>
            </w:tcBorders>
            <w:shd w:val="clear" w:color="auto" w:fill="auto"/>
            <w:noWrap/>
            <w:vAlign w:val="bottom"/>
            <w:hideMark/>
          </w:tcPr>
          <w:p w14:paraId="7503E9E7"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238</w:t>
            </w:r>
          </w:p>
        </w:tc>
      </w:tr>
      <w:tr w:rsidR="000A0933" w:rsidRPr="00784A41" w14:paraId="4758D396"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C9DD66"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20/09/2001</w:t>
            </w:r>
          </w:p>
        </w:tc>
        <w:tc>
          <w:tcPr>
            <w:tcW w:w="1200" w:type="dxa"/>
            <w:tcBorders>
              <w:top w:val="nil"/>
              <w:left w:val="nil"/>
              <w:bottom w:val="single" w:sz="4" w:space="0" w:color="auto"/>
              <w:right w:val="single" w:sz="4" w:space="0" w:color="auto"/>
            </w:tcBorders>
            <w:shd w:val="clear" w:color="auto" w:fill="auto"/>
            <w:noWrap/>
            <w:vAlign w:val="bottom"/>
            <w:hideMark/>
          </w:tcPr>
          <w:p w14:paraId="353F5557"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15/11/2001</w:t>
            </w:r>
          </w:p>
        </w:tc>
        <w:tc>
          <w:tcPr>
            <w:tcW w:w="1200" w:type="dxa"/>
            <w:tcBorders>
              <w:top w:val="nil"/>
              <w:left w:val="nil"/>
              <w:bottom w:val="single" w:sz="4" w:space="0" w:color="auto"/>
              <w:right w:val="single" w:sz="4" w:space="0" w:color="auto"/>
            </w:tcBorders>
            <w:shd w:val="clear" w:color="auto" w:fill="auto"/>
            <w:noWrap/>
            <w:vAlign w:val="bottom"/>
            <w:hideMark/>
          </w:tcPr>
          <w:p w14:paraId="59B9C8CA"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57</w:t>
            </w:r>
          </w:p>
        </w:tc>
      </w:tr>
      <w:tr w:rsidR="000A0933" w:rsidRPr="00784A41" w14:paraId="3941B31E"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B9F20B"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07/02/2022</w:t>
            </w:r>
          </w:p>
        </w:tc>
        <w:tc>
          <w:tcPr>
            <w:tcW w:w="1200" w:type="dxa"/>
            <w:tcBorders>
              <w:top w:val="nil"/>
              <w:left w:val="nil"/>
              <w:bottom w:val="single" w:sz="4" w:space="0" w:color="auto"/>
              <w:right w:val="single" w:sz="4" w:space="0" w:color="auto"/>
            </w:tcBorders>
            <w:shd w:val="clear" w:color="auto" w:fill="auto"/>
            <w:noWrap/>
            <w:vAlign w:val="bottom"/>
            <w:hideMark/>
          </w:tcPr>
          <w:p w14:paraId="39874D96"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01/03/2002</w:t>
            </w:r>
          </w:p>
        </w:tc>
        <w:tc>
          <w:tcPr>
            <w:tcW w:w="1200" w:type="dxa"/>
            <w:tcBorders>
              <w:top w:val="nil"/>
              <w:left w:val="nil"/>
              <w:bottom w:val="single" w:sz="4" w:space="0" w:color="auto"/>
              <w:right w:val="single" w:sz="4" w:space="0" w:color="auto"/>
            </w:tcBorders>
            <w:shd w:val="clear" w:color="auto" w:fill="auto"/>
            <w:noWrap/>
            <w:vAlign w:val="bottom"/>
            <w:hideMark/>
          </w:tcPr>
          <w:p w14:paraId="16B8592C"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23</w:t>
            </w:r>
          </w:p>
        </w:tc>
      </w:tr>
      <w:tr w:rsidR="000A0933" w:rsidRPr="00784A41" w14:paraId="12A943EB"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8816057"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13/11/2009</w:t>
            </w:r>
          </w:p>
        </w:tc>
        <w:tc>
          <w:tcPr>
            <w:tcW w:w="1200" w:type="dxa"/>
            <w:tcBorders>
              <w:top w:val="nil"/>
              <w:left w:val="nil"/>
              <w:bottom w:val="single" w:sz="4" w:space="0" w:color="auto"/>
              <w:right w:val="single" w:sz="4" w:space="0" w:color="auto"/>
            </w:tcBorders>
            <w:shd w:val="clear" w:color="auto" w:fill="auto"/>
            <w:noWrap/>
            <w:vAlign w:val="bottom"/>
            <w:hideMark/>
          </w:tcPr>
          <w:p w14:paraId="0659A64D"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03/06/2010</w:t>
            </w:r>
          </w:p>
        </w:tc>
        <w:tc>
          <w:tcPr>
            <w:tcW w:w="1200" w:type="dxa"/>
            <w:tcBorders>
              <w:top w:val="nil"/>
              <w:left w:val="nil"/>
              <w:bottom w:val="single" w:sz="4" w:space="0" w:color="auto"/>
              <w:right w:val="single" w:sz="4" w:space="0" w:color="auto"/>
            </w:tcBorders>
            <w:shd w:val="clear" w:color="auto" w:fill="auto"/>
            <w:noWrap/>
            <w:vAlign w:val="bottom"/>
            <w:hideMark/>
          </w:tcPr>
          <w:p w14:paraId="384D9065"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203</w:t>
            </w:r>
          </w:p>
        </w:tc>
      </w:tr>
      <w:tr w:rsidR="000A0933" w:rsidRPr="00784A41" w14:paraId="1515D94D"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9F3DF4"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04/06/2010</w:t>
            </w:r>
          </w:p>
        </w:tc>
        <w:tc>
          <w:tcPr>
            <w:tcW w:w="1200" w:type="dxa"/>
            <w:tcBorders>
              <w:top w:val="nil"/>
              <w:left w:val="nil"/>
              <w:bottom w:val="single" w:sz="4" w:space="0" w:color="auto"/>
              <w:right w:val="single" w:sz="4" w:space="0" w:color="auto"/>
            </w:tcBorders>
            <w:shd w:val="clear" w:color="auto" w:fill="auto"/>
            <w:noWrap/>
            <w:vAlign w:val="bottom"/>
            <w:hideMark/>
          </w:tcPr>
          <w:p w14:paraId="32187A3B"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31/10/2010</w:t>
            </w:r>
          </w:p>
        </w:tc>
        <w:tc>
          <w:tcPr>
            <w:tcW w:w="1200" w:type="dxa"/>
            <w:tcBorders>
              <w:top w:val="nil"/>
              <w:left w:val="nil"/>
              <w:bottom w:val="single" w:sz="4" w:space="0" w:color="auto"/>
              <w:right w:val="single" w:sz="4" w:space="0" w:color="auto"/>
            </w:tcBorders>
            <w:shd w:val="clear" w:color="auto" w:fill="auto"/>
            <w:noWrap/>
            <w:vAlign w:val="bottom"/>
            <w:hideMark/>
          </w:tcPr>
          <w:p w14:paraId="7015F2F0"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150</w:t>
            </w:r>
          </w:p>
        </w:tc>
      </w:tr>
      <w:tr w:rsidR="000A0933" w:rsidRPr="00784A41" w14:paraId="1AD218B2"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3E190C"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01/11/2010</w:t>
            </w:r>
          </w:p>
        </w:tc>
        <w:tc>
          <w:tcPr>
            <w:tcW w:w="1200" w:type="dxa"/>
            <w:tcBorders>
              <w:top w:val="nil"/>
              <w:left w:val="nil"/>
              <w:bottom w:val="single" w:sz="4" w:space="0" w:color="auto"/>
              <w:right w:val="single" w:sz="4" w:space="0" w:color="auto"/>
            </w:tcBorders>
            <w:shd w:val="clear" w:color="auto" w:fill="auto"/>
            <w:noWrap/>
            <w:vAlign w:val="bottom"/>
            <w:hideMark/>
          </w:tcPr>
          <w:p w14:paraId="23538C12"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05/04/2011</w:t>
            </w:r>
          </w:p>
        </w:tc>
        <w:tc>
          <w:tcPr>
            <w:tcW w:w="1200" w:type="dxa"/>
            <w:tcBorders>
              <w:top w:val="nil"/>
              <w:left w:val="nil"/>
              <w:bottom w:val="single" w:sz="4" w:space="0" w:color="auto"/>
              <w:right w:val="single" w:sz="4" w:space="0" w:color="auto"/>
            </w:tcBorders>
            <w:shd w:val="clear" w:color="auto" w:fill="auto"/>
            <w:noWrap/>
            <w:vAlign w:val="bottom"/>
            <w:hideMark/>
          </w:tcPr>
          <w:p w14:paraId="5731568C"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156</w:t>
            </w:r>
          </w:p>
        </w:tc>
      </w:tr>
      <w:tr w:rsidR="000A0933" w:rsidRPr="00784A41" w14:paraId="157EE55B"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90A245B"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06/04/2011</w:t>
            </w:r>
          </w:p>
        </w:tc>
        <w:tc>
          <w:tcPr>
            <w:tcW w:w="1200" w:type="dxa"/>
            <w:tcBorders>
              <w:top w:val="nil"/>
              <w:left w:val="nil"/>
              <w:bottom w:val="single" w:sz="4" w:space="0" w:color="auto"/>
              <w:right w:val="single" w:sz="4" w:space="0" w:color="auto"/>
            </w:tcBorders>
            <w:shd w:val="clear" w:color="auto" w:fill="auto"/>
            <w:noWrap/>
            <w:vAlign w:val="bottom"/>
            <w:hideMark/>
          </w:tcPr>
          <w:p w14:paraId="652179AB"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29/02/2012</w:t>
            </w:r>
          </w:p>
        </w:tc>
        <w:tc>
          <w:tcPr>
            <w:tcW w:w="1200" w:type="dxa"/>
            <w:tcBorders>
              <w:top w:val="nil"/>
              <w:left w:val="nil"/>
              <w:bottom w:val="single" w:sz="4" w:space="0" w:color="auto"/>
              <w:right w:val="single" w:sz="4" w:space="0" w:color="auto"/>
            </w:tcBorders>
            <w:shd w:val="clear" w:color="auto" w:fill="auto"/>
            <w:noWrap/>
            <w:vAlign w:val="bottom"/>
            <w:hideMark/>
          </w:tcPr>
          <w:p w14:paraId="50458151"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330</w:t>
            </w:r>
          </w:p>
        </w:tc>
      </w:tr>
      <w:tr w:rsidR="000A0933" w:rsidRPr="00784A41" w14:paraId="56325ED3"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031A13C"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01/03/2012</w:t>
            </w:r>
          </w:p>
        </w:tc>
        <w:tc>
          <w:tcPr>
            <w:tcW w:w="1200" w:type="dxa"/>
            <w:tcBorders>
              <w:top w:val="nil"/>
              <w:left w:val="nil"/>
              <w:bottom w:val="single" w:sz="4" w:space="0" w:color="auto"/>
              <w:right w:val="single" w:sz="4" w:space="0" w:color="auto"/>
            </w:tcBorders>
            <w:shd w:val="clear" w:color="auto" w:fill="auto"/>
            <w:noWrap/>
            <w:vAlign w:val="bottom"/>
            <w:hideMark/>
          </w:tcPr>
          <w:p w14:paraId="4B035815"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31/12/2012</w:t>
            </w:r>
          </w:p>
        </w:tc>
        <w:tc>
          <w:tcPr>
            <w:tcW w:w="1200" w:type="dxa"/>
            <w:tcBorders>
              <w:top w:val="nil"/>
              <w:left w:val="nil"/>
              <w:bottom w:val="single" w:sz="4" w:space="0" w:color="auto"/>
              <w:right w:val="single" w:sz="4" w:space="0" w:color="auto"/>
            </w:tcBorders>
            <w:shd w:val="clear" w:color="auto" w:fill="auto"/>
            <w:noWrap/>
            <w:vAlign w:val="bottom"/>
            <w:hideMark/>
          </w:tcPr>
          <w:p w14:paraId="5A56FCF0"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306</w:t>
            </w:r>
          </w:p>
        </w:tc>
      </w:tr>
      <w:tr w:rsidR="000A0933" w:rsidRPr="00784A41" w14:paraId="2E544345"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6CA41C"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01/01/2013</w:t>
            </w:r>
          </w:p>
        </w:tc>
        <w:tc>
          <w:tcPr>
            <w:tcW w:w="1200" w:type="dxa"/>
            <w:tcBorders>
              <w:top w:val="nil"/>
              <w:left w:val="nil"/>
              <w:bottom w:val="single" w:sz="4" w:space="0" w:color="auto"/>
              <w:right w:val="single" w:sz="4" w:space="0" w:color="auto"/>
            </w:tcBorders>
            <w:shd w:val="clear" w:color="auto" w:fill="auto"/>
            <w:noWrap/>
            <w:vAlign w:val="bottom"/>
            <w:hideMark/>
          </w:tcPr>
          <w:p w14:paraId="13E0AFC0"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31/01/2013</w:t>
            </w:r>
          </w:p>
        </w:tc>
        <w:tc>
          <w:tcPr>
            <w:tcW w:w="1200" w:type="dxa"/>
            <w:tcBorders>
              <w:top w:val="nil"/>
              <w:left w:val="nil"/>
              <w:bottom w:val="single" w:sz="4" w:space="0" w:color="auto"/>
              <w:right w:val="single" w:sz="4" w:space="0" w:color="auto"/>
            </w:tcBorders>
            <w:shd w:val="clear" w:color="auto" w:fill="auto"/>
            <w:noWrap/>
            <w:vAlign w:val="bottom"/>
            <w:hideMark/>
          </w:tcPr>
          <w:p w14:paraId="2DC3099B"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31</w:t>
            </w:r>
          </w:p>
        </w:tc>
      </w:tr>
      <w:tr w:rsidR="000A0933" w:rsidRPr="00784A41" w14:paraId="1B5C98EC" w14:textId="77777777" w:rsidTr="000A093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A57E3D"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08/01/2014</w:t>
            </w:r>
          </w:p>
        </w:tc>
        <w:tc>
          <w:tcPr>
            <w:tcW w:w="1200" w:type="dxa"/>
            <w:tcBorders>
              <w:top w:val="nil"/>
              <w:left w:val="nil"/>
              <w:bottom w:val="single" w:sz="4" w:space="0" w:color="auto"/>
              <w:right w:val="single" w:sz="4" w:space="0" w:color="auto"/>
            </w:tcBorders>
            <w:shd w:val="clear" w:color="auto" w:fill="auto"/>
            <w:noWrap/>
            <w:vAlign w:val="bottom"/>
            <w:hideMark/>
          </w:tcPr>
          <w:p w14:paraId="74E8D1A2"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31/03/2014</w:t>
            </w:r>
          </w:p>
        </w:tc>
        <w:tc>
          <w:tcPr>
            <w:tcW w:w="1200" w:type="dxa"/>
            <w:tcBorders>
              <w:top w:val="nil"/>
              <w:left w:val="nil"/>
              <w:bottom w:val="single" w:sz="4" w:space="0" w:color="auto"/>
              <w:right w:val="single" w:sz="4" w:space="0" w:color="auto"/>
            </w:tcBorders>
            <w:shd w:val="clear" w:color="auto" w:fill="auto"/>
            <w:noWrap/>
            <w:vAlign w:val="bottom"/>
            <w:hideMark/>
          </w:tcPr>
          <w:p w14:paraId="22BF2E36" w14:textId="77777777" w:rsidR="000A0933" w:rsidRPr="00573D45" w:rsidRDefault="000A0933" w:rsidP="00573D45">
            <w:pPr>
              <w:spacing w:line="240" w:lineRule="auto"/>
              <w:jc w:val="right"/>
              <w:rPr>
                <w:rFonts w:eastAsia="Times New Roman" w:cs="Tahoma"/>
                <w:color w:val="000000"/>
                <w:sz w:val="22"/>
                <w:szCs w:val="24"/>
                <w:lang w:eastAsia="es-ES"/>
              </w:rPr>
            </w:pPr>
            <w:r w:rsidRPr="00573D45">
              <w:rPr>
                <w:rFonts w:eastAsia="Times New Roman" w:cs="Tahoma"/>
                <w:color w:val="000000"/>
                <w:sz w:val="22"/>
                <w:szCs w:val="24"/>
                <w:lang w:eastAsia="es-ES"/>
              </w:rPr>
              <w:t>83</w:t>
            </w:r>
          </w:p>
        </w:tc>
      </w:tr>
      <w:tr w:rsidR="000A0933" w:rsidRPr="00784A41" w14:paraId="436A218C" w14:textId="77777777" w:rsidTr="000A0933">
        <w:trPr>
          <w:trHeight w:val="31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5E44" w14:textId="77777777" w:rsidR="000A0933" w:rsidRPr="00573D45" w:rsidRDefault="000A0933" w:rsidP="00573D45">
            <w:pPr>
              <w:spacing w:line="240" w:lineRule="auto"/>
              <w:jc w:val="center"/>
              <w:rPr>
                <w:rFonts w:eastAsia="Times New Roman" w:cs="Tahoma"/>
                <w:b/>
                <w:bCs/>
                <w:color w:val="000000"/>
                <w:sz w:val="22"/>
                <w:szCs w:val="24"/>
                <w:lang w:eastAsia="es-ES"/>
              </w:rPr>
            </w:pPr>
            <w:r w:rsidRPr="00573D45">
              <w:rPr>
                <w:rFonts w:eastAsia="Times New Roman" w:cs="Tahoma"/>
                <w:b/>
                <w:bCs/>
                <w:color w:val="000000"/>
                <w:sz w:val="22"/>
                <w:szCs w:val="24"/>
                <w:lang w:eastAsia="es-ES"/>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612429F2" w14:textId="77777777" w:rsidR="000A0933" w:rsidRPr="00573D45" w:rsidRDefault="000A0933" w:rsidP="00573D45">
            <w:pPr>
              <w:spacing w:line="240" w:lineRule="auto"/>
              <w:jc w:val="right"/>
              <w:rPr>
                <w:rFonts w:eastAsia="Times New Roman" w:cs="Tahoma"/>
                <w:b/>
                <w:bCs/>
                <w:color w:val="000000"/>
                <w:sz w:val="22"/>
                <w:szCs w:val="24"/>
                <w:lang w:eastAsia="es-ES"/>
              </w:rPr>
            </w:pPr>
            <w:r w:rsidRPr="00573D45">
              <w:rPr>
                <w:rFonts w:eastAsia="Times New Roman" w:cs="Tahoma"/>
                <w:b/>
                <w:bCs/>
                <w:color w:val="000000"/>
                <w:sz w:val="22"/>
                <w:szCs w:val="24"/>
                <w:lang w:eastAsia="es-ES"/>
              </w:rPr>
              <w:t>1594</w:t>
            </w:r>
          </w:p>
        </w:tc>
      </w:tr>
    </w:tbl>
    <w:p w14:paraId="1B1EEA9C" w14:textId="77777777" w:rsidR="000A0933" w:rsidRPr="00784A41" w:rsidRDefault="000A0933" w:rsidP="00784A41">
      <w:pPr>
        <w:widowControl w:val="0"/>
        <w:autoSpaceDE w:val="0"/>
        <w:autoSpaceDN w:val="0"/>
        <w:adjustRightInd w:val="0"/>
        <w:spacing w:line="276" w:lineRule="auto"/>
        <w:ind w:firstLine="708"/>
        <w:rPr>
          <w:rFonts w:cs="Tahoma"/>
          <w:szCs w:val="24"/>
        </w:rPr>
      </w:pPr>
    </w:p>
    <w:p w14:paraId="15F8E887" w14:textId="290EF222" w:rsidR="007D7668" w:rsidRPr="00784A41" w:rsidRDefault="000A0933" w:rsidP="00784A41">
      <w:pPr>
        <w:widowControl w:val="0"/>
        <w:autoSpaceDE w:val="0"/>
        <w:autoSpaceDN w:val="0"/>
        <w:adjustRightInd w:val="0"/>
        <w:spacing w:line="276" w:lineRule="auto"/>
        <w:ind w:firstLine="708"/>
        <w:rPr>
          <w:rFonts w:cs="Tahoma"/>
          <w:szCs w:val="24"/>
        </w:rPr>
      </w:pPr>
      <w:r w:rsidRPr="00784A41">
        <w:rPr>
          <w:rFonts w:cs="Tahoma"/>
          <w:szCs w:val="24"/>
        </w:rPr>
        <w:t>De ahí, si se tiene en cuenta que la actora nació el 14 de julio de 1953, alcanzó los 55 años de edad exigidos en el Acuerdo 049 de 1990 el 14 de julio de 2008,</w:t>
      </w:r>
      <w:r w:rsidR="007D7668" w:rsidRPr="00784A41">
        <w:rPr>
          <w:rFonts w:cs="Tahoma"/>
          <w:szCs w:val="24"/>
        </w:rPr>
        <w:t xml:space="preserve"> aport</w:t>
      </w:r>
      <w:r w:rsidR="7A0E9082" w:rsidRPr="00784A41">
        <w:rPr>
          <w:rFonts w:cs="Tahoma"/>
          <w:szCs w:val="24"/>
        </w:rPr>
        <w:t>ando</w:t>
      </w:r>
      <w:r w:rsidR="007D7668" w:rsidRPr="00784A41">
        <w:rPr>
          <w:rFonts w:cs="Tahoma"/>
          <w:szCs w:val="24"/>
        </w:rPr>
        <w:t xml:space="preserve"> en el Reino de España 335 días en los 20 años que antecedieron a la última de las fechas señaladas, equivalentes a 47.85 semanas. </w:t>
      </w:r>
    </w:p>
    <w:p w14:paraId="78127C1A" w14:textId="77777777" w:rsidR="007D7668" w:rsidRPr="00784A41" w:rsidRDefault="007D7668" w:rsidP="00784A41">
      <w:pPr>
        <w:widowControl w:val="0"/>
        <w:autoSpaceDE w:val="0"/>
        <w:autoSpaceDN w:val="0"/>
        <w:adjustRightInd w:val="0"/>
        <w:spacing w:line="276" w:lineRule="auto"/>
        <w:ind w:firstLine="708"/>
        <w:rPr>
          <w:rFonts w:cs="Tahoma"/>
          <w:szCs w:val="24"/>
        </w:rPr>
      </w:pPr>
    </w:p>
    <w:p w14:paraId="29489786" w14:textId="2DD446B9" w:rsidR="00F21E00" w:rsidRPr="00784A41" w:rsidRDefault="007D7668" w:rsidP="00784A41">
      <w:pPr>
        <w:widowControl w:val="0"/>
        <w:autoSpaceDE w:val="0"/>
        <w:autoSpaceDN w:val="0"/>
        <w:adjustRightInd w:val="0"/>
        <w:spacing w:line="276" w:lineRule="auto"/>
        <w:ind w:firstLine="708"/>
        <w:rPr>
          <w:rFonts w:cs="Tahoma"/>
          <w:szCs w:val="24"/>
        </w:rPr>
      </w:pPr>
      <w:r w:rsidRPr="00784A41">
        <w:rPr>
          <w:rFonts w:cs="Tahoma"/>
          <w:szCs w:val="24"/>
        </w:rPr>
        <w:t xml:space="preserve">A los anteriores septenarios deben ser agregados los reportados en la historia laboral </w:t>
      </w:r>
      <w:r w:rsidR="00F21E00" w:rsidRPr="00784A41">
        <w:rPr>
          <w:rFonts w:cs="Tahoma"/>
          <w:szCs w:val="24"/>
        </w:rPr>
        <w:t xml:space="preserve">actualizada al 04 de abril de 2018, </w:t>
      </w:r>
      <w:r w:rsidRPr="00784A41">
        <w:rPr>
          <w:rFonts w:cs="Tahoma"/>
          <w:szCs w:val="24"/>
        </w:rPr>
        <w:t>allegada por Colpensiones</w:t>
      </w:r>
      <w:r w:rsidR="00F21E00" w:rsidRPr="00784A41">
        <w:rPr>
          <w:rFonts w:cs="Tahoma"/>
          <w:szCs w:val="24"/>
        </w:rPr>
        <w:t xml:space="preserve"> junto con la contestación de la demanda</w:t>
      </w:r>
      <w:r w:rsidR="00F21E00" w:rsidRPr="00784A41">
        <w:rPr>
          <w:rStyle w:val="Refdenotaalpie"/>
          <w:rFonts w:cs="Tahoma"/>
          <w:szCs w:val="24"/>
        </w:rPr>
        <w:footnoteReference w:id="1"/>
      </w:r>
      <w:r w:rsidR="00F21E00" w:rsidRPr="00784A41">
        <w:rPr>
          <w:rFonts w:cs="Tahoma"/>
          <w:szCs w:val="24"/>
        </w:rPr>
        <w:t xml:space="preserve">, que da cuenta de 432.11 semanas cotizadas entre el 14 de julio de 1988 y el 14 de julio de 2008, misma cantidad reconocida para este interregno en la resolución </w:t>
      </w:r>
      <w:r w:rsidR="324CDF50" w:rsidRPr="00784A41">
        <w:rPr>
          <w:rFonts w:cs="Tahoma"/>
          <w:szCs w:val="24"/>
        </w:rPr>
        <w:t>SUB-15339</w:t>
      </w:r>
      <w:r w:rsidR="00F21E00" w:rsidRPr="00784A41">
        <w:rPr>
          <w:rFonts w:cs="Tahoma"/>
          <w:szCs w:val="24"/>
        </w:rPr>
        <w:t xml:space="preserve"> del 18 de enero de 2018, aportada con ambas partes. </w:t>
      </w:r>
    </w:p>
    <w:p w14:paraId="03B9A6EF" w14:textId="77777777" w:rsidR="00F21E00" w:rsidRPr="00784A41" w:rsidRDefault="00F21E00" w:rsidP="00784A41">
      <w:pPr>
        <w:widowControl w:val="0"/>
        <w:autoSpaceDE w:val="0"/>
        <w:autoSpaceDN w:val="0"/>
        <w:adjustRightInd w:val="0"/>
        <w:spacing w:line="276" w:lineRule="auto"/>
        <w:ind w:firstLine="708"/>
        <w:rPr>
          <w:rFonts w:cs="Tahoma"/>
          <w:szCs w:val="24"/>
        </w:rPr>
      </w:pPr>
    </w:p>
    <w:p w14:paraId="01339575" w14:textId="7B488781" w:rsidR="000A0933" w:rsidRPr="00784A41" w:rsidRDefault="00F21E00" w:rsidP="00784A41">
      <w:pPr>
        <w:widowControl w:val="0"/>
        <w:autoSpaceDE w:val="0"/>
        <w:autoSpaceDN w:val="0"/>
        <w:adjustRightInd w:val="0"/>
        <w:spacing w:line="276" w:lineRule="auto"/>
        <w:ind w:firstLine="708"/>
        <w:rPr>
          <w:rFonts w:cs="Tahoma"/>
          <w:szCs w:val="24"/>
        </w:rPr>
      </w:pPr>
      <w:r w:rsidRPr="00784A41">
        <w:rPr>
          <w:rFonts w:cs="Tahoma"/>
          <w:szCs w:val="24"/>
        </w:rPr>
        <w:t xml:space="preserve">De acuerdo a ello, entre el 14 de julio de 1988 y el 14 de julio de 2008 – cumplimiento de los 55 años-, la señora María Magnolia Ledesma Sánchez alcanzó entre los aportes </w:t>
      </w:r>
      <w:r w:rsidR="00A521F5" w:rsidRPr="00784A41">
        <w:rPr>
          <w:rFonts w:cs="Tahoma"/>
          <w:szCs w:val="24"/>
        </w:rPr>
        <w:t>realizado</w:t>
      </w:r>
      <w:r w:rsidRPr="00784A41">
        <w:rPr>
          <w:rFonts w:cs="Tahoma"/>
          <w:szCs w:val="24"/>
        </w:rPr>
        <w:t xml:space="preserve">s en el Reino de España y las cotizaciones efectuadas al entonces I.S.S. un total de </w:t>
      </w:r>
      <w:r w:rsidR="00A521F5" w:rsidRPr="00784A41">
        <w:rPr>
          <w:rFonts w:cs="Tahoma"/>
          <w:szCs w:val="24"/>
        </w:rPr>
        <w:t>479.96 semanas, evidentemente insuficientes para causar el derecho conforme al literal b del art. 12 del Acuerdo 049 de 1990.</w:t>
      </w:r>
      <w:r w:rsidRPr="00784A41">
        <w:rPr>
          <w:rFonts w:cs="Tahoma"/>
          <w:szCs w:val="24"/>
        </w:rPr>
        <w:t xml:space="preserve">  </w:t>
      </w:r>
    </w:p>
    <w:p w14:paraId="53EC53C8" w14:textId="77777777" w:rsidR="00A521F5" w:rsidRPr="00784A41" w:rsidRDefault="00A521F5" w:rsidP="00784A41">
      <w:pPr>
        <w:pStyle w:val="Sinespaciado"/>
        <w:spacing w:line="276" w:lineRule="auto"/>
        <w:rPr>
          <w:rFonts w:ascii="Tahoma" w:hAnsi="Tahoma" w:cs="Tahoma"/>
        </w:rPr>
      </w:pPr>
    </w:p>
    <w:p w14:paraId="0C5B20F5" w14:textId="4C457E63" w:rsidR="00967913" w:rsidRPr="00784A41" w:rsidRDefault="00A521F5" w:rsidP="00784A41">
      <w:pPr>
        <w:widowControl w:val="0"/>
        <w:autoSpaceDE w:val="0"/>
        <w:autoSpaceDN w:val="0"/>
        <w:adjustRightInd w:val="0"/>
        <w:spacing w:line="276" w:lineRule="auto"/>
        <w:ind w:firstLine="708"/>
        <w:rPr>
          <w:rStyle w:val="normaltextrun"/>
          <w:rFonts w:cs="Tahoma"/>
          <w:szCs w:val="24"/>
        </w:rPr>
      </w:pPr>
      <w:r w:rsidRPr="00784A41">
        <w:rPr>
          <w:rFonts w:cs="Tahoma"/>
          <w:szCs w:val="24"/>
        </w:rPr>
        <w:t xml:space="preserve">En este punto, es del caso advertir que la Sala no encuentra el soporte documental en el que basa la parte demandante la afirmación de que entre los 20 años que antecedieron al cumplimiento de los 55 años, alcanzó </w:t>
      </w:r>
      <w:r w:rsidRPr="00784A41">
        <w:rPr>
          <w:rStyle w:val="normaltextrun"/>
          <w:rFonts w:cs="Tahoma"/>
          <w:szCs w:val="24"/>
        </w:rPr>
        <w:t>451.29 semanas en el RPMPD, es decir una diferencia en su favor de 19.18 semanas con relación a las obtenidas tanto por la jueza de primera instancia como por esta Corporación, toda vez que</w:t>
      </w:r>
      <w:r w:rsidR="00967913" w:rsidRPr="00784A41">
        <w:rPr>
          <w:rStyle w:val="normaltextrun"/>
          <w:rFonts w:cs="Tahoma"/>
          <w:szCs w:val="24"/>
        </w:rPr>
        <w:t xml:space="preserve"> </w:t>
      </w:r>
      <w:r w:rsidRPr="00784A41">
        <w:rPr>
          <w:rStyle w:val="normaltextrun"/>
          <w:rFonts w:cs="Tahoma"/>
          <w:szCs w:val="24"/>
        </w:rPr>
        <w:t>en la demanda no se alegó mora patronal ni inconsistencias en la historia laboral</w:t>
      </w:r>
      <w:r w:rsidR="000050D7" w:rsidRPr="00784A41">
        <w:rPr>
          <w:rStyle w:val="normaltextrun"/>
          <w:rFonts w:cs="Tahoma"/>
          <w:szCs w:val="24"/>
        </w:rPr>
        <w:t xml:space="preserve"> que permitiera sumar un número mayor de semanas que las reportadas por la administradora pensional</w:t>
      </w:r>
      <w:r w:rsidR="00967913" w:rsidRPr="00784A41">
        <w:rPr>
          <w:rStyle w:val="normaltextrun"/>
          <w:rFonts w:cs="Tahoma"/>
          <w:szCs w:val="24"/>
        </w:rPr>
        <w:t>.</w:t>
      </w:r>
    </w:p>
    <w:p w14:paraId="2A9C3223" w14:textId="77777777" w:rsidR="00967913" w:rsidRPr="00784A41" w:rsidRDefault="00967913" w:rsidP="00784A41">
      <w:pPr>
        <w:pStyle w:val="Sinespaciado"/>
        <w:spacing w:line="276" w:lineRule="auto"/>
        <w:rPr>
          <w:rStyle w:val="normaltextrun"/>
          <w:rFonts w:ascii="Tahoma" w:hAnsi="Tahoma" w:cs="Tahoma"/>
        </w:rPr>
      </w:pPr>
    </w:p>
    <w:p w14:paraId="1EE7F7BC" w14:textId="700113BF" w:rsidR="00A521F5" w:rsidRPr="00784A41" w:rsidRDefault="00967913" w:rsidP="00784A41">
      <w:pPr>
        <w:widowControl w:val="0"/>
        <w:autoSpaceDE w:val="0"/>
        <w:autoSpaceDN w:val="0"/>
        <w:adjustRightInd w:val="0"/>
        <w:spacing w:line="276" w:lineRule="auto"/>
        <w:ind w:firstLine="708"/>
        <w:rPr>
          <w:rFonts w:cs="Tahoma"/>
          <w:szCs w:val="24"/>
        </w:rPr>
      </w:pPr>
      <w:r w:rsidRPr="00784A41">
        <w:rPr>
          <w:rStyle w:val="normaltextrun"/>
          <w:rFonts w:cs="Tahoma"/>
          <w:szCs w:val="24"/>
        </w:rPr>
        <w:t xml:space="preserve">Ahora, revisada en detalle la historia laboral se evidencia </w:t>
      </w:r>
      <w:r w:rsidR="000050D7" w:rsidRPr="00784A41">
        <w:rPr>
          <w:rStyle w:val="normaltextrun"/>
          <w:rFonts w:cs="Tahoma"/>
          <w:szCs w:val="24"/>
        </w:rPr>
        <w:t>que,</w:t>
      </w:r>
      <w:r w:rsidRPr="00784A41">
        <w:rPr>
          <w:rStyle w:val="normaltextrun"/>
          <w:rFonts w:cs="Tahoma"/>
          <w:szCs w:val="24"/>
        </w:rPr>
        <w:t xml:space="preserve"> para los periodos de junio, julio y agosto de 1997</w:t>
      </w:r>
      <w:r w:rsidR="00A521F5" w:rsidRPr="00784A41">
        <w:rPr>
          <w:rStyle w:val="normaltextrun"/>
          <w:rFonts w:cs="Tahoma"/>
          <w:szCs w:val="24"/>
        </w:rPr>
        <w:t xml:space="preserve"> </w:t>
      </w:r>
      <w:r w:rsidRPr="00784A41">
        <w:rPr>
          <w:rStyle w:val="normaltextrun"/>
          <w:rFonts w:cs="Tahoma"/>
          <w:szCs w:val="24"/>
        </w:rPr>
        <w:t xml:space="preserve">se presentan 0 semanas cotizadas, pero en el detalle </w:t>
      </w:r>
      <w:r w:rsidRPr="00784A41">
        <w:rPr>
          <w:rStyle w:val="normaltextrun"/>
          <w:rFonts w:cs="Tahoma"/>
          <w:szCs w:val="24"/>
        </w:rPr>
        <w:lastRenderedPageBreak/>
        <w:t xml:space="preserve">de pagos fueron reportados 30 días para el mes de junio y 1 día en agosto de 1998 junto con la novedad de retiro. No obstante, aun si en gracia de discusión, se agregaran a las semanas </w:t>
      </w:r>
      <w:r w:rsidR="000050D7" w:rsidRPr="00784A41">
        <w:rPr>
          <w:rStyle w:val="normaltextrun"/>
          <w:rFonts w:cs="Tahoma"/>
          <w:szCs w:val="24"/>
        </w:rPr>
        <w:t>reporta</w:t>
      </w:r>
      <w:r w:rsidR="00EEA44D" w:rsidRPr="00784A41">
        <w:rPr>
          <w:rStyle w:val="normaltextrun"/>
          <w:rFonts w:cs="Tahoma"/>
          <w:szCs w:val="24"/>
        </w:rPr>
        <w:t>das</w:t>
      </w:r>
      <w:r w:rsidR="000050D7" w:rsidRPr="00784A41">
        <w:rPr>
          <w:rStyle w:val="normaltextrun"/>
          <w:rFonts w:cs="Tahoma"/>
          <w:szCs w:val="24"/>
        </w:rPr>
        <w:t xml:space="preserve"> por Colpensiones, las</w:t>
      </w:r>
      <w:r w:rsidRPr="00784A41">
        <w:rPr>
          <w:rStyle w:val="normaltextrun"/>
          <w:rFonts w:cs="Tahoma"/>
          <w:szCs w:val="24"/>
        </w:rPr>
        <w:t xml:space="preserve"> 8.58 septenarios por los meses de junio y julio para los que no se había efectuado la novedad de retiro, los septenarios</w:t>
      </w:r>
      <w:r w:rsidR="000050D7" w:rsidRPr="00784A41">
        <w:rPr>
          <w:rStyle w:val="normaltextrun"/>
          <w:rFonts w:cs="Tahoma"/>
          <w:szCs w:val="24"/>
        </w:rPr>
        <w:t xml:space="preserve"> en los últimos 20 años al cumplimiento de la edad</w:t>
      </w:r>
      <w:r w:rsidRPr="00784A41">
        <w:rPr>
          <w:rStyle w:val="normaltextrun"/>
          <w:rFonts w:cs="Tahoma"/>
          <w:szCs w:val="24"/>
        </w:rPr>
        <w:t xml:space="preserve"> seguirían siendo insuficientes -488.54-. </w:t>
      </w:r>
    </w:p>
    <w:p w14:paraId="3776F631" w14:textId="77777777" w:rsidR="007D7668" w:rsidRPr="00784A41" w:rsidRDefault="007D7668" w:rsidP="00784A41">
      <w:pPr>
        <w:pStyle w:val="Sinespaciado"/>
        <w:spacing w:line="276" w:lineRule="auto"/>
        <w:rPr>
          <w:rFonts w:ascii="Tahoma" w:hAnsi="Tahoma" w:cs="Tahoma"/>
        </w:rPr>
      </w:pPr>
      <w:bookmarkStart w:id="8" w:name="_GoBack"/>
      <w:bookmarkEnd w:id="8"/>
    </w:p>
    <w:p w14:paraId="569C0BE0" w14:textId="04E78F04" w:rsidR="00021389" w:rsidRPr="00784A41" w:rsidRDefault="00A165A5" w:rsidP="00784A41">
      <w:pPr>
        <w:widowControl w:val="0"/>
        <w:autoSpaceDE w:val="0"/>
        <w:autoSpaceDN w:val="0"/>
        <w:adjustRightInd w:val="0"/>
        <w:spacing w:line="276" w:lineRule="auto"/>
        <w:ind w:firstLine="708"/>
        <w:rPr>
          <w:rFonts w:eastAsia="Calibri" w:cs="Tahoma"/>
          <w:szCs w:val="24"/>
          <w:lang w:val="es-CO"/>
        </w:rPr>
      </w:pPr>
      <w:r w:rsidRPr="00784A41">
        <w:rPr>
          <w:rFonts w:cs="Tahoma"/>
          <w:szCs w:val="24"/>
        </w:rPr>
        <w:t xml:space="preserve"> </w:t>
      </w:r>
      <w:r w:rsidR="00021389" w:rsidRPr="00784A41">
        <w:rPr>
          <w:rFonts w:eastAsia="Calibri" w:cs="Tahoma"/>
          <w:szCs w:val="24"/>
          <w:lang w:val="es-CO"/>
        </w:rPr>
        <w:t>En</w:t>
      </w:r>
      <w:r w:rsidR="000050D7" w:rsidRPr="00784A41">
        <w:rPr>
          <w:rFonts w:eastAsia="Calibri" w:cs="Tahoma"/>
          <w:szCs w:val="24"/>
          <w:lang w:val="es-CO"/>
        </w:rPr>
        <w:t xml:space="preserve"> consecuencia, deviene la confirmación de la sentencia de primera instancia y, ante el fracaso del recurso de apelación, se condenará en costas procesales a la parte actora. </w:t>
      </w:r>
      <w:r w:rsidR="00021389" w:rsidRPr="00784A41">
        <w:rPr>
          <w:rFonts w:eastAsia="Calibri" w:cs="Tahoma"/>
          <w:szCs w:val="24"/>
          <w:lang w:val="es-CO"/>
        </w:rPr>
        <w:t xml:space="preserve"> </w:t>
      </w:r>
    </w:p>
    <w:p w14:paraId="3B807C0C" w14:textId="77777777" w:rsidR="00021389" w:rsidRPr="00784A41" w:rsidRDefault="00021389" w:rsidP="00784A41">
      <w:pPr>
        <w:pStyle w:val="Sinespaciado"/>
        <w:spacing w:line="276" w:lineRule="auto"/>
        <w:rPr>
          <w:rFonts w:ascii="Tahoma" w:hAnsi="Tahoma" w:cs="Tahoma"/>
          <w:lang w:eastAsia="es-ES"/>
        </w:rPr>
      </w:pPr>
    </w:p>
    <w:p w14:paraId="4B23B2DF" w14:textId="77777777" w:rsidR="00021389" w:rsidRPr="00784A41" w:rsidRDefault="00021389" w:rsidP="00784A41">
      <w:pPr>
        <w:spacing w:line="276" w:lineRule="auto"/>
        <w:ind w:firstLine="709"/>
        <w:contextualSpacing/>
        <w:rPr>
          <w:rFonts w:eastAsia="Times New Roman" w:cs="Tahoma"/>
          <w:color w:val="000000" w:themeColor="text1"/>
          <w:szCs w:val="24"/>
        </w:rPr>
      </w:pPr>
      <w:r w:rsidRPr="00784A41">
        <w:rPr>
          <w:rFonts w:eastAsia="Times New Roman" w:cs="Tahoma"/>
          <w:color w:val="000000" w:themeColor="text1"/>
          <w:szCs w:val="24"/>
        </w:rPr>
        <w:t xml:space="preserve">En mérito de lo expuesto, el </w:t>
      </w:r>
      <w:r w:rsidRPr="00784A41">
        <w:rPr>
          <w:rFonts w:eastAsia="Times New Roman" w:cs="Tahoma"/>
          <w:b/>
          <w:color w:val="000000" w:themeColor="text1"/>
          <w:szCs w:val="24"/>
        </w:rPr>
        <w:t>Tribunal Superior del Distrito Judicial de Pereira - Risaralda, Sala Primera de Decisión Laboral,</w:t>
      </w:r>
      <w:r w:rsidRPr="00784A41">
        <w:rPr>
          <w:rFonts w:eastAsia="Times New Roman" w:cs="Tahoma"/>
          <w:color w:val="000000" w:themeColor="text1"/>
          <w:szCs w:val="24"/>
        </w:rPr>
        <w:t xml:space="preserve"> administrando justicia en nombre de la República y por autoridad de la ley,</w:t>
      </w:r>
    </w:p>
    <w:p w14:paraId="3391FF09" w14:textId="77777777" w:rsidR="00021389" w:rsidRPr="00784A41" w:rsidRDefault="00021389" w:rsidP="00493562">
      <w:pPr>
        <w:spacing w:line="276" w:lineRule="auto"/>
        <w:contextualSpacing/>
        <w:rPr>
          <w:rFonts w:eastAsia="Times New Roman" w:cs="Tahoma"/>
          <w:color w:val="000000" w:themeColor="text1"/>
          <w:szCs w:val="24"/>
        </w:rPr>
      </w:pPr>
    </w:p>
    <w:p w14:paraId="02F1D6F0" w14:textId="77777777" w:rsidR="00021389" w:rsidRPr="00784A41" w:rsidRDefault="00021389" w:rsidP="00493562">
      <w:pPr>
        <w:spacing w:line="276" w:lineRule="auto"/>
        <w:jc w:val="center"/>
        <w:rPr>
          <w:rFonts w:cs="Tahoma"/>
          <w:b/>
          <w:color w:val="000000" w:themeColor="text1"/>
          <w:szCs w:val="24"/>
        </w:rPr>
      </w:pPr>
      <w:r w:rsidRPr="00784A41">
        <w:rPr>
          <w:rFonts w:cs="Tahoma"/>
          <w:b/>
          <w:color w:val="000000" w:themeColor="text1"/>
          <w:szCs w:val="24"/>
        </w:rPr>
        <w:t>RESUELVE</w:t>
      </w:r>
    </w:p>
    <w:p w14:paraId="12CF606D" w14:textId="77777777" w:rsidR="00021389" w:rsidRPr="00784A41" w:rsidRDefault="00021389" w:rsidP="00493562">
      <w:pPr>
        <w:widowControl w:val="0"/>
        <w:autoSpaceDE w:val="0"/>
        <w:autoSpaceDN w:val="0"/>
        <w:adjustRightInd w:val="0"/>
        <w:spacing w:line="276" w:lineRule="auto"/>
        <w:rPr>
          <w:rFonts w:cs="Tahoma"/>
          <w:b/>
          <w:szCs w:val="24"/>
        </w:rPr>
      </w:pPr>
    </w:p>
    <w:p w14:paraId="018FA12A" w14:textId="2B71D952" w:rsidR="00DA7A4E" w:rsidRPr="00784A41" w:rsidRDefault="00DA7A4E" w:rsidP="00784A41">
      <w:pPr>
        <w:pStyle w:val="paragraph"/>
        <w:spacing w:before="0" w:beforeAutospacing="0" w:after="0" w:afterAutospacing="0" w:line="276" w:lineRule="auto"/>
        <w:ind w:firstLine="705"/>
        <w:jc w:val="both"/>
        <w:textAlignment w:val="baseline"/>
        <w:rPr>
          <w:rFonts w:ascii="Tahoma" w:hAnsi="Tahoma" w:cs="Tahoma"/>
        </w:rPr>
      </w:pPr>
      <w:r w:rsidRPr="00784A41">
        <w:rPr>
          <w:rStyle w:val="normaltextrun"/>
          <w:rFonts w:ascii="Tahoma" w:hAnsi="Tahoma" w:cs="Tahoma"/>
          <w:b/>
          <w:bCs/>
          <w:color w:val="000000"/>
        </w:rPr>
        <w:t xml:space="preserve">PRIMERO: CONFIRMAR </w:t>
      </w:r>
      <w:r w:rsidRPr="00784A41">
        <w:rPr>
          <w:rStyle w:val="normaltextrun"/>
          <w:rFonts w:ascii="Tahoma" w:hAnsi="Tahoma" w:cs="Tahoma"/>
          <w:color w:val="000000"/>
        </w:rPr>
        <w:t xml:space="preserve">en todas sus partes la </w:t>
      </w:r>
      <w:r w:rsidRPr="00784A41">
        <w:rPr>
          <w:rFonts w:ascii="Tahoma" w:hAnsi="Tahoma" w:cs="Tahoma"/>
        </w:rPr>
        <w:t xml:space="preserve">proferida por el </w:t>
      </w:r>
      <w:r w:rsidRPr="00784A41">
        <w:rPr>
          <w:rFonts w:ascii="Tahoma" w:hAnsi="Tahoma" w:cs="Tahoma"/>
          <w:lang w:val="es-CO"/>
        </w:rPr>
        <w:t xml:space="preserve">Juzgado </w:t>
      </w:r>
      <w:r w:rsidRPr="00784A41">
        <w:rPr>
          <w:rStyle w:val="normaltextrun"/>
          <w:rFonts w:ascii="Tahoma" w:hAnsi="Tahoma" w:cs="Tahoma"/>
          <w:color w:val="000000"/>
        </w:rPr>
        <w:t xml:space="preserve">Cuarto Laboral del Circuito de Pereira el 04 de octubre de 2022 </w:t>
      </w:r>
      <w:r w:rsidRPr="00784A41">
        <w:rPr>
          <w:rStyle w:val="normaltextrun"/>
          <w:rFonts w:ascii="Tahoma" w:hAnsi="Tahoma" w:cs="Tahoma"/>
        </w:rPr>
        <w:t xml:space="preserve">dentro del proceso ordinario laboral instaurado por </w:t>
      </w:r>
      <w:r w:rsidRPr="00784A41">
        <w:rPr>
          <w:rFonts w:ascii="Tahoma" w:hAnsi="Tahoma" w:cs="Tahoma"/>
          <w:b/>
        </w:rPr>
        <w:t>MARÍA MAGNOLÍA LEDESMA SÁNCHEZ</w:t>
      </w:r>
      <w:r w:rsidRPr="00784A41">
        <w:rPr>
          <w:rStyle w:val="normaltextrun"/>
          <w:rFonts w:ascii="Tahoma" w:hAnsi="Tahoma" w:cs="Tahoma"/>
          <w:b/>
        </w:rPr>
        <w:t xml:space="preserve"> </w:t>
      </w:r>
      <w:r w:rsidRPr="00784A41">
        <w:rPr>
          <w:rStyle w:val="normaltextrun"/>
          <w:rFonts w:ascii="Tahoma" w:hAnsi="Tahoma" w:cs="Tahoma"/>
        </w:rPr>
        <w:t xml:space="preserve">en contra de la </w:t>
      </w:r>
      <w:r w:rsidRPr="00784A41">
        <w:rPr>
          <w:rStyle w:val="normaltextrun"/>
          <w:rFonts w:ascii="Tahoma" w:hAnsi="Tahoma" w:cs="Tahoma"/>
          <w:b/>
          <w:bCs/>
        </w:rPr>
        <w:t>ADMINISTRADORA COLOMBIANA DE PENSIONES – COLPENSIONES</w:t>
      </w:r>
      <w:r w:rsidRPr="00784A41">
        <w:rPr>
          <w:rStyle w:val="normaltextrun"/>
          <w:rFonts w:ascii="Tahoma" w:hAnsi="Tahoma" w:cs="Tahoma"/>
          <w:color w:val="000000"/>
        </w:rPr>
        <w:t>.</w:t>
      </w:r>
      <w:r w:rsidRPr="00784A41">
        <w:rPr>
          <w:rStyle w:val="eop"/>
          <w:rFonts w:ascii="Tahoma" w:hAnsi="Tahoma" w:cs="Tahoma"/>
        </w:rPr>
        <w:t> </w:t>
      </w:r>
    </w:p>
    <w:p w14:paraId="7E26712A" w14:textId="77777777" w:rsidR="00DA7A4E" w:rsidRPr="00784A41" w:rsidRDefault="00DA7A4E" w:rsidP="00784A41">
      <w:pPr>
        <w:pStyle w:val="paragraph"/>
        <w:spacing w:before="0" w:beforeAutospacing="0" w:after="0" w:afterAutospacing="0" w:line="276" w:lineRule="auto"/>
        <w:ind w:firstLine="840"/>
        <w:jc w:val="both"/>
        <w:textAlignment w:val="baseline"/>
        <w:rPr>
          <w:rFonts w:ascii="Tahoma" w:hAnsi="Tahoma" w:cs="Tahoma"/>
        </w:rPr>
      </w:pPr>
      <w:r w:rsidRPr="00784A41">
        <w:rPr>
          <w:rStyle w:val="eop"/>
          <w:rFonts w:ascii="Tahoma" w:hAnsi="Tahoma" w:cs="Tahoma"/>
        </w:rPr>
        <w:t> </w:t>
      </w:r>
    </w:p>
    <w:p w14:paraId="23D05F35" w14:textId="49AAE4C6" w:rsidR="00DA7A4E" w:rsidRPr="00784A41" w:rsidRDefault="00DA7A4E" w:rsidP="00784A41">
      <w:pPr>
        <w:pStyle w:val="paragraph"/>
        <w:spacing w:before="0" w:beforeAutospacing="0" w:after="0" w:afterAutospacing="0" w:line="276" w:lineRule="auto"/>
        <w:ind w:firstLine="840"/>
        <w:jc w:val="both"/>
        <w:textAlignment w:val="baseline"/>
        <w:rPr>
          <w:rFonts w:ascii="Tahoma" w:hAnsi="Tahoma" w:cs="Tahoma"/>
        </w:rPr>
      </w:pPr>
      <w:r w:rsidRPr="00784A41">
        <w:rPr>
          <w:rStyle w:val="normaltextrun"/>
          <w:rFonts w:ascii="Tahoma" w:hAnsi="Tahoma" w:cs="Tahoma"/>
          <w:b/>
          <w:bCs/>
          <w:color w:val="000000"/>
          <w:shd w:val="clear" w:color="auto" w:fill="FFFFFF"/>
        </w:rPr>
        <w:t>SEGUNDO:</w:t>
      </w:r>
      <w:r w:rsidRPr="00784A41">
        <w:rPr>
          <w:rStyle w:val="normaltextrun"/>
          <w:rFonts w:ascii="Tahoma" w:hAnsi="Tahoma" w:cs="Tahoma"/>
          <w:color w:val="000000"/>
          <w:shd w:val="clear" w:color="auto" w:fill="FFFFFF"/>
        </w:rPr>
        <w:t xml:space="preserve"> </w:t>
      </w:r>
      <w:r w:rsidRPr="00784A41">
        <w:rPr>
          <w:rStyle w:val="normaltextrun"/>
          <w:rFonts w:ascii="Tahoma" w:hAnsi="Tahoma" w:cs="Tahoma"/>
          <w:b/>
          <w:bCs/>
          <w:color w:val="000000"/>
          <w:shd w:val="clear" w:color="auto" w:fill="FFFFFF"/>
        </w:rPr>
        <w:t>CONDENAR</w:t>
      </w:r>
      <w:r w:rsidRPr="00784A41">
        <w:rPr>
          <w:rStyle w:val="normaltextrun"/>
          <w:rFonts w:ascii="Tahoma" w:hAnsi="Tahoma" w:cs="Tahoma"/>
          <w:color w:val="000000"/>
          <w:shd w:val="clear" w:color="auto" w:fill="FFFFFF"/>
        </w:rPr>
        <w:t xml:space="preserve"> en costas de segunda instancia a la parte demandante. Liquídense por la secretaría del juzgado de origen.</w:t>
      </w:r>
      <w:r w:rsidRPr="00784A41">
        <w:rPr>
          <w:rStyle w:val="eop"/>
          <w:rFonts w:ascii="Tahoma" w:hAnsi="Tahoma" w:cs="Tahoma"/>
        </w:rPr>
        <w:t> </w:t>
      </w:r>
    </w:p>
    <w:p w14:paraId="0D4F4729" w14:textId="77777777" w:rsidR="00784A41" w:rsidRPr="00784A41" w:rsidRDefault="00784A41" w:rsidP="00784A41">
      <w:pPr>
        <w:spacing w:line="276" w:lineRule="auto"/>
        <w:rPr>
          <w:rFonts w:eastAsia="Calibri" w:cs="Tahoma"/>
          <w:szCs w:val="24"/>
          <w:lang w:val="es-CO"/>
        </w:rPr>
      </w:pPr>
      <w:bookmarkStart w:id="9" w:name="_Hlk126574973"/>
    </w:p>
    <w:p w14:paraId="3569B641" w14:textId="77777777" w:rsidR="00784A41" w:rsidRPr="00784A41" w:rsidRDefault="00784A41" w:rsidP="00784A41">
      <w:pPr>
        <w:spacing w:line="276" w:lineRule="auto"/>
        <w:jc w:val="center"/>
        <w:rPr>
          <w:rFonts w:eastAsia="Tahoma" w:cs="Tahoma"/>
          <w:b/>
          <w:bCs/>
          <w:szCs w:val="24"/>
          <w:lang w:val="es-CO"/>
        </w:rPr>
      </w:pPr>
      <w:r w:rsidRPr="00784A41">
        <w:rPr>
          <w:rFonts w:eastAsia="Tahoma" w:cs="Tahoma"/>
          <w:b/>
          <w:bCs/>
          <w:szCs w:val="24"/>
          <w:lang w:val="es-CO"/>
        </w:rPr>
        <w:t>NOTIFÍQUESE Y CÚMPLASE</w:t>
      </w:r>
    </w:p>
    <w:p w14:paraId="3381A498" w14:textId="77777777" w:rsidR="00784A41" w:rsidRPr="00784A41" w:rsidRDefault="00784A41" w:rsidP="00784A41">
      <w:pPr>
        <w:spacing w:line="276" w:lineRule="auto"/>
        <w:rPr>
          <w:rFonts w:eastAsia="Calibri" w:cs="Tahoma"/>
          <w:szCs w:val="24"/>
          <w:lang w:val="es-CO"/>
        </w:rPr>
      </w:pPr>
      <w:r w:rsidRPr="00784A41">
        <w:rPr>
          <w:rFonts w:eastAsia="Calibri" w:cs="Tahoma"/>
          <w:szCs w:val="24"/>
          <w:lang w:val="es-CO"/>
        </w:rPr>
        <w:t xml:space="preserve"> </w:t>
      </w:r>
    </w:p>
    <w:p w14:paraId="0F9431EA" w14:textId="77777777" w:rsidR="00784A41" w:rsidRPr="00784A41" w:rsidRDefault="00784A41" w:rsidP="00784A41">
      <w:pPr>
        <w:widowControl w:val="0"/>
        <w:autoSpaceDE w:val="0"/>
        <w:autoSpaceDN w:val="0"/>
        <w:adjustRightInd w:val="0"/>
        <w:spacing w:line="276" w:lineRule="auto"/>
        <w:rPr>
          <w:rFonts w:eastAsia="Times New Roman" w:cs="Tahoma"/>
          <w:szCs w:val="24"/>
          <w:lang w:eastAsia="es-ES"/>
        </w:rPr>
      </w:pPr>
      <w:r w:rsidRPr="00784A41">
        <w:rPr>
          <w:rFonts w:eastAsia="Times New Roman" w:cs="Tahoma"/>
          <w:szCs w:val="24"/>
          <w:lang w:eastAsia="es-ES"/>
        </w:rPr>
        <w:tab/>
        <w:t>La Magistrada ponente,</w:t>
      </w:r>
    </w:p>
    <w:p w14:paraId="434B978E" w14:textId="77777777" w:rsidR="00784A41" w:rsidRPr="00784A41" w:rsidRDefault="00784A41" w:rsidP="00784A41">
      <w:pPr>
        <w:spacing w:line="276" w:lineRule="auto"/>
        <w:jc w:val="left"/>
        <w:rPr>
          <w:rFonts w:eastAsia="Times New Roman" w:cs="Tahoma"/>
          <w:szCs w:val="24"/>
          <w:lang w:eastAsia="es-ES"/>
        </w:rPr>
      </w:pPr>
    </w:p>
    <w:p w14:paraId="4601E93E" w14:textId="77777777" w:rsidR="00784A41" w:rsidRPr="00784A41" w:rsidRDefault="00784A41" w:rsidP="00784A41">
      <w:pPr>
        <w:spacing w:line="276" w:lineRule="auto"/>
        <w:jc w:val="left"/>
        <w:rPr>
          <w:rFonts w:eastAsia="Times New Roman" w:cs="Tahoma"/>
          <w:szCs w:val="24"/>
          <w:lang w:eastAsia="es-ES"/>
        </w:rPr>
      </w:pPr>
    </w:p>
    <w:p w14:paraId="525DD460" w14:textId="77777777" w:rsidR="00784A41" w:rsidRPr="00784A41" w:rsidRDefault="00784A41" w:rsidP="00784A41">
      <w:pPr>
        <w:spacing w:line="276" w:lineRule="auto"/>
        <w:jc w:val="left"/>
        <w:rPr>
          <w:rFonts w:eastAsia="Times New Roman" w:cs="Tahoma"/>
          <w:szCs w:val="24"/>
          <w:lang w:eastAsia="es-ES"/>
        </w:rPr>
      </w:pPr>
    </w:p>
    <w:p w14:paraId="74A95371" w14:textId="77777777" w:rsidR="00784A41" w:rsidRPr="00784A41" w:rsidRDefault="00784A41" w:rsidP="00784A41">
      <w:pPr>
        <w:keepNext/>
        <w:spacing w:line="276" w:lineRule="auto"/>
        <w:jc w:val="center"/>
        <w:outlineLvl w:val="2"/>
        <w:rPr>
          <w:rFonts w:eastAsia="Times New Roman" w:cs="Tahoma"/>
          <w:b/>
          <w:bCs/>
          <w:szCs w:val="24"/>
          <w:lang w:eastAsia="es-ES"/>
        </w:rPr>
      </w:pPr>
      <w:r w:rsidRPr="00784A41">
        <w:rPr>
          <w:rFonts w:eastAsia="Times New Roman" w:cs="Tahoma"/>
          <w:b/>
          <w:bCs/>
          <w:szCs w:val="24"/>
          <w:lang w:eastAsia="es-ES"/>
        </w:rPr>
        <w:t>ANA LUCÍA CAICEDO CALDERÓN</w:t>
      </w:r>
    </w:p>
    <w:p w14:paraId="1EF31DD3" w14:textId="77777777" w:rsidR="00784A41" w:rsidRPr="00784A41" w:rsidRDefault="00784A41" w:rsidP="00784A41">
      <w:pPr>
        <w:spacing w:line="276" w:lineRule="auto"/>
        <w:jc w:val="left"/>
        <w:rPr>
          <w:rFonts w:eastAsia="Times New Roman" w:cs="Tahoma"/>
          <w:szCs w:val="24"/>
          <w:lang w:eastAsia="es-ES"/>
        </w:rPr>
      </w:pPr>
    </w:p>
    <w:p w14:paraId="6FCBE038" w14:textId="77777777" w:rsidR="00784A41" w:rsidRPr="00784A41" w:rsidRDefault="00784A41" w:rsidP="00784A41">
      <w:pPr>
        <w:spacing w:line="276" w:lineRule="auto"/>
        <w:ind w:firstLine="708"/>
        <w:jc w:val="left"/>
        <w:rPr>
          <w:rFonts w:eastAsia="Times New Roman" w:cs="Tahoma"/>
          <w:szCs w:val="24"/>
          <w:lang w:eastAsia="es-ES"/>
        </w:rPr>
      </w:pPr>
      <w:bookmarkStart w:id="10" w:name="_Hlk62478330"/>
      <w:r w:rsidRPr="00784A41">
        <w:rPr>
          <w:rFonts w:eastAsia="Times New Roman" w:cs="Tahoma"/>
          <w:szCs w:val="24"/>
          <w:lang w:eastAsia="es-ES"/>
        </w:rPr>
        <w:t>La Magistrada y el Magistrado,</w:t>
      </w:r>
    </w:p>
    <w:p w14:paraId="7B65C9DD" w14:textId="77777777" w:rsidR="00784A41" w:rsidRPr="00784A41" w:rsidRDefault="00784A41" w:rsidP="00784A41">
      <w:pPr>
        <w:spacing w:line="276" w:lineRule="auto"/>
        <w:jc w:val="left"/>
        <w:rPr>
          <w:rFonts w:eastAsia="Times New Roman" w:cs="Tahoma"/>
          <w:szCs w:val="24"/>
          <w:lang w:eastAsia="es-ES"/>
        </w:rPr>
      </w:pPr>
    </w:p>
    <w:p w14:paraId="0AFE1781" w14:textId="77777777" w:rsidR="00784A41" w:rsidRPr="00784A41" w:rsidRDefault="00784A41" w:rsidP="00784A41">
      <w:pPr>
        <w:spacing w:line="276" w:lineRule="auto"/>
        <w:jc w:val="left"/>
        <w:rPr>
          <w:rFonts w:eastAsia="Times New Roman" w:cs="Tahoma"/>
          <w:szCs w:val="24"/>
          <w:lang w:eastAsia="es-ES"/>
        </w:rPr>
      </w:pPr>
    </w:p>
    <w:p w14:paraId="50D858D9" w14:textId="77777777" w:rsidR="00784A41" w:rsidRPr="00784A41" w:rsidRDefault="00784A41" w:rsidP="00784A41">
      <w:pPr>
        <w:spacing w:line="276" w:lineRule="auto"/>
        <w:jc w:val="left"/>
        <w:rPr>
          <w:rFonts w:eastAsia="Times New Roman" w:cs="Tahoma"/>
          <w:szCs w:val="24"/>
          <w:lang w:eastAsia="es-ES"/>
        </w:rPr>
      </w:pPr>
    </w:p>
    <w:p w14:paraId="16D56463" w14:textId="77777777" w:rsidR="00784A41" w:rsidRPr="00784A41" w:rsidRDefault="00784A41" w:rsidP="00784A41">
      <w:pPr>
        <w:spacing w:line="276" w:lineRule="auto"/>
        <w:rPr>
          <w:rFonts w:eastAsia="Calibri" w:cs="Tahoma"/>
          <w:szCs w:val="24"/>
        </w:rPr>
      </w:pPr>
      <w:r w:rsidRPr="00784A41">
        <w:rPr>
          <w:rFonts w:eastAsia="Times New Roman" w:cs="Tahoma"/>
          <w:b/>
          <w:bCs/>
          <w:szCs w:val="24"/>
          <w:lang w:eastAsia="es-ES"/>
        </w:rPr>
        <w:t>OLGA LUCÍA HOYOS SEPÚLVEDA</w:t>
      </w:r>
      <w:r w:rsidRPr="00784A41">
        <w:rPr>
          <w:rFonts w:eastAsia="Times New Roman" w:cs="Tahoma"/>
          <w:b/>
          <w:bCs/>
          <w:szCs w:val="24"/>
          <w:lang w:eastAsia="es-ES"/>
        </w:rPr>
        <w:tab/>
      </w:r>
      <w:r w:rsidRPr="00784A41">
        <w:rPr>
          <w:rFonts w:eastAsia="Times New Roman" w:cs="Tahoma"/>
          <w:b/>
          <w:bCs/>
          <w:szCs w:val="24"/>
          <w:lang w:eastAsia="es-ES"/>
        </w:rPr>
        <w:tab/>
        <w:t>GERMÁN DARÍO GÓEZ VINASCO</w:t>
      </w:r>
      <w:bookmarkEnd w:id="9"/>
      <w:bookmarkEnd w:id="10"/>
    </w:p>
    <w:sectPr w:rsidR="00784A41" w:rsidRPr="00784A41" w:rsidSect="00C529FD">
      <w:headerReference w:type="default" r:id="rId13"/>
      <w:footerReference w:type="defaul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C1EDCA" w16cex:dateUtc="2023-05-24T12:13:33.203Z"/>
  <w16cex:commentExtensible w16cex:durableId="1AB70FFC" w16cex:dateUtc="2023-05-25T20:54:56.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8FB5" w14:textId="77777777" w:rsidR="00252BB1" w:rsidRDefault="00252BB1" w:rsidP="00790DA9">
      <w:pPr>
        <w:spacing w:line="240" w:lineRule="auto"/>
      </w:pPr>
      <w:r>
        <w:separator/>
      </w:r>
    </w:p>
  </w:endnote>
  <w:endnote w:type="continuationSeparator" w:id="0">
    <w:p w14:paraId="5510B115" w14:textId="77777777" w:rsidR="00252BB1" w:rsidRDefault="00252BB1" w:rsidP="00790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680810"/>
      <w:docPartObj>
        <w:docPartGallery w:val="Page Numbers (Bottom of Page)"/>
        <w:docPartUnique/>
      </w:docPartObj>
    </w:sdtPr>
    <w:sdtEndPr>
      <w:rPr>
        <w:rFonts w:ascii="Arial" w:eastAsia="Times New Roman" w:hAnsi="Arial" w:cs="Arial"/>
        <w:sz w:val="18"/>
        <w:szCs w:val="14"/>
        <w:lang w:eastAsia="es-ES"/>
      </w:rPr>
    </w:sdtEndPr>
    <w:sdtContent>
      <w:p w14:paraId="14419340" w14:textId="77777777" w:rsidR="00FE4305" w:rsidRPr="008063DF" w:rsidRDefault="00FE4305">
        <w:pPr>
          <w:pStyle w:val="Piedepgina"/>
          <w:jc w:val="right"/>
          <w:rPr>
            <w:rFonts w:ascii="Arial" w:eastAsia="Times New Roman" w:hAnsi="Arial" w:cs="Arial"/>
            <w:sz w:val="18"/>
            <w:szCs w:val="14"/>
            <w:lang w:eastAsia="es-ES"/>
          </w:rPr>
        </w:pPr>
        <w:r w:rsidRPr="008063DF">
          <w:rPr>
            <w:rFonts w:ascii="Arial" w:eastAsia="Times New Roman" w:hAnsi="Arial" w:cs="Arial"/>
            <w:sz w:val="18"/>
            <w:szCs w:val="14"/>
            <w:lang w:eastAsia="es-ES"/>
          </w:rPr>
          <w:fldChar w:fldCharType="begin"/>
        </w:r>
        <w:r w:rsidRPr="008063DF">
          <w:rPr>
            <w:rFonts w:ascii="Arial" w:eastAsia="Times New Roman" w:hAnsi="Arial" w:cs="Arial"/>
            <w:sz w:val="18"/>
            <w:szCs w:val="14"/>
            <w:lang w:eastAsia="es-ES"/>
          </w:rPr>
          <w:instrText>PAGE   \* MERGEFORMAT</w:instrText>
        </w:r>
        <w:r w:rsidRPr="008063DF">
          <w:rPr>
            <w:rFonts w:ascii="Arial" w:eastAsia="Times New Roman" w:hAnsi="Arial" w:cs="Arial"/>
            <w:sz w:val="18"/>
            <w:szCs w:val="14"/>
            <w:lang w:eastAsia="es-ES"/>
          </w:rPr>
          <w:fldChar w:fldCharType="separate"/>
        </w:r>
        <w:r>
          <w:rPr>
            <w:rFonts w:ascii="Arial" w:eastAsia="Times New Roman" w:hAnsi="Arial" w:cs="Arial"/>
            <w:sz w:val="18"/>
            <w:szCs w:val="14"/>
            <w:lang w:eastAsia="es-ES"/>
          </w:rPr>
          <w:t>17</w:t>
        </w:r>
        <w:r w:rsidRPr="008063DF">
          <w:rPr>
            <w:rFonts w:ascii="Arial" w:eastAsia="Times New Roman" w:hAnsi="Arial" w:cs="Arial"/>
            <w:sz w:val="18"/>
            <w:szCs w:val="14"/>
            <w:lang w:eastAsia="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DAFD" w14:textId="77777777" w:rsidR="00252BB1" w:rsidRDefault="00252BB1" w:rsidP="00790DA9">
      <w:pPr>
        <w:spacing w:line="240" w:lineRule="auto"/>
      </w:pPr>
      <w:r>
        <w:separator/>
      </w:r>
    </w:p>
  </w:footnote>
  <w:footnote w:type="continuationSeparator" w:id="0">
    <w:p w14:paraId="3539551E" w14:textId="77777777" w:rsidR="00252BB1" w:rsidRDefault="00252BB1" w:rsidP="00790DA9">
      <w:pPr>
        <w:spacing w:line="240" w:lineRule="auto"/>
      </w:pPr>
      <w:r>
        <w:continuationSeparator/>
      </w:r>
    </w:p>
  </w:footnote>
  <w:footnote w:id="1">
    <w:p w14:paraId="72CCD0CD" w14:textId="7865DD40" w:rsidR="00F21E00" w:rsidRDefault="00F21E00">
      <w:pPr>
        <w:pStyle w:val="Textonotapie"/>
      </w:pPr>
      <w:r>
        <w:rPr>
          <w:rStyle w:val="Refdenotaalpie"/>
        </w:rPr>
        <w:footnoteRef/>
      </w:r>
      <w:r>
        <w:t xml:space="preserve"> Archivo 13, páginas 10-15, carpeta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1CDB" w14:textId="46E9BD79" w:rsidR="00FE4305" w:rsidRPr="00573D45" w:rsidRDefault="00FE4305" w:rsidP="00573D45">
    <w:pPr>
      <w:tabs>
        <w:tab w:val="left" w:pos="993"/>
      </w:tabs>
      <w:spacing w:line="240" w:lineRule="auto"/>
      <w:ind w:left="1134" w:hanging="1134"/>
      <w:rPr>
        <w:rFonts w:ascii="Arial" w:eastAsia="Times New Roman" w:hAnsi="Arial" w:cs="Arial"/>
        <w:sz w:val="18"/>
        <w:szCs w:val="14"/>
        <w:lang w:eastAsia="es-ES"/>
      </w:rPr>
    </w:pPr>
    <w:r w:rsidRPr="00573D45">
      <w:rPr>
        <w:rFonts w:ascii="Arial" w:eastAsia="Times New Roman" w:hAnsi="Arial" w:cs="Arial"/>
        <w:sz w:val="18"/>
        <w:szCs w:val="14"/>
        <w:lang w:eastAsia="es-ES"/>
      </w:rPr>
      <w:t>Radicación No.: 66001-31-05-00</w:t>
    </w:r>
    <w:r w:rsidR="00316A66" w:rsidRPr="00573D45">
      <w:rPr>
        <w:rFonts w:ascii="Arial" w:eastAsia="Times New Roman" w:hAnsi="Arial" w:cs="Arial"/>
        <w:sz w:val="18"/>
        <w:szCs w:val="14"/>
        <w:lang w:eastAsia="es-ES"/>
      </w:rPr>
      <w:t>4</w:t>
    </w:r>
    <w:r w:rsidRPr="00573D45">
      <w:rPr>
        <w:rFonts w:ascii="Arial" w:eastAsia="Times New Roman" w:hAnsi="Arial" w:cs="Arial"/>
        <w:sz w:val="18"/>
        <w:szCs w:val="14"/>
        <w:lang w:eastAsia="es-ES"/>
      </w:rPr>
      <w:t>-201</w:t>
    </w:r>
    <w:r w:rsidR="00316A66" w:rsidRPr="00573D45">
      <w:rPr>
        <w:rFonts w:ascii="Arial" w:eastAsia="Times New Roman" w:hAnsi="Arial" w:cs="Arial"/>
        <w:sz w:val="18"/>
        <w:szCs w:val="14"/>
        <w:lang w:eastAsia="es-ES"/>
      </w:rPr>
      <w:t>8</w:t>
    </w:r>
    <w:r w:rsidRPr="00573D45">
      <w:rPr>
        <w:rFonts w:ascii="Arial" w:eastAsia="Times New Roman" w:hAnsi="Arial" w:cs="Arial"/>
        <w:sz w:val="18"/>
        <w:szCs w:val="14"/>
        <w:lang w:eastAsia="es-ES"/>
      </w:rPr>
      <w:t>-00</w:t>
    </w:r>
    <w:r w:rsidR="00316A66" w:rsidRPr="00573D45">
      <w:rPr>
        <w:rFonts w:ascii="Arial" w:eastAsia="Times New Roman" w:hAnsi="Arial" w:cs="Arial"/>
        <w:sz w:val="18"/>
        <w:szCs w:val="14"/>
        <w:lang w:eastAsia="es-ES"/>
      </w:rPr>
      <w:t>049</w:t>
    </w:r>
    <w:r w:rsidRPr="00573D45">
      <w:rPr>
        <w:rFonts w:ascii="Arial" w:eastAsia="Times New Roman" w:hAnsi="Arial" w:cs="Arial"/>
        <w:sz w:val="18"/>
        <w:szCs w:val="14"/>
        <w:lang w:eastAsia="es-ES"/>
      </w:rPr>
      <w:t>-01</w:t>
    </w:r>
  </w:p>
  <w:p w14:paraId="095ED440" w14:textId="163B2E86" w:rsidR="00FE4305" w:rsidRPr="00573D45" w:rsidRDefault="00FE4305" w:rsidP="00573D45">
    <w:pPr>
      <w:tabs>
        <w:tab w:val="left" w:pos="993"/>
      </w:tabs>
      <w:spacing w:line="240" w:lineRule="auto"/>
      <w:ind w:left="1134" w:hanging="1134"/>
      <w:rPr>
        <w:rFonts w:ascii="Arial" w:eastAsia="Times New Roman" w:hAnsi="Arial" w:cs="Arial"/>
        <w:sz w:val="18"/>
        <w:szCs w:val="14"/>
        <w:lang w:eastAsia="es-ES"/>
      </w:rPr>
    </w:pPr>
    <w:r w:rsidRPr="00573D45">
      <w:rPr>
        <w:rFonts w:ascii="Arial" w:eastAsia="Times New Roman" w:hAnsi="Arial" w:cs="Arial"/>
        <w:sz w:val="18"/>
        <w:szCs w:val="14"/>
        <w:lang w:eastAsia="es-ES"/>
      </w:rPr>
      <w:t xml:space="preserve">Demandante: </w:t>
    </w:r>
    <w:r w:rsidR="00316A66" w:rsidRPr="00573D45">
      <w:rPr>
        <w:rFonts w:ascii="Arial" w:eastAsia="Times New Roman" w:hAnsi="Arial" w:cs="Arial"/>
        <w:sz w:val="18"/>
        <w:szCs w:val="14"/>
        <w:lang w:eastAsia="es-ES"/>
      </w:rPr>
      <w:t>María Magnolia Ledesma Sánchez</w:t>
    </w:r>
  </w:p>
  <w:p w14:paraId="45EA3F9F" w14:textId="75BC92BF" w:rsidR="00FE4305" w:rsidRPr="00573D45" w:rsidRDefault="00FE4305" w:rsidP="00573D45">
    <w:pPr>
      <w:tabs>
        <w:tab w:val="left" w:pos="993"/>
      </w:tabs>
      <w:spacing w:line="240" w:lineRule="auto"/>
      <w:ind w:left="1134" w:hanging="1134"/>
      <w:rPr>
        <w:rFonts w:ascii="Arial" w:eastAsia="Times New Roman" w:hAnsi="Arial" w:cs="Arial"/>
        <w:sz w:val="18"/>
        <w:szCs w:val="14"/>
        <w:lang w:eastAsia="es-ES"/>
      </w:rPr>
    </w:pPr>
    <w:r w:rsidRPr="00573D45">
      <w:rPr>
        <w:rFonts w:ascii="Arial" w:eastAsia="Times New Roman" w:hAnsi="Arial" w:cs="Arial"/>
        <w:sz w:val="18"/>
        <w:szCs w:val="14"/>
        <w:lang w:eastAsia="es-ES"/>
      </w:rPr>
      <w:t>Demandado: Colpensiones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A25"/>
    <w:multiLevelType w:val="hybridMultilevel"/>
    <w:tmpl w:val="9314E568"/>
    <w:lvl w:ilvl="0" w:tplc="D9529758">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002C1"/>
    <w:multiLevelType w:val="hybridMultilevel"/>
    <w:tmpl w:val="988471A0"/>
    <w:lvl w:ilvl="0" w:tplc="6D6AE680">
      <w:start w:val="1"/>
      <w:numFmt w:val="decimal"/>
      <w:lvlText w:val="%1)"/>
      <w:lvlJc w:val="left"/>
      <w:pPr>
        <w:ind w:left="1068" w:hanging="360"/>
      </w:pPr>
      <w:rPr>
        <w:rFonts w:ascii="Tahoma" w:eastAsiaTheme="minorHAnsi" w:hAnsi="Tahoma" w:cs="Tahoma" w:hint="default"/>
        <w:i w:val="0"/>
        <w:sz w:val="22"/>
        <w:szCs w:val="2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3" w15:restartNumberingAfterBreak="0">
    <w:nsid w:val="09121BCD"/>
    <w:multiLevelType w:val="multilevel"/>
    <w:tmpl w:val="6098316A"/>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65598D"/>
    <w:multiLevelType w:val="hybridMultilevel"/>
    <w:tmpl w:val="886E5BB0"/>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6"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C7546F0"/>
    <w:multiLevelType w:val="hybridMultilevel"/>
    <w:tmpl w:val="BBFA1FA6"/>
    <w:lvl w:ilvl="0" w:tplc="CD52657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3310293E"/>
    <w:multiLevelType w:val="multilevel"/>
    <w:tmpl w:val="725EE0F8"/>
    <w:lvl w:ilvl="0">
      <w:start w:val="7"/>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1110" w:hanging="720"/>
      </w:pPr>
      <w:rPr>
        <w:rFonts w:ascii="Tahoma" w:hAnsi="Tahoma" w:cs="Tahoma" w:hint="default"/>
        <w:b/>
      </w:rPr>
    </w:lvl>
    <w:lvl w:ilvl="2">
      <w:start w:val="1"/>
      <w:numFmt w:val="decimal"/>
      <w:lvlText w:val="%1.%2.%3."/>
      <w:lvlJc w:val="left"/>
      <w:pPr>
        <w:ind w:left="1860" w:hanging="1080"/>
      </w:pPr>
      <w:rPr>
        <w:rFonts w:ascii="Times New Roman" w:hAnsi="Times New Roman" w:cs="Times New Roman" w:hint="default"/>
        <w:b w:val="0"/>
      </w:rPr>
    </w:lvl>
    <w:lvl w:ilvl="3">
      <w:start w:val="1"/>
      <w:numFmt w:val="decimal"/>
      <w:lvlText w:val="%1.%2.%3.%4."/>
      <w:lvlJc w:val="left"/>
      <w:pPr>
        <w:ind w:left="2610" w:hanging="1440"/>
      </w:pPr>
      <w:rPr>
        <w:rFonts w:ascii="Times New Roman" w:hAnsi="Times New Roman" w:cs="Times New Roman" w:hint="default"/>
        <w:b w:val="0"/>
      </w:rPr>
    </w:lvl>
    <w:lvl w:ilvl="4">
      <w:start w:val="1"/>
      <w:numFmt w:val="decimal"/>
      <w:lvlText w:val="%1.%2.%3.%4.%5."/>
      <w:lvlJc w:val="left"/>
      <w:pPr>
        <w:ind w:left="3000" w:hanging="1440"/>
      </w:pPr>
      <w:rPr>
        <w:rFonts w:ascii="Times New Roman" w:hAnsi="Times New Roman" w:cs="Times New Roman" w:hint="default"/>
        <w:b w:val="0"/>
      </w:rPr>
    </w:lvl>
    <w:lvl w:ilvl="5">
      <w:start w:val="1"/>
      <w:numFmt w:val="decimal"/>
      <w:lvlText w:val="%1.%2.%3.%4.%5.%6."/>
      <w:lvlJc w:val="left"/>
      <w:pPr>
        <w:ind w:left="3750" w:hanging="1800"/>
      </w:pPr>
      <w:rPr>
        <w:rFonts w:ascii="Times New Roman" w:hAnsi="Times New Roman" w:cs="Times New Roman" w:hint="default"/>
        <w:b w:val="0"/>
      </w:rPr>
    </w:lvl>
    <w:lvl w:ilvl="6">
      <w:start w:val="1"/>
      <w:numFmt w:val="decimal"/>
      <w:lvlText w:val="%1.%2.%3.%4.%5.%6.%7."/>
      <w:lvlJc w:val="left"/>
      <w:pPr>
        <w:ind w:left="4500" w:hanging="2160"/>
      </w:pPr>
      <w:rPr>
        <w:rFonts w:ascii="Times New Roman" w:hAnsi="Times New Roman" w:cs="Times New Roman" w:hint="default"/>
        <w:b w:val="0"/>
      </w:rPr>
    </w:lvl>
    <w:lvl w:ilvl="7">
      <w:start w:val="1"/>
      <w:numFmt w:val="decimal"/>
      <w:lvlText w:val="%1.%2.%3.%4.%5.%6.%7.%8."/>
      <w:lvlJc w:val="left"/>
      <w:pPr>
        <w:ind w:left="5250" w:hanging="2520"/>
      </w:pPr>
      <w:rPr>
        <w:rFonts w:ascii="Times New Roman" w:hAnsi="Times New Roman" w:cs="Times New Roman" w:hint="default"/>
        <w:b w:val="0"/>
      </w:rPr>
    </w:lvl>
    <w:lvl w:ilvl="8">
      <w:start w:val="1"/>
      <w:numFmt w:val="decimal"/>
      <w:lvlText w:val="%1.%2.%3.%4.%5.%6.%7.%8.%9."/>
      <w:lvlJc w:val="left"/>
      <w:pPr>
        <w:ind w:left="5640" w:hanging="2520"/>
      </w:pPr>
      <w:rPr>
        <w:rFonts w:ascii="Times New Roman" w:hAnsi="Times New Roman" w:cs="Times New Roman" w:hint="default"/>
        <w:b w:val="0"/>
      </w:rPr>
    </w:lvl>
  </w:abstractNum>
  <w:abstractNum w:abstractNumId="10" w15:restartNumberingAfterBreak="0">
    <w:nsid w:val="339E00A7"/>
    <w:multiLevelType w:val="multilevel"/>
    <w:tmpl w:val="F198E3FA"/>
    <w:lvl w:ilvl="0">
      <w:start w:val="1"/>
      <w:numFmt w:val="decimal"/>
      <w:lvlText w:val="%1."/>
      <w:lvlJc w:val="left"/>
      <w:pPr>
        <w:ind w:left="720" w:hanging="360"/>
      </w:pPr>
      <w:rPr>
        <w:b/>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108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800" w:hanging="1440"/>
      </w:pPr>
      <w:rPr>
        <w:rFonts w:hint="default"/>
      </w:rPr>
    </w:lvl>
    <w:lvl w:ilvl="5">
      <w:start w:val="1"/>
      <w:numFmt w:val="decimal"/>
      <w:isLgl/>
      <w:lvlText w:val="%1.%2.%3.%4.%5.%6"/>
      <w:lvlJc w:val="left"/>
      <w:pPr>
        <w:ind w:left="5910" w:hanging="1800"/>
      </w:pPr>
      <w:rPr>
        <w:rFonts w:hint="default"/>
      </w:rPr>
    </w:lvl>
    <w:lvl w:ilvl="6">
      <w:start w:val="1"/>
      <w:numFmt w:val="decimal"/>
      <w:isLgl/>
      <w:lvlText w:val="%1.%2.%3.%4.%5.%6.%7"/>
      <w:lvlJc w:val="left"/>
      <w:pPr>
        <w:ind w:left="7020" w:hanging="2160"/>
      </w:pPr>
      <w:rPr>
        <w:rFonts w:hint="default"/>
      </w:rPr>
    </w:lvl>
    <w:lvl w:ilvl="7">
      <w:start w:val="1"/>
      <w:numFmt w:val="decimal"/>
      <w:isLgl/>
      <w:lvlText w:val="%1.%2.%3.%4.%5.%6.%7.%8"/>
      <w:lvlJc w:val="left"/>
      <w:pPr>
        <w:ind w:left="7770" w:hanging="2160"/>
      </w:pPr>
      <w:rPr>
        <w:rFonts w:hint="default"/>
      </w:rPr>
    </w:lvl>
    <w:lvl w:ilvl="8">
      <w:start w:val="1"/>
      <w:numFmt w:val="decimal"/>
      <w:isLgl/>
      <w:lvlText w:val="%1.%2.%3.%4.%5.%6.%7.%8.%9"/>
      <w:lvlJc w:val="left"/>
      <w:pPr>
        <w:ind w:left="8880" w:hanging="2520"/>
      </w:pPr>
      <w:rPr>
        <w:rFonts w:hint="default"/>
      </w:rPr>
    </w:lvl>
  </w:abstractNum>
  <w:abstractNum w:abstractNumId="11"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1576A6"/>
    <w:multiLevelType w:val="multilevel"/>
    <w:tmpl w:val="6E369B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A5F7256"/>
    <w:multiLevelType w:val="hybridMultilevel"/>
    <w:tmpl w:val="E7F08C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5" w15:restartNumberingAfterBreak="0">
    <w:nsid w:val="4E8347ED"/>
    <w:multiLevelType w:val="multilevel"/>
    <w:tmpl w:val="2F00975E"/>
    <w:lvl w:ilvl="0">
      <w:start w:val="6"/>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6" w15:restartNumberingAfterBreak="0">
    <w:nsid w:val="500F164A"/>
    <w:multiLevelType w:val="hybridMultilevel"/>
    <w:tmpl w:val="E8081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89509D"/>
    <w:multiLevelType w:val="hybridMultilevel"/>
    <w:tmpl w:val="2DAA21E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AE05DFB"/>
    <w:multiLevelType w:val="multilevel"/>
    <w:tmpl w:val="6C206B58"/>
    <w:lvl w:ilvl="0">
      <w:start w:val="6"/>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1" w15:restartNumberingAfterBreak="0">
    <w:nsid w:val="79F62AC9"/>
    <w:multiLevelType w:val="hybridMultilevel"/>
    <w:tmpl w:val="3C087AB0"/>
    <w:lvl w:ilvl="0" w:tplc="DE60B346">
      <w:numFmt w:val="bullet"/>
      <w:lvlText w:val="-"/>
      <w:lvlJc w:val="left"/>
      <w:pPr>
        <w:ind w:left="1069" w:hanging="360"/>
      </w:pPr>
      <w:rPr>
        <w:rFonts w:ascii="Tahoma" w:eastAsiaTheme="minorHAnsi" w:hAnsi="Tahoma" w:cs="Tahoma"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14"/>
  </w:num>
  <w:num w:numId="2">
    <w:abstractNumId w:val="11"/>
  </w:num>
  <w:num w:numId="3">
    <w:abstractNumId w:val="20"/>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8"/>
  </w:num>
  <w:num w:numId="15">
    <w:abstractNumId w:val="13"/>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19"/>
  </w:num>
  <w:num w:numId="21">
    <w:abstractNumId w:val="10"/>
  </w:num>
  <w:num w:numId="22">
    <w:abstractNumId w:val="15"/>
  </w:num>
  <w:num w:numId="2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A9"/>
    <w:rsid w:val="000024DC"/>
    <w:rsid w:val="00004C60"/>
    <w:rsid w:val="000050D7"/>
    <w:rsid w:val="000072F6"/>
    <w:rsid w:val="00015CDE"/>
    <w:rsid w:val="00017704"/>
    <w:rsid w:val="00020245"/>
    <w:rsid w:val="00021389"/>
    <w:rsid w:val="00023C72"/>
    <w:rsid w:val="000244B5"/>
    <w:rsid w:val="000303BA"/>
    <w:rsid w:val="000314C9"/>
    <w:rsid w:val="00032108"/>
    <w:rsid w:val="000333C2"/>
    <w:rsid w:val="00042B25"/>
    <w:rsid w:val="000507CC"/>
    <w:rsid w:val="00053998"/>
    <w:rsid w:val="00055776"/>
    <w:rsid w:val="000558C6"/>
    <w:rsid w:val="0005603F"/>
    <w:rsid w:val="00057439"/>
    <w:rsid w:val="000658B8"/>
    <w:rsid w:val="00066767"/>
    <w:rsid w:val="00071FF7"/>
    <w:rsid w:val="000723F0"/>
    <w:rsid w:val="00072662"/>
    <w:rsid w:val="00073698"/>
    <w:rsid w:val="00081702"/>
    <w:rsid w:val="00081C10"/>
    <w:rsid w:val="00085698"/>
    <w:rsid w:val="000856A8"/>
    <w:rsid w:val="00094029"/>
    <w:rsid w:val="00096470"/>
    <w:rsid w:val="000A0933"/>
    <w:rsid w:val="000A4074"/>
    <w:rsid w:val="000B2BAA"/>
    <w:rsid w:val="000B4F2C"/>
    <w:rsid w:val="000B6053"/>
    <w:rsid w:val="000B6125"/>
    <w:rsid w:val="000B6595"/>
    <w:rsid w:val="000C02A4"/>
    <w:rsid w:val="000D0350"/>
    <w:rsid w:val="000D6436"/>
    <w:rsid w:val="000E25BE"/>
    <w:rsid w:val="000E2F1D"/>
    <w:rsid w:val="000E4606"/>
    <w:rsid w:val="000F290F"/>
    <w:rsid w:val="000F2EBC"/>
    <w:rsid w:val="000F3D75"/>
    <w:rsid w:val="000F4517"/>
    <w:rsid w:val="000F49C1"/>
    <w:rsid w:val="000F5175"/>
    <w:rsid w:val="00103F06"/>
    <w:rsid w:val="0011145B"/>
    <w:rsid w:val="00112454"/>
    <w:rsid w:val="00115C02"/>
    <w:rsid w:val="0011604A"/>
    <w:rsid w:val="001162CF"/>
    <w:rsid w:val="001170DA"/>
    <w:rsid w:val="0012333D"/>
    <w:rsid w:val="001236D1"/>
    <w:rsid w:val="001363CA"/>
    <w:rsid w:val="00142457"/>
    <w:rsid w:val="00142473"/>
    <w:rsid w:val="001431C7"/>
    <w:rsid w:val="00147587"/>
    <w:rsid w:val="00150E9B"/>
    <w:rsid w:val="001533B3"/>
    <w:rsid w:val="0015651A"/>
    <w:rsid w:val="00160F32"/>
    <w:rsid w:val="00163EBF"/>
    <w:rsid w:val="00167BA0"/>
    <w:rsid w:val="0017200E"/>
    <w:rsid w:val="001737EC"/>
    <w:rsid w:val="001802F1"/>
    <w:rsid w:val="001810F3"/>
    <w:rsid w:val="0018335E"/>
    <w:rsid w:val="00184EFA"/>
    <w:rsid w:val="001878AE"/>
    <w:rsid w:val="00191285"/>
    <w:rsid w:val="00192FFD"/>
    <w:rsid w:val="0019376A"/>
    <w:rsid w:val="00195142"/>
    <w:rsid w:val="00195B0D"/>
    <w:rsid w:val="001A291C"/>
    <w:rsid w:val="001A31D0"/>
    <w:rsid w:val="001A5BD7"/>
    <w:rsid w:val="001B01DA"/>
    <w:rsid w:val="001C0216"/>
    <w:rsid w:val="001C3029"/>
    <w:rsid w:val="001C6258"/>
    <w:rsid w:val="001D1461"/>
    <w:rsid w:val="001D225A"/>
    <w:rsid w:val="001D423C"/>
    <w:rsid w:val="001D44DA"/>
    <w:rsid w:val="001E65EB"/>
    <w:rsid w:val="001E6780"/>
    <w:rsid w:val="001E7064"/>
    <w:rsid w:val="001F4630"/>
    <w:rsid w:val="00200893"/>
    <w:rsid w:val="00222944"/>
    <w:rsid w:val="00222D58"/>
    <w:rsid w:val="0022344F"/>
    <w:rsid w:val="0022440C"/>
    <w:rsid w:val="00235D61"/>
    <w:rsid w:val="0023761B"/>
    <w:rsid w:val="00244E21"/>
    <w:rsid w:val="00245F6A"/>
    <w:rsid w:val="00251C39"/>
    <w:rsid w:val="00252BB1"/>
    <w:rsid w:val="00256512"/>
    <w:rsid w:val="00263815"/>
    <w:rsid w:val="00266A30"/>
    <w:rsid w:val="00271428"/>
    <w:rsid w:val="00272FA1"/>
    <w:rsid w:val="00275D11"/>
    <w:rsid w:val="00277760"/>
    <w:rsid w:val="00290DEE"/>
    <w:rsid w:val="00291FAB"/>
    <w:rsid w:val="002A31FE"/>
    <w:rsid w:val="002A4C14"/>
    <w:rsid w:val="002A51F3"/>
    <w:rsid w:val="002C0103"/>
    <w:rsid w:val="002C29D1"/>
    <w:rsid w:val="002C32BD"/>
    <w:rsid w:val="002C7DFA"/>
    <w:rsid w:val="002D3547"/>
    <w:rsid w:val="002D6408"/>
    <w:rsid w:val="002D70C7"/>
    <w:rsid w:val="002E4546"/>
    <w:rsid w:val="002E4B67"/>
    <w:rsid w:val="002F244F"/>
    <w:rsid w:val="002F56DC"/>
    <w:rsid w:val="002F61B9"/>
    <w:rsid w:val="002F7D17"/>
    <w:rsid w:val="003017A8"/>
    <w:rsid w:val="00301BC8"/>
    <w:rsid w:val="00302CBB"/>
    <w:rsid w:val="00315273"/>
    <w:rsid w:val="0031578C"/>
    <w:rsid w:val="00316A66"/>
    <w:rsid w:val="00322722"/>
    <w:rsid w:val="00322C38"/>
    <w:rsid w:val="003324F5"/>
    <w:rsid w:val="003331DF"/>
    <w:rsid w:val="00333A92"/>
    <w:rsid w:val="0034027E"/>
    <w:rsid w:val="00342284"/>
    <w:rsid w:val="00347016"/>
    <w:rsid w:val="0035017D"/>
    <w:rsid w:val="003537F0"/>
    <w:rsid w:val="00355AF9"/>
    <w:rsid w:val="00361F3A"/>
    <w:rsid w:val="00372C45"/>
    <w:rsid w:val="00373CEE"/>
    <w:rsid w:val="003775EE"/>
    <w:rsid w:val="00377946"/>
    <w:rsid w:val="00386234"/>
    <w:rsid w:val="00392D0C"/>
    <w:rsid w:val="00395613"/>
    <w:rsid w:val="003A07A4"/>
    <w:rsid w:val="003A16E6"/>
    <w:rsid w:val="003A24E3"/>
    <w:rsid w:val="003B4218"/>
    <w:rsid w:val="003B462E"/>
    <w:rsid w:val="003C0463"/>
    <w:rsid w:val="003C1E02"/>
    <w:rsid w:val="003C369E"/>
    <w:rsid w:val="003C46FA"/>
    <w:rsid w:val="003C7505"/>
    <w:rsid w:val="003C7E50"/>
    <w:rsid w:val="003D0E6E"/>
    <w:rsid w:val="003D1994"/>
    <w:rsid w:val="003D5398"/>
    <w:rsid w:val="003E18A3"/>
    <w:rsid w:val="003F14CC"/>
    <w:rsid w:val="00400519"/>
    <w:rsid w:val="0040245E"/>
    <w:rsid w:val="0040332F"/>
    <w:rsid w:val="004063CA"/>
    <w:rsid w:val="0041375F"/>
    <w:rsid w:val="00421F4F"/>
    <w:rsid w:val="00425094"/>
    <w:rsid w:val="004260C5"/>
    <w:rsid w:val="00436998"/>
    <w:rsid w:val="00442BD5"/>
    <w:rsid w:val="00443E23"/>
    <w:rsid w:val="00446E3B"/>
    <w:rsid w:val="00450952"/>
    <w:rsid w:val="00454F9D"/>
    <w:rsid w:val="00465ABE"/>
    <w:rsid w:val="00466937"/>
    <w:rsid w:val="00466B78"/>
    <w:rsid w:val="00467973"/>
    <w:rsid w:val="00471864"/>
    <w:rsid w:val="00472DDC"/>
    <w:rsid w:val="00472F19"/>
    <w:rsid w:val="00475D78"/>
    <w:rsid w:val="00480777"/>
    <w:rsid w:val="00483816"/>
    <w:rsid w:val="00486861"/>
    <w:rsid w:val="00493562"/>
    <w:rsid w:val="004A1054"/>
    <w:rsid w:val="004A519F"/>
    <w:rsid w:val="004A5FF4"/>
    <w:rsid w:val="004A65D3"/>
    <w:rsid w:val="004A69C7"/>
    <w:rsid w:val="004C46ED"/>
    <w:rsid w:val="004E139D"/>
    <w:rsid w:val="004E7605"/>
    <w:rsid w:val="004F626D"/>
    <w:rsid w:val="00505855"/>
    <w:rsid w:val="005206C1"/>
    <w:rsid w:val="00520FE6"/>
    <w:rsid w:val="00521328"/>
    <w:rsid w:val="00530B12"/>
    <w:rsid w:val="0053421E"/>
    <w:rsid w:val="00534644"/>
    <w:rsid w:val="00537710"/>
    <w:rsid w:val="00545B08"/>
    <w:rsid w:val="0055025D"/>
    <w:rsid w:val="0055256C"/>
    <w:rsid w:val="00553FD7"/>
    <w:rsid w:val="005571CA"/>
    <w:rsid w:val="0056002A"/>
    <w:rsid w:val="005600B0"/>
    <w:rsid w:val="00561E22"/>
    <w:rsid w:val="00561E61"/>
    <w:rsid w:val="00563270"/>
    <w:rsid w:val="005670DD"/>
    <w:rsid w:val="00572D65"/>
    <w:rsid w:val="00573D45"/>
    <w:rsid w:val="00597A65"/>
    <w:rsid w:val="005A473D"/>
    <w:rsid w:val="005A4DDC"/>
    <w:rsid w:val="005A5ADA"/>
    <w:rsid w:val="005B00B8"/>
    <w:rsid w:val="005B1B92"/>
    <w:rsid w:val="005B5103"/>
    <w:rsid w:val="005B65AA"/>
    <w:rsid w:val="005B716D"/>
    <w:rsid w:val="005C0D0C"/>
    <w:rsid w:val="005C6D33"/>
    <w:rsid w:val="005D0823"/>
    <w:rsid w:val="005D3941"/>
    <w:rsid w:val="005D50C7"/>
    <w:rsid w:val="005E1630"/>
    <w:rsid w:val="005F2570"/>
    <w:rsid w:val="005F4133"/>
    <w:rsid w:val="005F58EC"/>
    <w:rsid w:val="00600B9D"/>
    <w:rsid w:val="00600CE4"/>
    <w:rsid w:val="0060137B"/>
    <w:rsid w:val="00613553"/>
    <w:rsid w:val="006136C7"/>
    <w:rsid w:val="006219DD"/>
    <w:rsid w:val="00623703"/>
    <w:rsid w:val="00623989"/>
    <w:rsid w:val="00631DE8"/>
    <w:rsid w:val="00633F28"/>
    <w:rsid w:val="00643BB7"/>
    <w:rsid w:val="006458B0"/>
    <w:rsid w:val="00654EAE"/>
    <w:rsid w:val="00657BA2"/>
    <w:rsid w:val="006626E8"/>
    <w:rsid w:val="00662FC5"/>
    <w:rsid w:val="00667387"/>
    <w:rsid w:val="00667EA3"/>
    <w:rsid w:val="0067398B"/>
    <w:rsid w:val="00676077"/>
    <w:rsid w:val="00680CCA"/>
    <w:rsid w:val="0068138F"/>
    <w:rsid w:val="00683B05"/>
    <w:rsid w:val="006950D2"/>
    <w:rsid w:val="006A36EB"/>
    <w:rsid w:val="006B0814"/>
    <w:rsid w:val="006B0D2F"/>
    <w:rsid w:val="006B11AA"/>
    <w:rsid w:val="006C05EA"/>
    <w:rsid w:val="006C4834"/>
    <w:rsid w:val="006D0A97"/>
    <w:rsid w:val="006D18D4"/>
    <w:rsid w:val="006D3825"/>
    <w:rsid w:val="006D5AAF"/>
    <w:rsid w:val="006D6021"/>
    <w:rsid w:val="006D686F"/>
    <w:rsid w:val="006E3FE2"/>
    <w:rsid w:val="006E68C0"/>
    <w:rsid w:val="006E785B"/>
    <w:rsid w:val="006F3644"/>
    <w:rsid w:val="006F3819"/>
    <w:rsid w:val="006F46B8"/>
    <w:rsid w:val="006F623D"/>
    <w:rsid w:val="0070175A"/>
    <w:rsid w:val="007034FF"/>
    <w:rsid w:val="00716313"/>
    <w:rsid w:val="0072783E"/>
    <w:rsid w:val="00734150"/>
    <w:rsid w:val="00737D7B"/>
    <w:rsid w:val="00737E48"/>
    <w:rsid w:val="00745023"/>
    <w:rsid w:val="00752F12"/>
    <w:rsid w:val="007748EF"/>
    <w:rsid w:val="00776D13"/>
    <w:rsid w:val="007813BE"/>
    <w:rsid w:val="007827FC"/>
    <w:rsid w:val="00784051"/>
    <w:rsid w:val="00784A41"/>
    <w:rsid w:val="00784D72"/>
    <w:rsid w:val="00790CCA"/>
    <w:rsid w:val="00790CD6"/>
    <w:rsid w:val="00790DA9"/>
    <w:rsid w:val="007918F9"/>
    <w:rsid w:val="00794A68"/>
    <w:rsid w:val="007A0D71"/>
    <w:rsid w:val="007A34E5"/>
    <w:rsid w:val="007A5919"/>
    <w:rsid w:val="007A7B9B"/>
    <w:rsid w:val="007B2D4C"/>
    <w:rsid w:val="007B41AF"/>
    <w:rsid w:val="007B7977"/>
    <w:rsid w:val="007D7668"/>
    <w:rsid w:val="007E1917"/>
    <w:rsid w:val="007E30A0"/>
    <w:rsid w:val="007E5A0D"/>
    <w:rsid w:val="007F5485"/>
    <w:rsid w:val="007F5E04"/>
    <w:rsid w:val="008063DF"/>
    <w:rsid w:val="00806950"/>
    <w:rsid w:val="00812057"/>
    <w:rsid w:val="008126BB"/>
    <w:rsid w:val="00813BCC"/>
    <w:rsid w:val="00815C5E"/>
    <w:rsid w:val="00817FD2"/>
    <w:rsid w:val="00820A77"/>
    <w:rsid w:val="008224AC"/>
    <w:rsid w:val="00822605"/>
    <w:rsid w:val="00824349"/>
    <w:rsid w:val="00835262"/>
    <w:rsid w:val="00835553"/>
    <w:rsid w:val="00837203"/>
    <w:rsid w:val="00841AD7"/>
    <w:rsid w:val="00843084"/>
    <w:rsid w:val="00843F66"/>
    <w:rsid w:val="00846780"/>
    <w:rsid w:val="00847847"/>
    <w:rsid w:val="00850CF8"/>
    <w:rsid w:val="008548ED"/>
    <w:rsid w:val="00864BF1"/>
    <w:rsid w:val="00865ED2"/>
    <w:rsid w:val="00871F44"/>
    <w:rsid w:val="0087484F"/>
    <w:rsid w:val="0087626E"/>
    <w:rsid w:val="00881144"/>
    <w:rsid w:val="00886808"/>
    <w:rsid w:val="00886858"/>
    <w:rsid w:val="008904D1"/>
    <w:rsid w:val="00891AE9"/>
    <w:rsid w:val="00891E64"/>
    <w:rsid w:val="008B2E17"/>
    <w:rsid w:val="008B3405"/>
    <w:rsid w:val="008C3750"/>
    <w:rsid w:val="008C4964"/>
    <w:rsid w:val="008D2A76"/>
    <w:rsid w:val="008D357F"/>
    <w:rsid w:val="008F0D29"/>
    <w:rsid w:val="008F1112"/>
    <w:rsid w:val="008F23CB"/>
    <w:rsid w:val="008F2662"/>
    <w:rsid w:val="008F2962"/>
    <w:rsid w:val="00902443"/>
    <w:rsid w:val="00907968"/>
    <w:rsid w:val="00923719"/>
    <w:rsid w:val="009253E4"/>
    <w:rsid w:val="00927FE1"/>
    <w:rsid w:val="0093693C"/>
    <w:rsid w:val="00937C73"/>
    <w:rsid w:val="00940973"/>
    <w:rsid w:val="009428FF"/>
    <w:rsid w:val="00943201"/>
    <w:rsid w:val="00943B70"/>
    <w:rsid w:val="00943FAF"/>
    <w:rsid w:val="009449CA"/>
    <w:rsid w:val="0094516B"/>
    <w:rsid w:val="00947130"/>
    <w:rsid w:val="00950F6B"/>
    <w:rsid w:val="00956792"/>
    <w:rsid w:val="00956F52"/>
    <w:rsid w:val="00957F43"/>
    <w:rsid w:val="00962DFC"/>
    <w:rsid w:val="00965687"/>
    <w:rsid w:val="00966B6A"/>
    <w:rsid w:val="00967913"/>
    <w:rsid w:val="00975AB3"/>
    <w:rsid w:val="0097793B"/>
    <w:rsid w:val="00983347"/>
    <w:rsid w:val="00983715"/>
    <w:rsid w:val="00983BAF"/>
    <w:rsid w:val="009853EE"/>
    <w:rsid w:val="00987326"/>
    <w:rsid w:val="009924B2"/>
    <w:rsid w:val="009979A7"/>
    <w:rsid w:val="009A1A06"/>
    <w:rsid w:val="009A205A"/>
    <w:rsid w:val="009A3626"/>
    <w:rsid w:val="009B14F6"/>
    <w:rsid w:val="009C31DC"/>
    <w:rsid w:val="009C4FC8"/>
    <w:rsid w:val="009C7381"/>
    <w:rsid w:val="009C7743"/>
    <w:rsid w:val="009C7BF4"/>
    <w:rsid w:val="009D10A2"/>
    <w:rsid w:val="009D61AD"/>
    <w:rsid w:val="009E4A22"/>
    <w:rsid w:val="009E4F54"/>
    <w:rsid w:val="009E5635"/>
    <w:rsid w:val="009E715D"/>
    <w:rsid w:val="00A00398"/>
    <w:rsid w:val="00A05DD8"/>
    <w:rsid w:val="00A0657B"/>
    <w:rsid w:val="00A135E0"/>
    <w:rsid w:val="00A13952"/>
    <w:rsid w:val="00A13F40"/>
    <w:rsid w:val="00A153E4"/>
    <w:rsid w:val="00A165A5"/>
    <w:rsid w:val="00A21FB1"/>
    <w:rsid w:val="00A266D4"/>
    <w:rsid w:val="00A26AC8"/>
    <w:rsid w:val="00A41926"/>
    <w:rsid w:val="00A44342"/>
    <w:rsid w:val="00A521B9"/>
    <w:rsid w:val="00A521F5"/>
    <w:rsid w:val="00A5344A"/>
    <w:rsid w:val="00A57123"/>
    <w:rsid w:val="00A62303"/>
    <w:rsid w:val="00A67C26"/>
    <w:rsid w:val="00A70031"/>
    <w:rsid w:val="00A74124"/>
    <w:rsid w:val="00A841AC"/>
    <w:rsid w:val="00A900DB"/>
    <w:rsid w:val="00A92015"/>
    <w:rsid w:val="00A96A4A"/>
    <w:rsid w:val="00AA15F8"/>
    <w:rsid w:val="00AA1A29"/>
    <w:rsid w:val="00AA3C7C"/>
    <w:rsid w:val="00AA3D20"/>
    <w:rsid w:val="00AA4FB5"/>
    <w:rsid w:val="00AA5B96"/>
    <w:rsid w:val="00AA783A"/>
    <w:rsid w:val="00AB462E"/>
    <w:rsid w:val="00AC3AFC"/>
    <w:rsid w:val="00AD21F0"/>
    <w:rsid w:val="00AE042F"/>
    <w:rsid w:val="00AE2EB0"/>
    <w:rsid w:val="00AE42F9"/>
    <w:rsid w:val="00AE6234"/>
    <w:rsid w:val="00AF1C75"/>
    <w:rsid w:val="00AF4757"/>
    <w:rsid w:val="00AF4F18"/>
    <w:rsid w:val="00B01D76"/>
    <w:rsid w:val="00B03080"/>
    <w:rsid w:val="00B068DB"/>
    <w:rsid w:val="00B06E1F"/>
    <w:rsid w:val="00B15B4C"/>
    <w:rsid w:val="00B17565"/>
    <w:rsid w:val="00B17E1F"/>
    <w:rsid w:val="00B20606"/>
    <w:rsid w:val="00B20840"/>
    <w:rsid w:val="00B24B52"/>
    <w:rsid w:val="00B30601"/>
    <w:rsid w:val="00B33A2C"/>
    <w:rsid w:val="00B36FF5"/>
    <w:rsid w:val="00B40350"/>
    <w:rsid w:val="00B44542"/>
    <w:rsid w:val="00B46019"/>
    <w:rsid w:val="00B508F6"/>
    <w:rsid w:val="00B512D3"/>
    <w:rsid w:val="00B530DB"/>
    <w:rsid w:val="00B53E94"/>
    <w:rsid w:val="00B56798"/>
    <w:rsid w:val="00B56D27"/>
    <w:rsid w:val="00B631CF"/>
    <w:rsid w:val="00B66AFB"/>
    <w:rsid w:val="00B75621"/>
    <w:rsid w:val="00B8317C"/>
    <w:rsid w:val="00B87B7A"/>
    <w:rsid w:val="00B9013D"/>
    <w:rsid w:val="00B92321"/>
    <w:rsid w:val="00B974A6"/>
    <w:rsid w:val="00BA5859"/>
    <w:rsid w:val="00BB0107"/>
    <w:rsid w:val="00BB0943"/>
    <w:rsid w:val="00BB0B3D"/>
    <w:rsid w:val="00BB5F94"/>
    <w:rsid w:val="00BB7B81"/>
    <w:rsid w:val="00BC167E"/>
    <w:rsid w:val="00BC22EC"/>
    <w:rsid w:val="00BC2406"/>
    <w:rsid w:val="00BC28EC"/>
    <w:rsid w:val="00BC65E0"/>
    <w:rsid w:val="00BD0CEF"/>
    <w:rsid w:val="00BD0F07"/>
    <w:rsid w:val="00BD27C1"/>
    <w:rsid w:val="00BD4AC0"/>
    <w:rsid w:val="00BE6BEA"/>
    <w:rsid w:val="00BF131B"/>
    <w:rsid w:val="00BF23C3"/>
    <w:rsid w:val="00BF7A33"/>
    <w:rsid w:val="00C007D1"/>
    <w:rsid w:val="00C021EE"/>
    <w:rsid w:val="00C02346"/>
    <w:rsid w:val="00C02C9A"/>
    <w:rsid w:val="00C0774E"/>
    <w:rsid w:val="00C11B0A"/>
    <w:rsid w:val="00C13250"/>
    <w:rsid w:val="00C16845"/>
    <w:rsid w:val="00C20C8F"/>
    <w:rsid w:val="00C252E0"/>
    <w:rsid w:val="00C278E2"/>
    <w:rsid w:val="00C27D5D"/>
    <w:rsid w:val="00C31740"/>
    <w:rsid w:val="00C33E31"/>
    <w:rsid w:val="00C36134"/>
    <w:rsid w:val="00C40F24"/>
    <w:rsid w:val="00C4413A"/>
    <w:rsid w:val="00C45C08"/>
    <w:rsid w:val="00C50CB8"/>
    <w:rsid w:val="00C529FD"/>
    <w:rsid w:val="00C53028"/>
    <w:rsid w:val="00C555E3"/>
    <w:rsid w:val="00C572E9"/>
    <w:rsid w:val="00C62514"/>
    <w:rsid w:val="00C65E3E"/>
    <w:rsid w:val="00C76D09"/>
    <w:rsid w:val="00C80119"/>
    <w:rsid w:val="00C84471"/>
    <w:rsid w:val="00C91011"/>
    <w:rsid w:val="00C913D8"/>
    <w:rsid w:val="00C9368C"/>
    <w:rsid w:val="00C93C2B"/>
    <w:rsid w:val="00CA0437"/>
    <w:rsid w:val="00CA16A7"/>
    <w:rsid w:val="00CA743B"/>
    <w:rsid w:val="00CB15E9"/>
    <w:rsid w:val="00CB17E6"/>
    <w:rsid w:val="00CC0212"/>
    <w:rsid w:val="00CC776A"/>
    <w:rsid w:val="00CC7F35"/>
    <w:rsid w:val="00CD09FD"/>
    <w:rsid w:val="00CD14BB"/>
    <w:rsid w:val="00CD1CE4"/>
    <w:rsid w:val="00CD37ED"/>
    <w:rsid w:val="00CD3A8B"/>
    <w:rsid w:val="00CE0567"/>
    <w:rsid w:val="00CE3C34"/>
    <w:rsid w:val="00CE5E7B"/>
    <w:rsid w:val="00CF2833"/>
    <w:rsid w:val="00CF2B9B"/>
    <w:rsid w:val="00CF703F"/>
    <w:rsid w:val="00D02450"/>
    <w:rsid w:val="00D11BAA"/>
    <w:rsid w:val="00D14207"/>
    <w:rsid w:val="00D16556"/>
    <w:rsid w:val="00D2449F"/>
    <w:rsid w:val="00D245AE"/>
    <w:rsid w:val="00D26661"/>
    <w:rsid w:val="00D31819"/>
    <w:rsid w:val="00D36FD5"/>
    <w:rsid w:val="00D4385F"/>
    <w:rsid w:val="00D43A95"/>
    <w:rsid w:val="00D459BB"/>
    <w:rsid w:val="00D46406"/>
    <w:rsid w:val="00D47BA5"/>
    <w:rsid w:val="00D52EB4"/>
    <w:rsid w:val="00D66EA9"/>
    <w:rsid w:val="00D72C19"/>
    <w:rsid w:val="00D754EC"/>
    <w:rsid w:val="00D815A0"/>
    <w:rsid w:val="00D8488E"/>
    <w:rsid w:val="00D90263"/>
    <w:rsid w:val="00DA05A1"/>
    <w:rsid w:val="00DA1C9D"/>
    <w:rsid w:val="00DA2E30"/>
    <w:rsid w:val="00DA4370"/>
    <w:rsid w:val="00DA7A4E"/>
    <w:rsid w:val="00DB2FDD"/>
    <w:rsid w:val="00DC16A9"/>
    <w:rsid w:val="00DC460A"/>
    <w:rsid w:val="00DC5863"/>
    <w:rsid w:val="00DD3D79"/>
    <w:rsid w:val="00DD7CEB"/>
    <w:rsid w:val="00E019A6"/>
    <w:rsid w:val="00E10AC5"/>
    <w:rsid w:val="00E121A5"/>
    <w:rsid w:val="00E215A0"/>
    <w:rsid w:val="00E27F53"/>
    <w:rsid w:val="00E27F8C"/>
    <w:rsid w:val="00E30A9E"/>
    <w:rsid w:val="00E352C7"/>
    <w:rsid w:val="00E44599"/>
    <w:rsid w:val="00E45567"/>
    <w:rsid w:val="00E50594"/>
    <w:rsid w:val="00E50DE9"/>
    <w:rsid w:val="00E53356"/>
    <w:rsid w:val="00E552F0"/>
    <w:rsid w:val="00E60B9A"/>
    <w:rsid w:val="00E66B3E"/>
    <w:rsid w:val="00E71870"/>
    <w:rsid w:val="00E73256"/>
    <w:rsid w:val="00E74EEE"/>
    <w:rsid w:val="00E83987"/>
    <w:rsid w:val="00E86377"/>
    <w:rsid w:val="00E93B5A"/>
    <w:rsid w:val="00EA43F6"/>
    <w:rsid w:val="00EA76E7"/>
    <w:rsid w:val="00EB3C0B"/>
    <w:rsid w:val="00EB404D"/>
    <w:rsid w:val="00EC01D4"/>
    <w:rsid w:val="00EC77AC"/>
    <w:rsid w:val="00EC7C24"/>
    <w:rsid w:val="00ED1586"/>
    <w:rsid w:val="00EE28D8"/>
    <w:rsid w:val="00EE681B"/>
    <w:rsid w:val="00EEA44D"/>
    <w:rsid w:val="00EF513D"/>
    <w:rsid w:val="00EF5C33"/>
    <w:rsid w:val="00F006DC"/>
    <w:rsid w:val="00F02993"/>
    <w:rsid w:val="00F03D18"/>
    <w:rsid w:val="00F05EFB"/>
    <w:rsid w:val="00F07EDB"/>
    <w:rsid w:val="00F11F14"/>
    <w:rsid w:val="00F21E00"/>
    <w:rsid w:val="00F2212C"/>
    <w:rsid w:val="00F24429"/>
    <w:rsid w:val="00F24E45"/>
    <w:rsid w:val="00F26ECD"/>
    <w:rsid w:val="00F30A77"/>
    <w:rsid w:val="00F3612F"/>
    <w:rsid w:val="00F41005"/>
    <w:rsid w:val="00F4298B"/>
    <w:rsid w:val="00F44753"/>
    <w:rsid w:val="00F46EBB"/>
    <w:rsid w:val="00F50947"/>
    <w:rsid w:val="00F50C4F"/>
    <w:rsid w:val="00F537DA"/>
    <w:rsid w:val="00F570BA"/>
    <w:rsid w:val="00F57E18"/>
    <w:rsid w:val="00F63258"/>
    <w:rsid w:val="00F649AB"/>
    <w:rsid w:val="00F66DE0"/>
    <w:rsid w:val="00F674D4"/>
    <w:rsid w:val="00F6753D"/>
    <w:rsid w:val="00F71107"/>
    <w:rsid w:val="00F71C68"/>
    <w:rsid w:val="00F73729"/>
    <w:rsid w:val="00F76ED3"/>
    <w:rsid w:val="00F8423F"/>
    <w:rsid w:val="00F87194"/>
    <w:rsid w:val="00F90DA9"/>
    <w:rsid w:val="00FA239F"/>
    <w:rsid w:val="00FA290F"/>
    <w:rsid w:val="00FA61A6"/>
    <w:rsid w:val="00FB16D8"/>
    <w:rsid w:val="00FC4541"/>
    <w:rsid w:val="00FC7D94"/>
    <w:rsid w:val="00FD2EAF"/>
    <w:rsid w:val="00FD50CB"/>
    <w:rsid w:val="00FE0530"/>
    <w:rsid w:val="00FE4305"/>
    <w:rsid w:val="00FE63C7"/>
    <w:rsid w:val="00FE7EDF"/>
    <w:rsid w:val="00FF09FC"/>
    <w:rsid w:val="00FF148F"/>
    <w:rsid w:val="00FF6DD0"/>
    <w:rsid w:val="01678849"/>
    <w:rsid w:val="01EEE658"/>
    <w:rsid w:val="0500474C"/>
    <w:rsid w:val="067D2DD4"/>
    <w:rsid w:val="0F36742C"/>
    <w:rsid w:val="10CB543A"/>
    <w:rsid w:val="10D03A52"/>
    <w:rsid w:val="10F5B9B0"/>
    <w:rsid w:val="173FE55A"/>
    <w:rsid w:val="18F00978"/>
    <w:rsid w:val="19394AAF"/>
    <w:rsid w:val="1C39E654"/>
    <w:rsid w:val="1CE3A463"/>
    <w:rsid w:val="1F08534D"/>
    <w:rsid w:val="20479DDA"/>
    <w:rsid w:val="2165CB40"/>
    <w:rsid w:val="245DBE3A"/>
    <w:rsid w:val="27F1ECDF"/>
    <w:rsid w:val="2B62F4E0"/>
    <w:rsid w:val="3072ADE1"/>
    <w:rsid w:val="317A95A4"/>
    <w:rsid w:val="324CDF50"/>
    <w:rsid w:val="35BF21B6"/>
    <w:rsid w:val="38ABB1A4"/>
    <w:rsid w:val="39C1CEC4"/>
    <w:rsid w:val="3B63AED4"/>
    <w:rsid w:val="450B4BA1"/>
    <w:rsid w:val="458ACD06"/>
    <w:rsid w:val="46756579"/>
    <w:rsid w:val="48455EDB"/>
    <w:rsid w:val="48C26DC8"/>
    <w:rsid w:val="4EC5BA19"/>
    <w:rsid w:val="4F937A78"/>
    <w:rsid w:val="4FC84195"/>
    <w:rsid w:val="50B97C87"/>
    <w:rsid w:val="55A7DBD0"/>
    <w:rsid w:val="574F931D"/>
    <w:rsid w:val="5D4E4829"/>
    <w:rsid w:val="5E77DBDD"/>
    <w:rsid w:val="5EAA411D"/>
    <w:rsid w:val="63A2A358"/>
    <w:rsid w:val="65B49A57"/>
    <w:rsid w:val="675745B1"/>
    <w:rsid w:val="68A9C598"/>
    <w:rsid w:val="6931BCB7"/>
    <w:rsid w:val="6B602A80"/>
    <w:rsid w:val="73A7FA1E"/>
    <w:rsid w:val="79BD3250"/>
    <w:rsid w:val="7A0E9082"/>
    <w:rsid w:val="7BD1CF29"/>
    <w:rsid w:val="7C7D00D9"/>
    <w:rsid w:val="7FCBB7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7739"/>
  <w15:docId w15:val="{DE1343EB-857E-4C26-B473-6AD0AD15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s-CO"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DA9"/>
    <w:rPr>
      <w:rFonts w:ascii="Tahoma" w:hAnsi="Tahoma"/>
      <w:szCs w:val="22"/>
      <w:lang w:val="es-ES"/>
    </w:rPr>
  </w:style>
  <w:style w:type="paragraph" w:styleId="Ttulo1">
    <w:name w:val="heading 1"/>
    <w:basedOn w:val="Normal"/>
    <w:next w:val="Normal"/>
    <w:link w:val="Ttulo1Car"/>
    <w:uiPriority w:val="9"/>
    <w:qFormat/>
    <w:rsid w:val="001170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nhideWhenUsed/>
    <w:qFormat/>
    <w:rsid w:val="00790DA9"/>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90DA9"/>
    <w:rPr>
      <w:rFonts w:ascii="Times New Roman" w:eastAsia="Times New Roman" w:hAnsi="Times New Roman" w:cs="Times New Roman"/>
      <w:b/>
      <w:szCs w:val="20"/>
      <w:lang w:val="es-ES" w:eastAsia="es-ES"/>
    </w:rPr>
  </w:style>
  <w:style w:type="paragraph" w:styleId="NormalWeb">
    <w:name w:val="Normal (Web)"/>
    <w:basedOn w:val="Normal"/>
    <w:uiPriority w:val="99"/>
    <w:unhideWhenUsed/>
    <w:rsid w:val="00790DA9"/>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aragraph">
    <w:name w:val="paragraph"/>
    <w:basedOn w:val="Normal"/>
    <w:rsid w:val="00790DA9"/>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790DA9"/>
  </w:style>
  <w:style w:type="character" w:customStyle="1" w:styleId="eop">
    <w:name w:val="eop"/>
    <w:basedOn w:val="Fuentedeprrafopredeter"/>
    <w:rsid w:val="00790DA9"/>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790DA9"/>
    <w:rPr>
      <w:vertAlign w:val="superscript"/>
    </w:rPr>
  </w:style>
  <w:style w:type="paragraph" w:styleId="Prrafodelista">
    <w:name w:val="List Paragraph"/>
    <w:basedOn w:val="Normal"/>
    <w:uiPriority w:val="34"/>
    <w:qFormat/>
    <w:rsid w:val="00790DA9"/>
    <w:pPr>
      <w:ind w:left="720"/>
      <w:contextualSpacing/>
    </w:pPr>
  </w:style>
  <w:style w:type="paragraph" w:styleId="Encabezado">
    <w:name w:val="header"/>
    <w:basedOn w:val="Normal"/>
    <w:link w:val="EncabezadoCar"/>
    <w:uiPriority w:val="99"/>
    <w:unhideWhenUsed/>
    <w:rsid w:val="00790DA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90DA9"/>
    <w:rPr>
      <w:rFonts w:ascii="Tahoma" w:hAnsi="Tahoma"/>
      <w:szCs w:val="22"/>
    </w:rPr>
  </w:style>
  <w:style w:type="paragraph" w:styleId="Piedepgina">
    <w:name w:val="footer"/>
    <w:basedOn w:val="Normal"/>
    <w:link w:val="PiedepginaCar"/>
    <w:uiPriority w:val="99"/>
    <w:unhideWhenUsed/>
    <w:rsid w:val="00790DA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90DA9"/>
    <w:rPr>
      <w:rFonts w:ascii="Tahoma" w:hAnsi="Tahoma"/>
      <w:szCs w:val="22"/>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90DA9"/>
    <w:pPr>
      <w:spacing w:line="240" w:lineRule="auto"/>
      <w:ind w:firstLine="709"/>
    </w:pPr>
    <w:rPr>
      <w:rFonts w:asciiTheme="minorHAnsi" w:hAnsiTheme="minorHAnsi"/>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90DA9"/>
    <w:rPr>
      <w:rFonts w:asciiTheme="minorHAnsi" w:hAnsiTheme="minorHAnsi"/>
      <w:sz w:val="20"/>
      <w:szCs w:val="20"/>
      <w:lang w:val="es-ES"/>
    </w:rPr>
  </w:style>
  <w:style w:type="table" w:styleId="Tablaconcuadrcula">
    <w:name w:val="Table Grid"/>
    <w:basedOn w:val="Tablanormal"/>
    <w:rsid w:val="00790DA9"/>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90DA9"/>
  </w:style>
  <w:style w:type="paragraph" w:styleId="Sinespaciado">
    <w:name w:val="No Spacing"/>
    <w:link w:val="SinespaciadoCar"/>
    <w:uiPriority w:val="1"/>
    <w:qFormat/>
    <w:rsid w:val="00790DA9"/>
    <w:pPr>
      <w:spacing w:line="240" w:lineRule="auto"/>
      <w:jc w:val="left"/>
    </w:pPr>
  </w:style>
  <w:style w:type="paragraph" w:customStyle="1" w:styleId="xmsonormal">
    <w:name w:val="x_msonormal"/>
    <w:basedOn w:val="Normal"/>
    <w:uiPriority w:val="99"/>
    <w:rsid w:val="00790DA9"/>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rrafodelista2">
    <w:name w:val="Párrafo de lista2"/>
    <w:basedOn w:val="Normal"/>
    <w:rsid w:val="00790DA9"/>
    <w:pPr>
      <w:spacing w:after="200" w:line="276" w:lineRule="auto"/>
      <w:ind w:left="720"/>
      <w:contextualSpacing/>
      <w:jc w:val="left"/>
    </w:pPr>
    <w:rPr>
      <w:rFonts w:ascii="Calibri" w:eastAsia="Times New Roman" w:hAnsi="Calibri" w:cs="Times New Roman"/>
      <w:sz w:val="22"/>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923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321"/>
    <w:rPr>
      <w:rFonts w:ascii="Segoe UI" w:hAnsi="Segoe UI" w:cs="Segoe UI"/>
      <w:sz w:val="18"/>
      <w:szCs w:val="18"/>
    </w:rPr>
  </w:style>
  <w:style w:type="character" w:customStyle="1" w:styleId="Ttulo1Car">
    <w:name w:val="Título 1 Car"/>
    <w:basedOn w:val="Fuentedeprrafopredeter"/>
    <w:link w:val="Ttulo1"/>
    <w:uiPriority w:val="9"/>
    <w:rsid w:val="001170DA"/>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Fuentedeprrafopredeter"/>
    <w:rsid w:val="00662FC5"/>
    <w:rPr>
      <w:rFonts w:ascii="Tahoma-Bold" w:hAnsi="Tahoma-Bold" w:hint="default"/>
      <w:b/>
      <w:bCs/>
      <w:i w:val="0"/>
      <w:iCs w:val="0"/>
      <w:color w:val="000000"/>
      <w:sz w:val="24"/>
      <w:szCs w:val="24"/>
    </w:rPr>
  </w:style>
  <w:style w:type="character" w:customStyle="1" w:styleId="fontstyle21">
    <w:name w:val="fontstyle21"/>
    <w:basedOn w:val="Fuentedeprrafopredeter"/>
    <w:rsid w:val="00662FC5"/>
    <w:rPr>
      <w:rFonts w:ascii="Tahoma" w:hAnsi="Tahoma" w:cs="Tahoma" w:hint="default"/>
      <w:b w:val="0"/>
      <w:bCs w:val="0"/>
      <w:i w:val="0"/>
      <w:iCs w:val="0"/>
      <w:color w:val="000000"/>
      <w:sz w:val="24"/>
      <w:szCs w:val="24"/>
    </w:rPr>
  </w:style>
  <w:style w:type="paragraph" w:styleId="Textoindependiente">
    <w:name w:val="Body Text"/>
    <w:basedOn w:val="Normal"/>
    <w:link w:val="TextoindependienteCar"/>
    <w:uiPriority w:val="1"/>
    <w:qFormat/>
    <w:rsid w:val="00662FC5"/>
    <w:pPr>
      <w:autoSpaceDE w:val="0"/>
      <w:autoSpaceDN w:val="0"/>
      <w:adjustRightInd w:val="0"/>
      <w:spacing w:line="240" w:lineRule="auto"/>
      <w:jc w:val="left"/>
    </w:pPr>
    <w:rPr>
      <w:rFonts w:cs="Tahoma"/>
      <w:sz w:val="16"/>
      <w:szCs w:val="16"/>
    </w:rPr>
  </w:style>
  <w:style w:type="character" w:customStyle="1" w:styleId="TextoindependienteCar">
    <w:name w:val="Texto independiente Car"/>
    <w:basedOn w:val="Fuentedeprrafopredeter"/>
    <w:link w:val="Textoindependiente"/>
    <w:uiPriority w:val="1"/>
    <w:rsid w:val="00662FC5"/>
    <w:rPr>
      <w:rFonts w:ascii="Tahoma" w:hAnsi="Tahoma" w:cs="Tahoma"/>
      <w:sz w:val="16"/>
      <w:szCs w:val="16"/>
    </w:rPr>
  </w:style>
  <w:style w:type="paragraph" w:styleId="Ttulo">
    <w:name w:val="Title"/>
    <w:basedOn w:val="Normal"/>
    <w:next w:val="Normal"/>
    <w:link w:val="TtuloCar"/>
    <w:qFormat/>
    <w:rsid w:val="00662FC5"/>
    <w:pPr>
      <w:autoSpaceDE w:val="0"/>
      <w:autoSpaceDN w:val="0"/>
      <w:adjustRightInd w:val="0"/>
      <w:spacing w:line="264" w:lineRule="exact"/>
      <w:ind w:left="102"/>
      <w:jc w:val="left"/>
    </w:pPr>
    <w:rPr>
      <w:rFonts w:cs="Tahoma"/>
      <w:b/>
      <w:bCs/>
      <w:sz w:val="22"/>
    </w:rPr>
  </w:style>
  <w:style w:type="character" w:customStyle="1" w:styleId="TtuloCar">
    <w:name w:val="Título Car"/>
    <w:basedOn w:val="Fuentedeprrafopredeter"/>
    <w:link w:val="Ttulo"/>
    <w:rsid w:val="00662FC5"/>
    <w:rPr>
      <w:rFonts w:ascii="Tahoma" w:hAnsi="Tahoma" w:cs="Tahoma"/>
      <w:b/>
      <w:bCs/>
      <w:sz w:val="22"/>
      <w:szCs w:val="22"/>
    </w:rPr>
  </w:style>
  <w:style w:type="paragraph" w:styleId="Sangradetextonormal">
    <w:name w:val="Body Text Indent"/>
    <w:basedOn w:val="Normal"/>
    <w:link w:val="SangradetextonormalCar"/>
    <w:uiPriority w:val="99"/>
    <w:semiHidden/>
    <w:unhideWhenUsed/>
    <w:rsid w:val="006E785B"/>
    <w:pPr>
      <w:spacing w:after="120"/>
      <w:ind w:left="283"/>
    </w:pPr>
  </w:style>
  <w:style w:type="character" w:customStyle="1" w:styleId="SangradetextonormalCar">
    <w:name w:val="Sangría de texto normal Car"/>
    <w:basedOn w:val="Fuentedeprrafopredeter"/>
    <w:link w:val="Sangradetextonormal"/>
    <w:uiPriority w:val="99"/>
    <w:semiHidden/>
    <w:rsid w:val="006E785B"/>
    <w:rPr>
      <w:rFonts w:ascii="Tahoma" w:hAnsi="Tahoma"/>
      <w:szCs w:val="22"/>
    </w:rPr>
  </w:style>
  <w:style w:type="table" w:customStyle="1" w:styleId="Tablaconcuadrcula1">
    <w:name w:val="Tabla con cuadrícula1"/>
    <w:basedOn w:val="Tablanormal"/>
    <w:next w:val="Tablaconcuadrcula"/>
    <w:rsid w:val="00B33A2C"/>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D02450"/>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683B05"/>
    <w:pPr>
      <w:overflowPunct w:val="0"/>
      <w:autoSpaceDE w:val="0"/>
      <w:autoSpaceDN w:val="0"/>
      <w:adjustRightInd w:val="0"/>
      <w:ind w:firstLine="567"/>
    </w:pPr>
    <w:rPr>
      <w:rFonts w:ascii="Arial Narrow" w:eastAsia="Times New Roman" w:hAnsi="Arial Narrow" w:cs="Times New Roman"/>
      <w:b/>
      <w:sz w:val="30"/>
      <w:szCs w:val="20"/>
      <w:lang w:val="es-ES_tradnl" w:eastAsia="es-ES"/>
    </w:rPr>
  </w:style>
  <w:style w:type="paragraph" w:customStyle="1" w:styleId="BodyText21">
    <w:name w:val="Body Text 21"/>
    <w:basedOn w:val="Normal"/>
    <w:uiPriority w:val="99"/>
    <w:rsid w:val="00DD7CEB"/>
    <w:pPr>
      <w:spacing w:line="480" w:lineRule="auto"/>
      <w:ind w:firstLine="708"/>
    </w:pPr>
    <w:rPr>
      <w:rFonts w:ascii="Arial" w:eastAsia="Times New Roman" w:hAnsi="Arial" w:cs="Times New Roman"/>
      <w:b/>
      <w:szCs w:val="20"/>
      <w:lang w:val="es-ES_tradnl" w:eastAsia="es-CO"/>
    </w:rPr>
  </w:style>
  <w:style w:type="paragraph" w:styleId="Asuntodelcomentario">
    <w:name w:val="annotation subject"/>
    <w:basedOn w:val="Textocomentario"/>
    <w:next w:val="Textocomentario"/>
    <w:link w:val="AsuntodelcomentarioCar"/>
    <w:uiPriority w:val="99"/>
    <w:semiHidden/>
    <w:unhideWhenUsed/>
    <w:rsid w:val="007B7977"/>
    <w:rPr>
      <w:b/>
      <w:bCs/>
    </w:rPr>
  </w:style>
  <w:style w:type="character" w:customStyle="1" w:styleId="AsuntodelcomentarioCar">
    <w:name w:val="Asunto del comentario Car"/>
    <w:basedOn w:val="TextocomentarioCar"/>
    <w:link w:val="Asuntodelcomentario"/>
    <w:uiPriority w:val="99"/>
    <w:semiHidden/>
    <w:rsid w:val="007B7977"/>
    <w:rPr>
      <w:rFonts w:ascii="Tahoma" w:hAnsi="Tahoma"/>
      <w:b/>
      <w:bCs/>
      <w:sz w:val="20"/>
      <w:szCs w:val="20"/>
      <w:lang w:val="es-ES"/>
    </w:rPr>
  </w:style>
  <w:style w:type="character" w:styleId="Hipervnculo">
    <w:name w:val="Hyperlink"/>
    <w:basedOn w:val="Fuentedeprrafopredeter"/>
    <w:uiPriority w:val="99"/>
    <w:semiHidden/>
    <w:unhideWhenUsed/>
    <w:rsid w:val="00C91011"/>
    <w:rPr>
      <w:color w:val="0000EE"/>
      <w:u w:val="single"/>
    </w:rPr>
  </w:style>
  <w:style w:type="character" w:customStyle="1" w:styleId="iaj">
    <w:name w:val="i_aj"/>
    <w:basedOn w:val="Fuentedeprrafopredeter"/>
    <w:rsid w:val="00D2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0238">
      <w:bodyDiv w:val="1"/>
      <w:marLeft w:val="0"/>
      <w:marRight w:val="0"/>
      <w:marTop w:val="0"/>
      <w:marBottom w:val="0"/>
      <w:divBdr>
        <w:top w:val="none" w:sz="0" w:space="0" w:color="auto"/>
        <w:left w:val="none" w:sz="0" w:space="0" w:color="auto"/>
        <w:bottom w:val="none" w:sz="0" w:space="0" w:color="auto"/>
        <w:right w:val="none" w:sz="0" w:space="0" w:color="auto"/>
      </w:divBdr>
    </w:div>
    <w:div w:id="46877862">
      <w:bodyDiv w:val="1"/>
      <w:marLeft w:val="0"/>
      <w:marRight w:val="0"/>
      <w:marTop w:val="0"/>
      <w:marBottom w:val="0"/>
      <w:divBdr>
        <w:top w:val="none" w:sz="0" w:space="0" w:color="auto"/>
        <w:left w:val="none" w:sz="0" w:space="0" w:color="auto"/>
        <w:bottom w:val="none" w:sz="0" w:space="0" w:color="auto"/>
        <w:right w:val="none" w:sz="0" w:space="0" w:color="auto"/>
      </w:divBdr>
    </w:div>
    <w:div w:id="52242814">
      <w:bodyDiv w:val="1"/>
      <w:marLeft w:val="0"/>
      <w:marRight w:val="0"/>
      <w:marTop w:val="0"/>
      <w:marBottom w:val="0"/>
      <w:divBdr>
        <w:top w:val="none" w:sz="0" w:space="0" w:color="auto"/>
        <w:left w:val="none" w:sz="0" w:space="0" w:color="auto"/>
        <w:bottom w:val="none" w:sz="0" w:space="0" w:color="auto"/>
        <w:right w:val="none" w:sz="0" w:space="0" w:color="auto"/>
      </w:divBdr>
    </w:div>
    <w:div w:id="82529595">
      <w:bodyDiv w:val="1"/>
      <w:marLeft w:val="0"/>
      <w:marRight w:val="0"/>
      <w:marTop w:val="0"/>
      <w:marBottom w:val="0"/>
      <w:divBdr>
        <w:top w:val="none" w:sz="0" w:space="0" w:color="auto"/>
        <w:left w:val="none" w:sz="0" w:space="0" w:color="auto"/>
        <w:bottom w:val="none" w:sz="0" w:space="0" w:color="auto"/>
        <w:right w:val="none" w:sz="0" w:space="0" w:color="auto"/>
      </w:divBdr>
    </w:div>
    <w:div w:id="86118278">
      <w:bodyDiv w:val="1"/>
      <w:marLeft w:val="0"/>
      <w:marRight w:val="0"/>
      <w:marTop w:val="0"/>
      <w:marBottom w:val="0"/>
      <w:divBdr>
        <w:top w:val="none" w:sz="0" w:space="0" w:color="auto"/>
        <w:left w:val="none" w:sz="0" w:space="0" w:color="auto"/>
        <w:bottom w:val="none" w:sz="0" w:space="0" w:color="auto"/>
        <w:right w:val="none" w:sz="0" w:space="0" w:color="auto"/>
      </w:divBdr>
    </w:div>
    <w:div w:id="132218347">
      <w:bodyDiv w:val="1"/>
      <w:marLeft w:val="0"/>
      <w:marRight w:val="0"/>
      <w:marTop w:val="0"/>
      <w:marBottom w:val="0"/>
      <w:divBdr>
        <w:top w:val="none" w:sz="0" w:space="0" w:color="auto"/>
        <w:left w:val="none" w:sz="0" w:space="0" w:color="auto"/>
        <w:bottom w:val="none" w:sz="0" w:space="0" w:color="auto"/>
        <w:right w:val="none" w:sz="0" w:space="0" w:color="auto"/>
      </w:divBdr>
    </w:div>
    <w:div w:id="134957973">
      <w:bodyDiv w:val="1"/>
      <w:marLeft w:val="0"/>
      <w:marRight w:val="0"/>
      <w:marTop w:val="0"/>
      <w:marBottom w:val="0"/>
      <w:divBdr>
        <w:top w:val="none" w:sz="0" w:space="0" w:color="auto"/>
        <w:left w:val="none" w:sz="0" w:space="0" w:color="auto"/>
        <w:bottom w:val="none" w:sz="0" w:space="0" w:color="auto"/>
        <w:right w:val="none" w:sz="0" w:space="0" w:color="auto"/>
      </w:divBdr>
    </w:div>
    <w:div w:id="200217705">
      <w:bodyDiv w:val="1"/>
      <w:marLeft w:val="0"/>
      <w:marRight w:val="0"/>
      <w:marTop w:val="0"/>
      <w:marBottom w:val="0"/>
      <w:divBdr>
        <w:top w:val="none" w:sz="0" w:space="0" w:color="auto"/>
        <w:left w:val="none" w:sz="0" w:space="0" w:color="auto"/>
        <w:bottom w:val="none" w:sz="0" w:space="0" w:color="auto"/>
        <w:right w:val="none" w:sz="0" w:space="0" w:color="auto"/>
      </w:divBdr>
    </w:div>
    <w:div w:id="248348384">
      <w:bodyDiv w:val="1"/>
      <w:marLeft w:val="0"/>
      <w:marRight w:val="0"/>
      <w:marTop w:val="0"/>
      <w:marBottom w:val="0"/>
      <w:divBdr>
        <w:top w:val="none" w:sz="0" w:space="0" w:color="auto"/>
        <w:left w:val="none" w:sz="0" w:space="0" w:color="auto"/>
        <w:bottom w:val="none" w:sz="0" w:space="0" w:color="auto"/>
        <w:right w:val="none" w:sz="0" w:space="0" w:color="auto"/>
      </w:divBdr>
    </w:div>
    <w:div w:id="256640102">
      <w:bodyDiv w:val="1"/>
      <w:marLeft w:val="0"/>
      <w:marRight w:val="0"/>
      <w:marTop w:val="0"/>
      <w:marBottom w:val="0"/>
      <w:divBdr>
        <w:top w:val="none" w:sz="0" w:space="0" w:color="auto"/>
        <w:left w:val="none" w:sz="0" w:space="0" w:color="auto"/>
        <w:bottom w:val="none" w:sz="0" w:space="0" w:color="auto"/>
        <w:right w:val="none" w:sz="0" w:space="0" w:color="auto"/>
      </w:divBdr>
    </w:div>
    <w:div w:id="343359403">
      <w:bodyDiv w:val="1"/>
      <w:marLeft w:val="0"/>
      <w:marRight w:val="0"/>
      <w:marTop w:val="0"/>
      <w:marBottom w:val="0"/>
      <w:divBdr>
        <w:top w:val="none" w:sz="0" w:space="0" w:color="auto"/>
        <w:left w:val="none" w:sz="0" w:space="0" w:color="auto"/>
        <w:bottom w:val="none" w:sz="0" w:space="0" w:color="auto"/>
        <w:right w:val="none" w:sz="0" w:space="0" w:color="auto"/>
      </w:divBdr>
    </w:div>
    <w:div w:id="392705441">
      <w:bodyDiv w:val="1"/>
      <w:marLeft w:val="0"/>
      <w:marRight w:val="0"/>
      <w:marTop w:val="0"/>
      <w:marBottom w:val="0"/>
      <w:divBdr>
        <w:top w:val="none" w:sz="0" w:space="0" w:color="auto"/>
        <w:left w:val="none" w:sz="0" w:space="0" w:color="auto"/>
        <w:bottom w:val="none" w:sz="0" w:space="0" w:color="auto"/>
        <w:right w:val="none" w:sz="0" w:space="0" w:color="auto"/>
      </w:divBdr>
    </w:div>
    <w:div w:id="428543723">
      <w:bodyDiv w:val="1"/>
      <w:marLeft w:val="0"/>
      <w:marRight w:val="0"/>
      <w:marTop w:val="0"/>
      <w:marBottom w:val="0"/>
      <w:divBdr>
        <w:top w:val="none" w:sz="0" w:space="0" w:color="auto"/>
        <w:left w:val="none" w:sz="0" w:space="0" w:color="auto"/>
        <w:bottom w:val="none" w:sz="0" w:space="0" w:color="auto"/>
        <w:right w:val="none" w:sz="0" w:space="0" w:color="auto"/>
      </w:divBdr>
    </w:div>
    <w:div w:id="462163887">
      <w:bodyDiv w:val="1"/>
      <w:marLeft w:val="0"/>
      <w:marRight w:val="0"/>
      <w:marTop w:val="0"/>
      <w:marBottom w:val="0"/>
      <w:divBdr>
        <w:top w:val="none" w:sz="0" w:space="0" w:color="auto"/>
        <w:left w:val="none" w:sz="0" w:space="0" w:color="auto"/>
        <w:bottom w:val="none" w:sz="0" w:space="0" w:color="auto"/>
        <w:right w:val="none" w:sz="0" w:space="0" w:color="auto"/>
      </w:divBdr>
    </w:div>
    <w:div w:id="484199299">
      <w:bodyDiv w:val="1"/>
      <w:marLeft w:val="0"/>
      <w:marRight w:val="0"/>
      <w:marTop w:val="0"/>
      <w:marBottom w:val="0"/>
      <w:divBdr>
        <w:top w:val="none" w:sz="0" w:space="0" w:color="auto"/>
        <w:left w:val="none" w:sz="0" w:space="0" w:color="auto"/>
        <w:bottom w:val="none" w:sz="0" w:space="0" w:color="auto"/>
        <w:right w:val="none" w:sz="0" w:space="0" w:color="auto"/>
      </w:divBdr>
    </w:div>
    <w:div w:id="578909917">
      <w:bodyDiv w:val="1"/>
      <w:marLeft w:val="0"/>
      <w:marRight w:val="0"/>
      <w:marTop w:val="0"/>
      <w:marBottom w:val="0"/>
      <w:divBdr>
        <w:top w:val="none" w:sz="0" w:space="0" w:color="auto"/>
        <w:left w:val="none" w:sz="0" w:space="0" w:color="auto"/>
        <w:bottom w:val="none" w:sz="0" w:space="0" w:color="auto"/>
        <w:right w:val="none" w:sz="0" w:space="0" w:color="auto"/>
      </w:divBdr>
    </w:div>
    <w:div w:id="581453186">
      <w:bodyDiv w:val="1"/>
      <w:marLeft w:val="0"/>
      <w:marRight w:val="0"/>
      <w:marTop w:val="0"/>
      <w:marBottom w:val="0"/>
      <w:divBdr>
        <w:top w:val="none" w:sz="0" w:space="0" w:color="auto"/>
        <w:left w:val="none" w:sz="0" w:space="0" w:color="auto"/>
        <w:bottom w:val="none" w:sz="0" w:space="0" w:color="auto"/>
        <w:right w:val="none" w:sz="0" w:space="0" w:color="auto"/>
      </w:divBdr>
    </w:div>
    <w:div w:id="611741757">
      <w:bodyDiv w:val="1"/>
      <w:marLeft w:val="0"/>
      <w:marRight w:val="0"/>
      <w:marTop w:val="0"/>
      <w:marBottom w:val="0"/>
      <w:divBdr>
        <w:top w:val="none" w:sz="0" w:space="0" w:color="auto"/>
        <w:left w:val="none" w:sz="0" w:space="0" w:color="auto"/>
        <w:bottom w:val="none" w:sz="0" w:space="0" w:color="auto"/>
        <w:right w:val="none" w:sz="0" w:space="0" w:color="auto"/>
      </w:divBdr>
    </w:div>
    <w:div w:id="651913106">
      <w:bodyDiv w:val="1"/>
      <w:marLeft w:val="0"/>
      <w:marRight w:val="0"/>
      <w:marTop w:val="0"/>
      <w:marBottom w:val="0"/>
      <w:divBdr>
        <w:top w:val="none" w:sz="0" w:space="0" w:color="auto"/>
        <w:left w:val="none" w:sz="0" w:space="0" w:color="auto"/>
        <w:bottom w:val="none" w:sz="0" w:space="0" w:color="auto"/>
        <w:right w:val="none" w:sz="0" w:space="0" w:color="auto"/>
      </w:divBdr>
    </w:div>
    <w:div w:id="683871156">
      <w:bodyDiv w:val="1"/>
      <w:marLeft w:val="0"/>
      <w:marRight w:val="0"/>
      <w:marTop w:val="0"/>
      <w:marBottom w:val="0"/>
      <w:divBdr>
        <w:top w:val="none" w:sz="0" w:space="0" w:color="auto"/>
        <w:left w:val="none" w:sz="0" w:space="0" w:color="auto"/>
        <w:bottom w:val="none" w:sz="0" w:space="0" w:color="auto"/>
        <w:right w:val="none" w:sz="0" w:space="0" w:color="auto"/>
      </w:divBdr>
    </w:div>
    <w:div w:id="698891555">
      <w:bodyDiv w:val="1"/>
      <w:marLeft w:val="0"/>
      <w:marRight w:val="0"/>
      <w:marTop w:val="0"/>
      <w:marBottom w:val="0"/>
      <w:divBdr>
        <w:top w:val="none" w:sz="0" w:space="0" w:color="auto"/>
        <w:left w:val="none" w:sz="0" w:space="0" w:color="auto"/>
        <w:bottom w:val="none" w:sz="0" w:space="0" w:color="auto"/>
        <w:right w:val="none" w:sz="0" w:space="0" w:color="auto"/>
      </w:divBdr>
    </w:div>
    <w:div w:id="757215348">
      <w:bodyDiv w:val="1"/>
      <w:marLeft w:val="0"/>
      <w:marRight w:val="0"/>
      <w:marTop w:val="0"/>
      <w:marBottom w:val="0"/>
      <w:divBdr>
        <w:top w:val="none" w:sz="0" w:space="0" w:color="auto"/>
        <w:left w:val="none" w:sz="0" w:space="0" w:color="auto"/>
        <w:bottom w:val="none" w:sz="0" w:space="0" w:color="auto"/>
        <w:right w:val="none" w:sz="0" w:space="0" w:color="auto"/>
      </w:divBdr>
    </w:div>
    <w:div w:id="769397179">
      <w:bodyDiv w:val="1"/>
      <w:marLeft w:val="0"/>
      <w:marRight w:val="0"/>
      <w:marTop w:val="0"/>
      <w:marBottom w:val="0"/>
      <w:divBdr>
        <w:top w:val="none" w:sz="0" w:space="0" w:color="auto"/>
        <w:left w:val="none" w:sz="0" w:space="0" w:color="auto"/>
        <w:bottom w:val="none" w:sz="0" w:space="0" w:color="auto"/>
        <w:right w:val="none" w:sz="0" w:space="0" w:color="auto"/>
      </w:divBdr>
    </w:div>
    <w:div w:id="806774583">
      <w:bodyDiv w:val="1"/>
      <w:marLeft w:val="0"/>
      <w:marRight w:val="0"/>
      <w:marTop w:val="0"/>
      <w:marBottom w:val="0"/>
      <w:divBdr>
        <w:top w:val="none" w:sz="0" w:space="0" w:color="auto"/>
        <w:left w:val="none" w:sz="0" w:space="0" w:color="auto"/>
        <w:bottom w:val="none" w:sz="0" w:space="0" w:color="auto"/>
        <w:right w:val="none" w:sz="0" w:space="0" w:color="auto"/>
      </w:divBdr>
    </w:div>
    <w:div w:id="837304134">
      <w:bodyDiv w:val="1"/>
      <w:marLeft w:val="0"/>
      <w:marRight w:val="0"/>
      <w:marTop w:val="0"/>
      <w:marBottom w:val="0"/>
      <w:divBdr>
        <w:top w:val="none" w:sz="0" w:space="0" w:color="auto"/>
        <w:left w:val="none" w:sz="0" w:space="0" w:color="auto"/>
        <w:bottom w:val="none" w:sz="0" w:space="0" w:color="auto"/>
        <w:right w:val="none" w:sz="0" w:space="0" w:color="auto"/>
      </w:divBdr>
    </w:div>
    <w:div w:id="893539406">
      <w:bodyDiv w:val="1"/>
      <w:marLeft w:val="0"/>
      <w:marRight w:val="0"/>
      <w:marTop w:val="0"/>
      <w:marBottom w:val="0"/>
      <w:divBdr>
        <w:top w:val="none" w:sz="0" w:space="0" w:color="auto"/>
        <w:left w:val="none" w:sz="0" w:space="0" w:color="auto"/>
        <w:bottom w:val="none" w:sz="0" w:space="0" w:color="auto"/>
        <w:right w:val="none" w:sz="0" w:space="0" w:color="auto"/>
      </w:divBdr>
      <w:divsChild>
        <w:div w:id="486239973">
          <w:marLeft w:val="0"/>
          <w:marRight w:val="0"/>
          <w:marTop w:val="0"/>
          <w:marBottom w:val="0"/>
          <w:divBdr>
            <w:top w:val="none" w:sz="0" w:space="0" w:color="auto"/>
            <w:left w:val="none" w:sz="0" w:space="0" w:color="auto"/>
            <w:bottom w:val="none" w:sz="0" w:space="0" w:color="auto"/>
            <w:right w:val="none" w:sz="0" w:space="0" w:color="auto"/>
          </w:divBdr>
        </w:div>
        <w:div w:id="1993872316">
          <w:marLeft w:val="0"/>
          <w:marRight w:val="0"/>
          <w:marTop w:val="0"/>
          <w:marBottom w:val="0"/>
          <w:divBdr>
            <w:top w:val="none" w:sz="0" w:space="0" w:color="auto"/>
            <w:left w:val="none" w:sz="0" w:space="0" w:color="auto"/>
            <w:bottom w:val="none" w:sz="0" w:space="0" w:color="auto"/>
            <w:right w:val="none" w:sz="0" w:space="0" w:color="auto"/>
          </w:divBdr>
        </w:div>
        <w:div w:id="297996657">
          <w:marLeft w:val="0"/>
          <w:marRight w:val="0"/>
          <w:marTop w:val="0"/>
          <w:marBottom w:val="0"/>
          <w:divBdr>
            <w:top w:val="none" w:sz="0" w:space="0" w:color="auto"/>
            <w:left w:val="none" w:sz="0" w:space="0" w:color="auto"/>
            <w:bottom w:val="none" w:sz="0" w:space="0" w:color="auto"/>
            <w:right w:val="none" w:sz="0" w:space="0" w:color="auto"/>
          </w:divBdr>
        </w:div>
      </w:divsChild>
    </w:div>
    <w:div w:id="903025219">
      <w:bodyDiv w:val="1"/>
      <w:marLeft w:val="0"/>
      <w:marRight w:val="0"/>
      <w:marTop w:val="0"/>
      <w:marBottom w:val="0"/>
      <w:divBdr>
        <w:top w:val="none" w:sz="0" w:space="0" w:color="auto"/>
        <w:left w:val="none" w:sz="0" w:space="0" w:color="auto"/>
        <w:bottom w:val="none" w:sz="0" w:space="0" w:color="auto"/>
        <w:right w:val="none" w:sz="0" w:space="0" w:color="auto"/>
      </w:divBdr>
    </w:div>
    <w:div w:id="1023941518">
      <w:bodyDiv w:val="1"/>
      <w:marLeft w:val="0"/>
      <w:marRight w:val="0"/>
      <w:marTop w:val="0"/>
      <w:marBottom w:val="0"/>
      <w:divBdr>
        <w:top w:val="none" w:sz="0" w:space="0" w:color="auto"/>
        <w:left w:val="none" w:sz="0" w:space="0" w:color="auto"/>
        <w:bottom w:val="none" w:sz="0" w:space="0" w:color="auto"/>
        <w:right w:val="none" w:sz="0" w:space="0" w:color="auto"/>
      </w:divBdr>
    </w:div>
    <w:div w:id="1080718470">
      <w:bodyDiv w:val="1"/>
      <w:marLeft w:val="0"/>
      <w:marRight w:val="0"/>
      <w:marTop w:val="0"/>
      <w:marBottom w:val="0"/>
      <w:divBdr>
        <w:top w:val="none" w:sz="0" w:space="0" w:color="auto"/>
        <w:left w:val="none" w:sz="0" w:space="0" w:color="auto"/>
        <w:bottom w:val="none" w:sz="0" w:space="0" w:color="auto"/>
        <w:right w:val="none" w:sz="0" w:space="0" w:color="auto"/>
      </w:divBdr>
    </w:div>
    <w:div w:id="1102844272">
      <w:bodyDiv w:val="1"/>
      <w:marLeft w:val="0"/>
      <w:marRight w:val="0"/>
      <w:marTop w:val="0"/>
      <w:marBottom w:val="0"/>
      <w:divBdr>
        <w:top w:val="none" w:sz="0" w:space="0" w:color="auto"/>
        <w:left w:val="none" w:sz="0" w:space="0" w:color="auto"/>
        <w:bottom w:val="none" w:sz="0" w:space="0" w:color="auto"/>
        <w:right w:val="none" w:sz="0" w:space="0" w:color="auto"/>
      </w:divBdr>
    </w:div>
    <w:div w:id="1126582235">
      <w:bodyDiv w:val="1"/>
      <w:marLeft w:val="0"/>
      <w:marRight w:val="0"/>
      <w:marTop w:val="0"/>
      <w:marBottom w:val="0"/>
      <w:divBdr>
        <w:top w:val="none" w:sz="0" w:space="0" w:color="auto"/>
        <w:left w:val="none" w:sz="0" w:space="0" w:color="auto"/>
        <w:bottom w:val="none" w:sz="0" w:space="0" w:color="auto"/>
        <w:right w:val="none" w:sz="0" w:space="0" w:color="auto"/>
      </w:divBdr>
    </w:div>
    <w:div w:id="1154563280">
      <w:bodyDiv w:val="1"/>
      <w:marLeft w:val="0"/>
      <w:marRight w:val="0"/>
      <w:marTop w:val="0"/>
      <w:marBottom w:val="0"/>
      <w:divBdr>
        <w:top w:val="none" w:sz="0" w:space="0" w:color="auto"/>
        <w:left w:val="none" w:sz="0" w:space="0" w:color="auto"/>
        <w:bottom w:val="none" w:sz="0" w:space="0" w:color="auto"/>
        <w:right w:val="none" w:sz="0" w:space="0" w:color="auto"/>
      </w:divBdr>
    </w:div>
    <w:div w:id="1170413491">
      <w:bodyDiv w:val="1"/>
      <w:marLeft w:val="0"/>
      <w:marRight w:val="0"/>
      <w:marTop w:val="0"/>
      <w:marBottom w:val="0"/>
      <w:divBdr>
        <w:top w:val="none" w:sz="0" w:space="0" w:color="auto"/>
        <w:left w:val="none" w:sz="0" w:space="0" w:color="auto"/>
        <w:bottom w:val="none" w:sz="0" w:space="0" w:color="auto"/>
        <w:right w:val="none" w:sz="0" w:space="0" w:color="auto"/>
      </w:divBdr>
    </w:div>
    <w:div w:id="1185945558">
      <w:bodyDiv w:val="1"/>
      <w:marLeft w:val="0"/>
      <w:marRight w:val="0"/>
      <w:marTop w:val="0"/>
      <w:marBottom w:val="0"/>
      <w:divBdr>
        <w:top w:val="none" w:sz="0" w:space="0" w:color="auto"/>
        <w:left w:val="none" w:sz="0" w:space="0" w:color="auto"/>
        <w:bottom w:val="none" w:sz="0" w:space="0" w:color="auto"/>
        <w:right w:val="none" w:sz="0" w:space="0" w:color="auto"/>
      </w:divBdr>
    </w:div>
    <w:div w:id="1263880981">
      <w:bodyDiv w:val="1"/>
      <w:marLeft w:val="0"/>
      <w:marRight w:val="0"/>
      <w:marTop w:val="0"/>
      <w:marBottom w:val="0"/>
      <w:divBdr>
        <w:top w:val="none" w:sz="0" w:space="0" w:color="auto"/>
        <w:left w:val="none" w:sz="0" w:space="0" w:color="auto"/>
        <w:bottom w:val="none" w:sz="0" w:space="0" w:color="auto"/>
        <w:right w:val="none" w:sz="0" w:space="0" w:color="auto"/>
      </w:divBdr>
    </w:div>
    <w:div w:id="1269463310">
      <w:bodyDiv w:val="1"/>
      <w:marLeft w:val="0"/>
      <w:marRight w:val="0"/>
      <w:marTop w:val="0"/>
      <w:marBottom w:val="0"/>
      <w:divBdr>
        <w:top w:val="none" w:sz="0" w:space="0" w:color="auto"/>
        <w:left w:val="none" w:sz="0" w:space="0" w:color="auto"/>
        <w:bottom w:val="none" w:sz="0" w:space="0" w:color="auto"/>
        <w:right w:val="none" w:sz="0" w:space="0" w:color="auto"/>
      </w:divBdr>
    </w:div>
    <w:div w:id="1271739093">
      <w:bodyDiv w:val="1"/>
      <w:marLeft w:val="0"/>
      <w:marRight w:val="0"/>
      <w:marTop w:val="0"/>
      <w:marBottom w:val="0"/>
      <w:divBdr>
        <w:top w:val="none" w:sz="0" w:space="0" w:color="auto"/>
        <w:left w:val="none" w:sz="0" w:space="0" w:color="auto"/>
        <w:bottom w:val="none" w:sz="0" w:space="0" w:color="auto"/>
        <w:right w:val="none" w:sz="0" w:space="0" w:color="auto"/>
      </w:divBdr>
    </w:div>
    <w:div w:id="1357925658">
      <w:bodyDiv w:val="1"/>
      <w:marLeft w:val="0"/>
      <w:marRight w:val="0"/>
      <w:marTop w:val="0"/>
      <w:marBottom w:val="0"/>
      <w:divBdr>
        <w:top w:val="none" w:sz="0" w:space="0" w:color="auto"/>
        <w:left w:val="none" w:sz="0" w:space="0" w:color="auto"/>
        <w:bottom w:val="none" w:sz="0" w:space="0" w:color="auto"/>
        <w:right w:val="none" w:sz="0" w:space="0" w:color="auto"/>
      </w:divBdr>
    </w:div>
    <w:div w:id="1379860842">
      <w:bodyDiv w:val="1"/>
      <w:marLeft w:val="0"/>
      <w:marRight w:val="0"/>
      <w:marTop w:val="0"/>
      <w:marBottom w:val="0"/>
      <w:divBdr>
        <w:top w:val="none" w:sz="0" w:space="0" w:color="auto"/>
        <w:left w:val="none" w:sz="0" w:space="0" w:color="auto"/>
        <w:bottom w:val="none" w:sz="0" w:space="0" w:color="auto"/>
        <w:right w:val="none" w:sz="0" w:space="0" w:color="auto"/>
      </w:divBdr>
    </w:div>
    <w:div w:id="1406610838">
      <w:bodyDiv w:val="1"/>
      <w:marLeft w:val="0"/>
      <w:marRight w:val="0"/>
      <w:marTop w:val="0"/>
      <w:marBottom w:val="0"/>
      <w:divBdr>
        <w:top w:val="none" w:sz="0" w:space="0" w:color="auto"/>
        <w:left w:val="none" w:sz="0" w:space="0" w:color="auto"/>
        <w:bottom w:val="none" w:sz="0" w:space="0" w:color="auto"/>
        <w:right w:val="none" w:sz="0" w:space="0" w:color="auto"/>
      </w:divBdr>
    </w:div>
    <w:div w:id="1586181620">
      <w:bodyDiv w:val="1"/>
      <w:marLeft w:val="0"/>
      <w:marRight w:val="0"/>
      <w:marTop w:val="0"/>
      <w:marBottom w:val="0"/>
      <w:divBdr>
        <w:top w:val="none" w:sz="0" w:space="0" w:color="auto"/>
        <w:left w:val="none" w:sz="0" w:space="0" w:color="auto"/>
        <w:bottom w:val="none" w:sz="0" w:space="0" w:color="auto"/>
        <w:right w:val="none" w:sz="0" w:space="0" w:color="auto"/>
      </w:divBdr>
    </w:div>
    <w:div w:id="1609660240">
      <w:bodyDiv w:val="1"/>
      <w:marLeft w:val="0"/>
      <w:marRight w:val="0"/>
      <w:marTop w:val="0"/>
      <w:marBottom w:val="0"/>
      <w:divBdr>
        <w:top w:val="none" w:sz="0" w:space="0" w:color="auto"/>
        <w:left w:val="none" w:sz="0" w:space="0" w:color="auto"/>
        <w:bottom w:val="none" w:sz="0" w:space="0" w:color="auto"/>
        <w:right w:val="none" w:sz="0" w:space="0" w:color="auto"/>
      </w:divBdr>
    </w:div>
    <w:div w:id="1658532760">
      <w:bodyDiv w:val="1"/>
      <w:marLeft w:val="0"/>
      <w:marRight w:val="0"/>
      <w:marTop w:val="0"/>
      <w:marBottom w:val="0"/>
      <w:divBdr>
        <w:top w:val="none" w:sz="0" w:space="0" w:color="auto"/>
        <w:left w:val="none" w:sz="0" w:space="0" w:color="auto"/>
        <w:bottom w:val="none" w:sz="0" w:space="0" w:color="auto"/>
        <w:right w:val="none" w:sz="0" w:space="0" w:color="auto"/>
      </w:divBdr>
    </w:div>
    <w:div w:id="1684625157">
      <w:bodyDiv w:val="1"/>
      <w:marLeft w:val="0"/>
      <w:marRight w:val="0"/>
      <w:marTop w:val="0"/>
      <w:marBottom w:val="0"/>
      <w:divBdr>
        <w:top w:val="none" w:sz="0" w:space="0" w:color="auto"/>
        <w:left w:val="none" w:sz="0" w:space="0" w:color="auto"/>
        <w:bottom w:val="none" w:sz="0" w:space="0" w:color="auto"/>
        <w:right w:val="none" w:sz="0" w:space="0" w:color="auto"/>
      </w:divBdr>
    </w:div>
    <w:div w:id="1702170428">
      <w:bodyDiv w:val="1"/>
      <w:marLeft w:val="0"/>
      <w:marRight w:val="0"/>
      <w:marTop w:val="0"/>
      <w:marBottom w:val="0"/>
      <w:divBdr>
        <w:top w:val="none" w:sz="0" w:space="0" w:color="auto"/>
        <w:left w:val="none" w:sz="0" w:space="0" w:color="auto"/>
        <w:bottom w:val="none" w:sz="0" w:space="0" w:color="auto"/>
        <w:right w:val="none" w:sz="0" w:space="0" w:color="auto"/>
      </w:divBdr>
    </w:div>
    <w:div w:id="1723942921">
      <w:bodyDiv w:val="1"/>
      <w:marLeft w:val="0"/>
      <w:marRight w:val="0"/>
      <w:marTop w:val="0"/>
      <w:marBottom w:val="0"/>
      <w:divBdr>
        <w:top w:val="none" w:sz="0" w:space="0" w:color="auto"/>
        <w:left w:val="none" w:sz="0" w:space="0" w:color="auto"/>
        <w:bottom w:val="none" w:sz="0" w:space="0" w:color="auto"/>
        <w:right w:val="none" w:sz="0" w:space="0" w:color="auto"/>
      </w:divBdr>
    </w:div>
    <w:div w:id="1767654258">
      <w:bodyDiv w:val="1"/>
      <w:marLeft w:val="0"/>
      <w:marRight w:val="0"/>
      <w:marTop w:val="0"/>
      <w:marBottom w:val="0"/>
      <w:divBdr>
        <w:top w:val="none" w:sz="0" w:space="0" w:color="auto"/>
        <w:left w:val="none" w:sz="0" w:space="0" w:color="auto"/>
        <w:bottom w:val="none" w:sz="0" w:space="0" w:color="auto"/>
        <w:right w:val="none" w:sz="0" w:space="0" w:color="auto"/>
      </w:divBdr>
    </w:div>
    <w:div w:id="1770470696">
      <w:bodyDiv w:val="1"/>
      <w:marLeft w:val="0"/>
      <w:marRight w:val="0"/>
      <w:marTop w:val="0"/>
      <w:marBottom w:val="0"/>
      <w:divBdr>
        <w:top w:val="none" w:sz="0" w:space="0" w:color="auto"/>
        <w:left w:val="none" w:sz="0" w:space="0" w:color="auto"/>
        <w:bottom w:val="none" w:sz="0" w:space="0" w:color="auto"/>
        <w:right w:val="none" w:sz="0" w:space="0" w:color="auto"/>
      </w:divBdr>
    </w:div>
    <w:div w:id="1887452095">
      <w:bodyDiv w:val="1"/>
      <w:marLeft w:val="0"/>
      <w:marRight w:val="0"/>
      <w:marTop w:val="0"/>
      <w:marBottom w:val="0"/>
      <w:divBdr>
        <w:top w:val="none" w:sz="0" w:space="0" w:color="auto"/>
        <w:left w:val="none" w:sz="0" w:space="0" w:color="auto"/>
        <w:bottom w:val="none" w:sz="0" w:space="0" w:color="auto"/>
        <w:right w:val="none" w:sz="0" w:space="0" w:color="auto"/>
      </w:divBdr>
    </w:div>
    <w:div w:id="1917979423">
      <w:bodyDiv w:val="1"/>
      <w:marLeft w:val="0"/>
      <w:marRight w:val="0"/>
      <w:marTop w:val="0"/>
      <w:marBottom w:val="0"/>
      <w:divBdr>
        <w:top w:val="none" w:sz="0" w:space="0" w:color="auto"/>
        <w:left w:val="none" w:sz="0" w:space="0" w:color="auto"/>
        <w:bottom w:val="none" w:sz="0" w:space="0" w:color="auto"/>
        <w:right w:val="none" w:sz="0" w:space="0" w:color="auto"/>
      </w:divBdr>
    </w:div>
    <w:div w:id="1945771885">
      <w:bodyDiv w:val="1"/>
      <w:marLeft w:val="0"/>
      <w:marRight w:val="0"/>
      <w:marTop w:val="0"/>
      <w:marBottom w:val="0"/>
      <w:divBdr>
        <w:top w:val="none" w:sz="0" w:space="0" w:color="auto"/>
        <w:left w:val="none" w:sz="0" w:space="0" w:color="auto"/>
        <w:bottom w:val="none" w:sz="0" w:space="0" w:color="auto"/>
        <w:right w:val="none" w:sz="0" w:space="0" w:color="auto"/>
      </w:divBdr>
    </w:div>
    <w:div w:id="1946884771">
      <w:bodyDiv w:val="1"/>
      <w:marLeft w:val="0"/>
      <w:marRight w:val="0"/>
      <w:marTop w:val="0"/>
      <w:marBottom w:val="0"/>
      <w:divBdr>
        <w:top w:val="none" w:sz="0" w:space="0" w:color="auto"/>
        <w:left w:val="none" w:sz="0" w:space="0" w:color="auto"/>
        <w:bottom w:val="none" w:sz="0" w:space="0" w:color="auto"/>
        <w:right w:val="none" w:sz="0" w:space="0" w:color="auto"/>
      </w:divBdr>
    </w:div>
    <w:div w:id="1965307088">
      <w:bodyDiv w:val="1"/>
      <w:marLeft w:val="0"/>
      <w:marRight w:val="0"/>
      <w:marTop w:val="0"/>
      <w:marBottom w:val="0"/>
      <w:divBdr>
        <w:top w:val="none" w:sz="0" w:space="0" w:color="auto"/>
        <w:left w:val="none" w:sz="0" w:space="0" w:color="auto"/>
        <w:bottom w:val="none" w:sz="0" w:space="0" w:color="auto"/>
        <w:right w:val="none" w:sz="0" w:space="0" w:color="auto"/>
      </w:divBdr>
    </w:div>
    <w:div w:id="2100444412">
      <w:bodyDiv w:val="1"/>
      <w:marLeft w:val="0"/>
      <w:marRight w:val="0"/>
      <w:marTop w:val="0"/>
      <w:marBottom w:val="0"/>
      <w:divBdr>
        <w:top w:val="none" w:sz="0" w:space="0" w:color="auto"/>
        <w:left w:val="none" w:sz="0" w:space="0" w:color="auto"/>
        <w:bottom w:val="none" w:sz="0" w:space="0" w:color="auto"/>
        <w:right w:val="none" w:sz="0" w:space="0" w:color="auto"/>
      </w:divBdr>
    </w:div>
    <w:div w:id="21062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mativa.colpensiones.gov.co/colpens/docs/ley_0100_1993.htm" TargetMode="External"/><Relationship Id="rId2" Type="http://schemas.openxmlformats.org/officeDocument/2006/relationships/customXml" Target="../customXml/item2.xml"/><Relationship Id="rId16" Type="http://schemas.openxmlformats.org/officeDocument/2006/relationships/theme" Target="theme/theme1.xml"/><Relationship Id="Re538efca9c334fa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ativa.colpensiones.gov.co/colpens/docs/decreto_0758_1990.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71F4-AAA1-4FFC-A8E2-BD19AB6B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C3085-D8D9-4B7D-8E8F-B95F777686A8}">
  <ds:schemaRefs>
    <ds:schemaRef ds:uri="http://schemas.microsoft.com/sharepoint/v3/contenttype/forms"/>
  </ds:schemaRefs>
</ds:datastoreItem>
</file>

<file path=customXml/itemProps3.xml><?xml version="1.0" encoding="utf-8"?>
<ds:datastoreItem xmlns:ds="http://schemas.openxmlformats.org/officeDocument/2006/customXml" ds:itemID="{DE8E8571-C183-41FA-99CE-B768D05788F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6B924647-5799-4450-A749-642555F8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3863</Words>
  <Characters>21250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Hermides Alonso Gaviria Ocampo</cp:lastModifiedBy>
  <cp:revision>8</cp:revision>
  <dcterms:created xsi:type="dcterms:W3CDTF">2023-05-18T14:40:00Z</dcterms:created>
  <dcterms:modified xsi:type="dcterms:W3CDTF">2023-07-11T19:23:00Z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