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71CE8" w14:textId="77777777" w:rsidR="00D64CB9" w:rsidRPr="00D64CB9" w:rsidRDefault="00D64CB9" w:rsidP="00D64CB9">
      <w:pPr>
        <w:pBdr>
          <w:top w:val="single" w:sz="4" w:space="0"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color w:val="FF0000"/>
          <w:spacing w:val="-4"/>
          <w:sz w:val="18"/>
          <w:szCs w:val="18"/>
          <w:lang w:val="es-419" w:eastAsia="fr-FR"/>
        </w:rPr>
      </w:pPr>
      <w:bookmarkStart w:id="0" w:name="_30j0zll"/>
      <w:bookmarkEnd w:id="0"/>
      <w:r w:rsidRPr="00D64CB9">
        <w:rPr>
          <w:rFonts w:ascii="Arial" w:eastAsia="Times New Roman"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479CD74F" w14:textId="77777777" w:rsidR="00D64CB9" w:rsidRPr="00D64CB9" w:rsidRDefault="00D64CB9" w:rsidP="00D64CB9">
      <w:pPr>
        <w:spacing w:after="0" w:line="240" w:lineRule="auto"/>
        <w:jc w:val="both"/>
        <w:rPr>
          <w:rFonts w:ascii="Arial" w:eastAsia="Times New Roman" w:hAnsi="Arial" w:cs="Arial"/>
          <w:sz w:val="20"/>
          <w:szCs w:val="20"/>
          <w:lang w:val="es-419" w:eastAsia="es-ES"/>
        </w:rPr>
      </w:pPr>
    </w:p>
    <w:p w14:paraId="7A6E40EC" w14:textId="41704D8E" w:rsidR="00D64CB9" w:rsidRPr="00D64CB9" w:rsidRDefault="00D64CB9" w:rsidP="00D64CB9">
      <w:pPr>
        <w:spacing w:after="0" w:line="240" w:lineRule="auto"/>
        <w:jc w:val="both"/>
        <w:rPr>
          <w:rFonts w:ascii="Arial" w:eastAsia="Tahoma" w:hAnsi="Arial" w:cs="Arial"/>
          <w:sz w:val="20"/>
          <w:szCs w:val="20"/>
          <w:lang w:val="es-419" w:eastAsia="es-CO"/>
        </w:rPr>
      </w:pPr>
      <w:r w:rsidRPr="00D64CB9">
        <w:rPr>
          <w:rFonts w:ascii="Arial" w:eastAsia="Tahoma" w:hAnsi="Arial" w:cs="Arial"/>
          <w:sz w:val="20"/>
          <w:szCs w:val="20"/>
          <w:lang w:val="es-419" w:eastAsia="es-CO"/>
        </w:rPr>
        <w:t>Radicación No.: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D64CB9">
        <w:rPr>
          <w:rFonts w:ascii="Arial" w:eastAsia="Tahoma" w:hAnsi="Arial" w:cs="Arial"/>
          <w:sz w:val="20"/>
          <w:szCs w:val="20"/>
          <w:lang w:val="es-419" w:eastAsia="es-CO"/>
        </w:rPr>
        <w:t>66001-31-05-004-2018-00457-01</w:t>
      </w:r>
    </w:p>
    <w:p w14:paraId="72BD9564" w14:textId="5E6B378A" w:rsidR="00D64CB9" w:rsidRPr="00D64CB9" w:rsidRDefault="00D64CB9" w:rsidP="00D64CB9">
      <w:pPr>
        <w:spacing w:after="0" w:line="240" w:lineRule="auto"/>
        <w:jc w:val="both"/>
        <w:rPr>
          <w:rFonts w:ascii="Arial" w:eastAsia="Tahoma" w:hAnsi="Arial" w:cs="Arial"/>
          <w:sz w:val="20"/>
          <w:szCs w:val="20"/>
          <w:lang w:val="es-419" w:eastAsia="es-CO"/>
        </w:rPr>
      </w:pPr>
      <w:r w:rsidRPr="00D64CB9">
        <w:rPr>
          <w:rFonts w:ascii="Arial" w:eastAsia="Tahoma" w:hAnsi="Arial" w:cs="Arial"/>
          <w:sz w:val="20"/>
          <w:szCs w:val="20"/>
          <w:lang w:val="es-419" w:eastAsia="es-CO"/>
        </w:rPr>
        <w:t>Proceso: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D64CB9">
        <w:rPr>
          <w:rFonts w:ascii="Arial" w:eastAsia="Tahoma" w:hAnsi="Arial" w:cs="Arial"/>
          <w:sz w:val="20"/>
          <w:szCs w:val="20"/>
          <w:lang w:val="es-419" w:eastAsia="es-CO"/>
        </w:rPr>
        <w:t xml:space="preserve">Ordinario Laboral </w:t>
      </w:r>
    </w:p>
    <w:p w14:paraId="6E1920AD" w14:textId="746DACD0" w:rsidR="00D64CB9" w:rsidRPr="00D64CB9" w:rsidRDefault="00D64CB9" w:rsidP="00D64CB9">
      <w:pPr>
        <w:spacing w:after="0" w:line="240" w:lineRule="auto"/>
        <w:jc w:val="both"/>
        <w:rPr>
          <w:rFonts w:ascii="Arial" w:eastAsia="Tahoma" w:hAnsi="Arial" w:cs="Arial"/>
          <w:sz w:val="20"/>
          <w:szCs w:val="20"/>
          <w:lang w:val="es-419" w:eastAsia="es-CO"/>
        </w:rPr>
      </w:pPr>
      <w:r w:rsidRPr="00D64CB9">
        <w:rPr>
          <w:rFonts w:ascii="Arial" w:eastAsia="Tahoma" w:hAnsi="Arial" w:cs="Arial"/>
          <w:sz w:val="20"/>
          <w:szCs w:val="20"/>
          <w:lang w:val="es-419" w:eastAsia="es-CO"/>
        </w:rPr>
        <w:t>Demandante:</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D64CB9">
        <w:rPr>
          <w:rFonts w:ascii="Arial" w:eastAsia="Tahoma" w:hAnsi="Arial" w:cs="Arial"/>
          <w:sz w:val="20"/>
          <w:szCs w:val="20"/>
          <w:lang w:val="es-419" w:eastAsia="es-CO"/>
        </w:rPr>
        <w:t>Leonardo Ortiz Mesa</w:t>
      </w:r>
    </w:p>
    <w:p w14:paraId="550776B8" w14:textId="13DDE7B0" w:rsidR="00D64CB9" w:rsidRPr="00D64CB9" w:rsidRDefault="00D64CB9" w:rsidP="00D64CB9">
      <w:pPr>
        <w:spacing w:after="0" w:line="240" w:lineRule="auto"/>
        <w:jc w:val="both"/>
        <w:rPr>
          <w:rFonts w:ascii="Arial" w:eastAsia="Tahoma" w:hAnsi="Arial" w:cs="Arial"/>
          <w:sz w:val="20"/>
          <w:szCs w:val="20"/>
          <w:lang w:val="es-419" w:eastAsia="es-CO"/>
        </w:rPr>
      </w:pPr>
      <w:r w:rsidRPr="00D64CB9">
        <w:rPr>
          <w:rFonts w:ascii="Arial" w:eastAsia="Tahoma" w:hAnsi="Arial" w:cs="Arial"/>
          <w:sz w:val="20"/>
          <w:szCs w:val="20"/>
          <w:lang w:val="es-419" w:eastAsia="es-CO"/>
        </w:rPr>
        <w:t>Demandado: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D64CB9">
        <w:rPr>
          <w:rFonts w:ascii="Arial" w:eastAsia="Tahoma" w:hAnsi="Arial" w:cs="Arial"/>
          <w:sz w:val="20"/>
          <w:szCs w:val="20"/>
          <w:lang w:val="es-419" w:eastAsia="es-CO"/>
        </w:rPr>
        <w:t>Junta Nacional de Calificación de Invalidez y otro</w:t>
      </w:r>
    </w:p>
    <w:p w14:paraId="5AF2AE9B" w14:textId="6AB01962" w:rsidR="00D64CB9" w:rsidRPr="00D64CB9" w:rsidRDefault="00D64CB9" w:rsidP="00D64CB9">
      <w:pPr>
        <w:spacing w:after="0" w:line="240" w:lineRule="auto"/>
        <w:jc w:val="both"/>
        <w:rPr>
          <w:rFonts w:ascii="Arial" w:eastAsia="Tahoma" w:hAnsi="Arial" w:cs="Arial"/>
          <w:sz w:val="20"/>
          <w:szCs w:val="20"/>
          <w:lang w:val="es-419" w:eastAsia="es-CO"/>
        </w:rPr>
      </w:pPr>
      <w:r w:rsidRPr="00D64CB9">
        <w:rPr>
          <w:rFonts w:ascii="Arial" w:eastAsia="Tahoma" w:hAnsi="Arial" w:cs="Arial"/>
          <w:sz w:val="20"/>
          <w:szCs w:val="20"/>
          <w:lang w:val="es-419" w:eastAsia="es-CO"/>
        </w:rPr>
        <w:t>Juzgado: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D64CB9">
        <w:rPr>
          <w:rFonts w:ascii="Arial" w:eastAsia="Tahoma" w:hAnsi="Arial" w:cs="Arial"/>
          <w:sz w:val="20"/>
          <w:szCs w:val="20"/>
          <w:lang w:val="es-419" w:eastAsia="es-CO"/>
        </w:rPr>
        <w:t>Cuarto Laboral del Circuito de Pereira</w:t>
      </w:r>
    </w:p>
    <w:p w14:paraId="2B215371" w14:textId="77777777" w:rsidR="00D64CB9" w:rsidRPr="00D64CB9" w:rsidRDefault="00D64CB9" w:rsidP="00D64CB9">
      <w:pPr>
        <w:spacing w:after="0" w:line="240" w:lineRule="auto"/>
        <w:jc w:val="both"/>
        <w:rPr>
          <w:rFonts w:ascii="Arial" w:eastAsia="Tahoma" w:hAnsi="Arial" w:cs="Arial"/>
          <w:color w:val="000000"/>
          <w:sz w:val="20"/>
          <w:szCs w:val="20"/>
          <w:lang w:val="es-ES" w:eastAsia="es-CO"/>
        </w:rPr>
      </w:pPr>
    </w:p>
    <w:p w14:paraId="388AD571" w14:textId="2760C71F" w:rsidR="00D64CB9" w:rsidRPr="00D64CB9" w:rsidRDefault="00E048B2" w:rsidP="00D64CB9">
      <w:pPr>
        <w:spacing w:after="0" w:line="240" w:lineRule="auto"/>
        <w:jc w:val="both"/>
        <w:rPr>
          <w:rFonts w:ascii="Arial" w:eastAsia="Times New Roman" w:hAnsi="Arial" w:cs="Arial"/>
          <w:b/>
          <w:bCs/>
          <w:iCs/>
          <w:sz w:val="20"/>
          <w:szCs w:val="20"/>
          <w:lang w:val="es-419" w:eastAsia="fr-FR"/>
        </w:rPr>
      </w:pPr>
      <w:r w:rsidRPr="00D64CB9">
        <w:rPr>
          <w:rFonts w:ascii="Arial" w:eastAsia="Times New Roman" w:hAnsi="Arial" w:cs="Arial"/>
          <w:b/>
          <w:bCs/>
          <w:iCs/>
          <w:sz w:val="20"/>
          <w:szCs w:val="20"/>
          <w:u w:val="single"/>
          <w:lang w:val="es-419" w:eastAsia="fr-FR"/>
        </w:rPr>
        <w:t>TEMAS:</w:t>
      </w:r>
      <w:r w:rsidRPr="00D64CB9">
        <w:rPr>
          <w:rFonts w:ascii="Arial" w:eastAsia="Times New Roman" w:hAnsi="Arial" w:cs="Arial"/>
          <w:b/>
          <w:bCs/>
          <w:iCs/>
          <w:sz w:val="20"/>
          <w:szCs w:val="20"/>
          <w:lang w:val="es-419" w:eastAsia="fr-FR"/>
        </w:rPr>
        <w:tab/>
      </w:r>
      <w:r>
        <w:rPr>
          <w:rFonts w:ascii="Arial" w:eastAsia="Times New Roman" w:hAnsi="Arial" w:cs="Arial"/>
          <w:b/>
          <w:bCs/>
          <w:iCs/>
          <w:sz w:val="20"/>
          <w:szCs w:val="20"/>
          <w:lang w:val="es-419" w:eastAsia="fr-FR"/>
        </w:rPr>
        <w:t>PENSIÓN DE INVALIDEZ / CALIFICACIÓN DE LA PÉRDIDA DE CAPACIDAD LABORAL / CONTRADICCIÓN DEL DICTAMEN / MANUAL VIGENTE AL MOMENTO DEL DICTAMEN OBJETO DE REVISIÓN.</w:t>
      </w:r>
    </w:p>
    <w:p w14:paraId="412B1D27" w14:textId="77777777" w:rsidR="00D64CB9" w:rsidRPr="00D64CB9" w:rsidRDefault="00D64CB9" w:rsidP="00D64CB9">
      <w:pPr>
        <w:spacing w:after="0" w:line="240" w:lineRule="auto"/>
        <w:jc w:val="both"/>
        <w:rPr>
          <w:rFonts w:ascii="Arial" w:eastAsia="Times New Roman" w:hAnsi="Arial" w:cs="Arial"/>
          <w:sz w:val="20"/>
          <w:szCs w:val="20"/>
          <w:lang w:val="es-419" w:eastAsia="es-ES"/>
        </w:rPr>
      </w:pPr>
    </w:p>
    <w:p w14:paraId="2E0A377D" w14:textId="0253FD6A" w:rsidR="00D64CB9" w:rsidRPr="00D64CB9" w:rsidRDefault="005C5391" w:rsidP="00D64CB9">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w:t>
      </w:r>
      <w:r w:rsidRPr="005C5391">
        <w:rPr>
          <w:rFonts w:ascii="Arial" w:eastAsia="Times New Roman" w:hAnsi="Arial" w:cs="Arial"/>
          <w:sz w:val="20"/>
          <w:szCs w:val="20"/>
          <w:lang w:val="es-419" w:eastAsia="es-ES"/>
        </w:rPr>
        <w:t xml:space="preserve"> señala el artículo 55 del Decreto 1352 de 2013</w:t>
      </w:r>
      <w:r>
        <w:rPr>
          <w:rFonts w:ascii="Arial" w:eastAsia="Times New Roman" w:hAnsi="Arial" w:cs="Arial"/>
          <w:sz w:val="20"/>
          <w:szCs w:val="20"/>
          <w:lang w:val="es-419" w:eastAsia="es-ES"/>
        </w:rPr>
        <w:t>…</w:t>
      </w:r>
    </w:p>
    <w:p w14:paraId="58FF737A" w14:textId="77777777" w:rsidR="00D64CB9" w:rsidRPr="00D64CB9" w:rsidRDefault="00D64CB9" w:rsidP="00D64CB9">
      <w:pPr>
        <w:spacing w:after="0" w:line="240" w:lineRule="auto"/>
        <w:jc w:val="both"/>
        <w:rPr>
          <w:rFonts w:ascii="Arial" w:eastAsia="Times New Roman" w:hAnsi="Arial" w:cs="Arial"/>
          <w:sz w:val="20"/>
          <w:szCs w:val="20"/>
          <w:lang w:val="es-419" w:eastAsia="es-ES"/>
        </w:rPr>
      </w:pPr>
    </w:p>
    <w:p w14:paraId="5AFDEA95" w14:textId="26428920" w:rsidR="00D64CB9" w:rsidRPr="00D64CB9" w:rsidRDefault="00937146" w:rsidP="00D64CB9">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937146">
        <w:rPr>
          <w:rFonts w:ascii="Arial" w:eastAsia="Times New Roman" w:hAnsi="Arial" w:cs="Arial"/>
          <w:sz w:val="20"/>
          <w:szCs w:val="20"/>
          <w:lang w:val="es-419" w:eastAsia="es-ES"/>
        </w:rPr>
        <w:t>La Junta de Calificación de Invalidez en el proceso de revisión de la calificación de la pérdida de capacidad laboral, solo puede evaluar el grado porcentual de pérdida de capacidad laboral sin que le sea posible pronunciarse sobre el origen o fecha de estructuración salvo las excepciones del presente artículo. Para tal efecto, se tendrá en cuenta el manual o la tabla de calificación vigente en el momento de la calificación o dictamen que le otorgó el derecho.</w:t>
      </w:r>
      <w:r>
        <w:rPr>
          <w:rFonts w:ascii="Arial" w:eastAsia="Times New Roman" w:hAnsi="Arial" w:cs="Arial"/>
          <w:sz w:val="20"/>
          <w:szCs w:val="20"/>
          <w:lang w:val="es-419" w:eastAsia="es-ES"/>
        </w:rPr>
        <w:t xml:space="preserve"> (…)”</w:t>
      </w:r>
    </w:p>
    <w:p w14:paraId="5A1D391C" w14:textId="77777777" w:rsidR="00D64CB9" w:rsidRPr="00D64CB9" w:rsidRDefault="00D64CB9" w:rsidP="00D64CB9">
      <w:pPr>
        <w:spacing w:after="0" w:line="240" w:lineRule="auto"/>
        <w:jc w:val="both"/>
        <w:rPr>
          <w:rFonts w:ascii="Arial" w:eastAsia="Times New Roman" w:hAnsi="Arial" w:cs="Arial"/>
          <w:sz w:val="20"/>
          <w:szCs w:val="20"/>
          <w:lang w:val="es-419" w:eastAsia="es-ES"/>
        </w:rPr>
      </w:pPr>
    </w:p>
    <w:p w14:paraId="2E24BEFD" w14:textId="5537CA9E" w:rsidR="00D64CB9" w:rsidRPr="00D64CB9" w:rsidRDefault="00937146" w:rsidP="00D64CB9">
      <w:pPr>
        <w:spacing w:after="0" w:line="240" w:lineRule="auto"/>
        <w:jc w:val="both"/>
        <w:rPr>
          <w:rFonts w:ascii="Arial" w:eastAsia="Times New Roman" w:hAnsi="Arial" w:cs="Arial"/>
          <w:sz w:val="20"/>
          <w:szCs w:val="20"/>
          <w:lang w:val="es-419" w:eastAsia="es-ES"/>
        </w:rPr>
      </w:pPr>
      <w:r w:rsidRPr="00937146">
        <w:rPr>
          <w:rFonts w:ascii="Arial" w:eastAsia="Times New Roman" w:hAnsi="Arial" w:cs="Arial"/>
          <w:sz w:val="20"/>
          <w:szCs w:val="20"/>
          <w:lang w:val="es-419" w:eastAsia="es-ES"/>
        </w:rPr>
        <w:t>Por medio de la sentencia SL 5607-2018 la Corte Suprema de Justicia destacó “que el dictamen que califica la pérdida de capacidad laboral dentro del proceso judicial, no es más que un medio probatorio susceptible de contradicción en el proceso</w:t>
      </w:r>
      <w:r>
        <w:rPr>
          <w:rFonts w:ascii="Arial" w:eastAsia="Times New Roman" w:hAnsi="Arial" w:cs="Arial"/>
          <w:sz w:val="20"/>
          <w:szCs w:val="20"/>
          <w:lang w:val="es-419" w:eastAsia="es-ES"/>
        </w:rPr>
        <w:t>…”</w:t>
      </w:r>
    </w:p>
    <w:p w14:paraId="52BFC541" w14:textId="77777777" w:rsidR="00D64CB9" w:rsidRPr="00D64CB9" w:rsidRDefault="00D64CB9" w:rsidP="00D64CB9">
      <w:pPr>
        <w:spacing w:after="0" w:line="240" w:lineRule="auto"/>
        <w:jc w:val="both"/>
        <w:rPr>
          <w:rFonts w:ascii="Arial" w:eastAsia="Times New Roman" w:hAnsi="Arial" w:cs="Arial"/>
          <w:sz w:val="20"/>
          <w:szCs w:val="20"/>
          <w:lang w:val="es-419" w:eastAsia="es-ES"/>
        </w:rPr>
      </w:pPr>
    </w:p>
    <w:p w14:paraId="21FF242F" w14:textId="69D878E4" w:rsidR="00D64CB9" w:rsidRDefault="00D837E3" w:rsidP="00D64CB9">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D837E3">
        <w:rPr>
          <w:rFonts w:ascii="Arial" w:eastAsia="Times New Roman" w:hAnsi="Arial" w:cs="Arial"/>
          <w:sz w:val="20"/>
          <w:szCs w:val="20"/>
          <w:lang w:val="es-419" w:eastAsia="es-ES"/>
        </w:rPr>
        <w:t>en la audiencia de que trata el artículo 77 del C.P.T y de la S.S. la jueza de oficio ordenó la calificación del actor por parte de la Junta Nacional de Invalidez, en una Sala distinta a la que emitió el dictamen No. 70130262-573 del 25 de mayo de 2018. El requerimiento judicial fue atendido por la Sala Segunda de la Junta demandada, que emitió el dictamen No. 70130262-11659 del 1 de julio de 2021, en el que mantuvo incólume el dictamen proferido por su homónima en la Sala Cuarta el 25 de mayo de 2018</w:t>
      </w:r>
      <w:r w:rsidR="000D00BD">
        <w:rPr>
          <w:rFonts w:ascii="Arial" w:eastAsia="Times New Roman" w:hAnsi="Arial" w:cs="Arial"/>
          <w:sz w:val="20"/>
          <w:szCs w:val="20"/>
          <w:lang w:val="es-419" w:eastAsia="es-ES"/>
        </w:rPr>
        <w:t>…</w:t>
      </w:r>
    </w:p>
    <w:p w14:paraId="30A2C3B5" w14:textId="77777777" w:rsidR="000D00BD" w:rsidRPr="00D64CB9" w:rsidRDefault="000D00BD" w:rsidP="00D64CB9">
      <w:pPr>
        <w:spacing w:after="0" w:line="240" w:lineRule="auto"/>
        <w:jc w:val="both"/>
        <w:rPr>
          <w:rFonts w:ascii="Arial" w:eastAsia="Times New Roman" w:hAnsi="Arial" w:cs="Arial"/>
          <w:sz w:val="20"/>
          <w:szCs w:val="20"/>
          <w:lang w:val="es-419" w:eastAsia="es-ES"/>
        </w:rPr>
      </w:pPr>
    </w:p>
    <w:p w14:paraId="541BE32F" w14:textId="2BEFFB24" w:rsidR="00D64CB9" w:rsidRDefault="000D00BD" w:rsidP="00D64CB9">
      <w:pPr>
        <w:spacing w:after="0" w:line="240" w:lineRule="auto"/>
        <w:jc w:val="both"/>
        <w:rPr>
          <w:rFonts w:ascii="Arial" w:eastAsia="Times New Roman" w:hAnsi="Arial" w:cs="Arial"/>
          <w:sz w:val="20"/>
          <w:szCs w:val="20"/>
          <w:lang w:val="es-419" w:eastAsia="es-ES"/>
        </w:rPr>
      </w:pPr>
      <w:r w:rsidRPr="000D00BD">
        <w:rPr>
          <w:rFonts w:ascii="Arial" w:eastAsia="Times New Roman" w:hAnsi="Arial" w:cs="Arial"/>
          <w:sz w:val="20"/>
          <w:szCs w:val="20"/>
          <w:lang w:val="es-419" w:eastAsia="es-ES"/>
        </w:rPr>
        <w:t>Lo primero que debe señalarse es que la calificación efectuada al demandante el 19 de abril de 2017 por la JRCR no corresponde a una nueva calificación, sino a una revisión o recalificación, como bien lo señaló la JNC en el dictamen objeto de demanda en este proceso (emitido el 25 de mayo de 2018), como quiera que el demandante ya presentaba un dictamen o calificación previo en firme</w:t>
      </w:r>
      <w:r>
        <w:rPr>
          <w:rFonts w:ascii="Arial" w:eastAsia="Times New Roman" w:hAnsi="Arial" w:cs="Arial"/>
          <w:sz w:val="20"/>
          <w:szCs w:val="20"/>
          <w:lang w:val="es-419" w:eastAsia="es-ES"/>
        </w:rPr>
        <w:t>…</w:t>
      </w:r>
    </w:p>
    <w:p w14:paraId="308263BA" w14:textId="1538B3A2" w:rsidR="000D00BD" w:rsidRDefault="000D00BD" w:rsidP="00D64CB9">
      <w:pPr>
        <w:spacing w:after="0" w:line="240" w:lineRule="auto"/>
        <w:jc w:val="both"/>
        <w:rPr>
          <w:rFonts w:ascii="Arial" w:eastAsia="Times New Roman" w:hAnsi="Arial" w:cs="Arial"/>
          <w:sz w:val="20"/>
          <w:szCs w:val="20"/>
          <w:lang w:val="es-419" w:eastAsia="es-ES"/>
        </w:rPr>
      </w:pPr>
    </w:p>
    <w:p w14:paraId="3B501842" w14:textId="1E136D38" w:rsidR="000D00BD" w:rsidRPr="00D64CB9" w:rsidRDefault="000D00BD" w:rsidP="00D64CB9">
      <w:pPr>
        <w:spacing w:after="0" w:line="240" w:lineRule="auto"/>
        <w:jc w:val="both"/>
        <w:rPr>
          <w:rFonts w:ascii="Arial" w:eastAsia="Times New Roman" w:hAnsi="Arial" w:cs="Arial"/>
          <w:sz w:val="20"/>
          <w:szCs w:val="20"/>
          <w:lang w:val="es-419" w:eastAsia="es-ES"/>
        </w:rPr>
      </w:pPr>
      <w:r w:rsidRPr="000D00BD">
        <w:rPr>
          <w:rFonts w:ascii="Arial" w:eastAsia="Times New Roman" w:hAnsi="Arial" w:cs="Arial"/>
          <w:sz w:val="20"/>
          <w:szCs w:val="20"/>
          <w:lang w:val="es-419" w:eastAsia="es-ES"/>
        </w:rPr>
        <w:t>Ello así, hizo mal la JRCI al acudir al manual o tabla de calificación vigente al momento de la calificación, esto es, al Decreto 1507 de 2014, pues debió aplicar el Decreto 917 de 1999, que correspondía al Manual de Calificación de PCL vigente al momento de la calificación objeto de revisión.</w:t>
      </w:r>
    </w:p>
    <w:p w14:paraId="4CE7602F" w14:textId="77777777" w:rsidR="00D64CB9" w:rsidRPr="00D64CB9" w:rsidRDefault="00D64CB9" w:rsidP="00D64CB9">
      <w:pPr>
        <w:spacing w:after="0" w:line="240" w:lineRule="auto"/>
        <w:jc w:val="both"/>
        <w:rPr>
          <w:rFonts w:ascii="Arial" w:eastAsia="Times New Roman" w:hAnsi="Arial" w:cs="Arial"/>
          <w:sz w:val="20"/>
          <w:szCs w:val="20"/>
          <w:lang w:val="es-419" w:eastAsia="es-ES"/>
        </w:rPr>
      </w:pPr>
    </w:p>
    <w:p w14:paraId="6361CA4E" w14:textId="1BD2BE91" w:rsidR="00D64CB9" w:rsidRDefault="009A7B3B" w:rsidP="00D64CB9">
      <w:pPr>
        <w:spacing w:after="0" w:line="240" w:lineRule="auto"/>
        <w:jc w:val="both"/>
        <w:rPr>
          <w:rFonts w:ascii="Arial" w:eastAsia="Times New Roman" w:hAnsi="Arial" w:cs="Arial"/>
          <w:sz w:val="20"/>
          <w:szCs w:val="20"/>
          <w:lang w:val="es-419" w:eastAsia="es-ES"/>
        </w:rPr>
      </w:pPr>
      <w:r w:rsidRPr="009A7B3B">
        <w:rPr>
          <w:rFonts w:ascii="Arial" w:eastAsia="Times New Roman" w:hAnsi="Arial" w:cs="Arial"/>
          <w:sz w:val="20"/>
          <w:szCs w:val="20"/>
          <w:lang w:val="es-419" w:eastAsia="es-ES"/>
        </w:rPr>
        <w:t>Esta sola irregularidad es suficiente para invalidar el resultado de la calificación del 19 de abril de 2017 emitida por la JRCR, en la que el ente calificador fijó la PCL del actor en 59,94%; pero este no es el único error en que incurre esta calificación</w:t>
      </w:r>
      <w:r w:rsidR="007A09B3">
        <w:rPr>
          <w:rFonts w:ascii="Arial" w:eastAsia="Times New Roman" w:hAnsi="Arial" w:cs="Arial"/>
          <w:sz w:val="20"/>
          <w:szCs w:val="20"/>
          <w:lang w:val="es-419" w:eastAsia="es-ES"/>
        </w:rPr>
        <w:t>…</w:t>
      </w:r>
      <w:r w:rsidRPr="009A7B3B">
        <w:rPr>
          <w:rFonts w:ascii="Arial" w:eastAsia="Times New Roman" w:hAnsi="Arial" w:cs="Arial"/>
          <w:sz w:val="20"/>
          <w:szCs w:val="20"/>
          <w:lang w:val="es-419" w:eastAsia="es-ES"/>
        </w:rPr>
        <w:t xml:space="preserve">, pues ha de agregarse que estos dictámenes se </w:t>
      </w:r>
      <w:bookmarkStart w:id="1" w:name="_GoBack"/>
      <w:bookmarkEnd w:id="1"/>
      <w:r w:rsidRPr="009A7B3B">
        <w:rPr>
          <w:rFonts w:ascii="Arial" w:eastAsia="Times New Roman" w:hAnsi="Arial" w:cs="Arial"/>
          <w:sz w:val="20"/>
          <w:szCs w:val="20"/>
          <w:lang w:val="es-419" w:eastAsia="es-ES"/>
        </w:rPr>
        <w:t>efectuaron sin el resultado de potenciales evocados visuales por oftalmología, los cuales fueron ordenados por la JNC en el marco de la apelación del dictamen de 19 de abril de 2017</w:t>
      </w:r>
      <w:r>
        <w:rPr>
          <w:rFonts w:ascii="Arial" w:eastAsia="Times New Roman" w:hAnsi="Arial" w:cs="Arial"/>
          <w:sz w:val="20"/>
          <w:szCs w:val="20"/>
          <w:lang w:val="es-419" w:eastAsia="es-ES"/>
        </w:rPr>
        <w:t>…</w:t>
      </w:r>
    </w:p>
    <w:p w14:paraId="45D3C50E" w14:textId="683B79A8" w:rsidR="009A7B3B" w:rsidRDefault="009A7B3B" w:rsidP="00D64CB9">
      <w:pPr>
        <w:spacing w:after="0" w:line="240" w:lineRule="auto"/>
        <w:jc w:val="both"/>
        <w:rPr>
          <w:rFonts w:ascii="Arial" w:eastAsia="Times New Roman" w:hAnsi="Arial" w:cs="Arial"/>
          <w:sz w:val="20"/>
          <w:szCs w:val="20"/>
          <w:lang w:val="es-419" w:eastAsia="es-ES"/>
        </w:rPr>
      </w:pPr>
    </w:p>
    <w:p w14:paraId="4CB71E7D" w14:textId="77777777" w:rsidR="009A7B3B" w:rsidRPr="00D64CB9" w:rsidRDefault="009A7B3B" w:rsidP="00D64CB9">
      <w:pPr>
        <w:spacing w:after="0" w:line="240" w:lineRule="auto"/>
        <w:jc w:val="both"/>
        <w:rPr>
          <w:rFonts w:ascii="Arial" w:eastAsia="Times New Roman" w:hAnsi="Arial" w:cs="Arial"/>
          <w:sz w:val="20"/>
          <w:szCs w:val="20"/>
          <w:lang w:val="es-419" w:eastAsia="es-ES"/>
        </w:rPr>
      </w:pPr>
    </w:p>
    <w:p w14:paraId="399B0D5E" w14:textId="77777777" w:rsidR="00D64CB9" w:rsidRPr="00D64CB9" w:rsidRDefault="00D64CB9" w:rsidP="00D64CB9">
      <w:pPr>
        <w:pBdr>
          <w:top w:val="nil"/>
          <w:left w:val="nil"/>
          <w:bottom w:val="nil"/>
          <w:right w:val="nil"/>
          <w:between w:val="nil"/>
        </w:pBdr>
        <w:tabs>
          <w:tab w:val="left" w:pos="0"/>
        </w:tabs>
        <w:spacing w:after="0" w:line="240" w:lineRule="auto"/>
        <w:rPr>
          <w:rFonts w:ascii="Arial" w:eastAsia="Times New Roman" w:hAnsi="Arial" w:cs="Arial"/>
          <w:sz w:val="20"/>
          <w:szCs w:val="20"/>
          <w:lang w:val="es-419" w:eastAsia="es-ES"/>
        </w:rPr>
      </w:pPr>
    </w:p>
    <w:p w14:paraId="5B4172C5" w14:textId="77777777" w:rsidR="00D64CB9" w:rsidRPr="00D64CB9" w:rsidRDefault="00D64CB9" w:rsidP="00D64CB9">
      <w:pPr>
        <w:spacing w:after="0" w:line="276" w:lineRule="auto"/>
        <w:jc w:val="center"/>
        <w:rPr>
          <w:rFonts w:ascii="Tahoma" w:eastAsia="Times New Roman" w:hAnsi="Tahoma" w:cs="Tahoma"/>
          <w:b/>
          <w:iCs/>
          <w:spacing w:val="2"/>
          <w:sz w:val="24"/>
          <w:szCs w:val="24"/>
          <w:lang w:eastAsia="es-ES"/>
        </w:rPr>
      </w:pPr>
      <w:r w:rsidRPr="00D64CB9">
        <w:rPr>
          <w:rFonts w:ascii="Tahoma" w:eastAsia="Times New Roman" w:hAnsi="Tahoma" w:cs="Tahoma"/>
          <w:b/>
          <w:bCs/>
          <w:iCs/>
          <w:spacing w:val="2"/>
          <w:sz w:val="24"/>
          <w:szCs w:val="24"/>
          <w:lang w:eastAsia="es-ES"/>
        </w:rPr>
        <w:t>TRIBUNAL SUPERIOR DEL DISTRITO JUDICIAL DE PEREIRA</w:t>
      </w:r>
    </w:p>
    <w:p w14:paraId="78DCCA4D" w14:textId="77777777" w:rsidR="00D64CB9" w:rsidRPr="00D64CB9" w:rsidRDefault="00D64CB9" w:rsidP="00D64CB9">
      <w:pPr>
        <w:spacing w:after="0" w:line="276" w:lineRule="auto"/>
        <w:jc w:val="center"/>
        <w:rPr>
          <w:rFonts w:ascii="Tahoma" w:eastAsia="Times New Roman" w:hAnsi="Tahoma" w:cs="Tahoma"/>
          <w:b/>
          <w:iCs/>
          <w:spacing w:val="2"/>
          <w:sz w:val="24"/>
          <w:szCs w:val="24"/>
          <w:lang w:eastAsia="es-ES"/>
        </w:rPr>
      </w:pPr>
      <w:r w:rsidRPr="00D64CB9">
        <w:rPr>
          <w:rFonts w:ascii="Tahoma" w:eastAsia="Times New Roman" w:hAnsi="Tahoma" w:cs="Tahoma"/>
          <w:b/>
          <w:bCs/>
          <w:iCs/>
          <w:spacing w:val="2"/>
          <w:sz w:val="24"/>
          <w:szCs w:val="24"/>
          <w:lang w:eastAsia="es-ES"/>
        </w:rPr>
        <w:t>SALA PRIMERA DE DECISIÓN LABORAL</w:t>
      </w:r>
    </w:p>
    <w:p w14:paraId="4949EAE7" w14:textId="77777777" w:rsidR="00D64CB9" w:rsidRPr="00D64CB9" w:rsidRDefault="00D64CB9" w:rsidP="00D64CB9">
      <w:pPr>
        <w:spacing w:after="0" w:line="276" w:lineRule="auto"/>
        <w:jc w:val="center"/>
        <w:rPr>
          <w:rFonts w:ascii="Tahoma" w:eastAsia="Times New Roman" w:hAnsi="Tahoma" w:cs="Tahoma"/>
          <w:bCs/>
          <w:spacing w:val="2"/>
          <w:sz w:val="24"/>
          <w:szCs w:val="24"/>
          <w:lang w:eastAsia="es-ES"/>
        </w:rPr>
      </w:pPr>
    </w:p>
    <w:p w14:paraId="33C56E5E" w14:textId="77777777" w:rsidR="00D64CB9" w:rsidRPr="00D64CB9" w:rsidRDefault="00D64CB9" w:rsidP="00D64CB9">
      <w:pPr>
        <w:spacing w:after="0" w:line="276" w:lineRule="auto"/>
        <w:jc w:val="center"/>
        <w:rPr>
          <w:rFonts w:ascii="Tahoma" w:eastAsia="Times New Roman" w:hAnsi="Tahoma" w:cs="Tahoma"/>
          <w:spacing w:val="2"/>
          <w:sz w:val="24"/>
          <w:szCs w:val="24"/>
          <w:lang w:eastAsia="es-ES"/>
        </w:rPr>
      </w:pPr>
      <w:r w:rsidRPr="00D64CB9">
        <w:rPr>
          <w:rFonts w:ascii="Tahoma" w:eastAsia="Times New Roman" w:hAnsi="Tahoma" w:cs="Tahoma"/>
          <w:spacing w:val="2"/>
          <w:sz w:val="24"/>
          <w:szCs w:val="24"/>
          <w:lang w:eastAsia="es-ES"/>
        </w:rPr>
        <w:t>Magistrada Ponente: </w:t>
      </w:r>
      <w:r w:rsidRPr="00D64CB9">
        <w:rPr>
          <w:rFonts w:ascii="Tahoma" w:eastAsia="Times New Roman" w:hAnsi="Tahoma" w:cs="Tahoma"/>
          <w:b/>
          <w:bCs/>
          <w:spacing w:val="2"/>
          <w:sz w:val="24"/>
          <w:szCs w:val="24"/>
          <w:lang w:eastAsia="es-ES"/>
        </w:rPr>
        <w:t>Ana Lucía Caicedo Calderón</w:t>
      </w:r>
    </w:p>
    <w:p w14:paraId="3827ECCF" w14:textId="77777777" w:rsidR="00D64CB9" w:rsidRPr="00D64CB9" w:rsidRDefault="00D64CB9" w:rsidP="00D64CB9">
      <w:pPr>
        <w:spacing w:after="0" w:line="276" w:lineRule="auto"/>
        <w:jc w:val="center"/>
        <w:rPr>
          <w:rFonts w:ascii="Tahoma" w:eastAsia="Times New Roman" w:hAnsi="Tahoma" w:cs="Tahoma"/>
          <w:spacing w:val="2"/>
          <w:sz w:val="24"/>
          <w:szCs w:val="24"/>
          <w:lang w:eastAsia="es-ES"/>
        </w:rPr>
      </w:pPr>
    </w:p>
    <w:p w14:paraId="00D132B1" w14:textId="4B834FE4" w:rsidR="009C69F3" w:rsidRPr="00D64CB9" w:rsidRDefault="009C69F3" w:rsidP="00D64CB9">
      <w:pPr>
        <w:pStyle w:val="paragraph"/>
        <w:spacing w:before="0" w:beforeAutospacing="0" w:after="0" w:afterAutospacing="0" w:line="276" w:lineRule="auto"/>
        <w:jc w:val="center"/>
        <w:textAlignment w:val="baseline"/>
        <w:rPr>
          <w:rFonts w:ascii="Tahoma" w:hAnsi="Tahoma" w:cs="Tahoma"/>
        </w:rPr>
      </w:pPr>
      <w:r w:rsidRPr="00D64CB9">
        <w:rPr>
          <w:rStyle w:val="normaltextrun"/>
          <w:rFonts w:ascii="Tahoma" w:hAnsi="Tahoma" w:cs="Tahoma"/>
          <w:color w:val="000000" w:themeColor="text1"/>
        </w:rPr>
        <w:t xml:space="preserve">Pereira, </w:t>
      </w:r>
      <w:r w:rsidR="01117BBF" w:rsidRPr="00D64CB9">
        <w:rPr>
          <w:rStyle w:val="normaltextrun"/>
          <w:rFonts w:ascii="Tahoma" w:hAnsi="Tahoma" w:cs="Tahoma"/>
          <w:color w:val="000000" w:themeColor="text1"/>
        </w:rPr>
        <w:t>primero</w:t>
      </w:r>
      <w:r w:rsidRPr="00D64CB9">
        <w:rPr>
          <w:rStyle w:val="normaltextrun"/>
          <w:rFonts w:ascii="Tahoma" w:hAnsi="Tahoma" w:cs="Tahoma"/>
          <w:color w:val="000000" w:themeColor="text1"/>
        </w:rPr>
        <w:t xml:space="preserve"> (</w:t>
      </w:r>
      <w:r w:rsidR="746ED32F" w:rsidRPr="00D64CB9">
        <w:rPr>
          <w:rStyle w:val="normaltextrun"/>
          <w:rFonts w:ascii="Tahoma" w:hAnsi="Tahoma" w:cs="Tahoma"/>
          <w:color w:val="000000" w:themeColor="text1"/>
        </w:rPr>
        <w:t>01</w:t>
      </w:r>
      <w:r w:rsidRPr="00D64CB9">
        <w:rPr>
          <w:rStyle w:val="normaltextrun"/>
          <w:rFonts w:ascii="Tahoma" w:hAnsi="Tahoma" w:cs="Tahoma"/>
          <w:color w:val="000000" w:themeColor="text1"/>
        </w:rPr>
        <w:t xml:space="preserve">) de </w:t>
      </w:r>
      <w:r w:rsidR="03F123E9" w:rsidRPr="00D64CB9">
        <w:rPr>
          <w:rStyle w:val="normaltextrun"/>
          <w:rFonts w:ascii="Tahoma" w:hAnsi="Tahoma" w:cs="Tahoma"/>
          <w:color w:val="000000" w:themeColor="text1"/>
        </w:rPr>
        <w:t>junio</w:t>
      </w:r>
      <w:r w:rsidRPr="00D64CB9">
        <w:rPr>
          <w:rStyle w:val="normaltextrun"/>
          <w:rFonts w:ascii="Tahoma" w:hAnsi="Tahoma" w:cs="Tahoma"/>
          <w:color w:val="000000" w:themeColor="text1"/>
        </w:rPr>
        <w:t xml:space="preserve"> dos mil veintitrés (2023)   </w:t>
      </w:r>
      <w:r w:rsidRPr="00D64CB9">
        <w:rPr>
          <w:rStyle w:val="eop"/>
          <w:rFonts w:ascii="Tahoma" w:hAnsi="Tahoma" w:cs="Tahoma"/>
          <w:color w:val="000000" w:themeColor="text1"/>
        </w:rPr>
        <w:t> </w:t>
      </w:r>
    </w:p>
    <w:p w14:paraId="749263EC" w14:textId="45AE2B0B" w:rsidR="009C69F3" w:rsidRPr="00D64CB9" w:rsidRDefault="009C69F3" w:rsidP="00D64CB9">
      <w:pPr>
        <w:pStyle w:val="paragraph"/>
        <w:spacing w:before="0" w:beforeAutospacing="0" w:after="0" w:afterAutospacing="0" w:line="276" w:lineRule="auto"/>
        <w:jc w:val="center"/>
        <w:textAlignment w:val="baseline"/>
        <w:rPr>
          <w:rFonts w:ascii="Tahoma" w:hAnsi="Tahoma" w:cs="Tahoma"/>
        </w:rPr>
      </w:pPr>
      <w:r w:rsidRPr="00D64CB9">
        <w:rPr>
          <w:rStyle w:val="normaltextrun"/>
          <w:rFonts w:ascii="Tahoma" w:hAnsi="Tahoma" w:cs="Tahoma"/>
          <w:color w:val="000000" w:themeColor="text1"/>
        </w:rPr>
        <w:t> Acta No.</w:t>
      </w:r>
      <w:r w:rsidR="005925B6" w:rsidRPr="00D64CB9">
        <w:rPr>
          <w:rStyle w:val="normaltextrun"/>
          <w:rFonts w:ascii="Tahoma" w:hAnsi="Tahoma" w:cs="Tahoma"/>
          <w:color w:val="000000" w:themeColor="text1"/>
        </w:rPr>
        <w:t> </w:t>
      </w:r>
      <w:r w:rsidR="5CD35F7B" w:rsidRPr="00D64CB9">
        <w:rPr>
          <w:rStyle w:val="normaltextrun"/>
          <w:rFonts w:ascii="Tahoma" w:hAnsi="Tahoma" w:cs="Tahoma"/>
          <w:color w:val="000000" w:themeColor="text1"/>
        </w:rPr>
        <w:t>87</w:t>
      </w:r>
      <w:r w:rsidRPr="00D64CB9">
        <w:rPr>
          <w:rStyle w:val="normaltextrun"/>
          <w:rFonts w:ascii="Tahoma" w:hAnsi="Tahoma" w:cs="Tahoma"/>
          <w:color w:val="000000" w:themeColor="text1"/>
        </w:rPr>
        <w:t xml:space="preserve"> del </w:t>
      </w:r>
      <w:r w:rsidR="5B8A05E5" w:rsidRPr="00D64CB9">
        <w:rPr>
          <w:rStyle w:val="normaltextrun"/>
          <w:rFonts w:ascii="Tahoma" w:hAnsi="Tahoma" w:cs="Tahoma"/>
          <w:color w:val="000000" w:themeColor="text1"/>
        </w:rPr>
        <w:t xml:space="preserve">5 </w:t>
      </w:r>
      <w:r w:rsidRPr="00D64CB9">
        <w:rPr>
          <w:rStyle w:val="normaltextrun"/>
          <w:rFonts w:ascii="Tahoma" w:hAnsi="Tahoma" w:cs="Tahoma"/>
          <w:color w:val="000000" w:themeColor="text1"/>
        </w:rPr>
        <w:t xml:space="preserve">de </w:t>
      </w:r>
      <w:r w:rsidR="1B5BD523" w:rsidRPr="00D64CB9">
        <w:rPr>
          <w:rStyle w:val="normaltextrun"/>
          <w:rFonts w:ascii="Tahoma" w:hAnsi="Tahoma" w:cs="Tahoma"/>
          <w:color w:val="000000" w:themeColor="text1"/>
        </w:rPr>
        <w:t>junio</w:t>
      </w:r>
      <w:r w:rsidRPr="00D64CB9">
        <w:rPr>
          <w:rStyle w:val="normaltextrun"/>
          <w:rFonts w:ascii="Tahoma" w:hAnsi="Tahoma" w:cs="Tahoma"/>
          <w:color w:val="000000" w:themeColor="text1"/>
        </w:rPr>
        <w:t xml:space="preserve"> de 202</w:t>
      </w:r>
      <w:r w:rsidR="004159F9" w:rsidRPr="00D64CB9">
        <w:rPr>
          <w:rStyle w:val="normaltextrun"/>
          <w:rFonts w:ascii="Tahoma" w:hAnsi="Tahoma" w:cs="Tahoma"/>
          <w:color w:val="000000" w:themeColor="text1"/>
        </w:rPr>
        <w:t>3</w:t>
      </w:r>
    </w:p>
    <w:p w14:paraId="71100549" w14:textId="77777777" w:rsidR="0098303F" w:rsidRDefault="0098303F" w:rsidP="00D64CB9">
      <w:pPr>
        <w:spacing w:after="0" w:line="276" w:lineRule="auto"/>
        <w:jc w:val="both"/>
        <w:rPr>
          <w:rFonts w:ascii="Tahoma" w:hAnsi="Tahoma" w:cs="Tahoma"/>
          <w:sz w:val="24"/>
          <w:szCs w:val="24"/>
        </w:rPr>
      </w:pPr>
    </w:p>
    <w:p w14:paraId="0701EBF3" w14:textId="77777777" w:rsidR="00767624" w:rsidRPr="00D64CB9" w:rsidRDefault="00767624" w:rsidP="00D64CB9">
      <w:pPr>
        <w:spacing w:after="0" w:line="276" w:lineRule="auto"/>
        <w:jc w:val="both"/>
        <w:rPr>
          <w:rFonts w:ascii="Tahoma" w:hAnsi="Tahoma" w:cs="Tahoma"/>
          <w:sz w:val="24"/>
          <w:szCs w:val="24"/>
        </w:rPr>
      </w:pPr>
    </w:p>
    <w:p w14:paraId="1CB719FF" w14:textId="71FD5DD5" w:rsidR="0098303F" w:rsidRPr="00D64CB9" w:rsidRDefault="0098303F" w:rsidP="00D64CB9">
      <w:pPr>
        <w:spacing w:after="0" w:line="276" w:lineRule="auto"/>
        <w:ind w:firstLine="708"/>
        <w:jc w:val="both"/>
        <w:rPr>
          <w:rFonts w:ascii="Tahoma" w:hAnsi="Tahoma" w:cs="Tahoma"/>
          <w:bCs/>
          <w:sz w:val="24"/>
          <w:szCs w:val="24"/>
        </w:rPr>
      </w:pPr>
      <w:r w:rsidRPr="00D64CB9">
        <w:rPr>
          <w:rFonts w:ascii="Tahoma" w:hAnsi="Tahoma" w:cs="Tahoma"/>
          <w:sz w:val="24"/>
          <w:szCs w:val="24"/>
        </w:rPr>
        <w:t xml:space="preserve">Teniendo en cuenta que el artículo 13 de la Ley 2213 del 13 de junio de 2022, </w:t>
      </w:r>
      <w:r w:rsidR="00B04D4F" w:rsidRPr="00D64CB9">
        <w:rPr>
          <w:rFonts w:ascii="Tahoma" w:hAnsi="Tahoma" w:cs="Tahoma"/>
          <w:sz w:val="24"/>
          <w:szCs w:val="24"/>
          <w:lang w:val="es"/>
        </w:rPr>
        <w:t xml:space="preserve">estableció, que en la especialidad laboral se proferirán por escrito las providencias de segunda instancia, en las que se surta el grado jurisdiccional de consulta o se </w:t>
      </w:r>
      <w:r w:rsidR="00B04D4F" w:rsidRPr="00D64CB9">
        <w:rPr>
          <w:rFonts w:ascii="Tahoma" w:hAnsi="Tahoma" w:cs="Tahoma"/>
          <w:sz w:val="24"/>
          <w:szCs w:val="24"/>
          <w:lang w:val="es"/>
        </w:rPr>
        <w:lastRenderedPageBreak/>
        <w:t xml:space="preserve">resuelva el recurso de apelación de autos o sentencias, la Sala de Decisión Laboral No. 1 del Tribunal Superior de Pereira, integrada por las Magistradas ANA LUCÍA CAICEDO CALDERÓN como Ponente, OLGA LUCÍA HOYOS SEPÚLVEDA y el Magistrado GERMÁN DARIO GOEZ VINASCO, procede a proferir la siguiente sentencia escrita dentro del proceso </w:t>
      </w:r>
      <w:r w:rsidR="00B04D4F" w:rsidRPr="005D7F1E">
        <w:rPr>
          <w:rFonts w:ascii="Tahoma" w:hAnsi="Tahoma" w:cs="Tahoma"/>
          <w:b/>
          <w:sz w:val="24"/>
          <w:szCs w:val="24"/>
          <w:lang w:val="es"/>
        </w:rPr>
        <w:t>ordinario laboral</w:t>
      </w:r>
      <w:r w:rsidR="00B04D4F" w:rsidRPr="00D64CB9">
        <w:rPr>
          <w:rFonts w:ascii="Tahoma" w:hAnsi="Tahoma" w:cs="Tahoma"/>
          <w:sz w:val="24"/>
          <w:szCs w:val="24"/>
          <w:lang w:val="es"/>
        </w:rPr>
        <w:t xml:space="preserve"> instaurado por </w:t>
      </w:r>
      <w:r w:rsidR="00D92506" w:rsidRPr="00D64CB9">
        <w:rPr>
          <w:rFonts w:ascii="Tahoma" w:hAnsi="Tahoma" w:cs="Tahoma"/>
          <w:b/>
          <w:sz w:val="24"/>
          <w:szCs w:val="24"/>
        </w:rPr>
        <w:t>Leonardo Ortiz Mesa</w:t>
      </w:r>
      <w:r w:rsidR="009A5438" w:rsidRPr="00D64CB9">
        <w:rPr>
          <w:rFonts w:ascii="Tahoma" w:hAnsi="Tahoma" w:cs="Tahoma"/>
          <w:b/>
          <w:sz w:val="24"/>
          <w:szCs w:val="24"/>
        </w:rPr>
        <w:t xml:space="preserve"> </w:t>
      </w:r>
      <w:r w:rsidR="00701AE4" w:rsidRPr="00D64CB9">
        <w:rPr>
          <w:rFonts w:ascii="Tahoma" w:hAnsi="Tahoma" w:cs="Tahoma"/>
          <w:bCs/>
          <w:sz w:val="24"/>
          <w:szCs w:val="24"/>
        </w:rPr>
        <w:t xml:space="preserve">en contra de </w:t>
      </w:r>
      <w:r w:rsidR="005D7F1E" w:rsidRPr="005D7F1E">
        <w:rPr>
          <w:rFonts w:ascii="Tahoma" w:hAnsi="Tahoma" w:cs="Tahoma"/>
          <w:sz w:val="24"/>
          <w:szCs w:val="24"/>
        </w:rPr>
        <w:t>la</w:t>
      </w:r>
      <w:r w:rsidR="005D7F1E" w:rsidRPr="00D64CB9">
        <w:rPr>
          <w:rFonts w:ascii="Tahoma" w:hAnsi="Tahoma" w:cs="Tahoma"/>
          <w:b/>
          <w:sz w:val="24"/>
          <w:szCs w:val="24"/>
        </w:rPr>
        <w:t xml:space="preserve"> </w:t>
      </w:r>
      <w:r w:rsidR="00D92506" w:rsidRPr="00D64CB9">
        <w:rPr>
          <w:rFonts w:ascii="Tahoma" w:hAnsi="Tahoma" w:cs="Tahoma"/>
          <w:b/>
          <w:sz w:val="24"/>
          <w:szCs w:val="24"/>
        </w:rPr>
        <w:t xml:space="preserve">Junta Nacional de Calificación de Invalidez </w:t>
      </w:r>
      <w:r w:rsidR="00D92506" w:rsidRPr="005D7F1E">
        <w:rPr>
          <w:rFonts w:ascii="Tahoma" w:hAnsi="Tahoma" w:cs="Tahoma"/>
          <w:sz w:val="24"/>
          <w:szCs w:val="24"/>
        </w:rPr>
        <w:t xml:space="preserve">y </w:t>
      </w:r>
      <w:r w:rsidR="007F1E56" w:rsidRPr="005D7F1E">
        <w:rPr>
          <w:rFonts w:ascii="Tahoma" w:hAnsi="Tahoma" w:cs="Tahoma"/>
          <w:sz w:val="24"/>
          <w:szCs w:val="24"/>
        </w:rPr>
        <w:t>la</w:t>
      </w:r>
      <w:r w:rsidR="007F1E56" w:rsidRPr="00D64CB9">
        <w:rPr>
          <w:rFonts w:ascii="Tahoma" w:hAnsi="Tahoma" w:cs="Tahoma"/>
          <w:b/>
          <w:sz w:val="24"/>
          <w:szCs w:val="24"/>
        </w:rPr>
        <w:t xml:space="preserve"> Equidad Seguros de Vida Organismo Cooperativo.</w:t>
      </w:r>
    </w:p>
    <w:p w14:paraId="6D277A53" w14:textId="19F46ECC" w:rsidR="0098303F" w:rsidRPr="00D64CB9" w:rsidRDefault="0098303F" w:rsidP="00D64CB9">
      <w:pPr>
        <w:spacing w:after="0" w:line="276" w:lineRule="auto"/>
        <w:jc w:val="both"/>
        <w:rPr>
          <w:rFonts w:ascii="Tahoma" w:hAnsi="Tahoma" w:cs="Tahoma"/>
          <w:b/>
          <w:sz w:val="24"/>
          <w:szCs w:val="24"/>
        </w:rPr>
      </w:pPr>
    </w:p>
    <w:p w14:paraId="25415B46" w14:textId="77777777" w:rsidR="0098303F" w:rsidRPr="00D64CB9" w:rsidRDefault="0098303F" w:rsidP="00D64CB9">
      <w:pPr>
        <w:spacing w:after="0" w:line="276" w:lineRule="auto"/>
        <w:jc w:val="center"/>
        <w:rPr>
          <w:rFonts w:ascii="Tahoma" w:hAnsi="Tahoma" w:cs="Tahoma"/>
          <w:b/>
          <w:sz w:val="24"/>
          <w:szCs w:val="24"/>
        </w:rPr>
      </w:pPr>
      <w:r w:rsidRPr="00D64CB9">
        <w:rPr>
          <w:rFonts w:ascii="Tahoma" w:hAnsi="Tahoma" w:cs="Tahoma"/>
          <w:b/>
          <w:sz w:val="24"/>
          <w:szCs w:val="24"/>
        </w:rPr>
        <w:t>PUNTO A TRATAR</w:t>
      </w:r>
    </w:p>
    <w:p w14:paraId="57574E71" w14:textId="77777777" w:rsidR="0098303F" w:rsidRPr="00D64CB9" w:rsidRDefault="0098303F" w:rsidP="00D64CB9">
      <w:pPr>
        <w:spacing w:after="0" w:line="276" w:lineRule="auto"/>
        <w:jc w:val="both"/>
        <w:rPr>
          <w:rFonts w:ascii="Tahoma" w:hAnsi="Tahoma" w:cs="Tahoma"/>
          <w:sz w:val="24"/>
          <w:szCs w:val="24"/>
        </w:rPr>
      </w:pPr>
    </w:p>
    <w:p w14:paraId="4B691FDD" w14:textId="2902FFFC" w:rsidR="0098303F" w:rsidRPr="00D64CB9" w:rsidRDefault="0098303F" w:rsidP="00D64CB9">
      <w:pPr>
        <w:spacing w:after="0" w:line="276" w:lineRule="auto"/>
        <w:ind w:firstLine="708"/>
        <w:jc w:val="both"/>
        <w:rPr>
          <w:rFonts w:ascii="Tahoma" w:hAnsi="Tahoma" w:cs="Tahoma"/>
          <w:sz w:val="24"/>
          <w:szCs w:val="24"/>
        </w:rPr>
      </w:pPr>
      <w:r w:rsidRPr="00D64CB9">
        <w:rPr>
          <w:rFonts w:ascii="Tahoma" w:hAnsi="Tahoma" w:cs="Tahoma"/>
          <w:sz w:val="24"/>
          <w:szCs w:val="24"/>
        </w:rPr>
        <w:t xml:space="preserve">Por medio de esta providencia procede la Sala a resolver el recurso de apelación interpuesto por </w:t>
      </w:r>
      <w:r w:rsidR="007F1E56" w:rsidRPr="00D64CB9">
        <w:rPr>
          <w:rFonts w:ascii="Tahoma" w:hAnsi="Tahoma" w:cs="Tahoma"/>
          <w:sz w:val="24"/>
          <w:szCs w:val="24"/>
        </w:rPr>
        <w:t>el demandante contra</w:t>
      </w:r>
      <w:r w:rsidR="00D43AE0" w:rsidRPr="00D64CB9">
        <w:rPr>
          <w:rFonts w:ascii="Tahoma" w:hAnsi="Tahoma" w:cs="Tahoma"/>
          <w:sz w:val="24"/>
          <w:szCs w:val="24"/>
        </w:rPr>
        <w:t xml:space="preserve"> la sentencia proferida por el Juzgado </w:t>
      </w:r>
      <w:r w:rsidR="007F1E56" w:rsidRPr="00D64CB9">
        <w:rPr>
          <w:rFonts w:ascii="Tahoma" w:hAnsi="Tahoma" w:cs="Tahoma"/>
          <w:sz w:val="24"/>
          <w:szCs w:val="24"/>
        </w:rPr>
        <w:t>Cuart</w:t>
      </w:r>
      <w:r w:rsidR="00D43AE0" w:rsidRPr="00D64CB9">
        <w:rPr>
          <w:rFonts w:ascii="Tahoma" w:hAnsi="Tahoma" w:cs="Tahoma"/>
          <w:sz w:val="24"/>
          <w:szCs w:val="24"/>
        </w:rPr>
        <w:t>o Laboral del Circuito de Pereira el 1</w:t>
      </w:r>
      <w:r w:rsidR="007F1E56" w:rsidRPr="00D64CB9">
        <w:rPr>
          <w:rFonts w:ascii="Tahoma" w:hAnsi="Tahoma" w:cs="Tahoma"/>
          <w:sz w:val="24"/>
          <w:szCs w:val="24"/>
        </w:rPr>
        <w:t xml:space="preserve"> de octubre de 2022.</w:t>
      </w:r>
      <w:r w:rsidRPr="00D64CB9">
        <w:rPr>
          <w:rFonts w:ascii="Tahoma" w:hAnsi="Tahoma" w:cs="Tahoma"/>
          <w:sz w:val="24"/>
          <w:szCs w:val="24"/>
        </w:rPr>
        <w:t xml:space="preserve"> Para ello se tiene en cuenta lo siguiente: </w:t>
      </w:r>
    </w:p>
    <w:p w14:paraId="58834B77" w14:textId="77777777" w:rsidR="00E459E9" w:rsidRPr="00D64CB9" w:rsidRDefault="00E459E9" w:rsidP="00D64CB9">
      <w:pPr>
        <w:spacing w:after="0" w:line="276" w:lineRule="auto"/>
        <w:jc w:val="both"/>
        <w:rPr>
          <w:rFonts w:ascii="Tahoma" w:hAnsi="Tahoma" w:cs="Tahoma"/>
          <w:sz w:val="24"/>
          <w:szCs w:val="24"/>
        </w:rPr>
      </w:pPr>
    </w:p>
    <w:p w14:paraId="402908B1" w14:textId="32E64296" w:rsidR="0098303F" w:rsidRPr="00D64CB9" w:rsidRDefault="0098303F" w:rsidP="00D64CB9">
      <w:pPr>
        <w:spacing w:after="0" w:line="276" w:lineRule="auto"/>
        <w:jc w:val="center"/>
        <w:rPr>
          <w:rFonts w:ascii="Tahoma" w:hAnsi="Tahoma" w:cs="Tahoma"/>
          <w:b/>
          <w:sz w:val="24"/>
          <w:szCs w:val="24"/>
        </w:rPr>
      </w:pPr>
      <w:r w:rsidRPr="00D64CB9">
        <w:rPr>
          <w:rFonts w:ascii="Tahoma" w:hAnsi="Tahoma" w:cs="Tahoma"/>
          <w:b/>
          <w:sz w:val="24"/>
          <w:szCs w:val="24"/>
        </w:rPr>
        <w:t>1.</w:t>
      </w:r>
      <w:r w:rsidRPr="00D64CB9">
        <w:rPr>
          <w:rFonts w:ascii="Tahoma" w:hAnsi="Tahoma" w:cs="Tahoma"/>
          <w:b/>
          <w:sz w:val="24"/>
          <w:szCs w:val="24"/>
        </w:rPr>
        <w:tab/>
      </w:r>
      <w:r w:rsidR="00201943" w:rsidRPr="00D64CB9">
        <w:rPr>
          <w:rFonts w:ascii="Tahoma" w:hAnsi="Tahoma" w:cs="Tahoma"/>
          <w:b/>
          <w:sz w:val="24"/>
          <w:szCs w:val="24"/>
        </w:rPr>
        <w:t>LA DEMANDA Y LA CONTESTACIÓN DE LA DEMANDA</w:t>
      </w:r>
    </w:p>
    <w:p w14:paraId="013F32A4" w14:textId="77777777" w:rsidR="0098303F" w:rsidRPr="00D64CB9" w:rsidRDefault="0098303F" w:rsidP="00D64CB9">
      <w:pPr>
        <w:spacing w:after="0" w:line="276" w:lineRule="auto"/>
        <w:jc w:val="both"/>
        <w:rPr>
          <w:rFonts w:ascii="Tahoma" w:hAnsi="Tahoma" w:cs="Tahoma"/>
          <w:sz w:val="24"/>
          <w:szCs w:val="24"/>
        </w:rPr>
      </w:pPr>
    </w:p>
    <w:p w14:paraId="41BF3F24" w14:textId="761F60FB" w:rsidR="00193953" w:rsidRPr="00D64CB9" w:rsidRDefault="00193953" w:rsidP="00D64CB9">
      <w:pPr>
        <w:spacing w:after="0" w:line="276" w:lineRule="auto"/>
        <w:ind w:firstLine="708"/>
        <w:jc w:val="both"/>
        <w:rPr>
          <w:rFonts w:ascii="Tahoma" w:hAnsi="Tahoma" w:cs="Tahoma"/>
          <w:sz w:val="24"/>
          <w:szCs w:val="24"/>
        </w:rPr>
      </w:pPr>
      <w:r w:rsidRPr="00D64CB9">
        <w:rPr>
          <w:rFonts w:ascii="Tahoma" w:hAnsi="Tahoma" w:cs="Tahoma"/>
          <w:sz w:val="24"/>
          <w:szCs w:val="24"/>
        </w:rPr>
        <w:t xml:space="preserve">Pretende </w:t>
      </w:r>
      <w:r w:rsidR="008A3663" w:rsidRPr="00D64CB9">
        <w:rPr>
          <w:rFonts w:ascii="Tahoma" w:hAnsi="Tahoma" w:cs="Tahoma"/>
          <w:sz w:val="24"/>
          <w:szCs w:val="24"/>
        </w:rPr>
        <w:t>el demandante que se deje sin efectos el dictamen No. 5731 del 25 de mayo de 2018</w:t>
      </w:r>
      <w:r w:rsidR="00597A56" w:rsidRPr="00D64CB9">
        <w:rPr>
          <w:rFonts w:ascii="Tahoma" w:hAnsi="Tahoma" w:cs="Tahoma"/>
          <w:sz w:val="24"/>
          <w:szCs w:val="24"/>
        </w:rPr>
        <w:t xml:space="preserve"> emitido por la Junta Nacional de Calificación de invalidez, y</w:t>
      </w:r>
      <w:r w:rsidR="00A63D22" w:rsidRPr="00D64CB9">
        <w:rPr>
          <w:rFonts w:ascii="Tahoma" w:hAnsi="Tahoma" w:cs="Tahoma"/>
          <w:sz w:val="24"/>
          <w:szCs w:val="24"/>
        </w:rPr>
        <w:t>,</w:t>
      </w:r>
      <w:r w:rsidR="00597A56" w:rsidRPr="00D64CB9">
        <w:rPr>
          <w:rFonts w:ascii="Tahoma" w:hAnsi="Tahoma" w:cs="Tahoma"/>
          <w:sz w:val="24"/>
          <w:szCs w:val="24"/>
        </w:rPr>
        <w:t xml:space="preserve"> en su lugar, se declare válido el emitido por la Junta </w:t>
      </w:r>
      <w:r w:rsidR="00EB1658" w:rsidRPr="00D64CB9">
        <w:rPr>
          <w:rFonts w:ascii="Tahoma" w:hAnsi="Tahoma" w:cs="Tahoma"/>
          <w:sz w:val="24"/>
          <w:szCs w:val="24"/>
        </w:rPr>
        <w:t>Regional</w:t>
      </w:r>
      <w:r w:rsidR="00597A56" w:rsidRPr="00D64CB9">
        <w:rPr>
          <w:rFonts w:ascii="Tahoma" w:hAnsi="Tahoma" w:cs="Tahoma"/>
          <w:sz w:val="24"/>
          <w:szCs w:val="24"/>
        </w:rPr>
        <w:t xml:space="preserve"> de Calificación </w:t>
      </w:r>
      <w:r w:rsidR="00EB1658" w:rsidRPr="00D64CB9">
        <w:rPr>
          <w:rFonts w:ascii="Tahoma" w:hAnsi="Tahoma" w:cs="Tahoma"/>
          <w:sz w:val="24"/>
          <w:szCs w:val="24"/>
        </w:rPr>
        <w:t xml:space="preserve">de Invalidez </w:t>
      </w:r>
      <w:r w:rsidR="00597A56" w:rsidRPr="00D64CB9">
        <w:rPr>
          <w:rFonts w:ascii="Tahoma" w:hAnsi="Tahoma" w:cs="Tahoma"/>
          <w:sz w:val="24"/>
          <w:szCs w:val="24"/>
        </w:rPr>
        <w:t>de Risaralda</w:t>
      </w:r>
      <w:r w:rsidR="00EB1658" w:rsidRPr="00D64CB9">
        <w:rPr>
          <w:rFonts w:ascii="Tahoma" w:hAnsi="Tahoma" w:cs="Tahoma"/>
          <w:sz w:val="24"/>
          <w:szCs w:val="24"/>
        </w:rPr>
        <w:t xml:space="preserve">, el 19 de abril de 2017. Aunado a lo anterior, </w:t>
      </w:r>
      <w:r w:rsidR="00E97B3A" w:rsidRPr="00D64CB9">
        <w:rPr>
          <w:rFonts w:ascii="Tahoma" w:hAnsi="Tahoma" w:cs="Tahoma"/>
          <w:sz w:val="24"/>
          <w:szCs w:val="24"/>
        </w:rPr>
        <w:t>p</w:t>
      </w:r>
      <w:r w:rsidR="00A63D22" w:rsidRPr="00D64CB9">
        <w:rPr>
          <w:rFonts w:ascii="Tahoma" w:hAnsi="Tahoma" w:cs="Tahoma"/>
          <w:sz w:val="24"/>
          <w:szCs w:val="24"/>
        </w:rPr>
        <w:t>ide</w:t>
      </w:r>
      <w:r w:rsidR="00E97B3A" w:rsidRPr="00D64CB9">
        <w:rPr>
          <w:rFonts w:ascii="Tahoma" w:hAnsi="Tahoma" w:cs="Tahoma"/>
          <w:sz w:val="24"/>
          <w:szCs w:val="24"/>
        </w:rPr>
        <w:t xml:space="preserve"> que se declare que tiene derecho al reconocimiento y pago de la pensión de invalidez, desde el 22 de febrero de 2008, y</w:t>
      </w:r>
      <w:r w:rsidR="00B029A1" w:rsidRPr="00D64CB9">
        <w:rPr>
          <w:rFonts w:ascii="Tahoma" w:hAnsi="Tahoma" w:cs="Tahoma"/>
          <w:sz w:val="24"/>
          <w:szCs w:val="24"/>
        </w:rPr>
        <w:t xml:space="preserve">, </w:t>
      </w:r>
      <w:r w:rsidR="00E97B3A" w:rsidRPr="00D64CB9">
        <w:rPr>
          <w:rFonts w:ascii="Tahoma" w:hAnsi="Tahoma" w:cs="Tahoma"/>
          <w:sz w:val="24"/>
          <w:szCs w:val="24"/>
        </w:rPr>
        <w:t>en consecuencia</w:t>
      </w:r>
      <w:r w:rsidR="00B029A1" w:rsidRPr="00D64CB9">
        <w:rPr>
          <w:rFonts w:ascii="Tahoma" w:hAnsi="Tahoma" w:cs="Tahoma"/>
          <w:sz w:val="24"/>
          <w:szCs w:val="24"/>
        </w:rPr>
        <w:t>,</w:t>
      </w:r>
      <w:r w:rsidR="00E97B3A" w:rsidRPr="00D64CB9">
        <w:rPr>
          <w:rFonts w:ascii="Tahoma" w:hAnsi="Tahoma" w:cs="Tahoma"/>
          <w:sz w:val="24"/>
          <w:szCs w:val="24"/>
        </w:rPr>
        <w:t xml:space="preserve"> se conden</w:t>
      </w:r>
      <w:r w:rsidR="2467025D" w:rsidRPr="00D64CB9">
        <w:rPr>
          <w:rFonts w:ascii="Tahoma" w:hAnsi="Tahoma" w:cs="Tahoma"/>
          <w:sz w:val="24"/>
          <w:szCs w:val="24"/>
        </w:rPr>
        <w:t>e</w:t>
      </w:r>
      <w:r w:rsidR="00E97B3A" w:rsidRPr="00D64CB9">
        <w:rPr>
          <w:rFonts w:ascii="Tahoma" w:hAnsi="Tahoma" w:cs="Tahoma"/>
          <w:sz w:val="24"/>
          <w:szCs w:val="24"/>
        </w:rPr>
        <w:t xml:space="preserve"> a La Equidad Seguros de Vida </w:t>
      </w:r>
      <w:r w:rsidR="00C55B17" w:rsidRPr="00D64CB9">
        <w:rPr>
          <w:rFonts w:ascii="Tahoma" w:hAnsi="Tahoma" w:cs="Tahoma"/>
          <w:sz w:val="24"/>
          <w:szCs w:val="24"/>
        </w:rPr>
        <w:t>Organismo Cooperativo, a pagar</w:t>
      </w:r>
      <w:r w:rsidR="00B029A1" w:rsidRPr="00D64CB9">
        <w:rPr>
          <w:rFonts w:ascii="Tahoma" w:hAnsi="Tahoma" w:cs="Tahoma"/>
          <w:sz w:val="24"/>
          <w:szCs w:val="24"/>
        </w:rPr>
        <w:t>le</w:t>
      </w:r>
      <w:r w:rsidR="00C55B17" w:rsidRPr="00D64CB9">
        <w:rPr>
          <w:rFonts w:ascii="Tahoma" w:hAnsi="Tahoma" w:cs="Tahoma"/>
          <w:sz w:val="24"/>
          <w:szCs w:val="24"/>
        </w:rPr>
        <w:t xml:space="preserve"> la pensión de invalidez en cuantía no inferior al salario mínimo mensual legal, a partir del 22 de febrero de 2008, durante el término que permanezca el estado de invalidez</w:t>
      </w:r>
      <w:r w:rsidR="00660639" w:rsidRPr="00D64CB9">
        <w:rPr>
          <w:rFonts w:ascii="Tahoma" w:hAnsi="Tahoma" w:cs="Tahoma"/>
          <w:sz w:val="24"/>
          <w:szCs w:val="24"/>
        </w:rPr>
        <w:t>, junto con la indexación y las costas procesales en su favor.</w:t>
      </w:r>
    </w:p>
    <w:p w14:paraId="70849534" w14:textId="77777777" w:rsidR="000C622E" w:rsidRPr="00D64CB9" w:rsidRDefault="000C622E" w:rsidP="00D64CB9">
      <w:pPr>
        <w:spacing w:after="0" w:line="276" w:lineRule="auto"/>
        <w:ind w:firstLine="708"/>
        <w:jc w:val="both"/>
        <w:rPr>
          <w:rFonts w:ascii="Tahoma" w:hAnsi="Tahoma" w:cs="Tahoma"/>
          <w:sz w:val="24"/>
          <w:szCs w:val="24"/>
        </w:rPr>
      </w:pPr>
    </w:p>
    <w:p w14:paraId="20AB055F" w14:textId="6400D4E5" w:rsidR="003E68BB" w:rsidRPr="00D64CB9" w:rsidRDefault="00CC102B" w:rsidP="00D64CB9">
      <w:pPr>
        <w:spacing w:after="0" w:line="276" w:lineRule="auto"/>
        <w:ind w:firstLine="708"/>
        <w:jc w:val="both"/>
        <w:rPr>
          <w:rFonts w:ascii="Tahoma" w:hAnsi="Tahoma" w:cs="Tahoma"/>
          <w:sz w:val="24"/>
          <w:szCs w:val="24"/>
        </w:rPr>
      </w:pPr>
      <w:r w:rsidRPr="00D64CB9">
        <w:rPr>
          <w:rFonts w:ascii="Tahoma" w:hAnsi="Tahoma" w:cs="Tahoma"/>
          <w:sz w:val="24"/>
          <w:szCs w:val="24"/>
        </w:rPr>
        <w:t xml:space="preserve">En sustento de sus suplicas, relata que sufrió un accidente de trabajo el 22 de febrero de 2008, que le produjo la pérdida total de la visión en su ojo derecho. Narra </w:t>
      </w:r>
      <w:r w:rsidR="003E68BB" w:rsidRPr="00D64CB9">
        <w:rPr>
          <w:rFonts w:ascii="Tahoma" w:hAnsi="Tahoma" w:cs="Tahoma"/>
          <w:sz w:val="24"/>
          <w:szCs w:val="24"/>
        </w:rPr>
        <w:t>que,</w:t>
      </w:r>
      <w:r w:rsidRPr="00D64CB9">
        <w:rPr>
          <w:rFonts w:ascii="Tahoma" w:hAnsi="Tahoma" w:cs="Tahoma"/>
          <w:sz w:val="24"/>
          <w:szCs w:val="24"/>
        </w:rPr>
        <w:t xml:space="preserve"> </w:t>
      </w:r>
      <w:r w:rsidR="00AC63DA" w:rsidRPr="00D64CB9">
        <w:rPr>
          <w:rFonts w:ascii="Tahoma" w:hAnsi="Tahoma" w:cs="Tahoma"/>
          <w:sz w:val="24"/>
          <w:szCs w:val="24"/>
        </w:rPr>
        <w:t xml:space="preserve">a solicitud </w:t>
      </w:r>
      <w:r w:rsidR="00192720" w:rsidRPr="00D64CB9">
        <w:rPr>
          <w:rFonts w:ascii="Tahoma" w:hAnsi="Tahoma" w:cs="Tahoma"/>
          <w:sz w:val="24"/>
          <w:szCs w:val="24"/>
        </w:rPr>
        <w:t>de la Equidad Seguros de Vida</w:t>
      </w:r>
      <w:r w:rsidR="00AC63DA" w:rsidRPr="00D64CB9">
        <w:rPr>
          <w:rFonts w:ascii="Tahoma" w:hAnsi="Tahoma" w:cs="Tahoma"/>
          <w:sz w:val="24"/>
          <w:szCs w:val="24"/>
        </w:rPr>
        <w:t>, fue calificado el 25 de enero de 2009, empero la ponencia se basó en el ojo izquierdo</w:t>
      </w:r>
      <w:r w:rsidR="003E68BB" w:rsidRPr="00D64CB9">
        <w:rPr>
          <w:rFonts w:ascii="Tahoma" w:hAnsi="Tahoma" w:cs="Tahoma"/>
          <w:sz w:val="24"/>
          <w:szCs w:val="24"/>
        </w:rPr>
        <w:t>, en razón de lo cual Seguros de Vida Equidad emitió una nueva ponencia el 11 de agosto de 2016, con base en el decreto 917 de 1999</w:t>
      </w:r>
      <w:r w:rsidR="002A27DD" w:rsidRPr="00D64CB9">
        <w:rPr>
          <w:rFonts w:ascii="Tahoma" w:hAnsi="Tahoma" w:cs="Tahoma"/>
          <w:sz w:val="24"/>
          <w:szCs w:val="24"/>
        </w:rPr>
        <w:t xml:space="preserve">, donde fue calificado con una PCL del 20.2%, estructurada el 22 de febrero de 2008. </w:t>
      </w:r>
    </w:p>
    <w:p w14:paraId="5E12414C" w14:textId="3FB269A8" w:rsidR="730ABC5D" w:rsidRPr="00D64CB9" w:rsidRDefault="730ABC5D" w:rsidP="00D64CB9">
      <w:pPr>
        <w:spacing w:after="0" w:line="276" w:lineRule="auto"/>
        <w:ind w:firstLine="708"/>
        <w:jc w:val="both"/>
        <w:rPr>
          <w:rFonts w:ascii="Tahoma" w:hAnsi="Tahoma" w:cs="Tahoma"/>
          <w:sz w:val="24"/>
          <w:szCs w:val="24"/>
        </w:rPr>
      </w:pPr>
    </w:p>
    <w:p w14:paraId="4C8E6B9B" w14:textId="07DBF708" w:rsidR="002A27DD" w:rsidRPr="00D64CB9" w:rsidRDefault="002A27DD" w:rsidP="00D64CB9">
      <w:pPr>
        <w:spacing w:after="0" w:line="276" w:lineRule="auto"/>
        <w:ind w:firstLine="708"/>
        <w:jc w:val="both"/>
        <w:rPr>
          <w:rFonts w:ascii="Tahoma" w:hAnsi="Tahoma" w:cs="Tahoma"/>
          <w:sz w:val="24"/>
          <w:szCs w:val="24"/>
        </w:rPr>
      </w:pPr>
      <w:r w:rsidRPr="00D64CB9">
        <w:rPr>
          <w:rFonts w:ascii="Tahoma" w:hAnsi="Tahoma" w:cs="Tahoma"/>
          <w:sz w:val="24"/>
          <w:szCs w:val="24"/>
        </w:rPr>
        <w:t xml:space="preserve">El dictamen anterior </w:t>
      </w:r>
      <w:r w:rsidR="00E967EA" w:rsidRPr="00D64CB9">
        <w:rPr>
          <w:rFonts w:ascii="Tahoma" w:hAnsi="Tahoma" w:cs="Tahoma"/>
          <w:sz w:val="24"/>
          <w:szCs w:val="24"/>
        </w:rPr>
        <w:t>fue</w:t>
      </w:r>
      <w:r w:rsidRPr="00D64CB9">
        <w:rPr>
          <w:rFonts w:ascii="Tahoma" w:hAnsi="Tahoma" w:cs="Tahoma"/>
          <w:sz w:val="24"/>
          <w:szCs w:val="24"/>
        </w:rPr>
        <w:t xml:space="preserve"> recurrido y</w:t>
      </w:r>
      <w:r w:rsidR="00A63D22" w:rsidRPr="00D64CB9">
        <w:rPr>
          <w:rFonts w:ascii="Tahoma" w:hAnsi="Tahoma" w:cs="Tahoma"/>
          <w:sz w:val="24"/>
          <w:szCs w:val="24"/>
        </w:rPr>
        <w:t>,</w:t>
      </w:r>
      <w:r w:rsidRPr="00D64CB9">
        <w:rPr>
          <w:rFonts w:ascii="Tahoma" w:hAnsi="Tahoma" w:cs="Tahoma"/>
          <w:sz w:val="24"/>
          <w:szCs w:val="24"/>
        </w:rPr>
        <w:t xml:space="preserve"> en primera instancia, la junta Regional de Calificación de Invalidez, </w:t>
      </w:r>
      <w:r w:rsidR="00E967EA" w:rsidRPr="00D64CB9">
        <w:rPr>
          <w:rFonts w:ascii="Tahoma" w:hAnsi="Tahoma" w:cs="Tahoma"/>
          <w:sz w:val="24"/>
          <w:szCs w:val="24"/>
        </w:rPr>
        <w:t>le determinó una PCL del 59.94%, con base en el Decreto 1507 de 2014</w:t>
      </w:r>
      <w:r w:rsidR="3D8214BF" w:rsidRPr="00D64CB9">
        <w:rPr>
          <w:rFonts w:ascii="Tahoma" w:hAnsi="Tahoma" w:cs="Tahoma"/>
          <w:sz w:val="24"/>
          <w:szCs w:val="24"/>
        </w:rPr>
        <w:t>;</w:t>
      </w:r>
      <w:r w:rsidR="00E967EA" w:rsidRPr="00D64CB9">
        <w:rPr>
          <w:rFonts w:ascii="Tahoma" w:hAnsi="Tahoma" w:cs="Tahoma"/>
          <w:sz w:val="24"/>
          <w:szCs w:val="24"/>
        </w:rPr>
        <w:t xml:space="preserve"> </w:t>
      </w:r>
      <w:r w:rsidR="003725E7" w:rsidRPr="00D64CB9">
        <w:rPr>
          <w:rFonts w:ascii="Tahoma" w:hAnsi="Tahoma" w:cs="Tahoma"/>
          <w:sz w:val="24"/>
          <w:szCs w:val="24"/>
        </w:rPr>
        <w:t xml:space="preserve">finalmente, </w:t>
      </w:r>
      <w:r w:rsidR="009862E1" w:rsidRPr="00D64CB9">
        <w:rPr>
          <w:rFonts w:ascii="Tahoma" w:hAnsi="Tahoma" w:cs="Tahoma"/>
          <w:sz w:val="24"/>
          <w:szCs w:val="24"/>
        </w:rPr>
        <w:t>la Junta Nacional mediante dictamen No. 5731 del 25 de mayo de 2018 disminuyó el porcentaje de pérdida de capacidad laboral a 28.20%.</w:t>
      </w:r>
    </w:p>
    <w:p w14:paraId="45EB9A91" w14:textId="77777777" w:rsidR="00193953" w:rsidRPr="00D64CB9" w:rsidRDefault="00193953" w:rsidP="00D64CB9">
      <w:pPr>
        <w:spacing w:after="0" w:line="276" w:lineRule="auto"/>
        <w:jc w:val="both"/>
        <w:rPr>
          <w:rFonts w:ascii="Tahoma" w:hAnsi="Tahoma" w:cs="Tahoma"/>
          <w:sz w:val="24"/>
          <w:szCs w:val="24"/>
        </w:rPr>
      </w:pPr>
    </w:p>
    <w:p w14:paraId="67464771" w14:textId="0FD93C58" w:rsidR="003725E7" w:rsidRPr="00D64CB9" w:rsidRDefault="00193953" w:rsidP="00D64CB9">
      <w:pPr>
        <w:spacing w:after="0" w:line="276" w:lineRule="auto"/>
        <w:ind w:firstLine="708"/>
        <w:jc w:val="both"/>
        <w:rPr>
          <w:rFonts w:ascii="Tahoma" w:hAnsi="Tahoma" w:cs="Tahoma"/>
          <w:i/>
          <w:iCs/>
          <w:sz w:val="24"/>
          <w:szCs w:val="24"/>
        </w:rPr>
      </w:pPr>
      <w:r w:rsidRPr="00D64CB9">
        <w:rPr>
          <w:rFonts w:ascii="Tahoma" w:hAnsi="Tahoma" w:cs="Tahoma"/>
          <w:sz w:val="24"/>
          <w:szCs w:val="24"/>
        </w:rPr>
        <w:t>Al dar respuesta a la demanda,</w:t>
      </w:r>
      <w:r w:rsidR="005C48D7" w:rsidRPr="00D64CB9">
        <w:rPr>
          <w:rFonts w:ascii="Tahoma" w:hAnsi="Tahoma" w:cs="Tahoma"/>
          <w:sz w:val="24"/>
          <w:szCs w:val="24"/>
        </w:rPr>
        <w:t xml:space="preserve"> </w:t>
      </w:r>
      <w:r w:rsidR="005C48D7" w:rsidRPr="00D64CB9">
        <w:rPr>
          <w:rFonts w:ascii="Tahoma" w:hAnsi="Tahoma" w:cs="Tahoma"/>
          <w:b/>
          <w:bCs/>
          <w:sz w:val="24"/>
          <w:szCs w:val="24"/>
        </w:rPr>
        <w:t>La Equidad Seguros de Vida S.A</w:t>
      </w:r>
      <w:r w:rsidR="00FA2E7A">
        <w:rPr>
          <w:rFonts w:ascii="Tahoma" w:hAnsi="Tahoma" w:cs="Tahoma"/>
          <w:b/>
          <w:bCs/>
          <w:sz w:val="24"/>
          <w:szCs w:val="24"/>
        </w:rPr>
        <w:t>.</w:t>
      </w:r>
      <w:r w:rsidR="005C48D7" w:rsidRPr="00D64CB9">
        <w:rPr>
          <w:rFonts w:ascii="Tahoma" w:hAnsi="Tahoma" w:cs="Tahoma"/>
          <w:b/>
          <w:bCs/>
          <w:sz w:val="24"/>
          <w:szCs w:val="24"/>
        </w:rPr>
        <w:t xml:space="preserve"> </w:t>
      </w:r>
      <w:r w:rsidR="005C48D7" w:rsidRPr="00D64CB9">
        <w:rPr>
          <w:rFonts w:ascii="Tahoma" w:hAnsi="Tahoma" w:cs="Tahoma"/>
          <w:sz w:val="24"/>
          <w:szCs w:val="24"/>
        </w:rPr>
        <w:t xml:space="preserve">aceptó que el demandante sufrió un accidente de trabajo el 22 de febrero de 2008, </w:t>
      </w:r>
      <w:r w:rsidR="00CD0240" w:rsidRPr="00D64CB9">
        <w:rPr>
          <w:rFonts w:ascii="Tahoma" w:hAnsi="Tahoma" w:cs="Tahoma"/>
          <w:sz w:val="24"/>
          <w:szCs w:val="24"/>
        </w:rPr>
        <w:t>momento para el cual se encontraba bajo su co</w:t>
      </w:r>
      <w:r w:rsidR="00BE3EF1" w:rsidRPr="00D64CB9">
        <w:rPr>
          <w:rFonts w:ascii="Tahoma" w:hAnsi="Tahoma" w:cs="Tahoma"/>
          <w:sz w:val="24"/>
          <w:szCs w:val="24"/>
        </w:rPr>
        <w:t>bertura como aseguradora de riesgos laborales.</w:t>
      </w:r>
      <w:r w:rsidR="00774299" w:rsidRPr="00D64CB9">
        <w:rPr>
          <w:rFonts w:ascii="Tahoma" w:hAnsi="Tahoma" w:cs="Tahoma"/>
          <w:sz w:val="24"/>
          <w:szCs w:val="24"/>
        </w:rPr>
        <w:t xml:space="preserve"> En cuanto a las calificaciones, expuso que el demandante fue calificado en dos momentos, en el primero desconoce la razones por las cuales la Junta Regional, </w:t>
      </w:r>
      <w:r w:rsidR="00774299" w:rsidRPr="00D64CB9">
        <w:rPr>
          <w:rFonts w:ascii="Tahoma" w:hAnsi="Tahoma" w:cs="Tahoma"/>
          <w:sz w:val="24"/>
          <w:szCs w:val="24"/>
        </w:rPr>
        <w:lastRenderedPageBreak/>
        <w:t xml:space="preserve">pese a que realizó todos los </w:t>
      </w:r>
      <w:r w:rsidR="002728B3" w:rsidRPr="00D64CB9">
        <w:rPr>
          <w:rFonts w:ascii="Tahoma" w:hAnsi="Tahoma" w:cs="Tahoma"/>
          <w:sz w:val="24"/>
          <w:szCs w:val="24"/>
        </w:rPr>
        <w:t>exámenes</w:t>
      </w:r>
      <w:r w:rsidR="00774299" w:rsidRPr="00D64CB9">
        <w:rPr>
          <w:rFonts w:ascii="Tahoma" w:hAnsi="Tahoma" w:cs="Tahoma"/>
          <w:sz w:val="24"/>
          <w:szCs w:val="24"/>
        </w:rPr>
        <w:t xml:space="preserve"> sobre el ojo derecho, calificó el izquierdo</w:t>
      </w:r>
      <w:r w:rsidR="002728B3" w:rsidRPr="00D64CB9">
        <w:rPr>
          <w:rFonts w:ascii="Tahoma" w:hAnsi="Tahoma" w:cs="Tahoma"/>
          <w:sz w:val="24"/>
          <w:szCs w:val="24"/>
        </w:rPr>
        <w:t xml:space="preserve">; sin embargo, en el segundo trámite de calificación la Junta Nacional de Invalidez determinó una PCL de 28.20%. </w:t>
      </w:r>
      <w:r w:rsidR="005C024E" w:rsidRPr="00D64CB9">
        <w:rPr>
          <w:rFonts w:ascii="Tahoma" w:hAnsi="Tahoma" w:cs="Tahoma"/>
          <w:sz w:val="24"/>
          <w:szCs w:val="24"/>
        </w:rPr>
        <w:t xml:space="preserve">Con base en lo anterior, se opuso a todas y cada una de las pretensiones, y en su defensa como medios </w:t>
      </w:r>
      <w:r w:rsidR="004F153D" w:rsidRPr="00D64CB9">
        <w:rPr>
          <w:rFonts w:ascii="Tahoma" w:hAnsi="Tahoma" w:cs="Tahoma"/>
          <w:sz w:val="24"/>
          <w:szCs w:val="24"/>
        </w:rPr>
        <w:t>exceptivos</w:t>
      </w:r>
      <w:r w:rsidR="005C024E" w:rsidRPr="00D64CB9">
        <w:rPr>
          <w:rFonts w:ascii="Tahoma" w:hAnsi="Tahoma" w:cs="Tahoma"/>
          <w:sz w:val="24"/>
          <w:szCs w:val="24"/>
        </w:rPr>
        <w:t xml:space="preserve"> propuso: </w:t>
      </w:r>
      <w:r w:rsidR="001B6BF0" w:rsidRPr="00D64CB9">
        <w:rPr>
          <w:rFonts w:ascii="Tahoma" w:hAnsi="Tahoma" w:cs="Tahoma"/>
          <w:i/>
          <w:iCs/>
          <w:sz w:val="24"/>
          <w:szCs w:val="24"/>
        </w:rPr>
        <w:t>“inexistencia de la obligación”, “inexistencia de la causal alegada por el demandante- correcta aplicación de la norma</w:t>
      </w:r>
      <w:r w:rsidR="00CC563B" w:rsidRPr="00D64CB9">
        <w:rPr>
          <w:rFonts w:ascii="Tahoma" w:hAnsi="Tahoma" w:cs="Tahoma"/>
          <w:i/>
          <w:iCs/>
          <w:sz w:val="24"/>
          <w:szCs w:val="24"/>
        </w:rPr>
        <w:t>”, “prescripción” y “ecuménica”.</w:t>
      </w:r>
    </w:p>
    <w:p w14:paraId="04C16614" w14:textId="77777777" w:rsidR="00707485" w:rsidRPr="00D64CB9" w:rsidRDefault="00707485" w:rsidP="00D64CB9">
      <w:pPr>
        <w:spacing w:after="0" w:line="276" w:lineRule="auto"/>
        <w:ind w:firstLine="708"/>
        <w:jc w:val="both"/>
        <w:rPr>
          <w:rFonts w:ascii="Tahoma" w:hAnsi="Tahoma" w:cs="Tahoma"/>
          <w:i/>
          <w:iCs/>
          <w:sz w:val="24"/>
          <w:szCs w:val="24"/>
        </w:rPr>
      </w:pPr>
    </w:p>
    <w:p w14:paraId="63645FB3" w14:textId="09FDB450" w:rsidR="00707485" w:rsidRPr="00D64CB9" w:rsidRDefault="00707485" w:rsidP="00D64CB9">
      <w:pPr>
        <w:spacing w:after="0" w:line="276" w:lineRule="auto"/>
        <w:ind w:firstLine="708"/>
        <w:jc w:val="both"/>
        <w:rPr>
          <w:rFonts w:ascii="Tahoma" w:hAnsi="Tahoma" w:cs="Tahoma"/>
          <w:sz w:val="24"/>
          <w:szCs w:val="24"/>
        </w:rPr>
      </w:pPr>
      <w:r w:rsidRPr="00D64CB9">
        <w:rPr>
          <w:rFonts w:ascii="Tahoma" w:hAnsi="Tahoma" w:cs="Tahoma"/>
          <w:sz w:val="24"/>
          <w:szCs w:val="24"/>
        </w:rPr>
        <w:t xml:space="preserve">A su turno, </w:t>
      </w:r>
      <w:r w:rsidRPr="00D64CB9">
        <w:rPr>
          <w:rFonts w:ascii="Tahoma" w:hAnsi="Tahoma" w:cs="Tahoma"/>
          <w:b/>
          <w:bCs/>
          <w:sz w:val="24"/>
          <w:szCs w:val="24"/>
        </w:rPr>
        <w:t xml:space="preserve">la Junta Nacional de Calificación </w:t>
      </w:r>
      <w:r w:rsidR="00423BA5" w:rsidRPr="00D64CB9">
        <w:rPr>
          <w:rFonts w:ascii="Tahoma" w:hAnsi="Tahoma" w:cs="Tahoma"/>
          <w:sz w:val="24"/>
          <w:szCs w:val="24"/>
        </w:rPr>
        <w:t>expone que el dictamen que expidió lo hizo con base en el Decreto 917 de 1999 porque el artículo 5 del Decreto 1507 de 2014,</w:t>
      </w:r>
      <w:r w:rsidR="0065519E" w:rsidRPr="00D64CB9">
        <w:rPr>
          <w:rFonts w:ascii="Tahoma" w:hAnsi="Tahoma" w:cs="Tahoma"/>
          <w:sz w:val="24"/>
          <w:szCs w:val="24"/>
        </w:rPr>
        <w:t xml:space="preserve"> contempla que las recalificaciones, deben hacerse con el mismo manual, que para el caso concreto era el expedido en 1999</w:t>
      </w:r>
      <w:r w:rsidR="00DC3DDB" w:rsidRPr="00D64CB9">
        <w:rPr>
          <w:rFonts w:ascii="Tahoma" w:hAnsi="Tahoma" w:cs="Tahoma"/>
          <w:sz w:val="24"/>
          <w:szCs w:val="24"/>
        </w:rPr>
        <w:t xml:space="preserve">. Manifiesta que la calificación se efectuó con la totalidad de las pruebas </w:t>
      </w:r>
      <w:r w:rsidR="00D10F28" w:rsidRPr="00D64CB9">
        <w:rPr>
          <w:rFonts w:ascii="Tahoma" w:hAnsi="Tahoma" w:cs="Tahoma"/>
          <w:sz w:val="24"/>
          <w:szCs w:val="24"/>
        </w:rPr>
        <w:t>solicitadas, donde se encontró agudeza visual con corrección ojo derecho; no percibe luz y ojo izquierdo 20/30, patologías que en la tabla 13.2 del Decreto 917</w:t>
      </w:r>
      <w:r w:rsidR="006340F4" w:rsidRPr="00D64CB9">
        <w:rPr>
          <w:rFonts w:ascii="Tahoma" w:hAnsi="Tahoma" w:cs="Tahoma"/>
          <w:sz w:val="24"/>
          <w:szCs w:val="24"/>
        </w:rPr>
        <w:t xml:space="preserve"> </w:t>
      </w:r>
      <w:r w:rsidR="00D10F28" w:rsidRPr="00D64CB9">
        <w:rPr>
          <w:rFonts w:ascii="Tahoma" w:hAnsi="Tahoma" w:cs="Tahoma"/>
          <w:sz w:val="24"/>
          <w:szCs w:val="24"/>
        </w:rPr>
        <w:t>de 1999 corresponde a 17% y no 75.68% como erradamente lo calificó la Junta Regional.</w:t>
      </w:r>
      <w:r w:rsidR="00FE7F08" w:rsidRPr="00D64CB9">
        <w:rPr>
          <w:rFonts w:ascii="Tahoma" w:hAnsi="Tahoma" w:cs="Tahoma"/>
          <w:sz w:val="24"/>
          <w:szCs w:val="24"/>
        </w:rPr>
        <w:t xml:space="preserve"> Se atuvo a lo demostrado en el proceso, salvo la excepción de condena en costas y formuló como excepciones de mérito las que denominó: “ilegalidad de la calificación emitida por la Junta Nacional de Calificación de Invalidez”, “</w:t>
      </w:r>
      <w:r w:rsidR="00B13D4F" w:rsidRPr="00D64CB9">
        <w:rPr>
          <w:rFonts w:ascii="Tahoma" w:hAnsi="Tahoma" w:cs="Tahoma"/>
          <w:sz w:val="24"/>
          <w:szCs w:val="24"/>
        </w:rPr>
        <w:t>la variación en la condición clínica del paciente con posterioridad al dictamen de la Junta Nacional exime de responsabilidad a la entidad”, “improcedencia del petitum: inexistencia de prueba idónea para controvertir el dictamen- carga de la prueba a cargo del con</w:t>
      </w:r>
      <w:r w:rsidR="00C8427F" w:rsidRPr="00D64CB9">
        <w:rPr>
          <w:rFonts w:ascii="Tahoma" w:hAnsi="Tahoma" w:cs="Tahoma"/>
          <w:sz w:val="24"/>
          <w:szCs w:val="24"/>
        </w:rPr>
        <w:t>tradictor”, “inexistencia de obligación: improcedencia de las pretensiones respecto a la junta nacional de calificación- competencia del juez laboral”, “buena fe de la parte demandada”, “excepción genérica”.</w:t>
      </w:r>
    </w:p>
    <w:p w14:paraId="6675D0C5" w14:textId="77777777" w:rsidR="00E459E9" w:rsidRPr="00D64CB9" w:rsidRDefault="00E459E9" w:rsidP="00D64CB9">
      <w:pPr>
        <w:spacing w:after="0" w:line="276" w:lineRule="auto"/>
        <w:jc w:val="both"/>
        <w:rPr>
          <w:rFonts w:ascii="Tahoma" w:hAnsi="Tahoma" w:cs="Tahoma"/>
          <w:sz w:val="24"/>
          <w:szCs w:val="24"/>
        </w:rPr>
      </w:pPr>
    </w:p>
    <w:p w14:paraId="79AA5F27" w14:textId="5E515687" w:rsidR="00AB3729" w:rsidRPr="00D64CB9" w:rsidRDefault="00AB3729" w:rsidP="00D64CB9">
      <w:pPr>
        <w:spacing w:after="0" w:line="276" w:lineRule="auto"/>
        <w:jc w:val="center"/>
        <w:rPr>
          <w:rFonts w:ascii="Tahoma" w:hAnsi="Tahoma" w:cs="Tahoma"/>
          <w:b/>
          <w:sz w:val="24"/>
          <w:szCs w:val="24"/>
        </w:rPr>
      </w:pPr>
      <w:r w:rsidRPr="00D64CB9">
        <w:rPr>
          <w:rFonts w:ascii="Tahoma" w:hAnsi="Tahoma" w:cs="Tahoma"/>
          <w:b/>
          <w:sz w:val="24"/>
          <w:szCs w:val="24"/>
        </w:rPr>
        <w:t xml:space="preserve">2. </w:t>
      </w:r>
      <w:r w:rsidR="00E67F2A" w:rsidRPr="00D64CB9">
        <w:rPr>
          <w:rFonts w:ascii="Tahoma" w:hAnsi="Tahoma" w:cs="Tahoma"/>
          <w:b/>
          <w:sz w:val="24"/>
          <w:szCs w:val="24"/>
        </w:rPr>
        <w:t>SENTENCIA DE PRIMERA INSTANCIA</w:t>
      </w:r>
    </w:p>
    <w:p w14:paraId="5B57220A" w14:textId="77777777" w:rsidR="00AB3729" w:rsidRPr="00D64CB9" w:rsidRDefault="00AB3729" w:rsidP="00D64CB9">
      <w:pPr>
        <w:spacing w:after="0" w:line="276" w:lineRule="auto"/>
        <w:jc w:val="both"/>
        <w:rPr>
          <w:rFonts w:ascii="Tahoma" w:hAnsi="Tahoma" w:cs="Tahoma"/>
          <w:sz w:val="24"/>
          <w:szCs w:val="24"/>
        </w:rPr>
      </w:pPr>
    </w:p>
    <w:p w14:paraId="1E4D6F0A" w14:textId="42263399" w:rsidR="008A4EFB" w:rsidRPr="00D64CB9" w:rsidRDefault="00B31B1A" w:rsidP="00D64CB9">
      <w:pPr>
        <w:spacing w:after="0" w:line="276" w:lineRule="auto"/>
        <w:ind w:firstLine="708"/>
        <w:jc w:val="both"/>
        <w:rPr>
          <w:rFonts w:ascii="Tahoma" w:hAnsi="Tahoma" w:cs="Tahoma"/>
          <w:sz w:val="24"/>
          <w:szCs w:val="24"/>
        </w:rPr>
      </w:pPr>
      <w:r w:rsidRPr="00D64CB9">
        <w:rPr>
          <w:rFonts w:ascii="Tahoma" w:hAnsi="Tahoma" w:cs="Tahoma"/>
          <w:sz w:val="24"/>
          <w:szCs w:val="24"/>
        </w:rPr>
        <w:t>La jueza de primera instancia</w:t>
      </w:r>
      <w:r w:rsidR="00B029A1" w:rsidRPr="00D64CB9">
        <w:rPr>
          <w:rFonts w:ascii="Tahoma" w:hAnsi="Tahoma" w:cs="Tahoma"/>
          <w:sz w:val="24"/>
          <w:szCs w:val="24"/>
        </w:rPr>
        <w:t>,</w:t>
      </w:r>
      <w:r w:rsidRPr="00D64CB9">
        <w:rPr>
          <w:rFonts w:ascii="Tahoma" w:hAnsi="Tahoma" w:cs="Tahoma"/>
          <w:sz w:val="24"/>
          <w:szCs w:val="24"/>
        </w:rPr>
        <w:t xml:space="preserve"> previo recuento de la prueba documental obrante en el proceso y de los presupuestos jurisprudenciales </w:t>
      </w:r>
      <w:r w:rsidR="008A4EFB" w:rsidRPr="00D64CB9">
        <w:rPr>
          <w:rFonts w:ascii="Tahoma" w:hAnsi="Tahoma" w:cs="Tahoma"/>
          <w:sz w:val="24"/>
          <w:szCs w:val="24"/>
        </w:rPr>
        <w:t>respecto de la libertad probatoria sobre los calificadores y experticias de pérdida de capacidad laboral</w:t>
      </w:r>
      <w:r w:rsidR="00573A72" w:rsidRPr="00D64CB9">
        <w:rPr>
          <w:rFonts w:ascii="Tahoma" w:hAnsi="Tahoma" w:cs="Tahoma"/>
          <w:sz w:val="24"/>
          <w:szCs w:val="24"/>
        </w:rPr>
        <w:t xml:space="preserve">, </w:t>
      </w:r>
      <w:r w:rsidR="006E3186" w:rsidRPr="00D64CB9">
        <w:rPr>
          <w:rFonts w:ascii="Tahoma" w:hAnsi="Tahoma" w:cs="Tahoma"/>
          <w:sz w:val="24"/>
          <w:szCs w:val="24"/>
        </w:rPr>
        <w:t xml:space="preserve">determinó que el actor para la prosperidad de las pretensiones debía demostrar el error grave en el dictamen </w:t>
      </w:r>
      <w:r w:rsidR="00D03201" w:rsidRPr="00D64CB9">
        <w:rPr>
          <w:rFonts w:ascii="Tahoma" w:hAnsi="Tahoma" w:cs="Tahoma"/>
          <w:sz w:val="24"/>
          <w:szCs w:val="24"/>
        </w:rPr>
        <w:t>objetado</w:t>
      </w:r>
      <w:r w:rsidR="00B029A1" w:rsidRPr="00D64CB9">
        <w:rPr>
          <w:rFonts w:ascii="Tahoma" w:hAnsi="Tahoma" w:cs="Tahoma"/>
          <w:sz w:val="24"/>
          <w:szCs w:val="24"/>
        </w:rPr>
        <w:t>, lo cual no logró en este proceso</w:t>
      </w:r>
      <w:r w:rsidR="00D03201" w:rsidRPr="00D64CB9">
        <w:rPr>
          <w:rFonts w:ascii="Tahoma" w:hAnsi="Tahoma" w:cs="Tahoma"/>
          <w:sz w:val="24"/>
          <w:szCs w:val="24"/>
        </w:rPr>
        <w:t>, pues el dictamen que aportó no era id</w:t>
      </w:r>
      <w:r w:rsidR="00DB120F" w:rsidRPr="00D64CB9">
        <w:rPr>
          <w:rFonts w:ascii="Tahoma" w:hAnsi="Tahoma" w:cs="Tahoma"/>
          <w:sz w:val="24"/>
          <w:szCs w:val="24"/>
        </w:rPr>
        <w:t>óneo, porque no fue emitido por</w:t>
      </w:r>
      <w:r w:rsidR="00573A72" w:rsidRPr="00D64CB9">
        <w:rPr>
          <w:rFonts w:ascii="Tahoma" w:hAnsi="Tahoma" w:cs="Tahoma"/>
          <w:sz w:val="24"/>
          <w:szCs w:val="24"/>
        </w:rPr>
        <w:t xml:space="preserve"> una entidad </w:t>
      </w:r>
      <w:r w:rsidR="00A02E76" w:rsidRPr="00D64CB9">
        <w:rPr>
          <w:rFonts w:ascii="Tahoma" w:hAnsi="Tahoma" w:cs="Tahoma"/>
          <w:sz w:val="24"/>
          <w:szCs w:val="24"/>
        </w:rPr>
        <w:t xml:space="preserve">calificada para el efecto, </w:t>
      </w:r>
      <w:r w:rsidR="00566639" w:rsidRPr="00D64CB9">
        <w:rPr>
          <w:rFonts w:ascii="Tahoma" w:hAnsi="Tahoma" w:cs="Tahoma"/>
          <w:sz w:val="24"/>
          <w:szCs w:val="24"/>
        </w:rPr>
        <w:t xml:space="preserve">ya que según </w:t>
      </w:r>
      <w:r w:rsidR="003C7584" w:rsidRPr="00D64CB9">
        <w:rPr>
          <w:rFonts w:ascii="Tahoma" w:hAnsi="Tahoma" w:cs="Tahoma"/>
          <w:sz w:val="24"/>
          <w:szCs w:val="24"/>
        </w:rPr>
        <w:t xml:space="preserve">providencia de esta Corporación </w:t>
      </w:r>
      <w:r w:rsidR="00DB120F" w:rsidRPr="00D64CB9">
        <w:rPr>
          <w:rFonts w:ascii="Tahoma" w:hAnsi="Tahoma" w:cs="Tahoma"/>
          <w:sz w:val="24"/>
          <w:szCs w:val="24"/>
        </w:rPr>
        <w:t xml:space="preserve">Rad. </w:t>
      </w:r>
      <w:r w:rsidR="003C7584" w:rsidRPr="00D64CB9">
        <w:rPr>
          <w:rFonts w:ascii="Tahoma" w:hAnsi="Tahoma" w:cs="Tahoma"/>
          <w:sz w:val="24"/>
          <w:szCs w:val="24"/>
        </w:rPr>
        <w:t>2008-001382 del 10 de mayo de 2017</w:t>
      </w:r>
      <w:r w:rsidR="00566639" w:rsidRPr="00D64CB9">
        <w:rPr>
          <w:rFonts w:ascii="Tahoma" w:hAnsi="Tahoma" w:cs="Tahoma"/>
          <w:sz w:val="24"/>
          <w:szCs w:val="24"/>
        </w:rPr>
        <w:t xml:space="preserve">, </w:t>
      </w:r>
      <w:r w:rsidR="00F92D5C" w:rsidRPr="00D64CB9">
        <w:rPr>
          <w:rFonts w:ascii="Tahoma" w:hAnsi="Tahoma" w:cs="Tahoma"/>
          <w:sz w:val="24"/>
          <w:szCs w:val="24"/>
        </w:rPr>
        <w:t xml:space="preserve">debía </w:t>
      </w:r>
      <w:r w:rsidR="006E3186" w:rsidRPr="00D64CB9">
        <w:rPr>
          <w:rFonts w:ascii="Tahoma" w:hAnsi="Tahoma" w:cs="Tahoma"/>
          <w:sz w:val="24"/>
          <w:szCs w:val="24"/>
        </w:rPr>
        <w:t>realizarse</w:t>
      </w:r>
      <w:r w:rsidR="00F92D5C" w:rsidRPr="00D64CB9">
        <w:rPr>
          <w:rFonts w:ascii="Tahoma" w:hAnsi="Tahoma" w:cs="Tahoma"/>
          <w:sz w:val="24"/>
          <w:szCs w:val="24"/>
        </w:rPr>
        <w:t xml:space="preserve"> por un auxiliar de la justicia, </w:t>
      </w:r>
      <w:r w:rsidR="00D32FFA" w:rsidRPr="00D64CB9">
        <w:rPr>
          <w:rFonts w:ascii="Tahoma" w:hAnsi="Tahoma" w:cs="Tahoma"/>
          <w:sz w:val="24"/>
          <w:szCs w:val="24"/>
        </w:rPr>
        <w:t xml:space="preserve">universidad u otro organismo o entidad calificada, o en su defecto por una sala diferente a la que emitió el dictamen, debido a que el objeto de la contradicción del dictamen es demostrar los errores en los que incurrió el dictamen atacado, más no </w:t>
      </w:r>
      <w:r w:rsidR="000060AF" w:rsidRPr="00D64CB9">
        <w:rPr>
          <w:rFonts w:ascii="Tahoma" w:hAnsi="Tahoma" w:cs="Tahoma"/>
          <w:sz w:val="24"/>
          <w:szCs w:val="24"/>
        </w:rPr>
        <w:t>reabrir la etapa probatoria.</w:t>
      </w:r>
    </w:p>
    <w:p w14:paraId="7060E2D6" w14:textId="77777777" w:rsidR="000060AF" w:rsidRPr="00D64CB9" w:rsidRDefault="000060AF" w:rsidP="00D64CB9">
      <w:pPr>
        <w:spacing w:after="0" w:line="276" w:lineRule="auto"/>
        <w:ind w:firstLine="708"/>
        <w:jc w:val="both"/>
        <w:rPr>
          <w:rFonts w:ascii="Tahoma" w:hAnsi="Tahoma" w:cs="Tahoma"/>
          <w:sz w:val="24"/>
          <w:szCs w:val="24"/>
        </w:rPr>
      </w:pPr>
    </w:p>
    <w:p w14:paraId="07EB63BD" w14:textId="3429C0D2" w:rsidR="000060AF" w:rsidRPr="00D64CB9" w:rsidRDefault="000060AF" w:rsidP="00D64CB9">
      <w:pPr>
        <w:spacing w:after="0" w:line="276" w:lineRule="auto"/>
        <w:ind w:firstLine="708"/>
        <w:jc w:val="both"/>
        <w:rPr>
          <w:rFonts w:ascii="Tahoma" w:hAnsi="Tahoma" w:cs="Tahoma"/>
          <w:sz w:val="24"/>
          <w:szCs w:val="24"/>
        </w:rPr>
      </w:pPr>
      <w:r w:rsidRPr="00D64CB9">
        <w:rPr>
          <w:rFonts w:ascii="Tahoma" w:hAnsi="Tahoma" w:cs="Tahoma"/>
          <w:sz w:val="24"/>
          <w:szCs w:val="24"/>
        </w:rPr>
        <w:t xml:space="preserve">Explicó que </w:t>
      </w:r>
      <w:r w:rsidR="004A66C9" w:rsidRPr="00D64CB9">
        <w:rPr>
          <w:rFonts w:ascii="Tahoma" w:hAnsi="Tahoma" w:cs="Tahoma"/>
          <w:sz w:val="24"/>
          <w:szCs w:val="24"/>
        </w:rPr>
        <w:t xml:space="preserve">el actor debía ser calificado con el Decreto 917 de 1999, de conformidad con </w:t>
      </w:r>
      <w:r w:rsidRPr="00D64CB9">
        <w:rPr>
          <w:rFonts w:ascii="Tahoma" w:hAnsi="Tahoma" w:cs="Tahoma"/>
          <w:sz w:val="24"/>
          <w:szCs w:val="24"/>
        </w:rPr>
        <w:t xml:space="preserve">el artículo 5 del Decreto 1507 de 2014, </w:t>
      </w:r>
      <w:r w:rsidR="004A66C9" w:rsidRPr="00D64CB9">
        <w:rPr>
          <w:rFonts w:ascii="Tahoma" w:hAnsi="Tahoma" w:cs="Tahoma"/>
          <w:sz w:val="24"/>
          <w:szCs w:val="24"/>
        </w:rPr>
        <w:t>porque el proceso de calificación inició e</w:t>
      </w:r>
      <w:r w:rsidR="00487797" w:rsidRPr="00D64CB9">
        <w:rPr>
          <w:rFonts w:ascii="Tahoma" w:hAnsi="Tahoma" w:cs="Tahoma"/>
          <w:sz w:val="24"/>
          <w:szCs w:val="24"/>
        </w:rPr>
        <w:t>n el 2009, afirm</w:t>
      </w:r>
      <w:r w:rsidR="7F1A0211" w:rsidRPr="00D64CB9">
        <w:rPr>
          <w:rFonts w:ascii="Tahoma" w:hAnsi="Tahoma" w:cs="Tahoma"/>
          <w:sz w:val="24"/>
          <w:szCs w:val="24"/>
        </w:rPr>
        <w:t>ando</w:t>
      </w:r>
      <w:r w:rsidR="00487797" w:rsidRPr="00D64CB9">
        <w:rPr>
          <w:rFonts w:ascii="Tahoma" w:hAnsi="Tahoma" w:cs="Tahoma"/>
          <w:sz w:val="24"/>
          <w:szCs w:val="24"/>
        </w:rPr>
        <w:t xml:space="preserve"> que la deficiencia del actor estuvo bien calificada</w:t>
      </w:r>
      <w:r w:rsidR="006C58B0" w:rsidRPr="00D64CB9">
        <w:rPr>
          <w:rFonts w:ascii="Tahoma" w:hAnsi="Tahoma" w:cs="Tahoma"/>
          <w:sz w:val="24"/>
          <w:szCs w:val="24"/>
        </w:rPr>
        <w:t xml:space="preserve">, pues el porcentaje asignado fue el preceptuado en la tabla 13.2 del </w:t>
      </w:r>
      <w:r w:rsidR="008A3154" w:rsidRPr="00D64CB9">
        <w:rPr>
          <w:rFonts w:ascii="Tahoma" w:hAnsi="Tahoma" w:cs="Tahoma"/>
          <w:sz w:val="24"/>
          <w:szCs w:val="24"/>
        </w:rPr>
        <w:t xml:space="preserve">capítulo 9 del </w:t>
      </w:r>
      <w:r w:rsidR="006C58B0" w:rsidRPr="00D64CB9">
        <w:rPr>
          <w:rFonts w:ascii="Tahoma" w:hAnsi="Tahoma" w:cs="Tahoma"/>
          <w:sz w:val="24"/>
          <w:szCs w:val="24"/>
        </w:rPr>
        <w:t>decreto primigenio</w:t>
      </w:r>
      <w:r w:rsidR="00153B6B" w:rsidRPr="00D64CB9">
        <w:rPr>
          <w:rFonts w:ascii="Tahoma" w:hAnsi="Tahoma" w:cs="Tahoma"/>
          <w:sz w:val="24"/>
          <w:szCs w:val="24"/>
        </w:rPr>
        <w:t>.</w:t>
      </w:r>
    </w:p>
    <w:p w14:paraId="737D60DE" w14:textId="77777777" w:rsidR="00153B6B" w:rsidRPr="00D64CB9" w:rsidRDefault="00153B6B" w:rsidP="00D64CB9">
      <w:pPr>
        <w:spacing w:after="0" w:line="276" w:lineRule="auto"/>
        <w:ind w:firstLine="708"/>
        <w:jc w:val="both"/>
        <w:rPr>
          <w:rFonts w:ascii="Tahoma" w:hAnsi="Tahoma" w:cs="Tahoma"/>
          <w:sz w:val="24"/>
          <w:szCs w:val="24"/>
        </w:rPr>
      </w:pPr>
    </w:p>
    <w:p w14:paraId="34174B88" w14:textId="27A26F3E" w:rsidR="00153B6B" w:rsidRPr="00D64CB9" w:rsidRDefault="00153B6B" w:rsidP="00D64CB9">
      <w:pPr>
        <w:spacing w:after="0" w:line="276" w:lineRule="auto"/>
        <w:ind w:firstLine="708"/>
        <w:jc w:val="both"/>
        <w:rPr>
          <w:rFonts w:ascii="Tahoma" w:hAnsi="Tahoma" w:cs="Tahoma"/>
          <w:sz w:val="24"/>
          <w:szCs w:val="24"/>
        </w:rPr>
      </w:pPr>
      <w:r w:rsidRPr="00D64CB9">
        <w:rPr>
          <w:rFonts w:ascii="Tahoma" w:hAnsi="Tahoma" w:cs="Tahoma"/>
          <w:sz w:val="24"/>
          <w:szCs w:val="24"/>
        </w:rPr>
        <w:lastRenderedPageBreak/>
        <w:t xml:space="preserve">Añadió </w:t>
      </w:r>
      <w:r w:rsidR="006419A6" w:rsidRPr="00D64CB9">
        <w:rPr>
          <w:rFonts w:ascii="Tahoma" w:hAnsi="Tahoma" w:cs="Tahoma"/>
          <w:sz w:val="24"/>
          <w:szCs w:val="24"/>
        </w:rPr>
        <w:t>que,</w:t>
      </w:r>
      <w:r w:rsidR="00A32A89" w:rsidRPr="00D64CB9">
        <w:rPr>
          <w:rFonts w:ascii="Tahoma" w:hAnsi="Tahoma" w:cs="Tahoma"/>
          <w:sz w:val="24"/>
          <w:szCs w:val="24"/>
        </w:rPr>
        <w:t xml:space="preserve"> de aceptarse los argumentos del demandante, la patología no era invalidante, pues según dictamen de la Junta Nacional emitido el</w:t>
      </w:r>
      <w:r w:rsidR="008A7663" w:rsidRPr="00D64CB9">
        <w:rPr>
          <w:rFonts w:ascii="Tahoma" w:hAnsi="Tahoma" w:cs="Tahoma"/>
          <w:sz w:val="24"/>
          <w:szCs w:val="24"/>
        </w:rPr>
        <w:t xml:space="preserve"> 24 de julio de 2022</w:t>
      </w:r>
      <w:r w:rsidR="006419A6" w:rsidRPr="00D64CB9">
        <w:rPr>
          <w:rFonts w:ascii="Tahoma" w:hAnsi="Tahoma" w:cs="Tahoma"/>
          <w:sz w:val="24"/>
          <w:szCs w:val="24"/>
        </w:rPr>
        <w:t xml:space="preserve"> con el Decreto 1507 de 2014</w:t>
      </w:r>
      <w:r w:rsidR="00A32A89" w:rsidRPr="00D64CB9">
        <w:rPr>
          <w:rFonts w:ascii="Tahoma" w:hAnsi="Tahoma" w:cs="Tahoma"/>
          <w:sz w:val="24"/>
          <w:szCs w:val="24"/>
        </w:rPr>
        <w:t xml:space="preserve"> el actor solo tenía 31.</w:t>
      </w:r>
      <w:r w:rsidR="008A7663" w:rsidRPr="00D64CB9">
        <w:rPr>
          <w:rFonts w:ascii="Tahoma" w:hAnsi="Tahoma" w:cs="Tahoma"/>
          <w:sz w:val="24"/>
          <w:szCs w:val="24"/>
        </w:rPr>
        <w:t>90</w:t>
      </w:r>
      <w:r w:rsidR="00A32A89" w:rsidRPr="00D64CB9">
        <w:rPr>
          <w:rFonts w:ascii="Tahoma" w:hAnsi="Tahoma" w:cs="Tahoma"/>
          <w:sz w:val="24"/>
          <w:szCs w:val="24"/>
        </w:rPr>
        <w:t xml:space="preserve"> % </w:t>
      </w:r>
      <w:r w:rsidR="007970A4" w:rsidRPr="00D64CB9">
        <w:rPr>
          <w:rFonts w:ascii="Tahoma" w:hAnsi="Tahoma" w:cs="Tahoma"/>
          <w:sz w:val="24"/>
          <w:szCs w:val="24"/>
        </w:rPr>
        <w:t xml:space="preserve">de PCL. </w:t>
      </w:r>
    </w:p>
    <w:p w14:paraId="292F05F4" w14:textId="77777777" w:rsidR="007970A4" w:rsidRPr="00D64CB9" w:rsidRDefault="007970A4" w:rsidP="00D64CB9">
      <w:pPr>
        <w:spacing w:after="0" w:line="276" w:lineRule="auto"/>
        <w:ind w:firstLine="708"/>
        <w:jc w:val="both"/>
        <w:rPr>
          <w:rFonts w:ascii="Tahoma" w:hAnsi="Tahoma" w:cs="Tahoma"/>
          <w:sz w:val="24"/>
          <w:szCs w:val="24"/>
        </w:rPr>
      </w:pPr>
    </w:p>
    <w:p w14:paraId="1548DEF3" w14:textId="08346BF7" w:rsidR="007970A4" w:rsidRPr="00D64CB9" w:rsidRDefault="007970A4" w:rsidP="00D64CB9">
      <w:pPr>
        <w:spacing w:after="0" w:line="276" w:lineRule="auto"/>
        <w:ind w:firstLine="708"/>
        <w:jc w:val="both"/>
        <w:rPr>
          <w:rFonts w:ascii="Tahoma" w:hAnsi="Tahoma" w:cs="Tahoma"/>
          <w:sz w:val="24"/>
          <w:szCs w:val="24"/>
        </w:rPr>
      </w:pPr>
      <w:r w:rsidRPr="00D64CB9">
        <w:rPr>
          <w:rFonts w:ascii="Tahoma" w:hAnsi="Tahoma" w:cs="Tahoma"/>
          <w:sz w:val="24"/>
          <w:szCs w:val="24"/>
        </w:rPr>
        <w:t>En consecuencia, declaró probada la excepción de mérito denominada inexistencia de la obligación</w:t>
      </w:r>
      <w:r w:rsidR="00985AEF" w:rsidRPr="00D64CB9">
        <w:rPr>
          <w:rFonts w:ascii="Tahoma" w:hAnsi="Tahoma" w:cs="Tahoma"/>
          <w:sz w:val="24"/>
          <w:szCs w:val="24"/>
        </w:rPr>
        <w:t xml:space="preserve">, negó las pretensiones de la demanda y condenó al demandante en un 100% de las costas procesales </w:t>
      </w:r>
    </w:p>
    <w:p w14:paraId="386F9734" w14:textId="77777777" w:rsidR="00AB3729" w:rsidRPr="00D64CB9" w:rsidRDefault="00AB3729" w:rsidP="00D64CB9">
      <w:pPr>
        <w:spacing w:after="0" w:line="276" w:lineRule="auto"/>
        <w:jc w:val="both"/>
        <w:rPr>
          <w:rFonts w:ascii="Tahoma" w:hAnsi="Tahoma" w:cs="Tahoma"/>
          <w:sz w:val="24"/>
          <w:szCs w:val="24"/>
        </w:rPr>
      </w:pPr>
    </w:p>
    <w:p w14:paraId="3D7E5F2A" w14:textId="1D493004" w:rsidR="00AB3729" w:rsidRPr="00D64CB9" w:rsidRDefault="00AB3729" w:rsidP="00D64CB9">
      <w:pPr>
        <w:spacing w:after="0" w:line="276" w:lineRule="auto"/>
        <w:jc w:val="center"/>
        <w:rPr>
          <w:rFonts w:ascii="Tahoma" w:hAnsi="Tahoma" w:cs="Tahoma"/>
          <w:b/>
          <w:sz w:val="24"/>
          <w:szCs w:val="24"/>
        </w:rPr>
      </w:pPr>
      <w:r w:rsidRPr="00D64CB9">
        <w:rPr>
          <w:rFonts w:ascii="Tahoma" w:hAnsi="Tahoma" w:cs="Tahoma"/>
          <w:b/>
          <w:sz w:val="24"/>
          <w:szCs w:val="24"/>
        </w:rPr>
        <w:t xml:space="preserve">3. </w:t>
      </w:r>
      <w:r w:rsidR="000501E8" w:rsidRPr="00D64CB9">
        <w:rPr>
          <w:rFonts w:ascii="Tahoma" w:hAnsi="Tahoma" w:cs="Tahoma"/>
          <w:b/>
          <w:sz w:val="24"/>
          <w:szCs w:val="24"/>
        </w:rPr>
        <w:t>RECURSO DE APELACIÓN</w:t>
      </w:r>
    </w:p>
    <w:p w14:paraId="1A237174" w14:textId="77777777" w:rsidR="00AB3729" w:rsidRPr="00D64CB9" w:rsidRDefault="00AB3729" w:rsidP="00D64CB9">
      <w:pPr>
        <w:spacing w:after="0" w:line="276" w:lineRule="auto"/>
        <w:jc w:val="center"/>
        <w:rPr>
          <w:rFonts w:ascii="Tahoma" w:hAnsi="Tahoma" w:cs="Tahoma"/>
          <w:b/>
          <w:sz w:val="24"/>
          <w:szCs w:val="24"/>
        </w:rPr>
      </w:pPr>
    </w:p>
    <w:p w14:paraId="3B58304F" w14:textId="08787573" w:rsidR="00FE70C5" w:rsidRPr="00D64CB9" w:rsidRDefault="008A7663" w:rsidP="00D64CB9">
      <w:pPr>
        <w:spacing w:after="0" w:line="276" w:lineRule="auto"/>
        <w:ind w:firstLine="708"/>
        <w:jc w:val="both"/>
        <w:rPr>
          <w:rFonts w:ascii="Tahoma" w:hAnsi="Tahoma" w:cs="Tahoma"/>
          <w:sz w:val="24"/>
          <w:szCs w:val="24"/>
        </w:rPr>
      </w:pPr>
      <w:r w:rsidRPr="00D64CB9">
        <w:rPr>
          <w:rFonts w:ascii="Tahoma" w:hAnsi="Tahoma" w:cs="Tahoma"/>
          <w:sz w:val="24"/>
          <w:szCs w:val="24"/>
        </w:rPr>
        <w:t>E</w:t>
      </w:r>
      <w:r w:rsidR="00E964CB" w:rsidRPr="00D64CB9">
        <w:rPr>
          <w:rFonts w:ascii="Tahoma" w:hAnsi="Tahoma" w:cs="Tahoma"/>
          <w:sz w:val="24"/>
          <w:szCs w:val="24"/>
        </w:rPr>
        <w:t>l demandante interpuso recurso de apelación</w:t>
      </w:r>
      <w:r w:rsidR="003057A4" w:rsidRPr="00D64CB9">
        <w:rPr>
          <w:rFonts w:ascii="Tahoma" w:hAnsi="Tahoma" w:cs="Tahoma"/>
          <w:sz w:val="24"/>
          <w:szCs w:val="24"/>
        </w:rPr>
        <w:t>, argumentando que el dictamen emanado de la Junta Nacional de Calificación de Invalidez,</w:t>
      </w:r>
      <w:r w:rsidR="00B029A1" w:rsidRPr="00D64CB9">
        <w:rPr>
          <w:rFonts w:ascii="Tahoma" w:hAnsi="Tahoma" w:cs="Tahoma"/>
          <w:sz w:val="24"/>
          <w:szCs w:val="24"/>
        </w:rPr>
        <w:t xml:space="preserve"> que se tuvo</w:t>
      </w:r>
      <w:r w:rsidR="003057A4" w:rsidRPr="00D64CB9">
        <w:rPr>
          <w:rFonts w:ascii="Tahoma" w:hAnsi="Tahoma" w:cs="Tahoma"/>
          <w:sz w:val="24"/>
          <w:szCs w:val="24"/>
        </w:rPr>
        <w:t xml:space="preserve"> en cuenta por la jueza, </w:t>
      </w:r>
      <w:r w:rsidR="00264949" w:rsidRPr="00D64CB9">
        <w:rPr>
          <w:rFonts w:ascii="Tahoma" w:hAnsi="Tahoma" w:cs="Tahoma"/>
          <w:sz w:val="24"/>
          <w:szCs w:val="24"/>
        </w:rPr>
        <w:t xml:space="preserve">fue emitido con un decreto derogado, </w:t>
      </w:r>
      <w:r w:rsidR="009F2CC3" w:rsidRPr="00D64CB9">
        <w:rPr>
          <w:rFonts w:ascii="Tahoma" w:hAnsi="Tahoma" w:cs="Tahoma"/>
          <w:sz w:val="24"/>
          <w:szCs w:val="24"/>
        </w:rPr>
        <w:t>afirma</w:t>
      </w:r>
      <w:r w:rsidR="05809876" w:rsidRPr="00D64CB9">
        <w:rPr>
          <w:rFonts w:ascii="Tahoma" w:hAnsi="Tahoma" w:cs="Tahoma"/>
          <w:sz w:val="24"/>
          <w:szCs w:val="24"/>
        </w:rPr>
        <w:t>ndo</w:t>
      </w:r>
      <w:r w:rsidR="009F2CC3" w:rsidRPr="00D64CB9">
        <w:rPr>
          <w:rFonts w:ascii="Tahoma" w:hAnsi="Tahoma" w:cs="Tahoma"/>
          <w:sz w:val="24"/>
          <w:szCs w:val="24"/>
        </w:rPr>
        <w:t xml:space="preserve"> que la calificación realizada en el 2017 fue una nueva calificación y no una </w:t>
      </w:r>
      <w:r w:rsidR="007438FD" w:rsidRPr="00D64CB9">
        <w:rPr>
          <w:rFonts w:ascii="Tahoma" w:hAnsi="Tahoma" w:cs="Tahoma"/>
          <w:sz w:val="24"/>
          <w:szCs w:val="24"/>
        </w:rPr>
        <w:t>recalificación</w:t>
      </w:r>
      <w:r w:rsidR="009F2CC3" w:rsidRPr="00D64CB9">
        <w:rPr>
          <w:rFonts w:ascii="Tahoma" w:hAnsi="Tahoma" w:cs="Tahoma"/>
          <w:sz w:val="24"/>
          <w:szCs w:val="24"/>
        </w:rPr>
        <w:t xml:space="preserve"> del proceso adelantado en el 2009,</w:t>
      </w:r>
      <w:r w:rsidR="0027397B" w:rsidRPr="00D64CB9">
        <w:rPr>
          <w:rFonts w:ascii="Tahoma" w:hAnsi="Tahoma" w:cs="Tahoma"/>
          <w:sz w:val="24"/>
          <w:szCs w:val="24"/>
        </w:rPr>
        <w:t xml:space="preserve"> narrando que</w:t>
      </w:r>
      <w:r w:rsidR="003B688E" w:rsidRPr="00D64CB9">
        <w:rPr>
          <w:rFonts w:ascii="Tahoma" w:hAnsi="Tahoma" w:cs="Tahoma"/>
          <w:sz w:val="24"/>
          <w:szCs w:val="24"/>
        </w:rPr>
        <w:t>,</w:t>
      </w:r>
      <w:r w:rsidR="0027397B" w:rsidRPr="00D64CB9">
        <w:rPr>
          <w:rFonts w:ascii="Tahoma" w:hAnsi="Tahoma" w:cs="Tahoma"/>
          <w:sz w:val="24"/>
          <w:szCs w:val="24"/>
        </w:rPr>
        <w:t xml:space="preserve"> si se hubiera tratado de una simple corrección</w:t>
      </w:r>
      <w:r w:rsidR="00AC3F1B" w:rsidRPr="00D64CB9">
        <w:rPr>
          <w:rFonts w:ascii="Tahoma" w:hAnsi="Tahoma" w:cs="Tahoma"/>
          <w:sz w:val="24"/>
          <w:szCs w:val="24"/>
        </w:rPr>
        <w:t xml:space="preserve">, hubiera sido calificado por la misma </w:t>
      </w:r>
      <w:r w:rsidR="00A11CE4" w:rsidRPr="00D64CB9">
        <w:rPr>
          <w:rFonts w:ascii="Tahoma" w:hAnsi="Tahoma" w:cs="Tahoma"/>
          <w:sz w:val="24"/>
          <w:szCs w:val="24"/>
        </w:rPr>
        <w:t>J</w:t>
      </w:r>
      <w:r w:rsidR="00AC3F1B" w:rsidRPr="00D64CB9">
        <w:rPr>
          <w:rFonts w:ascii="Tahoma" w:hAnsi="Tahoma" w:cs="Tahoma"/>
          <w:sz w:val="24"/>
          <w:szCs w:val="24"/>
        </w:rPr>
        <w:t xml:space="preserve">unta, </w:t>
      </w:r>
      <w:r w:rsidR="00A11CE4" w:rsidRPr="00D64CB9">
        <w:rPr>
          <w:rFonts w:ascii="Tahoma" w:hAnsi="Tahoma" w:cs="Tahoma"/>
          <w:sz w:val="24"/>
          <w:szCs w:val="24"/>
        </w:rPr>
        <w:t xml:space="preserve">y no por la Aseguradora de Riesgos Profesionales. </w:t>
      </w:r>
    </w:p>
    <w:p w14:paraId="0B62B923" w14:textId="77777777" w:rsidR="008A7663" w:rsidRPr="00D64CB9" w:rsidRDefault="008A7663" w:rsidP="00D64CB9">
      <w:pPr>
        <w:spacing w:after="0" w:line="276" w:lineRule="auto"/>
        <w:ind w:firstLine="708"/>
        <w:jc w:val="both"/>
        <w:rPr>
          <w:rFonts w:ascii="Tahoma" w:hAnsi="Tahoma" w:cs="Tahoma"/>
          <w:sz w:val="24"/>
          <w:szCs w:val="24"/>
        </w:rPr>
      </w:pPr>
    </w:p>
    <w:p w14:paraId="7FE1E6A8" w14:textId="270B0255" w:rsidR="00A11CE4" w:rsidRPr="00D64CB9" w:rsidRDefault="00A11CE4" w:rsidP="00D64CB9">
      <w:pPr>
        <w:spacing w:after="0" w:line="276" w:lineRule="auto"/>
        <w:ind w:firstLine="708"/>
        <w:jc w:val="both"/>
        <w:rPr>
          <w:rFonts w:ascii="Tahoma" w:hAnsi="Tahoma" w:cs="Tahoma"/>
          <w:sz w:val="24"/>
          <w:szCs w:val="24"/>
        </w:rPr>
      </w:pPr>
      <w:r w:rsidRPr="00D64CB9">
        <w:rPr>
          <w:rFonts w:ascii="Tahoma" w:hAnsi="Tahoma" w:cs="Tahoma"/>
          <w:sz w:val="24"/>
          <w:szCs w:val="24"/>
        </w:rPr>
        <w:t xml:space="preserve">Arguye que existieron yerros en el dictamen emitido por la Junta </w:t>
      </w:r>
      <w:r w:rsidR="00A0733F" w:rsidRPr="00D64CB9">
        <w:rPr>
          <w:rFonts w:ascii="Tahoma" w:hAnsi="Tahoma" w:cs="Tahoma"/>
          <w:sz w:val="24"/>
          <w:szCs w:val="24"/>
        </w:rPr>
        <w:t xml:space="preserve">Nacional, porque el mismo organismo </w:t>
      </w:r>
      <w:r w:rsidR="00D755E0" w:rsidRPr="00D64CB9">
        <w:rPr>
          <w:rFonts w:ascii="Tahoma" w:hAnsi="Tahoma" w:cs="Tahoma"/>
          <w:sz w:val="24"/>
          <w:szCs w:val="24"/>
        </w:rPr>
        <w:t>apeló al Decreto 917 de 1999 para emitir el dictamen argumentando que se trataba de una revisión o recalificación</w:t>
      </w:r>
      <w:r w:rsidR="006340F4" w:rsidRPr="00D64CB9">
        <w:rPr>
          <w:rFonts w:ascii="Tahoma" w:hAnsi="Tahoma" w:cs="Tahoma"/>
          <w:sz w:val="24"/>
          <w:szCs w:val="24"/>
        </w:rPr>
        <w:t>, y por tanto no se debía proferir con el Decreto 1507 de 2014</w:t>
      </w:r>
      <w:r w:rsidR="3DBEE743" w:rsidRPr="00D64CB9">
        <w:rPr>
          <w:rFonts w:ascii="Tahoma" w:hAnsi="Tahoma" w:cs="Tahoma"/>
          <w:sz w:val="24"/>
          <w:szCs w:val="24"/>
        </w:rPr>
        <w:t xml:space="preserve">; </w:t>
      </w:r>
      <w:r w:rsidR="0010093B" w:rsidRPr="00D64CB9">
        <w:rPr>
          <w:rFonts w:ascii="Tahoma" w:hAnsi="Tahoma" w:cs="Tahoma"/>
          <w:sz w:val="24"/>
          <w:szCs w:val="24"/>
        </w:rPr>
        <w:t>por lo anterior, s</w:t>
      </w:r>
      <w:r w:rsidR="00377C69" w:rsidRPr="00D64CB9">
        <w:rPr>
          <w:rFonts w:ascii="Tahoma" w:hAnsi="Tahoma" w:cs="Tahoma"/>
          <w:sz w:val="24"/>
          <w:szCs w:val="24"/>
        </w:rPr>
        <w:t xml:space="preserve">olicita que se le de valor probatorio al dictamen emitido por la Junta </w:t>
      </w:r>
      <w:r w:rsidR="004E61A5" w:rsidRPr="00D64CB9">
        <w:rPr>
          <w:rFonts w:ascii="Tahoma" w:hAnsi="Tahoma" w:cs="Tahoma"/>
          <w:sz w:val="24"/>
          <w:szCs w:val="24"/>
        </w:rPr>
        <w:t>Regional</w:t>
      </w:r>
      <w:r w:rsidR="0010093B" w:rsidRPr="00D64CB9">
        <w:rPr>
          <w:rFonts w:ascii="Tahoma" w:hAnsi="Tahoma" w:cs="Tahoma"/>
          <w:sz w:val="24"/>
          <w:szCs w:val="24"/>
        </w:rPr>
        <w:t>.</w:t>
      </w:r>
    </w:p>
    <w:p w14:paraId="6182D0C0" w14:textId="77777777" w:rsidR="00E459E9" w:rsidRPr="00D64CB9" w:rsidRDefault="00E459E9" w:rsidP="00D64CB9">
      <w:pPr>
        <w:spacing w:after="0" w:line="276" w:lineRule="auto"/>
        <w:jc w:val="both"/>
        <w:rPr>
          <w:rFonts w:ascii="Tahoma" w:hAnsi="Tahoma" w:cs="Tahoma"/>
          <w:sz w:val="24"/>
          <w:szCs w:val="24"/>
        </w:rPr>
      </w:pPr>
    </w:p>
    <w:p w14:paraId="33B201EA" w14:textId="121D630E" w:rsidR="007436EA" w:rsidRPr="00D64CB9" w:rsidRDefault="00082FCB" w:rsidP="00D64CB9">
      <w:pPr>
        <w:pStyle w:val="Prrafodelista"/>
        <w:widowControl w:val="0"/>
        <w:numPr>
          <w:ilvl w:val="0"/>
          <w:numId w:val="2"/>
        </w:numPr>
        <w:autoSpaceDE w:val="0"/>
        <w:autoSpaceDN w:val="0"/>
        <w:spacing w:line="276" w:lineRule="auto"/>
        <w:jc w:val="center"/>
        <w:rPr>
          <w:rFonts w:eastAsiaTheme="minorEastAsia" w:cs="Tahoma"/>
          <w:b/>
          <w:bCs/>
          <w:szCs w:val="24"/>
          <w:lang w:val="es-ES"/>
        </w:rPr>
      </w:pPr>
      <w:r w:rsidRPr="00D64CB9">
        <w:rPr>
          <w:rFonts w:eastAsia="Tahoma" w:cs="Tahoma"/>
          <w:b/>
          <w:bCs/>
          <w:szCs w:val="24"/>
          <w:lang w:val="es"/>
        </w:rPr>
        <w:t>ALEGATOS DE CONCLUSIÓN</w:t>
      </w:r>
    </w:p>
    <w:p w14:paraId="3AD7F8FE" w14:textId="77777777" w:rsidR="00B029A1" w:rsidRPr="00D64CB9" w:rsidRDefault="00B029A1" w:rsidP="00D64CB9">
      <w:pPr>
        <w:spacing w:after="0" w:line="276" w:lineRule="auto"/>
        <w:ind w:firstLine="708"/>
        <w:contextualSpacing/>
        <w:rPr>
          <w:rFonts w:ascii="Tahoma" w:eastAsia="Tahoma" w:hAnsi="Tahoma" w:cs="Tahoma"/>
          <w:sz w:val="24"/>
          <w:szCs w:val="24"/>
        </w:rPr>
      </w:pPr>
    </w:p>
    <w:p w14:paraId="591B73BF" w14:textId="22B8976F" w:rsidR="007436EA" w:rsidRPr="00D64CB9" w:rsidRDefault="00082FCB" w:rsidP="00D64CB9">
      <w:pPr>
        <w:spacing w:after="0" w:line="276" w:lineRule="auto"/>
        <w:ind w:firstLine="708"/>
        <w:jc w:val="both"/>
        <w:rPr>
          <w:rFonts w:ascii="Tahoma" w:eastAsia="Tahoma" w:hAnsi="Tahoma" w:cs="Tahoma"/>
          <w:sz w:val="24"/>
          <w:szCs w:val="24"/>
        </w:rPr>
      </w:pPr>
      <w:r w:rsidRPr="00D64CB9">
        <w:rPr>
          <w:rFonts w:ascii="Tahoma" w:eastAsia="Tahoma" w:hAnsi="Tahoma" w:cs="Tahoma"/>
          <w:sz w:val="24"/>
          <w:szCs w:val="24"/>
        </w:rPr>
        <w:t>Conforme se dejó plasmado en la constancia de Secretaría, las partes dejaron transcurrir en silencio el plazo otorgado para presentar alegatos de conclusión.  </w:t>
      </w:r>
    </w:p>
    <w:p w14:paraId="321D6ED6" w14:textId="28C12637" w:rsidR="730ABC5D" w:rsidRPr="00D64CB9" w:rsidRDefault="730ABC5D" w:rsidP="00D64CB9">
      <w:pPr>
        <w:spacing w:after="0" w:line="276" w:lineRule="auto"/>
        <w:jc w:val="both"/>
        <w:rPr>
          <w:rFonts w:ascii="Tahoma" w:hAnsi="Tahoma" w:cs="Tahoma"/>
          <w:b/>
          <w:bCs/>
          <w:sz w:val="24"/>
          <w:szCs w:val="24"/>
        </w:rPr>
      </w:pPr>
    </w:p>
    <w:p w14:paraId="04D1E52E" w14:textId="3FD0FE79" w:rsidR="007436EA" w:rsidRPr="00D64CB9" w:rsidRDefault="008B056E" w:rsidP="00D64CB9">
      <w:pPr>
        <w:pStyle w:val="Prrafodelista"/>
        <w:widowControl w:val="0"/>
        <w:numPr>
          <w:ilvl w:val="0"/>
          <w:numId w:val="2"/>
        </w:numPr>
        <w:autoSpaceDE w:val="0"/>
        <w:autoSpaceDN w:val="0"/>
        <w:spacing w:line="276" w:lineRule="auto"/>
        <w:jc w:val="center"/>
        <w:rPr>
          <w:rFonts w:eastAsiaTheme="minorEastAsia" w:cs="Tahoma"/>
          <w:b/>
          <w:bCs/>
          <w:szCs w:val="24"/>
          <w:lang w:val="es-ES"/>
        </w:rPr>
      </w:pPr>
      <w:r w:rsidRPr="00D64CB9">
        <w:rPr>
          <w:rFonts w:eastAsia="Tahoma" w:cs="Tahoma"/>
          <w:b/>
          <w:bCs/>
          <w:szCs w:val="24"/>
          <w:lang w:val="es"/>
        </w:rPr>
        <w:t>PROBLEMAS JURÍDICOS POR RESOLVER</w:t>
      </w:r>
    </w:p>
    <w:p w14:paraId="545C6EA0" w14:textId="790CC71D" w:rsidR="00E96555" w:rsidRPr="00D64CB9" w:rsidRDefault="00E96555" w:rsidP="00D64CB9">
      <w:pPr>
        <w:pStyle w:val="Prrafodelista"/>
        <w:widowControl w:val="0"/>
        <w:autoSpaceDE w:val="0"/>
        <w:autoSpaceDN w:val="0"/>
        <w:spacing w:line="276" w:lineRule="auto"/>
        <w:ind w:left="0"/>
        <w:rPr>
          <w:rFonts w:eastAsiaTheme="minorEastAsia" w:cs="Tahoma"/>
          <w:szCs w:val="24"/>
          <w:lang w:val="es-ES"/>
        </w:rPr>
      </w:pPr>
    </w:p>
    <w:p w14:paraId="2B00D2AE" w14:textId="4B4DD0EB" w:rsidR="00A74E7B" w:rsidRPr="00D64CB9" w:rsidRDefault="00E96555" w:rsidP="00D64CB9">
      <w:pPr>
        <w:pStyle w:val="Prrafodelista"/>
        <w:widowControl w:val="0"/>
        <w:autoSpaceDE w:val="0"/>
        <w:autoSpaceDN w:val="0"/>
        <w:spacing w:line="276" w:lineRule="auto"/>
        <w:ind w:left="0"/>
        <w:rPr>
          <w:rFonts w:eastAsiaTheme="minorEastAsia" w:cs="Tahoma"/>
          <w:szCs w:val="24"/>
          <w:lang w:val="es-ES"/>
        </w:rPr>
      </w:pPr>
      <w:r w:rsidRPr="00D64CB9">
        <w:rPr>
          <w:rFonts w:eastAsiaTheme="minorEastAsia" w:cs="Tahoma"/>
          <w:szCs w:val="24"/>
          <w:lang w:val="es-ES"/>
        </w:rPr>
        <w:t>Por el esquema del recurso de apelación impetrado por la parte actora,</w:t>
      </w:r>
      <w:r w:rsidR="00A74E7B" w:rsidRPr="00D64CB9">
        <w:rPr>
          <w:rFonts w:eastAsiaTheme="minorEastAsia" w:cs="Tahoma"/>
          <w:szCs w:val="24"/>
          <w:lang w:val="es-ES"/>
        </w:rPr>
        <w:t xml:space="preserve"> resulta necesario que la Sala, en sede apelación, resuelva</w:t>
      </w:r>
      <w:r w:rsidRPr="00D64CB9">
        <w:rPr>
          <w:rFonts w:eastAsiaTheme="minorEastAsia" w:cs="Tahoma"/>
          <w:szCs w:val="24"/>
          <w:lang w:val="es-ES"/>
        </w:rPr>
        <w:t xml:space="preserve"> los siguientes interrogantes: </w:t>
      </w:r>
    </w:p>
    <w:p w14:paraId="4B606748" w14:textId="77777777" w:rsidR="00A74E7B" w:rsidRPr="00D64CB9" w:rsidRDefault="00A74E7B" w:rsidP="00D64CB9">
      <w:pPr>
        <w:pStyle w:val="Prrafodelista"/>
        <w:widowControl w:val="0"/>
        <w:autoSpaceDE w:val="0"/>
        <w:autoSpaceDN w:val="0"/>
        <w:spacing w:line="276" w:lineRule="auto"/>
        <w:ind w:left="0"/>
        <w:rPr>
          <w:rFonts w:eastAsiaTheme="minorEastAsia" w:cs="Tahoma"/>
          <w:szCs w:val="24"/>
          <w:lang w:val="es-ES"/>
        </w:rPr>
      </w:pPr>
    </w:p>
    <w:p w14:paraId="6EFCFEF3" w14:textId="79D3169E" w:rsidR="007436EA" w:rsidRPr="00D64CB9" w:rsidRDefault="00E96555" w:rsidP="00D64CB9">
      <w:pPr>
        <w:pStyle w:val="Prrafodelista"/>
        <w:widowControl w:val="0"/>
        <w:numPr>
          <w:ilvl w:val="0"/>
          <w:numId w:val="12"/>
        </w:numPr>
        <w:autoSpaceDE w:val="0"/>
        <w:autoSpaceDN w:val="0"/>
        <w:spacing w:line="276" w:lineRule="auto"/>
        <w:rPr>
          <w:rFonts w:eastAsiaTheme="minorEastAsia" w:cs="Tahoma"/>
          <w:szCs w:val="24"/>
          <w:lang w:val="es-ES"/>
        </w:rPr>
      </w:pPr>
      <w:r w:rsidRPr="00D64CB9">
        <w:rPr>
          <w:rFonts w:eastAsiaTheme="minorEastAsia" w:cs="Tahoma"/>
          <w:szCs w:val="24"/>
          <w:lang w:val="es-ES"/>
        </w:rPr>
        <w:t>¿</w:t>
      </w:r>
      <w:r w:rsidR="00A74E7B" w:rsidRPr="00D64CB9">
        <w:rPr>
          <w:rFonts w:eastAsiaTheme="minorEastAsia" w:cs="Tahoma"/>
          <w:szCs w:val="24"/>
          <w:lang w:val="es-ES"/>
        </w:rPr>
        <w:t>L</w:t>
      </w:r>
      <w:r w:rsidRPr="00D64CB9">
        <w:rPr>
          <w:rFonts w:eastAsiaTheme="minorEastAsia" w:cs="Tahoma"/>
          <w:szCs w:val="24"/>
          <w:lang w:val="es-ES"/>
        </w:rPr>
        <w:t xml:space="preserve">a calificación de invalidez efectuada al demandante por la JNC el 25 de mayo de 2018, </w:t>
      </w:r>
      <w:r w:rsidR="00E536BA" w:rsidRPr="00D64CB9">
        <w:rPr>
          <w:rFonts w:eastAsiaTheme="minorEastAsia" w:cs="Tahoma"/>
          <w:szCs w:val="24"/>
          <w:lang w:val="es-ES"/>
        </w:rPr>
        <w:t xml:space="preserve">debe tomarse como </w:t>
      </w:r>
      <w:r w:rsidRPr="00D64CB9">
        <w:rPr>
          <w:rFonts w:eastAsiaTheme="minorEastAsia" w:cs="Tahoma"/>
          <w:szCs w:val="24"/>
          <w:lang w:val="es-ES"/>
        </w:rPr>
        <w:t xml:space="preserve">una nueva calificación </w:t>
      </w:r>
      <w:r w:rsidR="00E536BA" w:rsidRPr="00D64CB9">
        <w:rPr>
          <w:rFonts w:eastAsiaTheme="minorEastAsia" w:cs="Tahoma"/>
          <w:szCs w:val="24"/>
          <w:lang w:val="es-ES"/>
        </w:rPr>
        <w:t>o corresponde a un recalificación</w:t>
      </w:r>
      <w:r w:rsidR="00A74E7B" w:rsidRPr="00D64CB9">
        <w:rPr>
          <w:rFonts w:eastAsiaTheme="minorEastAsia" w:cs="Tahoma"/>
          <w:szCs w:val="24"/>
          <w:lang w:val="es-ES"/>
        </w:rPr>
        <w:t xml:space="preserve"> o revisión de la calificación en los términos de los artículos 5 del Decreto 1507 de 2014 y 55 del Decreto 1352 de 2013?</w:t>
      </w:r>
    </w:p>
    <w:p w14:paraId="7C79B60B" w14:textId="110EEB60" w:rsidR="00E96555" w:rsidRPr="00D64CB9" w:rsidRDefault="00E96555" w:rsidP="00D64CB9">
      <w:pPr>
        <w:pStyle w:val="Prrafodelista"/>
        <w:widowControl w:val="0"/>
        <w:autoSpaceDE w:val="0"/>
        <w:autoSpaceDN w:val="0"/>
        <w:spacing w:line="276" w:lineRule="auto"/>
        <w:ind w:left="0"/>
        <w:rPr>
          <w:rFonts w:eastAsia="Calibri" w:cs="Tahoma"/>
          <w:szCs w:val="24"/>
          <w:lang w:val="es-ES" w:eastAsia="es-CO"/>
        </w:rPr>
      </w:pPr>
    </w:p>
    <w:p w14:paraId="046871C2" w14:textId="25588CED" w:rsidR="00A74E7B" w:rsidRPr="00D64CB9" w:rsidRDefault="00A74E7B" w:rsidP="00D64CB9">
      <w:pPr>
        <w:pStyle w:val="Prrafodelista"/>
        <w:widowControl w:val="0"/>
        <w:numPr>
          <w:ilvl w:val="0"/>
          <w:numId w:val="12"/>
        </w:numPr>
        <w:autoSpaceDE w:val="0"/>
        <w:autoSpaceDN w:val="0"/>
        <w:spacing w:line="276" w:lineRule="auto"/>
        <w:rPr>
          <w:rFonts w:eastAsia="Calibri" w:cs="Tahoma"/>
          <w:szCs w:val="24"/>
          <w:lang w:eastAsia="es-CO"/>
        </w:rPr>
      </w:pPr>
      <w:r w:rsidRPr="00D64CB9">
        <w:rPr>
          <w:rFonts w:eastAsia="Calibri" w:cs="Tahoma"/>
          <w:szCs w:val="24"/>
          <w:lang w:eastAsia="es-CO"/>
        </w:rPr>
        <w:t>En caso de que sea una recalificación o revisión ¿cuál es el manual o tabla de calificación vigente en el momento de la calificación o dictamen que le otorgó el derecho al demandante?</w:t>
      </w:r>
    </w:p>
    <w:p w14:paraId="4DAF322A" w14:textId="77777777" w:rsidR="00A74E7B" w:rsidRPr="00D64CB9" w:rsidRDefault="00A74E7B" w:rsidP="00D64CB9">
      <w:pPr>
        <w:pStyle w:val="Prrafodelista"/>
        <w:spacing w:line="276" w:lineRule="auto"/>
        <w:rPr>
          <w:rFonts w:eastAsia="Calibri" w:cs="Tahoma"/>
          <w:szCs w:val="24"/>
          <w:lang w:eastAsia="es-CO"/>
        </w:rPr>
      </w:pPr>
    </w:p>
    <w:p w14:paraId="51232E2C" w14:textId="6FD893BD" w:rsidR="00A74E7B" w:rsidRPr="00D64CB9" w:rsidRDefault="00A74E7B" w:rsidP="00D64CB9">
      <w:pPr>
        <w:pStyle w:val="Prrafodelista"/>
        <w:widowControl w:val="0"/>
        <w:numPr>
          <w:ilvl w:val="0"/>
          <w:numId w:val="12"/>
        </w:numPr>
        <w:autoSpaceDE w:val="0"/>
        <w:autoSpaceDN w:val="0"/>
        <w:spacing w:line="276" w:lineRule="auto"/>
        <w:rPr>
          <w:rFonts w:eastAsia="Calibri" w:cs="Tahoma"/>
          <w:szCs w:val="24"/>
          <w:lang w:eastAsia="es-CO"/>
        </w:rPr>
      </w:pPr>
      <w:r w:rsidRPr="00D64CB9">
        <w:rPr>
          <w:rFonts w:eastAsia="Calibri" w:cs="Tahoma"/>
          <w:szCs w:val="24"/>
          <w:lang w:eastAsia="es-CO"/>
        </w:rPr>
        <w:t>¿Acreditó el demandante algún error grave en el dictamen emitido por la JNC el 25 de mayo de 2018 que amerite la variación del porcentaje de PCL en su caso?</w:t>
      </w:r>
    </w:p>
    <w:p w14:paraId="4016BFD7" w14:textId="77777777" w:rsidR="00CC1E64" w:rsidRPr="00D64CB9" w:rsidRDefault="00CC1E64" w:rsidP="00D64CB9">
      <w:pPr>
        <w:widowControl w:val="0"/>
        <w:autoSpaceDE w:val="0"/>
        <w:autoSpaceDN w:val="0"/>
        <w:adjustRightInd w:val="0"/>
        <w:spacing w:after="0" w:line="276" w:lineRule="auto"/>
        <w:rPr>
          <w:rFonts w:ascii="Tahoma" w:eastAsia="Calibri" w:hAnsi="Tahoma" w:cs="Tahoma"/>
          <w:sz w:val="24"/>
          <w:szCs w:val="24"/>
          <w:lang w:eastAsia="es-CO"/>
        </w:rPr>
      </w:pPr>
    </w:p>
    <w:p w14:paraId="088F5F1C" w14:textId="49B8B0CB" w:rsidR="007436EA" w:rsidRPr="00D64CB9" w:rsidRDefault="00CC1E64" w:rsidP="00D64CB9">
      <w:pPr>
        <w:widowControl w:val="0"/>
        <w:numPr>
          <w:ilvl w:val="0"/>
          <w:numId w:val="3"/>
        </w:numPr>
        <w:autoSpaceDE w:val="0"/>
        <w:autoSpaceDN w:val="0"/>
        <w:adjustRightInd w:val="0"/>
        <w:spacing w:after="0" w:line="276" w:lineRule="auto"/>
        <w:ind w:left="0"/>
        <w:jc w:val="center"/>
        <w:rPr>
          <w:rFonts w:ascii="Tahoma" w:eastAsia="Calibri" w:hAnsi="Tahoma" w:cs="Tahoma"/>
          <w:b/>
          <w:bCs/>
          <w:sz w:val="24"/>
          <w:szCs w:val="24"/>
          <w:lang w:eastAsia="es-CO"/>
        </w:rPr>
      </w:pPr>
      <w:r w:rsidRPr="00D64CB9">
        <w:rPr>
          <w:rFonts w:ascii="Tahoma" w:eastAsia="Calibri" w:hAnsi="Tahoma" w:cs="Tahoma"/>
          <w:b/>
          <w:bCs/>
          <w:sz w:val="24"/>
          <w:szCs w:val="24"/>
          <w:lang w:eastAsia="es-CO"/>
        </w:rPr>
        <w:t>CONSIDERACIONES</w:t>
      </w:r>
    </w:p>
    <w:p w14:paraId="0DC5DFC5" w14:textId="59A4108A" w:rsidR="007436EA" w:rsidRPr="00D64CB9" w:rsidRDefault="007436EA" w:rsidP="00D64CB9">
      <w:pPr>
        <w:widowControl w:val="0"/>
        <w:autoSpaceDE w:val="0"/>
        <w:autoSpaceDN w:val="0"/>
        <w:adjustRightInd w:val="0"/>
        <w:spacing w:after="0" w:line="276" w:lineRule="auto"/>
        <w:rPr>
          <w:rFonts w:ascii="Tahoma" w:eastAsia="Calibri" w:hAnsi="Tahoma" w:cs="Tahoma"/>
          <w:b/>
          <w:bCs/>
          <w:sz w:val="24"/>
          <w:szCs w:val="24"/>
          <w:lang w:eastAsia="es-CO"/>
        </w:rPr>
      </w:pPr>
    </w:p>
    <w:p w14:paraId="6B73EEFB" w14:textId="4E5669A9" w:rsidR="00741F6E" w:rsidRPr="00D64CB9" w:rsidRDefault="00741F6E" w:rsidP="00D64CB9">
      <w:pPr>
        <w:pStyle w:val="Prrafodelista"/>
        <w:widowControl w:val="0"/>
        <w:numPr>
          <w:ilvl w:val="1"/>
          <w:numId w:val="3"/>
        </w:numPr>
        <w:autoSpaceDE w:val="0"/>
        <w:autoSpaceDN w:val="0"/>
        <w:adjustRightInd w:val="0"/>
        <w:spacing w:line="276" w:lineRule="auto"/>
        <w:ind w:left="0" w:firstLine="567"/>
        <w:rPr>
          <w:rFonts w:eastAsia="Calibri" w:cs="Tahoma"/>
          <w:b/>
          <w:bCs/>
          <w:szCs w:val="24"/>
          <w:lang w:eastAsia="es-CO"/>
        </w:rPr>
      </w:pPr>
      <w:r w:rsidRPr="00D64CB9">
        <w:rPr>
          <w:rFonts w:eastAsia="Calibri" w:cs="Tahoma"/>
          <w:b/>
          <w:bCs/>
          <w:szCs w:val="24"/>
          <w:lang w:eastAsia="es-CO"/>
        </w:rPr>
        <w:t xml:space="preserve">Manual o tabla de calificación aplicable en caso de revisión de la calificación </w:t>
      </w:r>
      <w:r w:rsidR="009C28E9" w:rsidRPr="00D64CB9">
        <w:rPr>
          <w:rFonts w:eastAsia="Calibri" w:cs="Tahoma"/>
          <w:b/>
          <w:bCs/>
          <w:szCs w:val="24"/>
          <w:lang w:eastAsia="es-CO"/>
        </w:rPr>
        <w:t>de Incapacidad Permanente Parcial o de la Calificación de Invalidez</w:t>
      </w:r>
    </w:p>
    <w:p w14:paraId="64206557" w14:textId="77777777" w:rsidR="009C28E9" w:rsidRPr="00D64CB9" w:rsidRDefault="009C28E9" w:rsidP="00D64CB9">
      <w:pPr>
        <w:pStyle w:val="Prrafodelista"/>
        <w:widowControl w:val="0"/>
        <w:autoSpaceDE w:val="0"/>
        <w:autoSpaceDN w:val="0"/>
        <w:adjustRightInd w:val="0"/>
        <w:spacing w:line="276" w:lineRule="auto"/>
        <w:ind w:left="0"/>
        <w:rPr>
          <w:rFonts w:eastAsia="Calibri" w:cs="Tahoma"/>
          <w:b/>
          <w:bCs/>
          <w:szCs w:val="24"/>
          <w:lang w:eastAsia="es-CO"/>
        </w:rPr>
      </w:pPr>
    </w:p>
    <w:p w14:paraId="7B9C1FB9" w14:textId="6109A90D" w:rsidR="00A74E7B" w:rsidRPr="00D64CB9" w:rsidRDefault="00741F6E" w:rsidP="00D64CB9">
      <w:pPr>
        <w:widowControl w:val="0"/>
        <w:autoSpaceDE w:val="0"/>
        <w:autoSpaceDN w:val="0"/>
        <w:adjustRightInd w:val="0"/>
        <w:spacing w:after="0" w:line="276" w:lineRule="auto"/>
        <w:jc w:val="both"/>
        <w:rPr>
          <w:rFonts w:ascii="Tahoma" w:eastAsia="Calibri" w:hAnsi="Tahoma" w:cs="Tahoma"/>
          <w:bCs/>
          <w:sz w:val="24"/>
          <w:szCs w:val="24"/>
          <w:lang w:eastAsia="es-CO"/>
        </w:rPr>
      </w:pPr>
      <w:r w:rsidRPr="00D64CB9">
        <w:rPr>
          <w:rFonts w:ascii="Tahoma" w:eastAsia="Calibri" w:hAnsi="Tahoma" w:cs="Tahoma"/>
          <w:bCs/>
          <w:sz w:val="24"/>
          <w:szCs w:val="24"/>
          <w:lang w:eastAsia="es-CO"/>
        </w:rPr>
        <w:t>Al respecto</w:t>
      </w:r>
      <w:bookmarkStart w:id="2" w:name="_Hlk142132182"/>
      <w:r w:rsidRPr="00D64CB9">
        <w:rPr>
          <w:rFonts w:ascii="Tahoma" w:eastAsia="Calibri" w:hAnsi="Tahoma" w:cs="Tahoma"/>
          <w:bCs/>
          <w:sz w:val="24"/>
          <w:szCs w:val="24"/>
          <w:lang w:eastAsia="es-CO"/>
        </w:rPr>
        <w:t>, s</w:t>
      </w:r>
      <w:r w:rsidR="00A74E7B" w:rsidRPr="00D64CB9">
        <w:rPr>
          <w:rFonts w:ascii="Tahoma" w:eastAsia="Calibri" w:hAnsi="Tahoma" w:cs="Tahoma"/>
          <w:bCs/>
          <w:sz w:val="24"/>
          <w:szCs w:val="24"/>
          <w:lang w:eastAsia="es-CO"/>
        </w:rPr>
        <w:t>eñala el artículo 55 del Decreto 1352 de 2013</w:t>
      </w:r>
      <w:bookmarkEnd w:id="2"/>
      <w:r w:rsidR="00A74E7B" w:rsidRPr="00D64CB9">
        <w:rPr>
          <w:rFonts w:ascii="Tahoma" w:eastAsia="Calibri" w:hAnsi="Tahoma" w:cs="Tahoma"/>
          <w:bCs/>
          <w:sz w:val="24"/>
          <w:szCs w:val="24"/>
          <w:lang w:eastAsia="es-CO"/>
        </w:rPr>
        <w:t>,</w:t>
      </w:r>
      <w:r w:rsidRPr="00D64CB9">
        <w:rPr>
          <w:rFonts w:ascii="Tahoma" w:eastAsia="Calibri" w:hAnsi="Tahoma" w:cs="Tahoma"/>
          <w:bCs/>
          <w:sz w:val="24"/>
          <w:szCs w:val="24"/>
          <w:lang w:eastAsia="es-CO"/>
        </w:rPr>
        <w:t xml:space="preserve"> compilado en el artículo 2.2.5.1.53 del Decreto Único Reglamentario 1072 de 2015,</w:t>
      </w:r>
      <w:r w:rsidR="00A74E7B" w:rsidRPr="00D64CB9">
        <w:rPr>
          <w:rFonts w:ascii="Tahoma" w:eastAsia="Calibri" w:hAnsi="Tahoma" w:cs="Tahoma"/>
          <w:bCs/>
          <w:sz w:val="24"/>
          <w:szCs w:val="24"/>
          <w:lang w:eastAsia="es-CO"/>
        </w:rPr>
        <w:t xml:space="preserve"> lo siguiente:</w:t>
      </w:r>
    </w:p>
    <w:p w14:paraId="757E4CBB" w14:textId="116FEBE0" w:rsidR="00A74E7B" w:rsidRPr="00D64CB9" w:rsidRDefault="00A74E7B" w:rsidP="00D64CB9">
      <w:pPr>
        <w:widowControl w:val="0"/>
        <w:autoSpaceDE w:val="0"/>
        <w:autoSpaceDN w:val="0"/>
        <w:adjustRightInd w:val="0"/>
        <w:spacing w:after="0" w:line="276" w:lineRule="auto"/>
        <w:rPr>
          <w:rFonts w:ascii="Tahoma" w:eastAsia="Calibri" w:hAnsi="Tahoma" w:cs="Tahoma"/>
          <w:b/>
          <w:bCs/>
          <w:sz w:val="24"/>
          <w:szCs w:val="24"/>
          <w:lang w:eastAsia="es-CO"/>
        </w:rPr>
      </w:pPr>
    </w:p>
    <w:p w14:paraId="6C08A6D9" w14:textId="27C86E26" w:rsidR="00741F6E" w:rsidRPr="005D7F1E" w:rsidRDefault="00741F6E" w:rsidP="005D7F1E">
      <w:pPr>
        <w:widowControl w:val="0"/>
        <w:autoSpaceDE w:val="0"/>
        <w:autoSpaceDN w:val="0"/>
        <w:adjustRightInd w:val="0"/>
        <w:spacing w:after="0" w:line="240" w:lineRule="auto"/>
        <w:ind w:left="426" w:right="420"/>
        <w:jc w:val="both"/>
        <w:rPr>
          <w:rFonts w:ascii="Tahoma" w:eastAsia="Calibri" w:hAnsi="Tahoma" w:cs="Tahoma"/>
          <w:bCs/>
          <w:i/>
          <w:szCs w:val="24"/>
          <w:lang w:eastAsia="es-CO"/>
        </w:rPr>
      </w:pPr>
      <w:r w:rsidRPr="005D7F1E">
        <w:rPr>
          <w:rFonts w:ascii="Tahoma" w:eastAsia="Calibri" w:hAnsi="Tahoma" w:cs="Tahoma"/>
          <w:b/>
          <w:bCs/>
          <w:i/>
          <w:szCs w:val="24"/>
          <w:lang w:eastAsia="es-CO"/>
        </w:rPr>
        <w:t>Artículo 55 REVISIÓN DE LA CALIFICACIÓN DE INCAPACIDAD PARCIAL PERMANENTE PARCIAL O DE LA CALIFICACIÓN DE INVALIDEZ:</w:t>
      </w:r>
      <w:r w:rsidRPr="005D7F1E">
        <w:rPr>
          <w:rFonts w:ascii="Tahoma" w:eastAsia="Calibri" w:hAnsi="Tahoma" w:cs="Tahoma"/>
          <w:bCs/>
          <w:i/>
          <w:szCs w:val="24"/>
          <w:lang w:eastAsia="es-CO"/>
        </w:rPr>
        <w:t xml:space="preserve"> “La revisión de la calificación de incapacidad permanente parcial o de la invalidez requiere de la existencia de una calificación o dictamen previo que se encuentre en firme, copia del cual debe reposar en el expediente.</w:t>
      </w:r>
    </w:p>
    <w:p w14:paraId="22F5C061" w14:textId="77777777" w:rsidR="00741F6E" w:rsidRPr="005D7F1E" w:rsidRDefault="00741F6E" w:rsidP="005D7F1E">
      <w:pPr>
        <w:widowControl w:val="0"/>
        <w:autoSpaceDE w:val="0"/>
        <w:autoSpaceDN w:val="0"/>
        <w:adjustRightInd w:val="0"/>
        <w:spacing w:after="0" w:line="240" w:lineRule="auto"/>
        <w:ind w:left="426" w:right="420"/>
        <w:jc w:val="both"/>
        <w:rPr>
          <w:rFonts w:ascii="Tahoma" w:eastAsia="Calibri" w:hAnsi="Tahoma" w:cs="Tahoma"/>
          <w:bCs/>
          <w:i/>
          <w:szCs w:val="24"/>
          <w:lang w:eastAsia="es-CO"/>
        </w:rPr>
      </w:pPr>
    </w:p>
    <w:p w14:paraId="48E2124B" w14:textId="77777777" w:rsidR="00741F6E" w:rsidRPr="005D7F1E" w:rsidRDefault="00741F6E" w:rsidP="005D7F1E">
      <w:pPr>
        <w:widowControl w:val="0"/>
        <w:autoSpaceDE w:val="0"/>
        <w:autoSpaceDN w:val="0"/>
        <w:adjustRightInd w:val="0"/>
        <w:spacing w:after="0" w:line="240" w:lineRule="auto"/>
        <w:ind w:left="426" w:right="420"/>
        <w:jc w:val="both"/>
        <w:rPr>
          <w:rFonts w:ascii="Tahoma" w:eastAsia="Calibri" w:hAnsi="Tahoma" w:cs="Tahoma"/>
          <w:bCs/>
          <w:i/>
          <w:szCs w:val="24"/>
          <w:u w:val="single"/>
          <w:lang w:eastAsia="es-CO"/>
        </w:rPr>
      </w:pPr>
      <w:r w:rsidRPr="005D7F1E">
        <w:rPr>
          <w:rFonts w:ascii="Tahoma" w:eastAsia="Calibri" w:hAnsi="Tahoma" w:cs="Tahoma"/>
          <w:bCs/>
          <w:i/>
          <w:szCs w:val="24"/>
          <w:lang w:eastAsia="es-CO"/>
        </w:rPr>
        <w:t xml:space="preserve">La Junta de Calificación de Invalidez en el proceso de revisión de la calificación de la pérdida de capacidad laboral, solo puede evaluar el grado porcentual de pérdida de capacidad laboral sin que le sea posible pronunciarse sobre el origen o fecha de estructuración salvo las excepciones del presente artículo. </w:t>
      </w:r>
      <w:r w:rsidRPr="005D7F1E">
        <w:rPr>
          <w:rFonts w:ascii="Tahoma" w:eastAsia="Calibri" w:hAnsi="Tahoma" w:cs="Tahoma"/>
          <w:bCs/>
          <w:i/>
          <w:szCs w:val="24"/>
          <w:u w:val="single"/>
          <w:lang w:eastAsia="es-CO"/>
        </w:rPr>
        <w:t>Para tal efecto, se tendrá en cuenta el manual o la tabla de calificación vigente en el momento de la calificación o dictamen que le otorgó el derecho.</w:t>
      </w:r>
    </w:p>
    <w:p w14:paraId="23E4A4E9" w14:textId="77777777" w:rsidR="00741F6E" w:rsidRPr="005D7F1E" w:rsidRDefault="00741F6E" w:rsidP="005D7F1E">
      <w:pPr>
        <w:widowControl w:val="0"/>
        <w:autoSpaceDE w:val="0"/>
        <w:autoSpaceDN w:val="0"/>
        <w:adjustRightInd w:val="0"/>
        <w:spacing w:after="0" w:line="240" w:lineRule="auto"/>
        <w:ind w:left="426" w:right="420"/>
        <w:jc w:val="both"/>
        <w:rPr>
          <w:rFonts w:ascii="Tahoma" w:eastAsia="Calibri" w:hAnsi="Tahoma" w:cs="Tahoma"/>
          <w:bCs/>
          <w:i/>
          <w:szCs w:val="24"/>
          <w:lang w:eastAsia="es-CO"/>
        </w:rPr>
      </w:pPr>
    </w:p>
    <w:p w14:paraId="15973412" w14:textId="77777777" w:rsidR="00741F6E" w:rsidRPr="005D7F1E" w:rsidRDefault="00741F6E" w:rsidP="005D7F1E">
      <w:pPr>
        <w:widowControl w:val="0"/>
        <w:autoSpaceDE w:val="0"/>
        <w:autoSpaceDN w:val="0"/>
        <w:adjustRightInd w:val="0"/>
        <w:spacing w:after="0" w:line="240" w:lineRule="auto"/>
        <w:ind w:left="426" w:right="420"/>
        <w:jc w:val="both"/>
        <w:rPr>
          <w:rFonts w:ascii="Tahoma" w:eastAsia="Calibri" w:hAnsi="Tahoma" w:cs="Tahoma"/>
          <w:bCs/>
          <w:i/>
          <w:szCs w:val="24"/>
          <w:lang w:eastAsia="es-CO"/>
        </w:rPr>
      </w:pPr>
      <w:r w:rsidRPr="005D7F1E">
        <w:rPr>
          <w:rFonts w:ascii="Tahoma" w:eastAsia="Calibri" w:hAnsi="Tahoma" w:cs="Tahoma"/>
          <w:bCs/>
          <w:i/>
          <w:szCs w:val="24"/>
          <w:lang w:eastAsia="es-CO"/>
        </w:rPr>
        <w:t>En el Sistema General de Riesgos Laborales la revisión de la pérdida de incapacidad permanente parcial por parte de las Juntas será procedente cuando el porcentaje sea inferior al 50% de pérdida de capacidad laboral a solicitud de la Administradora de Riesgos Laborales, los trabajadores o personas interesadas, mínimo al año siguiente de la calificación y siguiendo los procedimientos y términos de tiempo establecidos en el presente decreto, la persona objeto de revisión o persona interesada podrá llegar directamente a la junta solo si pasados 30 días hábiles de la solicitud de revisión de la calificación en primera oportunidad esta no ha sido emitida.</w:t>
      </w:r>
    </w:p>
    <w:p w14:paraId="64B55D92" w14:textId="77777777" w:rsidR="00741F6E" w:rsidRPr="005D7F1E" w:rsidRDefault="00741F6E" w:rsidP="005D7F1E">
      <w:pPr>
        <w:widowControl w:val="0"/>
        <w:autoSpaceDE w:val="0"/>
        <w:autoSpaceDN w:val="0"/>
        <w:adjustRightInd w:val="0"/>
        <w:spacing w:after="0" w:line="240" w:lineRule="auto"/>
        <w:ind w:left="426" w:right="420"/>
        <w:jc w:val="both"/>
        <w:rPr>
          <w:rFonts w:ascii="Tahoma" w:eastAsia="Calibri" w:hAnsi="Tahoma" w:cs="Tahoma"/>
          <w:bCs/>
          <w:i/>
          <w:szCs w:val="24"/>
          <w:lang w:eastAsia="es-CO"/>
        </w:rPr>
      </w:pPr>
    </w:p>
    <w:p w14:paraId="1CD38B60" w14:textId="77777777" w:rsidR="00741F6E" w:rsidRPr="005D7F1E" w:rsidRDefault="00741F6E" w:rsidP="005D7F1E">
      <w:pPr>
        <w:widowControl w:val="0"/>
        <w:autoSpaceDE w:val="0"/>
        <w:autoSpaceDN w:val="0"/>
        <w:adjustRightInd w:val="0"/>
        <w:spacing w:after="0" w:line="240" w:lineRule="auto"/>
        <w:ind w:left="426" w:right="420"/>
        <w:jc w:val="both"/>
        <w:rPr>
          <w:rFonts w:ascii="Tahoma" w:eastAsia="Calibri" w:hAnsi="Tahoma" w:cs="Tahoma"/>
          <w:bCs/>
          <w:i/>
          <w:szCs w:val="24"/>
          <w:lang w:eastAsia="es-CO"/>
        </w:rPr>
      </w:pPr>
      <w:r w:rsidRPr="005D7F1E">
        <w:rPr>
          <w:rFonts w:ascii="Tahoma" w:eastAsia="Calibri" w:hAnsi="Tahoma" w:cs="Tahoma"/>
          <w:bCs/>
          <w:i/>
          <w:szCs w:val="24"/>
          <w:lang w:eastAsia="es-CO"/>
        </w:rPr>
        <w:t>En los Sistema Generales de Riesgos Laborales y de Pensiones, la revisión pensional por parte de las Juntas será procedente a solicitud de la correspondiente Administradora de Riesgos Laborales o Administradora del Sistema General de Pensiones cada tres (3) años, aportando las pruebas que permitan demostrar cambios en el estado de salud y a solicitud del pensionado en cualquier tiempo. Copia de todo lo actuado deberá reposar en el expediente y se hará constar en la respectiva acta y en el nuevo dictamen.</w:t>
      </w:r>
    </w:p>
    <w:p w14:paraId="7A969379" w14:textId="77777777" w:rsidR="00741F6E" w:rsidRPr="005D7F1E" w:rsidRDefault="00741F6E" w:rsidP="005D7F1E">
      <w:pPr>
        <w:widowControl w:val="0"/>
        <w:autoSpaceDE w:val="0"/>
        <w:autoSpaceDN w:val="0"/>
        <w:adjustRightInd w:val="0"/>
        <w:spacing w:after="0" w:line="240" w:lineRule="auto"/>
        <w:ind w:left="426" w:right="420"/>
        <w:jc w:val="both"/>
        <w:rPr>
          <w:rFonts w:ascii="Tahoma" w:eastAsia="Calibri" w:hAnsi="Tahoma" w:cs="Tahoma"/>
          <w:bCs/>
          <w:i/>
          <w:szCs w:val="24"/>
          <w:lang w:eastAsia="es-CO"/>
        </w:rPr>
      </w:pPr>
    </w:p>
    <w:p w14:paraId="7DA49299" w14:textId="77777777" w:rsidR="00741F6E" w:rsidRPr="005D7F1E" w:rsidRDefault="00741F6E" w:rsidP="005D7F1E">
      <w:pPr>
        <w:widowControl w:val="0"/>
        <w:autoSpaceDE w:val="0"/>
        <w:autoSpaceDN w:val="0"/>
        <w:adjustRightInd w:val="0"/>
        <w:spacing w:after="0" w:line="240" w:lineRule="auto"/>
        <w:ind w:left="426" w:right="420"/>
        <w:jc w:val="both"/>
        <w:rPr>
          <w:rFonts w:ascii="Tahoma" w:eastAsia="Calibri" w:hAnsi="Tahoma" w:cs="Tahoma"/>
          <w:bCs/>
          <w:i/>
          <w:szCs w:val="24"/>
          <w:lang w:eastAsia="es-CO"/>
        </w:rPr>
      </w:pPr>
      <w:r w:rsidRPr="005D7F1E">
        <w:rPr>
          <w:rFonts w:ascii="Tahoma" w:eastAsia="Calibri" w:hAnsi="Tahoma" w:cs="Tahoma"/>
          <w:bCs/>
          <w:i/>
          <w:szCs w:val="24"/>
          <w:lang w:eastAsia="es-CO"/>
        </w:rPr>
        <w:t>PARÁGRAFO 1o. En el Sistema General de Riesgos Laborales, si a un pensionado por invalidez se le revisa su grado de invalidez y obtiene un porcentaje inferior al 50%, generándole la pérdida de su derecho de pensión, se le reconocerá la indemnización correspondiente a la incapacidad permanente parcial conforme al artículo 7o de la Ley 776 de 2002 o la norma que la modifique sustituya o adicione.</w:t>
      </w:r>
    </w:p>
    <w:p w14:paraId="2D98EB59" w14:textId="77777777" w:rsidR="00741F6E" w:rsidRPr="005D7F1E" w:rsidRDefault="00741F6E" w:rsidP="005D7F1E">
      <w:pPr>
        <w:widowControl w:val="0"/>
        <w:autoSpaceDE w:val="0"/>
        <w:autoSpaceDN w:val="0"/>
        <w:adjustRightInd w:val="0"/>
        <w:spacing w:after="0" w:line="240" w:lineRule="auto"/>
        <w:ind w:left="426" w:right="420"/>
        <w:jc w:val="both"/>
        <w:rPr>
          <w:rFonts w:ascii="Tahoma" w:eastAsia="Calibri" w:hAnsi="Tahoma" w:cs="Tahoma"/>
          <w:bCs/>
          <w:i/>
          <w:szCs w:val="24"/>
          <w:lang w:eastAsia="es-CO"/>
        </w:rPr>
      </w:pPr>
    </w:p>
    <w:p w14:paraId="5E89813C" w14:textId="77777777" w:rsidR="00741F6E" w:rsidRPr="005D7F1E" w:rsidRDefault="00741F6E" w:rsidP="005D7F1E">
      <w:pPr>
        <w:widowControl w:val="0"/>
        <w:autoSpaceDE w:val="0"/>
        <w:autoSpaceDN w:val="0"/>
        <w:adjustRightInd w:val="0"/>
        <w:spacing w:after="0" w:line="240" w:lineRule="auto"/>
        <w:ind w:left="426" w:right="420"/>
        <w:jc w:val="both"/>
        <w:rPr>
          <w:rFonts w:ascii="Tahoma" w:eastAsia="Calibri" w:hAnsi="Tahoma" w:cs="Tahoma"/>
          <w:bCs/>
          <w:i/>
          <w:szCs w:val="24"/>
          <w:lang w:eastAsia="es-CO"/>
        </w:rPr>
      </w:pPr>
      <w:r w:rsidRPr="005D7F1E">
        <w:rPr>
          <w:rFonts w:ascii="Tahoma" w:eastAsia="Calibri" w:hAnsi="Tahoma" w:cs="Tahoma"/>
          <w:bCs/>
          <w:i/>
          <w:szCs w:val="24"/>
          <w:lang w:eastAsia="es-CO"/>
        </w:rPr>
        <w:t>En caso contrario, si a una persona a la que se le haya reconocido la indemnización por incapacidad permanente parcial, y se le revisa su grado de pérdida de capacidad laboral, cuyo resultado sea una calificación superior al 50%, se le deberá reconocer el derecho a pensión por invalidez, sin realizar descuento alguno.</w:t>
      </w:r>
    </w:p>
    <w:p w14:paraId="5C2FB4B6" w14:textId="77777777" w:rsidR="00741F6E" w:rsidRPr="005D7F1E" w:rsidRDefault="00741F6E" w:rsidP="005D7F1E">
      <w:pPr>
        <w:widowControl w:val="0"/>
        <w:autoSpaceDE w:val="0"/>
        <w:autoSpaceDN w:val="0"/>
        <w:adjustRightInd w:val="0"/>
        <w:spacing w:after="0" w:line="240" w:lineRule="auto"/>
        <w:ind w:left="426" w:right="420"/>
        <w:jc w:val="both"/>
        <w:rPr>
          <w:rFonts w:ascii="Tahoma" w:eastAsia="Calibri" w:hAnsi="Tahoma" w:cs="Tahoma"/>
          <w:bCs/>
          <w:i/>
          <w:szCs w:val="24"/>
          <w:lang w:eastAsia="es-CO"/>
        </w:rPr>
      </w:pPr>
    </w:p>
    <w:p w14:paraId="0DB89877" w14:textId="5A27F8B3" w:rsidR="00741F6E" w:rsidRPr="005D7F1E" w:rsidRDefault="00741F6E" w:rsidP="005D7F1E">
      <w:pPr>
        <w:widowControl w:val="0"/>
        <w:autoSpaceDE w:val="0"/>
        <w:autoSpaceDN w:val="0"/>
        <w:adjustRightInd w:val="0"/>
        <w:spacing w:after="0" w:line="240" w:lineRule="auto"/>
        <w:ind w:left="426" w:right="420"/>
        <w:jc w:val="both"/>
        <w:rPr>
          <w:rFonts w:ascii="Tahoma" w:eastAsia="Calibri" w:hAnsi="Tahoma" w:cs="Tahoma"/>
          <w:bCs/>
          <w:i/>
          <w:szCs w:val="24"/>
          <w:lang w:eastAsia="es-CO"/>
        </w:rPr>
      </w:pPr>
      <w:r w:rsidRPr="005D7F1E">
        <w:rPr>
          <w:rFonts w:ascii="Tahoma" w:eastAsia="Calibri" w:hAnsi="Tahoma" w:cs="Tahoma"/>
          <w:bCs/>
          <w:i/>
          <w:szCs w:val="24"/>
          <w:lang w:eastAsia="es-CO"/>
        </w:rPr>
        <w:t>PARÁGRAFO 2o. En caso de detectarse en la revisión de una incapacidad permanente parcial que esta sube al porcentaje del 50% o más se deberá también modificar la fecha de estructuración, de igual forma se procederá cuando un estado de invalidez disminuya a 49% o menos”.</w:t>
      </w:r>
    </w:p>
    <w:p w14:paraId="40DB3934" w14:textId="1A4FFB2A" w:rsidR="00A74E7B" w:rsidRPr="00D64CB9" w:rsidRDefault="00A74E7B" w:rsidP="00D64CB9">
      <w:pPr>
        <w:widowControl w:val="0"/>
        <w:autoSpaceDE w:val="0"/>
        <w:autoSpaceDN w:val="0"/>
        <w:adjustRightInd w:val="0"/>
        <w:spacing w:after="0" w:line="276" w:lineRule="auto"/>
        <w:jc w:val="both"/>
        <w:rPr>
          <w:rFonts w:ascii="Tahoma" w:eastAsia="Calibri" w:hAnsi="Tahoma" w:cs="Tahoma"/>
          <w:bCs/>
          <w:sz w:val="24"/>
          <w:szCs w:val="24"/>
          <w:lang w:eastAsia="es-CO"/>
        </w:rPr>
      </w:pPr>
    </w:p>
    <w:p w14:paraId="09633827" w14:textId="5249BA86" w:rsidR="00741F6E" w:rsidRPr="00D64CB9" w:rsidRDefault="00741F6E" w:rsidP="00D64CB9">
      <w:pPr>
        <w:widowControl w:val="0"/>
        <w:autoSpaceDE w:val="0"/>
        <w:autoSpaceDN w:val="0"/>
        <w:adjustRightInd w:val="0"/>
        <w:spacing w:after="0" w:line="276" w:lineRule="auto"/>
        <w:jc w:val="both"/>
        <w:rPr>
          <w:rFonts w:ascii="Tahoma" w:eastAsia="Calibri" w:hAnsi="Tahoma" w:cs="Tahoma"/>
          <w:bCs/>
          <w:sz w:val="24"/>
          <w:szCs w:val="24"/>
          <w:lang w:eastAsia="es-CO"/>
        </w:rPr>
      </w:pPr>
      <w:r w:rsidRPr="00D64CB9">
        <w:rPr>
          <w:rFonts w:ascii="Tahoma" w:eastAsia="Calibri" w:hAnsi="Tahoma" w:cs="Tahoma"/>
          <w:bCs/>
          <w:sz w:val="24"/>
          <w:szCs w:val="24"/>
          <w:lang w:eastAsia="es-CO"/>
        </w:rPr>
        <w:t xml:space="preserve">Por su parte, el Decreto 1507 de 2014, respecto de su vigencia, señala: </w:t>
      </w:r>
    </w:p>
    <w:p w14:paraId="0D09B89B" w14:textId="77777777" w:rsidR="00741F6E" w:rsidRPr="005D7F1E" w:rsidRDefault="00741F6E" w:rsidP="005D7F1E">
      <w:pPr>
        <w:widowControl w:val="0"/>
        <w:autoSpaceDE w:val="0"/>
        <w:autoSpaceDN w:val="0"/>
        <w:adjustRightInd w:val="0"/>
        <w:spacing w:after="0" w:line="276" w:lineRule="auto"/>
        <w:jc w:val="both"/>
        <w:rPr>
          <w:rFonts w:ascii="Tahoma" w:eastAsia="Calibri" w:hAnsi="Tahoma" w:cs="Tahoma"/>
          <w:bCs/>
          <w:sz w:val="24"/>
          <w:szCs w:val="24"/>
          <w:lang w:eastAsia="es-CO"/>
        </w:rPr>
      </w:pPr>
    </w:p>
    <w:p w14:paraId="12068067" w14:textId="4AF0A57E" w:rsidR="00A26C0D" w:rsidRPr="005D7F1E" w:rsidRDefault="00972A9F" w:rsidP="005D7F1E">
      <w:pPr>
        <w:widowControl w:val="0"/>
        <w:autoSpaceDE w:val="0"/>
        <w:autoSpaceDN w:val="0"/>
        <w:adjustRightInd w:val="0"/>
        <w:spacing w:after="0" w:line="240" w:lineRule="auto"/>
        <w:ind w:left="426" w:right="420"/>
        <w:jc w:val="both"/>
        <w:rPr>
          <w:rFonts w:ascii="Tahoma" w:eastAsia="Calibri" w:hAnsi="Tahoma" w:cs="Tahoma"/>
          <w:bCs/>
          <w:i/>
          <w:szCs w:val="24"/>
          <w:lang w:eastAsia="es-CO"/>
        </w:rPr>
      </w:pPr>
      <w:r w:rsidRPr="005D7F1E">
        <w:rPr>
          <w:rFonts w:ascii="Tahoma" w:eastAsia="Calibri" w:hAnsi="Tahoma" w:cs="Tahoma"/>
          <w:bCs/>
          <w:i/>
          <w:szCs w:val="24"/>
          <w:lang w:eastAsia="es-CO"/>
        </w:rPr>
        <w:t xml:space="preserve">Artículo 5°. Vigencia. El Manual Único para la Calificación de Pérdida de la Capacidad Laboral y Ocupacional entrará en vigencia seis (6) meses después de su publicación; por lo </w:t>
      </w:r>
      <w:r w:rsidR="00A635AE" w:rsidRPr="005D7F1E">
        <w:rPr>
          <w:rFonts w:ascii="Tahoma" w:eastAsia="Calibri" w:hAnsi="Tahoma" w:cs="Tahoma"/>
          <w:bCs/>
          <w:i/>
          <w:szCs w:val="24"/>
          <w:lang w:eastAsia="es-CO"/>
        </w:rPr>
        <w:t>tanto,</w:t>
      </w:r>
      <w:r w:rsidRPr="005D7F1E">
        <w:rPr>
          <w:rFonts w:ascii="Tahoma" w:eastAsia="Calibri" w:hAnsi="Tahoma" w:cs="Tahoma"/>
          <w:bCs/>
          <w:i/>
          <w:szCs w:val="24"/>
          <w:lang w:eastAsia="es-CO"/>
        </w:rPr>
        <w:t xml:space="preserve"> solo se aplicará a los procedimientos, actuaciones, dictámenes y procesos de calificación del origen y pérdida de la capacidad laboral que se inicien con posterioridad a su entrada en vigencia. Los procedimientos, exámenes y práctica de pruebas en el proceso de calificación del origen y pérdida de la capacidad laboral, así como los dictámenes, recursos de reposición y apelación que se encuentren en curso a la fecha de entrada en vigencia del presente decreto, se seguirán rigiendo y culminarán con los parámetros señalados en el Manual de Calificación establecido en el Decreto número 917 de 1999.</w:t>
      </w:r>
    </w:p>
    <w:p w14:paraId="467879BC" w14:textId="77777777" w:rsidR="004B07C9" w:rsidRPr="00D64CB9" w:rsidRDefault="004B07C9" w:rsidP="00D64CB9">
      <w:pPr>
        <w:spacing w:after="0" w:line="276" w:lineRule="auto"/>
        <w:jc w:val="both"/>
        <w:rPr>
          <w:rFonts w:ascii="Tahoma" w:hAnsi="Tahoma" w:cs="Tahoma"/>
          <w:bCs/>
          <w:sz w:val="24"/>
          <w:szCs w:val="24"/>
        </w:rPr>
      </w:pPr>
    </w:p>
    <w:p w14:paraId="1C1FA705" w14:textId="3CADD975" w:rsidR="004B07C9" w:rsidRPr="00D64CB9" w:rsidRDefault="00427283" w:rsidP="00D64CB9">
      <w:pPr>
        <w:spacing w:after="0" w:line="276" w:lineRule="auto"/>
        <w:ind w:firstLine="567"/>
        <w:jc w:val="both"/>
        <w:rPr>
          <w:rFonts w:ascii="Tahoma" w:hAnsi="Tahoma" w:cs="Tahoma"/>
          <w:b/>
          <w:sz w:val="24"/>
          <w:szCs w:val="24"/>
        </w:rPr>
      </w:pPr>
      <w:r w:rsidRPr="00D64CB9">
        <w:rPr>
          <w:rFonts w:ascii="Tahoma" w:hAnsi="Tahoma" w:cs="Tahoma"/>
          <w:b/>
          <w:sz w:val="24"/>
          <w:szCs w:val="24"/>
        </w:rPr>
        <w:t xml:space="preserve">6.2. </w:t>
      </w:r>
      <w:r w:rsidR="00CB0C16" w:rsidRPr="00D64CB9">
        <w:rPr>
          <w:rFonts w:ascii="Tahoma" w:hAnsi="Tahoma" w:cs="Tahoma"/>
          <w:b/>
          <w:sz w:val="24"/>
          <w:szCs w:val="24"/>
        </w:rPr>
        <w:t xml:space="preserve">Contradicción del dictamen </w:t>
      </w:r>
      <w:r w:rsidR="007F0A11" w:rsidRPr="00D64CB9">
        <w:rPr>
          <w:rFonts w:ascii="Tahoma" w:hAnsi="Tahoma" w:cs="Tahoma"/>
          <w:b/>
          <w:sz w:val="24"/>
          <w:szCs w:val="24"/>
        </w:rPr>
        <w:t xml:space="preserve">de calificación de pérdida de la capacidad laboral </w:t>
      </w:r>
      <w:r w:rsidR="00CB0C16" w:rsidRPr="00D64CB9">
        <w:rPr>
          <w:rFonts w:ascii="Tahoma" w:hAnsi="Tahoma" w:cs="Tahoma"/>
          <w:b/>
          <w:sz w:val="24"/>
          <w:szCs w:val="24"/>
        </w:rPr>
        <w:t>en sede judicial.</w:t>
      </w:r>
    </w:p>
    <w:p w14:paraId="2CA0B58A" w14:textId="77777777" w:rsidR="00CB0C16" w:rsidRPr="00D64CB9" w:rsidRDefault="00CB0C16" w:rsidP="00D64CB9">
      <w:pPr>
        <w:spacing w:after="0" w:line="276" w:lineRule="auto"/>
        <w:ind w:firstLine="567"/>
        <w:jc w:val="both"/>
        <w:rPr>
          <w:rFonts w:ascii="Tahoma" w:hAnsi="Tahoma" w:cs="Tahoma"/>
          <w:b/>
          <w:sz w:val="24"/>
          <w:szCs w:val="24"/>
        </w:rPr>
      </w:pPr>
    </w:p>
    <w:p w14:paraId="554A5899" w14:textId="6DF24B1A" w:rsidR="00DF0C1A" w:rsidRPr="00D64CB9" w:rsidRDefault="00372F2A" w:rsidP="00D64CB9">
      <w:pPr>
        <w:spacing w:after="0" w:line="276" w:lineRule="auto"/>
        <w:ind w:firstLine="567"/>
        <w:jc w:val="both"/>
        <w:rPr>
          <w:rFonts w:ascii="Tahoma" w:hAnsi="Tahoma" w:cs="Tahoma"/>
          <w:bCs/>
          <w:i/>
          <w:iCs/>
          <w:sz w:val="24"/>
          <w:szCs w:val="24"/>
        </w:rPr>
      </w:pPr>
      <w:bookmarkStart w:id="3" w:name="_Hlk142132269"/>
      <w:r w:rsidRPr="00D64CB9">
        <w:rPr>
          <w:rFonts w:ascii="Tahoma" w:hAnsi="Tahoma" w:cs="Tahoma"/>
          <w:bCs/>
          <w:sz w:val="24"/>
          <w:szCs w:val="24"/>
        </w:rPr>
        <w:t xml:space="preserve">Por medio de la sentencia </w:t>
      </w:r>
      <w:bookmarkStart w:id="4" w:name="OLE_LINK38"/>
      <w:r w:rsidRPr="00D64CB9">
        <w:rPr>
          <w:rFonts w:ascii="Tahoma" w:hAnsi="Tahoma" w:cs="Tahoma"/>
          <w:bCs/>
          <w:sz w:val="24"/>
          <w:szCs w:val="24"/>
        </w:rPr>
        <w:t>SL 5607-2018</w:t>
      </w:r>
      <w:bookmarkEnd w:id="4"/>
      <w:r w:rsidRPr="00D64CB9">
        <w:rPr>
          <w:rFonts w:ascii="Tahoma" w:hAnsi="Tahoma" w:cs="Tahoma"/>
          <w:bCs/>
          <w:sz w:val="24"/>
          <w:szCs w:val="24"/>
        </w:rPr>
        <w:t xml:space="preserve"> </w:t>
      </w:r>
      <w:r w:rsidR="00BB5FF6" w:rsidRPr="00D64CB9">
        <w:rPr>
          <w:rFonts w:ascii="Tahoma" w:hAnsi="Tahoma" w:cs="Tahoma"/>
          <w:bCs/>
          <w:sz w:val="24"/>
          <w:szCs w:val="24"/>
        </w:rPr>
        <w:t>la Corte Suprema de Justicia</w:t>
      </w:r>
      <w:r w:rsidR="00617E25" w:rsidRPr="00D64CB9">
        <w:rPr>
          <w:rFonts w:ascii="Tahoma" w:hAnsi="Tahoma" w:cs="Tahoma"/>
          <w:bCs/>
          <w:sz w:val="24"/>
          <w:szCs w:val="24"/>
        </w:rPr>
        <w:t xml:space="preserve"> des</w:t>
      </w:r>
      <w:r w:rsidR="000E6EAF" w:rsidRPr="00D64CB9">
        <w:rPr>
          <w:rFonts w:ascii="Tahoma" w:hAnsi="Tahoma" w:cs="Tahoma"/>
          <w:bCs/>
          <w:sz w:val="24"/>
          <w:szCs w:val="24"/>
        </w:rPr>
        <w:t xml:space="preserve">tacó </w:t>
      </w:r>
      <w:bookmarkStart w:id="5" w:name="OLE_LINK37"/>
      <w:r w:rsidR="000E6EAF" w:rsidRPr="00D64CB9">
        <w:rPr>
          <w:rFonts w:ascii="Tahoma" w:hAnsi="Tahoma" w:cs="Tahoma"/>
          <w:bCs/>
          <w:i/>
          <w:iCs/>
          <w:sz w:val="24"/>
          <w:szCs w:val="24"/>
        </w:rPr>
        <w:t>“</w:t>
      </w:r>
      <w:r w:rsidR="000E6EAF" w:rsidRPr="00FA2F50">
        <w:rPr>
          <w:rFonts w:ascii="Tahoma" w:hAnsi="Tahoma" w:cs="Tahoma"/>
          <w:bCs/>
          <w:i/>
          <w:iCs/>
          <w:szCs w:val="24"/>
        </w:rPr>
        <w:t>que el dictamen que califica la pérdida de capacidad laboral dentro del proceso judicial, no es más que un medio probatorio susceptible de contradicción en el proceso</w:t>
      </w:r>
      <w:bookmarkEnd w:id="3"/>
      <w:r w:rsidR="000E6EAF" w:rsidRPr="00FA2F50">
        <w:rPr>
          <w:rFonts w:ascii="Tahoma" w:hAnsi="Tahoma" w:cs="Tahoma"/>
          <w:bCs/>
          <w:i/>
          <w:iCs/>
          <w:szCs w:val="24"/>
        </w:rPr>
        <w:t>, para ello, el artículo 238 del C.P.C. hoy 228 del Código General del Proceso, aplicable al juicio laboral por expresa autorización del 145 del Código Procesal del Trabajo y de la Seguridad Social</w:t>
      </w:r>
      <w:r w:rsidR="00DF0C1A" w:rsidRPr="00FA2F50">
        <w:rPr>
          <w:rFonts w:ascii="Tahoma" w:hAnsi="Tahoma" w:cs="Tahoma"/>
          <w:bCs/>
          <w:i/>
          <w:iCs/>
          <w:szCs w:val="24"/>
        </w:rPr>
        <w:t xml:space="preserve">, establece sobre la contradicción del dictamen lo siguiente </w:t>
      </w:r>
      <w:r w:rsidR="00DF0C1A" w:rsidRPr="00FA2F50">
        <w:rPr>
          <w:rFonts w:ascii="Tahoma" w:hAnsi="Tahoma" w:cs="Tahoma"/>
          <w:bCs/>
          <w:spacing w:val="-4"/>
          <w:szCs w:val="24"/>
        </w:rPr>
        <w:t>«</w:t>
      </w:r>
      <w:r w:rsidR="00DF0C1A" w:rsidRPr="00FA2F50">
        <w:rPr>
          <w:rFonts w:ascii="Tahoma" w:hAnsi="Tahoma" w:cs="Tahoma"/>
          <w:bCs/>
          <w:i/>
          <w:spacing w:val="-4"/>
          <w:szCs w:val="24"/>
        </w:rPr>
        <w:t>(…)</w:t>
      </w:r>
      <w:r w:rsidR="00DF0C1A" w:rsidRPr="00FA2F50">
        <w:rPr>
          <w:rFonts w:ascii="Tahoma" w:hAnsi="Tahoma" w:cs="Tahoma"/>
          <w:i/>
          <w:szCs w:val="24"/>
        </w:rPr>
        <w:t>. 1. del dictamen se correrá traslado a las partes por tres días durante los cuales podrán pedir que se complemente o aclare, u objetarlo por error grave</w:t>
      </w:r>
      <w:r w:rsidR="00DF0C1A" w:rsidRPr="00D64CB9">
        <w:rPr>
          <w:rFonts w:ascii="Tahoma" w:hAnsi="Tahoma" w:cs="Tahoma"/>
          <w:i/>
          <w:sz w:val="24"/>
          <w:szCs w:val="24"/>
        </w:rPr>
        <w:t>.».</w:t>
      </w:r>
    </w:p>
    <w:bookmarkEnd w:id="5"/>
    <w:p w14:paraId="3E34B97B" w14:textId="49DC987E" w:rsidR="000C2C26" w:rsidRPr="00D64CB9" w:rsidRDefault="000C2C26" w:rsidP="00D64CB9">
      <w:pPr>
        <w:spacing w:after="0" w:line="276" w:lineRule="auto"/>
        <w:jc w:val="both"/>
        <w:rPr>
          <w:rFonts w:ascii="Tahoma" w:eastAsia="Calibri" w:hAnsi="Tahoma" w:cs="Tahoma"/>
          <w:sz w:val="24"/>
          <w:szCs w:val="24"/>
          <w:lang w:eastAsia="es-CO"/>
        </w:rPr>
      </w:pPr>
    </w:p>
    <w:p w14:paraId="488E9EEF" w14:textId="0D4E5F1D" w:rsidR="00A23522" w:rsidRPr="00D64CB9" w:rsidRDefault="00781854" w:rsidP="00D64CB9">
      <w:pPr>
        <w:pStyle w:val="Prrafodelista"/>
        <w:numPr>
          <w:ilvl w:val="1"/>
          <w:numId w:val="13"/>
        </w:numPr>
        <w:spacing w:line="276" w:lineRule="auto"/>
        <w:ind w:hanging="502"/>
        <w:rPr>
          <w:rFonts w:cs="Tahoma"/>
          <w:b/>
          <w:szCs w:val="24"/>
        </w:rPr>
      </w:pPr>
      <w:r w:rsidRPr="00D64CB9">
        <w:rPr>
          <w:rFonts w:cs="Tahoma"/>
          <w:b/>
          <w:szCs w:val="24"/>
        </w:rPr>
        <w:t>Caso concreto</w:t>
      </w:r>
    </w:p>
    <w:p w14:paraId="7BB96276" w14:textId="77777777" w:rsidR="00781854" w:rsidRPr="005D7F1E" w:rsidRDefault="00781854" w:rsidP="005D7F1E">
      <w:pPr>
        <w:spacing w:after="0" w:line="276" w:lineRule="auto"/>
        <w:jc w:val="both"/>
        <w:rPr>
          <w:rFonts w:ascii="Tahoma" w:eastAsia="Calibri" w:hAnsi="Tahoma" w:cs="Tahoma"/>
          <w:sz w:val="24"/>
          <w:szCs w:val="24"/>
          <w:lang w:eastAsia="es-CO"/>
        </w:rPr>
      </w:pPr>
    </w:p>
    <w:p w14:paraId="0A4EF593" w14:textId="3152CDBC" w:rsidR="00781854" w:rsidRPr="00D64CB9" w:rsidRDefault="00781854" w:rsidP="00D64CB9">
      <w:pPr>
        <w:pStyle w:val="Prrafodelista"/>
        <w:numPr>
          <w:ilvl w:val="2"/>
          <w:numId w:val="13"/>
        </w:numPr>
        <w:spacing w:line="276" w:lineRule="auto"/>
        <w:ind w:left="1134" w:hanging="567"/>
        <w:jc w:val="left"/>
        <w:rPr>
          <w:rFonts w:cs="Tahoma"/>
          <w:b/>
          <w:szCs w:val="24"/>
        </w:rPr>
      </w:pPr>
      <w:r w:rsidRPr="00D64CB9">
        <w:rPr>
          <w:rFonts w:cs="Tahoma"/>
          <w:b/>
          <w:szCs w:val="24"/>
        </w:rPr>
        <w:t>Hechos probados</w:t>
      </w:r>
      <w:r w:rsidR="004B6910" w:rsidRPr="00D64CB9">
        <w:rPr>
          <w:rFonts w:cs="Tahoma"/>
          <w:b/>
          <w:szCs w:val="24"/>
        </w:rPr>
        <w:t xml:space="preserve"> – prueba documental</w:t>
      </w:r>
      <w:r w:rsidRPr="00D64CB9">
        <w:rPr>
          <w:rFonts w:cs="Tahoma"/>
          <w:b/>
          <w:szCs w:val="24"/>
        </w:rPr>
        <w:t xml:space="preserve">: </w:t>
      </w:r>
    </w:p>
    <w:p w14:paraId="04E3C499" w14:textId="69632439" w:rsidR="003B225E" w:rsidRPr="005D7F1E" w:rsidRDefault="003B225E" w:rsidP="005D7F1E">
      <w:pPr>
        <w:spacing w:after="0" w:line="276" w:lineRule="auto"/>
        <w:jc w:val="both"/>
        <w:rPr>
          <w:rFonts w:ascii="Tahoma" w:eastAsia="Calibri" w:hAnsi="Tahoma" w:cs="Tahoma"/>
          <w:sz w:val="24"/>
          <w:szCs w:val="24"/>
          <w:lang w:eastAsia="es-CO"/>
        </w:rPr>
      </w:pPr>
    </w:p>
    <w:p w14:paraId="3CDCACEA" w14:textId="1D1DEC36" w:rsidR="00B04B57" w:rsidRPr="005D7F1E" w:rsidRDefault="009C28E9" w:rsidP="005D7F1E">
      <w:pPr>
        <w:spacing w:after="0" w:line="276" w:lineRule="auto"/>
        <w:ind w:firstLine="567"/>
        <w:jc w:val="both"/>
        <w:rPr>
          <w:rFonts w:ascii="Tahoma" w:eastAsia="Calibri" w:hAnsi="Tahoma" w:cs="Tahoma"/>
          <w:sz w:val="24"/>
          <w:szCs w:val="24"/>
          <w:lang w:eastAsia="es-CO"/>
        </w:rPr>
      </w:pPr>
      <w:r w:rsidRPr="00D64CB9">
        <w:rPr>
          <w:rFonts w:ascii="Tahoma" w:hAnsi="Tahoma" w:cs="Tahoma"/>
          <w:sz w:val="24"/>
          <w:szCs w:val="24"/>
        </w:rPr>
        <w:t xml:space="preserve">Obran en el plenario las siguientes calificaciones de PCL efectuadas al </w:t>
      </w:r>
      <w:r w:rsidRPr="005D7F1E">
        <w:rPr>
          <w:rFonts w:ascii="Tahoma" w:eastAsia="Calibri" w:hAnsi="Tahoma" w:cs="Tahoma"/>
          <w:sz w:val="24"/>
          <w:szCs w:val="24"/>
          <w:lang w:eastAsia="es-CO"/>
        </w:rPr>
        <w:t>demandante</w:t>
      </w:r>
      <w:r w:rsidR="00B04B57" w:rsidRPr="005D7F1E">
        <w:rPr>
          <w:rFonts w:ascii="Tahoma" w:eastAsia="Calibri" w:hAnsi="Tahoma" w:cs="Tahoma"/>
          <w:sz w:val="24"/>
          <w:szCs w:val="24"/>
          <w:lang w:eastAsia="es-CO"/>
        </w:rPr>
        <w:t>, las cuales fueron aportadas con el escrito inicial de la demanda, que militan como anexos en el archivo 03 del expediente:</w:t>
      </w:r>
    </w:p>
    <w:p w14:paraId="1FFB85E5" w14:textId="77777777" w:rsidR="00B04B57" w:rsidRPr="005D7F1E" w:rsidRDefault="00B04B57" w:rsidP="005D7F1E">
      <w:pPr>
        <w:spacing w:after="0" w:line="276" w:lineRule="auto"/>
        <w:jc w:val="both"/>
        <w:rPr>
          <w:rFonts w:ascii="Tahoma" w:eastAsia="Calibri" w:hAnsi="Tahoma" w:cs="Tahoma"/>
          <w:sz w:val="24"/>
          <w:szCs w:val="24"/>
          <w:lang w:eastAsia="es-CO"/>
        </w:rPr>
      </w:pPr>
    </w:p>
    <w:tbl>
      <w:tblPr>
        <w:tblStyle w:val="Tablaconcuadrcula"/>
        <w:tblW w:w="5000" w:type="pct"/>
        <w:tblLook w:val="04A0" w:firstRow="1" w:lastRow="0" w:firstColumn="1" w:lastColumn="0" w:noHBand="0" w:noVBand="1"/>
      </w:tblPr>
      <w:tblGrid>
        <w:gridCol w:w="1467"/>
        <w:gridCol w:w="1396"/>
        <w:gridCol w:w="978"/>
        <w:gridCol w:w="1822"/>
        <w:gridCol w:w="958"/>
        <w:gridCol w:w="2662"/>
      </w:tblGrid>
      <w:tr w:rsidR="00582966" w:rsidRPr="005D7F1E" w14:paraId="423FFA6A" w14:textId="77777777" w:rsidTr="00582966">
        <w:tc>
          <w:tcPr>
            <w:tcW w:w="872" w:type="pct"/>
          </w:tcPr>
          <w:p w14:paraId="7A8DD00B" w14:textId="3E56CE1A" w:rsidR="00723F42" w:rsidRPr="005D7F1E" w:rsidRDefault="00723F42" w:rsidP="005D7F1E">
            <w:pPr>
              <w:rPr>
                <w:rFonts w:ascii="Tahoma" w:hAnsi="Tahoma" w:cs="Tahoma"/>
                <w:b/>
                <w:szCs w:val="24"/>
              </w:rPr>
            </w:pPr>
            <w:r w:rsidRPr="005D7F1E">
              <w:rPr>
                <w:rFonts w:ascii="Tahoma" w:hAnsi="Tahoma" w:cs="Tahoma"/>
                <w:b/>
                <w:szCs w:val="24"/>
              </w:rPr>
              <w:t>Número y fecha Dictamen</w:t>
            </w:r>
          </w:p>
        </w:tc>
        <w:tc>
          <w:tcPr>
            <w:tcW w:w="604" w:type="pct"/>
          </w:tcPr>
          <w:p w14:paraId="2D733EE4" w14:textId="4E05F310" w:rsidR="00723F42" w:rsidRPr="005D7F1E" w:rsidRDefault="00B04B57" w:rsidP="005D7F1E">
            <w:pPr>
              <w:rPr>
                <w:rFonts w:ascii="Tahoma" w:hAnsi="Tahoma" w:cs="Tahoma"/>
                <w:b/>
                <w:szCs w:val="24"/>
              </w:rPr>
            </w:pPr>
            <w:r w:rsidRPr="005D7F1E">
              <w:rPr>
                <w:rFonts w:ascii="Tahoma" w:hAnsi="Tahoma" w:cs="Tahoma"/>
                <w:b/>
                <w:szCs w:val="24"/>
              </w:rPr>
              <w:t xml:space="preserve">Ente </w:t>
            </w:r>
            <w:r w:rsidR="009C28E9" w:rsidRPr="005D7F1E">
              <w:rPr>
                <w:rFonts w:ascii="Tahoma" w:hAnsi="Tahoma" w:cs="Tahoma"/>
                <w:b/>
                <w:szCs w:val="24"/>
              </w:rPr>
              <w:t>C</w:t>
            </w:r>
            <w:r w:rsidR="00723F42" w:rsidRPr="005D7F1E">
              <w:rPr>
                <w:rFonts w:ascii="Tahoma" w:hAnsi="Tahoma" w:cs="Tahoma"/>
                <w:b/>
                <w:szCs w:val="24"/>
              </w:rPr>
              <w:t>alificador</w:t>
            </w:r>
          </w:p>
        </w:tc>
        <w:tc>
          <w:tcPr>
            <w:tcW w:w="528" w:type="pct"/>
          </w:tcPr>
          <w:p w14:paraId="39408546" w14:textId="028EF3C4" w:rsidR="00723F42" w:rsidRPr="005D7F1E" w:rsidRDefault="009C28E9" w:rsidP="005D7F1E">
            <w:pPr>
              <w:rPr>
                <w:rFonts w:ascii="Tahoma" w:hAnsi="Tahoma" w:cs="Tahoma"/>
                <w:b/>
                <w:szCs w:val="24"/>
              </w:rPr>
            </w:pPr>
            <w:r w:rsidRPr="005D7F1E">
              <w:rPr>
                <w:rFonts w:ascii="Tahoma" w:hAnsi="Tahoma" w:cs="Tahoma"/>
                <w:b/>
                <w:szCs w:val="24"/>
              </w:rPr>
              <w:t xml:space="preserve">% </w:t>
            </w:r>
            <w:r w:rsidR="00723F42" w:rsidRPr="005D7F1E">
              <w:rPr>
                <w:rFonts w:ascii="Tahoma" w:hAnsi="Tahoma" w:cs="Tahoma"/>
                <w:b/>
                <w:szCs w:val="24"/>
              </w:rPr>
              <w:t>PCL</w:t>
            </w:r>
          </w:p>
        </w:tc>
        <w:tc>
          <w:tcPr>
            <w:tcW w:w="803" w:type="pct"/>
          </w:tcPr>
          <w:p w14:paraId="7B459D1A" w14:textId="07F5FF7C" w:rsidR="00723F42" w:rsidRPr="005D7F1E" w:rsidRDefault="00723F42" w:rsidP="005D7F1E">
            <w:pPr>
              <w:rPr>
                <w:rFonts w:ascii="Tahoma" w:hAnsi="Tahoma" w:cs="Tahoma"/>
                <w:b/>
                <w:szCs w:val="24"/>
              </w:rPr>
            </w:pPr>
            <w:r w:rsidRPr="005D7F1E">
              <w:rPr>
                <w:rFonts w:ascii="Tahoma" w:hAnsi="Tahoma" w:cs="Tahoma"/>
                <w:b/>
                <w:szCs w:val="24"/>
              </w:rPr>
              <w:t>Fecha estructuración</w:t>
            </w:r>
          </w:p>
        </w:tc>
        <w:tc>
          <w:tcPr>
            <w:tcW w:w="562" w:type="pct"/>
          </w:tcPr>
          <w:p w14:paraId="5AB4E041" w14:textId="0FA8666F" w:rsidR="00723F42" w:rsidRPr="005D7F1E" w:rsidRDefault="009C28E9" w:rsidP="005D7F1E">
            <w:pPr>
              <w:rPr>
                <w:rFonts w:ascii="Tahoma" w:hAnsi="Tahoma" w:cs="Tahoma"/>
                <w:b/>
                <w:szCs w:val="24"/>
              </w:rPr>
            </w:pPr>
            <w:r w:rsidRPr="005D7F1E">
              <w:rPr>
                <w:rFonts w:ascii="Tahoma" w:hAnsi="Tahoma" w:cs="Tahoma"/>
                <w:b/>
                <w:szCs w:val="24"/>
              </w:rPr>
              <w:t>O</w:t>
            </w:r>
            <w:r w:rsidR="00723F42" w:rsidRPr="005D7F1E">
              <w:rPr>
                <w:rFonts w:ascii="Tahoma" w:hAnsi="Tahoma" w:cs="Tahoma"/>
                <w:b/>
                <w:szCs w:val="24"/>
              </w:rPr>
              <w:t>rigen</w:t>
            </w:r>
          </w:p>
        </w:tc>
        <w:tc>
          <w:tcPr>
            <w:tcW w:w="1631" w:type="pct"/>
          </w:tcPr>
          <w:p w14:paraId="38A8E402" w14:textId="655A77DA" w:rsidR="00723F42" w:rsidRPr="005D7F1E" w:rsidRDefault="00723F42" w:rsidP="005D7F1E">
            <w:pPr>
              <w:rPr>
                <w:rFonts w:ascii="Tahoma" w:hAnsi="Tahoma" w:cs="Tahoma"/>
                <w:b/>
                <w:szCs w:val="24"/>
              </w:rPr>
            </w:pPr>
            <w:r w:rsidRPr="005D7F1E">
              <w:rPr>
                <w:rFonts w:ascii="Tahoma" w:hAnsi="Tahoma" w:cs="Tahoma"/>
                <w:b/>
                <w:szCs w:val="24"/>
              </w:rPr>
              <w:t>Observaciones</w:t>
            </w:r>
          </w:p>
        </w:tc>
      </w:tr>
      <w:tr w:rsidR="00582966" w:rsidRPr="005D7F1E" w14:paraId="648B9C4F" w14:textId="77777777" w:rsidTr="00582966">
        <w:tc>
          <w:tcPr>
            <w:tcW w:w="872" w:type="pct"/>
          </w:tcPr>
          <w:p w14:paraId="2B769E9C" w14:textId="245C7905" w:rsidR="00723F42" w:rsidRPr="005D7F1E" w:rsidRDefault="00723F42" w:rsidP="005D7F1E">
            <w:pPr>
              <w:rPr>
                <w:rFonts w:ascii="Tahoma" w:hAnsi="Tahoma" w:cs="Tahoma"/>
                <w:bCs/>
                <w:szCs w:val="24"/>
              </w:rPr>
            </w:pPr>
            <w:r w:rsidRPr="005D7F1E">
              <w:rPr>
                <w:rFonts w:ascii="Tahoma" w:hAnsi="Tahoma" w:cs="Tahoma"/>
                <w:bCs/>
                <w:szCs w:val="24"/>
              </w:rPr>
              <w:t>23-ene-2009</w:t>
            </w:r>
            <w:r w:rsidR="00081C80" w:rsidRPr="005D7F1E">
              <w:rPr>
                <w:rStyle w:val="Refdenotaalpie"/>
                <w:rFonts w:ascii="Tahoma" w:hAnsi="Tahoma" w:cs="Tahoma"/>
                <w:bCs/>
                <w:szCs w:val="24"/>
              </w:rPr>
              <w:footnoteReference w:id="1"/>
            </w:r>
          </w:p>
        </w:tc>
        <w:tc>
          <w:tcPr>
            <w:tcW w:w="604" w:type="pct"/>
          </w:tcPr>
          <w:p w14:paraId="00AF81F2" w14:textId="3210ACB3" w:rsidR="00723F42" w:rsidRPr="005D7F1E" w:rsidRDefault="00B04B57" w:rsidP="005D7F1E">
            <w:pPr>
              <w:rPr>
                <w:rFonts w:ascii="Tahoma" w:hAnsi="Tahoma" w:cs="Tahoma"/>
                <w:bCs/>
                <w:szCs w:val="24"/>
              </w:rPr>
            </w:pPr>
            <w:r w:rsidRPr="005D7F1E">
              <w:rPr>
                <w:rFonts w:ascii="Tahoma" w:hAnsi="Tahoma" w:cs="Tahoma"/>
                <w:bCs/>
                <w:szCs w:val="24"/>
              </w:rPr>
              <w:t>JRCR</w:t>
            </w:r>
          </w:p>
        </w:tc>
        <w:tc>
          <w:tcPr>
            <w:tcW w:w="528" w:type="pct"/>
          </w:tcPr>
          <w:p w14:paraId="6818C806" w14:textId="18ECACEC" w:rsidR="00723F42" w:rsidRPr="005D7F1E" w:rsidRDefault="00723F42" w:rsidP="005D7F1E">
            <w:pPr>
              <w:rPr>
                <w:rFonts w:ascii="Tahoma" w:hAnsi="Tahoma" w:cs="Tahoma"/>
                <w:bCs/>
                <w:szCs w:val="24"/>
              </w:rPr>
            </w:pPr>
            <w:r w:rsidRPr="005D7F1E">
              <w:rPr>
                <w:rFonts w:ascii="Tahoma" w:hAnsi="Tahoma" w:cs="Tahoma"/>
                <w:bCs/>
                <w:szCs w:val="24"/>
              </w:rPr>
              <w:t>18.30%</w:t>
            </w:r>
          </w:p>
        </w:tc>
        <w:tc>
          <w:tcPr>
            <w:tcW w:w="803" w:type="pct"/>
          </w:tcPr>
          <w:p w14:paraId="19BE8758" w14:textId="770EDBB9" w:rsidR="00723F42" w:rsidRPr="005D7F1E" w:rsidRDefault="00723F42" w:rsidP="005D7F1E">
            <w:pPr>
              <w:rPr>
                <w:rFonts w:ascii="Tahoma" w:hAnsi="Tahoma" w:cs="Tahoma"/>
                <w:bCs/>
                <w:szCs w:val="24"/>
              </w:rPr>
            </w:pPr>
            <w:r w:rsidRPr="005D7F1E">
              <w:rPr>
                <w:rFonts w:ascii="Tahoma" w:hAnsi="Tahoma" w:cs="Tahoma"/>
                <w:bCs/>
                <w:szCs w:val="24"/>
              </w:rPr>
              <w:t>22-feb-2008</w:t>
            </w:r>
          </w:p>
        </w:tc>
        <w:tc>
          <w:tcPr>
            <w:tcW w:w="562" w:type="pct"/>
          </w:tcPr>
          <w:p w14:paraId="2F3AA224" w14:textId="34AE8797" w:rsidR="00723F42" w:rsidRPr="005D7F1E" w:rsidRDefault="00723F42" w:rsidP="005D7F1E">
            <w:pPr>
              <w:rPr>
                <w:rFonts w:ascii="Tahoma" w:hAnsi="Tahoma" w:cs="Tahoma"/>
                <w:bCs/>
                <w:szCs w:val="24"/>
              </w:rPr>
            </w:pPr>
            <w:r w:rsidRPr="005D7F1E">
              <w:rPr>
                <w:rFonts w:ascii="Tahoma" w:hAnsi="Tahoma" w:cs="Tahoma"/>
                <w:bCs/>
                <w:szCs w:val="24"/>
              </w:rPr>
              <w:t>Laboral</w:t>
            </w:r>
          </w:p>
        </w:tc>
        <w:tc>
          <w:tcPr>
            <w:tcW w:w="1631" w:type="pct"/>
          </w:tcPr>
          <w:p w14:paraId="76B7F81F" w14:textId="77777777" w:rsidR="00723F42" w:rsidRPr="005D7F1E" w:rsidRDefault="00723F42" w:rsidP="005D7F1E">
            <w:pPr>
              <w:rPr>
                <w:rFonts w:ascii="Tahoma" w:hAnsi="Tahoma" w:cs="Tahoma"/>
                <w:bCs/>
                <w:szCs w:val="24"/>
              </w:rPr>
            </w:pPr>
            <w:r w:rsidRPr="005D7F1E">
              <w:rPr>
                <w:rFonts w:ascii="Tahoma" w:hAnsi="Tahoma" w:cs="Tahoma"/>
                <w:bCs/>
                <w:szCs w:val="24"/>
              </w:rPr>
              <w:t>Deficiencia: Ojo ciego</w:t>
            </w:r>
            <w:r w:rsidR="00081C80" w:rsidRPr="005D7F1E">
              <w:rPr>
                <w:rFonts w:ascii="Tahoma" w:hAnsi="Tahoma" w:cs="Tahoma"/>
                <w:bCs/>
                <w:szCs w:val="24"/>
              </w:rPr>
              <w:t>.</w:t>
            </w:r>
          </w:p>
          <w:p w14:paraId="2FCDE317" w14:textId="4A9BD886" w:rsidR="00081C80" w:rsidRPr="005D7F1E" w:rsidRDefault="00152D60" w:rsidP="005D7F1E">
            <w:pPr>
              <w:rPr>
                <w:rFonts w:ascii="Tahoma" w:hAnsi="Tahoma" w:cs="Tahoma"/>
                <w:bCs/>
                <w:szCs w:val="24"/>
              </w:rPr>
            </w:pPr>
            <w:r w:rsidRPr="005D7F1E">
              <w:rPr>
                <w:rFonts w:ascii="Tahoma" w:hAnsi="Tahoma" w:cs="Tahoma"/>
                <w:bCs/>
                <w:szCs w:val="24"/>
              </w:rPr>
              <w:t>Capítulo</w:t>
            </w:r>
            <w:r w:rsidR="00081C80" w:rsidRPr="005D7F1E">
              <w:rPr>
                <w:rFonts w:ascii="Tahoma" w:hAnsi="Tahoma" w:cs="Tahoma"/>
                <w:bCs/>
                <w:szCs w:val="24"/>
              </w:rPr>
              <w:t>: 13</w:t>
            </w:r>
            <w:r w:rsidR="006C3021" w:rsidRPr="005D7F1E">
              <w:rPr>
                <w:rFonts w:ascii="Tahoma" w:hAnsi="Tahoma" w:cs="Tahoma"/>
                <w:bCs/>
                <w:szCs w:val="24"/>
              </w:rPr>
              <w:t>.2</w:t>
            </w:r>
          </w:p>
          <w:p w14:paraId="11BB3881" w14:textId="38BDAA3C" w:rsidR="00081C80" w:rsidRPr="005D7F1E" w:rsidRDefault="00081368" w:rsidP="005D7F1E">
            <w:pPr>
              <w:rPr>
                <w:rFonts w:ascii="Tahoma" w:hAnsi="Tahoma" w:cs="Tahoma"/>
                <w:bCs/>
                <w:szCs w:val="24"/>
              </w:rPr>
            </w:pPr>
            <w:r w:rsidRPr="005D7F1E">
              <w:rPr>
                <w:rFonts w:ascii="Tahoma" w:hAnsi="Tahoma" w:cs="Tahoma"/>
                <w:bCs/>
                <w:szCs w:val="24"/>
              </w:rPr>
              <w:t>Valor deficiencia</w:t>
            </w:r>
            <w:r w:rsidR="00081C80" w:rsidRPr="005D7F1E">
              <w:rPr>
                <w:rFonts w:ascii="Tahoma" w:hAnsi="Tahoma" w:cs="Tahoma"/>
                <w:bCs/>
                <w:szCs w:val="24"/>
              </w:rPr>
              <w:t>: 12%</w:t>
            </w:r>
          </w:p>
          <w:p w14:paraId="3D5AEEE5" w14:textId="2665D1F6" w:rsidR="00081C80" w:rsidRPr="005D7F1E" w:rsidRDefault="00081C80" w:rsidP="005D7F1E">
            <w:pPr>
              <w:rPr>
                <w:rFonts w:ascii="Tahoma" w:hAnsi="Tahoma" w:cs="Tahoma"/>
                <w:bCs/>
                <w:szCs w:val="24"/>
              </w:rPr>
            </w:pPr>
            <w:r w:rsidRPr="005D7F1E">
              <w:rPr>
                <w:rFonts w:ascii="Tahoma" w:hAnsi="Tahoma" w:cs="Tahoma"/>
                <w:bCs/>
                <w:szCs w:val="24"/>
              </w:rPr>
              <w:t>Decreto: 917 de 1999</w:t>
            </w:r>
          </w:p>
        </w:tc>
      </w:tr>
      <w:tr w:rsidR="00582966" w:rsidRPr="005D7F1E" w14:paraId="2F58F84C" w14:textId="77777777" w:rsidTr="00582966">
        <w:tc>
          <w:tcPr>
            <w:tcW w:w="872" w:type="pct"/>
          </w:tcPr>
          <w:p w14:paraId="59B1748A" w14:textId="77777777" w:rsidR="00CB076D" w:rsidRPr="005D7F1E" w:rsidRDefault="00CB076D" w:rsidP="005D7F1E">
            <w:pPr>
              <w:rPr>
                <w:rFonts w:ascii="Tahoma" w:hAnsi="Tahoma" w:cs="Tahoma"/>
                <w:bCs/>
                <w:szCs w:val="24"/>
              </w:rPr>
            </w:pPr>
            <w:r w:rsidRPr="005D7F1E">
              <w:rPr>
                <w:rFonts w:ascii="Tahoma" w:hAnsi="Tahoma" w:cs="Tahoma"/>
                <w:bCs/>
                <w:szCs w:val="24"/>
              </w:rPr>
              <w:t>No. 70130262-396</w:t>
            </w:r>
          </w:p>
          <w:p w14:paraId="07D0B544" w14:textId="110A4EC7" w:rsidR="00CB076D" w:rsidRPr="005D7F1E" w:rsidRDefault="00CB076D" w:rsidP="005D7F1E">
            <w:pPr>
              <w:rPr>
                <w:rFonts w:ascii="Tahoma" w:hAnsi="Tahoma" w:cs="Tahoma"/>
                <w:bCs/>
                <w:szCs w:val="24"/>
              </w:rPr>
            </w:pPr>
            <w:r w:rsidRPr="005D7F1E">
              <w:rPr>
                <w:rFonts w:ascii="Tahoma" w:hAnsi="Tahoma" w:cs="Tahoma"/>
                <w:bCs/>
                <w:szCs w:val="24"/>
              </w:rPr>
              <w:t>19-abr-2017</w:t>
            </w:r>
            <w:r w:rsidR="003028C1" w:rsidRPr="005D7F1E">
              <w:rPr>
                <w:rStyle w:val="Refdenotaalpie"/>
                <w:rFonts w:ascii="Tahoma" w:hAnsi="Tahoma" w:cs="Tahoma"/>
                <w:bCs/>
                <w:szCs w:val="24"/>
              </w:rPr>
              <w:footnoteReference w:id="2"/>
            </w:r>
          </w:p>
          <w:p w14:paraId="5AF869B9" w14:textId="0C9EE61B" w:rsidR="00CB076D" w:rsidRPr="005D7F1E" w:rsidRDefault="00CB076D" w:rsidP="005D7F1E">
            <w:pPr>
              <w:rPr>
                <w:rFonts w:ascii="Tahoma" w:hAnsi="Tahoma" w:cs="Tahoma"/>
                <w:bCs/>
                <w:szCs w:val="24"/>
              </w:rPr>
            </w:pPr>
          </w:p>
        </w:tc>
        <w:tc>
          <w:tcPr>
            <w:tcW w:w="604" w:type="pct"/>
          </w:tcPr>
          <w:p w14:paraId="06FCD50C" w14:textId="55F9BD86" w:rsidR="00723F42" w:rsidRPr="005D7F1E" w:rsidRDefault="00B04B57" w:rsidP="005D7F1E">
            <w:pPr>
              <w:rPr>
                <w:rFonts w:ascii="Tahoma" w:hAnsi="Tahoma" w:cs="Tahoma"/>
                <w:bCs/>
                <w:szCs w:val="24"/>
              </w:rPr>
            </w:pPr>
            <w:r w:rsidRPr="005D7F1E">
              <w:rPr>
                <w:rFonts w:ascii="Tahoma" w:hAnsi="Tahoma" w:cs="Tahoma"/>
                <w:bCs/>
                <w:szCs w:val="24"/>
              </w:rPr>
              <w:t>JRCR</w:t>
            </w:r>
          </w:p>
        </w:tc>
        <w:tc>
          <w:tcPr>
            <w:tcW w:w="528" w:type="pct"/>
          </w:tcPr>
          <w:p w14:paraId="2C85E3FC" w14:textId="1A4BEF4A" w:rsidR="00723F42" w:rsidRPr="005D7F1E" w:rsidRDefault="00CB076D" w:rsidP="005D7F1E">
            <w:pPr>
              <w:rPr>
                <w:rFonts w:ascii="Tahoma" w:hAnsi="Tahoma" w:cs="Tahoma"/>
                <w:bCs/>
                <w:szCs w:val="24"/>
              </w:rPr>
            </w:pPr>
            <w:r w:rsidRPr="005D7F1E">
              <w:rPr>
                <w:rFonts w:ascii="Tahoma" w:hAnsi="Tahoma" w:cs="Tahoma"/>
                <w:bCs/>
                <w:szCs w:val="24"/>
              </w:rPr>
              <w:t>59.94%</w:t>
            </w:r>
          </w:p>
        </w:tc>
        <w:tc>
          <w:tcPr>
            <w:tcW w:w="803" w:type="pct"/>
          </w:tcPr>
          <w:p w14:paraId="2787FDFC" w14:textId="186C6D06" w:rsidR="00723F42" w:rsidRPr="005D7F1E" w:rsidRDefault="00CB076D" w:rsidP="005D7F1E">
            <w:pPr>
              <w:rPr>
                <w:rFonts w:ascii="Tahoma" w:hAnsi="Tahoma" w:cs="Tahoma"/>
                <w:bCs/>
                <w:szCs w:val="24"/>
              </w:rPr>
            </w:pPr>
            <w:r w:rsidRPr="005D7F1E">
              <w:rPr>
                <w:rFonts w:ascii="Tahoma" w:hAnsi="Tahoma" w:cs="Tahoma"/>
                <w:bCs/>
                <w:szCs w:val="24"/>
              </w:rPr>
              <w:t>22-feb-2008</w:t>
            </w:r>
          </w:p>
        </w:tc>
        <w:tc>
          <w:tcPr>
            <w:tcW w:w="562" w:type="pct"/>
          </w:tcPr>
          <w:p w14:paraId="5F8E64BC" w14:textId="05F6E081" w:rsidR="00723F42" w:rsidRPr="005D7F1E" w:rsidRDefault="00CB076D" w:rsidP="005D7F1E">
            <w:pPr>
              <w:rPr>
                <w:rFonts w:ascii="Tahoma" w:hAnsi="Tahoma" w:cs="Tahoma"/>
                <w:bCs/>
                <w:szCs w:val="24"/>
              </w:rPr>
            </w:pPr>
            <w:r w:rsidRPr="005D7F1E">
              <w:rPr>
                <w:rFonts w:ascii="Tahoma" w:hAnsi="Tahoma" w:cs="Tahoma"/>
                <w:bCs/>
                <w:szCs w:val="24"/>
              </w:rPr>
              <w:t>Laboral</w:t>
            </w:r>
          </w:p>
        </w:tc>
        <w:tc>
          <w:tcPr>
            <w:tcW w:w="1631" w:type="pct"/>
          </w:tcPr>
          <w:p w14:paraId="6F4E7DCE" w14:textId="77777777" w:rsidR="00723F42" w:rsidRPr="005D7F1E" w:rsidRDefault="00152D60" w:rsidP="005D7F1E">
            <w:pPr>
              <w:rPr>
                <w:rFonts w:ascii="Tahoma" w:hAnsi="Tahoma" w:cs="Tahoma"/>
                <w:bCs/>
                <w:szCs w:val="24"/>
              </w:rPr>
            </w:pPr>
            <w:r w:rsidRPr="005D7F1E">
              <w:rPr>
                <w:rFonts w:ascii="Tahoma" w:hAnsi="Tahoma" w:cs="Tahoma"/>
                <w:bCs/>
                <w:szCs w:val="24"/>
              </w:rPr>
              <w:t>Deficiencia: Deficiencia por sistema visual</w:t>
            </w:r>
          </w:p>
          <w:p w14:paraId="6BCB2503" w14:textId="77777777" w:rsidR="00152D60" w:rsidRPr="005D7F1E" w:rsidRDefault="00152D60" w:rsidP="005D7F1E">
            <w:pPr>
              <w:rPr>
                <w:rFonts w:ascii="Tahoma" w:hAnsi="Tahoma" w:cs="Tahoma"/>
                <w:bCs/>
                <w:szCs w:val="24"/>
              </w:rPr>
            </w:pPr>
            <w:r w:rsidRPr="005D7F1E">
              <w:rPr>
                <w:rFonts w:ascii="Tahoma" w:hAnsi="Tahoma" w:cs="Tahoma"/>
                <w:bCs/>
                <w:szCs w:val="24"/>
              </w:rPr>
              <w:t>Capítulo: 11</w:t>
            </w:r>
          </w:p>
          <w:p w14:paraId="45FC4BBD" w14:textId="703E6ABA" w:rsidR="00152D60" w:rsidRPr="005D7F1E" w:rsidRDefault="00081368" w:rsidP="005D7F1E">
            <w:pPr>
              <w:rPr>
                <w:rFonts w:ascii="Tahoma" w:hAnsi="Tahoma" w:cs="Tahoma"/>
                <w:bCs/>
                <w:szCs w:val="24"/>
              </w:rPr>
            </w:pPr>
            <w:r w:rsidRPr="005D7F1E">
              <w:rPr>
                <w:rFonts w:ascii="Tahoma" w:hAnsi="Tahoma" w:cs="Tahoma"/>
                <w:bCs/>
                <w:szCs w:val="24"/>
              </w:rPr>
              <w:t>Valor deficiencia</w:t>
            </w:r>
            <w:r w:rsidR="00152D60" w:rsidRPr="005D7F1E">
              <w:rPr>
                <w:rFonts w:ascii="Tahoma" w:hAnsi="Tahoma" w:cs="Tahoma"/>
                <w:bCs/>
                <w:szCs w:val="24"/>
              </w:rPr>
              <w:t xml:space="preserve">: </w:t>
            </w:r>
            <w:r w:rsidRPr="005D7F1E">
              <w:rPr>
                <w:rFonts w:ascii="Tahoma" w:hAnsi="Tahoma" w:cs="Tahoma"/>
                <w:bCs/>
                <w:szCs w:val="24"/>
              </w:rPr>
              <w:t>75.68%</w:t>
            </w:r>
          </w:p>
          <w:p w14:paraId="2727724F" w14:textId="4C6DE877" w:rsidR="00081368" w:rsidRPr="005D7F1E" w:rsidRDefault="00081368" w:rsidP="005D7F1E">
            <w:pPr>
              <w:rPr>
                <w:rFonts w:ascii="Tahoma" w:hAnsi="Tahoma" w:cs="Tahoma"/>
                <w:bCs/>
                <w:szCs w:val="24"/>
              </w:rPr>
            </w:pPr>
            <w:r w:rsidRPr="005D7F1E">
              <w:rPr>
                <w:rFonts w:ascii="Tahoma" w:hAnsi="Tahoma" w:cs="Tahoma"/>
                <w:bCs/>
                <w:szCs w:val="24"/>
              </w:rPr>
              <w:t xml:space="preserve">Decreto: </w:t>
            </w:r>
            <w:r w:rsidR="003028C1" w:rsidRPr="005D7F1E">
              <w:rPr>
                <w:rFonts w:ascii="Tahoma" w:hAnsi="Tahoma" w:cs="Tahoma"/>
                <w:bCs/>
                <w:szCs w:val="24"/>
              </w:rPr>
              <w:t>1507 de 2014</w:t>
            </w:r>
          </w:p>
        </w:tc>
      </w:tr>
      <w:tr w:rsidR="00582966" w:rsidRPr="005D7F1E" w14:paraId="224375C8" w14:textId="77777777" w:rsidTr="00582966">
        <w:tc>
          <w:tcPr>
            <w:tcW w:w="872" w:type="pct"/>
          </w:tcPr>
          <w:p w14:paraId="4F06CD1A" w14:textId="77777777" w:rsidR="009248F5" w:rsidRPr="005D7F1E" w:rsidRDefault="009248F5" w:rsidP="005D7F1E">
            <w:pPr>
              <w:rPr>
                <w:rFonts w:ascii="Tahoma" w:hAnsi="Tahoma" w:cs="Tahoma"/>
                <w:bCs/>
                <w:szCs w:val="24"/>
              </w:rPr>
            </w:pPr>
            <w:r w:rsidRPr="005D7F1E">
              <w:rPr>
                <w:rFonts w:ascii="Tahoma" w:hAnsi="Tahoma" w:cs="Tahoma"/>
                <w:bCs/>
                <w:szCs w:val="24"/>
              </w:rPr>
              <w:t>No. 70130262-5731</w:t>
            </w:r>
          </w:p>
          <w:p w14:paraId="0B5FDEA2" w14:textId="79EA6648" w:rsidR="009248F5" w:rsidRPr="005D7F1E" w:rsidRDefault="009248F5" w:rsidP="005D7F1E">
            <w:pPr>
              <w:rPr>
                <w:rFonts w:ascii="Tahoma" w:hAnsi="Tahoma" w:cs="Tahoma"/>
                <w:bCs/>
                <w:szCs w:val="24"/>
              </w:rPr>
            </w:pPr>
            <w:r w:rsidRPr="005D7F1E">
              <w:rPr>
                <w:rFonts w:ascii="Tahoma" w:hAnsi="Tahoma" w:cs="Tahoma"/>
                <w:bCs/>
                <w:szCs w:val="24"/>
              </w:rPr>
              <w:lastRenderedPageBreak/>
              <w:t>25-may-2018</w:t>
            </w:r>
            <w:r w:rsidR="0032699D" w:rsidRPr="005D7F1E">
              <w:rPr>
                <w:rStyle w:val="Refdenotaalpie"/>
                <w:rFonts w:ascii="Tahoma" w:hAnsi="Tahoma" w:cs="Tahoma"/>
                <w:bCs/>
                <w:szCs w:val="24"/>
              </w:rPr>
              <w:footnoteReference w:id="3"/>
            </w:r>
          </w:p>
        </w:tc>
        <w:tc>
          <w:tcPr>
            <w:tcW w:w="604" w:type="pct"/>
          </w:tcPr>
          <w:p w14:paraId="77EC9F93" w14:textId="5401B065" w:rsidR="009248F5" w:rsidRPr="005D7F1E" w:rsidRDefault="009248F5" w:rsidP="005D7F1E">
            <w:pPr>
              <w:rPr>
                <w:rFonts w:ascii="Tahoma" w:hAnsi="Tahoma" w:cs="Tahoma"/>
                <w:bCs/>
                <w:szCs w:val="24"/>
              </w:rPr>
            </w:pPr>
            <w:r w:rsidRPr="005D7F1E">
              <w:rPr>
                <w:rFonts w:ascii="Tahoma" w:hAnsi="Tahoma" w:cs="Tahoma"/>
                <w:bCs/>
                <w:szCs w:val="24"/>
              </w:rPr>
              <w:lastRenderedPageBreak/>
              <w:t>J</w:t>
            </w:r>
            <w:r w:rsidR="00B04B57" w:rsidRPr="005D7F1E">
              <w:rPr>
                <w:rFonts w:ascii="Tahoma" w:hAnsi="Tahoma" w:cs="Tahoma"/>
                <w:bCs/>
                <w:szCs w:val="24"/>
              </w:rPr>
              <w:t>NC</w:t>
            </w:r>
          </w:p>
        </w:tc>
        <w:tc>
          <w:tcPr>
            <w:tcW w:w="528" w:type="pct"/>
          </w:tcPr>
          <w:p w14:paraId="4BB2C97B" w14:textId="6B997A01" w:rsidR="009248F5" w:rsidRPr="005D7F1E" w:rsidRDefault="0032699D" w:rsidP="005D7F1E">
            <w:pPr>
              <w:rPr>
                <w:rFonts w:ascii="Tahoma" w:hAnsi="Tahoma" w:cs="Tahoma"/>
                <w:bCs/>
                <w:szCs w:val="24"/>
              </w:rPr>
            </w:pPr>
            <w:r w:rsidRPr="005D7F1E">
              <w:rPr>
                <w:rFonts w:ascii="Tahoma" w:hAnsi="Tahoma" w:cs="Tahoma"/>
                <w:bCs/>
                <w:szCs w:val="24"/>
              </w:rPr>
              <w:t>28.20%</w:t>
            </w:r>
          </w:p>
        </w:tc>
        <w:tc>
          <w:tcPr>
            <w:tcW w:w="803" w:type="pct"/>
          </w:tcPr>
          <w:p w14:paraId="24E84FEC" w14:textId="4D827E95" w:rsidR="009248F5" w:rsidRPr="005D7F1E" w:rsidRDefault="009248F5" w:rsidP="005D7F1E">
            <w:pPr>
              <w:rPr>
                <w:rFonts w:ascii="Tahoma" w:hAnsi="Tahoma" w:cs="Tahoma"/>
                <w:bCs/>
                <w:szCs w:val="24"/>
              </w:rPr>
            </w:pPr>
            <w:r w:rsidRPr="005D7F1E">
              <w:rPr>
                <w:rFonts w:ascii="Tahoma" w:hAnsi="Tahoma" w:cs="Tahoma"/>
                <w:bCs/>
                <w:szCs w:val="24"/>
              </w:rPr>
              <w:t>22-feb-2008</w:t>
            </w:r>
          </w:p>
        </w:tc>
        <w:tc>
          <w:tcPr>
            <w:tcW w:w="562" w:type="pct"/>
          </w:tcPr>
          <w:p w14:paraId="7F4EDB36" w14:textId="223F068D" w:rsidR="009248F5" w:rsidRPr="005D7F1E" w:rsidRDefault="009248F5" w:rsidP="005D7F1E">
            <w:pPr>
              <w:rPr>
                <w:rFonts w:ascii="Tahoma" w:hAnsi="Tahoma" w:cs="Tahoma"/>
                <w:bCs/>
                <w:szCs w:val="24"/>
              </w:rPr>
            </w:pPr>
            <w:r w:rsidRPr="005D7F1E">
              <w:rPr>
                <w:rFonts w:ascii="Tahoma" w:hAnsi="Tahoma" w:cs="Tahoma"/>
                <w:bCs/>
                <w:szCs w:val="24"/>
              </w:rPr>
              <w:t>Laboral</w:t>
            </w:r>
          </w:p>
        </w:tc>
        <w:tc>
          <w:tcPr>
            <w:tcW w:w="1631" w:type="pct"/>
          </w:tcPr>
          <w:p w14:paraId="679131F4" w14:textId="0CBCD6FB" w:rsidR="009248F5" w:rsidRPr="005D7F1E" w:rsidRDefault="009248F5" w:rsidP="005D7F1E">
            <w:pPr>
              <w:rPr>
                <w:rFonts w:ascii="Tahoma" w:hAnsi="Tahoma" w:cs="Tahoma"/>
                <w:bCs/>
                <w:szCs w:val="24"/>
              </w:rPr>
            </w:pPr>
            <w:r w:rsidRPr="005D7F1E">
              <w:rPr>
                <w:rFonts w:ascii="Tahoma" w:hAnsi="Tahoma" w:cs="Tahoma"/>
                <w:bCs/>
                <w:szCs w:val="24"/>
              </w:rPr>
              <w:t>Deficiencia: Deficiencia por disminución de agudeza visual</w:t>
            </w:r>
          </w:p>
          <w:p w14:paraId="48365557" w14:textId="6D7A4189" w:rsidR="009248F5" w:rsidRPr="005D7F1E" w:rsidRDefault="009248F5" w:rsidP="005D7F1E">
            <w:pPr>
              <w:rPr>
                <w:rFonts w:ascii="Tahoma" w:hAnsi="Tahoma" w:cs="Tahoma"/>
                <w:bCs/>
                <w:szCs w:val="24"/>
              </w:rPr>
            </w:pPr>
            <w:r w:rsidRPr="005D7F1E">
              <w:rPr>
                <w:rFonts w:ascii="Tahoma" w:hAnsi="Tahoma" w:cs="Tahoma"/>
                <w:bCs/>
                <w:szCs w:val="24"/>
              </w:rPr>
              <w:lastRenderedPageBreak/>
              <w:t>Capítulo: 13</w:t>
            </w:r>
            <w:r w:rsidR="006C3021" w:rsidRPr="005D7F1E">
              <w:rPr>
                <w:rFonts w:ascii="Tahoma" w:hAnsi="Tahoma" w:cs="Tahoma"/>
                <w:bCs/>
                <w:szCs w:val="24"/>
              </w:rPr>
              <w:t>.1-13.2</w:t>
            </w:r>
          </w:p>
          <w:p w14:paraId="6774B7C8" w14:textId="2C0FCADB" w:rsidR="009248F5" w:rsidRPr="005D7F1E" w:rsidRDefault="009248F5" w:rsidP="005D7F1E">
            <w:pPr>
              <w:rPr>
                <w:rFonts w:ascii="Tahoma" w:hAnsi="Tahoma" w:cs="Tahoma"/>
                <w:bCs/>
                <w:szCs w:val="24"/>
              </w:rPr>
            </w:pPr>
            <w:r w:rsidRPr="005D7F1E">
              <w:rPr>
                <w:rFonts w:ascii="Tahoma" w:hAnsi="Tahoma" w:cs="Tahoma"/>
                <w:bCs/>
                <w:szCs w:val="24"/>
              </w:rPr>
              <w:t>Valor deficiencia: 17%</w:t>
            </w:r>
          </w:p>
          <w:p w14:paraId="0F3C9597" w14:textId="03BB50F2" w:rsidR="009248F5" w:rsidRPr="005D7F1E" w:rsidRDefault="009248F5" w:rsidP="005D7F1E">
            <w:pPr>
              <w:rPr>
                <w:rFonts w:ascii="Tahoma" w:hAnsi="Tahoma" w:cs="Tahoma"/>
                <w:bCs/>
                <w:szCs w:val="24"/>
              </w:rPr>
            </w:pPr>
            <w:r w:rsidRPr="005D7F1E">
              <w:rPr>
                <w:rFonts w:ascii="Tahoma" w:hAnsi="Tahoma" w:cs="Tahoma"/>
                <w:bCs/>
                <w:szCs w:val="24"/>
              </w:rPr>
              <w:t>Decreto: 917 de 1999</w:t>
            </w:r>
          </w:p>
        </w:tc>
      </w:tr>
    </w:tbl>
    <w:p w14:paraId="7B91F091" w14:textId="77777777" w:rsidR="003B225E" w:rsidRPr="00D64CB9" w:rsidRDefault="003B225E" w:rsidP="00D64CB9">
      <w:pPr>
        <w:spacing w:line="276" w:lineRule="auto"/>
        <w:rPr>
          <w:rFonts w:ascii="Tahoma" w:hAnsi="Tahoma" w:cs="Tahoma"/>
          <w:b/>
          <w:sz w:val="24"/>
          <w:szCs w:val="24"/>
        </w:rPr>
      </w:pPr>
    </w:p>
    <w:p w14:paraId="6B29480B" w14:textId="23D41471" w:rsidR="00B04B57" w:rsidRPr="00D64CB9" w:rsidRDefault="00B04B57" w:rsidP="00D64CB9">
      <w:pPr>
        <w:spacing w:after="0" w:line="276" w:lineRule="auto"/>
        <w:ind w:firstLine="708"/>
        <w:jc w:val="both"/>
        <w:rPr>
          <w:rFonts w:ascii="Tahoma" w:hAnsi="Tahoma" w:cs="Tahoma"/>
          <w:sz w:val="24"/>
          <w:szCs w:val="24"/>
        </w:rPr>
      </w:pPr>
      <w:r w:rsidRPr="00D64CB9">
        <w:rPr>
          <w:rFonts w:ascii="Tahoma" w:hAnsi="Tahoma" w:cs="Tahoma"/>
          <w:sz w:val="24"/>
          <w:szCs w:val="24"/>
        </w:rPr>
        <w:t>Aparte de los anteriores dictámenes, en la audiencia de que trata el artículo 77 del C.P.T y de la S.S.</w:t>
      </w:r>
      <w:r w:rsidRPr="00D64CB9">
        <w:rPr>
          <w:rStyle w:val="Refdenotaalpie"/>
          <w:rFonts w:ascii="Tahoma" w:hAnsi="Tahoma" w:cs="Tahoma"/>
          <w:sz w:val="24"/>
          <w:szCs w:val="24"/>
        </w:rPr>
        <w:footnoteReference w:id="4"/>
      </w:r>
      <w:r w:rsidRPr="00D64CB9">
        <w:rPr>
          <w:rFonts w:ascii="Tahoma" w:hAnsi="Tahoma" w:cs="Tahoma"/>
          <w:sz w:val="24"/>
          <w:szCs w:val="24"/>
        </w:rPr>
        <w:t xml:space="preserve"> la jueza de </w:t>
      </w:r>
      <w:r w:rsidR="5933CFB4" w:rsidRPr="00D64CB9">
        <w:rPr>
          <w:rFonts w:ascii="Tahoma" w:hAnsi="Tahoma" w:cs="Tahoma"/>
          <w:sz w:val="24"/>
          <w:szCs w:val="24"/>
        </w:rPr>
        <w:t>oficio</w:t>
      </w:r>
      <w:r w:rsidRPr="00D64CB9">
        <w:rPr>
          <w:rFonts w:ascii="Tahoma" w:hAnsi="Tahoma" w:cs="Tahoma"/>
          <w:sz w:val="24"/>
          <w:szCs w:val="24"/>
        </w:rPr>
        <w:t xml:space="preserve"> ordenó la calificación del actor por parte de la Junta Nacional de Invalidez, en una Sala distinta a la que emitió el dictamen No. 70130262-573 del 25 de mayo de 2018. El requerimiento judicial fue atendido por la Sala Segunda de la Junta demandada, que emitió el dictamen No. 70130262-11659 del 1 de julio de 2021</w:t>
      </w:r>
      <w:r w:rsidRPr="00D64CB9">
        <w:rPr>
          <w:rStyle w:val="Refdenotaalpie"/>
          <w:rFonts w:ascii="Tahoma" w:hAnsi="Tahoma" w:cs="Tahoma"/>
          <w:sz w:val="24"/>
          <w:szCs w:val="24"/>
        </w:rPr>
        <w:footnoteReference w:id="5"/>
      </w:r>
      <w:r w:rsidRPr="00D64CB9">
        <w:rPr>
          <w:rFonts w:ascii="Tahoma" w:hAnsi="Tahoma" w:cs="Tahoma"/>
          <w:sz w:val="24"/>
          <w:szCs w:val="24"/>
        </w:rPr>
        <w:t>, en el que mantuvo incólume el dictamen proferido por su homónima en la Sala Cuarta el 25 de mayo de 2018, argumentando que, en virtud del artículo 5 del decreto 1507 de 2014, al tratarse de una recalificación</w:t>
      </w:r>
      <w:r w:rsidR="00044958" w:rsidRPr="00D64CB9">
        <w:rPr>
          <w:rFonts w:ascii="Tahoma" w:hAnsi="Tahoma" w:cs="Tahoma"/>
          <w:sz w:val="24"/>
          <w:szCs w:val="24"/>
        </w:rPr>
        <w:t xml:space="preserve"> o revisión</w:t>
      </w:r>
      <w:r w:rsidRPr="00D64CB9">
        <w:rPr>
          <w:rFonts w:ascii="Tahoma" w:hAnsi="Tahoma" w:cs="Tahoma"/>
          <w:sz w:val="24"/>
          <w:szCs w:val="24"/>
        </w:rPr>
        <w:t>, debía aplicarse el Decreto 917 de 1999.</w:t>
      </w:r>
    </w:p>
    <w:p w14:paraId="6EB6ADA3" w14:textId="77777777" w:rsidR="00B04B57" w:rsidRPr="00D64CB9" w:rsidRDefault="00B04B57" w:rsidP="00D64CB9">
      <w:pPr>
        <w:spacing w:after="0" w:line="276" w:lineRule="auto"/>
        <w:jc w:val="both"/>
        <w:rPr>
          <w:rFonts w:ascii="Tahoma" w:hAnsi="Tahoma" w:cs="Tahoma"/>
          <w:bCs/>
          <w:sz w:val="24"/>
          <w:szCs w:val="24"/>
        </w:rPr>
      </w:pPr>
    </w:p>
    <w:p w14:paraId="4E806B8F" w14:textId="2C5C8271" w:rsidR="00B04B57" w:rsidRPr="00D64CB9" w:rsidRDefault="00B04B57" w:rsidP="00D64CB9">
      <w:pPr>
        <w:spacing w:after="0" w:line="276" w:lineRule="auto"/>
        <w:ind w:firstLine="708"/>
        <w:jc w:val="both"/>
        <w:rPr>
          <w:rFonts w:ascii="Tahoma" w:hAnsi="Tahoma" w:cs="Tahoma"/>
          <w:bCs/>
          <w:sz w:val="24"/>
          <w:szCs w:val="24"/>
        </w:rPr>
      </w:pPr>
      <w:r w:rsidRPr="00D64CB9">
        <w:rPr>
          <w:rFonts w:ascii="Tahoma" w:hAnsi="Tahoma" w:cs="Tahoma"/>
          <w:bCs/>
          <w:sz w:val="24"/>
          <w:szCs w:val="24"/>
        </w:rPr>
        <w:t>El demandante, en aras de contradecir el dictamen anterior, dentro del término de traslado, aportó dictamen de pérdida de capacidad laboral, elaborado por el Médico laboral Dr. Armando Cardozo Vargas el 01 de octubre de 2021</w:t>
      </w:r>
      <w:r w:rsidRPr="00D64CB9">
        <w:rPr>
          <w:rStyle w:val="Refdenotaalpie"/>
          <w:rFonts w:ascii="Tahoma" w:hAnsi="Tahoma" w:cs="Tahoma"/>
          <w:bCs/>
          <w:sz w:val="24"/>
          <w:szCs w:val="24"/>
        </w:rPr>
        <w:footnoteReference w:id="6"/>
      </w:r>
      <w:r w:rsidRPr="00D64CB9">
        <w:rPr>
          <w:rFonts w:ascii="Tahoma" w:hAnsi="Tahoma" w:cs="Tahoma"/>
          <w:bCs/>
          <w:sz w:val="24"/>
          <w:szCs w:val="24"/>
        </w:rPr>
        <w:t>, que, en el acápite denominado examen físico, expone que el Oftalmólogo, Dr. Humberto Henao Flórez 31/08/2016, expuso, ojo derecho, no percibe luz, ojo izquierdo 20/25, DISMINUCIÓN DE AGUDEZA VISUAL DETECTADA EN LA VALORACIÓN DEL OFTALMOLÓGO EL DÍA 31/08/2021. Y EL GRAVE COMPROMISO DE LAS CAMPIMETRIA REPORTADA 24/06/2016. CON DIAGNÓSTICO DE GLAUCOMA DE OJO IZQUIERDO. Emite calificación de acuerdo al Decreto 1507 de 2014, capítulo 11, tabla 11.1 porcentaje 75,68%, sumatoria de la deficiencia ponderada 37,84%, igual que la junta Regional.</w:t>
      </w:r>
    </w:p>
    <w:p w14:paraId="5388EA3A" w14:textId="77777777" w:rsidR="00B04B57" w:rsidRPr="00D64CB9" w:rsidRDefault="00B04B57" w:rsidP="00D64CB9">
      <w:pPr>
        <w:spacing w:after="0" w:line="276" w:lineRule="auto"/>
        <w:ind w:firstLine="708"/>
        <w:jc w:val="both"/>
        <w:rPr>
          <w:rFonts w:ascii="Tahoma" w:hAnsi="Tahoma" w:cs="Tahoma"/>
          <w:bCs/>
          <w:sz w:val="24"/>
          <w:szCs w:val="24"/>
        </w:rPr>
      </w:pPr>
    </w:p>
    <w:p w14:paraId="33472705" w14:textId="26377B42" w:rsidR="00B04B57" w:rsidRPr="00D64CB9" w:rsidRDefault="00B04B57" w:rsidP="00D64CB9">
      <w:pPr>
        <w:spacing w:after="0" w:line="276" w:lineRule="auto"/>
        <w:ind w:firstLine="708"/>
        <w:jc w:val="both"/>
        <w:rPr>
          <w:rFonts w:ascii="Tahoma" w:hAnsi="Tahoma" w:cs="Tahoma"/>
          <w:bCs/>
          <w:sz w:val="24"/>
          <w:szCs w:val="24"/>
        </w:rPr>
      </w:pPr>
      <w:r w:rsidRPr="00D64CB9">
        <w:rPr>
          <w:rFonts w:ascii="Tahoma" w:hAnsi="Tahoma" w:cs="Tahoma"/>
          <w:bCs/>
          <w:sz w:val="24"/>
          <w:szCs w:val="24"/>
        </w:rPr>
        <w:t xml:space="preserve">Finalmente, por requerimiento de la </w:t>
      </w:r>
      <w:r w:rsidRPr="00D64CB9">
        <w:rPr>
          <w:rFonts w:ascii="Tahoma" w:hAnsi="Tahoma" w:cs="Tahoma"/>
          <w:bCs/>
          <w:i/>
          <w:sz w:val="24"/>
          <w:szCs w:val="24"/>
        </w:rPr>
        <w:t>a-quo</w:t>
      </w:r>
      <w:r w:rsidRPr="00D64CB9">
        <w:rPr>
          <w:rFonts w:ascii="Tahoma" w:hAnsi="Tahoma" w:cs="Tahoma"/>
          <w:bCs/>
          <w:sz w:val="24"/>
          <w:szCs w:val="24"/>
        </w:rPr>
        <w:t>, el 8 de junio de 2022</w:t>
      </w:r>
      <w:r w:rsidRPr="00D64CB9">
        <w:rPr>
          <w:rStyle w:val="Refdenotaalpie"/>
          <w:rFonts w:ascii="Tahoma" w:hAnsi="Tahoma" w:cs="Tahoma"/>
          <w:bCs/>
          <w:sz w:val="24"/>
          <w:szCs w:val="24"/>
        </w:rPr>
        <w:footnoteReference w:id="7"/>
      </w:r>
      <w:r w:rsidRPr="00D64CB9">
        <w:rPr>
          <w:rFonts w:ascii="Tahoma" w:hAnsi="Tahoma" w:cs="Tahoma"/>
          <w:bCs/>
          <w:sz w:val="24"/>
          <w:szCs w:val="24"/>
        </w:rPr>
        <w:t>, La Junta Nacional emitió nuevo dictamen No. 70130262-11659-1 del 24/06/2022, de conformidad con el Decreto 1507 de 2014; deficiencia: deficiencia por sistema visual, valor deficiencia: 42.40%</w:t>
      </w:r>
      <w:r w:rsidR="004B6910" w:rsidRPr="00D64CB9">
        <w:rPr>
          <w:rFonts w:ascii="Tahoma" w:hAnsi="Tahoma" w:cs="Tahoma"/>
          <w:bCs/>
          <w:sz w:val="24"/>
          <w:szCs w:val="24"/>
        </w:rPr>
        <w:t>, que ponderado arroja una deficiencia final de 21,42%, sumada al 10,70 de valoración del rol laboral, rol ocupacional y otras áreas ocupacionales, lo que arroja un porcentaje de PCL total del 31,90%.</w:t>
      </w:r>
    </w:p>
    <w:p w14:paraId="02568ACF" w14:textId="3DC04897" w:rsidR="730ABC5D" w:rsidRPr="00D64CB9" w:rsidRDefault="730ABC5D" w:rsidP="00D64CB9">
      <w:pPr>
        <w:spacing w:after="0" w:line="276" w:lineRule="auto"/>
        <w:ind w:firstLine="708"/>
        <w:jc w:val="both"/>
        <w:rPr>
          <w:rFonts w:ascii="Tahoma" w:hAnsi="Tahoma" w:cs="Tahoma"/>
          <w:b/>
          <w:bCs/>
          <w:sz w:val="24"/>
          <w:szCs w:val="24"/>
        </w:rPr>
      </w:pPr>
    </w:p>
    <w:p w14:paraId="6DF8922E" w14:textId="2A30C75A" w:rsidR="004B6910" w:rsidRPr="00D64CB9" w:rsidRDefault="002B6FD0" w:rsidP="00D64CB9">
      <w:pPr>
        <w:pStyle w:val="Prrafodelista"/>
        <w:numPr>
          <w:ilvl w:val="2"/>
          <w:numId w:val="13"/>
        </w:numPr>
        <w:spacing w:line="276" w:lineRule="auto"/>
        <w:ind w:left="0" w:firstLine="709"/>
        <w:rPr>
          <w:rFonts w:cs="Tahoma"/>
          <w:b/>
          <w:bCs/>
          <w:szCs w:val="24"/>
        </w:rPr>
      </w:pPr>
      <w:r>
        <w:rPr>
          <w:rFonts w:cs="Tahoma"/>
          <w:b/>
          <w:bCs/>
          <w:szCs w:val="24"/>
        </w:rPr>
        <w:t xml:space="preserve"> </w:t>
      </w:r>
      <w:r w:rsidR="004B6910" w:rsidRPr="00D64CB9">
        <w:rPr>
          <w:rFonts w:cs="Tahoma"/>
          <w:b/>
          <w:bCs/>
          <w:szCs w:val="24"/>
        </w:rPr>
        <w:t>Análisis de la prueba documental</w:t>
      </w:r>
    </w:p>
    <w:p w14:paraId="080300A2" w14:textId="767D03E4" w:rsidR="009C28E9" w:rsidRPr="00D64CB9" w:rsidRDefault="009C28E9" w:rsidP="00D64CB9">
      <w:pPr>
        <w:spacing w:after="0" w:line="276" w:lineRule="auto"/>
        <w:jc w:val="both"/>
        <w:rPr>
          <w:rFonts w:ascii="Tahoma" w:hAnsi="Tahoma" w:cs="Tahoma"/>
          <w:bCs/>
          <w:sz w:val="24"/>
          <w:szCs w:val="24"/>
        </w:rPr>
      </w:pPr>
    </w:p>
    <w:p w14:paraId="350B4BC6" w14:textId="2D8E35EE" w:rsidR="004B6910" w:rsidRPr="00D64CB9" w:rsidRDefault="004B6910" w:rsidP="00D64CB9">
      <w:pPr>
        <w:spacing w:after="0" w:line="276" w:lineRule="auto"/>
        <w:ind w:firstLine="708"/>
        <w:jc w:val="both"/>
        <w:rPr>
          <w:rFonts w:ascii="Tahoma" w:hAnsi="Tahoma" w:cs="Tahoma"/>
          <w:bCs/>
          <w:sz w:val="24"/>
          <w:szCs w:val="24"/>
        </w:rPr>
      </w:pPr>
      <w:bookmarkStart w:id="6" w:name="_Hlk142132529"/>
      <w:r w:rsidRPr="00D64CB9">
        <w:rPr>
          <w:rFonts w:ascii="Tahoma" w:hAnsi="Tahoma" w:cs="Tahoma"/>
          <w:bCs/>
          <w:sz w:val="24"/>
          <w:szCs w:val="24"/>
        </w:rPr>
        <w:t>Lo primero que debe señalarse</w:t>
      </w:r>
      <w:r w:rsidR="001B6BEE" w:rsidRPr="00D64CB9">
        <w:rPr>
          <w:rFonts w:ascii="Tahoma" w:hAnsi="Tahoma" w:cs="Tahoma"/>
          <w:bCs/>
          <w:sz w:val="24"/>
          <w:szCs w:val="24"/>
        </w:rPr>
        <w:t xml:space="preserve"> </w:t>
      </w:r>
      <w:r w:rsidRPr="00D64CB9">
        <w:rPr>
          <w:rFonts w:ascii="Tahoma" w:hAnsi="Tahoma" w:cs="Tahoma"/>
          <w:bCs/>
          <w:sz w:val="24"/>
          <w:szCs w:val="24"/>
        </w:rPr>
        <w:t xml:space="preserve">es que la calificación efectuada al demandante el </w:t>
      </w:r>
      <w:r w:rsidR="001B6BEE" w:rsidRPr="00D64CB9">
        <w:rPr>
          <w:rFonts w:ascii="Tahoma" w:hAnsi="Tahoma" w:cs="Tahoma"/>
          <w:bCs/>
          <w:sz w:val="24"/>
          <w:szCs w:val="24"/>
        </w:rPr>
        <w:t>19</w:t>
      </w:r>
      <w:r w:rsidRPr="00D64CB9">
        <w:rPr>
          <w:rFonts w:ascii="Tahoma" w:hAnsi="Tahoma" w:cs="Tahoma"/>
          <w:bCs/>
          <w:sz w:val="24"/>
          <w:szCs w:val="24"/>
        </w:rPr>
        <w:t xml:space="preserve"> de </w:t>
      </w:r>
      <w:r w:rsidR="001B6BEE" w:rsidRPr="00D64CB9">
        <w:rPr>
          <w:rFonts w:ascii="Tahoma" w:hAnsi="Tahoma" w:cs="Tahoma"/>
          <w:bCs/>
          <w:sz w:val="24"/>
          <w:szCs w:val="24"/>
        </w:rPr>
        <w:t>abril</w:t>
      </w:r>
      <w:r w:rsidRPr="00D64CB9">
        <w:rPr>
          <w:rFonts w:ascii="Tahoma" w:hAnsi="Tahoma" w:cs="Tahoma"/>
          <w:bCs/>
          <w:sz w:val="24"/>
          <w:szCs w:val="24"/>
        </w:rPr>
        <w:t xml:space="preserve"> de 20</w:t>
      </w:r>
      <w:r w:rsidR="001B6BEE" w:rsidRPr="00D64CB9">
        <w:rPr>
          <w:rFonts w:ascii="Tahoma" w:hAnsi="Tahoma" w:cs="Tahoma"/>
          <w:bCs/>
          <w:sz w:val="24"/>
          <w:szCs w:val="24"/>
        </w:rPr>
        <w:t>17</w:t>
      </w:r>
      <w:r w:rsidRPr="00D64CB9">
        <w:rPr>
          <w:rFonts w:ascii="Tahoma" w:hAnsi="Tahoma" w:cs="Tahoma"/>
          <w:bCs/>
          <w:sz w:val="24"/>
          <w:szCs w:val="24"/>
        </w:rPr>
        <w:t xml:space="preserve"> por la JRCR </w:t>
      </w:r>
      <w:r w:rsidR="001B6BEE" w:rsidRPr="00D64CB9">
        <w:rPr>
          <w:rFonts w:ascii="Tahoma" w:hAnsi="Tahoma" w:cs="Tahoma"/>
          <w:bCs/>
          <w:sz w:val="24"/>
          <w:szCs w:val="24"/>
        </w:rPr>
        <w:t>no corresponde a una nueva calificación, sino a una revisión o recalificación, como bien lo señaló la JNC en el dictamen objeto de demanda en este proceso (emitido el 25 de mayo de 2018), como quiera que el demandante ya presentaba un dictamen o calificación previo en firme</w:t>
      </w:r>
      <w:bookmarkEnd w:id="6"/>
      <w:r w:rsidR="001B6BEE" w:rsidRPr="00D64CB9">
        <w:rPr>
          <w:rFonts w:ascii="Tahoma" w:hAnsi="Tahoma" w:cs="Tahoma"/>
          <w:bCs/>
          <w:sz w:val="24"/>
          <w:szCs w:val="24"/>
        </w:rPr>
        <w:t xml:space="preserve">, que arrojaba un incapacidad permanente parcial del 18,30% y que había sido determinada el 22 de enero de 2009, es decir, en vigencia del Decreto 917 de 1999. </w:t>
      </w:r>
    </w:p>
    <w:p w14:paraId="26608C19" w14:textId="60EB65A2" w:rsidR="001B6BEE" w:rsidRPr="00D64CB9" w:rsidRDefault="001B6BEE" w:rsidP="00D64CB9">
      <w:pPr>
        <w:spacing w:after="0" w:line="276" w:lineRule="auto"/>
        <w:ind w:firstLine="708"/>
        <w:jc w:val="both"/>
        <w:rPr>
          <w:rFonts w:ascii="Tahoma" w:hAnsi="Tahoma" w:cs="Tahoma"/>
          <w:bCs/>
          <w:sz w:val="24"/>
          <w:szCs w:val="24"/>
        </w:rPr>
      </w:pPr>
    </w:p>
    <w:p w14:paraId="41A6EDCA" w14:textId="781F5A6C" w:rsidR="001B6BEE" w:rsidRPr="00D64CB9" w:rsidRDefault="001B6BEE" w:rsidP="00D64CB9">
      <w:pPr>
        <w:spacing w:after="0" w:line="276" w:lineRule="auto"/>
        <w:ind w:firstLine="708"/>
        <w:jc w:val="both"/>
        <w:rPr>
          <w:rFonts w:ascii="Tahoma" w:hAnsi="Tahoma" w:cs="Tahoma"/>
          <w:bCs/>
          <w:sz w:val="24"/>
          <w:szCs w:val="24"/>
        </w:rPr>
      </w:pPr>
      <w:r w:rsidRPr="00D64CB9">
        <w:rPr>
          <w:rFonts w:ascii="Tahoma" w:hAnsi="Tahoma" w:cs="Tahoma"/>
          <w:bCs/>
          <w:sz w:val="24"/>
          <w:szCs w:val="24"/>
        </w:rPr>
        <w:t>Ello así, hizo mal la JRCI al acudir al manual o tabla de calificación vigente al momento de la calificación, esto es, al Decreto 1507 de 2014, pues debió aplicar el Decreto 917 de 1999, que correspondía al Manual de Calificación de PCL vigente al momento de la calificación objeto de revisión.</w:t>
      </w:r>
    </w:p>
    <w:p w14:paraId="65DCE209" w14:textId="65D85666" w:rsidR="001B6BEE" w:rsidRPr="00D64CB9" w:rsidRDefault="001B6BEE" w:rsidP="00D64CB9">
      <w:pPr>
        <w:spacing w:after="0" w:line="276" w:lineRule="auto"/>
        <w:ind w:firstLine="708"/>
        <w:jc w:val="both"/>
        <w:rPr>
          <w:rFonts w:ascii="Tahoma" w:hAnsi="Tahoma" w:cs="Tahoma"/>
          <w:bCs/>
          <w:sz w:val="24"/>
          <w:szCs w:val="24"/>
        </w:rPr>
      </w:pPr>
    </w:p>
    <w:p w14:paraId="318A7738" w14:textId="6DC1C70C" w:rsidR="00044958" w:rsidRPr="00D64CB9" w:rsidRDefault="001B6BEE" w:rsidP="00D64CB9">
      <w:pPr>
        <w:spacing w:after="0" w:line="276" w:lineRule="auto"/>
        <w:ind w:firstLine="708"/>
        <w:jc w:val="both"/>
        <w:rPr>
          <w:rFonts w:ascii="Tahoma" w:hAnsi="Tahoma" w:cs="Tahoma"/>
          <w:bCs/>
          <w:sz w:val="24"/>
          <w:szCs w:val="24"/>
        </w:rPr>
      </w:pPr>
      <w:r w:rsidRPr="00D64CB9">
        <w:rPr>
          <w:rFonts w:ascii="Tahoma" w:hAnsi="Tahoma" w:cs="Tahoma"/>
          <w:bCs/>
          <w:sz w:val="24"/>
          <w:szCs w:val="24"/>
        </w:rPr>
        <w:t xml:space="preserve">Esta sola irregularidad </w:t>
      </w:r>
      <w:r w:rsidR="00046EA8" w:rsidRPr="00D64CB9">
        <w:rPr>
          <w:rFonts w:ascii="Tahoma" w:hAnsi="Tahoma" w:cs="Tahoma"/>
          <w:bCs/>
          <w:sz w:val="24"/>
          <w:szCs w:val="24"/>
        </w:rPr>
        <w:t xml:space="preserve">es suficiente para </w:t>
      </w:r>
      <w:r w:rsidRPr="00D64CB9">
        <w:rPr>
          <w:rFonts w:ascii="Tahoma" w:hAnsi="Tahoma" w:cs="Tahoma"/>
          <w:bCs/>
          <w:sz w:val="24"/>
          <w:szCs w:val="24"/>
        </w:rPr>
        <w:t>invalida</w:t>
      </w:r>
      <w:r w:rsidR="00046EA8" w:rsidRPr="00D64CB9">
        <w:rPr>
          <w:rFonts w:ascii="Tahoma" w:hAnsi="Tahoma" w:cs="Tahoma"/>
          <w:bCs/>
          <w:sz w:val="24"/>
          <w:szCs w:val="24"/>
        </w:rPr>
        <w:t>r</w:t>
      </w:r>
      <w:r w:rsidRPr="00D64CB9">
        <w:rPr>
          <w:rFonts w:ascii="Tahoma" w:hAnsi="Tahoma" w:cs="Tahoma"/>
          <w:bCs/>
          <w:sz w:val="24"/>
          <w:szCs w:val="24"/>
        </w:rPr>
        <w:t xml:space="preserve"> el resultado de la calificación del </w:t>
      </w:r>
      <w:r w:rsidR="00046EA8" w:rsidRPr="00D64CB9">
        <w:rPr>
          <w:rFonts w:ascii="Tahoma" w:hAnsi="Tahoma" w:cs="Tahoma"/>
          <w:bCs/>
          <w:sz w:val="24"/>
          <w:szCs w:val="24"/>
        </w:rPr>
        <w:t xml:space="preserve">19 de abril de 2017 emitida por la JRCR, en </w:t>
      </w:r>
      <w:r w:rsidR="003D7A36" w:rsidRPr="00D64CB9">
        <w:rPr>
          <w:rFonts w:ascii="Tahoma" w:hAnsi="Tahoma" w:cs="Tahoma"/>
          <w:bCs/>
          <w:sz w:val="24"/>
          <w:szCs w:val="24"/>
        </w:rPr>
        <w:t>la</w:t>
      </w:r>
      <w:r w:rsidR="00046EA8" w:rsidRPr="00D64CB9">
        <w:rPr>
          <w:rFonts w:ascii="Tahoma" w:hAnsi="Tahoma" w:cs="Tahoma"/>
          <w:bCs/>
          <w:sz w:val="24"/>
          <w:szCs w:val="24"/>
        </w:rPr>
        <w:t xml:space="preserve"> que el ente calificador fijó la PCL del actor en 59,94%; pero este no es el único error en que incurre </w:t>
      </w:r>
      <w:r w:rsidR="00044958" w:rsidRPr="00D64CB9">
        <w:rPr>
          <w:rFonts w:ascii="Tahoma" w:hAnsi="Tahoma" w:cs="Tahoma"/>
          <w:bCs/>
          <w:sz w:val="24"/>
          <w:szCs w:val="24"/>
        </w:rPr>
        <w:t>esta</w:t>
      </w:r>
      <w:r w:rsidR="00046EA8" w:rsidRPr="00D64CB9">
        <w:rPr>
          <w:rFonts w:ascii="Tahoma" w:hAnsi="Tahoma" w:cs="Tahoma"/>
          <w:bCs/>
          <w:sz w:val="24"/>
          <w:szCs w:val="24"/>
        </w:rPr>
        <w:t xml:space="preserve"> calificación</w:t>
      </w:r>
      <w:r w:rsidR="00044958" w:rsidRPr="00D64CB9">
        <w:rPr>
          <w:rFonts w:ascii="Tahoma" w:hAnsi="Tahoma" w:cs="Tahoma"/>
          <w:bCs/>
          <w:sz w:val="24"/>
          <w:szCs w:val="24"/>
        </w:rPr>
        <w:t xml:space="preserve"> y el dictamen emitido el 21 de octubre de 2021 por el perito - Médico laboral Dr. Armando Cardozo Vargas</w:t>
      </w:r>
      <w:r w:rsidR="00046EA8" w:rsidRPr="00D64CB9">
        <w:rPr>
          <w:rFonts w:ascii="Tahoma" w:hAnsi="Tahoma" w:cs="Tahoma"/>
          <w:bCs/>
          <w:sz w:val="24"/>
          <w:szCs w:val="24"/>
        </w:rPr>
        <w:t xml:space="preserve">, </w:t>
      </w:r>
      <w:r w:rsidR="003D7A36" w:rsidRPr="00D64CB9">
        <w:rPr>
          <w:rFonts w:ascii="Tahoma" w:hAnsi="Tahoma" w:cs="Tahoma"/>
          <w:bCs/>
          <w:sz w:val="24"/>
          <w:szCs w:val="24"/>
        </w:rPr>
        <w:t>pues ha de agregarse que</w:t>
      </w:r>
      <w:r w:rsidR="00044958" w:rsidRPr="00D64CB9">
        <w:rPr>
          <w:rFonts w:ascii="Tahoma" w:hAnsi="Tahoma" w:cs="Tahoma"/>
          <w:bCs/>
          <w:sz w:val="24"/>
          <w:szCs w:val="24"/>
        </w:rPr>
        <w:t xml:space="preserve"> estos dictámenes</w:t>
      </w:r>
      <w:r w:rsidR="00046EA8" w:rsidRPr="00D64CB9">
        <w:rPr>
          <w:rFonts w:ascii="Tahoma" w:hAnsi="Tahoma" w:cs="Tahoma"/>
          <w:bCs/>
          <w:sz w:val="24"/>
          <w:szCs w:val="24"/>
        </w:rPr>
        <w:t xml:space="preserve"> se efectu</w:t>
      </w:r>
      <w:r w:rsidR="00044958" w:rsidRPr="00D64CB9">
        <w:rPr>
          <w:rFonts w:ascii="Tahoma" w:hAnsi="Tahoma" w:cs="Tahoma"/>
          <w:bCs/>
          <w:sz w:val="24"/>
          <w:szCs w:val="24"/>
        </w:rPr>
        <w:t>aron</w:t>
      </w:r>
      <w:r w:rsidR="00046EA8" w:rsidRPr="00D64CB9">
        <w:rPr>
          <w:rFonts w:ascii="Tahoma" w:hAnsi="Tahoma" w:cs="Tahoma"/>
          <w:bCs/>
          <w:sz w:val="24"/>
          <w:szCs w:val="24"/>
        </w:rPr>
        <w:t xml:space="preserve"> sin el resultado de potenciales evocados visuales por oftalmología, los cuales fueron ordenados por la JNC en el marco de la apelación del dictamen de 19 de abril de 2017, arrojando</w:t>
      </w:r>
      <w:r w:rsidR="003D7A36" w:rsidRPr="00D64CB9">
        <w:rPr>
          <w:rFonts w:ascii="Tahoma" w:hAnsi="Tahoma" w:cs="Tahoma"/>
          <w:bCs/>
          <w:sz w:val="24"/>
          <w:szCs w:val="24"/>
        </w:rPr>
        <w:t>:</w:t>
      </w:r>
      <w:r w:rsidR="00046EA8" w:rsidRPr="00D64CB9">
        <w:rPr>
          <w:rFonts w:ascii="Tahoma" w:hAnsi="Tahoma" w:cs="Tahoma"/>
          <w:bCs/>
          <w:sz w:val="24"/>
          <w:szCs w:val="24"/>
        </w:rPr>
        <w:t xml:space="preserve"> </w:t>
      </w:r>
      <w:r w:rsidR="00046EA8" w:rsidRPr="00D64CB9">
        <w:rPr>
          <w:rFonts w:ascii="Tahoma" w:hAnsi="Tahoma" w:cs="Tahoma"/>
          <w:bCs/>
          <w:i/>
          <w:sz w:val="24"/>
          <w:szCs w:val="24"/>
        </w:rPr>
        <w:t>“</w:t>
      </w:r>
      <w:r w:rsidR="00046EA8" w:rsidRPr="00FA2F50">
        <w:rPr>
          <w:rFonts w:ascii="Tahoma" w:hAnsi="Tahoma" w:cs="Tahoma"/>
          <w:bCs/>
          <w:i/>
          <w:szCs w:val="24"/>
        </w:rPr>
        <w:t xml:space="preserve">agudeza visual con corrección ojo derecho: no percibe luz y ojo izquierdo </w:t>
      </w:r>
      <w:r w:rsidR="003D7A36" w:rsidRPr="00FA2F50">
        <w:rPr>
          <w:rFonts w:ascii="Tahoma" w:hAnsi="Tahoma" w:cs="Tahoma"/>
          <w:bCs/>
          <w:i/>
          <w:szCs w:val="24"/>
        </w:rPr>
        <w:t>20/30</w:t>
      </w:r>
      <w:r w:rsidR="003D7A36" w:rsidRPr="00D64CB9">
        <w:rPr>
          <w:rFonts w:ascii="Tahoma" w:hAnsi="Tahoma" w:cs="Tahoma"/>
          <w:bCs/>
          <w:i/>
          <w:sz w:val="24"/>
          <w:szCs w:val="24"/>
        </w:rPr>
        <w:t>”</w:t>
      </w:r>
      <w:r w:rsidR="003D7A36" w:rsidRPr="00D64CB9">
        <w:rPr>
          <w:rFonts w:ascii="Tahoma" w:hAnsi="Tahoma" w:cs="Tahoma"/>
          <w:bCs/>
          <w:sz w:val="24"/>
          <w:szCs w:val="24"/>
        </w:rPr>
        <w:t>, lo que según tabla 13.2 del Decreto 917 de 1999, corresponde a 17% y no al elevado 75,68%, como erróneamente lo había determinado la JRCR.</w:t>
      </w:r>
    </w:p>
    <w:p w14:paraId="7E6CF5F4" w14:textId="77777777" w:rsidR="00044958" w:rsidRPr="00D64CB9" w:rsidRDefault="00044958" w:rsidP="00D64CB9">
      <w:pPr>
        <w:spacing w:after="0" w:line="276" w:lineRule="auto"/>
        <w:ind w:firstLine="708"/>
        <w:jc w:val="both"/>
        <w:rPr>
          <w:rFonts w:ascii="Tahoma" w:hAnsi="Tahoma" w:cs="Tahoma"/>
          <w:bCs/>
          <w:sz w:val="24"/>
          <w:szCs w:val="24"/>
        </w:rPr>
      </w:pPr>
    </w:p>
    <w:p w14:paraId="044DED1C" w14:textId="6C76F879" w:rsidR="00044958" w:rsidRPr="00D64CB9" w:rsidRDefault="003D7A36" w:rsidP="00D64CB9">
      <w:pPr>
        <w:spacing w:after="0" w:line="276" w:lineRule="auto"/>
        <w:ind w:firstLine="708"/>
        <w:jc w:val="both"/>
        <w:rPr>
          <w:rFonts w:ascii="Tahoma" w:hAnsi="Tahoma" w:cs="Tahoma"/>
          <w:bCs/>
          <w:sz w:val="24"/>
          <w:szCs w:val="24"/>
        </w:rPr>
      </w:pPr>
      <w:r w:rsidRPr="00D64CB9">
        <w:rPr>
          <w:rFonts w:ascii="Tahoma" w:hAnsi="Tahoma" w:cs="Tahoma"/>
          <w:bCs/>
          <w:sz w:val="24"/>
          <w:szCs w:val="24"/>
        </w:rPr>
        <w:t>Cabe agregar que</w:t>
      </w:r>
      <w:r w:rsidR="005F56D3" w:rsidRPr="00D64CB9">
        <w:rPr>
          <w:rFonts w:ascii="Tahoma" w:hAnsi="Tahoma" w:cs="Tahoma"/>
          <w:bCs/>
          <w:sz w:val="24"/>
          <w:szCs w:val="24"/>
        </w:rPr>
        <w:t>,</w:t>
      </w:r>
      <w:r w:rsidRPr="00D64CB9">
        <w:rPr>
          <w:rFonts w:ascii="Tahoma" w:hAnsi="Tahoma" w:cs="Tahoma"/>
          <w:bCs/>
          <w:sz w:val="24"/>
          <w:szCs w:val="24"/>
        </w:rPr>
        <w:t xml:space="preserve"> aunque en efecto el demandante presenta ceguera total por ojo derecho, conserva visión aceptable por ojo </w:t>
      </w:r>
      <w:r w:rsidR="005F56D3" w:rsidRPr="00D64CB9">
        <w:rPr>
          <w:rFonts w:ascii="Tahoma" w:hAnsi="Tahoma" w:cs="Tahoma"/>
          <w:bCs/>
          <w:sz w:val="24"/>
          <w:szCs w:val="24"/>
        </w:rPr>
        <w:t>izquierdo</w:t>
      </w:r>
      <w:r w:rsidRPr="00D64CB9">
        <w:rPr>
          <w:rFonts w:ascii="Tahoma" w:hAnsi="Tahoma" w:cs="Tahoma"/>
          <w:bCs/>
          <w:sz w:val="24"/>
          <w:szCs w:val="24"/>
        </w:rPr>
        <w:t xml:space="preserve">, dentro del rango de 20/25 a 20/32 (medida inglesa), que, </w:t>
      </w:r>
      <w:r w:rsidR="005F56D3" w:rsidRPr="00D64CB9">
        <w:rPr>
          <w:rFonts w:ascii="Tahoma" w:hAnsi="Tahoma" w:cs="Tahoma"/>
          <w:bCs/>
          <w:sz w:val="24"/>
          <w:szCs w:val="24"/>
        </w:rPr>
        <w:t xml:space="preserve">en caso de “ojo único”, debe determinarse en la intersección vertical de los niveles de agudeza visual de la primera línea del cuadro 13.2 </w:t>
      </w:r>
      <w:r w:rsidR="00834A05" w:rsidRPr="00D64CB9">
        <w:rPr>
          <w:rFonts w:ascii="Tahoma" w:hAnsi="Tahoma" w:cs="Tahoma"/>
          <w:bCs/>
          <w:sz w:val="24"/>
          <w:szCs w:val="24"/>
        </w:rPr>
        <w:t xml:space="preserve">(Decreto 917 de 1999) </w:t>
      </w:r>
      <w:r w:rsidR="005F56D3" w:rsidRPr="00D64CB9">
        <w:rPr>
          <w:rFonts w:ascii="Tahoma" w:hAnsi="Tahoma" w:cs="Tahoma"/>
          <w:bCs/>
          <w:sz w:val="24"/>
          <w:szCs w:val="24"/>
        </w:rPr>
        <w:t>con la columna horizontal del ojo ciego, que arroja un</w:t>
      </w:r>
      <w:r w:rsidR="00044958" w:rsidRPr="00D64CB9">
        <w:rPr>
          <w:rFonts w:ascii="Tahoma" w:hAnsi="Tahoma" w:cs="Tahoma"/>
          <w:bCs/>
          <w:sz w:val="24"/>
          <w:szCs w:val="24"/>
        </w:rPr>
        <w:t>a</w:t>
      </w:r>
      <w:r w:rsidR="005F56D3" w:rsidRPr="00D64CB9">
        <w:rPr>
          <w:rFonts w:ascii="Tahoma" w:hAnsi="Tahoma" w:cs="Tahoma"/>
          <w:bCs/>
          <w:sz w:val="24"/>
          <w:szCs w:val="24"/>
        </w:rPr>
        <w:t xml:space="preserve"> deficiencia del </w:t>
      </w:r>
      <w:r w:rsidR="00044958" w:rsidRPr="00D64CB9">
        <w:rPr>
          <w:rFonts w:ascii="Tahoma" w:hAnsi="Tahoma" w:cs="Tahoma"/>
          <w:bCs/>
          <w:sz w:val="24"/>
          <w:szCs w:val="24"/>
        </w:rPr>
        <w:t>17%.</w:t>
      </w:r>
    </w:p>
    <w:p w14:paraId="5AFC031F" w14:textId="1110A4CA" w:rsidR="00044958" w:rsidRPr="00D64CB9" w:rsidRDefault="00044958" w:rsidP="00D64CB9">
      <w:pPr>
        <w:spacing w:after="0" w:line="276" w:lineRule="auto"/>
        <w:ind w:firstLine="708"/>
        <w:jc w:val="both"/>
        <w:rPr>
          <w:rFonts w:ascii="Tahoma" w:hAnsi="Tahoma" w:cs="Tahoma"/>
          <w:bCs/>
          <w:sz w:val="24"/>
          <w:szCs w:val="24"/>
        </w:rPr>
      </w:pPr>
    </w:p>
    <w:p w14:paraId="1C52195C" w14:textId="1D2F3D82" w:rsidR="008161F2" w:rsidRPr="00D64CB9" w:rsidRDefault="00044958" w:rsidP="00D64CB9">
      <w:pPr>
        <w:spacing w:after="0" w:line="276" w:lineRule="auto"/>
        <w:ind w:firstLine="708"/>
        <w:jc w:val="both"/>
        <w:rPr>
          <w:rFonts w:ascii="Tahoma" w:hAnsi="Tahoma" w:cs="Tahoma"/>
          <w:sz w:val="24"/>
          <w:szCs w:val="24"/>
        </w:rPr>
      </w:pPr>
      <w:r w:rsidRPr="00D64CB9">
        <w:rPr>
          <w:rFonts w:ascii="Tahoma" w:hAnsi="Tahoma" w:cs="Tahoma"/>
          <w:sz w:val="24"/>
          <w:szCs w:val="24"/>
        </w:rPr>
        <w:t>No sobra anotar que incluso si se aceptara la errada tesis del demandante en cuanto a que l</w:t>
      </w:r>
      <w:r w:rsidR="00597F03" w:rsidRPr="00D64CB9">
        <w:rPr>
          <w:rFonts w:ascii="Tahoma" w:hAnsi="Tahoma" w:cs="Tahoma"/>
          <w:sz w:val="24"/>
          <w:szCs w:val="24"/>
        </w:rPr>
        <w:t>o</w:t>
      </w:r>
      <w:r w:rsidRPr="00D64CB9">
        <w:rPr>
          <w:rFonts w:ascii="Tahoma" w:hAnsi="Tahoma" w:cs="Tahoma"/>
          <w:sz w:val="24"/>
          <w:szCs w:val="24"/>
        </w:rPr>
        <w:t>s</w:t>
      </w:r>
      <w:r w:rsidR="00597F03" w:rsidRPr="00D64CB9">
        <w:rPr>
          <w:rFonts w:ascii="Tahoma" w:hAnsi="Tahoma" w:cs="Tahoma"/>
          <w:sz w:val="24"/>
          <w:szCs w:val="24"/>
        </w:rPr>
        <w:t xml:space="preserve"> dictámenes </w:t>
      </w:r>
      <w:r w:rsidRPr="00D64CB9">
        <w:rPr>
          <w:rFonts w:ascii="Tahoma" w:hAnsi="Tahoma" w:cs="Tahoma"/>
          <w:sz w:val="24"/>
          <w:szCs w:val="24"/>
        </w:rPr>
        <w:t>de los años 2017 y 2018, corresponde</w:t>
      </w:r>
      <w:r w:rsidR="4E09DED2" w:rsidRPr="00D64CB9">
        <w:rPr>
          <w:rFonts w:ascii="Tahoma" w:hAnsi="Tahoma" w:cs="Tahoma"/>
          <w:sz w:val="24"/>
          <w:szCs w:val="24"/>
        </w:rPr>
        <w:t>n</w:t>
      </w:r>
      <w:r w:rsidRPr="00D64CB9">
        <w:rPr>
          <w:rFonts w:ascii="Tahoma" w:hAnsi="Tahoma" w:cs="Tahoma"/>
          <w:sz w:val="24"/>
          <w:szCs w:val="24"/>
        </w:rPr>
        <w:t xml:space="preserve"> a nuevas calificaciones</w:t>
      </w:r>
      <w:r w:rsidR="4E09DED2" w:rsidRPr="00D64CB9">
        <w:rPr>
          <w:rFonts w:ascii="Tahoma" w:hAnsi="Tahoma" w:cs="Tahoma"/>
          <w:sz w:val="24"/>
          <w:szCs w:val="24"/>
        </w:rPr>
        <w:t>, y no a revisiones o recalificaciones,</w:t>
      </w:r>
      <w:r w:rsidRPr="00D64CB9">
        <w:rPr>
          <w:rFonts w:ascii="Tahoma" w:hAnsi="Tahoma" w:cs="Tahoma"/>
          <w:sz w:val="24"/>
          <w:szCs w:val="24"/>
        </w:rPr>
        <w:t xml:space="preserve"> y</w:t>
      </w:r>
      <w:r w:rsidR="4E09DED2" w:rsidRPr="00D64CB9">
        <w:rPr>
          <w:rFonts w:ascii="Tahoma" w:hAnsi="Tahoma" w:cs="Tahoma"/>
          <w:sz w:val="24"/>
          <w:szCs w:val="24"/>
        </w:rPr>
        <w:t>,</w:t>
      </w:r>
      <w:r w:rsidRPr="00D64CB9">
        <w:rPr>
          <w:rFonts w:ascii="Tahoma" w:hAnsi="Tahoma" w:cs="Tahoma"/>
          <w:sz w:val="24"/>
          <w:szCs w:val="24"/>
        </w:rPr>
        <w:t xml:space="preserve"> por tanto</w:t>
      </w:r>
      <w:r w:rsidR="4E09DED2" w:rsidRPr="00D64CB9">
        <w:rPr>
          <w:rFonts w:ascii="Tahoma" w:hAnsi="Tahoma" w:cs="Tahoma"/>
          <w:sz w:val="24"/>
          <w:szCs w:val="24"/>
        </w:rPr>
        <w:t>,</w:t>
      </w:r>
      <w:r w:rsidRPr="00D64CB9">
        <w:rPr>
          <w:rFonts w:ascii="Tahoma" w:hAnsi="Tahoma" w:cs="Tahoma"/>
          <w:sz w:val="24"/>
          <w:szCs w:val="24"/>
        </w:rPr>
        <w:t xml:space="preserve"> debían efectuarse con base en </w:t>
      </w:r>
      <w:r w:rsidR="4E09DED2" w:rsidRPr="00D64CB9">
        <w:rPr>
          <w:rFonts w:ascii="Tahoma" w:hAnsi="Tahoma" w:cs="Tahoma"/>
          <w:sz w:val="24"/>
          <w:szCs w:val="24"/>
        </w:rPr>
        <w:t>el Manual</w:t>
      </w:r>
      <w:r w:rsidR="00834A05" w:rsidRPr="00D64CB9">
        <w:rPr>
          <w:rFonts w:ascii="Tahoma" w:hAnsi="Tahoma" w:cs="Tahoma"/>
          <w:sz w:val="24"/>
          <w:szCs w:val="24"/>
        </w:rPr>
        <w:t xml:space="preserve"> Único</w:t>
      </w:r>
      <w:r w:rsidR="4E09DED2" w:rsidRPr="00D64CB9">
        <w:rPr>
          <w:rFonts w:ascii="Tahoma" w:hAnsi="Tahoma" w:cs="Tahoma"/>
          <w:sz w:val="24"/>
          <w:szCs w:val="24"/>
        </w:rPr>
        <w:t xml:space="preserve"> de Calificación </w:t>
      </w:r>
      <w:r w:rsidR="00834A05" w:rsidRPr="00D64CB9">
        <w:rPr>
          <w:rFonts w:ascii="Tahoma" w:hAnsi="Tahoma" w:cs="Tahoma"/>
          <w:sz w:val="24"/>
          <w:szCs w:val="24"/>
        </w:rPr>
        <w:t xml:space="preserve">para la Calificación </w:t>
      </w:r>
      <w:r w:rsidR="4E09DED2" w:rsidRPr="00D64CB9">
        <w:rPr>
          <w:rFonts w:ascii="Tahoma" w:hAnsi="Tahoma" w:cs="Tahoma"/>
          <w:sz w:val="24"/>
          <w:szCs w:val="24"/>
        </w:rPr>
        <w:t>de</w:t>
      </w:r>
      <w:r w:rsidR="00834A05" w:rsidRPr="00D64CB9">
        <w:rPr>
          <w:rFonts w:ascii="Tahoma" w:hAnsi="Tahoma" w:cs="Tahoma"/>
          <w:sz w:val="24"/>
          <w:szCs w:val="24"/>
        </w:rPr>
        <w:t xml:space="preserve"> la</w:t>
      </w:r>
      <w:r w:rsidR="4E09DED2" w:rsidRPr="00D64CB9">
        <w:rPr>
          <w:rFonts w:ascii="Tahoma" w:hAnsi="Tahoma" w:cs="Tahoma"/>
          <w:sz w:val="24"/>
          <w:szCs w:val="24"/>
        </w:rPr>
        <w:t xml:space="preserve"> Pérdida de la Capacidad Laboral </w:t>
      </w:r>
      <w:r w:rsidR="00834A05" w:rsidRPr="00D64CB9">
        <w:rPr>
          <w:rFonts w:ascii="Tahoma" w:hAnsi="Tahoma" w:cs="Tahoma"/>
          <w:sz w:val="24"/>
          <w:szCs w:val="24"/>
        </w:rPr>
        <w:t xml:space="preserve">y Ocupacional </w:t>
      </w:r>
      <w:r w:rsidR="4E09DED2" w:rsidRPr="00D64CB9">
        <w:rPr>
          <w:rFonts w:ascii="Tahoma" w:hAnsi="Tahoma" w:cs="Tahoma"/>
          <w:sz w:val="24"/>
          <w:szCs w:val="24"/>
        </w:rPr>
        <w:t>determinado por el Decreto 1507 de 2014,</w:t>
      </w:r>
      <w:r w:rsidR="00873BE2" w:rsidRPr="00D64CB9">
        <w:rPr>
          <w:rFonts w:ascii="Tahoma" w:hAnsi="Tahoma" w:cs="Tahoma"/>
          <w:sz w:val="24"/>
          <w:szCs w:val="24"/>
        </w:rPr>
        <w:t xml:space="preserve"> est</w:t>
      </w:r>
      <w:r w:rsidR="00834A05" w:rsidRPr="00D64CB9">
        <w:rPr>
          <w:rFonts w:ascii="Tahoma" w:hAnsi="Tahoma" w:cs="Tahoma"/>
          <w:sz w:val="24"/>
          <w:szCs w:val="24"/>
        </w:rPr>
        <w:t>e solo hecho</w:t>
      </w:r>
      <w:r w:rsidR="4E09DED2" w:rsidRPr="00D64CB9">
        <w:rPr>
          <w:rFonts w:ascii="Tahoma" w:hAnsi="Tahoma" w:cs="Tahoma"/>
          <w:sz w:val="24"/>
          <w:szCs w:val="24"/>
        </w:rPr>
        <w:t xml:space="preserve"> no llevaría a una conclusión favorable a las pretensiones de la demanda, </w:t>
      </w:r>
      <w:r w:rsidR="4FA80624" w:rsidRPr="00D64CB9">
        <w:rPr>
          <w:rFonts w:ascii="Tahoma" w:hAnsi="Tahoma" w:cs="Tahoma"/>
          <w:sz w:val="24"/>
          <w:szCs w:val="24"/>
        </w:rPr>
        <w:t>pues resulta más fiable el dictamen de la Junta Nacional</w:t>
      </w:r>
      <w:r w:rsidR="71F06F18" w:rsidRPr="00D64CB9">
        <w:rPr>
          <w:rFonts w:ascii="Tahoma" w:hAnsi="Tahoma" w:cs="Tahoma"/>
          <w:sz w:val="24"/>
          <w:szCs w:val="24"/>
        </w:rPr>
        <w:t xml:space="preserve"> realizado a petición de la a-quo, por medio del cual determinó con base </w:t>
      </w:r>
      <w:r w:rsidR="3AC5EBF4" w:rsidRPr="00D64CB9">
        <w:rPr>
          <w:rFonts w:ascii="Tahoma" w:hAnsi="Tahoma" w:cs="Tahoma"/>
          <w:sz w:val="24"/>
          <w:szCs w:val="24"/>
        </w:rPr>
        <w:t xml:space="preserve">precisamente </w:t>
      </w:r>
      <w:r w:rsidR="71F06F18" w:rsidRPr="00D64CB9">
        <w:rPr>
          <w:rFonts w:ascii="Tahoma" w:hAnsi="Tahoma" w:cs="Tahoma"/>
          <w:sz w:val="24"/>
          <w:szCs w:val="24"/>
        </w:rPr>
        <w:t>en el Dec</w:t>
      </w:r>
      <w:r w:rsidR="43C07A42" w:rsidRPr="00D64CB9">
        <w:rPr>
          <w:rFonts w:ascii="Tahoma" w:hAnsi="Tahoma" w:cs="Tahoma"/>
          <w:sz w:val="24"/>
          <w:szCs w:val="24"/>
        </w:rPr>
        <w:t>reto 1507 de 2014, que el actor t</w:t>
      </w:r>
      <w:r w:rsidR="29528D18" w:rsidRPr="00D64CB9">
        <w:rPr>
          <w:rFonts w:ascii="Tahoma" w:hAnsi="Tahoma" w:cs="Tahoma"/>
          <w:sz w:val="24"/>
          <w:szCs w:val="24"/>
        </w:rPr>
        <w:t>iene</w:t>
      </w:r>
      <w:r w:rsidR="43C07A42" w:rsidRPr="00D64CB9">
        <w:rPr>
          <w:rFonts w:ascii="Tahoma" w:hAnsi="Tahoma" w:cs="Tahoma"/>
          <w:sz w:val="24"/>
          <w:szCs w:val="24"/>
        </w:rPr>
        <w:t xml:space="preserve"> una PCL de 31,90%, </w:t>
      </w:r>
      <w:r w:rsidR="6B725D2F" w:rsidRPr="00D64CB9">
        <w:rPr>
          <w:rFonts w:ascii="Tahoma" w:hAnsi="Tahoma" w:cs="Tahoma"/>
          <w:sz w:val="24"/>
          <w:szCs w:val="24"/>
        </w:rPr>
        <w:t>ya que</w:t>
      </w:r>
      <w:r w:rsidR="43C07A42" w:rsidRPr="00D64CB9">
        <w:rPr>
          <w:rFonts w:ascii="Tahoma" w:hAnsi="Tahoma" w:cs="Tahoma"/>
          <w:sz w:val="24"/>
          <w:szCs w:val="24"/>
        </w:rPr>
        <w:t xml:space="preserve"> </w:t>
      </w:r>
      <w:r w:rsidR="466CDD0C" w:rsidRPr="00D64CB9">
        <w:rPr>
          <w:rFonts w:ascii="Tahoma" w:hAnsi="Tahoma" w:cs="Tahoma"/>
          <w:sz w:val="24"/>
          <w:szCs w:val="24"/>
        </w:rPr>
        <w:t xml:space="preserve">dicho ente calificador </w:t>
      </w:r>
      <w:r w:rsidR="4FA80624" w:rsidRPr="00D64CB9">
        <w:rPr>
          <w:rFonts w:ascii="Tahoma" w:hAnsi="Tahoma" w:cs="Tahoma"/>
          <w:sz w:val="24"/>
          <w:szCs w:val="24"/>
        </w:rPr>
        <w:t xml:space="preserve">ante la diferencia de lo encontrado en la historia clínica y lo evaluado el día de la valoración solicitó prueba técnica denominada </w:t>
      </w:r>
      <w:r w:rsidR="0D3207F9" w:rsidRPr="00D64CB9">
        <w:rPr>
          <w:rFonts w:ascii="Tahoma" w:hAnsi="Tahoma" w:cs="Tahoma"/>
          <w:sz w:val="24"/>
          <w:szCs w:val="24"/>
        </w:rPr>
        <w:t>p</w:t>
      </w:r>
      <w:r w:rsidR="6BAE71BC" w:rsidRPr="00D64CB9">
        <w:rPr>
          <w:rFonts w:ascii="Tahoma" w:hAnsi="Tahoma" w:cs="Tahoma"/>
          <w:sz w:val="24"/>
          <w:szCs w:val="24"/>
        </w:rPr>
        <w:t xml:space="preserve">otenciales evocados, que según el capítulo XII </w:t>
      </w:r>
      <w:r w:rsidR="6BAE71BC" w:rsidRPr="00D64CB9">
        <w:rPr>
          <w:rFonts w:ascii="Tahoma" w:hAnsi="Tahoma" w:cs="Tahoma"/>
          <w:i/>
          <w:iCs/>
          <w:sz w:val="24"/>
          <w:szCs w:val="24"/>
        </w:rPr>
        <w:t>“</w:t>
      </w:r>
      <w:r w:rsidR="6BAE71BC" w:rsidRPr="00FA2F50">
        <w:rPr>
          <w:rFonts w:ascii="Tahoma" w:hAnsi="Tahoma" w:cs="Tahoma"/>
          <w:i/>
          <w:iCs/>
          <w:szCs w:val="24"/>
        </w:rPr>
        <w:t>son registros de respuestas eléctricas del cerebro a ciertos estímulos; tienen la capacidad de registra</w:t>
      </w:r>
      <w:r w:rsidR="090738CF" w:rsidRPr="00FA2F50">
        <w:rPr>
          <w:rFonts w:ascii="Tahoma" w:hAnsi="Tahoma" w:cs="Tahoma"/>
          <w:i/>
          <w:iCs/>
          <w:szCs w:val="24"/>
        </w:rPr>
        <w:t xml:space="preserve"> la respuesta del sistema nervioso a múltiples estímulos somatosensoriales, visuales y auditivos</w:t>
      </w:r>
      <w:r w:rsidR="090738CF" w:rsidRPr="00D64CB9">
        <w:rPr>
          <w:rFonts w:ascii="Tahoma" w:hAnsi="Tahoma" w:cs="Tahoma"/>
          <w:i/>
          <w:iCs/>
          <w:sz w:val="24"/>
          <w:szCs w:val="24"/>
        </w:rPr>
        <w:t xml:space="preserve">”, </w:t>
      </w:r>
      <w:r w:rsidR="090738CF" w:rsidRPr="00D64CB9">
        <w:rPr>
          <w:rFonts w:ascii="Tahoma" w:hAnsi="Tahoma" w:cs="Tahoma"/>
          <w:sz w:val="24"/>
          <w:szCs w:val="24"/>
        </w:rPr>
        <w:t>examen que como</w:t>
      </w:r>
      <w:r w:rsidR="2124D208" w:rsidRPr="00D64CB9">
        <w:rPr>
          <w:rFonts w:ascii="Tahoma" w:hAnsi="Tahoma" w:cs="Tahoma"/>
          <w:sz w:val="24"/>
          <w:szCs w:val="24"/>
        </w:rPr>
        <w:t xml:space="preserve"> se dijo no fue tenido en cuenta por la Junta Regional, debido a que no lo practicó, y fue </w:t>
      </w:r>
      <w:r w:rsidR="465018D9" w:rsidRPr="00D64CB9">
        <w:rPr>
          <w:rFonts w:ascii="Tahoma" w:hAnsi="Tahoma" w:cs="Tahoma"/>
          <w:sz w:val="24"/>
          <w:szCs w:val="24"/>
        </w:rPr>
        <w:t>omitido</w:t>
      </w:r>
      <w:r w:rsidR="2124D208" w:rsidRPr="00D64CB9">
        <w:rPr>
          <w:rFonts w:ascii="Tahoma" w:hAnsi="Tahoma" w:cs="Tahoma"/>
          <w:sz w:val="24"/>
          <w:szCs w:val="24"/>
        </w:rPr>
        <w:t xml:space="preserve"> por el perito de parte, pese a que ya había sido realizado</w:t>
      </w:r>
      <w:r w:rsidR="711B9722" w:rsidRPr="00D64CB9">
        <w:rPr>
          <w:rFonts w:ascii="Tahoma" w:hAnsi="Tahoma" w:cs="Tahoma"/>
          <w:sz w:val="24"/>
          <w:szCs w:val="24"/>
        </w:rPr>
        <w:t>, sin justificación alguna.</w:t>
      </w:r>
    </w:p>
    <w:p w14:paraId="24409961" w14:textId="164D737C" w:rsidR="008161F2" w:rsidRPr="00D64CB9" w:rsidRDefault="008161F2" w:rsidP="00D64CB9">
      <w:pPr>
        <w:spacing w:after="0" w:line="276" w:lineRule="auto"/>
        <w:ind w:firstLine="708"/>
        <w:jc w:val="both"/>
        <w:rPr>
          <w:rFonts w:ascii="Tahoma" w:hAnsi="Tahoma" w:cs="Tahoma"/>
          <w:sz w:val="24"/>
          <w:szCs w:val="24"/>
        </w:rPr>
      </w:pPr>
    </w:p>
    <w:p w14:paraId="1F026F99" w14:textId="1C01A5F7" w:rsidR="008161F2" w:rsidRPr="00D64CB9" w:rsidRDefault="4DBD6258" w:rsidP="00D64CB9">
      <w:pPr>
        <w:spacing w:after="0" w:line="276" w:lineRule="auto"/>
        <w:ind w:firstLine="708"/>
        <w:jc w:val="both"/>
        <w:rPr>
          <w:rFonts w:ascii="Tahoma" w:hAnsi="Tahoma" w:cs="Tahoma"/>
          <w:sz w:val="24"/>
          <w:szCs w:val="24"/>
        </w:rPr>
      </w:pPr>
      <w:r w:rsidRPr="00D64CB9">
        <w:rPr>
          <w:rFonts w:ascii="Tahoma" w:hAnsi="Tahoma" w:cs="Tahoma"/>
          <w:sz w:val="24"/>
          <w:szCs w:val="24"/>
        </w:rPr>
        <w:t xml:space="preserve">En este orden, </w:t>
      </w:r>
      <w:r w:rsidR="00597F03" w:rsidRPr="00D64CB9">
        <w:rPr>
          <w:rFonts w:ascii="Tahoma" w:hAnsi="Tahoma" w:cs="Tahoma"/>
          <w:sz w:val="24"/>
          <w:szCs w:val="24"/>
        </w:rPr>
        <w:t xml:space="preserve">el cálculo de la deficiencia bajo dicho decreto arrojaría un 21,20%, tal como lo determinó la Sala 2 de la JNC en dictamen del 24 de junio de 2022 (archivo 43), pues según el cuadro 11.1 de </w:t>
      </w:r>
      <w:r w:rsidR="00597F03" w:rsidRPr="00D64CB9">
        <w:rPr>
          <w:rFonts w:ascii="Tahoma" w:hAnsi="Tahoma" w:cs="Tahoma"/>
          <w:i/>
          <w:iCs/>
          <w:sz w:val="24"/>
          <w:szCs w:val="24"/>
        </w:rPr>
        <w:t>“deficiencia por pérdida de la agudeza visual funcional”</w:t>
      </w:r>
      <w:r w:rsidR="00597F03" w:rsidRPr="00D64CB9">
        <w:rPr>
          <w:rFonts w:ascii="Tahoma" w:hAnsi="Tahoma" w:cs="Tahoma"/>
          <w:sz w:val="24"/>
          <w:szCs w:val="24"/>
        </w:rPr>
        <w:t>,</w:t>
      </w:r>
      <w:r w:rsidR="00873BE2" w:rsidRPr="00D64CB9">
        <w:rPr>
          <w:rFonts w:ascii="Tahoma" w:hAnsi="Tahoma" w:cs="Tahoma"/>
          <w:sz w:val="24"/>
          <w:szCs w:val="24"/>
        </w:rPr>
        <w:t xml:space="preserve"> se</w:t>
      </w:r>
      <w:r w:rsidR="00597F03" w:rsidRPr="00D64CB9">
        <w:rPr>
          <w:rFonts w:ascii="Tahoma" w:hAnsi="Tahoma" w:cs="Tahoma"/>
          <w:sz w:val="24"/>
          <w:szCs w:val="24"/>
        </w:rPr>
        <w:t xml:space="preserve"> contempla para </w:t>
      </w:r>
      <w:r w:rsidR="00597F03" w:rsidRPr="00D64CB9">
        <w:rPr>
          <w:rFonts w:ascii="Tahoma" w:hAnsi="Tahoma" w:cs="Tahoma"/>
          <w:i/>
          <w:iCs/>
          <w:sz w:val="24"/>
          <w:szCs w:val="24"/>
        </w:rPr>
        <w:t>“visión cercana normal (pérdida leve)”</w:t>
      </w:r>
      <w:r w:rsidR="00597F03" w:rsidRPr="00D64CB9">
        <w:rPr>
          <w:rFonts w:ascii="Tahoma" w:hAnsi="Tahoma" w:cs="Tahoma"/>
          <w:sz w:val="24"/>
          <w:szCs w:val="24"/>
        </w:rPr>
        <w:t xml:space="preserve">, dentro del rango 20/25 a 20/32 un puntaje de agudeza visual de 90, que equivale a </w:t>
      </w:r>
      <w:r w:rsidR="00597F03" w:rsidRPr="00D64CB9">
        <w:rPr>
          <w:rFonts w:ascii="Tahoma" w:hAnsi="Tahoma" w:cs="Tahoma"/>
          <w:sz w:val="24"/>
          <w:szCs w:val="24"/>
        </w:rPr>
        <w:lastRenderedPageBreak/>
        <w:t xml:space="preserve">10% de </w:t>
      </w:r>
      <w:r w:rsidR="00597F03" w:rsidRPr="00D64CB9">
        <w:rPr>
          <w:rFonts w:ascii="Tahoma" w:hAnsi="Tahoma" w:cs="Tahoma"/>
          <w:i/>
          <w:iCs/>
          <w:sz w:val="24"/>
          <w:szCs w:val="24"/>
        </w:rPr>
        <w:t>“deficiencia (% pérdida) (e)”</w:t>
      </w:r>
      <w:r w:rsidR="008161F2" w:rsidRPr="00D64CB9">
        <w:rPr>
          <w:rFonts w:ascii="Tahoma" w:hAnsi="Tahoma" w:cs="Tahoma"/>
          <w:sz w:val="24"/>
          <w:szCs w:val="24"/>
        </w:rPr>
        <w:t xml:space="preserve"> y de 0, equivalente a 100% de </w:t>
      </w:r>
      <w:r w:rsidR="008161F2" w:rsidRPr="00D64CB9">
        <w:rPr>
          <w:rFonts w:ascii="Tahoma" w:hAnsi="Tahoma" w:cs="Tahoma"/>
          <w:i/>
          <w:iCs/>
          <w:sz w:val="24"/>
          <w:szCs w:val="24"/>
        </w:rPr>
        <w:t>“deficiencia (% pérdida) (e)”</w:t>
      </w:r>
      <w:r w:rsidR="00873BE2" w:rsidRPr="00D64CB9">
        <w:rPr>
          <w:rFonts w:ascii="Tahoma" w:hAnsi="Tahoma" w:cs="Tahoma"/>
          <w:sz w:val="24"/>
          <w:szCs w:val="24"/>
        </w:rPr>
        <w:t xml:space="preserve"> para ceguera total (no percepción de luz)</w:t>
      </w:r>
      <w:r w:rsidR="00597F03" w:rsidRPr="00D64CB9">
        <w:rPr>
          <w:rFonts w:ascii="Tahoma" w:hAnsi="Tahoma" w:cs="Tahoma"/>
          <w:sz w:val="24"/>
          <w:szCs w:val="24"/>
        </w:rPr>
        <w:t>, que debe ser ponderado con la f</w:t>
      </w:r>
      <w:r w:rsidR="008161F2" w:rsidRPr="00D64CB9">
        <w:rPr>
          <w:rFonts w:ascii="Tahoma" w:hAnsi="Tahoma" w:cs="Tahoma"/>
          <w:sz w:val="24"/>
          <w:szCs w:val="24"/>
        </w:rPr>
        <w:t>ó</w:t>
      </w:r>
      <w:r w:rsidR="00597F03" w:rsidRPr="00D64CB9">
        <w:rPr>
          <w:rFonts w:ascii="Tahoma" w:hAnsi="Tahoma" w:cs="Tahoma"/>
          <w:sz w:val="24"/>
          <w:szCs w:val="24"/>
        </w:rPr>
        <w:t>rmula prevista en el artículo 11.4.1</w:t>
      </w:r>
      <w:r w:rsidR="008161F2" w:rsidRPr="00D64CB9">
        <w:rPr>
          <w:rFonts w:ascii="Tahoma" w:hAnsi="Tahoma" w:cs="Tahoma"/>
          <w:sz w:val="24"/>
          <w:szCs w:val="24"/>
        </w:rPr>
        <w:t>., esto es:</w:t>
      </w:r>
    </w:p>
    <w:p w14:paraId="444DFA47" w14:textId="77777777" w:rsidR="00873BE2" w:rsidRPr="00D64CB9" w:rsidRDefault="00873BE2" w:rsidP="00D64CB9">
      <w:pPr>
        <w:spacing w:after="0" w:line="276" w:lineRule="auto"/>
        <w:ind w:firstLine="708"/>
        <w:jc w:val="both"/>
        <w:rPr>
          <w:rFonts w:ascii="Tahoma" w:hAnsi="Tahoma" w:cs="Tahoma"/>
          <w:bCs/>
          <w:sz w:val="24"/>
          <w:szCs w:val="24"/>
        </w:rPr>
      </w:pPr>
    </w:p>
    <w:p w14:paraId="08370963" w14:textId="14CBBF24" w:rsidR="008161F2" w:rsidRPr="002B6FD0" w:rsidRDefault="008161F2" w:rsidP="002B6FD0">
      <w:pPr>
        <w:spacing w:after="0" w:line="240" w:lineRule="auto"/>
        <w:jc w:val="center"/>
        <w:rPr>
          <w:rFonts w:ascii="Tahoma" w:hAnsi="Tahoma" w:cs="Tahoma"/>
          <w:bCs/>
          <w:i/>
          <w:szCs w:val="24"/>
        </w:rPr>
      </w:pPr>
      <w:r w:rsidRPr="002B6FD0">
        <w:rPr>
          <w:rFonts w:ascii="Tahoma" w:hAnsi="Tahoma" w:cs="Tahoma"/>
          <w:bCs/>
          <w:i/>
          <w:szCs w:val="24"/>
        </w:rPr>
        <w:t xml:space="preserve">          (PAVF AO x 3) + (PAVF OI x 1) + (PAVF OD x 1)</w:t>
      </w:r>
    </w:p>
    <w:p w14:paraId="48560FB7" w14:textId="09E8AE8E" w:rsidR="008161F2" w:rsidRPr="002B6FD0" w:rsidRDefault="008161F2" w:rsidP="002B6FD0">
      <w:pPr>
        <w:spacing w:after="0" w:line="240" w:lineRule="auto"/>
        <w:jc w:val="center"/>
        <w:rPr>
          <w:rFonts w:ascii="Tahoma" w:hAnsi="Tahoma" w:cs="Tahoma"/>
          <w:bCs/>
          <w:i/>
          <w:szCs w:val="24"/>
        </w:rPr>
      </w:pPr>
      <w:r w:rsidRPr="002B6FD0">
        <w:rPr>
          <w:rFonts w:ascii="Tahoma" w:hAnsi="Tahoma" w:cs="Tahoma"/>
          <w:bCs/>
          <w:i/>
          <w:szCs w:val="24"/>
        </w:rPr>
        <w:t>PAVF = _________________________________________</w:t>
      </w:r>
    </w:p>
    <w:p w14:paraId="38CAFA76" w14:textId="38D68B2A" w:rsidR="008161F2" w:rsidRPr="002B6FD0" w:rsidRDefault="008161F2" w:rsidP="002B6FD0">
      <w:pPr>
        <w:spacing w:after="0" w:line="240" w:lineRule="auto"/>
        <w:jc w:val="center"/>
        <w:rPr>
          <w:rFonts w:ascii="Tahoma" w:hAnsi="Tahoma" w:cs="Tahoma"/>
          <w:bCs/>
          <w:i/>
          <w:szCs w:val="24"/>
        </w:rPr>
      </w:pPr>
      <w:r w:rsidRPr="002B6FD0">
        <w:rPr>
          <w:rFonts w:ascii="Tahoma" w:hAnsi="Tahoma" w:cs="Tahoma"/>
          <w:bCs/>
          <w:i/>
          <w:szCs w:val="24"/>
        </w:rPr>
        <w:t>5</w:t>
      </w:r>
    </w:p>
    <w:p w14:paraId="295CDC23" w14:textId="1F1C5A37" w:rsidR="00873BE2" w:rsidRPr="002B6FD0" w:rsidRDefault="00873BE2" w:rsidP="002B6FD0">
      <w:pPr>
        <w:spacing w:after="0" w:line="240" w:lineRule="auto"/>
        <w:ind w:firstLine="708"/>
        <w:jc w:val="both"/>
        <w:rPr>
          <w:rFonts w:ascii="Tahoma" w:hAnsi="Tahoma" w:cs="Tahoma"/>
          <w:bCs/>
          <w:i/>
          <w:szCs w:val="24"/>
        </w:rPr>
      </w:pPr>
    </w:p>
    <w:p w14:paraId="1DBDBC69" w14:textId="7FC64918" w:rsidR="00873BE2" w:rsidRPr="002B6FD0" w:rsidRDefault="00873BE2" w:rsidP="002B6FD0">
      <w:pPr>
        <w:spacing w:after="0" w:line="240" w:lineRule="auto"/>
        <w:ind w:firstLine="708"/>
        <w:jc w:val="both"/>
        <w:rPr>
          <w:rFonts w:ascii="Tahoma" w:hAnsi="Tahoma" w:cs="Tahoma"/>
          <w:bCs/>
          <w:i/>
          <w:szCs w:val="24"/>
        </w:rPr>
      </w:pPr>
      <w:r w:rsidRPr="002B6FD0">
        <w:rPr>
          <w:rFonts w:ascii="Tahoma" w:hAnsi="Tahoma" w:cs="Tahoma"/>
          <w:bCs/>
          <w:i/>
          <w:szCs w:val="24"/>
        </w:rPr>
        <w:t>*AO = ambos ojos</w:t>
      </w:r>
    </w:p>
    <w:p w14:paraId="74EF2AE1" w14:textId="283A1EDB" w:rsidR="00873BE2" w:rsidRPr="002B6FD0" w:rsidRDefault="00873BE2" w:rsidP="002B6FD0">
      <w:pPr>
        <w:spacing w:after="0" w:line="240" w:lineRule="auto"/>
        <w:ind w:firstLine="708"/>
        <w:jc w:val="both"/>
        <w:rPr>
          <w:rFonts w:ascii="Tahoma" w:hAnsi="Tahoma" w:cs="Tahoma"/>
          <w:bCs/>
          <w:i/>
          <w:szCs w:val="24"/>
        </w:rPr>
      </w:pPr>
      <w:r w:rsidRPr="002B6FD0">
        <w:rPr>
          <w:rFonts w:ascii="Tahoma" w:hAnsi="Tahoma" w:cs="Tahoma"/>
          <w:bCs/>
          <w:i/>
          <w:szCs w:val="24"/>
        </w:rPr>
        <w:t>*OI = ojo izquierdo</w:t>
      </w:r>
    </w:p>
    <w:p w14:paraId="1B90DA88" w14:textId="19679625" w:rsidR="00873BE2" w:rsidRPr="002B6FD0" w:rsidRDefault="00873BE2" w:rsidP="002B6FD0">
      <w:pPr>
        <w:spacing w:after="0" w:line="240" w:lineRule="auto"/>
        <w:ind w:firstLine="708"/>
        <w:jc w:val="both"/>
        <w:rPr>
          <w:rFonts w:ascii="Tahoma" w:hAnsi="Tahoma" w:cs="Tahoma"/>
          <w:bCs/>
          <w:i/>
          <w:szCs w:val="24"/>
        </w:rPr>
      </w:pPr>
      <w:r w:rsidRPr="002B6FD0">
        <w:rPr>
          <w:rFonts w:ascii="Tahoma" w:hAnsi="Tahoma" w:cs="Tahoma"/>
          <w:bCs/>
          <w:i/>
          <w:szCs w:val="24"/>
        </w:rPr>
        <w:t>*OD = ojo derecho</w:t>
      </w:r>
    </w:p>
    <w:p w14:paraId="35F7CD7A" w14:textId="77777777" w:rsidR="00873BE2" w:rsidRPr="00D64CB9" w:rsidRDefault="00873BE2" w:rsidP="00D64CB9">
      <w:pPr>
        <w:spacing w:after="0" w:line="276" w:lineRule="auto"/>
        <w:ind w:firstLine="708"/>
        <w:jc w:val="both"/>
        <w:rPr>
          <w:rFonts w:ascii="Tahoma" w:hAnsi="Tahoma" w:cs="Tahoma"/>
          <w:bCs/>
          <w:sz w:val="24"/>
          <w:szCs w:val="24"/>
        </w:rPr>
      </w:pPr>
    </w:p>
    <w:p w14:paraId="58EFCA39" w14:textId="77777777" w:rsidR="00873BE2" w:rsidRPr="00D64CB9" w:rsidRDefault="008161F2" w:rsidP="00D64CB9">
      <w:pPr>
        <w:spacing w:after="0" w:line="276" w:lineRule="auto"/>
        <w:ind w:firstLine="708"/>
        <w:jc w:val="both"/>
        <w:rPr>
          <w:rFonts w:ascii="Tahoma" w:hAnsi="Tahoma" w:cs="Tahoma"/>
          <w:bCs/>
          <w:sz w:val="24"/>
          <w:szCs w:val="24"/>
        </w:rPr>
      </w:pPr>
      <w:r w:rsidRPr="00D64CB9">
        <w:rPr>
          <w:rFonts w:ascii="Tahoma" w:hAnsi="Tahoma" w:cs="Tahoma"/>
          <w:bCs/>
          <w:sz w:val="24"/>
          <w:szCs w:val="24"/>
        </w:rPr>
        <w:t>Prevista para calcular el Puntaje de Agudeza Visual Funcional (PAVF), que se debe valorar con la mejor corrección posible para el ojo derecho y luego para el izquierdo, para finalmente calificar la visión binocular</w:t>
      </w:r>
      <w:r w:rsidR="00873BE2" w:rsidRPr="00D64CB9">
        <w:rPr>
          <w:rFonts w:ascii="Tahoma" w:hAnsi="Tahoma" w:cs="Tahoma"/>
          <w:bCs/>
          <w:sz w:val="24"/>
          <w:szCs w:val="24"/>
        </w:rPr>
        <w:t>,</w:t>
      </w:r>
      <w:r w:rsidRPr="00D64CB9">
        <w:rPr>
          <w:rFonts w:ascii="Tahoma" w:hAnsi="Tahoma" w:cs="Tahoma"/>
          <w:bCs/>
          <w:sz w:val="24"/>
          <w:szCs w:val="24"/>
        </w:rPr>
        <w:t xml:space="preserve"> y que tiene como factor ponderador de la fórmula el número 5, que se distribuye dando mayor valor a la agudeza visual bilateral (60%, es decir 3), que a las agudezas visuales de cada ojo (20%, es decir 1).</w:t>
      </w:r>
      <w:r w:rsidR="00873BE2" w:rsidRPr="00D64CB9">
        <w:rPr>
          <w:rFonts w:ascii="Tahoma" w:hAnsi="Tahoma" w:cs="Tahoma"/>
          <w:bCs/>
          <w:sz w:val="24"/>
          <w:szCs w:val="24"/>
        </w:rPr>
        <w:t xml:space="preserve"> </w:t>
      </w:r>
    </w:p>
    <w:p w14:paraId="3057C3D8" w14:textId="77777777" w:rsidR="00873BE2" w:rsidRPr="00D64CB9" w:rsidRDefault="00873BE2" w:rsidP="00D64CB9">
      <w:pPr>
        <w:spacing w:after="0" w:line="276" w:lineRule="auto"/>
        <w:ind w:firstLine="708"/>
        <w:jc w:val="both"/>
        <w:rPr>
          <w:rFonts w:ascii="Tahoma" w:hAnsi="Tahoma" w:cs="Tahoma"/>
          <w:bCs/>
          <w:sz w:val="24"/>
          <w:szCs w:val="24"/>
        </w:rPr>
      </w:pPr>
    </w:p>
    <w:p w14:paraId="7EF20CE5" w14:textId="77777777" w:rsidR="00E71AB8" w:rsidRPr="00D64CB9" w:rsidRDefault="00873BE2" w:rsidP="00D64CB9">
      <w:pPr>
        <w:spacing w:after="0" w:line="276" w:lineRule="auto"/>
        <w:ind w:firstLine="708"/>
        <w:jc w:val="both"/>
        <w:rPr>
          <w:rFonts w:ascii="Tahoma" w:hAnsi="Tahoma" w:cs="Tahoma"/>
          <w:bCs/>
          <w:sz w:val="24"/>
          <w:szCs w:val="24"/>
        </w:rPr>
      </w:pPr>
      <w:r w:rsidRPr="00D64CB9">
        <w:rPr>
          <w:rFonts w:ascii="Tahoma" w:hAnsi="Tahoma" w:cs="Tahoma"/>
          <w:bCs/>
          <w:sz w:val="24"/>
          <w:szCs w:val="24"/>
        </w:rPr>
        <w:t>El resultado de e</w:t>
      </w:r>
      <w:r w:rsidR="008161F2" w:rsidRPr="00D64CB9">
        <w:rPr>
          <w:rFonts w:ascii="Tahoma" w:hAnsi="Tahoma" w:cs="Tahoma"/>
          <w:bCs/>
          <w:sz w:val="24"/>
          <w:szCs w:val="24"/>
        </w:rPr>
        <w:t xml:space="preserve">ste valor porcentual de la </w:t>
      </w:r>
      <w:r w:rsidR="00E71AB8" w:rsidRPr="00D64CB9">
        <w:rPr>
          <w:rFonts w:ascii="Tahoma" w:hAnsi="Tahoma" w:cs="Tahoma"/>
          <w:bCs/>
          <w:sz w:val="24"/>
          <w:szCs w:val="24"/>
        </w:rPr>
        <w:t>D</w:t>
      </w:r>
      <w:r w:rsidR="008161F2" w:rsidRPr="00D64CB9">
        <w:rPr>
          <w:rFonts w:ascii="Tahoma" w:hAnsi="Tahoma" w:cs="Tahoma"/>
          <w:bCs/>
          <w:sz w:val="24"/>
          <w:szCs w:val="24"/>
        </w:rPr>
        <w:t>eficiencia por Agudeza Visual (D</w:t>
      </w:r>
      <w:r w:rsidRPr="00D64CB9">
        <w:rPr>
          <w:rFonts w:ascii="Tahoma" w:hAnsi="Tahoma" w:cs="Tahoma"/>
          <w:bCs/>
          <w:sz w:val="24"/>
          <w:szCs w:val="24"/>
        </w:rPr>
        <w:t>AV), se calcula restando de 100 el valor PAVF, atendiendo a la fórmula: DAV (%) = 100 – PAVF, resultado que debe integrarse con el valor por la Deficiencia por Campo Visual (DCV), atendiendo a la fórmula indicada al final de la tabla 11.2</w:t>
      </w:r>
      <w:r w:rsidR="00E71AB8" w:rsidRPr="00D64CB9">
        <w:rPr>
          <w:rFonts w:ascii="Tahoma" w:hAnsi="Tahoma" w:cs="Tahoma"/>
          <w:bCs/>
          <w:sz w:val="24"/>
          <w:szCs w:val="24"/>
        </w:rPr>
        <w:t>, esto es DSV (%) = 100 – DAV x DCV/100, y con ello se obtiene el valor total de la Deficiencia Global del Sistema Visual DSV.</w:t>
      </w:r>
    </w:p>
    <w:p w14:paraId="55F47985" w14:textId="77777777" w:rsidR="00E71AB8" w:rsidRPr="00D64CB9" w:rsidRDefault="00E71AB8" w:rsidP="00D64CB9">
      <w:pPr>
        <w:spacing w:after="0" w:line="276" w:lineRule="auto"/>
        <w:ind w:firstLine="708"/>
        <w:jc w:val="both"/>
        <w:rPr>
          <w:rFonts w:ascii="Tahoma" w:hAnsi="Tahoma" w:cs="Tahoma"/>
          <w:bCs/>
          <w:sz w:val="24"/>
          <w:szCs w:val="24"/>
        </w:rPr>
      </w:pPr>
    </w:p>
    <w:p w14:paraId="35E48EBF" w14:textId="6974353C" w:rsidR="00A53275" w:rsidRPr="00D64CB9" w:rsidRDefault="00E71AB8" w:rsidP="00D64CB9">
      <w:pPr>
        <w:spacing w:after="0" w:line="276" w:lineRule="auto"/>
        <w:ind w:firstLine="708"/>
        <w:jc w:val="both"/>
        <w:rPr>
          <w:rFonts w:ascii="Tahoma" w:hAnsi="Tahoma" w:cs="Tahoma"/>
          <w:sz w:val="24"/>
          <w:szCs w:val="24"/>
        </w:rPr>
      </w:pPr>
      <w:r w:rsidRPr="00D64CB9">
        <w:rPr>
          <w:rFonts w:ascii="Tahoma" w:hAnsi="Tahoma" w:cs="Tahoma"/>
          <w:sz w:val="24"/>
          <w:szCs w:val="24"/>
        </w:rPr>
        <w:t>En este caso, es evidente que la J</w:t>
      </w:r>
      <w:r w:rsidR="51183799" w:rsidRPr="00D64CB9">
        <w:rPr>
          <w:rFonts w:ascii="Tahoma" w:hAnsi="Tahoma" w:cs="Tahoma"/>
          <w:sz w:val="24"/>
          <w:szCs w:val="24"/>
        </w:rPr>
        <w:t xml:space="preserve">unta </w:t>
      </w:r>
      <w:r w:rsidRPr="00D64CB9">
        <w:rPr>
          <w:rFonts w:ascii="Tahoma" w:hAnsi="Tahoma" w:cs="Tahoma"/>
          <w:sz w:val="24"/>
          <w:szCs w:val="24"/>
        </w:rPr>
        <w:t>N</w:t>
      </w:r>
      <w:r w:rsidR="09D2A664" w:rsidRPr="00D64CB9">
        <w:rPr>
          <w:rFonts w:ascii="Tahoma" w:hAnsi="Tahoma" w:cs="Tahoma"/>
          <w:sz w:val="24"/>
          <w:szCs w:val="24"/>
        </w:rPr>
        <w:t xml:space="preserve">acional de </w:t>
      </w:r>
      <w:r w:rsidRPr="00D64CB9">
        <w:rPr>
          <w:rFonts w:ascii="Tahoma" w:hAnsi="Tahoma" w:cs="Tahoma"/>
          <w:sz w:val="24"/>
          <w:szCs w:val="24"/>
        </w:rPr>
        <w:t>C</w:t>
      </w:r>
      <w:r w:rsidR="4022563E" w:rsidRPr="00D64CB9">
        <w:rPr>
          <w:rFonts w:ascii="Tahoma" w:hAnsi="Tahoma" w:cs="Tahoma"/>
          <w:sz w:val="24"/>
          <w:szCs w:val="24"/>
        </w:rPr>
        <w:t>alificación</w:t>
      </w:r>
      <w:r w:rsidRPr="00D64CB9">
        <w:rPr>
          <w:rFonts w:ascii="Tahoma" w:hAnsi="Tahoma" w:cs="Tahoma"/>
          <w:sz w:val="24"/>
          <w:szCs w:val="24"/>
        </w:rPr>
        <w:t xml:space="preserve"> aplicó las anteriores fórmulas, incluida la </w:t>
      </w:r>
      <w:r w:rsidR="6DB3466C" w:rsidRPr="00D64CB9">
        <w:rPr>
          <w:rFonts w:ascii="Tahoma" w:hAnsi="Tahoma" w:cs="Tahoma"/>
          <w:sz w:val="24"/>
          <w:szCs w:val="24"/>
        </w:rPr>
        <w:t>fórmula</w:t>
      </w:r>
      <w:r w:rsidRPr="00D64CB9">
        <w:rPr>
          <w:rFonts w:ascii="Tahoma" w:hAnsi="Tahoma" w:cs="Tahoma"/>
          <w:sz w:val="24"/>
          <w:szCs w:val="24"/>
        </w:rPr>
        <w:t xml:space="preserve"> de integración de la Deficiencia por Agudeza Visual (DAV) con Deficiencia por Campo Visual (DCV), pues el solo resultado de la Agudeza Visual Funcional (PAVF), según los cálculos efectuados por esta Corporación, asciende a </w:t>
      </w:r>
      <w:r w:rsidR="004937E8" w:rsidRPr="00D64CB9">
        <w:rPr>
          <w:rFonts w:ascii="Tahoma" w:hAnsi="Tahoma" w:cs="Tahoma"/>
          <w:sz w:val="24"/>
          <w:szCs w:val="24"/>
        </w:rPr>
        <w:t xml:space="preserve">28%, de modo que el porcentaje adicional con el que la deficiencia </w:t>
      </w:r>
      <w:r w:rsidR="00834A05" w:rsidRPr="00D64CB9">
        <w:rPr>
          <w:rFonts w:ascii="Tahoma" w:hAnsi="Tahoma" w:cs="Tahoma"/>
          <w:sz w:val="24"/>
          <w:szCs w:val="24"/>
        </w:rPr>
        <w:t>se remontó</w:t>
      </w:r>
      <w:r w:rsidR="004937E8" w:rsidRPr="00D64CB9">
        <w:rPr>
          <w:rFonts w:ascii="Tahoma" w:hAnsi="Tahoma" w:cs="Tahoma"/>
          <w:sz w:val="24"/>
          <w:szCs w:val="24"/>
        </w:rPr>
        <w:t xml:space="preserve"> a 42,40%</w:t>
      </w:r>
      <w:r w:rsidR="637009B6" w:rsidRPr="00D64CB9">
        <w:rPr>
          <w:rFonts w:ascii="Tahoma" w:hAnsi="Tahoma" w:cs="Tahoma"/>
          <w:sz w:val="24"/>
          <w:szCs w:val="24"/>
        </w:rPr>
        <w:t xml:space="preserve">, </w:t>
      </w:r>
      <w:r w:rsidR="00A53275" w:rsidRPr="00D64CB9">
        <w:rPr>
          <w:rFonts w:ascii="Tahoma" w:hAnsi="Tahoma" w:cs="Tahoma"/>
          <w:sz w:val="24"/>
          <w:szCs w:val="24"/>
        </w:rPr>
        <w:t>se ponderó al 50%, multiplicando por 0,5</w:t>
      </w:r>
      <w:r w:rsidR="004937E8" w:rsidRPr="00D64CB9">
        <w:rPr>
          <w:rFonts w:ascii="Tahoma" w:hAnsi="Tahoma" w:cs="Tahoma"/>
          <w:sz w:val="24"/>
          <w:szCs w:val="24"/>
        </w:rPr>
        <w:t>,</w:t>
      </w:r>
      <w:r w:rsidR="00A53275" w:rsidRPr="00D64CB9">
        <w:rPr>
          <w:rFonts w:ascii="Tahoma" w:hAnsi="Tahoma" w:cs="Tahoma"/>
          <w:sz w:val="24"/>
          <w:szCs w:val="24"/>
        </w:rPr>
        <w:t xml:space="preserve"> conforme al artículo 5 del anexo técnico del Manual Único para la Calificación de la Pérdida de Capacidad Laboral y Ocupacional, para un total de 21,20%, </w:t>
      </w:r>
      <w:r w:rsidR="004937E8" w:rsidRPr="00D64CB9">
        <w:rPr>
          <w:rFonts w:ascii="Tahoma" w:hAnsi="Tahoma" w:cs="Tahoma"/>
          <w:sz w:val="24"/>
          <w:szCs w:val="24"/>
        </w:rPr>
        <w:t>correspondi</w:t>
      </w:r>
      <w:r w:rsidR="364597D1" w:rsidRPr="00D64CB9">
        <w:rPr>
          <w:rFonts w:ascii="Tahoma" w:hAnsi="Tahoma" w:cs="Tahoma"/>
          <w:sz w:val="24"/>
          <w:szCs w:val="24"/>
        </w:rPr>
        <w:t>endo</w:t>
      </w:r>
      <w:r w:rsidR="004937E8" w:rsidRPr="00D64CB9">
        <w:rPr>
          <w:rFonts w:ascii="Tahoma" w:hAnsi="Tahoma" w:cs="Tahoma"/>
          <w:sz w:val="24"/>
          <w:szCs w:val="24"/>
        </w:rPr>
        <w:t xml:space="preserve"> al valor </w:t>
      </w:r>
      <w:r w:rsidR="00A53275" w:rsidRPr="00D64CB9">
        <w:rPr>
          <w:rFonts w:ascii="Tahoma" w:hAnsi="Tahoma" w:cs="Tahoma"/>
          <w:sz w:val="24"/>
          <w:szCs w:val="24"/>
        </w:rPr>
        <w:t>asignado a</w:t>
      </w:r>
      <w:r w:rsidR="004937E8" w:rsidRPr="00D64CB9">
        <w:rPr>
          <w:rFonts w:ascii="Tahoma" w:hAnsi="Tahoma" w:cs="Tahoma"/>
          <w:sz w:val="24"/>
          <w:szCs w:val="24"/>
        </w:rPr>
        <w:t xml:space="preserve"> la Deficiencia por Campo Visual (DCV)</w:t>
      </w:r>
      <w:r w:rsidR="726100DF" w:rsidRPr="00D64CB9">
        <w:rPr>
          <w:rFonts w:ascii="Tahoma" w:hAnsi="Tahoma" w:cs="Tahoma"/>
          <w:sz w:val="24"/>
          <w:szCs w:val="24"/>
        </w:rPr>
        <w:t xml:space="preserve">. Lo anterior por cuanto </w:t>
      </w:r>
      <w:r w:rsidR="004937E8" w:rsidRPr="00D64CB9">
        <w:rPr>
          <w:rFonts w:ascii="Tahoma" w:hAnsi="Tahoma" w:cs="Tahoma"/>
          <w:sz w:val="24"/>
          <w:szCs w:val="24"/>
        </w:rPr>
        <w:t xml:space="preserve">en la historia clínica que se tuvo en cuenta en la calificación, aparece resultado de campimetría visual oftalmólogo Dr. Ricardo </w:t>
      </w:r>
      <w:r w:rsidR="009A7B3B">
        <w:rPr>
          <w:rFonts w:ascii="Tahoma" w:hAnsi="Tahoma" w:cs="Tahoma"/>
          <w:sz w:val="24"/>
          <w:szCs w:val="24"/>
        </w:rPr>
        <w:t>d</w:t>
      </w:r>
      <w:r w:rsidR="004937E8" w:rsidRPr="00D64CB9">
        <w:rPr>
          <w:rFonts w:ascii="Tahoma" w:hAnsi="Tahoma" w:cs="Tahoma"/>
          <w:sz w:val="24"/>
          <w:szCs w:val="24"/>
        </w:rPr>
        <w:t xml:space="preserve">e Lima, con </w:t>
      </w:r>
      <w:r w:rsidR="00A53275" w:rsidRPr="00D64CB9">
        <w:rPr>
          <w:rFonts w:ascii="Tahoma" w:hAnsi="Tahoma" w:cs="Tahoma"/>
          <w:sz w:val="24"/>
          <w:szCs w:val="24"/>
        </w:rPr>
        <w:t xml:space="preserve">resultado de </w:t>
      </w:r>
      <w:r w:rsidR="00A53275" w:rsidRPr="00D64CB9">
        <w:rPr>
          <w:rFonts w:ascii="Tahoma" w:hAnsi="Tahoma" w:cs="Tahoma"/>
          <w:i/>
          <w:iCs/>
          <w:sz w:val="24"/>
          <w:szCs w:val="24"/>
        </w:rPr>
        <w:t>“</w:t>
      </w:r>
      <w:r w:rsidR="00A53275" w:rsidRPr="00FA2F50">
        <w:rPr>
          <w:rFonts w:ascii="Tahoma" w:hAnsi="Tahoma" w:cs="Tahoma"/>
          <w:i/>
          <w:iCs/>
          <w:szCs w:val="24"/>
        </w:rPr>
        <w:t>severa sensibilidad en todo el campo visual, conserva isla de visión central”</w:t>
      </w:r>
      <w:r w:rsidR="00A53275" w:rsidRPr="00D64CB9">
        <w:rPr>
          <w:rFonts w:ascii="Tahoma" w:hAnsi="Tahoma" w:cs="Tahoma"/>
          <w:sz w:val="24"/>
          <w:szCs w:val="24"/>
        </w:rPr>
        <w:t xml:space="preserve">. </w:t>
      </w:r>
    </w:p>
    <w:p w14:paraId="32D4DC51" w14:textId="6D0A5A38" w:rsidR="4A0AC02D" w:rsidRPr="00D64CB9" w:rsidRDefault="4A0AC02D" w:rsidP="00D64CB9">
      <w:pPr>
        <w:spacing w:after="0" w:line="276" w:lineRule="auto"/>
        <w:ind w:firstLine="708"/>
        <w:jc w:val="both"/>
        <w:rPr>
          <w:rFonts w:ascii="Tahoma" w:hAnsi="Tahoma" w:cs="Tahoma"/>
          <w:sz w:val="24"/>
          <w:szCs w:val="24"/>
        </w:rPr>
      </w:pPr>
    </w:p>
    <w:p w14:paraId="1D59CC77" w14:textId="05815A34" w:rsidR="1ED48A81" w:rsidRPr="00D64CB9" w:rsidRDefault="009A7B3B" w:rsidP="00D64CB9">
      <w:pPr>
        <w:spacing w:after="0" w:line="276" w:lineRule="auto"/>
        <w:ind w:firstLine="708"/>
        <w:jc w:val="both"/>
        <w:rPr>
          <w:rFonts w:ascii="Tahoma" w:hAnsi="Tahoma" w:cs="Tahoma"/>
          <w:sz w:val="24"/>
          <w:szCs w:val="24"/>
        </w:rPr>
      </w:pPr>
      <w:r>
        <w:rPr>
          <w:rFonts w:ascii="Tahoma" w:hAnsi="Tahoma" w:cs="Tahoma"/>
          <w:sz w:val="24"/>
          <w:szCs w:val="24"/>
        </w:rPr>
        <w:t>(…)</w:t>
      </w:r>
    </w:p>
    <w:p w14:paraId="00BD0579" w14:textId="164D737C" w:rsidR="4A0AC02D" w:rsidRPr="00D64CB9" w:rsidRDefault="4A0AC02D" w:rsidP="00D64CB9">
      <w:pPr>
        <w:spacing w:after="0" w:line="276" w:lineRule="auto"/>
        <w:ind w:firstLine="708"/>
        <w:jc w:val="both"/>
        <w:rPr>
          <w:rFonts w:ascii="Tahoma" w:hAnsi="Tahoma" w:cs="Tahoma"/>
          <w:sz w:val="24"/>
          <w:szCs w:val="24"/>
        </w:rPr>
      </w:pPr>
    </w:p>
    <w:p w14:paraId="77C34E76" w14:textId="3DBD1F1E" w:rsidR="00A53275" w:rsidRPr="00D64CB9" w:rsidRDefault="00A53275" w:rsidP="00D64CB9">
      <w:pPr>
        <w:spacing w:after="0" w:line="276" w:lineRule="auto"/>
        <w:ind w:firstLine="708"/>
        <w:jc w:val="both"/>
        <w:rPr>
          <w:rFonts w:ascii="Tahoma" w:hAnsi="Tahoma" w:cs="Tahoma"/>
          <w:sz w:val="24"/>
          <w:szCs w:val="24"/>
        </w:rPr>
      </w:pPr>
      <w:r w:rsidRPr="00D64CB9">
        <w:rPr>
          <w:rFonts w:ascii="Tahoma" w:hAnsi="Tahoma" w:cs="Tahoma"/>
          <w:sz w:val="24"/>
          <w:szCs w:val="24"/>
        </w:rPr>
        <w:t xml:space="preserve">Por </w:t>
      </w:r>
      <w:r w:rsidR="00834A05" w:rsidRPr="00D64CB9">
        <w:rPr>
          <w:rFonts w:ascii="Tahoma" w:hAnsi="Tahoma" w:cs="Tahoma"/>
          <w:sz w:val="24"/>
          <w:szCs w:val="24"/>
        </w:rPr>
        <w:t>todo lo</w:t>
      </w:r>
      <w:r w:rsidRPr="00D64CB9">
        <w:rPr>
          <w:rFonts w:ascii="Tahoma" w:hAnsi="Tahoma" w:cs="Tahoma"/>
          <w:sz w:val="24"/>
          <w:szCs w:val="24"/>
        </w:rPr>
        <w:t xml:space="preserve"> anterior, </w:t>
      </w:r>
      <w:r w:rsidR="00834A05" w:rsidRPr="00D64CB9">
        <w:rPr>
          <w:rFonts w:ascii="Tahoma" w:hAnsi="Tahoma" w:cs="Tahoma"/>
          <w:sz w:val="24"/>
          <w:szCs w:val="24"/>
        </w:rPr>
        <w:t>se confirmará la decisión de primera instancia, teniendo en cuenta que el demandante no logró demostrar error alguno en la determinación de</w:t>
      </w:r>
      <w:r w:rsidR="00582966" w:rsidRPr="00D64CB9">
        <w:rPr>
          <w:rFonts w:ascii="Tahoma" w:hAnsi="Tahoma" w:cs="Tahoma"/>
          <w:sz w:val="24"/>
          <w:szCs w:val="24"/>
        </w:rPr>
        <w:t xml:space="preserve">l </w:t>
      </w:r>
      <w:r w:rsidR="0FBD1CCB" w:rsidRPr="00D64CB9">
        <w:rPr>
          <w:rFonts w:ascii="Tahoma" w:hAnsi="Tahoma" w:cs="Tahoma"/>
          <w:sz w:val="24"/>
          <w:szCs w:val="24"/>
        </w:rPr>
        <w:t xml:space="preserve">porcentaje </w:t>
      </w:r>
      <w:r w:rsidR="00582966" w:rsidRPr="00D64CB9">
        <w:rPr>
          <w:rFonts w:ascii="Tahoma" w:hAnsi="Tahoma" w:cs="Tahoma"/>
          <w:sz w:val="24"/>
          <w:szCs w:val="24"/>
        </w:rPr>
        <w:t>de</w:t>
      </w:r>
      <w:r w:rsidR="00834A05" w:rsidRPr="00D64CB9">
        <w:rPr>
          <w:rFonts w:ascii="Tahoma" w:hAnsi="Tahoma" w:cs="Tahoma"/>
          <w:sz w:val="24"/>
          <w:szCs w:val="24"/>
        </w:rPr>
        <w:t xml:space="preserve"> </w:t>
      </w:r>
      <w:r w:rsidR="0ED86853" w:rsidRPr="00D64CB9">
        <w:rPr>
          <w:rFonts w:ascii="Tahoma" w:hAnsi="Tahoma" w:cs="Tahoma"/>
          <w:sz w:val="24"/>
          <w:szCs w:val="24"/>
        </w:rPr>
        <w:t>pérdida de capacidad laboral</w:t>
      </w:r>
      <w:r w:rsidR="00834A05" w:rsidRPr="00D64CB9">
        <w:rPr>
          <w:rFonts w:ascii="Tahoma" w:hAnsi="Tahoma" w:cs="Tahoma"/>
          <w:sz w:val="24"/>
          <w:szCs w:val="24"/>
        </w:rPr>
        <w:t xml:space="preserve"> efectuado en su caso por la </w:t>
      </w:r>
      <w:r w:rsidR="77BE4A71" w:rsidRPr="00D64CB9">
        <w:rPr>
          <w:rFonts w:ascii="Tahoma" w:hAnsi="Tahoma" w:cs="Tahoma"/>
          <w:sz w:val="24"/>
          <w:szCs w:val="24"/>
        </w:rPr>
        <w:t>Junta Nacional</w:t>
      </w:r>
      <w:r w:rsidR="00834A05" w:rsidRPr="00D64CB9">
        <w:rPr>
          <w:rFonts w:ascii="Tahoma" w:hAnsi="Tahoma" w:cs="Tahoma"/>
          <w:sz w:val="24"/>
          <w:szCs w:val="24"/>
        </w:rPr>
        <w:t xml:space="preserve"> </w:t>
      </w:r>
      <w:r w:rsidR="00582966" w:rsidRPr="00D64CB9">
        <w:rPr>
          <w:rFonts w:ascii="Tahoma" w:hAnsi="Tahoma" w:cs="Tahoma"/>
          <w:sz w:val="24"/>
          <w:szCs w:val="24"/>
        </w:rPr>
        <w:t>mediante dictamen No. 5731 del 25 de mayo de 2018, en el que se fijó su porcentaje de PCL en 28.20%.</w:t>
      </w:r>
    </w:p>
    <w:p w14:paraId="61227EC2" w14:textId="3BB4C267" w:rsidR="1AF92171" w:rsidRPr="00D64CB9" w:rsidRDefault="1AF92171" w:rsidP="00D64CB9">
      <w:pPr>
        <w:spacing w:after="0" w:line="276" w:lineRule="auto"/>
        <w:ind w:firstLine="708"/>
        <w:jc w:val="both"/>
        <w:rPr>
          <w:rFonts w:ascii="Tahoma" w:hAnsi="Tahoma" w:cs="Tahoma"/>
          <w:sz w:val="24"/>
          <w:szCs w:val="24"/>
        </w:rPr>
      </w:pPr>
    </w:p>
    <w:p w14:paraId="3FF576F8" w14:textId="77777777" w:rsidR="00582966" w:rsidRPr="00D64CB9" w:rsidRDefault="00582966" w:rsidP="00D64CB9">
      <w:pPr>
        <w:spacing w:after="0" w:line="276" w:lineRule="auto"/>
        <w:ind w:firstLine="708"/>
        <w:jc w:val="both"/>
        <w:rPr>
          <w:rFonts w:ascii="Tahoma" w:hAnsi="Tahoma" w:cs="Tahoma"/>
          <w:bCs/>
          <w:sz w:val="24"/>
          <w:szCs w:val="24"/>
        </w:rPr>
      </w:pPr>
      <w:r w:rsidRPr="00D64CB9">
        <w:rPr>
          <w:rFonts w:ascii="Tahoma" w:hAnsi="Tahoma" w:cs="Tahoma"/>
          <w:bCs/>
          <w:sz w:val="24"/>
          <w:szCs w:val="24"/>
        </w:rPr>
        <w:lastRenderedPageBreak/>
        <w:t xml:space="preserve">Dado el resultado adverso del recurso de apelación, se impondrán las costas procesales de esta instancia al demandante. Liquídense por el juzgado de origen. </w:t>
      </w:r>
      <w:r w:rsidR="00834A05" w:rsidRPr="00D64CB9">
        <w:rPr>
          <w:rFonts w:ascii="Tahoma" w:hAnsi="Tahoma" w:cs="Tahoma"/>
          <w:bCs/>
          <w:sz w:val="24"/>
          <w:szCs w:val="24"/>
        </w:rPr>
        <w:t xml:space="preserve"> </w:t>
      </w:r>
    </w:p>
    <w:p w14:paraId="60359B8F" w14:textId="77777777" w:rsidR="00582966" w:rsidRPr="00D64CB9" w:rsidRDefault="00582966" w:rsidP="00D64CB9">
      <w:pPr>
        <w:spacing w:after="0" w:line="276" w:lineRule="auto"/>
        <w:ind w:firstLine="708"/>
        <w:jc w:val="both"/>
        <w:rPr>
          <w:rFonts w:ascii="Tahoma" w:hAnsi="Tahoma" w:cs="Tahoma"/>
          <w:bCs/>
          <w:sz w:val="24"/>
          <w:szCs w:val="24"/>
        </w:rPr>
      </w:pPr>
    </w:p>
    <w:p w14:paraId="631D873C" w14:textId="140B0D17" w:rsidR="00582966" w:rsidRPr="00D64CB9" w:rsidRDefault="00582966" w:rsidP="00D64CB9">
      <w:pPr>
        <w:pStyle w:val="paragraph"/>
        <w:spacing w:before="0" w:beforeAutospacing="0" w:after="0" w:afterAutospacing="0" w:line="276" w:lineRule="auto"/>
        <w:ind w:firstLine="705"/>
        <w:jc w:val="both"/>
        <w:textAlignment w:val="baseline"/>
        <w:rPr>
          <w:rFonts w:ascii="Tahoma" w:hAnsi="Tahoma" w:cs="Tahoma"/>
        </w:rPr>
      </w:pPr>
      <w:r w:rsidRPr="00D64CB9">
        <w:rPr>
          <w:rStyle w:val="normaltextrun"/>
          <w:rFonts w:ascii="Tahoma" w:hAnsi="Tahoma" w:cs="Tahoma"/>
        </w:rPr>
        <w:t xml:space="preserve">En mérito de lo expuesto, el </w:t>
      </w:r>
      <w:r w:rsidRPr="00D64CB9">
        <w:rPr>
          <w:rStyle w:val="normaltextrun"/>
          <w:rFonts w:ascii="Tahoma" w:hAnsi="Tahoma" w:cs="Tahoma"/>
          <w:b/>
          <w:bCs/>
        </w:rPr>
        <w:t xml:space="preserve">Tribunal Superior del Distrito Judicial de Pereira </w:t>
      </w:r>
      <w:r w:rsidR="00767624">
        <w:rPr>
          <w:rStyle w:val="normaltextrun"/>
          <w:rFonts w:ascii="Tahoma" w:hAnsi="Tahoma" w:cs="Tahoma"/>
          <w:b/>
          <w:bCs/>
        </w:rPr>
        <w:t>–</w:t>
      </w:r>
      <w:r w:rsidRPr="00D64CB9">
        <w:rPr>
          <w:rStyle w:val="normaltextrun"/>
          <w:rFonts w:ascii="Tahoma" w:hAnsi="Tahoma" w:cs="Tahoma"/>
          <w:b/>
          <w:bCs/>
        </w:rPr>
        <w:t xml:space="preserve"> Risaralda, Sala Primera de Decisión Laboral</w:t>
      </w:r>
      <w:r w:rsidRPr="00767624">
        <w:rPr>
          <w:rStyle w:val="normaltextrun"/>
          <w:rFonts w:ascii="Tahoma" w:hAnsi="Tahoma" w:cs="Tahoma"/>
          <w:bCs/>
        </w:rPr>
        <w:t>,</w:t>
      </w:r>
      <w:r w:rsidRPr="00767624">
        <w:rPr>
          <w:rStyle w:val="normaltextrun"/>
          <w:rFonts w:ascii="Tahoma" w:hAnsi="Tahoma" w:cs="Tahoma"/>
        </w:rPr>
        <w:t xml:space="preserve"> </w:t>
      </w:r>
      <w:r w:rsidRPr="00D64CB9">
        <w:rPr>
          <w:rStyle w:val="normaltextrun"/>
          <w:rFonts w:ascii="Tahoma" w:hAnsi="Tahoma" w:cs="Tahoma"/>
        </w:rPr>
        <w:t>administrando justicia en nombre de la República y por autoridad de la ley,</w:t>
      </w:r>
      <w:r w:rsidRPr="00D64CB9">
        <w:rPr>
          <w:rStyle w:val="eop"/>
          <w:rFonts w:ascii="Tahoma" w:hAnsi="Tahoma" w:cs="Tahoma"/>
        </w:rPr>
        <w:t> </w:t>
      </w:r>
    </w:p>
    <w:p w14:paraId="7ED9F3DE" w14:textId="77777777" w:rsidR="00582966" w:rsidRPr="00D64CB9" w:rsidRDefault="00582966" w:rsidP="00D64CB9">
      <w:pPr>
        <w:pStyle w:val="paragraph"/>
        <w:spacing w:before="0" w:beforeAutospacing="0" w:after="0" w:afterAutospacing="0" w:line="276" w:lineRule="auto"/>
        <w:ind w:firstLine="630"/>
        <w:textAlignment w:val="baseline"/>
        <w:rPr>
          <w:rFonts w:ascii="Tahoma" w:hAnsi="Tahoma" w:cs="Tahoma"/>
        </w:rPr>
      </w:pPr>
      <w:r w:rsidRPr="00D64CB9">
        <w:rPr>
          <w:rStyle w:val="normaltextrun"/>
          <w:rFonts w:ascii="Tahoma" w:hAnsi="Tahoma" w:cs="Tahoma"/>
        </w:rPr>
        <w:t> </w:t>
      </w:r>
      <w:r w:rsidRPr="00D64CB9">
        <w:rPr>
          <w:rStyle w:val="eop"/>
          <w:rFonts w:ascii="Tahoma" w:hAnsi="Tahoma" w:cs="Tahoma"/>
        </w:rPr>
        <w:t> </w:t>
      </w:r>
    </w:p>
    <w:p w14:paraId="0A6D7B25" w14:textId="77777777" w:rsidR="00582966" w:rsidRPr="00D64CB9" w:rsidRDefault="00582966" w:rsidP="002B6FD0">
      <w:pPr>
        <w:pStyle w:val="paragraph"/>
        <w:spacing w:before="0" w:beforeAutospacing="0" w:after="0" w:afterAutospacing="0" w:line="276" w:lineRule="auto"/>
        <w:jc w:val="center"/>
        <w:textAlignment w:val="baseline"/>
        <w:rPr>
          <w:rFonts w:ascii="Tahoma" w:hAnsi="Tahoma" w:cs="Tahoma"/>
        </w:rPr>
      </w:pPr>
      <w:r w:rsidRPr="00D64CB9">
        <w:rPr>
          <w:rStyle w:val="normaltextrun"/>
          <w:rFonts w:ascii="Tahoma" w:hAnsi="Tahoma" w:cs="Tahoma"/>
          <w:b/>
          <w:bCs/>
        </w:rPr>
        <w:t>RESUELVE</w:t>
      </w:r>
      <w:r w:rsidRPr="00D64CB9">
        <w:rPr>
          <w:rStyle w:val="eop"/>
          <w:rFonts w:ascii="Tahoma" w:hAnsi="Tahoma" w:cs="Tahoma"/>
        </w:rPr>
        <w:t> </w:t>
      </w:r>
    </w:p>
    <w:p w14:paraId="2519F8B5" w14:textId="77777777" w:rsidR="00582966" w:rsidRPr="00D64CB9" w:rsidRDefault="00582966" w:rsidP="00D64CB9">
      <w:pPr>
        <w:pStyle w:val="paragraph"/>
        <w:spacing w:before="0" w:beforeAutospacing="0" w:after="0" w:afterAutospacing="0" w:line="276" w:lineRule="auto"/>
        <w:jc w:val="center"/>
        <w:textAlignment w:val="baseline"/>
        <w:rPr>
          <w:rFonts w:ascii="Tahoma" w:hAnsi="Tahoma" w:cs="Tahoma"/>
        </w:rPr>
      </w:pPr>
      <w:r w:rsidRPr="00D64CB9">
        <w:rPr>
          <w:rStyle w:val="normaltextrun"/>
          <w:rFonts w:ascii="Tahoma" w:hAnsi="Tahoma" w:cs="Tahoma"/>
          <w:b/>
          <w:bCs/>
        </w:rPr>
        <w:t> </w:t>
      </w:r>
      <w:r w:rsidRPr="00D64CB9">
        <w:rPr>
          <w:rStyle w:val="eop"/>
          <w:rFonts w:ascii="Tahoma" w:hAnsi="Tahoma" w:cs="Tahoma"/>
        </w:rPr>
        <w:t> </w:t>
      </w:r>
    </w:p>
    <w:p w14:paraId="77600EE0" w14:textId="77777777" w:rsidR="00606152" w:rsidRPr="00D64CB9" w:rsidRDefault="00582966" w:rsidP="00D64CB9">
      <w:pPr>
        <w:spacing w:after="0" w:line="276" w:lineRule="auto"/>
        <w:ind w:firstLine="708"/>
        <w:jc w:val="both"/>
        <w:rPr>
          <w:rFonts w:ascii="Tahoma" w:hAnsi="Tahoma" w:cs="Tahoma"/>
          <w:bCs/>
          <w:sz w:val="24"/>
          <w:szCs w:val="24"/>
        </w:rPr>
      </w:pPr>
      <w:r w:rsidRPr="00D64CB9">
        <w:rPr>
          <w:rStyle w:val="normaltextrun"/>
          <w:rFonts w:ascii="Tahoma" w:hAnsi="Tahoma" w:cs="Tahoma"/>
          <w:b/>
          <w:bCs/>
          <w:sz w:val="24"/>
          <w:szCs w:val="24"/>
        </w:rPr>
        <w:t xml:space="preserve">PRIMERO: </w:t>
      </w:r>
      <w:r w:rsidRPr="00D64CB9">
        <w:rPr>
          <w:rStyle w:val="normaltextrun"/>
          <w:rFonts w:ascii="Tahoma" w:hAnsi="Tahoma" w:cs="Tahoma"/>
          <w:sz w:val="24"/>
          <w:szCs w:val="24"/>
        </w:rPr>
        <w:t> </w:t>
      </w:r>
      <w:r w:rsidRPr="00D64CB9">
        <w:rPr>
          <w:rStyle w:val="normaltextrun"/>
          <w:rFonts w:ascii="Tahoma" w:hAnsi="Tahoma" w:cs="Tahoma"/>
          <w:b/>
          <w:bCs/>
          <w:sz w:val="24"/>
          <w:szCs w:val="24"/>
        </w:rPr>
        <w:t xml:space="preserve"> CONFIRMAR </w:t>
      </w:r>
      <w:r w:rsidRPr="00D64CB9">
        <w:rPr>
          <w:rStyle w:val="normaltextrun"/>
          <w:rFonts w:ascii="Tahoma" w:hAnsi="Tahoma" w:cs="Tahoma"/>
          <w:sz w:val="24"/>
          <w:szCs w:val="24"/>
        </w:rPr>
        <w:t xml:space="preserve">la sentencia proferida por el Juzgado </w:t>
      </w:r>
      <w:r w:rsidR="00606152" w:rsidRPr="00D64CB9">
        <w:rPr>
          <w:rStyle w:val="normaltextrun"/>
          <w:rFonts w:ascii="Tahoma" w:hAnsi="Tahoma" w:cs="Tahoma"/>
          <w:sz w:val="24"/>
          <w:szCs w:val="24"/>
        </w:rPr>
        <w:t>Cuarto</w:t>
      </w:r>
      <w:r w:rsidRPr="00D64CB9">
        <w:rPr>
          <w:rStyle w:val="normaltextrun"/>
          <w:rFonts w:ascii="Tahoma" w:hAnsi="Tahoma" w:cs="Tahoma"/>
          <w:sz w:val="24"/>
          <w:szCs w:val="24"/>
        </w:rPr>
        <w:t xml:space="preserve"> Laboral del Circuito de Pereira el </w:t>
      </w:r>
      <w:r w:rsidR="00606152" w:rsidRPr="00D64CB9">
        <w:rPr>
          <w:rFonts w:ascii="Tahoma" w:hAnsi="Tahoma" w:cs="Tahoma"/>
          <w:sz w:val="24"/>
          <w:szCs w:val="24"/>
        </w:rPr>
        <w:t>1 de octubre de 2022</w:t>
      </w:r>
      <w:r w:rsidRPr="00D64CB9">
        <w:rPr>
          <w:rStyle w:val="normaltextrun"/>
          <w:rFonts w:ascii="Tahoma" w:hAnsi="Tahoma" w:cs="Tahoma"/>
          <w:sz w:val="24"/>
          <w:szCs w:val="24"/>
        </w:rPr>
        <w:t xml:space="preserve">, dentro del proceso ordinario laboral promovido por </w:t>
      </w:r>
      <w:r w:rsidR="00606152" w:rsidRPr="00D64CB9">
        <w:rPr>
          <w:rFonts w:ascii="Tahoma" w:hAnsi="Tahoma" w:cs="Tahoma"/>
          <w:b/>
          <w:sz w:val="24"/>
          <w:szCs w:val="24"/>
        </w:rPr>
        <w:t xml:space="preserve">Leonardo Ortiz Mesa </w:t>
      </w:r>
      <w:r w:rsidR="00606152" w:rsidRPr="00D64CB9">
        <w:rPr>
          <w:rFonts w:ascii="Tahoma" w:hAnsi="Tahoma" w:cs="Tahoma"/>
          <w:bCs/>
          <w:sz w:val="24"/>
          <w:szCs w:val="24"/>
        </w:rPr>
        <w:t xml:space="preserve">en contra de </w:t>
      </w:r>
      <w:r w:rsidR="00606152" w:rsidRPr="00D64CB9">
        <w:rPr>
          <w:rFonts w:ascii="Tahoma" w:hAnsi="Tahoma" w:cs="Tahoma"/>
          <w:b/>
          <w:sz w:val="24"/>
          <w:szCs w:val="24"/>
        </w:rPr>
        <w:t>La Junta Nacional de Calificación de Invalidez y la Equidad Seguros de Vida Organismo Cooperativo.</w:t>
      </w:r>
    </w:p>
    <w:p w14:paraId="3CC769A4" w14:textId="1A7E3911" w:rsidR="00582966" w:rsidRPr="00D64CB9" w:rsidRDefault="00582966" w:rsidP="00D64CB9">
      <w:pPr>
        <w:pStyle w:val="paragraph"/>
        <w:spacing w:before="0" w:beforeAutospacing="0" w:after="0" w:afterAutospacing="0" w:line="276" w:lineRule="auto"/>
        <w:ind w:firstLine="705"/>
        <w:jc w:val="both"/>
        <w:textAlignment w:val="baseline"/>
        <w:rPr>
          <w:rFonts w:ascii="Tahoma" w:hAnsi="Tahoma" w:cs="Tahoma"/>
        </w:rPr>
      </w:pPr>
      <w:r w:rsidRPr="00D64CB9">
        <w:rPr>
          <w:rStyle w:val="eop"/>
          <w:rFonts w:ascii="Tahoma" w:hAnsi="Tahoma" w:cs="Tahoma"/>
        </w:rPr>
        <w:t> </w:t>
      </w:r>
    </w:p>
    <w:p w14:paraId="492C9677" w14:textId="05B897A9" w:rsidR="00582966" w:rsidRPr="00D64CB9" w:rsidRDefault="00582966" w:rsidP="00D64CB9">
      <w:pPr>
        <w:pStyle w:val="paragraph"/>
        <w:spacing w:before="0" w:beforeAutospacing="0" w:after="0" w:afterAutospacing="0" w:line="276" w:lineRule="auto"/>
        <w:ind w:firstLine="705"/>
        <w:jc w:val="both"/>
        <w:textAlignment w:val="baseline"/>
        <w:rPr>
          <w:rFonts w:ascii="Tahoma" w:hAnsi="Tahoma" w:cs="Tahoma"/>
        </w:rPr>
      </w:pPr>
      <w:r w:rsidRPr="00D64CB9">
        <w:rPr>
          <w:rStyle w:val="normaltextrun"/>
          <w:rFonts w:ascii="Tahoma" w:hAnsi="Tahoma" w:cs="Tahoma"/>
          <w:b/>
          <w:bCs/>
        </w:rPr>
        <w:t>SEGUNDO: CONDENAR</w:t>
      </w:r>
      <w:r w:rsidRPr="00D64CB9">
        <w:rPr>
          <w:rStyle w:val="normaltextrun"/>
          <w:rFonts w:ascii="Tahoma" w:hAnsi="Tahoma" w:cs="Tahoma"/>
        </w:rPr>
        <w:t xml:space="preserve"> en costas de segunda instancia a</w:t>
      </w:r>
      <w:r w:rsidR="00606152" w:rsidRPr="00D64CB9">
        <w:rPr>
          <w:rStyle w:val="normaltextrun"/>
          <w:rFonts w:ascii="Tahoma" w:hAnsi="Tahoma" w:cs="Tahoma"/>
        </w:rPr>
        <w:t>l demandante</w:t>
      </w:r>
      <w:r w:rsidRPr="00D64CB9">
        <w:rPr>
          <w:rStyle w:val="normaltextrun"/>
          <w:rFonts w:ascii="Tahoma" w:hAnsi="Tahoma" w:cs="Tahoma"/>
          <w:b/>
          <w:bCs/>
        </w:rPr>
        <w:t xml:space="preserve"> </w:t>
      </w:r>
      <w:r w:rsidRPr="00D64CB9">
        <w:rPr>
          <w:rStyle w:val="normaltextrun"/>
          <w:rFonts w:ascii="Tahoma" w:hAnsi="Tahoma" w:cs="Tahoma"/>
        </w:rPr>
        <w:t>en un 100%</w:t>
      </w:r>
      <w:r w:rsidRPr="00D64CB9">
        <w:rPr>
          <w:rStyle w:val="normaltextrun"/>
          <w:rFonts w:ascii="Tahoma" w:hAnsi="Tahoma" w:cs="Tahoma"/>
          <w:b/>
          <w:bCs/>
        </w:rPr>
        <w:t xml:space="preserve"> </w:t>
      </w:r>
      <w:r w:rsidRPr="00D64CB9">
        <w:rPr>
          <w:rStyle w:val="normaltextrun"/>
          <w:rFonts w:ascii="Tahoma" w:hAnsi="Tahoma" w:cs="Tahoma"/>
        </w:rPr>
        <w:t>en favor de l</w:t>
      </w:r>
      <w:r w:rsidR="00606152" w:rsidRPr="00D64CB9">
        <w:rPr>
          <w:rStyle w:val="normaltextrun"/>
          <w:rFonts w:ascii="Tahoma" w:hAnsi="Tahoma" w:cs="Tahoma"/>
        </w:rPr>
        <w:t>os</w:t>
      </w:r>
      <w:r w:rsidRPr="00D64CB9">
        <w:rPr>
          <w:rStyle w:val="normaltextrun"/>
          <w:rFonts w:ascii="Tahoma" w:hAnsi="Tahoma" w:cs="Tahoma"/>
        </w:rPr>
        <w:t xml:space="preserve"> demanda</w:t>
      </w:r>
      <w:r w:rsidR="00606152" w:rsidRPr="00D64CB9">
        <w:rPr>
          <w:rStyle w:val="normaltextrun"/>
          <w:rFonts w:ascii="Tahoma" w:hAnsi="Tahoma" w:cs="Tahoma"/>
        </w:rPr>
        <w:t>dos, la mitad para cada uno de ellos</w:t>
      </w:r>
      <w:r w:rsidRPr="00D64CB9">
        <w:rPr>
          <w:rStyle w:val="normaltextrun"/>
          <w:rFonts w:ascii="Tahoma" w:hAnsi="Tahoma" w:cs="Tahoma"/>
        </w:rPr>
        <w:t>. Liquídense por la secretaría del juzgado de origen.</w:t>
      </w:r>
      <w:r w:rsidRPr="00D64CB9">
        <w:rPr>
          <w:rStyle w:val="eop"/>
          <w:rFonts w:ascii="Tahoma" w:hAnsi="Tahoma" w:cs="Tahoma"/>
        </w:rPr>
        <w:t> </w:t>
      </w:r>
    </w:p>
    <w:p w14:paraId="507FC053" w14:textId="77777777" w:rsidR="00D64CB9" w:rsidRPr="00D64CB9" w:rsidRDefault="00D64CB9" w:rsidP="00D64CB9">
      <w:pPr>
        <w:spacing w:after="0" w:line="276" w:lineRule="auto"/>
        <w:jc w:val="both"/>
        <w:rPr>
          <w:rFonts w:ascii="Tahoma" w:eastAsia="Calibri" w:hAnsi="Tahoma" w:cs="Tahoma"/>
          <w:sz w:val="24"/>
          <w:szCs w:val="24"/>
        </w:rPr>
      </w:pPr>
      <w:bookmarkStart w:id="7" w:name="_Hlk126574973"/>
    </w:p>
    <w:p w14:paraId="500201AC" w14:textId="77777777" w:rsidR="00D64CB9" w:rsidRPr="00D64CB9" w:rsidRDefault="00D64CB9" w:rsidP="00D64CB9">
      <w:pPr>
        <w:spacing w:after="0" w:line="276" w:lineRule="auto"/>
        <w:jc w:val="center"/>
        <w:rPr>
          <w:rFonts w:ascii="Tahoma" w:eastAsia="Tahoma" w:hAnsi="Tahoma" w:cs="Tahoma"/>
          <w:b/>
          <w:bCs/>
          <w:sz w:val="24"/>
          <w:szCs w:val="24"/>
        </w:rPr>
      </w:pPr>
      <w:r w:rsidRPr="00D64CB9">
        <w:rPr>
          <w:rFonts w:ascii="Tahoma" w:eastAsia="Tahoma" w:hAnsi="Tahoma" w:cs="Tahoma"/>
          <w:b/>
          <w:bCs/>
          <w:sz w:val="24"/>
          <w:szCs w:val="24"/>
        </w:rPr>
        <w:t>NOTIFÍQUESE Y CÚMPLASE</w:t>
      </w:r>
    </w:p>
    <w:p w14:paraId="7807154C" w14:textId="77777777" w:rsidR="00D64CB9" w:rsidRPr="00D64CB9" w:rsidRDefault="00D64CB9" w:rsidP="00D64CB9">
      <w:pPr>
        <w:spacing w:after="0" w:line="276" w:lineRule="auto"/>
        <w:jc w:val="both"/>
        <w:rPr>
          <w:rFonts w:ascii="Tahoma" w:eastAsia="Calibri" w:hAnsi="Tahoma" w:cs="Tahoma"/>
          <w:sz w:val="24"/>
          <w:szCs w:val="24"/>
        </w:rPr>
      </w:pPr>
      <w:r w:rsidRPr="00D64CB9">
        <w:rPr>
          <w:rFonts w:ascii="Tahoma" w:eastAsia="Calibri" w:hAnsi="Tahoma" w:cs="Tahoma"/>
          <w:sz w:val="24"/>
          <w:szCs w:val="24"/>
        </w:rPr>
        <w:t xml:space="preserve"> </w:t>
      </w:r>
    </w:p>
    <w:p w14:paraId="42C90171" w14:textId="77777777" w:rsidR="00D64CB9" w:rsidRPr="00D64CB9" w:rsidRDefault="00D64CB9" w:rsidP="00D64CB9">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D64CB9">
        <w:rPr>
          <w:rFonts w:ascii="Tahoma" w:eastAsia="Times New Roman" w:hAnsi="Tahoma" w:cs="Tahoma"/>
          <w:sz w:val="24"/>
          <w:szCs w:val="24"/>
          <w:lang w:val="es-ES" w:eastAsia="es-ES"/>
        </w:rPr>
        <w:tab/>
        <w:t>La Magistrada ponente,</w:t>
      </w:r>
    </w:p>
    <w:p w14:paraId="34491734" w14:textId="77777777" w:rsidR="00D64CB9" w:rsidRPr="00D64CB9" w:rsidRDefault="00D64CB9" w:rsidP="00D64CB9">
      <w:pPr>
        <w:spacing w:after="0" w:line="276" w:lineRule="auto"/>
        <w:rPr>
          <w:rFonts w:ascii="Tahoma" w:eastAsia="Times New Roman" w:hAnsi="Tahoma" w:cs="Tahoma"/>
          <w:sz w:val="24"/>
          <w:szCs w:val="24"/>
          <w:lang w:val="es-ES" w:eastAsia="es-ES"/>
        </w:rPr>
      </w:pPr>
    </w:p>
    <w:p w14:paraId="730C06D8" w14:textId="77777777" w:rsidR="00D64CB9" w:rsidRPr="00D64CB9" w:rsidRDefault="00D64CB9" w:rsidP="00D64CB9">
      <w:pPr>
        <w:spacing w:after="0" w:line="276" w:lineRule="auto"/>
        <w:rPr>
          <w:rFonts w:ascii="Tahoma" w:eastAsia="Times New Roman" w:hAnsi="Tahoma" w:cs="Tahoma"/>
          <w:sz w:val="24"/>
          <w:szCs w:val="24"/>
          <w:lang w:val="es-ES" w:eastAsia="es-ES"/>
        </w:rPr>
      </w:pPr>
    </w:p>
    <w:p w14:paraId="2F6F8E52" w14:textId="77777777" w:rsidR="00D64CB9" w:rsidRPr="00D64CB9" w:rsidRDefault="00D64CB9" w:rsidP="00D64CB9">
      <w:pPr>
        <w:spacing w:after="0" w:line="276" w:lineRule="auto"/>
        <w:rPr>
          <w:rFonts w:ascii="Tahoma" w:eastAsia="Times New Roman" w:hAnsi="Tahoma" w:cs="Tahoma"/>
          <w:sz w:val="24"/>
          <w:szCs w:val="24"/>
          <w:lang w:val="es-ES" w:eastAsia="es-ES"/>
        </w:rPr>
      </w:pPr>
    </w:p>
    <w:p w14:paraId="65B3B162" w14:textId="77777777" w:rsidR="00D64CB9" w:rsidRPr="00D64CB9" w:rsidRDefault="00D64CB9" w:rsidP="00D64CB9">
      <w:pPr>
        <w:keepNext/>
        <w:spacing w:after="0" w:line="276" w:lineRule="auto"/>
        <w:jc w:val="center"/>
        <w:outlineLvl w:val="2"/>
        <w:rPr>
          <w:rFonts w:ascii="Tahoma" w:eastAsia="Times New Roman" w:hAnsi="Tahoma" w:cs="Tahoma"/>
          <w:b/>
          <w:bCs/>
          <w:sz w:val="24"/>
          <w:szCs w:val="24"/>
          <w:lang w:val="es-ES" w:eastAsia="es-ES"/>
        </w:rPr>
      </w:pPr>
      <w:r w:rsidRPr="00D64CB9">
        <w:rPr>
          <w:rFonts w:ascii="Tahoma" w:eastAsia="Times New Roman" w:hAnsi="Tahoma" w:cs="Tahoma"/>
          <w:b/>
          <w:bCs/>
          <w:sz w:val="24"/>
          <w:szCs w:val="24"/>
          <w:lang w:val="es-ES" w:eastAsia="es-ES"/>
        </w:rPr>
        <w:t>ANA LUCÍA CAICEDO CALDERÓN</w:t>
      </w:r>
    </w:p>
    <w:p w14:paraId="39A8F563" w14:textId="77777777" w:rsidR="00D64CB9" w:rsidRPr="00D64CB9" w:rsidRDefault="00D64CB9" w:rsidP="00D64CB9">
      <w:pPr>
        <w:spacing w:after="0" w:line="276" w:lineRule="auto"/>
        <w:rPr>
          <w:rFonts w:ascii="Tahoma" w:eastAsia="Times New Roman" w:hAnsi="Tahoma" w:cs="Tahoma"/>
          <w:sz w:val="24"/>
          <w:szCs w:val="24"/>
          <w:lang w:val="es-ES" w:eastAsia="es-ES"/>
        </w:rPr>
      </w:pPr>
    </w:p>
    <w:p w14:paraId="21DAA950" w14:textId="77777777" w:rsidR="00D64CB9" w:rsidRPr="00D64CB9" w:rsidRDefault="00D64CB9" w:rsidP="00D64CB9">
      <w:pPr>
        <w:spacing w:after="0" w:line="276" w:lineRule="auto"/>
        <w:ind w:firstLine="708"/>
        <w:rPr>
          <w:rFonts w:ascii="Tahoma" w:eastAsia="Times New Roman" w:hAnsi="Tahoma" w:cs="Tahoma"/>
          <w:sz w:val="24"/>
          <w:szCs w:val="24"/>
          <w:lang w:val="es-ES" w:eastAsia="es-ES"/>
        </w:rPr>
      </w:pPr>
      <w:bookmarkStart w:id="8" w:name="_Hlk62478330"/>
      <w:r w:rsidRPr="00D64CB9">
        <w:rPr>
          <w:rFonts w:ascii="Tahoma" w:eastAsia="Times New Roman" w:hAnsi="Tahoma" w:cs="Tahoma"/>
          <w:sz w:val="24"/>
          <w:szCs w:val="24"/>
          <w:lang w:val="es-ES" w:eastAsia="es-ES"/>
        </w:rPr>
        <w:t>La Magistrada y el Magistrado,</w:t>
      </w:r>
    </w:p>
    <w:p w14:paraId="5C9E2D70" w14:textId="77777777" w:rsidR="00D64CB9" w:rsidRPr="00D64CB9" w:rsidRDefault="00D64CB9" w:rsidP="00D64CB9">
      <w:pPr>
        <w:spacing w:after="0" w:line="276" w:lineRule="auto"/>
        <w:rPr>
          <w:rFonts w:ascii="Tahoma" w:eastAsia="Times New Roman" w:hAnsi="Tahoma" w:cs="Tahoma"/>
          <w:sz w:val="24"/>
          <w:szCs w:val="24"/>
          <w:lang w:val="es-ES" w:eastAsia="es-ES"/>
        </w:rPr>
      </w:pPr>
    </w:p>
    <w:p w14:paraId="3B42178D" w14:textId="77777777" w:rsidR="00D64CB9" w:rsidRPr="00D64CB9" w:rsidRDefault="00D64CB9" w:rsidP="00D64CB9">
      <w:pPr>
        <w:spacing w:after="0" w:line="276" w:lineRule="auto"/>
        <w:rPr>
          <w:rFonts w:ascii="Tahoma" w:eastAsia="Times New Roman" w:hAnsi="Tahoma" w:cs="Tahoma"/>
          <w:sz w:val="24"/>
          <w:szCs w:val="24"/>
          <w:lang w:val="es-ES" w:eastAsia="es-ES"/>
        </w:rPr>
      </w:pPr>
    </w:p>
    <w:p w14:paraId="718E4B58" w14:textId="77777777" w:rsidR="00D64CB9" w:rsidRPr="00D64CB9" w:rsidRDefault="00D64CB9" w:rsidP="00D64CB9">
      <w:pPr>
        <w:spacing w:after="0" w:line="276" w:lineRule="auto"/>
        <w:rPr>
          <w:rFonts w:ascii="Tahoma" w:eastAsia="Times New Roman" w:hAnsi="Tahoma" w:cs="Tahoma"/>
          <w:sz w:val="24"/>
          <w:szCs w:val="24"/>
          <w:lang w:val="es-ES" w:eastAsia="es-ES"/>
        </w:rPr>
      </w:pPr>
    </w:p>
    <w:p w14:paraId="4B8EF49A" w14:textId="00BAC927" w:rsidR="007764AD" w:rsidRPr="00D64CB9" w:rsidRDefault="00D64CB9" w:rsidP="00D64CB9">
      <w:pPr>
        <w:spacing w:after="0" w:line="276" w:lineRule="auto"/>
        <w:jc w:val="both"/>
        <w:rPr>
          <w:rFonts w:ascii="Tahoma" w:eastAsia="Calibri" w:hAnsi="Tahoma" w:cs="Tahoma"/>
          <w:sz w:val="24"/>
          <w:szCs w:val="24"/>
          <w:lang w:val="es-ES"/>
        </w:rPr>
      </w:pPr>
      <w:r w:rsidRPr="00D64CB9">
        <w:rPr>
          <w:rFonts w:ascii="Tahoma" w:eastAsia="Times New Roman" w:hAnsi="Tahoma" w:cs="Tahoma"/>
          <w:b/>
          <w:bCs/>
          <w:sz w:val="24"/>
          <w:szCs w:val="24"/>
          <w:lang w:val="es-ES" w:eastAsia="es-ES"/>
        </w:rPr>
        <w:t>OLGA LUCÍA HOYOS SEPÚLVEDA</w:t>
      </w:r>
      <w:r w:rsidRPr="00D64CB9">
        <w:rPr>
          <w:rFonts w:ascii="Tahoma" w:eastAsia="Times New Roman" w:hAnsi="Tahoma" w:cs="Tahoma"/>
          <w:b/>
          <w:bCs/>
          <w:sz w:val="24"/>
          <w:szCs w:val="24"/>
          <w:lang w:val="es-ES" w:eastAsia="es-ES"/>
        </w:rPr>
        <w:tab/>
      </w:r>
      <w:r w:rsidRPr="00D64CB9">
        <w:rPr>
          <w:rFonts w:ascii="Tahoma" w:eastAsia="Times New Roman" w:hAnsi="Tahoma" w:cs="Tahoma"/>
          <w:b/>
          <w:bCs/>
          <w:sz w:val="24"/>
          <w:szCs w:val="24"/>
          <w:lang w:val="es-ES" w:eastAsia="es-ES"/>
        </w:rPr>
        <w:tab/>
        <w:t>GERMÁN DARÍO GÓEZ VINASCO</w:t>
      </w:r>
      <w:bookmarkEnd w:id="7"/>
      <w:bookmarkEnd w:id="8"/>
    </w:p>
    <w:sectPr w:rsidR="007764AD" w:rsidRPr="00D64CB9" w:rsidSect="00D64CB9">
      <w:headerReference w:type="default" r:id="rId11"/>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94F030" w16cex:dateUtc="2023-05-31T12:41:09.216Z"/>
  <w16cex:commentExtensible w16cex:durableId="74A4625F" w16cex:dateUtc="2023-06-01T19:02:39.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180A9" w14:textId="77777777" w:rsidR="00A71296" w:rsidRDefault="00A71296" w:rsidP="00AB3729">
      <w:pPr>
        <w:spacing w:after="0" w:line="240" w:lineRule="auto"/>
      </w:pPr>
      <w:r>
        <w:separator/>
      </w:r>
    </w:p>
  </w:endnote>
  <w:endnote w:type="continuationSeparator" w:id="0">
    <w:p w14:paraId="7AB8C8B5" w14:textId="77777777" w:rsidR="00A71296" w:rsidRDefault="00A71296" w:rsidP="00AB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ECA9A" w14:textId="77777777" w:rsidR="00A71296" w:rsidRDefault="00A71296" w:rsidP="00AB3729">
      <w:pPr>
        <w:spacing w:after="0" w:line="240" w:lineRule="auto"/>
      </w:pPr>
      <w:r>
        <w:separator/>
      </w:r>
    </w:p>
  </w:footnote>
  <w:footnote w:type="continuationSeparator" w:id="0">
    <w:p w14:paraId="4D44994A" w14:textId="77777777" w:rsidR="00A71296" w:rsidRDefault="00A71296" w:rsidP="00AB3729">
      <w:pPr>
        <w:spacing w:after="0" w:line="240" w:lineRule="auto"/>
      </w:pPr>
      <w:r>
        <w:continuationSeparator/>
      </w:r>
    </w:p>
  </w:footnote>
  <w:footnote w:id="1">
    <w:p w14:paraId="0A9B8BE3" w14:textId="77777777" w:rsidR="00582966" w:rsidRPr="00767624" w:rsidRDefault="00582966" w:rsidP="002B6FD0">
      <w:pPr>
        <w:pStyle w:val="Textonotapie"/>
        <w:ind w:firstLine="0"/>
        <w:rPr>
          <w:rFonts w:ascii="Arial" w:hAnsi="Arial" w:cs="Arial"/>
          <w:sz w:val="18"/>
        </w:rPr>
      </w:pPr>
      <w:r w:rsidRPr="00767624">
        <w:rPr>
          <w:rStyle w:val="Refdenotaalpie"/>
          <w:rFonts w:ascii="Arial" w:hAnsi="Arial" w:cs="Arial"/>
          <w:sz w:val="18"/>
        </w:rPr>
        <w:footnoteRef/>
      </w:r>
      <w:r w:rsidRPr="00767624">
        <w:rPr>
          <w:rFonts w:ascii="Arial" w:hAnsi="Arial" w:cs="Arial"/>
          <w:sz w:val="18"/>
        </w:rPr>
        <w:t xml:space="preserve"> Archivo 03, páginas 2 a 4 cuaderno de primera instancia.</w:t>
      </w:r>
    </w:p>
  </w:footnote>
  <w:footnote w:id="2">
    <w:p w14:paraId="537CE8F5" w14:textId="69672A13" w:rsidR="00582966" w:rsidRPr="00767624" w:rsidRDefault="00582966" w:rsidP="002B6FD0">
      <w:pPr>
        <w:pStyle w:val="Textonotapie"/>
        <w:ind w:firstLine="0"/>
        <w:rPr>
          <w:rFonts w:ascii="Arial" w:hAnsi="Arial" w:cs="Arial"/>
          <w:sz w:val="18"/>
        </w:rPr>
      </w:pPr>
      <w:r w:rsidRPr="00767624">
        <w:rPr>
          <w:rStyle w:val="Refdenotaalpie"/>
          <w:rFonts w:ascii="Arial" w:hAnsi="Arial" w:cs="Arial"/>
          <w:sz w:val="18"/>
        </w:rPr>
        <w:footnoteRef/>
      </w:r>
      <w:r w:rsidRPr="00767624">
        <w:rPr>
          <w:rFonts w:ascii="Arial" w:hAnsi="Arial" w:cs="Arial"/>
          <w:sz w:val="18"/>
        </w:rPr>
        <w:t xml:space="preserve"> Archivo 03, páginas 11 a 25 cuaderno de primera instancia.</w:t>
      </w:r>
    </w:p>
  </w:footnote>
  <w:footnote w:id="3">
    <w:p w14:paraId="3062C3FB" w14:textId="04C786AF" w:rsidR="00582966" w:rsidRPr="00767624" w:rsidRDefault="00582966" w:rsidP="002B6FD0">
      <w:pPr>
        <w:pStyle w:val="Textonotapie"/>
        <w:ind w:firstLine="0"/>
        <w:rPr>
          <w:rFonts w:ascii="Arial" w:hAnsi="Arial" w:cs="Arial"/>
          <w:sz w:val="18"/>
        </w:rPr>
      </w:pPr>
      <w:r w:rsidRPr="00767624">
        <w:rPr>
          <w:rStyle w:val="Refdenotaalpie"/>
          <w:rFonts w:ascii="Arial" w:hAnsi="Arial" w:cs="Arial"/>
          <w:sz w:val="18"/>
        </w:rPr>
        <w:footnoteRef/>
      </w:r>
      <w:r w:rsidRPr="00767624">
        <w:rPr>
          <w:rFonts w:ascii="Arial" w:hAnsi="Arial" w:cs="Arial"/>
          <w:sz w:val="18"/>
        </w:rPr>
        <w:t xml:space="preserve"> Archivo 03, páginas 17 a 23 cuaderno de primera instancia.</w:t>
      </w:r>
    </w:p>
  </w:footnote>
  <w:footnote w:id="4">
    <w:p w14:paraId="4BB0C062" w14:textId="77777777" w:rsidR="00582966" w:rsidRPr="00767624" w:rsidRDefault="00582966" w:rsidP="002B6FD0">
      <w:pPr>
        <w:pStyle w:val="Textonotapie"/>
        <w:ind w:firstLine="0"/>
        <w:rPr>
          <w:rFonts w:ascii="Arial" w:hAnsi="Arial" w:cs="Arial"/>
          <w:sz w:val="18"/>
        </w:rPr>
      </w:pPr>
      <w:r w:rsidRPr="00767624">
        <w:rPr>
          <w:rStyle w:val="Refdenotaalpie"/>
          <w:rFonts w:ascii="Arial" w:hAnsi="Arial" w:cs="Arial"/>
          <w:sz w:val="18"/>
        </w:rPr>
        <w:footnoteRef/>
      </w:r>
      <w:r w:rsidRPr="00767624">
        <w:rPr>
          <w:rFonts w:ascii="Arial" w:hAnsi="Arial" w:cs="Arial"/>
          <w:sz w:val="18"/>
        </w:rPr>
        <w:t xml:space="preserve"> Archivo 24 cuaderno de primera instancia.</w:t>
      </w:r>
    </w:p>
  </w:footnote>
  <w:footnote w:id="5">
    <w:p w14:paraId="56D15A13" w14:textId="77777777" w:rsidR="00582966" w:rsidRPr="00767624" w:rsidRDefault="00582966" w:rsidP="002B6FD0">
      <w:pPr>
        <w:pStyle w:val="Textonotapie"/>
        <w:ind w:firstLine="0"/>
        <w:rPr>
          <w:rFonts w:ascii="Arial" w:hAnsi="Arial" w:cs="Arial"/>
          <w:sz w:val="18"/>
        </w:rPr>
      </w:pPr>
      <w:r w:rsidRPr="00767624">
        <w:rPr>
          <w:rStyle w:val="Refdenotaalpie"/>
          <w:rFonts w:ascii="Arial" w:hAnsi="Arial" w:cs="Arial"/>
          <w:sz w:val="18"/>
        </w:rPr>
        <w:footnoteRef/>
      </w:r>
      <w:r w:rsidRPr="00767624">
        <w:rPr>
          <w:rFonts w:ascii="Arial" w:hAnsi="Arial" w:cs="Arial"/>
          <w:sz w:val="18"/>
        </w:rPr>
        <w:t xml:space="preserve"> Archivo 34 cuaderno de primera instancia.</w:t>
      </w:r>
    </w:p>
  </w:footnote>
  <w:footnote w:id="6">
    <w:p w14:paraId="38796903" w14:textId="77777777" w:rsidR="00582966" w:rsidRPr="00767624" w:rsidRDefault="00582966" w:rsidP="002B6FD0">
      <w:pPr>
        <w:pStyle w:val="Textonotapie"/>
        <w:ind w:firstLine="0"/>
        <w:rPr>
          <w:rFonts w:ascii="Arial" w:hAnsi="Arial" w:cs="Arial"/>
          <w:sz w:val="18"/>
        </w:rPr>
      </w:pPr>
      <w:r w:rsidRPr="00767624">
        <w:rPr>
          <w:rStyle w:val="Refdenotaalpie"/>
          <w:rFonts w:ascii="Arial" w:hAnsi="Arial" w:cs="Arial"/>
          <w:sz w:val="18"/>
        </w:rPr>
        <w:footnoteRef/>
      </w:r>
      <w:r w:rsidRPr="00767624">
        <w:rPr>
          <w:rFonts w:ascii="Arial" w:hAnsi="Arial" w:cs="Arial"/>
          <w:sz w:val="18"/>
        </w:rPr>
        <w:t xml:space="preserve"> Archivo 36 cuaderno de primera instancia.</w:t>
      </w:r>
    </w:p>
  </w:footnote>
  <w:footnote w:id="7">
    <w:p w14:paraId="24BE7753" w14:textId="77777777" w:rsidR="00582966" w:rsidRDefault="00582966" w:rsidP="002B6FD0">
      <w:pPr>
        <w:pStyle w:val="Textonotapie"/>
        <w:ind w:firstLine="0"/>
      </w:pPr>
      <w:r w:rsidRPr="00767624">
        <w:rPr>
          <w:rStyle w:val="Refdenotaalpie"/>
          <w:rFonts w:ascii="Arial" w:hAnsi="Arial" w:cs="Arial"/>
          <w:sz w:val="18"/>
        </w:rPr>
        <w:footnoteRef/>
      </w:r>
      <w:r w:rsidRPr="00767624">
        <w:rPr>
          <w:rFonts w:ascii="Arial" w:hAnsi="Arial" w:cs="Arial"/>
          <w:sz w:val="18"/>
        </w:rPr>
        <w:t xml:space="preserve"> Archivo 40 cuaderno de primera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308EB" w14:textId="77777777" w:rsidR="00582966" w:rsidRPr="005D7F1E" w:rsidRDefault="00582966" w:rsidP="005D7F1E">
    <w:pPr>
      <w:tabs>
        <w:tab w:val="left" w:pos="0"/>
      </w:tabs>
      <w:spacing w:after="0" w:line="240" w:lineRule="auto"/>
      <w:contextualSpacing/>
      <w:jc w:val="both"/>
      <w:rPr>
        <w:rFonts w:ascii="Arial" w:hAnsi="Arial" w:cs="Arial"/>
        <w:color w:val="000000"/>
        <w:sz w:val="18"/>
        <w:szCs w:val="18"/>
      </w:rPr>
    </w:pPr>
    <w:r w:rsidRPr="005D7F1E">
      <w:rPr>
        <w:rFonts w:ascii="Arial" w:hAnsi="Arial" w:cs="Arial"/>
        <w:color w:val="000000"/>
        <w:sz w:val="18"/>
        <w:szCs w:val="18"/>
      </w:rPr>
      <w:t>Radicación No.:   66001-31-004-2019-00435-01</w:t>
    </w:r>
  </w:p>
  <w:p w14:paraId="07166E03" w14:textId="77777777" w:rsidR="00582966" w:rsidRPr="005D7F1E" w:rsidRDefault="00582966" w:rsidP="005D7F1E">
    <w:pPr>
      <w:tabs>
        <w:tab w:val="left" w:pos="0"/>
      </w:tabs>
      <w:spacing w:after="0" w:line="240" w:lineRule="auto"/>
      <w:contextualSpacing/>
      <w:jc w:val="both"/>
      <w:rPr>
        <w:rFonts w:ascii="Arial" w:hAnsi="Arial" w:cs="Arial"/>
        <w:color w:val="000000"/>
        <w:sz w:val="18"/>
        <w:szCs w:val="18"/>
      </w:rPr>
    </w:pPr>
    <w:r w:rsidRPr="005D7F1E">
      <w:rPr>
        <w:rFonts w:ascii="Arial" w:hAnsi="Arial" w:cs="Arial"/>
        <w:color w:val="000000"/>
        <w:sz w:val="18"/>
        <w:szCs w:val="18"/>
      </w:rPr>
      <w:t>Demandante:      Juan Rafael Suaza Castañeda</w:t>
    </w:r>
  </w:p>
  <w:p w14:paraId="5A5418A9" w14:textId="423B3E70" w:rsidR="00582966" w:rsidRPr="005D7F1E" w:rsidRDefault="00582966" w:rsidP="005D7F1E">
    <w:pPr>
      <w:tabs>
        <w:tab w:val="left" w:pos="0"/>
      </w:tabs>
      <w:spacing w:after="0" w:line="240" w:lineRule="auto"/>
      <w:contextualSpacing/>
      <w:jc w:val="both"/>
      <w:rPr>
        <w:rFonts w:ascii="Arial" w:hAnsi="Arial" w:cs="Arial"/>
        <w:color w:val="000000"/>
        <w:sz w:val="18"/>
        <w:szCs w:val="18"/>
      </w:rPr>
    </w:pPr>
    <w:r w:rsidRPr="005D7F1E">
      <w:rPr>
        <w:rFonts w:ascii="Arial" w:hAnsi="Arial" w:cs="Arial"/>
        <w:color w:val="000000"/>
        <w:sz w:val="18"/>
        <w:szCs w:val="18"/>
      </w:rPr>
      <w:t>Demandado:       Colpensiones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328FC"/>
    <w:multiLevelType w:val="multilevel"/>
    <w:tmpl w:val="0966F3B2"/>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7573FD3"/>
    <w:multiLevelType w:val="hybridMultilevel"/>
    <w:tmpl w:val="BD8AEEC0"/>
    <w:lvl w:ilvl="0" w:tplc="5FCC8B70">
      <w:start w:val="4"/>
      <w:numFmt w:val="decimal"/>
      <w:lvlText w:val="%1."/>
      <w:lvlJc w:val="left"/>
      <w:pPr>
        <w:ind w:left="720" w:hanging="360"/>
      </w:pPr>
      <w:rPr>
        <w:rFonts w:eastAsia="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832FE5"/>
    <w:multiLevelType w:val="hybridMultilevel"/>
    <w:tmpl w:val="9790FE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DC732E"/>
    <w:multiLevelType w:val="multilevel"/>
    <w:tmpl w:val="176E5CC4"/>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4EC51A7A"/>
    <w:multiLevelType w:val="hybridMultilevel"/>
    <w:tmpl w:val="2DB835B8"/>
    <w:lvl w:ilvl="0" w:tplc="585C55D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6DC0229"/>
    <w:multiLevelType w:val="hybridMultilevel"/>
    <w:tmpl w:val="1E3E9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E675D6E"/>
    <w:multiLevelType w:val="hybridMultilevel"/>
    <w:tmpl w:val="41281B1E"/>
    <w:lvl w:ilvl="0" w:tplc="E38280D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0" w15:restartNumberingAfterBreak="0">
    <w:nsid w:val="6DF75D68"/>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1" w15:restartNumberingAfterBreak="0">
    <w:nsid w:val="713132C2"/>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2" w15:restartNumberingAfterBreak="0">
    <w:nsid w:val="7272522E"/>
    <w:multiLevelType w:val="hybridMultilevel"/>
    <w:tmpl w:val="62B07F4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E9E4487"/>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num w:numId="1">
    <w:abstractNumId w:val="5"/>
  </w:num>
  <w:num w:numId="2">
    <w:abstractNumId w:val="2"/>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11"/>
  </w:num>
  <w:num w:numId="7">
    <w:abstractNumId w:val="13"/>
  </w:num>
  <w:num w:numId="8">
    <w:abstractNumId w:val="3"/>
  </w:num>
  <w:num w:numId="9">
    <w:abstractNumId w:val="6"/>
  </w:num>
  <w:num w:numId="10">
    <w:abstractNumId w:val="4"/>
  </w:num>
  <w:num w:numId="11">
    <w:abstractNumId w:val="7"/>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6E4"/>
    <w:rsid w:val="00001372"/>
    <w:rsid w:val="000060AF"/>
    <w:rsid w:val="00010063"/>
    <w:rsid w:val="0001143E"/>
    <w:rsid w:val="000130E4"/>
    <w:rsid w:val="0001686C"/>
    <w:rsid w:val="00016DAF"/>
    <w:rsid w:val="00020866"/>
    <w:rsid w:val="00025978"/>
    <w:rsid w:val="00027828"/>
    <w:rsid w:val="0003234B"/>
    <w:rsid w:val="00036E44"/>
    <w:rsid w:val="000434A7"/>
    <w:rsid w:val="00043A83"/>
    <w:rsid w:val="00044958"/>
    <w:rsid w:val="00046B7F"/>
    <w:rsid w:val="00046EA8"/>
    <w:rsid w:val="000501E8"/>
    <w:rsid w:val="0005062F"/>
    <w:rsid w:val="000515E5"/>
    <w:rsid w:val="0005397D"/>
    <w:rsid w:val="00056A48"/>
    <w:rsid w:val="000616D7"/>
    <w:rsid w:val="0006322B"/>
    <w:rsid w:val="0006642D"/>
    <w:rsid w:val="00067C99"/>
    <w:rsid w:val="00070FC0"/>
    <w:rsid w:val="00081368"/>
    <w:rsid w:val="00081C80"/>
    <w:rsid w:val="00082FCB"/>
    <w:rsid w:val="000904FE"/>
    <w:rsid w:val="000B6D0C"/>
    <w:rsid w:val="000B7E74"/>
    <w:rsid w:val="000C04BB"/>
    <w:rsid w:val="000C2C26"/>
    <w:rsid w:val="000C622E"/>
    <w:rsid w:val="000D00BD"/>
    <w:rsid w:val="000D4276"/>
    <w:rsid w:val="000D65BD"/>
    <w:rsid w:val="000E08AB"/>
    <w:rsid w:val="000E25CB"/>
    <w:rsid w:val="000E6EAF"/>
    <w:rsid w:val="000F0AE8"/>
    <w:rsid w:val="000F59FA"/>
    <w:rsid w:val="0010093B"/>
    <w:rsid w:val="0010136D"/>
    <w:rsid w:val="001013C6"/>
    <w:rsid w:val="00103980"/>
    <w:rsid w:val="00104444"/>
    <w:rsid w:val="001044C4"/>
    <w:rsid w:val="00113F4E"/>
    <w:rsid w:val="00115372"/>
    <w:rsid w:val="0011775C"/>
    <w:rsid w:val="00117952"/>
    <w:rsid w:val="00125067"/>
    <w:rsid w:val="00127001"/>
    <w:rsid w:val="00134A66"/>
    <w:rsid w:val="0013584F"/>
    <w:rsid w:val="001374DE"/>
    <w:rsid w:val="001378E0"/>
    <w:rsid w:val="001426CD"/>
    <w:rsid w:val="00143B22"/>
    <w:rsid w:val="00152D60"/>
    <w:rsid w:val="00153B6B"/>
    <w:rsid w:val="00155B4C"/>
    <w:rsid w:val="001630C3"/>
    <w:rsid w:val="00165A13"/>
    <w:rsid w:val="00165C83"/>
    <w:rsid w:val="00171E69"/>
    <w:rsid w:val="00174663"/>
    <w:rsid w:val="00192720"/>
    <w:rsid w:val="001931FD"/>
    <w:rsid w:val="00193953"/>
    <w:rsid w:val="00193F2C"/>
    <w:rsid w:val="001A308B"/>
    <w:rsid w:val="001B6BEE"/>
    <w:rsid w:val="001B6BF0"/>
    <w:rsid w:val="001C25BD"/>
    <w:rsid w:val="001C56F1"/>
    <w:rsid w:val="001C609C"/>
    <w:rsid w:val="001E2C22"/>
    <w:rsid w:val="001E4205"/>
    <w:rsid w:val="001E4949"/>
    <w:rsid w:val="001E4BF1"/>
    <w:rsid w:val="001F09A9"/>
    <w:rsid w:val="001F5257"/>
    <w:rsid w:val="001F6680"/>
    <w:rsid w:val="0020171A"/>
    <w:rsid w:val="00201943"/>
    <w:rsid w:val="0021361E"/>
    <w:rsid w:val="00227B0E"/>
    <w:rsid w:val="00244010"/>
    <w:rsid w:val="00245209"/>
    <w:rsid w:val="00251674"/>
    <w:rsid w:val="00264949"/>
    <w:rsid w:val="002728B3"/>
    <w:rsid w:val="0027397B"/>
    <w:rsid w:val="002770CA"/>
    <w:rsid w:val="002847EF"/>
    <w:rsid w:val="00287EBA"/>
    <w:rsid w:val="002910B8"/>
    <w:rsid w:val="0029322E"/>
    <w:rsid w:val="00294778"/>
    <w:rsid w:val="002A27DD"/>
    <w:rsid w:val="002B62F9"/>
    <w:rsid w:val="002B6FD0"/>
    <w:rsid w:val="002C1DDB"/>
    <w:rsid w:val="002C1FB7"/>
    <w:rsid w:val="002C5E0B"/>
    <w:rsid w:val="002E48DA"/>
    <w:rsid w:val="002E645D"/>
    <w:rsid w:val="002E6C34"/>
    <w:rsid w:val="002F5592"/>
    <w:rsid w:val="002F6B84"/>
    <w:rsid w:val="003028C1"/>
    <w:rsid w:val="00303732"/>
    <w:rsid w:val="00304927"/>
    <w:rsid w:val="003055FF"/>
    <w:rsid w:val="003057A4"/>
    <w:rsid w:val="003059A7"/>
    <w:rsid w:val="0030631A"/>
    <w:rsid w:val="00310743"/>
    <w:rsid w:val="00312499"/>
    <w:rsid w:val="00314A0E"/>
    <w:rsid w:val="003162B5"/>
    <w:rsid w:val="00320D3C"/>
    <w:rsid w:val="00321F4E"/>
    <w:rsid w:val="00322D9C"/>
    <w:rsid w:val="00323325"/>
    <w:rsid w:val="00325A09"/>
    <w:rsid w:val="0032699D"/>
    <w:rsid w:val="00330491"/>
    <w:rsid w:val="00331A93"/>
    <w:rsid w:val="00332779"/>
    <w:rsid w:val="00332A54"/>
    <w:rsid w:val="00333377"/>
    <w:rsid w:val="0033680A"/>
    <w:rsid w:val="00337D38"/>
    <w:rsid w:val="00342C21"/>
    <w:rsid w:val="00344E75"/>
    <w:rsid w:val="00347E6B"/>
    <w:rsid w:val="00354DF8"/>
    <w:rsid w:val="00362106"/>
    <w:rsid w:val="00365522"/>
    <w:rsid w:val="003725E7"/>
    <w:rsid w:val="00372F2A"/>
    <w:rsid w:val="003730B4"/>
    <w:rsid w:val="003735A6"/>
    <w:rsid w:val="00376DB6"/>
    <w:rsid w:val="00376DC8"/>
    <w:rsid w:val="00377C69"/>
    <w:rsid w:val="003826E4"/>
    <w:rsid w:val="003837ED"/>
    <w:rsid w:val="0038430C"/>
    <w:rsid w:val="00385CFA"/>
    <w:rsid w:val="0039208F"/>
    <w:rsid w:val="003A4D67"/>
    <w:rsid w:val="003B225E"/>
    <w:rsid w:val="003B5C1A"/>
    <w:rsid w:val="003B5D52"/>
    <w:rsid w:val="003B688E"/>
    <w:rsid w:val="003B77F8"/>
    <w:rsid w:val="003C0719"/>
    <w:rsid w:val="003C7423"/>
    <w:rsid w:val="003C7584"/>
    <w:rsid w:val="003C7FAA"/>
    <w:rsid w:val="003D6A53"/>
    <w:rsid w:val="003D7A36"/>
    <w:rsid w:val="003E68BB"/>
    <w:rsid w:val="003F64A3"/>
    <w:rsid w:val="003F6D9D"/>
    <w:rsid w:val="00404060"/>
    <w:rsid w:val="00412E85"/>
    <w:rsid w:val="004159F9"/>
    <w:rsid w:val="0041749D"/>
    <w:rsid w:val="004215DB"/>
    <w:rsid w:val="00423BA5"/>
    <w:rsid w:val="00424D6A"/>
    <w:rsid w:val="00427283"/>
    <w:rsid w:val="004334A9"/>
    <w:rsid w:val="004364BB"/>
    <w:rsid w:val="00443538"/>
    <w:rsid w:val="00445FBB"/>
    <w:rsid w:val="00450569"/>
    <w:rsid w:val="00464C72"/>
    <w:rsid w:val="004700E5"/>
    <w:rsid w:val="00474569"/>
    <w:rsid w:val="004763CF"/>
    <w:rsid w:val="00487351"/>
    <w:rsid w:val="00487797"/>
    <w:rsid w:val="004937E8"/>
    <w:rsid w:val="0049388D"/>
    <w:rsid w:val="004973A1"/>
    <w:rsid w:val="004A2D6D"/>
    <w:rsid w:val="004A66C9"/>
    <w:rsid w:val="004B07C9"/>
    <w:rsid w:val="004B132C"/>
    <w:rsid w:val="004B6910"/>
    <w:rsid w:val="004C0DC1"/>
    <w:rsid w:val="004D4463"/>
    <w:rsid w:val="004D66DB"/>
    <w:rsid w:val="004D6EDC"/>
    <w:rsid w:val="004E05E7"/>
    <w:rsid w:val="004E4E60"/>
    <w:rsid w:val="004E61A5"/>
    <w:rsid w:val="004F113F"/>
    <w:rsid w:val="004F153D"/>
    <w:rsid w:val="004F75A6"/>
    <w:rsid w:val="0050291C"/>
    <w:rsid w:val="00502C1E"/>
    <w:rsid w:val="00507E78"/>
    <w:rsid w:val="00521692"/>
    <w:rsid w:val="005247CB"/>
    <w:rsid w:val="00524F3C"/>
    <w:rsid w:val="005278B1"/>
    <w:rsid w:val="00530D72"/>
    <w:rsid w:val="00533909"/>
    <w:rsid w:val="005437DB"/>
    <w:rsid w:val="0055277E"/>
    <w:rsid w:val="005529C6"/>
    <w:rsid w:val="00553C7A"/>
    <w:rsid w:val="00554C39"/>
    <w:rsid w:val="005552E2"/>
    <w:rsid w:val="00556EF6"/>
    <w:rsid w:val="00562569"/>
    <w:rsid w:val="005642E1"/>
    <w:rsid w:val="00566639"/>
    <w:rsid w:val="00566CE6"/>
    <w:rsid w:val="00573A72"/>
    <w:rsid w:val="00582966"/>
    <w:rsid w:val="0058598B"/>
    <w:rsid w:val="00586A25"/>
    <w:rsid w:val="005925B6"/>
    <w:rsid w:val="00594933"/>
    <w:rsid w:val="005949CC"/>
    <w:rsid w:val="00597A56"/>
    <w:rsid w:val="00597AE8"/>
    <w:rsid w:val="00597F03"/>
    <w:rsid w:val="005A2690"/>
    <w:rsid w:val="005A64A1"/>
    <w:rsid w:val="005A6BA2"/>
    <w:rsid w:val="005B6B6A"/>
    <w:rsid w:val="005B7C75"/>
    <w:rsid w:val="005C024E"/>
    <w:rsid w:val="005C29D2"/>
    <w:rsid w:val="005C48D7"/>
    <w:rsid w:val="005C5391"/>
    <w:rsid w:val="005D6EA4"/>
    <w:rsid w:val="005D7F1E"/>
    <w:rsid w:val="005E1338"/>
    <w:rsid w:val="005E539A"/>
    <w:rsid w:val="005E6D1D"/>
    <w:rsid w:val="005F16BD"/>
    <w:rsid w:val="005F56D3"/>
    <w:rsid w:val="005F635B"/>
    <w:rsid w:val="005F71AD"/>
    <w:rsid w:val="005F7B7E"/>
    <w:rsid w:val="00605C02"/>
    <w:rsid w:val="00606152"/>
    <w:rsid w:val="00617E25"/>
    <w:rsid w:val="00623F13"/>
    <w:rsid w:val="006279D2"/>
    <w:rsid w:val="006301D7"/>
    <w:rsid w:val="006311B7"/>
    <w:rsid w:val="006340F4"/>
    <w:rsid w:val="006345D8"/>
    <w:rsid w:val="006419A6"/>
    <w:rsid w:val="00641C21"/>
    <w:rsid w:val="006434D3"/>
    <w:rsid w:val="00650F5E"/>
    <w:rsid w:val="00651E4D"/>
    <w:rsid w:val="0065519E"/>
    <w:rsid w:val="00660639"/>
    <w:rsid w:val="00664C66"/>
    <w:rsid w:val="00666408"/>
    <w:rsid w:val="006703FF"/>
    <w:rsid w:val="00675802"/>
    <w:rsid w:val="00681223"/>
    <w:rsid w:val="00686B33"/>
    <w:rsid w:val="00694BDA"/>
    <w:rsid w:val="006A7514"/>
    <w:rsid w:val="006B3F7B"/>
    <w:rsid w:val="006C3021"/>
    <w:rsid w:val="006C58B0"/>
    <w:rsid w:val="006C77F8"/>
    <w:rsid w:val="006D25F8"/>
    <w:rsid w:val="006D3878"/>
    <w:rsid w:val="006D7CC9"/>
    <w:rsid w:val="006E19E4"/>
    <w:rsid w:val="006E3186"/>
    <w:rsid w:val="006E648D"/>
    <w:rsid w:val="006E7A78"/>
    <w:rsid w:val="00701AE4"/>
    <w:rsid w:val="00707485"/>
    <w:rsid w:val="00707CA6"/>
    <w:rsid w:val="00716B54"/>
    <w:rsid w:val="00723F42"/>
    <w:rsid w:val="00725129"/>
    <w:rsid w:val="00741F6E"/>
    <w:rsid w:val="007436EA"/>
    <w:rsid w:val="007438FD"/>
    <w:rsid w:val="00744D60"/>
    <w:rsid w:val="00752746"/>
    <w:rsid w:val="0076220F"/>
    <w:rsid w:val="00767624"/>
    <w:rsid w:val="00774299"/>
    <w:rsid w:val="0077622E"/>
    <w:rsid w:val="007764AD"/>
    <w:rsid w:val="00781854"/>
    <w:rsid w:val="00793584"/>
    <w:rsid w:val="00794A2C"/>
    <w:rsid w:val="00795FEA"/>
    <w:rsid w:val="007970A4"/>
    <w:rsid w:val="007A09B3"/>
    <w:rsid w:val="007A1C15"/>
    <w:rsid w:val="007A1CE7"/>
    <w:rsid w:val="007A2790"/>
    <w:rsid w:val="007B15DB"/>
    <w:rsid w:val="007B1A17"/>
    <w:rsid w:val="007B41A3"/>
    <w:rsid w:val="007B75CB"/>
    <w:rsid w:val="007C0B0F"/>
    <w:rsid w:val="007C4EEE"/>
    <w:rsid w:val="007D4648"/>
    <w:rsid w:val="007D702B"/>
    <w:rsid w:val="007D7DDC"/>
    <w:rsid w:val="007E2339"/>
    <w:rsid w:val="007E43BF"/>
    <w:rsid w:val="007F076D"/>
    <w:rsid w:val="007F0A11"/>
    <w:rsid w:val="007F1E45"/>
    <w:rsid w:val="007F1E56"/>
    <w:rsid w:val="007F2617"/>
    <w:rsid w:val="007F3F8D"/>
    <w:rsid w:val="007F5638"/>
    <w:rsid w:val="008149CD"/>
    <w:rsid w:val="008161F2"/>
    <w:rsid w:val="00817007"/>
    <w:rsid w:val="00827F14"/>
    <w:rsid w:val="00833B0B"/>
    <w:rsid w:val="00834A05"/>
    <w:rsid w:val="00845C9A"/>
    <w:rsid w:val="008660CB"/>
    <w:rsid w:val="00872554"/>
    <w:rsid w:val="00873501"/>
    <w:rsid w:val="00873BE2"/>
    <w:rsid w:val="00882483"/>
    <w:rsid w:val="00887CBB"/>
    <w:rsid w:val="0089237D"/>
    <w:rsid w:val="008979BE"/>
    <w:rsid w:val="008A3154"/>
    <w:rsid w:val="008A3663"/>
    <w:rsid w:val="008A4546"/>
    <w:rsid w:val="008A4EFB"/>
    <w:rsid w:val="008A7663"/>
    <w:rsid w:val="008B056E"/>
    <w:rsid w:val="008B27A9"/>
    <w:rsid w:val="008D3AA1"/>
    <w:rsid w:val="008D5D20"/>
    <w:rsid w:val="008E4B7A"/>
    <w:rsid w:val="008E5C8D"/>
    <w:rsid w:val="008E5E09"/>
    <w:rsid w:val="008E666E"/>
    <w:rsid w:val="008F04C5"/>
    <w:rsid w:val="008F188B"/>
    <w:rsid w:val="008F4373"/>
    <w:rsid w:val="008F46DD"/>
    <w:rsid w:val="008F6AA8"/>
    <w:rsid w:val="009204F5"/>
    <w:rsid w:val="009248F5"/>
    <w:rsid w:val="00932640"/>
    <w:rsid w:val="0093352C"/>
    <w:rsid w:val="00937146"/>
    <w:rsid w:val="009415BE"/>
    <w:rsid w:val="009425DE"/>
    <w:rsid w:val="00942AB9"/>
    <w:rsid w:val="00950EB6"/>
    <w:rsid w:val="00951558"/>
    <w:rsid w:val="0095367B"/>
    <w:rsid w:val="009620AC"/>
    <w:rsid w:val="00962BE4"/>
    <w:rsid w:val="00972A9F"/>
    <w:rsid w:val="00974E2F"/>
    <w:rsid w:val="0097564F"/>
    <w:rsid w:val="00977063"/>
    <w:rsid w:val="00980E5E"/>
    <w:rsid w:val="009813A6"/>
    <w:rsid w:val="00982074"/>
    <w:rsid w:val="0098303F"/>
    <w:rsid w:val="00985AEF"/>
    <w:rsid w:val="009862E1"/>
    <w:rsid w:val="00993304"/>
    <w:rsid w:val="00995A3D"/>
    <w:rsid w:val="00995C58"/>
    <w:rsid w:val="009A1876"/>
    <w:rsid w:val="009A3A43"/>
    <w:rsid w:val="009A3CAD"/>
    <w:rsid w:val="009A5438"/>
    <w:rsid w:val="009A7B3B"/>
    <w:rsid w:val="009B1517"/>
    <w:rsid w:val="009B163E"/>
    <w:rsid w:val="009B1FDB"/>
    <w:rsid w:val="009B48EF"/>
    <w:rsid w:val="009B7F41"/>
    <w:rsid w:val="009C28E9"/>
    <w:rsid w:val="009C59A8"/>
    <w:rsid w:val="009C69F3"/>
    <w:rsid w:val="009C78C7"/>
    <w:rsid w:val="009C7ABE"/>
    <w:rsid w:val="009E6A4C"/>
    <w:rsid w:val="009F0F97"/>
    <w:rsid w:val="009F2CC3"/>
    <w:rsid w:val="009F66E4"/>
    <w:rsid w:val="00A02E76"/>
    <w:rsid w:val="00A0733F"/>
    <w:rsid w:val="00A11CE4"/>
    <w:rsid w:val="00A11DA5"/>
    <w:rsid w:val="00A15909"/>
    <w:rsid w:val="00A23522"/>
    <w:rsid w:val="00A237D6"/>
    <w:rsid w:val="00A23BC8"/>
    <w:rsid w:val="00A26C0D"/>
    <w:rsid w:val="00A32A89"/>
    <w:rsid w:val="00A33532"/>
    <w:rsid w:val="00A36D82"/>
    <w:rsid w:val="00A375CB"/>
    <w:rsid w:val="00A44CB4"/>
    <w:rsid w:val="00A46925"/>
    <w:rsid w:val="00A53275"/>
    <w:rsid w:val="00A542B9"/>
    <w:rsid w:val="00A61641"/>
    <w:rsid w:val="00A635AE"/>
    <w:rsid w:val="00A63D22"/>
    <w:rsid w:val="00A678D9"/>
    <w:rsid w:val="00A67F7C"/>
    <w:rsid w:val="00A71296"/>
    <w:rsid w:val="00A71550"/>
    <w:rsid w:val="00A72E49"/>
    <w:rsid w:val="00A733AE"/>
    <w:rsid w:val="00A74E7B"/>
    <w:rsid w:val="00A816DC"/>
    <w:rsid w:val="00A86009"/>
    <w:rsid w:val="00AA021A"/>
    <w:rsid w:val="00AA2ADF"/>
    <w:rsid w:val="00AB2439"/>
    <w:rsid w:val="00AB3729"/>
    <w:rsid w:val="00AC0246"/>
    <w:rsid w:val="00AC1B85"/>
    <w:rsid w:val="00AC38FD"/>
    <w:rsid w:val="00AC3F1B"/>
    <w:rsid w:val="00AC63DA"/>
    <w:rsid w:val="00AD45B3"/>
    <w:rsid w:val="00AD5262"/>
    <w:rsid w:val="00AD6D0B"/>
    <w:rsid w:val="00AD74BE"/>
    <w:rsid w:val="00AE01C5"/>
    <w:rsid w:val="00AE3000"/>
    <w:rsid w:val="00AE38B9"/>
    <w:rsid w:val="00AE411E"/>
    <w:rsid w:val="00AE4168"/>
    <w:rsid w:val="00AE5F7A"/>
    <w:rsid w:val="00AE6377"/>
    <w:rsid w:val="00AF210A"/>
    <w:rsid w:val="00B029A1"/>
    <w:rsid w:val="00B04B57"/>
    <w:rsid w:val="00B04D4F"/>
    <w:rsid w:val="00B078D7"/>
    <w:rsid w:val="00B12D9C"/>
    <w:rsid w:val="00B13D4F"/>
    <w:rsid w:val="00B2672E"/>
    <w:rsid w:val="00B31B1A"/>
    <w:rsid w:val="00B33A13"/>
    <w:rsid w:val="00B33D82"/>
    <w:rsid w:val="00B368F3"/>
    <w:rsid w:val="00B37CDC"/>
    <w:rsid w:val="00B4197C"/>
    <w:rsid w:val="00B44943"/>
    <w:rsid w:val="00B4545D"/>
    <w:rsid w:val="00B477CC"/>
    <w:rsid w:val="00B517E5"/>
    <w:rsid w:val="00B64BFE"/>
    <w:rsid w:val="00B65612"/>
    <w:rsid w:val="00B745D2"/>
    <w:rsid w:val="00B82DDE"/>
    <w:rsid w:val="00B8668C"/>
    <w:rsid w:val="00B97060"/>
    <w:rsid w:val="00BB1131"/>
    <w:rsid w:val="00BB28CD"/>
    <w:rsid w:val="00BB2C4D"/>
    <w:rsid w:val="00BB43DC"/>
    <w:rsid w:val="00BB5FF6"/>
    <w:rsid w:val="00BB7269"/>
    <w:rsid w:val="00BB79D5"/>
    <w:rsid w:val="00BD69B1"/>
    <w:rsid w:val="00BE3EF1"/>
    <w:rsid w:val="00BE7583"/>
    <w:rsid w:val="00BF02B0"/>
    <w:rsid w:val="00C000FE"/>
    <w:rsid w:val="00C04EA9"/>
    <w:rsid w:val="00C06431"/>
    <w:rsid w:val="00C06B4C"/>
    <w:rsid w:val="00C11F11"/>
    <w:rsid w:val="00C14665"/>
    <w:rsid w:val="00C16F04"/>
    <w:rsid w:val="00C20868"/>
    <w:rsid w:val="00C27049"/>
    <w:rsid w:val="00C321F6"/>
    <w:rsid w:val="00C341C7"/>
    <w:rsid w:val="00C349B4"/>
    <w:rsid w:val="00C3510E"/>
    <w:rsid w:val="00C41E3E"/>
    <w:rsid w:val="00C53947"/>
    <w:rsid w:val="00C53DF6"/>
    <w:rsid w:val="00C55B17"/>
    <w:rsid w:val="00C5664F"/>
    <w:rsid w:val="00C5754E"/>
    <w:rsid w:val="00C607C2"/>
    <w:rsid w:val="00C62C1B"/>
    <w:rsid w:val="00C6445C"/>
    <w:rsid w:val="00C82244"/>
    <w:rsid w:val="00C8427F"/>
    <w:rsid w:val="00C91B1F"/>
    <w:rsid w:val="00C95DF2"/>
    <w:rsid w:val="00CA0040"/>
    <w:rsid w:val="00CA341F"/>
    <w:rsid w:val="00CA6EF7"/>
    <w:rsid w:val="00CB076D"/>
    <w:rsid w:val="00CB0C16"/>
    <w:rsid w:val="00CB6317"/>
    <w:rsid w:val="00CB690F"/>
    <w:rsid w:val="00CB6F77"/>
    <w:rsid w:val="00CB7E4F"/>
    <w:rsid w:val="00CC072D"/>
    <w:rsid w:val="00CC102B"/>
    <w:rsid w:val="00CC1E64"/>
    <w:rsid w:val="00CC563B"/>
    <w:rsid w:val="00CC5D54"/>
    <w:rsid w:val="00CD0240"/>
    <w:rsid w:val="00CD6283"/>
    <w:rsid w:val="00CD62BA"/>
    <w:rsid w:val="00CE11B6"/>
    <w:rsid w:val="00CE1746"/>
    <w:rsid w:val="00CE1AAC"/>
    <w:rsid w:val="00CE34F6"/>
    <w:rsid w:val="00CE4D9B"/>
    <w:rsid w:val="00CF0EAF"/>
    <w:rsid w:val="00CF1D96"/>
    <w:rsid w:val="00CF2ACE"/>
    <w:rsid w:val="00CF4E16"/>
    <w:rsid w:val="00D013A7"/>
    <w:rsid w:val="00D01EFF"/>
    <w:rsid w:val="00D027BC"/>
    <w:rsid w:val="00D03201"/>
    <w:rsid w:val="00D10F28"/>
    <w:rsid w:val="00D1238B"/>
    <w:rsid w:val="00D154F9"/>
    <w:rsid w:val="00D23083"/>
    <w:rsid w:val="00D23708"/>
    <w:rsid w:val="00D24206"/>
    <w:rsid w:val="00D30A35"/>
    <w:rsid w:val="00D32FFA"/>
    <w:rsid w:val="00D339CA"/>
    <w:rsid w:val="00D43AE0"/>
    <w:rsid w:val="00D44E7A"/>
    <w:rsid w:val="00D47159"/>
    <w:rsid w:val="00D520D2"/>
    <w:rsid w:val="00D56763"/>
    <w:rsid w:val="00D57EC3"/>
    <w:rsid w:val="00D6290D"/>
    <w:rsid w:val="00D62E32"/>
    <w:rsid w:val="00D64CB9"/>
    <w:rsid w:val="00D755E0"/>
    <w:rsid w:val="00D758E6"/>
    <w:rsid w:val="00D837E3"/>
    <w:rsid w:val="00D92506"/>
    <w:rsid w:val="00DA0524"/>
    <w:rsid w:val="00DA0724"/>
    <w:rsid w:val="00DA4929"/>
    <w:rsid w:val="00DA5EB6"/>
    <w:rsid w:val="00DB120F"/>
    <w:rsid w:val="00DB5AB8"/>
    <w:rsid w:val="00DC356B"/>
    <w:rsid w:val="00DC3DDB"/>
    <w:rsid w:val="00DC4CD7"/>
    <w:rsid w:val="00DD13B1"/>
    <w:rsid w:val="00DD16D2"/>
    <w:rsid w:val="00DD1B29"/>
    <w:rsid w:val="00DD64D5"/>
    <w:rsid w:val="00DD66B7"/>
    <w:rsid w:val="00DE16D9"/>
    <w:rsid w:val="00DE5F9E"/>
    <w:rsid w:val="00DF0C1A"/>
    <w:rsid w:val="00E0212D"/>
    <w:rsid w:val="00E02477"/>
    <w:rsid w:val="00E048B2"/>
    <w:rsid w:val="00E074F8"/>
    <w:rsid w:val="00E1402E"/>
    <w:rsid w:val="00E1741E"/>
    <w:rsid w:val="00E178F0"/>
    <w:rsid w:val="00E33DAB"/>
    <w:rsid w:val="00E3708A"/>
    <w:rsid w:val="00E440A6"/>
    <w:rsid w:val="00E459E9"/>
    <w:rsid w:val="00E47AA0"/>
    <w:rsid w:val="00E50336"/>
    <w:rsid w:val="00E50BF7"/>
    <w:rsid w:val="00E50CA2"/>
    <w:rsid w:val="00E51BDC"/>
    <w:rsid w:val="00E536BA"/>
    <w:rsid w:val="00E55007"/>
    <w:rsid w:val="00E618A0"/>
    <w:rsid w:val="00E6594C"/>
    <w:rsid w:val="00E66D6F"/>
    <w:rsid w:val="00E67F2A"/>
    <w:rsid w:val="00E71AB8"/>
    <w:rsid w:val="00E75E6D"/>
    <w:rsid w:val="00E83213"/>
    <w:rsid w:val="00E964CB"/>
    <w:rsid w:val="00E96555"/>
    <w:rsid w:val="00E967EA"/>
    <w:rsid w:val="00E97B3A"/>
    <w:rsid w:val="00EA2FBA"/>
    <w:rsid w:val="00EA627F"/>
    <w:rsid w:val="00EB1658"/>
    <w:rsid w:val="00EC440E"/>
    <w:rsid w:val="00EC44B7"/>
    <w:rsid w:val="00EC5620"/>
    <w:rsid w:val="00EC71C8"/>
    <w:rsid w:val="00ED56A1"/>
    <w:rsid w:val="00EE483A"/>
    <w:rsid w:val="00EF3C60"/>
    <w:rsid w:val="00EF3F1B"/>
    <w:rsid w:val="00F01079"/>
    <w:rsid w:val="00F01B30"/>
    <w:rsid w:val="00F02168"/>
    <w:rsid w:val="00F10F37"/>
    <w:rsid w:val="00F141FB"/>
    <w:rsid w:val="00F236CD"/>
    <w:rsid w:val="00F3288C"/>
    <w:rsid w:val="00F3418E"/>
    <w:rsid w:val="00F345D9"/>
    <w:rsid w:val="00F352E2"/>
    <w:rsid w:val="00F42C94"/>
    <w:rsid w:val="00F628A6"/>
    <w:rsid w:val="00F70E2C"/>
    <w:rsid w:val="00F757F0"/>
    <w:rsid w:val="00F75C7C"/>
    <w:rsid w:val="00F92D5C"/>
    <w:rsid w:val="00F94A9A"/>
    <w:rsid w:val="00FA2E7A"/>
    <w:rsid w:val="00FA2F50"/>
    <w:rsid w:val="00FD62C6"/>
    <w:rsid w:val="00FE0FEE"/>
    <w:rsid w:val="00FE70C5"/>
    <w:rsid w:val="00FE7F08"/>
    <w:rsid w:val="00FF1064"/>
    <w:rsid w:val="00FF29F8"/>
    <w:rsid w:val="00FF7C5B"/>
    <w:rsid w:val="01117BBF"/>
    <w:rsid w:val="031A0D82"/>
    <w:rsid w:val="03F123E9"/>
    <w:rsid w:val="04F73A72"/>
    <w:rsid w:val="0512D03B"/>
    <w:rsid w:val="05475E3D"/>
    <w:rsid w:val="05809876"/>
    <w:rsid w:val="06286EE2"/>
    <w:rsid w:val="066AD6A1"/>
    <w:rsid w:val="06D07C50"/>
    <w:rsid w:val="07030978"/>
    <w:rsid w:val="0726F69D"/>
    <w:rsid w:val="086C4CB1"/>
    <w:rsid w:val="089ED9D9"/>
    <w:rsid w:val="08AC517D"/>
    <w:rsid w:val="08C33102"/>
    <w:rsid w:val="090738CF"/>
    <w:rsid w:val="09A3D7A3"/>
    <w:rsid w:val="09D2A664"/>
    <w:rsid w:val="09F5355B"/>
    <w:rsid w:val="0A081D12"/>
    <w:rsid w:val="0B022FB5"/>
    <w:rsid w:val="0B3F7D30"/>
    <w:rsid w:val="0BE3F23F"/>
    <w:rsid w:val="0D3207F9"/>
    <w:rsid w:val="0D9CB17A"/>
    <w:rsid w:val="0DC423D6"/>
    <w:rsid w:val="0E33C6C6"/>
    <w:rsid w:val="0E9E2B43"/>
    <w:rsid w:val="0ED86853"/>
    <w:rsid w:val="0FBD1CCB"/>
    <w:rsid w:val="106BEE86"/>
    <w:rsid w:val="10D1C4C7"/>
    <w:rsid w:val="10EDE714"/>
    <w:rsid w:val="11D5CC05"/>
    <w:rsid w:val="12DA6BF7"/>
    <w:rsid w:val="1312015C"/>
    <w:rsid w:val="132835B0"/>
    <w:rsid w:val="1370BDA0"/>
    <w:rsid w:val="13BFFF3B"/>
    <w:rsid w:val="1522837D"/>
    <w:rsid w:val="1581866C"/>
    <w:rsid w:val="15F0C033"/>
    <w:rsid w:val="16B42909"/>
    <w:rsid w:val="178C9094"/>
    <w:rsid w:val="17C180AF"/>
    <w:rsid w:val="17C4F146"/>
    <w:rsid w:val="18354928"/>
    <w:rsid w:val="187E6C96"/>
    <w:rsid w:val="1ADB3712"/>
    <w:rsid w:val="1AF92171"/>
    <w:rsid w:val="1B34A233"/>
    <w:rsid w:val="1B5BD523"/>
    <w:rsid w:val="1B942421"/>
    <w:rsid w:val="1CA391A1"/>
    <w:rsid w:val="1D209365"/>
    <w:rsid w:val="1ECF3C51"/>
    <w:rsid w:val="1ED48A81"/>
    <w:rsid w:val="1FFD72E8"/>
    <w:rsid w:val="20700830"/>
    <w:rsid w:val="2092D453"/>
    <w:rsid w:val="2124D208"/>
    <w:rsid w:val="219949DE"/>
    <w:rsid w:val="21CEA425"/>
    <w:rsid w:val="230A2805"/>
    <w:rsid w:val="232FAF5E"/>
    <w:rsid w:val="23BBE2F1"/>
    <w:rsid w:val="23C63356"/>
    <w:rsid w:val="24193899"/>
    <w:rsid w:val="2467025D"/>
    <w:rsid w:val="249FBDB8"/>
    <w:rsid w:val="24B1FDC4"/>
    <w:rsid w:val="266CBB01"/>
    <w:rsid w:val="26A5BF53"/>
    <w:rsid w:val="27C623A3"/>
    <w:rsid w:val="28670F55"/>
    <w:rsid w:val="28838E77"/>
    <w:rsid w:val="28D32781"/>
    <w:rsid w:val="29111902"/>
    <w:rsid w:val="29467245"/>
    <w:rsid w:val="29528D18"/>
    <w:rsid w:val="2962854F"/>
    <w:rsid w:val="2AA2C2C2"/>
    <w:rsid w:val="2BE5D69F"/>
    <w:rsid w:val="2C794CAF"/>
    <w:rsid w:val="2E469FFE"/>
    <w:rsid w:val="2E532389"/>
    <w:rsid w:val="2F9934F4"/>
    <w:rsid w:val="2F9C8B6C"/>
    <w:rsid w:val="2FB5B3C9"/>
    <w:rsid w:val="32C56399"/>
    <w:rsid w:val="3321FEA7"/>
    <w:rsid w:val="332C58D5"/>
    <w:rsid w:val="3347A61B"/>
    <w:rsid w:val="33CB5537"/>
    <w:rsid w:val="350DE90D"/>
    <w:rsid w:val="352C6A00"/>
    <w:rsid w:val="363ABEC0"/>
    <w:rsid w:val="3640770C"/>
    <w:rsid w:val="364597D1"/>
    <w:rsid w:val="3650D375"/>
    <w:rsid w:val="3675C460"/>
    <w:rsid w:val="3738226B"/>
    <w:rsid w:val="3752DE5F"/>
    <w:rsid w:val="38B6E203"/>
    <w:rsid w:val="3A23B281"/>
    <w:rsid w:val="3A52B264"/>
    <w:rsid w:val="3AC5EBF4"/>
    <w:rsid w:val="3B747F71"/>
    <w:rsid w:val="3D8214BF"/>
    <w:rsid w:val="3DBEE743"/>
    <w:rsid w:val="3DE5E342"/>
    <w:rsid w:val="3E986537"/>
    <w:rsid w:val="3EB21020"/>
    <w:rsid w:val="3EC0ED23"/>
    <w:rsid w:val="3FA1B843"/>
    <w:rsid w:val="3FC70F39"/>
    <w:rsid w:val="4022563E"/>
    <w:rsid w:val="404DE081"/>
    <w:rsid w:val="418BEBA5"/>
    <w:rsid w:val="425DC449"/>
    <w:rsid w:val="42759B98"/>
    <w:rsid w:val="43937452"/>
    <w:rsid w:val="43A12D3D"/>
    <w:rsid w:val="43C07A42"/>
    <w:rsid w:val="44D3F2D2"/>
    <w:rsid w:val="452FBF5C"/>
    <w:rsid w:val="4557B7BD"/>
    <w:rsid w:val="4579B25B"/>
    <w:rsid w:val="45FCD7B3"/>
    <w:rsid w:val="461D2860"/>
    <w:rsid w:val="465018D9"/>
    <w:rsid w:val="466CDD0C"/>
    <w:rsid w:val="467AE641"/>
    <w:rsid w:val="4715B3AD"/>
    <w:rsid w:val="477F17DD"/>
    <w:rsid w:val="47B7652A"/>
    <w:rsid w:val="47C19ABC"/>
    <w:rsid w:val="48CD05CD"/>
    <w:rsid w:val="48F2041C"/>
    <w:rsid w:val="48F8E078"/>
    <w:rsid w:val="4A0AC02D"/>
    <w:rsid w:val="4A171B72"/>
    <w:rsid w:val="4A2C287E"/>
    <w:rsid w:val="4A342C12"/>
    <w:rsid w:val="4A70C3B4"/>
    <w:rsid w:val="4A73AFB4"/>
    <w:rsid w:val="4C0C9415"/>
    <w:rsid w:val="4CD4816D"/>
    <w:rsid w:val="4D3080C8"/>
    <w:rsid w:val="4DA076F0"/>
    <w:rsid w:val="4DBD6258"/>
    <w:rsid w:val="4E0685C6"/>
    <w:rsid w:val="4E09DED2"/>
    <w:rsid w:val="4FA80624"/>
    <w:rsid w:val="507397F5"/>
    <w:rsid w:val="50E00538"/>
    <w:rsid w:val="51183799"/>
    <w:rsid w:val="5273E813"/>
    <w:rsid w:val="52BE3D58"/>
    <w:rsid w:val="536F0E12"/>
    <w:rsid w:val="5375AFD0"/>
    <w:rsid w:val="53AA12C5"/>
    <w:rsid w:val="53ACF47C"/>
    <w:rsid w:val="546D1C2A"/>
    <w:rsid w:val="54E31532"/>
    <w:rsid w:val="54FC7853"/>
    <w:rsid w:val="5504D3C2"/>
    <w:rsid w:val="55AB88D5"/>
    <w:rsid w:val="5638601C"/>
    <w:rsid w:val="5866F6D4"/>
    <w:rsid w:val="587EE428"/>
    <w:rsid w:val="58924135"/>
    <w:rsid w:val="5933CFB4"/>
    <w:rsid w:val="5993751B"/>
    <w:rsid w:val="5B0C2C49"/>
    <w:rsid w:val="5B55720A"/>
    <w:rsid w:val="5B8A05E5"/>
    <w:rsid w:val="5C5ACF25"/>
    <w:rsid w:val="5C651F9E"/>
    <w:rsid w:val="5C8FBF40"/>
    <w:rsid w:val="5C9F0E9C"/>
    <w:rsid w:val="5CD35F7B"/>
    <w:rsid w:val="5D37CCAE"/>
    <w:rsid w:val="5F45F29E"/>
    <w:rsid w:val="5F526B1B"/>
    <w:rsid w:val="5FF6FA5A"/>
    <w:rsid w:val="60EE3B7C"/>
    <w:rsid w:val="60F62902"/>
    <w:rsid w:val="60FBA505"/>
    <w:rsid w:val="61E1FE6F"/>
    <w:rsid w:val="61E9EBF5"/>
    <w:rsid w:val="628053DF"/>
    <w:rsid w:val="628A0BDD"/>
    <w:rsid w:val="637009B6"/>
    <w:rsid w:val="6389A4C2"/>
    <w:rsid w:val="63C43979"/>
    <w:rsid w:val="642E0FC3"/>
    <w:rsid w:val="654E2169"/>
    <w:rsid w:val="65B29055"/>
    <w:rsid w:val="65D3D637"/>
    <w:rsid w:val="66C14584"/>
    <w:rsid w:val="66EF8524"/>
    <w:rsid w:val="6947A7F3"/>
    <w:rsid w:val="6A8DB95E"/>
    <w:rsid w:val="6AE7A4B5"/>
    <w:rsid w:val="6B6332C4"/>
    <w:rsid w:val="6B725D2F"/>
    <w:rsid w:val="6BAE71BC"/>
    <w:rsid w:val="6BF4A777"/>
    <w:rsid w:val="6CE74E24"/>
    <w:rsid w:val="6D43EEFB"/>
    <w:rsid w:val="6DB3466C"/>
    <w:rsid w:val="6E3BD0C2"/>
    <w:rsid w:val="6EE75DE6"/>
    <w:rsid w:val="70ED1F64"/>
    <w:rsid w:val="711B9722"/>
    <w:rsid w:val="71D13E06"/>
    <w:rsid w:val="71ECB229"/>
    <w:rsid w:val="71F06F18"/>
    <w:rsid w:val="721026C4"/>
    <w:rsid w:val="721EFEA8"/>
    <w:rsid w:val="726100DF"/>
    <w:rsid w:val="72C33038"/>
    <w:rsid w:val="730ABC5D"/>
    <w:rsid w:val="734A5A0B"/>
    <w:rsid w:val="7382B7C3"/>
    <w:rsid w:val="7393F29A"/>
    <w:rsid w:val="739C4C45"/>
    <w:rsid w:val="73B2CE3E"/>
    <w:rsid w:val="742FD002"/>
    <w:rsid w:val="745B8D1B"/>
    <w:rsid w:val="746ED32F"/>
    <w:rsid w:val="77421BDA"/>
    <w:rsid w:val="77BE4A71"/>
    <w:rsid w:val="7899EED5"/>
    <w:rsid w:val="78C4C3DE"/>
    <w:rsid w:val="7949EBD9"/>
    <w:rsid w:val="79BD4F2B"/>
    <w:rsid w:val="7ACF95DF"/>
    <w:rsid w:val="7B487930"/>
    <w:rsid w:val="7BB7090A"/>
    <w:rsid w:val="7CC587F1"/>
    <w:rsid w:val="7D983501"/>
    <w:rsid w:val="7E557442"/>
    <w:rsid w:val="7E6AEB0E"/>
    <w:rsid w:val="7EC56A6A"/>
    <w:rsid w:val="7F1A02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4D583"/>
  <w15:docId w15:val="{9E4758F5-E012-4775-83DF-55ECF4F3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84F"/>
  </w:style>
  <w:style w:type="paragraph" w:styleId="Ttulo4">
    <w:name w:val="heading 4"/>
    <w:basedOn w:val="Normal"/>
    <w:next w:val="Normal"/>
    <w:link w:val="Ttulo4Car"/>
    <w:unhideWhenUsed/>
    <w:qFormat/>
    <w:rsid w:val="0098303F"/>
    <w:pPr>
      <w:keepNext/>
      <w:tabs>
        <w:tab w:val="left" w:pos="0"/>
      </w:tabs>
      <w:overflowPunct w:val="0"/>
      <w:autoSpaceDE w:val="0"/>
      <w:autoSpaceDN w:val="0"/>
      <w:adjustRightInd w:val="0"/>
      <w:spacing w:after="0" w:line="240" w:lineRule="auto"/>
      <w:jc w:val="center"/>
      <w:outlineLvl w:val="3"/>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B517E5"/>
  </w:style>
  <w:style w:type="character" w:customStyle="1" w:styleId="fontstyle21">
    <w:name w:val="fontstyle21"/>
    <w:basedOn w:val="Fuentedeprrafopredeter"/>
    <w:rsid w:val="0098303F"/>
    <w:rPr>
      <w:rFonts w:ascii="Tahoma" w:hAnsi="Tahoma" w:cs="Tahoma" w:hint="default"/>
      <w:b w:val="0"/>
      <w:bCs w:val="0"/>
      <w:i w:val="0"/>
      <w:iCs w:val="0"/>
      <w:color w:val="000000"/>
      <w:sz w:val="24"/>
      <w:szCs w:val="24"/>
    </w:rPr>
  </w:style>
  <w:style w:type="character" w:customStyle="1" w:styleId="Ttulo4Car">
    <w:name w:val="Título 4 Car"/>
    <w:basedOn w:val="Fuentedeprrafopredeter"/>
    <w:link w:val="Ttulo4"/>
    <w:rsid w:val="0098303F"/>
    <w:rPr>
      <w:rFonts w:ascii="Times New Roman" w:eastAsia="Times New Roman" w:hAnsi="Times New Roman" w:cs="Times New Roman"/>
      <w:b/>
      <w:sz w:val="24"/>
      <w:szCs w:val="20"/>
      <w:lang w:val="es-ES" w:eastAsia="es-ES"/>
    </w:rPr>
  </w:style>
  <w:style w:type="paragraph" w:styleId="Encabezado">
    <w:name w:val="header"/>
    <w:basedOn w:val="Normal"/>
    <w:link w:val="EncabezadoCar"/>
    <w:uiPriority w:val="99"/>
    <w:unhideWhenUsed/>
    <w:rsid w:val="00AB37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729"/>
  </w:style>
  <w:style w:type="paragraph" w:styleId="Piedepgina">
    <w:name w:val="footer"/>
    <w:basedOn w:val="Normal"/>
    <w:link w:val="PiedepginaCar"/>
    <w:uiPriority w:val="99"/>
    <w:unhideWhenUsed/>
    <w:rsid w:val="00AB37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729"/>
  </w:style>
  <w:style w:type="paragraph" w:styleId="Prrafodelista">
    <w:name w:val="List Paragraph"/>
    <w:basedOn w:val="Normal"/>
    <w:qFormat/>
    <w:rsid w:val="007436EA"/>
    <w:pPr>
      <w:spacing w:after="0" w:line="360" w:lineRule="auto"/>
      <w:ind w:left="720"/>
      <w:contextualSpacing/>
      <w:jc w:val="both"/>
    </w:pPr>
    <w:rPr>
      <w:rFonts w:ascii="Tahoma" w:hAnsi="Tahoma"/>
      <w:sz w:val="24"/>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4_"/>
    <w:basedOn w:val="Fuentedeprrafopredeter"/>
    <w:uiPriority w:val="99"/>
    <w:unhideWhenUsed/>
    <w:qFormat/>
    <w:rsid w:val="007436EA"/>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7436EA"/>
    <w:pPr>
      <w:spacing w:after="0" w:line="240" w:lineRule="auto"/>
      <w:ind w:firstLine="709"/>
      <w:jc w:val="both"/>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7436EA"/>
    <w:rPr>
      <w:sz w:val="20"/>
      <w:szCs w:val="20"/>
      <w:lang w:val="es-ES"/>
    </w:rPr>
  </w:style>
  <w:style w:type="table" w:customStyle="1" w:styleId="Tablaconcuadrcula1">
    <w:name w:val="Tabla con cuadrícula1"/>
    <w:basedOn w:val="Tablanormal"/>
    <w:next w:val="Tablaconcuadrcula"/>
    <w:rsid w:val="0033049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30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E38B9"/>
    <w:rPr>
      <w:color w:val="0563C1"/>
      <w:u w:val="single"/>
    </w:rPr>
  </w:style>
  <w:style w:type="character" w:styleId="Hipervnculovisitado">
    <w:name w:val="FollowedHyperlink"/>
    <w:basedOn w:val="Fuentedeprrafopredeter"/>
    <w:uiPriority w:val="99"/>
    <w:semiHidden/>
    <w:unhideWhenUsed/>
    <w:rsid w:val="00AE38B9"/>
    <w:rPr>
      <w:color w:val="954F72"/>
      <w:u w:val="single"/>
    </w:rPr>
  </w:style>
  <w:style w:type="paragraph" w:customStyle="1" w:styleId="msonormal0">
    <w:name w:val="msonormal"/>
    <w:basedOn w:val="Normal"/>
    <w:rsid w:val="00AE38B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AE38B9"/>
    <w:pPr>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66">
    <w:name w:val="xl66"/>
    <w:basedOn w:val="Normal"/>
    <w:rsid w:val="00AE38B9"/>
    <w:pPr>
      <w:pBdr>
        <w:top w:val="single" w:sz="8" w:space="0" w:color="auto"/>
        <w:bottom w:val="single" w:sz="8" w:space="0" w:color="auto"/>
      </w:pBdr>
      <w:shd w:val="clear" w:color="000000" w:fill="A9D08E"/>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67">
    <w:name w:val="xl67"/>
    <w:basedOn w:val="Normal"/>
    <w:rsid w:val="00AE38B9"/>
    <w:pPr>
      <w:pBdr>
        <w:left w:val="single" w:sz="8" w:space="0" w:color="595959"/>
        <w:bottom w:val="single" w:sz="8" w:space="0" w:color="595959"/>
        <w:right w:val="single" w:sz="8" w:space="0" w:color="595959"/>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8">
    <w:name w:val="xl68"/>
    <w:basedOn w:val="Normal"/>
    <w:rsid w:val="00AE38B9"/>
    <w:pPr>
      <w:pBdr>
        <w:bottom w:val="single" w:sz="8" w:space="0" w:color="595959"/>
        <w:right w:val="single" w:sz="8" w:space="0" w:color="595959"/>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9">
    <w:name w:val="xl69"/>
    <w:basedOn w:val="Normal"/>
    <w:rsid w:val="00AE38B9"/>
    <w:pPr>
      <w:pBdr>
        <w:left w:val="single" w:sz="8" w:space="0" w:color="595959"/>
        <w:bottom w:val="single" w:sz="8" w:space="0" w:color="595959"/>
        <w:right w:val="single" w:sz="8" w:space="0" w:color="595959"/>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0">
    <w:name w:val="xl70"/>
    <w:basedOn w:val="Normal"/>
    <w:rsid w:val="00AE38B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71">
    <w:name w:val="xl71"/>
    <w:basedOn w:val="Normal"/>
    <w:rsid w:val="00AE38B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2">
    <w:name w:val="xl72"/>
    <w:basedOn w:val="Normal"/>
    <w:rsid w:val="00AE38B9"/>
    <w:pPr>
      <w:pBdr>
        <w:left w:val="single" w:sz="8" w:space="0" w:color="595959"/>
        <w:right w:val="single" w:sz="8" w:space="0" w:color="595959"/>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3">
    <w:name w:val="xl73"/>
    <w:basedOn w:val="Normal"/>
    <w:rsid w:val="00AE38B9"/>
    <w:pPr>
      <w:pBdr>
        <w:top w:val="single" w:sz="8" w:space="0" w:color="595959"/>
        <w:left w:val="single" w:sz="8" w:space="0" w:color="595959"/>
        <w:right w:val="single" w:sz="8" w:space="0" w:color="595959"/>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4">
    <w:name w:val="xl74"/>
    <w:basedOn w:val="Normal"/>
    <w:rsid w:val="00AE38B9"/>
    <w:pPr>
      <w:pBdr>
        <w:top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5">
    <w:name w:val="xl75"/>
    <w:basedOn w:val="Normal"/>
    <w:rsid w:val="00AE38B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6">
    <w:name w:val="xl76"/>
    <w:basedOn w:val="Normal"/>
    <w:rsid w:val="00AE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77">
    <w:name w:val="xl77"/>
    <w:basedOn w:val="Normal"/>
    <w:rsid w:val="00AE38B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8">
    <w:name w:val="xl78"/>
    <w:basedOn w:val="Normal"/>
    <w:rsid w:val="00AE38B9"/>
    <w:pPr>
      <w:pBdr>
        <w:top w:val="single" w:sz="8" w:space="0" w:color="auto"/>
        <w:bottom w:val="single" w:sz="8" w:space="0" w:color="auto"/>
        <w:right w:val="single" w:sz="8" w:space="0" w:color="auto"/>
      </w:pBdr>
      <w:shd w:val="clear" w:color="000000" w:fill="A9D08E"/>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79">
    <w:name w:val="xl79"/>
    <w:basedOn w:val="Normal"/>
    <w:rsid w:val="00AE38B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0">
    <w:name w:val="xl80"/>
    <w:basedOn w:val="Normal"/>
    <w:rsid w:val="00AE38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1">
    <w:name w:val="xl81"/>
    <w:basedOn w:val="Normal"/>
    <w:rsid w:val="00AE38B9"/>
    <w:pPr>
      <w:pBdr>
        <w:top w:val="single" w:sz="8" w:space="0" w:color="auto"/>
        <w:left w:val="single" w:sz="8" w:space="0" w:color="auto"/>
        <w:bottom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82">
    <w:name w:val="xl82"/>
    <w:basedOn w:val="Normal"/>
    <w:rsid w:val="00AE38B9"/>
    <w:pPr>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3">
    <w:name w:val="xl83"/>
    <w:basedOn w:val="Normal"/>
    <w:rsid w:val="00AE38B9"/>
    <w:pPr>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84">
    <w:name w:val="xl84"/>
    <w:basedOn w:val="Normal"/>
    <w:rsid w:val="00AE38B9"/>
    <w:pPr>
      <w:pBdr>
        <w:top w:val="single" w:sz="8" w:space="0" w:color="auto"/>
        <w:bottom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85">
    <w:name w:val="xl85"/>
    <w:basedOn w:val="Normal"/>
    <w:rsid w:val="00AE38B9"/>
    <w:pPr>
      <w:pBdr>
        <w:top w:val="single" w:sz="8" w:space="0" w:color="auto"/>
        <w:left w:val="single" w:sz="8" w:space="0" w:color="auto"/>
      </w:pBdr>
      <w:shd w:val="clear" w:color="000000" w:fill="A9D08E"/>
      <w:spacing w:before="100" w:beforeAutospacing="1" w:after="100" w:afterAutospacing="1" w:line="240" w:lineRule="auto"/>
      <w:jc w:val="right"/>
    </w:pPr>
    <w:rPr>
      <w:rFonts w:ascii="Arial Narrow" w:eastAsia="Times New Roman" w:hAnsi="Arial Narrow" w:cs="Times New Roman"/>
      <w:b/>
      <w:bCs/>
      <w:sz w:val="16"/>
      <w:szCs w:val="16"/>
      <w:lang w:eastAsia="es-CO"/>
    </w:rPr>
  </w:style>
  <w:style w:type="paragraph" w:customStyle="1" w:styleId="xl86">
    <w:name w:val="xl86"/>
    <w:basedOn w:val="Normal"/>
    <w:rsid w:val="00AE38B9"/>
    <w:pPr>
      <w:pBdr>
        <w:top w:val="single" w:sz="8" w:space="0" w:color="auto"/>
      </w:pBdr>
      <w:shd w:val="clear" w:color="000000" w:fill="A9D08E"/>
      <w:spacing w:before="100" w:beforeAutospacing="1" w:after="100" w:afterAutospacing="1" w:line="240" w:lineRule="auto"/>
      <w:jc w:val="right"/>
    </w:pPr>
    <w:rPr>
      <w:rFonts w:ascii="Arial Narrow" w:eastAsia="Times New Roman" w:hAnsi="Arial Narrow" w:cs="Times New Roman"/>
      <w:b/>
      <w:bCs/>
      <w:sz w:val="16"/>
      <w:szCs w:val="16"/>
      <w:lang w:eastAsia="es-CO"/>
    </w:rPr>
  </w:style>
  <w:style w:type="paragraph" w:customStyle="1" w:styleId="xl87">
    <w:name w:val="xl87"/>
    <w:basedOn w:val="Normal"/>
    <w:rsid w:val="00AE38B9"/>
    <w:pPr>
      <w:pBdr>
        <w:top w:val="single" w:sz="8" w:space="0" w:color="auto"/>
        <w:right w:val="single" w:sz="8" w:space="0" w:color="auto"/>
      </w:pBdr>
      <w:shd w:val="clear" w:color="000000" w:fill="A9D08E"/>
      <w:spacing w:before="100" w:beforeAutospacing="1" w:after="100" w:afterAutospacing="1" w:line="240" w:lineRule="auto"/>
      <w:jc w:val="right"/>
    </w:pPr>
    <w:rPr>
      <w:rFonts w:ascii="Arial Narrow" w:eastAsia="Times New Roman" w:hAnsi="Arial Narrow" w:cs="Times New Roman"/>
      <w:b/>
      <w:bCs/>
      <w:sz w:val="16"/>
      <w:szCs w:val="16"/>
      <w:lang w:eastAsia="es-CO"/>
    </w:rPr>
  </w:style>
  <w:style w:type="paragraph" w:customStyle="1" w:styleId="xl88">
    <w:name w:val="xl88"/>
    <w:basedOn w:val="Normal"/>
    <w:rsid w:val="00AE38B9"/>
    <w:pPr>
      <w:pBdr>
        <w:top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CO"/>
    </w:rPr>
  </w:style>
  <w:style w:type="paragraph" w:customStyle="1" w:styleId="xl89">
    <w:name w:val="xl89"/>
    <w:basedOn w:val="Normal"/>
    <w:rsid w:val="00AE38B9"/>
    <w:pPr>
      <w:pBdr>
        <w:left w:val="single" w:sz="8" w:space="0" w:color="auto"/>
        <w:bottom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0">
    <w:name w:val="xl90"/>
    <w:basedOn w:val="Normal"/>
    <w:rsid w:val="00AE38B9"/>
    <w:pPr>
      <w:pBdr>
        <w:bottom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1">
    <w:name w:val="xl91"/>
    <w:basedOn w:val="Normal"/>
    <w:rsid w:val="00AE38B9"/>
    <w:pPr>
      <w:pBdr>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2">
    <w:name w:val="xl92"/>
    <w:basedOn w:val="Normal"/>
    <w:rsid w:val="00AE38B9"/>
    <w:pPr>
      <w:shd w:val="clear" w:color="000000" w:fill="0000F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3">
    <w:name w:val="xl93"/>
    <w:basedOn w:val="Normal"/>
    <w:rsid w:val="00AE38B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AE38B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5">
    <w:name w:val="xl95"/>
    <w:basedOn w:val="Normal"/>
    <w:rsid w:val="00AE38B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6">
    <w:name w:val="xl96"/>
    <w:basedOn w:val="Normal"/>
    <w:rsid w:val="00AE38B9"/>
    <w:pPr>
      <w:pBdr>
        <w:top w:val="single" w:sz="4" w:space="0" w:color="auto"/>
        <w:lef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7">
    <w:name w:val="xl97"/>
    <w:basedOn w:val="Normal"/>
    <w:rsid w:val="00AE38B9"/>
    <w:pPr>
      <w:pBdr>
        <w:top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8">
    <w:name w:val="xl98"/>
    <w:basedOn w:val="Normal"/>
    <w:rsid w:val="00AE38B9"/>
    <w:pPr>
      <w:pBdr>
        <w:right w:val="single" w:sz="8"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CO"/>
    </w:rPr>
  </w:style>
  <w:style w:type="paragraph" w:customStyle="1" w:styleId="xl99">
    <w:name w:val="xl99"/>
    <w:basedOn w:val="Normal"/>
    <w:rsid w:val="00AE38B9"/>
    <w:pPr>
      <w:pBdr>
        <w:top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100">
    <w:name w:val="xl100"/>
    <w:basedOn w:val="Normal"/>
    <w:rsid w:val="00AE38B9"/>
    <w:pPr>
      <w:pBdr>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101">
    <w:name w:val="xl101"/>
    <w:basedOn w:val="Normal"/>
    <w:rsid w:val="00AE38B9"/>
    <w:pPr>
      <w:pBdr>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102">
    <w:name w:val="xl102"/>
    <w:basedOn w:val="Normal"/>
    <w:rsid w:val="00AE38B9"/>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CO"/>
    </w:rPr>
  </w:style>
  <w:style w:type="paragraph" w:customStyle="1" w:styleId="xl103">
    <w:name w:val="xl103"/>
    <w:basedOn w:val="Normal"/>
    <w:rsid w:val="00AE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es-CO"/>
    </w:rPr>
  </w:style>
  <w:style w:type="paragraph" w:customStyle="1" w:styleId="xl104">
    <w:name w:val="xl104"/>
    <w:basedOn w:val="Normal"/>
    <w:rsid w:val="00AE38B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105">
    <w:name w:val="xl105"/>
    <w:basedOn w:val="Normal"/>
    <w:rsid w:val="00AE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106">
    <w:name w:val="xl106"/>
    <w:basedOn w:val="Normal"/>
    <w:rsid w:val="00AE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character" w:customStyle="1" w:styleId="eop">
    <w:name w:val="eop"/>
    <w:basedOn w:val="Fuentedeprrafopredeter"/>
    <w:rsid w:val="009C69F3"/>
  </w:style>
  <w:style w:type="paragraph" w:customStyle="1" w:styleId="paragraph">
    <w:name w:val="paragraph"/>
    <w:basedOn w:val="Normal"/>
    <w:rsid w:val="009C69F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227B0E"/>
    <w:pPr>
      <w:spacing w:after="0" w:line="240" w:lineRule="auto"/>
    </w:pPr>
    <w:rPr>
      <w:rFonts w:ascii="Calibri" w:eastAsia="Calibri" w:hAnsi="Calibri" w:cs="Times New Roman"/>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101">
      <w:bodyDiv w:val="1"/>
      <w:marLeft w:val="0"/>
      <w:marRight w:val="0"/>
      <w:marTop w:val="0"/>
      <w:marBottom w:val="0"/>
      <w:divBdr>
        <w:top w:val="none" w:sz="0" w:space="0" w:color="auto"/>
        <w:left w:val="none" w:sz="0" w:space="0" w:color="auto"/>
        <w:bottom w:val="none" w:sz="0" w:space="0" w:color="auto"/>
        <w:right w:val="none" w:sz="0" w:space="0" w:color="auto"/>
      </w:divBdr>
    </w:div>
    <w:div w:id="127404306">
      <w:bodyDiv w:val="1"/>
      <w:marLeft w:val="0"/>
      <w:marRight w:val="0"/>
      <w:marTop w:val="0"/>
      <w:marBottom w:val="0"/>
      <w:divBdr>
        <w:top w:val="none" w:sz="0" w:space="0" w:color="auto"/>
        <w:left w:val="none" w:sz="0" w:space="0" w:color="auto"/>
        <w:bottom w:val="none" w:sz="0" w:space="0" w:color="auto"/>
        <w:right w:val="none" w:sz="0" w:space="0" w:color="auto"/>
      </w:divBdr>
    </w:div>
    <w:div w:id="207839469">
      <w:bodyDiv w:val="1"/>
      <w:marLeft w:val="0"/>
      <w:marRight w:val="0"/>
      <w:marTop w:val="0"/>
      <w:marBottom w:val="0"/>
      <w:divBdr>
        <w:top w:val="none" w:sz="0" w:space="0" w:color="auto"/>
        <w:left w:val="none" w:sz="0" w:space="0" w:color="auto"/>
        <w:bottom w:val="none" w:sz="0" w:space="0" w:color="auto"/>
        <w:right w:val="none" w:sz="0" w:space="0" w:color="auto"/>
      </w:divBdr>
    </w:div>
    <w:div w:id="223569632">
      <w:bodyDiv w:val="1"/>
      <w:marLeft w:val="0"/>
      <w:marRight w:val="0"/>
      <w:marTop w:val="0"/>
      <w:marBottom w:val="0"/>
      <w:divBdr>
        <w:top w:val="none" w:sz="0" w:space="0" w:color="auto"/>
        <w:left w:val="none" w:sz="0" w:space="0" w:color="auto"/>
        <w:bottom w:val="none" w:sz="0" w:space="0" w:color="auto"/>
        <w:right w:val="none" w:sz="0" w:space="0" w:color="auto"/>
      </w:divBdr>
      <w:divsChild>
        <w:div w:id="103431272">
          <w:marLeft w:val="0"/>
          <w:marRight w:val="0"/>
          <w:marTop w:val="0"/>
          <w:marBottom w:val="0"/>
          <w:divBdr>
            <w:top w:val="none" w:sz="0" w:space="0" w:color="auto"/>
            <w:left w:val="none" w:sz="0" w:space="0" w:color="auto"/>
            <w:bottom w:val="none" w:sz="0" w:space="0" w:color="auto"/>
            <w:right w:val="none" w:sz="0" w:space="0" w:color="auto"/>
          </w:divBdr>
        </w:div>
        <w:div w:id="893926671">
          <w:marLeft w:val="0"/>
          <w:marRight w:val="0"/>
          <w:marTop w:val="0"/>
          <w:marBottom w:val="0"/>
          <w:divBdr>
            <w:top w:val="none" w:sz="0" w:space="0" w:color="auto"/>
            <w:left w:val="none" w:sz="0" w:space="0" w:color="auto"/>
            <w:bottom w:val="none" w:sz="0" w:space="0" w:color="auto"/>
            <w:right w:val="none" w:sz="0" w:space="0" w:color="auto"/>
          </w:divBdr>
        </w:div>
      </w:divsChild>
    </w:div>
    <w:div w:id="385179867">
      <w:bodyDiv w:val="1"/>
      <w:marLeft w:val="0"/>
      <w:marRight w:val="0"/>
      <w:marTop w:val="0"/>
      <w:marBottom w:val="0"/>
      <w:divBdr>
        <w:top w:val="none" w:sz="0" w:space="0" w:color="auto"/>
        <w:left w:val="none" w:sz="0" w:space="0" w:color="auto"/>
        <w:bottom w:val="none" w:sz="0" w:space="0" w:color="auto"/>
        <w:right w:val="none" w:sz="0" w:space="0" w:color="auto"/>
      </w:divBdr>
    </w:div>
    <w:div w:id="445125895">
      <w:bodyDiv w:val="1"/>
      <w:marLeft w:val="0"/>
      <w:marRight w:val="0"/>
      <w:marTop w:val="0"/>
      <w:marBottom w:val="0"/>
      <w:divBdr>
        <w:top w:val="none" w:sz="0" w:space="0" w:color="auto"/>
        <w:left w:val="none" w:sz="0" w:space="0" w:color="auto"/>
        <w:bottom w:val="none" w:sz="0" w:space="0" w:color="auto"/>
        <w:right w:val="none" w:sz="0" w:space="0" w:color="auto"/>
      </w:divBdr>
    </w:div>
    <w:div w:id="525140383">
      <w:bodyDiv w:val="1"/>
      <w:marLeft w:val="0"/>
      <w:marRight w:val="0"/>
      <w:marTop w:val="0"/>
      <w:marBottom w:val="0"/>
      <w:divBdr>
        <w:top w:val="none" w:sz="0" w:space="0" w:color="auto"/>
        <w:left w:val="none" w:sz="0" w:space="0" w:color="auto"/>
        <w:bottom w:val="none" w:sz="0" w:space="0" w:color="auto"/>
        <w:right w:val="none" w:sz="0" w:space="0" w:color="auto"/>
      </w:divBdr>
    </w:div>
    <w:div w:id="703746513">
      <w:bodyDiv w:val="1"/>
      <w:marLeft w:val="0"/>
      <w:marRight w:val="0"/>
      <w:marTop w:val="0"/>
      <w:marBottom w:val="0"/>
      <w:divBdr>
        <w:top w:val="none" w:sz="0" w:space="0" w:color="auto"/>
        <w:left w:val="none" w:sz="0" w:space="0" w:color="auto"/>
        <w:bottom w:val="none" w:sz="0" w:space="0" w:color="auto"/>
        <w:right w:val="none" w:sz="0" w:space="0" w:color="auto"/>
      </w:divBdr>
      <w:divsChild>
        <w:div w:id="1605189417">
          <w:marLeft w:val="0"/>
          <w:marRight w:val="0"/>
          <w:marTop w:val="0"/>
          <w:marBottom w:val="0"/>
          <w:divBdr>
            <w:top w:val="none" w:sz="0" w:space="0" w:color="auto"/>
            <w:left w:val="none" w:sz="0" w:space="0" w:color="auto"/>
            <w:bottom w:val="none" w:sz="0" w:space="0" w:color="auto"/>
            <w:right w:val="none" w:sz="0" w:space="0" w:color="auto"/>
          </w:divBdr>
        </w:div>
        <w:div w:id="537427302">
          <w:marLeft w:val="0"/>
          <w:marRight w:val="0"/>
          <w:marTop w:val="0"/>
          <w:marBottom w:val="0"/>
          <w:divBdr>
            <w:top w:val="none" w:sz="0" w:space="0" w:color="auto"/>
            <w:left w:val="none" w:sz="0" w:space="0" w:color="auto"/>
            <w:bottom w:val="none" w:sz="0" w:space="0" w:color="auto"/>
            <w:right w:val="none" w:sz="0" w:space="0" w:color="auto"/>
          </w:divBdr>
        </w:div>
        <w:div w:id="1863475908">
          <w:marLeft w:val="0"/>
          <w:marRight w:val="0"/>
          <w:marTop w:val="0"/>
          <w:marBottom w:val="0"/>
          <w:divBdr>
            <w:top w:val="none" w:sz="0" w:space="0" w:color="auto"/>
            <w:left w:val="none" w:sz="0" w:space="0" w:color="auto"/>
            <w:bottom w:val="none" w:sz="0" w:space="0" w:color="auto"/>
            <w:right w:val="none" w:sz="0" w:space="0" w:color="auto"/>
          </w:divBdr>
        </w:div>
        <w:div w:id="488987316">
          <w:marLeft w:val="0"/>
          <w:marRight w:val="0"/>
          <w:marTop w:val="0"/>
          <w:marBottom w:val="0"/>
          <w:divBdr>
            <w:top w:val="none" w:sz="0" w:space="0" w:color="auto"/>
            <w:left w:val="none" w:sz="0" w:space="0" w:color="auto"/>
            <w:bottom w:val="none" w:sz="0" w:space="0" w:color="auto"/>
            <w:right w:val="none" w:sz="0" w:space="0" w:color="auto"/>
          </w:divBdr>
        </w:div>
        <w:div w:id="1055277940">
          <w:marLeft w:val="0"/>
          <w:marRight w:val="0"/>
          <w:marTop w:val="0"/>
          <w:marBottom w:val="0"/>
          <w:divBdr>
            <w:top w:val="none" w:sz="0" w:space="0" w:color="auto"/>
            <w:left w:val="none" w:sz="0" w:space="0" w:color="auto"/>
            <w:bottom w:val="none" w:sz="0" w:space="0" w:color="auto"/>
            <w:right w:val="none" w:sz="0" w:space="0" w:color="auto"/>
          </w:divBdr>
        </w:div>
        <w:div w:id="1304389287">
          <w:marLeft w:val="0"/>
          <w:marRight w:val="0"/>
          <w:marTop w:val="0"/>
          <w:marBottom w:val="0"/>
          <w:divBdr>
            <w:top w:val="none" w:sz="0" w:space="0" w:color="auto"/>
            <w:left w:val="none" w:sz="0" w:space="0" w:color="auto"/>
            <w:bottom w:val="none" w:sz="0" w:space="0" w:color="auto"/>
            <w:right w:val="none" w:sz="0" w:space="0" w:color="auto"/>
          </w:divBdr>
        </w:div>
        <w:div w:id="929855925">
          <w:marLeft w:val="0"/>
          <w:marRight w:val="0"/>
          <w:marTop w:val="0"/>
          <w:marBottom w:val="0"/>
          <w:divBdr>
            <w:top w:val="none" w:sz="0" w:space="0" w:color="auto"/>
            <w:left w:val="none" w:sz="0" w:space="0" w:color="auto"/>
            <w:bottom w:val="none" w:sz="0" w:space="0" w:color="auto"/>
            <w:right w:val="none" w:sz="0" w:space="0" w:color="auto"/>
          </w:divBdr>
        </w:div>
        <w:div w:id="1021853720">
          <w:marLeft w:val="0"/>
          <w:marRight w:val="0"/>
          <w:marTop w:val="0"/>
          <w:marBottom w:val="0"/>
          <w:divBdr>
            <w:top w:val="none" w:sz="0" w:space="0" w:color="auto"/>
            <w:left w:val="none" w:sz="0" w:space="0" w:color="auto"/>
            <w:bottom w:val="none" w:sz="0" w:space="0" w:color="auto"/>
            <w:right w:val="none" w:sz="0" w:space="0" w:color="auto"/>
          </w:divBdr>
        </w:div>
        <w:div w:id="2064985542">
          <w:marLeft w:val="0"/>
          <w:marRight w:val="0"/>
          <w:marTop w:val="0"/>
          <w:marBottom w:val="0"/>
          <w:divBdr>
            <w:top w:val="none" w:sz="0" w:space="0" w:color="auto"/>
            <w:left w:val="none" w:sz="0" w:space="0" w:color="auto"/>
            <w:bottom w:val="none" w:sz="0" w:space="0" w:color="auto"/>
            <w:right w:val="none" w:sz="0" w:space="0" w:color="auto"/>
          </w:divBdr>
        </w:div>
        <w:div w:id="138160023">
          <w:marLeft w:val="0"/>
          <w:marRight w:val="0"/>
          <w:marTop w:val="0"/>
          <w:marBottom w:val="0"/>
          <w:divBdr>
            <w:top w:val="none" w:sz="0" w:space="0" w:color="auto"/>
            <w:left w:val="none" w:sz="0" w:space="0" w:color="auto"/>
            <w:bottom w:val="none" w:sz="0" w:space="0" w:color="auto"/>
            <w:right w:val="none" w:sz="0" w:space="0" w:color="auto"/>
          </w:divBdr>
        </w:div>
        <w:div w:id="1369526221">
          <w:marLeft w:val="0"/>
          <w:marRight w:val="0"/>
          <w:marTop w:val="0"/>
          <w:marBottom w:val="0"/>
          <w:divBdr>
            <w:top w:val="none" w:sz="0" w:space="0" w:color="auto"/>
            <w:left w:val="none" w:sz="0" w:space="0" w:color="auto"/>
            <w:bottom w:val="none" w:sz="0" w:space="0" w:color="auto"/>
            <w:right w:val="none" w:sz="0" w:space="0" w:color="auto"/>
          </w:divBdr>
        </w:div>
        <w:div w:id="330107006">
          <w:marLeft w:val="0"/>
          <w:marRight w:val="0"/>
          <w:marTop w:val="0"/>
          <w:marBottom w:val="0"/>
          <w:divBdr>
            <w:top w:val="none" w:sz="0" w:space="0" w:color="auto"/>
            <w:left w:val="none" w:sz="0" w:space="0" w:color="auto"/>
            <w:bottom w:val="none" w:sz="0" w:space="0" w:color="auto"/>
            <w:right w:val="none" w:sz="0" w:space="0" w:color="auto"/>
          </w:divBdr>
        </w:div>
        <w:div w:id="1553232800">
          <w:marLeft w:val="0"/>
          <w:marRight w:val="0"/>
          <w:marTop w:val="0"/>
          <w:marBottom w:val="0"/>
          <w:divBdr>
            <w:top w:val="none" w:sz="0" w:space="0" w:color="auto"/>
            <w:left w:val="none" w:sz="0" w:space="0" w:color="auto"/>
            <w:bottom w:val="none" w:sz="0" w:space="0" w:color="auto"/>
            <w:right w:val="none" w:sz="0" w:space="0" w:color="auto"/>
          </w:divBdr>
        </w:div>
        <w:div w:id="2101834599">
          <w:marLeft w:val="0"/>
          <w:marRight w:val="0"/>
          <w:marTop w:val="0"/>
          <w:marBottom w:val="0"/>
          <w:divBdr>
            <w:top w:val="none" w:sz="0" w:space="0" w:color="auto"/>
            <w:left w:val="none" w:sz="0" w:space="0" w:color="auto"/>
            <w:bottom w:val="none" w:sz="0" w:space="0" w:color="auto"/>
            <w:right w:val="none" w:sz="0" w:space="0" w:color="auto"/>
          </w:divBdr>
        </w:div>
        <w:div w:id="1610963156">
          <w:marLeft w:val="0"/>
          <w:marRight w:val="0"/>
          <w:marTop w:val="0"/>
          <w:marBottom w:val="0"/>
          <w:divBdr>
            <w:top w:val="none" w:sz="0" w:space="0" w:color="auto"/>
            <w:left w:val="none" w:sz="0" w:space="0" w:color="auto"/>
            <w:bottom w:val="none" w:sz="0" w:space="0" w:color="auto"/>
            <w:right w:val="none" w:sz="0" w:space="0" w:color="auto"/>
          </w:divBdr>
        </w:div>
        <w:div w:id="1594976780">
          <w:marLeft w:val="0"/>
          <w:marRight w:val="0"/>
          <w:marTop w:val="0"/>
          <w:marBottom w:val="0"/>
          <w:divBdr>
            <w:top w:val="none" w:sz="0" w:space="0" w:color="auto"/>
            <w:left w:val="none" w:sz="0" w:space="0" w:color="auto"/>
            <w:bottom w:val="none" w:sz="0" w:space="0" w:color="auto"/>
            <w:right w:val="none" w:sz="0" w:space="0" w:color="auto"/>
          </w:divBdr>
        </w:div>
        <w:div w:id="1853956665">
          <w:marLeft w:val="0"/>
          <w:marRight w:val="0"/>
          <w:marTop w:val="0"/>
          <w:marBottom w:val="0"/>
          <w:divBdr>
            <w:top w:val="none" w:sz="0" w:space="0" w:color="auto"/>
            <w:left w:val="none" w:sz="0" w:space="0" w:color="auto"/>
            <w:bottom w:val="none" w:sz="0" w:space="0" w:color="auto"/>
            <w:right w:val="none" w:sz="0" w:space="0" w:color="auto"/>
          </w:divBdr>
        </w:div>
        <w:div w:id="1710032185">
          <w:marLeft w:val="0"/>
          <w:marRight w:val="0"/>
          <w:marTop w:val="0"/>
          <w:marBottom w:val="0"/>
          <w:divBdr>
            <w:top w:val="none" w:sz="0" w:space="0" w:color="auto"/>
            <w:left w:val="none" w:sz="0" w:space="0" w:color="auto"/>
            <w:bottom w:val="none" w:sz="0" w:space="0" w:color="auto"/>
            <w:right w:val="none" w:sz="0" w:space="0" w:color="auto"/>
          </w:divBdr>
        </w:div>
        <w:div w:id="1980770442">
          <w:marLeft w:val="0"/>
          <w:marRight w:val="0"/>
          <w:marTop w:val="0"/>
          <w:marBottom w:val="0"/>
          <w:divBdr>
            <w:top w:val="none" w:sz="0" w:space="0" w:color="auto"/>
            <w:left w:val="none" w:sz="0" w:space="0" w:color="auto"/>
            <w:bottom w:val="none" w:sz="0" w:space="0" w:color="auto"/>
            <w:right w:val="none" w:sz="0" w:space="0" w:color="auto"/>
          </w:divBdr>
        </w:div>
        <w:div w:id="1378310134">
          <w:marLeft w:val="0"/>
          <w:marRight w:val="0"/>
          <w:marTop w:val="0"/>
          <w:marBottom w:val="0"/>
          <w:divBdr>
            <w:top w:val="none" w:sz="0" w:space="0" w:color="auto"/>
            <w:left w:val="none" w:sz="0" w:space="0" w:color="auto"/>
            <w:bottom w:val="none" w:sz="0" w:space="0" w:color="auto"/>
            <w:right w:val="none" w:sz="0" w:space="0" w:color="auto"/>
          </w:divBdr>
        </w:div>
        <w:div w:id="559287416">
          <w:marLeft w:val="0"/>
          <w:marRight w:val="0"/>
          <w:marTop w:val="0"/>
          <w:marBottom w:val="0"/>
          <w:divBdr>
            <w:top w:val="none" w:sz="0" w:space="0" w:color="auto"/>
            <w:left w:val="none" w:sz="0" w:space="0" w:color="auto"/>
            <w:bottom w:val="none" w:sz="0" w:space="0" w:color="auto"/>
            <w:right w:val="none" w:sz="0" w:space="0" w:color="auto"/>
          </w:divBdr>
        </w:div>
        <w:div w:id="1838955412">
          <w:marLeft w:val="0"/>
          <w:marRight w:val="0"/>
          <w:marTop w:val="0"/>
          <w:marBottom w:val="0"/>
          <w:divBdr>
            <w:top w:val="none" w:sz="0" w:space="0" w:color="auto"/>
            <w:left w:val="none" w:sz="0" w:space="0" w:color="auto"/>
            <w:bottom w:val="none" w:sz="0" w:space="0" w:color="auto"/>
            <w:right w:val="none" w:sz="0" w:space="0" w:color="auto"/>
          </w:divBdr>
        </w:div>
        <w:div w:id="1047531203">
          <w:marLeft w:val="0"/>
          <w:marRight w:val="0"/>
          <w:marTop w:val="0"/>
          <w:marBottom w:val="0"/>
          <w:divBdr>
            <w:top w:val="none" w:sz="0" w:space="0" w:color="auto"/>
            <w:left w:val="none" w:sz="0" w:space="0" w:color="auto"/>
            <w:bottom w:val="none" w:sz="0" w:space="0" w:color="auto"/>
            <w:right w:val="none" w:sz="0" w:space="0" w:color="auto"/>
          </w:divBdr>
        </w:div>
        <w:div w:id="1380786557">
          <w:marLeft w:val="0"/>
          <w:marRight w:val="0"/>
          <w:marTop w:val="0"/>
          <w:marBottom w:val="0"/>
          <w:divBdr>
            <w:top w:val="none" w:sz="0" w:space="0" w:color="auto"/>
            <w:left w:val="none" w:sz="0" w:space="0" w:color="auto"/>
            <w:bottom w:val="none" w:sz="0" w:space="0" w:color="auto"/>
            <w:right w:val="none" w:sz="0" w:space="0" w:color="auto"/>
          </w:divBdr>
        </w:div>
        <w:div w:id="1000040433">
          <w:marLeft w:val="0"/>
          <w:marRight w:val="0"/>
          <w:marTop w:val="0"/>
          <w:marBottom w:val="0"/>
          <w:divBdr>
            <w:top w:val="none" w:sz="0" w:space="0" w:color="auto"/>
            <w:left w:val="none" w:sz="0" w:space="0" w:color="auto"/>
            <w:bottom w:val="none" w:sz="0" w:space="0" w:color="auto"/>
            <w:right w:val="none" w:sz="0" w:space="0" w:color="auto"/>
          </w:divBdr>
        </w:div>
      </w:divsChild>
    </w:div>
    <w:div w:id="744182345">
      <w:bodyDiv w:val="1"/>
      <w:marLeft w:val="0"/>
      <w:marRight w:val="0"/>
      <w:marTop w:val="0"/>
      <w:marBottom w:val="0"/>
      <w:divBdr>
        <w:top w:val="none" w:sz="0" w:space="0" w:color="auto"/>
        <w:left w:val="none" w:sz="0" w:space="0" w:color="auto"/>
        <w:bottom w:val="none" w:sz="0" w:space="0" w:color="auto"/>
        <w:right w:val="none" w:sz="0" w:space="0" w:color="auto"/>
      </w:divBdr>
    </w:div>
    <w:div w:id="751589986">
      <w:bodyDiv w:val="1"/>
      <w:marLeft w:val="0"/>
      <w:marRight w:val="0"/>
      <w:marTop w:val="0"/>
      <w:marBottom w:val="0"/>
      <w:divBdr>
        <w:top w:val="none" w:sz="0" w:space="0" w:color="auto"/>
        <w:left w:val="none" w:sz="0" w:space="0" w:color="auto"/>
        <w:bottom w:val="none" w:sz="0" w:space="0" w:color="auto"/>
        <w:right w:val="none" w:sz="0" w:space="0" w:color="auto"/>
      </w:divBdr>
    </w:div>
    <w:div w:id="966276639">
      <w:bodyDiv w:val="1"/>
      <w:marLeft w:val="0"/>
      <w:marRight w:val="0"/>
      <w:marTop w:val="0"/>
      <w:marBottom w:val="0"/>
      <w:divBdr>
        <w:top w:val="none" w:sz="0" w:space="0" w:color="auto"/>
        <w:left w:val="none" w:sz="0" w:space="0" w:color="auto"/>
        <w:bottom w:val="none" w:sz="0" w:space="0" w:color="auto"/>
        <w:right w:val="none" w:sz="0" w:space="0" w:color="auto"/>
      </w:divBdr>
    </w:div>
    <w:div w:id="973220366">
      <w:bodyDiv w:val="1"/>
      <w:marLeft w:val="0"/>
      <w:marRight w:val="0"/>
      <w:marTop w:val="0"/>
      <w:marBottom w:val="0"/>
      <w:divBdr>
        <w:top w:val="none" w:sz="0" w:space="0" w:color="auto"/>
        <w:left w:val="none" w:sz="0" w:space="0" w:color="auto"/>
        <w:bottom w:val="none" w:sz="0" w:space="0" w:color="auto"/>
        <w:right w:val="none" w:sz="0" w:space="0" w:color="auto"/>
      </w:divBdr>
    </w:div>
    <w:div w:id="1071073986">
      <w:bodyDiv w:val="1"/>
      <w:marLeft w:val="0"/>
      <w:marRight w:val="0"/>
      <w:marTop w:val="0"/>
      <w:marBottom w:val="0"/>
      <w:divBdr>
        <w:top w:val="none" w:sz="0" w:space="0" w:color="auto"/>
        <w:left w:val="none" w:sz="0" w:space="0" w:color="auto"/>
        <w:bottom w:val="none" w:sz="0" w:space="0" w:color="auto"/>
        <w:right w:val="none" w:sz="0" w:space="0" w:color="auto"/>
      </w:divBdr>
    </w:div>
    <w:div w:id="1145245203">
      <w:bodyDiv w:val="1"/>
      <w:marLeft w:val="0"/>
      <w:marRight w:val="0"/>
      <w:marTop w:val="0"/>
      <w:marBottom w:val="0"/>
      <w:divBdr>
        <w:top w:val="none" w:sz="0" w:space="0" w:color="auto"/>
        <w:left w:val="none" w:sz="0" w:space="0" w:color="auto"/>
        <w:bottom w:val="none" w:sz="0" w:space="0" w:color="auto"/>
        <w:right w:val="none" w:sz="0" w:space="0" w:color="auto"/>
      </w:divBdr>
    </w:div>
    <w:div w:id="1359773284">
      <w:bodyDiv w:val="1"/>
      <w:marLeft w:val="0"/>
      <w:marRight w:val="0"/>
      <w:marTop w:val="0"/>
      <w:marBottom w:val="0"/>
      <w:divBdr>
        <w:top w:val="none" w:sz="0" w:space="0" w:color="auto"/>
        <w:left w:val="none" w:sz="0" w:space="0" w:color="auto"/>
        <w:bottom w:val="none" w:sz="0" w:space="0" w:color="auto"/>
        <w:right w:val="none" w:sz="0" w:space="0" w:color="auto"/>
      </w:divBdr>
    </w:div>
    <w:div w:id="1378704381">
      <w:bodyDiv w:val="1"/>
      <w:marLeft w:val="0"/>
      <w:marRight w:val="0"/>
      <w:marTop w:val="0"/>
      <w:marBottom w:val="0"/>
      <w:divBdr>
        <w:top w:val="none" w:sz="0" w:space="0" w:color="auto"/>
        <w:left w:val="none" w:sz="0" w:space="0" w:color="auto"/>
        <w:bottom w:val="none" w:sz="0" w:space="0" w:color="auto"/>
        <w:right w:val="none" w:sz="0" w:space="0" w:color="auto"/>
      </w:divBdr>
    </w:div>
    <w:div w:id="1494491793">
      <w:bodyDiv w:val="1"/>
      <w:marLeft w:val="0"/>
      <w:marRight w:val="0"/>
      <w:marTop w:val="0"/>
      <w:marBottom w:val="0"/>
      <w:divBdr>
        <w:top w:val="none" w:sz="0" w:space="0" w:color="auto"/>
        <w:left w:val="none" w:sz="0" w:space="0" w:color="auto"/>
        <w:bottom w:val="none" w:sz="0" w:space="0" w:color="auto"/>
        <w:right w:val="none" w:sz="0" w:space="0" w:color="auto"/>
      </w:divBdr>
    </w:div>
    <w:div w:id="1498108129">
      <w:bodyDiv w:val="1"/>
      <w:marLeft w:val="0"/>
      <w:marRight w:val="0"/>
      <w:marTop w:val="0"/>
      <w:marBottom w:val="0"/>
      <w:divBdr>
        <w:top w:val="none" w:sz="0" w:space="0" w:color="auto"/>
        <w:left w:val="none" w:sz="0" w:space="0" w:color="auto"/>
        <w:bottom w:val="none" w:sz="0" w:space="0" w:color="auto"/>
        <w:right w:val="none" w:sz="0" w:space="0" w:color="auto"/>
      </w:divBdr>
    </w:div>
    <w:div w:id="1506896792">
      <w:bodyDiv w:val="1"/>
      <w:marLeft w:val="0"/>
      <w:marRight w:val="0"/>
      <w:marTop w:val="0"/>
      <w:marBottom w:val="0"/>
      <w:divBdr>
        <w:top w:val="none" w:sz="0" w:space="0" w:color="auto"/>
        <w:left w:val="none" w:sz="0" w:space="0" w:color="auto"/>
        <w:bottom w:val="none" w:sz="0" w:space="0" w:color="auto"/>
        <w:right w:val="none" w:sz="0" w:space="0" w:color="auto"/>
      </w:divBdr>
    </w:div>
    <w:div w:id="1577208449">
      <w:bodyDiv w:val="1"/>
      <w:marLeft w:val="0"/>
      <w:marRight w:val="0"/>
      <w:marTop w:val="0"/>
      <w:marBottom w:val="0"/>
      <w:divBdr>
        <w:top w:val="none" w:sz="0" w:space="0" w:color="auto"/>
        <w:left w:val="none" w:sz="0" w:space="0" w:color="auto"/>
        <w:bottom w:val="none" w:sz="0" w:space="0" w:color="auto"/>
        <w:right w:val="none" w:sz="0" w:space="0" w:color="auto"/>
      </w:divBdr>
    </w:div>
    <w:div w:id="1659530359">
      <w:bodyDiv w:val="1"/>
      <w:marLeft w:val="0"/>
      <w:marRight w:val="0"/>
      <w:marTop w:val="0"/>
      <w:marBottom w:val="0"/>
      <w:divBdr>
        <w:top w:val="none" w:sz="0" w:space="0" w:color="auto"/>
        <w:left w:val="none" w:sz="0" w:space="0" w:color="auto"/>
        <w:bottom w:val="none" w:sz="0" w:space="0" w:color="auto"/>
        <w:right w:val="none" w:sz="0" w:space="0" w:color="auto"/>
      </w:divBdr>
      <w:divsChild>
        <w:div w:id="407071607">
          <w:marLeft w:val="0"/>
          <w:marRight w:val="0"/>
          <w:marTop w:val="0"/>
          <w:marBottom w:val="0"/>
          <w:divBdr>
            <w:top w:val="none" w:sz="0" w:space="0" w:color="auto"/>
            <w:left w:val="none" w:sz="0" w:space="0" w:color="auto"/>
            <w:bottom w:val="none" w:sz="0" w:space="0" w:color="auto"/>
            <w:right w:val="none" w:sz="0" w:space="0" w:color="auto"/>
          </w:divBdr>
        </w:div>
        <w:div w:id="1395087712">
          <w:marLeft w:val="0"/>
          <w:marRight w:val="0"/>
          <w:marTop w:val="0"/>
          <w:marBottom w:val="0"/>
          <w:divBdr>
            <w:top w:val="none" w:sz="0" w:space="0" w:color="auto"/>
            <w:left w:val="none" w:sz="0" w:space="0" w:color="auto"/>
            <w:bottom w:val="none" w:sz="0" w:space="0" w:color="auto"/>
            <w:right w:val="none" w:sz="0" w:space="0" w:color="auto"/>
          </w:divBdr>
        </w:div>
        <w:div w:id="1650355940">
          <w:marLeft w:val="0"/>
          <w:marRight w:val="0"/>
          <w:marTop w:val="0"/>
          <w:marBottom w:val="0"/>
          <w:divBdr>
            <w:top w:val="none" w:sz="0" w:space="0" w:color="auto"/>
            <w:left w:val="none" w:sz="0" w:space="0" w:color="auto"/>
            <w:bottom w:val="none" w:sz="0" w:space="0" w:color="auto"/>
            <w:right w:val="none" w:sz="0" w:space="0" w:color="auto"/>
          </w:divBdr>
        </w:div>
      </w:divsChild>
    </w:div>
    <w:div w:id="1769543774">
      <w:bodyDiv w:val="1"/>
      <w:marLeft w:val="0"/>
      <w:marRight w:val="0"/>
      <w:marTop w:val="0"/>
      <w:marBottom w:val="0"/>
      <w:divBdr>
        <w:top w:val="none" w:sz="0" w:space="0" w:color="auto"/>
        <w:left w:val="none" w:sz="0" w:space="0" w:color="auto"/>
        <w:bottom w:val="none" w:sz="0" w:space="0" w:color="auto"/>
        <w:right w:val="none" w:sz="0" w:space="0" w:color="auto"/>
      </w:divBdr>
    </w:div>
    <w:div w:id="1999074075">
      <w:bodyDiv w:val="1"/>
      <w:marLeft w:val="0"/>
      <w:marRight w:val="0"/>
      <w:marTop w:val="0"/>
      <w:marBottom w:val="0"/>
      <w:divBdr>
        <w:top w:val="none" w:sz="0" w:space="0" w:color="auto"/>
        <w:left w:val="none" w:sz="0" w:space="0" w:color="auto"/>
        <w:bottom w:val="none" w:sz="0" w:space="0" w:color="auto"/>
        <w:right w:val="none" w:sz="0" w:space="0" w:color="auto"/>
      </w:divBdr>
    </w:div>
    <w:div w:id="2043625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a37b53d04ae140b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FEF2D-15E0-4DF5-A52C-533DBF5609DE}">
  <ds:schemaRefs>
    <ds:schemaRef ds:uri="http://schemas.microsoft.com/sharepoint/v3/contenttype/forms"/>
  </ds:schemaRefs>
</ds:datastoreItem>
</file>

<file path=customXml/itemProps2.xml><?xml version="1.0" encoding="utf-8"?>
<ds:datastoreItem xmlns:ds="http://schemas.openxmlformats.org/officeDocument/2006/customXml" ds:itemID="{A58F54AA-3D2E-4C4D-96A8-33845B3322D9}">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CD8DF24F-24DA-4D57-BEB0-035AE694E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FDC9E-BBEB-4B77-8A13-6C808E0C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4145</Words>
  <Characters>22803</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Hermides Alonso Gaviria Ocampo</cp:lastModifiedBy>
  <cp:revision>9</cp:revision>
  <dcterms:created xsi:type="dcterms:W3CDTF">2023-05-26T14:56:00Z</dcterms:created>
  <dcterms:modified xsi:type="dcterms:W3CDTF">2023-08-05T18:07:00Z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