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08B9834" w14:textId="77777777" w:rsidR="00842145" w:rsidRPr="00842145" w:rsidRDefault="00842145" w:rsidP="00842145">
      <w:pPr>
        <w:pBdr>
          <w:top w:val="single" w:sz="4" w:space="0" w:color="auto"/>
          <w:left w:val="single" w:sz="4" w:space="4" w:color="auto"/>
          <w:bottom w:val="single" w:sz="4" w:space="1" w:color="auto"/>
          <w:right w:val="single" w:sz="4" w:space="4" w:color="auto"/>
        </w:pBdr>
        <w:shd w:val="clear" w:color="auto" w:fill="FFFFFF"/>
        <w:spacing w:line="240" w:lineRule="auto"/>
        <w:ind w:firstLine="0"/>
        <w:rPr>
          <w:rFonts w:ascii="Arial" w:eastAsia="Times New Roman" w:hAnsi="Arial" w:cs="Arial"/>
          <w:color w:val="FF0000"/>
          <w:spacing w:val="-4"/>
          <w:sz w:val="18"/>
          <w:szCs w:val="18"/>
          <w:lang w:val="es-419" w:eastAsia="fr-FR"/>
        </w:rPr>
      </w:pPr>
      <w:bookmarkStart w:id="0" w:name="_30j0zll"/>
      <w:bookmarkStart w:id="1" w:name="_Hlk58566252"/>
      <w:bookmarkEnd w:id="0"/>
      <w:r w:rsidRPr="00842145">
        <w:rPr>
          <w:rFonts w:ascii="Arial" w:eastAsia="Times New Roman" w:hAnsi="Arial" w:cs="Arial"/>
          <w:color w:val="FF0000"/>
          <w:spacing w:val="-4"/>
          <w:sz w:val="18"/>
          <w:szCs w:val="18"/>
          <w:lang w:val="es-419" w:eastAsia="fr-FR"/>
        </w:rPr>
        <w:t>El siguiente es el documento presentado por el Magistrado Ponente que sirvió de base para proferir la providencia dentro del presente proceso.  El contenido total y fiel de la decisión debe ser verificado en la respectiva Secretaría.</w:t>
      </w:r>
    </w:p>
    <w:p w14:paraId="465ACDF8" w14:textId="77777777" w:rsidR="00842145" w:rsidRPr="00842145" w:rsidRDefault="00842145" w:rsidP="00842145">
      <w:pPr>
        <w:spacing w:line="240" w:lineRule="auto"/>
        <w:ind w:firstLine="0"/>
        <w:rPr>
          <w:rFonts w:ascii="Arial" w:eastAsia="Times New Roman" w:hAnsi="Arial" w:cs="Arial"/>
          <w:sz w:val="20"/>
          <w:szCs w:val="20"/>
          <w:lang w:val="es-419" w:eastAsia="es-ES"/>
        </w:rPr>
      </w:pPr>
    </w:p>
    <w:p w14:paraId="56928DC0" w14:textId="63A63247" w:rsidR="00842145" w:rsidRPr="00842145" w:rsidRDefault="00842145" w:rsidP="00842145">
      <w:pPr>
        <w:spacing w:line="240" w:lineRule="auto"/>
        <w:ind w:firstLine="0"/>
        <w:rPr>
          <w:rFonts w:ascii="Arial" w:eastAsia="Tahoma" w:hAnsi="Arial" w:cs="Arial"/>
          <w:sz w:val="20"/>
          <w:szCs w:val="20"/>
          <w:lang w:val="es-419" w:eastAsia="es-CO"/>
        </w:rPr>
      </w:pPr>
      <w:r w:rsidRPr="00842145">
        <w:rPr>
          <w:rFonts w:ascii="Arial" w:eastAsia="Tahoma" w:hAnsi="Arial" w:cs="Arial"/>
          <w:sz w:val="20"/>
          <w:szCs w:val="20"/>
          <w:lang w:val="es-419" w:eastAsia="es-CO"/>
        </w:rPr>
        <w:t>Radicación No.:</w:t>
      </w:r>
      <w:r>
        <w:rPr>
          <w:rFonts w:ascii="Arial" w:eastAsia="Tahoma" w:hAnsi="Arial" w:cs="Arial"/>
          <w:sz w:val="20"/>
          <w:szCs w:val="20"/>
          <w:lang w:val="es-419" w:eastAsia="es-CO"/>
        </w:rPr>
        <w:tab/>
      </w:r>
      <w:r w:rsidRPr="00842145">
        <w:rPr>
          <w:rFonts w:ascii="Arial" w:eastAsia="Tahoma" w:hAnsi="Arial" w:cs="Arial"/>
          <w:sz w:val="20"/>
          <w:szCs w:val="20"/>
          <w:lang w:val="es-419" w:eastAsia="es-CO"/>
        </w:rPr>
        <w:tab/>
        <w:t>66001-31-05-001-2020-00010-01</w:t>
      </w:r>
    </w:p>
    <w:p w14:paraId="4F54DDC2" w14:textId="4FDCFE1E" w:rsidR="00842145" w:rsidRPr="00842145" w:rsidRDefault="00842145" w:rsidP="00842145">
      <w:pPr>
        <w:spacing w:line="240" w:lineRule="auto"/>
        <w:ind w:firstLine="0"/>
        <w:rPr>
          <w:rFonts w:ascii="Arial" w:eastAsia="Tahoma" w:hAnsi="Arial" w:cs="Arial"/>
          <w:sz w:val="20"/>
          <w:szCs w:val="20"/>
          <w:lang w:val="es-419" w:eastAsia="es-CO"/>
        </w:rPr>
      </w:pPr>
      <w:r w:rsidRPr="00842145">
        <w:rPr>
          <w:rFonts w:ascii="Arial" w:eastAsia="Tahoma" w:hAnsi="Arial" w:cs="Arial"/>
          <w:sz w:val="20"/>
          <w:szCs w:val="20"/>
          <w:lang w:val="es-419" w:eastAsia="es-CO"/>
        </w:rPr>
        <w:t>Proceso:</w:t>
      </w:r>
      <w:r w:rsidRPr="00842145">
        <w:rPr>
          <w:rFonts w:ascii="Arial" w:eastAsia="Tahoma" w:hAnsi="Arial" w:cs="Arial"/>
          <w:sz w:val="20"/>
          <w:szCs w:val="20"/>
          <w:lang w:val="es-419" w:eastAsia="es-CO"/>
        </w:rPr>
        <w:tab/>
      </w:r>
      <w:r w:rsidRPr="00842145">
        <w:rPr>
          <w:rFonts w:ascii="Arial" w:eastAsia="Tahoma" w:hAnsi="Arial" w:cs="Arial"/>
          <w:sz w:val="20"/>
          <w:szCs w:val="20"/>
          <w:lang w:val="es-419" w:eastAsia="es-CO"/>
        </w:rPr>
        <w:tab/>
        <w:t xml:space="preserve">Ordinario Laboral </w:t>
      </w:r>
    </w:p>
    <w:p w14:paraId="05CC4D12" w14:textId="273FA656" w:rsidR="00842145" w:rsidRPr="00842145" w:rsidRDefault="00842145" w:rsidP="00842145">
      <w:pPr>
        <w:spacing w:line="240" w:lineRule="auto"/>
        <w:ind w:firstLine="0"/>
        <w:rPr>
          <w:rFonts w:ascii="Arial" w:eastAsia="Tahoma" w:hAnsi="Arial" w:cs="Arial"/>
          <w:sz w:val="20"/>
          <w:szCs w:val="20"/>
          <w:lang w:val="es-419" w:eastAsia="es-CO"/>
        </w:rPr>
      </w:pPr>
      <w:r w:rsidRPr="00842145">
        <w:rPr>
          <w:rFonts w:ascii="Arial" w:eastAsia="Tahoma" w:hAnsi="Arial" w:cs="Arial"/>
          <w:sz w:val="20"/>
          <w:szCs w:val="20"/>
          <w:lang w:val="es-419" w:eastAsia="es-CO"/>
        </w:rPr>
        <w:t>Demandante:</w:t>
      </w:r>
      <w:r w:rsidRPr="00842145">
        <w:rPr>
          <w:rFonts w:ascii="Arial" w:eastAsia="Tahoma" w:hAnsi="Arial" w:cs="Arial"/>
          <w:sz w:val="20"/>
          <w:szCs w:val="20"/>
          <w:lang w:val="es-419" w:eastAsia="es-CO"/>
        </w:rPr>
        <w:tab/>
      </w:r>
      <w:r w:rsidRPr="00842145">
        <w:rPr>
          <w:rFonts w:ascii="Arial" w:eastAsia="Tahoma" w:hAnsi="Arial" w:cs="Arial"/>
          <w:sz w:val="20"/>
          <w:szCs w:val="20"/>
          <w:lang w:val="es-419" w:eastAsia="es-CO"/>
        </w:rPr>
        <w:tab/>
        <w:t>Jorge Suarez Valero</w:t>
      </w:r>
    </w:p>
    <w:p w14:paraId="09B56D1B" w14:textId="254A1CCD" w:rsidR="00842145" w:rsidRPr="00842145" w:rsidRDefault="00842145" w:rsidP="00842145">
      <w:pPr>
        <w:spacing w:line="240" w:lineRule="auto"/>
        <w:ind w:firstLine="0"/>
        <w:rPr>
          <w:rFonts w:ascii="Arial" w:eastAsia="Tahoma" w:hAnsi="Arial" w:cs="Arial"/>
          <w:sz w:val="20"/>
          <w:szCs w:val="20"/>
          <w:lang w:val="es-419" w:eastAsia="es-CO"/>
        </w:rPr>
      </w:pPr>
      <w:r w:rsidRPr="00842145">
        <w:rPr>
          <w:rFonts w:ascii="Arial" w:eastAsia="Tahoma" w:hAnsi="Arial" w:cs="Arial"/>
          <w:sz w:val="20"/>
          <w:szCs w:val="20"/>
          <w:lang w:val="es-419" w:eastAsia="es-CO"/>
        </w:rPr>
        <w:t>Demandado:</w:t>
      </w:r>
      <w:r w:rsidRPr="00842145">
        <w:rPr>
          <w:rFonts w:ascii="Arial" w:eastAsia="Tahoma" w:hAnsi="Arial" w:cs="Arial"/>
          <w:sz w:val="20"/>
          <w:szCs w:val="20"/>
          <w:lang w:val="es-419" w:eastAsia="es-CO"/>
        </w:rPr>
        <w:tab/>
      </w:r>
      <w:r w:rsidRPr="00842145">
        <w:rPr>
          <w:rFonts w:ascii="Arial" w:eastAsia="Tahoma" w:hAnsi="Arial" w:cs="Arial"/>
          <w:sz w:val="20"/>
          <w:szCs w:val="20"/>
          <w:lang w:val="es-419" w:eastAsia="es-CO"/>
        </w:rPr>
        <w:tab/>
        <w:t>Colpensiones</w:t>
      </w:r>
    </w:p>
    <w:p w14:paraId="04FC2590" w14:textId="5013DE75" w:rsidR="00842145" w:rsidRPr="00842145" w:rsidRDefault="00842145" w:rsidP="00842145">
      <w:pPr>
        <w:spacing w:line="240" w:lineRule="auto"/>
        <w:ind w:firstLine="0"/>
        <w:rPr>
          <w:rFonts w:ascii="Arial" w:eastAsia="Tahoma" w:hAnsi="Arial" w:cs="Arial"/>
          <w:sz w:val="20"/>
          <w:szCs w:val="20"/>
          <w:lang w:val="es-419" w:eastAsia="es-CO"/>
        </w:rPr>
      </w:pPr>
      <w:r w:rsidRPr="00842145">
        <w:rPr>
          <w:rFonts w:ascii="Arial" w:eastAsia="Tahoma" w:hAnsi="Arial" w:cs="Arial"/>
          <w:sz w:val="20"/>
          <w:szCs w:val="20"/>
          <w:lang w:val="es-419" w:eastAsia="es-CO"/>
        </w:rPr>
        <w:t>Juzgado de origen:</w:t>
      </w:r>
      <w:r w:rsidRPr="00842145">
        <w:rPr>
          <w:rFonts w:ascii="Arial" w:eastAsia="Tahoma" w:hAnsi="Arial" w:cs="Arial"/>
          <w:sz w:val="20"/>
          <w:szCs w:val="20"/>
          <w:lang w:val="es-419" w:eastAsia="es-CO"/>
        </w:rPr>
        <w:tab/>
        <w:t>Primero Laboral del Circuito de Pereira</w:t>
      </w:r>
    </w:p>
    <w:p w14:paraId="5839A815" w14:textId="77777777" w:rsidR="00842145" w:rsidRPr="00842145" w:rsidRDefault="00842145" w:rsidP="00842145">
      <w:pPr>
        <w:spacing w:line="240" w:lineRule="auto"/>
        <w:ind w:firstLine="0"/>
        <w:rPr>
          <w:rFonts w:ascii="Arial" w:eastAsia="Tahoma" w:hAnsi="Arial" w:cs="Arial"/>
          <w:color w:val="000000"/>
          <w:sz w:val="20"/>
          <w:szCs w:val="20"/>
          <w:lang w:eastAsia="es-CO"/>
        </w:rPr>
      </w:pPr>
    </w:p>
    <w:p w14:paraId="087C67C4" w14:textId="77777777" w:rsidR="00FE42BA" w:rsidRPr="00854E2A" w:rsidRDefault="00FE42BA" w:rsidP="00FE42BA">
      <w:pPr>
        <w:spacing w:line="240" w:lineRule="auto"/>
        <w:ind w:firstLine="0"/>
        <w:rPr>
          <w:rFonts w:ascii="Arial" w:eastAsia="Times New Roman" w:hAnsi="Arial" w:cs="Arial"/>
          <w:b/>
          <w:bCs/>
          <w:iCs/>
          <w:sz w:val="20"/>
          <w:szCs w:val="20"/>
          <w:lang w:val="es-419" w:eastAsia="fr-FR"/>
        </w:rPr>
      </w:pPr>
      <w:r w:rsidRPr="00854E2A">
        <w:rPr>
          <w:rFonts w:ascii="Arial" w:eastAsia="Times New Roman" w:hAnsi="Arial" w:cs="Arial"/>
          <w:b/>
          <w:bCs/>
          <w:iCs/>
          <w:sz w:val="20"/>
          <w:szCs w:val="20"/>
          <w:u w:val="single"/>
          <w:lang w:val="es-419" w:eastAsia="fr-FR"/>
        </w:rPr>
        <w:t>TEMAS:</w:t>
      </w:r>
      <w:r w:rsidRPr="00854E2A">
        <w:rPr>
          <w:rFonts w:ascii="Arial" w:eastAsia="Times New Roman" w:hAnsi="Arial" w:cs="Arial"/>
          <w:b/>
          <w:bCs/>
          <w:iCs/>
          <w:sz w:val="20"/>
          <w:szCs w:val="20"/>
          <w:lang w:val="es-419" w:eastAsia="fr-FR"/>
        </w:rPr>
        <w:tab/>
        <w:t xml:space="preserve">PENSIÓN DE VEJEZ / MORA PATRONAL / ES RESPONSABILIDAD DE LAS AFP COBRAR LOS APORTES ADEUDADOS / FALTA DE AFILIACIÓN / ES DEBER DEL EMPLEADOR PAGAR EL CÁLCULO ACTUARIAL </w:t>
      </w:r>
      <w:r>
        <w:rPr>
          <w:rFonts w:ascii="Arial" w:eastAsia="Times New Roman" w:hAnsi="Arial" w:cs="Arial"/>
          <w:b/>
          <w:bCs/>
          <w:iCs/>
          <w:sz w:val="20"/>
          <w:szCs w:val="20"/>
          <w:lang w:val="es-419" w:eastAsia="fr-FR"/>
        </w:rPr>
        <w:t>/ CUSTODIA Y VERIFICACIÓN DE LA HISTORIA LABORAL.</w:t>
      </w:r>
    </w:p>
    <w:p w14:paraId="27A59296" w14:textId="77777777" w:rsidR="00FE42BA" w:rsidRDefault="00FE42BA" w:rsidP="00FE42BA">
      <w:pPr>
        <w:spacing w:line="240" w:lineRule="auto"/>
        <w:ind w:firstLine="0"/>
        <w:rPr>
          <w:rFonts w:ascii="Arial" w:eastAsia="Times New Roman" w:hAnsi="Arial" w:cs="Arial"/>
          <w:sz w:val="20"/>
          <w:szCs w:val="20"/>
          <w:lang w:val="es-419" w:eastAsia="es-ES"/>
        </w:rPr>
      </w:pPr>
    </w:p>
    <w:p w14:paraId="15F549CE" w14:textId="77777777" w:rsidR="00FE42BA" w:rsidRPr="0094123A" w:rsidRDefault="00FE42BA" w:rsidP="00FE42BA">
      <w:pPr>
        <w:spacing w:line="240" w:lineRule="auto"/>
        <w:ind w:firstLine="0"/>
        <w:rPr>
          <w:rFonts w:ascii="Arial" w:eastAsia="Times New Roman" w:hAnsi="Arial" w:cs="Arial"/>
          <w:sz w:val="20"/>
          <w:szCs w:val="20"/>
          <w:lang w:val="es-419" w:eastAsia="es-ES"/>
        </w:rPr>
      </w:pPr>
      <w:r w:rsidRPr="0094123A">
        <w:rPr>
          <w:rFonts w:ascii="Arial" w:eastAsia="Times New Roman" w:hAnsi="Arial" w:cs="Arial"/>
          <w:sz w:val="20"/>
          <w:szCs w:val="20"/>
          <w:lang w:val="es-419" w:eastAsia="es-ES"/>
        </w:rPr>
        <w:t>La jurisprudencia patria ha sido clara en determinar que ni la mora en el pago de los aportes ni la falta de afiliación por parte del empleador pueden perjudicar las aspiraciones del trabajador de obtener el reconocimiento pensional…</w:t>
      </w:r>
    </w:p>
    <w:p w14:paraId="7E1D17FC" w14:textId="77777777" w:rsidR="00FE42BA" w:rsidRPr="0094123A" w:rsidRDefault="00FE42BA" w:rsidP="00FE42BA">
      <w:pPr>
        <w:spacing w:line="240" w:lineRule="auto"/>
        <w:ind w:firstLine="0"/>
        <w:rPr>
          <w:rFonts w:ascii="Arial" w:eastAsia="Times New Roman" w:hAnsi="Arial" w:cs="Arial"/>
          <w:sz w:val="20"/>
          <w:szCs w:val="20"/>
          <w:lang w:val="es-419" w:eastAsia="es-ES"/>
        </w:rPr>
      </w:pPr>
    </w:p>
    <w:p w14:paraId="3D2E0892" w14:textId="77777777" w:rsidR="00FE42BA" w:rsidRPr="0094123A" w:rsidRDefault="00FE42BA" w:rsidP="00FE42BA">
      <w:pPr>
        <w:spacing w:line="240" w:lineRule="auto"/>
        <w:ind w:firstLine="0"/>
        <w:rPr>
          <w:rFonts w:ascii="Arial" w:eastAsia="Times New Roman" w:hAnsi="Arial" w:cs="Arial"/>
          <w:sz w:val="20"/>
          <w:szCs w:val="20"/>
          <w:lang w:val="es-419" w:eastAsia="es-ES"/>
        </w:rPr>
      </w:pPr>
      <w:r w:rsidRPr="0094123A">
        <w:rPr>
          <w:rFonts w:ascii="Arial" w:eastAsia="Times New Roman" w:hAnsi="Arial" w:cs="Arial"/>
          <w:sz w:val="20"/>
          <w:szCs w:val="20"/>
          <w:lang w:val="es-419" w:eastAsia="es-ES"/>
        </w:rPr>
        <w:t>… en ambos supuestos (mora y falta de afiliación), una vez acreditada la relación laboral, la obligación de reconocimiento de la prestación está a cargo de la administradora pensional; dependiendo de la situación que se presente, al empleador le compete o bien efectuar el pago de los aportes debidos con los respectivos intereses moratorios, caso de la mora patronal o  tratándose de la falta de afiliación, cancelar el cálculo actuarial por los tiempos en que no hubo inscripción al sistema pensional…</w:t>
      </w:r>
    </w:p>
    <w:p w14:paraId="2A0BA3C7" w14:textId="77777777" w:rsidR="00FE42BA" w:rsidRPr="0094123A" w:rsidRDefault="00FE42BA" w:rsidP="00FE42BA">
      <w:pPr>
        <w:spacing w:line="240" w:lineRule="auto"/>
        <w:ind w:firstLine="0"/>
        <w:rPr>
          <w:rFonts w:ascii="Arial" w:eastAsia="Times New Roman" w:hAnsi="Arial" w:cs="Arial"/>
          <w:sz w:val="20"/>
          <w:szCs w:val="20"/>
          <w:lang w:val="es-419" w:eastAsia="es-ES"/>
        </w:rPr>
      </w:pPr>
    </w:p>
    <w:p w14:paraId="1B96E1DC" w14:textId="77777777" w:rsidR="00FE42BA" w:rsidRPr="00E215B8" w:rsidRDefault="00FE42BA" w:rsidP="00FE42BA">
      <w:pPr>
        <w:spacing w:line="240" w:lineRule="auto"/>
        <w:ind w:firstLine="0"/>
        <w:rPr>
          <w:rFonts w:ascii="Arial" w:eastAsia="Times New Roman" w:hAnsi="Arial" w:cs="Arial"/>
          <w:sz w:val="20"/>
          <w:szCs w:val="20"/>
          <w:lang w:val="es-419" w:eastAsia="es-ES"/>
        </w:rPr>
      </w:pPr>
      <w:r w:rsidRPr="00E215B8">
        <w:rPr>
          <w:rFonts w:ascii="Arial" w:eastAsia="Times New Roman" w:hAnsi="Arial" w:cs="Arial"/>
          <w:sz w:val="20"/>
          <w:szCs w:val="20"/>
          <w:lang w:val="es-419" w:eastAsia="es-ES"/>
        </w:rPr>
        <w:t xml:space="preserve">En ese entendido, en el caso de la mora o el pago tardío de aportes, si no hay gestión de cobro por parte de la entidad de seguridad social, no puede existir la declaratoria de «deuda incobrable» sobre las cotizaciones que se registran en mora, por lo que no cabrían los efectos del artículo 75 del Decreto 2665 de 1988, cuáles son los de tener por inexistentes esas cotizaciones. Así, al cumplir el trabajador con la carga de probar que prestó el servicio por los periodos que echa de menos en su historia laboral, es procedente ordenar vía judicial el reconocimiento pensional, teniendo en cuenta tales periodos. </w:t>
      </w:r>
    </w:p>
    <w:p w14:paraId="0663833A" w14:textId="77777777" w:rsidR="00FE42BA" w:rsidRPr="00E215B8" w:rsidRDefault="00FE42BA" w:rsidP="00FE42BA">
      <w:pPr>
        <w:spacing w:line="240" w:lineRule="auto"/>
        <w:ind w:firstLine="0"/>
        <w:rPr>
          <w:rFonts w:ascii="Arial" w:eastAsia="Times New Roman" w:hAnsi="Arial" w:cs="Arial"/>
          <w:sz w:val="20"/>
          <w:szCs w:val="20"/>
          <w:lang w:val="es-419" w:eastAsia="es-ES"/>
        </w:rPr>
      </w:pPr>
    </w:p>
    <w:p w14:paraId="32ADF46E" w14:textId="77777777" w:rsidR="00FE42BA" w:rsidRDefault="00FE42BA" w:rsidP="00FE42BA">
      <w:pPr>
        <w:spacing w:line="240" w:lineRule="auto"/>
        <w:ind w:firstLine="0"/>
        <w:rPr>
          <w:rFonts w:ascii="Arial" w:eastAsia="Times New Roman" w:hAnsi="Arial" w:cs="Arial"/>
          <w:sz w:val="20"/>
          <w:szCs w:val="20"/>
          <w:lang w:val="es-419" w:eastAsia="es-ES"/>
        </w:rPr>
      </w:pPr>
      <w:r w:rsidRPr="00E215B8">
        <w:rPr>
          <w:rFonts w:ascii="Arial" w:eastAsia="Times New Roman" w:hAnsi="Arial" w:cs="Arial"/>
          <w:sz w:val="20"/>
          <w:szCs w:val="20"/>
          <w:lang w:val="es-419" w:eastAsia="es-ES"/>
        </w:rPr>
        <w:t>Asimismo, ocurre en cuanto a la falta de afiliación del trabajador por parte de su empleador, pues si bien la entidad de seguridad social no tuvo la oportunidad de efectuar acciones cobro sobre unos periodos que no conoció, el derecho pensional del trabajador no puede ceder ante la negligencia del patrono y, por ende, en estos casos, judicialmente es viable ordenar el pago del cálculo actuarial al empleador con destino a la administradora pensional, y esta última, a su vez reconocer la prensión deprecada.</w:t>
      </w:r>
    </w:p>
    <w:p w14:paraId="5686E7D1" w14:textId="77777777" w:rsidR="00FE42BA" w:rsidRPr="0094123A" w:rsidRDefault="00FE42BA" w:rsidP="00FE42BA">
      <w:pPr>
        <w:spacing w:line="240" w:lineRule="auto"/>
        <w:ind w:firstLine="0"/>
        <w:rPr>
          <w:rFonts w:ascii="Arial" w:eastAsia="Times New Roman" w:hAnsi="Arial" w:cs="Arial"/>
          <w:sz w:val="20"/>
          <w:szCs w:val="20"/>
          <w:lang w:val="es-419" w:eastAsia="es-ES"/>
        </w:rPr>
      </w:pPr>
    </w:p>
    <w:p w14:paraId="10781E30" w14:textId="77777777" w:rsidR="00FE42BA" w:rsidRPr="0094123A" w:rsidRDefault="00FE42BA" w:rsidP="00FE42BA">
      <w:pPr>
        <w:spacing w:line="240" w:lineRule="auto"/>
        <w:ind w:firstLine="0"/>
        <w:rPr>
          <w:rFonts w:ascii="Arial" w:eastAsia="Times New Roman" w:hAnsi="Arial" w:cs="Arial"/>
          <w:sz w:val="20"/>
          <w:szCs w:val="20"/>
          <w:lang w:val="es-419" w:eastAsia="es-ES"/>
        </w:rPr>
      </w:pPr>
      <w:r w:rsidRPr="00172EBF">
        <w:rPr>
          <w:rFonts w:ascii="Arial" w:eastAsia="Times New Roman" w:hAnsi="Arial" w:cs="Arial"/>
          <w:sz w:val="20"/>
          <w:szCs w:val="20"/>
          <w:lang w:val="es-419" w:eastAsia="es-ES"/>
        </w:rPr>
        <w:t>La Sala de Casación Laboral de la Corte Suprema de Justicia, mediante providencia SL3691-2021 adoctrinó que las administradoras pensionales, sin importar el régimen que administren, tienen el deber de custodiar, conservar y verificar la información de las historias laborales de sus afiliados, para lo cual deben tener en cuenta lo dispuesto en la Ley 1581 de 2022 respecto al manejo y protección de datos personales</w:t>
      </w:r>
      <w:r>
        <w:rPr>
          <w:rFonts w:ascii="Arial" w:eastAsia="Times New Roman" w:hAnsi="Arial" w:cs="Arial"/>
          <w:sz w:val="20"/>
          <w:szCs w:val="20"/>
          <w:lang w:val="es-419" w:eastAsia="es-ES"/>
        </w:rPr>
        <w:t>.</w:t>
      </w:r>
    </w:p>
    <w:p w14:paraId="6B2AC212" w14:textId="77777777" w:rsidR="00FE42BA" w:rsidRPr="00CA0523" w:rsidRDefault="00FE42BA" w:rsidP="00FE42BA">
      <w:pPr>
        <w:spacing w:line="240" w:lineRule="auto"/>
        <w:ind w:firstLine="0"/>
        <w:rPr>
          <w:rFonts w:ascii="Arial" w:eastAsia="Times New Roman" w:hAnsi="Arial" w:cs="Arial"/>
          <w:sz w:val="20"/>
          <w:szCs w:val="20"/>
          <w:lang w:val="es-419" w:eastAsia="es-ES"/>
        </w:rPr>
      </w:pPr>
    </w:p>
    <w:p w14:paraId="0937BA85" w14:textId="77777777" w:rsidR="00842145" w:rsidRPr="00842145" w:rsidRDefault="00842145" w:rsidP="00842145">
      <w:pPr>
        <w:pBdr>
          <w:top w:val="nil"/>
          <w:left w:val="nil"/>
          <w:bottom w:val="nil"/>
          <w:right w:val="nil"/>
          <w:between w:val="nil"/>
        </w:pBdr>
        <w:tabs>
          <w:tab w:val="left" w:pos="0"/>
        </w:tabs>
        <w:spacing w:line="240" w:lineRule="auto"/>
        <w:ind w:firstLine="0"/>
        <w:jc w:val="left"/>
        <w:rPr>
          <w:rFonts w:ascii="Arial" w:eastAsia="Times New Roman" w:hAnsi="Arial" w:cs="Arial"/>
          <w:sz w:val="20"/>
          <w:szCs w:val="20"/>
          <w:lang w:val="es-419" w:eastAsia="es-ES"/>
        </w:rPr>
      </w:pPr>
    </w:p>
    <w:p w14:paraId="39FB2DE9" w14:textId="77777777" w:rsidR="00842145" w:rsidRPr="00842145" w:rsidRDefault="00842145" w:rsidP="00842145">
      <w:pPr>
        <w:pBdr>
          <w:top w:val="nil"/>
          <w:left w:val="nil"/>
          <w:bottom w:val="nil"/>
          <w:right w:val="nil"/>
          <w:between w:val="nil"/>
        </w:pBdr>
        <w:tabs>
          <w:tab w:val="left" w:pos="0"/>
        </w:tabs>
        <w:spacing w:line="240" w:lineRule="auto"/>
        <w:ind w:firstLine="0"/>
        <w:jc w:val="left"/>
        <w:rPr>
          <w:rFonts w:ascii="Arial" w:eastAsia="Times New Roman" w:hAnsi="Arial" w:cs="Arial"/>
          <w:sz w:val="20"/>
          <w:szCs w:val="20"/>
          <w:lang w:val="es-419" w:eastAsia="es-ES"/>
        </w:rPr>
      </w:pPr>
    </w:p>
    <w:p w14:paraId="741D1E91" w14:textId="77777777" w:rsidR="00842145" w:rsidRPr="00842145" w:rsidRDefault="00842145" w:rsidP="00842145">
      <w:pPr>
        <w:spacing w:line="276" w:lineRule="auto"/>
        <w:ind w:firstLine="0"/>
        <w:jc w:val="center"/>
        <w:rPr>
          <w:rFonts w:ascii="Tahoma" w:eastAsia="Times New Roman" w:hAnsi="Tahoma" w:cs="Tahoma"/>
          <w:b/>
          <w:iCs/>
          <w:spacing w:val="2"/>
          <w:sz w:val="24"/>
          <w:szCs w:val="24"/>
          <w:lang w:val="es-CO" w:eastAsia="es-ES"/>
        </w:rPr>
      </w:pPr>
      <w:r w:rsidRPr="00842145">
        <w:rPr>
          <w:rFonts w:ascii="Tahoma" w:eastAsia="Times New Roman" w:hAnsi="Tahoma" w:cs="Tahoma"/>
          <w:b/>
          <w:bCs/>
          <w:iCs/>
          <w:spacing w:val="2"/>
          <w:sz w:val="24"/>
          <w:szCs w:val="24"/>
          <w:lang w:val="es-CO" w:eastAsia="es-ES"/>
        </w:rPr>
        <w:t>TRIBUNAL SUPERIOR DEL DISTRITO JUDICIAL DE PEREIRA</w:t>
      </w:r>
    </w:p>
    <w:p w14:paraId="1C2A9DCF" w14:textId="77777777" w:rsidR="00842145" w:rsidRPr="00842145" w:rsidRDefault="00842145" w:rsidP="00842145">
      <w:pPr>
        <w:spacing w:line="276" w:lineRule="auto"/>
        <w:ind w:firstLine="0"/>
        <w:jc w:val="center"/>
        <w:rPr>
          <w:rFonts w:ascii="Tahoma" w:eastAsia="Times New Roman" w:hAnsi="Tahoma" w:cs="Tahoma"/>
          <w:b/>
          <w:iCs/>
          <w:spacing w:val="2"/>
          <w:sz w:val="24"/>
          <w:szCs w:val="24"/>
          <w:lang w:val="es-CO" w:eastAsia="es-ES"/>
        </w:rPr>
      </w:pPr>
      <w:r w:rsidRPr="00842145">
        <w:rPr>
          <w:rFonts w:ascii="Tahoma" w:eastAsia="Times New Roman" w:hAnsi="Tahoma" w:cs="Tahoma"/>
          <w:b/>
          <w:bCs/>
          <w:iCs/>
          <w:spacing w:val="2"/>
          <w:sz w:val="24"/>
          <w:szCs w:val="24"/>
          <w:lang w:val="es-CO" w:eastAsia="es-ES"/>
        </w:rPr>
        <w:t>SALA PRIMERA DE DECISIÓN LABORAL</w:t>
      </w:r>
    </w:p>
    <w:p w14:paraId="29F4CEDD" w14:textId="77777777" w:rsidR="00842145" w:rsidRPr="00842145" w:rsidRDefault="00842145" w:rsidP="00842145">
      <w:pPr>
        <w:spacing w:line="276" w:lineRule="auto"/>
        <w:ind w:firstLine="0"/>
        <w:jc w:val="center"/>
        <w:rPr>
          <w:rFonts w:ascii="Tahoma" w:eastAsia="Times New Roman" w:hAnsi="Tahoma" w:cs="Tahoma"/>
          <w:bCs/>
          <w:spacing w:val="2"/>
          <w:sz w:val="24"/>
          <w:szCs w:val="24"/>
          <w:lang w:val="es-CO" w:eastAsia="es-ES"/>
        </w:rPr>
      </w:pPr>
    </w:p>
    <w:p w14:paraId="2FB0C4C2" w14:textId="77777777" w:rsidR="00842145" w:rsidRPr="00842145" w:rsidRDefault="00842145" w:rsidP="00842145">
      <w:pPr>
        <w:spacing w:line="276" w:lineRule="auto"/>
        <w:ind w:firstLine="0"/>
        <w:jc w:val="center"/>
        <w:rPr>
          <w:rFonts w:ascii="Tahoma" w:eastAsia="Times New Roman" w:hAnsi="Tahoma" w:cs="Tahoma"/>
          <w:spacing w:val="2"/>
          <w:sz w:val="24"/>
          <w:szCs w:val="24"/>
          <w:lang w:val="es-CO" w:eastAsia="es-ES"/>
        </w:rPr>
      </w:pPr>
      <w:r w:rsidRPr="00842145">
        <w:rPr>
          <w:rFonts w:ascii="Tahoma" w:eastAsia="Times New Roman" w:hAnsi="Tahoma" w:cs="Tahoma"/>
          <w:spacing w:val="2"/>
          <w:sz w:val="24"/>
          <w:szCs w:val="24"/>
          <w:lang w:val="es-CO" w:eastAsia="es-ES"/>
        </w:rPr>
        <w:t>Magistrada Ponente: </w:t>
      </w:r>
      <w:r w:rsidRPr="00842145">
        <w:rPr>
          <w:rFonts w:ascii="Tahoma" w:eastAsia="Times New Roman" w:hAnsi="Tahoma" w:cs="Tahoma"/>
          <w:b/>
          <w:bCs/>
          <w:spacing w:val="2"/>
          <w:sz w:val="24"/>
          <w:szCs w:val="24"/>
          <w:lang w:val="es-CO" w:eastAsia="es-ES"/>
        </w:rPr>
        <w:t>Ana Lucía Caicedo Calderón</w:t>
      </w:r>
    </w:p>
    <w:p w14:paraId="2B792377" w14:textId="77777777" w:rsidR="00842145" w:rsidRPr="00842145" w:rsidRDefault="00842145" w:rsidP="00842145">
      <w:pPr>
        <w:spacing w:line="276" w:lineRule="auto"/>
        <w:ind w:firstLine="0"/>
        <w:jc w:val="center"/>
        <w:rPr>
          <w:rFonts w:ascii="Tahoma" w:eastAsia="Times New Roman" w:hAnsi="Tahoma" w:cs="Tahoma"/>
          <w:spacing w:val="2"/>
          <w:sz w:val="24"/>
          <w:szCs w:val="24"/>
          <w:lang w:val="es-CO" w:eastAsia="es-ES"/>
        </w:rPr>
      </w:pPr>
    </w:p>
    <w:bookmarkEnd w:id="1"/>
    <w:p w14:paraId="11B33F44" w14:textId="77777777" w:rsidR="00F54A53" w:rsidRPr="00842145" w:rsidRDefault="00F54A53" w:rsidP="00842145">
      <w:pPr>
        <w:spacing w:line="276" w:lineRule="auto"/>
        <w:mirrorIndents/>
        <w:jc w:val="center"/>
        <w:rPr>
          <w:rFonts w:ascii="Tahoma" w:hAnsi="Tahoma" w:cs="Tahoma"/>
          <w:sz w:val="24"/>
          <w:szCs w:val="24"/>
          <w:lang w:val="es-CO" w:eastAsia="es-CO"/>
        </w:rPr>
      </w:pPr>
      <w:r w:rsidRPr="00842145">
        <w:rPr>
          <w:rFonts w:ascii="Tahoma" w:hAnsi="Tahoma" w:cs="Tahoma"/>
          <w:sz w:val="24"/>
          <w:szCs w:val="24"/>
        </w:rPr>
        <w:t>Pereira, Risaralda, veintiséis (26) de junio de dos mil veintitrés (2023)  </w:t>
      </w:r>
    </w:p>
    <w:p w14:paraId="248EBEA4" w14:textId="50B70D63" w:rsidR="00F54A53" w:rsidRPr="00842145" w:rsidRDefault="00F54A53" w:rsidP="00842145">
      <w:pPr>
        <w:spacing w:line="276" w:lineRule="auto"/>
        <w:mirrorIndents/>
        <w:jc w:val="center"/>
        <w:rPr>
          <w:rFonts w:ascii="Tahoma" w:hAnsi="Tahoma" w:cs="Tahoma"/>
          <w:sz w:val="24"/>
          <w:szCs w:val="24"/>
          <w:lang w:eastAsia="es-ES"/>
        </w:rPr>
      </w:pPr>
      <w:r w:rsidRPr="00842145">
        <w:rPr>
          <w:rFonts w:ascii="Tahoma" w:hAnsi="Tahoma" w:cs="Tahoma"/>
          <w:sz w:val="24"/>
          <w:szCs w:val="24"/>
        </w:rPr>
        <w:t> Acta No. </w:t>
      </w:r>
      <w:r w:rsidR="4F3E3D07" w:rsidRPr="00842145">
        <w:rPr>
          <w:rFonts w:ascii="Tahoma" w:hAnsi="Tahoma" w:cs="Tahoma"/>
          <w:sz w:val="24"/>
          <w:szCs w:val="24"/>
        </w:rPr>
        <w:t>99</w:t>
      </w:r>
      <w:r w:rsidRPr="00842145">
        <w:rPr>
          <w:rFonts w:ascii="Tahoma" w:hAnsi="Tahoma" w:cs="Tahoma"/>
          <w:sz w:val="24"/>
          <w:szCs w:val="24"/>
        </w:rPr>
        <w:t xml:space="preserve"> del 22 de junio de 2023 </w:t>
      </w:r>
    </w:p>
    <w:p w14:paraId="1B854615" w14:textId="77777777" w:rsidR="008D600B" w:rsidRPr="00842145" w:rsidRDefault="008D600B" w:rsidP="00842145">
      <w:pPr>
        <w:pStyle w:val="Sinespaciado"/>
        <w:spacing w:line="276" w:lineRule="auto"/>
        <w:rPr>
          <w:rFonts w:ascii="Tahoma" w:hAnsi="Tahoma" w:cs="Tahoma"/>
          <w:lang w:eastAsia="es-CO"/>
        </w:rPr>
      </w:pPr>
    </w:p>
    <w:p w14:paraId="02A472BA" w14:textId="6B7DAED8" w:rsidR="00997C3E" w:rsidRPr="00842145" w:rsidRDefault="00A31306" w:rsidP="00842145">
      <w:pPr>
        <w:spacing w:line="276" w:lineRule="auto"/>
        <w:ind w:firstLine="708"/>
        <w:rPr>
          <w:rFonts w:ascii="Tahoma" w:hAnsi="Tahoma" w:cs="Tahoma"/>
          <w:b/>
          <w:bCs/>
          <w:sz w:val="24"/>
          <w:szCs w:val="24"/>
        </w:rPr>
      </w:pPr>
      <w:r w:rsidRPr="00842145">
        <w:rPr>
          <w:rFonts w:ascii="Tahoma" w:hAnsi="Tahoma" w:cs="Tahoma"/>
          <w:sz w:val="24"/>
          <w:szCs w:val="24"/>
        </w:rPr>
        <w:t xml:space="preserve">Teniendo en cuenta que el artículo 15 del Decreto No. 806 del 4 de junio de 2020, expedido por el Ministerio de Justicia y del Derecho, estableció que en la especialidad laboral se proferirán por escrito las providencias de segunda instancia en las que se surta el grado jurisdiccional de consulta o se resuelva el recurso de apelación de autos o sentencias, la Sala </w:t>
      </w:r>
      <w:r w:rsidR="00D204BC" w:rsidRPr="00842145">
        <w:rPr>
          <w:rFonts w:ascii="Tahoma" w:hAnsi="Tahoma" w:cs="Tahoma"/>
          <w:sz w:val="24"/>
          <w:szCs w:val="24"/>
        </w:rPr>
        <w:t xml:space="preserve">Primera </w:t>
      </w:r>
      <w:r w:rsidRPr="00842145">
        <w:rPr>
          <w:rFonts w:ascii="Tahoma" w:hAnsi="Tahoma" w:cs="Tahoma"/>
          <w:sz w:val="24"/>
          <w:szCs w:val="24"/>
        </w:rPr>
        <w:t>de Decisión Laboral del Tribunal Superior de Pereira, integrada por las Magistradas ANA LUCÍA CAICEDO CALDERÓN</w:t>
      </w:r>
      <w:r w:rsidR="00C025AF" w:rsidRPr="00842145">
        <w:rPr>
          <w:rFonts w:ascii="Tahoma" w:hAnsi="Tahoma" w:cs="Tahoma"/>
          <w:sz w:val="24"/>
          <w:szCs w:val="24"/>
        </w:rPr>
        <w:t>,</w:t>
      </w:r>
      <w:r w:rsidRPr="00842145">
        <w:rPr>
          <w:rFonts w:ascii="Tahoma" w:hAnsi="Tahoma" w:cs="Tahoma"/>
          <w:sz w:val="24"/>
          <w:szCs w:val="24"/>
        </w:rPr>
        <w:t xml:space="preserve"> como Ponente, </w:t>
      </w:r>
      <w:r w:rsidR="00C025AF" w:rsidRPr="00842145">
        <w:rPr>
          <w:rFonts w:ascii="Tahoma" w:hAnsi="Tahoma" w:cs="Tahoma"/>
          <w:sz w:val="24"/>
          <w:szCs w:val="24"/>
        </w:rPr>
        <w:t xml:space="preserve">y </w:t>
      </w:r>
      <w:r w:rsidRPr="00842145">
        <w:rPr>
          <w:rFonts w:ascii="Tahoma" w:hAnsi="Tahoma" w:cs="Tahoma"/>
          <w:sz w:val="24"/>
          <w:szCs w:val="24"/>
        </w:rPr>
        <w:t>OLGA LUCÍA HOYOS SEPÚLVEDA</w:t>
      </w:r>
      <w:r w:rsidR="00C931FB" w:rsidRPr="00842145">
        <w:rPr>
          <w:rFonts w:ascii="Tahoma" w:hAnsi="Tahoma" w:cs="Tahoma"/>
          <w:sz w:val="24"/>
          <w:szCs w:val="24"/>
        </w:rPr>
        <w:t>,</w:t>
      </w:r>
      <w:r w:rsidRPr="00842145">
        <w:rPr>
          <w:rFonts w:ascii="Tahoma" w:hAnsi="Tahoma" w:cs="Tahoma"/>
          <w:sz w:val="24"/>
          <w:szCs w:val="24"/>
        </w:rPr>
        <w:t xml:space="preserve"> y el Magistrado </w:t>
      </w:r>
      <w:r w:rsidR="00C931FB" w:rsidRPr="00842145">
        <w:rPr>
          <w:rFonts w:ascii="Tahoma" w:hAnsi="Tahoma" w:cs="Tahoma"/>
          <w:sz w:val="24"/>
          <w:szCs w:val="24"/>
        </w:rPr>
        <w:t xml:space="preserve">GERMÁN DARÍO </w:t>
      </w:r>
      <w:r w:rsidR="00C931FB" w:rsidRPr="00842145">
        <w:rPr>
          <w:rFonts w:ascii="Tahoma" w:hAnsi="Tahoma" w:cs="Tahoma"/>
          <w:sz w:val="24"/>
          <w:szCs w:val="24"/>
        </w:rPr>
        <w:lastRenderedPageBreak/>
        <w:t>GOEZ VINASCO</w:t>
      </w:r>
      <w:r w:rsidRPr="00842145">
        <w:rPr>
          <w:rFonts w:ascii="Tahoma" w:hAnsi="Tahoma" w:cs="Tahoma"/>
          <w:sz w:val="24"/>
          <w:szCs w:val="24"/>
        </w:rPr>
        <w:t xml:space="preserve">, procede a proferir la siguiente sentencia escrita dentro del proceso </w:t>
      </w:r>
      <w:r w:rsidRPr="00E72F51">
        <w:rPr>
          <w:rFonts w:ascii="Tahoma" w:hAnsi="Tahoma" w:cs="Tahoma"/>
          <w:b/>
          <w:sz w:val="24"/>
          <w:szCs w:val="24"/>
        </w:rPr>
        <w:t>ordinario laboral</w:t>
      </w:r>
      <w:r w:rsidRPr="00842145">
        <w:rPr>
          <w:rFonts w:ascii="Tahoma" w:hAnsi="Tahoma" w:cs="Tahoma"/>
          <w:sz w:val="24"/>
          <w:szCs w:val="24"/>
        </w:rPr>
        <w:t xml:space="preserve"> instaurado por </w:t>
      </w:r>
      <w:r w:rsidR="00E72F51" w:rsidRPr="00842145">
        <w:rPr>
          <w:rFonts w:ascii="Tahoma" w:hAnsi="Tahoma" w:cs="Tahoma"/>
          <w:b/>
          <w:bCs/>
          <w:sz w:val="24"/>
          <w:szCs w:val="24"/>
        </w:rPr>
        <w:t xml:space="preserve">Jorge Suarez Valero </w:t>
      </w:r>
      <w:r w:rsidR="00324DDD" w:rsidRPr="00842145">
        <w:rPr>
          <w:rFonts w:ascii="Tahoma" w:hAnsi="Tahoma" w:cs="Tahoma"/>
          <w:sz w:val="24"/>
          <w:szCs w:val="24"/>
        </w:rPr>
        <w:t>en contra de</w:t>
      </w:r>
      <w:r w:rsidR="00176668" w:rsidRPr="00842145">
        <w:rPr>
          <w:rFonts w:ascii="Tahoma" w:hAnsi="Tahoma" w:cs="Tahoma"/>
          <w:sz w:val="24"/>
          <w:szCs w:val="24"/>
        </w:rPr>
        <w:t xml:space="preserve"> la </w:t>
      </w:r>
      <w:r w:rsidR="00E72F51" w:rsidRPr="00842145">
        <w:rPr>
          <w:rFonts w:ascii="Tahoma" w:hAnsi="Tahoma" w:cs="Tahoma"/>
          <w:b/>
          <w:bCs/>
          <w:sz w:val="24"/>
          <w:szCs w:val="24"/>
        </w:rPr>
        <w:t xml:space="preserve">Administradora Colombiana de Pensiones </w:t>
      </w:r>
      <w:r w:rsidR="00176668" w:rsidRPr="00842145">
        <w:rPr>
          <w:rFonts w:ascii="Tahoma" w:hAnsi="Tahoma" w:cs="Tahoma"/>
          <w:b/>
          <w:bCs/>
          <w:sz w:val="24"/>
          <w:szCs w:val="24"/>
        </w:rPr>
        <w:t>– COLPENSIONES</w:t>
      </w:r>
      <w:r w:rsidR="00F1629E" w:rsidRPr="00842145">
        <w:rPr>
          <w:rFonts w:ascii="Tahoma" w:hAnsi="Tahoma" w:cs="Tahoma"/>
          <w:b/>
          <w:bCs/>
          <w:sz w:val="24"/>
          <w:szCs w:val="24"/>
        </w:rPr>
        <w:t xml:space="preserve"> </w:t>
      </w:r>
      <w:r w:rsidR="00F1629E" w:rsidRPr="00842145">
        <w:rPr>
          <w:rFonts w:ascii="Tahoma" w:hAnsi="Tahoma" w:cs="Tahoma"/>
          <w:sz w:val="24"/>
          <w:szCs w:val="24"/>
        </w:rPr>
        <w:t>y</w:t>
      </w:r>
      <w:r w:rsidR="003B2E38" w:rsidRPr="00842145">
        <w:rPr>
          <w:rFonts w:ascii="Tahoma" w:hAnsi="Tahoma" w:cs="Tahoma"/>
          <w:sz w:val="24"/>
          <w:szCs w:val="24"/>
        </w:rPr>
        <w:t xml:space="preserve"> al cual fue vinculado el </w:t>
      </w:r>
      <w:r w:rsidR="00E72F51" w:rsidRPr="00842145">
        <w:rPr>
          <w:rFonts w:ascii="Tahoma" w:hAnsi="Tahoma" w:cs="Tahoma"/>
          <w:b/>
          <w:sz w:val="24"/>
          <w:szCs w:val="24"/>
        </w:rPr>
        <w:t xml:space="preserve">Banco de Bogotá </w:t>
      </w:r>
      <w:r w:rsidR="003B2E38" w:rsidRPr="00842145">
        <w:rPr>
          <w:rFonts w:ascii="Tahoma" w:hAnsi="Tahoma" w:cs="Tahoma"/>
          <w:b/>
          <w:sz w:val="24"/>
          <w:szCs w:val="24"/>
        </w:rPr>
        <w:t>S.A.</w:t>
      </w:r>
    </w:p>
    <w:p w14:paraId="2F8DBC39" w14:textId="77777777" w:rsidR="007A1934" w:rsidRPr="00842145" w:rsidRDefault="007A1934" w:rsidP="00842145">
      <w:pPr>
        <w:pStyle w:val="Sinespaciado"/>
        <w:spacing w:line="276" w:lineRule="auto"/>
        <w:rPr>
          <w:rFonts w:ascii="Tahoma" w:hAnsi="Tahoma" w:cs="Tahoma"/>
        </w:rPr>
      </w:pPr>
    </w:p>
    <w:p w14:paraId="10189EAD" w14:textId="38911961" w:rsidR="00A31306" w:rsidRPr="00842145" w:rsidRDefault="00A31306" w:rsidP="00842145">
      <w:pPr>
        <w:pStyle w:val="paragraph"/>
        <w:spacing w:before="0" w:beforeAutospacing="0" w:after="0" w:afterAutospacing="0" w:line="276" w:lineRule="auto"/>
        <w:jc w:val="center"/>
        <w:textAlignment w:val="baseline"/>
        <w:rPr>
          <w:rStyle w:val="normaltextrun"/>
          <w:rFonts w:ascii="Tahoma" w:hAnsi="Tahoma" w:cs="Tahoma"/>
          <w:b/>
          <w:bCs/>
        </w:rPr>
      </w:pPr>
      <w:r w:rsidRPr="00842145">
        <w:rPr>
          <w:rStyle w:val="normaltextrun"/>
          <w:rFonts w:ascii="Tahoma" w:hAnsi="Tahoma" w:cs="Tahoma"/>
          <w:b/>
          <w:bCs/>
        </w:rPr>
        <w:t>PUNTO A TRATAR</w:t>
      </w:r>
    </w:p>
    <w:p w14:paraId="795D0D39" w14:textId="77777777" w:rsidR="00AB12BB" w:rsidRPr="00842145" w:rsidRDefault="00AB12BB" w:rsidP="00842145">
      <w:pPr>
        <w:pStyle w:val="Sinespaciado"/>
        <w:spacing w:line="276" w:lineRule="auto"/>
        <w:rPr>
          <w:rFonts w:ascii="Tahoma" w:hAnsi="Tahoma" w:cs="Tahoma"/>
        </w:rPr>
      </w:pPr>
    </w:p>
    <w:p w14:paraId="51A8D256" w14:textId="129F6A9A" w:rsidR="00F1629E" w:rsidRPr="00842145" w:rsidRDefault="00F1629E" w:rsidP="00842145">
      <w:pPr>
        <w:spacing w:line="276" w:lineRule="auto"/>
        <w:rPr>
          <w:rFonts w:ascii="Tahoma" w:eastAsia="Times New Roman" w:hAnsi="Tahoma" w:cs="Tahoma"/>
          <w:color w:val="000000"/>
          <w:sz w:val="24"/>
          <w:szCs w:val="24"/>
          <w:lang w:val="es-CO"/>
        </w:rPr>
      </w:pPr>
      <w:r w:rsidRPr="00842145">
        <w:rPr>
          <w:rFonts w:ascii="Tahoma" w:hAnsi="Tahoma" w:cs="Tahoma"/>
          <w:sz w:val="24"/>
          <w:szCs w:val="24"/>
        </w:rPr>
        <w:t>Por medio de esta providencia procede la Sala a resolver el grado jurisdiccional de consulta dispuesta en favor de la Administradora Colombiana de Pensiones -Colpensiones- y el recurso de apelación presentado por esta misma administradora pensional</w:t>
      </w:r>
      <w:r w:rsidR="003434AC" w:rsidRPr="00842145">
        <w:rPr>
          <w:rFonts w:ascii="Tahoma" w:hAnsi="Tahoma" w:cs="Tahoma"/>
          <w:sz w:val="24"/>
          <w:szCs w:val="24"/>
        </w:rPr>
        <w:t xml:space="preserve"> y por el vinculado Banco de Bogotá S.A.</w:t>
      </w:r>
      <w:r w:rsidRPr="00842145">
        <w:rPr>
          <w:rFonts w:ascii="Tahoma" w:hAnsi="Tahoma" w:cs="Tahoma"/>
          <w:sz w:val="24"/>
          <w:szCs w:val="24"/>
        </w:rPr>
        <w:t xml:space="preserve">, en contra de la sentencia proferida el </w:t>
      </w:r>
      <w:r w:rsidR="003434AC" w:rsidRPr="00842145">
        <w:rPr>
          <w:rFonts w:ascii="Tahoma" w:hAnsi="Tahoma" w:cs="Tahoma"/>
          <w:sz w:val="24"/>
          <w:szCs w:val="24"/>
        </w:rPr>
        <w:t>29 de noviembre</w:t>
      </w:r>
      <w:r w:rsidRPr="00842145">
        <w:rPr>
          <w:rFonts w:ascii="Tahoma" w:hAnsi="Tahoma" w:cs="Tahoma"/>
          <w:sz w:val="24"/>
          <w:szCs w:val="24"/>
        </w:rPr>
        <w:t xml:space="preserve"> de 2022 por el Juzgado </w:t>
      </w:r>
      <w:r w:rsidR="003434AC" w:rsidRPr="00842145">
        <w:rPr>
          <w:rFonts w:ascii="Tahoma" w:hAnsi="Tahoma" w:cs="Tahoma"/>
          <w:sz w:val="24"/>
          <w:szCs w:val="24"/>
        </w:rPr>
        <w:t>Primer</w:t>
      </w:r>
      <w:r w:rsidRPr="00842145">
        <w:rPr>
          <w:rFonts w:ascii="Tahoma" w:hAnsi="Tahoma" w:cs="Tahoma"/>
          <w:sz w:val="24"/>
          <w:szCs w:val="24"/>
        </w:rPr>
        <w:t>o Laboral del Circuito de Pereira.</w:t>
      </w:r>
      <w:r w:rsidRPr="00842145">
        <w:rPr>
          <w:rFonts w:ascii="Tahoma" w:eastAsia="Times New Roman" w:hAnsi="Tahoma" w:cs="Tahoma"/>
          <w:color w:val="000000" w:themeColor="text1"/>
          <w:sz w:val="24"/>
          <w:szCs w:val="24"/>
          <w:lang w:val="es-CO"/>
        </w:rPr>
        <w:t xml:space="preserve"> Para ello se tiene en cuenta lo siguiente: </w:t>
      </w:r>
    </w:p>
    <w:p w14:paraId="38C4AAF1" w14:textId="03910A07" w:rsidR="6A84FD5B" w:rsidRPr="00842145" w:rsidRDefault="6A84FD5B" w:rsidP="00842145">
      <w:pPr>
        <w:pStyle w:val="Sinespaciado"/>
        <w:spacing w:line="276" w:lineRule="auto"/>
        <w:rPr>
          <w:rFonts w:ascii="Tahoma" w:hAnsi="Tahoma" w:cs="Tahoma"/>
        </w:rPr>
      </w:pPr>
    </w:p>
    <w:p w14:paraId="04B97E35" w14:textId="76CEA137" w:rsidR="00A31306" w:rsidRPr="00842145" w:rsidRDefault="00A31306" w:rsidP="00842145">
      <w:pPr>
        <w:pStyle w:val="Sinespaciado"/>
        <w:numPr>
          <w:ilvl w:val="0"/>
          <w:numId w:val="2"/>
        </w:numPr>
        <w:tabs>
          <w:tab w:val="left" w:pos="284"/>
        </w:tabs>
        <w:spacing w:line="276" w:lineRule="auto"/>
        <w:ind w:left="0" w:firstLine="0"/>
        <w:jc w:val="center"/>
        <w:rPr>
          <w:rFonts w:ascii="Tahoma" w:hAnsi="Tahoma" w:cs="Tahoma"/>
          <w:b/>
          <w:bCs/>
        </w:rPr>
      </w:pPr>
      <w:r w:rsidRPr="00842145">
        <w:rPr>
          <w:rFonts w:ascii="Tahoma" w:hAnsi="Tahoma" w:cs="Tahoma"/>
          <w:b/>
          <w:bCs/>
        </w:rPr>
        <w:t xml:space="preserve">La demanda y </w:t>
      </w:r>
      <w:r w:rsidR="0C1CC26E" w:rsidRPr="00842145">
        <w:rPr>
          <w:rFonts w:ascii="Tahoma" w:hAnsi="Tahoma" w:cs="Tahoma"/>
          <w:b/>
          <w:bCs/>
        </w:rPr>
        <w:t>la</w:t>
      </w:r>
      <w:r w:rsidRPr="00842145">
        <w:rPr>
          <w:rFonts w:ascii="Tahoma" w:hAnsi="Tahoma" w:cs="Tahoma"/>
          <w:b/>
          <w:bCs/>
        </w:rPr>
        <w:t xml:space="preserve"> contestación</w:t>
      </w:r>
      <w:r w:rsidR="05A6F9E1" w:rsidRPr="00842145">
        <w:rPr>
          <w:rFonts w:ascii="Tahoma" w:hAnsi="Tahoma" w:cs="Tahoma"/>
          <w:b/>
          <w:bCs/>
        </w:rPr>
        <w:t xml:space="preserve"> de la demanda</w:t>
      </w:r>
    </w:p>
    <w:p w14:paraId="5B2B7272" w14:textId="1FD4A226" w:rsidR="001C5C55" w:rsidRPr="00842145" w:rsidRDefault="001C5C55" w:rsidP="00842145">
      <w:pPr>
        <w:pStyle w:val="Sinespaciado"/>
        <w:spacing w:line="276" w:lineRule="auto"/>
        <w:rPr>
          <w:rFonts w:ascii="Tahoma" w:hAnsi="Tahoma" w:cs="Tahoma"/>
        </w:rPr>
      </w:pPr>
    </w:p>
    <w:p w14:paraId="474AAF86" w14:textId="4219FF6F" w:rsidR="00BE2042" w:rsidRPr="00842145" w:rsidRDefault="00F1629E" w:rsidP="00842145">
      <w:pPr>
        <w:spacing w:line="276" w:lineRule="auto"/>
        <w:rPr>
          <w:rFonts w:ascii="Tahoma" w:hAnsi="Tahoma" w:cs="Tahoma"/>
          <w:sz w:val="24"/>
          <w:szCs w:val="24"/>
        </w:rPr>
      </w:pPr>
      <w:r w:rsidRPr="00842145">
        <w:rPr>
          <w:rFonts w:ascii="Tahoma" w:hAnsi="Tahoma" w:cs="Tahoma"/>
          <w:sz w:val="24"/>
          <w:szCs w:val="24"/>
          <w:lang w:val="es-CO"/>
        </w:rPr>
        <w:t>El citado demandante</w:t>
      </w:r>
      <w:r w:rsidR="00F95604" w:rsidRPr="00842145">
        <w:rPr>
          <w:rFonts w:ascii="Tahoma" w:hAnsi="Tahoma" w:cs="Tahoma"/>
          <w:sz w:val="24"/>
          <w:szCs w:val="24"/>
          <w:lang w:val="es-CO"/>
        </w:rPr>
        <w:t xml:space="preserve"> solicita qu</w:t>
      </w:r>
      <w:r w:rsidR="00646BBA" w:rsidRPr="00842145">
        <w:rPr>
          <w:rFonts w:ascii="Tahoma" w:hAnsi="Tahoma" w:cs="Tahoma"/>
          <w:sz w:val="24"/>
          <w:szCs w:val="24"/>
          <w:lang w:val="es-CO"/>
        </w:rPr>
        <w:t xml:space="preserve">e, previa declaración del derecho, se </w:t>
      </w:r>
      <w:r w:rsidR="00D54C99" w:rsidRPr="00842145">
        <w:rPr>
          <w:rFonts w:ascii="Tahoma" w:hAnsi="Tahoma" w:cs="Tahoma"/>
          <w:sz w:val="24"/>
          <w:szCs w:val="24"/>
          <w:lang w:val="es-CO"/>
        </w:rPr>
        <w:t xml:space="preserve">condene a Colpensiones a reconocer y pagar en su favor la pensión de vejez a partir del </w:t>
      </w:r>
      <w:r w:rsidR="00646BBA" w:rsidRPr="00842145">
        <w:rPr>
          <w:rFonts w:ascii="Tahoma" w:hAnsi="Tahoma" w:cs="Tahoma"/>
          <w:sz w:val="24"/>
          <w:szCs w:val="24"/>
          <w:lang w:val="es-CO"/>
        </w:rPr>
        <w:t>03 de febrero de 2016</w:t>
      </w:r>
      <w:r w:rsidR="00BE2042" w:rsidRPr="00842145">
        <w:rPr>
          <w:rFonts w:ascii="Tahoma" w:hAnsi="Tahoma" w:cs="Tahoma"/>
          <w:sz w:val="24"/>
          <w:szCs w:val="24"/>
          <w:lang w:val="es-CO"/>
        </w:rPr>
        <w:t>,</w:t>
      </w:r>
      <w:r w:rsidR="00F24AA4" w:rsidRPr="00842145">
        <w:rPr>
          <w:rFonts w:ascii="Tahoma" w:hAnsi="Tahoma" w:cs="Tahoma"/>
          <w:sz w:val="24"/>
          <w:szCs w:val="24"/>
          <w:lang w:val="es-CO"/>
        </w:rPr>
        <w:t xml:space="preserve"> con el respectivo retroactivo pensional, los intereses moratorios</w:t>
      </w:r>
      <w:r w:rsidR="00646BBA" w:rsidRPr="00842145">
        <w:rPr>
          <w:rFonts w:ascii="Tahoma" w:hAnsi="Tahoma" w:cs="Tahoma"/>
          <w:sz w:val="24"/>
          <w:szCs w:val="24"/>
          <w:lang w:val="es-CO"/>
        </w:rPr>
        <w:t>, en subsidio de estos la indexación</w:t>
      </w:r>
      <w:r w:rsidR="00F24AA4" w:rsidRPr="00842145">
        <w:rPr>
          <w:rFonts w:ascii="Tahoma" w:hAnsi="Tahoma" w:cs="Tahoma"/>
          <w:sz w:val="24"/>
          <w:szCs w:val="24"/>
          <w:lang w:val="es-CO"/>
        </w:rPr>
        <w:t xml:space="preserve"> y las costas procesales. </w:t>
      </w:r>
    </w:p>
    <w:p w14:paraId="35B9F2C3" w14:textId="77777777" w:rsidR="00C026E9" w:rsidRPr="00842145" w:rsidRDefault="00C026E9" w:rsidP="00842145">
      <w:pPr>
        <w:pStyle w:val="Sinespaciado"/>
        <w:spacing w:line="276" w:lineRule="auto"/>
        <w:rPr>
          <w:rFonts w:ascii="Tahoma" w:hAnsi="Tahoma" w:cs="Tahoma"/>
        </w:rPr>
      </w:pPr>
    </w:p>
    <w:p w14:paraId="0F769DB7" w14:textId="7D5647C5" w:rsidR="0033347B" w:rsidRPr="00842145" w:rsidRDefault="00F95604" w:rsidP="00842145">
      <w:pPr>
        <w:spacing w:line="276" w:lineRule="auto"/>
        <w:ind w:firstLine="708"/>
        <w:rPr>
          <w:rFonts w:ascii="Tahoma" w:hAnsi="Tahoma" w:cs="Tahoma"/>
          <w:sz w:val="24"/>
          <w:szCs w:val="24"/>
          <w:lang w:val="es-CO"/>
        </w:rPr>
      </w:pPr>
      <w:r w:rsidRPr="00842145">
        <w:rPr>
          <w:rFonts w:ascii="Tahoma" w:hAnsi="Tahoma" w:cs="Tahoma"/>
          <w:sz w:val="24"/>
          <w:szCs w:val="24"/>
          <w:lang w:val="es-CO"/>
        </w:rPr>
        <w:t>Para fundar tales pedidos</w:t>
      </w:r>
      <w:r w:rsidR="00E65CD7" w:rsidRPr="00842145">
        <w:rPr>
          <w:rFonts w:ascii="Tahoma" w:hAnsi="Tahoma" w:cs="Tahoma"/>
          <w:sz w:val="24"/>
          <w:szCs w:val="24"/>
          <w:lang w:val="es-CO"/>
        </w:rPr>
        <w:t>,</w:t>
      </w:r>
      <w:r w:rsidRPr="00842145">
        <w:rPr>
          <w:rFonts w:ascii="Tahoma" w:hAnsi="Tahoma" w:cs="Tahoma"/>
          <w:sz w:val="24"/>
          <w:szCs w:val="24"/>
          <w:lang w:val="es-CO"/>
        </w:rPr>
        <w:t xml:space="preserve"> indica </w:t>
      </w:r>
      <w:r w:rsidR="00176668" w:rsidRPr="00842145">
        <w:rPr>
          <w:rFonts w:ascii="Tahoma" w:hAnsi="Tahoma" w:cs="Tahoma"/>
          <w:sz w:val="24"/>
          <w:szCs w:val="24"/>
          <w:lang w:val="es-CO"/>
        </w:rPr>
        <w:t>que</w:t>
      </w:r>
      <w:r w:rsidR="00AF5CE4" w:rsidRPr="00842145">
        <w:rPr>
          <w:rFonts w:ascii="Tahoma" w:hAnsi="Tahoma" w:cs="Tahoma"/>
          <w:sz w:val="24"/>
          <w:szCs w:val="24"/>
          <w:lang w:val="es-CO"/>
        </w:rPr>
        <w:t xml:space="preserve"> nació el </w:t>
      </w:r>
      <w:r w:rsidR="0033347B" w:rsidRPr="00842145">
        <w:rPr>
          <w:rFonts w:ascii="Tahoma" w:hAnsi="Tahoma" w:cs="Tahoma"/>
          <w:sz w:val="24"/>
          <w:szCs w:val="24"/>
          <w:lang w:val="es-CO"/>
        </w:rPr>
        <w:t xml:space="preserve">12 de febrero de 1949; que prestó sus servicios al Departamento de Boyacá, Senado de la República y Ministerio de Minas y Energía, así como laboró para el Banco de Comercio S.A., Seguros Condor S.A. y Arrienda fácil Ltda.; </w:t>
      </w:r>
      <w:r w:rsidR="005E05CC" w:rsidRPr="00842145">
        <w:rPr>
          <w:rFonts w:ascii="Tahoma" w:hAnsi="Tahoma" w:cs="Tahoma"/>
          <w:sz w:val="24"/>
          <w:szCs w:val="24"/>
          <w:lang w:val="es-CO"/>
        </w:rPr>
        <w:t xml:space="preserve">que </w:t>
      </w:r>
      <w:r w:rsidR="0033347B" w:rsidRPr="00842145">
        <w:rPr>
          <w:rFonts w:ascii="Tahoma" w:hAnsi="Tahoma" w:cs="Tahoma"/>
          <w:sz w:val="24"/>
          <w:szCs w:val="24"/>
          <w:lang w:val="es-CO"/>
        </w:rPr>
        <w:t>el 03 de febrero de 2016 solicitó por primera vez la pensión de vejez ante Colpensiones, misma que le fue negada mediante Resolución GNR 140551 del 12 de mayo de 2016 y; que el 22 de enero de 2018 reiteró la solicitud de reconocimiento pensional, siéndole nuevamente negada, esta vez mediante resolución SUB 185558 del 16 de julio de 2019.</w:t>
      </w:r>
    </w:p>
    <w:p w14:paraId="720C4F0B" w14:textId="5D414A36" w:rsidR="0033347B" w:rsidRPr="00842145" w:rsidRDefault="0033347B" w:rsidP="00842145">
      <w:pPr>
        <w:pStyle w:val="Sinespaciado"/>
        <w:spacing w:line="276" w:lineRule="auto"/>
        <w:rPr>
          <w:rFonts w:ascii="Tahoma" w:hAnsi="Tahoma" w:cs="Tahoma"/>
        </w:rPr>
      </w:pPr>
    </w:p>
    <w:p w14:paraId="2CC8E524" w14:textId="707DC2F3" w:rsidR="0033347B" w:rsidRPr="00842145" w:rsidRDefault="0033347B" w:rsidP="00842145">
      <w:pPr>
        <w:spacing w:line="276" w:lineRule="auto"/>
        <w:ind w:firstLine="708"/>
        <w:rPr>
          <w:rFonts w:ascii="Tahoma" w:hAnsi="Tahoma" w:cs="Tahoma"/>
          <w:sz w:val="24"/>
          <w:szCs w:val="24"/>
          <w:lang w:val="es-CO"/>
        </w:rPr>
      </w:pPr>
      <w:r w:rsidRPr="00842145">
        <w:rPr>
          <w:rFonts w:ascii="Tahoma" w:hAnsi="Tahoma" w:cs="Tahoma"/>
          <w:sz w:val="24"/>
          <w:szCs w:val="24"/>
          <w:lang w:val="es-CO"/>
        </w:rPr>
        <w:t xml:space="preserve">Agrega </w:t>
      </w:r>
      <w:r w:rsidR="00046EE6" w:rsidRPr="00842145">
        <w:rPr>
          <w:rFonts w:ascii="Tahoma" w:hAnsi="Tahoma" w:cs="Tahoma"/>
          <w:sz w:val="24"/>
          <w:szCs w:val="24"/>
          <w:lang w:val="es-CO"/>
        </w:rPr>
        <w:t>que,</w:t>
      </w:r>
      <w:r w:rsidRPr="00842145">
        <w:rPr>
          <w:rFonts w:ascii="Tahoma" w:hAnsi="Tahoma" w:cs="Tahoma"/>
          <w:sz w:val="24"/>
          <w:szCs w:val="24"/>
          <w:lang w:val="es-CO"/>
        </w:rPr>
        <w:t xml:space="preserve"> al decidir las solicitudes pensionales, Colpensiones no tuvo en cuenta el tiempo laborado para el Banco de Comercio entre el 24 de abril de 1967 y el </w:t>
      </w:r>
      <w:r w:rsidR="00F50CA5" w:rsidRPr="00842145">
        <w:rPr>
          <w:rFonts w:ascii="Tahoma" w:hAnsi="Tahoma" w:cs="Tahoma"/>
          <w:sz w:val="24"/>
          <w:szCs w:val="24"/>
          <w:lang w:val="es-CO"/>
        </w:rPr>
        <w:t xml:space="preserve">30 de enero de 1972 para un total de 245 semanas y para Rincón Costeño entre el 14 de febrero de 2005 y el 30 de julio de 2005 equivalente a 23 semanas. </w:t>
      </w:r>
    </w:p>
    <w:p w14:paraId="4543DDDE" w14:textId="77777777" w:rsidR="0033347B" w:rsidRPr="00842145" w:rsidRDefault="0033347B" w:rsidP="00842145">
      <w:pPr>
        <w:pStyle w:val="Sinespaciado"/>
        <w:spacing w:line="276" w:lineRule="auto"/>
        <w:rPr>
          <w:rFonts w:ascii="Tahoma" w:hAnsi="Tahoma" w:cs="Tahoma"/>
        </w:rPr>
      </w:pPr>
    </w:p>
    <w:p w14:paraId="7D550047" w14:textId="7A3AAF30" w:rsidR="0044439D" w:rsidRPr="00842145" w:rsidRDefault="00C86915" w:rsidP="00842145">
      <w:pPr>
        <w:spacing w:line="276" w:lineRule="auto"/>
        <w:ind w:firstLine="708"/>
        <w:rPr>
          <w:rFonts w:ascii="Tahoma" w:hAnsi="Tahoma" w:cs="Tahoma"/>
          <w:sz w:val="24"/>
          <w:szCs w:val="24"/>
          <w:lang w:val="es-CO"/>
        </w:rPr>
      </w:pPr>
      <w:r w:rsidRPr="00842145">
        <w:rPr>
          <w:rFonts w:ascii="Tahoma" w:hAnsi="Tahoma" w:cs="Tahoma"/>
          <w:b/>
          <w:bCs/>
          <w:sz w:val="24"/>
          <w:szCs w:val="24"/>
          <w:lang w:val="es-CO"/>
        </w:rPr>
        <w:t xml:space="preserve"> </w:t>
      </w:r>
      <w:r w:rsidR="00135C9B" w:rsidRPr="00842145">
        <w:rPr>
          <w:rFonts w:ascii="Tahoma" w:hAnsi="Tahoma" w:cs="Tahoma"/>
          <w:sz w:val="24"/>
          <w:szCs w:val="24"/>
          <w:lang w:val="es-CO"/>
        </w:rPr>
        <w:t>La</w:t>
      </w:r>
      <w:r w:rsidR="00A80948" w:rsidRPr="00842145">
        <w:rPr>
          <w:rFonts w:ascii="Tahoma" w:hAnsi="Tahoma" w:cs="Tahoma"/>
          <w:b/>
          <w:bCs/>
          <w:sz w:val="24"/>
          <w:szCs w:val="24"/>
          <w:lang w:val="es-CO"/>
        </w:rPr>
        <w:t xml:space="preserve"> </w:t>
      </w:r>
      <w:r w:rsidR="00A80948" w:rsidRPr="00842145">
        <w:rPr>
          <w:rFonts w:ascii="Tahoma" w:hAnsi="Tahoma" w:cs="Tahoma"/>
          <w:b/>
          <w:bCs/>
          <w:caps/>
          <w:sz w:val="24"/>
          <w:szCs w:val="24"/>
          <w:lang w:val="es-CO"/>
        </w:rPr>
        <w:t xml:space="preserve">Administradora Colombiana de Pensiones </w:t>
      </w:r>
      <w:r w:rsidR="00015883" w:rsidRPr="00842145">
        <w:rPr>
          <w:rFonts w:ascii="Tahoma" w:hAnsi="Tahoma" w:cs="Tahoma"/>
          <w:b/>
          <w:bCs/>
          <w:caps/>
          <w:sz w:val="24"/>
          <w:szCs w:val="24"/>
          <w:lang w:val="es-CO"/>
        </w:rPr>
        <w:t>–</w:t>
      </w:r>
      <w:r w:rsidR="00A80948" w:rsidRPr="00842145">
        <w:rPr>
          <w:rFonts w:ascii="Tahoma" w:hAnsi="Tahoma" w:cs="Tahoma"/>
          <w:b/>
          <w:bCs/>
          <w:caps/>
          <w:sz w:val="24"/>
          <w:szCs w:val="24"/>
          <w:lang w:val="es-CO"/>
        </w:rPr>
        <w:t xml:space="preserve"> Colpensiones</w:t>
      </w:r>
      <w:r w:rsidR="00015883" w:rsidRPr="00842145">
        <w:rPr>
          <w:rFonts w:ascii="Tahoma" w:hAnsi="Tahoma" w:cs="Tahoma"/>
          <w:b/>
          <w:bCs/>
          <w:caps/>
          <w:sz w:val="24"/>
          <w:szCs w:val="24"/>
          <w:lang w:val="es-CO"/>
        </w:rPr>
        <w:t>-</w:t>
      </w:r>
      <w:r w:rsidR="002F3161" w:rsidRPr="00842145">
        <w:rPr>
          <w:rFonts w:ascii="Tahoma" w:hAnsi="Tahoma" w:cs="Tahoma"/>
          <w:b/>
          <w:bCs/>
          <w:sz w:val="24"/>
          <w:szCs w:val="24"/>
          <w:lang w:val="es-CO"/>
        </w:rPr>
        <w:t xml:space="preserve"> </w:t>
      </w:r>
      <w:r w:rsidR="007D4D80" w:rsidRPr="00842145">
        <w:rPr>
          <w:rFonts w:ascii="Tahoma" w:hAnsi="Tahoma" w:cs="Tahoma"/>
          <w:sz w:val="24"/>
          <w:szCs w:val="24"/>
          <w:lang w:val="es-CO"/>
        </w:rPr>
        <w:t>se opuso a</w:t>
      </w:r>
      <w:r w:rsidR="00480419" w:rsidRPr="00842145">
        <w:rPr>
          <w:rFonts w:ascii="Tahoma" w:hAnsi="Tahoma" w:cs="Tahoma"/>
          <w:sz w:val="24"/>
          <w:szCs w:val="24"/>
          <w:lang w:val="es-CO"/>
        </w:rPr>
        <w:t>l triunfo</w:t>
      </w:r>
      <w:r w:rsidR="007D4D80" w:rsidRPr="00842145">
        <w:rPr>
          <w:rFonts w:ascii="Tahoma" w:hAnsi="Tahoma" w:cs="Tahoma"/>
          <w:sz w:val="24"/>
          <w:szCs w:val="24"/>
          <w:lang w:val="es-CO"/>
        </w:rPr>
        <w:t xml:space="preserve"> de las pretensiones </w:t>
      </w:r>
      <w:r w:rsidR="00633BB6" w:rsidRPr="00842145">
        <w:rPr>
          <w:rFonts w:ascii="Tahoma" w:hAnsi="Tahoma" w:cs="Tahoma"/>
          <w:sz w:val="24"/>
          <w:szCs w:val="24"/>
          <w:lang w:val="es-CO"/>
        </w:rPr>
        <w:t>aduciendo</w:t>
      </w:r>
      <w:r w:rsidR="00A15EC6" w:rsidRPr="00842145">
        <w:rPr>
          <w:rFonts w:ascii="Tahoma" w:hAnsi="Tahoma" w:cs="Tahoma"/>
          <w:sz w:val="24"/>
          <w:szCs w:val="24"/>
          <w:lang w:val="es-CO"/>
        </w:rPr>
        <w:t xml:space="preserve"> </w:t>
      </w:r>
      <w:r w:rsidR="00633BB6" w:rsidRPr="00842145">
        <w:rPr>
          <w:rFonts w:ascii="Tahoma" w:hAnsi="Tahoma" w:cs="Tahoma"/>
          <w:sz w:val="24"/>
          <w:szCs w:val="24"/>
          <w:lang w:val="es-CO"/>
        </w:rPr>
        <w:t xml:space="preserve">que </w:t>
      </w:r>
      <w:r w:rsidR="00563272" w:rsidRPr="00842145">
        <w:rPr>
          <w:rFonts w:ascii="Tahoma" w:hAnsi="Tahoma" w:cs="Tahoma"/>
          <w:sz w:val="24"/>
          <w:szCs w:val="24"/>
          <w:lang w:val="es-CO"/>
        </w:rPr>
        <w:t xml:space="preserve">el actor no reúne los requisitos para el reconocimiento de la pensión de vejez, toda vez que </w:t>
      </w:r>
      <w:r w:rsidR="00CA67F8" w:rsidRPr="00842145">
        <w:rPr>
          <w:rFonts w:ascii="Tahoma" w:hAnsi="Tahoma" w:cs="Tahoma"/>
          <w:sz w:val="24"/>
          <w:szCs w:val="24"/>
          <w:lang w:val="es-CO"/>
        </w:rPr>
        <w:t>perdió el régimen de transición</w:t>
      </w:r>
      <w:r w:rsidR="008F0DC7" w:rsidRPr="00842145">
        <w:rPr>
          <w:rFonts w:ascii="Tahoma" w:hAnsi="Tahoma" w:cs="Tahoma"/>
          <w:sz w:val="24"/>
          <w:szCs w:val="24"/>
          <w:lang w:val="es-CO"/>
        </w:rPr>
        <w:t xml:space="preserve"> al no alcanzar 750 semanas </w:t>
      </w:r>
      <w:r w:rsidR="00563272" w:rsidRPr="00842145">
        <w:rPr>
          <w:rFonts w:ascii="Tahoma" w:hAnsi="Tahoma" w:cs="Tahoma"/>
          <w:sz w:val="24"/>
          <w:szCs w:val="24"/>
          <w:lang w:val="es-CO"/>
        </w:rPr>
        <w:t>al 25 de julio de 2005 y como únicamente registra 712 semanas en toda su vida laboral, no causó el derecho bajo la ley 797 de 2003</w:t>
      </w:r>
      <w:r w:rsidR="008F0DC7" w:rsidRPr="00842145">
        <w:rPr>
          <w:rFonts w:ascii="Tahoma" w:hAnsi="Tahoma" w:cs="Tahoma"/>
          <w:sz w:val="24"/>
          <w:szCs w:val="24"/>
          <w:lang w:val="es-CO"/>
        </w:rPr>
        <w:t>.</w:t>
      </w:r>
      <w:r w:rsidR="00CA67F8" w:rsidRPr="00842145">
        <w:rPr>
          <w:rFonts w:ascii="Tahoma" w:hAnsi="Tahoma" w:cs="Tahoma"/>
          <w:sz w:val="24"/>
          <w:szCs w:val="24"/>
          <w:lang w:val="es-CO"/>
        </w:rPr>
        <w:t xml:space="preserve"> Así</w:t>
      </w:r>
      <w:r w:rsidR="00EB6C33" w:rsidRPr="00842145">
        <w:rPr>
          <w:rFonts w:ascii="Tahoma" w:hAnsi="Tahoma" w:cs="Tahoma"/>
          <w:sz w:val="24"/>
          <w:szCs w:val="24"/>
          <w:lang w:val="es-CO"/>
        </w:rPr>
        <w:t xml:space="preserve">, propuso como excepciones de mérito las </w:t>
      </w:r>
      <w:r w:rsidR="00015883" w:rsidRPr="00842145">
        <w:rPr>
          <w:rFonts w:ascii="Tahoma" w:hAnsi="Tahoma" w:cs="Tahoma"/>
          <w:sz w:val="24"/>
          <w:szCs w:val="24"/>
          <w:lang w:val="es-CO"/>
        </w:rPr>
        <w:t>que denominó:</w:t>
      </w:r>
      <w:r w:rsidR="00277B69" w:rsidRPr="00842145">
        <w:rPr>
          <w:rFonts w:ascii="Tahoma" w:hAnsi="Tahoma" w:cs="Tahoma"/>
          <w:sz w:val="24"/>
          <w:szCs w:val="24"/>
          <w:lang w:val="es-CO"/>
        </w:rPr>
        <w:t xml:space="preserve"> </w:t>
      </w:r>
      <w:r w:rsidR="00CE0D4F" w:rsidRPr="00842145">
        <w:rPr>
          <w:rFonts w:ascii="Tahoma" w:hAnsi="Tahoma" w:cs="Tahoma"/>
          <w:sz w:val="24"/>
          <w:szCs w:val="24"/>
          <w:lang w:val="es-CO"/>
        </w:rPr>
        <w:t>“</w:t>
      </w:r>
      <w:r w:rsidR="00015883" w:rsidRPr="00842145">
        <w:rPr>
          <w:rFonts w:ascii="Tahoma" w:hAnsi="Tahoma" w:cs="Tahoma"/>
          <w:sz w:val="24"/>
          <w:szCs w:val="24"/>
          <w:lang w:val="es-CO"/>
        </w:rPr>
        <w:t>i</w:t>
      </w:r>
      <w:r w:rsidR="0049510F" w:rsidRPr="00842145">
        <w:rPr>
          <w:rFonts w:ascii="Tahoma" w:hAnsi="Tahoma" w:cs="Tahoma"/>
          <w:sz w:val="24"/>
          <w:szCs w:val="24"/>
          <w:lang w:val="es-CO"/>
        </w:rPr>
        <w:t xml:space="preserve">nexistencia de </w:t>
      </w:r>
      <w:r w:rsidR="00BC28CC" w:rsidRPr="00842145">
        <w:rPr>
          <w:rFonts w:ascii="Tahoma" w:hAnsi="Tahoma" w:cs="Tahoma"/>
          <w:sz w:val="24"/>
          <w:szCs w:val="24"/>
          <w:lang w:val="es-CO"/>
        </w:rPr>
        <w:t>la obligación demandada</w:t>
      </w:r>
      <w:r w:rsidR="00DD1D92" w:rsidRPr="00842145">
        <w:rPr>
          <w:rFonts w:ascii="Tahoma" w:hAnsi="Tahoma" w:cs="Tahoma"/>
          <w:sz w:val="24"/>
          <w:szCs w:val="24"/>
          <w:lang w:val="es-CO"/>
        </w:rPr>
        <w:t>”</w:t>
      </w:r>
      <w:r w:rsidR="0049510F" w:rsidRPr="00842145">
        <w:rPr>
          <w:rFonts w:ascii="Tahoma" w:hAnsi="Tahoma" w:cs="Tahoma"/>
          <w:sz w:val="24"/>
          <w:szCs w:val="24"/>
          <w:lang w:val="es-CO"/>
        </w:rPr>
        <w:t>;</w:t>
      </w:r>
      <w:r w:rsidR="00CA67F8" w:rsidRPr="00842145">
        <w:rPr>
          <w:rFonts w:ascii="Tahoma" w:hAnsi="Tahoma" w:cs="Tahoma"/>
          <w:sz w:val="24"/>
          <w:szCs w:val="24"/>
          <w:lang w:val="es-CO"/>
        </w:rPr>
        <w:t xml:space="preserve"> “cobro de lo no debido</w:t>
      </w:r>
      <w:r w:rsidR="00C63B81" w:rsidRPr="00842145">
        <w:rPr>
          <w:rFonts w:ascii="Tahoma" w:hAnsi="Tahoma" w:cs="Tahoma"/>
          <w:sz w:val="24"/>
          <w:szCs w:val="24"/>
          <w:lang w:val="es-CO"/>
        </w:rPr>
        <w:t>- intereses moratorios</w:t>
      </w:r>
      <w:r w:rsidR="00924AA7" w:rsidRPr="00842145">
        <w:rPr>
          <w:rFonts w:ascii="Tahoma" w:hAnsi="Tahoma" w:cs="Tahoma"/>
          <w:sz w:val="24"/>
          <w:szCs w:val="24"/>
          <w:lang w:val="es-CO"/>
        </w:rPr>
        <w:t>”; “</w:t>
      </w:r>
      <w:r w:rsidR="00015883" w:rsidRPr="00842145">
        <w:rPr>
          <w:rFonts w:ascii="Tahoma" w:hAnsi="Tahoma" w:cs="Tahoma"/>
          <w:sz w:val="24"/>
          <w:szCs w:val="24"/>
          <w:lang w:val="es-CO"/>
        </w:rPr>
        <w:t>p</w:t>
      </w:r>
      <w:r w:rsidR="00277B69" w:rsidRPr="00842145">
        <w:rPr>
          <w:rFonts w:ascii="Tahoma" w:hAnsi="Tahoma" w:cs="Tahoma"/>
          <w:sz w:val="24"/>
          <w:szCs w:val="24"/>
          <w:lang w:val="es-CO"/>
        </w:rPr>
        <w:t>rescripción</w:t>
      </w:r>
      <w:r w:rsidR="0049510F" w:rsidRPr="00842145">
        <w:rPr>
          <w:rFonts w:ascii="Tahoma" w:hAnsi="Tahoma" w:cs="Tahoma"/>
          <w:sz w:val="24"/>
          <w:szCs w:val="24"/>
          <w:lang w:val="es-CO"/>
        </w:rPr>
        <w:t>”</w:t>
      </w:r>
      <w:r w:rsidR="00CA67F8" w:rsidRPr="00842145">
        <w:rPr>
          <w:rFonts w:ascii="Tahoma" w:hAnsi="Tahoma" w:cs="Tahoma"/>
          <w:sz w:val="24"/>
          <w:szCs w:val="24"/>
          <w:lang w:val="es-CO"/>
        </w:rPr>
        <w:t>;</w:t>
      </w:r>
      <w:r w:rsidR="00BC28CC" w:rsidRPr="00842145">
        <w:rPr>
          <w:rFonts w:ascii="Tahoma" w:hAnsi="Tahoma" w:cs="Tahoma"/>
          <w:sz w:val="24"/>
          <w:szCs w:val="24"/>
          <w:lang w:val="es-CO"/>
        </w:rPr>
        <w:t xml:space="preserve"> </w:t>
      </w:r>
      <w:r w:rsidR="0049510F" w:rsidRPr="00842145">
        <w:rPr>
          <w:rFonts w:ascii="Tahoma" w:hAnsi="Tahoma" w:cs="Tahoma"/>
          <w:sz w:val="24"/>
          <w:szCs w:val="24"/>
          <w:lang w:val="es-CO"/>
        </w:rPr>
        <w:t>“</w:t>
      </w:r>
      <w:r w:rsidR="00015883" w:rsidRPr="00842145">
        <w:rPr>
          <w:rFonts w:ascii="Tahoma" w:hAnsi="Tahoma" w:cs="Tahoma"/>
          <w:sz w:val="24"/>
          <w:szCs w:val="24"/>
          <w:lang w:val="es-CO"/>
        </w:rPr>
        <w:t>b</w:t>
      </w:r>
      <w:r w:rsidR="0049510F" w:rsidRPr="00842145">
        <w:rPr>
          <w:rFonts w:ascii="Tahoma" w:hAnsi="Tahoma" w:cs="Tahoma"/>
          <w:sz w:val="24"/>
          <w:szCs w:val="24"/>
          <w:lang w:val="es-CO"/>
        </w:rPr>
        <w:t>uena fe”</w:t>
      </w:r>
      <w:r w:rsidR="00563272" w:rsidRPr="00842145">
        <w:rPr>
          <w:rFonts w:ascii="Tahoma" w:hAnsi="Tahoma" w:cs="Tahoma"/>
          <w:sz w:val="24"/>
          <w:szCs w:val="24"/>
          <w:lang w:val="es-CO"/>
        </w:rPr>
        <w:t xml:space="preserve"> y</w:t>
      </w:r>
      <w:r w:rsidR="00CA67F8" w:rsidRPr="00842145">
        <w:rPr>
          <w:rFonts w:ascii="Tahoma" w:hAnsi="Tahoma" w:cs="Tahoma"/>
          <w:sz w:val="24"/>
          <w:szCs w:val="24"/>
          <w:lang w:val="es-CO"/>
        </w:rPr>
        <w:t xml:space="preserve"> “</w:t>
      </w:r>
      <w:r w:rsidR="00563272" w:rsidRPr="00842145">
        <w:rPr>
          <w:rFonts w:ascii="Tahoma" w:hAnsi="Tahoma" w:cs="Tahoma"/>
          <w:sz w:val="24"/>
          <w:szCs w:val="24"/>
          <w:lang w:val="es-CO"/>
        </w:rPr>
        <w:t>declarables de oficio</w:t>
      </w:r>
      <w:r w:rsidR="00CA67F8" w:rsidRPr="00842145">
        <w:rPr>
          <w:rFonts w:ascii="Tahoma" w:hAnsi="Tahoma" w:cs="Tahoma"/>
          <w:sz w:val="24"/>
          <w:szCs w:val="24"/>
          <w:lang w:val="es-CO"/>
        </w:rPr>
        <w:t>”</w:t>
      </w:r>
      <w:r w:rsidR="00671522" w:rsidRPr="00842145">
        <w:rPr>
          <w:rFonts w:ascii="Tahoma" w:hAnsi="Tahoma" w:cs="Tahoma"/>
          <w:sz w:val="24"/>
          <w:szCs w:val="24"/>
          <w:lang w:val="es-CO"/>
        </w:rPr>
        <w:t>.</w:t>
      </w:r>
    </w:p>
    <w:p w14:paraId="42D4EDBE" w14:textId="7DB1589A" w:rsidR="000632FE" w:rsidRPr="00842145" w:rsidRDefault="000632FE" w:rsidP="00842145">
      <w:pPr>
        <w:pStyle w:val="Sinespaciado"/>
        <w:spacing w:line="276" w:lineRule="auto"/>
        <w:rPr>
          <w:rFonts w:ascii="Tahoma" w:hAnsi="Tahoma" w:cs="Tahoma"/>
        </w:rPr>
      </w:pPr>
    </w:p>
    <w:p w14:paraId="43548B80" w14:textId="091F143C" w:rsidR="00B7785E" w:rsidRPr="00842145" w:rsidRDefault="3C000679" w:rsidP="00842145">
      <w:pPr>
        <w:spacing w:line="276" w:lineRule="auto"/>
        <w:ind w:firstLine="708"/>
        <w:rPr>
          <w:rFonts w:ascii="Tahoma" w:hAnsi="Tahoma" w:cs="Tahoma"/>
          <w:sz w:val="24"/>
          <w:szCs w:val="24"/>
          <w:lang w:val="es-CO"/>
        </w:rPr>
      </w:pPr>
      <w:r w:rsidRPr="00842145">
        <w:rPr>
          <w:rFonts w:ascii="Tahoma" w:hAnsi="Tahoma" w:cs="Tahoma"/>
          <w:sz w:val="24"/>
          <w:szCs w:val="24"/>
          <w:lang w:val="es-CO"/>
        </w:rPr>
        <w:t>Una vez vinculado al proceso,</w:t>
      </w:r>
      <w:r w:rsidR="7614E4E3" w:rsidRPr="00842145">
        <w:rPr>
          <w:rFonts w:ascii="Tahoma" w:hAnsi="Tahoma" w:cs="Tahoma"/>
          <w:sz w:val="24"/>
          <w:szCs w:val="24"/>
          <w:lang w:val="es-CO"/>
        </w:rPr>
        <w:t xml:space="preserve"> el</w:t>
      </w:r>
      <w:r w:rsidRPr="00842145">
        <w:rPr>
          <w:rFonts w:ascii="Tahoma" w:hAnsi="Tahoma" w:cs="Tahoma"/>
          <w:sz w:val="24"/>
          <w:szCs w:val="24"/>
          <w:lang w:val="es-CO"/>
        </w:rPr>
        <w:t xml:space="preserve"> </w:t>
      </w:r>
      <w:r w:rsidR="7614E4E3" w:rsidRPr="00842145">
        <w:rPr>
          <w:rFonts w:ascii="Tahoma" w:hAnsi="Tahoma" w:cs="Tahoma"/>
          <w:b/>
          <w:bCs/>
          <w:sz w:val="24"/>
          <w:szCs w:val="24"/>
          <w:lang w:val="es-CO"/>
        </w:rPr>
        <w:t>BANCO DE BOGOTÁ S.A.</w:t>
      </w:r>
      <w:r w:rsidR="7614E4E3" w:rsidRPr="00842145">
        <w:rPr>
          <w:rFonts w:ascii="Tahoma" w:hAnsi="Tahoma" w:cs="Tahoma"/>
          <w:sz w:val="24"/>
          <w:szCs w:val="24"/>
          <w:lang w:val="es-CO"/>
        </w:rPr>
        <w:t xml:space="preserve">, si bien no se pronunció sobre las pretensiones de la demanda, al estar dirigidas exclusivamente en </w:t>
      </w:r>
      <w:r w:rsidR="7614E4E3" w:rsidRPr="00842145">
        <w:rPr>
          <w:rFonts w:ascii="Tahoma" w:hAnsi="Tahoma" w:cs="Tahoma"/>
          <w:sz w:val="24"/>
          <w:szCs w:val="24"/>
          <w:lang w:val="es-CO"/>
        </w:rPr>
        <w:lastRenderedPageBreak/>
        <w:t xml:space="preserve">contra de Colpensiones, atendiendo que fue integrado al proceso frente al eventual pago del cálculo actuarial por los aportes no registrados en favor del señor Jorge Suárez Valero desde el 24 de abril de 1967 al 30 de enero de 1972, se opuso a que </w:t>
      </w:r>
      <w:r w:rsidR="1FFF5F62" w:rsidRPr="00842145">
        <w:rPr>
          <w:rFonts w:ascii="Tahoma" w:hAnsi="Tahoma" w:cs="Tahoma"/>
          <w:sz w:val="24"/>
          <w:szCs w:val="24"/>
          <w:lang w:val="es-CO"/>
        </w:rPr>
        <w:t>se le condene a pagar el título pensional a través de cálculo actuarial que convalide los aportes eventualmente dejados de pagar por el Banco de Comercio S.A.</w:t>
      </w:r>
      <w:r w:rsidR="7614E4E3" w:rsidRPr="00842145">
        <w:rPr>
          <w:rFonts w:ascii="Tahoma" w:hAnsi="Tahoma" w:cs="Tahoma"/>
          <w:sz w:val="24"/>
          <w:szCs w:val="24"/>
          <w:lang w:val="es-CO"/>
        </w:rPr>
        <w:t xml:space="preserve">, </w:t>
      </w:r>
      <w:r w:rsidR="1FFF5F62" w:rsidRPr="00842145">
        <w:rPr>
          <w:rFonts w:ascii="Tahoma" w:hAnsi="Tahoma" w:cs="Tahoma"/>
          <w:sz w:val="24"/>
          <w:szCs w:val="24"/>
          <w:lang w:val="es-CO"/>
        </w:rPr>
        <w:t>bajo el argumento de que</w:t>
      </w:r>
      <w:r w:rsidR="7614E4E3" w:rsidRPr="00842145">
        <w:rPr>
          <w:rFonts w:ascii="Tahoma" w:hAnsi="Tahoma" w:cs="Tahoma"/>
          <w:sz w:val="24"/>
          <w:szCs w:val="24"/>
          <w:lang w:val="es-CO"/>
        </w:rPr>
        <w:t xml:space="preserve"> el actor alcanzó la mayoría de edad el 12 de febrero de 1971, por lo que antes de esta fecha no existe información en Colpensiones sobre inscripción por parte de un presunto empleador ni sobre pago de aportes pensionales en su favor bajo el número de cédula de ciudadanía</w:t>
      </w:r>
      <w:r w:rsidR="1FFF5F62" w:rsidRPr="00842145">
        <w:rPr>
          <w:rFonts w:ascii="Tahoma" w:hAnsi="Tahoma" w:cs="Tahoma"/>
          <w:sz w:val="24"/>
          <w:szCs w:val="24"/>
          <w:lang w:val="es-CO"/>
        </w:rPr>
        <w:t xml:space="preserve"> y, por ende, </w:t>
      </w:r>
      <w:r w:rsidR="7614E4E3" w:rsidRPr="00842145">
        <w:rPr>
          <w:rFonts w:ascii="Tahoma" w:hAnsi="Tahoma" w:cs="Tahoma"/>
          <w:sz w:val="24"/>
          <w:szCs w:val="24"/>
          <w:lang w:val="es-CO"/>
        </w:rPr>
        <w:t xml:space="preserve">de existir alguna información sobre el particular en el archivo de Colpensiones debe figurar bajo el número de la tarjeta de identidad correspondiente, por lo que no se puede afirmar como una verdad procesal que </w:t>
      </w:r>
      <w:r w:rsidR="12F7EA33" w:rsidRPr="00842145">
        <w:rPr>
          <w:rFonts w:ascii="Tahoma" w:hAnsi="Tahoma" w:cs="Tahoma"/>
          <w:sz w:val="24"/>
          <w:szCs w:val="24"/>
          <w:lang w:val="es-CO"/>
        </w:rPr>
        <w:t xml:space="preserve">el </w:t>
      </w:r>
      <w:r w:rsidR="7614E4E3" w:rsidRPr="00842145">
        <w:rPr>
          <w:rFonts w:ascii="Tahoma" w:hAnsi="Tahoma" w:cs="Tahoma"/>
          <w:sz w:val="24"/>
          <w:szCs w:val="24"/>
          <w:lang w:val="es-CO"/>
        </w:rPr>
        <w:t>Banco de Comercio hubiera omitido la inscripción o que hubiera omitido el pago de aportes pensionales en favor del señor Suárez, como su empleado menor de edad</w:t>
      </w:r>
      <w:r w:rsidR="1FFF5F62" w:rsidRPr="00842145">
        <w:rPr>
          <w:rFonts w:ascii="Tahoma" w:hAnsi="Tahoma" w:cs="Tahoma"/>
          <w:sz w:val="24"/>
          <w:szCs w:val="24"/>
          <w:lang w:val="es-CO"/>
        </w:rPr>
        <w:t>.</w:t>
      </w:r>
    </w:p>
    <w:p w14:paraId="0D2D0993" w14:textId="13D5098C" w:rsidR="00EF3E28" w:rsidRPr="00842145" w:rsidRDefault="00EF3E28" w:rsidP="00842145">
      <w:pPr>
        <w:pStyle w:val="Sinespaciado"/>
        <w:spacing w:line="276" w:lineRule="auto"/>
        <w:rPr>
          <w:rFonts w:ascii="Tahoma" w:hAnsi="Tahoma" w:cs="Tahoma"/>
        </w:rPr>
      </w:pPr>
    </w:p>
    <w:p w14:paraId="573B782E" w14:textId="17A472B7" w:rsidR="00EF3E28" w:rsidRPr="00842145" w:rsidRDefault="00EF3E28" w:rsidP="00842145">
      <w:pPr>
        <w:spacing w:line="276" w:lineRule="auto"/>
        <w:ind w:firstLine="708"/>
        <w:rPr>
          <w:rFonts w:ascii="Tahoma" w:hAnsi="Tahoma" w:cs="Tahoma"/>
          <w:sz w:val="24"/>
          <w:szCs w:val="24"/>
          <w:lang w:val="es-CO"/>
        </w:rPr>
      </w:pPr>
      <w:r w:rsidRPr="00842145">
        <w:rPr>
          <w:rFonts w:ascii="Tahoma" w:hAnsi="Tahoma" w:cs="Tahoma"/>
          <w:sz w:val="24"/>
          <w:szCs w:val="24"/>
          <w:lang w:val="es-CO"/>
        </w:rPr>
        <w:t>Agregó que, e</w:t>
      </w:r>
      <w:r w:rsidR="00B7785E" w:rsidRPr="00842145">
        <w:rPr>
          <w:rFonts w:ascii="Tahoma" w:hAnsi="Tahoma" w:cs="Tahoma"/>
          <w:sz w:val="24"/>
          <w:szCs w:val="24"/>
          <w:lang w:val="es-CO"/>
        </w:rPr>
        <w:t>ntre el señor Suárez y el Banco de Bogotá S.A. nunca se llegó a celebrar ninguna clase de contrato</w:t>
      </w:r>
      <w:r w:rsidRPr="00842145">
        <w:rPr>
          <w:rFonts w:ascii="Tahoma" w:hAnsi="Tahoma" w:cs="Tahoma"/>
          <w:sz w:val="24"/>
          <w:szCs w:val="24"/>
          <w:lang w:val="es-CO"/>
        </w:rPr>
        <w:t xml:space="preserve"> ni tampoco </w:t>
      </w:r>
      <w:r w:rsidR="00B7785E" w:rsidRPr="00842145">
        <w:rPr>
          <w:rFonts w:ascii="Tahoma" w:hAnsi="Tahoma" w:cs="Tahoma"/>
          <w:sz w:val="24"/>
          <w:szCs w:val="24"/>
          <w:lang w:val="es-CO"/>
        </w:rPr>
        <w:t>existió sustitución patronal</w:t>
      </w:r>
      <w:r w:rsidRPr="00842145">
        <w:rPr>
          <w:rFonts w:ascii="Tahoma" w:hAnsi="Tahoma" w:cs="Tahoma"/>
          <w:sz w:val="24"/>
          <w:szCs w:val="24"/>
          <w:lang w:val="es-CO"/>
        </w:rPr>
        <w:t xml:space="preserve">, desconociéndose </w:t>
      </w:r>
      <w:r w:rsidR="00B7785E" w:rsidRPr="00842145">
        <w:rPr>
          <w:rFonts w:ascii="Tahoma" w:hAnsi="Tahoma" w:cs="Tahoma"/>
          <w:sz w:val="24"/>
          <w:szCs w:val="24"/>
          <w:lang w:val="es-CO"/>
        </w:rPr>
        <w:t xml:space="preserve">qué clase de contrato se celebró entre el </w:t>
      </w:r>
      <w:r w:rsidRPr="00842145">
        <w:rPr>
          <w:rFonts w:ascii="Tahoma" w:hAnsi="Tahoma" w:cs="Tahoma"/>
          <w:sz w:val="24"/>
          <w:szCs w:val="24"/>
          <w:lang w:val="es-CO"/>
        </w:rPr>
        <w:t>demandante</w:t>
      </w:r>
      <w:r w:rsidR="00B7785E" w:rsidRPr="00842145">
        <w:rPr>
          <w:rFonts w:ascii="Tahoma" w:hAnsi="Tahoma" w:cs="Tahoma"/>
          <w:sz w:val="24"/>
          <w:szCs w:val="24"/>
          <w:lang w:val="es-CO"/>
        </w:rPr>
        <w:t xml:space="preserve"> y Banco de Comercio por el período comprendido entre el 24 de abril de 1967 al 30 de enero de 1972,</w:t>
      </w:r>
      <w:r w:rsidRPr="00842145">
        <w:rPr>
          <w:rFonts w:ascii="Tahoma" w:hAnsi="Tahoma" w:cs="Tahoma"/>
          <w:sz w:val="24"/>
          <w:szCs w:val="24"/>
          <w:lang w:val="es-CO"/>
        </w:rPr>
        <w:t xml:space="preserve"> ni en </w:t>
      </w:r>
      <w:r w:rsidR="00B7785E" w:rsidRPr="00842145">
        <w:rPr>
          <w:rFonts w:ascii="Tahoma" w:hAnsi="Tahoma" w:cs="Tahoma"/>
          <w:sz w:val="24"/>
          <w:szCs w:val="24"/>
          <w:lang w:val="es-CO"/>
        </w:rPr>
        <w:t>qué sitio el señor Suárez pudo haber prestado esos servicios</w:t>
      </w:r>
      <w:r w:rsidRPr="00842145">
        <w:rPr>
          <w:rFonts w:ascii="Tahoma" w:hAnsi="Tahoma" w:cs="Tahoma"/>
          <w:sz w:val="24"/>
          <w:szCs w:val="24"/>
          <w:lang w:val="es-CO"/>
        </w:rPr>
        <w:t xml:space="preserve">, para determinar </w:t>
      </w:r>
      <w:r w:rsidR="00B7785E" w:rsidRPr="00842145">
        <w:rPr>
          <w:rFonts w:ascii="Tahoma" w:hAnsi="Tahoma" w:cs="Tahoma"/>
          <w:sz w:val="24"/>
          <w:szCs w:val="24"/>
          <w:lang w:val="es-CO"/>
        </w:rPr>
        <w:t>si para esa calenda el empleador estaba en la obligación o no de pagar aportes para pensión en su favor por falta de cobertura del ICSS en la región</w:t>
      </w:r>
      <w:r w:rsidRPr="00842145">
        <w:rPr>
          <w:rFonts w:ascii="Tahoma" w:hAnsi="Tahoma" w:cs="Tahoma"/>
          <w:sz w:val="24"/>
          <w:szCs w:val="24"/>
          <w:lang w:val="es-CO"/>
        </w:rPr>
        <w:t>.</w:t>
      </w:r>
    </w:p>
    <w:p w14:paraId="4E40E015" w14:textId="77777777" w:rsidR="00EF3E28" w:rsidRPr="00842145" w:rsidRDefault="00EF3E28" w:rsidP="00842145">
      <w:pPr>
        <w:pStyle w:val="Sinespaciado"/>
        <w:spacing w:line="276" w:lineRule="auto"/>
        <w:rPr>
          <w:rFonts w:ascii="Tahoma" w:hAnsi="Tahoma" w:cs="Tahoma"/>
        </w:rPr>
      </w:pPr>
    </w:p>
    <w:p w14:paraId="18F71892" w14:textId="4235A549" w:rsidR="000632FE" w:rsidRPr="00842145" w:rsidRDefault="000632FE" w:rsidP="00842145">
      <w:pPr>
        <w:spacing w:line="276" w:lineRule="auto"/>
        <w:ind w:firstLine="708"/>
        <w:rPr>
          <w:rFonts w:ascii="Tahoma" w:hAnsi="Tahoma" w:cs="Tahoma"/>
          <w:sz w:val="24"/>
          <w:szCs w:val="24"/>
          <w:lang w:val="es-CO"/>
        </w:rPr>
      </w:pPr>
      <w:r w:rsidRPr="00842145">
        <w:rPr>
          <w:rFonts w:ascii="Tahoma" w:hAnsi="Tahoma" w:cs="Tahoma"/>
          <w:sz w:val="24"/>
          <w:szCs w:val="24"/>
          <w:lang w:val="es-CO"/>
        </w:rPr>
        <w:t>En ese orden, propuso en su defensa las excepciones de mérito que denominó “</w:t>
      </w:r>
      <w:r w:rsidR="000B355B" w:rsidRPr="00842145">
        <w:rPr>
          <w:rFonts w:ascii="Tahoma" w:hAnsi="Tahoma" w:cs="Tahoma"/>
          <w:sz w:val="24"/>
          <w:szCs w:val="24"/>
          <w:lang w:val="es-CO"/>
        </w:rPr>
        <w:t>falta de causa para pedir</w:t>
      </w:r>
      <w:r w:rsidRPr="00842145">
        <w:rPr>
          <w:rFonts w:ascii="Tahoma" w:hAnsi="Tahoma" w:cs="Tahoma"/>
          <w:sz w:val="24"/>
          <w:szCs w:val="24"/>
          <w:lang w:val="es-CO"/>
        </w:rPr>
        <w:t>”; “</w:t>
      </w:r>
      <w:r w:rsidR="000B355B" w:rsidRPr="00842145">
        <w:rPr>
          <w:rFonts w:ascii="Tahoma" w:hAnsi="Tahoma" w:cs="Tahoma"/>
          <w:sz w:val="24"/>
          <w:szCs w:val="24"/>
          <w:lang w:val="es-CO"/>
        </w:rPr>
        <w:t>inexistencia de las obligaciones demandadas</w:t>
      </w:r>
      <w:r w:rsidRPr="00842145">
        <w:rPr>
          <w:rFonts w:ascii="Tahoma" w:hAnsi="Tahoma" w:cs="Tahoma"/>
          <w:sz w:val="24"/>
          <w:szCs w:val="24"/>
          <w:lang w:val="es-CO"/>
        </w:rPr>
        <w:t>”; “</w:t>
      </w:r>
      <w:r w:rsidR="000B355B" w:rsidRPr="00842145">
        <w:rPr>
          <w:rFonts w:ascii="Tahoma" w:hAnsi="Tahoma" w:cs="Tahoma"/>
          <w:sz w:val="24"/>
          <w:szCs w:val="24"/>
          <w:lang w:val="es-CO"/>
        </w:rPr>
        <w:t>responsabilidad exclusiva de la Administradora Colombiana de Pensiones Colpensiones</w:t>
      </w:r>
      <w:r w:rsidRPr="00842145">
        <w:rPr>
          <w:rFonts w:ascii="Tahoma" w:hAnsi="Tahoma" w:cs="Tahoma"/>
          <w:sz w:val="24"/>
          <w:szCs w:val="24"/>
          <w:lang w:val="es-CO"/>
        </w:rPr>
        <w:t>”</w:t>
      </w:r>
      <w:r w:rsidR="000B355B" w:rsidRPr="00842145">
        <w:rPr>
          <w:rFonts w:ascii="Tahoma" w:hAnsi="Tahoma" w:cs="Tahoma"/>
          <w:sz w:val="24"/>
          <w:szCs w:val="24"/>
          <w:lang w:val="es-CO"/>
        </w:rPr>
        <w:t>; “aplicación de la normatividad vigente al momento de la causación del pago de aportes pensionales”</w:t>
      </w:r>
      <w:r w:rsidRPr="00842145">
        <w:rPr>
          <w:rFonts w:ascii="Tahoma" w:hAnsi="Tahoma" w:cs="Tahoma"/>
          <w:sz w:val="24"/>
          <w:szCs w:val="24"/>
          <w:lang w:val="es-CO"/>
        </w:rPr>
        <w:t xml:space="preserve"> y “Prescripción”.</w:t>
      </w:r>
    </w:p>
    <w:p w14:paraId="0260F0C2" w14:textId="33DDC036" w:rsidR="6A84FD5B" w:rsidRPr="00842145" w:rsidRDefault="6A84FD5B" w:rsidP="00842145">
      <w:pPr>
        <w:pStyle w:val="Sinespaciado"/>
        <w:spacing w:line="276" w:lineRule="auto"/>
        <w:rPr>
          <w:rFonts w:ascii="Tahoma" w:hAnsi="Tahoma" w:cs="Tahoma"/>
        </w:rPr>
      </w:pPr>
    </w:p>
    <w:p w14:paraId="6E92720B" w14:textId="7389AAF0" w:rsidR="00A31306" w:rsidRPr="00842145" w:rsidRDefault="00A31306" w:rsidP="00842145">
      <w:pPr>
        <w:pStyle w:val="Prrafodelista"/>
        <w:numPr>
          <w:ilvl w:val="0"/>
          <w:numId w:val="2"/>
        </w:numPr>
        <w:spacing w:line="276" w:lineRule="auto"/>
        <w:jc w:val="center"/>
        <w:rPr>
          <w:rFonts w:ascii="Tahoma" w:hAnsi="Tahoma" w:cs="Tahoma"/>
          <w:b/>
          <w:lang w:val="es-CO"/>
        </w:rPr>
      </w:pPr>
      <w:r w:rsidRPr="00842145">
        <w:rPr>
          <w:rFonts w:ascii="Tahoma" w:hAnsi="Tahoma" w:cs="Tahoma"/>
          <w:b/>
          <w:lang w:val="es-CO"/>
        </w:rPr>
        <w:t>Sentencia de primera instancia</w:t>
      </w:r>
    </w:p>
    <w:p w14:paraId="032E0903" w14:textId="77777777" w:rsidR="005F4AA0" w:rsidRPr="00842145" w:rsidRDefault="005F4AA0" w:rsidP="00842145">
      <w:pPr>
        <w:pStyle w:val="Sinespaciado"/>
        <w:spacing w:line="276" w:lineRule="auto"/>
        <w:rPr>
          <w:rFonts w:ascii="Tahoma" w:hAnsi="Tahoma" w:cs="Tahoma"/>
        </w:rPr>
      </w:pPr>
    </w:p>
    <w:p w14:paraId="51959F39" w14:textId="125F8D55" w:rsidR="00D81973" w:rsidRPr="00842145" w:rsidRDefault="00742D6A" w:rsidP="00842145">
      <w:pPr>
        <w:spacing w:line="276" w:lineRule="auto"/>
        <w:rPr>
          <w:rFonts w:ascii="Tahoma" w:hAnsi="Tahoma" w:cs="Tahoma"/>
          <w:sz w:val="24"/>
          <w:szCs w:val="24"/>
        </w:rPr>
      </w:pPr>
      <w:r w:rsidRPr="00842145">
        <w:rPr>
          <w:rFonts w:ascii="Tahoma" w:hAnsi="Tahoma" w:cs="Tahoma"/>
          <w:sz w:val="24"/>
          <w:szCs w:val="24"/>
          <w:lang w:val="es-CO"/>
        </w:rPr>
        <w:t xml:space="preserve">La </w:t>
      </w:r>
      <w:r w:rsidRPr="00842145">
        <w:rPr>
          <w:rFonts w:ascii="Tahoma" w:hAnsi="Tahoma" w:cs="Tahoma"/>
          <w:i/>
          <w:sz w:val="24"/>
          <w:szCs w:val="24"/>
          <w:lang w:val="es-CO"/>
        </w:rPr>
        <w:t>a-quo</w:t>
      </w:r>
      <w:r w:rsidRPr="00842145">
        <w:rPr>
          <w:rFonts w:ascii="Tahoma" w:hAnsi="Tahoma" w:cs="Tahoma"/>
          <w:sz w:val="24"/>
          <w:szCs w:val="24"/>
          <w:lang w:val="es-CO"/>
        </w:rPr>
        <w:t xml:space="preserve"> declaró </w:t>
      </w:r>
      <w:r w:rsidR="00267BB5" w:rsidRPr="00842145">
        <w:rPr>
          <w:rFonts w:ascii="Tahoma" w:hAnsi="Tahoma" w:cs="Tahoma"/>
          <w:sz w:val="24"/>
          <w:szCs w:val="24"/>
        </w:rPr>
        <w:t xml:space="preserve">que </w:t>
      </w:r>
      <w:r w:rsidR="00A05485" w:rsidRPr="00842145">
        <w:rPr>
          <w:rFonts w:ascii="Tahoma" w:hAnsi="Tahoma" w:cs="Tahoma"/>
          <w:sz w:val="24"/>
          <w:szCs w:val="24"/>
        </w:rPr>
        <w:t>el Banco de Comercio omitió afiliar al demandante entre el 24 de abril de 1967 y el 30 de enero de 1972 y, por lo tanto, condenó al Banco de Bogotá, como entidad absorbente del Banco de Comercio, al pago de los aportes</w:t>
      </w:r>
      <w:r w:rsidR="00D81973" w:rsidRPr="00842145">
        <w:rPr>
          <w:rFonts w:ascii="Tahoma" w:hAnsi="Tahoma" w:cs="Tahoma"/>
          <w:sz w:val="24"/>
          <w:szCs w:val="24"/>
        </w:rPr>
        <w:t xml:space="preserve"> mediante cálculo actuarial. Concomitante a lo anterior, condenó a Colpensiones a que, una vez pagado el cálculo actuarial, incluya en la historia laboral las cotizaciones, al igual que corrija lo pertinente respecto a los aportes entre el 14 de febrero de 2005 y el 30 de julio de 2005 por parte del empleador Rincón Costeño.</w:t>
      </w:r>
    </w:p>
    <w:p w14:paraId="430989A3" w14:textId="77777777" w:rsidR="00D81973" w:rsidRPr="00842145" w:rsidRDefault="00D81973" w:rsidP="00842145">
      <w:pPr>
        <w:pStyle w:val="Sinespaciado"/>
        <w:spacing w:line="276" w:lineRule="auto"/>
        <w:rPr>
          <w:rFonts w:ascii="Tahoma" w:hAnsi="Tahoma" w:cs="Tahoma"/>
        </w:rPr>
      </w:pPr>
    </w:p>
    <w:p w14:paraId="5F393B93" w14:textId="462586F2" w:rsidR="00C62195" w:rsidRPr="00842145" w:rsidRDefault="00D81973" w:rsidP="00842145">
      <w:pPr>
        <w:spacing w:line="276" w:lineRule="auto"/>
        <w:rPr>
          <w:rFonts w:ascii="Tahoma" w:hAnsi="Tahoma" w:cs="Tahoma"/>
          <w:sz w:val="24"/>
          <w:szCs w:val="24"/>
        </w:rPr>
      </w:pPr>
      <w:r w:rsidRPr="00842145">
        <w:rPr>
          <w:rFonts w:ascii="Tahoma" w:hAnsi="Tahoma" w:cs="Tahoma"/>
          <w:sz w:val="24"/>
          <w:szCs w:val="24"/>
        </w:rPr>
        <w:t xml:space="preserve">Por otra parte, declaró </w:t>
      </w:r>
      <w:r w:rsidR="00267BB5" w:rsidRPr="00842145">
        <w:rPr>
          <w:rFonts w:ascii="Tahoma" w:hAnsi="Tahoma" w:cs="Tahoma"/>
          <w:sz w:val="24"/>
          <w:szCs w:val="24"/>
        </w:rPr>
        <w:t xml:space="preserve">que </w:t>
      </w:r>
      <w:r w:rsidR="00C62195" w:rsidRPr="00842145">
        <w:rPr>
          <w:rFonts w:ascii="Tahoma" w:hAnsi="Tahoma" w:cs="Tahoma"/>
          <w:sz w:val="24"/>
          <w:szCs w:val="24"/>
        </w:rPr>
        <w:t>a</w:t>
      </w:r>
      <w:r w:rsidR="00267BB5" w:rsidRPr="00842145">
        <w:rPr>
          <w:rFonts w:ascii="Tahoma" w:hAnsi="Tahoma" w:cs="Tahoma"/>
          <w:sz w:val="24"/>
          <w:szCs w:val="24"/>
        </w:rPr>
        <w:t xml:space="preserve">l señor </w:t>
      </w:r>
      <w:r w:rsidRPr="00842145">
        <w:rPr>
          <w:rFonts w:ascii="Tahoma" w:hAnsi="Tahoma" w:cs="Tahoma"/>
          <w:sz w:val="24"/>
          <w:szCs w:val="24"/>
        </w:rPr>
        <w:t>Suarez Valero</w:t>
      </w:r>
      <w:r w:rsidR="00C62195" w:rsidRPr="00842145">
        <w:rPr>
          <w:rFonts w:ascii="Tahoma" w:hAnsi="Tahoma" w:cs="Tahoma"/>
          <w:sz w:val="24"/>
          <w:szCs w:val="24"/>
        </w:rPr>
        <w:t>, como</w:t>
      </w:r>
      <w:r w:rsidR="00267BB5" w:rsidRPr="00842145">
        <w:rPr>
          <w:rFonts w:ascii="Tahoma" w:hAnsi="Tahoma" w:cs="Tahoma"/>
          <w:sz w:val="24"/>
          <w:szCs w:val="24"/>
        </w:rPr>
        <w:t xml:space="preserve"> beneficiario del régimen de</w:t>
      </w:r>
      <w:r w:rsidR="00C62195" w:rsidRPr="00842145">
        <w:rPr>
          <w:rFonts w:ascii="Tahoma" w:hAnsi="Tahoma" w:cs="Tahoma"/>
          <w:sz w:val="24"/>
          <w:szCs w:val="24"/>
        </w:rPr>
        <w:t xml:space="preserve"> </w:t>
      </w:r>
      <w:r w:rsidR="00267BB5" w:rsidRPr="00842145">
        <w:rPr>
          <w:rFonts w:ascii="Tahoma" w:hAnsi="Tahoma" w:cs="Tahoma"/>
          <w:sz w:val="24"/>
          <w:szCs w:val="24"/>
        </w:rPr>
        <w:t xml:space="preserve">transición contemplado en el artículo 36 de la Ley 100 de 1993, </w:t>
      </w:r>
      <w:r w:rsidRPr="00842145">
        <w:rPr>
          <w:rFonts w:ascii="Tahoma" w:hAnsi="Tahoma" w:cs="Tahoma"/>
          <w:sz w:val="24"/>
          <w:szCs w:val="24"/>
        </w:rPr>
        <w:t>tiene derecho al reconocimiento y pago de la pensión de vejez conforme a</w:t>
      </w:r>
      <w:r w:rsidR="00267BB5" w:rsidRPr="00842145">
        <w:rPr>
          <w:rFonts w:ascii="Tahoma" w:hAnsi="Tahoma" w:cs="Tahoma"/>
          <w:sz w:val="24"/>
          <w:szCs w:val="24"/>
        </w:rPr>
        <w:t>l</w:t>
      </w:r>
      <w:r w:rsidR="00C62195" w:rsidRPr="00842145">
        <w:rPr>
          <w:rFonts w:ascii="Tahoma" w:hAnsi="Tahoma" w:cs="Tahoma"/>
          <w:sz w:val="24"/>
          <w:szCs w:val="24"/>
        </w:rPr>
        <w:t xml:space="preserve"> </w:t>
      </w:r>
      <w:r w:rsidR="00267BB5" w:rsidRPr="00842145">
        <w:rPr>
          <w:rFonts w:ascii="Tahoma" w:hAnsi="Tahoma" w:cs="Tahoma"/>
          <w:sz w:val="24"/>
          <w:szCs w:val="24"/>
        </w:rPr>
        <w:t>Acuerdo 049 de 1990</w:t>
      </w:r>
      <w:r w:rsidRPr="00842145">
        <w:rPr>
          <w:rFonts w:ascii="Tahoma" w:hAnsi="Tahoma" w:cs="Tahoma"/>
          <w:sz w:val="24"/>
          <w:szCs w:val="24"/>
        </w:rPr>
        <w:t xml:space="preserve">. </w:t>
      </w:r>
      <w:r w:rsidR="00C62195" w:rsidRPr="00842145">
        <w:rPr>
          <w:rFonts w:ascii="Tahoma" w:hAnsi="Tahoma" w:cs="Tahoma"/>
          <w:sz w:val="24"/>
          <w:szCs w:val="24"/>
        </w:rPr>
        <w:t>De acuerdo a ello, condenó a la administradora pensional</w:t>
      </w:r>
      <w:r w:rsidRPr="00842145">
        <w:rPr>
          <w:rFonts w:ascii="Tahoma" w:hAnsi="Tahoma" w:cs="Tahoma"/>
          <w:sz w:val="24"/>
          <w:szCs w:val="24"/>
        </w:rPr>
        <w:t xml:space="preserve">, una vez recibido el pago del cálculo actuarial, </w:t>
      </w:r>
      <w:r w:rsidR="00C62195" w:rsidRPr="00842145">
        <w:rPr>
          <w:rFonts w:ascii="Tahoma" w:hAnsi="Tahoma" w:cs="Tahoma"/>
          <w:sz w:val="24"/>
          <w:szCs w:val="24"/>
        </w:rPr>
        <w:t xml:space="preserve">a </w:t>
      </w:r>
      <w:r w:rsidR="00267BB5" w:rsidRPr="00842145">
        <w:rPr>
          <w:rFonts w:ascii="Tahoma" w:hAnsi="Tahoma" w:cs="Tahoma"/>
          <w:sz w:val="24"/>
          <w:szCs w:val="24"/>
        </w:rPr>
        <w:t xml:space="preserve">pagar </w:t>
      </w:r>
      <w:r w:rsidR="00C62195" w:rsidRPr="00842145">
        <w:rPr>
          <w:rFonts w:ascii="Tahoma" w:hAnsi="Tahoma" w:cs="Tahoma"/>
          <w:sz w:val="24"/>
          <w:szCs w:val="24"/>
        </w:rPr>
        <w:t xml:space="preserve">en </w:t>
      </w:r>
      <w:r w:rsidRPr="00842145">
        <w:rPr>
          <w:rFonts w:ascii="Tahoma" w:hAnsi="Tahoma" w:cs="Tahoma"/>
          <w:sz w:val="24"/>
          <w:szCs w:val="24"/>
        </w:rPr>
        <w:t xml:space="preserve">su </w:t>
      </w:r>
      <w:r w:rsidR="00267BB5" w:rsidRPr="00842145">
        <w:rPr>
          <w:rFonts w:ascii="Tahoma" w:hAnsi="Tahoma" w:cs="Tahoma"/>
          <w:sz w:val="24"/>
          <w:szCs w:val="24"/>
        </w:rPr>
        <w:t xml:space="preserve">favor del </w:t>
      </w:r>
      <w:r w:rsidR="00C62195" w:rsidRPr="00842145">
        <w:rPr>
          <w:rFonts w:ascii="Tahoma" w:hAnsi="Tahoma" w:cs="Tahoma"/>
          <w:sz w:val="24"/>
          <w:szCs w:val="24"/>
        </w:rPr>
        <w:t>demandante</w:t>
      </w:r>
      <w:r w:rsidR="00267BB5" w:rsidRPr="00842145">
        <w:rPr>
          <w:rFonts w:ascii="Tahoma" w:hAnsi="Tahoma" w:cs="Tahoma"/>
          <w:sz w:val="24"/>
          <w:szCs w:val="24"/>
        </w:rPr>
        <w:t xml:space="preserve"> la </w:t>
      </w:r>
      <w:r w:rsidR="00C62195" w:rsidRPr="00842145">
        <w:rPr>
          <w:rFonts w:ascii="Tahoma" w:hAnsi="Tahoma" w:cs="Tahoma"/>
          <w:sz w:val="24"/>
          <w:szCs w:val="24"/>
        </w:rPr>
        <w:t>pensión de vejez</w:t>
      </w:r>
      <w:r w:rsidRPr="00842145">
        <w:rPr>
          <w:rFonts w:ascii="Tahoma" w:hAnsi="Tahoma" w:cs="Tahoma"/>
          <w:sz w:val="24"/>
          <w:szCs w:val="24"/>
        </w:rPr>
        <w:t>, teniendo en cuenta una mesada pensional de $524.834 para el 2009.</w:t>
      </w:r>
    </w:p>
    <w:p w14:paraId="28B6D4BF" w14:textId="1D3AC795" w:rsidR="00D81973" w:rsidRPr="00842145" w:rsidRDefault="00D81973" w:rsidP="00842145">
      <w:pPr>
        <w:pStyle w:val="Sinespaciado"/>
        <w:spacing w:line="276" w:lineRule="auto"/>
        <w:rPr>
          <w:rFonts w:ascii="Tahoma" w:hAnsi="Tahoma" w:cs="Tahoma"/>
        </w:rPr>
      </w:pPr>
    </w:p>
    <w:p w14:paraId="3CC8A74A" w14:textId="107C7A18" w:rsidR="00D81973" w:rsidRPr="00842145" w:rsidRDefault="00D81973" w:rsidP="00842145">
      <w:pPr>
        <w:spacing w:line="276" w:lineRule="auto"/>
        <w:rPr>
          <w:rFonts w:ascii="Tahoma" w:hAnsi="Tahoma" w:cs="Tahoma"/>
          <w:sz w:val="24"/>
          <w:szCs w:val="24"/>
        </w:rPr>
      </w:pPr>
      <w:r w:rsidRPr="00842145">
        <w:rPr>
          <w:rFonts w:ascii="Tahoma" w:hAnsi="Tahoma" w:cs="Tahoma"/>
          <w:sz w:val="24"/>
          <w:szCs w:val="24"/>
        </w:rPr>
        <w:lastRenderedPageBreak/>
        <w:t xml:space="preserve">No obstante, al declarar probada parcialmente la excepción de prescripción, ordenó el reconocimiento del retroactivo pensional a partir del 17 de enero de 2017, debidamente indexado, del cual, debe ser descontado, igualmente indexada, la suma pagada por concepto de indemnización sustitutiva. </w:t>
      </w:r>
    </w:p>
    <w:p w14:paraId="2E136748" w14:textId="77777777" w:rsidR="00C62195" w:rsidRPr="00842145" w:rsidRDefault="00C62195" w:rsidP="00842145">
      <w:pPr>
        <w:pStyle w:val="Sinespaciado"/>
        <w:spacing w:line="276" w:lineRule="auto"/>
        <w:rPr>
          <w:rFonts w:ascii="Tahoma" w:hAnsi="Tahoma" w:cs="Tahoma"/>
        </w:rPr>
      </w:pPr>
    </w:p>
    <w:p w14:paraId="425CB598" w14:textId="77777777" w:rsidR="00F52A16" w:rsidRPr="00842145" w:rsidRDefault="008F5EB9" w:rsidP="00842145">
      <w:pPr>
        <w:spacing w:line="276" w:lineRule="auto"/>
        <w:rPr>
          <w:rFonts w:ascii="Tahoma" w:hAnsi="Tahoma" w:cs="Tahoma"/>
          <w:sz w:val="24"/>
          <w:szCs w:val="24"/>
        </w:rPr>
      </w:pPr>
      <w:r w:rsidRPr="00842145">
        <w:rPr>
          <w:rFonts w:ascii="Tahoma" w:hAnsi="Tahoma" w:cs="Tahoma"/>
          <w:sz w:val="24"/>
          <w:szCs w:val="24"/>
        </w:rPr>
        <w:t xml:space="preserve">Para arribar a tal determinación, </w:t>
      </w:r>
      <w:r w:rsidR="00A12A04" w:rsidRPr="00842145">
        <w:rPr>
          <w:rFonts w:ascii="Tahoma" w:hAnsi="Tahoma" w:cs="Tahoma"/>
          <w:sz w:val="24"/>
          <w:szCs w:val="24"/>
        </w:rPr>
        <w:t xml:space="preserve">efectuó un recuento de la jurisprudencia emanada de la Corte Suprema de Justicia, respecto a </w:t>
      </w:r>
      <w:r w:rsidR="4F02D281" w:rsidRPr="00842145">
        <w:rPr>
          <w:rFonts w:ascii="Tahoma" w:hAnsi="Tahoma" w:cs="Tahoma"/>
          <w:sz w:val="24"/>
          <w:szCs w:val="24"/>
        </w:rPr>
        <w:t xml:space="preserve">las </w:t>
      </w:r>
      <w:r w:rsidR="00A12A04" w:rsidRPr="00842145">
        <w:rPr>
          <w:rFonts w:ascii="Tahoma" w:hAnsi="Tahoma" w:cs="Tahoma"/>
          <w:sz w:val="24"/>
          <w:szCs w:val="24"/>
        </w:rPr>
        <w:t xml:space="preserve">inconsistencias presentadas en la historia laboral y sobre las diferencias de falta de afiliación y mora patronal, para así, con apoyo en la prueba documental, </w:t>
      </w:r>
      <w:r w:rsidR="009A1839" w:rsidRPr="00842145">
        <w:rPr>
          <w:rFonts w:ascii="Tahoma" w:hAnsi="Tahoma" w:cs="Tahoma"/>
          <w:sz w:val="24"/>
          <w:szCs w:val="24"/>
        </w:rPr>
        <w:t>encontrar acreditad</w:t>
      </w:r>
      <w:r w:rsidR="005E2EF2" w:rsidRPr="00842145">
        <w:rPr>
          <w:rFonts w:ascii="Tahoma" w:hAnsi="Tahoma" w:cs="Tahoma"/>
          <w:sz w:val="24"/>
          <w:szCs w:val="24"/>
        </w:rPr>
        <w:t>o</w:t>
      </w:r>
      <w:r w:rsidR="00F52A16" w:rsidRPr="00842145">
        <w:rPr>
          <w:rFonts w:ascii="Tahoma" w:hAnsi="Tahoma" w:cs="Tahoma"/>
          <w:sz w:val="24"/>
          <w:szCs w:val="24"/>
        </w:rPr>
        <w:t xml:space="preserve"> la relación laboral del demandante con Rincón Costeño por 24 semanas, pese a que en la historia laboral actualizada al 26 de agosto de 2019, se cuente con la anotación de no tener relación laboral para ese pago, razón por la cual debe ser agregadas a las 732 semanas cotizadas y tiempos públicos servidos.</w:t>
      </w:r>
    </w:p>
    <w:p w14:paraId="57EFEF84" w14:textId="77777777" w:rsidR="00F52A16" w:rsidRPr="00842145" w:rsidRDefault="00F52A16" w:rsidP="00842145">
      <w:pPr>
        <w:pStyle w:val="Sinespaciado"/>
        <w:spacing w:line="276" w:lineRule="auto"/>
        <w:rPr>
          <w:rFonts w:ascii="Tahoma" w:hAnsi="Tahoma" w:cs="Tahoma"/>
        </w:rPr>
      </w:pPr>
    </w:p>
    <w:p w14:paraId="117B44A9" w14:textId="77777777" w:rsidR="00F52A16" w:rsidRPr="00842145" w:rsidRDefault="00F52A16" w:rsidP="00842145">
      <w:pPr>
        <w:spacing w:line="276" w:lineRule="auto"/>
        <w:rPr>
          <w:rFonts w:ascii="Tahoma" w:hAnsi="Tahoma" w:cs="Tahoma"/>
          <w:sz w:val="24"/>
          <w:szCs w:val="24"/>
        </w:rPr>
      </w:pPr>
      <w:r w:rsidRPr="00842145">
        <w:rPr>
          <w:rFonts w:ascii="Tahoma" w:hAnsi="Tahoma" w:cs="Tahoma"/>
          <w:sz w:val="24"/>
          <w:szCs w:val="24"/>
        </w:rPr>
        <w:t>Agregó, en cuanto al Banco de Comercio, que como las cotizaciones se reportan a partir del 31 de enero de 1972 y quedó demostrado el vinculado laboral desde el 24 de abril de 1967, debe pagarse por parte del vinculado el cálculo actuarial, incluso aunque el tiempo a reconocer sea anterior a la obligación de vincular al trabajador por falta de cobertura en la zona o que el actor hubiese sido a</w:t>
      </w:r>
      <w:r w:rsidR="002B5C2F" w:rsidRPr="00842145">
        <w:rPr>
          <w:rFonts w:ascii="Tahoma" w:hAnsi="Tahoma" w:cs="Tahoma"/>
          <w:sz w:val="24"/>
          <w:szCs w:val="24"/>
        </w:rPr>
        <w:t xml:space="preserve">filiado con </w:t>
      </w:r>
      <w:r w:rsidRPr="00842145">
        <w:rPr>
          <w:rFonts w:ascii="Tahoma" w:hAnsi="Tahoma" w:cs="Tahoma"/>
          <w:sz w:val="24"/>
          <w:szCs w:val="24"/>
        </w:rPr>
        <w:t>número</w:t>
      </w:r>
      <w:r w:rsidR="002B5C2F" w:rsidRPr="00842145">
        <w:rPr>
          <w:rFonts w:ascii="Tahoma" w:hAnsi="Tahoma" w:cs="Tahoma"/>
          <w:sz w:val="24"/>
          <w:szCs w:val="24"/>
        </w:rPr>
        <w:t xml:space="preserve"> de tarjeta de identidad</w:t>
      </w:r>
      <w:r w:rsidRPr="00842145">
        <w:rPr>
          <w:rFonts w:ascii="Tahoma" w:hAnsi="Tahoma" w:cs="Tahoma"/>
          <w:sz w:val="24"/>
          <w:szCs w:val="24"/>
        </w:rPr>
        <w:t xml:space="preserve">, toda vez que , este último supuesto no se demostró, siendo claro que con </w:t>
      </w:r>
      <w:r w:rsidR="002B5C2F" w:rsidRPr="00842145">
        <w:rPr>
          <w:rFonts w:ascii="Tahoma" w:hAnsi="Tahoma" w:cs="Tahoma"/>
          <w:sz w:val="24"/>
          <w:szCs w:val="24"/>
        </w:rPr>
        <w:t xml:space="preserve">la fusión por absorción, </w:t>
      </w:r>
      <w:r w:rsidRPr="00842145">
        <w:rPr>
          <w:rFonts w:ascii="Tahoma" w:hAnsi="Tahoma" w:cs="Tahoma"/>
          <w:sz w:val="24"/>
          <w:szCs w:val="24"/>
        </w:rPr>
        <w:t>el Banco de Bogotá adquirió</w:t>
      </w:r>
      <w:r w:rsidR="002B5C2F" w:rsidRPr="00842145">
        <w:rPr>
          <w:rFonts w:ascii="Tahoma" w:hAnsi="Tahoma" w:cs="Tahoma"/>
          <w:sz w:val="24"/>
          <w:szCs w:val="24"/>
        </w:rPr>
        <w:t xml:space="preserve"> las obligaciones de </w:t>
      </w:r>
      <w:r w:rsidRPr="00842145">
        <w:rPr>
          <w:rFonts w:ascii="Tahoma" w:hAnsi="Tahoma" w:cs="Tahoma"/>
          <w:sz w:val="24"/>
          <w:szCs w:val="24"/>
        </w:rPr>
        <w:t>la entidad bancaria absorbida</w:t>
      </w:r>
      <w:r w:rsidR="002B5C2F" w:rsidRPr="00842145">
        <w:rPr>
          <w:rFonts w:ascii="Tahoma" w:hAnsi="Tahoma" w:cs="Tahoma"/>
          <w:sz w:val="24"/>
          <w:szCs w:val="24"/>
        </w:rPr>
        <w:t xml:space="preserve"> y </w:t>
      </w:r>
      <w:r w:rsidRPr="00842145">
        <w:rPr>
          <w:rFonts w:ascii="Tahoma" w:hAnsi="Tahoma" w:cs="Tahoma"/>
          <w:sz w:val="24"/>
          <w:szCs w:val="24"/>
        </w:rPr>
        <w:t>debe hacerse</w:t>
      </w:r>
      <w:r w:rsidR="002B5C2F" w:rsidRPr="00842145">
        <w:rPr>
          <w:rFonts w:ascii="Tahoma" w:hAnsi="Tahoma" w:cs="Tahoma"/>
          <w:sz w:val="24"/>
          <w:szCs w:val="24"/>
        </w:rPr>
        <w:t xml:space="preserve"> cargo del pasivo</w:t>
      </w:r>
      <w:r w:rsidRPr="00842145">
        <w:rPr>
          <w:rFonts w:ascii="Tahoma" w:hAnsi="Tahoma" w:cs="Tahoma"/>
          <w:sz w:val="24"/>
          <w:szCs w:val="24"/>
        </w:rPr>
        <w:t>, para un total de 249 semanas omitidas.</w:t>
      </w:r>
    </w:p>
    <w:p w14:paraId="5CD33FDF" w14:textId="704B3D4A" w:rsidR="002B5C2F" w:rsidRPr="00842145" w:rsidRDefault="002B5C2F" w:rsidP="00842145">
      <w:pPr>
        <w:pStyle w:val="Sinespaciado"/>
        <w:spacing w:line="276" w:lineRule="auto"/>
        <w:rPr>
          <w:rFonts w:ascii="Tahoma" w:hAnsi="Tahoma" w:cs="Tahoma"/>
        </w:rPr>
      </w:pPr>
      <w:r w:rsidRPr="00842145">
        <w:rPr>
          <w:rFonts w:ascii="Tahoma" w:hAnsi="Tahoma" w:cs="Tahoma"/>
        </w:rPr>
        <w:t xml:space="preserve"> </w:t>
      </w:r>
    </w:p>
    <w:p w14:paraId="5F6BBE72" w14:textId="5D6D1DAC" w:rsidR="002B5C2F" w:rsidRPr="00842145" w:rsidRDefault="00F52A16" w:rsidP="00842145">
      <w:pPr>
        <w:spacing w:line="276" w:lineRule="auto"/>
        <w:rPr>
          <w:rFonts w:ascii="Tahoma" w:hAnsi="Tahoma" w:cs="Tahoma"/>
          <w:sz w:val="24"/>
          <w:szCs w:val="24"/>
        </w:rPr>
      </w:pPr>
      <w:r w:rsidRPr="00842145">
        <w:rPr>
          <w:rFonts w:ascii="Tahoma" w:hAnsi="Tahoma" w:cs="Tahoma"/>
          <w:sz w:val="24"/>
          <w:szCs w:val="24"/>
        </w:rPr>
        <w:t xml:space="preserve">En cuanto al derecho pensional, concluyó que, al sumar las semanas de servicio público, las efectivamente cotizadas y las laboradas al Rincón Costeño y al Banco de Comercio, el actor alcanzó 1.001 semanas y como alcanzó los 60 años en el </w:t>
      </w:r>
      <w:r w:rsidR="002B5C2F" w:rsidRPr="00842145">
        <w:rPr>
          <w:rFonts w:ascii="Tahoma" w:hAnsi="Tahoma" w:cs="Tahoma"/>
          <w:sz w:val="24"/>
          <w:szCs w:val="24"/>
        </w:rPr>
        <w:t>2009</w:t>
      </w:r>
      <w:r w:rsidR="004302BF" w:rsidRPr="00842145">
        <w:rPr>
          <w:rFonts w:ascii="Tahoma" w:hAnsi="Tahoma" w:cs="Tahoma"/>
          <w:sz w:val="24"/>
          <w:szCs w:val="24"/>
        </w:rPr>
        <w:t>, causó la prestación en virtud del Ac</w:t>
      </w:r>
      <w:r w:rsidR="002B5C2F" w:rsidRPr="00842145">
        <w:rPr>
          <w:rFonts w:ascii="Tahoma" w:hAnsi="Tahoma" w:cs="Tahoma"/>
          <w:sz w:val="24"/>
          <w:szCs w:val="24"/>
        </w:rPr>
        <w:t>uerdo 049</w:t>
      </w:r>
      <w:r w:rsidR="004302BF" w:rsidRPr="00842145">
        <w:rPr>
          <w:rFonts w:ascii="Tahoma" w:hAnsi="Tahoma" w:cs="Tahoma"/>
          <w:sz w:val="24"/>
          <w:szCs w:val="24"/>
        </w:rPr>
        <w:t>, en aplicación del régimen de transición,</w:t>
      </w:r>
      <w:r w:rsidR="004835E8" w:rsidRPr="00842145">
        <w:rPr>
          <w:rFonts w:ascii="Tahoma" w:hAnsi="Tahoma" w:cs="Tahoma"/>
          <w:sz w:val="24"/>
          <w:szCs w:val="24"/>
        </w:rPr>
        <w:t xml:space="preserve"> a partir del </w:t>
      </w:r>
      <w:r w:rsidR="002B5C2F" w:rsidRPr="00842145">
        <w:rPr>
          <w:rFonts w:ascii="Tahoma" w:hAnsi="Tahoma" w:cs="Tahoma"/>
          <w:sz w:val="24"/>
          <w:szCs w:val="24"/>
        </w:rPr>
        <w:t>01 de abril de 2009</w:t>
      </w:r>
      <w:r w:rsidR="004835E8" w:rsidRPr="00842145">
        <w:rPr>
          <w:rFonts w:ascii="Tahoma" w:hAnsi="Tahoma" w:cs="Tahoma"/>
          <w:sz w:val="24"/>
          <w:szCs w:val="24"/>
        </w:rPr>
        <w:t xml:space="preserve">, por ser su última cotización el 31 de marzo de aquel año, por 14 mesadas anuales. </w:t>
      </w:r>
    </w:p>
    <w:p w14:paraId="3E1849C5" w14:textId="44D2CED3" w:rsidR="004835E8" w:rsidRPr="00842145" w:rsidRDefault="004835E8" w:rsidP="00842145">
      <w:pPr>
        <w:spacing w:line="276" w:lineRule="auto"/>
        <w:rPr>
          <w:rFonts w:ascii="Tahoma" w:hAnsi="Tahoma" w:cs="Tahoma"/>
          <w:sz w:val="24"/>
          <w:szCs w:val="24"/>
        </w:rPr>
      </w:pPr>
    </w:p>
    <w:p w14:paraId="270C0019" w14:textId="04D7459A" w:rsidR="004835E8" w:rsidRPr="00842145" w:rsidRDefault="004835E8" w:rsidP="00842145">
      <w:pPr>
        <w:spacing w:line="276" w:lineRule="auto"/>
        <w:rPr>
          <w:rFonts w:ascii="Tahoma" w:hAnsi="Tahoma" w:cs="Tahoma"/>
          <w:sz w:val="24"/>
          <w:szCs w:val="24"/>
        </w:rPr>
      </w:pPr>
      <w:r w:rsidRPr="00842145">
        <w:rPr>
          <w:rFonts w:ascii="Tahoma" w:hAnsi="Tahoma" w:cs="Tahoma"/>
          <w:sz w:val="24"/>
          <w:szCs w:val="24"/>
        </w:rPr>
        <w:t>No obstante, en virtud de la prescripción excepcionada por Colpensiones, encontró extintas las mesadas causadas con antelación al 17 de enero de 2017, dada que en esta calenda se presentó la demanda.</w:t>
      </w:r>
    </w:p>
    <w:p w14:paraId="5195C829" w14:textId="77777777" w:rsidR="004835E8" w:rsidRPr="00842145" w:rsidRDefault="004835E8" w:rsidP="00842145">
      <w:pPr>
        <w:pStyle w:val="Sinespaciado"/>
        <w:spacing w:line="276" w:lineRule="auto"/>
        <w:rPr>
          <w:rFonts w:ascii="Tahoma" w:hAnsi="Tahoma" w:cs="Tahoma"/>
        </w:rPr>
      </w:pPr>
    </w:p>
    <w:p w14:paraId="10103866" w14:textId="01AE149A" w:rsidR="002B5C2F" w:rsidRPr="00842145" w:rsidRDefault="004835E8" w:rsidP="00842145">
      <w:pPr>
        <w:spacing w:line="276" w:lineRule="auto"/>
        <w:rPr>
          <w:rFonts w:ascii="Tahoma" w:hAnsi="Tahoma" w:cs="Tahoma"/>
          <w:sz w:val="24"/>
          <w:szCs w:val="24"/>
        </w:rPr>
      </w:pPr>
      <w:r w:rsidRPr="00842145">
        <w:rPr>
          <w:rFonts w:ascii="Tahoma" w:hAnsi="Tahoma" w:cs="Tahoma"/>
          <w:sz w:val="24"/>
          <w:szCs w:val="24"/>
        </w:rPr>
        <w:t>Finalmente</w:t>
      </w:r>
      <w:r w:rsidR="00824AE6" w:rsidRPr="00842145">
        <w:rPr>
          <w:rFonts w:ascii="Tahoma" w:hAnsi="Tahoma" w:cs="Tahoma"/>
          <w:sz w:val="24"/>
          <w:szCs w:val="24"/>
        </w:rPr>
        <w:t xml:space="preserve">, absolvió a Colpensiones </w:t>
      </w:r>
      <w:r w:rsidR="00F21B12" w:rsidRPr="00842145">
        <w:rPr>
          <w:rFonts w:ascii="Tahoma" w:hAnsi="Tahoma" w:cs="Tahoma"/>
          <w:sz w:val="24"/>
          <w:szCs w:val="24"/>
        </w:rPr>
        <w:t xml:space="preserve">de los </w:t>
      </w:r>
      <w:r w:rsidR="002B5C2F" w:rsidRPr="00842145">
        <w:rPr>
          <w:rFonts w:ascii="Tahoma" w:hAnsi="Tahoma" w:cs="Tahoma"/>
          <w:sz w:val="24"/>
          <w:szCs w:val="24"/>
        </w:rPr>
        <w:t>intereses moratorios</w:t>
      </w:r>
      <w:r w:rsidR="00F21B12" w:rsidRPr="00842145">
        <w:rPr>
          <w:rFonts w:ascii="Tahoma" w:hAnsi="Tahoma" w:cs="Tahoma"/>
          <w:sz w:val="24"/>
          <w:szCs w:val="24"/>
        </w:rPr>
        <w:t xml:space="preserve"> y las costas procesales, al considerar que la negativa pensional obedeció a que para ese momento el actor no cumplía los requisitos, en aplicación estricta de la ley.</w:t>
      </w:r>
    </w:p>
    <w:p w14:paraId="26BE2357" w14:textId="77777777" w:rsidR="002B5C2F" w:rsidRPr="00842145" w:rsidRDefault="002B5C2F" w:rsidP="00842145">
      <w:pPr>
        <w:pStyle w:val="Sinespaciado"/>
        <w:spacing w:line="276" w:lineRule="auto"/>
        <w:rPr>
          <w:rFonts w:ascii="Tahoma" w:hAnsi="Tahoma" w:cs="Tahoma"/>
        </w:rPr>
      </w:pPr>
    </w:p>
    <w:p w14:paraId="77F0C615" w14:textId="27CE4853" w:rsidR="00A31306" w:rsidRPr="00842145" w:rsidRDefault="00A31306" w:rsidP="00842145">
      <w:pPr>
        <w:pStyle w:val="Prrafodelista"/>
        <w:numPr>
          <w:ilvl w:val="0"/>
          <w:numId w:val="2"/>
        </w:numPr>
        <w:spacing w:line="276" w:lineRule="auto"/>
        <w:ind w:left="0" w:firstLine="0"/>
        <w:jc w:val="center"/>
        <w:rPr>
          <w:rFonts w:ascii="Tahoma" w:hAnsi="Tahoma" w:cs="Tahoma"/>
          <w:b/>
          <w:lang w:val="es-CO"/>
        </w:rPr>
      </w:pPr>
      <w:r w:rsidRPr="00842145">
        <w:rPr>
          <w:rFonts w:ascii="Tahoma" w:hAnsi="Tahoma" w:cs="Tahoma"/>
          <w:b/>
          <w:lang w:val="es-CO"/>
        </w:rPr>
        <w:t xml:space="preserve">Recurso de apelación </w:t>
      </w:r>
    </w:p>
    <w:p w14:paraId="2FB96FAB" w14:textId="77777777" w:rsidR="00930A61" w:rsidRPr="00842145" w:rsidRDefault="00930A61" w:rsidP="00842145">
      <w:pPr>
        <w:pStyle w:val="Sinespaciado"/>
        <w:spacing w:line="276" w:lineRule="auto"/>
        <w:rPr>
          <w:rFonts w:ascii="Tahoma" w:hAnsi="Tahoma" w:cs="Tahoma"/>
        </w:rPr>
      </w:pPr>
    </w:p>
    <w:p w14:paraId="3341D337" w14:textId="7C8DE1E2" w:rsidR="00DF15AA" w:rsidRPr="00842145" w:rsidRDefault="29DF9996" w:rsidP="00842145">
      <w:pPr>
        <w:spacing w:line="276" w:lineRule="auto"/>
        <w:rPr>
          <w:rFonts w:ascii="Tahoma" w:hAnsi="Tahoma" w:cs="Tahoma"/>
          <w:sz w:val="24"/>
          <w:szCs w:val="24"/>
          <w:lang w:val="es-MX"/>
        </w:rPr>
      </w:pPr>
      <w:r w:rsidRPr="00842145">
        <w:rPr>
          <w:rFonts w:ascii="Tahoma" w:hAnsi="Tahoma" w:cs="Tahoma"/>
          <w:sz w:val="24"/>
          <w:szCs w:val="24"/>
          <w:lang w:val="es-MX"/>
        </w:rPr>
        <w:t xml:space="preserve">La </w:t>
      </w:r>
      <w:r w:rsidR="1D40B947" w:rsidRPr="00842145">
        <w:rPr>
          <w:rFonts w:ascii="Tahoma" w:hAnsi="Tahoma" w:cs="Tahoma"/>
          <w:sz w:val="24"/>
          <w:szCs w:val="24"/>
          <w:lang w:val="es-MX"/>
        </w:rPr>
        <w:t>apoderad</w:t>
      </w:r>
      <w:r w:rsidRPr="00842145">
        <w:rPr>
          <w:rFonts w:ascii="Tahoma" w:hAnsi="Tahoma" w:cs="Tahoma"/>
          <w:sz w:val="24"/>
          <w:szCs w:val="24"/>
          <w:lang w:val="es-MX"/>
        </w:rPr>
        <w:t>a</w:t>
      </w:r>
      <w:r w:rsidR="1D40B947" w:rsidRPr="00842145">
        <w:rPr>
          <w:rFonts w:ascii="Tahoma" w:hAnsi="Tahoma" w:cs="Tahoma"/>
          <w:sz w:val="24"/>
          <w:szCs w:val="24"/>
          <w:lang w:val="es-MX"/>
        </w:rPr>
        <w:t xml:space="preserve"> judicial </w:t>
      </w:r>
      <w:r w:rsidR="4922870C" w:rsidRPr="00842145">
        <w:rPr>
          <w:rFonts w:ascii="Tahoma" w:hAnsi="Tahoma" w:cs="Tahoma"/>
          <w:sz w:val="24"/>
          <w:szCs w:val="24"/>
          <w:lang w:val="es-MX"/>
        </w:rPr>
        <w:t>de</w:t>
      </w:r>
      <w:r w:rsidR="6907D6D0" w:rsidRPr="00842145">
        <w:rPr>
          <w:rFonts w:ascii="Tahoma" w:hAnsi="Tahoma" w:cs="Tahoma"/>
          <w:sz w:val="24"/>
          <w:szCs w:val="24"/>
          <w:lang w:val="es-MX"/>
        </w:rPr>
        <w:t>l</w:t>
      </w:r>
      <w:r w:rsidR="4922870C" w:rsidRPr="00842145">
        <w:rPr>
          <w:rFonts w:ascii="Tahoma" w:hAnsi="Tahoma" w:cs="Tahoma"/>
          <w:sz w:val="24"/>
          <w:szCs w:val="24"/>
          <w:lang w:val="es-MX"/>
        </w:rPr>
        <w:t xml:space="preserve"> </w:t>
      </w:r>
      <w:r w:rsidR="6907D6D0" w:rsidRPr="00842145">
        <w:rPr>
          <w:rFonts w:ascii="Tahoma" w:hAnsi="Tahoma" w:cs="Tahoma"/>
          <w:sz w:val="24"/>
          <w:szCs w:val="24"/>
          <w:lang w:val="es-MX"/>
        </w:rPr>
        <w:t>Banco de Bogotá</w:t>
      </w:r>
      <w:r w:rsidR="44A78522" w:rsidRPr="00842145">
        <w:rPr>
          <w:rFonts w:ascii="Tahoma" w:hAnsi="Tahoma" w:cs="Tahoma"/>
          <w:sz w:val="24"/>
          <w:szCs w:val="24"/>
          <w:lang w:val="es-MX"/>
        </w:rPr>
        <w:t xml:space="preserve"> solicitó que se revoque la condena impuesta, al argumentar que </w:t>
      </w:r>
      <w:r w:rsidR="6907D6D0" w:rsidRPr="00842145">
        <w:rPr>
          <w:rFonts w:ascii="Tahoma" w:hAnsi="Tahoma" w:cs="Tahoma"/>
          <w:sz w:val="24"/>
          <w:szCs w:val="24"/>
          <w:lang w:val="es-MX"/>
        </w:rPr>
        <w:t>no hubo omisión de afiliar</w:t>
      </w:r>
      <w:r w:rsidR="44A78522" w:rsidRPr="00842145">
        <w:rPr>
          <w:rFonts w:ascii="Tahoma" w:hAnsi="Tahoma" w:cs="Tahoma"/>
          <w:sz w:val="24"/>
          <w:szCs w:val="24"/>
          <w:lang w:val="es-MX"/>
        </w:rPr>
        <w:t xml:space="preserve"> al demandante</w:t>
      </w:r>
      <w:r w:rsidR="6907D6D0" w:rsidRPr="00842145">
        <w:rPr>
          <w:rFonts w:ascii="Tahoma" w:hAnsi="Tahoma" w:cs="Tahoma"/>
          <w:sz w:val="24"/>
          <w:szCs w:val="24"/>
          <w:lang w:val="es-MX"/>
        </w:rPr>
        <w:t>, sino que</w:t>
      </w:r>
      <w:r w:rsidR="44A78522" w:rsidRPr="00842145">
        <w:rPr>
          <w:rFonts w:ascii="Tahoma" w:hAnsi="Tahoma" w:cs="Tahoma"/>
          <w:sz w:val="24"/>
          <w:szCs w:val="24"/>
          <w:lang w:val="es-MX"/>
        </w:rPr>
        <w:t xml:space="preserve"> para ese momento el Banco de Comercio</w:t>
      </w:r>
      <w:r w:rsidR="6907D6D0" w:rsidRPr="00842145">
        <w:rPr>
          <w:rFonts w:ascii="Tahoma" w:hAnsi="Tahoma" w:cs="Tahoma"/>
          <w:sz w:val="24"/>
          <w:szCs w:val="24"/>
          <w:lang w:val="es-MX"/>
        </w:rPr>
        <w:t xml:space="preserve"> no </w:t>
      </w:r>
      <w:r w:rsidR="44A78522" w:rsidRPr="00842145">
        <w:rPr>
          <w:rFonts w:ascii="Tahoma" w:hAnsi="Tahoma" w:cs="Tahoma"/>
          <w:sz w:val="24"/>
          <w:szCs w:val="24"/>
          <w:lang w:val="es-MX"/>
        </w:rPr>
        <w:t>tenía</w:t>
      </w:r>
      <w:r w:rsidR="6907D6D0" w:rsidRPr="00842145">
        <w:rPr>
          <w:rFonts w:ascii="Tahoma" w:hAnsi="Tahoma" w:cs="Tahoma"/>
          <w:sz w:val="24"/>
          <w:szCs w:val="24"/>
          <w:lang w:val="es-MX"/>
        </w:rPr>
        <w:t xml:space="preserve"> </w:t>
      </w:r>
      <w:r w:rsidR="44A78522" w:rsidRPr="00842145">
        <w:rPr>
          <w:rFonts w:ascii="Tahoma" w:hAnsi="Tahoma" w:cs="Tahoma"/>
          <w:sz w:val="24"/>
          <w:szCs w:val="24"/>
          <w:lang w:val="es-MX"/>
        </w:rPr>
        <w:t>la obligación de realizar aportes por falta de cobertura, adicional a lo cual el actor e</w:t>
      </w:r>
      <w:r w:rsidR="6907D6D0" w:rsidRPr="00842145">
        <w:rPr>
          <w:rFonts w:ascii="Tahoma" w:hAnsi="Tahoma" w:cs="Tahoma"/>
          <w:sz w:val="24"/>
          <w:szCs w:val="24"/>
          <w:lang w:val="es-MX"/>
        </w:rPr>
        <w:t>ra menor de edad</w:t>
      </w:r>
      <w:r w:rsidR="44A78522" w:rsidRPr="00842145">
        <w:rPr>
          <w:rFonts w:ascii="Tahoma" w:hAnsi="Tahoma" w:cs="Tahoma"/>
          <w:sz w:val="24"/>
          <w:szCs w:val="24"/>
          <w:lang w:val="es-MX"/>
        </w:rPr>
        <w:t>. Agregó que, e</w:t>
      </w:r>
      <w:r w:rsidR="6907D6D0" w:rsidRPr="00842145">
        <w:rPr>
          <w:rFonts w:ascii="Tahoma" w:hAnsi="Tahoma" w:cs="Tahoma"/>
          <w:sz w:val="24"/>
          <w:szCs w:val="24"/>
          <w:lang w:val="es-MX"/>
        </w:rPr>
        <w:t xml:space="preserve">n el evento en que </w:t>
      </w:r>
      <w:r w:rsidR="44A78522" w:rsidRPr="00842145">
        <w:rPr>
          <w:rFonts w:ascii="Tahoma" w:hAnsi="Tahoma" w:cs="Tahoma"/>
          <w:sz w:val="24"/>
          <w:szCs w:val="24"/>
          <w:lang w:val="es-MX"/>
        </w:rPr>
        <w:t xml:space="preserve">se </w:t>
      </w:r>
      <w:r w:rsidR="6907D6D0" w:rsidRPr="00842145">
        <w:rPr>
          <w:rFonts w:ascii="Tahoma" w:hAnsi="Tahoma" w:cs="Tahoma"/>
          <w:sz w:val="24"/>
          <w:szCs w:val="24"/>
          <w:lang w:val="es-MX"/>
        </w:rPr>
        <w:t xml:space="preserve">considere que hay lugar al pago del cálculo actuarial, </w:t>
      </w:r>
      <w:r w:rsidR="44A78522" w:rsidRPr="00842145">
        <w:rPr>
          <w:rFonts w:ascii="Tahoma" w:hAnsi="Tahoma" w:cs="Tahoma"/>
          <w:sz w:val="24"/>
          <w:szCs w:val="24"/>
          <w:lang w:val="es-MX"/>
        </w:rPr>
        <w:t xml:space="preserve">debe tenerse en cuenta </w:t>
      </w:r>
      <w:r w:rsidR="6907D6D0" w:rsidRPr="00842145">
        <w:rPr>
          <w:rFonts w:ascii="Tahoma" w:hAnsi="Tahoma" w:cs="Tahoma"/>
          <w:sz w:val="24"/>
          <w:szCs w:val="24"/>
          <w:lang w:val="es-MX"/>
        </w:rPr>
        <w:lastRenderedPageBreak/>
        <w:t>la sentencia</w:t>
      </w:r>
      <w:r w:rsidR="44A78522" w:rsidRPr="00842145">
        <w:rPr>
          <w:rFonts w:ascii="Tahoma" w:hAnsi="Tahoma" w:cs="Tahoma"/>
          <w:sz w:val="24"/>
          <w:szCs w:val="24"/>
          <w:lang w:val="es-MX"/>
        </w:rPr>
        <w:t xml:space="preserve"> T-</w:t>
      </w:r>
      <w:r w:rsidR="6907D6D0" w:rsidRPr="00842145">
        <w:rPr>
          <w:rFonts w:ascii="Tahoma" w:hAnsi="Tahoma" w:cs="Tahoma"/>
          <w:sz w:val="24"/>
          <w:szCs w:val="24"/>
          <w:lang w:val="es-MX"/>
        </w:rPr>
        <w:t xml:space="preserve">435 de 2014 y </w:t>
      </w:r>
      <w:r w:rsidR="44A78522" w:rsidRPr="00842145">
        <w:rPr>
          <w:rFonts w:ascii="Tahoma" w:hAnsi="Tahoma" w:cs="Tahoma"/>
          <w:sz w:val="24"/>
          <w:szCs w:val="24"/>
          <w:lang w:val="es-MX"/>
        </w:rPr>
        <w:t>T-</w:t>
      </w:r>
      <w:r w:rsidR="6907D6D0" w:rsidRPr="00842145">
        <w:rPr>
          <w:rFonts w:ascii="Tahoma" w:hAnsi="Tahoma" w:cs="Tahoma"/>
          <w:sz w:val="24"/>
          <w:szCs w:val="24"/>
          <w:lang w:val="es-MX"/>
        </w:rPr>
        <w:t>281 de 2020</w:t>
      </w:r>
      <w:r w:rsidR="44A78522" w:rsidRPr="00842145">
        <w:rPr>
          <w:rFonts w:ascii="Tahoma" w:hAnsi="Tahoma" w:cs="Tahoma"/>
          <w:sz w:val="24"/>
          <w:szCs w:val="24"/>
          <w:lang w:val="es-MX"/>
        </w:rPr>
        <w:t xml:space="preserve">, en las que se indica que </w:t>
      </w:r>
      <w:r w:rsidR="36019A5C" w:rsidRPr="00842145">
        <w:rPr>
          <w:rFonts w:ascii="Tahoma" w:hAnsi="Tahoma" w:cs="Tahoma"/>
          <w:sz w:val="24"/>
          <w:szCs w:val="24"/>
          <w:lang w:val="es-MX"/>
        </w:rPr>
        <w:t xml:space="preserve">la </w:t>
      </w:r>
      <w:r w:rsidR="6907D6D0" w:rsidRPr="00842145">
        <w:rPr>
          <w:rFonts w:ascii="Tahoma" w:hAnsi="Tahoma" w:cs="Tahoma"/>
          <w:sz w:val="24"/>
          <w:szCs w:val="24"/>
          <w:lang w:val="es-MX"/>
        </w:rPr>
        <w:t xml:space="preserve">liquidación </w:t>
      </w:r>
      <w:r w:rsidR="2B89C6B1" w:rsidRPr="00842145">
        <w:rPr>
          <w:rFonts w:ascii="Tahoma" w:hAnsi="Tahoma" w:cs="Tahoma"/>
          <w:sz w:val="24"/>
          <w:szCs w:val="24"/>
          <w:lang w:val="es-MX"/>
        </w:rPr>
        <w:t xml:space="preserve">de los aportes debe ser a cargo del empleador </w:t>
      </w:r>
      <w:r w:rsidR="6907D6D0" w:rsidRPr="00842145">
        <w:rPr>
          <w:rFonts w:ascii="Tahoma" w:hAnsi="Tahoma" w:cs="Tahoma"/>
          <w:sz w:val="24"/>
          <w:szCs w:val="24"/>
          <w:lang w:val="es-MX"/>
        </w:rPr>
        <w:t xml:space="preserve">el 50% y </w:t>
      </w:r>
      <w:r w:rsidR="2B89C6B1" w:rsidRPr="00842145">
        <w:rPr>
          <w:rFonts w:ascii="Tahoma" w:hAnsi="Tahoma" w:cs="Tahoma"/>
          <w:sz w:val="24"/>
          <w:szCs w:val="24"/>
          <w:lang w:val="es-MX"/>
        </w:rPr>
        <w:t xml:space="preserve">responder </w:t>
      </w:r>
      <w:r w:rsidR="6907D6D0" w:rsidRPr="00842145">
        <w:rPr>
          <w:rFonts w:ascii="Tahoma" w:hAnsi="Tahoma" w:cs="Tahoma"/>
          <w:sz w:val="24"/>
          <w:szCs w:val="24"/>
          <w:lang w:val="es-MX"/>
        </w:rPr>
        <w:t xml:space="preserve">el </w:t>
      </w:r>
      <w:r w:rsidR="2B89C6B1" w:rsidRPr="00842145">
        <w:rPr>
          <w:rFonts w:ascii="Tahoma" w:hAnsi="Tahoma" w:cs="Tahoma"/>
          <w:sz w:val="24"/>
          <w:szCs w:val="24"/>
          <w:lang w:val="es-MX"/>
        </w:rPr>
        <w:t>E</w:t>
      </w:r>
      <w:r w:rsidR="6907D6D0" w:rsidRPr="00842145">
        <w:rPr>
          <w:rFonts w:ascii="Tahoma" w:hAnsi="Tahoma" w:cs="Tahoma"/>
          <w:sz w:val="24"/>
          <w:szCs w:val="24"/>
          <w:lang w:val="es-MX"/>
        </w:rPr>
        <w:t>stado</w:t>
      </w:r>
      <w:r w:rsidR="2B89C6B1" w:rsidRPr="00842145">
        <w:rPr>
          <w:rFonts w:ascii="Tahoma" w:hAnsi="Tahoma" w:cs="Tahoma"/>
          <w:sz w:val="24"/>
          <w:szCs w:val="24"/>
          <w:lang w:val="es-MX"/>
        </w:rPr>
        <w:t xml:space="preserve"> por</w:t>
      </w:r>
      <w:r w:rsidR="6907D6D0" w:rsidRPr="00842145">
        <w:rPr>
          <w:rFonts w:ascii="Tahoma" w:hAnsi="Tahoma" w:cs="Tahoma"/>
          <w:sz w:val="24"/>
          <w:szCs w:val="24"/>
          <w:lang w:val="es-MX"/>
        </w:rPr>
        <w:t xml:space="preserve"> el otro 50%</w:t>
      </w:r>
      <w:r w:rsidR="2B89C6B1" w:rsidRPr="00842145">
        <w:rPr>
          <w:rFonts w:ascii="Tahoma" w:hAnsi="Tahoma" w:cs="Tahoma"/>
          <w:sz w:val="24"/>
          <w:szCs w:val="24"/>
          <w:lang w:val="es-MX"/>
        </w:rPr>
        <w:t>.</w:t>
      </w:r>
    </w:p>
    <w:p w14:paraId="56EC1903" w14:textId="77777777" w:rsidR="00DF15AA" w:rsidRPr="00842145" w:rsidRDefault="00DF15AA" w:rsidP="00842145">
      <w:pPr>
        <w:spacing w:line="276" w:lineRule="auto"/>
        <w:rPr>
          <w:rFonts w:ascii="Tahoma" w:hAnsi="Tahoma" w:cs="Tahoma"/>
          <w:sz w:val="24"/>
          <w:szCs w:val="24"/>
          <w:lang w:val="es-MX"/>
        </w:rPr>
      </w:pPr>
    </w:p>
    <w:p w14:paraId="62D7800B" w14:textId="56BEDC89" w:rsidR="6A84FD5B" w:rsidRPr="00842145" w:rsidRDefault="2B89C6B1" w:rsidP="00842145">
      <w:pPr>
        <w:spacing w:line="276" w:lineRule="auto"/>
        <w:rPr>
          <w:rFonts w:ascii="Tahoma" w:hAnsi="Tahoma" w:cs="Tahoma"/>
          <w:sz w:val="24"/>
          <w:szCs w:val="24"/>
          <w:lang w:val="es-MX"/>
        </w:rPr>
      </w:pPr>
      <w:r w:rsidRPr="00842145">
        <w:rPr>
          <w:rFonts w:ascii="Tahoma" w:hAnsi="Tahoma" w:cs="Tahoma"/>
          <w:sz w:val="24"/>
          <w:szCs w:val="24"/>
          <w:lang w:val="es-MX"/>
        </w:rPr>
        <w:t>Por su parte, Colpensiones</w:t>
      </w:r>
      <w:r w:rsidR="0F40096F" w:rsidRPr="00842145">
        <w:rPr>
          <w:rFonts w:ascii="Tahoma" w:hAnsi="Tahoma" w:cs="Tahoma"/>
          <w:sz w:val="24"/>
          <w:szCs w:val="24"/>
          <w:lang w:val="es-MX"/>
        </w:rPr>
        <w:t xml:space="preserve"> interpuso </w:t>
      </w:r>
      <w:r w:rsidR="1D40B947" w:rsidRPr="00842145">
        <w:rPr>
          <w:rFonts w:ascii="Tahoma" w:hAnsi="Tahoma" w:cs="Tahoma"/>
          <w:sz w:val="24"/>
          <w:szCs w:val="24"/>
          <w:lang w:val="es-MX"/>
        </w:rPr>
        <w:t>recurso de apelación en contra de la sentencia emitida</w:t>
      </w:r>
      <w:r w:rsidR="66F90B1B" w:rsidRPr="00842145">
        <w:rPr>
          <w:rFonts w:ascii="Tahoma" w:hAnsi="Tahoma" w:cs="Tahoma"/>
          <w:sz w:val="24"/>
          <w:szCs w:val="24"/>
          <w:lang w:val="es-MX"/>
        </w:rPr>
        <w:t xml:space="preserve"> por el despacho de instancia</w:t>
      </w:r>
      <w:r w:rsidR="1D40B947" w:rsidRPr="00842145">
        <w:rPr>
          <w:rFonts w:ascii="Tahoma" w:hAnsi="Tahoma" w:cs="Tahoma"/>
          <w:sz w:val="24"/>
          <w:szCs w:val="24"/>
          <w:lang w:val="es-MX"/>
        </w:rPr>
        <w:t>,</w:t>
      </w:r>
      <w:r w:rsidRPr="00842145">
        <w:rPr>
          <w:rFonts w:ascii="Tahoma" w:hAnsi="Tahoma" w:cs="Tahoma"/>
          <w:sz w:val="24"/>
          <w:szCs w:val="24"/>
          <w:lang w:val="es-MX"/>
        </w:rPr>
        <w:t xml:space="preserve"> bajo el argumento de que el demandante no</w:t>
      </w:r>
      <w:r w:rsidR="64CE9349" w:rsidRPr="00842145">
        <w:rPr>
          <w:rFonts w:ascii="Tahoma" w:hAnsi="Tahoma" w:cs="Tahoma"/>
          <w:sz w:val="24"/>
          <w:szCs w:val="24"/>
          <w:lang w:val="es-MX"/>
        </w:rPr>
        <w:t xml:space="preserve"> cumple con los requisitos del acuerdo 049 de 1990, </w:t>
      </w:r>
      <w:r w:rsidR="2A3E7494" w:rsidRPr="00842145">
        <w:rPr>
          <w:rFonts w:ascii="Tahoma" w:hAnsi="Tahoma" w:cs="Tahoma"/>
          <w:sz w:val="24"/>
          <w:szCs w:val="24"/>
          <w:lang w:val="es-MX"/>
        </w:rPr>
        <w:t xml:space="preserve">pues </w:t>
      </w:r>
      <w:r w:rsidR="64CE9349" w:rsidRPr="00842145">
        <w:rPr>
          <w:rFonts w:ascii="Tahoma" w:hAnsi="Tahoma" w:cs="Tahoma"/>
          <w:sz w:val="24"/>
          <w:szCs w:val="24"/>
          <w:lang w:val="es-MX"/>
        </w:rPr>
        <w:t xml:space="preserve">no contaba 750 semanas al 2005 </w:t>
      </w:r>
      <w:r w:rsidRPr="00842145">
        <w:rPr>
          <w:rFonts w:ascii="Tahoma" w:hAnsi="Tahoma" w:cs="Tahoma"/>
          <w:sz w:val="24"/>
          <w:szCs w:val="24"/>
          <w:lang w:val="es-MX"/>
        </w:rPr>
        <w:t xml:space="preserve">y </w:t>
      </w:r>
      <w:r w:rsidR="64CE9349" w:rsidRPr="00842145">
        <w:rPr>
          <w:rFonts w:ascii="Tahoma" w:hAnsi="Tahoma" w:cs="Tahoma"/>
          <w:sz w:val="24"/>
          <w:szCs w:val="24"/>
          <w:lang w:val="es-MX"/>
        </w:rPr>
        <w:t xml:space="preserve">no era beneficiario del régimen de </w:t>
      </w:r>
      <w:r w:rsidRPr="00842145">
        <w:rPr>
          <w:rFonts w:ascii="Tahoma" w:hAnsi="Tahoma" w:cs="Tahoma"/>
          <w:sz w:val="24"/>
          <w:szCs w:val="24"/>
          <w:lang w:val="es-MX"/>
        </w:rPr>
        <w:t>transición.</w:t>
      </w:r>
    </w:p>
    <w:p w14:paraId="5687DA94" w14:textId="77777777" w:rsidR="002B5C2F" w:rsidRPr="00842145" w:rsidRDefault="002B5C2F" w:rsidP="00842145">
      <w:pPr>
        <w:pStyle w:val="Sinespaciado"/>
        <w:spacing w:line="276" w:lineRule="auto"/>
        <w:rPr>
          <w:rFonts w:ascii="Tahoma" w:hAnsi="Tahoma" w:cs="Tahoma"/>
        </w:rPr>
      </w:pPr>
    </w:p>
    <w:p w14:paraId="31F6C1DE" w14:textId="0144AFD6" w:rsidR="00496F50" w:rsidRPr="00842145" w:rsidRDefault="00496F50" w:rsidP="00842145">
      <w:pPr>
        <w:pStyle w:val="Prrafodelista"/>
        <w:numPr>
          <w:ilvl w:val="0"/>
          <w:numId w:val="2"/>
        </w:numPr>
        <w:spacing w:after="160" w:line="276" w:lineRule="auto"/>
        <w:jc w:val="center"/>
        <w:textAlignment w:val="baseline"/>
        <w:rPr>
          <w:rFonts w:ascii="Tahoma" w:hAnsi="Tahoma" w:cs="Tahoma"/>
          <w:b/>
        </w:rPr>
      </w:pPr>
      <w:r w:rsidRPr="00842145">
        <w:rPr>
          <w:rFonts w:ascii="Tahoma" w:hAnsi="Tahoma" w:cs="Tahoma"/>
          <w:b/>
          <w:lang w:val="es-MX"/>
        </w:rPr>
        <w:t>Alegatos de conclusión y concepto del Ministerio Público</w:t>
      </w:r>
    </w:p>
    <w:p w14:paraId="627828FA" w14:textId="77777777" w:rsidR="00496F50" w:rsidRPr="00842145" w:rsidRDefault="00496F50" w:rsidP="00842145">
      <w:pPr>
        <w:pStyle w:val="Sinespaciado"/>
        <w:spacing w:line="276" w:lineRule="auto"/>
        <w:rPr>
          <w:rFonts w:ascii="Tahoma" w:hAnsi="Tahoma" w:cs="Tahoma"/>
        </w:rPr>
      </w:pPr>
    </w:p>
    <w:p w14:paraId="36C8FC07" w14:textId="54B5763F" w:rsidR="00496F50" w:rsidRPr="00842145" w:rsidRDefault="00496F50" w:rsidP="00842145">
      <w:pPr>
        <w:spacing w:line="276" w:lineRule="auto"/>
        <w:ind w:firstLine="705"/>
        <w:textAlignment w:val="baseline"/>
        <w:rPr>
          <w:rFonts w:ascii="Tahoma" w:hAnsi="Tahoma" w:cs="Tahoma"/>
          <w:sz w:val="24"/>
          <w:szCs w:val="24"/>
        </w:rPr>
      </w:pPr>
      <w:r w:rsidRPr="00842145">
        <w:rPr>
          <w:rFonts w:ascii="Tahoma" w:hAnsi="Tahoma" w:cs="Tahoma"/>
          <w:sz w:val="24"/>
          <w:szCs w:val="24"/>
        </w:rPr>
        <w:t>Analizados los alegatos presentados por</w:t>
      </w:r>
      <w:r w:rsidR="7D8F789F" w:rsidRPr="00842145">
        <w:rPr>
          <w:rFonts w:ascii="Tahoma" w:hAnsi="Tahoma" w:cs="Tahoma"/>
          <w:sz w:val="24"/>
          <w:szCs w:val="24"/>
        </w:rPr>
        <w:t xml:space="preserve"> </w:t>
      </w:r>
      <w:r w:rsidR="002B5C2F" w:rsidRPr="00842145">
        <w:rPr>
          <w:rFonts w:ascii="Tahoma" w:hAnsi="Tahoma" w:cs="Tahoma"/>
          <w:sz w:val="24"/>
          <w:szCs w:val="24"/>
        </w:rPr>
        <w:t>Colpensiones</w:t>
      </w:r>
      <w:r w:rsidRPr="00842145">
        <w:rPr>
          <w:rFonts w:ascii="Tahoma" w:hAnsi="Tahoma" w:cs="Tahoma"/>
          <w:sz w:val="24"/>
          <w:szCs w:val="24"/>
        </w:rPr>
        <w:t>, mismos que obran en el expediente digital y a los cuales nos remitimos por economía procesal en virtud del art. 280 del C.G.P., la Sala encuentra que los argumentos fácticos y jurídicos expresados concuerdan con los puntos objeto de discusión en esta instancia y se relacionan con el problema jurídico que se expresa a continuación.</w:t>
      </w:r>
    </w:p>
    <w:p w14:paraId="1F7C6D0C" w14:textId="77777777" w:rsidR="005D0CD4" w:rsidRPr="00842145" w:rsidRDefault="005D0CD4" w:rsidP="00842145">
      <w:pPr>
        <w:pStyle w:val="Sinespaciado"/>
        <w:spacing w:line="276" w:lineRule="auto"/>
        <w:rPr>
          <w:rFonts w:ascii="Tahoma" w:hAnsi="Tahoma" w:cs="Tahoma"/>
        </w:rPr>
      </w:pPr>
    </w:p>
    <w:p w14:paraId="6665AAF5" w14:textId="71A61283" w:rsidR="00496F50" w:rsidRPr="00842145" w:rsidRDefault="00496F50" w:rsidP="00842145">
      <w:pPr>
        <w:pStyle w:val="Prrafodelista"/>
        <w:numPr>
          <w:ilvl w:val="0"/>
          <w:numId w:val="2"/>
        </w:numPr>
        <w:spacing w:line="276" w:lineRule="auto"/>
        <w:jc w:val="center"/>
        <w:textAlignment w:val="baseline"/>
        <w:rPr>
          <w:rFonts w:ascii="Tahoma" w:hAnsi="Tahoma" w:cs="Tahoma"/>
          <w:b/>
        </w:rPr>
      </w:pPr>
      <w:r w:rsidRPr="00842145">
        <w:rPr>
          <w:rFonts w:ascii="Tahoma" w:hAnsi="Tahoma" w:cs="Tahoma"/>
          <w:b/>
        </w:rPr>
        <w:t>Problema jurídico</w:t>
      </w:r>
    </w:p>
    <w:p w14:paraId="655C5E9B" w14:textId="77777777" w:rsidR="00496F50" w:rsidRPr="00842145" w:rsidRDefault="00496F50" w:rsidP="00842145">
      <w:pPr>
        <w:pStyle w:val="Sinespaciado"/>
        <w:spacing w:line="276" w:lineRule="auto"/>
        <w:rPr>
          <w:rFonts w:ascii="Tahoma" w:hAnsi="Tahoma" w:cs="Tahoma"/>
        </w:rPr>
      </w:pPr>
    </w:p>
    <w:p w14:paraId="0232CC72" w14:textId="1FD66FA7" w:rsidR="004A4239" w:rsidRPr="00842145" w:rsidRDefault="00496F50" w:rsidP="00842145">
      <w:pPr>
        <w:spacing w:line="276" w:lineRule="auto"/>
        <w:rPr>
          <w:rFonts w:ascii="Tahoma" w:hAnsi="Tahoma" w:cs="Tahoma"/>
          <w:sz w:val="24"/>
          <w:szCs w:val="24"/>
          <w:lang w:val="es-MX"/>
        </w:rPr>
      </w:pPr>
      <w:r w:rsidRPr="00842145">
        <w:rPr>
          <w:rFonts w:ascii="Tahoma" w:hAnsi="Tahoma" w:cs="Tahoma"/>
          <w:sz w:val="24"/>
          <w:szCs w:val="24"/>
          <w:lang w:val="es-MX"/>
        </w:rPr>
        <w:t>Por el esquema del recurso de apelación</w:t>
      </w:r>
      <w:r w:rsidR="003772A9" w:rsidRPr="00842145">
        <w:rPr>
          <w:rFonts w:ascii="Tahoma" w:hAnsi="Tahoma" w:cs="Tahoma"/>
          <w:sz w:val="24"/>
          <w:szCs w:val="24"/>
          <w:lang w:val="es-MX"/>
        </w:rPr>
        <w:t xml:space="preserve"> y dando alcance al </w:t>
      </w:r>
      <w:r w:rsidR="00924AA7" w:rsidRPr="00842145">
        <w:rPr>
          <w:rFonts w:ascii="Tahoma" w:hAnsi="Tahoma" w:cs="Tahoma"/>
          <w:sz w:val="24"/>
          <w:szCs w:val="24"/>
          <w:lang w:val="es-MX"/>
        </w:rPr>
        <w:t>grado jurisdiccional</w:t>
      </w:r>
      <w:r w:rsidR="003772A9" w:rsidRPr="00842145">
        <w:rPr>
          <w:rFonts w:ascii="Tahoma" w:hAnsi="Tahoma" w:cs="Tahoma"/>
          <w:sz w:val="24"/>
          <w:szCs w:val="24"/>
          <w:lang w:val="es-MX"/>
        </w:rPr>
        <w:t xml:space="preserve"> de consulta</w:t>
      </w:r>
      <w:r w:rsidRPr="00842145">
        <w:rPr>
          <w:rFonts w:ascii="Tahoma" w:hAnsi="Tahoma" w:cs="Tahoma"/>
          <w:sz w:val="24"/>
          <w:szCs w:val="24"/>
          <w:lang w:val="es-MX"/>
        </w:rPr>
        <w:t xml:space="preserve">, la Sala deberá </w:t>
      </w:r>
      <w:r w:rsidR="004A4239" w:rsidRPr="00842145">
        <w:rPr>
          <w:rFonts w:ascii="Tahoma" w:hAnsi="Tahoma" w:cs="Tahoma"/>
          <w:sz w:val="24"/>
          <w:szCs w:val="24"/>
          <w:lang w:val="es-MX"/>
        </w:rPr>
        <w:t>determinar lo siguiente:</w:t>
      </w:r>
    </w:p>
    <w:p w14:paraId="4F235105" w14:textId="77777777" w:rsidR="004A4239" w:rsidRPr="00842145" w:rsidRDefault="004A4239" w:rsidP="00842145">
      <w:pPr>
        <w:spacing w:line="276" w:lineRule="auto"/>
        <w:rPr>
          <w:rFonts w:ascii="Tahoma" w:hAnsi="Tahoma" w:cs="Tahoma"/>
          <w:sz w:val="24"/>
          <w:szCs w:val="24"/>
          <w:lang w:val="es-MX"/>
        </w:rPr>
      </w:pPr>
    </w:p>
    <w:p w14:paraId="7A90F0F9" w14:textId="21D9F576" w:rsidR="00CD4B04" w:rsidRPr="00842145" w:rsidRDefault="00CD4B04" w:rsidP="00842145">
      <w:pPr>
        <w:pStyle w:val="Prrafodelista"/>
        <w:numPr>
          <w:ilvl w:val="0"/>
          <w:numId w:val="18"/>
        </w:numPr>
        <w:spacing w:line="276" w:lineRule="auto"/>
        <w:jc w:val="both"/>
        <w:rPr>
          <w:rFonts w:ascii="Tahoma" w:hAnsi="Tahoma" w:cs="Tahoma"/>
          <w:lang w:val="es-MX"/>
        </w:rPr>
      </w:pPr>
      <w:r w:rsidRPr="00842145">
        <w:rPr>
          <w:rFonts w:ascii="Tahoma" w:hAnsi="Tahoma" w:cs="Tahoma"/>
          <w:lang w:val="es-MX"/>
        </w:rPr>
        <w:t>¿El Banco de Comercio tenía la obligación de afiliar al demandante y realizar los aportes entre el 24 de abril de 1967 y el 30 de enero de 1972?</w:t>
      </w:r>
    </w:p>
    <w:p w14:paraId="41AA831D" w14:textId="77777777" w:rsidR="00CD4B04" w:rsidRPr="00842145" w:rsidRDefault="00CD4B04" w:rsidP="00842145">
      <w:pPr>
        <w:pStyle w:val="Prrafodelista"/>
        <w:spacing w:line="276" w:lineRule="auto"/>
        <w:ind w:left="1429"/>
        <w:jc w:val="both"/>
        <w:rPr>
          <w:rFonts w:ascii="Tahoma" w:hAnsi="Tahoma" w:cs="Tahoma"/>
          <w:lang w:val="es-MX"/>
        </w:rPr>
      </w:pPr>
    </w:p>
    <w:p w14:paraId="23A645D7" w14:textId="43216A45" w:rsidR="00496F50" w:rsidRPr="00842145" w:rsidRDefault="00CD4B04" w:rsidP="00842145">
      <w:pPr>
        <w:pStyle w:val="Prrafodelista"/>
        <w:numPr>
          <w:ilvl w:val="0"/>
          <w:numId w:val="18"/>
        </w:numPr>
        <w:spacing w:line="276" w:lineRule="auto"/>
        <w:jc w:val="both"/>
        <w:rPr>
          <w:rFonts w:ascii="Tahoma" w:hAnsi="Tahoma" w:cs="Tahoma"/>
          <w:lang w:val="es-MX"/>
        </w:rPr>
      </w:pPr>
      <w:r w:rsidRPr="00842145">
        <w:rPr>
          <w:rFonts w:ascii="Tahoma" w:hAnsi="Tahoma" w:cs="Tahoma"/>
          <w:lang w:val="es-MX"/>
        </w:rPr>
        <w:t>¿E</w:t>
      </w:r>
      <w:r w:rsidR="003772A9" w:rsidRPr="00842145">
        <w:rPr>
          <w:rFonts w:ascii="Tahoma" w:hAnsi="Tahoma" w:cs="Tahoma"/>
          <w:lang w:val="es-MX"/>
        </w:rPr>
        <w:t>s viable sumar a</w:t>
      </w:r>
      <w:r w:rsidR="00924AA7" w:rsidRPr="00842145">
        <w:rPr>
          <w:rFonts w:ascii="Tahoma" w:hAnsi="Tahoma" w:cs="Tahoma"/>
          <w:lang w:val="es-MX"/>
        </w:rPr>
        <w:t xml:space="preserve">l actor </w:t>
      </w:r>
      <w:r w:rsidR="003772A9" w:rsidRPr="00842145">
        <w:rPr>
          <w:rFonts w:ascii="Tahoma" w:hAnsi="Tahoma" w:cs="Tahoma"/>
          <w:lang w:val="es-MX"/>
        </w:rPr>
        <w:t>los periodos de cotización en mora</w:t>
      </w:r>
      <w:r w:rsidR="00924AA7" w:rsidRPr="00842145">
        <w:rPr>
          <w:rFonts w:ascii="Tahoma" w:hAnsi="Tahoma" w:cs="Tahoma"/>
          <w:lang w:val="es-MX"/>
        </w:rPr>
        <w:t xml:space="preserve"> y/o por falta de afiliación, </w:t>
      </w:r>
      <w:r w:rsidRPr="00842145">
        <w:rPr>
          <w:rFonts w:ascii="Tahoma" w:hAnsi="Tahoma" w:cs="Tahoma"/>
          <w:lang w:val="es-MX"/>
        </w:rPr>
        <w:t>para</w:t>
      </w:r>
      <w:r w:rsidR="003772A9" w:rsidRPr="00842145">
        <w:rPr>
          <w:rFonts w:ascii="Tahoma" w:hAnsi="Tahoma" w:cs="Tahoma"/>
          <w:lang w:val="es-MX"/>
        </w:rPr>
        <w:t xml:space="preserve"> alcanzar la densidad mínima de cotizaciones para acceder a la pensión de </w:t>
      </w:r>
      <w:r w:rsidRPr="00842145">
        <w:rPr>
          <w:rFonts w:ascii="Tahoma" w:hAnsi="Tahoma" w:cs="Tahoma"/>
          <w:lang w:val="es-MX"/>
        </w:rPr>
        <w:t>vejez?</w:t>
      </w:r>
      <w:r w:rsidR="003772A9" w:rsidRPr="00842145">
        <w:rPr>
          <w:rFonts w:ascii="Tahoma" w:hAnsi="Tahoma" w:cs="Tahoma"/>
          <w:lang w:val="es-MX"/>
        </w:rPr>
        <w:t xml:space="preserve"> </w:t>
      </w:r>
    </w:p>
    <w:p w14:paraId="594BAAB0" w14:textId="77777777" w:rsidR="00E4275A" w:rsidRPr="00842145" w:rsidRDefault="00E4275A" w:rsidP="00842145">
      <w:pPr>
        <w:pStyle w:val="Prrafodelista"/>
        <w:spacing w:line="276" w:lineRule="auto"/>
        <w:rPr>
          <w:rFonts w:ascii="Tahoma" w:hAnsi="Tahoma" w:cs="Tahoma"/>
          <w:lang w:val="es-MX"/>
        </w:rPr>
      </w:pPr>
    </w:p>
    <w:p w14:paraId="16450482" w14:textId="14ED7930" w:rsidR="455C67FB" w:rsidRPr="006E2C4A" w:rsidRDefault="73051E49" w:rsidP="00B35E15">
      <w:pPr>
        <w:pStyle w:val="Prrafodelista"/>
        <w:numPr>
          <w:ilvl w:val="0"/>
          <w:numId w:val="18"/>
        </w:numPr>
        <w:spacing w:line="276" w:lineRule="auto"/>
        <w:rPr>
          <w:rFonts w:ascii="Tahoma" w:hAnsi="Tahoma" w:cs="Tahoma"/>
          <w:lang w:val="es-MX"/>
        </w:rPr>
      </w:pPr>
      <w:r w:rsidRPr="006E2C4A">
        <w:rPr>
          <w:rFonts w:ascii="Tahoma" w:hAnsi="Tahoma" w:cs="Tahoma"/>
          <w:lang w:val="es-MX"/>
        </w:rPr>
        <w:t>De ser positiva la respuesta anterior ¿el demandante acreditó los requisitos</w:t>
      </w:r>
      <w:r w:rsidR="3977DB88" w:rsidRPr="006E2C4A">
        <w:rPr>
          <w:rFonts w:ascii="Tahoma" w:hAnsi="Tahoma" w:cs="Tahoma"/>
          <w:lang w:val="es-MX"/>
        </w:rPr>
        <w:t xml:space="preserve"> </w:t>
      </w:r>
      <w:r w:rsidRPr="006E2C4A">
        <w:rPr>
          <w:rFonts w:ascii="Tahoma" w:hAnsi="Tahoma" w:cs="Tahoma"/>
          <w:lang w:val="es-MX"/>
        </w:rPr>
        <w:t>para causar la prestación conforme al acuerdo 049 de 1990?</w:t>
      </w:r>
      <w:r w:rsidR="00E4275A" w:rsidRPr="006E2C4A">
        <w:rPr>
          <w:rFonts w:ascii="Tahoma" w:hAnsi="Tahoma" w:cs="Tahoma"/>
          <w:lang w:val="es-MX"/>
        </w:rPr>
        <w:cr/>
      </w:r>
    </w:p>
    <w:p w14:paraId="28BD4222" w14:textId="33D9A04A" w:rsidR="00496F50" w:rsidRPr="00842145" w:rsidRDefault="00496F50" w:rsidP="00842145">
      <w:pPr>
        <w:spacing w:line="276" w:lineRule="auto"/>
        <w:ind w:firstLine="0"/>
        <w:jc w:val="center"/>
        <w:rPr>
          <w:rFonts w:ascii="Tahoma" w:hAnsi="Tahoma" w:cs="Tahoma"/>
          <w:b/>
          <w:sz w:val="24"/>
          <w:szCs w:val="24"/>
          <w:lang w:val="es-CO"/>
        </w:rPr>
      </w:pPr>
      <w:r w:rsidRPr="00842145">
        <w:rPr>
          <w:rFonts w:ascii="Tahoma" w:hAnsi="Tahoma" w:cs="Tahoma"/>
          <w:b/>
          <w:sz w:val="24"/>
          <w:szCs w:val="24"/>
          <w:lang w:val="es-CO"/>
        </w:rPr>
        <w:t>6. Consideraciones</w:t>
      </w:r>
    </w:p>
    <w:p w14:paraId="35BFE070" w14:textId="754EDA36" w:rsidR="455C67FB" w:rsidRPr="00842145" w:rsidRDefault="086EF6E3" w:rsidP="00842145">
      <w:pPr>
        <w:pStyle w:val="Sinespaciado"/>
        <w:spacing w:line="276" w:lineRule="auto"/>
        <w:rPr>
          <w:rFonts w:ascii="Tahoma" w:hAnsi="Tahoma" w:cs="Tahoma"/>
        </w:rPr>
      </w:pPr>
      <w:r w:rsidRPr="00842145">
        <w:rPr>
          <w:rFonts w:ascii="Tahoma" w:hAnsi="Tahoma" w:cs="Tahoma"/>
        </w:rPr>
        <w:t xml:space="preserve"> </w:t>
      </w:r>
    </w:p>
    <w:p w14:paraId="393C18C2" w14:textId="6376E316" w:rsidR="00F20191" w:rsidRPr="00842145" w:rsidRDefault="00F20191" w:rsidP="00842145">
      <w:pPr>
        <w:pStyle w:val="Prrafodelista"/>
        <w:numPr>
          <w:ilvl w:val="1"/>
          <w:numId w:val="16"/>
        </w:numPr>
        <w:spacing w:line="276" w:lineRule="auto"/>
        <w:jc w:val="both"/>
        <w:rPr>
          <w:rFonts w:ascii="Tahoma" w:hAnsi="Tahoma" w:cs="Tahoma"/>
          <w:b/>
          <w:lang w:val="es-CO"/>
        </w:rPr>
      </w:pPr>
      <w:r w:rsidRPr="00842145">
        <w:rPr>
          <w:rFonts w:ascii="Tahoma" w:hAnsi="Tahoma" w:cs="Tahoma"/>
          <w:b/>
          <w:lang w:val="es-CO"/>
        </w:rPr>
        <w:t>M</w:t>
      </w:r>
      <w:r w:rsidR="00496F50" w:rsidRPr="00842145">
        <w:rPr>
          <w:rFonts w:ascii="Tahoma" w:hAnsi="Tahoma" w:cs="Tahoma"/>
          <w:b/>
          <w:lang w:val="es-CO"/>
        </w:rPr>
        <w:t>ora del empleador en el pago de aportes pensionales</w:t>
      </w:r>
      <w:r w:rsidR="00B42EF2" w:rsidRPr="00842145">
        <w:rPr>
          <w:rFonts w:ascii="Tahoma" w:hAnsi="Tahoma" w:cs="Tahoma"/>
          <w:b/>
          <w:lang w:val="es-CO"/>
        </w:rPr>
        <w:t xml:space="preserve"> y falta de afiliación.</w:t>
      </w:r>
    </w:p>
    <w:p w14:paraId="518E91CF" w14:textId="77777777" w:rsidR="00F20191" w:rsidRPr="00842145" w:rsidRDefault="00F20191" w:rsidP="00842145">
      <w:pPr>
        <w:spacing w:line="276" w:lineRule="auto"/>
        <w:ind w:firstLine="0"/>
        <w:rPr>
          <w:rFonts w:ascii="Tahoma" w:hAnsi="Tahoma" w:cs="Tahoma"/>
          <w:sz w:val="24"/>
          <w:szCs w:val="24"/>
          <w:lang w:val="es-CO"/>
        </w:rPr>
      </w:pPr>
    </w:p>
    <w:p w14:paraId="3372EE18" w14:textId="292979AE" w:rsidR="00082BF4" w:rsidRPr="00842145" w:rsidRDefault="00082BF4" w:rsidP="00842145">
      <w:pPr>
        <w:pStyle w:val="paragraph"/>
        <w:spacing w:before="0" w:beforeAutospacing="0" w:after="0" w:afterAutospacing="0" w:line="276" w:lineRule="auto"/>
        <w:ind w:firstLine="708"/>
        <w:jc w:val="both"/>
        <w:textAlignment w:val="baseline"/>
        <w:rPr>
          <w:rFonts w:ascii="Tahoma" w:hAnsi="Tahoma" w:cs="Tahoma"/>
        </w:rPr>
      </w:pPr>
      <w:r w:rsidRPr="00842145">
        <w:rPr>
          <w:rStyle w:val="normaltextrun"/>
          <w:rFonts w:ascii="Tahoma" w:hAnsi="Tahoma" w:cs="Tahoma"/>
        </w:rPr>
        <w:t>La jurisprudencia patria ha sido clara en determinar que ni la mora en el pago de los aportes ni la falta de afiliación por parte del empleador pueden perjudicar las aspiraciones del trabajador de obtener el reconocimiento pensional, sumándose los tiempos echados de menos por la omisión de las obligaciones del patrono, siempre que en el curso del proceso logre demostrar el vínculo contractual durante los periodos incumplidos. Esto por cuanto el trabajador que cumplió con sus obligaciones</w:t>
      </w:r>
      <w:r w:rsidR="00946072" w:rsidRPr="00842145">
        <w:rPr>
          <w:rStyle w:val="normaltextrun"/>
          <w:rFonts w:ascii="Tahoma" w:hAnsi="Tahoma" w:cs="Tahoma"/>
        </w:rPr>
        <w:t xml:space="preserve"> – prestación del servicio-</w:t>
      </w:r>
      <w:r w:rsidRPr="00842145">
        <w:rPr>
          <w:rStyle w:val="normaltextrun"/>
          <w:rFonts w:ascii="Tahoma" w:hAnsi="Tahoma" w:cs="Tahoma"/>
        </w:rPr>
        <w:t>, no tiene por qué soportar la negligencia de los restantes actores del sistema. </w:t>
      </w:r>
      <w:r w:rsidRPr="00842145">
        <w:rPr>
          <w:rStyle w:val="eop"/>
          <w:rFonts w:ascii="Tahoma" w:hAnsi="Tahoma" w:cs="Tahoma"/>
        </w:rPr>
        <w:t> </w:t>
      </w:r>
    </w:p>
    <w:p w14:paraId="5B24DF31" w14:textId="77777777" w:rsidR="00082BF4" w:rsidRPr="00842145" w:rsidRDefault="00082BF4" w:rsidP="00842145">
      <w:pPr>
        <w:pStyle w:val="Sinespaciado"/>
        <w:spacing w:line="276" w:lineRule="auto"/>
        <w:rPr>
          <w:rFonts w:ascii="Tahoma" w:hAnsi="Tahoma" w:cs="Tahoma"/>
        </w:rPr>
      </w:pPr>
      <w:r w:rsidRPr="00842145">
        <w:rPr>
          <w:rStyle w:val="eop"/>
          <w:rFonts w:ascii="Tahoma" w:hAnsi="Tahoma" w:cs="Tahoma"/>
        </w:rPr>
        <w:t> </w:t>
      </w:r>
    </w:p>
    <w:p w14:paraId="309337CA" w14:textId="60C2E0AD" w:rsidR="00082BF4" w:rsidRPr="00842145" w:rsidRDefault="00082BF4" w:rsidP="00842145">
      <w:pPr>
        <w:pStyle w:val="paragraph"/>
        <w:spacing w:before="0" w:beforeAutospacing="0" w:after="0" w:afterAutospacing="0" w:line="276" w:lineRule="auto"/>
        <w:ind w:firstLine="708"/>
        <w:jc w:val="both"/>
        <w:textAlignment w:val="baseline"/>
        <w:rPr>
          <w:rFonts w:ascii="Tahoma" w:hAnsi="Tahoma" w:cs="Tahoma"/>
        </w:rPr>
      </w:pPr>
      <w:r w:rsidRPr="00842145">
        <w:rPr>
          <w:rStyle w:val="normaltextrun"/>
          <w:rFonts w:ascii="Tahoma" w:hAnsi="Tahoma" w:cs="Tahoma"/>
        </w:rPr>
        <w:lastRenderedPageBreak/>
        <w:t>No obstante, si bien en ambos supuestos (mora y falta de afiliación), una vez acreditada la relación laboral, la obligación de reconocimiento de la prestación está a cargo de la administradora pensional; dependiendo de la situación que se presente, al empleador le compete o bien efectuar el pago de los aportes debidos con los respectivos intereses moratorios, caso de la mora patronal o  tratándose de la falta de afiliación, cancelar el cálculo actuarial por los tiempos en que no hubo inscripción al sistema pensional, toda vez que en este último caso</w:t>
      </w:r>
      <w:r w:rsidR="005202CE" w:rsidRPr="00842145">
        <w:rPr>
          <w:rStyle w:val="normaltextrun"/>
          <w:rFonts w:ascii="Tahoma" w:hAnsi="Tahoma" w:cs="Tahoma"/>
        </w:rPr>
        <w:t xml:space="preserve">, </w:t>
      </w:r>
      <w:r w:rsidRPr="00842145">
        <w:rPr>
          <w:rStyle w:val="normaltextrun"/>
          <w:rFonts w:ascii="Tahoma" w:hAnsi="Tahoma" w:cs="Tahoma"/>
        </w:rPr>
        <w:t>al no ser conocido por la entidad de seguridad social la existencia del contrato de trabajo, no le era posible efectuar las acciones de cobro, que eran su responsabilidad en el caso de la mora.</w:t>
      </w:r>
      <w:r w:rsidRPr="00842145">
        <w:rPr>
          <w:rStyle w:val="eop"/>
          <w:rFonts w:ascii="Tahoma" w:hAnsi="Tahoma" w:cs="Tahoma"/>
        </w:rPr>
        <w:t> </w:t>
      </w:r>
    </w:p>
    <w:p w14:paraId="1AD003D2" w14:textId="77777777" w:rsidR="00082BF4" w:rsidRPr="00842145" w:rsidRDefault="00082BF4" w:rsidP="00842145">
      <w:pPr>
        <w:pStyle w:val="Sinespaciado"/>
        <w:spacing w:line="276" w:lineRule="auto"/>
        <w:rPr>
          <w:rFonts w:ascii="Tahoma" w:hAnsi="Tahoma" w:cs="Tahoma"/>
        </w:rPr>
      </w:pPr>
      <w:r w:rsidRPr="00842145">
        <w:rPr>
          <w:rStyle w:val="eop"/>
          <w:rFonts w:ascii="Tahoma" w:hAnsi="Tahoma" w:cs="Tahoma"/>
        </w:rPr>
        <w:t> </w:t>
      </w:r>
    </w:p>
    <w:p w14:paraId="6C97F14D" w14:textId="77777777" w:rsidR="005202CE" w:rsidRPr="00842145" w:rsidRDefault="00082BF4" w:rsidP="00842145">
      <w:pPr>
        <w:pStyle w:val="paragraph"/>
        <w:spacing w:before="0" w:beforeAutospacing="0" w:after="0" w:afterAutospacing="0" w:line="276" w:lineRule="auto"/>
        <w:ind w:firstLine="708"/>
        <w:jc w:val="both"/>
        <w:textAlignment w:val="baseline"/>
        <w:rPr>
          <w:rStyle w:val="normaltextrun"/>
          <w:rFonts w:ascii="Tahoma" w:hAnsi="Tahoma" w:cs="Tahoma"/>
        </w:rPr>
      </w:pPr>
      <w:r w:rsidRPr="00842145">
        <w:rPr>
          <w:rStyle w:val="normaltextrun"/>
          <w:rFonts w:ascii="Tahoma" w:hAnsi="Tahoma" w:cs="Tahoma"/>
        </w:rPr>
        <w:t xml:space="preserve">En ese entendido, en el caso de la mora o el pago tardío de aportes, si no hay gestión de cobro por parte de la entidad de seguridad social, no puede existir la declaratoria de </w:t>
      </w:r>
      <w:r w:rsidRPr="00842145">
        <w:rPr>
          <w:rStyle w:val="normaltextrun"/>
          <w:rFonts w:ascii="Tahoma" w:hAnsi="Tahoma" w:cs="Tahoma"/>
          <w:i/>
        </w:rPr>
        <w:t>«deuda incobrable»</w:t>
      </w:r>
      <w:r w:rsidRPr="00842145">
        <w:rPr>
          <w:rStyle w:val="normaltextrun"/>
          <w:rFonts w:ascii="Tahoma" w:hAnsi="Tahoma" w:cs="Tahoma"/>
        </w:rPr>
        <w:t xml:space="preserve"> sobre las cotizaciones que se registran en mora, por lo que no cabrían los efectos del artículo 75 del Decreto 2665 de 1988, cuáles son los de tener por inexistentes esas cotizaciones</w:t>
      </w:r>
      <w:r w:rsidR="005202CE" w:rsidRPr="00842145">
        <w:rPr>
          <w:rStyle w:val="normaltextrun"/>
          <w:rFonts w:ascii="Tahoma" w:hAnsi="Tahoma" w:cs="Tahoma"/>
        </w:rPr>
        <w:t xml:space="preserve">. Así, </w:t>
      </w:r>
      <w:r w:rsidRPr="00842145">
        <w:rPr>
          <w:rStyle w:val="normaltextrun"/>
          <w:rFonts w:ascii="Tahoma" w:hAnsi="Tahoma" w:cs="Tahoma"/>
        </w:rPr>
        <w:t xml:space="preserve">al cumplir el trabajador con la carga de probar que prestó el servicio por los periodos que echa de menos en su historia laboral, es procedente ordenar vía judicial el reconocimiento pensional, teniendo en cuenta tales periodos. </w:t>
      </w:r>
    </w:p>
    <w:p w14:paraId="567F2D6C" w14:textId="77777777" w:rsidR="005202CE" w:rsidRPr="00842145" w:rsidRDefault="005202CE" w:rsidP="00842145">
      <w:pPr>
        <w:pStyle w:val="Sinespaciado"/>
        <w:spacing w:line="276" w:lineRule="auto"/>
        <w:rPr>
          <w:rStyle w:val="normaltextrun"/>
          <w:rFonts w:ascii="Tahoma" w:hAnsi="Tahoma" w:cs="Tahoma"/>
        </w:rPr>
      </w:pPr>
    </w:p>
    <w:p w14:paraId="392F550C" w14:textId="1C1115D4" w:rsidR="00082BF4" w:rsidRPr="00842145" w:rsidRDefault="00082BF4" w:rsidP="00842145">
      <w:pPr>
        <w:pStyle w:val="paragraph"/>
        <w:spacing w:before="0" w:beforeAutospacing="0" w:after="0" w:afterAutospacing="0" w:line="276" w:lineRule="auto"/>
        <w:ind w:firstLine="708"/>
        <w:jc w:val="both"/>
        <w:textAlignment w:val="baseline"/>
        <w:rPr>
          <w:rStyle w:val="eop"/>
          <w:rFonts w:ascii="Tahoma" w:hAnsi="Tahoma" w:cs="Tahoma"/>
        </w:rPr>
      </w:pPr>
      <w:r w:rsidRPr="00842145">
        <w:rPr>
          <w:rStyle w:val="normaltextrun"/>
          <w:rFonts w:ascii="Tahoma" w:hAnsi="Tahoma" w:cs="Tahoma"/>
        </w:rPr>
        <w:t>Asimismo, ocurre en cuanto a la falta de afiliación del trabajador por parte de su empleador, pues si bien la entidad de seguridad social no tuvo la oportunidad de efectuar acciones cobro sobre unos periodos que no conoció, el derecho pensional del trabajador no puede ceder ante la negligencia del patrono y, por ende, en estos casos, judicialmente es viable ordenar el pago del cálculo actuarial al empleador con destino a la administradora pensional, y esta última, a su vez reconocer la prensión deprecada. </w:t>
      </w:r>
      <w:r w:rsidRPr="00842145">
        <w:rPr>
          <w:rStyle w:val="eop"/>
          <w:rFonts w:ascii="Tahoma" w:hAnsi="Tahoma" w:cs="Tahoma"/>
        </w:rPr>
        <w:t> </w:t>
      </w:r>
    </w:p>
    <w:p w14:paraId="67DE8B51" w14:textId="77777777" w:rsidR="00082BF4" w:rsidRPr="00842145" w:rsidRDefault="00082BF4" w:rsidP="00842145">
      <w:pPr>
        <w:pStyle w:val="Sinespaciado"/>
        <w:spacing w:line="276" w:lineRule="auto"/>
        <w:rPr>
          <w:rStyle w:val="eop"/>
          <w:rFonts w:ascii="Tahoma" w:hAnsi="Tahoma" w:cs="Tahoma"/>
        </w:rPr>
      </w:pPr>
    </w:p>
    <w:p w14:paraId="5F939A16" w14:textId="77777777" w:rsidR="00082BF4" w:rsidRPr="00842145" w:rsidRDefault="00082BF4" w:rsidP="00842145">
      <w:pPr>
        <w:pStyle w:val="paragraph"/>
        <w:spacing w:before="0" w:beforeAutospacing="0" w:after="0" w:afterAutospacing="0" w:line="276" w:lineRule="auto"/>
        <w:ind w:firstLine="708"/>
        <w:jc w:val="both"/>
        <w:textAlignment w:val="baseline"/>
        <w:rPr>
          <w:rFonts w:ascii="Tahoma" w:hAnsi="Tahoma" w:cs="Tahoma"/>
          <w:lang w:val="es-ES"/>
        </w:rPr>
      </w:pPr>
      <w:r w:rsidRPr="00842145">
        <w:rPr>
          <w:rStyle w:val="eop"/>
          <w:rFonts w:ascii="Tahoma" w:hAnsi="Tahoma" w:cs="Tahoma"/>
        </w:rPr>
        <w:t xml:space="preserve">En el último caso, para que los periodos sean tenidos en cuenta a efectos de contabilizar las semanas cotizadas, se requiere la cancelación previa y a satisfacción del cálculo actuarial ante el fondo de pensiones, aportes que deben ser imputados al periodo correspondiente, con independencia de que la deuda haya sido cancelada con posterioridad, conforme lo precisó la Corte, en sentencia CSJ SL 3070 de 2020 del 19 de agosto de 2020, Magistrado Ponente Luis Benedicto Herrera Diaz, memorada por esta Corporación </w:t>
      </w:r>
      <w:r w:rsidRPr="00842145">
        <w:rPr>
          <w:rFonts w:ascii="Tahoma" w:hAnsi="Tahoma" w:cs="Tahoma"/>
          <w:lang w:val="es-ES"/>
        </w:rPr>
        <w:t xml:space="preserve">en providencia del 09 de diciembre de 2020, radicado </w:t>
      </w:r>
      <w:r w:rsidRPr="00842145">
        <w:rPr>
          <w:rFonts w:ascii="Tahoma" w:hAnsi="Tahoma" w:cs="Tahoma"/>
        </w:rPr>
        <w:t>66001-31-05-004-2018-00433-01, Magistrado Ponente</w:t>
      </w:r>
      <w:r w:rsidRPr="00842145">
        <w:rPr>
          <w:rFonts w:ascii="Tahoma" w:hAnsi="Tahoma" w:cs="Tahoma"/>
          <w:lang w:val="es-ES"/>
        </w:rPr>
        <w:t xml:space="preserve"> Julio César Salazar Muñoz, al siguiente tenor:</w:t>
      </w:r>
    </w:p>
    <w:p w14:paraId="3C8B1AE7" w14:textId="77777777" w:rsidR="00082BF4" w:rsidRPr="00842145" w:rsidRDefault="00082BF4" w:rsidP="00842145">
      <w:pPr>
        <w:pStyle w:val="Sinespaciado"/>
        <w:spacing w:line="276" w:lineRule="auto"/>
        <w:rPr>
          <w:rFonts w:ascii="Tahoma" w:hAnsi="Tahoma" w:cs="Tahoma"/>
        </w:rPr>
      </w:pPr>
    </w:p>
    <w:p w14:paraId="3F93F2C0" w14:textId="77777777" w:rsidR="00082BF4" w:rsidRPr="006E2C4A" w:rsidRDefault="00082BF4" w:rsidP="006E2C4A">
      <w:pPr>
        <w:spacing w:line="240" w:lineRule="auto"/>
        <w:ind w:left="426" w:right="420" w:firstLine="0"/>
        <w:rPr>
          <w:rFonts w:ascii="Tahoma" w:eastAsia="Arial" w:hAnsi="Tahoma" w:cs="Tahoma"/>
          <w:i/>
          <w:iCs/>
          <w:szCs w:val="24"/>
        </w:rPr>
      </w:pPr>
      <w:r w:rsidRPr="006E2C4A">
        <w:rPr>
          <w:rFonts w:ascii="Tahoma" w:eastAsia="Arial" w:hAnsi="Tahoma" w:cs="Tahoma"/>
          <w:i/>
          <w:iCs/>
          <w:szCs w:val="24"/>
        </w:rPr>
        <w:t>“Vale precisar, que el hecho de que el pago del cálculo actuarial se hubiere realizado por el Colegio Nuestra Señora de la Paz, en su condición de ex empleador de la actora en el año 2007, en nada afecta el derecho que a ésta le asiste, en tanto dicho pago se imputó a los períodos adeudados para del año 1973, como quedó evidenciado en la historia laboral</w:t>
      </w:r>
    </w:p>
    <w:p w14:paraId="29D479A2" w14:textId="77777777" w:rsidR="00082BF4" w:rsidRPr="006E2C4A" w:rsidRDefault="00082BF4" w:rsidP="006E2C4A">
      <w:pPr>
        <w:pStyle w:val="Sinespaciado"/>
        <w:ind w:left="426" w:right="420"/>
        <w:rPr>
          <w:rFonts w:ascii="Tahoma" w:hAnsi="Tahoma" w:cs="Tahoma"/>
          <w:sz w:val="22"/>
        </w:rPr>
      </w:pPr>
    </w:p>
    <w:p w14:paraId="574AF313" w14:textId="77777777" w:rsidR="00082BF4" w:rsidRPr="006E2C4A" w:rsidRDefault="00082BF4" w:rsidP="006E2C4A">
      <w:pPr>
        <w:spacing w:line="240" w:lineRule="auto"/>
        <w:ind w:left="426" w:right="420" w:firstLine="0"/>
        <w:rPr>
          <w:rFonts w:ascii="Tahoma" w:hAnsi="Tahoma" w:cs="Tahoma"/>
          <w:bCs/>
          <w:szCs w:val="24"/>
          <w:lang w:val="es-CO"/>
        </w:rPr>
      </w:pPr>
      <w:r w:rsidRPr="006E2C4A">
        <w:rPr>
          <w:rFonts w:ascii="Tahoma" w:eastAsia="Arial" w:hAnsi="Tahoma" w:cs="Tahoma"/>
          <w:i/>
          <w:iCs/>
          <w:szCs w:val="24"/>
        </w:rPr>
        <w:t>Y, precisamente, mecanismos de pago como el cálculo actuarial, los bonos pensionales, los títulos pensionales y, aún, los aportes con intereses moratorios no son más que fórmulas de convalidación de las cotizaciones no efectuadas en tiempo, cualquiera que hubiere sido su razón. Frente a estas fórmulas de pago, cualquier reproche que se pudiere plantear por no pago, pago tardío, pago deficitario, etc., se desvanece o purga, de manera que, su efecto es el de tener por cumplida la obligación de pagar.”</w:t>
      </w:r>
    </w:p>
    <w:p w14:paraId="26AF7046" w14:textId="715BF4B8" w:rsidR="00082BF4" w:rsidRPr="00842145" w:rsidRDefault="00082BF4" w:rsidP="00842145">
      <w:pPr>
        <w:pStyle w:val="Sinespaciado"/>
        <w:spacing w:line="276" w:lineRule="auto"/>
        <w:rPr>
          <w:rFonts w:ascii="Tahoma" w:hAnsi="Tahoma" w:cs="Tahoma"/>
        </w:rPr>
      </w:pPr>
    </w:p>
    <w:p w14:paraId="42806964" w14:textId="2D92F535" w:rsidR="00496F50" w:rsidRPr="00842145" w:rsidRDefault="10DD06BC" w:rsidP="00842145">
      <w:pPr>
        <w:spacing w:line="276" w:lineRule="auto"/>
        <w:rPr>
          <w:rFonts w:ascii="Tahoma" w:hAnsi="Tahoma" w:cs="Tahoma"/>
          <w:sz w:val="24"/>
          <w:szCs w:val="24"/>
          <w:lang w:val="es-CO"/>
        </w:rPr>
      </w:pPr>
      <w:r w:rsidRPr="00842145">
        <w:rPr>
          <w:rFonts w:ascii="Tahoma" w:hAnsi="Tahoma" w:cs="Tahoma"/>
          <w:sz w:val="24"/>
          <w:szCs w:val="24"/>
          <w:lang w:val="es-CO"/>
        </w:rPr>
        <w:t>De acuerdo a lo previsto en el artículo 17 de la Ley 100 de 1993, modificado por el art. 4 de la Ley 797 de 2003, durante la vigencia de la relación laboral y del contrato de prestación de servicios, deberán efectuarse cotizaciones obligatorias a los regímenes del sistema general de pensiones por parte de los afiliados, los empleadores y contratistas con base en el salario o ingreso por prestación de servicios que aquellos devenguen.</w:t>
      </w:r>
    </w:p>
    <w:p w14:paraId="0BCF8FF3" w14:textId="77777777" w:rsidR="005D0CD4" w:rsidRPr="00842145" w:rsidRDefault="005D0CD4" w:rsidP="00842145">
      <w:pPr>
        <w:pStyle w:val="Sinespaciado"/>
        <w:spacing w:line="276" w:lineRule="auto"/>
        <w:rPr>
          <w:rFonts w:ascii="Tahoma" w:hAnsi="Tahoma" w:cs="Tahoma"/>
        </w:rPr>
      </w:pPr>
    </w:p>
    <w:p w14:paraId="7A4D5EC7" w14:textId="27402B68" w:rsidR="00125D21" w:rsidRPr="00842145" w:rsidRDefault="002C4173" w:rsidP="00842145">
      <w:pPr>
        <w:pStyle w:val="Prrafodelista"/>
        <w:numPr>
          <w:ilvl w:val="1"/>
          <w:numId w:val="16"/>
        </w:numPr>
        <w:spacing w:line="276" w:lineRule="auto"/>
        <w:jc w:val="both"/>
        <w:rPr>
          <w:rFonts w:ascii="Tahoma" w:hAnsi="Tahoma" w:cs="Tahoma"/>
          <w:lang w:val="es-CO"/>
        </w:rPr>
      </w:pPr>
      <w:r w:rsidRPr="00842145">
        <w:rPr>
          <w:rFonts w:ascii="Tahoma" w:hAnsi="Tahoma" w:cs="Tahoma"/>
          <w:b/>
          <w:lang w:val="es-CO"/>
        </w:rPr>
        <w:t>Obligación de las entidades administradora de pensiones respecto al manejo de las historias labores</w:t>
      </w:r>
    </w:p>
    <w:p w14:paraId="18391D57" w14:textId="06DDC18D" w:rsidR="00125D21" w:rsidRPr="00842145" w:rsidRDefault="00125D21" w:rsidP="00842145">
      <w:pPr>
        <w:pStyle w:val="Sinespaciado"/>
        <w:spacing w:line="276" w:lineRule="auto"/>
        <w:rPr>
          <w:rFonts w:ascii="Tahoma" w:hAnsi="Tahoma" w:cs="Tahoma"/>
        </w:rPr>
      </w:pPr>
    </w:p>
    <w:p w14:paraId="1194CE31" w14:textId="77777777" w:rsidR="00792F41" w:rsidRPr="00842145" w:rsidRDefault="00245004" w:rsidP="00842145">
      <w:pPr>
        <w:spacing w:line="276" w:lineRule="auto"/>
        <w:rPr>
          <w:rFonts w:ascii="Tahoma" w:hAnsi="Tahoma" w:cs="Tahoma"/>
          <w:sz w:val="24"/>
          <w:szCs w:val="24"/>
          <w:lang w:val="es-CO"/>
        </w:rPr>
      </w:pPr>
      <w:r w:rsidRPr="00842145">
        <w:rPr>
          <w:rFonts w:ascii="Tahoma" w:hAnsi="Tahoma" w:cs="Tahoma"/>
          <w:sz w:val="24"/>
          <w:szCs w:val="24"/>
          <w:lang w:val="es-CO"/>
        </w:rPr>
        <w:t xml:space="preserve">La Sala de Casación Laboral de la Corte Suprema de Justicia, mediante providencia SL3691-2021 adoctrinó que las administradoras pensionales, sin importar el régimen que administren, tienen el deber de custodiar, conservar y verificar la información de las historias laborales de sus afiliados, para lo cual deben tener en cuenta lo dispuesto en la Ley 1581 de 2022 respecto al manejo y protección de datos personales. Adicionalmente, recalcó el Alto Tribunal que esta custodia adecuada reviste de vital importancia, en la medida que la observancia efectiva de esta gestión permite que los empleadores cumplan con sus obligaciones pensionales, a la par que evita tardanzas injustificadas en el reconocimiento de las prestaciones del sistema. </w:t>
      </w:r>
    </w:p>
    <w:p w14:paraId="475A6D8D" w14:textId="77777777" w:rsidR="00792F41" w:rsidRPr="00842145" w:rsidRDefault="00792F41" w:rsidP="00842145">
      <w:pPr>
        <w:pStyle w:val="Sinespaciado"/>
        <w:spacing w:line="276" w:lineRule="auto"/>
        <w:rPr>
          <w:rFonts w:ascii="Tahoma" w:hAnsi="Tahoma" w:cs="Tahoma"/>
        </w:rPr>
      </w:pPr>
    </w:p>
    <w:p w14:paraId="6B0BC082" w14:textId="0C7B2266" w:rsidR="00245004" w:rsidRPr="00842145" w:rsidRDefault="00792F41" w:rsidP="00842145">
      <w:pPr>
        <w:spacing w:line="276" w:lineRule="auto"/>
        <w:rPr>
          <w:rFonts w:ascii="Tahoma" w:eastAsia="Arial" w:hAnsi="Tahoma" w:cs="Tahoma"/>
          <w:i/>
          <w:iCs/>
          <w:sz w:val="24"/>
          <w:szCs w:val="24"/>
        </w:rPr>
      </w:pPr>
      <w:r w:rsidRPr="00842145">
        <w:rPr>
          <w:rFonts w:ascii="Tahoma" w:hAnsi="Tahoma" w:cs="Tahoma"/>
          <w:sz w:val="24"/>
          <w:szCs w:val="24"/>
          <w:lang w:val="es-CO"/>
        </w:rPr>
        <w:t>En ese orden,</w:t>
      </w:r>
      <w:r w:rsidR="00245004" w:rsidRPr="00842145">
        <w:rPr>
          <w:rFonts w:ascii="Tahoma" w:hAnsi="Tahoma" w:cs="Tahoma"/>
          <w:sz w:val="24"/>
          <w:szCs w:val="24"/>
          <w:lang w:val="es-CO"/>
        </w:rPr>
        <w:t xml:space="preserve"> concluyó que</w:t>
      </w:r>
      <w:r w:rsidR="00245004" w:rsidRPr="00842145">
        <w:rPr>
          <w:rFonts w:ascii="Tahoma" w:eastAsia="Bookman Old Style" w:hAnsi="Tahoma" w:cs="Tahoma"/>
          <w:sz w:val="24"/>
          <w:szCs w:val="24"/>
          <w:lang w:val="es-CO"/>
        </w:rPr>
        <w:t xml:space="preserve"> “</w:t>
      </w:r>
      <w:proofErr w:type="spellStart"/>
      <w:r w:rsidR="00245004" w:rsidRPr="001A20D6">
        <w:rPr>
          <w:rFonts w:ascii="Tahoma" w:eastAsia="Arial" w:hAnsi="Tahoma" w:cs="Tahoma"/>
          <w:i/>
          <w:iCs/>
          <w:szCs w:val="24"/>
        </w:rPr>
        <w:t>si</w:t>
      </w:r>
      <w:proofErr w:type="spellEnd"/>
      <w:r w:rsidR="00245004" w:rsidRPr="001A20D6">
        <w:rPr>
          <w:rFonts w:ascii="Tahoma" w:eastAsia="Arial" w:hAnsi="Tahoma" w:cs="Tahoma"/>
          <w:i/>
          <w:iCs/>
          <w:szCs w:val="24"/>
        </w:rPr>
        <w:t xml:space="preserve"> en esta gestión existen infracciones por parte de los entes administradores de pensiones, es impensable que las consecuencias negativas que ellas deriven puedan trasladarse a los afiliados, y menos cuando las mismas no les son atribuibles.</w:t>
      </w:r>
      <w:r w:rsidR="001A20D6" w:rsidRPr="001A20D6">
        <w:rPr>
          <w:rFonts w:ascii="Tahoma" w:eastAsia="Arial" w:hAnsi="Tahoma" w:cs="Tahoma"/>
          <w:i/>
          <w:iCs/>
          <w:szCs w:val="24"/>
        </w:rPr>
        <w:t xml:space="preserve"> </w:t>
      </w:r>
      <w:r w:rsidR="00245004" w:rsidRPr="001A20D6">
        <w:rPr>
          <w:rFonts w:ascii="Tahoma" w:eastAsia="Arial" w:hAnsi="Tahoma" w:cs="Tahoma"/>
          <w:i/>
          <w:iCs/>
          <w:szCs w:val="24"/>
        </w:rPr>
        <w:t>(…) En ese sentido, el efecto del incumplimiento de los deberes de gestión, guarda, conservación y verificación del contenido de la historia laboral debe ser asumido por la entidad administradora, pues esta cuenta con los recursos e infraestructura necesaria y suficiente para identificar con anticipación las inconsistencias que se presenten</w:t>
      </w:r>
      <w:r w:rsidR="00245004" w:rsidRPr="00842145">
        <w:rPr>
          <w:rFonts w:ascii="Tahoma" w:eastAsia="Arial" w:hAnsi="Tahoma" w:cs="Tahoma"/>
          <w:i/>
          <w:iCs/>
          <w:sz w:val="24"/>
          <w:szCs w:val="24"/>
        </w:rPr>
        <w:t>”.</w:t>
      </w:r>
    </w:p>
    <w:p w14:paraId="3CE52181" w14:textId="77777777" w:rsidR="00245004" w:rsidRPr="00842145" w:rsidRDefault="00245004" w:rsidP="00842145">
      <w:pPr>
        <w:pStyle w:val="Sinespaciado"/>
        <w:spacing w:line="276" w:lineRule="auto"/>
        <w:rPr>
          <w:rFonts w:ascii="Tahoma" w:hAnsi="Tahoma" w:cs="Tahoma"/>
        </w:rPr>
      </w:pPr>
    </w:p>
    <w:p w14:paraId="500B4D1A" w14:textId="07BBD126" w:rsidR="00496F50" w:rsidRPr="00842145" w:rsidRDefault="00792F41" w:rsidP="00842145">
      <w:pPr>
        <w:tabs>
          <w:tab w:val="left" w:pos="3598"/>
        </w:tabs>
        <w:spacing w:line="276" w:lineRule="auto"/>
        <w:rPr>
          <w:rFonts w:ascii="Tahoma" w:hAnsi="Tahoma" w:cs="Tahoma"/>
          <w:sz w:val="24"/>
          <w:szCs w:val="24"/>
        </w:rPr>
      </w:pPr>
      <w:r w:rsidRPr="00842145">
        <w:rPr>
          <w:rFonts w:ascii="Tahoma" w:hAnsi="Tahoma" w:cs="Tahoma"/>
          <w:sz w:val="24"/>
          <w:szCs w:val="24"/>
        </w:rPr>
        <w:t xml:space="preserve">La postura de la Sala de Casación Laboral es compartida plenamente por la Corte Constitucional, tal como esta Corporación, con ponencia de la Magistrada Alejandra María Henao Palacio en la sentencia del 05 de octubre de 2020, radicado 2018-349, recordó: </w:t>
      </w:r>
    </w:p>
    <w:p w14:paraId="4B536670" w14:textId="598DA30A" w:rsidR="00792F41" w:rsidRPr="00842145" w:rsidRDefault="00792F41" w:rsidP="00842145">
      <w:pPr>
        <w:pStyle w:val="Sinespaciado"/>
        <w:spacing w:line="276" w:lineRule="auto"/>
        <w:rPr>
          <w:rFonts w:ascii="Tahoma" w:hAnsi="Tahoma" w:cs="Tahoma"/>
        </w:rPr>
      </w:pPr>
    </w:p>
    <w:p w14:paraId="0F9E5D8E" w14:textId="5B14CDC0" w:rsidR="00792F41" w:rsidRPr="006E2C4A" w:rsidRDefault="00792F41" w:rsidP="006E2C4A">
      <w:pPr>
        <w:spacing w:line="240" w:lineRule="auto"/>
        <w:ind w:left="426" w:right="420" w:firstLine="0"/>
        <w:rPr>
          <w:rFonts w:ascii="Tahoma" w:eastAsia="Arial" w:hAnsi="Tahoma" w:cs="Tahoma"/>
          <w:i/>
          <w:iCs/>
          <w:szCs w:val="24"/>
        </w:rPr>
      </w:pPr>
      <w:r w:rsidRPr="006E2C4A">
        <w:rPr>
          <w:rFonts w:ascii="Tahoma" w:eastAsia="Arial" w:hAnsi="Tahoma" w:cs="Tahoma"/>
          <w:i/>
          <w:iCs/>
          <w:szCs w:val="24"/>
        </w:rPr>
        <w:t>“La Corte Constitucional, por ejemplo ha indicado que la obligación que surge para las administradoras de pensiones respecto del manejo de las historias laborales es la que las vincula con la custodia, conservación y guarda de la información que determina si sus afiliados cumplen con los requisitos de acceso a la pensión y de los documentos físicos o magnéticos en los que esa información reposa</w:t>
      </w:r>
      <w:r w:rsidRPr="00A23043">
        <w:rPr>
          <w:rFonts w:ascii="Tahoma" w:eastAsia="Arial" w:hAnsi="Tahoma" w:cs="Tahoma"/>
          <w:i/>
          <w:iCs/>
          <w:sz w:val="24"/>
          <w:szCs w:val="24"/>
          <w:vertAlign w:val="superscript"/>
        </w:rPr>
        <w:footnoteReference w:id="1"/>
      </w:r>
      <w:r w:rsidRPr="006E2C4A">
        <w:rPr>
          <w:rFonts w:ascii="Tahoma" w:eastAsia="Arial" w:hAnsi="Tahoma" w:cs="Tahoma"/>
          <w:i/>
          <w:iCs/>
          <w:szCs w:val="24"/>
        </w:rPr>
        <w:t>. Así mismo, involucra también el deber de organizar y sistematizar esos datos, sin que sea posible trasladarle al afiliado las consecuencias negativas de dicha infracción, puesto que es la entidad administradora quien debe asumirlos, toda vez que esta quien cuenta con los medios necesarios para gestionar los datos de las cotizaciones y aportes de sus afiliados</w:t>
      </w:r>
      <w:r w:rsidRPr="00A23043">
        <w:rPr>
          <w:rFonts w:ascii="Tahoma" w:eastAsia="Arial" w:hAnsi="Tahoma" w:cs="Tahoma"/>
          <w:i/>
          <w:iCs/>
          <w:sz w:val="24"/>
          <w:szCs w:val="24"/>
          <w:vertAlign w:val="superscript"/>
        </w:rPr>
        <w:footnoteReference w:id="2"/>
      </w:r>
      <w:r w:rsidRPr="00A23043">
        <w:rPr>
          <w:rFonts w:ascii="Tahoma" w:eastAsia="Arial" w:hAnsi="Tahoma" w:cs="Tahoma"/>
          <w:i/>
          <w:iCs/>
          <w:sz w:val="24"/>
          <w:szCs w:val="24"/>
        </w:rPr>
        <w:t>”.</w:t>
      </w:r>
    </w:p>
    <w:p w14:paraId="77A91561" w14:textId="77777777" w:rsidR="005D0CD4" w:rsidRPr="00842145" w:rsidRDefault="005D0CD4" w:rsidP="00842145">
      <w:pPr>
        <w:pStyle w:val="Sinespaciado"/>
        <w:spacing w:line="276" w:lineRule="auto"/>
        <w:rPr>
          <w:rFonts w:ascii="Tahoma" w:hAnsi="Tahoma" w:cs="Tahoma"/>
        </w:rPr>
      </w:pPr>
    </w:p>
    <w:p w14:paraId="16071716" w14:textId="4E474E94" w:rsidR="00496F50" w:rsidRPr="00842145" w:rsidRDefault="00496F50" w:rsidP="00842145">
      <w:pPr>
        <w:pStyle w:val="Prrafodelista"/>
        <w:numPr>
          <w:ilvl w:val="1"/>
          <w:numId w:val="16"/>
        </w:numPr>
        <w:tabs>
          <w:tab w:val="left" w:pos="3598"/>
        </w:tabs>
        <w:spacing w:line="276" w:lineRule="auto"/>
        <w:jc w:val="both"/>
        <w:rPr>
          <w:rFonts w:ascii="Tahoma" w:hAnsi="Tahoma" w:cs="Tahoma"/>
          <w:b/>
          <w:bCs/>
        </w:rPr>
      </w:pPr>
      <w:r w:rsidRPr="00842145">
        <w:rPr>
          <w:rFonts w:ascii="Tahoma" w:hAnsi="Tahoma" w:cs="Tahoma"/>
          <w:b/>
          <w:bCs/>
        </w:rPr>
        <w:t>Caso concreto</w:t>
      </w:r>
    </w:p>
    <w:p w14:paraId="26470A3D" w14:textId="5742C2F6" w:rsidR="001E1117" w:rsidRPr="00842145" w:rsidRDefault="001E1117" w:rsidP="00842145">
      <w:pPr>
        <w:pStyle w:val="Sinespaciado"/>
        <w:spacing w:line="276" w:lineRule="auto"/>
        <w:rPr>
          <w:rFonts w:ascii="Tahoma" w:hAnsi="Tahoma" w:cs="Tahoma"/>
        </w:rPr>
      </w:pPr>
    </w:p>
    <w:p w14:paraId="373E39D3" w14:textId="63B88E52" w:rsidR="002E5FC8" w:rsidRPr="00842145" w:rsidRDefault="7FF786F3" w:rsidP="00842145">
      <w:pPr>
        <w:pStyle w:val="paragraph"/>
        <w:spacing w:before="0" w:beforeAutospacing="0" w:after="0" w:afterAutospacing="0" w:line="276" w:lineRule="auto"/>
        <w:ind w:firstLine="708"/>
        <w:jc w:val="both"/>
        <w:textAlignment w:val="baseline"/>
        <w:rPr>
          <w:rFonts w:ascii="Tahoma" w:hAnsi="Tahoma" w:cs="Tahoma"/>
        </w:rPr>
      </w:pPr>
      <w:r w:rsidRPr="00842145">
        <w:rPr>
          <w:rFonts w:ascii="Tahoma" w:hAnsi="Tahoma" w:cs="Tahoma"/>
        </w:rPr>
        <w:t xml:space="preserve">Sea lo primero advertir que, tal como lo </w:t>
      </w:r>
      <w:r w:rsidR="0B804E72" w:rsidRPr="00842145">
        <w:rPr>
          <w:rFonts w:ascii="Tahoma" w:hAnsi="Tahoma" w:cs="Tahoma"/>
        </w:rPr>
        <w:t>señaló</w:t>
      </w:r>
      <w:r w:rsidRPr="00842145">
        <w:rPr>
          <w:rFonts w:ascii="Tahoma" w:hAnsi="Tahoma" w:cs="Tahoma"/>
        </w:rPr>
        <w:t xml:space="preserve"> la jueza de primera instancia,</w:t>
      </w:r>
      <w:r w:rsidR="00A0191F" w:rsidRPr="00842145">
        <w:rPr>
          <w:rFonts w:ascii="Tahoma" w:hAnsi="Tahoma" w:cs="Tahoma"/>
        </w:rPr>
        <w:t xml:space="preserve"> dentro del expediente administrativo allegado por Colpensiones y que reposa en </w:t>
      </w:r>
      <w:r w:rsidR="0F93239C" w:rsidRPr="00842145">
        <w:rPr>
          <w:rFonts w:ascii="Tahoma" w:hAnsi="Tahoma" w:cs="Tahoma"/>
        </w:rPr>
        <w:t>el archivo 23</w:t>
      </w:r>
      <w:r w:rsidR="00A0191F" w:rsidRPr="00842145">
        <w:rPr>
          <w:rFonts w:ascii="Tahoma" w:hAnsi="Tahoma" w:cs="Tahoma"/>
        </w:rPr>
        <w:t xml:space="preserve"> del cuaderno de primera instancia, se pueden apreciar varias historias laborales</w:t>
      </w:r>
      <w:r w:rsidR="0F93239C" w:rsidRPr="00842145">
        <w:rPr>
          <w:rFonts w:ascii="Tahoma" w:hAnsi="Tahoma" w:cs="Tahoma"/>
        </w:rPr>
        <w:t xml:space="preserve">, mismas que si bien coinciden en que la fecha de </w:t>
      </w:r>
      <w:r w:rsidR="1A4BD1FA" w:rsidRPr="00842145">
        <w:rPr>
          <w:rFonts w:ascii="Tahoma" w:hAnsi="Tahoma" w:cs="Tahoma"/>
        </w:rPr>
        <w:t xml:space="preserve">la </w:t>
      </w:r>
      <w:r w:rsidR="0F93239C" w:rsidRPr="00842145">
        <w:rPr>
          <w:rFonts w:ascii="Tahoma" w:hAnsi="Tahoma" w:cs="Tahoma"/>
        </w:rPr>
        <w:t xml:space="preserve">última cotización fue el 31 de </w:t>
      </w:r>
      <w:r w:rsidR="38E80452" w:rsidRPr="00842145">
        <w:rPr>
          <w:rFonts w:ascii="Tahoma" w:hAnsi="Tahoma" w:cs="Tahoma"/>
        </w:rPr>
        <w:t>mayo</w:t>
      </w:r>
      <w:r w:rsidR="0F93239C" w:rsidRPr="00842145">
        <w:rPr>
          <w:rFonts w:ascii="Tahoma" w:hAnsi="Tahoma" w:cs="Tahoma"/>
        </w:rPr>
        <w:t xml:space="preserve"> de 2009, presentan diferente número de semanas, a pesar de ser </w:t>
      </w:r>
      <w:r w:rsidR="73DD4EB5" w:rsidRPr="00842145">
        <w:rPr>
          <w:rFonts w:ascii="Tahoma" w:hAnsi="Tahoma" w:cs="Tahoma"/>
        </w:rPr>
        <w:t xml:space="preserve">expedidas con posterioridad </w:t>
      </w:r>
      <w:r w:rsidR="0F93239C" w:rsidRPr="00842145">
        <w:rPr>
          <w:rFonts w:ascii="Tahoma" w:hAnsi="Tahoma" w:cs="Tahoma"/>
        </w:rPr>
        <w:t xml:space="preserve">a la fecha de </w:t>
      </w:r>
      <w:r w:rsidR="504372D4" w:rsidRPr="00842145">
        <w:rPr>
          <w:rFonts w:ascii="Tahoma" w:hAnsi="Tahoma" w:cs="Tahoma"/>
        </w:rPr>
        <w:t xml:space="preserve">la </w:t>
      </w:r>
      <w:r w:rsidR="0F93239C" w:rsidRPr="00842145">
        <w:rPr>
          <w:rFonts w:ascii="Tahoma" w:hAnsi="Tahoma" w:cs="Tahoma"/>
        </w:rPr>
        <w:t>última cotización. Así, por un lado, las historias laborales actualizadas al 08 de noviembre de 2016 y 21 de septiembre de 2017 reportan un total de 288 semanas, mientras que las historias laborales del 23 y 26 de agosto de 2019 evidencian 292 septenarios, para, finalmente, la historia laboral más actualizada, esto es</w:t>
      </w:r>
      <w:r w:rsidR="4A9DD112" w:rsidRPr="00842145">
        <w:rPr>
          <w:rFonts w:ascii="Tahoma" w:hAnsi="Tahoma" w:cs="Tahoma"/>
        </w:rPr>
        <w:t>,</w:t>
      </w:r>
      <w:r w:rsidR="0F93239C" w:rsidRPr="00842145">
        <w:rPr>
          <w:rFonts w:ascii="Tahoma" w:hAnsi="Tahoma" w:cs="Tahoma"/>
        </w:rPr>
        <w:t xml:space="preserve"> la del 06 de abril de 2021, acreditar 283.43 semanas. </w:t>
      </w:r>
    </w:p>
    <w:p w14:paraId="7609DD28" w14:textId="73762C75" w:rsidR="005A44F6" w:rsidRPr="00842145" w:rsidRDefault="005A44F6" w:rsidP="00842145">
      <w:pPr>
        <w:pStyle w:val="Sinespaciado"/>
        <w:spacing w:line="276" w:lineRule="auto"/>
        <w:rPr>
          <w:rFonts w:ascii="Tahoma" w:hAnsi="Tahoma" w:cs="Tahoma"/>
        </w:rPr>
      </w:pPr>
    </w:p>
    <w:p w14:paraId="29D25B5C" w14:textId="0404178B" w:rsidR="005A44F6" w:rsidRPr="00842145" w:rsidRDefault="00970EC5" w:rsidP="00842145">
      <w:pPr>
        <w:pStyle w:val="paragraph"/>
        <w:spacing w:before="0" w:beforeAutospacing="0" w:after="0" w:afterAutospacing="0" w:line="276" w:lineRule="auto"/>
        <w:ind w:firstLine="708"/>
        <w:jc w:val="both"/>
        <w:textAlignment w:val="baseline"/>
        <w:rPr>
          <w:rFonts w:ascii="Tahoma" w:hAnsi="Tahoma" w:cs="Tahoma"/>
        </w:rPr>
      </w:pPr>
      <w:r w:rsidRPr="00842145">
        <w:rPr>
          <w:rFonts w:ascii="Tahoma" w:hAnsi="Tahoma" w:cs="Tahoma"/>
        </w:rPr>
        <w:t>Para</w:t>
      </w:r>
      <w:r w:rsidR="005A44F6" w:rsidRPr="00842145">
        <w:rPr>
          <w:rFonts w:ascii="Tahoma" w:hAnsi="Tahoma" w:cs="Tahoma"/>
        </w:rPr>
        <w:t xml:space="preserve"> la Sala resulta inexplicable que </w:t>
      </w:r>
      <w:r w:rsidR="00C048B5" w:rsidRPr="00842145">
        <w:rPr>
          <w:rFonts w:ascii="Tahoma" w:hAnsi="Tahoma" w:cs="Tahoma"/>
        </w:rPr>
        <w:t xml:space="preserve">en el 2016 y 2017 se reporten 288 semanas </w:t>
      </w:r>
      <w:r w:rsidR="00A7341E" w:rsidRPr="00842145">
        <w:rPr>
          <w:rFonts w:ascii="Tahoma" w:hAnsi="Tahoma" w:cs="Tahoma"/>
        </w:rPr>
        <w:t xml:space="preserve">y, dos años después, este número </w:t>
      </w:r>
      <w:r w:rsidR="00C048B5" w:rsidRPr="00842145">
        <w:rPr>
          <w:rFonts w:ascii="Tahoma" w:hAnsi="Tahoma" w:cs="Tahoma"/>
        </w:rPr>
        <w:t>aumente a 292 septenarios</w:t>
      </w:r>
      <w:r w:rsidR="00A7341E" w:rsidRPr="00842145">
        <w:rPr>
          <w:rFonts w:ascii="Tahoma" w:hAnsi="Tahoma" w:cs="Tahoma"/>
        </w:rPr>
        <w:t xml:space="preserve">, para nuevamente </w:t>
      </w:r>
      <w:r w:rsidR="00C048B5" w:rsidRPr="00842145">
        <w:rPr>
          <w:rFonts w:ascii="Tahoma" w:hAnsi="Tahoma" w:cs="Tahoma"/>
        </w:rPr>
        <w:t>disminuir en el 2021 a 283.43</w:t>
      </w:r>
      <w:r w:rsidR="00A7341E" w:rsidRPr="00842145">
        <w:rPr>
          <w:rFonts w:ascii="Tahoma" w:hAnsi="Tahoma" w:cs="Tahoma"/>
        </w:rPr>
        <w:t xml:space="preserve">, cuando el actor realizó cotizaciones únicamente hasta </w:t>
      </w:r>
      <w:r w:rsidR="005C19CC" w:rsidRPr="00842145">
        <w:rPr>
          <w:rFonts w:ascii="Tahoma" w:hAnsi="Tahoma" w:cs="Tahoma"/>
        </w:rPr>
        <w:t>mayo</w:t>
      </w:r>
      <w:r w:rsidR="00C048B5" w:rsidRPr="00842145">
        <w:rPr>
          <w:rFonts w:ascii="Tahoma" w:hAnsi="Tahoma" w:cs="Tahoma"/>
        </w:rPr>
        <w:t xml:space="preserve"> de 2009</w:t>
      </w:r>
      <w:r w:rsidR="00A7341E" w:rsidRPr="00842145">
        <w:rPr>
          <w:rFonts w:ascii="Tahoma" w:hAnsi="Tahoma" w:cs="Tahoma"/>
        </w:rPr>
        <w:t xml:space="preserve">, razón por la cual el </w:t>
      </w:r>
      <w:r w:rsidR="4A7BFCC2" w:rsidRPr="00842145">
        <w:rPr>
          <w:rFonts w:ascii="Tahoma" w:hAnsi="Tahoma" w:cs="Tahoma"/>
        </w:rPr>
        <w:t>número</w:t>
      </w:r>
      <w:r w:rsidR="00A7341E" w:rsidRPr="00842145">
        <w:rPr>
          <w:rFonts w:ascii="Tahoma" w:hAnsi="Tahoma" w:cs="Tahoma"/>
        </w:rPr>
        <w:t xml:space="preserve"> de semanas reportadas </w:t>
      </w:r>
      <w:r w:rsidR="00C048B5" w:rsidRPr="00842145">
        <w:rPr>
          <w:rFonts w:ascii="Tahoma" w:hAnsi="Tahoma" w:cs="Tahoma"/>
        </w:rPr>
        <w:t>a partir de</w:t>
      </w:r>
      <w:r w:rsidR="00A7341E" w:rsidRPr="00842145">
        <w:rPr>
          <w:rFonts w:ascii="Tahoma" w:hAnsi="Tahoma" w:cs="Tahoma"/>
        </w:rPr>
        <w:t xml:space="preserve"> ese año, debió aumentar</w:t>
      </w:r>
      <w:r w:rsidR="00C048B5" w:rsidRPr="00842145">
        <w:rPr>
          <w:rFonts w:ascii="Tahoma" w:hAnsi="Tahoma" w:cs="Tahoma"/>
        </w:rPr>
        <w:t xml:space="preserve"> -si es que se echaban en falta ciclos</w:t>
      </w:r>
      <w:r w:rsidR="00D3414E" w:rsidRPr="00842145">
        <w:rPr>
          <w:rFonts w:ascii="Tahoma" w:hAnsi="Tahoma" w:cs="Tahoma"/>
        </w:rPr>
        <w:t>-</w:t>
      </w:r>
      <w:r w:rsidR="00A7341E" w:rsidRPr="00842145">
        <w:rPr>
          <w:rFonts w:ascii="Tahoma" w:hAnsi="Tahoma" w:cs="Tahoma"/>
        </w:rPr>
        <w:t xml:space="preserve"> o, como mínimo permanecer igual, más no</w:t>
      </w:r>
      <w:r w:rsidR="00D3414E" w:rsidRPr="00842145">
        <w:rPr>
          <w:rFonts w:ascii="Tahoma" w:hAnsi="Tahoma" w:cs="Tahoma"/>
        </w:rPr>
        <w:t xml:space="preserve"> fluctuar y</w:t>
      </w:r>
      <w:r w:rsidR="00A7341E" w:rsidRPr="00842145">
        <w:rPr>
          <w:rFonts w:ascii="Tahoma" w:hAnsi="Tahoma" w:cs="Tahoma"/>
        </w:rPr>
        <w:t xml:space="preserve"> disminuir </w:t>
      </w:r>
      <w:r w:rsidR="00777E39" w:rsidRPr="00842145">
        <w:rPr>
          <w:rFonts w:ascii="Tahoma" w:hAnsi="Tahoma" w:cs="Tahoma"/>
        </w:rPr>
        <w:t xml:space="preserve">sin explicación alguna. </w:t>
      </w:r>
    </w:p>
    <w:p w14:paraId="7FCCA905" w14:textId="697D1030" w:rsidR="00296566" w:rsidRPr="00842145" w:rsidRDefault="00296566" w:rsidP="00842145">
      <w:pPr>
        <w:pStyle w:val="Sinespaciado"/>
        <w:spacing w:line="276" w:lineRule="auto"/>
        <w:rPr>
          <w:rFonts w:ascii="Tahoma" w:hAnsi="Tahoma" w:cs="Tahoma"/>
        </w:rPr>
      </w:pPr>
    </w:p>
    <w:p w14:paraId="18222619" w14:textId="2FF98221" w:rsidR="00867CFC" w:rsidRPr="00842145" w:rsidRDefault="00867CFC" w:rsidP="00842145">
      <w:pPr>
        <w:pStyle w:val="paragraph"/>
        <w:spacing w:before="0" w:beforeAutospacing="0" w:after="0" w:afterAutospacing="0" w:line="276" w:lineRule="auto"/>
        <w:ind w:firstLine="708"/>
        <w:jc w:val="both"/>
        <w:textAlignment w:val="baseline"/>
        <w:rPr>
          <w:rFonts w:ascii="Tahoma" w:hAnsi="Tahoma" w:cs="Tahoma"/>
        </w:rPr>
      </w:pPr>
      <w:r w:rsidRPr="00842145">
        <w:rPr>
          <w:rFonts w:ascii="Tahoma" w:hAnsi="Tahoma" w:cs="Tahoma"/>
        </w:rPr>
        <w:t>Adicionalmente, debe indicarse que el actor prestó sus servicios a diferentes entidades públicas, siendo aceptado por Colpensiones mediante la resolución SUB 185558 del 16 de julio de 2019 que el tiempo servido por el demandante al sector público equivale a 425 semanas.</w:t>
      </w:r>
    </w:p>
    <w:p w14:paraId="67609787" w14:textId="77777777" w:rsidR="00867CFC" w:rsidRPr="00842145" w:rsidRDefault="00867CFC" w:rsidP="00842145">
      <w:pPr>
        <w:pStyle w:val="Sinespaciado"/>
        <w:spacing w:line="276" w:lineRule="auto"/>
        <w:rPr>
          <w:rFonts w:ascii="Tahoma" w:hAnsi="Tahoma" w:cs="Tahoma"/>
        </w:rPr>
      </w:pPr>
    </w:p>
    <w:p w14:paraId="628614D6" w14:textId="3A5F659A" w:rsidR="00D3414E" w:rsidRPr="00842145" w:rsidRDefault="00296566" w:rsidP="00842145">
      <w:pPr>
        <w:pStyle w:val="paragraph"/>
        <w:spacing w:before="0" w:beforeAutospacing="0" w:after="0" w:afterAutospacing="0" w:line="276" w:lineRule="auto"/>
        <w:ind w:firstLine="708"/>
        <w:jc w:val="both"/>
        <w:textAlignment w:val="baseline"/>
        <w:rPr>
          <w:rFonts w:ascii="Tahoma" w:hAnsi="Tahoma" w:cs="Tahoma"/>
        </w:rPr>
      </w:pPr>
      <w:r w:rsidRPr="00842145">
        <w:rPr>
          <w:rFonts w:ascii="Tahoma" w:hAnsi="Tahoma" w:cs="Tahoma"/>
        </w:rPr>
        <w:t xml:space="preserve">En ese orden, tal como lo hiciera la jueza de primera instancia, </w:t>
      </w:r>
      <w:r w:rsidR="00867CFC" w:rsidRPr="00842145">
        <w:rPr>
          <w:rFonts w:ascii="Tahoma" w:hAnsi="Tahoma" w:cs="Tahoma"/>
        </w:rPr>
        <w:t xml:space="preserve">en principio </w:t>
      </w:r>
      <w:r w:rsidRPr="00842145">
        <w:rPr>
          <w:rFonts w:ascii="Tahoma" w:hAnsi="Tahoma" w:cs="Tahoma"/>
        </w:rPr>
        <w:t xml:space="preserve">la Sala </w:t>
      </w:r>
      <w:r w:rsidR="00867CFC" w:rsidRPr="00842145">
        <w:rPr>
          <w:rFonts w:ascii="Tahoma" w:hAnsi="Tahoma" w:cs="Tahoma"/>
        </w:rPr>
        <w:t xml:space="preserve">encuentra procedente tomar </w:t>
      </w:r>
      <w:r w:rsidRPr="00842145">
        <w:rPr>
          <w:rFonts w:ascii="Tahoma" w:hAnsi="Tahoma" w:cs="Tahoma"/>
        </w:rPr>
        <w:t xml:space="preserve">como base para determinar el número de semanas cotizadas por el señor </w:t>
      </w:r>
      <w:r w:rsidR="00D3414E" w:rsidRPr="00842145">
        <w:rPr>
          <w:rFonts w:ascii="Tahoma" w:hAnsi="Tahoma" w:cs="Tahoma"/>
        </w:rPr>
        <w:t>Jorge Suarez Valero</w:t>
      </w:r>
      <w:r w:rsidRPr="00842145">
        <w:rPr>
          <w:rFonts w:ascii="Tahoma" w:hAnsi="Tahoma" w:cs="Tahoma"/>
        </w:rPr>
        <w:t xml:space="preserve"> la historia laboral del </w:t>
      </w:r>
      <w:r w:rsidR="00D3414E" w:rsidRPr="00842145">
        <w:rPr>
          <w:rFonts w:ascii="Tahoma" w:hAnsi="Tahoma" w:cs="Tahoma"/>
        </w:rPr>
        <w:t>26 de agosto de 2019</w:t>
      </w:r>
      <w:r w:rsidRPr="00842145">
        <w:rPr>
          <w:rFonts w:ascii="Tahoma" w:hAnsi="Tahoma" w:cs="Tahoma"/>
        </w:rPr>
        <w:t xml:space="preserve">, por ser la que se juzga más completa, ante el número mayor de periodos, </w:t>
      </w:r>
      <w:r w:rsidR="006F012D" w:rsidRPr="00842145">
        <w:rPr>
          <w:rFonts w:ascii="Tahoma" w:hAnsi="Tahoma" w:cs="Tahoma"/>
        </w:rPr>
        <w:t>en la que se</w:t>
      </w:r>
      <w:r w:rsidRPr="00842145">
        <w:rPr>
          <w:rFonts w:ascii="Tahoma" w:hAnsi="Tahoma" w:cs="Tahoma"/>
        </w:rPr>
        <w:t xml:space="preserve"> refleja que el actor cotizó </w:t>
      </w:r>
      <w:r w:rsidR="00D3414E" w:rsidRPr="00842145">
        <w:rPr>
          <w:rFonts w:ascii="Tahoma" w:hAnsi="Tahoma" w:cs="Tahoma"/>
        </w:rPr>
        <w:t>292 semanas</w:t>
      </w:r>
      <w:r w:rsidRPr="00842145">
        <w:rPr>
          <w:rFonts w:ascii="Tahoma" w:hAnsi="Tahoma" w:cs="Tahoma"/>
        </w:rPr>
        <w:t xml:space="preserve"> entre el </w:t>
      </w:r>
      <w:r w:rsidR="00D3414E" w:rsidRPr="00842145">
        <w:rPr>
          <w:rFonts w:ascii="Tahoma" w:hAnsi="Tahoma" w:cs="Tahoma"/>
        </w:rPr>
        <w:t xml:space="preserve">31 de enero de 1972 y el 31 de </w:t>
      </w:r>
      <w:r w:rsidR="0057711C" w:rsidRPr="00842145">
        <w:rPr>
          <w:rFonts w:ascii="Tahoma" w:hAnsi="Tahoma" w:cs="Tahoma"/>
        </w:rPr>
        <w:t>mayo</w:t>
      </w:r>
      <w:r w:rsidR="00D3414E" w:rsidRPr="00842145">
        <w:rPr>
          <w:rFonts w:ascii="Tahoma" w:hAnsi="Tahoma" w:cs="Tahoma"/>
        </w:rPr>
        <w:t xml:space="preserve"> de 2009</w:t>
      </w:r>
      <w:r w:rsidR="00867CFC" w:rsidRPr="00842145">
        <w:rPr>
          <w:rFonts w:ascii="Tahoma" w:hAnsi="Tahoma" w:cs="Tahoma"/>
        </w:rPr>
        <w:t xml:space="preserve">, las cuales, al ser </w:t>
      </w:r>
      <w:r w:rsidR="00970EC5" w:rsidRPr="00842145">
        <w:rPr>
          <w:rFonts w:ascii="Tahoma" w:hAnsi="Tahoma" w:cs="Tahoma"/>
        </w:rPr>
        <w:t>sumada</w:t>
      </w:r>
      <w:r w:rsidR="00867CFC" w:rsidRPr="00842145">
        <w:rPr>
          <w:rFonts w:ascii="Tahoma" w:hAnsi="Tahoma" w:cs="Tahoma"/>
        </w:rPr>
        <w:t xml:space="preserve">s con las 425 semanas servidas al sector público arroja un total de 717 septenarios. </w:t>
      </w:r>
    </w:p>
    <w:p w14:paraId="7CFE2F0D" w14:textId="3E5FFC1C" w:rsidR="00867CFC" w:rsidRPr="00842145" w:rsidRDefault="00867CFC" w:rsidP="00842145">
      <w:pPr>
        <w:pStyle w:val="Sinespaciado"/>
        <w:spacing w:line="276" w:lineRule="auto"/>
        <w:rPr>
          <w:rFonts w:ascii="Tahoma" w:hAnsi="Tahoma" w:cs="Tahoma"/>
        </w:rPr>
      </w:pPr>
    </w:p>
    <w:p w14:paraId="035797B7" w14:textId="41BAB857" w:rsidR="00867CFC" w:rsidRPr="00842145" w:rsidRDefault="00867CFC" w:rsidP="00842145">
      <w:pPr>
        <w:pStyle w:val="paragraph"/>
        <w:spacing w:before="0" w:beforeAutospacing="0" w:after="0" w:afterAutospacing="0" w:line="276" w:lineRule="auto"/>
        <w:ind w:firstLine="708"/>
        <w:jc w:val="both"/>
        <w:textAlignment w:val="baseline"/>
        <w:rPr>
          <w:rFonts w:ascii="Tahoma" w:hAnsi="Tahoma" w:cs="Tahoma"/>
        </w:rPr>
      </w:pPr>
      <w:r w:rsidRPr="00842145">
        <w:rPr>
          <w:rFonts w:ascii="Tahoma" w:hAnsi="Tahoma" w:cs="Tahoma"/>
        </w:rPr>
        <w:t>No obstante,</w:t>
      </w:r>
      <w:r w:rsidR="00970EC5" w:rsidRPr="00842145">
        <w:rPr>
          <w:rFonts w:ascii="Tahoma" w:hAnsi="Tahoma" w:cs="Tahoma"/>
        </w:rPr>
        <w:t xml:space="preserve"> se</w:t>
      </w:r>
      <w:r w:rsidRPr="00842145">
        <w:rPr>
          <w:rFonts w:ascii="Tahoma" w:hAnsi="Tahoma" w:cs="Tahoma"/>
        </w:rPr>
        <w:t xml:space="preserve"> advierte que mediante Resolución GNR 140551 del 12 de mayo de 2016, al estudiar la solicitud pensional elevada el 03 de febrero de 2016, Colpensiones indicó que </w:t>
      </w:r>
      <w:r w:rsidRPr="00842145">
        <w:rPr>
          <w:rFonts w:ascii="Tahoma" w:hAnsi="Tahoma" w:cs="Tahoma"/>
          <w:i/>
        </w:rPr>
        <w:t>“</w:t>
      </w:r>
      <w:r w:rsidRPr="001A20D6">
        <w:rPr>
          <w:rFonts w:ascii="Tahoma" w:hAnsi="Tahoma" w:cs="Tahoma"/>
          <w:i/>
          <w:sz w:val="22"/>
        </w:rPr>
        <w:t>el interesado acredita un total de 5,127 días laborados, correspondientes a 732 semanas</w:t>
      </w:r>
      <w:r w:rsidRPr="00842145">
        <w:rPr>
          <w:rFonts w:ascii="Tahoma" w:hAnsi="Tahoma" w:cs="Tahoma"/>
          <w:i/>
        </w:rPr>
        <w:t>”</w:t>
      </w:r>
      <w:r w:rsidRPr="00842145">
        <w:rPr>
          <w:rFonts w:ascii="Tahoma" w:hAnsi="Tahoma" w:cs="Tahoma"/>
        </w:rPr>
        <w:t xml:space="preserve">, razón por la cual atendiendo que esta resolución es anterior a la historia laboral del 26 de agosto de 2019 y a la </w:t>
      </w:r>
      <w:r w:rsidR="002D750B" w:rsidRPr="00842145">
        <w:rPr>
          <w:rFonts w:ascii="Tahoma" w:hAnsi="Tahoma" w:cs="Tahoma"/>
        </w:rPr>
        <w:t xml:space="preserve">resolución SUB 185558 del 16 de julio de 2019, y en aplicación del del principio de respeto por el acto propio y de la confianza legítima, será este último valor reconocido en el acto administrativo que resolvió la solicitud pensional el que se tome como base para la contabilización de las semanas cotizadas, entre las que se itera, se encuentra el tiempo efectivamente cotizado al entonces ISS y el tiempo como servidor público. </w:t>
      </w:r>
    </w:p>
    <w:p w14:paraId="407F0A5F" w14:textId="7168381B" w:rsidR="6A84FD5B" w:rsidRPr="00842145" w:rsidRDefault="6A84FD5B" w:rsidP="00842145">
      <w:pPr>
        <w:pStyle w:val="Sinespaciado"/>
        <w:spacing w:line="276" w:lineRule="auto"/>
        <w:rPr>
          <w:rFonts w:ascii="Tahoma" w:hAnsi="Tahoma" w:cs="Tahoma"/>
        </w:rPr>
      </w:pPr>
    </w:p>
    <w:p w14:paraId="7086220B" w14:textId="77777777" w:rsidR="00B33B32" w:rsidRPr="00842145" w:rsidRDefault="002D750B" w:rsidP="00842145">
      <w:pPr>
        <w:pStyle w:val="paragraph"/>
        <w:spacing w:before="0" w:beforeAutospacing="0" w:after="0" w:afterAutospacing="0" w:line="276" w:lineRule="auto"/>
        <w:ind w:firstLine="708"/>
        <w:jc w:val="both"/>
        <w:textAlignment w:val="baseline"/>
        <w:rPr>
          <w:rFonts w:ascii="Tahoma" w:hAnsi="Tahoma" w:cs="Tahoma"/>
        </w:rPr>
      </w:pPr>
      <w:r w:rsidRPr="00842145">
        <w:rPr>
          <w:rFonts w:ascii="Tahoma" w:hAnsi="Tahoma" w:cs="Tahoma"/>
        </w:rPr>
        <w:t xml:space="preserve">Superado lo anterior, atendiendo el grado jurisdiccional de consulta, con relación a las semanas echadas de menos por el actor por su vinculación con Rincón Costeño entre el 14 de febrero de 2005 y el 30 de julio de 2005, se encuentra que </w:t>
      </w:r>
      <w:r w:rsidRPr="00842145">
        <w:rPr>
          <w:rFonts w:ascii="Tahoma" w:hAnsi="Tahoma" w:cs="Tahoma"/>
        </w:rPr>
        <w:lastRenderedPageBreak/>
        <w:t xml:space="preserve">estos periodos no están reconocidos en ninguno de los actos administrativos y en las historias laborales se reportan 137 días, pero 0 cotizaciones, por cuanto se presenta la </w:t>
      </w:r>
      <w:r w:rsidR="000B10F5" w:rsidRPr="00842145">
        <w:rPr>
          <w:rFonts w:ascii="Tahoma" w:hAnsi="Tahoma" w:cs="Tahoma"/>
        </w:rPr>
        <w:t>nota</w:t>
      </w:r>
      <w:r w:rsidRPr="00842145">
        <w:rPr>
          <w:rFonts w:ascii="Tahoma" w:hAnsi="Tahoma" w:cs="Tahoma"/>
        </w:rPr>
        <w:t xml:space="preserve"> </w:t>
      </w:r>
      <w:r w:rsidRPr="00842145">
        <w:rPr>
          <w:rFonts w:ascii="Tahoma" w:hAnsi="Tahoma" w:cs="Tahoma"/>
          <w:i/>
        </w:rPr>
        <w:t>“</w:t>
      </w:r>
      <w:r w:rsidRPr="001A20D6">
        <w:rPr>
          <w:rFonts w:ascii="Tahoma" w:hAnsi="Tahoma" w:cs="Tahoma"/>
          <w:i/>
          <w:sz w:val="22"/>
        </w:rPr>
        <w:t>No registran la relación laboral en afiliación para este pago</w:t>
      </w:r>
      <w:r w:rsidRPr="00842145">
        <w:rPr>
          <w:rFonts w:ascii="Tahoma" w:hAnsi="Tahoma" w:cs="Tahoma"/>
          <w:i/>
        </w:rPr>
        <w:t>”.</w:t>
      </w:r>
      <w:r w:rsidR="000B10F5" w:rsidRPr="00842145">
        <w:rPr>
          <w:rFonts w:ascii="Tahoma" w:hAnsi="Tahoma" w:cs="Tahoma"/>
          <w:i/>
        </w:rPr>
        <w:t xml:space="preserve"> </w:t>
      </w:r>
      <w:r w:rsidR="000B10F5" w:rsidRPr="00842145">
        <w:rPr>
          <w:rFonts w:ascii="Tahoma" w:hAnsi="Tahoma" w:cs="Tahoma"/>
        </w:rPr>
        <w:t xml:space="preserve">En contraste con esta observación, con la demanda se aportó certificación expedido por el representante legal de Rincón Costeño en el cual se dejó constancia que el demandante laboró para esa empresa en el cargo de oficios varios entre el 14 de febrero y el 30 de julio de 2005, con un salario de $381.500, documento que se encuentra igualmente en la página 43 del archivo que contiene el expediente administrativo de Colpensiones. </w:t>
      </w:r>
    </w:p>
    <w:p w14:paraId="7844F7B7" w14:textId="207FAA20" w:rsidR="002D750B" w:rsidRPr="00842145" w:rsidRDefault="002D750B" w:rsidP="00842145">
      <w:pPr>
        <w:pStyle w:val="Sinespaciado"/>
        <w:spacing w:line="276" w:lineRule="auto"/>
        <w:rPr>
          <w:rFonts w:ascii="Tahoma" w:hAnsi="Tahoma" w:cs="Tahoma"/>
        </w:rPr>
      </w:pPr>
    </w:p>
    <w:p w14:paraId="1FC992FB" w14:textId="4FE18374" w:rsidR="002D750B" w:rsidRPr="00842145" w:rsidRDefault="0F3627B9" w:rsidP="00842145">
      <w:pPr>
        <w:pStyle w:val="paragraph"/>
        <w:spacing w:before="0" w:beforeAutospacing="0" w:after="0" w:afterAutospacing="0" w:line="276" w:lineRule="auto"/>
        <w:ind w:firstLine="708"/>
        <w:jc w:val="both"/>
        <w:textAlignment w:val="baseline"/>
        <w:rPr>
          <w:rFonts w:ascii="Tahoma" w:hAnsi="Tahoma" w:cs="Tahoma"/>
        </w:rPr>
      </w:pPr>
      <w:r w:rsidRPr="00842145">
        <w:rPr>
          <w:rFonts w:ascii="Tahoma" w:hAnsi="Tahoma" w:cs="Tahoma"/>
        </w:rPr>
        <w:t xml:space="preserve">Tal panorama permite tener por acreditada la vinculación laboral con </w:t>
      </w:r>
      <w:r w:rsidR="4570AEB9" w:rsidRPr="00842145">
        <w:rPr>
          <w:rFonts w:ascii="Tahoma" w:hAnsi="Tahoma" w:cs="Tahoma"/>
        </w:rPr>
        <w:t>Rincón Costeño</w:t>
      </w:r>
      <w:r w:rsidRPr="00842145">
        <w:rPr>
          <w:rFonts w:ascii="Tahoma" w:hAnsi="Tahoma" w:cs="Tahoma"/>
        </w:rPr>
        <w:t xml:space="preserve">, puesto que </w:t>
      </w:r>
      <w:r w:rsidR="4570AEB9" w:rsidRPr="00842145">
        <w:rPr>
          <w:rFonts w:ascii="Tahoma" w:hAnsi="Tahoma" w:cs="Tahoma"/>
        </w:rPr>
        <w:t xml:space="preserve">no solo se allegó certificación en ese sentido, sino que de la historia laboral se deriva que realmente el empleador sí efectuó el pago </w:t>
      </w:r>
      <w:r w:rsidR="631E256A" w:rsidRPr="00842145">
        <w:rPr>
          <w:rFonts w:ascii="Tahoma" w:hAnsi="Tahoma" w:cs="Tahoma"/>
        </w:rPr>
        <w:t>de estos ciclos y Colpensiones los aceptó, sin que se haya acreditado que ejerció alguna acción para comprobar la existencia de la relación que aduce no se registró y por la cual no se reflejan los aportes, adicional a lo cual, si la administradora pensional encontraba que el pago realizado presentaba un inconveniente o era deficitario, con relación a los ciclos reportados, contaba con todas las herramientas jurídicas y coactivas para subsanar dicha situación y no limitarse a recibir el pago pero sin reflejarlo en la historia laboral de su afiliado. De acuerdo a ello</w:t>
      </w:r>
      <w:r w:rsidRPr="00842145">
        <w:rPr>
          <w:rFonts w:ascii="Tahoma" w:hAnsi="Tahoma" w:cs="Tahoma"/>
        </w:rPr>
        <w:t>, al no haber cumplido en su momento COLPENSIONES con su obligación de ejercer las acciones de cobro respectivas</w:t>
      </w:r>
      <w:r w:rsidR="631E256A" w:rsidRPr="00842145">
        <w:rPr>
          <w:rFonts w:ascii="Tahoma" w:hAnsi="Tahoma" w:cs="Tahoma"/>
        </w:rPr>
        <w:t xml:space="preserve"> o efectuar los requerimientos pertinentes para esclarecer la relación laboral que dio origen a las cotizaciones efectuadas por Rincón Costeño</w:t>
      </w:r>
      <w:r w:rsidRPr="00842145">
        <w:rPr>
          <w:rFonts w:ascii="Tahoma" w:hAnsi="Tahoma" w:cs="Tahoma"/>
        </w:rPr>
        <w:t xml:space="preserve">, de conformidad con lo ordenado en el artículo 24 de la Ley 100/93, es viable tener en cuenta dichos periodos para el reconocimiento pensional, equivalente a </w:t>
      </w:r>
      <w:r w:rsidR="631E256A" w:rsidRPr="00842145">
        <w:rPr>
          <w:rFonts w:ascii="Tahoma" w:hAnsi="Tahoma" w:cs="Tahoma"/>
        </w:rPr>
        <w:t>19.57</w:t>
      </w:r>
      <w:r w:rsidRPr="00842145">
        <w:rPr>
          <w:rFonts w:ascii="Tahoma" w:hAnsi="Tahoma" w:cs="Tahoma"/>
        </w:rPr>
        <w:t xml:space="preserve"> semanas</w:t>
      </w:r>
      <w:r w:rsidR="631E256A" w:rsidRPr="00842145">
        <w:rPr>
          <w:rFonts w:ascii="Tahoma" w:hAnsi="Tahoma" w:cs="Tahoma"/>
        </w:rPr>
        <w:t xml:space="preserve"> y no a 24 septenarios como se indicó en primera instancia, como quiera que el ciclo de julio de 2005 sí se encuentra reportado en la historia laboral</w:t>
      </w:r>
      <w:r w:rsidRPr="00842145">
        <w:rPr>
          <w:rFonts w:ascii="Tahoma" w:hAnsi="Tahoma" w:cs="Tahoma"/>
        </w:rPr>
        <w:t>.</w:t>
      </w:r>
    </w:p>
    <w:p w14:paraId="16CD1F73" w14:textId="77777777" w:rsidR="002D750B" w:rsidRPr="00842145" w:rsidRDefault="002D750B" w:rsidP="00842145">
      <w:pPr>
        <w:pStyle w:val="Sinespaciado"/>
        <w:spacing w:line="276" w:lineRule="auto"/>
        <w:rPr>
          <w:rFonts w:ascii="Tahoma" w:hAnsi="Tahoma" w:cs="Tahoma"/>
        </w:rPr>
      </w:pPr>
    </w:p>
    <w:p w14:paraId="1B5F3B42" w14:textId="264E76B8" w:rsidR="00AD748B" w:rsidRPr="00842145" w:rsidRDefault="00AD748B" w:rsidP="00842145">
      <w:pPr>
        <w:pStyle w:val="paragraph"/>
        <w:spacing w:before="0" w:beforeAutospacing="0" w:after="0" w:afterAutospacing="0" w:line="276" w:lineRule="auto"/>
        <w:ind w:firstLine="708"/>
        <w:jc w:val="both"/>
        <w:textAlignment w:val="baseline"/>
        <w:rPr>
          <w:rFonts w:ascii="Tahoma" w:hAnsi="Tahoma" w:cs="Tahoma"/>
        </w:rPr>
      </w:pPr>
      <w:r w:rsidRPr="00842145">
        <w:rPr>
          <w:rFonts w:ascii="Tahoma" w:hAnsi="Tahoma" w:cs="Tahoma"/>
        </w:rPr>
        <w:t>Superado lo anterior y atendiendo el recurso de apelación presentado por el Banco de Bogotá S.A.</w:t>
      </w:r>
      <w:r w:rsidR="00543656" w:rsidRPr="00842145">
        <w:rPr>
          <w:rFonts w:ascii="Tahoma" w:hAnsi="Tahoma" w:cs="Tahoma"/>
        </w:rPr>
        <w:t xml:space="preserve">, respecto al empleador </w:t>
      </w:r>
      <w:r w:rsidRPr="00842145">
        <w:rPr>
          <w:rFonts w:ascii="Tahoma" w:hAnsi="Tahoma" w:cs="Tahoma"/>
        </w:rPr>
        <w:t>Banco de Comercio</w:t>
      </w:r>
      <w:r w:rsidR="00543656" w:rsidRPr="00842145">
        <w:rPr>
          <w:rFonts w:ascii="Tahoma" w:hAnsi="Tahoma" w:cs="Tahoma"/>
        </w:rPr>
        <w:t xml:space="preserve"> debe decirse que </w:t>
      </w:r>
      <w:r w:rsidRPr="00842145">
        <w:rPr>
          <w:rFonts w:ascii="Tahoma" w:hAnsi="Tahoma" w:cs="Tahoma"/>
        </w:rPr>
        <w:t>en los argumentos de la apelación realmente no fue controvertida la existencia de la relación laboral</w:t>
      </w:r>
      <w:r w:rsidR="00780409" w:rsidRPr="00842145">
        <w:rPr>
          <w:rFonts w:ascii="Tahoma" w:hAnsi="Tahoma" w:cs="Tahoma"/>
        </w:rPr>
        <w:t xml:space="preserve"> sino la obligación de efectuar cotizaciones en aquel entonces</w:t>
      </w:r>
      <w:r w:rsidRPr="00842145">
        <w:rPr>
          <w:rFonts w:ascii="Tahoma" w:hAnsi="Tahoma" w:cs="Tahoma"/>
        </w:rPr>
        <w:t xml:space="preserve">, </w:t>
      </w:r>
      <w:r w:rsidR="00780409" w:rsidRPr="00842145">
        <w:rPr>
          <w:rFonts w:ascii="Tahoma" w:hAnsi="Tahoma" w:cs="Tahoma"/>
        </w:rPr>
        <w:t xml:space="preserve">razón por la cual está relación laboral se encuentra acreditada, máxime que </w:t>
      </w:r>
      <w:r w:rsidRPr="00842145">
        <w:rPr>
          <w:rFonts w:ascii="Tahoma" w:hAnsi="Tahoma" w:cs="Tahoma"/>
        </w:rPr>
        <w:t xml:space="preserve">militan en el cartulario dos certificaciones laborales que dan cuenta que el señor Jorge Suarez Valero prestó sus servicios al Banco de Comercio entre el 24 de abril de 1967 y el 15 de febrero de 1973, siendo una de estas expedida el 09 de julio de 1980 y firmada por el </w:t>
      </w:r>
      <w:r w:rsidR="00780409" w:rsidRPr="00842145">
        <w:rPr>
          <w:rFonts w:ascii="Tahoma" w:hAnsi="Tahoma" w:cs="Tahoma"/>
        </w:rPr>
        <w:t>Jefe del Departamento de Administración de Personal del Banco de Comercio -archivo 41, página 03, cuaderno de primera instancia- y la otra suscrita por el Jefe de Salarios del Banco de Bogotá el 15 de julio de 2015 – archivo 23, página 10, cuaderno de primera instancia-</w:t>
      </w:r>
      <w:r w:rsidR="1A269A7A" w:rsidRPr="00842145">
        <w:rPr>
          <w:rFonts w:ascii="Tahoma" w:hAnsi="Tahoma" w:cs="Tahoma"/>
        </w:rPr>
        <w:t>.</w:t>
      </w:r>
    </w:p>
    <w:p w14:paraId="625DA65C" w14:textId="335F2B03" w:rsidR="49A17719" w:rsidRPr="00842145" w:rsidRDefault="49A17719" w:rsidP="00842145">
      <w:pPr>
        <w:pStyle w:val="paragraph"/>
        <w:spacing w:before="0" w:beforeAutospacing="0" w:after="0" w:afterAutospacing="0" w:line="276" w:lineRule="auto"/>
        <w:ind w:firstLine="708"/>
        <w:jc w:val="both"/>
        <w:rPr>
          <w:rFonts w:ascii="Tahoma" w:hAnsi="Tahoma" w:cs="Tahoma"/>
        </w:rPr>
      </w:pPr>
    </w:p>
    <w:p w14:paraId="0B9EF6F0" w14:textId="6F0F4982" w:rsidR="003B59E9" w:rsidRPr="00842145" w:rsidRDefault="006F012D" w:rsidP="00842145">
      <w:pPr>
        <w:pStyle w:val="paragraph"/>
        <w:spacing w:before="0" w:beforeAutospacing="0" w:after="0" w:afterAutospacing="0" w:line="276" w:lineRule="auto"/>
        <w:ind w:firstLine="708"/>
        <w:jc w:val="both"/>
        <w:textAlignment w:val="baseline"/>
        <w:rPr>
          <w:rFonts w:ascii="Tahoma" w:hAnsi="Tahoma" w:cs="Tahoma"/>
        </w:rPr>
      </w:pPr>
      <w:r w:rsidRPr="00842145">
        <w:rPr>
          <w:rFonts w:ascii="Tahoma" w:hAnsi="Tahoma" w:cs="Tahoma"/>
        </w:rPr>
        <w:t>Así pues, estando acredita</w:t>
      </w:r>
      <w:r w:rsidR="7E73C365" w:rsidRPr="00842145">
        <w:rPr>
          <w:rFonts w:ascii="Tahoma" w:hAnsi="Tahoma" w:cs="Tahoma"/>
        </w:rPr>
        <w:t>da</w:t>
      </w:r>
      <w:r w:rsidRPr="00842145">
        <w:rPr>
          <w:rFonts w:ascii="Tahoma" w:hAnsi="Tahoma" w:cs="Tahoma"/>
        </w:rPr>
        <w:t xml:space="preserve"> la existencia de la relación laboral y sin contarse con constancia de afiliación con anterioridad al </w:t>
      </w:r>
      <w:r w:rsidR="00780409" w:rsidRPr="00842145">
        <w:rPr>
          <w:rFonts w:ascii="Tahoma" w:hAnsi="Tahoma" w:cs="Tahoma"/>
        </w:rPr>
        <w:t>31 de enero de 1972</w:t>
      </w:r>
      <w:r w:rsidRPr="00842145">
        <w:rPr>
          <w:rFonts w:ascii="Tahoma" w:hAnsi="Tahoma" w:cs="Tahoma"/>
        </w:rPr>
        <w:t xml:space="preserve">, </w:t>
      </w:r>
      <w:r w:rsidR="005F22E6" w:rsidRPr="00842145">
        <w:rPr>
          <w:rFonts w:ascii="Tahoma" w:hAnsi="Tahoma" w:cs="Tahoma"/>
        </w:rPr>
        <w:t>acertó la jueza de primera instancia al concluir que en este caso se presentó falta de afiliación por parte del empleador</w:t>
      </w:r>
      <w:r w:rsidR="00780409" w:rsidRPr="00842145">
        <w:rPr>
          <w:rFonts w:ascii="Tahoma" w:hAnsi="Tahoma" w:cs="Tahoma"/>
        </w:rPr>
        <w:t xml:space="preserve"> Banco de Comercio, por lo cual, atendiendo la absorción que de este efectuó el Banco de Bogotá</w:t>
      </w:r>
      <w:r w:rsidR="005F22E6" w:rsidRPr="00842145">
        <w:rPr>
          <w:rFonts w:ascii="Tahoma" w:hAnsi="Tahoma" w:cs="Tahoma"/>
        </w:rPr>
        <w:t xml:space="preserve">, </w:t>
      </w:r>
      <w:r w:rsidR="00780409" w:rsidRPr="00842145">
        <w:rPr>
          <w:rFonts w:ascii="Tahoma" w:hAnsi="Tahoma" w:cs="Tahoma"/>
        </w:rPr>
        <w:t xml:space="preserve">este último </w:t>
      </w:r>
      <w:r w:rsidR="005F22E6" w:rsidRPr="00842145">
        <w:rPr>
          <w:rFonts w:ascii="Tahoma" w:hAnsi="Tahoma" w:cs="Tahoma"/>
        </w:rPr>
        <w:t xml:space="preserve">deberá pagar el respectivo cálculo actuarial por las </w:t>
      </w:r>
      <w:r w:rsidR="00780409" w:rsidRPr="00842145">
        <w:rPr>
          <w:rFonts w:ascii="Tahoma" w:hAnsi="Tahoma" w:cs="Tahoma"/>
        </w:rPr>
        <w:t>248.78</w:t>
      </w:r>
      <w:r w:rsidR="005F22E6" w:rsidRPr="00842145">
        <w:rPr>
          <w:rFonts w:ascii="Tahoma" w:hAnsi="Tahoma" w:cs="Tahoma"/>
        </w:rPr>
        <w:t xml:space="preserve"> </w:t>
      </w:r>
      <w:r w:rsidRPr="00842145">
        <w:rPr>
          <w:rFonts w:ascii="Tahoma" w:hAnsi="Tahoma" w:cs="Tahoma"/>
        </w:rPr>
        <w:t xml:space="preserve">faltantes. </w:t>
      </w:r>
    </w:p>
    <w:p w14:paraId="38840094" w14:textId="3B170D73" w:rsidR="00B04495" w:rsidRPr="00842145" w:rsidRDefault="00B04495" w:rsidP="00842145">
      <w:pPr>
        <w:pStyle w:val="Sinespaciado"/>
        <w:spacing w:line="276" w:lineRule="auto"/>
        <w:rPr>
          <w:rFonts w:ascii="Tahoma" w:hAnsi="Tahoma" w:cs="Tahoma"/>
        </w:rPr>
      </w:pPr>
    </w:p>
    <w:p w14:paraId="273496A1" w14:textId="1C2E1417" w:rsidR="00B04495" w:rsidRPr="00842145" w:rsidRDefault="71D57C65" w:rsidP="00842145">
      <w:pPr>
        <w:pStyle w:val="paragraph"/>
        <w:spacing w:before="0" w:beforeAutospacing="0" w:after="0" w:afterAutospacing="0" w:line="276" w:lineRule="auto"/>
        <w:ind w:firstLine="708"/>
        <w:jc w:val="both"/>
        <w:textAlignment w:val="baseline"/>
        <w:rPr>
          <w:rFonts w:ascii="Tahoma" w:hAnsi="Tahoma" w:cs="Tahoma"/>
        </w:rPr>
      </w:pPr>
      <w:r w:rsidRPr="00842145">
        <w:rPr>
          <w:rFonts w:ascii="Tahoma" w:hAnsi="Tahoma" w:cs="Tahoma"/>
        </w:rPr>
        <w:t xml:space="preserve">Y es que, en este punto, para responder a los argumentos de la apelación del Banco de Bogotá, respecto a que el entonces Banco de Comercio no omitió una obligación de afiliación por no contarse con cobertura por parte del ISS, basta con remitirse al criterio expuesto por la Sala de Casación Laboral de la Corte Suprema de Justicia y que ha sido acogido por esta Corporación, entre otros en la sentencia del 11 de octubre de 2021, rad. 2018-00388, M.P. GERMÁN DARÍO GÓEZ VINASCO, </w:t>
      </w:r>
      <w:r w:rsidR="1692C394" w:rsidRPr="00842145">
        <w:rPr>
          <w:rFonts w:ascii="Tahoma" w:hAnsi="Tahoma" w:cs="Tahoma"/>
        </w:rPr>
        <w:t>que reza lo siguiente</w:t>
      </w:r>
      <w:r w:rsidRPr="00842145">
        <w:rPr>
          <w:rFonts w:ascii="Tahoma" w:hAnsi="Tahoma" w:cs="Tahoma"/>
        </w:rPr>
        <w:t>:</w:t>
      </w:r>
    </w:p>
    <w:p w14:paraId="76E8E000" w14:textId="77777777" w:rsidR="00B04495" w:rsidRPr="00842145" w:rsidRDefault="00B04495" w:rsidP="00842145">
      <w:pPr>
        <w:pStyle w:val="paragraph"/>
        <w:spacing w:before="0" w:beforeAutospacing="0" w:after="0" w:afterAutospacing="0" w:line="276" w:lineRule="auto"/>
        <w:ind w:firstLine="708"/>
        <w:jc w:val="both"/>
        <w:textAlignment w:val="baseline"/>
        <w:rPr>
          <w:rFonts w:ascii="Tahoma" w:hAnsi="Tahoma" w:cs="Tahoma"/>
        </w:rPr>
      </w:pPr>
    </w:p>
    <w:p w14:paraId="1ECEF2FE" w14:textId="45C614D7" w:rsidR="00B04495" w:rsidRPr="001A20D6" w:rsidRDefault="00B04495" w:rsidP="001A20D6">
      <w:pPr>
        <w:spacing w:line="240" w:lineRule="auto"/>
        <w:ind w:left="426" w:right="420" w:firstLine="0"/>
        <w:rPr>
          <w:rFonts w:ascii="Tahoma" w:eastAsia="Arial" w:hAnsi="Tahoma" w:cs="Tahoma"/>
          <w:i/>
          <w:iCs/>
          <w:szCs w:val="24"/>
        </w:rPr>
      </w:pPr>
      <w:r w:rsidRPr="001A20D6">
        <w:rPr>
          <w:rFonts w:ascii="Tahoma" w:eastAsia="Arial" w:hAnsi="Tahoma" w:cs="Tahoma"/>
          <w:i/>
          <w:iCs/>
          <w:szCs w:val="24"/>
        </w:rPr>
        <w:t xml:space="preserve">“En efecto, en la reciente sentencia SL3250-2021, la Corte Suprema de Justicia hizo referencia a la rectificación que hizo de su jurisprudencia en la sentencia CSJ SL9856-2014, para sostener que los empleadores deben responder por los tiempos de prestación de servicio que estuvieron a su cargo, mediante el cálculo actuarial, así no existiera obligación de afiliar al Instituto de Seguros Sociales, por falta de cobertura en el lugar del desarrollo de la actividad laboral. Ello, por cuanto, desde la expedición de la Ley 90 de 1946, se estableció la obligación de los empleadores de aprovisionar el capital necesario para garantizar el acceso al derecho pensional de los trabajadores, de modo que están llamados a financiar la prestación, incluso por estos tiempos. </w:t>
      </w:r>
    </w:p>
    <w:p w14:paraId="5B1A6514" w14:textId="77777777" w:rsidR="00B04495" w:rsidRPr="001A20D6" w:rsidRDefault="00B04495" w:rsidP="001A20D6">
      <w:pPr>
        <w:spacing w:line="240" w:lineRule="auto"/>
        <w:ind w:left="426" w:right="420" w:firstLine="0"/>
        <w:rPr>
          <w:rFonts w:ascii="Tahoma" w:eastAsia="Arial" w:hAnsi="Tahoma" w:cs="Tahoma"/>
          <w:i/>
          <w:iCs/>
          <w:szCs w:val="24"/>
        </w:rPr>
      </w:pPr>
    </w:p>
    <w:p w14:paraId="044CAE47" w14:textId="1EA49C77" w:rsidR="00B04495" w:rsidRPr="001A20D6" w:rsidRDefault="00B04495" w:rsidP="001A20D6">
      <w:pPr>
        <w:spacing w:line="240" w:lineRule="auto"/>
        <w:ind w:left="426" w:right="420" w:firstLine="0"/>
        <w:rPr>
          <w:rFonts w:ascii="Tahoma" w:eastAsia="Arial" w:hAnsi="Tahoma" w:cs="Tahoma"/>
          <w:i/>
          <w:iCs/>
          <w:szCs w:val="24"/>
        </w:rPr>
      </w:pPr>
      <w:r w:rsidRPr="001A20D6">
        <w:rPr>
          <w:rFonts w:ascii="Tahoma" w:eastAsia="Arial" w:hAnsi="Tahoma" w:cs="Tahoma"/>
          <w:i/>
          <w:iCs/>
          <w:szCs w:val="24"/>
        </w:rPr>
        <w:t xml:space="preserve">Igualmente, en la sentencia SL2654-2021, rememoró que la obligación del pago de las pensiones ha estado radicada en cabeza de los empleadores; luego con la Ley 90 de 1946 que creó el ISS, se estatuyó el seguro social obligatorio disponiendo en los artículos 72 y 76 que este asumiría de manera gradual el riesgo de vejez en los sitios en los que iniciara su cobertura, para lo cual los empleadores debían realizar la provisión proporcional al tiempo que el trabajador había laborado y entregársela al ISS en tal momento, para efectos del reconocimiento del derecho pensional. En suma, la carga pensional de jubilación continuó bajo el amparo de los empleadores aun cuando no hubiera cobertura del ISS en algunas zonas geográficas o frente a algunos sectores de industria; deber que se mantuvo con la expedición del Código Sustantivo del Trabajo, toda vez que así se contempló en los artículos 259 y 260 de dicho estatuto. </w:t>
      </w:r>
    </w:p>
    <w:p w14:paraId="4EC2D9FB" w14:textId="77777777" w:rsidR="00B04495" w:rsidRPr="001A20D6" w:rsidRDefault="00B04495" w:rsidP="001A20D6">
      <w:pPr>
        <w:spacing w:line="240" w:lineRule="auto"/>
        <w:ind w:left="426" w:right="420" w:firstLine="0"/>
        <w:rPr>
          <w:rFonts w:ascii="Tahoma" w:eastAsia="Arial" w:hAnsi="Tahoma" w:cs="Tahoma"/>
          <w:i/>
          <w:iCs/>
          <w:szCs w:val="24"/>
        </w:rPr>
      </w:pPr>
      <w:r w:rsidRPr="001A20D6">
        <w:rPr>
          <w:rFonts w:ascii="Tahoma" w:eastAsia="Arial" w:hAnsi="Tahoma" w:cs="Tahoma"/>
          <w:i/>
          <w:iCs/>
          <w:szCs w:val="24"/>
        </w:rPr>
        <w:t xml:space="preserve">(…) </w:t>
      </w:r>
    </w:p>
    <w:p w14:paraId="387C9DDC" w14:textId="5E460E73" w:rsidR="00B04495" w:rsidRPr="001A20D6" w:rsidRDefault="00B04495" w:rsidP="001A20D6">
      <w:pPr>
        <w:spacing w:line="240" w:lineRule="auto"/>
        <w:ind w:left="426" w:right="420" w:firstLine="0"/>
        <w:rPr>
          <w:rFonts w:ascii="Tahoma" w:eastAsia="Arial" w:hAnsi="Tahoma" w:cs="Tahoma"/>
          <w:i/>
          <w:iCs/>
          <w:szCs w:val="24"/>
        </w:rPr>
      </w:pPr>
      <w:r w:rsidRPr="001A20D6">
        <w:rPr>
          <w:rFonts w:ascii="Tahoma" w:eastAsia="Arial" w:hAnsi="Tahoma" w:cs="Tahoma"/>
          <w:i/>
          <w:iCs/>
          <w:szCs w:val="24"/>
        </w:rPr>
        <w:t xml:space="preserve">De otro lado, en sentencia SL2654-2021 que reitera la CSJ SL3810-2020 y CSJ SL5541-2018, la Corte agregó que «las disposiciones que regulan los efectos de la omisión en la afiliación, por cualquier causa, son las vigentes al momento del cumplimiento de los requisitos para obtener el derecho pensional, e independientemente de que las diferentes situaciones se presenten con anterioridad a la vigencia de la Ley 100 de 1993 (CSJ SL16715-2014, CSJ SL2731-2015, CSJ SL2412-2016 y CSJ SL14215-2017). </w:t>
      </w:r>
    </w:p>
    <w:p w14:paraId="40A53B34" w14:textId="77777777" w:rsidR="00B04495" w:rsidRPr="001A20D6" w:rsidRDefault="00B04495" w:rsidP="001A20D6">
      <w:pPr>
        <w:spacing w:line="240" w:lineRule="auto"/>
        <w:ind w:left="426" w:right="420" w:firstLine="0"/>
        <w:rPr>
          <w:rFonts w:ascii="Tahoma" w:eastAsia="Arial" w:hAnsi="Tahoma" w:cs="Tahoma"/>
          <w:i/>
          <w:iCs/>
          <w:szCs w:val="24"/>
        </w:rPr>
      </w:pPr>
    </w:p>
    <w:p w14:paraId="79FDC496" w14:textId="1956119F" w:rsidR="00B04495" w:rsidRPr="001A20D6" w:rsidRDefault="00B04495" w:rsidP="001A20D6">
      <w:pPr>
        <w:spacing w:line="240" w:lineRule="auto"/>
        <w:ind w:left="426" w:right="420" w:firstLine="0"/>
        <w:rPr>
          <w:rFonts w:ascii="Tahoma" w:eastAsia="Arial" w:hAnsi="Tahoma" w:cs="Tahoma"/>
          <w:i/>
          <w:iCs/>
          <w:szCs w:val="24"/>
        </w:rPr>
      </w:pPr>
      <w:r w:rsidRPr="001A20D6">
        <w:rPr>
          <w:rFonts w:ascii="Tahoma" w:eastAsia="Arial" w:hAnsi="Tahoma" w:cs="Tahoma"/>
          <w:i/>
          <w:iCs/>
          <w:szCs w:val="24"/>
        </w:rPr>
        <w:t>La razón de dicha posición, se planteó en sentencia CSJ SL1356-2019, que reiteró la CSJ SL5535-2018, sustentando que: «… bajo la orientación de los principios constitucionales que propenden por la protección del ser humano que al cabo de años de trabajo se retira del servicio sin la posibilidad de obtener el reconocimiento de la prestación pensional, por causas ajenas a su voluntad y a las del empleador, y en el entendido que el derecho a la seguridad social es fundamental, irrenunciable e inalienable, la Sala, por mayoría, estimó viable y necesario que los tiempos trabajados y no cotizados, por la ausencia de cobertura del sistema general de pensiones en algunos lugares de la geografía nacional, fueran calculados a través de títulos pensionales a cargo del empleador, con el fin de que el trabajador completara la densidad de cotizaciones exigida por la ley».</w:t>
      </w:r>
    </w:p>
    <w:p w14:paraId="15EED057" w14:textId="77777777" w:rsidR="00B04495" w:rsidRPr="001A20D6" w:rsidRDefault="00B04495" w:rsidP="001A20D6">
      <w:pPr>
        <w:spacing w:line="240" w:lineRule="auto"/>
        <w:ind w:left="426" w:right="420" w:firstLine="0"/>
        <w:rPr>
          <w:rFonts w:ascii="Tahoma" w:eastAsia="Arial" w:hAnsi="Tahoma" w:cs="Tahoma"/>
          <w:i/>
          <w:iCs/>
          <w:szCs w:val="24"/>
        </w:rPr>
      </w:pPr>
    </w:p>
    <w:p w14:paraId="433C4C08" w14:textId="26757AF3" w:rsidR="00B04495" w:rsidRPr="001A20D6" w:rsidRDefault="00B04495" w:rsidP="001A20D6">
      <w:pPr>
        <w:spacing w:line="240" w:lineRule="auto"/>
        <w:ind w:left="426" w:right="420" w:firstLine="0"/>
        <w:rPr>
          <w:rFonts w:ascii="Tahoma" w:eastAsia="Arial" w:hAnsi="Tahoma" w:cs="Tahoma"/>
          <w:i/>
          <w:iCs/>
          <w:szCs w:val="24"/>
        </w:rPr>
      </w:pPr>
      <w:r w:rsidRPr="001A20D6">
        <w:rPr>
          <w:rFonts w:ascii="Tahoma" w:eastAsia="Arial" w:hAnsi="Tahoma" w:cs="Tahoma"/>
          <w:i/>
          <w:iCs/>
          <w:szCs w:val="24"/>
        </w:rPr>
        <w:t xml:space="preserve">Derroteros, que la Corte definió en: (i) que no se podía negar que los empleadores mantenían obligaciones y responsabilidades respecto de sus trabajadores, a pesar de que no actuaran de manera incuriosa, al dejar de inscribirlos a la seguridad social en pensiones; (ii) que, en ese sentido, esos lapsos de no afiliación por falta de cobertura, </w:t>
      </w:r>
      <w:r w:rsidRPr="001A20D6">
        <w:rPr>
          <w:rFonts w:ascii="Tahoma" w:eastAsia="Arial" w:hAnsi="Tahoma" w:cs="Tahoma"/>
          <w:i/>
          <w:iCs/>
          <w:szCs w:val="24"/>
        </w:rPr>
        <w:lastRenderedPageBreak/>
        <w:t>debían estar a cargo del empleador, por mantener en cabeza suya el riesgo pensional, y (iii) que la manera de concretar ese gravamen, en casos «(…) en los que [el trabajador] no alcanzó a completar la densidad de cotizaciones para acceder a la pensión de vejez, [es] facilitar (…) que consolide su derecho, mediante el traslado del cálculo actuarial para de esa forma garantizarle que la prestación estará a cargo del ente de seguridad social» (CSJ SL9856-2014, CSJ SL10122-2017, CSJ SL1122-2019, CSJ SL3892-2016, CSJ SL2584-2020, SL17300-2014)”</w:t>
      </w:r>
    </w:p>
    <w:p w14:paraId="03FA7F58" w14:textId="3BF3F5E3" w:rsidR="00B04495" w:rsidRPr="00842145" w:rsidRDefault="00B04495" w:rsidP="00842145">
      <w:pPr>
        <w:pStyle w:val="Sinespaciado"/>
        <w:spacing w:line="276" w:lineRule="auto"/>
        <w:rPr>
          <w:rFonts w:ascii="Tahoma" w:hAnsi="Tahoma" w:cs="Tahoma"/>
        </w:rPr>
      </w:pPr>
    </w:p>
    <w:p w14:paraId="192CD1AB" w14:textId="4359E521" w:rsidR="00B04495" w:rsidRPr="00842145" w:rsidRDefault="71D57C65" w:rsidP="00842145">
      <w:pPr>
        <w:pStyle w:val="paragraph"/>
        <w:spacing w:before="0" w:beforeAutospacing="0" w:after="0" w:afterAutospacing="0" w:line="276" w:lineRule="auto"/>
        <w:ind w:firstLine="708"/>
        <w:jc w:val="both"/>
        <w:textAlignment w:val="baseline"/>
        <w:rPr>
          <w:rFonts w:ascii="Tahoma" w:hAnsi="Tahoma" w:cs="Tahoma"/>
        </w:rPr>
      </w:pPr>
      <w:r w:rsidRPr="00842145">
        <w:rPr>
          <w:rFonts w:ascii="Tahoma" w:hAnsi="Tahoma" w:cs="Tahoma"/>
        </w:rPr>
        <w:t>Las anteriores consideraciones son suficientes para desestimar el argumento de la apelación del Banco de Bogotá</w:t>
      </w:r>
      <w:r w:rsidR="5D9EA964" w:rsidRPr="00842145">
        <w:rPr>
          <w:rFonts w:ascii="Tahoma" w:hAnsi="Tahoma" w:cs="Tahoma"/>
        </w:rPr>
        <w:t xml:space="preserve"> respecto a la</w:t>
      </w:r>
      <w:r w:rsidR="68414DCC" w:rsidRPr="00842145">
        <w:rPr>
          <w:rFonts w:ascii="Tahoma" w:hAnsi="Tahoma" w:cs="Tahoma"/>
        </w:rPr>
        <w:t xml:space="preserve"> eventual</w:t>
      </w:r>
      <w:r w:rsidR="5D9EA964" w:rsidRPr="00842145">
        <w:rPr>
          <w:rFonts w:ascii="Tahoma" w:hAnsi="Tahoma" w:cs="Tahoma"/>
        </w:rPr>
        <w:t xml:space="preserve"> falta de cobertura</w:t>
      </w:r>
      <w:r w:rsidRPr="00842145">
        <w:rPr>
          <w:rFonts w:ascii="Tahoma" w:hAnsi="Tahoma" w:cs="Tahoma"/>
        </w:rPr>
        <w:t xml:space="preserve">, siendo del caso únicamente agregar que, a pesar de que para </w:t>
      </w:r>
      <w:r w:rsidR="5D9EA964" w:rsidRPr="00842145">
        <w:rPr>
          <w:rFonts w:ascii="Tahoma" w:hAnsi="Tahoma" w:cs="Tahoma"/>
        </w:rPr>
        <w:t>1967 cuando inició la relación laboral, el señor Suarez Valero no hubiese alcanzado los 21 años, mayoría de edad antes de la expedición de la Ley 27 de 1977, el trabajo de menores de edad se encuentra regulado</w:t>
      </w:r>
      <w:r w:rsidR="7BF0C74A" w:rsidRPr="00842145">
        <w:rPr>
          <w:rFonts w:ascii="Tahoma" w:hAnsi="Tahoma" w:cs="Tahoma"/>
        </w:rPr>
        <w:t xml:space="preserve"> y permitido </w:t>
      </w:r>
      <w:r w:rsidR="5D9EA964" w:rsidRPr="00842145">
        <w:rPr>
          <w:rFonts w:ascii="Tahoma" w:hAnsi="Tahoma" w:cs="Tahoma"/>
        </w:rPr>
        <w:t>en el art. 171 del Código Sustantivo del Trabajo</w:t>
      </w:r>
      <w:r w:rsidR="465C1107" w:rsidRPr="00842145">
        <w:rPr>
          <w:rFonts w:ascii="Tahoma" w:hAnsi="Tahoma" w:cs="Tahoma"/>
        </w:rPr>
        <w:t>,</w:t>
      </w:r>
      <w:r w:rsidR="5D9EA964" w:rsidRPr="00842145">
        <w:rPr>
          <w:rFonts w:ascii="Tahoma" w:hAnsi="Tahoma" w:cs="Tahoma"/>
        </w:rPr>
        <w:t xml:space="preserve"> con las limitaciones en cuanto a jornadas, horarios y tipo de actividades, razón por la cual, desde el inicio de la relación laboral, aunque fuese menor de edad, el demandante tenía todos los derechos de un trabajador, dentro de los que se encuentra la afiliación a la seguridad social, más </w:t>
      </w:r>
      <w:r w:rsidR="7DCFE50A" w:rsidRPr="00842145">
        <w:rPr>
          <w:rFonts w:ascii="Tahoma" w:hAnsi="Tahoma" w:cs="Tahoma"/>
        </w:rPr>
        <w:t>aún</w:t>
      </w:r>
      <w:r w:rsidR="5D9EA964" w:rsidRPr="00842145">
        <w:rPr>
          <w:rFonts w:ascii="Tahoma" w:hAnsi="Tahoma" w:cs="Tahoma"/>
        </w:rPr>
        <w:t xml:space="preserve"> cuando el art. 1º del Acuerdo 224 de 1966 – vigente para ese momento- expresamente estableció que están sujetos al seguro social obligatori</w:t>
      </w:r>
      <w:r w:rsidR="48F33F5E" w:rsidRPr="00842145">
        <w:rPr>
          <w:rFonts w:ascii="Tahoma" w:hAnsi="Tahoma" w:cs="Tahoma"/>
        </w:rPr>
        <w:t>o</w:t>
      </w:r>
      <w:r w:rsidR="5D9EA964" w:rsidRPr="00842145">
        <w:rPr>
          <w:rFonts w:ascii="Tahoma" w:hAnsi="Tahoma" w:cs="Tahoma"/>
        </w:rPr>
        <w:t xml:space="preserve"> contra los riesgos de invalidez, muerte y vejez los trabajadores nacionales y extranjeros que presten sus servicios en virtud de un contrato de trabajo, siempre que no </w:t>
      </w:r>
      <w:r w:rsidR="089BE58E" w:rsidRPr="00842145">
        <w:rPr>
          <w:rFonts w:ascii="Tahoma" w:hAnsi="Tahoma" w:cs="Tahoma"/>
        </w:rPr>
        <w:t>estén</w:t>
      </w:r>
      <w:r w:rsidR="5D9EA964" w:rsidRPr="00842145">
        <w:rPr>
          <w:rFonts w:ascii="Tahoma" w:hAnsi="Tahoma" w:cs="Tahoma"/>
        </w:rPr>
        <w:t xml:space="preserve"> expresamente </w:t>
      </w:r>
      <w:r w:rsidR="089BE58E" w:rsidRPr="00842145">
        <w:rPr>
          <w:rFonts w:ascii="Tahoma" w:hAnsi="Tahoma" w:cs="Tahoma"/>
        </w:rPr>
        <w:t xml:space="preserve">excluidos, últimos que se enlistaron en el art- 3 ibidem, sin que se encuentre entre ellos los menores de edad. </w:t>
      </w:r>
    </w:p>
    <w:p w14:paraId="18C7A669" w14:textId="23C92D6B" w:rsidR="00932327" w:rsidRPr="00842145" w:rsidRDefault="00932327" w:rsidP="00842145">
      <w:pPr>
        <w:pStyle w:val="paragraph"/>
        <w:spacing w:before="0" w:beforeAutospacing="0" w:after="0" w:afterAutospacing="0" w:line="276" w:lineRule="auto"/>
        <w:ind w:firstLine="708"/>
        <w:jc w:val="both"/>
        <w:rPr>
          <w:rFonts w:ascii="Tahoma" w:hAnsi="Tahoma" w:cs="Tahoma"/>
        </w:rPr>
      </w:pPr>
    </w:p>
    <w:p w14:paraId="5C142E2E" w14:textId="0BA5F0D4" w:rsidR="00932327" w:rsidRPr="00842145" w:rsidRDefault="646C2297" w:rsidP="00842145">
      <w:pPr>
        <w:pStyle w:val="paragraph"/>
        <w:spacing w:before="0" w:beforeAutospacing="0" w:after="0" w:afterAutospacing="0" w:line="276" w:lineRule="auto"/>
        <w:ind w:firstLine="708"/>
        <w:jc w:val="both"/>
        <w:rPr>
          <w:rFonts w:ascii="Tahoma" w:hAnsi="Tahoma" w:cs="Tahoma"/>
          <w:lang w:val="es"/>
        </w:rPr>
      </w:pPr>
      <w:r w:rsidRPr="00842145">
        <w:rPr>
          <w:rFonts w:ascii="Tahoma" w:hAnsi="Tahoma" w:cs="Tahoma"/>
        </w:rPr>
        <w:t xml:space="preserve">Por otra parte, atendiendo la petición subsidiaria del Banco de Bogotá, esto es la aplicación de la tesis establecida por la Corte Constitucional en la sentencia T- 281 de 2020, en la cual </w:t>
      </w:r>
      <w:r w:rsidR="2024C840" w:rsidRPr="00842145">
        <w:rPr>
          <w:rFonts w:ascii="Tahoma" w:hAnsi="Tahoma" w:cs="Tahoma"/>
        </w:rPr>
        <w:t xml:space="preserve">se ordenó pagar a la empleadora únicamente el 50% del cálculo actuarial, debe precisar la Sala que tal solicitud no tiene vocación de prosperidad toda vez que el caso analizado por el Alto Tribunal en sede de tutela </w:t>
      </w:r>
      <w:r w:rsidR="6B12A817" w:rsidRPr="00842145">
        <w:rPr>
          <w:rFonts w:ascii="Tahoma" w:hAnsi="Tahoma" w:cs="Tahoma"/>
        </w:rPr>
        <w:t xml:space="preserve">no es equiparable al sub examine, en el entendido que en sede constitucional se optó por </w:t>
      </w:r>
      <w:r w:rsidR="6EA7285E" w:rsidRPr="00842145">
        <w:rPr>
          <w:rFonts w:ascii="Tahoma" w:hAnsi="Tahoma" w:cs="Tahoma"/>
          <w:lang w:eastAsia="es-ES"/>
        </w:rPr>
        <w:t>dicha solución por cuanto la totalidad de las semanas echadas en falta fueron con anterioridad al inicio de l</w:t>
      </w:r>
      <w:proofErr w:type="spellStart"/>
      <w:r w:rsidR="6EA7285E" w:rsidRPr="00842145">
        <w:rPr>
          <w:rFonts w:ascii="Tahoma" w:hAnsi="Tahoma" w:cs="Tahoma"/>
          <w:lang w:val="es" w:eastAsia="es-ES"/>
        </w:rPr>
        <w:t>as</w:t>
      </w:r>
      <w:proofErr w:type="spellEnd"/>
      <w:r w:rsidR="6EA7285E" w:rsidRPr="00842145">
        <w:rPr>
          <w:rFonts w:ascii="Tahoma" w:hAnsi="Tahoma" w:cs="Tahoma"/>
          <w:lang w:val="es" w:eastAsia="es-ES"/>
        </w:rPr>
        <w:t xml:space="preserve"> inscripciones al I.S.S. -1° de enero de 1967,  de acuerdo a la Resolución No. 831 de 1966-</w:t>
      </w:r>
      <w:r w:rsidR="11CBFF50" w:rsidRPr="00842145">
        <w:rPr>
          <w:rFonts w:ascii="Tahoma" w:hAnsi="Tahoma" w:cs="Tahoma"/>
          <w:lang w:val="es" w:eastAsia="es-ES"/>
        </w:rPr>
        <w:t xml:space="preserve"> y por ende, para el empleador de aquella tutela, había sido materialmente imposible efectuar la afiliación</w:t>
      </w:r>
      <w:r w:rsidR="6EA7285E" w:rsidRPr="00842145">
        <w:rPr>
          <w:rFonts w:ascii="Tahoma" w:hAnsi="Tahoma" w:cs="Tahoma"/>
          <w:lang w:val="es" w:eastAsia="es-ES"/>
        </w:rPr>
        <w:t xml:space="preserve">, </w:t>
      </w:r>
      <w:r w:rsidR="5C7BC976" w:rsidRPr="00842145">
        <w:rPr>
          <w:rFonts w:ascii="Tahoma" w:hAnsi="Tahoma" w:cs="Tahoma"/>
          <w:lang w:val="es" w:eastAsia="es-ES"/>
        </w:rPr>
        <w:t xml:space="preserve">supuesto que evidentemente no corresponde al servicio del señor Suarez </w:t>
      </w:r>
      <w:proofErr w:type="spellStart"/>
      <w:r w:rsidR="5C7BC976" w:rsidRPr="00842145">
        <w:rPr>
          <w:rFonts w:ascii="Tahoma" w:hAnsi="Tahoma" w:cs="Tahoma"/>
          <w:lang w:val="es" w:eastAsia="es-ES"/>
        </w:rPr>
        <w:t>Verelo</w:t>
      </w:r>
      <w:proofErr w:type="spellEnd"/>
      <w:r w:rsidR="5C7BC976" w:rsidRPr="00842145">
        <w:rPr>
          <w:rFonts w:ascii="Tahoma" w:hAnsi="Tahoma" w:cs="Tahoma"/>
          <w:lang w:val="es" w:eastAsia="es-ES"/>
        </w:rPr>
        <w:t>, toda vez que él inició sus labores en el Banco de Comercio el 24 de abril de 1967, es decir, con posterioridad a</w:t>
      </w:r>
      <w:r w:rsidR="5A50F2AE" w:rsidRPr="00842145">
        <w:rPr>
          <w:rFonts w:ascii="Tahoma" w:hAnsi="Tahoma" w:cs="Tahoma"/>
          <w:lang w:val="es" w:eastAsia="es-ES"/>
        </w:rPr>
        <w:t xml:space="preserve"> que se empezaran a generar </w:t>
      </w:r>
      <w:r w:rsidR="2769A94E" w:rsidRPr="00842145">
        <w:rPr>
          <w:rFonts w:ascii="Tahoma" w:hAnsi="Tahoma" w:cs="Tahoma"/>
          <w:lang w:val="es" w:eastAsia="es-ES"/>
        </w:rPr>
        <w:t>las inscripciones al ISS</w:t>
      </w:r>
      <w:r w:rsidR="5C7BC976" w:rsidRPr="00842145">
        <w:rPr>
          <w:rFonts w:ascii="Tahoma" w:hAnsi="Tahoma" w:cs="Tahoma"/>
          <w:lang w:val="es" w:eastAsia="es-ES"/>
        </w:rPr>
        <w:t>.</w:t>
      </w:r>
    </w:p>
    <w:p w14:paraId="07E7B530" w14:textId="636D3E24" w:rsidR="49A17719" w:rsidRPr="00842145" w:rsidRDefault="49A17719" w:rsidP="00842145">
      <w:pPr>
        <w:pStyle w:val="paragraph"/>
        <w:spacing w:before="0" w:beforeAutospacing="0" w:after="0" w:afterAutospacing="0" w:line="276" w:lineRule="auto"/>
        <w:ind w:firstLine="708"/>
        <w:jc w:val="both"/>
        <w:rPr>
          <w:rFonts w:ascii="Tahoma" w:hAnsi="Tahoma" w:cs="Tahoma"/>
          <w:lang w:val="es"/>
        </w:rPr>
      </w:pPr>
    </w:p>
    <w:p w14:paraId="5C640CD7" w14:textId="58BFA3E1" w:rsidR="115DC06F" w:rsidRPr="00842145" w:rsidRDefault="115DC06F" w:rsidP="00842145">
      <w:pPr>
        <w:pStyle w:val="paragraph"/>
        <w:spacing w:before="0" w:beforeAutospacing="0" w:after="0" w:afterAutospacing="0" w:line="276" w:lineRule="auto"/>
        <w:ind w:firstLine="708"/>
        <w:jc w:val="both"/>
        <w:rPr>
          <w:rFonts w:ascii="Tahoma" w:hAnsi="Tahoma" w:cs="Tahoma"/>
        </w:rPr>
      </w:pPr>
      <w:r w:rsidRPr="00842145">
        <w:rPr>
          <w:rFonts w:ascii="Tahoma" w:hAnsi="Tahoma" w:cs="Tahoma"/>
          <w:lang w:val="es" w:eastAsia="es-ES"/>
        </w:rPr>
        <w:t xml:space="preserve">Así, basta con que en la sentencia de primera instancia se haya dispuesto que el cálculo actuarial debe ser realizado teniendo en cuenta la normatividad vigente para el momento de la omisión, es decir el </w:t>
      </w:r>
      <w:r w:rsidR="32B1700E" w:rsidRPr="00842145">
        <w:rPr>
          <w:rFonts w:ascii="Tahoma" w:hAnsi="Tahoma" w:cs="Tahoma"/>
        </w:rPr>
        <w:t xml:space="preserve">Acuerdo 224 de 1966, para que se respeten los porcentajes de cotización allí establecidos, sin que, de acuerdo a la jurisprudencia de la Corte Suprema de Justicia, que se itera, es acogida por esta Sala, </w:t>
      </w:r>
      <w:r w:rsidR="45610118" w:rsidRPr="00842145">
        <w:rPr>
          <w:rFonts w:ascii="Tahoma" w:hAnsi="Tahoma" w:cs="Tahoma"/>
        </w:rPr>
        <w:t xml:space="preserve">lleve a considerar que el pago de las cotizaciones debe hacerse en un menor valor al que le hubiese correspondido de haber cotizado en tiempo. </w:t>
      </w:r>
    </w:p>
    <w:p w14:paraId="0F3C7E3C" w14:textId="6A06917F" w:rsidR="49A17719" w:rsidRPr="00842145" w:rsidRDefault="49A17719" w:rsidP="00842145">
      <w:pPr>
        <w:pStyle w:val="paragraph"/>
        <w:spacing w:before="0" w:beforeAutospacing="0" w:after="0" w:afterAutospacing="0" w:line="276" w:lineRule="auto"/>
        <w:ind w:firstLine="708"/>
        <w:jc w:val="both"/>
        <w:rPr>
          <w:rFonts w:ascii="Tahoma" w:hAnsi="Tahoma" w:cs="Tahoma"/>
          <w:lang w:val="es" w:eastAsia="es-ES"/>
        </w:rPr>
      </w:pPr>
    </w:p>
    <w:p w14:paraId="6C6F7C46" w14:textId="16BBEA7A" w:rsidR="00932327" w:rsidRPr="00842145" w:rsidRDefault="00932327" w:rsidP="00842145">
      <w:pPr>
        <w:pStyle w:val="paragraph"/>
        <w:spacing w:before="0" w:beforeAutospacing="0" w:after="0" w:afterAutospacing="0" w:line="276" w:lineRule="auto"/>
        <w:ind w:firstLine="708"/>
        <w:jc w:val="both"/>
        <w:textAlignment w:val="baseline"/>
        <w:rPr>
          <w:rFonts w:ascii="Tahoma" w:hAnsi="Tahoma" w:cs="Tahoma"/>
        </w:rPr>
      </w:pPr>
      <w:r w:rsidRPr="00842145">
        <w:rPr>
          <w:rFonts w:ascii="Tahoma" w:hAnsi="Tahoma" w:cs="Tahoma"/>
        </w:rPr>
        <w:t xml:space="preserve">En suma, a las </w:t>
      </w:r>
      <w:r w:rsidR="00BF54E5" w:rsidRPr="00842145">
        <w:rPr>
          <w:rFonts w:ascii="Tahoma" w:hAnsi="Tahoma" w:cs="Tahoma"/>
        </w:rPr>
        <w:t>732</w:t>
      </w:r>
      <w:r w:rsidRPr="00842145">
        <w:rPr>
          <w:rFonts w:ascii="Tahoma" w:hAnsi="Tahoma" w:cs="Tahoma"/>
        </w:rPr>
        <w:t xml:space="preserve"> semanas </w:t>
      </w:r>
      <w:r w:rsidR="00BF54E5" w:rsidRPr="00842145">
        <w:rPr>
          <w:rFonts w:ascii="Tahoma" w:hAnsi="Tahoma" w:cs="Tahoma"/>
        </w:rPr>
        <w:t>reconocidas por Colpensiones</w:t>
      </w:r>
      <w:r w:rsidRPr="00842145">
        <w:rPr>
          <w:rFonts w:ascii="Tahoma" w:hAnsi="Tahoma" w:cs="Tahoma"/>
        </w:rPr>
        <w:t xml:space="preserve">, deben ser agregadas </w:t>
      </w:r>
      <w:r w:rsidR="00BF54E5" w:rsidRPr="00842145">
        <w:rPr>
          <w:rFonts w:ascii="Tahoma" w:hAnsi="Tahoma" w:cs="Tahoma"/>
        </w:rPr>
        <w:t>248.78 semanas</w:t>
      </w:r>
      <w:r w:rsidRPr="00842145">
        <w:rPr>
          <w:rFonts w:ascii="Tahoma" w:hAnsi="Tahoma" w:cs="Tahoma"/>
        </w:rPr>
        <w:t xml:space="preserve"> por falta de afiliación</w:t>
      </w:r>
      <w:r w:rsidR="00BF54E5" w:rsidRPr="00842145">
        <w:rPr>
          <w:rFonts w:ascii="Tahoma" w:hAnsi="Tahoma" w:cs="Tahoma"/>
        </w:rPr>
        <w:t xml:space="preserve"> a cargo del Banco de Bogotá</w:t>
      </w:r>
      <w:r w:rsidRPr="00842145">
        <w:rPr>
          <w:rFonts w:ascii="Tahoma" w:hAnsi="Tahoma" w:cs="Tahoma"/>
        </w:rPr>
        <w:t xml:space="preserve"> y </w:t>
      </w:r>
      <w:r w:rsidR="00BF54E5" w:rsidRPr="00842145">
        <w:rPr>
          <w:rFonts w:ascii="Tahoma" w:hAnsi="Tahoma" w:cs="Tahoma"/>
        </w:rPr>
        <w:t>19.57</w:t>
      </w:r>
      <w:r w:rsidRPr="00842145">
        <w:rPr>
          <w:rFonts w:ascii="Tahoma" w:hAnsi="Tahoma" w:cs="Tahoma"/>
        </w:rPr>
        <w:t xml:space="preserve"> </w:t>
      </w:r>
      <w:r w:rsidRPr="00842145">
        <w:rPr>
          <w:rFonts w:ascii="Tahoma" w:hAnsi="Tahoma" w:cs="Tahoma"/>
        </w:rPr>
        <w:lastRenderedPageBreak/>
        <w:t xml:space="preserve">por </w:t>
      </w:r>
      <w:r w:rsidR="00BF54E5" w:rsidRPr="00842145">
        <w:rPr>
          <w:rFonts w:ascii="Tahoma" w:hAnsi="Tahoma" w:cs="Tahoma"/>
        </w:rPr>
        <w:t>falta de registro de los aportes cancelados por Rincón Costeño</w:t>
      </w:r>
      <w:r w:rsidRPr="00842145">
        <w:rPr>
          <w:rFonts w:ascii="Tahoma" w:hAnsi="Tahoma" w:cs="Tahoma"/>
        </w:rPr>
        <w:t xml:space="preserve">, alcanzándose así la suma de </w:t>
      </w:r>
      <w:r w:rsidR="00BF54E5" w:rsidRPr="00842145">
        <w:rPr>
          <w:rFonts w:ascii="Tahoma" w:hAnsi="Tahoma" w:cs="Tahoma"/>
        </w:rPr>
        <w:t>1.000,35</w:t>
      </w:r>
      <w:r w:rsidRPr="00842145">
        <w:rPr>
          <w:rFonts w:ascii="Tahoma" w:hAnsi="Tahoma" w:cs="Tahoma"/>
        </w:rPr>
        <w:t xml:space="preserve">, totalidad de semanas </w:t>
      </w:r>
      <w:r w:rsidR="00BF54E5" w:rsidRPr="00842145">
        <w:rPr>
          <w:rFonts w:ascii="Tahoma" w:hAnsi="Tahoma" w:cs="Tahoma"/>
        </w:rPr>
        <w:t xml:space="preserve">ligeramente inferior a </w:t>
      </w:r>
      <w:r w:rsidRPr="00842145">
        <w:rPr>
          <w:rFonts w:ascii="Tahoma" w:hAnsi="Tahoma" w:cs="Tahoma"/>
        </w:rPr>
        <w:t>la definida en primera instancia</w:t>
      </w:r>
      <w:r w:rsidR="00BF54E5" w:rsidRPr="00842145">
        <w:rPr>
          <w:rFonts w:ascii="Tahoma" w:hAnsi="Tahoma" w:cs="Tahoma"/>
        </w:rPr>
        <w:t>, en razón a que allí se contabilizó el ciclo de julio de 2005, cuando este ya se reportaba en la historia laboral</w:t>
      </w:r>
      <w:r w:rsidRPr="00842145">
        <w:rPr>
          <w:rFonts w:ascii="Tahoma" w:hAnsi="Tahoma" w:cs="Tahoma"/>
        </w:rPr>
        <w:t xml:space="preserve">. </w:t>
      </w:r>
    </w:p>
    <w:p w14:paraId="7FB20AAB" w14:textId="1B2B6FDF" w:rsidR="006E5D81" w:rsidRPr="00842145" w:rsidRDefault="005F22E6" w:rsidP="00842145">
      <w:pPr>
        <w:pStyle w:val="Sinespaciado"/>
        <w:spacing w:line="276" w:lineRule="auto"/>
        <w:rPr>
          <w:rFonts w:ascii="Tahoma" w:hAnsi="Tahoma" w:cs="Tahoma"/>
        </w:rPr>
      </w:pPr>
      <w:r w:rsidRPr="00842145">
        <w:rPr>
          <w:rFonts w:ascii="Tahoma" w:hAnsi="Tahoma" w:cs="Tahoma"/>
        </w:rPr>
        <w:t xml:space="preserve"> </w:t>
      </w:r>
    </w:p>
    <w:p w14:paraId="19B57CF4" w14:textId="1FB3BE5C" w:rsidR="00932327" w:rsidRPr="00842145" w:rsidRDefault="006E5D81" w:rsidP="00842145">
      <w:pPr>
        <w:tabs>
          <w:tab w:val="left" w:pos="0"/>
        </w:tabs>
        <w:spacing w:line="276" w:lineRule="auto"/>
        <w:ind w:firstLine="0"/>
        <w:rPr>
          <w:rFonts w:ascii="Tahoma" w:hAnsi="Tahoma" w:cs="Tahoma"/>
          <w:sz w:val="24"/>
          <w:szCs w:val="24"/>
        </w:rPr>
      </w:pPr>
      <w:r w:rsidRPr="00842145">
        <w:rPr>
          <w:rFonts w:ascii="Tahoma" w:hAnsi="Tahoma" w:cs="Tahoma"/>
          <w:sz w:val="24"/>
          <w:szCs w:val="24"/>
        </w:rPr>
        <w:tab/>
        <w:t>Por lo anterior, habrá de confirmarse</w:t>
      </w:r>
      <w:r w:rsidR="0022499D" w:rsidRPr="00842145">
        <w:rPr>
          <w:rFonts w:ascii="Tahoma" w:hAnsi="Tahoma" w:cs="Tahoma"/>
          <w:sz w:val="24"/>
          <w:szCs w:val="24"/>
        </w:rPr>
        <w:t xml:space="preserve"> la sentencia de primera instancia, pues con los ciclos que se echan de menos</w:t>
      </w:r>
      <w:r w:rsidR="00932327" w:rsidRPr="00842145">
        <w:rPr>
          <w:rFonts w:ascii="Tahoma" w:hAnsi="Tahoma" w:cs="Tahoma"/>
          <w:sz w:val="24"/>
          <w:szCs w:val="24"/>
        </w:rPr>
        <w:t xml:space="preserve"> en las historias laborales</w:t>
      </w:r>
      <w:r w:rsidR="0092375C" w:rsidRPr="00842145">
        <w:rPr>
          <w:rFonts w:ascii="Tahoma" w:hAnsi="Tahoma" w:cs="Tahoma"/>
          <w:sz w:val="24"/>
          <w:szCs w:val="24"/>
        </w:rPr>
        <w:t xml:space="preserve">, </w:t>
      </w:r>
      <w:r w:rsidR="00932327" w:rsidRPr="00842145">
        <w:rPr>
          <w:rFonts w:ascii="Tahoma" w:hAnsi="Tahoma" w:cs="Tahoma"/>
          <w:sz w:val="24"/>
          <w:szCs w:val="24"/>
        </w:rPr>
        <w:t>el</w:t>
      </w:r>
      <w:r w:rsidR="0092375C" w:rsidRPr="00842145">
        <w:rPr>
          <w:rFonts w:ascii="Tahoma" w:hAnsi="Tahoma" w:cs="Tahoma"/>
          <w:sz w:val="24"/>
          <w:szCs w:val="24"/>
        </w:rPr>
        <w:t xml:space="preserve"> afiliad</w:t>
      </w:r>
      <w:r w:rsidR="00932327" w:rsidRPr="00842145">
        <w:rPr>
          <w:rFonts w:ascii="Tahoma" w:hAnsi="Tahoma" w:cs="Tahoma"/>
          <w:sz w:val="24"/>
          <w:szCs w:val="24"/>
        </w:rPr>
        <w:t>o</w:t>
      </w:r>
      <w:r w:rsidR="0092375C" w:rsidRPr="00842145">
        <w:rPr>
          <w:rFonts w:ascii="Tahoma" w:hAnsi="Tahoma" w:cs="Tahoma"/>
          <w:sz w:val="24"/>
          <w:szCs w:val="24"/>
        </w:rPr>
        <w:t xml:space="preserve"> alcanz</w:t>
      </w:r>
      <w:r w:rsidR="00932327" w:rsidRPr="00842145">
        <w:rPr>
          <w:rFonts w:ascii="Tahoma" w:hAnsi="Tahoma" w:cs="Tahoma"/>
          <w:sz w:val="24"/>
          <w:szCs w:val="24"/>
        </w:rPr>
        <w:t>ó</w:t>
      </w:r>
      <w:r w:rsidR="0092375C" w:rsidRPr="00842145">
        <w:rPr>
          <w:rFonts w:ascii="Tahoma" w:hAnsi="Tahoma" w:cs="Tahoma"/>
          <w:sz w:val="24"/>
          <w:szCs w:val="24"/>
        </w:rPr>
        <w:t xml:space="preserve"> un total </w:t>
      </w:r>
      <w:r w:rsidR="00BF54E5" w:rsidRPr="00842145">
        <w:rPr>
          <w:rFonts w:ascii="Tahoma" w:hAnsi="Tahoma" w:cs="Tahoma"/>
          <w:sz w:val="24"/>
          <w:szCs w:val="24"/>
        </w:rPr>
        <w:t>1.000,35</w:t>
      </w:r>
      <w:r w:rsidR="0092375C" w:rsidRPr="00842145">
        <w:rPr>
          <w:rFonts w:ascii="Tahoma" w:hAnsi="Tahoma" w:cs="Tahoma"/>
          <w:sz w:val="24"/>
          <w:szCs w:val="24"/>
        </w:rPr>
        <w:t xml:space="preserve"> semanas cotizadas en toda su vida laboral, lo cual le permit</w:t>
      </w:r>
      <w:r w:rsidR="00932327" w:rsidRPr="00842145">
        <w:rPr>
          <w:rFonts w:ascii="Tahoma" w:hAnsi="Tahoma" w:cs="Tahoma"/>
          <w:sz w:val="24"/>
          <w:szCs w:val="24"/>
        </w:rPr>
        <w:t>ía</w:t>
      </w:r>
      <w:r w:rsidR="0092375C" w:rsidRPr="00842145">
        <w:rPr>
          <w:rFonts w:ascii="Tahoma" w:hAnsi="Tahoma" w:cs="Tahoma"/>
          <w:sz w:val="24"/>
          <w:szCs w:val="24"/>
        </w:rPr>
        <w:t xml:space="preserve"> acceder a la pensión de </w:t>
      </w:r>
      <w:r w:rsidR="00932327" w:rsidRPr="00842145">
        <w:rPr>
          <w:rFonts w:ascii="Tahoma" w:hAnsi="Tahoma" w:cs="Tahoma"/>
          <w:sz w:val="24"/>
          <w:szCs w:val="24"/>
        </w:rPr>
        <w:t>vejez, al cumplir los requisitos del Acuerdo 049 de 1990</w:t>
      </w:r>
      <w:r w:rsidR="0092375C" w:rsidRPr="00842145">
        <w:rPr>
          <w:rFonts w:ascii="Tahoma" w:hAnsi="Tahoma" w:cs="Tahoma"/>
          <w:sz w:val="24"/>
          <w:szCs w:val="24"/>
        </w:rPr>
        <w:t xml:space="preserve">, dado que alcanzó la edad de </w:t>
      </w:r>
      <w:r w:rsidR="00932327" w:rsidRPr="00842145">
        <w:rPr>
          <w:rFonts w:ascii="Tahoma" w:hAnsi="Tahoma" w:cs="Tahoma"/>
          <w:sz w:val="24"/>
          <w:szCs w:val="24"/>
        </w:rPr>
        <w:t>60</w:t>
      </w:r>
      <w:r w:rsidR="0092375C" w:rsidRPr="00842145">
        <w:rPr>
          <w:rFonts w:ascii="Tahoma" w:hAnsi="Tahoma" w:cs="Tahoma"/>
          <w:sz w:val="24"/>
          <w:szCs w:val="24"/>
        </w:rPr>
        <w:t xml:space="preserve"> años el </w:t>
      </w:r>
      <w:r w:rsidR="00932327" w:rsidRPr="00842145">
        <w:rPr>
          <w:rFonts w:ascii="Tahoma" w:hAnsi="Tahoma" w:cs="Tahoma"/>
          <w:sz w:val="24"/>
          <w:szCs w:val="24"/>
          <w:lang w:val="es-CO"/>
        </w:rPr>
        <w:t>12 de</w:t>
      </w:r>
      <w:r w:rsidR="00BF54E5" w:rsidRPr="00842145">
        <w:rPr>
          <w:rFonts w:ascii="Tahoma" w:hAnsi="Tahoma" w:cs="Tahoma"/>
          <w:sz w:val="24"/>
          <w:szCs w:val="24"/>
          <w:lang w:val="es-CO"/>
        </w:rPr>
        <w:t xml:space="preserve"> febrero de 2009</w:t>
      </w:r>
      <w:r w:rsidR="0092375C" w:rsidRPr="00842145">
        <w:rPr>
          <w:rFonts w:ascii="Tahoma" w:hAnsi="Tahoma" w:cs="Tahoma"/>
          <w:sz w:val="24"/>
          <w:szCs w:val="24"/>
        </w:rPr>
        <w:t xml:space="preserve"> y</w:t>
      </w:r>
      <w:r w:rsidR="00932327" w:rsidRPr="00842145">
        <w:rPr>
          <w:rFonts w:ascii="Tahoma" w:hAnsi="Tahoma" w:cs="Tahoma"/>
          <w:sz w:val="24"/>
          <w:szCs w:val="24"/>
        </w:rPr>
        <w:t xml:space="preserve"> completó 1.000 semanas</w:t>
      </w:r>
      <w:r w:rsidR="0092375C" w:rsidRPr="00842145">
        <w:rPr>
          <w:rFonts w:ascii="Tahoma" w:hAnsi="Tahoma" w:cs="Tahoma"/>
          <w:sz w:val="24"/>
          <w:szCs w:val="24"/>
        </w:rPr>
        <w:t xml:space="preserve">, registrando su última cotización </w:t>
      </w:r>
      <w:r w:rsidR="00932327" w:rsidRPr="00842145">
        <w:rPr>
          <w:rFonts w:ascii="Tahoma" w:hAnsi="Tahoma" w:cs="Tahoma"/>
          <w:sz w:val="24"/>
          <w:szCs w:val="24"/>
        </w:rPr>
        <w:t>e</w:t>
      </w:r>
      <w:r w:rsidR="00BF54E5" w:rsidRPr="00842145">
        <w:rPr>
          <w:rFonts w:ascii="Tahoma" w:hAnsi="Tahoma" w:cs="Tahoma"/>
          <w:sz w:val="24"/>
          <w:szCs w:val="24"/>
        </w:rPr>
        <w:t xml:space="preserve">l 31 de </w:t>
      </w:r>
      <w:r w:rsidR="0057711C" w:rsidRPr="00842145">
        <w:rPr>
          <w:rFonts w:ascii="Tahoma" w:hAnsi="Tahoma" w:cs="Tahoma"/>
          <w:sz w:val="24"/>
          <w:szCs w:val="24"/>
        </w:rPr>
        <w:t>mayo</w:t>
      </w:r>
      <w:r w:rsidR="00BF54E5" w:rsidRPr="00842145">
        <w:rPr>
          <w:rFonts w:ascii="Tahoma" w:hAnsi="Tahoma" w:cs="Tahoma"/>
          <w:sz w:val="24"/>
          <w:szCs w:val="24"/>
        </w:rPr>
        <w:t xml:space="preserve"> de 2009</w:t>
      </w:r>
      <w:r w:rsidR="00D64EDD" w:rsidRPr="00842145">
        <w:rPr>
          <w:rFonts w:ascii="Tahoma" w:hAnsi="Tahoma" w:cs="Tahoma"/>
          <w:sz w:val="24"/>
          <w:szCs w:val="24"/>
        </w:rPr>
        <w:t>, tal como se desprende de la</w:t>
      </w:r>
      <w:r w:rsidR="00932327" w:rsidRPr="00842145">
        <w:rPr>
          <w:rFonts w:ascii="Tahoma" w:hAnsi="Tahoma" w:cs="Tahoma"/>
          <w:sz w:val="24"/>
          <w:szCs w:val="24"/>
        </w:rPr>
        <w:t>s</w:t>
      </w:r>
      <w:r w:rsidR="00D64EDD" w:rsidRPr="00842145">
        <w:rPr>
          <w:rFonts w:ascii="Tahoma" w:hAnsi="Tahoma" w:cs="Tahoma"/>
          <w:sz w:val="24"/>
          <w:szCs w:val="24"/>
        </w:rPr>
        <w:t xml:space="preserve"> historia</w:t>
      </w:r>
      <w:r w:rsidR="00932327" w:rsidRPr="00842145">
        <w:rPr>
          <w:rFonts w:ascii="Tahoma" w:hAnsi="Tahoma" w:cs="Tahoma"/>
          <w:sz w:val="24"/>
          <w:szCs w:val="24"/>
        </w:rPr>
        <w:t>s</w:t>
      </w:r>
      <w:r w:rsidR="00D64EDD" w:rsidRPr="00842145">
        <w:rPr>
          <w:rFonts w:ascii="Tahoma" w:hAnsi="Tahoma" w:cs="Tahoma"/>
          <w:sz w:val="24"/>
          <w:szCs w:val="24"/>
        </w:rPr>
        <w:t xml:space="preserve"> laboral</w:t>
      </w:r>
      <w:r w:rsidR="00932327" w:rsidRPr="00842145">
        <w:rPr>
          <w:rFonts w:ascii="Tahoma" w:hAnsi="Tahoma" w:cs="Tahoma"/>
          <w:sz w:val="24"/>
          <w:szCs w:val="24"/>
        </w:rPr>
        <w:t>es</w:t>
      </w:r>
      <w:r w:rsidR="00D64EDD" w:rsidRPr="00842145">
        <w:rPr>
          <w:rFonts w:ascii="Tahoma" w:hAnsi="Tahoma" w:cs="Tahoma"/>
          <w:sz w:val="24"/>
          <w:szCs w:val="24"/>
        </w:rPr>
        <w:t xml:space="preserve"> que obra</w:t>
      </w:r>
      <w:r w:rsidR="00932327" w:rsidRPr="00842145">
        <w:rPr>
          <w:rFonts w:ascii="Tahoma" w:hAnsi="Tahoma" w:cs="Tahoma"/>
          <w:sz w:val="24"/>
          <w:szCs w:val="24"/>
        </w:rPr>
        <w:t>n</w:t>
      </w:r>
      <w:r w:rsidR="00D64EDD" w:rsidRPr="00842145">
        <w:rPr>
          <w:rFonts w:ascii="Tahoma" w:hAnsi="Tahoma" w:cs="Tahoma"/>
          <w:sz w:val="24"/>
          <w:szCs w:val="24"/>
        </w:rPr>
        <w:t xml:space="preserve"> en el expediente administrativo aportado por </w:t>
      </w:r>
      <w:r w:rsidR="00BF54E5" w:rsidRPr="00842145">
        <w:rPr>
          <w:rFonts w:ascii="Tahoma" w:hAnsi="Tahoma" w:cs="Tahoma"/>
          <w:sz w:val="24"/>
          <w:szCs w:val="24"/>
        </w:rPr>
        <w:t>Colpensiones</w:t>
      </w:r>
      <w:r w:rsidR="00932327" w:rsidRPr="00842145">
        <w:rPr>
          <w:rFonts w:ascii="Tahoma" w:hAnsi="Tahoma" w:cs="Tahoma"/>
          <w:sz w:val="24"/>
          <w:szCs w:val="24"/>
        </w:rPr>
        <w:t>.</w:t>
      </w:r>
    </w:p>
    <w:p w14:paraId="7E66A60E" w14:textId="77777777" w:rsidR="00932327" w:rsidRPr="00842145" w:rsidRDefault="00932327" w:rsidP="00842145">
      <w:pPr>
        <w:pStyle w:val="Sinespaciado"/>
        <w:spacing w:line="276" w:lineRule="auto"/>
        <w:rPr>
          <w:rFonts w:ascii="Tahoma" w:hAnsi="Tahoma" w:cs="Tahoma"/>
        </w:rPr>
      </w:pPr>
    </w:p>
    <w:p w14:paraId="135BF044" w14:textId="124C4436" w:rsidR="00D64EDD" w:rsidRPr="00842145" w:rsidRDefault="00932327" w:rsidP="00842145">
      <w:pPr>
        <w:spacing w:line="276" w:lineRule="auto"/>
        <w:ind w:firstLine="708"/>
        <w:rPr>
          <w:rFonts w:ascii="Tahoma" w:hAnsi="Tahoma" w:cs="Tahoma"/>
          <w:sz w:val="24"/>
          <w:szCs w:val="24"/>
        </w:rPr>
      </w:pPr>
      <w:r w:rsidRPr="00842145">
        <w:rPr>
          <w:rFonts w:ascii="Tahoma" w:hAnsi="Tahoma" w:cs="Tahoma"/>
          <w:sz w:val="24"/>
          <w:szCs w:val="24"/>
        </w:rPr>
        <w:t xml:space="preserve">Cabe agregar que el </w:t>
      </w:r>
      <w:r w:rsidR="00FE4E04" w:rsidRPr="00842145">
        <w:rPr>
          <w:rFonts w:ascii="Tahoma" w:hAnsi="Tahoma" w:cs="Tahoma"/>
          <w:sz w:val="24"/>
          <w:szCs w:val="24"/>
        </w:rPr>
        <w:t xml:space="preserve">actor conservó el </w:t>
      </w:r>
      <w:r w:rsidRPr="00842145">
        <w:rPr>
          <w:rFonts w:ascii="Tahoma" w:hAnsi="Tahoma" w:cs="Tahoma"/>
          <w:sz w:val="24"/>
          <w:szCs w:val="24"/>
        </w:rPr>
        <w:t xml:space="preserve">régimen de transición alcanzado por </w:t>
      </w:r>
      <w:r w:rsidR="00FE4E04" w:rsidRPr="00842145">
        <w:rPr>
          <w:rFonts w:ascii="Tahoma" w:hAnsi="Tahoma" w:cs="Tahoma"/>
          <w:sz w:val="24"/>
          <w:szCs w:val="24"/>
        </w:rPr>
        <w:t xml:space="preserve">tener </w:t>
      </w:r>
      <w:r w:rsidRPr="00842145">
        <w:rPr>
          <w:rFonts w:ascii="Tahoma" w:hAnsi="Tahoma" w:cs="Tahoma"/>
          <w:sz w:val="24"/>
          <w:szCs w:val="24"/>
        </w:rPr>
        <w:t xml:space="preserve">más de 40 años al 01 de abril de 1994, </w:t>
      </w:r>
      <w:r w:rsidR="00FE4E04" w:rsidRPr="00842145">
        <w:rPr>
          <w:rFonts w:ascii="Tahoma" w:hAnsi="Tahoma" w:cs="Tahoma"/>
          <w:sz w:val="24"/>
          <w:szCs w:val="24"/>
        </w:rPr>
        <w:t xml:space="preserve">puesto que </w:t>
      </w:r>
      <w:r w:rsidR="00BF54E5" w:rsidRPr="00842145">
        <w:rPr>
          <w:rFonts w:ascii="Tahoma" w:hAnsi="Tahoma" w:cs="Tahoma"/>
          <w:sz w:val="24"/>
          <w:szCs w:val="24"/>
        </w:rPr>
        <w:t xml:space="preserve">antes del </w:t>
      </w:r>
      <w:r w:rsidR="00FE4E04" w:rsidRPr="00842145">
        <w:rPr>
          <w:rFonts w:ascii="Tahoma" w:hAnsi="Tahoma" w:cs="Tahoma"/>
          <w:sz w:val="24"/>
          <w:szCs w:val="24"/>
        </w:rPr>
        <w:t xml:space="preserve">31 de julio de 2010 </w:t>
      </w:r>
      <w:r w:rsidR="00BF54E5" w:rsidRPr="00842145">
        <w:rPr>
          <w:rFonts w:ascii="Tahoma" w:hAnsi="Tahoma" w:cs="Tahoma"/>
          <w:sz w:val="24"/>
          <w:szCs w:val="24"/>
        </w:rPr>
        <w:t xml:space="preserve">reunió los requisitos para pensionarse. </w:t>
      </w:r>
    </w:p>
    <w:p w14:paraId="70476232" w14:textId="7D8F087A" w:rsidR="00D64EDD" w:rsidRPr="00842145" w:rsidRDefault="00D64EDD" w:rsidP="00842145">
      <w:pPr>
        <w:pStyle w:val="Sinespaciado"/>
        <w:spacing w:line="276" w:lineRule="auto"/>
        <w:rPr>
          <w:rFonts w:ascii="Tahoma" w:hAnsi="Tahoma" w:cs="Tahoma"/>
        </w:rPr>
      </w:pPr>
    </w:p>
    <w:p w14:paraId="268166B2" w14:textId="00D3366D" w:rsidR="00FE4E04" w:rsidRPr="00842145" w:rsidRDefault="00D64EDD" w:rsidP="00842145">
      <w:pPr>
        <w:spacing w:line="276" w:lineRule="auto"/>
        <w:ind w:firstLine="0"/>
        <w:rPr>
          <w:rFonts w:ascii="Tahoma" w:hAnsi="Tahoma" w:cs="Tahoma"/>
          <w:sz w:val="24"/>
          <w:szCs w:val="24"/>
        </w:rPr>
      </w:pPr>
      <w:r w:rsidRPr="00842145">
        <w:rPr>
          <w:rFonts w:ascii="Tahoma" w:hAnsi="Tahoma" w:cs="Tahoma"/>
          <w:sz w:val="24"/>
          <w:szCs w:val="24"/>
        </w:rPr>
        <w:tab/>
      </w:r>
      <w:r w:rsidR="00BF54E5" w:rsidRPr="00842145">
        <w:rPr>
          <w:rFonts w:ascii="Tahoma" w:hAnsi="Tahoma" w:cs="Tahoma"/>
          <w:sz w:val="24"/>
          <w:szCs w:val="24"/>
        </w:rPr>
        <w:t xml:space="preserve">Así, si bien al actor le asiste derecho a disfrutar de la pensión a partir del día siguiente de su última cotización, 01 de </w:t>
      </w:r>
      <w:r w:rsidR="0057711C" w:rsidRPr="00842145">
        <w:rPr>
          <w:rFonts w:ascii="Tahoma" w:hAnsi="Tahoma" w:cs="Tahoma"/>
          <w:sz w:val="24"/>
          <w:szCs w:val="24"/>
        </w:rPr>
        <w:t>junio</w:t>
      </w:r>
      <w:r w:rsidR="00BF54E5" w:rsidRPr="00842145">
        <w:rPr>
          <w:rFonts w:ascii="Tahoma" w:hAnsi="Tahoma" w:cs="Tahoma"/>
          <w:sz w:val="24"/>
          <w:szCs w:val="24"/>
        </w:rPr>
        <w:t xml:space="preserve"> de 2009,</w:t>
      </w:r>
      <w:r w:rsidR="00A45966" w:rsidRPr="00842145">
        <w:rPr>
          <w:rFonts w:ascii="Tahoma" w:hAnsi="Tahoma" w:cs="Tahoma"/>
          <w:sz w:val="24"/>
          <w:szCs w:val="24"/>
        </w:rPr>
        <w:t xml:space="preserve"> como la demanda se interpuso el 17 de enero de 2020, acertó la jueza de primera instancia en encontrar prescritas las medadas causadas con anterioridad al 17 de enero de 2017, toda vez que desde agosto de 2009 solicitó la prestación económica, empero, para ese momento le fue reconocida, mediante Resolución No. 33084 de 2010, la indemnización sustitutiva.</w:t>
      </w:r>
    </w:p>
    <w:p w14:paraId="41600437" w14:textId="1B8E9AF5" w:rsidR="00A45966" w:rsidRPr="00842145" w:rsidRDefault="00A45966" w:rsidP="00842145">
      <w:pPr>
        <w:pStyle w:val="Sinespaciado"/>
        <w:spacing w:line="276" w:lineRule="auto"/>
        <w:rPr>
          <w:rFonts w:ascii="Tahoma" w:hAnsi="Tahoma" w:cs="Tahoma"/>
        </w:rPr>
      </w:pPr>
    </w:p>
    <w:p w14:paraId="48DB6ED6" w14:textId="346E7C49" w:rsidR="00A45966" w:rsidRPr="00842145" w:rsidRDefault="00A45966" w:rsidP="00842145">
      <w:pPr>
        <w:spacing w:line="276" w:lineRule="auto"/>
        <w:ind w:firstLine="708"/>
        <w:rPr>
          <w:rFonts w:ascii="Tahoma" w:hAnsi="Tahoma" w:cs="Tahoma"/>
          <w:sz w:val="24"/>
          <w:szCs w:val="24"/>
        </w:rPr>
      </w:pPr>
      <w:r w:rsidRPr="00842145">
        <w:rPr>
          <w:rFonts w:ascii="Tahoma" w:hAnsi="Tahoma" w:cs="Tahoma"/>
          <w:sz w:val="24"/>
          <w:szCs w:val="24"/>
        </w:rPr>
        <w:t xml:space="preserve">Ahora, con relación a la indemnización sustitutiva, se comparte la decisión de la a-quo de ordenar su devolución a Colpensiones debidamente indexada, toda vez que el reconocimiento de la prestación subsidiaria no puede impedir el reconocimiento de la prestación principal que es la pensión de vejez, cuando en este caso, el actor realmente sí cumple con los requisitos para acceder a la misma.  </w:t>
      </w:r>
    </w:p>
    <w:p w14:paraId="1E202B48" w14:textId="77777777" w:rsidR="00AA120B" w:rsidRPr="00842145" w:rsidRDefault="00AA120B" w:rsidP="00842145">
      <w:pPr>
        <w:pStyle w:val="Sinespaciado"/>
        <w:spacing w:line="276" w:lineRule="auto"/>
        <w:rPr>
          <w:rFonts w:ascii="Tahoma" w:hAnsi="Tahoma" w:cs="Tahoma"/>
        </w:rPr>
      </w:pPr>
    </w:p>
    <w:p w14:paraId="743D7D11" w14:textId="3258127F" w:rsidR="004A48AF" w:rsidRPr="00842145" w:rsidRDefault="00AA120B" w:rsidP="00842145">
      <w:pPr>
        <w:tabs>
          <w:tab w:val="left" w:pos="0"/>
        </w:tabs>
        <w:spacing w:line="276" w:lineRule="auto"/>
        <w:ind w:firstLine="0"/>
        <w:rPr>
          <w:rFonts w:ascii="Tahoma" w:hAnsi="Tahoma" w:cs="Tahoma"/>
          <w:sz w:val="24"/>
          <w:szCs w:val="24"/>
        </w:rPr>
      </w:pPr>
      <w:r w:rsidRPr="00842145">
        <w:rPr>
          <w:rFonts w:ascii="Tahoma" w:hAnsi="Tahoma" w:cs="Tahoma"/>
          <w:sz w:val="24"/>
          <w:szCs w:val="24"/>
        </w:rPr>
        <w:tab/>
      </w:r>
      <w:r w:rsidR="004A48AF" w:rsidRPr="00842145">
        <w:rPr>
          <w:rFonts w:ascii="Tahoma" w:hAnsi="Tahoma" w:cs="Tahoma"/>
          <w:sz w:val="24"/>
          <w:szCs w:val="24"/>
        </w:rPr>
        <w:t>De otra parte</w:t>
      </w:r>
      <w:r w:rsidRPr="00842145">
        <w:rPr>
          <w:rFonts w:ascii="Tahoma" w:hAnsi="Tahoma" w:cs="Tahoma"/>
          <w:sz w:val="24"/>
          <w:szCs w:val="24"/>
        </w:rPr>
        <w:t xml:space="preserve">, </w:t>
      </w:r>
      <w:r w:rsidR="001D3DB4" w:rsidRPr="00842145">
        <w:rPr>
          <w:rFonts w:ascii="Tahoma" w:hAnsi="Tahoma" w:cs="Tahoma"/>
          <w:sz w:val="24"/>
          <w:szCs w:val="24"/>
        </w:rPr>
        <w:t>e</w:t>
      </w:r>
      <w:r w:rsidR="00D11840" w:rsidRPr="00842145">
        <w:rPr>
          <w:rFonts w:ascii="Tahoma" w:hAnsi="Tahoma" w:cs="Tahoma"/>
          <w:sz w:val="24"/>
          <w:szCs w:val="24"/>
        </w:rPr>
        <w:t>n virtud del</w:t>
      </w:r>
      <w:r w:rsidR="001D3DB4" w:rsidRPr="00842145">
        <w:rPr>
          <w:rFonts w:ascii="Tahoma" w:hAnsi="Tahoma" w:cs="Tahoma"/>
          <w:sz w:val="24"/>
          <w:szCs w:val="24"/>
        </w:rPr>
        <w:t xml:space="preserve"> grado jurisdiccional de consulta, procedió la Sala a verificar el monto de la pensión encontraba en primera instancia, la cual en dicha sede fue cuantificada en la suma de $524.834 para el año 2009, valor que deberá ser mantenido en esta oportunidad, como quiera que al realizarse la liquidación de la prestación, teniendo en cuenta los salarios certificados por las entidades públicas y los reportados en la historia pensional en los últimos 10 años efectivamente cotizados, se obtuvo un IBL de $855.342, mismo que al aplicarse una taza de remplazo del 75% - por contar el demandante con 1.000 semanas-</w:t>
      </w:r>
      <w:r w:rsidR="00761E80" w:rsidRPr="00842145">
        <w:rPr>
          <w:rFonts w:ascii="Tahoma" w:hAnsi="Tahoma" w:cs="Tahoma"/>
          <w:sz w:val="24"/>
          <w:szCs w:val="24"/>
        </w:rPr>
        <w:t xml:space="preserve">, </w:t>
      </w:r>
      <w:r w:rsidR="001D3DB4" w:rsidRPr="00842145">
        <w:rPr>
          <w:rFonts w:ascii="Tahoma" w:hAnsi="Tahoma" w:cs="Tahoma"/>
          <w:sz w:val="24"/>
          <w:szCs w:val="24"/>
        </w:rPr>
        <w:t>arrojó una primera mesada pensional de $641.50</w:t>
      </w:r>
      <w:r w:rsidR="00F314F1" w:rsidRPr="00842145">
        <w:rPr>
          <w:rFonts w:ascii="Tahoma" w:hAnsi="Tahoma" w:cs="Tahoma"/>
          <w:sz w:val="24"/>
          <w:szCs w:val="24"/>
        </w:rPr>
        <w:t xml:space="preserve">7. Así, en virtud del principio de no </w:t>
      </w:r>
      <w:proofErr w:type="spellStart"/>
      <w:r w:rsidR="00F314F1" w:rsidRPr="00842145">
        <w:rPr>
          <w:rFonts w:ascii="Tahoma" w:hAnsi="Tahoma" w:cs="Tahoma"/>
          <w:sz w:val="24"/>
          <w:szCs w:val="24"/>
        </w:rPr>
        <w:t>reformatio</w:t>
      </w:r>
      <w:proofErr w:type="spellEnd"/>
      <w:r w:rsidR="00F314F1" w:rsidRPr="00842145">
        <w:rPr>
          <w:rFonts w:ascii="Tahoma" w:hAnsi="Tahoma" w:cs="Tahoma"/>
          <w:sz w:val="24"/>
          <w:szCs w:val="24"/>
        </w:rPr>
        <w:t xml:space="preserve"> en </w:t>
      </w:r>
      <w:proofErr w:type="spellStart"/>
      <w:r w:rsidR="00F314F1" w:rsidRPr="00842145">
        <w:rPr>
          <w:rFonts w:ascii="Tahoma" w:hAnsi="Tahoma" w:cs="Tahoma"/>
          <w:sz w:val="24"/>
          <w:szCs w:val="24"/>
        </w:rPr>
        <w:t>peius</w:t>
      </w:r>
      <w:proofErr w:type="spellEnd"/>
      <w:r w:rsidR="00F314F1" w:rsidRPr="00842145">
        <w:rPr>
          <w:rFonts w:ascii="Tahoma" w:hAnsi="Tahoma" w:cs="Tahoma"/>
          <w:sz w:val="24"/>
          <w:szCs w:val="24"/>
        </w:rPr>
        <w:t xml:space="preserve"> en favor de la administradora pensional, se confirmará la decisión en cuanto al monto de la prestación para el 2009, adicional a lo cual </w:t>
      </w:r>
      <w:r w:rsidR="00761E80" w:rsidRPr="00842145">
        <w:rPr>
          <w:rFonts w:ascii="Tahoma" w:hAnsi="Tahoma" w:cs="Tahoma"/>
          <w:sz w:val="24"/>
          <w:szCs w:val="24"/>
        </w:rPr>
        <w:t>se encuentra ajustado a derecho el recon</w:t>
      </w:r>
      <w:r w:rsidR="001D3DB4" w:rsidRPr="00842145">
        <w:rPr>
          <w:rFonts w:ascii="Tahoma" w:hAnsi="Tahoma" w:cs="Tahoma"/>
          <w:sz w:val="24"/>
          <w:szCs w:val="24"/>
        </w:rPr>
        <w:t>o</w:t>
      </w:r>
      <w:r w:rsidR="00761E80" w:rsidRPr="00842145">
        <w:rPr>
          <w:rFonts w:ascii="Tahoma" w:hAnsi="Tahoma" w:cs="Tahoma"/>
          <w:sz w:val="24"/>
          <w:szCs w:val="24"/>
        </w:rPr>
        <w:t xml:space="preserve">cimiento de 14 mesadas anuales, como quiera que la prestación se causó antes del 31 de julio de 2010. </w:t>
      </w:r>
    </w:p>
    <w:p w14:paraId="77CA563E" w14:textId="285B8D00" w:rsidR="00F314F1" w:rsidRPr="00842145" w:rsidRDefault="00F314F1" w:rsidP="00842145">
      <w:pPr>
        <w:tabs>
          <w:tab w:val="left" w:pos="0"/>
        </w:tabs>
        <w:spacing w:line="276" w:lineRule="auto"/>
        <w:ind w:firstLine="0"/>
        <w:rPr>
          <w:rFonts w:ascii="Tahoma" w:hAnsi="Tahoma" w:cs="Tahoma"/>
          <w:sz w:val="24"/>
          <w:szCs w:val="24"/>
        </w:rPr>
      </w:pPr>
    </w:p>
    <w:p w14:paraId="733294F6" w14:textId="290BFE21" w:rsidR="003E5B84" w:rsidRPr="00842145" w:rsidRDefault="003E5B84" w:rsidP="00842145">
      <w:pPr>
        <w:pStyle w:val="paragraph"/>
        <w:spacing w:before="0" w:beforeAutospacing="0" w:after="0" w:afterAutospacing="0" w:line="276" w:lineRule="auto"/>
        <w:ind w:firstLine="708"/>
        <w:jc w:val="both"/>
        <w:textAlignment w:val="baseline"/>
        <w:rPr>
          <w:rFonts w:ascii="Tahoma" w:hAnsi="Tahoma" w:cs="Tahoma"/>
        </w:rPr>
      </w:pPr>
      <w:r w:rsidRPr="00842145">
        <w:rPr>
          <w:rFonts w:ascii="Tahoma" w:hAnsi="Tahoma" w:cs="Tahoma"/>
        </w:rPr>
        <w:lastRenderedPageBreak/>
        <w:t>Pese a lo anterior, al revisarse el retroactivo pensional liquidado en primera instancia a partir del 17 de enero de 2017, dada la prescripción que operó sobre las mesadas anteriores a dicha calenda, se advierte que el valor de la mesada pensional tomado en primera instancia es inferior al salario mínimo, tal como se observa en la siguiente comparación:</w:t>
      </w:r>
    </w:p>
    <w:p w14:paraId="5A2ED366" w14:textId="5170D548" w:rsidR="003E5B84" w:rsidRPr="00842145" w:rsidRDefault="003E5B84" w:rsidP="00842145">
      <w:pPr>
        <w:pStyle w:val="paragraph"/>
        <w:spacing w:before="0" w:beforeAutospacing="0" w:after="0" w:afterAutospacing="0" w:line="276" w:lineRule="auto"/>
        <w:ind w:firstLine="708"/>
        <w:jc w:val="both"/>
        <w:textAlignment w:val="baseline"/>
        <w:rPr>
          <w:rFonts w:ascii="Tahoma" w:hAnsi="Tahoma" w:cs="Tahoma"/>
        </w:rPr>
      </w:pPr>
    </w:p>
    <w:tbl>
      <w:tblPr>
        <w:tblW w:w="3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6"/>
        <w:gridCol w:w="1435"/>
        <w:gridCol w:w="1435"/>
      </w:tblGrid>
      <w:tr w:rsidR="003E5B84" w:rsidRPr="00A23043" w14:paraId="144EC791" w14:textId="77777777" w:rsidTr="003E5B84">
        <w:trPr>
          <w:trHeight w:val="699"/>
          <w:jc w:val="center"/>
        </w:trPr>
        <w:tc>
          <w:tcPr>
            <w:tcW w:w="1076" w:type="dxa"/>
            <w:shd w:val="clear" w:color="auto" w:fill="auto"/>
            <w:vAlign w:val="center"/>
            <w:hideMark/>
          </w:tcPr>
          <w:p w14:paraId="69888763" w14:textId="77777777" w:rsidR="003E5B84" w:rsidRPr="00A23043" w:rsidRDefault="003E5B84" w:rsidP="00A23043">
            <w:pPr>
              <w:spacing w:line="240" w:lineRule="auto"/>
              <w:ind w:firstLine="0"/>
              <w:jc w:val="center"/>
              <w:rPr>
                <w:rFonts w:ascii="Tahoma" w:eastAsia="Times New Roman" w:hAnsi="Tahoma" w:cs="Tahoma"/>
                <w:b/>
                <w:bCs/>
                <w:color w:val="000000"/>
                <w:szCs w:val="24"/>
                <w:lang w:val="es-CO" w:eastAsia="es-CO"/>
              </w:rPr>
            </w:pPr>
            <w:r w:rsidRPr="00A23043">
              <w:rPr>
                <w:rFonts w:ascii="Tahoma" w:eastAsia="Times New Roman" w:hAnsi="Tahoma" w:cs="Tahoma"/>
                <w:b/>
                <w:bCs/>
                <w:color w:val="000000"/>
                <w:szCs w:val="24"/>
                <w:lang w:val="es-CO" w:eastAsia="es-CO"/>
              </w:rPr>
              <w:t>Año</w:t>
            </w:r>
          </w:p>
        </w:tc>
        <w:tc>
          <w:tcPr>
            <w:tcW w:w="1435" w:type="dxa"/>
            <w:shd w:val="clear" w:color="auto" w:fill="auto"/>
            <w:vAlign w:val="center"/>
            <w:hideMark/>
          </w:tcPr>
          <w:p w14:paraId="35BED016" w14:textId="77777777" w:rsidR="003E5B84" w:rsidRPr="00A23043" w:rsidRDefault="003E5B84" w:rsidP="00A23043">
            <w:pPr>
              <w:spacing w:line="240" w:lineRule="auto"/>
              <w:ind w:firstLine="0"/>
              <w:jc w:val="center"/>
              <w:rPr>
                <w:rFonts w:ascii="Tahoma" w:eastAsia="Times New Roman" w:hAnsi="Tahoma" w:cs="Tahoma"/>
                <w:b/>
                <w:bCs/>
                <w:color w:val="000000"/>
                <w:szCs w:val="24"/>
                <w:lang w:val="es-CO" w:eastAsia="es-CO"/>
              </w:rPr>
            </w:pPr>
            <w:r w:rsidRPr="00A23043">
              <w:rPr>
                <w:rFonts w:ascii="Tahoma" w:eastAsia="Times New Roman" w:hAnsi="Tahoma" w:cs="Tahoma"/>
                <w:b/>
                <w:bCs/>
                <w:color w:val="000000"/>
                <w:szCs w:val="24"/>
                <w:lang w:val="es-CO" w:eastAsia="es-CO"/>
              </w:rPr>
              <w:t xml:space="preserve">Mesada </w:t>
            </w:r>
          </w:p>
        </w:tc>
        <w:tc>
          <w:tcPr>
            <w:tcW w:w="1435" w:type="dxa"/>
            <w:shd w:val="clear" w:color="auto" w:fill="auto"/>
            <w:vAlign w:val="center"/>
            <w:hideMark/>
          </w:tcPr>
          <w:p w14:paraId="74419DC7" w14:textId="77777777" w:rsidR="003E5B84" w:rsidRPr="00A23043" w:rsidRDefault="003E5B84" w:rsidP="00A23043">
            <w:pPr>
              <w:spacing w:line="240" w:lineRule="auto"/>
              <w:ind w:firstLine="0"/>
              <w:jc w:val="center"/>
              <w:rPr>
                <w:rFonts w:ascii="Tahoma" w:eastAsia="Times New Roman" w:hAnsi="Tahoma" w:cs="Tahoma"/>
                <w:b/>
                <w:bCs/>
                <w:color w:val="000000"/>
                <w:szCs w:val="24"/>
                <w:lang w:val="es-CO" w:eastAsia="es-CO"/>
              </w:rPr>
            </w:pPr>
            <w:r w:rsidRPr="00A23043">
              <w:rPr>
                <w:rFonts w:ascii="Tahoma" w:eastAsia="Times New Roman" w:hAnsi="Tahoma" w:cs="Tahoma"/>
                <w:b/>
                <w:bCs/>
                <w:color w:val="000000"/>
                <w:szCs w:val="24"/>
                <w:lang w:val="es-CO" w:eastAsia="es-CO"/>
              </w:rPr>
              <w:t xml:space="preserve"> Salario Mínimo </w:t>
            </w:r>
          </w:p>
        </w:tc>
      </w:tr>
      <w:tr w:rsidR="003E5B84" w:rsidRPr="00A23043" w14:paraId="2692226F" w14:textId="77777777" w:rsidTr="003E5B84">
        <w:trPr>
          <w:trHeight w:val="295"/>
          <w:jc w:val="center"/>
        </w:trPr>
        <w:tc>
          <w:tcPr>
            <w:tcW w:w="1076" w:type="dxa"/>
            <w:shd w:val="clear" w:color="auto" w:fill="auto"/>
            <w:noWrap/>
            <w:vAlign w:val="bottom"/>
            <w:hideMark/>
          </w:tcPr>
          <w:p w14:paraId="2D4ACB49" w14:textId="77777777" w:rsidR="003E5B84" w:rsidRPr="00A23043" w:rsidRDefault="003E5B84" w:rsidP="00A23043">
            <w:pPr>
              <w:spacing w:line="240" w:lineRule="auto"/>
              <w:ind w:firstLine="0"/>
              <w:jc w:val="center"/>
              <w:rPr>
                <w:rFonts w:ascii="Tahoma" w:eastAsia="Times New Roman" w:hAnsi="Tahoma" w:cs="Tahoma"/>
                <w:szCs w:val="24"/>
                <w:lang w:val="es-CO" w:eastAsia="es-CO"/>
              </w:rPr>
            </w:pPr>
            <w:r w:rsidRPr="00A23043">
              <w:rPr>
                <w:rFonts w:ascii="Tahoma" w:eastAsia="Times New Roman" w:hAnsi="Tahoma" w:cs="Tahoma"/>
                <w:szCs w:val="24"/>
                <w:lang w:val="es-CO" w:eastAsia="es-CO"/>
              </w:rPr>
              <w:t>2017</w:t>
            </w:r>
          </w:p>
        </w:tc>
        <w:tc>
          <w:tcPr>
            <w:tcW w:w="1435" w:type="dxa"/>
            <w:shd w:val="clear" w:color="auto" w:fill="auto"/>
            <w:vAlign w:val="bottom"/>
            <w:hideMark/>
          </w:tcPr>
          <w:p w14:paraId="29657F8B" w14:textId="77777777" w:rsidR="003E5B84" w:rsidRPr="00A23043" w:rsidRDefault="003E5B84" w:rsidP="00A23043">
            <w:pPr>
              <w:spacing w:line="240" w:lineRule="auto"/>
              <w:ind w:firstLine="0"/>
              <w:jc w:val="center"/>
              <w:rPr>
                <w:rFonts w:ascii="Tahoma" w:eastAsia="Times New Roman" w:hAnsi="Tahoma" w:cs="Tahoma"/>
                <w:szCs w:val="24"/>
                <w:lang w:val="es-CO" w:eastAsia="es-CO"/>
              </w:rPr>
            </w:pPr>
            <w:r w:rsidRPr="00A23043">
              <w:rPr>
                <w:rFonts w:ascii="Tahoma" w:eastAsia="Times New Roman" w:hAnsi="Tahoma" w:cs="Tahoma"/>
                <w:szCs w:val="24"/>
                <w:lang w:val="es-CO" w:eastAsia="es-CO"/>
              </w:rPr>
              <w:t>$ 700.229</w:t>
            </w:r>
          </w:p>
        </w:tc>
        <w:tc>
          <w:tcPr>
            <w:tcW w:w="1435" w:type="dxa"/>
            <w:shd w:val="clear" w:color="auto" w:fill="auto"/>
            <w:vAlign w:val="bottom"/>
            <w:hideMark/>
          </w:tcPr>
          <w:p w14:paraId="35DAD109" w14:textId="77777777" w:rsidR="003E5B84" w:rsidRPr="00A23043" w:rsidRDefault="003E5B84" w:rsidP="00A23043">
            <w:pPr>
              <w:spacing w:line="240" w:lineRule="auto"/>
              <w:ind w:firstLine="0"/>
              <w:jc w:val="center"/>
              <w:rPr>
                <w:rFonts w:ascii="Tahoma" w:eastAsia="Times New Roman" w:hAnsi="Tahoma" w:cs="Tahoma"/>
                <w:szCs w:val="24"/>
                <w:lang w:val="es-CO" w:eastAsia="es-CO"/>
              </w:rPr>
            </w:pPr>
            <w:r w:rsidRPr="00A23043">
              <w:rPr>
                <w:rFonts w:ascii="Tahoma" w:eastAsia="Times New Roman" w:hAnsi="Tahoma" w:cs="Tahoma"/>
                <w:szCs w:val="24"/>
                <w:lang w:val="es-CO" w:eastAsia="es-CO"/>
              </w:rPr>
              <w:t>$ 737.717</w:t>
            </w:r>
          </w:p>
        </w:tc>
      </w:tr>
      <w:tr w:rsidR="003E5B84" w:rsidRPr="00A23043" w14:paraId="6785DDFE" w14:textId="77777777" w:rsidTr="003E5B84">
        <w:trPr>
          <w:trHeight w:val="295"/>
          <w:jc w:val="center"/>
        </w:trPr>
        <w:tc>
          <w:tcPr>
            <w:tcW w:w="1076" w:type="dxa"/>
            <w:shd w:val="clear" w:color="auto" w:fill="auto"/>
            <w:noWrap/>
            <w:vAlign w:val="bottom"/>
            <w:hideMark/>
          </w:tcPr>
          <w:p w14:paraId="4F3FBFD6" w14:textId="77777777" w:rsidR="003E5B84" w:rsidRPr="00A23043" w:rsidRDefault="003E5B84" w:rsidP="00A23043">
            <w:pPr>
              <w:spacing w:line="240" w:lineRule="auto"/>
              <w:ind w:firstLine="0"/>
              <w:jc w:val="center"/>
              <w:rPr>
                <w:rFonts w:ascii="Tahoma" w:eastAsia="Times New Roman" w:hAnsi="Tahoma" w:cs="Tahoma"/>
                <w:szCs w:val="24"/>
                <w:lang w:val="es-CO" w:eastAsia="es-CO"/>
              </w:rPr>
            </w:pPr>
            <w:r w:rsidRPr="00A23043">
              <w:rPr>
                <w:rFonts w:ascii="Tahoma" w:eastAsia="Times New Roman" w:hAnsi="Tahoma" w:cs="Tahoma"/>
                <w:szCs w:val="24"/>
                <w:lang w:val="es-CO" w:eastAsia="es-CO"/>
              </w:rPr>
              <w:t>2018</w:t>
            </w:r>
          </w:p>
        </w:tc>
        <w:tc>
          <w:tcPr>
            <w:tcW w:w="1435" w:type="dxa"/>
            <w:shd w:val="clear" w:color="auto" w:fill="auto"/>
            <w:vAlign w:val="bottom"/>
            <w:hideMark/>
          </w:tcPr>
          <w:p w14:paraId="5BAF4178" w14:textId="77777777" w:rsidR="003E5B84" w:rsidRPr="00A23043" w:rsidRDefault="003E5B84" w:rsidP="00A23043">
            <w:pPr>
              <w:spacing w:line="240" w:lineRule="auto"/>
              <w:ind w:firstLine="0"/>
              <w:jc w:val="center"/>
              <w:rPr>
                <w:rFonts w:ascii="Tahoma" w:eastAsia="Times New Roman" w:hAnsi="Tahoma" w:cs="Tahoma"/>
                <w:szCs w:val="24"/>
                <w:lang w:val="es-CO" w:eastAsia="es-CO"/>
              </w:rPr>
            </w:pPr>
            <w:r w:rsidRPr="00A23043">
              <w:rPr>
                <w:rFonts w:ascii="Tahoma" w:eastAsia="Times New Roman" w:hAnsi="Tahoma" w:cs="Tahoma"/>
                <w:szCs w:val="24"/>
                <w:lang w:val="es-CO" w:eastAsia="es-CO"/>
              </w:rPr>
              <w:t>$ 728.868</w:t>
            </w:r>
          </w:p>
        </w:tc>
        <w:tc>
          <w:tcPr>
            <w:tcW w:w="1435" w:type="dxa"/>
            <w:shd w:val="clear" w:color="auto" w:fill="auto"/>
            <w:vAlign w:val="bottom"/>
            <w:hideMark/>
          </w:tcPr>
          <w:p w14:paraId="6D6F726E" w14:textId="77777777" w:rsidR="003E5B84" w:rsidRPr="00A23043" w:rsidRDefault="003E5B84" w:rsidP="00A23043">
            <w:pPr>
              <w:spacing w:line="240" w:lineRule="auto"/>
              <w:ind w:firstLine="0"/>
              <w:jc w:val="center"/>
              <w:rPr>
                <w:rFonts w:ascii="Tahoma" w:eastAsia="Times New Roman" w:hAnsi="Tahoma" w:cs="Tahoma"/>
                <w:szCs w:val="24"/>
                <w:lang w:val="es-CO" w:eastAsia="es-CO"/>
              </w:rPr>
            </w:pPr>
            <w:r w:rsidRPr="00A23043">
              <w:rPr>
                <w:rFonts w:ascii="Tahoma" w:eastAsia="Times New Roman" w:hAnsi="Tahoma" w:cs="Tahoma"/>
                <w:szCs w:val="24"/>
                <w:lang w:val="es-CO" w:eastAsia="es-CO"/>
              </w:rPr>
              <w:t>$ 781.242</w:t>
            </w:r>
          </w:p>
        </w:tc>
      </w:tr>
      <w:tr w:rsidR="003E5B84" w:rsidRPr="00A23043" w14:paraId="029D0A2D" w14:textId="77777777" w:rsidTr="003E5B84">
        <w:trPr>
          <w:trHeight w:val="295"/>
          <w:jc w:val="center"/>
        </w:trPr>
        <w:tc>
          <w:tcPr>
            <w:tcW w:w="1076" w:type="dxa"/>
            <w:shd w:val="clear" w:color="auto" w:fill="auto"/>
            <w:noWrap/>
            <w:vAlign w:val="bottom"/>
            <w:hideMark/>
          </w:tcPr>
          <w:p w14:paraId="15A2592E" w14:textId="77777777" w:rsidR="003E5B84" w:rsidRPr="00A23043" w:rsidRDefault="003E5B84" w:rsidP="00A23043">
            <w:pPr>
              <w:spacing w:line="240" w:lineRule="auto"/>
              <w:ind w:firstLine="0"/>
              <w:jc w:val="center"/>
              <w:rPr>
                <w:rFonts w:ascii="Tahoma" w:eastAsia="Times New Roman" w:hAnsi="Tahoma" w:cs="Tahoma"/>
                <w:szCs w:val="24"/>
                <w:lang w:val="es-CO" w:eastAsia="es-CO"/>
              </w:rPr>
            </w:pPr>
            <w:r w:rsidRPr="00A23043">
              <w:rPr>
                <w:rFonts w:ascii="Tahoma" w:eastAsia="Times New Roman" w:hAnsi="Tahoma" w:cs="Tahoma"/>
                <w:szCs w:val="24"/>
                <w:lang w:val="es-CO" w:eastAsia="es-CO"/>
              </w:rPr>
              <w:t>2019</w:t>
            </w:r>
          </w:p>
        </w:tc>
        <w:tc>
          <w:tcPr>
            <w:tcW w:w="1435" w:type="dxa"/>
            <w:shd w:val="clear" w:color="auto" w:fill="auto"/>
            <w:vAlign w:val="bottom"/>
            <w:hideMark/>
          </w:tcPr>
          <w:p w14:paraId="1043EF83" w14:textId="77777777" w:rsidR="003E5B84" w:rsidRPr="00A23043" w:rsidRDefault="003E5B84" w:rsidP="00A23043">
            <w:pPr>
              <w:spacing w:line="240" w:lineRule="auto"/>
              <w:ind w:firstLine="0"/>
              <w:jc w:val="center"/>
              <w:rPr>
                <w:rFonts w:ascii="Tahoma" w:eastAsia="Times New Roman" w:hAnsi="Tahoma" w:cs="Tahoma"/>
                <w:szCs w:val="24"/>
                <w:lang w:val="es-CO" w:eastAsia="es-CO"/>
              </w:rPr>
            </w:pPr>
            <w:r w:rsidRPr="00A23043">
              <w:rPr>
                <w:rFonts w:ascii="Tahoma" w:eastAsia="Times New Roman" w:hAnsi="Tahoma" w:cs="Tahoma"/>
                <w:szCs w:val="24"/>
                <w:lang w:val="es-CO" w:eastAsia="es-CO"/>
              </w:rPr>
              <w:t>$ 752.046</w:t>
            </w:r>
          </w:p>
        </w:tc>
        <w:tc>
          <w:tcPr>
            <w:tcW w:w="1435" w:type="dxa"/>
            <w:shd w:val="clear" w:color="auto" w:fill="auto"/>
            <w:vAlign w:val="bottom"/>
            <w:hideMark/>
          </w:tcPr>
          <w:p w14:paraId="1948381A" w14:textId="77777777" w:rsidR="003E5B84" w:rsidRPr="00A23043" w:rsidRDefault="003E5B84" w:rsidP="00A23043">
            <w:pPr>
              <w:spacing w:line="240" w:lineRule="auto"/>
              <w:ind w:firstLine="0"/>
              <w:jc w:val="center"/>
              <w:rPr>
                <w:rFonts w:ascii="Tahoma" w:eastAsia="Times New Roman" w:hAnsi="Tahoma" w:cs="Tahoma"/>
                <w:szCs w:val="24"/>
                <w:lang w:val="es-CO" w:eastAsia="es-CO"/>
              </w:rPr>
            </w:pPr>
            <w:r w:rsidRPr="00A23043">
              <w:rPr>
                <w:rFonts w:ascii="Tahoma" w:eastAsia="Times New Roman" w:hAnsi="Tahoma" w:cs="Tahoma"/>
                <w:szCs w:val="24"/>
                <w:lang w:val="es-CO" w:eastAsia="es-CO"/>
              </w:rPr>
              <w:t>$ 828.116</w:t>
            </w:r>
          </w:p>
        </w:tc>
      </w:tr>
      <w:tr w:rsidR="003E5B84" w:rsidRPr="00A23043" w14:paraId="5811EF04" w14:textId="77777777" w:rsidTr="003E5B84">
        <w:trPr>
          <w:trHeight w:val="295"/>
          <w:jc w:val="center"/>
        </w:trPr>
        <w:tc>
          <w:tcPr>
            <w:tcW w:w="1076" w:type="dxa"/>
            <w:shd w:val="clear" w:color="auto" w:fill="auto"/>
            <w:noWrap/>
            <w:vAlign w:val="bottom"/>
            <w:hideMark/>
          </w:tcPr>
          <w:p w14:paraId="5D9C13D2" w14:textId="77777777" w:rsidR="003E5B84" w:rsidRPr="00A23043" w:rsidRDefault="003E5B84" w:rsidP="00A23043">
            <w:pPr>
              <w:spacing w:line="240" w:lineRule="auto"/>
              <w:ind w:firstLine="0"/>
              <w:jc w:val="center"/>
              <w:rPr>
                <w:rFonts w:ascii="Tahoma" w:eastAsia="Times New Roman" w:hAnsi="Tahoma" w:cs="Tahoma"/>
                <w:szCs w:val="24"/>
                <w:lang w:val="es-CO" w:eastAsia="es-CO"/>
              </w:rPr>
            </w:pPr>
            <w:r w:rsidRPr="00A23043">
              <w:rPr>
                <w:rFonts w:ascii="Tahoma" w:eastAsia="Times New Roman" w:hAnsi="Tahoma" w:cs="Tahoma"/>
                <w:szCs w:val="24"/>
                <w:lang w:val="es-CO" w:eastAsia="es-CO"/>
              </w:rPr>
              <w:t>2020</w:t>
            </w:r>
          </w:p>
        </w:tc>
        <w:tc>
          <w:tcPr>
            <w:tcW w:w="1435" w:type="dxa"/>
            <w:shd w:val="clear" w:color="auto" w:fill="auto"/>
            <w:vAlign w:val="bottom"/>
            <w:hideMark/>
          </w:tcPr>
          <w:p w14:paraId="47B15754" w14:textId="77777777" w:rsidR="003E5B84" w:rsidRPr="00A23043" w:rsidRDefault="003E5B84" w:rsidP="00A23043">
            <w:pPr>
              <w:spacing w:line="240" w:lineRule="auto"/>
              <w:ind w:firstLine="0"/>
              <w:jc w:val="center"/>
              <w:rPr>
                <w:rFonts w:ascii="Tahoma" w:eastAsia="Times New Roman" w:hAnsi="Tahoma" w:cs="Tahoma"/>
                <w:szCs w:val="24"/>
                <w:lang w:val="es-CO" w:eastAsia="es-CO"/>
              </w:rPr>
            </w:pPr>
            <w:r w:rsidRPr="00A23043">
              <w:rPr>
                <w:rFonts w:ascii="Tahoma" w:eastAsia="Times New Roman" w:hAnsi="Tahoma" w:cs="Tahoma"/>
                <w:szCs w:val="24"/>
                <w:lang w:val="es-CO" w:eastAsia="es-CO"/>
              </w:rPr>
              <w:t>$ 780.624</w:t>
            </w:r>
          </w:p>
        </w:tc>
        <w:tc>
          <w:tcPr>
            <w:tcW w:w="1435" w:type="dxa"/>
            <w:shd w:val="clear" w:color="auto" w:fill="auto"/>
            <w:vAlign w:val="bottom"/>
            <w:hideMark/>
          </w:tcPr>
          <w:p w14:paraId="796FFB8B" w14:textId="77777777" w:rsidR="003E5B84" w:rsidRPr="00A23043" w:rsidRDefault="003E5B84" w:rsidP="00A23043">
            <w:pPr>
              <w:spacing w:line="240" w:lineRule="auto"/>
              <w:ind w:firstLine="0"/>
              <w:jc w:val="center"/>
              <w:rPr>
                <w:rFonts w:ascii="Tahoma" w:eastAsia="Times New Roman" w:hAnsi="Tahoma" w:cs="Tahoma"/>
                <w:szCs w:val="24"/>
                <w:lang w:val="es-CO" w:eastAsia="es-CO"/>
              </w:rPr>
            </w:pPr>
            <w:r w:rsidRPr="00A23043">
              <w:rPr>
                <w:rFonts w:ascii="Tahoma" w:eastAsia="Times New Roman" w:hAnsi="Tahoma" w:cs="Tahoma"/>
                <w:szCs w:val="24"/>
                <w:lang w:val="es-CO" w:eastAsia="es-CO"/>
              </w:rPr>
              <w:t>$ 877.803</w:t>
            </w:r>
          </w:p>
        </w:tc>
      </w:tr>
      <w:tr w:rsidR="003E5B84" w:rsidRPr="00A23043" w14:paraId="3C4A7732" w14:textId="77777777" w:rsidTr="003E5B84">
        <w:trPr>
          <w:trHeight w:val="295"/>
          <w:jc w:val="center"/>
        </w:trPr>
        <w:tc>
          <w:tcPr>
            <w:tcW w:w="1076" w:type="dxa"/>
            <w:shd w:val="clear" w:color="auto" w:fill="auto"/>
            <w:noWrap/>
            <w:vAlign w:val="bottom"/>
            <w:hideMark/>
          </w:tcPr>
          <w:p w14:paraId="430B5F78" w14:textId="77777777" w:rsidR="003E5B84" w:rsidRPr="00A23043" w:rsidRDefault="003E5B84" w:rsidP="00A23043">
            <w:pPr>
              <w:spacing w:line="240" w:lineRule="auto"/>
              <w:ind w:firstLine="0"/>
              <w:jc w:val="center"/>
              <w:rPr>
                <w:rFonts w:ascii="Tahoma" w:eastAsia="Times New Roman" w:hAnsi="Tahoma" w:cs="Tahoma"/>
                <w:szCs w:val="24"/>
                <w:lang w:val="es-CO" w:eastAsia="es-CO"/>
              </w:rPr>
            </w:pPr>
            <w:r w:rsidRPr="00A23043">
              <w:rPr>
                <w:rFonts w:ascii="Tahoma" w:eastAsia="Times New Roman" w:hAnsi="Tahoma" w:cs="Tahoma"/>
                <w:szCs w:val="24"/>
                <w:lang w:val="es-CO" w:eastAsia="es-CO"/>
              </w:rPr>
              <w:t>2021</w:t>
            </w:r>
          </w:p>
        </w:tc>
        <w:tc>
          <w:tcPr>
            <w:tcW w:w="1435" w:type="dxa"/>
            <w:shd w:val="clear" w:color="auto" w:fill="auto"/>
            <w:vAlign w:val="bottom"/>
            <w:hideMark/>
          </w:tcPr>
          <w:p w14:paraId="265A5177" w14:textId="77777777" w:rsidR="003E5B84" w:rsidRPr="00A23043" w:rsidRDefault="003E5B84" w:rsidP="00A23043">
            <w:pPr>
              <w:spacing w:line="240" w:lineRule="auto"/>
              <w:ind w:firstLine="0"/>
              <w:jc w:val="center"/>
              <w:rPr>
                <w:rFonts w:ascii="Tahoma" w:eastAsia="Times New Roman" w:hAnsi="Tahoma" w:cs="Tahoma"/>
                <w:szCs w:val="24"/>
                <w:lang w:val="es-CO" w:eastAsia="es-CO"/>
              </w:rPr>
            </w:pPr>
            <w:r w:rsidRPr="00A23043">
              <w:rPr>
                <w:rFonts w:ascii="Tahoma" w:eastAsia="Times New Roman" w:hAnsi="Tahoma" w:cs="Tahoma"/>
                <w:szCs w:val="24"/>
                <w:lang w:val="es-CO" w:eastAsia="es-CO"/>
              </w:rPr>
              <w:t>$ 793.192</w:t>
            </w:r>
          </w:p>
        </w:tc>
        <w:tc>
          <w:tcPr>
            <w:tcW w:w="1435" w:type="dxa"/>
            <w:shd w:val="clear" w:color="auto" w:fill="auto"/>
            <w:vAlign w:val="bottom"/>
            <w:hideMark/>
          </w:tcPr>
          <w:p w14:paraId="71F41805" w14:textId="77777777" w:rsidR="003E5B84" w:rsidRPr="00A23043" w:rsidRDefault="003E5B84" w:rsidP="00A23043">
            <w:pPr>
              <w:spacing w:line="240" w:lineRule="auto"/>
              <w:ind w:firstLine="0"/>
              <w:jc w:val="center"/>
              <w:rPr>
                <w:rFonts w:ascii="Tahoma" w:eastAsia="Times New Roman" w:hAnsi="Tahoma" w:cs="Tahoma"/>
                <w:szCs w:val="24"/>
                <w:lang w:val="es-CO" w:eastAsia="es-CO"/>
              </w:rPr>
            </w:pPr>
            <w:r w:rsidRPr="00A23043">
              <w:rPr>
                <w:rFonts w:ascii="Tahoma" w:eastAsia="Times New Roman" w:hAnsi="Tahoma" w:cs="Tahoma"/>
                <w:szCs w:val="24"/>
                <w:lang w:val="es-CO" w:eastAsia="es-CO"/>
              </w:rPr>
              <w:t>$ 908.526</w:t>
            </w:r>
          </w:p>
        </w:tc>
      </w:tr>
      <w:tr w:rsidR="003E5B84" w:rsidRPr="00A23043" w14:paraId="01A10CBA" w14:textId="77777777" w:rsidTr="003E5B84">
        <w:trPr>
          <w:trHeight w:val="295"/>
          <w:jc w:val="center"/>
        </w:trPr>
        <w:tc>
          <w:tcPr>
            <w:tcW w:w="1076" w:type="dxa"/>
            <w:shd w:val="clear" w:color="auto" w:fill="auto"/>
            <w:noWrap/>
            <w:vAlign w:val="bottom"/>
            <w:hideMark/>
          </w:tcPr>
          <w:p w14:paraId="0FCB8AEA" w14:textId="77777777" w:rsidR="003E5B84" w:rsidRPr="00A23043" w:rsidRDefault="003E5B84" w:rsidP="00A23043">
            <w:pPr>
              <w:spacing w:line="240" w:lineRule="auto"/>
              <w:ind w:firstLine="0"/>
              <w:jc w:val="center"/>
              <w:rPr>
                <w:rFonts w:ascii="Tahoma" w:eastAsia="Times New Roman" w:hAnsi="Tahoma" w:cs="Tahoma"/>
                <w:szCs w:val="24"/>
                <w:lang w:val="es-CO" w:eastAsia="es-CO"/>
              </w:rPr>
            </w:pPr>
            <w:r w:rsidRPr="00A23043">
              <w:rPr>
                <w:rFonts w:ascii="Tahoma" w:eastAsia="Times New Roman" w:hAnsi="Tahoma" w:cs="Tahoma"/>
                <w:szCs w:val="24"/>
                <w:lang w:val="es-CO" w:eastAsia="es-CO"/>
              </w:rPr>
              <w:t>2022</w:t>
            </w:r>
          </w:p>
        </w:tc>
        <w:tc>
          <w:tcPr>
            <w:tcW w:w="1435" w:type="dxa"/>
            <w:shd w:val="clear" w:color="auto" w:fill="auto"/>
            <w:vAlign w:val="bottom"/>
            <w:hideMark/>
          </w:tcPr>
          <w:p w14:paraId="0E9CED01" w14:textId="77777777" w:rsidR="003E5B84" w:rsidRPr="00A23043" w:rsidRDefault="003E5B84" w:rsidP="00A23043">
            <w:pPr>
              <w:spacing w:line="240" w:lineRule="auto"/>
              <w:ind w:firstLine="0"/>
              <w:jc w:val="center"/>
              <w:rPr>
                <w:rFonts w:ascii="Tahoma" w:eastAsia="Times New Roman" w:hAnsi="Tahoma" w:cs="Tahoma"/>
                <w:szCs w:val="24"/>
                <w:lang w:val="es-CO" w:eastAsia="es-CO"/>
              </w:rPr>
            </w:pPr>
            <w:r w:rsidRPr="00A23043">
              <w:rPr>
                <w:rFonts w:ascii="Tahoma" w:eastAsia="Times New Roman" w:hAnsi="Tahoma" w:cs="Tahoma"/>
                <w:szCs w:val="24"/>
                <w:lang w:val="es-CO" w:eastAsia="es-CO"/>
              </w:rPr>
              <w:t>$ 837.770</w:t>
            </w:r>
          </w:p>
        </w:tc>
        <w:tc>
          <w:tcPr>
            <w:tcW w:w="1435" w:type="dxa"/>
            <w:shd w:val="clear" w:color="auto" w:fill="auto"/>
            <w:vAlign w:val="bottom"/>
            <w:hideMark/>
          </w:tcPr>
          <w:p w14:paraId="353D0978" w14:textId="77777777" w:rsidR="003E5B84" w:rsidRPr="00A23043" w:rsidRDefault="003E5B84" w:rsidP="00A23043">
            <w:pPr>
              <w:spacing w:line="240" w:lineRule="auto"/>
              <w:ind w:firstLine="0"/>
              <w:jc w:val="center"/>
              <w:rPr>
                <w:rFonts w:ascii="Tahoma" w:eastAsia="Times New Roman" w:hAnsi="Tahoma" w:cs="Tahoma"/>
                <w:szCs w:val="24"/>
                <w:lang w:val="es-CO" w:eastAsia="es-CO"/>
              </w:rPr>
            </w:pPr>
            <w:r w:rsidRPr="00A23043">
              <w:rPr>
                <w:rFonts w:ascii="Tahoma" w:eastAsia="Times New Roman" w:hAnsi="Tahoma" w:cs="Tahoma"/>
                <w:szCs w:val="24"/>
                <w:lang w:val="es-CO" w:eastAsia="es-CO"/>
              </w:rPr>
              <w:t>$ 1.000.000</w:t>
            </w:r>
          </w:p>
        </w:tc>
      </w:tr>
    </w:tbl>
    <w:p w14:paraId="70B31434" w14:textId="77777777" w:rsidR="003E5B84" w:rsidRPr="00842145" w:rsidRDefault="003E5B84" w:rsidP="00842145">
      <w:pPr>
        <w:pStyle w:val="paragraph"/>
        <w:spacing w:before="0" w:beforeAutospacing="0" w:after="0" w:afterAutospacing="0" w:line="276" w:lineRule="auto"/>
        <w:ind w:firstLine="708"/>
        <w:jc w:val="both"/>
        <w:textAlignment w:val="baseline"/>
        <w:rPr>
          <w:rFonts w:ascii="Tahoma" w:hAnsi="Tahoma" w:cs="Tahoma"/>
        </w:rPr>
      </w:pPr>
    </w:p>
    <w:p w14:paraId="06C10AF7" w14:textId="3C7DB906" w:rsidR="003E5B84" w:rsidRPr="00842145" w:rsidRDefault="003E5B84" w:rsidP="00842145">
      <w:pPr>
        <w:pStyle w:val="paragraph"/>
        <w:spacing w:before="0" w:beforeAutospacing="0" w:after="0" w:afterAutospacing="0" w:line="276" w:lineRule="auto"/>
        <w:ind w:firstLine="708"/>
        <w:jc w:val="both"/>
        <w:textAlignment w:val="baseline"/>
        <w:rPr>
          <w:rFonts w:ascii="Tahoma" w:hAnsi="Tahoma" w:cs="Tahoma"/>
        </w:rPr>
      </w:pPr>
      <w:r w:rsidRPr="00842145">
        <w:rPr>
          <w:rFonts w:ascii="Tahoma" w:hAnsi="Tahoma" w:cs="Tahoma"/>
        </w:rPr>
        <w:t xml:space="preserve">En ese orden, pese a que en segunda instancia se conoce el proceso en consulta en favor de Colpensiones, en cumplimiento de lo dispuesto en el art. 35 de la Ley 100 de 1993 que dispone categóricamente que </w:t>
      </w:r>
      <w:r w:rsidRPr="00842145">
        <w:rPr>
          <w:rFonts w:ascii="Tahoma" w:hAnsi="Tahoma" w:cs="Tahoma"/>
          <w:i/>
        </w:rPr>
        <w:t>“</w:t>
      </w:r>
      <w:r w:rsidRPr="001A20D6">
        <w:rPr>
          <w:rFonts w:ascii="Tahoma" w:hAnsi="Tahoma" w:cs="Tahoma"/>
          <w:i/>
          <w:sz w:val="22"/>
        </w:rPr>
        <w:t>el monto mensual de la pensión mínima de vejez o jubilación no podrá ser inferior al valor del salario mínimo legal mensual vigente</w:t>
      </w:r>
      <w:r w:rsidRPr="00842145">
        <w:rPr>
          <w:rFonts w:ascii="Tahoma" w:hAnsi="Tahoma" w:cs="Tahoma"/>
          <w:i/>
        </w:rPr>
        <w:t>”</w:t>
      </w:r>
      <w:r w:rsidRPr="00842145">
        <w:rPr>
          <w:rFonts w:ascii="Tahoma" w:hAnsi="Tahoma" w:cs="Tahoma"/>
        </w:rPr>
        <w:t xml:space="preserve"> y, atendiendo que </w:t>
      </w:r>
      <w:r w:rsidR="00087BAB" w:rsidRPr="00842145">
        <w:rPr>
          <w:rFonts w:ascii="Tahoma" w:hAnsi="Tahoma" w:cs="Tahoma"/>
        </w:rPr>
        <w:t>la Corte Constitucional mediante sentencia C-968 de 2003 condicionó la exequibilidad d</w:t>
      </w:r>
      <w:r w:rsidRPr="00842145">
        <w:rPr>
          <w:rFonts w:ascii="Tahoma" w:hAnsi="Tahoma" w:cs="Tahoma"/>
        </w:rPr>
        <w:t xml:space="preserve">el art. 66A del Código Procesal del Trabajo y de la Seguridad Social, </w:t>
      </w:r>
      <w:r w:rsidR="00087BAB" w:rsidRPr="00842145">
        <w:rPr>
          <w:rFonts w:ascii="Tahoma" w:hAnsi="Tahoma" w:cs="Tahoma"/>
        </w:rPr>
        <w:t xml:space="preserve">en cuanto al principio de consonancia, </w:t>
      </w:r>
      <w:r w:rsidRPr="00842145">
        <w:rPr>
          <w:rFonts w:ascii="Tahoma" w:hAnsi="Tahoma" w:cs="Tahoma"/>
          <w:i/>
        </w:rPr>
        <w:t>'</w:t>
      </w:r>
      <w:r w:rsidRPr="00A23043">
        <w:rPr>
          <w:rFonts w:ascii="Tahoma" w:hAnsi="Tahoma" w:cs="Tahoma"/>
          <w:i/>
          <w:sz w:val="22"/>
        </w:rPr>
        <w:t>en el entendido que las materias objeto del recurso de apelación incluyen siempre los derechos laborales mínimos irrenunciables del trabajador'</w:t>
      </w:r>
      <w:r w:rsidR="00087BAB" w:rsidRPr="00842145">
        <w:rPr>
          <w:rFonts w:ascii="Tahoma" w:hAnsi="Tahoma" w:cs="Tahoma"/>
        </w:rPr>
        <w:t xml:space="preserve">, la Sala ajustará la mesada pensional del demandante al salario mínimo, por lo que modificará la sentencia de primera instancia, en cuanto al retroactivo pensional y ordenará a Colpensiones que continúe pagando la prestación en cuantía igual al salario mínimo vigente para cada anualidad. </w:t>
      </w:r>
    </w:p>
    <w:p w14:paraId="4E762DE8" w14:textId="77777777" w:rsidR="00087BAB" w:rsidRPr="00842145" w:rsidRDefault="00087BAB" w:rsidP="00842145">
      <w:pPr>
        <w:tabs>
          <w:tab w:val="left" w:pos="0"/>
        </w:tabs>
        <w:spacing w:line="276" w:lineRule="auto"/>
        <w:ind w:firstLine="0"/>
        <w:rPr>
          <w:rFonts w:ascii="Tahoma" w:hAnsi="Tahoma" w:cs="Tahoma"/>
          <w:sz w:val="24"/>
          <w:szCs w:val="24"/>
        </w:rPr>
      </w:pPr>
    </w:p>
    <w:p w14:paraId="1A2D8994" w14:textId="0541332F" w:rsidR="00087BAB" w:rsidRPr="00842145" w:rsidRDefault="00087BAB" w:rsidP="00842145">
      <w:pPr>
        <w:spacing w:line="276" w:lineRule="auto"/>
        <w:ind w:firstLine="708"/>
        <w:rPr>
          <w:rFonts w:ascii="Tahoma" w:hAnsi="Tahoma" w:cs="Tahoma"/>
          <w:sz w:val="24"/>
          <w:szCs w:val="24"/>
        </w:rPr>
      </w:pPr>
      <w:r w:rsidRPr="00842145">
        <w:rPr>
          <w:rFonts w:ascii="Tahoma" w:hAnsi="Tahoma" w:cs="Tahoma"/>
          <w:sz w:val="24"/>
          <w:szCs w:val="24"/>
        </w:rPr>
        <w:t>Así, efectuadas las operaciones aritméticas correspondientes, el retroactivo pensional que deberá reconocer Colpensiones al señor Jorge Suarez Valero entre el 17 de enero de 2017 y el 31 de mayo de 2023 asciende a la suma de $77.350.438, sin perjuicio de las sumas que se causen a futuro y sobre el cual procede los descuentos con destino a salud.</w:t>
      </w:r>
    </w:p>
    <w:p w14:paraId="076C45EE" w14:textId="77777777" w:rsidR="00087BAB" w:rsidRPr="00842145" w:rsidRDefault="00087BAB" w:rsidP="00842145">
      <w:pPr>
        <w:tabs>
          <w:tab w:val="left" w:pos="0"/>
        </w:tabs>
        <w:spacing w:line="276" w:lineRule="auto"/>
        <w:ind w:firstLine="0"/>
        <w:rPr>
          <w:rFonts w:ascii="Tahoma" w:hAnsi="Tahoma" w:cs="Tahoma"/>
          <w:sz w:val="24"/>
          <w:szCs w:val="24"/>
        </w:rPr>
      </w:pPr>
    </w:p>
    <w:tbl>
      <w:tblPr>
        <w:tblW w:w="9117" w:type="dxa"/>
        <w:tblCellMar>
          <w:left w:w="70" w:type="dxa"/>
          <w:right w:w="70" w:type="dxa"/>
        </w:tblCellMar>
        <w:tblLook w:val="04A0" w:firstRow="1" w:lastRow="0" w:firstColumn="1" w:lastColumn="0" w:noHBand="0" w:noVBand="1"/>
      </w:tblPr>
      <w:tblGrid>
        <w:gridCol w:w="1107"/>
        <w:gridCol w:w="1159"/>
        <w:gridCol w:w="1265"/>
        <w:gridCol w:w="2400"/>
        <w:gridCol w:w="1476"/>
        <w:gridCol w:w="1710"/>
      </w:tblGrid>
      <w:tr w:rsidR="00087BAB" w:rsidRPr="00ED17D1" w14:paraId="6AC8025E" w14:textId="77777777" w:rsidTr="00087BAB">
        <w:trPr>
          <w:trHeight w:val="663"/>
        </w:trPr>
        <w:tc>
          <w:tcPr>
            <w:tcW w:w="1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BD0DC" w14:textId="77777777" w:rsidR="00087BAB" w:rsidRPr="00ED17D1" w:rsidRDefault="00087BAB" w:rsidP="00ED17D1">
            <w:pPr>
              <w:spacing w:line="240" w:lineRule="auto"/>
              <w:ind w:firstLine="0"/>
              <w:jc w:val="center"/>
              <w:rPr>
                <w:rFonts w:ascii="Tahoma" w:eastAsia="Times New Roman" w:hAnsi="Tahoma" w:cs="Tahoma"/>
                <w:b/>
                <w:bCs/>
                <w:color w:val="000000"/>
                <w:szCs w:val="24"/>
                <w:lang w:val="es-CO" w:eastAsia="es-CO"/>
              </w:rPr>
            </w:pPr>
            <w:r w:rsidRPr="00ED17D1">
              <w:rPr>
                <w:rFonts w:ascii="Tahoma" w:eastAsia="Times New Roman" w:hAnsi="Tahoma" w:cs="Tahoma"/>
                <w:b/>
                <w:bCs/>
                <w:color w:val="000000"/>
                <w:szCs w:val="24"/>
                <w:lang w:val="es-CO" w:eastAsia="es-CO"/>
              </w:rPr>
              <w:t>Año</w:t>
            </w:r>
          </w:p>
        </w:tc>
        <w:tc>
          <w:tcPr>
            <w:tcW w:w="1159" w:type="dxa"/>
            <w:tcBorders>
              <w:top w:val="single" w:sz="4" w:space="0" w:color="808000"/>
              <w:left w:val="nil"/>
              <w:bottom w:val="single" w:sz="4" w:space="0" w:color="auto"/>
              <w:right w:val="nil"/>
            </w:tcBorders>
            <w:shd w:val="clear" w:color="auto" w:fill="auto"/>
            <w:vAlign w:val="center"/>
            <w:hideMark/>
          </w:tcPr>
          <w:p w14:paraId="13285EEB" w14:textId="77777777" w:rsidR="00087BAB" w:rsidRPr="00ED17D1" w:rsidRDefault="00087BAB" w:rsidP="00ED17D1">
            <w:pPr>
              <w:spacing w:line="240" w:lineRule="auto"/>
              <w:ind w:firstLine="0"/>
              <w:jc w:val="center"/>
              <w:rPr>
                <w:rFonts w:ascii="Tahoma" w:eastAsia="Times New Roman" w:hAnsi="Tahoma" w:cs="Tahoma"/>
                <w:b/>
                <w:bCs/>
                <w:color w:val="000000"/>
                <w:szCs w:val="24"/>
                <w:lang w:val="es-CO" w:eastAsia="es-CO"/>
              </w:rPr>
            </w:pPr>
            <w:r w:rsidRPr="00ED17D1">
              <w:rPr>
                <w:rFonts w:ascii="Tahoma" w:eastAsia="Times New Roman" w:hAnsi="Tahoma" w:cs="Tahoma"/>
                <w:b/>
                <w:bCs/>
                <w:color w:val="000000"/>
                <w:szCs w:val="24"/>
                <w:lang w:val="es-CO" w:eastAsia="es-CO"/>
              </w:rPr>
              <w:t>Desde</w:t>
            </w:r>
          </w:p>
        </w:tc>
        <w:tc>
          <w:tcPr>
            <w:tcW w:w="1265" w:type="dxa"/>
            <w:tcBorders>
              <w:top w:val="single" w:sz="4" w:space="0" w:color="808000"/>
              <w:left w:val="single" w:sz="4" w:space="0" w:color="auto"/>
              <w:bottom w:val="single" w:sz="4" w:space="0" w:color="auto"/>
              <w:right w:val="nil"/>
            </w:tcBorders>
            <w:shd w:val="clear" w:color="auto" w:fill="auto"/>
            <w:vAlign w:val="center"/>
            <w:hideMark/>
          </w:tcPr>
          <w:p w14:paraId="0ECE236F" w14:textId="77777777" w:rsidR="00087BAB" w:rsidRPr="00ED17D1" w:rsidRDefault="00087BAB" w:rsidP="00ED17D1">
            <w:pPr>
              <w:spacing w:line="240" w:lineRule="auto"/>
              <w:ind w:firstLine="0"/>
              <w:jc w:val="center"/>
              <w:rPr>
                <w:rFonts w:ascii="Tahoma" w:eastAsia="Times New Roman" w:hAnsi="Tahoma" w:cs="Tahoma"/>
                <w:b/>
                <w:bCs/>
                <w:color w:val="000000"/>
                <w:szCs w:val="24"/>
                <w:lang w:val="es-CO" w:eastAsia="es-CO"/>
              </w:rPr>
            </w:pPr>
            <w:r w:rsidRPr="00ED17D1">
              <w:rPr>
                <w:rFonts w:ascii="Tahoma" w:eastAsia="Times New Roman" w:hAnsi="Tahoma" w:cs="Tahoma"/>
                <w:b/>
                <w:bCs/>
                <w:color w:val="000000"/>
                <w:szCs w:val="24"/>
                <w:lang w:val="es-CO" w:eastAsia="es-CO"/>
              </w:rPr>
              <w:t>Hasta</w:t>
            </w:r>
          </w:p>
        </w:tc>
        <w:tc>
          <w:tcPr>
            <w:tcW w:w="2399" w:type="dxa"/>
            <w:tcBorders>
              <w:top w:val="single" w:sz="4" w:space="0" w:color="808000"/>
              <w:left w:val="single" w:sz="4" w:space="0" w:color="auto"/>
              <w:bottom w:val="single" w:sz="4" w:space="0" w:color="auto"/>
              <w:right w:val="single" w:sz="4" w:space="0" w:color="808000"/>
            </w:tcBorders>
            <w:shd w:val="clear" w:color="auto" w:fill="auto"/>
            <w:vAlign w:val="center"/>
            <w:hideMark/>
          </w:tcPr>
          <w:p w14:paraId="1532066F" w14:textId="77777777" w:rsidR="00087BAB" w:rsidRPr="00ED17D1" w:rsidRDefault="00087BAB" w:rsidP="00ED17D1">
            <w:pPr>
              <w:spacing w:line="240" w:lineRule="auto"/>
              <w:ind w:firstLine="0"/>
              <w:jc w:val="center"/>
              <w:rPr>
                <w:rFonts w:ascii="Tahoma" w:eastAsia="Times New Roman" w:hAnsi="Tahoma" w:cs="Tahoma"/>
                <w:b/>
                <w:bCs/>
                <w:color w:val="000000"/>
                <w:szCs w:val="24"/>
                <w:lang w:val="es-CO" w:eastAsia="es-CO"/>
              </w:rPr>
            </w:pPr>
            <w:r w:rsidRPr="00ED17D1">
              <w:rPr>
                <w:rFonts w:ascii="Tahoma" w:eastAsia="Times New Roman" w:hAnsi="Tahoma" w:cs="Tahoma"/>
                <w:b/>
                <w:bCs/>
                <w:color w:val="000000"/>
                <w:szCs w:val="24"/>
                <w:lang w:val="es-CO" w:eastAsia="es-CO"/>
              </w:rPr>
              <w:t>Causadas</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D9123" w14:textId="77777777" w:rsidR="00087BAB" w:rsidRPr="00ED17D1" w:rsidRDefault="00087BAB" w:rsidP="00ED17D1">
            <w:pPr>
              <w:spacing w:line="240" w:lineRule="auto"/>
              <w:ind w:firstLine="0"/>
              <w:jc w:val="center"/>
              <w:rPr>
                <w:rFonts w:ascii="Tahoma" w:eastAsia="Times New Roman" w:hAnsi="Tahoma" w:cs="Tahoma"/>
                <w:b/>
                <w:bCs/>
                <w:color w:val="000000"/>
                <w:szCs w:val="24"/>
                <w:lang w:val="es-CO" w:eastAsia="es-CO"/>
              </w:rPr>
            </w:pPr>
            <w:r w:rsidRPr="00ED17D1">
              <w:rPr>
                <w:rFonts w:ascii="Tahoma" w:eastAsia="Times New Roman" w:hAnsi="Tahoma" w:cs="Tahoma"/>
                <w:b/>
                <w:bCs/>
                <w:color w:val="000000"/>
                <w:szCs w:val="24"/>
                <w:lang w:val="es-CO" w:eastAsia="es-CO"/>
              </w:rPr>
              <w:t xml:space="preserve"> Salario Mínimo </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5E25CA1F" w14:textId="1C4C40F5" w:rsidR="00087BAB" w:rsidRPr="00ED17D1" w:rsidRDefault="00087BAB" w:rsidP="00ED17D1">
            <w:pPr>
              <w:spacing w:line="240" w:lineRule="auto"/>
              <w:ind w:firstLine="0"/>
              <w:jc w:val="center"/>
              <w:rPr>
                <w:rFonts w:ascii="Tahoma" w:eastAsia="Times New Roman" w:hAnsi="Tahoma" w:cs="Tahoma"/>
                <w:b/>
                <w:bCs/>
                <w:color w:val="000000"/>
                <w:szCs w:val="24"/>
                <w:lang w:val="es-CO" w:eastAsia="es-CO"/>
              </w:rPr>
            </w:pPr>
            <w:r w:rsidRPr="00ED17D1">
              <w:rPr>
                <w:rFonts w:ascii="Tahoma" w:eastAsia="Times New Roman" w:hAnsi="Tahoma" w:cs="Tahoma"/>
                <w:b/>
                <w:bCs/>
                <w:color w:val="000000"/>
                <w:szCs w:val="24"/>
                <w:lang w:val="es-CO" w:eastAsia="es-CO"/>
              </w:rPr>
              <w:t xml:space="preserve"> Retroactivo </w:t>
            </w:r>
          </w:p>
        </w:tc>
      </w:tr>
      <w:tr w:rsidR="00087BAB" w:rsidRPr="00ED17D1" w14:paraId="4861BA9D" w14:textId="77777777" w:rsidTr="00087BAB">
        <w:trPr>
          <w:trHeight w:val="280"/>
        </w:trPr>
        <w:tc>
          <w:tcPr>
            <w:tcW w:w="1107" w:type="dxa"/>
            <w:tcBorders>
              <w:top w:val="nil"/>
              <w:left w:val="single" w:sz="4" w:space="0" w:color="auto"/>
              <w:bottom w:val="single" w:sz="4" w:space="0" w:color="auto"/>
              <w:right w:val="single" w:sz="4" w:space="0" w:color="auto"/>
            </w:tcBorders>
            <w:shd w:val="clear" w:color="auto" w:fill="auto"/>
            <w:noWrap/>
            <w:vAlign w:val="bottom"/>
            <w:hideMark/>
          </w:tcPr>
          <w:p w14:paraId="160FBAB3" w14:textId="77777777" w:rsidR="00087BAB" w:rsidRPr="00ED17D1" w:rsidRDefault="00087BAB" w:rsidP="00ED17D1">
            <w:pPr>
              <w:spacing w:line="240" w:lineRule="auto"/>
              <w:ind w:firstLine="0"/>
              <w:jc w:val="center"/>
              <w:rPr>
                <w:rFonts w:ascii="Tahoma" w:eastAsia="Times New Roman" w:hAnsi="Tahoma" w:cs="Tahoma"/>
                <w:szCs w:val="24"/>
                <w:lang w:val="es-CO" w:eastAsia="es-CO"/>
              </w:rPr>
            </w:pPr>
            <w:r w:rsidRPr="00ED17D1">
              <w:rPr>
                <w:rFonts w:ascii="Tahoma" w:eastAsia="Times New Roman" w:hAnsi="Tahoma" w:cs="Tahoma"/>
                <w:szCs w:val="24"/>
                <w:lang w:val="es-CO" w:eastAsia="es-CO"/>
              </w:rPr>
              <w:t>2017</w:t>
            </w:r>
          </w:p>
        </w:tc>
        <w:tc>
          <w:tcPr>
            <w:tcW w:w="1159" w:type="dxa"/>
            <w:tcBorders>
              <w:top w:val="nil"/>
              <w:left w:val="nil"/>
              <w:bottom w:val="single" w:sz="4" w:space="0" w:color="auto"/>
              <w:right w:val="single" w:sz="4" w:space="0" w:color="auto"/>
            </w:tcBorders>
            <w:shd w:val="clear" w:color="auto" w:fill="auto"/>
            <w:noWrap/>
            <w:vAlign w:val="center"/>
            <w:hideMark/>
          </w:tcPr>
          <w:p w14:paraId="747A23E4" w14:textId="77777777" w:rsidR="00087BAB" w:rsidRPr="00ED17D1" w:rsidRDefault="00087BAB" w:rsidP="00ED17D1">
            <w:pPr>
              <w:spacing w:line="240" w:lineRule="auto"/>
              <w:ind w:firstLine="0"/>
              <w:jc w:val="right"/>
              <w:rPr>
                <w:rFonts w:ascii="Tahoma" w:eastAsia="Times New Roman" w:hAnsi="Tahoma" w:cs="Tahoma"/>
                <w:color w:val="000000"/>
                <w:szCs w:val="24"/>
                <w:lang w:val="es-CO" w:eastAsia="es-CO"/>
              </w:rPr>
            </w:pPr>
            <w:r w:rsidRPr="00ED17D1">
              <w:rPr>
                <w:rFonts w:ascii="Tahoma" w:eastAsia="Times New Roman" w:hAnsi="Tahoma" w:cs="Tahoma"/>
                <w:color w:val="000000"/>
                <w:szCs w:val="24"/>
                <w:lang w:val="es-CO" w:eastAsia="es-CO"/>
              </w:rPr>
              <w:t>17-ene-17</w:t>
            </w:r>
          </w:p>
        </w:tc>
        <w:tc>
          <w:tcPr>
            <w:tcW w:w="1265" w:type="dxa"/>
            <w:tcBorders>
              <w:top w:val="nil"/>
              <w:left w:val="nil"/>
              <w:bottom w:val="single" w:sz="4" w:space="0" w:color="auto"/>
              <w:right w:val="single" w:sz="4" w:space="0" w:color="auto"/>
            </w:tcBorders>
            <w:shd w:val="clear" w:color="auto" w:fill="auto"/>
            <w:noWrap/>
            <w:vAlign w:val="center"/>
            <w:hideMark/>
          </w:tcPr>
          <w:p w14:paraId="0CBFCAE2" w14:textId="77777777" w:rsidR="00087BAB" w:rsidRPr="00ED17D1" w:rsidRDefault="00087BAB" w:rsidP="00ED17D1">
            <w:pPr>
              <w:spacing w:line="240" w:lineRule="auto"/>
              <w:ind w:firstLine="0"/>
              <w:jc w:val="right"/>
              <w:rPr>
                <w:rFonts w:ascii="Tahoma" w:eastAsia="Times New Roman" w:hAnsi="Tahoma" w:cs="Tahoma"/>
                <w:color w:val="000000"/>
                <w:szCs w:val="24"/>
                <w:lang w:val="es-CO" w:eastAsia="es-CO"/>
              </w:rPr>
            </w:pPr>
            <w:r w:rsidRPr="00ED17D1">
              <w:rPr>
                <w:rFonts w:ascii="Tahoma" w:eastAsia="Times New Roman" w:hAnsi="Tahoma" w:cs="Tahoma"/>
                <w:color w:val="000000"/>
                <w:szCs w:val="24"/>
                <w:lang w:val="es-CO" w:eastAsia="es-CO"/>
              </w:rPr>
              <w:t>31-dic-17</w:t>
            </w:r>
          </w:p>
        </w:tc>
        <w:tc>
          <w:tcPr>
            <w:tcW w:w="2399" w:type="dxa"/>
            <w:tcBorders>
              <w:top w:val="single" w:sz="4" w:space="0" w:color="003366"/>
              <w:left w:val="single" w:sz="4" w:space="0" w:color="003366"/>
              <w:bottom w:val="nil"/>
              <w:right w:val="single" w:sz="4" w:space="0" w:color="003366"/>
            </w:tcBorders>
            <w:shd w:val="clear" w:color="auto" w:fill="auto"/>
            <w:noWrap/>
            <w:vAlign w:val="bottom"/>
            <w:hideMark/>
          </w:tcPr>
          <w:p w14:paraId="34D6E6B1" w14:textId="77777777" w:rsidR="00087BAB" w:rsidRPr="00ED17D1" w:rsidRDefault="00087BAB" w:rsidP="00ED17D1">
            <w:pPr>
              <w:spacing w:line="240" w:lineRule="auto"/>
              <w:ind w:firstLine="0"/>
              <w:jc w:val="center"/>
              <w:rPr>
                <w:rFonts w:ascii="Tahoma" w:eastAsia="Times New Roman" w:hAnsi="Tahoma" w:cs="Tahoma"/>
                <w:szCs w:val="24"/>
                <w:lang w:val="es-CO" w:eastAsia="es-CO"/>
              </w:rPr>
            </w:pPr>
            <w:r w:rsidRPr="00ED17D1">
              <w:rPr>
                <w:rFonts w:ascii="Tahoma" w:eastAsia="Times New Roman" w:hAnsi="Tahoma" w:cs="Tahoma"/>
                <w:szCs w:val="24"/>
                <w:lang w:val="es-CO" w:eastAsia="es-CO"/>
              </w:rPr>
              <w:t xml:space="preserve">13,57  </w:t>
            </w:r>
          </w:p>
        </w:tc>
        <w:tc>
          <w:tcPr>
            <w:tcW w:w="1476" w:type="dxa"/>
            <w:tcBorders>
              <w:top w:val="nil"/>
              <w:left w:val="nil"/>
              <w:bottom w:val="single" w:sz="4" w:space="0" w:color="003366"/>
              <w:right w:val="single" w:sz="4" w:space="0" w:color="003366"/>
            </w:tcBorders>
            <w:shd w:val="clear" w:color="auto" w:fill="auto"/>
            <w:vAlign w:val="bottom"/>
            <w:hideMark/>
          </w:tcPr>
          <w:p w14:paraId="335CDCAF" w14:textId="77777777" w:rsidR="00087BAB" w:rsidRPr="00ED17D1" w:rsidRDefault="00087BAB" w:rsidP="00ED17D1">
            <w:pPr>
              <w:spacing w:line="240" w:lineRule="auto"/>
              <w:ind w:firstLine="0"/>
              <w:jc w:val="center"/>
              <w:rPr>
                <w:rFonts w:ascii="Tahoma" w:eastAsia="Times New Roman" w:hAnsi="Tahoma" w:cs="Tahoma"/>
                <w:szCs w:val="24"/>
                <w:lang w:val="es-CO" w:eastAsia="es-CO"/>
              </w:rPr>
            </w:pPr>
            <w:r w:rsidRPr="00ED17D1">
              <w:rPr>
                <w:rFonts w:ascii="Tahoma" w:eastAsia="Times New Roman" w:hAnsi="Tahoma" w:cs="Tahoma"/>
                <w:szCs w:val="24"/>
                <w:lang w:val="es-CO" w:eastAsia="es-CO"/>
              </w:rPr>
              <w:t>$ 737.717</w:t>
            </w:r>
          </w:p>
        </w:tc>
        <w:tc>
          <w:tcPr>
            <w:tcW w:w="1710" w:type="dxa"/>
            <w:tcBorders>
              <w:top w:val="nil"/>
              <w:left w:val="nil"/>
              <w:bottom w:val="single" w:sz="4" w:space="0" w:color="003366"/>
              <w:right w:val="single" w:sz="4" w:space="0" w:color="003366"/>
            </w:tcBorders>
            <w:shd w:val="clear" w:color="auto" w:fill="auto"/>
            <w:vAlign w:val="bottom"/>
            <w:hideMark/>
          </w:tcPr>
          <w:p w14:paraId="0C8AEAE3" w14:textId="77777777" w:rsidR="00087BAB" w:rsidRPr="00ED17D1" w:rsidRDefault="00087BAB" w:rsidP="00ED17D1">
            <w:pPr>
              <w:spacing w:line="240" w:lineRule="auto"/>
              <w:ind w:firstLine="0"/>
              <w:jc w:val="center"/>
              <w:rPr>
                <w:rFonts w:ascii="Tahoma" w:eastAsia="Times New Roman" w:hAnsi="Tahoma" w:cs="Tahoma"/>
                <w:szCs w:val="24"/>
                <w:lang w:val="es-CO" w:eastAsia="es-CO"/>
              </w:rPr>
            </w:pPr>
            <w:r w:rsidRPr="00ED17D1">
              <w:rPr>
                <w:rFonts w:ascii="Tahoma" w:eastAsia="Times New Roman" w:hAnsi="Tahoma" w:cs="Tahoma"/>
                <w:szCs w:val="24"/>
                <w:lang w:val="es-CO" w:eastAsia="es-CO"/>
              </w:rPr>
              <w:t>$ 10.010.820</w:t>
            </w:r>
          </w:p>
        </w:tc>
      </w:tr>
      <w:tr w:rsidR="00087BAB" w:rsidRPr="00ED17D1" w14:paraId="2762E17C" w14:textId="77777777" w:rsidTr="00087BAB">
        <w:trPr>
          <w:trHeight w:val="280"/>
        </w:trPr>
        <w:tc>
          <w:tcPr>
            <w:tcW w:w="1107" w:type="dxa"/>
            <w:tcBorders>
              <w:top w:val="nil"/>
              <w:left w:val="single" w:sz="4" w:space="0" w:color="auto"/>
              <w:bottom w:val="single" w:sz="4" w:space="0" w:color="auto"/>
              <w:right w:val="single" w:sz="4" w:space="0" w:color="auto"/>
            </w:tcBorders>
            <w:shd w:val="clear" w:color="auto" w:fill="auto"/>
            <w:noWrap/>
            <w:vAlign w:val="bottom"/>
            <w:hideMark/>
          </w:tcPr>
          <w:p w14:paraId="6841030E" w14:textId="77777777" w:rsidR="00087BAB" w:rsidRPr="00ED17D1" w:rsidRDefault="00087BAB" w:rsidP="00ED17D1">
            <w:pPr>
              <w:spacing w:line="240" w:lineRule="auto"/>
              <w:ind w:firstLine="0"/>
              <w:jc w:val="center"/>
              <w:rPr>
                <w:rFonts w:ascii="Tahoma" w:eastAsia="Times New Roman" w:hAnsi="Tahoma" w:cs="Tahoma"/>
                <w:szCs w:val="24"/>
                <w:lang w:val="es-CO" w:eastAsia="es-CO"/>
              </w:rPr>
            </w:pPr>
            <w:r w:rsidRPr="00ED17D1">
              <w:rPr>
                <w:rFonts w:ascii="Tahoma" w:eastAsia="Times New Roman" w:hAnsi="Tahoma" w:cs="Tahoma"/>
                <w:szCs w:val="24"/>
                <w:lang w:val="es-CO" w:eastAsia="es-CO"/>
              </w:rPr>
              <w:t>2018</w:t>
            </w:r>
          </w:p>
        </w:tc>
        <w:tc>
          <w:tcPr>
            <w:tcW w:w="1159" w:type="dxa"/>
            <w:tcBorders>
              <w:top w:val="nil"/>
              <w:left w:val="nil"/>
              <w:bottom w:val="single" w:sz="4" w:space="0" w:color="auto"/>
              <w:right w:val="single" w:sz="4" w:space="0" w:color="auto"/>
            </w:tcBorders>
            <w:shd w:val="clear" w:color="auto" w:fill="auto"/>
            <w:noWrap/>
            <w:vAlign w:val="center"/>
            <w:hideMark/>
          </w:tcPr>
          <w:p w14:paraId="211F311D" w14:textId="77777777" w:rsidR="00087BAB" w:rsidRPr="00ED17D1" w:rsidRDefault="00087BAB" w:rsidP="00ED17D1">
            <w:pPr>
              <w:spacing w:line="240" w:lineRule="auto"/>
              <w:ind w:firstLine="0"/>
              <w:jc w:val="right"/>
              <w:rPr>
                <w:rFonts w:ascii="Tahoma" w:eastAsia="Times New Roman" w:hAnsi="Tahoma" w:cs="Tahoma"/>
                <w:color w:val="000000"/>
                <w:szCs w:val="24"/>
                <w:lang w:val="es-CO" w:eastAsia="es-CO"/>
              </w:rPr>
            </w:pPr>
            <w:r w:rsidRPr="00ED17D1">
              <w:rPr>
                <w:rFonts w:ascii="Tahoma" w:eastAsia="Times New Roman" w:hAnsi="Tahoma" w:cs="Tahoma"/>
                <w:color w:val="000000"/>
                <w:szCs w:val="24"/>
                <w:lang w:val="es-CO" w:eastAsia="es-CO"/>
              </w:rPr>
              <w:t>01-ene-18</w:t>
            </w:r>
          </w:p>
        </w:tc>
        <w:tc>
          <w:tcPr>
            <w:tcW w:w="1265" w:type="dxa"/>
            <w:tcBorders>
              <w:top w:val="nil"/>
              <w:left w:val="nil"/>
              <w:bottom w:val="single" w:sz="4" w:space="0" w:color="auto"/>
              <w:right w:val="single" w:sz="4" w:space="0" w:color="auto"/>
            </w:tcBorders>
            <w:shd w:val="clear" w:color="auto" w:fill="auto"/>
            <w:noWrap/>
            <w:vAlign w:val="center"/>
            <w:hideMark/>
          </w:tcPr>
          <w:p w14:paraId="44ABF722" w14:textId="77777777" w:rsidR="00087BAB" w:rsidRPr="00ED17D1" w:rsidRDefault="00087BAB" w:rsidP="00ED17D1">
            <w:pPr>
              <w:spacing w:line="240" w:lineRule="auto"/>
              <w:ind w:firstLine="0"/>
              <w:jc w:val="right"/>
              <w:rPr>
                <w:rFonts w:ascii="Tahoma" w:eastAsia="Times New Roman" w:hAnsi="Tahoma" w:cs="Tahoma"/>
                <w:color w:val="000000"/>
                <w:szCs w:val="24"/>
                <w:lang w:val="es-CO" w:eastAsia="es-CO"/>
              </w:rPr>
            </w:pPr>
            <w:r w:rsidRPr="00ED17D1">
              <w:rPr>
                <w:rFonts w:ascii="Tahoma" w:eastAsia="Times New Roman" w:hAnsi="Tahoma" w:cs="Tahoma"/>
                <w:color w:val="000000"/>
                <w:szCs w:val="24"/>
                <w:lang w:val="es-CO" w:eastAsia="es-CO"/>
              </w:rPr>
              <w:t>31-dic-18</w:t>
            </w:r>
          </w:p>
        </w:tc>
        <w:tc>
          <w:tcPr>
            <w:tcW w:w="2399" w:type="dxa"/>
            <w:tcBorders>
              <w:top w:val="single" w:sz="4" w:space="0" w:color="003366"/>
              <w:left w:val="single" w:sz="4" w:space="0" w:color="003366"/>
              <w:bottom w:val="nil"/>
              <w:right w:val="single" w:sz="4" w:space="0" w:color="003366"/>
            </w:tcBorders>
            <w:shd w:val="clear" w:color="auto" w:fill="auto"/>
            <w:noWrap/>
            <w:vAlign w:val="bottom"/>
            <w:hideMark/>
          </w:tcPr>
          <w:p w14:paraId="1434A5C7" w14:textId="77777777" w:rsidR="00087BAB" w:rsidRPr="00ED17D1" w:rsidRDefault="00087BAB" w:rsidP="00ED17D1">
            <w:pPr>
              <w:spacing w:line="240" w:lineRule="auto"/>
              <w:ind w:firstLine="0"/>
              <w:jc w:val="center"/>
              <w:rPr>
                <w:rFonts w:ascii="Tahoma" w:eastAsia="Times New Roman" w:hAnsi="Tahoma" w:cs="Tahoma"/>
                <w:szCs w:val="24"/>
                <w:lang w:val="es-CO" w:eastAsia="es-CO"/>
              </w:rPr>
            </w:pPr>
            <w:r w:rsidRPr="00ED17D1">
              <w:rPr>
                <w:rFonts w:ascii="Tahoma" w:eastAsia="Times New Roman" w:hAnsi="Tahoma" w:cs="Tahoma"/>
                <w:szCs w:val="24"/>
                <w:lang w:val="es-CO" w:eastAsia="es-CO"/>
              </w:rPr>
              <w:t xml:space="preserve">14,00  </w:t>
            </w:r>
          </w:p>
        </w:tc>
        <w:tc>
          <w:tcPr>
            <w:tcW w:w="1476" w:type="dxa"/>
            <w:tcBorders>
              <w:top w:val="nil"/>
              <w:left w:val="nil"/>
              <w:bottom w:val="single" w:sz="4" w:space="0" w:color="003366"/>
              <w:right w:val="single" w:sz="4" w:space="0" w:color="003366"/>
            </w:tcBorders>
            <w:shd w:val="clear" w:color="auto" w:fill="auto"/>
            <w:vAlign w:val="bottom"/>
            <w:hideMark/>
          </w:tcPr>
          <w:p w14:paraId="42C86F47" w14:textId="77777777" w:rsidR="00087BAB" w:rsidRPr="00ED17D1" w:rsidRDefault="00087BAB" w:rsidP="00ED17D1">
            <w:pPr>
              <w:spacing w:line="240" w:lineRule="auto"/>
              <w:ind w:firstLine="0"/>
              <w:jc w:val="center"/>
              <w:rPr>
                <w:rFonts w:ascii="Tahoma" w:eastAsia="Times New Roman" w:hAnsi="Tahoma" w:cs="Tahoma"/>
                <w:szCs w:val="24"/>
                <w:lang w:val="es-CO" w:eastAsia="es-CO"/>
              </w:rPr>
            </w:pPr>
            <w:r w:rsidRPr="00ED17D1">
              <w:rPr>
                <w:rFonts w:ascii="Tahoma" w:eastAsia="Times New Roman" w:hAnsi="Tahoma" w:cs="Tahoma"/>
                <w:szCs w:val="24"/>
                <w:lang w:val="es-CO" w:eastAsia="es-CO"/>
              </w:rPr>
              <w:t>$ 781.242</w:t>
            </w:r>
          </w:p>
        </w:tc>
        <w:tc>
          <w:tcPr>
            <w:tcW w:w="1710" w:type="dxa"/>
            <w:tcBorders>
              <w:top w:val="nil"/>
              <w:left w:val="nil"/>
              <w:bottom w:val="single" w:sz="4" w:space="0" w:color="003366"/>
              <w:right w:val="single" w:sz="4" w:space="0" w:color="003366"/>
            </w:tcBorders>
            <w:shd w:val="clear" w:color="auto" w:fill="auto"/>
            <w:vAlign w:val="bottom"/>
            <w:hideMark/>
          </w:tcPr>
          <w:p w14:paraId="1E61C22C" w14:textId="77777777" w:rsidR="00087BAB" w:rsidRPr="00ED17D1" w:rsidRDefault="00087BAB" w:rsidP="00ED17D1">
            <w:pPr>
              <w:spacing w:line="240" w:lineRule="auto"/>
              <w:ind w:firstLine="0"/>
              <w:jc w:val="center"/>
              <w:rPr>
                <w:rFonts w:ascii="Tahoma" w:eastAsia="Times New Roman" w:hAnsi="Tahoma" w:cs="Tahoma"/>
                <w:szCs w:val="24"/>
                <w:lang w:val="es-CO" w:eastAsia="es-CO"/>
              </w:rPr>
            </w:pPr>
            <w:r w:rsidRPr="00ED17D1">
              <w:rPr>
                <w:rFonts w:ascii="Tahoma" w:eastAsia="Times New Roman" w:hAnsi="Tahoma" w:cs="Tahoma"/>
                <w:szCs w:val="24"/>
                <w:lang w:val="es-CO" w:eastAsia="es-CO"/>
              </w:rPr>
              <w:t>$ 10.937.388</w:t>
            </w:r>
          </w:p>
        </w:tc>
      </w:tr>
      <w:tr w:rsidR="00087BAB" w:rsidRPr="00ED17D1" w14:paraId="59E06B53" w14:textId="77777777" w:rsidTr="00087BAB">
        <w:trPr>
          <w:trHeight w:val="280"/>
        </w:trPr>
        <w:tc>
          <w:tcPr>
            <w:tcW w:w="1107" w:type="dxa"/>
            <w:tcBorders>
              <w:top w:val="nil"/>
              <w:left w:val="single" w:sz="4" w:space="0" w:color="auto"/>
              <w:bottom w:val="single" w:sz="4" w:space="0" w:color="auto"/>
              <w:right w:val="single" w:sz="4" w:space="0" w:color="auto"/>
            </w:tcBorders>
            <w:shd w:val="clear" w:color="auto" w:fill="auto"/>
            <w:noWrap/>
            <w:vAlign w:val="bottom"/>
            <w:hideMark/>
          </w:tcPr>
          <w:p w14:paraId="1771212D" w14:textId="77777777" w:rsidR="00087BAB" w:rsidRPr="00ED17D1" w:rsidRDefault="00087BAB" w:rsidP="00ED17D1">
            <w:pPr>
              <w:spacing w:line="240" w:lineRule="auto"/>
              <w:ind w:firstLine="0"/>
              <w:jc w:val="center"/>
              <w:rPr>
                <w:rFonts w:ascii="Tahoma" w:eastAsia="Times New Roman" w:hAnsi="Tahoma" w:cs="Tahoma"/>
                <w:szCs w:val="24"/>
                <w:lang w:val="es-CO" w:eastAsia="es-CO"/>
              </w:rPr>
            </w:pPr>
            <w:r w:rsidRPr="00ED17D1">
              <w:rPr>
                <w:rFonts w:ascii="Tahoma" w:eastAsia="Times New Roman" w:hAnsi="Tahoma" w:cs="Tahoma"/>
                <w:szCs w:val="24"/>
                <w:lang w:val="es-CO" w:eastAsia="es-CO"/>
              </w:rPr>
              <w:t>2019</w:t>
            </w:r>
          </w:p>
        </w:tc>
        <w:tc>
          <w:tcPr>
            <w:tcW w:w="1159" w:type="dxa"/>
            <w:tcBorders>
              <w:top w:val="nil"/>
              <w:left w:val="nil"/>
              <w:bottom w:val="single" w:sz="4" w:space="0" w:color="auto"/>
              <w:right w:val="single" w:sz="4" w:space="0" w:color="auto"/>
            </w:tcBorders>
            <w:shd w:val="clear" w:color="auto" w:fill="auto"/>
            <w:noWrap/>
            <w:vAlign w:val="center"/>
            <w:hideMark/>
          </w:tcPr>
          <w:p w14:paraId="6A1267A1" w14:textId="77777777" w:rsidR="00087BAB" w:rsidRPr="00ED17D1" w:rsidRDefault="00087BAB" w:rsidP="00ED17D1">
            <w:pPr>
              <w:spacing w:line="240" w:lineRule="auto"/>
              <w:ind w:firstLine="0"/>
              <w:jc w:val="right"/>
              <w:rPr>
                <w:rFonts w:ascii="Tahoma" w:eastAsia="Times New Roman" w:hAnsi="Tahoma" w:cs="Tahoma"/>
                <w:color w:val="000000"/>
                <w:szCs w:val="24"/>
                <w:lang w:val="es-CO" w:eastAsia="es-CO"/>
              </w:rPr>
            </w:pPr>
            <w:r w:rsidRPr="00ED17D1">
              <w:rPr>
                <w:rFonts w:ascii="Tahoma" w:eastAsia="Times New Roman" w:hAnsi="Tahoma" w:cs="Tahoma"/>
                <w:color w:val="000000"/>
                <w:szCs w:val="24"/>
                <w:lang w:val="es-CO" w:eastAsia="es-CO"/>
              </w:rPr>
              <w:t>01-ene-19</w:t>
            </w:r>
          </w:p>
        </w:tc>
        <w:tc>
          <w:tcPr>
            <w:tcW w:w="1265" w:type="dxa"/>
            <w:tcBorders>
              <w:top w:val="nil"/>
              <w:left w:val="nil"/>
              <w:bottom w:val="single" w:sz="4" w:space="0" w:color="auto"/>
              <w:right w:val="single" w:sz="4" w:space="0" w:color="auto"/>
            </w:tcBorders>
            <w:shd w:val="clear" w:color="auto" w:fill="auto"/>
            <w:noWrap/>
            <w:vAlign w:val="center"/>
            <w:hideMark/>
          </w:tcPr>
          <w:p w14:paraId="5F1E72BD" w14:textId="77777777" w:rsidR="00087BAB" w:rsidRPr="00ED17D1" w:rsidRDefault="00087BAB" w:rsidP="00ED17D1">
            <w:pPr>
              <w:spacing w:line="240" w:lineRule="auto"/>
              <w:ind w:firstLine="0"/>
              <w:jc w:val="right"/>
              <w:rPr>
                <w:rFonts w:ascii="Tahoma" w:eastAsia="Times New Roman" w:hAnsi="Tahoma" w:cs="Tahoma"/>
                <w:color w:val="000000"/>
                <w:szCs w:val="24"/>
                <w:lang w:val="es-CO" w:eastAsia="es-CO"/>
              </w:rPr>
            </w:pPr>
            <w:r w:rsidRPr="00ED17D1">
              <w:rPr>
                <w:rFonts w:ascii="Tahoma" w:eastAsia="Times New Roman" w:hAnsi="Tahoma" w:cs="Tahoma"/>
                <w:color w:val="000000"/>
                <w:szCs w:val="24"/>
                <w:lang w:val="es-CO" w:eastAsia="es-CO"/>
              </w:rPr>
              <w:t>31-dic-19</w:t>
            </w:r>
          </w:p>
        </w:tc>
        <w:tc>
          <w:tcPr>
            <w:tcW w:w="2399" w:type="dxa"/>
            <w:tcBorders>
              <w:top w:val="single" w:sz="4" w:space="0" w:color="003366"/>
              <w:left w:val="single" w:sz="4" w:space="0" w:color="003366"/>
              <w:bottom w:val="nil"/>
              <w:right w:val="single" w:sz="4" w:space="0" w:color="003366"/>
            </w:tcBorders>
            <w:shd w:val="clear" w:color="auto" w:fill="auto"/>
            <w:noWrap/>
            <w:vAlign w:val="bottom"/>
            <w:hideMark/>
          </w:tcPr>
          <w:p w14:paraId="2E24A20A" w14:textId="77777777" w:rsidR="00087BAB" w:rsidRPr="00ED17D1" w:rsidRDefault="00087BAB" w:rsidP="00ED17D1">
            <w:pPr>
              <w:spacing w:line="240" w:lineRule="auto"/>
              <w:ind w:firstLine="0"/>
              <w:jc w:val="center"/>
              <w:rPr>
                <w:rFonts w:ascii="Tahoma" w:eastAsia="Times New Roman" w:hAnsi="Tahoma" w:cs="Tahoma"/>
                <w:szCs w:val="24"/>
                <w:lang w:val="es-CO" w:eastAsia="es-CO"/>
              </w:rPr>
            </w:pPr>
            <w:r w:rsidRPr="00ED17D1">
              <w:rPr>
                <w:rFonts w:ascii="Tahoma" w:eastAsia="Times New Roman" w:hAnsi="Tahoma" w:cs="Tahoma"/>
                <w:szCs w:val="24"/>
                <w:lang w:val="es-CO" w:eastAsia="es-CO"/>
              </w:rPr>
              <w:t xml:space="preserve">14,00  </w:t>
            </w:r>
          </w:p>
        </w:tc>
        <w:tc>
          <w:tcPr>
            <w:tcW w:w="1476" w:type="dxa"/>
            <w:tcBorders>
              <w:top w:val="nil"/>
              <w:left w:val="nil"/>
              <w:bottom w:val="single" w:sz="4" w:space="0" w:color="003366"/>
              <w:right w:val="single" w:sz="4" w:space="0" w:color="003366"/>
            </w:tcBorders>
            <w:shd w:val="clear" w:color="auto" w:fill="auto"/>
            <w:vAlign w:val="bottom"/>
            <w:hideMark/>
          </w:tcPr>
          <w:p w14:paraId="4E692A41" w14:textId="77777777" w:rsidR="00087BAB" w:rsidRPr="00ED17D1" w:rsidRDefault="00087BAB" w:rsidP="00ED17D1">
            <w:pPr>
              <w:spacing w:line="240" w:lineRule="auto"/>
              <w:ind w:firstLine="0"/>
              <w:jc w:val="center"/>
              <w:rPr>
                <w:rFonts w:ascii="Tahoma" w:eastAsia="Times New Roman" w:hAnsi="Tahoma" w:cs="Tahoma"/>
                <w:szCs w:val="24"/>
                <w:lang w:val="es-CO" w:eastAsia="es-CO"/>
              </w:rPr>
            </w:pPr>
            <w:r w:rsidRPr="00ED17D1">
              <w:rPr>
                <w:rFonts w:ascii="Tahoma" w:eastAsia="Times New Roman" w:hAnsi="Tahoma" w:cs="Tahoma"/>
                <w:szCs w:val="24"/>
                <w:lang w:val="es-CO" w:eastAsia="es-CO"/>
              </w:rPr>
              <w:t>$ 828.116</w:t>
            </w:r>
          </w:p>
        </w:tc>
        <w:tc>
          <w:tcPr>
            <w:tcW w:w="1710" w:type="dxa"/>
            <w:tcBorders>
              <w:top w:val="nil"/>
              <w:left w:val="nil"/>
              <w:bottom w:val="single" w:sz="4" w:space="0" w:color="003366"/>
              <w:right w:val="single" w:sz="4" w:space="0" w:color="003366"/>
            </w:tcBorders>
            <w:shd w:val="clear" w:color="auto" w:fill="auto"/>
            <w:vAlign w:val="bottom"/>
            <w:hideMark/>
          </w:tcPr>
          <w:p w14:paraId="3386EA89" w14:textId="77777777" w:rsidR="00087BAB" w:rsidRPr="00ED17D1" w:rsidRDefault="00087BAB" w:rsidP="00ED17D1">
            <w:pPr>
              <w:spacing w:line="240" w:lineRule="auto"/>
              <w:ind w:firstLine="0"/>
              <w:jc w:val="center"/>
              <w:rPr>
                <w:rFonts w:ascii="Tahoma" w:eastAsia="Times New Roman" w:hAnsi="Tahoma" w:cs="Tahoma"/>
                <w:szCs w:val="24"/>
                <w:lang w:val="es-CO" w:eastAsia="es-CO"/>
              </w:rPr>
            </w:pPr>
            <w:r w:rsidRPr="00ED17D1">
              <w:rPr>
                <w:rFonts w:ascii="Tahoma" w:eastAsia="Times New Roman" w:hAnsi="Tahoma" w:cs="Tahoma"/>
                <w:szCs w:val="24"/>
                <w:lang w:val="es-CO" w:eastAsia="es-CO"/>
              </w:rPr>
              <w:t>$ 11.593.624</w:t>
            </w:r>
          </w:p>
        </w:tc>
      </w:tr>
      <w:tr w:rsidR="00087BAB" w:rsidRPr="00ED17D1" w14:paraId="75641048" w14:textId="77777777" w:rsidTr="00087BAB">
        <w:trPr>
          <w:trHeight w:val="280"/>
        </w:trPr>
        <w:tc>
          <w:tcPr>
            <w:tcW w:w="1107" w:type="dxa"/>
            <w:tcBorders>
              <w:top w:val="nil"/>
              <w:left w:val="single" w:sz="4" w:space="0" w:color="auto"/>
              <w:bottom w:val="nil"/>
              <w:right w:val="single" w:sz="4" w:space="0" w:color="auto"/>
            </w:tcBorders>
            <w:shd w:val="clear" w:color="auto" w:fill="auto"/>
            <w:noWrap/>
            <w:vAlign w:val="bottom"/>
            <w:hideMark/>
          </w:tcPr>
          <w:p w14:paraId="11823C07" w14:textId="77777777" w:rsidR="00087BAB" w:rsidRPr="00ED17D1" w:rsidRDefault="00087BAB" w:rsidP="00ED17D1">
            <w:pPr>
              <w:spacing w:line="240" w:lineRule="auto"/>
              <w:ind w:firstLine="0"/>
              <w:jc w:val="center"/>
              <w:rPr>
                <w:rFonts w:ascii="Tahoma" w:eastAsia="Times New Roman" w:hAnsi="Tahoma" w:cs="Tahoma"/>
                <w:szCs w:val="24"/>
                <w:lang w:val="es-CO" w:eastAsia="es-CO"/>
              </w:rPr>
            </w:pPr>
            <w:r w:rsidRPr="00ED17D1">
              <w:rPr>
                <w:rFonts w:ascii="Tahoma" w:eastAsia="Times New Roman" w:hAnsi="Tahoma" w:cs="Tahoma"/>
                <w:szCs w:val="24"/>
                <w:lang w:val="es-CO" w:eastAsia="es-CO"/>
              </w:rPr>
              <w:t>2020</w:t>
            </w:r>
          </w:p>
        </w:tc>
        <w:tc>
          <w:tcPr>
            <w:tcW w:w="1159" w:type="dxa"/>
            <w:tcBorders>
              <w:top w:val="nil"/>
              <w:left w:val="nil"/>
              <w:bottom w:val="nil"/>
              <w:right w:val="single" w:sz="4" w:space="0" w:color="auto"/>
            </w:tcBorders>
            <w:shd w:val="clear" w:color="auto" w:fill="auto"/>
            <w:noWrap/>
            <w:vAlign w:val="center"/>
            <w:hideMark/>
          </w:tcPr>
          <w:p w14:paraId="4C458919" w14:textId="77777777" w:rsidR="00087BAB" w:rsidRPr="00ED17D1" w:rsidRDefault="00087BAB" w:rsidP="00ED17D1">
            <w:pPr>
              <w:spacing w:line="240" w:lineRule="auto"/>
              <w:ind w:firstLine="0"/>
              <w:jc w:val="right"/>
              <w:rPr>
                <w:rFonts w:ascii="Tahoma" w:eastAsia="Times New Roman" w:hAnsi="Tahoma" w:cs="Tahoma"/>
                <w:color w:val="000000"/>
                <w:szCs w:val="24"/>
                <w:lang w:val="es-CO" w:eastAsia="es-CO"/>
              </w:rPr>
            </w:pPr>
            <w:r w:rsidRPr="00ED17D1">
              <w:rPr>
                <w:rFonts w:ascii="Tahoma" w:eastAsia="Times New Roman" w:hAnsi="Tahoma" w:cs="Tahoma"/>
                <w:color w:val="000000"/>
                <w:szCs w:val="24"/>
                <w:lang w:val="es-CO" w:eastAsia="es-CO"/>
              </w:rPr>
              <w:t>01-ene-20</w:t>
            </w:r>
          </w:p>
        </w:tc>
        <w:tc>
          <w:tcPr>
            <w:tcW w:w="1265" w:type="dxa"/>
            <w:tcBorders>
              <w:top w:val="nil"/>
              <w:left w:val="nil"/>
              <w:bottom w:val="single" w:sz="4" w:space="0" w:color="auto"/>
              <w:right w:val="single" w:sz="4" w:space="0" w:color="auto"/>
            </w:tcBorders>
            <w:shd w:val="clear" w:color="auto" w:fill="auto"/>
            <w:noWrap/>
            <w:vAlign w:val="center"/>
            <w:hideMark/>
          </w:tcPr>
          <w:p w14:paraId="22A95289" w14:textId="77777777" w:rsidR="00087BAB" w:rsidRPr="00ED17D1" w:rsidRDefault="00087BAB" w:rsidP="00ED17D1">
            <w:pPr>
              <w:spacing w:line="240" w:lineRule="auto"/>
              <w:ind w:firstLine="0"/>
              <w:jc w:val="right"/>
              <w:rPr>
                <w:rFonts w:ascii="Tahoma" w:eastAsia="Times New Roman" w:hAnsi="Tahoma" w:cs="Tahoma"/>
                <w:color w:val="000000"/>
                <w:szCs w:val="24"/>
                <w:lang w:val="es-CO" w:eastAsia="es-CO"/>
              </w:rPr>
            </w:pPr>
            <w:r w:rsidRPr="00ED17D1">
              <w:rPr>
                <w:rFonts w:ascii="Tahoma" w:eastAsia="Times New Roman" w:hAnsi="Tahoma" w:cs="Tahoma"/>
                <w:color w:val="000000"/>
                <w:szCs w:val="24"/>
                <w:lang w:val="es-CO" w:eastAsia="es-CO"/>
              </w:rPr>
              <w:t>31-dic-20</w:t>
            </w:r>
          </w:p>
        </w:tc>
        <w:tc>
          <w:tcPr>
            <w:tcW w:w="2399" w:type="dxa"/>
            <w:tcBorders>
              <w:top w:val="single" w:sz="4" w:space="0" w:color="auto"/>
              <w:left w:val="nil"/>
              <w:bottom w:val="nil"/>
              <w:right w:val="single" w:sz="4" w:space="0" w:color="auto"/>
            </w:tcBorders>
            <w:shd w:val="clear" w:color="auto" w:fill="auto"/>
            <w:noWrap/>
            <w:vAlign w:val="bottom"/>
            <w:hideMark/>
          </w:tcPr>
          <w:p w14:paraId="54D00C10" w14:textId="77777777" w:rsidR="00087BAB" w:rsidRPr="00ED17D1" w:rsidRDefault="00087BAB" w:rsidP="00ED17D1">
            <w:pPr>
              <w:spacing w:line="240" w:lineRule="auto"/>
              <w:ind w:firstLine="0"/>
              <w:jc w:val="center"/>
              <w:rPr>
                <w:rFonts w:ascii="Tahoma" w:eastAsia="Times New Roman" w:hAnsi="Tahoma" w:cs="Tahoma"/>
                <w:szCs w:val="24"/>
                <w:lang w:val="es-CO" w:eastAsia="es-CO"/>
              </w:rPr>
            </w:pPr>
            <w:r w:rsidRPr="00ED17D1">
              <w:rPr>
                <w:rFonts w:ascii="Tahoma" w:eastAsia="Times New Roman" w:hAnsi="Tahoma" w:cs="Tahoma"/>
                <w:szCs w:val="24"/>
                <w:lang w:val="es-CO" w:eastAsia="es-CO"/>
              </w:rPr>
              <w:t xml:space="preserve">14,00  </w:t>
            </w:r>
          </w:p>
        </w:tc>
        <w:tc>
          <w:tcPr>
            <w:tcW w:w="1476" w:type="dxa"/>
            <w:tcBorders>
              <w:top w:val="nil"/>
              <w:left w:val="nil"/>
              <w:bottom w:val="single" w:sz="4" w:space="0" w:color="003366"/>
              <w:right w:val="single" w:sz="4" w:space="0" w:color="003366"/>
            </w:tcBorders>
            <w:shd w:val="clear" w:color="auto" w:fill="auto"/>
            <w:vAlign w:val="bottom"/>
            <w:hideMark/>
          </w:tcPr>
          <w:p w14:paraId="4C6BA7CA" w14:textId="77777777" w:rsidR="00087BAB" w:rsidRPr="00ED17D1" w:rsidRDefault="00087BAB" w:rsidP="00ED17D1">
            <w:pPr>
              <w:spacing w:line="240" w:lineRule="auto"/>
              <w:ind w:firstLine="0"/>
              <w:jc w:val="center"/>
              <w:rPr>
                <w:rFonts w:ascii="Tahoma" w:eastAsia="Times New Roman" w:hAnsi="Tahoma" w:cs="Tahoma"/>
                <w:szCs w:val="24"/>
                <w:lang w:val="es-CO" w:eastAsia="es-CO"/>
              </w:rPr>
            </w:pPr>
            <w:r w:rsidRPr="00ED17D1">
              <w:rPr>
                <w:rFonts w:ascii="Tahoma" w:eastAsia="Times New Roman" w:hAnsi="Tahoma" w:cs="Tahoma"/>
                <w:szCs w:val="24"/>
                <w:lang w:val="es-CO" w:eastAsia="es-CO"/>
              </w:rPr>
              <w:t>$ 877.803</w:t>
            </w:r>
          </w:p>
        </w:tc>
        <w:tc>
          <w:tcPr>
            <w:tcW w:w="1710" w:type="dxa"/>
            <w:tcBorders>
              <w:top w:val="nil"/>
              <w:left w:val="nil"/>
              <w:bottom w:val="single" w:sz="4" w:space="0" w:color="003366"/>
              <w:right w:val="single" w:sz="4" w:space="0" w:color="003366"/>
            </w:tcBorders>
            <w:shd w:val="clear" w:color="auto" w:fill="auto"/>
            <w:vAlign w:val="bottom"/>
            <w:hideMark/>
          </w:tcPr>
          <w:p w14:paraId="5910D263" w14:textId="77777777" w:rsidR="00087BAB" w:rsidRPr="00ED17D1" w:rsidRDefault="00087BAB" w:rsidP="00ED17D1">
            <w:pPr>
              <w:spacing w:line="240" w:lineRule="auto"/>
              <w:ind w:firstLine="0"/>
              <w:jc w:val="center"/>
              <w:rPr>
                <w:rFonts w:ascii="Tahoma" w:eastAsia="Times New Roman" w:hAnsi="Tahoma" w:cs="Tahoma"/>
                <w:szCs w:val="24"/>
                <w:lang w:val="es-CO" w:eastAsia="es-CO"/>
              </w:rPr>
            </w:pPr>
            <w:r w:rsidRPr="00ED17D1">
              <w:rPr>
                <w:rFonts w:ascii="Tahoma" w:eastAsia="Times New Roman" w:hAnsi="Tahoma" w:cs="Tahoma"/>
                <w:szCs w:val="24"/>
                <w:lang w:val="es-CO" w:eastAsia="es-CO"/>
              </w:rPr>
              <w:t>$ 12.289.242</w:t>
            </w:r>
          </w:p>
        </w:tc>
      </w:tr>
      <w:tr w:rsidR="00087BAB" w:rsidRPr="00ED17D1" w14:paraId="47FE0887" w14:textId="77777777" w:rsidTr="00087BAB">
        <w:trPr>
          <w:trHeight w:val="280"/>
        </w:trPr>
        <w:tc>
          <w:tcPr>
            <w:tcW w:w="11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17EB6" w14:textId="77777777" w:rsidR="00087BAB" w:rsidRPr="00ED17D1" w:rsidRDefault="00087BAB" w:rsidP="00ED17D1">
            <w:pPr>
              <w:spacing w:line="240" w:lineRule="auto"/>
              <w:ind w:firstLine="0"/>
              <w:jc w:val="center"/>
              <w:rPr>
                <w:rFonts w:ascii="Tahoma" w:eastAsia="Times New Roman" w:hAnsi="Tahoma" w:cs="Tahoma"/>
                <w:szCs w:val="24"/>
                <w:lang w:val="es-CO" w:eastAsia="es-CO"/>
              </w:rPr>
            </w:pPr>
            <w:r w:rsidRPr="00ED17D1">
              <w:rPr>
                <w:rFonts w:ascii="Tahoma" w:eastAsia="Times New Roman" w:hAnsi="Tahoma" w:cs="Tahoma"/>
                <w:szCs w:val="24"/>
                <w:lang w:val="es-CO" w:eastAsia="es-CO"/>
              </w:rPr>
              <w:t>2021</w:t>
            </w:r>
          </w:p>
        </w:tc>
        <w:tc>
          <w:tcPr>
            <w:tcW w:w="1159" w:type="dxa"/>
            <w:tcBorders>
              <w:top w:val="single" w:sz="4" w:space="0" w:color="auto"/>
              <w:left w:val="nil"/>
              <w:bottom w:val="single" w:sz="4" w:space="0" w:color="auto"/>
              <w:right w:val="single" w:sz="4" w:space="0" w:color="auto"/>
            </w:tcBorders>
            <w:shd w:val="clear" w:color="auto" w:fill="auto"/>
            <w:noWrap/>
            <w:vAlign w:val="center"/>
            <w:hideMark/>
          </w:tcPr>
          <w:p w14:paraId="71F6DCF6" w14:textId="77777777" w:rsidR="00087BAB" w:rsidRPr="00ED17D1" w:rsidRDefault="00087BAB" w:rsidP="00ED17D1">
            <w:pPr>
              <w:spacing w:line="240" w:lineRule="auto"/>
              <w:ind w:firstLine="0"/>
              <w:jc w:val="right"/>
              <w:rPr>
                <w:rFonts w:ascii="Tahoma" w:eastAsia="Times New Roman" w:hAnsi="Tahoma" w:cs="Tahoma"/>
                <w:color w:val="000000"/>
                <w:szCs w:val="24"/>
                <w:lang w:val="es-CO" w:eastAsia="es-CO"/>
              </w:rPr>
            </w:pPr>
            <w:r w:rsidRPr="00ED17D1">
              <w:rPr>
                <w:rFonts w:ascii="Tahoma" w:eastAsia="Times New Roman" w:hAnsi="Tahoma" w:cs="Tahoma"/>
                <w:color w:val="000000"/>
                <w:szCs w:val="24"/>
                <w:lang w:val="es-CO" w:eastAsia="es-CO"/>
              </w:rPr>
              <w:t>01-ene-21</w:t>
            </w:r>
          </w:p>
        </w:tc>
        <w:tc>
          <w:tcPr>
            <w:tcW w:w="1265" w:type="dxa"/>
            <w:tcBorders>
              <w:top w:val="nil"/>
              <w:left w:val="nil"/>
              <w:bottom w:val="single" w:sz="4" w:space="0" w:color="auto"/>
              <w:right w:val="single" w:sz="4" w:space="0" w:color="auto"/>
            </w:tcBorders>
            <w:shd w:val="clear" w:color="auto" w:fill="auto"/>
            <w:noWrap/>
            <w:vAlign w:val="center"/>
            <w:hideMark/>
          </w:tcPr>
          <w:p w14:paraId="2687C932" w14:textId="77777777" w:rsidR="00087BAB" w:rsidRPr="00ED17D1" w:rsidRDefault="00087BAB" w:rsidP="00ED17D1">
            <w:pPr>
              <w:spacing w:line="240" w:lineRule="auto"/>
              <w:ind w:firstLine="0"/>
              <w:jc w:val="right"/>
              <w:rPr>
                <w:rFonts w:ascii="Tahoma" w:eastAsia="Times New Roman" w:hAnsi="Tahoma" w:cs="Tahoma"/>
                <w:color w:val="000000"/>
                <w:szCs w:val="24"/>
                <w:lang w:val="es-CO" w:eastAsia="es-CO"/>
              </w:rPr>
            </w:pPr>
            <w:r w:rsidRPr="00ED17D1">
              <w:rPr>
                <w:rFonts w:ascii="Tahoma" w:eastAsia="Times New Roman" w:hAnsi="Tahoma" w:cs="Tahoma"/>
                <w:color w:val="000000"/>
                <w:szCs w:val="24"/>
                <w:lang w:val="es-CO" w:eastAsia="es-CO"/>
              </w:rPr>
              <w:t>31-dic-21</w:t>
            </w:r>
          </w:p>
        </w:tc>
        <w:tc>
          <w:tcPr>
            <w:tcW w:w="2399" w:type="dxa"/>
            <w:tcBorders>
              <w:top w:val="single" w:sz="4" w:space="0" w:color="003366"/>
              <w:left w:val="single" w:sz="4" w:space="0" w:color="003366"/>
              <w:bottom w:val="nil"/>
              <w:right w:val="single" w:sz="4" w:space="0" w:color="003366"/>
            </w:tcBorders>
            <w:shd w:val="clear" w:color="auto" w:fill="auto"/>
            <w:noWrap/>
            <w:vAlign w:val="bottom"/>
            <w:hideMark/>
          </w:tcPr>
          <w:p w14:paraId="423E5882" w14:textId="77777777" w:rsidR="00087BAB" w:rsidRPr="00ED17D1" w:rsidRDefault="00087BAB" w:rsidP="00ED17D1">
            <w:pPr>
              <w:spacing w:line="240" w:lineRule="auto"/>
              <w:ind w:firstLine="0"/>
              <w:jc w:val="center"/>
              <w:rPr>
                <w:rFonts w:ascii="Tahoma" w:eastAsia="Times New Roman" w:hAnsi="Tahoma" w:cs="Tahoma"/>
                <w:szCs w:val="24"/>
                <w:lang w:val="es-CO" w:eastAsia="es-CO"/>
              </w:rPr>
            </w:pPr>
            <w:r w:rsidRPr="00ED17D1">
              <w:rPr>
                <w:rFonts w:ascii="Tahoma" w:eastAsia="Times New Roman" w:hAnsi="Tahoma" w:cs="Tahoma"/>
                <w:szCs w:val="24"/>
                <w:lang w:val="es-CO" w:eastAsia="es-CO"/>
              </w:rPr>
              <w:t xml:space="preserve">14,00  </w:t>
            </w:r>
          </w:p>
        </w:tc>
        <w:tc>
          <w:tcPr>
            <w:tcW w:w="1476" w:type="dxa"/>
            <w:tcBorders>
              <w:top w:val="nil"/>
              <w:left w:val="nil"/>
              <w:bottom w:val="single" w:sz="4" w:space="0" w:color="003366"/>
              <w:right w:val="single" w:sz="4" w:space="0" w:color="003366"/>
            </w:tcBorders>
            <w:shd w:val="clear" w:color="auto" w:fill="auto"/>
            <w:vAlign w:val="bottom"/>
            <w:hideMark/>
          </w:tcPr>
          <w:p w14:paraId="6CD648CB" w14:textId="77777777" w:rsidR="00087BAB" w:rsidRPr="00ED17D1" w:rsidRDefault="00087BAB" w:rsidP="00ED17D1">
            <w:pPr>
              <w:spacing w:line="240" w:lineRule="auto"/>
              <w:ind w:firstLine="0"/>
              <w:jc w:val="center"/>
              <w:rPr>
                <w:rFonts w:ascii="Tahoma" w:eastAsia="Times New Roman" w:hAnsi="Tahoma" w:cs="Tahoma"/>
                <w:szCs w:val="24"/>
                <w:lang w:val="es-CO" w:eastAsia="es-CO"/>
              </w:rPr>
            </w:pPr>
            <w:r w:rsidRPr="00ED17D1">
              <w:rPr>
                <w:rFonts w:ascii="Tahoma" w:eastAsia="Times New Roman" w:hAnsi="Tahoma" w:cs="Tahoma"/>
                <w:szCs w:val="24"/>
                <w:lang w:val="es-CO" w:eastAsia="es-CO"/>
              </w:rPr>
              <w:t>$ 908.526</w:t>
            </w:r>
          </w:p>
        </w:tc>
        <w:tc>
          <w:tcPr>
            <w:tcW w:w="1710" w:type="dxa"/>
            <w:tcBorders>
              <w:top w:val="nil"/>
              <w:left w:val="nil"/>
              <w:bottom w:val="single" w:sz="4" w:space="0" w:color="003366"/>
              <w:right w:val="single" w:sz="4" w:space="0" w:color="003366"/>
            </w:tcBorders>
            <w:shd w:val="clear" w:color="auto" w:fill="auto"/>
            <w:vAlign w:val="bottom"/>
            <w:hideMark/>
          </w:tcPr>
          <w:p w14:paraId="73B37E37" w14:textId="77777777" w:rsidR="00087BAB" w:rsidRPr="00ED17D1" w:rsidRDefault="00087BAB" w:rsidP="00ED17D1">
            <w:pPr>
              <w:spacing w:line="240" w:lineRule="auto"/>
              <w:ind w:firstLine="0"/>
              <w:jc w:val="center"/>
              <w:rPr>
                <w:rFonts w:ascii="Tahoma" w:eastAsia="Times New Roman" w:hAnsi="Tahoma" w:cs="Tahoma"/>
                <w:szCs w:val="24"/>
                <w:lang w:val="es-CO" w:eastAsia="es-CO"/>
              </w:rPr>
            </w:pPr>
            <w:r w:rsidRPr="00ED17D1">
              <w:rPr>
                <w:rFonts w:ascii="Tahoma" w:eastAsia="Times New Roman" w:hAnsi="Tahoma" w:cs="Tahoma"/>
                <w:szCs w:val="24"/>
                <w:lang w:val="es-CO" w:eastAsia="es-CO"/>
              </w:rPr>
              <w:t>$ 12.719.364</w:t>
            </w:r>
          </w:p>
        </w:tc>
      </w:tr>
      <w:tr w:rsidR="00087BAB" w:rsidRPr="00ED17D1" w14:paraId="437F4429" w14:textId="77777777" w:rsidTr="00087BAB">
        <w:trPr>
          <w:trHeight w:val="280"/>
        </w:trPr>
        <w:tc>
          <w:tcPr>
            <w:tcW w:w="1107" w:type="dxa"/>
            <w:tcBorders>
              <w:top w:val="nil"/>
              <w:left w:val="single" w:sz="4" w:space="0" w:color="auto"/>
              <w:bottom w:val="nil"/>
              <w:right w:val="single" w:sz="4" w:space="0" w:color="auto"/>
            </w:tcBorders>
            <w:shd w:val="clear" w:color="auto" w:fill="auto"/>
            <w:noWrap/>
            <w:vAlign w:val="bottom"/>
            <w:hideMark/>
          </w:tcPr>
          <w:p w14:paraId="779A0951" w14:textId="77777777" w:rsidR="00087BAB" w:rsidRPr="00ED17D1" w:rsidRDefault="00087BAB" w:rsidP="00ED17D1">
            <w:pPr>
              <w:spacing w:line="240" w:lineRule="auto"/>
              <w:ind w:firstLine="0"/>
              <w:jc w:val="center"/>
              <w:rPr>
                <w:rFonts w:ascii="Tahoma" w:eastAsia="Times New Roman" w:hAnsi="Tahoma" w:cs="Tahoma"/>
                <w:szCs w:val="24"/>
                <w:lang w:val="es-CO" w:eastAsia="es-CO"/>
              </w:rPr>
            </w:pPr>
            <w:r w:rsidRPr="00ED17D1">
              <w:rPr>
                <w:rFonts w:ascii="Tahoma" w:eastAsia="Times New Roman" w:hAnsi="Tahoma" w:cs="Tahoma"/>
                <w:szCs w:val="24"/>
                <w:lang w:val="es-CO" w:eastAsia="es-CO"/>
              </w:rPr>
              <w:t>2022</w:t>
            </w:r>
          </w:p>
        </w:tc>
        <w:tc>
          <w:tcPr>
            <w:tcW w:w="1159" w:type="dxa"/>
            <w:tcBorders>
              <w:top w:val="nil"/>
              <w:left w:val="nil"/>
              <w:bottom w:val="nil"/>
              <w:right w:val="single" w:sz="4" w:space="0" w:color="auto"/>
            </w:tcBorders>
            <w:shd w:val="clear" w:color="auto" w:fill="auto"/>
            <w:noWrap/>
            <w:vAlign w:val="center"/>
            <w:hideMark/>
          </w:tcPr>
          <w:p w14:paraId="6B64664E" w14:textId="77777777" w:rsidR="00087BAB" w:rsidRPr="00ED17D1" w:rsidRDefault="00087BAB" w:rsidP="00ED17D1">
            <w:pPr>
              <w:spacing w:line="240" w:lineRule="auto"/>
              <w:ind w:firstLine="0"/>
              <w:jc w:val="right"/>
              <w:rPr>
                <w:rFonts w:ascii="Tahoma" w:eastAsia="Times New Roman" w:hAnsi="Tahoma" w:cs="Tahoma"/>
                <w:color w:val="000000"/>
                <w:szCs w:val="24"/>
                <w:lang w:val="es-CO" w:eastAsia="es-CO"/>
              </w:rPr>
            </w:pPr>
            <w:r w:rsidRPr="00ED17D1">
              <w:rPr>
                <w:rFonts w:ascii="Tahoma" w:eastAsia="Times New Roman" w:hAnsi="Tahoma" w:cs="Tahoma"/>
                <w:color w:val="000000"/>
                <w:szCs w:val="24"/>
                <w:lang w:val="es-CO" w:eastAsia="es-CO"/>
              </w:rPr>
              <w:t>01-ene-22</w:t>
            </w:r>
          </w:p>
        </w:tc>
        <w:tc>
          <w:tcPr>
            <w:tcW w:w="1265" w:type="dxa"/>
            <w:tcBorders>
              <w:top w:val="nil"/>
              <w:left w:val="nil"/>
              <w:bottom w:val="single" w:sz="4" w:space="0" w:color="auto"/>
              <w:right w:val="single" w:sz="4" w:space="0" w:color="auto"/>
            </w:tcBorders>
            <w:shd w:val="clear" w:color="auto" w:fill="auto"/>
            <w:noWrap/>
            <w:vAlign w:val="center"/>
            <w:hideMark/>
          </w:tcPr>
          <w:p w14:paraId="05B59E2C" w14:textId="77777777" w:rsidR="00087BAB" w:rsidRPr="00ED17D1" w:rsidRDefault="00087BAB" w:rsidP="00ED17D1">
            <w:pPr>
              <w:spacing w:line="240" w:lineRule="auto"/>
              <w:ind w:firstLine="0"/>
              <w:jc w:val="right"/>
              <w:rPr>
                <w:rFonts w:ascii="Tahoma" w:eastAsia="Times New Roman" w:hAnsi="Tahoma" w:cs="Tahoma"/>
                <w:color w:val="000000"/>
                <w:szCs w:val="24"/>
                <w:lang w:val="es-CO" w:eastAsia="es-CO"/>
              </w:rPr>
            </w:pPr>
            <w:r w:rsidRPr="00ED17D1">
              <w:rPr>
                <w:rFonts w:ascii="Tahoma" w:eastAsia="Times New Roman" w:hAnsi="Tahoma" w:cs="Tahoma"/>
                <w:color w:val="000000"/>
                <w:szCs w:val="24"/>
                <w:lang w:val="es-CO" w:eastAsia="es-CO"/>
              </w:rPr>
              <w:t>31-dic-22</w:t>
            </w:r>
          </w:p>
        </w:tc>
        <w:tc>
          <w:tcPr>
            <w:tcW w:w="2399" w:type="dxa"/>
            <w:tcBorders>
              <w:top w:val="single" w:sz="4" w:space="0" w:color="003366"/>
              <w:left w:val="single" w:sz="4" w:space="0" w:color="003366"/>
              <w:bottom w:val="nil"/>
              <w:right w:val="single" w:sz="4" w:space="0" w:color="003366"/>
            </w:tcBorders>
            <w:shd w:val="clear" w:color="auto" w:fill="auto"/>
            <w:noWrap/>
            <w:vAlign w:val="bottom"/>
            <w:hideMark/>
          </w:tcPr>
          <w:p w14:paraId="2381BDC0" w14:textId="77777777" w:rsidR="00087BAB" w:rsidRPr="00ED17D1" w:rsidRDefault="00087BAB" w:rsidP="00ED17D1">
            <w:pPr>
              <w:spacing w:line="240" w:lineRule="auto"/>
              <w:ind w:firstLine="0"/>
              <w:jc w:val="center"/>
              <w:rPr>
                <w:rFonts w:ascii="Tahoma" w:eastAsia="Times New Roman" w:hAnsi="Tahoma" w:cs="Tahoma"/>
                <w:szCs w:val="24"/>
                <w:lang w:val="es-CO" w:eastAsia="es-CO"/>
              </w:rPr>
            </w:pPr>
            <w:r w:rsidRPr="00ED17D1">
              <w:rPr>
                <w:rFonts w:ascii="Tahoma" w:eastAsia="Times New Roman" w:hAnsi="Tahoma" w:cs="Tahoma"/>
                <w:szCs w:val="24"/>
                <w:lang w:val="es-CO" w:eastAsia="es-CO"/>
              </w:rPr>
              <w:t xml:space="preserve">14,00  </w:t>
            </w:r>
          </w:p>
        </w:tc>
        <w:tc>
          <w:tcPr>
            <w:tcW w:w="1476" w:type="dxa"/>
            <w:tcBorders>
              <w:top w:val="nil"/>
              <w:left w:val="nil"/>
              <w:bottom w:val="single" w:sz="4" w:space="0" w:color="003366"/>
              <w:right w:val="single" w:sz="4" w:space="0" w:color="003366"/>
            </w:tcBorders>
            <w:shd w:val="clear" w:color="auto" w:fill="auto"/>
            <w:vAlign w:val="bottom"/>
            <w:hideMark/>
          </w:tcPr>
          <w:p w14:paraId="43593854" w14:textId="77777777" w:rsidR="00087BAB" w:rsidRPr="00ED17D1" w:rsidRDefault="00087BAB" w:rsidP="00ED17D1">
            <w:pPr>
              <w:spacing w:line="240" w:lineRule="auto"/>
              <w:ind w:firstLine="0"/>
              <w:jc w:val="center"/>
              <w:rPr>
                <w:rFonts w:ascii="Tahoma" w:eastAsia="Times New Roman" w:hAnsi="Tahoma" w:cs="Tahoma"/>
                <w:szCs w:val="24"/>
                <w:lang w:val="es-CO" w:eastAsia="es-CO"/>
              </w:rPr>
            </w:pPr>
            <w:r w:rsidRPr="00ED17D1">
              <w:rPr>
                <w:rFonts w:ascii="Tahoma" w:eastAsia="Times New Roman" w:hAnsi="Tahoma" w:cs="Tahoma"/>
                <w:szCs w:val="24"/>
                <w:lang w:val="es-CO" w:eastAsia="es-CO"/>
              </w:rPr>
              <w:t>$ 1.000.000</w:t>
            </w:r>
          </w:p>
        </w:tc>
        <w:tc>
          <w:tcPr>
            <w:tcW w:w="1710" w:type="dxa"/>
            <w:tcBorders>
              <w:top w:val="nil"/>
              <w:left w:val="nil"/>
              <w:bottom w:val="single" w:sz="4" w:space="0" w:color="003366"/>
              <w:right w:val="single" w:sz="4" w:space="0" w:color="003366"/>
            </w:tcBorders>
            <w:shd w:val="clear" w:color="auto" w:fill="auto"/>
            <w:vAlign w:val="bottom"/>
            <w:hideMark/>
          </w:tcPr>
          <w:p w14:paraId="50D2D697" w14:textId="77777777" w:rsidR="00087BAB" w:rsidRPr="00ED17D1" w:rsidRDefault="00087BAB" w:rsidP="00ED17D1">
            <w:pPr>
              <w:spacing w:line="240" w:lineRule="auto"/>
              <w:ind w:firstLine="0"/>
              <w:jc w:val="center"/>
              <w:rPr>
                <w:rFonts w:ascii="Tahoma" w:eastAsia="Times New Roman" w:hAnsi="Tahoma" w:cs="Tahoma"/>
                <w:szCs w:val="24"/>
                <w:lang w:val="es-CO" w:eastAsia="es-CO"/>
              </w:rPr>
            </w:pPr>
            <w:r w:rsidRPr="00ED17D1">
              <w:rPr>
                <w:rFonts w:ascii="Tahoma" w:eastAsia="Times New Roman" w:hAnsi="Tahoma" w:cs="Tahoma"/>
                <w:szCs w:val="24"/>
                <w:lang w:val="es-CO" w:eastAsia="es-CO"/>
              </w:rPr>
              <w:t>$ 14.000.000</w:t>
            </w:r>
          </w:p>
        </w:tc>
      </w:tr>
      <w:tr w:rsidR="00087BAB" w:rsidRPr="00ED17D1" w14:paraId="608979D4" w14:textId="77777777" w:rsidTr="00087BAB">
        <w:trPr>
          <w:trHeight w:val="280"/>
        </w:trPr>
        <w:tc>
          <w:tcPr>
            <w:tcW w:w="11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6A28E" w14:textId="77777777" w:rsidR="00087BAB" w:rsidRPr="00ED17D1" w:rsidRDefault="00087BAB" w:rsidP="00ED17D1">
            <w:pPr>
              <w:spacing w:line="240" w:lineRule="auto"/>
              <w:ind w:firstLine="0"/>
              <w:jc w:val="center"/>
              <w:rPr>
                <w:rFonts w:ascii="Tahoma" w:eastAsia="Times New Roman" w:hAnsi="Tahoma" w:cs="Tahoma"/>
                <w:szCs w:val="24"/>
                <w:lang w:val="es-CO" w:eastAsia="es-CO"/>
              </w:rPr>
            </w:pPr>
            <w:r w:rsidRPr="00ED17D1">
              <w:rPr>
                <w:rFonts w:ascii="Tahoma" w:eastAsia="Times New Roman" w:hAnsi="Tahoma" w:cs="Tahoma"/>
                <w:szCs w:val="24"/>
                <w:lang w:val="es-CO" w:eastAsia="es-CO"/>
              </w:rPr>
              <w:t>2023</w:t>
            </w:r>
          </w:p>
        </w:tc>
        <w:tc>
          <w:tcPr>
            <w:tcW w:w="1159" w:type="dxa"/>
            <w:tcBorders>
              <w:top w:val="single" w:sz="4" w:space="0" w:color="auto"/>
              <w:left w:val="nil"/>
              <w:bottom w:val="single" w:sz="4" w:space="0" w:color="auto"/>
              <w:right w:val="single" w:sz="4" w:space="0" w:color="auto"/>
            </w:tcBorders>
            <w:shd w:val="clear" w:color="auto" w:fill="auto"/>
            <w:noWrap/>
            <w:vAlign w:val="center"/>
            <w:hideMark/>
          </w:tcPr>
          <w:p w14:paraId="7076C3E7" w14:textId="77777777" w:rsidR="00087BAB" w:rsidRPr="00ED17D1" w:rsidRDefault="00087BAB" w:rsidP="00ED17D1">
            <w:pPr>
              <w:spacing w:line="240" w:lineRule="auto"/>
              <w:ind w:firstLine="0"/>
              <w:jc w:val="right"/>
              <w:rPr>
                <w:rFonts w:ascii="Tahoma" w:eastAsia="Times New Roman" w:hAnsi="Tahoma" w:cs="Tahoma"/>
                <w:color w:val="000000"/>
                <w:szCs w:val="24"/>
                <w:lang w:val="es-CO" w:eastAsia="es-CO"/>
              </w:rPr>
            </w:pPr>
            <w:r w:rsidRPr="00ED17D1">
              <w:rPr>
                <w:rFonts w:ascii="Tahoma" w:eastAsia="Times New Roman" w:hAnsi="Tahoma" w:cs="Tahoma"/>
                <w:color w:val="000000"/>
                <w:szCs w:val="24"/>
                <w:lang w:val="es-CO" w:eastAsia="es-CO"/>
              </w:rPr>
              <w:t>01-ene-23</w:t>
            </w:r>
          </w:p>
        </w:tc>
        <w:tc>
          <w:tcPr>
            <w:tcW w:w="1265" w:type="dxa"/>
            <w:tcBorders>
              <w:top w:val="nil"/>
              <w:left w:val="nil"/>
              <w:bottom w:val="single" w:sz="4" w:space="0" w:color="auto"/>
              <w:right w:val="single" w:sz="4" w:space="0" w:color="auto"/>
            </w:tcBorders>
            <w:shd w:val="clear" w:color="auto" w:fill="auto"/>
            <w:noWrap/>
            <w:vAlign w:val="center"/>
            <w:hideMark/>
          </w:tcPr>
          <w:p w14:paraId="1746561A" w14:textId="77777777" w:rsidR="00087BAB" w:rsidRPr="00ED17D1" w:rsidRDefault="00087BAB" w:rsidP="00ED17D1">
            <w:pPr>
              <w:spacing w:line="240" w:lineRule="auto"/>
              <w:ind w:firstLine="0"/>
              <w:jc w:val="right"/>
              <w:rPr>
                <w:rFonts w:ascii="Tahoma" w:eastAsia="Times New Roman" w:hAnsi="Tahoma" w:cs="Tahoma"/>
                <w:color w:val="000000"/>
                <w:szCs w:val="24"/>
                <w:lang w:val="es-CO" w:eastAsia="es-CO"/>
              </w:rPr>
            </w:pPr>
            <w:r w:rsidRPr="00ED17D1">
              <w:rPr>
                <w:rFonts w:ascii="Tahoma" w:eastAsia="Times New Roman" w:hAnsi="Tahoma" w:cs="Tahoma"/>
                <w:color w:val="000000"/>
                <w:szCs w:val="24"/>
                <w:lang w:val="es-CO" w:eastAsia="es-CO"/>
              </w:rPr>
              <w:t>31-may-23</w:t>
            </w:r>
          </w:p>
        </w:tc>
        <w:tc>
          <w:tcPr>
            <w:tcW w:w="2399" w:type="dxa"/>
            <w:tcBorders>
              <w:top w:val="single" w:sz="4" w:space="0" w:color="auto"/>
              <w:left w:val="nil"/>
              <w:bottom w:val="nil"/>
              <w:right w:val="single" w:sz="4" w:space="0" w:color="auto"/>
            </w:tcBorders>
            <w:shd w:val="clear" w:color="auto" w:fill="auto"/>
            <w:noWrap/>
            <w:vAlign w:val="bottom"/>
            <w:hideMark/>
          </w:tcPr>
          <w:p w14:paraId="0061ED8E" w14:textId="77777777" w:rsidR="00087BAB" w:rsidRPr="00ED17D1" w:rsidRDefault="00087BAB" w:rsidP="00ED17D1">
            <w:pPr>
              <w:spacing w:line="240" w:lineRule="auto"/>
              <w:ind w:firstLine="0"/>
              <w:jc w:val="center"/>
              <w:rPr>
                <w:rFonts w:ascii="Tahoma" w:eastAsia="Times New Roman" w:hAnsi="Tahoma" w:cs="Tahoma"/>
                <w:szCs w:val="24"/>
                <w:lang w:val="es-CO" w:eastAsia="es-CO"/>
              </w:rPr>
            </w:pPr>
            <w:r w:rsidRPr="00ED17D1">
              <w:rPr>
                <w:rFonts w:ascii="Tahoma" w:eastAsia="Times New Roman" w:hAnsi="Tahoma" w:cs="Tahoma"/>
                <w:szCs w:val="24"/>
                <w:lang w:val="es-CO" w:eastAsia="es-CO"/>
              </w:rPr>
              <w:t xml:space="preserve">5,00  </w:t>
            </w:r>
          </w:p>
        </w:tc>
        <w:tc>
          <w:tcPr>
            <w:tcW w:w="1476" w:type="dxa"/>
            <w:tcBorders>
              <w:top w:val="nil"/>
              <w:left w:val="nil"/>
              <w:bottom w:val="single" w:sz="4" w:space="0" w:color="003366"/>
              <w:right w:val="single" w:sz="4" w:space="0" w:color="003366"/>
            </w:tcBorders>
            <w:shd w:val="clear" w:color="auto" w:fill="auto"/>
            <w:vAlign w:val="bottom"/>
            <w:hideMark/>
          </w:tcPr>
          <w:p w14:paraId="47E3065A" w14:textId="77777777" w:rsidR="00087BAB" w:rsidRPr="00ED17D1" w:rsidRDefault="00087BAB" w:rsidP="00ED17D1">
            <w:pPr>
              <w:spacing w:line="240" w:lineRule="auto"/>
              <w:ind w:firstLine="0"/>
              <w:jc w:val="center"/>
              <w:rPr>
                <w:rFonts w:ascii="Tahoma" w:eastAsia="Times New Roman" w:hAnsi="Tahoma" w:cs="Tahoma"/>
                <w:szCs w:val="24"/>
                <w:lang w:val="es-CO" w:eastAsia="es-CO"/>
              </w:rPr>
            </w:pPr>
            <w:r w:rsidRPr="00ED17D1">
              <w:rPr>
                <w:rFonts w:ascii="Tahoma" w:eastAsia="Times New Roman" w:hAnsi="Tahoma" w:cs="Tahoma"/>
                <w:szCs w:val="24"/>
                <w:lang w:val="es-CO" w:eastAsia="es-CO"/>
              </w:rPr>
              <w:t>$ 1.160.000</w:t>
            </w:r>
          </w:p>
        </w:tc>
        <w:tc>
          <w:tcPr>
            <w:tcW w:w="1710" w:type="dxa"/>
            <w:tcBorders>
              <w:top w:val="nil"/>
              <w:left w:val="nil"/>
              <w:bottom w:val="single" w:sz="4" w:space="0" w:color="003366"/>
              <w:right w:val="single" w:sz="4" w:space="0" w:color="003366"/>
            </w:tcBorders>
            <w:shd w:val="clear" w:color="auto" w:fill="auto"/>
            <w:vAlign w:val="bottom"/>
            <w:hideMark/>
          </w:tcPr>
          <w:p w14:paraId="6B777326" w14:textId="77777777" w:rsidR="00087BAB" w:rsidRPr="00ED17D1" w:rsidRDefault="00087BAB" w:rsidP="00ED17D1">
            <w:pPr>
              <w:spacing w:line="240" w:lineRule="auto"/>
              <w:ind w:firstLine="0"/>
              <w:jc w:val="center"/>
              <w:rPr>
                <w:rFonts w:ascii="Tahoma" w:eastAsia="Times New Roman" w:hAnsi="Tahoma" w:cs="Tahoma"/>
                <w:szCs w:val="24"/>
                <w:lang w:val="es-CO" w:eastAsia="es-CO"/>
              </w:rPr>
            </w:pPr>
            <w:r w:rsidRPr="00ED17D1">
              <w:rPr>
                <w:rFonts w:ascii="Tahoma" w:eastAsia="Times New Roman" w:hAnsi="Tahoma" w:cs="Tahoma"/>
                <w:szCs w:val="24"/>
                <w:lang w:val="es-CO" w:eastAsia="es-CO"/>
              </w:rPr>
              <w:t>$ 5.800.000</w:t>
            </w:r>
          </w:p>
        </w:tc>
      </w:tr>
      <w:tr w:rsidR="00087BAB" w:rsidRPr="00ED17D1" w14:paraId="6101C8CB" w14:textId="77777777" w:rsidTr="00087BAB">
        <w:trPr>
          <w:trHeight w:val="280"/>
        </w:trPr>
        <w:tc>
          <w:tcPr>
            <w:tcW w:w="5931" w:type="dxa"/>
            <w:gridSpan w:val="4"/>
            <w:tcBorders>
              <w:top w:val="single" w:sz="4" w:space="0" w:color="auto"/>
              <w:left w:val="single" w:sz="4" w:space="0" w:color="auto"/>
              <w:bottom w:val="single" w:sz="4" w:space="0" w:color="auto"/>
              <w:right w:val="nil"/>
            </w:tcBorders>
            <w:shd w:val="clear" w:color="auto" w:fill="auto"/>
            <w:noWrap/>
            <w:vAlign w:val="bottom"/>
            <w:hideMark/>
          </w:tcPr>
          <w:p w14:paraId="1513B221" w14:textId="3BFB4BFD" w:rsidR="00087BAB" w:rsidRPr="00ED17D1" w:rsidRDefault="00087BAB" w:rsidP="00ED17D1">
            <w:pPr>
              <w:spacing w:line="240" w:lineRule="auto"/>
              <w:ind w:firstLine="0"/>
              <w:jc w:val="center"/>
              <w:rPr>
                <w:rFonts w:ascii="Tahoma" w:eastAsia="Times New Roman" w:hAnsi="Tahoma" w:cs="Tahoma"/>
                <w:b/>
                <w:bCs/>
                <w:color w:val="000000"/>
                <w:szCs w:val="24"/>
                <w:lang w:val="es-CO" w:eastAsia="es-CO"/>
              </w:rPr>
            </w:pPr>
            <w:r w:rsidRPr="00ED17D1">
              <w:rPr>
                <w:rFonts w:ascii="Tahoma" w:eastAsia="Times New Roman" w:hAnsi="Tahoma" w:cs="Tahoma"/>
                <w:b/>
                <w:bCs/>
                <w:color w:val="000000"/>
                <w:szCs w:val="24"/>
                <w:lang w:val="es-CO" w:eastAsia="es-CO"/>
              </w:rPr>
              <w:t>RETROACTIVO HASTA EL 31 DE MAYO DE 2023</w:t>
            </w:r>
          </w:p>
        </w:tc>
        <w:tc>
          <w:tcPr>
            <w:tcW w:w="1476" w:type="dxa"/>
            <w:tcBorders>
              <w:top w:val="single" w:sz="4" w:space="0" w:color="auto"/>
              <w:left w:val="nil"/>
              <w:bottom w:val="single" w:sz="4" w:space="0" w:color="auto"/>
              <w:right w:val="nil"/>
            </w:tcBorders>
            <w:shd w:val="clear" w:color="auto" w:fill="auto"/>
            <w:noWrap/>
            <w:vAlign w:val="bottom"/>
            <w:hideMark/>
          </w:tcPr>
          <w:p w14:paraId="2FA555FC" w14:textId="77777777" w:rsidR="00087BAB" w:rsidRPr="00ED17D1" w:rsidRDefault="00087BAB" w:rsidP="00ED17D1">
            <w:pPr>
              <w:spacing w:line="240" w:lineRule="auto"/>
              <w:ind w:firstLine="0"/>
              <w:jc w:val="center"/>
              <w:rPr>
                <w:rFonts w:ascii="Tahoma" w:eastAsia="Times New Roman" w:hAnsi="Tahoma" w:cs="Tahoma"/>
                <w:b/>
                <w:bCs/>
                <w:color w:val="000000"/>
                <w:szCs w:val="24"/>
                <w:lang w:val="es-CO" w:eastAsia="es-CO"/>
              </w:rPr>
            </w:pPr>
            <w:r w:rsidRPr="00ED17D1">
              <w:rPr>
                <w:rFonts w:ascii="Tahoma" w:eastAsia="Times New Roman" w:hAnsi="Tahoma" w:cs="Tahoma"/>
                <w:b/>
                <w:bCs/>
                <w:color w:val="000000"/>
                <w:szCs w:val="24"/>
                <w:lang w:val="es-CO" w:eastAsia="es-CO"/>
              </w:rPr>
              <w:t>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06EA6" w14:textId="77777777" w:rsidR="00087BAB" w:rsidRPr="00ED17D1" w:rsidRDefault="00087BAB" w:rsidP="00ED17D1">
            <w:pPr>
              <w:spacing w:line="240" w:lineRule="auto"/>
              <w:ind w:firstLine="0"/>
              <w:jc w:val="left"/>
              <w:rPr>
                <w:rFonts w:ascii="Tahoma" w:eastAsia="Times New Roman" w:hAnsi="Tahoma" w:cs="Tahoma"/>
                <w:b/>
                <w:bCs/>
                <w:color w:val="000000"/>
                <w:szCs w:val="24"/>
                <w:lang w:val="es-CO" w:eastAsia="es-CO"/>
              </w:rPr>
            </w:pPr>
            <w:r w:rsidRPr="00ED17D1">
              <w:rPr>
                <w:rFonts w:ascii="Tahoma" w:eastAsia="Times New Roman" w:hAnsi="Tahoma" w:cs="Tahoma"/>
                <w:b/>
                <w:bCs/>
                <w:color w:val="000000"/>
                <w:szCs w:val="24"/>
                <w:lang w:val="es-CO" w:eastAsia="es-CO"/>
              </w:rPr>
              <w:t xml:space="preserve">         77.350.438 </w:t>
            </w:r>
          </w:p>
        </w:tc>
      </w:tr>
    </w:tbl>
    <w:p w14:paraId="4C2B2E49" w14:textId="6003A8B6" w:rsidR="00F314F1" w:rsidRPr="00842145" w:rsidRDefault="00345D77" w:rsidP="00842145">
      <w:pPr>
        <w:tabs>
          <w:tab w:val="left" w:pos="0"/>
        </w:tabs>
        <w:spacing w:line="276" w:lineRule="auto"/>
        <w:ind w:firstLine="0"/>
        <w:rPr>
          <w:rFonts w:ascii="Tahoma" w:hAnsi="Tahoma" w:cs="Tahoma"/>
          <w:sz w:val="24"/>
          <w:szCs w:val="24"/>
        </w:rPr>
      </w:pPr>
      <w:r w:rsidRPr="00842145">
        <w:rPr>
          <w:rFonts w:ascii="Tahoma" w:hAnsi="Tahoma" w:cs="Tahoma"/>
          <w:sz w:val="24"/>
          <w:szCs w:val="24"/>
        </w:rPr>
        <w:tab/>
      </w:r>
    </w:p>
    <w:p w14:paraId="45559B73" w14:textId="0701F421" w:rsidR="00345D77" w:rsidRPr="00842145" w:rsidRDefault="797608F2" w:rsidP="00842145">
      <w:pPr>
        <w:spacing w:line="276" w:lineRule="auto"/>
        <w:ind w:firstLine="708"/>
        <w:rPr>
          <w:rFonts w:ascii="Tahoma" w:hAnsi="Tahoma" w:cs="Tahoma"/>
          <w:sz w:val="24"/>
          <w:szCs w:val="24"/>
        </w:rPr>
      </w:pPr>
      <w:r w:rsidRPr="00842145">
        <w:rPr>
          <w:rFonts w:ascii="Tahoma" w:hAnsi="Tahoma" w:cs="Tahoma"/>
          <w:sz w:val="24"/>
          <w:szCs w:val="24"/>
        </w:rPr>
        <w:t xml:space="preserve">En este punto, preciso es aclarar que </w:t>
      </w:r>
      <w:r w:rsidR="21B6577F" w:rsidRPr="00842145">
        <w:rPr>
          <w:rFonts w:ascii="Tahoma" w:hAnsi="Tahoma" w:cs="Tahoma"/>
          <w:sz w:val="24"/>
          <w:szCs w:val="24"/>
        </w:rPr>
        <w:t>se encuentra acertada la decisión de supeditar</w:t>
      </w:r>
      <w:r w:rsidRPr="00842145">
        <w:rPr>
          <w:rFonts w:ascii="Tahoma" w:hAnsi="Tahoma" w:cs="Tahoma"/>
          <w:sz w:val="24"/>
          <w:szCs w:val="24"/>
        </w:rPr>
        <w:t xml:space="preserve"> el reconocimiento pensional al pago del cálculo actuarial por parte del </w:t>
      </w:r>
      <w:r w:rsidRPr="00842145">
        <w:rPr>
          <w:rFonts w:ascii="Tahoma" w:hAnsi="Tahoma" w:cs="Tahoma"/>
          <w:sz w:val="24"/>
          <w:szCs w:val="24"/>
        </w:rPr>
        <w:lastRenderedPageBreak/>
        <w:t>empleador omisivo</w:t>
      </w:r>
      <w:r w:rsidR="0B57C0B6" w:rsidRPr="00842145">
        <w:rPr>
          <w:rFonts w:ascii="Tahoma" w:hAnsi="Tahoma" w:cs="Tahoma"/>
          <w:sz w:val="24"/>
          <w:szCs w:val="24"/>
        </w:rPr>
        <w:t>, otorgándosele un mes para expedir el acto administrativo correspondiente y pagar la prestación, una vez se haya efectuado e</w:t>
      </w:r>
      <w:bookmarkStart w:id="2" w:name="_GoBack"/>
      <w:bookmarkEnd w:id="2"/>
      <w:r w:rsidR="0B57C0B6" w:rsidRPr="00842145">
        <w:rPr>
          <w:rFonts w:ascii="Tahoma" w:hAnsi="Tahoma" w:cs="Tahoma"/>
          <w:sz w:val="24"/>
          <w:szCs w:val="24"/>
        </w:rPr>
        <w:t>l pago del título por parte del Banco de Bogotá</w:t>
      </w:r>
      <w:r w:rsidRPr="00842145">
        <w:rPr>
          <w:rFonts w:ascii="Tahoma" w:hAnsi="Tahoma" w:cs="Tahoma"/>
          <w:sz w:val="24"/>
          <w:szCs w:val="24"/>
        </w:rPr>
        <w:t xml:space="preserve">, en la medida que </w:t>
      </w:r>
      <w:r w:rsidR="21B6577F" w:rsidRPr="00842145">
        <w:rPr>
          <w:rFonts w:ascii="Tahoma" w:hAnsi="Tahoma" w:cs="Tahoma"/>
          <w:sz w:val="24"/>
          <w:szCs w:val="24"/>
        </w:rPr>
        <w:t>solamente con</w:t>
      </w:r>
      <w:r w:rsidRPr="00842145">
        <w:rPr>
          <w:rFonts w:ascii="Tahoma" w:hAnsi="Tahoma" w:cs="Tahoma"/>
          <w:sz w:val="24"/>
          <w:szCs w:val="24"/>
        </w:rPr>
        <w:t xml:space="preserve"> las semanas correspondientes a la falta de afiliación, </w:t>
      </w:r>
      <w:r w:rsidR="21B6577F" w:rsidRPr="00842145">
        <w:rPr>
          <w:rFonts w:ascii="Tahoma" w:hAnsi="Tahoma" w:cs="Tahoma"/>
          <w:sz w:val="24"/>
          <w:szCs w:val="24"/>
        </w:rPr>
        <w:t xml:space="preserve">se estructura la pensión </w:t>
      </w:r>
      <w:r w:rsidR="08F5CA2C" w:rsidRPr="00842145">
        <w:rPr>
          <w:rFonts w:ascii="Tahoma" w:hAnsi="Tahoma" w:cs="Tahoma"/>
          <w:sz w:val="24"/>
          <w:szCs w:val="24"/>
        </w:rPr>
        <w:t>conforme al</w:t>
      </w:r>
      <w:r w:rsidRPr="00842145">
        <w:rPr>
          <w:rFonts w:ascii="Tahoma" w:hAnsi="Tahoma" w:cs="Tahoma"/>
          <w:sz w:val="24"/>
          <w:szCs w:val="24"/>
        </w:rPr>
        <w:t xml:space="preserve"> Acuerdo 049 de 1990</w:t>
      </w:r>
      <w:r w:rsidR="08F5CA2C" w:rsidRPr="00842145">
        <w:rPr>
          <w:rFonts w:ascii="Tahoma" w:hAnsi="Tahoma" w:cs="Tahoma"/>
          <w:sz w:val="24"/>
          <w:szCs w:val="24"/>
        </w:rPr>
        <w:t>.</w:t>
      </w:r>
    </w:p>
    <w:p w14:paraId="7D191C66" w14:textId="048CAB79" w:rsidR="64AFBCB6" w:rsidRPr="00842145" w:rsidRDefault="64AFBCB6" w:rsidP="00842145">
      <w:pPr>
        <w:spacing w:line="276" w:lineRule="auto"/>
        <w:ind w:firstLine="708"/>
        <w:rPr>
          <w:rFonts w:ascii="Tahoma" w:hAnsi="Tahoma" w:cs="Tahoma"/>
          <w:sz w:val="24"/>
          <w:szCs w:val="24"/>
        </w:rPr>
      </w:pPr>
    </w:p>
    <w:p w14:paraId="596230D1" w14:textId="5DF6B638" w:rsidR="64AFBCB6" w:rsidRPr="00842145" w:rsidRDefault="34D1F6F5" w:rsidP="00842145">
      <w:pPr>
        <w:spacing w:line="276" w:lineRule="auto"/>
        <w:ind w:firstLine="708"/>
        <w:rPr>
          <w:rFonts w:ascii="Tahoma" w:hAnsi="Tahoma" w:cs="Tahoma"/>
          <w:sz w:val="24"/>
          <w:szCs w:val="24"/>
        </w:rPr>
      </w:pPr>
      <w:r w:rsidRPr="00842145">
        <w:rPr>
          <w:rFonts w:ascii="Tahoma" w:hAnsi="Tahoma" w:cs="Tahoma"/>
          <w:sz w:val="24"/>
          <w:szCs w:val="24"/>
        </w:rPr>
        <w:t xml:space="preserve">Sin embargo, </w:t>
      </w:r>
      <w:r w:rsidR="6908747F" w:rsidRPr="00842145">
        <w:rPr>
          <w:rFonts w:ascii="Tahoma" w:hAnsi="Tahoma" w:cs="Tahoma"/>
          <w:sz w:val="24"/>
          <w:szCs w:val="24"/>
        </w:rPr>
        <w:t>como en la sentencia de primera instancia no se estableció un término para la elaboración del cálculo actuarial y el pago del mismo,</w:t>
      </w:r>
      <w:r w:rsidR="028D6498" w:rsidRPr="00842145">
        <w:rPr>
          <w:rFonts w:ascii="Tahoma" w:hAnsi="Tahoma" w:cs="Tahoma"/>
          <w:sz w:val="24"/>
          <w:szCs w:val="24"/>
        </w:rPr>
        <w:t xml:space="preserve"> lo que constituye un obstáculo para la efectividad del reconocimiento pensional, </w:t>
      </w:r>
      <w:r w:rsidR="6908747F" w:rsidRPr="00842145">
        <w:rPr>
          <w:rFonts w:ascii="Tahoma" w:hAnsi="Tahoma" w:cs="Tahoma"/>
          <w:sz w:val="24"/>
          <w:szCs w:val="24"/>
        </w:rPr>
        <w:t>se encuentra necesario adicionar la decisión,</w:t>
      </w:r>
      <w:r w:rsidR="6F4BA92D" w:rsidRPr="00842145">
        <w:rPr>
          <w:rFonts w:ascii="Tahoma" w:hAnsi="Tahoma" w:cs="Tahoma"/>
          <w:sz w:val="24"/>
          <w:szCs w:val="24"/>
        </w:rPr>
        <w:t xml:space="preserve"> con el fin de concederle el término de quince días a Colpensiones </w:t>
      </w:r>
      <w:r w:rsidR="687E903D" w:rsidRPr="00842145">
        <w:rPr>
          <w:rFonts w:ascii="Tahoma" w:hAnsi="Tahoma" w:cs="Tahoma"/>
          <w:sz w:val="24"/>
          <w:szCs w:val="24"/>
        </w:rPr>
        <w:t>para elaborar el respectivo cálculo actuarial y comunicarlo al Banco de Bogotá, y una vez recibida dicha comunicación, el Banco de Bogotá tiene el mismo término para pagar  el valor de ese cálculo a COLPENSIONES, esto es, quince (15) días contados a partir del día siguiente a la respectiva comunicación.</w:t>
      </w:r>
    </w:p>
    <w:p w14:paraId="7180664C" w14:textId="07DD12A2" w:rsidR="64AFBCB6" w:rsidRPr="00842145" w:rsidRDefault="64AFBCB6" w:rsidP="00842145">
      <w:pPr>
        <w:spacing w:line="276" w:lineRule="auto"/>
        <w:ind w:firstLine="708"/>
        <w:rPr>
          <w:rFonts w:ascii="Tahoma" w:hAnsi="Tahoma" w:cs="Tahoma"/>
          <w:sz w:val="24"/>
          <w:szCs w:val="24"/>
        </w:rPr>
      </w:pPr>
    </w:p>
    <w:p w14:paraId="6E72CDAD" w14:textId="096A2D1B" w:rsidR="00455B66" w:rsidRPr="00842145" w:rsidRDefault="007574A1" w:rsidP="00842145">
      <w:pPr>
        <w:spacing w:line="276" w:lineRule="auto"/>
        <w:ind w:firstLine="708"/>
        <w:rPr>
          <w:rFonts w:ascii="Tahoma" w:hAnsi="Tahoma" w:cs="Tahoma"/>
          <w:sz w:val="24"/>
          <w:szCs w:val="24"/>
        </w:rPr>
      </w:pPr>
      <w:r w:rsidRPr="00842145">
        <w:rPr>
          <w:rFonts w:ascii="Tahoma" w:hAnsi="Tahoma" w:cs="Tahoma"/>
          <w:sz w:val="24"/>
          <w:szCs w:val="24"/>
        </w:rPr>
        <w:t xml:space="preserve">Siguiendo este mismo derrotero, </w:t>
      </w:r>
      <w:r w:rsidR="00360769" w:rsidRPr="00842145">
        <w:rPr>
          <w:rFonts w:ascii="Tahoma" w:hAnsi="Tahoma" w:cs="Tahoma"/>
          <w:sz w:val="24"/>
          <w:szCs w:val="24"/>
        </w:rPr>
        <w:t>se confirmará la decisión de ordenar la indexación de las mesadas, ante la pérdida del poder adquisitivo de la moneda, por el solo paso del tiempo.</w:t>
      </w:r>
    </w:p>
    <w:p w14:paraId="6D7758E8" w14:textId="169AAE66" w:rsidR="00455B66" w:rsidRPr="00842145" w:rsidRDefault="00455B66" w:rsidP="00842145">
      <w:pPr>
        <w:pStyle w:val="Sinespaciado"/>
        <w:spacing w:line="276" w:lineRule="auto"/>
        <w:rPr>
          <w:rFonts w:ascii="Tahoma" w:hAnsi="Tahoma" w:cs="Tahoma"/>
        </w:rPr>
      </w:pPr>
    </w:p>
    <w:p w14:paraId="65F6F6DC" w14:textId="084F0F51" w:rsidR="00EB4880" w:rsidRPr="00842145" w:rsidRDefault="00455B66" w:rsidP="00842145">
      <w:pPr>
        <w:tabs>
          <w:tab w:val="left" w:pos="0"/>
        </w:tabs>
        <w:spacing w:line="276" w:lineRule="auto"/>
        <w:ind w:firstLine="0"/>
        <w:rPr>
          <w:rFonts w:ascii="Tahoma" w:hAnsi="Tahoma" w:cs="Tahoma"/>
          <w:sz w:val="24"/>
          <w:szCs w:val="24"/>
        </w:rPr>
      </w:pPr>
      <w:r w:rsidRPr="00842145">
        <w:rPr>
          <w:rFonts w:ascii="Tahoma" w:hAnsi="Tahoma" w:cs="Tahoma"/>
          <w:sz w:val="24"/>
          <w:szCs w:val="24"/>
        </w:rPr>
        <w:tab/>
        <w:t xml:space="preserve">Finalmente se condenará en costas procesales de segunda instancia a </w:t>
      </w:r>
      <w:r w:rsidR="00360769" w:rsidRPr="00842145">
        <w:rPr>
          <w:rFonts w:ascii="Tahoma" w:hAnsi="Tahoma" w:cs="Tahoma"/>
          <w:sz w:val="24"/>
          <w:szCs w:val="24"/>
        </w:rPr>
        <w:t>Colpensiones y al Banco de Bogotá</w:t>
      </w:r>
      <w:r w:rsidRPr="00842145">
        <w:rPr>
          <w:rFonts w:ascii="Tahoma" w:hAnsi="Tahoma" w:cs="Tahoma"/>
          <w:sz w:val="24"/>
          <w:szCs w:val="24"/>
        </w:rPr>
        <w:t xml:space="preserve">, ante la </w:t>
      </w:r>
      <w:proofErr w:type="spellStart"/>
      <w:r w:rsidRPr="00842145">
        <w:rPr>
          <w:rFonts w:ascii="Tahoma" w:hAnsi="Tahoma" w:cs="Tahoma"/>
          <w:sz w:val="24"/>
          <w:szCs w:val="24"/>
        </w:rPr>
        <w:t>improsperidad</w:t>
      </w:r>
      <w:proofErr w:type="spellEnd"/>
      <w:r w:rsidRPr="00842145">
        <w:rPr>
          <w:rFonts w:ascii="Tahoma" w:hAnsi="Tahoma" w:cs="Tahoma"/>
          <w:sz w:val="24"/>
          <w:szCs w:val="24"/>
        </w:rPr>
        <w:t xml:space="preserve"> de</w:t>
      </w:r>
      <w:r w:rsidR="00360769" w:rsidRPr="00842145">
        <w:rPr>
          <w:rFonts w:ascii="Tahoma" w:hAnsi="Tahoma" w:cs="Tahoma"/>
          <w:sz w:val="24"/>
          <w:szCs w:val="24"/>
        </w:rPr>
        <w:t xml:space="preserve"> </w:t>
      </w:r>
      <w:r w:rsidRPr="00842145">
        <w:rPr>
          <w:rFonts w:ascii="Tahoma" w:hAnsi="Tahoma" w:cs="Tahoma"/>
          <w:sz w:val="24"/>
          <w:szCs w:val="24"/>
        </w:rPr>
        <w:t>l</w:t>
      </w:r>
      <w:r w:rsidR="00360769" w:rsidRPr="00842145">
        <w:rPr>
          <w:rFonts w:ascii="Tahoma" w:hAnsi="Tahoma" w:cs="Tahoma"/>
          <w:sz w:val="24"/>
          <w:szCs w:val="24"/>
        </w:rPr>
        <w:t>os</w:t>
      </w:r>
      <w:r w:rsidRPr="00842145">
        <w:rPr>
          <w:rFonts w:ascii="Tahoma" w:hAnsi="Tahoma" w:cs="Tahoma"/>
          <w:sz w:val="24"/>
          <w:szCs w:val="24"/>
        </w:rPr>
        <w:t xml:space="preserve"> recurso</w:t>
      </w:r>
      <w:r w:rsidR="00360769" w:rsidRPr="00842145">
        <w:rPr>
          <w:rFonts w:ascii="Tahoma" w:hAnsi="Tahoma" w:cs="Tahoma"/>
          <w:sz w:val="24"/>
          <w:szCs w:val="24"/>
        </w:rPr>
        <w:t>s</w:t>
      </w:r>
      <w:r w:rsidRPr="00842145">
        <w:rPr>
          <w:rFonts w:ascii="Tahoma" w:hAnsi="Tahoma" w:cs="Tahoma"/>
          <w:sz w:val="24"/>
          <w:szCs w:val="24"/>
        </w:rPr>
        <w:t xml:space="preserve"> de apelación. </w:t>
      </w:r>
    </w:p>
    <w:p w14:paraId="61930763" w14:textId="77777777" w:rsidR="00D36204" w:rsidRPr="00842145" w:rsidRDefault="00D36204" w:rsidP="00842145">
      <w:pPr>
        <w:pStyle w:val="Sinespaciado"/>
        <w:spacing w:line="276" w:lineRule="auto"/>
        <w:rPr>
          <w:rFonts w:ascii="Tahoma" w:hAnsi="Tahoma" w:cs="Tahoma"/>
        </w:rPr>
      </w:pPr>
    </w:p>
    <w:p w14:paraId="608F5D58" w14:textId="77777777" w:rsidR="00D36204" w:rsidRPr="00842145" w:rsidRDefault="00D36204" w:rsidP="00842145">
      <w:pPr>
        <w:pStyle w:val="NormalWeb"/>
        <w:shd w:val="clear" w:color="auto" w:fill="FFFFFF"/>
        <w:spacing w:before="0" w:beforeAutospacing="0" w:after="0" w:afterAutospacing="0" w:line="276" w:lineRule="auto"/>
        <w:ind w:firstLine="709"/>
        <w:jc w:val="both"/>
        <w:rPr>
          <w:rFonts w:ascii="Tahoma" w:hAnsi="Tahoma" w:cs="Tahoma"/>
          <w:shd w:val="clear" w:color="auto" w:fill="FFFFFF"/>
        </w:rPr>
      </w:pPr>
      <w:r w:rsidRPr="00842145">
        <w:rPr>
          <w:rFonts w:ascii="Tahoma" w:eastAsia="Tahoma" w:hAnsi="Tahoma" w:cs="Tahoma"/>
          <w:lang w:eastAsia="es-CO"/>
        </w:rPr>
        <w:t xml:space="preserve">En mérito de lo expuesto, el </w:t>
      </w:r>
      <w:r w:rsidRPr="00842145">
        <w:rPr>
          <w:rFonts w:ascii="Tahoma" w:eastAsia="Tahoma" w:hAnsi="Tahoma" w:cs="Tahoma"/>
          <w:b/>
          <w:bCs/>
          <w:lang w:eastAsia="es-CO"/>
        </w:rPr>
        <w:t>Tribunal Superior del Distrito Judicial de Pereira - Risaralda, Sala Primera de Decisión Laboral,</w:t>
      </w:r>
      <w:r w:rsidRPr="00842145">
        <w:rPr>
          <w:rFonts w:ascii="Tahoma" w:eastAsia="Tahoma" w:hAnsi="Tahoma" w:cs="Tahoma"/>
          <w:lang w:eastAsia="es-CO"/>
        </w:rPr>
        <w:t xml:space="preserve"> administrando justicia en nombre de la República y por autoridad de la ley,</w:t>
      </w:r>
    </w:p>
    <w:p w14:paraId="76FCE6E3" w14:textId="77777777" w:rsidR="00D36204" w:rsidRPr="00842145" w:rsidRDefault="00D36204" w:rsidP="00842145">
      <w:pPr>
        <w:pStyle w:val="Sinespaciado"/>
        <w:spacing w:line="276" w:lineRule="auto"/>
        <w:rPr>
          <w:rFonts w:ascii="Tahoma" w:hAnsi="Tahoma" w:cs="Tahoma"/>
          <w:lang w:eastAsia="es-CO"/>
        </w:rPr>
      </w:pPr>
      <w:r w:rsidRPr="00842145">
        <w:rPr>
          <w:rFonts w:ascii="Tahoma" w:hAnsi="Tahoma" w:cs="Tahoma"/>
          <w:lang w:eastAsia="es-CO"/>
        </w:rPr>
        <w:t xml:space="preserve"> </w:t>
      </w:r>
    </w:p>
    <w:p w14:paraId="5F327E36" w14:textId="77777777" w:rsidR="00D36204" w:rsidRPr="00842145" w:rsidRDefault="00D36204" w:rsidP="00842145">
      <w:pPr>
        <w:spacing w:line="276" w:lineRule="auto"/>
        <w:ind w:firstLine="284"/>
        <w:jc w:val="center"/>
        <w:rPr>
          <w:rFonts w:ascii="Tahoma" w:eastAsia="Tahoma" w:hAnsi="Tahoma" w:cs="Tahoma"/>
          <w:sz w:val="24"/>
          <w:szCs w:val="24"/>
          <w:lang w:eastAsia="es-CO"/>
        </w:rPr>
      </w:pPr>
      <w:r w:rsidRPr="00842145">
        <w:rPr>
          <w:rFonts w:ascii="Tahoma" w:eastAsia="Tahoma" w:hAnsi="Tahoma" w:cs="Tahoma"/>
          <w:b/>
          <w:bCs/>
          <w:sz w:val="24"/>
          <w:szCs w:val="24"/>
          <w:lang w:eastAsia="es-CO"/>
        </w:rPr>
        <w:t>RESUELVE</w:t>
      </w:r>
    </w:p>
    <w:p w14:paraId="2F20BF40" w14:textId="77777777" w:rsidR="00D36204" w:rsidRPr="00842145" w:rsidRDefault="00D36204" w:rsidP="00842145">
      <w:pPr>
        <w:pStyle w:val="Sinespaciado"/>
        <w:spacing w:line="276" w:lineRule="auto"/>
        <w:rPr>
          <w:rFonts w:ascii="Tahoma" w:hAnsi="Tahoma" w:cs="Tahoma"/>
          <w:lang w:eastAsia="es-CO"/>
        </w:rPr>
      </w:pPr>
      <w:r w:rsidRPr="00842145">
        <w:rPr>
          <w:rFonts w:ascii="Tahoma" w:hAnsi="Tahoma" w:cs="Tahoma"/>
          <w:lang w:eastAsia="es-CO"/>
        </w:rPr>
        <w:t xml:space="preserve"> </w:t>
      </w:r>
    </w:p>
    <w:p w14:paraId="1655C7BB" w14:textId="7136EDB1" w:rsidR="00D36204" w:rsidRPr="00842145" w:rsidRDefault="00D36204" w:rsidP="00842145">
      <w:pPr>
        <w:spacing w:line="276" w:lineRule="auto"/>
        <w:ind w:firstLine="708"/>
        <w:contextualSpacing/>
        <w:rPr>
          <w:rFonts w:ascii="Tahoma" w:hAnsi="Tahoma" w:cs="Tahoma"/>
          <w:sz w:val="24"/>
          <w:szCs w:val="24"/>
        </w:rPr>
      </w:pPr>
      <w:r w:rsidRPr="00842145">
        <w:rPr>
          <w:rFonts w:ascii="Tahoma" w:eastAsia="Times New Roman" w:hAnsi="Tahoma" w:cs="Tahoma"/>
          <w:b/>
          <w:bCs/>
          <w:sz w:val="24"/>
          <w:szCs w:val="24"/>
          <w:lang w:eastAsia="es-CO"/>
        </w:rPr>
        <w:t xml:space="preserve">PRIMERO: MODIFICAR </w:t>
      </w:r>
      <w:r w:rsidR="00F25467" w:rsidRPr="00842145">
        <w:rPr>
          <w:rFonts w:ascii="Tahoma" w:eastAsia="Times New Roman" w:hAnsi="Tahoma" w:cs="Tahoma"/>
          <w:sz w:val="24"/>
          <w:szCs w:val="24"/>
          <w:lang w:eastAsia="es-CO"/>
        </w:rPr>
        <w:t>los numerales sexto y octavo</w:t>
      </w:r>
      <w:r w:rsidRPr="00842145">
        <w:rPr>
          <w:rFonts w:ascii="Tahoma" w:eastAsia="Times New Roman" w:hAnsi="Tahoma" w:cs="Tahoma"/>
          <w:sz w:val="24"/>
          <w:szCs w:val="24"/>
          <w:lang w:eastAsia="es-CO"/>
        </w:rPr>
        <w:t xml:space="preserve"> de la sentencia </w:t>
      </w:r>
      <w:r w:rsidR="00F25467" w:rsidRPr="00842145">
        <w:rPr>
          <w:rFonts w:ascii="Tahoma" w:hAnsi="Tahoma" w:cs="Tahoma"/>
          <w:sz w:val="24"/>
          <w:szCs w:val="24"/>
        </w:rPr>
        <w:t>proferida el 29 de noviembre de 2022 por el Juzgado Primero Laboral del Circuito de Pereira</w:t>
      </w:r>
      <w:r w:rsidRPr="00842145">
        <w:rPr>
          <w:rFonts w:ascii="Tahoma" w:hAnsi="Tahoma" w:cs="Tahoma"/>
          <w:sz w:val="24"/>
          <w:szCs w:val="24"/>
        </w:rPr>
        <w:t xml:space="preserve"> dentro del proceso ordinario laboral promovido por </w:t>
      </w:r>
      <w:r w:rsidR="00F25467" w:rsidRPr="00842145">
        <w:rPr>
          <w:rFonts w:ascii="Tahoma" w:hAnsi="Tahoma" w:cs="Tahoma"/>
          <w:b/>
          <w:bCs/>
          <w:sz w:val="24"/>
          <w:szCs w:val="24"/>
        </w:rPr>
        <w:t>JORGE SUAREZ VALERO</w:t>
      </w:r>
      <w:r w:rsidRPr="00842145">
        <w:rPr>
          <w:rFonts w:ascii="Tahoma" w:hAnsi="Tahoma" w:cs="Tahoma"/>
          <w:sz w:val="24"/>
          <w:szCs w:val="24"/>
        </w:rPr>
        <w:t xml:space="preserve"> en contra de la </w:t>
      </w:r>
      <w:r w:rsidRPr="00842145">
        <w:rPr>
          <w:rFonts w:ascii="Tahoma" w:hAnsi="Tahoma" w:cs="Tahoma"/>
          <w:b/>
          <w:bCs/>
          <w:sz w:val="24"/>
          <w:szCs w:val="24"/>
        </w:rPr>
        <w:t>ADMINISTRADORA COLOMBIANA DE PENSIONES -COLPENSIONES-</w:t>
      </w:r>
      <w:r w:rsidRPr="00842145">
        <w:rPr>
          <w:rFonts w:ascii="Tahoma" w:hAnsi="Tahoma" w:cs="Tahoma"/>
          <w:sz w:val="24"/>
          <w:szCs w:val="24"/>
        </w:rPr>
        <w:t xml:space="preserve">, </w:t>
      </w:r>
      <w:r w:rsidR="00455B66" w:rsidRPr="00842145">
        <w:rPr>
          <w:rFonts w:ascii="Tahoma" w:hAnsi="Tahoma" w:cs="Tahoma"/>
          <w:sz w:val="24"/>
          <w:szCs w:val="24"/>
        </w:rPr>
        <w:t>l</w:t>
      </w:r>
      <w:r w:rsidR="00F25467" w:rsidRPr="00842145">
        <w:rPr>
          <w:rFonts w:ascii="Tahoma" w:hAnsi="Tahoma" w:cs="Tahoma"/>
          <w:sz w:val="24"/>
          <w:szCs w:val="24"/>
        </w:rPr>
        <w:t>os</w:t>
      </w:r>
      <w:r w:rsidR="00455B66" w:rsidRPr="00842145">
        <w:rPr>
          <w:rFonts w:ascii="Tahoma" w:hAnsi="Tahoma" w:cs="Tahoma"/>
          <w:sz w:val="24"/>
          <w:szCs w:val="24"/>
        </w:rPr>
        <w:t xml:space="preserve"> cual</w:t>
      </w:r>
      <w:r w:rsidR="00F25467" w:rsidRPr="00842145">
        <w:rPr>
          <w:rFonts w:ascii="Tahoma" w:hAnsi="Tahoma" w:cs="Tahoma"/>
          <w:sz w:val="24"/>
          <w:szCs w:val="24"/>
        </w:rPr>
        <w:t>es</w:t>
      </w:r>
      <w:r w:rsidR="00455B66" w:rsidRPr="00842145">
        <w:rPr>
          <w:rFonts w:ascii="Tahoma" w:hAnsi="Tahoma" w:cs="Tahoma"/>
          <w:sz w:val="24"/>
          <w:szCs w:val="24"/>
        </w:rPr>
        <w:t xml:space="preserve"> quedará</w:t>
      </w:r>
      <w:r w:rsidR="00F25467" w:rsidRPr="00842145">
        <w:rPr>
          <w:rFonts w:ascii="Tahoma" w:hAnsi="Tahoma" w:cs="Tahoma"/>
          <w:sz w:val="24"/>
          <w:szCs w:val="24"/>
        </w:rPr>
        <w:t>n</w:t>
      </w:r>
      <w:r w:rsidR="00455B66" w:rsidRPr="00842145">
        <w:rPr>
          <w:rFonts w:ascii="Tahoma" w:hAnsi="Tahoma" w:cs="Tahoma"/>
          <w:sz w:val="24"/>
          <w:szCs w:val="24"/>
        </w:rPr>
        <w:t xml:space="preserve"> así:</w:t>
      </w:r>
    </w:p>
    <w:p w14:paraId="776AC9E1" w14:textId="0C2A4BDB" w:rsidR="6A84FD5B" w:rsidRPr="00842145" w:rsidRDefault="6A84FD5B" w:rsidP="00842145">
      <w:pPr>
        <w:spacing w:line="276" w:lineRule="auto"/>
        <w:ind w:firstLine="708"/>
        <w:contextualSpacing/>
        <w:rPr>
          <w:rFonts w:ascii="Tahoma" w:hAnsi="Tahoma" w:cs="Tahoma"/>
          <w:sz w:val="24"/>
          <w:szCs w:val="24"/>
        </w:rPr>
      </w:pPr>
    </w:p>
    <w:p w14:paraId="61F9BDD1" w14:textId="43FB238C" w:rsidR="00A67872" w:rsidRPr="00842145" w:rsidRDefault="00455B66" w:rsidP="001A20D6">
      <w:pPr>
        <w:spacing w:line="276" w:lineRule="auto"/>
        <w:ind w:left="426" w:firstLine="708"/>
        <w:contextualSpacing/>
        <w:rPr>
          <w:rFonts w:ascii="Tahoma" w:hAnsi="Tahoma" w:cs="Tahoma"/>
          <w:i/>
          <w:iCs/>
          <w:sz w:val="24"/>
          <w:szCs w:val="24"/>
        </w:rPr>
      </w:pPr>
      <w:r w:rsidRPr="00842145">
        <w:rPr>
          <w:rFonts w:ascii="Tahoma" w:hAnsi="Tahoma" w:cs="Tahoma"/>
          <w:i/>
          <w:iCs/>
          <w:sz w:val="24"/>
          <w:szCs w:val="24"/>
        </w:rPr>
        <w:t>“</w:t>
      </w:r>
      <w:r w:rsidR="00A67872" w:rsidRPr="00842145">
        <w:rPr>
          <w:rFonts w:ascii="Tahoma" w:hAnsi="Tahoma" w:cs="Tahoma"/>
          <w:i/>
          <w:iCs/>
          <w:sz w:val="24"/>
          <w:szCs w:val="24"/>
        </w:rPr>
        <w:t xml:space="preserve">SEXTO: CONDENAR a la Administradora Colombiana de Pensiones – COLPENSIONES para que una vez recibido el pago del título judicial por parte del Banco de Bogotá, proceda al reconocimiento a favor del señor JORGE SUAREZ VALERO, de la pensión de vejez desde el 1 de </w:t>
      </w:r>
      <w:r w:rsidR="00F25467" w:rsidRPr="00842145">
        <w:rPr>
          <w:rFonts w:ascii="Tahoma" w:hAnsi="Tahoma" w:cs="Tahoma"/>
          <w:i/>
          <w:iCs/>
          <w:sz w:val="24"/>
          <w:szCs w:val="24"/>
        </w:rPr>
        <w:t>mayo</w:t>
      </w:r>
      <w:r w:rsidR="00A67872" w:rsidRPr="00842145">
        <w:rPr>
          <w:rFonts w:ascii="Tahoma" w:hAnsi="Tahoma" w:cs="Tahoma"/>
          <w:i/>
          <w:iCs/>
          <w:sz w:val="24"/>
          <w:szCs w:val="24"/>
        </w:rPr>
        <w:t xml:space="preserve"> de 2009, bajo los parámetros del acuerdo 049 de 1990 aprobado por el decrete 758 del mismo año y en cuantía de $524.834 para el año 2009, la cual</w:t>
      </w:r>
      <w:r w:rsidR="00F25467" w:rsidRPr="00842145">
        <w:rPr>
          <w:rFonts w:ascii="Tahoma" w:hAnsi="Tahoma" w:cs="Tahoma"/>
          <w:i/>
          <w:iCs/>
          <w:sz w:val="24"/>
          <w:szCs w:val="24"/>
        </w:rPr>
        <w:t xml:space="preserve"> a partir del 2017 deberá ser ajustada al salario mínimo legal mensual vigente e</w:t>
      </w:r>
      <w:r w:rsidR="00A67872" w:rsidRPr="00842145">
        <w:rPr>
          <w:rFonts w:ascii="Tahoma" w:hAnsi="Tahoma" w:cs="Tahoma"/>
          <w:i/>
          <w:iCs/>
          <w:sz w:val="24"/>
          <w:szCs w:val="24"/>
        </w:rPr>
        <w:t xml:space="preserve"> incrementada anualmente conforme lo determine el Gobierno Nacional, con derecho a 14 mesadas pensionales al año.</w:t>
      </w:r>
    </w:p>
    <w:p w14:paraId="77152AEA" w14:textId="021C4773" w:rsidR="00A67872" w:rsidRPr="00842145" w:rsidRDefault="00A67872" w:rsidP="001A20D6">
      <w:pPr>
        <w:spacing w:line="276" w:lineRule="auto"/>
        <w:ind w:left="426" w:firstLine="708"/>
        <w:contextualSpacing/>
        <w:rPr>
          <w:rFonts w:ascii="Tahoma" w:hAnsi="Tahoma" w:cs="Tahoma"/>
          <w:i/>
          <w:iCs/>
          <w:sz w:val="24"/>
          <w:szCs w:val="24"/>
        </w:rPr>
      </w:pPr>
    </w:p>
    <w:p w14:paraId="11EDC4BF" w14:textId="0F9A1BC9" w:rsidR="00A67872" w:rsidRPr="00842145" w:rsidRDefault="00A67872" w:rsidP="001A20D6">
      <w:pPr>
        <w:spacing w:line="276" w:lineRule="auto"/>
        <w:ind w:left="426" w:firstLine="708"/>
        <w:contextualSpacing/>
        <w:rPr>
          <w:rFonts w:ascii="Tahoma" w:hAnsi="Tahoma" w:cs="Tahoma"/>
          <w:i/>
          <w:iCs/>
          <w:sz w:val="24"/>
          <w:szCs w:val="24"/>
        </w:rPr>
      </w:pPr>
      <w:r w:rsidRPr="00842145">
        <w:rPr>
          <w:rFonts w:ascii="Tahoma" w:hAnsi="Tahoma" w:cs="Tahoma"/>
          <w:i/>
          <w:iCs/>
          <w:sz w:val="24"/>
          <w:szCs w:val="24"/>
        </w:rPr>
        <w:t>OCTAVO: ORDENAR, que la demandada ADMINISTRADORA COLOMBIANA DE</w:t>
      </w:r>
      <w:r w:rsidR="00F25467" w:rsidRPr="00842145">
        <w:rPr>
          <w:rFonts w:ascii="Tahoma" w:hAnsi="Tahoma" w:cs="Tahoma"/>
          <w:i/>
          <w:iCs/>
          <w:sz w:val="24"/>
          <w:szCs w:val="24"/>
        </w:rPr>
        <w:t xml:space="preserve"> </w:t>
      </w:r>
      <w:r w:rsidRPr="00842145">
        <w:rPr>
          <w:rFonts w:ascii="Tahoma" w:hAnsi="Tahoma" w:cs="Tahoma"/>
          <w:i/>
          <w:iCs/>
          <w:sz w:val="24"/>
          <w:szCs w:val="24"/>
        </w:rPr>
        <w:t xml:space="preserve">PENSIONES COLPENSIONES, proceda a efectuar el reconocimiento y pago a favor del señor JORGE SUAREZ VALERO del retroactivo pensional, correspondiente </w:t>
      </w:r>
      <w:r w:rsidRPr="00842145">
        <w:rPr>
          <w:rFonts w:ascii="Tahoma" w:hAnsi="Tahoma" w:cs="Tahoma"/>
          <w:i/>
          <w:iCs/>
          <w:sz w:val="24"/>
          <w:szCs w:val="24"/>
        </w:rPr>
        <w:lastRenderedPageBreak/>
        <w:t xml:space="preserve">a las mesadas pensionales causadas a partir del 17 de enero de 2017 y hasta que se haga la inclusión en nómina, lo que </w:t>
      </w:r>
      <w:r w:rsidR="00F25467" w:rsidRPr="00842145">
        <w:rPr>
          <w:rFonts w:ascii="Tahoma" w:hAnsi="Tahoma" w:cs="Tahoma"/>
          <w:i/>
          <w:iCs/>
          <w:sz w:val="24"/>
          <w:szCs w:val="24"/>
        </w:rPr>
        <w:t>al 31 de mayo de 2023</w:t>
      </w:r>
      <w:r w:rsidRPr="00842145">
        <w:rPr>
          <w:rFonts w:ascii="Tahoma" w:hAnsi="Tahoma" w:cs="Tahoma"/>
          <w:i/>
          <w:iCs/>
          <w:sz w:val="24"/>
          <w:szCs w:val="24"/>
        </w:rPr>
        <w:t xml:space="preserve"> asciende la suma de $</w:t>
      </w:r>
      <w:r w:rsidR="00F25467" w:rsidRPr="00842145">
        <w:rPr>
          <w:rFonts w:ascii="Tahoma" w:hAnsi="Tahoma" w:cs="Tahoma"/>
          <w:i/>
          <w:iCs/>
          <w:sz w:val="24"/>
          <w:szCs w:val="24"/>
        </w:rPr>
        <w:t>77</w:t>
      </w:r>
      <w:r w:rsidRPr="00842145">
        <w:rPr>
          <w:rFonts w:ascii="Tahoma" w:hAnsi="Tahoma" w:cs="Tahoma"/>
          <w:i/>
          <w:iCs/>
          <w:sz w:val="24"/>
          <w:szCs w:val="24"/>
        </w:rPr>
        <w:t>,</w:t>
      </w:r>
      <w:r w:rsidR="00F25467" w:rsidRPr="00842145">
        <w:rPr>
          <w:rFonts w:ascii="Tahoma" w:hAnsi="Tahoma" w:cs="Tahoma"/>
          <w:i/>
          <w:iCs/>
          <w:sz w:val="24"/>
          <w:szCs w:val="24"/>
        </w:rPr>
        <w:t>350.438</w:t>
      </w:r>
      <w:r w:rsidRPr="00842145">
        <w:rPr>
          <w:rFonts w:ascii="Tahoma" w:hAnsi="Tahoma" w:cs="Tahoma"/>
          <w:i/>
          <w:iCs/>
          <w:sz w:val="24"/>
          <w:szCs w:val="24"/>
        </w:rPr>
        <w:t xml:space="preserve"> el cual, deberá cancelarse debidamente indexado, valor del cual, deberá descontarse la suma reconocida en favor del demandante por indemnización sustitutiva, también debidamente indexada.</w:t>
      </w:r>
      <w:r w:rsidR="00A23043">
        <w:rPr>
          <w:rFonts w:ascii="Tahoma" w:hAnsi="Tahoma" w:cs="Tahoma"/>
          <w:i/>
          <w:iCs/>
          <w:sz w:val="24"/>
          <w:szCs w:val="24"/>
        </w:rPr>
        <w:t>”</w:t>
      </w:r>
    </w:p>
    <w:p w14:paraId="58B3C341" w14:textId="77777777" w:rsidR="00F25467" w:rsidRPr="00842145" w:rsidRDefault="00F25467" w:rsidP="00842145">
      <w:pPr>
        <w:spacing w:line="276" w:lineRule="auto"/>
        <w:ind w:left="708" w:firstLine="708"/>
        <w:contextualSpacing/>
        <w:rPr>
          <w:rFonts w:ascii="Tahoma" w:hAnsi="Tahoma" w:cs="Tahoma"/>
          <w:i/>
          <w:iCs/>
          <w:sz w:val="24"/>
          <w:szCs w:val="24"/>
        </w:rPr>
      </w:pPr>
    </w:p>
    <w:p w14:paraId="41169110" w14:textId="58BF6D79" w:rsidR="00D36204" w:rsidRPr="00842145" w:rsidRDefault="00D36204" w:rsidP="00842145">
      <w:pPr>
        <w:spacing w:line="276" w:lineRule="auto"/>
        <w:ind w:firstLine="708"/>
        <w:rPr>
          <w:rFonts w:ascii="Tahoma" w:hAnsi="Tahoma" w:cs="Tahoma"/>
          <w:sz w:val="24"/>
          <w:szCs w:val="24"/>
        </w:rPr>
      </w:pPr>
      <w:r w:rsidRPr="00842145">
        <w:rPr>
          <w:rFonts w:ascii="Tahoma" w:eastAsia="Tahoma" w:hAnsi="Tahoma" w:cs="Tahoma"/>
          <w:b/>
          <w:bCs/>
          <w:sz w:val="24"/>
          <w:szCs w:val="24"/>
          <w:lang w:eastAsia="es-CO"/>
        </w:rPr>
        <w:t xml:space="preserve">SEGUNDO: </w:t>
      </w:r>
      <w:r w:rsidR="1A8CEEA8" w:rsidRPr="00842145">
        <w:rPr>
          <w:rFonts w:ascii="Tahoma" w:eastAsia="Tahoma" w:hAnsi="Tahoma" w:cs="Tahoma"/>
          <w:b/>
          <w:bCs/>
          <w:sz w:val="24"/>
          <w:szCs w:val="24"/>
          <w:lang w:eastAsia="es-CO"/>
        </w:rPr>
        <w:t xml:space="preserve">ADICIONAR </w:t>
      </w:r>
      <w:r w:rsidR="1A8CEEA8" w:rsidRPr="00842145">
        <w:rPr>
          <w:rFonts w:ascii="Tahoma" w:eastAsia="Tahoma" w:hAnsi="Tahoma" w:cs="Tahoma"/>
          <w:sz w:val="24"/>
          <w:szCs w:val="24"/>
          <w:lang w:eastAsia="es-CO"/>
        </w:rPr>
        <w:t xml:space="preserve">el numeral segundo de la sentencia de primera instancia, para </w:t>
      </w:r>
      <w:r w:rsidR="1A8CEEA8" w:rsidRPr="00842145">
        <w:rPr>
          <w:rFonts w:ascii="Tahoma" w:hAnsi="Tahoma" w:cs="Tahoma"/>
          <w:sz w:val="24"/>
          <w:szCs w:val="24"/>
        </w:rPr>
        <w:t xml:space="preserve">concederle el término de quince días a Colpensiones para elaborar el respectivo cálculo </w:t>
      </w:r>
      <w:r w:rsidR="5E563DBE" w:rsidRPr="00842145">
        <w:rPr>
          <w:rFonts w:ascii="Tahoma" w:hAnsi="Tahoma" w:cs="Tahoma"/>
          <w:sz w:val="24"/>
          <w:szCs w:val="24"/>
        </w:rPr>
        <w:t xml:space="preserve">actuarial </w:t>
      </w:r>
      <w:r w:rsidR="13685DE7" w:rsidRPr="00842145">
        <w:rPr>
          <w:rFonts w:ascii="Tahoma" w:hAnsi="Tahoma" w:cs="Tahoma"/>
          <w:sz w:val="24"/>
          <w:szCs w:val="24"/>
        </w:rPr>
        <w:t>y comunicarlo al Banco de Bogotá, y una vez re</w:t>
      </w:r>
      <w:r w:rsidR="4BA6ACB4" w:rsidRPr="00842145">
        <w:rPr>
          <w:rFonts w:ascii="Tahoma" w:hAnsi="Tahoma" w:cs="Tahoma"/>
          <w:sz w:val="24"/>
          <w:szCs w:val="24"/>
        </w:rPr>
        <w:t xml:space="preserve">cibida </w:t>
      </w:r>
      <w:r w:rsidR="2DE914A1" w:rsidRPr="00842145">
        <w:rPr>
          <w:rFonts w:ascii="Tahoma" w:hAnsi="Tahoma" w:cs="Tahoma"/>
          <w:sz w:val="24"/>
          <w:szCs w:val="24"/>
        </w:rPr>
        <w:t xml:space="preserve">dicha comunicación, </w:t>
      </w:r>
      <w:r w:rsidR="13685DE7" w:rsidRPr="00842145">
        <w:rPr>
          <w:rFonts w:ascii="Tahoma" w:hAnsi="Tahoma" w:cs="Tahoma"/>
          <w:sz w:val="24"/>
          <w:szCs w:val="24"/>
        </w:rPr>
        <w:t>e</w:t>
      </w:r>
      <w:r w:rsidR="1A8CEEA8" w:rsidRPr="00842145">
        <w:rPr>
          <w:rFonts w:ascii="Tahoma" w:hAnsi="Tahoma" w:cs="Tahoma"/>
          <w:sz w:val="24"/>
          <w:szCs w:val="24"/>
        </w:rPr>
        <w:t xml:space="preserve">l Banco de Bogotá </w:t>
      </w:r>
      <w:r w:rsidR="08125E0D" w:rsidRPr="00842145">
        <w:rPr>
          <w:rFonts w:ascii="Tahoma" w:hAnsi="Tahoma" w:cs="Tahoma"/>
          <w:sz w:val="24"/>
          <w:szCs w:val="24"/>
        </w:rPr>
        <w:t xml:space="preserve">tiene </w:t>
      </w:r>
      <w:r w:rsidR="1A8CEEA8" w:rsidRPr="00842145">
        <w:rPr>
          <w:rFonts w:ascii="Tahoma" w:hAnsi="Tahoma" w:cs="Tahoma"/>
          <w:sz w:val="24"/>
          <w:szCs w:val="24"/>
        </w:rPr>
        <w:t>el mismo término para pagar</w:t>
      </w:r>
      <w:r w:rsidR="1E3EE70C" w:rsidRPr="00842145">
        <w:rPr>
          <w:rFonts w:ascii="Tahoma" w:hAnsi="Tahoma" w:cs="Tahoma"/>
          <w:sz w:val="24"/>
          <w:szCs w:val="24"/>
        </w:rPr>
        <w:t xml:space="preserve"> el valor de ese cálculo a COLPENSIONES</w:t>
      </w:r>
      <w:r w:rsidR="4AA52CF6" w:rsidRPr="00842145">
        <w:rPr>
          <w:rFonts w:ascii="Tahoma" w:hAnsi="Tahoma" w:cs="Tahoma"/>
          <w:sz w:val="24"/>
          <w:szCs w:val="24"/>
        </w:rPr>
        <w:t>, esto es, quince (15) días contados a partir del día siguiente a la respectiva comunicación</w:t>
      </w:r>
      <w:r w:rsidR="0B4A77C5" w:rsidRPr="00842145">
        <w:rPr>
          <w:rFonts w:ascii="Tahoma" w:hAnsi="Tahoma" w:cs="Tahoma"/>
          <w:sz w:val="24"/>
          <w:szCs w:val="24"/>
        </w:rPr>
        <w:t>.</w:t>
      </w:r>
    </w:p>
    <w:p w14:paraId="3651B810" w14:textId="77777777" w:rsidR="00B846C3" w:rsidRPr="00842145" w:rsidRDefault="00B846C3" w:rsidP="00842145">
      <w:pPr>
        <w:spacing w:line="276" w:lineRule="auto"/>
        <w:ind w:firstLine="708"/>
        <w:rPr>
          <w:rFonts w:ascii="Tahoma" w:eastAsia="Tahoma" w:hAnsi="Tahoma" w:cs="Tahoma"/>
          <w:b/>
          <w:bCs/>
          <w:sz w:val="24"/>
          <w:szCs w:val="24"/>
          <w:lang w:eastAsia="es-CO"/>
        </w:rPr>
      </w:pPr>
    </w:p>
    <w:p w14:paraId="3B9D8626" w14:textId="1DDA3249" w:rsidR="00D36204" w:rsidRPr="00842145" w:rsidRDefault="00455B66" w:rsidP="00842145">
      <w:pPr>
        <w:spacing w:line="276" w:lineRule="auto"/>
        <w:ind w:firstLine="708"/>
        <w:rPr>
          <w:rFonts w:ascii="Tahoma" w:eastAsia="Tahoma" w:hAnsi="Tahoma" w:cs="Tahoma"/>
          <w:b/>
          <w:bCs/>
          <w:sz w:val="24"/>
          <w:szCs w:val="24"/>
          <w:lang w:eastAsia="es-CO"/>
        </w:rPr>
      </w:pPr>
      <w:r w:rsidRPr="00842145">
        <w:rPr>
          <w:rFonts w:ascii="Tahoma" w:eastAsia="Tahoma" w:hAnsi="Tahoma" w:cs="Tahoma"/>
          <w:b/>
          <w:bCs/>
          <w:sz w:val="24"/>
          <w:szCs w:val="24"/>
          <w:lang w:eastAsia="es-CO"/>
        </w:rPr>
        <w:t xml:space="preserve">TERCERO: </w:t>
      </w:r>
      <w:r w:rsidR="45A4B17B" w:rsidRPr="00842145">
        <w:rPr>
          <w:rFonts w:ascii="Tahoma" w:eastAsia="Tahoma" w:hAnsi="Tahoma" w:cs="Tahoma"/>
          <w:b/>
          <w:bCs/>
          <w:sz w:val="24"/>
          <w:szCs w:val="24"/>
          <w:lang w:eastAsia="es-CO"/>
        </w:rPr>
        <w:t xml:space="preserve">CONFIRMAR </w:t>
      </w:r>
      <w:r w:rsidR="45A4B17B" w:rsidRPr="00842145">
        <w:rPr>
          <w:rFonts w:ascii="Tahoma" w:eastAsia="Tahoma" w:hAnsi="Tahoma" w:cs="Tahoma"/>
          <w:sz w:val="24"/>
          <w:szCs w:val="24"/>
          <w:lang w:eastAsia="es-CO"/>
        </w:rPr>
        <w:t>en todo lo demás la sentencia de la referencia.</w:t>
      </w:r>
    </w:p>
    <w:p w14:paraId="1284E56B" w14:textId="745BFD74" w:rsidR="00D36204" w:rsidRPr="00842145" w:rsidRDefault="00D36204" w:rsidP="00842145">
      <w:pPr>
        <w:spacing w:line="276" w:lineRule="auto"/>
        <w:ind w:firstLine="708"/>
        <w:rPr>
          <w:rFonts w:ascii="Tahoma" w:eastAsia="Tahoma" w:hAnsi="Tahoma" w:cs="Tahoma"/>
          <w:b/>
          <w:bCs/>
          <w:sz w:val="24"/>
          <w:szCs w:val="24"/>
          <w:lang w:eastAsia="es-CO"/>
        </w:rPr>
      </w:pPr>
    </w:p>
    <w:p w14:paraId="5993CDF9" w14:textId="70305A8E" w:rsidR="00D36204" w:rsidRPr="00842145" w:rsidRDefault="45A4B17B" w:rsidP="00842145">
      <w:pPr>
        <w:spacing w:line="276" w:lineRule="auto"/>
        <w:ind w:firstLine="708"/>
        <w:rPr>
          <w:rFonts w:ascii="Tahoma" w:hAnsi="Tahoma" w:cs="Tahoma"/>
          <w:sz w:val="24"/>
          <w:szCs w:val="24"/>
        </w:rPr>
      </w:pPr>
      <w:r w:rsidRPr="00842145">
        <w:rPr>
          <w:rFonts w:ascii="Tahoma" w:eastAsia="Tahoma" w:hAnsi="Tahoma" w:cs="Tahoma"/>
          <w:b/>
          <w:bCs/>
          <w:sz w:val="24"/>
          <w:szCs w:val="24"/>
          <w:lang w:eastAsia="es-CO"/>
        </w:rPr>
        <w:t xml:space="preserve">CUARTO: </w:t>
      </w:r>
      <w:r w:rsidR="00D36204" w:rsidRPr="00842145">
        <w:rPr>
          <w:rFonts w:ascii="Tahoma" w:eastAsia="Tahoma" w:hAnsi="Tahoma" w:cs="Tahoma"/>
          <w:b/>
          <w:bCs/>
          <w:sz w:val="24"/>
          <w:szCs w:val="24"/>
          <w:lang w:eastAsia="es-CO"/>
        </w:rPr>
        <w:t>CONDENAR</w:t>
      </w:r>
      <w:r w:rsidR="00D36204" w:rsidRPr="00842145">
        <w:rPr>
          <w:rFonts w:ascii="Tahoma" w:eastAsia="Tahoma" w:hAnsi="Tahoma" w:cs="Tahoma"/>
          <w:sz w:val="24"/>
          <w:szCs w:val="24"/>
          <w:lang w:eastAsia="es-CO"/>
        </w:rPr>
        <w:t xml:space="preserve"> en costas de segunda instancia a la entidad demandada</w:t>
      </w:r>
      <w:r w:rsidR="3F7E9CD6" w:rsidRPr="00842145">
        <w:rPr>
          <w:rFonts w:ascii="Tahoma" w:eastAsia="Tahoma" w:hAnsi="Tahoma" w:cs="Tahoma"/>
          <w:sz w:val="24"/>
          <w:szCs w:val="24"/>
          <w:lang w:eastAsia="es-CO"/>
        </w:rPr>
        <w:t xml:space="preserve"> y a la vinculada</w:t>
      </w:r>
      <w:r w:rsidR="00D36204" w:rsidRPr="00842145">
        <w:rPr>
          <w:rFonts w:ascii="Tahoma" w:eastAsia="Tahoma" w:hAnsi="Tahoma" w:cs="Tahoma"/>
          <w:sz w:val="24"/>
          <w:szCs w:val="24"/>
          <w:lang w:eastAsia="es-CO"/>
        </w:rPr>
        <w:t xml:space="preserve"> en favor de la parte actora. Liquídense por el juzgado de origen. </w:t>
      </w:r>
    </w:p>
    <w:p w14:paraId="4365E90D" w14:textId="77777777" w:rsidR="006E2C4A" w:rsidRPr="006E2C4A" w:rsidRDefault="006E2C4A" w:rsidP="006E2C4A">
      <w:pPr>
        <w:spacing w:line="276" w:lineRule="auto"/>
        <w:ind w:firstLine="0"/>
        <w:rPr>
          <w:rFonts w:ascii="Tahoma" w:eastAsia="Calibri" w:hAnsi="Tahoma" w:cs="Tahoma"/>
          <w:sz w:val="24"/>
          <w:szCs w:val="24"/>
          <w:lang w:val="es-CO"/>
        </w:rPr>
      </w:pPr>
      <w:bookmarkStart w:id="3" w:name="_Hlk126574973"/>
    </w:p>
    <w:p w14:paraId="37AA681F" w14:textId="77777777" w:rsidR="006E2C4A" w:rsidRPr="006E2C4A" w:rsidRDefault="006E2C4A" w:rsidP="006E2C4A">
      <w:pPr>
        <w:spacing w:line="276" w:lineRule="auto"/>
        <w:ind w:firstLine="0"/>
        <w:jc w:val="center"/>
        <w:rPr>
          <w:rFonts w:ascii="Tahoma" w:eastAsia="Tahoma" w:hAnsi="Tahoma" w:cs="Tahoma"/>
          <w:b/>
          <w:bCs/>
          <w:sz w:val="24"/>
          <w:szCs w:val="24"/>
          <w:lang w:val="es-CO"/>
        </w:rPr>
      </w:pPr>
      <w:r w:rsidRPr="006E2C4A">
        <w:rPr>
          <w:rFonts w:ascii="Tahoma" w:eastAsia="Tahoma" w:hAnsi="Tahoma" w:cs="Tahoma"/>
          <w:b/>
          <w:bCs/>
          <w:sz w:val="24"/>
          <w:szCs w:val="24"/>
          <w:lang w:val="es-CO"/>
        </w:rPr>
        <w:t>NOTIFÍQUESE Y CÚMPLASE</w:t>
      </w:r>
    </w:p>
    <w:p w14:paraId="1F694348" w14:textId="77777777" w:rsidR="006E2C4A" w:rsidRPr="006E2C4A" w:rsidRDefault="006E2C4A" w:rsidP="006E2C4A">
      <w:pPr>
        <w:spacing w:line="276" w:lineRule="auto"/>
        <w:ind w:firstLine="0"/>
        <w:rPr>
          <w:rFonts w:ascii="Tahoma" w:eastAsia="Calibri" w:hAnsi="Tahoma" w:cs="Tahoma"/>
          <w:sz w:val="24"/>
          <w:szCs w:val="24"/>
          <w:lang w:val="es-CO"/>
        </w:rPr>
      </w:pPr>
      <w:r w:rsidRPr="006E2C4A">
        <w:rPr>
          <w:rFonts w:ascii="Tahoma" w:eastAsia="Calibri" w:hAnsi="Tahoma" w:cs="Tahoma"/>
          <w:sz w:val="24"/>
          <w:szCs w:val="24"/>
          <w:lang w:val="es-CO"/>
        </w:rPr>
        <w:t xml:space="preserve"> </w:t>
      </w:r>
    </w:p>
    <w:p w14:paraId="2446E8B7" w14:textId="77777777" w:rsidR="006E2C4A" w:rsidRPr="006E2C4A" w:rsidRDefault="006E2C4A" w:rsidP="006E2C4A">
      <w:pPr>
        <w:widowControl w:val="0"/>
        <w:autoSpaceDE w:val="0"/>
        <w:autoSpaceDN w:val="0"/>
        <w:adjustRightInd w:val="0"/>
        <w:spacing w:line="276" w:lineRule="auto"/>
        <w:ind w:firstLine="0"/>
        <w:rPr>
          <w:rFonts w:ascii="Tahoma" w:eastAsia="Times New Roman" w:hAnsi="Tahoma" w:cs="Tahoma"/>
          <w:sz w:val="24"/>
          <w:szCs w:val="24"/>
          <w:lang w:eastAsia="es-ES"/>
        </w:rPr>
      </w:pPr>
      <w:r w:rsidRPr="006E2C4A">
        <w:rPr>
          <w:rFonts w:ascii="Tahoma" w:eastAsia="Times New Roman" w:hAnsi="Tahoma" w:cs="Tahoma"/>
          <w:sz w:val="24"/>
          <w:szCs w:val="24"/>
          <w:lang w:eastAsia="es-ES"/>
        </w:rPr>
        <w:tab/>
        <w:t>La Magistrada ponente,</w:t>
      </w:r>
    </w:p>
    <w:p w14:paraId="4F5A79DD" w14:textId="77777777" w:rsidR="006E2C4A" w:rsidRPr="006E2C4A" w:rsidRDefault="006E2C4A" w:rsidP="006E2C4A">
      <w:pPr>
        <w:spacing w:line="276" w:lineRule="auto"/>
        <w:ind w:firstLine="0"/>
        <w:jc w:val="left"/>
        <w:rPr>
          <w:rFonts w:ascii="Tahoma" w:eastAsia="Times New Roman" w:hAnsi="Tahoma" w:cs="Tahoma"/>
          <w:sz w:val="24"/>
          <w:szCs w:val="24"/>
          <w:lang w:eastAsia="es-ES"/>
        </w:rPr>
      </w:pPr>
    </w:p>
    <w:p w14:paraId="5D01F4C4" w14:textId="77777777" w:rsidR="006E2C4A" w:rsidRPr="006E2C4A" w:rsidRDefault="006E2C4A" w:rsidP="006E2C4A">
      <w:pPr>
        <w:spacing w:line="276" w:lineRule="auto"/>
        <w:ind w:firstLine="0"/>
        <w:jc w:val="left"/>
        <w:rPr>
          <w:rFonts w:ascii="Tahoma" w:eastAsia="Times New Roman" w:hAnsi="Tahoma" w:cs="Tahoma"/>
          <w:sz w:val="24"/>
          <w:szCs w:val="24"/>
          <w:lang w:eastAsia="es-ES"/>
        </w:rPr>
      </w:pPr>
    </w:p>
    <w:p w14:paraId="2F17E91B" w14:textId="77777777" w:rsidR="006E2C4A" w:rsidRPr="006E2C4A" w:rsidRDefault="006E2C4A" w:rsidP="006E2C4A">
      <w:pPr>
        <w:spacing w:line="276" w:lineRule="auto"/>
        <w:ind w:firstLine="0"/>
        <w:jc w:val="left"/>
        <w:rPr>
          <w:rFonts w:ascii="Tahoma" w:eastAsia="Times New Roman" w:hAnsi="Tahoma" w:cs="Tahoma"/>
          <w:sz w:val="24"/>
          <w:szCs w:val="24"/>
          <w:lang w:eastAsia="es-ES"/>
        </w:rPr>
      </w:pPr>
    </w:p>
    <w:p w14:paraId="43568BD9" w14:textId="77777777" w:rsidR="006E2C4A" w:rsidRPr="006E2C4A" w:rsidRDefault="006E2C4A" w:rsidP="006E2C4A">
      <w:pPr>
        <w:keepNext/>
        <w:spacing w:line="276" w:lineRule="auto"/>
        <w:ind w:firstLine="0"/>
        <w:jc w:val="center"/>
        <w:outlineLvl w:val="2"/>
        <w:rPr>
          <w:rFonts w:ascii="Tahoma" w:eastAsia="Times New Roman" w:hAnsi="Tahoma" w:cs="Tahoma"/>
          <w:b/>
          <w:bCs/>
          <w:sz w:val="24"/>
          <w:szCs w:val="24"/>
          <w:lang w:eastAsia="es-ES"/>
        </w:rPr>
      </w:pPr>
      <w:r w:rsidRPr="006E2C4A">
        <w:rPr>
          <w:rFonts w:ascii="Tahoma" w:eastAsia="Times New Roman" w:hAnsi="Tahoma" w:cs="Tahoma"/>
          <w:b/>
          <w:bCs/>
          <w:sz w:val="24"/>
          <w:szCs w:val="24"/>
          <w:lang w:eastAsia="es-ES"/>
        </w:rPr>
        <w:t>ANA LUCÍA CAICEDO CALDERÓN</w:t>
      </w:r>
    </w:p>
    <w:p w14:paraId="6A3FD1E8" w14:textId="77777777" w:rsidR="006E2C4A" w:rsidRPr="006E2C4A" w:rsidRDefault="006E2C4A" w:rsidP="006E2C4A">
      <w:pPr>
        <w:spacing w:line="276" w:lineRule="auto"/>
        <w:ind w:firstLine="0"/>
        <w:jc w:val="left"/>
        <w:rPr>
          <w:rFonts w:ascii="Tahoma" w:eastAsia="Times New Roman" w:hAnsi="Tahoma" w:cs="Tahoma"/>
          <w:sz w:val="24"/>
          <w:szCs w:val="24"/>
          <w:lang w:eastAsia="es-ES"/>
        </w:rPr>
      </w:pPr>
    </w:p>
    <w:p w14:paraId="2D649576" w14:textId="77777777" w:rsidR="006E2C4A" w:rsidRPr="006E2C4A" w:rsidRDefault="006E2C4A" w:rsidP="006E2C4A">
      <w:pPr>
        <w:spacing w:line="276" w:lineRule="auto"/>
        <w:ind w:firstLine="708"/>
        <w:jc w:val="left"/>
        <w:rPr>
          <w:rFonts w:ascii="Tahoma" w:eastAsia="Times New Roman" w:hAnsi="Tahoma" w:cs="Tahoma"/>
          <w:sz w:val="24"/>
          <w:szCs w:val="24"/>
          <w:lang w:eastAsia="es-ES"/>
        </w:rPr>
      </w:pPr>
      <w:bookmarkStart w:id="4" w:name="_Hlk62478330"/>
      <w:r w:rsidRPr="006E2C4A">
        <w:rPr>
          <w:rFonts w:ascii="Tahoma" w:eastAsia="Times New Roman" w:hAnsi="Tahoma" w:cs="Tahoma"/>
          <w:sz w:val="24"/>
          <w:szCs w:val="24"/>
          <w:lang w:eastAsia="es-ES"/>
        </w:rPr>
        <w:t>La Magistrada y el Magistrado,</w:t>
      </w:r>
    </w:p>
    <w:p w14:paraId="06C6A417" w14:textId="77777777" w:rsidR="006E2C4A" w:rsidRPr="006E2C4A" w:rsidRDefault="006E2C4A" w:rsidP="006E2C4A">
      <w:pPr>
        <w:spacing w:line="276" w:lineRule="auto"/>
        <w:ind w:firstLine="0"/>
        <w:jc w:val="left"/>
        <w:rPr>
          <w:rFonts w:ascii="Tahoma" w:eastAsia="Times New Roman" w:hAnsi="Tahoma" w:cs="Tahoma"/>
          <w:sz w:val="24"/>
          <w:szCs w:val="24"/>
          <w:lang w:eastAsia="es-ES"/>
        </w:rPr>
      </w:pPr>
    </w:p>
    <w:p w14:paraId="0D91C021" w14:textId="77777777" w:rsidR="006E2C4A" w:rsidRPr="006E2C4A" w:rsidRDefault="006E2C4A" w:rsidP="006E2C4A">
      <w:pPr>
        <w:spacing w:line="276" w:lineRule="auto"/>
        <w:ind w:firstLine="0"/>
        <w:jc w:val="left"/>
        <w:rPr>
          <w:rFonts w:ascii="Tahoma" w:eastAsia="Times New Roman" w:hAnsi="Tahoma" w:cs="Tahoma"/>
          <w:sz w:val="24"/>
          <w:szCs w:val="24"/>
          <w:lang w:eastAsia="es-ES"/>
        </w:rPr>
      </w:pPr>
    </w:p>
    <w:p w14:paraId="2B846730" w14:textId="77777777" w:rsidR="006E2C4A" w:rsidRPr="006E2C4A" w:rsidRDefault="006E2C4A" w:rsidP="006E2C4A">
      <w:pPr>
        <w:spacing w:line="276" w:lineRule="auto"/>
        <w:ind w:firstLine="0"/>
        <w:jc w:val="left"/>
        <w:rPr>
          <w:rFonts w:ascii="Tahoma" w:eastAsia="Times New Roman" w:hAnsi="Tahoma" w:cs="Tahoma"/>
          <w:sz w:val="24"/>
          <w:szCs w:val="24"/>
          <w:lang w:eastAsia="es-ES"/>
        </w:rPr>
      </w:pPr>
    </w:p>
    <w:p w14:paraId="117774EE" w14:textId="77777777" w:rsidR="006E2C4A" w:rsidRPr="006E2C4A" w:rsidRDefault="006E2C4A" w:rsidP="006E2C4A">
      <w:pPr>
        <w:spacing w:line="276" w:lineRule="auto"/>
        <w:ind w:firstLine="0"/>
        <w:rPr>
          <w:rFonts w:ascii="Tahoma" w:eastAsia="Calibri" w:hAnsi="Tahoma" w:cs="Tahoma"/>
          <w:sz w:val="24"/>
          <w:szCs w:val="24"/>
        </w:rPr>
      </w:pPr>
      <w:r w:rsidRPr="006E2C4A">
        <w:rPr>
          <w:rFonts w:ascii="Tahoma" w:eastAsia="Times New Roman" w:hAnsi="Tahoma" w:cs="Tahoma"/>
          <w:b/>
          <w:bCs/>
          <w:sz w:val="24"/>
          <w:szCs w:val="24"/>
          <w:lang w:eastAsia="es-ES"/>
        </w:rPr>
        <w:t>OLGA LUCÍA HOYOS SEPÚLVEDA</w:t>
      </w:r>
      <w:r w:rsidRPr="006E2C4A">
        <w:rPr>
          <w:rFonts w:ascii="Tahoma" w:eastAsia="Times New Roman" w:hAnsi="Tahoma" w:cs="Tahoma"/>
          <w:b/>
          <w:bCs/>
          <w:sz w:val="24"/>
          <w:szCs w:val="24"/>
          <w:lang w:eastAsia="es-ES"/>
        </w:rPr>
        <w:tab/>
      </w:r>
      <w:r w:rsidRPr="006E2C4A">
        <w:rPr>
          <w:rFonts w:ascii="Tahoma" w:eastAsia="Times New Roman" w:hAnsi="Tahoma" w:cs="Tahoma"/>
          <w:b/>
          <w:bCs/>
          <w:sz w:val="24"/>
          <w:szCs w:val="24"/>
          <w:lang w:eastAsia="es-ES"/>
        </w:rPr>
        <w:tab/>
        <w:t>GERMÁN DARÍO GÓEZ VINASCO</w:t>
      </w:r>
      <w:bookmarkEnd w:id="3"/>
      <w:bookmarkEnd w:id="4"/>
    </w:p>
    <w:p w14:paraId="20DCB34B" w14:textId="0F1D6D7F" w:rsidR="00267BB5" w:rsidRPr="00842145" w:rsidRDefault="006E2C4A" w:rsidP="006E2C4A">
      <w:pPr>
        <w:spacing w:line="276" w:lineRule="auto"/>
        <w:ind w:firstLine="0"/>
        <w:rPr>
          <w:rFonts w:ascii="Tahoma" w:hAnsi="Tahoma" w:cs="Tahoma"/>
          <w:sz w:val="24"/>
          <w:szCs w:val="24"/>
        </w:rPr>
      </w:pPr>
      <w:r>
        <w:rPr>
          <w:rFonts w:ascii="Tahoma" w:hAnsi="Tahoma" w:cs="Tahoma"/>
          <w:sz w:val="24"/>
          <w:szCs w:val="24"/>
        </w:rPr>
        <w:t>Con salvamento de voto</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Con aclaración de voto</w:t>
      </w:r>
    </w:p>
    <w:sectPr w:rsidR="00267BB5" w:rsidRPr="00842145" w:rsidSect="00842145">
      <w:headerReference w:type="default" r:id="rId11"/>
      <w:footerReference w:type="default" r:id="rId12"/>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DB8F623" w16cex:dateUtc="2023-04-14T11:56:55.626Z"/>
  <w16cex:commentExtensible w16cex:durableId="5DD16CBD" w16cex:dateUtc="2023-06-16T14:58:05.819Z"/>
  <w16cex:commentExtensible w16cex:durableId="5D855DD4" w16cex:dateUtc="2023-06-16T15:05:27.13Z"/>
  <w16cex:commentExtensible w16cex:durableId="4D6BCD3E" w16cex:dateUtc="2023-06-16T15:29:49.465Z"/>
  <w16cex:commentExtensible w16cex:durableId="7F2F6E03" w16cex:dateUtc="2023-06-21T20:52:11.895Z"/>
  <w16cex:commentExtensible w16cex:durableId="5B9814FB" w16cex:dateUtc="2023-06-22T20:16:29.71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0C03B" w14:textId="77777777" w:rsidR="00C5228A" w:rsidRDefault="00C5228A" w:rsidP="001C5C55">
      <w:pPr>
        <w:spacing w:line="240" w:lineRule="auto"/>
      </w:pPr>
      <w:r>
        <w:separator/>
      </w:r>
    </w:p>
  </w:endnote>
  <w:endnote w:type="continuationSeparator" w:id="0">
    <w:p w14:paraId="223D9A97" w14:textId="77777777" w:rsidR="00C5228A" w:rsidRDefault="00C5228A" w:rsidP="001C5C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3337871"/>
      <w:docPartObj>
        <w:docPartGallery w:val="Page Numbers (Bottom of Page)"/>
        <w:docPartUnique/>
      </w:docPartObj>
    </w:sdtPr>
    <w:sdtEndPr>
      <w:rPr>
        <w:rFonts w:ascii="Arial" w:eastAsia="Times New Roman" w:hAnsi="Arial" w:cs="Arial"/>
        <w:sz w:val="18"/>
        <w:szCs w:val="18"/>
        <w:lang w:eastAsia="es-ES"/>
      </w:rPr>
    </w:sdtEndPr>
    <w:sdtContent>
      <w:p w14:paraId="1E705D51" w14:textId="77777777" w:rsidR="004C5C95" w:rsidRPr="006E2C4A" w:rsidRDefault="004C5C95">
        <w:pPr>
          <w:pStyle w:val="Piedepgina"/>
          <w:jc w:val="right"/>
          <w:rPr>
            <w:rFonts w:ascii="Arial" w:eastAsia="Times New Roman" w:hAnsi="Arial" w:cs="Arial"/>
            <w:sz w:val="18"/>
            <w:szCs w:val="18"/>
            <w:lang w:eastAsia="es-ES"/>
          </w:rPr>
        </w:pPr>
        <w:r w:rsidRPr="006E2C4A">
          <w:rPr>
            <w:rFonts w:ascii="Arial" w:eastAsia="Times New Roman" w:hAnsi="Arial" w:cs="Arial"/>
            <w:sz w:val="18"/>
            <w:szCs w:val="18"/>
            <w:lang w:eastAsia="es-ES"/>
          </w:rPr>
          <w:fldChar w:fldCharType="begin"/>
        </w:r>
        <w:r w:rsidRPr="006E2C4A">
          <w:rPr>
            <w:rFonts w:ascii="Arial" w:eastAsia="Times New Roman" w:hAnsi="Arial" w:cs="Arial"/>
            <w:sz w:val="18"/>
            <w:szCs w:val="18"/>
            <w:lang w:eastAsia="es-ES"/>
          </w:rPr>
          <w:instrText>PAGE   \* MERGEFORMAT</w:instrText>
        </w:r>
        <w:r w:rsidRPr="006E2C4A">
          <w:rPr>
            <w:rFonts w:ascii="Arial" w:eastAsia="Times New Roman" w:hAnsi="Arial" w:cs="Arial"/>
            <w:sz w:val="18"/>
            <w:szCs w:val="18"/>
            <w:lang w:eastAsia="es-ES"/>
          </w:rPr>
          <w:fldChar w:fldCharType="separate"/>
        </w:r>
        <w:r w:rsidRPr="006E2C4A">
          <w:rPr>
            <w:rFonts w:ascii="Arial" w:eastAsia="Times New Roman" w:hAnsi="Arial" w:cs="Arial"/>
            <w:sz w:val="18"/>
            <w:szCs w:val="18"/>
            <w:lang w:eastAsia="es-ES"/>
          </w:rPr>
          <w:t>3</w:t>
        </w:r>
        <w:r w:rsidRPr="006E2C4A">
          <w:rPr>
            <w:rFonts w:ascii="Arial" w:eastAsia="Times New Roman" w:hAnsi="Arial" w:cs="Arial"/>
            <w:sz w:val="18"/>
            <w:szCs w:val="18"/>
            <w:lang w:eastAsia="es-E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0CAAA" w14:textId="77777777" w:rsidR="00C5228A" w:rsidRDefault="00C5228A" w:rsidP="001C5C55">
      <w:pPr>
        <w:spacing w:line="240" w:lineRule="auto"/>
      </w:pPr>
      <w:r>
        <w:separator/>
      </w:r>
    </w:p>
  </w:footnote>
  <w:footnote w:type="continuationSeparator" w:id="0">
    <w:p w14:paraId="51714B6F" w14:textId="77777777" w:rsidR="00C5228A" w:rsidRDefault="00C5228A" w:rsidP="001C5C55">
      <w:pPr>
        <w:spacing w:line="240" w:lineRule="auto"/>
      </w:pPr>
      <w:r>
        <w:continuationSeparator/>
      </w:r>
    </w:p>
  </w:footnote>
  <w:footnote w:id="1">
    <w:p w14:paraId="4977C1BD" w14:textId="77777777" w:rsidR="004C5C95" w:rsidRPr="001329AD" w:rsidRDefault="004C5C95" w:rsidP="00A23043">
      <w:pPr>
        <w:pStyle w:val="Textonotapie"/>
        <w:ind w:firstLine="0"/>
        <w:rPr>
          <w:rFonts w:ascii="Arial" w:hAnsi="Arial" w:cs="Arial"/>
          <w:sz w:val="18"/>
          <w:szCs w:val="18"/>
          <w:lang w:val="es-CO"/>
        </w:rPr>
      </w:pPr>
      <w:r w:rsidRPr="001329AD">
        <w:rPr>
          <w:rStyle w:val="Refdenotaalpie"/>
          <w:rFonts w:ascii="Arial" w:hAnsi="Arial" w:cs="Arial"/>
          <w:sz w:val="18"/>
          <w:szCs w:val="18"/>
        </w:rPr>
        <w:footnoteRef/>
      </w:r>
      <w:r w:rsidRPr="001329AD">
        <w:rPr>
          <w:rFonts w:ascii="Arial" w:hAnsi="Arial" w:cs="Arial"/>
          <w:sz w:val="18"/>
          <w:szCs w:val="18"/>
        </w:rPr>
        <w:t xml:space="preserve"> </w:t>
      </w:r>
      <w:r w:rsidRPr="001329AD">
        <w:rPr>
          <w:rFonts w:ascii="Arial" w:hAnsi="Arial" w:cs="Arial"/>
          <w:sz w:val="18"/>
          <w:szCs w:val="18"/>
          <w:lang w:val="es-CO"/>
        </w:rPr>
        <w:t>Sentencia T- 585 de 2011, Corte Constitucional.</w:t>
      </w:r>
    </w:p>
  </w:footnote>
  <w:footnote w:id="2">
    <w:p w14:paraId="12504F7F" w14:textId="77777777" w:rsidR="004C5C95" w:rsidRPr="001329AD" w:rsidRDefault="004C5C95" w:rsidP="00A23043">
      <w:pPr>
        <w:pStyle w:val="Textonotapie"/>
        <w:ind w:firstLine="0"/>
        <w:rPr>
          <w:rFonts w:ascii="Arial" w:hAnsi="Arial" w:cs="Arial"/>
          <w:sz w:val="18"/>
          <w:szCs w:val="18"/>
          <w:lang w:val="es-CO"/>
        </w:rPr>
      </w:pPr>
      <w:r w:rsidRPr="001329AD">
        <w:rPr>
          <w:rStyle w:val="Refdenotaalpie"/>
          <w:rFonts w:ascii="Arial" w:hAnsi="Arial" w:cs="Arial"/>
          <w:sz w:val="18"/>
          <w:szCs w:val="18"/>
        </w:rPr>
        <w:footnoteRef/>
      </w:r>
      <w:r w:rsidRPr="001329AD">
        <w:rPr>
          <w:rFonts w:ascii="Arial" w:hAnsi="Arial" w:cs="Arial"/>
          <w:sz w:val="18"/>
          <w:szCs w:val="18"/>
        </w:rPr>
        <w:t xml:space="preserve"> </w:t>
      </w:r>
      <w:r w:rsidRPr="001329AD">
        <w:rPr>
          <w:rFonts w:ascii="Arial" w:hAnsi="Arial" w:cs="Arial"/>
          <w:sz w:val="18"/>
          <w:szCs w:val="18"/>
          <w:lang w:val="es-CO"/>
        </w:rPr>
        <w:t>Sentencia T- 493 de 2013, Corte Constitucional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42A9E" w14:textId="36CD5F7B" w:rsidR="004C5C95" w:rsidRPr="006E2C4A" w:rsidRDefault="004C5C95" w:rsidP="006E2C4A">
    <w:pPr>
      <w:pStyle w:val="NormalWeb"/>
      <w:spacing w:before="0" w:beforeAutospacing="0" w:after="0" w:afterAutospacing="0"/>
      <w:jc w:val="both"/>
      <w:rPr>
        <w:rFonts w:ascii="Arial" w:hAnsi="Arial" w:cs="Arial"/>
        <w:sz w:val="18"/>
        <w:szCs w:val="18"/>
      </w:rPr>
    </w:pPr>
    <w:r w:rsidRPr="006E2C4A">
      <w:rPr>
        <w:rFonts w:ascii="Arial" w:hAnsi="Arial" w:cs="Arial"/>
        <w:sz w:val="18"/>
        <w:szCs w:val="18"/>
      </w:rPr>
      <w:t>Radicación No.: 66001-31-05-00</w:t>
    </w:r>
    <w:r w:rsidR="003434AC" w:rsidRPr="006E2C4A">
      <w:rPr>
        <w:rFonts w:ascii="Arial" w:hAnsi="Arial" w:cs="Arial"/>
        <w:sz w:val="18"/>
        <w:szCs w:val="18"/>
      </w:rPr>
      <w:t>1</w:t>
    </w:r>
    <w:r w:rsidRPr="006E2C4A">
      <w:rPr>
        <w:rFonts w:ascii="Arial" w:hAnsi="Arial" w:cs="Arial"/>
        <w:sz w:val="18"/>
        <w:szCs w:val="18"/>
      </w:rPr>
      <w:t>-20</w:t>
    </w:r>
    <w:r w:rsidR="003434AC" w:rsidRPr="006E2C4A">
      <w:rPr>
        <w:rFonts w:ascii="Arial" w:hAnsi="Arial" w:cs="Arial"/>
        <w:sz w:val="18"/>
        <w:szCs w:val="18"/>
      </w:rPr>
      <w:t>20</w:t>
    </w:r>
    <w:r w:rsidRPr="006E2C4A">
      <w:rPr>
        <w:rFonts w:ascii="Arial" w:hAnsi="Arial" w:cs="Arial"/>
        <w:sz w:val="18"/>
        <w:szCs w:val="18"/>
      </w:rPr>
      <w:t>-000</w:t>
    </w:r>
    <w:r w:rsidR="003434AC" w:rsidRPr="006E2C4A">
      <w:rPr>
        <w:rFonts w:ascii="Arial" w:hAnsi="Arial" w:cs="Arial"/>
        <w:sz w:val="18"/>
        <w:szCs w:val="18"/>
      </w:rPr>
      <w:t>10</w:t>
    </w:r>
    <w:r w:rsidRPr="006E2C4A">
      <w:rPr>
        <w:rFonts w:ascii="Arial" w:hAnsi="Arial" w:cs="Arial"/>
        <w:sz w:val="18"/>
        <w:szCs w:val="18"/>
      </w:rPr>
      <w:t>-01</w:t>
    </w:r>
  </w:p>
  <w:p w14:paraId="315A49A2" w14:textId="7ACAC884" w:rsidR="004C5C95" w:rsidRPr="006E2C4A" w:rsidRDefault="004C5C95" w:rsidP="006E2C4A">
    <w:pPr>
      <w:pStyle w:val="NormalWeb"/>
      <w:spacing w:before="0" w:beforeAutospacing="0" w:after="0" w:afterAutospacing="0"/>
      <w:jc w:val="both"/>
      <w:rPr>
        <w:rFonts w:ascii="Arial" w:hAnsi="Arial" w:cs="Arial"/>
        <w:sz w:val="18"/>
        <w:szCs w:val="18"/>
      </w:rPr>
    </w:pPr>
    <w:r w:rsidRPr="006E2C4A">
      <w:rPr>
        <w:rFonts w:ascii="Arial" w:hAnsi="Arial" w:cs="Arial"/>
        <w:sz w:val="18"/>
        <w:szCs w:val="18"/>
      </w:rPr>
      <w:t xml:space="preserve">Demandante: </w:t>
    </w:r>
    <w:r w:rsidR="003434AC" w:rsidRPr="006E2C4A">
      <w:rPr>
        <w:rFonts w:ascii="Arial" w:hAnsi="Arial" w:cs="Arial"/>
        <w:sz w:val="18"/>
        <w:szCs w:val="18"/>
      </w:rPr>
      <w:t>Jorge Suarez Valero</w:t>
    </w:r>
    <w:r w:rsidRPr="006E2C4A">
      <w:rPr>
        <w:rFonts w:ascii="Arial" w:hAnsi="Arial" w:cs="Arial"/>
        <w:sz w:val="18"/>
        <w:szCs w:val="18"/>
      </w:rPr>
      <w:t xml:space="preserve"> </w:t>
    </w:r>
  </w:p>
  <w:p w14:paraId="6611EFB4" w14:textId="28D7DC2F" w:rsidR="004C5C95" w:rsidRPr="006E2C4A" w:rsidRDefault="004C5C95" w:rsidP="006E2C4A">
    <w:pPr>
      <w:pStyle w:val="NormalWeb"/>
      <w:spacing w:before="0" w:beforeAutospacing="0" w:after="0" w:afterAutospacing="0"/>
      <w:jc w:val="both"/>
      <w:rPr>
        <w:rFonts w:ascii="Arial" w:hAnsi="Arial" w:cs="Arial"/>
        <w:sz w:val="18"/>
        <w:szCs w:val="18"/>
      </w:rPr>
    </w:pPr>
    <w:r w:rsidRPr="006E2C4A">
      <w:rPr>
        <w:rFonts w:ascii="Arial" w:hAnsi="Arial" w:cs="Arial"/>
        <w:sz w:val="18"/>
        <w:szCs w:val="18"/>
      </w:rPr>
      <w:t>Demandado: Colpensiones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1305"/>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326C5E"/>
    <w:multiLevelType w:val="hybridMultilevel"/>
    <w:tmpl w:val="68A27B30"/>
    <w:lvl w:ilvl="0" w:tplc="240A001B">
      <w:start w:val="1"/>
      <w:numFmt w:val="lowerRoman"/>
      <w:lvlText w:val="%1."/>
      <w:lvlJc w:val="righ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2" w15:restartNumberingAfterBreak="0">
    <w:nsid w:val="0CA97297"/>
    <w:multiLevelType w:val="multilevel"/>
    <w:tmpl w:val="C39823BA"/>
    <w:lvl w:ilvl="0">
      <w:start w:val="2"/>
      <w:numFmt w:val="decimal"/>
      <w:lvlText w:val="%1."/>
      <w:lvlJc w:val="left"/>
      <w:pPr>
        <w:ind w:left="450" w:hanging="450"/>
      </w:pPr>
      <w:rPr>
        <w:b/>
      </w:rPr>
    </w:lvl>
    <w:lvl w:ilvl="1">
      <w:start w:val="1"/>
      <w:numFmt w:val="decimal"/>
      <w:lvlText w:val="%1.%2."/>
      <w:lvlJc w:val="left"/>
      <w:pPr>
        <w:ind w:left="1425" w:hanging="720"/>
      </w:pPr>
      <w:rPr>
        <w:b/>
      </w:rPr>
    </w:lvl>
    <w:lvl w:ilvl="2">
      <w:start w:val="1"/>
      <w:numFmt w:val="decimal"/>
      <w:lvlText w:val="%1.%2.%3."/>
      <w:lvlJc w:val="left"/>
      <w:pPr>
        <w:ind w:left="2130" w:hanging="720"/>
      </w:pPr>
      <w:rPr>
        <w:b/>
      </w:rPr>
    </w:lvl>
    <w:lvl w:ilvl="3">
      <w:start w:val="1"/>
      <w:numFmt w:val="decimal"/>
      <w:lvlText w:val="%1.%2.%3.%4."/>
      <w:lvlJc w:val="left"/>
      <w:pPr>
        <w:ind w:left="3195" w:hanging="1080"/>
      </w:pPr>
      <w:rPr>
        <w:b/>
      </w:rPr>
    </w:lvl>
    <w:lvl w:ilvl="4">
      <w:start w:val="1"/>
      <w:numFmt w:val="decimal"/>
      <w:lvlText w:val="%1.%2.%3.%4.%5."/>
      <w:lvlJc w:val="left"/>
      <w:pPr>
        <w:ind w:left="4260" w:hanging="1440"/>
      </w:pPr>
      <w:rPr>
        <w:b/>
      </w:rPr>
    </w:lvl>
    <w:lvl w:ilvl="5">
      <w:start w:val="1"/>
      <w:numFmt w:val="decimal"/>
      <w:lvlText w:val="%1.%2.%3.%4.%5.%6."/>
      <w:lvlJc w:val="left"/>
      <w:pPr>
        <w:ind w:left="4965" w:hanging="1440"/>
      </w:pPr>
      <w:rPr>
        <w:b/>
      </w:rPr>
    </w:lvl>
    <w:lvl w:ilvl="6">
      <w:start w:val="1"/>
      <w:numFmt w:val="decimal"/>
      <w:lvlText w:val="%1.%2.%3.%4.%5.%6.%7."/>
      <w:lvlJc w:val="left"/>
      <w:pPr>
        <w:ind w:left="6030" w:hanging="1800"/>
      </w:pPr>
      <w:rPr>
        <w:b/>
      </w:rPr>
    </w:lvl>
    <w:lvl w:ilvl="7">
      <w:start w:val="1"/>
      <w:numFmt w:val="decimal"/>
      <w:lvlText w:val="%1.%2.%3.%4.%5.%6.%7.%8."/>
      <w:lvlJc w:val="left"/>
      <w:pPr>
        <w:ind w:left="7095" w:hanging="2160"/>
      </w:pPr>
      <w:rPr>
        <w:b/>
      </w:rPr>
    </w:lvl>
    <w:lvl w:ilvl="8">
      <w:start w:val="1"/>
      <w:numFmt w:val="decimal"/>
      <w:lvlText w:val="%1.%2.%3.%4.%5.%6.%7.%8.%9."/>
      <w:lvlJc w:val="left"/>
      <w:pPr>
        <w:ind w:left="7800" w:hanging="2160"/>
      </w:pPr>
      <w:rPr>
        <w:b/>
      </w:rPr>
    </w:lvl>
  </w:abstractNum>
  <w:abstractNum w:abstractNumId="3" w15:restartNumberingAfterBreak="0">
    <w:nsid w:val="10A42889"/>
    <w:multiLevelType w:val="multilevel"/>
    <w:tmpl w:val="1046B73A"/>
    <w:lvl w:ilvl="0">
      <w:start w:val="1"/>
      <w:numFmt w:val="decimal"/>
      <w:lvlText w:val="%1."/>
      <w:lvlJc w:val="left"/>
      <w:pPr>
        <w:ind w:left="1069" w:hanging="360"/>
      </w:pPr>
      <w:rPr>
        <w:b/>
        <w:sz w:val="22"/>
      </w:rPr>
    </w:lvl>
    <w:lvl w:ilvl="1">
      <w:start w:val="1"/>
      <w:numFmt w:val="decimal"/>
      <w:isLgl/>
      <w:lvlText w:val="%1.%2."/>
      <w:lvlJc w:val="left"/>
      <w:pPr>
        <w:ind w:left="1800" w:hanging="720"/>
      </w:pPr>
    </w:lvl>
    <w:lvl w:ilvl="2">
      <w:start w:val="1"/>
      <w:numFmt w:val="decimal"/>
      <w:isLgl/>
      <w:lvlText w:val="%1.%2.%3."/>
      <w:lvlJc w:val="left"/>
      <w:pPr>
        <w:ind w:left="2531" w:hanging="1080"/>
      </w:pPr>
    </w:lvl>
    <w:lvl w:ilvl="3">
      <w:start w:val="1"/>
      <w:numFmt w:val="decimal"/>
      <w:isLgl/>
      <w:lvlText w:val="%1.%2.%3.%4."/>
      <w:lvlJc w:val="left"/>
      <w:pPr>
        <w:ind w:left="2902" w:hanging="1080"/>
      </w:pPr>
    </w:lvl>
    <w:lvl w:ilvl="4">
      <w:start w:val="1"/>
      <w:numFmt w:val="decimal"/>
      <w:isLgl/>
      <w:lvlText w:val="%1.%2.%3.%4.%5."/>
      <w:lvlJc w:val="left"/>
      <w:pPr>
        <w:ind w:left="3633" w:hanging="1440"/>
      </w:pPr>
    </w:lvl>
    <w:lvl w:ilvl="5">
      <w:start w:val="1"/>
      <w:numFmt w:val="decimal"/>
      <w:isLgl/>
      <w:lvlText w:val="%1.%2.%3.%4.%5.%6."/>
      <w:lvlJc w:val="left"/>
      <w:pPr>
        <w:ind w:left="4364" w:hanging="1800"/>
      </w:pPr>
    </w:lvl>
    <w:lvl w:ilvl="6">
      <w:start w:val="1"/>
      <w:numFmt w:val="decimal"/>
      <w:isLgl/>
      <w:lvlText w:val="%1.%2.%3.%4.%5.%6.%7."/>
      <w:lvlJc w:val="left"/>
      <w:pPr>
        <w:ind w:left="4735" w:hanging="1800"/>
      </w:pPr>
    </w:lvl>
    <w:lvl w:ilvl="7">
      <w:start w:val="1"/>
      <w:numFmt w:val="decimal"/>
      <w:isLgl/>
      <w:lvlText w:val="%1.%2.%3.%4.%5.%6.%7.%8."/>
      <w:lvlJc w:val="left"/>
      <w:pPr>
        <w:ind w:left="5466" w:hanging="2160"/>
      </w:pPr>
    </w:lvl>
    <w:lvl w:ilvl="8">
      <w:start w:val="1"/>
      <w:numFmt w:val="decimal"/>
      <w:isLgl/>
      <w:lvlText w:val="%1.%2.%3.%4.%5.%6.%7.%8.%9."/>
      <w:lvlJc w:val="left"/>
      <w:pPr>
        <w:ind w:left="6197" w:hanging="2520"/>
      </w:pPr>
    </w:lvl>
  </w:abstractNum>
  <w:abstractNum w:abstractNumId="4" w15:restartNumberingAfterBreak="0">
    <w:nsid w:val="18E71870"/>
    <w:multiLevelType w:val="hybridMultilevel"/>
    <w:tmpl w:val="7E062AB6"/>
    <w:lvl w:ilvl="0" w:tplc="240A000F">
      <w:start w:val="1"/>
      <w:numFmt w:val="decimal"/>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5" w15:restartNumberingAfterBreak="0">
    <w:nsid w:val="1DBF6E8D"/>
    <w:multiLevelType w:val="hybridMultilevel"/>
    <w:tmpl w:val="AC7A350C"/>
    <w:lvl w:ilvl="0" w:tplc="E7ECF222">
      <w:start w:val="6"/>
      <w:numFmt w:val="bullet"/>
      <w:lvlText w:val="-"/>
      <w:lvlJc w:val="left"/>
      <w:pPr>
        <w:ind w:left="1068" w:hanging="360"/>
      </w:pPr>
      <w:rPr>
        <w:rFonts w:ascii="Tahoma" w:eastAsia="Times New Roman"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 w15:restartNumberingAfterBreak="0">
    <w:nsid w:val="33A56F37"/>
    <w:multiLevelType w:val="hybridMultilevel"/>
    <w:tmpl w:val="5156A940"/>
    <w:lvl w:ilvl="0" w:tplc="1828F980">
      <w:start w:val="4"/>
      <w:numFmt w:val="decimal"/>
      <w:lvlText w:val="%1-"/>
      <w:lvlJc w:val="left"/>
      <w:pPr>
        <w:ind w:left="72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7" w15:restartNumberingAfterBreak="0">
    <w:nsid w:val="486C20FD"/>
    <w:multiLevelType w:val="hybridMultilevel"/>
    <w:tmpl w:val="4A50665A"/>
    <w:lvl w:ilvl="0" w:tplc="0890D552">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99E7E94"/>
    <w:multiLevelType w:val="hybridMultilevel"/>
    <w:tmpl w:val="15D83D2E"/>
    <w:lvl w:ilvl="0" w:tplc="23FE39C2">
      <w:start w:val="1"/>
      <w:numFmt w:val="decimal"/>
      <w:lvlText w:val="%1."/>
      <w:lvlJc w:val="left"/>
      <w:pPr>
        <w:ind w:left="360" w:hanging="360"/>
      </w:pPr>
      <w:rPr>
        <w:rFonts w:hint="default"/>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59124E87"/>
    <w:multiLevelType w:val="hybridMultilevel"/>
    <w:tmpl w:val="113A52A2"/>
    <w:lvl w:ilvl="0" w:tplc="C38EA5E6">
      <w:start w:val="1"/>
      <w:numFmt w:val="lowerRoman"/>
      <w:lvlText w:val="%1)"/>
      <w:lvlJc w:val="left"/>
      <w:pPr>
        <w:ind w:left="1428" w:hanging="72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10"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E2E5AAF"/>
    <w:multiLevelType w:val="multilevel"/>
    <w:tmpl w:val="0A6E61F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6A300A2D"/>
    <w:multiLevelType w:val="multilevel"/>
    <w:tmpl w:val="3940B4F0"/>
    <w:lvl w:ilvl="0">
      <w:start w:val="4"/>
      <w:numFmt w:val="decimal"/>
      <w:lvlText w:val="%1"/>
      <w:lvlJc w:val="left"/>
      <w:pPr>
        <w:ind w:left="380" w:hanging="380"/>
      </w:pPr>
      <w:rPr>
        <w:rFonts w:hint="default"/>
        <w:b/>
        <w:sz w:val="24"/>
      </w:rPr>
    </w:lvl>
    <w:lvl w:ilvl="1">
      <w:start w:val="1"/>
      <w:numFmt w:val="decimal"/>
      <w:lvlText w:val="%1.%2"/>
      <w:lvlJc w:val="left"/>
      <w:pPr>
        <w:ind w:left="1800" w:hanging="720"/>
      </w:pPr>
      <w:rPr>
        <w:rFonts w:hint="default"/>
        <w:b/>
        <w:sz w:val="24"/>
      </w:rPr>
    </w:lvl>
    <w:lvl w:ilvl="2">
      <w:start w:val="1"/>
      <w:numFmt w:val="decimal"/>
      <w:lvlText w:val="%1.%2.%3"/>
      <w:lvlJc w:val="left"/>
      <w:pPr>
        <w:ind w:left="2880" w:hanging="720"/>
      </w:pPr>
      <w:rPr>
        <w:rFonts w:hint="default"/>
        <w:b/>
        <w:sz w:val="24"/>
      </w:rPr>
    </w:lvl>
    <w:lvl w:ilvl="3">
      <w:start w:val="1"/>
      <w:numFmt w:val="decimal"/>
      <w:lvlText w:val="%1.%2.%3.%4"/>
      <w:lvlJc w:val="left"/>
      <w:pPr>
        <w:ind w:left="4320" w:hanging="1080"/>
      </w:pPr>
      <w:rPr>
        <w:rFonts w:hint="default"/>
        <w:b/>
        <w:sz w:val="24"/>
      </w:rPr>
    </w:lvl>
    <w:lvl w:ilvl="4">
      <w:start w:val="1"/>
      <w:numFmt w:val="decimal"/>
      <w:lvlText w:val="%1.%2.%3.%4.%5"/>
      <w:lvlJc w:val="left"/>
      <w:pPr>
        <w:ind w:left="5400" w:hanging="1080"/>
      </w:pPr>
      <w:rPr>
        <w:rFonts w:hint="default"/>
        <w:b/>
        <w:sz w:val="24"/>
      </w:rPr>
    </w:lvl>
    <w:lvl w:ilvl="5">
      <w:start w:val="1"/>
      <w:numFmt w:val="decimal"/>
      <w:lvlText w:val="%1.%2.%3.%4.%5.%6"/>
      <w:lvlJc w:val="left"/>
      <w:pPr>
        <w:ind w:left="6840" w:hanging="1440"/>
      </w:pPr>
      <w:rPr>
        <w:rFonts w:hint="default"/>
        <w:b/>
        <w:sz w:val="24"/>
      </w:rPr>
    </w:lvl>
    <w:lvl w:ilvl="6">
      <w:start w:val="1"/>
      <w:numFmt w:val="decimal"/>
      <w:lvlText w:val="%1.%2.%3.%4.%5.%6.%7"/>
      <w:lvlJc w:val="left"/>
      <w:pPr>
        <w:ind w:left="8280" w:hanging="1800"/>
      </w:pPr>
      <w:rPr>
        <w:rFonts w:hint="default"/>
        <w:b/>
        <w:sz w:val="24"/>
      </w:rPr>
    </w:lvl>
    <w:lvl w:ilvl="7">
      <w:start w:val="1"/>
      <w:numFmt w:val="decimal"/>
      <w:lvlText w:val="%1.%2.%3.%4.%5.%6.%7.%8"/>
      <w:lvlJc w:val="left"/>
      <w:pPr>
        <w:ind w:left="9360" w:hanging="1800"/>
      </w:pPr>
      <w:rPr>
        <w:rFonts w:hint="default"/>
        <w:b/>
        <w:sz w:val="24"/>
      </w:rPr>
    </w:lvl>
    <w:lvl w:ilvl="8">
      <w:start w:val="1"/>
      <w:numFmt w:val="decimal"/>
      <w:lvlText w:val="%1.%2.%3.%4.%5.%6.%7.%8.%9"/>
      <w:lvlJc w:val="left"/>
      <w:pPr>
        <w:ind w:left="10800" w:hanging="2160"/>
      </w:pPr>
      <w:rPr>
        <w:rFonts w:hint="default"/>
        <w:b/>
        <w:sz w:val="24"/>
      </w:rPr>
    </w:lvl>
  </w:abstractNum>
  <w:abstractNum w:abstractNumId="13" w15:restartNumberingAfterBreak="0">
    <w:nsid w:val="6C42761D"/>
    <w:multiLevelType w:val="multilevel"/>
    <w:tmpl w:val="87F2DC1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4" w15:restartNumberingAfterBreak="0">
    <w:nsid w:val="764B647B"/>
    <w:multiLevelType w:val="multilevel"/>
    <w:tmpl w:val="D28869B6"/>
    <w:lvl w:ilvl="0">
      <w:start w:val="1"/>
      <w:numFmt w:val="decimal"/>
      <w:lvlText w:val="%1."/>
      <w:lvlJc w:val="left"/>
      <w:pPr>
        <w:ind w:left="720"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2136" w:hanging="108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900" w:hanging="1800"/>
      </w:pPr>
      <w:rPr>
        <w:rFonts w:hint="default"/>
      </w:rPr>
    </w:lvl>
    <w:lvl w:ilvl="6">
      <w:start w:val="1"/>
      <w:numFmt w:val="decimal"/>
      <w:isLgl/>
      <w:lvlText w:val="%1.%2.%3.%4.%5.%6.%7"/>
      <w:lvlJc w:val="left"/>
      <w:pPr>
        <w:ind w:left="4608" w:hanging="216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664" w:hanging="2520"/>
      </w:pPr>
      <w:rPr>
        <w:rFonts w:hint="default"/>
      </w:rPr>
    </w:lvl>
  </w:abstractNum>
  <w:num w:numId="1">
    <w:abstractNumId w:val="8"/>
  </w:num>
  <w:num w:numId="2">
    <w:abstractNumId w:val="14"/>
  </w:num>
  <w:num w:numId="3">
    <w:abstractNumId w:val="7"/>
  </w:num>
  <w:num w:numId="4">
    <w:abstractNumId w:val="13"/>
  </w:num>
  <w:num w:numId="5">
    <w:abstractNumId w:val="1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
  </w:num>
  <w:num w:numId="14">
    <w:abstractNumId w:val="6"/>
  </w:num>
  <w:num w:numId="15">
    <w:abstractNumId w:val="0"/>
  </w:num>
  <w:num w:numId="16">
    <w:abstractNumId w:val="11"/>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C55"/>
    <w:rsid w:val="00002C6C"/>
    <w:rsid w:val="00003C73"/>
    <w:rsid w:val="000052A3"/>
    <w:rsid w:val="00005A8C"/>
    <w:rsid w:val="00005D87"/>
    <w:rsid w:val="000075D3"/>
    <w:rsid w:val="00007971"/>
    <w:rsid w:val="0001123B"/>
    <w:rsid w:val="00015883"/>
    <w:rsid w:val="000201FF"/>
    <w:rsid w:val="000224A2"/>
    <w:rsid w:val="00025252"/>
    <w:rsid w:val="00026768"/>
    <w:rsid w:val="000277FA"/>
    <w:rsid w:val="00036566"/>
    <w:rsid w:val="00036A4A"/>
    <w:rsid w:val="0003735F"/>
    <w:rsid w:val="0004271E"/>
    <w:rsid w:val="000439EB"/>
    <w:rsid w:val="00043A7E"/>
    <w:rsid w:val="00046542"/>
    <w:rsid w:val="00046ADC"/>
    <w:rsid w:val="00046EE6"/>
    <w:rsid w:val="00046F83"/>
    <w:rsid w:val="00047BED"/>
    <w:rsid w:val="000504F0"/>
    <w:rsid w:val="000603AE"/>
    <w:rsid w:val="00061E03"/>
    <w:rsid w:val="00062A9C"/>
    <w:rsid w:val="000632FE"/>
    <w:rsid w:val="00065018"/>
    <w:rsid w:val="00082BF4"/>
    <w:rsid w:val="00083AA6"/>
    <w:rsid w:val="00086392"/>
    <w:rsid w:val="00087BAB"/>
    <w:rsid w:val="0009072C"/>
    <w:rsid w:val="00093B21"/>
    <w:rsid w:val="000974A7"/>
    <w:rsid w:val="000B0BA2"/>
    <w:rsid w:val="000B10F5"/>
    <w:rsid w:val="000B355B"/>
    <w:rsid w:val="000B6890"/>
    <w:rsid w:val="000B7630"/>
    <w:rsid w:val="000C29B4"/>
    <w:rsid w:val="000C3829"/>
    <w:rsid w:val="000C41A1"/>
    <w:rsid w:val="000C47E3"/>
    <w:rsid w:val="000C5099"/>
    <w:rsid w:val="000D0DC7"/>
    <w:rsid w:val="000D4AFA"/>
    <w:rsid w:val="000D4E64"/>
    <w:rsid w:val="000D5E1E"/>
    <w:rsid w:val="000D76AA"/>
    <w:rsid w:val="000E02D9"/>
    <w:rsid w:val="000E3C7B"/>
    <w:rsid w:val="000E4759"/>
    <w:rsid w:val="000E56AF"/>
    <w:rsid w:val="000F4167"/>
    <w:rsid w:val="000F53E9"/>
    <w:rsid w:val="000F64A2"/>
    <w:rsid w:val="000F7327"/>
    <w:rsid w:val="00100C4B"/>
    <w:rsid w:val="00111A98"/>
    <w:rsid w:val="00112F57"/>
    <w:rsid w:val="001134F9"/>
    <w:rsid w:val="00116069"/>
    <w:rsid w:val="00122A22"/>
    <w:rsid w:val="001248B6"/>
    <w:rsid w:val="0012560F"/>
    <w:rsid w:val="00125D21"/>
    <w:rsid w:val="00126A79"/>
    <w:rsid w:val="0013340A"/>
    <w:rsid w:val="00135C9B"/>
    <w:rsid w:val="001364A3"/>
    <w:rsid w:val="00140779"/>
    <w:rsid w:val="00145D2E"/>
    <w:rsid w:val="00150798"/>
    <w:rsid w:val="00157CF9"/>
    <w:rsid w:val="00164C30"/>
    <w:rsid w:val="001713D7"/>
    <w:rsid w:val="00174E4B"/>
    <w:rsid w:val="001754FB"/>
    <w:rsid w:val="00176668"/>
    <w:rsid w:val="00182DCB"/>
    <w:rsid w:val="00183876"/>
    <w:rsid w:val="00184BE9"/>
    <w:rsid w:val="001856B6"/>
    <w:rsid w:val="0019535E"/>
    <w:rsid w:val="00196DDD"/>
    <w:rsid w:val="001A0352"/>
    <w:rsid w:val="001A20D6"/>
    <w:rsid w:val="001A39D6"/>
    <w:rsid w:val="001B2D19"/>
    <w:rsid w:val="001B4362"/>
    <w:rsid w:val="001C1297"/>
    <w:rsid w:val="001C3BB7"/>
    <w:rsid w:val="001C5C55"/>
    <w:rsid w:val="001C6844"/>
    <w:rsid w:val="001C789C"/>
    <w:rsid w:val="001D10AD"/>
    <w:rsid w:val="001D3237"/>
    <w:rsid w:val="001D3C29"/>
    <w:rsid w:val="001D3DB4"/>
    <w:rsid w:val="001E1007"/>
    <w:rsid w:val="001E1117"/>
    <w:rsid w:val="001E1C03"/>
    <w:rsid w:val="001E6814"/>
    <w:rsid w:val="001F5BD9"/>
    <w:rsid w:val="001F6738"/>
    <w:rsid w:val="001F6F59"/>
    <w:rsid w:val="0020043F"/>
    <w:rsid w:val="00204621"/>
    <w:rsid w:val="0020615A"/>
    <w:rsid w:val="0021019A"/>
    <w:rsid w:val="00210641"/>
    <w:rsid w:val="00216272"/>
    <w:rsid w:val="002208CB"/>
    <w:rsid w:val="0022499D"/>
    <w:rsid w:val="00235167"/>
    <w:rsid w:val="00240183"/>
    <w:rsid w:val="00245004"/>
    <w:rsid w:val="00246C58"/>
    <w:rsid w:val="00250503"/>
    <w:rsid w:val="00251EEC"/>
    <w:rsid w:val="00257723"/>
    <w:rsid w:val="0026352C"/>
    <w:rsid w:val="00267BB5"/>
    <w:rsid w:val="00270192"/>
    <w:rsid w:val="00275410"/>
    <w:rsid w:val="00277B69"/>
    <w:rsid w:val="00282883"/>
    <w:rsid w:val="002830A1"/>
    <w:rsid w:val="0028598A"/>
    <w:rsid w:val="00296566"/>
    <w:rsid w:val="002A0746"/>
    <w:rsid w:val="002A29EF"/>
    <w:rsid w:val="002A3355"/>
    <w:rsid w:val="002A52A8"/>
    <w:rsid w:val="002A5771"/>
    <w:rsid w:val="002B0215"/>
    <w:rsid w:val="002B0483"/>
    <w:rsid w:val="002B234F"/>
    <w:rsid w:val="002B375D"/>
    <w:rsid w:val="002B5748"/>
    <w:rsid w:val="002B5C2F"/>
    <w:rsid w:val="002C3EFA"/>
    <w:rsid w:val="002C4173"/>
    <w:rsid w:val="002C5830"/>
    <w:rsid w:val="002C7EAA"/>
    <w:rsid w:val="002D4D75"/>
    <w:rsid w:val="002D68FD"/>
    <w:rsid w:val="002D750B"/>
    <w:rsid w:val="002D77C2"/>
    <w:rsid w:val="002E00D8"/>
    <w:rsid w:val="002E0AD1"/>
    <w:rsid w:val="002E2C8A"/>
    <w:rsid w:val="002E43B1"/>
    <w:rsid w:val="002E515B"/>
    <w:rsid w:val="002E5FC8"/>
    <w:rsid w:val="002E7149"/>
    <w:rsid w:val="002F0206"/>
    <w:rsid w:val="002F2E9B"/>
    <w:rsid w:val="002F3161"/>
    <w:rsid w:val="002F4390"/>
    <w:rsid w:val="002F4948"/>
    <w:rsid w:val="002F70D6"/>
    <w:rsid w:val="0030061A"/>
    <w:rsid w:val="00300CEB"/>
    <w:rsid w:val="0030319A"/>
    <w:rsid w:val="0030550E"/>
    <w:rsid w:val="00313181"/>
    <w:rsid w:val="00313D90"/>
    <w:rsid w:val="00314B3C"/>
    <w:rsid w:val="003166F5"/>
    <w:rsid w:val="003179D5"/>
    <w:rsid w:val="003228DF"/>
    <w:rsid w:val="00323328"/>
    <w:rsid w:val="00324DDD"/>
    <w:rsid w:val="0032533C"/>
    <w:rsid w:val="0032634B"/>
    <w:rsid w:val="00326A77"/>
    <w:rsid w:val="00327A47"/>
    <w:rsid w:val="0033347B"/>
    <w:rsid w:val="00333C74"/>
    <w:rsid w:val="0033454A"/>
    <w:rsid w:val="00334972"/>
    <w:rsid w:val="003434AC"/>
    <w:rsid w:val="00344900"/>
    <w:rsid w:val="00345B5A"/>
    <w:rsid w:val="00345D77"/>
    <w:rsid w:val="00350AF8"/>
    <w:rsid w:val="00351197"/>
    <w:rsid w:val="00351E5E"/>
    <w:rsid w:val="003532F2"/>
    <w:rsid w:val="00355849"/>
    <w:rsid w:val="00356284"/>
    <w:rsid w:val="00360769"/>
    <w:rsid w:val="003616D4"/>
    <w:rsid w:val="00361D8A"/>
    <w:rsid w:val="00367CF8"/>
    <w:rsid w:val="00370A98"/>
    <w:rsid w:val="003743BA"/>
    <w:rsid w:val="003772A9"/>
    <w:rsid w:val="0038167C"/>
    <w:rsid w:val="003826CF"/>
    <w:rsid w:val="00385DFE"/>
    <w:rsid w:val="00386AAA"/>
    <w:rsid w:val="00387A6C"/>
    <w:rsid w:val="00390068"/>
    <w:rsid w:val="00390792"/>
    <w:rsid w:val="00391C11"/>
    <w:rsid w:val="00391C41"/>
    <w:rsid w:val="00392C2A"/>
    <w:rsid w:val="00393B2F"/>
    <w:rsid w:val="003962D7"/>
    <w:rsid w:val="003A0CDB"/>
    <w:rsid w:val="003A3C61"/>
    <w:rsid w:val="003A4D34"/>
    <w:rsid w:val="003B2E38"/>
    <w:rsid w:val="003B3515"/>
    <w:rsid w:val="003B3B5F"/>
    <w:rsid w:val="003B59E9"/>
    <w:rsid w:val="003B727C"/>
    <w:rsid w:val="003C1D58"/>
    <w:rsid w:val="003C279F"/>
    <w:rsid w:val="003C2E4C"/>
    <w:rsid w:val="003C2E6E"/>
    <w:rsid w:val="003C3A38"/>
    <w:rsid w:val="003C4B26"/>
    <w:rsid w:val="003D04BE"/>
    <w:rsid w:val="003D4E64"/>
    <w:rsid w:val="003D6B4F"/>
    <w:rsid w:val="003E03B8"/>
    <w:rsid w:val="003E228C"/>
    <w:rsid w:val="003E5B84"/>
    <w:rsid w:val="003E6426"/>
    <w:rsid w:val="003F3B61"/>
    <w:rsid w:val="00404E45"/>
    <w:rsid w:val="00405CE8"/>
    <w:rsid w:val="004078A3"/>
    <w:rsid w:val="004140FA"/>
    <w:rsid w:val="004152DC"/>
    <w:rsid w:val="00417207"/>
    <w:rsid w:val="0041765E"/>
    <w:rsid w:val="004267E5"/>
    <w:rsid w:val="004277EA"/>
    <w:rsid w:val="004302BF"/>
    <w:rsid w:val="00435828"/>
    <w:rsid w:val="00436A8B"/>
    <w:rsid w:val="0044364A"/>
    <w:rsid w:val="0044439D"/>
    <w:rsid w:val="004456F1"/>
    <w:rsid w:val="0044579D"/>
    <w:rsid w:val="004477F3"/>
    <w:rsid w:val="00450CAB"/>
    <w:rsid w:val="00452DAE"/>
    <w:rsid w:val="00455B66"/>
    <w:rsid w:val="004561F8"/>
    <w:rsid w:val="00457088"/>
    <w:rsid w:val="00460769"/>
    <w:rsid w:val="00464B56"/>
    <w:rsid w:val="00465688"/>
    <w:rsid w:val="004658F2"/>
    <w:rsid w:val="004662C3"/>
    <w:rsid w:val="00470C75"/>
    <w:rsid w:val="0047197E"/>
    <w:rsid w:val="00474B14"/>
    <w:rsid w:val="00475006"/>
    <w:rsid w:val="00475E00"/>
    <w:rsid w:val="00476C27"/>
    <w:rsid w:val="00477541"/>
    <w:rsid w:val="00480419"/>
    <w:rsid w:val="00481D86"/>
    <w:rsid w:val="004835E8"/>
    <w:rsid w:val="00484FFB"/>
    <w:rsid w:val="0049149E"/>
    <w:rsid w:val="004922F9"/>
    <w:rsid w:val="0049510F"/>
    <w:rsid w:val="00496F50"/>
    <w:rsid w:val="004A23C1"/>
    <w:rsid w:val="004A4239"/>
    <w:rsid w:val="004A48AF"/>
    <w:rsid w:val="004A48B0"/>
    <w:rsid w:val="004A6EC3"/>
    <w:rsid w:val="004B594A"/>
    <w:rsid w:val="004B671B"/>
    <w:rsid w:val="004C2076"/>
    <w:rsid w:val="004C2FCF"/>
    <w:rsid w:val="004C3FF5"/>
    <w:rsid w:val="004C5C95"/>
    <w:rsid w:val="004C620A"/>
    <w:rsid w:val="004D0AEA"/>
    <w:rsid w:val="004D41D5"/>
    <w:rsid w:val="004D62FF"/>
    <w:rsid w:val="004E03F2"/>
    <w:rsid w:val="004E1066"/>
    <w:rsid w:val="004E6432"/>
    <w:rsid w:val="004E70E9"/>
    <w:rsid w:val="004E749A"/>
    <w:rsid w:val="004F1D0C"/>
    <w:rsid w:val="00501E4E"/>
    <w:rsid w:val="0050274B"/>
    <w:rsid w:val="00502F6C"/>
    <w:rsid w:val="00510442"/>
    <w:rsid w:val="00511128"/>
    <w:rsid w:val="00513B68"/>
    <w:rsid w:val="00517B6E"/>
    <w:rsid w:val="005202CE"/>
    <w:rsid w:val="00522087"/>
    <w:rsid w:val="00523273"/>
    <w:rsid w:val="00530233"/>
    <w:rsid w:val="00530750"/>
    <w:rsid w:val="00531F87"/>
    <w:rsid w:val="00535CB8"/>
    <w:rsid w:val="00535EDC"/>
    <w:rsid w:val="00537589"/>
    <w:rsid w:val="00537FD3"/>
    <w:rsid w:val="00540234"/>
    <w:rsid w:val="00543656"/>
    <w:rsid w:val="00544E08"/>
    <w:rsid w:val="00557579"/>
    <w:rsid w:val="00562E3B"/>
    <w:rsid w:val="00563272"/>
    <w:rsid w:val="00567068"/>
    <w:rsid w:val="005679C6"/>
    <w:rsid w:val="00574219"/>
    <w:rsid w:val="0057707E"/>
    <w:rsid w:val="0057711C"/>
    <w:rsid w:val="005854A7"/>
    <w:rsid w:val="00591AE5"/>
    <w:rsid w:val="005942E7"/>
    <w:rsid w:val="005973A3"/>
    <w:rsid w:val="005A14B1"/>
    <w:rsid w:val="005A168F"/>
    <w:rsid w:val="005A3A45"/>
    <w:rsid w:val="005A3BD3"/>
    <w:rsid w:val="005A44F6"/>
    <w:rsid w:val="005A4F60"/>
    <w:rsid w:val="005B00AE"/>
    <w:rsid w:val="005B1FE6"/>
    <w:rsid w:val="005B21CE"/>
    <w:rsid w:val="005B2EAC"/>
    <w:rsid w:val="005B3631"/>
    <w:rsid w:val="005B4337"/>
    <w:rsid w:val="005B5980"/>
    <w:rsid w:val="005B788F"/>
    <w:rsid w:val="005B7A03"/>
    <w:rsid w:val="005C01F3"/>
    <w:rsid w:val="005C0473"/>
    <w:rsid w:val="005C1484"/>
    <w:rsid w:val="005C19CC"/>
    <w:rsid w:val="005C6145"/>
    <w:rsid w:val="005C6499"/>
    <w:rsid w:val="005D0CD4"/>
    <w:rsid w:val="005D63D2"/>
    <w:rsid w:val="005D79B5"/>
    <w:rsid w:val="005E05CC"/>
    <w:rsid w:val="005E2E72"/>
    <w:rsid w:val="005E2EF2"/>
    <w:rsid w:val="005E504D"/>
    <w:rsid w:val="005E53E5"/>
    <w:rsid w:val="005E613B"/>
    <w:rsid w:val="005E6DCB"/>
    <w:rsid w:val="005F22E6"/>
    <w:rsid w:val="005F23A6"/>
    <w:rsid w:val="005F4AA0"/>
    <w:rsid w:val="005F4EE1"/>
    <w:rsid w:val="0060501C"/>
    <w:rsid w:val="00613424"/>
    <w:rsid w:val="00614497"/>
    <w:rsid w:val="006150A1"/>
    <w:rsid w:val="00615AA7"/>
    <w:rsid w:val="00625F92"/>
    <w:rsid w:val="00626C30"/>
    <w:rsid w:val="0063317A"/>
    <w:rsid w:val="006332EC"/>
    <w:rsid w:val="00633BB6"/>
    <w:rsid w:val="00634CA0"/>
    <w:rsid w:val="00640254"/>
    <w:rsid w:val="00641CF1"/>
    <w:rsid w:val="00643F2D"/>
    <w:rsid w:val="00646BBA"/>
    <w:rsid w:val="00653391"/>
    <w:rsid w:val="00653CAC"/>
    <w:rsid w:val="00660C5E"/>
    <w:rsid w:val="00660E51"/>
    <w:rsid w:val="006614D4"/>
    <w:rsid w:val="00662BE1"/>
    <w:rsid w:val="00662E3D"/>
    <w:rsid w:val="00664440"/>
    <w:rsid w:val="006674C3"/>
    <w:rsid w:val="00671522"/>
    <w:rsid w:val="00674338"/>
    <w:rsid w:val="0067720F"/>
    <w:rsid w:val="006872B2"/>
    <w:rsid w:val="00687DE4"/>
    <w:rsid w:val="00693769"/>
    <w:rsid w:val="00693F1D"/>
    <w:rsid w:val="00696EF5"/>
    <w:rsid w:val="00697866"/>
    <w:rsid w:val="006A33FC"/>
    <w:rsid w:val="006A620D"/>
    <w:rsid w:val="006B2CF7"/>
    <w:rsid w:val="006B70FB"/>
    <w:rsid w:val="006C1C69"/>
    <w:rsid w:val="006C1CA4"/>
    <w:rsid w:val="006C2F1A"/>
    <w:rsid w:val="006C420C"/>
    <w:rsid w:val="006C45BE"/>
    <w:rsid w:val="006C53DE"/>
    <w:rsid w:val="006D0D3C"/>
    <w:rsid w:val="006D126D"/>
    <w:rsid w:val="006D50B8"/>
    <w:rsid w:val="006D59CB"/>
    <w:rsid w:val="006D59FC"/>
    <w:rsid w:val="006E18FE"/>
    <w:rsid w:val="006E2C4A"/>
    <w:rsid w:val="006E3CCD"/>
    <w:rsid w:val="006E4354"/>
    <w:rsid w:val="006E5D81"/>
    <w:rsid w:val="006F012D"/>
    <w:rsid w:val="006F0909"/>
    <w:rsid w:val="006F7544"/>
    <w:rsid w:val="006F7B1A"/>
    <w:rsid w:val="00703932"/>
    <w:rsid w:val="00704970"/>
    <w:rsid w:val="00714427"/>
    <w:rsid w:val="00715088"/>
    <w:rsid w:val="00722B5A"/>
    <w:rsid w:val="007230D8"/>
    <w:rsid w:val="007266D3"/>
    <w:rsid w:val="00732392"/>
    <w:rsid w:val="00732B40"/>
    <w:rsid w:val="007342D2"/>
    <w:rsid w:val="007345A0"/>
    <w:rsid w:val="0074061C"/>
    <w:rsid w:val="007425E0"/>
    <w:rsid w:val="00742D6A"/>
    <w:rsid w:val="00744513"/>
    <w:rsid w:val="0074537E"/>
    <w:rsid w:val="007467D0"/>
    <w:rsid w:val="00747080"/>
    <w:rsid w:val="00747C40"/>
    <w:rsid w:val="0075190B"/>
    <w:rsid w:val="00752CB7"/>
    <w:rsid w:val="00754227"/>
    <w:rsid w:val="00754A65"/>
    <w:rsid w:val="007570CF"/>
    <w:rsid w:val="00757410"/>
    <w:rsid w:val="007574A1"/>
    <w:rsid w:val="00761E80"/>
    <w:rsid w:val="007629BB"/>
    <w:rsid w:val="007665E1"/>
    <w:rsid w:val="007733DA"/>
    <w:rsid w:val="00777A87"/>
    <w:rsid w:val="00777E39"/>
    <w:rsid w:val="00780409"/>
    <w:rsid w:val="00780ED5"/>
    <w:rsid w:val="00782549"/>
    <w:rsid w:val="00786ED8"/>
    <w:rsid w:val="00787907"/>
    <w:rsid w:val="00792F41"/>
    <w:rsid w:val="00793A8C"/>
    <w:rsid w:val="0079404A"/>
    <w:rsid w:val="0079580E"/>
    <w:rsid w:val="0079605D"/>
    <w:rsid w:val="007A0529"/>
    <w:rsid w:val="007A1934"/>
    <w:rsid w:val="007A23AF"/>
    <w:rsid w:val="007A4827"/>
    <w:rsid w:val="007A62E5"/>
    <w:rsid w:val="007B2B3C"/>
    <w:rsid w:val="007B2F62"/>
    <w:rsid w:val="007B555E"/>
    <w:rsid w:val="007B6843"/>
    <w:rsid w:val="007C5A33"/>
    <w:rsid w:val="007C5D72"/>
    <w:rsid w:val="007C7646"/>
    <w:rsid w:val="007D1245"/>
    <w:rsid w:val="007D15EF"/>
    <w:rsid w:val="007D16FA"/>
    <w:rsid w:val="007D1E43"/>
    <w:rsid w:val="007D2122"/>
    <w:rsid w:val="007D4116"/>
    <w:rsid w:val="007D4770"/>
    <w:rsid w:val="007D4D80"/>
    <w:rsid w:val="007F0981"/>
    <w:rsid w:val="007F261B"/>
    <w:rsid w:val="007F4182"/>
    <w:rsid w:val="007F533D"/>
    <w:rsid w:val="007F6AC2"/>
    <w:rsid w:val="00800769"/>
    <w:rsid w:val="00803C37"/>
    <w:rsid w:val="00804329"/>
    <w:rsid w:val="008043E4"/>
    <w:rsid w:val="00804427"/>
    <w:rsid w:val="008117B7"/>
    <w:rsid w:val="00811C4C"/>
    <w:rsid w:val="008172B5"/>
    <w:rsid w:val="00817801"/>
    <w:rsid w:val="00824AE6"/>
    <w:rsid w:val="008261E8"/>
    <w:rsid w:val="00826658"/>
    <w:rsid w:val="00827D89"/>
    <w:rsid w:val="00832559"/>
    <w:rsid w:val="00832E72"/>
    <w:rsid w:val="00833DF0"/>
    <w:rsid w:val="00835B6E"/>
    <w:rsid w:val="008408D5"/>
    <w:rsid w:val="00841884"/>
    <w:rsid w:val="00841E72"/>
    <w:rsid w:val="00842145"/>
    <w:rsid w:val="00847839"/>
    <w:rsid w:val="008479F3"/>
    <w:rsid w:val="008501D4"/>
    <w:rsid w:val="00851E88"/>
    <w:rsid w:val="00854149"/>
    <w:rsid w:val="00854319"/>
    <w:rsid w:val="00867CFC"/>
    <w:rsid w:val="00870506"/>
    <w:rsid w:val="00872605"/>
    <w:rsid w:val="00873FCE"/>
    <w:rsid w:val="00876DBE"/>
    <w:rsid w:val="00880CEA"/>
    <w:rsid w:val="00885B75"/>
    <w:rsid w:val="00887B8D"/>
    <w:rsid w:val="00887DAA"/>
    <w:rsid w:val="008950F6"/>
    <w:rsid w:val="008A4DAB"/>
    <w:rsid w:val="008B1221"/>
    <w:rsid w:val="008B49A1"/>
    <w:rsid w:val="008B535E"/>
    <w:rsid w:val="008B720E"/>
    <w:rsid w:val="008C022B"/>
    <w:rsid w:val="008C28BE"/>
    <w:rsid w:val="008C2C67"/>
    <w:rsid w:val="008C60A4"/>
    <w:rsid w:val="008C74E7"/>
    <w:rsid w:val="008D03EA"/>
    <w:rsid w:val="008D1D44"/>
    <w:rsid w:val="008D600B"/>
    <w:rsid w:val="008E26FD"/>
    <w:rsid w:val="008E2BB3"/>
    <w:rsid w:val="008F0DC7"/>
    <w:rsid w:val="008F1F3E"/>
    <w:rsid w:val="008F51D0"/>
    <w:rsid w:val="008F539A"/>
    <w:rsid w:val="008F5EB9"/>
    <w:rsid w:val="00906EE7"/>
    <w:rsid w:val="009134E4"/>
    <w:rsid w:val="0091658D"/>
    <w:rsid w:val="00921E59"/>
    <w:rsid w:val="0092308E"/>
    <w:rsid w:val="0092375C"/>
    <w:rsid w:val="00924AA7"/>
    <w:rsid w:val="00925DA3"/>
    <w:rsid w:val="00925E08"/>
    <w:rsid w:val="00926BCA"/>
    <w:rsid w:val="00927E48"/>
    <w:rsid w:val="009304E6"/>
    <w:rsid w:val="00930A61"/>
    <w:rsid w:val="00932327"/>
    <w:rsid w:val="00932D2D"/>
    <w:rsid w:val="009374D2"/>
    <w:rsid w:val="00940225"/>
    <w:rsid w:val="0094306E"/>
    <w:rsid w:val="0094370E"/>
    <w:rsid w:val="009443F3"/>
    <w:rsid w:val="009449C2"/>
    <w:rsid w:val="00946072"/>
    <w:rsid w:val="00946232"/>
    <w:rsid w:val="009550DF"/>
    <w:rsid w:val="009570F7"/>
    <w:rsid w:val="00965B2F"/>
    <w:rsid w:val="00970EC5"/>
    <w:rsid w:val="009736BB"/>
    <w:rsid w:val="00973EBC"/>
    <w:rsid w:val="00981055"/>
    <w:rsid w:val="009826F1"/>
    <w:rsid w:val="009832EE"/>
    <w:rsid w:val="009862EC"/>
    <w:rsid w:val="00986B39"/>
    <w:rsid w:val="0099177D"/>
    <w:rsid w:val="00994003"/>
    <w:rsid w:val="00997C3E"/>
    <w:rsid w:val="009A1839"/>
    <w:rsid w:val="009A3DD0"/>
    <w:rsid w:val="009A429D"/>
    <w:rsid w:val="009B15F5"/>
    <w:rsid w:val="009B2618"/>
    <w:rsid w:val="009B44B5"/>
    <w:rsid w:val="009C6A3A"/>
    <w:rsid w:val="009D030F"/>
    <w:rsid w:val="009D0C81"/>
    <w:rsid w:val="009D2A71"/>
    <w:rsid w:val="009D3462"/>
    <w:rsid w:val="009D4314"/>
    <w:rsid w:val="009D4372"/>
    <w:rsid w:val="009D50E5"/>
    <w:rsid w:val="009E0D1E"/>
    <w:rsid w:val="009E1A99"/>
    <w:rsid w:val="009E1D22"/>
    <w:rsid w:val="009E2A5F"/>
    <w:rsid w:val="009E5473"/>
    <w:rsid w:val="009E61B9"/>
    <w:rsid w:val="009E6838"/>
    <w:rsid w:val="009E7547"/>
    <w:rsid w:val="009F0A6B"/>
    <w:rsid w:val="009F36AF"/>
    <w:rsid w:val="009F6C1C"/>
    <w:rsid w:val="009F7B32"/>
    <w:rsid w:val="00A01180"/>
    <w:rsid w:val="00A0191F"/>
    <w:rsid w:val="00A05485"/>
    <w:rsid w:val="00A109A7"/>
    <w:rsid w:val="00A1179F"/>
    <w:rsid w:val="00A12464"/>
    <w:rsid w:val="00A12A04"/>
    <w:rsid w:val="00A12A9C"/>
    <w:rsid w:val="00A13B3F"/>
    <w:rsid w:val="00A15EC6"/>
    <w:rsid w:val="00A16C41"/>
    <w:rsid w:val="00A23043"/>
    <w:rsid w:val="00A24FC6"/>
    <w:rsid w:val="00A25DF6"/>
    <w:rsid w:val="00A25EF4"/>
    <w:rsid w:val="00A31306"/>
    <w:rsid w:val="00A31755"/>
    <w:rsid w:val="00A3186B"/>
    <w:rsid w:val="00A31CFA"/>
    <w:rsid w:val="00A32E4C"/>
    <w:rsid w:val="00A330F5"/>
    <w:rsid w:val="00A40CE3"/>
    <w:rsid w:val="00A4332A"/>
    <w:rsid w:val="00A457BA"/>
    <w:rsid w:val="00A45966"/>
    <w:rsid w:val="00A46434"/>
    <w:rsid w:val="00A504BE"/>
    <w:rsid w:val="00A568BA"/>
    <w:rsid w:val="00A606EB"/>
    <w:rsid w:val="00A62487"/>
    <w:rsid w:val="00A65CC9"/>
    <w:rsid w:val="00A67872"/>
    <w:rsid w:val="00A70C5F"/>
    <w:rsid w:val="00A7223B"/>
    <w:rsid w:val="00A7341E"/>
    <w:rsid w:val="00A80948"/>
    <w:rsid w:val="00A9173F"/>
    <w:rsid w:val="00A970CD"/>
    <w:rsid w:val="00A976B2"/>
    <w:rsid w:val="00AA03D4"/>
    <w:rsid w:val="00AA0DFE"/>
    <w:rsid w:val="00AA120B"/>
    <w:rsid w:val="00AA49A9"/>
    <w:rsid w:val="00AB12BB"/>
    <w:rsid w:val="00AB3639"/>
    <w:rsid w:val="00AB4EB0"/>
    <w:rsid w:val="00AB577D"/>
    <w:rsid w:val="00AC14FE"/>
    <w:rsid w:val="00AC2F26"/>
    <w:rsid w:val="00AC51DB"/>
    <w:rsid w:val="00AC59F2"/>
    <w:rsid w:val="00AC6326"/>
    <w:rsid w:val="00AD6905"/>
    <w:rsid w:val="00AD748B"/>
    <w:rsid w:val="00AE031D"/>
    <w:rsid w:val="00AE218E"/>
    <w:rsid w:val="00AE618E"/>
    <w:rsid w:val="00AF0DFB"/>
    <w:rsid w:val="00AF0E6A"/>
    <w:rsid w:val="00AF232B"/>
    <w:rsid w:val="00AF281E"/>
    <w:rsid w:val="00AF5CE4"/>
    <w:rsid w:val="00AF6ADA"/>
    <w:rsid w:val="00B026C8"/>
    <w:rsid w:val="00B04495"/>
    <w:rsid w:val="00B127D3"/>
    <w:rsid w:val="00B136BD"/>
    <w:rsid w:val="00B14360"/>
    <w:rsid w:val="00B16364"/>
    <w:rsid w:val="00B21822"/>
    <w:rsid w:val="00B234FB"/>
    <w:rsid w:val="00B311B3"/>
    <w:rsid w:val="00B31E68"/>
    <w:rsid w:val="00B33B32"/>
    <w:rsid w:val="00B34C40"/>
    <w:rsid w:val="00B37DAE"/>
    <w:rsid w:val="00B40B63"/>
    <w:rsid w:val="00B42EF2"/>
    <w:rsid w:val="00B4550B"/>
    <w:rsid w:val="00B4585E"/>
    <w:rsid w:val="00B52029"/>
    <w:rsid w:val="00B52127"/>
    <w:rsid w:val="00B5237A"/>
    <w:rsid w:val="00B53498"/>
    <w:rsid w:val="00B54CAE"/>
    <w:rsid w:val="00B57054"/>
    <w:rsid w:val="00B6464E"/>
    <w:rsid w:val="00B658A1"/>
    <w:rsid w:val="00B67B58"/>
    <w:rsid w:val="00B74761"/>
    <w:rsid w:val="00B7529D"/>
    <w:rsid w:val="00B7785E"/>
    <w:rsid w:val="00B77D37"/>
    <w:rsid w:val="00B809D8"/>
    <w:rsid w:val="00B846C3"/>
    <w:rsid w:val="00B84779"/>
    <w:rsid w:val="00B86505"/>
    <w:rsid w:val="00B92B88"/>
    <w:rsid w:val="00BA4EA5"/>
    <w:rsid w:val="00BA5CFD"/>
    <w:rsid w:val="00BA5DC0"/>
    <w:rsid w:val="00BA784C"/>
    <w:rsid w:val="00BB2118"/>
    <w:rsid w:val="00BB2946"/>
    <w:rsid w:val="00BC017A"/>
    <w:rsid w:val="00BC1F6A"/>
    <w:rsid w:val="00BC28CC"/>
    <w:rsid w:val="00BC5426"/>
    <w:rsid w:val="00BC7F1C"/>
    <w:rsid w:val="00BD17BD"/>
    <w:rsid w:val="00BD2000"/>
    <w:rsid w:val="00BE2042"/>
    <w:rsid w:val="00BE2297"/>
    <w:rsid w:val="00BE4BA3"/>
    <w:rsid w:val="00BE4F08"/>
    <w:rsid w:val="00BE61B8"/>
    <w:rsid w:val="00BE7DF2"/>
    <w:rsid w:val="00BF0533"/>
    <w:rsid w:val="00BF3490"/>
    <w:rsid w:val="00BF4D5B"/>
    <w:rsid w:val="00BF52E8"/>
    <w:rsid w:val="00BF54E5"/>
    <w:rsid w:val="00BF6E66"/>
    <w:rsid w:val="00C025AF"/>
    <w:rsid w:val="00C026E9"/>
    <w:rsid w:val="00C048B5"/>
    <w:rsid w:val="00C05654"/>
    <w:rsid w:val="00C142C9"/>
    <w:rsid w:val="00C24361"/>
    <w:rsid w:val="00C25AFB"/>
    <w:rsid w:val="00C31E05"/>
    <w:rsid w:val="00C3386E"/>
    <w:rsid w:val="00C348CA"/>
    <w:rsid w:val="00C35899"/>
    <w:rsid w:val="00C4033B"/>
    <w:rsid w:val="00C40A84"/>
    <w:rsid w:val="00C41561"/>
    <w:rsid w:val="00C44332"/>
    <w:rsid w:val="00C4759C"/>
    <w:rsid w:val="00C5228A"/>
    <w:rsid w:val="00C52FEE"/>
    <w:rsid w:val="00C53D7C"/>
    <w:rsid w:val="00C62195"/>
    <w:rsid w:val="00C62C5A"/>
    <w:rsid w:val="00C63887"/>
    <w:rsid w:val="00C63B81"/>
    <w:rsid w:val="00C63E78"/>
    <w:rsid w:val="00C65818"/>
    <w:rsid w:val="00C6660F"/>
    <w:rsid w:val="00C70A6C"/>
    <w:rsid w:val="00C75AD9"/>
    <w:rsid w:val="00C76FB7"/>
    <w:rsid w:val="00C801DB"/>
    <w:rsid w:val="00C83682"/>
    <w:rsid w:val="00C86915"/>
    <w:rsid w:val="00C86EE6"/>
    <w:rsid w:val="00C87262"/>
    <w:rsid w:val="00C92C38"/>
    <w:rsid w:val="00C931FB"/>
    <w:rsid w:val="00C951DD"/>
    <w:rsid w:val="00CA2E30"/>
    <w:rsid w:val="00CA4E30"/>
    <w:rsid w:val="00CA67F8"/>
    <w:rsid w:val="00CA7D65"/>
    <w:rsid w:val="00CC0174"/>
    <w:rsid w:val="00CC252D"/>
    <w:rsid w:val="00CC3B5D"/>
    <w:rsid w:val="00CC44B4"/>
    <w:rsid w:val="00CC58FC"/>
    <w:rsid w:val="00CC7269"/>
    <w:rsid w:val="00CD27AB"/>
    <w:rsid w:val="00CD4331"/>
    <w:rsid w:val="00CD4B04"/>
    <w:rsid w:val="00CD4D64"/>
    <w:rsid w:val="00CD7823"/>
    <w:rsid w:val="00CE0134"/>
    <w:rsid w:val="00CE0D4F"/>
    <w:rsid w:val="00CE2FDA"/>
    <w:rsid w:val="00CE5BB7"/>
    <w:rsid w:val="00CF022D"/>
    <w:rsid w:val="00CF3177"/>
    <w:rsid w:val="00CF5E76"/>
    <w:rsid w:val="00D001F3"/>
    <w:rsid w:val="00D0153B"/>
    <w:rsid w:val="00D1065A"/>
    <w:rsid w:val="00D11840"/>
    <w:rsid w:val="00D178CD"/>
    <w:rsid w:val="00D204BC"/>
    <w:rsid w:val="00D21902"/>
    <w:rsid w:val="00D27F60"/>
    <w:rsid w:val="00D31830"/>
    <w:rsid w:val="00D3414E"/>
    <w:rsid w:val="00D36204"/>
    <w:rsid w:val="00D36587"/>
    <w:rsid w:val="00D36D7A"/>
    <w:rsid w:val="00D43E3D"/>
    <w:rsid w:val="00D457BA"/>
    <w:rsid w:val="00D54C99"/>
    <w:rsid w:val="00D55CF2"/>
    <w:rsid w:val="00D64EDD"/>
    <w:rsid w:val="00D6575B"/>
    <w:rsid w:val="00D65FA3"/>
    <w:rsid w:val="00D67223"/>
    <w:rsid w:val="00D77E17"/>
    <w:rsid w:val="00D81973"/>
    <w:rsid w:val="00D81B9E"/>
    <w:rsid w:val="00D83308"/>
    <w:rsid w:val="00D83D8A"/>
    <w:rsid w:val="00D85CAE"/>
    <w:rsid w:val="00D9364E"/>
    <w:rsid w:val="00D93AA7"/>
    <w:rsid w:val="00DA3BB8"/>
    <w:rsid w:val="00DB0169"/>
    <w:rsid w:val="00DB0A15"/>
    <w:rsid w:val="00DB0C1A"/>
    <w:rsid w:val="00DB5611"/>
    <w:rsid w:val="00DB7E85"/>
    <w:rsid w:val="00DC1DC9"/>
    <w:rsid w:val="00DC2437"/>
    <w:rsid w:val="00DC2683"/>
    <w:rsid w:val="00DC45EA"/>
    <w:rsid w:val="00DC4A83"/>
    <w:rsid w:val="00DD1D92"/>
    <w:rsid w:val="00DD3514"/>
    <w:rsid w:val="00DE0E0B"/>
    <w:rsid w:val="00DE10F5"/>
    <w:rsid w:val="00DE278E"/>
    <w:rsid w:val="00DE592A"/>
    <w:rsid w:val="00DE59C4"/>
    <w:rsid w:val="00DE778B"/>
    <w:rsid w:val="00DF15AA"/>
    <w:rsid w:val="00DF31C0"/>
    <w:rsid w:val="00DF5161"/>
    <w:rsid w:val="00DF54EA"/>
    <w:rsid w:val="00DF6AC7"/>
    <w:rsid w:val="00DF7963"/>
    <w:rsid w:val="00E05BF9"/>
    <w:rsid w:val="00E06077"/>
    <w:rsid w:val="00E105C0"/>
    <w:rsid w:val="00E11E21"/>
    <w:rsid w:val="00E1575A"/>
    <w:rsid w:val="00E23402"/>
    <w:rsid w:val="00E27AF8"/>
    <w:rsid w:val="00E40468"/>
    <w:rsid w:val="00E4275A"/>
    <w:rsid w:val="00E45061"/>
    <w:rsid w:val="00E45D7A"/>
    <w:rsid w:val="00E46EA8"/>
    <w:rsid w:val="00E50F52"/>
    <w:rsid w:val="00E51153"/>
    <w:rsid w:val="00E521B5"/>
    <w:rsid w:val="00E54DE2"/>
    <w:rsid w:val="00E55B99"/>
    <w:rsid w:val="00E57FD8"/>
    <w:rsid w:val="00E62322"/>
    <w:rsid w:val="00E65CD7"/>
    <w:rsid w:val="00E67E7E"/>
    <w:rsid w:val="00E72ECB"/>
    <w:rsid w:val="00E72F51"/>
    <w:rsid w:val="00E77122"/>
    <w:rsid w:val="00E81B41"/>
    <w:rsid w:val="00E94F0F"/>
    <w:rsid w:val="00E94F37"/>
    <w:rsid w:val="00E9549D"/>
    <w:rsid w:val="00E96C60"/>
    <w:rsid w:val="00EA3958"/>
    <w:rsid w:val="00EA4BFC"/>
    <w:rsid w:val="00EA5DB9"/>
    <w:rsid w:val="00EA5E3B"/>
    <w:rsid w:val="00EA6ED3"/>
    <w:rsid w:val="00EA7E9A"/>
    <w:rsid w:val="00EB096A"/>
    <w:rsid w:val="00EB1E21"/>
    <w:rsid w:val="00EB2616"/>
    <w:rsid w:val="00EB4880"/>
    <w:rsid w:val="00EB5B1B"/>
    <w:rsid w:val="00EB5F74"/>
    <w:rsid w:val="00EB6C33"/>
    <w:rsid w:val="00EC0CF9"/>
    <w:rsid w:val="00EC69D8"/>
    <w:rsid w:val="00ED17D1"/>
    <w:rsid w:val="00ED1C2D"/>
    <w:rsid w:val="00ED2F05"/>
    <w:rsid w:val="00ED451A"/>
    <w:rsid w:val="00ED51BB"/>
    <w:rsid w:val="00ED7794"/>
    <w:rsid w:val="00ED7A3C"/>
    <w:rsid w:val="00EE1913"/>
    <w:rsid w:val="00EE3123"/>
    <w:rsid w:val="00EE3847"/>
    <w:rsid w:val="00EE40F0"/>
    <w:rsid w:val="00EE4842"/>
    <w:rsid w:val="00EE749A"/>
    <w:rsid w:val="00EF08E6"/>
    <w:rsid w:val="00EF36E9"/>
    <w:rsid w:val="00EF3A89"/>
    <w:rsid w:val="00EF3E28"/>
    <w:rsid w:val="00EF7863"/>
    <w:rsid w:val="00F00FCD"/>
    <w:rsid w:val="00F0128E"/>
    <w:rsid w:val="00F01696"/>
    <w:rsid w:val="00F13207"/>
    <w:rsid w:val="00F1629E"/>
    <w:rsid w:val="00F20191"/>
    <w:rsid w:val="00F21B12"/>
    <w:rsid w:val="00F21BF5"/>
    <w:rsid w:val="00F22EF7"/>
    <w:rsid w:val="00F24AA4"/>
    <w:rsid w:val="00F2509B"/>
    <w:rsid w:val="00F25467"/>
    <w:rsid w:val="00F25B72"/>
    <w:rsid w:val="00F25B8C"/>
    <w:rsid w:val="00F26650"/>
    <w:rsid w:val="00F278BC"/>
    <w:rsid w:val="00F314F1"/>
    <w:rsid w:val="00F36BAB"/>
    <w:rsid w:val="00F4079D"/>
    <w:rsid w:val="00F40EAE"/>
    <w:rsid w:val="00F41FAB"/>
    <w:rsid w:val="00F4561E"/>
    <w:rsid w:val="00F45640"/>
    <w:rsid w:val="00F45EAC"/>
    <w:rsid w:val="00F45EAD"/>
    <w:rsid w:val="00F50BC8"/>
    <w:rsid w:val="00F50CA5"/>
    <w:rsid w:val="00F52A16"/>
    <w:rsid w:val="00F54795"/>
    <w:rsid w:val="00F54A53"/>
    <w:rsid w:val="00F57790"/>
    <w:rsid w:val="00F615DC"/>
    <w:rsid w:val="00F62803"/>
    <w:rsid w:val="00F64F82"/>
    <w:rsid w:val="00F71F34"/>
    <w:rsid w:val="00F7367C"/>
    <w:rsid w:val="00F7733C"/>
    <w:rsid w:val="00F77EFF"/>
    <w:rsid w:val="00F8390A"/>
    <w:rsid w:val="00F9407A"/>
    <w:rsid w:val="00F945E7"/>
    <w:rsid w:val="00F95416"/>
    <w:rsid w:val="00F95604"/>
    <w:rsid w:val="00F966A4"/>
    <w:rsid w:val="00FA71BF"/>
    <w:rsid w:val="00FA7D73"/>
    <w:rsid w:val="00FB25CB"/>
    <w:rsid w:val="00FB27EC"/>
    <w:rsid w:val="00FB64F7"/>
    <w:rsid w:val="00FC39BA"/>
    <w:rsid w:val="00FC5BCC"/>
    <w:rsid w:val="00FD0103"/>
    <w:rsid w:val="00FD0597"/>
    <w:rsid w:val="00FD16FF"/>
    <w:rsid w:val="00FE363E"/>
    <w:rsid w:val="00FE42BA"/>
    <w:rsid w:val="00FE4E04"/>
    <w:rsid w:val="00FE6616"/>
    <w:rsid w:val="00FE6B56"/>
    <w:rsid w:val="00FE6E56"/>
    <w:rsid w:val="00FE7C3C"/>
    <w:rsid w:val="00FE7DD3"/>
    <w:rsid w:val="00FF0C3F"/>
    <w:rsid w:val="00FF5527"/>
    <w:rsid w:val="00FF5BDF"/>
    <w:rsid w:val="00FF5CA9"/>
    <w:rsid w:val="00FF5FAE"/>
    <w:rsid w:val="0232DC10"/>
    <w:rsid w:val="025DE8F4"/>
    <w:rsid w:val="028D6498"/>
    <w:rsid w:val="02DF4BF8"/>
    <w:rsid w:val="031CF41D"/>
    <w:rsid w:val="03361C7A"/>
    <w:rsid w:val="04C74537"/>
    <w:rsid w:val="05A6F9E1"/>
    <w:rsid w:val="06046018"/>
    <w:rsid w:val="06815F66"/>
    <w:rsid w:val="06F80FC1"/>
    <w:rsid w:val="08125E0D"/>
    <w:rsid w:val="0838E7F0"/>
    <w:rsid w:val="086EF6E3"/>
    <w:rsid w:val="089BE58E"/>
    <w:rsid w:val="08F5CA2C"/>
    <w:rsid w:val="0979A419"/>
    <w:rsid w:val="0AC895E2"/>
    <w:rsid w:val="0AF1C544"/>
    <w:rsid w:val="0B4A77C5"/>
    <w:rsid w:val="0B57C0B6"/>
    <w:rsid w:val="0B804E72"/>
    <w:rsid w:val="0BA45534"/>
    <w:rsid w:val="0C1CC26E"/>
    <w:rsid w:val="0C34F152"/>
    <w:rsid w:val="0CAC0883"/>
    <w:rsid w:val="0D75F9C5"/>
    <w:rsid w:val="0DD6B537"/>
    <w:rsid w:val="0DE693A3"/>
    <w:rsid w:val="0E698828"/>
    <w:rsid w:val="0E8F65BE"/>
    <w:rsid w:val="0F3627B9"/>
    <w:rsid w:val="0F40096F"/>
    <w:rsid w:val="0F93239C"/>
    <w:rsid w:val="10969FDA"/>
    <w:rsid w:val="10DD06BC"/>
    <w:rsid w:val="1155955E"/>
    <w:rsid w:val="115DC06F"/>
    <w:rsid w:val="1188C906"/>
    <w:rsid w:val="11CBFF50"/>
    <w:rsid w:val="12F7EA33"/>
    <w:rsid w:val="135A2F3B"/>
    <w:rsid w:val="13685DE7"/>
    <w:rsid w:val="13D08153"/>
    <w:rsid w:val="144FFAF1"/>
    <w:rsid w:val="14FED67F"/>
    <w:rsid w:val="15593ACD"/>
    <w:rsid w:val="158511C8"/>
    <w:rsid w:val="161064D8"/>
    <w:rsid w:val="1654B0BD"/>
    <w:rsid w:val="165B71B0"/>
    <w:rsid w:val="1692C394"/>
    <w:rsid w:val="16ECAC7C"/>
    <w:rsid w:val="1898C915"/>
    <w:rsid w:val="198A91C5"/>
    <w:rsid w:val="19F6893B"/>
    <w:rsid w:val="1A269A7A"/>
    <w:rsid w:val="1A4BD1FA"/>
    <w:rsid w:val="1A8CEEA8"/>
    <w:rsid w:val="1ACB3B95"/>
    <w:rsid w:val="1CBC3F44"/>
    <w:rsid w:val="1D2FBBEE"/>
    <w:rsid w:val="1D40B947"/>
    <w:rsid w:val="1D88C568"/>
    <w:rsid w:val="1DB7F450"/>
    <w:rsid w:val="1DFD7C1A"/>
    <w:rsid w:val="1E3EE70C"/>
    <w:rsid w:val="1EF7867D"/>
    <w:rsid w:val="1EF92FFB"/>
    <w:rsid w:val="1F3D2ACB"/>
    <w:rsid w:val="1FD3169B"/>
    <w:rsid w:val="1FFF5F62"/>
    <w:rsid w:val="2024C840"/>
    <w:rsid w:val="208CDDAC"/>
    <w:rsid w:val="2095005C"/>
    <w:rsid w:val="21B6577F"/>
    <w:rsid w:val="223CE8D4"/>
    <w:rsid w:val="225D0E76"/>
    <w:rsid w:val="2471AA82"/>
    <w:rsid w:val="24F7ABFE"/>
    <w:rsid w:val="255E1CE1"/>
    <w:rsid w:val="255E23C0"/>
    <w:rsid w:val="26213B6F"/>
    <w:rsid w:val="274B98EE"/>
    <w:rsid w:val="2769A94E"/>
    <w:rsid w:val="28A942BA"/>
    <w:rsid w:val="28D7710C"/>
    <w:rsid w:val="2947EA85"/>
    <w:rsid w:val="29DF9996"/>
    <w:rsid w:val="2A3E7494"/>
    <w:rsid w:val="2B075867"/>
    <w:rsid w:val="2B308137"/>
    <w:rsid w:val="2B89C6B1"/>
    <w:rsid w:val="2BCD6544"/>
    <w:rsid w:val="2BF56697"/>
    <w:rsid w:val="2C039FB1"/>
    <w:rsid w:val="2CE8904E"/>
    <w:rsid w:val="2DA1263E"/>
    <w:rsid w:val="2DAF54EA"/>
    <w:rsid w:val="2DBB7194"/>
    <w:rsid w:val="2DE914A1"/>
    <w:rsid w:val="2EBE7B80"/>
    <w:rsid w:val="2F05A844"/>
    <w:rsid w:val="3003F25A"/>
    <w:rsid w:val="311AA36F"/>
    <w:rsid w:val="324EC095"/>
    <w:rsid w:val="32A61736"/>
    <w:rsid w:val="32B1700E"/>
    <w:rsid w:val="338FDD74"/>
    <w:rsid w:val="3391ECA3"/>
    <w:rsid w:val="3428BF3A"/>
    <w:rsid w:val="347E6C65"/>
    <w:rsid w:val="34D1F6F5"/>
    <w:rsid w:val="34DE53E9"/>
    <w:rsid w:val="36019A5C"/>
    <w:rsid w:val="36F657EC"/>
    <w:rsid w:val="3753DFEA"/>
    <w:rsid w:val="37C88159"/>
    <w:rsid w:val="37F86360"/>
    <w:rsid w:val="37FDB5B0"/>
    <w:rsid w:val="37FEEB53"/>
    <w:rsid w:val="38C2935F"/>
    <w:rsid w:val="38CE876F"/>
    <w:rsid w:val="38E80452"/>
    <w:rsid w:val="392B7732"/>
    <w:rsid w:val="3977DB88"/>
    <w:rsid w:val="3B4D956D"/>
    <w:rsid w:val="3C000679"/>
    <w:rsid w:val="3C1EDDAA"/>
    <w:rsid w:val="3DF5A752"/>
    <w:rsid w:val="3EB64CBF"/>
    <w:rsid w:val="3F7E9CD6"/>
    <w:rsid w:val="4050B748"/>
    <w:rsid w:val="405EE5F4"/>
    <w:rsid w:val="4174CDF0"/>
    <w:rsid w:val="41D40531"/>
    <w:rsid w:val="432D6528"/>
    <w:rsid w:val="43618E50"/>
    <w:rsid w:val="4376E85A"/>
    <w:rsid w:val="440CBD66"/>
    <w:rsid w:val="44802B85"/>
    <w:rsid w:val="44A78522"/>
    <w:rsid w:val="44DE97FC"/>
    <w:rsid w:val="455C67FB"/>
    <w:rsid w:val="45610118"/>
    <w:rsid w:val="4570AEB9"/>
    <w:rsid w:val="4589FAD5"/>
    <w:rsid w:val="45A102EC"/>
    <w:rsid w:val="45A4B17B"/>
    <w:rsid w:val="45A6B34E"/>
    <w:rsid w:val="45E2A0EB"/>
    <w:rsid w:val="465C1107"/>
    <w:rsid w:val="469108F4"/>
    <w:rsid w:val="4777AE13"/>
    <w:rsid w:val="482C9E94"/>
    <w:rsid w:val="486A46B9"/>
    <w:rsid w:val="48B264D6"/>
    <w:rsid w:val="48F33F5E"/>
    <w:rsid w:val="4922870C"/>
    <w:rsid w:val="49A17719"/>
    <w:rsid w:val="4A7BFCC2"/>
    <w:rsid w:val="4A9DD112"/>
    <w:rsid w:val="4AA52CF6"/>
    <w:rsid w:val="4ADAE8F0"/>
    <w:rsid w:val="4BA6ACB4"/>
    <w:rsid w:val="4C0E20F9"/>
    <w:rsid w:val="4C3AADF0"/>
    <w:rsid w:val="4C76B951"/>
    <w:rsid w:val="4CFED11A"/>
    <w:rsid w:val="4D2FFFE5"/>
    <w:rsid w:val="4F02D281"/>
    <w:rsid w:val="4F3C6C1D"/>
    <w:rsid w:val="4F3E3D07"/>
    <w:rsid w:val="4FA9B100"/>
    <w:rsid w:val="504372D4"/>
    <w:rsid w:val="509C8CD2"/>
    <w:rsid w:val="50C32CD9"/>
    <w:rsid w:val="51149D6F"/>
    <w:rsid w:val="511BA80D"/>
    <w:rsid w:val="52656308"/>
    <w:rsid w:val="5429B914"/>
    <w:rsid w:val="5499F91A"/>
    <w:rsid w:val="552B4311"/>
    <w:rsid w:val="5562B2AF"/>
    <w:rsid w:val="5595D951"/>
    <w:rsid w:val="55DD33CC"/>
    <w:rsid w:val="5683173A"/>
    <w:rsid w:val="56953107"/>
    <w:rsid w:val="56C939DC"/>
    <w:rsid w:val="56CDDFCE"/>
    <w:rsid w:val="57552CA8"/>
    <w:rsid w:val="57E178AE"/>
    <w:rsid w:val="584BB13D"/>
    <w:rsid w:val="58F1434E"/>
    <w:rsid w:val="599858D8"/>
    <w:rsid w:val="5A50F2AE"/>
    <w:rsid w:val="5BE76598"/>
    <w:rsid w:val="5C5574B1"/>
    <w:rsid w:val="5C7BC976"/>
    <w:rsid w:val="5D032EEE"/>
    <w:rsid w:val="5D9EA964"/>
    <w:rsid w:val="5E563DBE"/>
    <w:rsid w:val="5E5F8A3C"/>
    <w:rsid w:val="5ED7ADF7"/>
    <w:rsid w:val="5EE0650E"/>
    <w:rsid w:val="5F1CDC5A"/>
    <w:rsid w:val="5F8D1573"/>
    <w:rsid w:val="5FD452D9"/>
    <w:rsid w:val="60103981"/>
    <w:rsid w:val="607A4191"/>
    <w:rsid w:val="60C03475"/>
    <w:rsid w:val="61575EBB"/>
    <w:rsid w:val="6172344B"/>
    <w:rsid w:val="61ACA9DA"/>
    <w:rsid w:val="61F60E0C"/>
    <w:rsid w:val="631DCEDE"/>
    <w:rsid w:val="631E256A"/>
    <w:rsid w:val="639C0945"/>
    <w:rsid w:val="63AB1F1A"/>
    <w:rsid w:val="63AF4391"/>
    <w:rsid w:val="646C2297"/>
    <w:rsid w:val="64AFBCB6"/>
    <w:rsid w:val="64CE9349"/>
    <w:rsid w:val="64F6525D"/>
    <w:rsid w:val="654DB2B4"/>
    <w:rsid w:val="6659B861"/>
    <w:rsid w:val="6675842C"/>
    <w:rsid w:val="66F90B1B"/>
    <w:rsid w:val="675372C8"/>
    <w:rsid w:val="68022309"/>
    <w:rsid w:val="68414DCC"/>
    <w:rsid w:val="687E903D"/>
    <w:rsid w:val="68CB465A"/>
    <w:rsid w:val="68ED1392"/>
    <w:rsid w:val="6907D6D0"/>
    <w:rsid w:val="6908747F"/>
    <w:rsid w:val="69DEB491"/>
    <w:rsid w:val="6A105A67"/>
    <w:rsid w:val="6A84FD5B"/>
    <w:rsid w:val="6B0CF944"/>
    <w:rsid w:val="6B12A817"/>
    <w:rsid w:val="6B1C3C60"/>
    <w:rsid w:val="6BD1E5BF"/>
    <w:rsid w:val="6C01EF86"/>
    <w:rsid w:val="6C6DBFF1"/>
    <w:rsid w:val="6D9EB77D"/>
    <w:rsid w:val="6EA7285E"/>
    <w:rsid w:val="6F4BA92D"/>
    <w:rsid w:val="6FE474E8"/>
    <w:rsid w:val="701F9FDA"/>
    <w:rsid w:val="712CD1AD"/>
    <w:rsid w:val="71D57C65"/>
    <w:rsid w:val="722D6009"/>
    <w:rsid w:val="724E23F5"/>
    <w:rsid w:val="72C8A20E"/>
    <w:rsid w:val="73051E49"/>
    <w:rsid w:val="73193576"/>
    <w:rsid w:val="73DD4EB5"/>
    <w:rsid w:val="73EF059A"/>
    <w:rsid w:val="743B49EB"/>
    <w:rsid w:val="745258A2"/>
    <w:rsid w:val="74DEA54E"/>
    <w:rsid w:val="74EBF114"/>
    <w:rsid w:val="75D72BB5"/>
    <w:rsid w:val="7614E4E3"/>
    <w:rsid w:val="76696FE1"/>
    <w:rsid w:val="76B60BB5"/>
    <w:rsid w:val="7700D12C"/>
    <w:rsid w:val="775F38C5"/>
    <w:rsid w:val="779C1331"/>
    <w:rsid w:val="797608F2"/>
    <w:rsid w:val="798200E1"/>
    <w:rsid w:val="7A6F5D2B"/>
    <w:rsid w:val="7AC19A26"/>
    <w:rsid w:val="7BE0E8FE"/>
    <w:rsid w:val="7BF0C74A"/>
    <w:rsid w:val="7C4D9588"/>
    <w:rsid w:val="7CADB298"/>
    <w:rsid w:val="7CD00645"/>
    <w:rsid w:val="7D8F789F"/>
    <w:rsid w:val="7DCFE50A"/>
    <w:rsid w:val="7E73C365"/>
    <w:rsid w:val="7E8507FC"/>
    <w:rsid w:val="7F0BE311"/>
    <w:rsid w:val="7F8310AB"/>
    <w:rsid w:val="7FF786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7B1BB"/>
  <w15:chartTrackingRefBased/>
  <w15:docId w15:val="{2FA8D748-2723-4C35-AE84-FCBDCFCF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5C55"/>
    <w:pPr>
      <w:spacing w:after="0"/>
      <w:ind w:firstLine="709"/>
      <w:jc w:val="both"/>
    </w:pPr>
    <w:rPr>
      <w:lang w:val="es-ES"/>
    </w:rPr>
  </w:style>
  <w:style w:type="paragraph" w:styleId="Ttulo2">
    <w:name w:val="heading 2"/>
    <w:basedOn w:val="Normal"/>
    <w:next w:val="Normal"/>
    <w:link w:val="Ttulo2Car"/>
    <w:uiPriority w:val="9"/>
    <w:unhideWhenUsed/>
    <w:qFormat/>
    <w:rsid w:val="00F54A5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24500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nhideWhenUsed/>
    <w:qFormat/>
    <w:rsid w:val="001C5C55"/>
    <w:pPr>
      <w:keepNext/>
      <w:tabs>
        <w:tab w:val="left" w:pos="0"/>
      </w:tabs>
      <w:overflowPunct w:val="0"/>
      <w:autoSpaceDE w:val="0"/>
      <w:autoSpaceDN w:val="0"/>
      <w:adjustRightInd w:val="0"/>
      <w:spacing w:line="240" w:lineRule="auto"/>
      <w:ind w:firstLine="0"/>
      <w:jc w:val="center"/>
      <w:outlineLvl w:val="3"/>
    </w:pPr>
    <w:rPr>
      <w:rFonts w:ascii="Times New Roman" w:eastAsia="Times New Roman" w:hAnsi="Times New Roman"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1C5C55"/>
    <w:rPr>
      <w:rFonts w:ascii="Times New Roman" w:eastAsia="Times New Roman" w:hAnsi="Times New Roman" w:cs="Times New Roman"/>
      <w:b/>
      <w:sz w:val="24"/>
      <w:szCs w:val="20"/>
      <w:lang w:val="es-ES" w:eastAsia="es-ES"/>
    </w:rPr>
  </w:style>
  <w:style w:type="paragraph" w:styleId="NormalWeb">
    <w:name w:val="Normal (Web)"/>
    <w:basedOn w:val="Normal"/>
    <w:uiPriority w:val="99"/>
    <w:unhideWhenUsed/>
    <w:rsid w:val="001C5C55"/>
    <w:pPr>
      <w:spacing w:before="100" w:beforeAutospacing="1" w:after="100" w:afterAutospacing="1" w:line="240" w:lineRule="auto"/>
      <w:ind w:firstLine="0"/>
      <w:jc w:val="left"/>
    </w:pPr>
    <w:rPr>
      <w:rFonts w:ascii="Times New Roman" w:eastAsia="Times New Roman" w:hAnsi="Times New Roman" w:cs="Times New Roman"/>
      <w:sz w:val="24"/>
      <w:szCs w:val="24"/>
      <w:lang w:eastAsia="es-ES"/>
    </w:rPr>
  </w:style>
  <w:style w:type="paragraph" w:customStyle="1" w:styleId="Poromisin">
    <w:name w:val="Por omisión"/>
    <w:rsid w:val="001C5C55"/>
    <w:pPr>
      <w:pBdr>
        <w:top w:val="nil"/>
        <w:left w:val="nil"/>
        <w:bottom w:val="nil"/>
        <w:right w:val="nil"/>
        <w:between w:val="nil"/>
        <w:bar w:val="nil"/>
      </w:pBdr>
      <w:spacing w:after="0" w:line="276" w:lineRule="auto"/>
      <w:ind w:firstLine="709"/>
      <w:jc w:val="both"/>
    </w:pPr>
    <w:rPr>
      <w:rFonts w:ascii="Tahoma" w:eastAsia="Arial Unicode MS" w:hAnsi="Tahoma" w:cs="Arial Unicode MS"/>
      <w:color w:val="000000"/>
      <w:bdr w:val="nil"/>
      <w:lang w:val="es-ES_tradnl" w:eastAsia="es-ES"/>
    </w:rPr>
  </w:style>
  <w:style w:type="paragraph" w:styleId="Piedepgina">
    <w:name w:val="footer"/>
    <w:basedOn w:val="Normal"/>
    <w:link w:val="PiedepginaCar"/>
    <w:uiPriority w:val="99"/>
    <w:unhideWhenUsed/>
    <w:rsid w:val="001C5C5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C5C55"/>
    <w:rPr>
      <w:lang w:val="es-ES"/>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A Fu Car1,Ca"/>
    <w:basedOn w:val="Normal"/>
    <w:link w:val="TextonotapieCar"/>
    <w:unhideWhenUsed/>
    <w:qFormat/>
    <w:rsid w:val="001C5C55"/>
    <w:pPr>
      <w:spacing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rsid w:val="001C5C55"/>
    <w:rPr>
      <w:sz w:val="20"/>
      <w:szCs w:val="20"/>
      <w:lang w:val="es-ES"/>
    </w:rPr>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nhideWhenUsed/>
    <w:qFormat/>
    <w:rsid w:val="001C5C55"/>
    <w:rPr>
      <w:vertAlign w:val="superscript"/>
    </w:rPr>
  </w:style>
  <w:style w:type="character" w:customStyle="1" w:styleId="SinespaciadoCar">
    <w:name w:val="Sin espaciado Car"/>
    <w:link w:val="Sinespaciado"/>
    <w:uiPriority w:val="1"/>
    <w:locked/>
    <w:rsid w:val="001C5C55"/>
    <w:rPr>
      <w:sz w:val="24"/>
      <w:szCs w:val="24"/>
    </w:rPr>
  </w:style>
  <w:style w:type="paragraph" w:styleId="Sinespaciado">
    <w:name w:val="No Spacing"/>
    <w:link w:val="SinespaciadoCar"/>
    <w:uiPriority w:val="1"/>
    <w:qFormat/>
    <w:rsid w:val="001C5C55"/>
    <w:pPr>
      <w:spacing w:after="0" w:line="240" w:lineRule="auto"/>
    </w:pPr>
    <w:rPr>
      <w:sz w:val="24"/>
      <w:szCs w:val="24"/>
    </w:rPr>
  </w:style>
  <w:style w:type="paragraph" w:styleId="Textoindependiente">
    <w:name w:val="Body Text"/>
    <w:basedOn w:val="Normal"/>
    <w:link w:val="TextoindependienteCar"/>
    <w:uiPriority w:val="99"/>
    <w:semiHidden/>
    <w:unhideWhenUsed/>
    <w:rsid w:val="001C5C55"/>
    <w:pPr>
      <w:spacing w:after="120"/>
    </w:pPr>
  </w:style>
  <w:style w:type="character" w:customStyle="1" w:styleId="TextoindependienteCar">
    <w:name w:val="Texto independiente Car"/>
    <w:basedOn w:val="Fuentedeprrafopredeter"/>
    <w:link w:val="Textoindependiente"/>
    <w:uiPriority w:val="99"/>
    <w:semiHidden/>
    <w:rsid w:val="001C5C55"/>
    <w:rPr>
      <w:lang w:val="es-ES"/>
    </w:rPr>
  </w:style>
  <w:style w:type="paragraph" w:styleId="Prrafodelista">
    <w:name w:val="List Paragraph"/>
    <w:basedOn w:val="Normal"/>
    <w:uiPriority w:val="34"/>
    <w:qFormat/>
    <w:rsid w:val="001C5C55"/>
    <w:pPr>
      <w:spacing w:line="240" w:lineRule="auto"/>
      <w:ind w:left="720" w:firstLine="0"/>
      <w:contextualSpacing/>
      <w:jc w:val="left"/>
    </w:pPr>
    <w:rPr>
      <w:rFonts w:ascii="Times New Roman" w:eastAsia="Times New Roman" w:hAnsi="Times New Roman" w:cs="Times New Roman"/>
      <w:sz w:val="24"/>
      <w:szCs w:val="24"/>
      <w:lang w:eastAsia="es-ES"/>
    </w:rPr>
  </w:style>
  <w:style w:type="paragraph" w:customStyle="1" w:styleId="Prrafodelista2">
    <w:name w:val="Párrafo de lista2"/>
    <w:basedOn w:val="Normal"/>
    <w:rsid w:val="001C5C55"/>
    <w:pPr>
      <w:spacing w:after="200" w:line="276" w:lineRule="auto"/>
      <w:ind w:left="720" w:firstLine="0"/>
      <w:contextualSpacing/>
      <w:jc w:val="left"/>
    </w:pPr>
    <w:rPr>
      <w:rFonts w:ascii="Calibri" w:eastAsia="Times New Roman" w:hAnsi="Calibri" w:cs="Times New Roman"/>
      <w:lang w:val="es-CO"/>
    </w:rPr>
  </w:style>
  <w:style w:type="paragraph" w:customStyle="1" w:styleId="paragraph">
    <w:name w:val="paragraph"/>
    <w:basedOn w:val="Normal"/>
    <w:rsid w:val="00A31306"/>
    <w:pPr>
      <w:spacing w:before="100" w:beforeAutospacing="1" w:after="100" w:afterAutospacing="1" w:line="240" w:lineRule="auto"/>
      <w:ind w:firstLine="0"/>
      <w:jc w:val="left"/>
    </w:pPr>
    <w:rPr>
      <w:rFonts w:ascii="Times New Roman" w:eastAsia="Times New Roman" w:hAnsi="Times New Roman" w:cs="Times New Roman"/>
      <w:sz w:val="24"/>
      <w:szCs w:val="24"/>
      <w:lang w:val="es-CO" w:eastAsia="es-ES_tradnl"/>
    </w:rPr>
  </w:style>
  <w:style w:type="character" w:customStyle="1" w:styleId="normaltextrun">
    <w:name w:val="normaltextrun"/>
    <w:basedOn w:val="Fuentedeprrafopredeter"/>
    <w:rsid w:val="00A31306"/>
  </w:style>
  <w:style w:type="character" w:customStyle="1" w:styleId="eop">
    <w:name w:val="eop"/>
    <w:basedOn w:val="Fuentedeprrafopredeter"/>
    <w:rsid w:val="00A31306"/>
  </w:style>
  <w:style w:type="paragraph" w:customStyle="1" w:styleId="xmsonormal">
    <w:name w:val="x_msonormal"/>
    <w:basedOn w:val="Normal"/>
    <w:rsid w:val="00A31306"/>
    <w:pPr>
      <w:spacing w:before="100" w:beforeAutospacing="1" w:after="100" w:afterAutospacing="1" w:line="240" w:lineRule="auto"/>
      <w:ind w:firstLine="0"/>
      <w:jc w:val="left"/>
    </w:pPr>
    <w:rPr>
      <w:rFonts w:ascii="Times New Roman" w:eastAsia="Times New Roman" w:hAnsi="Times New Roman" w:cs="Times New Roman"/>
      <w:sz w:val="24"/>
      <w:szCs w:val="24"/>
      <w:lang w:eastAsia="es-ES"/>
    </w:rPr>
  </w:style>
  <w:style w:type="table" w:styleId="Tablaconcuadrcula">
    <w:name w:val="Table Grid"/>
    <w:basedOn w:val="Tablanormal"/>
    <w:rsid w:val="00A3130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24DD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24DDD"/>
    <w:rPr>
      <w:lang w:val="es-ES"/>
    </w:rPr>
  </w:style>
  <w:style w:type="paragraph" w:styleId="Textodeglobo">
    <w:name w:val="Balloon Text"/>
    <w:basedOn w:val="Normal"/>
    <w:link w:val="TextodegloboCar"/>
    <w:uiPriority w:val="99"/>
    <w:semiHidden/>
    <w:unhideWhenUsed/>
    <w:rsid w:val="005F4AA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4AA0"/>
    <w:rPr>
      <w:rFonts w:ascii="Segoe UI" w:hAnsi="Segoe UI" w:cs="Segoe UI"/>
      <w:sz w:val="18"/>
      <w:szCs w:val="18"/>
      <w:lang w:val="es-ES"/>
    </w:rPr>
  </w:style>
  <w:style w:type="character" w:styleId="Refdecomentario">
    <w:name w:val="annotation reference"/>
    <w:basedOn w:val="Fuentedeprrafopredeter"/>
    <w:uiPriority w:val="99"/>
    <w:semiHidden/>
    <w:unhideWhenUsed/>
    <w:rsid w:val="00257723"/>
    <w:rPr>
      <w:sz w:val="16"/>
      <w:szCs w:val="16"/>
    </w:rPr>
  </w:style>
  <w:style w:type="paragraph" w:styleId="Textocomentario">
    <w:name w:val="annotation text"/>
    <w:basedOn w:val="Normal"/>
    <w:link w:val="TextocomentarioCar"/>
    <w:uiPriority w:val="99"/>
    <w:semiHidden/>
    <w:unhideWhenUsed/>
    <w:rsid w:val="002577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7723"/>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257723"/>
    <w:rPr>
      <w:b/>
      <w:bCs/>
    </w:rPr>
  </w:style>
  <w:style w:type="character" w:customStyle="1" w:styleId="AsuntodelcomentarioCar">
    <w:name w:val="Asunto del comentario Car"/>
    <w:basedOn w:val="TextocomentarioCar"/>
    <w:link w:val="Asuntodelcomentario"/>
    <w:uiPriority w:val="99"/>
    <w:semiHidden/>
    <w:rsid w:val="00257723"/>
    <w:rPr>
      <w:b/>
      <w:bCs/>
      <w:sz w:val="20"/>
      <w:szCs w:val="20"/>
      <w:lang w:val="es-ES"/>
    </w:rPr>
  </w:style>
  <w:style w:type="paragraph" w:customStyle="1" w:styleId="Default">
    <w:name w:val="Default"/>
    <w:rsid w:val="00D81B9E"/>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Yo">
    <w:name w:val="Yo"/>
    <w:basedOn w:val="Ttulo3"/>
    <w:rsid w:val="00245004"/>
    <w:pPr>
      <w:keepLines w:val="0"/>
      <w:widowControl w:val="0"/>
      <w:numPr>
        <w:numId w:val="17"/>
      </w:numPr>
      <w:tabs>
        <w:tab w:val="clear" w:pos="1080"/>
        <w:tab w:val="left" w:pos="-1440"/>
        <w:tab w:val="left" w:pos="-720"/>
        <w:tab w:val="num" w:pos="360"/>
      </w:tabs>
      <w:suppressAutoHyphens/>
      <w:spacing w:before="0" w:line="360" w:lineRule="auto"/>
      <w:ind w:left="720" w:firstLine="0"/>
      <w:jc w:val="center"/>
    </w:pPr>
    <w:rPr>
      <w:rFonts w:ascii="Bookman Old Style" w:eastAsia="Times New Roman" w:hAnsi="Bookman Old Style" w:cs="Estrangelo Edessa"/>
      <w:b/>
      <w:bCs/>
      <w:color w:val="auto"/>
      <w:sz w:val="28"/>
      <w:szCs w:val="28"/>
      <w:lang w:eastAsia="es-ES"/>
    </w:rPr>
  </w:style>
  <w:style w:type="character" w:customStyle="1" w:styleId="Ttulo3Car">
    <w:name w:val="Título 3 Car"/>
    <w:basedOn w:val="Fuentedeprrafopredeter"/>
    <w:link w:val="Ttulo3"/>
    <w:uiPriority w:val="9"/>
    <w:semiHidden/>
    <w:rsid w:val="00245004"/>
    <w:rPr>
      <w:rFonts w:asciiTheme="majorHAnsi" w:eastAsiaTheme="majorEastAsia" w:hAnsiTheme="majorHAnsi" w:cstheme="majorBidi"/>
      <w:color w:val="1F3763" w:themeColor="accent1" w:themeShade="7F"/>
      <w:sz w:val="24"/>
      <w:szCs w:val="24"/>
      <w:lang w:val="es-ES"/>
    </w:rPr>
  </w:style>
  <w:style w:type="character" w:customStyle="1" w:styleId="Ttulo2Car">
    <w:name w:val="Título 2 Car"/>
    <w:basedOn w:val="Fuentedeprrafopredeter"/>
    <w:link w:val="Ttulo2"/>
    <w:uiPriority w:val="9"/>
    <w:rsid w:val="00F54A53"/>
    <w:rPr>
      <w:rFonts w:asciiTheme="majorHAnsi" w:eastAsiaTheme="majorEastAsia" w:hAnsiTheme="majorHAnsi" w:cstheme="majorBidi"/>
      <w:color w:val="2F5496" w:themeColor="accent1" w:themeShade="BF"/>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85532">
      <w:bodyDiv w:val="1"/>
      <w:marLeft w:val="0"/>
      <w:marRight w:val="0"/>
      <w:marTop w:val="0"/>
      <w:marBottom w:val="0"/>
      <w:divBdr>
        <w:top w:val="none" w:sz="0" w:space="0" w:color="auto"/>
        <w:left w:val="none" w:sz="0" w:space="0" w:color="auto"/>
        <w:bottom w:val="none" w:sz="0" w:space="0" w:color="auto"/>
        <w:right w:val="none" w:sz="0" w:space="0" w:color="auto"/>
      </w:divBdr>
    </w:div>
    <w:div w:id="544297262">
      <w:bodyDiv w:val="1"/>
      <w:marLeft w:val="0"/>
      <w:marRight w:val="0"/>
      <w:marTop w:val="0"/>
      <w:marBottom w:val="0"/>
      <w:divBdr>
        <w:top w:val="none" w:sz="0" w:space="0" w:color="auto"/>
        <w:left w:val="none" w:sz="0" w:space="0" w:color="auto"/>
        <w:bottom w:val="none" w:sz="0" w:space="0" w:color="auto"/>
        <w:right w:val="none" w:sz="0" w:space="0" w:color="auto"/>
      </w:divBdr>
    </w:div>
    <w:div w:id="868492101">
      <w:bodyDiv w:val="1"/>
      <w:marLeft w:val="0"/>
      <w:marRight w:val="0"/>
      <w:marTop w:val="0"/>
      <w:marBottom w:val="0"/>
      <w:divBdr>
        <w:top w:val="none" w:sz="0" w:space="0" w:color="auto"/>
        <w:left w:val="none" w:sz="0" w:space="0" w:color="auto"/>
        <w:bottom w:val="none" w:sz="0" w:space="0" w:color="auto"/>
        <w:right w:val="none" w:sz="0" w:space="0" w:color="auto"/>
      </w:divBdr>
    </w:div>
    <w:div w:id="871921713">
      <w:bodyDiv w:val="1"/>
      <w:marLeft w:val="0"/>
      <w:marRight w:val="0"/>
      <w:marTop w:val="0"/>
      <w:marBottom w:val="0"/>
      <w:divBdr>
        <w:top w:val="none" w:sz="0" w:space="0" w:color="auto"/>
        <w:left w:val="none" w:sz="0" w:space="0" w:color="auto"/>
        <w:bottom w:val="none" w:sz="0" w:space="0" w:color="auto"/>
        <w:right w:val="none" w:sz="0" w:space="0" w:color="auto"/>
      </w:divBdr>
    </w:div>
    <w:div w:id="916280797">
      <w:bodyDiv w:val="1"/>
      <w:marLeft w:val="0"/>
      <w:marRight w:val="0"/>
      <w:marTop w:val="0"/>
      <w:marBottom w:val="0"/>
      <w:divBdr>
        <w:top w:val="none" w:sz="0" w:space="0" w:color="auto"/>
        <w:left w:val="none" w:sz="0" w:space="0" w:color="auto"/>
        <w:bottom w:val="none" w:sz="0" w:space="0" w:color="auto"/>
        <w:right w:val="none" w:sz="0" w:space="0" w:color="auto"/>
      </w:divBdr>
    </w:div>
    <w:div w:id="949706824">
      <w:bodyDiv w:val="1"/>
      <w:marLeft w:val="0"/>
      <w:marRight w:val="0"/>
      <w:marTop w:val="0"/>
      <w:marBottom w:val="0"/>
      <w:divBdr>
        <w:top w:val="none" w:sz="0" w:space="0" w:color="auto"/>
        <w:left w:val="none" w:sz="0" w:space="0" w:color="auto"/>
        <w:bottom w:val="none" w:sz="0" w:space="0" w:color="auto"/>
        <w:right w:val="none" w:sz="0" w:space="0" w:color="auto"/>
      </w:divBdr>
      <w:divsChild>
        <w:div w:id="503858225">
          <w:marLeft w:val="0"/>
          <w:marRight w:val="0"/>
          <w:marTop w:val="0"/>
          <w:marBottom w:val="0"/>
          <w:divBdr>
            <w:top w:val="none" w:sz="0" w:space="0" w:color="auto"/>
            <w:left w:val="none" w:sz="0" w:space="0" w:color="auto"/>
            <w:bottom w:val="none" w:sz="0" w:space="0" w:color="auto"/>
            <w:right w:val="none" w:sz="0" w:space="0" w:color="auto"/>
          </w:divBdr>
        </w:div>
      </w:divsChild>
    </w:div>
    <w:div w:id="951667437">
      <w:bodyDiv w:val="1"/>
      <w:marLeft w:val="0"/>
      <w:marRight w:val="0"/>
      <w:marTop w:val="0"/>
      <w:marBottom w:val="0"/>
      <w:divBdr>
        <w:top w:val="none" w:sz="0" w:space="0" w:color="auto"/>
        <w:left w:val="none" w:sz="0" w:space="0" w:color="auto"/>
        <w:bottom w:val="none" w:sz="0" w:space="0" w:color="auto"/>
        <w:right w:val="none" w:sz="0" w:space="0" w:color="auto"/>
      </w:divBdr>
    </w:div>
    <w:div w:id="1017805008">
      <w:bodyDiv w:val="1"/>
      <w:marLeft w:val="0"/>
      <w:marRight w:val="0"/>
      <w:marTop w:val="0"/>
      <w:marBottom w:val="0"/>
      <w:divBdr>
        <w:top w:val="none" w:sz="0" w:space="0" w:color="auto"/>
        <w:left w:val="none" w:sz="0" w:space="0" w:color="auto"/>
        <w:bottom w:val="none" w:sz="0" w:space="0" w:color="auto"/>
        <w:right w:val="none" w:sz="0" w:space="0" w:color="auto"/>
      </w:divBdr>
    </w:div>
    <w:div w:id="1268153117">
      <w:bodyDiv w:val="1"/>
      <w:marLeft w:val="0"/>
      <w:marRight w:val="0"/>
      <w:marTop w:val="0"/>
      <w:marBottom w:val="0"/>
      <w:divBdr>
        <w:top w:val="none" w:sz="0" w:space="0" w:color="auto"/>
        <w:left w:val="none" w:sz="0" w:space="0" w:color="auto"/>
        <w:bottom w:val="none" w:sz="0" w:space="0" w:color="auto"/>
        <w:right w:val="none" w:sz="0" w:space="0" w:color="auto"/>
      </w:divBdr>
    </w:div>
    <w:div w:id="1326128310">
      <w:bodyDiv w:val="1"/>
      <w:marLeft w:val="0"/>
      <w:marRight w:val="0"/>
      <w:marTop w:val="0"/>
      <w:marBottom w:val="0"/>
      <w:divBdr>
        <w:top w:val="none" w:sz="0" w:space="0" w:color="auto"/>
        <w:left w:val="none" w:sz="0" w:space="0" w:color="auto"/>
        <w:bottom w:val="none" w:sz="0" w:space="0" w:color="auto"/>
        <w:right w:val="none" w:sz="0" w:space="0" w:color="auto"/>
      </w:divBdr>
    </w:div>
    <w:div w:id="1379084820">
      <w:bodyDiv w:val="1"/>
      <w:marLeft w:val="0"/>
      <w:marRight w:val="0"/>
      <w:marTop w:val="0"/>
      <w:marBottom w:val="0"/>
      <w:divBdr>
        <w:top w:val="none" w:sz="0" w:space="0" w:color="auto"/>
        <w:left w:val="none" w:sz="0" w:space="0" w:color="auto"/>
        <w:bottom w:val="none" w:sz="0" w:space="0" w:color="auto"/>
        <w:right w:val="none" w:sz="0" w:space="0" w:color="auto"/>
      </w:divBdr>
    </w:div>
    <w:div w:id="1394935672">
      <w:bodyDiv w:val="1"/>
      <w:marLeft w:val="0"/>
      <w:marRight w:val="0"/>
      <w:marTop w:val="0"/>
      <w:marBottom w:val="0"/>
      <w:divBdr>
        <w:top w:val="none" w:sz="0" w:space="0" w:color="auto"/>
        <w:left w:val="none" w:sz="0" w:space="0" w:color="auto"/>
        <w:bottom w:val="none" w:sz="0" w:space="0" w:color="auto"/>
        <w:right w:val="none" w:sz="0" w:space="0" w:color="auto"/>
      </w:divBdr>
    </w:div>
    <w:div w:id="1440641473">
      <w:bodyDiv w:val="1"/>
      <w:marLeft w:val="0"/>
      <w:marRight w:val="0"/>
      <w:marTop w:val="0"/>
      <w:marBottom w:val="0"/>
      <w:divBdr>
        <w:top w:val="none" w:sz="0" w:space="0" w:color="auto"/>
        <w:left w:val="none" w:sz="0" w:space="0" w:color="auto"/>
        <w:bottom w:val="none" w:sz="0" w:space="0" w:color="auto"/>
        <w:right w:val="none" w:sz="0" w:space="0" w:color="auto"/>
      </w:divBdr>
    </w:div>
    <w:div w:id="1531340800">
      <w:bodyDiv w:val="1"/>
      <w:marLeft w:val="0"/>
      <w:marRight w:val="0"/>
      <w:marTop w:val="0"/>
      <w:marBottom w:val="0"/>
      <w:divBdr>
        <w:top w:val="none" w:sz="0" w:space="0" w:color="auto"/>
        <w:left w:val="none" w:sz="0" w:space="0" w:color="auto"/>
        <w:bottom w:val="none" w:sz="0" w:space="0" w:color="auto"/>
        <w:right w:val="none" w:sz="0" w:space="0" w:color="auto"/>
      </w:divBdr>
    </w:div>
    <w:div w:id="1538350607">
      <w:bodyDiv w:val="1"/>
      <w:marLeft w:val="0"/>
      <w:marRight w:val="0"/>
      <w:marTop w:val="0"/>
      <w:marBottom w:val="0"/>
      <w:divBdr>
        <w:top w:val="none" w:sz="0" w:space="0" w:color="auto"/>
        <w:left w:val="none" w:sz="0" w:space="0" w:color="auto"/>
        <w:bottom w:val="none" w:sz="0" w:space="0" w:color="auto"/>
        <w:right w:val="none" w:sz="0" w:space="0" w:color="auto"/>
      </w:divBdr>
    </w:div>
    <w:div w:id="1549098961">
      <w:bodyDiv w:val="1"/>
      <w:marLeft w:val="0"/>
      <w:marRight w:val="0"/>
      <w:marTop w:val="0"/>
      <w:marBottom w:val="0"/>
      <w:divBdr>
        <w:top w:val="none" w:sz="0" w:space="0" w:color="auto"/>
        <w:left w:val="none" w:sz="0" w:space="0" w:color="auto"/>
        <w:bottom w:val="none" w:sz="0" w:space="0" w:color="auto"/>
        <w:right w:val="none" w:sz="0" w:space="0" w:color="auto"/>
      </w:divBdr>
    </w:div>
    <w:div w:id="1601059370">
      <w:bodyDiv w:val="1"/>
      <w:marLeft w:val="0"/>
      <w:marRight w:val="0"/>
      <w:marTop w:val="0"/>
      <w:marBottom w:val="0"/>
      <w:divBdr>
        <w:top w:val="none" w:sz="0" w:space="0" w:color="auto"/>
        <w:left w:val="none" w:sz="0" w:space="0" w:color="auto"/>
        <w:bottom w:val="none" w:sz="0" w:space="0" w:color="auto"/>
        <w:right w:val="none" w:sz="0" w:space="0" w:color="auto"/>
      </w:divBdr>
    </w:div>
    <w:div w:id="1646815448">
      <w:bodyDiv w:val="1"/>
      <w:marLeft w:val="0"/>
      <w:marRight w:val="0"/>
      <w:marTop w:val="0"/>
      <w:marBottom w:val="0"/>
      <w:divBdr>
        <w:top w:val="none" w:sz="0" w:space="0" w:color="auto"/>
        <w:left w:val="none" w:sz="0" w:space="0" w:color="auto"/>
        <w:bottom w:val="none" w:sz="0" w:space="0" w:color="auto"/>
        <w:right w:val="none" w:sz="0" w:space="0" w:color="auto"/>
      </w:divBdr>
    </w:div>
    <w:div w:id="1682506419">
      <w:bodyDiv w:val="1"/>
      <w:marLeft w:val="0"/>
      <w:marRight w:val="0"/>
      <w:marTop w:val="0"/>
      <w:marBottom w:val="0"/>
      <w:divBdr>
        <w:top w:val="none" w:sz="0" w:space="0" w:color="auto"/>
        <w:left w:val="none" w:sz="0" w:space="0" w:color="auto"/>
        <w:bottom w:val="none" w:sz="0" w:space="0" w:color="auto"/>
        <w:right w:val="none" w:sz="0" w:space="0" w:color="auto"/>
      </w:divBdr>
    </w:div>
    <w:div w:id="1707291442">
      <w:bodyDiv w:val="1"/>
      <w:marLeft w:val="0"/>
      <w:marRight w:val="0"/>
      <w:marTop w:val="0"/>
      <w:marBottom w:val="0"/>
      <w:divBdr>
        <w:top w:val="none" w:sz="0" w:space="0" w:color="auto"/>
        <w:left w:val="none" w:sz="0" w:space="0" w:color="auto"/>
        <w:bottom w:val="none" w:sz="0" w:space="0" w:color="auto"/>
        <w:right w:val="none" w:sz="0" w:space="0" w:color="auto"/>
      </w:divBdr>
    </w:div>
    <w:div w:id="1858543520">
      <w:bodyDiv w:val="1"/>
      <w:marLeft w:val="0"/>
      <w:marRight w:val="0"/>
      <w:marTop w:val="0"/>
      <w:marBottom w:val="0"/>
      <w:divBdr>
        <w:top w:val="none" w:sz="0" w:space="0" w:color="auto"/>
        <w:left w:val="none" w:sz="0" w:space="0" w:color="auto"/>
        <w:bottom w:val="none" w:sz="0" w:space="0" w:color="auto"/>
        <w:right w:val="none" w:sz="0" w:space="0" w:color="auto"/>
      </w:divBdr>
    </w:div>
    <w:div w:id="1913196296">
      <w:bodyDiv w:val="1"/>
      <w:marLeft w:val="0"/>
      <w:marRight w:val="0"/>
      <w:marTop w:val="0"/>
      <w:marBottom w:val="0"/>
      <w:divBdr>
        <w:top w:val="none" w:sz="0" w:space="0" w:color="auto"/>
        <w:left w:val="none" w:sz="0" w:space="0" w:color="auto"/>
        <w:bottom w:val="none" w:sz="0" w:space="0" w:color="auto"/>
        <w:right w:val="none" w:sz="0" w:space="0" w:color="auto"/>
      </w:divBdr>
    </w:div>
    <w:div w:id="1917594508">
      <w:bodyDiv w:val="1"/>
      <w:marLeft w:val="0"/>
      <w:marRight w:val="0"/>
      <w:marTop w:val="0"/>
      <w:marBottom w:val="0"/>
      <w:divBdr>
        <w:top w:val="none" w:sz="0" w:space="0" w:color="auto"/>
        <w:left w:val="none" w:sz="0" w:space="0" w:color="auto"/>
        <w:bottom w:val="none" w:sz="0" w:space="0" w:color="auto"/>
        <w:right w:val="none" w:sz="0" w:space="0" w:color="auto"/>
      </w:divBdr>
    </w:div>
    <w:div w:id="202185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01d9ed1dd61d4e61"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3" ma:contentTypeDescription="Crear nuevo documento." ma:contentTypeScope="" ma:versionID="eed541b3b139a3abb323c83020171ac6">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a0310bfb6668725f2ce4f0ec0d31dfde"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13CA9-0491-4F72-A2F9-33F7107292F2}">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2.xml><?xml version="1.0" encoding="utf-8"?>
<ds:datastoreItem xmlns:ds="http://schemas.openxmlformats.org/officeDocument/2006/customXml" ds:itemID="{1CCF2A92-A761-44B1-8D30-E351D5F5F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44E07-C041-4450-B064-75DEB5C2D3BB}">
  <ds:schemaRefs>
    <ds:schemaRef ds:uri="http://schemas.microsoft.com/sharepoint/v3/contenttype/forms"/>
  </ds:schemaRefs>
</ds:datastoreItem>
</file>

<file path=customXml/itemProps4.xml><?xml version="1.0" encoding="utf-8"?>
<ds:datastoreItem xmlns:ds="http://schemas.openxmlformats.org/officeDocument/2006/customXml" ds:itemID="{04F459B3-076A-4A4D-9DA3-F98B6E91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6872</Words>
  <Characters>37801</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44584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01 Sala Laboral Tribunal Superior - Risaralda - Pereira</dc:creator>
  <cp:keywords/>
  <dc:description/>
  <cp:lastModifiedBy>Hermides Alonso Gaviria Ocampo</cp:lastModifiedBy>
  <cp:revision>10</cp:revision>
  <dcterms:created xsi:type="dcterms:W3CDTF">2023-06-16T15:58:00Z</dcterms:created>
  <dcterms:modified xsi:type="dcterms:W3CDTF">2023-08-05T18:16:00Z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57075700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ies>
</file>