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09E7E16" w14:textId="77777777" w:rsidR="00D5232C" w:rsidRPr="00B23F0A" w:rsidRDefault="00D5232C" w:rsidP="00D5232C">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AGENCIAS EN DERECHIO / TASACIÓN</w:t>
      </w:r>
    </w:p>
    <w:p w14:paraId="3B58095B" w14:textId="77777777" w:rsidR="00D5232C" w:rsidRDefault="00D5232C" w:rsidP="00D5232C">
      <w:pPr>
        <w:pBdr>
          <w:top w:val="nil"/>
          <w:left w:val="nil"/>
          <w:bottom w:val="nil"/>
          <w:right w:val="nil"/>
          <w:between w:val="nil"/>
        </w:pBdr>
        <w:tabs>
          <w:tab w:val="left" w:pos="0"/>
        </w:tabs>
        <w:jc w:val="both"/>
        <w:rPr>
          <w:rFonts w:ascii="Arial" w:hAnsi="Arial" w:cs="Arial"/>
          <w:color w:val="000000"/>
          <w:sz w:val="20"/>
        </w:rPr>
      </w:pPr>
      <w:r w:rsidRPr="00B23F0A">
        <w:rPr>
          <w:rFonts w:ascii="Arial" w:hAnsi="Arial" w:cs="Arial"/>
          <w:color w:val="000000"/>
          <w:sz w:val="20"/>
        </w:rPr>
        <w:t>Frente a la tasación de las agencias en derecho, el doctrinante Azula Camacho ha referido:</w:t>
      </w:r>
      <w:r>
        <w:rPr>
          <w:rFonts w:ascii="Arial" w:hAnsi="Arial" w:cs="Arial"/>
          <w:color w:val="000000"/>
          <w:sz w:val="20"/>
        </w:rPr>
        <w:t xml:space="preserve"> </w:t>
      </w:r>
      <w:r w:rsidRPr="00B23F0A">
        <w:rPr>
          <w:rFonts w:ascii="Arial" w:hAnsi="Arial" w:cs="Arial"/>
          <w:color w:val="000000"/>
          <w:sz w:val="20"/>
        </w:rPr>
        <w:t>“Para determinar el monto de las agencias en derecho, el artículo 366 (inc. 4o) del Código General del Proceso recogió lo preceptuado por el inciso 3º del artículo 393 del de Procedimiento Civil, en el sentido de aplicar las tarifas que establezca el Consejo Superior de la Judicatura. Si las tarifas fijan un mínimo y un máximo, el juez debe considerar esos criterios, pero, además, la naturaleza, calidad y duración de la gestión realizada y la cuantía del proceso.”</w:t>
      </w:r>
    </w:p>
    <w:p w14:paraId="3B6BA919" w14:textId="77777777" w:rsidR="00D5232C" w:rsidRDefault="00D5232C" w:rsidP="00D5232C">
      <w:pPr>
        <w:pBdr>
          <w:top w:val="nil"/>
          <w:left w:val="nil"/>
          <w:bottom w:val="nil"/>
          <w:right w:val="nil"/>
          <w:between w:val="nil"/>
        </w:pBdr>
        <w:tabs>
          <w:tab w:val="left" w:pos="0"/>
        </w:tabs>
        <w:jc w:val="both"/>
        <w:rPr>
          <w:rFonts w:ascii="Arial" w:hAnsi="Arial" w:cs="Arial"/>
          <w:color w:val="000000"/>
          <w:sz w:val="20"/>
        </w:rPr>
      </w:pPr>
    </w:p>
    <w:p w14:paraId="2C42F109" w14:textId="77777777" w:rsidR="00D5232C" w:rsidRPr="00B23F0A" w:rsidRDefault="00D5232C" w:rsidP="00D5232C">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AGENCIAS EN DERECHIO / TA</w:t>
      </w:r>
      <w:r>
        <w:rPr>
          <w:rFonts w:ascii="Arial" w:hAnsi="Arial" w:cs="Arial"/>
          <w:b/>
          <w:color w:val="000000"/>
          <w:sz w:val="20"/>
        </w:rPr>
        <w:t>RIFAS CONSEJO SUPERIOR DE LA JUDICATURA</w:t>
      </w:r>
    </w:p>
    <w:p w14:paraId="1F25AEA7" w14:textId="77777777" w:rsidR="00D5232C" w:rsidRPr="00B23F0A" w:rsidRDefault="00D5232C" w:rsidP="00D5232C">
      <w:pPr>
        <w:pBdr>
          <w:top w:val="nil"/>
          <w:left w:val="nil"/>
          <w:bottom w:val="nil"/>
          <w:right w:val="nil"/>
          <w:between w:val="nil"/>
        </w:pBdr>
        <w:tabs>
          <w:tab w:val="left" w:pos="0"/>
        </w:tabs>
        <w:jc w:val="both"/>
        <w:rPr>
          <w:rFonts w:ascii="Arial" w:hAnsi="Arial" w:cs="Arial"/>
          <w:color w:val="000000"/>
          <w:sz w:val="20"/>
        </w:rPr>
      </w:pPr>
      <w:r w:rsidRPr="00B23F0A">
        <w:rPr>
          <w:rFonts w:ascii="Arial" w:hAnsi="Arial" w:cs="Arial"/>
          <w:color w:val="000000"/>
          <w:sz w:val="20"/>
        </w:rPr>
        <w:t>En cuanto a las tarifas a aplicar por concepto de agencias en derecho, el Código General del Proceso en sus artículos 361 y 366 señala que es el juez o magistrado que conoció el proceso en primera o única instancia quien debe fijar dichos emolumentos al momento de liquidar las costas procesales, y que, a pesar de ser discrecional, está limitado por las tarifas máximas y mínimas adoptadas por el Consejo Superior de la Judicatura.</w:t>
      </w:r>
    </w:p>
    <w:p w14:paraId="03AA01FB" w14:textId="77777777" w:rsidR="00D5232C" w:rsidRDefault="00D5232C" w:rsidP="00D5232C">
      <w:pPr>
        <w:pBdr>
          <w:top w:val="nil"/>
          <w:left w:val="nil"/>
          <w:bottom w:val="nil"/>
          <w:right w:val="nil"/>
          <w:between w:val="nil"/>
        </w:pBdr>
        <w:tabs>
          <w:tab w:val="left" w:pos="0"/>
        </w:tabs>
        <w:jc w:val="both"/>
        <w:rPr>
          <w:rFonts w:ascii="Arial" w:hAnsi="Arial" w:cs="Arial"/>
          <w:color w:val="000000"/>
          <w:sz w:val="20"/>
        </w:rPr>
      </w:pPr>
    </w:p>
    <w:p w14:paraId="2C1AAE56" w14:textId="77777777" w:rsidR="00D5232C" w:rsidRPr="00B23F0A" w:rsidRDefault="00D5232C" w:rsidP="00D5232C">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 xml:space="preserve">AGENCIAS EN DERECHIO / </w:t>
      </w:r>
      <w:r>
        <w:rPr>
          <w:rFonts w:ascii="Arial" w:hAnsi="Arial" w:cs="Arial"/>
          <w:b/>
          <w:color w:val="000000"/>
          <w:sz w:val="20"/>
        </w:rPr>
        <w:t>REGULACIÓN ACUERDO 10554-2016</w:t>
      </w:r>
    </w:p>
    <w:p w14:paraId="169EDCE8" w14:textId="77777777" w:rsidR="00D5232C" w:rsidRPr="003F5731" w:rsidRDefault="00D5232C" w:rsidP="00D5232C">
      <w:pPr>
        <w:pBdr>
          <w:top w:val="nil"/>
          <w:left w:val="nil"/>
          <w:bottom w:val="nil"/>
          <w:right w:val="nil"/>
          <w:between w:val="nil"/>
        </w:pBdr>
        <w:tabs>
          <w:tab w:val="left" w:pos="0"/>
        </w:tabs>
        <w:jc w:val="both"/>
        <w:rPr>
          <w:rFonts w:ascii="Arial" w:hAnsi="Arial" w:cs="Arial"/>
          <w:color w:val="000000"/>
          <w:sz w:val="20"/>
        </w:rPr>
      </w:pPr>
      <w:r>
        <w:rPr>
          <w:rFonts w:ascii="Arial" w:hAnsi="Arial" w:cs="Arial"/>
          <w:color w:val="000000"/>
          <w:sz w:val="20"/>
        </w:rPr>
        <w:t xml:space="preserve">… </w:t>
      </w:r>
      <w:r w:rsidRPr="00E505E1">
        <w:rPr>
          <w:rFonts w:ascii="Arial" w:hAnsi="Arial" w:cs="Arial"/>
          <w:color w:val="000000"/>
          <w:sz w:val="20"/>
        </w:rPr>
        <w:t>según el Acuerdo PSAA16-10554 de 2016, para fijar las agencias en derecho se debe tener en cuenta:</w:t>
      </w:r>
      <w:r>
        <w:rPr>
          <w:rFonts w:ascii="Arial" w:hAnsi="Arial" w:cs="Arial"/>
          <w:color w:val="000000"/>
          <w:sz w:val="20"/>
        </w:rPr>
        <w:t xml:space="preserve"> </w:t>
      </w:r>
      <w:r w:rsidRPr="00E505E1">
        <w:rPr>
          <w:rFonts w:ascii="Arial" w:hAnsi="Arial" w:cs="Arial"/>
          <w:color w:val="000000"/>
          <w:sz w:val="20"/>
        </w:rPr>
        <w:t>a)</w:t>
      </w:r>
      <w:r w:rsidRPr="00E505E1">
        <w:rPr>
          <w:rFonts w:ascii="Arial" w:hAnsi="Arial" w:cs="Arial"/>
          <w:color w:val="000000"/>
          <w:sz w:val="20"/>
        </w:rPr>
        <w:tab/>
        <w:t>El tipo de proceso, precisando en su artículo 5.1 que, en los procesos declarativos de primera instancia, de menor cuantía, las agencias en derechos se establecerán en primera instancia entre el 4% y el 10% de lo pedido, mientras que cuando sea de mayor cuantía el porcentaje oscilará entre el 3% y el 7.5% de lo pedido. En segunda instancia oscilarán entre 1 y 6 S.M.M.L.V.</w:t>
      </w:r>
      <w:r>
        <w:rPr>
          <w:rFonts w:ascii="Arial" w:hAnsi="Arial" w:cs="Arial"/>
          <w:color w:val="000000"/>
          <w:sz w:val="20"/>
        </w:rPr>
        <w:t xml:space="preserve"> (…) </w:t>
      </w:r>
      <w:r w:rsidRPr="00E505E1">
        <w:rPr>
          <w:rFonts w:ascii="Arial" w:hAnsi="Arial" w:cs="Arial"/>
          <w:color w:val="000000"/>
          <w:sz w:val="20"/>
        </w:rPr>
        <w:t xml:space="preserve">PARÁGRAFO 3º. Cuando las tarifas correspondan a porcentajes, en procesos con pretensiones de índole pecuniario, la fijación de las agencias en derecho se hará mediante </w:t>
      </w:r>
      <w:bookmarkStart w:id="0" w:name="_GoBack"/>
      <w:r w:rsidRPr="003F5731">
        <w:rPr>
          <w:rFonts w:ascii="Arial" w:hAnsi="Arial" w:cs="Arial"/>
          <w:color w:val="000000"/>
          <w:sz w:val="20"/>
        </w:rPr>
        <w:t>una ponderación inversa entre los límites mínimo y máximo y los valores pedidos. Esto es, a mayor valor menor porcentaje, a menor valor mayor porcentaje, pero en todo caso atendiendo a los criterios del artículo anterior.”</w:t>
      </w:r>
    </w:p>
    <w:p w14:paraId="678D6494" w14:textId="77777777" w:rsidR="00D5232C" w:rsidRPr="003F5731" w:rsidRDefault="00D5232C" w:rsidP="00D5232C">
      <w:pPr>
        <w:pBdr>
          <w:top w:val="nil"/>
          <w:left w:val="nil"/>
          <w:bottom w:val="nil"/>
          <w:right w:val="nil"/>
          <w:between w:val="nil"/>
        </w:pBdr>
        <w:tabs>
          <w:tab w:val="left" w:pos="0"/>
        </w:tabs>
        <w:jc w:val="both"/>
        <w:rPr>
          <w:rFonts w:ascii="Arial" w:hAnsi="Arial" w:cs="Arial"/>
          <w:color w:val="000000"/>
          <w:sz w:val="20"/>
        </w:rPr>
      </w:pPr>
    </w:p>
    <w:p w14:paraId="06BFC14C" w14:textId="77777777" w:rsidR="002D21FE" w:rsidRPr="003F5731" w:rsidRDefault="002D21FE" w:rsidP="00D5232C">
      <w:pPr>
        <w:pBdr>
          <w:top w:val="nil"/>
          <w:left w:val="nil"/>
          <w:bottom w:val="nil"/>
          <w:right w:val="nil"/>
          <w:between w:val="nil"/>
        </w:pBdr>
        <w:jc w:val="both"/>
        <w:rPr>
          <w:rFonts w:ascii="Arial" w:hAnsi="Arial" w:cs="Arial"/>
          <w:color w:val="000000"/>
          <w:sz w:val="20"/>
          <w:szCs w:val="20"/>
        </w:rPr>
      </w:pPr>
    </w:p>
    <w:p w14:paraId="44024B96" w14:textId="77777777" w:rsidR="002D21FE" w:rsidRPr="003F5731" w:rsidRDefault="002D21FE" w:rsidP="00D5232C">
      <w:pPr>
        <w:pBdr>
          <w:top w:val="nil"/>
          <w:left w:val="nil"/>
          <w:bottom w:val="nil"/>
          <w:right w:val="nil"/>
          <w:between w:val="nil"/>
        </w:pBdr>
        <w:jc w:val="both"/>
        <w:rPr>
          <w:rFonts w:ascii="Arial" w:hAnsi="Arial" w:cs="Arial"/>
          <w:color w:val="000000"/>
          <w:sz w:val="20"/>
          <w:szCs w:val="20"/>
        </w:rPr>
      </w:pPr>
    </w:p>
    <w:p w14:paraId="7F0C96BD" w14:textId="1D6843EB" w:rsidR="009D7126" w:rsidRPr="003F5731" w:rsidRDefault="00A35E8D" w:rsidP="00C24D68">
      <w:pPr>
        <w:pBdr>
          <w:top w:val="nil"/>
          <w:left w:val="nil"/>
          <w:bottom w:val="nil"/>
          <w:right w:val="nil"/>
          <w:between w:val="nil"/>
        </w:pBdr>
        <w:rPr>
          <w:rFonts w:ascii="Arial" w:hAnsi="Arial" w:cs="Arial"/>
          <w:color w:val="000000"/>
          <w:sz w:val="20"/>
          <w:szCs w:val="20"/>
        </w:rPr>
      </w:pPr>
      <w:r w:rsidRPr="003F5731">
        <w:rPr>
          <w:rFonts w:ascii="Arial" w:hAnsi="Arial" w:cs="Arial"/>
          <w:color w:val="000000"/>
          <w:sz w:val="20"/>
          <w:szCs w:val="20"/>
        </w:rPr>
        <w:t>Radicación No.:</w:t>
      </w:r>
      <w:r w:rsidRPr="003F5731">
        <w:rPr>
          <w:rFonts w:ascii="Arial" w:hAnsi="Arial" w:cs="Arial"/>
          <w:color w:val="000000"/>
          <w:sz w:val="20"/>
          <w:szCs w:val="20"/>
        </w:rPr>
        <w:tab/>
      </w:r>
      <w:r w:rsidR="009D7126" w:rsidRPr="003F5731">
        <w:rPr>
          <w:rFonts w:ascii="Arial" w:hAnsi="Arial" w:cs="Arial"/>
          <w:color w:val="000000"/>
          <w:sz w:val="20"/>
          <w:szCs w:val="20"/>
        </w:rPr>
        <w:t>66</w:t>
      </w:r>
      <w:r w:rsidR="00CC0668" w:rsidRPr="003F5731">
        <w:rPr>
          <w:rFonts w:ascii="Arial" w:hAnsi="Arial" w:cs="Arial"/>
          <w:color w:val="000000"/>
          <w:sz w:val="20"/>
          <w:szCs w:val="20"/>
        </w:rPr>
        <w:t>0</w:t>
      </w:r>
      <w:r w:rsidR="007830CF" w:rsidRPr="003F5731">
        <w:rPr>
          <w:rFonts w:ascii="Arial" w:hAnsi="Arial" w:cs="Arial"/>
          <w:color w:val="000000"/>
          <w:sz w:val="20"/>
          <w:szCs w:val="20"/>
        </w:rPr>
        <w:t>01</w:t>
      </w:r>
      <w:r w:rsidR="009D7126" w:rsidRPr="003F5731">
        <w:rPr>
          <w:rFonts w:ascii="Arial" w:hAnsi="Arial" w:cs="Arial"/>
          <w:color w:val="000000"/>
          <w:sz w:val="20"/>
          <w:szCs w:val="20"/>
        </w:rPr>
        <w:t>310500</w:t>
      </w:r>
      <w:r w:rsidR="007830CF" w:rsidRPr="003F5731">
        <w:rPr>
          <w:rFonts w:ascii="Arial" w:hAnsi="Arial" w:cs="Arial"/>
          <w:color w:val="000000"/>
          <w:sz w:val="20"/>
          <w:szCs w:val="20"/>
        </w:rPr>
        <w:t>2</w:t>
      </w:r>
      <w:r w:rsidR="009D7126" w:rsidRPr="003F5731">
        <w:rPr>
          <w:rFonts w:ascii="Arial" w:hAnsi="Arial" w:cs="Arial"/>
          <w:color w:val="000000"/>
          <w:sz w:val="20"/>
          <w:szCs w:val="20"/>
        </w:rPr>
        <w:t>20</w:t>
      </w:r>
      <w:r w:rsidR="00CC0668" w:rsidRPr="003F5731">
        <w:rPr>
          <w:rFonts w:ascii="Arial" w:hAnsi="Arial" w:cs="Arial"/>
          <w:color w:val="000000"/>
          <w:sz w:val="20"/>
          <w:szCs w:val="20"/>
        </w:rPr>
        <w:t>1</w:t>
      </w:r>
      <w:r w:rsidR="007830CF" w:rsidRPr="003F5731">
        <w:rPr>
          <w:rFonts w:ascii="Arial" w:hAnsi="Arial" w:cs="Arial"/>
          <w:color w:val="000000"/>
          <w:sz w:val="20"/>
          <w:szCs w:val="20"/>
        </w:rPr>
        <w:t>9</w:t>
      </w:r>
      <w:r w:rsidR="009D7126" w:rsidRPr="003F5731">
        <w:rPr>
          <w:rFonts w:ascii="Arial" w:hAnsi="Arial" w:cs="Arial"/>
          <w:color w:val="000000"/>
          <w:sz w:val="20"/>
          <w:szCs w:val="20"/>
        </w:rPr>
        <w:t>00</w:t>
      </w:r>
      <w:r w:rsidR="007830CF" w:rsidRPr="003F5731">
        <w:rPr>
          <w:rFonts w:ascii="Arial" w:hAnsi="Arial" w:cs="Arial"/>
          <w:color w:val="000000"/>
          <w:sz w:val="20"/>
          <w:szCs w:val="20"/>
        </w:rPr>
        <w:t>157</w:t>
      </w:r>
      <w:r w:rsidR="009D7126" w:rsidRPr="003F5731">
        <w:rPr>
          <w:rFonts w:ascii="Arial" w:hAnsi="Arial" w:cs="Arial"/>
          <w:color w:val="000000"/>
          <w:sz w:val="20"/>
          <w:szCs w:val="20"/>
        </w:rPr>
        <w:t>0</w:t>
      </w:r>
      <w:r w:rsidR="007830CF" w:rsidRPr="003F5731">
        <w:rPr>
          <w:rFonts w:ascii="Arial" w:hAnsi="Arial" w:cs="Arial"/>
          <w:color w:val="000000"/>
          <w:sz w:val="20"/>
          <w:szCs w:val="20"/>
        </w:rPr>
        <w:t>2</w:t>
      </w:r>
    </w:p>
    <w:p w14:paraId="20FFD669" w14:textId="6274E76F" w:rsidR="009D7126" w:rsidRPr="003F5731" w:rsidRDefault="009D7126" w:rsidP="00C24D68">
      <w:pPr>
        <w:pBdr>
          <w:top w:val="nil"/>
          <w:left w:val="nil"/>
          <w:bottom w:val="nil"/>
          <w:right w:val="nil"/>
          <w:between w:val="nil"/>
        </w:pBdr>
        <w:tabs>
          <w:tab w:val="left" w:pos="0"/>
        </w:tabs>
        <w:rPr>
          <w:rFonts w:ascii="Arial" w:hAnsi="Arial" w:cs="Arial"/>
          <w:color w:val="000000"/>
          <w:sz w:val="20"/>
          <w:szCs w:val="20"/>
        </w:rPr>
      </w:pPr>
      <w:r w:rsidRPr="003F5731">
        <w:rPr>
          <w:rFonts w:ascii="Arial" w:hAnsi="Arial" w:cs="Arial"/>
          <w:color w:val="000000"/>
          <w:sz w:val="20"/>
          <w:szCs w:val="20"/>
        </w:rPr>
        <w:t>Proceso:</w:t>
      </w:r>
      <w:r w:rsidR="00240E57" w:rsidRPr="003F5731">
        <w:rPr>
          <w:rFonts w:ascii="Arial" w:hAnsi="Arial" w:cs="Arial"/>
          <w:color w:val="000000"/>
          <w:sz w:val="20"/>
          <w:szCs w:val="20"/>
        </w:rPr>
        <w:tab/>
      </w:r>
      <w:r w:rsidRPr="003F5731">
        <w:rPr>
          <w:rFonts w:ascii="Arial" w:hAnsi="Arial" w:cs="Arial"/>
          <w:color w:val="000000"/>
          <w:sz w:val="20"/>
          <w:szCs w:val="20"/>
        </w:rPr>
        <w:t xml:space="preserve">Ordinario Laboral </w:t>
      </w:r>
    </w:p>
    <w:p w14:paraId="11D13677" w14:textId="50FDB6C6" w:rsidR="009D7126" w:rsidRPr="003F5731" w:rsidRDefault="009D7126" w:rsidP="00C24D68">
      <w:pPr>
        <w:pBdr>
          <w:top w:val="nil"/>
          <w:left w:val="nil"/>
          <w:bottom w:val="nil"/>
          <w:right w:val="nil"/>
          <w:between w:val="nil"/>
        </w:pBdr>
        <w:tabs>
          <w:tab w:val="left" w:pos="0"/>
        </w:tabs>
        <w:rPr>
          <w:rFonts w:ascii="Arial" w:hAnsi="Arial" w:cs="Arial"/>
          <w:color w:val="000000"/>
          <w:sz w:val="20"/>
          <w:szCs w:val="20"/>
        </w:rPr>
      </w:pPr>
      <w:r w:rsidRPr="003F5731">
        <w:rPr>
          <w:rFonts w:ascii="Arial" w:hAnsi="Arial" w:cs="Arial"/>
          <w:color w:val="000000"/>
          <w:sz w:val="20"/>
          <w:szCs w:val="20"/>
        </w:rPr>
        <w:t>Demandante:</w:t>
      </w:r>
      <w:r w:rsidR="00240E57" w:rsidRPr="003F5731">
        <w:rPr>
          <w:rFonts w:ascii="Arial" w:hAnsi="Arial" w:cs="Arial"/>
          <w:color w:val="000000"/>
          <w:sz w:val="20"/>
          <w:szCs w:val="20"/>
        </w:rPr>
        <w:tab/>
      </w:r>
      <w:r w:rsidR="007830CF" w:rsidRPr="003F5731">
        <w:rPr>
          <w:rFonts w:ascii="Arial" w:hAnsi="Arial" w:cs="Arial"/>
          <w:color w:val="000000"/>
          <w:sz w:val="20"/>
          <w:szCs w:val="20"/>
        </w:rPr>
        <w:t>Carmen Emilia Román Acevedo</w:t>
      </w:r>
    </w:p>
    <w:p w14:paraId="22232F2D" w14:textId="4E3B160A" w:rsidR="009D7126" w:rsidRPr="003F5731" w:rsidRDefault="009D7126" w:rsidP="00C24D68">
      <w:pPr>
        <w:pBdr>
          <w:top w:val="nil"/>
          <w:left w:val="nil"/>
          <w:bottom w:val="nil"/>
          <w:right w:val="nil"/>
          <w:between w:val="nil"/>
        </w:pBdr>
        <w:rPr>
          <w:rFonts w:ascii="Arial" w:hAnsi="Arial" w:cs="Arial"/>
          <w:color w:val="000000"/>
          <w:sz w:val="20"/>
          <w:szCs w:val="20"/>
        </w:rPr>
      </w:pPr>
      <w:r w:rsidRPr="003F5731">
        <w:rPr>
          <w:rFonts w:ascii="Arial" w:hAnsi="Arial" w:cs="Arial"/>
          <w:color w:val="000000" w:themeColor="text1"/>
          <w:sz w:val="20"/>
          <w:szCs w:val="20"/>
        </w:rPr>
        <w:t>Demandado:</w:t>
      </w:r>
      <w:r w:rsidR="00240E57" w:rsidRPr="003F5731">
        <w:rPr>
          <w:rFonts w:ascii="Arial" w:hAnsi="Arial" w:cs="Arial"/>
          <w:color w:val="000000" w:themeColor="text1"/>
          <w:sz w:val="20"/>
          <w:szCs w:val="20"/>
        </w:rPr>
        <w:tab/>
      </w:r>
      <w:r w:rsidR="007830CF" w:rsidRPr="003F5731">
        <w:rPr>
          <w:rFonts w:ascii="Arial" w:hAnsi="Arial" w:cs="Arial"/>
          <w:color w:val="000000" w:themeColor="text1"/>
          <w:sz w:val="20"/>
          <w:szCs w:val="20"/>
        </w:rPr>
        <w:t>Colpensiones</w:t>
      </w:r>
    </w:p>
    <w:p w14:paraId="3AD590D0" w14:textId="14EE78E8" w:rsidR="009D7126" w:rsidRPr="003F5731" w:rsidRDefault="009D7126" w:rsidP="00C24D68">
      <w:pPr>
        <w:pBdr>
          <w:top w:val="nil"/>
          <w:left w:val="nil"/>
          <w:bottom w:val="nil"/>
          <w:right w:val="nil"/>
          <w:between w:val="nil"/>
        </w:pBdr>
        <w:rPr>
          <w:rFonts w:ascii="Arial" w:hAnsi="Arial" w:cs="Arial"/>
          <w:color w:val="000000"/>
          <w:sz w:val="20"/>
          <w:szCs w:val="20"/>
        </w:rPr>
      </w:pPr>
      <w:r w:rsidRPr="003F5731">
        <w:rPr>
          <w:rFonts w:ascii="Arial" w:hAnsi="Arial" w:cs="Arial"/>
          <w:color w:val="000000" w:themeColor="text1"/>
          <w:sz w:val="20"/>
          <w:szCs w:val="20"/>
        </w:rPr>
        <w:t>Juzgado:</w:t>
      </w:r>
      <w:r w:rsidRPr="003F5731">
        <w:rPr>
          <w:rFonts w:ascii="Arial" w:hAnsi="Arial" w:cs="Arial"/>
          <w:sz w:val="20"/>
          <w:szCs w:val="20"/>
        </w:rPr>
        <w:tab/>
      </w:r>
      <w:r w:rsidR="007830CF" w:rsidRPr="003F5731">
        <w:rPr>
          <w:rFonts w:ascii="Arial" w:hAnsi="Arial" w:cs="Arial"/>
          <w:sz w:val="20"/>
          <w:szCs w:val="20"/>
        </w:rPr>
        <w:t xml:space="preserve">Segundo </w:t>
      </w:r>
      <w:r w:rsidRPr="003F5731">
        <w:rPr>
          <w:rFonts w:ascii="Arial" w:hAnsi="Arial" w:cs="Arial"/>
          <w:color w:val="000000" w:themeColor="text1"/>
          <w:sz w:val="20"/>
          <w:szCs w:val="20"/>
        </w:rPr>
        <w:t xml:space="preserve">Laboral del Circuito de </w:t>
      </w:r>
      <w:r w:rsidR="007830CF" w:rsidRPr="003F5731">
        <w:rPr>
          <w:rFonts w:ascii="Arial" w:hAnsi="Arial" w:cs="Arial"/>
          <w:color w:val="000000" w:themeColor="text1"/>
          <w:sz w:val="20"/>
          <w:szCs w:val="20"/>
        </w:rPr>
        <w:t>Pereira</w:t>
      </w:r>
    </w:p>
    <w:p w14:paraId="1E08E2A5" w14:textId="71F059BE" w:rsidR="008F4962" w:rsidRPr="003F5731" w:rsidRDefault="008F4962" w:rsidP="00C24D68">
      <w:pPr>
        <w:jc w:val="both"/>
        <w:rPr>
          <w:rFonts w:ascii="Arial" w:hAnsi="Arial" w:cs="Arial"/>
          <w:b/>
          <w:bCs/>
          <w:spacing w:val="2"/>
          <w:sz w:val="20"/>
          <w:szCs w:val="20"/>
          <w:lang w:val="es-419"/>
        </w:rPr>
      </w:pPr>
    </w:p>
    <w:p w14:paraId="2CAFB101" w14:textId="517C8D6C" w:rsidR="00667FD9" w:rsidRPr="003F5731" w:rsidRDefault="00667FD9" w:rsidP="00C24D68">
      <w:pPr>
        <w:jc w:val="both"/>
        <w:rPr>
          <w:rFonts w:ascii="Arial" w:hAnsi="Arial" w:cs="Arial"/>
          <w:b/>
          <w:bCs/>
          <w:spacing w:val="2"/>
          <w:sz w:val="20"/>
          <w:szCs w:val="20"/>
          <w:lang w:val="es-419"/>
        </w:rPr>
      </w:pPr>
    </w:p>
    <w:p w14:paraId="324A41C6" w14:textId="77777777" w:rsidR="00C24D68" w:rsidRPr="003F5731" w:rsidRDefault="00C24D68" w:rsidP="00C24D68">
      <w:pPr>
        <w:jc w:val="both"/>
        <w:rPr>
          <w:rFonts w:ascii="Arial" w:hAnsi="Arial" w:cs="Arial"/>
          <w:b/>
          <w:bCs/>
          <w:spacing w:val="2"/>
          <w:sz w:val="20"/>
          <w:szCs w:val="20"/>
          <w:lang w:val="es-419"/>
        </w:rPr>
      </w:pPr>
    </w:p>
    <w:bookmarkEnd w:id="0"/>
    <w:p w14:paraId="123BDE80" w14:textId="77777777" w:rsidR="00305318" w:rsidRPr="00305318" w:rsidRDefault="00305318" w:rsidP="00305318">
      <w:pPr>
        <w:spacing w:line="276" w:lineRule="auto"/>
        <w:jc w:val="center"/>
        <w:rPr>
          <w:rFonts w:ascii="Tahoma" w:hAnsi="Tahoma" w:cs="Tahoma"/>
          <w:b/>
          <w:iCs/>
          <w:spacing w:val="-4"/>
          <w:lang w:val="es-CO"/>
        </w:rPr>
      </w:pPr>
      <w:r w:rsidRPr="00305318">
        <w:rPr>
          <w:rFonts w:ascii="Tahoma" w:hAnsi="Tahoma" w:cs="Tahoma"/>
          <w:b/>
          <w:bCs/>
          <w:iCs/>
          <w:spacing w:val="-4"/>
          <w:lang w:val="es-CO"/>
        </w:rPr>
        <w:t>TRIBUNAL SUPERIOR DEL DISTRITO JUDICIAL DE PEREIRA</w:t>
      </w:r>
    </w:p>
    <w:p w14:paraId="1DD37FE3" w14:textId="77777777" w:rsidR="00305318" w:rsidRPr="00305318" w:rsidRDefault="00305318" w:rsidP="00305318">
      <w:pPr>
        <w:spacing w:line="276" w:lineRule="auto"/>
        <w:jc w:val="center"/>
        <w:rPr>
          <w:rFonts w:ascii="Tahoma" w:hAnsi="Tahoma" w:cs="Tahoma"/>
          <w:b/>
          <w:iCs/>
          <w:spacing w:val="-4"/>
          <w:lang w:val="es-CO"/>
        </w:rPr>
      </w:pPr>
      <w:r w:rsidRPr="00305318">
        <w:rPr>
          <w:rFonts w:ascii="Tahoma" w:hAnsi="Tahoma" w:cs="Tahoma"/>
          <w:b/>
          <w:bCs/>
          <w:iCs/>
          <w:spacing w:val="-4"/>
          <w:lang w:val="es-CO"/>
        </w:rPr>
        <w:t>SALA PRIMERA DE DECISIÓN LABORAL</w:t>
      </w:r>
    </w:p>
    <w:p w14:paraId="55DDE175" w14:textId="77777777" w:rsidR="00305318" w:rsidRPr="00305318" w:rsidRDefault="00305318" w:rsidP="00305318">
      <w:pPr>
        <w:spacing w:line="276" w:lineRule="auto"/>
        <w:jc w:val="center"/>
        <w:rPr>
          <w:rFonts w:ascii="Tahoma" w:hAnsi="Tahoma" w:cs="Tahoma"/>
          <w:bCs/>
          <w:spacing w:val="-4"/>
          <w:lang w:val="es-CO"/>
        </w:rPr>
      </w:pPr>
    </w:p>
    <w:p w14:paraId="3C1F35F9" w14:textId="77777777" w:rsidR="00305318" w:rsidRPr="00305318" w:rsidRDefault="00305318" w:rsidP="00305318">
      <w:pPr>
        <w:spacing w:line="276" w:lineRule="auto"/>
        <w:jc w:val="center"/>
        <w:rPr>
          <w:rFonts w:ascii="Tahoma" w:hAnsi="Tahoma" w:cs="Tahoma"/>
          <w:spacing w:val="-4"/>
          <w:lang w:val="es-CO"/>
        </w:rPr>
      </w:pPr>
      <w:r w:rsidRPr="00305318">
        <w:rPr>
          <w:rFonts w:ascii="Tahoma" w:hAnsi="Tahoma" w:cs="Tahoma"/>
          <w:spacing w:val="-4"/>
          <w:lang w:val="es-CO"/>
        </w:rPr>
        <w:t>Magistrada Ponente: </w:t>
      </w:r>
      <w:r w:rsidRPr="00305318">
        <w:rPr>
          <w:rFonts w:ascii="Tahoma" w:hAnsi="Tahoma" w:cs="Tahoma"/>
          <w:b/>
          <w:bCs/>
          <w:spacing w:val="-4"/>
          <w:lang w:val="es-CO"/>
        </w:rPr>
        <w:t>Ana Lucía Caicedo Calderón</w:t>
      </w:r>
    </w:p>
    <w:p w14:paraId="14665D96" w14:textId="77777777" w:rsidR="00305318" w:rsidRPr="00305318" w:rsidRDefault="00305318" w:rsidP="00305318">
      <w:pPr>
        <w:spacing w:line="276" w:lineRule="auto"/>
        <w:jc w:val="center"/>
        <w:rPr>
          <w:rFonts w:ascii="Tahoma" w:hAnsi="Tahoma" w:cs="Tahoma"/>
          <w:spacing w:val="-4"/>
          <w:lang w:val="es-CO"/>
        </w:rPr>
      </w:pPr>
    </w:p>
    <w:p w14:paraId="53FDC57E" w14:textId="77777777" w:rsidR="007830CF" w:rsidRPr="00305318" w:rsidRDefault="007830CF" w:rsidP="00305318">
      <w:pPr>
        <w:spacing w:line="276" w:lineRule="auto"/>
        <w:jc w:val="center"/>
        <w:rPr>
          <w:rFonts w:ascii="Tahoma" w:hAnsi="Tahoma" w:cs="Tahoma"/>
          <w:spacing w:val="2"/>
          <w:lang w:val="es-CO"/>
        </w:rPr>
      </w:pPr>
      <w:r w:rsidRPr="00305318">
        <w:rPr>
          <w:rFonts w:ascii="Tahoma" w:hAnsi="Tahoma" w:cs="Tahoma"/>
          <w:spacing w:val="2"/>
          <w:lang w:val="es-CO"/>
        </w:rPr>
        <w:t>Pereira, Risaralda, treinta y uno (31) de julio de dos mil veintitrés (2023)  </w:t>
      </w:r>
    </w:p>
    <w:p w14:paraId="498E4F03" w14:textId="1A033309" w:rsidR="007830CF" w:rsidRPr="00305318" w:rsidRDefault="007830CF" w:rsidP="00305318">
      <w:pPr>
        <w:spacing w:line="276" w:lineRule="auto"/>
        <w:jc w:val="center"/>
        <w:rPr>
          <w:rFonts w:ascii="Tahoma" w:hAnsi="Tahoma" w:cs="Tahoma"/>
          <w:spacing w:val="2"/>
          <w:lang w:val="es-CO"/>
        </w:rPr>
      </w:pPr>
      <w:r w:rsidRPr="00305318">
        <w:rPr>
          <w:rFonts w:ascii="Tahoma" w:hAnsi="Tahoma" w:cs="Tahoma"/>
          <w:spacing w:val="2"/>
          <w:lang w:val="es-CO"/>
        </w:rPr>
        <w:t> Acta No. </w:t>
      </w:r>
      <w:r w:rsidR="526C5F63" w:rsidRPr="00305318">
        <w:rPr>
          <w:rFonts w:ascii="Tahoma" w:hAnsi="Tahoma" w:cs="Tahoma"/>
          <w:spacing w:val="2"/>
          <w:lang w:val="es-CO"/>
        </w:rPr>
        <w:t>119</w:t>
      </w:r>
      <w:r w:rsidRPr="00305318">
        <w:rPr>
          <w:rFonts w:ascii="Tahoma" w:hAnsi="Tahoma" w:cs="Tahoma"/>
          <w:spacing w:val="2"/>
          <w:lang w:val="es-CO"/>
        </w:rPr>
        <w:t xml:space="preserve"> del 27 de julio de 2023 </w:t>
      </w:r>
    </w:p>
    <w:p w14:paraId="64731D89" w14:textId="77777777" w:rsidR="008729EB" w:rsidRPr="00305318" w:rsidRDefault="008729EB" w:rsidP="00305318">
      <w:pPr>
        <w:spacing w:line="276" w:lineRule="auto"/>
        <w:jc w:val="both"/>
        <w:rPr>
          <w:rFonts w:ascii="Tahoma" w:hAnsi="Tahoma" w:cs="Tahoma"/>
          <w:spacing w:val="2"/>
        </w:rPr>
      </w:pPr>
    </w:p>
    <w:p w14:paraId="1BDBB66F" w14:textId="2E3C5C88" w:rsidR="000D47A7" w:rsidRPr="00D5232C" w:rsidRDefault="009D7126" w:rsidP="00305318">
      <w:pPr>
        <w:spacing w:line="276" w:lineRule="auto"/>
        <w:ind w:firstLine="708"/>
        <w:jc w:val="both"/>
        <w:rPr>
          <w:rFonts w:ascii="Tahoma" w:eastAsiaTheme="minorHAnsi" w:hAnsi="Tahoma" w:cs="Tahoma"/>
          <w:b/>
          <w:spacing w:val="-4"/>
          <w:lang w:val="es-ES_tradnl" w:eastAsia="en-US"/>
        </w:rPr>
      </w:pPr>
      <w:r w:rsidRPr="00D5232C">
        <w:rPr>
          <w:rFonts w:ascii="Tahoma" w:hAnsi="Tahoma" w:cs="Tahoma"/>
          <w:spacing w:val="-4"/>
        </w:rPr>
        <w:t>Teniendo en cuenta que el artículo 14 de Ley 2213 de 2022</w:t>
      </w:r>
      <w:r w:rsidR="00C43F4A" w:rsidRPr="00D5232C">
        <w:rPr>
          <w:rFonts w:ascii="Tahoma" w:eastAsiaTheme="minorHAnsi" w:hAnsi="Tahoma" w:cs="Tahoma"/>
          <w:spacing w:val="-4"/>
          <w:lang w:val="es-ES_tradnl" w:eastAsia="en-US"/>
        </w:rPr>
        <w:t>, estableció</w:t>
      </w:r>
      <w:r w:rsidR="002D21FE" w:rsidRPr="00D5232C">
        <w:rPr>
          <w:rFonts w:ascii="Tahoma" w:eastAsiaTheme="minorHAnsi" w:hAnsi="Tahoma" w:cs="Tahoma"/>
          <w:spacing w:val="-4"/>
          <w:lang w:val="es-ES_tradnl" w:eastAsia="en-US"/>
        </w:rPr>
        <w:t xml:space="preserve"> </w:t>
      </w:r>
      <w:r w:rsidR="00C43F4A" w:rsidRPr="00D5232C">
        <w:rPr>
          <w:rFonts w:ascii="Tahoma" w:eastAsiaTheme="minorHAnsi" w:hAnsi="Tahoma" w:cs="Tahoma"/>
          <w:spacing w:val="-4"/>
          <w:lang w:val="es-ES_tradnl" w:eastAsia="en-US"/>
        </w:rPr>
        <w:t>que en</w:t>
      </w:r>
      <w:r w:rsidR="002D21FE" w:rsidRPr="00D5232C">
        <w:rPr>
          <w:rFonts w:ascii="Tahoma" w:eastAsiaTheme="minorHAnsi" w:hAnsi="Tahoma" w:cs="Tahoma"/>
          <w:spacing w:val="-4"/>
          <w:lang w:val="es-ES_tradnl" w:eastAsia="en-US"/>
        </w:rPr>
        <w:t xml:space="preserve"> </w:t>
      </w:r>
      <w:r w:rsidR="00C43F4A" w:rsidRPr="00D5232C">
        <w:rPr>
          <w:rFonts w:ascii="Tahoma" w:eastAsiaTheme="minorHAnsi" w:hAnsi="Tahoma" w:cs="Tahoma"/>
          <w:spacing w:val="-4"/>
          <w:lang w:val="es-ES_tradnl" w:eastAsia="en-US"/>
        </w:rPr>
        <w:t>la especialidad laboral</w:t>
      </w:r>
      <w:r w:rsidR="00C43F4A" w:rsidRPr="00D5232C">
        <w:rPr>
          <w:rFonts w:ascii="Tahoma" w:eastAsiaTheme="minorHAnsi" w:hAnsi="Tahoma" w:cs="Tahoma"/>
          <w:spacing w:val="-4"/>
          <w:lang w:val="es-CO" w:eastAsia="en-US"/>
        </w:rPr>
        <w:t xml:space="preserve"> </w:t>
      </w:r>
      <w:r w:rsidR="00C43F4A" w:rsidRPr="00D5232C">
        <w:rPr>
          <w:rFonts w:ascii="Tahoma" w:eastAsiaTheme="minorHAnsi" w:hAnsi="Tahoma" w:cs="Tahoma"/>
          <w:spacing w:val="-4"/>
          <w:lang w:val="es-ES_tradnl" w:eastAsia="en-US"/>
        </w:rPr>
        <w:t>se proferirán por escrito</w:t>
      </w:r>
      <w:r w:rsidR="00C43F4A" w:rsidRPr="00D5232C">
        <w:rPr>
          <w:rFonts w:ascii="Tahoma" w:eastAsiaTheme="minorHAnsi" w:hAnsi="Tahoma" w:cs="Tahoma"/>
          <w:spacing w:val="-4"/>
          <w:lang w:val="es-CO" w:eastAsia="en-US"/>
        </w:rPr>
        <w:t xml:space="preserve"> </w:t>
      </w:r>
      <w:r w:rsidR="00C43F4A" w:rsidRPr="00D5232C">
        <w:rPr>
          <w:rFonts w:ascii="Tahoma" w:eastAsiaTheme="minorHAnsi" w:hAnsi="Tahoma" w:cs="Tahoma"/>
          <w:spacing w:val="-4"/>
          <w:lang w:val="es-ES_tradnl" w:eastAsia="en-US"/>
        </w:rPr>
        <w:t>las provi</w:t>
      </w:r>
      <w:r w:rsidR="002D21FE" w:rsidRPr="00D5232C">
        <w:rPr>
          <w:rFonts w:ascii="Tahoma" w:eastAsiaTheme="minorHAnsi" w:hAnsi="Tahoma" w:cs="Tahoma"/>
          <w:spacing w:val="-4"/>
          <w:lang w:val="es-ES_tradnl" w:eastAsia="en-US"/>
        </w:rPr>
        <w:t xml:space="preserve">dencias de segunda instancia en </w:t>
      </w:r>
      <w:r w:rsidR="00C43F4A" w:rsidRPr="00D5232C">
        <w:rPr>
          <w:rFonts w:ascii="Tahoma" w:eastAsiaTheme="minorHAnsi" w:hAnsi="Tahoma" w:cs="Tahoma"/>
          <w:spacing w:val="-4"/>
          <w:lang w:val="es-ES_tradnl" w:eastAsia="en-US"/>
        </w:rPr>
        <w:t>las que se surta el grado jurisdiccional de consulta o se</w:t>
      </w:r>
      <w:r w:rsidR="002D21FE" w:rsidRPr="00D5232C">
        <w:rPr>
          <w:rFonts w:ascii="Tahoma" w:eastAsiaTheme="minorHAnsi" w:hAnsi="Tahoma" w:cs="Tahoma"/>
          <w:spacing w:val="-4"/>
          <w:lang w:val="es-ES_tradnl" w:eastAsia="en-US"/>
        </w:rPr>
        <w:t xml:space="preserve"> </w:t>
      </w:r>
      <w:r w:rsidR="00C43F4A" w:rsidRPr="00D5232C">
        <w:rPr>
          <w:rFonts w:ascii="Tahoma" w:eastAsiaTheme="minorHAnsi" w:hAnsi="Tahoma" w:cs="Tahoma"/>
          <w:spacing w:val="-4"/>
          <w:lang w:val="es-ES_tradnl" w:eastAsia="en-US"/>
        </w:rPr>
        <w:t>resuelva</w:t>
      </w:r>
      <w:r w:rsidR="002D21FE" w:rsidRPr="00D5232C">
        <w:rPr>
          <w:rFonts w:ascii="Tahoma" w:eastAsiaTheme="minorHAnsi" w:hAnsi="Tahoma" w:cs="Tahoma"/>
          <w:spacing w:val="-4"/>
          <w:lang w:val="es-ES_tradnl" w:eastAsia="en-US"/>
        </w:rPr>
        <w:t xml:space="preserve"> </w:t>
      </w:r>
      <w:r w:rsidR="00C43F4A" w:rsidRPr="00D5232C">
        <w:rPr>
          <w:rFonts w:ascii="Tahoma" w:eastAsiaTheme="minorHAnsi" w:hAnsi="Tahoma" w:cs="Tahoma"/>
          <w:spacing w:val="-4"/>
          <w:lang w:val="es-ES_tradnl" w:eastAsia="en-US"/>
        </w:rPr>
        <w:t>el</w:t>
      </w:r>
      <w:r w:rsidR="002D21FE" w:rsidRPr="00D5232C">
        <w:rPr>
          <w:rFonts w:ascii="Tahoma" w:eastAsiaTheme="minorHAnsi" w:hAnsi="Tahoma" w:cs="Tahoma"/>
          <w:spacing w:val="-4"/>
          <w:lang w:val="es-ES_tradnl" w:eastAsia="en-US"/>
        </w:rPr>
        <w:t xml:space="preserve"> </w:t>
      </w:r>
      <w:r w:rsidR="00C43F4A" w:rsidRPr="00D5232C">
        <w:rPr>
          <w:rFonts w:ascii="Tahoma" w:eastAsiaTheme="minorHAnsi" w:hAnsi="Tahoma" w:cs="Tahoma"/>
          <w:spacing w:val="-4"/>
          <w:lang w:val="es-ES_tradnl" w:eastAsia="en-US"/>
        </w:rPr>
        <w:t>recurso</w:t>
      </w:r>
      <w:r w:rsidR="002D21FE" w:rsidRPr="00D5232C">
        <w:rPr>
          <w:rFonts w:ascii="Tahoma" w:eastAsiaTheme="minorHAnsi" w:hAnsi="Tahoma" w:cs="Tahoma"/>
          <w:spacing w:val="-4"/>
          <w:lang w:val="es-ES_tradnl" w:eastAsia="en-US"/>
        </w:rPr>
        <w:t xml:space="preserve"> </w:t>
      </w:r>
      <w:r w:rsidR="00C43F4A" w:rsidRPr="00D5232C">
        <w:rPr>
          <w:rFonts w:ascii="Tahoma" w:eastAsiaTheme="minorHAnsi" w:hAnsi="Tahoma" w:cs="Tahoma"/>
          <w:spacing w:val="-4"/>
          <w:lang w:val="es-ES_tradnl" w:eastAsia="en-US"/>
        </w:rPr>
        <w:t xml:space="preserve">de apelación de autos o sentencias, </w:t>
      </w:r>
      <w:r w:rsidR="00C43F4A" w:rsidRPr="00D5232C">
        <w:rPr>
          <w:rFonts w:ascii="Tahoma" w:eastAsiaTheme="minorHAnsi" w:hAnsi="Tahoma" w:cs="Tahoma"/>
          <w:spacing w:val="-4"/>
          <w:lang w:val="es-CO" w:eastAsia="en-US"/>
        </w:rPr>
        <w:t xml:space="preserve">la Sala </w:t>
      </w:r>
      <w:r w:rsidR="0064697B" w:rsidRPr="00D5232C">
        <w:rPr>
          <w:rFonts w:ascii="Tahoma" w:eastAsiaTheme="minorHAnsi" w:hAnsi="Tahoma" w:cs="Tahoma"/>
          <w:spacing w:val="-4"/>
          <w:lang w:val="es-CO" w:eastAsia="en-US"/>
        </w:rPr>
        <w:t xml:space="preserve">Primera </w:t>
      </w:r>
      <w:r w:rsidR="00C43F4A" w:rsidRPr="00D5232C">
        <w:rPr>
          <w:rFonts w:ascii="Tahoma" w:eastAsiaTheme="minorHAnsi" w:hAnsi="Tahoma" w:cs="Tahoma"/>
          <w:spacing w:val="-4"/>
          <w:lang w:val="es-CO" w:eastAsia="en-US"/>
        </w:rPr>
        <w:t xml:space="preserve">de Decisión Laboral del Tribunal Superior de Pereira, integrada por las Magistradas </w:t>
      </w:r>
      <w:r w:rsidR="00C43F4A" w:rsidRPr="00D5232C">
        <w:rPr>
          <w:rFonts w:ascii="Tahoma" w:eastAsiaTheme="minorHAnsi" w:hAnsi="Tahoma" w:cs="Tahoma"/>
          <w:bCs/>
          <w:spacing w:val="-4"/>
          <w:lang w:val="es-CO" w:eastAsia="en-US"/>
        </w:rPr>
        <w:t>ANA LUCÍA CAICEDO CALDERÓN</w:t>
      </w:r>
      <w:r w:rsidR="00CA0E8F" w:rsidRPr="00D5232C">
        <w:rPr>
          <w:rFonts w:ascii="Tahoma" w:eastAsiaTheme="minorHAnsi" w:hAnsi="Tahoma" w:cs="Tahoma"/>
          <w:bCs/>
          <w:spacing w:val="-4"/>
          <w:lang w:val="es-CO" w:eastAsia="en-US"/>
        </w:rPr>
        <w:t>,</w:t>
      </w:r>
      <w:r w:rsidR="00C43F4A" w:rsidRPr="00D5232C">
        <w:rPr>
          <w:rFonts w:ascii="Tahoma" w:eastAsiaTheme="minorHAnsi" w:hAnsi="Tahoma" w:cs="Tahoma"/>
          <w:spacing w:val="-4"/>
          <w:lang w:val="es-CO" w:eastAsia="en-US"/>
        </w:rPr>
        <w:t xml:space="preserve"> como Ponente, </w:t>
      </w:r>
      <w:r w:rsidR="00C43F4A" w:rsidRPr="00D5232C">
        <w:rPr>
          <w:rFonts w:ascii="Tahoma" w:eastAsiaTheme="minorHAnsi" w:hAnsi="Tahoma" w:cs="Tahoma"/>
          <w:bCs/>
          <w:spacing w:val="-4"/>
          <w:lang w:val="es-CO" w:eastAsia="en-US"/>
        </w:rPr>
        <w:t>OLGA LUCÍA HOYOS SEPÚLVEDA</w:t>
      </w:r>
      <w:r w:rsidR="00C43F4A" w:rsidRPr="00D5232C">
        <w:rPr>
          <w:rFonts w:ascii="Tahoma" w:eastAsiaTheme="minorHAnsi" w:hAnsi="Tahoma" w:cs="Tahoma"/>
          <w:spacing w:val="-4"/>
          <w:lang w:val="es-CO" w:eastAsia="en-US"/>
        </w:rPr>
        <w:t xml:space="preserve"> y el Magistrado </w:t>
      </w:r>
      <w:bookmarkStart w:id="1" w:name="_Hlk61987554"/>
      <w:r w:rsidR="00C43F4A" w:rsidRPr="00D5232C">
        <w:rPr>
          <w:rFonts w:ascii="Tahoma" w:eastAsiaTheme="minorHAnsi" w:hAnsi="Tahoma" w:cs="Tahoma"/>
          <w:bCs/>
          <w:spacing w:val="-4"/>
          <w:lang w:val="es-CO" w:eastAsia="en-US"/>
        </w:rPr>
        <w:t>GERMÁN DARIO GOEZ VINASCO</w:t>
      </w:r>
      <w:bookmarkEnd w:id="1"/>
      <w:r w:rsidR="00C43F4A" w:rsidRPr="00D5232C">
        <w:rPr>
          <w:rFonts w:ascii="Tahoma" w:eastAsiaTheme="minorHAnsi" w:hAnsi="Tahoma" w:cs="Tahoma"/>
          <w:spacing w:val="-4"/>
          <w:lang w:val="es-CO" w:eastAsia="en-US"/>
        </w:rPr>
        <w:t xml:space="preserve">, procede a proferir el siguiente auto escrito dentro del proceso </w:t>
      </w:r>
      <w:r w:rsidR="0064697B" w:rsidRPr="00D5232C">
        <w:rPr>
          <w:rFonts w:ascii="Tahoma" w:eastAsiaTheme="minorHAnsi" w:hAnsi="Tahoma" w:cs="Tahoma"/>
          <w:b/>
          <w:spacing w:val="-4"/>
          <w:lang w:val="es-CO" w:eastAsia="en-US"/>
        </w:rPr>
        <w:t xml:space="preserve">ordinario </w:t>
      </w:r>
      <w:r w:rsidR="00C43F4A" w:rsidRPr="00D5232C">
        <w:rPr>
          <w:rFonts w:ascii="Tahoma" w:eastAsiaTheme="minorHAnsi" w:hAnsi="Tahoma" w:cs="Tahoma"/>
          <w:b/>
          <w:spacing w:val="-4"/>
          <w:lang w:val="es-CO" w:eastAsia="en-US"/>
        </w:rPr>
        <w:t>laboral</w:t>
      </w:r>
      <w:r w:rsidR="00C43F4A" w:rsidRPr="00D5232C">
        <w:rPr>
          <w:rFonts w:ascii="Tahoma" w:eastAsiaTheme="minorHAnsi" w:hAnsi="Tahoma" w:cs="Tahoma"/>
          <w:spacing w:val="-4"/>
          <w:lang w:val="es-CO" w:eastAsia="en-US"/>
        </w:rPr>
        <w:t xml:space="preserve"> instaurado por</w:t>
      </w:r>
      <w:r w:rsidR="000D47A7" w:rsidRPr="00D5232C">
        <w:rPr>
          <w:rFonts w:ascii="Tahoma" w:eastAsiaTheme="minorHAnsi" w:hAnsi="Tahoma" w:cs="Tahoma"/>
          <w:b/>
          <w:spacing w:val="-4"/>
          <w:lang w:val="es-419" w:eastAsia="en-US"/>
        </w:rPr>
        <w:t xml:space="preserve"> </w:t>
      </w:r>
      <w:r w:rsidR="00A35E8D" w:rsidRPr="00D5232C">
        <w:rPr>
          <w:rFonts w:ascii="Tahoma" w:eastAsiaTheme="minorHAnsi" w:hAnsi="Tahoma" w:cs="Tahoma"/>
          <w:b/>
          <w:spacing w:val="-4"/>
          <w:lang w:val="es-419" w:eastAsia="en-US"/>
        </w:rPr>
        <w:t xml:space="preserve">Carmen Emilia Román Acevedo </w:t>
      </w:r>
      <w:r w:rsidR="00C43F4A" w:rsidRPr="00D5232C">
        <w:rPr>
          <w:rFonts w:ascii="Tahoma" w:eastAsiaTheme="minorHAnsi" w:hAnsi="Tahoma" w:cs="Tahoma"/>
          <w:spacing w:val="-4"/>
          <w:lang w:val="es-ES_tradnl" w:eastAsia="en-US"/>
        </w:rPr>
        <w:t xml:space="preserve">en contra </w:t>
      </w:r>
      <w:r w:rsidR="007830CF" w:rsidRPr="00D5232C">
        <w:rPr>
          <w:rFonts w:ascii="Tahoma" w:eastAsiaTheme="minorHAnsi" w:hAnsi="Tahoma" w:cs="Tahoma"/>
          <w:spacing w:val="-4"/>
          <w:lang w:val="es-ES_tradnl" w:eastAsia="en-US"/>
        </w:rPr>
        <w:t xml:space="preserve">de la </w:t>
      </w:r>
      <w:r w:rsidR="00A35E8D" w:rsidRPr="00D5232C">
        <w:rPr>
          <w:rFonts w:ascii="Tahoma" w:eastAsiaTheme="minorHAnsi" w:hAnsi="Tahoma" w:cs="Tahoma"/>
          <w:b/>
          <w:spacing w:val="-4"/>
          <w:lang w:val="es-ES_tradnl" w:eastAsia="en-US"/>
        </w:rPr>
        <w:t>Administradora Colombiana de Pensiones –</w:t>
      </w:r>
      <w:r w:rsidR="007830CF" w:rsidRPr="00D5232C">
        <w:rPr>
          <w:rFonts w:ascii="Tahoma" w:eastAsiaTheme="minorHAnsi" w:hAnsi="Tahoma" w:cs="Tahoma"/>
          <w:b/>
          <w:spacing w:val="-4"/>
          <w:lang w:val="es-ES_tradnl" w:eastAsia="en-US"/>
        </w:rPr>
        <w:t xml:space="preserve"> </w:t>
      </w:r>
      <w:r w:rsidR="00A35E8D" w:rsidRPr="00D5232C">
        <w:rPr>
          <w:rFonts w:ascii="Tahoma" w:eastAsiaTheme="minorHAnsi" w:hAnsi="Tahoma" w:cs="Tahoma"/>
          <w:b/>
          <w:spacing w:val="-4"/>
          <w:lang w:val="es-ES_tradnl" w:eastAsia="en-US"/>
        </w:rPr>
        <w:t>Colpensiones</w:t>
      </w:r>
      <w:r w:rsidR="00CC0668" w:rsidRPr="00D5232C">
        <w:rPr>
          <w:rFonts w:ascii="Tahoma" w:eastAsiaTheme="minorHAnsi" w:hAnsi="Tahoma" w:cs="Tahoma"/>
          <w:b/>
          <w:spacing w:val="-4"/>
          <w:lang w:val="es-ES_tradnl" w:eastAsia="en-US"/>
        </w:rPr>
        <w:t>.</w:t>
      </w:r>
    </w:p>
    <w:p w14:paraId="6510037F" w14:textId="4BE9DB62" w:rsidR="003D3069" w:rsidRPr="00D5232C" w:rsidRDefault="003D3069" w:rsidP="00305318">
      <w:pPr>
        <w:widowControl w:val="0"/>
        <w:autoSpaceDE w:val="0"/>
        <w:autoSpaceDN w:val="0"/>
        <w:adjustRightInd w:val="0"/>
        <w:spacing w:line="276" w:lineRule="auto"/>
        <w:jc w:val="both"/>
        <w:rPr>
          <w:rStyle w:val="normaltextrun"/>
          <w:rFonts w:ascii="Tahoma" w:hAnsi="Tahoma" w:cs="Tahoma"/>
          <w:spacing w:val="-4"/>
        </w:rPr>
      </w:pPr>
    </w:p>
    <w:p w14:paraId="7E77E807" w14:textId="431A5A89" w:rsidR="00C43F4A" w:rsidRPr="00D5232C" w:rsidRDefault="00C43F4A" w:rsidP="00305318">
      <w:pPr>
        <w:spacing w:line="276" w:lineRule="auto"/>
        <w:jc w:val="center"/>
        <w:rPr>
          <w:rFonts w:ascii="Tahoma" w:eastAsiaTheme="minorHAnsi" w:hAnsi="Tahoma" w:cs="Tahoma"/>
          <w:b/>
          <w:bCs/>
          <w:spacing w:val="-4"/>
          <w:lang w:val="es-CO" w:eastAsia="en-US"/>
        </w:rPr>
      </w:pPr>
      <w:r w:rsidRPr="00D5232C">
        <w:rPr>
          <w:rFonts w:ascii="Tahoma" w:eastAsiaTheme="minorHAnsi" w:hAnsi="Tahoma" w:cs="Tahoma"/>
          <w:b/>
          <w:bCs/>
          <w:spacing w:val="-4"/>
          <w:lang w:val="es-CO" w:eastAsia="en-US"/>
        </w:rPr>
        <w:t>PUNTO A TRATAR</w:t>
      </w:r>
    </w:p>
    <w:p w14:paraId="364CE43D" w14:textId="77777777" w:rsidR="00C01C23" w:rsidRPr="00D5232C" w:rsidRDefault="00C01C23" w:rsidP="00305318">
      <w:pPr>
        <w:spacing w:line="276" w:lineRule="auto"/>
        <w:ind w:firstLine="708"/>
        <w:jc w:val="both"/>
        <w:rPr>
          <w:rFonts w:ascii="Tahoma" w:eastAsiaTheme="minorHAnsi" w:hAnsi="Tahoma" w:cs="Tahoma"/>
          <w:spacing w:val="-4"/>
          <w:lang w:val="es-CO" w:eastAsia="en-US"/>
        </w:rPr>
      </w:pPr>
    </w:p>
    <w:p w14:paraId="193E2965" w14:textId="04B1B461" w:rsidR="00CC0668" w:rsidRPr="00D5232C" w:rsidRDefault="00C43F4A" w:rsidP="00305318">
      <w:pPr>
        <w:widowControl w:val="0"/>
        <w:autoSpaceDE w:val="0"/>
        <w:autoSpaceDN w:val="0"/>
        <w:adjustRightInd w:val="0"/>
        <w:spacing w:line="276" w:lineRule="auto"/>
        <w:ind w:firstLine="706"/>
        <w:jc w:val="both"/>
        <w:rPr>
          <w:rStyle w:val="normaltextrun"/>
          <w:rFonts w:ascii="Tahoma" w:hAnsi="Tahoma" w:cs="Tahoma"/>
          <w:spacing w:val="-4"/>
        </w:rPr>
      </w:pPr>
      <w:r w:rsidRPr="00D5232C">
        <w:rPr>
          <w:rFonts w:ascii="Tahoma" w:eastAsiaTheme="minorEastAsia" w:hAnsi="Tahoma" w:cs="Tahoma"/>
          <w:spacing w:val="-4"/>
          <w:lang w:val="es-CO" w:eastAsia="en-US"/>
        </w:rPr>
        <w:t xml:space="preserve">Por medio de esta providencia procede la Sala a resolver el recurso de apelación promovido por </w:t>
      </w:r>
      <w:r w:rsidR="0064697B" w:rsidRPr="00D5232C">
        <w:rPr>
          <w:rFonts w:ascii="Tahoma" w:eastAsiaTheme="minorEastAsia" w:hAnsi="Tahoma" w:cs="Tahoma"/>
          <w:spacing w:val="-4"/>
          <w:lang w:val="es-CO" w:eastAsia="en-US"/>
        </w:rPr>
        <w:t xml:space="preserve">el apoderado judicial de </w:t>
      </w:r>
      <w:r w:rsidR="00AC7DEE" w:rsidRPr="00D5232C">
        <w:rPr>
          <w:rFonts w:ascii="Tahoma" w:eastAsiaTheme="minorEastAsia" w:hAnsi="Tahoma" w:cs="Tahoma"/>
          <w:spacing w:val="-4"/>
          <w:lang w:val="es-CO" w:eastAsia="en-US"/>
        </w:rPr>
        <w:t xml:space="preserve">la parte demandante </w:t>
      </w:r>
      <w:r w:rsidRPr="00D5232C">
        <w:rPr>
          <w:rFonts w:ascii="Tahoma" w:eastAsiaTheme="minorEastAsia" w:hAnsi="Tahoma" w:cs="Tahoma"/>
          <w:spacing w:val="-4"/>
          <w:lang w:val="es-CO" w:eastAsia="en-US"/>
        </w:rPr>
        <w:t xml:space="preserve">en contra del auto del </w:t>
      </w:r>
      <w:r w:rsidR="007830CF" w:rsidRPr="00D5232C">
        <w:rPr>
          <w:rFonts w:ascii="Tahoma" w:eastAsiaTheme="minorEastAsia" w:hAnsi="Tahoma" w:cs="Tahoma"/>
          <w:spacing w:val="-4"/>
          <w:lang w:val="es-CO" w:eastAsia="en-US"/>
        </w:rPr>
        <w:t xml:space="preserve">25 de </w:t>
      </w:r>
      <w:r w:rsidR="007830CF" w:rsidRPr="00D5232C">
        <w:rPr>
          <w:rFonts w:ascii="Tahoma" w:eastAsiaTheme="minorEastAsia" w:hAnsi="Tahoma" w:cs="Tahoma"/>
          <w:spacing w:val="-4"/>
          <w:lang w:val="es-CO" w:eastAsia="en-US"/>
        </w:rPr>
        <w:lastRenderedPageBreak/>
        <w:t xml:space="preserve">noviembre </w:t>
      </w:r>
      <w:r w:rsidR="006340F1" w:rsidRPr="00D5232C">
        <w:rPr>
          <w:rFonts w:ascii="Tahoma" w:eastAsiaTheme="minorEastAsia" w:hAnsi="Tahoma" w:cs="Tahoma"/>
          <w:spacing w:val="-4"/>
          <w:lang w:val="es-CO" w:eastAsia="en-US"/>
        </w:rPr>
        <w:t>de 2022</w:t>
      </w:r>
      <w:r w:rsidRPr="00D5232C">
        <w:rPr>
          <w:rFonts w:ascii="Tahoma" w:eastAsiaTheme="minorEastAsia" w:hAnsi="Tahoma" w:cs="Tahoma"/>
          <w:spacing w:val="-4"/>
          <w:lang w:val="es-CO" w:eastAsia="en-US"/>
        </w:rPr>
        <w:t xml:space="preserve">, por medio del cual el despacho de conocimiento </w:t>
      </w:r>
      <w:r w:rsidR="0064697B" w:rsidRPr="00D5232C">
        <w:rPr>
          <w:rFonts w:ascii="Tahoma" w:eastAsiaTheme="minorEastAsia" w:hAnsi="Tahoma" w:cs="Tahoma"/>
          <w:spacing w:val="-4"/>
          <w:lang w:val="es-CO" w:eastAsia="en-US"/>
        </w:rPr>
        <w:t xml:space="preserve">aprobó </w:t>
      </w:r>
      <w:r w:rsidRPr="00D5232C">
        <w:rPr>
          <w:rFonts w:ascii="Tahoma" w:eastAsiaTheme="minorEastAsia" w:hAnsi="Tahoma" w:cs="Tahoma"/>
          <w:spacing w:val="-4"/>
          <w:lang w:val="es-CO" w:eastAsia="en-US"/>
        </w:rPr>
        <w:t xml:space="preserve">la </w:t>
      </w:r>
      <w:r w:rsidR="0064697B" w:rsidRPr="00D5232C">
        <w:rPr>
          <w:rFonts w:ascii="Tahoma" w:eastAsiaTheme="minorEastAsia" w:hAnsi="Tahoma" w:cs="Tahoma"/>
          <w:spacing w:val="-4"/>
          <w:lang w:val="es-CO" w:eastAsia="en-US"/>
        </w:rPr>
        <w:t>liquidación de las costas procesales</w:t>
      </w:r>
      <w:r w:rsidR="00CA0E8F" w:rsidRPr="00D5232C">
        <w:rPr>
          <w:rFonts w:ascii="Tahoma" w:eastAsiaTheme="minorEastAsia" w:hAnsi="Tahoma" w:cs="Tahoma"/>
          <w:spacing w:val="-4"/>
          <w:lang w:val="es-CO" w:eastAsia="en-US"/>
        </w:rPr>
        <w:t xml:space="preserve"> efectuada por la secretaría del mismo</w:t>
      </w:r>
      <w:r w:rsidRPr="00D5232C">
        <w:rPr>
          <w:rFonts w:ascii="Tahoma" w:eastAsiaTheme="minorEastAsia" w:hAnsi="Tahoma" w:cs="Tahoma"/>
          <w:spacing w:val="-4"/>
          <w:lang w:val="es-CO" w:eastAsia="en-US"/>
        </w:rPr>
        <w:t xml:space="preserve">. </w:t>
      </w:r>
      <w:r w:rsidR="00CC0668" w:rsidRPr="00D5232C">
        <w:rPr>
          <w:rStyle w:val="normaltextrun"/>
          <w:rFonts w:ascii="Tahoma" w:hAnsi="Tahoma" w:cs="Tahoma"/>
          <w:b/>
          <w:bCs/>
          <w:spacing w:val="-4"/>
          <w:lang w:val="es-CO"/>
        </w:rPr>
        <w:t xml:space="preserve">Es del caso advertir que el presente proceso fue remitido por parte del juzgado de primera instancia a la oficina judicial para ser sometida a reparto entre los Magistrados de esta Sala Especializada tan solo hasta el </w:t>
      </w:r>
      <w:r w:rsidR="007830CF" w:rsidRPr="00D5232C">
        <w:rPr>
          <w:rStyle w:val="normaltextrun"/>
          <w:rFonts w:ascii="Tahoma" w:hAnsi="Tahoma" w:cs="Tahoma"/>
          <w:b/>
          <w:bCs/>
          <w:spacing w:val="-4"/>
          <w:lang w:val="es-CO"/>
        </w:rPr>
        <w:t>10 de abril</w:t>
      </w:r>
      <w:r w:rsidR="00CC0668" w:rsidRPr="00D5232C">
        <w:rPr>
          <w:rStyle w:val="normaltextrun"/>
          <w:rFonts w:ascii="Tahoma" w:hAnsi="Tahoma" w:cs="Tahoma"/>
          <w:b/>
          <w:bCs/>
          <w:spacing w:val="-4"/>
          <w:lang w:val="es-CO"/>
        </w:rPr>
        <w:t xml:space="preserve"> de 2023</w:t>
      </w:r>
      <w:r w:rsidR="1153974A" w:rsidRPr="00D5232C">
        <w:rPr>
          <w:rStyle w:val="normaltextrun"/>
          <w:rFonts w:ascii="Tahoma" w:hAnsi="Tahoma" w:cs="Tahoma"/>
          <w:b/>
          <w:bCs/>
          <w:spacing w:val="-4"/>
          <w:lang w:val="es-CO"/>
        </w:rPr>
        <w:t xml:space="preserve">, es decir, </w:t>
      </w:r>
      <w:r w:rsidR="007830CF" w:rsidRPr="00D5232C">
        <w:rPr>
          <w:rStyle w:val="normaltextrun"/>
          <w:rFonts w:ascii="Tahoma" w:hAnsi="Tahoma" w:cs="Tahoma"/>
          <w:b/>
          <w:bCs/>
          <w:spacing w:val="-4"/>
          <w:lang w:val="es-CO"/>
        </w:rPr>
        <w:t>5</w:t>
      </w:r>
      <w:r w:rsidR="1153974A" w:rsidRPr="00D5232C">
        <w:rPr>
          <w:rStyle w:val="normaltextrun"/>
          <w:rFonts w:ascii="Tahoma" w:hAnsi="Tahoma" w:cs="Tahoma"/>
          <w:b/>
          <w:bCs/>
          <w:spacing w:val="-4"/>
          <w:lang w:val="es-CO"/>
        </w:rPr>
        <w:t xml:space="preserve"> meses después</w:t>
      </w:r>
      <w:r w:rsidR="00CC0668" w:rsidRPr="00D5232C">
        <w:rPr>
          <w:rStyle w:val="normaltextrun"/>
          <w:rFonts w:ascii="Tahoma" w:hAnsi="Tahoma" w:cs="Tahoma"/>
          <w:b/>
          <w:bCs/>
          <w:spacing w:val="-4"/>
          <w:lang w:val="es-CO"/>
        </w:rPr>
        <w:t>. </w:t>
      </w:r>
      <w:r w:rsidR="00CC0668" w:rsidRPr="00D5232C">
        <w:rPr>
          <w:rStyle w:val="eop"/>
          <w:rFonts w:ascii="Tahoma" w:hAnsi="Tahoma" w:cs="Tahoma"/>
          <w:b/>
          <w:bCs/>
          <w:spacing w:val="-4"/>
        </w:rPr>
        <w:t> </w:t>
      </w:r>
      <w:r w:rsidR="00CC0668" w:rsidRPr="00D5232C">
        <w:rPr>
          <w:rStyle w:val="normaltextrun"/>
          <w:rFonts w:ascii="Tahoma" w:hAnsi="Tahoma" w:cs="Tahoma"/>
          <w:spacing w:val="-4"/>
          <w:lang w:val="es-CO"/>
        </w:rPr>
        <w:t>Así, para resolver se tiene en cuenta lo siguiente:  </w:t>
      </w:r>
    </w:p>
    <w:p w14:paraId="2EA16FE3" w14:textId="324A4702" w:rsidR="00CC0668" w:rsidRPr="00D5232C" w:rsidRDefault="00CC0668" w:rsidP="00305318">
      <w:pPr>
        <w:spacing w:line="276" w:lineRule="auto"/>
        <w:ind w:firstLine="708"/>
        <w:jc w:val="both"/>
        <w:rPr>
          <w:rFonts w:ascii="Tahoma" w:eastAsiaTheme="minorHAnsi" w:hAnsi="Tahoma" w:cs="Tahoma"/>
          <w:spacing w:val="-4"/>
          <w:lang w:val="es-CO" w:eastAsia="en-US"/>
        </w:rPr>
      </w:pPr>
    </w:p>
    <w:p w14:paraId="720A10B9" w14:textId="281DFDF3" w:rsidR="0064697B" w:rsidRPr="00D5232C" w:rsidRDefault="0064697B" w:rsidP="00305318">
      <w:pPr>
        <w:pStyle w:val="Prrafodelista"/>
        <w:numPr>
          <w:ilvl w:val="0"/>
          <w:numId w:val="7"/>
        </w:numPr>
        <w:tabs>
          <w:tab w:val="left" w:pos="284"/>
        </w:tabs>
        <w:spacing w:line="276" w:lineRule="auto"/>
        <w:jc w:val="center"/>
        <w:rPr>
          <w:rFonts w:ascii="Tahoma" w:hAnsi="Tahoma" w:cs="Tahoma"/>
          <w:b/>
          <w:bCs/>
          <w:spacing w:val="-4"/>
        </w:rPr>
      </w:pPr>
      <w:r w:rsidRPr="00D5232C">
        <w:rPr>
          <w:rFonts w:ascii="Tahoma" w:hAnsi="Tahoma" w:cs="Tahoma"/>
          <w:b/>
          <w:bCs/>
          <w:spacing w:val="-4"/>
        </w:rPr>
        <w:t>Antecedentes Procesales</w:t>
      </w:r>
    </w:p>
    <w:p w14:paraId="21A40DE0" w14:textId="77777777" w:rsidR="00B45943" w:rsidRPr="00D5232C" w:rsidRDefault="00B45943" w:rsidP="00305318">
      <w:pPr>
        <w:pStyle w:val="Prrafodelista"/>
        <w:tabs>
          <w:tab w:val="left" w:pos="284"/>
        </w:tabs>
        <w:spacing w:line="276" w:lineRule="auto"/>
        <w:rPr>
          <w:rFonts w:ascii="Tahoma" w:hAnsi="Tahoma" w:cs="Tahoma"/>
          <w:b/>
          <w:bCs/>
          <w:spacing w:val="-4"/>
        </w:rPr>
      </w:pPr>
    </w:p>
    <w:p w14:paraId="576AE7B0" w14:textId="4F6FA9A2" w:rsidR="40BD9DB9" w:rsidRPr="00D5232C" w:rsidRDefault="00B45943" w:rsidP="00305318">
      <w:pPr>
        <w:tabs>
          <w:tab w:val="left" w:pos="284"/>
        </w:tabs>
        <w:spacing w:line="276" w:lineRule="auto"/>
        <w:jc w:val="both"/>
        <w:rPr>
          <w:rFonts w:ascii="Tahoma" w:hAnsi="Tahoma" w:cs="Tahoma"/>
          <w:spacing w:val="-4"/>
        </w:rPr>
      </w:pPr>
      <w:r w:rsidRPr="00D5232C">
        <w:rPr>
          <w:rFonts w:ascii="Tahoma" w:hAnsi="Tahoma" w:cs="Tahoma"/>
          <w:b/>
          <w:bCs/>
          <w:spacing w:val="-4"/>
        </w:rPr>
        <w:tab/>
      </w:r>
      <w:r w:rsidRPr="00D5232C">
        <w:rPr>
          <w:rFonts w:ascii="Tahoma" w:hAnsi="Tahoma" w:cs="Tahoma"/>
          <w:b/>
          <w:bCs/>
          <w:spacing w:val="-4"/>
        </w:rPr>
        <w:tab/>
      </w:r>
      <w:bookmarkStart w:id="2" w:name="_Hlk96073038"/>
      <w:r w:rsidR="001A25C0" w:rsidRPr="00D5232C">
        <w:rPr>
          <w:rFonts w:ascii="Tahoma" w:hAnsi="Tahoma" w:cs="Tahoma"/>
          <w:spacing w:val="-4"/>
        </w:rPr>
        <w:t>Para mejor proveer conviene indicar que</w:t>
      </w:r>
      <w:r w:rsidR="003D3069" w:rsidRPr="00D5232C">
        <w:rPr>
          <w:rFonts w:ascii="Tahoma" w:hAnsi="Tahoma" w:cs="Tahoma"/>
          <w:spacing w:val="-4"/>
        </w:rPr>
        <w:t xml:space="preserve"> en sentencia de primera instancia, proferida el </w:t>
      </w:r>
      <w:r w:rsidR="007830CF" w:rsidRPr="00D5232C">
        <w:rPr>
          <w:rFonts w:ascii="Tahoma" w:hAnsi="Tahoma" w:cs="Tahoma"/>
          <w:spacing w:val="-4"/>
        </w:rPr>
        <w:t>27 de enero de 2022</w:t>
      </w:r>
      <w:r w:rsidR="003D3069" w:rsidRPr="00D5232C">
        <w:rPr>
          <w:rFonts w:ascii="Tahoma" w:hAnsi="Tahoma" w:cs="Tahoma"/>
          <w:spacing w:val="-4"/>
        </w:rPr>
        <w:t xml:space="preserve">, se declaró que </w:t>
      </w:r>
      <w:r w:rsidR="007830CF" w:rsidRPr="00D5232C">
        <w:rPr>
          <w:rFonts w:ascii="Tahoma" w:hAnsi="Tahoma" w:cs="Tahoma"/>
          <w:spacing w:val="-4"/>
        </w:rPr>
        <w:t>CARMÉN EMILIA ROMÁN DE ACEVEDO es beneficiaria del régimen de transición contemplado en el art. 36 de la Ley 100 de 1993 y que cumplió con los requisitos del Acuerdo 049 de 1990 en aplicación del Convenio de Seguridad Social entre Colombia y el reino de España. E</w:t>
      </w:r>
      <w:r w:rsidR="0025707D" w:rsidRPr="00D5232C">
        <w:rPr>
          <w:rFonts w:ascii="Tahoma" w:hAnsi="Tahoma" w:cs="Tahoma"/>
          <w:spacing w:val="-4"/>
        </w:rPr>
        <w:t xml:space="preserve">n consecuencia, </w:t>
      </w:r>
      <w:r w:rsidR="007830CF" w:rsidRPr="00D5232C">
        <w:rPr>
          <w:rFonts w:ascii="Tahoma" w:hAnsi="Tahoma" w:cs="Tahoma"/>
          <w:spacing w:val="-4"/>
        </w:rPr>
        <w:t xml:space="preserve">se </w:t>
      </w:r>
      <w:r w:rsidR="0025707D" w:rsidRPr="00D5232C">
        <w:rPr>
          <w:rFonts w:ascii="Tahoma" w:hAnsi="Tahoma" w:cs="Tahoma"/>
          <w:spacing w:val="-4"/>
        </w:rPr>
        <w:t xml:space="preserve">condenó </w:t>
      </w:r>
      <w:r w:rsidR="007830CF" w:rsidRPr="00D5232C">
        <w:rPr>
          <w:rFonts w:ascii="Tahoma" w:hAnsi="Tahoma" w:cs="Tahoma"/>
          <w:spacing w:val="-4"/>
        </w:rPr>
        <w:t>a COLPENSIONES a reconocer en favor de la demandante la pensión de vejez en cuantía del 66.67% de la pensión teórica a partir del 31 de octubre de 2012, con una primera mesada por valor de $566.700 y un retroactivo liquidado hasta el 31 de diciembre de 2021 equivalente a $58.953.890</w:t>
      </w:r>
      <w:r w:rsidR="00EB534D" w:rsidRPr="00D5232C">
        <w:rPr>
          <w:rFonts w:ascii="Tahoma" w:hAnsi="Tahoma" w:cs="Tahoma"/>
          <w:spacing w:val="-4"/>
        </w:rPr>
        <w:t>.</w:t>
      </w:r>
    </w:p>
    <w:p w14:paraId="09CB8FCF" w14:textId="622FFE3C" w:rsidR="00EB534D" w:rsidRPr="00D5232C" w:rsidRDefault="00EB534D" w:rsidP="00305318">
      <w:pPr>
        <w:tabs>
          <w:tab w:val="left" w:pos="284"/>
        </w:tabs>
        <w:spacing w:line="276" w:lineRule="auto"/>
        <w:jc w:val="both"/>
        <w:rPr>
          <w:rFonts w:ascii="Tahoma" w:hAnsi="Tahoma" w:cs="Tahoma"/>
          <w:spacing w:val="-4"/>
        </w:rPr>
      </w:pPr>
    </w:p>
    <w:p w14:paraId="66393B61" w14:textId="5E9C8DD9" w:rsidR="00EB534D" w:rsidRPr="00D5232C" w:rsidRDefault="00EB534D" w:rsidP="00305318">
      <w:pPr>
        <w:tabs>
          <w:tab w:val="left" w:pos="284"/>
        </w:tabs>
        <w:spacing w:line="276" w:lineRule="auto"/>
        <w:jc w:val="both"/>
        <w:rPr>
          <w:rFonts w:ascii="Tahoma" w:hAnsi="Tahoma" w:cs="Tahoma"/>
          <w:spacing w:val="-4"/>
        </w:rPr>
      </w:pPr>
      <w:r w:rsidRPr="00D5232C">
        <w:rPr>
          <w:rFonts w:ascii="Tahoma" w:hAnsi="Tahoma" w:cs="Tahoma"/>
          <w:spacing w:val="-4"/>
        </w:rPr>
        <w:tab/>
        <w:t xml:space="preserve">Por otra parte, se condenó a la administradora pensional al pago de los intereses moratorios a partir del 29 de enero de 2017 y se le impuso las costas procesales en un 90% en favor de la demandante. </w:t>
      </w:r>
    </w:p>
    <w:p w14:paraId="24DF781A" w14:textId="47460C6C" w:rsidR="003D3069" w:rsidRPr="00D5232C" w:rsidRDefault="003D3069" w:rsidP="00305318">
      <w:pPr>
        <w:tabs>
          <w:tab w:val="left" w:pos="284"/>
        </w:tabs>
        <w:spacing w:line="276" w:lineRule="auto"/>
        <w:jc w:val="both"/>
        <w:rPr>
          <w:rFonts w:ascii="Tahoma" w:hAnsi="Tahoma" w:cs="Tahoma"/>
          <w:spacing w:val="-4"/>
        </w:rPr>
      </w:pPr>
    </w:p>
    <w:p w14:paraId="7DBFDB73" w14:textId="352EE90F" w:rsidR="001A25C0" w:rsidRPr="00D5232C" w:rsidRDefault="0025707D" w:rsidP="00305318">
      <w:pPr>
        <w:widowControl w:val="0"/>
        <w:autoSpaceDE w:val="0"/>
        <w:autoSpaceDN w:val="0"/>
        <w:adjustRightInd w:val="0"/>
        <w:spacing w:line="276" w:lineRule="auto"/>
        <w:ind w:firstLine="706"/>
        <w:jc w:val="both"/>
        <w:rPr>
          <w:rFonts w:ascii="Tahoma" w:hAnsi="Tahoma" w:cs="Tahoma"/>
          <w:spacing w:val="-4"/>
        </w:rPr>
      </w:pPr>
      <w:r w:rsidRPr="00D5232C">
        <w:rPr>
          <w:rFonts w:ascii="Tahoma" w:hAnsi="Tahoma" w:cs="Tahoma"/>
          <w:spacing w:val="-4"/>
        </w:rPr>
        <w:t>Mediante</w:t>
      </w:r>
      <w:r w:rsidR="001A25C0" w:rsidRPr="00D5232C">
        <w:rPr>
          <w:rFonts w:ascii="Tahoma" w:hAnsi="Tahoma" w:cs="Tahoma"/>
          <w:spacing w:val="-4"/>
        </w:rPr>
        <w:t xml:space="preserve"> sentencia del </w:t>
      </w:r>
      <w:r w:rsidR="007A08AC" w:rsidRPr="00D5232C">
        <w:rPr>
          <w:rFonts w:ascii="Tahoma" w:hAnsi="Tahoma" w:cs="Tahoma"/>
          <w:spacing w:val="-4"/>
        </w:rPr>
        <w:t>29 de julio de 2022</w:t>
      </w:r>
      <w:r w:rsidR="001A25C0" w:rsidRPr="00D5232C">
        <w:rPr>
          <w:rFonts w:ascii="Tahoma" w:hAnsi="Tahoma" w:cs="Tahoma"/>
          <w:spacing w:val="-4"/>
        </w:rPr>
        <w:t xml:space="preserve"> esta Corporación</w:t>
      </w:r>
      <w:r w:rsidR="007A08AC" w:rsidRPr="00D5232C">
        <w:rPr>
          <w:rFonts w:ascii="Tahoma" w:hAnsi="Tahoma" w:cs="Tahoma"/>
          <w:spacing w:val="-4"/>
        </w:rPr>
        <w:t>, en sede de consulta,</w:t>
      </w:r>
      <w:r w:rsidR="001A25C0" w:rsidRPr="00D5232C">
        <w:rPr>
          <w:rFonts w:ascii="Tahoma" w:hAnsi="Tahoma" w:cs="Tahoma"/>
          <w:spacing w:val="-4"/>
        </w:rPr>
        <w:t xml:space="preserve"> </w:t>
      </w:r>
      <w:r w:rsidR="007A08AC" w:rsidRPr="00D5232C">
        <w:rPr>
          <w:rFonts w:ascii="Tahoma" w:hAnsi="Tahoma" w:cs="Tahoma"/>
          <w:spacing w:val="-4"/>
        </w:rPr>
        <w:t>confirmó</w:t>
      </w:r>
      <w:r w:rsidR="00C85B04" w:rsidRPr="00D5232C">
        <w:rPr>
          <w:rFonts w:ascii="Tahoma" w:hAnsi="Tahoma" w:cs="Tahoma"/>
          <w:spacing w:val="-4"/>
        </w:rPr>
        <w:t xml:space="preserve"> la </w:t>
      </w:r>
      <w:r w:rsidR="006340F1" w:rsidRPr="00D5232C">
        <w:rPr>
          <w:rFonts w:ascii="Tahoma" w:hAnsi="Tahoma" w:cs="Tahoma"/>
          <w:spacing w:val="-4"/>
        </w:rPr>
        <w:t xml:space="preserve">providencia </w:t>
      </w:r>
      <w:r w:rsidR="00C85B04" w:rsidRPr="00D5232C">
        <w:rPr>
          <w:rFonts w:ascii="Tahoma" w:hAnsi="Tahoma" w:cs="Tahoma"/>
          <w:spacing w:val="-4"/>
        </w:rPr>
        <w:t xml:space="preserve">proferida por el Juzgado </w:t>
      </w:r>
      <w:r w:rsidR="007A08AC" w:rsidRPr="00D5232C">
        <w:rPr>
          <w:rFonts w:ascii="Tahoma" w:hAnsi="Tahoma" w:cs="Tahoma"/>
          <w:spacing w:val="-4"/>
        </w:rPr>
        <w:t>Segundo Laboral del Circuito y actualizó el monto del retroactivo pensional hasta el 31 de julio de 2022 en la suma de $63.644.718,74.</w:t>
      </w:r>
    </w:p>
    <w:bookmarkEnd w:id="2"/>
    <w:p w14:paraId="150FDA93" w14:textId="3C2597FA" w:rsidR="00C35CB3" w:rsidRPr="00D5232C" w:rsidRDefault="00C35CB3" w:rsidP="00305318">
      <w:pPr>
        <w:pStyle w:val="Sinespaciado"/>
        <w:spacing w:line="276" w:lineRule="auto"/>
        <w:rPr>
          <w:rFonts w:ascii="Tahoma" w:hAnsi="Tahoma" w:cs="Tahoma"/>
          <w:spacing w:val="-4"/>
        </w:rPr>
      </w:pPr>
    </w:p>
    <w:p w14:paraId="0C002898" w14:textId="3458BBB2" w:rsidR="0064697B" w:rsidRPr="00D5232C" w:rsidRDefault="0064697B" w:rsidP="00305318">
      <w:pPr>
        <w:pStyle w:val="Prrafodelista"/>
        <w:numPr>
          <w:ilvl w:val="0"/>
          <w:numId w:val="7"/>
        </w:numPr>
        <w:tabs>
          <w:tab w:val="left" w:pos="284"/>
        </w:tabs>
        <w:spacing w:line="276" w:lineRule="auto"/>
        <w:jc w:val="center"/>
        <w:rPr>
          <w:rFonts w:ascii="Tahoma" w:hAnsi="Tahoma" w:cs="Tahoma"/>
          <w:b/>
          <w:bCs/>
          <w:spacing w:val="-4"/>
        </w:rPr>
      </w:pPr>
      <w:r w:rsidRPr="00D5232C">
        <w:rPr>
          <w:rFonts w:ascii="Tahoma" w:hAnsi="Tahoma" w:cs="Tahoma"/>
          <w:b/>
          <w:bCs/>
          <w:spacing w:val="-4"/>
        </w:rPr>
        <w:t>Auto objeto de apelación</w:t>
      </w:r>
    </w:p>
    <w:p w14:paraId="7D22101A" w14:textId="77777777" w:rsidR="0064697B" w:rsidRPr="00D5232C" w:rsidRDefault="0064697B" w:rsidP="00305318">
      <w:pPr>
        <w:pStyle w:val="Sinespaciado"/>
        <w:spacing w:line="276" w:lineRule="auto"/>
        <w:rPr>
          <w:rFonts w:ascii="Tahoma" w:hAnsi="Tahoma" w:cs="Tahoma"/>
          <w:spacing w:val="-4"/>
        </w:rPr>
      </w:pPr>
    </w:p>
    <w:p w14:paraId="1ED0C130" w14:textId="754B512D" w:rsidR="0064697B" w:rsidRPr="00D5232C" w:rsidRDefault="0064697B" w:rsidP="00305318">
      <w:pPr>
        <w:spacing w:line="276" w:lineRule="auto"/>
        <w:ind w:firstLine="708"/>
        <w:jc w:val="both"/>
        <w:rPr>
          <w:rFonts w:ascii="Tahoma" w:hAnsi="Tahoma" w:cs="Tahoma"/>
          <w:spacing w:val="-4"/>
        </w:rPr>
      </w:pPr>
      <w:r w:rsidRPr="00D5232C">
        <w:rPr>
          <w:rFonts w:ascii="Tahoma" w:hAnsi="Tahoma" w:cs="Tahoma"/>
          <w:spacing w:val="-4"/>
        </w:rPr>
        <w:t xml:space="preserve">Una vez allegado el expediente al juzgado de origen, mediante auto </w:t>
      </w:r>
      <w:r w:rsidR="007914EF" w:rsidRPr="00D5232C">
        <w:rPr>
          <w:rFonts w:ascii="Tahoma" w:hAnsi="Tahoma" w:cs="Tahoma"/>
          <w:spacing w:val="-4"/>
        </w:rPr>
        <w:t xml:space="preserve">del </w:t>
      </w:r>
      <w:r w:rsidR="00667FD9" w:rsidRPr="00D5232C">
        <w:rPr>
          <w:rFonts w:ascii="Tahoma" w:hAnsi="Tahoma" w:cs="Tahoma"/>
          <w:spacing w:val="-4"/>
        </w:rPr>
        <w:t xml:space="preserve">25 de noviembre </w:t>
      </w:r>
      <w:r w:rsidR="006340F1" w:rsidRPr="00D5232C">
        <w:rPr>
          <w:rFonts w:ascii="Tahoma" w:hAnsi="Tahoma" w:cs="Tahoma"/>
          <w:spacing w:val="-4"/>
        </w:rPr>
        <w:t>de 2022</w:t>
      </w:r>
      <w:r w:rsidRPr="00D5232C">
        <w:rPr>
          <w:rFonts w:ascii="Tahoma" w:hAnsi="Tahoma" w:cs="Tahoma"/>
          <w:spacing w:val="-4"/>
        </w:rPr>
        <w:t xml:space="preserve"> se aprobó la liquidación de las costas procesales que realizara la secretaría</w:t>
      </w:r>
      <w:r w:rsidR="0025707D" w:rsidRPr="00D5232C">
        <w:rPr>
          <w:rFonts w:ascii="Tahoma" w:hAnsi="Tahoma" w:cs="Tahoma"/>
          <w:spacing w:val="-4"/>
        </w:rPr>
        <w:t xml:space="preserve"> del juzgado de conocimiento</w:t>
      </w:r>
      <w:r w:rsidR="005A508F" w:rsidRPr="00D5232C">
        <w:rPr>
          <w:rFonts w:ascii="Tahoma" w:hAnsi="Tahoma" w:cs="Tahoma"/>
          <w:spacing w:val="-4"/>
        </w:rPr>
        <w:t xml:space="preserve">, </w:t>
      </w:r>
      <w:r w:rsidRPr="00D5232C">
        <w:rPr>
          <w:rFonts w:ascii="Tahoma" w:hAnsi="Tahoma" w:cs="Tahoma"/>
          <w:spacing w:val="-4"/>
        </w:rPr>
        <w:t>en el siguiente sentido:</w:t>
      </w:r>
    </w:p>
    <w:p w14:paraId="6BBF963F" w14:textId="3FA50E2E" w:rsidR="0025707D" w:rsidRPr="00D5232C" w:rsidRDefault="0025707D" w:rsidP="00305318">
      <w:pPr>
        <w:spacing w:line="276" w:lineRule="auto"/>
        <w:ind w:firstLine="142"/>
        <w:jc w:val="center"/>
        <w:rPr>
          <w:rFonts w:ascii="Tahoma" w:hAnsi="Tahoma" w:cs="Tahoma"/>
          <w:spacing w:val="-4"/>
        </w:rPr>
      </w:pPr>
    </w:p>
    <w:p w14:paraId="3A1DCDCF" w14:textId="0CDD22FD" w:rsidR="0025707D" w:rsidRPr="00D5232C" w:rsidRDefault="00667FD9" w:rsidP="00305318">
      <w:pPr>
        <w:spacing w:line="276" w:lineRule="auto"/>
        <w:ind w:firstLine="142"/>
        <w:jc w:val="center"/>
        <w:rPr>
          <w:rFonts w:ascii="Tahoma" w:hAnsi="Tahoma" w:cs="Tahoma"/>
          <w:spacing w:val="-4"/>
        </w:rPr>
      </w:pPr>
      <w:r w:rsidRPr="00D5232C">
        <w:rPr>
          <w:rFonts w:ascii="Tahoma" w:hAnsi="Tahoma" w:cs="Tahoma"/>
          <w:noProof/>
          <w:spacing w:val="-4"/>
          <w:lang w:val="en-US" w:eastAsia="en-US"/>
        </w:rPr>
        <w:drawing>
          <wp:inline distT="0" distB="0" distL="0" distR="0" wp14:anchorId="1A93F4C4" wp14:editId="44C4206B">
            <wp:extent cx="4473808" cy="27241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980" t="34304" r="26810" b="30826"/>
                    <a:stretch/>
                  </pic:blipFill>
                  <pic:spPr bwMode="auto">
                    <a:xfrm>
                      <a:off x="0" y="0"/>
                      <a:ext cx="4493496" cy="2736138"/>
                    </a:xfrm>
                    <a:prstGeom prst="rect">
                      <a:avLst/>
                    </a:prstGeom>
                    <a:ln>
                      <a:noFill/>
                    </a:ln>
                    <a:extLst>
                      <a:ext uri="{53640926-AAD7-44D8-BBD7-CCE9431645EC}">
                        <a14:shadowObscured xmlns:a14="http://schemas.microsoft.com/office/drawing/2010/main"/>
                      </a:ext>
                    </a:extLst>
                  </pic:spPr>
                </pic:pic>
              </a:graphicData>
            </a:graphic>
          </wp:inline>
        </w:drawing>
      </w:r>
    </w:p>
    <w:p w14:paraId="012268A0" w14:textId="77777777" w:rsidR="00C2750B" w:rsidRPr="00D5232C" w:rsidRDefault="00C2750B" w:rsidP="00305318">
      <w:pPr>
        <w:pStyle w:val="Sinespaciado"/>
        <w:spacing w:line="276" w:lineRule="auto"/>
        <w:rPr>
          <w:rFonts w:ascii="Tahoma" w:hAnsi="Tahoma" w:cs="Tahoma"/>
          <w:spacing w:val="-4"/>
        </w:rPr>
      </w:pPr>
    </w:p>
    <w:p w14:paraId="1D94E519" w14:textId="2AEEECCA" w:rsidR="0064697B" w:rsidRPr="00D5232C" w:rsidRDefault="0064697B" w:rsidP="00305318">
      <w:pPr>
        <w:pStyle w:val="Prrafodelista"/>
        <w:numPr>
          <w:ilvl w:val="0"/>
          <w:numId w:val="7"/>
        </w:numPr>
        <w:tabs>
          <w:tab w:val="left" w:pos="284"/>
        </w:tabs>
        <w:spacing w:line="276" w:lineRule="auto"/>
        <w:jc w:val="center"/>
        <w:rPr>
          <w:rFonts w:ascii="Tahoma" w:hAnsi="Tahoma" w:cs="Tahoma"/>
          <w:b/>
          <w:bCs/>
          <w:spacing w:val="-4"/>
        </w:rPr>
      </w:pPr>
      <w:r w:rsidRPr="00D5232C">
        <w:rPr>
          <w:rFonts w:ascii="Tahoma" w:hAnsi="Tahoma" w:cs="Tahoma"/>
          <w:b/>
          <w:bCs/>
          <w:spacing w:val="-4"/>
        </w:rPr>
        <w:t>Recurso de apelación</w:t>
      </w:r>
    </w:p>
    <w:p w14:paraId="7425B3E4" w14:textId="77777777" w:rsidR="0064697B" w:rsidRPr="00D5232C" w:rsidRDefault="0064697B" w:rsidP="00305318">
      <w:pPr>
        <w:pStyle w:val="Sinespaciado"/>
        <w:spacing w:line="276" w:lineRule="auto"/>
        <w:rPr>
          <w:rFonts w:ascii="Tahoma" w:hAnsi="Tahoma" w:cs="Tahoma"/>
          <w:spacing w:val="-4"/>
          <w:lang w:val="es-419"/>
        </w:rPr>
      </w:pPr>
    </w:p>
    <w:p w14:paraId="50C57BE8" w14:textId="3A2CE77A" w:rsidR="001B480A" w:rsidRPr="00D5232C" w:rsidRDefault="0025707D" w:rsidP="00305318">
      <w:pPr>
        <w:spacing w:line="276" w:lineRule="auto"/>
        <w:ind w:firstLine="708"/>
        <w:jc w:val="both"/>
        <w:rPr>
          <w:rFonts w:ascii="Tahoma" w:hAnsi="Tahoma" w:cs="Tahoma"/>
          <w:spacing w:val="-4"/>
          <w:lang w:val="es-419"/>
        </w:rPr>
      </w:pPr>
      <w:r w:rsidRPr="00D5232C">
        <w:rPr>
          <w:rFonts w:ascii="Tahoma" w:hAnsi="Tahoma" w:cs="Tahoma"/>
          <w:spacing w:val="-4"/>
          <w:lang w:val="es-419"/>
        </w:rPr>
        <w:t>El apoderado de la promotora del litigio manifestó</w:t>
      </w:r>
      <w:r w:rsidR="00C35CB3" w:rsidRPr="00D5232C">
        <w:rPr>
          <w:rFonts w:ascii="Tahoma" w:hAnsi="Tahoma" w:cs="Tahoma"/>
          <w:spacing w:val="-4"/>
          <w:lang w:val="es-419"/>
        </w:rPr>
        <w:t xml:space="preserve"> su inconformidad frente a la aprobación desplegada por el juzgado de conocimiento, </w:t>
      </w:r>
      <w:r w:rsidR="00D53425" w:rsidRPr="00D5232C">
        <w:rPr>
          <w:rFonts w:ascii="Tahoma" w:hAnsi="Tahoma" w:cs="Tahoma"/>
          <w:spacing w:val="-4"/>
          <w:lang w:val="es-419"/>
        </w:rPr>
        <w:t xml:space="preserve">aduciendo que </w:t>
      </w:r>
      <w:r w:rsidR="00276973" w:rsidRPr="00D5232C">
        <w:rPr>
          <w:rFonts w:ascii="Tahoma" w:hAnsi="Tahoma" w:cs="Tahoma"/>
          <w:spacing w:val="-4"/>
          <w:lang w:val="es-419"/>
        </w:rPr>
        <w:t>en este caso</w:t>
      </w:r>
      <w:r w:rsidR="001B480A" w:rsidRPr="00D5232C">
        <w:rPr>
          <w:rFonts w:ascii="Tahoma" w:hAnsi="Tahoma" w:cs="Tahoma"/>
          <w:spacing w:val="-4"/>
          <w:lang w:val="es-419"/>
        </w:rPr>
        <w:t xml:space="preserve"> </w:t>
      </w:r>
      <w:r w:rsidR="001842B9" w:rsidRPr="00D5232C">
        <w:rPr>
          <w:rFonts w:ascii="Tahoma" w:hAnsi="Tahoma" w:cs="Tahoma"/>
          <w:spacing w:val="-4"/>
          <w:lang w:val="es-419"/>
        </w:rPr>
        <w:t>la condena pecuniaria a cargo de la demandada asciende a $111.921.766 por concepto de retroactivo pensional e intereses moratorios, razón por la cual debe aplicársele una tarifa del 7.5%, de conformidad con el acuerdo No. PSAA16-10554 del 05 de agosto de 2016, lo que arroja unas costas procesales por la suma de $8.394.134,45.</w:t>
      </w:r>
    </w:p>
    <w:p w14:paraId="4CC0CE11" w14:textId="1BAE2E15" w:rsidR="001B480A" w:rsidRPr="00D5232C" w:rsidRDefault="001B480A" w:rsidP="00305318">
      <w:pPr>
        <w:spacing w:line="276" w:lineRule="auto"/>
        <w:ind w:firstLine="708"/>
        <w:jc w:val="both"/>
        <w:rPr>
          <w:rFonts w:ascii="Tahoma" w:hAnsi="Tahoma" w:cs="Tahoma"/>
          <w:spacing w:val="-4"/>
          <w:lang w:val="es-419"/>
        </w:rPr>
      </w:pPr>
    </w:p>
    <w:p w14:paraId="01266BB7" w14:textId="09076E99" w:rsidR="004842DC" w:rsidRPr="00D5232C" w:rsidRDefault="001B480A" w:rsidP="00305318">
      <w:pPr>
        <w:spacing w:line="276" w:lineRule="auto"/>
        <w:ind w:firstLine="708"/>
        <w:jc w:val="both"/>
        <w:rPr>
          <w:rFonts w:ascii="Tahoma" w:hAnsi="Tahoma" w:cs="Tahoma"/>
          <w:spacing w:val="-4"/>
          <w:lang w:val="es-419"/>
        </w:rPr>
      </w:pPr>
      <w:r w:rsidRPr="00D5232C">
        <w:rPr>
          <w:rFonts w:ascii="Tahoma" w:hAnsi="Tahoma" w:cs="Tahoma"/>
          <w:spacing w:val="-4"/>
          <w:lang w:val="es-419"/>
        </w:rPr>
        <w:t>Estim</w:t>
      </w:r>
      <w:r w:rsidR="00435FBE" w:rsidRPr="00D5232C">
        <w:rPr>
          <w:rFonts w:ascii="Tahoma" w:hAnsi="Tahoma" w:cs="Tahoma"/>
          <w:spacing w:val="-4"/>
          <w:lang w:val="es-419"/>
        </w:rPr>
        <w:t>ó</w:t>
      </w:r>
      <w:r w:rsidRPr="00D5232C">
        <w:rPr>
          <w:rFonts w:ascii="Tahoma" w:hAnsi="Tahoma" w:cs="Tahoma"/>
          <w:spacing w:val="-4"/>
          <w:lang w:val="es-419"/>
        </w:rPr>
        <w:t xml:space="preserve"> </w:t>
      </w:r>
      <w:r w:rsidR="001842B9" w:rsidRPr="00D5232C">
        <w:rPr>
          <w:rFonts w:ascii="Tahoma" w:hAnsi="Tahoma" w:cs="Tahoma"/>
          <w:spacing w:val="-4"/>
          <w:lang w:val="es-419"/>
        </w:rPr>
        <w:t>que el juzgado de conocimiento no tuvo en cuenta la duración del proceso -más de 03 años-, que la parte demandante allegó todo el material probatorio suficiente para que fuese resuelto, que asistió como profesional del derecho a todas las audiencias y procuró la celeridad del trámite con la remisión constante de solicitudes y memoriales.</w:t>
      </w:r>
    </w:p>
    <w:p w14:paraId="50373D0A" w14:textId="77777777" w:rsidR="00435FBE" w:rsidRPr="00D5232C" w:rsidRDefault="00435FBE" w:rsidP="00305318">
      <w:pPr>
        <w:pStyle w:val="Sinespaciado"/>
        <w:spacing w:line="276" w:lineRule="auto"/>
        <w:rPr>
          <w:rFonts w:ascii="Tahoma" w:hAnsi="Tahoma" w:cs="Tahoma"/>
          <w:spacing w:val="-4"/>
          <w:lang w:val="es-419"/>
        </w:rPr>
      </w:pPr>
    </w:p>
    <w:p w14:paraId="1858FA60" w14:textId="77777777" w:rsidR="0064697B" w:rsidRPr="00D5232C" w:rsidRDefault="0064697B" w:rsidP="00305318">
      <w:pPr>
        <w:pStyle w:val="Prrafodelista"/>
        <w:numPr>
          <w:ilvl w:val="0"/>
          <w:numId w:val="7"/>
        </w:numPr>
        <w:tabs>
          <w:tab w:val="left" w:pos="284"/>
        </w:tabs>
        <w:spacing w:line="276" w:lineRule="auto"/>
        <w:jc w:val="center"/>
        <w:rPr>
          <w:rFonts w:ascii="Tahoma" w:hAnsi="Tahoma" w:cs="Tahoma"/>
          <w:b/>
          <w:spacing w:val="-4"/>
        </w:rPr>
      </w:pPr>
      <w:r w:rsidRPr="00D5232C">
        <w:rPr>
          <w:rFonts w:ascii="Tahoma" w:hAnsi="Tahoma" w:cs="Tahoma"/>
          <w:b/>
          <w:bCs/>
          <w:spacing w:val="-4"/>
        </w:rPr>
        <w:t>Alegatos</w:t>
      </w:r>
      <w:r w:rsidRPr="00D5232C">
        <w:rPr>
          <w:rStyle w:val="normaltextrun"/>
          <w:rFonts w:ascii="Tahoma" w:hAnsi="Tahoma" w:cs="Tahoma"/>
          <w:b/>
          <w:bCs/>
          <w:spacing w:val="-4"/>
        </w:rPr>
        <w:t xml:space="preserve"> de Conclusión</w:t>
      </w:r>
    </w:p>
    <w:p w14:paraId="2889F949" w14:textId="77777777" w:rsidR="0064697B" w:rsidRPr="00D5232C" w:rsidRDefault="0064697B" w:rsidP="00305318">
      <w:pPr>
        <w:pStyle w:val="Sinespaciado"/>
        <w:spacing w:line="276" w:lineRule="auto"/>
        <w:rPr>
          <w:rFonts w:ascii="Tahoma" w:hAnsi="Tahoma" w:cs="Tahoma"/>
          <w:spacing w:val="-4"/>
        </w:rPr>
      </w:pPr>
      <w:r w:rsidRPr="00D5232C">
        <w:rPr>
          <w:rStyle w:val="eop"/>
          <w:rFonts w:ascii="Tahoma" w:hAnsi="Tahoma" w:cs="Tahoma"/>
          <w:spacing w:val="-4"/>
        </w:rPr>
        <w:t> </w:t>
      </w:r>
    </w:p>
    <w:p w14:paraId="0C89F826" w14:textId="0125FB49" w:rsidR="00DC11CF" w:rsidRPr="00D5232C" w:rsidRDefault="00DC11CF" w:rsidP="00305318">
      <w:pPr>
        <w:spacing w:line="276" w:lineRule="auto"/>
        <w:ind w:firstLine="708"/>
        <w:jc w:val="both"/>
        <w:rPr>
          <w:rFonts w:ascii="Tahoma" w:eastAsia="Tahoma" w:hAnsi="Tahoma" w:cs="Tahoma"/>
          <w:spacing w:val="-4"/>
        </w:rPr>
      </w:pPr>
      <w:r w:rsidRPr="00D5232C">
        <w:rPr>
          <w:rFonts w:ascii="Tahoma" w:eastAsia="Tahoma" w:hAnsi="Tahoma" w:cs="Tahoma"/>
          <w:spacing w:val="-4"/>
        </w:rPr>
        <w:t xml:space="preserve">Como quedó sentado en la constancia secretarial que antecede, las partes guardaron silencio durante el término dispuesto para presentar alegatos de conclusión. </w:t>
      </w:r>
    </w:p>
    <w:p w14:paraId="17EAC74A" w14:textId="77777777" w:rsidR="005F34BE" w:rsidRPr="00D5232C" w:rsidRDefault="005F34BE" w:rsidP="00305318">
      <w:pPr>
        <w:pStyle w:val="Sinespaciado"/>
        <w:spacing w:line="276" w:lineRule="auto"/>
        <w:rPr>
          <w:rFonts w:ascii="Tahoma" w:hAnsi="Tahoma" w:cs="Tahoma"/>
          <w:spacing w:val="-4"/>
        </w:rPr>
      </w:pPr>
    </w:p>
    <w:p w14:paraId="01F1E330" w14:textId="77777777" w:rsidR="0064697B" w:rsidRPr="00D5232C" w:rsidRDefault="0064697B" w:rsidP="00305318">
      <w:pPr>
        <w:pStyle w:val="Prrafodelista"/>
        <w:numPr>
          <w:ilvl w:val="0"/>
          <w:numId w:val="7"/>
        </w:numPr>
        <w:tabs>
          <w:tab w:val="left" w:pos="284"/>
        </w:tabs>
        <w:spacing w:line="276" w:lineRule="auto"/>
        <w:jc w:val="center"/>
        <w:rPr>
          <w:rFonts w:ascii="Tahoma" w:hAnsi="Tahoma" w:cs="Tahoma"/>
          <w:b/>
          <w:bCs/>
          <w:spacing w:val="-4"/>
        </w:rPr>
      </w:pPr>
      <w:r w:rsidRPr="00D5232C">
        <w:rPr>
          <w:rFonts w:ascii="Tahoma" w:hAnsi="Tahoma" w:cs="Tahoma"/>
          <w:b/>
          <w:bCs/>
          <w:spacing w:val="-4"/>
        </w:rPr>
        <w:t>Problema jurídico por resolver</w:t>
      </w:r>
    </w:p>
    <w:p w14:paraId="60F3B9A6" w14:textId="77777777" w:rsidR="00C2750B" w:rsidRPr="00D5232C" w:rsidRDefault="00C2750B" w:rsidP="00305318">
      <w:pPr>
        <w:spacing w:line="276" w:lineRule="auto"/>
        <w:ind w:firstLine="708"/>
        <w:jc w:val="both"/>
        <w:rPr>
          <w:rFonts w:ascii="Tahoma" w:eastAsia="Tahoma" w:hAnsi="Tahoma" w:cs="Tahoma"/>
          <w:spacing w:val="-4"/>
        </w:rPr>
      </w:pPr>
    </w:p>
    <w:p w14:paraId="5D22F8EC" w14:textId="7E3281BF" w:rsidR="008F4962" w:rsidRPr="00D5232C" w:rsidRDefault="008F4962" w:rsidP="00305318">
      <w:pPr>
        <w:spacing w:line="276" w:lineRule="auto"/>
        <w:ind w:firstLine="708"/>
        <w:jc w:val="both"/>
        <w:rPr>
          <w:rFonts w:ascii="Tahoma" w:eastAsia="Tahoma" w:hAnsi="Tahoma" w:cs="Tahoma"/>
          <w:spacing w:val="-4"/>
        </w:rPr>
      </w:pPr>
      <w:r w:rsidRPr="00D5232C">
        <w:rPr>
          <w:rFonts w:ascii="Tahoma" w:eastAsia="Tahoma" w:hAnsi="Tahoma" w:cs="Tahoma"/>
          <w:spacing w:val="-4"/>
        </w:rPr>
        <w:t xml:space="preserve">El asunto bajo estudio plantea a la Sala </w:t>
      </w:r>
      <w:r w:rsidR="00435FBE" w:rsidRPr="00D5232C">
        <w:rPr>
          <w:rFonts w:ascii="Tahoma" w:eastAsia="Tahoma" w:hAnsi="Tahoma" w:cs="Tahoma"/>
          <w:spacing w:val="-4"/>
        </w:rPr>
        <w:t xml:space="preserve">el siguiente </w:t>
      </w:r>
      <w:r w:rsidRPr="00D5232C">
        <w:rPr>
          <w:rFonts w:ascii="Tahoma" w:eastAsia="Tahoma" w:hAnsi="Tahoma" w:cs="Tahoma"/>
          <w:spacing w:val="-4"/>
        </w:rPr>
        <w:t>problema jurídico:</w:t>
      </w:r>
    </w:p>
    <w:p w14:paraId="21B466BA" w14:textId="77777777" w:rsidR="008F4962" w:rsidRPr="00D5232C" w:rsidRDefault="008F4962" w:rsidP="00305318">
      <w:pPr>
        <w:pStyle w:val="Textoindependiente"/>
        <w:spacing w:after="0" w:line="276" w:lineRule="auto"/>
        <w:ind w:firstLine="600"/>
        <w:jc w:val="both"/>
        <w:rPr>
          <w:rFonts w:ascii="Tahoma" w:hAnsi="Tahoma" w:cs="Tahoma"/>
          <w:color w:val="000000"/>
          <w:spacing w:val="-4"/>
        </w:rPr>
      </w:pPr>
    </w:p>
    <w:p w14:paraId="3662AEBC" w14:textId="1A8486C1" w:rsidR="00435FBE" w:rsidRPr="00D5232C" w:rsidRDefault="00435FBE" w:rsidP="00305318">
      <w:pPr>
        <w:spacing w:line="276" w:lineRule="auto"/>
        <w:ind w:firstLine="708"/>
        <w:jc w:val="both"/>
        <w:rPr>
          <w:rFonts w:ascii="Tahoma" w:hAnsi="Tahoma" w:cs="Tahoma"/>
          <w:color w:val="000000"/>
          <w:spacing w:val="-4"/>
        </w:rPr>
      </w:pPr>
      <w:r w:rsidRPr="00D5232C">
        <w:rPr>
          <w:rFonts w:ascii="Tahoma" w:hAnsi="Tahoma" w:cs="Tahoma"/>
          <w:color w:val="000000"/>
          <w:spacing w:val="-4"/>
        </w:rPr>
        <w:t>¿Las agencias en derecho fijadas a favor de la parte demanda</w:t>
      </w:r>
      <w:r w:rsidR="001842B9" w:rsidRPr="00D5232C">
        <w:rPr>
          <w:rFonts w:ascii="Tahoma" w:hAnsi="Tahoma" w:cs="Tahoma"/>
          <w:color w:val="000000"/>
          <w:spacing w:val="-4"/>
        </w:rPr>
        <w:t>nte</w:t>
      </w:r>
      <w:r w:rsidRPr="00D5232C">
        <w:rPr>
          <w:rFonts w:ascii="Tahoma" w:hAnsi="Tahoma" w:cs="Tahoma"/>
          <w:color w:val="000000"/>
          <w:spacing w:val="-4"/>
        </w:rPr>
        <w:t xml:space="preserve">, se establecieron teniendo en cuenta los </w:t>
      </w:r>
      <w:r w:rsidRPr="00D5232C">
        <w:rPr>
          <w:rFonts w:ascii="Tahoma" w:eastAsia="Tahoma" w:hAnsi="Tahoma" w:cs="Tahoma"/>
          <w:spacing w:val="-4"/>
        </w:rPr>
        <w:t>parámetros</w:t>
      </w:r>
      <w:r w:rsidRPr="00D5232C">
        <w:rPr>
          <w:rFonts w:ascii="Tahoma" w:hAnsi="Tahoma" w:cs="Tahoma"/>
          <w:color w:val="000000"/>
          <w:spacing w:val="-4"/>
        </w:rPr>
        <w:t xml:space="preserve"> señalados por el Acuerdo PSAA16 –10554 de 2016?</w:t>
      </w:r>
    </w:p>
    <w:p w14:paraId="1867E04E" w14:textId="77777777" w:rsidR="00C2750B" w:rsidRPr="00D5232C" w:rsidRDefault="00C2750B" w:rsidP="00305318">
      <w:pPr>
        <w:pStyle w:val="Sinespaciado"/>
        <w:spacing w:line="276" w:lineRule="auto"/>
        <w:rPr>
          <w:rFonts w:ascii="Tahoma" w:hAnsi="Tahoma" w:cs="Tahoma"/>
          <w:spacing w:val="-4"/>
        </w:rPr>
      </w:pPr>
    </w:p>
    <w:p w14:paraId="2A055C64" w14:textId="6414DD96" w:rsidR="005A0AE2" w:rsidRPr="00D5232C" w:rsidRDefault="005A0AE2" w:rsidP="00305318">
      <w:pPr>
        <w:pStyle w:val="Prrafodelista"/>
        <w:numPr>
          <w:ilvl w:val="0"/>
          <w:numId w:val="7"/>
        </w:numPr>
        <w:autoSpaceDE w:val="0"/>
        <w:autoSpaceDN w:val="0"/>
        <w:adjustRightInd w:val="0"/>
        <w:spacing w:line="276" w:lineRule="auto"/>
        <w:jc w:val="center"/>
        <w:rPr>
          <w:rFonts w:ascii="Tahoma" w:hAnsi="Tahoma" w:cs="Tahoma"/>
          <w:b/>
          <w:bCs/>
          <w:color w:val="000000"/>
          <w:spacing w:val="-4"/>
        </w:rPr>
      </w:pPr>
      <w:r w:rsidRPr="00D5232C">
        <w:rPr>
          <w:rFonts w:ascii="Tahoma" w:hAnsi="Tahoma" w:cs="Tahoma"/>
          <w:b/>
          <w:bCs/>
          <w:color w:val="000000"/>
          <w:spacing w:val="-4"/>
        </w:rPr>
        <w:t>Consideraciones</w:t>
      </w:r>
    </w:p>
    <w:p w14:paraId="70233774" w14:textId="77777777" w:rsidR="00EB7125" w:rsidRPr="00D5232C" w:rsidRDefault="00EB7125" w:rsidP="00305318">
      <w:pPr>
        <w:pStyle w:val="Sinespaciado"/>
        <w:spacing w:line="276" w:lineRule="auto"/>
        <w:rPr>
          <w:rFonts w:ascii="Tahoma" w:hAnsi="Tahoma" w:cs="Tahoma"/>
          <w:spacing w:val="-4"/>
          <w:lang w:val="es-419"/>
        </w:rPr>
      </w:pPr>
    </w:p>
    <w:p w14:paraId="488A4AA7" w14:textId="77777777" w:rsidR="00E3019F" w:rsidRPr="00D5232C" w:rsidRDefault="00E3019F" w:rsidP="00305318">
      <w:pPr>
        <w:pStyle w:val="Prrafodelista"/>
        <w:numPr>
          <w:ilvl w:val="1"/>
          <w:numId w:val="10"/>
        </w:numPr>
        <w:autoSpaceDE w:val="0"/>
        <w:autoSpaceDN w:val="0"/>
        <w:adjustRightInd w:val="0"/>
        <w:spacing w:line="276" w:lineRule="auto"/>
        <w:rPr>
          <w:rFonts w:ascii="Tahoma" w:hAnsi="Tahoma" w:cs="Tahoma"/>
          <w:b/>
          <w:bCs/>
          <w:color w:val="000000"/>
          <w:spacing w:val="-4"/>
        </w:rPr>
      </w:pPr>
      <w:r w:rsidRPr="00D5232C">
        <w:rPr>
          <w:rFonts w:ascii="Tahoma" w:hAnsi="Tahoma" w:cs="Tahoma"/>
          <w:b/>
          <w:bCs/>
          <w:color w:val="000000"/>
          <w:spacing w:val="-4"/>
        </w:rPr>
        <w:t xml:space="preserve">Las agencias en derecho en los procesos laborales </w:t>
      </w:r>
    </w:p>
    <w:p w14:paraId="7C5ECDE5" w14:textId="77777777" w:rsidR="00E3019F" w:rsidRPr="00D5232C" w:rsidRDefault="00E3019F" w:rsidP="00305318">
      <w:pPr>
        <w:pStyle w:val="Sinespaciado"/>
        <w:spacing w:line="276" w:lineRule="auto"/>
        <w:rPr>
          <w:rFonts w:ascii="Tahoma" w:hAnsi="Tahoma" w:cs="Tahoma"/>
          <w:spacing w:val="-4"/>
        </w:rPr>
      </w:pPr>
    </w:p>
    <w:p w14:paraId="5C0DB33D" w14:textId="77777777" w:rsidR="00E3019F" w:rsidRPr="00D5232C" w:rsidRDefault="00E3019F" w:rsidP="00305318">
      <w:pPr>
        <w:spacing w:line="276" w:lineRule="auto"/>
        <w:ind w:firstLine="709"/>
        <w:jc w:val="both"/>
        <w:rPr>
          <w:rFonts w:ascii="Tahoma" w:hAnsi="Tahoma" w:cs="Tahoma"/>
          <w:spacing w:val="-4"/>
        </w:rPr>
      </w:pPr>
      <w:r w:rsidRPr="00D5232C">
        <w:rPr>
          <w:rFonts w:ascii="Tahoma" w:hAnsi="Tahoma" w:cs="Tahoma"/>
          <w:spacing w:val="-4"/>
        </w:rPr>
        <w:t>Frente a la tasación de las agencias en derecho, el doctrinante Azula Camacho</w:t>
      </w:r>
      <w:r w:rsidRPr="00D5232C">
        <w:rPr>
          <w:rStyle w:val="Refdenotaalpie"/>
          <w:rFonts w:ascii="Tahoma" w:hAnsi="Tahoma" w:cs="Tahoma"/>
          <w:spacing w:val="-4"/>
        </w:rPr>
        <w:footnoteReference w:id="2"/>
      </w:r>
      <w:r w:rsidRPr="00D5232C">
        <w:rPr>
          <w:rFonts w:ascii="Tahoma" w:hAnsi="Tahoma" w:cs="Tahoma"/>
          <w:spacing w:val="-4"/>
        </w:rPr>
        <w:t xml:space="preserve"> ha referido:</w:t>
      </w:r>
    </w:p>
    <w:p w14:paraId="14A21E7A" w14:textId="77777777" w:rsidR="00E3019F" w:rsidRPr="00D5232C" w:rsidRDefault="00E3019F" w:rsidP="00305318">
      <w:pPr>
        <w:spacing w:line="276" w:lineRule="auto"/>
        <w:ind w:left="1122"/>
        <w:rPr>
          <w:rFonts w:ascii="Tahoma" w:hAnsi="Tahoma" w:cs="Tahoma"/>
          <w:spacing w:val="-4"/>
        </w:rPr>
      </w:pPr>
    </w:p>
    <w:p w14:paraId="2A77F6B4" w14:textId="77777777" w:rsidR="00E3019F" w:rsidRPr="00D5232C" w:rsidRDefault="00E3019F" w:rsidP="00C24D68">
      <w:pPr>
        <w:ind w:left="426" w:right="420"/>
        <w:jc w:val="both"/>
        <w:rPr>
          <w:rFonts w:ascii="Tahoma" w:hAnsi="Tahoma" w:cs="Tahoma"/>
          <w:i/>
          <w:spacing w:val="-4"/>
          <w:sz w:val="22"/>
        </w:rPr>
      </w:pPr>
      <w:r w:rsidRPr="00D5232C">
        <w:rPr>
          <w:rFonts w:ascii="Tahoma" w:hAnsi="Tahoma" w:cs="Tahoma"/>
          <w:i/>
          <w:spacing w:val="-4"/>
          <w:sz w:val="22"/>
        </w:rPr>
        <w:t>“Para determinar el monto de las agencias en derecho, el artículo 366 (inc. 4</w:t>
      </w:r>
      <w:r w:rsidRPr="00D5232C">
        <w:rPr>
          <w:rFonts w:ascii="Tahoma" w:hAnsi="Tahoma" w:cs="Tahoma"/>
          <w:i/>
          <w:spacing w:val="-4"/>
          <w:sz w:val="22"/>
          <w:vertAlign w:val="superscript"/>
        </w:rPr>
        <w:t>o</w:t>
      </w:r>
      <w:r w:rsidRPr="00D5232C">
        <w:rPr>
          <w:rFonts w:ascii="Tahoma" w:hAnsi="Tahoma" w:cs="Tahoma"/>
          <w:i/>
          <w:spacing w:val="-4"/>
          <w:sz w:val="22"/>
        </w:rPr>
        <w:t>) del Código General del Proceso recogió lo preceptuado por el inciso 3º del artículo 393 del de Procedimiento Civil, en el sentido de aplicar las tarifas que establezca el Consejo Superior de la Judicatura. Si las tarifas fijan un mínimo y un máximo, el juez debe considerar esos criterios, pero, además, la naturaleza, calidad y duración de la gestión realizada y la cuantía del proceso.”</w:t>
      </w:r>
    </w:p>
    <w:p w14:paraId="752BE461" w14:textId="77777777" w:rsidR="00C2750B" w:rsidRPr="00D5232C" w:rsidRDefault="00C2750B" w:rsidP="00305318">
      <w:pPr>
        <w:autoSpaceDE w:val="0"/>
        <w:autoSpaceDN w:val="0"/>
        <w:adjustRightInd w:val="0"/>
        <w:spacing w:line="276" w:lineRule="auto"/>
        <w:ind w:firstLine="561"/>
        <w:jc w:val="both"/>
        <w:rPr>
          <w:rFonts w:ascii="Tahoma" w:hAnsi="Tahoma" w:cs="Tahoma"/>
          <w:spacing w:val="-4"/>
        </w:rPr>
      </w:pPr>
    </w:p>
    <w:p w14:paraId="16635F50" w14:textId="7A324271" w:rsidR="002A1A60" w:rsidRPr="00D5232C" w:rsidRDefault="00E3019F" w:rsidP="00305318">
      <w:pPr>
        <w:autoSpaceDE w:val="0"/>
        <w:autoSpaceDN w:val="0"/>
        <w:adjustRightInd w:val="0"/>
        <w:spacing w:line="276" w:lineRule="auto"/>
        <w:ind w:firstLine="561"/>
        <w:jc w:val="both"/>
        <w:rPr>
          <w:rFonts w:ascii="Tahoma" w:hAnsi="Tahoma" w:cs="Tahoma"/>
          <w:spacing w:val="-4"/>
        </w:rPr>
      </w:pPr>
      <w:r w:rsidRPr="00D5232C">
        <w:rPr>
          <w:rFonts w:ascii="Tahoma" w:hAnsi="Tahoma" w:cs="Tahoma"/>
          <w:spacing w:val="-4"/>
        </w:rPr>
        <w:t xml:space="preserve">En cuanto a las tarifas a aplicar por concepto de agencias en derecho, el Código General del Proceso en sus artículos 361 y 366 señala que es el juez o magistrado que conoció el proceso en primera o única instancia quien debe fijar dichos emolumentos al momento de liquidar las costas procesales, y que, a pesar de ser discrecional, está limitado por las tarifas máximas y mínimas adoptadas por el Consejo Superior de la Judicatura. </w:t>
      </w:r>
    </w:p>
    <w:p w14:paraId="6F98A458" w14:textId="77777777" w:rsidR="002A1A60" w:rsidRPr="00D5232C" w:rsidRDefault="002A1A60" w:rsidP="00305318">
      <w:pPr>
        <w:pStyle w:val="Sinespaciado"/>
        <w:spacing w:line="276" w:lineRule="auto"/>
        <w:rPr>
          <w:rFonts w:ascii="Tahoma" w:hAnsi="Tahoma" w:cs="Tahoma"/>
          <w:spacing w:val="-4"/>
        </w:rPr>
      </w:pPr>
    </w:p>
    <w:p w14:paraId="5ACC7C66" w14:textId="77777777" w:rsidR="001C6DFE" w:rsidRPr="00D5232C" w:rsidRDefault="001C6DFE" w:rsidP="00305318">
      <w:pPr>
        <w:autoSpaceDE w:val="0"/>
        <w:autoSpaceDN w:val="0"/>
        <w:adjustRightInd w:val="0"/>
        <w:spacing w:line="276" w:lineRule="auto"/>
        <w:ind w:firstLine="561"/>
        <w:jc w:val="both"/>
        <w:rPr>
          <w:rFonts w:ascii="Tahoma" w:hAnsi="Tahoma" w:cs="Tahoma"/>
          <w:spacing w:val="-4"/>
        </w:rPr>
      </w:pPr>
      <w:r w:rsidRPr="00D5232C">
        <w:rPr>
          <w:rFonts w:ascii="Tahoma" w:hAnsi="Tahoma" w:cs="Tahoma"/>
          <w:spacing w:val="-4"/>
        </w:rPr>
        <w:t>Así, según el Acuerdo PSAA16-10554 de 2016, para fijar las agencias en derecho se debe tener en cuenta:</w:t>
      </w:r>
    </w:p>
    <w:p w14:paraId="71CD3DBA" w14:textId="77777777" w:rsidR="001C6DFE" w:rsidRPr="00D5232C" w:rsidRDefault="001C6DFE" w:rsidP="00305318">
      <w:pPr>
        <w:autoSpaceDE w:val="0"/>
        <w:autoSpaceDN w:val="0"/>
        <w:adjustRightInd w:val="0"/>
        <w:spacing w:line="276" w:lineRule="auto"/>
        <w:ind w:firstLine="561"/>
        <w:jc w:val="both"/>
        <w:rPr>
          <w:rFonts w:ascii="Tahoma" w:hAnsi="Tahoma" w:cs="Tahoma"/>
          <w:spacing w:val="-4"/>
        </w:rPr>
      </w:pPr>
    </w:p>
    <w:p w14:paraId="4084A307" w14:textId="16C2F776" w:rsidR="000D353A" w:rsidRPr="00D5232C" w:rsidRDefault="001C6DFE" w:rsidP="00305318">
      <w:pPr>
        <w:pStyle w:val="Prrafodelista"/>
        <w:numPr>
          <w:ilvl w:val="0"/>
          <w:numId w:val="9"/>
        </w:numPr>
        <w:autoSpaceDE w:val="0"/>
        <w:autoSpaceDN w:val="0"/>
        <w:adjustRightInd w:val="0"/>
        <w:spacing w:line="276" w:lineRule="auto"/>
        <w:rPr>
          <w:rFonts w:ascii="Tahoma" w:hAnsi="Tahoma" w:cs="Tahoma"/>
          <w:spacing w:val="-4"/>
        </w:rPr>
      </w:pPr>
      <w:r w:rsidRPr="00D5232C">
        <w:rPr>
          <w:rFonts w:ascii="Tahoma" w:hAnsi="Tahoma" w:cs="Tahoma"/>
          <w:spacing w:val="-4"/>
        </w:rPr>
        <w:t xml:space="preserve">El tipo de proceso, precisando en su artículo 5.1 que, en los procesos declarativos de </w:t>
      </w:r>
      <w:r w:rsidRPr="00D5232C">
        <w:rPr>
          <w:rFonts w:ascii="Tahoma" w:hAnsi="Tahoma" w:cs="Tahoma"/>
          <w:b/>
          <w:spacing w:val="-4"/>
        </w:rPr>
        <w:t>primera instancia</w:t>
      </w:r>
      <w:r w:rsidRPr="00D5232C">
        <w:rPr>
          <w:rFonts w:ascii="Tahoma" w:hAnsi="Tahoma" w:cs="Tahoma"/>
          <w:spacing w:val="-4"/>
        </w:rPr>
        <w:t>, de menor cuantía, las agencias en derechos se establecerán en primera instancia entre el 4% y el 10% de lo pedido, mientras que cuando sea de mayor cuantía el porcentaje oscilará entre el 3% y el 7.5% de lo pedido.</w:t>
      </w:r>
      <w:r w:rsidR="000D353A" w:rsidRPr="00D5232C">
        <w:rPr>
          <w:rFonts w:ascii="Tahoma" w:hAnsi="Tahoma" w:cs="Tahoma"/>
          <w:spacing w:val="-4"/>
        </w:rPr>
        <w:t xml:space="preserve"> En segunda instancia oscilarán entre 1 y 6 S.M.M.L.V</w:t>
      </w:r>
    </w:p>
    <w:p w14:paraId="6BDE5606" w14:textId="77777777" w:rsidR="001C6DFE" w:rsidRPr="00D5232C" w:rsidRDefault="001C6DFE" w:rsidP="00305318">
      <w:pPr>
        <w:pStyle w:val="Prrafodelista"/>
        <w:autoSpaceDE w:val="0"/>
        <w:autoSpaceDN w:val="0"/>
        <w:adjustRightInd w:val="0"/>
        <w:spacing w:line="276" w:lineRule="auto"/>
        <w:ind w:left="1011"/>
        <w:rPr>
          <w:rFonts w:ascii="Tahoma" w:hAnsi="Tahoma" w:cs="Tahoma"/>
          <w:spacing w:val="-4"/>
        </w:rPr>
      </w:pPr>
    </w:p>
    <w:p w14:paraId="4B971638" w14:textId="77777777" w:rsidR="001C6DFE" w:rsidRPr="00D5232C" w:rsidRDefault="001C6DFE" w:rsidP="00305318">
      <w:pPr>
        <w:pStyle w:val="Prrafodelista"/>
        <w:numPr>
          <w:ilvl w:val="0"/>
          <w:numId w:val="9"/>
        </w:numPr>
        <w:autoSpaceDE w:val="0"/>
        <w:autoSpaceDN w:val="0"/>
        <w:adjustRightInd w:val="0"/>
        <w:spacing w:line="276" w:lineRule="auto"/>
        <w:rPr>
          <w:rFonts w:ascii="Tahoma" w:hAnsi="Tahoma" w:cs="Tahoma"/>
          <w:spacing w:val="-4"/>
        </w:rPr>
      </w:pPr>
      <w:r w:rsidRPr="00D5232C">
        <w:rPr>
          <w:rFonts w:ascii="Tahoma" w:hAnsi="Tahoma" w:cs="Tahoma"/>
          <w:spacing w:val="-4"/>
        </w:rPr>
        <w:t>Clase de pretensión: dispone el artículo 3º de la norma en comento:</w:t>
      </w:r>
    </w:p>
    <w:p w14:paraId="7E3C4DDD" w14:textId="77777777" w:rsidR="001C6DFE" w:rsidRPr="00D5232C" w:rsidRDefault="001C6DFE" w:rsidP="00305318">
      <w:pPr>
        <w:pStyle w:val="Prrafodelista"/>
        <w:spacing w:line="276" w:lineRule="auto"/>
        <w:rPr>
          <w:rFonts w:ascii="Tahoma" w:hAnsi="Tahoma" w:cs="Tahoma"/>
          <w:spacing w:val="-4"/>
        </w:rPr>
      </w:pPr>
    </w:p>
    <w:p w14:paraId="6A840A39" w14:textId="77777777" w:rsidR="001C6DFE" w:rsidRPr="00D5232C" w:rsidRDefault="001C6DFE" w:rsidP="00C24D68">
      <w:pPr>
        <w:ind w:left="426" w:right="420"/>
        <w:jc w:val="both"/>
        <w:rPr>
          <w:rFonts w:ascii="Tahoma" w:hAnsi="Tahoma" w:cs="Tahoma"/>
          <w:i/>
          <w:spacing w:val="-4"/>
          <w:sz w:val="22"/>
        </w:rPr>
      </w:pPr>
      <w:r w:rsidRPr="00D5232C">
        <w:rPr>
          <w:rFonts w:ascii="Tahoma" w:hAnsi="Tahoma" w:cs="Tahoma"/>
          <w:i/>
          <w:spacing w:val="-4"/>
          <w:sz w:val="22"/>
        </w:rPr>
        <w:t>“ARTÍCULO 3º. Clases de límites. Cuando las agencias en derecho correspondan a procesos en los que se formularon pretensiones de índole pecuniario, o en los que en la determinación de la competencia se tuvo en cuenta la cuantía, las tarifas se establecen en porcentajes sobre el valor de aquellas o de ésta.</w:t>
      </w:r>
    </w:p>
    <w:p w14:paraId="357BD01D" w14:textId="11BCA5AC" w:rsidR="001C6DFE" w:rsidRPr="00D5232C" w:rsidRDefault="001C6DFE" w:rsidP="00C24D68">
      <w:pPr>
        <w:ind w:left="426" w:right="420"/>
        <w:jc w:val="both"/>
        <w:rPr>
          <w:rFonts w:ascii="Tahoma" w:hAnsi="Tahoma" w:cs="Tahoma"/>
          <w:i/>
          <w:spacing w:val="-4"/>
          <w:sz w:val="22"/>
        </w:rPr>
      </w:pPr>
      <w:r w:rsidRPr="00D5232C">
        <w:rPr>
          <w:rFonts w:ascii="Tahoma" w:hAnsi="Tahoma" w:cs="Tahoma"/>
          <w:i/>
          <w:spacing w:val="-4"/>
          <w:sz w:val="22"/>
        </w:rPr>
        <w:t>(…)</w:t>
      </w:r>
    </w:p>
    <w:p w14:paraId="0D2C62F3" w14:textId="7ADCAA60" w:rsidR="00110EB7" w:rsidRPr="00D5232C" w:rsidRDefault="00110EB7" w:rsidP="00C24D68">
      <w:pPr>
        <w:ind w:left="426" w:right="420"/>
        <w:jc w:val="both"/>
        <w:rPr>
          <w:rFonts w:ascii="Tahoma" w:hAnsi="Tahoma" w:cs="Tahoma"/>
          <w:i/>
          <w:spacing w:val="-4"/>
          <w:sz w:val="22"/>
        </w:rPr>
      </w:pPr>
    </w:p>
    <w:p w14:paraId="7E811FDE" w14:textId="3B2B2A23" w:rsidR="00110EB7" w:rsidRPr="00D5232C" w:rsidRDefault="00110EB7" w:rsidP="00C24D68">
      <w:pPr>
        <w:ind w:left="426" w:right="420"/>
        <w:jc w:val="both"/>
        <w:rPr>
          <w:rFonts w:ascii="Tahoma" w:hAnsi="Tahoma" w:cs="Tahoma"/>
          <w:i/>
          <w:spacing w:val="-4"/>
          <w:sz w:val="22"/>
        </w:rPr>
      </w:pPr>
      <w:r w:rsidRPr="00D5232C">
        <w:rPr>
          <w:rFonts w:ascii="Tahoma" w:hAnsi="Tahoma" w:cs="Tahoma"/>
          <w:i/>
          <w:spacing w:val="-4"/>
          <w:sz w:val="22"/>
        </w:rPr>
        <w:t>PARÁGRAFO 2º. Cuando en un mismo proceso converjan pretensiones de diversa índole, pecuniarias y no pecuniarias, la base para determinar las agencias la constituirán las primeras.</w:t>
      </w:r>
    </w:p>
    <w:p w14:paraId="5861E000" w14:textId="77777777" w:rsidR="00110EB7" w:rsidRPr="00D5232C" w:rsidRDefault="00110EB7" w:rsidP="00C24D68">
      <w:pPr>
        <w:ind w:left="426" w:right="420"/>
        <w:jc w:val="both"/>
        <w:rPr>
          <w:rFonts w:ascii="Tahoma" w:hAnsi="Tahoma" w:cs="Tahoma"/>
          <w:i/>
          <w:spacing w:val="-4"/>
          <w:sz w:val="22"/>
        </w:rPr>
      </w:pPr>
    </w:p>
    <w:p w14:paraId="13227ED8" w14:textId="77777777" w:rsidR="001C6DFE" w:rsidRPr="00D5232C" w:rsidRDefault="001C6DFE" w:rsidP="00C24D68">
      <w:pPr>
        <w:ind w:left="426" w:right="420"/>
        <w:jc w:val="both"/>
        <w:rPr>
          <w:rFonts w:ascii="Tahoma" w:hAnsi="Tahoma" w:cs="Tahoma"/>
          <w:i/>
          <w:spacing w:val="-4"/>
          <w:sz w:val="22"/>
        </w:rPr>
      </w:pPr>
      <w:r w:rsidRPr="00D5232C">
        <w:rPr>
          <w:rFonts w:ascii="Tahoma" w:hAnsi="Tahoma" w:cs="Tahoma"/>
          <w:i/>
          <w:spacing w:val="-4"/>
          <w:sz w:val="22"/>
        </w:rPr>
        <w:t xml:space="preserve">PARÁGRAFO 3º. Cuando las tarifas correspondan a porcentajes, en procesos con pretensiones de índole pecuniario, la fijación de las agencias en derecho se hará mediante una ponderación inversa entre los límites mínimo y máximo y los valores pedidos. </w:t>
      </w:r>
      <w:r w:rsidRPr="00D5232C">
        <w:rPr>
          <w:rFonts w:ascii="Tahoma" w:hAnsi="Tahoma" w:cs="Tahoma"/>
          <w:b/>
          <w:i/>
          <w:spacing w:val="-4"/>
          <w:sz w:val="22"/>
        </w:rPr>
        <w:t>Esto es, a mayor valor menor porcentaje, a menor valor mayor porcentaje, pero en todo caso atendiendo a los criterios del artículo anterior</w:t>
      </w:r>
      <w:r w:rsidRPr="00D5232C">
        <w:rPr>
          <w:rFonts w:ascii="Tahoma" w:hAnsi="Tahoma" w:cs="Tahoma"/>
          <w:i/>
          <w:spacing w:val="-4"/>
          <w:sz w:val="22"/>
        </w:rPr>
        <w:t>.” (Negrilla por fuera del texto original)</w:t>
      </w:r>
    </w:p>
    <w:p w14:paraId="2D68EC07" w14:textId="77777777" w:rsidR="001C6DFE" w:rsidRPr="00D5232C" w:rsidRDefault="001C6DFE" w:rsidP="00305318">
      <w:pPr>
        <w:pStyle w:val="Prrafodelista"/>
        <w:spacing w:line="276" w:lineRule="auto"/>
        <w:rPr>
          <w:rFonts w:ascii="Tahoma" w:hAnsi="Tahoma" w:cs="Tahoma"/>
          <w:spacing w:val="-4"/>
        </w:rPr>
      </w:pPr>
    </w:p>
    <w:p w14:paraId="2D338DEE" w14:textId="77777777" w:rsidR="001C6DFE" w:rsidRPr="00D5232C" w:rsidRDefault="001C6DFE" w:rsidP="00305318">
      <w:pPr>
        <w:pStyle w:val="Prrafodelista"/>
        <w:numPr>
          <w:ilvl w:val="0"/>
          <w:numId w:val="9"/>
        </w:numPr>
        <w:autoSpaceDE w:val="0"/>
        <w:autoSpaceDN w:val="0"/>
        <w:adjustRightInd w:val="0"/>
        <w:spacing w:line="276" w:lineRule="auto"/>
        <w:rPr>
          <w:rFonts w:ascii="Tahoma" w:hAnsi="Tahoma" w:cs="Tahoma"/>
          <w:spacing w:val="-4"/>
        </w:rPr>
      </w:pPr>
      <w:r w:rsidRPr="00D5232C">
        <w:rPr>
          <w:rFonts w:ascii="Tahoma" w:hAnsi="Tahoma" w:cs="Tahoma"/>
          <w:spacing w:val="-4"/>
        </w:rPr>
        <w:t>Los criterios en particular de la actuación de la parte favorecida con la condena en costas, que permita valorar la labor jurídica desarrollada, estos últimos coinciden con los mencionados en el numeral 4º del artículo 366 del CGP, esto es, la naturaleza, la calidad y la duración de la gestión realizada por el apoderado, la cuantía del proceso y demás circunstancias relacionadas con dicha actividad.</w:t>
      </w:r>
    </w:p>
    <w:p w14:paraId="68BB65D6" w14:textId="77777777" w:rsidR="002A1A60" w:rsidRPr="00D5232C" w:rsidRDefault="002A1A60" w:rsidP="00305318">
      <w:pPr>
        <w:pStyle w:val="Sinespaciado"/>
        <w:spacing w:line="276" w:lineRule="auto"/>
        <w:rPr>
          <w:rFonts w:ascii="Tahoma" w:hAnsi="Tahoma" w:cs="Tahoma"/>
          <w:spacing w:val="-4"/>
        </w:rPr>
      </w:pPr>
    </w:p>
    <w:p w14:paraId="0F1E5E95" w14:textId="230FDC70" w:rsidR="00E3019F" w:rsidRPr="00D5232C" w:rsidRDefault="006E6B8C" w:rsidP="00305318">
      <w:pPr>
        <w:spacing w:line="276" w:lineRule="auto"/>
        <w:ind w:firstLine="709"/>
        <w:jc w:val="both"/>
        <w:rPr>
          <w:rFonts w:ascii="Tahoma" w:hAnsi="Tahoma" w:cs="Tahoma"/>
          <w:spacing w:val="-4"/>
        </w:rPr>
      </w:pPr>
      <w:r w:rsidRPr="00D5232C">
        <w:rPr>
          <w:rFonts w:ascii="Tahoma" w:hAnsi="Tahoma" w:cs="Tahoma"/>
          <w:spacing w:val="-4"/>
        </w:rPr>
        <w:t>Por último, es del caso traer a colación que,</w:t>
      </w:r>
      <w:r w:rsidR="00E3019F" w:rsidRPr="00D5232C">
        <w:rPr>
          <w:rFonts w:ascii="Tahoma" w:hAnsi="Tahoma" w:cs="Tahoma"/>
          <w:spacing w:val="-4"/>
        </w:rPr>
        <w:t xml:space="preserve"> en su Tratado de Derecho Procesal, el profesor Hernán Fabio López Blanco</w:t>
      </w:r>
      <w:r w:rsidR="00E3019F" w:rsidRPr="00D5232C">
        <w:rPr>
          <w:rStyle w:val="Refdenotaalpie"/>
          <w:rFonts w:ascii="Tahoma" w:hAnsi="Tahoma" w:cs="Tahoma"/>
          <w:spacing w:val="-4"/>
        </w:rPr>
        <w:footnoteReference w:id="3"/>
      </w:r>
      <w:r w:rsidR="00E3019F" w:rsidRPr="00D5232C">
        <w:rPr>
          <w:rFonts w:ascii="Tahoma" w:hAnsi="Tahoma" w:cs="Tahoma"/>
          <w:spacing w:val="-4"/>
        </w:rPr>
        <w:t xml:space="preserve"> frente a las agencias en derecho ha preceptuado:</w:t>
      </w:r>
    </w:p>
    <w:p w14:paraId="1B1F2058" w14:textId="77777777" w:rsidR="00E3019F" w:rsidRPr="00D5232C" w:rsidRDefault="00E3019F" w:rsidP="00305318">
      <w:pPr>
        <w:spacing w:line="276" w:lineRule="auto"/>
        <w:jc w:val="both"/>
        <w:rPr>
          <w:rFonts w:ascii="Tahoma" w:hAnsi="Tahoma" w:cs="Tahoma"/>
          <w:spacing w:val="-4"/>
        </w:rPr>
      </w:pPr>
    </w:p>
    <w:p w14:paraId="14289BE0" w14:textId="77777777" w:rsidR="00E3019F" w:rsidRPr="00D5232C" w:rsidRDefault="00E3019F" w:rsidP="00C24D68">
      <w:pPr>
        <w:ind w:left="426" w:right="420"/>
        <w:jc w:val="both"/>
        <w:rPr>
          <w:rFonts w:ascii="Tahoma" w:hAnsi="Tahoma" w:cs="Tahoma"/>
          <w:i/>
          <w:spacing w:val="-4"/>
          <w:sz w:val="22"/>
        </w:rPr>
      </w:pPr>
      <w:r w:rsidRPr="00D5232C">
        <w:rPr>
          <w:rFonts w:ascii="Tahoma" w:hAnsi="Tahoma" w:cs="Tahoma"/>
          <w:i/>
          <w:spacing w:val="-4"/>
          <w:sz w:val="22"/>
        </w:rPr>
        <w:t>“Se ha destacado dentro del concepto de costas 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p>
    <w:p w14:paraId="4C67C3BD" w14:textId="77777777" w:rsidR="00E3019F" w:rsidRPr="00D5232C" w:rsidRDefault="00E3019F" w:rsidP="00C24D68">
      <w:pPr>
        <w:ind w:left="426" w:right="420"/>
        <w:jc w:val="both"/>
        <w:rPr>
          <w:rFonts w:ascii="Tahoma" w:hAnsi="Tahoma" w:cs="Tahoma"/>
          <w:i/>
          <w:spacing w:val="-4"/>
          <w:sz w:val="22"/>
        </w:rPr>
      </w:pPr>
      <w:r w:rsidRPr="00D5232C">
        <w:rPr>
          <w:rFonts w:ascii="Tahoma" w:hAnsi="Tahoma" w:cs="Tahoma"/>
          <w:i/>
          <w:spacing w:val="-4"/>
          <w:sz w:val="22"/>
        </w:rPr>
        <w:t>(…)</w:t>
      </w:r>
    </w:p>
    <w:p w14:paraId="43CCFF01" w14:textId="77777777" w:rsidR="00E3019F" w:rsidRPr="00D5232C" w:rsidRDefault="00E3019F" w:rsidP="00C24D68">
      <w:pPr>
        <w:ind w:left="426" w:right="420"/>
        <w:jc w:val="both"/>
        <w:rPr>
          <w:rFonts w:ascii="Tahoma" w:hAnsi="Tahoma" w:cs="Tahoma"/>
          <w:i/>
          <w:spacing w:val="-4"/>
          <w:sz w:val="22"/>
        </w:rPr>
      </w:pPr>
      <w:r w:rsidRPr="00D5232C">
        <w:rPr>
          <w:rFonts w:ascii="Tahoma" w:hAnsi="Tahoma" w:cs="Tahoma"/>
          <w:i/>
          <w:spacing w:val="-4"/>
          <w:sz w:val="22"/>
        </w:rPr>
        <w:t>Como en ocasiones las tarifas de los citados acuerdos tan solo señalan montos mínimos y máximos, en estas hipótesis la labor del juez es más amplia y podrá “sin que pueda exceder el máximo de dichas tarifas” realizar el señalamiento de las agencias en derecho considerando la cuantía del proceso, su duración, la naturaleza y calidad de la gestión desarrollada y cualquier otra circunstancia especial que sirva para fijar dentro de esos límites el equitativo honorario profesional que le debe ser reintegrado a la parte.</w:t>
      </w:r>
    </w:p>
    <w:p w14:paraId="2A5F9EEF" w14:textId="77777777" w:rsidR="00E3019F" w:rsidRPr="00D5232C" w:rsidRDefault="00E3019F" w:rsidP="00C24D68">
      <w:pPr>
        <w:ind w:left="426" w:right="420"/>
        <w:jc w:val="both"/>
        <w:rPr>
          <w:rFonts w:ascii="Tahoma" w:hAnsi="Tahoma" w:cs="Tahoma"/>
          <w:i/>
          <w:spacing w:val="-4"/>
          <w:sz w:val="22"/>
        </w:rPr>
      </w:pPr>
    </w:p>
    <w:p w14:paraId="3160FAEF" w14:textId="77777777" w:rsidR="00E3019F" w:rsidRPr="00D5232C" w:rsidRDefault="00E3019F" w:rsidP="00C24D68">
      <w:pPr>
        <w:ind w:left="426" w:right="420"/>
        <w:jc w:val="both"/>
        <w:rPr>
          <w:rFonts w:ascii="Tahoma" w:hAnsi="Tahoma" w:cs="Tahoma"/>
          <w:i/>
          <w:spacing w:val="-4"/>
          <w:sz w:val="22"/>
        </w:rPr>
      </w:pPr>
      <w:r w:rsidRPr="00D5232C">
        <w:rPr>
          <w:rFonts w:ascii="Tahoma" w:hAnsi="Tahoma" w:cs="Tahoma"/>
          <w:i/>
          <w:spacing w:val="-4"/>
          <w:sz w:val="22"/>
        </w:rPr>
        <w:lastRenderedPageBreak/>
        <w:t>La suma que el juez señale como agencias en derecho no tiene que estar orientada por la que la parte efectivamente canceló a su abogado, así se demuestre fehacientemente la cuantía de ese pago, de modo que para nada obliga al juez las bases contractuales señaladas en materia de honorarios profesionales, ya que éste, dentro de los parámetros referidos es el único llamado a realizar la fijación pertinente.</w:t>
      </w:r>
    </w:p>
    <w:p w14:paraId="708780EE" w14:textId="77777777" w:rsidR="00E3019F" w:rsidRPr="00D5232C" w:rsidRDefault="00E3019F" w:rsidP="00C24D68">
      <w:pPr>
        <w:ind w:left="426" w:right="420"/>
        <w:jc w:val="both"/>
        <w:rPr>
          <w:rFonts w:ascii="Tahoma" w:hAnsi="Tahoma" w:cs="Tahoma"/>
          <w:i/>
          <w:spacing w:val="-4"/>
          <w:sz w:val="22"/>
        </w:rPr>
      </w:pPr>
    </w:p>
    <w:p w14:paraId="196A3010" w14:textId="77777777" w:rsidR="00E3019F" w:rsidRPr="00D5232C" w:rsidRDefault="00E3019F" w:rsidP="00C24D68">
      <w:pPr>
        <w:ind w:left="426" w:right="420"/>
        <w:jc w:val="both"/>
        <w:rPr>
          <w:rFonts w:ascii="Tahoma" w:hAnsi="Tahoma" w:cs="Tahoma"/>
          <w:i/>
          <w:spacing w:val="-4"/>
          <w:sz w:val="22"/>
        </w:rPr>
      </w:pPr>
      <w:r w:rsidRPr="00D5232C">
        <w:rPr>
          <w:rFonts w:ascii="Tahoma" w:hAnsi="Tahoma" w:cs="Tahoma"/>
          <w:i/>
          <w:spacing w:val="-4"/>
          <w:sz w:val="22"/>
        </w:rPr>
        <w:t>Sin embargo, no deben olvidar los jueces que las agencias en derecho no constituyen una graciosa concesión de ellos para con uno de los litigantes, sino que se trata de establecer las bases de la justa retribución para quien se vio obligado a demandar o a concurrir al proceso, no obstante que la razón estaba de su parte, de ahí que el equitativo pero severo criterio en esta materia será un factor importante para evitar infinidad de trámites inútiles que se surten sobre el supuesto de que se afrontará una mínima condena a pagar costas.</w:t>
      </w:r>
    </w:p>
    <w:p w14:paraId="19C28432" w14:textId="77777777" w:rsidR="00E3019F" w:rsidRPr="00D5232C" w:rsidRDefault="00E3019F" w:rsidP="00C24D68">
      <w:pPr>
        <w:ind w:left="426" w:right="420"/>
        <w:jc w:val="both"/>
        <w:rPr>
          <w:rFonts w:ascii="Tahoma" w:hAnsi="Tahoma" w:cs="Tahoma"/>
          <w:i/>
          <w:spacing w:val="-4"/>
          <w:sz w:val="22"/>
        </w:rPr>
      </w:pPr>
    </w:p>
    <w:p w14:paraId="56563659" w14:textId="0F0DEB59" w:rsidR="00E3019F" w:rsidRPr="00D5232C" w:rsidRDefault="00E3019F" w:rsidP="00C24D68">
      <w:pPr>
        <w:ind w:left="426" w:right="420"/>
        <w:jc w:val="both"/>
        <w:rPr>
          <w:rFonts w:ascii="Tahoma" w:hAnsi="Tahoma" w:cs="Tahoma"/>
          <w:i/>
          <w:spacing w:val="-4"/>
          <w:sz w:val="22"/>
        </w:rPr>
      </w:pPr>
      <w:r w:rsidRPr="00D5232C">
        <w:rPr>
          <w:rFonts w:ascii="Tahoma" w:hAnsi="Tahoma" w:cs="Tahoma"/>
          <w:i/>
          <w:spacing w:val="-4"/>
          <w:sz w:val="22"/>
        </w:rPr>
        <w:t xml:space="preserve">Y de manera especial reitero el llamado de atención a los funcionarios de segunda instancia y casación, quienes por el trámite correspondiente a tales etapas del proceso fijan sumas ciertamente irrisorias que sólo constituyen un acicate para abusar del empleo de esos recursos.” </w:t>
      </w:r>
    </w:p>
    <w:p w14:paraId="493A1BDB" w14:textId="77777777" w:rsidR="00515FCD" w:rsidRPr="00D5232C" w:rsidRDefault="00515FCD" w:rsidP="00305318">
      <w:pPr>
        <w:pStyle w:val="Sinespaciado"/>
        <w:spacing w:line="276" w:lineRule="auto"/>
        <w:rPr>
          <w:rFonts w:ascii="Tahoma" w:hAnsi="Tahoma" w:cs="Tahoma"/>
          <w:spacing w:val="-4"/>
        </w:rPr>
      </w:pPr>
    </w:p>
    <w:p w14:paraId="68E9F505" w14:textId="06FD31F6" w:rsidR="00E3019F" w:rsidRPr="00D5232C" w:rsidRDefault="00E3019F" w:rsidP="00305318">
      <w:pPr>
        <w:pStyle w:val="Prrafodelista"/>
        <w:numPr>
          <w:ilvl w:val="1"/>
          <w:numId w:val="10"/>
        </w:numPr>
        <w:spacing w:line="276" w:lineRule="auto"/>
        <w:rPr>
          <w:rFonts w:ascii="Tahoma" w:hAnsi="Tahoma" w:cs="Tahoma"/>
          <w:b/>
          <w:spacing w:val="-4"/>
        </w:rPr>
      </w:pPr>
      <w:r w:rsidRPr="00D5232C">
        <w:rPr>
          <w:rFonts w:ascii="Tahoma" w:hAnsi="Tahoma" w:cs="Tahoma"/>
          <w:b/>
          <w:spacing w:val="-4"/>
        </w:rPr>
        <w:t>Caso concreto</w:t>
      </w:r>
    </w:p>
    <w:p w14:paraId="7269A0DF" w14:textId="77777777" w:rsidR="00E3019F" w:rsidRPr="00D5232C" w:rsidRDefault="00E3019F" w:rsidP="00305318">
      <w:pPr>
        <w:pStyle w:val="Sinespaciado"/>
        <w:spacing w:line="276" w:lineRule="auto"/>
        <w:rPr>
          <w:rStyle w:val="nfasissutil"/>
          <w:rFonts w:ascii="Tahoma" w:hAnsi="Tahoma" w:cs="Tahoma"/>
          <w:spacing w:val="-4"/>
        </w:rPr>
      </w:pPr>
    </w:p>
    <w:p w14:paraId="61B65B3F" w14:textId="24E043C0" w:rsidR="00110EB7" w:rsidRPr="00D5232C" w:rsidRDefault="00212B54" w:rsidP="0058404A">
      <w:pPr>
        <w:tabs>
          <w:tab w:val="left" w:pos="284"/>
        </w:tabs>
        <w:spacing w:line="264" w:lineRule="auto"/>
        <w:jc w:val="both"/>
        <w:rPr>
          <w:rFonts w:ascii="Tahoma" w:hAnsi="Tahoma" w:cs="Tahoma"/>
          <w:spacing w:val="-4"/>
        </w:rPr>
      </w:pPr>
      <w:r w:rsidRPr="00D5232C">
        <w:rPr>
          <w:rFonts w:ascii="Tahoma" w:hAnsi="Tahoma" w:cs="Tahoma"/>
          <w:spacing w:val="-4"/>
        </w:rPr>
        <w:tab/>
      </w:r>
      <w:r w:rsidRPr="00D5232C">
        <w:rPr>
          <w:rFonts w:ascii="Tahoma" w:hAnsi="Tahoma" w:cs="Tahoma"/>
          <w:spacing w:val="-4"/>
        </w:rPr>
        <w:tab/>
        <w:t xml:space="preserve">Sea lo primero indicar </w:t>
      </w:r>
      <w:r w:rsidR="00C3560A" w:rsidRPr="00D5232C">
        <w:rPr>
          <w:rFonts w:ascii="Tahoma" w:hAnsi="Tahoma" w:cs="Tahoma"/>
          <w:spacing w:val="-4"/>
        </w:rPr>
        <w:t>que</w:t>
      </w:r>
      <w:r w:rsidR="00110EB7" w:rsidRPr="00D5232C">
        <w:rPr>
          <w:rFonts w:ascii="Tahoma" w:hAnsi="Tahoma" w:cs="Tahoma"/>
          <w:spacing w:val="-4"/>
        </w:rPr>
        <w:t xml:space="preserve"> a través de este proceso se persiguió el reconocimiento y pago de la pensión de vejez con la aplicación del convenio Colombia-España, razón por la cual confluyeron en la demanda pretensiones declarativas y pecuniarias, lo que, de acuerdo a lo dispuesto en el parágrafo 2º del art. 3º del Acuerdo PSAA16-10554 de 2016, obliga a que las agencias en derecho se determinen de acuerdo a la cuantía de las pecuniarias. No obstante, la jueza de primera instancia pasó por alto esta disposición al fijar las agencias en términos de salarios mínimos, ello por cuanto, a su criterio, el reconocimiento de una prestación pensional no tiene contenido pecuniario. </w:t>
      </w:r>
    </w:p>
    <w:p w14:paraId="4A93E1C2" w14:textId="2648B47B" w:rsidR="00110EB7" w:rsidRPr="00D5232C" w:rsidRDefault="00110EB7" w:rsidP="0058404A">
      <w:pPr>
        <w:tabs>
          <w:tab w:val="left" w:pos="284"/>
        </w:tabs>
        <w:spacing w:line="264" w:lineRule="auto"/>
        <w:jc w:val="both"/>
        <w:rPr>
          <w:rFonts w:ascii="Tahoma" w:hAnsi="Tahoma" w:cs="Tahoma"/>
          <w:spacing w:val="-4"/>
        </w:rPr>
      </w:pPr>
    </w:p>
    <w:p w14:paraId="2D02B178" w14:textId="30AE3560" w:rsidR="00FA6BCC" w:rsidRPr="00D5232C" w:rsidRDefault="00110EB7" w:rsidP="0058404A">
      <w:pPr>
        <w:tabs>
          <w:tab w:val="left" w:pos="284"/>
        </w:tabs>
        <w:spacing w:line="264" w:lineRule="auto"/>
        <w:jc w:val="both"/>
        <w:rPr>
          <w:rFonts w:ascii="Tahoma" w:hAnsi="Tahoma" w:cs="Tahoma"/>
          <w:spacing w:val="-4"/>
        </w:rPr>
      </w:pPr>
      <w:r w:rsidRPr="00D5232C">
        <w:rPr>
          <w:rFonts w:ascii="Tahoma" w:hAnsi="Tahoma" w:cs="Tahoma"/>
          <w:spacing w:val="-4"/>
        </w:rPr>
        <w:tab/>
      </w:r>
      <w:r w:rsidRPr="00D5232C">
        <w:rPr>
          <w:rFonts w:ascii="Tahoma" w:hAnsi="Tahoma" w:cs="Tahoma"/>
          <w:spacing w:val="-4"/>
        </w:rPr>
        <w:tab/>
        <w:t xml:space="preserve">Pues bien, evidentemente el reconocimiento de la pensión de vejez </w:t>
      </w:r>
      <w:r w:rsidR="00352F1E" w:rsidRPr="00D5232C">
        <w:rPr>
          <w:rFonts w:ascii="Tahoma" w:hAnsi="Tahoma" w:cs="Tahoma"/>
          <w:spacing w:val="-4"/>
        </w:rPr>
        <w:t xml:space="preserve">trae intrínseco el pago de las mesadas pensional, siendo las </w:t>
      </w:r>
      <w:r w:rsidR="004A3B61" w:rsidRPr="00D5232C">
        <w:rPr>
          <w:rFonts w:ascii="Tahoma" w:hAnsi="Tahoma" w:cs="Tahoma"/>
          <w:spacing w:val="-4"/>
        </w:rPr>
        <w:t xml:space="preserve">pretensiones </w:t>
      </w:r>
      <w:r w:rsidR="00C95B2A" w:rsidRPr="00D5232C">
        <w:rPr>
          <w:rFonts w:ascii="Tahoma" w:hAnsi="Tahoma" w:cs="Tahoma"/>
          <w:spacing w:val="-4"/>
        </w:rPr>
        <w:t xml:space="preserve">pecuniarias </w:t>
      </w:r>
      <w:r w:rsidR="004A3B61" w:rsidRPr="00D5232C">
        <w:rPr>
          <w:rFonts w:ascii="Tahoma" w:hAnsi="Tahoma" w:cs="Tahoma"/>
          <w:spacing w:val="-4"/>
        </w:rPr>
        <w:t xml:space="preserve">reconocidas en la </w:t>
      </w:r>
      <w:r w:rsidR="00FA6BCC" w:rsidRPr="00D5232C">
        <w:rPr>
          <w:rFonts w:ascii="Tahoma" w:hAnsi="Tahoma" w:cs="Tahoma"/>
          <w:spacing w:val="-4"/>
        </w:rPr>
        <w:t>sentencia</w:t>
      </w:r>
      <w:r w:rsidR="00352F1E" w:rsidRPr="00D5232C">
        <w:rPr>
          <w:rFonts w:ascii="Tahoma" w:hAnsi="Tahoma" w:cs="Tahoma"/>
          <w:spacing w:val="-4"/>
        </w:rPr>
        <w:t xml:space="preserve"> de primera instancia</w:t>
      </w:r>
      <w:r w:rsidR="001C6DFE" w:rsidRPr="00D5232C">
        <w:rPr>
          <w:rFonts w:ascii="Tahoma" w:hAnsi="Tahoma" w:cs="Tahoma"/>
          <w:spacing w:val="-4"/>
        </w:rPr>
        <w:t xml:space="preserve">, con la </w:t>
      </w:r>
      <w:r w:rsidR="00163A47" w:rsidRPr="00D5232C">
        <w:rPr>
          <w:rFonts w:ascii="Tahoma" w:hAnsi="Tahoma" w:cs="Tahoma"/>
          <w:spacing w:val="-4"/>
        </w:rPr>
        <w:t>actualización del retroactivo</w:t>
      </w:r>
      <w:r w:rsidR="001C6DFE" w:rsidRPr="00D5232C">
        <w:rPr>
          <w:rFonts w:ascii="Tahoma" w:hAnsi="Tahoma" w:cs="Tahoma"/>
          <w:spacing w:val="-4"/>
        </w:rPr>
        <w:t xml:space="preserve"> efectuad</w:t>
      </w:r>
      <w:r w:rsidR="00163A47" w:rsidRPr="00D5232C">
        <w:rPr>
          <w:rFonts w:ascii="Tahoma" w:hAnsi="Tahoma" w:cs="Tahoma"/>
          <w:spacing w:val="-4"/>
        </w:rPr>
        <w:t>a</w:t>
      </w:r>
      <w:r w:rsidR="001C6DFE" w:rsidRPr="00D5232C">
        <w:rPr>
          <w:rFonts w:ascii="Tahoma" w:hAnsi="Tahoma" w:cs="Tahoma"/>
          <w:spacing w:val="-4"/>
        </w:rPr>
        <w:t xml:space="preserve"> por esta Corporación, </w:t>
      </w:r>
      <w:r w:rsidR="00FA6BCC" w:rsidRPr="00D5232C">
        <w:rPr>
          <w:rFonts w:ascii="Tahoma" w:hAnsi="Tahoma" w:cs="Tahoma"/>
          <w:spacing w:val="-4"/>
        </w:rPr>
        <w:t>consistieron</w:t>
      </w:r>
      <w:r w:rsidR="007C0EB9" w:rsidRPr="00D5232C">
        <w:rPr>
          <w:rFonts w:ascii="Tahoma" w:hAnsi="Tahoma" w:cs="Tahoma"/>
          <w:spacing w:val="-4"/>
        </w:rPr>
        <w:t xml:space="preserve"> en</w:t>
      </w:r>
      <w:r w:rsidR="00FA6BCC" w:rsidRPr="00D5232C">
        <w:rPr>
          <w:rFonts w:ascii="Tahoma" w:hAnsi="Tahoma" w:cs="Tahoma"/>
          <w:spacing w:val="-4"/>
        </w:rPr>
        <w:t xml:space="preserve"> lo siguiente:</w:t>
      </w:r>
    </w:p>
    <w:p w14:paraId="2253126C" w14:textId="67F68D74" w:rsidR="00163A47" w:rsidRPr="00D5232C" w:rsidRDefault="00163A47" w:rsidP="0058404A">
      <w:pPr>
        <w:tabs>
          <w:tab w:val="left" w:pos="284"/>
        </w:tabs>
        <w:spacing w:line="264" w:lineRule="auto"/>
        <w:jc w:val="both"/>
        <w:rPr>
          <w:rFonts w:ascii="Tahoma" w:hAnsi="Tahoma" w:cs="Tahoma"/>
          <w:spacing w:val="-4"/>
        </w:rPr>
      </w:pPr>
    </w:p>
    <w:p w14:paraId="789D7B45" w14:textId="30E9D912" w:rsidR="00163A47" w:rsidRPr="00D5232C" w:rsidRDefault="00163A47" w:rsidP="0058404A">
      <w:pPr>
        <w:pStyle w:val="Prrafodelista"/>
        <w:numPr>
          <w:ilvl w:val="0"/>
          <w:numId w:val="16"/>
        </w:numPr>
        <w:tabs>
          <w:tab w:val="left" w:pos="284"/>
        </w:tabs>
        <w:spacing w:line="264" w:lineRule="auto"/>
        <w:rPr>
          <w:rFonts w:ascii="Tahoma" w:hAnsi="Tahoma" w:cs="Tahoma"/>
          <w:spacing w:val="-4"/>
        </w:rPr>
      </w:pPr>
      <w:r w:rsidRPr="00D5232C">
        <w:rPr>
          <w:rFonts w:ascii="Tahoma" w:hAnsi="Tahoma" w:cs="Tahoma"/>
          <w:b/>
          <w:spacing w:val="-4"/>
        </w:rPr>
        <w:t>$63.644.718,74</w:t>
      </w:r>
      <w:r w:rsidRPr="00D5232C">
        <w:rPr>
          <w:rFonts w:ascii="Tahoma" w:hAnsi="Tahoma" w:cs="Tahoma"/>
          <w:spacing w:val="-4"/>
        </w:rPr>
        <w:t xml:space="preserve"> por concepto de retroactivo pensional liquidado hasta el </w:t>
      </w:r>
      <w:r w:rsidR="00110EB7" w:rsidRPr="00D5232C">
        <w:rPr>
          <w:rFonts w:ascii="Tahoma" w:hAnsi="Tahoma" w:cs="Tahoma"/>
          <w:spacing w:val="-4"/>
        </w:rPr>
        <w:t>31 de julio de 2022.</w:t>
      </w:r>
    </w:p>
    <w:p w14:paraId="16396294" w14:textId="77777777" w:rsidR="00C24D68" w:rsidRPr="00D5232C" w:rsidRDefault="00C24D68" w:rsidP="0058404A">
      <w:pPr>
        <w:pStyle w:val="Prrafodelista"/>
        <w:tabs>
          <w:tab w:val="left" w:pos="284"/>
        </w:tabs>
        <w:spacing w:line="264" w:lineRule="auto"/>
        <w:rPr>
          <w:rFonts w:ascii="Tahoma" w:hAnsi="Tahoma" w:cs="Tahoma"/>
          <w:spacing w:val="-4"/>
        </w:rPr>
      </w:pPr>
    </w:p>
    <w:p w14:paraId="2162C891" w14:textId="65058B19" w:rsidR="00FA6BCC" w:rsidRPr="00D5232C" w:rsidRDefault="007D7AAA" w:rsidP="0058404A">
      <w:pPr>
        <w:pStyle w:val="Prrafodelista"/>
        <w:numPr>
          <w:ilvl w:val="0"/>
          <w:numId w:val="16"/>
        </w:numPr>
        <w:tabs>
          <w:tab w:val="left" w:pos="284"/>
        </w:tabs>
        <w:spacing w:line="264" w:lineRule="auto"/>
        <w:rPr>
          <w:rFonts w:ascii="Tahoma" w:hAnsi="Tahoma" w:cs="Tahoma"/>
          <w:spacing w:val="-4"/>
        </w:rPr>
      </w:pPr>
      <w:r w:rsidRPr="00D5232C">
        <w:rPr>
          <w:rFonts w:ascii="Tahoma" w:hAnsi="Tahoma" w:cs="Tahoma"/>
          <w:b/>
          <w:spacing w:val="-4"/>
        </w:rPr>
        <w:t>$52.644.461,90</w:t>
      </w:r>
      <w:r w:rsidRPr="00D5232C">
        <w:rPr>
          <w:rFonts w:ascii="Tahoma" w:hAnsi="Tahoma" w:cs="Tahoma"/>
          <w:spacing w:val="-4"/>
        </w:rPr>
        <w:t xml:space="preserve"> p</w:t>
      </w:r>
      <w:r w:rsidR="00352F1E" w:rsidRPr="00D5232C">
        <w:rPr>
          <w:rFonts w:ascii="Tahoma" w:hAnsi="Tahoma" w:cs="Tahoma"/>
          <w:spacing w:val="-4"/>
        </w:rPr>
        <w:t>or concepto de intereses moratorios desde el 29 de enero de 2017 al 31 de julio de 2022</w:t>
      </w:r>
      <w:r w:rsidR="00A84BD8" w:rsidRPr="00D5232C">
        <w:rPr>
          <w:rFonts w:ascii="Tahoma" w:hAnsi="Tahoma" w:cs="Tahoma"/>
          <w:spacing w:val="-4"/>
        </w:rPr>
        <w:t>.</w:t>
      </w:r>
    </w:p>
    <w:p w14:paraId="20B62855" w14:textId="77777777" w:rsidR="00A84BD8" w:rsidRPr="00D5232C" w:rsidRDefault="00A84BD8" w:rsidP="0058404A">
      <w:pPr>
        <w:pStyle w:val="Prrafodelista"/>
        <w:tabs>
          <w:tab w:val="left" w:pos="284"/>
        </w:tabs>
        <w:spacing w:line="264" w:lineRule="auto"/>
        <w:rPr>
          <w:rFonts w:ascii="Tahoma" w:hAnsi="Tahoma" w:cs="Tahoma"/>
          <w:spacing w:val="-4"/>
        </w:rPr>
      </w:pPr>
    </w:p>
    <w:p w14:paraId="7D496194" w14:textId="28247E3C" w:rsidR="00E3019F" w:rsidRPr="00D5232C" w:rsidRDefault="00164D91" w:rsidP="0058404A">
      <w:pPr>
        <w:tabs>
          <w:tab w:val="left" w:pos="284"/>
        </w:tabs>
        <w:spacing w:line="264" w:lineRule="auto"/>
        <w:jc w:val="both"/>
        <w:rPr>
          <w:rFonts w:ascii="Tahoma" w:hAnsi="Tahoma" w:cs="Tahoma"/>
          <w:spacing w:val="-4"/>
        </w:rPr>
      </w:pPr>
      <w:r w:rsidRPr="00D5232C">
        <w:rPr>
          <w:rFonts w:ascii="Tahoma" w:hAnsi="Tahoma" w:cs="Tahoma"/>
          <w:spacing w:val="-4"/>
        </w:rPr>
        <w:tab/>
      </w:r>
      <w:r w:rsidRPr="00D5232C">
        <w:rPr>
          <w:rFonts w:ascii="Tahoma" w:hAnsi="Tahoma" w:cs="Tahoma"/>
          <w:spacing w:val="-4"/>
        </w:rPr>
        <w:tab/>
      </w:r>
      <w:r w:rsidR="00DB2133" w:rsidRPr="00D5232C">
        <w:rPr>
          <w:rFonts w:ascii="Tahoma" w:hAnsi="Tahoma" w:cs="Tahoma"/>
          <w:spacing w:val="-4"/>
        </w:rPr>
        <w:t>Ahora, s</w:t>
      </w:r>
      <w:r w:rsidR="00E3019F" w:rsidRPr="00D5232C">
        <w:rPr>
          <w:rFonts w:ascii="Tahoma" w:hAnsi="Tahoma" w:cs="Tahoma"/>
          <w:spacing w:val="-4"/>
        </w:rPr>
        <w:t>i partimos de la base de que las agencias en derecho constituye</w:t>
      </w:r>
      <w:r w:rsidR="007D4752" w:rsidRPr="00D5232C">
        <w:rPr>
          <w:rFonts w:ascii="Tahoma" w:hAnsi="Tahoma" w:cs="Tahoma"/>
          <w:spacing w:val="-4"/>
        </w:rPr>
        <w:t>n</w:t>
      </w:r>
      <w:r w:rsidR="00E3019F" w:rsidRPr="00D5232C">
        <w:rPr>
          <w:rFonts w:ascii="Tahoma" w:hAnsi="Tahoma" w:cs="Tahoma"/>
          <w:spacing w:val="-4"/>
        </w:rPr>
        <w:t xml:space="preserve"> la cantidad que debe el juez ordenar para el favorecido con la condena en costas, con el fin de resarcirle los gastos que tuvo que afrontar para pagar los honorarios de un abogado</w:t>
      </w:r>
      <w:r w:rsidR="0021324C" w:rsidRPr="00D5232C">
        <w:rPr>
          <w:rFonts w:ascii="Tahoma" w:hAnsi="Tahoma" w:cs="Tahoma"/>
          <w:spacing w:val="-4"/>
        </w:rPr>
        <w:t>, p</w:t>
      </w:r>
      <w:r w:rsidR="00E3019F" w:rsidRPr="00D5232C">
        <w:rPr>
          <w:rFonts w:ascii="Tahoma" w:hAnsi="Tahoma" w:cs="Tahoma"/>
          <w:spacing w:val="-4"/>
        </w:rPr>
        <w:t>ara concretar el valor de las referidas agencias se debieron analizar los criterios señalados en las normas aplicables, tales como la naturaleza, la calidad y la duración de la gestión realizada por el apoderado, la naturaleza de las pretensiones y demás circunstancias relacionadas</w:t>
      </w:r>
      <w:r w:rsidR="005A2385" w:rsidRPr="00D5232C">
        <w:rPr>
          <w:rFonts w:ascii="Tahoma" w:hAnsi="Tahoma" w:cs="Tahoma"/>
          <w:spacing w:val="-4"/>
        </w:rPr>
        <w:t>.</w:t>
      </w:r>
    </w:p>
    <w:p w14:paraId="03316760" w14:textId="77777777" w:rsidR="00E3019F" w:rsidRPr="00D5232C" w:rsidRDefault="00E3019F" w:rsidP="0058404A">
      <w:pPr>
        <w:pStyle w:val="Sinespaciado"/>
        <w:spacing w:line="264" w:lineRule="auto"/>
        <w:rPr>
          <w:rFonts w:ascii="Tahoma" w:hAnsi="Tahoma" w:cs="Tahoma"/>
          <w:spacing w:val="-4"/>
        </w:rPr>
      </w:pPr>
    </w:p>
    <w:p w14:paraId="1C15899B" w14:textId="407A60E8" w:rsidR="00E3019F" w:rsidRPr="00D5232C" w:rsidRDefault="0021324C" w:rsidP="0058404A">
      <w:pPr>
        <w:autoSpaceDE w:val="0"/>
        <w:autoSpaceDN w:val="0"/>
        <w:adjustRightInd w:val="0"/>
        <w:spacing w:line="264" w:lineRule="auto"/>
        <w:ind w:firstLine="709"/>
        <w:jc w:val="both"/>
        <w:rPr>
          <w:rFonts w:ascii="Tahoma" w:hAnsi="Tahoma" w:cs="Tahoma"/>
          <w:spacing w:val="-4"/>
        </w:rPr>
      </w:pPr>
      <w:r w:rsidRPr="00D5232C">
        <w:rPr>
          <w:rFonts w:ascii="Tahoma" w:hAnsi="Tahoma" w:cs="Tahoma"/>
          <w:spacing w:val="-4"/>
        </w:rPr>
        <w:t>Así, e</w:t>
      </w:r>
      <w:r w:rsidR="00E3019F" w:rsidRPr="00D5232C">
        <w:rPr>
          <w:rFonts w:ascii="Tahoma" w:hAnsi="Tahoma" w:cs="Tahoma"/>
          <w:spacing w:val="-4"/>
        </w:rPr>
        <w:t>n el caso concreto se practicaron pruebas de índole</w:t>
      </w:r>
      <w:r w:rsidR="0091059B" w:rsidRPr="00D5232C">
        <w:rPr>
          <w:rFonts w:ascii="Tahoma" w:hAnsi="Tahoma" w:cs="Tahoma"/>
          <w:spacing w:val="-4"/>
        </w:rPr>
        <w:t xml:space="preserve"> documental</w:t>
      </w:r>
      <w:r w:rsidR="00E3019F" w:rsidRPr="00D5232C">
        <w:rPr>
          <w:rFonts w:ascii="Tahoma" w:hAnsi="Tahoma" w:cs="Tahoma"/>
          <w:spacing w:val="-4"/>
        </w:rPr>
        <w:t xml:space="preserve">; además, es menester considerar que la duración en primera instancia se extendió </w:t>
      </w:r>
      <w:r w:rsidR="007A4D23" w:rsidRPr="00D5232C">
        <w:rPr>
          <w:rFonts w:ascii="Tahoma" w:hAnsi="Tahoma" w:cs="Tahoma"/>
          <w:spacing w:val="-4"/>
        </w:rPr>
        <w:t xml:space="preserve">por </w:t>
      </w:r>
      <w:r w:rsidR="00A84BD8" w:rsidRPr="00D5232C">
        <w:rPr>
          <w:rFonts w:ascii="Tahoma" w:hAnsi="Tahoma" w:cs="Tahoma"/>
          <w:spacing w:val="-4"/>
        </w:rPr>
        <w:t xml:space="preserve">3 </w:t>
      </w:r>
      <w:r w:rsidR="009D4456" w:rsidRPr="00D5232C">
        <w:rPr>
          <w:rFonts w:ascii="Tahoma" w:hAnsi="Tahoma" w:cs="Tahoma"/>
          <w:spacing w:val="-4"/>
        </w:rPr>
        <w:t>años</w:t>
      </w:r>
      <w:r w:rsidR="007A4D23" w:rsidRPr="00D5232C">
        <w:rPr>
          <w:rFonts w:ascii="Tahoma" w:hAnsi="Tahoma" w:cs="Tahoma"/>
          <w:spacing w:val="-4"/>
        </w:rPr>
        <w:t xml:space="preserve"> aproximadamente, </w:t>
      </w:r>
      <w:r w:rsidR="00E3019F" w:rsidRPr="00D5232C">
        <w:rPr>
          <w:rFonts w:ascii="Tahoma" w:hAnsi="Tahoma" w:cs="Tahoma"/>
          <w:spacing w:val="-4"/>
        </w:rPr>
        <w:t xml:space="preserve">entre </w:t>
      </w:r>
      <w:r w:rsidR="009D4456" w:rsidRPr="00D5232C">
        <w:rPr>
          <w:rFonts w:ascii="Tahoma" w:hAnsi="Tahoma" w:cs="Tahoma"/>
          <w:spacing w:val="-4"/>
        </w:rPr>
        <w:t xml:space="preserve">el </w:t>
      </w:r>
      <w:r w:rsidR="00A84BD8" w:rsidRPr="00D5232C">
        <w:rPr>
          <w:rFonts w:ascii="Tahoma" w:hAnsi="Tahoma" w:cs="Tahoma"/>
          <w:spacing w:val="-4"/>
        </w:rPr>
        <w:t>12 de abril de 2019</w:t>
      </w:r>
      <w:r w:rsidR="00A71F2A" w:rsidRPr="00D5232C">
        <w:rPr>
          <w:rFonts w:ascii="Tahoma" w:hAnsi="Tahoma" w:cs="Tahoma"/>
          <w:spacing w:val="-4"/>
        </w:rPr>
        <w:t xml:space="preserve"> y el </w:t>
      </w:r>
      <w:r w:rsidR="00A84BD8" w:rsidRPr="00D5232C">
        <w:rPr>
          <w:rFonts w:ascii="Tahoma" w:hAnsi="Tahoma" w:cs="Tahoma"/>
          <w:spacing w:val="-4"/>
        </w:rPr>
        <w:t>27 de enero de 2022</w:t>
      </w:r>
      <w:r w:rsidR="00E3019F" w:rsidRPr="00D5232C">
        <w:rPr>
          <w:rFonts w:ascii="Tahoma" w:hAnsi="Tahoma" w:cs="Tahoma"/>
          <w:spacing w:val="-4"/>
        </w:rPr>
        <w:t>, fecha en que se</w:t>
      </w:r>
      <w:r w:rsidR="00A84BD8" w:rsidRPr="00D5232C">
        <w:rPr>
          <w:rFonts w:ascii="Tahoma" w:hAnsi="Tahoma" w:cs="Tahoma"/>
          <w:spacing w:val="-4"/>
        </w:rPr>
        <w:t xml:space="preserve"> </w:t>
      </w:r>
      <w:r w:rsidR="00A84BD8" w:rsidRPr="00D5232C">
        <w:rPr>
          <w:rFonts w:ascii="Tahoma" w:hAnsi="Tahoma" w:cs="Tahoma"/>
          <w:spacing w:val="-4"/>
        </w:rPr>
        <w:lastRenderedPageBreak/>
        <w:t xml:space="preserve">ordenó el reconocimiento de la pensión de vejez y, por ser adversa a los intereses de COLPENSIONES, tuvo que ser consultada, </w:t>
      </w:r>
      <w:r w:rsidR="00E3019F" w:rsidRPr="00D5232C">
        <w:rPr>
          <w:rFonts w:ascii="Tahoma" w:hAnsi="Tahoma" w:cs="Tahoma"/>
          <w:spacing w:val="-4"/>
        </w:rPr>
        <w:t>emitiéndose sentencia por esta Colegiatura el</w:t>
      </w:r>
      <w:r w:rsidR="00A71F2A" w:rsidRPr="00D5232C">
        <w:rPr>
          <w:rFonts w:ascii="Tahoma" w:hAnsi="Tahoma" w:cs="Tahoma"/>
          <w:spacing w:val="-4"/>
        </w:rPr>
        <w:t xml:space="preserve"> </w:t>
      </w:r>
      <w:r w:rsidR="00A84BD8" w:rsidRPr="00D5232C">
        <w:rPr>
          <w:rFonts w:ascii="Tahoma" w:hAnsi="Tahoma" w:cs="Tahoma"/>
          <w:spacing w:val="-4"/>
        </w:rPr>
        <w:t>29 de julio</w:t>
      </w:r>
      <w:r w:rsidR="009D4456" w:rsidRPr="00D5232C">
        <w:rPr>
          <w:rFonts w:ascii="Tahoma" w:hAnsi="Tahoma" w:cs="Tahoma"/>
          <w:spacing w:val="-4"/>
        </w:rPr>
        <w:t xml:space="preserve"> de 2022</w:t>
      </w:r>
      <w:r w:rsidR="00E3019F" w:rsidRPr="00D5232C">
        <w:rPr>
          <w:rFonts w:ascii="Tahoma" w:hAnsi="Tahoma" w:cs="Tahoma"/>
          <w:spacing w:val="-4"/>
        </w:rPr>
        <w:t>.</w:t>
      </w:r>
    </w:p>
    <w:p w14:paraId="48197F60" w14:textId="15386C01" w:rsidR="007A4D23" w:rsidRPr="00D5232C" w:rsidRDefault="007A4D23" w:rsidP="0058404A">
      <w:pPr>
        <w:pStyle w:val="Sinespaciado"/>
        <w:spacing w:line="264" w:lineRule="auto"/>
        <w:rPr>
          <w:rFonts w:ascii="Tahoma" w:hAnsi="Tahoma" w:cs="Tahoma"/>
          <w:spacing w:val="-4"/>
          <w:shd w:val="clear" w:color="auto" w:fill="FAF9F8"/>
        </w:rPr>
      </w:pPr>
    </w:p>
    <w:p w14:paraId="6621AE3E" w14:textId="6F54DD43" w:rsidR="009D4456" w:rsidRPr="00D5232C" w:rsidRDefault="009D4456" w:rsidP="0058404A">
      <w:pPr>
        <w:autoSpaceDE w:val="0"/>
        <w:autoSpaceDN w:val="0"/>
        <w:adjustRightInd w:val="0"/>
        <w:spacing w:line="264" w:lineRule="auto"/>
        <w:ind w:firstLine="709"/>
        <w:jc w:val="both"/>
        <w:rPr>
          <w:rFonts w:ascii="Tahoma" w:hAnsi="Tahoma" w:cs="Tahoma"/>
          <w:spacing w:val="-4"/>
        </w:rPr>
      </w:pPr>
      <w:r w:rsidRPr="00D5232C">
        <w:rPr>
          <w:rFonts w:ascii="Tahoma" w:hAnsi="Tahoma" w:cs="Tahoma"/>
          <w:spacing w:val="-4"/>
          <w:shd w:val="clear" w:color="auto" w:fill="FAF9F8"/>
        </w:rPr>
        <w:t xml:space="preserve">En el expediente digital se advierte que el profesional que representa los intereses de la parte actora procuró la </w:t>
      </w:r>
      <w:r w:rsidRPr="00D5232C">
        <w:rPr>
          <w:rFonts w:ascii="Tahoma" w:hAnsi="Tahoma" w:cs="Tahoma"/>
          <w:spacing w:val="-4"/>
        </w:rPr>
        <w:t xml:space="preserve">comparecencia oportuna de la parte pasiva de la litis, actuó en las audiencias y en todo el trámite procesal, de lo cual resulta evidente que impulsó las pretensiones de la demanda de forma diligente, procurando un ejercicio probatorio suficiente para que las mismas salieran avante, de ahí que los pedidos fueron prósperos. </w:t>
      </w:r>
    </w:p>
    <w:p w14:paraId="647E5056" w14:textId="77777777" w:rsidR="001D613D" w:rsidRPr="00D5232C" w:rsidRDefault="001D613D" w:rsidP="0058404A">
      <w:pPr>
        <w:pStyle w:val="Sinespaciado"/>
        <w:spacing w:line="264" w:lineRule="auto"/>
        <w:rPr>
          <w:rFonts w:ascii="Tahoma" w:hAnsi="Tahoma" w:cs="Tahoma"/>
          <w:spacing w:val="-4"/>
        </w:rPr>
      </w:pPr>
    </w:p>
    <w:p w14:paraId="3A88FB26" w14:textId="3584497F" w:rsidR="00C13C69" w:rsidRPr="00D5232C" w:rsidRDefault="00C13C69" w:rsidP="0058404A">
      <w:pPr>
        <w:autoSpaceDE w:val="0"/>
        <w:autoSpaceDN w:val="0"/>
        <w:adjustRightInd w:val="0"/>
        <w:spacing w:line="264" w:lineRule="auto"/>
        <w:ind w:firstLine="709"/>
        <w:jc w:val="both"/>
        <w:rPr>
          <w:rFonts w:ascii="Tahoma" w:hAnsi="Tahoma" w:cs="Tahoma"/>
          <w:spacing w:val="-4"/>
        </w:rPr>
      </w:pPr>
      <w:r w:rsidRPr="00D5232C">
        <w:rPr>
          <w:rFonts w:ascii="Tahoma" w:hAnsi="Tahoma" w:cs="Tahoma"/>
          <w:spacing w:val="-4"/>
        </w:rPr>
        <w:t>Adicional a lo anterior, debe advertirse que la tardanza en el trámite de este proceso</w:t>
      </w:r>
      <w:r w:rsidR="00D757D1" w:rsidRPr="00D5232C">
        <w:rPr>
          <w:rFonts w:ascii="Tahoma" w:hAnsi="Tahoma" w:cs="Tahoma"/>
          <w:spacing w:val="-4"/>
        </w:rPr>
        <w:t xml:space="preserve"> </w:t>
      </w:r>
      <w:r w:rsidRPr="00D5232C">
        <w:rPr>
          <w:rFonts w:ascii="Tahoma" w:hAnsi="Tahoma" w:cs="Tahoma"/>
          <w:spacing w:val="-4"/>
        </w:rPr>
        <w:t xml:space="preserve">se debió a causas externas a la parte actora y su apoderado judicial, </w:t>
      </w:r>
      <w:r w:rsidR="00EE38E2" w:rsidRPr="00D5232C">
        <w:rPr>
          <w:rFonts w:ascii="Tahoma" w:hAnsi="Tahoma" w:cs="Tahoma"/>
          <w:spacing w:val="-4"/>
        </w:rPr>
        <w:t xml:space="preserve">tales como la suspensión de términos por la emergencia sanitaria causada por el Covid-19, </w:t>
      </w:r>
      <w:r w:rsidR="00EF04EA" w:rsidRPr="00D5232C">
        <w:rPr>
          <w:rFonts w:ascii="Tahoma" w:hAnsi="Tahoma" w:cs="Tahoma"/>
          <w:spacing w:val="-4"/>
        </w:rPr>
        <w:t>que implicó la reprogramación de las audiencias, el término otorgado a las entidades públicas para aportar la documental solicitada desde la demanda y el grado jurisdiccional de consulta que debe surtirse en favor de la administradora pensional.</w:t>
      </w:r>
    </w:p>
    <w:p w14:paraId="56EF40E6" w14:textId="3399ACF8" w:rsidR="00AF43CA" w:rsidRPr="00D5232C" w:rsidRDefault="00AF43CA" w:rsidP="0058404A">
      <w:pPr>
        <w:pStyle w:val="Sinespaciado"/>
        <w:spacing w:line="264" w:lineRule="auto"/>
        <w:rPr>
          <w:rFonts w:ascii="Tahoma" w:hAnsi="Tahoma" w:cs="Tahoma"/>
          <w:spacing w:val="-4"/>
        </w:rPr>
      </w:pPr>
    </w:p>
    <w:p w14:paraId="0B391CDA" w14:textId="29AD0F39" w:rsidR="006325C0" w:rsidRPr="00D5232C" w:rsidRDefault="00AF43CA" w:rsidP="0058404A">
      <w:pPr>
        <w:autoSpaceDE w:val="0"/>
        <w:autoSpaceDN w:val="0"/>
        <w:adjustRightInd w:val="0"/>
        <w:spacing w:line="264" w:lineRule="auto"/>
        <w:ind w:firstLine="709"/>
        <w:jc w:val="both"/>
        <w:rPr>
          <w:rFonts w:ascii="Tahoma" w:hAnsi="Tahoma" w:cs="Tahoma"/>
          <w:spacing w:val="-4"/>
        </w:rPr>
      </w:pPr>
      <w:r w:rsidRPr="00D5232C">
        <w:rPr>
          <w:rFonts w:ascii="Tahoma" w:hAnsi="Tahoma" w:cs="Tahoma"/>
          <w:spacing w:val="-4"/>
        </w:rPr>
        <w:t>En vista de lo expuesto, atendiendo la naturaleza, calidad y duración de la gestión ejecutada por el apoderado judicial, así como que la cuantía</w:t>
      </w:r>
      <w:r w:rsidR="007C21A6" w:rsidRPr="00D5232C">
        <w:rPr>
          <w:rFonts w:ascii="Tahoma" w:hAnsi="Tahoma" w:cs="Tahoma"/>
          <w:spacing w:val="-4"/>
        </w:rPr>
        <w:t xml:space="preserve"> de las condenas,</w:t>
      </w:r>
      <w:r w:rsidR="006325C0" w:rsidRPr="00D5232C">
        <w:rPr>
          <w:rFonts w:ascii="Tahoma" w:hAnsi="Tahoma" w:cs="Tahoma"/>
          <w:spacing w:val="-4"/>
        </w:rPr>
        <w:t xml:space="preserve"> es permitido establecer un porcentaje del </w:t>
      </w:r>
      <w:r w:rsidR="00EF04EA" w:rsidRPr="00D5232C">
        <w:rPr>
          <w:rFonts w:ascii="Tahoma" w:hAnsi="Tahoma" w:cs="Tahoma"/>
          <w:spacing w:val="-4"/>
        </w:rPr>
        <w:t>6</w:t>
      </w:r>
      <w:r w:rsidR="006325C0" w:rsidRPr="00D5232C">
        <w:rPr>
          <w:rFonts w:ascii="Tahoma" w:hAnsi="Tahoma" w:cs="Tahoma"/>
          <w:spacing w:val="-4"/>
        </w:rPr>
        <w:t>%</w:t>
      </w:r>
      <w:r w:rsidR="006325C0" w:rsidRPr="00D5232C">
        <w:rPr>
          <w:rStyle w:val="Refdenotaalpie"/>
          <w:rFonts w:ascii="Tahoma" w:hAnsi="Tahoma" w:cs="Tahoma"/>
          <w:spacing w:val="-4"/>
        </w:rPr>
        <w:footnoteReference w:id="4"/>
      </w:r>
      <w:r w:rsidR="006325C0" w:rsidRPr="00D5232C">
        <w:rPr>
          <w:rFonts w:ascii="Tahoma" w:hAnsi="Tahoma" w:cs="Tahoma"/>
          <w:spacing w:val="-4"/>
        </w:rPr>
        <w:t xml:space="preserve"> sobre el total reconocido- $</w:t>
      </w:r>
      <w:r w:rsidR="00EF04EA" w:rsidRPr="00D5232C">
        <w:rPr>
          <w:rFonts w:ascii="Tahoma" w:hAnsi="Tahoma" w:cs="Tahoma"/>
          <w:spacing w:val="-4"/>
        </w:rPr>
        <w:t>116.289.179</w:t>
      </w:r>
      <w:r w:rsidR="006325C0" w:rsidRPr="00D5232C">
        <w:rPr>
          <w:rFonts w:ascii="Tahoma" w:hAnsi="Tahoma" w:cs="Tahoma"/>
          <w:spacing w:val="-4"/>
        </w:rPr>
        <w:t xml:space="preserve">-, obteniéndose así la suma de </w:t>
      </w:r>
      <w:r w:rsidR="006325C0" w:rsidRPr="00D5232C">
        <w:rPr>
          <w:rFonts w:ascii="Tahoma" w:hAnsi="Tahoma" w:cs="Tahoma"/>
          <w:b/>
          <w:spacing w:val="-4"/>
        </w:rPr>
        <w:t>$</w:t>
      </w:r>
      <w:r w:rsidR="00EF04EA" w:rsidRPr="00D5232C">
        <w:rPr>
          <w:rFonts w:ascii="Tahoma" w:hAnsi="Tahoma" w:cs="Tahoma"/>
          <w:b/>
          <w:spacing w:val="-4"/>
        </w:rPr>
        <w:t>6.977.350,86</w:t>
      </w:r>
      <w:r w:rsidR="006325C0" w:rsidRPr="00D5232C">
        <w:rPr>
          <w:rFonts w:ascii="Tahoma" w:hAnsi="Tahoma" w:cs="Tahoma"/>
          <w:b/>
          <w:spacing w:val="-4"/>
        </w:rPr>
        <w:t xml:space="preserve"> </w:t>
      </w:r>
      <w:r w:rsidR="006325C0" w:rsidRPr="00D5232C">
        <w:rPr>
          <w:rFonts w:ascii="Tahoma" w:hAnsi="Tahoma" w:cs="Tahoma"/>
          <w:spacing w:val="-4"/>
        </w:rPr>
        <w:t xml:space="preserve">como agencias en derecho de primera instancia, evidentemente superior a los </w:t>
      </w:r>
      <w:r w:rsidR="00EF04EA" w:rsidRPr="00D5232C">
        <w:rPr>
          <w:rFonts w:ascii="Tahoma" w:hAnsi="Tahoma" w:cs="Tahoma"/>
          <w:spacing w:val="-4"/>
        </w:rPr>
        <w:t>$4.000.000 fijados</w:t>
      </w:r>
      <w:r w:rsidR="006325C0" w:rsidRPr="00D5232C">
        <w:rPr>
          <w:rFonts w:ascii="Tahoma" w:hAnsi="Tahoma" w:cs="Tahoma"/>
          <w:spacing w:val="-4"/>
        </w:rPr>
        <w:t xml:space="preserve"> en primera instancia, en razón a que el juzgado </w:t>
      </w:r>
      <w:r w:rsidR="00EF04EA" w:rsidRPr="00D5232C">
        <w:rPr>
          <w:rFonts w:ascii="Tahoma" w:hAnsi="Tahoma" w:cs="Tahoma"/>
          <w:spacing w:val="-4"/>
        </w:rPr>
        <w:t>cuantificó las mismas como un proceso declarativo, sin contenido pecuniario.</w:t>
      </w:r>
    </w:p>
    <w:p w14:paraId="30C242B8" w14:textId="77777777" w:rsidR="00E23291" w:rsidRPr="00D5232C" w:rsidRDefault="00E23291" w:rsidP="0058404A">
      <w:pPr>
        <w:pStyle w:val="Sinespaciado"/>
        <w:spacing w:line="264" w:lineRule="auto"/>
        <w:rPr>
          <w:rFonts w:ascii="Tahoma" w:hAnsi="Tahoma" w:cs="Tahoma"/>
          <w:spacing w:val="-4"/>
        </w:rPr>
      </w:pPr>
    </w:p>
    <w:p w14:paraId="5BF2F03D" w14:textId="0A3177D2" w:rsidR="00C13C69" w:rsidRPr="00D5232C" w:rsidRDefault="00E23291" w:rsidP="0058404A">
      <w:pPr>
        <w:spacing w:line="264" w:lineRule="auto"/>
        <w:ind w:firstLine="709"/>
        <w:jc w:val="both"/>
        <w:rPr>
          <w:rFonts w:ascii="Tahoma" w:hAnsi="Tahoma" w:cs="Tahoma"/>
          <w:spacing w:val="-4"/>
        </w:rPr>
      </w:pPr>
      <w:r w:rsidRPr="00D5232C">
        <w:rPr>
          <w:rFonts w:ascii="Tahoma" w:hAnsi="Tahoma" w:cs="Tahoma"/>
          <w:spacing w:val="-4"/>
        </w:rPr>
        <w:t xml:space="preserve">Y es que para la determinación de dicho porcentaje </w:t>
      </w:r>
      <w:r w:rsidR="00DD4087" w:rsidRPr="00D5232C">
        <w:rPr>
          <w:rFonts w:ascii="Tahoma" w:hAnsi="Tahoma" w:cs="Tahoma"/>
          <w:spacing w:val="-4"/>
        </w:rPr>
        <w:t>se tuvo</w:t>
      </w:r>
      <w:r w:rsidRPr="00D5232C">
        <w:rPr>
          <w:rFonts w:ascii="Tahoma" w:hAnsi="Tahoma" w:cs="Tahoma"/>
          <w:spacing w:val="-4"/>
        </w:rPr>
        <w:t xml:space="preserve"> en cuenta que</w:t>
      </w:r>
      <w:r w:rsidR="001B2EA4" w:rsidRPr="00D5232C">
        <w:rPr>
          <w:rFonts w:ascii="Tahoma" w:hAnsi="Tahoma" w:cs="Tahoma"/>
          <w:spacing w:val="-4"/>
        </w:rPr>
        <w:t xml:space="preserve"> </w:t>
      </w:r>
      <w:r w:rsidR="00C23729" w:rsidRPr="00D5232C">
        <w:rPr>
          <w:rFonts w:ascii="Tahoma" w:hAnsi="Tahoma" w:cs="Tahoma"/>
          <w:spacing w:val="-4"/>
        </w:rPr>
        <w:t xml:space="preserve">la parte actora durante </w:t>
      </w:r>
      <w:r w:rsidR="002A4ABB" w:rsidRPr="00D5232C">
        <w:rPr>
          <w:rFonts w:ascii="Tahoma" w:hAnsi="Tahoma" w:cs="Tahoma"/>
          <w:spacing w:val="-4"/>
        </w:rPr>
        <w:t xml:space="preserve">el proceso, </w:t>
      </w:r>
      <w:r w:rsidR="00C23729" w:rsidRPr="00D5232C">
        <w:rPr>
          <w:rFonts w:ascii="Tahoma" w:hAnsi="Tahoma" w:cs="Tahoma"/>
          <w:spacing w:val="-4"/>
        </w:rPr>
        <w:t xml:space="preserve">que se ha extendido más de </w:t>
      </w:r>
      <w:r w:rsidR="00EF04EA" w:rsidRPr="00D5232C">
        <w:rPr>
          <w:rFonts w:ascii="Tahoma" w:hAnsi="Tahoma" w:cs="Tahoma"/>
          <w:spacing w:val="-4"/>
        </w:rPr>
        <w:t>4</w:t>
      </w:r>
      <w:r w:rsidR="00C23729" w:rsidRPr="00D5232C">
        <w:rPr>
          <w:rFonts w:ascii="Tahoma" w:hAnsi="Tahoma" w:cs="Tahoma"/>
          <w:spacing w:val="-4"/>
        </w:rPr>
        <w:t xml:space="preserve"> años, ha estado representada por profesional del derecho que ha actuado en todas las etapas procesales, incluyendo </w:t>
      </w:r>
      <w:r w:rsidR="00B6134A" w:rsidRPr="00D5232C">
        <w:rPr>
          <w:rFonts w:ascii="Tahoma" w:hAnsi="Tahoma" w:cs="Tahoma"/>
          <w:spacing w:val="-4"/>
        </w:rPr>
        <w:t>las audiencias de que tratan los arts. 77 y 80 del CPT y SS</w:t>
      </w:r>
      <w:r w:rsidR="002A4ABB" w:rsidRPr="00D5232C">
        <w:rPr>
          <w:rFonts w:ascii="Tahoma" w:hAnsi="Tahoma" w:cs="Tahoma"/>
          <w:spacing w:val="-4"/>
        </w:rPr>
        <w:t>, sin que se le pueda atribuir a negligencia del apoderado la duración del proceso</w:t>
      </w:r>
      <w:r w:rsidR="00B6134A" w:rsidRPr="00D5232C">
        <w:rPr>
          <w:rFonts w:ascii="Tahoma" w:hAnsi="Tahoma" w:cs="Tahoma"/>
          <w:spacing w:val="-4"/>
        </w:rPr>
        <w:t xml:space="preserve">, toda vez que se aprecian múltiples memoriales solicitando el impulso del </w:t>
      </w:r>
      <w:r w:rsidR="00D33615" w:rsidRPr="00D5232C">
        <w:rPr>
          <w:rFonts w:ascii="Tahoma" w:hAnsi="Tahoma" w:cs="Tahoma"/>
          <w:spacing w:val="-4"/>
        </w:rPr>
        <w:t>mismo</w:t>
      </w:r>
      <w:r w:rsidR="00EF04EA" w:rsidRPr="00D5232C">
        <w:rPr>
          <w:rFonts w:ascii="Tahoma" w:hAnsi="Tahoma" w:cs="Tahoma"/>
          <w:spacing w:val="-4"/>
        </w:rPr>
        <w:t xml:space="preserve">. </w:t>
      </w:r>
    </w:p>
    <w:p w14:paraId="130FA8C3" w14:textId="5AC9EE52" w:rsidR="000D353A" w:rsidRPr="00D5232C" w:rsidRDefault="000D353A" w:rsidP="0058404A">
      <w:pPr>
        <w:pStyle w:val="Sinespaciado"/>
        <w:spacing w:line="264" w:lineRule="auto"/>
        <w:rPr>
          <w:rFonts w:ascii="Tahoma" w:hAnsi="Tahoma" w:cs="Tahoma"/>
          <w:spacing w:val="-4"/>
        </w:rPr>
      </w:pPr>
    </w:p>
    <w:p w14:paraId="6DF67B69" w14:textId="2A943CD4" w:rsidR="00EF0723" w:rsidRPr="00D5232C" w:rsidRDefault="00EF04EA" w:rsidP="0058404A">
      <w:pPr>
        <w:autoSpaceDE w:val="0"/>
        <w:autoSpaceDN w:val="0"/>
        <w:adjustRightInd w:val="0"/>
        <w:spacing w:line="264" w:lineRule="auto"/>
        <w:ind w:firstLine="709"/>
        <w:jc w:val="both"/>
        <w:rPr>
          <w:rFonts w:ascii="Tahoma" w:hAnsi="Tahoma" w:cs="Tahoma"/>
          <w:spacing w:val="-4"/>
        </w:rPr>
      </w:pPr>
      <w:r w:rsidRPr="00D5232C">
        <w:rPr>
          <w:rFonts w:ascii="Tahoma" w:hAnsi="Tahoma" w:cs="Tahoma"/>
          <w:spacing w:val="-4"/>
        </w:rPr>
        <w:t xml:space="preserve">En consecuencia, para la Sala las agencias en derecho fijadas en primera instancia no se ajustan a derecho por lo que se debieron tasar en </w:t>
      </w:r>
      <w:r w:rsidRPr="00D5232C">
        <w:rPr>
          <w:rFonts w:ascii="Tahoma" w:hAnsi="Tahoma" w:cs="Tahoma"/>
          <w:b/>
          <w:spacing w:val="-4"/>
        </w:rPr>
        <w:t>$6.977.350,86</w:t>
      </w:r>
      <w:r w:rsidRPr="00D5232C">
        <w:rPr>
          <w:rFonts w:ascii="Tahoma" w:hAnsi="Tahoma" w:cs="Tahoma"/>
          <w:spacing w:val="-4"/>
        </w:rPr>
        <w:t>, en razón al 6% de las pretensiones pecuniarias</w:t>
      </w:r>
      <w:r w:rsidR="00803F0B" w:rsidRPr="00D5232C">
        <w:rPr>
          <w:rFonts w:ascii="Tahoma" w:hAnsi="Tahoma" w:cs="Tahoma"/>
          <w:spacing w:val="-4"/>
        </w:rPr>
        <w:t xml:space="preserve">, </w:t>
      </w:r>
      <w:r w:rsidR="002A4ABB" w:rsidRPr="00D5232C">
        <w:rPr>
          <w:rFonts w:ascii="Tahoma" w:hAnsi="Tahoma" w:cs="Tahoma"/>
          <w:spacing w:val="-4"/>
        </w:rPr>
        <w:t>lo que a su vez permite concluir que en este caso las costas procesales a las que fuera condenad</w:t>
      </w:r>
      <w:r w:rsidR="00803F0B" w:rsidRPr="00D5232C">
        <w:rPr>
          <w:rFonts w:ascii="Tahoma" w:hAnsi="Tahoma" w:cs="Tahoma"/>
          <w:spacing w:val="-4"/>
        </w:rPr>
        <w:t>a</w:t>
      </w:r>
      <w:r w:rsidR="002A4ABB" w:rsidRPr="00D5232C">
        <w:rPr>
          <w:rFonts w:ascii="Tahoma" w:hAnsi="Tahoma" w:cs="Tahoma"/>
          <w:spacing w:val="-4"/>
        </w:rPr>
        <w:t xml:space="preserve"> en un </w:t>
      </w:r>
      <w:r w:rsidR="00803F0B" w:rsidRPr="00D5232C">
        <w:rPr>
          <w:rFonts w:ascii="Tahoma" w:hAnsi="Tahoma" w:cs="Tahoma"/>
          <w:spacing w:val="-4"/>
        </w:rPr>
        <w:t>9</w:t>
      </w:r>
      <w:r w:rsidR="002A4ABB" w:rsidRPr="00D5232C">
        <w:rPr>
          <w:rFonts w:ascii="Tahoma" w:hAnsi="Tahoma" w:cs="Tahoma"/>
          <w:spacing w:val="-4"/>
        </w:rPr>
        <w:t xml:space="preserve">0% </w:t>
      </w:r>
      <w:r w:rsidR="00803F0B" w:rsidRPr="00D5232C">
        <w:rPr>
          <w:rFonts w:ascii="Tahoma" w:hAnsi="Tahoma" w:cs="Tahoma"/>
          <w:spacing w:val="-4"/>
        </w:rPr>
        <w:t>COLPENSIONES</w:t>
      </w:r>
      <w:r w:rsidR="002A4ABB" w:rsidRPr="00D5232C">
        <w:rPr>
          <w:rFonts w:ascii="Tahoma" w:hAnsi="Tahoma" w:cs="Tahoma"/>
          <w:spacing w:val="-4"/>
        </w:rPr>
        <w:t xml:space="preserve"> asciende a </w:t>
      </w:r>
      <w:r w:rsidR="00B6134A" w:rsidRPr="00D5232C">
        <w:rPr>
          <w:rFonts w:ascii="Tahoma" w:hAnsi="Tahoma" w:cs="Tahoma"/>
          <w:b/>
          <w:spacing w:val="-4"/>
        </w:rPr>
        <w:t>$</w:t>
      </w:r>
      <w:r w:rsidR="00803F0B" w:rsidRPr="00D5232C">
        <w:rPr>
          <w:rFonts w:ascii="Tahoma" w:hAnsi="Tahoma" w:cs="Tahoma"/>
          <w:spacing w:val="-4"/>
        </w:rPr>
        <w:t xml:space="preserve"> </w:t>
      </w:r>
      <w:r w:rsidR="00803F0B" w:rsidRPr="00D5232C">
        <w:rPr>
          <w:rFonts w:ascii="Tahoma" w:hAnsi="Tahoma" w:cs="Tahoma"/>
          <w:b/>
          <w:spacing w:val="-4"/>
        </w:rPr>
        <w:t xml:space="preserve">$6.279.885,77 </w:t>
      </w:r>
      <w:r w:rsidR="006325C0" w:rsidRPr="00D5232C">
        <w:rPr>
          <w:rFonts w:ascii="Tahoma" w:hAnsi="Tahoma" w:cs="Tahoma"/>
          <w:spacing w:val="-4"/>
        </w:rPr>
        <w:t xml:space="preserve">en primera instancia. </w:t>
      </w:r>
    </w:p>
    <w:p w14:paraId="48D9F458" w14:textId="77777777" w:rsidR="00EF0723" w:rsidRPr="00D5232C" w:rsidRDefault="00EF0723" w:rsidP="0058404A">
      <w:pPr>
        <w:pStyle w:val="Sinespaciado"/>
        <w:spacing w:line="264" w:lineRule="auto"/>
        <w:rPr>
          <w:rFonts w:ascii="Tahoma" w:hAnsi="Tahoma" w:cs="Tahoma"/>
          <w:spacing w:val="-4"/>
        </w:rPr>
      </w:pPr>
    </w:p>
    <w:p w14:paraId="7616F6CD" w14:textId="167DA134" w:rsidR="00E23291" w:rsidRPr="00D5232C" w:rsidRDefault="00E23291" w:rsidP="0058404A">
      <w:pPr>
        <w:spacing w:line="264" w:lineRule="auto"/>
        <w:ind w:firstLine="709"/>
        <w:jc w:val="both"/>
        <w:rPr>
          <w:rFonts w:ascii="Tahoma" w:hAnsi="Tahoma" w:cs="Tahoma"/>
          <w:spacing w:val="-4"/>
        </w:rPr>
      </w:pPr>
      <w:r w:rsidRPr="00D5232C">
        <w:rPr>
          <w:rFonts w:ascii="Tahoma" w:hAnsi="Tahoma" w:cs="Tahoma"/>
          <w:spacing w:val="-4"/>
        </w:rPr>
        <w:t xml:space="preserve"> </w:t>
      </w:r>
      <w:r w:rsidR="00EF0723" w:rsidRPr="00D5232C">
        <w:rPr>
          <w:rFonts w:ascii="Tahoma" w:hAnsi="Tahoma" w:cs="Tahoma"/>
          <w:spacing w:val="-4"/>
        </w:rPr>
        <w:t xml:space="preserve">De acuerdo con lo expuesto, se modificará la tasación efectuada en primer grado en los términos antes señalados.  </w:t>
      </w:r>
    </w:p>
    <w:p w14:paraId="77E59F42" w14:textId="77777777" w:rsidR="00EF0723" w:rsidRPr="00D5232C" w:rsidRDefault="00EF0723" w:rsidP="0058404A">
      <w:pPr>
        <w:pStyle w:val="Sinespaciado"/>
        <w:spacing w:line="264" w:lineRule="auto"/>
        <w:rPr>
          <w:rFonts w:ascii="Tahoma" w:hAnsi="Tahoma" w:cs="Tahoma"/>
          <w:spacing w:val="-4"/>
        </w:rPr>
      </w:pPr>
    </w:p>
    <w:p w14:paraId="35ABB8DF" w14:textId="15A0180F" w:rsidR="00B507B0" w:rsidRPr="00D5232C" w:rsidRDefault="00E23291" w:rsidP="0058404A">
      <w:pPr>
        <w:spacing w:line="264" w:lineRule="auto"/>
        <w:ind w:firstLine="709"/>
        <w:jc w:val="both"/>
        <w:rPr>
          <w:rFonts w:ascii="Tahoma" w:hAnsi="Tahoma" w:cs="Tahoma"/>
          <w:spacing w:val="-4"/>
        </w:rPr>
      </w:pPr>
      <w:r w:rsidRPr="00D5232C">
        <w:rPr>
          <w:rFonts w:ascii="Tahoma" w:hAnsi="Tahoma" w:cs="Tahoma"/>
          <w:spacing w:val="-4"/>
        </w:rPr>
        <w:t xml:space="preserve">Finalmente, </w:t>
      </w:r>
      <w:r w:rsidR="00DB304A" w:rsidRPr="00D5232C">
        <w:rPr>
          <w:rFonts w:ascii="Tahoma" w:hAnsi="Tahoma" w:cs="Tahoma"/>
          <w:spacing w:val="-4"/>
        </w:rPr>
        <w:t xml:space="preserve">ante la prosperidad del recurso presentado por la parte actora y, como quiera que </w:t>
      </w:r>
      <w:r w:rsidR="00803F0B" w:rsidRPr="00D5232C">
        <w:rPr>
          <w:rFonts w:ascii="Tahoma" w:hAnsi="Tahoma" w:cs="Tahoma"/>
          <w:spacing w:val="-4"/>
        </w:rPr>
        <w:t>la demandada</w:t>
      </w:r>
      <w:r w:rsidR="00DB304A" w:rsidRPr="00D5232C">
        <w:rPr>
          <w:rFonts w:ascii="Tahoma" w:hAnsi="Tahoma" w:cs="Tahoma"/>
          <w:spacing w:val="-4"/>
        </w:rPr>
        <w:t xml:space="preserve"> no recurri</w:t>
      </w:r>
      <w:r w:rsidR="00803F0B" w:rsidRPr="00D5232C">
        <w:rPr>
          <w:rFonts w:ascii="Tahoma" w:hAnsi="Tahoma" w:cs="Tahoma"/>
          <w:spacing w:val="-4"/>
        </w:rPr>
        <w:t>ó</w:t>
      </w:r>
      <w:r w:rsidR="00DB304A" w:rsidRPr="00D5232C">
        <w:rPr>
          <w:rFonts w:ascii="Tahoma" w:hAnsi="Tahoma" w:cs="Tahoma"/>
          <w:spacing w:val="-4"/>
        </w:rPr>
        <w:t xml:space="preserve"> la liquidación de primera instancia, </w:t>
      </w:r>
      <w:r w:rsidRPr="00D5232C">
        <w:rPr>
          <w:rFonts w:ascii="Tahoma" w:hAnsi="Tahoma" w:cs="Tahoma"/>
          <w:spacing w:val="-4"/>
        </w:rPr>
        <w:t>no se impondrán costas por este trámite.</w:t>
      </w:r>
    </w:p>
    <w:p w14:paraId="689CA953" w14:textId="77777777" w:rsidR="00E3019F" w:rsidRPr="00D5232C" w:rsidRDefault="00E3019F" w:rsidP="0058404A">
      <w:pPr>
        <w:pStyle w:val="Sinespaciado"/>
        <w:spacing w:line="264" w:lineRule="auto"/>
        <w:rPr>
          <w:rFonts w:ascii="Tahoma" w:hAnsi="Tahoma" w:cs="Tahoma"/>
          <w:spacing w:val="-4"/>
        </w:rPr>
      </w:pPr>
    </w:p>
    <w:p w14:paraId="5D18CB2A" w14:textId="77777777" w:rsidR="00E3019F" w:rsidRPr="00D5232C" w:rsidRDefault="00E3019F" w:rsidP="0058404A">
      <w:pPr>
        <w:spacing w:line="264" w:lineRule="auto"/>
        <w:ind w:firstLine="708"/>
        <w:jc w:val="both"/>
        <w:rPr>
          <w:rFonts w:ascii="Tahoma" w:hAnsi="Tahoma" w:cs="Tahoma"/>
          <w:b/>
          <w:spacing w:val="-4"/>
        </w:rPr>
      </w:pPr>
      <w:r w:rsidRPr="00D5232C">
        <w:rPr>
          <w:rFonts w:ascii="Tahoma" w:hAnsi="Tahoma" w:cs="Tahoma"/>
          <w:spacing w:val="-4"/>
        </w:rPr>
        <w:t xml:space="preserve">En mérito de lo expuesto, el </w:t>
      </w:r>
      <w:r w:rsidRPr="00D5232C">
        <w:rPr>
          <w:rFonts w:ascii="Tahoma" w:hAnsi="Tahoma" w:cs="Tahoma"/>
          <w:b/>
          <w:spacing w:val="-4"/>
        </w:rPr>
        <w:t xml:space="preserve">Tribunal Superior del Distrito Judicial de Pereira, Sala Primera de Decisión Laboral, </w:t>
      </w:r>
    </w:p>
    <w:p w14:paraId="2454FF32" w14:textId="77777777" w:rsidR="00E3019F" w:rsidRPr="00D5232C" w:rsidRDefault="00E3019F" w:rsidP="0058404A">
      <w:pPr>
        <w:pStyle w:val="Sinespaciado"/>
        <w:spacing w:line="264" w:lineRule="auto"/>
        <w:rPr>
          <w:rFonts w:ascii="Tahoma" w:hAnsi="Tahoma" w:cs="Tahoma"/>
          <w:spacing w:val="-4"/>
        </w:rPr>
      </w:pPr>
    </w:p>
    <w:p w14:paraId="6BCEE2CD" w14:textId="77777777" w:rsidR="00E3019F" w:rsidRPr="00D5232C" w:rsidRDefault="00E3019F" w:rsidP="0058404A">
      <w:pPr>
        <w:spacing w:line="264" w:lineRule="auto"/>
        <w:jc w:val="center"/>
        <w:rPr>
          <w:rFonts w:ascii="Tahoma" w:hAnsi="Tahoma" w:cs="Tahoma"/>
          <w:b/>
          <w:spacing w:val="-4"/>
        </w:rPr>
      </w:pPr>
      <w:r w:rsidRPr="00D5232C">
        <w:rPr>
          <w:rFonts w:ascii="Tahoma" w:hAnsi="Tahoma" w:cs="Tahoma"/>
          <w:b/>
          <w:spacing w:val="-4"/>
        </w:rPr>
        <w:t>R E S U E L V E:</w:t>
      </w:r>
    </w:p>
    <w:p w14:paraId="7ADFB0CE" w14:textId="77777777" w:rsidR="00E3019F" w:rsidRPr="00D5232C" w:rsidRDefault="00E3019F" w:rsidP="0058404A">
      <w:pPr>
        <w:spacing w:line="264" w:lineRule="auto"/>
        <w:ind w:firstLine="708"/>
        <w:jc w:val="center"/>
        <w:rPr>
          <w:rFonts w:ascii="Tahoma" w:hAnsi="Tahoma" w:cs="Tahoma"/>
          <w:b/>
          <w:spacing w:val="-4"/>
        </w:rPr>
      </w:pPr>
    </w:p>
    <w:p w14:paraId="6C969D19" w14:textId="7AA7ECF0" w:rsidR="00DB304A" w:rsidRPr="00D5232C" w:rsidRDefault="00DB304A" w:rsidP="0058404A">
      <w:pPr>
        <w:spacing w:line="264" w:lineRule="auto"/>
        <w:ind w:firstLine="708"/>
        <w:jc w:val="both"/>
        <w:rPr>
          <w:rFonts w:ascii="Tahoma" w:hAnsi="Tahoma" w:cs="Tahoma"/>
          <w:spacing w:val="-4"/>
        </w:rPr>
      </w:pPr>
      <w:r w:rsidRPr="00D5232C">
        <w:rPr>
          <w:rFonts w:ascii="Tahoma" w:hAnsi="Tahoma" w:cs="Tahoma"/>
          <w:b/>
          <w:spacing w:val="-4"/>
        </w:rPr>
        <w:t>PRIMERO. -</w:t>
      </w:r>
      <w:r w:rsidR="00E3019F" w:rsidRPr="00D5232C">
        <w:rPr>
          <w:rFonts w:ascii="Tahoma" w:hAnsi="Tahoma" w:cs="Tahoma"/>
          <w:b/>
          <w:spacing w:val="-4"/>
        </w:rPr>
        <w:t xml:space="preserve"> </w:t>
      </w:r>
      <w:r w:rsidRPr="00D5232C">
        <w:rPr>
          <w:rFonts w:ascii="Tahoma" w:hAnsi="Tahoma" w:cs="Tahoma"/>
          <w:b/>
          <w:spacing w:val="-4"/>
        </w:rPr>
        <w:t>MODIFICAR</w:t>
      </w:r>
      <w:r w:rsidRPr="00D5232C">
        <w:rPr>
          <w:rFonts w:ascii="Tahoma" w:hAnsi="Tahoma" w:cs="Tahoma"/>
          <w:spacing w:val="-4"/>
        </w:rPr>
        <w:t xml:space="preserve"> las agencias en derecho de primera instancia tasadas por el Juzgado </w:t>
      </w:r>
      <w:r w:rsidR="00803F0B" w:rsidRPr="00D5232C">
        <w:rPr>
          <w:rFonts w:ascii="Tahoma" w:hAnsi="Tahoma" w:cs="Tahoma"/>
          <w:spacing w:val="-4"/>
        </w:rPr>
        <w:t>Segundo Laboral del Circuito de Pereira</w:t>
      </w:r>
      <w:r w:rsidRPr="00D5232C">
        <w:rPr>
          <w:rFonts w:ascii="Tahoma" w:hAnsi="Tahoma" w:cs="Tahoma"/>
          <w:spacing w:val="-4"/>
        </w:rPr>
        <w:t>.</w:t>
      </w:r>
    </w:p>
    <w:p w14:paraId="6915AEA8" w14:textId="77777777" w:rsidR="00DB304A" w:rsidRPr="00D5232C" w:rsidRDefault="00DB304A" w:rsidP="0058404A">
      <w:pPr>
        <w:spacing w:line="264" w:lineRule="auto"/>
        <w:ind w:firstLine="708"/>
        <w:jc w:val="both"/>
        <w:rPr>
          <w:rFonts w:ascii="Tahoma" w:hAnsi="Tahoma" w:cs="Tahoma"/>
          <w:spacing w:val="-4"/>
        </w:rPr>
      </w:pPr>
    </w:p>
    <w:p w14:paraId="6F052F62" w14:textId="1F752515" w:rsidR="00DB304A" w:rsidRPr="00D5232C" w:rsidRDefault="00DB304A" w:rsidP="0058404A">
      <w:pPr>
        <w:spacing w:line="264" w:lineRule="auto"/>
        <w:ind w:firstLine="708"/>
        <w:jc w:val="both"/>
        <w:rPr>
          <w:rFonts w:ascii="Tahoma" w:hAnsi="Tahoma" w:cs="Tahoma"/>
          <w:spacing w:val="-4"/>
        </w:rPr>
      </w:pPr>
      <w:r w:rsidRPr="00D5232C">
        <w:rPr>
          <w:rFonts w:ascii="Tahoma" w:hAnsi="Tahoma" w:cs="Tahoma"/>
          <w:b/>
          <w:bCs/>
          <w:spacing w:val="-4"/>
        </w:rPr>
        <w:t>SEGUNDO. - FIJAR</w:t>
      </w:r>
      <w:r w:rsidRPr="00D5232C">
        <w:rPr>
          <w:rFonts w:ascii="Tahoma" w:hAnsi="Tahoma" w:cs="Tahoma"/>
          <w:spacing w:val="-4"/>
        </w:rPr>
        <w:t xml:space="preserve"> como agencias en derecho de primera la suma de </w:t>
      </w:r>
      <w:r w:rsidR="00803F0B" w:rsidRPr="00D5232C">
        <w:rPr>
          <w:rFonts w:ascii="Tahoma" w:hAnsi="Tahoma" w:cs="Tahoma"/>
          <w:b/>
          <w:bCs/>
          <w:spacing w:val="-4"/>
        </w:rPr>
        <w:t xml:space="preserve">SEIS MILLONES NOVECIENTOS SETENTA Y SIETE MIL TRECIENTOS CINCUENTA PESOS CON OCHENTA Y SEIS CENTAVOS </w:t>
      </w:r>
      <w:r w:rsidRPr="00D5232C">
        <w:rPr>
          <w:rFonts w:ascii="Tahoma" w:hAnsi="Tahoma" w:cs="Tahoma"/>
          <w:b/>
          <w:bCs/>
          <w:spacing w:val="-4"/>
        </w:rPr>
        <w:t>($</w:t>
      </w:r>
      <w:r w:rsidR="00803F0B" w:rsidRPr="00D5232C">
        <w:rPr>
          <w:rFonts w:ascii="Tahoma" w:hAnsi="Tahoma" w:cs="Tahoma"/>
          <w:b/>
          <w:bCs/>
          <w:spacing w:val="-4"/>
        </w:rPr>
        <w:t>6.977.350,86</w:t>
      </w:r>
      <w:r w:rsidRPr="00D5232C">
        <w:rPr>
          <w:rFonts w:ascii="Tahoma" w:hAnsi="Tahoma" w:cs="Tahoma"/>
          <w:b/>
          <w:bCs/>
          <w:spacing w:val="-4"/>
        </w:rPr>
        <w:t>)</w:t>
      </w:r>
      <w:r w:rsidR="700AC001" w:rsidRPr="00D5232C">
        <w:rPr>
          <w:rFonts w:ascii="Tahoma" w:hAnsi="Tahoma" w:cs="Tahoma"/>
          <w:b/>
          <w:bCs/>
          <w:spacing w:val="-4"/>
        </w:rPr>
        <w:t xml:space="preserve">, </w:t>
      </w:r>
      <w:r w:rsidR="006325C0" w:rsidRPr="00D5232C">
        <w:rPr>
          <w:rFonts w:ascii="Tahoma" w:hAnsi="Tahoma" w:cs="Tahoma"/>
          <w:spacing w:val="-4"/>
        </w:rPr>
        <w:t xml:space="preserve">equivalente al </w:t>
      </w:r>
      <w:r w:rsidR="00803F0B" w:rsidRPr="00D5232C">
        <w:rPr>
          <w:rFonts w:ascii="Tahoma" w:hAnsi="Tahoma" w:cs="Tahoma"/>
          <w:spacing w:val="-4"/>
        </w:rPr>
        <w:t>6</w:t>
      </w:r>
      <w:r w:rsidR="006325C0" w:rsidRPr="00D5232C">
        <w:rPr>
          <w:rFonts w:ascii="Tahoma" w:hAnsi="Tahoma" w:cs="Tahoma"/>
          <w:spacing w:val="-4"/>
        </w:rPr>
        <w:t xml:space="preserve">% del total reconocido. </w:t>
      </w:r>
    </w:p>
    <w:p w14:paraId="56B30C2B" w14:textId="6831DB88" w:rsidR="00597114" w:rsidRPr="00D5232C" w:rsidRDefault="00597114" w:rsidP="0058404A">
      <w:pPr>
        <w:spacing w:line="264" w:lineRule="auto"/>
        <w:ind w:firstLine="708"/>
        <w:jc w:val="both"/>
        <w:rPr>
          <w:rFonts w:ascii="Tahoma" w:hAnsi="Tahoma" w:cs="Tahoma"/>
          <w:b/>
          <w:bCs/>
          <w:spacing w:val="-4"/>
        </w:rPr>
      </w:pPr>
    </w:p>
    <w:p w14:paraId="537776BA" w14:textId="0F1E6390" w:rsidR="00470D5D" w:rsidRPr="00D5232C" w:rsidRDefault="1EBAC376" w:rsidP="0058404A">
      <w:pPr>
        <w:spacing w:line="264" w:lineRule="auto"/>
        <w:ind w:firstLine="708"/>
        <w:jc w:val="both"/>
        <w:rPr>
          <w:rFonts w:ascii="Tahoma" w:hAnsi="Tahoma" w:cs="Tahoma"/>
          <w:spacing w:val="-4"/>
        </w:rPr>
      </w:pPr>
      <w:r w:rsidRPr="00D5232C">
        <w:rPr>
          <w:rFonts w:ascii="Tahoma" w:hAnsi="Tahoma" w:cs="Tahoma"/>
          <w:b/>
          <w:bCs/>
          <w:spacing w:val="-4"/>
        </w:rPr>
        <w:t>TERCERO. - APROBAR</w:t>
      </w:r>
      <w:r w:rsidRPr="00D5232C">
        <w:rPr>
          <w:rFonts w:ascii="Tahoma" w:hAnsi="Tahoma" w:cs="Tahoma"/>
          <w:spacing w:val="-4"/>
        </w:rPr>
        <w:t xml:space="preserve"> en la suma de </w:t>
      </w:r>
      <w:r w:rsidR="00803F0B" w:rsidRPr="00D5232C">
        <w:rPr>
          <w:rFonts w:ascii="Tahoma" w:hAnsi="Tahoma" w:cs="Tahoma"/>
          <w:b/>
          <w:bCs/>
          <w:spacing w:val="-4"/>
        </w:rPr>
        <w:t xml:space="preserve">SEIS MILLONES DOSCIENTOS SETENTA Y NUEVE MIL OCHOCIENTOS OCHENTA Y CINCO PESOS CON SETENTA Y SIETE CENTAVOS </w:t>
      </w:r>
      <w:r w:rsidRPr="00D5232C">
        <w:rPr>
          <w:rFonts w:ascii="Tahoma" w:hAnsi="Tahoma" w:cs="Tahoma"/>
          <w:b/>
          <w:bCs/>
          <w:spacing w:val="-4"/>
        </w:rPr>
        <w:t>(</w:t>
      </w:r>
      <w:r w:rsidR="00470D5D" w:rsidRPr="00D5232C">
        <w:rPr>
          <w:rFonts w:ascii="Tahoma" w:hAnsi="Tahoma" w:cs="Tahoma"/>
          <w:b/>
          <w:bCs/>
          <w:spacing w:val="-4"/>
        </w:rPr>
        <w:t>$</w:t>
      </w:r>
      <w:r w:rsidR="00803F0B" w:rsidRPr="00D5232C">
        <w:rPr>
          <w:rFonts w:ascii="Tahoma" w:hAnsi="Tahoma" w:cs="Tahoma"/>
          <w:b/>
          <w:bCs/>
          <w:spacing w:val="-4"/>
        </w:rPr>
        <w:t>6.279.885,77</w:t>
      </w:r>
      <w:r w:rsidRPr="00D5232C">
        <w:rPr>
          <w:rFonts w:ascii="Tahoma" w:hAnsi="Tahoma" w:cs="Tahoma"/>
          <w:b/>
          <w:bCs/>
          <w:spacing w:val="-4"/>
        </w:rPr>
        <w:t>)</w:t>
      </w:r>
      <w:r w:rsidRPr="00D5232C">
        <w:rPr>
          <w:rFonts w:ascii="Tahoma" w:hAnsi="Tahoma" w:cs="Tahoma"/>
          <w:spacing w:val="-4"/>
        </w:rPr>
        <w:t xml:space="preserve"> la liquidación de costas a la que fuera condenad</w:t>
      </w:r>
      <w:r w:rsidR="00803F0B" w:rsidRPr="00D5232C">
        <w:rPr>
          <w:rFonts w:ascii="Tahoma" w:hAnsi="Tahoma" w:cs="Tahoma"/>
          <w:spacing w:val="-4"/>
        </w:rPr>
        <w:t>a</w:t>
      </w:r>
      <w:r w:rsidRPr="00D5232C">
        <w:rPr>
          <w:rFonts w:ascii="Tahoma" w:hAnsi="Tahoma" w:cs="Tahoma"/>
          <w:spacing w:val="-4"/>
        </w:rPr>
        <w:t xml:space="preserve"> </w:t>
      </w:r>
      <w:r w:rsidR="00803F0B" w:rsidRPr="00D5232C">
        <w:rPr>
          <w:rFonts w:ascii="Tahoma" w:hAnsi="Tahoma" w:cs="Tahoma"/>
          <w:spacing w:val="-4"/>
        </w:rPr>
        <w:t>COLPENSIONES en un 90</w:t>
      </w:r>
      <w:r w:rsidRPr="00D5232C">
        <w:rPr>
          <w:rFonts w:ascii="Tahoma" w:hAnsi="Tahoma" w:cs="Tahoma"/>
          <w:spacing w:val="-4"/>
        </w:rPr>
        <w:t>%</w:t>
      </w:r>
      <w:r w:rsidR="00803F0B" w:rsidRPr="00D5232C">
        <w:rPr>
          <w:rFonts w:ascii="Tahoma" w:hAnsi="Tahoma" w:cs="Tahoma"/>
          <w:spacing w:val="-4"/>
        </w:rPr>
        <w:t>.</w:t>
      </w:r>
    </w:p>
    <w:p w14:paraId="1BDE3B1F" w14:textId="378EC364" w:rsidR="00803F0B" w:rsidRPr="00D5232C" w:rsidRDefault="00803F0B" w:rsidP="0058404A">
      <w:pPr>
        <w:spacing w:line="264" w:lineRule="auto"/>
        <w:ind w:firstLine="708"/>
        <w:jc w:val="both"/>
        <w:rPr>
          <w:rFonts w:ascii="Tahoma" w:hAnsi="Tahoma" w:cs="Tahoma"/>
          <w:spacing w:val="-4"/>
        </w:rPr>
      </w:pPr>
    </w:p>
    <w:p w14:paraId="7AEAB6D4" w14:textId="590871C5" w:rsidR="00803F0B" w:rsidRPr="00D5232C" w:rsidRDefault="00803F0B" w:rsidP="0058404A">
      <w:pPr>
        <w:spacing w:line="264" w:lineRule="auto"/>
        <w:ind w:firstLine="708"/>
        <w:jc w:val="both"/>
        <w:rPr>
          <w:rFonts w:ascii="Tahoma" w:hAnsi="Tahoma" w:cs="Tahoma"/>
          <w:bCs/>
          <w:spacing w:val="-4"/>
        </w:rPr>
      </w:pPr>
      <w:r w:rsidRPr="00D5232C">
        <w:rPr>
          <w:rFonts w:ascii="Tahoma" w:hAnsi="Tahoma" w:cs="Tahoma"/>
          <w:b/>
          <w:bCs/>
          <w:spacing w:val="-4"/>
        </w:rPr>
        <w:t xml:space="preserve">CUARTO. – </w:t>
      </w:r>
      <w:r w:rsidR="00D5232C" w:rsidRPr="00D5232C">
        <w:rPr>
          <w:rFonts w:ascii="Tahoma" w:hAnsi="Tahoma" w:cs="Tahoma"/>
          <w:bCs/>
          <w:spacing w:val="-4"/>
        </w:rPr>
        <w:t>Sin costas en esta instancia.</w:t>
      </w:r>
    </w:p>
    <w:p w14:paraId="5AB9C39F" w14:textId="77777777" w:rsidR="00305318" w:rsidRPr="00EB2219" w:rsidRDefault="00305318" w:rsidP="00305318">
      <w:pPr>
        <w:spacing w:line="276" w:lineRule="auto"/>
        <w:jc w:val="both"/>
        <w:rPr>
          <w:rFonts w:ascii="Tahoma" w:eastAsia="Calibri" w:hAnsi="Tahoma" w:cs="Tahoma"/>
          <w:lang w:val="es-CO" w:eastAsia="en-US"/>
        </w:rPr>
      </w:pPr>
      <w:bookmarkStart w:id="3" w:name="_Hlk126574973"/>
    </w:p>
    <w:p w14:paraId="2392886D" w14:textId="77777777" w:rsidR="00305318" w:rsidRPr="00EB2219" w:rsidRDefault="00305318" w:rsidP="00305318">
      <w:pPr>
        <w:spacing w:line="276" w:lineRule="auto"/>
        <w:jc w:val="center"/>
        <w:rPr>
          <w:rFonts w:ascii="Tahoma" w:eastAsia="Tahoma" w:hAnsi="Tahoma" w:cs="Tahoma"/>
          <w:b/>
          <w:bCs/>
          <w:lang w:val="es-CO" w:eastAsia="en-US"/>
        </w:rPr>
      </w:pPr>
      <w:r w:rsidRPr="00EB2219">
        <w:rPr>
          <w:rFonts w:ascii="Tahoma" w:eastAsia="Tahoma" w:hAnsi="Tahoma" w:cs="Tahoma"/>
          <w:b/>
          <w:bCs/>
          <w:lang w:val="es-CO" w:eastAsia="en-US"/>
        </w:rPr>
        <w:t>NOTIFÍQUESE Y CÚMPLASE</w:t>
      </w:r>
    </w:p>
    <w:p w14:paraId="47887E7C" w14:textId="77777777" w:rsidR="00305318" w:rsidRPr="00EB2219" w:rsidRDefault="00305318" w:rsidP="00305318">
      <w:pPr>
        <w:spacing w:line="276" w:lineRule="auto"/>
        <w:jc w:val="both"/>
        <w:rPr>
          <w:rFonts w:ascii="Tahoma" w:eastAsia="Calibri" w:hAnsi="Tahoma" w:cs="Tahoma"/>
          <w:lang w:val="es-CO" w:eastAsia="en-US"/>
        </w:rPr>
      </w:pPr>
      <w:r w:rsidRPr="00EB2219">
        <w:rPr>
          <w:rFonts w:ascii="Tahoma" w:eastAsia="Calibri" w:hAnsi="Tahoma" w:cs="Tahoma"/>
          <w:lang w:val="es-CO" w:eastAsia="en-US"/>
        </w:rPr>
        <w:t xml:space="preserve"> </w:t>
      </w:r>
    </w:p>
    <w:p w14:paraId="5A69406C" w14:textId="77777777" w:rsidR="00305318" w:rsidRPr="00EB2219" w:rsidRDefault="00305318" w:rsidP="00305318">
      <w:pPr>
        <w:widowControl w:val="0"/>
        <w:autoSpaceDE w:val="0"/>
        <w:autoSpaceDN w:val="0"/>
        <w:adjustRightInd w:val="0"/>
        <w:spacing w:line="276" w:lineRule="auto"/>
        <w:jc w:val="both"/>
        <w:rPr>
          <w:rFonts w:ascii="Tahoma" w:hAnsi="Tahoma" w:cs="Tahoma"/>
        </w:rPr>
      </w:pPr>
      <w:r w:rsidRPr="00EB2219">
        <w:rPr>
          <w:rFonts w:ascii="Tahoma" w:hAnsi="Tahoma" w:cs="Tahoma"/>
        </w:rPr>
        <w:tab/>
        <w:t>La Magistrada ponente,</w:t>
      </w:r>
    </w:p>
    <w:p w14:paraId="39335D44" w14:textId="77777777" w:rsidR="00305318" w:rsidRPr="00EB2219" w:rsidRDefault="00305318" w:rsidP="00305318">
      <w:pPr>
        <w:spacing w:line="276" w:lineRule="auto"/>
        <w:rPr>
          <w:rFonts w:ascii="Tahoma" w:hAnsi="Tahoma" w:cs="Tahoma"/>
        </w:rPr>
      </w:pPr>
    </w:p>
    <w:p w14:paraId="028DDB44" w14:textId="2FD8974F" w:rsidR="00305318" w:rsidRDefault="00305318" w:rsidP="00305318">
      <w:pPr>
        <w:spacing w:line="276" w:lineRule="auto"/>
        <w:rPr>
          <w:rFonts w:ascii="Tahoma" w:hAnsi="Tahoma" w:cs="Tahoma"/>
        </w:rPr>
      </w:pPr>
    </w:p>
    <w:p w14:paraId="2331748A" w14:textId="77777777" w:rsidR="0058404A" w:rsidRPr="00EB2219" w:rsidRDefault="0058404A" w:rsidP="00305318">
      <w:pPr>
        <w:spacing w:line="276" w:lineRule="auto"/>
        <w:rPr>
          <w:rFonts w:ascii="Tahoma" w:hAnsi="Tahoma" w:cs="Tahoma"/>
        </w:rPr>
      </w:pPr>
    </w:p>
    <w:p w14:paraId="17215FDA" w14:textId="77777777" w:rsidR="00305318" w:rsidRPr="00EB2219" w:rsidRDefault="00305318" w:rsidP="00305318">
      <w:pPr>
        <w:keepNext/>
        <w:spacing w:line="276" w:lineRule="auto"/>
        <w:jc w:val="center"/>
        <w:outlineLvl w:val="2"/>
        <w:rPr>
          <w:rFonts w:ascii="Tahoma" w:hAnsi="Tahoma" w:cs="Tahoma"/>
          <w:b/>
          <w:bCs/>
        </w:rPr>
      </w:pPr>
      <w:r w:rsidRPr="00EB2219">
        <w:rPr>
          <w:rFonts w:ascii="Tahoma" w:hAnsi="Tahoma" w:cs="Tahoma"/>
          <w:b/>
          <w:bCs/>
        </w:rPr>
        <w:t>ANA LUCÍA CAICEDO CALDERÓN</w:t>
      </w:r>
    </w:p>
    <w:p w14:paraId="7666DEC0" w14:textId="77777777" w:rsidR="00305318" w:rsidRPr="00EB2219" w:rsidRDefault="00305318" w:rsidP="00305318">
      <w:pPr>
        <w:spacing w:line="276" w:lineRule="auto"/>
        <w:rPr>
          <w:rFonts w:ascii="Tahoma" w:hAnsi="Tahoma" w:cs="Tahoma"/>
        </w:rPr>
      </w:pPr>
    </w:p>
    <w:p w14:paraId="637C5133" w14:textId="77777777" w:rsidR="00305318" w:rsidRPr="00EB2219" w:rsidRDefault="00305318" w:rsidP="00305318">
      <w:pPr>
        <w:spacing w:line="276" w:lineRule="auto"/>
        <w:ind w:firstLine="708"/>
        <w:rPr>
          <w:rFonts w:ascii="Tahoma" w:hAnsi="Tahoma" w:cs="Tahoma"/>
        </w:rPr>
      </w:pPr>
      <w:bookmarkStart w:id="4" w:name="_Hlk62478330"/>
      <w:r w:rsidRPr="00EB2219">
        <w:rPr>
          <w:rFonts w:ascii="Tahoma" w:hAnsi="Tahoma" w:cs="Tahoma"/>
        </w:rPr>
        <w:t>La Magistrada y el Magistrado,</w:t>
      </w:r>
    </w:p>
    <w:p w14:paraId="5518883A" w14:textId="0F4FC53F" w:rsidR="00305318" w:rsidRDefault="00305318" w:rsidP="00305318">
      <w:pPr>
        <w:spacing w:line="276" w:lineRule="auto"/>
        <w:rPr>
          <w:rFonts w:ascii="Tahoma" w:hAnsi="Tahoma" w:cs="Tahoma"/>
        </w:rPr>
      </w:pPr>
    </w:p>
    <w:p w14:paraId="024EB045" w14:textId="77777777" w:rsidR="0058404A" w:rsidRPr="00EB2219" w:rsidRDefault="0058404A" w:rsidP="00305318">
      <w:pPr>
        <w:spacing w:line="276" w:lineRule="auto"/>
        <w:rPr>
          <w:rFonts w:ascii="Tahoma" w:hAnsi="Tahoma" w:cs="Tahoma"/>
        </w:rPr>
      </w:pPr>
    </w:p>
    <w:p w14:paraId="292EF2C3" w14:textId="77777777" w:rsidR="00305318" w:rsidRPr="00EB2219" w:rsidRDefault="00305318" w:rsidP="00305318">
      <w:pPr>
        <w:spacing w:line="276" w:lineRule="auto"/>
        <w:rPr>
          <w:rFonts w:ascii="Tahoma" w:hAnsi="Tahoma" w:cs="Tahoma"/>
        </w:rPr>
      </w:pPr>
    </w:p>
    <w:p w14:paraId="396717AD" w14:textId="05BDADDD" w:rsidR="00EF0723" w:rsidRPr="00305318" w:rsidRDefault="00305318" w:rsidP="00305318">
      <w:pPr>
        <w:spacing w:line="276" w:lineRule="auto"/>
        <w:jc w:val="both"/>
        <w:rPr>
          <w:rFonts w:ascii="Tahoma" w:eastAsia="Calibri" w:hAnsi="Tahoma" w:cs="Tahoma"/>
          <w:lang w:eastAsia="en-US"/>
        </w:rPr>
      </w:pPr>
      <w:r w:rsidRPr="00EB2219">
        <w:rPr>
          <w:rFonts w:ascii="Tahoma" w:hAnsi="Tahoma" w:cs="Tahoma"/>
          <w:b/>
          <w:bCs/>
        </w:rPr>
        <w:t>OLGA LUCÍA HOYOS SEPÚLVEDA</w:t>
      </w:r>
      <w:r w:rsidRPr="00EB2219">
        <w:rPr>
          <w:rFonts w:ascii="Tahoma" w:hAnsi="Tahoma" w:cs="Tahoma"/>
          <w:b/>
          <w:bCs/>
        </w:rPr>
        <w:tab/>
      </w:r>
      <w:r w:rsidRPr="00EB2219">
        <w:rPr>
          <w:rFonts w:ascii="Tahoma" w:hAnsi="Tahoma" w:cs="Tahoma"/>
          <w:b/>
          <w:bCs/>
        </w:rPr>
        <w:tab/>
        <w:t>GERMÁN DARÍO GÓEZ VINASCO</w:t>
      </w:r>
      <w:bookmarkEnd w:id="3"/>
      <w:bookmarkEnd w:id="4"/>
    </w:p>
    <w:sectPr w:rsidR="00EF0723" w:rsidRPr="00305318" w:rsidSect="00D5232C">
      <w:headerReference w:type="even" r:id="rId12"/>
      <w:headerReference w:type="default" r:id="rId13"/>
      <w:footerReference w:type="default" r:id="rId14"/>
      <w:pgSz w:w="12242" w:h="18722" w:code="258"/>
      <w:pgMar w:top="1814" w:right="1247" w:bottom="1247" w:left="1814"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236D7B" w16cex:dateUtc="2022-03-01T15:45:54.799Z"/>
  <w16cex:commentExtensible w16cex:durableId="58B1FF9F" w16cex:dateUtc="2022-03-03T13:58:37.404Z"/>
  <w16cex:commentExtensible w16cex:durableId="229230AF" w16cex:dateUtc="2022-03-03T14:07:55.236Z"/>
  <w16cex:commentExtensible w16cex:durableId="68FD60BF" w16cex:dateUtc="2022-03-03T18:01:34.07Z"/>
  <w16cex:commentExtensible w16cex:durableId="4E90501F" w16cex:dateUtc="2023-03-02T16:15:16.345Z"/>
  <w16cex:commentExtensible w16cex:durableId="3ABCB78F" w16cex:dateUtc="2023-03-06T22:15:57.116Z"/>
  <w16cex:commentExtensible w16cex:durableId="556B0676" w16cex:dateUtc="2023-03-09T20:03:58.798Z"/>
  <w16cex:commentExtensible w16cex:durableId="20CC0F58" w16cex:dateUtc="2023-03-10T14:34:54.382Z"/>
  <w16cex:commentExtensible w16cex:durableId="7B1E4DCB" w16cex:dateUtc="2023-06-27T16:49:15.532Z"/>
  <w16cex:commentExtensible w16cex:durableId="34F4B809" w16cex:dateUtc="2023-06-29T13:35:22.162Z"/>
  <w16cex:commentExtensible w16cex:durableId="40520E61" w16cex:dateUtc="2023-07-27T18:50:23.248Z"/>
  <w16cex:commentExtensible w16cex:durableId="69198CE4" w16cex:dateUtc="2023-07-27T20:40:22.943Z"/>
</w16cex:commentsExtensible>
</file>

<file path=word/commentsIds.xml><?xml version="1.0" encoding="utf-8"?>
<w16cid:commentsIds xmlns:mc="http://schemas.openxmlformats.org/markup-compatibility/2006" xmlns:w16cid="http://schemas.microsoft.com/office/word/2016/wordml/cid" mc:Ignorable="w16cid">
  <w16cid:commentId w16cid:paraId="633461E3" w16cid:durableId="40520E61"/>
  <w16cid:commentId w16cid:paraId="433F4B52" w16cid:durableId="69198C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29C56" w14:textId="77777777" w:rsidR="00813EA5" w:rsidRDefault="00813EA5">
      <w:r>
        <w:separator/>
      </w:r>
    </w:p>
  </w:endnote>
  <w:endnote w:type="continuationSeparator" w:id="0">
    <w:p w14:paraId="24580560" w14:textId="77777777" w:rsidR="00813EA5" w:rsidRDefault="00813EA5">
      <w:r>
        <w:continuationSeparator/>
      </w:r>
    </w:p>
  </w:endnote>
  <w:endnote w:type="continuationNotice" w:id="1">
    <w:p w14:paraId="3AA026BF" w14:textId="77777777" w:rsidR="00813EA5" w:rsidRDefault="00813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59641"/>
      <w:docPartObj>
        <w:docPartGallery w:val="Page Numbers (Bottom of Page)"/>
        <w:docPartUnique/>
      </w:docPartObj>
    </w:sdtPr>
    <w:sdtEndPr>
      <w:rPr>
        <w:rFonts w:ascii="Arial" w:hAnsi="Arial" w:cs="Arial"/>
        <w:sz w:val="18"/>
        <w:szCs w:val="18"/>
        <w:lang w:val="es-419"/>
      </w:rPr>
    </w:sdtEndPr>
    <w:sdtContent>
      <w:p w14:paraId="3644C7F9" w14:textId="7949E0B2" w:rsidR="009D4456" w:rsidRPr="00A35E8D" w:rsidRDefault="009D4456">
        <w:pPr>
          <w:pStyle w:val="Piedepgina"/>
          <w:jc w:val="right"/>
          <w:rPr>
            <w:rFonts w:ascii="Arial" w:hAnsi="Arial" w:cs="Arial"/>
            <w:sz w:val="18"/>
            <w:szCs w:val="18"/>
            <w:lang w:val="es-419"/>
          </w:rPr>
        </w:pPr>
        <w:r w:rsidRPr="00A35E8D">
          <w:rPr>
            <w:rFonts w:ascii="Arial" w:hAnsi="Arial" w:cs="Arial"/>
            <w:sz w:val="18"/>
            <w:szCs w:val="18"/>
            <w:lang w:val="es-419"/>
          </w:rPr>
          <w:fldChar w:fldCharType="begin"/>
        </w:r>
        <w:r w:rsidRPr="00A35E8D">
          <w:rPr>
            <w:rFonts w:ascii="Arial" w:hAnsi="Arial" w:cs="Arial"/>
            <w:sz w:val="18"/>
            <w:szCs w:val="18"/>
            <w:lang w:val="es-419"/>
          </w:rPr>
          <w:instrText>PAGE   \* MERGEFORMAT</w:instrText>
        </w:r>
        <w:r w:rsidRPr="00A35E8D">
          <w:rPr>
            <w:rFonts w:ascii="Arial" w:hAnsi="Arial" w:cs="Arial"/>
            <w:sz w:val="18"/>
            <w:szCs w:val="18"/>
            <w:lang w:val="es-419"/>
          </w:rPr>
          <w:fldChar w:fldCharType="separate"/>
        </w:r>
        <w:r w:rsidR="003F5731">
          <w:rPr>
            <w:rFonts w:ascii="Arial" w:hAnsi="Arial" w:cs="Arial"/>
            <w:noProof/>
            <w:sz w:val="18"/>
            <w:szCs w:val="18"/>
            <w:lang w:val="es-419"/>
          </w:rPr>
          <w:t>7</w:t>
        </w:r>
        <w:r w:rsidRPr="00A35E8D">
          <w:rPr>
            <w:rFonts w:ascii="Arial" w:hAnsi="Arial" w:cs="Arial"/>
            <w:sz w:val="18"/>
            <w:szCs w:val="18"/>
            <w:lang w:val="es-419"/>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5784" w14:textId="77777777" w:rsidR="00813EA5" w:rsidRDefault="00813EA5">
      <w:r>
        <w:separator/>
      </w:r>
    </w:p>
  </w:footnote>
  <w:footnote w:type="continuationSeparator" w:id="0">
    <w:p w14:paraId="5615F8F0" w14:textId="77777777" w:rsidR="00813EA5" w:rsidRDefault="00813EA5">
      <w:r>
        <w:continuationSeparator/>
      </w:r>
    </w:p>
  </w:footnote>
  <w:footnote w:type="continuationNotice" w:id="1">
    <w:p w14:paraId="1491876A" w14:textId="77777777" w:rsidR="00813EA5" w:rsidRDefault="00813EA5"/>
  </w:footnote>
  <w:footnote w:id="2">
    <w:p w14:paraId="3620ADF6" w14:textId="77777777" w:rsidR="009D4456" w:rsidRPr="00A35E8D" w:rsidRDefault="009D4456" w:rsidP="00A35E8D">
      <w:pPr>
        <w:pStyle w:val="Textonotapie"/>
        <w:jc w:val="both"/>
        <w:rPr>
          <w:rFonts w:ascii="Arial" w:hAnsi="Arial" w:cs="Arial"/>
          <w:sz w:val="18"/>
          <w:szCs w:val="18"/>
        </w:rPr>
      </w:pPr>
      <w:r w:rsidRPr="00A35E8D">
        <w:rPr>
          <w:rStyle w:val="Refdenotaalpie"/>
          <w:rFonts w:ascii="Arial" w:hAnsi="Arial" w:cs="Arial"/>
          <w:sz w:val="18"/>
          <w:szCs w:val="18"/>
        </w:rPr>
        <w:footnoteRef/>
      </w:r>
      <w:r w:rsidRPr="00A35E8D">
        <w:rPr>
          <w:rFonts w:ascii="Arial" w:hAnsi="Arial" w:cs="Arial"/>
          <w:sz w:val="18"/>
          <w:szCs w:val="18"/>
        </w:rPr>
        <w:t xml:space="preserve"> Camacho Azula, Manual de Derecho Procesal, Tomo II Parte General. Novena Edición. Pág. 418. </w:t>
      </w:r>
    </w:p>
  </w:footnote>
  <w:footnote w:id="3">
    <w:p w14:paraId="1EBE92AE" w14:textId="77777777" w:rsidR="009D4456" w:rsidRPr="00A35E8D" w:rsidRDefault="009D4456" w:rsidP="00A35E8D">
      <w:pPr>
        <w:pStyle w:val="Textonotapie"/>
        <w:jc w:val="both"/>
        <w:rPr>
          <w:rFonts w:ascii="Arial" w:hAnsi="Arial" w:cs="Arial"/>
          <w:sz w:val="18"/>
          <w:szCs w:val="18"/>
        </w:rPr>
      </w:pPr>
      <w:r w:rsidRPr="00A35E8D">
        <w:rPr>
          <w:rStyle w:val="Refdenotaalpie"/>
          <w:rFonts w:ascii="Arial" w:hAnsi="Arial" w:cs="Arial"/>
          <w:sz w:val="18"/>
          <w:szCs w:val="18"/>
        </w:rPr>
        <w:footnoteRef/>
      </w:r>
      <w:r w:rsidRPr="00A35E8D">
        <w:rPr>
          <w:rFonts w:ascii="Arial" w:hAnsi="Arial" w:cs="Arial"/>
          <w:sz w:val="18"/>
          <w:szCs w:val="18"/>
        </w:rPr>
        <w:t xml:space="preserve"> López Blanco Hernán, Código General del Proceso, Parte General. 2016. Págs. 1057 y 1058.</w:t>
      </w:r>
    </w:p>
  </w:footnote>
  <w:footnote w:id="4">
    <w:p w14:paraId="291485BB" w14:textId="5E219240" w:rsidR="006325C0" w:rsidRDefault="006325C0" w:rsidP="00A35E8D">
      <w:pPr>
        <w:pStyle w:val="Textonotapie"/>
        <w:jc w:val="both"/>
      </w:pPr>
      <w:r w:rsidRPr="00A35E8D">
        <w:rPr>
          <w:rStyle w:val="Refdenotaalpie"/>
          <w:rFonts w:ascii="Arial" w:hAnsi="Arial" w:cs="Arial"/>
          <w:sz w:val="18"/>
          <w:szCs w:val="18"/>
        </w:rPr>
        <w:footnoteRef/>
      </w:r>
      <w:r w:rsidRPr="00A35E8D">
        <w:rPr>
          <w:rFonts w:ascii="Arial" w:hAnsi="Arial" w:cs="Arial"/>
          <w:sz w:val="18"/>
          <w:szCs w:val="18"/>
        </w:rPr>
        <w:t xml:space="preserve"> Atendiendo lo dispuesto en el parágrafo 3º del artículo 3º del Acuerdo PSAA16-10554 de 2016, esto es, que a mayor de la pretensión valor menor porcentaje a reconocer, sin que se excede el límite superior determinado para un proceso declarativo de menor cuantía.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EBC1" w14:textId="77777777" w:rsidR="009D4456" w:rsidRDefault="009D445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E4F2E6" w14:textId="77777777" w:rsidR="009D4456" w:rsidRDefault="009D44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2708" w14:textId="16BAF988" w:rsidR="009D4456" w:rsidRPr="00305318" w:rsidRDefault="009D4456" w:rsidP="00305318">
    <w:pPr>
      <w:rPr>
        <w:rFonts w:ascii="Arial" w:hAnsi="Arial" w:cs="Arial"/>
        <w:sz w:val="18"/>
        <w:szCs w:val="18"/>
        <w:lang w:val="es-419"/>
      </w:rPr>
    </w:pPr>
    <w:r w:rsidRPr="00305318">
      <w:rPr>
        <w:rFonts w:ascii="Arial" w:hAnsi="Arial" w:cs="Arial"/>
        <w:sz w:val="18"/>
        <w:szCs w:val="18"/>
        <w:lang w:val="es-419"/>
      </w:rPr>
      <w:t>Radicación No.:</w:t>
    </w:r>
    <w:r w:rsidRPr="00305318">
      <w:rPr>
        <w:rFonts w:ascii="Arial" w:hAnsi="Arial" w:cs="Arial"/>
        <w:sz w:val="18"/>
        <w:szCs w:val="18"/>
        <w:lang w:val="es-419"/>
      </w:rPr>
      <w:tab/>
      <w:t>66</w:t>
    </w:r>
    <w:r w:rsidR="007830CF" w:rsidRPr="00305318">
      <w:rPr>
        <w:rFonts w:ascii="Arial" w:hAnsi="Arial" w:cs="Arial"/>
        <w:sz w:val="18"/>
        <w:szCs w:val="18"/>
        <w:lang w:val="es-419"/>
      </w:rPr>
      <w:t>001</w:t>
    </w:r>
    <w:r w:rsidRPr="00305318">
      <w:rPr>
        <w:rFonts w:ascii="Arial" w:hAnsi="Arial" w:cs="Arial"/>
        <w:sz w:val="18"/>
        <w:szCs w:val="18"/>
        <w:lang w:val="es-419"/>
      </w:rPr>
      <w:t>-31-05-00</w:t>
    </w:r>
    <w:r w:rsidR="007830CF" w:rsidRPr="00305318">
      <w:rPr>
        <w:rFonts w:ascii="Arial" w:hAnsi="Arial" w:cs="Arial"/>
        <w:sz w:val="18"/>
        <w:szCs w:val="18"/>
        <w:lang w:val="es-419"/>
      </w:rPr>
      <w:t>2</w:t>
    </w:r>
    <w:r w:rsidRPr="00305318">
      <w:rPr>
        <w:rFonts w:ascii="Arial" w:hAnsi="Arial" w:cs="Arial"/>
        <w:sz w:val="18"/>
        <w:szCs w:val="18"/>
        <w:lang w:val="es-419"/>
      </w:rPr>
      <w:t>-201</w:t>
    </w:r>
    <w:r w:rsidR="007830CF" w:rsidRPr="00305318">
      <w:rPr>
        <w:rFonts w:ascii="Arial" w:hAnsi="Arial" w:cs="Arial"/>
        <w:sz w:val="18"/>
        <w:szCs w:val="18"/>
        <w:lang w:val="es-419"/>
      </w:rPr>
      <w:t>9</w:t>
    </w:r>
    <w:r w:rsidRPr="00305318">
      <w:rPr>
        <w:rFonts w:ascii="Arial" w:hAnsi="Arial" w:cs="Arial"/>
        <w:sz w:val="18"/>
        <w:szCs w:val="18"/>
        <w:lang w:val="es-419"/>
      </w:rPr>
      <w:t>-00</w:t>
    </w:r>
    <w:r w:rsidR="007830CF" w:rsidRPr="00305318">
      <w:rPr>
        <w:rFonts w:ascii="Arial" w:hAnsi="Arial" w:cs="Arial"/>
        <w:sz w:val="18"/>
        <w:szCs w:val="18"/>
        <w:lang w:val="es-419"/>
      </w:rPr>
      <w:t>157</w:t>
    </w:r>
    <w:r w:rsidRPr="00305318">
      <w:rPr>
        <w:rFonts w:ascii="Arial" w:hAnsi="Arial" w:cs="Arial"/>
        <w:sz w:val="18"/>
        <w:szCs w:val="18"/>
        <w:lang w:val="es-419"/>
      </w:rPr>
      <w:t>-0</w:t>
    </w:r>
    <w:r w:rsidR="007830CF" w:rsidRPr="00305318">
      <w:rPr>
        <w:rFonts w:ascii="Arial" w:hAnsi="Arial" w:cs="Arial"/>
        <w:sz w:val="18"/>
        <w:szCs w:val="18"/>
        <w:lang w:val="es-419"/>
      </w:rPr>
      <w:t>2</w:t>
    </w:r>
  </w:p>
  <w:p w14:paraId="36636BF9" w14:textId="3BBF044C" w:rsidR="009D4456" w:rsidRPr="00305318" w:rsidRDefault="009D4456" w:rsidP="00305318">
    <w:pPr>
      <w:rPr>
        <w:rFonts w:ascii="Arial" w:hAnsi="Arial" w:cs="Arial"/>
        <w:sz w:val="18"/>
        <w:szCs w:val="18"/>
        <w:lang w:val="es-419"/>
      </w:rPr>
    </w:pPr>
    <w:r w:rsidRPr="00305318">
      <w:rPr>
        <w:rFonts w:ascii="Arial" w:hAnsi="Arial" w:cs="Arial"/>
        <w:sz w:val="18"/>
        <w:szCs w:val="18"/>
        <w:lang w:val="es-419"/>
      </w:rPr>
      <w:t>Demandante:</w:t>
    </w:r>
    <w:r w:rsidR="00A35E8D">
      <w:rPr>
        <w:rFonts w:ascii="Arial" w:hAnsi="Arial" w:cs="Arial"/>
        <w:sz w:val="18"/>
        <w:szCs w:val="18"/>
        <w:lang w:val="es-419"/>
      </w:rPr>
      <w:tab/>
    </w:r>
    <w:r w:rsidR="007830CF" w:rsidRPr="00305318">
      <w:rPr>
        <w:rFonts w:ascii="Arial" w:hAnsi="Arial" w:cs="Arial"/>
        <w:sz w:val="18"/>
        <w:szCs w:val="18"/>
        <w:lang w:val="es-419"/>
      </w:rPr>
      <w:t>Carmen Emilia Román Acevedo</w:t>
    </w:r>
  </w:p>
  <w:p w14:paraId="29C49874" w14:textId="4FE58DAA" w:rsidR="009D4456" w:rsidRPr="00305318" w:rsidRDefault="009D4456" w:rsidP="00305318">
    <w:pPr>
      <w:rPr>
        <w:rFonts w:ascii="Arial" w:hAnsi="Arial" w:cs="Arial"/>
        <w:sz w:val="18"/>
        <w:szCs w:val="18"/>
        <w:lang w:val="es-419"/>
      </w:rPr>
    </w:pPr>
    <w:r w:rsidRPr="00305318">
      <w:rPr>
        <w:rFonts w:ascii="Arial" w:hAnsi="Arial" w:cs="Arial"/>
        <w:sz w:val="18"/>
        <w:szCs w:val="18"/>
        <w:lang w:val="es-419"/>
      </w:rPr>
      <w:t>Demandado:</w:t>
    </w:r>
    <w:r w:rsidR="00A35E8D">
      <w:rPr>
        <w:rFonts w:ascii="Arial" w:hAnsi="Arial" w:cs="Arial"/>
        <w:sz w:val="18"/>
        <w:szCs w:val="18"/>
        <w:lang w:val="es-419"/>
      </w:rPr>
      <w:tab/>
    </w:r>
    <w:r w:rsidR="007830CF" w:rsidRPr="00305318">
      <w:rPr>
        <w:rFonts w:ascii="Arial" w:hAnsi="Arial" w:cs="Arial"/>
        <w:sz w:val="18"/>
        <w:szCs w:val="18"/>
        <w:lang w:val="es-419"/>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0AF"/>
    <w:multiLevelType w:val="multilevel"/>
    <w:tmpl w:val="B1326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190FCC"/>
    <w:multiLevelType w:val="hybridMultilevel"/>
    <w:tmpl w:val="1002A0CE"/>
    <w:lvl w:ilvl="0" w:tplc="FFFFFFFF">
      <w:start w:val="1"/>
      <w:numFmt w:val="decimal"/>
      <w:lvlText w:val=""/>
      <w:lvlJc w:val="left"/>
    </w:lvl>
    <w:lvl w:ilvl="1" w:tplc="0C0A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7B2BC5"/>
    <w:multiLevelType w:val="hybridMultilevel"/>
    <w:tmpl w:val="DDFEFA8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E01F38"/>
    <w:multiLevelType w:val="hybridMultilevel"/>
    <w:tmpl w:val="A6ACB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1F12B3"/>
    <w:multiLevelType w:val="hybridMultilevel"/>
    <w:tmpl w:val="16703B9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2EE12357"/>
    <w:multiLevelType w:val="hybridMultilevel"/>
    <w:tmpl w:val="28665458"/>
    <w:lvl w:ilvl="0" w:tplc="42AC1844">
      <w:start w:val="1"/>
      <w:numFmt w:val="lowerLetter"/>
      <w:lvlText w:val="%1)"/>
      <w:lvlJc w:val="left"/>
      <w:pPr>
        <w:ind w:left="1011" w:hanging="450"/>
      </w:pPr>
      <w:rPr>
        <w:rFonts w:hint="default"/>
      </w:rPr>
    </w:lvl>
    <w:lvl w:ilvl="1" w:tplc="240A0019" w:tentative="1">
      <w:start w:val="1"/>
      <w:numFmt w:val="lowerLetter"/>
      <w:lvlText w:val="%2."/>
      <w:lvlJc w:val="left"/>
      <w:pPr>
        <w:ind w:left="1641" w:hanging="360"/>
      </w:pPr>
    </w:lvl>
    <w:lvl w:ilvl="2" w:tplc="240A001B" w:tentative="1">
      <w:start w:val="1"/>
      <w:numFmt w:val="lowerRoman"/>
      <w:lvlText w:val="%3."/>
      <w:lvlJc w:val="right"/>
      <w:pPr>
        <w:ind w:left="2361" w:hanging="180"/>
      </w:pPr>
    </w:lvl>
    <w:lvl w:ilvl="3" w:tplc="240A000F" w:tentative="1">
      <w:start w:val="1"/>
      <w:numFmt w:val="decimal"/>
      <w:lvlText w:val="%4."/>
      <w:lvlJc w:val="left"/>
      <w:pPr>
        <w:ind w:left="3081" w:hanging="360"/>
      </w:pPr>
    </w:lvl>
    <w:lvl w:ilvl="4" w:tplc="240A0019" w:tentative="1">
      <w:start w:val="1"/>
      <w:numFmt w:val="lowerLetter"/>
      <w:lvlText w:val="%5."/>
      <w:lvlJc w:val="left"/>
      <w:pPr>
        <w:ind w:left="3801" w:hanging="360"/>
      </w:pPr>
    </w:lvl>
    <w:lvl w:ilvl="5" w:tplc="240A001B" w:tentative="1">
      <w:start w:val="1"/>
      <w:numFmt w:val="lowerRoman"/>
      <w:lvlText w:val="%6."/>
      <w:lvlJc w:val="right"/>
      <w:pPr>
        <w:ind w:left="4521" w:hanging="180"/>
      </w:pPr>
    </w:lvl>
    <w:lvl w:ilvl="6" w:tplc="240A000F" w:tentative="1">
      <w:start w:val="1"/>
      <w:numFmt w:val="decimal"/>
      <w:lvlText w:val="%7."/>
      <w:lvlJc w:val="left"/>
      <w:pPr>
        <w:ind w:left="5241" w:hanging="360"/>
      </w:pPr>
    </w:lvl>
    <w:lvl w:ilvl="7" w:tplc="240A0019" w:tentative="1">
      <w:start w:val="1"/>
      <w:numFmt w:val="lowerLetter"/>
      <w:lvlText w:val="%8."/>
      <w:lvlJc w:val="left"/>
      <w:pPr>
        <w:ind w:left="5961" w:hanging="360"/>
      </w:pPr>
    </w:lvl>
    <w:lvl w:ilvl="8" w:tplc="240A001B" w:tentative="1">
      <w:start w:val="1"/>
      <w:numFmt w:val="lowerRoman"/>
      <w:lvlText w:val="%9."/>
      <w:lvlJc w:val="right"/>
      <w:pPr>
        <w:ind w:left="6681" w:hanging="180"/>
      </w:pPr>
    </w:lvl>
  </w:abstractNum>
  <w:abstractNum w:abstractNumId="6" w15:restartNumberingAfterBreak="0">
    <w:nsid w:val="36314060"/>
    <w:multiLevelType w:val="hybridMultilevel"/>
    <w:tmpl w:val="665085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8E2632"/>
    <w:multiLevelType w:val="hybridMultilevel"/>
    <w:tmpl w:val="F1284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130F61"/>
    <w:multiLevelType w:val="hybridMultilevel"/>
    <w:tmpl w:val="4B22C8C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3540566"/>
    <w:multiLevelType w:val="hybridMultilevel"/>
    <w:tmpl w:val="C9D80D50"/>
    <w:lvl w:ilvl="0" w:tplc="B0A64C5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535F2A1F"/>
    <w:multiLevelType w:val="multilevel"/>
    <w:tmpl w:val="698C7DC2"/>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5FAD326F"/>
    <w:multiLevelType w:val="hybridMultilevel"/>
    <w:tmpl w:val="10DE71E2"/>
    <w:lvl w:ilvl="0" w:tplc="04B84FAE">
      <w:start w:val="1"/>
      <w:numFmt w:val="decimal"/>
      <w:lvlText w:val="%1."/>
      <w:lvlJc w:val="left"/>
      <w:pPr>
        <w:tabs>
          <w:tab w:val="num" w:pos="1482"/>
        </w:tabs>
        <w:ind w:left="1482" w:hanging="360"/>
      </w:pPr>
      <w:rPr>
        <w:rFonts w:hint="default"/>
      </w:rPr>
    </w:lvl>
    <w:lvl w:ilvl="1" w:tplc="0C0A0001">
      <w:start w:val="1"/>
      <w:numFmt w:val="bullet"/>
      <w:lvlText w:val=""/>
      <w:lvlJc w:val="left"/>
      <w:pPr>
        <w:tabs>
          <w:tab w:val="num" w:pos="2202"/>
        </w:tabs>
        <w:ind w:left="2202" w:hanging="360"/>
      </w:pPr>
      <w:rPr>
        <w:rFonts w:ascii="Symbol" w:hAnsi="Symbol" w:hint="default"/>
      </w:rPr>
    </w:lvl>
    <w:lvl w:ilvl="2" w:tplc="0C0A001B">
      <w:start w:val="1"/>
      <w:numFmt w:val="lowerRoman"/>
      <w:lvlText w:val="%3."/>
      <w:lvlJc w:val="right"/>
      <w:pPr>
        <w:tabs>
          <w:tab w:val="num" w:pos="2922"/>
        </w:tabs>
        <w:ind w:left="2922" w:hanging="180"/>
      </w:pPr>
    </w:lvl>
    <w:lvl w:ilvl="3" w:tplc="0C0A000F" w:tentative="1">
      <w:start w:val="1"/>
      <w:numFmt w:val="decimal"/>
      <w:lvlText w:val="%4."/>
      <w:lvlJc w:val="left"/>
      <w:pPr>
        <w:tabs>
          <w:tab w:val="num" w:pos="3642"/>
        </w:tabs>
        <w:ind w:left="3642" w:hanging="360"/>
      </w:pPr>
    </w:lvl>
    <w:lvl w:ilvl="4" w:tplc="0C0A0019" w:tentative="1">
      <w:start w:val="1"/>
      <w:numFmt w:val="lowerLetter"/>
      <w:lvlText w:val="%5."/>
      <w:lvlJc w:val="left"/>
      <w:pPr>
        <w:tabs>
          <w:tab w:val="num" w:pos="4362"/>
        </w:tabs>
        <w:ind w:left="4362" w:hanging="360"/>
      </w:pPr>
    </w:lvl>
    <w:lvl w:ilvl="5" w:tplc="0C0A001B" w:tentative="1">
      <w:start w:val="1"/>
      <w:numFmt w:val="lowerRoman"/>
      <w:lvlText w:val="%6."/>
      <w:lvlJc w:val="right"/>
      <w:pPr>
        <w:tabs>
          <w:tab w:val="num" w:pos="5082"/>
        </w:tabs>
        <w:ind w:left="5082" w:hanging="180"/>
      </w:pPr>
    </w:lvl>
    <w:lvl w:ilvl="6" w:tplc="0C0A000F" w:tentative="1">
      <w:start w:val="1"/>
      <w:numFmt w:val="decimal"/>
      <w:lvlText w:val="%7."/>
      <w:lvlJc w:val="left"/>
      <w:pPr>
        <w:tabs>
          <w:tab w:val="num" w:pos="5802"/>
        </w:tabs>
        <w:ind w:left="5802" w:hanging="360"/>
      </w:pPr>
    </w:lvl>
    <w:lvl w:ilvl="7" w:tplc="0C0A0019" w:tentative="1">
      <w:start w:val="1"/>
      <w:numFmt w:val="lowerLetter"/>
      <w:lvlText w:val="%8."/>
      <w:lvlJc w:val="left"/>
      <w:pPr>
        <w:tabs>
          <w:tab w:val="num" w:pos="6522"/>
        </w:tabs>
        <w:ind w:left="6522" w:hanging="360"/>
      </w:pPr>
    </w:lvl>
    <w:lvl w:ilvl="8" w:tplc="0C0A001B" w:tentative="1">
      <w:start w:val="1"/>
      <w:numFmt w:val="lowerRoman"/>
      <w:lvlText w:val="%9."/>
      <w:lvlJc w:val="right"/>
      <w:pPr>
        <w:tabs>
          <w:tab w:val="num" w:pos="7242"/>
        </w:tabs>
        <w:ind w:left="7242" w:hanging="180"/>
      </w:pPr>
    </w:lvl>
  </w:abstractNum>
  <w:abstractNum w:abstractNumId="12" w15:restartNumberingAfterBreak="0">
    <w:nsid w:val="61E96F88"/>
    <w:multiLevelType w:val="hybridMultilevel"/>
    <w:tmpl w:val="4732BC2E"/>
    <w:lvl w:ilvl="0" w:tplc="7A381A1A">
      <w:start w:val="1"/>
      <w:numFmt w:val="upperRoman"/>
      <w:lvlText w:val="%1."/>
      <w:lvlJc w:val="left"/>
      <w:pPr>
        <w:tabs>
          <w:tab w:val="num" w:pos="1080"/>
        </w:tabs>
        <w:ind w:left="1080" w:hanging="720"/>
      </w:pPr>
      <w:rPr>
        <w:rFonts w:hint="default"/>
      </w:rPr>
    </w:lvl>
    <w:lvl w:ilvl="1" w:tplc="E8AA697E">
      <w:start w:val="1"/>
      <w:numFmt w:val="lowerRoman"/>
      <w:lvlText w:val="%2)"/>
      <w:lvlJc w:val="left"/>
      <w:pPr>
        <w:tabs>
          <w:tab w:val="num" w:pos="1890"/>
        </w:tabs>
        <w:ind w:left="1890" w:hanging="81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F136E0"/>
    <w:multiLevelType w:val="hybridMultilevel"/>
    <w:tmpl w:val="F5405162"/>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4" w15:restartNumberingAfterBreak="0">
    <w:nsid w:val="72B2621E"/>
    <w:multiLevelType w:val="hybridMultilevel"/>
    <w:tmpl w:val="CD40CE88"/>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5" w15:restartNumberingAfterBreak="0">
    <w:nsid w:val="7C675557"/>
    <w:multiLevelType w:val="hybridMultilevel"/>
    <w:tmpl w:val="908E2112"/>
    <w:lvl w:ilvl="0" w:tplc="14FA1F9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
  </w:num>
  <w:num w:numId="2">
    <w:abstractNumId w:val="15"/>
  </w:num>
  <w:num w:numId="3">
    <w:abstractNumId w:val="8"/>
  </w:num>
  <w:num w:numId="4">
    <w:abstractNumId w:val="12"/>
  </w:num>
  <w:num w:numId="5">
    <w:abstractNumId w:val="11"/>
  </w:num>
  <w:num w:numId="6">
    <w:abstractNumId w:val="1"/>
  </w:num>
  <w:num w:numId="7">
    <w:abstractNumId w:val="0"/>
  </w:num>
  <w:num w:numId="8">
    <w:abstractNumId w:val="9"/>
  </w:num>
  <w:num w:numId="9">
    <w:abstractNumId w:val="5"/>
  </w:num>
  <w:num w:numId="10">
    <w:abstractNumId w:val="10"/>
  </w:num>
  <w:num w:numId="11">
    <w:abstractNumId w:val="6"/>
  </w:num>
  <w:num w:numId="12">
    <w:abstractNumId w:val="3"/>
  </w:num>
  <w:num w:numId="13">
    <w:abstractNumId w:val="13"/>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9A"/>
    <w:rsid w:val="00010BCA"/>
    <w:rsid w:val="000122C3"/>
    <w:rsid w:val="000221B2"/>
    <w:rsid w:val="000311B6"/>
    <w:rsid w:val="00033A2D"/>
    <w:rsid w:val="00037BE9"/>
    <w:rsid w:val="000423FA"/>
    <w:rsid w:val="00045363"/>
    <w:rsid w:val="00047455"/>
    <w:rsid w:val="00055D41"/>
    <w:rsid w:val="000707E1"/>
    <w:rsid w:val="000725EA"/>
    <w:rsid w:val="0007279E"/>
    <w:rsid w:val="00080C0B"/>
    <w:rsid w:val="0008744D"/>
    <w:rsid w:val="000B1D00"/>
    <w:rsid w:val="000B661F"/>
    <w:rsid w:val="000D04DA"/>
    <w:rsid w:val="000D337F"/>
    <w:rsid w:val="000D353A"/>
    <w:rsid w:val="000D47A7"/>
    <w:rsid w:val="000E20B6"/>
    <w:rsid w:val="000E338B"/>
    <w:rsid w:val="000E7932"/>
    <w:rsid w:val="000F0B02"/>
    <w:rsid w:val="000F51B5"/>
    <w:rsid w:val="00105A4E"/>
    <w:rsid w:val="00110EB7"/>
    <w:rsid w:val="0011793D"/>
    <w:rsid w:val="001227F5"/>
    <w:rsid w:val="0012453B"/>
    <w:rsid w:val="001252D7"/>
    <w:rsid w:val="001364CA"/>
    <w:rsid w:val="00136F80"/>
    <w:rsid w:val="00146221"/>
    <w:rsid w:val="0014679F"/>
    <w:rsid w:val="0015341F"/>
    <w:rsid w:val="001536FD"/>
    <w:rsid w:val="001638DF"/>
    <w:rsid w:val="00163A47"/>
    <w:rsid w:val="00164D91"/>
    <w:rsid w:val="00170D62"/>
    <w:rsid w:val="00180497"/>
    <w:rsid w:val="001842B9"/>
    <w:rsid w:val="001878A5"/>
    <w:rsid w:val="00191B0B"/>
    <w:rsid w:val="0019529E"/>
    <w:rsid w:val="001A25C0"/>
    <w:rsid w:val="001A5A7D"/>
    <w:rsid w:val="001B25B0"/>
    <w:rsid w:val="001B2EA4"/>
    <w:rsid w:val="001B480A"/>
    <w:rsid w:val="001B6B09"/>
    <w:rsid w:val="001C6DFE"/>
    <w:rsid w:val="001D0A6C"/>
    <w:rsid w:val="001D0AC7"/>
    <w:rsid w:val="001D38BA"/>
    <w:rsid w:val="001D613D"/>
    <w:rsid w:val="001E1792"/>
    <w:rsid w:val="001E3943"/>
    <w:rsid w:val="001E7B88"/>
    <w:rsid w:val="001F16F2"/>
    <w:rsid w:val="00212B54"/>
    <w:rsid w:val="0021324C"/>
    <w:rsid w:val="00213E82"/>
    <w:rsid w:val="002142AD"/>
    <w:rsid w:val="00217842"/>
    <w:rsid w:val="0022618E"/>
    <w:rsid w:val="00231793"/>
    <w:rsid w:val="002331B0"/>
    <w:rsid w:val="00236EEA"/>
    <w:rsid w:val="00240E57"/>
    <w:rsid w:val="0025707D"/>
    <w:rsid w:val="00267896"/>
    <w:rsid w:val="00271CD5"/>
    <w:rsid w:val="002733EC"/>
    <w:rsid w:val="00276973"/>
    <w:rsid w:val="00281BCB"/>
    <w:rsid w:val="0029583D"/>
    <w:rsid w:val="00296C30"/>
    <w:rsid w:val="002A1A60"/>
    <w:rsid w:val="002A4ABB"/>
    <w:rsid w:val="002B6F35"/>
    <w:rsid w:val="002C483D"/>
    <w:rsid w:val="002D21FE"/>
    <w:rsid w:val="002F43FD"/>
    <w:rsid w:val="002F692F"/>
    <w:rsid w:val="002F6E7F"/>
    <w:rsid w:val="00301C4A"/>
    <w:rsid w:val="00305318"/>
    <w:rsid w:val="00305E98"/>
    <w:rsid w:val="003212AF"/>
    <w:rsid w:val="00322D89"/>
    <w:rsid w:val="00323312"/>
    <w:rsid w:val="00325921"/>
    <w:rsid w:val="00352F1E"/>
    <w:rsid w:val="0035695F"/>
    <w:rsid w:val="003709C4"/>
    <w:rsid w:val="00370FA0"/>
    <w:rsid w:val="00376A98"/>
    <w:rsid w:val="00391C00"/>
    <w:rsid w:val="00395B71"/>
    <w:rsid w:val="003A09A6"/>
    <w:rsid w:val="003A2DC3"/>
    <w:rsid w:val="003A500B"/>
    <w:rsid w:val="003A5978"/>
    <w:rsid w:val="003A65A9"/>
    <w:rsid w:val="003B7BCC"/>
    <w:rsid w:val="003C3C64"/>
    <w:rsid w:val="003C5DB7"/>
    <w:rsid w:val="003D0BEC"/>
    <w:rsid w:val="003D162B"/>
    <w:rsid w:val="003D3069"/>
    <w:rsid w:val="003D3F39"/>
    <w:rsid w:val="003D50FD"/>
    <w:rsid w:val="003D6E07"/>
    <w:rsid w:val="003F0BCC"/>
    <w:rsid w:val="003F5731"/>
    <w:rsid w:val="004168FF"/>
    <w:rsid w:val="00423759"/>
    <w:rsid w:val="004247F6"/>
    <w:rsid w:val="004353E8"/>
    <w:rsid w:val="00435FBE"/>
    <w:rsid w:val="0044177D"/>
    <w:rsid w:val="0044588F"/>
    <w:rsid w:val="004511F0"/>
    <w:rsid w:val="00452088"/>
    <w:rsid w:val="0045289A"/>
    <w:rsid w:val="004569E6"/>
    <w:rsid w:val="00457B5F"/>
    <w:rsid w:val="00463FEE"/>
    <w:rsid w:val="00470D5D"/>
    <w:rsid w:val="00475E2C"/>
    <w:rsid w:val="004761C5"/>
    <w:rsid w:val="004842DC"/>
    <w:rsid w:val="0048524C"/>
    <w:rsid w:val="00485D25"/>
    <w:rsid w:val="004A257B"/>
    <w:rsid w:val="004A3B61"/>
    <w:rsid w:val="004A5C56"/>
    <w:rsid w:val="004B4ACE"/>
    <w:rsid w:val="004D0746"/>
    <w:rsid w:val="004D2EF6"/>
    <w:rsid w:val="004D5EEC"/>
    <w:rsid w:val="004E31B1"/>
    <w:rsid w:val="00501F2B"/>
    <w:rsid w:val="00511290"/>
    <w:rsid w:val="00515FCD"/>
    <w:rsid w:val="00516A72"/>
    <w:rsid w:val="005344E9"/>
    <w:rsid w:val="00553AED"/>
    <w:rsid w:val="005579CC"/>
    <w:rsid w:val="00566D23"/>
    <w:rsid w:val="00567488"/>
    <w:rsid w:val="00570313"/>
    <w:rsid w:val="0057286E"/>
    <w:rsid w:val="00575453"/>
    <w:rsid w:val="00582F80"/>
    <w:rsid w:val="0058404A"/>
    <w:rsid w:val="00597114"/>
    <w:rsid w:val="005A0AE2"/>
    <w:rsid w:val="005A2385"/>
    <w:rsid w:val="005A4E97"/>
    <w:rsid w:val="005A508F"/>
    <w:rsid w:val="005B76A0"/>
    <w:rsid w:val="005C492A"/>
    <w:rsid w:val="005D0ADF"/>
    <w:rsid w:val="005D35F4"/>
    <w:rsid w:val="005D389A"/>
    <w:rsid w:val="005D5CD3"/>
    <w:rsid w:val="005E1C1E"/>
    <w:rsid w:val="005E20BF"/>
    <w:rsid w:val="005E21A4"/>
    <w:rsid w:val="005E426F"/>
    <w:rsid w:val="005E48D9"/>
    <w:rsid w:val="005E55E5"/>
    <w:rsid w:val="005F34BE"/>
    <w:rsid w:val="00602C82"/>
    <w:rsid w:val="00604B7F"/>
    <w:rsid w:val="00605F4E"/>
    <w:rsid w:val="006067D1"/>
    <w:rsid w:val="006325C0"/>
    <w:rsid w:val="006340F1"/>
    <w:rsid w:val="00643200"/>
    <w:rsid w:val="00644C1F"/>
    <w:rsid w:val="0064697B"/>
    <w:rsid w:val="0065764F"/>
    <w:rsid w:val="0066116B"/>
    <w:rsid w:val="00666462"/>
    <w:rsid w:val="00667FD9"/>
    <w:rsid w:val="00670AD4"/>
    <w:rsid w:val="0067465C"/>
    <w:rsid w:val="006748F2"/>
    <w:rsid w:val="00691328"/>
    <w:rsid w:val="006B32C4"/>
    <w:rsid w:val="006B458C"/>
    <w:rsid w:val="006B7AAE"/>
    <w:rsid w:val="006D0D93"/>
    <w:rsid w:val="006D46B4"/>
    <w:rsid w:val="006E6277"/>
    <w:rsid w:val="006E6B8C"/>
    <w:rsid w:val="00706E97"/>
    <w:rsid w:val="00716185"/>
    <w:rsid w:val="00724236"/>
    <w:rsid w:val="00733698"/>
    <w:rsid w:val="00734455"/>
    <w:rsid w:val="00741FA4"/>
    <w:rsid w:val="00744993"/>
    <w:rsid w:val="00752117"/>
    <w:rsid w:val="00756981"/>
    <w:rsid w:val="0076513F"/>
    <w:rsid w:val="0076606E"/>
    <w:rsid w:val="007725F1"/>
    <w:rsid w:val="007830CF"/>
    <w:rsid w:val="007861F8"/>
    <w:rsid w:val="007914EF"/>
    <w:rsid w:val="00791D9A"/>
    <w:rsid w:val="007A08AC"/>
    <w:rsid w:val="007A110A"/>
    <w:rsid w:val="007A4D23"/>
    <w:rsid w:val="007C0EB9"/>
    <w:rsid w:val="007C21A6"/>
    <w:rsid w:val="007C493C"/>
    <w:rsid w:val="007D4752"/>
    <w:rsid w:val="007D7836"/>
    <w:rsid w:val="007D7AAA"/>
    <w:rsid w:val="007E3AD0"/>
    <w:rsid w:val="00803F0B"/>
    <w:rsid w:val="00806029"/>
    <w:rsid w:val="00813EA5"/>
    <w:rsid w:val="0082751E"/>
    <w:rsid w:val="00831800"/>
    <w:rsid w:val="00842660"/>
    <w:rsid w:val="00844B0C"/>
    <w:rsid w:val="00851EDE"/>
    <w:rsid w:val="00853AA5"/>
    <w:rsid w:val="008627DC"/>
    <w:rsid w:val="00866256"/>
    <w:rsid w:val="008729EB"/>
    <w:rsid w:val="00875E15"/>
    <w:rsid w:val="00882A75"/>
    <w:rsid w:val="008850AB"/>
    <w:rsid w:val="00892757"/>
    <w:rsid w:val="00894947"/>
    <w:rsid w:val="008953CC"/>
    <w:rsid w:val="00897E59"/>
    <w:rsid w:val="008A30EF"/>
    <w:rsid w:val="008A687B"/>
    <w:rsid w:val="008B2320"/>
    <w:rsid w:val="008B7386"/>
    <w:rsid w:val="008D547F"/>
    <w:rsid w:val="008F4962"/>
    <w:rsid w:val="00901757"/>
    <w:rsid w:val="009017FF"/>
    <w:rsid w:val="00907FF7"/>
    <w:rsid w:val="0091059B"/>
    <w:rsid w:val="0091570E"/>
    <w:rsid w:val="009222D4"/>
    <w:rsid w:val="009241F2"/>
    <w:rsid w:val="009401D5"/>
    <w:rsid w:val="00943AA1"/>
    <w:rsid w:val="00951787"/>
    <w:rsid w:val="00951D28"/>
    <w:rsid w:val="00953D67"/>
    <w:rsid w:val="00961973"/>
    <w:rsid w:val="00993A90"/>
    <w:rsid w:val="00996E5A"/>
    <w:rsid w:val="009A2F1E"/>
    <w:rsid w:val="009A594D"/>
    <w:rsid w:val="009B6457"/>
    <w:rsid w:val="009C4244"/>
    <w:rsid w:val="009D4456"/>
    <w:rsid w:val="009D7126"/>
    <w:rsid w:val="009F6014"/>
    <w:rsid w:val="00A11FA2"/>
    <w:rsid w:val="00A249FF"/>
    <w:rsid w:val="00A35C82"/>
    <w:rsid w:val="00A35E8D"/>
    <w:rsid w:val="00A4022A"/>
    <w:rsid w:val="00A55874"/>
    <w:rsid w:val="00A61F00"/>
    <w:rsid w:val="00A66375"/>
    <w:rsid w:val="00A66D18"/>
    <w:rsid w:val="00A70B89"/>
    <w:rsid w:val="00A71F2A"/>
    <w:rsid w:val="00A74BA3"/>
    <w:rsid w:val="00A84BD8"/>
    <w:rsid w:val="00A935E3"/>
    <w:rsid w:val="00AA321F"/>
    <w:rsid w:val="00AB13B7"/>
    <w:rsid w:val="00AB7BDF"/>
    <w:rsid w:val="00AC46D9"/>
    <w:rsid w:val="00AC7DEE"/>
    <w:rsid w:val="00AD5496"/>
    <w:rsid w:val="00AE39A6"/>
    <w:rsid w:val="00AE3F1A"/>
    <w:rsid w:val="00AF43CA"/>
    <w:rsid w:val="00B147B8"/>
    <w:rsid w:val="00B2577D"/>
    <w:rsid w:val="00B32AD2"/>
    <w:rsid w:val="00B42BB2"/>
    <w:rsid w:val="00B45943"/>
    <w:rsid w:val="00B507B0"/>
    <w:rsid w:val="00B57765"/>
    <w:rsid w:val="00B6134A"/>
    <w:rsid w:val="00B7269B"/>
    <w:rsid w:val="00B82A49"/>
    <w:rsid w:val="00B944D5"/>
    <w:rsid w:val="00BA4435"/>
    <w:rsid w:val="00BB46D1"/>
    <w:rsid w:val="00BC347D"/>
    <w:rsid w:val="00BD66B1"/>
    <w:rsid w:val="00BE0D9B"/>
    <w:rsid w:val="00BE17B4"/>
    <w:rsid w:val="00BE6F91"/>
    <w:rsid w:val="00BF651C"/>
    <w:rsid w:val="00C0097B"/>
    <w:rsid w:val="00C01C23"/>
    <w:rsid w:val="00C025F2"/>
    <w:rsid w:val="00C03BD1"/>
    <w:rsid w:val="00C13C69"/>
    <w:rsid w:val="00C151D6"/>
    <w:rsid w:val="00C2189F"/>
    <w:rsid w:val="00C23729"/>
    <w:rsid w:val="00C24D68"/>
    <w:rsid w:val="00C2750B"/>
    <w:rsid w:val="00C33DCE"/>
    <w:rsid w:val="00C3560A"/>
    <w:rsid w:val="00C35CB3"/>
    <w:rsid w:val="00C3752A"/>
    <w:rsid w:val="00C41FCD"/>
    <w:rsid w:val="00C43D36"/>
    <w:rsid w:val="00C43F4A"/>
    <w:rsid w:val="00C523D6"/>
    <w:rsid w:val="00C72E5E"/>
    <w:rsid w:val="00C75666"/>
    <w:rsid w:val="00C808C0"/>
    <w:rsid w:val="00C85B04"/>
    <w:rsid w:val="00C95B2A"/>
    <w:rsid w:val="00CA0E8F"/>
    <w:rsid w:val="00CB6B64"/>
    <w:rsid w:val="00CC0668"/>
    <w:rsid w:val="00CC3A22"/>
    <w:rsid w:val="00CD2AAA"/>
    <w:rsid w:val="00CD4CE6"/>
    <w:rsid w:val="00CD6FCA"/>
    <w:rsid w:val="00CE0C31"/>
    <w:rsid w:val="00CE1757"/>
    <w:rsid w:val="00CE35B2"/>
    <w:rsid w:val="00CE7235"/>
    <w:rsid w:val="00D00E38"/>
    <w:rsid w:val="00D132DD"/>
    <w:rsid w:val="00D228D5"/>
    <w:rsid w:val="00D23896"/>
    <w:rsid w:val="00D33615"/>
    <w:rsid w:val="00D35E37"/>
    <w:rsid w:val="00D36757"/>
    <w:rsid w:val="00D37CC9"/>
    <w:rsid w:val="00D403C2"/>
    <w:rsid w:val="00D46CAA"/>
    <w:rsid w:val="00D50CFB"/>
    <w:rsid w:val="00D5232C"/>
    <w:rsid w:val="00D52EA7"/>
    <w:rsid w:val="00D53425"/>
    <w:rsid w:val="00D757D1"/>
    <w:rsid w:val="00D82B2F"/>
    <w:rsid w:val="00D97AE5"/>
    <w:rsid w:val="00DA136B"/>
    <w:rsid w:val="00DA2A01"/>
    <w:rsid w:val="00DA6F0B"/>
    <w:rsid w:val="00DB2133"/>
    <w:rsid w:val="00DB304A"/>
    <w:rsid w:val="00DB470F"/>
    <w:rsid w:val="00DC11CF"/>
    <w:rsid w:val="00DC3384"/>
    <w:rsid w:val="00DC3B49"/>
    <w:rsid w:val="00DC41AE"/>
    <w:rsid w:val="00DD3AA1"/>
    <w:rsid w:val="00DD4087"/>
    <w:rsid w:val="00DD538C"/>
    <w:rsid w:val="00DD589C"/>
    <w:rsid w:val="00DD7CE3"/>
    <w:rsid w:val="00DE49E9"/>
    <w:rsid w:val="00DE4CA8"/>
    <w:rsid w:val="00DF3EF3"/>
    <w:rsid w:val="00E017F3"/>
    <w:rsid w:val="00E11E14"/>
    <w:rsid w:val="00E23291"/>
    <w:rsid w:val="00E24BC8"/>
    <w:rsid w:val="00E25FF6"/>
    <w:rsid w:val="00E26234"/>
    <w:rsid w:val="00E3019F"/>
    <w:rsid w:val="00E32215"/>
    <w:rsid w:val="00E35297"/>
    <w:rsid w:val="00E37E81"/>
    <w:rsid w:val="00E3912F"/>
    <w:rsid w:val="00E409F1"/>
    <w:rsid w:val="00E4512E"/>
    <w:rsid w:val="00E45D5B"/>
    <w:rsid w:val="00E65271"/>
    <w:rsid w:val="00E70E19"/>
    <w:rsid w:val="00E7262E"/>
    <w:rsid w:val="00E72637"/>
    <w:rsid w:val="00E836E6"/>
    <w:rsid w:val="00E91896"/>
    <w:rsid w:val="00E936B2"/>
    <w:rsid w:val="00E9405E"/>
    <w:rsid w:val="00E94B3F"/>
    <w:rsid w:val="00EA5DD2"/>
    <w:rsid w:val="00EB534D"/>
    <w:rsid w:val="00EB7125"/>
    <w:rsid w:val="00EB7FA5"/>
    <w:rsid w:val="00EC1D50"/>
    <w:rsid w:val="00EC7EC0"/>
    <w:rsid w:val="00ED004D"/>
    <w:rsid w:val="00ED3FEB"/>
    <w:rsid w:val="00ED5545"/>
    <w:rsid w:val="00EE0B78"/>
    <w:rsid w:val="00EE1772"/>
    <w:rsid w:val="00EE38E2"/>
    <w:rsid w:val="00EE51EC"/>
    <w:rsid w:val="00EF04EA"/>
    <w:rsid w:val="00EF0723"/>
    <w:rsid w:val="00EF2558"/>
    <w:rsid w:val="00F01B9F"/>
    <w:rsid w:val="00F0384D"/>
    <w:rsid w:val="00F0416B"/>
    <w:rsid w:val="00F04E97"/>
    <w:rsid w:val="00F15277"/>
    <w:rsid w:val="00F2634E"/>
    <w:rsid w:val="00F50641"/>
    <w:rsid w:val="00F5087C"/>
    <w:rsid w:val="00F525F0"/>
    <w:rsid w:val="00F62390"/>
    <w:rsid w:val="00F62A0B"/>
    <w:rsid w:val="00F71B1E"/>
    <w:rsid w:val="00F7310E"/>
    <w:rsid w:val="00F74834"/>
    <w:rsid w:val="00F76583"/>
    <w:rsid w:val="00F81225"/>
    <w:rsid w:val="00F81E76"/>
    <w:rsid w:val="00F86E83"/>
    <w:rsid w:val="00F913A7"/>
    <w:rsid w:val="00F93CAE"/>
    <w:rsid w:val="00FA3DED"/>
    <w:rsid w:val="00FA6BCC"/>
    <w:rsid w:val="00FB0547"/>
    <w:rsid w:val="00FB3BD6"/>
    <w:rsid w:val="00FB4C39"/>
    <w:rsid w:val="00FC1B85"/>
    <w:rsid w:val="00FC68E0"/>
    <w:rsid w:val="00FC6ABB"/>
    <w:rsid w:val="00FD548B"/>
    <w:rsid w:val="00FE1ECA"/>
    <w:rsid w:val="00FE6D9F"/>
    <w:rsid w:val="00FF1F91"/>
    <w:rsid w:val="00FF7259"/>
    <w:rsid w:val="01C75640"/>
    <w:rsid w:val="03884C69"/>
    <w:rsid w:val="045D3237"/>
    <w:rsid w:val="04B20488"/>
    <w:rsid w:val="056A2D04"/>
    <w:rsid w:val="05E41B52"/>
    <w:rsid w:val="05EF8970"/>
    <w:rsid w:val="06642841"/>
    <w:rsid w:val="0699675B"/>
    <w:rsid w:val="06B11FCB"/>
    <w:rsid w:val="0981E233"/>
    <w:rsid w:val="0D245ED6"/>
    <w:rsid w:val="10F96823"/>
    <w:rsid w:val="1153974A"/>
    <w:rsid w:val="118D1BC8"/>
    <w:rsid w:val="13144BE7"/>
    <w:rsid w:val="1356F793"/>
    <w:rsid w:val="13EDCA2A"/>
    <w:rsid w:val="154F857F"/>
    <w:rsid w:val="162BE901"/>
    <w:rsid w:val="1632F1BD"/>
    <w:rsid w:val="18F63CED"/>
    <w:rsid w:val="1B69F6FE"/>
    <w:rsid w:val="1B6DB899"/>
    <w:rsid w:val="1DEA9367"/>
    <w:rsid w:val="1EBAC376"/>
    <w:rsid w:val="1F49A52E"/>
    <w:rsid w:val="24F7B0E7"/>
    <w:rsid w:val="260D2E66"/>
    <w:rsid w:val="275D05D3"/>
    <w:rsid w:val="28A1D321"/>
    <w:rsid w:val="28F15FE9"/>
    <w:rsid w:val="2B07A07C"/>
    <w:rsid w:val="2BF96F96"/>
    <w:rsid w:val="2DE81D2D"/>
    <w:rsid w:val="3136829F"/>
    <w:rsid w:val="318ED878"/>
    <w:rsid w:val="34A98F42"/>
    <w:rsid w:val="350DD4B1"/>
    <w:rsid w:val="36B1A256"/>
    <w:rsid w:val="36C3E869"/>
    <w:rsid w:val="385E9DD0"/>
    <w:rsid w:val="390D1AB0"/>
    <w:rsid w:val="3C45E1A2"/>
    <w:rsid w:val="3C57B0CB"/>
    <w:rsid w:val="3EB4B6F7"/>
    <w:rsid w:val="3EBCA47D"/>
    <w:rsid w:val="40BD9DB9"/>
    <w:rsid w:val="419CE67F"/>
    <w:rsid w:val="43986A16"/>
    <w:rsid w:val="43F8913D"/>
    <w:rsid w:val="440A46ED"/>
    <w:rsid w:val="4517323D"/>
    <w:rsid w:val="470B7E61"/>
    <w:rsid w:val="48807EA7"/>
    <w:rsid w:val="48EF4751"/>
    <w:rsid w:val="49EDD176"/>
    <w:rsid w:val="4A5C6AF5"/>
    <w:rsid w:val="4B5CA100"/>
    <w:rsid w:val="4BD7775E"/>
    <w:rsid w:val="4C675989"/>
    <w:rsid w:val="4D1DCF89"/>
    <w:rsid w:val="505E6680"/>
    <w:rsid w:val="520A6909"/>
    <w:rsid w:val="526C5F63"/>
    <w:rsid w:val="53CE8601"/>
    <w:rsid w:val="5693E47C"/>
    <w:rsid w:val="57D37504"/>
    <w:rsid w:val="58A44A2F"/>
    <w:rsid w:val="59DEE173"/>
    <w:rsid w:val="59FCF649"/>
    <w:rsid w:val="5CE85E9E"/>
    <w:rsid w:val="5D527A01"/>
    <w:rsid w:val="5DE2D87A"/>
    <w:rsid w:val="5EAC0B71"/>
    <w:rsid w:val="5FB426D8"/>
    <w:rsid w:val="63638C4B"/>
    <w:rsid w:val="648D22CE"/>
    <w:rsid w:val="64F40B9B"/>
    <w:rsid w:val="67B5702F"/>
    <w:rsid w:val="67CB0514"/>
    <w:rsid w:val="6844431C"/>
    <w:rsid w:val="68C059AC"/>
    <w:rsid w:val="6A5DDAD4"/>
    <w:rsid w:val="6AAB091F"/>
    <w:rsid w:val="6AE695E5"/>
    <w:rsid w:val="6B1B568B"/>
    <w:rsid w:val="6B6ED8CB"/>
    <w:rsid w:val="6BF9FC41"/>
    <w:rsid w:val="6CCA602D"/>
    <w:rsid w:val="6E3DDA10"/>
    <w:rsid w:val="700AC001"/>
    <w:rsid w:val="70C0CD1F"/>
    <w:rsid w:val="7213D655"/>
    <w:rsid w:val="753956E7"/>
    <w:rsid w:val="7637B11E"/>
    <w:rsid w:val="768CB3F4"/>
    <w:rsid w:val="773CAEE8"/>
    <w:rsid w:val="79AB2C59"/>
    <w:rsid w:val="7A54DF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DAE46"/>
  <w15:chartTrackingRefBased/>
  <w15:docId w15:val="{B7891931-67A4-4C40-AF7A-D6B08032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35"/>
    <w:rPr>
      <w:sz w:val="24"/>
      <w:szCs w:val="24"/>
      <w:lang w:val="es-ES" w:eastAsia="es-ES"/>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qFormat/>
    <w:pPr>
      <w:spacing w:before="240" w:after="60"/>
      <w:outlineLvl w:val="5"/>
    </w:pPr>
    <w:rPr>
      <w:rFonts w:ascii="Calibri" w:hAnsi="Calibri"/>
      <w:b/>
      <w:bCs/>
      <w:sz w:val="22"/>
      <w:szCs w:val="22"/>
    </w:rPr>
  </w:style>
  <w:style w:type="paragraph" w:styleId="Ttulo8">
    <w:name w:val="heading 8"/>
    <w:basedOn w:val="Normal"/>
    <w:next w:val="Normal"/>
    <w:qFormat/>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autoSpaceDE w:val="0"/>
      <w:autoSpaceDN w:val="0"/>
      <w:adjustRightInd w:val="0"/>
      <w:spacing w:line="360" w:lineRule="auto"/>
      <w:jc w:val="center"/>
    </w:pPr>
    <w:rPr>
      <w:rFonts w:ascii="Arial" w:hAnsi="Arial" w:cs="Arial"/>
      <w:b/>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pPr>
      <w:widowControl w:val="0"/>
      <w:autoSpaceDE w:val="0"/>
      <w:autoSpaceDN w:val="0"/>
      <w:adjustRightInd w:val="0"/>
      <w:spacing w:line="360" w:lineRule="auto"/>
      <w:ind w:firstLine="708"/>
      <w:jc w:val="both"/>
    </w:pPr>
    <w:rPr>
      <w:rFonts w:ascii="Tahoma" w:hAnsi="Tahoma" w:cs="Tahoma"/>
    </w:rPr>
  </w:style>
  <w:style w:type="paragraph" w:styleId="Textoindependiente">
    <w:name w:val="Body Text"/>
    <w:basedOn w:val="Normal"/>
    <w:pPr>
      <w:spacing w:after="120"/>
    </w:pPr>
  </w:style>
  <w:style w:type="paragraph" w:styleId="Textoindependiente3">
    <w:name w:val="Body Text 3"/>
    <w:basedOn w:val="Normal"/>
    <w:pPr>
      <w:spacing w:after="120"/>
    </w:pPr>
    <w:rPr>
      <w:sz w:val="16"/>
      <w:szCs w:val="16"/>
    </w:rPr>
  </w:style>
  <w:style w:type="character" w:customStyle="1" w:styleId="textonavy">
    <w:name w:val="texto_navy"/>
    <w:basedOn w:val="Fuentedeprrafopredeter"/>
  </w:style>
  <w:style w:type="paragraph" w:customStyle="1" w:styleId="Textoindependiente31">
    <w:name w:val="Texto independiente 31"/>
    <w:basedOn w:val="Normal"/>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rPr>
      <w:sz w:val="20"/>
      <w:szCs w:val="20"/>
    </w:rPr>
  </w:style>
  <w:style w:type="character" w:customStyle="1" w:styleId="articulo-principal">
    <w:name w:val="articulo-principal"/>
    <w:basedOn w:val="Fuentedeprrafopredeter"/>
  </w:style>
  <w:style w:type="character" w:styleId="Hipervnculo">
    <w:name w:val="Hyperlink"/>
    <w:rPr>
      <w:color w:val="0000FF"/>
      <w:u w:val="single"/>
    </w:rPr>
  </w:style>
  <w:style w:type="character" w:customStyle="1" w:styleId="field-temas-especificos">
    <w:name w:val="field-temas-especificos"/>
    <w:basedOn w:val="Fuentedeprrafopredeter"/>
  </w:style>
  <w:style w:type="paragraph" w:styleId="Sangra3detindependiente">
    <w:name w:val="Body Text Indent 3"/>
    <w:basedOn w:val="Normal"/>
    <w:pPr>
      <w:spacing w:after="120"/>
      <w:ind w:left="283"/>
    </w:pPr>
    <w:rPr>
      <w:sz w:val="16"/>
      <w:szCs w:val="16"/>
    </w:rPr>
  </w:style>
  <w:style w:type="character" w:customStyle="1" w:styleId="CarCar3">
    <w:name w:val="Car Car3"/>
    <w:rPr>
      <w:sz w:val="16"/>
      <w:szCs w:val="16"/>
    </w:rPr>
  </w:style>
  <w:style w:type="character" w:customStyle="1" w:styleId="CarCar5">
    <w:name w:val="Car Car5"/>
    <w:semiHidden/>
    <w:rPr>
      <w:rFonts w:ascii="Calibri" w:eastAsia="Times New Roman" w:hAnsi="Calibri" w:cs="Times New Roman"/>
      <w:b/>
      <w:bCs/>
      <w:sz w:val="22"/>
      <w:szCs w:val="22"/>
    </w:rPr>
  </w:style>
  <w:style w:type="character" w:customStyle="1" w:styleId="CarCar4">
    <w:name w:val="Car Car4"/>
    <w:semiHidden/>
    <w:rPr>
      <w:rFonts w:ascii="Calibri" w:eastAsia="Times New Roman" w:hAnsi="Calibri" w:cs="Times New Roman"/>
      <w:i/>
      <w:iCs/>
      <w:sz w:val="24"/>
      <w:szCs w:val="24"/>
    </w:rPr>
  </w:style>
  <w:style w:type="paragraph" w:styleId="Subttulo">
    <w:name w:val="Subtitle"/>
    <w:basedOn w:val="Normal"/>
    <w:qFormat/>
    <w:pPr>
      <w:spacing w:line="480" w:lineRule="auto"/>
      <w:ind w:left="567"/>
      <w:jc w:val="both"/>
    </w:pPr>
    <w:rPr>
      <w:rFonts w:ascii="Arial" w:hAnsi="Arial"/>
      <w:b/>
      <w:sz w:val="28"/>
      <w:szCs w:val="20"/>
      <w:lang w:val="es-ES_tradnl"/>
    </w:rPr>
  </w:style>
  <w:style w:type="character" w:customStyle="1" w:styleId="CarCar2">
    <w:name w:val="Car Car2"/>
    <w:rPr>
      <w:rFonts w:ascii="Arial" w:hAnsi="Arial"/>
      <w:b/>
      <w:sz w:val="28"/>
      <w:lang w:val="es-ES_tradnl"/>
    </w:rPr>
  </w:style>
  <w:style w:type="paragraph" w:styleId="Textosinformato">
    <w:name w:val="Plain Text"/>
    <w:basedOn w:val="Normal"/>
    <w:rPr>
      <w:rFonts w:ascii="Courier New" w:hAnsi="Courier New"/>
      <w:b/>
      <w:sz w:val="20"/>
      <w:szCs w:val="20"/>
    </w:rPr>
  </w:style>
  <w:style w:type="character" w:customStyle="1" w:styleId="CarCar1">
    <w:name w:val="Car Car1"/>
    <w:rPr>
      <w:rFonts w:ascii="Courier New" w:hAnsi="Courier New"/>
      <w:b/>
    </w:rPr>
  </w:style>
  <w:style w:type="paragraph" w:styleId="Piedepgina">
    <w:name w:val="footer"/>
    <w:basedOn w:val="Normal"/>
    <w:link w:val="PiedepginaCar"/>
    <w:uiPriority w:val="99"/>
    <w:pPr>
      <w:tabs>
        <w:tab w:val="center" w:pos="4252"/>
        <w:tab w:val="right" w:pos="8504"/>
      </w:tabs>
    </w:pPr>
  </w:style>
  <w:style w:type="character" w:customStyle="1" w:styleId="CarCar">
    <w:name w:val="Car Car"/>
    <w:rPr>
      <w:sz w:val="24"/>
      <w:szCs w:val="24"/>
    </w:rPr>
  </w:style>
  <w:style w:type="paragraph" w:customStyle="1" w:styleId="Default">
    <w:name w:val="Default"/>
    <w:pPr>
      <w:autoSpaceDE w:val="0"/>
      <w:autoSpaceDN w:val="0"/>
      <w:adjustRightInd w:val="0"/>
    </w:pPr>
    <w:rPr>
      <w:rFonts w:ascii="Tahoma" w:hAnsi="Tahoma" w:cs="Tahoma"/>
      <w:color w:val="000000"/>
      <w:sz w:val="24"/>
      <w:szCs w:val="24"/>
      <w:lang w:val="es-ES" w:eastAsia="es-ES"/>
    </w:rPr>
  </w:style>
  <w:style w:type="paragraph" w:styleId="Textonotaalfinal">
    <w:name w:val="endnote text"/>
    <w:basedOn w:val="Normal"/>
    <w:link w:val="TextonotaalfinalCar"/>
    <w:rsid w:val="003F0BCC"/>
    <w:rPr>
      <w:sz w:val="20"/>
      <w:szCs w:val="20"/>
    </w:rPr>
  </w:style>
  <w:style w:type="character" w:customStyle="1" w:styleId="TextonotaalfinalCar">
    <w:name w:val="Texto nota al final Car"/>
    <w:link w:val="Textonotaalfinal"/>
    <w:rsid w:val="003F0BCC"/>
    <w:rPr>
      <w:lang w:val="es-ES" w:eastAsia="es-ES"/>
    </w:rPr>
  </w:style>
  <w:style w:type="character" w:styleId="Refdenotaalfinal">
    <w:name w:val="endnote reference"/>
    <w:rsid w:val="003F0BCC"/>
    <w:rPr>
      <w:vertAlign w:val="superscript"/>
    </w:rPr>
  </w:style>
  <w:style w:type="paragraph" w:styleId="Textodeglobo">
    <w:name w:val="Balloon Text"/>
    <w:basedOn w:val="Normal"/>
    <w:semiHidden/>
    <w:rsid w:val="005344E9"/>
    <w:rPr>
      <w:rFonts w:ascii="Tahoma" w:hAnsi="Tahoma" w:cs="Tahoma"/>
      <w:sz w:val="16"/>
      <w:szCs w:val="16"/>
    </w:rPr>
  </w:style>
  <w:style w:type="character" w:customStyle="1" w:styleId="fontstyle01">
    <w:name w:val="fontstyle01"/>
    <w:basedOn w:val="Fuentedeprrafopredeter"/>
    <w:rsid w:val="001F16F2"/>
    <w:rPr>
      <w:rFonts w:ascii="Tahoma-Bold" w:hAnsi="Tahoma-Bold" w:hint="default"/>
      <w:b/>
      <w:bCs/>
      <w:i w:val="0"/>
      <w:iCs w:val="0"/>
      <w:color w:val="000000"/>
      <w:sz w:val="24"/>
      <w:szCs w:val="24"/>
    </w:rPr>
  </w:style>
  <w:style w:type="character" w:customStyle="1" w:styleId="fontstyle21">
    <w:name w:val="fontstyle21"/>
    <w:basedOn w:val="Fuentedeprrafopredeter"/>
    <w:rsid w:val="001F16F2"/>
    <w:rPr>
      <w:rFonts w:ascii="Tahoma" w:hAnsi="Tahoma" w:cs="Tahoma" w:hint="default"/>
      <w:b w:val="0"/>
      <w:bCs w:val="0"/>
      <w:i w:val="0"/>
      <w:iCs w:val="0"/>
      <w:color w:val="000000"/>
      <w:sz w:val="24"/>
      <w:szCs w:val="24"/>
    </w:rPr>
  </w:style>
  <w:style w:type="character" w:customStyle="1" w:styleId="PiedepginaCar">
    <w:name w:val="Pie de página Car"/>
    <w:basedOn w:val="Fuentedeprrafopredeter"/>
    <w:link w:val="Piedepgina"/>
    <w:uiPriority w:val="99"/>
    <w:rsid w:val="0064697B"/>
    <w:rPr>
      <w:sz w:val="24"/>
      <w:szCs w:val="24"/>
      <w:lang w:val="es-ES" w:eastAsia="es-ES"/>
    </w:rPr>
  </w:style>
  <w:style w:type="paragraph" w:styleId="Prrafodelista">
    <w:name w:val="List Paragraph"/>
    <w:basedOn w:val="Normal"/>
    <w:uiPriority w:val="34"/>
    <w:qFormat/>
    <w:rsid w:val="0064697B"/>
    <w:pPr>
      <w:spacing w:line="360" w:lineRule="auto"/>
      <w:ind w:left="720"/>
      <w:contextualSpacing/>
      <w:jc w:val="both"/>
    </w:pPr>
    <w:rPr>
      <w:rFonts w:ascii="Arial" w:eastAsiaTheme="minorHAnsi" w:hAnsi="Arial" w:cstheme="minorBidi"/>
      <w:lang w:val="es-CO" w:eastAsia="en-US"/>
    </w:rPr>
  </w:style>
  <w:style w:type="paragraph" w:customStyle="1" w:styleId="paragraph">
    <w:name w:val="paragraph"/>
    <w:basedOn w:val="Normal"/>
    <w:rsid w:val="0064697B"/>
    <w:pPr>
      <w:spacing w:before="100" w:beforeAutospacing="1" w:after="100" w:afterAutospacing="1"/>
    </w:pPr>
    <w:rPr>
      <w:lang w:val="es-CO" w:eastAsia="es-ES_tradnl"/>
    </w:rPr>
  </w:style>
  <w:style w:type="character" w:customStyle="1" w:styleId="normaltextrun">
    <w:name w:val="normaltextrun"/>
    <w:basedOn w:val="Fuentedeprrafopredeter"/>
    <w:rsid w:val="0064697B"/>
  </w:style>
  <w:style w:type="character" w:customStyle="1" w:styleId="eop">
    <w:name w:val="eop"/>
    <w:basedOn w:val="Fuentedeprrafopredeter"/>
    <w:rsid w:val="0064697B"/>
  </w:style>
  <w:style w:type="character" w:styleId="Refdecomentario">
    <w:name w:val="annotation reference"/>
    <w:basedOn w:val="Fuentedeprrafopredeter"/>
    <w:rsid w:val="005A0AE2"/>
    <w:rPr>
      <w:sz w:val="16"/>
      <w:szCs w:val="16"/>
    </w:rPr>
  </w:style>
  <w:style w:type="paragraph" w:styleId="Textocomentario">
    <w:name w:val="annotation text"/>
    <w:basedOn w:val="Normal"/>
    <w:link w:val="TextocomentarioCar"/>
    <w:rsid w:val="005A0AE2"/>
    <w:rPr>
      <w:sz w:val="20"/>
      <w:szCs w:val="20"/>
    </w:rPr>
  </w:style>
  <w:style w:type="character" w:customStyle="1" w:styleId="TextocomentarioCar">
    <w:name w:val="Texto comentario Car"/>
    <w:basedOn w:val="Fuentedeprrafopredeter"/>
    <w:link w:val="Textocomentario"/>
    <w:rsid w:val="005A0AE2"/>
    <w:rPr>
      <w:lang w:val="es-ES" w:eastAsia="es-ES"/>
    </w:rPr>
  </w:style>
  <w:style w:type="character" w:customStyle="1" w:styleId="TextonotapieCar">
    <w:name w:val="Texto nota pie Car"/>
    <w:basedOn w:val="Fuentedeprrafopredeter"/>
    <w:link w:val="Textonotapie"/>
    <w:uiPriority w:val="99"/>
    <w:semiHidden/>
    <w:rsid w:val="00F62A0B"/>
    <w:rPr>
      <w:lang w:val="es-ES" w:eastAsia="es-ES"/>
    </w:rPr>
  </w:style>
  <w:style w:type="paragraph" w:styleId="Sinespaciado">
    <w:name w:val="No Spacing"/>
    <w:uiPriority w:val="1"/>
    <w:qFormat/>
    <w:rsid w:val="00276973"/>
    <w:rPr>
      <w:sz w:val="24"/>
      <w:szCs w:val="24"/>
      <w:lang w:val="es-ES" w:eastAsia="es-ES"/>
    </w:rPr>
  </w:style>
  <w:style w:type="paragraph" w:styleId="NormalWeb">
    <w:name w:val="Normal (Web)"/>
    <w:basedOn w:val="Normal"/>
    <w:uiPriority w:val="99"/>
    <w:unhideWhenUsed/>
    <w:rsid w:val="0067465C"/>
    <w:pPr>
      <w:spacing w:before="100" w:beforeAutospacing="1" w:after="100" w:afterAutospacing="1"/>
    </w:pPr>
    <w:rPr>
      <w:lang w:val="es-CO" w:eastAsia="es-CO"/>
    </w:rPr>
  </w:style>
  <w:style w:type="character" w:customStyle="1" w:styleId="baj">
    <w:name w:val="b_aj"/>
    <w:basedOn w:val="Fuentedeprrafopredeter"/>
    <w:rsid w:val="00C43D36"/>
  </w:style>
  <w:style w:type="character" w:styleId="nfasissutil">
    <w:name w:val="Subtle Emphasis"/>
    <w:basedOn w:val="Fuentedeprrafopredeter"/>
    <w:uiPriority w:val="19"/>
    <w:qFormat/>
    <w:rsid w:val="00644C1F"/>
    <w:rPr>
      <w:i/>
      <w:iCs/>
      <w:color w:val="404040" w:themeColor="text1" w:themeTint="BF"/>
    </w:rPr>
  </w:style>
  <w:style w:type="paragraph" w:styleId="Asuntodelcomentario">
    <w:name w:val="annotation subject"/>
    <w:basedOn w:val="Textocomentario"/>
    <w:next w:val="Textocomentario"/>
    <w:link w:val="AsuntodelcomentarioCar"/>
    <w:rsid w:val="00C2750B"/>
    <w:rPr>
      <w:b/>
      <w:bCs/>
    </w:rPr>
  </w:style>
  <w:style w:type="character" w:customStyle="1" w:styleId="AsuntodelcomentarioCar">
    <w:name w:val="Asunto del comentario Car"/>
    <w:basedOn w:val="TextocomentarioCar"/>
    <w:link w:val="Asuntodelcomentario"/>
    <w:rsid w:val="00C2750B"/>
    <w:rPr>
      <w:b/>
      <w:bCs/>
      <w:lang w:val="es-ES" w:eastAsia="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perscript">
    <w:name w:val="superscript"/>
    <w:basedOn w:val="Fuentedeprrafopredeter"/>
    <w:rsid w:val="003D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1770">
      <w:bodyDiv w:val="1"/>
      <w:marLeft w:val="0"/>
      <w:marRight w:val="0"/>
      <w:marTop w:val="0"/>
      <w:marBottom w:val="0"/>
      <w:divBdr>
        <w:top w:val="none" w:sz="0" w:space="0" w:color="auto"/>
        <w:left w:val="none" w:sz="0" w:space="0" w:color="auto"/>
        <w:bottom w:val="none" w:sz="0" w:space="0" w:color="auto"/>
        <w:right w:val="none" w:sz="0" w:space="0" w:color="auto"/>
      </w:divBdr>
    </w:div>
    <w:div w:id="86780607">
      <w:bodyDiv w:val="1"/>
      <w:marLeft w:val="0"/>
      <w:marRight w:val="0"/>
      <w:marTop w:val="0"/>
      <w:marBottom w:val="0"/>
      <w:divBdr>
        <w:top w:val="none" w:sz="0" w:space="0" w:color="auto"/>
        <w:left w:val="none" w:sz="0" w:space="0" w:color="auto"/>
        <w:bottom w:val="none" w:sz="0" w:space="0" w:color="auto"/>
        <w:right w:val="none" w:sz="0" w:space="0" w:color="auto"/>
      </w:divBdr>
    </w:div>
    <w:div w:id="658120758">
      <w:bodyDiv w:val="1"/>
      <w:marLeft w:val="0"/>
      <w:marRight w:val="0"/>
      <w:marTop w:val="0"/>
      <w:marBottom w:val="0"/>
      <w:divBdr>
        <w:top w:val="none" w:sz="0" w:space="0" w:color="auto"/>
        <w:left w:val="none" w:sz="0" w:space="0" w:color="auto"/>
        <w:bottom w:val="none" w:sz="0" w:space="0" w:color="auto"/>
        <w:right w:val="none" w:sz="0" w:space="0" w:color="auto"/>
      </w:divBdr>
    </w:div>
    <w:div w:id="687028390">
      <w:bodyDiv w:val="1"/>
      <w:marLeft w:val="0"/>
      <w:marRight w:val="0"/>
      <w:marTop w:val="0"/>
      <w:marBottom w:val="0"/>
      <w:divBdr>
        <w:top w:val="none" w:sz="0" w:space="0" w:color="auto"/>
        <w:left w:val="none" w:sz="0" w:space="0" w:color="auto"/>
        <w:bottom w:val="none" w:sz="0" w:space="0" w:color="auto"/>
        <w:right w:val="none" w:sz="0" w:space="0" w:color="auto"/>
      </w:divBdr>
    </w:div>
    <w:div w:id="820848510">
      <w:bodyDiv w:val="1"/>
      <w:marLeft w:val="0"/>
      <w:marRight w:val="0"/>
      <w:marTop w:val="0"/>
      <w:marBottom w:val="0"/>
      <w:divBdr>
        <w:top w:val="none" w:sz="0" w:space="0" w:color="auto"/>
        <w:left w:val="none" w:sz="0" w:space="0" w:color="auto"/>
        <w:bottom w:val="none" w:sz="0" w:space="0" w:color="auto"/>
        <w:right w:val="none" w:sz="0" w:space="0" w:color="auto"/>
      </w:divBdr>
    </w:div>
    <w:div w:id="955133663">
      <w:bodyDiv w:val="1"/>
      <w:marLeft w:val="0"/>
      <w:marRight w:val="0"/>
      <w:marTop w:val="0"/>
      <w:marBottom w:val="0"/>
      <w:divBdr>
        <w:top w:val="none" w:sz="0" w:space="0" w:color="auto"/>
        <w:left w:val="none" w:sz="0" w:space="0" w:color="auto"/>
        <w:bottom w:val="none" w:sz="0" w:space="0" w:color="auto"/>
        <w:right w:val="none" w:sz="0" w:space="0" w:color="auto"/>
      </w:divBdr>
    </w:div>
    <w:div w:id="1444306061">
      <w:bodyDiv w:val="1"/>
      <w:marLeft w:val="0"/>
      <w:marRight w:val="0"/>
      <w:marTop w:val="0"/>
      <w:marBottom w:val="0"/>
      <w:divBdr>
        <w:top w:val="none" w:sz="0" w:space="0" w:color="auto"/>
        <w:left w:val="none" w:sz="0" w:space="0" w:color="auto"/>
        <w:bottom w:val="none" w:sz="0" w:space="0" w:color="auto"/>
        <w:right w:val="none" w:sz="0" w:space="0" w:color="auto"/>
      </w:divBdr>
    </w:div>
    <w:div w:id="1453132992">
      <w:bodyDiv w:val="1"/>
      <w:marLeft w:val="0"/>
      <w:marRight w:val="0"/>
      <w:marTop w:val="0"/>
      <w:marBottom w:val="0"/>
      <w:divBdr>
        <w:top w:val="none" w:sz="0" w:space="0" w:color="auto"/>
        <w:left w:val="none" w:sz="0" w:space="0" w:color="auto"/>
        <w:bottom w:val="none" w:sz="0" w:space="0" w:color="auto"/>
        <w:right w:val="none" w:sz="0" w:space="0" w:color="auto"/>
      </w:divBdr>
    </w:div>
    <w:div w:id="1463420791">
      <w:bodyDiv w:val="1"/>
      <w:marLeft w:val="0"/>
      <w:marRight w:val="0"/>
      <w:marTop w:val="0"/>
      <w:marBottom w:val="0"/>
      <w:divBdr>
        <w:top w:val="none" w:sz="0" w:space="0" w:color="auto"/>
        <w:left w:val="none" w:sz="0" w:space="0" w:color="auto"/>
        <w:bottom w:val="none" w:sz="0" w:space="0" w:color="auto"/>
        <w:right w:val="none" w:sz="0" w:space="0" w:color="auto"/>
      </w:divBdr>
    </w:div>
    <w:div w:id="1512262890">
      <w:bodyDiv w:val="1"/>
      <w:marLeft w:val="0"/>
      <w:marRight w:val="0"/>
      <w:marTop w:val="0"/>
      <w:marBottom w:val="0"/>
      <w:divBdr>
        <w:top w:val="none" w:sz="0" w:space="0" w:color="auto"/>
        <w:left w:val="none" w:sz="0" w:space="0" w:color="auto"/>
        <w:bottom w:val="none" w:sz="0" w:space="0" w:color="auto"/>
        <w:right w:val="none" w:sz="0" w:space="0" w:color="auto"/>
      </w:divBdr>
      <w:divsChild>
        <w:div w:id="323709635">
          <w:marLeft w:val="0"/>
          <w:marRight w:val="0"/>
          <w:marTop w:val="0"/>
          <w:marBottom w:val="0"/>
          <w:divBdr>
            <w:top w:val="none" w:sz="0" w:space="0" w:color="auto"/>
            <w:left w:val="none" w:sz="0" w:space="0" w:color="auto"/>
            <w:bottom w:val="none" w:sz="0" w:space="0" w:color="auto"/>
            <w:right w:val="none" w:sz="0" w:space="0" w:color="auto"/>
          </w:divBdr>
        </w:div>
        <w:div w:id="1573469170">
          <w:marLeft w:val="0"/>
          <w:marRight w:val="0"/>
          <w:marTop w:val="0"/>
          <w:marBottom w:val="0"/>
          <w:divBdr>
            <w:top w:val="none" w:sz="0" w:space="0" w:color="auto"/>
            <w:left w:val="none" w:sz="0" w:space="0" w:color="auto"/>
            <w:bottom w:val="none" w:sz="0" w:space="0" w:color="auto"/>
            <w:right w:val="none" w:sz="0" w:space="0" w:color="auto"/>
          </w:divBdr>
        </w:div>
      </w:divsChild>
    </w:div>
    <w:div w:id="1607351843">
      <w:bodyDiv w:val="1"/>
      <w:marLeft w:val="0"/>
      <w:marRight w:val="0"/>
      <w:marTop w:val="0"/>
      <w:marBottom w:val="0"/>
      <w:divBdr>
        <w:top w:val="none" w:sz="0" w:space="0" w:color="auto"/>
        <w:left w:val="none" w:sz="0" w:space="0" w:color="auto"/>
        <w:bottom w:val="none" w:sz="0" w:space="0" w:color="auto"/>
        <w:right w:val="none" w:sz="0" w:space="0" w:color="auto"/>
      </w:divBdr>
    </w:div>
    <w:div w:id="1939560619">
      <w:bodyDiv w:val="1"/>
      <w:marLeft w:val="0"/>
      <w:marRight w:val="0"/>
      <w:marTop w:val="0"/>
      <w:marBottom w:val="0"/>
      <w:divBdr>
        <w:top w:val="none" w:sz="0" w:space="0" w:color="auto"/>
        <w:left w:val="none" w:sz="0" w:space="0" w:color="auto"/>
        <w:bottom w:val="none" w:sz="0" w:space="0" w:color="auto"/>
        <w:right w:val="none" w:sz="0" w:space="0" w:color="auto"/>
      </w:divBdr>
    </w:div>
    <w:div w:id="21235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f85d5583cb8f49b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d5dd543533b34f1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4945-4B43-4568-A883-AE358129E816}">
  <ds:schemaRefs>
    <ds:schemaRef ds:uri="http://schemas.microsoft.com/sharepoint/v3/contenttype/forms"/>
  </ds:schemaRefs>
</ds:datastoreItem>
</file>

<file path=customXml/itemProps2.xml><?xml version="1.0" encoding="utf-8"?>
<ds:datastoreItem xmlns:ds="http://schemas.openxmlformats.org/officeDocument/2006/customXml" ds:itemID="{D2EF7F44-9D73-4032-8EBB-DF67BBB1A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FFD0A-28D3-46BA-BFF5-D5829B9C4BB6}">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9D3C685D-C10B-4A35-874F-22B212FF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2623</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Radicación Nro</vt:lpstr>
    </vt:vector>
  </TitlesOfParts>
  <Company>Trabajo</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Radicación Nro</dc:title>
  <dc:subject/>
  <dc:creator>Personal</dc:creator>
  <cp:keywords/>
  <dc:description/>
  <cp:lastModifiedBy>samsung</cp:lastModifiedBy>
  <cp:revision>11</cp:revision>
  <cp:lastPrinted>2023-02-27T16:04:00Z</cp:lastPrinted>
  <dcterms:created xsi:type="dcterms:W3CDTF">2023-07-19T17:14:00Z</dcterms:created>
  <dcterms:modified xsi:type="dcterms:W3CDTF">2023-09-13T16:19:00Z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