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2C8AB" w14:textId="78C3E11B" w:rsidR="00332E63" w:rsidRPr="00332E63" w:rsidRDefault="002C326B" w:rsidP="006A6AB8">
      <w:pPr>
        <w:spacing w:line="240" w:lineRule="auto"/>
        <w:rPr>
          <w:rFonts w:ascii="Arial" w:hAnsi="Arial" w:cs="Arial"/>
          <w:b/>
          <w:sz w:val="20"/>
          <w:szCs w:val="20"/>
        </w:rPr>
      </w:pPr>
      <w:r w:rsidRPr="00332E63">
        <w:rPr>
          <w:rFonts w:ascii="Arial" w:hAnsi="Arial" w:cs="Arial"/>
          <w:b/>
          <w:sz w:val="20"/>
          <w:szCs w:val="20"/>
        </w:rPr>
        <w:t>EXCEPCIÓN PREVIA / FALTA DE COMPETENCIA / ARTÍCULO 2° CPT</w:t>
      </w:r>
    </w:p>
    <w:p w14:paraId="45A37AF4" w14:textId="1B68516B" w:rsidR="00B166A2" w:rsidRDefault="00332E63" w:rsidP="006A6AB8">
      <w:pPr>
        <w:spacing w:line="240" w:lineRule="auto"/>
        <w:rPr>
          <w:rFonts w:ascii="Arial" w:hAnsi="Arial" w:cs="Arial"/>
          <w:sz w:val="20"/>
          <w:szCs w:val="20"/>
        </w:rPr>
      </w:pPr>
      <w:r w:rsidRPr="00332E63">
        <w:rPr>
          <w:rFonts w:ascii="Arial" w:hAnsi="Arial" w:cs="Arial"/>
          <w:sz w:val="20"/>
          <w:szCs w:val="20"/>
        </w:rPr>
        <w:t>En cuanto a las reglas de competencia de la jurisdicción ordinaria en sus especialidades laboral y de seguridad social, se encuentra que el artículo 2º del Código Procesal del Trabajo y de la Seguridad Social</w:t>
      </w:r>
      <w:r>
        <w:rPr>
          <w:rFonts w:ascii="Arial" w:hAnsi="Arial" w:cs="Arial"/>
          <w:sz w:val="20"/>
          <w:szCs w:val="20"/>
        </w:rPr>
        <w:t>…</w:t>
      </w:r>
      <w:r w:rsidRPr="00332E63">
        <w:rPr>
          <w:rFonts w:ascii="Arial" w:hAnsi="Arial" w:cs="Arial"/>
          <w:sz w:val="20"/>
          <w:szCs w:val="20"/>
        </w:rPr>
        <w:t xml:space="preserve"> precisa que será competencia de la jurisdicción ordinaria, en sus especialidades laboral y de la seguridad social, “las controversias relativas a la prestación de los servicios de la seguridad social que se susciten entre los afiliados o usuarios, los empleadores y las entidades administradoras o prestadoras y beneficiarios con las entidades administradoras y prestadoras de los servicios de seguridad social, salvo los de responsabilidad médica y los relacionados con contratos”.</w:t>
      </w:r>
    </w:p>
    <w:p w14:paraId="34C2FD4C" w14:textId="0C082CA6" w:rsidR="00B166A2" w:rsidRDefault="00B166A2" w:rsidP="006A6AB8">
      <w:pPr>
        <w:spacing w:line="240" w:lineRule="auto"/>
        <w:rPr>
          <w:rFonts w:ascii="Arial" w:hAnsi="Arial" w:cs="Arial"/>
          <w:sz w:val="20"/>
          <w:szCs w:val="20"/>
        </w:rPr>
      </w:pPr>
    </w:p>
    <w:p w14:paraId="2F8FC153" w14:textId="24CDC6B8" w:rsidR="00332E63" w:rsidRPr="00332E63" w:rsidRDefault="002C326B" w:rsidP="00332E63">
      <w:pPr>
        <w:spacing w:line="240" w:lineRule="auto"/>
        <w:rPr>
          <w:rFonts w:ascii="Arial" w:hAnsi="Arial" w:cs="Arial"/>
          <w:b/>
          <w:sz w:val="20"/>
          <w:szCs w:val="20"/>
        </w:rPr>
      </w:pPr>
      <w:r w:rsidRPr="00332E63">
        <w:rPr>
          <w:rFonts w:ascii="Arial" w:hAnsi="Arial" w:cs="Arial"/>
          <w:b/>
          <w:sz w:val="20"/>
          <w:szCs w:val="20"/>
        </w:rPr>
        <w:t>EXCEPCIÓN PREVIA / ARTÍCULO 2° CPT</w:t>
      </w:r>
      <w:r>
        <w:rPr>
          <w:rFonts w:ascii="Arial" w:hAnsi="Arial" w:cs="Arial"/>
          <w:b/>
          <w:sz w:val="20"/>
          <w:szCs w:val="20"/>
        </w:rPr>
        <w:t xml:space="preserve"> / REGLA GENERAL DE COMPETENCIA</w:t>
      </w:r>
    </w:p>
    <w:p w14:paraId="30A58751" w14:textId="3F9C9877" w:rsidR="00332E63" w:rsidRDefault="000D3F3D" w:rsidP="006A6AB8">
      <w:pPr>
        <w:spacing w:line="240" w:lineRule="auto"/>
        <w:rPr>
          <w:rFonts w:ascii="Arial" w:hAnsi="Arial" w:cs="Arial"/>
          <w:sz w:val="20"/>
          <w:szCs w:val="20"/>
        </w:rPr>
      </w:pPr>
      <w:r w:rsidRPr="000D3F3D">
        <w:rPr>
          <w:rFonts w:ascii="Arial" w:hAnsi="Arial" w:cs="Arial"/>
          <w:sz w:val="20"/>
          <w:szCs w:val="20"/>
        </w:rPr>
        <w:t>Este precepto ha sido interpretado por los distintos órganos de cierre jurisdiccional como una cláusula general de competencia, con arreglo a la cual la jurisdicción ordinaria, en su especialidad laboral y de la seguridad social, tiene la competencia preferente y residual para conocer las controversias que versen sobre asuntos de derecho laboral o referentes al sistema de seguridad social, en razón de lo cual, la especialidad civil de la jurisdicción ordinaria y la jurisdicción de lo contencioso administrativo sólo son competentes para conocer controversias que versen sobre estas materias si existe una regla o cláusula especial de competencia que les asigne el conocimiento de determinado tipo de conflictos.</w:t>
      </w:r>
    </w:p>
    <w:p w14:paraId="441C5B43" w14:textId="0EE5E399" w:rsidR="00332E63" w:rsidRDefault="00332E63" w:rsidP="006A6AB8">
      <w:pPr>
        <w:spacing w:line="240" w:lineRule="auto"/>
        <w:rPr>
          <w:rFonts w:ascii="Arial" w:hAnsi="Arial" w:cs="Arial"/>
          <w:sz w:val="20"/>
          <w:szCs w:val="20"/>
        </w:rPr>
      </w:pPr>
    </w:p>
    <w:p w14:paraId="4591D7A5" w14:textId="2CAFF895" w:rsidR="00D86594" w:rsidRPr="00332E63" w:rsidRDefault="002C326B" w:rsidP="00D86594">
      <w:pPr>
        <w:spacing w:line="240" w:lineRule="auto"/>
        <w:rPr>
          <w:rFonts w:ascii="Arial" w:hAnsi="Arial" w:cs="Arial"/>
          <w:b/>
          <w:sz w:val="20"/>
          <w:szCs w:val="20"/>
        </w:rPr>
      </w:pPr>
      <w:r>
        <w:rPr>
          <w:rFonts w:ascii="Arial" w:hAnsi="Arial" w:cs="Arial"/>
          <w:b/>
          <w:sz w:val="20"/>
          <w:szCs w:val="20"/>
        </w:rPr>
        <w:t>COBRO PERJUICIOS POR TRASLADO DE RÉGIMEN PENSIONAL / COMPETE A LA JURISDICCIÓN LABORAL</w:t>
      </w:r>
    </w:p>
    <w:p w14:paraId="24591849" w14:textId="22090A37" w:rsidR="00332E63" w:rsidRPr="00D86594" w:rsidRDefault="00D86594" w:rsidP="00D86594">
      <w:pPr>
        <w:spacing w:line="240" w:lineRule="auto"/>
        <w:rPr>
          <w:rFonts w:ascii="Arial" w:hAnsi="Arial" w:cs="Arial"/>
          <w:sz w:val="20"/>
          <w:szCs w:val="20"/>
        </w:rPr>
      </w:pPr>
      <w:r>
        <w:rPr>
          <w:rFonts w:ascii="Arial" w:hAnsi="Arial" w:cs="Arial"/>
          <w:sz w:val="20"/>
          <w:szCs w:val="20"/>
        </w:rPr>
        <w:t xml:space="preserve">… </w:t>
      </w:r>
      <w:r w:rsidRPr="00D86594">
        <w:rPr>
          <w:rFonts w:ascii="Arial" w:hAnsi="Arial" w:cs="Arial"/>
          <w:sz w:val="20"/>
          <w:szCs w:val="20"/>
        </w:rPr>
        <w:t>es evidente que este asunto donde se pretende el reconocimiento de los perjuicios derivados del supuesto incumplimiento del deber de información y buen consejo que se atribuye a la AFP demandada, corresponde al conocimiento de la jurisdicción laboral, pues como ya lo ha dicho esta Sala, el mismo emerge de una relación entre el afiliado y la entidad administradora de los servicios de la seguridad social.</w:t>
      </w:r>
    </w:p>
    <w:p w14:paraId="64AA8A21" w14:textId="77777777" w:rsidR="00B166A2" w:rsidRDefault="00B166A2" w:rsidP="006A6AB8">
      <w:pPr>
        <w:spacing w:line="240" w:lineRule="auto"/>
        <w:rPr>
          <w:rFonts w:ascii="Arial" w:hAnsi="Arial" w:cs="Arial"/>
          <w:sz w:val="20"/>
          <w:szCs w:val="20"/>
        </w:rPr>
      </w:pPr>
    </w:p>
    <w:p w14:paraId="01141B93" w14:textId="77777777" w:rsidR="00B166A2" w:rsidRDefault="00B166A2" w:rsidP="006A6AB8">
      <w:pPr>
        <w:spacing w:line="240" w:lineRule="auto"/>
        <w:rPr>
          <w:rFonts w:ascii="Arial" w:hAnsi="Arial" w:cs="Arial"/>
          <w:sz w:val="20"/>
          <w:szCs w:val="20"/>
        </w:rPr>
      </w:pPr>
    </w:p>
    <w:p w14:paraId="7265A253" w14:textId="77777777" w:rsidR="00B166A2" w:rsidRDefault="00B166A2" w:rsidP="006A6AB8">
      <w:pPr>
        <w:spacing w:line="240" w:lineRule="auto"/>
        <w:rPr>
          <w:rFonts w:ascii="Arial" w:hAnsi="Arial" w:cs="Arial"/>
          <w:sz w:val="20"/>
          <w:szCs w:val="20"/>
        </w:rPr>
      </w:pPr>
    </w:p>
    <w:p w14:paraId="7008FC06" w14:textId="7B727E56" w:rsidR="00853DD1" w:rsidRPr="006A6AB8" w:rsidRDefault="00853DD1" w:rsidP="006A6AB8">
      <w:pPr>
        <w:spacing w:line="240" w:lineRule="auto"/>
        <w:rPr>
          <w:rFonts w:ascii="Arial" w:hAnsi="Arial" w:cs="Arial"/>
          <w:sz w:val="20"/>
          <w:szCs w:val="20"/>
        </w:rPr>
      </w:pPr>
      <w:r w:rsidRPr="006A6AB8">
        <w:rPr>
          <w:rFonts w:ascii="Arial" w:hAnsi="Arial" w:cs="Arial"/>
          <w:sz w:val="20"/>
          <w:szCs w:val="20"/>
        </w:rPr>
        <w:t xml:space="preserve">Radicación No.: </w:t>
      </w:r>
      <w:bookmarkStart w:id="0" w:name="_GoBack"/>
      <w:r w:rsidRPr="006A6AB8">
        <w:rPr>
          <w:rFonts w:ascii="Arial" w:hAnsi="Arial" w:cs="Arial"/>
          <w:sz w:val="20"/>
          <w:szCs w:val="20"/>
        </w:rPr>
        <w:t>66001310500</w:t>
      </w:r>
      <w:r w:rsidR="009044D2" w:rsidRPr="006A6AB8">
        <w:rPr>
          <w:rFonts w:ascii="Arial" w:hAnsi="Arial" w:cs="Arial"/>
          <w:sz w:val="20"/>
          <w:szCs w:val="20"/>
        </w:rPr>
        <w:t>4</w:t>
      </w:r>
      <w:r w:rsidR="009C58CC" w:rsidRPr="006A6AB8">
        <w:rPr>
          <w:rFonts w:ascii="Arial" w:hAnsi="Arial" w:cs="Arial"/>
          <w:sz w:val="20"/>
          <w:szCs w:val="20"/>
        </w:rPr>
        <w:t>2021003</w:t>
      </w:r>
      <w:r w:rsidR="009044D2" w:rsidRPr="006A6AB8">
        <w:rPr>
          <w:rFonts w:ascii="Arial" w:hAnsi="Arial" w:cs="Arial"/>
          <w:sz w:val="20"/>
          <w:szCs w:val="20"/>
        </w:rPr>
        <w:t>73</w:t>
      </w:r>
      <w:r w:rsidR="009C58CC" w:rsidRPr="006A6AB8">
        <w:rPr>
          <w:rFonts w:ascii="Arial" w:hAnsi="Arial" w:cs="Arial"/>
          <w:sz w:val="20"/>
          <w:szCs w:val="20"/>
        </w:rPr>
        <w:t>01</w:t>
      </w:r>
      <w:bookmarkEnd w:id="0"/>
    </w:p>
    <w:p w14:paraId="23B960C7" w14:textId="66CCDF47" w:rsidR="00853DD1" w:rsidRPr="006A6AB8" w:rsidRDefault="00853DD1" w:rsidP="006A6AB8">
      <w:pPr>
        <w:spacing w:line="240" w:lineRule="auto"/>
        <w:rPr>
          <w:rFonts w:ascii="Arial" w:hAnsi="Arial" w:cs="Arial"/>
          <w:sz w:val="20"/>
          <w:szCs w:val="20"/>
        </w:rPr>
      </w:pPr>
      <w:r w:rsidRPr="006A6AB8">
        <w:rPr>
          <w:rFonts w:ascii="Arial" w:hAnsi="Arial" w:cs="Arial"/>
          <w:sz w:val="20"/>
          <w:szCs w:val="20"/>
        </w:rPr>
        <w:t xml:space="preserve">Proceso: </w:t>
      </w:r>
      <w:r w:rsidRPr="006A6AB8">
        <w:rPr>
          <w:rFonts w:ascii="Arial" w:hAnsi="Arial" w:cs="Arial"/>
          <w:sz w:val="20"/>
          <w:szCs w:val="20"/>
        </w:rPr>
        <w:tab/>
        <w:t xml:space="preserve">Ordinario Laboral </w:t>
      </w:r>
    </w:p>
    <w:p w14:paraId="19C269AB" w14:textId="5C9E8F04" w:rsidR="00853DD1" w:rsidRPr="006A6AB8" w:rsidRDefault="00853DD1" w:rsidP="006A6AB8">
      <w:pPr>
        <w:spacing w:line="240" w:lineRule="auto"/>
        <w:rPr>
          <w:rFonts w:ascii="Arial" w:hAnsi="Arial" w:cs="Arial"/>
          <w:sz w:val="20"/>
          <w:szCs w:val="20"/>
        </w:rPr>
      </w:pPr>
      <w:r w:rsidRPr="006A6AB8">
        <w:rPr>
          <w:rFonts w:ascii="Arial" w:hAnsi="Arial" w:cs="Arial"/>
          <w:sz w:val="20"/>
          <w:szCs w:val="20"/>
        </w:rPr>
        <w:t xml:space="preserve">Demandante: </w:t>
      </w:r>
      <w:r w:rsidRPr="006A6AB8">
        <w:rPr>
          <w:rFonts w:ascii="Arial" w:hAnsi="Arial" w:cs="Arial"/>
          <w:sz w:val="20"/>
          <w:szCs w:val="20"/>
        </w:rPr>
        <w:tab/>
      </w:r>
      <w:r w:rsidR="009044D2" w:rsidRPr="006A6AB8">
        <w:rPr>
          <w:rFonts w:ascii="Arial" w:hAnsi="Arial" w:cs="Arial"/>
          <w:sz w:val="20"/>
          <w:szCs w:val="20"/>
        </w:rPr>
        <w:t>Clemencia Echevarría López</w:t>
      </w:r>
    </w:p>
    <w:p w14:paraId="525C8183" w14:textId="49E17FB1" w:rsidR="00853DD1" w:rsidRPr="006A6AB8" w:rsidRDefault="00853DD1" w:rsidP="006A6AB8">
      <w:pPr>
        <w:spacing w:line="240" w:lineRule="auto"/>
        <w:rPr>
          <w:rFonts w:ascii="Arial" w:hAnsi="Arial" w:cs="Arial"/>
          <w:sz w:val="20"/>
          <w:szCs w:val="20"/>
        </w:rPr>
      </w:pPr>
      <w:r w:rsidRPr="006A6AB8">
        <w:rPr>
          <w:rFonts w:ascii="Arial" w:hAnsi="Arial" w:cs="Arial"/>
          <w:sz w:val="20"/>
          <w:szCs w:val="20"/>
        </w:rPr>
        <w:t xml:space="preserve">Demandado: </w:t>
      </w:r>
      <w:r w:rsidRPr="006A6AB8">
        <w:rPr>
          <w:rFonts w:ascii="Arial" w:hAnsi="Arial" w:cs="Arial"/>
          <w:sz w:val="20"/>
          <w:szCs w:val="20"/>
        </w:rPr>
        <w:tab/>
      </w:r>
      <w:r w:rsidR="009838A5" w:rsidRPr="006A6AB8">
        <w:rPr>
          <w:rFonts w:ascii="Arial" w:hAnsi="Arial" w:cs="Arial"/>
          <w:sz w:val="20"/>
          <w:szCs w:val="20"/>
        </w:rPr>
        <w:t>Porvenir S.A. y Protección S.A.</w:t>
      </w:r>
    </w:p>
    <w:p w14:paraId="41E167DD" w14:textId="6AEC9113" w:rsidR="00853DD1" w:rsidRPr="006A6AB8" w:rsidRDefault="00853DD1" w:rsidP="006A6AB8">
      <w:pPr>
        <w:spacing w:line="240" w:lineRule="auto"/>
        <w:rPr>
          <w:rFonts w:ascii="Arial" w:hAnsi="Arial" w:cs="Arial"/>
          <w:sz w:val="20"/>
          <w:szCs w:val="20"/>
        </w:rPr>
      </w:pPr>
      <w:r w:rsidRPr="006A6AB8">
        <w:rPr>
          <w:rFonts w:ascii="Arial" w:hAnsi="Arial" w:cs="Arial"/>
          <w:sz w:val="20"/>
          <w:szCs w:val="20"/>
        </w:rPr>
        <w:t xml:space="preserve">Juzgado: </w:t>
      </w:r>
      <w:r w:rsidRPr="006A6AB8">
        <w:rPr>
          <w:rFonts w:ascii="Arial" w:hAnsi="Arial" w:cs="Arial"/>
          <w:sz w:val="20"/>
          <w:szCs w:val="20"/>
        </w:rPr>
        <w:tab/>
      </w:r>
      <w:r w:rsidR="009044D2" w:rsidRPr="006A6AB8">
        <w:rPr>
          <w:rFonts w:ascii="Arial" w:hAnsi="Arial" w:cs="Arial"/>
          <w:sz w:val="20"/>
          <w:szCs w:val="20"/>
        </w:rPr>
        <w:t>Cuarto</w:t>
      </w:r>
      <w:r w:rsidR="00CA4661" w:rsidRPr="006A6AB8">
        <w:rPr>
          <w:rFonts w:ascii="Arial" w:hAnsi="Arial" w:cs="Arial"/>
          <w:sz w:val="20"/>
          <w:szCs w:val="20"/>
        </w:rPr>
        <w:t xml:space="preserve"> Laboral</w:t>
      </w:r>
      <w:r w:rsidRPr="006A6AB8">
        <w:rPr>
          <w:rFonts w:ascii="Arial" w:hAnsi="Arial" w:cs="Arial"/>
          <w:sz w:val="20"/>
          <w:szCs w:val="20"/>
        </w:rPr>
        <w:t xml:space="preserve"> del Circuito de Pereira</w:t>
      </w:r>
    </w:p>
    <w:p w14:paraId="7E11F062" w14:textId="73C3600B" w:rsidR="00B02A64" w:rsidRDefault="00B02A64" w:rsidP="006A6AB8">
      <w:pPr>
        <w:spacing w:line="240" w:lineRule="auto"/>
        <w:rPr>
          <w:rFonts w:ascii="Arial" w:hAnsi="Arial" w:cs="Arial"/>
          <w:sz w:val="20"/>
          <w:szCs w:val="20"/>
        </w:rPr>
      </w:pPr>
    </w:p>
    <w:p w14:paraId="29487365" w14:textId="77777777" w:rsidR="006A6AB8" w:rsidRPr="006A6AB8" w:rsidRDefault="006A6AB8" w:rsidP="006A6AB8">
      <w:pPr>
        <w:spacing w:line="240" w:lineRule="auto"/>
        <w:rPr>
          <w:rFonts w:ascii="Arial" w:hAnsi="Arial" w:cs="Arial"/>
          <w:sz w:val="20"/>
          <w:szCs w:val="20"/>
        </w:rPr>
      </w:pPr>
    </w:p>
    <w:p w14:paraId="4020E701" w14:textId="77777777" w:rsidR="009C58CC" w:rsidRPr="006A6AB8" w:rsidRDefault="009C58CC" w:rsidP="006A6AB8">
      <w:pPr>
        <w:spacing w:line="240" w:lineRule="auto"/>
        <w:rPr>
          <w:rFonts w:ascii="Arial" w:eastAsia="Times New Roman" w:hAnsi="Arial" w:cs="Arial"/>
          <w:sz w:val="20"/>
          <w:szCs w:val="20"/>
          <w:lang w:eastAsia="es-ES"/>
        </w:rPr>
      </w:pPr>
    </w:p>
    <w:p w14:paraId="77692821" w14:textId="77777777" w:rsidR="00C06E5E" w:rsidRPr="00C06E5E" w:rsidRDefault="00C06E5E" w:rsidP="00C06E5E">
      <w:pPr>
        <w:spacing w:line="276" w:lineRule="auto"/>
        <w:jc w:val="center"/>
        <w:rPr>
          <w:rFonts w:eastAsia="Times New Roman" w:cs="Tahoma"/>
          <w:b/>
          <w:iCs/>
          <w:spacing w:val="-4"/>
          <w:szCs w:val="24"/>
          <w:lang w:val="es-CO" w:eastAsia="es-ES"/>
        </w:rPr>
      </w:pPr>
      <w:r w:rsidRPr="00C06E5E">
        <w:rPr>
          <w:rFonts w:eastAsia="Times New Roman" w:cs="Tahoma"/>
          <w:b/>
          <w:bCs/>
          <w:iCs/>
          <w:spacing w:val="-4"/>
          <w:szCs w:val="24"/>
          <w:lang w:val="es-CO" w:eastAsia="es-ES"/>
        </w:rPr>
        <w:t>TRIBUNAL SUPERIOR DEL DISTRITO JUDICIAL DE PEREIRA</w:t>
      </w:r>
    </w:p>
    <w:p w14:paraId="183566DD" w14:textId="77777777" w:rsidR="00C06E5E" w:rsidRPr="00C06E5E" w:rsidRDefault="00C06E5E" w:rsidP="00C06E5E">
      <w:pPr>
        <w:spacing w:line="276" w:lineRule="auto"/>
        <w:jc w:val="center"/>
        <w:rPr>
          <w:rFonts w:eastAsia="Times New Roman" w:cs="Tahoma"/>
          <w:b/>
          <w:iCs/>
          <w:spacing w:val="-4"/>
          <w:szCs w:val="24"/>
          <w:lang w:val="es-CO" w:eastAsia="es-ES"/>
        </w:rPr>
      </w:pPr>
      <w:r w:rsidRPr="00C06E5E">
        <w:rPr>
          <w:rFonts w:eastAsia="Times New Roman" w:cs="Tahoma"/>
          <w:b/>
          <w:bCs/>
          <w:iCs/>
          <w:spacing w:val="-4"/>
          <w:szCs w:val="24"/>
          <w:lang w:val="es-CO" w:eastAsia="es-ES"/>
        </w:rPr>
        <w:t>SALA PRIMERA DE DECISIÓN LABORAL</w:t>
      </w:r>
    </w:p>
    <w:p w14:paraId="53B7DCEA" w14:textId="77777777" w:rsidR="00C06E5E" w:rsidRPr="00C06E5E" w:rsidRDefault="00C06E5E" w:rsidP="00C06E5E">
      <w:pPr>
        <w:spacing w:line="276" w:lineRule="auto"/>
        <w:jc w:val="center"/>
        <w:rPr>
          <w:rFonts w:eastAsia="Times New Roman" w:cs="Tahoma"/>
          <w:bCs/>
          <w:spacing w:val="-4"/>
          <w:szCs w:val="24"/>
          <w:lang w:val="es-CO" w:eastAsia="es-ES"/>
        </w:rPr>
      </w:pPr>
    </w:p>
    <w:p w14:paraId="4FA2D26D" w14:textId="77777777" w:rsidR="00C06E5E" w:rsidRPr="00C06E5E" w:rsidRDefault="00C06E5E" w:rsidP="00C06E5E">
      <w:pPr>
        <w:spacing w:line="276" w:lineRule="auto"/>
        <w:jc w:val="center"/>
        <w:rPr>
          <w:rFonts w:eastAsia="Times New Roman" w:cs="Tahoma"/>
          <w:spacing w:val="-4"/>
          <w:szCs w:val="24"/>
          <w:lang w:val="es-CO" w:eastAsia="es-ES"/>
        </w:rPr>
      </w:pPr>
      <w:r w:rsidRPr="00C06E5E">
        <w:rPr>
          <w:rFonts w:eastAsia="Times New Roman" w:cs="Tahoma"/>
          <w:spacing w:val="-4"/>
          <w:szCs w:val="24"/>
          <w:lang w:val="es-CO" w:eastAsia="es-ES"/>
        </w:rPr>
        <w:t>Magistrada Ponente: </w:t>
      </w:r>
      <w:r w:rsidRPr="00C06E5E">
        <w:rPr>
          <w:rFonts w:eastAsia="Times New Roman" w:cs="Tahoma"/>
          <w:b/>
          <w:bCs/>
          <w:spacing w:val="-4"/>
          <w:szCs w:val="24"/>
          <w:lang w:val="es-CO" w:eastAsia="es-ES"/>
        </w:rPr>
        <w:t>Ana Lucía Caicedo Calderón</w:t>
      </w:r>
    </w:p>
    <w:p w14:paraId="346F7C23" w14:textId="77777777" w:rsidR="00C06E5E" w:rsidRPr="00C06E5E" w:rsidRDefault="00C06E5E" w:rsidP="00C06E5E">
      <w:pPr>
        <w:spacing w:line="276" w:lineRule="auto"/>
        <w:jc w:val="center"/>
        <w:rPr>
          <w:rFonts w:eastAsia="Times New Roman" w:cs="Tahoma"/>
          <w:spacing w:val="-4"/>
          <w:szCs w:val="24"/>
          <w:lang w:val="es-CO" w:eastAsia="es-ES"/>
        </w:rPr>
      </w:pPr>
    </w:p>
    <w:p w14:paraId="6B89C189" w14:textId="59CFCD35" w:rsidR="009044D2" w:rsidRPr="00C42820" w:rsidRDefault="009044D2" w:rsidP="00C42820">
      <w:pPr>
        <w:spacing w:line="276" w:lineRule="auto"/>
        <w:mirrorIndents/>
        <w:jc w:val="center"/>
        <w:rPr>
          <w:rFonts w:cs="Tahoma"/>
          <w:szCs w:val="24"/>
          <w:lang w:val="es-CO"/>
        </w:rPr>
      </w:pPr>
      <w:r w:rsidRPr="00C42820">
        <w:rPr>
          <w:rFonts w:cs="Tahoma"/>
          <w:szCs w:val="24"/>
        </w:rPr>
        <w:t xml:space="preserve">Pereira, Risaralda, </w:t>
      </w:r>
      <w:r w:rsidR="691BBDC6" w:rsidRPr="00C42820">
        <w:rPr>
          <w:rFonts w:cs="Tahoma"/>
          <w:szCs w:val="24"/>
        </w:rPr>
        <w:t>catorce</w:t>
      </w:r>
      <w:r w:rsidRPr="00C42820">
        <w:rPr>
          <w:rFonts w:cs="Tahoma"/>
          <w:szCs w:val="24"/>
        </w:rPr>
        <w:t xml:space="preserve"> (1</w:t>
      </w:r>
      <w:r w:rsidR="0BBD56BE" w:rsidRPr="00C42820">
        <w:rPr>
          <w:rFonts w:cs="Tahoma"/>
          <w:szCs w:val="24"/>
        </w:rPr>
        <w:t>4</w:t>
      </w:r>
      <w:r w:rsidRPr="00C42820">
        <w:rPr>
          <w:rFonts w:cs="Tahoma"/>
          <w:szCs w:val="24"/>
        </w:rPr>
        <w:t>) de julio de dos mil veintitrés (2023)  </w:t>
      </w:r>
    </w:p>
    <w:p w14:paraId="1ED292FE" w14:textId="18F8782F" w:rsidR="009044D2" w:rsidRPr="00C42820" w:rsidRDefault="009044D2" w:rsidP="00C42820">
      <w:pPr>
        <w:spacing w:line="276" w:lineRule="auto"/>
        <w:mirrorIndents/>
        <w:jc w:val="center"/>
        <w:rPr>
          <w:rFonts w:cs="Tahoma"/>
          <w:szCs w:val="24"/>
        </w:rPr>
      </w:pPr>
      <w:r w:rsidRPr="00C42820">
        <w:rPr>
          <w:rFonts w:cs="Tahoma"/>
          <w:szCs w:val="24"/>
        </w:rPr>
        <w:t> Acta No. </w:t>
      </w:r>
      <w:r w:rsidR="39B440E0" w:rsidRPr="00C42820">
        <w:rPr>
          <w:rFonts w:cs="Tahoma"/>
          <w:szCs w:val="24"/>
        </w:rPr>
        <w:t>111</w:t>
      </w:r>
      <w:r w:rsidRPr="00C42820">
        <w:rPr>
          <w:rFonts w:cs="Tahoma"/>
          <w:szCs w:val="24"/>
        </w:rPr>
        <w:t xml:space="preserve"> del 1</w:t>
      </w:r>
      <w:r w:rsidR="2CFA45F6" w:rsidRPr="00C42820">
        <w:rPr>
          <w:rFonts w:cs="Tahoma"/>
          <w:szCs w:val="24"/>
        </w:rPr>
        <w:t>3</w:t>
      </w:r>
      <w:r w:rsidRPr="00C42820">
        <w:rPr>
          <w:rFonts w:cs="Tahoma"/>
          <w:szCs w:val="24"/>
        </w:rPr>
        <w:t xml:space="preserve"> de julio de 2023 </w:t>
      </w:r>
    </w:p>
    <w:p w14:paraId="32ADF1A1" w14:textId="108675B3" w:rsidR="00B02A64" w:rsidRDefault="00B02A64" w:rsidP="00C42820">
      <w:pPr>
        <w:spacing w:line="276" w:lineRule="auto"/>
        <w:rPr>
          <w:rFonts w:cs="Tahoma"/>
          <w:b/>
          <w:szCs w:val="24"/>
        </w:rPr>
      </w:pPr>
    </w:p>
    <w:p w14:paraId="115E07CE" w14:textId="77777777" w:rsidR="006A6AB8" w:rsidRPr="00C42820" w:rsidRDefault="006A6AB8" w:rsidP="00C42820">
      <w:pPr>
        <w:spacing w:line="276" w:lineRule="auto"/>
        <w:rPr>
          <w:rFonts w:cs="Tahoma"/>
          <w:b/>
          <w:szCs w:val="24"/>
        </w:rPr>
      </w:pPr>
    </w:p>
    <w:p w14:paraId="47E68BDA" w14:textId="6234CDE7" w:rsidR="00D6519D" w:rsidRPr="00C42820" w:rsidRDefault="00B02A64" w:rsidP="00C42820">
      <w:pPr>
        <w:spacing w:line="276" w:lineRule="auto"/>
        <w:ind w:firstLine="709"/>
        <w:rPr>
          <w:rFonts w:cs="Tahoma"/>
          <w:b/>
          <w:szCs w:val="24"/>
        </w:rPr>
      </w:pPr>
      <w:r w:rsidRPr="00C42820">
        <w:rPr>
          <w:rFonts w:cs="Tahoma"/>
          <w:szCs w:val="24"/>
        </w:rPr>
        <w:t>Teniendo en cuenta que el artículo 1</w:t>
      </w:r>
      <w:r w:rsidR="006200A6" w:rsidRPr="00C42820">
        <w:rPr>
          <w:rFonts w:cs="Tahoma"/>
          <w:szCs w:val="24"/>
        </w:rPr>
        <w:t xml:space="preserve">3 de la Ley 2213 de 2022 </w:t>
      </w:r>
      <w:r w:rsidRPr="00C42820">
        <w:rPr>
          <w:rFonts w:cs="Tahoma"/>
          <w:szCs w:val="24"/>
        </w:rPr>
        <w:t>, estableció que en la</w:t>
      </w:r>
      <w:r w:rsidR="006200A6" w:rsidRPr="00C42820">
        <w:rPr>
          <w:rFonts w:cs="Tahoma"/>
          <w:szCs w:val="24"/>
        </w:rPr>
        <w:t xml:space="preserve"> </w:t>
      </w:r>
      <w:r w:rsidRPr="00C42820">
        <w:rPr>
          <w:rFonts w:cs="Tahoma"/>
          <w:szCs w:val="24"/>
        </w:rPr>
        <w:t>especialidad laboral se proferirán por escrito las providencias de segunda instancia</w:t>
      </w:r>
      <w:r w:rsidR="006200A6" w:rsidRPr="00C42820">
        <w:rPr>
          <w:rFonts w:cs="Tahoma"/>
          <w:szCs w:val="24"/>
        </w:rPr>
        <w:t xml:space="preserve"> </w:t>
      </w:r>
      <w:r w:rsidRPr="00C42820">
        <w:rPr>
          <w:rFonts w:cs="Tahoma"/>
          <w:szCs w:val="24"/>
        </w:rPr>
        <w:t>en las que se surta el grado jurisdiccional de consulta o se resuelva el recurso de</w:t>
      </w:r>
      <w:r w:rsidR="006200A6" w:rsidRPr="00C42820">
        <w:rPr>
          <w:rFonts w:cs="Tahoma"/>
          <w:szCs w:val="24"/>
        </w:rPr>
        <w:t xml:space="preserve"> </w:t>
      </w:r>
      <w:r w:rsidRPr="00C42820">
        <w:rPr>
          <w:rFonts w:cs="Tahoma"/>
          <w:szCs w:val="24"/>
        </w:rPr>
        <w:t xml:space="preserve">apelación de autos o sentencias, </w:t>
      </w:r>
      <w:r w:rsidR="006200A6" w:rsidRPr="00C42820">
        <w:rPr>
          <w:rFonts w:cs="Tahoma"/>
          <w:szCs w:val="24"/>
        </w:rPr>
        <w:t xml:space="preserve">la Sala de Decisión Laboral No. 1 del Tribunal Superior de Pereira, integrada por las Magistradas ANA LUCÍA CAICEDO CALDERÓN como Ponente, OLGA LUCÍA HOYOS SEPÚLVEDA y el Magistrado GERMÁN DARÍO GÓEZ VINASCO, procede a proferir </w:t>
      </w:r>
      <w:r w:rsidR="00446F3C" w:rsidRPr="00C42820">
        <w:rPr>
          <w:rFonts w:cs="Tahoma"/>
          <w:szCs w:val="24"/>
        </w:rPr>
        <w:t xml:space="preserve">el siguiente auto </w:t>
      </w:r>
      <w:r w:rsidR="006200A6" w:rsidRPr="00C42820">
        <w:rPr>
          <w:rFonts w:cs="Tahoma"/>
          <w:szCs w:val="24"/>
        </w:rPr>
        <w:t>escrit</w:t>
      </w:r>
      <w:r w:rsidR="00446F3C" w:rsidRPr="00C42820">
        <w:rPr>
          <w:rFonts w:cs="Tahoma"/>
          <w:szCs w:val="24"/>
        </w:rPr>
        <w:t>o</w:t>
      </w:r>
      <w:r w:rsidR="006200A6" w:rsidRPr="00C42820">
        <w:rPr>
          <w:rFonts w:cs="Tahoma"/>
          <w:szCs w:val="24"/>
        </w:rPr>
        <w:t xml:space="preserve"> dentro del proceso </w:t>
      </w:r>
      <w:r w:rsidR="006200A6" w:rsidRPr="00C41D0C">
        <w:rPr>
          <w:rFonts w:cs="Tahoma"/>
          <w:b/>
          <w:szCs w:val="24"/>
        </w:rPr>
        <w:t>ordinario laboral</w:t>
      </w:r>
      <w:r w:rsidR="006200A6" w:rsidRPr="00C42820">
        <w:rPr>
          <w:rFonts w:cs="Tahoma"/>
          <w:szCs w:val="24"/>
        </w:rPr>
        <w:t xml:space="preserve"> instaurado por </w:t>
      </w:r>
      <w:r w:rsidR="009044D2" w:rsidRPr="00C42820">
        <w:rPr>
          <w:rFonts w:cs="Tahoma"/>
          <w:b/>
          <w:szCs w:val="24"/>
        </w:rPr>
        <w:t xml:space="preserve">Clemencia Echevarría López </w:t>
      </w:r>
      <w:r w:rsidR="006200A6" w:rsidRPr="00C42820">
        <w:rPr>
          <w:rFonts w:cs="Tahoma"/>
          <w:szCs w:val="24"/>
        </w:rPr>
        <w:t>en contra de la</w:t>
      </w:r>
      <w:r w:rsidR="00152A55" w:rsidRPr="00C42820">
        <w:rPr>
          <w:rFonts w:cs="Tahoma"/>
          <w:szCs w:val="24"/>
        </w:rPr>
        <w:t>s</w:t>
      </w:r>
      <w:r w:rsidR="006200A6" w:rsidRPr="00C42820">
        <w:rPr>
          <w:rFonts w:cs="Tahoma"/>
          <w:b/>
          <w:szCs w:val="24"/>
        </w:rPr>
        <w:t xml:space="preserve"> Administradora</w:t>
      </w:r>
      <w:r w:rsidR="00152A55" w:rsidRPr="00C42820">
        <w:rPr>
          <w:rFonts w:cs="Tahoma"/>
          <w:b/>
          <w:szCs w:val="24"/>
        </w:rPr>
        <w:t>s</w:t>
      </w:r>
      <w:r w:rsidR="006200A6" w:rsidRPr="00C42820">
        <w:rPr>
          <w:rFonts w:cs="Tahoma"/>
          <w:b/>
          <w:szCs w:val="24"/>
        </w:rPr>
        <w:t xml:space="preserve"> de Fondos de Pensiones y Cesantías</w:t>
      </w:r>
      <w:r w:rsidR="00541B6D" w:rsidRPr="00C42820">
        <w:rPr>
          <w:rFonts w:cs="Tahoma"/>
          <w:b/>
          <w:szCs w:val="24"/>
        </w:rPr>
        <w:t xml:space="preserve"> </w:t>
      </w:r>
      <w:r w:rsidR="006200A6" w:rsidRPr="00C42820">
        <w:rPr>
          <w:rFonts w:cs="Tahoma"/>
          <w:b/>
          <w:szCs w:val="24"/>
        </w:rPr>
        <w:t>Protección S.A.</w:t>
      </w:r>
      <w:r w:rsidR="00541B6D" w:rsidRPr="00C42820">
        <w:rPr>
          <w:rFonts w:cs="Tahoma"/>
          <w:b/>
          <w:szCs w:val="24"/>
        </w:rPr>
        <w:t xml:space="preserve"> </w:t>
      </w:r>
      <w:r w:rsidR="00541B6D" w:rsidRPr="00C41D0C">
        <w:rPr>
          <w:rFonts w:cs="Tahoma"/>
          <w:szCs w:val="24"/>
        </w:rPr>
        <w:t>y</w:t>
      </w:r>
      <w:r w:rsidR="00541B6D" w:rsidRPr="00C42820">
        <w:rPr>
          <w:rFonts w:cs="Tahoma"/>
          <w:b/>
          <w:szCs w:val="24"/>
        </w:rPr>
        <w:t xml:space="preserve"> Porvenir S.A. </w:t>
      </w:r>
    </w:p>
    <w:p w14:paraId="1ECC000B" w14:textId="77777777" w:rsidR="009044D2" w:rsidRPr="00C42820" w:rsidRDefault="009044D2" w:rsidP="00C42820">
      <w:pPr>
        <w:spacing w:line="276" w:lineRule="auto"/>
        <w:ind w:firstLine="709"/>
        <w:rPr>
          <w:rFonts w:cs="Tahoma"/>
          <w:szCs w:val="24"/>
        </w:rPr>
      </w:pPr>
    </w:p>
    <w:p w14:paraId="77D04272" w14:textId="77777777" w:rsidR="00B02A64" w:rsidRPr="00C42820" w:rsidRDefault="00B02A64" w:rsidP="00C42820">
      <w:pPr>
        <w:pStyle w:val="paragraph"/>
        <w:spacing w:before="0" w:beforeAutospacing="0" w:after="0" w:afterAutospacing="0" w:line="276" w:lineRule="auto"/>
        <w:jc w:val="center"/>
        <w:textAlignment w:val="baseline"/>
        <w:rPr>
          <w:rStyle w:val="normaltextrun"/>
          <w:rFonts w:ascii="Tahoma" w:hAnsi="Tahoma" w:cs="Tahoma"/>
          <w:b/>
          <w:bCs/>
        </w:rPr>
      </w:pPr>
      <w:r w:rsidRPr="00C42820">
        <w:rPr>
          <w:rStyle w:val="normaltextrun"/>
          <w:rFonts w:ascii="Tahoma" w:hAnsi="Tahoma" w:cs="Tahoma"/>
          <w:b/>
          <w:bCs/>
        </w:rPr>
        <w:t>PUNTO A TRATAR</w:t>
      </w:r>
    </w:p>
    <w:p w14:paraId="0B9202BB" w14:textId="77777777" w:rsidR="00B02A64" w:rsidRPr="00C42820" w:rsidRDefault="00B02A64" w:rsidP="00C42820">
      <w:pPr>
        <w:pStyle w:val="paragraph"/>
        <w:spacing w:before="0" w:beforeAutospacing="0" w:after="0" w:afterAutospacing="0" w:line="276" w:lineRule="auto"/>
        <w:jc w:val="center"/>
        <w:textAlignment w:val="baseline"/>
        <w:rPr>
          <w:rFonts w:ascii="Tahoma" w:hAnsi="Tahoma" w:cs="Tahoma"/>
        </w:rPr>
      </w:pPr>
    </w:p>
    <w:p w14:paraId="2A7580DA" w14:textId="2E930DF0" w:rsidR="00B02A64" w:rsidRPr="00C42820" w:rsidRDefault="00B02A64" w:rsidP="00C42820">
      <w:pPr>
        <w:spacing w:line="276" w:lineRule="auto"/>
        <w:ind w:firstLine="708"/>
        <w:rPr>
          <w:rStyle w:val="normaltextrun"/>
          <w:rFonts w:cs="Tahoma"/>
          <w:szCs w:val="24"/>
          <w:lang w:val="es-ES_tradnl"/>
        </w:rPr>
      </w:pPr>
      <w:r w:rsidRPr="00C42820">
        <w:rPr>
          <w:rStyle w:val="normaltextrun"/>
          <w:rFonts w:cs="Tahoma"/>
          <w:szCs w:val="24"/>
        </w:rPr>
        <w:t>Por medio de esta providencia</w:t>
      </w:r>
      <w:r w:rsidR="008D1ABA" w:rsidRPr="00C42820">
        <w:rPr>
          <w:rStyle w:val="normaltextrun"/>
          <w:rFonts w:cs="Tahoma"/>
          <w:szCs w:val="24"/>
        </w:rPr>
        <w:t xml:space="preserve"> </w:t>
      </w:r>
      <w:r w:rsidRPr="00C42820">
        <w:rPr>
          <w:rStyle w:val="normaltextrun"/>
          <w:rFonts w:cs="Tahoma"/>
          <w:szCs w:val="24"/>
        </w:rPr>
        <w:t>procede la Sala a</w:t>
      </w:r>
      <w:r w:rsidRPr="00C42820">
        <w:rPr>
          <w:rFonts w:cs="Tahoma"/>
          <w:szCs w:val="24"/>
        </w:rPr>
        <w:t xml:space="preserve"> resolver </w:t>
      </w:r>
      <w:r w:rsidR="002C3499" w:rsidRPr="00C42820">
        <w:rPr>
          <w:rFonts w:cs="Tahoma"/>
          <w:szCs w:val="24"/>
        </w:rPr>
        <w:t>el</w:t>
      </w:r>
      <w:r w:rsidRPr="00C42820">
        <w:rPr>
          <w:rFonts w:cs="Tahoma"/>
          <w:szCs w:val="24"/>
        </w:rPr>
        <w:t xml:space="preserve"> recurso de apelación interpuesto </w:t>
      </w:r>
      <w:r w:rsidR="00F60CC9" w:rsidRPr="00C42820">
        <w:rPr>
          <w:rFonts w:cs="Tahoma"/>
          <w:szCs w:val="24"/>
        </w:rPr>
        <w:t>por</w:t>
      </w:r>
      <w:r w:rsidR="0090521B" w:rsidRPr="00C42820">
        <w:rPr>
          <w:rFonts w:cs="Tahoma"/>
          <w:szCs w:val="24"/>
        </w:rPr>
        <w:t xml:space="preserve"> la AFP</w:t>
      </w:r>
      <w:r w:rsidR="00F60CC9" w:rsidRPr="00C42820">
        <w:rPr>
          <w:rFonts w:cs="Tahoma"/>
          <w:szCs w:val="24"/>
        </w:rPr>
        <w:t xml:space="preserve"> </w:t>
      </w:r>
      <w:r w:rsidR="00214C20" w:rsidRPr="00C42820">
        <w:rPr>
          <w:rFonts w:cs="Tahoma"/>
          <w:szCs w:val="24"/>
        </w:rPr>
        <w:t xml:space="preserve">Porvenir S.A. </w:t>
      </w:r>
      <w:r w:rsidR="00E22AE7" w:rsidRPr="00C42820">
        <w:rPr>
          <w:rFonts w:cs="Tahoma"/>
          <w:szCs w:val="24"/>
        </w:rPr>
        <w:t xml:space="preserve">contra el auto </w:t>
      </w:r>
      <w:r w:rsidR="00A15E51" w:rsidRPr="00C42820">
        <w:rPr>
          <w:rFonts w:cs="Tahoma"/>
          <w:szCs w:val="24"/>
        </w:rPr>
        <w:t xml:space="preserve">que </w:t>
      </w:r>
      <w:r w:rsidR="001364C9" w:rsidRPr="00C42820">
        <w:rPr>
          <w:rFonts w:cs="Tahoma"/>
          <w:szCs w:val="24"/>
        </w:rPr>
        <w:t xml:space="preserve">declaró impróspera </w:t>
      </w:r>
      <w:r w:rsidR="00A40E56" w:rsidRPr="00C42820">
        <w:rPr>
          <w:rFonts w:cs="Tahoma"/>
          <w:szCs w:val="24"/>
        </w:rPr>
        <w:t>la excepci</w:t>
      </w:r>
      <w:r w:rsidR="009044D2" w:rsidRPr="00C42820">
        <w:rPr>
          <w:rFonts w:cs="Tahoma"/>
          <w:szCs w:val="24"/>
        </w:rPr>
        <w:t>ón previa</w:t>
      </w:r>
      <w:r w:rsidR="00A40E56" w:rsidRPr="00C42820">
        <w:rPr>
          <w:rFonts w:cs="Tahoma"/>
          <w:szCs w:val="24"/>
          <w:lang w:val="es-ES_tradnl"/>
        </w:rPr>
        <w:t xml:space="preserve"> de falta de competencia</w:t>
      </w:r>
      <w:r w:rsidR="00F903F0" w:rsidRPr="00C42820">
        <w:rPr>
          <w:rFonts w:cs="Tahoma"/>
          <w:szCs w:val="24"/>
          <w:lang w:val="es-ES_tradnl"/>
        </w:rPr>
        <w:t xml:space="preserve"> y</w:t>
      </w:r>
      <w:r w:rsidR="00A218C7" w:rsidRPr="00C42820">
        <w:rPr>
          <w:rFonts w:cs="Tahoma"/>
          <w:szCs w:val="24"/>
          <w:lang w:val="es-ES_tradnl"/>
        </w:rPr>
        <w:t xml:space="preserve"> habérsele dado a la demanda el trámite de un proceso diferente al que corresponde</w:t>
      </w:r>
      <w:r w:rsidR="00E309C6" w:rsidRPr="00C42820">
        <w:rPr>
          <w:rFonts w:cs="Tahoma"/>
          <w:szCs w:val="24"/>
          <w:lang w:val="es-ES_tradnl"/>
        </w:rPr>
        <w:t xml:space="preserve">, </w:t>
      </w:r>
      <w:r w:rsidR="00E22AE7" w:rsidRPr="00C42820">
        <w:rPr>
          <w:rFonts w:cs="Tahoma"/>
          <w:szCs w:val="24"/>
        </w:rPr>
        <w:t xml:space="preserve">proferido por el Juzgado </w:t>
      </w:r>
      <w:r w:rsidR="009044D2" w:rsidRPr="00C42820">
        <w:rPr>
          <w:rFonts w:cs="Tahoma"/>
          <w:szCs w:val="24"/>
        </w:rPr>
        <w:t>Cuarto</w:t>
      </w:r>
      <w:r w:rsidR="00E309C6" w:rsidRPr="00C42820">
        <w:rPr>
          <w:rFonts w:cs="Tahoma"/>
          <w:szCs w:val="24"/>
        </w:rPr>
        <w:t xml:space="preserve"> </w:t>
      </w:r>
      <w:r w:rsidR="00E22AE7" w:rsidRPr="00C42820">
        <w:rPr>
          <w:rFonts w:cs="Tahoma"/>
          <w:szCs w:val="24"/>
        </w:rPr>
        <w:t>Laboral del Circuito de Pereira</w:t>
      </w:r>
      <w:r w:rsidR="00E26F40" w:rsidRPr="00C42820">
        <w:rPr>
          <w:rFonts w:cs="Tahoma"/>
          <w:szCs w:val="24"/>
        </w:rPr>
        <w:t xml:space="preserve"> el </w:t>
      </w:r>
      <w:r w:rsidR="009044D2" w:rsidRPr="00C42820">
        <w:rPr>
          <w:rFonts w:cs="Tahoma"/>
          <w:szCs w:val="24"/>
        </w:rPr>
        <w:t>15 de marzo</w:t>
      </w:r>
      <w:r w:rsidR="00E309C6" w:rsidRPr="00C42820">
        <w:rPr>
          <w:rFonts w:cs="Tahoma"/>
          <w:szCs w:val="24"/>
        </w:rPr>
        <w:t xml:space="preserve"> de </w:t>
      </w:r>
      <w:r w:rsidR="00F60CC9" w:rsidRPr="00C42820">
        <w:rPr>
          <w:rFonts w:cs="Tahoma"/>
          <w:szCs w:val="24"/>
        </w:rPr>
        <w:t>202</w:t>
      </w:r>
      <w:r w:rsidR="00E309C6" w:rsidRPr="00C42820">
        <w:rPr>
          <w:rFonts w:cs="Tahoma"/>
          <w:szCs w:val="24"/>
        </w:rPr>
        <w:t>3</w:t>
      </w:r>
      <w:r w:rsidR="00F60CC9" w:rsidRPr="00C42820">
        <w:rPr>
          <w:rFonts w:cs="Tahoma"/>
          <w:szCs w:val="24"/>
        </w:rPr>
        <w:t>. Para ello se tiene en cuenta lo siguiente:</w:t>
      </w:r>
    </w:p>
    <w:p w14:paraId="78DCFD2A" w14:textId="54885409" w:rsidR="004E7258" w:rsidRDefault="004E7258" w:rsidP="00C41D0C">
      <w:pPr>
        <w:spacing w:line="276" w:lineRule="auto"/>
        <w:rPr>
          <w:rFonts w:cs="Tahoma"/>
          <w:szCs w:val="24"/>
        </w:rPr>
      </w:pPr>
    </w:p>
    <w:p w14:paraId="0D0CC8F2" w14:textId="77777777" w:rsidR="00C41D0C" w:rsidRPr="00C42820" w:rsidRDefault="00C41D0C" w:rsidP="00C41D0C">
      <w:pPr>
        <w:spacing w:line="276" w:lineRule="auto"/>
        <w:rPr>
          <w:rFonts w:cs="Tahoma"/>
          <w:szCs w:val="24"/>
        </w:rPr>
      </w:pPr>
    </w:p>
    <w:p w14:paraId="06F71854" w14:textId="27EB4C73" w:rsidR="00B67192" w:rsidRPr="00C42820" w:rsidRDefault="004B5F35" w:rsidP="00C42820">
      <w:pPr>
        <w:pStyle w:val="Prrafodelista"/>
        <w:numPr>
          <w:ilvl w:val="0"/>
          <w:numId w:val="9"/>
        </w:numPr>
        <w:spacing w:line="276" w:lineRule="auto"/>
        <w:ind w:left="0" w:firstLine="0"/>
        <w:jc w:val="center"/>
        <w:rPr>
          <w:rFonts w:eastAsia="Calibri" w:cs="Tahoma"/>
          <w:b/>
          <w:bCs/>
          <w:szCs w:val="24"/>
        </w:rPr>
      </w:pPr>
      <w:r w:rsidRPr="00C42820">
        <w:rPr>
          <w:rFonts w:eastAsia="Calibri" w:cs="Tahoma"/>
          <w:b/>
          <w:bCs/>
          <w:szCs w:val="24"/>
        </w:rPr>
        <w:t>ANTECEDENTES</w:t>
      </w:r>
    </w:p>
    <w:p w14:paraId="08E08D0E" w14:textId="299C7574" w:rsidR="006776AD" w:rsidRPr="00C42820" w:rsidRDefault="006776AD" w:rsidP="00C42820">
      <w:pPr>
        <w:spacing w:line="276" w:lineRule="auto"/>
        <w:jc w:val="center"/>
        <w:rPr>
          <w:rFonts w:eastAsia="Calibri" w:cs="Tahoma"/>
          <w:b/>
          <w:bCs/>
          <w:szCs w:val="24"/>
        </w:rPr>
      </w:pPr>
    </w:p>
    <w:p w14:paraId="753AD656" w14:textId="7D62E92A" w:rsidR="00A53360" w:rsidRPr="00C42820" w:rsidRDefault="00130035" w:rsidP="00C42820">
      <w:pPr>
        <w:spacing w:line="276" w:lineRule="auto"/>
        <w:ind w:firstLine="708"/>
        <w:rPr>
          <w:rFonts w:eastAsia="Calibri" w:cs="Tahoma"/>
          <w:szCs w:val="24"/>
        </w:rPr>
      </w:pPr>
      <w:r w:rsidRPr="00C42820">
        <w:rPr>
          <w:rFonts w:eastAsia="Calibri" w:cs="Tahoma"/>
          <w:szCs w:val="24"/>
        </w:rPr>
        <w:t>En el caso objeto de estudio</w:t>
      </w:r>
      <w:r w:rsidR="0090521B" w:rsidRPr="00C42820">
        <w:rPr>
          <w:rFonts w:eastAsia="Calibri" w:cs="Tahoma"/>
          <w:szCs w:val="24"/>
        </w:rPr>
        <w:t>,</w:t>
      </w:r>
      <w:r w:rsidRPr="00C42820">
        <w:rPr>
          <w:rFonts w:eastAsia="Calibri" w:cs="Tahoma"/>
          <w:szCs w:val="24"/>
        </w:rPr>
        <w:t xml:space="preserve"> l</w:t>
      </w:r>
      <w:r w:rsidR="009044D2" w:rsidRPr="00C42820">
        <w:rPr>
          <w:rFonts w:eastAsia="Calibri" w:cs="Tahoma"/>
          <w:szCs w:val="24"/>
        </w:rPr>
        <w:t>a</w:t>
      </w:r>
      <w:r w:rsidRPr="00C42820">
        <w:rPr>
          <w:rFonts w:eastAsia="Calibri" w:cs="Tahoma"/>
          <w:szCs w:val="24"/>
        </w:rPr>
        <w:t xml:space="preserve"> promotor</w:t>
      </w:r>
      <w:r w:rsidR="009044D2" w:rsidRPr="00C42820">
        <w:rPr>
          <w:rFonts w:eastAsia="Calibri" w:cs="Tahoma"/>
          <w:szCs w:val="24"/>
        </w:rPr>
        <w:t>a</w:t>
      </w:r>
      <w:r w:rsidRPr="00C42820">
        <w:rPr>
          <w:rFonts w:eastAsia="Calibri" w:cs="Tahoma"/>
          <w:szCs w:val="24"/>
        </w:rPr>
        <w:t xml:space="preserve"> del litigio pretende que se declare que Porvenir S.A.</w:t>
      </w:r>
      <w:r w:rsidR="001B43E1" w:rsidRPr="00C42820">
        <w:rPr>
          <w:rFonts w:eastAsia="Calibri" w:cs="Tahoma"/>
          <w:szCs w:val="24"/>
        </w:rPr>
        <w:t xml:space="preserve"> y Protección S.A.</w:t>
      </w:r>
      <w:r w:rsidRPr="00C42820">
        <w:rPr>
          <w:rFonts w:eastAsia="Calibri" w:cs="Tahoma"/>
          <w:szCs w:val="24"/>
        </w:rPr>
        <w:t xml:space="preserve"> incumpli</w:t>
      </w:r>
      <w:r w:rsidR="001B43E1" w:rsidRPr="00C42820">
        <w:rPr>
          <w:rFonts w:eastAsia="Calibri" w:cs="Tahoma"/>
          <w:szCs w:val="24"/>
        </w:rPr>
        <w:t>eron</w:t>
      </w:r>
      <w:r w:rsidRPr="00C42820">
        <w:rPr>
          <w:rFonts w:eastAsia="Calibri" w:cs="Tahoma"/>
          <w:szCs w:val="24"/>
        </w:rPr>
        <w:t xml:space="preserve"> </w:t>
      </w:r>
      <w:r w:rsidR="008D442C" w:rsidRPr="00C42820">
        <w:rPr>
          <w:rFonts w:eastAsia="Calibri" w:cs="Tahoma"/>
          <w:szCs w:val="24"/>
        </w:rPr>
        <w:t xml:space="preserve">con su deber de información </w:t>
      </w:r>
      <w:r w:rsidR="00E27A2B" w:rsidRPr="00C42820">
        <w:rPr>
          <w:rFonts w:eastAsia="Calibri" w:cs="Tahoma"/>
          <w:szCs w:val="24"/>
        </w:rPr>
        <w:t xml:space="preserve">al momento de </w:t>
      </w:r>
      <w:r w:rsidR="001B43E1" w:rsidRPr="00C42820">
        <w:rPr>
          <w:rFonts w:eastAsia="Calibri" w:cs="Tahoma"/>
          <w:szCs w:val="24"/>
        </w:rPr>
        <w:t>la</w:t>
      </w:r>
      <w:r w:rsidR="00E27A2B" w:rsidRPr="00C42820">
        <w:rPr>
          <w:rFonts w:eastAsia="Calibri" w:cs="Tahoma"/>
          <w:szCs w:val="24"/>
        </w:rPr>
        <w:t xml:space="preserve"> afiliación</w:t>
      </w:r>
      <w:r w:rsidR="006B2F67" w:rsidRPr="00C42820">
        <w:rPr>
          <w:rFonts w:eastAsia="Calibri" w:cs="Tahoma"/>
          <w:szCs w:val="24"/>
        </w:rPr>
        <w:t xml:space="preserve">, </w:t>
      </w:r>
      <w:r w:rsidR="00FD6580" w:rsidRPr="00C42820">
        <w:rPr>
          <w:rFonts w:eastAsia="Calibri" w:cs="Tahoma"/>
          <w:szCs w:val="24"/>
        </w:rPr>
        <w:t xml:space="preserve">con lo cual </w:t>
      </w:r>
      <w:r w:rsidR="006B2F67" w:rsidRPr="00C42820">
        <w:rPr>
          <w:rFonts w:eastAsia="Calibri" w:cs="Tahoma"/>
          <w:szCs w:val="24"/>
        </w:rPr>
        <w:t>le gener</w:t>
      </w:r>
      <w:r w:rsidR="00FD6580" w:rsidRPr="00C42820">
        <w:rPr>
          <w:rFonts w:eastAsia="Calibri" w:cs="Tahoma"/>
          <w:szCs w:val="24"/>
        </w:rPr>
        <w:t>aron</w:t>
      </w:r>
      <w:r w:rsidR="006B2F67" w:rsidRPr="00C42820">
        <w:rPr>
          <w:rFonts w:eastAsia="Calibri" w:cs="Tahoma"/>
          <w:szCs w:val="24"/>
        </w:rPr>
        <w:t xml:space="preserve"> un perjuicio en la cuantía de la pensión</w:t>
      </w:r>
      <w:r w:rsidR="000635A5" w:rsidRPr="00C42820">
        <w:rPr>
          <w:rFonts w:eastAsia="Calibri" w:cs="Tahoma"/>
          <w:szCs w:val="24"/>
        </w:rPr>
        <w:t>; y</w:t>
      </w:r>
      <w:r w:rsidR="0090521B" w:rsidRPr="00C42820">
        <w:rPr>
          <w:rFonts w:eastAsia="Calibri" w:cs="Tahoma"/>
          <w:szCs w:val="24"/>
        </w:rPr>
        <w:t>,</w:t>
      </w:r>
      <w:r w:rsidR="000635A5" w:rsidRPr="00C42820">
        <w:rPr>
          <w:rFonts w:eastAsia="Calibri" w:cs="Tahoma"/>
          <w:szCs w:val="24"/>
        </w:rPr>
        <w:t xml:space="preserve"> en consecuencia</w:t>
      </w:r>
      <w:r w:rsidR="0090521B" w:rsidRPr="00C42820">
        <w:rPr>
          <w:rFonts w:eastAsia="Calibri" w:cs="Tahoma"/>
          <w:szCs w:val="24"/>
        </w:rPr>
        <w:t>,</w:t>
      </w:r>
      <w:r w:rsidR="000635A5" w:rsidRPr="00C42820">
        <w:rPr>
          <w:rFonts w:eastAsia="Calibri" w:cs="Tahoma"/>
          <w:szCs w:val="24"/>
        </w:rPr>
        <w:t xml:space="preserve"> se </w:t>
      </w:r>
      <w:r w:rsidR="003E7CBB" w:rsidRPr="00C42820">
        <w:rPr>
          <w:rFonts w:eastAsia="Calibri" w:cs="Tahoma"/>
          <w:szCs w:val="24"/>
        </w:rPr>
        <w:t>le</w:t>
      </w:r>
      <w:r w:rsidR="00C7349A" w:rsidRPr="00C42820">
        <w:rPr>
          <w:rFonts w:eastAsia="Calibri" w:cs="Tahoma"/>
          <w:szCs w:val="24"/>
        </w:rPr>
        <w:t>s</w:t>
      </w:r>
      <w:r w:rsidR="0090521B" w:rsidRPr="00C42820">
        <w:rPr>
          <w:rFonts w:eastAsia="Calibri" w:cs="Tahoma"/>
          <w:szCs w:val="24"/>
        </w:rPr>
        <w:t xml:space="preserve"> imponga como</w:t>
      </w:r>
      <w:r w:rsidR="000635A5" w:rsidRPr="00C42820">
        <w:rPr>
          <w:rFonts w:eastAsia="Calibri" w:cs="Tahoma"/>
          <w:szCs w:val="24"/>
        </w:rPr>
        <w:t xml:space="preserve"> conden</w:t>
      </w:r>
      <w:r w:rsidR="0090521B" w:rsidRPr="00C42820">
        <w:rPr>
          <w:rFonts w:eastAsia="Calibri" w:cs="Tahoma"/>
          <w:szCs w:val="24"/>
        </w:rPr>
        <w:t>a</w:t>
      </w:r>
      <w:r w:rsidR="000635A5" w:rsidRPr="00C42820">
        <w:rPr>
          <w:rFonts w:eastAsia="Calibri" w:cs="Tahoma"/>
          <w:szCs w:val="24"/>
        </w:rPr>
        <w:t xml:space="preserve"> </w:t>
      </w:r>
      <w:r w:rsidR="0090521B" w:rsidRPr="00C42820">
        <w:rPr>
          <w:rFonts w:eastAsia="Calibri" w:cs="Tahoma"/>
          <w:szCs w:val="24"/>
        </w:rPr>
        <w:t>e</w:t>
      </w:r>
      <w:r w:rsidR="000635A5" w:rsidRPr="00C42820">
        <w:rPr>
          <w:rFonts w:eastAsia="Calibri" w:cs="Tahoma"/>
          <w:szCs w:val="24"/>
        </w:rPr>
        <w:t>l pago de la</w:t>
      </w:r>
      <w:r w:rsidR="00725149" w:rsidRPr="00C42820">
        <w:rPr>
          <w:rFonts w:eastAsia="Calibri" w:cs="Tahoma"/>
          <w:szCs w:val="24"/>
        </w:rPr>
        <w:t xml:space="preserve"> diferencia en la mesada pensional a título</w:t>
      </w:r>
      <w:r w:rsidR="000635A5" w:rsidRPr="00C42820">
        <w:rPr>
          <w:rFonts w:eastAsia="Calibri" w:cs="Tahoma"/>
          <w:szCs w:val="24"/>
        </w:rPr>
        <w:t xml:space="preserve"> </w:t>
      </w:r>
      <w:r w:rsidR="00725149" w:rsidRPr="00C42820">
        <w:rPr>
          <w:rFonts w:eastAsia="Calibri" w:cs="Tahoma"/>
          <w:szCs w:val="24"/>
        </w:rPr>
        <w:t>de reparación integral de</w:t>
      </w:r>
      <w:r w:rsidR="000635A5" w:rsidRPr="00C42820">
        <w:rPr>
          <w:rFonts w:eastAsia="Calibri" w:cs="Tahoma"/>
          <w:szCs w:val="24"/>
        </w:rPr>
        <w:t xml:space="preserve"> perjuicios</w:t>
      </w:r>
      <w:r w:rsidR="00725149" w:rsidRPr="00C42820">
        <w:rPr>
          <w:rFonts w:eastAsia="Calibri" w:cs="Tahoma"/>
          <w:szCs w:val="24"/>
        </w:rPr>
        <w:t>.</w:t>
      </w:r>
    </w:p>
    <w:p w14:paraId="5BEFF5DE" w14:textId="77777777" w:rsidR="00212F4F" w:rsidRPr="00C42820" w:rsidRDefault="00212F4F" w:rsidP="00C42820">
      <w:pPr>
        <w:spacing w:line="276" w:lineRule="auto"/>
        <w:ind w:firstLine="708"/>
        <w:rPr>
          <w:rFonts w:eastAsia="Calibri" w:cs="Tahoma"/>
          <w:szCs w:val="24"/>
        </w:rPr>
      </w:pPr>
    </w:p>
    <w:p w14:paraId="79C1805C" w14:textId="63206390" w:rsidR="00212F4F" w:rsidRPr="00C42820" w:rsidRDefault="00212F4F" w:rsidP="00C42820">
      <w:pPr>
        <w:spacing w:line="276" w:lineRule="auto"/>
        <w:ind w:firstLine="708"/>
        <w:rPr>
          <w:rFonts w:eastAsia="Calibri" w:cs="Tahoma"/>
          <w:szCs w:val="24"/>
        </w:rPr>
      </w:pPr>
      <w:r w:rsidRPr="00C42820">
        <w:rPr>
          <w:rFonts w:eastAsia="Calibri" w:cs="Tahoma"/>
          <w:szCs w:val="24"/>
        </w:rPr>
        <w:t xml:space="preserve">Motiva la acción judicial indicando que </w:t>
      </w:r>
      <w:r w:rsidR="005440D0" w:rsidRPr="00C42820">
        <w:rPr>
          <w:rFonts w:eastAsia="Calibri" w:cs="Tahoma"/>
          <w:szCs w:val="24"/>
        </w:rPr>
        <w:t xml:space="preserve">nació el </w:t>
      </w:r>
      <w:r w:rsidR="00725149" w:rsidRPr="00C42820">
        <w:rPr>
          <w:rFonts w:eastAsia="Calibri" w:cs="Tahoma"/>
          <w:szCs w:val="24"/>
        </w:rPr>
        <w:t>03 de noviembre de 1960</w:t>
      </w:r>
      <w:r w:rsidR="005440D0" w:rsidRPr="00C42820">
        <w:rPr>
          <w:rFonts w:eastAsia="Calibri" w:cs="Tahoma"/>
          <w:szCs w:val="24"/>
        </w:rPr>
        <w:t xml:space="preserve">, que empezó su vida laboral en </w:t>
      </w:r>
      <w:r w:rsidR="00725149" w:rsidRPr="00C42820">
        <w:rPr>
          <w:rFonts w:eastAsia="Calibri" w:cs="Tahoma"/>
          <w:szCs w:val="24"/>
        </w:rPr>
        <w:t>septiembre de 1979</w:t>
      </w:r>
      <w:r w:rsidR="005440D0" w:rsidRPr="00C42820">
        <w:rPr>
          <w:rFonts w:eastAsia="Calibri" w:cs="Tahoma"/>
          <w:szCs w:val="24"/>
        </w:rPr>
        <w:t xml:space="preserve"> y se afilió al </w:t>
      </w:r>
      <w:r w:rsidR="601B61EC" w:rsidRPr="00C42820">
        <w:rPr>
          <w:rFonts w:eastAsia="Calibri" w:cs="Tahoma"/>
          <w:szCs w:val="24"/>
        </w:rPr>
        <w:t xml:space="preserve">régimen de prima media (en adelante </w:t>
      </w:r>
      <w:r w:rsidR="005440D0" w:rsidRPr="00C42820">
        <w:rPr>
          <w:rFonts w:eastAsia="Calibri" w:cs="Tahoma"/>
          <w:szCs w:val="24"/>
        </w:rPr>
        <w:t>RPM</w:t>
      </w:r>
      <w:r w:rsidR="2F38C3F9" w:rsidRPr="00C42820">
        <w:rPr>
          <w:rFonts w:eastAsia="Calibri" w:cs="Tahoma"/>
          <w:szCs w:val="24"/>
        </w:rPr>
        <w:t>)</w:t>
      </w:r>
      <w:r w:rsidR="005440D0" w:rsidRPr="00C42820">
        <w:rPr>
          <w:rFonts w:eastAsia="Calibri" w:cs="Tahoma"/>
          <w:szCs w:val="24"/>
        </w:rPr>
        <w:t xml:space="preserve">, donde realizó cotizaciones hasta </w:t>
      </w:r>
      <w:r w:rsidR="00725149" w:rsidRPr="00C42820">
        <w:rPr>
          <w:rFonts w:eastAsia="Calibri" w:cs="Tahoma"/>
          <w:szCs w:val="24"/>
        </w:rPr>
        <w:t>mayo de 1999</w:t>
      </w:r>
      <w:r w:rsidR="005440D0" w:rsidRPr="00C42820">
        <w:rPr>
          <w:rFonts w:eastAsia="Calibri" w:cs="Tahoma"/>
          <w:szCs w:val="24"/>
        </w:rPr>
        <w:t xml:space="preserve">, cuando </w:t>
      </w:r>
      <w:r w:rsidR="00A72DBD" w:rsidRPr="00C42820">
        <w:rPr>
          <w:rFonts w:eastAsia="Calibri" w:cs="Tahoma"/>
          <w:szCs w:val="24"/>
        </w:rPr>
        <w:t xml:space="preserve">suscribió formulario de afiliación a Porvenir S.A y se trasladó al </w:t>
      </w:r>
      <w:r w:rsidR="1F832E12" w:rsidRPr="00C42820">
        <w:rPr>
          <w:rFonts w:eastAsia="Calibri" w:cs="Tahoma"/>
          <w:szCs w:val="24"/>
        </w:rPr>
        <w:t xml:space="preserve">régimen de ahorro individual (en adelante </w:t>
      </w:r>
      <w:r w:rsidR="00A72DBD" w:rsidRPr="00C42820">
        <w:rPr>
          <w:rFonts w:eastAsia="Calibri" w:cs="Tahoma"/>
          <w:szCs w:val="24"/>
        </w:rPr>
        <w:t>RAIS</w:t>
      </w:r>
      <w:r w:rsidR="0D849B11" w:rsidRPr="00C42820">
        <w:rPr>
          <w:rFonts w:eastAsia="Calibri" w:cs="Tahoma"/>
          <w:szCs w:val="24"/>
        </w:rPr>
        <w:t>)</w:t>
      </w:r>
      <w:r w:rsidR="00A72DBD" w:rsidRPr="00C42820">
        <w:rPr>
          <w:rFonts w:eastAsia="Calibri" w:cs="Tahoma"/>
          <w:szCs w:val="24"/>
        </w:rPr>
        <w:t xml:space="preserve">, régimen donde se </w:t>
      </w:r>
      <w:r w:rsidR="3C4B8070" w:rsidRPr="00C42820">
        <w:rPr>
          <w:rFonts w:eastAsia="Calibri" w:cs="Tahoma"/>
          <w:szCs w:val="24"/>
        </w:rPr>
        <w:t>trasladó</w:t>
      </w:r>
      <w:r w:rsidR="00A72DBD" w:rsidRPr="00C42820">
        <w:rPr>
          <w:rFonts w:eastAsia="Calibri" w:cs="Tahoma"/>
          <w:szCs w:val="24"/>
        </w:rPr>
        <w:t xml:space="preserve"> nuevamente e</w:t>
      </w:r>
      <w:r w:rsidR="00725149" w:rsidRPr="00C42820">
        <w:rPr>
          <w:rFonts w:eastAsia="Calibri" w:cs="Tahoma"/>
          <w:szCs w:val="24"/>
        </w:rPr>
        <w:t>n octubre de 2016</w:t>
      </w:r>
      <w:r w:rsidR="00A72DBD" w:rsidRPr="00C42820">
        <w:rPr>
          <w:rFonts w:eastAsia="Calibri" w:cs="Tahoma"/>
          <w:szCs w:val="24"/>
        </w:rPr>
        <w:t xml:space="preserve"> para la AFP Protección S.A.</w:t>
      </w:r>
    </w:p>
    <w:p w14:paraId="74894F0D" w14:textId="77777777" w:rsidR="00E34C56" w:rsidRPr="00C42820" w:rsidRDefault="00E34C56" w:rsidP="00C42820">
      <w:pPr>
        <w:spacing w:line="276" w:lineRule="auto"/>
        <w:ind w:firstLine="708"/>
        <w:rPr>
          <w:rFonts w:eastAsia="Calibri" w:cs="Tahoma"/>
          <w:szCs w:val="24"/>
        </w:rPr>
      </w:pPr>
    </w:p>
    <w:p w14:paraId="76B7F1E9" w14:textId="679B2DAF" w:rsidR="00E34C56" w:rsidRPr="00C42820" w:rsidRDefault="007C5FB1" w:rsidP="00C42820">
      <w:pPr>
        <w:spacing w:line="276" w:lineRule="auto"/>
        <w:ind w:firstLine="708"/>
        <w:rPr>
          <w:rFonts w:eastAsia="Calibri" w:cs="Tahoma"/>
          <w:szCs w:val="24"/>
        </w:rPr>
      </w:pPr>
      <w:r w:rsidRPr="00C42820">
        <w:rPr>
          <w:rFonts w:eastAsia="Calibri" w:cs="Tahoma"/>
          <w:szCs w:val="24"/>
        </w:rPr>
        <w:t xml:space="preserve">Esboza que dichas administradoras al momento de la afiliación no le </w:t>
      </w:r>
      <w:r w:rsidR="00F16FD2" w:rsidRPr="00C42820">
        <w:rPr>
          <w:rFonts w:eastAsia="Calibri" w:cs="Tahoma"/>
          <w:szCs w:val="24"/>
        </w:rPr>
        <w:t xml:space="preserve">informaron acerca </w:t>
      </w:r>
      <w:r w:rsidR="00725149" w:rsidRPr="00C42820">
        <w:rPr>
          <w:rFonts w:eastAsia="Calibri" w:cs="Tahoma"/>
          <w:szCs w:val="24"/>
        </w:rPr>
        <w:t>de las diferencias entre un régimen pensional y otro, sus beneficios, desventajas o inconvenientes, así como tampoco se le indicó que el monto de la pensión en el RAIS depende del capital ahorrado.</w:t>
      </w:r>
    </w:p>
    <w:p w14:paraId="47346E96" w14:textId="41834C6E" w:rsidR="00725149" w:rsidRPr="00C42820" w:rsidRDefault="00725149" w:rsidP="00C42820">
      <w:pPr>
        <w:spacing w:line="276" w:lineRule="auto"/>
        <w:ind w:firstLine="708"/>
        <w:rPr>
          <w:rFonts w:eastAsia="Calibri" w:cs="Tahoma"/>
          <w:szCs w:val="24"/>
        </w:rPr>
      </w:pPr>
    </w:p>
    <w:p w14:paraId="6517ECED" w14:textId="1C8D6A99" w:rsidR="00725149" w:rsidRPr="00C42820" w:rsidRDefault="00B166A2" w:rsidP="00C42820">
      <w:pPr>
        <w:spacing w:line="276" w:lineRule="auto"/>
        <w:ind w:firstLine="708"/>
        <w:rPr>
          <w:rFonts w:eastAsia="Calibri" w:cs="Tahoma"/>
          <w:szCs w:val="24"/>
        </w:rPr>
      </w:pPr>
      <w:r>
        <w:rPr>
          <w:rFonts w:eastAsia="Calibri" w:cs="Tahoma"/>
          <w:szCs w:val="24"/>
        </w:rPr>
        <w:t>Finalmente,</w:t>
      </w:r>
      <w:r w:rsidR="00725149" w:rsidRPr="00C42820">
        <w:rPr>
          <w:rFonts w:eastAsia="Calibri" w:cs="Tahoma"/>
          <w:szCs w:val="24"/>
        </w:rPr>
        <w:t xml:space="preserve"> manifiesta </w:t>
      </w:r>
      <w:r w:rsidR="00C41D0C" w:rsidRPr="00C42820">
        <w:rPr>
          <w:rFonts w:eastAsia="Calibri" w:cs="Tahoma"/>
          <w:szCs w:val="24"/>
        </w:rPr>
        <w:t>que,</w:t>
      </w:r>
      <w:r w:rsidR="00725149" w:rsidRPr="00C42820">
        <w:rPr>
          <w:rFonts w:eastAsia="Calibri" w:cs="Tahoma"/>
          <w:szCs w:val="24"/>
        </w:rPr>
        <w:t xml:space="preserve"> al ser desvinculada laboralmente, en febrero de 2018 solicitó la pensión de vejez ante Protección S.A., misma que le fue concedida a partir del 15 de enero de 2018 en virtud de la garantía de pensión mínima, con lo cual se le genera un grave daño y perjuicio, puesto que su pensión en el RPM sería mucho más alta. </w:t>
      </w:r>
    </w:p>
    <w:p w14:paraId="5D9FB461" w14:textId="77777777" w:rsidR="003E7CBB" w:rsidRPr="00C42820" w:rsidRDefault="003E7CBB" w:rsidP="00C42820">
      <w:pPr>
        <w:spacing w:line="276" w:lineRule="auto"/>
        <w:ind w:firstLine="708"/>
        <w:rPr>
          <w:rFonts w:eastAsia="Calibri" w:cs="Tahoma"/>
          <w:szCs w:val="24"/>
        </w:rPr>
      </w:pPr>
    </w:p>
    <w:p w14:paraId="7B915EE5" w14:textId="025BF424" w:rsidR="00857F77" w:rsidRPr="00C42820" w:rsidRDefault="00C7349A" w:rsidP="00C42820">
      <w:pPr>
        <w:spacing w:line="276" w:lineRule="auto"/>
        <w:ind w:firstLine="708"/>
        <w:rPr>
          <w:rFonts w:eastAsia="Calibri" w:cs="Tahoma"/>
          <w:szCs w:val="24"/>
        </w:rPr>
      </w:pPr>
      <w:r w:rsidRPr="00C42820">
        <w:rPr>
          <w:rFonts w:eastAsia="Calibri" w:cs="Tahoma"/>
          <w:szCs w:val="24"/>
        </w:rPr>
        <w:t>En respuesta a la demanda</w:t>
      </w:r>
      <w:r w:rsidR="00583887" w:rsidRPr="00C42820">
        <w:rPr>
          <w:rFonts w:eastAsia="Calibri" w:cs="Tahoma"/>
          <w:szCs w:val="24"/>
        </w:rPr>
        <w:t>, la AFP</w:t>
      </w:r>
      <w:r w:rsidRPr="00C42820">
        <w:rPr>
          <w:rFonts w:eastAsia="Calibri" w:cs="Tahoma"/>
          <w:szCs w:val="24"/>
        </w:rPr>
        <w:t xml:space="preserve"> </w:t>
      </w:r>
      <w:r w:rsidRPr="00C42820">
        <w:rPr>
          <w:rFonts w:eastAsia="Calibri" w:cs="Tahoma"/>
          <w:b/>
          <w:bCs/>
          <w:szCs w:val="24"/>
        </w:rPr>
        <w:t>Porvenir S.A.</w:t>
      </w:r>
      <w:r w:rsidRPr="00C42820">
        <w:rPr>
          <w:rStyle w:val="Refdenotaalpie"/>
          <w:rFonts w:eastAsia="Calibri" w:cs="Tahoma"/>
          <w:b/>
          <w:bCs/>
          <w:szCs w:val="24"/>
        </w:rPr>
        <w:footnoteReference w:id="1"/>
      </w:r>
      <w:r w:rsidR="00E756BE" w:rsidRPr="00C42820">
        <w:rPr>
          <w:rFonts w:eastAsia="Calibri" w:cs="Tahoma"/>
          <w:b/>
          <w:bCs/>
          <w:szCs w:val="24"/>
        </w:rPr>
        <w:t xml:space="preserve"> </w:t>
      </w:r>
      <w:r w:rsidR="00E44DFC" w:rsidRPr="00C42820">
        <w:rPr>
          <w:rFonts w:eastAsia="Calibri" w:cs="Tahoma"/>
          <w:szCs w:val="24"/>
        </w:rPr>
        <w:t xml:space="preserve">propuso como </w:t>
      </w:r>
      <w:r w:rsidR="00725149" w:rsidRPr="00C42820">
        <w:rPr>
          <w:rFonts w:eastAsia="Calibri" w:cs="Tahoma"/>
          <w:szCs w:val="24"/>
        </w:rPr>
        <w:t>excepción</w:t>
      </w:r>
      <w:r w:rsidR="00E44DFC" w:rsidRPr="00C42820">
        <w:rPr>
          <w:rFonts w:eastAsia="Calibri" w:cs="Tahoma"/>
          <w:szCs w:val="24"/>
        </w:rPr>
        <w:t xml:space="preserve"> previa </w:t>
      </w:r>
      <w:r w:rsidR="00DA62D7" w:rsidRPr="00C42820">
        <w:rPr>
          <w:rFonts w:eastAsia="Calibri" w:cs="Tahoma"/>
          <w:i/>
          <w:iCs/>
          <w:szCs w:val="24"/>
        </w:rPr>
        <w:t>“</w:t>
      </w:r>
      <w:r w:rsidR="00DA62D7" w:rsidRPr="00C41D0C">
        <w:rPr>
          <w:rFonts w:eastAsia="Calibri" w:cs="Tahoma"/>
          <w:i/>
          <w:iCs/>
          <w:sz w:val="22"/>
          <w:szCs w:val="24"/>
        </w:rPr>
        <w:t>falta de competencia y habérsele dado a la demanda el trámite de un proceso diferente al que corresponde</w:t>
      </w:r>
      <w:r w:rsidR="00DA62D7" w:rsidRPr="00C42820">
        <w:rPr>
          <w:rFonts w:eastAsia="Calibri" w:cs="Tahoma"/>
          <w:i/>
          <w:iCs/>
          <w:szCs w:val="24"/>
        </w:rPr>
        <w:t>”</w:t>
      </w:r>
      <w:r w:rsidR="00356FE8" w:rsidRPr="00C42820">
        <w:rPr>
          <w:rFonts w:eastAsia="Calibri" w:cs="Tahoma"/>
          <w:i/>
          <w:iCs/>
          <w:szCs w:val="24"/>
        </w:rPr>
        <w:t xml:space="preserve">, </w:t>
      </w:r>
      <w:r w:rsidR="00356FE8" w:rsidRPr="00C42820">
        <w:rPr>
          <w:rFonts w:eastAsia="Calibri" w:cs="Tahoma"/>
          <w:szCs w:val="24"/>
        </w:rPr>
        <w:t xml:space="preserve">la cual sustentó en que </w:t>
      </w:r>
      <w:r w:rsidR="00857F77" w:rsidRPr="00C42820">
        <w:rPr>
          <w:rFonts w:eastAsia="Calibri" w:cs="Tahoma"/>
          <w:szCs w:val="24"/>
        </w:rPr>
        <w:t xml:space="preserve">debió tramitarse </w:t>
      </w:r>
      <w:r w:rsidR="00356FE8" w:rsidRPr="00C42820">
        <w:rPr>
          <w:rFonts w:eastAsia="Calibri" w:cs="Tahoma"/>
          <w:szCs w:val="24"/>
        </w:rPr>
        <w:t xml:space="preserve">la causa </w:t>
      </w:r>
      <w:r w:rsidR="00857F77" w:rsidRPr="00C42820">
        <w:rPr>
          <w:rFonts w:eastAsia="Calibri" w:cs="Tahoma"/>
          <w:szCs w:val="24"/>
        </w:rPr>
        <w:t>como un proceso verbal surgido de</w:t>
      </w:r>
      <w:r w:rsidR="00356FE8" w:rsidRPr="00C42820">
        <w:rPr>
          <w:rFonts w:eastAsia="Calibri" w:cs="Tahoma"/>
          <w:szCs w:val="24"/>
        </w:rPr>
        <w:t xml:space="preserve"> </w:t>
      </w:r>
      <w:r w:rsidR="00857F77" w:rsidRPr="00C42820">
        <w:rPr>
          <w:rFonts w:eastAsia="Calibri" w:cs="Tahoma"/>
          <w:szCs w:val="24"/>
        </w:rPr>
        <w:t>una relación contractual ante la Jurisdicción Civil, debido a que obedece a lo surgido de una</w:t>
      </w:r>
      <w:r w:rsidR="00356FE8" w:rsidRPr="00C42820">
        <w:rPr>
          <w:rFonts w:eastAsia="Calibri" w:cs="Tahoma"/>
          <w:szCs w:val="24"/>
        </w:rPr>
        <w:t xml:space="preserve"> </w:t>
      </w:r>
      <w:r w:rsidR="00857F77" w:rsidRPr="00C42820">
        <w:rPr>
          <w:rFonts w:eastAsia="Calibri" w:cs="Tahoma"/>
          <w:szCs w:val="24"/>
        </w:rPr>
        <w:t>relación contractual con base en lo dispuesto en el artículo 10 del Decreto 720 de</w:t>
      </w:r>
      <w:r w:rsidR="00356FE8" w:rsidRPr="00C42820">
        <w:rPr>
          <w:rFonts w:eastAsia="Calibri" w:cs="Tahoma"/>
          <w:szCs w:val="24"/>
        </w:rPr>
        <w:t xml:space="preserve"> </w:t>
      </w:r>
      <w:r w:rsidR="00857F77" w:rsidRPr="00C42820">
        <w:rPr>
          <w:rFonts w:eastAsia="Calibri" w:cs="Tahoma"/>
          <w:szCs w:val="24"/>
        </w:rPr>
        <w:t>1994</w:t>
      </w:r>
      <w:r w:rsidR="00356FE8" w:rsidRPr="00C42820">
        <w:rPr>
          <w:rFonts w:eastAsia="Calibri" w:cs="Tahoma"/>
          <w:szCs w:val="24"/>
        </w:rPr>
        <w:t xml:space="preserve">, </w:t>
      </w:r>
      <w:r w:rsidR="00857F77" w:rsidRPr="00C42820">
        <w:rPr>
          <w:rFonts w:eastAsia="Calibri" w:cs="Tahoma"/>
          <w:szCs w:val="24"/>
        </w:rPr>
        <w:t>excluido de la competencia de los jueces laborales y de la seguridad</w:t>
      </w:r>
      <w:r w:rsidR="00356FE8" w:rsidRPr="00C42820">
        <w:rPr>
          <w:rFonts w:eastAsia="Calibri" w:cs="Tahoma"/>
          <w:szCs w:val="24"/>
        </w:rPr>
        <w:t xml:space="preserve"> </w:t>
      </w:r>
      <w:r w:rsidR="00857F77" w:rsidRPr="00C42820">
        <w:rPr>
          <w:rFonts w:eastAsia="Calibri" w:cs="Tahoma"/>
          <w:szCs w:val="24"/>
        </w:rPr>
        <w:t>social, a la luz del numeral 4 del artículo 2 del C.P.T y la S.S, modificado por el</w:t>
      </w:r>
      <w:r w:rsidR="00356FE8" w:rsidRPr="00C42820">
        <w:rPr>
          <w:rFonts w:eastAsia="Calibri" w:cs="Tahoma"/>
          <w:szCs w:val="24"/>
        </w:rPr>
        <w:t xml:space="preserve"> </w:t>
      </w:r>
      <w:r w:rsidR="00857F77" w:rsidRPr="00C42820">
        <w:rPr>
          <w:rFonts w:eastAsia="Calibri" w:cs="Tahoma"/>
          <w:szCs w:val="24"/>
        </w:rPr>
        <w:t>artículo 622 del C.G.P.</w:t>
      </w:r>
      <w:r w:rsidR="00356FE8" w:rsidRPr="00C42820">
        <w:rPr>
          <w:rFonts w:eastAsia="Calibri" w:cs="Tahoma"/>
          <w:szCs w:val="24"/>
        </w:rPr>
        <w:t>.</w:t>
      </w:r>
    </w:p>
    <w:p w14:paraId="4859DCD3" w14:textId="77777777" w:rsidR="008D442C" w:rsidRPr="00C42820" w:rsidRDefault="008D442C" w:rsidP="00C42820">
      <w:pPr>
        <w:spacing w:line="276" w:lineRule="auto"/>
        <w:rPr>
          <w:rFonts w:eastAsia="Calibri" w:cs="Tahoma"/>
          <w:szCs w:val="24"/>
        </w:rPr>
      </w:pPr>
    </w:p>
    <w:p w14:paraId="76B69899" w14:textId="1BA4C51B" w:rsidR="0FA0A4A2" w:rsidRPr="00C42820" w:rsidRDefault="0FA0A4A2" w:rsidP="00C42820">
      <w:pPr>
        <w:spacing w:line="276" w:lineRule="auto"/>
        <w:rPr>
          <w:rFonts w:eastAsia="Calibri" w:cs="Tahoma"/>
          <w:szCs w:val="24"/>
        </w:rPr>
      </w:pPr>
    </w:p>
    <w:p w14:paraId="02343077" w14:textId="0B528714" w:rsidR="00362E6F" w:rsidRPr="00C42820" w:rsidRDefault="004B5F35" w:rsidP="00C42820">
      <w:pPr>
        <w:pStyle w:val="Prrafodelista"/>
        <w:numPr>
          <w:ilvl w:val="0"/>
          <w:numId w:val="9"/>
        </w:numPr>
        <w:spacing w:line="276" w:lineRule="auto"/>
        <w:jc w:val="center"/>
        <w:rPr>
          <w:rFonts w:cs="Tahoma"/>
          <w:b/>
          <w:szCs w:val="24"/>
          <w:lang w:val="es-CO"/>
        </w:rPr>
      </w:pPr>
      <w:r w:rsidRPr="00C42820">
        <w:rPr>
          <w:rFonts w:cs="Tahoma"/>
          <w:b/>
          <w:szCs w:val="24"/>
          <w:lang w:val="es-CO"/>
        </w:rPr>
        <w:t>AUTO APELADO</w:t>
      </w:r>
    </w:p>
    <w:p w14:paraId="59C6491C" w14:textId="77777777" w:rsidR="00F04658" w:rsidRPr="00C42820" w:rsidRDefault="00F04658" w:rsidP="00C42820">
      <w:pPr>
        <w:spacing w:line="276" w:lineRule="auto"/>
        <w:rPr>
          <w:rFonts w:cs="Tahoma"/>
          <w:szCs w:val="24"/>
        </w:rPr>
      </w:pPr>
    </w:p>
    <w:p w14:paraId="37BC4119" w14:textId="460383D8" w:rsidR="00315E00" w:rsidRPr="00C42820" w:rsidRDefault="00B83B4E" w:rsidP="00C42820">
      <w:pPr>
        <w:spacing w:line="276" w:lineRule="auto"/>
        <w:ind w:firstLine="708"/>
        <w:rPr>
          <w:rFonts w:cs="Tahoma"/>
          <w:szCs w:val="24"/>
          <w:lang w:val="es-ES_tradnl"/>
        </w:rPr>
      </w:pPr>
      <w:r w:rsidRPr="00C42820">
        <w:rPr>
          <w:rFonts w:cs="Tahoma"/>
          <w:szCs w:val="24"/>
          <w:lang w:val="es-ES_tradnl"/>
        </w:rPr>
        <w:t>En</w:t>
      </w:r>
      <w:r w:rsidR="00583887" w:rsidRPr="00C42820">
        <w:rPr>
          <w:rFonts w:cs="Tahoma"/>
          <w:szCs w:val="24"/>
          <w:lang w:val="es-ES_tradnl"/>
        </w:rPr>
        <w:t xml:space="preserve"> el</w:t>
      </w:r>
      <w:r w:rsidRPr="00C42820">
        <w:rPr>
          <w:rFonts w:cs="Tahoma"/>
          <w:szCs w:val="24"/>
          <w:lang w:val="es-ES_tradnl"/>
        </w:rPr>
        <w:t xml:space="preserve"> curso de la etapa de decisión de excepciones previas, prevista en la audiencia consagrada en el artículo 77 del </w:t>
      </w:r>
      <w:r w:rsidR="000B265E" w:rsidRPr="00C42820">
        <w:rPr>
          <w:rFonts w:cs="Tahoma"/>
          <w:szCs w:val="24"/>
          <w:lang w:val="es-ES_tradnl"/>
        </w:rPr>
        <w:t xml:space="preserve">C.P.T </w:t>
      </w:r>
      <w:r w:rsidRPr="00C42820">
        <w:rPr>
          <w:rFonts w:cs="Tahoma"/>
          <w:szCs w:val="24"/>
          <w:lang w:val="es-ES_tradnl"/>
        </w:rPr>
        <w:t xml:space="preserve">y la </w:t>
      </w:r>
      <w:r w:rsidR="000B265E" w:rsidRPr="00C42820">
        <w:rPr>
          <w:rFonts w:cs="Tahoma"/>
          <w:szCs w:val="24"/>
          <w:lang w:val="es-ES_tradnl"/>
        </w:rPr>
        <w:t>S.S</w:t>
      </w:r>
      <w:r w:rsidRPr="00C42820">
        <w:rPr>
          <w:rFonts w:cs="Tahoma"/>
          <w:szCs w:val="24"/>
          <w:lang w:val="es-ES_tradnl"/>
        </w:rPr>
        <w:t xml:space="preserve">., la Jueza de conocimiento declaró </w:t>
      </w:r>
      <w:r w:rsidR="00ED7E6F" w:rsidRPr="00C42820">
        <w:rPr>
          <w:rFonts w:cs="Tahoma"/>
          <w:szCs w:val="24"/>
          <w:lang w:val="es-ES_tradnl"/>
        </w:rPr>
        <w:t>no prospera la excepción previa de</w:t>
      </w:r>
      <w:r w:rsidR="00370355" w:rsidRPr="00C42820">
        <w:rPr>
          <w:rFonts w:cs="Tahoma"/>
          <w:szCs w:val="24"/>
          <w:lang w:val="es-ES_tradnl"/>
        </w:rPr>
        <w:t xml:space="preserve"> </w:t>
      </w:r>
      <w:r w:rsidR="00A16EEA" w:rsidRPr="00C42820">
        <w:rPr>
          <w:rFonts w:cs="Tahoma"/>
          <w:i/>
          <w:szCs w:val="24"/>
          <w:lang w:val="es-ES_tradnl"/>
        </w:rPr>
        <w:t>“</w:t>
      </w:r>
      <w:r w:rsidR="00370355" w:rsidRPr="00C41D0C">
        <w:rPr>
          <w:rFonts w:cs="Tahoma"/>
          <w:i/>
          <w:sz w:val="22"/>
          <w:szCs w:val="24"/>
          <w:lang w:val="es-ES_tradnl"/>
        </w:rPr>
        <w:t>falta de competencia</w:t>
      </w:r>
      <w:r w:rsidR="00A16EEA" w:rsidRPr="00C41D0C">
        <w:rPr>
          <w:rFonts w:cs="Tahoma"/>
          <w:i/>
          <w:sz w:val="22"/>
          <w:szCs w:val="24"/>
          <w:lang w:val="es-ES_tradnl"/>
        </w:rPr>
        <w:t xml:space="preserve"> y </w:t>
      </w:r>
      <w:r w:rsidR="00370355" w:rsidRPr="00C41D0C">
        <w:rPr>
          <w:rFonts w:cs="Tahoma"/>
          <w:i/>
          <w:sz w:val="22"/>
          <w:szCs w:val="24"/>
          <w:lang w:val="es-ES_tradnl"/>
        </w:rPr>
        <w:t>habérsele dado a la demanda el trámite de un proceso diferente al que corresponde</w:t>
      </w:r>
      <w:r w:rsidR="00A16EEA" w:rsidRPr="00C42820">
        <w:rPr>
          <w:rFonts w:cs="Tahoma"/>
          <w:szCs w:val="24"/>
          <w:lang w:val="es-ES_tradnl"/>
        </w:rPr>
        <w:t xml:space="preserve">” </w:t>
      </w:r>
      <w:r w:rsidR="00523040" w:rsidRPr="00C42820">
        <w:rPr>
          <w:rFonts w:cs="Tahoma"/>
          <w:szCs w:val="24"/>
          <w:lang w:val="es-ES_tradnl"/>
        </w:rPr>
        <w:t>propuesta por Porvenir S.A.</w:t>
      </w:r>
      <w:r w:rsidR="00ED7E6F" w:rsidRPr="00C42820">
        <w:rPr>
          <w:rFonts w:cs="Tahoma"/>
          <w:szCs w:val="24"/>
          <w:lang w:val="es-ES_tradnl"/>
        </w:rPr>
        <w:t xml:space="preserve">, última a quien condenó en costas procesales. </w:t>
      </w:r>
    </w:p>
    <w:p w14:paraId="0D2D35E2" w14:textId="77777777" w:rsidR="00D57131" w:rsidRPr="00C42820" w:rsidRDefault="00D57131" w:rsidP="00C42820">
      <w:pPr>
        <w:spacing w:line="276" w:lineRule="auto"/>
        <w:ind w:firstLine="708"/>
        <w:rPr>
          <w:rFonts w:cs="Tahoma"/>
          <w:szCs w:val="24"/>
          <w:lang w:val="es-ES_tradnl"/>
        </w:rPr>
      </w:pPr>
    </w:p>
    <w:p w14:paraId="454A4796" w14:textId="4BB36A30" w:rsidR="00CC606A" w:rsidRPr="00C42820" w:rsidRDefault="00D57131" w:rsidP="00C42820">
      <w:pPr>
        <w:spacing w:line="276" w:lineRule="auto"/>
        <w:ind w:firstLine="708"/>
        <w:rPr>
          <w:rFonts w:cs="Tahoma"/>
          <w:szCs w:val="24"/>
        </w:rPr>
      </w:pPr>
      <w:r w:rsidRPr="00C42820">
        <w:rPr>
          <w:rFonts w:cs="Tahoma"/>
          <w:szCs w:val="24"/>
        </w:rPr>
        <w:t>Para</w:t>
      </w:r>
      <w:r w:rsidR="00583887" w:rsidRPr="00C42820">
        <w:rPr>
          <w:rFonts w:cs="Tahoma"/>
          <w:szCs w:val="24"/>
        </w:rPr>
        <w:t xml:space="preserve"> arribar a dicha decisión,</w:t>
      </w:r>
      <w:r w:rsidR="00550BD3" w:rsidRPr="00C42820">
        <w:rPr>
          <w:rFonts w:cs="Tahoma"/>
          <w:szCs w:val="24"/>
        </w:rPr>
        <w:t xml:space="preserve"> la jueza precisó que en el presente trámite l</w:t>
      </w:r>
      <w:r w:rsidR="00ED7E6F" w:rsidRPr="00C42820">
        <w:rPr>
          <w:rFonts w:cs="Tahoma"/>
          <w:szCs w:val="24"/>
        </w:rPr>
        <w:t>a</w:t>
      </w:r>
      <w:r w:rsidR="00550BD3" w:rsidRPr="00C42820">
        <w:rPr>
          <w:rFonts w:cs="Tahoma"/>
          <w:szCs w:val="24"/>
        </w:rPr>
        <w:t xml:space="preserve"> demandante peticiona </w:t>
      </w:r>
      <w:r w:rsidR="001E5FB7" w:rsidRPr="00C42820">
        <w:rPr>
          <w:rFonts w:cs="Tahoma"/>
          <w:szCs w:val="24"/>
        </w:rPr>
        <w:t xml:space="preserve">la indemnización de los perjuicios causados por la permanencia en el RAIS representados en la diferencia de la mesada pensional </w:t>
      </w:r>
      <w:r w:rsidR="00C26754" w:rsidRPr="00C42820">
        <w:rPr>
          <w:rFonts w:cs="Tahoma"/>
          <w:szCs w:val="24"/>
        </w:rPr>
        <w:t xml:space="preserve">que hubiera percibido en el </w:t>
      </w:r>
      <w:r w:rsidR="00B86C8D" w:rsidRPr="00C42820">
        <w:rPr>
          <w:rFonts w:cs="Tahoma"/>
          <w:szCs w:val="24"/>
        </w:rPr>
        <w:t>RPM</w:t>
      </w:r>
      <w:r w:rsidR="00ED7E6F" w:rsidRPr="00C42820">
        <w:rPr>
          <w:rFonts w:cs="Tahoma"/>
          <w:szCs w:val="24"/>
        </w:rPr>
        <w:t>, por lo que, tal como ha quedado sentado en la jurisprudencia emanada de la Corte Suprema de Justicia, como el proceso tiene su génesis en el incumplimiento del deber de información a cargo de la AFP frente a sus afiliados, mismo que se encuentra regulado en norma expresa de la seguridad social como lo es la ley 100 de 1993, es competencia de la jurisdicción ordinaria en su especialidad laboral</w:t>
      </w:r>
      <w:r w:rsidR="0D0BD701" w:rsidRPr="00C42820">
        <w:rPr>
          <w:rFonts w:cs="Tahoma"/>
          <w:szCs w:val="24"/>
        </w:rPr>
        <w:t xml:space="preserve"> decidir sobre el particular.</w:t>
      </w:r>
    </w:p>
    <w:p w14:paraId="542D7A80" w14:textId="77777777" w:rsidR="009044D2" w:rsidRPr="00C42820" w:rsidRDefault="009044D2" w:rsidP="00C42820">
      <w:pPr>
        <w:spacing w:line="276" w:lineRule="auto"/>
        <w:rPr>
          <w:rFonts w:cs="Tahoma"/>
          <w:szCs w:val="24"/>
        </w:rPr>
      </w:pPr>
    </w:p>
    <w:p w14:paraId="053E10C5" w14:textId="4AD32655" w:rsidR="00CB7E46" w:rsidRPr="00C42820" w:rsidRDefault="00CB7E46" w:rsidP="00C42820">
      <w:pPr>
        <w:tabs>
          <w:tab w:val="left" w:pos="6737"/>
        </w:tabs>
        <w:spacing w:line="276" w:lineRule="auto"/>
        <w:rPr>
          <w:rFonts w:cs="Tahoma"/>
          <w:szCs w:val="24"/>
          <w:lang w:val="es-CO"/>
        </w:rPr>
      </w:pPr>
    </w:p>
    <w:p w14:paraId="7C54CB10" w14:textId="010E5F7B" w:rsidR="005D3995" w:rsidRPr="00C42820" w:rsidRDefault="00B83B4E" w:rsidP="00C42820">
      <w:pPr>
        <w:pStyle w:val="Prrafodelista"/>
        <w:numPr>
          <w:ilvl w:val="0"/>
          <w:numId w:val="9"/>
        </w:numPr>
        <w:tabs>
          <w:tab w:val="left" w:pos="284"/>
        </w:tabs>
        <w:spacing w:line="276" w:lineRule="auto"/>
        <w:jc w:val="center"/>
        <w:rPr>
          <w:rFonts w:cs="Tahoma"/>
          <w:b/>
          <w:szCs w:val="24"/>
        </w:rPr>
      </w:pPr>
      <w:r w:rsidRPr="00C42820">
        <w:rPr>
          <w:rFonts w:cs="Tahoma"/>
          <w:b/>
          <w:szCs w:val="24"/>
        </w:rPr>
        <w:t>FUNDAMENTOS DE LA APELACIÓN</w:t>
      </w:r>
      <w:bookmarkStart w:id="1" w:name="_Hlk97041943"/>
    </w:p>
    <w:p w14:paraId="1F719E1E" w14:textId="77777777" w:rsidR="0023223A" w:rsidRPr="00C42820" w:rsidRDefault="0023223A" w:rsidP="00C42820">
      <w:pPr>
        <w:pStyle w:val="Prrafodelista"/>
        <w:tabs>
          <w:tab w:val="left" w:pos="284"/>
        </w:tabs>
        <w:spacing w:line="276" w:lineRule="auto"/>
        <w:ind w:left="1068"/>
        <w:rPr>
          <w:rFonts w:cs="Tahoma"/>
          <w:b/>
          <w:szCs w:val="24"/>
        </w:rPr>
      </w:pPr>
    </w:p>
    <w:p w14:paraId="2269A558" w14:textId="77E6BFC1" w:rsidR="001E71F9" w:rsidRPr="00C42820" w:rsidRDefault="00B74733" w:rsidP="00C42820">
      <w:pPr>
        <w:spacing w:line="276" w:lineRule="auto"/>
        <w:ind w:firstLine="708"/>
        <w:rPr>
          <w:rFonts w:cs="Tahoma"/>
          <w:szCs w:val="24"/>
        </w:rPr>
      </w:pPr>
      <w:r w:rsidRPr="00C42820">
        <w:rPr>
          <w:rFonts w:cs="Tahoma"/>
          <w:szCs w:val="24"/>
          <w:lang w:val="es-419"/>
        </w:rPr>
        <w:t>Porvenir S.A.</w:t>
      </w:r>
      <w:r w:rsidR="00884F96" w:rsidRPr="00C42820">
        <w:rPr>
          <w:rFonts w:cs="Tahoma"/>
          <w:szCs w:val="24"/>
          <w:lang w:val="es-419"/>
        </w:rPr>
        <w:t xml:space="preserve"> </w:t>
      </w:r>
      <w:r w:rsidR="00574504" w:rsidRPr="00C42820">
        <w:rPr>
          <w:rFonts w:cs="Tahoma"/>
          <w:szCs w:val="24"/>
          <w:lang w:val="es-419"/>
        </w:rPr>
        <w:t xml:space="preserve">en el recurso de alzada </w:t>
      </w:r>
      <w:r w:rsidR="002A3F95" w:rsidRPr="00C42820">
        <w:rPr>
          <w:rFonts w:cs="Tahoma"/>
          <w:szCs w:val="24"/>
          <w:lang w:val="es-419"/>
        </w:rPr>
        <w:t xml:space="preserve">solicita que se declare probada la </w:t>
      </w:r>
      <w:r w:rsidR="60154EF3" w:rsidRPr="00C42820">
        <w:rPr>
          <w:rFonts w:cs="Tahoma"/>
          <w:szCs w:val="24"/>
          <w:lang w:val="es-419"/>
        </w:rPr>
        <w:t>excepción</w:t>
      </w:r>
      <w:r w:rsidR="002A3F95" w:rsidRPr="00C42820">
        <w:rPr>
          <w:rFonts w:cs="Tahoma"/>
          <w:szCs w:val="24"/>
          <w:lang w:val="es-419"/>
        </w:rPr>
        <w:t xml:space="preserve"> previa de </w:t>
      </w:r>
      <w:r w:rsidR="00A16EEA" w:rsidRPr="00C42820">
        <w:rPr>
          <w:rFonts w:cs="Tahoma"/>
          <w:i/>
          <w:iCs/>
          <w:szCs w:val="24"/>
          <w:lang w:val="es-419"/>
        </w:rPr>
        <w:t>“</w:t>
      </w:r>
      <w:r w:rsidR="001E54D6" w:rsidRPr="00C41D0C">
        <w:rPr>
          <w:rFonts w:cs="Tahoma"/>
          <w:i/>
          <w:iCs/>
          <w:sz w:val="22"/>
          <w:szCs w:val="24"/>
          <w:lang w:val="es-419"/>
        </w:rPr>
        <w:t>falta</w:t>
      </w:r>
      <w:r w:rsidR="00A3565F" w:rsidRPr="00C41D0C">
        <w:rPr>
          <w:rFonts w:cs="Tahoma"/>
          <w:i/>
          <w:iCs/>
          <w:sz w:val="22"/>
          <w:szCs w:val="24"/>
        </w:rPr>
        <w:t xml:space="preserve"> de competencia</w:t>
      </w:r>
      <w:r w:rsidR="00A16EEA" w:rsidRPr="00C41D0C">
        <w:rPr>
          <w:rFonts w:cs="Tahoma"/>
          <w:i/>
          <w:iCs/>
          <w:sz w:val="22"/>
          <w:szCs w:val="24"/>
        </w:rPr>
        <w:t xml:space="preserve"> y </w:t>
      </w:r>
      <w:r w:rsidR="00A3565F" w:rsidRPr="00C41D0C">
        <w:rPr>
          <w:rFonts w:cs="Tahoma"/>
          <w:i/>
          <w:iCs/>
          <w:sz w:val="22"/>
          <w:szCs w:val="24"/>
        </w:rPr>
        <w:t>habérsele dado a la demanda el trámite de un proceso diferente al que corresponde</w:t>
      </w:r>
      <w:r w:rsidR="00A16EEA" w:rsidRPr="00C42820">
        <w:rPr>
          <w:rFonts w:cs="Tahoma"/>
          <w:i/>
          <w:iCs/>
          <w:szCs w:val="24"/>
        </w:rPr>
        <w:t>”</w:t>
      </w:r>
      <w:r w:rsidR="00A3565F" w:rsidRPr="00C42820">
        <w:rPr>
          <w:rFonts w:cs="Tahoma"/>
          <w:i/>
          <w:iCs/>
          <w:szCs w:val="24"/>
        </w:rPr>
        <w:t>,</w:t>
      </w:r>
      <w:r w:rsidRPr="00C42820">
        <w:rPr>
          <w:rFonts w:cs="Tahoma"/>
          <w:szCs w:val="24"/>
        </w:rPr>
        <w:t xml:space="preserve"> para lo cual reiteró los argumentos expuestos al contestar la demanda, esto es</w:t>
      </w:r>
      <w:r w:rsidR="6503D64A" w:rsidRPr="00C42820">
        <w:rPr>
          <w:rFonts w:cs="Tahoma"/>
          <w:szCs w:val="24"/>
        </w:rPr>
        <w:t>,</w:t>
      </w:r>
      <w:r w:rsidRPr="00C42820">
        <w:rPr>
          <w:rFonts w:cs="Tahoma"/>
          <w:szCs w:val="24"/>
        </w:rPr>
        <w:t xml:space="preserve"> que</w:t>
      </w:r>
      <w:r w:rsidR="004969F4" w:rsidRPr="00C42820">
        <w:rPr>
          <w:rFonts w:cs="Tahoma"/>
          <w:szCs w:val="24"/>
        </w:rPr>
        <w:t xml:space="preserve"> </w:t>
      </w:r>
      <w:r w:rsidR="001E71F9" w:rsidRPr="00C42820">
        <w:rPr>
          <w:rFonts w:cs="Tahoma"/>
          <w:szCs w:val="24"/>
        </w:rPr>
        <w:t xml:space="preserve">el presente litigio debe ser resuelto como un proceso verbal sumario por la jurisdicción civil, toda vez </w:t>
      </w:r>
      <w:r w:rsidR="00B50576" w:rsidRPr="00C42820">
        <w:rPr>
          <w:rFonts w:cs="Tahoma"/>
          <w:szCs w:val="24"/>
        </w:rPr>
        <w:t xml:space="preserve">que obedece a lo surgido de una obligación </w:t>
      </w:r>
      <w:r w:rsidR="00362C58" w:rsidRPr="00C42820">
        <w:rPr>
          <w:rFonts w:cs="Tahoma"/>
          <w:szCs w:val="24"/>
        </w:rPr>
        <w:t>contractual conforme lo dispone el artículo 10 del Decreto 720 de 1994,</w:t>
      </w:r>
      <w:r w:rsidR="009B0B7D" w:rsidRPr="00C42820">
        <w:rPr>
          <w:rFonts w:cs="Tahoma"/>
          <w:szCs w:val="24"/>
        </w:rPr>
        <w:t xml:space="preserve"> de modo que</w:t>
      </w:r>
      <w:r w:rsidR="00362C58" w:rsidRPr="00C42820">
        <w:rPr>
          <w:rFonts w:cs="Tahoma"/>
          <w:szCs w:val="24"/>
        </w:rPr>
        <w:t xml:space="preserve"> la herramienta idónea para reclamar estos perjuicios </w:t>
      </w:r>
      <w:r w:rsidR="00F76A8C" w:rsidRPr="00C42820">
        <w:rPr>
          <w:rFonts w:cs="Tahoma"/>
          <w:szCs w:val="24"/>
        </w:rPr>
        <w:t xml:space="preserve">es un proceso </w:t>
      </w:r>
      <w:r w:rsidR="00167273" w:rsidRPr="00C42820">
        <w:rPr>
          <w:rFonts w:cs="Tahoma"/>
          <w:szCs w:val="24"/>
        </w:rPr>
        <w:t>verbal de</w:t>
      </w:r>
      <w:r w:rsidR="00F76A8C" w:rsidRPr="00C42820">
        <w:rPr>
          <w:rFonts w:cs="Tahoma"/>
          <w:szCs w:val="24"/>
        </w:rPr>
        <w:t xml:space="preserve"> responsabilidad civil contractual</w:t>
      </w:r>
      <w:r w:rsidR="00167273" w:rsidRPr="00C42820">
        <w:rPr>
          <w:rFonts w:cs="Tahoma"/>
          <w:szCs w:val="24"/>
        </w:rPr>
        <w:t>, y por la naturaleza contractual se encuentra excluido de</w:t>
      </w:r>
      <w:r w:rsidR="00136D41" w:rsidRPr="00C42820">
        <w:rPr>
          <w:rFonts w:cs="Tahoma"/>
          <w:szCs w:val="24"/>
        </w:rPr>
        <w:t xml:space="preserve"> la jurisdicción </w:t>
      </w:r>
      <w:r w:rsidR="00771BC8" w:rsidRPr="00C42820">
        <w:rPr>
          <w:rFonts w:cs="Tahoma"/>
          <w:szCs w:val="24"/>
        </w:rPr>
        <w:t>ordinaria laboral, conforme estípula el numeral 4 del artículo 2 CPTSS.</w:t>
      </w:r>
    </w:p>
    <w:bookmarkEnd w:id="1"/>
    <w:p w14:paraId="6C1586F6" w14:textId="3D97C8DC" w:rsidR="0FA0A4A2" w:rsidRPr="00C42820" w:rsidRDefault="0FA0A4A2" w:rsidP="00C42820">
      <w:pPr>
        <w:spacing w:line="276" w:lineRule="auto"/>
        <w:ind w:firstLine="708"/>
        <w:rPr>
          <w:rFonts w:cs="Tahoma"/>
          <w:szCs w:val="24"/>
        </w:rPr>
      </w:pPr>
    </w:p>
    <w:p w14:paraId="5845EFEB" w14:textId="4F6939FC" w:rsidR="00975E71" w:rsidRPr="00C42820" w:rsidRDefault="00975E71" w:rsidP="00C42820">
      <w:pPr>
        <w:spacing w:line="276" w:lineRule="auto"/>
        <w:rPr>
          <w:rFonts w:cs="Tahoma"/>
          <w:szCs w:val="24"/>
        </w:rPr>
      </w:pPr>
    </w:p>
    <w:p w14:paraId="179DA56E" w14:textId="3C7BF6D9" w:rsidR="003B0567" w:rsidRPr="00C42820" w:rsidRDefault="003B0567" w:rsidP="00C42820">
      <w:pPr>
        <w:pStyle w:val="Prrafodelista"/>
        <w:widowControl w:val="0"/>
        <w:numPr>
          <w:ilvl w:val="0"/>
          <w:numId w:val="9"/>
        </w:numPr>
        <w:autoSpaceDE w:val="0"/>
        <w:autoSpaceDN w:val="0"/>
        <w:adjustRightInd w:val="0"/>
        <w:spacing w:line="276" w:lineRule="auto"/>
        <w:jc w:val="center"/>
        <w:rPr>
          <w:rFonts w:cs="Tahoma"/>
          <w:b/>
          <w:bCs/>
          <w:szCs w:val="24"/>
          <w:lang w:val="es-CO"/>
        </w:rPr>
      </w:pPr>
      <w:r w:rsidRPr="00C42820">
        <w:rPr>
          <w:rFonts w:cs="Tahoma"/>
          <w:b/>
          <w:bCs/>
          <w:szCs w:val="24"/>
          <w:lang w:val="es-CO"/>
        </w:rPr>
        <w:t>ALEGATOS DE CONCLUSIÓN/ CONCEPTO DEL MINISTERIO PÚBLICO</w:t>
      </w:r>
    </w:p>
    <w:p w14:paraId="262668D9" w14:textId="77777777" w:rsidR="002C1636" w:rsidRPr="00C42820" w:rsidRDefault="002C1636" w:rsidP="00C42820">
      <w:pPr>
        <w:spacing w:line="276" w:lineRule="auto"/>
        <w:rPr>
          <w:rFonts w:cs="Tahoma"/>
          <w:color w:val="000000"/>
          <w:szCs w:val="24"/>
          <w:lang w:val="es-CO"/>
        </w:rPr>
      </w:pPr>
    </w:p>
    <w:p w14:paraId="26FEEDF0" w14:textId="591DA7D5" w:rsidR="37AFD8AC" w:rsidRPr="00C42820" w:rsidRDefault="37AFD8AC" w:rsidP="00C42820">
      <w:pPr>
        <w:spacing w:line="276" w:lineRule="auto"/>
        <w:ind w:firstLine="705"/>
        <w:rPr>
          <w:rFonts w:cs="Tahoma"/>
          <w:szCs w:val="24"/>
        </w:rPr>
      </w:pPr>
      <w:r w:rsidRPr="00C42820">
        <w:rPr>
          <w:rFonts w:eastAsia="Tahoma" w:cs="Tahoma"/>
          <w:szCs w:val="24"/>
        </w:rPr>
        <w:t>Analizados los alegatos presentados por Porvenir S.A., mismos que obran en el expediente digital y a los cuales nos remitimos por economía procesal en virtud del art. 280 del C.G.P., la Sala encuentra que los argumentos fácticos y jurídicos expresados concuerdan con los puntos objeto de discusión en esta instancia y se relacionan con el problema jurídico que se expresa a continuación.</w:t>
      </w:r>
    </w:p>
    <w:p w14:paraId="1FBB8820" w14:textId="0EBA3FCA" w:rsidR="7F00A239" w:rsidRPr="00C42820" w:rsidRDefault="7F00A239" w:rsidP="00C42820">
      <w:pPr>
        <w:spacing w:line="276" w:lineRule="auto"/>
        <w:ind w:firstLine="708"/>
        <w:rPr>
          <w:rFonts w:eastAsia="Tahoma" w:cs="Tahoma"/>
          <w:szCs w:val="24"/>
        </w:rPr>
      </w:pPr>
    </w:p>
    <w:p w14:paraId="30F63E26" w14:textId="77777777" w:rsidR="00532B2B" w:rsidRPr="00C42820" w:rsidRDefault="00532B2B" w:rsidP="00C42820">
      <w:pPr>
        <w:spacing w:line="276" w:lineRule="auto"/>
        <w:ind w:firstLine="708"/>
        <w:rPr>
          <w:rStyle w:val="normaltextrun"/>
          <w:rFonts w:cs="Tahoma"/>
          <w:color w:val="000000"/>
          <w:szCs w:val="24"/>
        </w:rPr>
      </w:pPr>
    </w:p>
    <w:p w14:paraId="40DA9429" w14:textId="6E7F24C7" w:rsidR="003E457A" w:rsidRPr="00C42820" w:rsidRDefault="00890E99" w:rsidP="00C42820">
      <w:pPr>
        <w:pStyle w:val="Prrafodelista"/>
        <w:numPr>
          <w:ilvl w:val="0"/>
          <w:numId w:val="9"/>
        </w:numPr>
        <w:spacing w:line="276" w:lineRule="auto"/>
        <w:jc w:val="center"/>
        <w:rPr>
          <w:rFonts w:cs="Tahoma"/>
          <w:b/>
          <w:color w:val="000000"/>
          <w:szCs w:val="24"/>
        </w:rPr>
      </w:pPr>
      <w:r w:rsidRPr="00C42820">
        <w:rPr>
          <w:rFonts w:cs="Tahoma"/>
          <w:b/>
          <w:color w:val="000000"/>
          <w:szCs w:val="24"/>
        </w:rPr>
        <w:t>PROBLEMA JURÍDICO POR RESOLVER</w:t>
      </w:r>
    </w:p>
    <w:p w14:paraId="485FD3FB" w14:textId="045D8AA0" w:rsidR="00CE1A4A" w:rsidRPr="00C42820" w:rsidRDefault="00CE1A4A" w:rsidP="00C42820">
      <w:pPr>
        <w:spacing w:line="276" w:lineRule="auto"/>
        <w:rPr>
          <w:rStyle w:val="normaltextrun"/>
          <w:rFonts w:cs="Tahoma"/>
          <w:color w:val="000000"/>
          <w:szCs w:val="24"/>
        </w:rPr>
      </w:pPr>
    </w:p>
    <w:p w14:paraId="05B3C8A2" w14:textId="77777777" w:rsidR="009F45D0" w:rsidRPr="00C42820" w:rsidRDefault="009B0B7D" w:rsidP="00C42820">
      <w:pPr>
        <w:spacing w:line="276" w:lineRule="auto"/>
        <w:ind w:firstLine="708"/>
        <w:rPr>
          <w:rStyle w:val="normaltextrun"/>
          <w:rFonts w:cs="Tahoma"/>
          <w:color w:val="000000"/>
          <w:szCs w:val="24"/>
        </w:rPr>
      </w:pPr>
      <w:r w:rsidRPr="00C42820">
        <w:rPr>
          <w:rStyle w:val="normaltextrun"/>
          <w:rFonts w:cs="Tahoma"/>
          <w:color w:val="000000"/>
          <w:szCs w:val="24"/>
        </w:rPr>
        <w:t>El problema jurídico en este caso se circunscribe a determinar si la jurisdicción ordinaria en su especialidad laboral e</w:t>
      </w:r>
      <w:r w:rsidR="009F45D0" w:rsidRPr="00C42820">
        <w:rPr>
          <w:rStyle w:val="normaltextrun"/>
          <w:rFonts w:cs="Tahoma"/>
          <w:color w:val="000000"/>
          <w:szCs w:val="24"/>
        </w:rPr>
        <w:t>s</w:t>
      </w:r>
      <w:r w:rsidRPr="00C42820">
        <w:rPr>
          <w:rStyle w:val="normaltextrun"/>
          <w:rFonts w:cs="Tahoma"/>
          <w:color w:val="000000"/>
          <w:szCs w:val="24"/>
        </w:rPr>
        <w:t xml:space="preserve"> competente para conocer asuntos encaminados </w:t>
      </w:r>
      <w:r w:rsidRPr="00C42820">
        <w:rPr>
          <w:rStyle w:val="normaltextrun"/>
          <w:rFonts w:cs="Tahoma"/>
          <w:color w:val="000000"/>
          <w:szCs w:val="24"/>
        </w:rPr>
        <w:lastRenderedPageBreak/>
        <w:t>al resarcimiento de perjuicios derivados del incumplimiento del deber de información y buen consejo</w:t>
      </w:r>
      <w:r w:rsidR="009F45D0" w:rsidRPr="00C42820">
        <w:rPr>
          <w:rStyle w:val="normaltextrun"/>
          <w:rFonts w:cs="Tahoma"/>
          <w:color w:val="000000"/>
          <w:szCs w:val="24"/>
        </w:rPr>
        <w:t xml:space="preserve"> en cabeza de las Administradoras de Fondos de Pensiones</w:t>
      </w:r>
      <w:r w:rsidRPr="00C42820">
        <w:rPr>
          <w:rStyle w:val="normaltextrun"/>
          <w:rFonts w:cs="Tahoma"/>
          <w:color w:val="000000"/>
          <w:szCs w:val="24"/>
        </w:rPr>
        <w:t xml:space="preserve"> </w:t>
      </w:r>
      <w:r w:rsidR="009F45D0" w:rsidRPr="00C42820">
        <w:rPr>
          <w:rStyle w:val="normaltextrun"/>
          <w:rFonts w:cs="Tahoma"/>
          <w:color w:val="000000"/>
          <w:szCs w:val="24"/>
        </w:rPr>
        <w:t xml:space="preserve">a la hora de obtener o gestionar el traslado de régimen pensional de un afiliado. </w:t>
      </w:r>
    </w:p>
    <w:p w14:paraId="639F093A" w14:textId="3E85A011" w:rsidR="009F45D0" w:rsidRDefault="009F45D0" w:rsidP="00C42820">
      <w:pPr>
        <w:spacing w:line="276" w:lineRule="auto"/>
        <w:rPr>
          <w:rStyle w:val="normaltextrun"/>
          <w:rFonts w:cs="Tahoma"/>
          <w:color w:val="000000"/>
          <w:szCs w:val="24"/>
        </w:rPr>
      </w:pPr>
    </w:p>
    <w:p w14:paraId="275A6FD6" w14:textId="77777777" w:rsidR="00C41D0C" w:rsidRPr="00C42820" w:rsidRDefault="00C41D0C" w:rsidP="00C42820">
      <w:pPr>
        <w:spacing w:line="276" w:lineRule="auto"/>
        <w:rPr>
          <w:rStyle w:val="normaltextrun"/>
          <w:rFonts w:cs="Tahoma"/>
          <w:color w:val="000000"/>
          <w:szCs w:val="24"/>
        </w:rPr>
      </w:pPr>
    </w:p>
    <w:p w14:paraId="0ADBED18" w14:textId="42021FC1" w:rsidR="003221C2" w:rsidRPr="00C42820" w:rsidRDefault="003221C2" w:rsidP="00C42820">
      <w:pPr>
        <w:pStyle w:val="Prrafodelista"/>
        <w:numPr>
          <w:ilvl w:val="0"/>
          <w:numId w:val="9"/>
        </w:numPr>
        <w:spacing w:line="276" w:lineRule="auto"/>
        <w:jc w:val="center"/>
        <w:rPr>
          <w:rStyle w:val="normaltextrun"/>
          <w:rFonts w:cs="Tahoma"/>
          <w:b/>
          <w:bCs/>
          <w:color w:val="000000"/>
          <w:szCs w:val="24"/>
        </w:rPr>
      </w:pPr>
      <w:r w:rsidRPr="00C42820">
        <w:rPr>
          <w:rStyle w:val="normaltextrun"/>
          <w:rFonts w:cs="Tahoma"/>
          <w:b/>
          <w:bCs/>
          <w:color w:val="000000" w:themeColor="text1"/>
          <w:szCs w:val="24"/>
        </w:rPr>
        <w:t>CONSIDERACIONES</w:t>
      </w:r>
    </w:p>
    <w:p w14:paraId="03E7F6FC" w14:textId="1343CA95" w:rsidR="00B34308" w:rsidRPr="00C42820" w:rsidRDefault="00B34308" w:rsidP="00C42820">
      <w:pPr>
        <w:spacing w:line="276" w:lineRule="auto"/>
        <w:rPr>
          <w:rFonts w:cs="Tahoma"/>
          <w:bCs/>
          <w:szCs w:val="24"/>
        </w:rPr>
      </w:pPr>
    </w:p>
    <w:p w14:paraId="2ABF81E2" w14:textId="72765D24" w:rsidR="009F45D0" w:rsidRPr="00C42820" w:rsidRDefault="009F45D0" w:rsidP="00C42820">
      <w:pPr>
        <w:spacing w:line="276" w:lineRule="auto"/>
        <w:rPr>
          <w:rFonts w:cs="Tahoma"/>
          <w:b/>
          <w:bCs/>
          <w:szCs w:val="24"/>
        </w:rPr>
      </w:pPr>
      <w:r w:rsidRPr="00C42820">
        <w:rPr>
          <w:rFonts w:cs="Tahoma"/>
          <w:b/>
          <w:bCs/>
          <w:szCs w:val="24"/>
        </w:rPr>
        <w:t>6.1. Competencia funcional para conocer del recurso de apelación contra el auto que niega una excepción previa</w:t>
      </w:r>
      <w:r w:rsidR="7FBA3249" w:rsidRPr="00C42820">
        <w:rPr>
          <w:rFonts w:cs="Tahoma"/>
          <w:b/>
          <w:bCs/>
          <w:szCs w:val="24"/>
        </w:rPr>
        <w:t>.</w:t>
      </w:r>
    </w:p>
    <w:p w14:paraId="40F9C8E1" w14:textId="499C395A" w:rsidR="009F45D0" w:rsidRPr="00C42820" w:rsidRDefault="009F45D0" w:rsidP="00C42820">
      <w:pPr>
        <w:spacing w:line="276" w:lineRule="auto"/>
        <w:rPr>
          <w:rFonts w:cs="Tahoma"/>
          <w:bCs/>
          <w:szCs w:val="24"/>
        </w:rPr>
      </w:pPr>
    </w:p>
    <w:p w14:paraId="0D9746F3" w14:textId="5AB30859" w:rsidR="009F45D0" w:rsidRPr="00C42820" w:rsidRDefault="00ED085F" w:rsidP="00C42820">
      <w:pPr>
        <w:spacing w:line="276" w:lineRule="auto"/>
        <w:ind w:firstLine="708"/>
        <w:rPr>
          <w:rFonts w:cs="Tahoma"/>
          <w:bCs/>
          <w:szCs w:val="24"/>
        </w:rPr>
      </w:pPr>
      <w:r w:rsidRPr="00C42820">
        <w:rPr>
          <w:rFonts w:cs="Tahoma"/>
          <w:bCs/>
          <w:szCs w:val="24"/>
        </w:rPr>
        <w:t xml:space="preserve">El numeral 3 del artículo 65 del C.P.T. y de la S.S., modificado por el artículo 29 de la Ley 712 de 2001, señala expresamente que será susceptible de apelación el auto que decida sobre excepciones previas. </w:t>
      </w:r>
    </w:p>
    <w:p w14:paraId="21542B81" w14:textId="3515C04B" w:rsidR="00ED085F" w:rsidRPr="00C42820" w:rsidRDefault="00ED085F" w:rsidP="00C42820">
      <w:pPr>
        <w:spacing w:line="276" w:lineRule="auto"/>
        <w:rPr>
          <w:rFonts w:cs="Tahoma"/>
          <w:bCs/>
          <w:szCs w:val="24"/>
        </w:rPr>
      </w:pPr>
    </w:p>
    <w:p w14:paraId="17174386" w14:textId="77777777" w:rsidR="0018259A" w:rsidRPr="00C42820" w:rsidRDefault="00ED085F" w:rsidP="00C42820">
      <w:pPr>
        <w:spacing w:line="276" w:lineRule="auto"/>
        <w:ind w:firstLine="708"/>
        <w:rPr>
          <w:rFonts w:cs="Tahoma"/>
          <w:bCs/>
          <w:szCs w:val="24"/>
        </w:rPr>
      </w:pPr>
      <w:r w:rsidRPr="00C42820">
        <w:rPr>
          <w:rFonts w:cs="Tahoma"/>
          <w:szCs w:val="24"/>
        </w:rPr>
        <w:t xml:space="preserve">A su vez, el numeral 1º del artículo 100 del C.G.P., aplicable al procedimiento laboral en virtud de la remisión analógica prevista en el artículo 145 del C.P.T. y de la S.S., señala dentro de las excepciones previas la denominada </w:t>
      </w:r>
      <w:r w:rsidRPr="00C42820">
        <w:rPr>
          <w:rFonts w:cs="Tahoma"/>
          <w:i/>
          <w:szCs w:val="24"/>
        </w:rPr>
        <w:t>“</w:t>
      </w:r>
      <w:r w:rsidRPr="00C41D0C">
        <w:rPr>
          <w:rFonts w:cs="Tahoma"/>
          <w:i/>
          <w:sz w:val="22"/>
          <w:szCs w:val="24"/>
        </w:rPr>
        <w:t>falta de jurisdicción o competencia</w:t>
      </w:r>
      <w:r w:rsidRPr="00C42820">
        <w:rPr>
          <w:rFonts w:cs="Tahoma"/>
          <w:i/>
          <w:szCs w:val="24"/>
        </w:rPr>
        <w:t>”,</w:t>
      </w:r>
      <w:r w:rsidRPr="00C42820">
        <w:rPr>
          <w:rFonts w:cs="Tahoma"/>
          <w:szCs w:val="24"/>
        </w:rPr>
        <w:t xml:space="preserve"> con fundamento en la cual la parte pasiva de la litis puede controvertir la competencia del juez de conocimiento pidiéndole que se separe del proceso y lo remita al juez que corresponda, caso en el cual lo actuado hasta ese momento conservará validez, según se tiene previsto en el numeral 2, artículo 101 del ídem.</w:t>
      </w:r>
    </w:p>
    <w:p w14:paraId="22F59657" w14:textId="51045089" w:rsidR="45BD1307" w:rsidRPr="00C42820" w:rsidRDefault="45BD1307" w:rsidP="00C42820">
      <w:pPr>
        <w:spacing w:line="276" w:lineRule="auto"/>
        <w:ind w:firstLine="708"/>
        <w:rPr>
          <w:rFonts w:cs="Tahoma"/>
          <w:szCs w:val="24"/>
        </w:rPr>
      </w:pPr>
    </w:p>
    <w:p w14:paraId="1E7EBB37" w14:textId="63714346" w:rsidR="00ED085F" w:rsidRPr="00C42820" w:rsidRDefault="0018259A" w:rsidP="00C42820">
      <w:pPr>
        <w:spacing w:line="276" w:lineRule="auto"/>
        <w:rPr>
          <w:rFonts w:cs="Tahoma"/>
          <w:b/>
          <w:bCs/>
          <w:szCs w:val="24"/>
        </w:rPr>
      </w:pPr>
      <w:r w:rsidRPr="00C42820">
        <w:rPr>
          <w:rFonts w:cs="Tahoma"/>
          <w:b/>
          <w:bCs/>
          <w:szCs w:val="24"/>
        </w:rPr>
        <w:t>6.2. Cláusula general de competencia y competencia residual en asuntos relacionados con la seguridad social</w:t>
      </w:r>
      <w:r w:rsidR="00ED085F" w:rsidRPr="00C42820">
        <w:rPr>
          <w:rFonts w:cs="Tahoma"/>
          <w:b/>
          <w:bCs/>
          <w:szCs w:val="24"/>
        </w:rPr>
        <w:t xml:space="preserve"> </w:t>
      </w:r>
      <w:r w:rsidR="008F708D" w:rsidRPr="00C42820">
        <w:rPr>
          <w:rFonts w:cs="Tahoma"/>
          <w:b/>
          <w:bCs/>
          <w:szCs w:val="24"/>
        </w:rPr>
        <w:t>integral</w:t>
      </w:r>
      <w:r w:rsidR="569D61F7" w:rsidRPr="00C42820">
        <w:rPr>
          <w:rFonts w:cs="Tahoma"/>
          <w:b/>
          <w:bCs/>
          <w:szCs w:val="24"/>
        </w:rPr>
        <w:t>.</w:t>
      </w:r>
    </w:p>
    <w:p w14:paraId="5DF957CC" w14:textId="32AD21D9" w:rsidR="009F45D0" w:rsidRPr="00C42820" w:rsidRDefault="009F45D0" w:rsidP="00C42820">
      <w:pPr>
        <w:spacing w:line="276" w:lineRule="auto"/>
        <w:rPr>
          <w:rFonts w:cs="Tahoma"/>
          <w:bCs/>
          <w:szCs w:val="24"/>
        </w:rPr>
      </w:pPr>
    </w:p>
    <w:p w14:paraId="36F8633D" w14:textId="5C61BA0F" w:rsidR="0018259A" w:rsidRPr="00C42820" w:rsidRDefault="0018259A" w:rsidP="00C42820">
      <w:pPr>
        <w:spacing w:line="276" w:lineRule="auto"/>
        <w:ind w:firstLine="708"/>
        <w:rPr>
          <w:rFonts w:cs="Tahoma"/>
          <w:iCs/>
          <w:szCs w:val="24"/>
          <w:shd w:val="clear" w:color="auto" w:fill="FFFFFF"/>
        </w:rPr>
      </w:pPr>
      <w:r w:rsidRPr="00C42820">
        <w:rPr>
          <w:rFonts w:cs="Tahoma"/>
          <w:iCs/>
          <w:szCs w:val="24"/>
          <w:shd w:val="clear" w:color="auto" w:fill="FFFFFF"/>
        </w:rPr>
        <w:t xml:space="preserve">En cuanto a las reglas de competencia de la jurisdicción ordinaria en sus especialidades laboral y de seguridad social, </w:t>
      </w:r>
      <w:r w:rsidR="008F708D" w:rsidRPr="00C42820">
        <w:rPr>
          <w:rFonts w:cs="Tahoma"/>
          <w:iCs/>
          <w:szCs w:val="24"/>
          <w:shd w:val="clear" w:color="auto" w:fill="FFFFFF"/>
        </w:rPr>
        <w:t>se encuentra</w:t>
      </w:r>
      <w:r w:rsidRPr="00C42820">
        <w:rPr>
          <w:rFonts w:cs="Tahoma"/>
          <w:iCs/>
          <w:szCs w:val="24"/>
          <w:shd w:val="clear" w:color="auto" w:fill="FFFFFF"/>
        </w:rPr>
        <w:t xml:space="preserve"> que el artículo 2º del Código Procesal del Trabajo y de la Seguridad Social, modificado por el artículo 2.º de la Ley 712 y el artículo 622 de la Ley 1564 de 2012 o CGP, precisa que</w:t>
      </w:r>
      <w:r w:rsidR="008F708D" w:rsidRPr="00C42820">
        <w:rPr>
          <w:rFonts w:cs="Tahoma"/>
          <w:iCs/>
          <w:szCs w:val="24"/>
          <w:shd w:val="clear" w:color="auto" w:fill="FFFFFF"/>
        </w:rPr>
        <w:t xml:space="preserve"> será competencia de la jurisdicción ordinaria, en sus especialidades laboral y de la seguridad social,</w:t>
      </w:r>
      <w:r w:rsidRPr="00C42820">
        <w:rPr>
          <w:rFonts w:cs="Tahoma"/>
          <w:iCs/>
          <w:szCs w:val="24"/>
          <w:shd w:val="clear" w:color="auto" w:fill="FFFFFF"/>
        </w:rPr>
        <w:t xml:space="preserve"> </w:t>
      </w:r>
      <w:r w:rsidR="008F708D" w:rsidRPr="00C42820">
        <w:rPr>
          <w:rFonts w:cs="Tahoma"/>
          <w:i/>
          <w:iCs/>
          <w:szCs w:val="24"/>
          <w:shd w:val="clear" w:color="auto" w:fill="FFFFFF"/>
        </w:rPr>
        <w:t>“</w:t>
      </w:r>
      <w:r w:rsidRPr="00C41D0C">
        <w:rPr>
          <w:rFonts w:cs="Tahoma"/>
          <w:i/>
          <w:iCs/>
          <w:sz w:val="22"/>
          <w:szCs w:val="24"/>
          <w:shd w:val="clear" w:color="auto" w:fill="FFFFFF"/>
        </w:rPr>
        <w:t>las controversias</w:t>
      </w:r>
      <w:r w:rsidR="008F708D" w:rsidRPr="00C41D0C">
        <w:rPr>
          <w:rFonts w:cs="Tahoma"/>
          <w:i/>
          <w:iCs/>
          <w:sz w:val="22"/>
          <w:szCs w:val="24"/>
          <w:shd w:val="clear" w:color="auto" w:fill="FFFFFF"/>
        </w:rPr>
        <w:t xml:space="preserve"> relativas a la prestación de los servicios de la seguridad social que se</w:t>
      </w:r>
      <w:r w:rsidRPr="00C41D0C">
        <w:rPr>
          <w:rFonts w:cs="Tahoma"/>
          <w:i/>
          <w:iCs/>
          <w:sz w:val="22"/>
          <w:szCs w:val="24"/>
          <w:shd w:val="clear" w:color="auto" w:fill="FFFFFF"/>
        </w:rPr>
        <w:t xml:space="preserve"> susciten entre los afiliados</w:t>
      </w:r>
      <w:r w:rsidR="008F708D" w:rsidRPr="00C41D0C">
        <w:rPr>
          <w:rFonts w:cs="Tahoma"/>
          <w:i/>
          <w:iCs/>
          <w:sz w:val="22"/>
          <w:szCs w:val="24"/>
          <w:shd w:val="clear" w:color="auto" w:fill="FFFFFF"/>
        </w:rPr>
        <w:t xml:space="preserve"> o usuarios, los empleadores y las entidades administradoras o prestadoras</w:t>
      </w:r>
      <w:r w:rsidRPr="00C41D0C">
        <w:rPr>
          <w:rFonts w:cs="Tahoma"/>
          <w:i/>
          <w:iCs/>
          <w:sz w:val="22"/>
          <w:szCs w:val="24"/>
          <w:shd w:val="clear" w:color="auto" w:fill="FFFFFF"/>
        </w:rPr>
        <w:t xml:space="preserve"> y beneficiarios con las entidades administradoras y prestadoras de los servicios de seguridad social,</w:t>
      </w:r>
      <w:r w:rsidR="008F708D" w:rsidRPr="00C41D0C">
        <w:rPr>
          <w:rFonts w:cs="Tahoma"/>
          <w:i/>
          <w:iCs/>
          <w:sz w:val="22"/>
          <w:szCs w:val="24"/>
          <w:shd w:val="clear" w:color="auto" w:fill="FFFFFF"/>
        </w:rPr>
        <w:t xml:space="preserve"> salvo los de responsabilidad médica y los relacionados con contratos</w:t>
      </w:r>
      <w:r w:rsidR="008F708D" w:rsidRPr="00C42820">
        <w:rPr>
          <w:rFonts w:cs="Tahoma"/>
          <w:i/>
          <w:iCs/>
          <w:szCs w:val="24"/>
          <w:shd w:val="clear" w:color="auto" w:fill="FFFFFF"/>
        </w:rPr>
        <w:t>”.</w:t>
      </w:r>
    </w:p>
    <w:p w14:paraId="78473C7A" w14:textId="6234B2D5" w:rsidR="0018259A" w:rsidRPr="00C42820" w:rsidRDefault="0018259A" w:rsidP="00C42820">
      <w:pPr>
        <w:spacing w:line="276" w:lineRule="auto"/>
        <w:rPr>
          <w:rFonts w:cs="Tahoma"/>
          <w:bCs/>
          <w:szCs w:val="24"/>
        </w:rPr>
      </w:pPr>
    </w:p>
    <w:p w14:paraId="67566600" w14:textId="7970A40F" w:rsidR="008F708D" w:rsidRPr="00C42820" w:rsidRDefault="008F708D" w:rsidP="00C42820">
      <w:pPr>
        <w:spacing w:line="276" w:lineRule="auto"/>
        <w:ind w:firstLine="708"/>
        <w:rPr>
          <w:rFonts w:cs="Tahoma"/>
          <w:szCs w:val="24"/>
        </w:rPr>
      </w:pPr>
      <w:r w:rsidRPr="00C42820">
        <w:rPr>
          <w:rFonts w:cs="Tahoma"/>
          <w:szCs w:val="24"/>
        </w:rPr>
        <w:t>Este precepto ha sido interpretado por los distintos órganos de cierre jurisdiccional como una cláusula general de competencia</w:t>
      </w:r>
      <w:r w:rsidRPr="00C42820">
        <w:rPr>
          <w:rStyle w:val="Refdenotaalpie"/>
          <w:rFonts w:cs="Tahoma"/>
          <w:szCs w:val="24"/>
        </w:rPr>
        <w:footnoteReference w:id="2"/>
      </w:r>
      <w:r w:rsidRPr="00C42820">
        <w:rPr>
          <w:rFonts w:cs="Tahoma"/>
          <w:szCs w:val="24"/>
        </w:rPr>
        <w:t xml:space="preserve">, con arreglo </w:t>
      </w:r>
      <w:r w:rsidR="008D7F67" w:rsidRPr="00C42820">
        <w:rPr>
          <w:rFonts w:cs="Tahoma"/>
          <w:szCs w:val="24"/>
        </w:rPr>
        <w:t>a</w:t>
      </w:r>
      <w:r w:rsidRPr="00C42820">
        <w:rPr>
          <w:rFonts w:cs="Tahoma"/>
          <w:szCs w:val="24"/>
        </w:rPr>
        <w:t xml:space="preserve"> la cual la </w:t>
      </w:r>
      <w:r w:rsidRPr="00C42820">
        <w:rPr>
          <w:rFonts w:cs="Tahoma"/>
          <w:szCs w:val="24"/>
          <w:shd w:val="clear" w:color="auto" w:fill="FFFFFF"/>
        </w:rPr>
        <w:t>jurisdicción ordinaria, en su especialidad laboral y de la seguridad social, tiene la competencia preferente y residual para conocer las controversias que versen sobre asuntos de derecho laboral o referentes al sistema de seguridad social, en razón de lo cual, la especialidad civil de la jurisdicción ordinaria y la jurisdicción de lo contencioso administrativo sólo son competentes para conocer controversias que versen sobre estas materias si existe una regla o </w:t>
      </w:r>
      <w:r w:rsidRPr="00C42820">
        <w:rPr>
          <w:rFonts w:cs="Tahoma"/>
          <w:i/>
          <w:iCs/>
          <w:szCs w:val="24"/>
          <w:shd w:val="clear" w:color="auto" w:fill="FFFFFF"/>
        </w:rPr>
        <w:t>cláusula especial de competencia</w:t>
      </w:r>
      <w:r w:rsidRPr="00C42820">
        <w:rPr>
          <w:rFonts w:cs="Tahoma"/>
          <w:szCs w:val="24"/>
          <w:shd w:val="clear" w:color="auto" w:fill="FFFFFF"/>
        </w:rPr>
        <w:t> que les asigne el conocimiento de determinado tipo de conflictos.</w:t>
      </w:r>
    </w:p>
    <w:p w14:paraId="75ADC7EA" w14:textId="41EAC243" w:rsidR="45BD1307" w:rsidRPr="00C42820" w:rsidRDefault="45BD1307" w:rsidP="00C42820">
      <w:pPr>
        <w:spacing w:line="276" w:lineRule="auto"/>
        <w:ind w:firstLine="708"/>
        <w:rPr>
          <w:rFonts w:cs="Tahoma"/>
          <w:szCs w:val="24"/>
        </w:rPr>
      </w:pPr>
    </w:p>
    <w:p w14:paraId="43D1C9BA" w14:textId="19AAF763" w:rsidR="008F708D" w:rsidRPr="00C42820" w:rsidRDefault="00F62BA5" w:rsidP="00C42820">
      <w:pPr>
        <w:spacing w:line="276" w:lineRule="auto"/>
        <w:ind w:firstLine="567"/>
        <w:rPr>
          <w:rFonts w:cs="Tahoma"/>
          <w:bCs/>
          <w:szCs w:val="24"/>
        </w:rPr>
      </w:pPr>
      <w:r w:rsidRPr="00C42820">
        <w:rPr>
          <w:rFonts w:cs="Tahoma"/>
          <w:bCs/>
          <w:szCs w:val="24"/>
        </w:rPr>
        <w:t xml:space="preserve">En relación a la materia, la Sala Plena de la Corte Suprema de Justicia, al resolver un conflicto de competencia suscitado alrededor del cobro de unas facturas por la prestación de servicios de salud, explicó: </w:t>
      </w:r>
    </w:p>
    <w:p w14:paraId="4B94F547" w14:textId="77777777" w:rsidR="00F62BA5" w:rsidRPr="00C42820" w:rsidRDefault="00F62BA5" w:rsidP="00C42820">
      <w:pPr>
        <w:spacing w:line="276" w:lineRule="auto"/>
        <w:rPr>
          <w:rFonts w:cs="Tahoma"/>
          <w:bCs/>
          <w:szCs w:val="24"/>
        </w:rPr>
      </w:pPr>
    </w:p>
    <w:p w14:paraId="62B089B9" w14:textId="5964CE3E" w:rsidR="0018259A" w:rsidRPr="00C41D0C" w:rsidRDefault="004969F4" w:rsidP="00C41D0C">
      <w:pPr>
        <w:spacing w:line="240" w:lineRule="auto"/>
        <w:ind w:left="426" w:right="420"/>
        <w:rPr>
          <w:rFonts w:cs="Tahoma"/>
          <w:i/>
          <w:sz w:val="22"/>
          <w:szCs w:val="24"/>
        </w:rPr>
      </w:pPr>
      <w:r w:rsidRPr="00C41D0C">
        <w:rPr>
          <w:rFonts w:cs="Tahoma"/>
          <w:i/>
          <w:sz w:val="22"/>
          <w:szCs w:val="24"/>
        </w:rPr>
        <w:t>“</w:t>
      </w:r>
      <w:r w:rsidR="0018259A" w:rsidRPr="00C41D0C">
        <w:rPr>
          <w:rFonts w:cs="Tahoma"/>
          <w:i/>
          <w:sz w:val="22"/>
          <w:szCs w:val="24"/>
        </w:rPr>
        <w:t>Es cierto que uno de los principales logros de la Ley 100 de 1993 fue el de unificar en un solo estatuto el sistema de seguridad social integral, al tiempo que la Ley 712 de 2001 le asignó a la jurisdicción ordinaria en su especialidad laboral y de seguridad social, el conocimiento de las controversias surgidas en razón del funcionamiento de tal sistema, como así lo prevé el artículo 2º, numeral 4º (…)</w:t>
      </w:r>
    </w:p>
    <w:p w14:paraId="59B63592" w14:textId="3E320E03" w:rsidR="0018259A" w:rsidRPr="00C41D0C" w:rsidRDefault="0018259A" w:rsidP="00C41D0C">
      <w:pPr>
        <w:spacing w:line="240" w:lineRule="auto"/>
        <w:ind w:left="426" w:right="420"/>
        <w:rPr>
          <w:rFonts w:cs="Tahoma"/>
          <w:bCs/>
          <w:i/>
          <w:sz w:val="22"/>
          <w:szCs w:val="24"/>
        </w:rPr>
      </w:pPr>
    </w:p>
    <w:p w14:paraId="09704077" w14:textId="77777777" w:rsidR="00F62BA5" w:rsidRPr="00C41D0C" w:rsidRDefault="0018259A" w:rsidP="00C41D0C">
      <w:pPr>
        <w:spacing w:line="240" w:lineRule="auto"/>
        <w:ind w:left="426" w:right="420"/>
        <w:rPr>
          <w:rFonts w:cs="Tahoma"/>
          <w:i/>
          <w:sz w:val="22"/>
          <w:szCs w:val="24"/>
        </w:rPr>
      </w:pPr>
      <w:r w:rsidRPr="00C41D0C">
        <w:rPr>
          <w:rFonts w:cs="Tahoma"/>
          <w:i/>
          <w:sz w:val="22"/>
          <w:szCs w:val="24"/>
        </w:rPr>
        <w:t xml:space="preserve">Ocurre sin embargo que dicho sistema puede dar lugar a varios tipos de relaciones jurídicas, autónomas e independientes, aunque conectadas entre sí. </w:t>
      </w:r>
    </w:p>
    <w:p w14:paraId="084CDCD9" w14:textId="77777777" w:rsidR="00F62BA5" w:rsidRPr="00C41D0C" w:rsidRDefault="00F62BA5" w:rsidP="00C41D0C">
      <w:pPr>
        <w:spacing w:line="240" w:lineRule="auto"/>
        <w:ind w:left="426" w:right="420"/>
        <w:rPr>
          <w:rFonts w:cs="Tahoma"/>
          <w:i/>
          <w:sz w:val="22"/>
          <w:szCs w:val="24"/>
        </w:rPr>
      </w:pPr>
    </w:p>
    <w:p w14:paraId="1907CBF3" w14:textId="77777777" w:rsidR="00F62BA5" w:rsidRPr="00C41D0C" w:rsidRDefault="0018259A" w:rsidP="00C41D0C">
      <w:pPr>
        <w:spacing w:line="240" w:lineRule="auto"/>
        <w:ind w:left="426" w:right="420"/>
        <w:rPr>
          <w:rFonts w:cs="Tahoma"/>
          <w:i/>
          <w:sz w:val="22"/>
          <w:szCs w:val="24"/>
        </w:rPr>
      </w:pPr>
      <w:r w:rsidRPr="00C41D0C">
        <w:rPr>
          <w:rFonts w:cs="Tahoma"/>
          <w:i/>
          <w:sz w:val="22"/>
          <w:szCs w:val="24"/>
        </w:rPr>
        <w:t xml:space="preserve">La primera, estrictamente de seguridad social, entre los afiliados o beneficiarios del sistema y las entidades administradoras o prestadoras (EPS, IPS, ARL), en lo que tiene que ver con la asistencia y atención en salud que aquellos requieran. </w:t>
      </w:r>
    </w:p>
    <w:p w14:paraId="254972E5" w14:textId="77777777" w:rsidR="00F62BA5" w:rsidRPr="00C41D0C" w:rsidRDefault="00F62BA5" w:rsidP="00C41D0C">
      <w:pPr>
        <w:spacing w:line="240" w:lineRule="auto"/>
        <w:ind w:left="426" w:right="420"/>
        <w:rPr>
          <w:rFonts w:cs="Tahoma"/>
          <w:i/>
          <w:sz w:val="22"/>
          <w:szCs w:val="24"/>
        </w:rPr>
      </w:pPr>
    </w:p>
    <w:p w14:paraId="2150591E" w14:textId="4A397C00" w:rsidR="0018259A" w:rsidRPr="00C41D0C" w:rsidRDefault="0018259A" w:rsidP="00C41D0C">
      <w:pPr>
        <w:spacing w:line="240" w:lineRule="auto"/>
        <w:ind w:left="426" w:right="420"/>
        <w:rPr>
          <w:rFonts w:cs="Tahoma"/>
          <w:bCs/>
          <w:i/>
          <w:sz w:val="22"/>
          <w:szCs w:val="24"/>
        </w:rPr>
      </w:pPr>
      <w:r w:rsidRPr="00C41D0C">
        <w:rPr>
          <w:rFonts w:cs="Tahoma"/>
          <w:i/>
          <w:sz w:val="22"/>
          <w:szCs w:val="24"/>
        </w:rPr>
        <w:t>La segunda, de raigambre netamente civil o comercial, producto de la forma contractual o extracontractual como dichas entidades se obligan a prestar el servicio a los afiliados o beneficiarios del sistema, en virtud de lo cual se utilizan instrumentos garantes de la satisfacción de esas obligaciones, tales como facturas o cualquier otro título valor de contenido crediticio, el cual valdrá como pago de aquellas en orden a lo dispuesto en el artículo 882 del Código de Comercio</w:t>
      </w:r>
      <w:r w:rsidR="004969F4" w:rsidRPr="00C41D0C">
        <w:rPr>
          <w:rFonts w:cs="Tahoma"/>
          <w:i/>
          <w:sz w:val="22"/>
          <w:szCs w:val="24"/>
        </w:rPr>
        <w:t>”</w:t>
      </w:r>
      <w:r w:rsidRPr="00C41D0C">
        <w:rPr>
          <w:rFonts w:cs="Tahoma"/>
          <w:i/>
          <w:sz w:val="22"/>
          <w:szCs w:val="24"/>
        </w:rPr>
        <w:t>.</w:t>
      </w:r>
    </w:p>
    <w:p w14:paraId="3460585D" w14:textId="2F7A64AE" w:rsidR="009F45D0" w:rsidRPr="00C42820" w:rsidRDefault="009F45D0" w:rsidP="00C42820">
      <w:pPr>
        <w:spacing w:line="276" w:lineRule="auto"/>
        <w:rPr>
          <w:rFonts w:cs="Tahoma"/>
          <w:bCs/>
          <w:szCs w:val="24"/>
        </w:rPr>
      </w:pPr>
    </w:p>
    <w:p w14:paraId="0941C743" w14:textId="3662F17A" w:rsidR="00F62BA5" w:rsidRPr="00C42820" w:rsidRDefault="00F62BA5" w:rsidP="00C42820">
      <w:pPr>
        <w:spacing w:line="276" w:lineRule="auto"/>
        <w:ind w:firstLine="567"/>
        <w:rPr>
          <w:rFonts w:cs="Tahoma"/>
          <w:bCs/>
          <w:szCs w:val="24"/>
          <w:lang w:val="es-ES_tradnl"/>
        </w:rPr>
      </w:pPr>
      <w:r w:rsidRPr="00C42820">
        <w:rPr>
          <w:rFonts w:cs="Tahoma"/>
          <w:bCs/>
          <w:szCs w:val="24"/>
          <w:lang w:val="es-ES_tradnl"/>
        </w:rPr>
        <w:t>Cabe resaltar que antes de la modificación que introdujo el artículo 622 de la Ley 1564 de 2012 (CGP) al numeral 4 del citado artículo 2 del C.P.T. y de la S.S., la norma no excluía del conocimiento de la especialidad laboral ningún conflicto suscitado en el marco del sistema de seguridad social integral; sin embargo, a partir de la entrada en vigencia de la</w:t>
      </w:r>
      <w:r w:rsidR="00537809" w:rsidRPr="00C42820">
        <w:rPr>
          <w:rFonts w:cs="Tahoma"/>
          <w:bCs/>
          <w:szCs w:val="24"/>
          <w:lang w:val="es-ES_tradnl"/>
        </w:rPr>
        <w:t xml:space="preserve"> citada</w:t>
      </w:r>
      <w:r w:rsidRPr="00C42820">
        <w:rPr>
          <w:rFonts w:cs="Tahoma"/>
          <w:bCs/>
          <w:szCs w:val="24"/>
          <w:lang w:val="es-ES_tradnl"/>
        </w:rPr>
        <w:t xml:space="preserve"> Ley 1564 de 2012</w:t>
      </w:r>
      <w:r w:rsidR="00537809" w:rsidRPr="00C42820">
        <w:rPr>
          <w:rFonts w:cs="Tahoma"/>
          <w:bCs/>
          <w:szCs w:val="24"/>
          <w:lang w:val="es-ES_tradnl"/>
        </w:rPr>
        <w:t xml:space="preserve">, se eliminó del precepto legal en estudio la frase </w:t>
      </w:r>
      <w:r w:rsidR="00537809" w:rsidRPr="00C42820">
        <w:rPr>
          <w:rFonts w:cs="Tahoma"/>
          <w:bCs/>
          <w:i/>
          <w:szCs w:val="24"/>
          <w:lang w:val="es-ES_tradnl"/>
        </w:rPr>
        <w:t>“</w:t>
      </w:r>
      <w:r w:rsidR="00537809" w:rsidRPr="00C41D0C">
        <w:rPr>
          <w:rFonts w:cs="Tahoma"/>
          <w:bCs/>
          <w:i/>
          <w:sz w:val="22"/>
          <w:szCs w:val="24"/>
          <w:lang w:val="es-ES_tradnl"/>
        </w:rPr>
        <w:t>cualquiera que sea la naturaleza de la relación jurídica y de los actos jurídicos que se controviertan</w:t>
      </w:r>
      <w:r w:rsidR="00537809" w:rsidRPr="00C42820">
        <w:rPr>
          <w:rFonts w:cs="Tahoma"/>
          <w:bCs/>
          <w:i/>
          <w:szCs w:val="24"/>
          <w:lang w:val="es-ES_tradnl"/>
        </w:rPr>
        <w:t>”</w:t>
      </w:r>
      <w:r w:rsidR="004969F4" w:rsidRPr="00C42820">
        <w:rPr>
          <w:rFonts w:cs="Tahoma"/>
          <w:bCs/>
          <w:i/>
          <w:szCs w:val="24"/>
          <w:lang w:val="es-ES_tradnl"/>
        </w:rPr>
        <w:t xml:space="preserve"> </w:t>
      </w:r>
      <w:r w:rsidR="00537809" w:rsidRPr="00C42820">
        <w:rPr>
          <w:rFonts w:cs="Tahoma"/>
          <w:bCs/>
          <w:i/>
          <w:szCs w:val="24"/>
          <w:lang w:val="es-ES_tradnl"/>
        </w:rPr>
        <w:t xml:space="preserve"> </w:t>
      </w:r>
      <w:r w:rsidR="00537809" w:rsidRPr="00C42820">
        <w:rPr>
          <w:rFonts w:cs="Tahoma"/>
          <w:bCs/>
          <w:szCs w:val="24"/>
          <w:lang w:val="es-ES_tradnl"/>
        </w:rPr>
        <w:t xml:space="preserve">y se reemplazó con el enunciado: </w:t>
      </w:r>
      <w:r w:rsidR="00537809" w:rsidRPr="00C42820">
        <w:rPr>
          <w:rFonts w:cs="Tahoma"/>
          <w:bCs/>
          <w:i/>
          <w:szCs w:val="24"/>
          <w:lang w:val="es-ES_tradnl"/>
        </w:rPr>
        <w:t>“</w:t>
      </w:r>
      <w:r w:rsidR="00537809" w:rsidRPr="00C41D0C">
        <w:rPr>
          <w:rFonts w:cs="Tahoma"/>
          <w:bCs/>
          <w:i/>
          <w:sz w:val="22"/>
          <w:szCs w:val="24"/>
          <w:lang w:val="es-ES_tradnl"/>
        </w:rPr>
        <w:t>salvo los de responsabilidad médica y los relacionados con contratos</w:t>
      </w:r>
      <w:r w:rsidR="00537809" w:rsidRPr="00C42820">
        <w:rPr>
          <w:rFonts w:cs="Tahoma"/>
          <w:bCs/>
          <w:i/>
          <w:szCs w:val="24"/>
          <w:lang w:val="es-ES_tradnl"/>
        </w:rPr>
        <w:t>”</w:t>
      </w:r>
      <w:r w:rsidR="00537809" w:rsidRPr="00C42820">
        <w:rPr>
          <w:rFonts w:cs="Tahoma"/>
          <w:bCs/>
          <w:szCs w:val="24"/>
          <w:lang w:val="es-ES_tradnl"/>
        </w:rPr>
        <w:t xml:space="preserve"> . Ello así, la especialidad laboral dejó de conocer asuntos relacionados con “</w:t>
      </w:r>
      <w:r w:rsidR="00537809" w:rsidRPr="00C41D0C">
        <w:rPr>
          <w:rFonts w:cs="Tahoma"/>
          <w:bCs/>
          <w:i/>
          <w:sz w:val="22"/>
          <w:szCs w:val="24"/>
          <w:lang w:val="es-ES_tradnl"/>
        </w:rPr>
        <w:t>responsabilidad médica</w:t>
      </w:r>
      <w:r w:rsidR="00537809" w:rsidRPr="00C42820">
        <w:rPr>
          <w:rFonts w:cs="Tahoma"/>
          <w:bCs/>
          <w:i/>
          <w:szCs w:val="24"/>
          <w:lang w:val="es-ES_tradnl"/>
        </w:rPr>
        <w:t>”</w:t>
      </w:r>
      <w:r w:rsidR="00537809" w:rsidRPr="00C42820">
        <w:rPr>
          <w:rFonts w:cs="Tahoma"/>
          <w:bCs/>
          <w:szCs w:val="24"/>
          <w:lang w:val="es-ES_tradnl"/>
        </w:rPr>
        <w:t xml:space="preserve"> y “</w:t>
      </w:r>
      <w:r w:rsidR="00537809" w:rsidRPr="00C41D0C">
        <w:rPr>
          <w:rFonts w:cs="Tahoma"/>
          <w:bCs/>
          <w:i/>
          <w:sz w:val="22"/>
          <w:szCs w:val="24"/>
          <w:lang w:val="es-ES_tradnl"/>
        </w:rPr>
        <w:t>contratos</w:t>
      </w:r>
      <w:r w:rsidR="00537809" w:rsidRPr="00C42820">
        <w:rPr>
          <w:rFonts w:cs="Tahoma"/>
          <w:bCs/>
          <w:szCs w:val="24"/>
          <w:lang w:val="es-ES_tradnl"/>
        </w:rPr>
        <w:t xml:space="preserve">” en el marco de la seguridad social integral. </w:t>
      </w:r>
    </w:p>
    <w:p w14:paraId="1B6D4EAE" w14:textId="4B7028F9" w:rsidR="00537809" w:rsidRPr="00C42820" w:rsidRDefault="00537809" w:rsidP="00C42820">
      <w:pPr>
        <w:spacing w:line="276" w:lineRule="auto"/>
        <w:rPr>
          <w:rFonts w:cs="Tahoma"/>
          <w:b/>
          <w:bCs/>
          <w:szCs w:val="24"/>
          <w:lang w:val="es-ES_tradnl"/>
        </w:rPr>
      </w:pPr>
    </w:p>
    <w:p w14:paraId="33B787E8" w14:textId="61C8E92B" w:rsidR="000B508D" w:rsidRPr="00C42820" w:rsidRDefault="00537809" w:rsidP="00C42820">
      <w:pPr>
        <w:spacing w:line="276" w:lineRule="auto"/>
        <w:ind w:firstLine="567"/>
        <w:rPr>
          <w:rFonts w:cs="Tahoma"/>
          <w:szCs w:val="24"/>
        </w:rPr>
      </w:pPr>
      <w:r w:rsidRPr="00C42820">
        <w:rPr>
          <w:rFonts w:cs="Tahoma"/>
          <w:szCs w:val="24"/>
        </w:rPr>
        <w:t xml:space="preserve">Ahora bien, </w:t>
      </w:r>
      <w:r w:rsidR="046DFA5A" w:rsidRPr="00C42820">
        <w:rPr>
          <w:rFonts w:cs="Tahoma"/>
          <w:szCs w:val="24"/>
        </w:rPr>
        <w:t xml:space="preserve">en principio podría decirse que </w:t>
      </w:r>
      <w:r w:rsidR="00BA44CD" w:rsidRPr="00C42820">
        <w:rPr>
          <w:rFonts w:cs="Tahoma"/>
          <w:szCs w:val="24"/>
        </w:rPr>
        <w:t>con el mencionado cambio legislativo</w:t>
      </w:r>
      <w:r w:rsidRPr="00C42820">
        <w:rPr>
          <w:rFonts w:cs="Tahoma"/>
          <w:szCs w:val="24"/>
        </w:rPr>
        <w:t xml:space="preserve"> la especialidad laboral</w:t>
      </w:r>
      <w:r w:rsidR="00972E4D" w:rsidRPr="00C42820">
        <w:rPr>
          <w:rFonts w:cs="Tahoma"/>
          <w:szCs w:val="24"/>
        </w:rPr>
        <w:t xml:space="preserve"> </w:t>
      </w:r>
      <w:r w:rsidR="1B648FD0" w:rsidRPr="00C42820">
        <w:rPr>
          <w:rFonts w:cs="Tahoma"/>
          <w:szCs w:val="24"/>
        </w:rPr>
        <w:t>quedó</w:t>
      </w:r>
      <w:r w:rsidRPr="00C42820">
        <w:rPr>
          <w:rFonts w:cs="Tahoma"/>
          <w:szCs w:val="24"/>
        </w:rPr>
        <w:t xml:space="preserve"> excluida del conocimiento de</w:t>
      </w:r>
      <w:r w:rsidR="00972E4D" w:rsidRPr="00C42820">
        <w:rPr>
          <w:rFonts w:cs="Tahoma"/>
          <w:szCs w:val="24"/>
        </w:rPr>
        <w:t xml:space="preserve"> conflictos relacionados con</w:t>
      </w:r>
      <w:r w:rsidRPr="00C42820">
        <w:rPr>
          <w:rFonts w:cs="Tahoma"/>
          <w:szCs w:val="24"/>
        </w:rPr>
        <w:t xml:space="preserve"> “</w:t>
      </w:r>
      <w:r w:rsidRPr="00C41D0C">
        <w:rPr>
          <w:rFonts w:cs="Tahoma"/>
          <w:i/>
          <w:sz w:val="22"/>
          <w:szCs w:val="24"/>
        </w:rPr>
        <w:t>contratos</w:t>
      </w:r>
      <w:r w:rsidRPr="00C42820">
        <w:rPr>
          <w:rFonts w:cs="Tahoma"/>
          <w:szCs w:val="24"/>
        </w:rPr>
        <w:t>”</w:t>
      </w:r>
      <w:r w:rsidR="00972E4D" w:rsidRPr="00C42820">
        <w:rPr>
          <w:rFonts w:cs="Tahoma"/>
          <w:szCs w:val="24"/>
        </w:rPr>
        <w:t xml:space="preserve"> en el marco de la seguridad social, </w:t>
      </w:r>
      <w:r w:rsidR="6200B67F" w:rsidRPr="00C42820">
        <w:rPr>
          <w:rFonts w:cs="Tahoma"/>
          <w:szCs w:val="24"/>
        </w:rPr>
        <w:t xml:space="preserve">bajo el argumento de </w:t>
      </w:r>
      <w:r w:rsidR="00972E4D" w:rsidRPr="00C42820">
        <w:rPr>
          <w:rFonts w:cs="Tahoma"/>
          <w:szCs w:val="24"/>
        </w:rPr>
        <w:t>que la intención del legislador fue liberar a la especialidad laboral de la competencia sobre asuntos que resultan más afines a la especialidad civil o comercial, tales como acciones cambiarias o recobros por la prestación de servicios médicos de IPS a usuarios de EPS, pero no puede interpretarse en un sentido amplio, pues pensar que todo tipo de acto o contrato queda excluido del conocimiento de la especialidad laboral, incluidos los celebrados entre afiliados y Administradoras de Fondos de Pensiones</w:t>
      </w:r>
      <w:r w:rsidR="000B508D" w:rsidRPr="00C42820">
        <w:rPr>
          <w:rFonts w:cs="Tahoma"/>
          <w:szCs w:val="24"/>
        </w:rPr>
        <w:t>, dejaría sin efectos la cláusula general de competencia aludida líneas atrás, pues en la práctica todos los conflictos de la seguridad social se derivan del acto o contrato de afiliación o vinculación al sistema.</w:t>
      </w:r>
    </w:p>
    <w:p w14:paraId="603114F3" w14:textId="77777777" w:rsidR="000B508D" w:rsidRPr="00C42820" w:rsidRDefault="000B508D" w:rsidP="00C42820">
      <w:pPr>
        <w:spacing w:line="276" w:lineRule="auto"/>
        <w:rPr>
          <w:rFonts w:cs="Tahoma"/>
          <w:bCs/>
          <w:szCs w:val="24"/>
          <w:lang w:val="es-ES_tradnl"/>
        </w:rPr>
      </w:pPr>
    </w:p>
    <w:p w14:paraId="4F8B4163" w14:textId="77777777" w:rsidR="008D7F67" w:rsidRPr="00C42820" w:rsidRDefault="000B508D" w:rsidP="00C42820">
      <w:pPr>
        <w:spacing w:line="276" w:lineRule="auto"/>
        <w:ind w:firstLine="567"/>
        <w:rPr>
          <w:rFonts w:cs="Tahoma"/>
          <w:bCs/>
          <w:szCs w:val="24"/>
          <w:lang w:val="es-ES_tradnl"/>
        </w:rPr>
      </w:pPr>
      <w:r w:rsidRPr="00C42820">
        <w:rPr>
          <w:rFonts w:cs="Tahoma"/>
          <w:bCs/>
          <w:szCs w:val="24"/>
          <w:lang w:val="es-ES_tradnl"/>
        </w:rPr>
        <w:lastRenderedPageBreak/>
        <w:t>En estos mismos términos ya se ha pronunciado esta Corporación, con ponencia de la Magistrada Olga Lucía Hoyos Sepúlveda, en la que se indicó:</w:t>
      </w:r>
    </w:p>
    <w:p w14:paraId="517ED868" w14:textId="77777777" w:rsidR="008D7F67" w:rsidRPr="00C42820" w:rsidRDefault="008D7F67" w:rsidP="00C42820">
      <w:pPr>
        <w:spacing w:line="276" w:lineRule="auto"/>
        <w:rPr>
          <w:rFonts w:cs="Tahoma"/>
          <w:szCs w:val="24"/>
          <w:lang w:val="es-ES_tradnl"/>
        </w:rPr>
      </w:pPr>
    </w:p>
    <w:p w14:paraId="1526B1F8" w14:textId="7498DC2B" w:rsidR="008D7F67" w:rsidRPr="00C41D0C" w:rsidRDefault="004969F4" w:rsidP="00C41D0C">
      <w:pPr>
        <w:spacing w:line="240" w:lineRule="auto"/>
        <w:ind w:left="426" w:right="420"/>
        <w:rPr>
          <w:rFonts w:cs="Tahoma"/>
          <w:i/>
          <w:sz w:val="22"/>
          <w:szCs w:val="24"/>
        </w:rPr>
      </w:pPr>
      <w:r w:rsidRPr="00C41D0C">
        <w:rPr>
          <w:rFonts w:cs="Tahoma"/>
          <w:i/>
          <w:sz w:val="22"/>
          <w:szCs w:val="24"/>
        </w:rPr>
        <w:t>“</w:t>
      </w:r>
      <w:r w:rsidR="008D7F67" w:rsidRPr="00C41D0C">
        <w:rPr>
          <w:rFonts w:cs="Tahoma"/>
          <w:i/>
          <w:sz w:val="22"/>
          <w:szCs w:val="24"/>
        </w:rPr>
        <w:t xml:space="preserve">Ahora bien, en cuanto a la interpretación de la exclusión contenida en el citado numeral, esto es, frente a las controversias suscitadas por los contratos, la doctrina ha dilucidado que dicha excepción fue introducida con el propósito de excluir del conocimiento de la especialidad ordinaria laboral las controversias que ocurren entre administradoras pensionales u otras personas en torno a los contratos que estas pactan para prestar los servicios de la seguridad social, puesto que admitir una interpretación diferente, como fuera incluir en tal relación contractual al afiliado o beneficiario de la seguridad social, sería tanto como anular el conocimiento de la especialidad laboral de todos los conflictos derivados del derecho a la seguridad social, pues todos y cada uno de ellos están precedidos por un contrato, es decir, la afiliación de la persona natural al sistema, o el contrato de trabajo entre la administradora pensional y sus trabajadores. </w:t>
      </w:r>
    </w:p>
    <w:p w14:paraId="209CF7E0" w14:textId="77777777" w:rsidR="008D7F67" w:rsidRPr="00C41D0C" w:rsidRDefault="008D7F67" w:rsidP="00C41D0C">
      <w:pPr>
        <w:spacing w:line="240" w:lineRule="auto"/>
        <w:ind w:left="426" w:right="420"/>
        <w:rPr>
          <w:rFonts w:cs="Tahoma"/>
          <w:i/>
          <w:sz w:val="22"/>
          <w:szCs w:val="24"/>
        </w:rPr>
      </w:pPr>
    </w:p>
    <w:p w14:paraId="2259692E" w14:textId="77777777" w:rsidR="008D7F67" w:rsidRPr="00C41D0C" w:rsidRDefault="008D7F67" w:rsidP="00C41D0C">
      <w:pPr>
        <w:spacing w:line="240" w:lineRule="auto"/>
        <w:ind w:left="426" w:right="420"/>
        <w:rPr>
          <w:rFonts w:cs="Tahoma"/>
          <w:i/>
          <w:sz w:val="22"/>
          <w:szCs w:val="24"/>
        </w:rPr>
      </w:pPr>
      <w:r w:rsidRPr="00C41D0C">
        <w:rPr>
          <w:rFonts w:cs="Tahoma"/>
          <w:i/>
          <w:sz w:val="22"/>
          <w:szCs w:val="24"/>
        </w:rPr>
        <w:t xml:space="preserve">En efecto, la doctrina en voces del ahora Magistrado de la Sala Laboral de la Corte Suprema de Justicia Gerardo Botero Zuluaga en la obra “Guía Teórica y Práctica del Derecho Procesal del Trabajo y de la Seguridad Social” – 6ª edición – 2019, pp.133, explicó que: </w:t>
      </w:r>
    </w:p>
    <w:p w14:paraId="307132F3" w14:textId="77777777" w:rsidR="008D7F67" w:rsidRPr="00C41D0C" w:rsidRDefault="008D7F67" w:rsidP="00C41D0C">
      <w:pPr>
        <w:spacing w:line="240" w:lineRule="auto"/>
        <w:ind w:left="426" w:right="420"/>
        <w:rPr>
          <w:rFonts w:cs="Tahoma"/>
          <w:i/>
          <w:sz w:val="22"/>
          <w:szCs w:val="24"/>
        </w:rPr>
      </w:pPr>
    </w:p>
    <w:p w14:paraId="261AB1E2" w14:textId="64A5EBC4" w:rsidR="008D7F67" w:rsidRPr="00C42820" w:rsidRDefault="008D7F67" w:rsidP="00C41D0C">
      <w:pPr>
        <w:spacing w:line="240" w:lineRule="auto"/>
        <w:ind w:left="426" w:right="420"/>
        <w:rPr>
          <w:rFonts w:cs="Tahoma"/>
          <w:bCs/>
          <w:szCs w:val="24"/>
          <w:lang w:val="es-ES_tradnl"/>
        </w:rPr>
      </w:pPr>
      <w:r w:rsidRPr="00C41D0C">
        <w:rPr>
          <w:rFonts w:cs="Tahoma"/>
          <w:i/>
          <w:sz w:val="22"/>
          <w:szCs w:val="24"/>
        </w:rPr>
        <w:t>“(…) los contratos que estarían excluidos del conocimiento de la jurisdicción ordinaria laboral, interpretando la norma objeto de estudio, serían aquellos que celebran las entidades que administran el sistema entre sí, o que acuerda con terceras personas para cumplir con su objeto social, de carácter civil, comercial o administrativo, en tanto que por virtud de su naturaleza corresponde a otras autoridades distintas del juez laboral, ya que nada tienen que ver con el contrato de trabajo</w:t>
      </w:r>
      <w:r w:rsidRPr="00C42820">
        <w:rPr>
          <w:rFonts w:cs="Tahoma"/>
          <w:i/>
          <w:szCs w:val="24"/>
        </w:rPr>
        <w:t xml:space="preserve"> </w:t>
      </w:r>
      <w:r w:rsidRPr="00C41D0C">
        <w:rPr>
          <w:rFonts w:cs="Tahoma"/>
          <w:i/>
          <w:sz w:val="22"/>
          <w:szCs w:val="24"/>
        </w:rPr>
        <w:t>o el sistema de seguridad social integral”</w:t>
      </w:r>
      <w:r w:rsidRPr="00C41D0C">
        <w:rPr>
          <w:rFonts w:cs="Tahoma"/>
          <w:i/>
          <w:iCs/>
          <w:sz w:val="22"/>
          <w:szCs w:val="24"/>
        </w:rPr>
        <w:t>.</w:t>
      </w:r>
      <w:r w:rsidR="00BA44CD" w:rsidRPr="00C42820">
        <w:rPr>
          <w:rStyle w:val="Refdenotaalpie"/>
          <w:rFonts w:cs="Tahoma"/>
          <w:i/>
          <w:iCs/>
          <w:szCs w:val="24"/>
        </w:rPr>
        <w:footnoteReference w:id="3"/>
      </w:r>
    </w:p>
    <w:p w14:paraId="3C784FD0" w14:textId="2124525A" w:rsidR="00F62BA5" w:rsidRPr="00C42820" w:rsidRDefault="00F62BA5" w:rsidP="00C42820">
      <w:pPr>
        <w:spacing w:line="276" w:lineRule="auto"/>
        <w:rPr>
          <w:rFonts w:cs="Tahoma"/>
          <w:b/>
          <w:bCs/>
          <w:szCs w:val="24"/>
          <w:lang w:val="es-ES_tradnl"/>
        </w:rPr>
      </w:pPr>
    </w:p>
    <w:p w14:paraId="09780B2F" w14:textId="3800A535" w:rsidR="00BA44CD" w:rsidRPr="00C42820" w:rsidRDefault="00BA44CD" w:rsidP="00C42820">
      <w:pPr>
        <w:spacing w:line="276" w:lineRule="auto"/>
        <w:ind w:firstLine="567"/>
        <w:rPr>
          <w:rFonts w:cs="Tahoma"/>
          <w:szCs w:val="24"/>
        </w:rPr>
      </w:pPr>
      <w:r w:rsidRPr="00C42820">
        <w:rPr>
          <w:rFonts w:cs="Tahoma"/>
          <w:szCs w:val="24"/>
        </w:rPr>
        <w:t xml:space="preserve">De lo que viene de decirse, es evidente que este asunto </w:t>
      </w:r>
      <w:r w:rsidR="00C32477" w:rsidRPr="00C42820">
        <w:rPr>
          <w:rFonts w:cs="Tahoma"/>
          <w:szCs w:val="24"/>
        </w:rPr>
        <w:t>donde se pretende</w:t>
      </w:r>
      <w:r w:rsidR="004969F4" w:rsidRPr="00C42820">
        <w:rPr>
          <w:rFonts w:cs="Tahoma"/>
          <w:szCs w:val="24"/>
        </w:rPr>
        <w:t xml:space="preserve"> </w:t>
      </w:r>
      <w:r w:rsidRPr="00C42820">
        <w:rPr>
          <w:rFonts w:cs="Tahoma"/>
          <w:szCs w:val="24"/>
        </w:rPr>
        <w:t>el reconocimiento de los perjuicios derivados del supuesto incumplimiento del deber de información y buen consejo</w:t>
      </w:r>
      <w:r w:rsidR="00C32477" w:rsidRPr="00C42820">
        <w:rPr>
          <w:rFonts w:cs="Tahoma"/>
          <w:szCs w:val="24"/>
        </w:rPr>
        <w:t xml:space="preserve"> que se atribuye a la AFP demandada</w:t>
      </w:r>
      <w:r w:rsidRPr="00C42820">
        <w:rPr>
          <w:rFonts w:cs="Tahoma"/>
          <w:szCs w:val="24"/>
        </w:rPr>
        <w:t xml:space="preserve">, corresponde al conocimiento de la </w:t>
      </w:r>
      <w:r w:rsidR="00C32477" w:rsidRPr="00C42820">
        <w:rPr>
          <w:rFonts w:cs="Tahoma"/>
          <w:szCs w:val="24"/>
        </w:rPr>
        <w:t xml:space="preserve">jurisdicción laboral, pues como ya lo ha dicho esta </w:t>
      </w:r>
      <w:r w:rsidR="4FD55797" w:rsidRPr="00C42820">
        <w:rPr>
          <w:rFonts w:cs="Tahoma"/>
          <w:szCs w:val="24"/>
        </w:rPr>
        <w:t>S</w:t>
      </w:r>
      <w:r w:rsidR="00C32477" w:rsidRPr="00C42820">
        <w:rPr>
          <w:rFonts w:cs="Tahoma"/>
          <w:szCs w:val="24"/>
        </w:rPr>
        <w:t xml:space="preserve">ala, el mismo emerge de una relación entre el afiliado y la entidad administradora de los servicios de la seguridad social. De esta manera también queda resuelta la excepción de </w:t>
      </w:r>
      <w:r w:rsidR="00C32477" w:rsidRPr="00C42820">
        <w:rPr>
          <w:rFonts w:cs="Tahoma"/>
          <w:i/>
          <w:iCs/>
          <w:szCs w:val="24"/>
        </w:rPr>
        <w:t>“</w:t>
      </w:r>
      <w:r w:rsidR="00C32477" w:rsidRPr="00C41D0C">
        <w:rPr>
          <w:rFonts w:eastAsia="Calibri" w:cs="Tahoma"/>
          <w:i/>
          <w:iCs/>
          <w:sz w:val="22"/>
          <w:szCs w:val="24"/>
        </w:rPr>
        <w:t>habérsele dado a la demanda el trámite de un proceso diferente al que corresponde</w:t>
      </w:r>
      <w:r w:rsidR="00C32477" w:rsidRPr="00C42820">
        <w:rPr>
          <w:rFonts w:eastAsia="Calibri" w:cs="Tahoma"/>
          <w:i/>
          <w:iCs/>
          <w:szCs w:val="24"/>
        </w:rPr>
        <w:t xml:space="preserve">”, </w:t>
      </w:r>
      <w:r w:rsidR="00C32477" w:rsidRPr="00C42820">
        <w:rPr>
          <w:rFonts w:eastAsia="Calibri" w:cs="Tahoma"/>
          <w:szCs w:val="24"/>
        </w:rPr>
        <w:t xml:space="preserve">dado que la misma estaba </w:t>
      </w:r>
      <w:r w:rsidR="00963E6F" w:rsidRPr="00C42820">
        <w:rPr>
          <w:rFonts w:eastAsia="Calibri" w:cs="Tahoma"/>
          <w:szCs w:val="24"/>
        </w:rPr>
        <w:t>dirigida a que el asunto fuera remitido a la especialidad civil para que fuera tramitado bajo el hilo de un proceso verbal de responsabilidad civil contra</w:t>
      </w:r>
      <w:r w:rsidR="004969F4" w:rsidRPr="00C42820">
        <w:rPr>
          <w:rFonts w:eastAsia="Calibri" w:cs="Tahoma"/>
          <w:szCs w:val="24"/>
        </w:rPr>
        <w:t>c</w:t>
      </w:r>
      <w:r w:rsidR="00963E6F" w:rsidRPr="00C42820">
        <w:rPr>
          <w:rFonts w:eastAsia="Calibri" w:cs="Tahoma"/>
          <w:szCs w:val="24"/>
        </w:rPr>
        <w:t xml:space="preserve">tual, empero, como se acaba de decidir, es la especialidad laboral, a través de un proceso ordinario laboral, la llamada a resolver de fondo el litigio. </w:t>
      </w:r>
      <w:r w:rsidR="00C32477" w:rsidRPr="00C42820">
        <w:rPr>
          <w:rFonts w:cs="Tahoma"/>
          <w:szCs w:val="24"/>
        </w:rPr>
        <w:t xml:space="preserve"> </w:t>
      </w:r>
    </w:p>
    <w:p w14:paraId="4ECCC813" w14:textId="77777777" w:rsidR="00BA44CD" w:rsidRPr="00C42820" w:rsidRDefault="00BA44CD" w:rsidP="00C42820">
      <w:pPr>
        <w:spacing w:line="276" w:lineRule="auto"/>
        <w:rPr>
          <w:rFonts w:cs="Tahoma"/>
          <w:b/>
          <w:bCs/>
          <w:szCs w:val="24"/>
        </w:rPr>
      </w:pPr>
    </w:p>
    <w:p w14:paraId="7FE9727F" w14:textId="6108A334" w:rsidR="004F5FEB" w:rsidRPr="00C42820" w:rsidRDefault="00963E6F" w:rsidP="00C42820">
      <w:pPr>
        <w:spacing w:line="276" w:lineRule="auto"/>
        <w:ind w:firstLine="708"/>
        <w:rPr>
          <w:rFonts w:cs="Tahoma"/>
          <w:szCs w:val="24"/>
        </w:rPr>
      </w:pPr>
      <w:r w:rsidRPr="00C42820">
        <w:rPr>
          <w:rFonts w:cs="Tahoma"/>
          <w:szCs w:val="24"/>
        </w:rPr>
        <w:t>Por todo lo anterior, se confirmará la decisión de primera instancia y se condenará en costas procesales a PORVENIR S.A. en favor de la demandante</w:t>
      </w:r>
      <w:r w:rsidR="48428766" w:rsidRPr="00C42820">
        <w:rPr>
          <w:rFonts w:cs="Tahoma"/>
          <w:szCs w:val="24"/>
        </w:rPr>
        <w:t xml:space="preserve">. las cuales se liquidarán </w:t>
      </w:r>
      <w:r w:rsidRPr="00C42820">
        <w:rPr>
          <w:rFonts w:cs="Tahoma"/>
          <w:szCs w:val="24"/>
        </w:rPr>
        <w:t xml:space="preserve">por el juzgado de origen. </w:t>
      </w:r>
    </w:p>
    <w:p w14:paraId="0E2770EC" w14:textId="77777777" w:rsidR="004F5FEB" w:rsidRPr="00C42820" w:rsidRDefault="004F5FEB" w:rsidP="00C42820">
      <w:pPr>
        <w:spacing w:line="276" w:lineRule="auto"/>
        <w:ind w:firstLine="708"/>
        <w:rPr>
          <w:rFonts w:cs="Tahoma"/>
          <w:bCs/>
          <w:szCs w:val="24"/>
        </w:rPr>
      </w:pPr>
    </w:p>
    <w:p w14:paraId="4CFF5599" w14:textId="1C20BDCD" w:rsidR="00B61C07" w:rsidRPr="00C42820" w:rsidRDefault="00B61C07" w:rsidP="00C42820">
      <w:pPr>
        <w:spacing w:line="276" w:lineRule="auto"/>
        <w:ind w:firstLine="708"/>
        <w:rPr>
          <w:rFonts w:cs="Tahoma"/>
          <w:szCs w:val="24"/>
          <w:lang w:val="es-ES_tradnl"/>
        </w:rPr>
      </w:pPr>
      <w:r w:rsidRPr="00C42820">
        <w:rPr>
          <w:rFonts w:cs="Tahoma"/>
          <w:szCs w:val="24"/>
          <w:lang w:val="es-ES_tradnl"/>
        </w:rPr>
        <w:t xml:space="preserve">En mérito de lo expuesto, </w:t>
      </w:r>
      <w:r w:rsidR="00182B32" w:rsidRPr="00C42820">
        <w:rPr>
          <w:rFonts w:cs="Tahoma"/>
          <w:b/>
          <w:bCs/>
          <w:szCs w:val="24"/>
        </w:rPr>
        <w:t xml:space="preserve">la Sala </w:t>
      </w:r>
      <w:r w:rsidR="003B4039" w:rsidRPr="00C42820">
        <w:rPr>
          <w:rFonts w:cs="Tahoma"/>
          <w:b/>
          <w:bCs/>
          <w:szCs w:val="24"/>
        </w:rPr>
        <w:t xml:space="preserve">Primera </w:t>
      </w:r>
      <w:r w:rsidR="00182B32" w:rsidRPr="00C42820">
        <w:rPr>
          <w:rFonts w:cs="Tahoma"/>
          <w:b/>
          <w:bCs/>
          <w:szCs w:val="24"/>
        </w:rPr>
        <w:t xml:space="preserve">de Decisión </w:t>
      </w:r>
      <w:r w:rsidR="003B4039" w:rsidRPr="00C42820">
        <w:rPr>
          <w:rFonts w:cs="Tahoma"/>
          <w:b/>
          <w:bCs/>
          <w:szCs w:val="24"/>
        </w:rPr>
        <w:t xml:space="preserve">Laboral </w:t>
      </w:r>
      <w:r w:rsidR="00182B32" w:rsidRPr="00C42820">
        <w:rPr>
          <w:rFonts w:cs="Tahoma"/>
          <w:b/>
          <w:bCs/>
          <w:szCs w:val="24"/>
        </w:rPr>
        <w:t>del Tribunal Superior de Distrito Judicial de Pereira – Risaralda-,</w:t>
      </w:r>
    </w:p>
    <w:p w14:paraId="4A84D389" w14:textId="7D6F726B" w:rsidR="001A51FC" w:rsidRDefault="001A51FC" w:rsidP="006D10D9">
      <w:pPr>
        <w:spacing w:line="276" w:lineRule="auto"/>
        <w:rPr>
          <w:rFonts w:cs="Tahoma"/>
          <w:szCs w:val="24"/>
          <w:lang w:val="es-CO"/>
        </w:rPr>
      </w:pPr>
    </w:p>
    <w:p w14:paraId="37857D1D" w14:textId="77777777" w:rsidR="006D10D9" w:rsidRPr="00C42820" w:rsidRDefault="006D10D9" w:rsidP="006D10D9">
      <w:pPr>
        <w:spacing w:line="276" w:lineRule="auto"/>
        <w:rPr>
          <w:rFonts w:cs="Tahoma"/>
          <w:szCs w:val="24"/>
          <w:lang w:val="es-CO"/>
        </w:rPr>
      </w:pPr>
    </w:p>
    <w:p w14:paraId="7A839D7A" w14:textId="2ABE7837" w:rsidR="00B61C07" w:rsidRPr="00C42820" w:rsidRDefault="00B61C07" w:rsidP="00C42820">
      <w:pPr>
        <w:spacing w:line="276" w:lineRule="auto"/>
        <w:ind w:firstLine="708"/>
        <w:jc w:val="center"/>
        <w:rPr>
          <w:rFonts w:cs="Tahoma"/>
          <w:szCs w:val="24"/>
          <w:lang w:val="es-CO"/>
        </w:rPr>
      </w:pPr>
      <w:r w:rsidRPr="00C42820">
        <w:rPr>
          <w:rFonts w:cs="Tahoma"/>
          <w:b/>
          <w:bCs/>
          <w:szCs w:val="24"/>
        </w:rPr>
        <w:lastRenderedPageBreak/>
        <w:t>RESUELVE</w:t>
      </w:r>
    </w:p>
    <w:p w14:paraId="263D5BCA" w14:textId="77777777" w:rsidR="00B61C07" w:rsidRPr="00C42820" w:rsidRDefault="00B61C07" w:rsidP="00C42820">
      <w:pPr>
        <w:spacing w:line="276" w:lineRule="auto"/>
        <w:ind w:firstLine="708"/>
        <w:rPr>
          <w:rFonts w:cs="Tahoma"/>
          <w:szCs w:val="24"/>
          <w:lang w:val="es-CO"/>
        </w:rPr>
      </w:pPr>
      <w:r w:rsidRPr="00C42820">
        <w:rPr>
          <w:rFonts w:cs="Tahoma"/>
          <w:szCs w:val="24"/>
          <w:lang w:val="es-CO"/>
        </w:rPr>
        <w:t> </w:t>
      </w:r>
    </w:p>
    <w:p w14:paraId="6B4D1B0B" w14:textId="673055D5" w:rsidR="003B4039" w:rsidRPr="00C42820" w:rsidRDefault="00B61C07" w:rsidP="00C42820">
      <w:pPr>
        <w:spacing w:line="276" w:lineRule="auto"/>
        <w:ind w:firstLine="708"/>
        <w:rPr>
          <w:rFonts w:cs="Tahoma"/>
          <w:b/>
          <w:bCs/>
          <w:szCs w:val="24"/>
        </w:rPr>
      </w:pPr>
      <w:r w:rsidRPr="00C42820">
        <w:rPr>
          <w:rFonts w:cs="Tahoma"/>
          <w:b/>
          <w:bCs/>
          <w:szCs w:val="24"/>
          <w:u w:val="single"/>
        </w:rPr>
        <w:t>PRIMERO:</w:t>
      </w:r>
      <w:r w:rsidRPr="00C42820">
        <w:rPr>
          <w:rFonts w:cs="Tahoma"/>
          <w:b/>
          <w:bCs/>
          <w:szCs w:val="24"/>
        </w:rPr>
        <w:t xml:space="preserve"> </w:t>
      </w:r>
      <w:r w:rsidR="003B4039" w:rsidRPr="00C42820">
        <w:rPr>
          <w:rFonts w:cs="Tahoma"/>
          <w:b/>
          <w:bCs/>
          <w:iCs/>
          <w:szCs w:val="24"/>
        </w:rPr>
        <w:t xml:space="preserve">CONFIRMAR </w:t>
      </w:r>
      <w:r w:rsidR="003B4039" w:rsidRPr="00C42820">
        <w:rPr>
          <w:rFonts w:cs="Tahoma"/>
          <w:iCs/>
          <w:szCs w:val="24"/>
        </w:rPr>
        <w:t xml:space="preserve">el auto objeto de alzada, proferido por el Juzgado </w:t>
      </w:r>
      <w:r w:rsidR="00CD53BE" w:rsidRPr="00C42820">
        <w:rPr>
          <w:rFonts w:cs="Tahoma"/>
          <w:iCs/>
          <w:szCs w:val="24"/>
        </w:rPr>
        <w:t>Cuarto</w:t>
      </w:r>
      <w:r w:rsidR="003B4039" w:rsidRPr="00C42820">
        <w:rPr>
          <w:rFonts w:cs="Tahoma"/>
          <w:iCs/>
          <w:szCs w:val="24"/>
        </w:rPr>
        <w:t xml:space="preserve"> del Circuito de Pereira</w:t>
      </w:r>
      <w:r w:rsidR="005E641D" w:rsidRPr="00C42820">
        <w:rPr>
          <w:rFonts w:cs="Tahoma"/>
          <w:iCs/>
          <w:szCs w:val="24"/>
        </w:rPr>
        <w:t xml:space="preserve"> </w:t>
      </w:r>
      <w:r w:rsidR="00CD53BE" w:rsidRPr="00C42820">
        <w:rPr>
          <w:rFonts w:cs="Tahoma"/>
          <w:iCs/>
          <w:szCs w:val="24"/>
        </w:rPr>
        <w:t xml:space="preserve">el </w:t>
      </w:r>
      <w:r w:rsidR="004969F4" w:rsidRPr="00C42820">
        <w:rPr>
          <w:rFonts w:cs="Tahoma"/>
          <w:iCs/>
          <w:szCs w:val="24"/>
        </w:rPr>
        <w:t>15 de marzo</w:t>
      </w:r>
      <w:r w:rsidR="002B1ABA" w:rsidRPr="00C42820">
        <w:rPr>
          <w:rFonts w:cs="Tahoma"/>
          <w:iCs/>
          <w:szCs w:val="24"/>
        </w:rPr>
        <w:t xml:space="preserve"> de 2023</w:t>
      </w:r>
      <w:r w:rsidR="005E641D" w:rsidRPr="00C42820">
        <w:rPr>
          <w:rFonts w:cs="Tahoma"/>
          <w:iCs/>
          <w:szCs w:val="24"/>
        </w:rPr>
        <w:t xml:space="preserve">, a través del cual </w:t>
      </w:r>
      <w:r w:rsidR="00D24503" w:rsidRPr="00C42820">
        <w:rPr>
          <w:rFonts w:cs="Tahoma"/>
          <w:iCs/>
          <w:szCs w:val="24"/>
        </w:rPr>
        <w:t xml:space="preserve">declaró no prospera </w:t>
      </w:r>
      <w:r w:rsidR="00ED1B1E" w:rsidRPr="00C42820">
        <w:rPr>
          <w:rFonts w:cs="Tahoma"/>
          <w:iCs/>
          <w:szCs w:val="24"/>
        </w:rPr>
        <w:t xml:space="preserve">la </w:t>
      </w:r>
      <w:r w:rsidR="004969F4" w:rsidRPr="00C42820">
        <w:rPr>
          <w:rFonts w:cs="Tahoma"/>
          <w:iCs/>
          <w:szCs w:val="24"/>
        </w:rPr>
        <w:t>excepción previa</w:t>
      </w:r>
      <w:r w:rsidR="00ED1B1E" w:rsidRPr="00C42820">
        <w:rPr>
          <w:rFonts w:cs="Tahoma"/>
          <w:iCs/>
          <w:szCs w:val="24"/>
        </w:rPr>
        <w:t xml:space="preserve"> de </w:t>
      </w:r>
      <w:r w:rsidR="008B4B45" w:rsidRPr="00C42820">
        <w:rPr>
          <w:rFonts w:cs="Tahoma"/>
          <w:iCs/>
          <w:szCs w:val="24"/>
        </w:rPr>
        <w:t>“</w:t>
      </w:r>
      <w:r w:rsidR="00CE13F1" w:rsidRPr="006D10D9">
        <w:rPr>
          <w:rFonts w:cs="Tahoma"/>
          <w:i/>
          <w:iCs/>
          <w:sz w:val="22"/>
          <w:szCs w:val="24"/>
        </w:rPr>
        <w:t>falta de competencia y habérsele dado la demanda un trámite de un proceso diferente al que corresponde</w:t>
      </w:r>
      <w:r w:rsidR="008B4B45" w:rsidRPr="006D10D9">
        <w:rPr>
          <w:rFonts w:cs="Tahoma"/>
          <w:i/>
          <w:iCs/>
          <w:szCs w:val="24"/>
        </w:rPr>
        <w:t>”</w:t>
      </w:r>
      <w:r w:rsidR="00CE13F1" w:rsidRPr="00C42820">
        <w:rPr>
          <w:rFonts w:cs="Tahoma"/>
          <w:iCs/>
          <w:szCs w:val="24"/>
        </w:rPr>
        <w:t>.</w:t>
      </w:r>
    </w:p>
    <w:p w14:paraId="08136E4F" w14:textId="77777777" w:rsidR="003B4039" w:rsidRPr="00C42820" w:rsidRDefault="003B4039" w:rsidP="006D10D9">
      <w:pPr>
        <w:spacing w:line="276" w:lineRule="auto"/>
        <w:rPr>
          <w:rFonts w:cs="Tahoma"/>
          <w:b/>
          <w:bCs/>
          <w:szCs w:val="24"/>
        </w:rPr>
      </w:pPr>
    </w:p>
    <w:p w14:paraId="6C7B832B" w14:textId="447C869E" w:rsidR="003B4039" w:rsidRPr="00C42820" w:rsidRDefault="003B4039" w:rsidP="00C42820">
      <w:pPr>
        <w:spacing w:line="276" w:lineRule="auto"/>
        <w:ind w:firstLine="708"/>
        <w:rPr>
          <w:rFonts w:cs="Tahoma"/>
          <w:szCs w:val="24"/>
        </w:rPr>
      </w:pPr>
      <w:r w:rsidRPr="00C42820">
        <w:rPr>
          <w:rFonts w:cs="Tahoma"/>
          <w:b/>
          <w:bCs/>
          <w:szCs w:val="24"/>
          <w:u w:val="single"/>
        </w:rPr>
        <w:t>SEGUNDO:</w:t>
      </w:r>
      <w:r w:rsidRPr="00C42820">
        <w:rPr>
          <w:rFonts w:cs="Tahoma"/>
          <w:b/>
          <w:bCs/>
          <w:szCs w:val="24"/>
        </w:rPr>
        <w:t xml:space="preserve"> </w:t>
      </w:r>
      <w:r w:rsidRPr="00C42820">
        <w:rPr>
          <w:rFonts w:cs="Tahoma"/>
          <w:szCs w:val="24"/>
        </w:rPr>
        <w:t xml:space="preserve">Costas en esta instancia a cargo </w:t>
      </w:r>
      <w:r w:rsidR="00CD53BE" w:rsidRPr="00C42820">
        <w:rPr>
          <w:rFonts w:cs="Tahoma"/>
          <w:szCs w:val="24"/>
        </w:rPr>
        <w:t xml:space="preserve">de </w:t>
      </w:r>
      <w:r w:rsidR="00C85055" w:rsidRPr="00C42820">
        <w:rPr>
          <w:rFonts w:cs="Tahoma"/>
          <w:szCs w:val="24"/>
        </w:rPr>
        <w:t xml:space="preserve">Porvenir </w:t>
      </w:r>
      <w:r w:rsidR="00CD53BE" w:rsidRPr="00C42820">
        <w:rPr>
          <w:rFonts w:cs="Tahoma"/>
          <w:szCs w:val="24"/>
        </w:rPr>
        <w:t xml:space="preserve">S.A </w:t>
      </w:r>
      <w:r w:rsidRPr="00C42820">
        <w:rPr>
          <w:rFonts w:cs="Tahoma"/>
          <w:szCs w:val="24"/>
        </w:rPr>
        <w:t>a favor de</w:t>
      </w:r>
      <w:r w:rsidR="004969F4" w:rsidRPr="00C42820">
        <w:rPr>
          <w:rFonts w:cs="Tahoma"/>
          <w:szCs w:val="24"/>
        </w:rPr>
        <w:t xml:space="preserve"> </w:t>
      </w:r>
      <w:r w:rsidR="00C85055" w:rsidRPr="00C42820">
        <w:rPr>
          <w:rFonts w:cs="Tahoma"/>
          <w:szCs w:val="24"/>
        </w:rPr>
        <w:t>l</w:t>
      </w:r>
      <w:r w:rsidR="004969F4" w:rsidRPr="00C42820">
        <w:rPr>
          <w:rFonts w:cs="Tahoma"/>
          <w:szCs w:val="24"/>
        </w:rPr>
        <w:t>a</w:t>
      </w:r>
      <w:r w:rsidR="00C85055" w:rsidRPr="00C42820">
        <w:rPr>
          <w:rFonts w:cs="Tahoma"/>
          <w:szCs w:val="24"/>
        </w:rPr>
        <w:t xml:space="preserve"> </w:t>
      </w:r>
      <w:r w:rsidRPr="00C42820">
        <w:rPr>
          <w:rFonts w:cs="Tahoma"/>
          <w:szCs w:val="24"/>
        </w:rPr>
        <w:t>demandante en un 100%. Liquídense por la secretaría del juzgado de origen.</w:t>
      </w:r>
    </w:p>
    <w:p w14:paraId="5E113BDC" w14:textId="77777777" w:rsidR="00C42820" w:rsidRPr="00C42820" w:rsidRDefault="00C42820" w:rsidP="00C42820">
      <w:pPr>
        <w:spacing w:line="276" w:lineRule="auto"/>
        <w:rPr>
          <w:rFonts w:eastAsia="Calibri" w:cs="Tahoma"/>
          <w:szCs w:val="24"/>
          <w:lang w:val="es-CO"/>
        </w:rPr>
      </w:pPr>
      <w:bookmarkStart w:id="2" w:name="_Hlk126574973"/>
    </w:p>
    <w:p w14:paraId="56324029" w14:textId="77777777" w:rsidR="00C42820" w:rsidRPr="00C42820" w:rsidRDefault="00C42820" w:rsidP="00C42820">
      <w:pPr>
        <w:spacing w:line="276" w:lineRule="auto"/>
        <w:jc w:val="center"/>
        <w:rPr>
          <w:rFonts w:eastAsia="Tahoma" w:cs="Tahoma"/>
          <w:b/>
          <w:bCs/>
          <w:szCs w:val="24"/>
          <w:lang w:val="es-CO"/>
        </w:rPr>
      </w:pPr>
      <w:r w:rsidRPr="00C42820">
        <w:rPr>
          <w:rFonts w:eastAsia="Tahoma" w:cs="Tahoma"/>
          <w:b/>
          <w:bCs/>
          <w:szCs w:val="24"/>
          <w:lang w:val="es-CO"/>
        </w:rPr>
        <w:t>NOTIFÍQUESE Y CÚMPLASE</w:t>
      </w:r>
    </w:p>
    <w:p w14:paraId="60D44B8B" w14:textId="77777777" w:rsidR="00C42820" w:rsidRPr="00C42820" w:rsidRDefault="00C42820" w:rsidP="00C42820">
      <w:pPr>
        <w:spacing w:line="276" w:lineRule="auto"/>
        <w:rPr>
          <w:rFonts w:eastAsia="Calibri" w:cs="Tahoma"/>
          <w:szCs w:val="24"/>
          <w:lang w:val="es-CO"/>
        </w:rPr>
      </w:pPr>
      <w:r w:rsidRPr="00C42820">
        <w:rPr>
          <w:rFonts w:eastAsia="Calibri" w:cs="Tahoma"/>
          <w:szCs w:val="24"/>
          <w:lang w:val="es-CO"/>
        </w:rPr>
        <w:t xml:space="preserve"> </w:t>
      </w:r>
    </w:p>
    <w:p w14:paraId="4B630DDB" w14:textId="77777777" w:rsidR="00C42820" w:rsidRPr="00C42820" w:rsidRDefault="00C42820" w:rsidP="00C42820">
      <w:pPr>
        <w:widowControl w:val="0"/>
        <w:autoSpaceDE w:val="0"/>
        <w:autoSpaceDN w:val="0"/>
        <w:adjustRightInd w:val="0"/>
        <w:spacing w:line="276" w:lineRule="auto"/>
        <w:rPr>
          <w:rFonts w:eastAsia="Times New Roman" w:cs="Tahoma"/>
          <w:szCs w:val="24"/>
          <w:lang w:eastAsia="es-ES"/>
        </w:rPr>
      </w:pPr>
      <w:r w:rsidRPr="00C42820">
        <w:rPr>
          <w:rFonts w:eastAsia="Times New Roman" w:cs="Tahoma"/>
          <w:szCs w:val="24"/>
          <w:lang w:eastAsia="es-ES"/>
        </w:rPr>
        <w:tab/>
        <w:t>La Magistrada ponente,</w:t>
      </w:r>
    </w:p>
    <w:p w14:paraId="321755CA" w14:textId="77777777" w:rsidR="00C42820" w:rsidRPr="00C42820" w:rsidRDefault="00C42820" w:rsidP="00C42820">
      <w:pPr>
        <w:spacing w:line="276" w:lineRule="auto"/>
        <w:jc w:val="left"/>
        <w:rPr>
          <w:rFonts w:eastAsia="Times New Roman" w:cs="Tahoma"/>
          <w:szCs w:val="24"/>
          <w:lang w:eastAsia="es-ES"/>
        </w:rPr>
      </w:pPr>
    </w:p>
    <w:p w14:paraId="4442E7F2" w14:textId="77777777" w:rsidR="00C42820" w:rsidRPr="00C42820" w:rsidRDefault="00C42820" w:rsidP="00C42820">
      <w:pPr>
        <w:spacing w:line="276" w:lineRule="auto"/>
        <w:jc w:val="left"/>
        <w:rPr>
          <w:rFonts w:eastAsia="Times New Roman" w:cs="Tahoma"/>
          <w:szCs w:val="24"/>
          <w:lang w:eastAsia="es-ES"/>
        </w:rPr>
      </w:pPr>
    </w:p>
    <w:p w14:paraId="55C90648" w14:textId="77777777" w:rsidR="00C42820" w:rsidRPr="00C42820" w:rsidRDefault="00C42820" w:rsidP="00C42820">
      <w:pPr>
        <w:spacing w:line="276" w:lineRule="auto"/>
        <w:jc w:val="left"/>
        <w:rPr>
          <w:rFonts w:eastAsia="Times New Roman" w:cs="Tahoma"/>
          <w:szCs w:val="24"/>
          <w:lang w:eastAsia="es-ES"/>
        </w:rPr>
      </w:pPr>
    </w:p>
    <w:p w14:paraId="1C02CA0E" w14:textId="77777777" w:rsidR="00C42820" w:rsidRPr="00C42820" w:rsidRDefault="00C42820" w:rsidP="00C42820">
      <w:pPr>
        <w:keepNext/>
        <w:spacing w:line="276" w:lineRule="auto"/>
        <w:jc w:val="center"/>
        <w:outlineLvl w:val="2"/>
        <w:rPr>
          <w:rFonts w:eastAsia="Times New Roman" w:cs="Tahoma"/>
          <w:b/>
          <w:bCs/>
          <w:szCs w:val="24"/>
          <w:lang w:eastAsia="es-ES"/>
        </w:rPr>
      </w:pPr>
      <w:r w:rsidRPr="00C42820">
        <w:rPr>
          <w:rFonts w:eastAsia="Times New Roman" w:cs="Tahoma"/>
          <w:b/>
          <w:bCs/>
          <w:szCs w:val="24"/>
          <w:lang w:eastAsia="es-ES"/>
        </w:rPr>
        <w:t>ANA LUCÍA CAICEDO CALDERÓN</w:t>
      </w:r>
    </w:p>
    <w:p w14:paraId="320E4305" w14:textId="77777777" w:rsidR="00C42820" w:rsidRPr="00C42820" w:rsidRDefault="00C42820" w:rsidP="00C42820">
      <w:pPr>
        <w:spacing w:line="276" w:lineRule="auto"/>
        <w:jc w:val="left"/>
        <w:rPr>
          <w:rFonts w:eastAsia="Times New Roman" w:cs="Tahoma"/>
          <w:szCs w:val="24"/>
          <w:lang w:eastAsia="es-ES"/>
        </w:rPr>
      </w:pPr>
    </w:p>
    <w:p w14:paraId="682DD8AD" w14:textId="77777777" w:rsidR="00C42820" w:rsidRPr="00C42820" w:rsidRDefault="00C42820" w:rsidP="00C42820">
      <w:pPr>
        <w:spacing w:line="276" w:lineRule="auto"/>
        <w:ind w:firstLine="708"/>
        <w:jc w:val="left"/>
        <w:rPr>
          <w:rFonts w:eastAsia="Times New Roman" w:cs="Tahoma"/>
          <w:szCs w:val="24"/>
          <w:lang w:eastAsia="es-ES"/>
        </w:rPr>
      </w:pPr>
      <w:bookmarkStart w:id="3" w:name="_Hlk62478330"/>
      <w:r w:rsidRPr="00C42820">
        <w:rPr>
          <w:rFonts w:eastAsia="Times New Roman" w:cs="Tahoma"/>
          <w:szCs w:val="24"/>
          <w:lang w:eastAsia="es-ES"/>
        </w:rPr>
        <w:t>La Magistrada y el Magistrado,</w:t>
      </w:r>
    </w:p>
    <w:p w14:paraId="41DE5816" w14:textId="77777777" w:rsidR="00C42820" w:rsidRPr="00C42820" w:rsidRDefault="00C42820" w:rsidP="00C42820">
      <w:pPr>
        <w:spacing w:line="276" w:lineRule="auto"/>
        <w:jc w:val="left"/>
        <w:rPr>
          <w:rFonts w:eastAsia="Times New Roman" w:cs="Tahoma"/>
          <w:szCs w:val="24"/>
          <w:lang w:eastAsia="es-ES"/>
        </w:rPr>
      </w:pPr>
    </w:p>
    <w:p w14:paraId="09E62BC6" w14:textId="77777777" w:rsidR="00C42820" w:rsidRPr="00C42820" w:rsidRDefault="00C42820" w:rsidP="00C42820">
      <w:pPr>
        <w:spacing w:line="276" w:lineRule="auto"/>
        <w:jc w:val="left"/>
        <w:rPr>
          <w:rFonts w:eastAsia="Times New Roman" w:cs="Tahoma"/>
          <w:szCs w:val="24"/>
          <w:lang w:eastAsia="es-ES"/>
        </w:rPr>
      </w:pPr>
    </w:p>
    <w:p w14:paraId="5E29EDFF" w14:textId="77777777" w:rsidR="00C42820" w:rsidRPr="00C42820" w:rsidRDefault="00C42820" w:rsidP="00C42820">
      <w:pPr>
        <w:spacing w:line="276" w:lineRule="auto"/>
        <w:jc w:val="left"/>
        <w:rPr>
          <w:rFonts w:eastAsia="Times New Roman" w:cs="Tahoma"/>
          <w:szCs w:val="24"/>
          <w:lang w:eastAsia="es-ES"/>
        </w:rPr>
      </w:pPr>
    </w:p>
    <w:p w14:paraId="099C29C7" w14:textId="77777777" w:rsidR="00C42820" w:rsidRPr="00C42820" w:rsidRDefault="00C42820" w:rsidP="00C42820">
      <w:pPr>
        <w:spacing w:line="276" w:lineRule="auto"/>
        <w:rPr>
          <w:rFonts w:eastAsia="Calibri" w:cs="Tahoma"/>
          <w:szCs w:val="24"/>
        </w:rPr>
      </w:pPr>
      <w:r w:rsidRPr="00C42820">
        <w:rPr>
          <w:rFonts w:eastAsia="Times New Roman" w:cs="Tahoma"/>
          <w:b/>
          <w:bCs/>
          <w:szCs w:val="24"/>
          <w:lang w:eastAsia="es-ES"/>
        </w:rPr>
        <w:t>OLGA LUCÍA HOYOS SEPÚLVEDA</w:t>
      </w:r>
      <w:r w:rsidRPr="00C42820">
        <w:rPr>
          <w:rFonts w:eastAsia="Times New Roman" w:cs="Tahoma"/>
          <w:b/>
          <w:bCs/>
          <w:szCs w:val="24"/>
          <w:lang w:eastAsia="es-ES"/>
        </w:rPr>
        <w:tab/>
      </w:r>
      <w:r w:rsidRPr="00C42820">
        <w:rPr>
          <w:rFonts w:eastAsia="Times New Roman" w:cs="Tahoma"/>
          <w:b/>
          <w:bCs/>
          <w:szCs w:val="24"/>
          <w:lang w:eastAsia="es-ES"/>
        </w:rPr>
        <w:tab/>
        <w:t>GERMÁN DARÍO GÓEZ VINASCO</w:t>
      </w:r>
      <w:bookmarkEnd w:id="2"/>
      <w:bookmarkEnd w:id="3"/>
    </w:p>
    <w:p w14:paraId="60F57866" w14:textId="0C461DC3" w:rsidR="00E2365C" w:rsidRPr="00C42820" w:rsidRDefault="00C42820" w:rsidP="00C42820">
      <w:pPr>
        <w:spacing w:line="276" w:lineRule="auto"/>
        <w:rPr>
          <w:rFonts w:cs="Tahoma"/>
          <w:szCs w:val="24"/>
        </w:rPr>
      </w:pPr>
      <w:r>
        <w:rPr>
          <w:rFonts w:cs="Tahoma"/>
          <w:szCs w:val="24"/>
        </w:rPr>
        <w:t>En ausencia justificada</w:t>
      </w:r>
    </w:p>
    <w:sectPr w:rsidR="00E2365C" w:rsidRPr="00C42820" w:rsidSect="00C06E5E">
      <w:headerReference w:type="default" r:id="rId11"/>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714DF30" w16cex:dateUtc="2023-07-10T15:52:42.262Z"/>
  <w16cex:commentExtensible w16cex:durableId="797C8EA2" w16cex:dateUtc="2023-07-13T19:38:46.053Z"/>
</w16cex:commentsExtensible>
</file>

<file path=word/commentsIds.xml><?xml version="1.0" encoding="utf-8"?>
<w16cid:commentsIds xmlns:mc="http://schemas.openxmlformats.org/markup-compatibility/2006" xmlns:w16cid="http://schemas.microsoft.com/office/word/2016/wordml/cid" mc:Ignorable="w16cid">
  <w16cid:commentId w16cid:paraId="743576BA" w16cid:durableId="0714DF30"/>
  <w16cid:commentId w16cid:paraId="1DC826C4" w16cid:durableId="797C8EA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5AF82" w14:textId="77777777" w:rsidR="009F0309" w:rsidRDefault="009F0309" w:rsidP="00B02A64">
      <w:pPr>
        <w:spacing w:line="240" w:lineRule="auto"/>
      </w:pPr>
      <w:r>
        <w:separator/>
      </w:r>
    </w:p>
  </w:endnote>
  <w:endnote w:type="continuationSeparator" w:id="0">
    <w:p w14:paraId="7D9F084D" w14:textId="77777777" w:rsidR="009F0309" w:rsidRDefault="009F0309" w:rsidP="00B02A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Bold">
    <w:altName w:val="Tahom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A2B5C" w14:textId="77777777" w:rsidR="009F0309" w:rsidRDefault="009F0309" w:rsidP="00B02A64">
      <w:pPr>
        <w:spacing w:line="240" w:lineRule="auto"/>
      </w:pPr>
      <w:r>
        <w:separator/>
      </w:r>
    </w:p>
  </w:footnote>
  <w:footnote w:type="continuationSeparator" w:id="0">
    <w:p w14:paraId="0C3DDD63" w14:textId="77777777" w:rsidR="009F0309" w:rsidRDefault="009F0309" w:rsidP="00B02A64">
      <w:pPr>
        <w:spacing w:line="240" w:lineRule="auto"/>
      </w:pPr>
      <w:r>
        <w:continuationSeparator/>
      </w:r>
    </w:p>
  </w:footnote>
  <w:footnote w:id="1">
    <w:p w14:paraId="2431D720" w14:textId="716B60DC" w:rsidR="00C7349A" w:rsidRPr="00C42820" w:rsidRDefault="00C7349A" w:rsidP="00C42820">
      <w:pPr>
        <w:pStyle w:val="Textonotapie"/>
        <w:rPr>
          <w:rFonts w:ascii="Arial" w:hAnsi="Arial" w:cs="Arial"/>
          <w:sz w:val="18"/>
        </w:rPr>
      </w:pPr>
      <w:r w:rsidRPr="00C42820">
        <w:rPr>
          <w:rStyle w:val="Refdenotaalpie"/>
          <w:rFonts w:ascii="Arial" w:hAnsi="Arial" w:cs="Arial"/>
          <w:sz w:val="18"/>
        </w:rPr>
        <w:footnoteRef/>
      </w:r>
      <w:r w:rsidRPr="00C42820">
        <w:rPr>
          <w:rFonts w:ascii="Arial" w:hAnsi="Arial" w:cs="Arial"/>
          <w:sz w:val="18"/>
        </w:rPr>
        <w:t xml:space="preserve"> Archivo 1</w:t>
      </w:r>
      <w:r w:rsidR="00356FE8" w:rsidRPr="00C42820">
        <w:rPr>
          <w:rFonts w:ascii="Arial" w:hAnsi="Arial" w:cs="Arial"/>
          <w:sz w:val="18"/>
        </w:rPr>
        <w:t>3</w:t>
      </w:r>
      <w:r w:rsidRPr="00C42820">
        <w:rPr>
          <w:rFonts w:ascii="Arial" w:hAnsi="Arial" w:cs="Arial"/>
          <w:sz w:val="18"/>
        </w:rPr>
        <w:t xml:space="preserve"> cuaderno de primera instancia.</w:t>
      </w:r>
    </w:p>
  </w:footnote>
  <w:footnote w:id="2">
    <w:p w14:paraId="4EA6D913" w14:textId="3ECDA25F" w:rsidR="008F708D" w:rsidRPr="00C42820" w:rsidRDefault="008F708D" w:rsidP="00C42820">
      <w:pPr>
        <w:pStyle w:val="Textonotapie"/>
        <w:rPr>
          <w:rFonts w:ascii="Arial" w:hAnsi="Arial" w:cs="Arial"/>
          <w:sz w:val="18"/>
        </w:rPr>
      </w:pPr>
      <w:r w:rsidRPr="00C42820">
        <w:rPr>
          <w:rStyle w:val="Refdenotaalpie"/>
          <w:rFonts w:ascii="Arial" w:hAnsi="Arial" w:cs="Arial"/>
          <w:sz w:val="18"/>
        </w:rPr>
        <w:footnoteRef/>
      </w:r>
      <w:r w:rsidRPr="00C42820">
        <w:rPr>
          <w:rFonts w:ascii="Arial" w:hAnsi="Arial" w:cs="Arial"/>
          <w:sz w:val="18"/>
        </w:rPr>
        <w:t xml:space="preserve"> Al respecto, se pueden consultar, entre otras providencias, las siguientes: </w:t>
      </w:r>
      <w:r w:rsidRPr="00C42820">
        <w:rPr>
          <w:rFonts w:ascii="Arial" w:hAnsi="Arial" w:cs="Arial"/>
          <w:sz w:val="18"/>
          <w:shd w:val="clear" w:color="auto" w:fill="FFFFFF"/>
        </w:rPr>
        <w:t>Consejo de Estado, Sección Segunda, Subsección “B”, sentencia 1822-2020 de 2021, Corte Suprema de Justicia, Sala Plena, sentencia APL2642-2017 de 2017 y Corte Constitucional, sentencias C-111 de 2000 y C-1027 de 2002.</w:t>
      </w:r>
    </w:p>
  </w:footnote>
  <w:footnote w:id="3">
    <w:p w14:paraId="4C52999D" w14:textId="311A983A" w:rsidR="00BA44CD" w:rsidRPr="00C42820" w:rsidRDefault="00BA44CD" w:rsidP="00C42820">
      <w:pPr>
        <w:pStyle w:val="Textonotapie"/>
        <w:rPr>
          <w:rFonts w:ascii="Arial" w:hAnsi="Arial" w:cs="Arial"/>
          <w:sz w:val="18"/>
        </w:rPr>
      </w:pPr>
      <w:r w:rsidRPr="00C42820">
        <w:rPr>
          <w:rStyle w:val="Refdenotaalpie"/>
          <w:rFonts w:ascii="Arial" w:hAnsi="Arial" w:cs="Arial"/>
          <w:sz w:val="18"/>
        </w:rPr>
        <w:footnoteRef/>
      </w:r>
      <w:r w:rsidRPr="00C42820">
        <w:rPr>
          <w:rFonts w:ascii="Arial" w:hAnsi="Arial" w:cs="Arial"/>
          <w:sz w:val="18"/>
        </w:rPr>
        <w:t xml:space="preserve"> Auto del 22 de febrero de 2023, Rad. 03-2021-00201, Sala de Decisión Laboral del Tribunal Superior del Distrito Judicial de Pereira, M.P. Olga Lucía Hoyos Sepúlveda.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4B991" w14:textId="5932B96F" w:rsidR="00723511" w:rsidRPr="00C42820" w:rsidRDefault="00723511" w:rsidP="00C42820">
    <w:pPr>
      <w:tabs>
        <w:tab w:val="left" w:pos="993"/>
      </w:tabs>
      <w:spacing w:line="240" w:lineRule="auto"/>
      <w:ind w:left="1134" w:hanging="1134"/>
      <w:rPr>
        <w:rFonts w:ascii="Arial" w:eastAsia="Times New Roman" w:hAnsi="Arial" w:cs="Arial"/>
        <w:sz w:val="18"/>
        <w:szCs w:val="18"/>
        <w:lang w:eastAsia="es-ES"/>
      </w:rPr>
    </w:pPr>
    <w:r w:rsidRPr="00C42820">
      <w:rPr>
        <w:rFonts w:ascii="Arial" w:eastAsia="Times New Roman" w:hAnsi="Arial" w:cs="Arial"/>
        <w:sz w:val="18"/>
        <w:szCs w:val="18"/>
        <w:lang w:eastAsia="es-ES"/>
      </w:rPr>
      <w:t xml:space="preserve">Radicación No.: </w:t>
    </w:r>
    <w:r w:rsidRPr="00C42820">
      <w:rPr>
        <w:rFonts w:ascii="Arial" w:eastAsia="Times New Roman" w:hAnsi="Arial" w:cs="Arial"/>
        <w:sz w:val="18"/>
        <w:szCs w:val="18"/>
        <w:lang w:eastAsia="es-ES"/>
      </w:rPr>
      <w:tab/>
      <w:t>66001-31-05-00</w:t>
    </w:r>
    <w:r w:rsidR="009838A5" w:rsidRPr="00C42820">
      <w:rPr>
        <w:rFonts w:ascii="Arial" w:eastAsia="Times New Roman" w:hAnsi="Arial" w:cs="Arial"/>
        <w:sz w:val="18"/>
        <w:szCs w:val="18"/>
        <w:lang w:eastAsia="es-ES"/>
      </w:rPr>
      <w:t>4</w:t>
    </w:r>
    <w:r w:rsidRPr="00C42820">
      <w:rPr>
        <w:rFonts w:ascii="Arial" w:eastAsia="Times New Roman" w:hAnsi="Arial" w:cs="Arial"/>
        <w:sz w:val="18"/>
        <w:szCs w:val="18"/>
        <w:lang w:eastAsia="es-ES"/>
      </w:rPr>
      <w:t>-2021-003</w:t>
    </w:r>
    <w:r w:rsidR="009838A5" w:rsidRPr="00C42820">
      <w:rPr>
        <w:rFonts w:ascii="Arial" w:eastAsia="Times New Roman" w:hAnsi="Arial" w:cs="Arial"/>
        <w:sz w:val="18"/>
        <w:szCs w:val="18"/>
        <w:lang w:eastAsia="es-ES"/>
      </w:rPr>
      <w:t>73</w:t>
    </w:r>
    <w:r w:rsidRPr="00C42820">
      <w:rPr>
        <w:rFonts w:ascii="Arial" w:eastAsia="Times New Roman" w:hAnsi="Arial" w:cs="Arial"/>
        <w:sz w:val="18"/>
        <w:szCs w:val="18"/>
        <w:lang w:eastAsia="es-ES"/>
      </w:rPr>
      <w:t>-01</w:t>
    </w:r>
  </w:p>
  <w:p w14:paraId="65F87DB9" w14:textId="70C9F80E" w:rsidR="00723511" w:rsidRPr="00C42820" w:rsidRDefault="00723511" w:rsidP="00C42820">
    <w:pPr>
      <w:tabs>
        <w:tab w:val="left" w:pos="993"/>
      </w:tabs>
      <w:spacing w:line="240" w:lineRule="auto"/>
      <w:ind w:left="1134" w:hanging="1134"/>
      <w:rPr>
        <w:rFonts w:ascii="Arial" w:eastAsia="Times New Roman" w:hAnsi="Arial" w:cs="Arial"/>
        <w:sz w:val="18"/>
        <w:szCs w:val="18"/>
        <w:lang w:eastAsia="es-ES"/>
      </w:rPr>
    </w:pPr>
    <w:r w:rsidRPr="00C42820">
      <w:rPr>
        <w:rFonts w:ascii="Arial" w:eastAsia="Times New Roman" w:hAnsi="Arial" w:cs="Arial"/>
        <w:sz w:val="18"/>
        <w:szCs w:val="18"/>
        <w:lang w:eastAsia="es-ES"/>
      </w:rPr>
      <w:t xml:space="preserve">Demandante: </w:t>
    </w:r>
    <w:r w:rsidRPr="00C42820">
      <w:rPr>
        <w:rFonts w:ascii="Arial" w:eastAsia="Times New Roman" w:hAnsi="Arial" w:cs="Arial"/>
        <w:sz w:val="18"/>
        <w:szCs w:val="18"/>
        <w:lang w:eastAsia="es-ES"/>
      </w:rPr>
      <w:tab/>
    </w:r>
    <w:r w:rsidRPr="00C42820">
      <w:rPr>
        <w:rFonts w:ascii="Arial" w:eastAsia="Times New Roman" w:hAnsi="Arial" w:cs="Arial"/>
        <w:sz w:val="18"/>
        <w:szCs w:val="18"/>
        <w:lang w:eastAsia="es-ES"/>
      </w:rPr>
      <w:tab/>
    </w:r>
    <w:r w:rsidR="009838A5" w:rsidRPr="00C42820">
      <w:rPr>
        <w:rFonts w:ascii="Arial" w:eastAsia="Times New Roman" w:hAnsi="Arial" w:cs="Arial"/>
        <w:sz w:val="18"/>
        <w:szCs w:val="18"/>
        <w:lang w:eastAsia="es-ES"/>
      </w:rPr>
      <w:t>Clemencia Echavarría López</w:t>
    </w:r>
  </w:p>
  <w:p w14:paraId="5DE83EA9" w14:textId="6873F522" w:rsidR="006F0BF1" w:rsidRPr="00C42820" w:rsidRDefault="00723511" w:rsidP="00C42820">
    <w:pPr>
      <w:tabs>
        <w:tab w:val="left" w:pos="993"/>
      </w:tabs>
      <w:spacing w:line="240" w:lineRule="auto"/>
      <w:ind w:left="1134" w:hanging="1134"/>
      <w:rPr>
        <w:rFonts w:ascii="Arial" w:eastAsia="Times New Roman" w:hAnsi="Arial" w:cs="Arial"/>
        <w:sz w:val="18"/>
        <w:szCs w:val="18"/>
        <w:lang w:eastAsia="es-ES"/>
      </w:rPr>
    </w:pPr>
    <w:r w:rsidRPr="00C42820">
      <w:rPr>
        <w:rFonts w:ascii="Arial" w:eastAsia="Times New Roman" w:hAnsi="Arial" w:cs="Arial"/>
        <w:sz w:val="18"/>
        <w:szCs w:val="18"/>
        <w:lang w:eastAsia="es-ES"/>
      </w:rPr>
      <w:t xml:space="preserve">Demandado: </w:t>
    </w:r>
    <w:r w:rsidRPr="00C42820">
      <w:rPr>
        <w:rFonts w:ascii="Arial" w:eastAsia="Times New Roman" w:hAnsi="Arial" w:cs="Arial"/>
        <w:sz w:val="18"/>
        <w:szCs w:val="18"/>
        <w:lang w:eastAsia="es-ES"/>
      </w:rPr>
      <w:tab/>
    </w:r>
    <w:r w:rsidRPr="00C42820">
      <w:rPr>
        <w:rFonts w:ascii="Arial" w:eastAsia="Times New Roman" w:hAnsi="Arial" w:cs="Arial"/>
        <w:sz w:val="18"/>
        <w:szCs w:val="18"/>
        <w:lang w:eastAsia="es-ES"/>
      </w:rPr>
      <w:tab/>
    </w:r>
    <w:r w:rsidR="009838A5" w:rsidRPr="00C42820">
      <w:rPr>
        <w:rFonts w:ascii="Arial" w:eastAsia="Times New Roman" w:hAnsi="Arial" w:cs="Arial"/>
        <w:sz w:val="18"/>
        <w:szCs w:val="18"/>
        <w:lang w:eastAsia="es-ES"/>
      </w:rPr>
      <w:t>Porvenir S.A. y Protección S.A.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A5FCB"/>
    <w:multiLevelType w:val="hybridMultilevel"/>
    <w:tmpl w:val="562EABC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 w15:restartNumberingAfterBreak="0">
    <w:nsid w:val="19935E68"/>
    <w:multiLevelType w:val="hybridMultilevel"/>
    <w:tmpl w:val="F1CA64EC"/>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 w15:restartNumberingAfterBreak="0">
    <w:nsid w:val="1F7E5122"/>
    <w:multiLevelType w:val="multilevel"/>
    <w:tmpl w:val="A7EE06CC"/>
    <w:lvl w:ilvl="0">
      <w:start w:val="1"/>
      <w:numFmt w:val="decimal"/>
      <w:lvlText w:val="%1."/>
      <w:lvlJc w:val="left"/>
      <w:pPr>
        <w:ind w:left="720" w:hanging="360"/>
      </w:pPr>
      <w:rPr>
        <w:rFonts w:hint="default"/>
      </w:rPr>
    </w:lvl>
    <w:lvl w:ilvl="1">
      <w:start w:val="3"/>
      <w:numFmt w:val="decimal"/>
      <w:isLgl/>
      <w:lvlText w:val="%1.%2."/>
      <w:lvlJc w:val="left"/>
      <w:pPr>
        <w:ind w:left="1428" w:hanging="720"/>
      </w:pPr>
      <w:rPr>
        <w:rFonts w:hint="default"/>
        <w:b/>
        <w:bCs w:val="0"/>
        <w:i w:val="0"/>
        <w:iCs/>
        <w:color w:val="auto"/>
      </w:rPr>
    </w:lvl>
    <w:lvl w:ilvl="2">
      <w:start w:val="1"/>
      <w:numFmt w:val="decimal"/>
      <w:isLgl/>
      <w:lvlText w:val="%1.%2.%3."/>
      <w:lvlJc w:val="left"/>
      <w:pPr>
        <w:ind w:left="2136" w:hanging="1080"/>
      </w:pPr>
      <w:rPr>
        <w:rFonts w:hint="default"/>
        <w:b/>
        <w:bCs/>
        <w:i w:val="0"/>
        <w:iCs/>
        <w:color w:val="auto"/>
      </w:rPr>
    </w:lvl>
    <w:lvl w:ilvl="3">
      <w:start w:val="1"/>
      <w:numFmt w:val="decimal"/>
      <w:isLgl/>
      <w:lvlText w:val="%1.%2.%3.%4."/>
      <w:lvlJc w:val="left"/>
      <w:pPr>
        <w:ind w:left="2844" w:hanging="1440"/>
      </w:pPr>
      <w:rPr>
        <w:rFonts w:hint="default"/>
        <w:b w:val="0"/>
        <w:i/>
        <w:color w:val="auto"/>
      </w:rPr>
    </w:lvl>
    <w:lvl w:ilvl="4">
      <w:start w:val="1"/>
      <w:numFmt w:val="decimal"/>
      <w:isLgl/>
      <w:lvlText w:val="%1.%2.%3.%4.%5."/>
      <w:lvlJc w:val="left"/>
      <w:pPr>
        <w:ind w:left="3192" w:hanging="1440"/>
      </w:pPr>
      <w:rPr>
        <w:rFonts w:hint="default"/>
        <w:b w:val="0"/>
        <w:i/>
        <w:color w:val="auto"/>
      </w:rPr>
    </w:lvl>
    <w:lvl w:ilvl="5">
      <w:start w:val="1"/>
      <w:numFmt w:val="decimal"/>
      <w:isLgl/>
      <w:lvlText w:val="%1.%2.%3.%4.%5.%6."/>
      <w:lvlJc w:val="left"/>
      <w:pPr>
        <w:ind w:left="3900" w:hanging="1800"/>
      </w:pPr>
      <w:rPr>
        <w:rFonts w:hint="default"/>
        <w:b w:val="0"/>
        <w:i/>
        <w:color w:val="auto"/>
      </w:rPr>
    </w:lvl>
    <w:lvl w:ilvl="6">
      <w:start w:val="1"/>
      <w:numFmt w:val="decimal"/>
      <w:isLgl/>
      <w:lvlText w:val="%1.%2.%3.%4.%5.%6.%7."/>
      <w:lvlJc w:val="left"/>
      <w:pPr>
        <w:ind w:left="4608" w:hanging="2160"/>
      </w:pPr>
      <w:rPr>
        <w:rFonts w:hint="default"/>
        <w:b w:val="0"/>
        <w:i/>
        <w:color w:val="auto"/>
      </w:rPr>
    </w:lvl>
    <w:lvl w:ilvl="7">
      <w:start w:val="1"/>
      <w:numFmt w:val="decimal"/>
      <w:isLgl/>
      <w:lvlText w:val="%1.%2.%3.%4.%5.%6.%7.%8."/>
      <w:lvlJc w:val="left"/>
      <w:pPr>
        <w:ind w:left="5316" w:hanging="2520"/>
      </w:pPr>
      <w:rPr>
        <w:rFonts w:hint="default"/>
        <w:b w:val="0"/>
        <w:i/>
        <w:color w:val="auto"/>
      </w:rPr>
    </w:lvl>
    <w:lvl w:ilvl="8">
      <w:start w:val="1"/>
      <w:numFmt w:val="decimal"/>
      <w:isLgl/>
      <w:lvlText w:val="%1.%2.%3.%4.%5.%6.%7.%8.%9."/>
      <w:lvlJc w:val="left"/>
      <w:pPr>
        <w:ind w:left="5664" w:hanging="2520"/>
      </w:pPr>
      <w:rPr>
        <w:rFonts w:hint="default"/>
        <w:b w:val="0"/>
        <w:i/>
        <w:color w:val="auto"/>
      </w:rPr>
    </w:lvl>
  </w:abstractNum>
  <w:abstractNum w:abstractNumId="3" w15:restartNumberingAfterBreak="0">
    <w:nsid w:val="4BA41A35"/>
    <w:multiLevelType w:val="multilevel"/>
    <w:tmpl w:val="C38A3688"/>
    <w:lvl w:ilvl="0">
      <w:start w:val="1"/>
      <w:numFmt w:val="decimal"/>
      <w:lvlText w:val="%1."/>
      <w:lvlJc w:val="left"/>
      <w:pPr>
        <w:ind w:left="72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760" w:hanging="1800"/>
      </w:pPr>
      <w:rPr>
        <w:rFonts w:hint="default"/>
      </w:rPr>
    </w:lvl>
    <w:lvl w:ilvl="6">
      <w:start w:val="1"/>
      <w:numFmt w:val="decimal"/>
      <w:isLgl/>
      <w:lvlText w:val="%1.%2.%3.%4.%5.%6.%7"/>
      <w:lvlJc w:val="left"/>
      <w:pPr>
        <w:ind w:left="6840" w:hanging="216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640" w:hanging="2520"/>
      </w:pPr>
      <w:rPr>
        <w:rFonts w:hint="default"/>
      </w:rPr>
    </w:lvl>
  </w:abstractNum>
  <w:abstractNum w:abstractNumId="4" w15:restartNumberingAfterBreak="0">
    <w:nsid w:val="58C677BD"/>
    <w:multiLevelType w:val="hybridMultilevel"/>
    <w:tmpl w:val="A958383C"/>
    <w:lvl w:ilvl="0" w:tplc="240A000F">
      <w:start w:val="1"/>
      <w:numFmt w:val="decimal"/>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5" w15:restartNumberingAfterBreak="0">
    <w:nsid w:val="682E0465"/>
    <w:multiLevelType w:val="hybridMultilevel"/>
    <w:tmpl w:val="2F88025E"/>
    <w:lvl w:ilvl="0" w:tplc="2C0E5C94">
      <w:start w:val="1"/>
      <w:numFmt w:val="decimal"/>
      <w:lvlText w:val="(%1)"/>
      <w:lvlJc w:val="left"/>
      <w:pPr>
        <w:ind w:left="1068" w:hanging="360"/>
      </w:p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6" w15:restartNumberingAfterBreak="0">
    <w:nsid w:val="683219C6"/>
    <w:multiLevelType w:val="hybridMultilevel"/>
    <w:tmpl w:val="557A891E"/>
    <w:lvl w:ilvl="0" w:tplc="D1A40C40">
      <w:start w:val="1"/>
      <w:numFmt w:val="decimal"/>
      <w:lvlText w:val="%1."/>
      <w:lvlJc w:val="left"/>
      <w:pPr>
        <w:ind w:left="1426" w:hanging="360"/>
      </w:pPr>
      <w:rPr>
        <w:rFonts w:hint="default"/>
      </w:rPr>
    </w:lvl>
    <w:lvl w:ilvl="1" w:tplc="240A0019" w:tentative="1">
      <w:start w:val="1"/>
      <w:numFmt w:val="lowerLetter"/>
      <w:lvlText w:val="%2."/>
      <w:lvlJc w:val="left"/>
      <w:pPr>
        <w:ind w:left="2146" w:hanging="360"/>
      </w:pPr>
    </w:lvl>
    <w:lvl w:ilvl="2" w:tplc="240A001B" w:tentative="1">
      <w:start w:val="1"/>
      <w:numFmt w:val="lowerRoman"/>
      <w:lvlText w:val="%3."/>
      <w:lvlJc w:val="right"/>
      <w:pPr>
        <w:ind w:left="2866" w:hanging="180"/>
      </w:pPr>
    </w:lvl>
    <w:lvl w:ilvl="3" w:tplc="240A000F" w:tentative="1">
      <w:start w:val="1"/>
      <w:numFmt w:val="decimal"/>
      <w:lvlText w:val="%4."/>
      <w:lvlJc w:val="left"/>
      <w:pPr>
        <w:ind w:left="3586" w:hanging="360"/>
      </w:pPr>
    </w:lvl>
    <w:lvl w:ilvl="4" w:tplc="240A0019" w:tentative="1">
      <w:start w:val="1"/>
      <w:numFmt w:val="lowerLetter"/>
      <w:lvlText w:val="%5."/>
      <w:lvlJc w:val="left"/>
      <w:pPr>
        <w:ind w:left="4306" w:hanging="360"/>
      </w:pPr>
    </w:lvl>
    <w:lvl w:ilvl="5" w:tplc="240A001B" w:tentative="1">
      <w:start w:val="1"/>
      <w:numFmt w:val="lowerRoman"/>
      <w:lvlText w:val="%6."/>
      <w:lvlJc w:val="right"/>
      <w:pPr>
        <w:ind w:left="5026" w:hanging="180"/>
      </w:pPr>
    </w:lvl>
    <w:lvl w:ilvl="6" w:tplc="240A000F" w:tentative="1">
      <w:start w:val="1"/>
      <w:numFmt w:val="decimal"/>
      <w:lvlText w:val="%7."/>
      <w:lvlJc w:val="left"/>
      <w:pPr>
        <w:ind w:left="5746" w:hanging="360"/>
      </w:pPr>
    </w:lvl>
    <w:lvl w:ilvl="7" w:tplc="240A0019" w:tentative="1">
      <w:start w:val="1"/>
      <w:numFmt w:val="lowerLetter"/>
      <w:lvlText w:val="%8."/>
      <w:lvlJc w:val="left"/>
      <w:pPr>
        <w:ind w:left="6466" w:hanging="360"/>
      </w:pPr>
    </w:lvl>
    <w:lvl w:ilvl="8" w:tplc="240A001B" w:tentative="1">
      <w:start w:val="1"/>
      <w:numFmt w:val="lowerRoman"/>
      <w:lvlText w:val="%9."/>
      <w:lvlJc w:val="right"/>
      <w:pPr>
        <w:ind w:left="7186" w:hanging="180"/>
      </w:pPr>
    </w:lvl>
  </w:abstractNum>
  <w:abstractNum w:abstractNumId="7" w15:restartNumberingAfterBreak="0">
    <w:nsid w:val="7122728A"/>
    <w:multiLevelType w:val="multilevel"/>
    <w:tmpl w:val="D4C2C3D6"/>
    <w:lvl w:ilvl="0">
      <w:start w:val="1"/>
      <w:numFmt w:val="decimal"/>
      <w:lvlText w:val="%1."/>
      <w:lvlJc w:val="left"/>
      <w:pPr>
        <w:ind w:left="1068"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788" w:hanging="1080"/>
      </w:pPr>
      <w:rPr>
        <w:rFonts w:hint="default"/>
      </w:rPr>
    </w:lvl>
    <w:lvl w:ilvl="3">
      <w:start w:val="1"/>
      <w:numFmt w:val="decimal"/>
      <w:isLgl/>
      <w:lvlText w:val="%1.%2.%3.%4."/>
      <w:lvlJc w:val="left"/>
      <w:pPr>
        <w:ind w:left="2148" w:hanging="144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868" w:hanging="2160"/>
      </w:pPr>
      <w:rPr>
        <w:rFonts w:hint="default"/>
      </w:rPr>
    </w:lvl>
    <w:lvl w:ilvl="7">
      <w:start w:val="1"/>
      <w:numFmt w:val="decimal"/>
      <w:isLgl/>
      <w:lvlText w:val="%1.%2.%3.%4.%5.%6.%7.%8."/>
      <w:lvlJc w:val="left"/>
      <w:pPr>
        <w:ind w:left="3228" w:hanging="2520"/>
      </w:pPr>
      <w:rPr>
        <w:rFonts w:hint="default"/>
      </w:rPr>
    </w:lvl>
    <w:lvl w:ilvl="8">
      <w:start w:val="1"/>
      <w:numFmt w:val="decimal"/>
      <w:isLgl/>
      <w:lvlText w:val="%1.%2.%3.%4.%5.%6.%7.%8.%9."/>
      <w:lvlJc w:val="left"/>
      <w:pPr>
        <w:ind w:left="3228" w:hanging="2520"/>
      </w:pPr>
      <w:rPr>
        <w:rFonts w:hint="default"/>
      </w:rPr>
    </w:lvl>
  </w:abstractNum>
  <w:abstractNum w:abstractNumId="8" w15:restartNumberingAfterBreak="0">
    <w:nsid w:val="764B647B"/>
    <w:multiLevelType w:val="multilevel"/>
    <w:tmpl w:val="D28869B6"/>
    <w:lvl w:ilvl="0">
      <w:start w:val="1"/>
      <w:numFmt w:val="decimal"/>
      <w:lvlText w:val="%1."/>
      <w:lvlJc w:val="left"/>
      <w:pPr>
        <w:ind w:left="720" w:hanging="360"/>
      </w:pPr>
    </w:lvl>
    <w:lvl w:ilvl="1">
      <w:start w:val="1"/>
      <w:numFmt w:val="decimal"/>
      <w:isLgl/>
      <w:lvlText w:val="%1.%2"/>
      <w:lvlJc w:val="left"/>
      <w:pPr>
        <w:ind w:left="1428" w:hanging="720"/>
      </w:pPr>
      <w:rPr>
        <w:rFonts w:hint="default"/>
      </w:rPr>
    </w:lvl>
    <w:lvl w:ilvl="2">
      <w:start w:val="1"/>
      <w:numFmt w:val="decimal"/>
      <w:isLgl/>
      <w:lvlText w:val="%1.%2.%3"/>
      <w:lvlJc w:val="left"/>
      <w:pPr>
        <w:ind w:left="2136" w:hanging="108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3192" w:hanging="1440"/>
      </w:pPr>
      <w:rPr>
        <w:rFonts w:hint="default"/>
      </w:rPr>
    </w:lvl>
    <w:lvl w:ilvl="5">
      <w:start w:val="1"/>
      <w:numFmt w:val="decimal"/>
      <w:isLgl/>
      <w:lvlText w:val="%1.%2.%3.%4.%5.%6"/>
      <w:lvlJc w:val="left"/>
      <w:pPr>
        <w:ind w:left="3900" w:hanging="1800"/>
      </w:pPr>
      <w:rPr>
        <w:rFonts w:hint="default"/>
      </w:rPr>
    </w:lvl>
    <w:lvl w:ilvl="6">
      <w:start w:val="1"/>
      <w:numFmt w:val="decimal"/>
      <w:isLgl/>
      <w:lvlText w:val="%1.%2.%3.%4.%5.%6.%7"/>
      <w:lvlJc w:val="left"/>
      <w:pPr>
        <w:ind w:left="4608" w:hanging="2160"/>
      </w:pPr>
      <w:rPr>
        <w:rFonts w:hint="default"/>
      </w:rPr>
    </w:lvl>
    <w:lvl w:ilvl="7">
      <w:start w:val="1"/>
      <w:numFmt w:val="decimal"/>
      <w:isLgl/>
      <w:lvlText w:val="%1.%2.%3.%4.%5.%6.%7.%8"/>
      <w:lvlJc w:val="left"/>
      <w:pPr>
        <w:ind w:left="4956" w:hanging="2160"/>
      </w:pPr>
      <w:rPr>
        <w:rFonts w:hint="default"/>
      </w:rPr>
    </w:lvl>
    <w:lvl w:ilvl="8">
      <w:start w:val="1"/>
      <w:numFmt w:val="decimal"/>
      <w:isLgl/>
      <w:lvlText w:val="%1.%2.%3.%4.%5.%6.%7.%8.%9"/>
      <w:lvlJc w:val="left"/>
      <w:pPr>
        <w:ind w:left="5664" w:hanging="2520"/>
      </w:pPr>
      <w:rPr>
        <w:rFonts w:hint="default"/>
      </w:rPr>
    </w:lvl>
  </w:abstractNum>
  <w:abstractNum w:abstractNumId="9" w15:restartNumberingAfterBreak="0">
    <w:nsid w:val="7C7D0D40"/>
    <w:multiLevelType w:val="hybridMultilevel"/>
    <w:tmpl w:val="5C4E8E14"/>
    <w:lvl w:ilvl="0" w:tplc="06F8BF16">
      <w:start w:val="1"/>
      <w:numFmt w:val="decimal"/>
      <w:lvlText w:val="%1."/>
      <w:lvlJc w:val="left"/>
      <w:pPr>
        <w:ind w:left="1068" w:hanging="360"/>
      </w:pPr>
      <w:rPr>
        <w:rFonts w:hint="default"/>
      </w:r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3"/>
  </w:num>
  <w:num w:numId="2">
    <w:abstractNumId w:val="4"/>
  </w:num>
  <w:num w:numId="3">
    <w:abstractNumId w:val="8"/>
  </w:num>
  <w:num w:numId="4">
    <w:abstractNumId w:val="6"/>
  </w:num>
  <w:num w:numId="5">
    <w:abstractNumId w:val="2"/>
  </w:num>
  <w:num w:numId="6">
    <w:abstractNumId w:val="7"/>
  </w:num>
  <w:num w:numId="7">
    <w:abstractNumId w:val="0"/>
  </w:num>
  <w:num w:numId="8">
    <w:abstractNumId w:val="1"/>
  </w:num>
  <w:num w:numId="9">
    <w:abstractNumId w:val="9"/>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DD1"/>
    <w:rsid w:val="00011AED"/>
    <w:rsid w:val="0001298F"/>
    <w:rsid w:val="00022F2B"/>
    <w:rsid w:val="00031856"/>
    <w:rsid w:val="000319B9"/>
    <w:rsid w:val="000417F2"/>
    <w:rsid w:val="00042D1E"/>
    <w:rsid w:val="00060615"/>
    <w:rsid w:val="00062B04"/>
    <w:rsid w:val="00062C8C"/>
    <w:rsid w:val="00063258"/>
    <w:rsid w:val="000635A5"/>
    <w:rsid w:val="00070944"/>
    <w:rsid w:val="00074326"/>
    <w:rsid w:val="000762C0"/>
    <w:rsid w:val="00077432"/>
    <w:rsid w:val="00083150"/>
    <w:rsid w:val="0009113A"/>
    <w:rsid w:val="000969B5"/>
    <w:rsid w:val="000A120A"/>
    <w:rsid w:val="000A2046"/>
    <w:rsid w:val="000A30B6"/>
    <w:rsid w:val="000A69A0"/>
    <w:rsid w:val="000A77D7"/>
    <w:rsid w:val="000B265E"/>
    <w:rsid w:val="000B26DC"/>
    <w:rsid w:val="000B508D"/>
    <w:rsid w:val="000B7B34"/>
    <w:rsid w:val="000C6F0F"/>
    <w:rsid w:val="000D3625"/>
    <w:rsid w:val="000D3F3D"/>
    <w:rsid w:val="000D6549"/>
    <w:rsid w:val="000E2B56"/>
    <w:rsid w:val="000E434E"/>
    <w:rsid w:val="000E60DA"/>
    <w:rsid w:val="000F2058"/>
    <w:rsid w:val="000F75D2"/>
    <w:rsid w:val="001002F8"/>
    <w:rsid w:val="001036DE"/>
    <w:rsid w:val="001065C6"/>
    <w:rsid w:val="00106600"/>
    <w:rsid w:val="00106882"/>
    <w:rsid w:val="0011734C"/>
    <w:rsid w:val="00121598"/>
    <w:rsid w:val="00124421"/>
    <w:rsid w:val="00124DAE"/>
    <w:rsid w:val="00125508"/>
    <w:rsid w:val="00130035"/>
    <w:rsid w:val="00133DD4"/>
    <w:rsid w:val="001364C9"/>
    <w:rsid w:val="00136D41"/>
    <w:rsid w:val="00137401"/>
    <w:rsid w:val="00143080"/>
    <w:rsid w:val="001501E7"/>
    <w:rsid w:val="00151EDC"/>
    <w:rsid w:val="001521F5"/>
    <w:rsid w:val="00152A55"/>
    <w:rsid w:val="00162479"/>
    <w:rsid w:val="00163F73"/>
    <w:rsid w:val="00165A6D"/>
    <w:rsid w:val="00167273"/>
    <w:rsid w:val="00176080"/>
    <w:rsid w:val="00180036"/>
    <w:rsid w:val="00181719"/>
    <w:rsid w:val="001819FD"/>
    <w:rsid w:val="00181FA3"/>
    <w:rsid w:val="0018259A"/>
    <w:rsid w:val="00182B32"/>
    <w:rsid w:val="00183457"/>
    <w:rsid w:val="00183C1B"/>
    <w:rsid w:val="00186526"/>
    <w:rsid w:val="00190C02"/>
    <w:rsid w:val="0019139F"/>
    <w:rsid w:val="00193544"/>
    <w:rsid w:val="001A38B5"/>
    <w:rsid w:val="001A4944"/>
    <w:rsid w:val="001A4E68"/>
    <w:rsid w:val="001A51FC"/>
    <w:rsid w:val="001A60DF"/>
    <w:rsid w:val="001A780E"/>
    <w:rsid w:val="001B0E68"/>
    <w:rsid w:val="001B1C53"/>
    <w:rsid w:val="001B43E1"/>
    <w:rsid w:val="001B7519"/>
    <w:rsid w:val="001C2627"/>
    <w:rsid w:val="001C5F29"/>
    <w:rsid w:val="001C7DF3"/>
    <w:rsid w:val="001D3ECB"/>
    <w:rsid w:val="001D7A78"/>
    <w:rsid w:val="001E157C"/>
    <w:rsid w:val="001E54D6"/>
    <w:rsid w:val="001E5FB7"/>
    <w:rsid w:val="001E71F9"/>
    <w:rsid w:val="001E7B06"/>
    <w:rsid w:val="0020401A"/>
    <w:rsid w:val="00207AEB"/>
    <w:rsid w:val="00211774"/>
    <w:rsid w:val="00212F4F"/>
    <w:rsid w:val="00213F70"/>
    <w:rsid w:val="00214C20"/>
    <w:rsid w:val="00222F3A"/>
    <w:rsid w:val="002247C5"/>
    <w:rsid w:val="00227BBB"/>
    <w:rsid w:val="00230923"/>
    <w:rsid w:val="00230A4A"/>
    <w:rsid w:val="0023223A"/>
    <w:rsid w:val="00235052"/>
    <w:rsid w:val="00237FBF"/>
    <w:rsid w:val="002409E5"/>
    <w:rsid w:val="00242125"/>
    <w:rsid w:val="00243DEB"/>
    <w:rsid w:val="002441C8"/>
    <w:rsid w:val="002443AE"/>
    <w:rsid w:val="00252964"/>
    <w:rsid w:val="00254B12"/>
    <w:rsid w:val="00255789"/>
    <w:rsid w:val="002618AE"/>
    <w:rsid w:val="00262402"/>
    <w:rsid w:val="00263CE9"/>
    <w:rsid w:val="00264C6A"/>
    <w:rsid w:val="0026635C"/>
    <w:rsid w:val="00266B7F"/>
    <w:rsid w:val="00267B19"/>
    <w:rsid w:val="00270449"/>
    <w:rsid w:val="00271EE9"/>
    <w:rsid w:val="002731BD"/>
    <w:rsid w:val="002750A8"/>
    <w:rsid w:val="002800D8"/>
    <w:rsid w:val="00280A51"/>
    <w:rsid w:val="00285131"/>
    <w:rsid w:val="0028549B"/>
    <w:rsid w:val="00286B5A"/>
    <w:rsid w:val="002913D8"/>
    <w:rsid w:val="00293743"/>
    <w:rsid w:val="002A19C0"/>
    <w:rsid w:val="002A21FE"/>
    <w:rsid w:val="002A34F0"/>
    <w:rsid w:val="002A3F95"/>
    <w:rsid w:val="002A55BC"/>
    <w:rsid w:val="002A6049"/>
    <w:rsid w:val="002B0190"/>
    <w:rsid w:val="002B08E8"/>
    <w:rsid w:val="002B1ABA"/>
    <w:rsid w:val="002B296B"/>
    <w:rsid w:val="002C1636"/>
    <w:rsid w:val="002C229A"/>
    <w:rsid w:val="002C25F3"/>
    <w:rsid w:val="002C2CBF"/>
    <w:rsid w:val="002C2D50"/>
    <w:rsid w:val="002C326B"/>
    <w:rsid w:val="002C3499"/>
    <w:rsid w:val="002C4FC4"/>
    <w:rsid w:val="002C541E"/>
    <w:rsid w:val="002C7723"/>
    <w:rsid w:val="002D60F4"/>
    <w:rsid w:val="002D7E41"/>
    <w:rsid w:val="002E031B"/>
    <w:rsid w:val="002E41A3"/>
    <w:rsid w:val="002E5149"/>
    <w:rsid w:val="002E76FA"/>
    <w:rsid w:val="002F698F"/>
    <w:rsid w:val="00301CF7"/>
    <w:rsid w:val="00304B91"/>
    <w:rsid w:val="00305DC2"/>
    <w:rsid w:val="00315E00"/>
    <w:rsid w:val="00316274"/>
    <w:rsid w:val="003213D0"/>
    <w:rsid w:val="003221C2"/>
    <w:rsid w:val="003254F1"/>
    <w:rsid w:val="003266DC"/>
    <w:rsid w:val="00326C3F"/>
    <w:rsid w:val="00327100"/>
    <w:rsid w:val="0032713F"/>
    <w:rsid w:val="00330405"/>
    <w:rsid w:val="00330F13"/>
    <w:rsid w:val="00332E63"/>
    <w:rsid w:val="00332F92"/>
    <w:rsid w:val="003344C0"/>
    <w:rsid w:val="00337476"/>
    <w:rsid w:val="00342FA5"/>
    <w:rsid w:val="0034501E"/>
    <w:rsid w:val="0035190D"/>
    <w:rsid w:val="0035531C"/>
    <w:rsid w:val="00356FE8"/>
    <w:rsid w:val="00361B65"/>
    <w:rsid w:val="00362C58"/>
    <w:rsid w:val="00362E6F"/>
    <w:rsid w:val="00364DB8"/>
    <w:rsid w:val="00370355"/>
    <w:rsid w:val="00370613"/>
    <w:rsid w:val="00372F0B"/>
    <w:rsid w:val="00373FE0"/>
    <w:rsid w:val="0037418A"/>
    <w:rsid w:val="00374BCB"/>
    <w:rsid w:val="00375FA2"/>
    <w:rsid w:val="00380B7F"/>
    <w:rsid w:val="003825A2"/>
    <w:rsid w:val="003825B4"/>
    <w:rsid w:val="00384AD2"/>
    <w:rsid w:val="003854CC"/>
    <w:rsid w:val="003870EC"/>
    <w:rsid w:val="0039438D"/>
    <w:rsid w:val="00397569"/>
    <w:rsid w:val="003975D4"/>
    <w:rsid w:val="0039792C"/>
    <w:rsid w:val="003A3DB6"/>
    <w:rsid w:val="003A7207"/>
    <w:rsid w:val="003B0567"/>
    <w:rsid w:val="003B4039"/>
    <w:rsid w:val="003B4080"/>
    <w:rsid w:val="003B446A"/>
    <w:rsid w:val="003B6831"/>
    <w:rsid w:val="003B6A87"/>
    <w:rsid w:val="003B6BC4"/>
    <w:rsid w:val="003C05F1"/>
    <w:rsid w:val="003C208A"/>
    <w:rsid w:val="003C666D"/>
    <w:rsid w:val="003D1268"/>
    <w:rsid w:val="003D22B6"/>
    <w:rsid w:val="003D5E61"/>
    <w:rsid w:val="003E0B75"/>
    <w:rsid w:val="003E3CA7"/>
    <w:rsid w:val="003E3E24"/>
    <w:rsid w:val="003E457A"/>
    <w:rsid w:val="003E5848"/>
    <w:rsid w:val="003E7CBB"/>
    <w:rsid w:val="003F2330"/>
    <w:rsid w:val="003F6516"/>
    <w:rsid w:val="004032FD"/>
    <w:rsid w:val="0040763A"/>
    <w:rsid w:val="004109EE"/>
    <w:rsid w:val="00413CDB"/>
    <w:rsid w:val="00414526"/>
    <w:rsid w:val="00414A79"/>
    <w:rsid w:val="00414B7B"/>
    <w:rsid w:val="004206BA"/>
    <w:rsid w:val="004224AE"/>
    <w:rsid w:val="0043249C"/>
    <w:rsid w:val="00432875"/>
    <w:rsid w:val="00436EA0"/>
    <w:rsid w:val="004375FD"/>
    <w:rsid w:val="00441BE2"/>
    <w:rsid w:val="00446F3C"/>
    <w:rsid w:val="00451A9C"/>
    <w:rsid w:val="004536EF"/>
    <w:rsid w:val="00453CC7"/>
    <w:rsid w:val="00455CD2"/>
    <w:rsid w:val="00461363"/>
    <w:rsid w:val="0046253F"/>
    <w:rsid w:val="0046685B"/>
    <w:rsid w:val="004679C4"/>
    <w:rsid w:val="00467A93"/>
    <w:rsid w:val="00470DD2"/>
    <w:rsid w:val="004744BD"/>
    <w:rsid w:val="00475B27"/>
    <w:rsid w:val="00480177"/>
    <w:rsid w:val="004841BF"/>
    <w:rsid w:val="004876FC"/>
    <w:rsid w:val="0049392B"/>
    <w:rsid w:val="004969F4"/>
    <w:rsid w:val="004A0446"/>
    <w:rsid w:val="004A52D8"/>
    <w:rsid w:val="004A69F9"/>
    <w:rsid w:val="004B2E33"/>
    <w:rsid w:val="004B5B50"/>
    <w:rsid w:val="004B5F35"/>
    <w:rsid w:val="004C20C1"/>
    <w:rsid w:val="004C48F0"/>
    <w:rsid w:val="004C541C"/>
    <w:rsid w:val="004E15E2"/>
    <w:rsid w:val="004E7258"/>
    <w:rsid w:val="004F0CDC"/>
    <w:rsid w:val="004F5FEB"/>
    <w:rsid w:val="004F630F"/>
    <w:rsid w:val="00501845"/>
    <w:rsid w:val="00502BC6"/>
    <w:rsid w:val="00511D3F"/>
    <w:rsid w:val="00513B3E"/>
    <w:rsid w:val="00513B51"/>
    <w:rsid w:val="00515FDD"/>
    <w:rsid w:val="00516BE4"/>
    <w:rsid w:val="0052245F"/>
    <w:rsid w:val="00523040"/>
    <w:rsid w:val="00525850"/>
    <w:rsid w:val="00531104"/>
    <w:rsid w:val="00532B2B"/>
    <w:rsid w:val="00535228"/>
    <w:rsid w:val="00535EBE"/>
    <w:rsid w:val="00536E97"/>
    <w:rsid w:val="00537809"/>
    <w:rsid w:val="00541B6D"/>
    <w:rsid w:val="005426A2"/>
    <w:rsid w:val="00542735"/>
    <w:rsid w:val="005440D0"/>
    <w:rsid w:val="00546BEE"/>
    <w:rsid w:val="00546DF4"/>
    <w:rsid w:val="00547534"/>
    <w:rsid w:val="00550BD3"/>
    <w:rsid w:val="00551D59"/>
    <w:rsid w:val="005622F3"/>
    <w:rsid w:val="00563C11"/>
    <w:rsid w:val="005664CC"/>
    <w:rsid w:val="00572FF7"/>
    <w:rsid w:val="00574504"/>
    <w:rsid w:val="005758D3"/>
    <w:rsid w:val="00575D76"/>
    <w:rsid w:val="00576718"/>
    <w:rsid w:val="00583887"/>
    <w:rsid w:val="00587E5D"/>
    <w:rsid w:val="00594989"/>
    <w:rsid w:val="005A0171"/>
    <w:rsid w:val="005A5892"/>
    <w:rsid w:val="005B4F4D"/>
    <w:rsid w:val="005C103F"/>
    <w:rsid w:val="005C32A1"/>
    <w:rsid w:val="005C4FE9"/>
    <w:rsid w:val="005C61C1"/>
    <w:rsid w:val="005C7539"/>
    <w:rsid w:val="005D099A"/>
    <w:rsid w:val="005D3995"/>
    <w:rsid w:val="005D3DB0"/>
    <w:rsid w:val="005D4C88"/>
    <w:rsid w:val="005D520F"/>
    <w:rsid w:val="005D7642"/>
    <w:rsid w:val="005E232D"/>
    <w:rsid w:val="005E3C47"/>
    <w:rsid w:val="005E641D"/>
    <w:rsid w:val="005F1361"/>
    <w:rsid w:val="005F302C"/>
    <w:rsid w:val="005F7F3D"/>
    <w:rsid w:val="00604FCC"/>
    <w:rsid w:val="00606FC4"/>
    <w:rsid w:val="006078C3"/>
    <w:rsid w:val="006200A6"/>
    <w:rsid w:val="00620B79"/>
    <w:rsid w:val="00621E31"/>
    <w:rsid w:val="00622630"/>
    <w:rsid w:val="00622DCC"/>
    <w:rsid w:val="00623EE9"/>
    <w:rsid w:val="00624651"/>
    <w:rsid w:val="00625091"/>
    <w:rsid w:val="006250A7"/>
    <w:rsid w:val="00636A4E"/>
    <w:rsid w:val="00641832"/>
    <w:rsid w:val="00641B64"/>
    <w:rsid w:val="00642847"/>
    <w:rsid w:val="00643112"/>
    <w:rsid w:val="00643B3B"/>
    <w:rsid w:val="00647EBA"/>
    <w:rsid w:val="00654C4B"/>
    <w:rsid w:val="00655004"/>
    <w:rsid w:val="00661900"/>
    <w:rsid w:val="0066252A"/>
    <w:rsid w:val="0067260E"/>
    <w:rsid w:val="00672E34"/>
    <w:rsid w:val="006730F0"/>
    <w:rsid w:val="0067420D"/>
    <w:rsid w:val="006776AD"/>
    <w:rsid w:val="006837D7"/>
    <w:rsid w:val="006846AA"/>
    <w:rsid w:val="006912D6"/>
    <w:rsid w:val="00693DF5"/>
    <w:rsid w:val="006A069F"/>
    <w:rsid w:val="006A1F7E"/>
    <w:rsid w:val="006A4EA3"/>
    <w:rsid w:val="006A6AB8"/>
    <w:rsid w:val="006B2F67"/>
    <w:rsid w:val="006B5C1D"/>
    <w:rsid w:val="006C0A86"/>
    <w:rsid w:val="006C4FBF"/>
    <w:rsid w:val="006C58ED"/>
    <w:rsid w:val="006C5CC3"/>
    <w:rsid w:val="006C6B5C"/>
    <w:rsid w:val="006D10D9"/>
    <w:rsid w:val="006E071F"/>
    <w:rsid w:val="006E1A40"/>
    <w:rsid w:val="006E563E"/>
    <w:rsid w:val="006F0BF1"/>
    <w:rsid w:val="006F157B"/>
    <w:rsid w:val="006F4F7F"/>
    <w:rsid w:val="006F5CBD"/>
    <w:rsid w:val="006F7223"/>
    <w:rsid w:val="006F7870"/>
    <w:rsid w:val="00701E1C"/>
    <w:rsid w:val="00702235"/>
    <w:rsid w:val="0070467A"/>
    <w:rsid w:val="007079FB"/>
    <w:rsid w:val="00711A24"/>
    <w:rsid w:val="007131A9"/>
    <w:rsid w:val="00714670"/>
    <w:rsid w:val="007169AD"/>
    <w:rsid w:val="00722867"/>
    <w:rsid w:val="00723511"/>
    <w:rsid w:val="00724726"/>
    <w:rsid w:val="00725149"/>
    <w:rsid w:val="00727BFD"/>
    <w:rsid w:val="00730E61"/>
    <w:rsid w:val="007377C4"/>
    <w:rsid w:val="00737B42"/>
    <w:rsid w:val="007401D8"/>
    <w:rsid w:val="00753907"/>
    <w:rsid w:val="00756893"/>
    <w:rsid w:val="00757CA0"/>
    <w:rsid w:val="00760CFA"/>
    <w:rsid w:val="00761092"/>
    <w:rsid w:val="00771BC8"/>
    <w:rsid w:val="007741B9"/>
    <w:rsid w:val="0077571F"/>
    <w:rsid w:val="007759B0"/>
    <w:rsid w:val="00776F61"/>
    <w:rsid w:val="00777E41"/>
    <w:rsid w:val="0078368E"/>
    <w:rsid w:val="00783FBD"/>
    <w:rsid w:val="00790499"/>
    <w:rsid w:val="007914E4"/>
    <w:rsid w:val="00791843"/>
    <w:rsid w:val="00793555"/>
    <w:rsid w:val="00795252"/>
    <w:rsid w:val="007960A6"/>
    <w:rsid w:val="007A2570"/>
    <w:rsid w:val="007B1493"/>
    <w:rsid w:val="007B1D3E"/>
    <w:rsid w:val="007B42CA"/>
    <w:rsid w:val="007B751E"/>
    <w:rsid w:val="007B7A8C"/>
    <w:rsid w:val="007C22EF"/>
    <w:rsid w:val="007C46B7"/>
    <w:rsid w:val="007C5FB1"/>
    <w:rsid w:val="007D1D03"/>
    <w:rsid w:val="007E342A"/>
    <w:rsid w:val="007F03D8"/>
    <w:rsid w:val="007F4E79"/>
    <w:rsid w:val="00801F7D"/>
    <w:rsid w:val="00805090"/>
    <w:rsid w:val="0080518C"/>
    <w:rsid w:val="008074E8"/>
    <w:rsid w:val="00811CC8"/>
    <w:rsid w:val="008131AD"/>
    <w:rsid w:val="00813BFD"/>
    <w:rsid w:val="0081729B"/>
    <w:rsid w:val="008218A9"/>
    <w:rsid w:val="00824C01"/>
    <w:rsid w:val="00824D90"/>
    <w:rsid w:val="0082757F"/>
    <w:rsid w:val="00832B57"/>
    <w:rsid w:val="0083570B"/>
    <w:rsid w:val="0084150A"/>
    <w:rsid w:val="008431D8"/>
    <w:rsid w:val="0084437A"/>
    <w:rsid w:val="00844905"/>
    <w:rsid w:val="008467C9"/>
    <w:rsid w:val="00847DA7"/>
    <w:rsid w:val="0085042B"/>
    <w:rsid w:val="00853DD1"/>
    <w:rsid w:val="00857F77"/>
    <w:rsid w:val="00864D76"/>
    <w:rsid w:val="00867E47"/>
    <w:rsid w:val="00876690"/>
    <w:rsid w:val="00877B24"/>
    <w:rsid w:val="00877DA9"/>
    <w:rsid w:val="0088122C"/>
    <w:rsid w:val="00884F96"/>
    <w:rsid w:val="00890E99"/>
    <w:rsid w:val="008938E1"/>
    <w:rsid w:val="00893978"/>
    <w:rsid w:val="00895BAC"/>
    <w:rsid w:val="00896BF5"/>
    <w:rsid w:val="008A38E3"/>
    <w:rsid w:val="008A4456"/>
    <w:rsid w:val="008A5D92"/>
    <w:rsid w:val="008A7065"/>
    <w:rsid w:val="008A7395"/>
    <w:rsid w:val="008B4B45"/>
    <w:rsid w:val="008C4645"/>
    <w:rsid w:val="008D1ABA"/>
    <w:rsid w:val="008D3E37"/>
    <w:rsid w:val="008D442C"/>
    <w:rsid w:val="008D4755"/>
    <w:rsid w:val="008D49AC"/>
    <w:rsid w:val="008D5B37"/>
    <w:rsid w:val="008D76BE"/>
    <w:rsid w:val="008D7F67"/>
    <w:rsid w:val="008E4002"/>
    <w:rsid w:val="008E6AE4"/>
    <w:rsid w:val="008E6F92"/>
    <w:rsid w:val="008F1277"/>
    <w:rsid w:val="008F1CBB"/>
    <w:rsid w:val="008F4FA5"/>
    <w:rsid w:val="008F5E34"/>
    <w:rsid w:val="008F66AA"/>
    <w:rsid w:val="008F6EA5"/>
    <w:rsid w:val="008F708D"/>
    <w:rsid w:val="008F7F2E"/>
    <w:rsid w:val="009027FD"/>
    <w:rsid w:val="009032DB"/>
    <w:rsid w:val="009037CB"/>
    <w:rsid w:val="009044D2"/>
    <w:rsid w:val="00904971"/>
    <w:rsid w:val="0090521B"/>
    <w:rsid w:val="0090597E"/>
    <w:rsid w:val="00910154"/>
    <w:rsid w:val="00910B40"/>
    <w:rsid w:val="009145A1"/>
    <w:rsid w:val="009215E1"/>
    <w:rsid w:val="00921645"/>
    <w:rsid w:val="00921F04"/>
    <w:rsid w:val="009263CE"/>
    <w:rsid w:val="00926AB1"/>
    <w:rsid w:val="009364B2"/>
    <w:rsid w:val="00942837"/>
    <w:rsid w:val="00942949"/>
    <w:rsid w:val="00950E55"/>
    <w:rsid w:val="009521C2"/>
    <w:rsid w:val="0095244E"/>
    <w:rsid w:val="00952D84"/>
    <w:rsid w:val="00957183"/>
    <w:rsid w:val="00962441"/>
    <w:rsid w:val="00962F62"/>
    <w:rsid w:val="0096312B"/>
    <w:rsid w:val="00963E6F"/>
    <w:rsid w:val="009657F0"/>
    <w:rsid w:val="00966FF8"/>
    <w:rsid w:val="00971881"/>
    <w:rsid w:val="00972E4D"/>
    <w:rsid w:val="00973D9C"/>
    <w:rsid w:val="009752FF"/>
    <w:rsid w:val="00975E71"/>
    <w:rsid w:val="009769BD"/>
    <w:rsid w:val="00977C6A"/>
    <w:rsid w:val="00977DA9"/>
    <w:rsid w:val="00982006"/>
    <w:rsid w:val="009838A5"/>
    <w:rsid w:val="00993A9D"/>
    <w:rsid w:val="009A279B"/>
    <w:rsid w:val="009A7F53"/>
    <w:rsid w:val="009B0441"/>
    <w:rsid w:val="009B0B7D"/>
    <w:rsid w:val="009B1D57"/>
    <w:rsid w:val="009B3476"/>
    <w:rsid w:val="009B6552"/>
    <w:rsid w:val="009B7B1F"/>
    <w:rsid w:val="009C58CC"/>
    <w:rsid w:val="009D13C4"/>
    <w:rsid w:val="009D54D5"/>
    <w:rsid w:val="009E149F"/>
    <w:rsid w:val="009E14FC"/>
    <w:rsid w:val="009F0309"/>
    <w:rsid w:val="009F2076"/>
    <w:rsid w:val="009F21DC"/>
    <w:rsid w:val="009F3039"/>
    <w:rsid w:val="009F45D0"/>
    <w:rsid w:val="009F4CB1"/>
    <w:rsid w:val="009F6669"/>
    <w:rsid w:val="00A01634"/>
    <w:rsid w:val="00A03775"/>
    <w:rsid w:val="00A03F92"/>
    <w:rsid w:val="00A04FFC"/>
    <w:rsid w:val="00A14DC9"/>
    <w:rsid w:val="00A15E51"/>
    <w:rsid w:val="00A161F4"/>
    <w:rsid w:val="00A16A10"/>
    <w:rsid w:val="00A16EEA"/>
    <w:rsid w:val="00A218C7"/>
    <w:rsid w:val="00A2221A"/>
    <w:rsid w:val="00A30822"/>
    <w:rsid w:val="00A30A07"/>
    <w:rsid w:val="00A32CDD"/>
    <w:rsid w:val="00A3565F"/>
    <w:rsid w:val="00A40E56"/>
    <w:rsid w:val="00A431F8"/>
    <w:rsid w:val="00A43A25"/>
    <w:rsid w:val="00A514D2"/>
    <w:rsid w:val="00A515F8"/>
    <w:rsid w:val="00A5196B"/>
    <w:rsid w:val="00A53360"/>
    <w:rsid w:val="00A605F6"/>
    <w:rsid w:val="00A606EB"/>
    <w:rsid w:val="00A60DA3"/>
    <w:rsid w:val="00A622B2"/>
    <w:rsid w:val="00A72DBD"/>
    <w:rsid w:val="00A739FD"/>
    <w:rsid w:val="00A80545"/>
    <w:rsid w:val="00A81DFF"/>
    <w:rsid w:val="00A95689"/>
    <w:rsid w:val="00A95A6A"/>
    <w:rsid w:val="00A96CE0"/>
    <w:rsid w:val="00A976FA"/>
    <w:rsid w:val="00AA1348"/>
    <w:rsid w:val="00AA2668"/>
    <w:rsid w:val="00AA3FA9"/>
    <w:rsid w:val="00AA46D3"/>
    <w:rsid w:val="00AB0329"/>
    <w:rsid w:val="00AB4B46"/>
    <w:rsid w:val="00AB7CC0"/>
    <w:rsid w:val="00AC00FB"/>
    <w:rsid w:val="00AC1B4F"/>
    <w:rsid w:val="00AC5F11"/>
    <w:rsid w:val="00AD011C"/>
    <w:rsid w:val="00AD183A"/>
    <w:rsid w:val="00AD2453"/>
    <w:rsid w:val="00AD427F"/>
    <w:rsid w:val="00AD7E46"/>
    <w:rsid w:val="00AE5648"/>
    <w:rsid w:val="00AF53E9"/>
    <w:rsid w:val="00AF68C1"/>
    <w:rsid w:val="00B016E2"/>
    <w:rsid w:val="00B02A64"/>
    <w:rsid w:val="00B07485"/>
    <w:rsid w:val="00B166A2"/>
    <w:rsid w:val="00B20293"/>
    <w:rsid w:val="00B22E03"/>
    <w:rsid w:val="00B3085E"/>
    <w:rsid w:val="00B30860"/>
    <w:rsid w:val="00B324F3"/>
    <w:rsid w:val="00B325F6"/>
    <w:rsid w:val="00B33451"/>
    <w:rsid w:val="00B33531"/>
    <w:rsid w:val="00B34308"/>
    <w:rsid w:val="00B35E61"/>
    <w:rsid w:val="00B376BC"/>
    <w:rsid w:val="00B50576"/>
    <w:rsid w:val="00B51773"/>
    <w:rsid w:val="00B53173"/>
    <w:rsid w:val="00B61C07"/>
    <w:rsid w:val="00B636E3"/>
    <w:rsid w:val="00B64339"/>
    <w:rsid w:val="00B64C2B"/>
    <w:rsid w:val="00B67192"/>
    <w:rsid w:val="00B71164"/>
    <w:rsid w:val="00B71CB3"/>
    <w:rsid w:val="00B71DB2"/>
    <w:rsid w:val="00B74733"/>
    <w:rsid w:val="00B754A0"/>
    <w:rsid w:val="00B83B4E"/>
    <w:rsid w:val="00B86C8D"/>
    <w:rsid w:val="00B975FC"/>
    <w:rsid w:val="00BA23AE"/>
    <w:rsid w:val="00BA44CD"/>
    <w:rsid w:val="00BA7AD9"/>
    <w:rsid w:val="00BB042C"/>
    <w:rsid w:val="00BB17D9"/>
    <w:rsid w:val="00BB1B32"/>
    <w:rsid w:val="00BB7AA6"/>
    <w:rsid w:val="00BC1B60"/>
    <w:rsid w:val="00BC1FAD"/>
    <w:rsid w:val="00BC3331"/>
    <w:rsid w:val="00BC4A64"/>
    <w:rsid w:val="00BD6161"/>
    <w:rsid w:val="00BE015B"/>
    <w:rsid w:val="00BE0EE1"/>
    <w:rsid w:val="00BF50BF"/>
    <w:rsid w:val="00BF68B4"/>
    <w:rsid w:val="00C06762"/>
    <w:rsid w:val="00C06E5E"/>
    <w:rsid w:val="00C07B19"/>
    <w:rsid w:val="00C12ADE"/>
    <w:rsid w:val="00C17250"/>
    <w:rsid w:val="00C252F5"/>
    <w:rsid w:val="00C253DB"/>
    <w:rsid w:val="00C26754"/>
    <w:rsid w:val="00C27DD9"/>
    <w:rsid w:val="00C3080B"/>
    <w:rsid w:val="00C32477"/>
    <w:rsid w:val="00C32B2E"/>
    <w:rsid w:val="00C32C82"/>
    <w:rsid w:val="00C33490"/>
    <w:rsid w:val="00C342B4"/>
    <w:rsid w:val="00C4059D"/>
    <w:rsid w:val="00C41D0C"/>
    <w:rsid w:val="00C42820"/>
    <w:rsid w:val="00C4686C"/>
    <w:rsid w:val="00C51485"/>
    <w:rsid w:val="00C52120"/>
    <w:rsid w:val="00C52480"/>
    <w:rsid w:val="00C548C4"/>
    <w:rsid w:val="00C55295"/>
    <w:rsid w:val="00C640E3"/>
    <w:rsid w:val="00C65649"/>
    <w:rsid w:val="00C65F09"/>
    <w:rsid w:val="00C6702A"/>
    <w:rsid w:val="00C67263"/>
    <w:rsid w:val="00C7349A"/>
    <w:rsid w:val="00C8053E"/>
    <w:rsid w:val="00C80AFF"/>
    <w:rsid w:val="00C80E68"/>
    <w:rsid w:val="00C81C20"/>
    <w:rsid w:val="00C832D0"/>
    <w:rsid w:val="00C85055"/>
    <w:rsid w:val="00C867FC"/>
    <w:rsid w:val="00C868F6"/>
    <w:rsid w:val="00C86E8B"/>
    <w:rsid w:val="00C922CB"/>
    <w:rsid w:val="00C94CA2"/>
    <w:rsid w:val="00CA0E2D"/>
    <w:rsid w:val="00CA3161"/>
    <w:rsid w:val="00CA4661"/>
    <w:rsid w:val="00CA5A23"/>
    <w:rsid w:val="00CB2154"/>
    <w:rsid w:val="00CB513F"/>
    <w:rsid w:val="00CB7E46"/>
    <w:rsid w:val="00CB7F3B"/>
    <w:rsid w:val="00CC2EAB"/>
    <w:rsid w:val="00CC606A"/>
    <w:rsid w:val="00CD23FB"/>
    <w:rsid w:val="00CD3E80"/>
    <w:rsid w:val="00CD53BE"/>
    <w:rsid w:val="00CD79E2"/>
    <w:rsid w:val="00CE13F1"/>
    <w:rsid w:val="00CE1A4A"/>
    <w:rsid w:val="00CE330C"/>
    <w:rsid w:val="00CE5C2B"/>
    <w:rsid w:val="00CE6429"/>
    <w:rsid w:val="00CE66C4"/>
    <w:rsid w:val="00CE6E90"/>
    <w:rsid w:val="00CF16C1"/>
    <w:rsid w:val="00CF29C7"/>
    <w:rsid w:val="00CF3C1D"/>
    <w:rsid w:val="00CF3F3F"/>
    <w:rsid w:val="00CF5341"/>
    <w:rsid w:val="00CF56FD"/>
    <w:rsid w:val="00D004BC"/>
    <w:rsid w:val="00D01FA5"/>
    <w:rsid w:val="00D035E3"/>
    <w:rsid w:val="00D04CE1"/>
    <w:rsid w:val="00D121D2"/>
    <w:rsid w:val="00D24503"/>
    <w:rsid w:val="00D24D2D"/>
    <w:rsid w:val="00D31018"/>
    <w:rsid w:val="00D325A6"/>
    <w:rsid w:val="00D370D1"/>
    <w:rsid w:val="00D43B96"/>
    <w:rsid w:val="00D51697"/>
    <w:rsid w:val="00D53498"/>
    <w:rsid w:val="00D56CDB"/>
    <w:rsid w:val="00D57131"/>
    <w:rsid w:val="00D57478"/>
    <w:rsid w:val="00D61F9D"/>
    <w:rsid w:val="00D62351"/>
    <w:rsid w:val="00D6519D"/>
    <w:rsid w:val="00D73FEA"/>
    <w:rsid w:val="00D86594"/>
    <w:rsid w:val="00D905E4"/>
    <w:rsid w:val="00D9286F"/>
    <w:rsid w:val="00D969B8"/>
    <w:rsid w:val="00D97CD6"/>
    <w:rsid w:val="00DA1F54"/>
    <w:rsid w:val="00DA2CFE"/>
    <w:rsid w:val="00DA564D"/>
    <w:rsid w:val="00DA62D7"/>
    <w:rsid w:val="00DB0F72"/>
    <w:rsid w:val="00DC22CA"/>
    <w:rsid w:val="00DC2B9A"/>
    <w:rsid w:val="00DC67DF"/>
    <w:rsid w:val="00DD093D"/>
    <w:rsid w:val="00DD31CB"/>
    <w:rsid w:val="00DE78EB"/>
    <w:rsid w:val="00DF09E3"/>
    <w:rsid w:val="00DF2AAB"/>
    <w:rsid w:val="00DF3F8A"/>
    <w:rsid w:val="00DF4CBE"/>
    <w:rsid w:val="00E004B7"/>
    <w:rsid w:val="00E05F45"/>
    <w:rsid w:val="00E07046"/>
    <w:rsid w:val="00E14949"/>
    <w:rsid w:val="00E22AE7"/>
    <w:rsid w:val="00E22EA5"/>
    <w:rsid w:val="00E2365C"/>
    <w:rsid w:val="00E25E5B"/>
    <w:rsid w:val="00E26F40"/>
    <w:rsid w:val="00E27A2B"/>
    <w:rsid w:val="00E27D05"/>
    <w:rsid w:val="00E309C6"/>
    <w:rsid w:val="00E321B7"/>
    <w:rsid w:val="00E34C56"/>
    <w:rsid w:val="00E354D1"/>
    <w:rsid w:val="00E367A2"/>
    <w:rsid w:val="00E414A4"/>
    <w:rsid w:val="00E42D3B"/>
    <w:rsid w:val="00E44DFC"/>
    <w:rsid w:val="00E474C3"/>
    <w:rsid w:val="00E509DE"/>
    <w:rsid w:val="00E6166C"/>
    <w:rsid w:val="00E61C9F"/>
    <w:rsid w:val="00E649D6"/>
    <w:rsid w:val="00E66234"/>
    <w:rsid w:val="00E66D5F"/>
    <w:rsid w:val="00E67B09"/>
    <w:rsid w:val="00E704DE"/>
    <w:rsid w:val="00E70811"/>
    <w:rsid w:val="00E70DD6"/>
    <w:rsid w:val="00E71C5B"/>
    <w:rsid w:val="00E752E3"/>
    <w:rsid w:val="00E756BE"/>
    <w:rsid w:val="00E810E7"/>
    <w:rsid w:val="00E82BDE"/>
    <w:rsid w:val="00E85A4F"/>
    <w:rsid w:val="00E90068"/>
    <w:rsid w:val="00E91926"/>
    <w:rsid w:val="00E9430C"/>
    <w:rsid w:val="00E94842"/>
    <w:rsid w:val="00EA0F88"/>
    <w:rsid w:val="00EA1407"/>
    <w:rsid w:val="00EA4291"/>
    <w:rsid w:val="00EA4807"/>
    <w:rsid w:val="00EB39F1"/>
    <w:rsid w:val="00EC1F7E"/>
    <w:rsid w:val="00EC62B2"/>
    <w:rsid w:val="00EC6BE4"/>
    <w:rsid w:val="00ED085F"/>
    <w:rsid w:val="00ED1B1E"/>
    <w:rsid w:val="00ED532C"/>
    <w:rsid w:val="00ED6AED"/>
    <w:rsid w:val="00ED7E6F"/>
    <w:rsid w:val="00EE16CE"/>
    <w:rsid w:val="00EE3B0D"/>
    <w:rsid w:val="00EE50BE"/>
    <w:rsid w:val="00EE5892"/>
    <w:rsid w:val="00EF04C3"/>
    <w:rsid w:val="00EF170C"/>
    <w:rsid w:val="00EF1718"/>
    <w:rsid w:val="00EF59E5"/>
    <w:rsid w:val="00EF71A2"/>
    <w:rsid w:val="00F003BE"/>
    <w:rsid w:val="00F01BDD"/>
    <w:rsid w:val="00F03C79"/>
    <w:rsid w:val="00F04658"/>
    <w:rsid w:val="00F05F1B"/>
    <w:rsid w:val="00F07AA9"/>
    <w:rsid w:val="00F11ADD"/>
    <w:rsid w:val="00F121A9"/>
    <w:rsid w:val="00F126D3"/>
    <w:rsid w:val="00F12C6D"/>
    <w:rsid w:val="00F16FD2"/>
    <w:rsid w:val="00F179B3"/>
    <w:rsid w:val="00F20AC6"/>
    <w:rsid w:val="00F2237A"/>
    <w:rsid w:val="00F24418"/>
    <w:rsid w:val="00F25C57"/>
    <w:rsid w:val="00F31EF1"/>
    <w:rsid w:val="00F33D68"/>
    <w:rsid w:val="00F348F4"/>
    <w:rsid w:val="00F37061"/>
    <w:rsid w:val="00F427C0"/>
    <w:rsid w:val="00F43151"/>
    <w:rsid w:val="00F441CC"/>
    <w:rsid w:val="00F51151"/>
    <w:rsid w:val="00F517DC"/>
    <w:rsid w:val="00F532E5"/>
    <w:rsid w:val="00F5361E"/>
    <w:rsid w:val="00F536DE"/>
    <w:rsid w:val="00F5380F"/>
    <w:rsid w:val="00F5571D"/>
    <w:rsid w:val="00F564A8"/>
    <w:rsid w:val="00F56B11"/>
    <w:rsid w:val="00F60CC9"/>
    <w:rsid w:val="00F62BA5"/>
    <w:rsid w:val="00F63619"/>
    <w:rsid w:val="00F6431F"/>
    <w:rsid w:val="00F65714"/>
    <w:rsid w:val="00F658CA"/>
    <w:rsid w:val="00F660A7"/>
    <w:rsid w:val="00F6649D"/>
    <w:rsid w:val="00F76A8C"/>
    <w:rsid w:val="00F805F3"/>
    <w:rsid w:val="00F82A9D"/>
    <w:rsid w:val="00F860C8"/>
    <w:rsid w:val="00F869FB"/>
    <w:rsid w:val="00F903F0"/>
    <w:rsid w:val="00F94727"/>
    <w:rsid w:val="00F95176"/>
    <w:rsid w:val="00F95909"/>
    <w:rsid w:val="00FA4225"/>
    <w:rsid w:val="00FA77DC"/>
    <w:rsid w:val="00FB0276"/>
    <w:rsid w:val="00FB30A4"/>
    <w:rsid w:val="00FB4D87"/>
    <w:rsid w:val="00FB6D0C"/>
    <w:rsid w:val="00FC0B16"/>
    <w:rsid w:val="00FC3269"/>
    <w:rsid w:val="00FC3A14"/>
    <w:rsid w:val="00FC5D74"/>
    <w:rsid w:val="00FD2F97"/>
    <w:rsid w:val="00FD59DF"/>
    <w:rsid w:val="00FD6580"/>
    <w:rsid w:val="00FE0D52"/>
    <w:rsid w:val="00FE5AE4"/>
    <w:rsid w:val="00FF0EC2"/>
    <w:rsid w:val="00FF1285"/>
    <w:rsid w:val="00FF4D0E"/>
    <w:rsid w:val="00FF61FE"/>
    <w:rsid w:val="02678509"/>
    <w:rsid w:val="046DFA5A"/>
    <w:rsid w:val="04A5CC34"/>
    <w:rsid w:val="0743FCA4"/>
    <w:rsid w:val="088E5C23"/>
    <w:rsid w:val="096E9543"/>
    <w:rsid w:val="0A872C29"/>
    <w:rsid w:val="0BBD56BE"/>
    <w:rsid w:val="0CE4BEB0"/>
    <w:rsid w:val="0D0BD701"/>
    <w:rsid w:val="0D849B11"/>
    <w:rsid w:val="0EBC69D7"/>
    <w:rsid w:val="0F2CDFB4"/>
    <w:rsid w:val="0FA0A4A2"/>
    <w:rsid w:val="15ECA688"/>
    <w:rsid w:val="1A3CB304"/>
    <w:rsid w:val="1B648FD0"/>
    <w:rsid w:val="1C05CC18"/>
    <w:rsid w:val="1F832E12"/>
    <w:rsid w:val="24181348"/>
    <w:rsid w:val="2B257261"/>
    <w:rsid w:val="2CFA45F6"/>
    <w:rsid w:val="2D0FB2D5"/>
    <w:rsid w:val="2F38C3F9"/>
    <w:rsid w:val="2FEF3903"/>
    <w:rsid w:val="37AFD8AC"/>
    <w:rsid w:val="39B440E0"/>
    <w:rsid w:val="39E291AA"/>
    <w:rsid w:val="3B70C4D6"/>
    <w:rsid w:val="3BB6FDE1"/>
    <w:rsid w:val="3C4B8070"/>
    <w:rsid w:val="3C6837E0"/>
    <w:rsid w:val="3EBD15E5"/>
    <w:rsid w:val="45B6723F"/>
    <w:rsid w:val="45BD1307"/>
    <w:rsid w:val="47ED14B3"/>
    <w:rsid w:val="48428766"/>
    <w:rsid w:val="4F6B051C"/>
    <w:rsid w:val="4FA6C12D"/>
    <w:rsid w:val="4FD55797"/>
    <w:rsid w:val="52C728A9"/>
    <w:rsid w:val="555A76ED"/>
    <w:rsid w:val="569D61F7"/>
    <w:rsid w:val="5B2EDBCF"/>
    <w:rsid w:val="5D41677B"/>
    <w:rsid w:val="60154EF3"/>
    <w:rsid w:val="601B61EC"/>
    <w:rsid w:val="6200B67F"/>
    <w:rsid w:val="626C6E20"/>
    <w:rsid w:val="6503D64A"/>
    <w:rsid w:val="69119525"/>
    <w:rsid w:val="691BBDC6"/>
    <w:rsid w:val="6A3E61D3"/>
    <w:rsid w:val="6C8DE72B"/>
    <w:rsid w:val="6CA35585"/>
    <w:rsid w:val="73804F4B"/>
    <w:rsid w:val="74575077"/>
    <w:rsid w:val="7F00A239"/>
    <w:rsid w:val="7FBA32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68937"/>
  <w15:chartTrackingRefBased/>
  <w15:docId w15:val="{E44BEF52-36DF-475A-A03C-434255533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DD1"/>
    <w:pPr>
      <w:spacing w:after="0" w:line="360" w:lineRule="auto"/>
      <w:jc w:val="both"/>
    </w:pPr>
    <w:rPr>
      <w:rFonts w:ascii="Tahoma" w:hAnsi="Tahoma"/>
      <w:sz w:val="24"/>
      <w:lang w:val="es-ES"/>
    </w:rPr>
  </w:style>
  <w:style w:type="paragraph" w:styleId="Ttulo4">
    <w:name w:val="heading 4"/>
    <w:basedOn w:val="Normal"/>
    <w:next w:val="Normal"/>
    <w:link w:val="Ttulo4Car"/>
    <w:unhideWhenUsed/>
    <w:qFormat/>
    <w:rsid w:val="00B02A64"/>
    <w:pPr>
      <w:keepNext/>
      <w:tabs>
        <w:tab w:val="left" w:pos="0"/>
      </w:tabs>
      <w:overflowPunct w:val="0"/>
      <w:autoSpaceDE w:val="0"/>
      <w:autoSpaceDN w:val="0"/>
      <w:adjustRightInd w:val="0"/>
      <w:spacing w:line="240" w:lineRule="auto"/>
      <w:jc w:val="center"/>
      <w:outlineLvl w:val="3"/>
    </w:pPr>
    <w:rPr>
      <w:rFonts w:ascii="Times New Roman" w:eastAsia="Times New Roman" w:hAnsi="Times New Roman"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basedOn w:val="Fuentedeprrafopredeter"/>
    <w:rsid w:val="00853DD1"/>
    <w:rPr>
      <w:rFonts w:ascii="Tahoma-Bold" w:hAnsi="Tahoma-Bold" w:hint="default"/>
      <w:b/>
      <w:bCs/>
      <w:i w:val="0"/>
      <w:iCs w:val="0"/>
      <w:color w:val="000000"/>
      <w:sz w:val="24"/>
      <w:szCs w:val="24"/>
    </w:rPr>
  </w:style>
  <w:style w:type="character" w:customStyle="1" w:styleId="fontstyle21">
    <w:name w:val="fontstyle21"/>
    <w:basedOn w:val="Fuentedeprrafopredeter"/>
    <w:rsid w:val="00853DD1"/>
    <w:rPr>
      <w:rFonts w:ascii="Tahoma" w:hAnsi="Tahoma" w:cs="Tahoma" w:hint="default"/>
      <w:b w:val="0"/>
      <w:bCs w:val="0"/>
      <w:i w:val="0"/>
      <w:iCs w:val="0"/>
      <w:color w:val="000000"/>
      <w:sz w:val="24"/>
      <w:szCs w:val="24"/>
    </w:rPr>
  </w:style>
  <w:style w:type="paragraph" w:styleId="Encabezado">
    <w:name w:val="header"/>
    <w:basedOn w:val="Normal"/>
    <w:link w:val="EncabezadoCar"/>
    <w:uiPriority w:val="99"/>
    <w:unhideWhenUsed/>
    <w:rsid w:val="00B02A6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B02A64"/>
    <w:rPr>
      <w:rFonts w:ascii="Tahoma" w:hAnsi="Tahoma"/>
      <w:sz w:val="24"/>
      <w:lang w:val="es-ES"/>
    </w:rPr>
  </w:style>
  <w:style w:type="paragraph" w:styleId="Piedepgina">
    <w:name w:val="footer"/>
    <w:basedOn w:val="Normal"/>
    <w:link w:val="PiedepginaCar"/>
    <w:uiPriority w:val="99"/>
    <w:unhideWhenUsed/>
    <w:rsid w:val="00B02A6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02A64"/>
    <w:rPr>
      <w:rFonts w:ascii="Tahoma" w:hAnsi="Tahoma"/>
      <w:sz w:val="24"/>
      <w:lang w:val="es-ES"/>
    </w:rPr>
  </w:style>
  <w:style w:type="character" w:customStyle="1" w:styleId="Ttulo4Car">
    <w:name w:val="Título 4 Car"/>
    <w:basedOn w:val="Fuentedeprrafopredeter"/>
    <w:link w:val="Ttulo4"/>
    <w:rsid w:val="00B02A64"/>
    <w:rPr>
      <w:rFonts w:ascii="Times New Roman" w:eastAsia="Times New Roman" w:hAnsi="Times New Roman" w:cs="Times New Roman"/>
      <w:b/>
      <w:sz w:val="24"/>
      <w:szCs w:val="20"/>
      <w:lang w:val="es-ES" w:eastAsia="es-ES"/>
    </w:rPr>
  </w:style>
  <w:style w:type="paragraph" w:customStyle="1" w:styleId="paragraph">
    <w:name w:val="paragraph"/>
    <w:basedOn w:val="Normal"/>
    <w:rsid w:val="00B02A64"/>
    <w:pPr>
      <w:spacing w:before="100" w:beforeAutospacing="1" w:after="100" w:afterAutospacing="1" w:line="240" w:lineRule="auto"/>
      <w:jc w:val="left"/>
    </w:pPr>
    <w:rPr>
      <w:rFonts w:ascii="Times New Roman" w:eastAsia="Times New Roman" w:hAnsi="Times New Roman" w:cs="Times New Roman"/>
      <w:szCs w:val="24"/>
      <w:lang w:eastAsia="es-ES_tradnl"/>
    </w:rPr>
  </w:style>
  <w:style w:type="character" w:customStyle="1" w:styleId="normaltextrun">
    <w:name w:val="normaltextrun"/>
    <w:basedOn w:val="Fuentedeprrafopredeter"/>
    <w:rsid w:val="00B02A64"/>
  </w:style>
  <w:style w:type="paragraph" w:styleId="Prrafodelista">
    <w:name w:val="List Paragraph"/>
    <w:basedOn w:val="Normal"/>
    <w:uiPriority w:val="34"/>
    <w:qFormat/>
    <w:rsid w:val="004E7258"/>
    <w:pPr>
      <w:ind w:left="720"/>
      <w:contextualSpacing/>
    </w:pPr>
  </w:style>
  <w:style w:type="paragraph" w:styleId="Textonotapie">
    <w:name w:val="footnote text"/>
    <w:basedOn w:val="Normal"/>
    <w:link w:val="TextonotapieCar"/>
    <w:uiPriority w:val="99"/>
    <w:semiHidden/>
    <w:unhideWhenUsed/>
    <w:rsid w:val="003221C2"/>
    <w:pPr>
      <w:spacing w:line="240" w:lineRule="auto"/>
    </w:pPr>
    <w:rPr>
      <w:sz w:val="20"/>
      <w:szCs w:val="20"/>
    </w:rPr>
  </w:style>
  <w:style w:type="character" w:customStyle="1" w:styleId="TextonotapieCar">
    <w:name w:val="Texto nota pie Car"/>
    <w:basedOn w:val="Fuentedeprrafopredeter"/>
    <w:link w:val="Textonotapie"/>
    <w:uiPriority w:val="99"/>
    <w:semiHidden/>
    <w:rsid w:val="003221C2"/>
    <w:rPr>
      <w:rFonts w:ascii="Tahoma" w:hAnsi="Tahoma"/>
      <w:sz w:val="20"/>
      <w:szCs w:val="20"/>
      <w:lang w:val="es-ES"/>
    </w:rPr>
  </w:style>
  <w:style w:type="character" w:styleId="Refdenotaalpie">
    <w:name w:val="footnote reference"/>
    <w:aliases w:val="Texto nota pie Car2,Texto nota pie Car Car1,Footnote Text Char Char Char Char Char Car2,Footnote Text Char Char Char Char Car2,Ref. de nota al pie1 Car1,FA Fu Car2,Footnote Text Char Char Char Car1,Footnote Text Char Car2,FC,Ref,f"/>
    <w:uiPriority w:val="99"/>
    <w:rsid w:val="003221C2"/>
    <w:rPr>
      <w:vertAlign w:val="superscript"/>
    </w:rPr>
  </w:style>
  <w:style w:type="paragraph" w:styleId="NormalWeb">
    <w:name w:val="Normal (Web)"/>
    <w:basedOn w:val="Normal"/>
    <w:uiPriority w:val="99"/>
    <w:semiHidden/>
    <w:unhideWhenUsed/>
    <w:rsid w:val="002E5149"/>
    <w:rPr>
      <w:rFonts w:ascii="Times New Roman" w:hAnsi="Times New Roman" w:cs="Times New Roman"/>
      <w:szCs w:val="24"/>
    </w:rPr>
  </w:style>
  <w:style w:type="paragraph" w:styleId="Ttulo">
    <w:name w:val="Title"/>
    <w:basedOn w:val="Normal"/>
    <w:next w:val="Normal"/>
    <w:link w:val="TtuloCar"/>
    <w:uiPriority w:val="10"/>
    <w:qFormat/>
    <w:rsid w:val="00E67B09"/>
    <w:pPr>
      <w:spacing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67B09"/>
    <w:rPr>
      <w:rFonts w:asciiTheme="majorHAnsi" w:eastAsiaTheme="majorEastAsia" w:hAnsiTheme="majorHAnsi" w:cstheme="majorBidi"/>
      <w:spacing w:val="-10"/>
      <w:kern w:val="28"/>
      <w:sz w:val="56"/>
      <w:szCs w:val="56"/>
      <w:lang w:val="es-ES"/>
    </w:rPr>
  </w:style>
  <w:style w:type="character" w:customStyle="1" w:styleId="eop">
    <w:name w:val="eop"/>
    <w:basedOn w:val="Fuentedeprrafopredeter"/>
    <w:rsid w:val="00DC2B9A"/>
  </w:style>
  <w:style w:type="character" w:styleId="Hipervnculo">
    <w:name w:val="Hyperlink"/>
    <w:basedOn w:val="Fuentedeprrafopredeter"/>
    <w:uiPriority w:val="99"/>
    <w:unhideWhenUsed/>
    <w:rsid w:val="00DF4CBE"/>
    <w:rPr>
      <w:color w:val="0563C1" w:themeColor="hyperlink"/>
      <w:u w:val="single"/>
    </w:rPr>
  </w:style>
  <w:style w:type="character" w:customStyle="1" w:styleId="UnresolvedMention">
    <w:name w:val="Unresolved Mention"/>
    <w:basedOn w:val="Fuentedeprrafopredeter"/>
    <w:uiPriority w:val="99"/>
    <w:semiHidden/>
    <w:unhideWhenUsed/>
    <w:rsid w:val="00DF4CBE"/>
    <w:rPr>
      <w:color w:val="605E5C"/>
      <w:shd w:val="clear" w:color="auto" w:fill="E1DFDD"/>
    </w:rPr>
  </w:style>
  <w:style w:type="character" w:styleId="Textoennegrita">
    <w:name w:val="Strong"/>
    <w:basedOn w:val="Fuentedeprrafopredeter"/>
    <w:uiPriority w:val="22"/>
    <w:qFormat/>
    <w:rsid w:val="00E2365C"/>
    <w:rPr>
      <w:b/>
      <w:bCs/>
    </w:rPr>
  </w:style>
  <w:style w:type="paragraph" w:customStyle="1" w:styleId="Default">
    <w:name w:val="Default"/>
    <w:rsid w:val="008D7F67"/>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Tahoma" w:hAnsi="Tahoma"/>
      <w:sz w:val="20"/>
      <w:szCs w:val="20"/>
      <w:lang w:val="es-E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C06E5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6E5E"/>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095">
      <w:bodyDiv w:val="1"/>
      <w:marLeft w:val="0"/>
      <w:marRight w:val="0"/>
      <w:marTop w:val="0"/>
      <w:marBottom w:val="0"/>
      <w:divBdr>
        <w:top w:val="none" w:sz="0" w:space="0" w:color="auto"/>
        <w:left w:val="none" w:sz="0" w:space="0" w:color="auto"/>
        <w:bottom w:val="none" w:sz="0" w:space="0" w:color="auto"/>
        <w:right w:val="none" w:sz="0" w:space="0" w:color="auto"/>
      </w:divBdr>
    </w:div>
    <w:div w:id="9183577">
      <w:bodyDiv w:val="1"/>
      <w:marLeft w:val="0"/>
      <w:marRight w:val="0"/>
      <w:marTop w:val="0"/>
      <w:marBottom w:val="0"/>
      <w:divBdr>
        <w:top w:val="none" w:sz="0" w:space="0" w:color="auto"/>
        <w:left w:val="none" w:sz="0" w:space="0" w:color="auto"/>
        <w:bottom w:val="none" w:sz="0" w:space="0" w:color="auto"/>
        <w:right w:val="none" w:sz="0" w:space="0" w:color="auto"/>
      </w:divBdr>
    </w:div>
    <w:div w:id="67777869">
      <w:bodyDiv w:val="1"/>
      <w:marLeft w:val="0"/>
      <w:marRight w:val="0"/>
      <w:marTop w:val="0"/>
      <w:marBottom w:val="0"/>
      <w:divBdr>
        <w:top w:val="none" w:sz="0" w:space="0" w:color="auto"/>
        <w:left w:val="none" w:sz="0" w:space="0" w:color="auto"/>
        <w:bottom w:val="none" w:sz="0" w:space="0" w:color="auto"/>
        <w:right w:val="none" w:sz="0" w:space="0" w:color="auto"/>
      </w:divBdr>
    </w:div>
    <w:div w:id="164712904">
      <w:bodyDiv w:val="1"/>
      <w:marLeft w:val="0"/>
      <w:marRight w:val="0"/>
      <w:marTop w:val="0"/>
      <w:marBottom w:val="0"/>
      <w:divBdr>
        <w:top w:val="none" w:sz="0" w:space="0" w:color="auto"/>
        <w:left w:val="none" w:sz="0" w:space="0" w:color="auto"/>
        <w:bottom w:val="none" w:sz="0" w:space="0" w:color="auto"/>
        <w:right w:val="none" w:sz="0" w:space="0" w:color="auto"/>
      </w:divBdr>
    </w:div>
    <w:div w:id="259416528">
      <w:bodyDiv w:val="1"/>
      <w:marLeft w:val="0"/>
      <w:marRight w:val="0"/>
      <w:marTop w:val="0"/>
      <w:marBottom w:val="0"/>
      <w:divBdr>
        <w:top w:val="none" w:sz="0" w:space="0" w:color="auto"/>
        <w:left w:val="none" w:sz="0" w:space="0" w:color="auto"/>
        <w:bottom w:val="none" w:sz="0" w:space="0" w:color="auto"/>
        <w:right w:val="none" w:sz="0" w:space="0" w:color="auto"/>
      </w:divBdr>
    </w:div>
    <w:div w:id="358551916">
      <w:bodyDiv w:val="1"/>
      <w:marLeft w:val="0"/>
      <w:marRight w:val="0"/>
      <w:marTop w:val="0"/>
      <w:marBottom w:val="0"/>
      <w:divBdr>
        <w:top w:val="none" w:sz="0" w:space="0" w:color="auto"/>
        <w:left w:val="none" w:sz="0" w:space="0" w:color="auto"/>
        <w:bottom w:val="none" w:sz="0" w:space="0" w:color="auto"/>
        <w:right w:val="none" w:sz="0" w:space="0" w:color="auto"/>
      </w:divBdr>
    </w:div>
    <w:div w:id="370572298">
      <w:bodyDiv w:val="1"/>
      <w:marLeft w:val="0"/>
      <w:marRight w:val="0"/>
      <w:marTop w:val="0"/>
      <w:marBottom w:val="0"/>
      <w:divBdr>
        <w:top w:val="none" w:sz="0" w:space="0" w:color="auto"/>
        <w:left w:val="none" w:sz="0" w:space="0" w:color="auto"/>
        <w:bottom w:val="none" w:sz="0" w:space="0" w:color="auto"/>
        <w:right w:val="none" w:sz="0" w:space="0" w:color="auto"/>
      </w:divBdr>
    </w:div>
    <w:div w:id="478887250">
      <w:bodyDiv w:val="1"/>
      <w:marLeft w:val="0"/>
      <w:marRight w:val="0"/>
      <w:marTop w:val="0"/>
      <w:marBottom w:val="0"/>
      <w:divBdr>
        <w:top w:val="none" w:sz="0" w:space="0" w:color="auto"/>
        <w:left w:val="none" w:sz="0" w:space="0" w:color="auto"/>
        <w:bottom w:val="none" w:sz="0" w:space="0" w:color="auto"/>
        <w:right w:val="none" w:sz="0" w:space="0" w:color="auto"/>
      </w:divBdr>
    </w:div>
    <w:div w:id="543255470">
      <w:bodyDiv w:val="1"/>
      <w:marLeft w:val="0"/>
      <w:marRight w:val="0"/>
      <w:marTop w:val="0"/>
      <w:marBottom w:val="0"/>
      <w:divBdr>
        <w:top w:val="none" w:sz="0" w:space="0" w:color="auto"/>
        <w:left w:val="none" w:sz="0" w:space="0" w:color="auto"/>
        <w:bottom w:val="none" w:sz="0" w:space="0" w:color="auto"/>
        <w:right w:val="none" w:sz="0" w:space="0" w:color="auto"/>
      </w:divBdr>
    </w:div>
    <w:div w:id="620039807">
      <w:bodyDiv w:val="1"/>
      <w:marLeft w:val="0"/>
      <w:marRight w:val="0"/>
      <w:marTop w:val="0"/>
      <w:marBottom w:val="0"/>
      <w:divBdr>
        <w:top w:val="none" w:sz="0" w:space="0" w:color="auto"/>
        <w:left w:val="none" w:sz="0" w:space="0" w:color="auto"/>
        <w:bottom w:val="none" w:sz="0" w:space="0" w:color="auto"/>
        <w:right w:val="none" w:sz="0" w:space="0" w:color="auto"/>
      </w:divBdr>
    </w:div>
    <w:div w:id="732237186">
      <w:bodyDiv w:val="1"/>
      <w:marLeft w:val="0"/>
      <w:marRight w:val="0"/>
      <w:marTop w:val="0"/>
      <w:marBottom w:val="0"/>
      <w:divBdr>
        <w:top w:val="none" w:sz="0" w:space="0" w:color="auto"/>
        <w:left w:val="none" w:sz="0" w:space="0" w:color="auto"/>
        <w:bottom w:val="none" w:sz="0" w:space="0" w:color="auto"/>
        <w:right w:val="none" w:sz="0" w:space="0" w:color="auto"/>
      </w:divBdr>
    </w:div>
    <w:div w:id="835728019">
      <w:bodyDiv w:val="1"/>
      <w:marLeft w:val="0"/>
      <w:marRight w:val="0"/>
      <w:marTop w:val="0"/>
      <w:marBottom w:val="0"/>
      <w:divBdr>
        <w:top w:val="none" w:sz="0" w:space="0" w:color="auto"/>
        <w:left w:val="none" w:sz="0" w:space="0" w:color="auto"/>
        <w:bottom w:val="none" w:sz="0" w:space="0" w:color="auto"/>
        <w:right w:val="none" w:sz="0" w:space="0" w:color="auto"/>
      </w:divBdr>
    </w:div>
    <w:div w:id="1088305939">
      <w:bodyDiv w:val="1"/>
      <w:marLeft w:val="0"/>
      <w:marRight w:val="0"/>
      <w:marTop w:val="0"/>
      <w:marBottom w:val="0"/>
      <w:divBdr>
        <w:top w:val="none" w:sz="0" w:space="0" w:color="auto"/>
        <w:left w:val="none" w:sz="0" w:space="0" w:color="auto"/>
        <w:bottom w:val="none" w:sz="0" w:space="0" w:color="auto"/>
        <w:right w:val="none" w:sz="0" w:space="0" w:color="auto"/>
      </w:divBdr>
    </w:div>
    <w:div w:id="1101216783">
      <w:bodyDiv w:val="1"/>
      <w:marLeft w:val="0"/>
      <w:marRight w:val="0"/>
      <w:marTop w:val="0"/>
      <w:marBottom w:val="0"/>
      <w:divBdr>
        <w:top w:val="none" w:sz="0" w:space="0" w:color="auto"/>
        <w:left w:val="none" w:sz="0" w:space="0" w:color="auto"/>
        <w:bottom w:val="none" w:sz="0" w:space="0" w:color="auto"/>
        <w:right w:val="none" w:sz="0" w:space="0" w:color="auto"/>
      </w:divBdr>
    </w:div>
    <w:div w:id="1159004610">
      <w:bodyDiv w:val="1"/>
      <w:marLeft w:val="0"/>
      <w:marRight w:val="0"/>
      <w:marTop w:val="0"/>
      <w:marBottom w:val="0"/>
      <w:divBdr>
        <w:top w:val="none" w:sz="0" w:space="0" w:color="auto"/>
        <w:left w:val="none" w:sz="0" w:space="0" w:color="auto"/>
        <w:bottom w:val="none" w:sz="0" w:space="0" w:color="auto"/>
        <w:right w:val="none" w:sz="0" w:space="0" w:color="auto"/>
      </w:divBdr>
      <w:divsChild>
        <w:div w:id="412095234">
          <w:marLeft w:val="0"/>
          <w:marRight w:val="0"/>
          <w:marTop w:val="0"/>
          <w:marBottom w:val="120"/>
          <w:divBdr>
            <w:top w:val="none" w:sz="0" w:space="0" w:color="auto"/>
            <w:left w:val="none" w:sz="0" w:space="0" w:color="auto"/>
            <w:bottom w:val="none" w:sz="0" w:space="0" w:color="auto"/>
            <w:right w:val="none" w:sz="0" w:space="0" w:color="auto"/>
          </w:divBdr>
          <w:divsChild>
            <w:div w:id="1612862741">
              <w:marLeft w:val="0"/>
              <w:marRight w:val="0"/>
              <w:marTop w:val="0"/>
              <w:marBottom w:val="0"/>
              <w:divBdr>
                <w:top w:val="none" w:sz="0" w:space="0" w:color="auto"/>
                <w:left w:val="none" w:sz="0" w:space="0" w:color="auto"/>
                <w:bottom w:val="none" w:sz="0" w:space="0" w:color="auto"/>
                <w:right w:val="none" w:sz="0" w:space="0" w:color="auto"/>
              </w:divBdr>
            </w:div>
          </w:divsChild>
        </w:div>
        <w:div w:id="816146682">
          <w:marLeft w:val="0"/>
          <w:marRight w:val="0"/>
          <w:marTop w:val="0"/>
          <w:marBottom w:val="120"/>
          <w:divBdr>
            <w:top w:val="none" w:sz="0" w:space="0" w:color="auto"/>
            <w:left w:val="none" w:sz="0" w:space="0" w:color="auto"/>
            <w:bottom w:val="none" w:sz="0" w:space="0" w:color="auto"/>
            <w:right w:val="none" w:sz="0" w:space="0" w:color="auto"/>
          </w:divBdr>
          <w:divsChild>
            <w:div w:id="139442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86183">
      <w:bodyDiv w:val="1"/>
      <w:marLeft w:val="0"/>
      <w:marRight w:val="0"/>
      <w:marTop w:val="0"/>
      <w:marBottom w:val="0"/>
      <w:divBdr>
        <w:top w:val="none" w:sz="0" w:space="0" w:color="auto"/>
        <w:left w:val="none" w:sz="0" w:space="0" w:color="auto"/>
        <w:bottom w:val="none" w:sz="0" w:space="0" w:color="auto"/>
        <w:right w:val="none" w:sz="0" w:space="0" w:color="auto"/>
      </w:divBdr>
    </w:div>
    <w:div w:id="1273779944">
      <w:bodyDiv w:val="1"/>
      <w:marLeft w:val="0"/>
      <w:marRight w:val="0"/>
      <w:marTop w:val="0"/>
      <w:marBottom w:val="0"/>
      <w:divBdr>
        <w:top w:val="none" w:sz="0" w:space="0" w:color="auto"/>
        <w:left w:val="none" w:sz="0" w:space="0" w:color="auto"/>
        <w:bottom w:val="none" w:sz="0" w:space="0" w:color="auto"/>
        <w:right w:val="none" w:sz="0" w:space="0" w:color="auto"/>
      </w:divBdr>
    </w:div>
    <w:div w:id="1408309747">
      <w:bodyDiv w:val="1"/>
      <w:marLeft w:val="0"/>
      <w:marRight w:val="0"/>
      <w:marTop w:val="0"/>
      <w:marBottom w:val="0"/>
      <w:divBdr>
        <w:top w:val="none" w:sz="0" w:space="0" w:color="auto"/>
        <w:left w:val="none" w:sz="0" w:space="0" w:color="auto"/>
        <w:bottom w:val="none" w:sz="0" w:space="0" w:color="auto"/>
        <w:right w:val="none" w:sz="0" w:space="0" w:color="auto"/>
      </w:divBdr>
    </w:div>
    <w:div w:id="1412266362">
      <w:bodyDiv w:val="1"/>
      <w:marLeft w:val="0"/>
      <w:marRight w:val="0"/>
      <w:marTop w:val="0"/>
      <w:marBottom w:val="0"/>
      <w:divBdr>
        <w:top w:val="none" w:sz="0" w:space="0" w:color="auto"/>
        <w:left w:val="none" w:sz="0" w:space="0" w:color="auto"/>
        <w:bottom w:val="none" w:sz="0" w:space="0" w:color="auto"/>
        <w:right w:val="none" w:sz="0" w:space="0" w:color="auto"/>
      </w:divBdr>
    </w:div>
    <w:div w:id="1415543612">
      <w:bodyDiv w:val="1"/>
      <w:marLeft w:val="0"/>
      <w:marRight w:val="0"/>
      <w:marTop w:val="0"/>
      <w:marBottom w:val="0"/>
      <w:divBdr>
        <w:top w:val="none" w:sz="0" w:space="0" w:color="auto"/>
        <w:left w:val="none" w:sz="0" w:space="0" w:color="auto"/>
        <w:bottom w:val="none" w:sz="0" w:space="0" w:color="auto"/>
        <w:right w:val="none" w:sz="0" w:space="0" w:color="auto"/>
      </w:divBdr>
    </w:div>
    <w:div w:id="1508905317">
      <w:bodyDiv w:val="1"/>
      <w:marLeft w:val="0"/>
      <w:marRight w:val="0"/>
      <w:marTop w:val="0"/>
      <w:marBottom w:val="0"/>
      <w:divBdr>
        <w:top w:val="none" w:sz="0" w:space="0" w:color="auto"/>
        <w:left w:val="none" w:sz="0" w:space="0" w:color="auto"/>
        <w:bottom w:val="none" w:sz="0" w:space="0" w:color="auto"/>
        <w:right w:val="none" w:sz="0" w:space="0" w:color="auto"/>
      </w:divBdr>
    </w:div>
    <w:div w:id="1552616989">
      <w:bodyDiv w:val="1"/>
      <w:marLeft w:val="0"/>
      <w:marRight w:val="0"/>
      <w:marTop w:val="0"/>
      <w:marBottom w:val="0"/>
      <w:divBdr>
        <w:top w:val="none" w:sz="0" w:space="0" w:color="auto"/>
        <w:left w:val="none" w:sz="0" w:space="0" w:color="auto"/>
        <w:bottom w:val="none" w:sz="0" w:space="0" w:color="auto"/>
        <w:right w:val="none" w:sz="0" w:space="0" w:color="auto"/>
      </w:divBdr>
      <w:divsChild>
        <w:div w:id="254438551">
          <w:marLeft w:val="0"/>
          <w:marRight w:val="0"/>
          <w:marTop w:val="0"/>
          <w:marBottom w:val="0"/>
          <w:divBdr>
            <w:top w:val="none" w:sz="0" w:space="0" w:color="auto"/>
            <w:left w:val="none" w:sz="0" w:space="0" w:color="auto"/>
            <w:bottom w:val="none" w:sz="0" w:space="0" w:color="auto"/>
            <w:right w:val="none" w:sz="0" w:space="0" w:color="auto"/>
          </w:divBdr>
        </w:div>
        <w:div w:id="2119251657">
          <w:marLeft w:val="0"/>
          <w:marRight w:val="0"/>
          <w:marTop w:val="0"/>
          <w:marBottom w:val="0"/>
          <w:divBdr>
            <w:top w:val="none" w:sz="0" w:space="0" w:color="auto"/>
            <w:left w:val="none" w:sz="0" w:space="0" w:color="auto"/>
            <w:bottom w:val="none" w:sz="0" w:space="0" w:color="auto"/>
            <w:right w:val="none" w:sz="0" w:space="0" w:color="auto"/>
          </w:divBdr>
        </w:div>
      </w:divsChild>
    </w:div>
    <w:div w:id="1644191754">
      <w:bodyDiv w:val="1"/>
      <w:marLeft w:val="0"/>
      <w:marRight w:val="0"/>
      <w:marTop w:val="0"/>
      <w:marBottom w:val="0"/>
      <w:divBdr>
        <w:top w:val="none" w:sz="0" w:space="0" w:color="auto"/>
        <w:left w:val="none" w:sz="0" w:space="0" w:color="auto"/>
        <w:bottom w:val="none" w:sz="0" w:space="0" w:color="auto"/>
        <w:right w:val="none" w:sz="0" w:space="0" w:color="auto"/>
      </w:divBdr>
    </w:div>
    <w:div w:id="1816676186">
      <w:bodyDiv w:val="1"/>
      <w:marLeft w:val="0"/>
      <w:marRight w:val="0"/>
      <w:marTop w:val="0"/>
      <w:marBottom w:val="0"/>
      <w:divBdr>
        <w:top w:val="none" w:sz="0" w:space="0" w:color="auto"/>
        <w:left w:val="none" w:sz="0" w:space="0" w:color="auto"/>
        <w:bottom w:val="none" w:sz="0" w:space="0" w:color="auto"/>
        <w:right w:val="none" w:sz="0" w:space="0" w:color="auto"/>
      </w:divBdr>
    </w:div>
    <w:div w:id="1891527212">
      <w:bodyDiv w:val="1"/>
      <w:marLeft w:val="0"/>
      <w:marRight w:val="0"/>
      <w:marTop w:val="0"/>
      <w:marBottom w:val="0"/>
      <w:divBdr>
        <w:top w:val="none" w:sz="0" w:space="0" w:color="auto"/>
        <w:left w:val="none" w:sz="0" w:space="0" w:color="auto"/>
        <w:bottom w:val="none" w:sz="0" w:space="0" w:color="auto"/>
        <w:right w:val="none" w:sz="0" w:space="0" w:color="auto"/>
      </w:divBdr>
    </w:div>
    <w:div w:id="1903371421">
      <w:bodyDiv w:val="1"/>
      <w:marLeft w:val="0"/>
      <w:marRight w:val="0"/>
      <w:marTop w:val="0"/>
      <w:marBottom w:val="0"/>
      <w:divBdr>
        <w:top w:val="none" w:sz="0" w:space="0" w:color="auto"/>
        <w:left w:val="none" w:sz="0" w:space="0" w:color="auto"/>
        <w:bottom w:val="none" w:sz="0" w:space="0" w:color="auto"/>
        <w:right w:val="none" w:sz="0" w:space="0" w:color="auto"/>
      </w:divBdr>
    </w:div>
    <w:div w:id="1931430155">
      <w:bodyDiv w:val="1"/>
      <w:marLeft w:val="0"/>
      <w:marRight w:val="0"/>
      <w:marTop w:val="0"/>
      <w:marBottom w:val="0"/>
      <w:divBdr>
        <w:top w:val="none" w:sz="0" w:space="0" w:color="auto"/>
        <w:left w:val="none" w:sz="0" w:space="0" w:color="auto"/>
        <w:bottom w:val="none" w:sz="0" w:space="0" w:color="auto"/>
        <w:right w:val="none" w:sz="0" w:space="0" w:color="auto"/>
      </w:divBdr>
    </w:div>
    <w:div w:id="1968192739">
      <w:bodyDiv w:val="1"/>
      <w:marLeft w:val="0"/>
      <w:marRight w:val="0"/>
      <w:marTop w:val="0"/>
      <w:marBottom w:val="0"/>
      <w:divBdr>
        <w:top w:val="none" w:sz="0" w:space="0" w:color="auto"/>
        <w:left w:val="none" w:sz="0" w:space="0" w:color="auto"/>
        <w:bottom w:val="none" w:sz="0" w:space="0" w:color="auto"/>
        <w:right w:val="none" w:sz="0" w:space="0" w:color="auto"/>
      </w:divBdr>
    </w:div>
    <w:div w:id="203063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30feadd54a954826" Type="http://schemas.microsoft.com/office/2016/09/relationships/commentsIds" Target="commentsIds.xml"/><Relationship Id="rId5" Type="http://schemas.openxmlformats.org/officeDocument/2006/relationships/numbering" Target="numbering.xml"/><Relationship Id="Rc7fe543b8a364492"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1C669-7F87-451B-8217-8625C3434B45}">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2.xml><?xml version="1.0" encoding="utf-8"?>
<ds:datastoreItem xmlns:ds="http://schemas.openxmlformats.org/officeDocument/2006/customXml" ds:itemID="{D4DEC372-CBB8-4B18-A1B5-A94CF7E06840}">
  <ds:schemaRefs>
    <ds:schemaRef ds:uri="http://schemas.microsoft.com/sharepoint/v3/contenttype/forms"/>
  </ds:schemaRefs>
</ds:datastoreItem>
</file>

<file path=customXml/itemProps3.xml><?xml version="1.0" encoding="utf-8"?>
<ds:datastoreItem xmlns:ds="http://schemas.openxmlformats.org/officeDocument/2006/customXml" ds:itemID="{DB5D3457-D23E-4107-8ECD-26DE572CD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0E4182-99C8-4CFC-9497-B936E2812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2708</Words>
  <Characters>15436</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samsung</cp:lastModifiedBy>
  <cp:revision>9</cp:revision>
  <dcterms:created xsi:type="dcterms:W3CDTF">2023-07-05T17:01:00Z</dcterms:created>
  <dcterms:modified xsi:type="dcterms:W3CDTF">2023-09-13T16:11:00Z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57126800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