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0B715616" w14:textId="77777777" w:rsidR="00084C39" w:rsidRPr="00EA711B" w:rsidRDefault="00084C39" w:rsidP="00084C39">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b/>
          <w:sz w:val="20"/>
          <w:szCs w:val="20"/>
          <w:lang w:val="es-419" w:eastAsia="es-ES"/>
        </w:rPr>
        <w:t xml:space="preserve">INEFICACIA TRASLADO DE RÉGIMEN PENSIONAL / DEBER DE INFORMACIÓN DE LAS AFP / </w:t>
      </w:r>
    </w:p>
    <w:p w14:paraId="16002F89" w14:textId="77777777" w:rsidR="00084C39" w:rsidRPr="00EA711B" w:rsidRDefault="00084C39" w:rsidP="00084C39">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sz w:val="20"/>
          <w:szCs w:val="20"/>
          <w:lang w:val="es-419" w:eastAsia="es-ES"/>
        </w:rPr>
        <w:t>En numerosas sentencias del órgano de cierre de la jurisdicción ordinaria laboral, se ha establecido que no puede argüirse que existe una manifestación libre y voluntaria cuando las personas desconocen la incidencia que el traslado de régimen pueda tener frente a sus derechos prestacionales, ni puede estimarse satisfecho tal requisito con una simple expresión genérica o con la suscripción de un formato; de allí que desde el inicio haya correspondido a las Administradoras de Fondos de Pensiones “dar cuenta de que documentaron clara y suficientemente los efectos que acarrea el cambio de régimen, so pena de declarar ineficaz ese tránsito”.</w:t>
      </w:r>
    </w:p>
    <w:p w14:paraId="202C4E53" w14:textId="77777777" w:rsidR="00084C39" w:rsidRPr="00EA711B" w:rsidRDefault="00084C39" w:rsidP="00084C39">
      <w:pPr>
        <w:spacing w:before="0" w:beforeAutospacing="0" w:after="0" w:afterAutospacing="0" w:line="240" w:lineRule="auto"/>
        <w:ind w:firstLine="0"/>
        <w:rPr>
          <w:rFonts w:ascii="Arial" w:eastAsia="Times New Roman" w:hAnsi="Arial" w:cs="Arial"/>
          <w:sz w:val="20"/>
          <w:szCs w:val="20"/>
          <w:lang w:val="es-419" w:eastAsia="es-ES"/>
        </w:rPr>
      </w:pPr>
    </w:p>
    <w:p w14:paraId="5EC5786D" w14:textId="77777777" w:rsidR="00084C39" w:rsidRPr="006814D6" w:rsidRDefault="00084C39" w:rsidP="00084C39">
      <w:pPr>
        <w:spacing w:before="0" w:beforeAutospacing="0" w:after="0" w:afterAutospacing="0" w:line="240" w:lineRule="auto"/>
        <w:ind w:firstLine="0"/>
        <w:rPr>
          <w:rFonts w:ascii="Arial" w:eastAsia="Times New Roman" w:hAnsi="Arial" w:cs="Arial"/>
          <w:b/>
          <w:sz w:val="20"/>
          <w:szCs w:val="20"/>
          <w:lang w:val="es-419" w:eastAsia="es-ES"/>
        </w:rPr>
      </w:pPr>
      <w:r w:rsidRPr="00EA711B">
        <w:rPr>
          <w:rFonts w:ascii="Arial" w:eastAsia="Times New Roman" w:hAnsi="Arial" w:cs="Arial"/>
          <w:b/>
          <w:sz w:val="20"/>
          <w:szCs w:val="20"/>
          <w:lang w:val="es-419" w:eastAsia="es-ES"/>
        </w:rPr>
        <w:t xml:space="preserve">INEFICACIA TRASLADO DE RÉGIMEN PENSIONAL / </w:t>
      </w:r>
      <w:r>
        <w:rPr>
          <w:rFonts w:ascii="Arial" w:eastAsia="Times New Roman" w:hAnsi="Arial" w:cs="Arial"/>
          <w:b/>
          <w:sz w:val="20"/>
          <w:szCs w:val="20"/>
          <w:lang w:val="es-419" w:eastAsia="es-ES"/>
        </w:rPr>
        <w:t>DEBER DE INFORMACIÓN DE LAS AFP</w:t>
      </w:r>
      <w:r w:rsidRPr="006814D6">
        <w:rPr>
          <w:rFonts w:ascii="Arial" w:eastAsia="Times New Roman" w:hAnsi="Arial" w:cs="Arial"/>
          <w:b/>
          <w:sz w:val="20"/>
          <w:szCs w:val="20"/>
          <w:lang w:val="es-419" w:eastAsia="es-ES"/>
        </w:rPr>
        <w:t xml:space="preserve"> / CAR</w:t>
      </w:r>
      <w:r>
        <w:rPr>
          <w:rFonts w:ascii="Arial" w:eastAsia="Times New Roman" w:hAnsi="Arial" w:cs="Arial"/>
          <w:b/>
          <w:sz w:val="20"/>
          <w:szCs w:val="20"/>
          <w:lang w:val="es-419" w:eastAsia="es-ES"/>
        </w:rPr>
        <w:t>GA PROBATORIA</w:t>
      </w:r>
    </w:p>
    <w:p w14:paraId="58A9E93A" w14:textId="77777777" w:rsidR="00084C39" w:rsidRPr="00EA711B" w:rsidRDefault="00084C39" w:rsidP="00084C39">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sz w:val="20"/>
          <w:szCs w:val="20"/>
          <w:lang w:val="es-419" w:eastAsia="es-ES"/>
        </w:rPr>
        <w:t>Con sustento en lo anterior, es evidente que en todos los casos en que un afiliado ponga en cuestión la falta de información veraz, oportuna y completa de las incidencias del cambio del régimen pensional, y bajo tal premisa persiga la ineficacia de su traslado, la defensa de la AFP demandada debe encaminarse a demostrar, bajo los medios probatorios a su alcance, que cumplió con el deber de buen consejo al transmitirle al afiliado toda aquella información que resultaba relevante para que tomara una decisión de tal trascendencia. (…)</w:t>
      </w:r>
      <w:r>
        <w:rPr>
          <w:rFonts w:ascii="Arial" w:eastAsia="Times New Roman" w:hAnsi="Arial" w:cs="Arial"/>
          <w:sz w:val="20"/>
          <w:szCs w:val="20"/>
          <w:lang w:val="es-419" w:eastAsia="es-ES"/>
        </w:rPr>
        <w:t xml:space="preserve"> </w:t>
      </w:r>
      <w:r w:rsidRPr="00EA711B">
        <w:rPr>
          <w:rFonts w:ascii="Arial" w:eastAsia="Times New Roman" w:hAnsi="Arial" w:cs="Arial"/>
          <w:sz w:val="20"/>
          <w:szCs w:val="20"/>
          <w:lang w:val="es-419" w:eastAsia="es-ES"/>
        </w:rPr>
        <w:t>… la carga de la prueba en los procesos de ineficacia de traslado, también se resolvió por la Corte Suprema de Justicia desde la sentencia hito, en la que se expresó que de conformidad al artículo 1604 del Código Civil «la prueba de la diligencia o cuidado incumbe al que ha debido emplearlo” lo que quiere decir que la carga de la prueba recae en el fondo de pensiones.</w:t>
      </w:r>
    </w:p>
    <w:p w14:paraId="09654B09" w14:textId="77777777" w:rsidR="00084C39" w:rsidRPr="00EA711B" w:rsidRDefault="00084C39" w:rsidP="00084C39">
      <w:pPr>
        <w:spacing w:before="0" w:beforeAutospacing="0" w:after="0" w:afterAutospacing="0" w:line="240" w:lineRule="auto"/>
        <w:ind w:firstLine="0"/>
        <w:rPr>
          <w:rFonts w:ascii="Arial" w:eastAsia="Times New Roman" w:hAnsi="Arial" w:cs="Arial"/>
          <w:sz w:val="20"/>
          <w:szCs w:val="20"/>
          <w:lang w:val="es-419" w:eastAsia="es-ES"/>
        </w:rPr>
      </w:pPr>
    </w:p>
    <w:p w14:paraId="0DFC6081" w14:textId="77777777" w:rsidR="00084C39" w:rsidRPr="00EA711B" w:rsidRDefault="00084C39" w:rsidP="00084C39">
      <w:pPr>
        <w:spacing w:before="0" w:beforeAutospacing="0" w:after="0" w:afterAutospacing="0" w:line="240" w:lineRule="auto"/>
        <w:ind w:firstLine="0"/>
        <w:rPr>
          <w:rFonts w:ascii="Arial" w:eastAsia="Times New Roman" w:hAnsi="Arial" w:cs="Arial"/>
          <w:sz w:val="20"/>
          <w:szCs w:val="20"/>
          <w:lang w:val="es-419" w:eastAsia="es-ES"/>
        </w:rPr>
      </w:pPr>
    </w:p>
    <w:p w14:paraId="260EEC3D" w14:textId="77777777" w:rsidR="00084C39" w:rsidRDefault="00084C39" w:rsidP="00084C39">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b/>
          <w:sz w:val="20"/>
          <w:szCs w:val="20"/>
          <w:lang w:val="es-419" w:eastAsia="es-ES"/>
        </w:rPr>
        <w:t>INEFICACIA TRASLADO DE RÉGI</w:t>
      </w:r>
      <w:r w:rsidRPr="006814D6">
        <w:rPr>
          <w:rFonts w:ascii="Arial" w:eastAsia="Times New Roman" w:hAnsi="Arial" w:cs="Arial"/>
          <w:b/>
          <w:sz w:val="20"/>
          <w:szCs w:val="20"/>
          <w:lang w:val="es-419" w:eastAsia="es-ES"/>
        </w:rPr>
        <w:t>MEN PENSIONAL / DEBER DE INFORMACIÓN DE LAS AFP / LO TIENEN DESDE SU CREACIÓN</w:t>
      </w:r>
    </w:p>
    <w:p w14:paraId="25899C8E" w14:textId="77777777" w:rsidR="00084C39" w:rsidRPr="00EA711B" w:rsidRDefault="00084C39" w:rsidP="00084C39">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sz w:val="20"/>
          <w:szCs w:val="20"/>
          <w:lang w:val="es-419" w:eastAsia="es-ES"/>
        </w:rPr>
        <w:t>Ahora bien, como quiera que uno de los argumentos de la defensa de las AFP es que la normatividad del deber de información se ha venido dando paulatinamente, vale la pena citar la sentencia del 8 de mayo de 2019 SL 1688-2019, Radicado 68838, con Ponencia de la Dra. Clara Cecilia Dueñas Quevedo, donde se hace un didáctico recuento histórico de las normas que rigen la actividad de los Fondos de Pensiones privados, dividiéndolo en 3 etapas, de cuyo análisis se llega a la conclusión de que a las AFP les compete, desde su creación, el deber de suministrar una información necesaria y transparente, que con el transcurrir del tiempo esta exigencia cambió, pasando de un deber de información necesaria al de asesoría y buen consejo, y finalmente al de doble asesoría, explicando en qué consiste cada uno de esos conceptos…</w:t>
      </w:r>
    </w:p>
    <w:p w14:paraId="2B47B680" w14:textId="77777777" w:rsidR="00084C39" w:rsidRPr="00EA711B" w:rsidRDefault="00084C39" w:rsidP="00084C39">
      <w:pPr>
        <w:spacing w:before="0" w:beforeAutospacing="0" w:after="0" w:afterAutospacing="0" w:line="240" w:lineRule="auto"/>
        <w:ind w:firstLine="0"/>
        <w:rPr>
          <w:rFonts w:ascii="Arial" w:eastAsia="Times New Roman" w:hAnsi="Arial" w:cs="Arial"/>
          <w:sz w:val="20"/>
          <w:szCs w:val="20"/>
          <w:lang w:val="es-419" w:eastAsia="es-ES"/>
        </w:rPr>
      </w:pPr>
    </w:p>
    <w:p w14:paraId="793107D7" w14:textId="77777777" w:rsidR="00084C39" w:rsidRDefault="00084C39" w:rsidP="00084C39">
      <w:pPr>
        <w:spacing w:before="0" w:beforeAutospacing="0" w:after="0" w:afterAutospacing="0" w:line="240" w:lineRule="auto"/>
        <w:ind w:firstLine="0"/>
        <w:rPr>
          <w:rFonts w:ascii="Arial" w:eastAsia="Times New Roman" w:hAnsi="Arial" w:cs="Arial"/>
          <w:b/>
          <w:sz w:val="20"/>
          <w:szCs w:val="20"/>
          <w:lang w:val="es-419" w:eastAsia="es-ES"/>
        </w:rPr>
      </w:pPr>
      <w:r w:rsidRPr="00EA711B">
        <w:rPr>
          <w:rFonts w:ascii="Arial" w:eastAsia="Times New Roman" w:hAnsi="Arial" w:cs="Arial"/>
          <w:b/>
          <w:sz w:val="20"/>
          <w:szCs w:val="20"/>
          <w:lang w:val="es-419" w:eastAsia="es-ES"/>
        </w:rPr>
        <w:t>INEFICACIA TRASLADO DE RÉGIMEN PENSIONAL</w:t>
      </w:r>
      <w:r>
        <w:rPr>
          <w:rFonts w:ascii="Arial" w:eastAsia="Times New Roman" w:hAnsi="Arial" w:cs="Arial"/>
          <w:b/>
          <w:sz w:val="20"/>
          <w:szCs w:val="20"/>
          <w:lang w:val="es-419" w:eastAsia="es-ES"/>
        </w:rPr>
        <w:t xml:space="preserve"> /</w:t>
      </w:r>
      <w:r w:rsidRPr="00EA711B">
        <w:rPr>
          <w:rFonts w:ascii="Arial" w:eastAsia="Times New Roman" w:hAnsi="Arial" w:cs="Arial"/>
          <w:b/>
          <w:sz w:val="20"/>
          <w:szCs w:val="20"/>
          <w:lang w:val="es-419" w:eastAsia="es-ES"/>
        </w:rPr>
        <w:t xml:space="preserve"> FORMULARIO DE AFILIACIÓN / VALOR PROBATORIO </w:t>
      </w:r>
      <w:r>
        <w:rPr>
          <w:rFonts w:ascii="Arial" w:eastAsia="Times New Roman" w:hAnsi="Arial" w:cs="Arial"/>
          <w:b/>
          <w:sz w:val="20"/>
          <w:szCs w:val="20"/>
          <w:lang w:val="es-419" w:eastAsia="es-ES"/>
        </w:rPr>
        <w:t xml:space="preserve">/ </w:t>
      </w:r>
      <w:r w:rsidRPr="00EA711B">
        <w:rPr>
          <w:rFonts w:ascii="Arial" w:eastAsia="Times New Roman" w:hAnsi="Arial" w:cs="Arial"/>
          <w:b/>
          <w:sz w:val="20"/>
          <w:szCs w:val="20"/>
          <w:lang w:val="es-419" w:eastAsia="es-ES"/>
        </w:rPr>
        <w:t>NO VALIDA POR SÍ SOLO EL TRASLADO</w:t>
      </w:r>
    </w:p>
    <w:p w14:paraId="6906BDE9" w14:textId="77777777" w:rsidR="00084C39" w:rsidRPr="00EA711B" w:rsidRDefault="00084C39" w:rsidP="00084C39">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sz w:val="20"/>
          <w:szCs w:val="20"/>
          <w:lang w:val="es-419" w:eastAsia="es-ES"/>
        </w:rPr>
        <w:t>… los formularios de afiliación a lo sumo acreditan un consentimiento, pero no informado, tal como se expresa a continuación: “… La Sala considera desacertada esta tesis, en la medida que la firma del formulario, al igual que las afirmaciones consignadas en los formatos preimpresos de los fondos de pensiones, tales como «la afiliación se hace libre y voluntaria», «se ha efectuado libre, espontánea y sin presiones» u otro tipo de leyendas de este tipo o aseveraciones, no son suficientes para dar por demostrado el deber de información. A lo sumo, acreditan un consentimiento, pero no informado. (…)”</w:t>
      </w:r>
    </w:p>
    <w:p w14:paraId="42B088C2" w14:textId="77777777" w:rsidR="00084C39" w:rsidRPr="00EA711B" w:rsidRDefault="00084C39" w:rsidP="00084C39">
      <w:pPr>
        <w:spacing w:before="0" w:beforeAutospacing="0" w:after="0" w:afterAutospacing="0" w:line="240" w:lineRule="auto"/>
        <w:ind w:firstLine="0"/>
        <w:rPr>
          <w:rFonts w:ascii="Arial" w:eastAsia="Times New Roman" w:hAnsi="Arial" w:cs="Arial"/>
          <w:sz w:val="20"/>
          <w:szCs w:val="20"/>
          <w:lang w:val="es-419" w:eastAsia="es-ES"/>
        </w:rPr>
      </w:pPr>
    </w:p>
    <w:p w14:paraId="097B50A6" w14:textId="77777777" w:rsidR="00084C39" w:rsidRPr="00A070DD" w:rsidRDefault="00084C39" w:rsidP="00084C39">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lang w:val="es-ES"/>
        </w:rPr>
      </w:pPr>
    </w:p>
    <w:p w14:paraId="5AD19F6F" w14:textId="77777777" w:rsidR="00084C39" w:rsidRPr="00A070DD" w:rsidRDefault="00084C39" w:rsidP="00084C39">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rPr>
      </w:pPr>
    </w:p>
    <w:p w14:paraId="4A99406C" w14:textId="16BB93C9" w:rsidR="00171926" w:rsidRPr="00084C39" w:rsidRDefault="00171926" w:rsidP="00084C39">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szCs w:val="18"/>
        </w:rPr>
      </w:pPr>
      <w:r w:rsidRPr="00084C39">
        <w:rPr>
          <w:rFonts w:ascii="Arial" w:hAnsi="Arial" w:cs="Arial"/>
          <w:color w:val="000000"/>
          <w:sz w:val="20"/>
          <w:szCs w:val="18"/>
        </w:rPr>
        <w:t>Radicación No.:</w:t>
      </w:r>
      <w:r w:rsidR="00084C39">
        <w:rPr>
          <w:rFonts w:ascii="Arial" w:hAnsi="Arial" w:cs="Arial"/>
          <w:color w:val="000000"/>
          <w:sz w:val="20"/>
          <w:szCs w:val="18"/>
        </w:rPr>
        <w:t xml:space="preserve"> </w:t>
      </w:r>
      <w:r w:rsidRPr="00084C39">
        <w:rPr>
          <w:rFonts w:ascii="Arial" w:hAnsi="Arial" w:cs="Arial"/>
          <w:color w:val="000000"/>
          <w:sz w:val="20"/>
          <w:szCs w:val="18"/>
        </w:rPr>
        <w:t>6600131</w:t>
      </w:r>
      <w:r w:rsidR="00710B30" w:rsidRPr="00084C39">
        <w:rPr>
          <w:rFonts w:ascii="Arial" w:hAnsi="Arial" w:cs="Arial"/>
          <w:color w:val="000000"/>
          <w:sz w:val="20"/>
          <w:szCs w:val="18"/>
        </w:rPr>
        <w:t>05</w:t>
      </w:r>
      <w:r w:rsidRPr="00084C39">
        <w:rPr>
          <w:rFonts w:ascii="Arial" w:hAnsi="Arial" w:cs="Arial"/>
          <w:color w:val="000000"/>
          <w:sz w:val="20"/>
          <w:szCs w:val="18"/>
        </w:rPr>
        <w:t>00</w:t>
      </w:r>
      <w:r w:rsidR="00710B30" w:rsidRPr="00084C39">
        <w:rPr>
          <w:rFonts w:ascii="Arial" w:hAnsi="Arial" w:cs="Arial"/>
          <w:color w:val="000000"/>
          <w:sz w:val="20"/>
          <w:szCs w:val="18"/>
        </w:rPr>
        <w:t>1</w:t>
      </w:r>
      <w:r w:rsidRPr="00084C39">
        <w:rPr>
          <w:rFonts w:ascii="Arial" w:hAnsi="Arial" w:cs="Arial"/>
          <w:color w:val="000000"/>
          <w:sz w:val="20"/>
          <w:szCs w:val="18"/>
        </w:rPr>
        <w:t>20</w:t>
      </w:r>
      <w:r w:rsidR="004303F5" w:rsidRPr="00084C39">
        <w:rPr>
          <w:rFonts w:ascii="Arial" w:hAnsi="Arial" w:cs="Arial"/>
          <w:color w:val="000000"/>
          <w:sz w:val="20"/>
          <w:szCs w:val="18"/>
        </w:rPr>
        <w:t>2</w:t>
      </w:r>
      <w:r w:rsidR="00710B30" w:rsidRPr="00084C39">
        <w:rPr>
          <w:rFonts w:ascii="Arial" w:hAnsi="Arial" w:cs="Arial"/>
          <w:color w:val="000000"/>
          <w:sz w:val="20"/>
          <w:szCs w:val="18"/>
        </w:rPr>
        <w:t>0</w:t>
      </w:r>
      <w:r w:rsidRPr="00084C39">
        <w:rPr>
          <w:rFonts w:ascii="Arial" w:hAnsi="Arial" w:cs="Arial"/>
          <w:color w:val="000000"/>
          <w:sz w:val="20"/>
          <w:szCs w:val="18"/>
        </w:rPr>
        <w:t>0</w:t>
      </w:r>
      <w:r w:rsidR="00710B30" w:rsidRPr="00084C39">
        <w:rPr>
          <w:rFonts w:ascii="Arial" w:hAnsi="Arial" w:cs="Arial"/>
          <w:color w:val="000000"/>
          <w:sz w:val="20"/>
          <w:szCs w:val="18"/>
        </w:rPr>
        <w:t>0240</w:t>
      </w:r>
      <w:r w:rsidRPr="00084C39">
        <w:rPr>
          <w:rFonts w:ascii="Arial" w:hAnsi="Arial" w:cs="Arial"/>
          <w:color w:val="000000"/>
          <w:sz w:val="20"/>
          <w:szCs w:val="18"/>
        </w:rPr>
        <w:t>01</w:t>
      </w:r>
    </w:p>
    <w:p w14:paraId="744944F3" w14:textId="35213BE5" w:rsidR="00171926" w:rsidRPr="00084C39" w:rsidRDefault="00171926" w:rsidP="00084C39">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szCs w:val="18"/>
        </w:rPr>
      </w:pPr>
      <w:r w:rsidRPr="00084C39">
        <w:rPr>
          <w:rFonts w:ascii="Arial" w:hAnsi="Arial" w:cs="Arial"/>
          <w:color w:val="000000"/>
          <w:sz w:val="20"/>
          <w:szCs w:val="18"/>
        </w:rPr>
        <w:t>Proceso:</w:t>
      </w:r>
      <w:r w:rsidR="00414CC1" w:rsidRPr="00084C39">
        <w:rPr>
          <w:rFonts w:ascii="Arial" w:hAnsi="Arial" w:cs="Arial"/>
          <w:color w:val="000000"/>
          <w:sz w:val="20"/>
          <w:szCs w:val="18"/>
        </w:rPr>
        <w:tab/>
      </w:r>
      <w:r w:rsidR="00084C39">
        <w:rPr>
          <w:rFonts w:ascii="Arial" w:hAnsi="Arial" w:cs="Arial"/>
          <w:color w:val="000000"/>
          <w:sz w:val="20"/>
          <w:szCs w:val="18"/>
        </w:rPr>
        <w:t xml:space="preserve"> </w:t>
      </w:r>
      <w:r w:rsidRPr="00084C39">
        <w:rPr>
          <w:rFonts w:ascii="Arial" w:hAnsi="Arial" w:cs="Arial"/>
          <w:color w:val="000000"/>
          <w:sz w:val="20"/>
          <w:szCs w:val="18"/>
        </w:rPr>
        <w:t xml:space="preserve">Ordinario Laboral </w:t>
      </w:r>
    </w:p>
    <w:p w14:paraId="39E716B0" w14:textId="57038AAB" w:rsidR="00171926" w:rsidRPr="00084C39" w:rsidRDefault="00171926" w:rsidP="00084C39">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szCs w:val="18"/>
        </w:rPr>
      </w:pPr>
      <w:r w:rsidRPr="00084C39">
        <w:rPr>
          <w:rFonts w:ascii="Arial" w:hAnsi="Arial" w:cs="Arial"/>
          <w:color w:val="000000"/>
          <w:sz w:val="20"/>
          <w:szCs w:val="18"/>
        </w:rPr>
        <w:t>Demandante:</w:t>
      </w:r>
      <w:r w:rsidR="00414CC1" w:rsidRPr="00084C39">
        <w:rPr>
          <w:rFonts w:ascii="Arial" w:hAnsi="Arial" w:cs="Arial"/>
          <w:color w:val="000000"/>
          <w:sz w:val="20"/>
          <w:szCs w:val="18"/>
        </w:rPr>
        <w:tab/>
      </w:r>
      <w:r w:rsidR="00084C39">
        <w:rPr>
          <w:rFonts w:ascii="Arial" w:hAnsi="Arial" w:cs="Arial"/>
          <w:color w:val="000000"/>
          <w:sz w:val="20"/>
          <w:szCs w:val="18"/>
        </w:rPr>
        <w:t xml:space="preserve"> </w:t>
      </w:r>
      <w:r w:rsidR="00710B30" w:rsidRPr="00084C39">
        <w:rPr>
          <w:rFonts w:ascii="Arial" w:hAnsi="Arial" w:cs="Arial"/>
          <w:color w:val="000000"/>
          <w:sz w:val="20"/>
          <w:szCs w:val="18"/>
        </w:rPr>
        <w:t>Gloria Cecilia Mazo Mazo</w:t>
      </w:r>
    </w:p>
    <w:p w14:paraId="715E33E1" w14:textId="1643A713" w:rsidR="00171926" w:rsidRPr="00084C39" w:rsidRDefault="00171926" w:rsidP="00084C39">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szCs w:val="18"/>
        </w:rPr>
      </w:pPr>
      <w:r w:rsidRPr="00084C39">
        <w:rPr>
          <w:rFonts w:ascii="Arial" w:hAnsi="Arial" w:cs="Arial"/>
          <w:color w:val="000000"/>
          <w:sz w:val="20"/>
          <w:szCs w:val="18"/>
        </w:rPr>
        <w:t>Demandado:</w:t>
      </w:r>
      <w:r w:rsidR="00414CC1" w:rsidRPr="00084C39">
        <w:rPr>
          <w:rFonts w:ascii="Arial" w:hAnsi="Arial" w:cs="Arial"/>
          <w:color w:val="000000"/>
          <w:sz w:val="20"/>
          <w:szCs w:val="18"/>
        </w:rPr>
        <w:tab/>
      </w:r>
      <w:r w:rsidR="00084C39">
        <w:rPr>
          <w:rFonts w:ascii="Arial" w:hAnsi="Arial" w:cs="Arial"/>
          <w:color w:val="000000"/>
          <w:sz w:val="20"/>
          <w:szCs w:val="18"/>
        </w:rPr>
        <w:t xml:space="preserve"> </w:t>
      </w:r>
      <w:r w:rsidRPr="00084C39">
        <w:rPr>
          <w:rFonts w:ascii="Arial" w:hAnsi="Arial" w:cs="Arial"/>
          <w:color w:val="000000"/>
          <w:sz w:val="20"/>
          <w:szCs w:val="18"/>
        </w:rPr>
        <w:t xml:space="preserve">Colpensiones </w:t>
      </w:r>
      <w:r w:rsidR="00243120" w:rsidRPr="00084C39">
        <w:rPr>
          <w:rFonts w:ascii="Arial" w:hAnsi="Arial" w:cs="Arial"/>
          <w:color w:val="000000"/>
          <w:sz w:val="20"/>
          <w:szCs w:val="18"/>
        </w:rPr>
        <w:t xml:space="preserve">y </w:t>
      </w:r>
      <w:r w:rsidR="00710B30" w:rsidRPr="00084C39">
        <w:rPr>
          <w:rFonts w:ascii="Arial" w:hAnsi="Arial" w:cs="Arial"/>
          <w:color w:val="000000"/>
          <w:sz w:val="20"/>
          <w:szCs w:val="18"/>
        </w:rPr>
        <w:t>Porvenir</w:t>
      </w:r>
      <w:r w:rsidR="00243120" w:rsidRPr="00084C39">
        <w:rPr>
          <w:rFonts w:ascii="Arial" w:hAnsi="Arial" w:cs="Arial"/>
          <w:color w:val="000000"/>
          <w:sz w:val="20"/>
          <w:szCs w:val="18"/>
        </w:rPr>
        <w:t xml:space="preserve"> S.A</w:t>
      </w:r>
    </w:p>
    <w:p w14:paraId="45F925B1" w14:textId="3C6D34AE" w:rsidR="00171926" w:rsidRPr="00084C39" w:rsidRDefault="00171926" w:rsidP="00084C39">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szCs w:val="18"/>
        </w:rPr>
      </w:pPr>
      <w:r w:rsidRPr="00084C39">
        <w:rPr>
          <w:rFonts w:ascii="Arial" w:hAnsi="Arial" w:cs="Arial"/>
          <w:color w:val="000000"/>
          <w:sz w:val="20"/>
          <w:szCs w:val="18"/>
        </w:rPr>
        <w:t>Juzgado:</w:t>
      </w:r>
      <w:r w:rsidR="00414CC1" w:rsidRPr="00084C39">
        <w:rPr>
          <w:rFonts w:ascii="Arial" w:hAnsi="Arial" w:cs="Arial"/>
          <w:color w:val="000000"/>
          <w:sz w:val="20"/>
          <w:szCs w:val="18"/>
        </w:rPr>
        <w:tab/>
      </w:r>
      <w:r w:rsidR="00084C39">
        <w:rPr>
          <w:rFonts w:ascii="Arial" w:hAnsi="Arial" w:cs="Arial"/>
          <w:color w:val="000000"/>
          <w:sz w:val="20"/>
          <w:szCs w:val="18"/>
        </w:rPr>
        <w:t xml:space="preserve"> </w:t>
      </w:r>
      <w:r w:rsidR="00710B30" w:rsidRPr="00084C39">
        <w:rPr>
          <w:rFonts w:ascii="Arial" w:hAnsi="Arial" w:cs="Arial"/>
          <w:color w:val="000000"/>
          <w:sz w:val="20"/>
          <w:szCs w:val="18"/>
        </w:rPr>
        <w:t>Primero</w:t>
      </w:r>
      <w:r w:rsidRPr="00084C39">
        <w:rPr>
          <w:rFonts w:ascii="Arial" w:hAnsi="Arial" w:cs="Arial"/>
          <w:color w:val="000000"/>
          <w:sz w:val="20"/>
          <w:szCs w:val="18"/>
        </w:rPr>
        <w:t xml:space="preserve"> Laboral del Circuito de Pereira</w:t>
      </w:r>
    </w:p>
    <w:p w14:paraId="7CB426B1" w14:textId="1EF1FDC3" w:rsidR="003B6848" w:rsidRPr="00084C39" w:rsidRDefault="003B6848" w:rsidP="00084C39">
      <w:pPr>
        <w:spacing w:before="0" w:beforeAutospacing="0" w:after="0" w:afterAutospacing="0" w:line="240" w:lineRule="auto"/>
        <w:ind w:firstLine="0"/>
        <w:rPr>
          <w:rFonts w:ascii="Arial" w:hAnsi="Arial" w:cs="Arial"/>
          <w:color w:val="000000"/>
          <w:sz w:val="20"/>
          <w:szCs w:val="18"/>
        </w:rPr>
      </w:pPr>
    </w:p>
    <w:p w14:paraId="44A0DC82" w14:textId="77777777" w:rsidR="00171926" w:rsidRPr="00084C39" w:rsidRDefault="00171926" w:rsidP="00084C39">
      <w:pPr>
        <w:spacing w:before="0" w:beforeAutospacing="0" w:after="0" w:afterAutospacing="0" w:line="240" w:lineRule="auto"/>
        <w:ind w:firstLine="0"/>
        <w:rPr>
          <w:rFonts w:ascii="Arial" w:eastAsia="Times New Roman" w:hAnsi="Arial" w:cs="Arial"/>
          <w:sz w:val="22"/>
          <w:szCs w:val="20"/>
          <w:lang w:val="es-419" w:eastAsia="es-ES"/>
        </w:rPr>
      </w:pPr>
    </w:p>
    <w:p w14:paraId="2F3A480E" w14:textId="77777777" w:rsidR="00151506" w:rsidRPr="00084C39" w:rsidRDefault="00151506" w:rsidP="00084C39">
      <w:pPr>
        <w:spacing w:before="0" w:beforeAutospacing="0" w:after="0" w:afterAutospacing="0" w:line="240" w:lineRule="auto"/>
        <w:ind w:firstLine="0"/>
        <w:rPr>
          <w:rFonts w:ascii="Arial" w:eastAsia="Times New Roman" w:hAnsi="Arial" w:cs="Arial"/>
          <w:sz w:val="22"/>
          <w:szCs w:val="20"/>
          <w:lang w:val="es-ES" w:eastAsia="es-ES"/>
        </w:rPr>
      </w:pPr>
    </w:p>
    <w:p w14:paraId="1B48FCCC" w14:textId="77777777" w:rsidR="003B6848" w:rsidRPr="00414CC1" w:rsidRDefault="003B6848" w:rsidP="00414CC1">
      <w:pPr>
        <w:pStyle w:val="Ttulo4"/>
        <w:widowControl w:val="0"/>
        <w:tabs>
          <w:tab w:val="clear" w:pos="0"/>
        </w:tabs>
        <w:spacing w:line="276" w:lineRule="auto"/>
        <w:ind w:right="49"/>
        <w:contextualSpacing/>
        <w:rPr>
          <w:rFonts w:ascii="Tahoma" w:hAnsi="Tahoma" w:cs="Tahoma"/>
          <w:bCs/>
          <w:szCs w:val="24"/>
          <w:lang w:eastAsia="es-MX"/>
        </w:rPr>
      </w:pPr>
      <w:bookmarkStart w:id="0" w:name="_Hlk89346566"/>
      <w:r w:rsidRPr="00414CC1">
        <w:rPr>
          <w:rFonts w:ascii="Tahoma" w:hAnsi="Tahoma" w:cs="Tahoma"/>
          <w:bCs/>
          <w:szCs w:val="24"/>
          <w:lang w:eastAsia="es-MX"/>
        </w:rPr>
        <w:t>TRIBUNAL SUPERIOR DEL DISTRITO JUDICIAL DE PEREIRA</w:t>
      </w:r>
    </w:p>
    <w:p w14:paraId="5A16DD1F" w14:textId="5F655AE0" w:rsidR="003B6848" w:rsidRPr="00414CC1" w:rsidRDefault="003B6848" w:rsidP="00414CC1">
      <w:pPr>
        <w:pStyle w:val="Ttulo4"/>
        <w:widowControl w:val="0"/>
        <w:tabs>
          <w:tab w:val="clear" w:pos="0"/>
        </w:tabs>
        <w:spacing w:line="276" w:lineRule="auto"/>
        <w:ind w:right="49"/>
        <w:contextualSpacing/>
        <w:rPr>
          <w:rFonts w:ascii="Tahoma" w:hAnsi="Tahoma" w:cs="Tahoma"/>
          <w:bCs/>
          <w:szCs w:val="24"/>
          <w:lang w:eastAsia="es-MX"/>
        </w:rPr>
      </w:pPr>
      <w:r w:rsidRPr="00414CC1">
        <w:rPr>
          <w:rFonts w:ascii="Tahoma" w:hAnsi="Tahoma" w:cs="Tahoma"/>
          <w:bCs/>
          <w:szCs w:val="24"/>
          <w:lang w:eastAsia="es-MX"/>
        </w:rPr>
        <w:t>SALA PRIMERA DE DECISION LABORAL</w:t>
      </w:r>
    </w:p>
    <w:p w14:paraId="1EA4F8CA" w14:textId="77777777" w:rsidR="000A7489" w:rsidRPr="00414CC1" w:rsidRDefault="000A7489" w:rsidP="00414CC1">
      <w:pPr>
        <w:spacing w:before="0" w:beforeAutospacing="0" w:after="0" w:afterAutospacing="0" w:line="276" w:lineRule="auto"/>
        <w:ind w:right="49" w:firstLine="0"/>
        <w:contextualSpacing/>
        <w:jc w:val="center"/>
        <w:rPr>
          <w:rFonts w:ascii="Tahoma" w:hAnsi="Tahoma" w:cs="Tahoma"/>
          <w:bCs/>
        </w:rPr>
      </w:pPr>
    </w:p>
    <w:p w14:paraId="0DC08CD0" w14:textId="4E5C3C62" w:rsidR="003B6848" w:rsidRPr="00414CC1" w:rsidRDefault="003B6848" w:rsidP="00414CC1">
      <w:pPr>
        <w:spacing w:before="0" w:beforeAutospacing="0" w:after="0" w:afterAutospacing="0" w:line="276" w:lineRule="auto"/>
        <w:ind w:right="49" w:firstLine="0"/>
        <w:contextualSpacing/>
        <w:jc w:val="center"/>
        <w:textAlignment w:val="baseline"/>
        <w:rPr>
          <w:rFonts w:ascii="Tahoma" w:eastAsia="Times New Roman" w:hAnsi="Tahoma" w:cs="Tahoma"/>
          <w:lang w:eastAsia="es-CO"/>
        </w:rPr>
      </w:pPr>
      <w:r w:rsidRPr="00414CC1">
        <w:rPr>
          <w:rFonts w:ascii="Tahoma" w:eastAsia="Times New Roman" w:hAnsi="Tahoma" w:cs="Tahoma"/>
          <w:lang w:eastAsia="es-CO"/>
        </w:rPr>
        <w:t>Magistrada Ponente: </w:t>
      </w:r>
      <w:r w:rsidRPr="00414CC1">
        <w:rPr>
          <w:rFonts w:ascii="Tahoma" w:eastAsia="Times New Roman" w:hAnsi="Tahoma" w:cs="Tahoma"/>
          <w:b/>
          <w:bCs/>
          <w:lang w:eastAsia="es-CO"/>
        </w:rPr>
        <w:t>Ana Lucía Caicedo Calderón</w:t>
      </w:r>
    </w:p>
    <w:bookmarkEnd w:id="0"/>
    <w:p w14:paraId="3347551F" w14:textId="77777777" w:rsidR="00182F44" w:rsidRPr="00414CC1" w:rsidRDefault="00182F44" w:rsidP="00414CC1">
      <w:pPr>
        <w:spacing w:before="0" w:beforeAutospacing="0" w:after="0" w:afterAutospacing="0" w:line="276" w:lineRule="auto"/>
        <w:ind w:right="49" w:firstLine="0"/>
        <w:contextualSpacing/>
        <w:jc w:val="center"/>
        <w:textAlignment w:val="baseline"/>
        <w:rPr>
          <w:rFonts w:ascii="Tahoma" w:eastAsia="Times New Roman" w:hAnsi="Tahoma" w:cs="Tahoma"/>
          <w:lang w:eastAsia="es-CO"/>
        </w:rPr>
      </w:pPr>
    </w:p>
    <w:p w14:paraId="0439924E" w14:textId="38E0CA3F" w:rsidR="4DE13620" w:rsidRPr="00414CC1" w:rsidRDefault="4DE13620" w:rsidP="00414CC1">
      <w:pPr>
        <w:spacing w:before="0" w:beforeAutospacing="0" w:after="0" w:afterAutospacing="0" w:line="276" w:lineRule="auto"/>
        <w:jc w:val="center"/>
        <w:rPr>
          <w:rFonts w:ascii="Tahoma" w:hAnsi="Tahoma" w:cs="Tahoma"/>
        </w:rPr>
      </w:pPr>
      <w:r w:rsidRPr="00414CC1">
        <w:rPr>
          <w:rFonts w:ascii="Tahoma" w:eastAsia="Tahoma" w:hAnsi="Tahoma" w:cs="Tahoma"/>
          <w:lang w:val="es"/>
        </w:rPr>
        <w:t>Pereira, Risaralda, veinticuatro (24) de julio de dos mil veintitrés (2023)</w:t>
      </w:r>
    </w:p>
    <w:p w14:paraId="51BE6E7D" w14:textId="61A01499" w:rsidR="4DE13620" w:rsidRPr="00414CC1" w:rsidRDefault="4DE13620" w:rsidP="00414CC1">
      <w:pPr>
        <w:spacing w:before="0" w:beforeAutospacing="0" w:after="0" w:afterAutospacing="0" w:line="276" w:lineRule="auto"/>
        <w:jc w:val="center"/>
        <w:rPr>
          <w:rFonts w:ascii="Tahoma" w:eastAsia="Tahoma" w:hAnsi="Tahoma" w:cs="Tahoma"/>
          <w:lang w:val="es"/>
        </w:rPr>
      </w:pPr>
      <w:r w:rsidRPr="00414CC1">
        <w:rPr>
          <w:rFonts w:ascii="Tahoma" w:eastAsia="Tahoma" w:hAnsi="Tahoma" w:cs="Tahoma"/>
          <w:lang w:val="es"/>
        </w:rPr>
        <w:t>Acta No.</w:t>
      </w:r>
      <w:r w:rsidR="75E27651" w:rsidRPr="00414CC1">
        <w:rPr>
          <w:rFonts w:ascii="Tahoma" w:eastAsia="Tahoma" w:hAnsi="Tahoma" w:cs="Tahoma"/>
          <w:lang w:val="es"/>
        </w:rPr>
        <w:t xml:space="preserve"> 115</w:t>
      </w:r>
      <w:r w:rsidRPr="00414CC1">
        <w:rPr>
          <w:rFonts w:ascii="Tahoma" w:eastAsia="Tahoma" w:hAnsi="Tahoma" w:cs="Tahoma"/>
          <w:lang w:val="es"/>
        </w:rPr>
        <w:t xml:space="preserve"> del 24 de julio de 2023</w:t>
      </w:r>
    </w:p>
    <w:p w14:paraId="4D47DCFA" w14:textId="77777777" w:rsidR="00151506" w:rsidRPr="00414CC1" w:rsidRDefault="00151506" w:rsidP="00414CC1">
      <w:pPr>
        <w:spacing w:before="0" w:beforeAutospacing="0" w:after="0" w:afterAutospacing="0" w:line="276" w:lineRule="auto"/>
        <w:contextualSpacing/>
        <w:jc w:val="center"/>
        <w:rPr>
          <w:rFonts w:ascii="Tahoma" w:hAnsi="Tahoma" w:cs="Tahoma"/>
          <w:b/>
        </w:rPr>
      </w:pPr>
    </w:p>
    <w:p w14:paraId="4AC3CC0A" w14:textId="4064E2DB" w:rsidR="00CC7065" w:rsidRPr="00414CC1" w:rsidRDefault="00C113E7" w:rsidP="00414CC1">
      <w:pPr>
        <w:spacing w:before="0" w:beforeAutospacing="0" w:after="0" w:afterAutospacing="0" w:line="276" w:lineRule="auto"/>
        <w:ind w:firstLine="708"/>
        <w:contextualSpacing/>
        <w:rPr>
          <w:rFonts w:ascii="Tahoma" w:hAnsi="Tahoma" w:cs="Tahoma"/>
          <w:b/>
        </w:rPr>
      </w:pPr>
      <w:r w:rsidRPr="00414CC1">
        <w:rPr>
          <w:rFonts w:ascii="Tahoma" w:hAnsi="Tahoma" w:cs="Tahoma"/>
          <w:lang w:val="es-ES"/>
        </w:rPr>
        <w:t>Teniendo en cuenta que el artículo 1</w:t>
      </w:r>
      <w:r w:rsidR="00154DEE" w:rsidRPr="00414CC1">
        <w:rPr>
          <w:rFonts w:ascii="Tahoma" w:hAnsi="Tahoma" w:cs="Tahoma"/>
          <w:lang w:val="es-ES"/>
        </w:rPr>
        <w:t xml:space="preserve">3 </w:t>
      </w:r>
      <w:r w:rsidRPr="00414CC1">
        <w:rPr>
          <w:rFonts w:ascii="Tahoma" w:hAnsi="Tahoma" w:cs="Tahoma"/>
          <w:lang w:val="es-ES"/>
        </w:rPr>
        <w:t>de la Ley 2213 del 13 de junio de 2022</w:t>
      </w:r>
      <w:r w:rsidR="000A7489" w:rsidRPr="00414CC1">
        <w:rPr>
          <w:rFonts w:ascii="Tahoma" w:hAnsi="Tahoma" w:cs="Tahoma"/>
        </w:rPr>
        <w:t xml:space="preserve">, </w:t>
      </w:r>
      <w:r w:rsidR="003B6848" w:rsidRPr="00414CC1">
        <w:rPr>
          <w:rFonts w:ascii="Tahoma" w:hAnsi="Tahoma" w:cs="Tahoma"/>
        </w:rPr>
        <w:t>estableció que en la</w:t>
      </w:r>
      <w:r w:rsidR="00E60AFE" w:rsidRPr="00414CC1">
        <w:rPr>
          <w:rFonts w:ascii="Tahoma" w:hAnsi="Tahoma" w:cs="Tahoma"/>
        </w:rPr>
        <w:t xml:space="preserve"> </w:t>
      </w:r>
      <w:r w:rsidR="003B6848" w:rsidRPr="00414CC1">
        <w:rPr>
          <w:rFonts w:ascii="Tahoma" w:hAnsi="Tahoma" w:cs="Tahoma"/>
        </w:rPr>
        <w:t>especialidad laboral se proferirán por escrito las providencias de</w:t>
      </w:r>
      <w:r w:rsidR="00E60AFE" w:rsidRPr="00414CC1">
        <w:rPr>
          <w:rFonts w:ascii="Tahoma" w:hAnsi="Tahoma" w:cs="Tahoma"/>
        </w:rPr>
        <w:t xml:space="preserve"> </w:t>
      </w:r>
      <w:r w:rsidR="003B6848" w:rsidRPr="00414CC1">
        <w:rPr>
          <w:rFonts w:ascii="Tahoma" w:hAnsi="Tahoma" w:cs="Tahoma"/>
        </w:rPr>
        <w:lastRenderedPageBreak/>
        <w:t>segunda</w:t>
      </w:r>
      <w:r w:rsidR="00E60AFE" w:rsidRPr="00414CC1">
        <w:rPr>
          <w:rFonts w:ascii="Tahoma" w:hAnsi="Tahoma" w:cs="Tahoma"/>
        </w:rPr>
        <w:t xml:space="preserve"> </w:t>
      </w:r>
      <w:r w:rsidR="003B6848" w:rsidRPr="00414CC1">
        <w:rPr>
          <w:rFonts w:ascii="Tahoma" w:hAnsi="Tahoma" w:cs="Tahoma"/>
        </w:rPr>
        <w:t>instancia</w:t>
      </w:r>
      <w:r w:rsidR="00E60AFE" w:rsidRPr="00414CC1">
        <w:rPr>
          <w:rFonts w:ascii="Tahoma" w:hAnsi="Tahoma" w:cs="Tahoma"/>
        </w:rPr>
        <w:t xml:space="preserve"> </w:t>
      </w:r>
      <w:r w:rsidR="003B6848" w:rsidRPr="00414CC1">
        <w:rPr>
          <w:rFonts w:ascii="Tahoma" w:hAnsi="Tahoma" w:cs="Tahoma"/>
        </w:rPr>
        <w:t>en las que se surta el grado jurisdiccional de consulta o se resuelva el recurso de</w:t>
      </w:r>
      <w:r w:rsidR="00E60AFE" w:rsidRPr="00414CC1">
        <w:rPr>
          <w:rFonts w:ascii="Tahoma" w:hAnsi="Tahoma" w:cs="Tahoma"/>
        </w:rPr>
        <w:t xml:space="preserve"> </w:t>
      </w:r>
      <w:r w:rsidR="003B6848" w:rsidRPr="00414CC1">
        <w:rPr>
          <w:rFonts w:ascii="Tahoma" w:hAnsi="Tahoma" w:cs="Tahoma"/>
        </w:rPr>
        <w:t>apelación de autos o sentencias, la Sala de Decisión Laboral</w:t>
      </w:r>
      <w:r w:rsidR="00617E08" w:rsidRPr="00414CC1">
        <w:rPr>
          <w:rFonts w:ascii="Tahoma" w:hAnsi="Tahoma" w:cs="Tahoma"/>
        </w:rPr>
        <w:t xml:space="preserve"> del Tribunal Superior de Pereira, </w:t>
      </w:r>
      <w:r w:rsidR="003B6848" w:rsidRPr="00414CC1">
        <w:rPr>
          <w:rFonts w:ascii="Tahoma" w:hAnsi="Tahoma" w:cs="Tahoma"/>
        </w:rPr>
        <w:t>integrada por las</w:t>
      </w:r>
      <w:r w:rsidR="00510D63" w:rsidRPr="00414CC1">
        <w:rPr>
          <w:rFonts w:ascii="Tahoma" w:hAnsi="Tahoma" w:cs="Tahoma"/>
        </w:rPr>
        <w:t xml:space="preserve"> </w:t>
      </w:r>
      <w:r w:rsidR="003B6848" w:rsidRPr="00414CC1">
        <w:rPr>
          <w:rFonts w:ascii="Tahoma" w:hAnsi="Tahoma" w:cs="Tahoma"/>
        </w:rPr>
        <w:t>Magistradas ANA LUCÍA CAICEDO CALDERÓN</w:t>
      </w:r>
      <w:r w:rsidR="00617E08" w:rsidRPr="00414CC1">
        <w:rPr>
          <w:rFonts w:ascii="Tahoma" w:hAnsi="Tahoma" w:cs="Tahoma"/>
        </w:rPr>
        <w:t>,</w:t>
      </w:r>
      <w:r w:rsidR="003B6848" w:rsidRPr="00414CC1">
        <w:rPr>
          <w:rFonts w:ascii="Tahoma" w:hAnsi="Tahoma" w:cs="Tahoma"/>
        </w:rPr>
        <w:t xml:space="preserve"> como </w:t>
      </w:r>
      <w:r w:rsidR="00617E08" w:rsidRPr="00414CC1">
        <w:rPr>
          <w:rFonts w:ascii="Tahoma" w:hAnsi="Tahoma" w:cs="Tahoma"/>
        </w:rPr>
        <w:t>p</w:t>
      </w:r>
      <w:r w:rsidR="003B6848" w:rsidRPr="00414CC1">
        <w:rPr>
          <w:rFonts w:ascii="Tahoma" w:hAnsi="Tahoma" w:cs="Tahoma"/>
        </w:rPr>
        <w:t xml:space="preserve">onente, </w:t>
      </w:r>
      <w:r w:rsidR="00617E08" w:rsidRPr="00414CC1">
        <w:rPr>
          <w:rFonts w:ascii="Tahoma" w:hAnsi="Tahoma" w:cs="Tahoma"/>
        </w:rPr>
        <w:t xml:space="preserve">y </w:t>
      </w:r>
      <w:r w:rsidR="003B6848" w:rsidRPr="00414CC1">
        <w:rPr>
          <w:rFonts w:ascii="Tahoma" w:hAnsi="Tahoma" w:cs="Tahoma"/>
        </w:rPr>
        <w:t>OLGA LUCÍA HOYOS</w:t>
      </w:r>
      <w:r w:rsidR="00510D63" w:rsidRPr="00414CC1">
        <w:rPr>
          <w:rFonts w:ascii="Tahoma" w:hAnsi="Tahoma" w:cs="Tahoma"/>
        </w:rPr>
        <w:t xml:space="preserve"> </w:t>
      </w:r>
      <w:r w:rsidR="003B6848" w:rsidRPr="00414CC1">
        <w:rPr>
          <w:rFonts w:ascii="Tahoma" w:hAnsi="Tahoma" w:cs="Tahoma"/>
        </w:rPr>
        <w:t>SEPÚLVEDA</w:t>
      </w:r>
      <w:r w:rsidR="00617E08" w:rsidRPr="00414CC1">
        <w:rPr>
          <w:rFonts w:ascii="Tahoma" w:hAnsi="Tahoma" w:cs="Tahoma"/>
        </w:rPr>
        <w:t>,</w:t>
      </w:r>
      <w:r w:rsidR="003B6848" w:rsidRPr="00414CC1">
        <w:rPr>
          <w:rFonts w:ascii="Tahoma" w:hAnsi="Tahoma" w:cs="Tahoma"/>
        </w:rPr>
        <w:t xml:space="preserve"> y el Magistrado</w:t>
      </w:r>
      <w:r w:rsidR="00510D63" w:rsidRPr="00414CC1">
        <w:rPr>
          <w:rFonts w:ascii="Tahoma" w:hAnsi="Tahoma" w:cs="Tahoma"/>
        </w:rPr>
        <w:t xml:space="preserve"> </w:t>
      </w:r>
      <w:r w:rsidR="003B6848" w:rsidRPr="00414CC1">
        <w:rPr>
          <w:rFonts w:ascii="Tahoma" w:hAnsi="Tahoma" w:cs="Tahoma"/>
        </w:rPr>
        <w:t>GERMÁN DARIO GOEZ VINASCO, procede a proferir la</w:t>
      </w:r>
      <w:r w:rsidR="00510D63" w:rsidRPr="00414CC1">
        <w:rPr>
          <w:rFonts w:ascii="Tahoma" w:hAnsi="Tahoma" w:cs="Tahoma"/>
        </w:rPr>
        <w:t xml:space="preserve"> </w:t>
      </w:r>
      <w:r w:rsidR="003B6848" w:rsidRPr="00414CC1">
        <w:rPr>
          <w:rFonts w:ascii="Tahoma" w:hAnsi="Tahoma" w:cs="Tahoma"/>
        </w:rPr>
        <w:t xml:space="preserve">siguiente sentencia escrita dentro del proceso </w:t>
      </w:r>
      <w:r w:rsidR="003B6848" w:rsidRPr="00414CC1">
        <w:rPr>
          <w:rFonts w:ascii="Tahoma" w:hAnsi="Tahoma" w:cs="Tahoma"/>
          <w:b/>
        </w:rPr>
        <w:t>ordinario laboral</w:t>
      </w:r>
      <w:r w:rsidR="003B6848" w:rsidRPr="00414CC1">
        <w:rPr>
          <w:rFonts w:ascii="Tahoma" w:hAnsi="Tahoma" w:cs="Tahoma"/>
        </w:rPr>
        <w:t xml:space="preserve"> instaurado por </w:t>
      </w:r>
      <w:r w:rsidR="00710B30" w:rsidRPr="00414CC1">
        <w:rPr>
          <w:rFonts w:ascii="Tahoma" w:hAnsi="Tahoma" w:cs="Tahoma"/>
          <w:b/>
          <w:bCs/>
        </w:rPr>
        <w:t>Gloria Cecilia Mazo Mazo</w:t>
      </w:r>
      <w:r w:rsidR="00A27B80" w:rsidRPr="00414CC1">
        <w:rPr>
          <w:rFonts w:ascii="Tahoma" w:hAnsi="Tahoma" w:cs="Tahoma"/>
          <w:b/>
          <w:bCs/>
        </w:rPr>
        <w:t xml:space="preserve"> </w:t>
      </w:r>
      <w:r w:rsidR="00171926" w:rsidRPr="00414CC1">
        <w:rPr>
          <w:rFonts w:ascii="Tahoma" w:hAnsi="Tahoma" w:cs="Tahoma"/>
        </w:rPr>
        <w:t>en contra de la</w:t>
      </w:r>
      <w:r w:rsidR="00171926" w:rsidRPr="00414CC1">
        <w:rPr>
          <w:rFonts w:ascii="Tahoma" w:hAnsi="Tahoma" w:cs="Tahoma"/>
          <w:b/>
          <w:bCs/>
        </w:rPr>
        <w:t xml:space="preserve"> Administradora Colombiana de Pensiones – Colpensiones </w:t>
      </w:r>
      <w:r w:rsidR="00171926" w:rsidRPr="00414CC1">
        <w:rPr>
          <w:rFonts w:ascii="Tahoma" w:hAnsi="Tahoma" w:cs="Tahoma"/>
        </w:rPr>
        <w:t>y</w:t>
      </w:r>
      <w:r w:rsidR="00A27B80" w:rsidRPr="00414CC1">
        <w:rPr>
          <w:rFonts w:ascii="Tahoma" w:hAnsi="Tahoma" w:cs="Tahoma"/>
        </w:rPr>
        <w:t xml:space="preserve"> la</w:t>
      </w:r>
      <w:r w:rsidR="00171926" w:rsidRPr="00414CC1">
        <w:rPr>
          <w:rFonts w:ascii="Tahoma" w:hAnsi="Tahoma" w:cs="Tahoma"/>
        </w:rPr>
        <w:t xml:space="preserve"> </w:t>
      </w:r>
      <w:r w:rsidR="00A27B80" w:rsidRPr="00414CC1">
        <w:rPr>
          <w:rFonts w:ascii="Tahoma" w:hAnsi="Tahoma" w:cs="Tahoma"/>
          <w:b/>
        </w:rPr>
        <w:t xml:space="preserve">Administradora de Fondos de Pensiones y Cesantías </w:t>
      </w:r>
      <w:r w:rsidR="00710B30" w:rsidRPr="00414CC1">
        <w:rPr>
          <w:rFonts w:ascii="Tahoma" w:hAnsi="Tahoma" w:cs="Tahoma"/>
          <w:b/>
        </w:rPr>
        <w:t>Porvenir</w:t>
      </w:r>
      <w:r w:rsidR="00A27B80" w:rsidRPr="00414CC1">
        <w:rPr>
          <w:rFonts w:ascii="Tahoma" w:hAnsi="Tahoma" w:cs="Tahoma"/>
          <w:b/>
        </w:rPr>
        <w:t xml:space="preserve"> S.A.</w:t>
      </w:r>
    </w:p>
    <w:p w14:paraId="21CF8A8C" w14:textId="77777777" w:rsidR="00A27B80" w:rsidRPr="00414CC1" w:rsidRDefault="00A27B80" w:rsidP="00414CC1">
      <w:pPr>
        <w:spacing w:before="0" w:beforeAutospacing="0" w:after="0" w:afterAutospacing="0" w:line="276" w:lineRule="auto"/>
        <w:ind w:firstLine="708"/>
        <w:contextualSpacing/>
        <w:rPr>
          <w:rFonts w:ascii="Tahoma" w:hAnsi="Tahoma" w:cs="Tahoma"/>
        </w:rPr>
      </w:pPr>
    </w:p>
    <w:p w14:paraId="358AB273" w14:textId="32D7D5F9" w:rsidR="0B5E8DCD" w:rsidRPr="00414CC1" w:rsidRDefault="0B5E8DCD" w:rsidP="00414CC1">
      <w:pPr>
        <w:pStyle w:val="paragraph"/>
        <w:spacing w:before="0" w:beforeAutospacing="0" w:after="0" w:afterAutospacing="0" w:line="276" w:lineRule="auto"/>
        <w:jc w:val="center"/>
        <w:rPr>
          <w:rStyle w:val="normaltextrun"/>
          <w:rFonts w:ascii="Tahoma" w:hAnsi="Tahoma" w:cs="Tahoma"/>
          <w:b/>
          <w:bCs/>
        </w:rPr>
      </w:pPr>
      <w:r w:rsidRPr="00414CC1">
        <w:rPr>
          <w:rStyle w:val="normaltextrun"/>
          <w:rFonts w:ascii="Tahoma" w:hAnsi="Tahoma" w:cs="Tahoma"/>
          <w:b/>
          <w:bCs/>
        </w:rPr>
        <w:t>AUTO</w:t>
      </w:r>
    </w:p>
    <w:p w14:paraId="512CD12B" w14:textId="41AAFA42" w:rsidR="4EE5ECFB" w:rsidRPr="00414CC1" w:rsidRDefault="4EE5ECFB" w:rsidP="00414CC1">
      <w:pPr>
        <w:pStyle w:val="paragraph"/>
        <w:spacing w:before="0" w:beforeAutospacing="0" w:after="0" w:afterAutospacing="0" w:line="276" w:lineRule="auto"/>
        <w:jc w:val="center"/>
        <w:rPr>
          <w:rStyle w:val="normaltextrun"/>
          <w:rFonts w:ascii="Tahoma" w:hAnsi="Tahoma" w:cs="Tahoma"/>
          <w:b/>
          <w:bCs/>
        </w:rPr>
      </w:pPr>
    </w:p>
    <w:p w14:paraId="61F0E380" w14:textId="5D6ADB30" w:rsidR="2BBB30D3" w:rsidRPr="00414CC1" w:rsidRDefault="00414CC1" w:rsidP="00414CC1">
      <w:pPr>
        <w:spacing w:before="0" w:beforeAutospacing="0" w:after="0" w:afterAutospacing="0" w:line="276" w:lineRule="auto"/>
        <w:ind w:firstLine="708"/>
        <w:rPr>
          <w:rFonts w:ascii="Tahoma" w:hAnsi="Tahoma" w:cs="Tahoma"/>
        </w:rPr>
      </w:pPr>
      <w:r>
        <w:rPr>
          <w:rFonts w:ascii="Tahoma" w:eastAsia="Tahoma" w:hAnsi="Tahoma" w:cs="Tahoma"/>
        </w:rPr>
        <w:t>(…)</w:t>
      </w:r>
    </w:p>
    <w:p w14:paraId="2DE690BB" w14:textId="796A5B9F" w:rsidR="2BBB30D3" w:rsidRPr="00414CC1" w:rsidRDefault="2BBB30D3" w:rsidP="00414CC1">
      <w:pPr>
        <w:spacing w:before="0" w:beforeAutospacing="0" w:after="0" w:afterAutospacing="0" w:line="276" w:lineRule="auto"/>
        <w:ind w:firstLine="705"/>
        <w:rPr>
          <w:rFonts w:ascii="Tahoma" w:hAnsi="Tahoma" w:cs="Tahoma"/>
        </w:rPr>
      </w:pPr>
      <w:r w:rsidRPr="00414CC1">
        <w:rPr>
          <w:rFonts w:ascii="Tahoma" w:eastAsia="Tahoma" w:hAnsi="Tahoma" w:cs="Tahoma"/>
        </w:rPr>
        <w:t xml:space="preserve"> </w:t>
      </w:r>
    </w:p>
    <w:p w14:paraId="0C03626B" w14:textId="503D1593" w:rsidR="2BBB30D3" w:rsidRPr="00414CC1" w:rsidRDefault="2BBB30D3" w:rsidP="00414CC1">
      <w:pPr>
        <w:spacing w:before="0" w:beforeAutospacing="0" w:after="0" w:afterAutospacing="0" w:line="276" w:lineRule="auto"/>
        <w:ind w:firstLine="705"/>
        <w:rPr>
          <w:rFonts w:ascii="Tahoma" w:hAnsi="Tahoma" w:cs="Tahoma"/>
        </w:rPr>
      </w:pPr>
      <w:r w:rsidRPr="00414CC1">
        <w:rPr>
          <w:rFonts w:ascii="Tahoma" w:eastAsia="Tahoma" w:hAnsi="Tahoma" w:cs="Tahoma"/>
        </w:rPr>
        <w:t xml:space="preserve">Por otra parte, se reconoce personería amplía, legal y suficiente a la sociedad MUÑOZ MEDINA ABOGADOS S.A.S. con NIT 900.847.273, en virtud del poder general otorgado por la ADMINISTRADORA COLOMBIANA DE PENSIONES – COLPENSIONES, mediante Escritura Pública No. 3365 del 02 de septiembre de 2019, allegada por el representante legal de aquella, Santiago Muñoz Medina. </w:t>
      </w:r>
    </w:p>
    <w:p w14:paraId="3C92C2B9" w14:textId="3DD08382" w:rsidR="2BBB30D3" w:rsidRPr="00414CC1" w:rsidRDefault="2BBB30D3" w:rsidP="00414CC1">
      <w:pPr>
        <w:spacing w:before="0" w:beforeAutospacing="0" w:after="0" w:afterAutospacing="0" w:line="276" w:lineRule="auto"/>
        <w:ind w:firstLine="705"/>
        <w:rPr>
          <w:rFonts w:ascii="Tahoma" w:hAnsi="Tahoma" w:cs="Tahoma"/>
        </w:rPr>
      </w:pPr>
      <w:r w:rsidRPr="00414CC1">
        <w:rPr>
          <w:rFonts w:ascii="Tahoma" w:eastAsia="Tahoma" w:hAnsi="Tahoma" w:cs="Tahoma"/>
        </w:rPr>
        <w:t xml:space="preserve"> </w:t>
      </w:r>
    </w:p>
    <w:p w14:paraId="72D573E3" w14:textId="1CB9A31E" w:rsidR="2BBB30D3" w:rsidRPr="00414CC1" w:rsidRDefault="2BBB30D3" w:rsidP="00414CC1">
      <w:pPr>
        <w:spacing w:before="0" w:beforeAutospacing="0" w:after="0" w:afterAutospacing="0" w:line="276" w:lineRule="auto"/>
        <w:ind w:firstLine="705"/>
        <w:rPr>
          <w:rFonts w:ascii="Tahoma" w:hAnsi="Tahoma" w:cs="Tahoma"/>
        </w:rPr>
      </w:pPr>
      <w:r w:rsidRPr="00414CC1">
        <w:rPr>
          <w:rFonts w:ascii="Tahoma" w:eastAsia="Tahoma" w:hAnsi="Tahoma" w:cs="Tahoma"/>
        </w:rPr>
        <w:t>Concomitante a lo anterior, se reconoce personería a la Dra. GLORIA EUGENIA GARCÍA BUITRAGO, mayor de edad, identificada con Cédula de Ciudadanía No. 42.016.971 de Dosquebradas y Tarjeta Profesional No. 318480 del C.S.J., de conformidad con la sustitución de poder que le hiciera el representante legal de la sociedad MUÑOZ MEDINA ABOGADOS S.A.S. apoderada general de COLPENSIONES.</w:t>
      </w:r>
    </w:p>
    <w:p w14:paraId="33529980" w14:textId="271641C8" w:rsidR="4EE5ECFB" w:rsidRPr="00414CC1" w:rsidRDefault="4EE5ECFB" w:rsidP="00414CC1">
      <w:pPr>
        <w:pStyle w:val="paragraph"/>
        <w:spacing w:before="0" w:beforeAutospacing="0" w:after="0" w:afterAutospacing="0" w:line="276" w:lineRule="auto"/>
        <w:jc w:val="center"/>
        <w:rPr>
          <w:rStyle w:val="normaltextrun"/>
          <w:rFonts w:ascii="Tahoma" w:hAnsi="Tahoma" w:cs="Tahoma"/>
          <w:b/>
          <w:bCs/>
        </w:rPr>
      </w:pPr>
    </w:p>
    <w:p w14:paraId="1546FE94" w14:textId="7C456138" w:rsidR="4EE5ECFB" w:rsidRPr="00414CC1" w:rsidRDefault="4EE5ECFB" w:rsidP="00414CC1">
      <w:pPr>
        <w:pStyle w:val="paragraph"/>
        <w:spacing w:before="0" w:beforeAutospacing="0" w:after="0" w:afterAutospacing="0" w:line="276" w:lineRule="auto"/>
        <w:jc w:val="center"/>
        <w:rPr>
          <w:rStyle w:val="normaltextrun"/>
          <w:rFonts w:ascii="Tahoma" w:hAnsi="Tahoma" w:cs="Tahoma"/>
          <w:b/>
          <w:bCs/>
        </w:rPr>
      </w:pPr>
    </w:p>
    <w:p w14:paraId="11B2C985" w14:textId="5477777E" w:rsidR="00CC7065" w:rsidRPr="00414CC1" w:rsidRDefault="00CC7065" w:rsidP="00414CC1">
      <w:pPr>
        <w:pStyle w:val="paragraph"/>
        <w:spacing w:before="0" w:beforeAutospacing="0" w:after="0" w:afterAutospacing="0" w:line="276" w:lineRule="auto"/>
        <w:jc w:val="center"/>
        <w:textAlignment w:val="baseline"/>
        <w:rPr>
          <w:rFonts w:ascii="Tahoma" w:hAnsi="Tahoma" w:cs="Tahoma"/>
          <w:b/>
        </w:rPr>
      </w:pPr>
      <w:r w:rsidRPr="00414CC1">
        <w:rPr>
          <w:rStyle w:val="normaltextrun"/>
          <w:rFonts w:ascii="Tahoma" w:hAnsi="Tahoma" w:cs="Tahoma"/>
          <w:b/>
        </w:rPr>
        <w:t>PUNTO A TRATAR</w:t>
      </w:r>
    </w:p>
    <w:p w14:paraId="32FCA209" w14:textId="77777777" w:rsidR="00617E08" w:rsidRPr="00414CC1" w:rsidRDefault="00617E08" w:rsidP="00414CC1">
      <w:pPr>
        <w:spacing w:before="0" w:beforeAutospacing="0" w:after="0" w:afterAutospacing="0" w:line="276" w:lineRule="auto"/>
        <w:ind w:firstLine="708"/>
        <w:rPr>
          <w:rStyle w:val="normaltextrun"/>
          <w:rFonts w:ascii="Tahoma" w:hAnsi="Tahoma" w:cs="Tahoma"/>
        </w:rPr>
      </w:pPr>
    </w:p>
    <w:p w14:paraId="06AA2758" w14:textId="13B054D8" w:rsidR="00415842" w:rsidRPr="00414CC1" w:rsidRDefault="00CC7065" w:rsidP="00414CC1">
      <w:pPr>
        <w:spacing w:before="0" w:beforeAutospacing="0" w:after="0" w:afterAutospacing="0" w:line="276" w:lineRule="auto"/>
        <w:ind w:firstLine="708"/>
        <w:rPr>
          <w:rStyle w:val="normaltextrun"/>
          <w:rFonts w:ascii="Tahoma" w:hAnsi="Tahoma" w:cs="Tahoma"/>
        </w:rPr>
      </w:pPr>
      <w:r w:rsidRPr="00414CC1">
        <w:rPr>
          <w:rStyle w:val="normaltextrun"/>
          <w:rFonts w:ascii="Tahoma" w:hAnsi="Tahoma" w:cs="Tahoma"/>
        </w:rPr>
        <w:t>Por medio de esta providencia procede la Sala a</w:t>
      </w:r>
      <w:r w:rsidRPr="00414CC1">
        <w:rPr>
          <w:rFonts w:ascii="Tahoma" w:hAnsi="Tahoma" w:cs="Tahoma"/>
        </w:rPr>
        <w:t xml:space="preserve"> resolver </w:t>
      </w:r>
      <w:r w:rsidR="003D2E77" w:rsidRPr="00414CC1">
        <w:rPr>
          <w:rFonts w:ascii="Tahoma" w:hAnsi="Tahoma" w:cs="Tahoma"/>
        </w:rPr>
        <w:t>los</w:t>
      </w:r>
      <w:r w:rsidRPr="00414CC1">
        <w:rPr>
          <w:rFonts w:ascii="Tahoma" w:hAnsi="Tahoma" w:cs="Tahoma"/>
        </w:rPr>
        <w:t xml:space="preserve"> recurso</w:t>
      </w:r>
      <w:r w:rsidR="003D2E77" w:rsidRPr="00414CC1">
        <w:rPr>
          <w:rFonts w:ascii="Tahoma" w:hAnsi="Tahoma" w:cs="Tahoma"/>
        </w:rPr>
        <w:t>s</w:t>
      </w:r>
      <w:r w:rsidRPr="00414CC1">
        <w:rPr>
          <w:rFonts w:ascii="Tahoma" w:hAnsi="Tahoma" w:cs="Tahoma"/>
        </w:rPr>
        <w:t xml:space="preserve"> de apelación interpuesto</w:t>
      </w:r>
      <w:r w:rsidR="003D2E77" w:rsidRPr="00414CC1">
        <w:rPr>
          <w:rFonts w:ascii="Tahoma" w:hAnsi="Tahoma" w:cs="Tahoma"/>
        </w:rPr>
        <w:t>s</w:t>
      </w:r>
      <w:r w:rsidRPr="00414CC1">
        <w:rPr>
          <w:rFonts w:ascii="Tahoma" w:hAnsi="Tahoma" w:cs="Tahoma"/>
        </w:rPr>
        <w:t xml:space="preserve"> por </w:t>
      </w:r>
      <w:r w:rsidR="00AC6035" w:rsidRPr="00414CC1">
        <w:rPr>
          <w:rFonts w:ascii="Tahoma" w:hAnsi="Tahoma" w:cs="Tahoma"/>
        </w:rPr>
        <w:t>Colpensiones</w:t>
      </w:r>
      <w:r w:rsidR="003D2E77" w:rsidRPr="00414CC1">
        <w:rPr>
          <w:rFonts w:ascii="Tahoma" w:hAnsi="Tahoma" w:cs="Tahoma"/>
        </w:rPr>
        <w:t xml:space="preserve"> y Porvenir S.A.</w:t>
      </w:r>
      <w:r w:rsidR="00617E08" w:rsidRPr="00414CC1">
        <w:rPr>
          <w:rFonts w:ascii="Tahoma" w:hAnsi="Tahoma" w:cs="Tahoma"/>
        </w:rPr>
        <w:t xml:space="preserve"> </w:t>
      </w:r>
      <w:r w:rsidRPr="00414CC1">
        <w:rPr>
          <w:rFonts w:ascii="Tahoma" w:hAnsi="Tahoma" w:cs="Tahoma"/>
        </w:rPr>
        <w:t xml:space="preserve">en contra de la sentencia proferida el </w:t>
      </w:r>
      <w:r w:rsidR="002D032B" w:rsidRPr="00414CC1">
        <w:rPr>
          <w:rFonts w:ascii="Tahoma" w:hAnsi="Tahoma" w:cs="Tahoma"/>
        </w:rPr>
        <w:t xml:space="preserve">09 de febrero de 2023 </w:t>
      </w:r>
      <w:r w:rsidRPr="00414CC1">
        <w:rPr>
          <w:rFonts w:ascii="Tahoma" w:hAnsi="Tahoma" w:cs="Tahoma"/>
        </w:rPr>
        <w:t xml:space="preserve">por el </w:t>
      </w:r>
      <w:r w:rsidRPr="00414CC1">
        <w:rPr>
          <w:rFonts w:ascii="Tahoma" w:hAnsi="Tahoma" w:cs="Tahoma"/>
          <w:lang w:val="es-ES"/>
        </w:rPr>
        <w:t>Juzgado</w:t>
      </w:r>
      <w:r w:rsidR="00CB40C7" w:rsidRPr="00414CC1">
        <w:rPr>
          <w:rFonts w:ascii="Tahoma" w:hAnsi="Tahoma" w:cs="Tahoma"/>
        </w:rPr>
        <w:t xml:space="preserve"> </w:t>
      </w:r>
      <w:r w:rsidR="002D032B" w:rsidRPr="00414CC1">
        <w:rPr>
          <w:rFonts w:ascii="Tahoma" w:hAnsi="Tahoma" w:cs="Tahoma"/>
        </w:rPr>
        <w:t xml:space="preserve">Primero </w:t>
      </w:r>
      <w:r w:rsidRPr="00414CC1">
        <w:rPr>
          <w:rFonts w:ascii="Tahoma" w:hAnsi="Tahoma" w:cs="Tahoma"/>
        </w:rPr>
        <w:t>Laboral del Circuito de Pereira</w:t>
      </w:r>
      <w:r w:rsidR="00647E83" w:rsidRPr="00414CC1">
        <w:rPr>
          <w:rFonts w:ascii="Tahoma" w:hAnsi="Tahoma" w:cs="Tahoma"/>
        </w:rPr>
        <w:t>.</w:t>
      </w:r>
      <w:r w:rsidRPr="00414CC1">
        <w:rPr>
          <w:rStyle w:val="normaltextrun"/>
          <w:rFonts w:ascii="Tahoma" w:hAnsi="Tahoma" w:cs="Tahoma"/>
        </w:rPr>
        <w:t xml:space="preserve"> </w:t>
      </w:r>
      <w:r w:rsidR="00647E83" w:rsidRPr="00414CC1">
        <w:rPr>
          <w:rStyle w:val="normaltextrun"/>
          <w:rFonts w:ascii="Tahoma" w:hAnsi="Tahoma" w:cs="Tahoma"/>
        </w:rPr>
        <w:t>Asimismo</w:t>
      </w:r>
      <w:r w:rsidRPr="00414CC1">
        <w:rPr>
          <w:rStyle w:val="normaltextrun"/>
          <w:rFonts w:ascii="Tahoma" w:hAnsi="Tahoma" w:cs="Tahoma"/>
        </w:rPr>
        <w:t xml:space="preserve">, </w:t>
      </w:r>
      <w:r w:rsidR="00AD1ACE" w:rsidRPr="00414CC1">
        <w:rPr>
          <w:rStyle w:val="normaltextrun"/>
          <w:rFonts w:ascii="Tahoma" w:hAnsi="Tahoma" w:cs="Tahoma"/>
        </w:rPr>
        <w:t>en virtud del</w:t>
      </w:r>
      <w:r w:rsidR="00AD1ACE" w:rsidRPr="00414CC1">
        <w:rPr>
          <w:rFonts w:ascii="Tahoma" w:hAnsi="Tahoma" w:cs="Tahoma"/>
        </w:rPr>
        <w:t xml:space="preserve"> grado jurisdiccional de consulta, </w:t>
      </w:r>
      <w:r w:rsidRPr="00414CC1">
        <w:rPr>
          <w:rStyle w:val="normaltextrun"/>
          <w:rFonts w:ascii="Tahoma" w:hAnsi="Tahoma" w:cs="Tahoma"/>
        </w:rPr>
        <w:t xml:space="preserve">se revisará la decisión de instancia </w:t>
      </w:r>
      <w:r w:rsidR="00AD1ACE" w:rsidRPr="00414CC1">
        <w:rPr>
          <w:rStyle w:val="normaltextrun"/>
          <w:rFonts w:ascii="Tahoma" w:hAnsi="Tahoma" w:cs="Tahoma"/>
        </w:rPr>
        <w:t xml:space="preserve">al haber sido adversa a los intereses de </w:t>
      </w:r>
      <w:r w:rsidR="00D76EB2" w:rsidRPr="00414CC1">
        <w:rPr>
          <w:rStyle w:val="normaltextrun"/>
          <w:rFonts w:ascii="Tahoma" w:hAnsi="Tahoma" w:cs="Tahoma"/>
        </w:rPr>
        <w:t xml:space="preserve">la </w:t>
      </w:r>
      <w:r w:rsidR="003D2E77" w:rsidRPr="00414CC1">
        <w:rPr>
          <w:rStyle w:val="normaltextrun"/>
          <w:rFonts w:ascii="Tahoma" w:hAnsi="Tahoma" w:cs="Tahoma"/>
        </w:rPr>
        <w:t>A</w:t>
      </w:r>
      <w:r w:rsidR="00D76EB2" w:rsidRPr="00414CC1">
        <w:rPr>
          <w:rStyle w:val="normaltextrun"/>
          <w:rFonts w:ascii="Tahoma" w:hAnsi="Tahoma" w:cs="Tahoma"/>
        </w:rPr>
        <w:t xml:space="preserve">dministradora </w:t>
      </w:r>
      <w:r w:rsidR="003D2E77" w:rsidRPr="00414CC1">
        <w:rPr>
          <w:rStyle w:val="normaltextrun"/>
          <w:rFonts w:ascii="Tahoma" w:hAnsi="Tahoma" w:cs="Tahoma"/>
        </w:rPr>
        <w:t>Colombiana de P</w:t>
      </w:r>
      <w:r w:rsidR="00D76EB2" w:rsidRPr="00414CC1">
        <w:rPr>
          <w:rStyle w:val="normaltextrun"/>
          <w:rFonts w:ascii="Tahoma" w:hAnsi="Tahoma" w:cs="Tahoma"/>
        </w:rPr>
        <w:t>ension</w:t>
      </w:r>
      <w:r w:rsidR="003D2E77" w:rsidRPr="00414CC1">
        <w:rPr>
          <w:rStyle w:val="normaltextrun"/>
          <w:rFonts w:ascii="Tahoma" w:hAnsi="Tahoma" w:cs="Tahoma"/>
        </w:rPr>
        <w:t>es</w:t>
      </w:r>
      <w:r w:rsidRPr="00414CC1">
        <w:rPr>
          <w:rFonts w:ascii="Tahoma" w:hAnsi="Tahoma" w:cs="Tahoma"/>
        </w:rPr>
        <w:t xml:space="preserve">. </w:t>
      </w:r>
      <w:r w:rsidRPr="00414CC1">
        <w:rPr>
          <w:rStyle w:val="normaltextrun"/>
          <w:rFonts w:ascii="Tahoma" w:hAnsi="Tahoma" w:cs="Tahoma"/>
        </w:rPr>
        <w:t>Para ello se tiene en cuenta lo siguiente: </w:t>
      </w:r>
    </w:p>
    <w:p w14:paraId="6A83F170" w14:textId="653DE361" w:rsidR="16AE06FE" w:rsidRPr="00414CC1" w:rsidRDefault="16AE06FE" w:rsidP="00414CC1">
      <w:pPr>
        <w:spacing w:before="0" w:beforeAutospacing="0" w:after="0" w:afterAutospacing="0" w:line="276" w:lineRule="auto"/>
        <w:ind w:firstLine="708"/>
        <w:rPr>
          <w:rStyle w:val="normaltextrun"/>
          <w:rFonts w:ascii="Tahoma" w:hAnsi="Tahoma" w:cs="Tahoma"/>
        </w:rPr>
      </w:pPr>
    </w:p>
    <w:p w14:paraId="1048668F" w14:textId="6F9C7BFF" w:rsidR="00617E08" w:rsidRPr="00414CC1" w:rsidRDefault="00617E08" w:rsidP="00414CC1">
      <w:pPr>
        <w:spacing w:before="0" w:beforeAutospacing="0" w:after="0" w:afterAutospacing="0" w:line="276" w:lineRule="auto"/>
        <w:ind w:firstLine="708"/>
        <w:rPr>
          <w:rFonts w:ascii="Tahoma" w:hAnsi="Tahoma" w:cs="Tahoma"/>
        </w:rPr>
      </w:pPr>
    </w:p>
    <w:p w14:paraId="40C2E441" w14:textId="6661633B" w:rsidR="00415842" w:rsidRPr="00414CC1" w:rsidRDefault="00060B92" w:rsidP="00414CC1">
      <w:pPr>
        <w:pStyle w:val="Prrafodelista"/>
        <w:numPr>
          <w:ilvl w:val="0"/>
          <w:numId w:val="1"/>
        </w:numPr>
        <w:spacing w:line="276" w:lineRule="auto"/>
        <w:ind w:left="426" w:hanging="426"/>
        <w:jc w:val="center"/>
        <w:rPr>
          <w:rStyle w:val="normaltextrun"/>
          <w:rFonts w:cs="Tahoma"/>
          <w:b/>
          <w:bCs/>
          <w:szCs w:val="24"/>
        </w:rPr>
      </w:pPr>
      <w:r w:rsidRPr="00414CC1">
        <w:rPr>
          <w:rFonts w:cs="Tahoma"/>
          <w:b/>
          <w:bCs/>
          <w:szCs w:val="24"/>
        </w:rPr>
        <w:t xml:space="preserve">La </w:t>
      </w:r>
      <w:r w:rsidR="00415842" w:rsidRPr="00414CC1">
        <w:rPr>
          <w:rFonts w:cs="Tahoma"/>
          <w:b/>
          <w:bCs/>
          <w:szCs w:val="24"/>
        </w:rPr>
        <w:t xml:space="preserve">Demanda y </w:t>
      </w:r>
      <w:r w:rsidRPr="00414CC1">
        <w:rPr>
          <w:rFonts w:cs="Tahoma"/>
          <w:b/>
          <w:bCs/>
          <w:szCs w:val="24"/>
        </w:rPr>
        <w:t>la</w:t>
      </w:r>
      <w:r w:rsidR="00415842" w:rsidRPr="00414CC1">
        <w:rPr>
          <w:rFonts w:cs="Tahoma"/>
          <w:b/>
          <w:bCs/>
          <w:szCs w:val="24"/>
        </w:rPr>
        <w:t xml:space="preserve"> contestación</w:t>
      </w:r>
      <w:r w:rsidRPr="00414CC1">
        <w:rPr>
          <w:rFonts w:cs="Tahoma"/>
          <w:b/>
          <w:bCs/>
          <w:szCs w:val="24"/>
        </w:rPr>
        <w:t xml:space="preserve"> de la demanda</w:t>
      </w:r>
    </w:p>
    <w:p w14:paraId="417070AC" w14:textId="77777777" w:rsidR="00647E83" w:rsidRPr="00414CC1" w:rsidRDefault="00647E83" w:rsidP="00414CC1">
      <w:pPr>
        <w:spacing w:before="0" w:beforeAutospacing="0" w:after="0" w:afterAutospacing="0" w:line="276" w:lineRule="auto"/>
        <w:ind w:firstLine="708"/>
        <w:contextualSpacing/>
        <w:rPr>
          <w:rFonts w:ascii="Tahoma" w:eastAsia="Calibri" w:hAnsi="Tahoma" w:cs="Tahoma"/>
        </w:rPr>
      </w:pPr>
    </w:p>
    <w:p w14:paraId="7625767E" w14:textId="3DDE9A8F" w:rsidR="00526962" w:rsidRPr="00414CC1" w:rsidRDefault="00706A4B" w:rsidP="00414CC1">
      <w:pPr>
        <w:spacing w:before="0" w:beforeAutospacing="0" w:after="0" w:afterAutospacing="0" w:line="276" w:lineRule="auto"/>
        <w:rPr>
          <w:rFonts w:ascii="Tahoma" w:eastAsia="Times New Roman" w:hAnsi="Tahoma" w:cs="Tahoma"/>
          <w:lang w:val="es-ES" w:eastAsia="es-MX"/>
        </w:rPr>
      </w:pPr>
      <w:r w:rsidRPr="00414CC1">
        <w:rPr>
          <w:rFonts w:ascii="Tahoma" w:eastAsia="Times New Roman" w:hAnsi="Tahoma" w:cs="Tahoma"/>
          <w:lang w:val="es-ES" w:eastAsia="es-MX"/>
        </w:rPr>
        <w:t>La</w:t>
      </w:r>
      <w:r w:rsidR="00AC6035" w:rsidRPr="00414CC1">
        <w:rPr>
          <w:rFonts w:ascii="Tahoma" w:eastAsia="Times New Roman" w:hAnsi="Tahoma" w:cs="Tahoma"/>
          <w:lang w:val="es-ES" w:eastAsia="es-MX"/>
        </w:rPr>
        <w:t xml:space="preserve"> demandante persigue</w:t>
      </w:r>
      <w:r w:rsidR="00725E26" w:rsidRPr="00414CC1">
        <w:rPr>
          <w:rFonts w:ascii="Tahoma" w:eastAsia="Times New Roman" w:hAnsi="Tahoma" w:cs="Tahoma"/>
          <w:lang w:val="es-ES" w:eastAsia="es-MX"/>
        </w:rPr>
        <w:t xml:space="preserve"> </w:t>
      </w:r>
      <w:r w:rsidR="00AC6035" w:rsidRPr="00414CC1">
        <w:rPr>
          <w:rFonts w:ascii="Tahoma" w:eastAsia="Times New Roman" w:hAnsi="Tahoma" w:cs="Tahoma"/>
          <w:lang w:val="es-ES" w:eastAsia="es-MX"/>
        </w:rPr>
        <w:t>q</w:t>
      </w:r>
      <w:r w:rsidR="006C00B2" w:rsidRPr="00414CC1">
        <w:rPr>
          <w:rFonts w:ascii="Tahoma" w:eastAsia="Times New Roman" w:hAnsi="Tahoma" w:cs="Tahoma"/>
          <w:lang w:val="es-ES" w:eastAsia="es-MX"/>
        </w:rPr>
        <w:t xml:space="preserve">ue se declare la </w:t>
      </w:r>
      <w:r w:rsidR="000D3214" w:rsidRPr="00414CC1">
        <w:rPr>
          <w:rFonts w:ascii="Tahoma" w:eastAsia="Times New Roman" w:hAnsi="Tahoma" w:cs="Tahoma"/>
          <w:lang w:val="es-ES" w:eastAsia="es-MX"/>
        </w:rPr>
        <w:t xml:space="preserve">nulidad y/o </w:t>
      </w:r>
      <w:r w:rsidR="00D76EB2" w:rsidRPr="00414CC1">
        <w:rPr>
          <w:rFonts w:ascii="Tahoma" w:eastAsia="Times New Roman" w:hAnsi="Tahoma" w:cs="Tahoma"/>
          <w:lang w:val="es-ES" w:eastAsia="es-MX"/>
        </w:rPr>
        <w:t xml:space="preserve">ineficacia </w:t>
      </w:r>
      <w:r w:rsidR="006C00B2" w:rsidRPr="00414CC1">
        <w:rPr>
          <w:rFonts w:ascii="Tahoma" w:eastAsia="Times New Roman" w:hAnsi="Tahoma" w:cs="Tahoma"/>
          <w:lang w:val="es-ES" w:eastAsia="es-MX"/>
        </w:rPr>
        <w:t xml:space="preserve">de la afiliación que realizó </w:t>
      </w:r>
      <w:r w:rsidR="0021527B" w:rsidRPr="00414CC1">
        <w:rPr>
          <w:rFonts w:ascii="Tahoma" w:eastAsia="Times New Roman" w:hAnsi="Tahoma" w:cs="Tahoma"/>
          <w:lang w:val="es-ES" w:eastAsia="es-MX"/>
        </w:rPr>
        <w:t xml:space="preserve">a </w:t>
      </w:r>
      <w:r w:rsidR="000D3214" w:rsidRPr="00414CC1">
        <w:rPr>
          <w:rFonts w:ascii="Tahoma" w:eastAsia="Times New Roman" w:hAnsi="Tahoma" w:cs="Tahoma"/>
          <w:lang w:val="es-ES" w:eastAsia="es-MX"/>
        </w:rPr>
        <w:t>Horizonte hoy Porvenir</w:t>
      </w:r>
      <w:r w:rsidR="0021527B" w:rsidRPr="00414CC1">
        <w:rPr>
          <w:rFonts w:ascii="Tahoma" w:eastAsia="Times New Roman" w:hAnsi="Tahoma" w:cs="Tahoma"/>
          <w:lang w:val="es-ES" w:eastAsia="es-MX"/>
        </w:rPr>
        <w:t xml:space="preserve"> S.A.</w:t>
      </w:r>
      <w:r w:rsidR="006C00B2" w:rsidRPr="00414CC1">
        <w:rPr>
          <w:rFonts w:ascii="Tahoma" w:eastAsia="Times New Roman" w:hAnsi="Tahoma" w:cs="Tahoma"/>
          <w:lang w:val="es-ES" w:eastAsia="es-MX"/>
        </w:rPr>
        <w:t>,</w:t>
      </w:r>
      <w:r w:rsidR="00D76EB2" w:rsidRPr="00414CC1">
        <w:rPr>
          <w:rFonts w:ascii="Tahoma" w:eastAsia="Times New Roman" w:hAnsi="Tahoma" w:cs="Tahoma"/>
          <w:lang w:val="es-ES" w:eastAsia="es-MX"/>
        </w:rPr>
        <w:t xml:space="preserve"> y, en consecuencia, </w:t>
      </w:r>
      <w:r w:rsidR="000D3214" w:rsidRPr="00414CC1">
        <w:rPr>
          <w:rFonts w:ascii="Tahoma" w:eastAsia="Times New Roman" w:hAnsi="Tahoma" w:cs="Tahoma"/>
          <w:lang w:val="es-ES" w:eastAsia="es-MX"/>
        </w:rPr>
        <w:t xml:space="preserve">pretende que </w:t>
      </w:r>
      <w:r w:rsidR="00D76EB2" w:rsidRPr="00414CC1">
        <w:rPr>
          <w:rFonts w:ascii="Tahoma" w:eastAsia="Times New Roman" w:hAnsi="Tahoma" w:cs="Tahoma"/>
          <w:lang w:val="es-ES" w:eastAsia="es-MX"/>
        </w:rPr>
        <w:t xml:space="preserve">se </w:t>
      </w:r>
      <w:r w:rsidR="000D3214" w:rsidRPr="00414CC1">
        <w:rPr>
          <w:rFonts w:ascii="Tahoma" w:eastAsia="Times New Roman" w:hAnsi="Tahoma" w:cs="Tahoma"/>
          <w:lang w:val="es-ES" w:eastAsia="es-MX"/>
        </w:rPr>
        <w:t>condene a Porvenir</w:t>
      </w:r>
      <w:r w:rsidR="00FC2240" w:rsidRPr="00414CC1">
        <w:rPr>
          <w:rFonts w:ascii="Tahoma" w:eastAsia="Times New Roman" w:hAnsi="Tahoma" w:cs="Tahoma"/>
          <w:lang w:val="es-ES" w:eastAsia="es-MX"/>
        </w:rPr>
        <w:t xml:space="preserve"> S.A. </w:t>
      </w:r>
      <w:r w:rsidR="00D76EB2" w:rsidRPr="00414CC1">
        <w:rPr>
          <w:rFonts w:ascii="Tahoma" w:eastAsia="Times New Roman" w:hAnsi="Tahoma" w:cs="Tahoma"/>
          <w:lang w:val="es-ES" w:eastAsia="es-MX"/>
        </w:rPr>
        <w:t xml:space="preserve">a </w:t>
      </w:r>
      <w:r w:rsidR="000D3214" w:rsidRPr="00414CC1">
        <w:rPr>
          <w:rFonts w:ascii="Tahoma" w:eastAsia="Times New Roman" w:hAnsi="Tahoma" w:cs="Tahoma"/>
          <w:lang w:val="es-ES" w:eastAsia="es-MX"/>
        </w:rPr>
        <w:t>liberarla de sus bases de datos y trasladar sus cotizaciones a Colpensiones, así como a esta última, recibirla como afiliada.</w:t>
      </w:r>
    </w:p>
    <w:p w14:paraId="23F46B54" w14:textId="77777777" w:rsidR="00526962" w:rsidRPr="00414CC1" w:rsidRDefault="00526962" w:rsidP="00414CC1">
      <w:pPr>
        <w:spacing w:before="0" w:beforeAutospacing="0" w:after="0" w:afterAutospacing="0" w:line="276" w:lineRule="auto"/>
        <w:rPr>
          <w:rFonts w:ascii="Tahoma" w:eastAsia="Times New Roman" w:hAnsi="Tahoma" w:cs="Tahoma"/>
          <w:lang w:val="es-ES" w:eastAsia="es-MX"/>
        </w:rPr>
      </w:pPr>
    </w:p>
    <w:p w14:paraId="026F678A" w14:textId="592B7809" w:rsidR="00E209E0" w:rsidRPr="00414CC1" w:rsidRDefault="006C00B2" w:rsidP="00414CC1">
      <w:pPr>
        <w:spacing w:before="0" w:beforeAutospacing="0" w:after="0" w:afterAutospacing="0" w:line="276" w:lineRule="auto"/>
        <w:ind w:firstLine="708"/>
        <w:rPr>
          <w:rFonts w:ascii="Tahoma" w:eastAsia="Times New Roman" w:hAnsi="Tahoma" w:cs="Tahoma"/>
          <w:lang w:val="es-ES" w:eastAsia="es-MX"/>
        </w:rPr>
      </w:pPr>
      <w:r w:rsidRPr="00414CC1">
        <w:rPr>
          <w:rFonts w:ascii="Tahoma" w:eastAsia="Times New Roman" w:hAnsi="Tahoma" w:cs="Tahoma"/>
          <w:lang w:val="es-ES" w:eastAsia="es-MX"/>
        </w:rPr>
        <w:t>En sustento de lo pretendido, relata que</w:t>
      </w:r>
      <w:r w:rsidR="00BE4EAC" w:rsidRPr="00414CC1">
        <w:rPr>
          <w:rFonts w:ascii="Tahoma" w:eastAsia="Times New Roman" w:hAnsi="Tahoma" w:cs="Tahoma"/>
          <w:lang w:val="es-ES" w:eastAsia="es-MX"/>
        </w:rPr>
        <w:t xml:space="preserve"> nació el </w:t>
      </w:r>
      <w:r w:rsidR="000D3214" w:rsidRPr="00414CC1">
        <w:rPr>
          <w:rFonts w:ascii="Tahoma" w:eastAsia="Times New Roman" w:hAnsi="Tahoma" w:cs="Tahoma"/>
          <w:lang w:val="es-ES" w:eastAsia="es-MX"/>
        </w:rPr>
        <w:t>24 de julio de 1958; que el 06 de mayo de 1978</w:t>
      </w:r>
      <w:r w:rsidRPr="00414CC1">
        <w:rPr>
          <w:rFonts w:ascii="Tahoma" w:eastAsia="Times New Roman" w:hAnsi="Tahoma" w:cs="Tahoma"/>
          <w:lang w:val="es-ES" w:eastAsia="es-MX"/>
        </w:rPr>
        <w:t xml:space="preserve"> </w:t>
      </w:r>
      <w:r w:rsidR="00B663A6" w:rsidRPr="00414CC1">
        <w:rPr>
          <w:rFonts w:ascii="Tahoma" w:eastAsia="Times New Roman" w:hAnsi="Tahoma" w:cs="Tahoma"/>
          <w:lang w:val="es-ES" w:eastAsia="es-MX"/>
        </w:rPr>
        <w:t xml:space="preserve">se afilió por primera vez al Régimen de Prima Media con Prestación Definida (en adelante RPM), en donde </w:t>
      </w:r>
      <w:r w:rsidR="00B56F0B" w:rsidRPr="00414CC1">
        <w:rPr>
          <w:rFonts w:ascii="Tahoma" w:eastAsia="Times New Roman" w:hAnsi="Tahoma" w:cs="Tahoma"/>
          <w:lang w:val="es-ES" w:eastAsia="es-MX"/>
        </w:rPr>
        <w:t xml:space="preserve">cotizó </w:t>
      </w:r>
      <w:r w:rsidR="000D3214" w:rsidRPr="00414CC1">
        <w:rPr>
          <w:rFonts w:ascii="Tahoma" w:eastAsia="Times New Roman" w:hAnsi="Tahoma" w:cs="Tahoma"/>
          <w:lang w:val="es-ES" w:eastAsia="es-MX"/>
        </w:rPr>
        <w:t xml:space="preserve">hasta noviembre de 1990; que el 01 de </w:t>
      </w:r>
      <w:r w:rsidR="000D3214" w:rsidRPr="00414CC1">
        <w:rPr>
          <w:rFonts w:ascii="Tahoma" w:eastAsia="Times New Roman" w:hAnsi="Tahoma" w:cs="Tahoma"/>
          <w:lang w:val="es-ES" w:eastAsia="es-MX"/>
        </w:rPr>
        <w:lastRenderedPageBreak/>
        <w:t>febrero de 2002</w:t>
      </w:r>
      <w:r w:rsidR="00B663A6" w:rsidRPr="00414CC1">
        <w:rPr>
          <w:rFonts w:ascii="Tahoma" w:eastAsia="Times New Roman" w:hAnsi="Tahoma" w:cs="Tahoma"/>
          <w:lang w:val="es-ES" w:eastAsia="es-MX"/>
        </w:rPr>
        <w:t xml:space="preserve"> </w:t>
      </w:r>
      <w:r w:rsidR="000D3214" w:rsidRPr="00414CC1">
        <w:rPr>
          <w:rFonts w:ascii="Tahoma" w:eastAsia="Times New Roman" w:hAnsi="Tahoma" w:cs="Tahoma"/>
          <w:lang w:val="es-ES" w:eastAsia="es-MX"/>
        </w:rPr>
        <w:t xml:space="preserve">se </w:t>
      </w:r>
      <w:r w:rsidR="00B663A6" w:rsidRPr="00414CC1">
        <w:rPr>
          <w:rFonts w:ascii="Tahoma" w:eastAsia="Times New Roman" w:hAnsi="Tahoma" w:cs="Tahoma"/>
          <w:lang w:val="es-ES" w:eastAsia="es-MX"/>
        </w:rPr>
        <w:t xml:space="preserve">trasladó a </w:t>
      </w:r>
      <w:r w:rsidR="000D3214" w:rsidRPr="00414CC1">
        <w:rPr>
          <w:rFonts w:ascii="Tahoma" w:eastAsia="Times New Roman" w:hAnsi="Tahoma" w:cs="Tahoma"/>
          <w:lang w:val="es-ES" w:eastAsia="es-MX"/>
        </w:rPr>
        <w:t>Horizonte hoy Porvenir</w:t>
      </w:r>
      <w:r w:rsidR="00B56F0B" w:rsidRPr="00414CC1">
        <w:rPr>
          <w:rFonts w:ascii="Tahoma" w:eastAsia="Times New Roman" w:hAnsi="Tahoma" w:cs="Tahoma"/>
          <w:lang w:val="es-ES" w:eastAsia="es-MX"/>
        </w:rPr>
        <w:t xml:space="preserve"> S.A., </w:t>
      </w:r>
      <w:r w:rsidR="000D3214" w:rsidRPr="00414CC1">
        <w:rPr>
          <w:rFonts w:ascii="Tahoma" w:eastAsia="Times New Roman" w:hAnsi="Tahoma" w:cs="Tahoma"/>
          <w:lang w:val="es-ES" w:eastAsia="es-MX"/>
        </w:rPr>
        <w:t xml:space="preserve">motivada en que el asesor de la AFP le aseguró que en el fondo privado su pensión sería más alta, que </w:t>
      </w:r>
      <w:r w:rsidR="78626819" w:rsidRPr="00414CC1">
        <w:rPr>
          <w:rFonts w:ascii="Tahoma" w:eastAsia="Times New Roman" w:hAnsi="Tahoma" w:cs="Tahoma"/>
          <w:lang w:val="es-ES" w:eastAsia="es-MX"/>
        </w:rPr>
        <w:t>si</w:t>
      </w:r>
      <w:r w:rsidR="000D3214" w:rsidRPr="00414CC1">
        <w:rPr>
          <w:rFonts w:ascii="Tahoma" w:eastAsia="Times New Roman" w:hAnsi="Tahoma" w:cs="Tahoma"/>
          <w:lang w:val="es-ES" w:eastAsia="es-MX"/>
        </w:rPr>
        <w:t xml:space="preserve"> no quería recibir la pensión podría optar por la devolución de saldos, incluido el bono pensional y que el ISS estaba próximo a desaparecer y, por ende, se perderían sus aportes.</w:t>
      </w:r>
    </w:p>
    <w:p w14:paraId="1525A422" w14:textId="60166512" w:rsidR="00B663A6" w:rsidRPr="00414CC1" w:rsidRDefault="00B663A6" w:rsidP="00414CC1">
      <w:pPr>
        <w:spacing w:before="0" w:beforeAutospacing="0" w:after="0" w:afterAutospacing="0" w:line="276" w:lineRule="auto"/>
        <w:ind w:firstLine="708"/>
        <w:rPr>
          <w:rFonts w:ascii="Tahoma" w:eastAsia="Times New Roman" w:hAnsi="Tahoma" w:cs="Tahoma"/>
          <w:lang w:val="es-ES" w:eastAsia="es-MX"/>
        </w:rPr>
      </w:pPr>
    </w:p>
    <w:p w14:paraId="563050A2" w14:textId="763A1B82" w:rsidR="00B663A6" w:rsidRPr="00414CC1" w:rsidRDefault="00B663A6" w:rsidP="00414CC1">
      <w:pPr>
        <w:spacing w:before="0" w:beforeAutospacing="0" w:after="0" w:afterAutospacing="0" w:line="276" w:lineRule="auto"/>
        <w:ind w:firstLine="708"/>
        <w:rPr>
          <w:rFonts w:ascii="Tahoma" w:eastAsia="Times New Roman" w:hAnsi="Tahoma" w:cs="Tahoma"/>
          <w:lang w:val="es-ES" w:eastAsia="es-MX"/>
        </w:rPr>
      </w:pPr>
      <w:r w:rsidRPr="00414CC1">
        <w:rPr>
          <w:rFonts w:ascii="Tahoma" w:eastAsia="Times New Roman" w:hAnsi="Tahoma" w:cs="Tahoma"/>
          <w:lang w:val="es-ES" w:eastAsia="es-MX"/>
        </w:rPr>
        <w:t xml:space="preserve">Agrega que el </w:t>
      </w:r>
      <w:r w:rsidR="000D3214" w:rsidRPr="00414CC1">
        <w:rPr>
          <w:rFonts w:ascii="Tahoma" w:eastAsia="Times New Roman" w:hAnsi="Tahoma" w:cs="Tahoma"/>
          <w:lang w:val="es-ES" w:eastAsia="es-MX"/>
        </w:rPr>
        <w:t>08 de septiembre de 2020</w:t>
      </w:r>
      <w:r w:rsidRPr="00414CC1">
        <w:rPr>
          <w:rFonts w:ascii="Tahoma" w:eastAsia="Times New Roman" w:hAnsi="Tahoma" w:cs="Tahoma"/>
          <w:lang w:val="es-ES" w:eastAsia="es-MX"/>
        </w:rPr>
        <w:t xml:space="preserve"> solicitó ante Colpensiones el regreso al RPM, no obstante, le fue negado por encontrarse a diez años o menos del requisito de tiempo para pensionarse. </w:t>
      </w:r>
    </w:p>
    <w:p w14:paraId="7A872F8D" w14:textId="77777777" w:rsidR="006C00B2" w:rsidRPr="00414CC1" w:rsidRDefault="006C00B2" w:rsidP="00414CC1">
      <w:pPr>
        <w:spacing w:before="0" w:beforeAutospacing="0" w:after="0" w:afterAutospacing="0" w:line="276" w:lineRule="auto"/>
        <w:ind w:firstLine="0"/>
        <w:rPr>
          <w:rFonts w:ascii="Tahoma" w:eastAsia="Times New Roman" w:hAnsi="Tahoma" w:cs="Tahoma"/>
          <w:lang w:val="es-ES" w:eastAsia="es-MX"/>
        </w:rPr>
      </w:pPr>
    </w:p>
    <w:p w14:paraId="2B233A71" w14:textId="5098E378" w:rsidR="00BE461D" w:rsidRPr="00414CC1" w:rsidRDefault="001D2E0C" w:rsidP="00414CC1">
      <w:pPr>
        <w:spacing w:before="0" w:beforeAutospacing="0" w:after="0" w:afterAutospacing="0" w:line="276" w:lineRule="auto"/>
        <w:ind w:firstLine="708"/>
        <w:rPr>
          <w:rFonts w:ascii="Tahoma" w:eastAsia="Times New Roman" w:hAnsi="Tahoma" w:cs="Tahoma"/>
          <w:lang w:val="es-ES" w:eastAsia="es-MX"/>
        </w:rPr>
      </w:pPr>
      <w:r w:rsidRPr="00414CC1">
        <w:rPr>
          <w:rFonts w:ascii="Tahoma" w:eastAsia="Times New Roman" w:hAnsi="Tahoma" w:cs="Tahoma"/>
          <w:lang w:val="es-ES" w:eastAsia="es-MX"/>
        </w:rPr>
        <w:t>La</w:t>
      </w:r>
      <w:r w:rsidRPr="00414CC1">
        <w:rPr>
          <w:rFonts w:ascii="Tahoma" w:eastAsia="Times New Roman" w:hAnsi="Tahoma" w:cs="Tahoma"/>
          <w:b/>
          <w:bCs/>
          <w:lang w:val="es-ES" w:eastAsia="es-MX"/>
        </w:rPr>
        <w:t xml:space="preserve"> Administradora Colombiana de Pensiones -Colpensiones-</w:t>
      </w:r>
      <w:r w:rsidRPr="00414CC1">
        <w:rPr>
          <w:rFonts w:ascii="Tahoma" w:eastAsia="Times New Roman" w:hAnsi="Tahoma" w:cs="Tahoma"/>
          <w:lang w:val="es-ES" w:eastAsia="es-MX"/>
        </w:rPr>
        <w:t xml:space="preserve"> </w:t>
      </w:r>
      <w:r w:rsidR="006C00B2" w:rsidRPr="00414CC1">
        <w:rPr>
          <w:rFonts w:ascii="Tahoma" w:eastAsia="Times New Roman" w:hAnsi="Tahoma" w:cs="Tahoma"/>
          <w:lang w:val="es-ES" w:eastAsia="es-MX"/>
        </w:rPr>
        <w:t xml:space="preserve">se opuso a todas y cada una de las pretensiones </w:t>
      </w:r>
      <w:r w:rsidR="00CC3A97" w:rsidRPr="00414CC1">
        <w:rPr>
          <w:rFonts w:ascii="Tahoma" w:eastAsia="Times New Roman" w:hAnsi="Tahoma" w:cs="Tahoma"/>
          <w:lang w:val="es-ES" w:eastAsia="es-MX"/>
        </w:rPr>
        <w:t xml:space="preserve">de la demanda, para lo cual arguyo que </w:t>
      </w:r>
      <w:r w:rsidR="00322C91" w:rsidRPr="00414CC1">
        <w:rPr>
          <w:rFonts w:ascii="Tahoma" w:eastAsia="Times New Roman" w:hAnsi="Tahoma" w:cs="Tahoma"/>
          <w:lang w:val="es-ES" w:eastAsia="es-MX"/>
        </w:rPr>
        <w:t>en el expediente no reposa prueba alguna que permita entrever un posible vicio o error que conlleve a la indebida afiliación</w:t>
      </w:r>
      <w:r w:rsidR="0063770E" w:rsidRPr="00414CC1">
        <w:rPr>
          <w:rFonts w:ascii="Tahoma" w:eastAsia="Times New Roman" w:hAnsi="Tahoma" w:cs="Tahoma"/>
          <w:lang w:val="es-ES" w:eastAsia="es-MX"/>
        </w:rPr>
        <w:t>, adicional a lo cual no es posible dar trámite al traslado por cuenta la actora cuenta con más de 47 años de edad</w:t>
      </w:r>
      <w:r w:rsidR="00C6089B" w:rsidRPr="00414CC1">
        <w:rPr>
          <w:rFonts w:ascii="Tahoma" w:eastAsia="Times New Roman" w:hAnsi="Tahoma" w:cs="Tahoma"/>
          <w:lang w:val="es-ES" w:eastAsia="es-MX"/>
        </w:rPr>
        <w:t>.</w:t>
      </w:r>
      <w:r w:rsidR="004A022C" w:rsidRPr="00414CC1">
        <w:rPr>
          <w:rFonts w:ascii="Tahoma" w:eastAsia="Times New Roman" w:hAnsi="Tahoma" w:cs="Tahoma"/>
          <w:lang w:val="es-ES" w:eastAsia="es-MX"/>
        </w:rPr>
        <w:t xml:space="preserve"> </w:t>
      </w:r>
      <w:r w:rsidR="006C00B2" w:rsidRPr="00414CC1">
        <w:rPr>
          <w:rFonts w:ascii="Tahoma" w:eastAsia="Times New Roman" w:hAnsi="Tahoma" w:cs="Tahoma"/>
          <w:lang w:val="es-ES" w:eastAsia="es-MX"/>
        </w:rPr>
        <w:t>En esa medida, invocó como excepciones de mérito “</w:t>
      </w:r>
      <w:r w:rsidR="00322C91" w:rsidRPr="00414CC1">
        <w:rPr>
          <w:rFonts w:ascii="Tahoma" w:eastAsia="Times New Roman" w:hAnsi="Tahoma" w:cs="Tahoma"/>
          <w:i/>
          <w:iCs/>
          <w:lang w:val="es-ES" w:eastAsia="es-MX"/>
        </w:rPr>
        <w:t>inexistencia de la obligación demandada</w:t>
      </w:r>
      <w:r w:rsidR="000D60BA" w:rsidRPr="00414CC1">
        <w:rPr>
          <w:rFonts w:ascii="Tahoma" w:eastAsia="Times New Roman" w:hAnsi="Tahoma" w:cs="Tahoma"/>
          <w:i/>
          <w:iCs/>
          <w:lang w:val="es-ES" w:eastAsia="es-MX"/>
        </w:rPr>
        <w:t>”</w:t>
      </w:r>
      <w:r w:rsidR="00322C91" w:rsidRPr="00414CC1">
        <w:rPr>
          <w:rFonts w:ascii="Tahoma" w:eastAsia="Times New Roman" w:hAnsi="Tahoma" w:cs="Tahoma"/>
          <w:i/>
          <w:iCs/>
          <w:lang w:val="es-ES" w:eastAsia="es-MX"/>
        </w:rPr>
        <w:t>, “prescripción”, “estricto cumplimiento de la normatividad vigente”, buena fe”, “inoponibilidad de la responsabilidad de la AFP ante Colpensiones, en casos de ineficacia de traslado de régimen” y “declaratoria de otras excepciones”</w:t>
      </w:r>
      <w:r w:rsidR="000D60BA" w:rsidRPr="00414CC1">
        <w:rPr>
          <w:rFonts w:ascii="Tahoma" w:eastAsia="Times New Roman" w:hAnsi="Tahoma" w:cs="Tahoma"/>
          <w:i/>
          <w:iCs/>
          <w:lang w:val="es-ES" w:eastAsia="es-MX"/>
        </w:rPr>
        <w:t>.</w:t>
      </w:r>
    </w:p>
    <w:p w14:paraId="61C274DF" w14:textId="77777777" w:rsidR="00F47B0B" w:rsidRPr="00414CC1" w:rsidRDefault="00F47B0B" w:rsidP="00414CC1">
      <w:pPr>
        <w:spacing w:before="0" w:beforeAutospacing="0" w:after="0" w:afterAutospacing="0" w:line="276" w:lineRule="auto"/>
        <w:ind w:firstLine="708"/>
        <w:rPr>
          <w:rFonts w:ascii="Tahoma" w:eastAsia="Times New Roman" w:hAnsi="Tahoma" w:cs="Tahoma"/>
          <w:bCs/>
          <w:lang w:val="es-ES" w:eastAsia="es-MX"/>
        </w:rPr>
      </w:pPr>
    </w:p>
    <w:p w14:paraId="60D1230E" w14:textId="5F69A11B" w:rsidR="005F1B17" w:rsidRPr="00414CC1" w:rsidRDefault="006C00B2" w:rsidP="00414CC1">
      <w:pPr>
        <w:spacing w:before="0" w:beforeAutospacing="0" w:after="0" w:afterAutospacing="0" w:line="276" w:lineRule="auto"/>
        <w:ind w:firstLine="708"/>
        <w:contextualSpacing/>
        <w:rPr>
          <w:rFonts w:ascii="Tahoma" w:hAnsi="Tahoma" w:cs="Tahoma"/>
          <w:i/>
          <w:iCs/>
        </w:rPr>
      </w:pPr>
      <w:r w:rsidRPr="00414CC1">
        <w:rPr>
          <w:rFonts w:ascii="Tahoma" w:eastAsia="Times New Roman" w:hAnsi="Tahoma" w:cs="Tahoma"/>
          <w:bCs/>
          <w:lang w:val="es-ES" w:eastAsia="es-MX"/>
        </w:rPr>
        <w:t xml:space="preserve">Por su parte, </w:t>
      </w:r>
      <w:r w:rsidR="001D2E0C" w:rsidRPr="00414CC1">
        <w:rPr>
          <w:rFonts w:ascii="Tahoma" w:eastAsia="Calibri" w:hAnsi="Tahoma" w:cs="Tahoma"/>
        </w:rPr>
        <w:t>la</w:t>
      </w:r>
      <w:r w:rsidR="001D2E0C" w:rsidRPr="00414CC1">
        <w:rPr>
          <w:rFonts w:ascii="Tahoma" w:eastAsia="Calibri" w:hAnsi="Tahoma" w:cs="Tahoma"/>
          <w:b/>
        </w:rPr>
        <w:t xml:space="preserve"> </w:t>
      </w:r>
      <w:r w:rsidR="005F1B17" w:rsidRPr="00414CC1">
        <w:rPr>
          <w:rFonts w:ascii="Tahoma" w:eastAsia="Calibri" w:hAnsi="Tahoma" w:cs="Tahoma"/>
          <w:b/>
        </w:rPr>
        <w:t xml:space="preserve">Administradora de Fondos de Pensiones y Cesantías </w:t>
      </w:r>
      <w:r w:rsidR="008A1431" w:rsidRPr="00414CC1">
        <w:rPr>
          <w:rFonts w:ascii="Tahoma" w:eastAsia="Calibri" w:hAnsi="Tahoma" w:cs="Tahoma"/>
          <w:b/>
        </w:rPr>
        <w:t>Porvenir</w:t>
      </w:r>
      <w:r w:rsidR="005F1B17" w:rsidRPr="00414CC1">
        <w:rPr>
          <w:rFonts w:ascii="Tahoma" w:eastAsia="Calibri" w:hAnsi="Tahoma" w:cs="Tahoma"/>
          <w:b/>
        </w:rPr>
        <w:t xml:space="preserve"> S.A.</w:t>
      </w:r>
      <w:r w:rsidR="001D2E0C" w:rsidRPr="00414CC1">
        <w:rPr>
          <w:rFonts w:ascii="Tahoma" w:hAnsi="Tahoma" w:cs="Tahoma"/>
          <w:b/>
          <w:caps/>
        </w:rPr>
        <w:t xml:space="preserve">, </w:t>
      </w:r>
      <w:r w:rsidR="001D2E0C" w:rsidRPr="00414CC1">
        <w:rPr>
          <w:rFonts w:ascii="Tahoma" w:hAnsi="Tahoma" w:cs="Tahoma"/>
        </w:rPr>
        <w:t xml:space="preserve">argumentó en su defensa que </w:t>
      </w:r>
      <w:r w:rsidR="008A1431" w:rsidRPr="00414CC1">
        <w:rPr>
          <w:rFonts w:ascii="Tahoma" w:hAnsi="Tahoma" w:cs="Tahoma"/>
        </w:rPr>
        <w:t xml:space="preserve">la información brindada a la demandante fue completa, veraz y oportuna, puesto que la asesoría se ajustó a los parámetros legales vigentes para la época del traslado, donde no era obligatorio realizar proyecciones financieras, ni tener constancia escrita de las mismas. Además, señaló que la demandante no puede retornar en la actualidad al RPM, debido a que ya cumplió con la edad requerida para pensionarse y no es beneficiaria del régimen de transición. Así, </w:t>
      </w:r>
      <w:r w:rsidR="008A1431" w:rsidRPr="00414CC1">
        <w:rPr>
          <w:rFonts w:ascii="Tahoma" w:eastAsia="Times New Roman" w:hAnsi="Tahoma" w:cs="Tahoma"/>
          <w:lang w:val="es-ES" w:eastAsia="es-MX"/>
        </w:rPr>
        <w:t xml:space="preserve">como medios exceptivos de mérito formuló: </w:t>
      </w:r>
      <w:r w:rsidR="008A1431" w:rsidRPr="00414CC1">
        <w:rPr>
          <w:rFonts w:ascii="Tahoma" w:eastAsia="Times New Roman" w:hAnsi="Tahoma" w:cs="Tahoma"/>
          <w:i/>
          <w:iCs/>
          <w:lang w:val="es-ES" w:eastAsia="es-MX"/>
        </w:rPr>
        <w:t>“</w:t>
      </w:r>
      <w:r w:rsidR="008A1431" w:rsidRPr="00414CC1">
        <w:rPr>
          <w:rFonts w:ascii="Tahoma" w:hAnsi="Tahoma" w:cs="Tahoma"/>
          <w:i/>
          <w:iCs/>
        </w:rPr>
        <w:t xml:space="preserve">validez y eficacia de la afiliación al RAIS e inexistencia de vicios en el consentimiento”, </w:t>
      </w:r>
      <w:r w:rsidR="00BF47E6" w:rsidRPr="00414CC1">
        <w:rPr>
          <w:rFonts w:ascii="Tahoma" w:hAnsi="Tahoma" w:cs="Tahoma"/>
          <w:i/>
          <w:iCs/>
        </w:rPr>
        <w:t xml:space="preserve">“saneamiento de la eventual nulidad relativa”, </w:t>
      </w:r>
      <w:r w:rsidR="008A1431" w:rsidRPr="00414CC1">
        <w:rPr>
          <w:rFonts w:ascii="Tahoma" w:hAnsi="Tahoma" w:cs="Tahoma"/>
          <w:i/>
          <w:iCs/>
        </w:rPr>
        <w:t xml:space="preserve">“inexistencia de la obligación de devolver la comisión de administración, en caso de que se declarare la nulidad o ineficacia de la afiliación al RAIS”, “inexistencia de la obligación de devolver el pago al seguro previsional cuando se declara la nulidad o ineficacia de la afiliación al RAIS”, “prescripción”, “buena fe” </w:t>
      </w:r>
      <w:r w:rsidR="00BF47E6" w:rsidRPr="00414CC1">
        <w:rPr>
          <w:rFonts w:ascii="Tahoma" w:hAnsi="Tahoma" w:cs="Tahoma"/>
          <w:i/>
          <w:iCs/>
        </w:rPr>
        <w:t xml:space="preserve"> </w:t>
      </w:r>
      <w:r w:rsidR="00BF47E6" w:rsidRPr="00414CC1">
        <w:rPr>
          <w:rFonts w:ascii="Tahoma" w:hAnsi="Tahoma" w:cs="Tahoma"/>
          <w:iCs/>
        </w:rPr>
        <w:t>e</w:t>
      </w:r>
      <w:r w:rsidR="00BF47E6" w:rsidRPr="00414CC1">
        <w:rPr>
          <w:rFonts w:ascii="Tahoma" w:hAnsi="Tahoma" w:cs="Tahoma"/>
          <w:i/>
          <w:iCs/>
        </w:rPr>
        <w:t xml:space="preserve"> “innominada</w:t>
      </w:r>
      <w:r w:rsidR="008A1431" w:rsidRPr="00414CC1">
        <w:rPr>
          <w:rFonts w:ascii="Tahoma" w:hAnsi="Tahoma" w:cs="Tahoma"/>
          <w:i/>
          <w:iCs/>
        </w:rPr>
        <w:t xml:space="preserve"> o genérica”.</w:t>
      </w:r>
    </w:p>
    <w:p w14:paraId="72567753" w14:textId="6C10E0E7" w:rsidR="0051727C" w:rsidRDefault="0051727C" w:rsidP="00414CC1">
      <w:pPr>
        <w:spacing w:before="0" w:beforeAutospacing="0" w:after="0" w:afterAutospacing="0" w:line="276" w:lineRule="auto"/>
        <w:ind w:firstLine="708"/>
        <w:contextualSpacing/>
        <w:rPr>
          <w:rFonts w:ascii="Tahoma" w:eastAsia="Times New Roman" w:hAnsi="Tahoma" w:cs="Tahoma"/>
          <w:i/>
          <w:lang w:val="es-ES" w:eastAsia="es-MX"/>
        </w:rPr>
      </w:pPr>
    </w:p>
    <w:p w14:paraId="5E90F20E" w14:textId="77777777" w:rsidR="00414CC1" w:rsidRPr="00414CC1" w:rsidRDefault="00414CC1" w:rsidP="00414CC1">
      <w:pPr>
        <w:spacing w:before="0" w:beforeAutospacing="0" w:after="0" w:afterAutospacing="0" w:line="276" w:lineRule="auto"/>
        <w:ind w:firstLine="708"/>
        <w:contextualSpacing/>
        <w:rPr>
          <w:rFonts w:ascii="Tahoma" w:eastAsia="Times New Roman" w:hAnsi="Tahoma" w:cs="Tahoma"/>
          <w:i/>
          <w:lang w:val="es-ES" w:eastAsia="es-MX"/>
        </w:rPr>
      </w:pPr>
    </w:p>
    <w:p w14:paraId="0D04922D" w14:textId="77777777" w:rsidR="00DC4FE9" w:rsidRPr="00414CC1" w:rsidRDefault="00DC4FE9" w:rsidP="00414CC1">
      <w:pPr>
        <w:pStyle w:val="Prrafodelista"/>
        <w:numPr>
          <w:ilvl w:val="0"/>
          <w:numId w:val="1"/>
        </w:numPr>
        <w:spacing w:line="276" w:lineRule="auto"/>
        <w:ind w:left="426" w:hanging="426"/>
        <w:jc w:val="center"/>
        <w:rPr>
          <w:rFonts w:cs="Tahoma"/>
          <w:b/>
          <w:bCs/>
          <w:szCs w:val="24"/>
        </w:rPr>
      </w:pPr>
      <w:r w:rsidRPr="00414CC1">
        <w:rPr>
          <w:rFonts w:cs="Tahoma"/>
          <w:b/>
          <w:bCs/>
          <w:szCs w:val="24"/>
        </w:rPr>
        <w:t>Sentencia de primera instancia</w:t>
      </w:r>
    </w:p>
    <w:p w14:paraId="5AD2A23A" w14:textId="77777777" w:rsidR="000B1501" w:rsidRPr="00414CC1" w:rsidRDefault="000B1501" w:rsidP="00414CC1">
      <w:pPr>
        <w:spacing w:before="0" w:beforeAutospacing="0" w:after="0" w:afterAutospacing="0" w:line="276" w:lineRule="auto"/>
        <w:contextualSpacing/>
        <w:rPr>
          <w:rFonts w:ascii="Tahoma" w:eastAsia="Calibri" w:hAnsi="Tahoma" w:cs="Tahoma"/>
          <w:lang w:val="es-ES"/>
        </w:rPr>
      </w:pPr>
    </w:p>
    <w:p w14:paraId="3D724D0A" w14:textId="721D56F9" w:rsidR="00CE3096" w:rsidRPr="00414CC1" w:rsidRDefault="004F2ECB" w:rsidP="00414CC1">
      <w:pPr>
        <w:widowControl w:val="0"/>
        <w:autoSpaceDE w:val="0"/>
        <w:autoSpaceDN w:val="0"/>
        <w:spacing w:before="0" w:beforeAutospacing="0" w:after="0" w:afterAutospacing="0" w:line="276" w:lineRule="auto"/>
        <w:contextualSpacing/>
        <w:rPr>
          <w:rFonts w:ascii="Tahoma" w:eastAsia="Calibri" w:hAnsi="Tahoma" w:cs="Tahoma"/>
          <w:lang w:val="es-ES"/>
        </w:rPr>
      </w:pPr>
      <w:r w:rsidRPr="00414CC1">
        <w:rPr>
          <w:rFonts w:ascii="Tahoma" w:eastAsia="Calibri" w:hAnsi="Tahoma" w:cs="Tahoma"/>
          <w:lang w:val="es-ES"/>
        </w:rPr>
        <w:t xml:space="preserve">La jueza de primera instancia </w:t>
      </w:r>
      <w:r w:rsidR="00CE3096" w:rsidRPr="00414CC1">
        <w:rPr>
          <w:rFonts w:ascii="Tahoma" w:eastAsia="Calibri" w:hAnsi="Tahoma" w:cs="Tahoma"/>
          <w:lang w:val="es-ES"/>
        </w:rPr>
        <w:t xml:space="preserve">declaró </w:t>
      </w:r>
      <w:r w:rsidR="00722F03" w:rsidRPr="00414CC1">
        <w:rPr>
          <w:rFonts w:ascii="Tahoma" w:eastAsia="Calibri" w:hAnsi="Tahoma" w:cs="Tahoma"/>
          <w:lang w:val="es-ES"/>
        </w:rPr>
        <w:t>no probadas las excepciones propuestas por la</w:t>
      </w:r>
      <w:r w:rsidR="00E95990" w:rsidRPr="00414CC1">
        <w:rPr>
          <w:rFonts w:ascii="Tahoma" w:eastAsia="Calibri" w:hAnsi="Tahoma" w:cs="Tahoma"/>
          <w:lang w:val="es-ES"/>
        </w:rPr>
        <w:t>s</w:t>
      </w:r>
      <w:r w:rsidR="00722F03" w:rsidRPr="00414CC1">
        <w:rPr>
          <w:rFonts w:ascii="Tahoma" w:eastAsia="Calibri" w:hAnsi="Tahoma" w:cs="Tahoma"/>
          <w:lang w:val="es-ES"/>
        </w:rPr>
        <w:t xml:space="preserve"> demandadas y, </w:t>
      </w:r>
      <w:r w:rsidR="00E95990" w:rsidRPr="00414CC1">
        <w:rPr>
          <w:rFonts w:ascii="Tahoma" w:eastAsia="Calibri" w:hAnsi="Tahoma" w:cs="Tahoma"/>
          <w:lang w:val="es-ES"/>
        </w:rPr>
        <w:t xml:space="preserve">por ello, </w:t>
      </w:r>
      <w:r w:rsidR="00722F03" w:rsidRPr="00414CC1">
        <w:rPr>
          <w:rFonts w:ascii="Tahoma" w:eastAsia="Calibri" w:hAnsi="Tahoma" w:cs="Tahoma"/>
          <w:lang w:val="es-ES"/>
        </w:rPr>
        <w:t xml:space="preserve">declaró </w:t>
      </w:r>
      <w:r w:rsidR="00CE3096" w:rsidRPr="00414CC1">
        <w:rPr>
          <w:rFonts w:ascii="Tahoma" w:eastAsia="Calibri" w:hAnsi="Tahoma" w:cs="Tahoma"/>
          <w:lang w:val="es-ES"/>
        </w:rPr>
        <w:t>la ineficacia del traslado del RPM al RAIS llevado a cabo</w:t>
      </w:r>
      <w:r w:rsidR="00713CFE" w:rsidRPr="00414CC1">
        <w:rPr>
          <w:rFonts w:ascii="Tahoma" w:eastAsia="Calibri" w:hAnsi="Tahoma" w:cs="Tahoma"/>
          <w:lang w:val="es-ES"/>
        </w:rPr>
        <w:t xml:space="preserve"> por l</w:t>
      </w:r>
      <w:r w:rsidR="00E95990" w:rsidRPr="00414CC1">
        <w:rPr>
          <w:rFonts w:ascii="Tahoma" w:eastAsia="Calibri" w:hAnsi="Tahoma" w:cs="Tahoma"/>
          <w:lang w:val="es-ES"/>
        </w:rPr>
        <w:t>a</w:t>
      </w:r>
      <w:r w:rsidR="00713CFE" w:rsidRPr="00414CC1">
        <w:rPr>
          <w:rFonts w:ascii="Tahoma" w:eastAsia="Calibri" w:hAnsi="Tahoma" w:cs="Tahoma"/>
          <w:lang w:val="es-ES"/>
        </w:rPr>
        <w:t xml:space="preserve"> demandante</w:t>
      </w:r>
      <w:r w:rsidR="00CE3096" w:rsidRPr="00414CC1">
        <w:rPr>
          <w:rFonts w:ascii="Tahoma" w:eastAsia="Calibri" w:hAnsi="Tahoma" w:cs="Tahoma"/>
          <w:lang w:val="es-ES"/>
        </w:rPr>
        <w:t xml:space="preserve"> el </w:t>
      </w:r>
      <w:r w:rsidR="00E95990" w:rsidRPr="00414CC1">
        <w:rPr>
          <w:rFonts w:ascii="Tahoma" w:eastAsia="Calibri" w:hAnsi="Tahoma" w:cs="Tahoma"/>
          <w:lang w:val="es-ES"/>
        </w:rPr>
        <w:t xml:space="preserve">08 de marzo de 2002 </w:t>
      </w:r>
      <w:r w:rsidR="00CE3096" w:rsidRPr="00414CC1">
        <w:rPr>
          <w:rFonts w:ascii="Tahoma" w:eastAsia="Calibri" w:hAnsi="Tahoma" w:cs="Tahoma"/>
          <w:lang w:val="es-ES"/>
        </w:rPr>
        <w:t xml:space="preserve">a través de </w:t>
      </w:r>
      <w:r w:rsidR="00E95990" w:rsidRPr="00414CC1">
        <w:rPr>
          <w:rFonts w:ascii="Tahoma" w:eastAsia="Calibri" w:hAnsi="Tahoma" w:cs="Tahoma"/>
          <w:lang w:val="es-ES"/>
        </w:rPr>
        <w:t>Horizonte hoy Porvenir</w:t>
      </w:r>
      <w:r w:rsidR="00713CFE" w:rsidRPr="00414CC1">
        <w:rPr>
          <w:rFonts w:ascii="Tahoma" w:eastAsia="Calibri" w:hAnsi="Tahoma" w:cs="Tahoma"/>
          <w:lang w:val="es-ES"/>
        </w:rPr>
        <w:t xml:space="preserve"> S.A.</w:t>
      </w:r>
      <w:r w:rsidR="00CE3096" w:rsidRPr="00414CC1">
        <w:rPr>
          <w:rFonts w:ascii="Tahoma" w:eastAsia="Calibri" w:hAnsi="Tahoma" w:cs="Tahoma"/>
          <w:lang w:val="es-ES"/>
        </w:rPr>
        <w:t xml:space="preserve"> </w:t>
      </w:r>
    </w:p>
    <w:p w14:paraId="25003F2F" w14:textId="77777777" w:rsidR="00CE3096" w:rsidRPr="00414CC1" w:rsidRDefault="00CE3096" w:rsidP="00414CC1">
      <w:pPr>
        <w:widowControl w:val="0"/>
        <w:autoSpaceDE w:val="0"/>
        <w:autoSpaceDN w:val="0"/>
        <w:spacing w:before="0" w:beforeAutospacing="0" w:after="0" w:afterAutospacing="0" w:line="276" w:lineRule="auto"/>
        <w:contextualSpacing/>
        <w:rPr>
          <w:rFonts w:ascii="Tahoma" w:eastAsia="Calibri" w:hAnsi="Tahoma" w:cs="Tahoma"/>
          <w:lang w:val="es-ES"/>
        </w:rPr>
      </w:pPr>
    </w:p>
    <w:p w14:paraId="2C2B35BC" w14:textId="584AB808" w:rsidR="00CE3096" w:rsidRPr="00414CC1" w:rsidRDefault="00CE3096" w:rsidP="00414CC1">
      <w:pPr>
        <w:widowControl w:val="0"/>
        <w:autoSpaceDE w:val="0"/>
        <w:autoSpaceDN w:val="0"/>
        <w:spacing w:before="0" w:beforeAutospacing="0" w:after="0" w:afterAutospacing="0" w:line="276" w:lineRule="auto"/>
        <w:contextualSpacing/>
        <w:rPr>
          <w:rFonts w:ascii="Tahoma" w:eastAsia="Calibri" w:hAnsi="Tahoma" w:cs="Tahoma"/>
        </w:rPr>
      </w:pPr>
      <w:r w:rsidRPr="00414CC1">
        <w:rPr>
          <w:rFonts w:ascii="Tahoma" w:eastAsia="Calibri" w:hAnsi="Tahoma" w:cs="Tahoma"/>
          <w:lang w:val="es-ES"/>
        </w:rPr>
        <w:t>E</w:t>
      </w:r>
      <w:r w:rsidR="00A502E1" w:rsidRPr="00414CC1">
        <w:rPr>
          <w:rFonts w:ascii="Tahoma" w:eastAsia="Calibri" w:hAnsi="Tahoma" w:cs="Tahoma"/>
          <w:lang w:val="es-ES"/>
        </w:rPr>
        <w:t xml:space="preserve">n </w:t>
      </w:r>
      <w:r w:rsidR="00274D15" w:rsidRPr="00414CC1">
        <w:rPr>
          <w:rFonts w:ascii="Tahoma" w:eastAsia="Calibri" w:hAnsi="Tahoma" w:cs="Tahoma"/>
          <w:lang w:val="es-ES"/>
        </w:rPr>
        <w:t>consecuencia,</w:t>
      </w:r>
      <w:r w:rsidR="00A502E1" w:rsidRPr="00414CC1">
        <w:rPr>
          <w:rFonts w:ascii="Tahoma" w:eastAsia="Calibri" w:hAnsi="Tahoma" w:cs="Tahoma"/>
          <w:lang w:val="es-ES"/>
        </w:rPr>
        <w:t xml:space="preserve"> condenó al fondo privado a </w:t>
      </w:r>
      <w:r w:rsidRPr="00414CC1">
        <w:rPr>
          <w:rFonts w:ascii="Tahoma" w:eastAsia="Calibri" w:hAnsi="Tahoma" w:cs="Tahoma"/>
          <w:lang w:val="es-ES"/>
        </w:rPr>
        <w:t>trasladar a</w:t>
      </w:r>
      <w:r w:rsidR="00274D15" w:rsidRPr="00414CC1">
        <w:rPr>
          <w:rFonts w:ascii="Tahoma" w:eastAsia="Calibri" w:hAnsi="Tahoma" w:cs="Tahoma"/>
        </w:rPr>
        <w:t xml:space="preserve"> Colpensiones </w:t>
      </w:r>
      <w:r w:rsidR="00E95990" w:rsidRPr="00414CC1">
        <w:rPr>
          <w:rFonts w:ascii="Tahoma" w:eastAsia="Calibri" w:hAnsi="Tahoma" w:cs="Tahoma"/>
        </w:rPr>
        <w:t xml:space="preserve">todos los aportes que reposen en la cuenta de ahorro individual de la demandante, junto con los rendimientos financieros, así como restituir con cargo a sus propios recursos, el </w:t>
      </w:r>
      <w:r w:rsidR="00E95990" w:rsidRPr="00414CC1">
        <w:rPr>
          <w:rFonts w:ascii="Tahoma" w:eastAsia="Calibri" w:hAnsi="Tahoma" w:cs="Tahoma"/>
        </w:rPr>
        <w:lastRenderedPageBreak/>
        <w:t>valor que destinó a financiar los gastos de administración, las primas que respaldan la garantía de pensión mínima y las primas de los seguros de invalidez y sobrevivientes, debidamente indexadas.</w:t>
      </w:r>
    </w:p>
    <w:p w14:paraId="4582DF93" w14:textId="77777777" w:rsidR="00E95990" w:rsidRPr="00414CC1" w:rsidRDefault="00E95990" w:rsidP="00414CC1">
      <w:pPr>
        <w:widowControl w:val="0"/>
        <w:autoSpaceDE w:val="0"/>
        <w:autoSpaceDN w:val="0"/>
        <w:spacing w:before="0" w:beforeAutospacing="0" w:after="0" w:afterAutospacing="0" w:line="276" w:lineRule="auto"/>
        <w:contextualSpacing/>
        <w:rPr>
          <w:rFonts w:ascii="Tahoma" w:eastAsia="Calibri" w:hAnsi="Tahoma" w:cs="Tahoma"/>
        </w:rPr>
      </w:pPr>
    </w:p>
    <w:p w14:paraId="0F770A65" w14:textId="77777777" w:rsidR="00E95990" w:rsidRPr="00414CC1" w:rsidRDefault="00E95990" w:rsidP="00414CC1">
      <w:pPr>
        <w:widowControl w:val="0"/>
        <w:autoSpaceDE w:val="0"/>
        <w:autoSpaceDN w:val="0"/>
        <w:spacing w:before="0" w:beforeAutospacing="0" w:after="0" w:afterAutospacing="0" w:line="276" w:lineRule="auto"/>
        <w:contextualSpacing/>
        <w:rPr>
          <w:rFonts w:ascii="Tahoma" w:eastAsia="Times New Roman" w:hAnsi="Tahoma" w:cs="Tahoma"/>
          <w:lang w:val="es-ES" w:eastAsia="es-MX"/>
        </w:rPr>
      </w:pPr>
      <w:r w:rsidRPr="00414CC1">
        <w:rPr>
          <w:rFonts w:ascii="Tahoma" w:eastAsia="Calibri" w:hAnsi="Tahoma" w:cs="Tahoma"/>
        </w:rPr>
        <w:t>Por otra parte</w:t>
      </w:r>
      <w:r w:rsidR="00CE3096" w:rsidRPr="00414CC1">
        <w:rPr>
          <w:rFonts w:ascii="Tahoma" w:eastAsia="Calibri" w:hAnsi="Tahoma" w:cs="Tahoma"/>
        </w:rPr>
        <w:t xml:space="preserve">, </w:t>
      </w:r>
      <w:r w:rsidR="00361B77" w:rsidRPr="00414CC1">
        <w:rPr>
          <w:rFonts w:ascii="Tahoma" w:eastAsia="Times New Roman" w:hAnsi="Tahoma" w:cs="Tahoma"/>
          <w:lang w:val="es-ES" w:eastAsia="es-MX"/>
        </w:rPr>
        <w:t>dispuso comunicar a la Oficina de Bonos Pensionales del Ministerio de Hacienda y Crédito Público</w:t>
      </w:r>
      <w:r w:rsidRPr="00414CC1">
        <w:rPr>
          <w:rFonts w:ascii="Tahoma" w:eastAsia="Times New Roman" w:hAnsi="Tahoma" w:cs="Tahoma"/>
          <w:lang w:val="es-ES" w:eastAsia="es-MX"/>
        </w:rPr>
        <w:t xml:space="preserve"> y al Departamento de Antioquía</w:t>
      </w:r>
      <w:r w:rsidR="00361B77" w:rsidRPr="00414CC1">
        <w:rPr>
          <w:rFonts w:ascii="Tahoma" w:eastAsia="Times New Roman" w:hAnsi="Tahoma" w:cs="Tahoma"/>
          <w:lang w:val="es-ES" w:eastAsia="es-MX"/>
        </w:rPr>
        <w:t xml:space="preserve"> </w:t>
      </w:r>
      <w:r w:rsidR="00CE3096" w:rsidRPr="00414CC1">
        <w:rPr>
          <w:rFonts w:ascii="Tahoma" w:eastAsia="Times New Roman" w:hAnsi="Tahoma" w:cs="Tahoma"/>
          <w:lang w:val="es-ES" w:eastAsia="es-MX"/>
        </w:rPr>
        <w:t xml:space="preserve">el contenido de la sentencia </w:t>
      </w:r>
      <w:r w:rsidR="00361B77" w:rsidRPr="00414CC1">
        <w:rPr>
          <w:rFonts w:ascii="Tahoma" w:eastAsia="Times New Roman" w:hAnsi="Tahoma" w:cs="Tahoma"/>
          <w:lang w:val="es-ES" w:eastAsia="es-MX"/>
        </w:rPr>
        <w:t>para que</w:t>
      </w:r>
      <w:r w:rsidR="00CE3096" w:rsidRPr="00414CC1">
        <w:rPr>
          <w:rFonts w:ascii="Tahoma" w:eastAsia="Times New Roman" w:hAnsi="Tahoma" w:cs="Tahoma"/>
          <w:lang w:val="es-ES" w:eastAsia="es-MX"/>
        </w:rPr>
        <w:t>, en caso de haber emitido el bono pensional,</w:t>
      </w:r>
      <w:r w:rsidR="00361B77" w:rsidRPr="00414CC1">
        <w:rPr>
          <w:rFonts w:ascii="Tahoma" w:eastAsia="Times New Roman" w:hAnsi="Tahoma" w:cs="Tahoma"/>
          <w:lang w:val="es-ES" w:eastAsia="es-MX"/>
        </w:rPr>
        <w:t xml:space="preserve"> proceda</w:t>
      </w:r>
      <w:r w:rsidR="00CE3096" w:rsidRPr="00414CC1">
        <w:rPr>
          <w:rFonts w:ascii="Tahoma" w:eastAsia="Times New Roman" w:hAnsi="Tahoma" w:cs="Tahoma"/>
          <w:lang w:val="es-ES" w:eastAsia="es-MX"/>
        </w:rPr>
        <w:t xml:space="preserve"> con la anulación del mismo </w:t>
      </w:r>
      <w:r w:rsidR="00CE7117" w:rsidRPr="00414CC1">
        <w:rPr>
          <w:rFonts w:ascii="Tahoma" w:eastAsia="Times New Roman" w:hAnsi="Tahoma" w:cs="Tahoma"/>
          <w:lang w:val="es-ES" w:eastAsia="es-MX"/>
        </w:rPr>
        <w:t>y,</w:t>
      </w:r>
      <w:r w:rsidRPr="00414CC1">
        <w:rPr>
          <w:rFonts w:ascii="Tahoma" w:eastAsia="Times New Roman" w:hAnsi="Tahoma" w:cs="Tahoma"/>
          <w:lang w:val="es-ES" w:eastAsia="es-MX"/>
        </w:rPr>
        <w:t xml:space="preserve"> concomitante a ello, en caso de haberse pagado el bono, condenó a Porvenir S.A. a restituir la suma pagada a la OBP del Ministerio de Hacienda o al Departamento de Antioquía, debidamente indexada con cargo a sus propios recursos. </w:t>
      </w:r>
    </w:p>
    <w:p w14:paraId="12FDB919" w14:textId="77777777" w:rsidR="00E95990" w:rsidRPr="00414CC1" w:rsidRDefault="00E95990" w:rsidP="00414CC1">
      <w:pPr>
        <w:widowControl w:val="0"/>
        <w:autoSpaceDE w:val="0"/>
        <w:autoSpaceDN w:val="0"/>
        <w:spacing w:before="0" w:beforeAutospacing="0" w:after="0" w:afterAutospacing="0" w:line="276" w:lineRule="auto"/>
        <w:contextualSpacing/>
        <w:rPr>
          <w:rFonts w:ascii="Tahoma" w:eastAsia="Calibri" w:hAnsi="Tahoma" w:cs="Tahoma"/>
          <w:lang w:val="es-ES"/>
        </w:rPr>
      </w:pPr>
    </w:p>
    <w:p w14:paraId="3C5667C7" w14:textId="269A0E14" w:rsidR="00DE7704" w:rsidRPr="00414CC1" w:rsidRDefault="00E95990" w:rsidP="00414CC1">
      <w:pPr>
        <w:widowControl w:val="0"/>
        <w:autoSpaceDE w:val="0"/>
        <w:autoSpaceDN w:val="0"/>
        <w:spacing w:before="0" w:beforeAutospacing="0" w:after="0" w:afterAutospacing="0" w:line="276" w:lineRule="auto"/>
        <w:contextualSpacing/>
        <w:rPr>
          <w:rFonts w:ascii="Tahoma" w:eastAsia="Calibri" w:hAnsi="Tahoma" w:cs="Tahoma"/>
          <w:lang w:val="es-MX"/>
        </w:rPr>
      </w:pPr>
      <w:r w:rsidRPr="00414CC1">
        <w:rPr>
          <w:rFonts w:ascii="Tahoma" w:eastAsia="Calibri" w:hAnsi="Tahoma" w:cs="Tahoma"/>
          <w:lang w:val="es-ES"/>
        </w:rPr>
        <w:t xml:space="preserve">Finalmente, </w:t>
      </w:r>
      <w:r w:rsidR="00CE7117" w:rsidRPr="00414CC1">
        <w:rPr>
          <w:rFonts w:ascii="Tahoma" w:eastAsia="Calibri" w:hAnsi="Tahoma" w:cs="Tahoma"/>
          <w:lang w:val="es-ES"/>
        </w:rPr>
        <w:t>condenó</w:t>
      </w:r>
      <w:r w:rsidR="00DE7704" w:rsidRPr="00414CC1">
        <w:rPr>
          <w:rFonts w:ascii="Tahoma" w:eastAsia="Calibri" w:hAnsi="Tahoma" w:cs="Tahoma"/>
          <w:lang w:val="es-ES"/>
        </w:rPr>
        <w:t xml:space="preserve"> en</w:t>
      </w:r>
      <w:r w:rsidR="00DE7704" w:rsidRPr="00414CC1">
        <w:rPr>
          <w:rFonts w:ascii="Tahoma" w:eastAsia="Calibri" w:hAnsi="Tahoma" w:cs="Tahoma"/>
          <w:lang w:val="es-MX"/>
        </w:rPr>
        <w:t xml:space="preserve"> costas procesales a </w:t>
      </w:r>
      <w:r w:rsidRPr="00414CC1">
        <w:rPr>
          <w:rFonts w:ascii="Tahoma" w:eastAsia="Calibri" w:hAnsi="Tahoma" w:cs="Tahoma"/>
          <w:lang w:val="es-MX"/>
        </w:rPr>
        <w:t>Porvenir</w:t>
      </w:r>
      <w:r w:rsidR="00713CFE" w:rsidRPr="00414CC1">
        <w:rPr>
          <w:rFonts w:ascii="Tahoma" w:eastAsia="Calibri" w:hAnsi="Tahoma" w:cs="Tahoma"/>
          <w:lang w:val="es-MX"/>
        </w:rPr>
        <w:t xml:space="preserve"> </w:t>
      </w:r>
      <w:r w:rsidR="00DE7704" w:rsidRPr="00414CC1">
        <w:rPr>
          <w:rFonts w:ascii="Tahoma" w:eastAsia="Calibri" w:hAnsi="Tahoma" w:cs="Tahoma"/>
          <w:lang w:val="es-MX"/>
        </w:rPr>
        <w:t>S.A en favor de</w:t>
      </w:r>
      <w:r w:rsidRPr="00414CC1">
        <w:rPr>
          <w:rFonts w:ascii="Tahoma" w:eastAsia="Calibri" w:hAnsi="Tahoma" w:cs="Tahoma"/>
          <w:lang w:val="es-MX"/>
        </w:rPr>
        <w:t xml:space="preserve"> </w:t>
      </w:r>
      <w:r w:rsidR="00713CFE" w:rsidRPr="00414CC1">
        <w:rPr>
          <w:rFonts w:ascii="Tahoma" w:eastAsia="Calibri" w:hAnsi="Tahoma" w:cs="Tahoma"/>
          <w:lang w:val="es-MX"/>
        </w:rPr>
        <w:t>l</w:t>
      </w:r>
      <w:r w:rsidRPr="00414CC1">
        <w:rPr>
          <w:rFonts w:ascii="Tahoma" w:eastAsia="Calibri" w:hAnsi="Tahoma" w:cs="Tahoma"/>
          <w:lang w:val="es-MX"/>
        </w:rPr>
        <w:t>a</w:t>
      </w:r>
      <w:r w:rsidR="00713CFE" w:rsidRPr="00414CC1">
        <w:rPr>
          <w:rFonts w:ascii="Tahoma" w:eastAsia="Calibri" w:hAnsi="Tahoma" w:cs="Tahoma"/>
          <w:lang w:val="es-MX"/>
        </w:rPr>
        <w:t xml:space="preserve"> </w:t>
      </w:r>
      <w:r w:rsidR="00DE7704" w:rsidRPr="00414CC1">
        <w:rPr>
          <w:rFonts w:ascii="Tahoma" w:eastAsia="Calibri" w:hAnsi="Tahoma" w:cs="Tahoma"/>
          <w:lang w:val="es-MX"/>
        </w:rPr>
        <w:t xml:space="preserve">demandante en un </w:t>
      </w:r>
      <w:r w:rsidR="00CE3096" w:rsidRPr="00414CC1">
        <w:rPr>
          <w:rFonts w:ascii="Tahoma" w:eastAsia="Calibri" w:hAnsi="Tahoma" w:cs="Tahoma"/>
          <w:lang w:val="es-MX"/>
        </w:rPr>
        <w:t>1</w:t>
      </w:r>
      <w:r w:rsidR="00DE7704" w:rsidRPr="00414CC1">
        <w:rPr>
          <w:rFonts w:ascii="Tahoma" w:eastAsia="Calibri" w:hAnsi="Tahoma" w:cs="Tahoma"/>
          <w:lang w:val="es-MX"/>
        </w:rPr>
        <w:t>0</w:t>
      </w:r>
      <w:r w:rsidR="00050061" w:rsidRPr="00414CC1">
        <w:rPr>
          <w:rFonts w:ascii="Tahoma" w:eastAsia="Calibri" w:hAnsi="Tahoma" w:cs="Tahoma"/>
          <w:lang w:val="es-MX"/>
        </w:rPr>
        <w:t>0</w:t>
      </w:r>
      <w:r w:rsidR="00DE7704" w:rsidRPr="00414CC1">
        <w:rPr>
          <w:rFonts w:ascii="Tahoma" w:eastAsia="Calibri" w:hAnsi="Tahoma" w:cs="Tahoma"/>
          <w:lang w:val="es-MX"/>
        </w:rPr>
        <w:t>% de las causadas.</w:t>
      </w:r>
    </w:p>
    <w:p w14:paraId="71342ABE" w14:textId="7958B109" w:rsidR="00D15E3D" w:rsidRPr="00414CC1" w:rsidRDefault="00D15E3D" w:rsidP="00414CC1">
      <w:pPr>
        <w:widowControl w:val="0"/>
        <w:autoSpaceDE w:val="0"/>
        <w:autoSpaceDN w:val="0"/>
        <w:spacing w:before="0" w:beforeAutospacing="0" w:after="0" w:afterAutospacing="0" w:line="276" w:lineRule="auto"/>
        <w:contextualSpacing/>
        <w:rPr>
          <w:rFonts w:ascii="Tahoma" w:eastAsia="Calibri" w:hAnsi="Tahoma" w:cs="Tahoma"/>
          <w:lang w:val="es-MX"/>
        </w:rPr>
      </w:pPr>
    </w:p>
    <w:p w14:paraId="5F0996A7" w14:textId="62BAC0ED" w:rsidR="00D15E3D" w:rsidRPr="00414CC1" w:rsidRDefault="00D15E3D" w:rsidP="00414CC1">
      <w:pPr>
        <w:widowControl w:val="0"/>
        <w:autoSpaceDE w:val="0"/>
        <w:autoSpaceDN w:val="0"/>
        <w:spacing w:before="0" w:beforeAutospacing="0" w:after="0" w:afterAutospacing="0" w:line="276" w:lineRule="auto"/>
        <w:contextualSpacing/>
        <w:rPr>
          <w:rFonts w:ascii="Tahoma" w:eastAsia="Calibri" w:hAnsi="Tahoma" w:cs="Tahoma"/>
          <w:lang w:val="es-ES"/>
        </w:rPr>
      </w:pPr>
      <w:r w:rsidRPr="00414CC1">
        <w:rPr>
          <w:rFonts w:ascii="Tahoma" w:eastAsia="Calibri" w:hAnsi="Tahoma" w:cs="Tahoma"/>
          <w:lang w:val="es-ES"/>
        </w:rPr>
        <w:t xml:space="preserve">Para llegar a tal determinación la </w:t>
      </w:r>
      <w:r w:rsidRPr="00414CC1">
        <w:rPr>
          <w:rFonts w:ascii="Tahoma" w:eastAsia="Calibri" w:hAnsi="Tahoma" w:cs="Tahoma"/>
          <w:i/>
          <w:lang w:val="es-ES"/>
        </w:rPr>
        <w:t>a-quo</w:t>
      </w:r>
      <w:r w:rsidRPr="00414CC1">
        <w:rPr>
          <w:rFonts w:ascii="Tahoma" w:eastAsia="Calibri" w:hAnsi="Tahoma" w:cs="Tahoma"/>
          <w:lang w:val="es-ES"/>
        </w:rPr>
        <w:t xml:space="preserve">, </w:t>
      </w:r>
      <w:r w:rsidR="00A21A5F" w:rsidRPr="00414CC1">
        <w:rPr>
          <w:rFonts w:ascii="Tahoma" w:eastAsia="Calibri" w:hAnsi="Tahoma" w:cs="Tahoma"/>
          <w:lang w:val="es-ES"/>
        </w:rPr>
        <w:t xml:space="preserve">efectuó </w:t>
      </w:r>
      <w:r w:rsidRPr="00414CC1">
        <w:rPr>
          <w:rFonts w:ascii="Tahoma" w:eastAsia="Calibri" w:hAnsi="Tahoma" w:cs="Tahoma"/>
          <w:lang w:val="es-ES"/>
        </w:rPr>
        <w:t>un recuento legal y jurisprudencial respecto del deber de información a cargo de las AFP, la cual</w:t>
      </w:r>
      <w:r w:rsidR="00B54582" w:rsidRPr="00414CC1">
        <w:rPr>
          <w:rFonts w:ascii="Tahoma" w:eastAsia="Calibri" w:hAnsi="Tahoma" w:cs="Tahoma"/>
          <w:lang w:val="es-ES"/>
        </w:rPr>
        <w:t xml:space="preserve">, desde la misma creación de los fondos, </w:t>
      </w:r>
      <w:r w:rsidRPr="00414CC1">
        <w:rPr>
          <w:rFonts w:ascii="Tahoma" w:eastAsia="Calibri" w:hAnsi="Tahoma" w:cs="Tahoma"/>
          <w:lang w:val="es-ES"/>
        </w:rPr>
        <w:t>debía ser clara, cierta, comprensible y oportuna sobre las características, condiciones, beneficios, diferencias, riesgos y consecuencias del cambio de régimen pensional</w:t>
      </w:r>
      <w:r w:rsidR="00B54582" w:rsidRPr="00414CC1">
        <w:rPr>
          <w:rFonts w:ascii="Tahoma" w:eastAsia="Calibri" w:hAnsi="Tahoma" w:cs="Tahoma"/>
          <w:lang w:val="es-ES"/>
        </w:rPr>
        <w:t xml:space="preserve"> para escoger objetivamente la mejor opción del mercado para sus expectativas pensionales.</w:t>
      </w:r>
    </w:p>
    <w:p w14:paraId="0DE57477" w14:textId="77777777" w:rsidR="00D15E3D" w:rsidRPr="00414CC1" w:rsidRDefault="00D15E3D" w:rsidP="00414CC1">
      <w:pPr>
        <w:widowControl w:val="0"/>
        <w:autoSpaceDE w:val="0"/>
        <w:autoSpaceDN w:val="0"/>
        <w:spacing w:before="0" w:beforeAutospacing="0" w:after="0" w:afterAutospacing="0" w:line="276" w:lineRule="auto"/>
        <w:contextualSpacing/>
        <w:rPr>
          <w:rFonts w:ascii="Tahoma" w:eastAsia="Calibri" w:hAnsi="Tahoma" w:cs="Tahoma"/>
          <w:lang w:val="es-ES"/>
        </w:rPr>
      </w:pPr>
    </w:p>
    <w:p w14:paraId="5A8C9A55" w14:textId="36F1EB56" w:rsidR="00D15E3D" w:rsidRPr="00414CC1" w:rsidRDefault="00D15E3D" w:rsidP="00414CC1">
      <w:pPr>
        <w:widowControl w:val="0"/>
        <w:autoSpaceDE w:val="0"/>
        <w:autoSpaceDN w:val="0"/>
        <w:spacing w:before="0" w:beforeAutospacing="0" w:after="0" w:afterAutospacing="0" w:line="276" w:lineRule="auto"/>
        <w:contextualSpacing/>
        <w:rPr>
          <w:rFonts w:ascii="Tahoma" w:eastAsia="Calibri" w:hAnsi="Tahoma" w:cs="Tahoma"/>
          <w:lang w:val="es-MX"/>
        </w:rPr>
      </w:pPr>
      <w:r w:rsidRPr="00414CC1">
        <w:rPr>
          <w:rFonts w:ascii="Tahoma" w:eastAsia="Calibri" w:hAnsi="Tahoma" w:cs="Tahoma"/>
          <w:lang w:val="es-ES"/>
        </w:rPr>
        <w:t xml:space="preserve">Resaltó que la Corte Suprema de Justicia ha establecido para este tipo de asuntos una regla de inversión de la carga de la prueba en favor de los afiliados, por lo cual le correspondía </w:t>
      </w:r>
      <w:r w:rsidR="00CE7117" w:rsidRPr="00414CC1">
        <w:rPr>
          <w:rFonts w:ascii="Tahoma" w:eastAsia="Calibri" w:hAnsi="Tahoma" w:cs="Tahoma"/>
          <w:lang w:val="es-ES"/>
        </w:rPr>
        <w:t>al fondo privado demandado</w:t>
      </w:r>
      <w:r w:rsidRPr="00414CC1">
        <w:rPr>
          <w:rFonts w:ascii="Tahoma" w:eastAsia="Calibri" w:hAnsi="Tahoma" w:cs="Tahoma"/>
          <w:lang w:val="es-ES"/>
        </w:rPr>
        <w:t xml:space="preserve"> probar que cumpli</w:t>
      </w:r>
      <w:r w:rsidR="00CE7117" w:rsidRPr="00414CC1">
        <w:rPr>
          <w:rFonts w:ascii="Tahoma" w:eastAsia="Calibri" w:hAnsi="Tahoma" w:cs="Tahoma"/>
          <w:lang w:val="es-ES"/>
        </w:rPr>
        <w:t>ó</w:t>
      </w:r>
      <w:r w:rsidRPr="00414CC1">
        <w:rPr>
          <w:rFonts w:ascii="Tahoma" w:eastAsia="Calibri" w:hAnsi="Tahoma" w:cs="Tahoma"/>
          <w:lang w:val="es-ES"/>
        </w:rPr>
        <w:t xml:space="preserve"> a cabalidad con el deber de información; sin embargo, </w:t>
      </w:r>
      <w:r w:rsidR="00B54582" w:rsidRPr="00414CC1">
        <w:rPr>
          <w:rFonts w:ascii="Tahoma" w:eastAsia="Calibri" w:hAnsi="Tahoma" w:cs="Tahoma"/>
          <w:lang w:val="es-ES"/>
        </w:rPr>
        <w:t xml:space="preserve">concluyó que </w:t>
      </w:r>
      <w:r w:rsidRPr="00414CC1">
        <w:rPr>
          <w:rFonts w:ascii="Tahoma" w:eastAsia="Calibri" w:hAnsi="Tahoma" w:cs="Tahoma"/>
          <w:lang w:val="es-ES"/>
        </w:rPr>
        <w:t>en este caso, no log</w:t>
      </w:r>
      <w:r w:rsidR="00CE7117" w:rsidRPr="00414CC1">
        <w:rPr>
          <w:rFonts w:ascii="Tahoma" w:eastAsia="Calibri" w:hAnsi="Tahoma" w:cs="Tahoma"/>
          <w:lang w:val="es-ES"/>
        </w:rPr>
        <w:t>ró</w:t>
      </w:r>
      <w:r w:rsidRPr="00414CC1">
        <w:rPr>
          <w:rFonts w:ascii="Tahoma" w:eastAsia="Calibri" w:hAnsi="Tahoma" w:cs="Tahoma"/>
          <w:lang w:val="es-ES"/>
        </w:rPr>
        <w:t xml:space="preserve"> demostrar esa exigencia para </w:t>
      </w:r>
      <w:r w:rsidR="00CE7117" w:rsidRPr="00414CC1">
        <w:rPr>
          <w:rFonts w:ascii="Tahoma" w:eastAsia="Calibri" w:hAnsi="Tahoma" w:cs="Tahoma"/>
          <w:lang w:val="es-ES"/>
        </w:rPr>
        <w:t>así</w:t>
      </w:r>
      <w:r w:rsidRPr="00414CC1">
        <w:rPr>
          <w:rFonts w:ascii="Tahoma" w:eastAsia="Calibri" w:hAnsi="Tahoma" w:cs="Tahoma"/>
          <w:lang w:val="es-ES"/>
        </w:rPr>
        <w:t xml:space="preserve"> exonerarse de las consecuencias derivadas de la declaratoria de ineficacia del traslado que realizó l</w:t>
      </w:r>
      <w:r w:rsidR="000A7C43" w:rsidRPr="00414CC1">
        <w:rPr>
          <w:rFonts w:ascii="Tahoma" w:eastAsia="Calibri" w:hAnsi="Tahoma" w:cs="Tahoma"/>
          <w:lang w:val="es-ES"/>
        </w:rPr>
        <w:t>a</w:t>
      </w:r>
      <w:r w:rsidRPr="00414CC1">
        <w:rPr>
          <w:rFonts w:ascii="Tahoma" w:eastAsia="Calibri" w:hAnsi="Tahoma" w:cs="Tahoma"/>
          <w:lang w:val="es-ES"/>
        </w:rPr>
        <w:t xml:space="preserve"> demandante</w:t>
      </w:r>
      <w:r w:rsidR="00CE7117" w:rsidRPr="00414CC1">
        <w:rPr>
          <w:rFonts w:ascii="Tahoma" w:eastAsia="Calibri" w:hAnsi="Tahoma" w:cs="Tahoma"/>
          <w:lang w:val="es-ES"/>
        </w:rPr>
        <w:t>, puesto que</w:t>
      </w:r>
      <w:r w:rsidR="00E64400" w:rsidRPr="00414CC1">
        <w:rPr>
          <w:rFonts w:ascii="Tahoma" w:eastAsia="Calibri" w:hAnsi="Tahoma" w:cs="Tahoma"/>
          <w:lang w:val="es-ES"/>
        </w:rPr>
        <w:t xml:space="preserve"> </w:t>
      </w:r>
      <w:r w:rsidR="00367E4C" w:rsidRPr="00414CC1">
        <w:rPr>
          <w:rFonts w:ascii="Tahoma" w:eastAsia="Calibri" w:hAnsi="Tahoma" w:cs="Tahoma"/>
          <w:lang w:val="es-ES"/>
        </w:rPr>
        <w:t>del</w:t>
      </w:r>
      <w:r w:rsidRPr="00414CC1">
        <w:rPr>
          <w:rFonts w:ascii="Tahoma" w:eastAsia="Calibri" w:hAnsi="Tahoma" w:cs="Tahoma"/>
          <w:lang w:val="es-ES"/>
        </w:rPr>
        <w:t xml:space="preserve"> interrogatorio rendido </w:t>
      </w:r>
      <w:r w:rsidR="00CE7117" w:rsidRPr="00414CC1">
        <w:rPr>
          <w:rFonts w:ascii="Tahoma" w:eastAsia="Calibri" w:hAnsi="Tahoma" w:cs="Tahoma"/>
          <w:lang w:val="es-ES"/>
        </w:rPr>
        <w:t xml:space="preserve">por </w:t>
      </w:r>
      <w:r w:rsidR="00B54582" w:rsidRPr="00414CC1">
        <w:rPr>
          <w:rFonts w:ascii="Tahoma" w:eastAsia="Calibri" w:hAnsi="Tahoma" w:cs="Tahoma"/>
          <w:lang w:val="es-ES"/>
        </w:rPr>
        <w:t>l</w:t>
      </w:r>
      <w:r w:rsidR="000A7C43" w:rsidRPr="00414CC1">
        <w:rPr>
          <w:rFonts w:ascii="Tahoma" w:eastAsia="Calibri" w:hAnsi="Tahoma" w:cs="Tahoma"/>
          <w:lang w:val="es-ES"/>
        </w:rPr>
        <w:t>a</w:t>
      </w:r>
      <w:r w:rsidR="00B54582" w:rsidRPr="00414CC1">
        <w:rPr>
          <w:rFonts w:ascii="Tahoma" w:eastAsia="Calibri" w:hAnsi="Tahoma" w:cs="Tahoma"/>
          <w:lang w:val="es-ES"/>
        </w:rPr>
        <w:t xml:space="preserve"> actor</w:t>
      </w:r>
      <w:r w:rsidR="000A7C43" w:rsidRPr="00414CC1">
        <w:rPr>
          <w:rFonts w:ascii="Tahoma" w:eastAsia="Calibri" w:hAnsi="Tahoma" w:cs="Tahoma"/>
          <w:lang w:val="es-ES"/>
        </w:rPr>
        <w:t>a</w:t>
      </w:r>
      <w:r w:rsidRPr="00414CC1">
        <w:rPr>
          <w:rFonts w:ascii="Tahoma" w:eastAsia="Calibri" w:hAnsi="Tahoma" w:cs="Tahoma"/>
          <w:lang w:val="es-ES"/>
        </w:rPr>
        <w:t xml:space="preserve"> no se obtuvo prueba de confesión de la que se pueda desprender que la AFP cumplió con su deber</w:t>
      </w:r>
      <w:r w:rsidR="000A7C43" w:rsidRPr="00414CC1">
        <w:rPr>
          <w:rFonts w:ascii="Tahoma" w:eastAsia="Calibri" w:hAnsi="Tahoma" w:cs="Tahoma"/>
          <w:lang w:val="es-ES"/>
        </w:rPr>
        <w:t xml:space="preserve"> y</w:t>
      </w:r>
      <w:r w:rsidR="000C59CD" w:rsidRPr="00414CC1">
        <w:rPr>
          <w:rFonts w:ascii="Tahoma" w:eastAsia="Calibri" w:hAnsi="Tahoma" w:cs="Tahoma"/>
          <w:lang w:val="es-ES"/>
        </w:rPr>
        <w:t>, por otro lado,</w:t>
      </w:r>
      <w:r w:rsidR="000A7C43" w:rsidRPr="00414CC1">
        <w:rPr>
          <w:rFonts w:ascii="Tahoma" w:eastAsia="Calibri" w:hAnsi="Tahoma" w:cs="Tahoma"/>
          <w:lang w:val="es-ES"/>
        </w:rPr>
        <w:t xml:space="preserve"> la documental allegada tampoco resulta suficiente para este propósito</w:t>
      </w:r>
      <w:r w:rsidR="00CE7117" w:rsidRPr="00414CC1">
        <w:rPr>
          <w:rFonts w:ascii="Tahoma" w:eastAsia="Calibri" w:hAnsi="Tahoma" w:cs="Tahoma"/>
          <w:lang w:val="es-ES"/>
        </w:rPr>
        <w:t>.</w:t>
      </w:r>
    </w:p>
    <w:p w14:paraId="7184D731" w14:textId="09DEE578" w:rsidR="00926C0D" w:rsidRDefault="00926C0D" w:rsidP="00414CC1">
      <w:pPr>
        <w:widowControl w:val="0"/>
        <w:autoSpaceDE w:val="0"/>
        <w:autoSpaceDN w:val="0"/>
        <w:spacing w:before="0" w:beforeAutospacing="0" w:after="0" w:afterAutospacing="0" w:line="276" w:lineRule="auto"/>
        <w:contextualSpacing/>
        <w:rPr>
          <w:rFonts w:ascii="Tahoma" w:eastAsia="Calibri" w:hAnsi="Tahoma" w:cs="Tahoma"/>
          <w:lang w:val="es-MX"/>
        </w:rPr>
      </w:pPr>
    </w:p>
    <w:p w14:paraId="4715D009" w14:textId="77777777" w:rsidR="00414CC1" w:rsidRPr="00414CC1" w:rsidRDefault="00414CC1" w:rsidP="00414CC1">
      <w:pPr>
        <w:widowControl w:val="0"/>
        <w:autoSpaceDE w:val="0"/>
        <w:autoSpaceDN w:val="0"/>
        <w:spacing w:before="0" w:beforeAutospacing="0" w:after="0" w:afterAutospacing="0" w:line="276" w:lineRule="auto"/>
        <w:contextualSpacing/>
        <w:rPr>
          <w:rFonts w:ascii="Tahoma" w:eastAsia="Calibri" w:hAnsi="Tahoma" w:cs="Tahoma"/>
          <w:lang w:val="es-MX"/>
        </w:rPr>
      </w:pPr>
    </w:p>
    <w:p w14:paraId="0E6D8D37" w14:textId="15B3A090" w:rsidR="00171926" w:rsidRPr="00414CC1" w:rsidRDefault="00171926" w:rsidP="00414CC1">
      <w:pPr>
        <w:pStyle w:val="Prrafodelista"/>
        <w:numPr>
          <w:ilvl w:val="0"/>
          <w:numId w:val="1"/>
        </w:numPr>
        <w:spacing w:line="276" w:lineRule="auto"/>
        <w:ind w:left="426" w:hanging="426"/>
        <w:jc w:val="center"/>
        <w:rPr>
          <w:rFonts w:cs="Tahoma"/>
          <w:b/>
          <w:bCs/>
          <w:szCs w:val="24"/>
        </w:rPr>
      </w:pPr>
      <w:r w:rsidRPr="00414CC1">
        <w:rPr>
          <w:rFonts w:cs="Tahoma"/>
          <w:b/>
          <w:bCs/>
          <w:szCs w:val="24"/>
        </w:rPr>
        <w:t>Recurso de apelación y procedencia de la consulta</w:t>
      </w:r>
    </w:p>
    <w:p w14:paraId="1C34F3CC" w14:textId="337DE17B" w:rsidR="16AE06FE" w:rsidRPr="00414CC1" w:rsidRDefault="16AE06FE" w:rsidP="00414CC1">
      <w:pPr>
        <w:widowControl w:val="0"/>
        <w:spacing w:before="0" w:beforeAutospacing="0" w:after="0" w:afterAutospacing="0" w:line="276" w:lineRule="auto"/>
        <w:contextualSpacing/>
        <w:rPr>
          <w:rFonts w:ascii="Tahoma" w:eastAsia="Calibri" w:hAnsi="Tahoma" w:cs="Tahoma"/>
          <w:b/>
          <w:bCs/>
          <w:lang w:val="es-ES"/>
        </w:rPr>
      </w:pPr>
    </w:p>
    <w:p w14:paraId="0E5498C5" w14:textId="7B488B70" w:rsidR="001B11AF" w:rsidRPr="00414CC1" w:rsidRDefault="00E74FA1" w:rsidP="00414CC1">
      <w:pPr>
        <w:widowControl w:val="0"/>
        <w:autoSpaceDE w:val="0"/>
        <w:autoSpaceDN w:val="0"/>
        <w:adjustRightInd w:val="0"/>
        <w:spacing w:before="0" w:beforeAutospacing="0" w:after="0" w:afterAutospacing="0" w:line="276" w:lineRule="auto"/>
        <w:ind w:firstLine="706"/>
        <w:rPr>
          <w:rFonts w:ascii="Tahoma" w:hAnsi="Tahoma" w:cs="Tahoma"/>
        </w:rPr>
      </w:pPr>
      <w:r w:rsidRPr="00414CC1">
        <w:rPr>
          <w:rFonts w:ascii="Tahoma" w:hAnsi="Tahoma" w:cs="Tahoma"/>
        </w:rPr>
        <w:t>La</w:t>
      </w:r>
      <w:r w:rsidR="00A75BB4" w:rsidRPr="00414CC1">
        <w:rPr>
          <w:rFonts w:ascii="Tahoma" w:hAnsi="Tahoma" w:cs="Tahoma"/>
        </w:rPr>
        <w:t xml:space="preserve"> apoderad</w:t>
      </w:r>
      <w:r w:rsidRPr="00414CC1">
        <w:rPr>
          <w:rFonts w:ascii="Tahoma" w:hAnsi="Tahoma" w:cs="Tahoma"/>
        </w:rPr>
        <w:t>a</w:t>
      </w:r>
      <w:r w:rsidR="00A75BB4" w:rsidRPr="00414CC1">
        <w:rPr>
          <w:rFonts w:ascii="Tahoma" w:hAnsi="Tahoma" w:cs="Tahoma"/>
        </w:rPr>
        <w:t xml:space="preserve"> judicial de </w:t>
      </w:r>
      <w:r w:rsidR="006F58F8" w:rsidRPr="00414CC1">
        <w:rPr>
          <w:rFonts w:ascii="Tahoma" w:hAnsi="Tahoma" w:cs="Tahoma"/>
        </w:rPr>
        <w:t>Porvenir S.A.</w:t>
      </w:r>
      <w:r w:rsidR="00367E4C" w:rsidRPr="00414CC1">
        <w:rPr>
          <w:rFonts w:ascii="Tahoma" w:hAnsi="Tahoma" w:cs="Tahoma"/>
        </w:rPr>
        <w:t xml:space="preserve"> </w:t>
      </w:r>
      <w:r w:rsidR="003936B2" w:rsidRPr="00414CC1">
        <w:rPr>
          <w:rFonts w:ascii="Tahoma" w:hAnsi="Tahoma" w:cs="Tahoma"/>
        </w:rPr>
        <w:t xml:space="preserve">al sustentar su alzada </w:t>
      </w:r>
      <w:r w:rsidR="006F58F8" w:rsidRPr="00414CC1">
        <w:rPr>
          <w:rFonts w:ascii="Tahoma" w:hAnsi="Tahoma" w:cs="Tahoma"/>
        </w:rPr>
        <w:t>aseguró que la AFP</w:t>
      </w:r>
      <w:r w:rsidR="00DB512F" w:rsidRPr="00414CC1">
        <w:rPr>
          <w:rFonts w:ascii="Tahoma" w:hAnsi="Tahoma" w:cs="Tahoma"/>
        </w:rPr>
        <w:t xml:space="preserve"> cumplió con la asesoría que </w:t>
      </w:r>
      <w:r w:rsidR="006F58F8" w:rsidRPr="00414CC1">
        <w:rPr>
          <w:rFonts w:ascii="Tahoma" w:hAnsi="Tahoma" w:cs="Tahoma"/>
        </w:rPr>
        <w:t xml:space="preserve">para la fecha del traslado era procedente, momento para el cual no </w:t>
      </w:r>
      <w:r w:rsidR="00DB512F" w:rsidRPr="00414CC1">
        <w:rPr>
          <w:rFonts w:ascii="Tahoma" w:hAnsi="Tahoma" w:cs="Tahoma"/>
        </w:rPr>
        <w:t>era</w:t>
      </w:r>
      <w:r w:rsidR="006F58F8" w:rsidRPr="00414CC1">
        <w:rPr>
          <w:rFonts w:ascii="Tahoma" w:hAnsi="Tahoma" w:cs="Tahoma"/>
        </w:rPr>
        <w:t xml:space="preserve"> obligatorio</w:t>
      </w:r>
      <w:r w:rsidR="00DB512F" w:rsidRPr="00414CC1">
        <w:rPr>
          <w:rFonts w:ascii="Tahoma" w:hAnsi="Tahoma" w:cs="Tahoma"/>
        </w:rPr>
        <w:t xml:space="preserve"> dejar constancia escrita</w:t>
      </w:r>
      <w:r w:rsidR="006F58F8" w:rsidRPr="00414CC1">
        <w:rPr>
          <w:rFonts w:ascii="Tahoma" w:hAnsi="Tahoma" w:cs="Tahoma"/>
        </w:rPr>
        <w:t xml:space="preserve"> de ello, así como tampoco se exigía la realización de </w:t>
      </w:r>
      <w:r w:rsidR="00DB512F" w:rsidRPr="00414CC1">
        <w:rPr>
          <w:rFonts w:ascii="Tahoma" w:hAnsi="Tahoma" w:cs="Tahoma"/>
        </w:rPr>
        <w:t>proyecciones</w:t>
      </w:r>
      <w:r w:rsidR="006F58F8" w:rsidRPr="00414CC1">
        <w:rPr>
          <w:rFonts w:ascii="Tahoma" w:hAnsi="Tahoma" w:cs="Tahoma"/>
        </w:rPr>
        <w:t xml:space="preserve"> pensionales, bastante con la </w:t>
      </w:r>
      <w:r w:rsidR="00DB512F" w:rsidRPr="00414CC1">
        <w:rPr>
          <w:rFonts w:ascii="Tahoma" w:hAnsi="Tahoma" w:cs="Tahoma"/>
        </w:rPr>
        <w:t>firma de</w:t>
      </w:r>
      <w:r w:rsidR="006F58F8" w:rsidRPr="00414CC1">
        <w:rPr>
          <w:rFonts w:ascii="Tahoma" w:hAnsi="Tahoma" w:cs="Tahoma"/>
        </w:rPr>
        <w:t>l</w:t>
      </w:r>
      <w:r w:rsidR="00DB512F" w:rsidRPr="00414CC1">
        <w:rPr>
          <w:rFonts w:ascii="Tahoma" w:hAnsi="Tahoma" w:cs="Tahoma"/>
        </w:rPr>
        <w:t xml:space="preserve"> formulario</w:t>
      </w:r>
      <w:r w:rsidR="006F58F8" w:rsidRPr="00414CC1">
        <w:rPr>
          <w:rFonts w:ascii="Tahoma" w:hAnsi="Tahoma" w:cs="Tahoma"/>
        </w:rPr>
        <w:t xml:space="preserve"> de afiliación. </w:t>
      </w:r>
    </w:p>
    <w:p w14:paraId="6E03E9E7" w14:textId="57DA4EC8" w:rsidR="16AE06FE" w:rsidRPr="00414CC1" w:rsidRDefault="16AE06FE" w:rsidP="00414CC1">
      <w:pPr>
        <w:widowControl w:val="0"/>
        <w:spacing w:before="0" w:beforeAutospacing="0" w:after="0" w:afterAutospacing="0" w:line="276" w:lineRule="auto"/>
        <w:ind w:firstLine="706"/>
        <w:rPr>
          <w:rFonts w:ascii="Tahoma" w:hAnsi="Tahoma" w:cs="Tahoma"/>
        </w:rPr>
      </w:pPr>
    </w:p>
    <w:p w14:paraId="3C6C32AB" w14:textId="52DB66C7" w:rsidR="00DB512F" w:rsidRPr="00414CC1" w:rsidRDefault="006F58F8" w:rsidP="00414CC1">
      <w:pPr>
        <w:widowControl w:val="0"/>
        <w:autoSpaceDE w:val="0"/>
        <w:autoSpaceDN w:val="0"/>
        <w:adjustRightInd w:val="0"/>
        <w:spacing w:before="0" w:beforeAutospacing="0" w:after="0" w:afterAutospacing="0" w:line="276" w:lineRule="auto"/>
        <w:ind w:firstLine="706"/>
        <w:rPr>
          <w:rFonts w:ascii="Tahoma" w:hAnsi="Tahoma" w:cs="Tahoma"/>
        </w:rPr>
      </w:pPr>
      <w:r w:rsidRPr="00414CC1">
        <w:rPr>
          <w:rFonts w:ascii="Tahoma" w:hAnsi="Tahoma" w:cs="Tahoma"/>
        </w:rPr>
        <w:t xml:space="preserve">Agregó que con </w:t>
      </w:r>
      <w:r w:rsidR="00DB512F" w:rsidRPr="00414CC1">
        <w:rPr>
          <w:rFonts w:ascii="Tahoma" w:hAnsi="Tahoma" w:cs="Tahoma"/>
        </w:rPr>
        <w:t xml:space="preserve">lo dicho </w:t>
      </w:r>
      <w:r w:rsidRPr="00414CC1">
        <w:rPr>
          <w:rFonts w:ascii="Tahoma" w:hAnsi="Tahoma" w:cs="Tahoma"/>
        </w:rPr>
        <w:t xml:space="preserve">por </w:t>
      </w:r>
      <w:r w:rsidR="00DB512F" w:rsidRPr="00414CC1">
        <w:rPr>
          <w:rFonts w:ascii="Tahoma" w:hAnsi="Tahoma" w:cs="Tahoma"/>
        </w:rPr>
        <w:t xml:space="preserve">la </w:t>
      </w:r>
      <w:r w:rsidRPr="00414CC1">
        <w:rPr>
          <w:rFonts w:ascii="Tahoma" w:hAnsi="Tahoma" w:cs="Tahoma"/>
        </w:rPr>
        <w:t>demandante</w:t>
      </w:r>
      <w:r w:rsidR="00DB512F" w:rsidRPr="00414CC1">
        <w:rPr>
          <w:rFonts w:ascii="Tahoma" w:hAnsi="Tahoma" w:cs="Tahoma"/>
        </w:rPr>
        <w:t xml:space="preserve"> y la documental </w:t>
      </w:r>
      <w:r w:rsidRPr="00414CC1">
        <w:rPr>
          <w:rFonts w:ascii="Tahoma" w:hAnsi="Tahoma" w:cs="Tahoma"/>
        </w:rPr>
        <w:t xml:space="preserve">aportada se evidencian </w:t>
      </w:r>
      <w:r w:rsidR="00DB512F" w:rsidRPr="00414CC1">
        <w:rPr>
          <w:rFonts w:ascii="Tahoma" w:hAnsi="Tahoma" w:cs="Tahoma"/>
        </w:rPr>
        <w:t>los actos de relacionamiento</w:t>
      </w:r>
      <w:r w:rsidRPr="00414CC1">
        <w:rPr>
          <w:rFonts w:ascii="Tahoma" w:hAnsi="Tahoma" w:cs="Tahoma"/>
        </w:rPr>
        <w:t>s llevados a cabo por ella y que</w:t>
      </w:r>
      <w:r w:rsidR="00DB512F" w:rsidRPr="00414CC1">
        <w:rPr>
          <w:rFonts w:ascii="Tahoma" w:hAnsi="Tahoma" w:cs="Tahoma"/>
        </w:rPr>
        <w:t xml:space="preserve"> dan cuenta inequívoca de</w:t>
      </w:r>
      <w:r w:rsidRPr="00414CC1">
        <w:rPr>
          <w:rFonts w:ascii="Tahoma" w:hAnsi="Tahoma" w:cs="Tahoma"/>
        </w:rPr>
        <w:t xml:space="preserve"> su deseo de</w:t>
      </w:r>
      <w:r w:rsidR="00DB512F" w:rsidRPr="00414CC1">
        <w:rPr>
          <w:rFonts w:ascii="Tahoma" w:hAnsi="Tahoma" w:cs="Tahoma"/>
        </w:rPr>
        <w:t xml:space="preserve"> permanecer en el </w:t>
      </w:r>
      <w:r w:rsidRPr="00414CC1">
        <w:rPr>
          <w:rFonts w:ascii="Tahoma" w:hAnsi="Tahoma" w:cs="Tahoma"/>
        </w:rPr>
        <w:t>RAIS, siendo solamente</w:t>
      </w:r>
      <w:r w:rsidR="00DB512F" w:rsidRPr="00414CC1">
        <w:rPr>
          <w:rFonts w:ascii="Tahoma" w:hAnsi="Tahoma" w:cs="Tahoma"/>
        </w:rPr>
        <w:t xml:space="preserve"> la inconveniencia económica </w:t>
      </w:r>
      <w:r w:rsidRPr="00414CC1">
        <w:rPr>
          <w:rFonts w:ascii="Tahoma" w:hAnsi="Tahoma" w:cs="Tahoma"/>
        </w:rPr>
        <w:t>de la mesada pensional lo que la hace querer volver al RPM</w:t>
      </w:r>
      <w:r w:rsidR="00DB512F" w:rsidRPr="00414CC1">
        <w:rPr>
          <w:rFonts w:ascii="Tahoma" w:hAnsi="Tahoma" w:cs="Tahoma"/>
        </w:rPr>
        <w:t>,</w:t>
      </w:r>
      <w:r w:rsidRPr="00414CC1">
        <w:rPr>
          <w:rFonts w:ascii="Tahoma" w:hAnsi="Tahoma" w:cs="Tahoma"/>
        </w:rPr>
        <w:t xml:space="preserve"> cuando siempre</w:t>
      </w:r>
      <w:r w:rsidR="00DB512F" w:rsidRPr="00414CC1">
        <w:rPr>
          <w:rFonts w:ascii="Tahoma" w:hAnsi="Tahoma" w:cs="Tahoma"/>
        </w:rPr>
        <w:t xml:space="preserve"> tuvo herramientas para retornar y no lo hizo </w:t>
      </w:r>
      <w:r w:rsidRPr="00414CC1">
        <w:rPr>
          <w:rFonts w:ascii="Tahoma" w:hAnsi="Tahoma" w:cs="Tahoma"/>
        </w:rPr>
        <w:t>en tiempo.</w:t>
      </w:r>
    </w:p>
    <w:p w14:paraId="72C764CB" w14:textId="1990DCC6" w:rsidR="16AE06FE" w:rsidRPr="00414CC1" w:rsidRDefault="16AE06FE" w:rsidP="00414CC1">
      <w:pPr>
        <w:widowControl w:val="0"/>
        <w:spacing w:before="0" w:beforeAutospacing="0" w:after="0" w:afterAutospacing="0" w:line="276" w:lineRule="auto"/>
        <w:ind w:firstLine="706"/>
        <w:rPr>
          <w:rFonts w:ascii="Tahoma" w:hAnsi="Tahoma" w:cs="Tahoma"/>
        </w:rPr>
      </w:pPr>
    </w:p>
    <w:p w14:paraId="7D6C940B" w14:textId="5B05213A" w:rsidR="00DB512F" w:rsidRPr="00414CC1" w:rsidRDefault="006F58F8" w:rsidP="00414CC1">
      <w:pPr>
        <w:widowControl w:val="0"/>
        <w:autoSpaceDE w:val="0"/>
        <w:autoSpaceDN w:val="0"/>
        <w:adjustRightInd w:val="0"/>
        <w:spacing w:before="0" w:beforeAutospacing="0" w:after="0" w:afterAutospacing="0" w:line="276" w:lineRule="auto"/>
        <w:ind w:firstLine="706"/>
        <w:rPr>
          <w:rFonts w:ascii="Tahoma" w:hAnsi="Tahoma" w:cs="Tahoma"/>
        </w:rPr>
      </w:pPr>
      <w:r w:rsidRPr="00414CC1">
        <w:rPr>
          <w:rFonts w:ascii="Tahoma" w:hAnsi="Tahoma" w:cs="Tahoma"/>
        </w:rPr>
        <w:t>Particularmente reparó en la condena de devolver indexados las</w:t>
      </w:r>
      <w:r w:rsidR="00DB512F" w:rsidRPr="00414CC1">
        <w:rPr>
          <w:rFonts w:ascii="Tahoma" w:hAnsi="Tahoma" w:cs="Tahoma"/>
        </w:rPr>
        <w:t xml:space="preserve"> cuotas de administración y seguros provisionales, </w:t>
      </w:r>
      <w:r w:rsidRPr="00414CC1">
        <w:rPr>
          <w:rFonts w:ascii="Tahoma" w:hAnsi="Tahoma" w:cs="Tahoma"/>
        </w:rPr>
        <w:t xml:space="preserve">toda vez que las primeras son </w:t>
      </w:r>
      <w:r w:rsidR="00DB512F" w:rsidRPr="00414CC1">
        <w:rPr>
          <w:rFonts w:ascii="Tahoma" w:hAnsi="Tahoma" w:cs="Tahoma"/>
        </w:rPr>
        <w:t xml:space="preserve">la </w:t>
      </w:r>
      <w:r w:rsidRPr="00414CC1">
        <w:rPr>
          <w:rFonts w:ascii="Tahoma" w:hAnsi="Tahoma" w:cs="Tahoma"/>
        </w:rPr>
        <w:t xml:space="preserve">contraprestación por la labor de AFP, mientras que los segundos deben ser girados a la aseguradora, por </w:t>
      </w:r>
      <w:r w:rsidR="00DB512F" w:rsidRPr="00414CC1">
        <w:rPr>
          <w:rFonts w:ascii="Tahoma" w:hAnsi="Tahoma" w:cs="Tahoma"/>
        </w:rPr>
        <w:t>mandato legal</w:t>
      </w:r>
      <w:r w:rsidRPr="00414CC1">
        <w:rPr>
          <w:rFonts w:ascii="Tahoma" w:hAnsi="Tahoma" w:cs="Tahoma"/>
        </w:rPr>
        <w:t xml:space="preserve">, </w:t>
      </w:r>
      <w:r w:rsidR="00DB512F" w:rsidRPr="00414CC1">
        <w:rPr>
          <w:rFonts w:ascii="Tahoma" w:hAnsi="Tahoma" w:cs="Tahoma"/>
        </w:rPr>
        <w:t>para cubrir los riesgos</w:t>
      </w:r>
      <w:r w:rsidRPr="00414CC1">
        <w:rPr>
          <w:rFonts w:ascii="Tahoma" w:hAnsi="Tahoma" w:cs="Tahoma"/>
        </w:rPr>
        <w:t xml:space="preserve">, razón por la cual se genera un enriquecimiento sin causa. </w:t>
      </w:r>
    </w:p>
    <w:p w14:paraId="4A61A47F" w14:textId="12026742" w:rsidR="16AE06FE" w:rsidRPr="00414CC1" w:rsidRDefault="16AE06FE" w:rsidP="00414CC1">
      <w:pPr>
        <w:widowControl w:val="0"/>
        <w:spacing w:before="0" w:beforeAutospacing="0" w:after="0" w:afterAutospacing="0" w:line="276" w:lineRule="auto"/>
        <w:ind w:firstLine="706"/>
        <w:rPr>
          <w:rFonts w:ascii="Tahoma" w:hAnsi="Tahoma" w:cs="Tahoma"/>
        </w:rPr>
      </w:pPr>
    </w:p>
    <w:p w14:paraId="59D55F30" w14:textId="3321ADF1" w:rsidR="00133463" w:rsidRPr="00414CC1" w:rsidRDefault="006F58F8" w:rsidP="00414CC1">
      <w:pPr>
        <w:widowControl w:val="0"/>
        <w:autoSpaceDE w:val="0"/>
        <w:autoSpaceDN w:val="0"/>
        <w:adjustRightInd w:val="0"/>
        <w:spacing w:before="0" w:beforeAutospacing="0" w:after="0" w:afterAutospacing="0" w:line="276" w:lineRule="auto"/>
        <w:ind w:firstLine="706"/>
        <w:rPr>
          <w:rFonts w:ascii="Tahoma" w:hAnsi="Tahoma" w:cs="Tahoma"/>
        </w:rPr>
      </w:pPr>
      <w:r w:rsidRPr="00414CC1">
        <w:rPr>
          <w:rFonts w:ascii="Tahoma" w:hAnsi="Tahoma" w:cs="Tahoma"/>
        </w:rPr>
        <w:t xml:space="preserve">Finalmente se duele de la imposición de las costas procesales, al haber actuado la AFP </w:t>
      </w:r>
      <w:r w:rsidR="00DB512F" w:rsidRPr="00414CC1">
        <w:rPr>
          <w:rFonts w:ascii="Tahoma" w:hAnsi="Tahoma" w:cs="Tahoma"/>
        </w:rPr>
        <w:t>acorde a la buena fe</w:t>
      </w:r>
      <w:r w:rsidRPr="00414CC1">
        <w:rPr>
          <w:rFonts w:ascii="Tahoma" w:hAnsi="Tahoma" w:cs="Tahoma"/>
        </w:rPr>
        <w:t>.</w:t>
      </w:r>
    </w:p>
    <w:p w14:paraId="6C8C4E36" w14:textId="52B08489" w:rsidR="16AE06FE" w:rsidRPr="00414CC1" w:rsidRDefault="16AE06FE" w:rsidP="00414CC1">
      <w:pPr>
        <w:widowControl w:val="0"/>
        <w:spacing w:before="0" w:beforeAutospacing="0" w:after="0" w:afterAutospacing="0" w:line="276" w:lineRule="auto"/>
        <w:ind w:firstLine="706"/>
        <w:rPr>
          <w:rFonts w:ascii="Tahoma" w:hAnsi="Tahoma" w:cs="Tahoma"/>
        </w:rPr>
      </w:pPr>
    </w:p>
    <w:p w14:paraId="2EAD02B0" w14:textId="77777777" w:rsidR="00674360" w:rsidRPr="00414CC1" w:rsidRDefault="006F58F8" w:rsidP="00414CC1">
      <w:pPr>
        <w:widowControl w:val="0"/>
        <w:autoSpaceDE w:val="0"/>
        <w:autoSpaceDN w:val="0"/>
        <w:adjustRightInd w:val="0"/>
        <w:spacing w:before="0" w:beforeAutospacing="0" w:after="0" w:afterAutospacing="0" w:line="276" w:lineRule="auto"/>
        <w:ind w:firstLine="706"/>
        <w:rPr>
          <w:rFonts w:ascii="Tahoma" w:hAnsi="Tahoma" w:cs="Tahoma"/>
        </w:rPr>
      </w:pPr>
      <w:r w:rsidRPr="00414CC1">
        <w:rPr>
          <w:rFonts w:ascii="Tahoma" w:hAnsi="Tahoma" w:cs="Tahoma"/>
        </w:rPr>
        <w:t xml:space="preserve">Por su lado, </w:t>
      </w:r>
      <w:r w:rsidR="00133463" w:rsidRPr="00414CC1">
        <w:rPr>
          <w:rFonts w:ascii="Tahoma" w:hAnsi="Tahoma" w:cs="Tahoma"/>
        </w:rPr>
        <w:t>Colpensiones apel</w:t>
      </w:r>
      <w:r w:rsidRPr="00414CC1">
        <w:rPr>
          <w:rFonts w:ascii="Tahoma" w:hAnsi="Tahoma" w:cs="Tahoma"/>
        </w:rPr>
        <w:t>ó la decisión bajo el argumento de que</w:t>
      </w:r>
      <w:r w:rsidR="00133463" w:rsidRPr="00414CC1">
        <w:rPr>
          <w:rFonts w:ascii="Tahoma" w:hAnsi="Tahoma" w:cs="Tahoma"/>
        </w:rPr>
        <w:t xml:space="preserve"> la afiliación cumpl</w:t>
      </w:r>
      <w:r w:rsidRPr="00414CC1">
        <w:rPr>
          <w:rFonts w:ascii="Tahoma" w:hAnsi="Tahoma" w:cs="Tahoma"/>
        </w:rPr>
        <w:t>ió con</w:t>
      </w:r>
      <w:r w:rsidR="00133463" w:rsidRPr="00414CC1">
        <w:rPr>
          <w:rFonts w:ascii="Tahoma" w:hAnsi="Tahoma" w:cs="Tahoma"/>
        </w:rPr>
        <w:t xml:space="preserve"> los requisitos</w:t>
      </w:r>
      <w:r w:rsidRPr="00414CC1">
        <w:rPr>
          <w:rFonts w:ascii="Tahoma" w:hAnsi="Tahoma" w:cs="Tahoma"/>
        </w:rPr>
        <w:t xml:space="preserve"> de ley, por lo cual es válida y está vigente a la fecha</w:t>
      </w:r>
      <w:r w:rsidR="00133463" w:rsidRPr="00414CC1">
        <w:rPr>
          <w:rFonts w:ascii="Tahoma" w:hAnsi="Tahoma" w:cs="Tahoma"/>
        </w:rPr>
        <w:t>,</w:t>
      </w:r>
      <w:r w:rsidRPr="00414CC1">
        <w:rPr>
          <w:rFonts w:ascii="Tahoma" w:hAnsi="Tahoma" w:cs="Tahoma"/>
        </w:rPr>
        <w:t xml:space="preserve"> adicional a lo cual, como la demandante</w:t>
      </w:r>
      <w:r w:rsidR="00133463" w:rsidRPr="00414CC1">
        <w:rPr>
          <w:rFonts w:ascii="Tahoma" w:hAnsi="Tahoma" w:cs="Tahoma"/>
        </w:rPr>
        <w:t xml:space="preserve"> se encuentra a menos de 10 años</w:t>
      </w:r>
      <w:r w:rsidRPr="00414CC1">
        <w:rPr>
          <w:rFonts w:ascii="Tahoma" w:hAnsi="Tahoma" w:cs="Tahoma"/>
        </w:rPr>
        <w:t xml:space="preserve"> para pensionarse, </w:t>
      </w:r>
      <w:r w:rsidR="00133463" w:rsidRPr="00414CC1">
        <w:rPr>
          <w:rFonts w:ascii="Tahoma" w:hAnsi="Tahoma" w:cs="Tahoma"/>
        </w:rPr>
        <w:t xml:space="preserve">no puede retornar </w:t>
      </w:r>
      <w:r w:rsidRPr="00414CC1">
        <w:rPr>
          <w:rFonts w:ascii="Tahoma" w:hAnsi="Tahoma" w:cs="Tahoma"/>
        </w:rPr>
        <w:t xml:space="preserve">al RPM </w:t>
      </w:r>
      <w:r w:rsidR="00133463" w:rsidRPr="00414CC1">
        <w:rPr>
          <w:rFonts w:ascii="Tahoma" w:hAnsi="Tahoma" w:cs="Tahoma"/>
        </w:rPr>
        <w:t xml:space="preserve">solo porque ve incumplidas sus </w:t>
      </w:r>
      <w:r w:rsidRPr="00414CC1">
        <w:rPr>
          <w:rFonts w:ascii="Tahoma" w:hAnsi="Tahoma" w:cs="Tahoma"/>
        </w:rPr>
        <w:t>expectativas</w:t>
      </w:r>
      <w:r w:rsidR="00133463" w:rsidRPr="00414CC1">
        <w:rPr>
          <w:rFonts w:ascii="Tahoma" w:hAnsi="Tahoma" w:cs="Tahoma"/>
        </w:rPr>
        <w:t xml:space="preserve">, </w:t>
      </w:r>
      <w:r w:rsidRPr="00414CC1">
        <w:rPr>
          <w:rFonts w:ascii="Tahoma" w:hAnsi="Tahoma" w:cs="Tahoma"/>
        </w:rPr>
        <w:t xml:space="preserve">ultimo para lo cual lo que </w:t>
      </w:r>
      <w:r w:rsidR="00133463" w:rsidRPr="00414CC1">
        <w:rPr>
          <w:rFonts w:ascii="Tahoma" w:hAnsi="Tahoma" w:cs="Tahoma"/>
        </w:rPr>
        <w:t>debe ejercer</w:t>
      </w:r>
      <w:r w:rsidRPr="00414CC1">
        <w:rPr>
          <w:rFonts w:ascii="Tahoma" w:hAnsi="Tahoma" w:cs="Tahoma"/>
        </w:rPr>
        <w:t xml:space="preserve"> es</w:t>
      </w:r>
      <w:r w:rsidR="00133463" w:rsidRPr="00414CC1">
        <w:rPr>
          <w:rFonts w:ascii="Tahoma" w:hAnsi="Tahoma" w:cs="Tahoma"/>
        </w:rPr>
        <w:t xml:space="preserve"> la acción de indemnización de perjuicios. </w:t>
      </w:r>
    </w:p>
    <w:p w14:paraId="5CC2DEEB" w14:textId="18FF4B3B" w:rsidR="00133463" w:rsidRPr="00414CC1" w:rsidRDefault="00674360" w:rsidP="00414CC1">
      <w:pPr>
        <w:widowControl w:val="0"/>
        <w:autoSpaceDE w:val="0"/>
        <w:autoSpaceDN w:val="0"/>
        <w:adjustRightInd w:val="0"/>
        <w:spacing w:before="0" w:beforeAutospacing="0" w:after="0" w:afterAutospacing="0" w:line="276" w:lineRule="auto"/>
        <w:ind w:firstLine="706"/>
        <w:rPr>
          <w:rFonts w:ascii="Tahoma" w:hAnsi="Tahoma" w:cs="Tahoma"/>
        </w:rPr>
      </w:pPr>
      <w:r w:rsidRPr="00414CC1">
        <w:rPr>
          <w:rFonts w:ascii="Tahoma" w:hAnsi="Tahoma" w:cs="Tahoma"/>
        </w:rPr>
        <w:t xml:space="preserve">Finalmente, asegura que como </w:t>
      </w:r>
      <w:r w:rsidR="00133463" w:rsidRPr="00414CC1">
        <w:rPr>
          <w:rFonts w:ascii="Tahoma" w:hAnsi="Tahoma" w:cs="Tahoma"/>
        </w:rPr>
        <w:t>Colpensiones es una tercera afectada</w:t>
      </w:r>
      <w:r w:rsidRPr="00414CC1">
        <w:rPr>
          <w:rFonts w:ascii="Tahoma" w:hAnsi="Tahoma" w:cs="Tahoma"/>
        </w:rPr>
        <w:t xml:space="preserve"> con la declaratoria de ineficacia, dada la </w:t>
      </w:r>
      <w:r w:rsidR="00133463" w:rsidRPr="00414CC1">
        <w:rPr>
          <w:rFonts w:ascii="Tahoma" w:hAnsi="Tahoma" w:cs="Tahoma"/>
        </w:rPr>
        <w:t>descapitalización</w:t>
      </w:r>
      <w:r w:rsidRPr="00414CC1">
        <w:rPr>
          <w:rFonts w:ascii="Tahoma" w:hAnsi="Tahoma" w:cs="Tahoma"/>
        </w:rPr>
        <w:t xml:space="preserve"> del RPM</w:t>
      </w:r>
      <w:r w:rsidR="00133463" w:rsidRPr="00414CC1">
        <w:rPr>
          <w:rFonts w:ascii="Tahoma" w:hAnsi="Tahoma" w:cs="Tahoma"/>
        </w:rPr>
        <w:t xml:space="preserve">, a </w:t>
      </w:r>
      <w:r w:rsidRPr="00414CC1">
        <w:rPr>
          <w:rFonts w:ascii="Tahoma" w:hAnsi="Tahoma" w:cs="Tahoma"/>
        </w:rPr>
        <w:t>título</w:t>
      </w:r>
      <w:r w:rsidR="00133463" w:rsidRPr="00414CC1">
        <w:rPr>
          <w:rFonts w:ascii="Tahoma" w:hAnsi="Tahoma" w:cs="Tahoma"/>
        </w:rPr>
        <w:t xml:space="preserve"> de sanción</w:t>
      </w:r>
      <w:r w:rsidRPr="00414CC1">
        <w:rPr>
          <w:rFonts w:ascii="Tahoma" w:hAnsi="Tahoma" w:cs="Tahoma"/>
        </w:rPr>
        <w:t>, debe condenarse a la AFP que</w:t>
      </w:r>
      <w:r w:rsidR="00133463" w:rsidRPr="00414CC1">
        <w:rPr>
          <w:rFonts w:ascii="Tahoma" w:hAnsi="Tahoma" w:cs="Tahoma"/>
        </w:rPr>
        <w:t xml:space="preserve"> pague un </w:t>
      </w:r>
      <w:r w:rsidRPr="00414CC1">
        <w:rPr>
          <w:rFonts w:ascii="Tahoma" w:hAnsi="Tahoma" w:cs="Tahoma"/>
        </w:rPr>
        <w:t>cálculo</w:t>
      </w:r>
      <w:r w:rsidR="00133463" w:rsidRPr="00414CC1">
        <w:rPr>
          <w:rFonts w:ascii="Tahoma" w:hAnsi="Tahoma" w:cs="Tahoma"/>
        </w:rPr>
        <w:t xml:space="preserve"> actuarial</w:t>
      </w:r>
      <w:r w:rsidRPr="00414CC1">
        <w:rPr>
          <w:rFonts w:ascii="Tahoma" w:hAnsi="Tahoma" w:cs="Tahoma"/>
        </w:rPr>
        <w:t>.</w:t>
      </w:r>
      <w:r w:rsidR="00133463" w:rsidRPr="00414CC1">
        <w:rPr>
          <w:rFonts w:ascii="Tahoma" w:hAnsi="Tahoma" w:cs="Tahoma"/>
        </w:rPr>
        <w:t xml:space="preserve"> </w:t>
      </w:r>
    </w:p>
    <w:p w14:paraId="0EFF6149" w14:textId="4B8FEBA9" w:rsidR="16AE06FE" w:rsidRDefault="16AE06FE" w:rsidP="00414CC1">
      <w:pPr>
        <w:widowControl w:val="0"/>
        <w:spacing w:before="0" w:beforeAutospacing="0" w:after="0" w:afterAutospacing="0" w:line="276" w:lineRule="auto"/>
        <w:ind w:firstLine="706"/>
        <w:rPr>
          <w:rFonts w:ascii="Tahoma" w:hAnsi="Tahoma" w:cs="Tahoma"/>
        </w:rPr>
      </w:pPr>
    </w:p>
    <w:p w14:paraId="6B507D2C" w14:textId="77777777" w:rsidR="00414CC1" w:rsidRPr="00414CC1" w:rsidRDefault="00414CC1" w:rsidP="00414CC1">
      <w:pPr>
        <w:widowControl w:val="0"/>
        <w:spacing w:before="0" w:beforeAutospacing="0" w:after="0" w:afterAutospacing="0" w:line="276" w:lineRule="auto"/>
        <w:ind w:firstLine="706"/>
        <w:rPr>
          <w:rFonts w:ascii="Tahoma" w:hAnsi="Tahoma" w:cs="Tahoma"/>
        </w:rPr>
      </w:pPr>
    </w:p>
    <w:p w14:paraId="0A73EB47" w14:textId="7B29A1B2" w:rsidR="008C3C1E" w:rsidRPr="00414CC1" w:rsidRDefault="008C3C1E" w:rsidP="00414CC1">
      <w:pPr>
        <w:pStyle w:val="Prrafodelista"/>
        <w:numPr>
          <w:ilvl w:val="0"/>
          <w:numId w:val="1"/>
        </w:numPr>
        <w:spacing w:line="276" w:lineRule="auto"/>
        <w:ind w:left="426" w:hanging="426"/>
        <w:jc w:val="center"/>
        <w:rPr>
          <w:rFonts w:cs="Tahoma"/>
          <w:b/>
          <w:bCs/>
          <w:szCs w:val="24"/>
        </w:rPr>
      </w:pPr>
      <w:r w:rsidRPr="00414CC1">
        <w:rPr>
          <w:rFonts w:cs="Tahoma"/>
          <w:b/>
          <w:bCs/>
          <w:szCs w:val="24"/>
        </w:rPr>
        <w:t>Alegatos de conclusión</w:t>
      </w:r>
    </w:p>
    <w:p w14:paraId="677C2D2F" w14:textId="2BCD1EA3" w:rsidR="16AE06FE" w:rsidRPr="00414CC1" w:rsidRDefault="16AE06FE" w:rsidP="00414CC1">
      <w:pPr>
        <w:spacing w:before="0" w:beforeAutospacing="0" w:after="0" w:afterAutospacing="0" w:line="276" w:lineRule="auto"/>
        <w:ind w:firstLine="709"/>
        <w:rPr>
          <w:rFonts w:ascii="Tahoma" w:hAnsi="Tahoma" w:cs="Tahoma"/>
          <w:highlight w:val="yellow"/>
          <w:lang w:val="es-MX"/>
        </w:rPr>
      </w:pPr>
    </w:p>
    <w:p w14:paraId="20677A44" w14:textId="0EFD5220" w:rsidR="78C1A64B" w:rsidRPr="00414CC1" w:rsidRDefault="78C1A64B" w:rsidP="00414CC1">
      <w:pPr>
        <w:spacing w:before="0" w:beforeAutospacing="0" w:after="0" w:afterAutospacing="0" w:line="276" w:lineRule="auto"/>
        <w:ind w:firstLine="708"/>
        <w:rPr>
          <w:rFonts w:ascii="Tahoma" w:hAnsi="Tahoma" w:cs="Tahoma"/>
        </w:rPr>
      </w:pPr>
      <w:r w:rsidRPr="00414CC1">
        <w:rPr>
          <w:rFonts w:ascii="Tahoma" w:eastAsia="Tahoma" w:hAnsi="Tahoma" w:cs="Tahoma"/>
        </w:rPr>
        <w:t>Analizados los alegatos presentados por las partes, mismos que obran en el expediente digital y a los cuales nos remitimos por economía procesal en virtud del artículo 280 del C.G.P., la Sala encuentra que los argumentos fácticos y jurídicos expresados concuerdan con los puntos objeto de discusión en esta instancia y se relacionan con el problema jurídico que se expresará más adelante.</w:t>
      </w:r>
    </w:p>
    <w:p w14:paraId="741AFACD" w14:textId="4BDE2456" w:rsidR="4EE5ECFB" w:rsidRPr="00414CC1" w:rsidRDefault="4EE5ECFB" w:rsidP="00414CC1">
      <w:pPr>
        <w:spacing w:before="0" w:beforeAutospacing="0" w:after="0" w:afterAutospacing="0" w:line="276" w:lineRule="auto"/>
        <w:ind w:firstLine="709"/>
        <w:rPr>
          <w:rFonts w:ascii="Tahoma" w:hAnsi="Tahoma" w:cs="Tahoma"/>
          <w:highlight w:val="yellow"/>
          <w:lang w:val="es-MX"/>
        </w:rPr>
      </w:pPr>
    </w:p>
    <w:p w14:paraId="44DCE684" w14:textId="010D8313" w:rsidR="16AE06FE" w:rsidRPr="00414CC1" w:rsidRDefault="16AE06FE" w:rsidP="00414CC1">
      <w:pPr>
        <w:widowControl w:val="0"/>
        <w:spacing w:before="0" w:beforeAutospacing="0" w:after="0" w:afterAutospacing="0" w:line="276" w:lineRule="auto"/>
        <w:ind w:left="491"/>
        <w:contextualSpacing/>
        <w:jc w:val="center"/>
        <w:rPr>
          <w:rFonts w:ascii="Tahoma" w:eastAsiaTheme="minorEastAsia" w:hAnsi="Tahoma" w:cs="Tahoma"/>
          <w:b/>
          <w:bCs/>
          <w:lang w:val="es-ES"/>
        </w:rPr>
      </w:pPr>
    </w:p>
    <w:p w14:paraId="13714DF5" w14:textId="77777777" w:rsidR="008C3C1E" w:rsidRPr="00414CC1" w:rsidRDefault="008C3C1E" w:rsidP="00414CC1">
      <w:pPr>
        <w:pStyle w:val="Prrafodelista"/>
        <w:numPr>
          <w:ilvl w:val="0"/>
          <w:numId w:val="1"/>
        </w:numPr>
        <w:spacing w:line="276" w:lineRule="auto"/>
        <w:ind w:left="426" w:hanging="426"/>
        <w:jc w:val="center"/>
        <w:rPr>
          <w:rFonts w:cs="Tahoma"/>
          <w:b/>
          <w:bCs/>
          <w:szCs w:val="24"/>
        </w:rPr>
      </w:pPr>
      <w:r w:rsidRPr="00414CC1">
        <w:rPr>
          <w:rFonts w:cs="Tahoma"/>
          <w:b/>
          <w:bCs/>
          <w:szCs w:val="24"/>
        </w:rPr>
        <w:t>Problemas jurídicos por resolver</w:t>
      </w:r>
    </w:p>
    <w:p w14:paraId="7CC87BD5" w14:textId="77777777" w:rsidR="008C3C1E" w:rsidRPr="00414CC1" w:rsidRDefault="008C3C1E" w:rsidP="00414CC1">
      <w:pPr>
        <w:spacing w:before="0" w:beforeAutospacing="0" w:after="0" w:afterAutospacing="0" w:line="276" w:lineRule="auto"/>
        <w:ind w:firstLine="708"/>
        <w:contextualSpacing/>
        <w:rPr>
          <w:rFonts w:ascii="Tahoma" w:hAnsi="Tahoma" w:cs="Tahoma"/>
        </w:rPr>
      </w:pPr>
    </w:p>
    <w:p w14:paraId="32438454" w14:textId="77777777" w:rsidR="008C3C1E" w:rsidRPr="00414CC1" w:rsidRDefault="008C3C1E" w:rsidP="00414CC1">
      <w:pPr>
        <w:spacing w:before="0" w:beforeAutospacing="0" w:after="0" w:afterAutospacing="0" w:line="276" w:lineRule="auto"/>
        <w:ind w:firstLine="708"/>
        <w:contextualSpacing/>
        <w:rPr>
          <w:rFonts w:ascii="Tahoma" w:hAnsi="Tahoma" w:cs="Tahoma"/>
        </w:rPr>
      </w:pPr>
      <w:r w:rsidRPr="00414CC1">
        <w:rPr>
          <w:rFonts w:ascii="Tahoma" w:hAnsi="Tahoma" w:cs="Tahoma"/>
        </w:rPr>
        <w:t>De acuerdo con los argumentos expuestos en la sentencia de primera instancia, los fundamentos de la apelación y los alegatos de conclusión, le corresponde a la Sala resolver los siguientes problemas jurídicos:</w:t>
      </w:r>
    </w:p>
    <w:p w14:paraId="63385E5C" w14:textId="77777777" w:rsidR="008C3C1E" w:rsidRPr="00414CC1" w:rsidRDefault="008C3C1E" w:rsidP="00414CC1">
      <w:pPr>
        <w:spacing w:before="0" w:beforeAutospacing="0" w:after="0" w:afterAutospacing="0" w:line="276" w:lineRule="auto"/>
        <w:ind w:firstLine="708"/>
        <w:contextualSpacing/>
        <w:rPr>
          <w:rFonts w:ascii="Tahoma" w:hAnsi="Tahoma" w:cs="Tahoma"/>
        </w:rPr>
      </w:pPr>
    </w:p>
    <w:p w14:paraId="42ADA931" w14:textId="77777777" w:rsidR="00DC65BC" w:rsidRPr="00414CC1" w:rsidRDefault="00DC65BC" w:rsidP="00414CC1">
      <w:pPr>
        <w:pStyle w:val="Prrafodelista"/>
        <w:widowControl w:val="0"/>
        <w:numPr>
          <w:ilvl w:val="0"/>
          <w:numId w:val="10"/>
        </w:numPr>
        <w:autoSpaceDE w:val="0"/>
        <w:autoSpaceDN w:val="0"/>
        <w:adjustRightInd w:val="0"/>
        <w:spacing w:line="276" w:lineRule="auto"/>
        <w:rPr>
          <w:rFonts w:cs="Tahoma"/>
          <w:szCs w:val="24"/>
          <w:lang w:val="es"/>
        </w:rPr>
      </w:pPr>
      <w:r w:rsidRPr="00414CC1">
        <w:rPr>
          <w:rFonts w:cs="Tahoma"/>
          <w:szCs w:val="24"/>
          <w:lang w:val="es"/>
        </w:rPr>
        <w:t>Establecer si para el momento en que la parte actora efectuó el traslado del régimen de prima media al régimen de ahorro individual, existía normatividad vigente que obligara a la entidad administradora de pensiones a brindarle al potencial afiliado información suficiente sobre las consecuencias del cambio de régimen.</w:t>
      </w:r>
    </w:p>
    <w:p w14:paraId="1B4098AA" w14:textId="77777777" w:rsidR="00DC65BC" w:rsidRPr="00414CC1" w:rsidRDefault="00DC65BC" w:rsidP="00414CC1">
      <w:pPr>
        <w:widowControl w:val="0"/>
        <w:autoSpaceDE w:val="0"/>
        <w:autoSpaceDN w:val="0"/>
        <w:adjustRightInd w:val="0"/>
        <w:spacing w:before="0" w:beforeAutospacing="0" w:after="0" w:afterAutospacing="0" w:line="276" w:lineRule="auto"/>
        <w:ind w:firstLine="284"/>
        <w:rPr>
          <w:rFonts w:ascii="Tahoma" w:hAnsi="Tahoma" w:cs="Tahoma"/>
          <w:lang w:val="es"/>
        </w:rPr>
      </w:pPr>
    </w:p>
    <w:p w14:paraId="182D7FC3" w14:textId="77777777" w:rsidR="00DC65BC" w:rsidRPr="00414CC1" w:rsidRDefault="00DC65BC" w:rsidP="00414CC1">
      <w:pPr>
        <w:pStyle w:val="Prrafodelista"/>
        <w:widowControl w:val="0"/>
        <w:numPr>
          <w:ilvl w:val="0"/>
          <w:numId w:val="10"/>
        </w:numPr>
        <w:autoSpaceDE w:val="0"/>
        <w:autoSpaceDN w:val="0"/>
        <w:adjustRightInd w:val="0"/>
        <w:spacing w:line="276" w:lineRule="auto"/>
        <w:rPr>
          <w:rFonts w:cs="Tahoma"/>
          <w:szCs w:val="24"/>
          <w:lang w:val="es"/>
        </w:rPr>
      </w:pPr>
      <w:r w:rsidRPr="00414CC1">
        <w:rPr>
          <w:rFonts w:cs="Tahoma"/>
          <w:szCs w:val="24"/>
          <w:lang w:val="es"/>
        </w:rPr>
        <w:t>Definir si para dar por cumplido el deber de información de las AFP es suficiente el diligenciamiento del formulario de afiliación.</w:t>
      </w:r>
    </w:p>
    <w:p w14:paraId="248B12B0" w14:textId="77777777" w:rsidR="00DC65BC" w:rsidRPr="00414CC1" w:rsidRDefault="00DC65BC" w:rsidP="00414CC1">
      <w:pPr>
        <w:widowControl w:val="0"/>
        <w:autoSpaceDE w:val="0"/>
        <w:autoSpaceDN w:val="0"/>
        <w:adjustRightInd w:val="0"/>
        <w:spacing w:before="0" w:beforeAutospacing="0" w:after="0" w:afterAutospacing="0" w:line="276" w:lineRule="auto"/>
        <w:ind w:firstLine="284"/>
        <w:rPr>
          <w:rFonts w:ascii="Tahoma" w:hAnsi="Tahoma" w:cs="Tahoma"/>
          <w:lang w:val="es"/>
        </w:rPr>
      </w:pPr>
    </w:p>
    <w:p w14:paraId="0658C248" w14:textId="77777777" w:rsidR="00DC65BC" w:rsidRPr="00414CC1" w:rsidRDefault="00DC65BC" w:rsidP="00414CC1">
      <w:pPr>
        <w:pStyle w:val="Prrafodelista"/>
        <w:widowControl w:val="0"/>
        <w:numPr>
          <w:ilvl w:val="0"/>
          <w:numId w:val="10"/>
        </w:numPr>
        <w:autoSpaceDE w:val="0"/>
        <w:autoSpaceDN w:val="0"/>
        <w:adjustRightInd w:val="0"/>
        <w:spacing w:line="276" w:lineRule="auto"/>
        <w:rPr>
          <w:rFonts w:cs="Tahoma"/>
          <w:szCs w:val="24"/>
          <w:lang w:val="es"/>
        </w:rPr>
      </w:pPr>
      <w:r w:rsidRPr="00414CC1">
        <w:rPr>
          <w:rFonts w:cs="Tahoma"/>
          <w:szCs w:val="24"/>
          <w:lang w:val="es"/>
        </w:rPr>
        <w:t xml:space="preserve">Determinar la carga probatoria que les corresponde a cada una de las partes cuando está en discusión la eficacia del traslado entre regímenes </w:t>
      </w:r>
      <w:r w:rsidRPr="00414CC1">
        <w:rPr>
          <w:rFonts w:cs="Tahoma"/>
          <w:szCs w:val="24"/>
          <w:lang w:val="es"/>
        </w:rPr>
        <w:lastRenderedPageBreak/>
        <w:t xml:space="preserve">pensionales. </w:t>
      </w:r>
    </w:p>
    <w:p w14:paraId="1621FD8E" w14:textId="77777777" w:rsidR="00DC65BC" w:rsidRPr="00414CC1" w:rsidRDefault="00DC65BC" w:rsidP="00414CC1">
      <w:pPr>
        <w:widowControl w:val="0"/>
        <w:autoSpaceDE w:val="0"/>
        <w:autoSpaceDN w:val="0"/>
        <w:adjustRightInd w:val="0"/>
        <w:spacing w:before="0" w:beforeAutospacing="0" w:after="0" w:afterAutospacing="0" w:line="276" w:lineRule="auto"/>
        <w:ind w:firstLine="284"/>
        <w:rPr>
          <w:rFonts w:ascii="Tahoma" w:hAnsi="Tahoma" w:cs="Tahoma"/>
          <w:lang w:val="es"/>
        </w:rPr>
      </w:pPr>
    </w:p>
    <w:p w14:paraId="3108E94F" w14:textId="77777777" w:rsidR="00DC65BC" w:rsidRPr="00414CC1" w:rsidRDefault="00DC65BC" w:rsidP="00414CC1">
      <w:pPr>
        <w:pStyle w:val="Prrafodelista"/>
        <w:widowControl w:val="0"/>
        <w:numPr>
          <w:ilvl w:val="0"/>
          <w:numId w:val="10"/>
        </w:numPr>
        <w:autoSpaceDE w:val="0"/>
        <w:autoSpaceDN w:val="0"/>
        <w:adjustRightInd w:val="0"/>
        <w:spacing w:line="276" w:lineRule="auto"/>
        <w:rPr>
          <w:rFonts w:cs="Tahoma"/>
          <w:szCs w:val="24"/>
          <w:lang w:val="es"/>
        </w:rPr>
      </w:pPr>
      <w:r w:rsidRPr="00414CC1">
        <w:rPr>
          <w:rFonts w:cs="Tahoma"/>
          <w:szCs w:val="24"/>
          <w:lang w:val="es"/>
        </w:rPr>
        <w:t xml:space="preserve">Analizar si quedó probado en el proceso que la parte demandante recibió de parte de las AFP demandadas, la asesoría e información suficiente y necesaria para hacer el cambio de régimen. </w:t>
      </w:r>
    </w:p>
    <w:p w14:paraId="3DEB426F" w14:textId="77777777" w:rsidR="00DC65BC" w:rsidRPr="00414CC1" w:rsidRDefault="00DC65BC" w:rsidP="00414CC1">
      <w:pPr>
        <w:widowControl w:val="0"/>
        <w:autoSpaceDE w:val="0"/>
        <w:autoSpaceDN w:val="0"/>
        <w:adjustRightInd w:val="0"/>
        <w:spacing w:before="0" w:beforeAutospacing="0" w:after="0" w:afterAutospacing="0" w:line="276" w:lineRule="auto"/>
        <w:ind w:firstLine="284"/>
        <w:rPr>
          <w:rFonts w:ascii="Tahoma" w:hAnsi="Tahoma" w:cs="Tahoma"/>
          <w:lang w:val="es"/>
        </w:rPr>
      </w:pPr>
    </w:p>
    <w:p w14:paraId="056061C9" w14:textId="77777777" w:rsidR="00DC65BC" w:rsidRPr="00414CC1" w:rsidRDefault="00DC65BC" w:rsidP="00414CC1">
      <w:pPr>
        <w:pStyle w:val="Prrafodelista"/>
        <w:widowControl w:val="0"/>
        <w:numPr>
          <w:ilvl w:val="0"/>
          <w:numId w:val="10"/>
        </w:numPr>
        <w:autoSpaceDE w:val="0"/>
        <w:autoSpaceDN w:val="0"/>
        <w:adjustRightInd w:val="0"/>
        <w:spacing w:line="276" w:lineRule="auto"/>
        <w:rPr>
          <w:rFonts w:cs="Tahoma"/>
          <w:szCs w:val="24"/>
          <w:lang w:val="es"/>
        </w:rPr>
      </w:pPr>
      <w:r w:rsidRPr="00414CC1">
        <w:rPr>
          <w:rFonts w:cs="Tahoma"/>
          <w:szCs w:val="24"/>
          <w:lang w:val="es"/>
        </w:rPr>
        <w:t xml:space="preserve">Establecer si se debe ordenar a las AFP demandadas la devolución, con cargo a sus propios recursos de los gastos de administración, comisiones, cuotas de garantía de pensión mínima y seguros previsionales a Colpensiones. </w:t>
      </w:r>
    </w:p>
    <w:p w14:paraId="5D941E1B" w14:textId="77777777" w:rsidR="00DC65BC" w:rsidRPr="00414CC1" w:rsidRDefault="00DC65BC" w:rsidP="00414CC1">
      <w:pPr>
        <w:widowControl w:val="0"/>
        <w:autoSpaceDE w:val="0"/>
        <w:autoSpaceDN w:val="0"/>
        <w:adjustRightInd w:val="0"/>
        <w:spacing w:before="0" w:beforeAutospacing="0" w:after="0" w:afterAutospacing="0" w:line="276" w:lineRule="auto"/>
        <w:ind w:firstLine="284"/>
        <w:rPr>
          <w:rFonts w:ascii="Tahoma" w:hAnsi="Tahoma" w:cs="Tahoma"/>
          <w:lang w:val="es"/>
        </w:rPr>
      </w:pPr>
    </w:p>
    <w:p w14:paraId="1653D398" w14:textId="77777777" w:rsidR="00DC65BC" w:rsidRPr="00414CC1" w:rsidRDefault="00DC65BC" w:rsidP="00414CC1">
      <w:pPr>
        <w:pStyle w:val="Prrafodelista"/>
        <w:widowControl w:val="0"/>
        <w:numPr>
          <w:ilvl w:val="0"/>
          <w:numId w:val="10"/>
        </w:numPr>
        <w:autoSpaceDE w:val="0"/>
        <w:autoSpaceDN w:val="0"/>
        <w:adjustRightInd w:val="0"/>
        <w:spacing w:line="276" w:lineRule="auto"/>
        <w:rPr>
          <w:rFonts w:cs="Tahoma"/>
          <w:szCs w:val="24"/>
          <w:lang w:val="es"/>
        </w:rPr>
      </w:pPr>
      <w:r w:rsidRPr="00414CC1">
        <w:rPr>
          <w:rFonts w:cs="Tahoma"/>
          <w:szCs w:val="24"/>
          <w:lang w:val="es"/>
        </w:rPr>
        <w:t>Concluir si la prohibición señalada en el literal e) del artículo 13 de la Ley 100 de 1993, modificado por el artículo 2º de la Ley 797 de 2003, es atendible en aquellos eventos donde se discute la ineficacia del traslado de régimen pensional.</w:t>
      </w:r>
    </w:p>
    <w:p w14:paraId="28E92345" w14:textId="77777777" w:rsidR="00DC65BC" w:rsidRPr="00414CC1" w:rsidRDefault="00DC65BC" w:rsidP="00414CC1">
      <w:pPr>
        <w:widowControl w:val="0"/>
        <w:autoSpaceDE w:val="0"/>
        <w:autoSpaceDN w:val="0"/>
        <w:adjustRightInd w:val="0"/>
        <w:spacing w:before="0" w:beforeAutospacing="0" w:after="0" w:afterAutospacing="0" w:line="276" w:lineRule="auto"/>
        <w:ind w:firstLine="284"/>
        <w:rPr>
          <w:rFonts w:ascii="Tahoma" w:hAnsi="Tahoma" w:cs="Tahoma"/>
          <w:lang w:val="es"/>
        </w:rPr>
      </w:pPr>
    </w:p>
    <w:p w14:paraId="12FAD8A0" w14:textId="77777777" w:rsidR="00DC65BC" w:rsidRPr="00414CC1" w:rsidRDefault="00DC65BC" w:rsidP="00414CC1">
      <w:pPr>
        <w:pStyle w:val="Prrafodelista"/>
        <w:widowControl w:val="0"/>
        <w:numPr>
          <w:ilvl w:val="0"/>
          <w:numId w:val="10"/>
        </w:numPr>
        <w:autoSpaceDE w:val="0"/>
        <w:autoSpaceDN w:val="0"/>
        <w:adjustRightInd w:val="0"/>
        <w:spacing w:line="276" w:lineRule="auto"/>
        <w:rPr>
          <w:rFonts w:cs="Tahoma"/>
          <w:szCs w:val="24"/>
          <w:lang w:val="es"/>
        </w:rPr>
      </w:pPr>
      <w:r w:rsidRPr="00414CC1">
        <w:rPr>
          <w:rFonts w:cs="Tahoma"/>
          <w:szCs w:val="24"/>
          <w:lang w:val="es"/>
        </w:rPr>
        <w:t xml:space="preserve">Analizar cuál es el precedente aplicable en la actualidad respecto de los actos de relacionamiento. </w:t>
      </w:r>
    </w:p>
    <w:p w14:paraId="3C551B56" w14:textId="77777777" w:rsidR="00DC65BC" w:rsidRPr="00414CC1" w:rsidRDefault="00DC65BC" w:rsidP="00414CC1">
      <w:pPr>
        <w:widowControl w:val="0"/>
        <w:autoSpaceDE w:val="0"/>
        <w:autoSpaceDN w:val="0"/>
        <w:adjustRightInd w:val="0"/>
        <w:spacing w:before="0" w:beforeAutospacing="0" w:after="0" w:afterAutospacing="0" w:line="276" w:lineRule="auto"/>
        <w:ind w:firstLine="284"/>
        <w:rPr>
          <w:rFonts w:ascii="Tahoma" w:hAnsi="Tahoma" w:cs="Tahoma"/>
          <w:lang w:val="es"/>
        </w:rPr>
      </w:pPr>
    </w:p>
    <w:p w14:paraId="28068856" w14:textId="3ED454D7" w:rsidR="00DC65BC" w:rsidRPr="00414CC1" w:rsidRDefault="00DC65BC" w:rsidP="00414CC1">
      <w:pPr>
        <w:pStyle w:val="Prrafodelista"/>
        <w:widowControl w:val="0"/>
        <w:numPr>
          <w:ilvl w:val="0"/>
          <w:numId w:val="10"/>
        </w:numPr>
        <w:autoSpaceDE w:val="0"/>
        <w:autoSpaceDN w:val="0"/>
        <w:adjustRightInd w:val="0"/>
        <w:spacing w:line="276" w:lineRule="auto"/>
        <w:rPr>
          <w:rFonts w:cs="Tahoma"/>
          <w:szCs w:val="24"/>
          <w:lang w:val="es"/>
        </w:rPr>
      </w:pPr>
      <w:r w:rsidRPr="00414CC1">
        <w:rPr>
          <w:rFonts w:cs="Tahoma"/>
          <w:szCs w:val="24"/>
          <w:lang w:val="es"/>
        </w:rPr>
        <w:t>Establecer si hay lugar a exonerar en costas a Porvenir S.A.</w:t>
      </w:r>
    </w:p>
    <w:p w14:paraId="7E4AF3F3" w14:textId="332BBF2C" w:rsidR="008C3C1E" w:rsidRDefault="008C3C1E" w:rsidP="00414CC1">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3051C218" w14:textId="77777777" w:rsidR="00414CC1" w:rsidRPr="00414CC1" w:rsidRDefault="00414CC1" w:rsidP="00414CC1">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1C7DA232" w14:textId="23268C18" w:rsidR="008C3C1E" w:rsidRPr="00414CC1" w:rsidRDefault="008C3C1E" w:rsidP="00414CC1">
      <w:pPr>
        <w:pStyle w:val="Prrafodelista"/>
        <w:numPr>
          <w:ilvl w:val="0"/>
          <w:numId w:val="1"/>
        </w:numPr>
        <w:spacing w:line="276" w:lineRule="auto"/>
        <w:ind w:left="426" w:hanging="426"/>
        <w:jc w:val="center"/>
        <w:rPr>
          <w:rFonts w:cs="Tahoma"/>
          <w:b/>
          <w:bCs/>
          <w:szCs w:val="24"/>
        </w:rPr>
      </w:pPr>
      <w:r w:rsidRPr="00414CC1">
        <w:rPr>
          <w:rFonts w:cs="Tahoma"/>
          <w:b/>
          <w:bCs/>
          <w:szCs w:val="24"/>
        </w:rPr>
        <w:t>Consideraciones</w:t>
      </w:r>
    </w:p>
    <w:p w14:paraId="18D92D98" w14:textId="5EB6CE86" w:rsidR="005B7733" w:rsidRPr="00414CC1" w:rsidRDefault="005B7733" w:rsidP="00414CC1">
      <w:pPr>
        <w:widowControl w:val="0"/>
        <w:autoSpaceDE w:val="0"/>
        <w:autoSpaceDN w:val="0"/>
        <w:adjustRightInd w:val="0"/>
        <w:spacing w:before="0" w:beforeAutospacing="0" w:after="0" w:afterAutospacing="0" w:line="276" w:lineRule="auto"/>
        <w:jc w:val="center"/>
        <w:rPr>
          <w:rFonts w:ascii="Tahoma" w:eastAsia="Calibri" w:hAnsi="Tahoma" w:cs="Tahoma"/>
          <w:b/>
          <w:bCs/>
          <w:lang w:eastAsia="es-CO"/>
        </w:rPr>
      </w:pPr>
    </w:p>
    <w:p w14:paraId="54986362" w14:textId="77777777" w:rsidR="00572574" w:rsidRPr="00287F24" w:rsidRDefault="00572574" w:rsidP="00572574">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bCs/>
          <w:lang w:eastAsia="es-CO"/>
        </w:rPr>
      </w:pPr>
      <w:r w:rsidRPr="00287F24">
        <w:rPr>
          <w:rFonts w:ascii="Tahoma" w:eastAsia="Calibri" w:hAnsi="Tahoma" w:cs="Tahoma"/>
          <w:b/>
          <w:bCs/>
          <w:lang w:eastAsia="es-CO"/>
        </w:rPr>
        <w:t xml:space="preserve">Precedente vertical: la tesis de la Corte Suprema de Justicia respecto al tema de la ineficacia del traslado constituye doctrina probable </w:t>
      </w:r>
    </w:p>
    <w:p w14:paraId="75299AD0" w14:textId="77777777" w:rsidR="00572574" w:rsidRPr="00287F24" w:rsidRDefault="00572574" w:rsidP="00572574">
      <w:pPr>
        <w:widowControl w:val="0"/>
        <w:autoSpaceDE w:val="0"/>
        <w:autoSpaceDN w:val="0"/>
        <w:adjustRightInd w:val="0"/>
        <w:spacing w:before="0" w:beforeAutospacing="0" w:after="0" w:afterAutospacing="0" w:line="276" w:lineRule="auto"/>
        <w:ind w:firstLine="0"/>
        <w:rPr>
          <w:rFonts w:ascii="Tahoma" w:eastAsia="Calibri" w:hAnsi="Tahoma" w:cs="Tahoma"/>
          <w:b/>
          <w:lang w:eastAsia="es-CO"/>
        </w:rPr>
      </w:pPr>
    </w:p>
    <w:p w14:paraId="58251333" w14:textId="77777777" w:rsidR="00572574" w:rsidRPr="00287F24" w:rsidRDefault="00572574" w:rsidP="00572574">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287F24">
        <w:rPr>
          <w:rFonts w:ascii="Tahoma" w:eastAsia="Calibri" w:hAnsi="Tahoma" w:cs="Tahoma"/>
          <w:lang w:eastAsia="es-CO"/>
        </w:rPr>
        <w:t xml:space="preserve">En la actualidad existe </w:t>
      </w:r>
      <w:r w:rsidRPr="00287F24">
        <w:rPr>
          <w:rFonts w:ascii="Tahoma" w:eastAsia="Calibri" w:hAnsi="Tahoma" w:cs="Tahoma"/>
          <w:b/>
          <w:lang w:eastAsia="es-CO"/>
        </w:rPr>
        <w:t>doctrina probable</w:t>
      </w:r>
      <w:r w:rsidRPr="00287F24">
        <w:rPr>
          <w:rFonts w:ascii="Tahoma" w:eastAsia="Calibri" w:hAnsi="Tahoma" w:cs="Tahoma"/>
          <w:lang w:eastAsia="es-CO"/>
        </w:rPr>
        <w:t xml:space="preserve"> respecto a la ineficacia de los traslados de regímenes, por cuanto la Sala de Casación Laboral ha proferido sobre el tema un número considerable de sentencias (más de 40), entre otras, las siguientes: </w:t>
      </w:r>
    </w:p>
    <w:p w14:paraId="215E6C43" w14:textId="77777777" w:rsidR="00572574" w:rsidRPr="00287F24" w:rsidRDefault="00572574" w:rsidP="00572574">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3E6C0CEC" w14:textId="77777777" w:rsidR="00572574" w:rsidRPr="00287F24" w:rsidRDefault="00572574" w:rsidP="00572574">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287F24">
        <w:rPr>
          <w:rFonts w:ascii="Tahoma" w:eastAsia="Calibri" w:hAnsi="Tahoma" w:cs="Tahoma"/>
          <w:bCs/>
          <w:lang w:eastAsia="es-CO"/>
        </w:rPr>
        <w:t xml:space="preserve">SL 31989 del 9 sep. 2008, </w:t>
      </w:r>
      <w:r w:rsidRPr="00287F24">
        <w:rPr>
          <w:rFonts w:ascii="Tahoma" w:eastAsia="Calibri" w:hAnsi="Tahoma" w:cs="Tahoma"/>
          <w:lang w:eastAsia="es-CO"/>
        </w:rPr>
        <w:t>SL 31314 9 sep. 2008, SL 33083 22 nov. 2011, SL12136-2014, SL19447-2017, SL4964-2018, CSJ SL4989-2018, SL1421-2019, SL1452-2019, SL1688-2019, SL1689-2019, Sentencia SL 373 -2020, Sentencia SL 5462-2019, Sentencia SL149-2020, Sentencia SL5533-2019, Sentencia SL5144-2019, Sentencia SL4937-2019, Sentencia SL4426-2019, Sentencia SL4343-2019, Sentencia SL4856-2019, Sentencia STP 2082-2019, Sentencia SL4360-2019, Sentencia SL3852-2019, Sentencia SL3749-2019, Sentencia SL3179-2019,  Sentencia SL1838-2019, Sentencia SL2817-2019, Sentencia SL771-2019, Sentencia SL4296-2018, Sentencia SL2865-2019, Sentencia  SL2955-2019, Sentencia  SL2324-2019.</w:t>
      </w:r>
    </w:p>
    <w:p w14:paraId="5238979E" w14:textId="77777777" w:rsidR="00572574" w:rsidRPr="00287F24" w:rsidRDefault="00572574" w:rsidP="00572574">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601D7917" w14:textId="77777777" w:rsidR="00572574" w:rsidRPr="00287F24" w:rsidRDefault="00572574" w:rsidP="00572574">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287F24">
        <w:rPr>
          <w:rFonts w:ascii="Tahoma" w:eastAsia="Calibri" w:hAnsi="Tahoma" w:cs="Tahoma"/>
          <w:lang w:eastAsia="es-CO"/>
        </w:rPr>
        <w:t xml:space="preserve">En términos generales, en todas estas sentencias se determinó </w:t>
      </w:r>
      <w:r w:rsidRPr="00287F24">
        <w:rPr>
          <w:rFonts w:ascii="Tahoma" w:eastAsia="Calibri" w:hAnsi="Tahoma" w:cs="Tahoma"/>
          <w:i/>
          <w:lang w:eastAsia="es-CO"/>
        </w:rPr>
        <w:t xml:space="preserve">i) </w:t>
      </w:r>
      <w:r w:rsidRPr="00287F24">
        <w:rPr>
          <w:rFonts w:ascii="Tahoma" w:eastAsia="Calibri" w:hAnsi="Tahoma" w:cs="Tahoma"/>
          <w:lang w:eastAsia="es-CO"/>
        </w:rPr>
        <w:t xml:space="preserve">el alcance del deber de información a cargo de las Administradoras de Fondos de Pensiones, </w:t>
      </w:r>
      <w:r w:rsidRPr="00287F24">
        <w:rPr>
          <w:rFonts w:ascii="Tahoma" w:eastAsia="Calibri" w:hAnsi="Tahoma" w:cs="Tahoma"/>
          <w:i/>
          <w:lang w:eastAsia="es-CO"/>
        </w:rPr>
        <w:t xml:space="preserve">ii) </w:t>
      </w:r>
      <w:r w:rsidRPr="00287F24">
        <w:rPr>
          <w:rFonts w:ascii="Tahoma" w:eastAsia="Calibri" w:hAnsi="Tahoma" w:cs="Tahoma"/>
          <w:lang w:eastAsia="es-CO"/>
        </w:rPr>
        <w:t xml:space="preserve">la procedencia de la ineficacia del traslado, </w:t>
      </w:r>
      <w:r w:rsidRPr="00287F24">
        <w:rPr>
          <w:rFonts w:ascii="Tahoma" w:eastAsia="Calibri" w:hAnsi="Tahoma" w:cs="Tahoma"/>
          <w:i/>
          <w:lang w:eastAsia="es-CO"/>
        </w:rPr>
        <w:t xml:space="preserve">iii) </w:t>
      </w:r>
      <w:r w:rsidRPr="00287F24">
        <w:rPr>
          <w:rFonts w:ascii="Tahoma" w:eastAsia="Calibri" w:hAnsi="Tahoma" w:cs="Tahoma"/>
          <w:lang w:eastAsia="es-CO"/>
        </w:rPr>
        <w:t xml:space="preserve">la inversión de la carga de la prueba en favor del afiliado. Todos los problemas jurídicos planteados en este asunto, fueron objeto de estudio por parte de la Sala de Casación Laboral, de modo que basta </w:t>
      </w:r>
      <w:r w:rsidRPr="00287F24">
        <w:rPr>
          <w:rFonts w:ascii="Tahoma" w:eastAsia="Calibri" w:hAnsi="Tahoma" w:cs="Tahoma"/>
          <w:lang w:eastAsia="es-CO"/>
        </w:rPr>
        <w:lastRenderedPageBreak/>
        <w:t>referirnos a su precedente para dar respuesta a los mismos, como veremos a continuación.</w:t>
      </w:r>
    </w:p>
    <w:p w14:paraId="65BB4863" w14:textId="77777777" w:rsidR="00572574" w:rsidRPr="00287F24" w:rsidRDefault="00572574" w:rsidP="00572574">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5CD4E06B" w14:textId="77777777" w:rsidR="00572574" w:rsidRPr="00287F24" w:rsidRDefault="00572574" w:rsidP="00572574">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iCs/>
          <w:lang w:eastAsia="es-CO"/>
        </w:rPr>
      </w:pPr>
      <w:r w:rsidRPr="00287F24">
        <w:rPr>
          <w:rFonts w:ascii="Tahoma" w:eastAsia="Calibri" w:hAnsi="Tahoma" w:cs="Tahoma"/>
          <w:b/>
          <w:iCs/>
          <w:lang w:eastAsia="es-CO"/>
        </w:rPr>
        <w:t>“El deber de información a cargo de las administradoras de fondos de pensiones: Un deber exigible desde su creación</w:t>
      </w:r>
      <w:r w:rsidRPr="00287F24">
        <w:rPr>
          <w:rFonts w:ascii="Tahoma" w:eastAsia="Calibri" w:hAnsi="Tahoma" w:cs="Tahoma"/>
          <w:b/>
          <w:iCs/>
          <w:vertAlign w:val="superscript"/>
          <w:lang w:eastAsia="es-CO"/>
        </w:rPr>
        <w:footnoteReference w:id="2"/>
      </w:r>
      <w:r w:rsidRPr="00287F24">
        <w:rPr>
          <w:rFonts w:ascii="Tahoma" w:eastAsia="Calibri" w:hAnsi="Tahoma" w:cs="Tahoma"/>
          <w:b/>
          <w:iCs/>
          <w:lang w:eastAsia="es-CO"/>
        </w:rPr>
        <w:t>”</w:t>
      </w:r>
    </w:p>
    <w:p w14:paraId="6DB25CA2" w14:textId="77777777" w:rsidR="00572574" w:rsidRPr="00287F24" w:rsidRDefault="00572574" w:rsidP="00572574">
      <w:pPr>
        <w:widowControl w:val="0"/>
        <w:autoSpaceDE w:val="0"/>
        <w:autoSpaceDN w:val="0"/>
        <w:adjustRightInd w:val="0"/>
        <w:spacing w:before="0" w:beforeAutospacing="0" w:after="0" w:afterAutospacing="0" w:line="276" w:lineRule="auto"/>
        <w:ind w:firstLine="284"/>
        <w:rPr>
          <w:rFonts w:ascii="Tahoma" w:eastAsia="Calibri" w:hAnsi="Tahoma" w:cs="Tahoma"/>
          <w:i/>
          <w:lang w:eastAsia="es-CO"/>
        </w:rPr>
      </w:pPr>
    </w:p>
    <w:p w14:paraId="6E98A50A" w14:textId="77777777" w:rsidR="00572574" w:rsidRPr="00287F24" w:rsidRDefault="00572574" w:rsidP="00572574">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287F24">
        <w:rPr>
          <w:rFonts w:ascii="Tahoma" w:eastAsia="Calibri" w:hAnsi="Tahoma" w:cs="Tahoma"/>
          <w:lang w:eastAsia="es-CO"/>
        </w:rPr>
        <w:t xml:space="preserve">Dado que las Administradoras de Fondos de Pensiones son organismos profesionales, resulta aplicable el artículo 1604 del Código Civil, según el cual la prueba de la </w:t>
      </w:r>
      <w:r w:rsidRPr="00287F24">
        <w:rPr>
          <w:rFonts w:ascii="Tahoma" w:eastAsia="Calibri" w:hAnsi="Tahoma" w:cs="Tahoma"/>
          <w:u w:val="single"/>
          <w:lang w:eastAsia="es-CO"/>
        </w:rPr>
        <w:t>debida diligencia y cuidado</w:t>
      </w:r>
      <w:r w:rsidRPr="00287F24">
        <w:rPr>
          <w:rFonts w:ascii="Tahoma" w:eastAsia="Calibri" w:hAnsi="Tahoma" w:cs="Tahoma"/>
          <w:lang w:eastAsia="es-CO"/>
        </w:rPr>
        <w:t xml:space="preserve"> incumbe a quien ha debido emplearla, atendiendo a las siguientes razones:</w:t>
      </w:r>
    </w:p>
    <w:p w14:paraId="710069F0" w14:textId="77777777" w:rsidR="00572574" w:rsidRPr="00287F24" w:rsidRDefault="00572574" w:rsidP="00572574">
      <w:pPr>
        <w:widowControl w:val="0"/>
        <w:autoSpaceDE w:val="0"/>
        <w:autoSpaceDN w:val="0"/>
        <w:adjustRightInd w:val="0"/>
        <w:spacing w:before="0" w:beforeAutospacing="0" w:after="0" w:afterAutospacing="0" w:line="276" w:lineRule="auto"/>
        <w:ind w:firstLine="0"/>
        <w:rPr>
          <w:rFonts w:ascii="Tahoma" w:eastAsia="Calibri" w:hAnsi="Tahoma" w:cs="Tahoma"/>
          <w:lang w:eastAsia="es-CO"/>
        </w:rPr>
      </w:pPr>
    </w:p>
    <w:p w14:paraId="37ED1F63" w14:textId="77777777" w:rsidR="00572574" w:rsidRPr="00287F24" w:rsidRDefault="00572574" w:rsidP="00572574">
      <w:pPr>
        <w:pStyle w:val="Prrafodelista"/>
        <w:widowControl w:val="0"/>
        <w:numPr>
          <w:ilvl w:val="0"/>
          <w:numId w:val="9"/>
        </w:numPr>
        <w:autoSpaceDE w:val="0"/>
        <w:autoSpaceDN w:val="0"/>
        <w:adjustRightInd w:val="0"/>
        <w:spacing w:line="276" w:lineRule="auto"/>
        <w:rPr>
          <w:rFonts w:eastAsia="Calibri" w:cs="Tahoma"/>
          <w:szCs w:val="24"/>
          <w:lang w:eastAsia="es-CO"/>
        </w:rPr>
      </w:pPr>
      <w:r w:rsidRPr="00287F24">
        <w:rPr>
          <w:rFonts w:eastAsia="Calibri" w:cs="Tahoma"/>
          <w:szCs w:val="24"/>
          <w:lang w:eastAsia="es-CO"/>
        </w:rPr>
        <w:t xml:space="preserve">Las Administradoras de Fondos de Pensiones tienen deberes de carácter profesional con sus afiliados y con los consumidores del mercado potencial en general. Además, sus actividades se encuentran reguladas por el </w:t>
      </w:r>
      <w:r w:rsidRPr="00287F24">
        <w:rPr>
          <w:rFonts w:eastAsia="Calibri" w:cs="Tahoma"/>
          <w:szCs w:val="24"/>
          <w:u w:val="single"/>
          <w:lang w:eastAsia="es-CO"/>
        </w:rPr>
        <w:t>Decreto 663 de 1993</w:t>
      </w:r>
      <w:r w:rsidRPr="00287F24">
        <w:rPr>
          <w:rFonts w:cs="Tahoma"/>
          <w:szCs w:val="24"/>
          <w:u w:val="single"/>
          <w:vertAlign w:val="superscript"/>
          <w:lang w:eastAsia="es-CO"/>
        </w:rPr>
        <w:footnoteReference w:id="3"/>
      </w:r>
      <w:r w:rsidRPr="00287F24">
        <w:rPr>
          <w:rFonts w:eastAsia="Calibri" w:cs="Tahoma"/>
          <w:szCs w:val="24"/>
          <w:lang w:eastAsia="es-CO"/>
        </w:rPr>
        <w:t>, norma en la que se destaca la importancia de los principios de debida diligencia, transparencia e información cierta, suficiente y oportuna.</w:t>
      </w:r>
    </w:p>
    <w:p w14:paraId="1ED9F4E7" w14:textId="77777777" w:rsidR="00572574" w:rsidRPr="00287F24" w:rsidRDefault="00572574" w:rsidP="00572574">
      <w:pPr>
        <w:pStyle w:val="Prrafodelista"/>
        <w:widowControl w:val="0"/>
        <w:autoSpaceDE w:val="0"/>
        <w:autoSpaceDN w:val="0"/>
        <w:adjustRightInd w:val="0"/>
        <w:spacing w:line="276" w:lineRule="auto"/>
        <w:rPr>
          <w:rFonts w:eastAsia="Calibri" w:cs="Tahoma"/>
          <w:szCs w:val="24"/>
          <w:lang w:eastAsia="es-CO"/>
        </w:rPr>
      </w:pPr>
    </w:p>
    <w:p w14:paraId="2A9516E3" w14:textId="77777777" w:rsidR="00572574" w:rsidRPr="00287F24" w:rsidRDefault="00572574" w:rsidP="00572574">
      <w:pPr>
        <w:pStyle w:val="Prrafodelista"/>
        <w:widowControl w:val="0"/>
        <w:numPr>
          <w:ilvl w:val="0"/>
          <w:numId w:val="9"/>
        </w:numPr>
        <w:autoSpaceDE w:val="0"/>
        <w:autoSpaceDN w:val="0"/>
        <w:adjustRightInd w:val="0"/>
        <w:spacing w:line="276" w:lineRule="auto"/>
        <w:rPr>
          <w:rFonts w:eastAsia="Calibri" w:cs="Tahoma"/>
          <w:szCs w:val="24"/>
          <w:lang w:eastAsia="es-CO"/>
        </w:rPr>
      </w:pPr>
      <w:r w:rsidRPr="00287F24">
        <w:rPr>
          <w:rFonts w:eastAsia="Calibri" w:cs="Tahoma"/>
          <w:szCs w:val="24"/>
          <w:lang w:eastAsia="es-CO"/>
        </w:rPr>
        <w:t xml:space="preserve">Adicionalmente, se tiene previsto en el artículo 12 del Decreto 720 de 1994, que los promotores que empleen las sociedades administradoras del sistema general de pensiones deberán suministrar </w:t>
      </w:r>
      <w:r w:rsidRPr="00287F24">
        <w:rPr>
          <w:rFonts w:eastAsia="Calibri" w:cs="Tahoma"/>
          <w:szCs w:val="24"/>
          <w:u w:val="single"/>
          <w:lang w:eastAsia="es-CO"/>
        </w:rPr>
        <w:t>suficiente, amplia y oportuna</w:t>
      </w:r>
      <w:r w:rsidRPr="00287F24">
        <w:rPr>
          <w:rFonts w:eastAsia="Calibri" w:cs="Tahoma"/>
          <w:szCs w:val="24"/>
          <w:lang w:eastAsia="es-CO"/>
        </w:rPr>
        <w:t xml:space="preserve"> información a los posibles afiliados al momento de la promoción de la afiliación y durante toda la vinculación con ocasión de las prestaciones a las cuales tenga derecho el afiliado. </w:t>
      </w:r>
    </w:p>
    <w:p w14:paraId="349BDB8E" w14:textId="77777777" w:rsidR="00572574" w:rsidRPr="00287F24" w:rsidRDefault="00572574" w:rsidP="00572574">
      <w:pPr>
        <w:pStyle w:val="Prrafodelista"/>
        <w:spacing w:line="276" w:lineRule="auto"/>
        <w:rPr>
          <w:rFonts w:eastAsia="Calibri" w:cs="Tahoma"/>
          <w:szCs w:val="24"/>
          <w:lang w:eastAsia="es-CO"/>
        </w:rPr>
      </w:pPr>
    </w:p>
    <w:p w14:paraId="5A42AF4D" w14:textId="77777777" w:rsidR="00572574" w:rsidRPr="00287F24" w:rsidRDefault="00572574" w:rsidP="00572574">
      <w:pPr>
        <w:pStyle w:val="Prrafodelista"/>
        <w:widowControl w:val="0"/>
        <w:numPr>
          <w:ilvl w:val="0"/>
          <w:numId w:val="9"/>
        </w:numPr>
        <w:autoSpaceDE w:val="0"/>
        <w:autoSpaceDN w:val="0"/>
        <w:adjustRightInd w:val="0"/>
        <w:spacing w:line="276" w:lineRule="auto"/>
        <w:rPr>
          <w:rFonts w:eastAsia="Calibri" w:cs="Tahoma"/>
          <w:szCs w:val="24"/>
          <w:lang w:eastAsia="es-CO"/>
        </w:rPr>
      </w:pPr>
      <w:r w:rsidRPr="00287F24">
        <w:rPr>
          <w:rFonts w:eastAsia="Calibri" w:cs="Tahoma"/>
          <w:szCs w:val="24"/>
          <w:lang w:eastAsia="es-CO"/>
        </w:rPr>
        <w:t>Dispone el artículo 114 de la Ley 100 de 1993, que los trabajadores y servidores públicos que se trasladen por primera vez del RPM al RAIS, deberán presentar a la respectiva entidad administradora comunicación escrita en la que conste que la selección de dicho régimen se ha tomado de manera libre, espontánea y sin presiones.</w:t>
      </w:r>
    </w:p>
    <w:p w14:paraId="4B4BF936" w14:textId="77777777" w:rsidR="00572574" w:rsidRPr="00287F24" w:rsidRDefault="00572574" w:rsidP="00572574">
      <w:pPr>
        <w:pStyle w:val="Prrafodelista"/>
        <w:spacing w:line="276" w:lineRule="auto"/>
        <w:rPr>
          <w:rFonts w:eastAsia="Calibri" w:cs="Tahoma"/>
          <w:szCs w:val="24"/>
          <w:lang w:eastAsia="es-CO"/>
        </w:rPr>
      </w:pPr>
    </w:p>
    <w:p w14:paraId="3CA45719" w14:textId="77777777" w:rsidR="00572574" w:rsidRPr="00287F24" w:rsidRDefault="00572574" w:rsidP="00572574">
      <w:pPr>
        <w:pStyle w:val="Prrafodelista"/>
        <w:widowControl w:val="0"/>
        <w:numPr>
          <w:ilvl w:val="0"/>
          <w:numId w:val="9"/>
        </w:numPr>
        <w:autoSpaceDE w:val="0"/>
        <w:autoSpaceDN w:val="0"/>
        <w:adjustRightInd w:val="0"/>
        <w:spacing w:line="276" w:lineRule="auto"/>
        <w:rPr>
          <w:rFonts w:eastAsia="Calibri" w:cs="Tahoma"/>
          <w:szCs w:val="24"/>
          <w:lang w:eastAsia="es-CO"/>
        </w:rPr>
      </w:pPr>
      <w:r w:rsidRPr="00287F24">
        <w:rPr>
          <w:rFonts w:eastAsia="Calibri" w:cs="Tahoma"/>
          <w:szCs w:val="24"/>
          <w:lang w:eastAsia="es-CO"/>
        </w:rPr>
        <w:t xml:space="preserve">En numerosas sentencias del órgano de cierre de la jurisdicción ordinaria laboral, se ha establecido que no puede argüirse que </w:t>
      </w:r>
      <w:r w:rsidRPr="00287F24">
        <w:rPr>
          <w:rFonts w:eastAsia="Calibri" w:cs="Tahoma"/>
          <w:iCs/>
          <w:szCs w:val="24"/>
          <w:lang w:eastAsia="es-CO"/>
        </w:rPr>
        <w:t xml:space="preserve">existe una manifestación libre y voluntaria cuando las personas desconocen la incidencia que el traslado de régimen pueda tener frente a sus derechos prestacionales, ni puede estimarse satisfecho tal requisito con una simple expresión genérica o con la suscripción de un formato; de allí que desde el inicio haya correspondido a las Administradoras de Fondos de Pensiones </w:t>
      </w:r>
      <w:r w:rsidRPr="00287F24">
        <w:rPr>
          <w:rFonts w:eastAsia="Calibri" w:cs="Tahoma"/>
          <w:i/>
          <w:iCs/>
          <w:szCs w:val="24"/>
          <w:lang w:eastAsia="es-CO"/>
        </w:rPr>
        <w:t>“</w:t>
      </w:r>
      <w:r w:rsidRPr="00287F24">
        <w:rPr>
          <w:rFonts w:eastAsia="Calibri" w:cs="Tahoma"/>
          <w:i/>
          <w:iCs/>
          <w:szCs w:val="24"/>
          <w:u w:val="single"/>
          <w:lang w:eastAsia="es-CO"/>
        </w:rPr>
        <w:t>dar cuenta de que documentaron clara y suficientemente los efectos que acarrea el cambio de régimen, so pena de declarar ineficaz ese tránsito.”</w:t>
      </w:r>
    </w:p>
    <w:p w14:paraId="07AE22B1" w14:textId="77777777" w:rsidR="00572574" w:rsidRPr="00287F24" w:rsidRDefault="00572574" w:rsidP="00572574">
      <w:pPr>
        <w:pStyle w:val="Prrafodelista"/>
        <w:spacing w:line="276" w:lineRule="auto"/>
        <w:rPr>
          <w:rFonts w:eastAsia="Calibri" w:cs="Tahoma"/>
          <w:iCs/>
          <w:szCs w:val="24"/>
          <w:lang w:eastAsia="es-CO"/>
        </w:rPr>
      </w:pPr>
    </w:p>
    <w:p w14:paraId="3E759427" w14:textId="77777777" w:rsidR="00572574" w:rsidRPr="00287F24" w:rsidRDefault="00572574" w:rsidP="00572574">
      <w:pPr>
        <w:pStyle w:val="Prrafodelista"/>
        <w:widowControl w:val="0"/>
        <w:numPr>
          <w:ilvl w:val="0"/>
          <w:numId w:val="9"/>
        </w:numPr>
        <w:autoSpaceDE w:val="0"/>
        <w:autoSpaceDN w:val="0"/>
        <w:adjustRightInd w:val="0"/>
        <w:spacing w:line="276" w:lineRule="auto"/>
        <w:rPr>
          <w:rFonts w:eastAsia="Calibri" w:cs="Tahoma"/>
          <w:szCs w:val="24"/>
          <w:lang w:eastAsia="es-CO"/>
        </w:rPr>
      </w:pPr>
      <w:r w:rsidRPr="00287F24">
        <w:rPr>
          <w:rFonts w:eastAsia="Calibri" w:cs="Tahoma"/>
          <w:iCs/>
          <w:szCs w:val="24"/>
          <w:lang w:eastAsia="es-CO"/>
        </w:rPr>
        <w:t xml:space="preserve">Con sustento en lo anterior, es evidente que en todos los casos en que un afiliado ponga en cuestión la falta de información veraz, oportuna y completa de las incidencias del cambio del régimen pensional, y bajo tal premisa persiga </w:t>
      </w:r>
      <w:r w:rsidRPr="00287F24">
        <w:rPr>
          <w:rFonts w:eastAsia="Calibri" w:cs="Tahoma"/>
          <w:iCs/>
          <w:szCs w:val="24"/>
          <w:lang w:eastAsia="es-CO"/>
        </w:rPr>
        <w:lastRenderedPageBreak/>
        <w:t xml:space="preserve">la ineficacia de su traslado, la defensa de la AFP demandada debe encaminarse a demostrar, bajo los medios probatorios a su alcance, que cumplió con el deber de buen consejo al transmitirle al afiliado toda aquella información que resultaba relevante para que tomar una decisión de tal trascendencia. </w:t>
      </w:r>
    </w:p>
    <w:p w14:paraId="3FC16A52" w14:textId="77777777" w:rsidR="00572574" w:rsidRPr="00287F24" w:rsidRDefault="00572574" w:rsidP="00572574">
      <w:pPr>
        <w:widowControl w:val="0"/>
        <w:autoSpaceDE w:val="0"/>
        <w:autoSpaceDN w:val="0"/>
        <w:adjustRightInd w:val="0"/>
        <w:spacing w:before="0" w:beforeAutospacing="0" w:after="0" w:afterAutospacing="0" w:line="276" w:lineRule="auto"/>
        <w:ind w:firstLine="284"/>
        <w:rPr>
          <w:rFonts w:ascii="Tahoma" w:eastAsia="Calibri" w:hAnsi="Tahoma" w:cs="Tahoma"/>
          <w:iCs/>
          <w:lang w:eastAsia="es-CO"/>
        </w:rPr>
      </w:pPr>
    </w:p>
    <w:p w14:paraId="7A189092" w14:textId="77777777" w:rsidR="00572574" w:rsidRPr="00287F24" w:rsidRDefault="00572574" w:rsidP="00572574">
      <w:pPr>
        <w:widowControl w:val="0"/>
        <w:autoSpaceDE w:val="0"/>
        <w:autoSpaceDN w:val="0"/>
        <w:adjustRightInd w:val="0"/>
        <w:spacing w:before="0" w:beforeAutospacing="0" w:after="0" w:afterAutospacing="0" w:line="276" w:lineRule="auto"/>
        <w:ind w:firstLine="284"/>
        <w:rPr>
          <w:rFonts w:ascii="Tahoma" w:eastAsia="Calibri" w:hAnsi="Tahoma" w:cs="Tahoma"/>
          <w:iCs/>
          <w:lang w:eastAsia="es-CO"/>
        </w:rPr>
      </w:pPr>
      <w:r w:rsidRPr="00287F24">
        <w:rPr>
          <w:rFonts w:ascii="Tahoma" w:eastAsia="Calibri" w:hAnsi="Tahoma" w:cs="Tahoma"/>
          <w:iCs/>
          <w:lang w:eastAsia="es-CO"/>
        </w:rPr>
        <w:tab/>
        <w:t>Dicho deber, como lo ha enseñado la Corte, es exigible desde las etapas previas y preparatorias a la formalización de la afiliación a la administradora, pues el sistema pensional, del que obviamente son protagonistas de primer orden las Administradoras de Fondos de Pensiones, se supone que actúan mediante instituciones especializadas e idóneas, con conocimientos y experiencia, que tienen la obligación de brindar información confiable a los ciudadanos quienes les van a entregar sus ahorros y sus seguros de previsión para su vejez, invalidez o para su familia cercana en caso de muerte prematura.</w:t>
      </w:r>
    </w:p>
    <w:p w14:paraId="1B6F2781" w14:textId="77777777" w:rsidR="00572574" w:rsidRPr="00287F24" w:rsidRDefault="00572574" w:rsidP="00572574">
      <w:pPr>
        <w:widowControl w:val="0"/>
        <w:autoSpaceDE w:val="0"/>
        <w:autoSpaceDN w:val="0"/>
        <w:adjustRightInd w:val="0"/>
        <w:spacing w:before="0" w:beforeAutospacing="0" w:after="0" w:afterAutospacing="0" w:line="276" w:lineRule="auto"/>
        <w:ind w:firstLine="284"/>
        <w:rPr>
          <w:rFonts w:ascii="Tahoma" w:eastAsia="Calibri" w:hAnsi="Tahoma" w:cs="Tahoma"/>
          <w:iCs/>
          <w:lang w:eastAsia="es-CO"/>
        </w:rPr>
      </w:pPr>
    </w:p>
    <w:p w14:paraId="124B3A16" w14:textId="77777777" w:rsidR="00572574" w:rsidRPr="00287F24" w:rsidRDefault="00572574" w:rsidP="00572574">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r w:rsidRPr="00287F24">
        <w:rPr>
          <w:rFonts w:ascii="Tahoma" w:eastAsia="Calibri" w:hAnsi="Tahoma" w:cs="Tahoma"/>
          <w:lang w:eastAsia="es-CO"/>
        </w:rPr>
        <w:tab/>
        <w:t>Ello así, también ha dicho el órgano de cierre de la especialidad laboral, que las AFP demandadas se encuentran en una situación de ventaja que les permite aportar las evidencias respecto a si se le brindó al afiliado la información cierta, suficiente, comprensible y oportuna a la hora de convencerlo de trasladarse de régimen.</w:t>
      </w:r>
    </w:p>
    <w:p w14:paraId="41486C1B" w14:textId="77777777" w:rsidR="005B7733" w:rsidRPr="00414CC1" w:rsidRDefault="005B7733" w:rsidP="00414CC1">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126829AB" w14:textId="6C2DEC80" w:rsidR="005B7733" w:rsidRPr="00414CC1" w:rsidRDefault="00D334C6" w:rsidP="00414CC1">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414CC1">
        <w:rPr>
          <w:rFonts w:ascii="Tahoma" w:eastAsia="Calibri" w:hAnsi="Tahoma" w:cs="Tahoma"/>
          <w:lang w:eastAsia="es-CO"/>
        </w:rPr>
        <w:t>Va</w:t>
      </w:r>
      <w:r w:rsidR="005B7733" w:rsidRPr="00414CC1">
        <w:rPr>
          <w:rFonts w:ascii="Tahoma" w:eastAsia="Calibri" w:hAnsi="Tahoma" w:cs="Tahoma"/>
          <w:lang w:eastAsia="es-CO"/>
        </w:rPr>
        <w:t xml:space="preserve">la pena citar la sentencia del 8 de mayo de 2019 SL 1688-2019, Radicado 68838, con Ponencia de la Dra. Clara Cecilia Dueñas Quevedo, donde se hace un didáctico recuento histórico de las normas que rigen la actividad de los Fondos de Pensiones privados, dividiéndolo en 3 etapas, de cuyo análisis se llega a la conclusión de que a las AFP les compete, desde su creación, el deber de suministrar una información </w:t>
      </w:r>
      <w:r w:rsidR="005B7733" w:rsidRPr="00414CC1">
        <w:rPr>
          <w:rFonts w:ascii="Tahoma" w:eastAsia="Calibri" w:hAnsi="Tahoma" w:cs="Tahoma"/>
          <w:b/>
          <w:lang w:eastAsia="es-CO"/>
        </w:rPr>
        <w:t xml:space="preserve">necesaria y transparente, </w:t>
      </w:r>
      <w:r w:rsidR="005B7733" w:rsidRPr="00414CC1">
        <w:rPr>
          <w:rFonts w:ascii="Tahoma" w:eastAsia="Calibri" w:hAnsi="Tahoma" w:cs="Tahoma"/>
          <w:lang w:eastAsia="es-CO"/>
        </w:rPr>
        <w:t xml:space="preserve">que con el transcurrir del tiempo esta exigencia cambió, pasando de un deber de información necesaria al de </w:t>
      </w:r>
      <w:r w:rsidR="005B7733" w:rsidRPr="00414CC1">
        <w:rPr>
          <w:rFonts w:ascii="Tahoma" w:eastAsia="Calibri" w:hAnsi="Tahoma" w:cs="Tahoma"/>
          <w:b/>
          <w:lang w:eastAsia="es-CO"/>
        </w:rPr>
        <w:t>asesoría y buen consejo</w:t>
      </w:r>
      <w:r w:rsidR="005B7733" w:rsidRPr="00414CC1">
        <w:rPr>
          <w:rFonts w:ascii="Tahoma" w:eastAsia="Calibri" w:hAnsi="Tahoma" w:cs="Tahoma"/>
          <w:lang w:eastAsia="es-CO"/>
        </w:rPr>
        <w:t xml:space="preserve">, y finalmente al de </w:t>
      </w:r>
      <w:r w:rsidR="005B7733" w:rsidRPr="00414CC1">
        <w:rPr>
          <w:rFonts w:ascii="Tahoma" w:eastAsia="Calibri" w:hAnsi="Tahoma" w:cs="Tahoma"/>
          <w:b/>
          <w:lang w:eastAsia="es-CO"/>
        </w:rPr>
        <w:t>doble asesoría</w:t>
      </w:r>
      <w:r w:rsidR="005B7733" w:rsidRPr="00414CC1">
        <w:rPr>
          <w:rFonts w:ascii="Tahoma" w:eastAsia="Calibri" w:hAnsi="Tahoma" w:cs="Tahoma"/>
          <w:lang w:eastAsia="es-CO"/>
        </w:rPr>
        <w:t>, explicando en qué consiste cada uno de esos conceptos. Dicho recuento histórico, se compendia de la siguiente manera:</w:t>
      </w:r>
    </w:p>
    <w:p w14:paraId="41134124" w14:textId="77777777" w:rsidR="005B7733" w:rsidRPr="00414CC1" w:rsidRDefault="005B7733" w:rsidP="00414CC1">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1AB6C883" w14:textId="77777777" w:rsidR="005B7733" w:rsidRPr="00572574" w:rsidRDefault="005B7733" w:rsidP="00572574">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72574">
        <w:rPr>
          <w:rFonts w:ascii="Tahoma" w:eastAsia="Calibri" w:hAnsi="Tahoma" w:cs="Tahoma"/>
          <w:i/>
          <w:sz w:val="22"/>
          <w:lang w:eastAsia="es-CO"/>
        </w:rPr>
        <w:t>“El anterior recuento sobre la evolución normativa del deber de información a cargo de las administradoras de pensiones podría, a grandes rasgos, sintetizarse así:</w:t>
      </w:r>
    </w:p>
    <w:p w14:paraId="71371989" w14:textId="77777777" w:rsidR="005B7733" w:rsidRPr="00572574" w:rsidRDefault="005B7733" w:rsidP="00572574">
      <w:pPr>
        <w:widowControl w:val="0"/>
        <w:autoSpaceDE w:val="0"/>
        <w:autoSpaceDN w:val="0"/>
        <w:adjustRightInd w:val="0"/>
        <w:spacing w:before="0" w:beforeAutospacing="0" w:after="0" w:afterAutospacing="0" w:line="240" w:lineRule="auto"/>
        <w:ind w:left="426" w:right="420" w:firstLine="284"/>
        <w:rPr>
          <w:rFonts w:ascii="Tahoma" w:eastAsia="Calibri" w:hAnsi="Tahoma" w:cs="Tahoma"/>
          <w:i/>
          <w:sz w:val="22"/>
          <w:lang w:eastAsia="es-CO"/>
        </w:rPr>
      </w:pPr>
    </w:p>
    <w:tbl>
      <w:tblPr>
        <w:tblStyle w:val="Tablaconcuadrcula1"/>
        <w:tblW w:w="8506" w:type="dxa"/>
        <w:tblInd w:w="561" w:type="dxa"/>
        <w:tblLook w:val="04A0" w:firstRow="1" w:lastRow="0" w:firstColumn="1" w:lastColumn="0" w:noHBand="0" w:noVBand="1"/>
      </w:tblPr>
      <w:tblGrid>
        <w:gridCol w:w="2265"/>
        <w:gridCol w:w="2902"/>
        <w:gridCol w:w="3339"/>
      </w:tblGrid>
      <w:tr w:rsidR="005B7733" w:rsidRPr="00572574" w14:paraId="23F74494" w14:textId="77777777" w:rsidTr="006A6494">
        <w:trPr>
          <w:trHeight w:val="397"/>
        </w:trPr>
        <w:tc>
          <w:tcPr>
            <w:tcW w:w="1985" w:type="dxa"/>
            <w:tcBorders>
              <w:top w:val="single" w:sz="4" w:space="0" w:color="auto"/>
              <w:left w:val="single" w:sz="4" w:space="0" w:color="auto"/>
              <w:bottom w:val="single" w:sz="4" w:space="0" w:color="auto"/>
              <w:right w:val="single" w:sz="4" w:space="0" w:color="auto"/>
            </w:tcBorders>
            <w:hideMark/>
          </w:tcPr>
          <w:p w14:paraId="69DB95B4" w14:textId="77777777" w:rsidR="005B7733" w:rsidRPr="00572574" w:rsidRDefault="005B7733" w:rsidP="00572574">
            <w:pPr>
              <w:widowControl w:val="0"/>
              <w:autoSpaceDE w:val="0"/>
              <w:autoSpaceDN w:val="0"/>
              <w:adjustRightInd w:val="0"/>
              <w:ind w:left="426" w:right="420"/>
              <w:rPr>
                <w:rFonts w:ascii="Tahoma" w:eastAsia="Tahoma" w:hAnsi="Tahoma" w:cs="Tahoma"/>
                <w:i/>
                <w:iCs/>
                <w:szCs w:val="24"/>
                <w:lang w:eastAsia="es-MX"/>
              </w:rPr>
            </w:pPr>
            <w:r w:rsidRPr="00572574">
              <w:rPr>
                <w:rFonts w:ascii="Tahoma" w:eastAsia="Tahoma" w:hAnsi="Tahoma" w:cs="Tahoma"/>
                <w:i/>
                <w:iCs/>
                <w:szCs w:val="24"/>
                <w:lang w:eastAsia="es-MX"/>
              </w:rPr>
              <w:t>Etapa acumulativa</w:t>
            </w:r>
          </w:p>
        </w:tc>
        <w:tc>
          <w:tcPr>
            <w:tcW w:w="2977" w:type="dxa"/>
            <w:tcBorders>
              <w:top w:val="single" w:sz="4" w:space="0" w:color="auto"/>
              <w:left w:val="single" w:sz="4" w:space="0" w:color="auto"/>
              <w:bottom w:val="single" w:sz="4" w:space="0" w:color="auto"/>
              <w:right w:val="single" w:sz="4" w:space="0" w:color="auto"/>
            </w:tcBorders>
            <w:hideMark/>
          </w:tcPr>
          <w:p w14:paraId="280AFAD3" w14:textId="77777777" w:rsidR="005B7733" w:rsidRPr="00572574" w:rsidRDefault="005B7733" w:rsidP="00572574">
            <w:pPr>
              <w:widowControl w:val="0"/>
              <w:autoSpaceDE w:val="0"/>
              <w:autoSpaceDN w:val="0"/>
              <w:adjustRightInd w:val="0"/>
              <w:ind w:left="426" w:right="420"/>
              <w:rPr>
                <w:rFonts w:ascii="Tahoma" w:eastAsia="Tahoma" w:hAnsi="Tahoma" w:cs="Tahoma"/>
                <w:i/>
                <w:iCs/>
                <w:szCs w:val="24"/>
                <w:lang w:eastAsia="es-MX"/>
              </w:rPr>
            </w:pPr>
            <w:r w:rsidRPr="00572574">
              <w:rPr>
                <w:rFonts w:ascii="Tahoma" w:eastAsia="Tahoma" w:hAnsi="Tahoma" w:cs="Tahoma"/>
                <w:i/>
                <w:iCs/>
                <w:szCs w:val="24"/>
                <w:lang w:eastAsia="es-MX"/>
              </w:rPr>
              <w:t>Normas que obligan a las administradoras de pensiones a dar información</w:t>
            </w:r>
          </w:p>
        </w:tc>
        <w:tc>
          <w:tcPr>
            <w:tcW w:w="3544" w:type="dxa"/>
            <w:tcBorders>
              <w:top w:val="single" w:sz="4" w:space="0" w:color="auto"/>
              <w:left w:val="single" w:sz="4" w:space="0" w:color="auto"/>
              <w:bottom w:val="single" w:sz="4" w:space="0" w:color="auto"/>
              <w:right w:val="single" w:sz="4" w:space="0" w:color="auto"/>
            </w:tcBorders>
            <w:hideMark/>
          </w:tcPr>
          <w:p w14:paraId="484541B9" w14:textId="77777777" w:rsidR="005B7733" w:rsidRPr="00572574" w:rsidRDefault="005B7733" w:rsidP="00572574">
            <w:pPr>
              <w:widowControl w:val="0"/>
              <w:autoSpaceDE w:val="0"/>
              <w:autoSpaceDN w:val="0"/>
              <w:adjustRightInd w:val="0"/>
              <w:ind w:left="426" w:right="420"/>
              <w:rPr>
                <w:rFonts w:ascii="Tahoma" w:eastAsia="Tahoma" w:hAnsi="Tahoma" w:cs="Tahoma"/>
                <w:i/>
                <w:iCs/>
                <w:szCs w:val="24"/>
                <w:lang w:eastAsia="es-MX"/>
              </w:rPr>
            </w:pPr>
            <w:r w:rsidRPr="00572574">
              <w:rPr>
                <w:rFonts w:ascii="Tahoma" w:eastAsia="Tahoma" w:hAnsi="Tahoma" w:cs="Tahoma"/>
                <w:i/>
                <w:iCs/>
                <w:szCs w:val="24"/>
                <w:lang w:eastAsia="es-MX"/>
              </w:rPr>
              <w:t>Contenido mínimo y alcance del deber de información</w:t>
            </w:r>
          </w:p>
        </w:tc>
      </w:tr>
      <w:tr w:rsidR="005B7733" w:rsidRPr="00572574" w14:paraId="58A41093" w14:textId="77777777" w:rsidTr="006A6494">
        <w:trPr>
          <w:trHeight w:val="397"/>
        </w:trPr>
        <w:tc>
          <w:tcPr>
            <w:tcW w:w="1985" w:type="dxa"/>
            <w:tcBorders>
              <w:top w:val="single" w:sz="4" w:space="0" w:color="auto"/>
              <w:left w:val="single" w:sz="4" w:space="0" w:color="auto"/>
              <w:bottom w:val="single" w:sz="4" w:space="0" w:color="auto"/>
              <w:right w:val="single" w:sz="4" w:space="0" w:color="auto"/>
            </w:tcBorders>
            <w:hideMark/>
          </w:tcPr>
          <w:p w14:paraId="600EAA98" w14:textId="77777777" w:rsidR="005B7733" w:rsidRPr="00572574" w:rsidRDefault="005B7733" w:rsidP="00572574">
            <w:pPr>
              <w:widowControl w:val="0"/>
              <w:autoSpaceDE w:val="0"/>
              <w:autoSpaceDN w:val="0"/>
              <w:adjustRightInd w:val="0"/>
              <w:ind w:left="426" w:right="420"/>
              <w:rPr>
                <w:rFonts w:ascii="Tahoma" w:eastAsia="Tahoma" w:hAnsi="Tahoma" w:cs="Tahoma"/>
                <w:i/>
                <w:iCs/>
                <w:szCs w:val="24"/>
                <w:lang w:eastAsia="es-MX"/>
              </w:rPr>
            </w:pPr>
            <w:r w:rsidRPr="00572574">
              <w:rPr>
                <w:rFonts w:ascii="Tahoma" w:eastAsia="Tahoma" w:hAnsi="Tahoma" w:cs="Tahoma"/>
                <w:i/>
                <w:iCs/>
                <w:szCs w:val="24"/>
                <w:lang w:eastAsia="es-MX"/>
              </w:rPr>
              <w:t xml:space="preserve">Deber de información </w:t>
            </w:r>
          </w:p>
        </w:tc>
        <w:tc>
          <w:tcPr>
            <w:tcW w:w="2977" w:type="dxa"/>
            <w:tcBorders>
              <w:top w:val="single" w:sz="4" w:space="0" w:color="auto"/>
              <w:left w:val="single" w:sz="4" w:space="0" w:color="auto"/>
              <w:bottom w:val="single" w:sz="4" w:space="0" w:color="auto"/>
              <w:right w:val="single" w:sz="4" w:space="0" w:color="auto"/>
            </w:tcBorders>
          </w:tcPr>
          <w:p w14:paraId="2DB37857" w14:textId="77777777" w:rsidR="005B7733" w:rsidRPr="00572574" w:rsidRDefault="005B7733" w:rsidP="00572574">
            <w:pPr>
              <w:widowControl w:val="0"/>
              <w:autoSpaceDE w:val="0"/>
              <w:autoSpaceDN w:val="0"/>
              <w:adjustRightInd w:val="0"/>
              <w:ind w:left="426" w:right="420"/>
              <w:rPr>
                <w:rFonts w:ascii="Tahoma" w:eastAsia="Tahoma" w:hAnsi="Tahoma" w:cs="Tahoma"/>
                <w:i/>
                <w:iCs/>
                <w:szCs w:val="24"/>
                <w:lang w:eastAsia="es-MX"/>
              </w:rPr>
            </w:pPr>
            <w:r w:rsidRPr="00572574">
              <w:rPr>
                <w:rFonts w:ascii="Tahoma" w:eastAsia="Tahoma" w:hAnsi="Tahoma" w:cs="Tahoma"/>
                <w:i/>
                <w:iCs/>
                <w:szCs w:val="24"/>
                <w:lang w:eastAsia="es-MX"/>
              </w:rPr>
              <w:t>Arts. 13 literal b), 271 y 272 de la Ley 100 de 1993</w:t>
            </w:r>
          </w:p>
          <w:p w14:paraId="591C6364" w14:textId="77777777" w:rsidR="005B7733" w:rsidRPr="00572574" w:rsidRDefault="005B7733" w:rsidP="00572574">
            <w:pPr>
              <w:widowControl w:val="0"/>
              <w:autoSpaceDE w:val="0"/>
              <w:autoSpaceDN w:val="0"/>
              <w:adjustRightInd w:val="0"/>
              <w:ind w:left="426" w:right="420"/>
              <w:rPr>
                <w:rFonts w:ascii="Tahoma" w:eastAsia="Tahoma" w:hAnsi="Tahoma" w:cs="Tahoma"/>
                <w:i/>
                <w:iCs/>
                <w:szCs w:val="24"/>
                <w:lang w:eastAsia="es-MX"/>
              </w:rPr>
            </w:pPr>
          </w:p>
          <w:p w14:paraId="311DDF9A" w14:textId="77777777" w:rsidR="005B7733" w:rsidRPr="00572574" w:rsidRDefault="005B7733" w:rsidP="00572574">
            <w:pPr>
              <w:widowControl w:val="0"/>
              <w:autoSpaceDE w:val="0"/>
              <w:autoSpaceDN w:val="0"/>
              <w:adjustRightInd w:val="0"/>
              <w:ind w:left="426" w:right="420"/>
              <w:rPr>
                <w:rFonts w:ascii="Tahoma" w:eastAsia="Tahoma" w:hAnsi="Tahoma" w:cs="Tahoma"/>
                <w:i/>
                <w:iCs/>
                <w:szCs w:val="24"/>
                <w:lang w:eastAsia="es-MX"/>
              </w:rPr>
            </w:pPr>
            <w:r w:rsidRPr="00572574">
              <w:rPr>
                <w:rFonts w:ascii="Tahoma" w:eastAsia="Tahoma" w:hAnsi="Tahoma" w:cs="Tahoma"/>
                <w:i/>
                <w:iCs/>
                <w:szCs w:val="24"/>
                <w:lang w:eastAsia="es-MX"/>
              </w:rPr>
              <w:t>Art. 97, numeral 1.° del Decreto 663 de 1993, modificado por el artículo 23 de la Ley 797 de 2003</w:t>
            </w:r>
          </w:p>
          <w:p w14:paraId="6217DC7A" w14:textId="77777777" w:rsidR="005B7733" w:rsidRPr="00572574" w:rsidRDefault="005B7733" w:rsidP="00572574">
            <w:pPr>
              <w:widowControl w:val="0"/>
              <w:autoSpaceDE w:val="0"/>
              <w:autoSpaceDN w:val="0"/>
              <w:adjustRightInd w:val="0"/>
              <w:ind w:left="426" w:right="420"/>
              <w:rPr>
                <w:rFonts w:ascii="Tahoma" w:eastAsia="Tahoma" w:hAnsi="Tahoma" w:cs="Tahoma"/>
                <w:i/>
                <w:iCs/>
                <w:szCs w:val="24"/>
                <w:lang w:eastAsia="es-MX"/>
              </w:rPr>
            </w:pPr>
          </w:p>
          <w:p w14:paraId="487223BD" w14:textId="77777777" w:rsidR="005B7733" w:rsidRPr="00572574" w:rsidRDefault="005B7733" w:rsidP="00572574">
            <w:pPr>
              <w:widowControl w:val="0"/>
              <w:autoSpaceDE w:val="0"/>
              <w:autoSpaceDN w:val="0"/>
              <w:adjustRightInd w:val="0"/>
              <w:ind w:left="426" w:right="420"/>
              <w:rPr>
                <w:rFonts w:ascii="Tahoma" w:eastAsia="Tahoma" w:hAnsi="Tahoma" w:cs="Tahoma"/>
                <w:i/>
                <w:iCs/>
                <w:szCs w:val="24"/>
                <w:lang w:eastAsia="es-MX"/>
              </w:rPr>
            </w:pPr>
            <w:r w:rsidRPr="00572574">
              <w:rPr>
                <w:rFonts w:ascii="Tahoma" w:eastAsia="Tahoma" w:hAnsi="Tahoma" w:cs="Tahoma"/>
                <w:i/>
                <w:iCs/>
                <w:szCs w:val="24"/>
                <w:lang w:eastAsia="es-MX"/>
              </w:rPr>
              <w:t xml:space="preserve">Disposiciones </w:t>
            </w:r>
            <w:r w:rsidRPr="00572574">
              <w:rPr>
                <w:rFonts w:ascii="Tahoma" w:eastAsia="Tahoma" w:hAnsi="Tahoma" w:cs="Tahoma"/>
                <w:i/>
                <w:iCs/>
                <w:szCs w:val="24"/>
                <w:lang w:eastAsia="es-MX"/>
              </w:rPr>
              <w:lastRenderedPageBreak/>
              <w:t>constitucionales relativas al derecho a la información, no menoscabo de derechos laborales y autonomía personal</w:t>
            </w:r>
          </w:p>
        </w:tc>
        <w:tc>
          <w:tcPr>
            <w:tcW w:w="3544" w:type="dxa"/>
            <w:tcBorders>
              <w:top w:val="single" w:sz="4" w:space="0" w:color="auto"/>
              <w:left w:val="single" w:sz="4" w:space="0" w:color="auto"/>
              <w:bottom w:val="single" w:sz="4" w:space="0" w:color="auto"/>
              <w:right w:val="single" w:sz="4" w:space="0" w:color="auto"/>
            </w:tcBorders>
            <w:hideMark/>
          </w:tcPr>
          <w:p w14:paraId="5DD1E752" w14:textId="77777777" w:rsidR="005B7733" w:rsidRPr="00572574" w:rsidRDefault="005B7733" w:rsidP="00572574">
            <w:pPr>
              <w:widowControl w:val="0"/>
              <w:autoSpaceDE w:val="0"/>
              <w:autoSpaceDN w:val="0"/>
              <w:adjustRightInd w:val="0"/>
              <w:ind w:left="426" w:right="420"/>
              <w:rPr>
                <w:rFonts w:ascii="Tahoma" w:eastAsia="Tahoma" w:hAnsi="Tahoma" w:cs="Tahoma"/>
                <w:i/>
                <w:iCs/>
                <w:szCs w:val="24"/>
                <w:lang w:eastAsia="es-MX"/>
              </w:rPr>
            </w:pPr>
            <w:bookmarkStart w:id="1" w:name="_Hlk109250046"/>
            <w:r w:rsidRPr="00572574">
              <w:rPr>
                <w:rFonts w:ascii="Tahoma" w:eastAsia="Tahoma" w:hAnsi="Tahoma" w:cs="Tahoma"/>
                <w:i/>
                <w:iCs/>
                <w:szCs w:val="24"/>
                <w:lang w:eastAsia="es-MX"/>
              </w:rPr>
              <w:lastRenderedPageBreak/>
              <w:t>Ilustración de las características, condiciones, acceso, efectos y riesgos de cada uno de los regímenes pensionales, lo que incluye dar a conocer la existencia de un régimen de transición y la eventual pérdida de beneficios pensionales</w:t>
            </w:r>
            <w:bookmarkEnd w:id="1"/>
          </w:p>
        </w:tc>
      </w:tr>
      <w:tr w:rsidR="005B7733" w:rsidRPr="00572574" w14:paraId="057BC9FD" w14:textId="77777777" w:rsidTr="006A6494">
        <w:trPr>
          <w:trHeight w:val="397"/>
        </w:trPr>
        <w:tc>
          <w:tcPr>
            <w:tcW w:w="1985" w:type="dxa"/>
            <w:tcBorders>
              <w:top w:val="single" w:sz="4" w:space="0" w:color="auto"/>
              <w:left w:val="single" w:sz="4" w:space="0" w:color="auto"/>
              <w:bottom w:val="single" w:sz="4" w:space="0" w:color="auto"/>
              <w:right w:val="single" w:sz="4" w:space="0" w:color="auto"/>
            </w:tcBorders>
            <w:hideMark/>
          </w:tcPr>
          <w:p w14:paraId="291CC4CD" w14:textId="77777777" w:rsidR="005B7733" w:rsidRPr="00572574" w:rsidRDefault="005B7733" w:rsidP="00572574">
            <w:pPr>
              <w:widowControl w:val="0"/>
              <w:autoSpaceDE w:val="0"/>
              <w:autoSpaceDN w:val="0"/>
              <w:adjustRightInd w:val="0"/>
              <w:ind w:left="426" w:right="420"/>
              <w:rPr>
                <w:rFonts w:ascii="Tahoma" w:eastAsia="Tahoma" w:hAnsi="Tahoma" w:cs="Tahoma"/>
                <w:i/>
                <w:iCs/>
                <w:szCs w:val="24"/>
                <w:lang w:eastAsia="es-MX"/>
              </w:rPr>
            </w:pPr>
            <w:r w:rsidRPr="00572574">
              <w:rPr>
                <w:rFonts w:ascii="Tahoma" w:eastAsia="Tahoma" w:hAnsi="Tahoma" w:cs="Tahoma"/>
                <w:i/>
                <w:iCs/>
                <w:szCs w:val="24"/>
                <w:lang w:eastAsia="es-MX"/>
              </w:rPr>
              <w:lastRenderedPageBreak/>
              <w:t>Deber de información, asesoría y buen consejo</w:t>
            </w:r>
          </w:p>
        </w:tc>
        <w:tc>
          <w:tcPr>
            <w:tcW w:w="2977" w:type="dxa"/>
            <w:tcBorders>
              <w:top w:val="single" w:sz="4" w:space="0" w:color="auto"/>
              <w:left w:val="single" w:sz="4" w:space="0" w:color="auto"/>
              <w:bottom w:val="single" w:sz="4" w:space="0" w:color="auto"/>
              <w:right w:val="single" w:sz="4" w:space="0" w:color="auto"/>
            </w:tcBorders>
          </w:tcPr>
          <w:p w14:paraId="4FB6A771" w14:textId="77777777" w:rsidR="005B7733" w:rsidRPr="00572574" w:rsidRDefault="005B7733" w:rsidP="00572574">
            <w:pPr>
              <w:widowControl w:val="0"/>
              <w:autoSpaceDE w:val="0"/>
              <w:autoSpaceDN w:val="0"/>
              <w:adjustRightInd w:val="0"/>
              <w:ind w:left="426" w:right="420"/>
              <w:rPr>
                <w:rFonts w:ascii="Tahoma" w:eastAsia="Tahoma" w:hAnsi="Tahoma" w:cs="Tahoma"/>
                <w:i/>
                <w:iCs/>
                <w:szCs w:val="24"/>
                <w:lang w:eastAsia="es-MX"/>
              </w:rPr>
            </w:pPr>
            <w:r w:rsidRPr="00572574">
              <w:rPr>
                <w:rFonts w:ascii="Tahoma" w:eastAsia="Tahoma" w:hAnsi="Tahoma" w:cs="Tahoma"/>
                <w:i/>
                <w:iCs/>
                <w:szCs w:val="24"/>
                <w:lang w:eastAsia="es-MX"/>
              </w:rPr>
              <w:t>Artículo 3.°, literal c) de la Ley 1328 de 2009</w:t>
            </w:r>
          </w:p>
          <w:p w14:paraId="2D427205" w14:textId="77777777" w:rsidR="005B7733" w:rsidRPr="00572574" w:rsidRDefault="005B7733" w:rsidP="00572574">
            <w:pPr>
              <w:widowControl w:val="0"/>
              <w:autoSpaceDE w:val="0"/>
              <w:autoSpaceDN w:val="0"/>
              <w:adjustRightInd w:val="0"/>
              <w:ind w:left="426" w:right="420"/>
              <w:rPr>
                <w:rFonts w:ascii="Tahoma" w:eastAsia="Tahoma" w:hAnsi="Tahoma" w:cs="Tahoma"/>
                <w:i/>
                <w:iCs/>
                <w:szCs w:val="24"/>
                <w:lang w:eastAsia="es-MX"/>
              </w:rPr>
            </w:pPr>
          </w:p>
          <w:p w14:paraId="691CE6BB" w14:textId="77777777" w:rsidR="005B7733" w:rsidRPr="00572574" w:rsidRDefault="005B7733" w:rsidP="00572574">
            <w:pPr>
              <w:widowControl w:val="0"/>
              <w:autoSpaceDE w:val="0"/>
              <w:autoSpaceDN w:val="0"/>
              <w:adjustRightInd w:val="0"/>
              <w:ind w:left="426" w:right="420"/>
              <w:rPr>
                <w:rFonts w:ascii="Tahoma" w:eastAsia="Tahoma" w:hAnsi="Tahoma" w:cs="Tahoma"/>
                <w:i/>
                <w:iCs/>
                <w:szCs w:val="24"/>
                <w:lang w:eastAsia="es-MX"/>
              </w:rPr>
            </w:pPr>
            <w:r w:rsidRPr="00572574">
              <w:rPr>
                <w:rFonts w:ascii="Tahoma" w:eastAsia="Tahoma" w:hAnsi="Tahoma" w:cs="Tahoma"/>
                <w:i/>
                <w:iCs/>
                <w:szCs w:val="24"/>
                <w:lang w:eastAsia="es-MX"/>
              </w:rPr>
              <w:t>Decreto 2241 de 2010</w:t>
            </w:r>
          </w:p>
        </w:tc>
        <w:tc>
          <w:tcPr>
            <w:tcW w:w="3544" w:type="dxa"/>
            <w:tcBorders>
              <w:top w:val="single" w:sz="4" w:space="0" w:color="auto"/>
              <w:left w:val="single" w:sz="4" w:space="0" w:color="auto"/>
              <w:bottom w:val="single" w:sz="4" w:space="0" w:color="auto"/>
              <w:right w:val="single" w:sz="4" w:space="0" w:color="auto"/>
            </w:tcBorders>
            <w:hideMark/>
          </w:tcPr>
          <w:p w14:paraId="14CC87A0" w14:textId="77777777" w:rsidR="005B7733" w:rsidRPr="00572574" w:rsidRDefault="005B7733" w:rsidP="00572574">
            <w:pPr>
              <w:widowControl w:val="0"/>
              <w:autoSpaceDE w:val="0"/>
              <w:autoSpaceDN w:val="0"/>
              <w:adjustRightInd w:val="0"/>
              <w:ind w:left="426" w:right="420"/>
              <w:rPr>
                <w:rFonts w:ascii="Tahoma" w:eastAsia="Tahoma" w:hAnsi="Tahoma" w:cs="Tahoma"/>
                <w:i/>
                <w:iCs/>
                <w:szCs w:val="24"/>
                <w:lang w:eastAsia="es-MX"/>
              </w:rPr>
            </w:pPr>
            <w:r w:rsidRPr="00572574">
              <w:rPr>
                <w:rFonts w:ascii="Tahoma" w:eastAsia="Tahoma" w:hAnsi="Tahoma" w:cs="Tahoma"/>
                <w:i/>
                <w:iCs/>
                <w:szCs w:val="24"/>
                <w:lang w:eastAsia="es-MX"/>
              </w:rPr>
              <w:t>Implica el análisis previo, calificado y global de los antecedentes del afiliado y los pormenores de los regímenes pensionales, a fin de que el asesor o promotor pueda emitir un consejo, sugerencia o recomendación al afiliado acerca de lo que más le conviene y, por tanto, lo que podría perjudicarle</w:t>
            </w:r>
          </w:p>
        </w:tc>
      </w:tr>
      <w:tr w:rsidR="005B7733" w:rsidRPr="00572574" w14:paraId="74BC5147" w14:textId="77777777" w:rsidTr="006A6494">
        <w:trPr>
          <w:trHeight w:val="397"/>
        </w:trPr>
        <w:tc>
          <w:tcPr>
            <w:tcW w:w="1985" w:type="dxa"/>
            <w:tcBorders>
              <w:top w:val="single" w:sz="4" w:space="0" w:color="auto"/>
              <w:left w:val="single" w:sz="4" w:space="0" w:color="auto"/>
              <w:bottom w:val="single" w:sz="4" w:space="0" w:color="auto"/>
              <w:right w:val="single" w:sz="4" w:space="0" w:color="auto"/>
            </w:tcBorders>
            <w:hideMark/>
          </w:tcPr>
          <w:p w14:paraId="79009F9C" w14:textId="77777777" w:rsidR="005B7733" w:rsidRPr="00572574" w:rsidRDefault="005B7733" w:rsidP="00572574">
            <w:pPr>
              <w:widowControl w:val="0"/>
              <w:autoSpaceDE w:val="0"/>
              <w:autoSpaceDN w:val="0"/>
              <w:adjustRightInd w:val="0"/>
              <w:ind w:left="426" w:right="420"/>
              <w:rPr>
                <w:rFonts w:ascii="Tahoma" w:eastAsia="Tahoma" w:hAnsi="Tahoma" w:cs="Tahoma"/>
                <w:i/>
                <w:iCs/>
                <w:szCs w:val="24"/>
                <w:lang w:eastAsia="es-MX"/>
              </w:rPr>
            </w:pPr>
            <w:r w:rsidRPr="00572574">
              <w:rPr>
                <w:rFonts w:ascii="Tahoma" w:eastAsia="Tahoma" w:hAnsi="Tahoma" w:cs="Tahoma"/>
                <w:i/>
                <w:iCs/>
                <w:szCs w:val="24"/>
                <w:lang w:eastAsia="es-MX"/>
              </w:rPr>
              <w:t xml:space="preserve">Deber de información, asesoría, buen consejo y doble asesoría. </w:t>
            </w:r>
          </w:p>
        </w:tc>
        <w:tc>
          <w:tcPr>
            <w:tcW w:w="2977" w:type="dxa"/>
            <w:tcBorders>
              <w:top w:val="single" w:sz="4" w:space="0" w:color="auto"/>
              <w:left w:val="single" w:sz="4" w:space="0" w:color="auto"/>
              <w:bottom w:val="single" w:sz="4" w:space="0" w:color="auto"/>
              <w:right w:val="single" w:sz="4" w:space="0" w:color="auto"/>
            </w:tcBorders>
          </w:tcPr>
          <w:p w14:paraId="27F8266C" w14:textId="77777777" w:rsidR="005B7733" w:rsidRPr="00572574" w:rsidRDefault="005B7733" w:rsidP="00572574">
            <w:pPr>
              <w:widowControl w:val="0"/>
              <w:autoSpaceDE w:val="0"/>
              <w:autoSpaceDN w:val="0"/>
              <w:adjustRightInd w:val="0"/>
              <w:ind w:left="426" w:right="420"/>
              <w:rPr>
                <w:rFonts w:ascii="Tahoma" w:eastAsia="Tahoma" w:hAnsi="Tahoma" w:cs="Tahoma"/>
                <w:i/>
                <w:iCs/>
                <w:szCs w:val="24"/>
                <w:lang w:eastAsia="es-MX"/>
              </w:rPr>
            </w:pPr>
            <w:r w:rsidRPr="00572574">
              <w:rPr>
                <w:rFonts w:ascii="Tahoma" w:eastAsia="Tahoma" w:hAnsi="Tahoma" w:cs="Tahoma"/>
                <w:i/>
                <w:iCs/>
                <w:szCs w:val="24"/>
                <w:lang w:eastAsia="es-MX"/>
              </w:rPr>
              <w:t>Ley 1748 de 2014</w:t>
            </w:r>
          </w:p>
          <w:p w14:paraId="75E6D5B9" w14:textId="77777777" w:rsidR="005B7733" w:rsidRPr="00572574" w:rsidRDefault="005B7733" w:rsidP="00572574">
            <w:pPr>
              <w:widowControl w:val="0"/>
              <w:autoSpaceDE w:val="0"/>
              <w:autoSpaceDN w:val="0"/>
              <w:adjustRightInd w:val="0"/>
              <w:ind w:left="426" w:right="420"/>
              <w:rPr>
                <w:rFonts w:ascii="Tahoma" w:eastAsia="Tahoma" w:hAnsi="Tahoma" w:cs="Tahoma"/>
                <w:i/>
                <w:iCs/>
                <w:szCs w:val="24"/>
                <w:lang w:eastAsia="es-MX"/>
              </w:rPr>
            </w:pPr>
          </w:p>
          <w:p w14:paraId="33A207E7" w14:textId="77777777" w:rsidR="005B7733" w:rsidRPr="00572574" w:rsidRDefault="005B7733" w:rsidP="00572574">
            <w:pPr>
              <w:widowControl w:val="0"/>
              <w:autoSpaceDE w:val="0"/>
              <w:autoSpaceDN w:val="0"/>
              <w:adjustRightInd w:val="0"/>
              <w:ind w:left="426" w:right="420"/>
              <w:rPr>
                <w:rFonts w:ascii="Tahoma" w:eastAsia="Tahoma" w:hAnsi="Tahoma" w:cs="Tahoma"/>
                <w:i/>
                <w:iCs/>
                <w:szCs w:val="24"/>
                <w:lang w:eastAsia="es-MX"/>
              </w:rPr>
            </w:pPr>
            <w:r w:rsidRPr="00572574">
              <w:rPr>
                <w:rFonts w:ascii="Tahoma" w:eastAsia="Tahoma" w:hAnsi="Tahoma" w:cs="Tahoma"/>
                <w:i/>
                <w:iCs/>
                <w:szCs w:val="24"/>
                <w:lang w:eastAsia="es-MX"/>
              </w:rPr>
              <w:t>Artículo 3.° del Decreto 2071 de 2015</w:t>
            </w:r>
          </w:p>
          <w:p w14:paraId="6A15FFC2" w14:textId="77777777" w:rsidR="005B7733" w:rsidRPr="00572574" w:rsidRDefault="005B7733" w:rsidP="00572574">
            <w:pPr>
              <w:widowControl w:val="0"/>
              <w:autoSpaceDE w:val="0"/>
              <w:autoSpaceDN w:val="0"/>
              <w:adjustRightInd w:val="0"/>
              <w:ind w:left="426" w:right="420"/>
              <w:rPr>
                <w:rFonts w:ascii="Tahoma" w:eastAsia="Tahoma" w:hAnsi="Tahoma" w:cs="Tahoma"/>
                <w:i/>
                <w:iCs/>
                <w:szCs w:val="24"/>
                <w:lang w:eastAsia="es-MX"/>
              </w:rPr>
            </w:pPr>
          </w:p>
          <w:p w14:paraId="6901A352" w14:textId="77777777" w:rsidR="005B7733" w:rsidRPr="00572574" w:rsidRDefault="005B7733" w:rsidP="00572574">
            <w:pPr>
              <w:widowControl w:val="0"/>
              <w:autoSpaceDE w:val="0"/>
              <w:autoSpaceDN w:val="0"/>
              <w:adjustRightInd w:val="0"/>
              <w:ind w:left="426" w:right="420"/>
              <w:rPr>
                <w:rFonts w:ascii="Tahoma" w:eastAsia="Tahoma" w:hAnsi="Tahoma" w:cs="Tahoma"/>
                <w:i/>
                <w:iCs/>
                <w:szCs w:val="24"/>
                <w:lang w:eastAsia="es-MX"/>
              </w:rPr>
            </w:pPr>
            <w:r w:rsidRPr="00572574">
              <w:rPr>
                <w:rFonts w:ascii="Tahoma" w:eastAsia="Tahoma" w:hAnsi="Tahoma" w:cs="Tahoma"/>
                <w:i/>
                <w:iCs/>
                <w:szCs w:val="24"/>
                <w:lang w:eastAsia="es-MX"/>
              </w:rPr>
              <w:t>Circular Externa n.° 016 de 2016</w:t>
            </w:r>
          </w:p>
        </w:tc>
        <w:tc>
          <w:tcPr>
            <w:tcW w:w="3544" w:type="dxa"/>
            <w:tcBorders>
              <w:top w:val="single" w:sz="4" w:space="0" w:color="auto"/>
              <w:left w:val="single" w:sz="4" w:space="0" w:color="auto"/>
              <w:bottom w:val="single" w:sz="4" w:space="0" w:color="auto"/>
              <w:right w:val="single" w:sz="4" w:space="0" w:color="auto"/>
            </w:tcBorders>
            <w:hideMark/>
          </w:tcPr>
          <w:p w14:paraId="7EE36590" w14:textId="77777777" w:rsidR="005B7733" w:rsidRPr="00572574" w:rsidRDefault="005B7733" w:rsidP="00572574">
            <w:pPr>
              <w:widowControl w:val="0"/>
              <w:autoSpaceDE w:val="0"/>
              <w:autoSpaceDN w:val="0"/>
              <w:adjustRightInd w:val="0"/>
              <w:ind w:left="426" w:right="420"/>
              <w:rPr>
                <w:rFonts w:ascii="Tahoma" w:eastAsia="Tahoma" w:hAnsi="Tahoma" w:cs="Tahoma"/>
                <w:i/>
                <w:iCs/>
                <w:szCs w:val="24"/>
                <w:lang w:eastAsia="es-MX"/>
              </w:rPr>
            </w:pPr>
            <w:r w:rsidRPr="00572574">
              <w:rPr>
                <w:rFonts w:ascii="Tahoma" w:eastAsia="Tahoma" w:hAnsi="Tahoma" w:cs="Tahoma"/>
                <w:i/>
                <w:iCs/>
                <w:szCs w:val="24"/>
                <w:lang w:eastAsia="es-MX"/>
              </w:rPr>
              <w:t>Junto con lo anterior, lleva inmerso el derecho a obtener asesoría de los representantes de ambos regímenes pensionales.</w:t>
            </w:r>
          </w:p>
        </w:tc>
      </w:tr>
    </w:tbl>
    <w:p w14:paraId="7786F651" w14:textId="77777777" w:rsidR="005B7733" w:rsidRPr="00572574" w:rsidRDefault="005B7733" w:rsidP="00572574">
      <w:pPr>
        <w:widowControl w:val="0"/>
        <w:autoSpaceDE w:val="0"/>
        <w:autoSpaceDN w:val="0"/>
        <w:adjustRightInd w:val="0"/>
        <w:spacing w:before="0" w:beforeAutospacing="0" w:after="0" w:afterAutospacing="0" w:line="240" w:lineRule="auto"/>
        <w:ind w:left="426" w:right="420" w:firstLine="284"/>
        <w:rPr>
          <w:rFonts w:ascii="Tahoma" w:eastAsia="Calibri" w:hAnsi="Tahoma" w:cs="Tahoma"/>
          <w:b/>
          <w:i/>
          <w:sz w:val="22"/>
          <w:lang w:eastAsia="es-CO"/>
        </w:rPr>
      </w:pPr>
    </w:p>
    <w:p w14:paraId="0FA4866D" w14:textId="77777777" w:rsidR="005B7733" w:rsidRPr="00572574" w:rsidRDefault="005B7733" w:rsidP="00572574">
      <w:pPr>
        <w:widowControl w:val="0"/>
        <w:autoSpaceDE w:val="0"/>
        <w:autoSpaceDN w:val="0"/>
        <w:adjustRightInd w:val="0"/>
        <w:spacing w:before="0" w:beforeAutospacing="0" w:after="0" w:afterAutospacing="0" w:line="240" w:lineRule="auto"/>
        <w:ind w:left="426" w:right="420" w:firstLine="708"/>
        <w:rPr>
          <w:rFonts w:ascii="Tahoma" w:eastAsia="Calibri" w:hAnsi="Tahoma" w:cs="Tahoma"/>
          <w:b/>
          <w:i/>
          <w:sz w:val="22"/>
          <w:lang w:eastAsia="es-CO"/>
        </w:rPr>
      </w:pPr>
      <w:r w:rsidRPr="00572574">
        <w:rPr>
          <w:rFonts w:ascii="Tahoma" w:eastAsia="Calibri" w:hAnsi="Tahoma" w:cs="Tahoma"/>
          <w:b/>
          <w:i/>
          <w:sz w:val="22"/>
          <w:lang w:eastAsia="es-CO"/>
        </w:rPr>
        <w:t>1.4 Conclusión: La constatación del deber de información es ineludible</w:t>
      </w:r>
    </w:p>
    <w:p w14:paraId="35C5C6F6" w14:textId="77777777" w:rsidR="005B7733" w:rsidRPr="00572574" w:rsidRDefault="005B7733" w:rsidP="00572574">
      <w:pPr>
        <w:widowControl w:val="0"/>
        <w:autoSpaceDE w:val="0"/>
        <w:autoSpaceDN w:val="0"/>
        <w:adjustRightInd w:val="0"/>
        <w:spacing w:before="0" w:beforeAutospacing="0" w:after="0" w:afterAutospacing="0" w:line="240" w:lineRule="auto"/>
        <w:ind w:left="426" w:right="420" w:firstLine="284"/>
        <w:rPr>
          <w:rFonts w:ascii="Tahoma" w:eastAsia="Calibri" w:hAnsi="Tahoma" w:cs="Tahoma"/>
          <w:b/>
          <w:i/>
          <w:sz w:val="22"/>
          <w:lang w:eastAsia="es-CO"/>
        </w:rPr>
      </w:pPr>
    </w:p>
    <w:p w14:paraId="7F6E8A27" w14:textId="77777777" w:rsidR="005B7733" w:rsidRPr="00572574" w:rsidRDefault="005B7733" w:rsidP="00572574">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72574">
        <w:rPr>
          <w:rFonts w:ascii="Tahoma" w:eastAsia="Calibri" w:hAnsi="Tahoma" w:cs="Tahoma"/>
          <w:i/>
          <w:sz w:val="22"/>
          <w:lang w:eastAsia="es-CO"/>
        </w:rPr>
        <w:t xml:space="preserve">Según se pudo advertir del anterior recuento, </w:t>
      </w:r>
      <w:r w:rsidRPr="00572574">
        <w:rPr>
          <w:rFonts w:ascii="Tahoma" w:eastAsia="Calibri" w:hAnsi="Tahoma" w:cs="Tahoma"/>
          <w:b/>
          <w:i/>
          <w:sz w:val="22"/>
          <w:lang w:eastAsia="es-CO"/>
        </w:rPr>
        <w:t>las AFP, desde su creación, tenían el deber de brindar información a los afiliados o usuarios del sistema pensional a fin de que estos pudiesen adoptar una decisión consciente y realmente libre sobre su futuro pensional.</w:t>
      </w:r>
      <w:r w:rsidRPr="00572574">
        <w:rPr>
          <w:rFonts w:ascii="Tahoma" w:eastAsia="Calibri" w:hAnsi="Tahoma" w:cs="Tahoma"/>
          <w:i/>
          <w:sz w:val="22"/>
          <w:lang w:eastAsia="es-CO"/>
        </w:rPr>
        <w:t xml:space="preserve"> Desde luego que con el transcurrir del tiempo, el grado de intensidad de esta exigencia cambió para acumular más obligaciones, pasando de un deber de información necesaria al de asesoría y buen consejo, y finalmente al de doble asesoría. Lo anterior es relevante, pues implica la necesidad, por parte de los jueces, de evaluar el cumplimiento del deber de información de acuerdo con el momento histórico en que debía cumplirse, pero sin perder de vista que este desde un inicio ha existido. </w:t>
      </w:r>
    </w:p>
    <w:p w14:paraId="4EB7029D" w14:textId="77777777" w:rsidR="005B7733" w:rsidRPr="00572574" w:rsidRDefault="005B7733" w:rsidP="00572574">
      <w:pPr>
        <w:widowControl w:val="0"/>
        <w:autoSpaceDE w:val="0"/>
        <w:autoSpaceDN w:val="0"/>
        <w:adjustRightInd w:val="0"/>
        <w:spacing w:before="0" w:beforeAutospacing="0" w:after="0" w:afterAutospacing="0" w:line="240" w:lineRule="auto"/>
        <w:ind w:left="426" w:right="420" w:firstLine="284"/>
        <w:rPr>
          <w:rFonts w:ascii="Tahoma" w:eastAsia="Calibri" w:hAnsi="Tahoma" w:cs="Tahoma"/>
          <w:i/>
          <w:sz w:val="22"/>
          <w:lang w:eastAsia="es-CO"/>
        </w:rPr>
      </w:pPr>
    </w:p>
    <w:p w14:paraId="5DEC1208" w14:textId="77777777" w:rsidR="005B7733" w:rsidRPr="00572574" w:rsidRDefault="005B7733" w:rsidP="00572574">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72574">
        <w:rPr>
          <w:rFonts w:ascii="Tahoma" w:eastAsia="Calibri" w:hAnsi="Tahoma" w:cs="Tahoma"/>
          <w:i/>
          <w:sz w:val="22"/>
          <w:lang w:eastAsia="es-CO"/>
        </w:rPr>
        <w:t xml:space="preserve">Así las cosas, el Tribunal cometió un primer error al concluir que la responsabilidad por el incumplimiento o entrega de información deficitaria surgió con el Decreto 019 de 2012, en la medida que este exista desde la expedición de la Ley 100 de 1993, el Decreto 663 de 1993 y era predicable de la esencia de las actividades desarrolladas por las administradoras de fondos de pensiones, según se explicó ampliamente.  </w:t>
      </w:r>
    </w:p>
    <w:p w14:paraId="447CA44F" w14:textId="77777777" w:rsidR="005B7733" w:rsidRPr="00572574" w:rsidRDefault="005B7733" w:rsidP="00572574">
      <w:pPr>
        <w:widowControl w:val="0"/>
        <w:autoSpaceDE w:val="0"/>
        <w:autoSpaceDN w:val="0"/>
        <w:adjustRightInd w:val="0"/>
        <w:spacing w:before="0" w:beforeAutospacing="0" w:after="0" w:afterAutospacing="0" w:line="240" w:lineRule="auto"/>
        <w:ind w:left="426" w:right="420" w:firstLine="284"/>
        <w:rPr>
          <w:rFonts w:ascii="Tahoma" w:eastAsia="Calibri" w:hAnsi="Tahoma" w:cs="Tahoma"/>
          <w:i/>
          <w:sz w:val="22"/>
          <w:lang w:eastAsia="es-CO"/>
        </w:rPr>
      </w:pPr>
    </w:p>
    <w:p w14:paraId="7CB837A6" w14:textId="77777777" w:rsidR="005B7733" w:rsidRPr="00572574" w:rsidRDefault="005B7733" w:rsidP="00572574">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72574">
        <w:rPr>
          <w:rFonts w:ascii="Tahoma" w:eastAsia="Calibri" w:hAnsi="Tahoma" w:cs="Tahoma"/>
          <w:i/>
          <w:sz w:val="22"/>
          <w:lang w:eastAsia="es-CO"/>
        </w:rPr>
        <w:t xml:space="preserve">Adicionalmente, la Sala no puede pasar por alto la indebida fundamentación con la que </w:t>
      </w:r>
      <w:r w:rsidRPr="00572574">
        <w:rPr>
          <w:rFonts w:ascii="Tahoma" w:eastAsia="Calibri" w:hAnsi="Tahoma" w:cs="Tahoma"/>
          <w:bCs/>
          <w:i/>
          <w:sz w:val="22"/>
          <w:lang w:eastAsia="es-CO"/>
        </w:rPr>
        <w:t>la Sala Primera de Decisión Laboral del Tribunal de Medellín</w:t>
      </w:r>
      <w:r w:rsidRPr="00572574">
        <w:rPr>
          <w:rFonts w:ascii="Tahoma" w:eastAsia="Calibri" w:hAnsi="Tahoma" w:cs="Tahoma"/>
          <w:i/>
          <w:sz w:val="22"/>
          <w:lang w:eastAsia="es-CO"/>
        </w:rPr>
        <w:t xml:space="preserve"> emitió su sentencia, pues sin razón alguna se limitó a señalar que a partir del Decreto 019 de 2012 es imputable responsabilidad por omisión o cumplimiento deficitario del deber de información a las AFP, sin especificar la norma de ese decreto que le daba sustento </w:t>
      </w:r>
      <w:r w:rsidRPr="00572574">
        <w:rPr>
          <w:rFonts w:ascii="Tahoma" w:eastAsia="Calibri" w:hAnsi="Tahoma" w:cs="Tahoma"/>
          <w:i/>
          <w:sz w:val="22"/>
          <w:lang w:eastAsia="es-CO"/>
        </w:rPr>
        <w:lastRenderedPageBreak/>
        <w:t xml:space="preserve">a su dicho y sin la construcción de un argumento jurídico que soportara su tesis. Es decir, la sentencia estuvo desprovista de una adecuada investigación normativa y un discurso jurídico debidamente fundamentado”. </w:t>
      </w:r>
    </w:p>
    <w:p w14:paraId="423BCA0D" w14:textId="77777777" w:rsidR="005B7733" w:rsidRPr="00414CC1" w:rsidRDefault="005B7733" w:rsidP="00414CC1">
      <w:pPr>
        <w:widowControl w:val="0"/>
        <w:autoSpaceDE w:val="0"/>
        <w:autoSpaceDN w:val="0"/>
        <w:adjustRightInd w:val="0"/>
        <w:spacing w:before="0" w:beforeAutospacing="0" w:after="0" w:afterAutospacing="0" w:line="276" w:lineRule="auto"/>
        <w:ind w:firstLine="284"/>
        <w:rPr>
          <w:rFonts w:ascii="Tahoma" w:eastAsia="Calibri" w:hAnsi="Tahoma" w:cs="Tahoma"/>
          <w:i/>
          <w:lang w:eastAsia="es-CO"/>
        </w:rPr>
      </w:pPr>
    </w:p>
    <w:p w14:paraId="79D03F28" w14:textId="77777777" w:rsidR="005B7733" w:rsidRPr="00414CC1" w:rsidRDefault="005B7733" w:rsidP="00414CC1">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iCs/>
          <w:lang w:eastAsia="es-CO"/>
        </w:rPr>
      </w:pPr>
      <w:r w:rsidRPr="00414CC1">
        <w:rPr>
          <w:rFonts w:ascii="Tahoma" w:eastAsia="Calibri" w:hAnsi="Tahoma" w:cs="Tahoma"/>
          <w:b/>
          <w:iCs/>
          <w:lang w:eastAsia="es-CO"/>
        </w:rPr>
        <w:t xml:space="preserve">“El simple consentimiento vertido en el formulario de afiliación es insuficiente – Necesidad de un consentimiento informado” </w:t>
      </w:r>
      <w:r w:rsidRPr="00414CC1">
        <w:rPr>
          <w:rFonts w:ascii="Tahoma" w:eastAsia="Calibri" w:hAnsi="Tahoma" w:cs="Tahoma"/>
          <w:b/>
          <w:iCs/>
          <w:vertAlign w:val="superscript"/>
          <w:lang w:eastAsia="es-CO"/>
        </w:rPr>
        <w:footnoteReference w:id="4"/>
      </w:r>
      <w:r w:rsidRPr="00414CC1">
        <w:rPr>
          <w:rFonts w:ascii="Tahoma" w:eastAsia="Calibri" w:hAnsi="Tahoma" w:cs="Tahoma"/>
          <w:iCs/>
          <w:lang w:eastAsia="es-CO"/>
        </w:rPr>
        <w:t xml:space="preserve"> </w:t>
      </w:r>
    </w:p>
    <w:p w14:paraId="4513E9AD" w14:textId="77777777" w:rsidR="005B7733" w:rsidRPr="00414CC1" w:rsidRDefault="005B7733" w:rsidP="00414CC1">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27F86D56" w14:textId="77777777" w:rsidR="005B7733" w:rsidRPr="00414CC1" w:rsidRDefault="005B7733" w:rsidP="00414CC1">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414CC1">
        <w:rPr>
          <w:rFonts w:ascii="Tahoma" w:eastAsia="Calibri" w:hAnsi="Tahoma" w:cs="Tahoma"/>
          <w:lang w:eastAsia="es-CO"/>
        </w:rPr>
        <w:t xml:space="preserve">El valor probatorio de los formularios de afiliación, fue abordado en la sentencia a la que venimos haciendo referencia, en el sentido de que los formularios de afiliación a lo sumo acreditan un consentimiento, </w:t>
      </w:r>
      <w:r w:rsidRPr="00414CC1">
        <w:rPr>
          <w:rFonts w:ascii="Tahoma" w:eastAsia="Calibri" w:hAnsi="Tahoma" w:cs="Tahoma"/>
          <w:b/>
          <w:lang w:eastAsia="es-CO"/>
        </w:rPr>
        <w:t>pero no informado</w:t>
      </w:r>
      <w:r w:rsidRPr="00414CC1">
        <w:rPr>
          <w:rFonts w:ascii="Tahoma" w:eastAsia="Calibri" w:hAnsi="Tahoma" w:cs="Tahoma"/>
          <w:lang w:eastAsia="es-CO"/>
        </w:rPr>
        <w:t xml:space="preserve">, tal como se expresa a continuación: </w:t>
      </w:r>
    </w:p>
    <w:p w14:paraId="00874DC5" w14:textId="77777777" w:rsidR="005B7733" w:rsidRPr="00414CC1" w:rsidRDefault="005B7733" w:rsidP="00414CC1">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61BF23A7" w14:textId="77777777" w:rsidR="005B7733" w:rsidRPr="00572574" w:rsidRDefault="005B7733" w:rsidP="00572574">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72574">
        <w:rPr>
          <w:rFonts w:ascii="Tahoma" w:eastAsia="Calibri" w:hAnsi="Tahoma" w:cs="Tahoma"/>
          <w:i/>
          <w:sz w:val="22"/>
          <w:lang w:eastAsia="es-CO"/>
        </w:rPr>
        <w:t xml:space="preserve">“Para el Tribunal el consentimiento informado no es predicable del acto jurídico de traslado, pues basta la consignación en el formulario de que la afiliación se hizo de manera libre y voluntaria. </w:t>
      </w:r>
    </w:p>
    <w:p w14:paraId="7CC7BA7F" w14:textId="77777777" w:rsidR="005B7733" w:rsidRPr="00572574" w:rsidRDefault="005B7733" w:rsidP="00572574">
      <w:pPr>
        <w:widowControl w:val="0"/>
        <w:autoSpaceDE w:val="0"/>
        <w:autoSpaceDN w:val="0"/>
        <w:adjustRightInd w:val="0"/>
        <w:spacing w:before="0" w:beforeAutospacing="0" w:after="0" w:afterAutospacing="0" w:line="240" w:lineRule="auto"/>
        <w:ind w:left="426" w:right="420" w:firstLine="284"/>
        <w:rPr>
          <w:rFonts w:ascii="Tahoma" w:eastAsia="Calibri" w:hAnsi="Tahoma" w:cs="Tahoma"/>
          <w:i/>
          <w:sz w:val="22"/>
          <w:lang w:eastAsia="es-CO"/>
        </w:rPr>
      </w:pPr>
    </w:p>
    <w:p w14:paraId="154A96F8" w14:textId="77777777" w:rsidR="005B7733" w:rsidRPr="00572574" w:rsidRDefault="005B7733" w:rsidP="00572574">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72574">
        <w:rPr>
          <w:rFonts w:ascii="Tahoma" w:eastAsia="Calibri" w:hAnsi="Tahoma" w:cs="Tahoma"/>
          <w:i/>
          <w:sz w:val="22"/>
          <w:lang w:eastAsia="es-CO"/>
        </w:rPr>
        <w:t>La Sala considera desacertada esta tesis, en la medida que la firma del formulario, al igual que las afirmaciones consignadas en los formatos preimpresos de los fondos de pensiones, tales como «la afiliación se hace libre y voluntaria», «se ha efectuado libre, espontánea y sin presiones» u otro tipo de leyendas de este tipo o aseveraciones, no son suficientes para dar por demostrado el deber de información. A lo sumo, acreditan un consentimiento, pero no informado. (…)</w:t>
      </w:r>
    </w:p>
    <w:p w14:paraId="698E733F" w14:textId="77777777" w:rsidR="005B7733" w:rsidRPr="00572574" w:rsidRDefault="005B7733" w:rsidP="00572574">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18E818D9" w14:textId="77777777" w:rsidR="005B7733" w:rsidRPr="00572574" w:rsidRDefault="005B7733" w:rsidP="00572574">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72574">
        <w:rPr>
          <w:rFonts w:ascii="Tahoma" w:eastAsia="Calibri" w:hAnsi="Tahoma" w:cs="Tahoma"/>
          <w:i/>
          <w:sz w:val="22"/>
          <w:lang w:eastAsia="es-CO"/>
        </w:rPr>
        <w:t xml:space="preserve">De esta manera, el acto jurídico de cambio de régimen debe estar precedido de una ilustración al trabajador o usuario, como mínimo, acerca de las características, condiciones, acceso, ventajas y desventajas de cada uno de los regímenes pensionales, así como de los riesgos y consecuencias del traslado. </w:t>
      </w:r>
    </w:p>
    <w:p w14:paraId="1B0DF1F5" w14:textId="77777777" w:rsidR="005B7733" w:rsidRPr="00572574" w:rsidRDefault="005B7733" w:rsidP="00572574">
      <w:pPr>
        <w:widowControl w:val="0"/>
        <w:autoSpaceDE w:val="0"/>
        <w:autoSpaceDN w:val="0"/>
        <w:adjustRightInd w:val="0"/>
        <w:spacing w:before="0" w:beforeAutospacing="0" w:after="0" w:afterAutospacing="0" w:line="240" w:lineRule="auto"/>
        <w:ind w:left="426" w:right="420" w:firstLine="284"/>
        <w:rPr>
          <w:rFonts w:ascii="Tahoma" w:eastAsia="Calibri" w:hAnsi="Tahoma" w:cs="Tahoma"/>
          <w:i/>
          <w:sz w:val="22"/>
          <w:lang w:eastAsia="es-CO"/>
        </w:rPr>
      </w:pPr>
    </w:p>
    <w:p w14:paraId="01081588" w14:textId="77777777" w:rsidR="005B7733" w:rsidRPr="00572574" w:rsidRDefault="005B7733" w:rsidP="00572574">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72574">
        <w:rPr>
          <w:rFonts w:ascii="Tahoma" w:eastAsia="Calibri" w:hAnsi="Tahoma" w:cs="Tahoma"/>
          <w:i/>
          <w:sz w:val="22"/>
          <w:lang w:eastAsia="es-CO"/>
        </w:rPr>
        <w:t>Por tanto, hoy en el campo de la seguridad social, existe un verdadero e insoslayable deber de obtener un consentimiento informado (CSJ SL19447-2017), entendido como un procedimiento que garantiza, antes de aceptar un ofrecimiento o un servicio, la comprensión por el usuario de las condiciones, riesgos y consecuencias de su afiliación al régimen. Vale decir, que el afiliado antes de dar su consentimiento, ha recibido información clara, cierta, comprensible y oportuna”.</w:t>
      </w:r>
    </w:p>
    <w:p w14:paraId="2E2EA77F" w14:textId="77777777" w:rsidR="005B7733" w:rsidRPr="00414CC1" w:rsidRDefault="005B7733" w:rsidP="00414CC1">
      <w:pPr>
        <w:widowControl w:val="0"/>
        <w:autoSpaceDE w:val="0"/>
        <w:autoSpaceDN w:val="0"/>
        <w:adjustRightInd w:val="0"/>
        <w:spacing w:before="0" w:beforeAutospacing="0" w:after="0" w:afterAutospacing="0" w:line="276" w:lineRule="auto"/>
        <w:ind w:firstLine="284"/>
        <w:rPr>
          <w:rFonts w:ascii="Tahoma" w:eastAsia="Calibri" w:hAnsi="Tahoma" w:cs="Tahoma"/>
          <w:bCs/>
          <w:lang w:eastAsia="es-CO"/>
        </w:rPr>
      </w:pPr>
    </w:p>
    <w:p w14:paraId="4EDC899B" w14:textId="77777777" w:rsidR="005B7733" w:rsidRPr="00414CC1" w:rsidRDefault="005B7733" w:rsidP="00414CC1">
      <w:pPr>
        <w:widowControl w:val="0"/>
        <w:autoSpaceDE w:val="0"/>
        <w:autoSpaceDN w:val="0"/>
        <w:adjustRightInd w:val="0"/>
        <w:spacing w:before="0" w:beforeAutospacing="0" w:after="0" w:afterAutospacing="0" w:line="276" w:lineRule="auto"/>
        <w:ind w:firstLine="708"/>
        <w:rPr>
          <w:rFonts w:ascii="Tahoma" w:eastAsia="Calibri" w:hAnsi="Tahoma" w:cs="Tahoma"/>
          <w:bCs/>
          <w:lang w:eastAsia="es-CO"/>
        </w:rPr>
      </w:pPr>
      <w:r w:rsidRPr="00414CC1">
        <w:rPr>
          <w:rFonts w:ascii="Tahoma" w:eastAsia="Calibri" w:hAnsi="Tahoma" w:cs="Tahoma"/>
          <w:bCs/>
          <w:lang w:eastAsia="es-CO"/>
        </w:rPr>
        <w:t>Como se dijo en precedencia, el tema de la suscripción del formulario de traslado como única prueba para desvirtuar la negligencia en la remisión de información al afiliado, ha sido analizado en múltiples fallos de la Sala de Casación de la Corte Suprema de Justicia, entre estas sentencias, está la providencia CSJ SL12136-2014 en la que se dijo lo siguiente:</w:t>
      </w:r>
    </w:p>
    <w:p w14:paraId="7D97D5CF" w14:textId="77777777" w:rsidR="005B7733" w:rsidRPr="00414CC1" w:rsidRDefault="005B7733" w:rsidP="00414CC1">
      <w:pPr>
        <w:widowControl w:val="0"/>
        <w:autoSpaceDE w:val="0"/>
        <w:autoSpaceDN w:val="0"/>
        <w:adjustRightInd w:val="0"/>
        <w:spacing w:before="0" w:beforeAutospacing="0" w:after="0" w:afterAutospacing="0" w:line="276" w:lineRule="auto"/>
        <w:ind w:firstLine="284"/>
        <w:rPr>
          <w:rFonts w:ascii="Tahoma" w:eastAsia="Calibri" w:hAnsi="Tahoma" w:cs="Tahoma"/>
          <w:bCs/>
          <w:i/>
          <w:lang w:eastAsia="es-CO"/>
        </w:rPr>
      </w:pPr>
    </w:p>
    <w:p w14:paraId="44F26E45" w14:textId="77777777" w:rsidR="005B7733" w:rsidRPr="00572574" w:rsidRDefault="005B7733" w:rsidP="00572574">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72574">
        <w:rPr>
          <w:rFonts w:ascii="Tahoma" w:eastAsia="Calibri" w:hAnsi="Tahoma" w:cs="Tahoma"/>
          <w:i/>
          <w:sz w:val="22"/>
          <w:lang w:eastAsia="es-CO"/>
        </w:rPr>
        <w:t xml:space="preserve">“De manera que, conforme lo discurrido queda claro que existirá ineficacia de la afiliación cuando quiera que i) la insuficiencia de la información genere lesiones injustificadas en el derecho pensional del afiliado, impidiéndole su acceso al derecho; ii) no será suficiente la simple suscripción del formulario, sino el cotejo con la información brindada, la cual debe corresponder a la realidad; iii) en los términos del artículo 1604 del Código Civil corresponde a las Administradoras de Fondo de Pensiones allegar prueba sobre los datos proporcionados a los afiliados, los cuales, de no ser ciertos, tendrán además las sanciones pecuniarias del artículo 271 de Ley 100 de 1993, y en los que debe constar los aspectos positivos y negativos de la </w:t>
      </w:r>
      <w:r w:rsidRPr="00572574">
        <w:rPr>
          <w:rFonts w:ascii="Tahoma" w:eastAsia="Calibri" w:hAnsi="Tahoma" w:cs="Tahoma"/>
          <w:i/>
          <w:sz w:val="22"/>
          <w:lang w:eastAsia="es-CO"/>
        </w:rPr>
        <w:lastRenderedPageBreak/>
        <w:t>vinculación y la incidencia en el derecho pensional.</w:t>
      </w:r>
    </w:p>
    <w:p w14:paraId="127B6D45" w14:textId="77777777" w:rsidR="005B7733" w:rsidRPr="00414CC1" w:rsidRDefault="005B7733" w:rsidP="00414CC1">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p>
    <w:p w14:paraId="241B98E8" w14:textId="77777777" w:rsidR="005B7733" w:rsidRPr="00414CC1" w:rsidRDefault="005B7733" w:rsidP="00414CC1">
      <w:pPr>
        <w:pStyle w:val="Prrafodelista"/>
        <w:widowControl w:val="0"/>
        <w:numPr>
          <w:ilvl w:val="1"/>
          <w:numId w:val="4"/>
        </w:numPr>
        <w:autoSpaceDE w:val="0"/>
        <w:autoSpaceDN w:val="0"/>
        <w:adjustRightInd w:val="0"/>
        <w:spacing w:line="276" w:lineRule="auto"/>
        <w:rPr>
          <w:rFonts w:eastAsia="Calibri" w:cs="Tahoma"/>
          <w:b/>
          <w:bCs/>
          <w:szCs w:val="24"/>
          <w:lang w:eastAsia="es-CO"/>
        </w:rPr>
      </w:pPr>
      <w:bookmarkStart w:id="2" w:name="_Hlk109243055"/>
      <w:r w:rsidRPr="00414CC1">
        <w:rPr>
          <w:rFonts w:eastAsia="Calibri" w:cs="Tahoma"/>
          <w:b/>
          <w:bCs/>
          <w:szCs w:val="24"/>
          <w:lang w:eastAsia="es-CO"/>
        </w:rPr>
        <w:t xml:space="preserve">Los actos de relacionamiento, reasesorías, falta de retorno al RPM en el tiempo estipulado por la ley, </w:t>
      </w:r>
      <w:r w:rsidRPr="00414CC1">
        <w:rPr>
          <w:rFonts w:eastAsia="Calibri" w:cs="Tahoma"/>
          <w:b/>
          <w:bCs/>
          <w:szCs w:val="24"/>
          <w:lang w:val="es-ES" w:eastAsia="es-CO"/>
        </w:rPr>
        <w:t>publicaciones de prensa y extractos de la cuenta de ahorro individual</w:t>
      </w:r>
      <w:r w:rsidRPr="00414CC1">
        <w:rPr>
          <w:rFonts w:eastAsia="Calibri" w:cs="Tahoma"/>
          <w:b/>
          <w:bCs/>
          <w:szCs w:val="24"/>
          <w:lang w:eastAsia="es-CO"/>
        </w:rPr>
        <w:t xml:space="preserve"> no desestiman la ineficacia por la falta de información al momento del traslado al RAIS.</w:t>
      </w:r>
    </w:p>
    <w:p w14:paraId="51C5AF88" w14:textId="77777777" w:rsidR="005B7733" w:rsidRPr="00414CC1" w:rsidRDefault="005B7733" w:rsidP="00414CC1">
      <w:pPr>
        <w:pStyle w:val="Prrafodelista"/>
        <w:widowControl w:val="0"/>
        <w:autoSpaceDE w:val="0"/>
        <w:autoSpaceDN w:val="0"/>
        <w:adjustRightInd w:val="0"/>
        <w:spacing w:line="276" w:lineRule="auto"/>
        <w:ind w:left="1429"/>
        <w:rPr>
          <w:rFonts w:eastAsia="Calibri" w:cs="Tahoma"/>
          <w:b/>
          <w:bCs/>
          <w:szCs w:val="24"/>
          <w:lang w:eastAsia="es-CO"/>
        </w:rPr>
      </w:pPr>
    </w:p>
    <w:p w14:paraId="27EBD78A" w14:textId="77777777" w:rsidR="005B7733" w:rsidRPr="00414CC1" w:rsidRDefault="005B7733" w:rsidP="00414CC1">
      <w:pPr>
        <w:widowControl w:val="0"/>
        <w:autoSpaceDE w:val="0"/>
        <w:autoSpaceDN w:val="0"/>
        <w:adjustRightInd w:val="0"/>
        <w:spacing w:before="0" w:beforeAutospacing="0" w:after="0" w:afterAutospacing="0" w:line="276" w:lineRule="auto"/>
        <w:rPr>
          <w:rFonts w:ascii="Tahoma" w:eastAsia="Calibri" w:hAnsi="Tahoma" w:cs="Tahoma"/>
          <w:bCs/>
          <w:lang w:eastAsia="es-CO"/>
        </w:rPr>
      </w:pPr>
      <w:bookmarkStart w:id="3" w:name="_Hlk109255998"/>
      <w:bookmarkEnd w:id="2"/>
      <w:r w:rsidRPr="00414CC1">
        <w:rPr>
          <w:rFonts w:ascii="Tahoma" w:eastAsia="Calibri" w:hAnsi="Tahoma" w:cs="Tahoma"/>
          <w:bCs/>
          <w:lang w:eastAsia="es-CO"/>
        </w:rPr>
        <w:t>Además de lo anterior, ha precisado el máximo órgano de la jurisdicción ordinaria (CSJ SL, 9 sep. 2008, rad. 31989, CSJ SL2877-2020, CSJ SL1942-2021 y CSJ SL1949-2021) que la suscripción de varios formularios de afiliación dentro del mismo RAIS, tampoco es suficiente para declarar eficaz el primer traslado si de todas maneras no se demuestra que al interesado o interesada se le brindó la información suficiente y clara respecto a las ventajas y desventajas del cambio de régimen, en tanto el acto no se convalida por los tránsitos que los afiliados hagan entre administradoras privadas, al respecto en la sentencia SL 5688 de 2021</w:t>
      </w:r>
      <w:r w:rsidRPr="00414CC1">
        <w:rPr>
          <w:rStyle w:val="Refdenotaalpie"/>
          <w:rFonts w:ascii="Tahoma" w:eastAsia="Calibri" w:hAnsi="Tahoma" w:cs="Tahoma"/>
          <w:bCs/>
          <w:lang w:eastAsia="es-CO"/>
        </w:rPr>
        <w:footnoteReference w:id="5"/>
      </w:r>
      <w:r w:rsidRPr="00414CC1">
        <w:rPr>
          <w:rFonts w:ascii="Tahoma" w:eastAsia="Calibri" w:hAnsi="Tahoma" w:cs="Tahoma"/>
          <w:bCs/>
          <w:lang w:eastAsia="es-CO"/>
        </w:rPr>
        <w:t xml:space="preserve"> que memora la sentencia CSJ SL, 9 sep. 2008, rad. 31989 expuso:</w:t>
      </w:r>
    </w:p>
    <w:p w14:paraId="1DB88886" w14:textId="77777777" w:rsidR="005B7733" w:rsidRPr="00414CC1" w:rsidRDefault="005B7733" w:rsidP="00414CC1">
      <w:pPr>
        <w:widowControl w:val="0"/>
        <w:autoSpaceDE w:val="0"/>
        <w:autoSpaceDN w:val="0"/>
        <w:adjustRightInd w:val="0"/>
        <w:spacing w:before="0" w:beforeAutospacing="0" w:after="0" w:afterAutospacing="0" w:line="276" w:lineRule="auto"/>
        <w:ind w:firstLine="284"/>
        <w:rPr>
          <w:rFonts w:ascii="Tahoma" w:eastAsia="Calibri" w:hAnsi="Tahoma" w:cs="Tahoma"/>
          <w:bCs/>
          <w:lang w:eastAsia="es-CO"/>
        </w:rPr>
      </w:pPr>
    </w:p>
    <w:p w14:paraId="4B5A49C8" w14:textId="77777777" w:rsidR="005B7733" w:rsidRPr="00572574" w:rsidRDefault="005B7733" w:rsidP="00572574">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72574">
        <w:rPr>
          <w:rFonts w:ascii="Tahoma" w:eastAsia="Calibri" w:hAnsi="Tahoma" w:cs="Tahoma"/>
          <w:i/>
          <w:sz w:val="22"/>
          <w:lang w:eastAsia="es-CO"/>
        </w:rPr>
        <w:t>“Se ha de señalar que la actuación viciada de traslado del régimen de prima media con prestación definida al de ahorro individual, no se convalida por los traslados de administradoras dentro de este último régimen; ciertamente, la decisión de escoger entre una y otra administradora de ahorro individual, no implica la ratificación de la decisión de cambio de régimen que conlleva modificar sensiblemente el contenido de los derechos prestacionales”.</w:t>
      </w:r>
    </w:p>
    <w:p w14:paraId="61CD53F9" w14:textId="77777777" w:rsidR="005B7733" w:rsidRPr="00414CC1" w:rsidRDefault="005B7733" w:rsidP="00414CC1">
      <w:pPr>
        <w:widowControl w:val="0"/>
        <w:autoSpaceDE w:val="0"/>
        <w:autoSpaceDN w:val="0"/>
        <w:adjustRightInd w:val="0"/>
        <w:spacing w:before="0" w:beforeAutospacing="0" w:after="0" w:afterAutospacing="0" w:line="276" w:lineRule="auto"/>
        <w:ind w:firstLine="284"/>
        <w:rPr>
          <w:rFonts w:ascii="Tahoma" w:eastAsia="Calibri" w:hAnsi="Tahoma" w:cs="Tahoma"/>
          <w:bCs/>
          <w:lang w:val="es-ES" w:eastAsia="es-CO"/>
        </w:rPr>
      </w:pPr>
    </w:p>
    <w:p w14:paraId="1D1B5AE4" w14:textId="77777777" w:rsidR="005B7733" w:rsidRPr="00414CC1" w:rsidRDefault="005B7733" w:rsidP="00414CC1">
      <w:pPr>
        <w:widowControl w:val="0"/>
        <w:autoSpaceDE w:val="0"/>
        <w:autoSpaceDN w:val="0"/>
        <w:adjustRightInd w:val="0"/>
        <w:spacing w:before="0" w:beforeAutospacing="0" w:after="0" w:afterAutospacing="0" w:line="276" w:lineRule="auto"/>
        <w:ind w:firstLine="567"/>
        <w:rPr>
          <w:rFonts w:ascii="Tahoma" w:eastAsia="Calibri" w:hAnsi="Tahoma" w:cs="Tahoma"/>
          <w:bCs/>
          <w:lang w:eastAsia="es-CO"/>
        </w:rPr>
      </w:pPr>
      <w:r w:rsidRPr="00414CC1">
        <w:rPr>
          <w:rFonts w:ascii="Tahoma" w:eastAsia="Calibri" w:hAnsi="Tahoma" w:cs="Tahoma"/>
          <w:bCs/>
          <w:lang w:eastAsia="es-CO"/>
        </w:rPr>
        <w:t>En este orden de ideas, en la sentencia CSJ SL 5686 de 2021</w:t>
      </w:r>
      <w:r w:rsidRPr="00414CC1">
        <w:rPr>
          <w:rStyle w:val="Refdenotaalpie"/>
          <w:rFonts w:ascii="Tahoma" w:eastAsia="Calibri" w:hAnsi="Tahoma" w:cs="Tahoma"/>
          <w:bCs/>
          <w:lang w:eastAsia="es-CO"/>
        </w:rPr>
        <w:footnoteReference w:id="6"/>
      </w:r>
      <w:r w:rsidRPr="00414CC1">
        <w:rPr>
          <w:rFonts w:ascii="Tahoma" w:eastAsia="Calibri" w:hAnsi="Tahoma" w:cs="Tahoma"/>
          <w:bCs/>
          <w:lang w:eastAsia="es-CO"/>
        </w:rPr>
        <w:t xml:space="preserve"> traída a colación en la CSJ SL1926-2022</w:t>
      </w:r>
      <w:r w:rsidRPr="00414CC1">
        <w:rPr>
          <w:rStyle w:val="Refdenotaalpie"/>
          <w:rFonts w:ascii="Tahoma" w:eastAsia="Calibri" w:hAnsi="Tahoma" w:cs="Tahoma"/>
          <w:bCs/>
          <w:lang w:eastAsia="es-CO"/>
        </w:rPr>
        <w:footnoteReference w:id="7"/>
      </w:r>
      <w:r w:rsidRPr="00414CC1">
        <w:rPr>
          <w:rFonts w:ascii="Tahoma" w:eastAsia="Calibri" w:hAnsi="Tahoma" w:cs="Tahoma"/>
          <w:bCs/>
          <w:lang w:eastAsia="es-CO"/>
        </w:rPr>
        <w:t xml:space="preserve"> añadió:</w:t>
      </w:r>
    </w:p>
    <w:p w14:paraId="3D7A91BA" w14:textId="77777777" w:rsidR="005B7733" w:rsidRPr="00414CC1" w:rsidRDefault="005B7733" w:rsidP="00414CC1">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p>
    <w:p w14:paraId="22356F8D" w14:textId="77777777" w:rsidR="005B7733" w:rsidRPr="00572574" w:rsidRDefault="005B7733" w:rsidP="00572574">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72574">
        <w:rPr>
          <w:rFonts w:ascii="Tahoma" w:eastAsia="Calibri" w:hAnsi="Tahoma" w:cs="Tahoma"/>
          <w:i/>
          <w:sz w:val="22"/>
          <w:lang w:eastAsia="es-CO"/>
        </w:rPr>
        <w:t>“Por lo tanto, la mera decisión de escoger entre una y otra administradora en el régimen de ahorro individual, así como trasladarse entre entes pensionales de este esquema, no reemplaza o suple la omisión de la entidad administradora en el cumplimiento de su deber de información a los afiliados que pretende captar; tampoco es indicativo de que cumplió ese deber ni presume que la persona afiliada está informada debidamente en los términos legales, y menos aún morigera los efectos que ello genera en la eficacia del acto jurídico de traslado; esto, desde luego, cuando dicho desacato se acredita debidamente en el proceso, conforme se explicó.</w:t>
      </w:r>
    </w:p>
    <w:p w14:paraId="77054C09" w14:textId="77777777" w:rsidR="005B7733" w:rsidRPr="00572574" w:rsidRDefault="005B7733" w:rsidP="00572574">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2142F0FA" w14:textId="77777777" w:rsidR="005B7733" w:rsidRPr="00572574" w:rsidRDefault="005B7733" w:rsidP="00572574">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72574">
        <w:rPr>
          <w:rFonts w:ascii="Tahoma" w:eastAsia="Calibri" w:hAnsi="Tahoma" w:cs="Tahoma"/>
          <w:i/>
          <w:sz w:val="22"/>
          <w:lang w:eastAsia="es-CO"/>
        </w:rPr>
        <w:t>El anterior criterio es el precedente vigente y en rigor de la Sala de Casación Laboral de esta Corte, y corrige cualquier otro que le sea contrario, en especial el condensado en las sentencias CSJ SL3752-2020, CSJ SL4934-2020, CSJ SL1008-2021, CSJ SL1061-2021, CSJ SL2439-2021, CSJ SL2440-2021 y CSJ SL2753-2021”.</w:t>
      </w:r>
    </w:p>
    <w:p w14:paraId="20237C77" w14:textId="77777777" w:rsidR="005B7733" w:rsidRPr="00414CC1" w:rsidRDefault="005B7733" w:rsidP="00414CC1">
      <w:pPr>
        <w:widowControl w:val="0"/>
        <w:autoSpaceDE w:val="0"/>
        <w:autoSpaceDN w:val="0"/>
        <w:adjustRightInd w:val="0"/>
        <w:spacing w:before="0" w:beforeAutospacing="0" w:after="0" w:afterAutospacing="0" w:line="276" w:lineRule="auto"/>
        <w:ind w:firstLine="0"/>
        <w:rPr>
          <w:rFonts w:ascii="Tahoma" w:eastAsia="Calibri" w:hAnsi="Tahoma" w:cs="Tahoma"/>
          <w:bCs/>
          <w:i/>
          <w:iCs/>
          <w:lang w:eastAsia="es-CO"/>
        </w:rPr>
      </w:pPr>
    </w:p>
    <w:p w14:paraId="0C6AAC50" w14:textId="77777777" w:rsidR="005B7733" w:rsidRPr="00414CC1" w:rsidRDefault="005B7733" w:rsidP="00414CC1">
      <w:pPr>
        <w:widowControl w:val="0"/>
        <w:autoSpaceDE w:val="0"/>
        <w:autoSpaceDN w:val="0"/>
        <w:adjustRightInd w:val="0"/>
        <w:spacing w:before="0" w:beforeAutospacing="0" w:after="0" w:afterAutospacing="0" w:line="276" w:lineRule="auto"/>
        <w:ind w:firstLine="567"/>
        <w:rPr>
          <w:rFonts w:ascii="Tahoma" w:eastAsia="Calibri" w:hAnsi="Tahoma" w:cs="Tahoma"/>
          <w:bCs/>
          <w:lang w:val="es-ES" w:eastAsia="es-CO"/>
        </w:rPr>
      </w:pPr>
      <w:r w:rsidRPr="00414CC1">
        <w:rPr>
          <w:rFonts w:ascii="Tahoma" w:eastAsia="Calibri" w:hAnsi="Tahoma" w:cs="Tahoma"/>
          <w:bCs/>
          <w:lang w:eastAsia="es-CO"/>
        </w:rPr>
        <w:t>Posteriormente, la sentencia CSJ SL1055 de 2022</w:t>
      </w:r>
      <w:r w:rsidRPr="00414CC1">
        <w:rPr>
          <w:rStyle w:val="Refdenotaalpie"/>
          <w:rFonts w:ascii="Tahoma" w:eastAsia="Calibri" w:hAnsi="Tahoma" w:cs="Tahoma"/>
          <w:bCs/>
          <w:lang w:eastAsia="es-CO"/>
        </w:rPr>
        <w:footnoteReference w:id="8"/>
      </w:r>
      <w:r w:rsidRPr="00414CC1">
        <w:rPr>
          <w:rFonts w:ascii="Tahoma" w:eastAsia="Calibri" w:hAnsi="Tahoma" w:cs="Tahoma"/>
          <w:bCs/>
          <w:lang w:eastAsia="es-CO"/>
        </w:rPr>
        <w:t xml:space="preserve"> también recogió las posturas contrarias establecidas por las Sala de Descongestión de la Corte en las providencias </w:t>
      </w:r>
      <w:r w:rsidRPr="00414CC1">
        <w:rPr>
          <w:rFonts w:ascii="Tahoma" w:eastAsia="Calibri" w:hAnsi="Tahoma" w:cs="Tahoma"/>
          <w:bCs/>
          <w:lang w:val="es-ES" w:eastAsia="es-CO"/>
        </w:rPr>
        <w:lastRenderedPageBreak/>
        <w:t>CSJ SL249-2022 y SL259-2022, y en su lugar ratificó:</w:t>
      </w:r>
    </w:p>
    <w:p w14:paraId="73612CAF" w14:textId="77777777" w:rsidR="005B7733" w:rsidRPr="00414CC1" w:rsidRDefault="005B7733" w:rsidP="00414CC1">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p>
    <w:p w14:paraId="71FC3B8B" w14:textId="77777777" w:rsidR="005B7733" w:rsidRPr="00572574" w:rsidRDefault="005B7733" w:rsidP="00572574">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72574">
        <w:rPr>
          <w:rFonts w:ascii="Tahoma" w:eastAsia="Calibri" w:hAnsi="Tahoma" w:cs="Tahoma"/>
          <w:i/>
          <w:sz w:val="22"/>
          <w:lang w:eastAsia="es-CO"/>
        </w:rPr>
        <w:t>“los actos u omisiones posteriores del afiliado, bien sea porque se trasladó entre fondos privados o no retornó a prima media en las oportunidades legales previstas, no pueden validar el desacato legal que genera la ineficacia del acto jurídico del traslado de régimen, precisamente porque al ser posteriores dejan intactos los hechos u omisiones que anteceden al acto jurídico ineficaz, el cual no puede sanearse como la nulidad”</w:t>
      </w:r>
    </w:p>
    <w:p w14:paraId="74853B01" w14:textId="77777777" w:rsidR="005B7733" w:rsidRPr="00414CC1" w:rsidRDefault="005B7733" w:rsidP="00414CC1">
      <w:pPr>
        <w:widowControl w:val="0"/>
        <w:autoSpaceDE w:val="0"/>
        <w:autoSpaceDN w:val="0"/>
        <w:adjustRightInd w:val="0"/>
        <w:spacing w:before="0" w:beforeAutospacing="0" w:after="0" w:afterAutospacing="0" w:line="276" w:lineRule="auto"/>
        <w:ind w:left="567" w:firstLine="0"/>
        <w:rPr>
          <w:rFonts w:ascii="Tahoma" w:eastAsia="Calibri" w:hAnsi="Tahoma" w:cs="Tahoma"/>
          <w:bCs/>
          <w:i/>
          <w:iCs/>
          <w:lang w:val="es-ES" w:eastAsia="es-CO"/>
        </w:rPr>
      </w:pPr>
    </w:p>
    <w:p w14:paraId="36358AC7" w14:textId="77777777" w:rsidR="005B7733" w:rsidRPr="00414CC1" w:rsidRDefault="005B7733" w:rsidP="00414CC1">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414CC1">
        <w:rPr>
          <w:rFonts w:ascii="Tahoma" w:eastAsia="Calibri" w:hAnsi="Tahoma" w:cs="Tahoma"/>
          <w:bCs/>
          <w:lang w:eastAsia="es-CO"/>
        </w:rPr>
        <w:t>Igual cosa se ha predicado de las reasesorías posteriores dadas al interior de las AFP</w:t>
      </w:r>
      <w:r w:rsidRPr="00414CC1">
        <w:rPr>
          <w:rFonts w:ascii="Tahoma" w:eastAsia="Calibri" w:hAnsi="Tahoma" w:cs="Tahoma"/>
          <w:lang w:eastAsia="es-CO"/>
        </w:rPr>
        <w:t xml:space="preserve">, las cuales tampoco convalidan el traslado, como quedó dicho en la citada sentencia del 8 de mayo de 2019 SL 1688-2019, así: </w:t>
      </w:r>
    </w:p>
    <w:p w14:paraId="3F19C00C" w14:textId="77777777" w:rsidR="005B7733" w:rsidRPr="00414CC1" w:rsidRDefault="005B7733" w:rsidP="00414CC1">
      <w:pPr>
        <w:widowControl w:val="0"/>
        <w:autoSpaceDE w:val="0"/>
        <w:autoSpaceDN w:val="0"/>
        <w:adjustRightInd w:val="0"/>
        <w:spacing w:before="0" w:beforeAutospacing="0" w:after="0" w:afterAutospacing="0" w:line="276" w:lineRule="auto"/>
        <w:ind w:firstLine="284"/>
        <w:rPr>
          <w:rFonts w:ascii="Tahoma" w:eastAsia="Calibri" w:hAnsi="Tahoma" w:cs="Tahoma"/>
          <w:i/>
          <w:iCs/>
          <w:lang w:eastAsia="es-CO"/>
        </w:rPr>
      </w:pPr>
      <w:r w:rsidRPr="00414CC1">
        <w:rPr>
          <w:rFonts w:ascii="Tahoma" w:eastAsia="Calibri" w:hAnsi="Tahoma" w:cs="Tahoma"/>
          <w:lang w:eastAsia="es-CO"/>
        </w:rPr>
        <w:t xml:space="preserve">  </w:t>
      </w:r>
    </w:p>
    <w:p w14:paraId="59E95856" w14:textId="77777777" w:rsidR="005B7733" w:rsidRPr="00572574" w:rsidRDefault="005B7733" w:rsidP="00572574">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72574">
        <w:rPr>
          <w:rFonts w:ascii="Tahoma" w:eastAsia="Calibri" w:hAnsi="Tahoma" w:cs="Tahoma"/>
          <w:i/>
          <w:sz w:val="22"/>
          <w:lang w:eastAsia="es-CO"/>
        </w:rPr>
        <w:t>“Ahora, si bien la AFP brindó a la actora una reasesoría el 26 de noviembre de 2003, en virtud de la cual se concluyó la inconveniencia de continuar en Protección S.A., la Sala considera que este servicio no tiene la aptitud de subsanar el incumplimiento de la obligación de información en que incurrió la AFP al momento del traslado, por dos razones:</w:t>
      </w:r>
    </w:p>
    <w:p w14:paraId="67EEBC1F" w14:textId="77777777" w:rsidR="005B7733" w:rsidRPr="00572574" w:rsidRDefault="005B7733" w:rsidP="00572574">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72574">
        <w:rPr>
          <w:rFonts w:ascii="Tahoma" w:eastAsia="Calibri" w:hAnsi="Tahoma" w:cs="Tahoma"/>
          <w:i/>
          <w:sz w:val="22"/>
          <w:lang w:eastAsia="es-CO"/>
        </w:rPr>
        <w:t xml:space="preserve"> </w:t>
      </w:r>
    </w:p>
    <w:p w14:paraId="4CB3EC25" w14:textId="77777777" w:rsidR="005B7733" w:rsidRPr="00572574" w:rsidRDefault="005B7733" w:rsidP="00572574">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72574">
        <w:rPr>
          <w:rFonts w:ascii="Tahoma" w:eastAsia="Calibri" w:hAnsi="Tahoma" w:cs="Tahoma"/>
          <w:i/>
          <w:sz w:val="22"/>
          <w:lang w:eastAsia="es-CO"/>
        </w:rPr>
        <w:t>En primer término, porque el traslado al RAIS implicó la pérdida de los beneficios derivados de la transición al no contar la demandante con 15 años de cotización o servicios a 1 de abril de 1994. Es decir, así se hubiese trasladado la demandante al día siguiente de la reasesoría, de todas formas, ya había perdido la transición.</w:t>
      </w:r>
    </w:p>
    <w:p w14:paraId="2D771D16" w14:textId="77777777" w:rsidR="005B7733" w:rsidRPr="00572574" w:rsidRDefault="005B7733" w:rsidP="00572574">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72574">
        <w:rPr>
          <w:rFonts w:ascii="Tahoma" w:eastAsia="Calibri" w:hAnsi="Tahoma" w:cs="Tahoma"/>
          <w:i/>
          <w:sz w:val="22"/>
          <w:lang w:eastAsia="es-CO"/>
        </w:rPr>
        <w:t xml:space="preserve"> </w:t>
      </w:r>
    </w:p>
    <w:p w14:paraId="4DA3A012" w14:textId="77777777" w:rsidR="005B7733" w:rsidRPr="00572574" w:rsidRDefault="005B7733" w:rsidP="00572574">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72574">
        <w:rPr>
          <w:rFonts w:ascii="Tahoma" w:eastAsia="Calibri" w:hAnsi="Tahoma" w:cs="Tahoma"/>
          <w:i/>
          <w:sz w:val="22"/>
          <w:lang w:eastAsia="es-CO"/>
        </w:rPr>
        <w:t>En segundo lugar, porque la oportunidad de la información se juzga al momento del acto jurídico del traslado, no con posterioridad. Como se dijo, el afiliado requiere para tomar decisiones de la entrega de datos bajo las variables de tiempo e información, que le permitan ponderar costos, desventajas y beneficios hacia el futuro. Desde este punto de vista, un dato solo será relevante si es oportuno, es decir, si al momento en que se entrega brinda al destinatario su máximo de utilidad. Por el contrario, si la asesoría no se otorga oportunamente y, por tanto, pierde su utilidad, ello equivale a la ausencia de información.</w:t>
      </w:r>
    </w:p>
    <w:p w14:paraId="1940AC88" w14:textId="77777777" w:rsidR="005B7733" w:rsidRPr="00572574" w:rsidRDefault="005B7733" w:rsidP="00572574">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72574">
        <w:rPr>
          <w:rFonts w:ascii="Tahoma" w:eastAsia="Calibri" w:hAnsi="Tahoma" w:cs="Tahoma"/>
          <w:i/>
          <w:sz w:val="22"/>
          <w:lang w:eastAsia="es-CO"/>
        </w:rPr>
        <w:t xml:space="preserve"> </w:t>
      </w:r>
    </w:p>
    <w:p w14:paraId="612796A6" w14:textId="77777777" w:rsidR="005B7733" w:rsidRPr="00572574" w:rsidRDefault="005B7733" w:rsidP="00572574">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72574">
        <w:rPr>
          <w:rFonts w:ascii="Tahoma" w:eastAsia="Calibri" w:hAnsi="Tahoma" w:cs="Tahoma"/>
          <w:i/>
          <w:sz w:val="22"/>
          <w:lang w:eastAsia="es-CO"/>
        </w:rPr>
        <w:t>Por otro lado, no es de recibo el planteo de Protección S.A., cuando sostiene que una vez realizó la reasesoría, Myriam Arroyave Henao no mostró interés en la ineficacia de la vinculación al RAIS, al conservar su status de afiliada durante un tiempo, Se dice lo anterior ya que la sugerencia de Protección S.A. de regresar al RPMPD, se produjo el 26 de noviembre de 2003, y el formulario para la nueva afiliación al ISS se diligenció el 14 de enero de 2004 (f. 0 97), es decir, la interesada no dejó transcurrir dos meses desde que recibió asesoría. Por lo demás, este lapso es razonable, pues dada la relevancia de esta determinación, era natural que la accionante se tomara un tiempo de reflexión, buscara información y consejo profesional para, finalmente, adoptar su elección”.</w:t>
      </w:r>
    </w:p>
    <w:p w14:paraId="46CB55D1" w14:textId="77777777" w:rsidR="005B7733" w:rsidRPr="00414CC1" w:rsidRDefault="005B7733" w:rsidP="00414CC1">
      <w:pPr>
        <w:widowControl w:val="0"/>
        <w:autoSpaceDE w:val="0"/>
        <w:autoSpaceDN w:val="0"/>
        <w:adjustRightInd w:val="0"/>
        <w:spacing w:before="0" w:beforeAutospacing="0" w:after="0" w:afterAutospacing="0" w:line="276" w:lineRule="auto"/>
        <w:ind w:firstLine="0"/>
        <w:rPr>
          <w:rFonts w:ascii="Tahoma" w:eastAsia="Calibri" w:hAnsi="Tahoma" w:cs="Tahoma"/>
          <w:i/>
          <w:lang w:eastAsia="es-CO"/>
        </w:rPr>
      </w:pPr>
    </w:p>
    <w:bookmarkEnd w:id="3"/>
    <w:p w14:paraId="01A801E8" w14:textId="77777777" w:rsidR="005B7733" w:rsidRPr="00414CC1" w:rsidRDefault="005B7733" w:rsidP="00414CC1">
      <w:pPr>
        <w:spacing w:before="0" w:beforeAutospacing="0" w:after="0" w:afterAutospacing="0" w:line="276" w:lineRule="auto"/>
        <w:ind w:right="420"/>
        <w:contextualSpacing/>
        <w:rPr>
          <w:rFonts w:ascii="Tahoma" w:eastAsia="Calibri" w:hAnsi="Tahoma" w:cs="Tahoma"/>
          <w:iCs/>
          <w:lang w:val="es-ES"/>
        </w:rPr>
      </w:pPr>
      <w:r w:rsidRPr="00414CC1">
        <w:rPr>
          <w:rFonts w:ascii="Tahoma" w:eastAsia="Calibri" w:hAnsi="Tahoma" w:cs="Tahoma"/>
          <w:iCs/>
          <w:lang w:val="es-ES"/>
        </w:rPr>
        <w:t>Finalmente, en el mismo sentido se ha pronunciado el máximo órgano de cierre de la jurisdicción laboral, respecto a las publicaciones de prensa y extractos de la cuenta de ahorro individual, en este orden en la sentencia CSJ 1618-2022</w:t>
      </w:r>
      <w:r w:rsidRPr="00414CC1">
        <w:rPr>
          <w:rStyle w:val="Refdenotaalpie"/>
          <w:rFonts w:ascii="Tahoma" w:eastAsia="Calibri" w:hAnsi="Tahoma" w:cs="Tahoma"/>
          <w:iCs/>
          <w:lang w:val="es-ES"/>
        </w:rPr>
        <w:footnoteReference w:id="9"/>
      </w:r>
      <w:r w:rsidRPr="00414CC1">
        <w:rPr>
          <w:rFonts w:ascii="Tahoma" w:eastAsia="Calibri" w:hAnsi="Tahoma" w:cs="Tahoma"/>
          <w:iCs/>
          <w:lang w:val="es-ES"/>
        </w:rPr>
        <w:t xml:space="preserve"> precisó: </w:t>
      </w:r>
    </w:p>
    <w:p w14:paraId="255DBFA1" w14:textId="77777777" w:rsidR="005B7733" w:rsidRPr="00414CC1" w:rsidRDefault="005B7733" w:rsidP="00414CC1">
      <w:pPr>
        <w:spacing w:before="0" w:beforeAutospacing="0" w:after="0" w:afterAutospacing="0" w:line="276" w:lineRule="auto"/>
        <w:ind w:left="426" w:right="420" w:firstLine="0"/>
        <w:contextualSpacing/>
        <w:rPr>
          <w:rFonts w:ascii="Tahoma" w:eastAsia="Calibri" w:hAnsi="Tahoma" w:cs="Tahoma"/>
          <w:i/>
          <w:lang w:val="es-ES"/>
        </w:rPr>
      </w:pPr>
    </w:p>
    <w:p w14:paraId="188D4C9F" w14:textId="77777777" w:rsidR="005B7733" w:rsidRPr="00572574" w:rsidRDefault="005B7733" w:rsidP="00572574">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72574">
        <w:rPr>
          <w:rFonts w:ascii="Tahoma" w:eastAsia="Calibri" w:hAnsi="Tahoma" w:cs="Tahoma"/>
          <w:i/>
          <w:sz w:val="22"/>
          <w:lang w:eastAsia="es-CO"/>
        </w:rPr>
        <w:t xml:space="preserve">“Respecto a las citadas publicaciones así como frente a los extractos de cuenta de ahorro individual que se remitieron a la demandante y la información en ellos </w:t>
      </w:r>
      <w:r w:rsidRPr="00572574">
        <w:rPr>
          <w:rFonts w:ascii="Tahoma" w:eastAsia="Calibri" w:hAnsi="Tahoma" w:cs="Tahoma"/>
          <w:i/>
          <w:sz w:val="22"/>
          <w:lang w:eastAsia="es-CO"/>
        </w:rPr>
        <w:lastRenderedPageBreak/>
        <w:t>contenida, a los que se hizo referencia en la declaración de parte por ella vertida en el proceso, es claro para la Sala que, aunque  pueda ser de interés para el afiliado, por si solos no tienen la virtualidad de acreditar que la AFP cumplió con su obligación legal de información  y su deber orientador, de manera permanente desde antes de vincular a la señora Gloria Pinilla Anzola”.</w:t>
      </w:r>
    </w:p>
    <w:p w14:paraId="32C8D65C" w14:textId="77777777" w:rsidR="005B7733" w:rsidRPr="00414CC1" w:rsidRDefault="005B7733" w:rsidP="00414CC1">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5DD44F47" w14:textId="77777777" w:rsidR="005B7733" w:rsidRPr="00414CC1" w:rsidRDefault="005B7733" w:rsidP="00414CC1">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iCs/>
          <w:lang w:eastAsia="es-CO"/>
        </w:rPr>
      </w:pPr>
      <w:r w:rsidRPr="00414CC1">
        <w:rPr>
          <w:rFonts w:ascii="Tahoma" w:eastAsia="Calibri" w:hAnsi="Tahoma" w:cs="Tahoma"/>
          <w:b/>
          <w:bCs/>
          <w:lang w:eastAsia="es-CO"/>
        </w:rPr>
        <w:t xml:space="preserve">“De la carga de la prueba – Inversión a favor del afiliado” </w:t>
      </w:r>
      <w:r w:rsidRPr="00414CC1">
        <w:rPr>
          <w:rFonts w:ascii="Tahoma" w:eastAsia="Calibri" w:hAnsi="Tahoma" w:cs="Tahoma"/>
          <w:b/>
          <w:bCs/>
          <w:vertAlign w:val="superscript"/>
          <w:lang w:eastAsia="es-CO"/>
        </w:rPr>
        <w:footnoteReference w:id="10"/>
      </w:r>
    </w:p>
    <w:p w14:paraId="34F2380D" w14:textId="77777777" w:rsidR="005B7733" w:rsidRPr="00414CC1" w:rsidRDefault="005B7733" w:rsidP="00414CC1">
      <w:pPr>
        <w:widowControl w:val="0"/>
        <w:autoSpaceDE w:val="0"/>
        <w:autoSpaceDN w:val="0"/>
        <w:adjustRightInd w:val="0"/>
        <w:spacing w:before="0" w:beforeAutospacing="0" w:after="0" w:afterAutospacing="0" w:line="276" w:lineRule="auto"/>
        <w:ind w:firstLine="284"/>
        <w:rPr>
          <w:rFonts w:ascii="Tahoma" w:eastAsia="Calibri" w:hAnsi="Tahoma" w:cs="Tahoma"/>
          <w:b/>
          <w:lang w:eastAsia="es-CO"/>
        </w:rPr>
      </w:pPr>
    </w:p>
    <w:p w14:paraId="4B5D1BB8" w14:textId="77777777" w:rsidR="005B7733" w:rsidRPr="00414CC1" w:rsidRDefault="005B7733" w:rsidP="00414CC1">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414CC1">
        <w:rPr>
          <w:rFonts w:ascii="Tahoma" w:eastAsia="Calibri" w:hAnsi="Tahoma" w:cs="Tahoma"/>
          <w:lang w:eastAsia="es-CO"/>
        </w:rPr>
        <w:t>La carga de la prueba en los procesos de ineficacia de traslado, también se resolvió por la Corte Suprema de Justicia desde la sentencia hito, en la que se expresó que de conformidad al artículo 1604 del Código Civil «</w:t>
      </w:r>
      <w:r w:rsidRPr="00414CC1">
        <w:rPr>
          <w:rFonts w:ascii="Tahoma" w:eastAsia="Calibri" w:hAnsi="Tahoma" w:cs="Tahoma"/>
          <w:i/>
          <w:lang w:eastAsia="es-CO"/>
        </w:rPr>
        <w:t>la prueba de la diligencia o cuidado incumbe al que ha debido emplearlo”</w:t>
      </w:r>
      <w:r w:rsidRPr="00414CC1">
        <w:rPr>
          <w:rFonts w:ascii="Tahoma" w:eastAsia="Calibri" w:hAnsi="Tahoma" w:cs="Tahoma"/>
          <w:lang w:eastAsia="es-CO"/>
        </w:rPr>
        <w:t xml:space="preserve"> lo que quiere decir que la carga de la prueba recae en el fondo de pensiones. Dicha postura se ha mantenido invariable, y se reiteró de manera más contundente en la citada sentencia, así: </w:t>
      </w:r>
    </w:p>
    <w:p w14:paraId="4DFD493F" w14:textId="77777777" w:rsidR="005B7733" w:rsidRPr="00414CC1" w:rsidRDefault="005B7733" w:rsidP="00414CC1">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08EFC2D7" w14:textId="77777777" w:rsidR="005B7733" w:rsidRPr="00572574" w:rsidRDefault="005B7733" w:rsidP="00572574">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72574">
        <w:rPr>
          <w:rFonts w:ascii="Tahoma" w:eastAsia="Calibri" w:hAnsi="Tahoma" w:cs="Tahoma"/>
          <w:i/>
          <w:sz w:val="22"/>
          <w:lang w:eastAsia="es-CO"/>
        </w:rPr>
        <w:t xml:space="preserve">“Según lo expuesto precedentemente, es la demostración de un consentimiento informado en el traslado de régimen, el que tiene la virtud de generar en el juzgador la convicción de que ese contrato de aseguramiento goza de plena validez. </w:t>
      </w:r>
    </w:p>
    <w:p w14:paraId="71127A7C" w14:textId="77777777" w:rsidR="005B7733" w:rsidRPr="00572574" w:rsidRDefault="005B7733" w:rsidP="00572574">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6CF1D2B7" w14:textId="77777777" w:rsidR="005B7733" w:rsidRPr="00572574" w:rsidRDefault="005B7733" w:rsidP="00572574">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72574">
        <w:rPr>
          <w:rFonts w:ascii="Tahoma" w:eastAsia="Calibri" w:hAnsi="Tahoma" w:cs="Tahoma"/>
          <w:i/>
          <w:sz w:val="22"/>
          <w:lang w:eastAsia="es-CO"/>
        </w:rPr>
        <w:t xml:space="preserve">Bajo tal premisa, frente al tema puntual de a quién le corresponde demostrarla, debe precisarse que si el afiliado alega que no recibió la información debida cuando se afilió, ello corresponde a un supuesto negativo que no puede demostrarse materialmente por quien lo invoca. </w:t>
      </w:r>
    </w:p>
    <w:p w14:paraId="142DB76F" w14:textId="77777777" w:rsidR="005B7733" w:rsidRPr="00572574" w:rsidRDefault="005B7733" w:rsidP="00572574">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38E2E807" w14:textId="77777777" w:rsidR="005B7733" w:rsidRPr="00572574" w:rsidRDefault="005B7733" w:rsidP="00572574">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72574">
        <w:rPr>
          <w:rFonts w:ascii="Tahoma" w:eastAsia="Calibri" w:hAnsi="Tahoma" w:cs="Tahoma"/>
          <w:i/>
          <w:sz w:val="22"/>
          <w:lang w:eastAsia="es-CO"/>
        </w:rPr>
        <w:t>En consecuencia, si se arguye que, a la afiliación, la AFP no suministró información veraz y suficiente, pese a que debía hacerlo, se dice con ello, que la entidad incumplió voluntariamente una gama de obligaciones de las que depende la validez del contrato de aseguramiento. En ese sentido, tal afirmación se acredita con el hecho positivo contrario, esto es, que se suministró la asesoría en forma correcta. Entonces, como el trabajador no puede acreditar que no recibió información, corresponde a su contraparte demostrar que sí la brindó, dado que es quien está en posición de hacerlo.</w:t>
      </w:r>
    </w:p>
    <w:p w14:paraId="73EC320D" w14:textId="77777777" w:rsidR="005B7733" w:rsidRPr="00572574" w:rsidRDefault="005B7733" w:rsidP="00572574">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474910F0" w14:textId="77777777" w:rsidR="005B7733" w:rsidRPr="00572574" w:rsidRDefault="005B7733" w:rsidP="00572574">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72574">
        <w:rPr>
          <w:rFonts w:ascii="Tahoma" w:eastAsia="Calibri" w:hAnsi="Tahoma" w:cs="Tahoma"/>
          <w:i/>
          <w:sz w:val="22"/>
          <w:lang w:eastAsia="es-CO"/>
        </w:rPr>
        <w:t xml:space="preserve">Como se ha expuesto, el deber de información al momento del traslado entre regímenes, es una obligación que corresponde a las administradoras de fondos de pensiones, y su ejercicio debe ser de tal diligencia, que permita comprender la lógica, beneficios y desventajas del cambio de régimen, así como prever los riesgos y efectos negativos de esa decisión. </w:t>
      </w:r>
    </w:p>
    <w:p w14:paraId="591B9689" w14:textId="77777777" w:rsidR="005B7733" w:rsidRPr="00572574" w:rsidRDefault="005B7733" w:rsidP="00572574">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126AED53" w14:textId="77777777" w:rsidR="005B7733" w:rsidRPr="00572574" w:rsidRDefault="005B7733" w:rsidP="00572574">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72574">
        <w:rPr>
          <w:rFonts w:ascii="Tahoma" w:eastAsia="Calibri" w:hAnsi="Tahoma" w:cs="Tahoma"/>
          <w:i/>
          <w:sz w:val="22"/>
          <w:lang w:eastAsia="es-CO"/>
        </w:rPr>
        <w:t xml:space="preserve">En torno al punto, el artículo 1604 del Código Civil establece que «la prueba de la diligencia o cuidado incumbe al que ha debido emplearlo», de lo que se sigue que es al fondo de pensiones al que corresponde acreditar la realización de todas las actuaciones necesarias a fin de que el afiliado conociera las implicaciones del traslado de régimen pensional. </w:t>
      </w:r>
    </w:p>
    <w:p w14:paraId="2B1F3DAE" w14:textId="77777777" w:rsidR="005B7733" w:rsidRPr="00572574" w:rsidRDefault="005B7733" w:rsidP="00572574">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688DFC59" w14:textId="77777777" w:rsidR="005B7733" w:rsidRPr="00572574" w:rsidRDefault="005B7733" w:rsidP="00572574">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72574">
        <w:rPr>
          <w:rFonts w:ascii="Tahoma" w:eastAsia="Calibri" w:hAnsi="Tahoma" w:cs="Tahoma"/>
          <w:i/>
          <w:sz w:val="22"/>
          <w:lang w:eastAsia="es-CO"/>
        </w:rPr>
        <w:t xml:space="preserve">Paralelamente, no puede pasar desapercibido que la inversión de la carga de la prueba en favor del afiliado obedece a una regla de justicia, en virtud de la cual no es dable exigir a quien está en una posición probatoria complicada –cuando no imposible- o de desventaja, el esclarecimiento de hechos que la otra parte está en mejor posición de ilustrar. En este caso, pedir al afiliado una prueba de este alcance es un despropósito, en la medida que (i) la afirmación de no haber recibido información corresponde a un supuesto negativo indefinido que solo puede desvirtuarlo el fondo de pensiones mediante la prueba que acredite que cumplió esta obligación; (ii) la documentación soporte del traslado debe conservarse en los </w:t>
      </w:r>
      <w:r w:rsidRPr="00572574">
        <w:rPr>
          <w:rFonts w:ascii="Tahoma" w:eastAsia="Calibri" w:hAnsi="Tahoma" w:cs="Tahoma"/>
          <w:i/>
          <w:sz w:val="22"/>
          <w:lang w:eastAsia="es-CO"/>
        </w:rPr>
        <w:lastRenderedPageBreak/>
        <w:t xml:space="preserve">archivos del fondo, dado que (iii) es esta entidad la que está obligada a observar la obligación de brindar información y, más aún, probar ante las autoridades administrativas y judiciales su pleno cumplimiento. </w:t>
      </w:r>
    </w:p>
    <w:p w14:paraId="2A16CEC1" w14:textId="77777777" w:rsidR="005B7733" w:rsidRPr="00572574" w:rsidRDefault="005B7733" w:rsidP="00572574">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3FA55C4E" w14:textId="1A807A1E" w:rsidR="005B7733" w:rsidRPr="00572574" w:rsidRDefault="005B7733" w:rsidP="00572574">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72574">
        <w:rPr>
          <w:rFonts w:ascii="Tahoma" w:eastAsia="Calibri" w:hAnsi="Tahoma" w:cs="Tahoma"/>
          <w:i/>
          <w:sz w:val="22"/>
          <w:lang w:eastAsia="es-CO"/>
        </w:rPr>
        <w:t xml:space="preserve">Mucho menos es razonable invertir la carga de la prueba contra la parte débil de la relación contractual, toda vez que, como se explicó, las entidades financieras por su posición en el mercado, profesionalismo, experticia y control de la operación, tienen una clara preeminencia frente al afiliado lego. A tal grado es lo anterior, que incluso la legislación (art. 11, literal b), L. 1328/2009), considera una práctica abusiva la inversión de la carga de la prueba en disfavor de los consumidores financieros”.  </w:t>
      </w:r>
    </w:p>
    <w:p w14:paraId="45D2FABF" w14:textId="77777777" w:rsidR="005B7733" w:rsidRPr="00414CC1" w:rsidRDefault="005B7733" w:rsidP="00414CC1">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49EA4621" w14:textId="77777777" w:rsidR="005B7733" w:rsidRPr="00414CC1" w:rsidRDefault="005B7733" w:rsidP="00414CC1">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lang w:eastAsia="es-CO"/>
        </w:rPr>
      </w:pPr>
      <w:r w:rsidRPr="00414CC1">
        <w:rPr>
          <w:rFonts w:ascii="Tahoma" w:eastAsia="Calibri" w:hAnsi="Tahoma" w:cs="Tahoma"/>
          <w:b/>
          <w:bCs/>
          <w:lang w:eastAsia="es-CO"/>
        </w:rPr>
        <w:t>Consecuencias de la declaratoria de ineficacia del traslado: Devolución de las cuotas de administración y de otros valores debidamente indexados.</w:t>
      </w:r>
    </w:p>
    <w:p w14:paraId="3B914A89" w14:textId="77777777" w:rsidR="005B7733" w:rsidRPr="00414CC1" w:rsidRDefault="005B7733" w:rsidP="00414CC1">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0C6B7CA9" w14:textId="1A459384" w:rsidR="6D34306F" w:rsidRPr="00414CC1" w:rsidRDefault="6D34306F" w:rsidP="00414CC1">
      <w:pPr>
        <w:spacing w:before="0" w:beforeAutospacing="0" w:after="0" w:afterAutospacing="0" w:line="276" w:lineRule="auto"/>
        <w:ind w:firstLine="708"/>
        <w:rPr>
          <w:rFonts w:ascii="Tahoma" w:hAnsi="Tahoma" w:cs="Tahoma"/>
        </w:rPr>
      </w:pPr>
      <w:r w:rsidRPr="00414CC1">
        <w:rPr>
          <w:rFonts w:ascii="Tahoma" w:eastAsia="Tahoma" w:hAnsi="Tahoma" w:cs="Tahoma"/>
        </w:rPr>
        <w:t xml:space="preserve">Al efecto, la Sala de Casación Laboral de la Corte Suprema de Justicia precisó en las sentencias CSJ SL 4297-2022, </w:t>
      </w:r>
      <w:r w:rsidRPr="00414CC1">
        <w:rPr>
          <w:rFonts w:ascii="Tahoma" w:eastAsia="Tahoma" w:hAnsi="Tahoma" w:cs="Tahoma"/>
          <w:lang w:val="es"/>
        </w:rPr>
        <w:t xml:space="preserve">CSJ SL3871-2021, CSJ SL 3611-2021, CSJ SL3537-2021 </w:t>
      </w:r>
      <w:r w:rsidRPr="00414CC1">
        <w:rPr>
          <w:rFonts w:ascii="Tahoma" w:eastAsia="Tahoma" w:hAnsi="Tahoma" w:cs="Tahoma"/>
        </w:rPr>
        <w:t xml:space="preserve">que la trasgresión al deber de información tratándose del cambio del sistema pensional, debe analizarse desde la figura jurídica de la ineficacia y no desde el régimen de las nulidades regulado por el código civil, puesto que al transgredirse el derecho a la libre escogencia de régimen, el efecto jurídico previsto por el artículo 271 de la Ley 100 de 1993, no es otro que el de la ineficacia de la afiliación. </w:t>
      </w:r>
    </w:p>
    <w:p w14:paraId="58133DD3" w14:textId="7D417962" w:rsidR="6D34306F" w:rsidRPr="00414CC1" w:rsidRDefault="6D34306F" w:rsidP="00414CC1">
      <w:pPr>
        <w:spacing w:before="0" w:beforeAutospacing="0" w:after="0" w:afterAutospacing="0" w:line="276" w:lineRule="auto"/>
        <w:ind w:firstLine="708"/>
        <w:rPr>
          <w:rFonts w:ascii="Tahoma" w:hAnsi="Tahoma" w:cs="Tahoma"/>
        </w:rPr>
      </w:pPr>
      <w:r w:rsidRPr="00414CC1">
        <w:rPr>
          <w:rFonts w:ascii="Tahoma" w:eastAsia="Tahoma" w:hAnsi="Tahoma" w:cs="Tahoma"/>
        </w:rPr>
        <w:t xml:space="preserve"> </w:t>
      </w:r>
    </w:p>
    <w:p w14:paraId="7937F6A1" w14:textId="5AC0ECFF" w:rsidR="6D34306F" w:rsidRPr="00414CC1" w:rsidRDefault="6D34306F" w:rsidP="00414CC1">
      <w:pPr>
        <w:spacing w:before="0" w:beforeAutospacing="0" w:after="0" w:afterAutospacing="0" w:line="276" w:lineRule="auto"/>
        <w:ind w:firstLine="708"/>
        <w:rPr>
          <w:rFonts w:ascii="Tahoma" w:hAnsi="Tahoma" w:cs="Tahoma"/>
        </w:rPr>
      </w:pPr>
      <w:r w:rsidRPr="00414CC1">
        <w:rPr>
          <w:rFonts w:ascii="Tahoma" w:eastAsia="Tahoma" w:hAnsi="Tahoma" w:cs="Tahoma"/>
        </w:rPr>
        <w:t>En ese orden, argumentó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w:t>
      </w:r>
    </w:p>
    <w:p w14:paraId="3C41F6DB" w14:textId="616425F4" w:rsidR="6D34306F" w:rsidRPr="00414CC1" w:rsidRDefault="6D34306F" w:rsidP="00414CC1">
      <w:pPr>
        <w:spacing w:before="0" w:beforeAutospacing="0" w:after="0" w:afterAutospacing="0" w:line="276" w:lineRule="auto"/>
        <w:ind w:firstLine="708"/>
        <w:rPr>
          <w:rFonts w:ascii="Tahoma" w:hAnsi="Tahoma" w:cs="Tahoma"/>
        </w:rPr>
      </w:pPr>
      <w:r w:rsidRPr="00414CC1">
        <w:rPr>
          <w:rFonts w:ascii="Tahoma" w:eastAsia="Tahoma" w:hAnsi="Tahoma" w:cs="Tahoma"/>
        </w:rPr>
        <w:t xml:space="preserve"> </w:t>
      </w:r>
    </w:p>
    <w:p w14:paraId="086F9EA3" w14:textId="16B0DFA2" w:rsidR="6D34306F" w:rsidRPr="00414CC1" w:rsidRDefault="6D34306F" w:rsidP="00414CC1">
      <w:pPr>
        <w:spacing w:before="0" w:beforeAutospacing="0" w:after="0" w:afterAutospacing="0" w:line="276" w:lineRule="auto"/>
        <w:ind w:firstLine="708"/>
        <w:rPr>
          <w:rFonts w:ascii="Tahoma" w:hAnsi="Tahoma" w:cs="Tahoma"/>
        </w:rPr>
      </w:pPr>
      <w:r w:rsidRPr="00414CC1">
        <w:rPr>
          <w:rFonts w:ascii="Tahoma" w:eastAsia="Tahoma" w:hAnsi="Tahoma" w:cs="Tahoma"/>
        </w:rPr>
        <w:t xml:space="preserve">Con base en lo anterior, el máximo órgano de cierre de la jurisdicción laboral declaró, entre otras, en las sentencias CSJ </w:t>
      </w:r>
      <w:r w:rsidRPr="00414CC1">
        <w:rPr>
          <w:rFonts w:ascii="Tahoma" w:eastAsia="Tahoma" w:hAnsi="Tahoma" w:cs="Tahoma"/>
          <w:lang w:val="es"/>
        </w:rPr>
        <w:t xml:space="preserve">SL1084-2023, CSJ SL 932-2023, CSJ SL 4297-2022, CSJ SL3465-2022, CSJ SL2229-2022 y CSJ SL3188-2022 que la ineficacia del traslado no solo acarrea la obligación de trasladar </w:t>
      </w:r>
      <w:r w:rsidRPr="00414CC1">
        <w:rPr>
          <w:rFonts w:ascii="Tahoma" w:eastAsia="Tahoma" w:hAnsi="Tahoma" w:cs="Tahoma"/>
        </w:rPr>
        <w:t xml:space="preserve">a Colpensiones la totalidad de los saldos obrantes en la cuenta de ahorro individual del promotor del litigio, sino que además definió como regla de adjudicación que la entidad administradora debe: </w:t>
      </w:r>
    </w:p>
    <w:p w14:paraId="290BBCC4" w14:textId="7A98EB4E" w:rsidR="6D34306F" w:rsidRPr="00414CC1" w:rsidRDefault="6D34306F" w:rsidP="00414CC1">
      <w:pPr>
        <w:spacing w:before="0" w:beforeAutospacing="0" w:after="0" w:afterAutospacing="0" w:line="276" w:lineRule="auto"/>
        <w:ind w:firstLine="708"/>
        <w:rPr>
          <w:rFonts w:ascii="Tahoma" w:hAnsi="Tahoma" w:cs="Tahoma"/>
        </w:rPr>
      </w:pPr>
      <w:r w:rsidRPr="00414CC1">
        <w:rPr>
          <w:rFonts w:ascii="Tahoma" w:eastAsia="Tahoma" w:hAnsi="Tahoma" w:cs="Tahoma"/>
        </w:rPr>
        <w:t xml:space="preserve"> </w:t>
      </w:r>
    </w:p>
    <w:p w14:paraId="1C4DA42D" w14:textId="0DE18A69" w:rsidR="6D34306F" w:rsidRPr="00572574" w:rsidRDefault="6D34306F" w:rsidP="00572574">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72574">
        <w:rPr>
          <w:rFonts w:ascii="Tahoma" w:eastAsia="Calibri" w:hAnsi="Tahoma" w:cs="Tahoma"/>
          <w:i/>
          <w:sz w:val="22"/>
          <w:lang w:eastAsia="es-CO"/>
        </w:rPr>
        <w:t>“devolver a Colpensiones el porcentaje correspondiente a los gastos de administración, comisiones y primas de seguros previsionales de invalidez y sobrevivencia, y el porcentaje destinado al fondo de garantía de pensión mínima, debidamente indexados y con cargo a sus propios recursos, pues estos conceptos, desde el nacimiento del acto ineficaz, debieron ingresar al Régimen de Prima Media con Prestación Definida administrado por Colpensiones.</w:t>
      </w:r>
    </w:p>
    <w:p w14:paraId="0BCE7F2B" w14:textId="0A5C5832" w:rsidR="6D34306F" w:rsidRPr="00572574" w:rsidRDefault="6D34306F" w:rsidP="00572574">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72574">
        <w:rPr>
          <w:rFonts w:ascii="Tahoma" w:eastAsia="Calibri" w:hAnsi="Tahoma" w:cs="Tahoma"/>
          <w:i/>
          <w:sz w:val="22"/>
          <w:lang w:eastAsia="es-CO"/>
        </w:rPr>
        <w:t xml:space="preserve"> </w:t>
      </w:r>
    </w:p>
    <w:p w14:paraId="62E97BAA" w14:textId="03A40E64" w:rsidR="6D34306F" w:rsidRPr="00572574" w:rsidRDefault="6D34306F" w:rsidP="00572574">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72574">
        <w:rPr>
          <w:rFonts w:ascii="Tahoma" w:eastAsia="Calibri" w:hAnsi="Tahoma" w:cs="Tahoma"/>
          <w:i/>
          <w:sz w:val="22"/>
          <w:lang w:eastAsia="es-CO"/>
        </w:rPr>
        <w:t>Asimismo, al momento de cumplirse esta orden, tales valores deberán aparecer discriminados con sus respectivos montos, junto con el detalle pormenorizado de los ciclos, IBC, aportes y demás información relevante que los justifiquen”.</w:t>
      </w:r>
    </w:p>
    <w:p w14:paraId="45D5D49E" w14:textId="290737A4" w:rsidR="008C3C1E" w:rsidRPr="00414CC1" w:rsidRDefault="005B7733" w:rsidP="00414CC1">
      <w:pPr>
        <w:widowControl w:val="0"/>
        <w:autoSpaceDE w:val="0"/>
        <w:autoSpaceDN w:val="0"/>
        <w:adjustRightInd w:val="0"/>
        <w:spacing w:before="0" w:beforeAutospacing="0" w:after="0" w:afterAutospacing="0" w:line="276" w:lineRule="auto"/>
        <w:ind w:firstLine="0"/>
        <w:rPr>
          <w:rFonts w:ascii="Tahoma" w:eastAsia="Calibri" w:hAnsi="Tahoma" w:cs="Tahoma"/>
          <w:b/>
          <w:lang w:eastAsia="es-CO"/>
        </w:rPr>
      </w:pPr>
      <w:r w:rsidRPr="00414CC1">
        <w:rPr>
          <w:rFonts w:ascii="Tahoma" w:eastAsia="Calibri" w:hAnsi="Tahoma" w:cs="Tahoma"/>
          <w:lang w:eastAsia="es-CO"/>
        </w:rPr>
        <w:t xml:space="preserve"> </w:t>
      </w:r>
    </w:p>
    <w:p w14:paraId="374A8266" w14:textId="77777777" w:rsidR="008C3C1E" w:rsidRPr="00414CC1" w:rsidRDefault="008C3C1E" w:rsidP="00414CC1">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lang w:eastAsia="es-CO"/>
        </w:rPr>
      </w:pPr>
      <w:r w:rsidRPr="00414CC1">
        <w:rPr>
          <w:rFonts w:ascii="Tahoma" w:eastAsia="Calibri" w:hAnsi="Tahoma" w:cs="Tahoma"/>
          <w:b/>
          <w:lang w:eastAsia="es-CO"/>
        </w:rPr>
        <w:t>Caso concreto</w:t>
      </w:r>
    </w:p>
    <w:p w14:paraId="40794418" w14:textId="77777777" w:rsidR="008C3C1E" w:rsidRPr="00414CC1" w:rsidRDefault="008C3C1E" w:rsidP="00414CC1">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0031467B" w14:textId="5895F07C" w:rsidR="00DF6BCE" w:rsidRPr="00414CC1" w:rsidRDefault="00DF6BCE" w:rsidP="00414CC1">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414CC1">
        <w:rPr>
          <w:rFonts w:ascii="Tahoma" w:eastAsia="Calibri" w:hAnsi="Tahoma" w:cs="Tahoma"/>
          <w:lang w:eastAsia="es-CO"/>
        </w:rPr>
        <w:t xml:space="preserve">Se pretende por esta vía ordinaria que se declare la </w:t>
      </w:r>
      <w:r w:rsidR="00E778E7" w:rsidRPr="00414CC1">
        <w:rPr>
          <w:rFonts w:ascii="Tahoma" w:eastAsia="Calibri" w:hAnsi="Tahoma" w:cs="Tahoma"/>
          <w:lang w:eastAsia="es-CO"/>
        </w:rPr>
        <w:t>ineficacia</w:t>
      </w:r>
      <w:r w:rsidRPr="00414CC1">
        <w:rPr>
          <w:rFonts w:ascii="Tahoma" w:eastAsia="Calibri" w:hAnsi="Tahoma" w:cs="Tahoma"/>
          <w:lang w:eastAsia="es-CO"/>
        </w:rPr>
        <w:t xml:space="preserve"> del traslado del </w:t>
      </w:r>
      <w:r w:rsidR="00E778E7" w:rsidRPr="00414CC1">
        <w:rPr>
          <w:rFonts w:ascii="Tahoma" w:eastAsia="Calibri" w:hAnsi="Tahoma" w:cs="Tahoma"/>
          <w:lang w:eastAsia="es-CO"/>
        </w:rPr>
        <w:lastRenderedPageBreak/>
        <w:t>RPM</w:t>
      </w:r>
      <w:r w:rsidRPr="00414CC1">
        <w:rPr>
          <w:rFonts w:ascii="Tahoma" w:eastAsia="Calibri" w:hAnsi="Tahoma" w:cs="Tahoma"/>
          <w:lang w:eastAsia="es-CO"/>
        </w:rPr>
        <w:t xml:space="preserve"> al </w:t>
      </w:r>
      <w:r w:rsidR="00E778E7" w:rsidRPr="00414CC1">
        <w:rPr>
          <w:rFonts w:ascii="Tahoma" w:eastAsia="Calibri" w:hAnsi="Tahoma" w:cs="Tahoma"/>
          <w:lang w:eastAsia="es-CO"/>
        </w:rPr>
        <w:t>RAIS</w:t>
      </w:r>
      <w:r w:rsidRPr="00414CC1">
        <w:rPr>
          <w:rFonts w:ascii="Tahoma" w:eastAsia="Calibri" w:hAnsi="Tahoma" w:cs="Tahoma"/>
          <w:lang w:eastAsia="es-CO"/>
        </w:rPr>
        <w:t xml:space="preserve">, que realizó </w:t>
      </w:r>
      <w:r w:rsidR="00AE0805" w:rsidRPr="00414CC1">
        <w:rPr>
          <w:rFonts w:ascii="Tahoma" w:eastAsia="Calibri" w:hAnsi="Tahoma" w:cs="Tahoma"/>
          <w:lang w:eastAsia="es-CO"/>
        </w:rPr>
        <w:t>e</w:t>
      </w:r>
      <w:r w:rsidR="00173B7E" w:rsidRPr="00414CC1">
        <w:rPr>
          <w:rFonts w:ascii="Tahoma" w:eastAsia="Calibri" w:hAnsi="Tahoma" w:cs="Tahoma"/>
          <w:lang w:eastAsia="es-CO"/>
        </w:rPr>
        <w:t xml:space="preserve">l </w:t>
      </w:r>
      <w:r w:rsidR="00A86B1C" w:rsidRPr="00414CC1">
        <w:rPr>
          <w:rFonts w:ascii="Tahoma" w:eastAsia="Calibri" w:hAnsi="Tahoma" w:cs="Tahoma"/>
          <w:lang w:eastAsia="es-CO"/>
        </w:rPr>
        <w:t xml:space="preserve">actor </w:t>
      </w:r>
      <w:r w:rsidRPr="00414CC1">
        <w:rPr>
          <w:rFonts w:ascii="Tahoma" w:eastAsia="Calibri" w:hAnsi="Tahoma" w:cs="Tahoma"/>
          <w:lang w:eastAsia="es-CO"/>
        </w:rPr>
        <w:t xml:space="preserve">a través de </w:t>
      </w:r>
      <w:r w:rsidR="00C55E6F" w:rsidRPr="00414CC1">
        <w:rPr>
          <w:rFonts w:ascii="Tahoma" w:eastAsia="Calibri" w:hAnsi="Tahoma" w:cs="Tahoma"/>
          <w:lang w:eastAsia="es-CO"/>
        </w:rPr>
        <w:t>Horizonte hoy Porvenir</w:t>
      </w:r>
      <w:r w:rsidR="00AE0805" w:rsidRPr="00414CC1">
        <w:rPr>
          <w:rFonts w:ascii="Tahoma" w:eastAsia="Calibri" w:hAnsi="Tahoma" w:cs="Tahoma"/>
          <w:lang w:eastAsia="es-CO"/>
        </w:rPr>
        <w:t xml:space="preserve"> </w:t>
      </w:r>
      <w:r w:rsidR="00796E91" w:rsidRPr="00414CC1">
        <w:rPr>
          <w:rFonts w:ascii="Tahoma" w:eastAsia="Calibri" w:hAnsi="Tahoma" w:cs="Tahoma"/>
          <w:lang w:eastAsia="es-CO"/>
        </w:rPr>
        <w:t>S.A</w:t>
      </w:r>
      <w:r w:rsidRPr="00414CC1">
        <w:rPr>
          <w:rFonts w:ascii="Tahoma" w:eastAsia="Calibri" w:hAnsi="Tahoma" w:cs="Tahoma"/>
          <w:lang w:eastAsia="es-CO"/>
        </w:rPr>
        <w:t xml:space="preserve"> mediante formulario de afiliación </w:t>
      </w:r>
      <w:r w:rsidR="004F5AD3" w:rsidRPr="00414CC1">
        <w:rPr>
          <w:rFonts w:ascii="Tahoma" w:eastAsia="Calibri" w:hAnsi="Tahoma" w:cs="Tahoma"/>
          <w:lang w:eastAsia="es-CO"/>
        </w:rPr>
        <w:t>d</w:t>
      </w:r>
      <w:r w:rsidRPr="00414CC1">
        <w:rPr>
          <w:rFonts w:ascii="Tahoma" w:eastAsia="Calibri" w:hAnsi="Tahoma" w:cs="Tahoma"/>
          <w:lang w:eastAsia="es-CO"/>
        </w:rPr>
        <w:t xml:space="preserve">el </w:t>
      </w:r>
      <w:r w:rsidR="00675FC4" w:rsidRPr="00414CC1">
        <w:rPr>
          <w:rFonts w:ascii="Tahoma" w:eastAsia="Calibri" w:hAnsi="Tahoma" w:cs="Tahoma"/>
          <w:lang w:eastAsia="es-CO"/>
        </w:rPr>
        <w:t>08 de marzo de 2002</w:t>
      </w:r>
      <w:r w:rsidRPr="00414CC1">
        <w:rPr>
          <w:rFonts w:ascii="Tahoma" w:eastAsia="Calibri" w:hAnsi="Tahoma" w:cs="Tahoma"/>
          <w:lang w:eastAsia="es-CO"/>
        </w:rPr>
        <w:t>, dada la omisión de información clara y precisa, que ha debido brindarle la AFP a</w:t>
      </w:r>
      <w:r w:rsidR="00AE0805" w:rsidRPr="00414CC1">
        <w:rPr>
          <w:rFonts w:ascii="Tahoma" w:eastAsia="Calibri" w:hAnsi="Tahoma" w:cs="Tahoma"/>
          <w:lang w:eastAsia="es-CO"/>
        </w:rPr>
        <w:t>l</w:t>
      </w:r>
      <w:r w:rsidRPr="00414CC1">
        <w:rPr>
          <w:rFonts w:ascii="Tahoma" w:eastAsia="Calibri" w:hAnsi="Tahoma" w:cs="Tahoma"/>
          <w:lang w:eastAsia="es-CO"/>
        </w:rPr>
        <w:t xml:space="preserve"> </w:t>
      </w:r>
      <w:r w:rsidR="00173B7E" w:rsidRPr="00414CC1">
        <w:rPr>
          <w:rFonts w:ascii="Tahoma" w:eastAsia="Calibri" w:hAnsi="Tahoma" w:cs="Tahoma"/>
          <w:lang w:eastAsia="es-CO"/>
        </w:rPr>
        <w:t>demandante,</w:t>
      </w:r>
      <w:r w:rsidRPr="00414CC1">
        <w:rPr>
          <w:rFonts w:ascii="Tahoma" w:eastAsia="Calibri" w:hAnsi="Tahoma" w:cs="Tahoma"/>
          <w:lang w:eastAsia="es-CO"/>
        </w:rPr>
        <w:t xml:space="preserve"> en orden a conocer las condiciones y consecuencias de migración de régimen.</w:t>
      </w:r>
    </w:p>
    <w:p w14:paraId="7D698358" w14:textId="77777777" w:rsidR="00DF6BCE" w:rsidRPr="00414CC1" w:rsidRDefault="00DF6BCE" w:rsidP="00414CC1">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53E0BCAF" w14:textId="580F0173" w:rsidR="00DF6BCE" w:rsidRPr="00414CC1" w:rsidRDefault="00DF6BCE" w:rsidP="00414CC1">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414CC1">
        <w:rPr>
          <w:rFonts w:ascii="Tahoma" w:eastAsia="Calibri" w:hAnsi="Tahoma" w:cs="Tahoma"/>
          <w:lang w:eastAsia="es-CO"/>
        </w:rPr>
        <w:t>De conformidad a la jurisprudencia de la Sala de Casación Laboral de la Corte Suprema de Justicia, en las citadas sentencias, según las voces del artículo 1604 del C.C., la prueba de la diligencia y cuidado incumbe al que ha debido emplearlo y, en este tipo de asuntos, corresponde a la administradora de pensiones, a cuyo cargo estaba el deber de suministrar la información suficiente y completa a</w:t>
      </w:r>
      <w:r w:rsidR="00C925EF" w:rsidRPr="00414CC1">
        <w:rPr>
          <w:rFonts w:ascii="Tahoma" w:eastAsia="Calibri" w:hAnsi="Tahoma" w:cs="Tahoma"/>
          <w:lang w:eastAsia="es-CO"/>
        </w:rPr>
        <w:t xml:space="preserve">l </w:t>
      </w:r>
      <w:r w:rsidRPr="00414CC1">
        <w:rPr>
          <w:rFonts w:ascii="Tahoma" w:eastAsia="Calibri" w:hAnsi="Tahoma" w:cs="Tahoma"/>
          <w:lang w:eastAsia="es-CO"/>
        </w:rPr>
        <w:t>afiliad</w:t>
      </w:r>
      <w:r w:rsidR="00C925EF" w:rsidRPr="00414CC1">
        <w:rPr>
          <w:rFonts w:ascii="Tahoma" w:eastAsia="Calibri" w:hAnsi="Tahoma" w:cs="Tahoma"/>
          <w:lang w:eastAsia="es-CO"/>
        </w:rPr>
        <w:t>o</w:t>
      </w:r>
      <w:r w:rsidRPr="00414CC1">
        <w:rPr>
          <w:rFonts w:ascii="Tahoma" w:eastAsia="Calibri" w:hAnsi="Tahoma" w:cs="Tahoma"/>
          <w:lang w:eastAsia="es-CO"/>
        </w:rPr>
        <w:t>, acerca del impacto del cambio de régimen pensional.</w:t>
      </w:r>
    </w:p>
    <w:p w14:paraId="0911CB9B" w14:textId="77777777" w:rsidR="00E778E7" w:rsidRPr="00414CC1" w:rsidRDefault="00E778E7" w:rsidP="00414CC1">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7DCB94AF" w14:textId="77777777" w:rsidR="00E778E7" w:rsidRPr="00414CC1" w:rsidRDefault="00E778E7" w:rsidP="00414CC1">
      <w:pPr>
        <w:widowControl w:val="0"/>
        <w:autoSpaceDE w:val="0"/>
        <w:autoSpaceDN w:val="0"/>
        <w:adjustRightInd w:val="0"/>
        <w:spacing w:before="0" w:beforeAutospacing="0" w:after="0" w:afterAutospacing="0" w:line="276" w:lineRule="auto"/>
        <w:ind w:firstLine="708"/>
        <w:rPr>
          <w:rFonts w:ascii="Tahoma" w:eastAsia="Calibri" w:hAnsi="Tahoma" w:cs="Tahoma"/>
          <w:b/>
          <w:bCs/>
          <w:lang w:eastAsia="es-CO"/>
        </w:rPr>
      </w:pPr>
      <w:r w:rsidRPr="00414CC1">
        <w:rPr>
          <w:rFonts w:ascii="Tahoma" w:eastAsia="Calibri" w:hAnsi="Tahoma" w:cs="Tahoma"/>
          <w:lang w:eastAsia="es-CO"/>
        </w:rPr>
        <w:t>Así pues, la negligencia en que eventualmente incurren tales administradoras de pensiones, al no suministrar la información adecuada y precisa al afiliado(a), recaerá en la eficacia del acto, dado que con la omisión o la defectuosa información se ha inducido en error al afectado(a). En curso del proceso la AFP demandada no cumplió con la carga que se le impone, esto es</w:t>
      </w:r>
      <w:r w:rsidRPr="00414CC1">
        <w:rPr>
          <w:rFonts w:ascii="Tahoma" w:eastAsia="Calibri" w:hAnsi="Tahoma" w:cs="Tahoma"/>
          <w:b/>
          <w:bCs/>
          <w:lang w:eastAsia="es-CO"/>
        </w:rPr>
        <w:t>, acreditar haber transmitido a la parte actora la información concreta y cierta, acerca de la implicación del traslado de régimen pensional.</w:t>
      </w:r>
    </w:p>
    <w:p w14:paraId="542CA524" w14:textId="77777777" w:rsidR="00E778E7" w:rsidRPr="00414CC1" w:rsidRDefault="00E778E7" w:rsidP="00414CC1">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4DD948C4" w14:textId="77777777" w:rsidR="00DF6BCE" w:rsidRPr="00414CC1" w:rsidRDefault="00DF6BCE" w:rsidP="00414CC1">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414CC1">
        <w:rPr>
          <w:rFonts w:ascii="Tahoma" w:eastAsia="Calibri" w:hAnsi="Tahoma" w:cs="Tahoma"/>
          <w:lang w:eastAsia="es-CO"/>
        </w:rPr>
        <w:t xml:space="preserve">En realidad, mínimo la AFP tendría que haber dado la siguiente información: </w:t>
      </w:r>
      <w:r w:rsidRPr="00414CC1">
        <w:rPr>
          <w:rFonts w:ascii="Tahoma" w:eastAsia="Calibri" w:hAnsi="Tahoma" w:cs="Tahoma"/>
          <w:i/>
          <w:lang w:eastAsia="es-CO"/>
        </w:rPr>
        <w:t xml:space="preserve">i) </w:t>
      </w:r>
      <w:r w:rsidRPr="00414CC1">
        <w:rPr>
          <w:rFonts w:ascii="Tahoma" w:eastAsia="Calibri" w:hAnsi="Tahoma" w:cs="Tahoma"/>
          <w:lang w:eastAsia="es-CO"/>
        </w:rPr>
        <w:t xml:space="preserve">Que, dependiendo del capital, puede pensionarse anticipadamente, esto es, antes de la edad mínima para la pensión de vejez. </w:t>
      </w:r>
      <w:r w:rsidRPr="00414CC1">
        <w:rPr>
          <w:rFonts w:ascii="Tahoma" w:eastAsia="Calibri" w:hAnsi="Tahoma" w:cs="Tahoma"/>
          <w:i/>
          <w:lang w:eastAsia="es-CO"/>
        </w:rPr>
        <w:t xml:space="preserve">ii) </w:t>
      </w:r>
      <w:r w:rsidRPr="00414CC1">
        <w:rPr>
          <w:rFonts w:ascii="Tahoma" w:eastAsia="Calibri" w:hAnsi="Tahoma" w:cs="Tahoma"/>
          <w:lang w:eastAsia="es-CO"/>
        </w:rPr>
        <w:t xml:space="preserve">La posibilidad para sus herederos de hacerse a la devolución de saldos, en caso de que no existieran beneficiaros para la pensión de sobrevivientes. </w:t>
      </w:r>
      <w:r w:rsidRPr="00414CC1">
        <w:rPr>
          <w:rFonts w:ascii="Tahoma" w:eastAsia="Calibri" w:hAnsi="Tahoma" w:cs="Tahoma"/>
          <w:i/>
          <w:lang w:eastAsia="es-CO"/>
        </w:rPr>
        <w:t xml:space="preserve">iii) </w:t>
      </w:r>
      <w:r w:rsidRPr="00414CC1">
        <w:rPr>
          <w:rFonts w:ascii="Tahoma" w:eastAsia="Calibri" w:hAnsi="Tahoma" w:cs="Tahoma"/>
          <w:lang w:eastAsia="es-CO"/>
        </w:rPr>
        <w:t xml:space="preserve">La devolución total del saldo en caso de no alcanzar a reunir el total de los requisitos legales para optar al beneficio pensional. </w:t>
      </w:r>
      <w:r w:rsidRPr="00414CC1">
        <w:rPr>
          <w:rFonts w:ascii="Tahoma" w:eastAsia="Calibri" w:hAnsi="Tahoma" w:cs="Tahoma"/>
          <w:i/>
          <w:lang w:eastAsia="es-CO"/>
        </w:rPr>
        <w:t xml:space="preserve">iv) </w:t>
      </w:r>
      <w:r w:rsidRPr="00414CC1">
        <w:rPr>
          <w:rFonts w:ascii="Tahoma" w:eastAsia="Calibri" w:hAnsi="Tahoma" w:cs="Tahoma"/>
          <w:lang w:eastAsia="es-CO"/>
        </w:rPr>
        <w:t xml:space="preserve">Tener la posibilidad de la pensión de vejez habiendo cotizado el mínimo de semanas requeridas a pesar de no reunir el capital suficiente para el financiamiento de la prestación económica. </w:t>
      </w:r>
      <w:r w:rsidRPr="00414CC1">
        <w:rPr>
          <w:rFonts w:ascii="Tahoma" w:eastAsia="Calibri" w:hAnsi="Tahoma" w:cs="Tahoma"/>
          <w:i/>
          <w:lang w:eastAsia="es-CO"/>
        </w:rPr>
        <w:t xml:space="preserve">v) </w:t>
      </w:r>
      <w:r w:rsidRPr="00414CC1">
        <w:rPr>
          <w:rFonts w:ascii="Tahoma" w:eastAsia="Calibri" w:hAnsi="Tahoma" w:cs="Tahoma"/>
          <w:lang w:eastAsia="es-CO"/>
        </w:rPr>
        <w:t xml:space="preserve">La posibilidad de que el reconocimiento de la pensión de vejez, una vez reunido los requisitos, se haga pronto. </w:t>
      </w:r>
      <w:r w:rsidRPr="00414CC1">
        <w:rPr>
          <w:rFonts w:ascii="Tahoma" w:eastAsia="Calibri" w:hAnsi="Tahoma" w:cs="Tahoma"/>
          <w:i/>
          <w:lang w:eastAsia="es-CO"/>
        </w:rPr>
        <w:t xml:space="preserve">vi) </w:t>
      </w:r>
      <w:r w:rsidRPr="00414CC1">
        <w:rPr>
          <w:rFonts w:ascii="Tahoma" w:eastAsia="Calibri" w:hAnsi="Tahoma" w:cs="Tahoma"/>
          <w:lang w:eastAsia="es-CO"/>
        </w:rPr>
        <w:t xml:space="preserve">La posibilidad de que sus aportes se conviertan en patrimonio sucesoral en un caso dado. </w:t>
      </w:r>
      <w:r w:rsidRPr="00414CC1">
        <w:rPr>
          <w:rFonts w:ascii="Tahoma" w:eastAsia="Calibri" w:hAnsi="Tahoma" w:cs="Tahoma"/>
          <w:i/>
          <w:lang w:eastAsia="es-CO"/>
        </w:rPr>
        <w:t xml:space="preserve">vii) </w:t>
      </w:r>
      <w:r w:rsidRPr="00414CC1">
        <w:rPr>
          <w:rFonts w:ascii="Tahoma" w:eastAsia="Calibri" w:hAnsi="Tahoma" w:cs="Tahoma"/>
          <w:lang w:eastAsia="es-CO"/>
        </w:rPr>
        <w:t xml:space="preserve">El hecho de que el afiliado es el único titular de la cuenta de ahorro individual en contraste con el fondo público cuyos ahorros hacen parte de un fondo común. </w:t>
      </w:r>
      <w:r w:rsidRPr="00414CC1">
        <w:rPr>
          <w:rFonts w:ascii="Tahoma" w:eastAsia="Calibri" w:hAnsi="Tahoma" w:cs="Tahoma"/>
          <w:i/>
          <w:lang w:eastAsia="es-CO"/>
        </w:rPr>
        <w:t xml:space="preserve">viii) </w:t>
      </w:r>
      <w:r w:rsidRPr="00414CC1">
        <w:rPr>
          <w:rFonts w:ascii="Tahoma" w:eastAsia="Calibri" w:hAnsi="Tahoma" w:cs="Tahoma"/>
          <w:lang w:eastAsia="es-CO"/>
        </w:rPr>
        <w:t xml:space="preserve">Los rendimientos financieros que le generen sus aportes abonados sobre el saldo de su cuenta de ahorro individual; y, </w:t>
      </w:r>
      <w:r w:rsidRPr="00414CC1">
        <w:rPr>
          <w:rFonts w:ascii="Tahoma" w:eastAsia="Calibri" w:hAnsi="Tahoma" w:cs="Tahoma"/>
          <w:i/>
          <w:lang w:eastAsia="es-CO"/>
        </w:rPr>
        <w:t xml:space="preserve">ix) </w:t>
      </w:r>
      <w:r w:rsidRPr="00414CC1">
        <w:rPr>
          <w:rFonts w:ascii="Tahoma" w:eastAsia="Calibri" w:hAnsi="Tahoma" w:cs="Tahoma"/>
          <w:lang w:eastAsia="es-CO"/>
        </w:rPr>
        <w:t xml:space="preserve">La posibilidad de seleccionar entre variadas modalidades de pensión, cuya ilustración resultaba vital, pues debió advertírsele en qué consistía cada una, así: La modalidad de renta vitalicia inmediata, la cual le quita la posibilidad de que los saldos de su cuenta de ahorro individual se conviertan en masa sucesoral, pero le garantiza una pensión de por vida. La modalidad de </w:t>
      </w:r>
      <w:r w:rsidRPr="00414CC1">
        <w:rPr>
          <w:rFonts w:ascii="Tahoma" w:eastAsia="Calibri" w:hAnsi="Tahoma" w:cs="Tahoma"/>
          <w:i/>
          <w:lang w:eastAsia="es-CO"/>
        </w:rPr>
        <w:t>retiro programado</w:t>
      </w:r>
      <w:r w:rsidRPr="00414CC1">
        <w:rPr>
          <w:rFonts w:ascii="Tahoma" w:eastAsia="Calibri" w:hAnsi="Tahoma" w:cs="Tahoma"/>
          <w:lang w:eastAsia="es-CO"/>
        </w:rPr>
        <w:t xml:space="preserve"> la cual tiene la desventaja de que una vez se termine el saldo en la cuenta de ahorro individual, si supera la expectativa de vida tenida en cuenta por la AFP, se queda sin pensión de vejez durante los años posteriores. La modalidad de retiro programado con renta vitalicia, que combina las dos anteriores.</w:t>
      </w:r>
    </w:p>
    <w:p w14:paraId="059071ED" w14:textId="77777777" w:rsidR="00E778E7" w:rsidRPr="00414CC1" w:rsidRDefault="00E778E7" w:rsidP="00414CC1">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46871FEA" w14:textId="30217CAA" w:rsidR="00E778E7" w:rsidRPr="00414CC1" w:rsidRDefault="00E778E7" w:rsidP="00414CC1">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414CC1">
        <w:rPr>
          <w:rFonts w:ascii="Tahoma" w:eastAsia="Calibri" w:hAnsi="Tahoma" w:cs="Tahoma"/>
          <w:lang w:eastAsia="es-CO"/>
        </w:rPr>
        <w:t xml:space="preserve">La AFP convocada al proceso </w:t>
      </w:r>
      <w:r w:rsidRPr="00414CC1">
        <w:rPr>
          <w:rFonts w:ascii="Tahoma" w:eastAsia="Calibri" w:hAnsi="Tahoma" w:cs="Tahoma"/>
          <w:color w:val="000000" w:themeColor="text1"/>
          <w:lang w:eastAsia="es-CO"/>
        </w:rPr>
        <w:t xml:space="preserve">afirma en su contestación de la demanda que brindó </w:t>
      </w:r>
      <w:r w:rsidRPr="00414CC1">
        <w:rPr>
          <w:rFonts w:ascii="Tahoma" w:eastAsia="Calibri" w:hAnsi="Tahoma" w:cs="Tahoma"/>
          <w:lang w:eastAsia="es-CO"/>
        </w:rPr>
        <w:t>a</w:t>
      </w:r>
      <w:r w:rsidR="00675FC4" w:rsidRPr="00414CC1">
        <w:rPr>
          <w:rFonts w:ascii="Tahoma" w:eastAsia="Calibri" w:hAnsi="Tahoma" w:cs="Tahoma"/>
          <w:lang w:eastAsia="es-CO"/>
        </w:rPr>
        <w:t xml:space="preserve"> </w:t>
      </w:r>
      <w:r w:rsidRPr="00414CC1">
        <w:rPr>
          <w:rFonts w:ascii="Tahoma" w:eastAsia="Calibri" w:hAnsi="Tahoma" w:cs="Tahoma"/>
          <w:lang w:eastAsia="es-CO"/>
        </w:rPr>
        <w:t>l</w:t>
      </w:r>
      <w:r w:rsidR="00675FC4" w:rsidRPr="00414CC1">
        <w:rPr>
          <w:rFonts w:ascii="Tahoma" w:eastAsia="Calibri" w:hAnsi="Tahoma" w:cs="Tahoma"/>
          <w:lang w:eastAsia="es-CO"/>
        </w:rPr>
        <w:t>a</w:t>
      </w:r>
      <w:r w:rsidRPr="00414CC1">
        <w:rPr>
          <w:rFonts w:ascii="Tahoma" w:eastAsia="Calibri" w:hAnsi="Tahoma" w:cs="Tahoma"/>
          <w:lang w:eastAsia="es-CO"/>
        </w:rPr>
        <w:t xml:space="preserve"> demandante </w:t>
      </w:r>
      <w:r w:rsidRPr="00414CC1">
        <w:rPr>
          <w:rFonts w:ascii="Tahoma" w:eastAsia="Calibri" w:hAnsi="Tahoma" w:cs="Tahoma"/>
          <w:color w:val="000000" w:themeColor="text1"/>
          <w:lang w:eastAsia="es-CO"/>
        </w:rPr>
        <w:t xml:space="preserve">la </w:t>
      </w:r>
      <w:r w:rsidRPr="00414CC1">
        <w:rPr>
          <w:rFonts w:ascii="Tahoma" w:eastAsia="Calibri" w:hAnsi="Tahoma" w:cs="Tahoma"/>
          <w:lang w:eastAsia="es-CO"/>
        </w:rPr>
        <w:t xml:space="preserve">información seria y veraz que para la época era </w:t>
      </w:r>
      <w:r w:rsidRPr="00414CC1">
        <w:rPr>
          <w:rFonts w:ascii="Tahoma" w:eastAsia="Calibri" w:hAnsi="Tahoma" w:cs="Tahoma"/>
          <w:lang w:eastAsia="es-CO"/>
        </w:rPr>
        <w:lastRenderedPageBreak/>
        <w:t xml:space="preserve">jurídicamente pertinente sin que se precise en qué consistió tal cosa. Ello sería suficiente para concluir, que efectivamente la información que recibió </w:t>
      </w:r>
      <w:r w:rsidR="00173B7E" w:rsidRPr="00414CC1">
        <w:rPr>
          <w:rFonts w:ascii="Tahoma" w:eastAsia="Calibri" w:hAnsi="Tahoma" w:cs="Tahoma"/>
          <w:lang w:eastAsia="es-CO"/>
        </w:rPr>
        <w:t>la actora</w:t>
      </w:r>
      <w:r w:rsidRPr="00414CC1">
        <w:rPr>
          <w:rFonts w:ascii="Tahoma" w:eastAsia="Calibri" w:hAnsi="Tahoma" w:cs="Tahoma"/>
          <w:lang w:eastAsia="es-CO"/>
        </w:rPr>
        <w:t xml:space="preserve"> fue insuficiente y sesgada al momento de hacer el traslado, pues como se vio en el precedente jurisprudencial, para la fecha de la creación de las AFP existían normas en el código civil y en el estatuto financiero que obligaban a los fondos a brindar una asesoría adecuada de cara a lo que consistían el nuevo régimen de ahorro individual con solidaridad por lo menos en los puntos que se acaban de esbozar. </w:t>
      </w:r>
    </w:p>
    <w:p w14:paraId="23C9781F" w14:textId="77777777" w:rsidR="00DF6BCE" w:rsidRPr="00414CC1" w:rsidRDefault="00DF6BCE" w:rsidP="00414CC1">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4A0CF97F" w14:textId="3884319D" w:rsidR="0051727C" w:rsidRPr="00414CC1" w:rsidRDefault="003A0949" w:rsidP="00414CC1">
      <w:pPr>
        <w:spacing w:before="0" w:beforeAutospacing="0" w:after="0" w:afterAutospacing="0" w:line="276" w:lineRule="auto"/>
        <w:ind w:firstLine="708"/>
        <w:rPr>
          <w:rFonts w:ascii="Tahoma" w:eastAsia="Tahoma" w:hAnsi="Tahoma" w:cs="Tahoma"/>
          <w:lang w:val="es"/>
        </w:rPr>
      </w:pPr>
      <w:r w:rsidRPr="00414CC1">
        <w:rPr>
          <w:rFonts w:ascii="Tahoma" w:eastAsia="Calibri" w:hAnsi="Tahoma" w:cs="Tahoma"/>
          <w:lang w:eastAsia="es-CO"/>
        </w:rPr>
        <w:t xml:space="preserve">Ahora, lo cierto es que la AFP, como </w:t>
      </w:r>
      <w:r w:rsidRPr="00414CC1">
        <w:rPr>
          <w:rFonts w:ascii="Tahoma" w:eastAsia="Calibri" w:hAnsi="Tahoma" w:cs="Tahoma"/>
          <w:lang w:val="es-ES" w:eastAsia="es-CO"/>
        </w:rPr>
        <w:t>prueba del cumplimiento del deber de información, llamó a declarar a su contraparte procesal, con el fin de demostrar el cumplimiento de su obligación, s</w:t>
      </w:r>
      <w:r w:rsidRPr="00414CC1">
        <w:rPr>
          <w:rFonts w:ascii="Tahoma" w:eastAsia="Calibri" w:hAnsi="Tahoma" w:cs="Tahoma"/>
          <w:lang w:eastAsia="es-CO"/>
        </w:rPr>
        <w:t xml:space="preserve">in embargo, una vez rendido el interrogatorio de parte, no se </w:t>
      </w:r>
      <w:r w:rsidRPr="00414CC1">
        <w:rPr>
          <w:rFonts w:ascii="Tahoma" w:eastAsia="Tahoma" w:hAnsi="Tahoma" w:cs="Tahoma"/>
          <w:color w:val="000000" w:themeColor="text1"/>
          <w:lang w:val="es-ES"/>
        </w:rPr>
        <w:t>logró desvirtuar la omisión alegada en la demanda, puesto que l</w:t>
      </w:r>
      <w:r w:rsidR="00675FC4" w:rsidRPr="00414CC1">
        <w:rPr>
          <w:rFonts w:ascii="Tahoma" w:eastAsia="Tahoma" w:hAnsi="Tahoma" w:cs="Tahoma"/>
          <w:color w:val="000000" w:themeColor="text1"/>
          <w:lang w:val="es-ES"/>
        </w:rPr>
        <w:t>a</w:t>
      </w:r>
      <w:r w:rsidRPr="00414CC1">
        <w:rPr>
          <w:rFonts w:ascii="Tahoma" w:eastAsia="Tahoma" w:hAnsi="Tahoma" w:cs="Tahoma"/>
          <w:color w:val="000000" w:themeColor="text1"/>
          <w:lang w:val="es-ES"/>
        </w:rPr>
        <w:t xml:space="preserve"> promoto</w:t>
      </w:r>
      <w:r w:rsidR="00AE0805" w:rsidRPr="00414CC1">
        <w:rPr>
          <w:rFonts w:ascii="Tahoma" w:eastAsia="Tahoma" w:hAnsi="Tahoma" w:cs="Tahoma"/>
          <w:color w:val="000000" w:themeColor="text1"/>
          <w:lang w:val="es-ES"/>
        </w:rPr>
        <w:t>r</w:t>
      </w:r>
      <w:r w:rsidR="00675FC4" w:rsidRPr="00414CC1">
        <w:rPr>
          <w:rFonts w:ascii="Tahoma" w:eastAsia="Tahoma" w:hAnsi="Tahoma" w:cs="Tahoma"/>
          <w:color w:val="000000" w:themeColor="text1"/>
          <w:lang w:val="es-ES"/>
        </w:rPr>
        <w:t>a</w:t>
      </w:r>
      <w:r w:rsidRPr="00414CC1">
        <w:rPr>
          <w:rFonts w:ascii="Tahoma" w:eastAsia="Tahoma" w:hAnsi="Tahoma" w:cs="Tahoma"/>
          <w:color w:val="000000" w:themeColor="text1"/>
          <w:lang w:val="es-ES"/>
        </w:rPr>
        <w:t xml:space="preserve"> del litigio </w:t>
      </w:r>
      <w:r w:rsidR="00AE0805" w:rsidRPr="00414CC1">
        <w:rPr>
          <w:rFonts w:ascii="Tahoma" w:eastAsia="Tahoma" w:hAnsi="Tahoma" w:cs="Tahoma"/>
          <w:lang w:val="es"/>
        </w:rPr>
        <w:t>únicamente explicó que</w:t>
      </w:r>
      <w:r w:rsidR="00675FC4" w:rsidRPr="00414CC1">
        <w:rPr>
          <w:rFonts w:ascii="Tahoma" w:eastAsia="Tahoma" w:hAnsi="Tahoma" w:cs="Tahoma"/>
          <w:lang w:val="es"/>
        </w:rPr>
        <w:t xml:space="preserve"> el traslado de régimen se dio porque al iniciar en un nuevo empleo en el año 2002, su jefe inmediato le indicó que debía afiliarse a un fondo privado para poder trabajar, razón por la cual se dejó orientar por su empleador y firmó el formulario en presencia de una asesora de Horizonte, </w:t>
      </w:r>
      <w:r w:rsidR="1F27A5D2" w:rsidRPr="00414CC1">
        <w:rPr>
          <w:rFonts w:ascii="Tahoma" w:eastAsia="Tahoma" w:hAnsi="Tahoma" w:cs="Tahoma"/>
          <w:lang w:val="es"/>
        </w:rPr>
        <w:t>ú</w:t>
      </w:r>
      <w:r w:rsidR="00675FC4" w:rsidRPr="00414CC1">
        <w:rPr>
          <w:rFonts w:ascii="Tahoma" w:eastAsia="Tahoma" w:hAnsi="Tahoma" w:cs="Tahoma"/>
          <w:lang w:val="es"/>
        </w:rPr>
        <w:t xml:space="preserve">ltima que </w:t>
      </w:r>
      <w:r w:rsidR="0051727C" w:rsidRPr="00414CC1">
        <w:rPr>
          <w:rFonts w:ascii="Tahoma" w:eastAsia="Tahoma" w:hAnsi="Tahoma" w:cs="Tahoma"/>
          <w:lang w:val="es"/>
        </w:rPr>
        <w:t>no le explicó nada</w:t>
      </w:r>
      <w:r w:rsidR="00675FC4" w:rsidRPr="00414CC1">
        <w:rPr>
          <w:rFonts w:ascii="Tahoma" w:eastAsia="Tahoma" w:hAnsi="Tahoma" w:cs="Tahoma"/>
          <w:lang w:val="es"/>
        </w:rPr>
        <w:t>.</w:t>
      </w:r>
    </w:p>
    <w:p w14:paraId="75756351" w14:textId="3370013A" w:rsidR="00675FC4" w:rsidRPr="00414CC1" w:rsidRDefault="00675FC4" w:rsidP="00414CC1">
      <w:pPr>
        <w:spacing w:before="0" w:beforeAutospacing="0" w:after="0" w:afterAutospacing="0" w:line="276" w:lineRule="auto"/>
        <w:ind w:firstLine="708"/>
        <w:rPr>
          <w:rFonts w:ascii="Tahoma" w:eastAsia="Tahoma" w:hAnsi="Tahoma" w:cs="Tahoma"/>
          <w:b/>
          <w:bCs/>
          <w:lang w:val="es"/>
        </w:rPr>
      </w:pPr>
    </w:p>
    <w:p w14:paraId="78631959" w14:textId="4745F26D" w:rsidR="00675FC4" w:rsidRPr="00414CC1" w:rsidRDefault="00675FC4" w:rsidP="00414CC1">
      <w:pPr>
        <w:spacing w:before="0" w:beforeAutospacing="0" w:after="0" w:afterAutospacing="0" w:line="276" w:lineRule="auto"/>
        <w:ind w:firstLine="708"/>
        <w:rPr>
          <w:rFonts w:ascii="Tahoma" w:eastAsia="Calibri" w:hAnsi="Tahoma" w:cs="Tahoma"/>
          <w:lang w:val="es-ES" w:eastAsia="es-CO"/>
        </w:rPr>
      </w:pPr>
      <w:r w:rsidRPr="00414CC1">
        <w:rPr>
          <w:rFonts w:ascii="Tahoma" w:eastAsia="Tahoma" w:hAnsi="Tahoma" w:cs="Tahoma"/>
          <w:color w:val="000000" w:themeColor="text1"/>
          <w:lang w:val="es-ES"/>
        </w:rPr>
        <w:t>Si bien añadió la actora que la decisión de retornar a Colpensiones se funda en el bajo monto de la mesada pensional que percibiría en el RAIS, esto de ningún modo desvía el origen de la litis, esto es, verificar si al momento del traslado efectivo la afiliada accedió a una información clara y precisa sobre las ventajas, desventajas y riesgos de cada régimen en los términos explicados.</w:t>
      </w:r>
    </w:p>
    <w:p w14:paraId="2E5A9040" w14:textId="77777777" w:rsidR="003A0949" w:rsidRPr="00414CC1" w:rsidRDefault="003A0949" w:rsidP="00414CC1">
      <w:pPr>
        <w:widowControl w:val="0"/>
        <w:autoSpaceDE w:val="0"/>
        <w:autoSpaceDN w:val="0"/>
        <w:adjustRightInd w:val="0"/>
        <w:spacing w:before="0" w:beforeAutospacing="0" w:after="0" w:afterAutospacing="0" w:line="276" w:lineRule="auto"/>
        <w:ind w:firstLine="708"/>
        <w:rPr>
          <w:rFonts w:ascii="Tahoma" w:eastAsia="Calibri" w:hAnsi="Tahoma" w:cs="Tahoma"/>
          <w:lang w:val="es-ES" w:eastAsia="es-CO"/>
        </w:rPr>
      </w:pPr>
    </w:p>
    <w:p w14:paraId="79D15DBC" w14:textId="6DB526BC" w:rsidR="003A0949" w:rsidRPr="00414CC1" w:rsidRDefault="00173B7E" w:rsidP="00414CC1">
      <w:pPr>
        <w:widowControl w:val="0"/>
        <w:autoSpaceDE w:val="0"/>
        <w:autoSpaceDN w:val="0"/>
        <w:adjustRightInd w:val="0"/>
        <w:spacing w:before="0" w:beforeAutospacing="0" w:after="0" w:afterAutospacing="0" w:line="276" w:lineRule="auto"/>
        <w:ind w:firstLine="708"/>
        <w:rPr>
          <w:rFonts w:ascii="Tahoma" w:eastAsia="Calibri" w:hAnsi="Tahoma" w:cs="Tahoma"/>
          <w:lang w:val="es-ES" w:eastAsia="es-CO"/>
        </w:rPr>
      </w:pPr>
      <w:r w:rsidRPr="00414CC1">
        <w:rPr>
          <w:rFonts w:ascii="Tahoma" w:eastAsia="Tahoma" w:hAnsi="Tahoma" w:cs="Tahoma"/>
          <w:color w:val="000000" w:themeColor="text1"/>
          <w:lang w:val="es-ES"/>
        </w:rPr>
        <w:t>Así, c</w:t>
      </w:r>
      <w:r w:rsidR="003A0949" w:rsidRPr="00414CC1">
        <w:rPr>
          <w:rFonts w:ascii="Tahoma" w:eastAsia="Tahoma" w:hAnsi="Tahoma" w:cs="Tahoma"/>
          <w:color w:val="000000" w:themeColor="text1"/>
          <w:lang w:val="es-ES"/>
        </w:rPr>
        <w:t>abe recalcar que l</w:t>
      </w:r>
      <w:r w:rsidR="00675FC4" w:rsidRPr="00414CC1">
        <w:rPr>
          <w:rFonts w:ascii="Tahoma" w:eastAsia="Tahoma" w:hAnsi="Tahoma" w:cs="Tahoma"/>
          <w:color w:val="000000" w:themeColor="text1"/>
          <w:lang w:val="es-ES"/>
        </w:rPr>
        <w:t>a</w:t>
      </w:r>
      <w:r w:rsidR="003A0949" w:rsidRPr="00414CC1">
        <w:rPr>
          <w:rFonts w:ascii="Tahoma" w:eastAsia="Tahoma" w:hAnsi="Tahoma" w:cs="Tahoma"/>
          <w:color w:val="000000" w:themeColor="text1"/>
          <w:lang w:val="es-ES"/>
        </w:rPr>
        <w:t xml:space="preserve"> demandante jamás confesó que se le hubiere brindado una explicación pormenorizada e individualizada de los pros y contras de su determinación de cambiar de régimen o de las características entre uno u otro régimen, y, la documental aportada no da cuenta de las circunstancias que rodearon el momento del traslado o de la información recibida por </w:t>
      </w:r>
      <w:r w:rsidR="00AE0805" w:rsidRPr="00414CC1">
        <w:rPr>
          <w:rFonts w:ascii="Tahoma" w:eastAsia="Tahoma" w:hAnsi="Tahoma" w:cs="Tahoma"/>
          <w:color w:val="000000" w:themeColor="text1"/>
          <w:lang w:val="es-ES"/>
        </w:rPr>
        <w:t>l</w:t>
      </w:r>
      <w:r w:rsidR="00675FC4" w:rsidRPr="00414CC1">
        <w:rPr>
          <w:rFonts w:ascii="Tahoma" w:eastAsia="Tahoma" w:hAnsi="Tahoma" w:cs="Tahoma"/>
          <w:color w:val="000000" w:themeColor="text1"/>
          <w:lang w:val="es-ES"/>
        </w:rPr>
        <w:t>a</w:t>
      </w:r>
      <w:r w:rsidR="003A0949" w:rsidRPr="00414CC1">
        <w:rPr>
          <w:rFonts w:ascii="Tahoma" w:eastAsia="Tahoma" w:hAnsi="Tahoma" w:cs="Tahoma"/>
          <w:color w:val="000000" w:themeColor="text1"/>
          <w:lang w:val="es-ES"/>
        </w:rPr>
        <w:t xml:space="preserve"> actor</w:t>
      </w:r>
      <w:r w:rsidR="00675FC4" w:rsidRPr="00414CC1">
        <w:rPr>
          <w:rFonts w:ascii="Tahoma" w:eastAsia="Tahoma" w:hAnsi="Tahoma" w:cs="Tahoma"/>
          <w:color w:val="000000" w:themeColor="text1"/>
          <w:lang w:val="es-ES"/>
        </w:rPr>
        <w:t>a</w:t>
      </w:r>
      <w:r w:rsidR="00AE0805" w:rsidRPr="00414CC1">
        <w:rPr>
          <w:rFonts w:ascii="Tahoma" w:eastAsia="Tahoma" w:hAnsi="Tahoma" w:cs="Tahoma"/>
          <w:color w:val="000000" w:themeColor="text1"/>
          <w:lang w:val="es-ES"/>
        </w:rPr>
        <w:t>, puesto que el formulario de afiliación resulta insuficiente para ese efecto</w:t>
      </w:r>
      <w:r w:rsidR="003A0949" w:rsidRPr="00414CC1">
        <w:rPr>
          <w:rFonts w:ascii="Tahoma" w:eastAsia="Tahoma" w:hAnsi="Tahoma" w:cs="Tahoma"/>
          <w:color w:val="000000" w:themeColor="text1"/>
          <w:lang w:val="es-ES"/>
        </w:rPr>
        <w:t>.</w:t>
      </w:r>
    </w:p>
    <w:p w14:paraId="2A07E85E" w14:textId="0C6A1F57" w:rsidR="00130858" w:rsidRPr="00414CC1" w:rsidRDefault="00130858" w:rsidP="00414CC1">
      <w:pPr>
        <w:widowControl w:val="0"/>
        <w:autoSpaceDE w:val="0"/>
        <w:autoSpaceDN w:val="0"/>
        <w:adjustRightInd w:val="0"/>
        <w:spacing w:before="0" w:beforeAutospacing="0" w:after="0" w:afterAutospacing="0" w:line="276" w:lineRule="auto"/>
        <w:ind w:firstLine="708"/>
        <w:rPr>
          <w:rFonts w:ascii="Tahoma" w:eastAsia="Calibri" w:hAnsi="Tahoma" w:cs="Tahoma"/>
          <w:lang w:val="es-ES" w:eastAsia="es-CO"/>
        </w:rPr>
      </w:pPr>
    </w:p>
    <w:p w14:paraId="62187AC1" w14:textId="48A380BF" w:rsidR="00B93249" w:rsidRPr="00414CC1" w:rsidRDefault="006D433A" w:rsidP="00414CC1">
      <w:pPr>
        <w:widowControl w:val="0"/>
        <w:autoSpaceDE w:val="0"/>
        <w:autoSpaceDN w:val="0"/>
        <w:adjustRightInd w:val="0"/>
        <w:spacing w:before="0" w:beforeAutospacing="0" w:after="0" w:afterAutospacing="0" w:line="276" w:lineRule="auto"/>
        <w:rPr>
          <w:rFonts w:ascii="Tahoma" w:eastAsia="Times New Roman" w:hAnsi="Tahoma" w:cs="Tahoma"/>
          <w:lang w:eastAsia="es-ES"/>
        </w:rPr>
      </w:pPr>
      <w:r w:rsidRPr="00414CC1">
        <w:rPr>
          <w:rFonts w:ascii="Tahoma" w:eastAsia="Calibri" w:hAnsi="Tahoma" w:cs="Tahoma"/>
          <w:lang w:eastAsia="es-CO"/>
        </w:rPr>
        <w:t xml:space="preserve">En el mismo orden, es improcedente acudir a la prohibición legal establecida </w:t>
      </w:r>
      <w:r w:rsidR="00F84965" w:rsidRPr="00414CC1">
        <w:rPr>
          <w:rFonts w:ascii="Tahoma" w:eastAsia="Calibri" w:hAnsi="Tahoma" w:cs="Tahoma"/>
          <w:lang w:eastAsia="es-CO"/>
        </w:rPr>
        <w:t>en el literal e) del artículo 13 de la Ley 100 de 1993, modificado por el artículo 2º de la Ley 797 de 2003</w:t>
      </w:r>
      <w:r w:rsidR="005A2C4E" w:rsidRPr="00414CC1">
        <w:rPr>
          <w:rFonts w:ascii="Tahoma" w:eastAsia="Calibri" w:hAnsi="Tahoma" w:cs="Tahoma"/>
          <w:lang w:eastAsia="es-CO"/>
        </w:rPr>
        <w:t>, ya que lo discutido</w:t>
      </w:r>
      <w:r w:rsidR="008A4F5B" w:rsidRPr="00414CC1">
        <w:rPr>
          <w:rFonts w:ascii="Tahoma" w:eastAsia="Calibri" w:hAnsi="Tahoma" w:cs="Tahoma"/>
          <w:lang w:eastAsia="es-CO"/>
        </w:rPr>
        <w:t xml:space="preserve"> en el caso objeto de estudio</w:t>
      </w:r>
      <w:r w:rsidR="005A2C4E" w:rsidRPr="00414CC1">
        <w:rPr>
          <w:rFonts w:ascii="Tahoma" w:eastAsia="Calibri" w:hAnsi="Tahoma" w:cs="Tahoma"/>
          <w:lang w:eastAsia="es-CO"/>
        </w:rPr>
        <w:t xml:space="preserve"> </w:t>
      </w:r>
      <w:r w:rsidR="00161F77" w:rsidRPr="00414CC1">
        <w:rPr>
          <w:rFonts w:ascii="Tahoma" w:eastAsia="Calibri" w:hAnsi="Tahoma" w:cs="Tahoma"/>
          <w:lang w:eastAsia="es-CO"/>
        </w:rPr>
        <w:t>no es el traslado voluntario con la conservación o no del régimen de transición, sino el efecto de la ineficacia del cambio de régimen pensional a falta de información detallada y completa al momento del traslado de régimen</w:t>
      </w:r>
      <w:r w:rsidR="008A4F5B" w:rsidRPr="00414CC1">
        <w:rPr>
          <w:rFonts w:ascii="Tahoma" w:eastAsia="Calibri" w:hAnsi="Tahoma" w:cs="Tahoma"/>
          <w:lang w:eastAsia="es-CO"/>
        </w:rPr>
        <w:t xml:space="preserve">, </w:t>
      </w:r>
      <w:r w:rsidR="00161F77" w:rsidRPr="00414CC1">
        <w:rPr>
          <w:rFonts w:ascii="Tahoma" w:eastAsia="Calibri" w:hAnsi="Tahoma" w:cs="Tahoma"/>
          <w:lang w:eastAsia="es-CO"/>
        </w:rPr>
        <w:t xml:space="preserve">cuyo efecto no es otro que retrotraer las </w:t>
      </w:r>
      <w:r w:rsidR="00161F77" w:rsidRPr="00414CC1">
        <w:rPr>
          <w:rFonts w:ascii="Tahoma" w:eastAsia="Times New Roman" w:hAnsi="Tahoma" w:cs="Tahoma"/>
          <w:lang w:eastAsia="es-ES"/>
        </w:rPr>
        <w:t xml:space="preserve">cosas </w:t>
      </w:r>
      <w:r w:rsidR="00B93249" w:rsidRPr="00414CC1">
        <w:rPr>
          <w:rFonts w:ascii="Tahoma" w:eastAsia="Times New Roman" w:hAnsi="Tahoma" w:cs="Tahoma"/>
          <w:lang w:eastAsia="es-ES"/>
        </w:rPr>
        <w:t>al estado en que se encontraban, es decir, como si ello no hubiera ocurrido y, en este caso, dicha declaratoria de ineficacia de cambio de régimen pensional, conlleva al regreso automático del demandante al régimen solidario de prima media con prestación definida hoy administrado por Colpensiones, del cual ya hacía parte</w:t>
      </w:r>
      <w:r w:rsidR="00675FC4" w:rsidRPr="00414CC1">
        <w:rPr>
          <w:rFonts w:ascii="Tahoma" w:eastAsia="Times New Roman" w:hAnsi="Tahoma" w:cs="Tahoma"/>
          <w:lang w:eastAsia="es-ES"/>
        </w:rPr>
        <w:t xml:space="preserve"> al haberse vinculado como servidora pública cuando regía el régimen de reparto simple</w:t>
      </w:r>
      <w:r w:rsidR="00B93249" w:rsidRPr="00414CC1">
        <w:rPr>
          <w:rFonts w:ascii="Tahoma" w:eastAsia="Times New Roman" w:hAnsi="Tahoma" w:cs="Tahoma"/>
          <w:lang w:eastAsia="es-ES"/>
        </w:rPr>
        <w:t xml:space="preserve">. </w:t>
      </w:r>
    </w:p>
    <w:p w14:paraId="438EEE96" w14:textId="5D63CA1B" w:rsidR="004C19F5" w:rsidRPr="00414CC1" w:rsidRDefault="004C19F5" w:rsidP="00414CC1">
      <w:pPr>
        <w:widowControl w:val="0"/>
        <w:autoSpaceDE w:val="0"/>
        <w:autoSpaceDN w:val="0"/>
        <w:adjustRightInd w:val="0"/>
        <w:spacing w:before="0" w:beforeAutospacing="0" w:after="0" w:afterAutospacing="0" w:line="276" w:lineRule="auto"/>
        <w:rPr>
          <w:rFonts w:ascii="Tahoma" w:eastAsia="Times New Roman" w:hAnsi="Tahoma" w:cs="Tahoma"/>
          <w:lang w:eastAsia="es-ES"/>
        </w:rPr>
      </w:pPr>
    </w:p>
    <w:p w14:paraId="2926ECF1" w14:textId="78DC86CD" w:rsidR="004C19F5" w:rsidRPr="00414CC1" w:rsidRDefault="004C19F5" w:rsidP="00414CC1">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414CC1">
        <w:rPr>
          <w:rFonts w:ascii="Tahoma" w:eastAsia="Times New Roman" w:hAnsi="Tahoma" w:cs="Tahoma"/>
          <w:color w:val="000000" w:themeColor="text1"/>
          <w:lang w:val="es-ES" w:eastAsia="es-ES"/>
        </w:rPr>
        <w:t>Por otra parte, frente a los actos de relacionamiento, invocados por la apoderad</w:t>
      </w:r>
      <w:r w:rsidR="00D46A38" w:rsidRPr="00414CC1">
        <w:rPr>
          <w:rFonts w:ascii="Tahoma" w:eastAsia="Times New Roman" w:hAnsi="Tahoma" w:cs="Tahoma"/>
          <w:color w:val="000000" w:themeColor="text1"/>
          <w:lang w:val="es-ES" w:eastAsia="es-ES"/>
        </w:rPr>
        <w:t>a</w:t>
      </w:r>
      <w:r w:rsidRPr="00414CC1">
        <w:rPr>
          <w:rFonts w:ascii="Tahoma" w:eastAsia="Times New Roman" w:hAnsi="Tahoma" w:cs="Tahoma"/>
          <w:color w:val="000000" w:themeColor="text1"/>
          <w:lang w:val="es-ES" w:eastAsia="es-ES"/>
        </w:rPr>
        <w:t xml:space="preserve"> judicial de Porvenir S.A para convalidar el traslado, específicamente por el movimiento de la demandante dentro del RAIS, basta remitirse a la sentencia </w:t>
      </w:r>
      <w:r w:rsidRPr="00414CC1">
        <w:rPr>
          <w:rFonts w:ascii="Tahoma" w:eastAsia="Times New Roman" w:hAnsi="Tahoma" w:cs="Tahoma"/>
          <w:color w:val="000000" w:themeColor="text1"/>
          <w:lang w:eastAsia="es-ES"/>
        </w:rPr>
        <w:t xml:space="preserve">CSJ SL </w:t>
      </w:r>
      <w:r w:rsidRPr="00414CC1">
        <w:rPr>
          <w:rFonts w:ascii="Tahoma" w:eastAsia="Times New Roman" w:hAnsi="Tahoma" w:cs="Tahoma"/>
          <w:color w:val="000000" w:themeColor="text1"/>
          <w:lang w:eastAsia="es-ES"/>
        </w:rPr>
        <w:lastRenderedPageBreak/>
        <w:t>5686 de 2021 que corrigió la tesis sentada en dichas providencias por ser contrarias al precedente vigente y en rigor de la Sala de Casación Laboral, expuesto entre otras, en las sentencias CSJ SL, 9 sep. 2008, CSJ SL1949-2021, CSJ SL1055 de 2022 CSJ SL1926-2022 y CSJ SL 5686 de 2021, en tanto como explicó la Corte,</w:t>
      </w:r>
      <w:r w:rsidRPr="00414CC1">
        <w:rPr>
          <w:rFonts w:ascii="Tahoma" w:eastAsia="Times New Roman" w:hAnsi="Tahoma" w:cs="Tahoma"/>
          <w:i/>
          <w:iCs/>
          <w:color w:val="000000" w:themeColor="text1"/>
          <w:lang w:eastAsia="es-ES"/>
        </w:rPr>
        <w:t xml:space="preserve"> </w:t>
      </w:r>
      <w:r w:rsidRPr="00414CC1">
        <w:rPr>
          <w:rFonts w:ascii="Tahoma" w:eastAsia="Times New Roman" w:hAnsi="Tahoma" w:cs="Tahoma"/>
          <w:color w:val="000000" w:themeColor="text1"/>
          <w:lang w:eastAsia="es-ES"/>
        </w:rPr>
        <w:t>trasladarse entre entes pensionales del RAIS, no reemplaza o suple la omisión de la entidad administradora en el cumplimiento de su deber de información a los afiliados, ratifica la decisión del traslado o supone una afiliación tácita del mismo</w:t>
      </w:r>
    </w:p>
    <w:p w14:paraId="1849BB75" w14:textId="77777777" w:rsidR="003A0949" w:rsidRPr="00414CC1" w:rsidRDefault="003A0949" w:rsidP="00414CC1">
      <w:pPr>
        <w:widowControl w:val="0"/>
        <w:autoSpaceDE w:val="0"/>
        <w:autoSpaceDN w:val="0"/>
        <w:adjustRightInd w:val="0"/>
        <w:spacing w:before="0" w:beforeAutospacing="0" w:after="0" w:afterAutospacing="0" w:line="276" w:lineRule="auto"/>
        <w:rPr>
          <w:rFonts w:ascii="Tahoma" w:eastAsia="Calibri" w:hAnsi="Tahoma" w:cs="Tahoma"/>
          <w:lang w:eastAsia="es-CO"/>
        </w:rPr>
      </w:pPr>
    </w:p>
    <w:p w14:paraId="1F7F12F8" w14:textId="69077415" w:rsidR="004C19F5" w:rsidRPr="00414CC1" w:rsidRDefault="004C19F5" w:rsidP="00414CC1">
      <w:pPr>
        <w:widowControl w:val="0"/>
        <w:autoSpaceDE w:val="0"/>
        <w:autoSpaceDN w:val="0"/>
        <w:adjustRightInd w:val="0"/>
        <w:spacing w:before="0" w:beforeAutospacing="0" w:after="0" w:afterAutospacing="0" w:line="276" w:lineRule="auto"/>
        <w:ind w:firstLine="708"/>
        <w:rPr>
          <w:rFonts w:ascii="Tahoma" w:eastAsia="Tahoma" w:hAnsi="Tahoma" w:cs="Tahoma"/>
          <w:color w:val="000000" w:themeColor="text1"/>
        </w:rPr>
      </w:pPr>
      <w:r w:rsidRPr="00414CC1">
        <w:rPr>
          <w:rFonts w:ascii="Tahoma" w:eastAsia="Tahoma" w:hAnsi="Tahoma" w:cs="Tahoma"/>
          <w:color w:val="000000" w:themeColor="text1"/>
        </w:rPr>
        <w:t>De otro lado, en respuesta a la argumentación de Colpensiones en su alzada, en la que alegó que la nulidad del traslado se saneó con el paso del tiempo y ante la pasividad de la actora, es menester recordarle a la administradora pensional que la Sala de Casación Laboral de la Corte Suprema de Justicia en innumerables sentencias, entre estas la SL 4297 de 2022 ha indicado que cuando se invoca la transgresión de la información al momento del traslado de régimen pensional, la figura jurídica a analizar debe ser la ineficacia y no las nulidades reguladas en el Código Civil, pues así lo establece el art. 271 de la ley 100 de 1993 y, de acuerdo a ello, únicamente al no encontrase una norma explícita que regule los efectos de la ineficacia de un acto jurídico, es que se da aplicación al precepto relativo a las consecuencias de la nulidad, es decir, al artículo 1746 del Código Civil, más no por ello, pueda entenderse que la ineficacia puede ser saneada como ocurre con las nulidades relativas.</w:t>
      </w:r>
    </w:p>
    <w:p w14:paraId="5DFD281D" w14:textId="77777777" w:rsidR="004C19F5" w:rsidRPr="00414CC1" w:rsidRDefault="004C19F5" w:rsidP="00414CC1">
      <w:pPr>
        <w:widowControl w:val="0"/>
        <w:autoSpaceDE w:val="0"/>
        <w:autoSpaceDN w:val="0"/>
        <w:adjustRightInd w:val="0"/>
        <w:spacing w:before="0" w:beforeAutospacing="0" w:after="0" w:afterAutospacing="0" w:line="276" w:lineRule="auto"/>
        <w:ind w:firstLine="708"/>
        <w:rPr>
          <w:rFonts w:ascii="Tahoma" w:eastAsia="Tahoma" w:hAnsi="Tahoma" w:cs="Tahoma"/>
          <w:color w:val="000000" w:themeColor="text1"/>
        </w:rPr>
      </w:pPr>
    </w:p>
    <w:p w14:paraId="6703935F" w14:textId="281A7C40" w:rsidR="003A0949" w:rsidRPr="00414CC1" w:rsidRDefault="003A0949" w:rsidP="00414CC1">
      <w:pPr>
        <w:spacing w:before="0" w:beforeAutospacing="0" w:after="0" w:afterAutospacing="0" w:line="276" w:lineRule="auto"/>
        <w:ind w:firstLine="705"/>
        <w:rPr>
          <w:rFonts w:ascii="Tahoma" w:hAnsi="Tahoma" w:cs="Tahoma"/>
        </w:rPr>
      </w:pPr>
      <w:r w:rsidRPr="00414CC1">
        <w:rPr>
          <w:rStyle w:val="normaltextrun"/>
          <w:rFonts w:ascii="Tahoma" w:hAnsi="Tahoma" w:cs="Tahoma"/>
        </w:rPr>
        <w:t xml:space="preserve">En cuanto a las condenas impuestas a </w:t>
      </w:r>
      <w:r w:rsidR="00D46A38" w:rsidRPr="00414CC1">
        <w:rPr>
          <w:rStyle w:val="normaltextrun"/>
          <w:rFonts w:ascii="Tahoma" w:hAnsi="Tahoma" w:cs="Tahoma"/>
        </w:rPr>
        <w:t>Porvenir</w:t>
      </w:r>
      <w:r w:rsidRPr="00414CC1">
        <w:rPr>
          <w:rStyle w:val="normaltextrun"/>
          <w:rFonts w:ascii="Tahoma" w:hAnsi="Tahoma" w:cs="Tahoma"/>
        </w:rPr>
        <w:t xml:space="preserve"> S.A., </w:t>
      </w:r>
      <w:r w:rsidR="739AC6D3" w:rsidRPr="00414CC1">
        <w:rPr>
          <w:rFonts w:ascii="Tahoma" w:eastAsia="Tahoma" w:hAnsi="Tahoma" w:cs="Tahoma"/>
        </w:rPr>
        <w:t xml:space="preserve">se  dirá que en estricto acatamiento de las consecuencias previstas por la Corte Suprema de Justicia, entre otras, en las sentencias CSJ </w:t>
      </w:r>
      <w:r w:rsidR="739AC6D3" w:rsidRPr="00414CC1">
        <w:rPr>
          <w:rFonts w:ascii="Tahoma" w:eastAsia="Tahoma" w:hAnsi="Tahoma" w:cs="Tahoma"/>
          <w:lang w:val="es"/>
        </w:rPr>
        <w:t>SL1084-2023, CSJ SL 932-2023, CSJ SL 4297-2022, CSJ SL3465-2022, CSJ SL2229-2022 y CSJ SL3188-2022,</w:t>
      </w:r>
      <w:r w:rsidR="739AC6D3" w:rsidRPr="00414CC1">
        <w:rPr>
          <w:rFonts w:ascii="Tahoma" w:eastAsia="Tahoma" w:hAnsi="Tahoma" w:cs="Tahoma"/>
          <w:b/>
          <w:bCs/>
          <w:lang w:val="es"/>
        </w:rPr>
        <w:t xml:space="preserve"> </w:t>
      </w:r>
      <w:r w:rsidR="739AC6D3" w:rsidRPr="00414CC1">
        <w:rPr>
          <w:rFonts w:ascii="Tahoma" w:eastAsia="Tahoma" w:hAnsi="Tahoma" w:cs="Tahoma"/>
        </w:rPr>
        <w:t xml:space="preserve">previamente citadas, es su deber devolver a Colpensiones </w:t>
      </w:r>
      <w:r w:rsidR="739AC6D3" w:rsidRPr="00414CC1">
        <w:rPr>
          <w:rFonts w:ascii="Tahoma" w:eastAsia="Tahoma" w:hAnsi="Tahoma" w:cs="Tahoma"/>
          <w:lang w:val="es"/>
        </w:rPr>
        <w:t xml:space="preserve">el porcentaje correspondiente a los gastos de administración, comisiones y primas de seguros previsionales de invalidez y sobrevivencia, y el porcentaje destinado al fondo de garantía de pensión mínima, debidamente indexados y con cargo a sus propios recursos, pues estos conceptos, desde el nacimiento del acto ineficaz, debieron ingresar al Régimen de Prima Media con Prestación Definida administrado por Colpensiones, </w:t>
      </w:r>
      <w:r w:rsidR="739AC6D3" w:rsidRPr="00414CC1">
        <w:rPr>
          <w:rFonts w:ascii="Tahoma" w:eastAsia="Tahoma" w:hAnsi="Tahoma" w:cs="Tahoma"/>
        </w:rPr>
        <w:t>por lo que se confirmará la sentencia apelada frente a tal decisión.</w:t>
      </w:r>
    </w:p>
    <w:p w14:paraId="3B60DBDC" w14:textId="7170AA51" w:rsidR="4EE5ECFB" w:rsidRPr="00414CC1" w:rsidRDefault="4EE5ECFB" w:rsidP="00414CC1">
      <w:pPr>
        <w:pStyle w:val="paragraph"/>
        <w:spacing w:before="0" w:beforeAutospacing="0" w:after="0" w:afterAutospacing="0" w:line="276" w:lineRule="auto"/>
        <w:ind w:firstLine="705"/>
        <w:jc w:val="both"/>
        <w:rPr>
          <w:rStyle w:val="normaltextrun"/>
          <w:rFonts w:ascii="Tahoma" w:hAnsi="Tahoma" w:cs="Tahoma"/>
        </w:rPr>
      </w:pPr>
    </w:p>
    <w:p w14:paraId="068EC07D" w14:textId="454BD8CC" w:rsidR="739AC6D3" w:rsidRPr="00414CC1" w:rsidRDefault="739AC6D3" w:rsidP="00414CC1">
      <w:pPr>
        <w:spacing w:before="0" w:beforeAutospacing="0" w:after="0" w:afterAutospacing="0" w:line="276" w:lineRule="auto"/>
        <w:ind w:firstLine="708"/>
        <w:rPr>
          <w:rFonts w:ascii="Tahoma" w:eastAsia="Tahoma" w:hAnsi="Tahoma" w:cs="Tahoma"/>
          <w:lang w:val="es"/>
        </w:rPr>
      </w:pPr>
      <w:r w:rsidRPr="00414CC1">
        <w:rPr>
          <w:rFonts w:ascii="Tahoma" w:eastAsia="Tahoma" w:hAnsi="Tahoma" w:cs="Tahoma"/>
        </w:rPr>
        <w:t xml:space="preserve">Al margen de lo anterior, bajo las mismas premisas se adicionará la sentencia en el sentido de precisar que al momento del cumplimiento de esa orden prevista </w:t>
      </w:r>
      <w:r w:rsidRPr="00414CC1">
        <w:rPr>
          <w:rFonts w:ascii="Tahoma" w:eastAsia="Tahoma" w:hAnsi="Tahoma" w:cs="Tahoma"/>
          <w:lang w:val="es"/>
        </w:rPr>
        <w:t xml:space="preserve">en el numeral tercero </w:t>
      </w:r>
      <w:r w:rsidRPr="00414CC1">
        <w:rPr>
          <w:rFonts w:ascii="Tahoma" w:eastAsia="Tahoma" w:hAnsi="Tahoma" w:cs="Tahoma"/>
        </w:rPr>
        <w:t>“</w:t>
      </w:r>
      <w:r w:rsidRPr="00944E28">
        <w:rPr>
          <w:rFonts w:ascii="Tahoma" w:eastAsia="Tahoma" w:hAnsi="Tahoma" w:cs="Tahoma"/>
          <w:i/>
          <w:iCs/>
          <w:sz w:val="22"/>
          <w:lang w:val="es"/>
        </w:rPr>
        <w:t>tales valores deberán aparecer discriminados con sus respectivos montos, junto con el detalle pormenorizado de los ciclos, IBC, aportes y demás información relevante que los justifiquen</w:t>
      </w:r>
      <w:r w:rsidRPr="00414CC1">
        <w:rPr>
          <w:rFonts w:ascii="Tahoma" w:eastAsia="Tahoma" w:hAnsi="Tahoma" w:cs="Tahoma"/>
          <w:i/>
          <w:iCs/>
          <w:lang w:val="es"/>
        </w:rPr>
        <w:t>”.</w:t>
      </w:r>
    </w:p>
    <w:p w14:paraId="57E39AD6" w14:textId="77777777" w:rsidR="003A0949" w:rsidRPr="00414CC1" w:rsidRDefault="003A0949" w:rsidP="00414CC1">
      <w:pPr>
        <w:pStyle w:val="paragraph"/>
        <w:spacing w:before="0" w:beforeAutospacing="0" w:after="0" w:afterAutospacing="0" w:line="276" w:lineRule="auto"/>
        <w:ind w:firstLine="705"/>
        <w:jc w:val="both"/>
        <w:textAlignment w:val="baseline"/>
        <w:rPr>
          <w:rFonts w:ascii="Tahoma" w:hAnsi="Tahoma" w:cs="Tahoma"/>
        </w:rPr>
      </w:pPr>
      <w:r w:rsidRPr="00414CC1">
        <w:rPr>
          <w:rStyle w:val="eop"/>
          <w:rFonts w:ascii="Tahoma" w:hAnsi="Tahoma" w:cs="Tahoma"/>
        </w:rPr>
        <w:t> </w:t>
      </w:r>
    </w:p>
    <w:p w14:paraId="51B7F376" w14:textId="77777777" w:rsidR="003A0949" w:rsidRPr="00414CC1" w:rsidRDefault="003A0949" w:rsidP="00414CC1">
      <w:pPr>
        <w:pStyle w:val="paragraph"/>
        <w:spacing w:before="0" w:beforeAutospacing="0" w:after="0" w:afterAutospacing="0" w:line="276" w:lineRule="auto"/>
        <w:ind w:firstLine="630"/>
        <w:jc w:val="both"/>
        <w:textAlignment w:val="baseline"/>
        <w:rPr>
          <w:rStyle w:val="eop"/>
          <w:rFonts w:ascii="Tahoma" w:hAnsi="Tahoma" w:cs="Tahoma"/>
        </w:rPr>
      </w:pPr>
      <w:r w:rsidRPr="00414CC1">
        <w:rPr>
          <w:rStyle w:val="normaltextrun"/>
          <w:rFonts w:ascii="Tahoma" w:hAnsi="Tahoma" w:cs="Tahoma"/>
        </w:rPr>
        <w:t>En este punto es oportuno recordar que la Corte Constitucional en sentencia SU-053-2015, ha definido el precedente judicial como «la sentencia o el conjunto de ellas, anteriores a un caso determinado, que por su pertinencia y semejanza en los problemas jurídicos resueltos, debe necesariamente considerarse por las autoridades judiciales al momento de emitir un fallo» y, en tal sentido, el emitido por los máximos órganos de cierre, “</w:t>
      </w:r>
      <w:r w:rsidRPr="00944E28">
        <w:rPr>
          <w:rStyle w:val="normaltextrun"/>
          <w:rFonts w:ascii="Tahoma" w:hAnsi="Tahoma" w:cs="Tahoma"/>
          <w:sz w:val="22"/>
        </w:rPr>
        <w:t xml:space="preserve">guardan una estrecha relación con el derecho a la igualdad, garantía constitucional que le permite a los ciudadanos obtener decisiones judiciales idénticas frente a casos semejantes, aunado al carácter ordenador y unificador de las sentencias de casación, </w:t>
      </w:r>
      <w:r w:rsidRPr="00944E28">
        <w:rPr>
          <w:rStyle w:val="normaltextrun"/>
          <w:rFonts w:ascii="Tahoma" w:hAnsi="Tahoma" w:cs="Tahoma"/>
          <w:sz w:val="22"/>
        </w:rPr>
        <w:lastRenderedPageBreak/>
        <w:t>en tanto aseguran una mayor coherencia del sistema jurídico, seguridad, confianza y certeza del derecho</w:t>
      </w:r>
      <w:r w:rsidRPr="00414CC1">
        <w:rPr>
          <w:rStyle w:val="normaltextrun"/>
          <w:rFonts w:ascii="Tahoma" w:hAnsi="Tahoma" w:cs="Tahoma"/>
        </w:rPr>
        <w:t>” (STL4759-2020).</w:t>
      </w:r>
      <w:r w:rsidRPr="00414CC1">
        <w:rPr>
          <w:rStyle w:val="eop"/>
          <w:rFonts w:ascii="Tahoma" w:hAnsi="Tahoma" w:cs="Tahoma"/>
        </w:rPr>
        <w:t> </w:t>
      </w:r>
    </w:p>
    <w:p w14:paraId="1903C90A" w14:textId="77777777" w:rsidR="003A0949" w:rsidRPr="00414CC1" w:rsidRDefault="003A0949" w:rsidP="00414CC1">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41444FF0" w14:textId="3CFEFEF0" w:rsidR="003A0949" w:rsidRPr="00414CC1" w:rsidRDefault="003A0949" w:rsidP="00414CC1">
      <w:pPr>
        <w:widowControl w:val="0"/>
        <w:autoSpaceDE w:val="0"/>
        <w:autoSpaceDN w:val="0"/>
        <w:adjustRightInd w:val="0"/>
        <w:spacing w:before="0" w:beforeAutospacing="0" w:after="0" w:afterAutospacing="0" w:line="276" w:lineRule="auto"/>
        <w:ind w:firstLine="708"/>
        <w:rPr>
          <w:rFonts w:ascii="Tahoma" w:eastAsia="Tahoma" w:hAnsi="Tahoma" w:cs="Tahoma"/>
          <w:color w:val="000000" w:themeColor="text1"/>
        </w:rPr>
      </w:pPr>
      <w:r w:rsidRPr="00414CC1">
        <w:rPr>
          <w:rFonts w:ascii="Tahoma" w:eastAsia="Tahoma" w:hAnsi="Tahoma" w:cs="Tahoma"/>
          <w:color w:val="000000" w:themeColor="text1"/>
        </w:rPr>
        <w:t xml:space="preserve">De cara a lo expuesto con anterioridad, no es viable apartarse del precedente que ya ha sido sentado por la Corte Suprema de Justicia- Sala Laboral en cuanto a la ineficacia del traslado, sobre la base de que vulnera el principio de sostenibilidad financiera, pues dicha afirmación carece de respaldo probatorio y se estructura sobre la base de un escenario incierto, fundado en que los montos trasladados serán insuficientes para cubrir los riesgos de invalidez, vejez y muerte del afiliado, máxime cuando el máximo órgano de cierre ha sentado que las ordenes emitidas en procesos de ineficacia de traslado en contra de la Administradora del Régimen de Prima Media no derivan en un detrimento patrimonial o económico, pues simplemente debe aceptar el traslado. </w:t>
      </w:r>
    </w:p>
    <w:p w14:paraId="1D870A97" w14:textId="60AE0EAE" w:rsidR="006D3F76" w:rsidRPr="00414CC1" w:rsidRDefault="006D3F76" w:rsidP="00414CC1">
      <w:pPr>
        <w:widowControl w:val="0"/>
        <w:autoSpaceDE w:val="0"/>
        <w:autoSpaceDN w:val="0"/>
        <w:adjustRightInd w:val="0"/>
        <w:spacing w:before="0" w:beforeAutospacing="0" w:after="0" w:afterAutospacing="0" w:line="276" w:lineRule="auto"/>
        <w:ind w:firstLine="708"/>
        <w:rPr>
          <w:rFonts w:ascii="Tahoma" w:eastAsia="Tahoma" w:hAnsi="Tahoma" w:cs="Tahoma"/>
          <w:color w:val="000000" w:themeColor="text1"/>
        </w:rPr>
      </w:pPr>
    </w:p>
    <w:p w14:paraId="6C1BA274" w14:textId="77777777" w:rsidR="004C19F5" w:rsidRPr="00414CC1" w:rsidRDefault="004C19F5" w:rsidP="00414CC1">
      <w:pPr>
        <w:widowControl w:val="0"/>
        <w:autoSpaceDE w:val="0"/>
        <w:autoSpaceDN w:val="0"/>
        <w:adjustRightInd w:val="0"/>
        <w:spacing w:before="0" w:beforeAutospacing="0" w:after="0" w:afterAutospacing="0" w:line="276" w:lineRule="auto"/>
        <w:ind w:firstLine="709"/>
        <w:rPr>
          <w:rFonts w:ascii="Tahoma" w:eastAsia="Bookman Old Style" w:hAnsi="Tahoma" w:cs="Tahoma"/>
          <w:i/>
          <w:iCs/>
        </w:rPr>
      </w:pPr>
      <w:r w:rsidRPr="00414CC1">
        <w:rPr>
          <w:rFonts w:ascii="Tahoma" w:eastAsia="Times New Roman" w:hAnsi="Tahoma" w:cs="Tahoma"/>
          <w:color w:val="000000" w:themeColor="text1"/>
          <w:lang w:eastAsia="es-CO"/>
        </w:rPr>
        <w:t>Adicional a lo indicado, atendiendo el argumento de Porvenir S.A., según el cual se incurre en un enriquecimiento sin causa por parte de Colpensiones, en detrimento de la AFP al ordenar que se devuelvan los rendimientos financieros, debe decirse que como en materia laboral</w:t>
      </w:r>
      <w:r w:rsidRPr="00414CC1">
        <w:rPr>
          <w:rFonts w:ascii="Tahoma" w:eastAsia="Times New Roman" w:hAnsi="Tahoma" w:cs="Tahoma"/>
          <w:color w:val="000000" w:themeColor="text1"/>
          <w:lang w:val="es" w:eastAsia="es-CO"/>
        </w:rPr>
        <w:t xml:space="preserve"> no existe una norma expresa que regule esta figura, en aplicación del principio de integración normativa, previsto en el artículo 145 del Código Procesal del Trabajo y de la Seguridad Social, debe acudirse a lo señalado en el artículo 831 del Código de Comercio, que dispone que</w:t>
      </w:r>
      <w:r w:rsidRPr="00414CC1">
        <w:rPr>
          <w:rFonts w:ascii="Tahoma" w:eastAsia="Arial Narrow" w:hAnsi="Tahoma" w:cs="Tahoma"/>
          <w:i/>
          <w:iCs/>
          <w:color w:val="000000" w:themeColor="text1"/>
          <w:lang w:val="es" w:eastAsia="es-CO"/>
        </w:rPr>
        <w:t xml:space="preserve"> “</w:t>
      </w:r>
      <w:r w:rsidRPr="00944E28">
        <w:rPr>
          <w:rFonts w:ascii="Tahoma" w:eastAsia="Arial Narrow" w:hAnsi="Tahoma" w:cs="Tahoma"/>
          <w:i/>
          <w:iCs/>
          <w:color w:val="000000" w:themeColor="text1"/>
          <w:sz w:val="22"/>
          <w:lang w:val="es" w:eastAsia="es-CO"/>
        </w:rPr>
        <w:t>Nadie podrá enriquecerse sin justa causa a expensas de otro</w:t>
      </w:r>
      <w:r w:rsidRPr="00414CC1">
        <w:rPr>
          <w:rFonts w:ascii="Tahoma" w:eastAsia="Arial Narrow" w:hAnsi="Tahoma" w:cs="Tahoma"/>
          <w:i/>
          <w:iCs/>
          <w:color w:val="000000" w:themeColor="text1"/>
          <w:lang w:val="es" w:eastAsia="es-CO"/>
        </w:rPr>
        <w:t xml:space="preserve">”, </w:t>
      </w:r>
      <w:r w:rsidRPr="00414CC1">
        <w:rPr>
          <w:rFonts w:ascii="Tahoma" w:eastAsia="Arial Narrow" w:hAnsi="Tahoma" w:cs="Tahoma"/>
          <w:color w:val="000000" w:themeColor="text1"/>
          <w:lang w:val="es" w:eastAsia="es-CO"/>
        </w:rPr>
        <w:t>y, de ac</w:t>
      </w:r>
      <w:r w:rsidRPr="00414CC1">
        <w:rPr>
          <w:rFonts w:ascii="Tahoma" w:eastAsia="Times New Roman" w:hAnsi="Tahoma" w:cs="Tahoma"/>
          <w:color w:val="000000" w:themeColor="text1"/>
          <w:lang w:val="es" w:eastAsia="es-CO"/>
        </w:rPr>
        <w:t>uerdo a la jurisprudencia emanada de la Sala de Casación Civil el enriquecimiento sin causa se da solo cuando el desplazamiento patrimonial otorga una ventaja a una parte en detrimento de otras sin fundamento jurídico que lo justifique, supuestos que en este caso no se cumplen, en la medida que si bien las AFP deben trasladar los rendimientos financieros, estos no les representan un detrimento patrimonial, ya que hacen parte de la cuenta de ahorro individual del afiliado y, en ese orden, no son de su propiedad y únicamente los administras, debiéndose considerar además que dicho traslado de recursos sí tiene un fundamento jurídico que no es otro que la declaratoria de ineficacia de la afiliación y las consecuencias de crear la ficción de que el acto nunca existió.</w:t>
      </w:r>
    </w:p>
    <w:p w14:paraId="234D3438" w14:textId="77777777" w:rsidR="004C19F5" w:rsidRPr="00414CC1" w:rsidRDefault="004C19F5" w:rsidP="00414CC1">
      <w:pPr>
        <w:widowControl w:val="0"/>
        <w:autoSpaceDE w:val="0"/>
        <w:autoSpaceDN w:val="0"/>
        <w:adjustRightInd w:val="0"/>
        <w:spacing w:before="0" w:beforeAutospacing="0" w:after="0" w:afterAutospacing="0" w:line="276" w:lineRule="auto"/>
        <w:ind w:firstLine="708"/>
        <w:rPr>
          <w:rFonts w:ascii="Tahoma" w:eastAsia="Tahoma" w:hAnsi="Tahoma" w:cs="Tahoma"/>
          <w:color w:val="000000" w:themeColor="text1"/>
        </w:rPr>
      </w:pPr>
    </w:p>
    <w:p w14:paraId="5AE7EA66" w14:textId="3E770AA3" w:rsidR="00515FF3" w:rsidRPr="00414CC1" w:rsidRDefault="00675FC4" w:rsidP="00414CC1">
      <w:pPr>
        <w:widowControl w:val="0"/>
        <w:autoSpaceDE w:val="0"/>
        <w:autoSpaceDN w:val="0"/>
        <w:adjustRightInd w:val="0"/>
        <w:spacing w:before="0" w:beforeAutospacing="0" w:after="0" w:afterAutospacing="0" w:line="276" w:lineRule="auto"/>
        <w:ind w:firstLine="708"/>
        <w:rPr>
          <w:rStyle w:val="normaltextrun"/>
          <w:rFonts w:ascii="Tahoma" w:hAnsi="Tahoma" w:cs="Tahoma"/>
          <w:color w:val="000000"/>
          <w:shd w:val="clear" w:color="auto" w:fill="FFFFFF"/>
          <w:lang w:val="es-ES"/>
        </w:rPr>
      </w:pPr>
      <w:r w:rsidRPr="00414CC1">
        <w:rPr>
          <w:rStyle w:val="normaltextrun"/>
          <w:rFonts w:ascii="Tahoma" w:hAnsi="Tahoma" w:cs="Tahoma"/>
          <w:color w:val="000000"/>
          <w:shd w:val="clear" w:color="auto" w:fill="FFFFFF"/>
          <w:lang w:val="es-ES"/>
        </w:rPr>
        <w:t>En ese mismo sentido, en aras de que las cosas se reestablezcan al estado en el que se encontraban al momento del traslado de régimen, aunque resulta necesario comunicar la decisión al eventual emisor del bono pensional al que tendría derecho l</w:t>
      </w:r>
      <w:r w:rsidR="006A6494" w:rsidRPr="00414CC1">
        <w:rPr>
          <w:rStyle w:val="normaltextrun"/>
          <w:rFonts w:ascii="Tahoma" w:hAnsi="Tahoma" w:cs="Tahoma"/>
          <w:color w:val="000000"/>
          <w:shd w:val="clear" w:color="auto" w:fill="FFFFFF"/>
          <w:lang w:val="es-ES"/>
        </w:rPr>
        <w:t>a</w:t>
      </w:r>
      <w:r w:rsidRPr="00414CC1">
        <w:rPr>
          <w:rStyle w:val="normaltextrun"/>
          <w:rFonts w:ascii="Tahoma" w:hAnsi="Tahoma" w:cs="Tahoma"/>
          <w:color w:val="000000"/>
          <w:shd w:val="clear" w:color="auto" w:fill="FFFFFF"/>
          <w:lang w:val="es-ES"/>
        </w:rPr>
        <w:t xml:space="preserve"> actor</w:t>
      </w:r>
      <w:r w:rsidR="006A6494" w:rsidRPr="00414CC1">
        <w:rPr>
          <w:rStyle w:val="normaltextrun"/>
          <w:rFonts w:ascii="Tahoma" w:hAnsi="Tahoma" w:cs="Tahoma"/>
          <w:color w:val="000000"/>
          <w:shd w:val="clear" w:color="auto" w:fill="FFFFFF"/>
          <w:lang w:val="es-ES"/>
        </w:rPr>
        <w:t>a</w:t>
      </w:r>
      <w:r w:rsidRPr="00414CC1">
        <w:rPr>
          <w:rStyle w:val="normaltextrun"/>
          <w:rFonts w:ascii="Tahoma" w:hAnsi="Tahoma" w:cs="Tahoma"/>
          <w:color w:val="000000"/>
          <w:shd w:val="clear" w:color="auto" w:fill="FFFFFF"/>
          <w:lang w:val="es-ES"/>
        </w:rPr>
        <w:t xml:space="preserve"> por </w:t>
      </w:r>
      <w:r w:rsidR="00D46A38" w:rsidRPr="00414CC1">
        <w:rPr>
          <w:rStyle w:val="normaltextrun"/>
          <w:rFonts w:ascii="Tahoma" w:hAnsi="Tahoma" w:cs="Tahoma"/>
          <w:color w:val="000000"/>
          <w:shd w:val="clear" w:color="auto" w:fill="FFFFFF"/>
          <w:lang w:val="es-ES"/>
        </w:rPr>
        <w:t xml:space="preserve">los </w:t>
      </w:r>
      <w:r w:rsidRPr="00414CC1">
        <w:rPr>
          <w:rStyle w:val="normaltextrun"/>
          <w:rFonts w:ascii="Tahoma" w:hAnsi="Tahoma" w:cs="Tahoma"/>
          <w:color w:val="000000"/>
          <w:shd w:val="clear" w:color="auto" w:fill="FFFFFF"/>
          <w:lang w:val="es-ES"/>
        </w:rPr>
        <w:t>servicios en el sector público del</w:t>
      </w:r>
      <w:r w:rsidR="006A6494" w:rsidRPr="00414CC1">
        <w:rPr>
          <w:rStyle w:val="normaltextrun"/>
          <w:rFonts w:ascii="Tahoma" w:hAnsi="Tahoma" w:cs="Tahoma"/>
          <w:color w:val="000000"/>
          <w:shd w:val="clear" w:color="auto" w:fill="FFFFFF"/>
          <w:lang w:val="es-ES"/>
        </w:rPr>
        <w:t xml:space="preserve"> 06/05/1978 </w:t>
      </w:r>
      <w:r w:rsidR="00D46A38" w:rsidRPr="00414CC1">
        <w:rPr>
          <w:rStyle w:val="normaltextrun"/>
          <w:rFonts w:ascii="Tahoma" w:hAnsi="Tahoma" w:cs="Tahoma"/>
          <w:color w:val="000000"/>
          <w:shd w:val="clear" w:color="auto" w:fill="FFFFFF"/>
          <w:lang w:val="es-ES"/>
        </w:rPr>
        <w:t xml:space="preserve">al </w:t>
      </w:r>
      <w:r w:rsidR="006A6494" w:rsidRPr="00414CC1">
        <w:rPr>
          <w:rStyle w:val="normaltextrun"/>
          <w:rFonts w:ascii="Tahoma" w:hAnsi="Tahoma" w:cs="Tahoma"/>
          <w:color w:val="000000"/>
          <w:shd w:val="clear" w:color="auto" w:fill="FFFFFF"/>
          <w:lang w:val="es-ES"/>
        </w:rPr>
        <w:t xml:space="preserve">31/10/1980 </w:t>
      </w:r>
      <w:r w:rsidR="00D46A38" w:rsidRPr="00414CC1">
        <w:rPr>
          <w:rStyle w:val="normaltextrun"/>
          <w:rFonts w:ascii="Tahoma" w:hAnsi="Tahoma" w:cs="Tahoma"/>
          <w:color w:val="000000"/>
          <w:shd w:val="clear" w:color="auto" w:fill="FFFFFF"/>
          <w:lang w:val="es-ES"/>
        </w:rPr>
        <w:t xml:space="preserve">y del </w:t>
      </w:r>
      <w:r w:rsidR="006A6494" w:rsidRPr="00414CC1">
        <w:rPr>
          <w:rStyle w:val="normaltextrun"/>
          <w:rFonts w:ascii="Tahoma" w:hAnsi="Tahoma" w:cs="Tahoma"/>
          <w:color w:val="000000"/>
          <w:shd w:val="clear" w:color="auto" w:fill="FFFFFF"/>
          <w:lang w:val="es-ES"/>
        </w:rPr>
        <w:t>19/05/1987</w:t>
      </w:r>
      <w:r w:rsidR="00D46A38" w:rsidRPr="00414CC1">
        <w:rPr>
          <w:rStyle w:val="normaltextrun"/>
          <w:rFonts w:ascii="Tahoma" w:hAnsi="Tahoma" w:cs="Tahoma"/>
          <w:color w:val="000000"/>
          <w:shd w:val="clear" w:color="auto" w:fill="FFFFFF"/>
          <w:lang w:val="es-ES"/>
        </w:rPr>
        <w:t xml:space="preserve"> al</w:t>
      </w:r>
      <w:r w:rsidR="006A6494" w:rsidRPr="00414CC1">
        <w:rPr>
          <w:rStyle w:val="normaltextrun"/>
          <w:rFonts w:ascii="Tahoma" w:hAnsi="Tahoma" w:cs="Tahoma"/>
          <w:color w:val="000000"/>
          <w:shd w:val="clear" w:color="auto" w:fill="FFFFFF"/>
          <w:lang w:val="es-ES"/>
        </w:rPr>
        <w:t xml:space="preserve"> 06/11/1990</w:t>
      </w:r>
      <w:r w:rsidRPr="00414CC1">
        <w:rPr>
          <w:rStyle w:val="normaltextrun"/>
          <w:rFonts w:ascii="Tahoma" w:hAnsi="Tahoma" w:cs="Tahoma"/>
          <w:color w:val="000000"/>
          <w:shd w:val="clear" w:color="auto" w:fill="FFFFFF"/>
          <w:lang w:val="es-ES"/>
        </w:rPr>
        <w:t xml:space="preserve">, como bien se ordenó en los numerales cuarto y quinto de la sentencia objeto de revisión en este asunto, en este caso la comunicación deberá dirigirse al Departamento de Antioquía y no a la OBP, como quiera que dicho periodo se encuentra a cargo del ente territorial y no de la Nación, tal como se desprende del certificado de información laboral visible en </w:t>
      </w:r>
      <w:r w:rsidR="004C19F5" w:rsidRPr="00414CC1">
        <w:rPr>
          <w:rStyle w:val="normaltextrun"/>
          <w:rFonts w:ascii="Tahoma" w:hAnsi="Tahoma" w:cs="Tahoma"/>
          <w:color w:val="000000"/>
          <w:shd w:val="clear" w:color="auto" w:fill="FFFFFF"/>
          <w:lang w:val="es-ES"/>
        </w:rPr>
        <w:t>las páginas 42 y 43</w:t>
      </w:r>
      <w:r w:rsidRPr="00414CC1">
        <w:rPr>
          <w:rStyle w:val="normaltextrun"/>
          <w:rFonts w:ascii="Tahoma" w:hAnsi="Tahoma" w:cs="Tahoma"/>
          <w:color w:val="000000"/>
          <w:shd w:val="clear" w:color="auto" w:fill="FFFFFF"/>
          <w:lang w:val="es-ES"/>
        </w:rPr>
        <w:t xml:space="preserve"> del archivo 0</w:t>
      </w:r>
      <w:r w:rsidR="004C19F5" w:rsidRPr="00414CC1">
        <w:rPr>
          <w:rStyle w:val="normaltextrun"/>
          <w:rFonts w:ascii="Tahoma" w:hAnsi="Tahoma" w:cs="Tahoma"/>
          <w:color w:val="000000"/>
          <w:shd w:val="clear" w:color="auto" w:fill="FFFFFF"/>
          <w:lang w:val="es-ES"/>
        </w:rPr>
        <w:t>7</w:t>
      </w:r>
      <w:r w:rsidRPr="00414CC1">
        <w:rPr>
          <w:rStyle w:val="normaltextrun"/>
          <w:rFonts w:ascii="Tahoma" w:hAnsi="Tahoma" w:cs="Tahoma"/>
          <w:color w:val="000000"/>
          <w:shd w:val="clear" w:color="auto" w:fill="FFFFFF"/>
          <w:lang w:val="es-ES"/>
        </w:rPr>
        <w:t xml:space="preserve"> del expediente</w:t>
      </w:r>
      <w:r w:rsidR="004C19F5" w:rsidRPr="00414CC1">
        <w:rPr>
          <w:rStyle w:val="normaltextrun"/>
          <w:rFonts w:ascii="Tahoma" w:hAnsi="Tahoma" w:cs="Tahoma"/>
          <w:color w:val="000000"/>
          <w:shd w:val="clear" w:color="auto" w:fill="FFFFFF"/>
          <w:lang w:val="es-ES"/>
        </w:rPr>
        <w:t xml:space="preserve"> de primera instancia</w:t>
      </w:r>
      <w:r w:rsidRPr="00414CC1">
        <w:rPr>
          <w:rStyle w:val="normaltextrun"/>
          <w:rFonts w:ascii="Tahoma" w:hAnsi="Tahoma" w:cs="Tahoma"/>
          <w:color w:val="000000"/>
          <w:shd w:val="clear" w:color="auto" w:fill="FFFFFF"/>
          <w:lang w:val="es-ES"/>
        </w:rPr>
        <w:t xml:space="preserve">, de modo que la decisión contenida en los mencionados numerales se modificará en el sentido de tener como destinatario de las órdenes allí señaladas </w:t>
      </w:r>
      <w:r w:rsidR="00D46A38" w:rsidRPr="00414CC1">
        <w:rPr>
          <w:rStyle w:val="normaltextrun"/>
          <w:rFonts w:ascii="Tahoma" w:hAnsi="Tahoma" w:cs="Tahoma"/>
          <w:color w:val="000000"/>
          <w:shd w:val="clear" w:color="auto" w:fill="FFFFFF"/>
          <w:lang w:val="es-ES"/>
        </w:rPr>
        <w:t xml:space="preserve">únicamente </w:t>
      </w:r>
      <w:r w:rsidRPr="00414CC1">
        <w:rPr>
          <w:rStyle w:val="normaltextrun"/>
          <w:rFonts w:ascii="Tahoma" w:hAnsi="Tahoma" w:cs="Tahoma"/>
          <w:color w:val="000000"/>
          <w:shd w:val="clear" w:color="auto" w:fill="FFFFFF"/>
          <w:lang w:val="es-ES"/>
        </w:rPr>
        <w:t>a</w:t>
      </w:r>
      <w:r w:rsidR="004C19F5" w:rsidRPr="00414CC1">
        <w:rPr>
          <w:rStyle w:val="normaltextrun"/>
          <w:rFonts w:ascii="Tahoma" w:hAnsi="Tahoma" w:cs="Tahoma"/>
          <w:color w:val="000000"/>
          <w:shd w:val="clear" w:color="auto" w:fill="FFFFFF"/>
          <w:lang w:val="es-ES"/>
        </w:rPr>
        <w:t>l Departamento de Antioquía</w:t>
      </w:r>
      <w:r w:rsidRPr="00414CC1">
        <w:rPr>
          <w:rStyle w:val="normaltextrun"/>
          <w:rFonts w:ascii="Tahoma" w:hAnsi="Tahoma" w:cs="Tahoma"/>
          <w:color w:val="000000"/>
          <w:shd w:val="clear" w:color="auto" w:fill="FFFFFF"/>
          <w:lang w:val="es-ES"/>
        </w:rPr>
        <w:t xml:space="preserve">. </w:t>
      </w:r>
    </w:p>
    <w:p w14:paraId="50C4C5EC" w14:textId="77777777" w:rsidR="00515FF3" w:rsidRPr="00414CC1" w:rsidRDefault="00515FF3" w:rsidP="00414CC1">
      <w:pPr>
        <w:widowControl w:val="0"/>
        <w:autoSpaceDE w:val="0"/>
        <w:autoSpaceDN w:val="0"/>
        <w:adjustRightInd w:val="0"/>
        <w:spacing w:before="0" w:beforeAutospacing="0" w:after="0" w:afterAutospacing="0" w:line="276" w:lineRule="auto"/>
        <w:ind w:firstLine="708"/>
        <w:rPr>
          <w:rStyle w:val="normaltextrun"/>
          <w:rFonts w:ascii="Tahoma" w:hAnsi="Tahoma" w:cs="Tahoma"/>
          <w:color w:val="000000"/>
          <w:shd w:val="clear" w:color="auto" w:fill="FFFFFF"/>
          <w:lang w:val="es-ES"/>
        </w:rPr>
      </w:pPr>
    </w:p>
    <w:p w14:paraId="5A47AA06" w14:textId="164E61DD" w:rsidR="006D3F76" w:rsidRPr="00414CC1" w:rsidRDefault="00515FF3" w:rsidP="00414CC1">
      <w:pPr>
        <w:widowControl w:val="0"/>
        <w:autoSpaceDE w:val="0"/>
        <w:autoSpaceDN w:val="0"/>
        <w:adjustRightInd w:val="0"/>
        <w:spacing w:before="0" w:beforeAutospacing="0" w:after="0" w:afterAutospacing="0" w:line="276" w:lineRule="auto"/>
        <w:ind w:firstLine="708"/>
        <w:rPr>
          <w:rStyle w:val="eop"/>
          <w:rFonts w:ascii="Tahoma" w:hAnsi="Tahoma" w:cs="Tahoma"/>
          <w:color w:val="000000"/>
          <w:shd w:val="clear" w:color="auto" w:fill="FFFFFF"/>
        </w:rPr>
      </w:pPr>
      <w:r w:rsidRPr="00414CC1">
        <w:rPr>
          <w:rStyle w:val="normaltextrun"/>
          <w:rFonts w:ascii="Tahoma" w:hAnsi="Tahoma" w:cs="Tahoma"/>
          <w:color w:val="000000"/>
          <w:shd w:val="clear" w:color="auto" w:fill="FFFFFF"/>
          <w:lang w:val="es-ES"/>
        </w:rPr>
        <w:t xml:space="preserve">Lo anterior </w:t>
      </w:r>
      <w:r w:rsidR="00675FC4" w:rsidRPr="00414CC1">
        <w:rPr>
          <w:rStyle w:val="normaltextrun"/>
          <w:rFonts w:ascii="Tahoma" w:hAnsi="Tahoma" w:cs="Tahoma"/>
          <w:color w:val="000000"/>
          <w:shd w:val="clear" w:color="auto" w:fill="FFFFFF"/>
          <w:lang w:val="es-ES"/>
        </w:rPr>
        <w:t xml:space="preserve">en razón a que no existe dentro del plenario prueba que demuestre </w:t>
      </w:r>
      <w:r w:rsidR="00675FC4" w:rsidRPr="00414CC1">
        <w:rPr>
          <w:rStyle w:val="normaltextrun"/>
          <w:rFonts w:ascii="Tahoma" w:hAnsi="Tahoma" w:cs="Tahoma"/>
          <w:color w:val="000000"/>
          <w:shd w:val="clear" w:color="auto" w:fill="FFFFFF"/>
          <w:lang w:val="es-ES"/>
        </w:rPr>
        <w:lastRenderedPageBreak/>
        <w:t xml:space="preserve">el estado actual de ese instrumento de deuda pública, que debió redimirse de forma normal el </w:t>
      </w:r>
      <w:r w:rsidR="004C19F5" w:rsidRPr="00414CC1">
        <w:rPr>
          <w:rStyle w:val="normaltextrun"/>
          <w:rFonts w:ascii="Tahoma" w:hAnsi="Tahoma" w:cs="Tahoma"/>
          <w:color w:val="000000"/>
          <w:shd w:val="clear" w:color="auto" w:fill="FFFFFF"/>
          <w:lang w:val="es-ES"/>
        </w:rPr>
        <w:t>24 de julio de 2018</w:t>
      </w:r>
      <w:r w:rsidR="00675FC4" w:rsidRPr="00414CC1">
        <w:rPr>
          <w:rStyle w:val="normaltextrun"/>
          <w:rFonts w:ascii="Tahoma" w:hAnsi="Tahoma" w:cs="Tahoma"/>
          <w:color w:val="000000"/>
          <w:shd w:val="clear" w:color="auto" w:fill="FFFFFF"/>
          <w:lang w:val="es-ES"/>
        </w:rPr>
        <w:t>, fecha en que l</w:t>
      </w:r>
      <w:r w:rsidR="00B35DF0" w:rsidRPr="00414CC1">
        <w:rPr>
          <w:rStyle w:val="normaltextrun"/>
          <w:rFonts w:ascii="Tahoma" w:hAnsi="Tahoma" w:cs="Tahoma"/>
          <w:color w:val="000000"/>
          <w:shd w:val="clear" w:color="auto" w:fill="FFFFFF"/>
          <w:lang w:val="es-ES"/>
        </w:rPr>
        <w:t>a</w:t>
      </w:r>
      <w:r w:rsidR="00675FC4" w:rsidRPr="00414CC1">
        <w:rPr>
          <w:rStyle w:val="normaltextrun"/>
          <w:rFonts w:ascii="Tahoma" w:hAnsi="Tahoma" w:cs="Tahoma"/>
          <w:color w:val="000000"/>
          <w:shd w:val="clear" w:color="auto" w:fill="FFFFFF"/>
          <w:lang w:val="es-ES"/>
        </w:rPr>
        <w:t xml:space="preserve"> accionante cumplió 6</w:t>
      </w:r>
      <w:r w:rsidR="00B35DF0" w:rsidRPr="00414CC1">
        <w:rPr>
          <w:rStyle w:val="normaltextrun"/>
          <w:rFonts w:ascii="Tahoma" w:hAnsi="Tahoma" w:cs="Tahoma"/>
          <w:color w:val="000000"/>
          <w:shd w:val="clear" w:color="auto" w:fill="FFFFFF"/>
          <w:lang w:val="es-ES"/>
        </w:rPr>
        <w:t>0</w:t>
      </w:r>
      <w:r w:rsidR="00675FC4" w:rsidRPr="00414CC1">
        <w:rPr>
          <w:rStyle w:val="normaltextrun"/>
          <w:rFonts w:ascii="Tahoma" w:hAnsi="Tahoma" w:cs="Tahoma"/>
          <w:color w:val="000000"/>
          <w:shd w:val="clear" w:color="auto" w:fill="FFFFFF"/>
          <w:lang w:val="es-ES"/>
        </w:rPr>
        <w:t xml:space="preserve"> años de edad</w:t>
      </w:r>
      <w:r w:rsidRPr="00414CC1">
        <w:rPr>
          <w:rFonts w:ascii="Tahoma" w:eastAsia="Calibri" w:hAnsi="Tahoma" w:cs="Tahoma"/>
          <w:color w:val="000000" w:themeColor="text1"/>
        </w:rPr>
        <w:t xml:space="preserve">; por lo que, teniendo en cuenta que el artículo 17 del Decreto 1748 de 1995 dispone que esta clase de bonos se pagan dentro del mes siguiente a la fecha de redención (sin necesidad de solicitud previa), muy seguramente el bono debió entrar a la cuenta de ahorro individual del demandante antes de la emisión de esta sentencia y, por ende, debe ser restituido. </w:t>
      </w:r>
    </w:p>
    <w:p w14:paraId="2D949592" w14:textId="77777777" w:rsidR="004C19F5" w:rsidRPr="00414CC1" w:rsidRDefault="004C19F5" w:rsidP="00414CC1">
      <w:pPr>
        <w:widowControl w:val="0"/>
        <w:autoSpaceDE w:val="0"/>
        <w:autoSpaceDN w:val="0"/>
        <w:adjustRightInd w:val="0"/>
        <w:spacing w:before="0" w:beforeAutospacing="0" w:after="0" w:afterAutospacing="0" w:line="276" w:lineRule="auto"/>
        <w:ind w:firstLine="708"/>
        <w:rPr>
          <w:rFonts w:ascii="Tahoma" w:eastAsia="Tahoma" w:hAnsi="Tahoma" w:cs="Tahoma"/>
          <w:color w:val="000000" w:themeColor="text1"/>
        </w:rPr>
      </w:pPr>
    </w:p>
    <w:p w14:paraId="321030B9" w14:textId="72B96FB0" w:rsidR="006D3F76" w:rsidRPr="00414CC1" w:rsidRDefault="00D46A38" w:rsidP="00414CC1">
      <w:pPr>
        <w:widowControl w:val="0"/>
        <w:autoSpaceDE w:val="0"/>
        <w:autoSpaceDN w:val="0"/>
        <w:adjustRightInd w:val="0"/>
        <w:spacing w:before="0" w:beforeAutospacing="0" w:after="0" w:afterAutospacing="0" w:line="276" w:lineRule="auto"/>
        <w:ind w:firstLine="708"/>
        <w:rPr>
          <w:rFonts w:ascii="Tahoma" w:hAnsi="Tahoma" w:cs="Tahoma"/>
          <w:lang w:val="es"/>
        </w:rPr>
      </w:pPr>
      <w:r w:rsidRPr="00414CC1">
        <w:rPr>
          <w:rFonts w:ascii="Tahoma" w:eastAsia="Calibri" w:hAnsi="Tahoma" w:cs="Tahoma"/>
        </w:rPr>
        <w:t xml:space="preserve">Para terminar, debe indicarse que </w:t>
      </w:r>
      <w:r w:rsidR="00A90983" w:rsidRPr="00414CC1">
        <w:rPr>
          <w:rFonts w:ascii="Tahoma" w:eastAsia="Calibri" w:hAnsi="Tahoma" w:cs="Tahoma"/>
        </w:rPr>
        <w:t xml:space="preserve">improcedente resulta dar </w:t>
      </w:r>
      <w:r w:rsidR="005D5B8A" w:rsidRPr="00414CC1">
        <w:rPr>
          <w:rFonts w:ascii="Tahoma" w:eastAsia="Calibri" w:hAnsi="Tahoma" w:cs="Tahoma"/>
        </w:rPr>
        <w:t>prosperidad</w:t>
      </w:r>
      <w:r w:rsidR="00A90983" w:rsidRPr="00414CC1">
        <w:rPr>
          <w:rFonts w:ascii="Tahoma" w:eastAsia="Calibri" w:hAnsi="Tahoma" w:cs="Tahoma"/>
        </w:rPr>
        <w:t xml:space="preserve"> a las solicitudes especiales elevadas por Colpensiones </w:t>
      </w:r>
      <w:r w:rsidR="005D5B8A" w:rsidRPr="00414CC1">
        <w:rPr>
          <w:rFonts w:ascii="Tahoma" w:eastAsia="Calibri" w:hAnsi="Tahoma" w:cs="Tahoma"/>
        </w:rPr>
        <w:t xml:space="preserve">de condenar a </w:t>
      </w:r>
      <w:r w:rsidR="004C19F5" w:rsidRPr="00414CC1">
        <w:rPr>
          <w:rFonts w:ascii="Tahoma" w:eastAsia="Calibri" w:hAnsi="Tahoma" w:cs="Tahoma"/>
        </w:rPr>
        <w:t>Porvenir</w:t>
      </w:r>
      <w:r w:rsidR="005D5B8A" w:rsidRPr="00414CC1">
        <w:rPr>
          <w:rFonts w:ascii="Tahoma" w:eastAsia="Calibri" w:hAnsi="Tahoma" w:cs="Tahoma"/>
        </w:rPr>
        <w:t xml:space="preserve"> S.A </w:t>
      </w:r>
      <w:r w:rsidR="004C19F5" w:rsidRPr="00414CC1">
        <w:rPr>
          <w:rFonts w:ascii="Tahoma" w:eastAsia="Calibri" w:hAnsi="Tahoma" w:cs="Tahoma"/>
        </w:rPr>
        <w:t xml:space="preserve">a pagar </w:t>
      </w:r>
      <w:r w:rsidR="005D5B8A" w:rsidRPr="00414CC1">
        <w:rPr>
          <w:rFonts w:ascii="Tahoma" w:eastAsia="Calibri" w:hAnsi="Tahoma" w:cs="Tahoma"/>
        </w:rPr>
        <w:t xml:space="preserve">un cálculo actuarial equivalente al valor total de las mesadas pensionales a </w:t>
      </w:r>
      <w:r w:rsidR="004C19F5" w:rsidRPr="00414CC1">
        <w:rPr>
          <w:rFonts w:ascii="Tahoma" w:eastAsia="Calibri" w:hAnsi="Tahoma" w:cs="Tahoma"/>
        </w:rPr>
        <w:t>reconocer</w:t>
      </w:r>
      <w:r w:rsidR="005D5B8A" w:rsidRPr="00414CC1">
        <w:rPr>
          <w:rFonts w:ascii="Tahoma" w:eastAsia="Calibri" w:hAnsi="Tahoma" w:cs="Tahoma"/>
        </w:rPr>
        <w:t>, liquidadas bajo los parámetros del Régimen de Prima Media</w:t>
      </w:r>
      <w:r w:rsidR="004C19F5" w:rsidRPr="00414CC1">
        <w:rPr>
          <w:rFonts w:ascii="Tahoma" w:eastAsia="Calibri" w:hAnsi="Tahoma" w:cs="Tahoma"/>
        </w:rPr>
        <w:t xml:space="preserve">, </w:t>
      </w:r>
      <w:r w:rsidR="005D5B8A" w:rsidRPr="00414CC1">
        <w:rPr>
          <w:rFonts w:ascii="Tahoma" w:eastAsia="Calibri" w:hAnsi="Tahoma" w:cs="Tahoma"/>
        </w:rPr>
        <w:t>teniendo en cuenta para ello la expectativa de vida del demandante y la de sus beneficiarios,</w:t>
      </w:r>
      <w:r w:rsidR="00A90983" w:rsidRPr="00414CC1">
        <w:rPr>
          <w:rFonts w:ascii="Tahoma" w:eastAsia="Calibri" w:hAnsi="Tahoma" w:cs="Tahoma"/>
        </w:rPr>
        <w:t xml:space="preserve"> puesto que, </w:t>
      </w:r>
      <w:r w:rsidR="005D5B8A" w:rsidRPr="00414CC1">
        <w:rPr>
          <w:rFonts w:ascii="Tahoma" w:eastAsia="Calibri" w:hAnsi="Tahoma" w:cs="Tahoma"/>
        </w:rPr>
        <w:t>son ajenas al objeto del proceso</w:t>
      </w:r>
      <w:r w:rsidR="004C19F5" w:rsidRPr="00414CC1">
        <w:rPr>
          <w:rFonts w:ascii="Tahoma" w:hAnsi="Tahoma" w:cs="Tahoma"/>
          <w:lang w:val="es"/>
        </w:rPr>
        <w:t xml:space="preserve"> y, por tanto,</w:t>
      </w:r>
      <w:r w:rsidR="00A90983" w:rsidRPr="00414CC1">
        <w:rPr>
          <w:rFonts w:ascii="Tahoma" w:hAnsi="Tahoma" w:cs="Tahoma"/>
          <w:lang w:val="es"/>
        </w:rPr>
        <w:t xml:space="preserve"> ello debe ser objeto de demanda de COLPENSIONES contra </w:t>
      </w:r>
      <w:r w:rsidR="003A0949" w:rsidRPr="00414CC1">
        <w:rPr>
          <w:rFonts w:ascii="Tahoma" w:hAnsi="Tahoma" w:cs="Tahoma"/>
          <w:lang w:val="es"/>
        </w:rPr>
        <w:t>la AFP</w:t>
      </w:r>
      <w:r w:rsidR="00A90983" w:rsidRPr="00414CC1">
        <w:rPr>
          <w:rFonts w:ascii="Tahoma" w:hAnsi="Tahoma" w:cs="Tahoma"/>
          <w:lang w:val="es"/>
        </w:rPr>
        <w:t xml:space="preserve"> a efectos de que esta última ejerza debidamente su derecho de defensa. En consecuencia, el cálculo actuarial solicitado por COLPENSIONES no puede analizarse en este asunto porque no hay pretensiones en ese sentido. </w:t>
      </w:r>
    </w:p>
    <w:p w14:paraId="63A3C61B" w14:textId="2B0DFA90" w:rsidR="16AE06FE" w:rsidRPr="00414CC1" w:rsidRDefault="16AE06FE" w:rsidP="00414CC1">
      <w:pPr>
        <w:widowControl w:val="0"/>
        <w:spacing w:before="0" w:beforeAutospacing="0" w:after="0" w:afterAutospacing="0" w:line="276" w:lineRule="auto"/>
        <w:ind w:firstLine="708"/>
        <w:rPr>
          <w:rFonts w:ascii="Tahoma" w:hAnsi="Tahoma" w:cs="Tahoma"/>
          <w:lang w:val="es"/>
        </w:rPr>
      </w:pPr>
    </w:p>
    <w:p w14:paraId="544451BA" w14:textId="77777777" w:rsidR="00B35DF0" w:rsidRPr="00414CC1" w:rsidRDefault="00B35DF0" w:rsidP="00414CC1">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414CC1">
        <w:rPr>
          <w:rFonts w:ascii="Tahoma" w:eastAsia="Calibri" w:hAnsi="Tahoma" w:cs="Tahoma"/>
          <w:lang w:val="es-ES"/>
        </w:rPr>
        <w:t xml:space="preserve">Por último, </w:t>
      </w:r>
      <w:r w:rsidRPr="00414CC1">
        <w:rPr>
          <w:rFonts w:ascii="Tahoma" w:hAnsi="Tahoma" w:cs="Tahoma"/>
        </w:rPr>
        <w:t xml:space="preserve">respecto a la solicitud de la AFP Porvenir S.A., que no se le condene en costas, suficiente es con indicar, en primer lugar, que al haber existido controversia e incluso oposición frente al debate jurídico puesto en conocimiento de la Judicatura, conforme lo faculta el artículo 365 del CGP, hay lugar a condenar en costas a quien resulta vencido en la contienda y, en segundo lugar, por cuanto -contrario a lo expuesto en la censura- en la presente litis no quedó acreditado que se hubiese cumplido el deber legal de brindar al demandante la asesoría exigida en el momento en que se trasladó al RAIS, de ahí que se esté declarando la </w:t>
      </w:r>
      <w:r w:rsidRPr="00414CC1">
        <w:rPr>
          <w:rFonts w:ascii="Tahoma" w:eastAsia="Calibri" w:hAnsi="Tahoma" w:cs="Tahoma"/>
          <w:lang w:eastAsia="es-CO"/>
        </w:rPr>
        <w:t>ineficacia del acto.</w:t>
      </w:r>
    </w:p>
    <w:p w14:paraId="60AA5910" w14:textId="77777777" w:rsidR="004C19F5" w:rsidRPr="00414CC1" w:rsidRDefault="004C19F5" w:rsidP="00414CC1">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77F03C3B" w14:textId="68FCCA08" w:rsidR="003A0949" w:rsidRPr="00414CC1" w:rsidRDefault="003A0949" w:rsidP="00414CC1">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414CC1">
        <w:rPr>
          <w:rFonts w:ascii="Tahoma" w:eastAsia="Calibri" w:hAnsi="Tahoma" w:cs="Tahoma"/>
          <w:lang w:eastAsia="es-CO"/>
        </w:rPr>
        <w:t>Ante el fracaso de</w:t>
      </w:r>
      <w:r w:rsidR="00B35DF0" w:rsidRPr="00414CC1">
        <w:rPr>
          <w:rFonts w:ascii="Tahoma" w:eastAsia="Calibri" w:hAnsi="Tahoma" w:cs="Tahoma"/>
          <w:lang w:eastAsia="es-CO"/>
        </w:rPr>
        <w:t xml:space="preserve"> </w:t>
      </w:r>
      <w:r w:rsidRPr="00414CC1">
        <w:rPr>
          <w:rFonts w:ascii="Tahoma" w:eastAsia="Calibri" w:hAnsi="Tahoma" w:cs="Tahoma"/>
          <w:lang w:eastAsia="es-CO"/>
        </w:rPr>
        <w:t>l</w:t>
      </w:r>
      <w:r w:rsidR="00B35DF0" w:rsidRPr="00414CC1">
        <w:rPr>
          <w:rFonts w:ascii="Tahoma" w:eastAsia="Calibri" w:hAnsi="Tahoma" w:cs="Tahoma"/>
          <w:lang w:eastAsia="es-CO"/>
        </w:rPr>
        <w:t>os</w:t>
      </w:r>
      <w:r w:rsidRPr="00414CC1">
        <w:rPr>
          <w:rFonts w:ascii="Tahoma" w:eastAsia="Calibri" w:hAnsi="Tahoma" w:cs="Tahoma"/>
          <w:lang w:eastAsia="es-CO"/>
        </w:rPr>
        <w:t xml:space="preserve"> recurso</w:t>
      </w:r>
      <w:r w:rsidR="00B35DF0" w:rsidRPr="00414CC1">
        <w:rPr>
          <w:rFonts w:ascii="Tahoma" w:eastAsia="Calibri" w:hAnsi="Tahoma" w:cs="Tahoma"/>
          <w:lang w:eastAsia="es-CO"/>
        </w:rPr>
        <w:t>s</w:t>
      </w:r>
      <w:r w:rsidRPr="00414CC1">
        <w:rPr>
          <w:rFonts w:ascii="Tahoma" w:eastAsia="Calibri" w:hAnsi="Tahoma" w:cs="Tahoma"/>
          <w:lang w:eastAsia="es-CO"/>
        </w:rPr>
        <w:t xml:space="preserve"> de apelación, de conformidad con el artículo 365 del CGP, se condenará en costas procesales a </w:t>
      </w:r>
      <w:r w:rsidR="006D3F76" w:rsidRPr="00414CC1">
        <w:rPr>
          <w:rFonts w:ascii="Tahoma" w:eastAsia="Calibri" w:hAnsi="Tahoma" w:cs="Tahoma"/>
          <w:lang w:eastAsia="es-CO"/>
        </w:rPr>
        <w:t>Colpensiones</w:t>
      </w:r>
      <w:r w:rsidRPr="00414CC1">
        <w:rPr>
          <w:rFonts w:ascii="Tahoma" w:eastAsia="Calibri" w:hAnsi="Tahoma" w:cs="Tahoma"/>
          <w:lang w:eastAsia="es-CO"/>
        </w:rPr>
        <w:t xml:space="preserve"> </w:t>
      </w:r>
      <w:r w:rsidR="00B35DF0" w:rsidRPr="00414CC1">
        <w:rPr>
          <w:rFonts w:ascii="Tahoma" w:eastAsia="Calibri" w:hAnsi="Tahoma" w:cs="Tahoma"/>
          <w:lang w:eastAsia="es-CO"/>
        </w:rPr>
        <w:t xml:space="preserve">y a Porvenir S.A. </w:t>
      </w:r>
      <w:r w:rsidR="00E6099E" w:rsidRPr="00414CC1">
        <w:rPr>
          <w:rFonts w:ascii="Tahoma" w:eastAsia="Calibri" w:hAnsi="Tahoma" w:cs="Tahoma"/>
          <w:lang w:eastAsia="es-CO"/>
        </w:rPr>
        <w:t>en</w:t>
      </w:r>
      <w:r w:rsidRPr="00414CC1">
        <w:rPr>
          <w:rFonts w:ascii="Tahoma" w:eastAsia="Calibri" w:hAnsi="Tahoma" w:cs="Tahoma"/>
          <w:lang w:eastAsia="es-CO"/>
        </w:rPr>
        <w:t xml:space="preserve"> favor de la parte actora, las cuales se liquidarán por la secretaría del juzgado de origen. </w:t>
      </w:r>
    </w:p>
    <w:p w14:paraId="180F9CBD" w14:textId="77777777" w:rsidR="008C3C1E" w:rsidRPr="00414CC1" w:rsidRDefault="008C3C1E" w:rsidP="00414CC1">
      <w:pPr>
        <w:spacing w:before="0" w:beforeAutospacing="0" w:after="0" w:afterAutospacing="0" w:line="276" w:lineRule="auto"/>
        <w:ind w:firstLine="284"/>
        <w:rPr>
          <w:rFonts w:ascii="Tahoma" w:eastAsia="Tahoma" w:hAnsi="Tahoma" w:cs="Tahoma"/>
          <w:lang w:eastAsia="es-CO"/>
        </w:rPr>
      </w:pPr>
    </w:p>
    <w:p w14:paraId="29FCCA0A" w14:textId="77777777" w:rsidR="008C3C1E" w:rsidRPr="00414CC1" w:rsidRDefault="008C3C1E" w:rsidP="00414CC1">
      <w:pPr>
        <w:spacing w:before="0" w:beforeAutospacing="0" w:after="0" w:afterAutospacing="0" w:line="276" w:lineRule="auto"/>
        <w:ind w:firstLine="708"/>
        <w:rPr>
          <w:rFonts w:ascii="Tahoma" w:eastAsia="Tahoma" w:hAnsi="Tahoma" w:cs="Tahoma"/>
          <w:lang w:eastAsia="es-CO"/>
        </w:rPr>
      </w:pPr>
      <w:r w:rsidRPr="00414CC1">
        <w:rPr>
          <w:rFonts w:ascii="Tahoma" w:eastAsia="Tahoma" w:hAnsi="Tahoma" w:cs="Tahoma"/>
          <w:lang w:eastAsia="es-CO"/>
        </w:rPr>
        <w:t xml:space="preserve">En mérito de lo expuesto, el </w:t>
      </w:r>
      <w:r w:rsidRPr="00414CC1">
        <w:rPr>
          <w:rFonts w:ascii="Tahoma" w:eastAsia="Tahoma" w:hAnsi="Tahoma" w:cs="Tahoma"/>
          <w:b/>
          <w:bCs/>
          <w:lang w:eastAsia="es-CO"/>
        </w:rPr>
        <w:t>Tribunal Superior del Distrito Judicial de Pereira - Risaralda, Sala Primera de Decisión Laboral,</w:t>
      </w:r>
      <w:r w:rsidRPr="00414CC1">
        <w:rPr>
          <w:rFonts w:ascii="Tahoma" w:eastAsia="Tahoma" w:hAnsi="Tahoma" w:cs="Tahoma"/>
          <w:lang w:eastAsia="es-CO"/>
        </w:rPr>
        <w:t xml:space="preserve"> administrando justicia en nombre de la República y por autoridad de la ley,</w:t>
      </w:r>
    </w:p>
    <w:p w14:paraId="61DFB121" w14:textId="07398830" w:rsidR="008C3C1E" w:rsidRDefault="008C3C1E" w:rsidP="00414CC1">
      <w:pPr>
        <w:spacing w:before="0" w:beforeAutospacing="0" w:after="0" w:afterAutospacing="0" w:line="276" w:lineRule="auto"/>
        <w:ind w:firstLine="644"/>
        <w:rPr>
          <w:rFonts w:ascii="Tahoma" w:eastAsia="Tahoma" w:hAnsi="Tahoma" w:cs="Tahoma"/>
          <w:lang w:eastAsia="es-CO"/>
        </w:rPr>
      </w:pPr>
      <w:r w:rsidRPr="00414CC1">
        <w:rPr>
          <w:rFonts w:ascii="Tahoma" w:eastAsia="Tahoma" w:hAnsi="Tahoma" w:cs="Tahoma"/>
          <w:lang w:eastAsia="es-CO"/>
        </w:rPr>
        <w:t xml:space="preserve"> </w:t>
      </w:r>
    </w:p>
    <w:p w14:paraId="452A500F" w14:textId="77777777" w:rsidR="008834BD" w:rsidRPr="00414CC1" w:rsidRDefault="008834BD" w:rsidP="00414CC1">
      <w:pPr>
        <w:spacing w:before="0" w:beforeAutospacing="0" w:after="0" w:afterAutospacing="0" w:line="276" w:lineRule="auto"/>
        <w:ind w:firstLine="644"/>
        <w:rPr>
          <w:rFonts w:ascii="Tahoma" w:eastAsia="Tahoma" w:hAnsi="Tahoma" w:cs="Tahoma"/>
          <w:lang w:eastAsia="es-CO"/>
        </w:rPr>
      </w:pPr>
    </w:p>
    <w:p w14:paraId="5D9B3479" w14:textId="77777777" w:rsidR="008C3C1E" w:rsidRPr="00414CC1" w:rsidRDefault="008C3C1E" w:rsidP="00414CC1">
      <w:pPr>
        <w:spacing w:before="0" w:beforeAutospacing="0" w:after="0" w:afterAutospacing="0" w:line="276" w:lineRule="auto"/>
        <w:ind w:firstLine="284"/>
        <w:jc w:val="center"/>
        <w:rPr>
          <w:rFonts w:ascii="Tahoma" w:eastAsia="Tahoma" w:hAnsi="Tahoma" w:cs="Tahoma"/>
          <w:lang w:eastAsia="es-CO"/>
        </w:rPr>
      </w:pPr>
      <w:r w:rsidRPr="00414CC1">
        <w:rPr>
          <w:rFonts w:ascii="Tahoma" w:eastAsia="Tahoma" w:hAnsi="Tahoma" w:cs="Tahoma"/>
          <w:b/>
          <w:bCs/>
          <w:lang w:eastAsia="es-CO"/>
        </w:rPr>
        <w:t>RESUELVE</w:t>
      </w:r>
    </w:p>
    <w:p w14:paraId="0F21B4B1" w14:textId="12142089" w:rsidR="16AE06FE" w:rsidRPr="00414CC1" w:rsidRDefault="16AE06FE" w:rsidP="00414CC1">
      <w:pPr>
        <w:spacing w:before="0" w:beforeAutospacing="0" w:after="0" w:afterAutospacing="0" w:line="276" w:lineRule="auto"/>
        <w:ind w:firstLine="284"/>
        <w:jc w:val="center"/>
        <w:rPr>
          <w:rFonts w:ascii="Tahoma" w:eastAsia="Tahoma" w:hAnsi="Tahoma" w:cs="Tahoma"/>
          <w:b/>
          <w:bCs/>
          <w:lang w:eastAsia="es-CO"/>
        </w:rPr>
      </w:pPr>
    </w:p>
    <w:p w14:paraId="7295F665" w14:textId="709D3941" w:rsidR="00B35DF0" w:rsidRPr="00414CC1" w:rsidRDefault="00B35DF0" w:rsidP="00414CC1">
      <w:pPr>
        <w:pStyle w:val="paragraph"/>
        <w:spacing w:before="0" w:beforeAutospacing="0" w:after="0" w:afterAutospacing="0" w:line="276" w:lineRule="auto"/>
        <w:ind w:firstLine="705"/>
        <w:jc w:val="both"/>
        <w:textAlignment w:val="baseline"/>
        <w:rPr>
          <w:rFonts w:ascii="Tahoma" w:hAnsi="Tahoma" w:cs="Tahoma"/>
        </w:rPr>
      </w:pPr>
      <w:r w:rsidRPr="00414CC1">
        <w:rPr>
          <w:rStyle w:val="normaltextrun"/>
          <w:rFonts w:ascii="Tahoma" w:hAnsi="Tahoma" w:cs="Tahoma"/>
          <w:b/>
          <w:bCs/>
        </w:rPr>
        <w:t xml:space="preserve">PRIMERO: MODIFICAR </w:t>
      </w:r>
      <w:r w:rsidRPr="00414CC1">
        <w:rPr>
          <w:rStyle w:val="normaltextrun"/>
          <w:rFonts w:ascii="Tahoma" w:hAnsi="Tahoma" w:cs="Tahoma"/>
        </w:rPr>
        <w:t xml:space="preserve">los numerales cuarto y quinto de la sentencia proferida por el Juzgado Primero Laboral del Circuito de Pereira el 09 de febrero de 2023, dentro del proceso ordinario laboral instaurado por </w:t>
      </w:r>
      <w:r w:rsidRPr="00414CC1">
        <w:rPr>
          <w:rFonts w:ascii="Tahoma" w:hAnsi="Tahoma" w:cs="Tahoma"/>
          <w:b/>
          <w:bCs/>
        </w:rPr>
        <w:t xml:space="preserve">Gloria Cecilia Mazo Mazo </w:t>
      </w:r>
      <w:r w:rsidRPr="00414CC1">
        <w:rPr>
          <w:rFonts w:ascii="Tahoma" w:hAnsi="Tahoma" w:cs="Tahoma"/>
        </w:rPr>
        <w:t>en contra de la</w:t>
      </w:r>
      <w:r w:rsidRPr="00414CC1">
        <w:rPr>
          <w:rFonts w:ascii="Tahoma" w:hAnsi="Tahoma" w:cs="Tahoma"/>
          <w:b/>
          <w:bCs/>
        </w:rPr>
        <w:t xml:space="preserve"> Administradora Colombiana de Pensiones – Colpensiones </w:t>
      </w:r>
      <w:r w:rsidRPr="00414CC1">
        <w:rPr>
          <w:rFonts w:ascii="Tahoma" w:hAnsi="Tahoma" w:cs="Tahoma"/>
        </w:rPr>
        <w:t xml:space="preserve">y la </w:t>
      </w:r>
      <w:r w:rsidRPr="00414CC1">
        <w:rPr>
          <w:rFonts w:ascii="Tahoma" w:hAnsi="Tahoma" w:cs="Tahoma"/>
          <w:b/>
        </w:rPr>
        <w:t>Administradora de Fondos de Pensiones y Cesantías Porvenir S.A.</w:t>
      </w:r>
    </w:p>
    <w:p w14:paraId="7E1A7799" w14:textId="77777777" w:rsidR="00B35DF0" w:rsidRPr="00414CC1" w:rsidRDefault="00B35DF0" w:rsidP="00414CC1">
      <w:pPr>
        <w:pStyle w:val="paragraph"/>
        <w:spacing w:before="0" w:beforeAutospacing="0" w:after="0" w:afterAutospacing="0" w:line="276" w:lineRule="auto"/>
        <w:ind w:firstLine="705"/>
        <w:jc w:val="both"/>
        <w:textAlignment w:val="baseline"/>
        <w:rPr>
          <w:rFonts w:ascii="Tahoma" w:hAnsi="Tahoma" w:cs="Tahoma"/>
        </w:rPr>
      </w:pPr>
      <w:r w:rsidRPr="00414CC1">
        <w:rPr>
          <w:rStyle w:val="eop"/>
          <w:rFonts w:ascii="Tahoma" w:hAnsi="Tahoma" w:cs="Tahoma"/>
        </w:rPr>
        <w:t> </w:t>
      </w:r>
    </w:p>
    <w:p w14:paraId="081DE16A" w14:textId="3248B48D" w:rsidR="00B35DF0" w:rsidRPr="00414CC1" w:rsidRDefault="00B35DF0" w:rsidP="00414CC1">
      <w:pPr>
        <w:pStyle w:val="paragraph"/>
        <w:spacing w:before="0" w:beforeAutospacing="0" w:after="0" w:afterAutospacing="0" w:line="276" w:lineRule="auto"/>
        <w:ind w:left="426" w:right="420" w:firstLine="705"/>
        <w:jc w:val="both"/>
        <w:textAlignment w:val="baseline"/>
        <w:rPr>
          <w:rStyle w:val="normaltextrun"/>
          <w:rFonts w:ascii="Tahoma" w:hAnsi="Tahoma" w:cs="Tahoma"/>
          <w:i/>
          <w:iCs/>
        </w:rPr>
      </w:pPr>
      <w:r w:rsidRPr="00414CC1">
        <w:rPr>
          <w:rStyle w:val="normaltextrun"/>
          <w:rFonts w:ascii="Tahoma" w:hAnsi="Tahoma" w:cs="Tahoma"/>
          <w:i/>
          <w:iCs/>
        </w:rPr>
        <w:lastRenderedPageBreak/>
        <w:t xml:space="preserve">“CUARTO: </w:t>
      </w:r>
      <w:bookmarkStart w:id="4" w:name="_GoBack"/>
      <w:r w:rsidRPr="00414CC1">
        <w:rPr>
          <w:rStyle w:val="normaltextrun"/>
          <w:rFonts w:ascii="Tahoma" w:hAnsi="Tahoma" w:cs="Tahoma"/>
          <w:i/>
          <w:iCs/>
        </w:rPr>
        <w:t xml:space="preserve">SE ORDENA </w:t>
      </w:r>
      <w:bookmarkEnd w:id="4"/>
      <w:r w:rsidRPr="00414CC1">
        <w:rPr>
          <w:rStyle w:val="normaltextrun"/>
          <w:rFonts w:ascii="Tahoma" w:hAnsi="Tahoma" w:cs="Tahoma"/>
          <w:i/>
          <w:iCs/>
        </w:rPr>
        <w:t>librar comunicación de esta decisión al DEPARTAMENTO DE ANTIOQUIA, para que, en caso de haber emitido el bono pensional, proceda con la anulación del mismo mediante trámite interno, aplicando lo previsto en el Decreto 833 de 2016, que compila las normas en esta materia.</w:t>
      </w:r>
    </w:p>
    <w:p w14:paraId="2A43534D" w14:textId="77777777" w:rsidR="00B35DF0" w:rsidRPr="00414CC1" w:rsidRDefault="00B35DF0" w:rsidP="00414CC1">
      <w:pPr>
        <w:pStyle w:val="paragraph"/>
        <w:spacing w:before="0" w:beforeAutospacing="0" w:after="0" w:afterAutospacing="0" w:line="276" w:lineRule="auto"/>
        <w:ind w:left="426" w:right="420" w:firstLine="705"/>
        <w:jc w:val="both"/>
        <w:textAlignment w:val="baseline"/>
        <w:rPr>
          <w:rStyle w:val="normaltextrun"/>
          <w:rFonts w:ascii="Tahoma" w:hAnsi="Tahoma" w:cs="Tahoma"/>
          <w:i/>
          <w:iCs/>
        </w:rPr>
      </w:pPr>
    </w:p>
    <w:p w14:paraId="4F7618B1" w14:textId="6EB3C720" w:rsidR="00B35DF0" w:rsidRPr="00414CC1" w:rsidRDefault="00B35DF0" w:rsidP="00414CC1">
      <w:pPr>
        <w:pStyle w:val="paragraph"/>
        <w:spacing w:before="0" w:beforeAutospacing="0" w:after="0" w:afterAutospacing="0" w:line="276" w:lineRule="auto"/>
        <w:ind w:left="426" w:right="420" w:firstLine="705"/>
        <w:jc w:val="both"/>
        <w:textAlignment w:val="baseline"/>
        <w:rPr>
          <w:rFonts w:ascii="Tahoma" w:hAnsi="Tahoma" w:cs="Tahoma"/>
        </w:rPr>
      </w:pPr>
      <w:r w:rsidRPr="00414CC1">
        <w:rPr>
          <w:rStyle w:val="normaltextrun"/>
          <w:rFonts w:ascii="Tahoma" w:hAnsi="Tahoma" w:cs="Tahoma"/>
          <w:i/>
          <w:iCs/>
        </w:rPr>
        <w:t>QUINTO: ORDENAR a la Administradora de Fondos de Pensiones y Cesantías PORVENIR S.A., que, en el evento de habérsele pagado el bono pensional, restituya la suma que hubiese recibido al DEPARTAMENTO DE ANTIOQUIA, debidamente actualizada a valor presente, debiendo cancelarse dicha indexación con los recursos propios de dicha AFP”</w:t>
      </w:r>
      <w:r w:rsidRPr="00414CC1">
        <w:rPr>
          <w:rStyle w:val="eop"/>
          <w:rFonts w:ascii="Tahoma" w:hAnsi="Tahoma" w:cs="Tahoma"/>
        </w:rPr>
        <w:t> </w:t>
      </w:r>
    </w:p>
    <w:p w14:paraId="009E14FF" w14:textId="77777777" w:rsidR="00B35DF0" w:rsidRPr="00414CC1" w:rsidRDefault="00B35DF0" w:rsidP="00414CC1">
      <w:pPr>
        <w:pStyle w:val="paragraph"/>
        <w:spacing w:before="0" w:beforeAutospacing="0" w:after="0" w:afterAutospacing="0" w:line="276" w:lineRule="auto"/>
        <w:ind w:firstLine="705"/>
        <w:jc w:val="both"/>
        <w:textAlignment w:val="baseline"/>
        <w:rPr>
          <w:rFonts w:ascii="Tahoma" w:hAnsi="Tahoma" w:cs="Tahoma"/>
        </w:rPr>
      </w:pPr>
      <w:r w:rsidRPr="00414CC1">
        <w:rPr>
          <w:rStyle w:val="eop"/>
          <w:rFonts w:ascii="Tahoma" w:hAnsi="Tahoma" w:cs="Tahoma"/>
        </w:rPr>
        <w:t> </w:t>
      </w:r>
    </w:p>
    <w:p w14:paraId="097C5426" w14:textId="686B19DF" w:rsidR="00B35DF0" w:rsidRPr="00414CC1" w:rsidRDefault="00B35DF0" w:rsidP="00414CC1">
      <w:pPr>
        <w:spacing w:before="0" w:beforeAutospacing="0" w:after="0" w:afterAutospacing="0" w:line="276" w:lineRule="auto"/>
        <w:ind w:firstLine="708"/>
        <w:textAlignment w:val="baseline"/>
        <w:rPr>
          <w:rFonts w:ascii="Tahoma" w:hAnsi="Tahoma" w:cs="Tahoma"/>
        </w:rPr>
      </w:pPr>
      <w:r w:rsidRPr="00414CC1">
        <w:rPr>
          <w:rStyle w:val="normaltextrun"/>
          <w:rFonts w:ascii="Tahoma" w:hAnsi="Tahoma" w:cs="Tahoma"/>
          <w:b/>
          <w:bCs/>
        </w:rPr>
        <w:t xml:space="preserve">SEGUNDO: </w:t>
      </w:r>
      <w:r w:rsidR="70605F14" w:rsidRPr="00414CC1">
        <w:rPr>
          <w:rFonts w:ascii="Tahoma" w:eastAsia="Tahoma" w:hAnsi="Tahoma" w:cs="Tahoma"/>
          <w:b/>
          <w:bCs/>
          <w:color w:val="000000" w:themeColor="text1"/>
        </w:rPr>
        <w:t xml:space="preserve">ADICIONAR </w:t>
      </w:r>
      <w:r w:rsidR="70605F14" w:rsidRPr="00414CC1">
        <w:rPr>
          <w:rFonts w:ascii="Tahoma" w:eastAsia="Tahoma" w:hAnsi="Tahoma" w:cs="Tahoma"/>
          <w:color w:val="000000" w:themeColor="text1"/>
        </w:rPr>
        <w:t xml:space="preserve">la sentencia consultada y recurrida en el siguiente sentido: </w:t>
      </w:r>
    </w:p>
    <w:p w14:paraId="6BC9C78C" w14:textId="78B88257" w:rsidR="00B35DF0" w:rsidRPr="00414CC1" w:rsidRDefault="70605F14" w:rsidP="00414CC1">
      <w:pPr>
        <w:spacing w:before="0" w:beforeAutospacing="0" w:after="0" w:afterAutospacing="0" w:line="276" w:lineRule="auto"/>
        <w:ind w:firstLine="708"/>
        <w:textAlignment w:val="baseline"/>
        <w:rPr>
          <w:rFonts w:ascii="Tahoma" w:hAnsi="Tahoma" w:cs="Tahoma"/>
        </w:rPr>
      </w:pPr>
      <w:r w:rsidRPr="00414CC1">
        <w:rPr>
          <w:rFonts w:ascii="Tahoma" w:eastAsia="Tahoma" w:hAnsi="Tahoma" w:cs="Tahoma"/>
          <w:color w:val="000000" w:themeColor="text1"/>
        </w:rPr>
        <w:t xml:space="preserve"> </w:t>
      </w:r>
    </w:p>
    <w:p w14:paraId="7F94C4EA" w14:textId="41C2494E" w:rsidR="00B35DF0" w:rsidRPr="00414CC1" w:rsidRDefault="70605F14" w:rsidP="00414CC1">
      <w:pPr>
        <w:spacing w:before="0" w:beforeAutospacing="0" w:after="0" w:afterAutospacing="0" w:line="276" w:lineRule="auto"/>
        <w:ind w:left="426" w:right="420"/>
        <w:textAlignment w:val="baseline"/>
        <w:rPr>
          <w:rFonts w:ascii="Tahoma" w:eastAsia="Arial Narrow" w:hAnsi="Tahoma" w:cs="Tahoma"/>
          <w:i/>
          <w:iCs/>
          <w:color w:val="000000" w:themeColor="text1"/>
        </w:rPr>
      </w:pPr>
      <w:r w:rsidRPr="00414CC1">
        <w:rPr>
          <w:rFonts w:ascii="Tahoma" w:eastAsia="Arial Narrow" w:hAnsi="Tahoma" w:cs="Tahoma"/>
          <w:i/>
          <w:iCs/>
          <w:color w:val="000000" w:themeColor="text1"/>
        </w:rPr>
        <w:t xml:space="preserve">“al momento de cumplirse la orden prevista en </w:t>
      </w:r>
      <w:r w:rsidR="11921E9E" w:rsidRPr="00414CC1">
        <w:rPr>
          <w:rFonts w:ascii="Tahoma" w:eastAsia="Arial Narrow" w:hAnsi="Tahoma" w:cs="Tahoma"/>
          <w:i/>
          <w:iCs/>
          <w:color w:val="000000" w:themeColor="text1"/>
        </w:rPr>
        <w:t>El numeral tercero</w:t>
      </w:r>
      <w:r w:rsidRPr="00414CC1">
        <w:rPr>
          <w:rFonts w:ascii="Tahoma" w:eastAsia="Arial Narrow" w:hAnsi="Tahoma" w:cs="Tahoma"/>
          <w:i/>
          <w:iCs/>
          <w:color w:val="000000" w:themeColor="text1"/>
        </w:rPr>
        <w:t>, tales valores deberán aparecer discriminados con sus respectivos montos, junto con el detalle pormenorizado de los ciclos, IBC, aportes y demás información relevante que los justifiquen”.</w:t>
      </w:r>
    </w:p>
    <w:p w14:paraId="4B98342E" w14:textId="1865166C" w:rsidR="00B35DF0" w:rsidRPr="00414CC1" w:rsidRDefault="00B35DF0" w:rsidP="00414CC1">
      <w:pPr>
        <w:pStyle w:val="paragraph"/>
        <w:spacing w:before="0" w:beforeAutospacing="0" w:after="0" w:afterAutospacing="0" w:line="276" w:lineRule="auto"/>
        <w:ind w:firstLine="705"/>
        <w:jc w:val="both"/>
        <w:textAlignment w:val="baseline"/>
        <w:rPr>
          <w:rStyle w:val="eop"/>
          <w:rFonts w:ascii="Tahoma" w:hAnsi="Tahoma" w:cs="Tahoma"/>
        </w:rPr>
      </w:pPr>
    </w:p>
    <w:p w14:paraId="2916B5BC" w14:textId="77777777" w:rsidR="00B35DF0" w:rsidRPr="00414CC1" w:rsidRDefault="00B35DF0" w:rsidP="00414CC1">
      <w:pPr>
        <w:pStyle w:val="paragraph"/>
        <w:spacing w:before="0" w:beforeAutospacing="0" w:after="0" w:afterAutospacing="0" w:line="276" w:lineRule="auto"/>
        <w:jc w:val="both"/>
        <w:textAlignment w:val="baseline"/>
        <w:rPr>
          <w:rFonts w:ascii="Tahoma" w:hAnsi="Tahoma" w:cs="Tahoma"/>
        </w:rPr>
      </w:pPr>
      <w:r w:rsidRPr="00414CC1">
        <w:rPr>
          <w:rStyle w:val="eop"/>
          <w:rFonts w:ascii="Tahoma" w:hAnsi="Tahoma" w:cs="Tahoma"/>
        </w:rPr>
        <w:t> </w:t>
      </w:r>
    </w:p>
    <w:p w14:paraId="28EF560E" w14:textId="05BF9426" w:rsidR="00B35DF0" w:rsidRPr="00414CC1" w:rsidRDefault="00B35DF0" w:rsidP="00414CC1">
      <w:pPr>
        <w:pStyle w:val="paragraph"/>
        <w:spacing w:before="0" w:beforeAutospacing="0" w:after="0" w:afterAutospacing="0" w:line="276" w:lineRule="auto"/>
        <w:ind w:firstLine="705"/>
        <w:jc w:val="both"/>
        <w:textAlignment w:val="baseline"/>
        <w:rPr>
          <w:rStyle w:val="eop"/>
          <w:rFonts w:ascii="Tahoma" w:hAnsi="Tahoma" w:cs="Tahoma"/>
        </w:rPr>
      </w:pPr>
      <w:r w:rsidRPr="00414CC1">
        <w:rPr>
          <w:rStyle w:val="normaltextrun"/>
          <w:rFonts w:ascii="Tahoma" w:hAnsi="Tahoma" w:cs="Tahoma"/>
          <w:b/>
          <w:bCs/>
        </w:rPr>
        <w:t xml:space="preserve">TERCERO: </w:t>
      </w:r>
      <w:r w:rsidR="38221047" w:rsidRPr="00414CC1">
        <w:rPr>
          <w:rStyle w:val="normaltextrun"/>
          <w:rFonts w:ascii="Tahoma" w:hAnsi="Tahoma" w:cs="Tahoma"/>
          <w:b/>
          <w:bCs/>
        </w:rPr>
        <w:t xml:space="preserve">CONFIRMAR </w:t>
      </w:r>
      <w:r w:rsidR="38221047" w:rsidRPr="00414CC1">
        <w:rPr>
          <w:rStyle w:val="normaltextrun"/>
          <w:rFonts w:ascii="Tahoma" w:hAnsi="Tahoma" w:cs="Tahoma"/>
        </w:rPr>
        <w:t>en todo lo demás la sentencia apelada y consultada.</w:t>
      </w:r>
    </w:p>
    <w:p w14:paraId="0C43B6A4" w14:textId="1BB45732" w:rsidR="00B35DF0" w:rsidRPr="00414CC1" w:rsidRDefault="00B35DF0" w:rsidP="00414CC1">
      <w:pPr>
        <w:pStyle w:val="paragraph"/>
        <w:spacing w:before="0" w:beforeAutospacing="0" w:after="0" w:afterAutospacing="0" w:line="276" w:lineRule="auto"/>
        <w:ind w:firstLine="705"/>
        <w:jc w:val="both"/>
        <w:textAlignment w:val="baseline"/>
        <w:rPr>
          <w:rStyle w:val="normaltextrun"/>
          <w:rFonts w:ascii="Tahoma" w:hAnsi="Tahoma" w:cs="Tahoma"/>
          <w:b/>
          <w:bCs/>
        </w:rPr>
      </w:pPr>
    </w:p>
    <w:p w14:paraId="6746B740" w14:textId="5EC78609" w:rsidR="00B35DF0" w:rsidRPr="00414CC1" w:rsidRDefault="38221047" w:rsidP="00414CC1">
      <w:pPr>
        <w:pStyle w:val="paragraph"/>
        <w:spacing w:before="0" w:beforeAutospacing="0" w:after="0" w:afterAutospacing="0" w:line="276" w:lineRule="auto"/>
        <w:ind w:firstLine="705"/>
        <w:jc w:val="both"/>
        <w:textAlignment w:val="baseline"/>
        <w:rPr>
          <w:rFonts w:ascii="Tahoma" w:hAnsi="Tahoma" w:cs="Tahoma"/>
        </w:rPr>
      </w:pPr>
      <w:r w:rsidRPr="00414CC1">
        <w:rPr>
          <w:rStyle w:val="normaltextrun"/>
          <w:rFonts w:ascii="Tahoma" w:hAnsi="Tahoma" w:cs="Tahoma"/>
          <w:b/>
          <w:bCs/>
        </w:rPr>
        <w:t xml:space="preserve">CUARTO: </w:t>
      </w:r>
      <w:r w:rsidR="00B35DF0" w:rsidRPr="00414CC1">
        <w:rPr>
          <w:rStyle w:val="normaltextrun"/>
          <w:rFonts w:ascii="Tahoma" w:hAnsi="Tahoma" w:cs="Tahoma"/>
          <w:b/>
          <w:bCs/>
        </w:rPr>
        <w:t>CONDENAR</w:t>
      </w:r>
      <w:r w:rsidR="00B35DF0" w:rsidRPr="00414CC1">
        <w:rPr>
          <w:rStyle w:val="normaltextrun"/>
          <w:rFonts w:ascii="Tahoma" w:hAnsi="Tahoma" w:cs="Tahoma"/>
        </w:rPr>
        <w:t xml:space="preserve"> en costas de segunda instancia a Colpensiones y Porvenir S.A. en un 100% en favor de la parte demandante. Liquídense por la secretaría del juzgado de origen.</w:t>
      </w:r>
      <w:r w:rsidR="00B35DF0" w:rsidRPr="00414CC1">
        <w:rPr>
          <w:rStyle w:val="eop"/>
          <w:rFonts w:ascii="Tahoma" w:hAnsi="Tahoma" w:cs="Tahoma"/>
        </w:rPr>
        <w:t> </w:t>
      </w:r>
    </w:p>
    <w:p w14:paraId="72251BD0" w14:textId="77777777" w:rsidR="00414CC1" w:rsidRPr="006622A2" w:rsidRDefault="00414CC1" w:rsidP="00414CC1">
      <w:pPr>
        <w:spacing w:before="0" w:beforeAutospacing="0" w:after="0" w:afterAutospacing="0" w:line="276" w:lineRule="auto"/>
        <w:ind w:firstLine="0"/>
        <w:rPr>
          <w:rFonts w:ascii="Tahoma" w:eastAsia="Calibri" w:hAnsi="Tahoma" w:cs="Tahoma"/>
        </w:rPr>
      </w:pPr>
      <w:bookmarkStart w:id="5" w:name="_Hlk126574973"/>
    </w:p>
    <w:p w14:paraId="14A8E4E4" w14:textId="77777777" w:rsidR="00414CC1" w:rsidRPr="006622A2" w:rsidRDefault="00414CC1" w:rsidP="00414CC1">
      <w:pPr>
        <w:spacing w:before="0" w:beforeAutospacing="0" w:after="0" w:afterAutospacing="0" w:line="276" w:lineRule="auto"/>
        <w:ind w:firstLine="0"/>
        <w:jc w:val="center"/>
        <w:rPr>
          <w:rFonts w:ascii="Tahoma" w:eastAsia="Tahoma" w:hAnsi="Tahoma" w:cs="Tahoma"/>
          <w:b/>
          <w:bCs/>
        </w:rPr>
      </w:pPr>
      <w:r w:rsidRPr="006622A2">
        <w:rPr>
          <w:rFonts w:ascii="Tahoma" w:eastAsia="Tahoma" w:hAnsi="Tahoma" w:cs="Tahoma"/>
          <w:b/>
          <w:bCs/>
        </w:rPr>
        <w:t>NOTIFÍQUESE Y CÚMPLASE</w:t>
      </w:r>
    </w:p>
    <w:p w14:paraId="2E61A8B7" w14:textId="77777777" w:rsidR="00414CC1" w:rsidRPr="006622A2" w:rsidRDefault="00414CC1" w:rsidP="00414CC1">
      <w:pPr>
        <w:spacing w:before="0" w:beforeAutospacing="0" w:after="0" w:afterAutospacing="0" w:line="276" w:lineRule="auto"/>
        <w:ind w:firstLine="0"/>
        <w:rPr>
          <w:rFonts w:ascii="Tahoma" w:eastAsia="Calibri" w:hAnsi="Tahoma" w:cs="Tahoma"/>
        </w:rPr>
      </w:pPr>
      <w:r w:rsidRPr="006622A2">
        <w:rPr>
          <w:rFonts w:ascii="Tahoma" w:eastAsia="Calibri" w:hAnsi="Tahoma" w:cs="Tahoma"/>
        </w:rPr>
        <w:t xml:space="preserve"> </w:t>
      </w:r>
    </w:p>
    <w:p w14:paraId="73923C8F" w14:textId="77777777" w:rsidR="00414CC1" w:rsidRPr="006622A2" w:rsidRDefault="00414CC1" w:rsidP="00414CC1">
      <w:pPr>
        <w:widowControl w:val="0"/>
        <w:autoSpaceDE w:val="0"/>
        <w:autoSpaceDN w:val="0"/>
        <w:adjustRightInd w:val="0"/>
        <w:spacing w:before="0" w:beforeAutospacing="0" w:after="0" w:afterAutospacing="0" w:line="276" w:lineRule="auto"/>
        <w:ind w:firstLine="0"/>
        <w:rPr>
          <w:rFonts w:ascii="Tahoma" w:eastAsia="Times New Roman" w:hAnsi="Tahoma" w:cs="Tahoma"/>
          <w:lang w:val="es-ES" w:eastAsia="es-ES"/>
        </w:rPr>
      </w:pPr>
      <w:r w:rsidRPr="006622A2">
        <w:rPr>
          <w:rFonts w:ascii="Tahoma" w:eastAsia="Times New Roman" w:hAnsi="Tahoma" w:cs="Tahoma"/>
          <w:lang w:val="es-ES" w:eastAsia="es-ES"/>
        </w:rPr>
        <w:tab/>
        <w:t>La Magistrada ponente,</w:t>
      </w:r>
    </w:p>
    <w:p w14:paraId="4C2A301C" w14:textId="77777777" w:rsidR="00414CC1" w:rsidRPr="006622A2" w:rsidRDefault="00414CC1" w:rsidP="00414CC1">
      <w:pPr>
        <w:spacing w:before="0" w:beforeAutospacing="0" w:after="0" w:afterAutospacing="0" w:line="276" w:lineRule="auto"/>
        <w:ind w:firstLine="0"/>
        <w:jc w:val="left"/>
        <w:rPr>
          <w:rFonts w:ascii="Tahoma" w:eastAsia="Times New Roman" w:hAnsi="Tahoma" w:cs="Tahoma"/>
          <w:lang w:val="es-ES" w:eastAsia="es-ES"/>
        </w:rPr>
      </w:pPr>
    </w:p>
    <w:p w14:paraId="09848D40" w14:textId="77777777" w:rsidR="00414CC1" w:rsidRPr="006622A2" w:rsidRDefault="00414CC1" w:rsidP="00414CC1">
      <w:pPr>
        <w:spacing w:before="0" w:beforeAutospacing="0" w:after="0" w:afterAutospacing="0" w:line="276" w:lineRule="auto"/>
        <w:ind w:firstLine="0"/>
        <w:jc w:val="left"/>
        <w:rPr>
          <w:rFonts w:ascii="Tahoma" w:eastAsia="Times New Roman" w:hAnsi="Tahoma" w:cs="Tahoma"/>
          <w:lang w:val="es-ES" w:eastAsia="es-ES"/>
        </w:rPr>
      </w:pPr>
    </w:p>
    <w:p w14:paraId="3D2B7304" w14:textId="77777777" w:rsidR="00414CC1" w:rsidRPr="006622A2" w:rsidRDefault="00414CC1" w:rsidP="00414CC1">
      <w:pPr>
        <w:spacing w:before="0" w:beforeAutospacing="0" w:after="0" w:afterAutospacing="0" w:line="276" w:lineRule="auto"/>
        <w:ind w:firstLine="0"/>
        <w:jc w:val="left"/>
        <w:rPr>
          <w:rFonts w:ascii="Tahoma" w:eastAsia="Times New Roman" w:hAnsi="Tahoma" w:cs="Tahoma"/>
          <w:lang w:val="es-ES" w:eastAsia="es-ES"/>
        </w:rPr>
      </w:pPr>
    </w:p>
    <w:p w14:paraId="46E84515" w14:textId="77777777" w:rsidR="00414CC1" w:rsidRPr="006622A2" w:rsidRDefault="00414CC1" w:rsidP="00414CC1">
      <w:pPr>
        <w:keepNext/>
        <w:spacing w:before="0" w:beforeAutospacing="0" w:after="0" w:afterAutospacing="0" w:line="276" w:lineRule="auto"/>
        <w:ind w:firstLine="0"/>
        <w:jc w:val="center"/>
        <w:outlineLvl w:val="2"/>
        <w:rPr>
          <w:rFonts w:ascii="Tahoma" w:eastAsia="Times New Roman" w:hAnsi="Tahoma" w:cs="Tahoma"/>
          <w:b/>
          <w:bCs/>
          <w:lang w:val="es-ES" w:eastAsia="es-ES"/>
        </w:rPr>
      </w:pPr>
      <w:r w:rsidRPr="006622A2">
        <w:rPr>
          <w:rFonts w:ascii="Tahoma" w:eastAsia="Times New Roman" w:hAnsi="Tahoma" w:cs="Tahoma"/>
          <w:b/>
          <w:bCs/>
          <w:lang w:val="es-ES" w:eastAsia="es-ES"/>
        </w:rPr>
        <w:t>ANA LUCÍA CAICEDO CALDERÓN</w:t>
      </w:r>
    </w:p>
    <w:p w14:paraId="57AF0E4B" w14:textId="77777777" w:rsidR="00414CC1" w:rsidRPr="006622A2" w:rsidRDefault="00414CC1" w:rsidP="00414CC1">
      <w:pPr>
        <w:spacing w:before="0" w:beforeAutospacing="0" w:after="0" w:afterAutospacing="0" w:line="276" w:lineRule="auto"/>
        <w:ind w:firstLine="0"/>
        <w:jc w:val="left"/>
        <w:rPr>
          <w:rFonts w:ascii="Tahoma" w:eastAsia="Times New Roman" w:hAnsi="Tahoma" w:cs="Tahoma"/>
          <w:lang w:val="es-ES" w:eastAsia="es-ES"/>
        </w:rPr>
      </w:pPr>
    </w:p>
    <w:p w14:paraId="71C44103" w14:textId="77777777" w:rsidR="00414CC1" w:rsidRPr="006622A2" w:rsidRDefault="00414CC1" w:rsidP="00414CC1">
      <w:pPr>
        <w:spacing w:before="0" w:beforeAutospacing="0" w:after="0" w:afterAutospacing="0" w:line="276" w:lineRule="auto"/>
        <w:ind w:firstLine="708"/>
        <w:jc w:val="left"/>
        <w:rPr>
          <w:rFonts w:ascii="Tahoma" w:eastAsia="Times New Roman" w:hAnsi="Tahoma" w:cs="Tahoma"/>
          <w:lang w:val="es-ES" w:eastAsia="es-ES"/>
        </w:rPr>
      </w:pPr>
      <w:bookmarkStart w:id="6" w:name="_Hlk62478330"/>
      <w:r w:rsidRPr="006622A2">
        <w:rPr>
          <w:rFonts w:ascii="Tahoma" w:eastAsia="Times New Roman" w:hAnsi="Tahoma" w:cs="Tahoma"/>
          <w:lang w:val="es-ES" w:eastAsia="es-ES"/>
        </w:rPr>
        <w:t>La Magistrada y el Magistrado,</w:t>
      </w:r>
    </w:p>
    <w:p w14:paraId="10FF1444" w14:textId="77777777" w:rsidR="00414CC1" w:rsidRPr="006622A2" w:rsidRDefault="00414CC1" w:rsidP="00414CC1">
      <w:pPr>
        <w:spacing w:before="0" w:beforeAutospacing="0" w:after="0" w:afterAutospacing="0" w:line="276" w:lineRule="auto"/>
        <w:ind w:firstLine="0"/>
        <w:jc w:val="left"/>
        <w:rPr>
          <w:rFonts w:ascii="Tahoma" w:eastAsia="Times New Roman" w:hAnsi="Tahoma" w:cs="Tahoma"/>
          <w:lang w:val="es-ES" w:eastAsia="es-ES"/>
        </w:rPr>
      </w:pPr>
    </w:p>
    <w:p w14:paraId="24B93811" w14:textId="77777777" w:rsidR="00414CC1" w:rsidRPr="006622A2" w:rsidRDefault="00414CC1" w:rsidP="00414CC1">
      <w:pPr>
        <w:spacing w:before="0" w:beforeAutospacing="0" w:after="0" w:afterAutospacing="0" w:line="276" w:lineRule="auto"/>
        <w:ind w:firstLine="0"/>
        <w:jc w:val="left"/>
        <w:rPr>
          <w:rFonts w:ascii="Tahoma" w:eastAsia="Times New Roman" w:hAnsi="Tahoma" w:cs="Tahoma"/>
          <w:lang w:val="es-ES" w:eastAsia="es-ES"/>
        </w:rPr>
      </w:pPr>
    </w:p>
    <w:p w14:paraId="70A8A2F7" w14:textId="77777777" w:rsidR="00414CC1" w:rsidRPr="006622A2" w:rsidRDefault="00414CC1" w:rsidP="00414CC1">
      <w:pPr>
        <w:spacing w:before="0" w:beforeAutospacing="0" w:after="0" w:afterAutospacing="0" w:line="276" w:lineRule="auto"/>
        <w:ind w:firstLine="0"/>
        <w:jc w:val="left"/>
        <w:rPr>
          <w:rFonts w:ascii="Tahoma" w:eastAsia="Times New Roman" w:hAnsi="Tahoma" w:cs="Tahoma"/>
          <w:lang w:val="es-ES" w:eastAsia="es-ES"/>
        </w:rPr>
      </w:pPr>
    </w:p>
    <w:p w14:paraId="1080BFD1" w14:textId="77777777" w:rsidR="00414CC1" w:rsidRPr="006622A2" w:rsidRDefault="00414CC1" w:rsidP="00414CC1">
      <w:pPr>
        <w:spacing w:before="0" w:beforeAutospacing="0" w:after="0" w:afterAutospacing="0" w:line="276" w:lineRule="auto"/>
        <w:ind w:firstLine="0"/>
        <w:rPr>
          <w:rFonts w:ascii="Tahoma" w:eastAsia="Calibri" w:hAnsi="Tahoma" w:cs="Tahoma"/>
          <w:lang w:val="es-ES"/>
        </w:rPr>
      </w:pPr>
      <w:r w:rsidRPr="006622A2">
        <w:rPr>
          <w:rFonts w:ascii="Tahoma" w:eastAsia="Times New Roman" w:hAnsi="Tahoma" w:cs="Tahoma"/>
          <w:b/>
          <w:bCs/>
          <w:lang w:val="es-ES" w:eastAsia="es-ES"/>
        </w:rPr>
        <w:t>OLGA LUCÍA HOYOS SEPÚLVEDA</w:t>
      </w:r>
      <w:r w:rsidRPr="006622A2">
        <w:rPr>
          <w:rFonts w:ascii="Tahoma" w:eastAsia="Times New Roman" w:hAnsi="Tahoma" w:cs="Tahoma"/>
          <w:b/>
          <w:bCs/>
          <w:lang w:val="es-ES" w:eastAsia="es-ES"/>
        </w:rPr>
        <w:tab/>
      </w:r>
      <w:r w:rsidRPr="006622A2">
        <w:rPr>
          <w:rFonts w:ascii="Tahoma" w:eastAsia="Times New Roman" w:hAnsi="Tahoma" w:cs="Tahoma"/>
          <w:b/>
          <w:bCs/>
          <w:lang w:val="es-ES" w:eastAsia="es-ES"/>
        </w:rPr>
        <w:tab/>
        <w:t>GERMÁN DARÍO GÓEZ VINASCO</w:t>
      </w:r>
      <w:bookmarkEnd w:id="5"/>
      <w:bookmarkEnd w:id="6"/>
    </w:p>
    <w:p w14:paraId="0E6F14C0" w14:textId="049DD85B" w:rsidR="00367E4C" w:rsidRPr="00414CC1" w:rsidRDefault="00414CC1" w:rsidP="00414CC1">
      <w:pPr>
        <w:spacing w:before="0" w:beforeAutospacing="0" w:after="0" w:afterAutospacing="0" w:line="276" w:lineRule="auto"/>
        <w:ind w:firstLine="0"/>
        <w:rPr>
          <w:rFonts w:ascii="Tahoma" w:eastAsia="Times New Roman" w:hAnsi="Tahoma" w:cs="Tahoma"/>
          <w:lang w:eastAsia="es-ES"/>
        </w:rPr>
      </w:pPr>
      <w:r w:rsidRPr="006622A2">
        <w:rPr>
          <w:rFonts w:ascii="Tahoma" w:eastAsia="Times New Roman" w:hAnsi="Tahoma" w:cs="Tahoma"/>
          <w:lang w:eastAsia="es-ES"/>
        </w:rPr>
        <w:t>Con aclaración de voto</w:t>
      </w:r>
    </w:p>
    <w:sectPr w:rsidR="00367E4C" w:rsidRPr="00414CC1" w:rsidSect="00414CC1">
      <w:headerReference w:type="default" r:id="rId11"/>
      <w:footerReference w:type="even" r:id="rId12"/>
      <w:footerReference w:type="default" r:id="rId13"/>
      <w:pgSz w:w="12242" w:h="18722" w:code="14"/>
      <w:pgMar w:top="1871" w:right="1304" w:bottom="1304" w:left="1871"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FAEB834" w16cex:dateUtc="2023-07-20T00:19:04.121Z"/>
  <w16cex:commentExtensible w16cex:durableId="74B9DA99" w16cex:dateUtc="2023-07-21T14:26:41.911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DDC19" w14:textId="77777777" w:rsidR="00C3320B" w:rsidRDefault="00C3320B" w:rsidP="00995B6C">
      <w:pPr>
        <w:spacing w:before="0" w:after="0" w:line="240" w:lineRule="auto"/>
      </w:pPr>
      <w:r>
        <w:separator/>
      </w:r>
    </w:p>
  </w:endnote>
  <w:endnote w:type="continuationSeparator" w:id="0">
    <w:p w14:paraId="158C0158" w14:textId="77777777" w:rsidR="00C3320B" w:rsidRDefault="00C3320B" w:rsidP="00995B6C">
      <w:pPr>
        <w:spacing w:before="0" w:after="0" w:line="240" w:lineRule="auto"/>
      </w:pPr>
      <w:r>
        <w:continuationSeparator/>
      </w:r>
    </w:p>
  </w:endnote>
  <w:endnote w:type="continuationNotice" w:id="1">
    <w:p w14:paraId="50CA53A1" w14:textId="77777777" w:rsidR="00C3320B" w:rsidRDefault="00C3320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A29F9" w14:textId="24EF015F" w:rsidR="006A6494" w:rsidRDefault="006A6494" w:rsidP="00A3690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14:paraId="7D761A41" w14:textId="77777777" w:rsidR="006A6494" w:rsidRDefault="006A6494" w:rsidP="00BA2E95">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853848363"/>
      <w:docPartObj>
        <w:docPartGallery w:val="Page Numbers (Bottom of Page)"/>
        <w:docPartUnique/>
      </w:docPartObj>
    </w:sdtPr>
    <w:sdtEndPr>
      <w:rPr>
        <w:rStyle w:val="Fuentedeprrafopredeter"/>
        <w:rFonts w:ascii="Arial" w:hAnsi="Arial" w:cs="Arial"/>
        <w:color w:val="000000"/>
        <w:sz w:val="18"/>
        <w:szCs w:val="18"/>
      </w:rPr>
    </w:sdtEndPr>
    <w:sdtContent>
      <w:p w14:paraId="2E70D12B" w14:textId="42588B52" w:rsidR="006A6494" w:rsidRDefault="006A6494" w:rsidP="00414CC1">
        <w:pPr>
          <w:pStyle w:val="Piedepgina"/>
          <w:framePr w:wrap="none" w:vAnchor="text" w:hAnchor="page" w:x="9969" w:y="288"/>
          <w:rPr>
            <w:rStyle w:val="Nmerodepgina"/>
          </w:rPr>
        </w:pPr>
        <w:r w:rsidRPr="00414CC1">
          <w:rPr>
            <w:rStyle w:val="Nmerodepgina"/>
            <w:rFonts w:ascii="Arial" w:hAnsi="Arial" w:cs="Arial"/>
            <w:sz w:val="18"/>
          </w:rPr>
          <w:fldChar w:fldCharType="begin"/>
        </w:r>
        <w:r w:rsidRPr="00414CC1">
          <w:rPr>
            <w:rStyle w:val="Nmerodepgina"/>
            <w:rFonts w:ascii="Arial" w:hAnsi="Arial" w:cs="Arial"/>
            <w:sz w:val="18"/>
          </w:rPr>
          <w:instrText xml:space="preserve"> PAGE </w:instrText>
        </w:r>
        <w:r w:rsidRPr="00414CC1">
          <w:rPr>
            <w:rStyle w:val="Nmerodepgina"/>
            <w:rFonts w:ascii="Arial" w:hAnsi="Arial" w:cs="Arial"/>
            <w:sz w:val="18"/>
          </w:rPr>
          <w:fldChar w:fldCharType="separate"/>
        </w:r>
        <w:r w:rsidR="00084C39">
          <w:rPr>
            <w:rStyle w:val="Nmerodepgina"/>
            <w:rFonts w:ascii="Arial" w:hAnsi="Arial" w:cs="Arial"/>
            <w:noProof/>
            <w:sz w:val="18"/>
          </w:rPr>
          <w:t>20</w:t>
        </w:r>
        <w:r w:rsidRPr="00414CC1">
          <w:rPr>
            <w:rStyle w:val="Nmerodepgina"/>
            <w:rFonts w:ascii="Arial" w:hAnsi="Arial" w:cs="Arial"/>
            <w:sz w:val="18"/>
          </w:rPr>
          <w:fldChar w:fldCharType="end"/>
        </w:r>
      </w:p>
    </w:sdtContent>
  </w:sdt>
  <w:p w14:paraId="79A44826" w14:textId="77777777" w:rsidR="006A6494" w:rsidRDefault="006A6494" w:rsidP="00414CC1">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96F9F" w14:textId="77777777" w:rsidR="00C3320B" w:rsidRDefault="00C3320B" w:rsidP="00995B6C">
      <w:pPr>
        <w:spacing w:before="0" w:after="0" w:line="240" w:lineRule="auto"/>
      </w:pPr>
      <w:r>
        <w:separator/>
      </w:r>
    </w:p>
  </w:footnote>
  <w:footnote w:type="continuationSeparator" w:id="0">
    <w:p w14:paraId="6156BF39" w14:textId="77777777" w:rsidR="00C3320B" w:rsidRDefault="00C3320B" w:rsidP="00995B6C">
      <w:pPr>
        <w:spacing w:before="0" w:after="0" w:line="240" w:lineRule="auto"/>
      </w:pPr>
      <w:r>
        <w:continuationSeparator/>
      </w:r>
    </w:p>
  </w:footnote>
  <w:footnote w:type="continuationNotice" w:id="1">
    <w:p w14:paraId="19598676" w14:textId="77777777" w:rsidR="00C3320B" w:rsidRDefault="00C3320B">
      <w:pPr>
        <w:spacing w:before="0" w:after="0" w:line="240" w:lineRule="auto"/>
      </w:pPr>
    </w:p>
  </w:footnote>
  <w:footnote w:id="2">
    <w:p w14:paraId="6B0016A3" w14:textId="77777777" w:rsidR="00572574" w:rsidRPr="00DB4FF5" w:rsidRDefault="00572574" w:rsidP="00572574">
      <w:pPr>
        <w:pStyle w:val="Textonotapie"/>
        <w:ind w:firstLine="0"/>
        <w:rPr>
          <w:rFonts w:ascii="Arial" w:hAnsi="Arial" w:cs="Arial"/>
          <w:sz w:val="18"/>
          <w:szCs w:val="18"/>
        </w:rPr>
      </w:pPr>
      <w:r w:rsidRPr="00DB4FF5">
        <w:rPr>
          <w:rStyle w:val="Refdenotaalpie"/>
          <w:rFonts w:ascii="Arial" w:hAnsi="Arial" w:cs="Arial"/>
          <w:sz w:val="18"/>
          <w:szCs w:val="18"/>
        </w:rPr>
        <w:footnoteRef/>
      </w:r>
      <w:r w:rsidRPr="00DB4FF5">
        <w:rPr>
          <w:rFonts w:ascii="Arial" w:hAnsi="Arial" w:cs="Arial"/>
          <w:sz w:val="18"/>
          <w:szCs w:val="18"/>
        </w:rPr>
        <w:t xml:space="preserve"> Título tomado de la sentencia del 8 de mayo de 2019SL 1688-2019, Radicado 68838, con Ponencia de la Dra. Clara Cecilia Dueñas Quevedo</w:t>
      </w:r>
    </w:p>
  </w:footnote>
  <w:footnote w:id="3">
    <w:p w14:paraId="7D715157" w14:textId="77777777" w:rsidR="00572574" w:rsidRPr="00DB4FF5" w:rsidRDefault="00572574" w:rsidP="00572574">
      <w:pPr>
        <w:pStyle w:val="Textonotapie"/>
        <w:ind w:firstLine="0"/>
        <w:rPr>
          <w:rFonts w:ascii="Arial" w:hAnsi="Arial" w:cs="Arial"/>
          <w:sz w:val="18"/>
          <w:szCs w:val="18"/>
        </w:rPr>
      </w:pPr>
      <w:r w:rsidRPr="00DB4FF5">
        <w:rPr>
          <w:rStyle w:val="Refdenotaalpie"/>
          <w:rFonts w:ascii="Arial" w:hAnsi="Arial" w:cs="Arial"/>
          <w:sz w:val="18"/>
          <w:szCs w:val="18"/>
        </w:rPr>
        <w:footnoteRef/>
      </w:r>
      <w:r w:rsidRPr="00DB4FF5">
        <w:rPr>
          <w:rFonts w:ascii="Arial" w:hAnsi="Arial" w:cs="Arial"/>
          <w:sz w:val="18"/>
          <w:szCs w:val="18"/>
        </w:rPr>
        <w:t xml:space="preserve"> Estatuto Orgánico del Sistema Financiero </w:t>
      </w:r>
    </w:p>
  </w:footnote>
  <w:footnote w:id="4">
    <w:p w14:paraId="4555659C" w14:textId="6CD761B5" w:rsidR="006A6494" w:rsidRPr="00414CC1" w:rsidRDefault="006A6494" w:rsidP="00414CC1">
      <w:pPr>
        <w:pStyle w:val="Textonotapie"/>
        <w:ind w:firstLine="0"/>
        <w:rPr>
          <w:rFonts w:ascii="Arial" w:hAnsi="Arial" w:cs="Arial"/>
          <w:sz w:val="18"/>
          <w:szCs w:val="18"/>
        </w:rPr>
      </w:pPr>
      <w:r w:rsidRPr="00414CC1">
        <w:rPr>
          <w:rStyle w:val="Refdenotaalpie"/>
          <w:rFonts w:ascii="Arial" w:hAnsi="Arial" w:cs="Arial"/>
          <w:sz w:val="18"/>
          <w:szCs w:val="18"/>
        </w:rPr>
        <w:footnoteRef/>
      </w:r>
      <w:r w:rsidRPr="00414CC1">
        <w:rPr>
          <w:rFonts w:ascii="Arial" w:hAnsi="Arial" w:cs="Arial"/>
          <w:sz w:val="18"/>
          <w:szCs w:val="18"/>
        </w:rPr>
        <w:t xml:space="preserve"> Título tomado de la sentencia del 8 de mayo de 2019SL 1688-2019, Radicado 68838, con Ponencia de la Dra. Clara Cecilia Dueñas Quevedo</w:t>
      </w:r>
    </w:p>
  </w:footnote>
  <w:footnote w:id="5">
    <w:p w14:paraId="7827DFAB" w14:textId="77777777" w:rsidR="006A6494" w:rsidRPr="00414CC1" w:rsidRDefault="006A6494" w:rsidP="00414CC1">
      <w:pPr>
        <w:pStyle w:val="Textonotapie"/>
        <w:ind w:firstLine="0"/>
        <w:rPr>
          <w:rFonts w:ascii="Arial" w:hAnsi="Arial" w:cs="Arial"/>
          <w:sz w:val="18"/>
          <w:szCs w:val="18"/>
        </w:rPr>
      </w:pPr>
      <w:r w:rsidRPr="00414CC1">
        <w:rPr>
          <w:rStyle w:val="Refdenotaalpie"/>
          <w:rFonts w:ascii="Arial" w:hAnsi="Arial" w:cs="Arial"/>
          <w:sz w:val="18"/>
          <w:szCs w:val="18"/>
        </w:rPr>
        <w:footnoteRef/>
      </w:r>
      <w:r w:rsidRPr="00414CC1">
        <w:rPr>
          <w:rFonts w:ascii="Arial" w:hAnsi="Arial" w:cs="Arial"/>
          <w:sz w:val="18"/>
          <w:szCs w:val="18"/>
        </w:rPr>
        <w:t xml:space="preserve"> Corte Suprema de Justicia- Sala Laboral, sentencia SL5688 de 2021, rad. 83576 del 6 de octubre de 2021. M.P. Iván Mauricio Lenis Gómez.</w:t>
      </w:r>
    </w:p>
  </w:footnote>
  <w:footnote w:id="6">
    <w:p w14:paraId="2CBCA6B2" w14:textId="77777777" w:rsidR="006A6494" w:rsidRPr="00414CC1" w:rsidRDefault="006A6494" w:rsidP="00414CC1">
      <w:pPr>
        <w:pStyle w:val="Textonotapie"/>
        <w:ind w:firstLine="0"/>
        <w:rPr>
          <w:rFonts w:ascii="Arial" w:hAnsi="Arial" w:cs="Arial"/>
          <w:sz w:val="18"/>
          <w:szCs w:val="18"/>
        </w:rPr>
      </w:pPr>
      <w:r w:rsidRPr="00414CC1">
        <w:rPr>
          <w:rStyle w:val="Refdenotaalpie"/>
          <w:rFonts w:ascii="Arial" w:hAnsi="Arial" w:cs="Arial"/>
          <w:sz w:val="18"/>
          <w:szCs w:val="18"/>
        </w:rPr>
        <w:footnoteRef/>
      </w:r>
      <w:r w:rsidRPr="00414CC1">
        <w:rPr>
          <w:rFonts w:ascii="Arial" w:hAnsi="Arial" w:cs="Arial"/>
          <w:sz w:val="18"/>
          <w:szCs w:val="18"/>
        </w:rPr>
        <w:t xml:space="preserve"> </w:t>
      </w:r>
      <w:r w:rsidRPr="00414CC1">
        <w:rPr>
          <w:rFonts w:ascii="Arial" w:hAnsi="Arial" w:cs="Arial"/>
          <w:sz w:val="18"/>
          <w:szCs w:val="18"/>
          <w:lang w:val="es-CO"/>
        </w:rPr>
        <w:t>Corte Suprema de Justicia- Sala Laboral, sentencia SL5686 de 2021, rad. 82139 del 6 de octubre de 2021. M.P. Iván Mauricio Lenis Gómez.</w:t>
      </w:r>
    </w:p>
  </w:footnote>
  <w:footnote w:id="7">
    <w:p w14:paraId="5C53D301" w14:textId="77777777" w:rsidR="006A6494" w:rsidRPr="00414CC1" w:rsidRDefault="006A6494" w:rsidP="00414CC1">
      <w:pPr>
        <w:pStyle w:val="Textonotapie"/>
        <w:ind w:firstLine="0"/>
        <w:rPr>
          <w:rFonts w:ascii="Arial" w:hAnsi="Arial" w:cs="Arial"/>
          <w:sz w:val="18"/>
          <w:szCs w:val="18"/>
        </w:rPr>
      </w:pPr>
      <w:r w:rsidRPr="00414CC1">
        <w:rPr>
          <w:rStyle w:val="Refdenotaalpie"/>
          <w:rFonts w:ascii="Arial" w:hAnsi="Arial" w:cs="Arial"/>
          <w:sz w:val="18"/>
          <w:szCs w:val="18"/>
        </w:rPr>
        <w:footnoteRef/>
      </w:r>
      <w:r w:rsidRPr="00414CC1">
        <w:rPr>
          <w:rFonts w:ascii="Arial" w:hAnsi="Arial" w:cs="Arial"/>
          <w:sz w:val="18"/>
          <w:szCs w:val="18"/>
        </w:rPr>
        <w:t xml:space="preserve"> </w:t>
      </w:r>
      <w:r w:rsidRPr="00414CC1">
        <w:rPr>
          <w:rFonts w:ascii="Arial" w:hAnsi="Arial" w:cs="Arial"/>
          <w:sz w:val="18"/>
          <w:szCs w:val="18"/>
          <w:lang w:val="es-CO"/>
        </w:rPr>
        <w:t>Corte Suprema de Justicia- Sala Laboral, sentencia SL1926 de 2022, rad. 89920 del 27 de abril de 2022. M.P. Omar Ángel Mejía Amador.</w:t>
      </w:r>
    </w:p>
  </w:footnote>
  <w:footnote w:id="8">
    <w:p w14:paraId="16D2AD20" w14:textId="77777777" w:rsidR="006A6494" w:rsidRPr="00414CC1" w:rsidRDefault="006A6494" w:rsidP="00414CC1">
      <w:pPr>
        <w:pStyle w:val="Textonotapie"/>
        <w:ind w:firstLine="0"/>
        <w:rPr>
          <w:rFonts w:ascii="Arial" w:hAnsi="Arial" w:cs="Arial"/>
          <w:sz w:val="18"/>
          <w:szCs w:val="18"/>
        </w:rPr>
      </w:pPr>
      <w:r w:rsidRPr="00414CC1">
        <w:rPr>
          <w:rStyle w:val="Refdenotaalpie"/>
          <w:rFonts w:ascii="Arial" w:hAnsi="Arial" w:cs="Arial"/>
          <w:sz w:val="18"/>
          <w:szCs w:val="18"/>
        </w:rPr>
        <w:footnoteRef/>
      </w:r>
      <w:r w:rsidRPr="00414CC1">
        <w:rPr>
          <w:rFonts w:ascii="Arial" w:hAnsi="Arial" w:cs="Arial"/>
          <w:sz w:val="18"/>
          <w:szCs w:val="18"/>
        </w:rPr>
        <w:t xml:space="preserve"> </w:t>
      </w:r>
      <w:r w:rsidRPr="00414CC1">
        <w:rPr>
          <w:rFonts w:ascii="Arial" w:hAnsi="Arial" w:cs="Arial"/>
          <w:sz w:val="18"/>
          <w:szCs w:val="18"/>
          <w:lang w:val="es-CO"/>
        </w:rPr>
        <w:t>Corte Suprema de Justicia- Sala Laboral, sentencia SL1055 de 2022, rad. 87911 del 2 de marzo de 2022. M.P. Iván Mauricio Lenis Gómez.</w:t>
      </w:r>
    </w:p>
  </w:footnote>
  <w:footnote w:id="9">
    <w:p w14:paraId="2B485D59" w14:textId="77777777" w:rsidR="006A6494" w:rsidRPr="00414CC1" w:rsidRDefault="006A6494" w:rsidP="00414CC1">
      <w:pPr>
        <w:pStyle w:val="Textonotapie"/>
        <w:ind w:firstLine="0"/>
        <w:rPr>
          <w:rFonts w:ascii="Arial" w:hAnsi="Arial" w:cs="Arial"/>
          <w:sz w:val="18"/>
          <w:szCs w:val="18"/>
        </w:rPr>
      </w:pPr>
      <w:r w:rsidRPr="00414CC1">
        <w:rPr>
          <w:rStyle w:val="Refdenotaalpie"/>
          <w:rFonts w:ascii="Arial" w:hAnsi="Arial" w:cs="Arial"/>
          <w:sz w:val="18"/>
          <w:szCs w:val="18"/>
        </w:rPr>
        <w:footnoteRef/>
      </w:r>
      <w:r w:rsidRPr="00414CC1">
        <w:rPr>
          <w:rFonts w:ascii="Arial" w:hAnsi="Arial" w:cs="Arial"/>
          <w:sz w:val="18"/>
          <w:szCs w:val="18"/>
        </w:rPr>
        <w:t xml:space="preserve"> Corte Suprema de Justicia- Sala Laboral, sentencia SL 1618-2022, radicado 87821 del 4 de mayo de 2022, M.P. Gerardo Botero Zuluaga.</w:t>
      </w:r>
    </w:p>
  </w:footnote>
  <w:footnote w:id="10">
    <w:p w14:paraId="1231E611" w14:textId="3F206DEA" w:rsidR="006A6494" w:rsidRPr="00414CC1" w:rsidRDefault="006A6494" w:rsidP="00414CC1">
      <w:pPr>
        <w:pStyle w:val="Textonotapie"/>
        <w:ind w:firstLine="0"/>
        <w:rPr>
          <w:rFonts w:ascii="Arial" w:hAnsi="Arial" w:cs="Arial"/>
          <w:sz w:val="18"/>
          <w:szCs w:val="18"/>
        </w:rPr>
      </w:pPr>
      <w:r w:rsidRPr="00414CC1">
        <w:rPr>
          <w:rStyle w:val="Refdenotaalpie"/>
          <w:rFonts w:ascii="Arial" w:hAnsi="Arial" w:cs="Arial"/>
          <w:sz w:val="18"/>
          <w:szCs w:val="18"/>
        </w:rPr>
        <w:footnoteRef/>
      </w:r>
      <w:r w:rsidRPr="00414CC1">
        <w:rPr>
          <w:rFonts w:ascii="Arial" w:hAnsi="Arial" w:cs="Arial"/>
          <w:sz w:val="18"/>
          <w:szCs w:val="18"/>
        </w:rPr>
        <w:t xml:space="preserve"> </w:t>
      </w:r>
      <w:r w:rsidR="00414CC1" w:rsidRPr="00414CC1">
        <w:rPr>
          <w:rFonts w:ascii="Arial" w:hAnsi="Arial" w:cs="Arial"/>
          <w:sz w:val="18"/>
          <w:szCs w:val="18"/>
        </w:rPr>
        <w:t>Ibidem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6AE6C" w14:textId="4658C503" w:rsidR="006A6494" w:rsidRPr="00414CC1" w:rsidRDefault="006A6494" w:rsidP="00414CC1">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18"/>
        <w:szCs w:val="18"/>
      </w:rPr>
    </w:pPr>
    <w:r w:rsidRPr="00414CC1">
      <w:rPr>
        <w:rFonts w:ascii="Arial" w:hAnsi="Arial" w:cs="Arial"/>
        <w:color w:val="000000"/>
        <w:sz w:val="18"/>
        <w:szCs w:val="18"/>
      </w:rPr>
      <w:t>Radicación No.:   66001-31-05-001-2020-00240-01</w:t>
    </w:r>
  </w:p>
  <w:p w14:paraId="4ED2AEDE" w14:textId="688C70F4" w:rsidR="006A6494" w:rsidRPr="00414CC1" w:rsidRDefault="006A6494" w:rsidP="00414CC1">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18"/>
        <w:szCs w:val="18"/>
      </w:rPr>
    </w:pPr>
    <w:r w:rsidRPr="00414CC1">
      <w:rPr>
        <w:rFonts w:ascii="Arial" w:hAnsi="Arial" w:cs="Arial"/>
        <w:color w:val="000000"/>
        <w:sz w:val="18"/>
        <w:szCs w:val="18"/>
      </w:rPr>
      <w:t>Demandante:      Gloria Cecilia Mazo Mazo</w:t>
    </w:r>
  </w:p>
  <w:p w14:paraId="16837EEE" w14:textId="328BEF80" w:rsidR="006A6494" w:rsidRPr="00414CC1" w:rsidRDefault="006A6494" w:rsidP="00414CC1">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18"/>
        <w:szCs w:val="18"/>
      </w:rPr>
    </w:pPr>
    <w:r w:rsidRPr="00414CC1">
      <w:rPr>
        <w:rFonts w:ascii="Arial" w:hAnsi="Arial" w:cs="Arial"/>
        <w:color w:val="000000"/>
        <w:sz w:val="18"/>
        <w:szCs w:val="18"/>
      </w:rPr>
      <w:t>Demandado:       Colpensiones y Porvenir S.A</w:t>
    </w:r>
    <w:r w:rsidR="00414CC1" w:rsidRPr="00414CC1">
      <w:rPr>
        <w:rFonts w:ascii="Arial" w:hAnsi="Arial" w:cs="Arial"/>
        <w:color w:val="000000"/>
        <w:sz w:val="18"/>
        <w:szCs w:val="18"/>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E1570"/>
    <w:multiLevelType w:val="hybridMultilevel"/>
    <w:tmpl w:val="30E65894"/>
    <w:lvl w:ilvl="0" w:tplc="BED2221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12D47DE"/>
    <w:multiLevelType w:val="hybridMultilevel"/>
    <w:tmpl w:val="1304F476"/>
    <w:lvl w:ilvl="0" w:tplc="1C74D80C">
      <w:start w:val="1"/>
      <w:numFmt w:val="lowerRoman"/>
      <w:lvlText w:val="%1."/>
      <w:lvlJc w:val="right"/>
      <w:pPr>
        <w:ind w:left="720" w:hanging="360"/>
      </w:pPr>
      <w:rPr>
        <w:rFonts w:ascii="Tahoma" w:hAnsi="Tahoma" w:cs="Tahoma" w:hint="default"/>
      </w:rPr>
    </w:lvl>
    <w:lvl w:ilvl="1" w:tplc="D182F98E">
      <w:start w:val="1"/>
      <w:numFmt w:val="lowerLetter"/>
      <w:lvlText w:val="%2."/>
      <w:lvlJc w:val="left"/>
      <w:pPr>
        <w:ind w:left="1440" w:hanging="360"/>
      </w:pPr>
    </w:lvl>
    <w:lvl w:ilvl="2" w:tplc="64A238B0">
      <w:start w:val="1"/>
      <w:numFmt w:val="lowerRoman"/>
      <w:lvlText w:val="%3."/>
      <w:lvlJc w:val="right"/>
      <w:pPr>
        <w:ind w:left="2160" w:hanging="180"/>
      </w:pPr>
    </w:lvl>
    <w:lvl w:ilvl="3" w:tplc="3BB865F0">
      <w:start w:val="1"/>
      <w:numFmt w:val="decimal"/>
      <w:lvlText w:val="%4."/>
      <w:lvlJc w:val="left"/>
      <w:pPr>
        <w:ind w:left="2880" w:hanging="360"/>
      </w:pPr>
    </w:lvl>
    <w:lvl w:ilvl="4" w:tplc="351CF416">
      <w:start w:val="1"/>
      <w:numFmt w:val="lowerLetter"/>
      <w:lvlText w:val="%5."/>
      <w:lvlJc w:val="left"/>
      <w:pPr>
        <w:ind w:left="3600" w:hanging="360"/>
      </w:pPr>
    </w:lvl>
    <w:lvl w:ilvl="5" w:tplc="B1A0E43C">
      <w:start w:val="1"/>
      <w:numFmt w:val="lowerRoman"/>
      <w:lvlText w:val="%6."/>
      <w:lvlJc w:val="right"/>
      <w:pPr>
        <w:ind w:left="4320" w:hanging="180"/>
      </w:pPr>
    </w:lvl>
    <w:lvl w:ilvl="6" w:tplc="86143216">
      <w:start w:val="1"/>
      <w:numFmt w:val="decimal"/>
      <w:lvlText w:val="%7."/>
      <w:lvlJc w:val="left"/>
      <w:pPr>
        <w:ind w:left="5040" w:hanging="360"/>
      </w:pPr>
    </w:lvl>
    <w:lvl w:ilvl="7" w:tplc="CC187228">
      <w:start w:val="1"/>
      <w:numFmt w:val="lowerLetter"/>
      <w:lvlText w:val="%8."/>
      <w:lvlJc w:val="left"/>
      <w:pPr>
        <w:ind w:left="5760" w:hanging="360"/>
      </w:pPr>
    </w:lvl>
    <w:lvl w:ilvl="8" w:tplc="C64258FA">
      <w:start w:val="1"/>
      <w:numFmt w:val="lowerRoman"/>
      <w:lvlText w:val="%9."/>
      <w:lvlJc w:val="right"/>
      <w:pPr>
        <w:ind w:left="6480" w:hanging="180"/>
      </w:pPr>
    </w:lvl>
  </w:abstractNum>
  <w:abstractNum w:abstractNumId="2" w15:restartNumberingAfterBreak="0">
    <w:nsid w:val="486C20FD"/>
    <w:multiLevelType w:val="hybridMultilevel"/>
    <w:tmpl w:val="4A50665A"/>
    <w:lvl w:ilvl="0" w:tplc="0890D552">
      <w:start w:val="1"/>
      <w:numFmt w:val="lowerRoman"/>
      <w:lvlText w:val="%1)"/>
      <w:lvlJc w:val="left"/>
      <w:pPr>
        <w:ind w:left="1080" w:hanging="72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BA41A35"/>
    <w:multiLevelType w:val="hybridMultilevel"/>
    <w:tmpl w:val="F60851EC"/>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507E2CA6"/>
    <w:multiLevelType w:val="hybridMultilevel"/>
    <w:tmpl w:val="514E9392"/>
    <w:lvl w:ilvl="0" w:tplc="240A001B">
      <w:start w:val="1"/>
      <w:numFmt w:val="lowerRoman"/>
      <w:lvlText w:val="%1."/>
      <w:lvlJc w:val="righ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5" w15:restartNumberingAfterBreak="0">
    <w:nsid w:val="5AFA6DFA"/>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6" w15:restartNumberingAfterBreak="0">
    <w:nsid w:val="6C42761D"/>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7" w15:restartNumberingAfterBreak="0">
    <w:nsid w:val="75BC0F17"/>
    <w:multiLevelType w:val="hybridMultilevel"/>
    <w:tmpl w:val="196228FE"/>
    <w:lvl w:ilvl="0" w:tplc="F804367C">
      <w:start w:val="1"/>
      <w:numFmt w:val="decimal"/>
      <w:lvlText w:val="%1."/>
      <w:lvlJc w:val="left"/>
      <w:pPr>
        <w:ind w:left="720" w:hanging="360"/>
      </w:pPr>
      <w:rPr>
        <w:rFonts w:ascii="Tahoma" w:hAnsi="Tahoma" w:cs="Tahoma" w:hint="default"/>
      </w:rPr>
    </w:lvl>
    <w:lvl w:ilvl="1" w:tplc="251E561C">
      <w:start w:val="1"/>
      <w:numFmt w:val="lowerLetter"/>
      <w:lvlText w:val="%2."/>
      <w:lvlJc w:val="left"/>
      <w:pPr>
        <w:ind w:left="1353" w:hanging="360"/>
      </w:pPr>
    </w:lvl>
    <w:lvl w:ilvl="2" w:tplc="C76E3B6A">
      <w:start w:val="1"/>
      <w:numFmt w:val="lowerRoman"/>
      <w:lvlText w:val="%3."/>
      <w:lvlJc w:val="right"/>
      <w:pPr>
        <w:ind w:left="2160" w:hanging="180"/>
      </w:pPr>
    </w:lvl>
    <w:lvl w:ilvl="3" w:tplc="C7BE63B8">
      <w:start w:val="1"/>
      <w:numFmt w:val="decimal"/>
      <w:lvlText w:val="%4."/>
      <w:lvlJc w:val="left"/>
      <w:pPr>
        <w:ind w:left="2880" w:hanging="360"/>
      </w:pPr>
    </w:lvl>
    <w:lvl w:ilvl="4" w:tplc="0FE0582C">
      <w:start w:val="1"/>
      <w:numFmt w:val="lowerLetter"/>
      <w:lvlText w:val="%5."/>
      <w:lvlJc w:val="left"/>
      <w:pPr>
        <w:ind w:left="3600" w:hanging="360"/>
      </w:pPr>
    </w:lvl>
    <w:lvl w:ilvl="5" w:tplc="EF423DE4">
      <w:start w:val="1"/>
      <w:numFmt w:val="lowerRoman"/>
      <w:lvlText w:val="%6."/>
      <w:lvlJc w:val="right"/>
      <w:pPr>
        <w:ind w:left="4320" w:hanging="180"/>
      </w:pPr>
    </w:lvl>
    <w:lvl w:ilvl="6" w:tplc="C7440B08">
      <w:start w:val="1"/>
      <w:numFmt w:val="decimal"/>
      <w:lvlText w:val="%7."/>
      <w:lvlJc w:val="left"/>
      <w:pPr>
        <w:ind w:left="5040" w:hanging="360"/>
      </w:pPr>
    </w:lvl>
    <w:lvl w:ilvl="7" w:tplc="8048AE3A">
      <w:start w:val="1"/>
      <w:numFmt w:val="lowerLetter"/>
      <w:lvlText w:val="%8."/>
      <w:lvlJc w:val="left"/>
      <w:pPr>
        <w:ind w:left="5760" w:hanging="360"/>
      </w:pPr>
    </w:lvl>
    <w:lvl w:ilvl="8" w:tplc="76422FE0">
      <w:start w:val="1"/>
      <w:numFmt w:val="lowerRoman"/>
      <w:lvlText w:val="%9."/>
      <w:lvlJc w:val="right"/>
      <w:pPr>
        <w:ind w:left="6480" w:hanging="180"/>
      </w:pPr>
    </w:lvl>
  </w:abstractNum>
  <w:abstractNum w:abstractNumId="8" w15:restartNumberingAfterBreak="0">
    <w:nsid w:val="764B647B"/>
    <w:multiLevelType w:val="hybridMultilevel"/>
    <w:tmpl w:val="2D6284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848"/>
    <w:rsid w:val="00000227"/>
    <w:rsid w:val="00000489"/>
    <w:rsid w:val="000033E1"/>
    <w:rsid w:val="0001710B"/>
    <w:rsid w:val="00032126"/>
    <w:rsid w:val="000331FD"/>
    <w:rsid w:val="00034673"/>
    <w:rsid w:val="000348B3"/>
    <w:rsid w:val="0004097D"/>
    <w:rsid w:val="00043012"/>
    <w:rsid w:val="0004785C"/>
    <w:rsid w:val="00050061"/>
    <w:rsid w:val="000507B6"/>
    <w:rsid w:val="00051F97"/>
    <w:rsid w:val="00060B92"/>
    <w:rsid w:val="000645D4"/>
    <w:rsid w:val="00070883"/>
    <w:rsid w:val="00073C8A"/>
    <w:rsid w:val="00073E27"/>
    <w:rsid w:val="00081E34"/>
    <w:rsid w:val="00081F78"/>
    <w:rsid w:val="0008239E"/>
    <w:rsid w:val="00084C39"/>
    <w:rsid w:val="0009279F"/>
    <w:rsid w:val="00092F52"/>
    <w:rsid w:val="000A0C58"/>
    <w:rsid w:val="000A1DF3"/>
    <w:rsid w:val="000A70BA"/>
    <w:rsid w:val="000A7489"/>
    <w:rsid w:val="000A7C43"/>
    <w:rsid w:val="000B1501"/>
    <w:rsid w:val="000B3930"/>
    <w:rsid w:val="000B5DBA"/>
    <w:rsid w:val="000B5F9F"/>
    <w:rsid w:val="000C59CD"/>
    <w:rsid w:val="000C5FE0"/>
    <w:rsid w:val="000D1243"/>
    <w:rsid w:val="000D3214"/>
    <w:rsid w:val="000D4327"/>
    <w:rsid w:val="000D60BA"/>
    <w:rsid w:val="000D7C61"/>
    <w:rsid w:val="000E1D8A"/>
    <w:rsid w:val="000E2498"/>
    <w:rsid w:val="000E2BDC"/>
    <w:rsid w:val="000E407B"/>
    <w:rsid w:val="000E4C41"/>
    <w:rsid w:val="000E4F34"/>
    <w:rsid w:val="000E5C71"/>
    <w:rsid w:val="000E6459"/>
    <w:rsid w:val="000F134E"/>
    <w:rsid w:val="000F55BF"/>
    <w:rsid w:val="00100F91"/>
    <w:rsid w:val="00105C62"/>
    <w:rsid w:val="001102E5"/>
    <w:rsid w:val="0011329E"/>
    <w:rsid w:val="0012069A"/>
    <w:rsid w:val="0012076B"/>
    <w:rsid w:val="001217F7"/>
    <w:rsid w:val="00124188"/>
    <w:rsid w:val="00127241"/>
    <w:rsid w:val="001300D4"/>
    <w:rsid w:val="00130244"/>
    <w:rsid w:val="00130858"/>
    <w:rsid w:val="00132CF2"/>
    <w:rsid w:val="00132E81"/>
    <w:rsid w:val="00133463"/>
    <w:rsid w:val="00133625"/>
    <w:rsid w:val="00135F61"/>
    <w:rsid w:val="00140821"/>
    <w:rsid w:val="00142E00"/>
    <w:rsid w:val="00143CD9"/>
    <w:rsid w:val="00144783"/>
    <w:rsid w:val="00144893"/>
    <w:rsid w:val="001466BC"/>
    <w:rsid w:val="001477E0"/>
    <w:rsid w:val="00151506"/>
    <w:rsid w:val="00154DEE"/>
    <w:rsid w:val="00157750"/>
    <w:rsid w:val="00161F77"/>
    <w:rsid w:val="00161F97"/>
    <w:rsid w:val="0016235B"/>
    <w:rsid w:val="0016609B"/>
    <w:rsid w:val="001701D0"/>
    <w:rsid w:val="00170707"/>
    <w:rsid w:val="00170974"/>
    <w:rsid w:val="00171926"/>
    <w:rsid w:val="00173B7E"/>
    <w:rsid w:val="00175C84"/>
    <w:rsid w:val="0018057B"/>
    <w:rsid w:val="00182F44"/>
    <w:rsid w:val="00183FB2"/>
    <w:rsid w:val="001846F2"/>
    <w:rsid w:val="0018788E"/>
    <w:rsid w:val="00191CB5"/>
    <w:rsid w:val="00192823"/>
    <w:rsid w:val="00195D8E"/>
    <w:rsid w:val="00197066"/>
    <w:rsid w:val="001A71CC"/>
    <w:rsid w:val="001B11AF"/>
    <w:rsid w:val="001B272B"/>
    <w:rsid w:val="001B3AF3"/>
    <w:rsid w:val="001B4D98"/>
    <w:rsid w:val="001B736B"/>
    <w:rsid w:val="001C013A"/>
    <w:rsid w:val="001C7C56"/>
    <w:rsid w:val="001D2E0C"/>
    <w:rsid w:val="001D328D"/>
    <w:rsid w:val="001D48B0"/>
    <w:rsid w:val="001E7A83"/>
    <w:rsid w:val="001E7D83"/>
    <w:rsid w:val="001F187D"/>
    <w:rsid w:val="001F2506"/>
    <w:rsid w:val="001F3245"/>
    <w:rsid w:val="001F53D1"/>
    <w:rsid w:val="002001A7"/>
    <w:rsid w:val="0020152B"/>
    <w:rsid w:val="00203CE4"/>
    <w:rsid w:val="0020420B"/>
    <w:rsid w:val="0020674E"/>
    <w:rsid w:val="00211049"/>
    <w:rsid w:val="0021527B"/>
    <w:rsid w:val="00217181"/>
    <w:rsid w:val="00220AF4"/>
    <w:rsid w:val="0022457F"/>
    <w:rsid w:val="00234B72"/>
    <w:rsid w:val="002372A5"/>
    <w:rsid w:val="00243120"/>
    <w:rsid w:val="00243E4E"/>
    <w:rsid w:val="00244E50"/>
    <w:rsid w:val="00245563"/>
    <w:rsid w:val="0024559B"/>
    <w:rsid w:val="00246B96"/>
    <w:rsid w:val="0024770B"/>
    <w:rsid w:val="00256E1A"/>
    <w:rsid w:val="00260F8D"/>
    <w:rsid w:val="00270931"/>
    <w:rsid w:val="0027225F"/>
    <w:rsid w:val="00274C26"/>
    <w:rsid w:val="00274D15"/>
    <w:rsid w:val="00281848"/>
    <w:rsid w:val="00285F35"/>
    <w:rsid w:val="0029235B"/>
    <w:rsid w:val="00295F84"/>
    <w:rsid w:val="002974EB"/>
    <w:rsid w:val="002A05AE"/>
    <w:rsid w:val="002A68D3"/>
    <w:rsid w:val="002A710C"/>
    <w:rsid w:val="002B0C19"/>
    <w:rsid w:val="002B203D"/>
    <w:rsid w:val="002C3206"/>
    <w:rsid w:val="002C36F5"/>
    <w:rsid w:val="002C6AA0"/>
    <w:rsid w:val="002D032B"/>
    <w:rsid w:val="002D2806"/>
    <w:rsid w:val="002D4640"/>
    <w:rsid w:val="002D4C61"/>
    <w:rsid w:val="002D7247"/>
    <w:rsid w:val="002E07F2"/>
    <w:rsid w:val="002E4FED"/>
    <w:rsid w:val="002F59E9"/>
    <w:rsid w:val="0030105F"/>
    <w:rsid w:val="00302976"/>
    <w:rsid w:val="00305BFF"/>
    <w:rsid w:val="003108D6"/>
    <w:rsid w:val="00311CE6"/>
    <w:rsid w:val="00316347"/>
    <w:rsid w:val="003203F3"/>
    <w:rsid w:val="00322A29"/>
    <w:rsid w:val="00322C91"/>
    <w:rsid w:val="00323D8E"/>
    <w:rsid w:val="00325F7E"/>
    <w:rsid w:val="00327B34"/>
    <w:rsid w:val="0033550D"/>
    <w:rsid w:val="00336387"/>
    <w:rsid w:val="00336942"/>
    <w:rsid w:val="00340DBE"/>
    <w:rsid w:val="00341542"/>
    <w:rsid w:val="003478B4"/>
    <w:rsid w:val="0035588E"/>
    <w:rsid w:val="00360F90"/>
    <w:rsid w:val="00361B77"/>
    <w:rsid w:val="003637EB"/>
    <w:rsid w:val="00367E4C"/>
    <w:rsid w:val="003706D2"/>
    <w:rsid w:val="003926FE"/>
    <w:rsid w:val="003936B2"/>
    <w:rsid w:val="003954ED"/>
    <w:rsid w:val="003A0949"/>
    <w:rsid w:val="003A2D19"/>
    <w:rsid w:val="003B23EA"/>
    <w:rsid w:val="003B42AA"/>
    <w:rsid w:val="003B6848"/>
    <w:rsid w:val="003C1968"/>
    <w:rsid w:val="003C6E23"/>
    <w:rsid w:val="003D1D9E"/>
    <w:rsid w:val="003D2E77"/>
    <w:rsid w:val="003D3C04"/>
    <w:rsid w:val="003D635B"/>
    <w:rsid w:val="003E0BE1"/>
    <w:rsid w:val="003E12D1"/>
    <w:rsid w:val="003E49F9"/>
    <w:rsid w:val="003E604A"/>
    <w:rsid w:val="003F274F"/>
    <w:rsid w:val="00400AAE"/>
    <w:rsid w:val="00400B5C"/>
    <w:rsid w:val="00400CB5"/>
    <w:rsid w:val="004038C0"/>
    <w:rsid w:val="0040599D"/>
    <w:rsid w:val="004070D4"/>
    <w:rsid w:val="004126ED"/>
    <w:rsid w:val="004137B9"/>
    <w:rsid w:val="00414CC1"/>
    <w:rsid w:val="00415842"/>
    <w:rsid w:val="00416DEC"/>
    <w:rsid w:val="00420ABB"/>
    <w:rsid w:val="0042586E"/>
    <w:rsid w:val="00427DB9"/>
    <w:rsid w:val="004303F5"/>
    <w:rsid w:val="0043194B"/>
    <w:rsid w:val="004350E1"/>
    <w:rsid w:val="004373A8"/>
    <w:rsid w:val="00452F12"/>
    <w:rsid w:val="0045360F"/>
    <w:rsid w:val="00455FC7"/>
    <w:rsid w:val="004568A3"/>
    <w:rsid w:val="004625C7"/>
    <w:rsid w:val="004708F9"/>
    <w:rsid w:val="00473B12"/>
    <w:rsid w:val="00480F74"/>
    <w:rsid w:val="00482F8A"/>
    <w:rsid w:val="00482FD3"/>
    <w:rsid w:val="0048475E"/>
    <w:rsid w:val="00484E46"/>
    <w:rsid w:val="00491ED6"/>
    <w:rsid w:val="004922E4"/>
    <w:rsid w:val="00493A3A"/>
    <w:rsid w:val="004A022C"/>
    <w:rsid w:val="004A0AB4"/>
    <w:rsid w:val="004A5CD7"/>
    <w:rsid w:val="004B05CC"/>
    <w:rsid w:val="004B2651"/>
    <w:rsid w:val="004B58AC"/>
    <w:rsid w:val="004B6909"/>
    <w:rsid w:val="004B6EE9"/>
    <w:rsid w:val="004C19F5"/>
    <w:rsid w:val="004C426A"/>
    <w:rsid w:val="004C7899"/>
    <w:rsid w:val="004D2220"/>
    <w:rsid w:val="004D4784"/>
    <w:rsid w:val="004E1AFD"/>
    <w:rsid w:val="004E3CA1"/>
    <w:rsid w:val="004E71C9"/>
    <w:rsid w:val="004F0854"/>
    <w:rsid w:val="004F0F0E"/>
    <w:rsid w:val="004F1747"/>
    <w:rsid w:val="004F2ECB"/>
    <w:rsid w:val="004F3E96"/>
    <w:rsid w:val="004F4328"/>
    <w:rsid w:val="004F5AD3"/>
    <w:rsid w:val="004F643D"/>
    <w:rsid w:val="0050278F"/>
    <w:rsid w:val="00510D63"/>
    <w:rsid w:val="00515FF3"/>
    <w:rsid w:val="0051727C"/>
    <w:rsid w:val="00520A60"/>
    <w:rsid w:val="005219F8"/>
    <w:rsid w:val="00522DCA"/>
    <w:rsid w:val="0052540F"/>
    <w:rsid w:val="00526962"/>
    <w:rsid w:val="005311FB"/>
    <w:rsid w:val="005314C7"/>
    <w:rsid w:val="00532671"/>
    <w:rsid w:val="005345C0"/>
    <w:rsid w:val="005357D4"/>
    <w:rsid w:val="00536DE0"/>
    <w:rsid w:val="00537B37"/>
    <w:rsid w:val="00550BD6"/>
    <w:rsid w:val="00553D79"/>
    <w:rsid w:val="00563C08"/>
    <w:rsid w:val="005652FE"/>
    <w:rsid w:val="00567069"/>
    <w:rsid w:val="00571C08"/>
    <w:rsid w:val="00572574"/>
    <w:rsid w:val="0057307A"/>
    <w:rsid w:val="005761B8"/>
    <w:rsid w:val="00576F86"/>
    <w:rsid w:val="005779A4"/>
    <w:rsid w:val="00581726"/>
    <w:rsid w:val="00581B7C"/>
    <w:rsid w:val="00585C8B"/>
    <w:rsid w:val="0059688C"/>
    <w:rsid w:val="005974D6"/>
    <w:rsid w:val="005A2C4E"/>
    <w:rsid w:val="005B4D39"/>
    <w:rsid w:val="005B6A0C"/>
    <w:rsid w:val="005B7733"/>
    <w:rsid w:val="005C2D06"/>
    <w:rsid w:val="005C5D11"/>
    <w:rsid w:val="005C71F5"/>
    <w:rsid w:val="005D0D5A"/>
    <w:rsid w:val="005D58CC"/>
    <w:rsid w:val="005D5B8A"/>
    <w:rsid w:val="005E0B04"/>
    <w:rsid w:val="005E43E0"/>
    <w:rsid w:val="005E48C9"/>
    <w:rsid w:val="005E55E7"/>
    <w:rsid w:val="005F15A6"/>
    <w:rsid w:val="005F1B17"/>
    <w:rsid w:val="005F23C0"/>
    <w:rsid w:val="00601795"/>
    <w:rsid w:val="006048C5"/>
    <w:rsid w:val="00610E0E"/>
    <w:rsid w:val="00612CB4"/>
    <w:rsid w:val="00613BC1"/>
    <w:rsid w:val="00616056"/>
    <w:rsid w:val="00617E08"/>
    <w:rsid w:val="00623AEF"/>
    <w:rsid w:val="0062667E"/>
    <w:rsid w:val="00627ED8"/>
    <w:rsid w:val="006313AE"/>
    <w:rsid w:val="006338F2"/>
    <w:rsid w:val="00637299"/>
    <w:rsid w:val="0063770E"/>
    <w:rsid w:val="006412B3"/>
    <w:rsid w:val="00641BF1"/>
    <w:rsid w:val="0064476B"/>
    <w:rsid w:val="00646361"/>
    <w:rsid w:val="00647E83"/>
    <w:rsid w:val="0065061D"/>
    <w:rsid w:val="00650C9B"/>
    <w:rsid w:val="0065201C"/>
    <w:rsid w:val="00652323"/>
    <w:rsid w:val="0065444C"/>
    <w:rsid w:val="00660570"/>
    <w:rsid w:val="00660B79"/>
    <w:rsid w:val="00666129"/>
    <w:rsid w:val="00671DD8"/>
    <w:rsid w:val="0067372B"/>
    <w:rsid w:val="006740DF"/>
    <w:rsid w:val="00674360"/>
    <w:rsid w:val="00675A2B"/>
    <w:rsid w:val="00675FC4"/>
    <w:rsid w:val="00676A11"/>
    <w:rsid w:val="006835BE"/>
    <w:rsid w:val="00686294"/>
    <w:rsid w:val="006878F8"/>
    <w:rsid w:val="00690A06"/>
    <w:rsid w:val="00692D40"/>
    <w:rsid w:val="0069601C"/>
    <w:rsid w:val="006A0079"/>
    <w:rsid w:val="006A0C84"/>
    <w:rsid w:val="006A2ECC"/>
    <w:rsid w:val="006A6494"/>
    <w:rsid w:val="006A69B6"/>
    <w:rsid w:val="006B1EDE"/>
    <w:rsid w:val="006B2CCE"/>
    <w:rsid w:val="006B70EF"/>
    <w:rsid w:val="006C00B2"/>
    <w:rsid w:val="006C1E3C"/>
    <w:rsid w:val="006C487F"/>
    <w:rsid w:val="006C4E21"/>
    <w:rsid w:val="006D3F76"/>
    <w:rsid w:val="006D433A"/>
    <w:rsid w:val="006E0C88"/>
    <w:rsid w:val="006E5977"/>
    <w:rsid w:val="006E65BD"/>
    <w:rsid w:val="006E668F"/>
    <w:rsid w:val="006F4E09"/>
    <w:rsid w:val="006F54F3"/>
    <w:rsid w:val="006F58F8"/>
    <w:rsid w:val="0070113C"/>
    <w:rsid w:val="00706A4B"/>
    <w:rsid w:val="00706B62"/>
    <w:rsid w:val="00710B30"/>
    <w:rsid w:val="00711F08"/>
    <w:rsid w:val="00712632"/>
    <w:rsid w:val="00712E1A"/>
    <w:rsid w:val="00713CFE"/>
    <w:rsid w:val="00714F10"/>
    <w:rsid w:val="0071533C"/>
    <w:rsid w:val="00722F03"/>
    <w:rsid w:val="00725E26"/>
    <w:rsid w:val="00731A5E"/>
    <w:rsid w:val="007332C3"/>
    <w:rsid w:val="007335FF"/>
    <w:rsid w:val="00733C37"/>
    <w:rsid w:val="007344B4"/>
    <w:rsid w:val="00740928"/>
    <w:rsid w:val="00741A38"/>
    <w:rsid w:val="007425C2"/>
    <w:rsid w:val="00742AF7"/>
    <w:rsid w:val="00751FE4"/>
    <w:rsid w:val="00752050"/>
    <w:rsid w:val="007524CE"/>
    <w:rsid w:val="00754F0E"/>
    <w:rsid w:val="00761A18"/>
    <w:rsid w:val="00765144"/>
    <w:rsid w:val="00767B5D"/>
    <w:rsid w:val="007700F0"/>
    <w:rsid w:val="00772A08"/>
    <w:rsid w:val="007745EE"/>
    <w:rsid w:val="00775466"/>
    <w:rsid w:val="007775BD"/>
    <w:rsid w:val="00782916"/>
    <w:rsid w:val="00784943"/>
    <w:rsid w:val="007867BB"/>
    <w:rsid w:val="00787F83"/>
    <w:rsid w:val="00793DFA"/>
    <w:rsid w:val="00796E91"/>
    <w:rsid w:val="007A27EB"/>
    <w:rsid w:val="007A63AC"/>
    <w:rsid w:val="007B142B"/>
    <w:rsid w:val="007B482B"/>
    <w:rsid w:val="007B72BF"/>
    <w:rsid w:val="007B76E1"/>
    <w:rsid w:val="007C70D9"/>
    <w:rsid w:val="007C7A2B"/>
    <w:rsid w:val="007D2D10"/>
    <w:rsid w:val="007D50D1"/>
    <w:rsid w:val="007D7B3F"/>
    <w:rsid w:val="007E6666"/>
    <w:rsid w:val="007F183E"/>
    <w:rsid w:val="007F5C1B"/>
    <w:rsid w:val="007F729D"/>
    <w:rsid w:val="00800BD2"/>
    <w:rsid w:val="00805B61"/>
    <w:rsid w:val="008138D6"/>
    <w:rsid w:val="008143EF"/>
    <w:rsid w:val="00820314"/>
    <w:rsid w:val="0082038E"/>
    <w:rsid w:val="00823956"/>
    <w:rsid w:val="00824F8C"/>
    <w:rsid w:val="008264F3"/>
    <w:rsid w:val="00826AA2"/>
    <w:rsid w:val="008307C1"/>
    <w:rsid w:val="00837814"/>
    <w:rsid w:val="00841EA8"/>
    <w:rsid w:val="00842699"/>
    <w:rsid w:val="008474B8"/>
    <w:rsid w:val="00850E9D"/>
    <w:rsid w:val="00852C1E"/>
    <w:rsid w:val="0086282F"/>
    <w:rsid w:val="0086387A"/>
    <w:rsid w:val="00870C82"/>
    <w:rsid w:val="008834BD"/>
    <w:rsid w:val="00884609"/>
    <w:rsid w:val="0088572E"/>
    <w:rsid w:val="00887157"/>
    <w:rsid w:val="0089481D"/>
    <w:rsid w:val="008A1431"/>
    <w:rsid w:val="008A1EC6"/>
    <w:rsid w:val="008A4F5B"/>
    <w:rsid w:val="008A7187"/>
    <w:rsid w:val="008B0CA0"/>
    <w:rsid w:val="008C3C1E"/>
    <w:rsid w:val="008C77A8"/>
    <w:rsid w:val="008C7FCA"/>
    <w:rsid w:val="008D0DE1"/>
    <w:rsid w:val="008D2AEC"/>
    <w:rsid w:val="008D454D"/>
    <w:rsid w:val="008D52D8"/>
    <w:rsid w:val="008D7E8A"/>
    <w:rsid w:val="008E0C39"/>
    <w:rsid w:val="008E24DB"/>
    <w:rsid w:val="008E64E1"/>
    <w:rsid w:val="008E6732"/>
    <w:rsid w:val="008F08E8"/>
    <w:rsid w:val="009012C2"/>
    <w:rsid w:val="00901D3D"/>
    <w:rsid w:val="00903CF2"/>
    <w:rsid w:val="00905218"/>
    <w:rsid w:val="00911938"/>
    <w:rsid w:val="009141B9"/>
    <w:rsid w:val="00916830"/>
    <w:rsid w:val="00917C8C"/>
    <w:rsid w:val="00924F14"/>
    <w:rsid w:val="00926C0D"/>
    <w:rsid w:val="009279BF"/>
    <w:rsid w:val="0093218F"/>
    <w:rsid w:val="00932CD2"/>
    <w:rsid w:val="00936BC2"/>
    <w:rsid w:val="00940793"/>
    <w:rsid w:val="00942303"/>
    <w:rsid w:val="00944E28"/>
    <w:rsid w:val="00947E28"/>
    <w:rsid w:val="00952B47"/>
    <w:rsid w:val="009621F2"/>
    <w:rsid w:val="0096257A"/>
    <w:rsid w:val="009641DC"/>
    <w:rsid w:val="00964803"/>
    <w:rsid w:val="00964AFF"/>
    <w:rsid w:val="009676C7"/>
    <w:rsid w:val="00981FB9"/>
    <w:rsid w:val="00986C7A"/>
    <w:rsid w:val="009878B9"/>
    <w:rsid w:val="00995B6C"/>
    <w:rsid w:val="00996B76"/>
    <w:rsid w:val="009B2F77"/>
    <w:rsid w:val="009B3CE5"/>
    <w:rsid w:val="009B740C"/>
    <w:rsid w:val="009C3DFC"/>
    <w:rsid w:val="009D1693"/>
    <w:rsid w:val="009D32B6"/>
    <w:rsid w:val="009D38FF"/>
    <w:rsid w:val="009E3EC6"/>
    <w:rsid w:val="009E4E4B"/>
    <w:rsid w:val="009E5780"/>
    <w:rsid w:val="009F2DEA"/>
    <w:rsid w:val="009F319E"/>
    <w:rsid w:val="009F4252"/>
    <w:rsid w:val="00A01AF7"/>
    <w:rsid w:val="00A03007"/>
    <w:rsid w:val="00A0409F"/>
    <w:rsid w:val="00A05225"/>
    <w:rsid w:val="00A2077C"/>
    <w:rsid w:val="00A21A5F"/>
    <w:rsid w:val="00A223F1"/>
    <w:rsid w:val="00A26A4C"/>
    <w:rsid w:val="00A27B80"/>
    <w:rsid w:val="00A27D8A"/>
    <w:rsid w:val="00A3299A"/>
    <w:rsid w:val="00A36906"/>
    <w:rsid w:val="00A37A9E"/>
    <w:rsid w:val="00A40324"/>
    <w:rsid w:val="00A40704"/>
    <w:rsid w:val="00A46D9F"/>
    <w:rsid w:val="00A502E1"/>
    <w:rsid w:val="00A5787D"/>
    <w:rsid w:val="00A70802"/>
    <w:rsid w:val="00A72737"/>
    <w:rsid w:val="00A75BB4"/>
    <w:rsid w:val="00A82E64"/>
    <w:rsid w:val="00A84DED"/>
    <w:rsid w:val="00A86B1C"/>
    <w:rsid w:val="00A871A4"/>
    <w:rsid w:val="00A90983"/>
    <w:rsid w:val="00A910C7"/>
    <w:rsid w:val="00A91753"/>
    <w:rsid w:val="00A927EA"/>
    <w:rsid w:val="00A9521E"/>
    <w:rsid w:val="00AA2320"/>
    <w:rsid w:val="00AA2997"/>
    <w:rsid w:val="00AB61FD"/>
    <w:rsid w:val="00AB721F"/>
    <w:rsid w:val="00AB753C"/>
    <w:rsid w:val="00AB7DA5"/>
    <w:rsid w:val="00AC22DC"/>
    <w:rsid w:val="00AC6035"/>
    <w:rsid w:val="00AD0B5E"/>
    <w:rsid w:val="00AD1ACE"/>
    <w:rsid w:val="00AD3B13"/>
    <w:rsid w:val="00AD520E"/>
    <w:rsid w:val="00AE0805"/>
    <w:rsid w:val="00AE476D"/>
    <w:rsid w:val="00AF0B0B"/>
    <w:rsid w:val="00AF0B1B"/>
    <w:rsid w:val="00AF2651"/>
    <w:rsid w:val="00AF7D9A"/>
    <w:rsid w:val="00B00DBA"/>
    <w:rsid w:val="00B04EB3"/>
    <w:rsid w:val="00B059D5"/>
    <w:rsid w:val="00B061E0"/>
    <w:rsid w:val="00B07246"/>
    <w:rsid w:val="00B113DC"/>
    <w:rsid w:val="00B121C3"/>
    <w:rsid w:val="00B12827"/>
    <w:rsid w:val="00B13502"/>
    <w:rsid w:val="00B2391B"/>
    <w:rsid w:val="00B24AB7"/>
    <w:rsid w:val="00B24FB1"/>
    <w:rsid w:val="00B31E17"/>
    <w:rsid w:val="00B35DF0"/>
    <w:rsid w:val="00B3645A"/>
    <w:rsid w:val="00B365A8"/>
    <w:rsid w:val="00B42599"/>
    <w:rsid w:val="00B4272D"/>
    <w:rsid w:val="00B519CA"/>
    <w:rsid w:val="00B52510"/>
    <w:rsid w:val="00B534BA"/>
    <w:rsid w:val="00B54582"/>
    <w:rsid w:val="00B54FE4"/>
    <w:rsid w:val="00B56F0B"/>
    <w:rsid w:val="00B608A4"/>
    <w:rsid w:val="00B6622F"/>
    <w:rsid w:val="00B663A6"/>
    <w:rsid w:val="00B72568"/>
    <w:rsid w:val="00B72AA5"/>
    <w:rsid w:val="00B73C88"/>
    <w:rsid w:val="00B752B7"/>
    <w:rsid w:val="00B7718D"/>
    <w:rsid w:val="00B812D9"/>
    <w:rsid w:val="00B827C3"/>
    <w:rsid w:val="00B836A8"/>
    <w:rsid w:val="00B85159"/>
    <w:rsid w:val="00B90029"/>
    <w:rsid w:val="00B91B8D"/>
    <w:rsid w:val="00B9209C"/>
    <w:rsid w:val="00B92B87"/>
    <w:rsid w:val="00B93249"/>
    <w:rsid w:val="00B93B47"/>
    <w:rsid w:val="00B9591B"/>
    <w:rsid w:val="00BA0131"/>
    <w:rsid w:val="00BA0364"/>
    <w:rsid w:val="00BA2E95"/>
    <w:rsid w:val="00BA653D"/>
    <w:rsid w:val="00BA6895"/>
    <w:rsid w:val="00BB0D41"/>
    <w:rsid w:val="00BB1F7A"/>
    <w:rsid w:val="00BD0C1D"/>
    <w:rsid w:val="00BD14AE"/>
    <w:rsid w:val="00BD4CD3"/>
    <w:rsid w:val="00BE09FC"/>
    <w:rsid w:val="00BE28BC"/>
    <w:rsid w:val="00BE2D6A"/>
    <w:rsid w:val="00BE3906"/>
    <w:rsid w:val="00BE40C6"/>
    <w:rsid w:val="00BE461D"/>
    <w:rsid w:val="00BE4EAC"/>
    <w:rsid w:val="00BF47E6"/>
    <w:rsid w:val="00BF59ED"/>
    <w:rsid w:val="00C06396"/>
    <w:rsid w:val="00C10434"/>
    <w:rsid w:val="00C113E7"/>
    <w:rsid w:val="00C21C7B"/>
    <w:rsid w:val="00C249DF"/>
    <w:rsid w:val="00C3320B"/>
    <w:rsid w:val="00C35A4F"/>
    <w:rsid w:val="00C35AB1"/>
    <w:rsid w:val="00C41934"/>
    <w:rsid w:val="00C507F8"/>
    <w:rsid w:val="00C517F7"/>
    <w:rsid w:val="00C5399A"/>
    <w:rsid w:val="00C55E6F"/>
    <w:rsid w:val="00C57C8B"/>
    <w:rsid w:val="00C6089B"/>
    <w:rsid w:val="00C632F7"/>
    <w:rsid w:val="00C6543D"/>
    <w:rsid w:val="00C7152D"/>
    <w:rsid w:val="00C72652"/>
    <w:rsid w:val="00C73CC7"/>
    <w:rsid w:val="00C77066"/>
    <w:rsid w:val="00C85BE8"/>
    <w:rsid w:val="00C8724B"/>
    <w:rsid w:val="00C9028B"/>
    <w:rsid w:val="00C925EF"/>
    <w:rsid w:val="00CA349D"/>
    <w:rsid w:val="00CA5B04"/>
    <w:rsid w:val="00CB0FE3"/>
    <w:rsid w:val="00CB37DF"/>
    <w:rsid w:val="00CB40C7"/>
    <w:rsid w:val="00CB46B2"/>
    <w:rsid w:val="00CB6E57"/>
    <w:rsid w:val="00CC3A97"/>
    <w:rsid w:val="00CC3B17"/>
    <w:rsid w:val="00CC4772"/>
    <w:rsid w:val="00CC5E74"/>
    <w:rsid w:val="00CC6CAB"/>
    <w:rsid w:val="00CC7065"/>
    <w:rsid w:val="00CD055E"/>
    <w:rsid w:val="00CD6E29"/>
    <w:rsid w:val="00CE3096"/>
    <w:rsid w:val="00CE48D3"/>
    <w:rsid w:val="00CE6557"/>
    <w:rsid w:val="00CE7117"/>
    <w:rsid w:val="00CF7F7D"/>
    <w:rsid w:val="00D0266E"/>
    <w:rsid w:val="00D02D0C"/>
    <w:rsid w:val="00D0472B"/>
    <w:rsid w:val="00D076D9"/>
    <w:rsid w:val="00D077BE"/>
    <w:rsid w:val="00D15E3D"/>
    <w:rsid w:val="00D15F84"/>
    <w:rsid w:val="00D21B62"/>
    <w:rsid w:val="00D26C4D"/>
    <w:rsid w:val="00D272E5"/>
    <w:rsid w:val="00D31E1D"/>
    <w:rsid w:val="00D334C6"/>
    <w:rsid w:val="00D35BAA"/>
    <w:rsid w:val="00D4286F"/>
    <w:rsid w:val="00D46A38"/>
    <w:rsid w:val="00D47EFA"/>
    <w:rsid w:val="00D510A1"/>
    <w:rsid w:val="00D52474"/>
    <w:rsid w:val="00D54966"/>
    <w:rsid w:val="00D55354"/>
    <w:rsid w:val="00D60566"/>
    <w:rsid w:val="00D6592E"/>
    <w:rsid w:val="00D659BA"/>
    <w:rsid w:val="00D667A0"/>
    <w:rsid w:val="00D71180"/>
    <w:rsid w:val="00D76EB2"/>
    <w:rsid w:val="00D83F6E"/>
    <w:rsid w:val="00D8698F"/>
    <w:rsid w:val="00D90331"/>
    <w:rsid w:val="00DA0CA4"/>
    <w:rsid w:val="00DA52E2"/>
    <w:rsid w:val="00DA78EF"/>
    <w:rsid w:val="00DB0329"/>
    <w:rsid w:val="00DB13A5"/>
    <w:rsid w:val="00DB2AF5"/>
    <w:rsid w:val="00DB512F"/>
    <w:rsid w:val="00DB6467"/>
    <w:rsid w:val="00DC1A56"/>
    <w:rsid w:val="00DC1DC8"/>
    <w:rsid w:val="00DC1F37"/>
    <w:rsid w:val="00DC228A"/>
    <w:rsid w:val="00DC4FE9"/>
    <w:rsid w:val="00DC65BC"/>
    <w:rsid w:val="00DD2361"/>
    <w:rsid w:val="00DD286E"/>
    <w:rsid w:val="00DD294B"/>
    <w:rsid w:val="00DD3AC5"/>
    <w:rsid w:val="00DD4F57"/>
    <w:rsid w:val="00DE42E9"/>
    <w:rsid w:val="00DE45BF"/>
    <w:rsid w:val="00DE7704"/>
    <w:rsid w:val="00DF3345"/>
    <w:rsid w:val="00DF57A6"/>
    <w:rsid w:val="00DF6108"/>
    <w:rsid w:val="00DF6BCE"/>
    <w:rsid w:val="00E014AC"/>
    <w:rsid w:val="00E021A1"/>
    <w:rsid w:val="00E0330F"/>
    <w:rsid w:val="00E108AB"/>
    <w:rsid w:val="00E16140"/>
    <w:rsid w:val="00E164F4"/>
    <w:rsid w:val="00E209E0"/>
    <w:rsid w:val="00E31CB4"/>
    <w:rsid w:val="00E343FC"/>
    <w:rsid w:val="00E377DA"/>
    <w:rsid w:val="00E378EC"/>
    <w:rsid w:val="00E45B03"/>
    <w:rsid w:val="00E47799"/>
    <w:rsid w:val="00E51830"/>
    <w:rsid w:val="00E53962"/>
    <w:rsid w:val="00E6099E"/>
    <w:rsid w:val="00E60AFE"/>
    <w:rsid w:val="00E61A67"/>
    <w:rsid w:val="00E64400"/>
    <w:rsid w:val="00E667D1"/>
    <w:rsid w:val="00E72E01"/>
    <w:rsid w:val="00E74ADD"/>
    <w:rsid w:val="00E74FA1"/>
    <w:rsid w:val="00E75891"/>
    <w:rsid w:val="00E778E7"/>
    <w:rsid w:val="00E82B84"/>
    <w:rsid w:val="00E83024"/>
    <w:rsid w:val="00E831AB"/>
    <w:rsid w:val="00E908FC"/>
    <w:rsid w:val="00E9097B"/>
    <w:rsid w:val="00E90F0C"/>
    <w:rsid w:val="00E9304F"/>
    <w:rsid w:val="00E94BF1"/>
    <w:rsid w:val="00E95990"/>
    <w:rsid w:val="00E96800"/>
    <w:rsid w:val="00EA5201"/>
    <w:rsid w:val="00EA58B3"/>
    <w:rsid w:val="00EB7DC9"/>
    <w:rsid w:val="00EC071E"/>
    <w:rsid w:val="00EC367B"/>
    <w:rsid w:val="00ED4769"/>
    <w:rsid w:val="00ED48D8"/>
    <w:rsid w:val="00ED5727"/>
    <w:rsid w:val="00ED7027"/>
    <w:rsid w:val="00EE0537"/>
    <w:rsid w:val="00EE54A1"/>
    <w:rsid w:val="00EF2220"/>
    <w:rsid w:val="00EF3761"/>
    <w:rsid w:val="00EF406C"/>
    <w:rsid w:val="00EF4B26"/>
    <w:rsid w:val="00EF7CAA"/>
    <w:rsid w:val="00F021C2"/>
    <w:rsid w:val="00F0407F"/>
    <w:rsid w:val="00F0670E"/>
    <w:rsid w:val="00F10573"/>
    <w:rsid w:val="00F1104B"/>
    <w:rsid w:val="00F1146E"/>
    <w:rsid w:val="00F1245B"/>
    <w:rsid w:val="00F2537D"/>
    <w:rsid w:val="00F25E12"/>
    <w:rsid w:val="00F26E9C"/>
    <w:rsid w:val="00F2779D"/>
    <w:rsid w:val="00F3112D"/>
    <w:rsid w:val="00F34848"/>
    <w:rsid w:val="00F41453"/>
    <w:rsid w:val="00F47B0B"/>
    <w:rsid w:val="00F52E13"/>
    <w:rsid w:val="00F55B70"/>
    <w:rsid w:val="00F60E07"/>
    <w:rsid w:val="00F61FC4"/>
    <w:rsid w:val="00F6362D"/>
    <w:rsid w:val="00F64F68"/>
    <w:rsid w:val="00F65740"/>
    <w:rsid w:val="00F65786"/>
    <w:rsid w:val="00F666F7"/>
    <w:rsid w:val="00F67899"/>
    <w:rsid w:val="00F76A2A"/>
    <w:rsid w:val="00F77226"/>
    <w:rsid w:val="00F84965"/>
    <w:rsid w:val="00F84C72"/>
    <w:rsid w:val="00F85F49"/>
    <w:rsid w:val="00F900EC"/>
    <w:rsid w:val="00F90380"/>
    <w:rsid w:val="00F91236"/>
    <w:rsid w:val="00F91341"/>
    <w:rsid w:val="00F93069"/>
    <w:rsid w:val="00FA2E40"/>
    <w:rsid w:val="00FA43ED"/>
    <w:rsid w:val="00FA5E08"/>
    <w:rsid w:val="00FA783E"/>
    <w:rsid w:val="00FB0189"/>
    <w:rsid w:val="00FB15C5"/>
    <w:rsid w:val="00FB33A3"/>
    <w:rsid w:val="00FC2240"/>
    <w:rsid w:val="00FC23E2"/>
    <w:rsid w:val="00FC4C66"/>
    <w:rsid w:val="00FD0B7D"/>
    <w:rsid w:val="00FD1412"/>
    <w:rsid w:val="00FD2A60"/>
    <w:rsid w:val="00FD5936"/>
    <w:rsid w:val="00FD5B61"/>
    <w:rsid w:val="00FE1BD0"/>
    <w:rsid w:val="00FE256F"/>
    <w:rsid w:val="00FE38B1"/>
    <w:rsid w:val="00FE3C27"/>
    <w:rsid w:val="00FE42EF"/>
    <w:rsid w:val="00FF05CF"/>
    <w:rsid w:val="00FF4450"/>
    <w:rsid w:val="00FF63B7"/>
    <w:rsid w:val="03229B40"/>
    <w:rsid w:val="0697E334"/>
    <w:rsid w:val="0B5E8DCD"/>
    <w:rsid w:val="0CB05529"/>
    <w:rsid w:val="0D52749B"/>
    <w:rsid w:val="0D904916"/>
    <w:rsid w:val="0DB1F12A"/>
    <w:rsid w:val="1140F20F"/>
    <w:rsid w:val="1183E285"/>
    <w:rsid w:val="11921E9E"/>
    <w:rsid w:val="1233C140"/>
    <w:rsid w:val="1604F720"/>
    <w:rsid w:val="16AE06FE"/>
    <w:rsid w:val="16B48DA7"/>
    <w:rsid w:val="16F827F1"/>
    <w:rsid w:val="18D357CE"/>
    <w:rsid w:val="1C451632"/>
    <w:rsid w:val="1F27A5D2"/>
    <w:rsid w:val="2066D7DD"/>
    <w:rsid w:val="28C110FE"/>
    <w:rsid w:val="2BBB30D3"/>
    <w:rsid w:val="32386827"/>
    <w:rsid w:val="38221047"/>
    <w:rsid w:val="3DD548A3"/>
    <w:rsid w:val="4339300D"/>
    <w:rsid w:val="45CF5187"/>
    <w:rsid w:val="481D2EB2"/>
    <w:rsid w:val="4D205206"/>
    <w:rsid w:val="4DE13620"/>
    <w:rsid w:val="4EE5ECFB"/>
    <w:rsid w:val="52D30946"/>
    <w:rsid w:val="539AE006"/>
    <w:rsid w:val="54539105"/>
    <w:rsid w:val="54BA298A"/>
    <w:rsid w:val="5CB555A1"/>
    <w:rsid w:val="61C18B40"/>
    <w:rsid w:val="64CA0990"/>
    <w:rsid w:val="6724E3E4"/>
    <w:rsid w:val="69B374C8"/>
    <w:rsid w:val="6A2832DA"/>
    <w:rsid w:val="6D34306F"/>
    <w:rsid w:val="6E86E5EB"/>
    <w:rsid w:val="6EC24BFC"/>
    <w:rsid w:val="70605F14"/>
    <w:rsid w:val="73613717"/>
    <w:rsid w:val="739AC6D3"/>
    <w:rsid w:val="75E27651"/>
    <w:rsid w:val="760A6E23"/>
    <w:rsid w:val="768AA2BD"/>
    <w:rsid w:val="76BE1136"/>
    <w:rsid w:val="78626819"/>
    <w:rsid w:val="78C1A64B"/>
    <w:rsid w:val="7A275DFC"/>
    <w:rsid w:val="7B26E898"/>
    <w:rsid w:val="7E62F0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B738B"/>
  <w15:chartTrackingRefBased/>
  <w15:docId w15:val="{9A3EFDB4-D893-AE48-9713-AB41B219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pPr>
        <w:spacing w:before="100" w:beforeAutospacing="1" w:after="100" w:afterAutospacing="1" w:line="360" w:lineRule="auto"/>
        <w:ind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next w:val="Normal"/>
    <w:link w:val="Ttulo4Car"/>
    <w:unhideWhenUsed/>
    <w:qFormat/>
    <w:rsid w:val="003B6848"/>
    <w:pPr>
      <w:keepNext/>
      <w:tabs>
        <w:tab w:val="left" w:pos="0"/>
      </w:tabs>
      <w:overflowPunct w:val="0"/>
      <w:autoSpaceDE w:val="0"/>
      <w:autoSpaceDN w:val="0"/>
      <w:adjustRightInd w:val="0"/>
      <w:spacing w:before="0" w:beforeAutospacing="0" w:after="0" w:afterAutospacing="0" w:line="240" w:lineRule="auto"/>
      <w:ind w:firstLine="0"/>
      <w:jc w:val="center"/>
      <w:outlineLvl w:val="3"/>
    </w:pPr>
    <w:rPr>
      <w:rFonts w:ascii="Times New Roman" w:eastAsia="Times New Roman" w:hAnsi="Times New Roman" w:cs="Times New Roman"/>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3B6848"/>
    <w:pPr>
      <w:spacing w:line="240" w:lineRule="auto"/>
      <w:ind w:firstLine="0"/>
      <w:jc w:val="left"/>
    </w:pPr>
    <w:rPr>
      <w:rFonts w:ascii="Times New Roman" w:eastAsia="Times New Roman" w:hAnsi="Times New Roman" w:cs="Times New Roman"/>
      <w:lang w:eastAsia="es-ES_tradnl"/>
    </w:rPr>
  </w:style>
  <w:style w:type="character" w:customStyle="1" w:styleId="normaltextrun">
    <w:name w:val="normaltextrun"/>
    <w:basedOn w:val="Fuentedeprrafopredeter"/>
    <w:rsid w:val="003B6848"/>
  </w:style>
  <w:style w:type="character" w:customStyle="1" w:styleId="eop">
    <w:name w:val="eop"/>
    <w:basedOn w:val="Fuentedeprrafopredeter"/>
    <w:rsid w:val="003B6848"/>
  </w:style>
  <w:style w:type="character" w:customStyle="1" w:styleId="Ttulo4Car">
    <w:name w:val="Título 4 Car"/>
    <w:basedOn w:val="Fuentedeprrafopredeter"/>
    <w:link w:val="Ttulo4"/>
    <w:rsid w:val="003B6848"/>
    <w:rPr>
      <w:rFonts w:ascii="Times New Roman" w:eastAsia="Times New Roman" w:hAnsi="Times New Roman" w:cs="Times New Roman"/>
      <w:b/>
      <w:szCs w:val="20"/>
      <w:lang w:val="es-ES" w:eastAsia="es-ES"/>
    </w:rPr>
  </w:style>
  <w:style w:type="character" w:customStyle="1" w:styleId="fontstyle21">
    <w:name w:val="fontstyle21"/>
    <w:basedOn w:val="Fuentedeprrafopredeter"/>
    <w:rsid w:val="003B6848"/>
    <w:rPr>
      <w:rFonts w:ascii="Tahoma" w:hAnsi="Tahoma" w:cs="Tahoma" w:hint="default"/>
      <w:b w:val="0"/>
      <w:bCs w:val="0"/>
      <w:i w:val="0"/>
      <w:iCs w:val="0"/>
      <w:color w:val="000000"/>
      <w:sz w:val="24"/>
      <w:szCs w:val="24"/>
    </w:rPr>
  </w:style>
  <w:style w:type="paragraph" w:styleId="Prrafodelista">
    <w:name w:val="List Paragraph"/>
    <w:basedOn w:val="Normal"/>
    <w:qFormat/>
    <w:rsid w:val="00415842"/>
    <w:pPr>
      <w:spacing w:before="0" w:beforeAutospacing="0" w:after="0" w:afterAutospacing="0"/>
      <w:ind w:left="720" w:firstLine="0"/>
      <w:contextualSpacing/>
    </w:pPr>
    <w:rPr>
      <w:rFonts w:ascii="Tahoma" w:hAnsi="Tahoma"/>
      <w:szCs w:val="22"/>
    </w:rPr>
  </w:style>
  <w:style w:type="paragraph" w:styleId="Encabezado">
    <w:name w:val="header"/>
    <w:basedOn w:val="Normal"/>
    <w:link w:val="EncabezadoCar"/>
    <w:uiPriority w:val="99"/>
    <w:unhideWhenUsed/>
    <w:rsid w:val="00995B6C"/>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995B6C"/>
  </w:style>
  <w:style w:type="paragraph" w:styleId="Piedepgina">
    <w:name w:val="footer"/>
    <w:basedOn w:val="Normal"/>
    <w:link w:val="PiedepginaCar"/>
    <w:uiPriority w:val="99"/>
    <w:unhideWhenUsed/>
    <w:rsid w:val="00995B6C"/>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95B6C"/>
  </w:style>
  <w:style w:type="character" w:styleId="Refdenotaalpie">
    <w:name w:val="footnote reference"/>
    <w:aliases w:val="Texto nota pie Car2,Texto nota pie Car Car1,Footnote Text Char Char Char Char Char Car2,Footnote Text Char Char Char Char Car2,Ref. de nota al pie1 Car1,FA Fu Car2,Footnote Text Char Char Char Car1,Footnote Text Char Car2,FC,Ref,f"/>
    <w:basedOn w:val="Fuentedeprrafopredeter"/>
    <w:uiPriority w:val="99"/>
    <w:unhideWhenUsed/>
    <w:qFormat/>
    <w:rsid w:val="006E0C88"/>
    <w:rPr>
      <w:vertAlign w:val="superscript"/>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A Fu Car1,Ca"/>
    <w:basedOn w:val="Normal"/>
    <w:link w:val="TextonotapieCar"/>
    <w:uiPriority w:val="99"/>
    <w:unhideWhenUsed/>
    <w:qFormat/>
    <w:rsid w:val="006E0C88"/>
    <w:pPr>
      <w:spacing w:before="0" w:beforeAutospacing="0" w:after="0" w:afterAutospacing="0" w:line="240" w:lineRule="auto"/>
      <w:ind w:firstLine="709"/>
    </w:pPr>
    <w:rPr>
      <w:sz w:val="20"/>
      <w:szCs w:val="20"/>
      <w:lang w:val="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Car"/>
    <w:basedOn w:val="Fuentedeprrafopredeter"/>
    <w:link w:val="Textonotapie"/>
    <w:uiPriority w:val="99"/>
    <w:rsid w:val="006E0C88"/>
    <w:rPr>
      <w:sz w:val="20"/>
      <w:szCs w:val="20"/>
      <w:lang w:val="es-ES"/>
    </w:rPr>
  </w:style>
  <w:style w:type="paragraph" w:styleId="NormalWeb">
    <w:name w:val="Normal (Web)"/>
    <w:basedOn w:val="Normal"/>
    <w:uiPriority w:val="99"/>
    <w:unhideWhenUsed/>
    <w:rsid w:val="00F60E07"/>
    <w:pPr>
      <w:spacing w:line="240" w:lineRule="auto"/>
      <w:ind w:firstLine="0"/>
      <w:jc w:val="left"/>
    </w:pPr>
    <w:rPr>
      <w:rFonts w:ascii="Times New Roman" w:eastAsia="Times New Roman" w:hAnsi="Times New Roman" w:cs="Times New Roman"/>
      <w:lang w:val="es-ES" w:eastAsia="es-ES"/>
    </w:rPr>
  </w:style>
  <w:style w:type="character" w:styleId="Nmerodepgina">
    <w:name w:val="page number"/>
    <w:basedOn w:val="Fuentedeprrafopredeter"/>
    <w:uiPriority w:val="99"/>
    <w:semiHidden/>
    <w:unhideWhenUsed/>
    <w:rsid w:val="00BA2E95"/>
  </w:style>
  <w:style w:type="table" w:customStyle="1" w:styleId="Tablaconcuadrcula1">
    <w:name w:val="Tabla con cuadrícula1"/>
    <w:basedOn w:val="Tablanormal"/>
    <w:next w:val="Tablaconcuadrcula"/>
    <w:rsid w:val="008C3C1E"/>
    <w:pPr>
      <w:spacing w:before="0" w:beforeAutospacing="0" w:after="0" w:afterAutospacing="0" w:line="240" w:lineRule="auto"/>
      <w:ind w:firstLine="0"/>
      <w:jc w:val="left"/>
    </w:pPr>
    <w:rPr>
      <w:rFonts w:ascii="Calibri" w:eastAsia="Calibri" w:hAnsi="Calibri" w:cs="Times New Roman"/>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C3C1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C3C1E"/>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3C1E"/>
    <w:rPr>
      <w:rFonts w:ascii="Segoe UI" w:hAnsi="Segoe UI" w:cs="Segoe UI"/>
      <w:sz w:val="18"/>
      <w:szCs w:val="18"/>
    </w:rPr>
  </w:style>
  <w:style w:type="character" w:styleId="Refdecomentario">
    <w:name w:val="annotation reference"/>
    <w:basedOn w:val="Fuentedeprrafopredeter"/>
    <w:uiPriority w:val="99"/>
    <w:semiHidden/>
    <w:unhideWhenUsed/>
    <w:rsid w:val="004F4328"/>
    <w:rPr>
      <w:sz w:val="16"/>
      <w:szCs w:val="16"/>
    </w:rPr>
  </w:style>
  <w:style w:type="paragraph" w:styleId="Textocomentario">
    <w:name w:val="annotation text"/>
    <w:basedOn w:val="Normal"/>
    <w:link w:val="TextocomentarioCar"/>
    <w:uiPriority w:val="99"/>
    <w:semiHidden/>
    <w:unhideWhenUsed/>
    <w:rsid w:val="004F432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F4328"/>
    <w:rPr>
      <w:sz w:val="20"/>
      <w:szCs w:val="20"/>
    </w:rPr>
  </w:style>
  <w:style w:type="paragraph" w:styleId="Asuntodelcomentario">
    <w:name w:val="annotation subject"/>
    <w:basedOn w:val="Textocomentario"/>
    <w:next w:val="Textocomentario"/>
    <w:link w:val="AsuntodelcomentarioCar"/>
    <w:uiPriority w:val="99"/>
    <w:semiHidden/>
    <w:unhideWhenUsed/>
    <w:rsid w:val="004F4328"/>
    <w:rPr>
      <w:b/>
      <w:bCs/>
    </w:rPr>
  </w:style>
  <w:style w:type="character" w:customStyle="1" w:styleId="AsuntodelcomentarioCar">
    <w:name w:val="Asunto del comentario Car"/>
    <w:basedOn w:val="TextocomentarioCar"/>
    <w:link w:val="Asuntodelcomentario"/>
    <w:uiPriority w:val="99"/>
    <w:semiHidden/>
    <w:rsid w:val="004F4328"/>
    <w:rPr>
      <w:b/>
      <w:bCs/>
      <w:sz w:val="20"/>
      <w:szCs w:val="20"/>
    </w:rPr>
  </w:style>
  <w:style w:type="character" w:styleId="Hipervnculo">
    <w:name w:val="Hyperlink"/>
    <w:basedOn w:val="Fuentedeprrafopredeter"/>
    <w:uiPriority w:val="99"/>
    <w:unhideWhenUsed/>
    <w:rsid w:val="006048C5"/>
    <w:rPr>
      <w:color w:val="0563C1" w:themeColor="hyperlink"/>
      <w:u w:val="single"/>
    </w:rPr>
  </w:style>
  <w:style w:type="character" w:customStyle="1" w:styleId="UnresolvedMention">
    <w:name w:val="Unresolved Mention"/>
    <w:basedOn w:val="Fuentedeprrafopredeter"/>
    <w:uiPriority w:val="99"/>
    <w:semiHidden/>
    <w:unhideWhenUsed/>
    <w:rsid w:val="006048C5"/>
    <w:rPr>
      <w:color w:val="605E5C"/>
      <w:shd w:val="clear" w:color="auto" w:fill="E1DFDD"/>
    </w:rPr>
  </w:style>
  <w:style w:type="paragraph" w:styleId="Sinespaciado">
    <w:name w:val="No Spacing"/>
    <w:uiPriority w:val="1"/>
    <w:qFormat/>
    <w:rsid w:val="00E778E7"/>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9010">
      <w:bodyDiv w:val="1"/>
      <w:marLeft w:val="0"/>
      <w:marRight w:val="0"/>
      <w:marTop w:val="0"/>
      <w:marBottom w:val="0"/>
      <w:divBdr>
        <w:top w:val="none" w:sz="0" w:space="0" w:color="auto"/>
        <w:left w:val="none" w:sz="0" w:space="0" w:color="auto"/>
        <w:bottom w:val="none" w:sz="0" w:space="0" w:color="auto"/>
        <w:right w:val="none" w:sz="0" w:space="0" w:color="auto"/>
      </w:divBdr>
    </w:div>
    <w:div w:id="166598149">
      <w:bodyDiv w:val="1"/>
      <w:marLeft w:val="0"/>
      <w:marRight w:val="0"/>
      <w:marTop w:val="0"/>
      <w:marBottom w:val="0"/>
      <w:divBdr>
        <w:top w:val="none" w:sz="0" w:space="0" w:color="auto"/>
        <w:left w:val="none" w:sz="0" w:space="0" w:color="auto"/>
        <w:bottom w:val="none" w:sz="0" w:space="0" w:color="auto"/>
        <w:right w:val="none" w:sz="0" w:space="0" w:color="auto"/>
      </w:divBdr>
    </w:div>
    <w:div w:id="269167459">
      <w:bodyDiv w:val="1"/>
      <w:marLeft w:val="0"/>
      <w:marRight w:val="0"/>
      <w:marTop w:val="0"/>
      <w:marBottom w:val="0"/>
      <w:divBdr>
        <w:top w:val="none" w:sz="0" w:space="0" w:color="auto"/>
        <w:left w:val="none" w:sz="0" w:space="0" w:color="auto"/>
        <w:bottom w:val="none" w:sz="0" w:space="0" w:color="auto"/>
        <w:right w:val="none" w:sz="0" w:space="0" w:color="auto"/>
      </w:divBdr>
    </w:div>
    <w:div w:id="299042370">
      <w:bodyDiv w:val="1"/>
      <w:marLeft w:val="0"/>
      <w:marRight w:val="0"/>
      <w:marTop w:val="0"/>
      <w:marBottom w:val="0"/>
      <w:divBdr>
        <w:top w:val="none" w:sz="0" w:space="0" w:color="auto"/>
        <w:left w:val="none" w:sz="0" w:space="0" w:color="auto"/>
        <w:bottom w:val="none" w:sz="0" w:space="0" w:color="auto"/>
        <w:right w:val="none" w:sz="0" w:space="0" w:color="auto"/>
      </w:divBdr>
    </w:div>
    <w:div w:id="304816188">
      <w:bodyDiv w:val="1"/>
      <w:marLeft w:val="0"/>
      <w:marRight w:val="0"/>
      <w:marTop w:val="0"/>
      <w:marBottom w:val="0"/>
      <w:divBdr>
        <w:top w:val="none" w:sz="0" w:space="0" w:color="auto"/>
        <w:left w:val="none" w:sz="0" w:space="0" w:color="auto"/>
        <w:bottom w:val="none" w:sz="0" w:space="0" w:color="auto"/>
        <w:right w:val="none" w:sz="0" w:space="0" w:color="auto"/>
      </w:divBdr>
    </w:div>
    <w:div w:id="347416793">
      <w:bodyDiv w:val="1"/>
      <w:marLeft w:val="0"/>
      <w:marRight w:val="0"/>
      <w:marTop w:val="0"/>
      <w:marBottom w:val="0"/>
      <w:divBdr>
        <w:top w:val="none" w:sz="0" w:space="0" w:color="auto"/>
        <w:left w:val="none" w:sz="0" w:space="0" w:color="auto"/>
        <w:bottom w:val="none" w:sz="0" w:space="0" w:color="auto"/>
        <w:right w:val="none" w:sz="0" w:space="0" w:color="auto"/>
      </w:divBdr>
      <w:divsChild>
        <w:div w:id="120418164">
          <w:marLeft w:val="0"/>
          <w:marRight w:val="0"/>
          <w:marTop w:val="0"/>
          <w:marBottom w:val="0"/>
          <w:divBdr>
            <w:top w:val="none" w:sz="0" w:space="0" w:color="auto"/>
            <w:left w:val="none" w:sz="0" w:space="0" w:color="auto"/>
            <w:bottom w:val="none" w:sz="0" w:space="0" w:color="auto"/>
            <w:right w:val="none" w:sz="0" w:space="0" w:color="auto"/>
          </w:divBdr>
        </w:div>
        <w:div w:id="1265383845">
          <w:marLeft w:val="0"/>
          <w:marRight w:val="0"/>
          <w:marTop w:val="0"/>
          <w:marBottom w:val="0"/>
          <w:divBdr>
            <w:top w:val="none" w:sz="0" w:space="0" w:color="auto"/>
            <w:left w:val="none" w:sz="0" w:space="0" w:color="auto"/>
            <w:bottom w:val="none" w:sz="0" w:space="0" w:color="auto"/>
            <w:right w:val="none" w:sz="0" w:space="0" w:color="auto"/>
          </w:divBdr>
        </w:div>
        <w:div w:id="1995254070">
          <w:marLeft w:val="0"/>
          <w:marRight w:val="0"/>
          <w:marTop w:val="0"/>
          <w:marBottom w:val="0"/>
          <w:divBdr>
            <w:top w:val="none" w:sz="0" w:space="0" w:color="auto"/>
            <w:left w:val="none" w:sz="0" w:space="0" w:color="auto"/>
            <w:bottom w:val="none" w:sz="0" w:space="0" w:color="auto"/>
            <w:right w:val="none" w:sz="0" w:space="0" w:color="auto"/>
          </w:divBdr>
        </w:div>
        <w:div w:id="2118869627">
          <w:marLeft w:val="0"/>
          <w:marRight w:val="0"/>
          <w:marTop w:val="0"/>
          <w:marBottom w:val="0"/>
          <w:divBdr>
            <w:top w:val="none" w:sz="0" w:space="0" w:color="auto"/>
            <w:left w:val="none" w:sz="0" w:space="0" w:color="auto"/>
            <w:bottom w:val="none" w:sz="0" w:space="0" w:color="auto"/>
            <w:right w:val="none" w:sz="0" w:space="0" w:color="auto"/>
          </w:divBdr>
        </w:div>
        <w:div w:id="831681520">
          <w:marLeft w:val="0"/>
          <w:marRight w:val="0"/>
          <w:marTop w:val="0"/>
          <w:marBottom w:val="0"/>
          <w:divBdr>
            <w:top w:val="none" w:sz="0" w:space="0" w:color="auto"/>
            <w:left w:val="none" w:sz="0" w:space="0" w:color="auto"/>
            <w:bottom w:val="none" w:sz="0" w:space="0" w:color="auto"/>
            <w:right w:val="none" w:sz="0" w:space="0" w:color="auto"/>
          </w:divBdr>
        </w:div>
        <w:div w:id="1953853599">
          <w:marLeft w:val="0"/>
          <w:marRight w:val="0"/>
          <w:marTop w:val="0"/>
          <w:marBottom w:val="0"/>
          <w:divBdr>
            <w:top w:val="none" w:sz="0" w:space="0" w:color="auto"/>
            <w:left w:val="none" w:sz="0" w:space="0" w:color="auto"/>
            <w:bottom w:val="none" w:sz="0" w:space="0" w:color="auto"/>
            <w:right w:val="none" w:sz="0" w:space="0" w:color="auto"/>
          </w:divBdr>
        </w:div>
        <w:div w:id="697237717">
          <w:marLeft w:val="0"/>
          <w:marRight w:val="0"/>
          <w:marTop w:val="0"/>
          <w:marBottom w:val="0"/>
          <w:divBdr>
            <w:top w:val="none" w:sz="0" w:space="0" w:color="auto"/>
            <w:left w:val="none" w:sz="0" w:space="0" w:color="auto"/>
            <w:bottom w:val="none" w:sz="0" w:space="0" w:color="auto"/>
            <w:right w:val="none" w:sz="0" w:space="0" w:color="auto"/>
          </w:divBdr>
        </w:div>
        <w:div w:id="2128353642">
          <w:marLeft w:val="0"/>
          <w:marRight w:val="0"/>
          <w:marTop w:val="0"/>
          <w:marBottom w:val="0"/>
          <w:divBdr>
            <w:top w:val="none" w:sz="0" w:space="0" w:color="auto"/>
            <w:left w:val="none" w:sz="0" w:space="0" w:color="auto"/>
            <w:bottom w:val="none" w:sz="0" w:space="0" w:color="auto"/>
            <w:right w:val="none" w:sz="0" w:space="0" w:color="auto"/>
          </w:divBdr>
        </w:div>
        <w:div w:id="354842943">
          <w:marLeft w:val="0"/>
          <w:marRight w:val="0"/>
          <w:marTop w:val="0"/>
          <w:marBottom w:val="0"/>
          <w:divBdr>
            <w:top w:val="none" w:sz="0" w:space="0" w:color="auto"/>
            <w:left w:val="none" w:sz="0" w:space="0" w:color="auto"/>
            <w:bottom w:val="none" w:sz="0" w:space="0" w:color="auto"/>
            <w:right w:val="none" w:sz="0" w:space="0" w:color="auto"/>
          </w:divBdr>
        </w:div>
      </w:divsChild>
    </w:div>
    <w:div w:id="385880374">
      <w:bodyDiv w:val="1"/>
      <w:marLeft w:val="0"/>
      <w:marRight w:val="0"/>
      <w:marTop w:val="0"/>
      <w:marBottom w:val="0"/>
      <w:divBdr>
        <w:top w:val="none" w:sz="0" w:space="0" w:color="auto"/>
        <w:left w:val="none" w:sz="0" w:space="0" w:color="auto"/>
        <w:bottom w:val="none" w:sz="0" w:space="0" w:color="auto"/>
        <w:right w:val="none" w:sz="0" w:space="0" w:color="auto"/>
      </w:divBdr>
    </w:div>
    <w:div w:id="407310840">
      <w:bodyDiv w:val="1"/>
      <w:marLeft w:val="0"/>
      <w:marRight w:val="0"/>
      <w:marTop w:val="0"/>
      <w:marBottom w:val="0"/>
      <w:divBdr>
        <w:top w:val="none" w:sz="0" w:space="0" w:color="auto"/>
        <w:left w:val="none" w:sz="0" w:space="0" w:color="auto"/>
        <w:bottom w:val="none" w:sz="0" w:space="0" w:color="auto"/>
        <w:right w:val="none" w:sz="0" w:space="0" w:color="auto"/>
      </w:divBdr>
    </w:div>
    <w:div w:id="505369221">
      <w:bodyDiv w:val="1"/>
      <w:marLeft w:val="0"/>
      <w:marRight w:val="0"/>
      <w:marTop w:val="0"/>
      <w:marBottom w:val="0"/>
      <w:divBdr>
        <w:top w:val="none" w:sz="0" w:space="0" w:color="auto"/>
        <w:left w:val="none" w:sz="0" w:space="0" w:color="auto"/>
        <w:bottom w:val="none" w:sz="0" w:space="0" w:color="auto"/>
        <w:right w:val="none" w:sz="0" w:space="0" w:color="auto"/>
      </w:divBdr>
    </w:div>
    <w:div w:id="509373990">
      <w:bodyDiv w:val="1"/>
      <w:marLeft w:val="0"/>
      <w:marRight w:val="0"/>
      <w:marTop w:val="0"/>
      <w:marBottom w:val="0"/>
      <w:divBdr>
        <w:top w:val="none" w:sz="0" w:space="0" w:color="auto"/>
        <w:left w:val="none" w:sz="0" w:space="0" w:color="auto"/>
        <w:bottom w:val="none" w:sz="0" w:space="0" w:color="auto"/>
        <w:right w:val="none" w:sz="0" w:space="0" w:color="auto"/>
      </w:divBdr>
    </w:div>
    <w:div w:id="773131486">
      <w:bodyDiv w:val="1"/>
      <w:marLeft w:val="0"/>
      <w:marRight w:val="0"/>
      <w:marTop w:val="0"/>
      <w:marBottom w:val="0"/>
      <w:divBdr>
        <w:top w:val="none" w:sz="0" w:space="0" w:color="auto"/>
        <w:left w:val="none" w:sz="0" w:space="0" w:color="auto"/>
        <w:bottom w:val="none" w:sz="0" w:space="0" w:color="auto"/>
        <w:right w:val="none" w:sz="0" w:space="0" w:color="auto"/>
      </w:divBdr>
    </w:div>
    <w:div w:id="774057039">
      <w:bodyDiv w:val="1"/>
      <w:marLeft w:val="0"/>
      <w:marRight w:val="0"/>
      <w:marTop w:val="0"/>
      <w:marBottom w:val="0"/>
      <w:divBdr>
        <w:top w:val="none" w:sz="0" w:space="0" w:color="auto"/>
        <w:left w:val="none" w:sz="0" w:space="0" w:color="auto"/>
        <w:bottom w:val="none" w:sz="0" w:space="0" w:color="auto"/>
        <w:right w:val="none" w:sz="0" w:space="0" w:color="auto"/>
      </w:divBdr>
    </w:div>
    <w:div w:id="791484227">
      <w:bodyDiv w:val="1"/>
      <w:marLeft w:val="0"/>
      <w:marRight w:val="0"/>
      <w:marTop w:val="0"/>
      <w:marBottom w:val="0"/>
      <w:divBdr>
        <w:top w:val="none" w:sz="0" w:space="0" w:color="auto"/>
        <w:left w:val="none" w:sz="0" w:space="0" w:color="auto"/>
        <w:bottom w:val="none" w:sz="0" w:space="0" w:color="auto"/>
        <w:right w:val="none" w:sz="0" w:space="0" w:color="auto"/>
      </w:divBdr>
    </w:div>
    <w:div w:id="878399787">
      <w:bodyDiv w:val="1"/>
      <w:marLeft w:val="0"/>
      <w:marRight w:val="0"/>
      <w:marTop w:val="0"/>
      <w:marBottom w:val="0"/>
      <w:divBdr>
        <w:top w:val="none" w:sz="0" w:space="0" w:color="auto"/>
        <w:left w:val="none" w:sz="0" w:space="0" w:color="auto"/>
        <w:bottom w:val="none" w:sz="0" w:space="0" w:color="auto"/>
        <w:right w:val="none" w:sz="0" w:space="0" w:color="auto"/>
      </w:divBdr>
    </w:div>
    <w:div w:id="912618900">
      <w:bodyDiv w:val="1"/>
      <w:marLeft w:val="0"/>
      <w:marRight w:val="0"/>
      <w:marTop w:val="0"/>
      <w:marBottom w:val="0"/>
      <w:divBdr>
        <w:top w:val="none" w:sz="0" w:space="0" w:color="auto"/>
        <w:left w:val="none" w:sz="0" w:space="0" w:color="auto"/>
        <w:bottom w:val="none" w:sz="0" w:space="0" w:color="auto"/>
        <w:right w:val="none" w:sz="0" w:space="0" w:color="auto"/>
      </w:divBdr>
    </w:div>
    <w:div w:id="974019022">
      <w:bodyDiv w:val="1"/>
      <w:marLeft w:val="0"/>
      <w:marRight w:val="0"/>
      <w:marTop w:val="0"/>
      <w:marBottom w:val="0"/>
      <w:divBdr>
        <w:top w:val="none" w:sz="0" w:space="0" w:color="auto"/>
        <w:left w:val="none" w:sz="0" w:space="0" w:color="auto"/>
        <w:bottom w:val="none" w:sz="0" w:space="0" w:color="auto"/>
        <w:right w:val="none" w:sz="0" w:space="0" w:color="auto"/>
      </w:divBdr>
    </w:div>
    <w:div w:id="1166093809">
      <w:bodyDiv w:val="1"/>
      <w:marLeft w:val="0"/>
      <w:marRight w:val="0"/>
      <w:marTop w:val="0"/>
      <w:marBottom w:val="0"/>
      <w:divBdr>
        <w:top w:val="none" w:sz="0" w:space="0" w:color="auto"/>
        <w:left w:val="none" w:sz="0" w:space="0" w:color="auto"/>
        <w:bottom w:val="none" w:sz="0" w:space="0" w:color="auto"/>
        <w:right w:val="none" w:sz="0" w:space="0" w:color="auto"/>
      </w:divBdr>
    </w:div>
    <w:div w:id="1189441738">
      <w:bodyDiv w:val="1"/>
      <w:marLeft w:val="0"/>
      <w:marRight w:val="0"/>
      <w:marTop w:val="0"/>
      <w:marBottom w:val="0"/>
      <w:divBdr>
        <w:top w:val="none" w:sz="0" w:space="0" w:color="auto"/>
        <w:left w:val="none" w:sz="0" w:space="0" w:color="auto"/>
        <w:bottom w:val="none" w:sz="0" w:space="0" w:color="auto"/>
        <w:right w:val="none" w:sz="0" w:space="0" w:color="auto"/>
      </w:divBdr>
    </w:div>
    <w:div w:id="1269846966">
      <w:bodyDiv w:val="1"/>
      <w:marLeft w:val="0"/>
      <w:marRight w:val="0"/>
      <w:marTop w:val="0"/>
      <w:marBottom w:val="0"/>
      <w:divBdr>
        <w:top w:val="none" w:sz="0" w:space="0" w:color="auto"/>
        <w:left w:val="none" w:sz="0" w:space="0" w:color="auto"/>
        <w:bottom w:val="none" w:sz="0" w:space="0" w:color="auto"/>
        <w:right w:val="none" w:sz="0" w:space="0" w:color="auto"/>
      </w:divBdr>
    </w:div>
    <w:div w:id="1311130700">
      <w:bodyDiv w:val="1"/>
      <w:marLeft w:val="0"/>
      <w:marRight w:val="0"/>
      <w:marTop w:val="0"/>
      <w:marBottom w:val="0"/>
      <w:divBdr>
        <w:top w:val="none" w:sz="0" w:space="0" w:color="auto"/>
        <w:left w:val="none" w:sz="0" w:space="0" w:color="auto"/>
        <w:bottom w:val="none" w:sz="0" w:space="0" w:color="auto"/>
        <w:right w:val="none" w:sz="0" w:space="0" w:color="auto"/>
      </w:divBdr>
    </w:div>
    <w:div w:id="1554999991">
      <w:bodyDiv w:val="1"/>
      <w:marLeft w:val="0"/>
      <w:marRight w:val="0"/>
      <w:marTop w:val="0"/>
      <w:marBottom w:val="0"/>
      <w:divBdr>
        <w:top w:val="none" w:sz="0" w:space="0" w:color="auto"/>
        <w:left w:val="none" w:sz="0" w:space="0" w:color="auto"/>
        <w:bottom w:val="none" w:sz="0" w:space="0" w:color="auto"/>
        <w:right w:val="none" w:sz="0" w:space="0" w:color="auto"/>
      </w:divBdr>
    </w:div>
    <w:div w:id="1619340284">
      <w:bodyDiv w:val="1"/>
      <w:marLeft w:val="0"/>
      <w:marRight w:val="0"/>
      <w:marTop w:val="0"/>
      <w:marBottom w:val="0"/>
      <w:divBdr>
        <w:top w:val="none" w:sz="0" w:space="0" w:color="auto"/>
        <w:left w:val="none" w:sz="0" w:space="0" w:color="auto"/>
        <w:bottom w:val="none" w:sz="0" w:space="0" w:color="auto"/>
        <w:right w:val="none" w:sz="0" w:space="0" w:color="auto"/>
      </w:divBdr>
    </w:div>
    <w:div w:id="1728259779">
      <w:bodyDiv w:val="1"/>
      <w:marLeft w:val="0"/>
      <w:marRight w:val="0"/>
      <w:marTop w:val="0"/>
      <w:marBottom w:val="0"/>
      <w:divBdr>
        <w:top w:val="none" w:sz="0" w:space="0" w:color="auto"/>
        <w:left w:val="none" w:sz="0" w:space="0" w:color="auto"/>
        <w:bottom w:val="none" w:sz="0" w:space="0" w:color="auto"/>
        <w:right w:val="none" w:sz="0" w:space="0" w:color="auto"/>
      </w:divBdr>
    </w:div>
    <w:div w:id="1908877736">
      <w:bodyDiv w:val="1"/>
      <w:marLeft w:val="0"/>
      <w:marRight w:val="0"/>
      <w:marTop w:val="0"/>
      <w:marBottom w:val="0"/>
      <w:divBdr>
        <w:top w:val="none" w:sz="0" w:space="0" w:color="auto"/>
        <w:left w:val="none" w:sz="0" w:space="0" w:color="auto"/>
        <w:bottom w:val="none" w:sz="0" w:space="0" w:color="auto"/>
        <w:right w:val="none" w:sz="0" w:space="0" w:color="auto"/>
      </w:divBdr>
    </w:div>
    <w:div w:id="1981837159">
      <w:bodyDiv w:val="1"/>
      <w:marLeft w:val="0"/>
      <w:marRight w:val="0"/>
      <w:marTop w:val="0"/>
      <w:marBottom w:val="0"/>
      <w:divBdr>
        <w:top w:val="none" w:sz="0" w:space="0" w:color="auto"/>
        <w:left w:val="none" w:sz="0" w:space="0" w:color="auto"/>
        <w:bottom w:val="none" w:sz="0" w:space="0" w:color="auto"/>
        <w:right w:val="none" w:sz="0" w:space="0" w:color="auto"/>
      </w:divBdr>
    </w:div>
    <w:div w:id="2019575161">
      <w:bodyDiv w:val="1"/>
      <w:marLeft w:val="0"/>
      <w:marRight w:val="0"/>
      <w:marTop w:val="0"/>
      <w:marBottom w:val="0"/>
      <w:divBdr>
        <w:top w:val="none" w:sz="0" w:space="0" w:color="auto"/>
        <w:left w:val="none" w:sz="0" w:space="0" w:color="auto"/>
        <w:bottom w:val="none" w:sz="0" w:space="0" w:color="auto"/>
        <w:right w:val="none" w:sz="0" w:space="0" w:color="auto"/>
      </w:divBdr>
    </w:div>
    <w:div w:id="2059234182">
      <w:bodyDiv w:val="1"/>
      <w:marLeft w:val="0"/>
      <w:marRight w:val="0"/>
      <w:marTop w:val="0"/>
      <w:marBottom w:val="0"/>
      <w:divBdr>
        <w:top w:val="none" w:sz="0" w:space="0" w:color="auto"/>
        <w:left w:val="none" w:sz="0" w:space="0" w:color="auto"/>
        <w:bottom w:val="none" w:sz="0" w:space="0" w:color="auto"/>
        <w:right w:val="none" w:sz="0" w:space="0" w:color="auto"/>
      </w:divBdr>
    </w:div>
    <w:div w:id="206124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6017ee1fba124b61"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SharedWithUsers xmlns="43ca2746-26a0-40df-9010-f2a8f46d6514">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36481-D898-4330-9494-F2102CD648F8}">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2.xml><?xml version="1.0" encoding="utf-8"?>
<ds:datastoreItem xmlns:ds="http://schemas.openxmlformats.org/officeDocument/2006/customXml" ds:itemID="{403CB43C-E55A-4A49-A367-784B7391FE75}">
  <ds:schemaRefs>
    <ds:schemaRef ds:uri="http://schemas.microsoft.com/sharepoint/v3/contenttype/forms"/>
  </ds:schemaRefs>
</ds:datastoreItem>
</file>

<file path=customXml/itemProps3.xml><?xml version="1.0" encoding="utf-8"?>
<ds:datastoreItem xmlns:ds="http://schemas.openxmlformats.org/officeDocument/2006/customXml" ds:itemID="{A7D3BC5D-EE01-4115-95EB-C24651B1F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7DABEC-7941-4914-842C-5C7591821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8604</Words>
  <Characters>49049</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ayda matilde barbosa</dc:creator>
  <cp:keywords/>
  <dc:description/>
  <cp:lastModifiedBy>samsung</cp:lastModifiedBy>
  <cp:revision>7</cp:revision>
  <dcterms:created xsi:type="dcterms:W3CDTF">2023-08-28T21:08:00Z</dcterms:created>
  <dcterms:modified xsi:type="dcterms:W3CDTF">2023-09-14T13:47:00Z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57092000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SourceUrl">
    <vt:lpwstr/>
  </property>
  <property fmtid="{D5CDD505-2E9C-101B-9397-08002B2CF9AE}" pid="12" name="_SharedFileIndex">
    <vt:lpwstr/>
  </property>
</Properties>
</file>