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2EA081A" w14:textId="28B80E7E" w:rsidR="00A070DD" w:rsidRPr="00EA711B" w:rsidRDefault="00A070DD" w:rsidP="00A070DD">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b/>
          <w:sz w:val="20"/>
          <w:szCs w:val="20"/>
          <w:lang w:val="es-419" w:eastAsia="es-ES"/>
        </w:rPr>
        <w:t>INEFICACIA TRASLADO DE RÉGIMEN PENSIONAL / DEBER DE INFORMACIÓN DE LAS AFP</w:t>
      </w:r>
    </w:p>
    <w:p w14:paraId="074584D2" w14:textId="42C86F5E" w:rsidR="00A070DD" w:rsidRPr="00EA711B" w:rsidRDefault="00A070DD" w:rsidP="00A070DD">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En numerosas sentencias del órgano de cierre de la jurisdicción ordinaria laboral, se ha establecido que no puede argüirse que existe una manifestación libre y voluntaria cuando las personas desconocen la incidencia que el traslado de régimen pueda tener frente a sus derechos prestacionales, ni puede estimarse satisfecho tal requisito con una simple expresión genérica o con la suscripción de un formato; de allí que desde el inicio haya correspondido a las Administradoras de Fondos de Pensiones “dar cuenta de que documentaron clara y suficientemente los efectos que acarrea el cambio de régimen, so pena de declarar ineficaz ese tránsito”.</w:t>
      </w:r>
    </w:p>
    <w:p w14:paraId="110528AF" w14:textId="77777777" w:rsidR="00A070DD" w:rsidRPr="00EA711B" w:rsidRDefault="00A070DD" w:rsidP="00A070DD">
      <w:pPr>
        <w:spacing w:before="0" w:beforeAutospacing="0" w:after="0" w:afterAutospacing="0" w:line="240" w:lineRule="auto"/>
        <w:ind w:firstLine="0"/>
        <w:rPr>
          <w:rFonts w:ascii="Arial" w:eastAsia="Times New Roman" w:hAnsi="Arial" w:cs="Arial"/>
          <w:sz w:val="20"/>
          <w:szCs w:val="20"/>
          <w:lang w:val="es-419" w:eastAsia="es-ES"/>
        </w:rPr>
      </w:pPr>
    </w:p>
    <w:p w14:paraId="1337EA9B" w14:textId="3810B31E" w:rsidR="006814D6" w:rsidRPr="006814D6" w:rsidRDefault="006814D6" w:rsidP="00A070DD">
      <w:pPr>
        <w:spacing w:before="0" w:beforeAutospacing="0" w:after="0" w:afterAutospacing="0" w:line="240" w:lineRule="auto"/>
        <w:ind w:firstLine="0"/>
        <w:rPr>
          <w:rFonts w:ascii="Arial" w:eastAsia="Times New Roman" w:hAnsi="Arial" w:cs="Arial"/>
          <w:b/>
          <w:sz w:val="20"/>
          <w:szCs w:val="20"/>
          <w:lang w:val="es-419" w:eastAsia="es-ES"/>
        </w:rPr>
      </w:pPr>
      <w:r w:rsidRPr="00EA711B">
        <w:rPr>
          <w:rFonts w:ascii="Arial" w:eastAsia="Times New Roman" w:hAnsi="Arial" w:cs="Arial"/>
          <w:b/>
          <w:sz w:val="20"/>
          <w:szCs w:val="20"/>
          <w:lang w:val="es-419" w:eastAsia="es-ES"/>
        </w:rPr>
        <w:t xml:space="preserve">INEFICACIA TRASLADO DE RÉGIMEN / </w:t>
      </w:r>
      <w:r>
        <w:rPr>
          <w:rFonts w:ascii="Arial" w:eastAsia="Times New Roman" w:hAnsi="Arial" w:cs="Arial"/>
          <w:b/>
          <w:sz w:val="20"/>
          <w:szCs w:val="20"/>
          <w:lang w:val="es-419" w:eastAsia="es-ES"/>
        </w:rPr>
        <w:t>DEBER DE INFORMACIÓN DE LAS AFP</w:t>
      </w:r>
      <w:r w:rsidRPr="006814D6">
        <w:rPr>
          <w:rFonts w:ascii="Arial" w:eastAsia="Times New Roman" w:hAnsi="Arial" w:cs="Arial"/>
          <w:b/>
          <w:sz w:val="20"/>
          <w:szCs w:val="20"/>
          <w:lang w:val="es-419" w:eastAsia="es-ES"/>
        </w:rPr>
        <w:t xml:space="preserve"> / CAR</w:t>
      </w:r>
      <w:r>
        <w:rPr>
          <w:rFonts w:ascii="Arial" w:eastAsia="Times New Roman" w:hAnsi="Arial" w:cs="Arial"/>
          <w:b/>
          <w:sz w:val="20"/>
          <w:szCs w:val="20"/>
          <w:lang w:val="es-419" w:eastAsia="es-ES"/>
        </w:rPr>
        <w:t>GA PROBATORIA</w:t>
      </w:r>
    </w:p>
    <w:p w14:paraId="04BB07F8" w14:textId="77777777" w:rsidR="004D43C3" w:rsidRPr="00EA711B" w:rsidRDefault="00A070DD" w:rsidP="004D43C3">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Con sustento en lo anterior, es evidente que en todos los casos en que un afiliado ponga en cuestión la falta de información veraz, oportuna y completa de las incidencias del cambio del régimen pensional, y bajo tal premisa persiga la ineficacia de su traslado, la defensa de la AFP demandada debe encaminarse a demostrar, bajo los medios probatorios a su alcance, que cumplió con el deber de buen consejo al transmitirle al afiliado toda aquella información que resultaba relevante para que tomara una decisión de tal trascendencia. (…)</w:t>
      </w:r>
      <w:r w:rsidR="004D43C3">
        <w:rPr>
          <w:rFonts w:ascii="Arial" w:eastAsia="Times New Roman" w:hAnsi="Arial" w:cs="Arial"/>
          <w:sz w:val="20"/>
          <w:szCs w:val="20"/>
          <w:lang w:val="es-419" w:eastAsia="es-ES"/>
        </w:rPr>
        <w:t xml:space="preserve"> </w:t>
      </w:r>
      <w:r w:rsidR="004D43C3" w:rsidRPr="00EA711B">
        <w:rPr>
          <w:rFonts w:ascii="Arial" w:eastAsia="Times New Roman" w:hAnsi="Arial" w:cs="Arial"/>
          <w:sz w:val="20"/>
          <w:szCs w:val="20"/>
          <w:lang w:val="es-419" w:eastAsia="es-ES"/>
        </w:rPr>
        <w:t>… la carga de la prueba en los procesos de ineficacia de traslado, también se resolvió por la Corte Suprema de Justicia desde la sentencia hito, en la que se expresó que de conformidad al artículo 1604 del Código Civil «la prueba de la diligencia o cuidado incumbe al que ha debido emplearlo” lo que quiere decir que la carga de la prueba recae en el fondo de pensiones.</w:t>
      </w:r>
    </w:p>
    <w:p w14:paraId="0DF6847D" w14:textId="7C4F58B1" w:rsidR="00A070DD" w:rsidRPr="00EA711B" w:rsidRDefault="00A070DD" w:rsidP="00A070DD">
      <w:pPr>
        <w:spacing w:before="0" w:beforeAutospacing="0" w:after="0" w:afterAutospacing="0" w:line="240" w:lineRule="auto"/>
        <w:ind w:firstLine="0"/>
        <w:rPr>
          <w:rFonts w:ascii="Arial" w:eastAsia="Times New Roman" w:hAnsi="Arial" w:cs="Arial"/>
          <w:sz w:val="20"/>
          <w:szCs w:val="20"/>
          <w:lang w:val="es-419" w:eastAsia="es-ES"/>
        </w:rPr>
      </w:pPr>
    </w:p>
    <w:p w14:paraId="45456AC1" w14:textId="77777777" w:rsidR="00A070DD" w:rsidRPr="00EA711B" w:rsidRDefault="00A070DD" w:rsidP="00A070DD">
      <w:pPr>
        <w:spacing w:before="0" w:beforeAutospacing="0" w:after="0" w:afterAutospacing="0" w:line="240" w:lineRule="auto"/>
        <w:ind w:firstLine="0"/>
        <w:rPr>
          <w:rFonts w:ascii="Arial" w:eastAsia="Times New Roman" w:hAnsi="Arial" w:cs="Arial"/>
          <w:sz w:val="20"/>
          <w:szCs w:val="20"/>
          <w:lang w:val="es-419" w:eastAsia="es-ES"/>
        </w:rPr>
      </w:pPr>
    </w:p>
    <w:p w14:paraId="0904879A" w14:textId="68FAB0A4" w:rsidR="006814D6" w:rsidRDefault="006814D6" w:rsidP="00A070DD">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b/>
          <w:sz w:val="20"/>
          <w:szCs w:val="20"/>
          <w:lang w:val="es-419" w:eastAsia="es-ES"/>
        </w:rPr>
        <w:t>INEFICACIA TRASLADO DE RÉGI</w:t>
      </w:r>
      <w:r w:rsidRPr="006814D6">
        <w:rPr>
          <w:rFonts w:ascii="Arial" w:eastAsia="Times New Roman" w:hAnsi="Arial" w:cs="Arial"/>
          <w:b/>
          <w:sz w:val="20"/>
          <w:szCs w:val="20"/>
          <w:lang w:val="es-419" w:eastAsia="es-ES"/>
        </w:rPr>
        <w:t xml:space="preserve">MEN PENSIONAL / DEBER DE INFORMACIÓN </w:t>
      </w:r>
      <w:bookmarkStart w:id="0" w:name="_GoBack"/>
      <w:bookmarkEnd w:id="0"/>
      <w:r w:rsidRPr="006814D6">
        <w:rPr>
          <w:rFonts w:ascii="Arial" w:eastAsia="Times New Roman" w:hAnsi="Arial" w:cs="Arial"/>
          <w:b/>
          <w:sz w:val="20"/>
          <w:szCs w:val="20"/>
          <w:lang w:val="es-419" w:eastAsia="es-ES"/>
        </w:rPr>
        <w:t>AFP / LO TIENEN DESDE SU CREACIÓN</w:t>
      </w:r>
    </w:p>
    <w:p w14:paraId="131D428F" w14:textId="23C649A8" w:rsidR="00A070DD" w:rsidRPr="00EA711B" w:rsidRDefault="00A070DD" w:rsidP="00A070DD">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Ahora bien, como quiera que uno de los argumentos de la defensa de las AFP es que la normatividad del deber de información se ha venido dando paulatinamente, vale la pena citar la sentencia del 8 de mayo de 2019 SL 1688-2019, Radicado 68838, con Ponencia de la Dra. Clara Cecilia Dueñas Quevedo, donde se hace un didáctico recuento histórico de las normas que rigen la actividad de los Fondos de Pensiones privados, dividiéndolo en 3 etapas, de cuyo análisis se llega a la conclusión de que a las AFP les compete, desde su creación, el deber de suministrar una información necesaria y transparente, que con el transcurrir del tiempo esta exigencia cambió, pasando de un deber de información necesaria al de asesoría y buen consejo, y finalmente al de doble asesoría, explicando en qué consiste cada uno de esos conceptos…</w:t>
      </w:r>
    </w:p>
    <w:p w14:paraId="648F369F" w14:textId="77777777" w:rsidR="00A070DD" w:rsidRPr="00EA711B" w:rsidRDefault="00A070DD" w:rsidP="00A070DD">
      <w:pPr>
        <w:spacing w:before="0" w:beforeAutospacing="0" w:after="0" w:afterAutospacing="0" w:line="240" w:lineRule="auto"/>
        <w:ind w:firstLine="0"/>
        <w:rPr>
          <w:rFonts w:ascii="Arial" w:eastAsia="Times New Roman" w:hAnsi="Arial" w:cs="Arial"/>
          <w:sz w:val="20"/>
          <w:szCs w:val="20"/>
          <w:lang w:val="es-419" w:eastAsia="es-ES"/>
        </w:rPr>
      </w:pPr>
    </w:p>
    <w:p w14:paraId="16C87FCA" w14:textId="4FEBA9A6" w:rsidR="004D43C3" w:rsidRDefault="004D43C3" w:rsidP="004D43C3">
      <w:pPr>
        <w:spacing w:before="0" w:beforeAutospacing="0" w:after="0" w:afterAutospacing="0" w:line="240" w:lineRule="auto"/>
        <w:ind w:firstLine="0"/>
        <w:rPr>
          <w:rFonts w:ascii="Arial" w:eastAsia="Times New Roman" w:hAnsi="Arial" w:cs="Arial"/>
          <w:b/>
          <w:sz w:val="20"/>
          <w:szCs w:val="20"/>
          <w:lang w:val="es-419" w:eastAsia="es-ES"/>
        </w:rPr>
      </w:pPr>
      <w:r w:rsidRPr="00EA711B">
        <w:rPr>
          <w:rFonts w:ascii="Arial" w:eastAsia="Times New Roman" w:hAnsi="Arial" w:cs="Arial"/>
          <w:b/>
          <w:sz w:val="20"/>
          <w:szCs w:val="20"/>
          <w:lang w:val="es-419" w:eastAsia="es-ES"/>
        </w:rPr>
        <w:t>INEFICACIA TRASLADO DE RÉGIMEN PENSIONAL</w:t>
      </w:r>
      <w:r>
        <w:rPr>
          <w:rFonts w:ascii="Arial" w:eastAsia="Times New Roman" w:hAnsi="Arial" w:cs="Arial"/>
          <w:b/>
          <w:sz w:val="20"/>
          <w:szCs w:val="20"/>
          <w:lang w:val="es-419" w:eastAsia="es-ES"/>
        </w:rPr>
        <w:t xml:space="preserve"> /</w:t>
      </w:r>
      <w:r w:rsidRPr="00EA711B">
        <w:rPr>
          <w:rFonts w:ascii="Arial" w:eastAsia="Times New Roman" w:hAnsi="Arial" w:cs="Arial"/>
          <w:b/>
          <w:sz w:val="20"/>
          <w:szCs w:val="20"/>
          <w:lang w:val="es-419" w:eastAsia="es-ES"/>
        </w:rPr>
        <w:t xml:space="preserve"> FORMULARIO DE AFILIACIÓN / VALOR PROBATORIO </w:t>
      </w:r>
      <w:r>
        <w:rPr>
          <w:rFonts w:ascii="Arial" w:eastAsia="Times New Roman" w:hAnsi="Arial" w:cs="Arial"/>
          <w:b/>
          <w:sz w:val="20"/>
          <w:szCs w:val="20"/>
          <w:lang w:val="es-419" w:eastAsia="es-ES"/>
        </w:rPr>
        <w:t xml:space="preserve">/ </w:t>
      </w:r>
      <w:r w:rsidRPr="00EA711B">
        <w:rPr>
          <w:rFonts w:ascii="Arial" w:eastAsia="Times New Roman" w:hAnsi="Arial" w:cs="Arial"/>
          <w:b/>
          <w:sz w:val="20"/>
          <w:szCs w:val="20"/>
          <w:lang w:val="es-419" w:eastAsia="es-ES"/>
        </w:rPr>
        <w:t>NO VALIDA POR SÍ SOLO EL TRASLADO</w:t>
      </w:r>
    </w:p>
    <w:p w14:paraId="7E72A654" w14:textId="5CCECC14" w:rsidR="00A070DD" w:rsidRPr="00EA711B" w:rsidRDefault="00A070DD" w:rsidP="00A070DD">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 los formularios de afiliación a lo sumo acreditan un consentimiento, pero no informado, tal como se expresa a continuación: “… La Sala considera desacertada esta tesis, en la medida que la firma del formulario, al igual que las afirmaciones consignadas en los formatos preimpresos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 (…)”</w:t>
      </w:r>
    </w:p>
    <w:p w14:paraId="0F63F0A3" w14:textId="77777777" w:rsidR="00A070DD" w:rsidRPr="00EA711B" w:rsidRDefault="00A070DD" w:rsidP="00A070DD">
      <w:pPr>
        <w:spacing w:before="0" w:beforeAutospacing="0" w:after="0" w:afterAutospacing="0" w:line="240" w:lineRule="auto"/>
        <w:ind w:firstLine="0"/>
        <w:rPr>
          <w:rFonts w:ascii="Arial" w:eastAsia="Times New Roman" w:hAnsi="Arial" w:cs="Arial"/>
          <w:sz w:val="20"/>
          <w:szCs w:val="20"/>
          <w:lang w:val="es-419" w:eastAsia="es-ES"/>
        </w:rPr>
      </w:pPr>
    </w:p>
    <w:p w14:paraId="4F8C95D6" w14:textId="77777777" w:rsidR="00A070DD" w:rsidRPr="00A070DD" w:rsidRDefault="00A070DD" w:rsidP="00A070DD">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lang w:val="es-ES"/>
        </w:rPr>
      </w:pPr>
    </w:p>
    <w:p w14:paraId="0F5F65D0" w14:textId="77777777" w:rsidR="00A070DD" w:rsidRPr="00A070DD" w:rsidRDefault="00A070DD" w:rsidP="00A070DD">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p>
    <w:p w14:paraId="491FF77D" w14:textId="135DD521" w:rsidR="0032497E" w:rsidRPr="00A070DD" w:rsidRDefault="002A7251" w:rsidP="00A070DD">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r w:rsidRPr="00A070DD">
        <w:rPr>
          <w:rFonts w:ascii="Arial" w:hAnsi="Arial" w:cs="Arial"/>
          <w:color w:val="000000"/>
          <w:sz w:val="20"/>
        </w:rPr>
        <w:t>Radicación No.:</w:t>
      </w:r>
      <w:r w:rsidR="00674CE1">
        <w:rPr>
          <w:rFonts w:ascii="Arial" w:hAnsi="Arial" w:cs="Arial"/>
          <w:color w:val="000000"/>
          <w:sz w:val="20"/>
        </w:rPr>
        <w:t xml:space="preserve"> </w:t>
      </w:r>
      <w:r w:rsidR="007B0F25" w:rsidRPr="00A070DD">
        <w:rPr>
          <w:rFonts w:ascii="Arial" w:hAnsi="Arial" w:cs="Arial"/>
          <w:color w:val="000000"/>
          <w:sz w:val="20"/>
        </w:rPr>
        <w:t>66001310500220210032601</w:t>
      </w:r>
    </w:p>
    <w:p w14:paraId="7B67D4D7" w14:textId="3013A86B" w:rsidR="002A7251" w:rsidRPr="00A070DD" w:rsidRDefault="002A7251" w:rsidP="00A070DD">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r w:rsidRPr="00A070DD">
        <w:rPr>
          <w:rFonts w:ascii="Arial" w:hAnsi="Arial" w:cs="Arial"/>
          <w:color w:val="000000"/>
          <w:sz w:val="20"/>
        </w:rPr>
        <w:t>Proceso:</w:t>
      </w:r>
      <w:r w:rsidR="00B27B17" w:rsidRPr="00A070DD">
        <w:rPr>
          <w:rFonts w:ascii="Arial" w:hAnsi="Arial" w:cs="Arial"/>
          <w:color w:val="000000"/>
          <w:sz w:val="20"/>
        </w:rPr>
        <w:tab/>
      </w:r>
      <w:r w:rsidR="00674CE1">
        <w:rPr>
          <w:rFonts w:ascii="Arial" w:hAnsi="Arial" w:cs="Arial"/>
          <w:color w:val="000000"/>
          <w:sz w:val="20"/>
        </w:rPr>
        <w:t xml:space="preserve"> </w:t>
      </w:r>
      <w:r w:rsidRPr="00A070DD">
        <w:rPr>
          <w:rFonts w:ascii="Arial" w:hAnsi="Arial" w:cs="Arial"/>
          <w:color w:val="000000"/>
          <w:sz w:val="20"/>
        </w:rPr>
        <w:t xml:space="preserve">Ordinario Laboral </w:t>
      </w:r>
    </w:p>
    <w:p w14:paraId="595D248E" w14:textId="5F4DE5D2" w:rsidR="002A7251" w:rsidRPr="00A070DD" w:rsidRDefault="002A7251" w:rsidP="00A070DD">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r w:rsidRPr="00A070DD">
        <w:rPr>
          <w:rFonts w:ascii="Arial" w:hAnsi="Arial" w:cs="Arial"/>
          <w:color w:val="000000"/>
          <w:sz w:val="20"/>
        </w:rPr>
        <w:t>Demandante:</w:t>
      </w:r>
      <w:r w:rsidR="00B27B17" w:rsidRPr="00A070DD">
        <w:rPr>
          <w:rFonts w:ascii="Arial" w:hAnsi="Arial" w:cs="Arial"/>
          <w:color w:val="000000"/>
          <w:sz w:val="20"/>
        </w:rPr>
        <w:tab/>
      </w:r>
      <w:r w:rsidR="00674CE1">
        <w:rPr>
          <w:rFonts w:ascii="Arial" w:hAnsi="Arial" w:cs="Arial"/>
          <w:color w:val="000000"/>
          <w:sz w:val="20"/>
        </w:rPr>
        <w:t xml:space="preserve"> </w:t>
      </w:r>
      <w:r w:rsidR="007B0F25" w:rsidRPr="00A070DD">
        <w:rPr>
          <w:rFonts w:ascii="Arial" w:hAnsi="Arial" w:cs="Arial"/>
          <w:color w:val="000000"/>
          <w:sz w:val="20"/>
        </w:rPr>
        <w:t xml:space="preserve">Olga Rocío Henao Restrepo </w:t>
      </w:r>
    </w:p>
    <w:p w14:paraId="65503D84" w14:textId="5E7DA337" w:rsidR="002A7251" w:rsidRPr="00A070DD" w:rsidRDefault="002A7251" w:rsidP="00A070DD">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r w:rsidRPr="00A070DD">
        <w:rPr>
          <w:rFonts w:ascii="Arial" w:hAnsi="Arial" w:cs="Arial"/>
          <w:color w:val="000000"/>
          <w:sz w:val="20"/>
        </w:rPr>
        <w:t>Demandado:</w:t>
      </w:r>
      <w:r w:rsidR="00B27B17" w:rsidRPr="00A070DD">
        <w:rPr>
          <w:rFonts w:ascii="Arial" w:hAnsi="Arial" w:cs="Arial"/>
          <w:color w:val="000000"/>
          <w:sz w:val="20"/>
        </w:rPr>
        <w:tab/>
      </w:r>
      <w:r w:rsidR="00674CE1">
        <w:rPr>
          <w:rFonts w:ascii="Arial" w:hAnsi="Arial" w:cs="Arial"/>
          <w:color w:val="000000"/>
          <w:sz w:val="20"/>
        </w:rPr>
        <w:t xml:space="preserve"> </w:t>
      </w:r>
      <w:r w:rsidRPr="00A070DD">
        <w:rPr>
          <w:rFonts w:ascii="Arial" w:hAnsi="Arial" w:cs="Arial"/>
          <w:color w:val="000000"/>
          <w:sz w:val="20"/>
        </w:rPr>
        <w:t>Colpensiones</w:t>
      </w:r>
      <w:r w:rsidR="007B0F25" w:rsidRPr="00A070DD">
        <w:rPr>
          <w:rFonts w:ascii="Arial" w:hAnsi="Arial" w:cs="Arial"/>
          <w:color w:val="000000"/>
          <w:sz w:val="20"/>
        </w:rPr>
        <w:t>, Porvenir S.A y Colfondos S.A</w:t>
      </w:r>
    </w:p>
    <w:p w14:paraId="5254DA4D" w14:textId="14EB6813" w:rsidR="002A7251" w:rsidRPr="00A070DD" w:rsidRDefault="002A7251" w:rsidP="00A070DD">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r w:rsidRPr="00A070DD">
        <w:rPr>
          <w:rFonts w:ascii="Arial" w:hAnsi="Arial" w:cs="Arial"/>
          <w:color w:val="000000"/>
          <w:sz w:val="20"/>
        </w:rPr>
        <w:t>Juzgado:</w:t>
      </w:r>
      <w:r w:rsidR="00B27B17" w:rsidRPr="00A070DD">
        <w:rPr>
          <w:rFonts w:ascii="Arial" w:hAnsi="Arial" w:cs="Arial"/>
          <w:color w:val="000000"/>
          <w:sz w:val="20"/>
        </w:rPr>
        <w:tab/>
      </w:r>
      <w:r w:rsidR="00674CE1">
        <w:rPr>
          <w:rFonts w:ascii="Arial" w:hAnsi="Arial" w:cs="Arial"/>
          <w:color w:val="000000"/>
          <w:sz w:val="20"/>
        </w:rPr>
        <w:t xml:space="preserve"> </w:t>
      </w:r>
      <w:r w:rsidRPr="00A070DD">
        <w:rPr>
          <w:rFonts w:ascii="Arial" w:hAnsi="Arial" w:cs="Arial"/>
          <w:color w:val="000000"/>
          <w:sz w:val="20"/>
        </w:rPr>
        <w:t>Segundo Laboral del Circuito de Pereira</w:t>
      </w:r>
    </w:p>
    <w:p w14:paraId="5BEC05F9" w14:textId="205FA2F8" w:rsidR="00882C8A" w:rsidRPr="00A070DD" w:rsidRDefault="00882C8A" w:rsidP="00A070DD">
      <w:pPr>
        <w:spacing w:before="0" w:beforeAutospacing="0" w:after="0" w:afterAutospacing="0" w:line="240" w:lineRule="auto"/>
        <w:ind w:firstLine="0"/>
        <w:rPr>
          <w:rFonts w:ascii="Arial" w:eastAsia="Times New Roman" w:hAnsi="Arial" w:cs="Arial"/>
          <w:sz w:val="20"/>
          <w:lang w:val="es-ES" w:eastAsia="es-ES"/>
        </w:rPr>
      </w:pPr>
    </w:p>
    <w:p w14:paraId="0FFBD70B" w14:textId="4B757765" w:rsidR="00BF5EA5" w:rsidRPr="00A070DD" w:rsidRDefault="00BF5EA5" w:rsidP="00A070DD">
      <w:pPr>
        <w:spacing w:before="0" w:beforeAutospacing="0" w:after="0" w:afterAutospacing="0" w:line="240" w:lineRule="auto"/>
        <w:ind w:firstLine="0"/>
        <w:rPr>
          <w:rFonts w:ascii="Arial" w:eastAsia="Times New Roman" w:hAnsi="Arial" w:cs="Arial"/>
          <w:sz w:val="20"/>
          <w:lang w:val="es-ES" w:eastAsia="es-ES"/>
        </w:rPr>
      </w:pPr>
    </w:p>
    <w:p w14:paraId="74723295" w14:textId="77777777" w:rsidR="00BF5EA5" w:rsidRPr="00A070DD" w:rsidRDefault="00BF5EA5" w:rsidP="00A070DD">
      <w:pPr>
        <w:spacing w:before="0" w:beforeAutospacing="0" w:after="0" w:afterAutospacing="0" w:line="240" w:lineRule="auto"/>
        <w:ind w:firstLine="0"/>
        <w:rPr>
          <w:rFonts w:ascii="Arial" w:eastAsia="Times New Roman" w:hAnsi="Arial" w:cs="Arial"/>
          <w:sz w:val="20"/>
          <w:lang w:val="es-ES" w:eastAsia="es-ES"/>
        </w:rPr>
      </w:pPr>
    </w:p>
    <w:p w14:paraId="1B48FCCC" w14:textId="77777777" w:rsidR="003B6848" w:rsidRPr="00760E4E" w:rsidRDefault="003B6848" w:rsidP="00760E4E">
      <w:pPr>
        <w:pStyle w:val="Ttulo4"/>
        <w:widowControl w:val="0"/>
        <w:tabs>
          <w:tab w:val="clear" w:pos="0"/>
        </w:tabs>
        <w:spacing w:line="276" w:lineRule="auto"/>
        <w:ind w:right="49"/>
        <w:contextualSpacing/>
        <w:rPr>
          <w:rFonts w:ascii="Tahoma" w:hAnsi="Tahoma" w:cs="Tahoma"/>
          <w:bCs/>
          <w:szCs w:val="24"/>
          <w:lang w:eastAsia="es-MX"/>
        </w:rPr>
      </w:pPr>
      <w:bookmarkStart w:id="1" w:name="_Hlk89346566"/>
      <w:r w:rsidRPr="00760E4E">
        <w:rPr>
          <w:rFonts w:ascii="Tahoma" w:hAnsi="Tahoma" w:cs="Tahoma"/>
          <w:bCs/>
          <w:szCs w:val="24"/>
          <w:lang w:eastAsia="es-MX"/>
        </w:rPr>
        <w:t>TRIBUNAL SUPERIOR DEL DISTRITO JUDICIAL DE PEREIRA</w:t>
      </w:r>
    </w:p>
    <w:p w14:paraId="5A16DD1F" w14:textId="5F655AE0" w:rsidR="003B6848" w:rsidRPr="00760E4E" w:rsidRDefault="003B6848" w:rsidP="00760E4E">
      <w:pPr>
        <w:pStyle w:val="Ttulo4"/>
        <w:widowControl w:val="0"/>
        <w:tabs>
          <w:tab w:val="clear" w:pos="0"/>
        </w:tabs>
        <w:spacing w:line="276" w:lineRule="auto"/>
        <w:ind w:right="49"/>
        <w:contextualSpacing/>
        <w:rPr>
          <w:rFonts w:ascii="Tahoma" w:hAnsi="Tahoma" w:cs="Tahoma"/>
          <w:bCs/>
          <w:szCs w:val="24"/>
          <w:lang w:eastAsia="es-MX"/>
        </w:rPr>
      </w:pPr>
      <w:r w:rsidRPr="00760E4E">
        <w:rPr>
          <w:rFonts w:ascii="Tahoma" w:hAnsi="Tahoma" w:cs="Tahoma"/>
          <w:bCs/>
          <w:szCs w:val="24"/>
          <w:lang w:eastAsia="es-MX"/>
        </w:rPr>
        <w:t>SALA PRIMERA DE DECISION LABORAL</w:t>
      </w:r>
    </w:p>
    <w:p w14:paraId="1EA4F8CA" w14:textId="77777777" w:rsidR="000A7489" w:rsidRPr="00760E4E" w:rsidRDefault="000A7489" w:rsidP="00760E4E">
      <w:pPr>
        <w:spacing w:before="0" w:beforeAutospacing="0" w:after="0" w:afterAutospacing="0" w:line="276" w:lineRule="auto"/>
        <w:ind w:right="49" w:firstLine="0"/>
        <w:contextualSpacing/>
        <w:jc w:val="center"/>
        <w:rPr>
          <w:rFonts w:ascii="Tahoma" w:hAnsi="Tahoma" w:cs="Tahoma"/>
          <w:bCs/>
        </w:rPr>
      </w:pPr>
    </w:p>
    <w:p w14:paraId="0DC08CD0" w14:textId="4E5C3C62" w:rsidR="003B6848" w:rsidRPr="00760E4E" w:rsidRDefault="003B6848" w:rsidP="00760E4E">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r w:rsidRPr="00760E4E">
        <w:rPr>
          <w:rFonts w:ascii="Tahoma" w:eastAsia="Times New Roman" w:hAnsi="Tahoma" w:cs="Tahoma"/>
          <w:lang w:eastAsia="es-CO"/>
        </w:rPr>
        <w:t>Magistrada Ponente: </w:t>
      </w:r>
      <w:r w:rsidRPr="00760E4E">
        <w:rPr>
          <w:rFonts w:ascii="Tahoma" w:eastAsia="Times New Roman" w:hAnsi="Tahoma" w:cs="Tahoma"/>
          <w:b/>
          <w:bCs/>
          <w:lang w:eastAsia="es-CO"/>
        </w:rPr>
        <w:t>Ana Lucía Caicedo Calderón</w:t>
      </w:r>
    </w:p>
    <w:p w14:paraId="2EE6C2C2" w14:textId="438562DA" w:rsidR="003B6848" w:rsidRPr="00760E4E" w:rsidRDefault="003B6848" w:rsidP="00760E4E">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p>
    <w:bookmarkEnd w:id="1"/>
    <w:p w14:paraId="2CFFB7D3" w14:textId="2EADD732" w:rsidR="356EA9CD" w:rsidRPr="00760E4E" w:rsidRDefault="356EA9CD" w:rsidP="00760E4E">
      <w:pPr>
        <w:spacing w:before="0" w:beforeAutospacing="0" w:after="0" w:afterAutospacing="0" w:line="276" w:lineRule="auto"/>
        <w:jc w:val="center"/>
        <w:rPr>
          <w:rFonts w:ascii="Tahoma" w:hAnsi="Tahoma" w:cs="Tahoma"/>
        </w:rPr>
      </w:pPr>
      <w:r w:rsidRPr="00760E4E">
        <w:rPr>
          <w:rFonts w:ascii="Tahoma" w:eastAsia="Tahoma" w:hAnsi="Tahoma" w:cs="Tahoma"/>
          <w:lang w:val="es"/>
        </w:rPr>
        <w:t>Pereira, Risaralda, veinticuatro (24) de julio de dos mil veintitrés (2023)</w:t>
      </w:r>
    </w:p>
    <w:p w14:paraId="58B5A127" w14:textId="7C0F8648" w:rsidR="356EA9CD" w:rsidRPr="00760E4E" w:rsidRDefault="356EA9CD" w:rsidP="00760E4E">
      <w:pPr>
        <w:spacing w:before="0" w:beforeAutospacing="0" w:after="0" w:afterAutospacing="0" w:line="276" w:lineRule="auto"/>
        <w:jc w:val="center"/>
        <w:rPr>
          <w:rFonts w:ascii="Tahoma" w:hAnsi="Tahoma" w:cs="Tahoma"/>
        </w:rPr>
      </w:pPr>
      <w:r w:rsidRPr="00760E4E">
        <w:rPr>
          <w:rFonts w:ascii="Tahoma" w:eastAsia="Tahoma" w:hAnsi="Tahoma" w:cs="Tahoma"/>
          <w:lang w:val="es"/>
        </w:rPr>
        <w:t>Acta No.</w:t>
      </w:r>
      <w:r w:rsidR="1499D84D" w:rsidRPr="00760E4E">
        <w:rPr>
          <w:rFonts w:ascii="Tahoma" w:eastAsia="Tahoma" w:hAnsi="Tahoma" w:cs="Tahoma"/>
          <w:lang w:val="es"/>
        </w:rPr>
        <w:t xml:space="preserve"> 115</w:t>
      </w:r>
      <w:r w:rsidRPr="00760E4E">
        <w:rPr>
          <w:rFonts w:ascii="Tahoma" w:eastAsia="Tahoma" w:hAnsi="Tahoma" w:cs="Tahoma"/>
          <w:lang w:val="es"/>
        </w:rPr>
        <w:t xml:space="preserve"> del 2</w:t>
      </w:r>
      <w:r w:rsidR="00BE2A5D" w:rsidRPr="00760E4E">
        <w:rPr>
          <w:rFonts w:ascii="Tahoma" w:eastAsia="Tahoma" w:hAnsi="Tahoma" w:cs="Tahoma"/>
          <w:lang w:val="es"/>
        </w:rPr>
        <w:t>4</w:t>
      </w:r>
      <w:r w:rsidRPr="00760E4E">
        <w:rPr>
          <w:rFonts w:ascii="Tahoma" w:eastAsia="Tahoma" w:hAnsi="Tahoma" w:cs="Tahoma"/>
          <w:lang w:val="es"/>
        </w:rPr>
        <w:t xml:space="preserve"> de julio de 2023</w:t>
      </w:r>
    </w:p>
    <w:p w14:paraId="389D91F3" w14:textId="452AFE4E" w:rsidR="21BCFD8D" w:rsidRPr="00760E4E" w:rsidRDefault="21BCFD8D" w:rsidP="00760E4E">
      <w:pPr>
        <w:spacing w:before="0" w:beforeAutospacing="0" w:after="0" w:afterAutospacing="0" w:line="276" w:lineRule="auto"/>
        <w:contextualSpacing/>
        <w:jc w:val="center"/>
        <w:rPr>
          <w:rFonts w:ascii="Tahoma" w:hAnsi="Tahoma" w:cs="Tahoma"/>
          <w:b/>
          <w:bCs/>
        </w:rPr>
      </w:pPr>
    </w:p>
    <w:p w14:paraId="4D47DCFA" w14:textId="77777777" w:rsidR="00151506" w:rsidRPr="00760E4E" w:rsidRDefault="00151506" w:rsidP="00760E4E">
      <w:pPr>
        <w:spacing w:before="0" w:beforeAutospacing="0" w:after="0" w:afterAutospacing="0" w:line="276" w:lineRule="auto"/>
        <w:contextualSpacing/>
        <w:jc w:val="center"/>
        <w:rPr>
          <w:rFonts w:ascii="Tahoma" w:hAnsi="Tahoma" w:cs="Tahoma"/>
          <w:b/>
        </w:rPr>
      </w:pPr>
    </w:p>
    <w:p w14:paraId="2788A7E0" w14:textId="7A46779F" w:rsidR="005B1014" w:rsidRPr="00760E4E" w:rsidRDefault="00C113E7" w:rsidP="00760E4E">
      <w:pPr>
        <w:spacing w:before="0" w:beforeAutospacing="0" w:after="0" w:afterAutospacing="0" w:line="276" w:lineRule="auto"/>
        <w:ind w:firstLine="708"/>
        <w:contextualSpacing/>
        <w:rPr>
          <w:rFonts w:ascii="Tahoma" w:hAnsi="Tahoma" w:cs="Tahoma"/>
          <w:b/>
        </w:rPr>
      </w:pPr>
      <w:r w:rsidRPr="00760E4E">
        <w:rPr>
          <w:rFonts w:ascii="Tahoma" w:hAnsi="Tahoma" w:cs="Tahoma"/>
          <w:lang w:val="es-ES"/>
        </w:rPr>
        <w:lastRenderedPageBreak/>
        <w:t>Teniendo en cuenta que el artículo 15 del Decreto No. 806 del 4 de junio de 2020, adoptado como legislación permanente por medio de la Ley 2213 del 13 de junio de 2022</w:t>
      </w:r>
      <w:r w:rsidR="000A7489" w:rsidRPr="00760E4E">
        <w:rPr>
          <w:rFonts w:ascii="Tahoma" w:hAnsi="Tahoma" w:cs="Tahoma"/>
        </w:rPr>
        <w:t xml:space="preserve">, </w:t>
      </w:r>
      <w:r w:rsidR="003B6848" w:rsidRPr="00760E4E">
        <w:rPr>
          <w:rFonts w:ascii="Tahoma" w:hAnsi="Tahoma" w:cs="Tahoma"/>
        </w:rPr>
        <w:t>estableció que en la</w:t>
      </w:r>
      <w:r w:rsidR="00E60AFE" w:rsidRPr="00760E4E">
        <w:rPr>
          <w:rFonts w:ascii="Tahoma" w:hAnsi="Tahoma" w:cs="Tahoma"/>
        </w:rPr>
        <w:t xml:space="preserve"> </w:t>
      </w:r>
      <w:r w:rsidR="003B6848" w:rsidRPr="00760E4E">
        <w:rPr>
          <w:rFonts w:ascii="Tahoma" w:hAnsi="Tahoma" w:cs="Tahoma"/>
        </w:rPr>
        <w:t>especialidad laboral se proferirán por escrito las providencias de</w:t>
      </w:r>
      <w:r w:rsidR="00E60AFE" w:rsidRPr="00760E4E">
        <w:rPr>
          <w:rFonts w:ascii="Tahoma" w:hAnsi="Tahoma" w:cs="Tahoma"/>
        </w:rPr>
        <w:t xml:space="preserve"> </w:t>
      </w:r>
      <w:r w:rsidR="003B6848" w:rsidRPr="00760E4E">
        <w:rPr>
          <w:rFonts w:ascii="Tahoma" w:hAnsi="Tahoma" w:cs="Tahoma"/>
        </w:rPr>
        <w:t>segunda</w:t>
      </w:r>
      <w:r w:rsidR="00E60AFE" w:rsidRPr="00760E4E">
        <w:rPr>
          <w:rFonts w:ascii="Tahoma" w:hAnsi="Tahoma" w:cs="Tahoma"/>
        </w:rPr>
        <w:t xml:space="preserve"> </w:t>
      </w:r>
      <w:r w:rsidR="003B6848" w:rsidRPr="00760E4E">
        <w:rPr>
          <w:rFonts w:ascii="Tahoma" w:hAnsi="Tahoma" w:cs="Tahoma"/>
        </w:rPr>
        <w:t>instancia</w:t>
      </w:r>
      <w:r w:rsidR="00E60AFE" w:rsidRPr="00760E4E">
        <w:rPr>
          <w:rFonts w:ascii="Tahoma" w:hAnsi="Tahoma" w:cs="Tahoma"/>
        </w:rPr>
        <w:t xml:space="preserve"> </w:t>
      </w:r>
      <w:r w:rsidR="003B6848" w:rsidRPr="00760E4E">
        <w:rPr>
          <w:rFonts w:ascii="Tahoma" w:hAnsi="Tahoma" w:cs="Tahoma"/>
        </w:rPr>
        <w:t>en las que se surta el grado jurisdiccional de consulta o se resuelva el recurso de</w:t>
      </w:r>
      <w:r w:rsidR="00E60AFE" w:rsidRPr="00760E4E">
        <w:rPr>
          <w:rFonts w:ascii="Tahoma" w:hAnsi="Tahoma" w:cs="Tahoma"/>
        </w:rPr>
        <w:t xml:space="preserve"> </w:t>
      </w:r>
      <w:r w:rsidR="003B6848" w:rsidRPr="00760E4E">
        <w:rPr>
          <w:rFonts w:ascii="Tahoma" w:hAnsi="Tahoma" w:cs="Tahoma"/>
        </w:rPr>
        <w:t>apelación de autos o sentencias, la Sala de Decisión Laboral</w:t>
      </w:r>
      <w:r w:rsidR="00617E08" w:rsidRPr="00760E4E">
        <w:rPr>
          <w:rFonts w:ascii="Tahoma" w:hAnsi="Tahoma" w:cs="Tahoma"/>
        </w:rPr>
        <w:t xml:space="preserve"> del Tribunal Superior de Pereira, </w:t>
      </w:r>
      <w:r w:rsidR="003B6848" w:rsidRPr="00760E4E">
        <w:rPr>
          <w:rFonts w:ascii="Tahoma" w:hAnsi="Tahoma" w:cs="Tahoma"/>
        </w:rPr>
        <w:t>integrada por las</w:t>
      </w:r>
      <w:r w:rsidR="00510D63" w:rsidRPr="00760E4E">
        <w:rPr>
          <w:rFonts w:ascii="Tahoma" w:hAnsi="Tahoma" w:cs="Tahoma"/>
        </w:rPr>
        <w:t xml:space="preserve"> </w:t>
      </w:r>
      <w:r w:rsidR="003B6848" w:rsidRPr="00760E4E">
        <w:rPr>
          <w:rFonts w:ascii="Tahoma" w:hAnsi="Tahoma" w:cs="Tahoma"/>
        </w:rPr>
        <w:t>Magistradas ANA LUCÍA CAICEDO CALDERÓN</w:t>
      </w:r>
      <w:r w:rsidR="00617E08" w:rsidRPr="00760E4E">
        <w:rPr>
          <w:rFonts w:ascii="Tahoma" w:hAnsi="Tahoma" w:cs="Tahoma"/>
        </w:rPr>
        <w:t>,</w:t>
      </w:r>
      <w:r w:rsidR="003B6848" w:rsidRPr="00760E4E">
        <w:rPr>
          <w:rFonts w:ascii="Tahoma" w:hAnsi="Tahoma" w:cs="Tahoma"/>
        </w:rPr>
        <w:t xml:space="preserve"> como </w:t>
      </w:r>
      <w:r w:rsidR="00617E08" w:rsidRPr="00760E4E">
        <w:rPr>
          <w:rFonts w:ascii="Tahoma" w:hAnsi="Tahoma" w:cs="Tahoma"/>
        </w:rPr>
        <w:t>p</w:t>
      </w:r>
      <w:r w:rsidR="003B6848" w:rsidRPr="00760E4E">
        <w:rPr>
          <w:rFonts w:ascii="Tahoma" w:hAnsi="Tahoma" w:cs="Tahoma"/>
        </w:rPr>
        <w:t xml:space="preserve">onente, </w:t>
      </w:r>
      <w:r w:rsidR="00617E08" w:rsidRPr="00760E4E">
        <w:rPr>
          <w:rFonts w:ascii="Tahoma" w:hAnsi="Tahoma" w:cs="Tahoma"/>
        </w:rPr>
        <w:t xml:space="preserve">y </w:t>
      </w:r>
      <w:r w:rsidR="003B6848" w:rsidRPr="00760E4E">
        <w:rPr>
          <w:rFonts w:ascii="Tahoma" w:hAnsi="Tahoma" w:cs="Tahoma"/>
        </w:rPr>
        <w:t>OLGA LUCÍA HOYOS</w:t>
      </w:r>
      <w:r w:rsidR="00510D63" w:rsidRPr="00760E4E">
        <w:rPr>
          <w:rFonts w:ascii="Tahoma" w:hAnsi="Tahoma" w:cs="Tahoma"/>
        </w:rPr>
        <w:t xml:space="preserve"> </w:t>
      </w:r>
      <w:r w:rsidR="003B6848" w:rsidRPr="00760E4E">
        <w:rPr>
          <w:rFonts w:ascii="Tahoma" w:hAnsi="Tahoma" w:cs="Tahoma"/>
        </w:rPr>
        <w:t>SEPÚLVEDA</w:t>
      </w:r>
      <w:r w:rsidR="00617E08" w:rsidRPr="00760E4E">
        <w:rPr>
          <w:rFonts w:ascii="Tahoma" w:hAnsi="Tahoma" w:cs="Tahoma"/>
        </w:rPr>
        <w:t>,</w:t>
      </w:r>
      <w:r w:rsidR="003B6848" w:rsidRPr="00760E4E">
        <w:rPr>
          <w:rFonts w:ascii="Tahoma" w:hAnsi="Tahoma" w:cs="Tahoma"/>
        </w:rPr>
        <w:t xml:space="preserve"> y el Magistrado</w:t>
      </w:r>
      <w:r w:rsidR="00510D63" w:rsidRPr="00760E4E">
        <w:rPr>
          <w:rFonts w:ascii="Tahoma" w:hAnsi="Tahoma" w:cs="Tahoma"/>
        </w:rPr>
        <w:t xml:space="preserve"> </w:t>
      </w:r>
      <w:r w:rsidR="003B6848" w:rsidRPr="00760E4E">
        <w:rPr>
          <w:rFonts w:ascii="Tahoma" w:hAnsi="Tahoma" w:cs="Tahoma"/>
        </w:rPr>
        <w:t xml:space="preserve">GERMÁN DARIO </w:t>
      </w:r>
      <w:r w:rsidR="00AA60CF" w:rsidRPr="00760E4E">
        <w:rPr>
          <w:rFonts w:ascii="Tahoma" w:hAnsi="Tahoma" w:cs="Tahoma"/>
        </w:rPr>
        <w:t xml:space="preserve">GOEZ </w:t>
      </w:r>
      <w:r w:rsidR="003B6848" w:rsidRPr="00760E4E">
        <w:rPr>
          <w:rFonts w:ascii="Tahoma" w:hAnsi="Tahoma" w:cs="Tahoma"/>
        </w:rPr>
        <w:t>VINASCO, procede a proferir la</w:t>
      </w:r>
      <w:r w:rsidR="00510D63" w:rsidRPr="00760E4E">
        <w:rPr>
          <w:rFonts w:ascii="Tahoma" w:hAnsi="Tahoma" w:cs="Tahoma"/>
        </w:rPr>
        <w:t xml:space="preserve"> </w:t>
      </w:r>
      <w:r w:rsidR="003B6848" w:rsidRPr="00760E4E">
        <w:rPr>
          <w:rFonts w:ascii="Tahoma" w:hAnsi="Tahoma" w:cs="Tahoma"/>
        </w:rPr>
        <w:t xml:space="preserve">siguiente sentencia escrita dentro del proceso </w:t>
      </w:r>
      <w:r w:rsidR="003B6848" w:rsidRPr="00B27B17">
        <w:rPr>
          <w:rFonts w:ascii="Tahoma" w:hAnsi="Tahoma" w:cs="Tahoma"/>
          <w:b/>
        </w:rPr>
        <w:t>ordinario laboral</w:t>
      </w:r>
      <w:r w:rsidR="003B6848" w:rsidRPr="00760E4E">
        <w:rPr>
          <w:rFonts w:ascii="Tahoma" w:hAnsi="Tahoma" w:cs="Tahoma"/>
        </w:rPr>
        <w:t xml:space="preserve"> instaurado por</w:t>
      </w:r>
      <w:r w:rsidR="007B0F25" w:rsidRPr="00760E4E">
        <w:rPr>
          <w:rFonts w:ascii="Tahoma" w:hAnsi="Tahoma" w:cs="Tahoma"/>
        </w:rPr>
        <w:t xml:space="preserve"> </w:t>
      </w:r>
      <w:r w:rsidR="007B0F25" w:rsidRPr="00760E4E">
        <w:rPr>
          <w:rFonts w:ascii="Tahoma" w:hAnsi="Tahoma" w:cs="Tahoma"/>
          <w:b/>
          <w:bCs/>
        </w:rPr>
        <w:t xml:space="preserve">Olga Rocío Henao Restrepo </w:t>
      </w:r>
      <w:r w:rsidR="00171926" w:rsidRPr="00760E4E">
        <w:rPr>
          <w:rFonts w:ascii="Tahoma" w:hAnsi="Tahoma" w:cs="Tahoma"/>
        </w:rPr>
        <w:t>en contra de</w:t>
      </w:r>
      <w:r w:rsidR="00171926" w:rsidRPr="00760E4E">
        <w:rPr>
          <w:rFonts w:ascii="Tahoma" w:hAnsi="Tahoma" w:cs="Tahoma"/>
          <w:b/>
          <w:bCs/>
        </w:rPr>
        <w:t xml:space="preserve"> </w:t>
      </w:r>
      <w:r w:rsidR="00B82067" w:rsidRPr="00760E4E">
        <w:rPr>
          <w:rFonts w:ascii="Tahoma" w:hAnsi="Tahoma" w:cs="Tahoma"/>
          <w:bCs/>
        </w:rPr>
        <w:t>la</w:t>
      </w:r>
      <w:r w:rsidR="00B82067" w:rsidRPr="00760E4E">
        <w:rPr>
          <w:rFonts w:ascii="Tahoma" w:hAnsi="Tahoma" w:cs="Tahoma"/>
          <w:b/>
          <w:bCs/>
        </w:rPr>
        <w:t xml:space="preserve"> Administradora Colombiana de Pensiones</w:t>
      </w:r>
      <w:r w:rsidR="00171926" w:rsidRPr="00760E4E">
        <w:rPr>
          <w:rFonts w:ascii="Tahoma" w:hAnsi="Tahoma" w:cs="Tahoma"/>
          <w:b/>
          <w:bCs/>
          <w:caps/>
        </w:rPr>
        <w:t xml:space="preserve"> – </w:t>
      </w:r>
      <w:r w:rsidR="00B82067" w:rsidRPr="00760E4E">
        <w:rPr>
          <w:rFonts w:ascii="Tahoma" w:hAnsi="Tahoma" w:cs="Tahoma"/>
          <w:b/>
          <w:bCs/>
        </w:rPr>
        <w:t>Colpensiones</w:t>
      </w:r>
      <w:r w:rsidR="002304E9" w:rsidRPr="00760E4E">
        <w:rPr>
          <w:rFonts w:ascii="Tahoma" w:hAnsi="Tahoma" w:cs="Tahoma"/>
          <w:bCs/>
        </w:rPr>
        <w:t>,</w:t>
      </w:r>
      <w:r w:rsidR="006B682B" w:rsidRPr="00760E4E">
        <w:rPr>
          <w:rFonts w:ascii="Tahoma" w:hAnsi="Tahoma" w:cs="Tahoma"/>
        </w:rPr>
        <w:t xml:space="preserve"> </w:t>
      </w:r>
      <w:r w:rsidR="002304E9" w:rsidRPr="00760E4E">
        <w:rPr>
          <w:rFonts w:ascii="Tahoma" w:hAnsi="Tahoma" w:cs="Tahoma"/>
        </w:rPr>
        <w:t xml:space="preserve">la </w:t>
      </w:r>
      <w:r w:rsidR="00B82067" w:rsidRPr="00760E4E">
        <w:rPr>
          <w:rFonts w:ascii="Tahoma" w:hAnsi="Tahoma" w:cs="Tahoma"/>
          <w:b/>
          <w:bCs/>
        </w:rPr>
        <w:t xml:space="preserve">Administradora de Fondos de Pensiones y Cesantías </w:t>
      </w:r>
      <w:r w:rsidR="00171926" w:rsidRPr="00760E4E">
        <w:rPr>
          <w:rFonts w:ascii="Tahoma" w:hAnsi="Tahoma" w:cs="Tahoma"/>
          <w:b/>
          <w:bCs/>
          <w:caps/>
        </w:rPr>
        <w:t xml:space="preserve">– </w:t>
      </w:r>
      <w:r w:rsidR="00B82067" w:rsidRPr="00760E4E">
        <w:rPr>
          <w:rFonts w:ascii="Tahoma" w:hAnsi="Tahoma" w:cs="Tahoma"/>
          <w:b/>
          <w:bCs/>
        </w:rPr>
        <w:t xml:space="preserve">Porvenir </w:t>
      </w:r>
      <w:r w:rsidR="00171926" w:rsidRPr="00760E4E">
        <w:rPr>
          <w:rFonts w:ascii="Tahoma" w:hAnsi="Tahoma" w:cs="Tahoma"/>
          <w:b/>
          <w:bCs/>
          <w:caps/>
        </w:rPr>
        <w:t>S.A.</w:t>
      </w:r>
      <w:r w:rsidR="005B1014" w:rsidRPr="00760E4E">
        <w:rPr>
          <w:rFonts w:ascii="Tahoma" w:hAnsi="Tahoma" w:cs="Tahoma"/>
          <w:bCs/>
          <w:caps/>
        </w:rPr>
        <w:t xml:space="preserve">, </w:t>
      </w:r>
      <w:r w:rsidR="005B1014" w:rsidRPr="00760E4E">
        <w:rPr>
          <w:rFonts w:ascii="Tahoma" w:hAnsi="Tahoma" w:cs="Tahoma"/>
        </w:rPr>
        <w:t>y</w:t>
      </w:r>
      <w:r w:rsidR="00B3592A" w:rsidRPr="00760E4E">
        <w:rPr>
          <w:rFonts w:ascii="Tahoma" w:hAnsi="Tahoma" w:cs="Tahoma"/>
        </w:rPr>
        <w:t xml:space="preserve"> </w:t>
      </w:r>
      <w:r w:rsidR="002304E9" w:rsidRPr="00760E4E">
        <w:rPr>
          <w:rFonts w:ascii="Tahoma" w:hAnsi="Tahoma" w:cs="Tahoma"/>
          <w:b/>
        </w:rPr>
        <w:t xml:space="preserve">Colfondos </w:t>
      </w:r>
      <w:r w:rsidR="00B82067" w:rsidRPr="00760E4E">
        <w:rPr>
          <w:rFonts w:ascii="Tahoma" w:hAnsi="Tahoma" w:cs="Tahoma"/>
          <w:b/>
        </w:rPr>
        <w:t>S.A</w:t>
      </w:r>
      <w:r w:rsidR="00576236" w:rsidRPr="00760E4E">
        <w:rPr>
          <w:rFonts w:ascii="Tahoma" w:hAnsi="Tahoma" w:cs="Tahoma"/>
          <w:b/>
        </w:rPr>
        <w:t>.</w:t>
      </w:r>
      <w:r w:rsidR="00D023EB" w:rsidRPr="00760E4E">
        <w:rPr>
          <w:rFonts w:ascii="Tahoma" w:hAnsi="Tahoma" w:cs="Tahoma"/>
          <w:b/>
        </w:rPr>
        <w:t xml:space="preserve"> Pensiones y </w:t>
      </w:r>
      <w:r w:rsidR="00824C87" w:rsidRPr="00760E4E">
        <w:rPr>
          <w:rFonts w:ascii="Tahoma" w:hAnsi="Tahoma" w:cs="Tahoma"/>
          <w:b/>
        </w:rPr>
        <w:t>Cesantías</w:t>
      </w:r>
      <w:r w:rsidR="00D023EB" w:rsidRPr="00760E4E">
        <w:rPr>
          <w:rFonts w:ascii="Tahoma" w:hAnsi="Tahoma" w:cs="Tahoma"/>
          <w:b/>
        </w:rPr>
        <w:t>.</w:t>
      </w:r>
    </w:p>
    <w:p w14:paraId="02127A0D" w14:textId="77777777" w:rsidR="008F4A6D" w:rsidRPr="00760E4E" w:rsidRDefault="008F4A6D" w:rsidP="00760E4E">
      <w:pPr>
        <w:spacing w:before="0" w:beforeAutospacing="0" w:after="0" w:afterAutospacing="0" w:line="276" w:lineRule="auto"/>
        <w:ind w:firstLine="708"/>
        <w:contextualSpacing/>
        <w:rPr>
          <w:rFonts w:ascii="Tahoma" w:hAnsi="Tahoma" w:cs="Tahoma"/>
          <w:b/>
        </w:rPr>
      </w:pPr>
    </w:p>
    <w:p w14:paraId="2759349E" w14:textId="638FF0B9" w:rsidR="00CC7065" w:rsidRPr="009E50C5" w:rsidRDefault="19E34A09" w:rsidP="009E50C5">
      <w:pPr>
        <w:pStyle w:val="paragraph"/>
        <w:spacing w:before="0" w:beforeAutospacing="0" w:after="0" w:afterAutospacing="0" w:line="276" w:lineRule="auto"/>
        <w:jc w:val="center"/>
        <w:textAlignment w:val="baseline"/>
        <w:rPr>
          <w:rStyle w:val="normaltextrun"/>
          <w:rFonts w:ascii="Tahoma" w:hAnsi="Tahoma" w:cs="Tahoma"/>
          <w:b/>
          <w:bCs/>
        </w:rPr>
      </w:pPr>
      <w:r w:rsidRPr="009E50C5">
        <w:rPr>
          <w:rStyle w:val="normaltextrun"/>
          <w:rFonts w:ascii="Tahoma" w:hAnsi="Tahoma" w:cs="Tahoma"/>
          <w:b/>
          <w:bCs/>
        </w:rPr>
        <w:t>AUTO</w:t>
      </w:r>
    </w:p>
    <w:p w14:paraId="26F7B08C" w14:textId="6A4A833F" w:rsidR="00CC7065" w:rsidRPr="00760E4E" w:rsidRDefault="19E34A09" w:rsidP="00760E4E">
      <w:pPr>
        <w:spacing w:before="0" w:beforeAutospacing="0" w:after="0" w:afterAutospacing="0" w:line="276" w:lineRule="auto"/>
        <w:textAlignment w:val="baseline"/>
        <w:rPr>
          <w:rFonts w:ascii="Tahoma" w:hAnsi="Tahoma" w:cs="Tahoma"/>
        </w:rPr>
      </w:pPr>
      <w:r w:rsidRPr="00760E4E">
        <w:rPr>
          <w:rFonts w:ascii="Tahoma" w:eastAsia="Calibri" w:hAnsi="Tahoma" w:cs="Tahoma"/>
        </w:rPr>
        <w:t xml:space="preserve"> </w:t>
      </w:r>
    </w:p>
    <w:p w14:paraId="0D8F574F" w14:textId="1FE7DAE6" w:rsidR="00CC7065" w:rsidRDefault="00B27B17" w:rsidP="00760E4E">
      <w:pPr>
        <w:spacing w:before="0" w:beforeAutospacing="0" w:after="0" w:afterAutospacing="0" w:line="276" w:lineRule="auto"/>
        <w:textAlignment w:val="baseline"/>
        <w:rPr>
          <w:rFonts w:ascii="Tahoma" w:eastAsia="Tahoma" w:hAnsi="Tahoma" w:cs="Tahoma"/>
          <w:lang w:val="es"/>
        </w:rPr>
      </w:pPr>
      <w:r>
        <w:rPr>
          <w:rFonts w:ascii="Tahoma" w:eastAsia="Tahoma" w:hAnsi="Tahoma" w:cs="Tahoma"/>
          <w:lang w:val="es"/>
        </w:rPr>
        <w:t>(…)</w:t>
      </w:r>
    </w:p>
    <w:p w14:paraId="1CC568CC" w14:textId="77777777" w:rsidR="00B27B17" w:rsidRPr="00760E4E" w:rsidRDefault="00B27B17" w:rsidP="00B27B17">
      <w:pPr>
        <w:spacing w:before="0" w:beforeAutospacing="0" w:after="0" w:afterAutospacing="0" w:line="276" w:lineRule="auto"/>
        <w:ind w:firstLine="0"/>
        <w:textAlignment w:val="baseline"/>
        <w:rPr>
          <w:rFonts w:ascii="Tahoma" w:hAnsi="Tahoma" w:cs="Tahoma"/>
        </w:rPr>
      </w:pPr>
    </w:p>
    <w:p w14:paraId="4CBC4234" w14:textId="53C6FCD7" w:rsidR="00CC7065" w:rsidRPr="00760E4E" w:rsidRDefault="00CC7065" w:rsidP="00760E4E">
      <w:pPr>
        <w:spacing w:before="0" w:beforeAutospacing="0" w:after="0" w:afterAutospacing="0" w:line="276" w:lineRule="auto"/>
        <w:textAlignment w:val="baseline"/>
        <w:rPr>
          <w:rFonts w:ascii="Tahoma" w:eastAsia="Tahoma" w:hAnsi="Tahoma" w:cs="Tahoma"/>
          <w:lang w:val="es"/>
        </w:rPr>
      </w:pPr>
    </w:p>
    <w:p w14:paraId="11B2C985" w14:textId="7F666623" w:rsidR="00CC7065" w:rsidRPr="00760E4E" w:rsidRDefault="00CC7065" w:rsidP="00760E4E">
      <w:pPr>
        <w:pStyle w:val="paragraph"/>
        <w:spacing w:before="0" w:beforeAutospacing="0" w:after="0" w:afterAutospacing="0" w:line="276" w:lineRule="auto"/>
        <w:jc w:val="center"/>
        <w:textAlignment w:val="baseline"/>
        <w:rPr>
          <w:rFonts w:ascii="Tahoma" w:hAnsi="Tahoma" w:cs="Tahoma"/>
          <w:b/>
          <w:bCs/>
        </w:rPr>
      </w:pPr>
      <w:r w:rsidRPr="00760E4E">
        <w:rPr>
          <w:rStyle w:val="normaltextrun"/>
          <w:rFonts w:ascii="Tahoma" w:hAnsi="Tahoma" w:cs="Tahoma"/>
          <w:b/>
          <w:bCs/>
        </w:rPr>
        <w:t>PUNTO A TRATAR</w:t>
      </w:r>
    </w:p>
    <w:p w14:paraId="32FCA209" w14:textId="77777777" w:rsidR="00617E08" w:rsidRPr="00760E4E" w:rsidRDefault="00617E08" w:rsidP="00760E4E">
      <w:pPr>
        <w:spacing w:before="0" w:beforeAutospacing="0" w:after="0" w:afterAutospacing="0" w:line="276" w:lineRule="auto"/>
        <w:ind w:firstLine="708"/>
        <w:rPr>
          <w:rStyle w:val="normaltextrun"/>
          <w:rFonts w:ascii="Tahoma" w:hAnsi="Tahoma" w:cs="Tahoma"/>
        </w:rPr>
      </w:pPr>
    </w:p>
    <w:p w14:paraId="06AA2758" w14:textId="34E05D17" w:rsidR="00415842" w:rsidRPr="00760E4E" w:rsidRDefault="00CC7065" w:rsidP="00760E4E">
      <w:pPr>
        <w:spacing w:before="0" w:beforeAutospacing="0" w:after="0" w:afterAutospacing="0" w:line="276" w:lineRule="auto"/>
        <w:ind w:firstLine="708"/>
        <w:rPr>
          <w:rStyle w:val="normaltextrun"/>
          <w:rFonts w:ascii="Tahoma" w:hAnsi="Tahoma" w:cs="Tahoma"/>
        </w:rPr>
      </w:pPr>
      <w:r w:rsidRPr="00760E4E">
        <w:rPr>
          <w:rStyle w:val="normaltextrun"/>
          <w:rFonts w:ascii="Tahoma" w:hAnsi="Tahoma" w:cs="Tahoma"/>
        </w:rPr>
        <w:t>Por medio de esta providencia procede la Sala a</w:t>
      </w:r>
      <w:r w:rsidRPr="00760E4E">
        <w:rPr>
          <w:rFonts w:ascii="Tahoma" w:hAnsi="Tahoma" w:cs="Tahoma"/>
        </w:rPr>
        <w:t xml:space="preserve"> resolver el </w:t>
      </w:r>
      <w:r w:rsidR="00E75BE4" w:rsidRPr="00760E4E">
        <w:rPr>
          <w:rFonts w:ascii="Tahoma" w:hAnsi="Tahoma" w:cs="Tahoma"/>
        </w:rPr>
        <w:t xml:space="preserve">grado jurisdiccional de consulta </w:t>
      </w:r>
      <w:r w:rsidR="00767097" w:rsidRPr="00760E4E">
        <w:rPr>
          <w:rFonts w:ascii="Tahoma" w:hAnsi="Tahoma" w:cs="Tahoma"/>
        </w:rPr>
        <w:t>dispuesta</w:t>
      </w:r>
      <w:r w:rsidR="00E75BE4" w:rsidRPr="00760E4E">
        <w:rPr>
          <w:rFonts w:ascii="Tahoma" w:hAnsi="Tahoma" w:cs="Tahoma"/>
        </w:rPr>
        <w:t xml:space="preserve"> en favor de la Administradora Colombiana de Pensiones</w:t>
      </w:r>
      <w:r w:rsidR="00F46151" w:rsidRPr="00760E4E">
        <w:rPr>
          <w:rFonts w:ascii="Tahoma" w:hAnsi="Tahoma" w:cs="Tahoma"/>
        </w:rPr>
        <w:t xml:space="preserve">- </w:t>
      </w:r>
      <w:r w:rsidR="00E75BE4" w:rsidRPr="00760E4E">
        <w:rPr>
          <w:rFonts w:ascii="Tahoma" w:hAnsi="Tahoma" w:cs="Tahoma"/>
        </w:rPr>
        <w:t>Colpensiones</w:t>
      </w:r>
      <w:r w:rsidR="00824C87" w:rsidRPr="00760E4E">
        <w:rPr>
          <w:rFonts w:ascii="Tahoma" w:hAnsi="Tahoma" w:cs="Tahoma"/>
        </w:rPr>
        <w:t>, además del</w:t>
      </w:r>
      <w:r w:rsidR="000B758F" w:rsidRPr="00760E4E">
        <w:rPr>
          <w:rFonts w:ascii="Tahoma" w:hAnsi="Tahoma" w:cs="Tahoma"/>
        </w:rPr>
        <w:t xml:space="preserve"> recurso de apelación presentado por </w:t>
      </w:r>
      <w:r w:rsidR="00BE2E1F" w:rsidRPr="00760E4E">
        <w:rPr>
          <w:rFonts w:ascii="Tahoma" w:hAnsi="Tahoma" w:cs="Tahoma"/>
        </w:rPr>
        <w:t>la Administradora de Fondos de Pensiones y Cesantías Porvenir S.A</w:t>
      </w:r>
      <w:r w:rsidR="00097ED5" w:rsidRPr="00760E4E">
        <w:rPr>
          <w:rFonts w:ascii="Tahoma" w:hAnsi="Tahoma" w:cs="Tahoma"/>
        </w:rPr>
        <w:t>,</w:t>
      </w:r>
      <w:r w:rsidR="000B758F" w:rsidRPr="00760E4E">
        <w:rPr>
          <w:rFonts w:ascii="Tahoma" w:hAnsi="Tahoma" w:cs="Tahoma"/>
        </w:rPr>
        <w:t xml:space="preserve"> en contra de </w:t>
      </w:r>
      <w:r w:rsidR="00E75BE4" w:rsidRPr="00760E4E">
        <w:rPr>
          <w:rFonts w:ascii="Tahoma" w:hAnsi="Tahoma" w:cs="Tahoma"/>
        </w:rPr>
        <w:t xml:space="preserve">la sentencia proferida el </w:t>
      </w:r>
      <w:r w:rsidR="00BE2E1F" w:rsidRPr="00760E4E">
        <w:rPr>
          <w:rFonts w:ascii="Tahoma" w:hAnsi="Tahoma" w:cs="Tahoma"/>
        </w:rPr>
        <w:t>31</w:t>
      </w:r>
      <w:r w:rsidR="002304E9" w:rsidRPr="00760E4E">
        <w:rPr>
          <w:rFonts w:ascii="Tahoma" w:hAnsi="Tahoma" w:cs="Tahoma"/>
        </w:rPr>
        <w:t xml:space="preserve"> de </w:t>
      </w:r>
      <w:r w:rsidR="00BE2E1F" w:rsidRPr="00760E4E">
        <w:rPr>
          <w:rFonts w:ascii="Tahoma" w:hAnsi="Tahoma" w:cs="Tahoma"/>
        </w:rPr>
        <w:t>enero</w:t>
      </w:r>
      <w:r w:rsidR="00693DE0" w:rsidRPr="00760E4E">
        <w:rPr>
          <w:rFonts w:ascii="Tahoma" w:hAnsi="Tahoma" w:cs="Tahoma"/>
        </w:rPr>
        <w:t xml:space="preserve"> d</w:t>
      </w:r>
      <w:r w:rsidR="00E75BE4" w:rsidRPr="00760E4E">
        <w:rPr>
          <w:rFonts w:ascii="Tahoma" w:hAnsi="Tahoma" w:cs="Tahoma"/>
        </w:rPr>
        <w:t>e 202</w:t>
      </w:r>
      <w:r w:rsidR="00BE2E1F" w:rsidRPr="00760E4E">
        <w:rPr>
          <w:rFonts w:ascii="Tahoma" w:hAnsi="Tahoma" w:cs="Tahoma"/>
        </w:rPr>
        <w:t>3</w:t>
      </w:r>
      <w:r w:rsidR="00E75BE4" w:rsidRPr="00760E4E">
        <w:rPr>
          <w:rFonts w:ascii="Tahoma" w:hAnsi="Tahoma" w:cs="Tahoma"/>
        </w:rPr>
        <w:t xml:space="preserve"> por el Juzgado </w:t>
      </w:r>
      <w:r w:rsidR="00693DE0" w:rsidRPr="00760E4E">
        <w:rPr>
          <w:rFonts w:ascii="Tahoma" w:hAnsi="Tahoma" w:cs="Tahoma"/>
        </w:rPr>
        <w:t xml:space="preserve">Segundo </w:t>
      </w:r>
      <w:r w:rsidR="00E75BE4" w:rsidRPr="00760E4E">
        <w:rPr>
          <w:rFonts w:ascii="Tahoma" w:hAnsi="Tahoma" w:cs="Tahoma"/>
        </w:rPr>
        <w:t>Laboral del Circuito de Pereira</w:t>
      </w:r>
      <w:r w:rsidRPr="00760E4E">
        <w:rPr>
          <w:rFonts w:ascii="Tahoma" w:hAnsi="Tahoma" w:cs="Tahoma"/>
        </w:rPr>
        <w:t xml:space="preserve">. </w:t>
      </w:r>
      <w:r w:rsidRPr="00760E4E">
        <w:rPr>
          <w:rStyle w:val="normaltextrun"/>
          <w:rFonts w:ascii="Tahoma" w:hAnsi="Tahoma" w:cs="Tahoma"/>
        </w:rPr>
        <w:t>Para ello se tiene en cuenta lo siguiente: </w:t>
      </w:r>
    </w:p>
    <w:p w14:paraId="3C819565" w14:textId="47B2627E" w:rsidR="3436B114" w:rsidRPr="00760E4E" w:rsidRDefault="3436B114" w:rsidP="00760E4E">
      <w:pPr>
        <w:spacing w:before="0" w:beforeAutospacing="0" w:after="0" w:afterAutospacing="0" w:line="276" w:lineRule="auto"/>
        <w:ind w:firstLine="708"/>
        <w:rPr>
          <w:rStyle w:val="normaltextrun"/>
          <w:rFonts w:ascii="Tahoma" w:hAnsi="Tahoma" w:cs="Tahoma"/>
        </w:rPr>
      </w:pPr>
    </w:p>
    <w:p w14:paraId="614DD6DA" w14:textId="4D5CE5FB" w:rsidR="00CC3B17" w:rsidRPr="00760E4E" w:rsidRDefault="00CC3B17" w:rsidP="00760E4E">
      <w:pPr>
        <w:pStyle w:val="Sinespaciado"/>
        <w:spacing w:beforeAutospacing="0" w:afterAutospacing="0" w:line="276" w:lineRule="auto"/>
        <w:rPr>
          <w:rFonts w:ascii="Tahoma" w:hAnsi="Tahoma" w:cs="Tahoma"/>
        </w:rPr>
      </w:pPr>
    </w:p>
    <w:p w14:paraId="40C2E441" w14:textId="605EEB5E" w:rsidR="00415842" w:rsidRPr="00760E4E" w:rsidRDefault="005C136F" w:rsidP="00760E4E">
      <w:pPr>
        <w:pStyle w:val="Prrafodelista"/>
        <w:numPr>
          <w:ilvl w:val="0"/>
          <w:numId w:val="1"/>
        </w:numPr>
        <w:spacing w:line="276" w:lineRule="auto"/>
        <w:ind w:left="426" w:hanging="426"/>
        <w:jc w:val="center"/>
        <w:rPr>
          <w:rStyle w:val="normaltextrun"/>
          <w:rFonts w:cs="Tahoma"/>
          <w:b/>
          <w:bCs/>
          <w:szCs w:val="24"/>
        </w:rPr>
      </w:pPr>
      <w:r w:rsidRPr="00760E4E">
        <w:rPr>
          <w:rFonts w:cs="Tahoma"/>
          <w:b/>
          <w:bCs/>
          <w:szCs w:val="24"/>
        </w:rPr>
        <w:t xml:space="preserve">La </w:t>
      </w:r>
      <w:r w:rsidR="00415842" w:rsidRPr="00760E4E">
        <w:rPr>
          <w:rFonts w:cs="Tahoma"/>
          <w:b/>
          <w:bCs/>
          <w:szCs w:val="24"/>
        </w:rPr>
        <w:t xml:space="preserve">Demanda y </w:t>
      </w:r>
      <w:r w:rsidRPr="00760E4E">
        <w:rPr>
          <w:rFonts w:cs="Tahoma"/>
          <w:b/>
          <w:bCs/>
          <w:szCs w:val="24"/>
        </w:rPr>
        <w:t>la</w:t>
      </w:r>
      <w:r w:rsidR="00415842" w:rsidRPr="00760E4E">
        <w:rPr>
          <w:rFonts w:cs="Tahoma"/>
          <w:b/>
          <w:bCs/>
          <w:szCs w:val="24"/>
        </w:rPr>
        <w:t xml:space="preserve"> contestación</w:t>
      </w:r>
      <w:r w:rsidRPr="00760E4E">
        <w:rPr>
          <w:rFonts w:cs="Tahoma"/>
          <w:b/>
          <w:bCs/>
          <w:szCs w:val="24"/>
        </w:rPr>
        <w:t xml:space="preserve"> de la demanda</w:t>
      </w:r>
    </w:p>
    <w:p w14:paraId="417070AC" w14:textId="77777777" w:rsidR="00647E83" w:rsidRPr="00760E4E" w:rsidRDefault="00647E83" w:rsidP="00760E4E">
      <w:pPr>
        <w:spacing w:before="0" w:beforeAutospacing="0" w:after="0" w:afterAutospacing="0" w:line="276" w:lineRule="auto"/>
        <w:ind w:firstLine="708"/>
        <w:contextualSpacing/>
        <w:rPr>
          <w:rFonts w:ascii="Tahoma" w:eastAsia="Calibri" w:hAnsi="Tahoma" w:cs="Tahoma"/>
        </w:rPr>
      </w:pPr>
    </w:p>
    <w:p w14:paraId="4E8446E6" w14:textId="2332769A" w:rsidR="00721BFD" w:rsidRPr="00760E4E" w:rsidRDefault="00FD6841" w:rsidP="00760E4E">
      <w:pPr>
        <w:spacing w:before="0" w:beforeAutospacing="0" w:after="0" w:afterAutospacing="0" w:line="276" w:lineRule="auto"/>
        <w:rPr>
          <w:rFonts w:ascii="Tahoma" w:eastAsia="Times New Roman" w:hAnsi="Tahoma" w:cs="Tahoma"/>
          <w:lang w:eastAsia="es-MX"/>
        </w:rPr>
      </w:pPr>
      <w:r w:rsidRPr="00760E4E">
        <w:rPr>
          <w:rFonts w:ascii="Tahoma" w:eastAsia="Times New Roman" w:hAnsi="Tahoma" w:cs="Tahoma"/>
          <w:lang w:val="es-ES" w:eastAsia="es-MX"/>
        </w:rPr>
        <w:t>Pretende l</w:t>
      </w:r>
      <w:r w:rsidR="002304E9" w:rsidRPr="00760E4E">
        <w:rPr>
          <w:rFonts w:ascii="Tahoma" w:eastAsia="Times New Roman" w:hAnsi="Tahoma" w:cs="Tahoma"/>
          <w:lang w:val="es-ES" w:eastAsia="es-MX"/>
        </w:rPr>
        <w:t>a</w:t>
      </w:r>
      <w:r w:rsidRPr="00760E4E">
        <w:rPr>
          <w:rFonts w:ascii="Tahoma" w:eastAsia="Times New Roman" w:hAnsi="Tahoma" w:cs="Tahoma"/>
          <w:lang w:val="es-ES" w:eastAsia="es-MX"/>
        </w:rPr>
        <w:t xml:space="preserve"> promotor</w:t>
      </w:r>
      <w:r w:rsidR="002304E9" w:rsidRPr="00760E4E">
        <w:rPr>
          <w:rFonts w:ascii="Tahoma" w:eastAsia="Times New Roman" w:hAnsi="Tahoma" w:cs="Tahoma"/>
          <w:lang w:val="es-ES" w:eastAsia="es-MX"/>
        </w:rPr>
        <w:t>a</w:t>
      </w:r>
      <w:r w:rsidRPr="00760E4E">
        <w:rPr>
          <w:rFonts w:ascii="Tahoma" w:eastAsia="Times New Roman" w:hAnsi="Tahoma" w:cs="Tahoma"/>
          <w:lang w:val="es-ES" w:eastAsia="es-MX"/>
        </w:rPr>
        <w:t xml:space="preserve"> del litigio que se declare </w:t>
      </w:r>
      <w:r w:rsidR="006C00B2" w:rsidRPr="00760E4E">
        <w:rPr>
          <w:rFonts w:ascii="Tahoma" w:eastAsia="Times New Roman" w:hAnsi="Tahoma" w:cs="Tahoma"/>
          <w:lang w:val="es-ES" w:eastAsia="es-MX"/>
        </w:rPr>
        <w:t xml:space="preserve">la </w:t>
      </w:r>
      <w:r w:rsidR="00BC3ED8" w:rsidRPr="00760E4E">
        <w:rPr>
          <w:rFonts w:ascii="Tahoma" w:eastAsia="Times New Roman" w:hAnsi="Tahoma" w:cs="Tahoma"/>
          <w:lang w:val="es-ES" w:eastAsia="es-MX"/>
        </w:rPr>
        <w:t xml:space="preserve">ineficacia </w:t>
      </w:r>
      <w:r w:rsidR="006C00B2" w:rsidRPr="00760E4E">
        <w:rPr>
          <w:rFonts w:ascii="Tahoma" w:eastAsia="Times New Roman" w:hAnsi="Tahoma" w:cs="Tahoma"/>
          <w:lang w:val="es-ES" w:eastAsia="es-MX"/>
        </w:rPr>
        <w:t>de</w:t>
      </w:r>
      <w:r w:rsidR="003B2DE4" w:rsidRPr="00760E4E">
        <w:rPr>
          <w:rFonts w:ascii="Tahoma" w:eastAsia="Times New Roman" w:hAnsi="Tahoma" w:cs="Tahoma"/>
          <w:lang w:val="es-ES" w:eastAsia="es-MX"/>
        </w:rPr>
        <w:t xml:space="preserve">l traslado </w:t>
      </w:r>
      <w:r w:rsidR="006C00B2" w:rsidRPr="00760E4E">
        <w:rPr>
          <w:rFonts w:ascii="Tahoma" w:eastAsia="Times New Roman" w:hAnsi="Tahoma" w:cs="Tahoma"/>
          <w:lang w:val="es-ES" w:eastAsia="es-MX"/>
        </w:rPr>
        <w:t>del régimen de prima media con prestación definida (en adelante RPM) al régimen de ahorro individual con solidaridad (en adelante RAIS)</w:t>
      </w:r>
      <w:r w:rsidR="000F0F3D" w:rsidRPr="00760E4E">
        <w:rPr>
          <w:rFonts w:ascii="Tahoma" w:eastAsia="Times New Roman" w:hAnsi="Tahoma" w:cs="Tahoma"/>
          <w:lang w:val="es-ES" w:eastAsia="es-MX"/>
        </w:rPr>
        <w:t xml:space="preserve"> y que está vigente su afiliación a Colpensiones. En consecuencia, </w:t>
      </w:r>
      <w:r w:rsidR="00C06015" w:rsidRPr="00760E4E">
        <w:rPr>
          <w:rFonts w:ascii="Tahoma" w:eastAsia="Times New Roman" w:hAnsi="Tahoma" w:cs="Tahoma"/>
          <w:lang w:val="es-ES" w:eastAsia="es-MX"/>
        </w:rPr>
        <w:t>persigue</w:t>
      </w:r>
      <w:r w:rsidR="000F0F3D" w:rsidRPr="00760E4E">
        <w:rPr>
          <w:rFonts w:ascii="Tahoma" w:eastAsia="Times New Roman" w:hAnsi="Tahoma" w:cs="Tahoma"/>
          <w:lang w:val="es-ES" w:eastAsia="es-MX"/>
        </w:rPr>
        <w:t xml:space="preserve"> que</w:t>
      </w:r>
      <w:r w:rsidR="00EA43DA" w:rsidRPr="00760E4E">
        <w:rPr>
          <w:rFonts w:ascii="Tahoma" w:eastAsia="Times New Roman" w:hAnsi="Tahoma" w:cs="Tahoma"/>
          <w:lang w:val="es-ES" w:eastAsia="es-MX"/>
        </w:rPr>
        <w:t xml:space="preserve"> se conden</w:t>
      </w:r>
      <w:r w:rsidR="005C136F" w:rsidRPr="00760E4E">
        <w:rPr>
          <w:rFonts w:ascii="Tahoma" w:eastAsia="Times New Roman" w:hAnsi="Tahoma" w:cs="Tahoma"/>
          <w:lang w:val="es-ES" w:eastAsia="es-MX"/>
        </w:rPr>
        <w:t>e</w:t>
      </w:r>
      <w:r w:rsidR="00EA43DA" w:rsidRPr="00760E4E">
        <w:rPr>
          <w:rFonts w:ascii="Tahoma" w:eastAsia="Times New Roman" w:hAnsi="Tahoma" w:cs="Tahoma"/>
          <w:lang w:val="es-ES" w:eastAsia="es-MX"/>
        </w:rPr>
        <w:t xml:space="preserve"> a</w:t>
      </w:r>
      <w:r w:rsidR="002D0B5A" w:rsidRPr="00760E4E">
        <w:rPr>
          <w:rFonts w:ascii="Tahoma" w:eastAsia="Times New Roman" w:hAnsi="Tahoma" w:cs="Tahoma"/>
          <w:lang w:val="es-ES" w:eastAsia="es-MX"/>
        </w:rPr>
        <w:t xml:space="preserve"> </w:t>
      </w:r>
      <w:r w:rsidR="00BE2E1F" w:rsidRPr="00760E4E">
        <w:rPr>
          <w:rFonts w:ascii="Tahoma" w:eastAsia="Times New Roman" w:hAnsi="Tahoma" w:cs="Tahoma"/>
          <w:lang w:val="es-ES" w:eastAsia="es-MX"/>
        </w:rPr>
        <w:t>Porvenir</w:t>
      </w:r>
      <w:r w:rsidR="00651B6E" w:rsidRPr="00760E4E">
        <w:rPr>
          <w:rFonts w:ascii="Tahoma" w:eastAsia="Times New Roman" w:hAnsi="Tahoma" w:cs="Tahoma"/>
          <w:lang w:val="es-ES" w:eastAsia="es-MX"/>
        </w:rPr>
        <w:t xml:space="preserve"> S.A. </w:t>
      </w:r>
      <w:r w:rsidR="0050215A" w:rsidRPr="00760E4E">
        <w:rPr>
          <w:rFonts w:ascii="Tahoma" w:eastAsia="Times New Roman" w:hAnsi="Tahoma" w:cs="Tahoma"/>
          <w:lang w:val="es-ES" w:eastAsia="es-MX"/>
        </w:rPr>
        <w:t xml:space="preserve">a </w:t>
      </w:r>
      <w:r w:rsidR="00C06015" w:rsidRPr="00760E4E">
        <w:rPr>
          <w:rFonts w:ascii="Tahoma" w:eastAsia="Times New Roman" w:hAnsi="Tahoma" w:cs="Tahoma"/>
          <w:lang w:val="es-ES" w:eastAsia="es-MX"/>
        </w:rPr>
        <w:t xml:space="preserve">devolver todos los aportes recibidos, junto con sus rendimientos y cuotas de administración </w:t>
      </w:r>
      <w:r w:rsidR="00444A33" w:rsidRPr="00760E4E">
        <w:rPr>
          <w:rFonts w:ascii="Tahoma" w:eastAsia="Times New Roman" w:hAnsi="Tahoma" w:cs="Tahoma"/>
          <w:lang w:eastAsia="es-MX"/>
        </w:rPr>
        <w:t xml:space="preserve">a </w:t>
      </w:r>
      <w:r w:rsidR="00C06015" w:rsidRPr="00760E4E">
        <w:rPr>
          <w:rFonts w:ascii="Tahoma" w:eastAsia="Times New Roman" w:hAnsi="Tahoma" w:cs="Tahoma"/>
          <w:lang w:eastAsia="es-MX"/>
        </w:rPr>
        <w:t>Colpensiones.</w:t>
      </w:r>
    </w:p>
    <w:p w14:paraId="0B2055D5" w14:textId="77777777" w:rsidR="006C00B2" w:rsidRPr="00760E4E" w:rsidRDefault="006C00B2" w:rsidP="00760E4E">
      <w:pPr>
        <w:spacing w:before="0" w:beforeAutospacing="0" w:after="0" w:afterAutospacing="0" w:line="276" w:lineRule="auto"/>
        <w:ind w:firstLine="0"/>
        <w:rPr>
          <w:rFonts w:ascii="Tahoma" w:eastAsia="Times New Roman" w:hAnsi="Tahoma" w:cs="Tahoma"/>
          <w:lang w:val="es-ES" w:eastAsia="es-MX"/>
        </w:rPr>
      </w:pPr>
    </w:p>
    <w:p w14:paraId="657E8646" w14:textId="00606AFA" w:rsidR="002D0B5A" w:rsidRPr="00760E4E" w:rsidRDefault="006C00B2" w:rsidP="00760E4E">
      <w:pPr>
        <w:spacing w:before="0" w:beforeAutospacing="0" w:after="0" w:afterAutospacing="0" w:line="276" w:lineRule="auto"/>
        <w:ind w:firstLine="708"/>
        <w:rPr>
          <w:rFonts w:ascii="Tahoma" w:eastAsia="Times New Roman" w:hAnsi="Tahoma" w:cs="Tahoma"/>
          <w:lang w:val="es-ES" w:eastAsia="es-MX"/>
        </w:rPr>
      </w:pPr>
      <w:r w:rsidRPr="00760E4E">
        <w:rPr>
          <w:rFonts w:ascii="Tahoma" w:eastAsia="Times New Roman" w:hAnsi="Tahoma" w:cs="Tahoma"/>
          <w:lang w:val="es-ES" w:eastAsia="es-MX"/>
        </w:rPr>
        <w:t>En sustento de lo pretendido, relata</w:t>
      </w:r>
      <w:r w:rsidR="002D0B5A" w:rsidRPr="00760E4E">
        <w:rPr>
          <w:rFonts w:ascii="Tahoma" w:eastAsia="Times New Roman" w:hAnsi="Tahoma" w:cs="Tahoma"/>
          <w:lang w:val="es-ES" w:eastAsia="es-MX"/>
        </w:rPr>
        <w:t>, en síntesis,</w:t>
      </w:r>
      <w:r w:rsidRPr="00760E4E">
        <w:rPr>
          <w:rFonts w:ascii="Tahoma" w:eastAsia="Times New Roman" w:hAnsi="Tahoma" w:cs="Tahoma"/>
          <w:lang w:val="es-ES" w:eastAsia="es-MX"/>
        </w:rPr>
        <w:t xml:space="preserve"> </w:t>
      </w:r>
      <w:r w:rsidR="00444A33" w:rsidRPr="00760E4E">
        <w:rPr>
          <w:rFonts w:ascii="Tahoma" w:eastAsia="Times New Roman" w:hAnsi="Tahoma" w:cs="Tahoma"/>
          <w:lang w:val="es-ES" w:eastAsia="es-MX"/>
        </w:rPr>
        <w:t xml:space="preserve">que nació el </w:t>
      </w:r>
      <w:r w:rsidR="002D0B5A" w:rsidRPr="00760E4E">
        <w:rPr>
          <w:rFonts w:ascii="Tahoma" w:eastAsia="Times New Roman" w:hAnsi="Tahoma" w:cs="Tahoma"/>
          <w:lang w:val="es-ES" w:eastAsia="es-MX"/>
        </w:rPr>
        <w:t>0</w:t>
      </w:r>
      <w:r w:rsidR="002A69BB" w:rsidRPr="00760E4E">
        <w:rPr>
          <w:rFonts w:ascii="Tahoma" w:eastAsia="Times New Roman" w:hAnsi="Tahoma" w:cs="Tahoma"/>
          <w:lang w:val="es-ES" w:eastAsia="es-MX"/>
        </w:rPr>
        <w:t>7</w:t>
      </w:r>
      <w:r w:rsidR="002D0B5A" w:rsidRPr="00760E4E">
        <w:rPr>
          <w:rFonts w:ascii="Tahoma" w:eastAsia="Times New Roman" w:hAnsi="Tahoma" w:cs="Tahoma"/>
          <w:lang w:val="es-ES" w:eastAsia="es-MX"/>
        </w:rPr>
        <w:t xml:space="preserve"> de </w:t>
      </w:r>
      <w:r w:rsidR="002A69BB" w:rsidRPr="00760E4E">
        <w:rPr>
          <w:rFonts w:ascii="Tahoma" w:eastAsia="Times New Roman" w:hAnsi="Tahoma" w:cs="Tahoma"/>
          <w:lang w:val="es-ES" w:eastAsia="es-MX"/>
        </w:rPr>
        <w:t xml:space="preserve">abril </w:t>
      </w:r>
      <w:r w:rsidR="002D0B5A" w:rsidRPr="00760E4E">
        <w:rPr>
          <w:rFonts w:ascii="Tahoma" w:eastAsia="Times New Roman" w:hAnsi="Tahoma" w:cs="Tahoma"/>
          <w:lang w:val="es-ES" w:eastAsia="es-MX"/>
        </w:rPr>
        <w:t>de 196</w:t>
      </w:r>
      <w:r w:rsidR="002A69BB" w:rsidRPr="00760E4E">
        <w:rPr>
          <w:rFonts w:ascii="Tahoma" w:eastAsia="Times New Roman" w:hAnsi="Tahoma" w:cs="Tahoma"/>
          <w:lang w:val="es-ES" w:eastAsia="es-MX"/>
        </w:rPr>
        <w:t>4</w:t>
      </w:r>
      <w:r w:rsidR="00444A33" w:rsidRPr="00760E4E">
        <w:rPr>
          <w:rFonts w:ascii="Tahoma" w:eastAsia="Times New Roman" w:hAnsi="Tahoma" w:cs="Tahoma"/>
          <w:lang w:val="es-ES" w:eastAsia="es-MX"/>
        </w:rPr>
        <w:t>; que</w:t>
      </w:r>
      <w:r w:rsidR="00C06015" w:rsidRPr="00760E4E">
        <w:rPr>
          <w:rFonts w:ascii="Tahoma" w:eastAsia="Times New Roman" w:hAnsi="Tahoma" w:cs="Tahoma"/>
          <w:lang w:val="es-ES" w:eastAsia="es-MX"/>
        </w:rPr>
        <w:t xml:space="preserve"> </w:t>
      </w:r>
      <w:r w:rsidR="00444A33" w:rsidRPr="00760E4E">
        <w:rPr>
          <w:rFonts w:ascii="Tahoma" w:eastAsia="Times New Roman" w:hAnsi="Tahoma" w:cs="Tahoma"/>
          <w:lang w:val="es-ES" w:eastAsia="es-MX"/>
        </w:rPr>
        <w:t xml:space="preserve">se afilió por primera vez al </w:t>
      </w:r>
      <w:r w:rsidR="00C06015" w:rsidRPr="00760E4E">
        <w:rPr>
          <w:rFonts w:ascii="Tahoma" w:eastAsia="Times New Roman" w:hAnsi="Tahoma" w:cs="Tahoma"/>
          <w:lang w:val="es-ES" w:eastAsia="es-MX"/>
        </w:rPr>
        <w:t>RPM</w:t>
      </w:r>
      <w:r w:rsidR="00765D43" w:rsidRPr="00760E4E">
        <w:rPr>
          <w:rFonts w:ascii="Tahoma" w:eastAsia="Times New Roman" w:hAnsi="Tahoma" w:cs="Tahoma"/>
          <w:lang w:val="es-ES" w:eastAsia="es-MX"/>
        </w:rPr>
        <w:t xml:space="preserve"> </w:t>
      </w:r>
      <w:r w:rsidR="002A69BB" w:rsidRPr="00760E4E">
        <w:rPr>
          <w:rFonts w:ascii="Tahoma" w:eastAsia="Times New Roman" w:hAnsi="Tahoma" w:cs="Tahoma"/>
          <w:lang w:val="es-ES" w:eastAsia="es-MX"/>
        </w:rPr>
        <w:t>el 16 de noviembre de 1988 a través de CANAJAL</w:t>
      </w:r>
      <w:r w:rsidR="00C06015" w:rsidRPr="00760E4E">
        <w:rPr>
          <w:rFonts w:ascii="Tahoma" w:eastAsia="Times New Roman" w:hAnsi="Tahoma" w:cs="Tahoma"/>
          <w:lang w:val="es-ES" w:eastAsia="es-MX"/>
        </w:rPr>
        <w:t xml:space="preserve"> </w:t>
      </w:r>
      <w:r w:rsidR="00444A33" w:rsidRPr="00760E4E">
        <w:rPr>
          <w:rFonts w:ascii="Tahoma" w:eastAsia="Times New Roman" w:hAnsi="Tahoma" w:cs="Tahoma"/>
          <w:lang w:val="es-ES" w:eastAsia="es-MX"/>
        </w:rPr>
        <w:t xml:space="preserve">donde registró cotizaciones hasta </w:t>
      </w:r>
      <w:r w:rsidR="002A69BB" w:rsidRPr="00760E4E">
        <w:rPr>
          <w:rFonts w:ascii="Tahoma" w:eastAsia="Times New Roman" w:hAnsi="Tahoma" w:cs="Tahoma"/>
          <w:lang w:val="es-ES" w:eastAsia="es-MX"/>
        </w:rPr>
        <w:t>el 15 de noviembre de 1994</w:t>
      </w:r>
      <w:r w:rsidR="00C06015" w:rsidRPr="00760E4E">
        <w:rPr>
          <w:rFonts w:ascii="Tahoma" w:eastAsia="Times New Roman" w:hAnsi="Tahoma" w:cs="Tahoma"/>
          <w:lang w:val="es-ES" w:eastAsia="es-MX"/>
        </w:rPr>
        <w:t xml:space="preserve">, toda vez que el </w:t>
      </w:r>
      <w:r w:rsidR="002D0B5A" w:rsidRPr="00760E4E">
        <w:rPr>
          <w:rFonts w:ascii="Tahoma" w:eastAsia="Times New Roman" w:hAnsi="Tahoma" w:cs="Tahoma"/>
          <w:lang w:val="es-ES" w:eastAsia="es-MX"/>
        </w:rPr>
        <w:t>1</w:t>
      </w:r>
      <w:r w:rsidR="002A69BB" w:rsidRPr="00760E4E">
        <w:rPr>
          <w:rFonts w:ascii="Tahoma" w:eastAsia="Times New Roman" w:hAnsi="Tahoma" w:cs="Tahoma"/>
          <w:lang w:val="es-ES" w:eastAsia="es-MX"/>
        </w:rPr>
        <w:t>6</w:t>
      </w:r>
      <w:r w:rsidR="002D0B5A" w:rsidRPr="00760E4E">
        <w:rPr>
          <w:rFonts w:ascii="Tahoma" w:eastAsia="Times New Roman" w:hAnsi="Tahoma" w:cs="Tahoma"/>
          <w:lang w:val="es-ES" w:eastAsia="es-MX"/>
        </w:rPr>
        <w:t xml:space="preserve"> de </w:t>
      </w:r>
      <w:r w:rsidR="002A69BB" w:rsidRPr="00760E4E">
        <w:rPr>
          <w:rFonts w:ascii="Tahoma" w:eastAsia="Times New Roman" w:hAnsi="Tahoma" w:cs="Tahoma"/>
          <w:lang w:val="es-ES" w:eastAsia="es-MX"/>
        </w:rPr>
        <w:t xml:space="preserve">noviembre </w:t>
      </w:r>
      <w:r w:rsidR="002D0B5A" w:rsidRPr="00760E4E">
        <w:rPr>
          <w:rFonts w:ascii="Tahoma" w:eastAsia="Times New Roman" w:hAnsi="Tahoma" w:cs="Tahoma"/>
          <w:lang w:val="es-ES" w:eastAsia="es-MX"/>
        </w:rPr>
        <w:t>de 199</w:t>
      </w:r>
      <w:r w:rsidR="002A69BB" w:rsidRPr="00760E4E">
        <w:rPr>
          <w:rFonts w:ascii="Tahoma" w:eastAsia="Times New Roman" w:hAnsi="Tahoma" w:cs="Tahoma"/>
          <w:lang w:val="es-ES" w:eastAsia="es-MX"/>
        </w:rPr>
        <w:t>4</w:t>
      </w:r>
      <w:r w:rsidR="002B2FEF" w:rsidRPr="00760E4E">
        <w:rPr>
          <w:rFonts w:ascii="Tahoma" w:eastAsia="Times New Roman" w:hAnsi="Tahoma" w:cs="Tahoma"/>
          <w:lang w:val="es-ES" w:eastAsia="es-MX"/>
        </w:rPr>
        <w:t xml:space="preserve"> </w:t>
      </w:r>
      <w:r w:rsidR="00E8567A" w:rsidRPr="00760E4E">
        <w:rPr>
          <w:rFonts w:ascii="Tahoma" w:eastAsia="Times New Roman" w:hAnsi="Tahoma" w:cs="Tahoma"/>
          <w:lang w:val="es-ES" w:eastAsia="es-MX"/>
        </w:rPr>
        <w:t>suscribió formulario de afiliación a la AFP</w:t>
      </w:r>
      <w:r w:rsidR="002D0B5A" w:rsidRPr="00760E4E">
        <w:rPr>
          <w:rFonts w:ascii="Tahoma" w:eastAsia="Times New Roman" w:hAnsi="Tahoma" w:cs="Tahoma"/>
          <w:lang w:val="es-ES" w:eastAsia="es-MX"/>
        </w:rPr>
        <w:t xml:space="preserve"> </w:t>
      </w:r>
      <w:r w:rsidR="00C06015" w:rsidRPr="00760E4E">
        <w:rPr>
          <w:rFonts w:ascii="Tahoma" w:eastAsia="Times New Roman" w:hAnsi="Tahoma" w:cs="Tahoma"/>
          <w:lang w:val="es-ES" w:eastAsia="es-MX"/>
        </w:rPr>
        <w:t xml:space="preserve">Colfondos </w:t>
      </w:r>
      <w:r w:rsidR="006A0D79" w:rsidRPr="00760E4E">
        <w:rPr>
          <w:rFonts w:ascii="Tahoma" w:eastAsia="Times New Roman" w:hAnsi="Tahoma" w:cs="Tahoma"/>
          <w:lang w:val="es-ES" w:eastAsia="es-MX"/>
        </w:rPr>
        <w:t>S.A</w:t>
      </w:r>
      <w:r w:rsidR="00C040AE" w:rsidRPr="00760E4E">
        <w:rPr>
          <w:rFonts w:ascii="Tahoma" w:eastAsia="Times New Roman" w:hAnsi="Tahoma" w:cs="Tahoma"/>
          <w:lang w:val="es-ES" w:eastAsia="es-MX"/>
        </w:rPr>
        <w:t>., AFP en la que permaneció hasta el 4 de marzo de 2002</w:t>
      </w:r>
      <w:r w:rsidR="00C06015" w:rsidRPr="00760E4E">
        <w:rPr>
          <w:rFonts w:ascii="Tahoma" w:eastAsia="Times New Roman" w:hAnsi="Tahoma" w:cs="Tahoma"/>
          <w:lang w:val="es-ES" w:eastAsia="es-MX"/>
        </w:rPr>
        <w:t>, por cuanto e</w:t>
      </w:r>
      <w:r w:rsidR="00C040AE" w:rsidRPr="00760E4E">
        <w:rPr>
          <w:rFonts w:ascii="Tahoma" w:eastAsia="Times New Roman" w:hAnsi="Tahoma" w:cs="Tahoma"/>
          <w:lang w:val="es-ES" w:eastAsia="es-MX"/>
        </w:rPr>
        <w:t xml:space="preserve">l 5 de </w:t>
      </w:r>
      <w:r w:rsidR="00C06015" w:rsidRPr="00760E4E">
        <w:rPr>
          <w:rFonts w:ascii="Tahoma" w:eastAsia="Times New Roman" w:hAnsi="Tahoma" w:cs="Tahoma"/>
          <w:lang w:val="es-ES" w:eastAsia="es-MX"/>
        </w:rPr>
        <w:t>ese mismo mes y año</w:t>
      </w:r>
      <w:r w:rsidR="00C040AE" w:rsidRPr="00760E4E">
        <w:rPr>
          <w:rFonts w:ascii="Tahoma" w:eastAsia="Times New Roman" w:hAnsi="Tahoma" w:cs="Tahoma"/>
          <w:lang w:val="es-ES" w:eastAsia="es-MX"/>
        </w:rPr>
        <w:t xml:space="preserve"> se trasladó a </w:t>
      </w:r>
      <w:r w:rsidR="00B6320C" w:rsidRPr="00760E4E">
        <w:rPr>
          <w:rFonts w:ascii="Tahoma" w:eastAsia="Times New Roman" w:hAnsi="Tahoma" w:cs="Tahoma"/>
          <w:lang w:val="es-ES" w:eastAsia="es-MX"/>
        </w:rPr>
        <w:t>H</w:t>
      </w:r>
      <w:r w:rsidR="00C06015" w:rsidRPr="00760E4E">
        <w:rPr>
          <w:rFonts w:ascii="Tahoma" w:eastAsia="Times New Roman" w:hAnsi="Tahoma" w:cs="Tahoma"/>
          <w:lang w:val="es-ES" w:eastAsia="es-MX"/>
        </w:rPr>
        <w:t xml:space="preserve">orizonte </w:t>
      </w:r>
      <w:r w:rsidR="002D057E" w:rsidRPr="00760E4E">
        <w:rPr>
          <w:rFonts w:ascii="Tahoma" w:eastAsia="Times New Roman" w:hAnsi="Tahoma" w:cs="Tahoma"/>
          <w:lang w:val="es-ES" w:eastAsia="es-MX"/>
        </w:rPr>
        <w:t>en l</w:t>
      </w:r>
      <w:r w:rsidR="00C06015" w:rsidRPr="00760E4E">
        <w:rPr>
          <w:rFonts w:ascii="Tahoma" w:eastAsia="Times New Roman" w:hAnsi="Tahoma" w:cs="Tahoma"/>
          <w:lang w:val="es-ES" w:eastAsia="es-MX"/>
        </w:rPr>
        <w:t>a</w:t>
      </w:r>
      <w:r w:rsidR="002D057E" w:rsidRPr="00760E4E">
        <w:rPr>
          <w:rFonts w:ascii="Tahoma" w:eastAsia="Times New Roman" w:hAnsi="Tahoma" w:cs="Tahoma"/>
          <w:lang w:val="es-ES" w:eastAsia="es-MX"/>
        </w:rPr>
        <w:t xml:space="preserve"> cual permaneció hasta el 31 de diciembre de 2013, debido a que desde el día 1 de enero de 2014 </w:t>
      </w:r>
      <w:r w:rsidR="00C06015" w:rsidRPr="00760E4E">
        <w:rPr>
          <w:rFonts w:ascii="Tahoma" w:eastAsia="Times New Roman" w:hAnsi="Tahoma" w:cs="Tahoma"/>
          <w:lang w:val="es-ES" w:eastAsia="es-MX"/>
        </w:rPr>
        <w:t>h</w:t>
      </w:r>
      <w:r w:rsidR="002D057E" w:rsidRPr="00760E4E">
        <w:rPr>
          <w:rFonts w:ascii="Tahoma" w:eastAsia="Times New Roman" w:hAnsi="Tahoma" w:cs="Tahoma"/>
          <w:lang w:val="es-ES" w:eastAsia="es-MX"/>
        </w:rPr>
        <w:t xml:space="preserve">a permanecido afiliada a Porvenir S.A, </w:t>
      </w:r>
      <w:r w:rsidR="00C06015" w:rsidRPr="00760E4E">
        <w:rPr>
          <w:rFonts w:ascii="Tahoma" w:eastAsia="Times New Roman" w:hAnsi="Tahoma" w:cs="Tahoma"/>
          <w:lang w:val="es-ES" w:eastAsia="es-MX"/>
        </w:rPr>
        <w:t xml:space="preserve">por la fusión que operó entre las últimas dos AFP mencionadas. </w:t>
      </w:r>
    </w:p>
    <w:p w14:paraId="0101C97F" w14:textId="77777777" w:rsidR="00D37814" w:rsidRPr="00760E4E" w:rsidRDefault="00D37814" w:rsidP="00760E4E">
      <w:pPr>
        <w:spacing w:before="0" w:beforeAutospacing="0" w:after="0" w:afterAutospacing="0" w:line="276" w:lineRule="auto"/>
        <w:ind w:firstLine="708"/>
        <w:rPr>
          <w:rFonts w:ascii="Tahoma" w:eastAsia="Times New Roman" w:hAnsi="Tahoma" w:cs="Tahoma"/>
          <w:lang w:val="es-ES" w:eastAsia="es-MX"/>
        </w:rPr>
      </w:pPr>
    </w:p>
    <w:p w14:paraId="56830969" w14:textId="407E8DC2" w:rsidR="00D37814" w:rsidRPr="00760E4E" w:rsidRDefault="00D37814" w:rsidP="00760E4E">
      <w:pPr>
        <w:spacing w:before="0" w:beforeAutospacing="0" w:after="0" w:afterAutospacing="0" w:line="276" w:lineRule="auto"/>
        <w:ind w:firstLine="708"/>
        <w:rPr>
          <w:rFonts w:ascii="Tahoma" w:eastAsia="Times New Roman" w:hAnsi="Tahoma" w:cs="Tahoma"/>
          <w:lang w:val="es-ES" w:eastAsia="es-MX"/>
        </w:rPr>
      </w:pPr>
      <w:r w:rsidRPr="00760E4E">
        <w:rPr>
          <w:rFonts w:ascii="Tahoma" w:eastAsia="Times New Roman" w:hAnsi="Tahoma" w:cs="Tahoma"/>
          <w:lang w:val="es-ES" w:eastAsia="es-MX"/>
        </w:rPr>
        <w:lastRenderedPageBreak/>
        <w:t>Relata, que el asesor que gestionó su traslado le indicó que CANAJAL se iba a acabar, además que al trasladarse al RAIS podría obtener mejores beneficios, como pensionarse en cualquier tiempo al no ser necesario el cumplimiento de la edad</w:t>
      </w:r>
      <w:r w:rsidR="00C06015" w:rsidRPr="00760E4E">
        <w:rPr>
          <w:rFonts w:ascii="Tahoma" w:eastAsia="Times New Roman" w:hAnsi="Tahoma" w:cs="Tahoma"/>
          <w:lang w:val="es-ES" w:eastAsia="es-MX"/>
        </w:rPr>
        <w:t xml:space="preserve">, sin informarle a cuanto debía ascender el saldo de su ahorro individual en aras de alcanzar una pensión anticipada, ni tampoco </w:t>
      </w:r>
      <w:r w:rsidRPr="00760E4E">
        <w:rPr>
          <w:rFonts w:ascii="Tahoma" w:eastAsia="Times New Roman" w:hAnsi="Tahoma" w:cs="Tahoma"/>
          <w:lang w:val="es-ES" w:eastAsia="es-MX"/>
        </w:rPr>
        <w:t>acerca de las posibles desventajas que podría acarrear el trasladarse de régimen pensional, que le permitiese tomar una decisión que se ajustará a sus aspiraciones pensionales</w:t>
      </w:r>
      <w:r w:rsidR="00C06015" w:rsidRPr="00760E4E">
        <w:rPr>
          <w:rFonts w:ascii="Tahoma" w:eastAsia="Times New Roman" w:hAnsi="Tahoma" w:cs="Tahoma"/>
          <w:lang w:val="es-ES" w:eastAsia="es-MX"/>
        </w:rPr>
        <w:t>.</w:t>
      </w:r>
    </w:p>
    <w:p w14:paraId="7C73FA31" w14:textId="085220DE" w:rsidR="008E374B" w:rsidRPr="00760E4E" w:rsidRDefault="008E374B" w:rsidP="00760E4E">
      <w:pPr>
        <w:spacing w:before="0" w:beforeAutospacing="0" w:after="0" w:afterAutospacing="0" w:line="276" w:lineRule="auto"/>
        <w:ind w:firstLine="708"/>
        <w:rPr>
          <w:rFonts w:ascii="Tahoma" w:eastAsia="Times New Roman" w:hAnsi="Tahoma" w:cs="Tahoma"/>
          <w:lang w:val="es-ES" w:eastAsia="es-MX"/>
        </w:rPr>
      </w:pPr>
    </w:p>
    <w:p w14:paraId="7DACAF21" w14:textId="533F2766" w:rsidR="002D0B5A" w:rsidRPr="00760E4E" w:rsidRDefault="008E374B" w:rsidP="00760E4E">
      <w:pPr>
        <w:spacing w:before="0" w:beforeAutospacing="0" w:after="0" w:afterAutospacing="0" w:line="276" w:lineRule="auto"/>
        <w:ind w:firstLine="708"/>
        <w:rPr>
          <w:rFonts w:ascii="Tahoma" w:eastAsia="Times New Roman" w:hAnsi="Tahoma" w:cs="Tahoma"/>
          <w:lang w:val="es-ES" w:eastAsia="es-MX"/>
        </w:rPr>
      </w:pPr>
      <w:r w:rsidRPr="00760E4E">
        <w:rPr>
          <w:rFonts w:ascii="Tahoma" w:eastAsia="Times New Roman" w:hAnsi="Tahoma" w:cs="Tahoma"/>
          <w:lang w:val="es-ES" w:eastAsia="es-MX"/>
        </w:rPr>
        <w:t xml:space="preserve">En esa misma </w:t>
      </w:r>
      <w:r w:rsidR="0017597C" w:rsidRPr="00760E4E">
        <w:rPr>
          <w:rFonts w:ascii="Tahoma" w:eastAsia="Times New Roman" w:hAnsi="Tahoma" w:cs="Tahoma"/>
          <w:lang w:val="es-ES" w:eastAsia="es-MX"/>
        </w:rPr>
        <w:t>línea</w:t>
      </w:r>
      <w:r w:rsidR="00C06015" w:rsidRPr="00760E4E">
        <w:rPr>
          <w:rFonts w:ascii="Tahoma" w:eastAsia="Times New Roman" w:hAnsi="Tahoma" w:cs="Tahoma"/>
          <w:lang w:val="es-ES" w:eastAsia="es-MX"/>
        </w:rPr>
        <w:t>,</w:t>
      </w:r>
      <w:r w:rsidR="0017597C" w:rsidRPr="00760E4E">
        <w:rPr>
          <w:rFonts w:ascii="Tahoma" w:eastAsia="Times New Roman" w:hAnsi="Tahoma" w:cs="Tahoma"/>
          <w:lang w:val="es-ES" w:eastAsia="es-MX"/>
        </w:rPr>
        <w:t xml:space="preserve"> </w:t>
      </w:r>
      <w:r w:rsidRPr="00760E4E">
        <w:rPr>
          <w:rFonts w:ascii="Tahoma" w:eastAsia="Times New Roman" w:hAnsi="Tahoma" w:cs="Tahoma"/>
          <w:lang w:val="es-ES" w:eastAsia="es-MX"/>
        </w:rPr>
        <w:t>señala que durante el tiempo de estadía dentro del RAIS nunca se le presentaron proyecciones financieras que le permitieran hacer una comparación respecto del monto pensional otorgado en ambos regímenes, además</w:t>
      </w:r>
      <w:r w:rsidR="75B7E74A" w:rsidRPr="00760E4E">
        <w:rPr>
          <w:rFonts w:ascii="Tahoma" w:eastAsia="Times New Roman" w:hAnsi="Tahoma" w:cs="Tahoma"/>
          <w:lang w:val="es-ES" w:eastAsia="es-MX"/>
        </w:rPr>
        <w:t xml:space="preserve">, </w:t>
      </w:r>
      <w:r w:rsidRPr="00760E4E">
        <w:rPr>
          <w:rFonts w:ascii="Tahoma" w:eastAsia="Times New Roman" w:hAnsi="Tahoma" w:cs="Tahoma"/>
          <w:lang w:val="es-ES" w:eastAsia="es-MX"/>
        </w:rPr>
        <w:t xml:space="preserve">jamás </w:t>
      </w:r>
      <w:r w:rsidR="00C06015" w:rsidRPr="00760E4E">
        <w:rPr>
          <w:rFonts w:ascii="Tahoma" w:eastAsia="Times New Roman" w:hAnsi="Tahoma" w:cs="Tahoma"/>
          <w:lang w:val="es-ES" w:eastAsia="es-MX"/>
        </w:rPr>
        <w:t>se le suministró</w:t>
      </w:r>
      <w:r w:rsidRPr="00760E4E">
        <w:rPr>
          <w:rFonts w:ascii="Tahoma" w:eastAsia="Times New Roman" w:hAnsi="Tahoma" w:cs="Tahoma"/>
          <w:lang w:val="es-ES" w:eastAsia="es-MX"/>
        </w:rPr>
        <w:t xml:space="preserve"> información sobre la posibilidad de trasladarse al RPM administrado por</w:t>
      </w:r>
      <w:r w:rsidR="00B60734" w:rsidRPr="00760E4E">
        <w:rPr>
          <w:rFonts w:ascii="Tahoma" w:eastAsia="Times New Roman" w:hAnsi="Tahoma" w:cs="Tahoma"/>
          <w:lang w:val="es-ES" w:eastAsia="es-MX"/>
        </w:rPr>
        <w:t xml:space="preserve"> </w:t>
      </w:r>
      <w:r w:rsidRPr="00760E4E">
        <w:rPr>
          <w:rFonts w:ascii="Tahoma" w:eastAsia="Times New Roman" w:hAnsi="Tahoma" w:cs="Tahoma"/>
          <w:lang w:val="es-ES" w:eastAsia="es-MX"/>
        </w:rPr>
        <w:t xml:space="preserve">el ISS hoy </w:t>
      </w:r>
      <w:r w:rsidR="00C06015" w:rsidRPr="00760E4E">
        <w:rPr>
          <w:rFonts w:ascii="Tahoma" w:eastAsia="Times New Roman" w:hAnsi="Tahoma" w:cs="Tahoma"/>
          <w:lang w:val="es-ES" w:eastAsia="es-MX"/>
        </w:rPr>
        <w:t>Colpensiones</w:t>
      </w:r>
      <w:r w:rsidRPr="00760E4E">
        <w:rPr>
          <w:rFonts w:ascii="Tahoma" w:eastAsia="Times New Roman" w:hAnsi="Tahoma" w:cs="Tahoma"/>
          <w:lang w:val="es-ES" w:eastAsia="es-MX"/>
        </w:rPr>
        <w:t>, en especial los años anteriores al cumplimiento de la edad máxima de traslado</w:t>
      </w:r>
      <w:r w:rsidR="00B60734" w:rsidRPr="00760E4E">
        <w:rPr>
          <w:rFonts w:ascii="Tahoma" w:eastAsia="Times New Roman" w:hAnsi="Tahoma" w:cs="Tahoma"/>
          <w:lang w:val="es-ES" w:eastAsia="es-MX"/>
        </w:rPr>
        <w:t xml:space="preserve">. </w:t>
      </w:r>
    </w:p>
    <w:p w14:paraId="12867593" w14:textId="77777777" w:rsidR="00C06015" w:rsidRPr="00760E4E" w:rsidRDefault="00C06015" w:rsidP="00760E4E">
      <w:pPr>
        <w:spacing w:before="0" w:beforeAutospacing="0" w:after="0" w:afterAutospacing="0" w:line="276" w:lineRule="auto"/>
        <w:ind w:firstLine="708"/>
        <w:rPr>
          <w:rFonts w:ascii="Tahoma" w:eastAsia="Times New Roman" w:hAnsi="Tahoma" w:cs="Tahoma"/>
          <w:lang w:val="es-ES" w:eastAsia="es-MX"/>
        </w:rPr>
      </w:pPr>
    </w:p>
    <w:p w14:paraId="5227CAB9" w14:textId="197BDFF0" w:rsidR="00B60734" w:rsidRPr="00760E4E" w:rsidRDefault="00B469DC" w:rsidP="00760E4E">
      <w:pPr>
        <w:spacing w:before="0" w:beforeAutospacing="0" w:after="0" w:afterAutospacing="0" w:line="276" w:lineRule="auto"/>
        <w:ind w:firstLine="708"/>
        <w:rPr>
          <w:rFonts w:ascii="Tahoma" w:eastAsia="Times New Roman" w:hAnsi="Tahoma" w:cs="Tahoma"/>
          <w:lang w:val="es-ES" w:eastAsia="es-MX"/>
        </w:rPr>
      </w:pPr>
      <w:r w:rsidRPr="00760E4E">
        <w:rPr>
          <w:rFonts w:ascii="Tahoma" w:eastAsia="Times New Roman" w:hAnsi="Tahoma" w:cs="Tahoma"/>
          <w:lang w:val="es-ES" w:eastAsia="es-MX"/>
        </w:rPr>
        <w:t xml:space="preserve">Agrega que el </w:t>
      </w:r>
      <w:r w:rsidR="002D0B5A" w:rsidRPr="00760E4E">
        <w:rPr>
          <w:rFonts w:ascii="Tahoma" w:eastAsia="Times New Roman" w:hAnsi="Tahoma" w:cs="Tahoma"/>
          <w:lang w:val="es-ES" w:eastAsia="es-MX"/>
        </w:rPr>
        <w:t>0</w:t>
      </w:r>
      <w:r w:rsidR="00B954A3" w:rsidRPr="00760E4E">
        <w:rPr>
          <w:rFonts w:ascii="Tahoma" w:eastAsia="Times New Roman" w:hAnsi="Tahoma" w:cs="Tahoma"/>
          <w:lang w:val="es-ES" w:eastAsia="es-MX"/>
        </w:rPr>
        <w:t>3</w:t>
      </w:r>
      <w:r w:rsidR="002D0B5A" w:rsidRPr="00760E4E">
        <w:rPr>
          <w:rFonts w:ascii="Tahoma" w:eastAsia="Times New Roman" w:hAnsi="Tahoma" w:cs="Tahoma"/>
          <w:lang w:val="es-ES" w:eastAsia="es-MX"/>
        </w:rPr>
        <w:t xml:space="preserve"> de </w:t>
      </w:r>
      <w:r w:rsidR="00B954A3" w:rsidRPr="00760E4E">
        <w:rPr>
          <w:rFonts w:ascii="Tahoma" w:eastAsia="Times New Roman" w:hAnsi="Tahoma" w:cs="Tahoma"/>
          <w:lang w:val="es-ES" w:eastAsia="es-MX"/>
        </w:rPr>
        <w:t>abril</w:t>
      </w:r>
      <w:r w:rsidR="002D0B5A" w:rsidRPr="00760E4E">
        <w:rPr>
          <w:rFonts w:ascii="Tahoma" w:eastAsia="Times New Roman" w:hAnsi="Tahoma" w:cs="Tahoma"/>
          <w:lang w:val="es-ES" w:eastAsia="es-MX"/>
        </w:rPr>
        <w:t xml:space="preserve"> de 201</w:t>
      </w:r>
      <w:r w:rsidR="00B954A3" w:rsidRPr="00760E4E">
        <w:rPr>
          <w:rFonts w:ascii="Tahoma" w:eastAsia="Times New Roman" w:hAnsi="Tahoma" w:cs="Tahoma"/>
          <w:lang w:val="es-ES" w:eastAsia="es-MX"/>
        </w:rPr>
        <w:t>7</w:t>
      </w:r>
      <w:r w:rsidR="00AB6641" w:rsidRPr="00760E4E">
        <w:rPr>
          <w:rFonts w:ascii="Tahoma" w:eastAsia="Times New Roman" w:hAnsi="Tahoma" w:cs="Tahoma"/>
          <w:lang w:val="es-ES" w:eastAsia="es-MX"/>
        </w:rPr>
        <w:t xml:space="preserve"> </w:t>
      </w:r>
      <w:r w:rsidR="00C06015" w:rsidRPr="00760E4E">
        <w:rPr>
          <w:rFonts w:ascii="Tahoma" w:eastAsia="Times New Roman" w:hAnsi="Tahoma" w:cs="Tahoma"/>
          <w:lang w:val="es-ES" w:eastAsia="es-MX"/>
        </w:rPr>
        <w:t xml:space="preserve">Colpensiones </w:t>
      </w:r>
      <w:r w:rsidR="00AB6641" w:rsidRPr="00760E4E">
        <w:rPr>
          <w:rFonts w:ascii="Tahoma" w:eastAsia="Times New Roman" w:hAnsi="Tahoma" w:cs="Tahoma"/>
          <w:lang w:val="es-ES" w:eastAsia="es-MX"/>
        </w:rPr>
        <w:t>le negó la solicitud de traslado, argumentando que se encontraba a diez o menos años del requisito de tiempo para pensionarse</w:t>
      </w:r>
      <w:r w:rsidR="00C06015" w:rsidRPr="00760E4E">
        <w:rPr>
          <w:rFonts w:ascii="Tahoma" w:eastAsia="Times New Roman" w:hAnsi="Tahoma" w:cs="Tahoma"/>
          <w:lang w:val="es-ES" w:eastAsia="es-MX"/>
        </w:rPr>
        <w:t xml:space="preserve">, lo cual fue igualmente contestado </w:t>
      </w:r>
      <w:r w:rsidR="00B60734" w:rsidRPr="00760E4E">
        <w:rPr>
          <w:rFonts w:ascii="Tahoma" w:eastAsia="Times New Roman" w:hAnsi="Tahoma" w:cs="Tahoma"/>
          <w:lang w:val="es-ES" w:eastAsia="es-MX"/>
        </w:rPr>
        <w:t xml:space="preserve">el 20 de mayo de 2021 </w:t>
      </w:r>
      <w:r w:rsidR="00C06015" w:rsidRPr="00760E4E">
        <w:rPr>
          <w:rFonts w:ascii="Tahoma" w:eastAsia="Times New Roman" w:hAnsi="Tahoma" w:cs="Tahoma"/>
          <w:lang w:val="es-ES" w:eastAsia="es-MX"/>
        </w:rPr>
        <w:t xml:space="preserve">por Colfondos </w:t>
      </w:r>
      <w:r w:rsidR="00B60734" w:rsidRPr="00760E4E">
        <w:rPr>
          <w:rFonts w:ascii="Tahoma" w:eastAsia="Times New Roman" w:hAnsi="Tahoma" w:cs="Tahoma"/>
          <w:lang w:val="es-ES" w:eastAsia="es-MX"/>
        </w:rPr>
        <w:t xml:space="preserve">S.A. </w:t>
      </w:r>
    </w:p>
    <w:p w14:paraId="17723503" w14:textId="13686D0A" w:rsidR="005E14A1" w:rsidRPr="00760E4E" w:rsidRDefault="005E14A1" w:rsidP="00760E4E">
      <w:pPr>
        <w:spacing w:before="0" w:beforeAutospacing="0" w:after="0" w:afterAutospacing="0" w:line="276" w:lineRule="auto"/>
        <w:ind w:firstLine="0"/>
        <w:rPr>
          <w:rFonts w:ascii="Tahoma" w:eastAsia="Times New Roman" w:hAnsi="Tahoma" w:cs="Tahoma"/>
          <w:i/>
          <w:iCs/>
          <w:lang w:val="es-ES" w:eastAsia="es-MX"/>
        </w:rPr>
      </w:pPr>
    </w:p>
    <w:p w14:paraId="1BA20CEF" w14:textId="378F4B67" w:rsidR="00981BC3" w:rsidRPr="00760E4E" w:rsidRDefault="00981BC3" w:rsidP="00760E4E">
      <w:pPr>
        <w:spacing w:before="0" w:beforeAutospacing="0" w:after="0" w:afterAutospacing="0" w:line="276" w:lineRule="auto"/>
        <w:ind w:firstLine="708"/>
        <w:contextualSpacing/>
        <w:rPr>
          <w:rFonts w:ascii="Tahoma" w:hAnsi="Tahoma" w:cs="Tahoma"/>
          <w:i/>
          <w:iCs/>
        </w:rPr>
      </w:pPr>
      <w:r w:rsidRPr="00760E4E">
        <w:rPr>
          <w:rFonts w:ascii="Tahoma" w:eastAsia="Calibri" w:hAnsi="Tahoma" w:cs="Tahoma"/>
          <w:b/>
          <w:bCs/>
        </w:rPr>
        <w:t>COLFONDOS S.A. PENSIONES Y CESANTÍAS</w:t>
      </w:r>
      <w:r w:rsidR="008D2E27" w:rsidRPr="00760E4E">
        <w:rPr>
          <w:rFonts w:ascii="Tahoma" w:hAnsi="Tahoma" w:cs="Tahoma"/>
          <w:caps/>
        </w:rPr>
        <w:t xml:space="preserve">, </w:t>
      </w:r>
      <w:r w:rsidR="00E86A5E" w:rsidRPr="00760E4E">
        <w:rPr>
          <w:rFonts w:ascii="Tahoma" w:hAnsi="Tahoma" w:cs="Tahoma"/>
        </w:rPr>
        <w:t>se opuso a las pretensiones</w:t>
      </w:r>
      <w:r w:rsidR="008D2E27" w:rsidRPr="00760E4E">
        <w:rPr>
          <w:rFonts w:ascii="Tahoma" w:hAnsi="Tahoma" w:cs="Tahoma"/>
        </w:rPr>
        <w:t xml:space="preserve"> de la demanda,</w:t>
      </w:r>
      <w:r w:rsidR="00E86A5E" w:rsidRPr="00760E4E">
        <w:rPr>
          <w:rFonts w:ascii="Tahoma" w:hAnsi="Tahoma" w:cs="Tahoma"/>
        </w:rPr>
        <w:t xml:space="preserve"> </w:t>
      </w:r>
      <w:r w:rsidR="00E86A5E" w:rsidRPr="00760E4E">
        <w:rPr>
          <w:rStyle w:val="Textoennegrita"/>
          <w:rFonts w:ascii="Tahoma" w:hAnsi="Tahoma" w:cs="Tahoma"/>
          <w:b w:val="0"/>
          <w:bCs w:val="0"/>
          <w:lang w:val="es-ES" w:eastAsia="es-MX"/>
        </w:rPr>
        <w:t>argumentando que brindó una asesoría completa respecto de las implicaciones, beneficios y desventajas del régimen de ahorro individual y la rentabilidad que se genera en el régimen, además de que, la vinculación de la actora a la AFP se llevó a cabo de manera voluntaria, libre de vicios</w:t>
      </w:r>
      <w:r w:rsidR="00297A4E" w:rsidRPr="00760E4E">
        <w:rPr>
          <w:rStyle w:val="Textoennegrita"/>
          <w:rFonts w:ascii="Tahoma" w:hAnsi="Tahoma" w:cs="Tahoma"/>
          <w:b w:val="0"/>
          <w:bCs w:val="0"/>
          <w:lang w:val="es-ES" w:eastAsia="es-MX"/>
        </w:rPr>
        <w:t xml:space="preserve">, </w:t>
      </w:r>
      <w:r w:rsidR="007670C4" w:rsidRPr="00760E4E">
        <w:rPr>
          <w:rStyle w:val="Textoennegrita"/>
          <w:rFonts w:ascii="Tahoma" w:hAnsi="Tahoma" w:cs="Tahoma"/>
          <w:b w:val="0"/>
          <w:bCs w:val="0"/>
          <w:lang w:val="es-ES" w:eastAsia="es-MX"/>
        </w:rPr>
        <w:t>siendo</w:t>
      </w:r>
      <w:r w:rsidR="00297A4E" w:rsidRPr="00760E4E">
        <w:rPr>
          <w:rStyle w:val="Textoennegrita"/>
          <w:rFonts w:ascii="Tahoma" w:hAnsi="Tahoma" w:cs="Tahoma"/>
          <w:b w:val="0"/>
          <w:bCs w:val="0"/>
          <w:lang w:val="es-ES" w:eastAsia="es-MX"/>
        </w:rPr>
        <w:t xml:space="preserve"> evidente que la firma de la demandante </w:t>
      </w:r>
      <w:r w:rsidR="00F46151" w:rsidRPr="00760E4E">
        <w:rPr>
          <w:rStyle w:val="Textoennegrita"/>
          <w:rFonts w:ascii="Tahoma" w:hAnsi="Tahoma" w:cs="Tahoma"/>
          <w:b w:val="0"/>
          <w:bCs w:val="0"/>
          <w:lang w:val="es-ES" w:eastAsia="es-MX"/>
        </w:rPr>
        <w:t>está</w:t>
      </w:r>
      <w:r w:rsidR="00297A4E" w:rsidRPr="00760E4E">
        <w:rPr>
          <w:rStyle w:val="Textoennegrita"/>
          <w:rFonts w:ascii="Tahoma" w:hAnsi="Tahoma" w:cs="Tahoma"/>
          <w:b w:val="0"/>
          <w:bCs w:val="0"/>
          <w:lang w:val="es-ES" w:eastAsia="es-MX"/>
        </w:rPr>
        <w:t xml:space="preserve"> en los formularios de </w:t>
      </w:r>
      <w:r w:rsidR="007C4897" w:rsidRPr="00760E4E">
        <w:rPr>
          <w:rStyle w:val="Textoennegrita"/>
          <w:rFonts w:ascii="Tahoma" w:hAnsi="Tahoma" w:cs="Tahoma"/>
          <w:b w:val="0"/>
          <w:bCs w:val="0"/>
          <w:lang w:val="es-ES" w:eastAsia="es-MX"/>
        </w:rPr>
        <w:t xml:space="preserve">afiliación suscritos, por lo cual la afiliación es totalmente válida. </w:t>
      </w:r>
      <w:r w:rsidR="0070152A" w:rsidRPr="00760E4E">
        <w:rPr>
          <w:rStyle w:val="Textoennegrita"/>
          <w:rFonts w:ascii="Tahoma" w:hAnsi="Tahoma" w:cs="Tahoma"/>
          <w:b w:val="0"/>
          <w:bCs w:val="0"/>
          <w:lang w:val="es-ES" w:eastAsia="es-MX"/>
        </w:rPr>
        <w:t>Además,</w:t>
      </w:r>
      <w:r w:rsidR="00E86A5E" w:rsidRPr="00760E4E">
        <w:rPr>
          <w:rStyle w:val="Textoennegrita"/>
          <w:rFonts w:ascii="Tahoma" w:hAnsi="Tahoma" w:cs="Tahoma"/>
          <w:b w:val="0"/>
          <w:bCs w:val="0"/>
          <w:lang w:val="es-ES" w:eastAsia="es-MX"/>
        </w:rPr>
        <w:t xml:space="preserve"> señal</w:t>
      </w:r>
      <w:r w:rsidR="007670C4" w:rsidRPr="00760E4E">
        <w:rPr>
          <w:rStyle w:val="Textoennegrita"/>
          <w:rFonts w:ascii="Tahoma" w:hAnsi="Tahoma" w:cs="Tahoma"/>
          <w:b w:val="0"/>
          <w:bCs w:val="0"/>
          <w:lang w:val="es-ES" w:eastAsia="es-MX"/>
        </w:rPr>
        <w:t>ó</w:t>
      </w:r>
      <w:r w:rsidR="00E86A5E" w:rsidRPr="00760E4E">
        <w:rPr>
          <w:rStyle w:val="Textoennegrita"/>
          <w:rFonts w:ascii="Tahoma" w:hAnsi="Tahoma" w:cs="Tahoma"/>
          <w:b w:val="0"/>
          <w:bCs w:val="0"/>
          <w:lang w:val="es-ES" w:eastAsia="es-MX"/>
        </w:rPr>
        <w:t xml:space="preserve"> </w:t>
      </w:r>
      <w:r w:rsidR="0070152A" w:rsidRPr="00760E4E">
        <w:rPr>
          <w:rStyle w:val="Textoennegrita"/>
          <w:rFonts w:ascii="Tahoma" w:hAnsi="Tahoma" w:cs="Tahoma"/>
          <w:b w:val="0"/>
          <w:bCs w:val="0"/>
          <w:lang w:val="es-ES" w:eastAsia="es-MX"/>
        </w:rPr>
        <w:t>que,</w:t>
      </w:r>
      <w:r w:rsidR="00E86A5E" w:rsidRPr="00760E4E">
        <w:rPr>
          <w:rStyle w:val="Textoennegrita"/>
          <w:rFonts w:ascii="Tahoma" w:hAnsi="Tahoma" w:cs="Tahoma"/>
          <w:b w:val="0"/>
          <w:bCs w:val="0"/>
          <w:lang w:val="es-ES" w:eastAsia="es-MX"/>
        </w:rPr>
        <w:t xml:space="preserve"> conforme a </w:t>
      </w:r>
      <w:r w:rsidR="00BF71E1" w:rsidRPr="00760E4E">
        <w:rPr>
          <w:rStyle w:val="Textoennegrita"/>
          <w:rFonts w:ascii="Tahoma" w:hAnsi="Tahoma" w:cs="Tahoma"/>
          <w:b w:val="0"/>
          <w:bCs w:val="0"/>
          <w:lang w:val="es-ES" w:eastAsia="es-MX"/>
        </w:rPr>
        <w:t xml:space="preserve">los </w:t>
      </w:r>
      <w:r w:rsidR="00BF71E1" w:rsidRPr="00760E4E">
        <w:rPr>
          <w:rFonts w:ascii="Tahoma" w:hAnsi="Tahoma" w:cs="Tahoma"/>
        </w:rPr>
        <w:t>parámetros normativos</w:t>
      </w:r>
      <w:r w:rsidR="008D2E27" w:rsidRPr="00760E4E">
        <w:rPr>
          <w:rFonts w:ascii="Tahoma" w:hAnsi="Tahoma" w:cs="Tahoma"/>
        </w:rPr>
        <w:t xml:space="preserve"> de la fecha</w:t>
      </w:r>
      <w:r w:rsidR="00BF71E1" w:rsidRPr="00760E4E">
        <w:rPr>
          <w:rFonts w:ascii="Tahoma" w:hAnsi="Tahoma" w:cs="Tahoma"/>
        </w:rPr>
        <w:t xml:space="preserve"> de afiliación de la actora</w:t>
      </w:r>
      <w:r w:rsidR="008D2E27" w:rsidRPr="00760E4E">
        <w:rPr>
          <w:rFonts w:ascii="Tahoma" w:hAnsi="Tahoma" w:cs="Tahoma"/>
        </w:rPr>
        <w:t>,</w:t>
      </w:r>
      <w:r w:rsidR="00BF71E1" w:rsidRPr="00760E4E">
        <w:rPr>
          <w:rFonts w:ascii="Tahoma" w:hAnsi="Tahoma" w:cs="Tahoma"/>
        </w:rPr>
        <w:t xml:space="preserve"> </w:t>
      </w:r>
      <w:r w:rsidR="008D2E27" w:rsidRPr="00760E4E">
        <w:rPr>
          <w:rFonts w:ascii="Tahoma" w:hAnsi="Tahoma" w:cs="Tahoma"/>
        </w:rPr>
        <w:t xml:space="preserve">no era obligatorio realizar proyecciones financieras de las mesadas pensionales de los potenciales afiliados, ni mantener </w:t>
      </w:r>
      <w:r w:rsidR="00674D92" w:rsidRPr="00760E4E">
        <w:rPr>
          <w:rFonts w:ascii="Tahoma" w:hAnsi="Tahoma" w:cs="Tahoma"/>
        </w:rPr>
        <w:t>c</w:t>
      </w:r>
      <w:r w:rsidR="008D2E27" w:rsidRPr="00760E4E">
        <w:rPr>
          <w:rFonts w:ascii="Tahoma" w:hAnsi="Tahoma" w:cs="Tahoma"/>
        </w:rPr>
        <w:t>onstancia escrita de las asesorías suministradas</w:t>
      </w:r>
      <w:r w:rsidR="007C4897" w:rsidRPr="00760E4E">
        <w:rPr>
          <w:rFonts w:ascii="Tahoma" w:hAnsi="Tahoma" w:cs="Tahoma"/>
        </w:rPr>
        <w:t xml:space="preserve">. </w:t>
      </w:r>
      <w:r w:rsidRPr="00760E4E">
        <w:rPr>
          <w:rFonts w:ascii="Tahoma" w:eastAsia="Calibri" w:hAnsi="Tahoma" w:cs="Tahoma"/>
        </w:rPr>
        <w:t xml:space="preserve">De esa manera, invocó como excepciones mérito las </w:t>
      </w:r>
      <w:r w:rsidR="008D2E27" w:rsidRPr="00760E4E">
        <w:rPr>
          <w:rFonts w:ascii="Tahoma" w:eastAsia="Calibri" w:hAnsi="Tahoma" w:cs="Tahoma"/>
        </w:rPr>
        <w:t xml:space="preserve">que denominó </w:t>
      </w:r>
      <w:r w:rsidR="00B14F77" w:rsidRPr="00760E4E">
        <w:rPr>
          <w:rFonts w:ascii="Tahoma" w:eastAsia="Calibri" w:hAnsi="Tahoma" w:cs="Tahoma"/>
          <w:i/>
          <w:iCs/>
        </w:rPr>
        <w:t>“</w:t>
      </w:r>
      <w:r w:rsidR="00B14F77" w:rsidRPr="00760E4E">
        <w:rPr>
          <w:rFonts w:ascii="Tahoma" w:hAnsi="Tahoma" w:cs="Tahoma"/>
          <w:i/>
          <w:iCs/>
        </w:rPr>
        <w:t>inexistencia de la obligación”,</w:t>
      </w:r>
      <w:r w:rsidR="00B14F77" w:rsidRPr="00760E4E">
        <w:rPr>
          <w:rFonts w:ascii="Tahoma" w:hAnsi="Tahoma" w:cs="Tahoma"/>
        </w:rPr>
        <w:t xml:space="preserve"> “</w:t>
      </w:r>
      <w:r w:rsidR="00B14F77" w:rsidRPr="00760E4E">
        <w:rPr>
          <w:rFonts w:ascii="Tahoma" w:hAnsi="Tahoma" w:cs="Tahoma"/>
          <w:i/>
          <w:iCs/>
        </w:rPr>
        <w:t>falta de legitimación en la causa por pasiva”, “buena fe”, “innominada o genérica”</w:t>
      </w:r>
      <w:r w:rsidR="00B14F77" w:rsidRPr="00760E4E">
        <w:rPr>
          <w:rFonts w:ascii="Tahoma" w:hAnsi="Tahoma" w:cs="Tahoma"/>
        </w:rPr>
        <w:t>, “</w:t>
      </w:r>
      <w:r w:rsidR="00B14F77" w:rsidRPr="00760E4E">
        <w:rPr>
          <w:rFonts w:ascii="Tahoma" w:hAnsi="Tahoma" w:cs="Tahoma"/>
          <w:i/>
          <w:iCs/>
        </w:rPr>
        <w:t>ausencia de vicios del consentimiento”,</w:t>
      </w:r>
      <w:r w:rsidR="00B14F77" w:rsidRPr="00760E4E">
        <w:rPr>
          <w:rFonts w:ascii="Tahoma" w:hAnsi="Tahoma" w:cs="Tahoma"/>
        </w:rPr>
        <w:t xml:space="preserve"> </w:t>
      </w:r>
      <w:r w:rsidR="00B14F77" w:rsidRPr="00760E4E">
        <w:rPr>
          <w:rFonts w:ascii="Tahoma" w:hAnsi="Tahoma" w:cs="Tahoma"/>
          <w:i/>
          <w:iCs/>
        </w:rPr>
        <w:t>“validez de la afiliación al régimen de ahorro individual con solidaridad”,</w:t>
      </w:r>
      <w:r w:rsidR="00B14F77" w:rsidRPr="00760E4E">
        <w:rPr>
          <w:rFonts w:ascii="Tahoma" w:hAnsi="Tahoma" w:cs="Tahoma"/>
        </w:rPr>
        <w:t xml:space="preserve"> </w:t>
      </w:r>
      <w:r w:rsidR="00A6268A" w:rsidRPr="00760E4E">
        <w:rPr>
          <w:rFonts w:ascii="Tahoma" w:hAnsi="Tahoma" w:cs="Tahoma"/>
          <w:i/>
          <w:iCs/>
        </w:rPr>
        <w:t xml:space="preserve">“ratificación de la afiliación del actor al fondo de pensiones obligatorias administrado por Colfondos </w:t>
      </w:r>
      <w:r w:rsidR="007670C4" w:rsidRPr="00760E4E">
        <w:rPr>
          <w:rFonts w:ascii="Tahoma" w:hAnsi="Tahoma" w:cs="Tahoma"/>
          <w:i/>
          <w:iCs/>
        </w:rPr>
        <w:t>S.A</w:t>
      </w:r>
      <w:r w:rsidR="00A6268A" w:rsidRPr="00760E4E">
        <w:rPr>
          <w:rFonts w:ascii="Tahoma" w:hAnsi="Tahoma" w:cs="Tahoma"/>
          <w:i/>
          <w:iCs/>
        </w:rPr>
        <w:t>”,</w:t>
      </w:r>
      <w:r w:rsidR="00B14F77" w:rsidRPr="00760E4E">
        <w:rPr>
          <w:rFonts w:ascii="Tahoma" w:hAnsi="Tahoma" w:cs="Tahoma"/>
        </w:rPr>
        <w:t xml:space="preserve"> </w:t>
      </w:r>
      <w:r w:rsidR="00A6268A" w:rsidRPr="00760E4E">
        <w:rPr>
          <w:rFonts w:ascii="Tahoma" w:hAnsi="Tahoma" w:cs="Tahoma"/>
          <w:i/>
          <w:iCs/>
        </w:rPr>
        <w:t>“prescripción de la acción para solicitar la nulidad de la afiliación”</w:t>
      </w:r>
      <w:r w:rsidR="00A6268A" w:rsidRPr="00760E4E">
        <w:rPr>
          <w:rFonts w:ascii="Tahoma" w:hAnsi="Tahoma" w:cs="Tahoma"/>
        </w:rPr>
        <w:t>, “</w:t>
      </w:r>
      <w:r w:rsidR="00A6268A" w:rsidRPr="00760E4E">
        <w:rPr>
          <w:rFonts w:ascii="Tahoma" w:hAnsi="Tahoma" w:cs="Tahoma"/>
          <w:i/>
          <w:iCs/>
        </w:rPr>
        <w:t>compensación y pago”</w:t>
      </w:r>
      <w:r w:rsidR="005D3AC1" w:rsidRPr="00760E4E">
        <w:rPr>
          <w:rFonts w:ascii="Tahoma" w:hAnsi="Tahoma" w:cs="Tahoma"/>
          <w:i/>
          <w:iCs/>
        </w:rPr>
        <w:t xml:space="preserve"> </w:t>
      </w:r>
      <w:r w:rsidR="005D3AC1" w:rsidRPr="00760E4E">
        <w:rPr>
          <w:rFonts w:ascii="Tahoma" w:hAnsi="Tahoma" w:cs="Tahoma"/>
          <w:iCs/>
        </w:rPr>
        <w:t>y</w:t>
      </w:r>
      <w:r w:rsidR="00A6268A" w:rsidRPr="00760E4E">
        <w:rPr>
          <w:rFonts w:ascii="Tahoma" w:hAnsi="Tahoma" w:cs="Tahoma"/>
          <w:iCs/>
        </w:rPr>
        <w:t xml:space="preserve"> </w:t>
      </w:r>
      <w:r w:rsidR="00A6268A" w:rsidRPr="00760E4E">
        <w:rPr>
          <w:rFonts w:ascii="Tahoma" w:hAnsi="Tahoma" w:cs="Tahoma"/>
          <w:i/>
          <w:iCs/>
        </w:rPr>
        <w:t xml:space="preserve">“validez de la vinculación inicial al sistema general en pensiones específicamente al </w:t>
      </w:r>
      <w:proofErr w:type="spellStart"/>
      <w:r w:rsidR="00A6268A" w:rsidRPr="00760E4E">
        <w:rPr>
          <w:rFonts w:ascii="Tahoma" w:hAnsi="Tahoma" w:cs="Tahoma"/>
          <w:i/>
          <w:iCs/>
        </w:rPr>
        <w:t>rais</w:t>
      </w:r>
      <w:proofErr w:type="spellEnd"/>
      <w:r w:rsidR="00A6268A" w:rsidRPr="00760E4E">
        <w:rPr>
          <w:rFonts w:ascii="Tahoma" w:hAnsi="Tahoma" w:cs="Tahoma"/>
          <w:i/>
          <w:iCs/>
        </w:rPr>
        <w:t xml:space="preserve"> administrado por Colfondos </w:t>
      </w:r>
      <w:r w:rsidR="007670C4" w:rsidRPr="00760E4E">
        <w:rPr>
          <w:rFonts w:ascii="Tahoma" w:hAnsi="Tahoma" w:cs="Tahoma"/>
          <w:i/>
          <w:iCs/>
        </w:rPr>
        <w:t>S.A</w:t>
      </w:r>
      <w:r w:rsidR="00A6268A" w:rsidRPr="00760E4E">
        <w:rPr>
          <w:rFonts w:ascii="Tahoma" w:hAnsi="Tahoma" w:cs="Tahoma"/>
          <w:i/>
          <w:iCs/>
        </w:rPr>
        <w:t>”.</w:t>
      </w:r>
    </w:p>
    <w:p w14:paraId="56627762" w14:textId="77777777" w:rsidR="007670C4" w:rsidRPr="00760E4E" w:rsidRDefault="007670C4" w:rsidP="00760E4E">
      <w:pPr>
        <w:spacing w:before="0" w:beforeAutospacing="0" w:after="0" w:afterAutospacing="0" w:line="276" w:lineRule="auto"/>
        <w:ind w:firstLine="708"/>
        <w:contextualSpacing/>
        <w:rPr>
          <w:rFonts w:ascii="Tahoma" w:eastAsia="Calibri" w:hAnsi="Tahoma" w:cs="Tahoma"/>
          <w:i/>
          <w:iCs/>
        </w:rPr>
      </w:pPr>
    </w:p>
    <w:p w14:paraId="136B22F2" w14:textId="5844CAFD" w:rsidR="008E6FB9" w:rsidRPr="00760E4E" w:rsidRDefault="00981BC3" w:rsidP="00760E4E">
      <w:pPr>
        <w:spacing w:before="0" w:beforeAutospacing="0" w:after="0" w:afterAutospacing="0" w:line="276" w:lineRule="auto"/>
        <w:ind w:firstLine="708"/>
        <w:rPr>
          <w:rFonts w:ascii="Tahoma" w:eastAsia="Times New Roman" w:hAnsi="Tahoma" w:cs="Tahoma"/>
          <w:lang w:val="es-ES" w:eastAsia="es-MX"/>
        </w:rPr>
      </w:pPr>
      <w:r w:rsidRPr="00760E4E">
        <w:rPr>
          <w:rFonts w:ascii="Tahoma" w:eastAsia="Times New Roman" w:hAnsi="Tahoma" w:cs="Tahoma"/>
          <w:lang w:val="es-ES" w:eastAsia="es-MX"/>
        </w:rPr>
        <w:t>Por su parte, l</w:t>
      </w:r>
      <w:r w:rsidR="008E6FB9" w:rsidRPr="00760E4E">
        <w:rPr>
          <w:rFonts w:ascii="Tahoma" w:eastAsia="Times New Roman" w:hAnsi="Tahoma" w:cs="Tahoma"/>
          <w:lang w:val="es-ES" w:eastAsia="es-MX"/>
        </w:rPr>
        <w:t>a</w:t>
      </w:r>
      <w:r w:rsidR="008E6FB9" w:rsidRPr="00760E4E">
        <w:rPr>
          <w:rFonts w:ascii="Tahoma" w:eastAsia="Times New Roman" w:hAnsi="Tahoma" w:cs="Tahoma"/>
          <w:b/>
          <w:bCs/>
          <w:lang w:val="es-ES" w:eastAsia="es-MX"/>
        </w:rPr>
        <w:t xml:space="preserve"> Administradora Colombiana de Pensiones -Colpensiones</w:t>
      </w:r>
      <w:r w:rsidR="008E6FB9" w:rsidRPr="00760E4E">
        <w:rPr>
          <w:rFonts w:ascii="Tahoma" w:eastAsia="Times New Roman" w:hAnsi="Tahoma" w:cs="Tahoma"/>
          <w:lang w:val="es-ES" w:eastAsia="es-MX"/>
        </w:rPr>
        <w:t xml:space="preserve"> se opuso a la prosperidad de las pretensiones</w:t>
      </w:r>
      <w:r w:rsidR="00243EEE" w:rsidRPr="00760E4E">
        <w:rPr>
          <w:rFonts w:ascii="Tahoma" w:eastAsia="Times New Roman" w:hAnsi="Tahoma" w:cs="Tahoma"/>
          <w:lang w:val="es-ES" w:eastAsia="es-MX"/>
        </w:rPr>
        <w:t xml:space="preserve"> de la demanda</w:t>
      </w:r>
      <w:r w:rsidR="008E6FB9" w:rsidRPr="00760E4E">
        <w:rPr>
          <w:rFonts w:ascii="Tahoma" w:eastAsia="Times New Roman" w:hAnsi="Tahoma" w:cs="Tahoma"/>
          <w:lang w:val="es-ES" w:eastAsia="es-MX"/>
        </w:rPr>
        <w:t xml:space="preserve">, </w:t>
      </w:r>
      <w:r w:rsidR="606DB013" w:rsidRPr="00760E4E">
        <w:rPr>
          <w:rFonts w:ascii="Tahoma" w:eastAsia="Times New Roman" w:hAnsi="Tahoma" w:cs="Tahoma"/>
          <w:lang w:val="es-ES" w:eastAsia="es-MX"/>
        </w:rPr>
        <w:t xml:space="preserve">señalando que </w:t>
      </w:r>
      <w:r w:rsidR="007F46D0" w:rsidRPr="00760E4E">
        <w:rPr>
          <w:rFonts w:ascii="Tahoma" w:eastAsia="Times New Roman" w:hAnsi="Tahoma" w:cs="Tahoma"/>
          <w:lang w:val="es-ES" w:eastAsia="es-MX"/>
        </w:rPr>
        <w:t>l</w:t>
      </w:r>
      <w:r w:rsidR="008E6FB9" w:rsidRPr="00760E4E">
        <w:rPr>
          <w:rFonts w:ascii="Tahoma" w:eastAsia="Times New Roman" w:hAnsi="Tahoma" w:cs="Tahoma"/>
          <w:lang w:val="es-ES" w:eastAsia="es-MX"/>
        </w:rPr>
        <w:t xml:space="preserve">a afiliación de la demandante al RAIS </w:t>
      </w:r>
      <w:r w:rsidR="00243EEE" w:rsidRPr="00760E4E">
        <w:rPr>
          <w:rFonts w:ascii="Tahoma" w:eastAsia="Times New Roman" w:hAnsi="Tahoma" w:cs="Tahoma"/>
          <w:lang w:val="es-ES" w:eastAsia="es-MX"/>
        </w:rPr>
        <w:t xml:space="preserve">se llevó a cabo de manera libre y voluntaria, </w:t>
      </w:r>
      <w:r w:rsidR="007670C4" w:rsidRPr="00760E4E">
        <w:rPr>
          <w:rFonts w:ascii="Tahoma" w:eastAsia="Times New Roman" w:hAnsi="Tahoma" w:cs="Tahoma"/>
          <w:lang w:val="es-ES" w:eastAsia="es-MX"/>
        </w:rPr>
        <w:t>sin que se evidencia</w:t>
      </w:r>
      <w:r w:rsidR="00243EEE" w:rsidRPr="00760E4E">
        <w:rPr>
          <w:rFonts w:ascii="Tahoma" w:eastAsia="Times New Roman" w:hAnsi="Tahoma" w:cs="Tahoma"/>
          <w:lang w:val="es-ES" w:eastAsia="es-MX"/>
        </w:rPr>
        <w:t xml:space="preserve"> la existencia de vicios en el consentimiento y tampoco un engaño por parte de las AFP, </w:t>
      </w:r>
      <w:r w:rsidR="007670C4" w:rsidRPr="00760E4E">
        <w:rPr>
          <w:rFonts w:ascii="Tahoma" w:eastAsia="Times New Roman" w:hAnsi="Tahoma" w:cs="Tahoma"/>
          <w:lang w:val="es-ES" w:eastAsia="es-MX"/>
        </w:rPr>
        <w:t xml:space="preserve">adicional a lo cual </w:t>
      </w:r>
      <w:r w:rsidR="0037204B" w:rsidRPr="00760E4E">
        <w:rPr>
          <w:rFonts w:ascii="Tahoma" w:eastAsia="Times New Roman" w:hAnsi="Tahoma" w:cs="Tahoma"/>
          <w:lang w:val="es-ES" w:eastAsia="es-MX"/>
        </w:rPr>
        <w:t xml:space="preserve">la demandante no cumple con los requisitos legales para acceder a la declaratoria de la ineficacia, </w:t>
      </w:r>
      <w:r w:rsidR="007670C4" w:rsidRPr="00760E4E">
        <w:rPr>
          <w:rFonts w:ascii="Tahoma" w:eastAsia="Times New Roman" w:hAnsi="Tahoma" w:cs="Tahoma"/>
          <w:lang w:val="es-ES" w:eastAsia="es-MX"/>
        </w:rPr>
        <w:t>por lo</w:t>
      </w:r>
      <w:r w:rsidR="0037204B" w:rsidRPr="00760E4E">
        <w:rPr>
          <w:rFonts w:ascii="Tahoma" w:eastAsia="Times New Roman" w:hAnsi="Tahoma" w:cs="Tahoma"/>
          <w:lang w:val="es-ES" w:eastAsia="es-MX"/>
        </w:rPr>
        <w:t xml:space="preserve"> que la entidad </w:t>
      </w:r>
      <w:r w:rsidR="00243EEE" w:rsidRPr="00760E4E">
        <w:rPr>
          <w:rFonts w:ascii="Tahoma" w:eastAsia="Times New Roman" w:hAnsi="Tahoma" w:cs="Tahoma"/>
          <w:lang w:val="es-ES" w:eastAsia="es-MX"/>
        </w:rPr>
        <w:t xml:space="preserve">no está en la obligación de realizar </w:t>
      </w:r>
      <w:r w:rsidR="007670C4" w:rsidRPr="00760E4E">
        <w:rPr>
          <w:rFonts w:ascii="Tahoma" w:eastAsia="Times New Roman" w:hAnsi="Tahoma" w:cs="Tahoma"/>
          <w:lang w:val="es-ES" w:eastAsia="es-MX"/>
        </w:rPr>
        <w:t>el</w:t>
      </w:r>
      <w:r w:rsidR="00243EEE" w:rsidRPr="00760E4E">
        <w:rPr>
          <w:rFonts w:ascii="Tahoma" w:eastAsia="Times New Roman" w:hAnsi="Tahoma" w:cs="Tahoma"/>
          <w:lang w:val="es-ES" w:eastAsia="es-MX"/>
        </w:rPr>
        <w:t xml:space="preserve"> traslado del RAIS </w:t>
      </w:r>
      <w:r w:rsidR="007670C4" w:rsidRPr="00760E4E">
        <w:rPr>
          <w:rFonts w:ascii="Tahoma" w:eastAsia="Times New Roman" w:hAnsi="Tahoma" w:cs="Tahoma"/>
          <w:lang w:val="es-ES" w:eastAsia="es-MX"/>
        </w:rPr>
        <w:t>al</w:t>
      </w:r>
      <w:r w:rsidR="00243EEE" w:rsidRPr="00760E4E">
        <w:rPr>
          <w:rFonts w:ascii="Tahoma" w:eastAsia="Times New Roman" w:hAnsi="Tahoma" w:cs="Tahoma"/>
          <w:lang w:val="es-ES" w:eastAsia="es-MX"/>
        </w:rPr>
        <w:t xml:space="preserve"> RPM</w:t>
      </w:r>
      <w:r w:rsidR="0071207B" w:rsidRPr="00760E4E">
        <w:rPr>
          <w:rFonts w:ascii="Tahoma" w:eastAsia="Times New Roman" w:hAnsi="Tahoma" w:cs="Tahoma"/>
          <w:lang w:val="es-ES" w:eastAsia="es-MX"/>
        </w:rPr>
        <w:t>.</w:t>
      </w:r>
      <w:r w:rsidR="00400D45" w:rsidRPr="00760E4E">
        <w:rPr>
          <w:rFonts w:ascii="Tahoma" w:eastAsia="Times New Roman" w:hAnsi="Tahoma" w:cs="Tahoma"/>
          <w:lang w:val="es-ES" w:eastAsia="es-MX"/>
        </w:rPr>
        <w:t xml:space="preserve"> </w:t>
      </w:r>
      <w:r w:rsidR="008E6FB9" w:rsidRPr="00760E4E">
        <w:rPr>
          <w:rFonts w:ascii="Tahoma" w:eastAsia="Times New Roman" w:hAnsi="Tahoma" w:cs="Tahoma"/>
          <w:lang w:val="es-ES" w:eastAsia="es-MX"/>
        </w:rPr>
        <w:t>En ese orden</w:t>
      </w:r>
      <w:r w:rsidR="007670C4" w:rsidRPr="00760E4E">
        <w:rPr>
          <w:rFonts w:ascii="Tahoma" w:eastAsia="Times New Roman" w:hAnsi="Tahoma" w:cs="Tahoma"/>
          <w:lang w:val="es-ES" w:eastAsia="es-MX"/>
        </w:rPr>
        <w:t xml:space="preserve">, </w:t>
      </w:r>
      <w:r w:rsidR="008E6FB9" w:rsidRPr="00760E4E">
        <w:rPr>
          <w:rFonts w:ascii="Tahoma" w:eastAsia="Times New Roman" w:hAnsi="Tahoma" w:cs="Tahoma"/>
          <w:lang w:val="es-ES" w:eastAsia="es-MX"/>
        </w:rPr>
        <w:t xml:space="preserve">como medios </w:t>
      </w:r>
      <w:r w:rsidR="008E6FB9" w:rsidRPr="00760E4E">
        <w:rPr>
          <w:rFonts w:ascii="Tahoma" w:eastAsia="Times New Roman" w:hAnsi="Tahoma" w:cs="Tahoma"/>
          <w:lang w:val="es-ES" w:eastAsia="es-MX"/>
        </w:rPr>
        <w:lastRenderedPageBreak/>
        <w:t xml:space="preserve">exceptivos de mérito formuló: </w:t>
      </w:r>
      <w:r w:rsidR="007B1C67" w:rsidRPr="00760E4E">
        <w:rPr>
          <w:rFonts w:ascii="Tahoma" w:eastAsia="Times New Roman" w:hAnsi="Tahoma" w:cs="Tahoma"/>
          <w:i/>
          <w:iCs/>
          <w:lang w:val="es-ES" w:eastAsia="es-MX"/>
        </w:rPr>
        <w:t xml:space="preserve">“validez de la afiliación al </w:t>
      </w:r>
      <w:r w:rsidR="005D3AC1" w:rsidRPr="00760E4E">
        <w:rPr>
          <w:rFonts w:ascii="Tahoma" w:eastAsia="Times New Roman" w:hAnsi="Tahoma" w:cs="Tahoma"/>
          <w:i/>
          <w:iCs/>
          <w:lang w:val="es-ES" w:eastAsia="es-MX"/>
        </w:rPr>
        <w:t>RAIS</w:t>
      </w:r>
      <w:r w:rsidR="00E60268" w:rsidRPr="00760E4E">
        <w:rPr>
          <w:rFonts w:ascii="Tahoma" w:eastAsia="Times New Roman" w:hAnsi="Tahoma" w:cs="Tahoma"/>
          <w:i/>
          <w:iCs/>
          <w:lang w:val="es-ES" w:eastAsia="es-MX"/>
        </w:rPr>
        <w:t xml:space="preserve">”, </w:t>
      </w:r>
      <w:r w:rsidR="00E60268" w:rsidRPr="00760E4E">
        <w:rPr>
          <w:rFonts w:ascii="Tahoma" w:eastAsia="Times New Roman" w:hAnsi="Tahoma" w:cs="Tahoma"/>
          <w:lang w:val="es-ES" w:eastAsia="es-MX"/>
        </w:rPr>
        <w:t>“</w:t>
      </w:r>
      <w:r w:rsidR="007B1C67" w:rsidRPr="00760E4E">
        <w:rPr>
          <w:rFonts w:ascii="Tahoma" w:eastAsia="Times New Roman" w:hAnsi="Tahoma" w:cs="Tahoma"/>
          <w:i/>
          <w:iCs/>
          <w:lang w:val="es-ES" w:eastAsia="es-MX"/>
        </w:rPr>
        <w:t>aceptación implícita de la voluntad del afiliado”, “saneamiento de una presunta nulidad”,</w:t>
      </w:r>
      <w:r w:rsidR="007B1C67" w:rsidRPr="00760E4E">
        <w:rPr>
          <w:rFonts w:ascii="Tahoma" w:eastAsia="Times New Roman" w:hAnsi="Tahoma" w:cs="Tahoma"/>
          <w:lang w:val="es-ES" w:eastAsia="es-MX"/>
        </w:rPr>
        <w:t xml:space="preserve"> “</w:t>
      </w:r>
      <w:r w:rsidR="007B1C67" w:rsidRPr="00760E4E">
        <w:rPr>
          <w:rFonts w:ascii="Tahoma" w:eastAsia="Times New Roman" w:hAnsi="Tahoma" w:cs="Tahoma"/>
          <w:i/>
          <w:iCs/>
          <w:lang w:val="es-ES" w:eastAsia="es-MX"/>
        </w:rPr>
        <w:t>prescripción”</w:t>
      </w:r>
      <w:r w:rsidR="007B1C67" w:rsidRPr="00760E4E">
        <w:rPr>
          <w:rFonts w:ascii="Tahoma" w:eastAsia="Times New Roman" w:hAnsi="Tahoma" w:cs="Tahoma"/>
          <w:lang w:val="es-ES" w:eastAsia="es-MX"/>
        </w:rPr>
        <w:t xml:space="preserve">, </w:t>
      </w:r>
      <w:r w:rsidR="007B1C67" w:rsidRPr="00760E4E">
        <w:rPr>
          <w:rFonts w:ascii="Tahoma" w:eastAsia="Times New Roman" w:hAnsi="Tahoma" w:cs="Tahoma"/>
          <w:i/>
          <w:iCs/>
          <w:lang w:val="es-ES" w:eastAsia="es-MX"/>
        </w:rPr>
        <w:t>“buena fe”, “imposibilidad de condena en costas”</w:t>
      </w:r>
      <w:r w:rsidR="007B1C67" w:rsidRPr="00760E4E">
        <w:rPr>
          <w:rFonts w:ascii="Tahoma" w:eastAsia="Times New Roman" w:hAnsi="Tahoma" w:cs="Tahoma"/>
          <w:lang w:val="es-ES" w:eastAsia="es-MX"/>
        </w:rPr>
        <w:t xml:space="preserve">, </w:t>
      </w:r>
      <w:r w:rsidR="007B1C67" w:rsidRPr="00760E4E">
        <w:rPr>
          <w:rFonts w:ascii="Tahoma" w:eastAsia="Times New Roman" w:hAnsi="Tahoma" w:cs="Tahoma"/>
          <w:i/>
          <w:iCs/>
          <w:lang w:val="es-ES" w:eastAsia="es-MX"/>
        </w:rPr>
        <w:t>“genérica”</w:t>
      </w:r>
      <w:r w:rsidR="005D3AC1" w:rsidRPr="00760E4E">
        <w:rPr>
          <w:rFonts w:ascii="Tahoma" w:eastAsia="Times New Roman" w:hAnsi="Tahoma" w:cs="Tahoma"/>
          <w:i/>
          <w:iCs/>
          <w:lang w:val="es-ES" w:eastAsia="es-MX"/>
        </w:rPr>
        <w:t xml:space="preserve"> </w:t>
      </w:r>
      <w:r w:rsidR="005D3AC1" w:rsidRPr="00760E4E">
        <w:rPr>
          <w:rFonts w:ascii="Tahoma" w:eastAsia="Times New Roman" w:hAnsi="Tahoma" w:cs="Tahoma"/>
          <w:iCs/>
          <w:lang w:val="es-ES" w:eastAsia="es-MX"/>
        </w:rPr>
        <w:t>y</w:t>
      </w:r>
      <w:r w:rsidR="007B1C67" w:rsidRPr="00760E4E">
        <w:rPr>
          <w:rFonts w:ascii="Tahoma" w:eastAsia="Times New Roman" w:hAnsi="Tahoma" w:cs="Tahoma"/>
          <w:i/>
          <w:iCs/>
          <w:lang w:val="es-ES" w:eastAsia="es-MX"/>
        </w:rPr>
        <w:t xml:space="preserve"> “declaratoria de otras excepciones”. </w:t>
      </w:r>
    </w:p>
    <w:p w14:paraId="66450C4D" w14:textId="77777777" w:rsidR="000F0479" w:rsidRPr="00760E4E" w:rsidRDefault="000F0479" w:rsidP="00760E4E">
      <w:pPr>
        <w:spacing w:before="0" w:beforeAutospacing="0" w:after="0" w:afterAutospacing="0" w:line="276" w:lineRule="auto"/>
        <w:ind w:firstLine="708"/>
        <w:contextualSpacing/>
        <w:rPr>
          <w:rFonts w:ascii="Tahoma" w:hAnsi="Tahoma" w:cs="Tahoma"/>
        </w:rPr>
      </w:pPr>
    </w:p>
    <w:p w14:paraId="64C690C8" w14:textId="3A38BCA9" w:rsidR="00DD54D2" w:rsidRPr="00760E4E" w:rsidRDefault="00AF6E87" w:rsidP="00760E4E">
      <w:pPr>
        <w:spacing w:before="0" w:beforeAutospacing="0" w:after="0" w:afterAutospacing="0" w:line="276" w:lineRule="auto"/>
        <w:ind w:firstLine="708"/>
        <w:contextualSpacing/>
        <w:rPr>
          <w:rFonts w:ascii="Tahoma" w:hAnsi="Tahoma" w:cs="Tahoma"/>
          <w:i/>
          <w:iCs/>
        </w:rPr>
      </w:pPr>
      <w:r w:rsidRPr="00760E4E">
        <w:rPr>
          <w:rFonts w:ascii="Tahoma" w:hAnsi="Tahoma" w:cs="Tahoma"/>
        </w:rPr>
        <w:t>Finalmente</w:t>
      </w:r>
      <w:r w:rsidR="00981BC3" w:rsidRPr="00760E4E">
        <w:rPr>
          <w:rFonts w:ascii="Tahoma" w:hAnsi="Tahoma" w:cs="Tahoma"/>
        </w:rPr>
        <w:t>, l</w:t>
      </w:r>
      <w:r w:rsidR="008879E8" w:rsidRPr="00760E4E">
        <w:rPr>
          <w:rFonts w:ascii="Tahoma" w:hAnsi="Tahoma" w:cs="Tahoma"/>
        </w:rPr>
        <w:t>a</w:t>
      </w:r>
      <w:r w:rsidR="008879E8" w:rsidRPr="00760E4E">
        <w:rPr>
          <w:rFonts w:ascii="Tahoma" w:hAnsi="Tahoma" w:cs="Tahoma"/>
          <w:b/>
          <w:bCs/>
        </w:rPr>
        <w:t xml:space="preserve"> Administradora de Fondos de Pensiones y Cesantías</w:t>
      </w:r>
      <w:r w:rsidR="00503173" w:rsidRPr="00760E4E">
        <w:rPr>
          <w:rFonts w:ascii="Tahoma" w:hAnsi="Tahoma" w:cs="Tahoma"/>
          <w:b/>
          <w:bCs/>
        </w:rPr>
        <w:t xml:space="preserve"> </w:t>
      </w:r>
      <w:r w:rsidR="008879E8" w:rsidRPr="00760E4E">
        <w:rPr>
          <w:rFonts w:ascii="Tahoma" w:hAnsi="Tahoma" w:cs="Tahoma"/>
          <w:b/>
          <w:bCs/>
        </w:rPr>
        <w:t>Porvenir S.A.</w:t>
      </w:r>
      <w:r w:rsidR="000F0479" w:rsidRPr="00760E4E">
        <w:rPr>
          <w:rFonts w:ascii="Tahoma" w:hAnsi="Tahoma" w:cs="Tahoma"/>
        </w:rPr>
        <w:t xml:space="preserve"> se</w:t>
      </w:r>
      <w:r w:rsidR="00445F55" w:rsidRPr="00760E4E">
        <w:rPr>
          <w:rFonts w:ascii="Tahoma" w:hAnsi="Tahoma" w:cs="Tahoma"/>
        </w:rPr>
        <w:t xml:space="preserve"> opuso </w:t>
      </w:r>
      <w:r w:rsidR="00503173" w:rsidRPr="00760E4E">
        <w:rPr>
          <w:rFonts w:ascii="Tahoma" w:hAnsi="Tahoma" w:cs="Tahoma"/>
        </w:rPr>
        <w:t xml:space="preserve">a la prosperidad de </w:t>
      </w:r>
      <w:r w:rsidR="00445F55" w:rsidRPr="00760E4E">
        <w:rPr>
          <w:rFonts w:ascii="Tahoma" w:hAnsi="Tahoma" w:cs="Tahoma"/>
        </w:rPr>
        <w:t>las pretensiones</w:t>
      </w:r>
      <w:r w:rsidR="00503173" w:rsidRPr="00760E4E">
        <w:rPr>
          <w:rFonts w:ascii="Tahoma" w:hAnsi="Tahoma" w:cs="Tahoma"/>
        </w:rPr>
        <w:t xml:space="preserve"> de la demanda</w:t>
      </w:r>
      <w:r w:rsidR="00B82ED6" w:rsidRPr="00760E4E">
        <w:rPr>
          <w:rFonts w:ascii="Tahoma" w:hAnsi="Tahoma" w:cs="Tahoma"/>
        </w:rPr>
        <w:t xml:space="preserve">, </w:t>
      </w:r>
      <w:r w:rsidR="00445F55" w:rsidRPr="00760E4E">
        <w:rPr>
          <w:rFonts w:ascii="Tahoma" w:hAnsi="Tahoma" w:cs="Tahoma"/>
        </w:rPr>
        <w:t>indicando</w:t>
      </w:r>
      <w:r w:rsidR="00743CF9" w:rsidRPr="00760E4E">
        <w:rPr>
          <w:rFonts w:ascii="Tahoma" w:hAnsi="Tahoma" w:cs="Tahoma"/>
        </w:rPr>
        <w:t xml:space="preserve"> que</w:t>
      </w:r>
      <w:r w:rsidR="00445F55" w:rsidRPr="00760E4E">
        <w:rPr>
          <w:rFonts w:ascii="Tahoma" w:hAnsi="Tahoma" w:cs="Tahoma"/>
        </w:rPr>
        <w:t xml:space="preserve"> la información brindada a</w:t>
      </w:r>
      <w:r w:rsidR="00503173" w:rsidRPr="00760E4E">
        <w:rPr>
          <w:rFonts w:ascii="Tahoma" w:hAnsi="Tahoma" w:cs="Tahoma"/>
        </w:rPr>
        <w:t xml:space="preserve"> la</w:t>
      </w:r>
      <w:r w:rsidR="009257C1" w:rsidRPr="00760E4E">
        <w:rPr>
          <w:rFonts w:ascii="Tahoma" w:hAnsi="Tahoma" w:cs="Tahoma"/>
        </w:rPr>
        <w:t xml:space="preserve"> demandante</w:t>
      </w:r>
      <w:r w:rsidR="00445F55" w:rsidRPr="00760E4E">
        <w:rPr>
          <w:rFonts w:ascii="Tahoma" w:hAnsi="Tahoma" w:cs="Tahoma"/>
        </w:rPr>
        <w:t xml:space="preserve"> fue completa, veraz y oportuna</w:t>
      </w:r>
      <w:r w:rsidRPr="00760E4E">
        <w:rPr>
          <w:rFonts w:ascii="Tahoma" w:hAnsi="Tahoma" w:cs="Tahoma"/>
        </w:rPr>
        <w:t xml:space="preserve">, puesto que </w:t>
      </w:r>
      <w:r w:rsidR="00283C0F" w:rsidRPr="00760E4E">
        <w:rPr>
          <w:rFonts w:ascii="Tahoma" w:hAnsi="Tahoma" w:cs="Tahoma"/>
        </w:rPr>
        <w:t>la asesoría se ajustó a los parámetros legales vigentes para la época del traslado, donde no era obligatorio realizar proyecciones financieras, ni tener constancia escrita de las mismas</w:t>
      </w:r>
      <w:r w:rsidR="00AE2D92" w:rsidRPr="00760E4E">
        <w:rPr>
          <w:rFonts w:ascii="Tahoma" w:hAnsi="Tahoma" w:cs="Tahoma"/>
        </w:rPr>
        <w:t>.</w:t>
      </w:r>
      <w:r w:rsidR="00565DF4" w:rsidRPr="00760E4E">
        <w:rPr>
          <w:rFonts w:ascii="Tahoma" w:hAnsi="Tahoma" w:cs="Tahoma"/>
        </w:rPr>
        <w:t xml:space="preserve"> </w:t>
      </w:r>
      <w:r w:rsidR="00503173" w:rsidRPr="00760E4E">
        <w:rPr>
          <w:rFonts w:ascii="Tahoma" w:hAnsi="Tahoma" w:cs="Tahoma"/>
        </w:rPr>
        <w:t>Además, señal</w:t>
      </w:r>
      <w:r w:rsidRPr="00760E4E">
        <w:rPr>
          <w:rFonts w:ascii="Tahoma" w:hAnsi="Tahoma" w:cs="Tahoma"/>
        </w:rPr>
        <w:t>ó</w:t>
      </w:r>
      <w:r w:rsidR="00AE2D92" w:rsidRPr="00760E4E">
        <w:rPr>
          <w:rFonts w:ascii="Tahoma" w:hAnsi="Tahoma" w:cs="Tahoma"/>
        </w:rPr>
        <w:t xml:space="preserve"> </w:t>
      </w:r>
      <w:r w:rsidR="00503173" w:rsidRPr="00760E4E">
        <w:rPr>
          <w:rFonts w:ascii="Tahoma" w:hAnsi="Tahoma" w:cs="Tahoma"/>
        </w:rPr>
        <w:t xml:space="preserve">que la </w:t>
      </w:r>
      <w:r w:rsidR="003B221A" w:rsidRPr="00760E4E">
        <w:rPr>
          <w:rFonts w:ascii="Tahoma" w:hAnsi="Tahoma" w:cs="Tahoma"/>
        </w:rPr>
        <w:t>d</w:t>
      </w:r>
      <w:r w:rsidR="00503173" w:rsidRPr="00760E4E">
        <w:rPr>
          <w:rFonts w:ascii="Tahoma" w:hAnsi="Tahoma" w:cs="Tahoma"/>
        </w:rPr>
        <w:t>emandante no puede retornar en la actualidad al RPM,</w:t>
      </w:r>
      <w:r w:rsidR="00AE2D92" w:rsidRPr="00760E4E">
        <w:rPr>
          <w:rFonts w:ascii="Tahoma" w:hAnsi="Tahoma" w:cs="Tahoma"/>
        </w:rPr>
        <w:t xml:space="preserve"> </w:t>
      </w:r>
      <w:r w:rsidR="00503173" w:rsidRPr="00760E4E">
        <w:rPr>
          <w:rFonts w:ascii="Tahoma" w:hAnsi="Tahoma" w:cs="Tahoma"/>
        </w:rPr>
        <w:t>debido a que ya cumplió con la edad requerida para pensionarse y no es beneficiaria del régimen de transición</w:t>
      </w:r>
      <w:r w:rsidRPr="00760E4E">
        <w:rPr>
          <w:rFonts w:ascii="Tahoma" w:hAnsi="Tahoma" w:cs="Tahoma"/>
        </w:rPr>
        <w:t xml:space="preserve">. Así, </w:t>
      </w:r>
      <w:r w:rsidR="00713104" w:rsidRPr="00760E4E">
        <w:rPr>
          <w:rFonts w:ascii="Tahoma" w:eastAsia="Times New Roman" w:hAnsi="Tahoma" w:cs="Tahoma"/>
          <w:lang w:val="es-ES" w:eastAsia="es-MX"/>
        </w:rPr>
        <w:t xml:space="preserve">como medios exceptivos de mérito formuló: </w:t>
      </w:r>
      <w:r w:rsidR="00713104" w:rsidRPr="00760E4E">
        <w:rPr>
          <w:rFonts w:ascii="Tahoma" w:eastAsia="Times New Roman" w:hAnsi="Tahoma" w:cs="Tahoma"/>
          <w:i/>
          <w:iCs/>
          <w:lang w:val="es-ES" w:eastAsia="es-MX"/>
        </w:rPr>
        <w:t>“</w:t>
      </w:r>
      <w:r w:rsidR="00713104" w:rsidRPr="00760E4E">
        <w:rPr>
          <w:rFonts w:ascii="Tahoma" w:hAnsi="Tahoma" w:cs="Tahoma"/>
          <w:i/>
          <w:iCs/>
        </w:rPr>
        <w:t xml:space="preserve">validez y eficacia de la afiliación al </w:t>
      </w:r>
      <w:proofErr w:type="spellStart"/>
      <w:r w:rsidR="00713104" w:rsidRPr="00760E4E">
        <w:rPr>
          <w:rFonts w:ascii="Tahoma" w:hAnsi="Tahoma" w:cs="Tahoma"/>
          <w:i/>
          <w:iCs/>
        </w:rPr>
        <w:t>rais</w:t>
      </w:r>
      <w:proofErr w:type="spellEnd"/>
      <w:r w:rsidR="00713104" w:rsidRPr="00760E4E">
        <w:rPr>
          <w:rFonts w:ascii="Tahoma" w:hAnsi="Tahoma" w:cs="Tahoma"/>
          <w:i/>
          <w:iCs/>
        </w:rPr>
        <w:t xml:space="preserve"> e inexistencia de vicios en el consentimiento</w:t>
      </w:r>
      <w:r w:rsidR="00D46E7C" w:rsidRPr="00760E4E">
        <w:rPr>
          <w:rFonts w:ascii="Tahoma" w:hAnsi="Tahoma" w:cs="Tahoma"/>
          <w:i/>
          <w:iCs/>
        </w:rPr>
        <w:t xml:space="preserve">”, “inexistencia de la obligación de devolver la comisión de administración, en caso de que se declarare la nulidad o ineficacia de la afiliación al </w:t>
      </w:r>
      <w:r w:rsidR="00066D0F" w:rsidRPr="00760E4E">
        <w:rPr>
          <w:rFonts w:ascii="Tahoma" w:hAnsi="Tahoma" w:cs="Tahoma"/>
          <w:i/>
          <w:iCs/>
        </w:rPr>
        <w:t>RAIS</w:t>
      </w:r>
      <w:r w:rsidR="00D46E7C" w:rsidRPr="00760E4E">
        <w:rPr>
          <w:rFonts w:ascii="Tahoma" w:hAnsi="Tahoma" w:cs="Tahoma"/>
          <w:i/>
          <w:iCs/>
        </w:rPr>
        <w:t xml:space="preserve">”, “inexistencia de la obligación de devolver el pago al seguro previsional cuando se declara la nulidad o ineficacia de la afiliación al </w:t>
      </w:r>
      <w:r w:rsidR="00066D0F" w:rsidRPr="00760E4E">
        <w:rPr>
          <w:rFonts w:ascii="Tahoma" w:hAnsi="Tahoma" w:cs="Tahoma"/>
          <w:i/>
          <w:iCs/>
        </w:rPr>
        <w:t>RAIS</w:t>
      </w:r>
      <w:r w:rsidR="00D46E7C" w:rsidRPr="00760E4E">
        <w:rPr>
          <w:rFonts w:ascii="Tahoma" w:hAnsi="Tahoma" w:cs="Tahoma"/>
          <w:i/>
          <w:iCs/>
        </w:rPr>
        <w:t>”, “prescripción”, “buena fe”</w:t>
      </w:r>
      <w:r w:rsidR="00066D0F" w:rsidRPr="00760E4E">
        <w:rPr>
          <w:rFonts w:ascii="Tahoma" w:hAnsi="Tahoma" w:cs="Tahoma"/>
          <w:i/>
          <w:iCs/>
        </w:rPr>
        <w:t xml:space="preserve"> </w:t>
      </w:r>
      <w:r w:rsidR="00066D0F" w:rsidRPr="00760E4E">
        <w:rPr>
          <w:rFonts w:ascii="Tahoma" w:hAnsi="Tahoma" w:cs="Tahoma"/>
          <w:iCs/>
        </w:rPr>
        <w:t>e</w:t>
      </w:r>
      <w:r w:rsidR="00D46E7C" w:rsidRPr="00760E4E">
        <w:rPr>
          <w:rFonts w:ascii="Tahoma" w:hAnsi="Tahoma" w:cs="Tahoma"/>
          <w:i/>
          <w:iCs/>
        </w:rPr>
        <w:t xml:space="preserve"> “innominada o genérica”.</w:t>
      </w:r>
    </w:p>
    <w:p w14:paraId="2DAA68C0" w14:textId="4E02E81B" w:rsidR="008F0250" w:rsidRDefault="008F0250" w:rsidP="00760E4E">
      <w:pPr>
        <w:spacing w:before="0" w:beforeAutospacing="0" w:after="0" w:afterAutospacing="0" w:line="276" w:lineRule="auto"/>
        <w:ind w:firstLine="708"/>
        <w:contextualSpacing/>
        <w:rPr>
          <w:rStyle w:val="Ttulodellibro"/>
          <w:rFonts w:ascii="Tahoma" w:hAnsi="Tahoma" w:cs="Tahoma"/>
          <w:b w:val="0"/>
          <w:bCs w:val="0"/>
          <w:i w:val="0"/>
          <w:iCs w:val="0"/>
        </w:rPr>
      </w:pPr>
    </w:p>
    <w:p w14:paraId="608F3EBB" w14:textId="77777777" w:rsidR="00760E4E" w:rsidRPr="00760E4E" w:rsidRDefault="00760E4E" w:rsidP="00760E4E">
      <w:pPr>
        <w:spacing w:before="0" w:beforeAutospacing="0" w:after="0" w:afterAutospacing="0" w:line="276" w:lineRule="auto"/>
        <w:ind w:firstLine="708"/>
        <w:contextualSpacing/>
        <w:rPr>
          <w:rStyle w:val="Ttulodellibro"/>
          <w:rFonts w:ascii="Tahoma" w:hAnsi="Tahoma" w:cs="Tahoma"/>
          <w:b w:val="0"/>
          <w:bCs w:val="0"/>
          <w:i w:val="0"/>
          <w:iCs w:val="0"/>
        </w:rPr>
      </w:pPr>
    </w:p>
    <w:p w14:paraId="11AD750A" w14:textId="41212BED" w:rsidR="00286FED" w:rsidRPr="00760E4E" w:rsidRDefault="00DC4FE9" w:rsidP="00760E4E">
      <w:pPr>
        <w:pStyle w:val="Prrafodelista"/>
        <w:numPr>
          <w:ilvl w:val="0"/>
          <w:numId w:val="1"/>
        </w:numPr>
        <w:spacing w:line="276" w:lineRule="auto"/>
        <w:ind w:left="426" w:hanging="426"/>
        <w:jc w:val="center"/>
        <w:rPr>
          <w:rFonts w:cs="Tahoma"/>
          <w:b/>
          <w:bCs/>
          <w:szCs w:val="24"/>
        </w:rPr>
      </w:pPr>
      <w:r w:rsidRPr="00760E4E">
        <w:rPr>
          <w:rFonts w:cs="Tahoma"/>
          <w:b/>
          <w:bCs/>
          <w:szCs w:val="24"/>
        </w:rPr>
        <w:t>Sentencia de primera instancia</w:t>
      </w:r>
    </w:p>
    <w:p w14:paraId="62B05824" w14:textId="77777777" w:rsidR="00286FED" w:rsidRPr="00760E4E" w:rsidRDefault="00286FED" w:rsidP="00760E4E">
      <w:pPr>
        <w:spacing w:before="0" w:beforeAutospacing="0" w:after="0" w:afterAutospacing="0" w:line="276" w:lineRule="auto"/>
        <w:ind w:firstLine="0"/>
        <w:contextualSpacing/>
        <w:rPr>
          <w:rFonts w:ascii="Tahoma" w:eastAsia="Calibri" w:hAnsi="Tahoma" w:cs="Tahoma"/>
          <w:lang w:val="es-ES"/>
        </w:rPr>
      </w:pPr>
    </w:p>
    <w:p w14:paraId="57FBD13E" w14:textId="2A148CC3" w:rsidR="00712ADA" w:rsidRPr="00760E4E" w:rsidRDefault="00CB33D8" w:rsidP="00760E4E">
      <w:pPr>
        <w:widowControl w:val="0"/>
        <w:autoSpaceDE w:val="0"/>
        <w:autoSpaceDN w:val="0"/>
        <w:spacing w:before="0" w:beforeAutospacing="0" w:after="0" w:afterAutospacing="0" w:line="276" w:lineRule="auto"/>
        <w:contextualSpacing/>
        <w:rPr>
          <w:rFonts w:ascii="Tahoma" w:eastAsia="Tahoma" w:hAnsi="Tahoma" w:cs="Tahoma"/>
          <w:u w:val="single"/>
          <w:lang w:val="es-ES"/>
        </w:rPr>
      </w:pPr>
      <w:r w:rsidRPr="00760E4E">
        <w:rPr>
          <w:rFonts w:ascii="Tahoma" w:eastAsia="Calibri" w:hAnsi="Tahoma" w:cs="Tahoma"/>
          <w:lang w:val="es-ES"/>
        </w:rPr>
        <w:t xml:space="preserve">La jueza de primera instancia declaró ineficaz el traslado de régimen pensional que efectuó </w:t>
      </w:r>
      <w:r w:rsidR="00F968D0" w:rsidRPr="00760E4E">
        <w:rPr>
          <w:rFonts w:ascii="Tahoma" w:eastAsia="Calibri" w:hAnsi="Tahoma" w:cs="Tahoma"/>
          <w:lang w:val="es-ES"/>
        </w:rPr>
        <w:t>l</w:t>
      </w:r>
      <w:r w:rsidR="00651B6E" w:rsidRPr="00760E4E">
        <w:rPr>
          <w:rFonts w:ascii="Tahoma" w:eastAsia="Calibri" w:hAnsi="Tahoma" w:cs="Tahoma"/>
          <w:lang w:val="es-ES"/>
        </w:rPr>
        <w:t>a</w:t>
      </w:r>
      <w:r w:rsidRPr="00760E4E">
        <w:rPr>
          <w:rFonts w:ascii="Tahoma" w:eastAsia="Calibri" w:hAnsi="Tahoma" w:cs="Tahoma"/>
          <w:lang w:val="es-ES"/>
        </w:rPr>
        <w:t xml:space="preserve"> demandante</w:t>
      </w:r>
      <w:r w:rsidR="00F968D0" w:rsidRPr="00760E4E">
        <w:rPr>
          <w:rFonts w:ascii="Tahoma" w:eastAsia="Calibri" w:hAnsi="Tahoma" w:cs="Tahoma"/>
          <w:lang w:val="es-ES"/>
        </w:rPr>
        <w:t xml:space="preserve"> a través de </w:t>
      </w:r>
      <w:r w:rsidR="00DB404D" w:rsidRPr="00760E4E">
        <w:rPr>
          <w:rFonts w:ascii="Tahoma" w:eastAsia="Calibri" w:hAnsi="Tahoma" w:cs="Tahoma"/>
          <w:lang w:val="es-ES"/>
        </w:rPr>
        <w:t>Colfondos</w:t>
      </w:r>
      <w:r w:rsidR="00F968D0" w:rsidRPr="00760E4E">
        <w:rPr>
          <w:rFonts w:ascii="Tahoma" w:eastAsia="Calibri" w:hAnsi="Tahoma" w:cs="Tahoma"/>
          <w:lang w:val="es-ES"/>
        </w:rPr>
        <w:t xml:space="preserve"> S.A.</w:t>
      </w:r>
      <w:r w:rsidRPr="00760E4E">
        <w:rPr>
          <w:rFonts w:ascii="Tahoma" w:eastAsia="Calibri" w:hAnsi="Tahoma" w:cs="Tahoma"/>
          <w:lang w:val="es-ES"/>
        </w:rPr>
        <w:t xml:space="preserve"> el día </w:t>
      </w:r>
      <w:r w:rsidR="00DB404D" w:rsidRPr="00760E4E">
        <w:rPr>
          <w:rFonts w:ascii="Tahoma" w:eastAsia="Calibri" w:hAnsi="Tahoma" w:cs="Tahoma"/>
          <w:lang w:val="es-ES"/>
        </w:rPr>
        <w:t>15</w:t>
      </w:r>
      <w:r w:rsidR="00651B6E" w:rsidRPr="00760E4E">
        <w:rPr>
          <w:rFonts w:ascii="Tahoma" w:eastAsia="Calibri" w:hAnsi="Tahoma" w:cs="Tahoma"/>
          <w:lang w:val="es-ES"/>
        </w:rPr>
        <w:t xml:space="preserve"> de </w:t>
      </w:r>
      <w:r w:rsidR="00DB404D" w:rsidRPr="00760E4E">
        <w:rPr>
          <w:rFonts w:ascii="Tahoma" w:eastAsia="Calibri" w:hAnsi="Tahoma" w:cs="Tahoma"/>
          <w:lang w:val="es-ES"/>
        </w:rPr>
        <w:t>noviembre</w:t>
      </w:r>
      <w:r w:rsidR="00651B6E" w:rsidRPr="00760E4E">
        <w:rPr>
          <w:rFonts w:ascii="Tahoma" w:eastAsia="Calibri" w:hAnsi="Tahoma" w:cs="Tahoma"/>
          <w:lang w:val="es-ES"/>
        </w:rPr>
        <w:t xml:space="preserve"> de 199</w:t>
      </w:r>
      <w:r w:rsidR="00DB404D" w:rsidRPr="00760E4E">
        <w:rPr>
          <w:rFonts w:ascii="Tahoma" w:eastAsia="Calibri" w:hAnsi="Tahoma" w:cs="Tahoma"/>
          <w:lang w:val="es-ES"/>
        </w:rPr>
        <w:t>4</w:t>
      </w:r>
      <w:r w:rsidRPr="00760E4E">
        <w:rPr>
          <w:rFonts w:ascii="Tahoma" w:eastAsia="Calibri" w:hAnsi="Tahoma" w:cs="Tahoma"/>
          <w:lang w:val="es-ES"/>
        </w:rPr>
        <w:t xml:space="preserve"> y en virtud de tal declaración, declaró que </w:t>
      </w:r>
      <w:r w:rsidR="00BE3AF9" w:rsidRPr="00760E4E">
        <w:rPr>
          <w:rFonts w:ascii="Tahoma" w:eastAsia="Calibri" w:hAnsi="Tahoma" w:cs="Tahoma"/>
          <w:lang w:val="es-ES"/>
        </w:rPr>
        <w:t>est</w:t>
      </w:r>
      <w:r w:rsidR="00F968D0" w:rsidRPr="00760E4E">
        <w:rPr>
          <w:rFonts w:ascii="Tahoma" w:eastAsia="Calibri" w:hAnsi="Tahoma" w:cs="Tahoma"/>
          <w:lang w:val="es-ES"/>
        </w:rPr>
        <w:t>e</w:t>
      </w:r>
      <w:r w:rsidRPr="00760E4E">
        <w:rPr>
          <w:rFonts w:ascii="Tahoma" w:eastAsia="Calibri" w:hAnsi="Tahoma" w:cs="Tahoma"/>
          <w:lang w:val="es-ES"/>
        </w:rPr>
        <w:t xml:space="preserve"> seguía afiliad</w:t>
      </w:r>
      <w:r w:rsidR="00651B6E" w:rsidRPr="00760E4E">
        <w:rPr>
          <w:rFonts w:ascii="Tahoma" w:eastAsia="Calibri" w:hAnsi="Tahoma" w:cs="Tahoma"/>
          <w:lang w:val="es-ES"/>
        </w:rPr>
        <w:t>a</w:t>
      </w:r>
      <w:r w:rsidRPr="00760E4E">
        <w:rPr>
          <w:rFonts w:ascii="Tahoma" w:eastAsia="Calibri" w:hAnsi="Tahoma" w:cs="Tahoma"/>
          <w:lang w:val="es-ES"/>
        </w:rPr>
        <w:t xml:space="preserve"> al régimen de prima media con prestación definida actualmente administrado por COLPENSIONES.</w:t>
      </w:r>
      <w:r w:rsidR="007D5BA4" w:rsidRPr="00760E4E">
        <w:rPr>
          <w:rFonts w:ascii="Tahoma" w:eastAsia="Calibri" w:hAnsi="Tahoma" w:cs="Tahoma"/>
          <w:lang w:val="es-ES"/>
        </w:rPr>
        <w:t xml:space="preserve"> </w:t>
      </w:r>
      <w:r w:rsidR="73B1A11E" w:rsidRPr="00760E4E">
        <w:rPr>
          <w:rFonts w:ascii="Tahoma" w:eastAsia="Calibri" w:hAnsi="Tahoma" w:cs="Tahoma"/>
          <w:lang w:val="es-ES"/>
        </w:rPr>
        <w:t>Asimismo, declaró inefica</w:t>
      </w:r>
      <w:r w:rsidR="00651B6E" w:rsidRPr="00760E4E">
        <w:rPr>
          <w:rFonts w:ascii="Tahoma" w:eastAsia="Calibri" w:hAnsi="Tahoma" w:cs="Tahoma"/>
          <w:lang w:val="es-ES"/>
        </w:rPr>
        <w:t>z</w:t>
      </w:r>
      <w:r w:rsidR="73B1A11E" w:rsidRPr="00760E4E">
        <w:rPr>
          <w:rFonts w:ascii="Tahoma" w:eastAsia="Tahoma" w:hAnsi="Tahoma" w:cs="Tahoma"/>
          <w:lang w:val="es-ES"/>
        </w:rPr>
        <w:t xml:space="preserve"> </w:t>
      </w:r>
      <w:r w:rsidR="00651B6E" w:rsidRPr="00760E4E">
        <w:rPr>
          <w:rFonts w:ascii="Tahoma" w:eastAsia="Tahoma" w:hAnsi="Tahoma" w:cs="Tahoma"/>
          <w:lang w:val="es-ES"/>
        </w:rPr>
        <w:t>el</w:t>
      </w:r>
      <w:r w:rsidR="73B1A11E" w:rsidRPr="00760E4E">
        <w:rPr>
          <w:rFonts w:ascii="Tahoma" w:eastAsia="Tahoma" w:hAnsi="Tahoma" w:cs="Tahoma"/>
          <w:lang w:val="es-ES"/>
        </w:rPr>
        <w:t xml:space="preserve"> traslado efectuado con posterioridad al primero, concretamente </w:t>
      </w:r>
      <w:r w:rsidR="00651B6E" w:rsidRPr="00760E4E">
        <w:rPr>
          <w:rFonts w:ascii="Tahoma" w:eastAsia="Tahoma" w:hAnsi="Tahoma" w:cs="Tahoma"/>
          <w:lang w:val="es-ES"/>
        </w:rPr>
        <w:t>el del</w:t>
      </w:r>
      <w:r w:rsidR="00DB404D" w:rsidRPr="00760E4E">
        <w:rPr>
          <w:rFonts w:ascii="Tahoma" w:eastAsia="Tahoma" w:hAnsi="Tahoma" w:cs="Tahoma"/>
          <w:lang w:val="es-ES"/>
        </w:rPr>
        <w:t xml:space="preserve"> 9</w:t>
      </w:r>
      <w:r w:rsidR="00651B6E" w:rsidRPr="00760E4E">
        <w:rPr>
          <w:rFonts w:ascii="Tahoma" w:eastAsia="Tahoma" w:hAnsi="Tahoma" w:cs="Tahoma"/>
          <w:lang w:val="es-ES"/>
        </w:rPr>
        <w:t xml:space="preserve"> de </w:t>
      </w:r>
      <w:r w:rsidR="00DB404D" w:rsidRPr="00760E4E">
        <w:rPr>
          <w:rFonts w:ascii="Tahoma" w:eastAsia="Tahoma" w:hAnsi="Tahoma" w:cs="Tahoma"/>
          <w:lang w:val="es-ES"/>
        </w:rPr>
        <w:t>abril</w:t>
      </w:r>
      <w:r w:rsidR="00651B6E" w:rsidRPr="00760E4E">
        <w:rPr>
          <w:rFonts w:ascii="Tahoma" w:eastAsia="Tahoma" w:hAnsi="Tahoma" w:cs="Tahoma"/>
          <w:lang w:val="es-ES"/>
        </w:rPr>
        <w:t xml:space="preserve"> de</w:t>
      </w:r>
      <w:r w:rsidR="00DB404D" w:rsidRPr="00760E4E">
        <w:rPr>
          <w:rFonts w:ascii="Tahoma" w:eastAsia="Tahoma" w:hAnsi="Tahoma" w:cs="Tahoma"/>
          <w:lang w:val="es-ES"/>
        </w:rPr>
        <w:t>l</w:t>
      </w:r>
      <w:r w:rsidR="00651B6E" w:rsidRPr="00760E4E">
        <w:rPr>
          <w:rFonts w:ascii="Tahoma" w:eastAsia="Tahoma" w:hAnsi="Tahoma" w:cs="Tahoma"/>
          <w:lang w:val="es-ES"/>
        </w:rPr>
        <w:t xml:space="preserve"> </w:t>
      </w:r>
      <w:r w:rsidR="00DB404D" w:rsidRPr="00760E4E">
        <w:rPr>
          <w:rFonts w:ascii="Tahoma" w:eastAsia="Tahoma" w:hAnsi="Tahoma" w:cs="Tahoma"/>
          <w:lang w:val="es-ES"/>
        </w:rPr>
        <w:t>2002</w:t>
      </w:r>
      <w:r w:rsidR="00F968D0" w:rsidRPr="00760E4E">
        <w:rPr>
          <w:rFonts w:ascii="Tahoma" w:eastAsia="Tahoma" w:hAnsi="Tahoma" w:cs="Tahoma"/>
          <w:lang w:val="es-ES"/>
        </w:rPr>
        <w:t>, llevad</w:t>
      </w:r>
      <w:r w:rsidR="00651B6E" w:rsidRPr="00760E4E">
        <w:rPr>
          <w:rFonts w:ascii="Tahoma" w:eastAsia="Tahoma" w:hAnsi="Tahoma" w:cs="Tahoma"/>
          <w:lang w:val="es-ES"/>
        </w:rPr>
        <w:t>o</w:t>
      </w:r>
      <w:r w:rsidR="00F968D0" w:rsidRPr="00760E4E">
        <w:rPr>
          <w:rFonts w:ascii="Tahoma" w:eastAsia="Tahoma" w:hAnsi="Tahoma" w:cs="Tahoma"/>
          <w:lang w:val="es-ES"/>
        </w:rPr>
        <w:t xml:space="preserve"> a cabo a través de </w:t>
      </w:r>
      <w:r w:rsidR="00DB404D" w:rsidRPr="00760E4E">
        <w:rPr>
          <w:rFonts w:ascii="Tahoma" w:eastAsia="Tahoma" w:hAnsi="Tahoma" w:cs="Tahoma"/>
          <w:lang w:val="es-ES"/>
        </w:rPr>
        <w:t>la AFP Horizonte hoy Porvenir S.A</w:t>
      </w:r>
      <w:r w:rsidR="00651B6E" w:rsidRPr="00760E4E">
        <w:rPr>
          <w:rFonts w:ascii="Tahoma" w:eastAsia="Tahoma" w:hAnsi="Tahoma" w:cs="Tahoma"/>
          <w:lang w:val="es-ES"/>
        </w:rPr>
        <w:t>.</w:t>
      </w:r>
    </w:p>
    <w:p w14:paraId="0280EE11" w14:textId="34BAFBF3" w:rsidR="00712ADA" w:rsidRPr="00760E4E" w:rsidRDefault="00CB33D8" w:rsidP="00760E4E">
      <w:pPr>
        <w:widowControl w:val="0"/>
        <w:autoSpaceDE w:val="0"/>
        <w:autoSpaceDN w:val="0"/>
        <w:spacing w:before="0" w:beforeAutospacing="0" w:after="0" w:afterAutospacing="0" w:line="276" w:lineRule="auto"/>
        <w:contextualSpacing/>
        <w:rPr>
          <w:rFonts w:ascii="Tahoma" w:eastAsia="Calibri" w:hAnsi="Tahoma" w:cs="Tahoma"/>
          <w:lang w:val="es-ES"/>
        </w:rPr>
      </w:pPr>
      <w:r w:rsidRPr="00760E4E">
        <w:rPr>
          <w:rFonts w:ascii="Tahoma" w:eastAsia="Calibri" w:hAnsi="Tahoma" w:cs="Tahoma"/>
          <w:lang w:val="es-ES"/>
        </w:rPr>
        <w:t xml:space="preserve"> </w:t>
      </w:r>
    </w:p>
    <w:p w14:paraId="34FA49CE" w14:textId="77777777" w:rsidR="008F0250" w:rsidRPr="00760E4E" w:rsidRDefault="00CB33D8" w:rsidP="00760E4E">
      <w:pPr>
        <w:widowControl w:val="0"/>
        <w:autoSpaceDE w:val="0"/>
        <w:autoSpaceDN w:val="0"/>
        <w:spacing w:before="0" w:beforeAutospacing="0" w:after="0" w:afterAutospacing="0" w:line="276" w:lineRule="auto"/>
        <w:contextualSpacing/>
        <w:rPr>
          <w:rFonts w:ascii="Tahoma" w:eastAsia="Calibri" w:hAnsi="Tahoma" w:cs="Tahoma"/>
          <w:iCs/>
          <w:lang w:val="es-ES"/>
        </w:rPr>
      </w:pPr>
      <w:r w:rsidRPr="00760E4E">
        <w:rPr>
          <w:rFonts w:ascii="Tahoma" w:eastAsia="Calibri" w:hAnsi="Tahoma" w:cs="Tahoma"/>
          <w:lang w:val="es-ES"/>
        </w:rPr>
        <w:t xml:space="preserve">En consecuencia, ordenó a </w:t>
      </w:r>
      <w:r w:rsidR="45C81E45" w:rsidRPr="00760E4E">
        <w:rPr>
          <w:rFonts w:ascii="Tahoma" w:eastAsia="Calibri" w:hAnsi="Tahoma" w:cs="Tahoma"/>
          <w:lang w:val="es-ES"/>
        </w:rPr>
        <w:t>esta última</w:t>
      </w:r>
      <w:r w:rsidR="00712ADA" w:rsidRPr="00760E4E">
        <w:rPr>
          <w:rFonts w:ascii="Tahoma" w:eastAsia="Calibri" w:hAnsi="Tahoma" w:cs="Tahoma"/>
          <w:lang w:val="es-ES"/>
        </w:rPr>
        <w:t xml:space="preserve"> </w:t>
      </w:r>
      <w:bookmarkStart w:id="2" w:name="_Hlk117246351"/>
      <w:r w:rsidRPr="00760E4E">
        <w:rPr>
          <w:rFonts w:ascii="Tahoma" w:eastAsia="Calibri" w:hAnsi="Tahoma" w:cs="Tahoma"/>
          <w:iCs/>
          <w:lang w:val="es-ES"/>
        </w:rPr>
        <w:t xml:space="preserve">que </w:t>
      </w:r>
      <w:r w:rsidR="00712ADA" w:rsidRPr="00760E4E">
        <w:rPr>
          <w:rFonts w:ascii="Tahoma" w:eastAsia="Calibri" w:hAnsi="Tahoma" w:cs="Tahoma"/>
          <w:iCs/>
          <w:lang w:val="es-ES"/>
        </w:rPr>
        <w:t xml:space="preserve">efectúe el traslado a </w:t>
      </w:r>
      <w:r w:rsidR="007D5BA4" w:rsidRPr="00760E4E">
        <w:rPr>
          <w:rFonts w:ascii="Tahoma" w:eastAsia="Calibri" w:hAnsi="Tahoma" w:cs="Tahoma"/>
          <w:iCs/>
          <w:lang w:val="es-ES"/>
        </w:rPr>
        <w:t xml:space="preserve">Colpensiones </w:t>
      </w:r>
      <w:r w:rsidR="00712ADA" w:rsidRPr="00760E4E">
        <w:rPr>
          <w:rFonts w:ascii="Tahoma" w:eastAsia="Calibri" w:hAnsi="Tahoma" w:cs="Tahoma"/>
          <w:iCs/>
          <w:lang w:val="es-ES"/>
        </w:rPr>
        <w:t>de la totalidad del capital existente en la cuenta de ahorro individual de</w:t>
      </w:r>
      <w:r w:rsidR="00651B6E" w:rsidRPr="00760E4E">
        <w:rPr>
          <w:rFonts w:ascii="Tahoma" w:eastAsia="Calibri" w:hAnsi="Tahoma" w:cs="Tahoma"/>
          <w:iCs/>
          <w:lang w:val="es-ES"/>
        </w:rPr>
        <w:t xml:space="preserve"> </w:t>
      </w:r>
      <w:r w:rsidR="007D5BA4" w:rsidRPr="00760E4E">
        <w:rPr>
          <w:rFonts w:ascii="Tahoma" w:eastAsia="Calibri" w:hAnsi="Tahoma" w:cs="Tahoma"/>
          <w:iCs/>
          <w:lang w:val="es-ES"/>
        </w:rPr>
        <w:t>l</w:t>
      </w:r>
      <w:r w:rsidR="00651B6E" w:rsidRPr="00760E4E">
        <w:rPr>
          <w:rFonts w:ascii="Tahoma" w:eastAsia="Calibri" w:hAnsi="Tahoma" w:cs="Tahoma"/>
          <w:iCs/>
          <w:lang w:val="es-ES"/>
        </w:rPr>
        <w:t>a</w:t>
      </w:r>
      <w:r w:rsidR="007D5BA4" w:rsidRPr="00760E4E">
        <w:rPr>
          <w:rFonts w:ascii="Tahoma" w:eastAsia="Calibri" w:hAnsi="Tahoma" w:cs="Tahoma"/>
          <w:iCs/>
          <w:lang w:val="es-ES"/>
        </w:rPr>
        <w:t xml:space="preserve"> demandante</w:t>
      </w:r>
      <w:r w:rsidR="00712ADA" w:rsidRPr="00760E4E">
        <w:rPr>
          <w:rFonts w:ascii="Tahoma" w:eastAsia="Calibri" w:hAnsi="Tahoma" w:cs="Tahoma"/>
          <w:iCs/>
          <w:lang w:val="es-ES"/>
        </w:rPr>
        <w:t>, con los respectivos rendimientos financieros</w:t>
      </w:r>
      <w:r w:rsidR="00D4309F" w:rsidRPr="00760E4E">
        <w:rPr>
          <w:rFonts w:ascii="Tahoma" w:eastAsia="Calibri" w:hAnsi="Tahoma" w:cs="Tahoma"/>
          <w:iCs/>
          <w:lang w:val="es-ES"/>
        </w:rPr>
        <w:t>, en el término de 1 mes</w:t>
      </w:r>
      <w:r w:rsidR="00712ADA" w:rsidRPr="00760E4E">
        <w:rPr>
          <w:rFonts w:ascii="Tahoma" w:eastAsia="Calibri" w:hAnsi="Tahoma" w:cs="Tahoma"/>
          <w:iCs/>
          <w:lang w:val="es-ES"/>
        </w:rPr>
        <w:t>. Así mismo</w:t>
      </w:r>
      <w:r w:rsidR="00D4309F" w:rsidRPr="00760E4E">
        <w:rPr>
          <w:rFonts w:ascii="Tahoma" w:eastAsia="Calibri" w:hAnsi="Tahoma" w:cs="Tahoma"/>
          <w:iCs/>
          <w:lang w:val="es-ES"/>
        </w:rPr>
        <w:t>, en conjunto con Colfondos S.A</w:t>
      </w:r>
      <w:r w:rsidR="00712ADA" w:rsidRPr="00760E4E">
        <w:rPr>
          <w:rFonts w:ascii="Tahoma" w:eastAsia="Calibri" w:hAnsi="Tahoma" w:cs="Tahoma"/>
          <w:iCs/>
          <w:lang w:val="es-ES"/>
        </w:rPr>
        <w:t xml:space="preserve"> a devolver </w:t>
      </w:r>
      <w:r w:rsidR="00B126A9" w:rsidRPr="00760E4E">
        <w:rPr>
          <w:rFonts w:ascii="Tahoma" w:eastAsia="Calibri" w:hAnsi="Tahoma" w:cs="Tahoma"/>
          <w:iCs/>
          <w:lang w:val="es-ES"/>
        </w:rPr>
        <w:t xml:space="preserve">a COLPENSIONES, con cargo a sus propios recursos y debidamente indexados, el valor de las comisiones y cuotas de administración que </w:t>
      </w:r>
      <w:r w:rsidR="00D4309F" w:rsidRPr="00760E4E">
        <w:rPr>
          <w:rFonts w:ascii="Tahoma" w:eastAsia="Calibri" w:hAnsi="Tahoma" w:cs="Tahoma"/>
          <w:iCs/>
          <w:lang w:val="es-ES"/>
        </w:rPr>
        <w:t>se cobraron</w:t>
      </w:r>
      <w:r w:rsidR="00B126A9" w:rsidRPr="00760E4E">
        <w:rPr>
          <w:rFonts w:ascii="Tahoma" w:eastAsia="Calibri" w:hAnsi="Tahoma" w:cs="Tahoma"/>
          <w:iCs/>
          <w:lang w:val="es-ES"/>
        </w:rPr>
        <w:t xml:space="preserve"> a la </w:t>
      </w:r>
      <w:r w:rsidR="00D4309F" w:rsidRPr="00760E4E">
        <w:rPr>
          <w:rFonts w:ascii="Tahoma" w:eastAsia="Calibri" w:hAnsi="Tahoma" w:cs="Tahoma"/>
          <w:iCs/>
          <w:lang w:val="es-ES"/>
        </w:rPr>
        <w:t>demandante</w:t>
      </w:r>
      <w:r w:rsidR="00B126A9" w:rsidRPr="00760E4E">
        <w:rPr>
          <w:rFonts w:ascii="Tahoma" w:eastAsia="Calibri" w:hAnsi="Tahoma" w:cs="Tahoma"/>
          <w:iCs/>
          <w:lang w:val="es-ES"/>
        </w:rPr>
        <w:t>, así como de las cuotas de garantía de pensión mínima y seguros previsionales</w:t>
      </w:r>
      <w:r w:rsidR="75DB0EB7" w:rsidRPr="00760E4E">
        <w:rPr>
          <w:rFonts w:ascii="Tahoma" w:eastAsia="Calibri" w:hAnsi="Tahoma" w:cs="Tahoma"/>
          <w:iCs/>
          <w:lang w:val="es-ES"/>
        </w:rPr>
        <w:t>.</w:t>
      </w:r>
    </w:p>
    <w:p w14:paraId="4C84E141" w14:textId="77777777" w:rsidR="008F0250" w:rsidRPr="00760E4E" w:rsidRDefault="008F0250" w:rsidP="00760E4E">
      <w:pPr>
        <w:widowControl w:val="0"/>
        <w:autoSpaceDE w:val="0"/>
        <w:autoSpaceDN w:val="0"/>
        <w:spacing w:before="0" w:beforeAutospacing="0" w:after="0" w:afterAutospacing="0" w:line="276" w:lineRule="auto"/>
        <w:contextualSpacing/>
        <w:rPr>
          <w:rFonts w:ascii="Tahoma" w:eastAsia="Calibri" w:hAnsi="Tahoma" w:cs="Tahoma"/>
          <w:iCs/>
          <w:lang w:val="es-ES"/>
        </w:rPr>
      </w:pPr>
    </w:p>
    <w:p w14:paraId="2636EEF3" w14:textId="6931E55B" w:rsidR="007D5BA4" w:rsidRPr="00760E4E" w:rsidRDefault="75DB0EB7" w:rsidP="00760E4E">
      <w:pPr>
        <w:widowControl w:val="0"/>
        <w:autoSpaceDE w:val="0"/>
        <w:autoSpaceDN w:val="0"/>
        <w:spacing w:before="0" w:beforeAutospacing="0" w:after="0" w:afterAutospacing="0" w:line="276" w:lineRule="auto"/>
        <w:contextualSpacing/>
        <w:rPr>
          <w:rFonts w:ascii="Tahoma" w:eastAsia="Calibri" w:hAnsi="Tahoma" w:cs="Tahoma"/>
          <w:lang w:val="es-ES"/>
        </w:rPr>
      </w:pPr>
      <w:r w:rsidRPr="00760E4E">
        <w:rPr>
          <w:rFonts w:ascii="Tahoma" w:eastAsia="Calibri" w:hAnsi="Tahoma" w:cs="Tahoma"/>
          <w:iCs/>
          <w:lang w:val="es-ES"/>
        </w:rPr>
        <w:t xml:space="preserve"> </w:t>
      </w:r>
      <w:r w:rsidR="008F0250" w:rsidRPr="00760E4E">
        <w:rPr>
          <w:rFonts w:ascii="Tahoma" w:eastAsia="Calibri" w:hAnsi="Tahoma" w:cs="Tahoma"/>
          <w:iCs/>
          <w:lang w:val="es-ES"/>
        </w:rPr>
        <w:t xml:space="preserve">Concomitante a ello </w:t>
      </w:r>
      <w:r w:rsidR="00E43EB4" w:rsidRPr="00760E4E">
        <w:rPr>
          <w:rFonts w:ascii="Tahoma" w:eastAsia="Calibri" w:hAnsi="Tahoma" w:cs="Tahoma"/>
          <w:iCs/>
          <w:lang w:val="es-ES"/>
        </w:rPr>
        <w:t xml:space="preserve">ordenó a Colpensiones tener como vinculada sin solución de continuidad a </w:t>
      </w:r>
      <w:r w:rsidR="004B6788" w:rsidRPr="00760E4E">
        <w:rPr>
          <w:rFonts w:ascii="Tahoma" w:eastAsia="Calibri" w:hAnsi="Tahoma" w:cs="Tahoma"/>
          <w:iCs/>
          <w:lang w:val="es-ES"/>
        </w:rPr>
        <w:t>la señora Olga Rocío Henao Restrepo</w:t>
      </w:r>
      <w:r w:rsidR="008F0250" w:rsidRPr="00760E4E">
        <w:rPr>
          <w:rFonts w:ascii="Tahoma" w:eastAsia="Calibri" w:hAnsi="Tahoma" w:cs="Tahoma"/>
          <w:iCs/>
          <w:lang w:val="es-ES"/>
        </w:rPr>
        <w:t xml:space="preserve"> y dispuso </w:t>
      </w:r>
      <w:r w:rsidR="007D5BA4" w:rsidRPr="00760E4E">
        <w:rPr>
          <w:rFonts w:ascii="Tahoma" w:eastAsia="Calibri" w:hAnsi="Tahoma" w:cs="Tahoma"/>
          <w:lang w:val="es-ES"/>
        </w:rPr>
        <w:t>comunicar el contenido de la sentencia a la O</w:t>
      </w:r>
      <w:r w:rsidR="00E43EB4" w:rsidRPr="00760E4E">
        <w:rPr>
          <w:rFonts w:ascii="Tahoma" w:eastAsia="Calibri" w:hAnsi="Tahoma" w:cs="Tahoma"/>
          <w:lang w:val="es-ES"/>
        </w:rPr>
        <w:t xml:space="preserve">ficina de </w:t>
      </w:r>
      <w:r w:rsidR="007D5BA4" w:rsidRPr="00760E4E">
        <w:rPr>
          <w:rFonts w:ascii="Tahoma" w:eastAsia="Calibri" w:hAnsi="Tahoma" w:cs="Tahoma"/>
          <w:lang w:val="es-ES"/>
        </w:rPr>
        <w:t>B</w:t>
      </w:r>
      <w:r w:rsidR="00E43EB4" w:rsidRPr="00760E4E">
        <w:rPr>
          <w:rFonts w:ascii="Tahoma" w:eastAsia="Calibri" w:hAnsi="Tahoma" w:cs="Tahoma"/>
          <w:lang w:val="es-ES"/>
        </w:rPr>
        <w:t xml:space="preserve">onos </w:t>
      </w:r>
      <w:r w:rsidR="007D5BA4" w:rsidRPr="00760E4E">
        <w:rPr>
          <w:rFonts w:ascii="Tahoma" w:eastAsia="Calibri" w:hAnsi="Tahoma" w:cs="Tahoma"/>
          <w:lang w:val="es-ES"/>
        </w:rPr>
        <w:t>P</w:t>
      </w:r>
      <w:r w:rsidR="00E43EB4" w:rsidRPr="00760E4E">
        <w:rPr>
          <w:rFonts w:ascii="Tahoma" w:eastAsia="Calibri" w:hAnsi="Tahoma" w:cs="Tahoma"/>
          <w:lang w:val="es-ES"/>
        </w:rPr>
        <w:t>ensionales (OBP)</w:t>
      </w:r>
      <w:r w:rsidR="007D5BA4" w:rsidRPr="00760E4E">
        <w:rPr>
          <w:rFonts w:ascii="Tahoma" w:eastAsia="Calibri" w:hAnsi="Tahoma" w:cs="Tahoma"/>
          <w:lang w:val="es-ES"/>
        </w:rPr>
        <w:t xml:space="preserve"> del Ministerio de Hacienda y Crédito Público, para que, en caso de haber emitido el bono pensional, proceda con la anulación del mismo mediante trámite interno, aplicando la legislación vigente.</w:t>
      </w:r>
    </w:p>
    <w:p w14:paraId="1F4DA40D" w14:textId="009B376E" w:rsidR="005227F3" w:rsidRPr="00760E4E" w:rsidRDefault="005227F3" w:rsidP="00760E4E">
      <w:pPr>
        <w:widowControl w:val="0"/>
        <w:autoSpaceDE w:val="0"/>
        <w:autoSpaceDN w:val="0"/>
        <w:spacing w:before="0" w:beforeAutospacing="0" w:after="0" w:afterAutospacing="0" w:line="276" w:lineRule="auto"/>
        <w:contextualSpacing/>
        <w:rPr>
          <w:rFonts w:ascii="Tahoma" w:eastAsia="Calibri" w:hAnsi="Tahoma" w:cs="Tahoma"/>
          <w:lang w:val="es-ES"/>
        </w:rPr>
      </w:pPr>
    </w:p>
    <w:p w14:paraId="5DAA2CFC" w14:textId="218B9B86" w:rsidR="005227F3" w:rsidRPr="00760E4E" w:rsidRDefault="005227F3" w:rsidP="00760E4E">
      <w:pPr>
        <w:widowControl w:val="0"/>
        <w:autoSpaceDE w:val="0"/>
        <w:autoSpaceDN w:val="0"/>
        <w:spacing w:before="0" w:beforeAutospacing="0" w:after="0" w:afterAutospacing="0" w:line="276" w:lineRule="auto"/>
        <w:contextualSpacing/>
        <w:rPr>
          <w:rFonts w:ascii="Tahoma" w:eastAsia="Calibri" w:hAnsi="Tahoma" w:cs="Tahoma"/>
          <w:lang w:val="es-ES"/>
        </w:rPr>
      </w:pPr>
      <w:r w:rsidRPr="00760E4E">
        <w:rPr>
          <w:rFonts w:ascii="Tahoma" w:eastAsia="Calibri" w:hAnsi="Tahoma" w:cs="Tahoma"/>
          <w:lang w:val="es-ES"/>
        </w:rPr>
        <w:lastRenderedPageBreak/>
        <w:t xml:space="preserve">Por último, condenó a </w:t>
      </w:r>
      <w:r w:rsidR="004B6788" w:rsidRPr="00760E4E">
        <w:rPr>
          <w:rFonts w:ascii="Tahoma" w:eastAsia="Calibri" w:hAnsi="Tahoma" w:cs="Tahoma"/>
          <w:lang w:val="es-ES"/>
        </w:rPr>
        <w:t>Colfondos</w:t>
      </w:r>
      <w:r w:rsidRPr="00760E4E">
        <w:rPr>
          <w:rFonts w:ascii="Tahoma" w:eastAsia="Calibri" w:hAnsi="Tahoma" w:cs="Tahoma"/>
          <w:lang w:val="es-ES"/>
        </w:rPr>
        <w:t xml:space="preserve"> S.A. al pago de las costas procesales, en un 100%, a favor de la parte demandante</w:t>
      </w:r>
      <w:r w:rsidR="004B6788" w:rsidRPr="00760E4E">
        <w:rPr>
          <w:rFonts w:ascii="Tahoma" w:eastAsia="Calibri" w:hAnsi="Tahoma" w:cs="Tahoma"/>
          <w:lang w:val="es-ES"/>
        </w:rPr>
        <w:t>.</w:t>
      </w:r>
      <w:r w:rsidRPr="00760E4E">
        <w:rPr>
          <w:rFonts w:ascii="Tahoma" w:eastAsia="Calibri" w:hAnsi="Tahoma" w:cs="Tahoma"/>
          <w:lang w:val="es-ES"/>
        </w:rPr>
        <w:t xml:space="preserve"> </w:t>
      </w:r>
    </w:p>
    <w:p w14:paraId="70876A35" w14:textId="2ADA554B" w:rsidR="00BE3AF9" w:rsidRPr="00760E4E" w:rsidRDefault="00BE3AF9" w:rsidP="00760E4E">
      <w:pPr>
        <w:widowControl w:val="0"/>
        <w:autoSpaceDE w:val="0"/>
        <w:autoSpaceDN w:val="0"/>
        <w:spacing w:before="0" w:beforeAutospacing="0" w:after="0" w:afterAutospacing="0" w:line="276" w:lineRule="auto"/>
        <w:contextualSpacing/>
        <w:rPr>
          <w:rFonts w:ascii="Tahoma" w:eastAsia="Calibri" w:hAnsi="Tahoma" w:cs="Tahoma"/>
          <w:i/>
          <w:iCs/>
          <w:lang w:val="es-ES"/>
        </w:rPr>
      </w:pPr>
    </w:p>
    <w:bookmarkEnd w:id="2"/>
    <w:p w14:paraId="683E6B95" w14:textId="13C00CC1" w:rsidR="00B25AD8" w:rsidRPr="00760E4E" w:rsidRDefault="00CB33D8" w:rsidP="00760E4E">
      <w:pPr>
        <w:widowControl w:val="0"/>
        <w:autoSpaceDE w:val="0"/>
        <w:autoSpaceDN w:val="0"/>
        <w:spacing w:before="0" w:beforeAutospacing="0" w:after="0" w:afterAutospacing="0" w:line="276" w:lineRule="auto"/>
        <w:contextualSpacing/>
        <w:rPr>
          <w:rFonts w:ascii="Tahoma" w:eastAsia="Calibri" w:hAnsi="Tahoma" w:cs="Tahoma"/>
          <w:lang w:val="es-ES"/>
        </w:rPr>
      </w:pPr>
      <w:r w:rsidRPr="00760E4E">
        <w:rPr>
          <w:rFonts w:ascii="Tahoma" w:eastAsia="Calibri" w:hAnsi="Tahoma" w:cs="Tahoma"/>
          <w:lang w:val="es-ES"/>
        </w:rPr>
        <w:t xml:space="preserve">Para llegar a tal determinación la </w:t>
      </w:r>
      <w:r w:rsidRPr="00760E4E">
        <w:rPr>
          <w:rFonts w:ascii="Tahoma" w:eastAsia="Calibri" w:hAnsi="Tahoma" w:cs="Tahoma"/>
          <w:i/>
          <w:lang w:val="es-ES"/>
        </w:rPr>
        <w:t>a-quo</w:t>
      </w:r>
      <w:r w:rsidRPr="00760E4E">
        <w:rPr>
          <w:rFonts w:ascii="Tahoma" w:eastAsia="Calibri" w:hAnsi="Tahoma" w:cs="Tahoma"/>
          <w:lang w:val="es-ES"/>
        </w:rPr>
        <w:t xml:space="preserve"> hizo un recuento legal y jurisprudencial respecto del deber de información a cargo de las AFP, la cual debía ser clara, cierta, comprensible y oportuna sobre las características, condiciones, beneficios, diferencias, riesgos y consecuencias del cambio de régimen pensional, carga que deben asumir desde la misma creación de los fondos</w:t>
      </w:r>
      <w:r w:rsidR="004F466C" w:rsidRPr="00760E4E">
        <w:rPr>
          <w:rFonts w:ascii="Tahoma" w:eastAsia="Calibri" w:hAnsi="Tahoma" w:cs="Tahoma"/>
          <w:lang w:val="es-ES"/>
        </w:rPr>
        <w:t>, para que no existiera en el potencial afiliado ningún tipo de duda, para de esta manera, el usuario eligiera el régimen pensional que se ajustara a sus expectativas pensionales.</w:t>
      </w:r>
      <w:r w:rsidRPr="00760E4E">
        <w:rPr>
          <w:rFonts w:ascii="Tahoma" w:eastAsia="Calibri" w:hAnsi="Tahoma" w:cs="Tahoma"/>
          <w:lang w:val="es-ES"/>
        </w:rPr>
        <w:t xml:space="preserve"> </w:t>
      </w:r>
    </w:p>
    <w:p w14:paraId="786535AD" w14:textId="77777777" w:rsidR="00B25AD8" w:rsidRPr="00760E4E" w:rsidRDefault="00B25AD8" w:rsidP="00760E4E">
      <w:pPr>
        <w:widowControl w:val="0"/>
        <w:autoSpaceDE w:val="0"/>
        <w:autoSpaceDN w:val="0"/>
        <w:spacing w:before="0" w:beforeAutospacing="0" w:after="0" w:afterAutospacing="0" w:line="276" w:lineRule="auto"/>
        <w:contextualSpacing/>
        <w:rPr>
          <w:rFonts w:ascii="Tahoma" w:eastAsia="Calibri" w:hAnsi="Tahoma" w:cs="Tahoma"/>
          <w:lang w:val="es-ES"/>
        </w:rPr>
      </w:pPr>
    </w:p>
    <w:p w14:paraId="1A5975DF" w14:textId="7E49AE0D" w:rsidR="008F4A6D" w:rsidRPr="00760E4E" w:rsidRDefault="00F51C8B" w:rsidP="00760E4E">
      <w:pPr>
        <w:widowControl w:val="0"/>
        <w:autoSpaceDE w:val="0"/>
        <w:autoSpaceDN w:val="0"/>
        <w:spacing w:before="0" w:beforeAutospacing="0" w:after="0" w:afterAutospacing="0" w:line="276" w:lineRule="auto"/>
        <w:contextualSpacing/>
        <w:rPr>
          <w:rFonts w:ascii="Tahoma" w:eastAsia="Calibri" w:hAnsi="Tahoma" w:cs="Tahoma"/>
          <w:lang w:val="es-ES"/>
        </w:rPr>
      </w:pPr>
      <w:r w:rsidRPr="00760E4E">
        <w:rPr>
          <w:rFonts w:ascii="Tahoma" w:eastAsia="Calibri" w:hAnsi="Tahoma" w:cs="Tahoma"/>
          <w:lang w:val="es-ES"/>
        </w:rPr>
        <w:t>Advirtió</w:t>
      </w:r>
      <w:r w:rsidR="00CB33D8" w:rsidRPr="00760E4E">
        <w:rPr>
          <w:rFonts w:ascii="Tahoma" w:eastAsia="Calibri" w:hAnsi="Tahoma" w:cs="Tahoma"/>
          <w:lang w:val="es-ES"/>
        </w:rPr>
        <w:t xml:space="preserve"> que la Corte</w:t>
      </w:r>
      <w:r w:rsidR="00210D29" w:rsidRPr="00760E4E">
        <w:rPr>
          <w:rFonts w:ascii="Tahoma" w:eastAsia="Calibri" w:hAnsi="Tahoma" w:cs="Tahoma"/>
          <w:lang w:val="es-ES"/>
        </w:rPr>
        <w:t xml:space="preserve"> Suprema de Justicia</w:t>
      </w:r>
      <w:r w:rsidR="004F466C" w:rsidRPr="00760E4E">
        <w:rPr>
          <w:rFonts w:ascii="Tahoma" w:eastAsia="Calibri" w:hAnsi="Tahoma" w:cs="Tahoma"/>
          <w:lang w:val="es-ES"/>
        </w:rPr>
        <w:t xml:space="preserve">, en varias </w:t>
      </w:r>
      <w:r w:rsidR="008F0250" w:rsidRPr="00760E4E">
        <w:rPr>
          <w:rFonts w:ascii="Tahoma" w:eastAsia="Calibri" w:hAnsi="Tahoma" w:cs="Tahoma"/>
          <w:lang w:val="es-ES"/>
        </w:rPr>
        <w:t>oportunidades</w:t>
      </w:r>
      <w:r w:rsidR="00CB33D8" w:rsidRPr="00760E4E">
        <w:rPr>
          <w:rFonts w:ascii="Tahoma" w:eastAsia="Calibri" w:hAnsi="Tahoma" w:cs="Tahoma"/>
          <w:lang w:val="es-ES"/>
        </w:rPr>
        <w:t xml:space="preserve"> ha establecido para este tipo de </w:t>
      </w:r>
      <w:r w:rsidR="00B25AD8" w:rsidRPr="00760E4E">
        <w:rPr>
          <w:rFonts w:ascii="Tahoma" w:eastAsia="Calibri" w:hAnsi="Tahoma" w:cs="Tahoma"/>
          <w:lang w:val="es-ES"/>
        </w:rPr>
        <w:t>asuntos</w:t>
      </w:r>
      <w:r w:rsidR="00CB33D8" w:rsidRPr="00760E4E">
        <w:rPr>
          <w:rFonts w:ascii="Tahoma" w:eastAsia="Calibri" w:hAnsi="Tahoma" w:cs="Tahoma"/>
          <w:lang w:val="es-ES"/>
        </w:rPr>
        <w:t xml:space="preserve"> </w:t>
      </w:r>
      <w:r w:rsidR="00210D29" w:rsidRPr="00760E4E">
        <w:rPr>
          <w:rFonts w:ascii="Tahoma" w:eastAsia="Calibri" w:hAnsi="Tahoma" w:cs="Tahoma"/>
          <w:lang w:val="es-ES"/>
        </w:rPr>
        <w:t>una regla de</w:t>
      </w:r>
      <w:r w:rsidR="00CB33D8" w:rsidRPr="00760E4E">
        <w:rPr>
          <w:rFonts w:ascii="Tahoma" w:eastAsia="Calibri" w:hAnsi="Tahoma" w:cs="Tahoma"/>
          <w:lang w:val="es-ES"/>
        </w:rPr>
        <w:t xml:space="preserve"> inversión de la carga de la prueba en favor de los afiliados, por lo cual le correspondía a </w:t>
      </w:r>
      <w:r w:rsidR="00BE3AF9" w:rsidRPr="00760E4E">
        <w:rPr>
          <w:rFonts w:ascii="Tahoma" w:eastAsia="Calibri" w:hAnsi="Tahoma" w:cs="Tahoma"/>
          <w:lang w:val="es-ES"/>
        </w:rPr>
        <w:t xml:space="preserve">los fondos privados demandados </w:t>
      </w:r>
      <w:r w:rsidR="00CB33D8" w:rsidRPr="00760E4E">
        <w:rPr>
          <w:rFonts w:ascii="Tahoma" w:eastAsia="Calibri" w:hAnsi="Tahoma" w:cs="Tahoma"/>
          <w:lang w:val="es-ES"/>
        </w:rPr>
        <w:t>probar que cumpli</w:t>
      </w:r>
      <w:r w:rsidR="00BE3AF9" w:rsidRPr="00760E4E">
        <w:rPr>
          <w:rFonts w:ascii="Tahoma" w:eastAsia="Calibri" w:hAnsi="Tahoma" w:cs="Tahoma"/>
          <w:lang w:val="es-ES"/>
        </w:rPr>
        <w:t>eron</w:t>
      </w:r>
      <w:r w:rsidR="00CB33D8" w:rsidRPr="00760E4E">
        <w:rPr>
          <w:rFonts w:ascii="Tahoma" w:eastAsia="Calibri" w:hAnsi="Tahoma" w:cs="Tahoma"/>
          <w:lang w:val="es-ES"/>
        </w:rPr>
        <w:t xml:space="preserve"> a cabalidad con el deber de información</w:t>
      </w:r>
      <w:r w:rsidR="00BE3AF9" w:rsidRPr="00760E4E">
        <w:rPr>
          <w:rFonts w:ascii="Tahoma" w:eastAsia="Calibri" w:hAnsi="Tahoma" w:cs="Tahoma"/>
          <w:lang w:val="es-ES"/>
        </w:rPr>
        <w:t>;</w:t>
      </w:r>
      <w:r w:rsidR="00CB33D8" w:rsidRPr="00760E4E">
        <w:rPr>
          <w:rFonts w:ascii="Tahoma" w:eastAsia="Calibri" w:hAnsi="Tahoma" w:cs="Tahoma"/>
          <w:lang w:val="es-ES"/>
        </w:rPr>
        <w:t xml:space="preserve"> sin embargo, </w:t>
      </w:r>
      <w:r w:rsidR="00BE3AF9" w:rsidRPr="00760E4E">
        <w:rPr>
          <w:rFonts w:ascii="Tahoma" w:eastAsia="Calibri" w:hAnsi="Tahoma" w:cs="Tahoma"/>
          <w:lang w:val="es-ES"/>
        </w:rPr>
        <w:t xml:space="preserve">en este caso, </w:t>
      </w:r>
      <w:r w:rsidR="004F466C" w:rsidRPr="00760E4E">
        <w:rPr>
          <w:rFonts w:ascii="Tahoma" w:eastAsia="Calibri" w:hAnsi="Tahoma" w:cs="Tahoma"/>
          <w:lang w:val="es-ES"/>
        </w:rPr>
        <w:t xml:space="preserve">las AFP </w:t>
      </w:r>
      <w:r w:rsidR="00CB33D8" w:rsidRPr="00760E4E">
        <w:rPr>
          <w:rFonts w:ascii="Tahoma" w:eastAsia="Calibri" w:hAnsi="Tahoma" w:cs="Tahoma"/>
          <w:lang w:val="es-ES"/>
        </w:rPr>
        <w:t>no logr</w:t>
      </w:r>
      <w:r w:rsidR="00BE3AF9" w:rsidRPr="00760E4E">
        <w:rPr>
          <w:rFonts w:ascii="Tahoma" w:eastAsia="Calibri" w:hAnsi="Tahoma" w:cs="Tahoma"/>
          <w:lang w:val="es-ES"/>
        </w:rPr>
        <w:t>aron</w:t>
      </w:r>
      <w:r w:rsidR="00CB33D8" w:rsidRPr="00760E4E">
        <w:rPr>
          <w:rFonts w:ascii="Tahoma" w:eastAsia="Calibri" w:hAnsi="Tahoma" w:cs="Tahoma"/>
          <w:lang w:val="es-ES"/>
        </w:rPr>
        <w:t xml:space="preserve"> demostrar </w:t>
      </w:r>
      <w:r w:rsidR="00BE3AF9" w:rsidRPr="00760E4E">
        <w:rPr>
          <w:rFonts w:ascii="Tahoma" w:eastAsia="Calibri" w:hAnsi="Tahoma" w:cs="Tahoma"/>
          <w:lang w:val="es-ES"/>
        </w:rPr>
        <w:t>esa exigencia</w:t>
      </w:r>
      <w:r w:rsidR="00CB33D8" w:rsidRPr="00760E4E">
        <w:rPr>
          <w:rFonts w:ascii="Tahoma" w:eastAsia="Calibri" w:hAnsi="Tahoma" w:cs="Tahoma"/>
          <w:lang w:val="es-ES"/>
        </w:rPr>
        <w:t xml:space="preserve"> para lograr exonerarse de las consecuencias derivadas de la declaratoria de ineficacia del traslado que realizó la </w:t>
      </w:r>
      <w:r w:rsidR="00BE3AF9" w:rsidRPr="00760E4E">
        <w:rPr>
          <w:rFonts w:ascii="Tahoma" w:eastAsia="Calibri" w:hAnsi="Tahoma" w:cs="Tahoma"/>
          <w:lang w:val="es-ES"/>
        </w:rPr>
        <w:t>demandante</w:t>
      </w:r>
      <w:r w:rsidR="008F0250" w:rsidRPr="00760E4E">
        <w:rPr>
          <w:rFonts w:ascii="Tahoma" w:eastAsia="Calibri" w:hAnsi="Tahoma" w:cs="Tahoma"/>
          <w:lang w:val="es-ES"/>
        </w:rPr>
        <w:t xml:space="preserve">. Así, </w:t>
      </w:r>
      <w:r w:rsidR="00CB33D8" w:rsidRPr="00760E4E">
        <w:rPr>
          <w:rFonts w:ascii="Tahoma" w:eastAsia="Calibri" w:hAnsi="Tahoma" w:cs="Tahoma"/>
          <w:lang w:val="es-ES"/>
        </w:rPr>
        <w:t>precisó que la sola suscripción de formulario</w:t>
      </w:r>
      <w:r w:rsidR="004F466C" w:rsidRPr="00760E4E">
        <w:rPr>
          <w:rFonts w:ascii="Tahoma" w:eastAsia="Calibri" w:hAnsi="Tahoma" w:cs="Tahoma"/>
          <w:lang w:val="es-ES"/>
        </w:rPr>
        <w:t>s y los traslados dentro del mismo RAIS</w:t>
      </w:r>
      <w:r w:rsidR="00B25AD8" w:rsidRPr="00760E4E">
        <w:rPr>
          <w:rFonts w:ascii="Tahoma" w:eastAsia="Calibri" w:hAnsi="Tahoma" w:cs="Tahoma"/>
          <w:lang w:val="es-ES"/>
        </w:rPr>
        <w:t>,</w:t>
      </w:r>
      <w:r w:rsidR="00CB33D8" w:rsidRPr="00760E4E">
        <w:rPr>
          <w:rFonts w:ascii="Tahoma" w:eastAsia="Calibri" w:hAnsi="Tahoma" w:cs="Tahoma"/>
          <w:lang w:val="es-ES"/>
        </w:rPr>
        <w:t xml:space="preserve"> no </w:t>
      </w:r>
      <w:r w:rsidR="008F0250" w:rsidRPr="00760E4E">
        <w:rPr>
          <w:rFonts w:ascii="Tahoma" w:eastAsia="Calibri" w:hAnsi="Tahoma" w:cs="Tahoma"/>
          <w:lang w:val="es-ES"/>
        </w:rPr>
        <w:t>son</w:t>
      </w:r>
      <w:r w:rsidR="00CB33D8" w:rsidRPr="00760E4E">
        <w:rPr>
          <w:rFonts w:ascii="Tahoma" w:eastAsia="Calibri" w:hAnsi="Tahoma" w:cs="Tahoma"/>
          <w:lang w:val="es-ES"/>
        </w:rPr>
        <w:t xml:space="preserve"> prueba suficiente para acreditar </w:t>
      </w:r>
      <w:r w:rsidR="004F466C" w:rsidRPr="00760E4E">
        <w:rPr>
          <w:rFonts w:ascii="Tahoma" w:eastAsia="Calibri" w:hAnsi="Tahoma" w:cs="Tahoma"/>
          <w:lang w:val="es-ES"/>
        </w:rPr>
        <w:t xml:space="preserve">que la </w:t>
      </w:r>
      <w:r w:rsidR="00CB33D8" w:rsidRPr="00760E4E">
        <w:rPr>
          <w:rFonts w:ascii="Tahoma" w:eastAsia="Calibri" w:hAnsi="Tahoma" w:cs="Tahoma"/>
          <w:lang w:val="es-ES"/>
        </w:rPr>
        <w:t xml:space="preserve">información </w:t>
      </w:r>
      <w:r w:rsidR="00426B12" w:rsidRPr="00760E4E">
        <w:rPr>
          <w:rFonts w:ascii="Tahoma" w:eastAsia="Calibri" w:hAnsi="Tahoma" w:cs="Tahoma"/>
          <w:lang w:val="es-ES"/>
        </w:rPr>
        <w:t xml:space="preserve">brindada por las </w:t>
      </w:r>
      <w:r w:rsidR="00CB33D8" w:rsidRPr="00760E4E">
        <w:rPr>
          <w:rFonts w:ascii="Tahoma" w:eastAsia="Calibri" w:hAnsi="Tahoma" w:cs="Tahoma"/>
          <w:lang w:val="es-ES"/>
        </w:rPr>
        <w:t xml:space="preserve">AFP </w:t>
      </w:r>
      <w:r w:rsidR="00426B12" w:rsidRPr="00760E4E">
        <w:rPr>
          <w:rFonts w:ascii="Tahoma" w:eastAsia="Calibri" w:hAnsi="Tahoma" w:cs="Tahoma"/>
          <w:lang w:val="es-ES"/>
        </w:rPr>
        <w:t xml:space="preserve">a la demandante fue completa y veraz, además de tampoco constituir </w:t>
      </w:r>
      <w:r w:rsidR="00CB33D8" w:rsidRPr="00760E4E">
        <w:rPr>
          <w:rFonts w:ascii="Tahoma" w:eastAsia="Calibri" w:hAnsi="Tahoma" w:cs="Tahoma"/>
          <w:lang w:val="es-ES"/>
        </w:rPr>
        <w:t>un consentimiento informado</w:t>
      </w:r>
      <w:r w:rsidR="00426B12" w:rsidRPr="00760E4E">
        <w:rPr>
          <w:rFonts w:ascii="Tahoma" w:eastAsia="Calibri" w:hAnsi="Tahoma" w:cs="Tahoma"/>
          <w:lang w:val="es-ES"/>
        </w:rPr>
        <w:t xml:space="preserve">, mismo que en ningún momento fue aportado por las AFP, refiriéndose solamente a la firma por parte de la demandante de los formularios de afiliación. </w:t>
      </w:r>
    </w:p>
    <w:p w14:paraId="2E0D6290" w14:textId="528B00CF" w:rsidR="00426B12" w:rsidRPr="00760E4E" w:rsidRDefault="00426B12" w:rsidP="00760E4E">
      <w:pPr>
        <w:widowControl w:val="0"/>
        <w:autoSpaceDE w:val="0"/>
        <w:autoSpaceDN w:val="0"/>
        <w:spacing w:before="0" w:beforeAutospacing="0" w:after="0" w:afterAutospacing="0" w:line="276" w:lineRule="auto"/>
        <w:contextualSpacing/>
        <w:rPr>
          <w:rFonts w:ascii="Tahoma" w:eastAsia="Calibri" w:hAnsi="Tahoma" w:cs="Tahoma"/>
          <w:lang w:val="es-ES"/>
        </w:rPr>
      </w:pPr>
    </w:p>
    <w:p w14:paraId="3A2E8C37" w14:textId="06B21BF7" w:rsidR="00CB33D8" w:rsidRPr="00760E4E" w:rsidRDefault="00426B12" w:rsidP="00760E4E">
      <w:pPr>
        <w:widowControl w:val="0"/>
        <w:autoSpaceDE w:val="0"/>
        <w:autoSpaceDN w:val="0"/>
        <w:spacing w:before="0" w:beforeAutospacing="0" w:after="0" w:afterAutospacing="0" w:line="276" w:lineRule="auto"/>
        <w:contextualSpacing/>
        <w:rPr>
          <w:rFonts w:ascii="Tahoma" w:eastAsia="Calibri" w:hAnsi="Tahoma" w:cs="Tahoma"/>
          <w:lang w:val="es-ES"/>
        </w:rPr>
      </w:pPr>
      <w:r w:rsidRPr="00760E4E">
        <w:rPr>
          <w:rFonts w:ascii="Tahoma" w:eastAsia="Calibri" w:hAnsi="Tahoma" w:cs="Tahoma"/>
          <w:lang w:val="es-ES"/>
        </w:rPr>
        <w:t xml:space="preserve">Por último, no compartió el despacho el argumento presentado por el apoderado de Colpensiones, referente a que, al ser la demandante </w:t>
      </w:r>
      <w:r w:rsidR="001148DF" w:rsidRPr="00760E4E">
        <w:rPr>
          <w:rFonts w:ascii="Tahoma" w:eastAsia="Calibri" w:hAnsi="Tahoma" w:cs="Tahoma"/>
          <w:lang w:val="es-ES"/>
        </w:rPr>
        <w:t>servidora</w:t>
      </w:r>
      <w:r w:rsidRPr="00760E4E">
        <w:rPr>
          <w:rFonts w:ascii="Tahoma" w:eastAsia="Calibri" w:hAnsi="Tahoma" w:cs="Tahoma"/>
          <w:lang w:val="es-ES"/>
        </w:rPr>
        <w:t xml:space="preserve"> de la rama judicial, tuvo en su momento acceso a información referente al régimen de prima media por haber laborado en Juzgados Promiscuos</w:t>
      </w:r>
      <w:r w:rsidR="008F0250" w:rsidRPr="00760E4E">
        <w:rPr>
          <w:rFonts w:ascii="Tahoma" w:eastAsia="Calibri" w:hAnsi="Tahoma" w:cs="Tahoma"/>
          <w:lang w:val="es-ES"/>
        </w:rPr>
        <w:t>, toda vez que el trabajo de la actora</w:t>
      </w:r>
      <w:r w:rsidR="001148DF" w:rsidRPr="00760E4E">
        <w:rPr>
          <w:rFonts w:ascii="Tahoma" w:eastAsia="Calibri" w:hAnsi="Tahoma" w:cs="Tahoma"/>
          <w:lang w:val="es-ES"/>
        </w:rPr>
        <w:t xml:space="preserve"> no desvirtúa la obligación de las AFP de suministrar a sus afiliados información completa y veraz, por lo cual, declaró la ineficacia del traslado </w:t>
      </w:r>
      <w:r w:rsidR="00F5448A" w:rsidRPr="00760E4E">
        <w:rPr>
          <w:rFonts w:ascii="Tahoma" w:eastAsia="Calibri" w:hAnsi="Tahoma" w:cs="Tahoma"/>
          <w:lang w:val="es-ES"/>
        </w:rPr>
        <w:t xml:space="preserve">de la demandante, </w:t>
      </w:r>
      <w:r w:rsidR="001148DF" w:rsidRPr="00760E4E">
        <w:rPr>
          <w:rFonts w:ascii="Tahoma" w:eastAsia="Calibri" w:hAnsi="Tahoma" w:cs="Tahoma"/>
          <w:lang w:val="es-ES"/>
        </w:rPr>
        <w:t xml:space="preserve">del RPM al RAIS. </w:t>
      </w:r>
      <w:r w:rsidR="00CB33D8" w:rsidRPr="00760E4E">
        <w:rPr>
          <w:rFonts w:ascii="Tahoma" w:eastAsia="Calibri" w:hAnsi="Tahoma" w:cs="Tahoma"/>
          <w:lang w:val="es-ES"/>
        </w:rPr>
        <w:t xml:space="preserve"> </w:t>
      </w:r>
    </w:p>
    <w:p w14:paraId="2F18FE61" w14:textId="72666D7D" w:rsidR="004E21FD" w:rsidRDefault="004E21FD" w:rsidP="00760E4E">
      <w:pPr>
        <w:widowControl w:val="0"/>
        <w:autoSpaceDE w:val="0"/>
        <w:autoSpaceDN w:val="0"/>
        <w:spacing w:before="0" w:beforeAutospacing="0" w:after="0" w:afterAutospacing="0" w:line="276" w:lineRule="auto"/>
        <w:contextualSpacing/>
        <w:rPr>
          <w:rFonts w:ascii="Tahoma" w:eastAsia="Calibri" w:hAnsi="Tahoma" w:cs="Tahoma"/>
          <w:lang w:val="es-ES"/>
        </w:rPr>
      </w:pPr>
    </w:p>
    <w:p w14:paraId="5E834148" w14:textId="77777777" w:rsidR="00760E4E" w:rsidRPr="00760E4E" w:rsidRDefault="00760E4E" w:rsidP="00760E4E">
      <w:pPr>
        <w:widowControl w:val="0"/>
        <w:autoSpaceDE w:val="0"/>
        <w:autoSpaceDN w:val="0"/>
        <w:spacing w:before="0" w:beforeAutospacing="0" w:after="0" w:afterAutospacing="0" w:line="276" w:lineRule="auto"/>
        <w:contextualSpacing/>
        <w:rPr>
          <w:rFonts w:ascii="Tahoma" w:eastAsia="Calibri" w:hAnsi="Tahoma" w:cs="Tahoma"/>
          <w:lang w:val="es-ES"/>
        </w:rPr>
      </w:pPr>
    </w:p>
    <w:p w14:paraId="61F2BBDD" w14:textId="37E4F8F8" w:rsidR="00363345" w:rsidRPr="00760E4E" w:rsidRDefault="00363345" w:rsidP="00760E4E">
      <w:pPr>
        <w:pStyle w:val="Prrafodelista"/>
        <w:widowControl w:val="0"/>
        <w:numPr>
          <w:ilvl w:val="0"/>
          <w:numId w:val="1"/>
        </w:numPr>
        <w:autoSpaceDE w:val="0"/>
        <w:autoSpaceDN w:val="0"/>
        <w:spacing w:line="276" w:lineRule="auto"/>
        <w:ind w:left="0" w:firstLine="0"/>
        <w:jc w:val="center"/>
        <w:rPr>
          <w:rFonts w:eastAsia="Calibri" w:cs="Tahoma"/>
          <w:b/>
          <w:szCs w:val="24"/>
          <w:lang w:val="es-ES"/>
        </w:rPr>
      </w:pPr>
      <w:r w:rsidRPr="00760E4E">
        <w:rPr>
          <w:rFonts w:eastAsia="Calibri" w:cs="Tahoma"/>
          <w:b/>
          <w:szCs w:val="24"/>
          <w:lang w:val="es-ES"/>
        </w:rPr>
        <w:t>Recursos de apelación y procedencia de la consulta</w:t>
      </w:r>
    </w:p>
    <w:p w14:paraId="1F30DA75" w14:textId="77777777" w:rsidR="00EB4974" w:rsidRPr="00760E4E" w:rsidRDefault="00EB4974" w:rsidP="00760E4E">
      <w:pPr>
        <w:widowControl w:val="0"/>
        <w:autoSpaceDE w:val="0"/>
        <w:autoSpaceDN w:val="0"/>
        <w:spacing w:before="0" w:beforeAutospacing="0" w:after="0" w:afterAutospacing="0" w:line="276" w:lineRule="auto"/>
        <w:contextualSpacing/>
        <w:rPr>
          <w:rFonts w:ascii="Tahoma" w:eastAsia="Calibri" w:hAnsi="Tahoma" w:cs="Tahoma"/>
          <w:lang w:val="es-ES"/>
        </w:rPr>
      </w:pPr>
    </w:p>
    <w:p w14:paraId="2411CB07" w14:textId="6D411C87" w:rsidR="005227F3" w:rsidRPr="00760E4E" w:rsidRDefault="00363345" w:rsidP="00760E4E">
      <w:pPr>
        <w:widowControl w:val="0"/>
        <w:autoSpaceDE w:val="0"/>
        <w:autoSpaceDN w:val="0"/>
        <w:spacing w:before="0" w:beforeAutospacing="0" w:after="0" w:afterAutospacing="0" w:line="276" w:lineRule="auto"/>
        <w:contextualSpacing/>
        <w:rPr>
          <w:rFonts w:ascii="Tahoma" w:eastAsia="Times New Roman" w:hAnsi="Tahoma" w:cs="Tahoma"/>
          <w:color w:val="000000" w:themeColor="text1"/>
          <w:lang w:eastAsia="es-CO"/>
        </w:rPr>
      </w:pPr>
      <w:r w:rsidRPr="00760E4E">
        <w:rPr>
          <w:rFonts w:ascii="Tahoma" w:hAnsi="Tahoma" w:cs="Tahoma"/>
          <w:lang w:val="es-ES"/>
        </w:rPr>
        <w:t xml:space="preserve">La </w:t>
      </w:r>
      <w:r w:rsidRPr="00760E4E">
        <w:rPr>
          <w:rFonts w:ascii="Tahoma" w:hAnsi="Tahoma" w:cs="Tahoma"/>
        </w:rPr>
        <w:t>Administradora de Fondos de Pensiones</w:t>
      </w:r>
      <w:r w:rsidR="00163291" w:rsidRPr="00760E4E">
        <w:rPr>
          <w:rFonts w:ascii="Tahoma" w:hAnsi="Tahoma" w:cs="Tahoma"/>
        </w:rPr>
        <w:t xml:space="preserve"> y Cesantías </w:t>
      </w:r>
      <w:r w:rsidRPr="00760E4E">
        <w:rPr>
          <w:rFonts w:ascii="Tahoma" w:hAnsi="Tahoma" w:cs="Tahoma"/>
        </w:rPr>
        <w:t>P</w:t>
      </w:r>
      <w:r w:rsidR="007D5BA4" w:rsidRPr="00760E4E">
        <w:rPr>
          <w:rFonts w:ascii="Tahoma" w:hAnsi="Tahoma" w:cs="Tahoma"/>
        </w:rPr>
        <w:t xml:space="preserve">orvenir </w:t>
      </w:r>
      <w:r w:rsidRPr="00760E4E">
        <w:rPr>
          <w:rFonts w:ascii="Tahoma" w:hAnsi="Tahoma" w:cs="Tahoma"/>
        </w:rPr>
        <w:t>S.A.</w:t>
      </w:r>
      <w:r w:rsidR="00C107A0" w:rsidRPr="00760E4E">
        <w:rPr>
          <w:rFonts w:ascii="Tahoma" w:hAnsi="Tahoma" w:cs="Tahoma"/>
        </w:rPr>
        <w:t>,</w:t>
      </w:r>
      <w:r w:rsidR="00F5448A" w:rsidRPr="00760E4E">
        <w:rPr>
          <w:rFonts w:ascii="Tahoma" w:hAnsi="Tahoma" w:cs="Tahoma"/>
        </w:rPr>
        <w:t xml:space="preserve"> </w:t>
      </w:r>
      <w:r w:rsidR="00C107A0" w:rsidRPr="00760E4E">
        <w:rPr>
          <w:rFonts w:ascii="Tahoma" w:hAnsi="Tahoma" w:cs="Tahoma"/>
        </w:rPr>
        <w:t>por medio de apoderad</w:t>
      </w:r>
      <w:r w:rsidR="00F5448A" w:rsidRPr="00760E4E">
        <w:rPr>
          <w:rFonts w:ascii="Tahoma" w:hAnsi="Tahoma" w:cs="Tahoma"/>
        </w:rPr>
        <w:t>o</w:t>
      </w:r>
      <w:r w:rsidR="00C107A0" w:rsidRPr="00760E4E">
        <w:rPr>
          <w:rFonts w:ascii="Tahoma" w:hAnsi="Tahoma" w:cs="Tahoma"/>
        </w:rPr>
        <w:t xml:space="preserve"> judicial</w:t>
      </w:r>
      <w:r w:rsidRPr="00760E4E">
        <w:rPr>
          <w:rFonts w:ascii="Tahoma" w:eastAsia="Calibri" w:hAnsi="Tahoma" w:cs="Tahoma"/>
          <w:lang w:val="es-ES"/>
        </w:rPr>
        <w:t xml:space="preserve">, </w:t>
      </w:r>
      <w:r w:rsidR="00F5448A" w:rsidRPr="00760E4E">
        <w:rPr>
          <w:rFonts w:ascii="Tahoma" w:eastAsia="Calibri" w:hAnsi="Tahoma" w:cs="Tahoma"/>
          <w:lang w:val="es-ES"/>
        </w:rPr>
        <w:t>interpone recurso de apelación, ratificándose en la contestación de la demanda</w:t>
      </w:r>
      <w:r w:rsidR="00CD452D" w:rsidRPr="00760E4E">
        <w:rPr>
          <w:rFonts w:ascii="Tahoma" w:eastAsia="Calibri" w:hAnsi="Tahoma" w:cs="Tahoma"/>
          <w:lang w:val="es-ES"/>
        </w:rPr>
        <w:t xml:space="preserve"> y razones de defensa</w:t>
      </w:r>
      <w:r w:rsidR="00F5448A" w:rsidRPr="00760E4E">
        <w:rPr>
          <w:rFonts w:ascii="Tahoma" w:eastAsia="Calibri" w:hAnsi="Tahoma" w:cs="Tahoma"/>
          <w:lang w:val="es-ES"/>
        </w:rPr>
        <w:t>, agregando que para</w:t>
      </w:r>
      <w:r w:rsidRPr="00760E4E">
        <w:rPr>
          <w:rFonts w:ascii="Tahoma" w:eastAsia="Times New Roman" w:hAnsi="Tahoma" w:cs="Tahoma"/>
          <w:color w:val="000000" w:themeColor="text1"/>
          <w:lang w:eastAsia="es-CO"/>
        </w:rPr>
        <w:t xml:space="preserve"> la época del traslado de</w:t>
      </w:r>
      <w:r w:rsidR="00EB4974" w:rsidRPr="00760E4E">
        <w:rPr>
          <w:rFonts w:ascii="Tahoma" w:eastAsia="Times New Roman" w:hAnsi="Tahoma" w:cs="Tahoma"/>
          <w:color w:val="000000" w:themeColor="text1"/>
          <w:lang w:eastAsia="es-CO"/>
        </w:rPr>
        <w:t xml:space="preserve"> </w:t>
      </w:r>
      <w:r w:rsidRPr="00760E4E">
        <w:rPr>
          <w:rFonts w:ascii="Tahoma" w:eastAsia="Times New Roman" w:hAnsi="Tahoma" w:cs="Tahoma"/>
          <w:color w:val="000000" w:themeColor="text1"/>
          <w:lang w:eastAsia="es-CO"/>
        </w:rPr>
        <w:t>l</w:t>
      </w:r>
      <w:r w:rsidR="00EB4974" w:rsidRPr="00760E4E">
        <w:rPr>
          <w:rFonts w:ascii="Tahoma" w:eastAsia="Times New Roman" w:hAnsi="Tahoma" w:cs="Tahoma"/>
          <w:color w:val="000000" w:themeColor="text1"/>
          <w:lang w:eastAsia="es-CO"/>
        </w:rPr>
        <w:t>a</w:t>
      </w:r>
      <w:r w:rsidRPr="00760E4E">
        <w:rPr>
          <w:rFonts w:ascii="Tahoma" w:eastAsia="Times New Roman" w:hAnsi="Tahoma" w:cs="Tahoma"/>
          <w:color w:val="000000" w:themeColor="text1"/>
          <w:lang w:eastAsia="es-CO"/>
        </w:rPr>
        <w:t xml:space="preserve"> actor</w:t>
      </w:r>
      <w:r w:rsidR="00EB4974" w:rsidRPr="00760E4E">
        <w:rPr>
          <w:rFonts w:ascii="Tahoma" w:eastAsia="Times New Roman" w:hAnsi="Tahoma" w:cs="Tahoma"/>
          <w:color w:val="000000" w:themeColor="text1"/>
          <w:lang w:eastAsia="es-CO"/>
        </w:rPr>
        <w:t>a</w:t>
      </w:r>
      <w:r w:rsidR="00CD452D" w:rsidRPr="00760E4E">
        <w:rPr>
          <w:rFonts w:ascii="Tahoma" w:eastAsia="Times New Roman" w:hAnsi="Tahoma" w:cs="Tahoma"/>
          <w:color w:val="000000" w:themeColor="text1"/>
          <w:lang w:eastAsia="es-CO"/>
        </w:rPr>
        <w:t xml:space="preserve">, </w:t>
      </w:r>
      <w:r w:rsidRPr="00760E4E">
        <w:rPr>
          <w:rFonts w:ascii="Tahoma" w:eastAsia="Times New Roman" w:hAnsi="Tahoma" w:cs="Tahoma"/>
          <w:color w:val="000000" w:themeColor="text1"/>
          <w:lang w:eastAsia="es-CO"/>
        </w:rPr>
        <w:t>la</w:t>
      </w:r>
      <w:r w:rsidR="00CD452D" w:rsidRPr="00760E4E">
        <w:rPr>
          <w:rFonts w:ascii="Tahoma" w:eastAsia="Times New Roman" w:hAnsi="Tahoma" w:cs="Tahoma"/>
          <w:color w:val="000000" w:themeColor="text1"/>
          <w:lang w:eastAsia="es-CO"/>
        </w:rPr>
        <w:t>s</w:t>
      </w:r>
      <w:r w:rsidRPr="00760E4E">
        <w:rPr>
          <w:rFonts w:ascii="Tahoma" w:eastAsia="Times New Roman" w:hAnsi="Tahoma" w:cs="Tahoma"/>
          <w:color w:val="000000" w:themeColor="text1"/>
          <w:lang w:eastAsia="es-CO"/>
        </w:rPr>
        <w:t xml:space="preserve"> asesoría</w:t>
      </w:r>
      <w:r w:rsidR="00CD452D" w:rsidRPr="00760E4E">
        <w:rPr>
          <w:rFonts w:ascii="Tahoma" w:eastAsia="Times New Roman" w:hAnsi="Tahoma" w:cs="Tahoma"/>
          <w:color w:val="000000" w:themeColor="text1"/>
          <w:lang w:eastAsia="es-CO"/>
        </w:rPr>
        <w:t>s se realizaban</w:t>
      </w:r>
      <w:r w:rsidRPr="00760E4E">
        <w:rPr>
          <w:rFonts w:ascii="Tahoma" w:eastAsia="Times New Roman" w:hAnsi="Tahoma" w:cs="Tahoma"/>
          <w:color w:val="000000" w:themeColor="text1"/>
          <w:lang w:eastAsia="es-CO"/>
        </w:rPr>
        <w:t xml:space="preserve"> de manera verbal</w:t>
      </w:r>
      <w:r w:rsidR="00F5448A" w:rsidRPr="00760E4E">
        <w:rPr>
          <w:rFonts w:ascii="Tahoma" w:eastAsia="Times New Roman" w:hAnsi="Tahoma" w:cs="Tahoma"/>
          <w:color w:val="000000" w:themeColor="text1"/>
          <w:lang w:eastAsia="es-CO"/>
        </w:rPr>
        <w:t xml:space="preserve">, y para la época las AFP no </w:t>
      </w:r>
      <w:r w:rsidRPr="00760E4E">
        <w:rPr>
          <w:rFonts w:ascii="Tahoma" w:eastAsia="Times New Roman" w:hAnsi="Tahoma" w:cs="Tahoma"/>
          <w:color w:val="000000" w:themeColor="text1"/>
          <w:lang w:eastAsia="es-CO"/>
        </w:rPr>
        <w:t>tenían el debe</w:t>
      </w:r>
      <w:r w:rsidR="00F5448A" w:rsidRPr="00760E4E">
        <w:rPr>
          <w:rFonts w:ascii="Tahoma" w:eastAsia="Times New Roman" w:hAnsi="Tahoma" w:cs="Tahoma"/>
          <w:color w:val="000000" w:themeColor="text1"/>
          <w:lang w:eastAsia="es-CO"/>
        </w:rPr>
        <w:t>r legal</w:t>
      </w:r>
      <w:r w:rsidRPr="00760E4E">
        <w:rPr>
          <w:rFonts w:ascii="Tahoma" w:eastAsia="Times New Roman" w:hAnsi="Tahoma" w:cs="Tahoma"/>
          <w:color w:val="000000" w:themeColor="text1"/>
          <w:lang w:eastAsia="es-CO"/>
        </w:rPr>
        <w:t xml:space="preserve"> de documenta</w:t>
      </w:r>
      <w:r w:rsidR="00F5448A" w:rsidRPr="00760E4E">
        <w:rPr>
          <w:rFonts w:ascii="Tahoma" w:eastAsia="Times New Roman" w:hAnsi="Tahoma" w:cs="Tahoma"/>
          <w:color w:val="000000" w:themeColor="text1"/>
          <w:lang w:eastAsia="es-CO"/>
        </w:rPr>
        <w:t xml:space="preserve">r </w:t>
      </w:r>
      <w:r w:rsidRPr="00760E4E">
        <w:rPr>
          <w:rFonts w:ascii="Tahoma" w:eastAsia="Times New Roman" w:hAnsi="Tahoma" w:cs="Tahoma"/>
          <w:color w:val="000000" w:themeColor="text1"/>
          <w:lang w:eastAsia="es-CO"/>
        </w:rPr>
        <w:t>la asesoría brindada a sus po</w:t>
      </w:r>
      <w:r w:rsidR="00F5448A" w:rsidRPr="00760E4E">
        <w:rPr>
          <w:rFonts w:ascii="Tahoma" w:eastAsia="Times New Roman" w:hAnsi="Tahoma" w:cs="Tahoma"/>
          <w:color w:val="000000" w:themeColor="text1"/>
          <w:lang w:eastAsia="es-CO"/>
        </w:rPr>
        <w:t>tenciales</w:t>
      </w:r>
      <w:r w:rsidRPr="00760E4E">
        <w:rPr>
          <w:rFonts w:ascii="Tahoma" w:eastAsia="Times New Roman" w:hAnsi="Tahoma" w:cs="Tahoma"/>
          <w:color w:val="000000" w:themeColor="text1"/>
          <w:lang w:eastAsia="es-CO"/>
        </w:rPr>
        <w:t xml:space="preserve"> afiliados, </w:t>
      </w:r>
      <w:r w:rsidR="00F5448A" w:rsidRPr="00760E4E">
        <w:rPr>
          <w:rFonts w:ascii="Tahoma" w:eastAsia="Times New Roman" w:hAnsi="Tahoma" w:cs="Tahoma"/>
          <w:color w:val="000000" w:themeColor="text1"/>
          <w:lang w:eastAsia="es-CO"/>
        </w:rPr>
        <w:t xml:space="preserve">ya que, </w:t>
      </w:r>
      <w:r w:rsidRPr="00760E4E">
        <w:rPr>
          <w:rFonts w:ascii="Tahoma" w:eastAsia="Times New Roman" w:hAnsi="Tahoma" w:cs="Tahoma"/>
          <w:color w:val="000000" w:themeColor="text1"/>
          <w:lang w:eastAsia="es-CO"/>
        </w:rPr>
        <w:t xml:space="preserve">solo bastaba con que </w:t>
      </w:r>
      <w:r w:rsidR="005227F3" w:rsidRPr="00760E4E">
        <w:rPr>
          <w:rFonts w:ascii="Tahoma" w:eastAsia="Times New Roman" w:hAnsi="Tahoma" w:cs="Tahoma"/>
          <w:color w:val="000000" w:themeColor="text1"/>
          <w:lang w:eastAsia="es-CO"/>
        </w:rPr>
        <w:t>e</w:t>
      </w:r>
      <w:r w:rsidRPr="00760E4E">
        <w:rPr>
          <w:rFonts w:ascii="Tahoma" w:eastAsia="Times New Roman" w:hAnsi="Tahoma" w:cs="Tahoma"/>
          <w:color w:val="000000" w:themeColor="text1"/>
          <w:lang w:eastAsia="es-CO"/>
        </w:rPr>
        <w:t>l afiliad</w:t>
      </w:r>
      <w:r w:rsidR="005227F3" w:rsidRPr="00760E4E">
        <w:rPr>
          <w:rFonts w:ascii="Tahoma" w:eastAsia="Times New Roman" w:hAnsi="Tahoma" w:cs="Tahoma"/>
          <w:color w:val="000000" w:themeColor="text1"/>
          <w:lang w:eastAsia="es-CO"/>
        </w:rPr>
        <w:t>o</w:t>
      </w:r>
      <w:r w:rsidRPr="00760E4E">
        <w:rPr>
          <w:rFonts w:ascii="Tahoma" w:eastAsia="Times New Roman" w:hAnsi="Tahoma" w:cs="Tahoma"/>
          <w:color w:val="000000" w:themeColor="text1"/>
          <w:lang w:eastAsia="es-CO"/>
        </w:rPr>
        <w:t xml:space="preserve"> </w:t>
      </w:r>
      <w:r w:rsidR="00CD452D" w:rsidRPr="00760E4E">
        <w:rPr>
          <w:rFonts w:ascii="Tahoma" w:eastAsia="Times New Roman" w:hAnsi="Tahoma" w:cs="Tahoma"/>
          <w:color w:val="000000" w:themeColor="text1"/>
          <w:lang w:eastAsia="es-CO"/>
        </w:rPr>
        <w:t>firmara</w:t>
      </w:r>
      <w:r w:rsidRPr="00760E4E">
        <w:rPr>
          <w:rFonts w:ascii="Tahoma" w:eastAsia="Times New Roman" w:hAnsi="Tahoma" w:cs="Tahoma"/>
          <w:color w:val="000000" w:themeColor="text1"/>
          <w:lang w:eastAsia="es-CO"/>
        </w:rPr>
        <w:t xml:space="preserve"> el formulario de afiliación de manera libre, voluntaria y sin presiones</w:t>
      </w:r>
      <w:r w:rsidR="00F5448A" w:rsidRPr="00760E4E">
        <w:rPr>
          <w:rFonts w:ascii="Tahoma" w:eastAsia="Times New Roman" w:hAnsi="Tahoma" w:cs="Tahoma"/>
          <w:color w:val="000000" w:themeColor="text1"/>
          <w:lang w:eastAsia="es-CO"/>
        </w:rPr>
        <w:t>, mismo que se realizó a cabalidad, razón por la cual considera</w:t>
      </w:r>
      <w:r w:rsidR="00CD452D" w:rsidRPr="00760E4E">
        <w:rPr>
          <w:rFonts w:ascii="Tahoma" w:eastAsia="Times New Roman" w:hAnsi="Tahoma" w:cs="Tahoma"/>
          <w:color w:val="000000" w:themeColor="text1"/>
          <w:lang w:eastAsia="es-CO"/>
        </w:rPr>
        <w:t xml:space="preserve"> que se debió absolver a las AFP debido a que la demandante recibió de forma completa, satisfactoria y veraz información respecto a los regímenes pensionales. </w:t>
      </w:r>
    </w:p>
    <w:p w14:paraId="13FA61AB" w14:textId="6299CFEB" w:rsidR="00A526C1" w:rsidRPr="00760E4E" w:rsidRDefault="00363345" w:rsidP="00760E4E">
      <w:pPr>
        <w:widowControl w:val="0"/>
        <w:autoSpaceDE w:val="0"/>
        <w:autoSpaceDN w:val="0"/>
        <w:spacing w:before="0" w:beforeAutospacing="0" w:after="0" w:afterAutospacing="0" w:line="276" w:lineRule="auto"/>
        <w:contextualSpacing/>
        <w:rPr>
          <w:rFonts w:ascii="Tahoma" w:eastAsia="Times New Roman" w:hAnsi="Tahoma" w:cs="Tahoma"/>
          <w:color w:val="000000"/>
          <w:lang w:eastAsia="es-CO"/>
        </w:rPr>
      </w:pPr>
      <w:r w:rsidRPr="00760E4E">
        <w:rPr>
          <w:rFonts w:ascii="Tahoma" w:eastAsia="Times New Roman" w:hAnsi="Tahoma" w:cs="Tahoma"/>
          <w:color w:val="000000" w:themeColor="text1"/>
          <w:lang w:eastAsia="es-CO"/>
        </w:rPr>
        <w:t>Adicionalmente, manifestó su</w:t>
      </w:r>
      <w:r w:rsidR="00CD452D" w:rsidRPr="00760E4E">
        <w:rPr>
          <w:rFonts w:ascii="Tahoma" w:eastAsia="Times New Roman" w:hAnsi="Tahoma" w:cs="Tahoma"/>
          <w:color w:val="000000" w:themeColor="text1"/>
          <w:lang w:eastAsia="es-CO"/>
        </w:rPr>
        <w:t xml:space="preserve"> inconformidad</w:t>
      </w:r>
      <w:r w:rsidRPr="00760E4E">
        <w:rPr>
          <w:rFonts w:ascii="Tahoma" w:eastAsia="Times New Roman" w:hAnsi="Tahoma" w:cs="Tahoma"/>
          <w:color w:val="000000" w:themeColor="text1"/>
          <w:lang w:eastAsia="es-CO"/>
        </w:rPr>
        <w:t xml:space="preserve"> con</w:t>
      </w:r>
      <w:r w:rsidR="00CD452D" w:rsidRPr="00760E4E">
        <w:rPr>
          <w:rFonts w:ascii="Tahoma" w:eastAsia="Times New Roman" w:hAnsi="Tahoma" w:cs="Tahoma"/>
          <w:color w:val="000000" w:themeColor="text1"/>
          <w:lang w:eastAsia="es-CO"/>
        </w:rPr>
        <w:t xml:space="preserve"> </w:t>
      </w:r>
      <w:r w:rsidRPr="00760E4E">
        <w:rPr>
          <w:rFonts w:ascii="Tahoma" w:eastAsia="Times New Roman" w:hAnsi="Tahoma" w:cs="Tahoma"/>
          <w:color w:val="000000" w:themeColor="text1"/>
          <w:lang w:eastAsia="es-CO"/>
        </w:rPr>
        <w:t xml:space="preserve">la devolución de los gastos </w:t>
      </w:r>
      <w:r w:rsidRPr="00760E4E">
        <w:rPr>
          <w:rFonts w:ascii="Tahoma" w:eastAsia="Times New Roman" w:hAnsi="Tahoma" w:cs="Tahoma"/>
          <w:color w:val="000000" w:themeColor="text1"/>
          <w:lang w:eastAsia="es-CO"/>
        </w:rPr>
        <w:lastRenderedPageBreak/>
        <w:t xml:space="preserve">de administración, los cuales estaban dispuestos por la gestión de la administradora de fondo de pensiones, </w:t>
      </w:r>
      <w:r w:rsidR="00CD452D" w:rsidRPr="00760E4E">
        <w:rPr>
          <w:rFonts w:ascii="Tahoma" w:eastAsia="Times New Roman" w:hAnsi="Tahoma" w:cs="Tahoma"/>
          <w:color w:val="000000" w:themeColor="text1"/>
          <w:lang w:eastAsia="es-CO"/>
        </w:rPr>
        <w:t xml:space="preserve">señalando que, dicha </w:t>
      </w:r>
      <w:r w:rsidRPr="00760E4E">
        <w:rPr>
          <w:rFonts w:ascii="Tahoma" w:eastAsia="Times New Roman" w:hAnsi="Tahoma" w:cs="Tahoma"/>
          <w:color w:val="000000" w:themeColor="text1"/>
          <w:lang w:eastAsia="es-CO"/>
        </w:rPr>
        <w:t xml:space="preserve">comisión </w:t>
      </w:r>
      <w:r w:rsidR="00CD452D" w:rsidRPr="00760E4E">
        <w:rPr>
          <w:rFonts w:ascii="Tahoma" w:eastAsia="Times New Roman" w:hAnsi="Tahoma" w:cs="Tahoma"/>
          <w:color w:val="000000" w:themeColor="text1"/>
          <w:lang w:eastAsia="es-CO"/>
        </w:rPr>
        <w:t>c</w:t>
      </w:r>
      <w:r w:rsidRPr="00760E4E">
        <w:rPr>
          <w:rFonts w:ascii="Tahoma" w:eastAsia="Times New Roman" w:hAnsi="Tahoma" w:cs="Tahoma"/>
          <w:color w:val="000000" w:themeColor="text1"/>
          <w:lang w:eastAsia="es-CO"/>
        </w:rPr>
        <w:t>ubr</w:t>
      </w:r>
      <w:r w:rsidR="00CD452D" w:rsidRPr="00760E4E">
        <w:rPr>
          <w:rFonts w:ascii="Tahoma" w:eastAsia="Times New Roman" w:hAnsi="Tahoma" w:cs="Tahoma"/>
          <w:color w:val="000000" w:themeColor="text1"/>
          <w:lang w:eastAsia="es-CO"/>
        </w:rPr>
        <w:t>e</w:t>
      </w:r>
      <w:r w:rsidRPr="00760E4E">
        <w:rPr>
          <w:rFonts w:ascii="Tahoma" w:eastAsia="Times New Roman" w:hAnsi="Tahoma" w:cs="Tahoma"/>
          <w:color w:val="000000" w:themeColor="text1"/>
          <w:lang w:eastAsia="es-CO"/>
        </w:rPr>
        <w:t xml:space="preserve"> los costos de operación de las AFP</w:t>
      </w:r>
      <w:r w:rsidR="00CD452D" w:rsidRPr="00760E4E">
        <w:rPr>
          <w:rFonts w:ascii="Tahoma" w:eastAsia="Times New Roman" w:hAnsi="Tahoma" w:cs="Tahoma"/>
          <w:color w:val="000000" w:themeColor="text1"/>
          <w:lang w:eastAsia="es-CO"/>
        </w:rPr>
        <w:t xml:space="preserve">. Operaciones que </w:t>
      </w:r>
      <w:r w:rsidRPr="00760E4E">
        <w:rPr>
          <w:rFonts w:ascii="Tahoma" w:eastAsia="Times New Roman" w:hAnsi="Tahoma" w:cs="Tahoma"/>
          <w:color w:val="000000" w:themeColor="text1"/>
          <w:lang w:eastAsia="es-CO"/>
        </w:rPr>
        <w:t>genera</w:t>
      </w:r>
      <w:r w:rsidR="00CD452D" w:rsidRPr="00760E4E">
        <w:rPr>
          <w:rFonts w:ascii="Tahoma" w:eastAsia="Times New Roman" w:hAnsi="Tahoma" w:cs="Tahoma"/>
          <w:color w:val="000000" w:themeColor="text1"/>
          <w:lang w:eastAsia="es-CO"/>
        </w:rPr>
        <w:t>n</w:t>
      </w:r>
      <w:r w:rsidRPr="00760E4E">
        <w:rPr>
          <w:rFonts w:ascii="Tahoma" w:eastAsia="Times New Roman" w:hAnsi="Tahoma" w:cs="Tahoma"/>
          <w:color w:val="000000" w:themeColor="text1"/>
          <w:lang w:eastAsia="es-CO"/>
        </w:rPr>
        <w:t xml:space="preserve"> rendimientos financieros a favor del afiliado sobre el saldo de su cuenta de ahorro individual</w:t>
      </w:r>
      <w:r w:rsidR="00C107A0" w:rsidRPr="00760E4E">
        <w:rPr>
          <w:rFonts w:ascii="Tahoma" w:eastAsia="Times New Roman" w:hAnsi="Tahoma" w:cs="Tahoma"/>
          <w:color w:val="000000" w:themeColor="text1"/>
          <w:lang w:eastAsia="es-CO"/>
        </w:rPr>
        <w:t>, mismos de los que se benefició durante su afiliación</w:t>
      </w:r>
      <w:r w:rsidR="00E00ECA" w:rsidRPr="00760E4E">
        <w:rPr>
          <w:rFonts w:ascii="Tahoma" w:eastAsia="Times New Roman" w:hAnsi="Tahoma" w:cs="Tahoma"/>
          <w:color w:val="000000" w:themeColor="text1"/>
          <w:lang w:eastAsia="es-CO"/>
        </w:rPr>
        <w:t>. A</w:t>
      </w:r>
      <w:r w:rsidR="00CD452D" w:rsidRPr="00760E4E">
        <w:rPr>
          <w:rFonts w:ascii="Tahoma" w:eastAsia="Times New Roman" w:hAnsi="Tahoma" w:cs="Tahoma"/>
          <w:color w:val="000000" w:themeColor="text1"/>
          <w:lang w:eastAsia="es-CO"/>
        </w:rPr>
        <w:t xml:space="preserve"> su vez, manifestó su desacuerdo </w:t>
      </w:r>
      <w:r w:rsidRPr="00760E4E">
        <w:rPr>
          <w:rFonts w:ascii="Tahoma" w:eastAsia="Times New Roman" w:hAnsi="Tahoma" w:cs="Tahoma"/>
          <w:color w:val="000000" w:themeColor="text1"/>
          <w:lang w:eastAsia="es-CO"/>
        </w:rPr>
        <w:t>con la devolución de la prima de seguro previsional que eran primas encaminadas a proteger la suerte de</w:t>
      </w:r>
      <w:r w:rsidR="00C107A0" w:rsidRPr="00760E4E">
        <w:rPr>
          <w:rFonts w:ascii="Tahoma" w:eastAsia="Times New Roman" w:hAnsi="Tahoma" w:cs="Tahoma"/>
          <w:color w:val="000000" w:themeColor="text1"/>
          <w:lang w:eastAsia="es-CO"/>
        </w:rPr>
        <w:t xml:space="preserve"> </w:t>
      </w:r>
      <w:r w:rsidRPr="00760E4E">
        <w:rPr>
          <w:rFonts w:ascii="Tahoma" w:eastAsia="Times New Roman" w:hAnsi="Tahoma" w:cs="Tahoma"/>
          <w:color w:val="000000" w:themeColor="text1"/>
          <w:lang w:eastAsia="es-CO"/>
        </w:rPr>
        <w:t>l</w:t>
      </w:r>
      <w:r w:rsidR="00C107A0" w:rsidRPr="00760E4E">
        <w:rPr>
          <w:rFonts w:ascii="Tahoma" w:eastAsia="Times New Roman" w:hAnsi="Tahoma" w:cs="Tahoma"/>
          <w:color w:val="000000" w:themeColor="text1"/>
          <w:lang w:eastAsia="es-CO"/>
        </w:rPr>
        <w:t>a</w:t>
      </w:r>
      <w:r w:rsidRPr="00760E4E">
        <w:rPr>
          <w:rFonts w:ascii="Tahoma" w:eastAsia="Times New Roman" w:hAnsi="Tahoma" w:cs="Tahoma"/>
          <w:color w:val="000000" w:themeColor="text1"/>
          <w:lang w:eastAsia="es-CO"/>
        </w:rPr>
        <w:t xml:space="preserve"> demandante</w:t>
      </w:r>
      <w:r w:rsidR="00CD452D" w:rsidRPr="00760E4E">
        <w:rPr>
          <w:rFonts w:ascii="Tahoma" w:eastAsia="Times New Roman" w:hAnsi="Tahoma" w:cs="Tahoma"/>
          <w:color w:val="000000" w:themeColor="text1"/>
          <w:lang w:eastAsia="es-CO"/>
        </w:rPr>
        <w:t xml:space="preserve">, ya que, al generarse esta devolución </w:t>
      </w:r>
      <w:r w:rsidR="00C107A0" w:rsidRPr="00760E4E">
        <w:rPr>
          <w:rFonts w:ascii="Tahoma" w:eastAsia="Times New Roman" w:hAnsi="Tahoma" w:cs="Tahoma"/>
          <w:color w:val="000000" w:themeColor="text1"/>
          <w:lang w:eastAsia="es-CO"/>
        </w:rPr>
        <w:t xml:space="preserve">se </w:t>
      </w:r>
      <w:r w:rsidR="007E6920" w:rsidRPr="00760E4E">
        <w:rPr>
          <w:rFonts w:ascii="Tahoma" w:eastAsia="Times New Roman" w:hAnsi="Tahoma" w:cs="Tahoma"/>
          <w:color w:val="000000" w:themeColor="text1"/>
          <w:lang w:eastAsia="es-CO"/>
        </w:rPr>
        <w:t xml:space="preserve">estaría </w:t>
      </w:r>
      <w:r w:rsidR="00C107A0" w:rsidRPr="00760E4E">
        <w:rPr>
          <w:rFonts w:ascii="Tahoma" w:eastAsia="Times New Roman" w:hAnsi="Tahoma" w:cs="Tahoma"/>
          <w:color w:val="000000" w:themeColor="text1"/>
          <w:lang w:eastAsia="es-CO"/>
        </w:rPr>
        <w:t>genera</w:t>
      </w:r>
      <w:r w:rsidR="007E6920" w:rsidRPr="00760E4E">
        <w:rPr>
          <w:rFonts w:ascii="Tahoma" w:eastAsia="Times New Roman" w:hAnsi="Tahoma" w:cs="Tahoma"/>
          <w:color w:val="000000" w:themeColor="text1"/>
          <w:lang w:eastAsia="es-CO"/>
        </w:rPr>
        <w:t>ndo</w:t>
      </w:r>
      <w:r w:rsidR="00C107A0" w:rsidRPr="00760E4E">
        <w:rPr>
          <w:rFonts w:ascii="Tahoma" w:eastAsia="Times New Roman" w:hAnsi="Tahoma" w:cs="Tahoma"/>
          <w:color w:val="000000" w:themeColor="text1"/>
          <w:lang w:eastAsia="es-CO"/>
        </w:rPr>
        <w:t xml:space="preserve"> un enriquecimiento sin causa por parte de Colpensiones, en detrimento de las AFP.</w:t>
      </w:r>
    </w:p>
    <w:p w14:paraId="20C029A2" w14:textId="6C6C3E25" w:rsidR="008F4A6D" w:rsidRDefault="008F4A6D" w:rsidP="00760E4E">
      <w:pPr>
        <w:widowControl w:val="0"/>
        <w:autoSpaceDE w:val="0"/>
        <w:autoSpaceDN w:val="0"/>
        <w:spacing w:before="0" w:beforeAutospacing="0" w:after="0" w:afterAutospacing="0" w:line="276" w:lineRule="auto"/>
        <w:contextualSpacing/>
        <w:rPr>
          <w:rFonts w:ascii="Tahoma" w:eastAsia="Calibri" w:hAnsi="Tahoma" w:cs="Tahoma"/>
          <w:lang w:val="es-ES"/>
        </w:rPr>
      </w:pPr>
    </w:p>
    <w:p w14:paraId="0F990D3A" w14:textId="77777777" w:rsidR="00760E4E" w:rsidRPr="00760E4E" w:rsidRDefault="00760E4E" w:rsidP="00760E4E">
      <w:pPr>
        <w:widowControl w:val="0"/>
        <w:autoSpaceDE w:val="0"/>
        <w:autoSpaceDN w:val="0"/>
        <w:spacing w:before="0" w:beforeAutospacing="0" w:after="0" w:afterAutospacing="0" w:line="276" w:lineRule="auto"/>
        <w:contextualSpacing/>
        <w:rPr>
          <w:rFonts w:ascii="Tahoma" w:eastAsia="Calibri" w:hAnsi="Tahoma" w:cs="Tahoma"/>
          <w:lang w:val="es-ES"/>
        </w:rPr>
      </w:pPr>
    </w:p>
    <w:p w14:paraId="5681262D" w14:textId="77777777" w:rsidR="00363345" w:rsidRPr="00760E4E" w:rsidRDefault="00363345" w:rsidP="00760E4E">
      <w:pPr>
        <w:pStyle w:val="Prrafodelista"/>
        <w:widowControl w:val="0"/>
        <w:numPr>
          <w:ilvl w:val="0"/>
          <w:numId w:val="1"/>
        </w:numPr>
        <w:autoSpaceDE w:val="0"/>
        <w:autoSpaceDN w:val="0"/>
        <w:spacing w:line="276" w:lineRule="auto"/>
        <w:jc w:val="center"/>
        <w:rPr>
          <w:rFonts w:eastAsiaTheme="minorEastAsia" w:cs="Tahoma"/>
          <w:b/>
          <w:bCs/>
          <w:szCs w:val="24"/>
          <w:lang w:val="es-ES"/>
        </w:rPr>
      </w:pPr>
      <w:r w:rsidRPr="00760E4E">
        <w:rPr>
          <w:rFonts w:eastAsia="Tahoma" w:cs="Tahoma"/>
          <w:b/>
          <w:bCs/>
          <w:szCs w:val="24"/>
          <w:lang w:val="es"/>
        </w:rPr>
        <w:t>Alegatos de conclusión</w:t>
      </w:r>
    </w:p>
    <w:p w14:paraId="33A27BB1" w14:textId="77777777" w:rsidR="00363345" w:rsidRPr="00760E4E" w:rsidRDefault="00363345" w:rsidP="00760E4E">
      <w:pPr>
        <w:spacing w:before="0" w:beforeAutospacing="0" w:after="0" w:afterAutospacing="0" w:line="276" w:lineRule="auto"/>
        <w:ind w:firstLine="708"/>
        <w:contextualSpacing/>
        <w:rPr>
          <w:rFonts w:ascii="Tahoma" w:eastAsia="Tahoma" w:hAnsi="Tahoma" w:cs="Tahoma"/>
        </w:rPr>
      </w:pPr>
    </w:p>
    <w:p w14:paraId="7B700BFD" w14:textId="2E554B63" w:rsidR="00363345" w:rsidRPr="00760E4E" w:rsidRDefault="00363345" w:rsidP="00760E4E">
      <w:pPr>
        <w:spacing w:before="0" w:beforeAutospacing="0" w:after="0" w:afterAutospacing="0" w:line="276" w:lineRule="auto"/>
        <w:ind w:firstLine="708"/>
        <w:contextualSpacing/>
        <w:rPr>
          <w:rFonts w:ascii="Tahoma" w:eastAsia="Tahoma" w:hAnsi="Tahoma" w:cs="Tahoma"/>
        </w:rPr>
      </w:pPr>
      <w:r w:rsidRPr="00760E4E">
        <w:rPr>
          <w:rFonts w:ascii="Tahoma" w:eastAsia="Tahoma" w:hAnsi="Tahoma" w:cs="Tahoma"/>
        </w:rPr>
        <w:t xml:space="preserve">Analizados los alegatos presentados </w:t>
      </w:r>
      <w:r w:rsidR="005227F3" w:rsidRPr="00760E4E">
        <w:rPr>
          <w:rFonts w:ascii="Tahoma" w:eastAsia="Tahoma" w:hAnsi="Tahoma" w:cs="Tahoma"/>
        </w:rPr>
        <w:t xml:space="preserve">por </w:t>
      </w:r>
      <w:r w:rsidR="00E00ECA" w:rsidRPr="00760E4E">
        <w:rPr>
          <w:rFonts w:ascii="Tahoma" w:eastAsia="Tahoma" w:hAnsi="Tahoma" w:cs="Tahoma"/>
        </w:rPr>
        <w:t>la</w:t>
      </w:r>
      <w:r w:rsidR="3A7BE674" w:rsidRPr="00760E4E">
        <w:rPr>
          <w:rFonts w:ascii="Tahoma" w:eastAsia="Tahoma" w:hAnsi="Tahoma" w:cs="Tahoma"/>
        </w:rPr>
        <w:t>s partes</w:t>
      </w:r>
      <w:r w:rsidRPr="00760E4E">
        <w:rPr>
          <w:rFonts w:ascii="Tahoma" w:eastAsia="Tahoma" w:hAnsi="Tahoma" w:cs="Tahoma"/>
        </w:rPr>
        <w:t xml:space="preserve">, mismos que obran en el expediente digital y a los cuales nos remitimos por economía procesal en virtud del artículo 280 del C.G.P., la Sala encuentra que los argumentos fácticos y jurídicos expresados concuerdan con los puntos objeto de discusión en esta instancia y se relacionan con el problema jurídico que se expresará más adelante. </w:t>
      </w:r>
    </w:p>
    <w:p w14:paraId="0F783372" w14:textId="7D9D203D" w:rsidR="00767097" w:rsidRDefault="00767097" w:rsidP="00760E4E">
      <w:pPr>
        <w:spacing w:before="0" w:beforeAutospacing="0" w:after="0" w:afterAutospacing="0" w:line="276" w:lineRule="auto"/>
        <w:ind w:firstLine="708"/>
        <w:contextualSpacing/>
        <w:rPr>
          <w:rFonts w:ascii="Tahoma" w:eastAsia="Tahoma" w:hAnsi="Tahoma" w:cs="Tahoma"/>
        </w:rPr>
      </w:pPr>
    </w:p>
    <w:p w14:paraId="0FEAD0E1" w14:textId="77777777" w:rsidR="00760E4E" w:rsidRPr="00760E4E" w:rsidRDefault="00760E4E" w:rsidP="00760E4E">
      <w:pPr>
        <w:spacing w:before="0" w:beforeAutospacing="0" w:after="0" w:afterAutospacing="0" w:line="276" w:lineRule="auto"/>
        <w:ind w:firstLine="708"/>
        <w:contextualSpacing/>
        <w:rPr>
          <w:rFonts w:ascii="Tahoma" w:eastAsia="Tahoma" w:hAnsi="Tahoma" w:cs="Tahoma"/>
        </w:rPr>
      </w:pPr>
    </w:p>
    <w:p w14:paraId="644CA4BB" w14:textId="77777777" w:rsidR="00363345" w:rsidRPr="00760E4E" w:rsidRDefault="00363345" w:rsidP="00760E4E">
      <w:pPr>
        <w:widowControl w:val="0"/>
        <w:numPr>
          <w:ilvl w:val="0"/>
          <w:numId w:val="1"/>
        </w:numPr>
        <w:autoSpaceDE w:val="0"/>
        <w:autoSpaceDN w:val="0"/>
        <w:spacing w:before="0" w:beforeAutospacing="0" w:after="0" w:afterAutospacing="0" w:line="276" w:lineRule="auto"/>
        <w:contextualSpacing/>
        <w:jc w:val="center"/>
        <w:rPr>
          <w:rFonts w:ascii="Tahoma" w:eastAsiaTheme="minorEastAsia" w:hAnsi="Tahoma" w:cs="Tahoma"/>
          <w:b/>
          <w:bCs/>
          <w:lang w:val="es-ES"/>
        </w:rPr>
      </w:pPr>
      <w:r w:rsidRPr="00760E4E">
        <w:rPr>
          <w:rFonts w:ascii="Tahoma" w:eastAsia="Tahoma" w:hAnsi="Tahoma" w:cs="Tahoma"/>
          <w:b/>
          <w:bCs/>
          <w:lang w:val="es"/>
        </w:rPr>
        <w:t>Problemas jurídicos por resolver</w:t>
      </w:r>
    </w:p>
    <w:p w14:paraId="6B587EC9" w14:textId="77777777" w:rsidR="00363345" w:rsidRPr="00760E4E" w:rsidRDefault="00363345" w:rsidP="00760E4E">
      <w:pPr>
        <w:spacing w:before="0" w:beforeAutospacing="0" w:after="0" w:afterAutospacing="0" w:line="276" w:lineRule="auto"/>
        <w:ind w:firstLine="708"/>
        <w:contextualSpacing/>
        <w:rPr>
          <w:rFonts w:ascii="Tahoma" w:hAnsi="Tahoma" w:cs="Tahoma"/>
        </w:rPr>
      </w:pPr>
    </w:p>
    <w:p w14:paraId="3D04D197" w14:textId="77777777" w:rsidR="00363345" w:rsidRPr="00760E4E" w:rsidRDefault="00363345" w:rsidP="00760E4E">
      <w:pPr>
        <w:spacing w:before="0" w:beforeAutospacing="0" w:after="0" w:afterAutospacing="0" w:line="276" w:lineRule="auto"/>
        <w:ind w:firstLine="708"/>
        <w:contextualSpacing/>
        <w:rPr>
          <w:rFonts w:ascii="Tahoma" w:hAnsi="Tahoma" w:cs="Tahoma"/>
        </w:rPr>
      </w:pPr>
      <w:r w:rsidRPr="00760E4E">
        <w:rPr>
          <w:rFonts w:ascii="Tahoma" w:hAnsi="Tahoma" w:cs="Tahoma"/>
        </w:rPr>
        <w:t>De acuerdo con los argumentos expuestos en la sentencia de primera instancia, los fundamentos de la apelación y los alegatos de conclusión, le corresponde a la Sala resolver los siguientes problemas jurídicos:</w:t>
      </w:r>
    </w:p>
    <w:p w14:paraId="7CE96F55" w14:textId="77777777" w:rsidR="00363345" w:rsidRPr="00760E4E" w:rsidRDefault="00363345" w:rsidP="00760E4E">
      <w:pPr>
        <w:spacing w:before="0" w:beforeAutospacing="0" w:after="0" w:afterAutospacing="0" w:line="276" w:lineRule="auto"/>
        <w:ind w:firstLine="708"/>
        <w:contextualSpacing/>
        <w:rPr>
          <w:rFonts w:ascii="Tahoma" w:hAnsi="Tahoma" w:cs="Tahoma"/>
        </w:rPr>
      </w:pPr>
    </w:p>
    <w:p w14:paraId="22611C26" w14:textId="64FB3FE3" w:rsidR="00363345" w:rsidRPr="00760E4E" w:rsidRDefault="00363345" w:rsidP="00760E4E">
      <w:pPr>
        <w:pStyle w:val="Prrafodelista"/>
        <w:numPr>
          <w:ilvl w:val="0"/>
          <w:numId w:val="10"/>
        </w:numPr>
        <w:spacing w:line="276" w:lineRule="auto"/>
        <w:ind w:left="0" w:firstLine="709"/>
        <w:rPr>
          <w:rFonts w:cs="Tahoma"/>
          <w:szCs w:val="24"/>
        </w:rPr>
      </w:pPr>
      <w:r w:rsidRPr="00760E4E">
        <w:rPr>
          <w:rFonts w:cs="Tahoma"/>
          <w:szCs w:val="24"/>
        </w:rPr>
        <w:t>Establecer si para el momento en que la parte actora efectuó el traslado del régimen de prima media al régimen de ahorro individual, existía normatividad vigente que obliga</w:t>
      </w:r>
      <w:r w:rsidR="00A526C1" w:rsidRPr="00760E4E">
        <w:rPr>
          <w:rFonts w:cs="Tahoma"/>
          <w:szCs w:val="24"/>
        </w:rPr>
        <w:t>ra</w:t>
      </w:r>
      <w:r w:rsidRPr="00760E4E">
        <w:rPr>
          <w:rFonts w:cs="Tahoma"/>
          <w:szCs w:val="24"/>
        </w:rPr>
        <w:t xml:space="preserve"> a la entidad administradora de pensiones a brindarle al potencial afiliado información suficiente sobre las consecuencias del cambio de régimen.</w:t>
      </w:r>
    </w:p>
    <w:p w14:paraId="0281927C" w14:textId="77777777" w:rsidR="00363345" w:rsidRPr="00760E4E" w:rsidRDefault="00363345" w:rsidP="00760E4E">
      <w:pPr>
        <w:spacing w:before="0" w:beforeAutospacing="0" w:after="0" w:afterAutospacing="0" w:line="276" w:lineRule="auto"/>
        <w:ind w:firstLine="708"/>
        <w:contextualSpacing/>
        <w:rPr>
          <w:rFonts w:ascii="Tahoma" w:hAnsi="Tahoma" w:cs="Tahoma"/>
        </w:rPr>
      </w:pPr>
    </w:p>
    <w:p w14:paraId="3FDD46C2" w14:textId="77777777" w:rsidR="00363345" w:rsidRPr="00760E4E" w:rsidRDefault="00363345" w:rsidP="00760E4E">
      <w:pPr>
        <w:pStyle w:val="Prrafodelista"/>
        <w:numPr>
          <w:ilvl w:val="0"/>
          <w:numId w:val="10"/>
        </w:numPr>
        <w:spacing w:line="276" w:lineRule="auto"/>
        <w:ind w:left="0" w:firstLine="709"/>
        <w:rPr>
          <w:rFonts w:cs="Tahoma"/>
          <w:szCs w:val="24"/>
        </w:rPr>
      </w:pPr>
      <w:r w:rsidRPr="00760E4E">
        <w:rPr>
          <w:rFonts w:cs="Tahoma"/>
          <w:szCs w:val="24"/>
        </w:rPr>
        <w:t>Definir si para dar por cumplido el deber de información de las AFP es suficiente el diligenciamiento del formulario de afiliación.</w:t>
      </w:r>
    </w:p>
    <w:p w14:paraId="26F064A9" w14:textId="77777777" w:rsidR="00363345" w:rsidRPr="00760E4E" w:rsidRDefault="00363345" w:rsidP="00760E4E">
      <w:pPr>
        <w:spacing w:before="0" w:beforeAutospacing="0" w:after="0" w:afterAutospacing="0" w:line="276" w:lineRule="auto"/>
        <w:ind w:firstLine="708"/>
        <w:contextualSpacing/>
        <w:rPr>
          <w:rFonts w:ascii="Tahoma" w:hAnsi="Tahoma" w:cs="Tahoma"/>
        </w:rPr>
      </w:pPr>
    </w:p>
    <w:p w14:paraId="6F526C40" w14:textId="77777777" w:rsidR="00363345" w:rsidRPr="00760E4E" w:rsidRDefault="00363345" w:rsidP="00760E4E">
      <w:pPr>
        <w:pStyle w:val="Prrafodelista"/>
        <w:numPr>
          <w:ilvl w:val="0"/>
          <w:numId w:val="10"/>
        </w:numPr>
        <w:spacing w:line="276" w:lineRule="auto"/>
        <w:ind w:left="0" w:firstLine="709"/>
        <w:rPr>
          <w:rFonts w:cs="Tahoma"/>
          <w:szCs w:val="24"/>
        </w:rPr>
      </w:pPr>
      <w:r w:rsidRPr="00760E4E">
        <w:rPr>
          <w:rFonts w:cs="Tahoma"/>
          <w:szCs w:val="24"/>
        </w:rPr>
        <w:t xml:space="preserve">Determinar la carga probatoria que les corresponde a cada una de las partes cuando está en discusión la eficacia del traslado entre regímenes pensionales. </w:t>
      </w:r>
    </w:p>
    <w:p w14:paraId="480FD0AE" w14:textId="77777777" w:rsidR="00363345" w:rsidRPr="00760E4E" w:rsidRDefault="00363345" w:rsidP="00760E4E">
      <w:pPr>
        <w:spacing w:before="0" w:beforeAutospacing="0" w:after="0" w:afterAutospacing="0" w:line="276" w:lineRule="auto"/>
        <w:ind w:firstLine="708"/>
        <w:contextualSpacing/>
        <w:rPr>
          <w:rFonts w:ascii="Tahoma" w:hAnsi="Tahoma" w:cs="Tahoma"/>
        </w:rPr>
      </w:pPr>
    </w:p>
    <w:p w14:paraId="21C57FC0" w14:textId="77777777" w:rsidR="00363345" w:rsidRPr="00760E4E" w:rsidRDefault="00363345" w:rsidP="00760E4E">
      <w:pPr>
        <w:pStyle w:val="Prrafodelista"/>
        <w:numPr>
          <w:ilvl w:val="0"/>
          <w:numId w:val="10"/>
        </w:numPr>
        <w:spacing w:line="276" w:lineRule="auto"/>
        <w:ind w:left="0" w:firstLine="709"/>
        <w:rPr>
          <w:rFonts w:cs="Tahoma"/>
          <w:szCs w:val="24"/>
        </w:rPr>
      </w:pPr>
      <w:r w:rsidRPr="00760E4E">
        <w:rPr>
          <w:rFonts w:cs="Tahoma"/>
          <w:szCs w:val="24"/>
        </w:rPr>
        <w:t xml:space="preserve">Analizar si quedó probado en el proceso que la parte demandante recibió de parte de las AFP demandadas, la asesoría e información suficiente y necesaria para hacer el cambio de régimen. </w:t>
      </w:r>
    </w:p>
    <w:p w14:paraId="30C2A8BD" w14:textId="77777777" w:rsidR="00363345" w:rsidRPr="00760E4E" w:rsidRDefault="00363345" w:rsidP="00760E4E">
      <w:pPr>
        <w:spacing w:before="0" w:beforeAutospacing="0" w:after="0" w:afterAutospacing="0" w:line="276" w:lineRule="auto"/>
        <w:ind w:firstLine="708"/>
        <w:contextualSpacing/>
        <w:rPr>
          <w:rFonts w:ascii="Tahoma" w:hAnsi="Tahoma" w:cs="Tahoma"/>
        </w:rPr>
      </w:pPr>
    </w:p>
    <w:p w14:paraId="36D03925" w14:textId="35B5D47C" w:rsidR="00363345" w:rsidRPr="00760E4E" w:rsidRDefault="00363345" w:rsidP="00760E4E">
      <w:pPr>
        <w:pStyle w:val="Prrafodelista"/>
        <w:numPr>
          <w:ilvl w:val="0"/>
          <w:numId w:val="10"/>
        </w:numPr>
        <w:spacing w:line="276" w:lineRule="auto"/>
        <w:ind w:left="0" w:firstLine="709"/>
        <w:rPr>
          <w:rFonts w:cs="Tahoma"/>
          <w:szCs w:val="24"/>
        </w:rPr>
      </w:pPr>
      <w:r w:rsidRPr="00760E4E">
        <w:rPr>
          <w:rFonts w:cs="Tahoma"/>
          <w:szCs w:val="24"/>
        </w:rPr>
        <w:t>Establecer si se debe ordenar a la</w:t>
      </w:r>
      <w:r w:rsidR="005227F3" w:rsidRPr="00760E4E">
        <w:rPr>
          <w:rFonts w:cs="Tahoma"/>
          <w:szCs w:val="24"/>
        </w:rPr>
        <w:t>s</w:t>
      </w:r>
      <w:r w:rsidRPr="00760E4E">
        <w:rPr>
          <w:rFonts w:cs="Tahoma"/>
          <w:szCs w:val="24"/>
        </w:rPr>
        <w:t xml:space="preserve"> AFP demandada</w:t>
      </w:r>
      <w:r w:rsidR="005227F3" w:rsidRPr="00760E4E">
        <w:rPr>
          <w:rFonts w:cs="Tahoma"/>
          <w:szCs w:val="24"/>
        </w:rPr>
        <w:t>s</w:t>
      </w:r>
      <w:r w:rsidRPr="00760E4E">
        <w:rPr>
          <w:rFonts w:cs="Tahoma"/>
          <w:szCs w:val="24"/>
        </w:rPr>
        <w:t xml:space="preserve"> la devolución, con cargo a sus propios recursos de los gastos de administración, comisiones, cuotas de garantía de pensión mínima y seguros previsionales a Colpensiones. </w:t>
      </w:r>
    </w:p>
    <w:p w14:paraId="6D2D1C27" w14:textId="77777777" w:rsidR="00363345" w:rsidRPr="00760E4E" w:rsidRDefault="00363345" w:rsidP="00760E4E">
      <w:pPr>
        <w:spacing w:before="0" w:beforeAutospacing="0" w:after="0" w:afterAutospacing="0" w:line="276" w:lineRule="auto"/>
        <w:ind w:firstLine="0"/>
        <w:contextualSpacing/>
        <w:rPr>
          <w:rFonts w:ascii="Tahoma" w:hAnsi="Tahoma" w:cs="Tahoma"/>
        </w:rPr>
      </w:pPr>
    </w:p>
    <w:p w14:paraId="623FFBAD" w14:textId="4CE296F8" w:rsidR="002D01FE" w:rsidRPr="00760E4E" w:rsidRDefault="002D01FE" w:rsidP="00760E4E">
      <w:pPr>
        <w:pStyle w:val="Prrafodelista"/>
        <w:numPr>
          <w:ilvl w:val="0"/>
          <w:numId w:val="10"/>
        </w:numPr>
        <w:spacing w:line="276" w:lineRule="auto"/>
        <w:ind w:left="0" w:firstLine="709"/>
        <w:rPr>
          <w:rFonts w:cs="Tahoma"/>
          <w:szCs w:val="24"/>
        </w:rPr>
      </w:pPr>
      <w:r w:rsidRPr="00760E4E">
        <w:rPr>
          <w:rFonts w:cs="Tahoma"/>
          <w:szCs w:val="24"/>
        </w:rPr>
        <w:lastRenderedPageBreak/>
        <w:t>Concluir si la prohibición señalada en el literal e) del artículo 13 de la Ley 100 de 1993, modificado por el artículo 2º de la Ley 797 de 2003, es atendible en aquellos eventos donde se discute la ineficacia del traslado de régimen pensional.</w:t>
      </w:r>
    </w:p>
    <w:p w14:paraId="78C14783" w14:textId="77777777" w:rsidR="002D01FE" w:rsidRPr="00760E4E" w:rsidRDefault="002D01FE" w:rsidP="00760E4E">
      <w:pPr>
        <w:pStyle w:val="Prrafodelista"/>
        <w:spacing w:line="276" w:lineRule="auto"/>
        <w:rPr>
          <w:rFonts w:cs="Tahoma"/>
          <w:szCs w:val="24"/>
        </w:rPr>
      </w:pPr>
    </w:p>
    <w:p w14:paraId="769DEA98" w14:textId="59992096" w:rsidR="00363345" w:rsidRPr="00760E4E" w:rsidRDefault="00964410" w:rsidP="00760E4E">
      <w:pPr>
        <w:pStyle w:val="Prrafodelista"/>
        <w:numPr>
          <w:ilvl w:val="0"/>
          <w:numId w:val="10"/>
        </w:numPr>
        <w:spacing w:line="276" w:lineRule="auto"/>
        <w:ind w:left="0" w:firstLine="709"/>
        <w:rPr>
          <w:rFonts w:cs="Tahoma"/>
          <w:szCs w:val="24"/>
        </w:rPr>
      </w:pPr>
      <w:r w:rsidRPr="00760E4E">
        <w:rPr>
          <w:rFonts w:eastAsia="Tahoma" w:cs="Tahoma"/>
          <w:szCs w:val="24"/>
          <w:lang w:eastAsia="es-CO"/>
        </w:rPr>
        <w:t>Analizar cuál es el precedente aplicable en la actualidad respecto de los actos de relacionamiento</w:t>
      </w:r>
      <w:r w:rsidR="00363345" w:rsidRPr="00760E4E">
        <w:rPr>
          <w:rFonts w:cs="Tahoma"/>
          <w:szCs w:val="24"/>
        </w:rPr>
        <w:t xml:space="preserve">. </w:t>
      </w:r>
    </w:p>
    <w:p w14:paraId="233DAEC0" w14:textId="77777777" w:rsidR="00363345" w:rsidRPr="00760E4E" w:rsidRDefault="00363345" w:rsidP="00760E4E">
      <w:pPr>
        <w:spacing w:before="0" w:beforeAutospacing="0" w:after="0" w:afterAutospacing="0" w:line="276" w:lineRule="auto"/>
        <w:ind w:firstLine="0"/>
        <w:contextualSpacing/>
        <w:rPr>
          <w:rFonts w:ascii="Tahoma" w:hAnsi="Tahoma" w:cs="Tahoma"/>
        </w:rPr>
      </w:pPr>
    </w:p>
    <w:p w14:paraId="1065B406" w14:textId="2CFB731C" w:rsidR="00363345" w:rsidRPr="00760E4E" w:rsidRDefault="00363345" w:rsidP="00760E4E">
      <w:pPr>
        <w:pStyle w:val="Prrafodelista"/>
        <w:numPr>
          <w:ilvl w:val="0"/>
          <w:numId w:val="10"/>
        </w:numPr>
        <w:spacing w:line="276" w:lineRule="auto"/>
        <w:ind w:left="0" w:firstLine="709"/>
        <w:rPr>
          <w:rFonts w:cs="Tahoma"/>
          <w:szCs w:val="24"/>
        </w:rPr>
      </w:pPr>
      <w:r w:rsidRPr="00760E4E">
        <w:rPr>
          <w:rFonts w:cs="Tahoma"/>
          <w:szCs w:val="24"/>
        </w:rPr>
        <w:t xml:space="preserve">Establecer si hay lugar a exonerar en costas a </w:t>
      </w:r>
      <w:r w:rsidR="00A446D2" w:rsidRPr="00760E4E">
        <w:rPr>
          <w:rFonts w:cs="Tahoma"/>
          <w:szCs w:val="24"/>
        </w:rPr>
        <w:t>Colfondos</w:t>
      </w:r>
      <w:r w:rsidR="005227F3" w:rsidRPr="00760E4E">
        <w:rPr>
          <w:rFonts w:cs="Tahoma"/>
          <w:szCs w:val="24"/>
        </w:rPr>
        <w:t xml:space="preserve"> </w:t>
      </w:r>
      <w:r w:rsidRPr="00760E4E">
        <w:rPr>
          <w:rFonts w:cs="Tahoma"/>
          <w:szCs w:val="24"/>
        </w:rPr>
        <w:t>S.A.</w:t>
      </w:r>
    </w:p>
    <w:p w14:paraId="28B80D78" w14:textId="3E5C0003" w:rsidR="00363345" w:rsidRDefault="00363345" w:rsidP="00760E4E">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6A793660" w14:textId="77777777" w:rsidR="00760E4E" w:rsidRPr="00760E4E" w:rsidRDefault="00760E4E" w:rsidP="00760E4E">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37E96C6B" w14:textId="77777777" w:rsidR="00363345" w:rsidRPr="00760E4E" w:rsidRDefault="00363345" w:rsidP="00760E4E">
      <w:pPr>
        <w:widowControl w:val="0"/>
        <w:numPr>
          <w:ilvl w:val="0"/>
          <w:numId w:val="4"/>
        </w:numPr>
        <w:autoSpaceDE w:val="0"/>
        <w:autoSpaceDN w:val="0"/>
        <w:adjustRightInd w:val="0"/>
        <w:spacing w:before="0" w:beforeAutospacing="0" w:after="0" w:afterAutospacing="0" w:line="276" w:lineRule="auto"/>
        <w:jc w:val="center"/>
        <w:rPr>
          <w:rFonts w:ascii="Tahoma" w:eastAsia="Calibri" w:hAnsi="Tahoma" w:cs="Tahoma"/>
          <w:b/>
          <w:bCs/>
          <w:lang w:eastAsia="es-CO"/>
        </w:rPr>
      </w:pPr>
      <w:r w:rsidRPr="00760E4E">
        <w:rPr>
          <w:rFonts w:ascii="Tahoma" w:eastAsia="Calibri" w:hAnsi="Tahoma" w:cs="Tahoma"/>
          <w:b/>
          <w:bCs/>
          <w:lang w:eastAsia="es-CO"/>
        </w:rPr>
        <w:t>Consideraciones</w:t>
      </w:r>
    </w:p>
    <w:p w14:paraId="10F104B7" w14:textId="77777777" w:rsidR="00363345" w:rsidRPr="00760E4E" w:rsidRDefault="00363345" w:rsidP="00760E4E">
      <w:pPr>
        <w:widowControl w:val="0"/>
        <w:autoSpaceDE w:val="0"/>
        <w:autoSpaceDN w:val="0"/>
        <w:adjustRightInd w:val="0"/>
        <w:spacing w:before="0" w:beforeAutospacing="0" w:after="0" w:afterAutospacing="0" w:line="276" w:lineRule="auto"/>
        <w:ind w:firstLine="0"/>
        <w:rPr>
          <w:rFonts w:ascii="Tahoma" w:eastAsia="Calibri" w:hAnsi="Tahoma" w:cs="Tahoma"/>
          <w:b/>
          <w:bCs/>
          <w:lang w:eastAsia="es-CO"/>
        </w:rPr>
      </w:pPr>
    </w:p>
    <w:p w14:paraId="094E8AAB" w14:textId="77777777" w:rsidR="00363345" w:rsidRPr="00760E4E" w:rsidRDefault="00363345" w:rsidP="00760E4E">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lang w:eastAsia="es-CO"/>
        </w:rPr>
      </w:pPr>
      <w:r w:rsidRPr="00760E4E">
        <w:rPr>
          <w:rFonts w:ascii="Tahoma" w:eastAsia="Calibri" w:hAnsi="Tahoma" w:cs="Tahoma"/>
          <w:b/>
          <w:lang w:eastAsia="es-CO"/>
        </w:rPr>
        <w:t xml:space="preserve">Precedente vertical: la tesis de la Corte Suprema de Justicia respecto al tema de la ineficacia del traslado constituye doctrina probable </w:t>
      </w:r>
    </w:p>
    <w:p w14:paraId="252A7FB7" w14:textId="77777777" w:rsidR="00363345" w:rsidRPr="00760E4E" w:rsidRDefault="00363345" w:rsidP="00760E4E">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6A724ECB" w14:textId="77777777" w:rsidR="00363345" w:rsidRPr="00760E4E" w:rsidRDefault="00363345" w:rsidP="00760E4E">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760E4E">
        <w:rPr>
          <w:rFonts w:ascii="Tahoma" w:eastAsia="Calibri" w:hAnsi="Tahoma" w:cs="Tahoma"/>
          <w:lang w:eastAsia="es-CO"/>
        </w:rPr>
        <w:t xml:space="preserve">En la actualidad existe </w:t>
      </w:r>
      <w:r w:rsidRPr="00760E4E">
        <w:rPr>
          <w:rFonts w:ascii="Tahoma" w:eastAsia="Calibri" w:hAnsi="Tahoma" w:cs="Tahoma"/>
          <w:b/>
          <w:lang w:eastAsia="es-CO"/>
        </w:rPr>
        <w:t>doctrina probable</w:t>
      </w:r>
      <w:r w:rsidRPr="00760E4E">
        <w:rPr>
          <w:rFonts w:ascii="Tahoma" w:eastAsia="Calibri" w:hAnsi="Tahoma" w:cs="Tahoma"/>
          <w:lang w:eastAsia="es-CO"/>
        </w:rPr>
        <w:t xml:space="preserve"> respecto a la ineficacia de los traslados de regímenes, por cuanto la Sala de Casación Laboral ha proferido sobre el tema un número considerable de sentencias (más de 40), entre otras, las siguientes: </w:t>
      </w:r>
    </w:p>
    <w:p w14:paraId="3E45AE3E" w14:textId="77777777" w:rsidR="00363345" w:rsidRPr="00760E4E" w:rsidRDefault="00363345" w:rsidP="00760E4E">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123A5AF7" w14:textId="77777777" w:rsidR="00363345" w:rsidRPr="00760E4E" w:rsidRDefault="00363345" w:rsidP="00760E4E">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760E4E">
        <w:rPr>
          <w:rFonts w:ascii="Tahoma" w:eastAsia="Calibri" w:hAnsi="Tahoma" w:cs="Tahoma"/>
          <w:bCs/>
          <w:lang w:eastAsia="es-CO"/>
        </w:rPr>
        <w:t xml:space="preserve">SL 31989 del 9 sep. 2008, </w:t>
      </w:r>
      <w:r w:rsidRPr="00760E4E">
        <w:rPr>
          <w:rFonts w:ascii="Tahoma" w:eastAsia="Calibri" w:hAnsi="Tahoma" w:cs="Tahoma"/>
          <w:lang w:eastAsia="es-CO"/>
        </w:rPr>
        <w:t>SL 31314 9 sep. 2008, SL 33083 22 nov. 2011, SL12136-2014, SL19447-2017, SL4964-2018, CSJ SL4989-2018, SL1421-2019, SL1452-2019, SL1688-2019, SL1689-2019, Sentencia SL 373 -2020, Sentencia SL 5462-2019, Sentencia SL149-2020, Sentencia SL5533-2019, Sentencia SL5144-2019, Sentencia SL4937-2019, Sentencia SL4426-2019, Sentencia SL4343-2019, Sentencia SL4856-2019, Sentencia STP 2082-2019, Sentencia SL4360-2019, Sentencia SL3852-2019, Sentencia SL3749-2019, Sentencia SL3179-2019,  Sentencia SL1838-2019, Sentencia SL2817-2019, Sentencia SL771-2019, Sentencia SL4296-2018, Sentencia SL2865-2019, Sentencia  SL2955-2019, Sentencia  SL2324-2019.</w:t>
      </w:r>
    </w:p>
    <w:p w14:paraId="63C0726C" w14:textId="77777777" w:rsidR="00363345" w:rsidRPr="00760E4E" w:rsidRDefault="00363345" w:rsidP="00760E4E">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68F27804" w14:textId="77777777" w:rsidR="00363345" w:rsidRPr="00760E4E" w:rsidRDefault="00363345" w:rsidP="00760E4E">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760E4E">
        <w:rPr>
          <w:rFonts w:ascii="Tahoma" w:eastAsia="Calibri" w:hAnsi="Tahoma" w:cs="Tahoma"/>
          <w:lang w:eastAsia="es-CO"/>
        </w:rPr>
        <w:t xml:space="preserve">En términos generales, en todas estas sentencias se determinó </w:t>
      </w:r>
      <w:r w:rsidRPr="00760E4E">
        <w:rPr>
          <w:rFonts w:ascii="Tahoma" w:eastAsia="Calibri" w:hAnsi="Tahoma" w:cs="Tahoma"/>
          <w:i/>
          <w:lang w:eastAsia="es-CO"/>
        </w:rPr>
        <w:t xml:space="preserve">i) </w:t>
      </w:r>
      <w:r w:rsidRPr="00760E4E">
        <w:rPr>
          <w:rFonts w:ascii="Tahoma" w:eastAsia="Calibri" w:hAnsi="Tahoma" w:cs="Tahoma"/>
          <w:lang w:eastAsia="es-CO"/>
        </w:rPr>
        <w:t xml:space="preserve">el alcance del deber de información a cargo de las Administradoras de Fondos de Pensiones, </w:t>
      </w:r>
      <w:proofErr w:type="spellStart"/>
      <w:r w:rsidRPr="00760E4E">
        <w:rPr>
          <w:rFonts w:ascii="Tahoma" w:eastAsia="Calibri" w:hAnsi="Tahoma" w:cs="Tahoma"/>
          <w:i/>
          <w:lang w:eastAsia="es-CO"/>
        </w:rPr>
        <w:t>ii</w:t>
      </w:r>
      <w:proofErr w:type="spellEnd"/>
      <w:r w:rsidRPr="00760E4E">
        <w:rPr>
          <w:rFonts w:ascii="Tahoma" w:eastAsia="Calibri" w:hAnsi="Tahoma" w:cs="Tahoma"/>
          <w:i/>
          <w:lang w:eastAsia="es-CO"/>
        </w:rPr>
        <w:t xml:space="preserve">) </w:t>
      </w:r>
      <w:r w:rsidRPr="00760E4E">
        <w:rPr>
          <w:rFonts w:ascii="Tahoma" w:eastAsia="Calibri" w:hAnsi="Tahoma" w:cs="Tahoma"/>
          <w:lang w:eastAsia="es-CO"/>
        </w:rPr>
        <w:t xml:space="preserve">la procedencia de la ineficacia del traslado, </w:t>
      </w:r>
      <w:proofErr w:type="spellStart"/>
      <w:r w:rsidRPr="00760E4E">
        <w:rPr>
          <w:rFonts w:ascii="Tahoma" w:eastAsia="Calibri" w:hAnsi="Tahoma" w:cs="Tahoma"/>
          <w:i/>
          <w:lang w:eastAsia="es-CO"/>
        </w:rPr>
        <w:t>iii</w:t>
      </w:r>
      <w:proofErr w:type="spellEnd"/>
      <w:r w:rsidRPr="00760E4E">
        <w:rPr>
          <w:rFonts w:ascii="Tahoma" w:eastAsia="Calibri" w:hAnsi="Tahoma" w:cs="Tahoma"/>
          <w:i/>
          <w:lang w:eastAsia="es-CO"/>
        </w:rPr>
        <w:t xml:space="preserve">) </w:t>
      </w:r>
      <w:r w:rsidRPr="00760E4E">
        <w:rPr>
          <w:rFonts w:ascii="Tahoma" w:eastAsia="Calibri" w:hAnsi="Tahoma" w:cs="Tahoma"/>
          <w:lang w:eastAsia="es-CO"/>
        </w:rPr>
        <w:t>la inversión de la carga de la prueba en favor del afiliado. Todos los problemas jurídicos planteados en este asunto, fueron objeto de estudio por parte de la Sala de Casación Laboral, de modo que basta referirnos a su precedente para dar respuesta a los mismos, como veremos a continuación.</w:t>
      </w:r>
    </w:p>
    <w:p w14:paraId="38F3290A" w14:textId="77777777" w:rsidR="00363345" w:rsidRPr="00760E4E" w:rsidRDefault="00363345" w:rsidP="00760E4E">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637A3A93" w14:textId="77777777" w:rsidR="00363345" w:rsidRPr="00760E4E" w:rsidRDefault="00363345" w:rsidP="00760E4E">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iCs/>
          <w:lang w:eastAsia="es-CO"/>
        </w:rPr>
      </w:pPr>
      <w:r w:rsidRPr="00760E4E">
        <w:rPr>
          <w:rFonts w:ascii="Tahoma" w:eastAsia="Calibri" w:hAnsi="Tahoma" w:cs="Tahoma"/>
          <w:b/>
          <w:iCs/>
          <w:lang w:eastAsia="es-CO"/>
        </w:rPr>
        <w:t>“El deber de información a cargo de las administradoras de fondos de pensiones: Un deber exigible desde su creación</w:t>
      </w:r>
      <w:r w:rsidRPr="00760E4E">
        <w:rPr>
          <w:rFonts w:ascii="Tahoma" w:eastAsia="Calibri" w:hAnsi="Tahoma" w:cs="Tahoma"/>
          <w:b/>
          <w:iCs/>
          <w:vertAlign w:val="superscript"/>
          <w:lang w:eastAsia="es-CO"/>
        </w:rPr>
        <w:footnoteReference w:id="2"/>
      </w:r>
      <w:r w:rsidRPr="00760E4E">
        <w:rPr>
          <w:rFonts w:ascii="Tahoma" w:eastAsia="Calibri" w:hAnsi="Tahoma" w:cs="Tahoma"/>
          <w:b/>
          <w:iCs/>
          <w:lang w:eastAsia="es-CO"/>
        </w:rPr>
        <w:t>”</w:t>
      </w:r>
    </w:p>
    <w:p w14:paraId="6326005A" w14:textId="77777777" w:rsidR="00363345" w:rsidRPr="00760E4E" w:rsidRDefault="00363345" w:rsidP="00760E4E">
      <w:pPr>
        <w:widowControl w:val="0"/>
        <w:autoSpaceDE w:val="0"/>
        <w:autoSpaceDN w:val="0"/>
        <w:adjustRightInd w:val="0"/>
        <w:spacing w:before="0" w:beforeAutospacing="0" w:after="0" w:afterAutospacing="0" w:line="276" w:lineRule="auto"/>
        <w:ind w:firstLine="284"/>
        <w:rPr>
          <w:rFonts w:ascii="Tahoma" w:eastAsia="Calibri" w:hAnsi="Tahoma" w:cs="Tahoma"/>
          <w:i/>
          <w:lang w:eastAsia="es-CO"/>
        </w:rPr>
      </w:pPr>
    </w:p>
    <w:p w14:paraId="43E86C90" w14:textId="77777777" w:rsidR="00363345" w:rsidRPr="00760E4E" w:rsidRDefault="00363345" w:rsidP="00760E4E">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760E4E">
        <w:rPr>
          <w:rFonts w:ascii="Tahoma" w:eastAsia="Calibri" w:hAnsi="Tahoma" w:cs="Tahoma"/>
          <w:lang w:eastAsia="es-CO"/>
        </w:rPr>
        <w:t xml:space="preserve">Dado que las Administradoras de Fondos de Pensiones son organismos profesionales, resulta aplicable el artículo 1604 del Código Civil, según el cual la prueba </w:t>
      </w:r>
      <w:r w:rsidRPr="00760E4E">
        <w:rPr>
          <w:rFonts w:ascii="Tahoma" w:eastAsia="Calibri" w:hAnsi="Tahoma" w:cs="Tahoma"/>
          <w:lang w:eastAsia="es-CO"/>
        </w:rPr>
        <w:lastRenderedPageBreak/>
        <w:t xml:space="preserve">de la </w:t>
      </w:r>
      <w:r w:rsidRPr="00760E4E">
        <w:rPr>
          <w:rFonts w:ascii="Tahoma" w:eastAsia="Calibri" w:hAnsi="Tahoma" w:cs="Tahoma"/>
          <w:u w:val="single"/>
          <w:lang w:eastAsia="es-CO"/>
        </w:rPr>
        <w:t>debida diligencia y cuidado</w:t>
      </w:r>
      <w:r w:rsidRPr="00760E4E">
        <w:rPr>
          <w:rFonts w:ascii="Tahoma" w:eastAsia="Calibri" w:hAnsi="Tahoma" w:cs="Tahoma"/>
          <w:lang w:eastAsia="es-CO"/>
        </w:rPr>
        <w:t xml:space="preserve"> incumbe a quien ha debido emplearla, atendiendo a las siguientes razones:</w:t>
      </w:r>
    </w:p>
    <w:p w14:paraId="4699B16B" w14:textId="77777777" w:rsidR="00363345" w:rsidRPr="00760E4E" w:rsidRDefault="00363345" w:rsidP="00760E4E">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11383F4C" w14:textId="77777777" w:rsidR="00363345" w:rsidRPr="00760E4E" w:rsidRDefault="00363345" w:rsidP="00760E4E">
      <w:pPr>
        <w:pStyle w:val="Prrafodelista"/>
        <w:widowControl w:val="0"/>
        <w:numPr>
          <w:ilvl w:val="0"/>
          <w:numId w:val="9"/>
        </w:numPr>
        <w:autoSpaceDE w:val="0"/>
        <w:autoSpaceDN w:val="0"/>
        <w:adjustRightInd w:val="0"/>
        <w:spacing w:line="276" w:lineRule="auto"/>
        <w:rPr>
          <w:rFonts w:eastAsia="Calibri" w:cs="Tahoma"/>
          <w:szCs w:val="24"/>
          <w:lang w:eastAsia="es-CO"/>
        </w:rPr>
      </w:pPr>
      <w:r w:rsidRPr="00760E4E">
        <w:rPr>
          <w:rFonts w:eastAsia="Calibri" w:cs="Tahoma"/>
          <w:szCs w:val="24"/>
          <w:lang w:eastAsia="es-CO"/>
        </w:rPr>
        <w:t xml:space="preserve">Las Administradoras de Fondos de Pensiones tienen deberes de carácter profesional con sus afiliados y con los consumidores del mercado potencial en general. Además, sus actividades se encuentran reguladas por el </w:t>
      </w:r>
      <w:r w:rsidRPr="00760E4E">
        <w:rPr>
          <w:rFonts w:eastAsia="Calibri" w:cs="Tahoma"/>
          <w:szCs w:val="24"/>
          <w:u w:val="single"/>
          <w:lang w:eastAsia="es-CO"/>
        </w:rPr>
        <w:t>Decreto 663 de 1993</w:t>
      </w:r>
      <w:r w:rsidRPr="00760E4E">
        <w:rPr>
          <w:rFonts w:cs="Tahoma"/>
          <w:szCs w:val="24"/>
          <w:u w:val="single"/>
          <w:vertAlign w:val="superscript"/>
          <w:lang w:eastAsia="es-CO"/>
        </w:rPr>
        <w:footnoteReference w:id="3"/>
      </w:r>
      <w:r w:rsidRPr="00760E4E">
        <w:rPr>
          <w:rFonts w:eastAsia="Calibri" w:cs="Tahoma"/>
          <w:szCs w:val="24"/>
          <w:lang w:eastAsia="es-CO"/>
        </w:rPr>
        <w:t>, norma en la que se destaca la importancia de los principios de debida diligencia, transparencia e información cierta, suficiente y oportuna.</w:t>
      </w:r>
    </w:p>
    <w:p w14:paraId="35E10FE4" w14:textId="77777777" w:rsidR="00363345" w:rsidRPr="00760E4E" w:rsidRDefault="00363345" w:rsidP="00760E4E">
      <w:pPr>
        <w:pStyle w:val="Prrafodelista"/>
        <w:widowControl w:val="0"/>
        <w:autoSpaceDE w:val="0"/>
        <w:autoSpaceDN w:val="0"/>
        <w:adjustRightInd w:val="0"/>
        <w:spacing w:line="276" w:lineRule="auto"/>
        <w:rPr>
          <w:rFonts w:eastAsia="Calibri" w:cs="Tahoma"/>
          <w:szCs w:val="24"/>
          <w:lang w:eastAsia="es-CO"/>
        </w:rPr>
      </w:pPr>
    </w:p>
    <w:p w14:paraId="162B6A08" w14:textId="77777777" w:rsidR="00363345" w:rsidRPr="00760E4E" w:rsidRDefault="00363345" w:rsidP="00760E4E">
      <w:pPr>
        <w:pStyle w:val="Prrafodelista"/>
        <w:widowControl w:val="0"/>
        <w:numPr>
          <w:ilvl w:val="0"/>
          <w:numId w:val="9"/>
        </w:numPr>
        <w:autoSpaceDE w:val="0"/>
        <w:autoSpaceDN w:val="0"/>
        <w:adjustRightInd w:val="0"/>
        <w:spacing w:line="276" w:lineRule="auto"/>
        <w:rPr>
          <w:rFonts w:eastAsia="Calibri" w:cs="Tahoma"/>
          <w:szCs w:val="24"/>
          <w:lang w:eastAsia="es-CO"/>
        </w:rPr>
      </w:pPr>
      <w:r w:rsidRPr="00760E4E">
        <w:rPr>
          <w:rFonts w:eastAsia="Calibri" w:cs="Tahoma"/>
          <w:szCs w:val="24"/>
          <w:lang w:eastAsia="es-CO"/>
        </w:rPr>
        <w:t xml:space="preserve">Adicionalmente, se tiene previsto en el artículo 12 del Decreto 720 de 1994, que los promotores que empleen las sociedades administradoras del sistema general de pensiones deberán suministrar </w:t>
      </w:r>
      <w:r w:rsidRPr="00760E4E">
        <w:rPr>
          <w:rFonts w:eastAsia="Calibri" w:cs="Tahoma"/>
          <w:szCs w:val="24"/>
          <w:u w:val="single"/>
          <w:lang w:eastAsia="es-CO"/>
        </w:rPr>
        <w:t>suficiente, amplia y oportuna</w:t>
      </w:r>
      <w:r w:rsidRPr="00760E4E">
        <w:rPr>
          <w:rFonts w:eastAsia="Calibri" w:cs="Tahoma"/>
          <w:szCs w:val="24"/>
          <w:lang w:eastAsia="es-CO"/>
        </w:rPr>
        <w:t xml:space="preserve"> información a los posibles afiliados al momento de la promoción de la afiliación y durante toda la vinculación con ocasión de las prestaciones a las cuales tenga derecho el afiliado. </w:t>
      </w:r>
    </w:p>
    <w:p w14:paraId="1A8F8455" w14:textId="77777777" w:rsidR="00363345" w:rsidRPr="00760E4E" w:rsidRDefault="00363345" w:rsidP="00760E4E">
      <w:pPr>
        <w:pStyle w:val="Prrafodelista"/>
        <w:spacing w:line="276" w:lineRule="auto"/>
        <w:rPr>
          <w:rFonts w:eastAsia="Calibri" w:cs="Tahoma"/>
          <w:szCs w:val="24"/>
          <w:lang w:eastAsia="es-CO"/>
        </w:rPr>
      </w:pPr>
    </w:p>
    <w:p w14:paraId="0ED4790A" w14:textId="77777777" w:rsidR="00363345" w:rsidRPr="00760E4E" w:rsidRDefault="00363345" w:rsidP="00760E4E">
      <w:pPr>
        <w:pStyle w:val="Prrafodelista"/>
        <w:widowControl w:val="0"/>
        <w:numPr>
          <w:ilvl w:val="0"/>
          <w:numId w:val="9"/>
        </w:numPr>
        <w:autoSpaceDE w:val="0"/>
        <w:autoSpaceDN w:val="0"/>
        <w:adjustRightInd w:val="0"/>
        <w:spacing w:line="276" w:lineRule="auto"/>
        <w:rPr>
          <w:rFonts w:eastAsia="Calibri" w:cs="Tahoma"/>
          <w:szCs w:val="24"/>
          <w:lang w:eastAsia="es-CO"/>
        </w:rPr>
      </w:pPr>
      <w:r w:rsidRPr="00760E4E">
        <w:rPr>
          <w:rFonts w:eastAsia="Calibri" w:cs="Tahoma"/>
          <w:szCs w:val="24"/>
          <w:lang w:eastAsia="es-CO"/>
        </w:rPr>
        <w:t>Dispone el artículo 114 de la Ley 100 de 1993, que los trabajadores y servidores públicos que se trasladen por primera vez del RPM al RAIS, deberán presentar a la respectiva entidad administradora comunicación escrita en la que conste que la selección de dicho régimen se ha tomado de manera libre, espontánea y sin presiones.</w:t>
      </w:r>
    </w:p>
    <w:p w14:paraId="0834250A" w14:textId="77777777" w:rsidR="00363345" w:rsidRPr="00760E4E" w:rsidRDefault="00363345" w:rsidP="00760E4E">
      <w:pPr>
        <w:pStyle w:val="Prrafodelista"/>
        <w:spacing w:line="276" w:lineRule="auto"/>
        <w:rPr>
          <w:rFonts w:eastAsia="Calibri" w:cs="Tahoma"/>
          <w:szCs w:val="24"/>
          <w:lang w:eastAsia="es-CO"/>
        </w:rPr>
      </w:pPr>
    </w:p>
    <w:p w14:paraId="537DB125" w14:textId="77777777" w:rsidR="00363345" w:rsidRPr="00760E4E" w:rsidRDefault="00363345" w:rsidP="00760E4E">
      <w:pPr>
        <w:pStyle w:val="Prrafodelista"/>
        <w:widowControl w:val="0"/>
        <w:numPr>
          <w:ilvl w:val="0"/>
          <w:numId w:val="9"/>
        </w:numPr>
        <w:autoSpaceDE w:val="0"/>
        <w:autoSpaceDN w:val="0"/>
        <w:adjustRightInd w:val="0"/>
        <w:spacing w:line="276" w:lineRule="auto"/>
        <w:rPr>
          <w:rFonts w:eastAsia="Calibri" w:cs="Tahoma"/>
          <w:szCs w:val="24"/>
          <w:lang w:eastAsia="es-CO"/>
        </w:rPr>
      </w:pPr>
      <w:r w:rsidRPr="00760E4E">
        <w:rPr>
          <w:rFonts w:eastAsia="Calibri" w:cs="Tahoma"/>
          <w:szCs w:val="24"/>
          <w:lang w:eastAsia="es-CO"/>
        </w:rPr>
        <w:t xml:space="preserve">En numerosas sentencias del órgano de cierre de la jurisdicción ordinaria laboral, se ha establecido que no puede argüirse que </w:t>
      </w:r>
      <w:r w:rsidRPr="00760E4E">
        <w:rPr>
          <w:rFonts w:eastAsia="Calibri" w:cs="Tahoma"/>
          <w:iCs/>
          <w:szCs w:val="24"/>
          <w:lang w:eastAsia="es-CO"/>
        </w:rPr>
        <w:t xml:space="preserve">existe una manifestación libre y voluntaria cuando las personas desconocen la incidencia que el traslado de régimen pueda tener frente a sus derechos prestacionales, ni puede estimarse satisfecho tal requisito con una simple expresión genérica o con la suscripción de un formato; de allí que desde el inicio haya correspondido a las Administradoras de Fondos de Pensiones </w:t>
      </w:r>
      <w:r w:rsidRPr="00760E4E">
        <w:rPr>
          <w:rFonts w:eastAsia="Calibri" w:cs="Tahoma"/>
          <w:i/>
          <w:iCs/>
          <w:szCs w:val="24"/>
          <w:lang w:eastAsia="es-CO"/>
        </w:rPr>
        <w:t>“</w:t>
      </w:r>
      <w:r w:rsidRPr="00B27B17">
        <w:rPr>
          <w:rFonts w:eastAsia="Calibri" w:cs="Tahoma"/>
          <w:i/>
          <w:iCs/>
          <w:sz w:val="22"/>
          <w:szCs w:val="24"/>
          <w:u w:val="single"/>
          <w:lang w:eastAsia="es-CO"/>
        </w:rPr>
        <w:t>dar cuenta de que documentaron clara y suficientemente los efectos que acarrea el cambio de régimen, so pena de declarar ineficaz ese tránsito</w:t>
      </w:r>
      <w:r w:rsidRPr="00760E4E">
        <w:rPr>
          <w:rFonts w:eastAsia="Calibri" w:cs="Tahoma"/>
          <w:i/>
          <w:iCs/>
          <w:szCs w:val="24"/>
          <w:u w:val="single"/>
          <w:lang w:eastAsia="es-CO"/>
        </w:rPr>
        <w:t>.”</w:t>
      </w:r>
    </w:p>
    <w:p w14:paraId="1801C158" w14:textId="77777777" w:rsidR="00363345" w:rsidRPr="00760E4E" w:rsidRDefault="00363345" w:rsidP="00760E4E">
      <w:pPr>
        <w:pStyle w:val="Prrafodelista"/>
        <w:spacing w:line="276" w:lineRule="auto"/>
        <w:rPr>
          <w:rFonts w:eastAsia="Calibri" w:cs="Tahoma"/>
          <w:iCs/>
          <w:szCs w:val="24"/>
          <w:lang w:eastAsia="es-CO"/>
        </w:rPr>
      </w:pPr>
    </w:p>
    <w:p w14:paraId="16630BD6" w14:textId="0577D3B0" w:rsidR="00363345" w:rsidRPr="00760E4E" w:rsidRDefault="00363345" w:rsidP="00760E4E">
      <w:pPr>
        <w:pStyle w:val="Prrafodelista"/>
        <w:widowControl w:val="0"/>
        <w:numPr>
          <w:ilvl w:val="0"/>
          <w:numId w:val="9"/>
        </w:numPr>
        <w:autoSpaceDE w:val="0"/>
        <w:autoSpaceDN w:val="0"/>
        <w:adjustRightInd w:val="0"/>
        <w:spacing w:line="276" w:lineRule="auto"/>
        <w:rPr>
          <w:rFonts w:eastAsia="Calibri" w:cs="Tahoma"/>
          <w:szCs w:val="24"/>
          <w:lang w:eastAsia="es-CO"/>
        </w:rPr>
      </w:pPr>
      <w:r w:rsidRPr="00760E4E">
        <w:rPr>
          <w:rFonts w:eastAsia="Calibri" w:cs="Tahoma"/>
          <w:iCs/>
          <w:szCs w:val="24"/>
          <w:lang w:eastAsia="es-CO"/>
        </w:rPr>
        <w:t xml:space="preserve">Con sustento en lo anterior, es evidente que en todos los casos en que un afiliado ponga en cuestión la falta de información veraz, oportuna y completa de las incidencias del cambio del régimen pensional, y bajo tal premisa persiga la ineficacia de su traslado, la defensa de la AFP demandada debe encaminarse a demostrar, bajo los medios probatorios a su alcance, que cumplió con el deber de buen consejo al transmitirle al afiliado toda aquella información que resultaba relevante para que tomar una decisión de tal trascendencia. </w:t>
      </w:r>
    </w:p>
    <w:p w14:paraId="715304D4" w14:textId="77777777" w:rsidR="002D01FE" w:rsidRPr="00760E4E" w:rsidRDefault="002D01FE" w:rsidP="00760E4E">
      <w:pPr>
        <w:pStyle w:val="Prrafodelista"/>
        <w:spacing w:line="276" w:lineRule="auto"/>
        <w:rPr>
          <w:rFonts w:eastAsia="Calibri" w:cs="Tahoma"/>
          <w:szCs w:val="24"/>
          <w:lang w:eastAsia="es-CO"/>
        </w:rPr>
      </w:pPr>
    </w:p>
    <w:p w14:paraId="09C0EFC4" w14:textId="77777777" w:rsidR="00363345" w:rsidRPr="00760E4E" w:rsidRDefault="00363345" w:rsidP="00760E4E">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r w:rsidRPr="00760E4E">
        <w:rPr>
          <w:rFonts w:ascii="Tahoma" w:eastAsia="Calibri" w:hAnsi="Tahoma" w:cs="Tahoma"/>
          <w:iCs/>
          <w:lang w:eastAsia="es-CO"/>
        </w:rPr>
        <w:tab/>
        <w:t xml:space="preserve">Dicho deber, como lo ha enseñado la Corte, es exigible desde las etapas previas y preparatorias a la formalización de la afiliación a la administradora, pues el sistema pensional, del que obviamente son protagonistas de primer orden las Administradoras de Fondos de Pensiones, se supone que actúan mediante instituciones especializadas </w:t>
      </w:r>
      <w:r w:rsidRPr="00760E4E">
        <w:rPr>
          <w:rFonts w:ascii="Tahoma" w:eastAsia="Calibri" w:hAnsi="Tahoma" w:cs="Tahoma"/>
          <w:iCs/>
          <w:lang w:eastAsia="es-CO"/>
        </w:rPr>
        <w:lastRenderedPageBreak/>
        <w:t>e idóneas, con conocimientos y experiencia, que tienen la obligación de brindar información confiable a los ciudadanos quienes les van a entregar sus ahorros y sus seguros de previsión para su vejez, invalidez o para su familia cercana en caso de muerte prematura.</w:t>
      </w:r>
    </w:p>
    <w:p w14:paraId="49BAECB9" w14:textId="77777777" w:rsidR="00363345" w:rsidRPr="00760E4E" w:rsidRDefault="00363345" w:rsidP="00760E4E">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p>
    <w:p w14:paraId="231849BA" w14:textId="77777777" w:rsidR="00363345" w:rsidRPr="00760E4E" w:rsidRDefault="00363345" w:rsidP="00760E4E">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r w:rsidRPr="00760E4E">
        <w:rPr>
          <w:rFonts w:ascii="Tahoma" w:eastAsia="Calibri" w:hAnsi="Tahoma" w:cs="Tahoma"/>
          <w:lang w:eastAsia="es-CO"/>
        </w:rPr>
        <w:tab/>
        <w:t>Ello así, también ha dicho el órgano de cierre de la especialidad laboral, que las AFP demandadas se encuentran en una situación de ventaja que les permite aportar las evidencias respecto a si se le brindó al afiliado la información cierta, suficiente, comprensible y oportuna a la hora de convencerlo de trasladarse de régimen.</w:t>
      </w:r>
    </w:p>
    <w:p w14:paraId="75D13A36" w14:textId="77777777" w:rsidR="00363345" w:rsidRPr="00760E4E" w:rsidRDefault="00363345" w:rsidP="00760E4E">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76B31B0E" w14:textId="77777777" w:rsidR="00363345" w:rsidRPr="00760E4E" w:rsidRDefault="00363345" w:rsidP="00760E4E">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760E4E">
        <w:rPr>
          <w:rFonts w:ascii="Tahoma" w:eastAsia="Calibri" w:hAnsi="Tahoma" w:cs="Tahoma"/>
          <w:lang w:eastAsia="es-CO"/>
        </w:rPr>
        <w:t xml:space="preserve">Ahora bien, como quiera que uno de los argumentos de la defensa de las AFP es que la normatividad del deber de información se ha venido dando paulatinamente, vale la pena citar la sentencia del 8 de mayo de 2019 SL 1688-2019, Radicado 68838, con Ponencia de la Dra. Clara Cecilia Dueñas Quevedo, donde se hace un didáctico recuento histórico de las normas que rigen la actividad de los Fondos de Pensiones privados, dividiéndolo en 3 etapas, de cuyo análisis se llega a la conclusión de que a las AFP les compete, desde su creación, el deber de suministrar una información </w:t>
      </w:r>
      <w:r w:rsidRPr="00760E4E">
        <w:rPr>
          <w:rFonts w:ascii="Tahoma" w:eastAsia="Calibri" w:hAnsi="Tahoma" w:cs="Tahoma"/>
          <w:b/>
          <w:lang w:eastAsia="es-CO"/>
        </w:rPr>
        <w:t xml:space="preserve">necesaria y transparente, </w:t>
      </w:r>
      <w:r w:rsidRPr="00760E4E">
        <w:rPr>
          <w:rFonts w:ascii="Tahoma" w:eastAsia="Calibri" w:hAnsi="Tahoma" w:cs="Tahoma"/>
          <w:lang w:eastAsia="es-CO"/>
        </w:rPr>
        <w:t xml:space="preserve">que con el transcurrir del tiempo esta exigencia cambió, pasando de un deber de información necesaria al de </w:t>
      </w:r>
      <w:r w:rsidRPr="00760E4E">
        <w:rPr>
          <w:rFonts w:ascii="Tahoma" w:eastAsia="Calibri" w:hAnsi="Tahoma" w:cs="Tahoma"/>
          <w:b/>
          <w:lang w:eastAsia="es-CO"/>
        </w:rPr>
        <w:t>asesoría y buen consejo</w:t>
      </w:r>
      <w:r w:rsidRPr="00760E4E">
        <w:rPr>
          <w:rFonts w:ascii="Tahoma" w:eastAsia="Calibri" w:hAnsi="Tahoma" w:cs="Tahoma"/>
          <w:lang w:eastAsia="es-CO"/>
        </w:rPr>
        <w:t xml:space="preserve">, y finalmente al de </w:t>
      </w:r>
      <w:r w:rsidRPr="00760E4E">
        <w:rPr>
          <w:rFonts w:ascii="Tahoma" w:eastAsia="Calibri" w:hAnsi="Tahoma" w:cs="Tahoma"/>
          <w:b/>
          <w:lang w:eastAsia="es-CO"/>
        </w:rPr>
        <w:t>doble asesoría</w:t>
      </w:r>
      <w:r w:rsidRPr="00760E4E">
        <w:rPr>
          <w:rFonts w:ascii="Tahoma" w:eastAsia="Calibri" w:hAnsi="Tahoma" w:cs="Tahoma"/>
          <w:lang w:eastAsia="es-CO"/>
        </w:rPr>
        <w:t>, explicando en qué consiste cada uno de esos conceptos. Dicho recuento histórico, se compendia de la siguiente manera:</w:t>
      </w:r>
    </w:p>
    <w:p w14:paraId="5021E896" w14:textId="77777777" w:rsidR="00363345" w:rsidRPr="00760E4E" w:rsidRDefault="00363345" w:rsidP="00760E4E">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3FE4B01D" w14:textId="77777777" w:rsidR="00363345" w:rsidRPr="00B27B17" w:rsidRDefault="00363345" w:rsidP="00B27B17">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B27B17">
        <w:rPr>
          <w:rFonts w:ascii="Tahoma" w:eastAsia="Calibri" w:hAnsi="Tahoma" w:cs="Tahoma"/>
          <w:i/>
          <w:sz w:val="22"/>
          <w:lang w:eastAsia="es-CO"/>
        </w:rPr>
        <w:t>“El anterior recuento sobre la evolución normativa del deber de información a cargo de las administradoras de pensiones podría, a grandes rasgos, sintetizarse así:</w:t>
      </w:r>
    </w:p>
    <w:p w14:paraId="43451869" w14:textId="77777777" w:rsidR="00363345" w:rsidRPr="00B27B17" w:rsidRDefault="00363345" w:rsidP="00B27B17">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tbl>
      <w:tblPr>
        <w:tblStyle w:val="Tablaconcuadrcula1"/>
        <w:tblW w:w="8506" w:type="dxa"/>
        <w:tblInd w:w="561" w:type="dxa"/>
        <w:tblLook w:val="04A0" w:firstRow="1" w:lastRow="0" w:firstColumn="1" w:lastColumn="0" w:noHBand="0" w:noVBand="1"/>
      </w:tblPr>
      <w:tblGrid>
        <w:gridCol w:w="2265"/>
        <w:gridCol w:w="2902"/>
        <w:gridCol w:w="3339"/>
      </w:tblGrid>
      <w:tr w:rsidR="00363345" w:rsidRPr="00B27B17" w14:paraId="670A1B12" w14:textId="77777777" w:rsidTr="006D2211">
        <w:trPr>
          <w:trHeight w:val="397"/>
        </w:trPr>
        <w:tc>
          <w:tcPr>
            <w:tcW w:w="1985" w:type="dxa"/>
            <w:tcBorders>
              <w:top w:val="single" w:sz="4" w:space="0" w:color="auto"/>
              <w:left w:val="single" w:sz="4" w:space="0" w:color="auto"/>
              <w:bottom w:val="single" w:sz="4" w:space="0" w:color="auto"/>
              <w:right w:val="single" w:sz="4" w:space="0" w:color="auto"/>
            </w:tcBorders>
            <w:hideMark/>
          </w:tcPr>
          <w:p w14:paraId="4CC63FBF" w14:textId="77777777" w:rsidR="00363345" w:rsidRPr="00B27B17" w:rsidRDefault="00363345" w:rsidP="00B27B17">
            <w:pPr>
              <w:widowControl w:val="0"/>
              <w:autoSpaceDE w:val="0"/>
              <w:autoSpaceDN w:val="0"/>
              <w:adjustRightInd w:val="0"/>
              <w:ind w:left="426" w:right="420"/>
              <w:rPr>
                <w:rFonts w:ascii="Tahoma" w:eastAsia="Tahoma" w:hAnsi="Tahoma" w:cs="Tahoma"/>
                <w:i/>
                <w:iCs/>
                <w:szCs w:val="24"/>
                <w:lang w:eastAsia="es-MX"/>
              </w:rPr>
            </w:pPr>
            <w:r w:rsidRPr="00B27B17">
              <w:rPr>
                <w:rFonts w:ascii="Tahoma" w:eastAsia="Tahoma" w:hAnsi="Tahoma" w:cs="Tahoma"/>
                <w:i/>
                <w:iCs/>
                <w:szCs w:val="24"/>
                <w:lang w:eastAsia="es-MX"/>
              </w:rPr>
              <w:t>Etapa acumulativa</w:t>
            </w:r>
          </w:p>
        </w:tc>
        <w:tc>
          <w:tcPr>
            <w:tcW w:w="2977" w:type="dxa"/>
            <w:tcBorders>
              <w:top w:val="single" w:sz="4" w:space="0" w:color="auto"/>
              <w:left w:val="single" w:sz="4" w:space="0" w:color="auto"/>
              <w:bottom w:val="single" w:sz="4" w:space="0" w:color="auto"/>
              <w:right w:val="single" w:sz="4" w:space="0" w:color="auto"/>
            </w:tcBorders>
            <w:hideMark/>
          </w:tcPr>
          <w:p w14:paraId="6C8866CA" w14:textId="77777777" w:rsidR="00363345" w:rsidRPr="00B27B17" w:rsidRDefault="00363345" w:rsidP="00B27B17">
            <w:pPr>
              <w:widowControl w:val="0"/>
              <w:autoSpaceDE w:val="0"/>
              <w:autoSpaceDN w:val="0"/>
              <w:adjustRightInd w:val="0"/>
              <w:ind w:left="426" w:right="420"/>
              <w:rPr>
                <w:rFonts w:ascii="Tahoma" w:eastAsia="Tahoma" w:hAnsi="Tahoma" w:cs="Tahoma"/>
                <w:i/>
                <w:iCs/>
                <w:szCs w:val="24"/>
                <w:lang w:eastAsia="es-MX"/>
              </w:rPr>
            </w:pPr>
            <w:r w:rsidRPr="00B27B17">
              <w:rPr>
                <w:rFonts w:ascii="Tahoma" w:eastAsia="Tahoma" w:hAnsi="Tahoma" w:cs="Tahoma"/>
                <w:i/>
                <w:iCs/>
                <w:szCs w:val="24"/>
                <w:lang w:eastAsia="es-MX"/>
              </w:rPr>
              <w:t>Normas que obligan a las administradoras de pensiones a dar información</w:t>
            </w:r>
          </w:p>
        </w:tc>
        <w:tc>
          <w:tcPr>
            <w:tcW w:w="3544" w:type="dxa"/>
            <w:tcBorders>
              <w:top w:val="single" w:sz="4" w:space="0" w:color="auto"/>
              <w:left w:val="single" w:sz="4" w:space="0" w:color="auto"/>
              <w:bottom w:val="single" w:sz="4" w:space="0" w:color="auto"/>
              <w:right w:val="single" w:sz="4" w:space="0" w:color="auto"/>
            </w:tcBorders>
            <w:hideMark/>
          </w:tcPr>
          <w:p w14:paraId="47DC3C82" w14:textId="77777777" w:rsidR="00363345" w:rsidRPr="00B27B17" w:rsidRDefault="00363345" w:rsidP="00B27B17">
            <w:pPr>
              <w:widowControl w:val="0"/>
              <w:autoSpaceDE w:val="0"/>
              <w:autoSpaceDN w:val="0"/>
              <w:adjustRightInd w:val="0"/>
              <w:ind w:left="426" w:right="420"/>
              <w:rPr>
                <w:rFonts w:ascii="Tahoma" w:eastAsia="Tahoma" w:hAnsi="Tahoma" w:cs="Tahoma"/>
                <w:i/>
                <w:iCs/>
                <w:szCs w:val="24"/>
                <w:lang w:eastAsia="es-MX"/>
              </w:rPr>
            </w:pPr>
            <w:r w:rsidRPr="00B27B17">
              <w:rPr>
                <w:rFonts w:ascii="Tahoma" w:eastAsia="Tahoma" w:hAnsi="Tahoma" w:cs="Tahoma"/>
                <w:i/>
                <w:iCs/>
                <w:szCs w:val="24"/>
                <w:lang w:eastAsia="es-MX"/>
              </w:rPr>
              <w:t>Contenido mínimo y alcance del deber de información</w:t>
            </w:r>
          </w:p>
        </w:tc>
      </w:tr>
      <w:tr w:rsidR="00363345" w:rsidRPr="00B27B17" w14:paraId="3BA39096" w14:textId="77777777" w:rsidTr="006D2211">
        <w:trPr>
          <w:trHeight w:val="397"/>
        </w:trPr>
        <w:tc>
          <w:tcPr>
            <w:tcW w:w="1985" w:type="dxa"/>
            <w:tcBorders>
              <w:top w:val="single" w:sz="4" w:space="0" w:color="auto"/>
              <w:left w:val="single" w:sz="4" w:space="0" w:color="auto"/>
              <w:bottom w:val="single" w:sz="4" w:space="0" w:color="auto"/>
              <w:right w:val="single" w:sz="4" w:space="0" w:color="auto"/>
            </w:tcBorders>
            <w:hideMark/>
          </w:tcPr>
          <w:p w14:paraId="09BD6533" w14:textId="77777777" w:rsidR="00363345" w:rsidRPr="00B27B17" w:rsidRDefault="00363345" w:rsidP="00B27B17">
            <w:pPr>
              <w:widowControl w:val="0"/>
              <w:autoSpaceDE w:val="0"/>
              <w:autoSpaceDN w:val="0"/>
              <w:adjustRightInd w:val="0"/>
              <w:ind w:left="426" w:right="420"/>
              <w:rPr>
                <w:rFonts w:ascii="Tahoma" w:eastAsia="Tahoma" w:hAnsi="Tahoma" w:cs="Tahoma"/>
                <w:i/>
                <w:iCs/>
                <w:szCs w:val="24"/>
                <w:lang w:eastAsia="es-MX"/>
              </w:rPr>
            </w:pPr>
            <w:r w:rsidRPr="00B27B17">
              <w:rPr>
                <w:rFonts w:ascii="Tahoma" w:eastAsia="Tahoma" w:hAnsi="Tahoma" w:cs="Tahoma"/>
                <w:i/>
                <w:iCs/>
                <w:szCs w:val="24"/>
                <w:lang w:eastAsia="es-MX"/>
              </w:rPr>
              <w:t xml:space="preserve">Deber de información </w:t>
            </w:r>
          </w:p>
        </w:tc>
        <w:tc>
          <w:tcPr>
            <w:tcW w:w="2977" w:type="dxa"/>
            <w:tcBorders>
              <w:top w:val="single" w:sz="4" w:space="0" w:color="auto"/>
              <w:left w:val="single" w:sz="4" w:space="0" w:color="auto"/>
              <w:bottom w:val="single" w:sz="4" w:space="0" w:color="auto"/>
              <w:right w:val="single" w:sz="4" w:space="0" w:color="auto"/>
            </w:tcBorders>
          </w:tcPr>
          <w:p w14:paraId="41DFF8F8" w14:textId="77777777" w:rsidR="00363345" w:rsidRPr="00B27B17" w:rsidRDefault="00363345" w:rsidP="00B27B17">
            <w:pPr>
              <w:widowControl w:val="0"/>
              <w:autoSpaceDE w:val="0"/>
              <w:autoSpaceDN w:val="0"/>
              <w:adjustRightInd w:val="0"/>
              <w:ind w:left="426" w:right="420"/>
              <w:rPr>
                <w:rFonts w:ascii="Tahoma" w:eastAsia="Tahoma" w:hAnsi="Tahoma" w:cs="Tahoma"/>
                <w:i/>
                <w:iCs/>
                <w:szCs w:val="24"/>
                <w:lang w:eastAsia="es-MX"/>
              </w:rPr>
            </w:pPr>
            <w:r w:rsidRPr="00B27B17">
              <w:rPr>
                <w:rFonts w:ascii="Tahoma" w:eastAsia="Tahoma" w:hAnsi="Tahoma" w:cs="Tahoma"/>
                <w:i/>
                <w:iCs/>
                <w:szCs w:val="24"/>
                <w:lang w:eastAsia="es-MX"/>
              </w:rPr>
              <w:t>Arts. 13 literal b), 271 y 272 de la Ley 100 de 1993</w:t>
            </w:r>
          </w:p>
          <w:p w14:paraId="485F18B6" w14:textId="77777777" w:rsidR="00363345" w:rsidRPr="00B27B17" w:rsidRDefault="00363345" w:rsidP="00B27B17">
            <w:pPr>
              <w:widowControl w:val="0"/>
              <w:autoSpaceDE w:val="0"/>
              <w:autoSpaceDN w:val="0"/>
              <w:adjustRightInd w:val="0"/>
              <w:ind w:left="426" w:right="420"/>
              <w:rPr>
                <w:rFonts w:ascii="Tahoma" w:eastAsia="Tahoma" w:hAnsi="Tahoma" w:cs="Tahoma"/>
                <w:i/>
                <w:iCs/>
                <w:szCs w:val="24"/>
                <w:lang w:eastAsia="es-MX"/>
              </w:rPr>
            </w:pPr>
          </w:p>
          <w:p w14:paraId="0343D710" w14:textId="77777777" w:rsidR="00363345" w:rsidRPr="00B27B17" w:rsidRDefault="00363345" w:rsidP="00B27B17">
            <w:pPr>
              <w:widowControl w:val="0"/>
              <w:autoSpaceDE w:val="0"/>
              <w:autoSpaceDN w:val="0"/>
              <w:adjustRightInd w:val="0"/>
              <w:ind w:left="426" w:right="420"/>
              <w:rPr>
                <w:rFonts w:ascii="Tahoma" w:eastAsia="Tahoma" w:hAnsi="Tahoma" w:cs="Tahoma"/>
                <w:i/>
                <w:iCs/>
                <w:szCs w:val="24"/>
                <w:lang w:eastAsia="es-MX"/>
              </w:rPr>
            </w:pPr>
            <w:r w:rsidRPr="00B27B17">
              <w:rPr>
                <w:rFonts w:ascii="Tahoma" w:eastAsia="Tahoma" w:hAnsi="Tahoma" w:cs="Tahoma"/>
                <w:i/>
                <w:iCs/>
                <w:szCs w:val="24"/>
                <w:lang w:eastAsia="es-MX"/>
              </w:rPr>
              <w:t>Art. 97, numeral 1° del Decreto 663 de 1993, modificado por el artículo 23 de la Ley 797 de 2003</w:t>
            </w:r>
          </w:p>
          <w:p w14:paraId="5C9E253A" w14:textId="77777777" w:rsidR="00363345" w:rsidRPr="00B27B17" w:rsidRDefault="00363345" w:rsidP="00B27B17">
            <w:pPr>
              <w:widowControl w:val="0"/>
              <w:autoSpaceDE w:val="0"/>
              <w:autoSpaceDN w:val="0"/>
              <w:adjustRightInd w:val="0"/>
              <w:ind w:left="426" w:right="420"/>
              <w:rPr>
                <w:rFonts w:ascii="Tahoma" w:eastAsia="Tahoma" w:hAnsi="Tahoma" w:cs="Tahoma"/>
                <w:i/>
                <w:iCs/>
                <w:szCs w:val="24"/>
                <w:lang w:eastAsia="es-MX"/>
              </w:rPr>
            </w:pPr>
          </w:p>
          <w:p w14:paraId="3A07068D" w14:textId="77777777" w:rsidR="00363345" w:rsidRPr="00B27B17" w:rsidRDefault="00363345" w:rsidP="00B27B17">
            <w:pPr>
              <w:widowControl w:val="0"/>
              <w:autoSpaceDE w:val="0"/>
              <w:autoSpaceDN w:val="0"/>
              <w:adjustRightInd w:val="0"/>
              <w:ind w:left="426" w:right="420"/>
              <w:rPr>
                <w:rFonts w:ascii="Tahoma" w:eastAsia="Tahoma" w:hAnsi="Tahoma" w:cs="Tahoma"/>
                <w:i/>
                <w:iCs/>
                <w:szCs w:val="24"/>
                <w:lang w:eastAsia="es-MX"/>
              </w:rPr>
            </w:pPr>
            <w:r w:rsidRPr="00B27B17">
              <w:rPr>
                <w:rFonts w:ascii="Tahoma" w:eastAsia="Tahoma" w:hAnsi="Tahoma" w:cs="Tahoma"/>
                <w:i/>
                <w:iCs/>
                <w:szCs w:val="24"/>
                <w:lang w:eastAsia="es-MX"/>
              </w:rPr>
              <w:t>Disposiciones constitucionales relativas al derecho a la información, no menoscabo de derechos laborales y autonomía personal</w:t>
            </w:r>
          </w:p>
        </w:tc>
        <w:tc>
          <w:tcPr>
            <w:tcW w:w="3544" w:type="dxa"/>
            <w:tcBorders>
              <w:top w:val="single" w:sz="4" w:space="0" w:color="auto"/>
              <w:left w:val="single" w:sz="4" w:space="0" w:color="auto"/>
              <w:bottom w:val="single" w:sz="4" w:space="0" w:color="auto"/>
              <w:right w:val="single" w:sz="4" w:space="0" w:color="auto"/>
            </w:tcBorders>
            <w:hideMark/>
          </w:tcPr>
          <w:p w14:paraId="3A932FF5" w14:textId="77777777" w:rsidR="00363345" w:rsidRPr="00B27B17" w:rsidRDefault="00363345" w:rsidP="00B27B17">
            <w:pPr>
              <w:widowControl w:val="0"/>
              <w:autoSpaceDE w:val="0"/>
              <w:autoSpaceDN w:val="0"/>
              <w:adjustRightInd w:val="0"/>
              <w:ind w:left="426" w:right="420"/>
              <w:rPr>
                <w:rFonts w:ascii="Tahoma" w:eastAsia="Tahoma" w:hAnsi="Tahoma" w:cs="Tahoma"/>
                <w:i/>
                <w:iCs/>
                <w:szCs w:val="24"/>
                <w:lang w:eastAsia="es-MX"/>
              </w:rPr>
            </w:pPr>
            <w:bookmarkStart w:id="3" w:name="_Hlk109250046"/>
            <w:r w:rsidRPr="00B27B17">
              <w:rPr>
                <w:rFonts w:ascii="Tahoma" w:eastAsia="Tahoma" w:hAnsi="Tahoma" w:cs="Tahoma"/>
                <w:i/>
                <w:iCs/>
                <w:szCs w:val="24"/>
                <w:lang w:eastAsia="es-MX"/>
              </w:rPr>
              <w:t>Ilustración de las características, condiciones, acceso, efectos y riesgos de cada uno de los regímenes pensionales, lo que incluye dar a conocer la existencia de un régimen de transición y la eventual pérdida de beneficios pensionales</w:t>
            </w:r>
            <w:bookmarkEnd w:id="3"/>
          </w:p>
        </w:tc>
      </w:tr>
      <w:tr w:rsidR="00363345" w:rsidRPr="00B27B17" w14:paraId="2350A0A5" w14:textId="77777777" w:rsidTr="006D2211">
        <w:trPr>
          <w:trHeight w:val="397"/>
        </w:trPr>
        <w:tc>
          <w:tcPr>
            <w:tcW w:w="1985" w:type="dxa"/>
            <w:tcBorders>
              <w:top w:val="single" w:sz="4" w:space="0" w:color="auto"/>
              <w:left w:val="single" w:sz="4" w:space="0" w:color="auto"/>
              <w:bottom w:val="single" w:sz="4" w:space="0" w:color="auto"/>
              <w:right w:val="single" w:sz="4" w:space="0" w:color="auto"/>
            </w:tcBorders>
            <w:hideMark/>
          </w:tcPr>
          <w:p w14:paraId="0CEEA861" w14:textId="77777777" w:rsidR="00363345" w:rsidRPr="00B27B17" w:rsidRDefault="00363345" w:rsidP="00B27B17">
            <w:pPr>
              <w:widowControl w:val="0"/>
              <w:autoSpaceDE w:val="0"/>
              <w:autoSpaceDN w:val="0"/>
              <w:adjustRightInd w:val="0"/>
              <w:ind w:left="426" w:right="420"/>
              <w:rPr>
                <w:rFonts w:ascii="Tahoma" w:eastAsia="Tahoma" w:hAnsi="Tahoma" w:cs="Tahoma"/>
                <w:i/>
                <w:iCs/>
                <w:szCs w:val="24"/>
                <w:lang w:eastAsia="es-MX"/>
              </w:rPr>
            </w:pPr>
            <w:r w:rsidRPr="00B27B17">
              <w:rPr>
                <w:rFonts w:ascii="Tahoma" w:eastAsia="Tahoma" w:hAnsi="Tahoma" w:cs="Tahoma"/>
                <w:i/>
                <w:iCs/>
                <w:szCs w:val="24"/>
                <w:lang w:eastAsia="es-MX"/>
              </w:rPr>
              <w:t xml:space="preserve">Deber de información, </w:t>
            </w:r>
            <w:r w:rsidRPr="00B27B17">
              <w:rPr>
                <w:rFonts w:ascii="Tahoma" w:eastAsia="Tahoma" w:hAnsi="Tahoma" w:cs="Tahoma"/>
                <w:i/>
                <w:iCs/>
                <w:szCs w:val="24"/>
                <w:lang w:eastAsia="es-MX"/>
              </w:rPr>
              <w:lastRenderedPageBreak/>
              <w:t>asesoría y buen consejo</w:t>
            </w:r>
          </w:p>
        </w:tc>
        <w:tc>
          <w:tcPr>
            <w:tcW w:w="2977" w:type="dxa"/>
            <w:tcBorders>
              <w:top w:val="single" w:sz="4" w:space="0" w:color="auto"/>
              <w:left w:val="single" w:sz="4" w:space="0" w:color="auto"/>
              <w:bottom w:val="single" w:sz="4" w:space="0" w:color="auto"/>
              <w:right w:val="single" w:sz="4" w:space="0" w:color="auto"/>
            </w:tcBorders>
          </w:tcPr>
          <w:p w14:paraId="3ABE5B91" w14:textId="77777777" w:rsidR="00363345" w:rsidRPr="00B27B17" w:rsidRDefault="00363345" w:rsidP="00B27B17">
            <w:pPr>
              <w:widowControl w:val="0"/>
              <w:autoSpaceDE w:val="0"/>
              <w:autoSpaceDN w:val="0"/>
              <w:adjustRightInd w:val="0"/>
              <w:ind w:left="426" w:right="420"/>
              <w:rPr>
                <w:rFonts w:ascii="Tahoma" w:eastAsia="Tahoma" w:hAnsi="Tahoma" w:cs="Tahoma"/>
                <w:i/>
                <w:iCs/>
                <w:szCs w:val="24"/>
                <w:lang w:eastAsia="es-MX"/>
              </w:rPr>
            </w:pPr>
            <w:r w:rsidRPr="00B27B17">
              <w:rPr>
                <w:rFonts w:ascii="Tahoma" w:eastAsia="Tahoma" w:hAnsi="Tahoma" w:cs="Tahoma"/>
                <w:i/>
                <w:iCs/>
                <w:szCs w:val="24"/>
                <w:lang w:eastAsia="es-MX"/>
              </w:rPr>
              <w:lastRenderedPageBreak/>
              <w:t xml:space="preserve">Artículo 3°, literal c) de la Ley 1328 </w:t>
            </w:r>
            <w:r w:rsidRPr="00B27B17">
              <w:rPr>
                <w:rFonts w:ascii="Tahoma" w:eastAsia="Tahoma" w:hAnsi="Tahoma" w:cs="Tahoma"/>
                <w:i/>
                <w:iCs/>
                <w:szCs w:val="24"/>
                <w:lang w:eastAsia="es-MX"/>
              </w:rPr>
              <w:lastRenderedPageBreak/>
              <w:t>de 2009</w:t>
            </w:r>
          </w:p>
          <w:p w14:paraId="33CBAAB6" w14:textId="77777777" w:rsidR="00363345" w:rsidRPr="00B27B17" w:rsidRDefault="00363345" w:rsidP="00B27B17">
            <w:pPr>
              <w:widowControl w:val="0"/>
              <w:autoSpaceDE w:val="0"/>
              <w:autoSpaceDN w:val="0"/>
              <w:adjustRightInd w:val="0"/>
              <w:ind w:left="426" w:right="420"/>
              <w:rPr>
                <w:rFonts w:ascii="Tahoma" w:eastAsia="Tahoma" w:hAnsi="Tahoma" w:cs="Tahoma"/>
                <w:i/>
                <w:iCs/>
                <w:szCs w:val="24"/>
                <w:lang w:eastAsia="es-MX"/>
              </w:rPr>
            </w:pPr>
          </w:p>
          <w:p w14:paraId="2760C436" w14:textId="77777777" w:rsidR="00363345" w:rsidRPr="00B27B17" w:rsidRDefault="00363345" w:rsidP="00B27B17">
            <w:pPr>
              <w:widowControl w:val="0"/>
              <w:autoSpaceDE w:val="0"/>
              <w:autoSpaceDN w:val="0"/>
              <w:adjustRightInd w:val="0"/>
              <w:ind w:left="426" w:right="420"/>
              <w:rPr>
                <w:rFonts w:ascii="Tahoma" w:eastAsia="Tahoma" w:hAnsi="Tahoma" w:cs="Tahoma"/>
                <w:i/>
                <w:iCs/>
                <w:szCs w:val="24"/>
                <w:lang w:eastAsia="es-MX"/>
              </w:rPr>
            </w:pPr>
            <w:r w:rsidRPr="00B27B17">
              <w:rPr>
                <w:rFonts w:ascii="Tahoma" w:eastAsia="Tahoma" w:hAnsi="Tahoma" w:cs="Tahoma"/>
                <w:i/>
                <w:iCs/>
                <w:szCs w:val="24"/>
                <w:lang w:eastAsia="es-MX"/>
              </w:rPr>
              <w:t>Decreto 2241 de 2010</w:t>
            </w:r>
          </w:p>
        </w:tc>
        <w:tc>
          <w:tcPr>
            <w:tcW w:w="3544" w:type="dxa"/>
            <w:tcBorders>
              <w:top w:val="single" w:sz="4" w:space="0" w:color="auto"/>
              <w:left w:val="single" w:sz="4" w:space="0" w:color="auto"/>
              <w:bottom w:val="single" w:sz="4" w:space="0" w:color="auto"/>
              <w:right w:val="single" w:sz="4" w:space="0" w:color="auto"/>
            </w:tcBorders>
            <w:hideMark/>
          </w:tcPr>
          <w:p w14:paraId="46541905" w14:textId="77777777" w:rsidR="00363345" w:rsidRPr="00B27B17" w:rsidRDefault="00363345" w:rsidP="00B27B17">
            <w:pPr>
              <w:widowControl w:val="0"/>
              <w:autoSpaceDE w:val="0"/>
              <w:autoSpaceDN w:val="0"/>
              <w:adjustRightInd w:val="0"/>
              <w:ind w:left="426" w:right="420"/>
              <w:rPr>
                <w:rFonts w:ascii="Tahoma" w:eastAsia="Tahoma" w:hAnsi="Tahoma" w:cs="Tahoma"/>
                <w:i/>
                <w:iCs/>
                <w:szCs w:val="24"/>
                <w:lang w:eastAsia="es-MX"/>
              </w:rPr>
            </w:pPr>
            <w:r w:rsidRPr="00B27B17">
              <w:rPr>
                <w:rFonts w:ascii="Tahoma" w:eastAsia="Tahoma" w:hAnsi="Tahoma" w:cs="Tahoma"/>
                <w:i/>
                <w:iCs/>
                <w:szCs w:val="24"/>
                <w:lang w:eastAsia="es-MX"/>
              </w:rPr>
              <w:lastRenderedPageBreak/>
              <w:t xml:space="preserve">Implica el análisis previo, calificado y </w:t>
            </w:r>
            <w:r w:rsidRPr="00B27B17">
              <w:rPr>
                <w:rFonts w:ascii="Tahoma" w:eastAsia="Tahoma" w:hAnsi="Tahoma" w:cs="Tahoma"/>
                <w:i/>
                <w:iCs/>
                <w:szCs w:val="24"/>
                <w:lang w:eastAsia="es-MX"/>
              </w:rPr>
              <w:lastRenderedPageBreak/>
              <w:t>global de los antecedentes del afiliado y los pormenores de los regímenes pensionales, a fin de que el asesor o promotor pueda emitir un consejo, sugerencia o recomendación al afiliado acerca de lo que más le conviene y, por tanto, lo que podría perjudicarle</w:t>
            </w:r>
          </w:p>
        </w:tc>
      </w:tr>
      <w:tr w:rsidR="00363345" w:rsidRPr="00B27B17" w14:paraId="69F8E9C6" w14:textId="77777777" w:rsidTr="006D2211">
        <w:trPr>
          <w:trHeight w:val="397"/>
        </w:trPr>
        <w:tc>
          <w:tcPr>
            <w:tcW w:w="1985" w:type="dxa"/>
            <w:tcBorders>
              <w:top w:val="single" w:sz="4" w:space="0" w:color="auto"/>
              <w:left w:val="single" w:sz="4" w:space="0" w:color="auto"/>
              <w:bottom w:val="single" w:sz="4" w:space="0" w:color="auto"/>
              <w:right w:val="single" w:sz="4" w:space="0" w:color="auto"/>
            </w:tcBorders>
            <w:hideMark/>
          </w:tcPr>
          <w:p w14:paraId="672FACE3" w14:textId="77777777" w:rsidR="00363345" w:rsidRPr="00B27B17" w:rsidRDefault="00363345" w:rsidP="00B27B17">
            <w:pPr>
              <w:widowControl w:val="0"/>
              <w:autoSpaceDE w:val="0"/>
              <w:autoSpaceDN w:val="0"/>
              <w:adjustRightInd w:val="0"/>
              <w:ind w:left="426" w:right="420"/>
              <w:rPr>
                <w:rFonts w:ascii="Tahoma" w:eastAsia="Tahoma" w:hAnsi="Tahoma" w:cs="Tahoma"/>
                <w:i/>
                <w:iCs/>
                <w:szCs w:val="24"/>
                <w:lang w:eastAsia="es-MX"/>
              </w:rPr>
            </w:pPr>
            <w:r w:rsidRPr="00B27B17">
              <w:rPr>
                <w:rFonts w:ascii="Tahoma" w:eastAsia="Tahoma" w:hAnsi="Tahoma" w:cs="Tahoma"/>
                <w:i/>
                <w:iCs/>
                <w:szCs w:val="24"/>
                <w:lang w:eastAsia="es-MX"/>
              </w:rPr>
              <w:lastRenderedPageBreak/>
              <w:t xml:space="preserve">Deber de información, asesoría, buen consejo y doble asesoría. </w:t>
            </w:r>
          </w:p>
        </w:tc>
        <w:tc>
          <w:tcPr>
            <w:tcW w:w="2977" w:type="dxa"/>
            <w:tcBorders>
              <w:top w:val="single" w:sz="4" w:space="0" w:color="auto"/>
              <w:left w:val="single" w:sz="4" w:space="0" w:color="auto"/>
              <w:bottom w:val="single" w:sz="4" w:space="0" w:color="auto"/>
              <w:right w:val="single" w:sz="4" w:space="0" w:color="auto"/>
            </w:tcBorders>
          </w:tcPr>
          <w:p w14:paraId="2B085D3A" w14:textId="77777777" w:rsidR="00363345" w:rsidRPr="00B27B17" w:rsidRDefault="00363345" w:rsidP="00B27B17">
            <w:pPr>
              <w:widowControl w:val="0"/>
              <w:autoSpaceDE w:val="0"/>
              <w:autoSpaceDN w:val="0"/>
              <w:adjustRightInd w:val="0"/>
              <w:ind w:left="426" w:right="420"/>
              <w:rPr>
                <w:rFonts w:ascii="Tahoma" w:eastAsia="Tahoma" w:hAnsi="Tahoma" w:cs="Tahoma"/>
                <w:i/>
                <w:iCs/>
                <w:szCs w:val="24"/>
                <w:lang w:eastAsia="es-MX"/>
              </w:rPr>
            </w:pPr>
            <w:r w:rsidRPr="00B27B17">
              <w:rPr>
                <w:rFonts w:ascii="Tahoma" w:eastAsia="Tahoma" w:hAnsi="Tahoma" w:cs="Tahoma"/>
                <w:i/>
                <w:iCs/>
                <w:szCs w:val="24"/>
                <w:lang w:eastAsia="es-MX"/>
              </w:rPr>
              <w:t>Ley 1748 de 2014</w:t>
            </w:r>
          </w:p>
          <w:p w14:paraId="7AED4EF6" w14:textId="77777777" w:rsidR="00363345" w:rsidRPr="00B27B17" w:rsidRDefault="00363345" w:rsidP="00B27B17">
            <w:pPr>
              <w:widowControl w:val="0"/>
              <w:autoSpaceDE w:val="0"/>
              <w:autoSpaceDN w:val="0"/>
              <w:adjustRightInd w:val="0"/>
              <w:ind w:left="426" w:right="420"/>
              <w:rPr>
                <w:rFonts w:ascii="Tahoma" w:eastAsia="Tahoma" w:hAnsi="Tahoma" w:cs="Tahoma"/>
                <w:i/>
                <w:iCs/>
                <w:szCs w:val="24"/>
                <w:lang w:eastAsia="es-MX"/>
              </w:rPr>
            </w:pPr>
          </w:p>
          <w:p w14:paraId="7CFB2BD9" w14:textId="77777777" w:rsidR="00363345" w:rsidRPr="00B27B17" w:rsidRDefault="00363345" w:rsidP="00B27B17">
            <w:pPr>
              <w:widowControl w:val="0"/>
              <w:autoSpaceDE w:val="0"/>
              <w:autoSpaceDN w:val="0"/>
              <w:adjustRightInd w:val="0"/>
              <w:ind w:left="426" w:right="420"/>
              <w:rPr>
                <w:rFonts w:ascii="Tahoma" w:eastAsia="Tahoma" w:hAnsi="Tahoma" w:cs="Tahoma"/>
                <w:i/>
                <w:iCs/>
                <w:szCs w:val="24"/>
                <w:lang w:eastAsia="es-MX"/>
              </w:rPr>
            </w:pPr>
            <w:r w:rsidRPr="00B27B17">
              <w:rPr>
                <w:rFonts w:ascii="Tahoma" w:eastAsia="Tahoma" w:hAnsi="Tahoma" w:cs="Tahoma"/>
                <w:i/>
                <w:iCs/>
                <w:szCs w:val="24"/>
                <w:lang w:eastAsia="es-MX"/>
              </w:rPr>
              <w:t>Artículo 3° del Decreto 2071 de 2015</w:t>
            </w:r>
          </w:p>
          <w:p w14:paraId="4ACE2708" w14:textId="77777777" w:rsidR="00363345" w:rsidRPr="00B27B17" w:rsidRDefault="00363345" w:rsidP="00B27B17">
            <w:pPr>
              <w:widowControl w:val="0"/>
              <w:autoSpaceDE w:val="0"/>
              <w:autoSpaceDN w:val="0"/>
              <w:adjustRightInd w:val="0"/>
              <w:ind w:left="426" w:right="420"/>
              <w:rPr>
                <w:rFonts w:ascii="Tahoma" w:eastAsia="Tahoma" w:hAnsi="Tahoma" w:cs="Tahoma"/>
                <w:i/>
                <w:iCs/>
                <w:szCs w:val="24"/>
                <w:lang w:eastAsia="es-MX"/>
              </w:rPr>
            </w:pPr>
          </w:p>
          <w:p w14:paraId="61BC39D7" w14:textId="77777777" w:rsidR="00363345" w:rsidRPr="00B27B17" w:rsidRDefault="00363345" w:rsidP="00B27B17">
            <w:pPr>
              <w:widowControl w:val="0"/>
              <w:autoSpaceDE w:val="0"/>
              <w:autoSpaceDN w:val="0"/>
              <w:adjustRightInd w:val="0"/>
              <w:ind w:left="426" w:right="420"/>
              <w:rPr>
                <w:rFonts w:ascii="Tahoma" w:eastAsia="Tahoma" w:hAnsi="Tahoma" w:cs="Tahoma"/>
                <w:i/>
                <w:iCs/>
                <w:szCs w:val="24"/>
                <w:lang w:eastAsia="es-MX"/>
              </w:rPr>
            </w:pPr>
            <w:r w:rsidRPr="00B27B17">
              <w:rPr>
                <w:rFonts w:ascii="Tahoma" w:eastAsia="Tahoma" w:hAnsi="Tahoma" w:cs="Tahoma"/>
                <w:i/>
                <w:iCs/>
                <w:szCs w:val="24"/>
                <w:lang w:eastAsia="es-MX"/>
              </w:rPr>
              <w:t>Circular Externa N° 016 de 2016</w:t>
            </w:r>
          </w:p>
        </w:tc>
        <w:tc>
          <w:tcPr>
            <w:tcW w:w="3544" w:type="dxa"/>
            <w:tcBorders>
              <w:top w:val="single" w:sz="4" w:space="0" w:color="auto"/>
              <w:left w:val="single" w:sz="4" w:space="0" w:color="auto"/>
              <w:bottom w:val="single" w:sz="4" w:space="0" w:color="auto"/>
              <w:right w:val="single" w:sz="4" w:space="0" w:color="auto"/>
            </w:tcBorders>
            <w:hideMark/>
          </w:tcPr>
          <w:p w14:paraId="0D03E871" w14:textId="77777777" w:rsidR="00363345" w:rsidRPr="00B27B17" w:rsidRDefault="00363345" w:rsidP="00B27B17">
            <w:pPr>
              <w:widowControl w:val="0"/>
              <w:autoSpaceDE w:val="0"/>
              <w:autoSpaceDN w:val="0"/>
              <w:adjustRightInd w:val="0"/>
              <w:ind w:left="426" w:right="420"/>
              <w:rPr>
                <w:rFonts w:ascii="Tahoma" w:eastAsia="Tahoma" w:hAnsi="Tahoma" w:cs="Tahoma"/>
                <w:i/>
                <w:iCs/>
                <w:szCs w:val="24"/>
                <w:lang w:eastAsia="es-MX"/>
              </w:rPr>
            </w:pPr>
            <w:r w:rsidRPr="00B27B17">
              <w:rPr>
                <w:rFonts w:ascii="Tahoma" w:eastAsia="Tahoma" w:hAnsi="Tahoma" w:cs="Tahoma"/>
                <w:i/>
                <w:iCs/>
                <w:szCs w:val="24"/>
                <w:lang w:eastAsia="es-MX"/>
              </w:rPr>
              <w:t>Junto con lo anterior, lleva inmerso el derecho a obtener asesoría de los representantes de ambos regímenes pensionales.</w:t>
            </w:r>
          </w:p>
        </w:tc>
      </w:tr>
    </w:tbl>
    <w:p w14:paraId="0D2D5003" w14:textId="77777777" w:rsidR="00363345" w:rsidRPr="00B27B17" w:rsidRDefault="00363345" w:rsidP="00B27B17">
      <w:pPr>
        <w:widowControl w:val="0"/>
        <w:autoSpaceDE w:val="0"/>
        <w:autoSpaceDN w:val="0"/>
        <w:adjustRightInd w:val="0"/>
        <w:spacing w:before="0" w:beforeAutospacing="0" w:after="0" w:afterAutospacing="0" w:line="240" w:lineRule="auto"/>
        <w:ind w:left="426" w:right="420" w:firstLine="284"/>
        <w:rPr>
          <w:rFonts w:ascii="Tahoma" w:eastAsia="Calibri" w:hAnsi="Tahoma" w:cs="Tahoma"/>
          <w:b/>
          <w:i/>
          <w:sz w:val="22"/>
          <w:lang w:eastAsia="es-CO"/>
        </w:rPr>
      </w:pPr>
    </w:p>
    <w:p w14:paraId="1E6338F7" w14:textId="77777777" w:rsidR="00363345" w:rsidRPr="00B27B17" w:rsidRDefault="00363345" w:rsidP="00B27B17">
      <w:pPr>
        <w:widowControl w:val="0"/>
        <w:autoSpaceDE w:val="0"/>
        <w:autoSpaceDN w:val="0"/>
        <w:adjustRightInd w:val="0"/>
        <w:spacing w:before="0" w:beforeAutospacing="0" w:after="0" w:afterAutospacing="0" w:line="240" w:lineRule="auto"/>
        <w:ind w:left="426" w:right="420" w:firstLine="708"/>
        <w:rPr>
          <w:rFonts w:ascii="Tahoma" w:eastAsia="Calibri" w:hAnsi="Tahoma" w:cs="Tahoma"/>
          <w:b/>
          <w:i/>
          <w:sz w:val="22"/>
          <w:lang w:eastAsia="es-CO"/>
        </w:rPr>
      </w:pPr>
      <w:r w:rsidRPr="00B27B17">
        <w:rPr>
          <w:rFonts w:ascii="Tahoma" w:eastAsia="Calibri" w:hAnsi="Tahoma" w:cs="Tahoma"/>
          <w:b/>
          <w:i/>
          <w:sz w:val="22"/>
          <w:lang w:eastAsia="es-CO"/>
        </w:rPr>
        <w:t>1.4 Conclusión: La constatación del deber de información es ineludible</w:t>
      </w:r>
    </w:p>
    <w:p w14:paraId="5F8D2635" w14:textId="77777777" w:rsidR="00363345" w:rsidRPr="00B27B17" w:rsidRDefault="00363345" w:rsidP="00B27B17">
      <w:pPr>
        <w:widowControl w:val="0"/>
        <w:autoSpaceDE w:val="0"/>
        <w:autoSpaceDN w:val="0"/>
        <w:adjustRightInd w:val="0"/>
        <w:spacing w:before="0" w:beforeAutospacing="0" w:after="0" w:afterAutospacing="0" w:line="240" w:lineRule="auto"/>
        <w:ind w:left="426" w:right="420" w:firstLine="284"/>
        <w:rPr>
          <w:rFonts w:ascii="Tahoma" w:eastAsia="Calibri" w:hAnsi="Tahoma" w:cs="Tahoma"/>
          <w:b/>
          <w:i/>
          <w:sz w:val="22"/>
          <w:lang w:eastAsia="es-CO"/>
        </w:rPr>
      </w:pPr>
    </w:p>
    <w:p w14:paraId="44FFAE39" w14:textId="77777777" w:rsidR="00363345" w:rsidRPr="00B27B17" w:rsidRDefault="00363345" w:rsidP="00B27B17">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B27B17">
        <w:rPr>
          <w:rFonts w:ascii="Tahoma" w:eastAsia="Calibri" w:hAnsi="Tahoma" w:cs="Tahoma"/>
          <w:i/>
          <w:sz w:val="22"/>
          <w:lang w:eastAsia="es-CO"/>
        </w:rPr>
        <w:t xml:space="preserve">Según se pudo advertir del anterior recuento, </w:t>
      </w:r>
      <w:r w:rsidRPr="00B27B17">
        <w:rPr>
          <w:rFonts w:ascii="Tahoma" w:eastAsia="Calibri" w:hAnsi="Tahoma" w:cs="Tahoma"/>
          <w:b/>
          <w:i/>
          <w:sz w:val="22"/>
          <w:lang w:eastAsia="es-CO"/>
        </w:rPr>
        <w:t>las AFP, desde su creación, tenían el deber de brindar información a los afiliados o usuarios del sistema pensional a fin de que estos pudiesen adoptar una decisión consciente y realmente libre sobre su futuro pensional.</w:t>
      </w:r>
      <w:r w:rsidRPr="00B27B17">
        <w:rPr>
          <w:rFonts w:ascii="Tahoma" w:eastAsia="Calibri" w:hAnsi="Tahoma" w:cs="Tahoma"/>
          <w:i/>
          <w:sz w:val="22"/>
          <w:lang w:eastAsia="es-CO"/>
        </w:rPr>
        <w:t xml:space="preserve"> Desde luego que con el transcurrir del tiempo, el grado de intensidad de esta exigencia cambió para acumular más obligaciones, pasando de un deber de información necesaria al de asesoría y buen consejo, y finalmente al de doble asesoría. Lo anterior es relevante, pues implica la necesidad, por parte de los jueces, de evaluar el cumplimiento del deber de información de acuerdo con el momento histórico en que debía cumplirse, pero sin perder de vista que este desde un inicio ha existido. </w:t>
      </w:r>
    </w:p>
    <w:p w14:paraId="1FCB9AEC" w14:textId="77777777" w:rsidR="00363345" w:rsidRPr="00B27B17" w:rsidRDefault="00363345" w:rsidP="00B27B17">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61031DE2" w14:textId="77777777" w:rsidR="00363345" w:rsidRPr="00B27B17" w:rsidRDefault="00363345" w:rsidP="00B27B17">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B27B17">
        <w:rPr>
          <w:rFonts w:ascii="Tahoma" w:eastAsia="Calibri" w:hAnsi="Tahoma" w:cs="Tahoma"/>
          <w:i/>
          <w:sz w:val="22"/>
          <w:lang w:eastAsia="es-CO"/>
        </w:rPr>
        <w:t xml:space="preserve">Así las cosas, el Tribunal cometió un primer error al concluir que la responsabilidad por el incumplimiento o entrega de información deficitaria surgió con el Decreto 019 de 2012, en la medida que este exista desde la expedición de la Ley 100 de 1993, el Decreto 663 de 1993 y era predicable de la esencia de las actividades desarrolladas por las administradoras de fondos de pensiones, según se explicó ampliamente.  </w:t>
      </w:r>
    </w:p>
    <w:p w14:paraId="4F9E5240" w14:textId="77777777" w:rsidR="00363345" w:rsidRPr="00B27B17" w:rsidRDefault="00363345" w:rsidP="00B27B17">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07C6315A" w14:textId="77777777" w:rsidR="00363345" w:rsidRPr="00B27B17" w:rsidRDefault="00363345" w:rsidP="00B27B17">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B27B17">
        <w:rPr>
          <w:rFonts w:ascii="Tahoma" w:eastAsia="Calibri" w:hAnsi="Tahoma" w:cs="Tahoma"/>
          <w:i/>
          <w:sz w:val="22"/>
          <w:lang w:eastAsia="es-CO"/>
        </w:rPr>
        <w:t xml:space="preserve">Adicionalmente, la Sala no puede pasar por alto la indebida fundamentación con la que </w:t>
      </w:r>
      <w:r w:rsidRPr="00B27B17">
        <w:rPr>
          <w:rFonts w:ascii="Tahoma" w:eastAsia="Calibri" w:hAnsi="Tahoma" w:cs="Tahoma"/>
          <w:bCs/>
          <w:i/>
          <w:sz w:val="22"/>
          <w:lang w:eastAsia="es-CO"/>
        </w:rPr>
        <w:t>la Sala Primera de Decisión Laboral del Tribunal de Medellín</w:t>
      </w:r>
      <w:r w:rsidRPr="00B27B17">
        <w:rPr>
          <w:rFonts w:ascii="Tahoma" w:eastAsia="Calibri" w:hAnsi="Tahoma" w:cs="Tahoma"/>
          <w:i/>
          <w:sz w:val="22"/>
          <w:lang w:eastAsia="es-CO"/>
        </w:rPr>
        <w:t xml:space="preserve"> emitió su sentencia, pues sin razón alguna se limitó a señalar que a partir del Decreto 019 de 2012 es imputable responsabilidad por omisión o cumplimiento deficitario del deber de información a las AFP, sin especificar la norma de ese decreto que le daba sustento a su dicho y sin la construcción de un argumento jurídico que soportara su tesis. Es decir, la sentencia estuvo desprovista de una adecuada investigación normativa y un discurso jurídico debidamente fundamentado”. </w:t>
      </w:r>
    </w:p>
    <w:p w14:paraId="596003D7" w14:textId="77777777" w:rsidR="00363345" w:rsidRPr="00760E4E" w:rsidRDefault="00363345" w:rsidP="00760E4E">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53802725" w14:textId="77777777" w:rsidR="00363345" w:rsidRPr="00760E4E" w:rsidRDefault="00363345" w:rsidP="00760E4E">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iCs/>
          <w:lang w:eastAsia="es-CO"/>
        </w:rPr>
      </w:pPr>
      <w:r w:rsidRPr="00760E4E">
        <w:rPr>
          <w:rFonts w:ascii="Tahoma" w:eastAsia="Calibri" w:hAnsi="Tahoma" w:cs="Tahoma"/>
          <w:b/>
          <w:iCs/>
          <w:lang w:eastAsia="es-CO"/>
        </w:rPr>
        <w:t xml:space="preserve">“El simple consentimiento vertido en el formulario de afiliación </w:t>
      </w:r>
      <w:r w:rsidRPr="00760E4E">
        <w:rPr>
          <w:rFonts w:ascii="Tahoma" w:eastAsia="Calibri" w:hAnsi="Tahoma" w:cs="Tahoma"/>
          <w:b/>
          <w:iCs/>
          <w:lang w:eastAsia="es-CO"/>
        </w:rPr>
        <w:lastRenderedPageBreak/>
        <w:t xml:space="preserve">es insuficiente – Necesidad de un consentimiento informado” </w:t>
      </w:r>
      <w:r w:rsidRPr="00760E4E">
        <w:rPr>
          <w:rFonts w:ascii="Tahoma" w:eastAsia="Calibri" w:hAnsi="Tahoma" w:cs="Tahoma"/>
          <w:b/>
          <w:iCs/>
          <w:vertAlign w:val="superscript"/>
          <w:lang w:eastAsia="es-CO"/>
        </w:rPr>
        <w:footnoteReference w:id="4"/>
      </w:r>
      <w:r w:rsidRPr="00760E4E">
        <w:rPr>
          <w:rFonts w:ascii="Tahoma" w:eastAsia="Calibri" w:hAnsi="Tahoma" w:cs="Tahoma"/>
          <w:iCs/>
          <w:lang w:eastAsia="es-CO"/>
        </w:rPr>
        <w:t xml:space="preserve"> </w:t>
      </w:r>
    </w:p>
    <w:p w14:paraId="766AA0B0" w14:textId="77777777" w:rsidR="00363345" w:rsidRPr="00760E4E" w:rsidRDefault="00363345" w:rsidP="00760E4E">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73A36F81" w14:textId="11739B19" w:rsidR="00363345" w:rsidRPr="00760E4E" w:rsidRDefault="002D01FE" w:rsidP="00760E4E">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760E4E">
        <w:rPr>
          <w:rFonts w:ascii="Tahoma" w:eastAsia="Calibri" w:hAnsi="Tahoma" w:cs="Tahoma"/>
          <w:lang w:eastAsia="es-CO"/>
        </w:rPr>
        <w:t xml:space="preserve">El segundo problema jurídico relativo al valor probatorio de los formularios de afiliación, </w:t>
      </w:r>
      <w:r w:rsidR="00363345" w:rsidRPr="00760E4E">
        <w:rPr>
          <w:rFonts w:ascii="Tahoma" w:eastAsia="Calibri" w:hAnsi="Tahoma" w:cs="Tahoma"/>
          <w:lang w:eastAsia="es-CO"/>
        </w:rPr>
        <w:t xml:space="preserve">fue abordado en la sentencia a la que venimos haciendo referencia, en el sentido de que los formularios de afiliación a lo sumo acreditan un consentimiento, </w:t>
      </w:r>
      <w:r w:rsidR="00363345" w:rsidRPr="00760E4E">
        <w:rPr>
          <w:rFonts w:ascii="Tahoma" w:eastAsia="Calibri" w:hAnsi="Tahoma" w:cs="Tahoma"/>
          <w:b/>
          <w:lang w:eastAsia="es-CO"/>
        </w:rPr>
        <w:t>pero no informado</w:t>
      </w:r>
      <w:r w:rsidR="00363345" w:rsidRPr="00760E4E">
        <w:rPr>
          <w:rFonts w:ascii="Tahoma" w:eastAsia="Calibri" w:hAnsi="Tahoma" w:cs="Tahoma"/>
          <w:lang w:eastAsia="es-CO"/>
        </w:rPr>
        <w:t xml:space="preserve">, tal como se expresa a continuación: </w:t>
      </w:r>
    </w:p>
    <w:p w14:paraId="5FF99389" w14:textId="77777777" w:rsidR="00363345" w:rsidRPr="00760E4E" w:rsidRDefault="00363345" w:rsidP="00760E4E">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049DC95D" w14:textId="77777777" w:rsidR="00363345" w:rsidRPr="00B27B17" w:rsidRDefault="00363345" w:rsidP="00B27B17">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B27B17">
        <w:rPr>
          <w:rFonts w:ascii="Tahoma" w:eastAsia="Calibri" w:hAnsi="Tahoma" w:cs="Tahoma"/>
          <w:i/>
          <w:sz w:val="22"/>
          <w:lang w:eastAsia="es-CO"/>
        </w:rPr>
        <w:t xml:space="preserve">“Para el Tribunal el consentimiento informado no es predicable del acto jurídico de traslado, pues basta la consignación en el formulario de que la afiliación se hizo de manera libre y voluntaria. </w:t>
      </w:r>
    </w:p>
    <w:p w14:paraId="3442990D" w14:textId="77777777" w:rsidR="00363345" w:rsidRPr="00B27B17" w:rsidRDefault="00363345" w:rsidP="00B27B17">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79F65E43" w14:textId="77777777" w:rsidR="00363345" w:rsidRPr="00B27B17" w:rsidRDefault="00363345" w:rsidP="00B27B17">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B27B17">
        <w:rPr>
          <w:rFonts w:ascii="Tahoma" w:eastAsia="Calibri" w:hAnsi="Tahoma" w:cs="Tahoma"/>
          <w:i/>
          <w:sz w:val="22"/>
          <w:lang w:eastAsia="es-CO"/>
        </w:rPr>
        <w:t>La Sala considera desacertada esta tesis, en la medida que la firma del formulario, al igual que las afirmaciones consignadas en los formatos preimpresos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 (…)</w:t>
      </w:r>
    </w:p>
    <w:p w14:paraId="7B8B28AC" w14:textId="77777777" w:rsidR="00363345" w:rsidRPr="00B27B17" w:rsidRDefault="00363345" w:rsidP="00B27B17">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24A443E6" w14:textId="77777777" w:rsidR="00363345" w:rsidRPr="00B27B17" w:rsidRDefault="00363345" w:rsidP="00B27B17">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B27B17">
        <w:rPr>
          <w:rFonts w:ascii="Tahoma" w:eastAsia="Calibri" w:hAnsi="Tahoma" w:cs="Tahoma"/>
          <w:i/>
          <w:sz w:val="22"/>
          <w:lang w:eastAsia="es-CO"/>
        </w:rPr>
        <w:t xml:space="preserve">De esta manera, el acto jurídico de cambio de régimen debe estar precedido de una ilustración al trabajador o usuario, como mínimo, acerca de las características, condiciones, acceso, ventajas y desventajas de cada uno de los regímenes pensionales, así como de los riesgos y consecuencias del traslado. </w:t>
      </w:r>
    </w:p>
    <w:p w14:paraId="4CCD9A4F" w14:textId="77777777" w:rsidR="00363345" w:rsidRPr="00B27B17" w:rsidRDefault="00363345" w:rsidP="00B27B17">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06A594AE" w14:textId="77777777" w:rsidR="00363345" w:rsidRPr="00B27B17" w:rsidRDefault="00363345" w:rsidP="00B27B17">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B27B17">
        <w:rPr>
          <w:rFonts w:ascii="Tahoma" w:eastAsia="Calibri" w:hAnsi="Tahoma" w:cs="Tahoma"/>
          <w:i/>
          <w:sz w:val="22"/>
          <w:lang w:eastAsia="es-CO"/>
        </w:rPr>
        <w:t>Por tanto, hoy en el campo de la seguridad social, existe un verdadero e insoslayable deber de obtener un consentimiento informado (CSJ SL19447-2017), entendido como un procedimiento que garantiza, antes de aceptar un ofrecimiento o un servicio, la comprensión por el usuario de las condiciones, riesgos y consecuencias de su afiliación al régimen. Vale decir, que el afiliado antes de dar su consentimiento, ha recibido información clara, cierta, comprensible y oportuna”.</w:t>
      </w:r>
    </w:p>
    <w:p w14:paraId="194591BC" w14:textId="77777777" w:rsidR="00363345" w:rsidRPr="00760E4E" w:rsidRDefault="00363345" w:rsidP="00760E4E">
      <w:pPr>
        <w:widowControl w:val="0"/>
        <w:autoSpaceDE w:val="0"/>
        <w:autoSpaceDN w:val="0"/>
        <w:adjustRightInd w:val="0"/>
        <w:spacing w:before="0" w:beforeAutospacing="0" w:after="0" w:afterAutospacing="0" w:line="276" w:lineRule="auto"/>
        <w:ind w:firstLine="284"/>
        <w:rPr>
          <w:rFonts w:ascii="Tahoma" w:eastAsia="Calibri" w:hAnsi="Tahoma" w:cs="Tahoma"/>
          <w:bCs/>
          <w:lang w:eastAsia="es-CO"/>
        </w:rPr>
      </w:pPr>
    </w:p>
    <w:p w14:paraId="7093C276" w14:textId="77777777" w:rsidR="002D01FE" w:rsidRPr="00760E4E" w:rsidRDefault="002D01FE" w:rsidP="00760E4E">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760E4E">
        <w:rPr>
          <w:rFonts w:ascii="Tahoma" w:eastAsia="Calibri" w:hAnsi="Tahoma" w:cs="Tahoma"/>
          <w:bCs/>
          <w:lang w:eastAsia="es-CO"/>
        </w:rPr>
        <w:t>Tal c</w:t>
      </w:r>
      <w:r w:rsidR="00363345" w:rsidRPr="00760E4E">
        <w:rPr>
          <w:rFonts w:ascii="Tahoma" w:eastAsia="Calibri" w:hAnsi="Tahoma" w:cs="Tahoma"/>
          <w:bCs/>
          <w:lang w:eastAsia="es-CO"/>
        </w:rPr>
        <w:t xml:space="preserve">omo se dijo en precedencia, el tema de la suscripción del formulario de traslado como única prueba para desvirtuar la negligencia en la remisión de información al afiliado, ha sido analizado en múltiples fallos de la Sala de Casación de la Corte Suprema de Justicia, </w:t>
      </w:r>
      <w:r w:rsidRPr="00760E4E">
        <w:rPr>
          <w:rFonts w:ascii="Tahoma" w:eastAsia="Calibri" w:hAnsi="Tahoma" w:cs="Tahoma"/>
          <w:lang w:eastAsia="es-CO"/>
        </w:rPr>
        <w:t>de cuyo contenido queda claro además que la suscripción de varios formularios de afiliación dentro del mismo RAIS</w:t>
      </w:r>
      <w:r w:rsidRPr="00760E4E">
        <w:rPr>
          <w:rFonts w:ascii="Tahoma" w:eastAsia="Calibri" w:hAnsi="Tahoma" w:cs="Tahoma"/>
          <w:vertAlign w:val="superscript"/>
          <w:lang w:eastAsia="es-CO"/>
        </w:rPr>
        <w:footnoteReference w:id="5"/>
      </w:r>
      <w:r w:rsidRPr="00760E4E">
        <w:rPr>
          <w:rFonts w:ascii="Tahoma" w:eastAsia="Calibri" w:hAnsi="Tahoma" w:cs="Tahoma"/>
          <w:lang w:eastAsia="es-CO"/>
        </w:rPr>
        <w:t>, tampoco es suficiente para declarar eficaz el primer traslado si de todas maneras no se demuestra que al interesado o interesada se le brindó la información suficiente y clara respecto a las ventajas y desventajas del cambio de régimen. Entre estas sentencias, está la providencia CSJ SL12136-2014 en la que se dijo lo siguiente:</w:t>
      </w:r>
    </w:p>
    <w:p w14:paraId="6BFD42C8" w14:textId="77777777" w:rsidR="00363345" w:rsidRPr="00760E4E" w:rsidRDefault="00363345" w:rsidP="00760E4E">
      <w:pPr>
        <w:widowControl w:val="0"/>
        <w:autoSpaceDE w:val="0"/>
        <w:autoSpaceDN w:val="0"/>
        <w:adjustRightInd w:val="0"/>
        <w:spacing w:before="0" w:beforeAutospacing="0" w:after="0" w:afterAutospacing="0" w:line="276" w:lineRule="auto"/>
        <w:ind w:firstLine="284"/>
        <w:rPr>
          <w:rFonts w:ascii="Tahoma" w:eastAsia="Calibri" w:hAnsi="Tahoma" w:cs="Tahoma"/>
          <w:bCs/>
          <w:i/>
          <w:lang w:eastAsia="es-CO"/>
        </w:rPr>
      </w:pPr>
    </w:p>
    <w:p w14:paraId="6DF7E418" w14:textId="77777777" w:rsidR="00363345" w:rsidRPr="00B27B17" w:rsidRDefault="00363345" w:rsidP="00B27B17">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B27B17">
        <w:rPr>
          <w:rFonts w:ascii="Tahoma" w:eastAsia="Calibri" w:hAnsi="Tahoma" w:cs="Tahoma"/>
          <w:i/>
          <w:sz w:val="22"/>
          <w:lang w:eastAsia="es-CO"/>
        </w:rPr>
        <w:t xml:space="preserve">“De manera que, conforme lo discurrido queda claro que existirá ineficacia de la afiliación cuando quiera que i) la insuficiencia de la información genere lesiones injustificadas en el derecho pensional del afiliado, impidiéndole su acceso al derecho; </w:t>
      </w:r>
      <w:proofErr w:type="spellStart"/>
      <w:r w:rsidRPr="00B27B17">
        <w:rPr>
          <w:rFonts w:ascii="Tahoma" w:eastAsia="Calibri" w:hAnsi="Tahoma" w:cs="Tahoma"/>
          <w:i/>
          <w:sz w:val="22"/>
          <w:lang w:eastAsia="es-CO"/>
        </w:rPr>
        <w:t>ii</w:t>
      </w:r>
      <w:proofErr w:type="spellEnd"/>
      <w:r w:rsidRPr="00B27B17">
        <w:rPr>
          <w:rFonts w:ascii="Tahoma" w:eastAsia="Calibri" w:hAnsi="Tahoma" w:cs="Tahoma"/>
          <w:i/>
          <w:sz w:val="22"/>
          <w:lang w:eastAsia="es-CO"/>
        </w:rPr>
        <w:t xml:space="preserve">) no será suficiente la simple suscripción del formulario, sino el cotejo con la información brindada, la cual debe corresponder a la realidad; </w:t>
      </w:r>
      <w:proofErr w:type="spellStart"/>
      <w:r w:rsidRPr="00B27B17">
        <w:rPr>
          <w:rFonts w:ascii="Tahoma" w:eastAsia="Calibri" w:hAnsi="Tahoma" w:cs="Tahoma"/>
          <w:i/>
          <w:sz w:val="22"/>
          <w:lang w:eastAsia="es-CO"/>
        </w:rPr>
        <w:t>iii</w:t>
      </w:r>
      <w:proofErr w:type="spellEnd"/>
      <w:r w:rsidRPr="00B27B17">
        <w:rPr>
          <w:rFonts w:ascii="Tahoma" w:eastAsia="Calibri" w:hAnsi="Tahoma" w:cs="Tahoma"/>
          <w:i/>
          <w:sz w:val="22"/>
          <w:lang w:eastAsia="es-CO"/>
        </w:rPr>
        <w:t xml:space="preserve">) en los términos del artículo 1604 del Código Civil corresponde a las Administradoras de Fondo de Pensiones allegar prueba sobre los datos proporcionados a los afiliados, los cuales, de no ser ciertos, tendrán además las sanciones pecuniarias del artículo 271 de Ley </w:t>
      </w:r>
      <w:r w:rsidRPr="00B27B17">
        <w:rPr>
          <w:rFonts w:ascii="Tahoma" w:eastAsia="Calibri" w:hAnsi="Tahoma" w:cs="Tahoma"/>
          <w:i/>
          <w:sz w:val="22"/>
          <w:lang w:eastAsia="es-CO"/>
        </w:rPr>
        <w:lastRenderedPageBreak/>
        <w:t>100 de 1993, y en los que debe constar los aspectos positivos y negativos de la vinculación y la incidencia en el derecho pensional.</w:t>
      </w:r>
    </w:p>
    <w:p w14:paraId="2C3C282D" w14:textId="77777777" w:rsidR="002D01FE" w:rsidRPr="00760E4E" w:rsidRDefault="002D01FE" w:rsidP="00760E4E">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5DC8EAF6" w14:textId="77777777" w:rsidR="00363345" w:rsidRPr="00760E4E" w:rsidRDefault="00363345" w:rsidP="00760E4E">
      <w:pPr>
        <w:pStyle w:val="Prrafodelista"/>
        <w:widowControl w:val="0"/>
        <w:numPr>
          <w:ilvl w:val="1"/>
          <w:numId w:val="4"/>
        </w:numPr>
        <w:autoSpaceDE w:val="0"/>
        <w:autoSpaceDN w:val="0"/>
        <w:adjustRightInd w:val="0"/>
        <w:spacing w:line="276" w:lineRule="auto"/>
        <w:rPr>
          <w:rFonts w:eastAsia="Calibri" w:cs="Tahoma"/>
          <w:b/>
          <w:bCs/>
          <w:szCs w:val="24"/>
          <w:lang w:eastAsia="es-CO"/>
        </w:rPr>
      </w:pPr>
      <w:bookmarkStart w:id="4" w:name="_Hlk109243055"/>
      <w:r w:rsidRPr="00760E4E">
        <w:rPr>
          <w:rFonts w:eastAsia="Calibri" w:cs="Tahoma"/>
          <w:b/>
          <w:bCs/>
          <w:szCs w:val="24"/>
          <w:lang w:eastAsia="es-CO"/>
        </w:rPr>
        <w:t xml:space="preserve">Los actos de relacionamiento, </w:t>
      </w:r>
      <w:proofErr w:type="spellStart"/>
      <w:r w:rsidRPr="00760E4E">
        <w:rPr>
          <w:rFonts w:eastAsia="Calibri" w:cs="Tahoma"/>
          <w:b/>
          <w:bCs/>
          <w:szCs w:val="24"/>
          <w:lang w:eastAsia="es-CO"/>
        </w:rPr>
        <w:t>reasesorías</w:t>
      </w:r>
      <w:proofErr w:type="spellEnd"/>
      <w:r w:rsidRPr="00760E4E">
        <w:rPr>
          <w:rFonts w:eastAsia="Calibri" w:cs="Tahoma"/>
          <w:b/>
          <w:bCs/>
          <w:szCs w:val="24"/>
          <w:lang w:eastAsia="es-CO"/>
        </w:rPr>
        <w:t xml:space="preserve">, falta de retorno al RPM en el tiempo estipulado por la ley, </w:t>
      </w:r>
      <w:r w:rsidRPr="00760E4E">
        <w:rPr>
          <w:rFonts w:eastAsia="Calibri" w:cs="Tahoma"/>
          <w:b/>
          <w:bCs/>
          <w:szCs w:val="24"/>
          <w:lang w:val="es-ES" w:eastAsia="es-CO"/>
        </w:rPr>
        <w:t>publicaciones de prensa y extractos de la cuenta de ahorro individual</w:t>
      </w:r>
      <w:r w:rsidRPr="00760E4E">
        <w:rPr>
          <w:rFonts w:eastAsia="Calibri" w:cs="Tahoma"/>
          <w:b/>
          <w:bCs/>
          <w:szCs w:val="24"/>
          <w:lang w:eastAsia="es-CO"/>
        </w:rPr>
        <w:t xml:space="preserve"> no desestiman la ineficacia por la falta de información al momento del traslado al RAIS.</w:t>
      </w:r>
    </w:p>
    <w:p w14:paraId="6B2F7012" w14:textId="48A0FFA7" w:rsidR="6152F823" w:rsidRPr="00760E4E" w:rsidRDefault="6152F823" w:rsidP="00760E4E">
      <w:pPr>
        <w:widowControl w:val="0"/>
        <w:spacing w:before="0" w:beforeAutospacing="0" w:after="0" w:afterAutospacing="0" w:line="276" w:lineRule="auto"/>
        <w:ind w:left="349"/>
        <w:rPr>
          <w:rFonts w:ascii="Tahoma" w:eastAsia="Calibri" w:hAnsi="Tahoma" w:cs="Tahoma"/>
          <w:b/>
          <w:bCs/>
          <w:lang w:eastAsia="es-CO"/>
        </w:rPr>
      </w:pPr>
    </w:p>
    <w:p w14:paraId="7FEAD59A" w14:textId="77777777" w:rsidR="00363345" w:rsidRPr="00760E4E" w:rsidRDefault="00363345" w:rsidP="00760E4E">
      <w:pPr>
        <w:widowControl w:val="0"/>
        <w:autoSpaceDE w:val="0"/>
        <w:autoSpaceDN w:val="0"/>
        <w:adjustRightInd w:val="0"/>
        <w:spacing w:before="0" w:beforeAutospacing="0" w:after="0" w:afterAutospacing="0" w:line="276" w:lineRule="auto"/>
        <w:rPr>
          <w:rFonts w:ascii="Tahoma" w:eastAsia="Calibri" w:hAnsi="Tahoma" w:cs="Tahoma"/>
          <w:bCs/>
          <w:lang w:eastAsia="es-CO"/>
        </w:rPr>
      </w:pPr>
      <w:bookmarkStart w:id="5" w:name="_Hlk109255998"/>
      <w:bookmarkEnd w:id="4"/>
      <w:r w:rsidRPr="00760E4E">
        <w:rPr>
          <w:rFonts w:ascii="Tahoma" w:eastAsia="Calibri" w:hAnsi="Tahoma" w:cs="Tahoma"/>
          <w:lang w:eastAsia="es-CO"/>
        </w:rPr>
        <w:t>Además de lo anterior, ha precisado el máximo órgano de la jurisdicción ordinaria (CSJ SL, 9 sep. 2008, rad. 31989, CSJ SL2877-2020, CSJ SL1942-2021 y CSJ SL1949-2021) que la suscripción de varios formularios de afiliación dentro del mismo RAIS, tampoco es suficiente para declarar eficaz el primer traslado si de todas maneras no se demuestra que al interesado o interesada se le brindó la información suficiente y clara respecto a las ventajas y desventajas del cambio de régimen, en tanto el acto no se convalida por los tránsitos que los afiliados hagan entre administradoras privadas, al respecto en la sentencia SL 5688 de 2021</w:t>
      </w:r>
      <w:r w:rsidRPr="00760E4E">
        <w:rPr>
          <w:rStyle w:val="Refdenotaalpie"/>
          <w:rFonts w:ascii="Tahoma" w:eastAsia="Calibri" w:hAnsi="Tahoma" w:cs="Tahoma"/>
          <w:lang w:eastAsia="es-CO"/>
        </w:rPr>
        <w:footnoteReference w:id="6"/>
      </w:r>
      <w:r w:rsidRPr="00760E4E">
        <w:rPr>
          <w:rFonts w:ascii="Tahoma" w:eastAsia="Calibri" w:hAnsi="Tahoma" w:cs="Tahoma"/>
          <w:lang w:eastAsia="es-CO"/>
        </w:rPr>
        <w:t xml:space="preserve"> que memora la sentencia CSJ SL, 9 sep. 2008, rad. 31989 expuso:</w:t>
      </w:r>
    </w:p>
    <w:p w14:paraId="53678E9F" w14:textId="74DCC76E" w:rsidR="6152F823" w:rsidRPr="00760E4E" w:rsidRDefault="6152F823" w:rsidP="00760E4E">
      <w:pPr>
        <w:widowControl w:val="0"/>
        <w:spacing w:before="0" w:beforeAutospacing="0" w:after="0" w:afterAutospacing="0" w:line="276" w:lineRule="auto"/>
        <w:rPr>
          <w:rFonts w:ascii="Tahoma" w:eastAsia="Calibri" w:hAnsi="Tahoma" w:cs="Tahoma"/>
          <w:lang w:eastAsia="es-CO"/>
        </w:rPr>
      </w:pPr>
    </w:p>
    <w:p w14:paraId="6F1166E9" w14:textId="77777777" w:rsidR="00363345" w:rsidRPr="00B27B17" w:rsidRDefault="00363345" w:rsidP="00B27B17">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B27B17">
        <w:rPr>
          <w:rFonts w:ascii="Tahoma" w:eastAsia="Calibri" w:hAnsi="Tahoma" w:cs="Tahoma"/>
          <w:i/>
          <w:sz w:val="22"/>
          <w:lang w:eastAsia="es-CO"/>
        </w:rPr>
        <w:t>“Se ha de señalar que la actuación viciada de traslado del régimen de prima media con prestación definida al de ahorro individual, no se convalida por los traslados de administradoras dentro de este último régimen; ciertamente, la decisión de escoger entre una y otra administradora de ahorro individual, no implica la ratificación de la decisión de cambio de régimen que conlleva modificar sensiblemente el contenido de los derechos prestacionales”.</w:t>
      </w:r>
    </w:p>
    <w:p w14:paraId="09A5DD21" w14:textId="77777777" w:rsidR="00363345" w:rsidRPr="00760E4E" w:rsidRDefault="00363345" w:rsidP="00760E4E">
      <w:pPr>
        <w:widowControl w:val="0"/>
        <w:autoSpaceDE w:val="0"/>
        <w:autoSpaceDN w:val="0"/>
        <w:adjustRightInd w:val="0"/>
        <w:spacing w:before="0" w:beforeAutospacing="0" w:after="0" w:afterAutospacing="0" w:line="276" w:lineRule="auto"/>
        <w:ind w:firstLine="284"/>
        <w:rPr>
          <w:rFonts w:ascii="Tahoma" w:eastAsia="Calibri" w:hAnsi="Tahoma" w:cs="Tahoma"/>
          <w:bCs/>
          <w:lang w:val="es-ES" w:eastAsia="es-CO"/>
        </w:rPr>
      </w:pPr>
    </w:p>
    <w:p w14:paraId="3B20DE6E" w14:textId="77777777" w:rsidR="00363345" w:rsidRPr="00760E4E" w:rsidRDefault="00363345" w:rsidP="00760E4E">
      <w:pPr>
        <w:widowControl w:val="0"/>
        <w:autoSpaceDE w:val="0"/>
        <w:autoSpaceDN w:val="0"/>
        <w:adjustRightInd w:val="0"/>
        <w:spacing w:before="0" w:beforeAutospacing="0" w:after="0" w:afterAutospacing="0" w:line="276" w:lineRule="auto"/>
        <w:ind w:firstLine="567"/>
        <w:rPr>
          <w:rFonts w:ascii="Tahoma" w:eastAsia="Calibri" w:hAnsi="Tahoma" w:cs="Tahoma"/>
          <w:bCs/>
          <w:lang w:eastAsia="es-CO"/>
        </w:rPr>
      </w:pPr>
      <w:r w:rsidRPr="00760E4E">
        <w:rPr>
          <w:rFonts w:ascii="Tahoma" w:eastAsia="Calibri" w:hAnsi="Tahoma" w:cs="Tahoma"/>
          <w:bCs/>
          <w:lang w:eastAsia="es-CO"/>
        </w:rPr>
        <w:t>En este orden de ideas, en la sentencia CSJ SL 5686 de 2021</w:t>
      </w:r>
      <w:r w:rsidRPr="00760E4E">
        <w:rPr>
          <w:rStyle w:val="Refdenotaalpie"/>
          <w:rFonts w:ascii="Tahoma" w:eastAsia="Calibri" w:hAnsi="Tahoma" w:cs="Tahoma"/>
          <w:bCs/>
          <w:lang w:eastAsia="es-CO"/>
        </w:rPr>
        <w:footnoteReference w:id="7"/>
      </w:r>
      <w:r w:rsidRPr="00760E4E">
        <w:rPr>
          <w:rFonts w:ascii="Tahoma" w:eastAsia="Calibri" w:hAnsi="Tahoma" w:cs="Tahoma"/>
          <w:bCs/>
          <w:lang w:eastAsia="es-CO"/>
        </w:rPr>
        <w:t xml:space="preserve"> traída a colación en la CSJ SL1926-2022</w:t>
      </w:r>
      <w:r w:rsidRPr="00760E4E">
        <w:rPr>
          <w:rStyle w:val="Refdenotaalpie"/>
          <w:rFonts w:ascii="Tahoma" w:eastAsia="Calibri" w:hAnsi="Tahoma" w:cs="Tahoma"/>
          <w:bCs/>
          <w:lang w:eastAsia="es-CO"/>
        </w:rPr>
        <w:footnoteReference w:id="8"/>
      </w:r>
      <w:r w:rsidRPr="00760E4E">
        <w:rPr>
          <w:rFonts w:ascii="Tahoma" w:eastAsia="Calibri" w:hAnsi="Tahoma" w:cs="Tahoma"/>
          <w:bCs/>
          <w:lang w:eastAsia="es-CO"/>
        </w:rPr>
        <w:t xml:space="preserve"> añadió:</w:t>
      </w:r>
    </w:p>
    <w:p w14:paraId="7701F893" w14:textId="77777777" w:rsidR="00363345" w:rsidRPr="00760E4E" w:rsidRDefault="00363345" w:rsidP="00760E4E">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21AA1EB5" w14:textId="77777777" w:rsidR="00363345" w:rsidRPr="00B27B17" w:rsidRDefault="00363345" w:rsidP="00B27B17">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B27B17">
        <w:rPr>
          <w:rFonts w:ascii="Tahoma" w:eastAsia="Calibri" w:hAnsi="Tahoma" w:cs="Tahoma"/>
          <w:i/>
          <w:sz w:val="22"/>
          <w:lang w:eastAsia="es-CO"/>
        </w:rPr>
        <w:t>“Por lo tanto, la mera decisión de escoger entre una y otra administradora en el régimen de ahorro individual, así como trasladarse entre entes pensionales de este esquema, no reemplaza o suple la omisión de la entidad administradora en el cumplimiento de su deber de información a los afiliados que pretende captar; tampoco es indicativo de que cumplió ese deber ni presume que la persona afiliada está informada debidamente en los términos legales, y menos aún morigera los efectos que ello genera en la eficacia del acto jurídico de traslado; esto, desde luego, cuando dicho desacato se acredita debidamente en el proceso, conforme se explicó.</w:t>
      </w:r>
    </w:p>
    <w:p w14:paraId="1668D09C" w14:textId="77777777" w:rsidR="00363345" w:rsidRPr="00B27B17" w:rsidRDefault="00363345" w:rsidP="00B27B17">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4E17B5C1" w14:textId="77777777" w:rsidR="00363345" w:rsidRPr="00B27B17" w:rsidRDefault="00363345" w:rsidP="00B27B17">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B27B17">
        <w:rPr>
          <w:rFonts w:ascii="Tahoma" w:eastAsia="Calibri" w:hAnsi="Tahoma" w:cs="Tahoma"/>
          <w:i/>
          <w:sz w:val="22"/>
          <w:lang w:eastAsia="es-CO"/>
        </w:rPr>
        <w:t>El anterior criterio es el precedente vigente y en rigor de la Sala de Casación Laboral de esta Corte, y corrige cualquier otro que le sea contrario, en especial el condensado en las sentencias CSJ SL3752-2020, CSJ SL4934-2020, CSJ SL1008-2021, CSJ SL1061-2021, CSJ SL2439-2021, CSJ SL2440-2021 y CSJ SL2753-2021”.</w:t>
      </w:r>
    </w:p>
    <w:p w14:paraId="7EA49915" w14:textId="77777777" w:rsidR="00363345" w:rsidRPr="00760E4E" w:rsidRDefault="00363345" w:rsidP="00760E4E">
      <w:pPr>
        <w:widowControl w:val="0"/>
        <w:autoSpaceDE w:val="0"/>
        <w:autoSpaceDN w:val="0"/>
        <w:adjustRightInd w:val="0"/>
        <w:spacing w:before="0" w:beforeAutospacing="0" w:after="0" w:afterAutospacing="0" w:line="276" w:lineRule="auto"/>
        <w:ind w:firstLine="0"/>
        <w:rPr>
          <w:rFonts w:ascii="Tahoma" w:eastAsia="Calibri" w:hAnsi="Tahoma" w:cs="Tahoma"/>
          <w:bCs/>
          <w:i/>
          <w:iCs/>
          <w:lang w:eastAsia="es-CO"/>
        </w:rPr>
      </w:pPr>
    </w:p>
    <w:p w14:paraId="0B91B105" w14:textId="77777777" w:rsidR="00363345" w:rsidRPr="00760E4E" w:rsidRDefault="00363345" w:rsidP="00760E4E">
      <w:pPr>
        <w:widowControl w:val="0"/>
        <w:autoSpaceDE w:val="0"/>
        <w:autoSpaceDN w:val="0"/>
        <w:adjustRightInd w:val="0"/>
        <w:spacing w:before="0" w:beforeAutospacing="0" w:after="0" w:afterAutospacing="0" w:line="276" w:lineRule="auto"/>
        <w:ind w:firstLine="567"/>
        <w:rPr>
          <w:rFonts w:ascii="Tahoma" w:eastAsia="Calibri" w:hAnsi="Tahoma" w:cs="Tahoma"/>
          <w:bCs/>
          <w:lang w:val="es-ES" w:eastAsia="es-CO"/>
        </w:rPr>
      </w:pPr>
      <w:r w:rsidRPr="00760E4E">
        <w:rPr>
          <w:rFonts w:ascii="Tahoma" w:eastAsia="Calibri" w:hAnsi="Tahoma" w:cs="Tahoma"/>
          <w:bCs/>
          <w:lang w:eastAsia="es-CO"/>
        </w:rPr>
        <w:t>Posteriormente, la sentencia CSJ SL1055 de 2022</w:t>
      </w:r>
      <w:r w:rsidRPr="00760E4E">
        <w:rPr>
          <w:rStyle w:val="Refdenotaalpie"/>
          <w:rFonts w:ascii="Tahoma" w:eastAsia="Calibri" w:hAnsi="Tahoma" w:cs="Tahoma"/>
          <w:bCs/>
          <w:lang w:eastAsia="es-CO"/>
        </w:rPr>
        <w:footnoteReference w:id="9"/>
      </w:r>
      <w:r w:rsidRPr="00760E4E">
        <w:rPr>
          <w:rFonts w:ascii="Tahoma" w:eastAsia="Calibri" w:hAnsi="Tahoma" w:cs="Tahoma"/>
          <w:bCs/>
          <w:lang w:eastAsia="es-CO"/>
        </w:rPr>
        <w:t xml:space="preserve"> recogió además las posturas </w:t>
      </w:r>
      <w:r w:rsidRPr="00760E4E">
        <w:rPr>
          <w:rFonts w:ascii="Tahoma" w:eastAsia="Calibri" w:hAnsi="Tahoma" w:cs="Tahoma"/>
          <w:bCs/>
          <w:lang w:eastAsia="es-CO"/>
        </w:rPr>
        <w:lastRenderedPageBreak/>
        <w:t xml:space="preserve">contrarias establecidas por las Sala de Descongestión de la Corte en las providencias </w:t>
      </w:r>
      <w:r w:rsidRPr="00760E4E">
        <w:rPr>
          <w:rFonts w:ascii="Tahoma" w:eastAsia="Calibri" w:hAnsi="Tahoma" w:cs="Tahoma"/>
          <w:bCs/>
          <w:lang w:val="es-ES" w:eastAsia="es-CO"/>
        </w:rPr>
        <w:t>CSJ SL249-2022 y SL259-2022, y en su lugar ratificó:</w:t>
      </w:r>
    </w:p>
    <w:p w14:paraId="6F40BFFD" w14:textId="77777777" w:rsidR="00363345" w:rsidRPr="00760E4E" w:rsidRDefault="00363345" w:rsidP="00760E4E">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22124F70" w14:textId="77777777" w:rsidR="00363345" w:rsidRPr="00B27B17" w:rsidRDefault="00363345" w:rsidP="00B27B17">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B27B17">
        <w:rPr>
          <w:rFonts w:ascii="Tahoma" w:eastAsia="Calibri" w:hAnsi="Tahoma" w:cs="Tahoma"/>
          <w:i/>
          <w:sz w:val="22"/>
          <w:lang w:eastAsia="es-CO"/>
        </w:rPr>
        <w:t>“los actos u omisiones posteriores del afiliado, bien sea porque se trasladó entre fondos privados o no retornó a prima media en las oportunidades legales previstas, no pueden validar el desacato legal que genera la ineficacia del acto jurídico del traslado de régimen, precisamente porque al ser posteriores dejan intactos los hechos u omisiones que anteceden al acto jurídico ineficaz, el cual no puede sanearse como la nulidad”</w:t>
      </w:r>
    </w:p>
    <w:p w14:paraId="337E3F59" w14:textId="77777777" w:rsidR="00363345" w:rsidRPr="00760E4E" w:rsidRDefault="00363345" w:rsidP="00760E4E">
      <w:pPr>
        <w:widowControl w:val="0"/>
        <w:autoSpaceDE w:val="0"/>
        <w:autoSpaceDN w:val="0"/>
        <w:adjustRightInd w:val="0"/>
        <w:spacing w:before="0" w:beforeAutospacing="0" w:after="0" w:afterAutospacing="0" w:line="276" w:lineRule="auto"/>
        <w:ind w:left="567" w:firstLine="0"/>
        <w:rPr>
          <w:rFonts w:ascii="Tahoma" w:eastAsia="Calibri" w:hAnsi="Tahoma" w:cs="Tahoma"/>
          <w:bCs/>
          <w:i/>
          <w:iCs/>
          <w:lang w:val="es-ES" w:eastAsia="es-CO"/>
        </w:rPr>
      </w:pPr>
    </w:p>
    <w:p w14:paraId="0D511400" w14:textId="77777777" w:rsidR="00363345" w:rsidRPr="00760E4E" w:rsidRDefault="00363345" w:rsidP="00760E4E">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760E4E">
        <w:rPr>
          <w:rFonts w:ascii="Tahoma" w:eastAsia="Calibri" w:hAnsi="Tahoma" w:cs="Tahoma"/>
          <w:lang w:eastAsia="es-CO"/>
        </w:rPr>
        <w:t xml:space="preserve">Igual cosa se ha predicado de las </w:t>
      </w:r>
      <w:proofErr w:type="spellStart"/>
      <w:r w:rsidRPr="00760E4E">
        <w:rPr>
          <w:rFonts w:ascii="Tahoma" w:eastAsia="Calibri" w:hAnsi="Tahoma" w:cs="Tahoma"/>
          <w:lang w:eastAsia="es-CO"/>
        </w:rPr>
        <w:t>reasesorías</w:t>
      </w:r>
      <w:proofErr w:type="spellEnd"/>
      <w:r w:rsidRPr="00760E4E">
        <w:rPr>
          <w:rFonts w:ascii="Tahoma" w:eastAsia="Calibri" w:hAnsi="Tahoma" w:cs="Tahoma"/>
          <w:lang w:eastAsia="es-CO"/>
        </w:rPr>
        <w:t xml:space="preserve"> posteriores dadas al interior de las AFP, las cuales tampoco convalidan el traslado, como quedó dicho en la citada sentencia del 8 de mayo de 2019 SL 1688-2019, así: </w:t>
      </w:r>
    </w:p>
    <w:p w14:paraId="06C902E5" w14:textId="4DFDD5FA" w:rsidR="6152F823" w:rsidRPr="00760E4E" w:rsidRDefault="6152F823" w:rsidP="00760E4E">
      <w:pPr>
        <w:widowControl w:val="0"/>
        <w:spacing w:before="0" w:beforeAutospacing="0" w:after="0" w:afterAutospacing="0" w:line="276" w:lineRule="auto"/>
        <w:ind w:firstLine="708"/>
        <w:rPr>
          <w:rFonts w:ascii="Tahoma" w:eastAsia="Calibri" w:hAnsi="Tahoma" w:cs="Tahoma"/>
          <w:lang w:eastAsia="es-CO"/>
        </w:rPr>
      </w:pPr>
    </w:p>
    <w:p w14:paraId="7A78EF3B" w14:textId="77777777" w:rsidR="00363345" w:rsidRPr="00B27B17" w:rsidRDefault="00363345" w:rsidP="00B27B17">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B27B17">
        <w:rPr>
          <w:rFonts w:ascii="Tahoma" w:eastAsia="Calibri" w:hAnsi="Tahoma" w:cs="Tahoma"/>
          <w:i/>
          <w:sz w:val="22"/>
          <w:lang w:eastAsia="es-CO"/>
        </w:rPr>
        <w:t xml:space="preserve">“Ahora, si bien la AFP brindó a la actora una </w:t>
      </w:r>
      <w:proofErr w:type="spellStart"/>
      <w:r w:rsidRPr="00B27B17">
        <w:rPr>
          <w:rFonts w:ascii="Tahoma" w:eastAsia="Calibri" w:hAnsi="Tahoma" w:cs="Tahoma"/>
          <w:i/>
          <w:sz w:val="22"/>
          <w:lang w:eastAsia="es-CO"/>
        </w:rPr>
        <w:t>reasesoría</w:t>
      </w:r>
      <w:proofErr w:type="spellEnd"/>
      <w:r w:rsidRPr="00B27B17">
        <w:rPr>
          <w:rFonts w:ascii="Tahoma" w:eastAsia="Calibri" w:hAnsi="Tahoma" w:cs="Tahoma"/>
          <w:i/>
          <w:sz w:val="22"/>
          <w:lang w:eastAsia="es-CO"/>
        </w:rPr>
        <w:t xml:space="preserve"> el 26 de noviembre de 2003, en virtud de la cual se concluyó la inconveniencia de continuar en Protección S.A., la Sala considera que este servicio no tiene la aptitud de subsanar el incumplimiento de la obligación de información en que incurrió la AFP al momento del traslado, por dos razones:</w:t>
      </w:r>
    </w:p>
    <w:p w14:paraId="0C7EA339" w14:textId="77777777" w:rsidR="00363345" w:rsidRPr="00B27B17" w:rsidRDefault="00363345" w:rsidP="00B27B17">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B27B17">
        <w:rPr>
          <w:rFonts w:ascii="Tahoma" w:eastAsia="Calibri" w:hAnsi="Tahoma" w:cs="Tahoma"/>
          <w:i/>
          <w:sz w:val="22"/>
          <w:lang w:eastAsia="es-CO"/>
        </w:rPr>
        <w:t xml:space="preserve"> </w:t>
      </w:r>
    </w:p>
    <w:p w14:paraId="71486DB0" w14:textId="77777777" w:rsidR="00363345" w:rsidRPr="00B27B17" w:rsidRDefault="00363345" w:rsidP="00B27B17">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B27B17">
        <w:rPr>
          <w:rFonts w:ascii="Tahoma" w:eastAsia="Calibri" w:hAnsi="Tahoma" w:cs="Tahoma"/>
          <w:i/>
          <w:sz w:val="22"/>
          <w:lang w:eastAsia="es-CO"/>
        </w:rPr>
        <w:t xml:space="preserve">En primer término, porque el traslado al RAIS implicó la pérdida de los beneficios derivados de la transición al no contar la demandante con 15 años de cotización o servicios a 1 de abril de 1994. Es decir, así se hubiese trasladado la demandante al día siguiente de la </w:t>
      </w:r>
      <w:proofErr w:type="spellStart"/>
      <w:r w:rsidRPr="00B27B17">
        <w:rPr>
          <w:rFonts w:ascii="Tahoma" w:eastAsia="Calibri" w:hAnsi="Tahoma" w:cs="Tahoma"/>
          <w:i/>
          <w:sz w:val="22"/>
          <w:lang w:eastAsia="es-CO"/>
        </w:rPr>
        <w:t>reasesoría</w:t>
      </w:r>
      <w:proofErr w:type="spellEnd"/>
      <w:r w:rsidRPr="00B27B17">
        <w:rPr>
          <w:rFonts w:ascii="Tahoma" w:eastAsia="Calibri" w:hAnsi="Tahoma" w:cs="Tahoma"/>
          <w:i/>
          <w:sz w:val="22"/>
          <w:lang w:eastAsia="es-CO"/>
        </w:rPr>
        <w:t>, de todas formas, ya había perdido la transición.</w:t>
      </w:r>
    </w:p>
    <w:p w14:paraId="02A4EAAF" w14:textId="77777777" w:rsidR="00363345" w:rsidRPr="00B27B17" w:rsidRDefault="00363345" w:rsidP="00B27B17">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B27B17">
        <w:rPr>
          <w:rFonts w:ascii="Tahoma" w:eastAsia="Calibri" w:hAnsi="Tahoma" w:cs="Tahoma"/>
          <w:i/>
          <w:sz w:val="22"/>
          <w:lang w:eastAsia="es-CO"/>
        </w:rPr>
        <w:t xml:space="preserve"> </w:t>
      </w:r>
    </w:p>
    <w:p w14:paraId="0BCBE4DD" w14:textId="77777777" w:rsidR="00363345" w:rsidRPr="00B27B17" w:rsidRDefault="00363345" w:rsidP="00B27B17">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B27B17">
        <w:rPr>
          <w:rFonts w:ascii="Tahoma" w:eastAsia="Calibri" w:hAnsi="Tahoma" w:cs="Tahoma"/>
          <w:i/>
          <w:sz w:val="22"/>
          <w:lang w:eastAsia="es-CO"/>
        </w:rPr>
        <w:t>En segundo lugar, porque la oportunidad de la información se juzga al momento del acto jurídico del traslado, no con posterioridad. Como se dijo, el afiliado requiere para tomar decisiones de la entrega de datos bajo las variables de tiempo e información, que le permitan ponderar costos, desventajas y beneficios hacia el futuro. Desde este punto de vista, un dato solo será relevante si es oportuno, es decir, si al momento en que se entrega brinda al destinatario su máximo de utilidad. Por el contrario, si la asesoría no se otorga oportunamente y, por tanto, pierde su utilidad, ello equivale a la ausencia de información.</w:t>
      </w:r>
    </w:p>
    <w:p w14:paraId="2817A8FD" w14:textId="77777777" w:rsidR="00363345" w:rsidRPr="00B27B17" w:rsidRDefault="00363345" w:rsidP="00B27B17">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B27B17">
        <w:rPr>
          <w:rFonts w:ascii="Tahoma" w:eastAsia="Calibri" w:hAnsi="Tahoma" w:cs="Tahoma"/>
          <w:i/>
          <w:sz w:val="22"/>
          <w:lang w:eastAsia="es-CO"/>
        </w:rPr>
        <w:t xml:space="preserve"> </w:t>
      </w:r>
    </w:p>
    <w:p w14:paraId="2EBAACF2" w14:textId="77777777" w:rsidR="00363345" w:rsidRPr="00B27B17" w:rsidRDefault="00363345" w:rsidP="00B27B17">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B27B17">
        <w:rPr>
          <w:rFonts w:ascii="Tahoma" w:eastAsia="Calibri" w:hAnsi="Tahoma" w:cs="Tahoma"/>
          <w:i/>
          <w:sz w:val="22"/>
          <w:lang w:eastAsia="es-CO"/>
        </w:rPr>
        <w:t xml:space="preserve">Por otro lado, no es de recibo el planteo de Protección S.A., cuando sostiene que una vez realizó la </w:t>
      </w:r>
      <w:proofErr w:type="spellStart"/>
      <w:r w:rsidRPr="00B27B17">
        <w:rPr>
          <w:rFonts w:ascii="Tahoma" w:eastAsia="Calibri" w:hAnsi="Tahoma" w:cs="Tahoma"/>
          <w:i/>
          <w:sz w:val="22"/>
          <w:lang w:eastAsia="es-CO"/>
        </w:rPr>
        <w:t>reasesoría</w:t>
      </w:r>
      <w:proofErr w:type="spellEnd"/>
      <w:r w:rsidRPr="00B27B17">
        <w:rPr>
          <w:rFonts w:ascii="Tahoma" w:eastAsia="Calibri" w:hAnsi="Tahoma" w:cs="Tahoma"/>
          <w:i/>
          <w:sz w:val="22"/>
          <w:lang w:eastAsia="es-CO"/>
        </w:rPr>
        <w:t>, Myriam Arroyave Henao no mostró interés en la ineficacia de la vinculación al RAIS, al conservar su status de afiliada durante un tiempo, Se dice lo anterior ya que la sugerencia de Protección S.A. de regresar al RPMPD, se produjo el 26 de noviembre de 2003, y el formulario para la nueva afiliación al ISS se diligenció el 14 de enero de 2004 (f. 0 97), es decir, la interesada no dejó transcurrir dos meses desde que recibió asesoría. Por lo demás, este lapso es razonable, pues dada la relevancia de esta determinación, era natural que la accionante se tomara un tiempo de reflexión, buscara información y consejo profesional para, finalmente, adoptar su elección”.</w:t>
      </w:r>
    </w:p>
    <w:p w14:paraId="4A898F9A" w14:textId="77777777" w:rsidR="00363345" w:rsidRPr="00760E4E" w:rsidRDefault="00363345" w:rsidP="00760E4E">
      <w:pPr>
        <w:widowControl w:val="0"/>
        <w:autoSpaceDE w:val="0"/>
        <w:autoSpaceDN w:val="0"/>
        <w:adjustRightInd w:val="0"/>
        <w:spacing w:before="0" w:beforeAutospacing="0" w:after="0" w:afterAutospacing="0" w:line="276" w:lineRule="auto"/>
        <w:ind w:firstLine="0"/>
        <w:rPr>
          <w:rFonts w:ascii="Tahoma" w:eastAsia="Calibri" w:hAnsi="Tahoma" w:cs="Tahoma"/>
          <w:i/>
          <w:lang w:eastAsia="es-CO"/>
        </w:rPr>
      </w:pPr>
    </w:p>
    <w:bookmarkEnd w:id="5"/>
    <w:p w14:paraId="1A56D450" w14:textId="77777777" w:rsidR="00363345" w:rsidRPr="00760E4E" w:rsidRDefault="00363345" w:rsidP="00760E4E">
      <w:pPr>
        <w:spacing w:before="0" w:beforeAutospacing="0" w:after="0" w:afterAutospacing="0" w:line="276" w:lineRule="auto"/>
        <w:ind w:right="420"/>
        <w:contextualSpacing/>
        <w:rPr>
          <w:rFonts w:ascii="Tahoma" w:eastAsia="Calibri" w:hAnsi="Tahoma" w:cs="Tahoma"/>
          <w:iCs/>
          <w:lang w:val="es-ES"/>
        </w:rPr>
      </w:pPr>
      <w:r w:rsidRPr="00760E4E">
        <w:rPr>
          <w:rFonts w:ascii="Tahoma" w:eastAsia="Calibri" w:hAnsi="Tahoma" w:cs="Tahoma"/>
          <w:iCs/>
          <w:lang w:val="es-ES"/>
        </w:rPr>
        <w:t>Finalmente, en el mismo sentido se ha pronunciado el máximo órgano de cierre de la jurisdicción laboral, respecto a las publicaciones de prensa y extractos de la cuenta de ahorro individual, en este orden en la sentencia CSJ 1618-2022</w:t>
      </w:r>
      <w:r w:rsidRPr="00760E4E">
        <w:rPr>
          <w:rStyle w:val="Refdenotaalpie"/>
          <w:rFonts w:ascii="Tahoma" w:eastAsia="Calibri" w:hAnsi="Tahoma" w:cs="Tahoma"/>
          <w:iCs/>
          <w:lang w:val="es-ES"/>
        </w:rPr>
        <w:footnoteReference w:id="10"/>
      </w:r>
      <w:r w:rsidRPr="00760E4E">
        <w:rPr>
          <w:rFonts w:ascii="Tahoma" w:eastAsia="Calibri" w:hAnsi="Tahoma" w:cs="Tahoma"/>
          <w:iCs/>
          <w:lang w:val="es-ES"/>
        </w:rPr>
        <w:t xml:space="preserve"> precisó: </w:t>
      </w:r>
    </w:p>
    <w:p w14:paraId="101BB644" w14:textId="77777777" w:rsidR="00363345" w:rsidRPr="00760E4E" w:rsidRDefault="00363345" w:rsidP="00760E4E">
      <w:pPr>
        <w:spacing w:before="0" w:beforeAutospacing="0" w:after="0" w:afterAutospacing="0" w:line="276" w:lineRule="auto"/>
        <w:ind w:left="426" w:right="420" w:firstLine="0"/>
        <w:contextualSpacing/>
        <w:rPr>
          <w:rFonts w:ascii="Tahoma" w:eastAsia="Calibri" w:hAnsi="Tahoma" w:cs="Tahoma"/>
          <w:i/>
          <w:lang w:val="es-ES"/>
        </w:rPr>
      </w:pPr>
    </w:p>
    <w:p w14:paraId="122C00D5" w14:textId="5727FA61" w:rsidR="00363345" w:rsidRPr="00B27B17" w:rsidRDefault="00363345" w:rsidP="00B27B17">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B27B17">
        <w:rPr>
          <w:rFonts w:ascii="Tahoma" w:eastAsia="Calibri" w:hAnsi="Tahoma" w:cs="Tahoma"/>
          <w:i/>
          <w:sz w:val="22"/>
          <w:lang w:eastAsia="es-CO"/>
        </w:rPr>
        <w:t xml:space="preserve">“Respecto a las citadas publicaciones así como frente a los extractos de cuenta de </w:t>
      </w:r>
      <w:r w:rsidRPr="00B27B17">
        <w:rPr>
          <w:rFonts w:ascii="Tahoma" w:eastAsia="Calibri" w:hAnsi="Tahoma" w:cs="Tahoma"/>
          <w:i/>
          <w:sz w:val="22"/>
          <w:lang w:eastAsia="es-CO"/>
        </w:rPr>
        <w:lastRenderedPageBreak/>
        <w:t xml:space="preserve">ahorro individual que se remitieron a la demandante y la información en ellos contenida, a los que se hizo referencia en la declaración de parte por ella vertida en el proceso, es claro para la Sala que, aunque  pueda ser de interés para el afiliado, por </w:t>
      </w:r>
      <w:r w:rsidR="00647E63" w:rsidRPr="00B27B17">
        <w:rPr>
          <w:rFonts w:ascii="Tahoma" w:eastAsia="Calibri" w:hAnsi="Tahoma" w:cs="Tahoma"/>
          <w:i/>
          <w:sz w:val="22"/>
          <w:lang w:eastAsia="es-CO"/>
        </w:rPr>
        <w:t>sí</w:t>
      </w:r>
      <w:r w:rsidRPr="00B27B17">
        <w:rPr>
          <w:rFonts w:ascii="Tahoma" w:eastAsia="Calibri" w:hAnsi="Tahoma" w:cs="Tahoma"/>
          <w:i/>
          <w:sz w:val="22"/>
          <w:lang w:eastAsia="es-CO"/>
        </w:rPr>
        <w:t xml:space="preserve"> solos no tienen la virtualidad de acreditar que la AFP cumplió con su obligación legal de información  y su deber orientador, de manera permanente desde antes de vincular a la señora Gloria Pinilla Anzola”.</w:t>
      </w:r>
    </w:p>
    <w:p w14:paraId="3D28B2B6" w14:textId="77777777" w:rsidR="00363345" w:rsidRPr="00760E4E" w:rsidRDefault="00363345" w:rsidP="00760E4E">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5D5CC6F5" w14:textId="77777777" w:rsidR="00363345" w:rsidRPr="00760E4E" w:rsidRDefault="00363345" w:rsidP="00760E4E">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iCs/>
          <w:lang w:eastAsia="es-CO"/>
        </w:rPr>
      </w:pPr>
      <w:r w:rsidRPr="00760E4E">
        <w:rPr>
          <w:rFonts w:ascii="Tahoma" w:eastAsia="Calibri" w:hAnsi="Tahoma" w:cs="Tahoma"/>
          <w:b/>
          <w:bCs/>
          <w:lang w:eastAsia="es-CO"/>
        </w:rPr>
        <w:t xml:space="preserve">“De la carga de la prueba – Inversión a favor del afiliado” </w:t>
      </w:r>
      <w:r w:rsidRPr="00760E4E">
        <w:rPr>
          <w:rFonts w:ascii="Tahoma" w:eastAsia="Calibri" w:hAnsi="Tahoma" w:cs="Tahoma"/>
          <w:b/>
          <w:bCs/>
          <w:vertAlign w:val="superscript"/>
          <w:lang w:eastAsia="es-CO"/>
        </w:rPr>
        <w:footnoteReference w:id="11"/>
      </w:r>
    </w:p>
    <w:p w14:paraId="4B4992D9" w14:textId="77777777" w:rsidR="00363345" w:rsidRPr="00760E4E" w:rsidRDefault="00363345" w:rsidP="00760E4E">
      <w:pPr>
        <w:widowControl w:val="0"/>
        <w:autoSpaceDE w:val="0"/>
        <w:autoSpaceDN w:val="0"/>
        <w:adjustRightInd w:val="0"/>
        <w:spacing w:before="0" w:beforeAutospacing="0" w:after="0" w:afterAutospacing="0" w:line="276" w:lineRule="auto"/>
        <w:ind w:firstLine="284"/>
        <w:rPr>
          <w:rFonts w:ascii="Tahoma" w:eastAsia="Calibri" w:hAnsi="Tahoma" w:cs="Tahoma"/>
          <w:b/>
          <w:lang w:eastAsia="es-CO"/>
        </w:rPr>
      </w:pPr>
    </w:p>
    <w:p w14:paraId="6093739C" w14:textId="66FA5C49" w:rsidR="00363345" w:rsidRPr="00760E4E" w:rsidRDefault="00785377" w:rsidP="00760E4E">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760E4E">
        <w:rPr>
          <w:rFonts w:ascii="Tahoma" w:eastAsia="Calibri" w:hAnsi="Tahoma" w:cs="Tahoma"/>
          <w:lang w:eastAsia="es-CO"/>
        </w:rPr>
        <w:t xml:space="preserve">El tercer problema jurídico relativo a la carga de la prueba en los procesos de ineficacia de traslado, también se resolvió </w:t>
      </w:r>
      <w:r w:rsidR="00363345" w:rsidRPr="00760E4E">
        <w:rPr>
          <w:rFonts w:ascii="Tahoma" w:eastAsia="Calibri" w:hAnsi="Tahoma" w:cs="Tahoma"/>
          <w:lang w:eastAsia="es-CO"/>
        </w:rPr>
        <w:t>por la Corte Suprema de Justicia desde la sentencia hito, en la que se expresó que de conformidad al artículo 1604 del Código Civil «</w:t>
      </w:r>
      <w:r w:rsidR="00363345" w:rsidRPr="00760E4E">
        <w:rPr>
          <w:rFonts w:ascii="Tahoma" w:eastAsia="Calibri" w:hAnsi="Tahoma" w:cs="Tahoma"/>
          <w:i/>
          <w:lang w:eastAsia="es-CO"/>
        </w:rPr>
        <w:t>la prueba de la diligencia o cuidado incumbe al que ha debido emplearlo”</w:t>
      </w:r>
      <w:r w:rsidR="00363345" w:rsidRPr="00760E4E">
        <w:rPr>
          <w:rFonts w:ascii="Tahoma" w:eastAsia="Calibri" w:hAnsi="Tahoma" w:cs="Tahoma"/>
          <w:lang w:eastAsia="es-CO"/>
        </w:rPr>
        <w:t xml:space="preserve"> lo que quiere decir que la carga de la prueba recae en el fondo de pensiones. Dicha postura se ha mantenido invariable, y se reiteró de manera más contundente en la citada sentencia, así: </w:t>
      </w:r>
    </w:p>
    <w:p w14:paraId="13C70D47" w14:textId="77777777" w:rsidR="00363345" w:rsidRPr="00760E4E" w:rsidRDefault="00363345" w:rsidP="00760E4E">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56551BF5" w14:textId="77777777" w:rsidR="00363345" w:rsidRPr="00B27B17" w:rsidRDefault="00363345" w:rsidP="00B27B17">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B27B17">
        <w:rPr>
          <w:rFonts w:ascii="Tahoma" w:eastAsia="Calibri" w:hAnsi="Tahoma" w:cs="Tahoma"/>
          <w:i/>
          <w:sz w:val="22"/>
          <w:lang w:eastAsia="es-CO"/>
        </w:rPr>
        <w:t xml:space="preserve">“Según lo expuesto precedentemente, es la demostración de un consentimiento informado en el traslado de régimen, el que tiene la virtud de generar en el juzgador la convicción de que ese contrato de aseguramiento goza de plena validez. </w:t>
      </w:r>
    </w:p>
    <w:p w14:paraId="1A1E6491" w14:textId="77777777" w:rsidR="00363345" w:rsidRPr="00B27B17" w:rsidRDefault="00363345" w:rsidP="00B27B17">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1B04CAFF" w14:textId="77777777" w:rsidR="00363345" w:rsidRPr="00B27B17" w:rsidRDefault="00363345" w:rsidP="00B27B17">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B27B17">
        <w:rPr>
          <w:rFonts w:ascii="Tahoma" w:eastAsia="Calibri" w:hAnsi="Tahoma" w:cs="Tahoma"/>
          <w:i/>
          <w:sz w:val="22"/>
          <w:lang w:eastAsia="es-CO"/>
        </w:rPr>
        <w:t xml:space="preserve">Bajo tal premisa, frente al tema puntual de a quién le corresponde demostrarla, debe precisarse que si el afiliado alega que no recibió la información debida cuando se afilió, ello corresponde a un supuesto negativo que no puede demostrarse materialmente por quien lo invoca. </w:t>
      </w:r>
    </w:p>
    <w:p w14:paraId="21EC5495" w14:textId="77777777" w:rsidR="00363345" w:rsidRPr="00B27B17" w:rsidRDefault="00363345" w:rsidP="00B27B17">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02759799" w14:textId="77777777" w:rsidR="00363345" w:rsidRPr="00B27B17" w:rsidRDefault="00363345" w:rsidP="00B27B17">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B27B17">
        <w:rPr>
          <w:rFonts w:ascii="Tahoma" w:eastAsia="Calibri" w:hAnsi="Tahoma" w:cs="Tahoma"/>
          <w:i/>
          <w:sz w:val="22"/>
          <w:lang w:eastAsia="es-CO"/>
        </w:rPr>
        <w:t>En consecuencia,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74457649" w14:textId="77777777" w:rsidR="00363345" w:rsidRPr="00B27B17" w:rsidRDefault="00363345" w:rsidP="00B27B17">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27D7C715" w14:textId="77777777" w:rsidR="00363345" w:rsidRPr="00B27B17" w:rsidRDefault="00363345" w:rsidP="00B27B17">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B27B17">
        <w:rPr>
          <w:rFonts w:ascii="Tahoma" w:eastAsia="Calibri" w:hAnsi="Tahoma" w:cs="Tahoma"/>
          <w:i/>
          <w:sz w:val="22"/>
          <w:lang w:eastAsia="es-CO"/>
        </w:rPr>
        <w:t xml:space="preserve">Como se ha expuesto, el deber de información al momento del traslado entre regímenes, es una obligación que corresponde a las administradoras de fondos de pensiones, y su ejercicio debe ser de tal diligencia, que permita comprender la lógica, beneficios y desventajas del cambio de régimen, así como prever los riesgos y efectos negativos de esa decisión. </w:t>
      </w:r>
    </w:p>
    <w:p w14:paraId="1BFD4513" w14:textId="77777777" w:rsidR="00363345" w:rsidRPr="00B27B17" w:rsidRDefault="00363345" w:rsidP="00B27B17">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5E4FB893" w14:textId="77777777" w:rsidR="00363345" w:rsidRPr="00B27B17" w:rsidRDefault="00363345" w:rsidP="00B27B17">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B27B17">
        <w:rPr>
          <w:rFonts w:ascii="Tahoma" w:eastAsia="Calibri" w:hAnsi="Tahoma" w:cs="Tahoma"/>
          <w:i/>
          <w:sz w:val="22"/>
          <w:lang w:eastAsia="es-CO"/>
        </w:rPr>
        <w:t xml:space="preserve">En torno al punto, el artículo 1604 del Código Civil establece que «la prueba de la diligencia o cuidado incumbe al que ha debido emplearlo», de lo que se sigue que es al fondo de pensiones al que corresponde acreditar la realización de todas las actuaciones necesarias a fin de que el afiliado conociera las implicaciones del traslado de régimen pensional. </w:t>
      </w:r>
    </w:p>
    <w:p w14:paraId="3368D4F7" w14:textId="77777777" w:rsidR="00363345" w:rsidRPr="00B27B17" w:rsidRDefault="00363345" w:rsidP="00B27B17">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57BEE158" w14:textId="77777777" w:rsidR="00363345" w:rsidRPr="00B27B17" w:rsidRDefault="00363345" w:rsidP="00B27B17">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B27B17">
        <w:rPr>
          <w:rFonts w:ascii="Tahoma" w:eastAsia="Calibri" w:hAnsi="Tahoma" w:cs="Tahoma"/>
          <w:i/>
          <w:sz w:val="22"/>
          <w:lang w:eastAsia="es-CO"/>
        </w:rPr>
        <w:t xml:space="preserve">Paralelamente, no puede pasar desapercibido que la inversión de la carga de la prueba en favor del afiliado obedece a una regla de justicia, en virtud de la cual no es dable exigir a quien está en una posición probatoria complicada –cuando no imposible- o de desventaja, el esclarecimiento de hechos que la otra parte está en mejor posición de ilustrar. En este caso, pedir al afiliado una prueba de este alcance es un despropósito, en la medida que (i) la afirmación de no haber recibido </w:t>
      </w:r>
      <w:r w:rsidRPr="00B27B17">
        <w:rPr>
          <w:rFonts w:ascii="Tahoma" w:eastAsia="Calibri" w:hAnsi="Tahoma" w:cs="Tahoma"/>
          <w:i/>
          <w:sz w:val="22"/>
          <w:lang w:eastAsia="es-CO"/>
        </w:rPr>
        <w:lastRenderedPageBreak/>
        <w:t>información corresponde a un supuesto negativo indefinido que solo puede desvirtuarlo el fondo de pensiones mediante la prueba que acredite que cumplió esta obligación; (</w:t>
      </w:r>
      <w:proofErr w:type="spellStart"/>
      <w:r w:rsidRPr="00B27B17">
        <w:rPr>
          <w:rFonts w:ascii="Tahoma" w:eastAsia="Calibri" w:hAnsi="Tahoma" w:cs="Tahoma"/>
          <w:i/>
          <w:sz w:val="22"/>
          <w:lang w:eastAsia="es-CO"/>
        </w:rPr>
        <w:t>ii</w:t>
      </w:r>
      <w:proofErr w:type="spellEnd"/>
      <w:r w:rsidRPr="00B27B17">
        <w:rPr>
          <w:rFonts w:ascii="Tahoma" w:eastAsia="Calibri" w:hAnsi="Tahoma" w:cs="Tahoma"/>
          <w:i/>
          <w:sz w:val="22"/>
          <w:lang w:eastAsia="es-CO"/>
        </w:rPr>
        <w:t>) la documentación soporte del traslado debe conservarse en los archivos del fondo, dado que (</w:t>
      </w:r>
      <w:proofErr w:type="spellStart"/>
      <w:r w:rsidRPr="00B27B17">
        <w:rPr>
          <w:rFonts w:ascii="Tahoma" w:eastAsia="Calibri" w:hAnsi="Tahoma" w:cs="Tahoma"/>
          <w:i/>
          <w:sz w:val="22"/>
          <w:lang w:eastAsia="es-CO"/>
        </w:rPr>
        <w:t>iii</w:t>
      </w:r>
      <w:proofErr w:type="spellEnd"/>
      <w:r w:rsidRPr="00B27B17">
        <w:rPr>
          <w:rFonts w:ascii="Tahoma" w:eastAsia="Calibri" w:hAnsi="Tahoma" w:cs="Tahoma"/>
          <w:i/>
          <w:sz w:val="22"/>
          <w:lang w:eastAsia="es-CO"/>
        </w:rPr>
        <w:t xml:space="preserve">) es esta entidad la que está obligada a observar la obligación de brindar información y, más aún, probar ante las autoridades administrativas y judiciales su pleno cumplimiento. </w:t>
      </w:r>
    </w:p>
    <w:p w14:paraId="50D7D019" w14:textId="77777777" w:rsidR="00363345" w:rsidRPr="00B27B17" w:rsidRDefault="00363345" w:rsidP="00B27B17">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025734D7" w14:textId="77777777" w:rsidR="00363345" w:rsidRPr="00B27B17" w:rsidRDefault="00363345" w:rsidP="00B27B17">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B27B17">
        <w:rPr>
          <w:rFonts w:ascii="Tahoma" w:eastAsia="Calibri" w:hAnsi="Tahoma" w:cs="Tahoma"/>
          <w:i/>
          <w:sz w:val="22"/>
          <w:lang w:eastAsia="es-CO"/>
        </w:rPr>
        <w:t xml:space="preserve">Mucho menos es razonable invertir la carga de la prueba contra la parte débil de la relación contractual, toda vez que, como se explicó, las entidades financieras por su posición en el mercado, profesionalismo, experticia y control de la operación, tienen una clara preeminencia frente al afiliado lego. A tal grado es lo anterior, que incluso la legislación (art. 11, literal b), L. 1328/2009), considera una práctica abusiva la inversión de la carga de la prueba en disfavor de los consumidores financieros”.  </w:t>
      </w:r>
    </w:p>
    <w:p w14:paraId="6692C2D7" w14:textId="77777777" w:rsidR="00363345" w:rsidRPr="00760E4E" w:rsidRDefault="00363345" w:rsidP="00760E4E">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2749AECA" w14:textId="77777777" w:rsidR="00363345" w:rsidRPr="00760E4E" w:rsidRDefault="00363345" w:rsidP="00760E4E">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lang w:eastAsia="es-CO"/>
        </w:rPr>
      </w:pPr>
      <w:r w:rsidRPr="00760E4E">
        <w:rPr>
          <w:rFonts w:ascii="Tahoma" w:eastAsia="Calibri" w:hAnsi="Tahoma" w:cs="Tahoma"/>
          <w:b/>
          <w:bCs/>
          <w:lang w:eastAsia="es-CO"/>
        </w:rPr>
        <w:t>Consecuencias de la declaratoria de ineficacia del traslado: Devolución de las cuotas de administración y de otros valores debidamente indexados.</w:t>
      </w:r>
    </w:p>
    <w:p w14:paraId="50C34F74" w14:textId="77777777" w:rsidR="00363345" w:rsidRPr="00760E4E" w:rsidRDefault="00363345" w:rsidP="00760E4E">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7DA47667" w14:textId="3415CC6E" w:rsidR="6375F063" w:rsidRPr="00760E4E" w:rsidRDefault="6375F063" w:rsidP="00760E4E">
      <w:pPr>
        <w:spacing w:before="0" w:beforeAutospacing="0" w:after="0" w:afterAutospacing="0" w:line="276" w:lineRule="auto"/>
        <w:ind w:firstLine="708"/>
        <w:rPr>
          <w:rFonts w:ascii="Tahoma" w:hAnsi="Tahoma" w:cs="Tahoma"/>
        </w:rPr>
      </w:pPr>
      <w:r w:rsidRPr="00760E4E">
        <w:rPr>
          <w:rFonts w:ascii="Tahoma" w:eastAsia="Tahoma" w:hAnsi="Tahoma" w:cs="Tahoma"/>
        </w:rPr>
        <w:t xml:space="preserve">Al efecto, la Sala de Casación Laboral de la Corte Suprema de Justicia precisó en las sentencias CSJ SL 4297-2022, </w:t>
      </w:r>
      <w:r w:rsidRPr="00760E4E">
        <w:rPr>
          <w:rFonts w:ascii="Tahoma" w:eastAsia="Tahoma" w:hAnsi="Tahoma" w:cs="Tahoma"/>
          <w:lang w:val="es"/>
        </w:rPr>
        <w:t xml:space="preserve">CSJ SL3871-2021, CSJ SL 3611-2021, CSJ SL3537-2021 </w:t>
      </w:r>
      <w:r w:rsidRPr="00760E4E">
        <w:rPr>
          <w:rFonts w:ascii="Tahoma" w:eastAsia="Tahoma" w:hAnsi="Tahoma" w:cs="Tahoma"/>
        </w:rPr>
        <w:t xml:space="preserve">que la trasgresión al deber de información tratándose del cambio del sistema pensional, debe analizarse desde la figura jurídica de la ineficacia y no desde el régimen de las nulidades regulado por el código civil, puesto que al transgredirse el derecho a la libre escogencia de régimen, el efecto jurídico previsto por el artículo 271 de la Ley 100 de 1993, no es otro que el de la ineficacia de la afiliación. </w:t>
      </w:r>
    </w:p>
    <w:p w14:paraId="74E48EBB" w14:textId="6FEDE637" w:rsidR="6375F063" w:rsidRPr="00760E4E" w:rsidRDefault="6375F063" w:rsidP="00760E4E">
      <w:pPr>
        <w:spacing w:before="0" w:beforeAutospacing="0" w:after="0" w:afterAutospacing="0" w:line="276" w:lineRule="auto"/>
        <w:ind w:firstLine="708"/>
        <w:rPr>
          <w:rFonts w:ascii="Tahoma" w:hAnsi="Tahoma" w:cs="Tahoma"/>
        </w:rPr>
      </w:pPr>
      <w:r w:rsidRPr="00760E4E">
        <w:rPr>
          <w:rFonts w:ascii="Tahoma" w:eastAsia="Tahoma" w:hAnsi="Tahoma" w:cs="Tahoma"/>
        </w:rPr>
        <w:t xml:space="preserve"> </w:t>
      </w:r>
    </w:p>
    <w:p w14:paraId="37A63C14" w14:textId="6C0099C3" w:rsidR="6375F063" w:rsidRPr="00760E4E" w:rsidRDefault="6375F063" w:rsidP="00760E4E">
      <w:pPr>
        <w:spacing w:before="0" w:beforeAutospacing="0" w:after="0" w:afterAutospacing="0" w:line="276" w:lineRule="auto"/>
        <w:ind w:firstLine="708"/>
        <w:rPr>
          <w:rFonts w:ascii="Tahoma" w:hAnsi="Tahoma" w:cs="Tahoma"/>
        </w:rPr>
      </w:pPr>
      <w:r w:rsidRPr="00760E4E">
        <w:rPr>
          <w:rFonts w:ascii="Tahoma" w:eastAsia="Tahoma" w:hAnsi="Tahoma" w:cs="Tahoma"/>
        </w:rPr>
        <w:t>En ese orden, argumentó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w:t>
      </w:r>
    </w:p>
    <w:p w14:paraId="39652D0E" w14:textId="6488B99D" w:rsidR="6375F063" w:rsidRPr="00760E4E" w:rsidRDefault="6375F063" w:rsidP="00760E4E">
      <w:pPr>
        <w:spacing w:before="0" w:beforeAutospacing="0" w:after="0" w:afterAutospacing="0" w:line="276" w:lineRule="auto"/>
        <w:ind w:firstLine="708"/>
        <w:rPr>
          <w:rFonts w:ascii="Tahoma" w:hAnsi="Tahoma" w:cs="Tahoma"/>
        </w:rPr>
      </w:pPr>
      <w:r w:rsidRPr="00760E4E">
        <w:rPr>
          <w:rFonts w:ascii="Tahoma" w:eastAsia="Tahoma" w:hAnsi="Tahoma" w:cs="Tahoma"/>
        </w:rPr>
        <w:t xml:space="preserve"> </w:t>
      </w:r>
    </w:p>
    <w:p w14:paraId="533F0FDB" w14:textId="085EB5DE" w:rsidR="6375F063" w:rsidRPr="00760E4E" w:rsidRDefault="6375F063" w:rsidP="00760E4E">
      <w:pPr>
        <w:spacing w:before="0" w:beforeAutospacing="0" w:after="0" w:afterAutospacing="0" w:line="276" w:lineRule="auto"/>
        <w:ind w:firstLine="708"/>
        <w:rPr>
          <w:rFonts w:ascii="Tahoma" w:hAnsi="Tahoma" w:cs="Tahoma"/>
        </w:rPr>
      </w:pPr>
      <w:r w:rsidRPr="00760E4E">
        <w:rPr>
          <w:rFonts w:ascii="Tahoma" w:eastAsia="Tahoma" w:hAnsi="Tahoma" w:cs="Tahoma"/>
        </w:rPr>
        <w:t xml:space="preserve">Con base en lo anterior, el máximo órgano de cierre de la jurisdicción laboral declaró, entre otras, en las sentencias CSJ </w:t>
      </w:r>
      <w:r w:rsidRPr="00760E4E">
        <w:rPr>
          <w:rFonts w:ascii="Tahoma" w:eastAsia="Tahoma" w:hAnsi="Tahoma" w:cs="Tahoma"/>
          <w:lang w:val="es"/>
        </w:rPr>
        <w:t xml:space="preserve">SL1084-2023, CSJ SL 932-2023, CSJ SL 4297-2022, CSJ SL3465-2022, CSJ SL2229-2022 y CSJ SL3188-2022 que la ineficacia del traslado no solo acarrea la obligación de trasladar </w:t>
      </w:r>
      <w:r w:rsidRPr="00760E4E">
        <w:rPr>
          <w:rFonts w:ascii="Tahoma" w:eastAsia="Tahoma" w:hAnsi="Tahoma" w:cs="Tahoma"/>
        </w:rPr>
        <w:t xml:space="preserve">a Colpensiones la totalidad de los saldos obrantes en la cuenta de ahorro individual del promotor del litigio, sino que además definió como regla de adjudicación que la entidad administradora debe: </w:t>
      </w:r>
    </w:p>
    <w:p w14:paraId="7B303450" w14:textId="1653119C" w:rsidR="6375F063" w:rsidRPr="00760E4E" w:rsidRDefault="6375F063" w:rsidP="00760E4E">
      <w:pPr>
        <w:spacing w:before="0" w:beforeAutospacing="0" w:after="0" w:afterAutospacing="0" w:line="276" w:lineRule="auto"/>
        <w:ind w:firstLine="708"/>
        <w:rPr>
          <w:rFonts w:ascii="Tahoma" w:hAnsi="Tahoma" w:cs="Tahoma"/>
        </w:rPr>
      </w:pPr>
      <w:r w:rsidRPr="00760E4E">
        <w:rPr>
          <w:rFonts w:ascii="Tahoma" w:eastAsia="Tahoma" w:hAnsi="Tahoma" w:cs="Tahoma"/>
        </w:rPr>
        <w:t xml:space="preserve"> </w:t>
      </w:r>
    </w:p>
    <w:p w14:paraId="7C4FD4D3" w14:textId="685DF254" w:rsidR="6375F063" w:rsidRPr="00B27B17" w:rsidRDefault="6375F063" w:rsidP="00B27B17">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B27B17">
        <w:rPr>
          <w:rFonts w:ascii="Tahoma" w:eastAsia="Calibri" w:hAnsi="Tahoma" w:cs="Tahoma"/>
          <w:i/>
          <w:sz w:val="22"/>
          <w:lang w:eastAsia="es-CO"/>
        </w:rPr>
        <w:t>“devolver a Colpensiones el porcentaje correspondiente a los gastos de administración, comisiones y primas de seguros previsionales de invalidez y sobrevivencia, y el porcentaje destinado al fondo de garantía de pensión mínima, debidamente indexados y con cargo a sus propios recursos, pues estos conceptos, desde el nacimiento del acto ineficaz, debieron ingresar al Régimen de Prima Media con Prestación Definida administrado por Colpensiones.</w:t>
      </w:r>
    </w:p>
    <w:p w14:paraId="148201BF" w14:textId="40742337" w:rsidR="6375F063" w:rsidRPr="00B27B17" w:rsidRDefault="6375F063" w:rsidP="00B27B17">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B27B17">
        <w:rPr>
          <w:rFonts w:ascii="Tahoma" w:eastAsia="Calibri" w:hAnsi="Tahoma" w:cs="Tahoma"/>
          <w:i/>
          <w:sz w:val="22"/>
          <w:lang w:eastAsia="es-CO"/>
        </w:rPr>
        <w:t xml:space="preserve"> </w:t>
      </w:r>
    </w:p>
    <w:p w14:paraId="225F8C5A" w14:textId="6EF9FBCE" w:rsidR="6375F063" w:rsidRPr="00B27B17" w:rsidRDefault="6375F063" w:rsidP="00B27B17">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B27B17">
        <w:rPr>
          <w:rFonts w:ascii="Tahoma" w:eastAsia="Calibri" w:hAnsi="Tahoma" w:cs="Tahoma"/>
          <w:i/>
          <w:sz w:val="22"/>
          <w:lang w:eastAsia="es-CO"/>
        </w:rPr>
        <w:t>Asimismo, al momento de cumplirse esta orden, tales valores deberán aparecer discriminados con sus respectivos montos, junto con el detalle pormenorizado de los ciclos, IBC, aportes y demás información relevante que los justifiquen”.</w:t>
      </w:r>
    </w:p>
    <w:p w14:paraId="1D465A11" w14:textId="007FAF09" w:rsidR="005C136F" w:rsidRPr="00760E4E" w:rsidRDefault="005C136F" w:rsidP="00760E4E">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1C2099CA" w14:textId="77777777" w:rsidR="00363345" w:rsidRPr="00760E4E" w:rsidRDefault="00363345" w:rsidP="00760E4E">
      <w:pPr>
        <w:pStyle w:val="Prrafodelista"/>
        <w:widowControl w:val="0"/>
        <w:numPr>
          <w:ilvl w:val="1"/>
          <w:numId w:val="4"/>
        </w:numPr>
        <w:autoSpaceDE w:val="0"/>
        <w:autoSpaceDN w:val="0"/>
        <w:adjustRightInd w:val="0"/>
        <w:spacing w:line="276" w:lineRule="auto"/>
        <w:ind w:left="0" w:firstLine="0"/>
        <w:rPr>
          <w:rFonts w:eastAsia="Calibri" w:cs="Tahoma"/>
          <w:b/>
          <w:szCs w:val="24"/>
          <w:lang w:eastAsia="es-CO"/>
        </w:rPr>
      </w:pPr>
      <w:r w:rsidRPr="00760E4E">
        <w:rPr>
          <w:rFonts w:eastAsia="Calibri" w:cs="Tahoma"/>
          <w:b/>
          <w:bCs/>
          <w:szCs w:val="24"/>
          <w:lang w:eastAsia="es-CO"/>
        </w:rPr>
        <w:t>Caso concreto</w:t>
      </w:r>
    </w:p>
    <w:p w14:paraId="29B8913B" w14:textId="77777777" w:rsidR="00363345" w:rsidRPr="00760E4E" w:rsidRDefault="00363345" w:rsidP="00760E4E">
      <w:pPr>
        <w:pStyle w:val="Prrafodelista"/>
        <w:widowControl w:val="0"/>
        <w:autoSpaceDE w:val="0"/>
        <w:autoSpaceDN w:val="0"/>
        <w:adjustRightInd w:val="0"/>
        <w:spacing w:line="276" w:lineRule="auto"/>
        <w:ind w:left="0"/>
        <w:rPr>
          <w:rFonts w:eastAsia="Calibri" w:cs="Tahoma"/>
          <w:b/>
          <w:szCs w:val="24"/>
          <w:lang w:eastAsia="es-CO"/>
        </w:rPr>
      </w:pPr>
    </w:p>
    <w:p w14:paraId="48C48BAA" w14:textId="730489A7" w:rsidR="00785377" w:rsidRPr="00760E4E" w:rsidRDefault="00785377" w:rsidP="00760E4E">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760E4E">
        <w:rPr>
          <w:rFonts w:ascii="Tahoma" w:eastAsia="Calibri" w:hAnsi="Tahoma" w:cs="Tahoma"/>
          <w:lang w:eastAsia="es-CO"/>
        </w:rPr>
        <w:t>Se pretende por esta vía ordinaria que se declare la ineficacia del traslado del régimen de prima media con prestación definida al de ahorro individual con solidaridad, dada la omisión de información clara y precisa, que ha</w:t>
      </w:r>
      <w:r w:rsidR="001424D0" w:rsidRPr="00760E4E">
        <w:rPr>
          <w:rFonts w:ascii="Tahoma" w:eastAsia="Calibri" w:hAnsi="Tahoma" w:cs="Tahoma"/>
          <w:lang w:eastAsia="es-CO"/>
        </w:rPr>
        <w:t>n</w:t>
      </w:r>
      <w:r w:rsidRPr="00760E4E">
        <w:rPr>
          <w:rFonts w:ascii="Tahoma" w:eastAsia="Calibri" w:hAnsi="Tahoma" w:cs="Tahoma"/>
          <w:lang w:eastAsia="es-CO"/>
        </w:rPr>
        <w:t xml:space="preserve"> debido brindarle la</w:t>
      </w:r>
      <w:r w:rsidR="001424D0" w:rsidRPr="00760E4E">
        <w:rPr>
          <w:rFonts w:ascii="Tahoma" w:eastAsia="Calibri" w:hAnsi="Tahoma" w:cs="Tahoma"/>
          <w:lang w:eastAsia="es-CO"/>
        </w:rPr>
        <w:t>s</w:t>
      </w:r>
      <w:r w:rsidRPr="00760E4E">
        <w:rPr>
          <w:rFonts w:ascii="Tahoma" w:eastAsia="Calibri" w:hAnsi="Tahoma" w:cs="Tahoma"/>
          <w:lang w:eastAsia="es-CO"/>
        </w:rPr>
        <w:t xml:space="preserve"> AFP a la </w:t>
      </w:r>
      <w:r w:rsidR="001424D0" w:rsidRPr="00760E4E">
        <w:rPr>
          <w:rFonts w:ascii="Tahoma" w:eastAsia="Calibri" w:hAnsi="Tahoma" w:cs="Tahoma"/>
          <w:lang w:eastAsia="es-CO"/>
        </w:rPr>
        <w:t>demandante</w:t>
      </w:r>
      <w:r w:rsidRPr="00760E4E">
        <w:rPr>
          <w:rFonts w:ascii="Tahoma" w:eastAsia="Calibri" w:hAnsi="Tahoma" w:cs="Tahoma"/>
          <w:lang w:eastAsia="es-CO"/>
        </w:rPr>
        <w:t xml:space="preserve"> en orden a conocer las condiciones y consecuencias de migración de régimen.</w:t>
      </w:r>
    </w:p>
    <w:p w14:paraId="1021B3AC" w14:textId="77777777" w:rsidR="00862376" w:rsidRPr="00760E4E" w:rsidRDefault="00862376" w:rsidP="00760E4E">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2659FA06" w14:textId="2AF1E274" w:rsidR="00363345" w:rsidRPr="00760E4E" w:rsidRDefault="00C87889" w:rsidP="00760E4E">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760E4E">
        <w:rPr>
          <w:rFonts w:ascii="Tahoma" w:eastAsia="Calibri" w:hAnsi="Tahoma" w:cs="Tahoma"/>
          <w:lang w:eastAsia="es-CO"/>
        </w:rPr>
        <w:t>D</w:t>
      </w:r>
      <w:r w:rsidR="00363345" w:rsidRPr="00760E4E">
        <w:rPr>
          <w:rFonts w:ascii="Tahoma" w:eastAsia="Calibri" w:hAnsi="Tahoma" w:cs="Tahoma"/>
          <w:lang w:eastAsia="es-CO"/>
        </w:rPr>
        <w:t>e conformidad con jurisprudencia de la Sala de Casación Laboral de la Corte Suprema de Justicia, en las precitadas sentencias, según las voces del artículo 1604 del C.C., la prueba de la diligencia y cuidado incumbe al que ha debido emplearlo y, en este tipo de asuntos, corresponde a la administradora de pensiones, a cuyo cargo estaba el deber de suministrar la información suficiente y completa a la afiliada, acerca del impacto del cambio de régimen pensional.</w:t>
      </w:r>
    </w:p>
    <w:p w14:paraId="012D18E7" w14:textId="77777777" w:rsidR="002500F6" w:rsidRPr="00760E4E" w:rsidRDefault="002500F6" w:rsidP="00760E4E">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26BF0DFF" w14:textId="77777777" w:rsidR="002500F6" w:rsidRPr="00760E4E" w:rsidRDefault="002500F6" w:rsidP="00760E4E">
      <w:pPr>
        <w:widowControl w:val="0"/>
        <w:autoSpaceDE w:val="0"/>
        <w:autoSpaceDN w:val="0"/>
        <w:adjustRightInd w:val="0"/>
        <w:spacing w:before="0" w:beforeAutospacing="0" w:after="0" w:afterAutospacing="0" w:line="276" w:lineRule="auto"/>
        <w:ind w:firstLine="708"/>
        <w:rPr>
          <w:rFonts w:ascii="Tahoma" w:eastAsia="Calibri" w:hAnsi="Tahoma" w:cs="Tahoma"/>
          <w:b/>
          <w:bCs/>
          <w:lang w:eastAsia="es-CO"/>
        </w:rPr>
      </w:pPr>
      <w:r w:rsidRPr="00760E4E">
        <w:rPr>
          <w:rFonts w:ascii="Tahoma" w:eastAsia="Calibri" w:hAnsi="Tahoma" w:cs="Tahoma"/>
          <w:lang w:eastAsia="es-CO"/>
        </w:rPr>
        <w:t>Así pues, la negligencia en que eventualmente incurren tales administradoras de pensiones, al no suministrar la información adecuada y precisa al afiliado(a), recaerá en la eficacia del acto, dado que con la omisión o la defectuosa información se ha inducido en error al afectado(a). En curso del proceso la AFP demandada no cumplió con la carga que se le impone, esto es</w:t>
      </w:r>
      <w:r w:rsidRPr="00760E4E">
        <w:rPr>
          <w:rFonts w:ascii="Tahoma" w:eastAsia="Calibri" w:hAnsi="Tahoma" w:cs="Tahoma"/>
          <w:b/>
          <w:bCs/>
          <w:lang w:eastAsia="es-CO"/>
        </w:rPr>
        <w:t>, acreditar haber transmitido a la parte actora la información concreta y cierta, acerca de la implicación del traslado de régimen pensional.</w:t>
      </w:r>
    </w:p>
    <w:p w14:paraId="0A88B6F9" w14:textId="77777777" w:rsidR="002500F6" w:rsidRPr="00760E4E" w:rsidRDefault="002500F6" w:rsidP="00760E4E">
      <w:pPr>
        <w:widowControl w:val="0"/>
        <w:autoSpaceDE w:val="0"/>
        <w:autoSpaceDN w:val="0"/>
        <w:adjustRightInd w:val="0"/>
        <w:spacing w:before="0" w:beforeAutospacing="0" w:after="0" w:afterAutospacing="0" w:line="276" w:lineRule="auto"/>
        <w:ind w:firstLine="284"/>
        <w:rPr>
          <w:rFonts w:ascii="Tahoma" w:eastAsia="Calibri" w:hAnsi="Tahoma" w:cs="Tahoma"/>
          <w:b/>
          <w:bCs/>
          <w:lang w:eastAsia="es-CO"/>
        </w:rPr>
      </w:pPr>
    </w:p>
    <w:p w14:paraId="39E01EF0" w14:textId="7BC3DFD5" w:rsidR="002500F6" w:rsidRPr="00760E4E" w:rsidRDefault="002500F6" w:rsidP="00760E4E">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760E4E">
        <w:rPr>
          <w:rFonts w:ascii="Tahoma" w:eastAsia="Calibri" w:hAnsi="Tahoma" w:cs="Tahoma"/>
          <w:lang w:eastAsia="es-CO"/>
        </w:rPr>
        <w:t xml:space="preserve">En realidad, mínimo la AFP tendría que haber dado la siguiente información: </w:t>
      </w:r>
      <w:r w:rsidRPr="00760E4E">
        <w:rPr>
          <w:rFonts w:ascii="Tahoma" w:eastAsia="Calibri" w:hAnsi="Tahoma" w:cs="Tahoma"/>
          <w:i/>
          <w:iCs/>
          <w:lang w:eastAsia="es-CO"/>
        </w:rPr>
        <w:t xml:space="preserve">i) </w:t>
      </w:r>
      <w:r w:rsidRPr="00760E4E">
        <w:rPr>
          <w:rFonts w:ascii="Tahoma" w:eastAsia="Calibri" w:hAnsi="Tahoma" w:cs="Tahoma"/>
          <w:lang w:eastAsia="es-CO"/>
        </w:rPr>
        <w:t xml:space="preserve">Que, dependiendo del capital, puede pensionarse anticipadamente, esto es, antes de la edad mínima para la pensión de vejez. </w:t>
      </w:r>
      <w:proofErr w:type="spellStart"/>
      <w:r w:rsidRPr="00760E4E">
        <w:rPr>
          <w:rFonts w:ascii="Tahoma" w:eastAsia="Calibri" w:hAnsi="Tahoma" w:cs="Tahoma"/>
          <w:i/>
          <w:iCs/>
          <w:lang w:eastAsia="es-CO"/>
        </w:rPr>
        <w:t>ii</w:t>
      </w:r>
      <w:proofErr w:type="spellEnd"/>
      <w:r w:rsidRPr="00760E4E">
        <w:rPr>
          <w:rFonts w:ascii="Tahoma" w:eastAsia="Calibri" w:hAnsi="Tahoma" w:cs="Tahoma"/>
          <w:i/>
          <w:iCs/>
          <w:lang w:eastAsia="es-CO"/>
        </w:rPr>
        <w:t xml:space="preserve">) </w:t>
      </w:r>
      <w:r w:rsidRPr="00760E4E">
        <w:rPr>
          <w:rFonts w:ascii="Tahoma" w:eastAsia="Calibri" w:hAnsi="Tahoma" w:cs="Tahoma"/>
          <w:lang w:eastAsia="es-CO"/>
        </w:rPr>
        <w:t xml:space="preserve">La posibilidad para sus herederos de hacerse a la devolución de saldos, en caso de que no existieran beneficiaros para la pensión de sobrevivientes. </w:t>
      </w:r>
      <w:proofErr w:type="spellStart"/>
      <w:r w:rsidRPr="00760E4E">
        <w:rPr>
          <w:rFonts w:ascii="Tahoma" w:eastAsia="Calibri" w:hAnsi="Tahoma" w:cs="Tahoma"/>
          <w:i/>
          <w:iCs/>
          <w:lang w:eastAsia="es-CO"/>
        </w:rPr>
        <w:t>iii</w:t>
      </w:r>
      <w:proofErr w:type="spellEnd"/>
      <w:r w:rsidRPr="00760E4E">
        <w:rPr>
          <w:rFonts w:ascii="Tahoma" w:eastAsia="Calibri" w:hAnsi="Tahoma" w:cs="Tahoma"/>
          <w:i/>
          <w:iCs/>
          <w:lang w:eastAsia="es-CO"/>
        </w:rPr>
        <w:t xml:space="preserve">) </w:t>
      </w:r>
      <w:r w:rsidRPr="00760E4E">
        <w:rPr>
          <w:rFonts w:ascii="Tahoma" w:eastAsia="Calibri" w:hAnsi="Tahoma" w:cs="Tahoma"/>
          <w:lang w:eastAsia="es-CO"/>
        </w:rPr>
        <w:t xml:space="preserve">La devolución total del saldo en caso de no alcanzar a reunir el total de los requisitos legales para optar al beneficio pensional. </w:t>
      </w:r>
      <w:proofErr w:type="spellStart"/>
      <w:r w:rsidRPr="00760E4E">
        <w:rPr>
          <w:rFonts w:ascii="Tahoma" w:eastAsia="Calibri" w:hAnsi="Tahoma" w:cs="Tahoma"/>
          <w:i/>
          <w:iCs/>
          <w:lang w:eastAsia="es-CO"/>
        </w:rPr>
        <w:t>iv</w:t>
      </w:r>
      <w:proofErr w:type="spellEnd"/>
      <w:r w:rsidRPr="00760E4E">
        <w:rPr>
          <w:rFonts w:ascii="Tahoma" w:eastAsia="Calibri" w:hAnsi="Tahoma" w:cs="Tahoma"/>
          <w:i/>
          <w:iCs/>
          <w:lang w:eastAsia="es-CO"/>
        </w:rPr>
        <w:t xml:space="preserve">) </w:t>
      </w:r>
      <w:r w:rsidRPr="00760E4E">
        <w:rPr>
          <w:rFonts w:ascii="Tahoma" w:eastAsia="Calibri" w:hAnsi="Tahoma" w:cs="Tahoma"/>
          <w:lang w:eastAsia="es-CO"/>
        </w:rPr>
        <w:t xml:space="preserve">Tener la posibilidad de la pensión de vejez habiendo cotizado el mínimo de semanas requeridas a pesar de no reunir el capital suficiente para el financiamiento de la prestación económica. </w:t>
      </w:r>
      <w:r w:rsidRPr="00760E4E">
        <w:rPr>
          <w:rFonts w:ascii="Tahoma" w:eastAsia="Calibri" w:hAnsi="Tahoma" w:cs="Tahoma"/>
          <w:i/>
          <w:iCs/>
          <w:lang w:eastAsia="es-CO"/>
        </w:rPr>
        <w:t xml:space="preserve">v) </w:t>
      </w:r>
      <w:r w:rsidRPr="00760E4E">
        <w:rPr>
          <w:rFonts w:ascii="Tahoma" w:eastAsia="Calibri" w:hAnsi="Tahoma" w:cs="Tahoma"/>
          <w:lang w:eastAsia="es-CO"/>
        </w:rPr>
        <w:t xml:space="preserve">La posibilidad de que el reconocimiento de la pensión de vejez, una vez reunido los requisitos, se haga pronto. </w:t>
      </w:r>
      <w:r w:rsidRPr="00760E4E">
        <w:rPr>
          <w:rFonts w:ascii="Tahoma" w:eastAsia="Calibri" w:hAnsi="Tahoma" w:cs="Tahoma"/>
          <w:i/>
          <w:iCs/>
          <w:lang w:eastAsia="es-CO"/>
        </w:rPr>
        <w:t xml:space="preserve">vi) </w:t>
      </w:r>
      <w:r w:rsidRPr="00760E4E">
        <w:rPr>
          <w:rFonts w:ascii="Tahoma" w:eastAsia="Calibri" w:hAnsi="Tahoma" w:cs="Tahoma"/>
          <w:lang w:eastAsia="es-CO"/>
        </w:rPr>
        <w:t xml:space="preserve">La posibilidad de que sus aportes se conviertan en patrimonio </w:t>
      </w:r>
      <w:proofErr w:type="spellStart"/>
      <w:r w:rsidRPr="00760E4E">
        <w:rPr>
          <w:rFonts w:ascii="Tahoma" w:eastAsia="Calibri" w:hAnsi="Tahoma" w:cs="Tahoma"/>
          <w:lang w:eastAsia="es-CO"/>
        </w:rPr>
        <w:t>sucesoral</w:t>
      </w:r>
      <w:proofErr w:type="spellEnd"/>
      <w:r w:rsidRPr="00760E4E">
        <w:rPr>
          <w:rFonts w:ascii="Tahoma" w:eastAsia="Calibri" w:hAnsi="Tahoma" w:cs="Tahoma"/>
          <w:lang w:eastAsia="es-CO"/>
        </w:rPr>
        <w:t xml:space="preserve"> en un caso dado. </w:t>
      </w:r>
      <w:proofErr w:type="spellStart"/>
      <w:r w:rsidRPr="00760E4E">
        <w:rPr>
          <w:rFonts w:ascii="Tahoma" w:eastAsia="Calibri" w:hAnsi="Tahoma" w:cs="Tahoma"/>
          <w:i/>
          <w:iCs/>
          <w:lang w:eastAsia="es-CO"/>
        </w:rPr>
        <w:t>vii</w:t>
      </w:r>
      <w:proofErr w:type="spellEnd"/>
      <w:r w:rsidRPr="00760E4E">
        <w:rPr>
          <w:rFonts w:ascii="Tahoma" w:eastAsia="Calibri" w:hAnsi="Tahoma" w:cs="Tahoma"/>
          <w:i/>
          <w:iCs/>
          <w:lang w:eastAsia="es-CO"/>
        </w:rPr>
        <w:t xml:space="preserve">) </w:t>
      </w:r>
      <w:r w:rsidRPr="00760E4E">
        <w:rPr>
          <w:rFonts w:ascii="Tahoma" w:eastAsia="Calibri" w:hAnsi="Tahoma" w:cs="Tahoma"/>
          <w:lang w:eastAsia="es-CO"/>
        </w:rPr>
        <w:t xml:space="preserve">El hecho de que el afiliado es el único titular de la cuenta de ahorro individual en contraste con el fondo público cuyos ahorros hacen parte de un fondo común. </w:t>
      </w:r>
      <w:proofErr w:type="spellStart"/>
      <w:r w:rsidRPr="00760E4E">
        <w:rPr>
          <w:rFonts w:ascii="Tahoma" w:eastAsia="Calibri" w:hAnsi="Tahoma" w:cs="Tahoma"/>
          <w:i/>
          <w:iCs/>
          <w:lang w:eastAsia="es-CO"/>
        </w:rPr>
        <w:t>viii</w:t>
      </w:r>
      <w:proofErr w:type="spellEnd"/>
      <w:r w:rsidRPr="00760E4E">
        <w:rPr>
          <w:rFonts w:ascii="Tahoma" w:eastAsia="Calibri" w:hAnsi="Tahoma" w:cs="Tahoma"/>
          <w:i/>
          <w:iCs/>
          <w:lang w:eastAsia="es-CO"/>
        </w:rPr>
        <w:t xml:space="preserve">) </w:t>
      </w:r>
      <w:r w:rsidRPr="00760E4E">
        <w:rPr>
          <w:rFonts w:ascii="Tahoma" w:eastAsia="Calibri" w:hAnsi="Tahoma" w:cs="Tahoma"/>
          <w:lang w:eastAsia="es-CO"/>
        </w:rPr>
        <w:t xml:space="preserve">Los rendimientos financieros que le generen sus aportes abonados sobre el saldo de su cuenta de ahorro individual; y, </w:t>
      </w:r>
      <w:proofErr w:type="spellStart"/>
      <w:r w:rsidRPr="00760E4E">
        <w:rPr>
          <w:rFonts w:ascii="Tahoma" w:eastAsia="Calibri" w:hAnsi="Tahoma" w:cs="Tahoma"/>
          <w:i/>
          <w:iCs/>
          <w:lang w:eastAsia="es-CO"/>
        </w:rPr>
        <w:t>ix</w:t>
      </w:r>
      <w:proofErr w:type="spellEnd"/>
      <w:r w:rsidRPr="00760E4E">
        <w:rPr>
          <w:rFonts w:ascii="Tahoma" w:eastAsia="Calibri" w:hAnsi="Tahoma" w:cs="Tahoma"/>
          <w:i/>
          <w:iCs/>
          <w:lang w:eastAsia="es-CO"/>
        </w:rPr>
        <w:t xml:space="preserve">) </w:t>
      </w:r>
      <w:r w:rsidRPr="00760E4E">
        <w:rPr>
          <w:rFonts w:ascii="Tahoma" w:eastAsia="Calibri" w:hAnsi="Tahoma" w:cs="Tahoma"/>
          <w:lang w:eastAsia="es-CO"/>
        </w:rPr>
        <w:t xml:space="preserve">La posibilidad de seleccionar entre variadas modalidades de pensión, cuya ilustración resultaba vital, pues debió advertírsele en qué consistía cada una, así: La modalidad de renta vitalicia inmediata, la cual le quita la posibilidad de que los saldos de su cuenta de ahorro individual se conviertan en masa </w:t>
      </w:r>
      <w:proofErr w:type="spellStart"/>
      <w:r w:rsidRPr="00760E4E">
        <w:rPr>
          <w:rFonts w:ascii="Tahoma" w:eastAsia="Calibri" w:hAnsi="Tahoma" w:cs="Tahoma"/>
          <w:lang w:eastAsia="es-CO"/>
        </w:rPr>
        <w:t>sucesoral</w:t>
      </w:r>
      <w:proofErr w:type="spellEnd"/>
      <w:r w:rsidRPr="00760E4E">
        <w:rPr>
          <w:rFonts w:ascii="Tahoma" w:eastAsia="Calibri" w:hAnsi="Tahoma" w:cs="Tahoma"/>
          <w:lang w:eastAsia="es-CO"/>
        </w:rPr>
        <w:t xml:space="preserve">, pero le garantiza una pensión de por vida. La modalidad de </w:t>
      </w:r>
      <w:r w:rsidRPr="00760E4E">
        <w:rPr>
          <w:rFonts w:ascii="Tahoma" w:eastAsia="Calibri" w:hAnsi="Tahoma" w:cs="Tahoma"/>
          <w:i/>
          <w:iCs/>
          <w:lang w:eastAsia="es-CO"/>
        </w:rPr>
        <w:t>retiro programado</w:t>
      </w:r>
      <w:r w:rsidRPr="00760E4E">
        <w:rPr>
          <w:rFonts w:ascii="Tahoma" w:eastAsia="Calibri" w:hAnsi="Tahoma" w:cs="Tahoma"/>
          <w:lang w:eastAsia="es-CO"/>
        </w:rPr>
        <w:t xml:space="preserve"> la cual tiene la desventaja de que una vez se termine el saldo en la cuenta de ahorro individual, si supera la expectativa de vida tenida en cuenta por la AFP, se queda sin pensión de vejez durante los años posteriores. La modalidad de retiro programado con renta vitalicia, que combina las dos anteriores.</w:t>
      </w:r>
    </w:p>
    <w:p w14:paraId="246EF94C" w14:textId="77777777" w:rsidR="002500F6" w:rsidRPr="00760E4E" w:rsidRDefault="002500F6" w:rsidP="00760E4E">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1EBE0B4A" w14:textId="7CDF765F" w:rsidR="002500F6" w:rsidRPr="00760E4E" w:rsidRDefault="002500F6" w:rsidP="00760E4E">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760E4E">
        <w:rPr>
          <w:rFonts w:ascii="Tahoma" w:eastAsia="Calibri" w:hAnsi="Tahoma" w:cs="Tahoma"/>
          <w:lang w:eastAsia="es-CO"/>
        </w:rPr>
        <w:lastRenderedPageBreak/>
        <w:t xml:space="preserve">Las AFP convocadas al proceso </w:t>
      </w:r>
      <w:r w:rsidRPr="00760E4E">
        <w:rPr>
          <w:rFonts w:ascii="Tahoma" w:eastAsia="Calibri" w:hAnsi="Tahoma" w:cs="Tahoma"/>
          <w:color w:val="000000" w:themeColor="text1"/>
          <w:lang w:eastAsia="es-CO"/>
        </w:rPr>
        <w:t>afirman en su contestación de la demanda que brind</w:t>
      </w:r>
      <w:r w:rsidR="001424D0" w:rsidRPr="00760E4E">
        <w:rPr>
          <w:rFonts w:ascii="Tahoma" w:eastAsia="Calibri" w:hAnsi="Tahoma" w:cs="Tahoma"/>
          <w:color w:val="000000" w:themeColor="text1"/>
          <w:lang w:eastAsia="es-CO"/>
        </w:rPr>
        <w:t>aron</w:t>
      </w:r>
      <w:r w:rsidRPr="00760E4E">
        <w:rPr>
          <w:rFonts w:ascii="Tahoma" w:eastAsia="Calibri" w:hAnsi="Tahoma" w:cs="Tahoma"/>
          <w:color w:val="000000" w:themeColor="text1"/>
          <w:lang w:eastAsia="es-CO"/>
        </w:rPr>
        <w:t xml:space="preserve"> la </w:t>
      </w:r>
      <w:r w:rsidRPr="00760E4E">
        <w:rPr>
          <w:rFonts w:ascii="Tahoma" w:eastAsia="Calibri" w:hAnsi="Tahoma" w:cs="Tahoma"/>
          <w:lang w:eastAsia="es-CO"/>
        </w:rPr>
        <w:t xml:space="preserve">información </w:t>
      </w:r>
      <w:r w:rsidR="001424D0" w:rsidRPr="00760E4E">
        <w:rPr>
          <w:rFonts w:ascii="Tahoma" w:eastAsia="Calibri" w:hAnsi="Tahoma" w:cs="Tahoma"/>
          <w:lang w:eastAsia="es-CO"/>
        </w:rPr>
        <w:t>completa, clara</w:t>
      </w:r>
      <w:r w:rsidRPr="00760E4E">
        <w:rPr>
          <w:rFonts w:ascii="Tahoma" w:eastAsia="Calibri" w:hAnsi="Tahoma" w:cs="Tahoma"/>
          <w:lang w:eastAsia="es-CO"/>
        </w:rPr>
        <w:t xml:space="preserve"> y veraz que para la época era jurídicamente pertinente a la parte demandante sin que se precise en qué consistió tal cosa. Ello sería suficiente para concluir, que efectivamente la información que recibió la parte actora fue insuficiente y sesgada al momento de hacer el traslado, pues como se vio en el precedente jurisprudencial, para la fecha de la creación de las AFP existían normas en el código civil y en el estatuto financiero que obligaban a los fondos a brindar una asesoría adecuada de cara a lo que consistían el nuevo régimen de ahorro individual con solidaridad por lo menos en los puntos que se acaban de esbozar. </w:t>
      </w:r>
    </w:p>
    <w:p w14:paraId="64D97EE9" w14:textId="77777777" w:rsidR="00363345" w:rsidRPr="00760E4E" w:rsidRDefault="00363345" w:rsidP="00760E4E">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688D2A7D" w14:textId="689B80CE" w:rsidR="00363345" w:rsidRPr="00760E4E" w:rsidRDefault="002500F6" w:rsidP="00760E4E">
      <w:pPr>
        <w:widowControl w:val="0"/>
        <w:autoSpaceDE w:val="0"/>
        <w:autoSpaceDN w:val="0"/>
        <w:adjustRightInd w:val="0"/>
        <w:spacing w:before="0" w:beforeAutospacing="0" w:after="0" w:afterAutospacing="0" w:line="276" w:lineRule="auto"/>
        <w:ind w:firstLine="708"/>
        <w:rPr>
          <w:rFonts w:ascii="Tahoma" w:eastAsia="Tahoma" w:hAnsi="Tahoma" w:cs="Tahoma"/>
          <w:color w:val="000000" w:themeColor="text1"/>
          <w:lang w:val="es-ES"/>
        </w:rPr>
      </w:pPr>
      <w:r w:rsidRPr="00760E4E">
        <w:rPr>
          <w:rFonts w:ascii="Tahoma" w:eastAsia="Calibri" w:hAnsi="Tahoma" w:cs="Tahoma"/>
          <w:lang w:eastAsia="es-CO"/>
        </w:rPr>
        <w:t>Ahora, lo cierto es que</w:t>
      </w:r>
      <w:r w:rsidR="00363345" w:rsidRPr="00760E4E">
        <w:rPr>
          <w:rFonts w:ascii="Tahoma" w:eastAsia="Calibri" w:hAnsi="Tahoma" w:cs="Tahoma"/>
          <w:lang w:eastAsia="es-CO"/>
        </w:rPr>
        <w:t xml:space="preserve"> P</w:t>
      </w:r>
      <w:r w:rsidR="00743CF9" w:rsidRPr="00760E4E">
        <w:rPr>
          <w:rFonts w:ascii="Tahoma" w:eastAsia="Calibri" w:hAnsi="Tahoma" w:cs="Tahoma"/>
          <w:lang w:eastAsia="es-CO"/>
        </w:rPr>
        <w:t xml:space="preserve">orvenir </w:t>
      </w:r>
      <w:r w:rsidR="009C239E" w:rsidRPr="00760E4E">
        <w:rPr>
          <w:rFonts w:ascii="Tahoma" w:eastAsia="Calibri" w:hAnsi="Tahoma" w:cs="Tahoma"/>
          <w:lang w:eastAsia="es-CO"/>
        </w:rPr>
        <w:t>S.A.</w:t>
      </w:r>
      <w:r w:rsidR="00785377" w:rsidRPr="00760E4E">
        <w:rPr>
          <w:rFonts w:ascii="Tahoma" w:eastAsia="Calibri" w:hAnsi="Tahoma" w:cs="Tahoma"/>
          <w:lang w:eastAsia="es-CO"/>
        </w:rPr>
        <w:t xml:space="preserve"> </w:t>
      </w:r>
      <w:r w:rsidR="00C87889" w:rsidRPr="00760E4E">
        <w:rPr>
          <w:rFonts w:ascii="Tahoma" w:eastAsia="Calibri" w:hAnsi="Tahoma" w:cs="Tahoma"/>
          <w:iCs/>
          <w:lang w:eastAsia="es-CO"/>
        </w:rPr>
        <w:t>-</w:t>
      </w:r>
      <w:r w:rsidR="001424D0" w:rsidRPr="00760E4E">
        <w:rPr>
          <w:rFonts w:ascii="Tahoma" w:eastAsia="Calibri" w:hAnsi="Tahoma" w:cs="Tahoma"/>
          <w:iCs/>
          <w:lang w:eastAsia="es-CO"/>
        </w:rPr>
        <w:t xml:space="preserve">Colfondos </w:t>
      </w:r>
      <w:r w:rsidR="00C87889" w:rsidRPr="00760E4E">
        <w:rPr>
          <w:rFonts w:ascii="Tahoma" w:eastAsia="Calibri" w:hAnsi="Tahoma" w:cs="Tahoma"/>
          <w:iCs/>
          <w:lang w:eastAsia="es-CO"/>
        </w:rPr>
        <w:t xml:space="preserve">S.A </w:t>
      </w:r>
      <w:r w:rsidR="001424D0" w:rsidRPr="00760E4E">
        <w:rPr>
          <w:rFonts w:ascii="Tahoma" w:eastAsia="Calibri" w:hAnsi="Tahoma" w:cs="Tahoma"/>
          <w:iCs/>
          <w:lang w:eastAsia="es-CO"/>
        </w:rPr>
        <w:t>desistió del interrogatorio de parte</w:t>
      </w:r>
      <w:r w:rsidR="00C87889" w:rsidRPr="00760E4E">
        <w:rPr>
          <w:rFonts w:ascii="Tahoma" w:eastAsia="Calibri" w:hAnsi="Tahoma" w:cs="Tahoma"/>
          <w:iCs/>
          <w:lang w:eastAsia="es-CO"/>
        </w:rPr>
        <w:t>-</w:t>
      </w:r>
      <w:r w:rsidR="009C239E" w:rsidRPr="00760E4E">
        <w:rPr>
          <w:rFonts w:ascii="Tahoma" w:eastAsia="Calibri" w:hAnsi="Tahoma" w:cs="Tahoma"/>
          <w:lang w:eastAsia="es-CO"/>
        </w:rPr>
        <w:t>,</w:t>
      </w:r>
      <w:r w:rsidR="00363345" w:rsidRPr="00760E4E">
        <w:rPr>
          <w:rFonts w:ascii="Tahoma" w:eastAsia="Calibri" w:hAnsi="Tahoma" w:cs="Tahoma"/>
          <w:lang w:eastAsia="es-CO"/>
        </w:rPr>
        <w:t xml:space="preserve"> como </w:t>
      </w:r>
      <w:r w:rsidR="00363345" w:rsidRPr="00760E4E">
        <w:rPr>
          <w:rFonts w:ascii="Tahoma" w:eastAsia="Calibri" w:hAnsi="Tahoma" w:cs="Tahoma"/>
          <w:lang w:val="es-ES" w:eastAsia="es-CO"/>
        </w:rPr>
        <w:t>prueba del cumplimiento del deber de información, llam</w:t>
      </w:r>
      <w:r w:rsidR="000F52FD" w:rsidRPr="00760E4E">
        <w:rPr>
          <w:rFonts w:ascii="Tahoma" w:eastAsia="Calibri" w:hAnsi="Tahoma" w:cs="Tahoma"/>
          <w:lang w:val="es-ES" w:eastAsia="es-CO"/>
        </w:rPr>
        <w:t xml:space="preserve">ó </w:t>
      </w:r>
      <w:r w:rsidR="00363345" w:rsidRPr="00760E4E">
        <w:rPr>
          <w:rFonts w:ascii="Tahoma" w:eastAsia="Calibri" w:hAnsi="Tahoma" w:cs="Tahoma"/>
          <w:lang w:val="es-ES" w:eastAsia="es-CO"/>
        </w:rPr>
        <w:t xml:space="preserve"> a declarar a su contraparte procesal, con el fin de demostrar </w:t>
      </w:r>
      <w:r w:rsidR="00363345" w:rsidRPr="00760E4E">
        <w:rPr>
          <w:rFonts w:ascii="Tahoma" w:eastAsia="Calibri" w:hAnsi="Tahoma" w:cs="Tahoma"/>
          <w:lang w:eastAsia="es-CO"/>
        </w:rPr>
        <w:t>que le brind</w:t>
      </w:r>
      <w:r w:rsidR="000F52FD" w:rsidRPr="00760E4E">
        <w:rPr>
          <w:rFonts w:ascii="Tahoma" w:eastAsia="Calibri" w:hAnsi="Tahoma" w:cs="Tahoma"/>
          <w:lang w:eastAsia="es-CO"/>
        </w:rPr>
        <w:t>ó</w:t>
      </w:r>
      <w:r w:rsidR="00363345" w:rsidRPr="00760E4E">
        <w:rPr>
          <w:rFonts w:ascii="Tahoma" w:eastAsia="Calibri" w:hAnsi="Tahoma" w:cs="Tahoma"/>
          <w:lang w:eastAsia="es-CO"/>
        </w:rPr>
        <w:t xml:space="preserve"> la información seria y veraz que, para la época, era jurídicamente pertinente</w:t>
      </w:r>
      <w:r w:rsidR="00C87889" w:rsidRPr="00760E4E">
        <w:rPr>
          <w:rFonts w:ascii="Tahoma" w:eastAsia="Calibri" w:hAnsi="Tahoma" w:cs="Tahoma"/>
          <w:lang w:eastAsia="es-CO"/>
        </w:rPr>
        <w:t>, sin embargo</w:t>
      </w:r>
      <w:r w:rsidR="00363345" w:rsidRPr="00760E4E">
        <w:rPr>
          <w:rFonts w:ascii="Tahoma" w:eastAsia="Calibri" w:hAnsi="Tahoma" w:cs="Tahoma"/>
          <w:lang w:eastAsia="es-CO"/>
        </w:rPr>
        <w:t xml:space="preserve">, una vez rendido el interrogatorio de parte, no se </w:t>
      </w:r>
      <w:r w:rsidR="00363345" w:rsidRPr="00760E4E">
        <w:rPr>
          <w:rFonts w:ascii="Tahoma" w:eastAsia="Tahoma" w:hAnsi="Tahoma" w:cs="Tahoma"/>
          <w:color w:val="000000" w:themeColor="text1"/>
          <w:lang w:val="es-ES"/>
        </w:rPr>
        <w:t>logró desvirtuar la poca información recibida por la promotora de la litis,</w:t>
      </w:r>
      <w:r w:rsidR="00C87889" w:rsidRPr="00760E4E">
        <w:rPr>
          <w:rFonts w:ascii="Tahoma" w:eastAsia="Tahoma" w:hAnsi="Tahoma" w:cs="Tahoma"/>
          <w:color w:val="000000" w:themeColor="text1"/>
          <w:lang w:val="es-ES"/>
        </w:rPr>
        <w:t xml:space="preserve"> puesto que únicamente indicó la actora que el traslado se dio en la oficina de recursos humanos de la entidad en la que laboraba y que allí, con asistencia de un asesor de la AFP, </w:t>
      </w:r>
      <w:r w:rsidR="00743CF9" w:rsidRPr="00760E4E">
        <w:rPr>
          <w:rFonts w:ascii="Tahoma" w:eastAsia="Tahoma" w:hAnsi="Tahoma" w:cs="Tahoma"/>
          <w:color w:val="000000" w:themeColor="text1"/>
          <w:lang w:val="es-ES"/>
        </w:rPr>
        <w:t>se</w:t>
      </w:r>
      <w:r w:rsidR="00363345" w:rsidRPr="00760E4E">
        <w:rPr>
          <w:rFonts w:ascii="Tahoma" w:eastAsia="Tahoma" w:hAnsi="Tahoma" w:cs="Tahoma"/>
          <w:color w:val="000000" w:themeColor="text1"/>
          <w:lang w:val="es-ES"/>
        </w:rPr>
        <w:t xml:space="preserve"> le aseguró</w:t>
      </w:r>
      <w:r w:rsidR="00785377" w:rsidRPr="00760E4E">
        <w:rPr>
          <w:rFonts w:ascii="Tahoma" w:eastAsia="Tahoma" w:hAnsi="Tahoma" w:cs="Tahoma"/>
          <w:color w:val="000000" w:themeColor="text1"/>
          <w:lang w:val="es-ES"/>
        </w:rPr>
        <w:t xml:space="preserve"> </w:t>
      </w:r>
      <w:r w:rsidR="00363345" w:rsidRPr="00760E4E">
        <w:rPr>
          <w:rFonts w:ascii="Tahoma" w:eastAsia="Tahoma" w:hAnsi="Tahoma" w:cs="Tahoma"/>
          <w:color w:val="000000" w:themeColor="text1"/>
          <w:lang w:val="es-ES"/>
        </w:rPr>
        <w:t xml:space="preserve">que </w:t>
      </w:r>
      <w:proofErr w:type="spellStart"/>
      <w:r w:rsidR="00C87889" w:rsidRPr="00760E4E">
        <w:rPr>
          <w:rFonts w:ascii="Tahoma" w:eastAsia="Tahoma" w:hAnsi="Tahoma" w:cs="Tahoma"/>
          <w:color w:val="000000" w:themeColor="text1"/>
          <w:lang w:val="es-ES"/>
        </w:rPr>
        <w:t>Cajanal</w:t>
      </w:r>
      <w:proofErr w:type="spellEnd"/>
      <w:r w:rsidR="00363345" w:rsidRPr="00760E4E">
        <w:rPr>
          <w:rFonts w:ascii="Tahoma" w:eastAsia="Tahoma" w:hAnsi="Tahoma" w:cs="Tahoma"/>
          <w:color w:val="000000" w:themeColor="text1"/>
          <w:lang w:val="es-ES"/>
        </w:rPr>
        <w:t xml:space="preserve"> se iba acabar</w:t>
      </w:r>
      <w:r w:rsidR="00785377" w:rsidRPr="00760E4E">
        <w:rPr>
          <w:rFonts w:ascii="Tahoma" w:eastAsia="Tahoma" w:hAnsi="Tahoma" w:cs="Tahoma"/>
          <w:color w:val="000000" w:themeColor="text1"/>
          <w:lang w:val="es-ES"/>
        </w:rPr>
        <w:t xml:space="preserve"> y </w:t>
      </w:r>
      <w:r w:rsidR="00C87889" w:rsidRPr="00760E4E">
        <w:rPr>
          <w:rFonts w:ascii="Tahoma" w:eastAsia="Tahoma" w:hAnsi="Tahoma" w:cs="Tahoma"/>
          <w:color w:val="000000" w:themeColor="text1"/>
          <w:lang w:val="es-ES"/>
        </w:rPr>
        <w:t>por ende debía trasladarse a un fondo para seguir laborando</w:t>
      </w:r>
      <w:r w:rsidR="00363345" w:rsidRPr="00760E4E">
        <w:rPr>
          <w:rFonts w:ascii="Tahoma" w:eastAsia="Tahoma" w:hAnsi="Tahoma" w:cs="Tahoma"/>
          <w:color w:val="000000" w:themeColor="text1"/>
          <w:lang w:val="es-ES"/>
        </w:rPr>
        <w:t>.</w:t>
      </w:r>
      <w:r w:rsidR="00743CF9" w:rsidRPr="00760E4E">
        <w:rPr>
          <w:rFonts w:ascii="Tahoma" w:eastAsia="Tahoma" w:hAnsi="Tahoma" w:cs="Tahoma"/>
          <w:color w:val="000000" w:themeColor="text1"/>
          <w:lang w:val="es-ES"/>
        </w:rPr>
        <w:t xml:space="preserve"> </w:t>
      </w:r>
      <w:r w:rsidR="009C239E" w:rsidRPr="00760E4E">
        <w:rPr>
          <w:rFonts w:ascii="Tahoma" w:eastAsia="Tahoma" w:hAnsi="Tahoma" w:cs="Tahoma"/>
          <w:color w:val="000000" w:themeColor="text1"/>
          <w:lang w:val="es-ES"/>
        </w:rPr>
        <w:t>S</w:t>
      </w:r>
      <w:r w:rsidR="00363345" w:rsidRPr="00760E4E">
        <w:rPr>
          <w:rFonts w:ascii="Tahoma" w:eastAsia="Tahoma" w:hAnsi="Tahoma" w:cs="Tahoma"/>
          <w:color w:val="000000" w:themeColor="text1"/>
          <w:lang w:val="es-ES"/>
        </w:rPr>
        <w:t xml:space="preserve">i bien añadió que la decisión de </w:t>
      </w:r>
      <w:r w:rsidR="00B6320C" w:rsidRPr="00760E4E">
        <w:rPr>
          <w:rFonts w:ascii="Tahoma" w:eastAsia="Tahoma" w:hAnsi="Tahoma" w:cs="Tahoma"/>
          <w:color w:val="000000" w:themeColor="text1"/>
          <w:lang w:val="es-ES"/>
        </w:rPr>
        <w:t>retornar a Colpensiones</w:t>
      </w:r>
      <w:r w:rsidR="00363345" w:rsidRPr="00760E4E">
        <w:rPr>
          <w:rFonts w:ascii="Tahoma" w:eastAsia="Tahoma" w:hAnsi="Tahoma" w:cs="Tahoma"/>
          <w:color w:val="000000" w:themeColor="text1"/>
          <w:lang w:val="es-ES"/>
        </w:rPr>
        <w:t xml:space="preserve"> se funda en e</w:t>
      </w:r>
      <w:r w:rsidR="003C3FE0" w:rsidRPr="00760E4E">
        <w:rPr>
          <w:rFonts w:ascii="Tahoma" w:eastAsia="Tahoma" w:hAnsi="Tahoma" w:cs="Tahoma"/>
          <w:color w:val="000000" w:themeColor="text1"/>
          <w:lang w:val="es-ES"/>
        </w:rPr>
        <w:t>l bajo</w:t>
      </w:r>
      <w:r w:rsidR="00363345" w:rsidRPr="00760E4E">
        <w:rPr>
          <w:rFonts w:ascii="Tahoma" w:eastAsia="Tahoma" w:hAnsi="Tahoma" w:cs="Tahoma"/>
          <w:color w:val="000000" w:themeColor="text1"/>
          <w:lang w:val="es-ES"/>
        </w:rPr>
        <w:t xml:space="preserve"> monto de la mesada pensional que percibiría en el RAIS, esto de ningún modo desvía el origen de la litis, esto es, verificar si al momento del traslado efectivo l</w:t>
      </w:r>
      <w:r w:rsidR="00785377" w:rsidRPr="00760E4E">
        <w:rPr>
          <w:rFonts w:ascii="Tahoma" w:eastAsia="Tahoma" w:hAnsi="Tahoma" w:cs="Tahoma"/>
          <w:color w:val="000000" w:themeColor="text1"/>
          <w:lang w:val="es-ES"/>
        </w:rPr>
        <w:t>a</w:t>
      </w:r>
      <w:r w:rsidR="00363345" w:rsidRPr="00760E4E">
        <w:rPr>
          <w:rFonts w:ascii="Tahoma" w:eastAsia="Tahoma" w:hAnsi="Tahoma" w:cs="Tahoma"/>
          <w:color w:val="000000" w:themeColor="text1"/>
          <w:lang w:val="es-ES"/>
        </w:rPr>
        <w:t xml:space="preserve"> afiliad</w:t>
      </w:r>
      <w:r w:rsidR="00785377" w:rsidRPr="00760E4E">
        <w:rPr>
          <w:rFonts w:ascii="Tahoma" w:eastAsia="Tahoma" w:hAnsi="Tahoma" w:cs="Tahoma"/>
          <w:color w:val="000000" w:themeColor="text1"/>
          <w:lang w:val="es-ES"/>
        </w:rPr>
        <w:t>a</w:t>
      </w:r>
      <w:r w:rsidR="00363345" w:rsidRPr="00760E4E">
        <w:rPr>
          <w:rFonts w:ascii="Tahoma" w:eastAsia="Tahoma" w:hAnsi="Tahoma" w:cs="Tahoma"/>
          <w:color w:val="000000" w:themeColor="text1"/>
          <w:lang w:val="es-ES"/>
        </w:rPr>
        <w:t xml:space="preserve"> accedió a una información clara y precisa sobre las ventajas, desventajas y riesgos de cada régimen en los términos explicados.</w:t>
      </w:r>
    </w:p>
    <w:p w14:paraId="11ED62F5" w14:textId="5AFA0CF3" w:rsidR="009C239E" w:rsidRPr="00760E4E" w:rsidRDefault="009C239E" w:rsidP="00760E4E">
      <w:pPr>
        <w:widowControl w:val="0"/>
        <w:autoSpaceDE w:val="0"/>
        <w:autoSpaceDN w:val="0"/>
        <w:adjustRightInd w:val="0"/>
        <w:spacing w:before="0" w:beforeAutospacing="0" w:after="0" w:afterAutospacing="0" w:line="276" w:lineRule="auto"/>
        <w:ind w:firstLine="708"/>
        <w:rPr>
          <w:rFonts w:ascii="Tahoma" w:eastAsia="Tahoma" w:hAnsi="Tahoma" w:cs="Tahoma"/>
          <w:color w:val="000000" w:themeColor="text1"/>
          <w:lang w:val="es-ES"/>
        </w:rPr>
      </w:pPr>
    </w:p>
    <w:p w14:paraId="0AA3F35A" w14:textId="70CC993F" w:rsidR="00363345" w:rsidRPr="00760E4E" w:rsidRDefault="00743CF9" w:rsidP="00760E4E">
      <w:pPr>
        <w:widowControl w:val="0"/>
        <w:autoSpaceDE w:val="0"/>
        <w:autoSpaceDN w:val="0"/>
        <w:adjustRightInd w:val="0"/>
        <w:spacing w:before="0" w:beforeAutospacing="0" w:after="0" w:afterAutospacing="0" w:line="276" w:lineRule="auto"/>
        <w:ind w:firstLine="708"/>
        <w:rPr>
          <w:rFonts w:ascii="Tahoma" w:eastAsia="Tahoma" w:hAnsi="Tahoma" w:cs="Tahoma"/>
          <w:color w:val="000000" w:themeColor="text1"/>
          <w:lang w:val="es-ES"/>
        </w:rPr>
      </w:pPr>
      <w:r w:rsidRPr="00760E4E">
        <w:rPr>
          <w:rFonts w:ascii="Tahoma" w:eastAsia="Tahoma" w:hAnsi="Tahoma" w:cs="Tahoma"/>
          <w:color w:val="000000" w:themeColor="text1"/>
          <w:lang w:val="es-ES"/>
        </w:rPr>
        <w:t xml:space="preserve">Cabe recalcar que </w:t>
      </w:r>
      <w:r w:rsidR="00785377" w:rsidRPr="00760E4E">
        <w:rPr>
          <w:rFonts w:ascii="Tahoma" w:eastAsia="Tahoma" w:hAnsi="Tahoma" w:cs="Tahoma"/>
          <w:color w:val="000000" w:themeColor="text1"/>
          <w:lang w:val="es-ES"/>
        </w:rPr>
        <w:t>la</w:t>
      </w:r>
      <w:r w:rsidRPr="00760E4E">
        <w:rPr>
          <w:rFonts w:ascii="Tahoma" w:eastAsia="Tahoma" w:hAnsi="Tahoma" w:cs="Tahoma"/>
          <w:color w:val="000000" w:themeColor="text1"/>
          <w:lang w:val="es-ES"/>
        </w:rPr>
        <w:t xml:space="preserve"> demandante </w:t>
      </w:r>
      <w:r w:rsidR="00363345" w:rsidRPr="00760E4E">
        <w:rPr>
          <w:rFonts w:ascii="Tahoma" w:eastAsia="Tahoma" w:hAnsi="Tahoma" w:cs="Tahoma"/>
          <w:color w:val="000000" w:themeColor="text1"/>
          <w:lang w:val="es-ES"/>
        </w:rPr>
        <w:t>jamás confesó que se le hubiere brindado una explicación pormenorizada e individualizada de los pros y contras de su determinación</w:t>
      </w:r>
      <w:r w:rsidR="00FC331B" w:rsidRPr="00760E4E">
        <w:rPr>
          <w:rFonts w:ascii="Tahoma" w:eastAsia="Tahoma" w:hAnsi="Tahoma" w:cs="Tahoma"/>
          <w:color w:val="000000" w:themeColor="text1"/>
          <w:lang w:val="es-ES"/>
        </w:rPr>
        <w:t xml:space="preserve"> de cambiar de régimen</w:t>
      </w:r>
      <w:r w:rsidR="00363345" w:rsidRPr="00760E4E">
        <w:rPr>
          <w:rFonts w:ascii="Tahoma" w:eastAsia="Tahoma" w:hAnsi="Tahoma" w:cs="Tahoma"/>
          <w:color w:val="000000" w:themeColor="text1"/>
          <w:lang w:val="es-ES"/>
        </w:rPr>
        <w:t xml:space="preserve"> o de las características entre uno u otro régimen, </w:t>
      </w:r>
      <w:r w:rsidR="002500F6" w:rsidRPr="00760E4E">
        <w:rPr>
          <w:rFonts w:ascii="Tahoma" w:eastAsia="Tahoma" w:hAnsi="Tahoma" w:cs="Tahoma"/>
          <w:color w:val="000000" w:themeColor="text1"/>
          <w:lang w:val="es-ES"/>
        </w:rPr>
        <w:t>y,</w:t>
      </w:r>
      <w:r w:rsidR="00363345" w:rsidRPr="00760E4E">
        <w:rPr>
          <w:rFonts w:ascii="Tahoma" w:eastAsia="Tahoma" w:hAnsi="Tahoma" w:cs="Tahoma"/>
          <w:color w:val="000000" w:themeColor="text1"/>
          <w:lang w:val="es-ES"/>
        </w:rPr>
        <w:t xml:space="preserve"> </w:t>
      </w:r>
      <w:r w:rsidR="002500F6" w:rsidRPr="00760E4E">
        <w:rPr>
          <w:rFonts w:ascii="Tahoma" w:eastAsia="Tahoma" w:hAnsi="Tahoma" w:cs="Tahoma"/>
          <w:color w:val="000000" w:themeColor="text1"/>
          <w:lang w:val="es-ES"/>
        </w:rPr>
        <w:t>la documental aportada</w:t>
      </w:r>
      <w:r w:rsidR="00363345" w:rsidRPr="00760E4E">
        <w:rPr>
          <w:rFonts w:ascii="Tahoma" w:eastAsia="Tahoma" w:hAnsi="Tahoma" w:cs="Tahoma"/>
          <w:color w:val="000000" w:themeColor="text1"/>
          <w:lang w:val="es-ES"/>
        </w:rPr>
        <w:t xml:space="preserve"> no da cuenta de las circunstancias que rodearon el momento del traslado o de la información recibida por </w:t>
      </w:r>
      <w:r w:rsidR="009D1E3F" w:rsidRPr="00760E4E">
        <w:rPr>
          <w:rFonts w:ascii="Tahoma" w:eastAsia="Tahoma" w:hAnsi="Tahoma" w:cs="Tahoma"/>
          <w:color w:val="000000" w:themeColor="text1"/>
          <w:lang w:val="es-ES"/>
        </w:rPr>
        <w:t>la</w:t>
      </w:r>
      <w:r w:rsidR="00363345" w:rsidRPr="00760E4E">
        <w:rPr>
          <w:rFonts w:ascii="Tahoma" w:eastAsia="Tahoma" w:hAnsi="Tahoma" w:cs="Tahoma"/>
          <w:color w:val="000000" w:themeColor="text1"/>
          <w:lang w:val="es-ES"/>
        </w:rPr>
        <w:t xml:space="preserve"> actor</w:t>
      </w:r>
      <w:r w:rsidR="009D1E3F" w:rsidRPr="00760E4E">
        <w:rPr>
          <w:rFonts w:ascii="Tahoma" w:eastAsia="Tahoma" w:hAnsi="Tahoma" w:cs="Tahoma"/>
          <w:color w:val="000000" w:themeColor="text1"/>
          <w:lang w:val="es-ES"/>
        </w:rPr>
        <w:t>a</w:t>
      </w:r>
      <w:r w:rsidR="00363345" w:rsidRPr="00760E4E">
        <w:rPr>
          <w:rFonts w:ascii="Tahoma" w:eastAsia="Tahoma" w:hAnsi="Tahoma" w:cs="Tahoma"/>
          <w:color w:val="000000" w:themeColor="text1"/>
          <w:lang w:val="es-ES"/>
        </w:rPr>
        <w:t>, que contrario a lo afirmado por las pasivas de la litis, se evidencia parcializada, sesgada e insuficiente para calificarse de informada.</w:t>
      </w:r>
    </w:p>
    <w:p w14:paraId="1912BA33" w14:textId="106782A6" w:rsidR="1818708E" w:rsidRPr="00760E4E" w:rsidRDefault="1818708E" w:rsidP="00760E4E">
      <w:pPr>
        <w:widowControl w:val="0"/>
        <w:spacing w:before="0" w:beforeAutospacing="0" w:after="0" w:afterAutospacing="0" w:line="276" w:lineRule="auto"/>
        <w:ind w:firstLine="0"/>
        <w:rPr>
          <w:rFonts w:ascii="Tahoma" w:eastAsia="Tahoma" w:hAnsi="Tahoma" w:cs="Tahoma"/>
          <w:color w:val="000000" w:themeColor="text1"/>
          <w:lang w:val="es-ES"/>
        </w:rPr>
      </w:pPr>
    </w:p>
    <w:p w14:paraId="73962BDC" w14:textId="248D29AC" w:rsidR="00210D29" w:rsidRPr="00760E4E" w:rsidRDefault="12F97A00" w:rsidP="00760E4E">
      <w:pPr>
        <w:widowControl w:val="0"/>
        <w:autoSpaceDE w:val="0"/>
        <w:autoSpaceDN w:val="0"/>
        <w:adjustRightInd w:val="0"/>
        <w:spacing w:before="0" w:beforeAutospacing="0" w:after="0" w:afterAutospacing="0" w:line="276" w:lineRule="auto"/>
        <w:ind w:firstLine="708"/>
        <w:rPr>
          <w:rFonts w:ascii="Tahoma" w:eastAsia="Tahoma" w:hAnsi="Tahoma" w:cs="Tahoma"/>
        </w:rPr>
      </w:pPr>
      <w:r w:rsidRPr="00760E4E">
        <w:rPr>
          <w:rFonts w:ascii="Tahoma" w:eastAsia="Times New Roman" w:hAnsi="Tahoma" w:cs="Tahoma"/>
          <w:color w:val="000000" w:themeColor="text1"/>
          <w:lang w:val="es-ES" w:eastAsia="es-ES"/>
        </w:rPr>
        <w:t xml:space="preserve">Por otra parte, </w:t>
      </w:r>
      <w:r w:rsidR="7CCD181F" w:rsidRPr="00760E4E">
        <w:rPr>
          <w:rFonts w:ascii="Tahoma" w:eastAsia="Times New Roman" w:hAnsi="Tahoma" w:cs="Tahoma"/>
          <w:color w:val="000000" w:themeColor="text1"/>
          <w:lang w:val="es-ES" w:eastAsia="es-ES"/>
        </w:rPr>
        <w:t>frente a los</w:t>
      </w:r>
      <w:r w:rsidRPr="00760E4E">
        <w:rPr>
          <w:rFonts w:ascii="Tahoma" w:eastAsia="Times New Roman" w:hAnsi="Tahoma" w:cs="Tahoma"/>
          <w:color w:val="000000" w:themeColor="text1"/>
          <w:lang w:val="es-ES" w:eastAsia="es-ES"/>
        </w:rPr>
        <w:t xml:space="preserve"> actos de relacionamiento</w:t>
      </w:r>
      <w:r w:rsidR="7CCD181F" w:rsidRPr="00760E4E">
        <w:rPr>
          <w:rFonts w:ascii="Tahoma" w:eastAsia="Times New Roman" w:hAnsi="Tahoma" w:cs="Tahoma"/>
          <w:color w:val="000000" w:themeColor="text1"/>
          <w:lang w:val="es-ES" w:eastAsia="es-ES"/>
        </w:rPr>
        <w:t xml:space="preserve">, invocados por </w:t>
      </w:r>
      <w:r w:rsidR="40B2E8A0" w:rsidRPr="00760E4E">
        <w:rPr>
          <w:rFonts w:ascii="Tahoma" w:eastAsia="Times New Roman" w:hAnsi="Tahoma" w:cs="Tahoma"/>
          <w:color w:val="000000" w:themeColor="text1"/>
          <w:lang w:val="es-ES" w:eastAsia="es-ES"/>
        </w:rPr>
        <w:t xml:space="preserve">el </w:t>
      </w:r>
      <w:r w:rsidR="7CCD181F" w:rsidRPr="00760E4E">
        <w:rPr>
          <w:rFonts w:ascii="Tahoma" w:eastAsia="Times New Roman" w:hAnsi="Tahoma" w:cs="Tahoma"/>
          <w:color w:val="000000" w:themeColor="text1"/>
          <w:lang w:val="es-ES" w:eastAsia="es-ES"/>
        </w:rPr>
        <w:t>apoderad</w:t>
      </w:r>
      <w:r w:rsidR="40B2E8A0" w:rsidRPr="00760E4E">
        <w:rPr>
          <w:rFonts w:ascii="Tahoma" w:eastAsia="Times New Roman" w:hAnsi="Tahoma" w:cs="Tahoma"/>
          <w:color w:val="000000" w:themeColor="text1"/>
          <w:lang w:val="es-ES" w:eastAsia="es-ES"/>
        </w:rPr>
        <w:t>o</w:t>
      </w:r>
      <w:r w:rsidR="7CCD181F" w:rsidRPr="00760E4E">
        <w:rPr>
          <w:rFonts w:ascii="Tahoma" w:eastAsia="Times New Roman" w:hAnsi="Tahoma" w:cs="Tahoma"/>
          <w:color w:val="000000" w:themeColor="text1"/>
          <w:lang w:val="es-ES" w:eastAsia="es-ES"/>
        </w:rPr>
        <w:t xml:space="preserve"> judicial de</w:t>
      </w:r>
      <w:r w:rsidR="40B2E8A0" w:rsidRPr="00760E4E">
        <w:rPr>
          <w:rFonts w:ascii="Tahoma" w:eastAsia="Times New Roman" w:hAnsi="Tahoma" w:cs="Tahoma"/>
          <w:color w:val="000000" w:themeColor="text1"/>
          <w:lang w:val="es-ES" w:eastAsia="es-ES"/>
        </w:rPr>
        <w:t xml:space="preserve"> Porvenir S.A</w:t>
      </w:r>
      <w:r w:rsidR="7CCD181F" w:rsidRPr="00760E4E">
        <w:rPr>
          <w:rFonts w:ascii="Tahoma" w:eastAsia="Times New Roman" w:hAnsi="Tahoma" w:cs="Tahoma"/>
          <w:color w:val="000000" w:themeColor="text1"/>
          <w:lang w:val="es-ES" w:eastAsia="es-ES"/>
        </w:rPr>
        <w:t xml:space="preserve"> para convalidar el traslado</w:t>
      </w:r>
      <w:r w:rsidRPr="00760E4E">
        <w:rPr>
          <w:rFonts w:ascii="Tahoma" w:eastAsia="Times New Roman" w:hAnsi="Tahoma" w:cs="Tahoma"/>
          <w:color w:val="000000" w:themeColor="text1"/>
          <w:lang w:val="es-ES" w:eastAsia="es-ES"/>
        </w:rPr>
        <w:t xml:space="preserve">, </w:t>
      </w:r>
      <w:r w:rsidR="4712C583" w:rsidRPr="00760E4E">
        <w:rPr>
          <w:rFonts w:ascii="Tahoma" w:eastAsia="Times New Roman" w:hAnsi="Tahoma" w:cs="Tahoma"/>
          <w:color w:val="000000" w:themeColor="text1"/>
          <w:lang w:val="es-ES" w:eastAsia="es-ES"/>
        </w:rPr>
        <w:t xml:space="preserve">específicamente por </w:t>
      </w:r>
      <w:r w:rsidR="436D285A" w:rsidRPr="00760E4E">
        <w:rPr>
          <w:rFonts w:ascii="Tahoma" w:eastAsia="Times New Roman" w:hAnsi="Tahoma" w:cs="Tahoma"/>
          <w:color w:val="000000" w:themeColor="text1"/>
          <w:lang w:val="es-ES" w:eastAsia="es-ES"/>
        </w:rPr>
        <w:t>e</w:t>
      </w:r>
      <w:r w:rsidR="4712C583" w:rsidRPr="00760E4E">
        <w:rPr>
          <w:rFonts w:ascii="Tahoma" w:eastAsia="Times New Roman" w:hAnsi="Tahoma" w:cs="Tahoma"/>
          <w:color w:val="000000" w:themeColor="text1"/>
          <w:lang w:val="es-ES" w:eastAsia="es-ES"/>
        </w:rPr>
        <w:t xml:space="preserve">l </w:t>
      </w:r>
      <w:r w:rsidR="7CCD181F" w:rsidRPr="00760E4E">
        <w:rPr>
          <w:rFonts w:ascii="Tahoma" w:eastAsia="Times New Roman" w:hAnsi="Tahoma" w:cs="Tahoma"/>
          <w:color w:val="000000" w:themeColor="text1"/>
          <w:lang w:val="es-ES" w:eastAsia="es-ES"/>
        </w:rPr>
        <w:t xml:space="preserve">movimiento </w:t>
      </w:r>
      <w:r w:rsidR="4712C583" w:rsidRPr="00760E4E">
        <w:rPr>
          <w:rFonts w:ascii="Tahoma" w:eastAsia="Times New Roman" w:hAnsi="Tahoma" w:cs="Tahoma"/>
          <w:color w:val="000000" w:themeColor="text1"/>
          <w:lang w:val="es-ES" w:eastAsia="es-ES"/>
        </w:rPr>
        <w:t>de</w:t>
      </w:r>
      <w:r w:rsidR="7CCD181F" w:rsidRPr="00760E4E">
        <w:rPr>
          <w:rFonts w:ascii="Tahoma" w:eastAsia="Times New Roman" w:hAnsi="Tahoma" w:cs="Tahoma"/>
          <w:color w:val="000000" w:themeColor="text1"/>
          <w:lang w:val="es-ES" w:eastAsia="es-ES"/>
        </w:rPr>
        <w:t xml:space="preserve"> </w:t>
      </w:r>
      <w:r w:rsidR="4712C583" w:rsidRPr="00760E4E">
        <w:rPr>
          <w:rFonts w:ascii="Tahoma" w:eastAsia="Times New Roman" w:hAnsi="Tahoma" w:cs="Tahoma"/>
          <w:color w:val="000000" w:themeColor="text1"/>
          <w:lang w:val="es-ES" w:eastAsia="es-ES"/>
        </w:rPr>
        <w:t>l</w:t>
      </w:r>
      <w:r w:rsidR="7CCD181F" w:rsidRPr="00760E4E">
        <w:rPr>
          <w:rFonts w:ascii="Tahoma" w:eastAsia="Times New Roman" w:hAnsi="Tahoma" w:cs="Tahoma"/>
          <w:color w:val="000000" w:themeColor="text1"/>
          <w:lang w:val="es-ES" w:eastAsia="es-ES"/>
        </w:rPr>
        <w:t>a</w:t>
      </w:r>
      <w:r w:rsidR="436D285A" w:rsidRPr="00760E4E">
        <w:rPr>
          <w:rFonts w:ascii="Tahoma" w:eastAsia="Times New Roman" w:hAnsi="Tahoma" w:cs="Tahoma"/>
          <w:color w:val="000000" w:themeColor="text1"/>
          <w:lang w:val="es-ES" w:eastAsia="es-ES"/>
        </w:rPr>
        <w:t xml:space="preserve"> demandante</w:t>
      </w:r>
      <w:r w:rsidR="4712C583" w:rsidRPr="00760E4E">
        <w:rPr>
          <w:rFonts w:ascii="Tahoma" w:eastAsia="Times New Roman" w:hAnsi="Tahoma" w:cs="Tahoma"/>
          <w:color w:val="000000" w:themeColor="text1"/>
          <w:lang w:val="es-ES" w:eastAsia="es-ES"/>
        </w:rPr>
        <w:t xml:space="preserve"> dentro del RAIS, </w:t>
      </w:r>
      <w:r w:rsidRPr="00760E4E">
        <w:rPr>
          <w:rFonts w:ascii="Tahoma" w:eastAsia="Times New Roman" w:hAnsi="Tahoma" w:cs="Tahoma"/>
          <w:color w:val="000000" w:themeColor="text1"/>
          <w:lang w:val="es-ES" w:eastAsia="es-ES"/>
        </w:rPr>
        <w:t xml:space="preserve">basta remitirse a la sentencia </w:t>
      </w:r>
      <w:r w:rsidRPr="00760E4E">
        <w:rPr>
          <w:rFonts w:ascii="Tahoma" w:eastAsia="Times New Roman" w:hAnsi="Tahoma" w:cs="Tahoma"/>
          <w:color w:val="000000" w:themeColor="text1"/>
          <w:lang w:eastAsia="es-ES"/>
        </w:rPr>
        <w:t>CSJ SL 5686 de 2021 que corrigió la tesis sentada en dichas providencias por ser contrarias al precedente vigente y en rigor de la</w:t>
      </w:r>
      <w:r w:rsidR="36344039" w:rsidRPr="00760E4E">
        <w:rPr>
          <w:rFonts w:ascii="Tahoma" w:eastAsia="Times New Roman" w:hAnsi="Tahoma" w:cs="Tahoma"/>
          <w:color w:val="000000" w:themeColor="text1"/>
          <w:lang w:eastAsia="es-ES"/>
        </w:rPr>
        <w:t xml:space="preserve">. </w:t>
      </w:r>
      <w:r w:rsidRPr="00760E4E">
        <w:rPr>
          <w:rFonts w:ascii="Tahoma" w:eastAsia="Times New Roman" w:hAnsi="Tahoma" w:cs="Tahoma"/>
          <w:color w:val="000000" w:themeColor="text1"/>
          <w:lang w:eastAsia="es-ES"/>
        </w:rPr>
        <w:t xml:space="preserve"> Sala de Casación Laboral, expuesto entre otras, en las sentencias CSJ SL, 9 sep. 2008, CSJ SL1949-2021, CSJ SL1055 de 2022 CSJ SL1926-2022 y CSJ SL 5686 de 2021, en tanto como explicó la Corte</w:t>
      </w:r>
      <w:r w:rsidR="4712C583" w:rsidRPr="00760E4E">
        <w:rPr>
          <w:rFonts w:ascii="Tahoma" w:eastAsia="Times New Roman" w:hAnsi="Tahoma" w:cs="Tahoma"/>
          <w:color w:val="000000" w:themeColor="text1"/>
          <w:lang w:eastAsia="es-ES"/>
        </w:rPr>
        <w:t>,</w:t>
      </w:r>
      <w:r w:rsidRPr="00760E4E">
        <w:rPr>
          <w:rFonts w:ascii="Tahoma" w:eastAsia="Times New Roman" w:hAnsi="Tahoma" w:cs="Tahoma"/>
          <w:i/>
          <w:iCs/>
          <w:color w:val="000000" w:themeColor="text1"/>
          <w:lang w:eastAsia="es-ES"/>
        </w:rPr>
        <w:t xml:space="preserve"> </w:t>
      </w:r>
      <w:r w:rsidRPr="00760E4E">
        <w:rPr>
          <w:rFonts w:ascii="Tahoma" w:eastAsia="Times New Roman" w:hAnsi="Tahoma" w:cs="Tahoma"/>
          <w:color w:val="000000" w:themeColor="text1"/>
          <w:lang w:eastAsia="es-ES"/>
        </w:rPr>
        <w:t>trasladarse entre entes pensionales del RAIS, no reemplaza o suple la omisión de la entidad administradora en el cumplimiento de su deber de información a los afiliados, ratifica la decisión del traslado o supone una afiliación tácita del mismo</w:t>
      </w:r>
      <w:r w:rsidR="14A4D5C6" w:rsidRPr="00760E4E">
        <w:rPr>
          <w:rFonts w:ascii="Tahoma" w:eastAsia="Times New Roman" w:hAnsi="Tahoma" w:cs="Tahoma"/>
          <w:color w:val="000000" w:themeColor="text1"/>
          <w:lang w:eastAsia="es-ES"/>
        </w:rPr>
        <w:t xml:space="preserve">. </w:t>
      </w:r>
      <w:r w:rsidR="14A4D5C6" w:rsidRPr="00760E4E">
        <w:rPr>
          <w:rFonts w:ascii="Tahoma" w:eastAsia="Times New Roman" w:hAnsi="Tahoma" w:cs="Tahoma"/>
          <w:lang w:eastAsia="es-ES"/>
        </w:rPr>
        <w:t xml:space="preserve">Por otra parte, </w:t>
      </w:r>
      <w:r w:rsidR="14A4D5C6" w:rsidRPr="00760E4E">
        <w:rPr>
          <w:rFonts w:ascii="Tahoma" w:eastAsia="Tahoma" w:hAnsi="Tahoma" w:cs="Tahoma"/>
        </w:rPr>
        <w:t xml:space="preserve">no hay pruebas documentales de la tal </w:t>
      </w:r>
      <w:proofErr w:type="spellStart"/>
      <w:r w:rsidR="14A4D5C6" w:rsidRPr="00760E4E">
        <w:rPr>
          <w:rFonts w:ascii="Tahoma" w:eastAsia="Tahoma" w:hAnsi="Tahoma" w:cs="Tahoma"/>
        </w:rPr>
        <w:t>reasesoría</w:t>
      </w:r>
      <w:proofErr w:type="spellEnd"/>
      <w:r w:rsidR="14A4D5C6" w:rsidRPr="00760E4E">
        <w:rPr>
          <w:rFonts w:ascii="Tahoma" w:eastAsia="Tahoma" w:hAnsi="Tahoma" w:cs="Tahoma"/>
        </w:rPr>
        <w:t xml:space="preserve"> y tampoco lo aceptó la demandante.  </w:t>
      </w:r>
    </w:p>
    <w:p w14:paraId="287C2608" w14:textId="73AFEE8F" w:rsidR="623176E1" w:rsidRPr="00760E4E" w:rsidRDefault="623176E1" w:rsidP="00760E4E">
      <w:pPr>
        <w:widowControl w:val="0"/>
        <w:spacing w:before="0" w:beforeAutospacing="0" w:after="0" w:afterAutospacing="0" w:line="276" w:lineRule="auto"/>
        <w:ind w:firstLine="708"/>
        <w:rPr>
          <w:rFonts w:ascii="Tahoma" w:eastAsia="Tahoma" w:hAnsi="Tahoma" w:cs="Tahoma"/>
        </w:rPr>
      </w:pPr>
    </w:p>
    <w:p w14:paraId="1DA7EC1A" w14:textId="14F782A7" w:rsidR="00BA1817" w:rsidRPr="00760E4E" w:rsidRDefault="3DDB16EA" w:rsidP="00760E4E">
      <w:pPr>
        <w:spacing w:before="0" w:beforeAutospacing="0" w:after="0" w:afterAutospacing="0" w:line="276" w:lineRule="auto"/>
        <w:ind w:firstLine="705"/>
        <w:rPr>
          <w:rFonts w:ascii="Tahoma" w:eastAsia="Calibri" w:hAnsi="Tahoma" w:cs="Tahoma"/>
          <w:lang w:eastAsia="es-CO"/>
        </w:rPr>
      </w:pPr>
      <w:r w:rsidRPr="00760E4E">
        <w:rPr>
          <w:rFonts w:ascii="Tahoma" w:eastAsia="Calibri" w:hAnsi="Tahoma" w:cs="Tahoma"/>
          <w:lang w:eastAsia="es-CO"/>
        </w:rPr>
        <w:t>En cuanto a las condenas impuestas</w:t>
      </w:r>
      <w:r w:rsidR="10E0AD95" w:rsidRPr="00760E4E">
        <w:rPr>
          <w:rFonts w:ascii="Tahoma" w:eastAsia="Calibri" w:hAnsi="Tahoma" w:cs="Tahoma"/>
          <w:lang w:eastAsia="es-CO"/>
        </w:rPr>
        <w:t xml:space="preserve"> a las Administradora</w:t>
      </w:r>
      <w:r w:rsidR="4F115DA2" w:rsidRPr="00760E4E">
        <w:rPr>
          <w:rFonts w:ascii="Tahoma" w:eastAsia="Calibri" w:hAnsi="Tahoma" w:cs="Tahoma"/>
          <w:lang w:eastAsia="es-CO"/>
        </w:rPr>
        <w:t>s</w:t>
      </w:r>
      <w:r w:rsidR="10E0AD95" w:rsidRPr="00760E4E">
        <w:rPr>
          <w:rFonts w:ascii="Tahoma" w:eastAsia="Calibri" w:hAnsi="Tahoma" w:cs="Tahoma"/>
          <w:lang w:eastAsia="es-CO"/>
        </w:rPr>
        <w:t xml:space="preserve"> Privadas de Pensiones demandada</w:t>
      </w:r>
      <w:r w:rsidR="666806B7" w:rsidRPr="00760E4E">
        <w:rPr>
          <w:rFonts w:ascii="Tahoma" w:eastAsia="Calibri" w:hAnsi="Tahoma" w:cs="Tahoma"/>
          <w:lang w:eastAsia="es-CO"/>
        </w:rPr>
        <w:t>s</w:t>
      </w:r>
      <w:r w:rsidR="00C13FD9" w:rsidRPr="00760E4E">
        <w:rPr>
          <w:rFonts w:ascii="Tahoma" w:eastAsia="Calibri" w:hAnsi="Tahoma" w:cs="Tahoma"/>
          <w:lang w:eastAsia="es-CO"/>
        </w:rPr>
        <w:t xml:space="preserve"> y atendiendo apelación por parte de Porvenir S.A</w:t>
      </w:r>
      <w:r w:rsidRPr="00760E4E">
        <w:rPr>
          <w:rFonts w:ascii="Tahoma" w:eastAsia="Calibri" w:hAnsi="Tahoma" w:cs="Tahoma"/>
          <w:lang w:eastAsia="es-CO"/>
        </w:rPr>
        <w:t>,</w:t>
      </w:r>
      <w:r w:rsidR="0D559B25" w:rsidRPr="00760E4E">
        <w:rPr>
          <w:rFonts w:ascii="Tahoma" w:eastAsia="Calibri" w:hAnsi="Tahoma" w:cs="Tahoma"/>
          <w:lang w:eastAsia="es-CO"/>
        </w:rPr>
        <w:t xml:space="preserve"> </w:t>
      </w:r>
      <w:r w:rsidR="1DA86DE3" w:rsidRPr="00760E4E">
        <w:rPr>
          <w:rFonts w:ascii="Tahoma" w:eastAsia="Tahoma" w:hAnsi="Tahoma" w:cs="Tahoma"/>
        </w:rPr>
        <w:t xml:space="preserve">se  dirá que </w:t>
      </w:r>
      <w:r w:rsidR="1DA86DE3" w:rsidRPr="00760E4E">
        <w:rPr>
          <w:rFonts w:ascii="Tahoma" w:eastAsia="Tahoma" w:hAnsi="Tahoma" w:cs="Tahoma"/>
        </w:rPr>
        <w:lastRenderedPageBreak/>
        <w:t xml:space="preserve">en estricto acatamiento de las consecuencias previstas por la Corte Suprema de Justicia, entre otras, en las sentencias CSJ </w:t>
      </w:r>
      <w:r w:rsidR="1DA86DE3" w:rsidRPr="00760E4E">
        <w:rPr>
          <w:rFonts w:ascii="Tahoma" w:eastAsia="Tahoma" w:hAnsi="Tahoma" w:cs="Tahoma"/>
          <w:lang w:val="es"/>
        </w:rPr>
        <w:t>SL1084-2023, CSJ SL 932-2023, CSJ SL 4297-2022, CSJ SL3465-2022, CSJ SL2229-2022 y CSJ SL3188-2022,</w:t>
      </w:r>
      <w:r w:rsidR="1DA86DE3" w:rsidRPr="00760E4E">
        <w:rPr>
          <w:rFonts w:ascii="Tahoma" w:eastAsia="Tahoma" w:hAnsi="Tahoma" w:cs="Tahoma"/>
          <w:b/>
          <w:bCs/>
          <w:lang w:val="es"/>
        </w:rPr>
        <w:t xml:space="preserve"> </w:t>
      </w:r>
      <w:r w:rsidR="1DA86DE3" w:rsidRPr="00760E4E">
        <w:rPr>
          <w:rFonts w:ascii="Tahoma" w:eastAsia="Tahoma" w:hAnsi="Tahoma" w:cs="Tahoma"/>
        </w:rPr>
        <w:t xml:space="preserve">previamente citadas, es su deber devolver a Colpensiones </w:t>
      </w:r>
      <w:r w:rsidR="1DA86DE3" w:rsidRPr="00760E4E">
        <w:rPr>
          <w:rFonts w:ascii="Tahoma" w:eastAsia="Tahoma" w:hAnsi="Tahoma" w:cs="Tahoma"/>
          <w:lang w:val="es"/>
        </w:rPr>
        <w:t xml:space="preserve">el porcentaje correspondiente a los gastos de administración, comisiones y primas de seguros previsionales de invalidez y sobrevivencia, y el porcentaje destinado al fondo de garantía de pensión mínima, debidamente indexados y con cargo a sus propios recursos, pues estos conceptos, desde el nacimiento del acto ineficaz, debieron ingresar al Régimen de Prima Media con Prestación Definida administrado por Colpensiones, </w:t>
      </w:r>
      <w:r w:rsidR="1DA86DE3" w:rsidRPr="00760E4E">
        <w:rPr>
          <w:rFonts w:ascii="Tahoma" w:eastAsia="Tahoma" w:hAnsi="Tahoma" w:cs="Tahoma"/>
        </w:rPr>
        <w:t>por lo que se confirmará la sentencia apelada frente a tal decisión.</w:t>
      </w:r>
    </w:p>
    <w:p w14:paraId="44F0336E" w14:textId="6698636E" w:rsidR="00BA1817" w:rsidRPr="00760E4E" w:rsidRDefault="00BA1817" w:rsidP="00760E4E">
      <w:pPr>
        <w:widowControl w:val="0"/>
        <w:spacing w:before="0" w:beforeAutospacing="0" w:after="0" w:afterAutospacing="0" w:line="276" w:lineRule="auto"/>
        <w:ind w:firstLine="708"/>
        <w:rPr>
          <w:rFonts w:ascii="Tahoma" w:eastAsia="Calibri" w:hAnsi="Tahoma" w:cs="Tahoma"/>
          <w:lang w:eastAsia="es-CO"/>
        </w:rPr>
      </w:pPr>
    </w:p>
    <w:p w14:paraId="1F4986C9" w14:textId="0AB9D170" w:rsidR="00BA1817" w:rsidRPr="00760E4E" w:rsidRDefault="00BA1817" w:rsidP="00760E4E">
      <w:pPr>
        <w:widowControl w:val="0"/>
        <w:spacing w:before="0" w:beforeAutospacing="0" w:after="0" w:afterAutospacing="0" w:line="276" w:lineRule="auto"/>
        <w:ind w:firstLine="708"/>
        <w:rPr>
          <w:rFonts w:ascii="Tahoma" w:eastAsia="Calibri" w:hAnsi="Tahoma" w:cs="Tahoma"/>
          <w:lang w:eastAsia="es-CO"/>
        </w:rPr>
      </w:pPr>
    </w:p>
    <w:p w14:paraId="183CDE57" w14:textId="7A3E976C" w:rsidR="00BA1817" w:rsidRPr="00760E4E" w:rsidRDefault="1DA86DE3" w:rsidP="00760E4E">
      <w:pPr>
        <w:spacing w:before="0" w:beforeAutospacing="0" w:after="0" w:afterAutospacing="0" w:line="276" w:lineRule="auto"/>
        <w:ind w:firstLine="708"/>
        <w:rPr>
          <w:rFonts w:ascii="Tahoma" w:hAnsi="Tahoma" w:cs="Tahoma"/>
        </w:rPr>
      </w:pPr>
      <w:r w:rsidRPr="00760E4E">
        <w:rPr>
          <w:rFonts w:ascii="Tahoma" w:eastAsia="Tahoma" w:hAnsi="Tahoma" w:cs="Tahoma"/>
        </w:rPr>
        <w:t xml:space="preserve">Al margen de lo anterior, bajo las mismas premisas se adicionará la sentencia en el sentido de precisar que al momento del cumplimiento de esa orden prevista </w:t>
      </w:r>
      <w:r w:rsidRPr="00760E4E">
        <w:rPr>
          <w:rFonts w:ascii="Tahoma" w:eastAsia="Tahoma" w:hAnsi="Tahoma" w:cs="Tahoma"/>
          <w:lang w:val="es"/>
        </w:rPr>
        <w:t xml:space="preserve">en el numeral tercero </w:t>
      </w:r>
      <w:r w:rsidRPr="00760E4E">
        <w:rPr>
          <w:rFonts w:ascii="Tahoma" w:eastAsia="Tahoma" w:hAnsi="Tahoma" w:cs="Tahoma"/>
        </w:rPr>
        <w:t>“</w:t>
      </w:r>
      <w:r w:rsidRPr="00B27B17">
        <w:rPr>
          <w:rFonts w:ascii="Tahoma" w:eastAsia="Tahoma" w:hAnsi="Tahoma" w:cs="Tahoma"/>
          <w:i/>
          <w:iCs/>
          <w:sz w:val="22"/>
          <w:lang w:val="es"/>
        </w:rPr>
        <w:t>tales valores deberán aparecer discriminados con sus respectivos montos, junto con el detalle pormenorizado de los ciclos, IBC, aportes y demás información relevante que los justifiquen</w:t>
      </w:r>
      <w:r w:rsidRPr="00760E4E">
        <w:rPr>
          <w:rFonts w:ascii="Tahoma" w:eastAsia="Tahoma" w:hAnsi="Tahoma" w:cs="Tahoma"/>
          <w:i/>
          <w:iCs/>
          <w:lang w:val="es"/>
        </w:rPr>
        <w:t>”.</w:t>
      </w:r>
      <w:r w:rsidRPr="00760E4E">
        <w:rPr>
          <w:rFonts w:ascii="Tahoma" w:eastAsia="Times New Roman" w:hAnsi="Tahoma" w:cs="Tahoma"/>
          <w:lang w:eastAsia="es-ES"/>
        </w:rPr>
        <w:t xml:space="preserve"> </w:t>
      </w:r>
    </w:p>
    <w:p w14:paraId="01388436" w14:textId="379C661A" w:rsidR="00BA1817" w:rsidRPr="00760E4E" w:rsidRDefault="00BA1817" w:rsidP="00760E4E">
      <w:pPr>
        <w:spacing w:before="0" w:beforeAutospacing="0" w:after="0" w:afterAutospacing="0" w:line="276" w:lineRule="auto"/>
        <w:ind w:firstLine="644"/>
        <w:rPr>
          <w:rFonts w:ascii="Tahoma" w:eastAsia="Times New Roman" w:hAnsi="Tahoma" w:cs="Tahoma"/>
          <w:lang w:eastAsia="es-ES"/>
        </w:rPr>
      </w:pPr>
    </w:p>
    <w:p w14:paraId="7356E214" w14:textId="3E332FF1" w:rsidR="00BA1817" w:rsidRPr="00760E4E" w:rsidRDefault="00BA1817" w:rsidP="00760E4E">
      <w:pPr>
        <w:spacing w:before="0" w:beforeAutospacing="0" w:after="0" w:afterAutospacing="0" w:line="276" w:lineRule="auto"/>
        <w:ind w:firstLine="644"/>
        <w:rPr>
          <w:rFonts w:ascii="Tahoma" w:eastAsia="Times New Roman" w:hAnsi="Tahoma" w:cs="Tahoma"/>
          <w:lang w:eastAsia="es-ES"/>
        </w:rPr>
      </w:pPr>
      <w:r w:rsidRPr="00760E4E">
        <w:rPr>
          <w:rFonts w:ascii="Tahoma" w:eastAsia="Times New Roman" w:hAnsi="Tahoma" w:cs="Tahoma"/>
          <w:lang w:eastAsia="es-ES"/>
        </w:rPr>
        <w:t>En este punto es oportuno recordar que la Corte Constitucional en sentencia SU-053-2015, ha definido el precedente judicial como «la sentencia o el conjunto de ellas, anteriores a un caso determinado, que por su pertinencia y semejanza en los problemas jurídicos resueltos, debe necesariamente considerarse por las autoridades judiciales al momento de emitir un fallo» y, en tal sentido, el emitido por los máximos órganos de cierre, “</w:t>
      </w:r>
      <w:r w:rsidRPr="00B27B17">
        <w:rPr>
          <w:rFonts w:ascii="Tahoma" w:eastAsia="Times New Roman" w:hAnsi="Tahoma" w:cs="Tahoma"/>
          <w:sz w:val="22"/>
          <w:lang w:eastAsia="es-ES"/>
        </w:rPr>
        <w:t>guardan una estrecha relación con el derecho a la igualdad, garantía constitucional que le permite a los ciudadanos obtener decisiones judiciales idénticas frente a casos semejantes, aunado al carácter ordenador y unificador de las sentencias de casación, en tanto aseguran una mayor coherencia del sistema jurídico, seguridad, confianza y certeza del derecho</w:t>
      </w:r>
      <w:r w:rsidRPr="00760E4E">
        <w:rPr>
          <w:rFonts w:ascii="Tahoma" w:eastAsia="Times New Roman" w:hAnsi="Tahoma" w:cs="Tahoma"/>
          <w:lang w:eastAsia="es-ES"/>
        </w:rPr>
        <w:t>” (STL4759-2020).</w:t>
      </w:r>
    </w:p>
    <w:p w14:paraId="672BFD98" w14:textId="77777777" w:rsidR="00BA1817" w:rsidRPr="00760E4E" w:rsidRDefault="00BA1817" w:rsidP="00760E4E">
      <w:pPr>
        <w:spacing w:before="0" w:beforeAutospacing="0" w:after="0" w:afterAutospacing="0" w:line="276" w:lineRule="auto"/>
        <w:ind w:firstLine="644"/>
        <w:rPr>
          <w:rFonts w:ascii="Tahoma" w:eastAsia="Times New Roman" w:hAnsi="Tahoma" w:cs="Tahoma"/>
          <w:lang w:eastAsia="es-ES"/>
        </w:rPr>
      </w:pPr>
    </w:p>
    <w:p w14:paraId="1DAC9274" w14:textId="6D661F41" w:rsidR="00BA1817" w:rsidRPr="00760E4E" w:rsidRDefault="00BA1817" w:rsidP="00760E4E">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760E4E">
        <w:rPr>
          <w:rFonts w:ascii="Tahoma" w:eastAsia="Calibri" w:hAnsi="Tahoma" w:cs="Tahoma"/>
          <w:lang w:eastAsia="es-CO"/>
        </w:rPr>
        <w:t>Frente al argumento de Colpensiones</w:t>
      </w:r>
      <w:r w:rsidR="00B6320C" w:rsidRPr="00760E4E">
        <w:rPr>
          <w:rFonts w:ascii="Tahoma" w:eastAsia="Calibri" w:hAnsi="Tahoma" w:cs="Tahoma"/>
          <w:lang w:eastAsia="es-CO"/>
        </w:rPr>
        <w:t xml:space="preserve"> en la contestación</w:t>
      </w:r>
      <w:r w:rsidRPr="00760E4E">
        <w:rPr>
          <w:rFonts w:ascii="Tahoma" w:eastAsia="Calibri" w:hAnsi="Tahoma" w:cs="Tahoma"/>
          <w:lang w:eastAsia="es-CO"/>
        </w:rPr>
        <w:t>, referente a que era improcedente permitir que la demandante se trasladara hacia dicha entidad al superar la edad mínima pensional, basta mencionar que uno de los efectos de la ineficacia es que justamente las cosas se retrotraen al estado en que se encontraban, es decir, como si ello no hubiera ocurrido y, en este caso, dicha declaratoria de ineficacia de cambio de régimen pensional, conlleva al regreso automático de la demandante al régimen solidario de prima media con prestación definida hoy administrado por Colpensiones, del cual ya hacía parte la demandante</w:t>
      </w:r>
      <w:r w:rsidR="00B6320C" w:rsidRPr="00760E4E">
        <w:rPr>
          <w:rFonts w:ascii="Tahoma" w:eastAsia="Calibri" w:hAnsi="Tahoma" w:cs="Tahoma"/>
          <w:lang w:eastAsia="es-CO"/>
        </w:rPr>
        <w:t xml:space="preserve"> por haber estado vinculada a </w:t>
      </w:r>
      <w:proofErr w:type="spellStart"/>
      <w:r w:rsidR="00B6320C" w:rsidRPr="00760E4E">
        <w:rPr>
          <w:rFonts w:ascii="Tahoma" w:eastAsia="Calibri" w:hAnsi="Tahoma" w:cs="Tahoma"/>
          <w:lang w:eastAsia="es-CO"/>
        </w:rPr>
        <w:t>Cajanal</w:t>
      </w:r>
      <w:proofErr w:type="spellEnd"/>
      <w:r w:rsidRPr="00760E4E">
        <w:rPr>
          <w:rFonts w:ascii="Tahoma" w:eastAsia="Calibri" w:hAnsi="Tahoma" w:cs="Tahoma"/>
          <w:lang w:eastAsia="es-CO"/>
        </w:rPr>
        <w:t>. Además, lo aquí analizado no es el traslado voluntario con la conservación o no del régimen de transición, sino el efecto de la ineficacia del cambio de régimen pensional a falta de información detallada y completa al momento del traslado de régimen.</w:t>
      </w:r>
    </w:p>
    <w:p w14:paraId="39BD999B" w14:textId="1070554C" w:rsidR="00BA1817" w:rsidRPr="00760E4E" w:rsidRDefault="00BA1817" w:rsidP="00760E4E">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3E62683F" w14:textId="46A3C3D1" w:rsidR="00BA1817" w:rsidRPr="00760E4E" w:rsidRDefault="58BDA5EA" w:rsidP="00760E4E">
      <w:pPr>
        <w:widowControl w:val="0"/>
        <w:autoSpaceDE w:val="0"/>
        <w:autoSpaceDN w:val="0"/>
        <w:adjustRightInd w:val="0"/>
        <w:spacing w:before="0" w:beforeAutospacing="0" w:after="0" w:afterAutospacing="0" w:line="276" w:lineRule="auto"/>
        <w:ind w:firstLine="709"/>
        <w:rPr>
          <w:rFonts w:ascii="Tahoma" w:eastAsia="Bookman Old Style" w:hAnsi="Tahoma" w:cs="Tahoma"/>
          <w:i/>
          <w:iCs/>
        </w:rPr>
      </w:pPr>
      <w:r w:rsidRPr="00760E4E">
        <w:rPr>
          <w:rFonts w:ascii="Tahoma" w:eastAsia="Times New Roman" w:hAnsi="Tahoma" w:cs="Tahoma"/>
          <w:color w:val="000000" w:themeColor="text1"/>
          <w:lang w:eastAsia="es-CO"/>
        </w:rPr>
        <w:t>Adicional a lo indicado, atendiendo el argumento de P</w:t>
      </w:r>
      <w:r w:rsidR="000F52FD" w:rsidRPr="00760E4E">
        <w:rPr>
          <w:rFonts w:ascii="Tahoma" w:eastAsia="Times New Roman" w:hAnsi="Tahoma" w:cs="Tahoma"/>
          <w:color w:val="000000" w:themeColor="text1"/>
          <w:lang w:eastAsia="es-CO"/>
        </w:rPr>
        <w:t>o</w:t>
      </w:r>
      <w:r w:rsidR="00647E63" w:rsidRPr="00760E4E">
        <w:rPr>
          <w:rFonts w:ascii="Tahoma" w:eastAsia="Times New Roman" w:hAnsi="Tahoma" w:cs="Tahoma"/>
          <w:color w:val="000000" w:themeColor="text1"/>
          <w:lang w:eastAsia="es-CO"/>
        </w:rPr>
        <w:t>r</w:t>
      </w:r>
      <w:r w:rsidR="000F52FD" w:rsidRPr="00760E4E">
        <w:rPr>
          <w:rFonts w:ascii="Tahoma" w:eastAsia="Times New Roman" w:hAnsi="Tahoma" w:cs="Tahoma"/>
          <w:color w:val="000000" w:themeColor="text1"/>
          <w:lang w:eastAsia="es-CO"/>
        </w:rPr>
        <w:t>venir</w:t>
      </w:r>
      <w:r w:rsidRPr="00760E4E">
        <w:rPr>
          <w:rFonts w:ascii="Tahoma" w:eastAsia="Times New Roman" w:hAnsi="Tahoma" w:cs="Tahoma"/>
          <w:color w:val="000000" w:themeColor="text1"/>
          <w:lang w:eastAsia="es-CO"/>
        </w:rPr>
        <w:t xml:space="preserve"> S.A., según el cual se incurre en un enriquecimiento sin causa por parte de Colpensiones, en detrimento de la AFP al ordenar que se devuelvan los rendimientos financieros</w:t>
      </w:r>
      <w:r w:rsidR="4D67A610" w:rsidRPr="00760E4E">
        <w:rPr>
          <w:rFonts w:ascii="Tahoma" w:eastAsia="Times New Roman" w:hAnsi="Tahoma" w:cs="Tahoma"/>
          <w:color w:val="000000" w:themeColor="text1"/>
          <w:lang w:eastAsia="es-CO"/>
        </w:rPr>
        <w:t>, debe decirse que</w:t>
      </w:r>
      <w:r w:rsidR="6323A3F7" w:rsidRPr="00760E4E">
        <w:rPr>
          <w:rFonts w:ascii="Tahoma" w:eastAsia="Times New Roman" w:hAnsi="Tahoma" w:cs="Tahoma"/>
          <w:color w:val="000000" w:themeColor="text1"/>
          <w:lang w:eastAsia="es-CO"/>
        </w:rPr>
        <w:t xml:space="preserve"> como en materia laboral</w:t>
      </w:r>
      <w:r w:rsidR="6323A3F7" w:rsidRPr="00760E4E">
        <w:rPr>
          <w:rFonts w:ascii="Tahoma" w:eastAsia="Times New Roman" w:hAnsi="Tahoma" w:cs="Tahoma"/>
          <w:color w:val="000000" w:themeColor="text1"/>
          <w:lang w:val="es" w:eastAsia="es-CO"/>
        </w:rPr>
        <w:t xml:space="preserve"> no existe una norma expresa que regule esta figura, en aplicación del principio de integración normativa, previsto en el artículo 145 del Código </w:t>
      </w:r>
      <w:r w:rsidR="6323A3F7" w:rsidRPr="00760E4E">
        <w:rPr>
          <w:rFonts w:ascii="Tahoma" w:eastAsia="Times New Roman" w:hAnsi="Tahoma" w:cs="Tahoma"/>
          <w:color w:val="000000" w:themeColor="text1"/>
          <w:lang w:val="es" w:eastAsia="es-CO"/>
        </w:rPr>
        <w:lastRenderedPageBreak/>
        <w:t>Procesal del Trabajo y de la Seguridad Social, debe acudirse a lo señalado en el artículo 831 del Código de Comercio, que dispone que</w:t>
      </w:r>
      <w:r w:rsidR="6323A3F7" w:rsidRPr="00760E4E">
        <w:rPr>
          <w:rFonts w:ascii="Tahoma" w:eastAsia="Arial Narrow" w:hAnsi="Tahoma" w:cs="Tahoma"/>
          <w:i/>
          <w:iCs/>
          <w:color w:val="000000" w:themeColor="text1"/>
          <w:lang w:val="es" w:eastAsia="es-CO"/>
        </w:rPr>
        <w:t xml:space="preserve"> </w:t>
      </w:r>
      <w:r w:rsidR="00C13FD9" w:rsidRPr="00760E4E">
        <w:rPr>
          <w:rFonts w:ascii="Tahoma" w:eastAsia="Arial Narrow" w:hAnsi="Tahoma" w:cs="Tahoma"/>
          <w:i/>
          <w:iCs/>
          <w:color w:val="000000" w:themeColor="text1"/>
          <w:lang w:val="es" w:eastAsia="es-CO"/>
        </w:rPr>
        <w:t>“</w:t>
      </w:r>
      <w:r w:rsidR="6323A3F7" w:rsidRPr="00B27B17">
        <w:rPr>
          <w:rFonts w:ascii="Tahoma" w:eastAsia="Arial Narrow" w:hAnsi="Tahoma" w:cs="Tahoma"/>
          <w:i/>
          <w:iCs/>
          <w:color w:val="000000" w:themeColor="text1"/>
          <w:sz w:val="22"/>
          <w:lang w:val="es" w:eastAsia="es-CO"/>
        </w:rPr>
        <w:t>Nadie podrá enriquecerse sin justa causa a expensas de otro</w:t>
      </w:r>
      <w:r w:rsidR="00C13FD9" w:rsidRPr="00760E4E">
        <w:rPr>
          <w:rFonts w:ascii="Tahoma" w:eastAsia="Arial Narrow" w:hAnsi="Tahoma" w:cs="Tahoma"/>
          <w:i/>
          <w:iCs/>
          <w:color w:val="000000" w:themeColor="text1"/>
          <w:lang w:val="es" w:eastAsia="es-CO"/>
        </w:rPr>
        <w:t>”</w:t>
      </w:r>
      <w:r w:rsidR="362D1BEA" w:rsidRPr="00760E4E">
        <w:rPr>
          <w:rFonts w:ascii="Tahoma" w:eastAsia="Arial Narrow" w:hAnsi="Tahoma" w:cs="Tahoma"/>
          <w:i/>
          <w:iCs/>
          <w:color w:val="000000" w:themeColor="text1"/>
          <w:lang w:val="es" w:eastAsia="es-CO"/>
        </w:rPr>
        <w:t>,</w:t>
      </w:r>
      <w:r w:rsidR="62A6A233" w:rsidRPr="00760E4E">
        <w:rPr>
          <w:rFonts w:ascii="Tahoma" w:eastAsia="Arial Narrow" w:hAnsi="Tahoma" w:cs="Tahoma"/>
          <w:i/>
          <w:iCs/>
          <w:color w:val="000000" w:themeColor="text1"/>
          <w:lang w:val="es" w:eastAsia="es-CO"/>
        </w:rPr>
        <w:t xml:space="preserve"> </w:t>
      </w:r>
      <w:r w:rsidR="62A6A233" w:rsidRPr="00760E4E">
        <w:rPr>
          <w:rFonts w:ascii="Tahoma" w:eastAsia="Arial Narrow" w:hAnsi="Tahoma" w:cs="Tahoma"/>
          <w:color w:val="000000" w:themeColor="text1"/>
          <w:lang w:val="es" w:eastAsia="es-CO"/>
        </w:rPr>
        <w:t>y, de ac</w:t>
      </w:r>
      <w:r w:rsidR="362D1BEA" w:rsidRPr="00760E4E">
        <w:rPr>
          <w:rFonts w:ascii="Tahoma" w:eastAsia="Times New Roman" w:hAnsi="Tahoma" w:cs="Tahoma"/>
          <w:color w:val="000000" w:themeColor="text1"/>
          <w:lang w:val="es" w:eastAsia="es-CO"/>
        </w:rPr>
        <w:t xml:space="preserve">uerdo a la jurisprudencia emanada de la Sala de Casación Civil el enriquecimiento sin causa se da </w:t>
      </w:r>
      <w:r w:rsidR="0F9D2A41" w:rsidRPr="00760E4E">
        <w:rPr>
          <w:rFonts w:ascii="Tahoma" w:eastAsia="Times New Roman" w:hAnsi="Tahoma" w:cs="Tahoma"/>
          <w:color w:val="000000" w:themeColor="text1"/>
          <w:lang w:val="es" w:eastAsia="es-CO"/>
        </w:rPr>
        <w:t xml:space="preserve">solo cuando el desplazamiento patrimonial otorga una ventaja a una parte </w:t>
      </w:r>
      <w:r w:rsidR="41F914CC" w:rsidRPr="00760E4E">
        <w:rPr>
          <w:rFonts w:ascii="Tahoma" w:eastAsia="Times New Roman" w:hAnsi="Tahoma" w:cs="Tahoma"/>
          <w:color w:val="000000" w:themeColor="text1"/>
          <w:lang w:val="es" w:eastAsia="es-CO"/>
        </w:rPr>
        <w:t xml:space="preserve">en detrimento de otras </w:t>
      </w:r>
      <w:r w:rsidR="0F9D2A41" w:rsidRPr="00760E4E">
        <w:rPr>
          <w:rFonts w:ascii="Tahoma" w:eastAsia="Times New Roman" w:hAnsi="Tahoma" w:cs="Tahoma"/>
          <w:color w:val="000000" w:themeColor="text1"/>
          <w:lang w:val="es" w:eastAsia="es-CO"/>
        </w:rPr>
        <w:t>sin fundamento jurídico que lo justifique</w:t>
      </w:r>
      <w:r w:rsidR="31843D0E" w:rsidRPr="00760E4E">
        <w:rPr>
          <w:rFonts w:ascii="Tahoma" w:eastAsia="Times New Roman" w:hAnsi="Tahoma" w:cs="Tahoma"/>
          <w:color w:val="000000" w:themeColor="text1"/>
          <w:lang w:val="es" w:eastAsia="es-CO"/>
        </w:rPr>
        <w:t>, supuestos que en este caso no se cumplen, en la medida que</w:t>
      </w:r>
      <w:r w:rsidR="4B07A7B3" w:rsidRPr="00760E4E">
        <w:rPr>
          <w:rFonts w:ascii="Tahoma" w:eastAsia="Times New Roman" w:hAnsi="Tahoma" w:cs="Tahoma"/>
          <w:color w:val="000000" w:themeColor="text1"/>
          <w:lang w:val="es" w:eastAsia="es-CO"/>
        </w:rPr>
        <w:t xml:space="preserve"> si bien</w:t>
      </w:r>
      <w:r w:rsidR="31843D0E" w:rsidRPr="00760E4E">
        <w:rPr>
          <w:rFonts w:ascii="Tahoma" w:eastAsia="Times New Roman" w:hAnsi="Tahoma" w:cs="Tahoma"/>
          <w:color w:val="000000" w:themeColor="text1"/>
          <w:lang w:val="es" w:eastAsia="es-CO"/>
        </w:rPr>
        <w:t xml:space="preserve"> las AFP deben </w:t>
      </w:r>
      <w:r w:rsidR="145A4A92" w:rsidRPr="00760E4E">
        <w:rPr>
          <w:rFonts w:ascii="Tahoma" w:eastAsia="Times New Roman" w:hAnsi="Tahoma" w:cs="Tahoma"/>
          <w:color w:val="000000" w:themeColor="text1"/>
          <w:lang w:val="es" w:eastAsia="es-CO"/>
        </w:rPr>
        <w:t>trasladar los rendimientos financieros,</w:t>
      </w:r>
      <w:r w:rsidR="0D3386A0" w:rsidRPr="00760E4E">
        <w:rPr>
          <w:rFonts w:ascii="Tahoma" w:eastAsia="Times New Roman" w:hAnsi="Tahoma" w:cs="Tahoma"/>
          <w:color w:val="000000" w:themeColor="text1"/>
          <w:lang w:val="es" w:eastAsia="es-CO"/>
        </w:rPr>
        <w:t xml:space="preserve"> estos no les representan un detrimento patrimonial, ya que hacen parte de la cuenta de ahorro individual del afiliado y, en ese orden, no son de su propiedad y únicamente los administras, debiéndose considerar además que dicho traslado de rec</w:t>
      </w:r>
      <w:r w:rsidR="5FF06C96" w:rsidRPr="00760E4E">
        <w:rPr>
          <w:rFonts w:ascii="Tahoma" w:eastAsia="Times New Roman" w:hAnsi="Tahoma" w:cs="Tahoma"/>
          <w:color w:val="000000" w:themeColor="text1"/>
          <w:lang w:val="es" w:eastAsia="es-CO"/>
        </w:rPr>
        <w:t>ursos sí tiene un fundamento jurídico que no es otro que la declaratoria de ineficacia de la afiliación y las consecuencias de crear la ficción de que el acto nunca existió.</w:t>
      </w:r>
    </w:p>
    <w:p w14:paraId="4188C025" w14:textId="5C77ECAB" w:rsidR="4B3CA56A" w:rsidRPr="00760E4E" w:rsidRDefault="4B3CA56A" w:rsidP="00760E4E">
      <w:pPr>
        <w:widowControl w:val="0"/>
        <w:spacing w:before="0" w:beforeAutospacing="0" w:after="0" w:afterAutospacing="0" w:line="276" w:lineRule="auto"/>
        <w:ind w:firstLine="709"/>
        <w:rPr>
          <w:rFonts w:ascii="Tahoma" w:eastAsia="Times New Roman" w:hAnsi="Tahoma" w:cs="Tahoma"/>
          <w:color w:val="000000" w:themeColor="text1"/>
          <w:lang w:val="es" w:eastAsia="es-CO"/>
        </w:rPr>
      </w:pPr>
    </w:p>
    <w:p w14:paraId="75F005BD" w14:textId="610B3B2B" w:rsidR="00BA1817" w:rsidRPr="00760E4E" w:rsidRDefault="00B6320C" w:rsidP="00760E4E">
      <w:pPr>
        <w:widowControl w:val="0"/>
        <w:spacing w:before="0" w:beforeAutospacing="0" w:after="0" w:afterAutospacing="0" w:line="276" w:lineRule="auto"/>
        <w:ind w:firstLine="709"/>
        <w:rPr>
          <w:rFonts w:ascii="Tahoma" w:eastAsia="Calibri" w:hAnsi="Tahoma" w:cs="Tahoma"/>
          <w:lang w:val="es"/>
        </w:rPr>
      </w:pPr>
      <w:r w:rsidRPr="00760E4E">
        <w:rPr>
          <w:rFonts w:ascii="Tahoma" w:eastAsia="Calibri" w:hAnsi="Tahoma" w:cs="Tahoma"/>
          <w:lang w:val="es-ES"/>
        </w:rPr>
        <w:t>Por otro lado, r</w:t>
      </w:r>
      <w:proofErr w:type="spellStart"/>
      <w:r w:rsidR="0090090C" w:rsidRPr="00760E4E">
        <w:rPr>
          <w:rFonts w:ascii="Tahoma" w:eastAsia="Calibri" w:hAnsi="Tahoma" w:cs="Tahoma"/>
          <w:lang w:val="es"/>
        </w:rPr>
        <w:t>esulta</w:t>
      </w:r>
      <w:proofErr w:type="spellEnd"/>
      <w:r w:rsidR="0090090C" w:rsidRPr="00760E4E">
        <w:rPr>
          <w:rFonts w:ascii="Tahoma" w:eastAsia="Calibri" w:hAnsi="Tahoma" w:cs="Tahoma"/>
          <w:lang w:val="es"/>
        </w:rPr>
        <w:t xml:space="preserve"> improcedente dar prosperidad a las solicitudes especiales elevadas por Colpensiones en su contestación de remitir el expediente al Ministerio de Trabajo y Seguridad Social o del Ministerio de Salud para que este imponga las multas correspondientes y, de condenar a Porvenir S.A un cálculo actuarial equivalente al valor total de las mesadas pensionales a pagar, liquidadas bajo los parámetros del Régimen de Prima Media teniendo en cuenta para ello la expectativa de vida de</w:t>
      </w:r>
      <w:r w:rsidR="004E21FD" w:rsidRPr="00760E4E">
        <w:rPr>
          <w:rFonts w:ascii="Tahoma" w:eastAsia="Calibri" w:hAnsi="Tahoma" w:cs="Tahoma"/>
          <w:lang w:val="es"/>
        </w:rPr>
        <w:t xml:space="preserve"> la</w:t>
      </w:r>
      <w:r w:rsidR="0090090C" w:rsidRPr="00760E4E">
        <w:rPr>
          <w:rFonts w:ascii="Tahoma" w:eastAsia="Calibri" w:hAnsi="Tahoma" w:cs="Tahoma"/>
          <w:lang w:val="es"/>
        </w:rPr>
        <w:t xml:space="preserve"> demandante y la de sus beneficiarios, puesto que, son ajenas al objeto del proceso, ello debe ser objeto de demanda de COLPENSIONES contra la AFP a efectos de que esta última ejerza debidamente su derecho de defensa. En consecuencia, el cálculo actuarial solicitado por COLPENSIONES no puede analizarse en este asunto porque no hay pretensiones en ese sentido. Por otra parte, no puede pasarse inadvertido que dentro de la acción de ineficacia las sanciones son taxativas y su interpretación restrictiva y la única sanción legal establecida para quienes atenten contra la afiliación libre, voluntaria e informada del trabajador es la prevista en el artículo 271 de la Ley 100 de 1993, cuya imposición </w:t>
      </w:r>
      <w:proofErr w:type="gramStart"/>
      <w:r w:rsidR="0090090C" w:rsidRPr="00760E4E">
        <w:rPr>
          <w:rFonts w:ascii="Tahoma" w:eastAsia="Calibri" w:hAnsi="Tahoma" w:cs="Tahoma"/>
          <w:lang w:val="es"/>
        </w:rPr>
        <w:t>le</w:t>
      </w:r>
      <w:proofErr w:type="gramEnd"/>
      <w:r w:rsidR="0090090C" w:rsidRPr="00760E4E">
        <w:rPr>
          <w:rFonts w:ascii="Tahoma" w:eastAsia="Calibri" w:hAnsi="Tahoma" w:cs="Tahoma"/>
          <w:lang w:val="es"/>
        </w:rPr>
        <w:t xml:space="preserve"> compete a las autoridades del Ministerio del Trabajo y Seguridad Social o del Ministerio de Salud en cada caso y no a la justicia del trabajo. Lo anterior sin perjuicio de las acciones por indemnización de perjuicios que eventualmente tienen l</w:t>
      </w:r>
      <w:r w:rsidR="00647E63" w:rsidRPr="00760E4E">
        <w:rPr>
          <w:rFonts w:ascii="Tahoma" w:eastAsia="Calibri" w:hAnsi="Tahoma" w:cs="Tahoma"/>
          <w:lang w:val="es"/>
        </w:rPr>
        <w:t>a</w:t>
      </w:r>
      <w:r w:rsidR="0090090C" w:rsidRPr="00760E4E">
        <w:rPr>
          <w:rFonts w:ascii="Tahoma" w:eastAsia="Calibri" w:hAnsi="Tahoma" w:cs="Tahoma"/>
          <w:lang w:val="es"/>
        </w:rPr>
        <w:t xml:space="preserve"> afiliad</w:t>
      </w:r>
      <w:r w:rsidR="00647E63" w:rsidRPr="00760E4E">
        <w:rPr>
          <w:rFonts w:ascii="Tahoma" w:eastAsia="Calibri" w:hAnsi="Tahoma" w:cs="Tahoma"/>
          <w:lang w:val="es"/>
        </w:rPr>
        <w:t>a</w:t>
      </w:r>
      <w:r w:rsidR="0090090C" w:rsidRPr="00760E4E">
        <w:rPr>
          <w:rFonts w:ascii="Tahoma" w:eastAsia="Calibri" w:hAnsi="Tahoma" w:cs="Tahoma"/>
          <w:lang w:val="es"/>
        </w:rPr>
        <w:t xml:space="preserve"> y COLPENSIONES.</w:t>
      </w:r>
    </w:p>
    <w:p w14:paraId="4D3C8FDB" w14:textId="69B82192" w:rsidR="4B3CA56A" w:rsidRPr="00760E4E" w:rsidRDefault="4B3CA56A" w:rsidP="00760E4E">
      <w:pPr>
        <w:widowControl w:val="0"/>
        <w:spacing w:before="0" w:beforeAutospacing="0" w:after="0" w:afterAutospacing="0" w:line="276" w:lineRule="auto"/>
        <w:ind w:firstLine="709"/>
        <w:rPr>
          <w:rFonts w:ascii="Tahoma" w:eastAsia="Calibri" w:hAnsi="Tahoma" w:cs="Tahoma"/>
          <w:lang w:val="es"/>
        </w:rPr>
      </w:pPr>
    </w:p>
    <w:p w14:paraId="239EF5D2" w14:textId="31F2D846" w:rsidR="00BA1817" w:rsidRPr="00760E4E" w:rsidRDefault="00BA1817" w:rsidP="00760E4E">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760E4E">
        <w:rPr>
          <w:rFonts w:ascii="Tahoma" w:eastAsia="Calibri" w:hAnsi="Tahoma" w:cs="Tahoma"/>
          <w:lang w:eastAsia="es-CO"/>
        </w:rPr>
        <w:t>Ahora, como la declaratoria de ineficacia trae como consecuencia que las cosas se reestablezcan al estado en el que se encontraban al momento del traslado de régimen, es necesario confirmar la orden de comunicar la decisión adoptada en este asunto a la OBP del Ministerio de Hacienda y Crédito Público, para que, en caso de</w:t>
      </w:r>
      <w:r w:rsidR="00284925" w:rsidRPr="00760E4E">
        <w:rPr>
          <w:rFonts w:ascii="Tahoma" w:eastAsia="Calibri" w:hAnsi="Tahoma" w:cs="Tahoma"/>
          <w:lang w:eastAsia="es-CO"/>
        </w:rPr>
        <w:t xml:space="preserve"> haber emitido el bono pensional</w:t>
      </w:r>
      <w:r w:rsidRPr="00760E4E">
        <w:rPr>
          <w:rFonts w:ascii="Tahoma" w:eastAsia="Calibri" w:hAnsi="Tahoma" w:cs="Tahoma"/>
          <w:lang w:eastAsia="es-CO"/>
        </w:rPr>
        <w:t>, proceda con la anulación del mismo mediante trámite interno, aplicando lo previsto en el artículo 57 del Decreto 1748 de 1995, modificado por el artículo 17 del Decreto 3798 de 2003 hoy recopilado en el Decreto 833 de 2016. Ello en razón a que no existe dentro del plenario prueba que acredite que el bono ha sido liquidado, emitido y cancelado por parte de esa cartera ministerial</w:t>
      </w:r>
      <w:r w:rsidR="00B6320C" w:rsidRPr="00760E4E">
        <w:rPr>
          <w:rFonts w:ascii="Tahoma" w:eastAsia="Calibri" w:hAnsi="Tahoma" w:cs="Tahoma"/>
          <w:lang w:eastAsia="es-CO"/>
        </w:rPr>
        <w:t xml:space="preserve"> y la actora no ha llegado a los 60 años, como para concluir que se efectuó la redención normal</w:t>
      </w:r>
      <w:r w:rsidRPr="00760E4E">
        <w:rPr>
          <w:rFonts w:ascii="Tahoma" w:eastAsia="Calibri" w:hAnsi="Tahoma" w:cs="Tahoma"/>
          <w:lang w:eastAsia="es-CO"/>
        </w:rPr>
        <w:t>.</w:t>
      </w:r>
    </w:p>
    <w:p w14:paraId="4E6931C8" w14:textId="77777777" w:rsidR="001C31A7" w:rsidRPr="00760E4E" w:rsidRDefault="001C31A7" w:rsidP="00760E4E">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64637C2C" w14:textId="012BA8D7" w:rsidR="00210D29" w:rsidRPr="00760E4E" w:rsidRDefault="00711FF5" w:rsidP="00760E4E">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760E4E">
        <w:rPr>
          <w:rFonts w:ascii="Tahoma" w:eastAsia="Calibri" w:hAnsi="Tahoma" w:cs="Tahoma"/>
          <w:lang w:eastAsia="es-CO"/>
        </w:rPr>
        <w:t>Ante el fracaso de</w:t>
      </w:r>
      <w:r w:rsidR="000F52FD" w:rsidRPr="00760E4E">
        <w:rPr>
          <w:rFonts w:ascii="Tahoma" w:eastAsia="Calibri" w:hAnsi="Tahoma" w:cs="Tahoma"/>
          <w:lang w:eastAsia="es-CO"/>
        </w:rPr>
        <w:t>l recurso</w:t>
      </w:r>
      <w:r w:rsidRPr="00760E4E">
        <w:rPr>
          <w:rFonts w:ascii="Tahoma" w:eastAsia="Calibri" w:hAnsi="Tahoma" w:cs="Tahoma"/>
          <w:lang w:eastAsia="es-CO"/>
        </w:rPr>
        <w:t xml:space="preserve"> de apelación, </w:t>
      </w:r>
      <w:r w:rsidR="00210D29" w:rsidRPr="00760E4E">
        <w:rPr>
          <w:rFonts w:ascii="Tahoma" w:eastAsia="Calibri" w:hAnsi="Tahoma" w:cs="Tahoma"/>
          <w:lang w:eastAsia="es-CO"/>
        </w:rPr>
        <w:t xml:space="preserve">de conformidad con el artículo 365 del CGP, se condenará en costas procesales a </w:t>
      </w:r>
      <w:r w:rsidR="003C3FE0" w:rsidRPr="00760E4E">
        <w:rPr>
          <w:rFonts w:ascii="Tahoma" w:eastAsia="Calibri" w:hAnsi="Tahoma" w:cs="Tahoma"/>
          <w:lang w:eastAsia="es-CO"/>
        </w:rPr>
        <w:t>Porvenir S.A.</w:t>
      </w:r>
      <w:r w:rsidR="000F52FD" w:rsidRPr="00760E4E">
        <w:rPr>
          <w:rFonts w:ascii="Tahoma" w:eastAsia="Calibri" w:hAnsi="Tahoma" w:cs="Tahoma"/>
          <w:lang w:eastAsia="es-CO"/>
        </w:rPr>
        <w:t>,</w:t>
      </w:r>
      <w:r w:rsidR="00210D29" w:rsidRPr="00760E4E">
        <w:rPr>
          <w:rFonts w:ascii="Tahoma" w:eastAsia="Calibri" w:hAnsi="Tahoma" w:cs="Tahoma"/>
          <w:lang w:eastAsia="es-CO"/>
        </w:rPr>
        <w:t xml:space="preserve"> a favor de la parte actora, las cuales se liquidarán por la secretaría del juzgado de origen. </w:t>
      </w:r>
    </w:p>
    <w:p w14:paraId="7CDEB2ED" w14:textId="06831CA4" w:rsidR="00210D29" w:rsidRPr="00760E4E" w:rsidRDefault="00210D29" w:rsidP="00760E4E">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491920E1" w14:textId="73590744" w:rsidR="004E21FD" w:rsidRPr="00760E4E" w:rsidRDefault="00210D29" w:rsidP="00760E4E">
      <w:pPr>
        <w:spacing w:before="0" w:beforeAutospacing="0" w:after="0" w:afterAutospacing="0" w:line="276" w:lineRule="auto"/>
        <w:ind w:firstLine="705"/>
        <w:textAlignment w:val="baseline"/>
        <w:rPr>
          <w:rFonts w:ascii="Tahoma" w:eastAsia="Times New Roman" w:hAnsi="Tahoma" w:cs="Tahoma"/>
          <w:lang w:eastAsia="es-CO"/>
        </w:rPr>
      </w:pPr>
      <w:r w:rsidRPr="00760E4E">
        <w:rPr>
          <w:rFonts w:ascii="Tahoma" w:eastAsia="Times New Roman" w:hAnsi="Tahoma" w:cs="Tahoma"/>
          <w:lang w:eastAsia="es-CO"/>
        </w:rPr>
        <w:t xml:space="preserve">En mérito de lo expuesto, el </w:t>
      </w:r>
      <w:r w:rsidRPr="00760E4E">
        <w:rPr>
          <w:rFonts w:ascii="Tahoma" w:eastAsia="Times New Roman" w:hAnsi="Tahoma" w:cs="Tahoma"/>
          <w:b/>
          <w:bCs/>
          <w:lang w:eastAsia="es-CO"/>
        </w:rPr>
        <w:t>Tribunal Superior del Distrito Judicial de Pereira - Risaralda, Sala Primera de Decisión Laboral,</w:t>
      </w:r>
      <w:r w:rsidRPr="00760E4E">
        <w:rPr>
          <w:rFonts w:ascii="Tahoma" w:eastAsia="Times New Roman" w:hAnsi="Tahoma" w:cs="Tahoma"/>
          <w:lang w:eastAsia="es-CO"/>
        </w:rPr>
        <w:t xml:space="preserve"> administrando justicia en nombre de la República y por autoridad de la ley, </w:t>
      </w:r>
    </w:p>
    <w:p w14:paraId="443025ED" w14:textId="54885DD5" w:rsidR="00210D29" w:rsidRDefault="00210D29" w:rsidP="00760E4E">
      <w:pPr>
        <w:spacing w:before="0" w:beforeAutospacing="0" w:after="0" w:afterAutospacing="0" w:line="276" w:lineRule="auto"/>
        <w:ind w:firstLine="705"/>
        <w:textAlignment w:val="baseline"/>
        <w:rPr>
          <w:rFonts w:ascii="Tahoma" w:eastAsia="Times New Roman" w:hAnsi="Tahoma" w:cs="Tahoma"/>
          <w:lang w:eastAsia="es-CO"/>
        </w:rPr>
      </w:pPr>
      <w:r w:rsidRPr="00760E4E">
        <w:rPr>
          <w:rFonts w:ascii="Tahoma" w:eastAsia="Times New Roman" w:hAnsi="Tahoma" w:cs="Tahoma"/>
          <w:lang w:eastAsia="es-CO"/>
        </w:rPr>
        <w:t> </w:t>
      </w:r>
    </w:p>
    <w:p w14:paraId="0E849C02" w14:textId="77777777" w:rsidR="00956383" w:rsidRPr="00760E4E" w:rsidRDefault="00956383" w:rsidP="00760E4E">
      <w:pPr>
        <w:spacing w:before="0" w:beforeAutospacing="0" w:after="0" w:afterAutospacing="0" w:line="276" w:lineRule="auto"/>
        <w:ind w:firstLine="705"/>
        <w:textAlignment w:val="baseline"/>
        <w:rPr>
          <w:rFonts w:ascii="Tahoma" w:eastAsia="Times New Roman" w:hAnsi="Tahoma" w:cs="Tahoma"/>
          <w:lang w:eastAsia="es-CO"/>
        </w:rPr>
      </w:pPr>
    </w:p>
    <w:p w14:paraId="6746B67C" w14:textId="77777777" w:rsidR="00210D29" w:rsidRPr="00760E4E" w:rsidRDefault="00210D29" w:rsidP="00760E4E">
      <w:pPr>
        <w:spacing w:before="0" w:beforeAutospacing="0" w:after="0" w:afterAutospacing="0" w:line="276" w:lineRule="auto"/>
        <w:ind w:firstLine="270"/>
        <w:jc w:val="center"/>
        <w:textAlignment w:val="baseline"/>
        <w:rPr>
          <w:rFonts w:ascii="Tahoma" w:eastAsia="Times New Roman" w:hAnsi="Tahoma" w:cs="Tahoma"/>
          <w:b/>
          <w:bCs/>
          <w:color w:val="000000"/>
          <w:lang w:eastAsia="es-CO"/>
        </w:rPr>
      </w:pPr>
      <w:r w:rsidRPr="00760E4E">
        <w:rPr>
          <w:rFonts w:ascii="Tahoma" w:eastAsia="Times New Roman" w:hAnsi="Tahoma" w:cs="Tahoma"/>
          <w:b/>
          <w:bCs/>
          <w:color w:val="000000"/>
          <w:lang w:eastAsia="es-CO"/>
        </w:rPr>
        <w:t>RESUELVE</w:t>
      </w:r>
    </w:p>
    <w:p w14:paraId="3765D465" w14:textId="77777777" w:rsidR="00210D29" w:rsidRPr="00760E4E" w:rsidRDefault="00210D29" w:rsidP="00760E4E">
      <w:pPr>
        <w:spacing w:before="0" w:beforeAutospacing="0" w:after="0" w:afterAutospacing="0" w:line="276" w:lineRule="auto"/>
        <w:ind w:firstLine="270"/>
        <w:jc w:val="center"/>
        <w:textAlignment w:val="baseline"/>
        <w:rPr>
          <w:rFonts w:ascii="Tahoma" w:eastAsia="Times New Roman" w:hAnsi="Tahoma" w:cs="Tahoma"/>
          <w:color w:val="000000"/>
          <w:lang w:eastAsia="es-CO"/>
        </w:rPr>
      </w:pPr>
    </w:p>
    <w:p w14:paraId="0C96D98C" w14:textId="6BC99AC0" w:rsidR="00210D29" w:rsidRPr="00760E4E" w:rsidRDefault="00210D29" w:rsidP="00760E4E">
      <w:pPr>
        <w:spacing w:before="0" w:beforeAutospacing="0" w:after="0" w:afterAutospacing="0" w:line="276" w:lineRule="auto"/>
        <w:ind w:firstLine="708"/>
        <w:contextualSpacing/>
        <w:rPr>
          <w:rFonts w:ascii="Tahoma" w:eastAsia="Tahoma" w:hAnsi="Tahoma" w:cs="Tahoma"/>
          <w:color w:val="000000" w:themeColor="text1"/>
        </w:rPr>
      </w:pPr>
      <w:r w:rsidRPr="00760E4E">
        <w:rPr>
          <w:rFonts w:ascii="Tahoma" w:eastAsia="Times New Roman" w:hAnsi="Tahoma" w:cs="Tahoma"/>
          <w:b/>
          <w:bCs/>
          <w:color w:val="000000" w:themeColor="text1"/>
          <w:lang w:eastAsia="es-CO"/>
        </w:rPr>
        <w:t xml:space="preserve">PRIMERO: </w:t>
      </w:r>
      <w:r w:rsidR="1C657D97" w:rsidRPr="00760E4E">
        <w:rPr>
          <w:rFonts w:ascii="Tahoma" w:eastAsia="Tahoma" w:hAnsi="Tahoma" w:cs="Tahoma"/>
          <w:b/>
          <w:bCs/>
          <w:color w:val="000000" w:themeColor="text1"/>
        </w:rPr>
        <w:t xml:space="preserve">ADICIONAR </w:t>
      </w:r>
      <w:r w:rsidR="1C657D97" w:rsidRPr="00760E4E">
        <w:rPr>
          <w:rFonts w:ascii="Tahoma" w:eastAsia="Tahoma" w:hAnsi="Tahoma" w:cs="Tahoma"/>
          <w:color w:val="000000" w:themeColor="text1"/>
        </w:rPr>
        <w:t xml:space="preserve">la sentencia proferida por el Juzgado Segundo Laboral del Circuito de Pereira el 31 de enero de 2023, dentro del proceso ordinario laboral promovido por </w:t>
      </w:r>
      <w:r w:rsidR="1C657D97" w:rsidRPr="00760E4E">
        <w:rPr>
          <w:rFonts w:ascii="Tahoma" w:hAnsi="Tahoma" w:cs="Tahoma"/>
          <w:b/>
          <w:bCs/>
        </w:rPr>
        <w:t xml:space="preserve">Olga Rocío Henao Restrepo </w:t>
      </w:r>
      <w:r w:rsidR="1C657D97" w:rsidRPr="00760E4E">
        <w:rPr>
          <w:rFonts w:ascii="Tahoma" w:hAnsi="Tahoma" w:cs="Tahoma"/>
        </w:rPr>
        <w:t>en contra de</w:t>
      </w:r>
      <w:r w:rsidR="1C657D97" w:rsidRPr="00760E4E">
        <w:rPr>
          <w:rFonts w:ascii="Tahoma" w:hAnsi="Tahoma" w:cs="Tahoma"/>
          <w:b/>
          <w:bCs/>
        </w:rPr>
        <w:t xml:space="preserve"> </w:t>
      </w:r>
      <w:r w:rsidR="1C657D97" w:rsidRPr="00760E4E">
        <w:rPr>
          <w:rFonts w:ascii="Tahoma" w:hAnsi="Tahoma" w:cs="Tahoma"/>
        </w:rPr>
        <w:t>la</w:t>
      </w:r>
      <w:r w:rsidR="1C657D97" w:rsidRPr="00760E4E">
        <w:rPr>
          <w:rFonts w:ascii="Tahoma" w:hAnsi="Tahoma" w:cs="Tahoma"/>
          <w:b/>
          <w:bCs/>
        </w:rPr>
        <w:t xml:space="preserve"> Administradora Colombiana de Pensiones</w:t>
      </w:r>
      <w:r w:rsidR="1C657D97" w:rsidRPr="00760E4E">
        <w:rPr>
          <w:rFonts w:ascii="Tahoma" w:hAnsi="Tahoma" w:cs="Tahoma"/>
          <w:b/>
          <w:bCs/>
          <w:caps/>
        </w:rPr>
        <w:t xml:space="preserve"> – </w:t>
      </w:r>
      <w:r w:rsidR="1C657D97" w:rsidRPr="00760E4E">
        <w:rPr>
          <w:rFonts w:ascii="Tahoma" w:hAnsi="Tahoma" w:cs="Tahoma"/>
          <w:b/>
          <w:bCs/>
        </w:rPr>
        <w:t>Colpensiones</w:t>
      </w:r>
      <w:r w:rsidR="1C657D97" w:rsidRPr="00760E4E">
        <w:rPr>
          <w:rFonts w:ascii="Tahoma" w:hAnsi="Tahoma" w:cs="Tahoma"/>
        </w:rPr>
        <w:t xml:space="preserve">, la </w:t>
      </w:r>
      <w:r w:rsidR="1C657D97" w:rsidRPr="00760E4E">
        <w:rPr>
          <w:rFonts w:ascii="Tahoma" w:hAnsi="Tahoma" w:cs="Tahoma"/>
          <w:b/>
          <w:bCs/>
        </w:rPr>
        <w:t xml:space="preserve">Administradora de Fondos de Pensiones y Cesantías </w:t>
      </w:r>
      <w:r w:rsidR="1C657D97" w:rsidRPr="00760E4E">
        <w:rPr>
          <w:rFonts w:ascii="Tahoma" w:hAnsi="Tahoma" w:cs="Tahoma"/>
          <w:b/>
          <w:bCs/>
          <w:caps/>
        </w:rPr>
        <w:t xml:space="preserve">– </w:t>
      </w:r>
      <w:r w:rsidR="1C657D97" w:rsidRPr="00760E4E">
        <w:rPr>
          <w:rFonts w:ascii="Tahoma" w:hAnsi="Tahoma" w:cs="Tahoma"/>
          <w:b/>
          <w:bCs/>
        </w:rPr>
        <w:t xml:space="preserve">Porvenir </w:t>
      </w:r>
      <w:r w:rsidR="1C657D97" w:rsidRPr="00760E4E">
        <w:rPr>
          <w:rFonts w:ascii="Tahoma" w:hAnsi="Tahoma" w:cs="Tahoma"/>
          <w:b/>
          <w:bCs/>
          <w:caps/>
        </w:rPr>
        <w:t>S.A.</w:t>
      </w:r>
      <w:r w:rsidR="1C657D97" w:rsidRPr="00760E4E">
        <w:rPr>
          <w:rFonts w:ascii="Tahoma" w:hAnsi="Tahoma" w:cs="Tahoma"/>
          <w:caps/>
        </w:rPr>
        <w:t xml:space="preserve">, </w:t>
      </w:r>
      <w:r w:rsidR="1C657D97" w:rsidRPr="00760E4E">
        <w:rPr>
          <w:rFonts w:ascii="Tahoma" w:hAnsi="Tahoma" w:cs="Tahoma"/>
        </w:rPr>
        <w:t xml:space="preserve">y </w:t>
      </w:r>
      <w:r w:rsidR="1C657D97" w:rsidRPr="00760E4E">
        <w:rPr>
          <w:rFonts w:ascii="Tahoma" w:hAnsi="Tahoma" w:cs="Tahoma"/>
          <w:b/>
          <w:bCs/>
        </w:rPr>
        <w:t xml:space="preserve">Colfondos S.A. Pensiones y Cesantías </w:t>
      </w:r>
      <w:r w:rsidR="1C657D97" w:rsidRPr="00760E4E">
        <w:rPr>
          <w:rFonts w:ascii="Tahoma" w:eastAsia="Tahoma" w:hAnsi="Tahoma" w:cs="Tahoma"/>
          <w:color w:val="000000" w:themeColor="text1"/>
        </w:rPr>
        <w:t xml:space="preserve">en el siguiente sentido: </w:t>
      </w:r>
    </w:p>
    <w:p w14:paraId="73E16481" w14:textId="454A3C3D" w:rsidR="21BCFD8D" w:rsidRPr="00760E4E" w:rsidRDefault="21BCFD8D" w:rsidP="00760E4E">
      <w:pPr>
        <w:spacing w:before="0" w:beforeAutospacing="0" w:after="0" w:afterAutospacing="0" w:line="276" w:lineRule="auto"/>
        <w:ind w:firstLine="708"/>
        <w:contextualSpacing/>
        <w:rPr>
          <w:rFonts w:ascii="Tahoma" w:eastAsia="Tahoma" w:hAnsi="Tahoma" w:cs="Tahoma"/>
          <w:color w:val="000000" w:themeColor="text1"/>
        </w:rPr>
      </w:pPr>
    </w:p>
    <w:p w14:paraId="3C99A3BE" w14:textId="54F99440" w:rsidR="1C657D97" w:rsidRPr="00760E4E" w:rsidRDefault="1C657D97" w:rsidP="00760E4E">
      <w:pPr>
        <w:spacing w:before="0" w:beforeAutospacing="0" w:after="0" w:afterAutospacing="0" w:line="276" w:lineRule="auto"/>
        <w:ind w:left="426" w:right="420" w:firstLine="0"/>
        <w:rPr>
          <w:rFonts w:ascii="Tahoma" w:eastAsia="Arial Narrow" w:hAnsi="Tahoma" w:cs="Tahoma"/>
          <w:color w:val="000000" w:themeColor="text1"/>
        </w:rPr>
      </w:pPr>
      <w:r w:rsidRPr="00760E4E">
        <w:rPr>
          <w:rFonts w:ascii="Tahoma" w:eastAsia="Arial Narrow" w:hAnsi="Tahoma" w:cs="Tahoma"/>
          <w:i/>
          <w:iCs/>
          <w:color w:val="000000" w:themeColor="text1"/>
          <w:lang w:val="es-ES"/>
        </w:rPr>
        <w:t xml:space="preserve">“al momento de cumplirse la orden prevista en los numerales </w:t>
      </w:r>
      <w:r w:rsidR="0E67813A" w:rsidRPr="00760E4E">
        <w:rPr>
          <w:rFonts w:ascii="Tahoma" w:eastAsia="Arial Narrow" w:hAnsi="Tahoma" w:cs="Tahoma"/>
          <w:i/>
          <w:iCs/>
          <w:color w:val="000000" w:themeColor="text1"/>
          <w:lang w:val="es-ES"/>
        </w:rPr>
        <w:t>cuarto y quinto</w:t>
      </w:r>
      <w:r w:rsidRPr="00760E4E">
        <w:rPr>
          <w:rFonts w:ascii="Tahoma" w:eastAsia="Arial Narrow" w:hAnsi="Tahoma" w:cs="Tahoma"/>
          <w:i/>
          <w:iCs/>
          <w:color w:val="000000" w:themeColor="text1"/>
          <w:lang w:val="es-ES"/>
        </w:rPr>
        <w:t>, tales valores deberán aparecer discriminados con sus respectivos montos, junto con el detalle pormenorizado de los ciclos, IBC, aportes y demás información relevante que los justifiquen”.</w:t>
      </w:r>
    </w:p>
    <w:p w14:paraId="12430A59" w14:textId="140D7045" w:rsidR="21BCFD8D" w:rsidRPr="00760E4E" w:rsidRDefault="21BCFD8D" w:rsidP="00760E4E">
      <w:pPr>
        <w:spacing w:before="0" w:beforeAutospacing="0" w:after="0" w:afterAutospacing="0" w:line="276" w:lineRule="auto"/>
        <w:ind w:firstLine="705"/>
        <w:rPr>
          <w:rFonts w:ascii="Tahoma" w:eastAsia="Tahoma" w:hAnsi="Tahoma" w:cs="Tahoma"/>
          <w:color w:val="000000" w:themeColor="text1"/>
        </w:rPr>
      </w:pPr>
    </w:p>
    <w:p w14:paraId="714291BB" w14:textId="4F87935C" w:rsidR="1C657D97" w:rsidRPr="00760E4E" w:rsidRDefault="1C657D97" w:rsidP="00760E4E">
      <w:pPr>
        <w:spacing w:before="0" w:beforeAutospacing="0" w:after="0" w:afterAutospacing="0" w:line="276" w:lineRule="auto"/>
        <w:ind w:firstLine="705"/>
        <w:rPr>
          <w:rFonts w:ascii="Tahoma" w:eastAsia="Tahoma" w:hAnsi="Tahoma" w:cs="Tahoma"/>
          <w:color w:val="000000" w:themeColor="text1"/>
        </w:rPr>
      </w:pPr>
      <w:r w:rsidRPr="00760E4E">
        <w:rPr>
          <w:rStyle w:val="normaltextrun"/>
          <w:rFonts w:ascii="Tahoma" w:eastAsia="Tahoma" w:hAnsi="Tahoma" w:cs="Tahoma"/>
          <w:b/>
          <w:bCs/>
          <w:color w:val="000000" w:themeColor="text1"/>
        </w:rPr>
        <w:t xml:space="preserve">SEGUNDO: CONFIRMAR </w:t>
      </w:r>
      <w:r w:rsidRPr="00760E4E">
        <w:rPr>
          <w:rFonts w:ascii="Tahoma" w:eastAsia="Tahoma" w:hAnsi="Tahoma" w:cs="Tahoma"/>
          <w:color w:val="000000" w:themeColor="text1"/>
        </w:rPr>
        <w:t>en todo lo demás la sentencia recurrida y consultada.</w:t>
      </w:r>
    </w:p>
    <w:p w14:paraId="752868E7" w14:textId="2A4D66DF" w:rsidR="00A242D7" w:rsidRPr="00760E4E" w:rsidRDefault="00A242D7" w:rsidP="00760E4E">
      <w:pPr>
        <w:spacing w:before="0" w:beforeAutospacing="0" w:after="0" w:afterAutospacing="0" w:line="276" w:lineRule="auto"/>
        <w:textAlignment w:val="baseline"/>
        <w:rPr>
          <w:rFonts w:ascii="Tahoma" w:hAnsi="Tahoma" w:cs="Tahoma"/>
          <w:color w:val="000000"/>
          <w:shd w:val="clear" w:color="auto" w:fill="FFFFFF"/>
        </w:rPr>
      </w:pPr>
    </w:p>
    <w:p w14:paraId="6CD887F6" w14:textId="5EB02199" w:rsidR="00A242D7" w:rsidRPr="00760E4E" w:rsidRDefault="1C657D97" w:rsidP="00760E4E">
      <w:pPr>
        <w:spacing w:before="0" w:beforeAutospacing="0" w:after="0" w:afterAutospacing="0" w:line="276" w:lineRule="auto"/>
        <w:textAlignment w:val="baseline"/>
        <w:rPr>
          <w:rStyle w:val="normaltextrun"/>
          <w:rFonts w:ascii="Tahoma" w:hAnsi="Tahoma" w:cs="Tahoma"/>
          <w:color w:val="000000"/>
          <w:shd w:val="clear" w:color="auto" w:fill="FFFFFF"/>
        </w:rPr>
      </w:pPr>
      <w:r w:rsidRPr="00760E4E">
        <w:rPr>
          <w:rFonts w:ascii="Tahoma" w:hAnsi="Tahoma" w:cs="Tahoma"/>
          <w:b/>
          <w:bCs/>
          <w:color w:val="000000"/>
          <w:shd w:val="clear" w:color="auto" w:fill="FFFFFF"/>
        </w:rPr>
        <w:t>TERCERO:</w:t>
      </w:r>
      <w:r w:rsidR="00A242D7" w:rsidRPr="00760E4E">
        <w:rPr>
          <w:rFonts w:ascii="Tahoma" w:hAnsi="Tahoma" w:cs="Tahoma"/>
          <w:color w:val="000000"/>
          <w:shd w:val="clear" w:color="auto" w:fill="FFFFFF"/>
        </w:rPr>
        <w:t xml:space="preserve"> </w:t>
      </w:r>
      <w:r w:rsidR="00A242D7" w:rsidRPr="00760E4E">
        <w:rPr>
          <w:rStyle w:val="normaltextrun"/>
          <w:rFonts w:ascii="Tahoma" w:hAnsi="Tahoma" w:cs="Tahoma"/>
          <w:b/>
          <w:bCs/>
          <w:color w:val="000000"/>
          <w:shd w:val="clear" w:color="auto" w:fill="FFFFFF"/>
        </w:rPr>
        <w:t>CONDENAR</w:t>
      </w:r>
      <w:r w:rsidR="00A242D7" w:rsidRPr="00760E4E">
        <w:rPr>
          <w:rStyle w:val="normaltextrun"/>
          <w:rFonts w:ascii="Tahoma" w:hAnsi="Tahoma" w:cs="Tahoma"/>
          <w:color w:val="000000"/>
          <w:shd w:val="clear" w:color="auto" w:fill="FFFFFF"/>
        </w:rPr>
        <w:t xml:space="preserve"> en costas de segunda instancia a </w:t>
      </w:r>
      <w:r w:rsidR="00A242D7" w:rsidRPr="00760E4E">
        <w:rPr>
          <w:rStyle w:val="normaltextrun"/>
          <w:rFonts w:ascii="Tahoma" w:hAnsi="Tahoma" w:cs="Tahoma"/>
          <w:color w:val="000000"/>
          <w:shd w:val="clear" w:color="auto" w:fill="FFFFFF"/>
          <w:lang w:val="es-ES"/>
        </w:rPr>
        <w:t>Porvenir S.A</w:t>
      </w:r>
      <w:r w:rsidR="000F52FD" w:rsidRPr="00760E4E">
        <w:rPr>
          <w:rStyle w:val="normaltextrun"/>
          <w:rFonts w:ascii="Tahoma" w:hAnsi="Tahoma" w:cs="Tahoma"/>
          <w:color w:val="000000"/>
          <w:shd w:val="clear" w:color="auto" w:fill="FFFFFF"/>
          <w:lang w:val="es-ES"/>
        </w:rPr>
        <w:t xml:space="preserve">. </w:t>
      </w:r>
      <w:r w:rsidR="00A242D7" w:rsidRPr="00760E4E">
        <w:rPr>
          <w:rStyle w:val="normaltextrun"/>
          <w:rFonts w:ascii="Tahoma" w:hAnsi="Tahoma" w:cs="Tahoma"/>
          <w:color w:val="000000"/>
          <w:shd w:val="clear" w:color="auto" w:fill="FFFFFF"/>
        </w:rPr>
        <w:t xml:space="preserve"> a favor de la parte demandante. Liquídense por la secretaría del juzgado de origen.</w:t>
      </w:r>
    </w:p>
    <w:p w14:paraId="2FF63483" w14:textId="77777777" w:rsidR="00760E4E" w:rsidRPr="006622A2" w:rsidRDefault="00760E4E" w:rsidP="00760E4E">
      <w:pPr>
        <w:spacing w:before="0" w:beforeAutospacing="0" w:after="0" w:afterAutospacing="0" w:line="276" w:lineRule="auto"/>
        <w:ind w:firstLine="0"/>
        <w:rPr>
          <w:rFonts w:ascii="Tahoma" w:eastAsia="Calibri" w:hAnsi="Tahoma" w:cs="Tahoma"/>
        </w:rPr>
      </w:pPr>
      <w:bookmarkStart w:id="6" w:name="_Hlk126574973"/>
    </w:p>
    <w:p w14:paraId="13495AF0" w14:textId="77777777" w:rsidR="00760E4E" w:rsidRPr="006622A2" w:rsidRDefault="00760E4E" w:rsidP="00760E4E">
      <w:pPr>
        <w:spacing w:before="0" w:beforeAutospacing="0" w:after="0" w:afterAutospacing="0" w:line="276" w:lineRule="auto"/>
        <w:ind w:firstLine="0"/>
        <w:jc w:val="center"/>
        <w:rPr>
          <w:rFonts w:ascii="Tahoma" w:eastAsia="Tahoma" w:hAnsi="Tahoma" w:cs="Tahoma"/>
          <w:b/>
          <w:bCs/>
        </w:rPr>
      </w:pPr>
      <w:r w:rsidRPr="006622A2">
        <w:rPr>
          <w:rFonts w:ascii="Tahoma" w:eastAsia="Tahoma" w:hAnsi="Tahoma" w:cs="Tahoma"/>
          <w:b/>
          <w:bCs/>
        </w:rPr>
        <w:t>NOTIFÍQUESE Y CÚMPLASE</w:t>
      </w:r>
    </w:p>
    <w:p w14:paraId="00325866" w14:textId="77777777" w:rsidR="00760E4E" w:rsidRPr="006622A2" w:rsidRDefault="00760E4E" w:rsidP="00760E4E">
      <w:pPr>
        <w:spacing w:before="0" w:beforeAutospacing="0" w:after="0" w:afterAutospacing="0" w:line="276" w:lineRule="auto"/>
        <w:ind w:firstLine="0"/>
        <w:rPr>
          <w:rFonts w:ascii="Tahoma" w:eastAsia="Calibri" w:hAnsi="Tahoma" w:cs="Tahoma"/>
        </w:rPr>
      </w:pPr>
      <w:r w:rsidRPr="006622A2">
        <w:rPr>
          <w:rFonts w:ascii="Tahoma" w:eastAsia="Calibri" w:hAnsi="Tahoma" w:cs="Tahoma"/>
        </w:rPr>
        <w:t xml:space="preserve"> </w:t>
      </w:r>
    </w:p>
    <w:p w14:paraId="2675DECE" w14:textId="77777777" w:rsidR="00760E4E" w:rsidRPr="006622A2" w:rsidRDefault="00760E4E" w:rsidP="00760E4E">
      <w:pPr>
        <w:widowControl w:val="0"/>
        <w:autoSpaceDE w:val="0"/>
        <w:autoSpaceDN w:val="0"/>
        <w:adjustRightInd w:val="0"/>
        <w:spacing w:before="0" w:beforeAutospacing="0" w:after="0" w:afterAutospacing="0" w:line="276" w:lineRule="auto"/>
        <w:ind w:firstLine="0"/>
        <w:rPr>
          <w:rFonts w:ascii="Tahoma" w:eastAsia="Times New Roman" w:hAnsi="Tahoma" w:cs="Tahoma"/>
          <w:lang w:val="es-ES" w:eastAsia="es-ES"/>
        </w:rPr>
      </w:pPr>
      <w:r w:rsidRPr="006622A2">
        <w:rPr>
          <w:rFonts w:ascii="Tahoma" w:eastAsia="Times New Roman" w:hAnsi="Tahoma" w:cs="Tahoma"/>
          <w:lang w:val="es-ES" w:eastAsia="es-ES"/>
        </w:rPr>
        <w:tab/>
        <w:t>La Magistrada ponente,</w:t>
      </w:r>
    </w:p>
    <w:p w14:paraId="12F13C96" w14:textId="77777777" w:rsidR="00760E4E" w:rsidRPr="006622A2" w:rsidRDefault="00760E4E" w:rsidP="00760E4E">
      <w:pPr>
        <w:spacing w:before="0" w:beforeAutospacing="0" w:after="0" w:afterAutospacing="0" w:line="276" w:lineRule="auto"/>
        <w:ind w:firstLine="0"/>
        <w:jc w:val="left"/>
        <w:rPr>
          <w:rFonts w:ascii="Tahoma" w:eastAsia="Times New Roman" w:hAnsi="Tahoma" w:cs="Tahoma"/>
          <w:lang w:val="es-ES" w:eastAsia="es-ES"/>
        </w:rPr>
      </w:pPr>
    </w:p>
    <w:p w14:paraId="4BAE0DC0" w14:textId="77777777" w:rsidR="00760E4E" w:rsidRPr="006622A2" w:rsidRDefault="00760E4E" w:rsidP="00760E4E">
      <w:pPr>
        <w:spacing w:before="0" w:beforeAutospacing="0" w:after="0" w:afterAutospacing="0" w:line="276" w:lineRule="auto"/>
        <w:ind w:firstLine="0"/>
        <w:jc w:val="left"/>
        <w:rPr>
          <w:rFonts w:ascii="Tahoma" w:eastAsia="Times New Roman" w:hAnsi="Tahoma" w:cs="Tahoma"/>
          <w:lang w:val="es-ES" w:eastAsia="es-ES"/>
        </w:rPr>
      </w:pPr>
    </w:p>
    <w:p w14:paraId="6F524E9F" w14:textId="77777777" w:rsidR="00760E4E" w:rsidRPr="006622A2" w:rsidRDefault="00760E4E" w:rsidP="00760E4E">
      <w:pPr>
        <w:spacing w:before="0" w:beforeAutospacing="0" w:after="0" w:afterAutospacing="0" w:line="276" w:lineRule="auto"/>
        <w:ind w:firstLine="0"/>
        <w:jc w:val="left"/>
        <w:rPr>
          <w:rFonts w:ascii="Tahoma" w:eastAsia="Times New Roman" w:hAnsi="Tahoma" w:cs="Tahoma"/>
          <w:lang w:val="es-ES" w:eastAsia="es-ES"/>
        </w:rPr>
      </w:pPr>
    </w:p>
    <w:p w14:paraId="439F1BBA" w14:textId="77777777" w:rsidR="00760E4E" w:rsidRPr="006622A2" w:rsidRDefault="00760E4E" w:rsidP="00760E4E">
      <w:pPr>
        <w:keepNext/>
        <w:spacing w:before="0" w:beforeAutospacing="0" w:after="0" w:afterAutospacing="0" w:line="276" w:lineRule="auto"/>
        <w:ind w:firstLine="0"/>
        <w:jc w:val="center"/>
        <w:outlineLvl w:val="2"/>
        <w:rPr>
          <w:rFonts w:ascii="Tahoma" w:eastAsia="Times New Roman" w:hAnsi="Tahoma" w:cs="Tahoma"/>
          <w:b/>
          <w:bCs/>
          <w:lang w:val="es-ES" w:eastAsia="es-ES"/>
        </w:rPr>
      </w:pPr>
      <w:r w:rsidRPr="006622A2">
        <w:rPr>
          <w:rFonts w:ascii="Tahoma" w:eastAsia="Times New Roman" w:hAnsi="Tahoma" w:cs="Tahoma"/>
          <w:b/>
          <w:bCs/>
          <w:lang w:val="es-ES" w:eastAsia="es-ES"/>
        </w:rPr>
        <w:t>ANA LUCÍA CAICEDO CALDERÓN</w:t>
      </w:r>
    </w:p>
    <w:p w14:paraId="49F7930D" w14:textId="77777777" w:rsidR="00760E4E" w:rsidRPr="006622A2" w:rsidRDefault="00760E4E" w:rsidP="00760E4E">
      <w:pPr>
        <w:spacing w:before="0" w:beforeAutospacing="0" w:after="0" w:afterAutospacing="0" w:line="276" w:lineRule="auto"/>
        <w:ind w:firstLine="0"/>
        <w:jc w:val="left"/>
        <w:rPr>
          <w:rFonts w:ascii="Tahoma" w:eastAsia="Times New Roman" w:hAnsi="Tahoma" w:cs="Tahoma"/>
          <w:lang w:val="es-ES" w:eastAsia="es-ES"/>
        </w:rPr>
      </w:pPr>
    </w:p>
    <w:p w14:paraId="39D12374" w14:textId="77777777" w:rsidR="00760E4E" w:rsidRPr="006622A2" w:rsidRDefault="00760E4E" w:rsidP="00760E4E">
      <w:pPr>
        <w:spacing w:before="0" w:beforeAutospacing="0" w:after="0" w:afterAutospacing="0" w:line="276" w:lineRule="auto"/>
        <w:ind w:firstLine="708"/>
        <w:jc w:val="left"/>
        <w:rPr>
          <w:rFonts w:ascii="Tahoma" w:eastAsia="Times New Roman" w:hAnsi="Tahoma" w:cs="Tahoma"/>
          <w:lang w:val="es-ES" w:eastAsia="es-ES"/>
        </w:rPr>
      </w:pPr>
      <w:bookmarkStart w:id="7" w:name="_Hlk62478330"/>
      <w:r w:rsidRPr="006622A2">
        <w:rPr>
          <w:rFonts w:ascii="Tahoma" w:eastAsia="Times New Roman" w:hAnsi="Tahoma" w:cs="Tahoma"/>
          <w:lang w:val="es-ES" w:eastAsia="es-ES"/>
        </w:rPr>
        <w:t>La Magistrada y el Magistrado,</w:t>
      </w:r>
    </w:p>
    <w:p w14:paraId="2749E8CB" w14:textId="77777777" w:rsidR="00760E4E" w:rsidRPr="006622A2" w:rsidRDefault="00760E4E" w:rsidP="00760E4E">
      <w:pPr>
        <w:spacing w:before="0" w:beforeAutospacing="0" w:after="0" w:afterAutospacing="0" w:line="276" w:lineRule="auto"/>
        <w:ind w:firstLine="0"/>
        <w:jc w:val="left"/>
        <w:rPr>
          <w:rFonts w:ascii="Tahoma" w:eastAsia="Times New Roman" w:hAnsi="Tahoma" w:cs="Tahoma"/>
          <w:lang w:val="es-ES" w:eastAsia="es-ES"/>
        </w:rPr>
      </w:pPr>
    </w:p>
    <w:p w14:paraId="59746A71" w14:textId="77777777" w:rsidR="00760E4E" w:rsidRPr="006622A2" w:rsidRDefault="00760E4E" w:rsidP="00760E4E">
      <w:pPr>
        <w:spacing w:before="0" w:beforeAutospacing="0" w:after="0" w:afterAutospacing="0" w:line="276" w:lineRule="auto"/>
        <w:ind w:firstLine="0"/>
        <w:jc w:val="left"/>
        <w:rPr>
          <w:rFonts w:ascii="Tahoma" w:eastAsia="Times New Roman" w:hAnsi="Tahoma" w:cs="Tahoma"/>
          <w:lang w:val="es-ES" w:eastAsia="es-ES"/>
        </w:rPr>
      </w:pPr>
    </w:p>
    <w:p w14:paraId="622461D1" w14:textId="77777777" w:rsidR="00760E4E" w:rsidRPr="006622A2" w:rsidRDefault="00760E4E" w:rsidP="00760E4E">
      <w:pPr>
        <w:spacing w:before="0" w:beforeAutospacing="0" w:after="0" w:afterAutospacing="0" w:line="276" w:lineRule="auto"/>
        <w:ind w:firstLine="0"/>
        <w:jc w:val="left"/>
        <w:rPr>
          <w:rFonts w:ascii="Tahoma" w:eastAsia="Times New Roman" w:hAnsi="Tahoma" w:cs="Tahoma"/>
          <w:lang w:val="es-ES" w:eastAsia="es-ES"/>
        </w:rPr>
      </w:pPr>
    </w:p>
    <w:p w14:paraId="28C976EE" w14:textId="77777777" w:rsidR="00760E4E" w:rsidRPr="006622A2" w:rsidRDefault="00760E4E" w:rsidP="00760E4E">
      <w:pPr>
        <w:spacing w:before="0" w:beforeAutospacing="0" w:after="0" w:afterAutospacing="0" w:line="276" w:lineRule="auto"/>
        <w:ind w:firstLine="0"/>
        <w:rPr>
          <w:rFonts w:ascii="Tahoma" w:eastAsia="Calibri" w:hAnsi="Tahoma" w:cs="Tahoma"/>
          <w:lang w:val="es-ES"/>
        </w:rPr>
      </w:pPr>
      <w:r w:rsidRPr="006622A2">
        <w:rPr>
          <w:rFonts w:ascii="Tahoma" w:eastAsia="Times New Roman" w:hAnsi="Tahoma" w:cs="Tahoma"/>
          <w:b/>
          <w:bCs/>
          <w:lang w:val="es-ES" w:eastAsia="es-ES"/>
        </w:rPr>
        <w:t>OLGA LUCÍA HOYOS SEPÚLVEDA</w:t>
      </w:r>
      <w:r w:rsidRPr="006622A2">
        <w:rPr>
          <w:rFonts w:ascii="Tahoma" w:eastAsia="Times New Roman" w:hAnsi="Tahoma" w:cs="Tahoma"/>
          <w:b/>
          <w:bCs/>
          <w:lang w:val="es-ES" w:eastAsia="es-ES"/>
        </w:rPr>
        <w:tab/>
      </w:r>
      <w:r w:rsidRPr="006622A2">
        <w:rPr>
          <w:rFonts w:ascii="Tahoma" w:eastAsia="Times New Roman" w:hAnsi="Tahoma" w:cs="Tahoma"/>
          <w:b/>
          <w:bCs/>
          <w:lang w:val="es-ES" w:eastAsia="es-ES"/>
        </w:rPr>
        <w:tab/>
        <w:t>GERMÁN DARÍO GÓEZ VINASCO</w:t>
      </w:r>
      <w:bookmarkEnd w:id="6"/>
      <w:bookmarkEnd w:id="7"/>
    </w:p>
    <w:p w14:paraId="24351A2D" w14:textId="7688B019" w:rsidR="00E30E20" w:rsidRPr="00760E4E" w:rsidRDefault="00760E4E" w:rsidP="00760E4E">
      <w:pPr>
        <w:spacing w:before="0" w:beforeAutospacing="0" w:after="0" w:afterAutospacing="0" w:line="276" w:lineRule="auto"/>
        <w:ind w:firstLine="0"/>
        <w:rPr>
          <w:rFonts w:ascii="Tahoma" w:eastAsia="Times New Roman" w:hAnsi="Tahoma" w:cs="Tahoma"/>
          <w:lang w:eastAsia="es-ES"/>
        </w:rPr>
      </w:pPr>
      <w:r w:rsidRPr="006622A2">
        <w:rPr>
          <w:rFonts w:ascii="Tahoma" w:eastAsia="Times New Roman" w:hAnsi="Tahoma" w:cs="Tahoma"/>
          <w:lang w:eastAsia="es-ES"/>
        </w:rPr>
        <w:t>Con aclaración de voto</w:t>
      </w:r>
    </w:p>
    <w:sectPr w:rsidR="00E30E20" w:rsidRPr="00760E4E" w:rsidSect="00760E4E">
      <w:headerReference w:type="default" r:id="rId11"/>
      <w:footerReference w:type="even" r:id="rId12"/>
      <w:footerReference w:type="default" r:id="rId13"/>
      <w:pgSz w:w="12242" w:h="18722" w:code="14"/>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D40681D" w16cex:dateUtc="2023-07-20T00:18:55.428Z"/>
  <w16cex:commentExtensible w16cex:durableId="1F58A771" w16cex:dateUtc="2023-07-21T14:25:57.50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F0E12" w14:textId="77777777" w:rsidR="005843F6" w:rsidRDefault="005843F6" w:rsidP="00995B6C">
      <w:pPr>
        <w:spacing w:before="0" w:after="0" w:line="240" w:lineRule="auto"/>
      </w:pPr>
      <w:r>
        <w:separator/>
      </w:r>
    </w:p>
  </w:endnote>
  <w:endnote w:type="continuationSeparator" w:id="0">
    <w:p w14:paraId="66037931" w14:textId="77777777" w:rsidR="005843F6" w:rsidRDefault="005843F6" w:rsidP="00995B6C">
      <w:pPr>
        <w:spacing w:before="0" w:after="0" w:line="240" w:lineRule="auto"/>
      </w:pPr>
      <w:r>
        <w:continuationSeparator/>
      </w:r>
    </w:p>
  </w:endnote>
  <w:endnote w:type="continuationNotice" w:id="1">
    <w:p w14:paraId="64E0C46F" w14:textId="77777777" w:rsidR="005843F6" w:rsidRDefault="005843F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A29F9" w14:textId="24EF015F" w:rsidR="00DB404D" w:rsidRDefault="00DB404D" w:rsidP="00A3690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7D761A41" w14:textId="77777777" w:rsidR="00DB404D" w:rsidRDefault="00DB404D" w:rsidP="00BA2E9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853848363"/>
      <w:docPartObj>
        <w:docPartGallery w:val="Page Numbers (Bottom of Page)"/>
        <w:docPartUnique/>
      </w:docPartObj>
    </w:sdtPr>
    <w:sdtEndPr>
      <w:rPr>
        <w:rStyle w:val="Fuentedeprrafopredeter"/>
        <w:rFonts w:ascii="Arial" w:hAnsi="Arial" w:cs="Arial"/>
        <w:color w:val="000000"/>
        <w:sz w:val="18"/>
        <w:szCs w:val="18"/>
      </w:rPr>
    </w:sdtEndPr>
    <w:sdtContent>
      <w:p w14:paraId="2E70D12B" w14:textId="79B34206" w:rsidR="00DB404D" w:rsidRPr="00B27B17" w:rsidRDefault="00DB404D" w:rsidP="00B27B17">
        <w:pPr>
          <w:pStyle w:val="Piedepgina"/>
          <w:framePr w:wrap="none" w:vAnchor="text" w:hAnchor="page" w:x="10018" w:y="313"/>
          <w:rPr>
            <w:rFonts w:ascii="Arial" w:hAnsi="Arial" w:cs="Arial"/>
            <w:color w:val="000000"/>
            <w:sz w:val="18"/>
            <w:szCs w:val="18"/>
          </w:rPr>
        </w:pPr>
        <w:r w:rsidRPr="00B27B17">
          <w:rPr>
            <w:rFonts w:ascii="Arial" w:hAnsi="Arial" w:cs="Arial"/>
            <w:color w:val="000000"/>
            <w:sz w:val="18"/>
            <w:szCs w:val="18"/>
          </w:rPr>
          <w:fldChar w:fldCharType="begin"/>
        </w:r>
        <w:r w:rsidRPr="00B27B17">
          <w:rPr>
            <w:rFonts w:ascii="Arial" w:hAnsi="Arial" w:cs="Arial"/>
            <w:color w:val="000000"/>
            <w:sz w:val="18"/>
            <w:szCs w:val="18"/>
          </w:rPr>
          <w:instrText xml:space="preserve"> PAGE </w:instrText>
        </w:r>
        <w:r w:rsidRPr="00B27B17">
          <w:rPr>
            <w:rFonts w:ascii="Arial" w:hAnsi="Arial" w:cs="Arial"/>
            <w:color w:val="000000"/>
            <w:sz w:val="18"/>
            <w:szCs w:val="18"/>
          </w:rPr>
          <w:fldChar w:fldCharType="separate"/>
        </w:r>
        <w:r w:rsidR="00674CE1">
          <w:rPr>
            <w:rFonts w:ascii="Arial" w:hAnsi="Arial" w:cs="Arial"/>
            <w:noProof/>
            <w:color w:val="000000"/>
            <w:sz w:val="18"/>
            <w:szCs w:val="18"/>
          </w:rPr>
          <w:t>20</w:t>
        </w:r>
        <w:r w:rsidRPr="00B27B17">
          <w:rPr>
            <w:rFonts w:ascii="Arial" w:hAnsi="Arial" w:cs="Arial"/>
            <w:color w:val="000000"/>
            <w:sz w:val="18"/>
            <w:szCs w:val="18"/>
          </w:rPr>
          <w:fldChar w:fldCharType="end"/>
        </w:r>
      </w:p>
    </w:sdtContent>
  </w:sdt>
  <w:p w14:paraId="79A44826" w14:textId="77777777" w:rsidR="00DB404D" w:rsidRDefault="00DB404D" w:rsidP="00BA2E9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313B1" w14:textId="77777777" w:rsidR="005843F6" w:rsidRDefault="005843F6" w:rsidP="00995B6C">
      <w:pPr>
        <w:spacing w:before="0" w:after="0" w:line="240" w:lineRule="auto"/>
      </w:pPr>
      <w:r>
        <w:separator/>
      </w:r>
    </w:p>
  </w:footnote>
  <w:footnote w:type="continuationSeparator" w:id="0">
    <w:p w14:paraId="127AF74B" w14:textId="77777777" w:rsidR="005843F6" w:rsidRDefault="005843F6" w:rsidP="00995B6C">
      <w:pPr>
        <w:spacing w:before="0" w:after="0" w:line="240" w:lineRule="auto"/>
      </w:pPr>
      <w:r>
        <w:continuationSeparator/>
      </w:r>
    </w:p>
  </w:footnote>
  <w:footnote w:type="continuationNotice" w:id="1">
    <w:p w14:paraId="17080B5C" w14:textId="77777777" w:rsidR="005843F6" w:rsidRDefault="005843F6">
      <w:pPr>
        <w:spacing w:before="0" w:after="0" w:line="240" w:lineRule="auto"/>
      </w:pPr>
    </w:p>
  </w:footnote>
  <w:footnote w:id="2">
    <w:p w14:paraId="24693D2C" w14:textId="77777777" w:rsidR="00DB404D" w:rsidRPr="00B27B17" w:rsidRDefault="00DB404D" w:rsidP="00B27B17">
      <w:pPr>
        <w:pStyle w:val="Textonotapie"/>
        <w:ind w:firstLine="0"/>
        <w:rPr>
          <w:rFonts w:ascii="Arial" w:hAnsi="Arial" w:cs="Arial"/>
          <w:sz w:val="18"/>
          <w:szCs w:val="18"/>
        </w:rPr>
      </w:pPr>
      <w:r w:rsidRPr="00B27B17">
        <w:rPr>
          <w:rStyle w:val="Refdenotaalpie"/>
          <w:rFonts w:ascii="Arial" w:hAnsi="Arial" w:cs="Arial"/>
          <w:sz w:val="18"/>
          <w:szCs w:val="18"/>
        </w:rPr>
        <w:footnoteRef/>
      </w:r>
      <w:r w:rsidRPr="00B27B17">
        <w:rPr>
          <w:rFonts w:ascii="Arial" w:hAnsi="Arial" w:cs="Arial"/>
          <w:sz w:val="18"/>
          <w:szCs w:val="18"/>
        </w:rPr>
        <w:t xml:space="preserve"> Título tomado de la sentencia del 8 de mayo de 2019SL 1688-2019, Radicado 68838, con Ponencia de la Dra. Clara Cecilia Dueñas Quevedo</w:t>
      </w:r>
    </w:p>
  </w:footnote>
  <w:footnote w:id="3">
    <w:p w14:paraId="745C877D" w14:textId="77777777" w:rsidR="00DB404D" w:rsidRPr="00B27B17" w:rsidRDefault="00DB404D" w:rsidP="00B27B17">
      <w:pPr>
        <w:pStyle w:val="Textonotapie"/>
        <w:ind w:firstLine="0"/>
        <w:rPr>
          <w:rFonts w:ascii="Arial" w:hAnsi="Arial" w:cs="Arial"/>
          <w:sz w:val="18"/>
          <w:szCs w:val="18"/>
        </w:rPr>
      </w:pPr>
      <w:r w:rsidRPr="00B27B17">
        <w:rPr>
          <w:rStyle w:val="Refdenotaalpie"/>
          <w:rFonts w:ascii="Arial" w:hAnsi="Arial" w:cs="Arial"/>
          <w:sz w:val="18"/>
          <w:szCs w:val="18"/>
        </w:rPr>
        <w:footnoteRef/>
      </w:r>
      <w:r w:rsidRPr="00B27B17">
        <w:rPr>
          <w:rFonts w:ascii="Arial" w:hAnsi="Arial" w:cs="Arial"/>
          <w:sz w:val="18"/>
          <w:szCs w:val="18"/>
        </w:rPr>
        <w:t xml:space="preserve"> Estatuto Orgánico del Sistema Financiero </w:t>
      </w:r>
    </w:p>
  </w:footnote>
  <w:footnote w:id="4">
    <w:p w14:paraId="104E2BC1" w14:textId="35C4A314" w:rsidR="00DB404D" w:rsidRPr="00B27B17" w:rsidRDefault="00DB404D" w:rsidP="00B27B17">
      <w:pPr>
        <w:pStyle w:val="Textonotapie"/>
        <w:ind w:firstLine="0"/>
        <w:rPr>
          <w:rFonts w:ascii="Arial" w:hAnsi="Arial" w:cs="Arial"/>
          <w:sz w:val="18"/>
          <w:szCs w:val="18"/>
        </w:rPr>
      </w:pPr>
      <w:r w:rsidRPr="00B27B17">
        <w:rPr>
          <w:rStyle w:val="Refdenotaalpie"/>
          <w:rFonts w:ascii="Arial" w:hAnsi="Arial" w:cs="Arial"/>
          <w:sz w:val="18"/>
          <w:szCs w:val="18"/>
        </w:rPr>
        <w:footnoteRef/>
      </w:r>
      <w:r w:rsidRPr="00B27B17">
        <w:rPr>
          <w:rFonts w:ascii="Arial" w:hAnsi="Arial" w:cs="Arial"/>
          <w:sz w:val="18"/>
          <w:szCs w:val="18"/>
        </w:rPr>
        <w:t xml:space="preserve"> Título tomado de la sentencia del 8 de mayo de 2019SL 1688-2019, Radicado 68838, con Ponencia de la Dra. Clara Cecilia Dueñas Quevedo</w:t>
      </w:r>
    </w:p>
  </w:footnote>
  <w:footnote w:id="5">
    <w:p w14:paraId="6F982E3D" w14:textId="77777777" w:rsidR="00DB404D" w:rsidRPr="00B27B17" w:rsidRDefault="00DB404D" w:rsidP="00B27B17">
      <w:pPr>
        <w:pStyle w:val="Textonotapie"/>
        <w:ind w:firstLine="0"/>
        <w:rPr>
          <w:rFonts w:ascii="Arial" w:eastAsia="Tahoma" w:hAnsi="Arial" w:cs="Arial"/>
          <w:sz w:val="18"/>
          <w:szCs w:val="18"/>
          <w:lang w:eastAsia="es-MX"/>
        </w:rPr>
      </w:pPr>
      <w:r w:rsidRPr="00B27B17">
        <w:rPr>
          <w:rStyle w:val="Refdenotaalpie"/>
          <w:rFonts w:ascii="Arial" w:hAnsi="Arial" w:cs="Arial"/>
          <w:sz w:val="18"/>
          <w:szCs w:val="18"/>
        </w:rPr>
        <w:footnoteRef/>
      </w:r>
      <w:r w:rsidRPr="00B27B17">
        <w:rPr>
          <w:rFonts w:ascii="Arial" w:hAnsi="Arial" w:cs="Arial"/>
          <w:sz w:val="18"/>
          <w:szCs w:val="18"/>
        </w:rPr>
        <w:t xml:space="preserve"> Con lo que se descarta igualmente la tesis que alude a los “actos de relacionamiento” para desestimar la ineficacia por la falta de información al momento del traslado al RAIS.</w:t>
      </w:r>
    </w:p>
  </w:footnote>
  <w:footnote w:id="6">
    <w:p w14:paraId="21F14569" w14:textId="77777777" w:rsidR="00DB404D" w:rsidRPr="00B27B17" w:rsidRDefault="00DB404D" w:rsidP="00B27B17">
      <w:pPr>
        <w:pStyle w:val="Textonotapie"/>
        <w:ind w:firstLine="0"/>
        <w:rPr>
          <w:rFonts w:ascii="Arial" w:hAnsi="Arial" w:cs="Arial"/>
          <w:sz w:val="18"/>
          <w:szCs w:val="18"/>
        </w:rPr>
      </w:pPr>
      <w:r w:rsidRPr="00B27B17">
        <w:rPr>
          <w:rStyle w:val="Refdenotaalpie"/>
          <w:rFonts w:ascii="Arial" w:hAnsi="Arial" w:cs="Arial"/>
          <w:sz w:val="18"/>
          <w:szCs w:val="18"/>
        </w:rPr>
        <w:footnoteRef/>
      </w:r>
      <w:r w:rsidRPr="00B27B17">
        <w:rPr>
          <w:rFonts w:ascii="Arial" w:hAnsi="Arial" w:cs="Arial"/>
          <w:sz w:val="18"/>
          <w:szCs w:val="18"/>
        </w:rPr>
        <w:t xml:space="preserve"> Corte Suprema de Justicia- Sala Laboral, sentencia SL5688 de 2021, rad. 83576 del 6 de octubre de 2021. M.P. Iván Mauricio Lenis Gómez.</w:t>
      </w:r>
    </w:p>
  </w:footnote>
  <w:footnote w:id="7">
    <w:p w14:paraId="40008CC2" w14:textId="77777777" w:rsidR="00DB404D" w:rsidRPr="00B27B17" w:rsidRDefault="00DB404D" w:rsidP="00B27B17">
      <w:pPr>
        <w:pStyle w:val="Textonotapie"/>
        <w:ind w:firstLine="0"/>
        <w:rPr>
          <w:rFonts w:ascii="Arial" w:hAnsi="Arial" w:cs="Arial"/>
          <w:sz w:val="18"/>
          <w:szCs w:val="18"/>
        </w:rPr>
      </w:pPr>
      <w:r w:rsidRPr="00B27B17">
        <w:rPr>
          <w:rStyle w:val="Refdenotaalpie"/>
          <w:rFonts w:ascii="Arial" w:hAnsi="Arial" w:cs="Arial"/>
          <w:sz w:val="18"/>
          <w:szCs w:val="18"/>
        </w:rPr>
        <w:footnoteRef/>
      </w:r>
      <w:r w:rsidRPr="00B27B17">
        <w:rPr>
          <w:rFonts w:ascii="Arial" w:hAnsi="Arial" w:cs="Arial"/>
          <w:sz w:val="18"/>
          <w:szCs w:val="18"/>
        </w:rPr>
        <w:t xml:space="preserve"> </w:t>
      </w:r>
      <w:r w:rsidRPr="00B27B17">
        <w:rPr>
          <w:rFonts w:ascii="Arial" w:hAnsi="Arial" w:cs="Arial"/>
          <w:sz w:val="18"/>
          <w:szCs w:val="18"/>
          <w:lang w:val="es-CO"/>
        </w:rPr>
        <w:t>Corte Suprema de Justicia- Sala Laboral, sentencia SL5686 de 2021, rad. 82139 del 6 de octubre de 2021. M.P. Iván Mauricio Lenis Gómez.</w:t>
      </w:r>
    </w:p>
  </w:footnote>
  <w:footnote w:id="8">
    <w:p w14:paraId="7024D07B" w14:textId="77777777" w:rsidR="00DB404D" w:rsidRPr="00B27B17" w:rsidRDefault="00DB404D" w:rsidP="00B27B17">
      <w:pPr>
        <w:pStyle w:val="Textonotapie"/>
        <w:ind w:firstLine="0"/>
        <w:rPr>
          <w:rFonts w:ascii="Arial" w:hAnsi="Arial" w:cs="Arial"/>
          <w:sz w:val="18"/>
          <w:szCs w:val="18"/>
        </w:rPr>
      </w:pPr>
      <w:r w:rsidRPr="00B27B17">
        <w:rPr>
          <w:rStyle w:val="Refdenotaalpie"/>
          <w:rFonts w:ascii="Arial" w:hAnsi="Arial" w:cs="Arial"/>
          <w:sz w:val="18"/>
          <w:szCs w:val="18"/>
        </w:rPr>
        <w:footnoteRef/>
      </w:r>
      <w:r w:rsidRPr="00B27B17">
        <w:rPr>
          <w:rFonts w:ascii="Arial" w:hAnsi="Arial" w:cs="Arial"/>
          <w:sz w:val="18"/>
          <w:szCs w:val="18"/>
        </w:rPr>
        <w:t xml:space="preserve"> </w:t>
      </w:r>
      <w:r w:rsidRPr="00B27B17">
        <w:rPr>
          <w:rFonts w:ascii="Arial" w:hAnsi="Arial" w:cs="Arial"/>
          <w:sz w:val="18"/>
          <w:szCs w:val="18"/>
          <w:lang w:val="es-CO"/>
        </w:rPr>
        <w:t>Corte Suprema de Justicia- Sala Laboral, sentencia SL1926 de 2022, rad. 89920 del 27 de abril de 2022. M.P. Omar Ángel Mejía Amador.</w:t>
      </w:r>
    </w:p>
  </w:footnote>
  <w:footnote w:id="9">
    <w:p w14:paraId="4F5EEF00" w14:textId="77777777" w:rsidR="00DB404D" w:rsidRPr="00B27B17" w:rsidRDefault="00DB404D" w:rsidP="00B27B17">
      <w:pPr>
        <w:pStyle w:val="Textonotapie"/>
        <w:ind w:firstLine="0"/>
        <w:rPr>
          <w:rFonts w:ascii="Arial" w:hAnsi="Arial" w:cs="Arial"/>
          <w:sz w:val="18"/>
          <w:szCs w:val="18"/>
        </w:rPr>
      </w:pPr>
      <w:r w:rsidRPr="00B27B17">
        <w:rPr>
          <w:rStyle w:val="Refdenotaalpie"/>
          <w:rFonts w:ascii="Arial" w:hAnsi="Arial" w:cs="Arial"/>
          <w:sz w:val="18"/>
          <w:szCs w:val="18"/>
        </w:rPr>
        <w:footnoteRef/>
      </w:r>
      <w:r w:rsidRPr="00B27B17">
        <w:rPr>
          <w:rFonts w:ascii="Arial" w:hAnsi="Arial" w:cs="Arial"/>
          <w:sz w:val="18"/>
          <w:szCs w:val="18"/>
        </w:rPr>
        <w:t xml:space="preserve"> </w:t>
      </w:r>
      <w:r w:rsidRPr="00B27B17">
        <w:rPr>
          <w:rFonts w:ascii="Arial" w:hAnsi="Arial" w:cs="Arial"/>
          <w:sz w:val="18"/>
          <w:szCs w:val="18"/>
          <w:lang w:val="es-CO"/>
        </w:rPr>
        <w:t>Corte Suprema de Justicia- Sala Laboral, sentencia SL1055 de 2022, rad. 87911 del 2 de marzo de 2022. M.P. Iván Mauricio Lenis Gómez.</w:t>
      </w:r>
    </w:p>
  </w:footnote>
  <w:footnote w:id="10">
    <w:p w14:paraId="0803B7A2" w14:textId="77777777" w:rsidR="00DB404D" w:rsidRPr="00B27B17" w:rsidRDefault="00DB404D" w:rsidP="00B27B17">
      <w:pPr>
        <w:pStyle w:val="Textonotapie"/>
        <w:ind w:firstLine="0"/>
        <w:rPr>
          <w:rFonts w:ascii="Arial" w:hAnsi="Arial" w:cs="Arial"/>
          <w:sz w:val="18"/>
          <w:szCs w:val="18"/>
        </w:rPr>
      </w:pPr>
      <w:r w:rsidRPr="00B27B17">
        <w:rPr>
          <w:rStyle w:val="Refdenotaalpie"/>
          <w:rFonts w:ascii="Arial" w:hAnsi="Arial" w:cs="Arial"/>
          <w:sz w:val="18"/>
          <w:szCs w:val="18"/>
        </w:rPr>
        <w:footnoteRef/>
      </w:r>
      <w:r w:rsidRPr="00B27B17">
        <w:rPr>
          <w:rFonts w:ascii="Arial" w:hAnsi="Arial" w:cs="Arial"/>
          <w:sz w:val="18"/>
          <w:szCs w:val="18"/>
        </w:rPr>
        <w:t xml:space="preserve"> Corte Suprema de Justicia- Sala Laboral, sentencia SL 1618-2022, radicado 87821 del 4 de mayo de 2022, M.P. Gerardo Botero Zuluaga.</w:t>
      </w:r>
    </w:p>
  </w:footnote>
  <w:footnote w:id="11">
    <w:p w14:paraId="11A87328" w14:textId="77777777" w:rsidR="00DB404D" w:rsidRPr="00B27B17" w:rsidRDefault="00DB404D" w:rsidP="00B27B17">
      <w:pPr>
        <w:pStyle w:val="Textonotapie"/>
        <w:ind w:firstLine="0"/>
        <w:rPr>
          <w:rFonts w:ascii="Arial" w:hAnsi="Arial" w:cs="Arial"/>
          <w:sz w:val="18"/>
          <w:szCs w:val="18"/>
        </w:rPr>
      </w:pPr>
      <w:r w:rsidRPr="00B27B17">
        <w:rPr>
          <w:rStyle w:val="Refdenotaalpie"/>
          <w:rFonts w:ascii="Arial" w:hAnsi="Arial" w:cs="Arial"/>
          <w:sz w:val="18"/>
          <w:szCs w:val="18"/>
        </w:rPr>
        <w:footnoteRef/>
      </w:r>
      <w:r w:rsidRPr="00B27B17">
        <w:rPr>
          <w:rFonts w:ascii="Arial" w:hAnsi="Arial" w:cs="Arial"/>
          <w:sz w:val="18"/>
          <w:szCs w:val="18"/>
        </w:rPr>
        <w:t xml:space="preserve"> 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E25AE" w14:textId="3A1718FB" w:rsidR="00DB404D" w:rsidRPr="00B27B17" w:rsidRDefault="00DB404D" w:rsidP="00B27B17">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18"/>
        <w:szCs w:val="18"/>
      </w:rPr>
    </w:pPr>
    <w:r w:rsidRPr="00B27B17">
      <w:rPr>
        <w:rFonts w:ascii="Arial" w:hAnsi="Arial" w:cs="Arial"/>
        <w:color w:val="000000"/>
        <w:sz w:val="18"/>
        <w:szCs w:val="18"/>
      </w:rPr>
      <w:t>Radicación No.:</w:t>
    </w:r>
    <w:r w:rsidR="00B27B17">
      <w:rPr>
        <w:rFonts w:ascii="Arial" w:hAnsi="Arial" w:cs="Arial"/>
        <w:color w:val="000000"/>
        <w:sz w:val="18"/>
        <w:szCs w:val="18"/>
      </w:rPr>
      <w:tab/>
    </w:r>
    <w:r w:rsidRPr="00B27B17">
      <w:rPr>
        <w:rFonts w:ascii="Arial" w:hAnsi="Arial" w:cs="Arial"/>
        <w:color w:val="000000"/>
        <w:sz w:val="18"/>
        <w:szCs w:val="18"/>
      </w:rPr>
      <w:t>66001-31-05-002- 2021-00326-01</w:t>
    </w:r>
  </w:p>
  <w:p w14:paraId="4352F09A" w14:textId="09E9D63C" w:rsidR="00DB404D" w:rsidRPr="00B27B17" w:rsidRDefault="00DB404D" w:rsidP="00B27B17">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18"/>
        <w:szCs w:val="18"/>
      </w:rPr>
    </w:pPr>
    <w:r w:rsidRPr="00B27B17">
      <w:rPr>
        <w:rFonts w:ascii="Arial" w:hAnsi="Arial" w:cs="Arial"/>
        <w:color w:val="000000"/>
        <w:sz w:val="18"/>
        <w:szCs w:val="18"/>
      </w:rPr>
      <w:t>Demandante:</w:t>
    </w:r>
    <w:r w:rsidR="00B27B17">
      <w:rPr>
        <w:rFonts w:ascii="Arial" w:hAnsi="Arial" w:cs="Arial"/>
        <w:color w:val="000000"/>
        <w:sz w:val="18"/>
        <w:szCs w:val="18"/>
      </w:rPr>
      <w:tab/>
    </w:r>
    <w:r w:rsidRPr="00B27B17">
      <w:rPr>
        <w:rFonts w:ascii="Arial" w:hAnsi="Arial" w:cs="Arial"/>
        <w:color w:val="000000"/>
        <w:sz w:val="18"/>
        <w:szCs w:val="18"/>
      </w:rPr>
      <w:t>Olga Rocío Henao Restrepo</w:t>
    </w:r>
  </w:p>
  <w:p w14:paraId="4E07F099" w14:textId="425F44E0" w:rsidR="00DB404D" w:rsidRPr="00B27B17" w:rsidRDefault="00DB404D" w:rsidP="00B27B17">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18"/>
        <w:szCs w:val="18"/>
      </w:rPr>
    </w:pPr>
    <w:r w:rsidRPr="00B27B17">
      <w:rPr>
        <w:rFonts w:ascii="Arial" w:hAnsi="Arial" w:cs="Arial"/>
        <w:color w:val="000000"/>
        <w:sz w:val="18"/>
        <w:szCs w:val="18"/>
      </w:rPr>
      <w:t>Demandado:</w:t>
    </w:r>
    <w:r w:rsidR="00B27B17">
      <w:rPr>
        <w:rFonts w:ascii="Arial" w:hAnsi="Arial" w:cs="Arial"/>
        <w:color w:val="000000"/>
        <w:sz w:val="18"/>
        <w:szCs w:val="18"/>
      </w:rPr>
      <w:tab/>
    </w:r>
    <w:r w:rsidRPr="00B27B17">
      <w:rPr>
        <w:rFonts w:ascii="Arial" w:hAnsi="Arial" w:cs="Arial"/>
        <w:color w:val="000000"/>
        <w:sz w:val="18"/>
        <w:szCs w:val="18"/>
      </w:rPr>
      <w:t>Colpensiones, Porvenir S.A. y Colfondos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E3BB1"/>
    <w:multiLevelType w:val="hybridMultilevel"/>
    <w:tmpl w:val="9AA2BAFA"/>
    <w:lvl w:ilvl="0" w:tplc="330C9AB4">
      <w:start w:val="1"/>
      <w:numFmt w:val="decimal"/>
      <w:lvlText w:val="%1."/>
      <w:lvlJc w:val="left"/>
      <w:pPr>
        <w:ind w:left="5039" w:hanging="360"/>
      </w:pPr>
      <w:rPr>
        <w:rFonts w:hint="default"/>
      </w:rPr>
    </w:lvl>
    <w:lvl w:ilvl="1" w:tplc="240A0019" w:tentative="1">
      <w:start w:val="1"/>
      <w:numFmt w:val="lowerLetter"/>
      <w:lvlText w:val="%2."/>
      <w:lvlJc w:val="left"/>
      <w:pPr>
        <w:ind w:left="5759" w:hanging="360"/>
      </w:pPr>
    </w:lvl>
    <w:lvl w:ilvl="2" w:tplc="240A001B" w:tentative="1">
      <w:start w:val="1"/>
      <w:numFmt w:val="lowerRoman"/>
      <w:lvlText w:val="%3."/>
      <w:lvlJc w:val="right"/>
      <w:pPr>
        <w:ind w:left="6479" w:hanging="180"/>
      </w:pPr>
    </w:lvl>
    <w:lvl w:ilvl="3" w:tplc="240A000F" w:tentative="1">
      <w:start w:val="1"/>
      <w:numFmt w:val="decimal"/>
      <w:lvlText w:val="%4."/>
      <w:lvlJc w:val="left"/>
      <w:pPr>
        <w:ind w:left="7199" w:hanging="360"/>
      </w:pPr>
    </w:lvl>
    <w:lvl w:ilvl="4" w:tplc="240A0019" w:tentative="1">
      <w:start w:val="1"/>
      <w:numFmt w:val="lowerLetter"/>
      <w:lvlText w:val="%5."/>
      <w:lvlJc w:val="left"/>
      <w:pPr>
        <w:ind w:left="7919" w:hanging="360"/>
      </w:pPr>
    </w:lvl>
    <w:lvl w:ilvl="5" w:tplc="240A001B" w:tentative="1">
      <w:start w:val="1"/>
      <w:numFmt w:val="lowerRoman"/>
      <w:lvlText w:val="%6."/>
      <w:lvlJc w:val="right"/>
      <w:pPr>
        <w:ind w:left="8639" w:hanging="180"/>
      </w:pPr>
    </w:lvl>
    <w:lvl w:ilvl="6" w:tplc="240A000F" w:tentative="1">
      <w:start w:val="1"/>
      <w:numFmt w:val="decimal"/>
      <w:lvlText w:val="%7."/>
      <w:lvlJc w:val="left"/>
      <w:pPr>
        <w:ind w:left="9359" w:hanging="360"/>
      </w:pPr>
    </w:lvl>
    <w:lvl w:ilvl="7" w:tplc="240A0019" w:tentative="1">
      <w:start w:val="1"/>
      <w:numFmt w:val="lowerLetter"/>
      <w:lvlText w:val="%8."/>
      <w:lvlJc w:val="left"/>
      <w:pPr>
        <w:ind w:left="10079" w:hanging="360"/>
      </w:pPr>
    </w:lvl>
    <w:lvl w:ilvl="8" w:tplc="240A001B" w:tentative="1">
      <w:start w:val="1"/>
      <w:numFmt w:val="lowerRoman"/>
      <w:lvlText w:val="%9."/>
      <w:lvlJc w:val="right"/>
      <w:pPr>
        <w:ind w:left="10799" w:hanging="180"/>
      </w:pPr>
    </w:lvl>
  </w:abstractNum>
  <w:abstractNum w:abstractNumId="1" w15:restartNumberingAfterBreak="0">
    <w:nsid w:val="1FAE1570"/>
    <w:multiLevelType w:val="hybridMultilevel"/>
    <w:tmpl w:val="30E65894"/>
    <w:lvl w:ilvl="0" w:tplc="BED2221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12D47DE"/>
    <w:multiLevelType w:val="hybridMultilevel"/>
    <w:tmpl w:val="194AAE3A"/>
    <w:lvl w:ilvl="0" w:tplc="1C74D80C">
      <w:start w:val="1"/>
      <w:numFmt w:val="lowerRoman"/>
      <w:lvlText w:val="%1."/>
      <w:lvlJc w:val="right"/>
      <w:pPr>
        <w:ind w:left="720" w:hanging="360"/>
      </w:pPr>
      <w:rPr>
        <w:rFonts w:ascii="Tahoma" w:hAnsi="Tahoma" w:cs="Tahoma" w:hint="default"/>
      </w:rPr>
    </w:lvl>
    <w:lvl w:ilvl="1" w:tplc="D182F98E">
      <w:start w:val="1"/>
      <w:numFmt w:val="lowerLetter"/>
      <w:lvlText w:val="%2."/>
      <w:lvlJc w:val="left"/>
      <w:pPr>
        <w:ind w:left="1440" w:hanging="360"/>
      </w:pPr>
    </w:lvl>
    <w:lvl w:ilvl="2" w:tplc="64A238B0">
      <w:start w:val="1"/>
      <w:numFmt w:val="lowerRoman"/>
      <w:lvlText w:val="%3."/>
      <w:lvlJc w:val="right"/>
      <w:pPr>
        <w:ind w:left="2160" w:hanging="180"/>
      </w:pPr>
    </w:lvl>
    <w:lvl w:ilvl="3" w:tplc="3BB865F0">
      <w:start w:val="1"/>
      <w:numFmt w:val="decimal"/>
      <w:lvlText w:val="%4."/>
      <w:lvlJc w:val="left"/>
      <w:pPr>
        <w:ind w:left="2880" w:hanging="360"/>
      </w:pPr>
    </w:lvl>
    <w:lvl w:ilvl="4" w:tplc="351CF416">
      <w:start w:val="1"/>
      <w:numFmt w:val="lowerLetter"/>
      <w:lvlText w:val="%5."/>
      <w:lvlJc w:val="left"/>
      <w:pPr>
        <w:ind w:left="3600" w:hanging="360"/>
      </w:pPr>
    </w:lvl>
    <w:lvl w:ilvl="5" w:tplc="B1A0E43C">
      <w:start w:val="1"/>
      <w:numFmt w:val="lowerRoman"/>
      <w:lvlText w:val="%6."/>
      <w:lvlJc w:val="right"/>
      <w:pPr>
        <w:ind w:left="4320" w:hanging="180"/>
      </w:pPr>
    </w:lvl>
    <w:lvl w:ilvl="6" w:tplc="86143216">
      <w:start w:val="1"/>
      <w:numFmt w:val="decimal"/>
      <w:lvlText w:val="%7."/>
      <w:lvlJc w:val="left"/>
      <w:pPr>
        <w:ind w:left="5040" w:hanging="360"/>
      </w:pPr>
    </w:lvl>
    <w:lvl w:ilvl="7" w:tplc="CC187228">
      <w:start w:val="1"/>
      <w:numFmt w:val="lowerLetter"/>
      <w:lvlText w:val="%8."/>
      <w:lvlJc w:val="left"/>
      <w:pPr>
        <w:ind w:left="5760" w:hanging="360"/>
      </w:pPr>
    </w:lvl>
    <w:lvl w:ilvl="8" w:tplc="C64258FA">
      <w:start w:val="1"/>
      <w:numFmt w:val="lowerRoman"/>
      <w:lvlText w:val="%9."/>
      <w:lvlJc w:val="right"/>
      <w:pPr>
        <w:ind w:left="6480" w:hanging="180"/>
      </w:pPr>
    </w:lvl>
  </w:abstractNum>
  <w:abstractNum w:abstractNumId="3" w15:restartNumberingAfterBreak="0">
    <w:nsid w:val="486C20FD"/>
    <w:multiLevelType w:val="hybridMultilevel"/>
    <w:tmpl w:val="4A50665A"/>
    <w:lvl w:ilvl="0" w:tplc="0890D552">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BA41A35"/>
    <w:multiLevelType w:val="hybridMultilevel"/>
    <w:tmpl w:val="F60851E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5AFA6DFA"/>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6" w15:restartNumberingAfterBreak="0">
    <w:nsid w:val="6C42761D"/>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7" w15:restartNumberingAfterBreak="0">
    <w:nsid w:val="75BC0F17"/>
    <w:multiLevelType w:val="hybridMultilevel"/>
    <w:tmpl w:val="196228FE"/>
    <w:lvl w:ilvl="0" w:tplc="F804367C">
      <w:start w:val="1"/>
      <w:numFmt w:val="decimal"/>
      <w:lvlText w:val="%1."/>
      <w:lvlJc w:val="left"/>
      <w:pPr>
        <w:ind w:left="720" w:hanging="360"/>
      </w:pPr>
      <w:rPr>
        <w:rFonts w:ascii="Tahoma" w:hAnsi="Tahoma" w:cs="Tahoma" w:hint="default"/>
      </w:rPr>
    </w:lvl>
    <w:lvl w:ilvl="1" w:tplc="251E561C">
      <w:start w:val="1"/>
      <w:numFmt w:val="lowerLetter"/>
      <w:lvlText w:val="%2."/>
      <w:lvlJc w:val="left"/>
      <w:pPr>
        <w:ind w:left="1353" w:hanging="360"/>
      </w:pPr>
    </w:lvl>
    <w:lvl w:ilvl="2" w:tplc="C76E3B6A">
      <w:start w:val="1"/>
      <w:numFmt w:val="lowerRoman"/>
      <w:lvlText w:val="%3."/>
      <w:lvlJc w:val="right"/>
      <w:pPr>
        <w:ind w:left="2160" w:hanging="180"/>
      </w:pPr>
    </w:lvl>
    <w:lvl w:ilvl="3" w:tplc="C7BE63B8">
      <w:start w:val="1"/>
      <w:numFmt w:val="decimal"/>
      <w:lvlText w:val="%4."/>
      <w:lvlJc w:val="left"/>
      <w:pPr>
        <w:ind w:left="2880" w:hanging="360"/>
      </w:pPr>
    </w:lvl>
    <w:lvl w:ilvl="4" w:tplc="0FE0582C">
      <w:start w:val="1"/>
      <w:numFmt w:val="lowerLetter"/>
      <w:lvlText w:val="%5."/>
      <w:lvlJc w:val="left"/>
      <w:pPr>
        <w:ind w:left="3600" w:hanging="360"/>
      </w:pPr>
    </w:lvl>
    <w:lvl w:ilvl="5" w:tplc="EF423DE4">
      <w:start w:val="1"/>
      <w:numFmt w:val="lowerRoman"/>
      <w:lvlText w:val="%6."/>
      <w:lvlJc w:val="right"/>
      <w:pPr>
        <w:ind w:left="4320" w:hanging="180"/>
      </w:pPr>
    </w:lvl>
    <w:lvl w:ilvl="6" w:tplc="C7440B08">
      <w:start w:val="1"/>
      <w:numFmt w:val="decimal"/>
      <w:lvlText w:val="%7."/>
      <w:lvlJc w:val="left"/>
      <w:pPr>
        <w:ind w:left="5040" w:hanging="360"/>
      </w:pPr>
    </w:lvl>
    <w:lvl w:ilvl="7" w:tplc="8048AE3A">
      <w:start w:val="1"/>
      <w:numFmt w:val="lowerLetter"/>
      <w:lvlText w:val="%8."/>
      <w:lvlJc w:val="left"/>
      <w:pPr>
        <w:ind w:left="5760" w:hanging="360"/>
      </w:pPr>
    </w:lvl>
    <w:lvl w:ilvl="8" w:tplc="76422FE0">
      <w:start w:val="1"/>
      <w:numFmt w:val="lowerRoman"/>
      <w:lvlText w:val="%9."/>
      <w:lvlJc w:val="right"/>
      <w:pPr>
        <w:ind w:left="6480" w:hanging="180"/>
      </w:pPr>
    </w:lvl>
  </w:abstractNum>
  <w:abstractNum w:abstractNumId="8" w15:restartNumberingAfterBreak="0">
    <w:nsid w:val="764B647B"/>
    <w:multiLevelType w:val="hybridMultilevel"/>
    <w:tmpl w:val="2D6284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848"/>
    <w:rsid w:val="00000227"/>
    <w:rsid w:val="00003D61"/>
    <w:rsid w:val="00003F8B"/>
    <w:rsid w:val="0000442B"/>
    <w:rsid w:val="000075E2"/>
    <w:rsid w:val="00010CA6"/>
    <w:rsid w:val="000114AC"/>
    <w:rsid w:val="0001462A"/>
    <w:rsid w:val="0001710B"/>
    <w:rsid w:val="00021D57"/>
    <w:rsid w:val="00026902"/>
    <w:rsid w:val="000331FD"/>
    <w:rsid w:val="00034673"/>
    <w:rsid w:val="00037CD5"/>
    <w:rsid w:val="00043917"/>
    <w:rsid w:val="000507B6"/>
    <w:rsid w:val="00061247"/>
    <w:rsid w:val="00062E02"/>
    <w:rsid w:val="000645D4"/>
    <w:rsid w:val="00066D0F"/>
    <w:rsid w:val="00070883"/>
    <w:rsid w:val="000729F9"/>
    <w:rsid w:val="00073E27"/>
    <w:rsid w:val="000775A3"/>
    <w:rsid w:val="00081E34"/>
    <w:rsid w:val="0008247A"/>
    <w:rsid w:val="00091006"/>
    <w:rsid w:val="00091CEF"/>
    <w:rsid w:val="00093D25"/>
    <w:rsid w:val="00094464"/>
    <w:rsid w:val="00095732"/>
    <w:rsid w:val="00097ED5"/>
    <w:rsid w:val="000A0C58"/>
    <w:rsid w:val="000A1820"/>
    <w:rsid w:val="000A70BA"/>
    <w:rsid w:val="000A7489"/>
    <w:rsid w:val="000B1501"/>
    <w:rsid w:val="000B269B"/>
    <w:rsid w:val="000B5F9F"/>
    <w:rsid w:val="000B758F"/>
    <w:rsid w:val="000C42AB"/>
    <w:rsid w:val="000C5FE0"/>
    <w:rsid w:val="000D1243"/>
    <w:rsid w:val="000D1284"/>
    <w:rsid w:val="000D60BA"/>
    <w:rsid w:val="000E1D8A"/>
    <w:rsid w:val="000E3AA0"/>
    <w:rsid w:val="000E4C41"/>
    <w:rsid w:val="000E4F34"/>
    <w:rsid w:val="000E6459"/>
    <w:rsid w:val="000E7048"/>
    <w:rsid w:val="000F0479"/>
    <w:rsid w:val="000F048E"/>
    <w:rsid w:val="000F0F3D"/>
    <w:rsid w:val="000F52FD"/>
    <w:rsid w:val="00100045"/>
    <w:rsid w:val="00100F91"/>
    <w:rsid w:val="0010292D"/>
    <w:rsid w:val="001102E5"/>
    <w:rsid w:val="0011418D"/>
    <w:rsid w:val="001148DF"/>
    <w:rsid w:val="0012076B"/>
    <w:rsid w:val="00126DAB"/>
    <w:rsid w:val="001300D4"/>
    <w:rsid w:val="00130244"/>
    <w:rsid w:val="00130EA4"/>
    <w:rsid w:val="00130FFD"/>
    <w:rsid w:val="00132737"/>
    <w:rsid w:val="00133625"/>
    <w:rsid w:val="001342EE"/>
    <w:rsid w:val="00142244"/>
    <w:rsid w:val="001424D0"/>
    <w:rsid w:val="0014296D"/>
    <w:rsid w:val="00142A07"/>
    <w:rsid w:val="00142E00"/>
    <w:rsid w:val="00143CD9"/>
    <w:rsid w:val="00144783"/>
    <w:rsid w:val="001466BC"/>
    <w:rsid w:val="001477E0"/>
    <w:rsid w:val="00150C39"/>
    <w:rsid w:val="00151506"/>
    <w:rsid w:val="001515A6"/>
    <w:rsid w:val="00152364"/>
    <w:rsid w:val="001559D4"/>
    <w:rsid w:val="00157578"/>
    <w:rsid w:val="0016074B"/>
    <w:rsid w:val="00160AD7"/>
    <w:rsid w:val="0016235B"/>
    <w:rsid w:val="00163291"/>
    <w:rsid w:val="0016609B"/>
    <w:rsid w:val="00166B82"/>
    <w:rsid w:val="00167475"/>
    <w:rsid w:val="00167FC3"/>
    <w:rsid w:val="001701D0"/>
    <w:rsid w:val="001704E4"/>
    <w:rsid w:val="00171926"/>
    <w:rsid w:val="00174AE3"/>
    <w:rsid w:val="0017597C"/>
    <w:rsid w:val="00175C84"/>
    <w:rsid w:val="00175F93"/>
    <w:rsid w:val="00183FB2"/>
    <w:rsid w:val="001846F2"/>
    <w:rsid w:val="00185BF8"/>
    <w:rsid w:val="00186097"/>
    <w:rsid w:val="00187B9A"/>
    <w:rsid w:val="00191CB5"/>
    <w:rsid w:val="00193482"/>
    <w:rsid w:val="001949A3"/>
    <w:rsid w:val="00197066"/>
    <w:rsid w:val="001977C7"/>
    <w:rsid w:val="001A1D7E"/>
    <w:rsid w:val="001A2518"/>
    <w:rsid w:val="001A6210"/>
    <w:rsid w:val="001B4D98"/>
    <w:rsid w:val="001B64E3"/>
    <w:rsid w:val="001C013A"/>
    <w:rsid w:val="001C026B"/>
    <w:rsid w:val="001C31A7"/>
    <w:rsid w:val="001C6065"/>
    <w:rsid w:val="001D328D"/>
    <w:rsid w:val="001D3D0B"/>
    <w:rsid w:val="001D48B0"/>
    <w:rsid w:val="001D61F2"/>
    <w:rsid w:val="001E0A71"/>
    <w:rsid w:val="001E31CE"/>
    <w:rsid w:val="001E35F2"/>
    <w:rsid w:val="001E3A51"/>
    <w:rsid w:val="001E3E1A"/>
    <w:rsid w:val="001E60C4"/>
    <w:rsid w:val="001F3E27"/>
    <w:rsid w:val="001F42A5"/>
    <w:rsid w:val="001F6C6E"/>
    <w:rsid w:val="001F7A57"/>
    <w:rsid w:val="002001A7"/>
    <w:rsid w:val="00203CE4"/>
    <w:rsid w:val="0020420B"/>
    <w:rsid w:val="0020578F"/>
    <w:rsid w:val="00206161"/>
    <w:rsid w:val="0020674E"/>
    <w:rsid w:val="00210D29"/>
    <w:rsid w:val="00211049"/>
    <w:rsid w:val="00211C42"/>
    <w:rsid w:val="00211DB9"/>
    <w:rsid w:val="002304E9"/>
    <w:rsid w:val="00234B72"/>
    <w:rsid w:val="002372A5"/>
    <w:rsid w:val="00241461"/>
    <w:rsid w:val="00243EEE"/>
    <w:rsid w:val="00245563"/>
    <w:rsid w:val="0024686F"/>
    <w:rsid w:val="002472D3"/>
    <w:rsid w:val="0024770B"/>
    <w:rsid w:val="002500F6"/>
    <w:rsid w:val="002519CA"/>
    <w:rsid w:val="00256E1A"/>
    <w:rsid w:val="00263630"/>
    <w:rsid w:val="00270931"/>
    <w:rsid w:val="0027225F"/>
    <w:rsid w:val="00274814"/>
    <w:rsid w:val="00274ACE"/>
    <w:rsid w:val="00274C26"/>
    <w:rsid w:val="00274D15"/>
    <w:rsid w:val="00276DD9"/>
    <w:rsid w:val="00281848"/>
    <w:rsid w:val="00282127"/>
    <w:rsid w:val="00283C0F"/>
    <w:rsid w:val="00284925"/>
    <w:rsid w:val="00286FED"/>
    <w:rsid w:val="0029235B"/>
    <w:rsid w:val="00294916"/>
    <w:rsid w:val="00295F84"/>
    <w:rsid w:val="00297A4E"/>
    <w:rsid w:val="002A05AE"/>
    <w:rsid w:val="002A1367"/>
    <w:rsid w:val="002A6071"/>
    <w:rsid w:val="002A69BB"/>
    <w:rsid w:val="002A6D8C"/>
    <w:rsid w:val="002A6F21"/>
    <w:rsid w:val="002A7251"/>
    <w:rsid w:val="002B2FEF"/>
    <w:rsid w:val="002B586C"/>
    <w:rsid w:val="002B775C"/>
    <w:rsid w:val="002C0C24"/>
    <w:rsid w:val="002C3206"/>
    <w:rsid w:val="002C36F5"/>
    <w:rsid w:val="002C6AA0"/>
    <w:rsid w:val="002D01FE"/>
    <w:rsid w:val="002D057E"/>
    <w:rsid w:val="002D07AA"/>
    <w:rsid w:val="002D0B5A"/>
    <w:rsid w:val="002D3F32"/>
    <w:rsid w:val="002D4640"/>
    <w:rsid w:val="002D4C61"/>
    <w:rsid w:val="002D7247"/>
    <w:rsid w:val="002E07F2"/>
    <w:rsid w:val="002E4CD5"/>
    <w:rsid w:val="002E4FED"/>
    <w:rsid w:val="002F59E9"/>
    <w:rsid w:val="002F7398"/>
    <w:rsid w:val="003015EF"/>
    <w:rsid w:val="00305BFF"/>
    <w:rsid w:val="0030626D"/>
    <w:rsid w:val="00311CE6"/>
    <w:rsid w:val="0031282D"/>
    <w:rsid w:val="00316347"/>
    <w:rsid w:val="003203F3"/>
    <w:rsid w:val="00320FA4"/>
    <w:rsid w:val="0032250B"/>
    <w:rsid w:val="00322A29"/>
    <w:rsid w:val="00324253"/>
    <w:rsid w:val="0032497E"/>
    <w:rsid w:val="00325F7E"/>
    <w:rsid w:val="00327B34"/>
    <w:rsid w:val="00330B03"/>
    <w:rsid w:val="00332FB5"/>
    <w:rsid w:val="003337B6"/>
    <w:rsid w:val="003341A8"/>
    <w:rsid w:val="0033550D"/>
    <w:rsid w:val="00336942"/>
    <w:rsid w:val="00340DBE"/>
    <w:rsid w:val="00341542"/>
    <w:rsid w:val="00342407"/>
    <w:rsid w:val="00342C2D"/>
    <w:rsid w:val="0034440D"/>
    <w:rsid w:val="0035588E"/>
    <w:rsid w:val="003632A0"/>
    <w:rsid w:val="00363345"/>
    <w:rsid w:val="003637EB"/>
    <w:rsid w:val="00367B8E"/>
    <w:rsid w:val="003706D2"/>
    <w:rsid w:val="0037204B"/>
    <w:rsid w:val="003723B6"/>
    <w:rsid w:val="003728FE"/>
    <w:rsid w:val="00375968"/>
    <w:rsid w:val="00385187"/>
    <w:rsid w:val="0039019A"/>
    <w:rsid w:val="003926FE"/>
    <w:rsid w:val="00397E88"/>
    <w:rsid w:val="003A4172"/>
    <w:rsid w:val="003B221A"/>
    <w:rsid w:val="003B23EA"/>
    <w:rsid w:val="003B2DE4"/>
    <w:rsid w:val="003B38E1"/>
    <w:rsid w:val="003B3B22"/>
    <w:rsid w:val="003B6848"/>
    <w:rsid w:val="003C1954"/>
    <w:rsid w:val="003C1968"/>
    <w:rsid w:val="003C3F45"/>
    <w:rsid w:val="003C3FE0"/>
    <w:rsid w:val="003C56EF"/>
    <w:rsid w:val="003C5A00"/>
    <w:rsid w:val="003D3C04"/>
    <w:rsid w:val="003D5DB0"/>
    <w:rsid w:val="003E0BE1"/>
    <w:rsid w:val="003E12D1"/>
    <w:rsid w:val="003E47B9"/>
    <w:rsid w:val="003E604A"/>
    <w:rsid w:val="003E6147"/>
    <w:rsid w:val="003F4AAB"/>
    <w:rsid w:val="00400B5C"/>
    <w:rsid w:val="00400CB5"/>
    <w:rsid w:val="00400D45"/>
    <w:rsid w:val="00403459"/>
    <w:rsid w:val="0040599D"/>
    <w:rsid w:val="0040713E"/>
    <w:rsid w:val="00407A14"/>
    <w:rsid w:val="00410BA1"/>
    <w:rsid w:val="004126ED"/>
    <w:rsid w:val="00412D02"/>
    <w:rsid w:val="004137B9"/>
    <w:rsid w:val="00415842"/>
    <w:rsid w:val="00416085"/>
    <w:rsid w:val="00416DEC"/>
    <w:rsid w:val="00417C79"/>
    <w:rsid w:val="00420436"/>
    <w:rsid w:val="00420ABB"/>
    <w:rsid w:val="00423610"/>
    <w:rsid w:val="004239E1"/>
    <w:rsid w:val="0042586E"/>
    <w:rsid w:val="00426B12"/>
    <w:rsid w:val="00427DB9"/>
    <w:rsid w:val="004303F5"/>
    <w:rsid w:val="004332C7"/>
    <w:rsid w:val="00434EF3"/>
    <w:rsid w:val="00441D34"/>
    <w:rsid w:val="00444A33"/>
    <w:rsid w:val="00445C03"/>
    <w:rsid w:val="00445F55"/>
    <w:rsid w:val="0044656C"/>
    <w:rsid w:val="004558B8"/>
    <w:rsid w:val="00455FC7"/>
    <w:rsid w:val="00456855"/>
    <w:rsid w:val="0046549D"/>
    <w:rsid w:val="00470189"/>
    <w:rsid w:val="004708F9"/>
    <w:rsid w:val="00473B12"/>
    <w:rsid w:val="0047555D"/>
    <w:rsid w:val="00480F74"/>
    <w:rsid w:val="00481436"/>
    <w:rsid w:val="00481BD4"/>
    <w:rsid w:val="00482FD3"/>
    <w:rsid w:val="004839AD"/>
    <w:rsid w:val="0048475E"/>
    <w:rsid w:val="00491ED6"/>
    <w:rsid w:val="004922E4"/>
    <w:rsid w:val="0049395C"/>
    <w:rsid w:val="00493A3A"/>
    <w:rsid w:val="0049495F"/>
    <w:rsid w:val="00495403"/>
    <w:rsid w:val="00496773"/>
    <w:rsid w:val="004A5112"/>
    <w:rsid w:val="004B05CC"/>
    <w:rsid w:val="004B3577"/>
    <w:rsid w:val="004B58AC"/>
    <w:rsid w:val="004B6730"/>
    <w:rsid w:val="004B6788"/>
    <w:rsid w:val="004B6909"/>
    <w:rsid w:val="004B6EE9"/>
    <w:rsid w:val="004C3B1C"/>
    <w:rsid w:val="004C426A"/>
    <w:rsid w:val="004D2220"/>
    <w:rsid w:val="004D43C3"/>
    <w:rsid w:val="004D4784"/>
    <w:rsid w:val="004E0093"/>
    <w:rsid w:val="004E21FD"/>
    <w:rsid w:val="004E4F6D"/>
    <w:rsid w:val="004E659A"/>
    <w:rsid w:val="004F004E"/>
    <w:rsid w:val="004F0854"/>
    <w:rsid w:val="004F1747"/>
    <w:rsid w:val="004F19B6"/>
    <w:rsid w:val="004F2ECB"/>
    <w:rsid w:val="004F359A"/>
    <w:rsid w:val="004F3E96"/>
    <w:rsid w:val="004F4328"/>
    <w:rsid w:val="004F466C"/>
    <w:rsid w:val="004F5AD3"/>
    <w:rsid w:val="004F643D"/>
    <w:rsid w:val="0050215A"/>
    <w:rsid w:val="0050278F"/>
    <w:rsid w:val="00503173"/>
    <w:rsid w:val="005058C8"/>
    <w:rsid w:val="00510D63"/>
    <w:rsid w:val="00520A60"/>
    <w:rsid w:val="00521493"/>
    <w:rsid w:val="005219F8"/>
    <w:rsid w:val="005227F3"/>
    <w:rsid w:val="00522DCA"/>
    <w:rsid w:val="00523FE3"/>
    <w:rsid w:val="00524AFE"/>
    <w:rsid w:val="0052540F"/>
    <w:rsid w:val="005311FB"/>
    <w:rsid w:val="005314C7"/>
    <w:rsid w:val="005338F5"/>
    <w:rsid w:val="005345C0"/>
    <w:rsid w:val="005352EF"/>
    <w:rsid w:val="0053531A"/>
    <w:rsid w:val="00536DE0"/>
    <w:rsid w:val="00537B37"/>
    <w:rsid w:val="00540A94"/>
    <w:rsid w:val="00543D59"/>
    <w:rsid w:val="00545F85"/>
    <w:rsid w:val="00545FCC"/>
    <w:rsid w:val="00553215"/>
    <w:rsid w:val="0056162F"/>
    <w:rsid w:val="00563DB3"/>
    <w:rsid w:val="005652FE"/>
    <w:rsid w:val="00565852"/>
    <w:rsid w:val="00565922"/>
    <w:rsid w:val="00565DF4"/>
    <w:rsid w:val="00571C08"/>
    <w:rsid w:val="0057307A"/>
    <w:rsid w:val="00576236"/>
    <w:rsid w:val="00576F86"/>
    <w:rsid w:val="005771F8"/>
    <w:rsid w:val="00581726"/>
    <w:rsid w:val="00581B7C"/>
    <w:rsid w:val="00582209"/>
    <w:rsid w:val="005843F6"/>
    <w:rsid w:val="00585C8B"/>
    <w:rsid w:val="00586457"/>
    <w:rsid w:val="0059688C"/>
    <w:rsid w:val="005974D6"/>
    <w:rsid w:val="005B1014"/>
    <w:rsid w:val="005B1377"/>
    <w:rsid w:val="005B2028"/>
    <w:rsid w:val="005B440B"/>
    <w:rsid w:val="005B4D39"/>
    <w:rsid w:val="005B54EF"/>
    <w:rsid w:val="005B6A0C"/>
    <w:rsid w:val="005B7733"/>
    <w:rsid w:val="005C136F"/>
    <w:rsid w:val="005C2C37"/>
    <w:rsid w:val="005C2D06"/>
    <w:rsid w:val="005C588D"/>
    <w:rsid w:val="005C5D11"/>
    <w:rsid w:val="005C70DC"/>
    <w:rsid w:val="005C7802"/>
    <w:rsid w:val="005D0D5A"/>
    <w:rsid w:val="005D3AC1"/>
    <w:rsid w:val="005D6237"/>
    <w:rsid w:val="005E0B37"/>
    <w:rsid w:val="005E14A1"/>
    <w:rsid w:val="005E2321"/>
    <w:rsid w:val="005E55E7"/>
    <w:rsid w:val="005E6CF3"/>
    <w:rsid w:val="005F15A6"/>
    <w:rsid w:val="005F249B"/>
    <w:rsid w:val="005F47E7"/>
    <w:rsid w:val="00601795"/>
    <w:rsid w:val="00602044"/>
    <w:rsid w:val="00603BC5"/>
    <w:rsid w:val="006048C5"/>
    <w:rsid w:val="00606472"/>
    <w:rsid w:val="00612CB4"/>
    <w:rsid w:val="00613BC1"/>
    <w:rsid w:val="00617E08"/>
    <w:rsid w:val="00623AEF"/>
    <w:rsid w:val="0062667E"/>
    <w:rsid w:val="00630A98"/>
    <w:rsid w:val="0063194E"/>
    <w:rsid w:val="006412B3"/>
    <w:rsid w:val="00641BF1"/>
    <w:rsid w:val="0064476B"/>
    <w:rsid w:val="006453D0"/>
    <w:rsid w:val="00645930"/>
    <w:rsid w:val="00646361"/>
    <w:rsid w:val="00647E63"/>
    <w:rsid w:val="00647E83"/>
    <w:rsid w:val="00650C9B"/>
    <w:rsid w:val="00651B11"/>
    <w:rsid w:val="00651B6E"/>
    <w:rsid w:val="0065201C"/>
    <w:rsid w:val="00660362"/>
    <w:rsid w:val="00660570"/>
    <w:rsid w:val="00666129"/>
    <w:rsid w:val="0066635F"/>
    <w:rsid w:val="0067372B"/>
    <w:rsid w:val="006740DF"/>
    <w:rsid w:val="00674CE1"/>
    <w:rsid w:val="00674D92"/>
    <w:rsid w:val="00676A11"/>
    <w:rsid w:val="006814D6"/>
    <w:rsid w:val="00681BCC"/>
    <w:rsid w:val="006835BE"/>
    <w:rsid w:val="00686245"/>
    <w:rsid w:val="00686D2F"/>
    <w:rsid w:val="00690A06"/>
    <w:rsid w:val="006919F2"/>
    <w:rsid w:val="00693DE0"/>
    <w:rsid w:val="0069601C"/>
    <w:rsid w:val="00696E88"/>
    <w:rsid w:val="006A0C84"/>
    <w:rsid w:val="006A0D79"/>
    <w:rsid w:val="006A2ECC"/>
    <w:rsid w:val="006A3A51"/>
    <w:rsid w:val="006A5A01"/>
    <w:rsid w:val="006A644C"/>
    <w:rsid w:val="006B2CCE"/>
    <w:rsid w:val="006B3DE9"/>
    <w:rsid w:val="006B682B"/>
    <w:rsid w:val="006B70C1"/>
    <w:rsid w:val="006B70EF"/>
    <w:rsid w:val="006C00B2"/>
    <w:rsid w:val="006C1748"/>
    <w:rsid w:val="006C1E3C"/>
    <w:rsid w:val="006C487F"/>
    <w:rsid w:val="006C4E21"/>
    <w:rsid w:val="006C79E4"/>
    <w:rsid w:val="006D2211"/>
    <w:rsid w:val="006D4E2B"/>
    <w:rsid w:val="006D5907"/>
    <w:rsid w:val="006E0C88"/>
    <w:rsid w:val="006E10A0"/>
    <w:rsid w:val="006E2CED"/>
    <w:rsid w:val="006E2F57"/>
    <w:rsid w:val="006E5977"/>
    <w:rsid w:val="006E5BD6"/>
    <w:rsid w:val="006E65BD"/>
    <w:rsid w:val="006E668F"/>
    <w:rsid w:val="006F1E32"/>
    <w:rsid w:val="006F4E09"/>
    <w:rsid w:val="006F54F3"/>
    <w:rsid w:val="006F63B8"/>
    <w:rsid w:val="007013BC"/>
    <w:rsid w:val="0070152A"/>
    <w:rsid w:val="0070153D"/>
    <w:rsid w:val="00706B62"/>
    <w:rsid w:val="00711F08"/>
    <w:rsid w:val="00711FF5"/>
    <w:rsid w:val="0071207B"/>
    <w:rsid w:val="00712ADA"/>
    <w:rsid w:val="00713104"/>
    <w:rsid w:val="00721BFD"/>
    <w:rsid w:val="0072401D"/>
    <w:rsid w:val="0073045F"/>
    <w:rsid w:val="00732037"/>
    <w:rsid w:val="007339D2"/>
    <w:rsid w:val="00733C37"/>
    <w:rsid w:val="00740263"/>
    <w:rsid w:val="00740928"/>
    <w:rsid w:val="00740F1C"/>
    <w:rsid w:val="00740F84"/>
    <w:rsid w:val="00741A38"/>
    <w:rsid w:val="007425C2"/>
    <w:rsid w:val="00743CF9"/>
    <w:rsid w:val="00752050"/>
    <w:rsid w:val="007524CE"/>
    <w:rsid w:val="00754F0E"/>
    <w:rsid w:val="00756E93"/>
    <w:rsid w:val="00760E4E"/>
    <w:rsid w:val="00761A18"/>
    <w:rsid w:val="00765D43"/>
    <w:rsid w:val="00767097"/>
    <w:rsid w:val="007670C4"/>
    <w:rsid w:val="00767A1B"/>
    <w:rsid w:val="00767B5D"/>
    <w:rsid w:val="0077100F"/>
    <w:rsid w:val="0077167A"/>
    <w:rsid w:val="00771A6E"/>
    <w:rsid w:val="00772BFD"/>
    <w:rsid w:val="00773016"/>
    <w:rsid w:val="007775BD"/>
    <w:rsid w:val="0077776D"/>
    <w:rsid w:val="00785377"/>
    <w:rsid w:val="00792275"/>
    <w:rsid w:val="00795848"/>
    <w:rsid w:val="00797F97"/>
    <w:rsid w:val="007B0F25"/>
    <w:rsid w:val="007B1C67"/>
    <w:rsid w:val="007B482B"/>
    <w:rsid w:val="007B75CC"/>
    <w:rsid w:val="007C43EC"/>
    <w:rsid w:val="007C4897"/>
    <w:rsid w:val="007C7A2B"/>
    <w:rsid w:val="007D117A"/>
    <w:rsid w:val="007D249C"/>
    <w:rsid w:val="007D4B82"/>
    <w:rsid w:val="007D50D1"/>
    <w:rsid w:val="007D591C"/>
    <w:rsid w:val="007D5BA4"/>
    <w:rsid w:val="007E5498"/>
    <w:rsid w:val="007E6666"/>
    <w:rsid w:val="007E6920"/>
    <w:rsid w:val="007F0D78"/>
    <w:rsid w:val="007F183E"/>
    <w:rsid w:val="007F4262"/>
    <w:rsid w:val="007F46D0"/>
    <w:rsid w:val="007F5C1B"/>
    <w:rsid w:val="007F63AA"/>
    <w:rsid w:val="007F729D"/>
    <w:rsid w:val="0080163F"/>
    <w:rsid w:val="00802BC0"/>
    <w:rsid w:val="00805B61"/>
    <w:rsid w:val="00807E0A"/>
    <w:rsid w:val="00810D70"/>
    <w:rsid w:val="00811777"/>
    <w:rsid w:val="008126EA"/>
    <w:rsid w:val="00813255"/>
    <w:rsid w:val="008138D6"/>
    <w:rsid w:val="008143EF"/>
    <w:rsid w:val="0081474E"/>
    <w:rsid w:val="00814B66"/>
    <w:rsid w:val="00815840"/>
    <w:rsid w:val="008179CD"/>
    <w:rsid w:val="00820314"/>
    <w:rsid w:val="0082038E"/>
    <w:rsid w:val="00824C87"/>
    <w:rsid w:val="00832DE7"/>
    <w:rsid w:val="00835274"/>
    <w:rsid w:val="00837814"/>
    <w:rsid w:val="008404A9"/>
    <w:rsid w:val="00841EA8"/>
    <w:rsid w:val="00843B77"/>
    <w:rsid w:val="0084405A"/>
    <w:rsid w:val="00850E9D"/>
    <w:rsid w:val="0085400D"/>
    <w:rsid w:val="00860DF9"/>
    <w:rsid w:val="0086200C"/>
    <w:rsid w:val="00862376"/>
    <w:rsid w:val="0086282F"/>
    <w:rsid w:val="00862AF8"/>
    <w:rsid w:val="00862D97"/>
    <w:rsid w:val="00863705"/>
    <w:rsid w:val="00863B1F"/>
    <w:rsid w:val="008677B4"/>
    <w:rsid w:val="00870C82"/>
    <w:rsid w:val="00871A40"/>
    <w:rsid w:val="00873435"/>
    <w:rsid w:val="00882A88"/>
    <w:rsid w:val="00882C8A"/>
    <w:rsid w:val="008834CC"/>
    <w:rsid w:val="0088572E"/>
    <w:rsid w:val="00886B43"/>
    <w:rsid w:val="008879E8"/>
    <w:rsid w:val="008936D8"/>
    <w:rsid w:val="0089481D"/>
    <w:rsid w:val="00895894"/>
    <w:rsid w:val="00897908"/>
    <w:rsid w:val="00897D7E"/>
    <w:rsid w:val="008A7187"/>
    <w:rsid w:val="008B0237"/>
    <w:rsid w:val="008B0CA0"/>
    <w:rsid w:val="008C1C22"/>
    <w:rsid w:val="008C3C1E"/>
    <w:rsid w:val="008C74BE"/>
    <w:rsid w:val="008C798D"/>
    <w:rsid w:val="008C7FCA"/>
    <w:rsid w:val="008D0DE1"/>
    <w:rsid w:val="008D10F5"/>
    <w:rsid w:val="008D2AEC"/>
    <w:rsid w:val="008D2E27"/>
    <w:rsid w:val="008D4B94"/>
    <w:rsid w:val="008D6A0C"/>
    <w:rsid w:val="008D7E8A"/>
    <w:rsid w:val="008E0C39"/>
    <w:rsid w:val="008E24DB"/>
    <w:rsid w:val="008E2814"/>
    <w:rsid w:val="008E374B"/>
    <w:rsid w:val="008E6732"/>
    <w:rsid w:val="008E6FB9"/>
    <w:rsid w:val="008E7F44"/>
    <w:rsid w:val="008F0250"/>
    <w:rsid w:val="008F08E8"/>
    <w:rsid w:val="008F27F1"/>
    <w:rsid w:val="008F2D08"/>
    <w:rsid w:val="008F4552"/>
    <w:rsid w:val="008F4A6D"/>
    <w:rsid w:val="0090090C"/>
    <w:rsid w:val="00901D3D"/>
    <w:rsid w:val="00903CF2"/>
    <w:rsid w:val="00905218"/>
    <w:rsid w:val="00910B4C"/>
    <w:rsid w:val="00910B8E"/>
    <w:rsid w:val="00911938"/>
    <w:rsid w:val="0091724D"/>
    <w:rsid w:val="00924DEF"/>
    <w:rsid w:val="00924F14"/>
    <w:rsid w:val="009257C1"/>
    <w:rsid w:val="00925E94"/>
    <w:rsid w:val="009279BF"/>
    <w:rsid w:val="0093390D"/>
    <w:rsid w:val="00936BC2"/>
    <w:rsid w:val="0094021B"/>
    <w:rsid w:val="009501F7"/>
    <w:rsid w:val="00953406"/>
    <w:rsid w:val="00954A72"/>
    <w:rsid w:val="00956383"/>
    <w:rsid w:val="0096257A"/>
    <w:rsid w:val="0096264F"/>
    <w:rsid w:val="00964410"/>
    <w:rsid w:val="00964AFF"/>
    <w:rsid w:val="00964F1D"/>
    <w:rsid w:val="00970B33"/>
    <w:rsid w:val="00981BC3"/>
    <w:rsid w:val="00986C7A"/>
    <w:rsid w:val="0099023F"/>
    <w:rsid w:val="0099526A"/>
    <w:rsid w:val="00995B6C"/>
    <w:rsid w:val="009966E9"/>
    <w:rsid w:val="00996A49"/>
    <w:rsid w:val="009A299F"/>
    <w:rsid w:val="009A53EF"/>
    <w:rsid w:val="009B3A13"/>
    <w:rsid w:val="009B3CE5"/>
    <w:rsid w:val="009C239E"/>
    <w:rsid w:val="009C3DFC"/>
    <w:rsid w:val="009C5EB3"/>
    <w:rsid w:val="009D1E3F"/>
    <w:rsid w:val="009D38FF"/>
    <w:rsid w:val="009E165B"/>
    <w:rsid w:val="009E4E4B"/>
    <w:rsid w:val="009E50C5"/>
    <w:rsid w:val="009F2539"/>
    <w:rsid w:val="009F319E"/>
    <w:rsid w:val="009F360A"/>
    <w:rsid w:val="00A03007"/>
    <w:rsid w:val="00A0409F"/>
    <w:rsid w:val="00A05225"/>
    <w:rsid w:val="00A05EFA"/>
    <w:rsid w:val="00A070DD"/>
    <w:rsid w:val="00A11E5C"/>
    <w:rsid w:val="00A12353"/>
    <w:rsid w:val="00A128B9"/>
    <w:rsid w:val="00A1753F"/>
    <w:rsid w:val="00A20AB0"/>
    <w:rsid w:val="00A223F1"/>
    <w:rsid w:val="00A242D7"/>
    <w:rsid w:val="00A27D8A"/>
    <w:rsid w:val="00A3299A"/>
    <w:rsid w:val="00A347C0"/>
    <w:rsid w:val="00A3647A"/>
    <w:rsid w:val="00A36906"/>
    <w:rsid w:val="00A40324"/>
    <w:rsid w:val="00A40704"/>
    <w:rsid w:val="00A42B3C"/>
    <w:rsid w:val="00A446D2"/>
    <w:rsid w:val="00A502E1"/>
    <w:rsid w:val="00A526C1"/>
    <w:rsid w:val="00A527AB"/>
    <w:rsid w:val="00A52E97"/>
    <w:rsid w:val="00A53EEE"/>
    <w:rsid w:val="00A57698"/>
    <w:rsid w:val="00A5787D"/>
    <w:rsid w:val="00A6268A"/>
    <w:rsid w:val="00A6404A"/>
    <w:rsid w:val="00A64AD9"/>
    <w:rsid w:val="00A70802"/>
    <w:rsid w:val="00A73395"/>
    <w:rsid w:val="00A7384E"/>
    <w:rsid w:val="00A74A66"/>
    <w:rsid w:val="00A75E5C"/>
    <w:rsid w:val="00A7665A"/>
    <w:rsid w:val="00A81564"/>
    <w:rsid w:val="00A82E64"/>
    <w:rsid w:val="00A84DED"/>
    <w:rsid w:val="00A871A4"/>
    <w:rsid w:val="00A91753"/>
    <w:rsid w:val="00A92302"/>
    <w:rsid w:val="00A927EA"/>
    <w:rsid w:val="00A9443F"/>
    <w:rsid w:val="00A94656"/>
    <w:rsid w:val="00AA2320"/>
    <w:rsid w:val="00AA2997"/>
    <w:rsid w:val="00AA5584"/>
    <w:rsid w:val="00AA60CF"/>
    <w:rsid w:val="00AB3DE6"/>
    <w:rsid w:val="00AB5225"/>
    <w:rsid w:val="00AB53D3"/>
    <w:rsid w:val="00AB6339"/>
    <w:rsid w:val="00AB6641"/>
    <w:rsid w:val="00AB721F"/>
    <w:rsid w:val="00AB753C"/>
    <w:rsid w:val="00AB7DA5"/>
    <w:rsid w:val="00AC04B5"/>
    <w:rsid w:val="00AC190C"/>
    <w:rsid w:val="00AC1A72"/>
    <w:rsid w:val="00AC22DC"/>
    <w:rsid w:val="00AC25B4"/>
    <w:rsid w:val="00AC5F06"/>
    <w:rsid w:val="00AC6F5B"/>
    <w:rsid w:val="00AD0B5E"/>
    <w:rsid w:val="00AD1ACE"/>
    <w:rsid w:val="00AD3B13"/>
    <w:rsid w:val="00AD520E"/>
    <w:rsid w:val="00AE049B"/>
    <w:rsid w:val="00AE09F1"/>
    <w:rsid w:val="00AE182C"/>
    <w:rsid w:val="00AE2D92"/>
    <w:rsid w:val="00AE476D"/>
    <w:rsid w:val="00AE7029"/>
    <w:rsid w:val="00AE7F09"/>
    <w:rsid w:val="00AF0B1B"/>
    <w:rsid w:val="00AF5B3A"/>
    <w:rsid w:val="00AF6E87"/>
    <w:rsid w:val="00AF777E"/>
    <w:rsid w:val="00B00DBA"/>
    <w:rsid w:val="00B059D5"/>
    <w:rsid w:val="00B061E0"/>
    <w:rsid w:val="00B113DC"/>
    <w:rsid w:val="00B121C3"/>
    <w:rsid w:val="00B126A9"/>
    <w:rsid w:val="00B13502"/>
    <w:rsid w:val="00B14F77"/>
    <w:rsid w:val="00B15211"/>
    <w:rsid w:val="00B1570A"/>
    <w:rsid w:val="00B17B1C"/>
    <w:rsid w:val="00B202C5"/>
    <w:rsid w:val="00B21548"/>
    <w:rsid w:val="00B2391B"/>
    <w:rsid w:val="00B24AB7"/>
    <w:rsid w:val="00B24FB1"/>
    <w:rsid w:val="00B25A70"/>
    <w:rsid w:val="00B25AD8"/>
    <w:rsid w:val="00B26ECF"/>
    <w:rsid w:val="00B27B17"/>
    <w:rsid w:val="00B34265"/>
    <w:rsid w:val="00B3592A"/>
    <w:rsid w:val="00B405F0"/>
    <w:rsid w:val="00B40967"/>
    <w:rsid w:val="00B40DB8"/>
    <w:rsid w:val="00B469DC"/>
    <w:rsid w:val="00B5151E"/>
    <w:rsid w:val="00B519CA"/>
    <w:rsid w:val="00B52510"/>
    <w:rsid w:val="00B534BA"/>
    <w:rsid w:val="00B54FE4"/>
    <w:rsid w:val="00B57B37"/>
    <w:rsid w:val="00B57C61"/>
    <w:rsid w:val="00B60734"/>
    <w:rsid w:val="00B6290B"/>
    <w:rsid w:val="00B6320C"/>
    <w:rsid w:val="00B661B8"/>
    <w:rsid w:val="00B66255"/>
    <w:rsid w:val="00B71F7C"/>
    <w:rsid w:val="00B72AA5"/>
    <w:rsid w:val="00B73C88"/>
    <w:rsid w:val="00B73FF1"/>
    <w:rsid w:val="00B76091"/>
    <w:rsid w:val="00B76422"/>
    <w:rsid w:val="00B76768"/>
    <w:rsid w:val="00B7718D"/>
    <w:rsid w:val="00B82067"/>
    <w:rsid w:val="00B82443"/>
    <w:rsid w:val="00B827C3"/>
    <w:rsid w:val="00B82A49"/>
    <w:rsid w:val="00B82ED6"/>
    <w:rsid w:val="00B8729C"/>
    <w:rsid w:val="00B876BD"/>
    <w:rsid w:val="00B90029"/>
    <w:rsid w:val="00B91B8D"/>
    <w:rsid w:val="00B92B87"/>
    <w:rsid w:val="00B93249"/>
    <w:rsid w:val="00B954A3"/>
    <w:rsid w:val="00BA0131"/>
    <w:rsid w:val="00BA1564"/>
    <w:rsid w:val="00BA1817"/>
    <w:rsid w:val="00BA2E95"/>
    <w:rsid w:val="00BA653D"/>
    <w:rsid w:val="00BB0D41"/>
    <w:rsid w:val="00BB7C59"/>
    <w:rsid w:val="00BC3ED8"/>
    <w:rsid w:val="00BC4DCF"/>
    <w:rsid w:val="00BC4FE6"/>
    <w:rsid w:val="00BD14AE"/>
    <w:rsid w:val="00BD43D0"/>
    <w:rsid w:val="00BD4CD3"/>
    <w:rsid w:val="00BD5887"/>
    <w:rsid w:val="00BE09FC"/>
    <w:rsid w:val="00BE2554"/>
    <w:rsid w:val="00BE2A5D"/>
    <w:rsid w:val="00BE2E1F"/>
    <w:rsid w:val="00BE3906"/>
    <w:rsid w:val="00BE3AF9"/>
    <w:rsid w:val="00BE461D"/>
    <w:rsid w:val="00BE61AA"/>
    <w:rsid w:val="00BE6E65"/>
    <w:rsid w:val="00BE7F15"/>
    <w:rsid w:val="00BF10A5"/>
    <w:rsid w:val="00BF592F"/>
    <w:rsid w:val="00BF5EA5"/>
    <w:rsid w:val="00BF71E1"/>
    <w:rsid w:val="00C040AE"/>
    <w:rsid w:val="00C055FE"/>
    <w:rsid w:val="00C06015"/>
    <w:rsid w:val="00C06396"/>
    <w:rsid w:val="00C10434"/>
    <w:rsid w:val="00C105A5"/>
    <w:rsid w:val="00C107A0"/>
    <w:rsid w:val="00C113E7"/>
    <w:rsid w:val="00C13C88"/>
    <w:rsid w:val="00C13FD9"/>
    <w:rsid w:val="00C23C26"/>
    <w:rsid w:val="00C263AD"/>
    <w:rsid w:val="00C27AB6"/>
    <w:rsid w:val="00C35AB1"/>
    <w:rsid w:val="00C37DCA"/>
    <w:rsid w:val="00C41934"/>
    <w:rsid w:val="00C517F7"/>
    <w:rsid w:val="00C5239A"/>
    <w:rsid w:val="00C62188"/>
    <w:rsid w:val="00C632F7"/>
    <w:rsid w:val="00C64794"/>
    <w:rsid w:val="00C6543D"/>
    <w:rsid w:val="00C7020C"/>
    <w:rsid w:val="00C72652"/>
    <w:rsid w:val="00C73CC7"/>
    <w:rsid w:val="00C76FCB"/>
    <w:rsid w:val="00C77DAD"/>
    <w:rsid w:val="00C85BE8"/>
    <w:rsid w:val="00C86B6C"/>
    <w:rsid w:val="00C87889"/>
    <w:rsid w:val="00C87913"/>
    <w:rsid w:val="00C948A8"/>
    <w:rsid w:val="00C9561A"/>
    <w:rsid w:val="00CA349D"/>
    <w:rsid w:val="00CA56C7"/>
    <w:rsid w:val="00CA5B04"/>
    <w:rsid w:val="00CA6E57"/>
    <w:rsid w:val="00CB0795"/>
    <w:rsid w:val="00CB33D8"/>
    <w:rsid w:val="00CB40C7"/>
    <w:rsid w:val="00CB46B2"/>
    <w:rsid w:val="00CB6E57"/>
    <w:rsid w:val="00CC2CDE"/>
    <w:rsid w:val="00CC3B17"/>
    <w:rsid w:val="00CC3CFB"/>
    <w:rsid w:val="00CC5E24"/>
    <w:rsid w:val="00CC5E74"/>
    <w:rsid w:val="00CC6CAB"/>
    <w:rsid w:val="00CC7065"/>
    <w:rsid w:val="00CD055E"/>
    <w:rsid w:val="00CD1885"/>
    <w:rsid w:val="00CD452D"/>
    <w:rsid w:val="00CD4BB4"/>
    <w:rsid w:val="00CD70A7"/>
    <w:rsid w:val="00CE39A5"/>
    <w:rsid w:val="00CE4339"/>
    <w:rsid w:val="00CF36B9"/>
    <w:rsid w:val="00D023EB"/>
    <w:rsid w:val="00D02D0C"/>
    <w:rsid w:val="00D02DA5"/>
    <w:rsid w:val="00D0472B"/>
    <w:rsid w:val="00D05C5F"/>
    <w:rsid w:val="00D07CB8"/>
    <w:rsid w:val="00D1121B"/>
    <w:rsid w:val="00D11763"/>
    <w:rsid w:val="00D15A23"/>
    <w:rsid w:val="00D21B62"/>
    <w:rsid w:val="00D26C4D"/>
    <w:rsid w:val="00D3092D"/>
    <w:rsid w:val="00D31E1D"/>
    <w:rsid w:val="00D32EE0"/>
    <w:rsid w:val="00D35BAA"/>
    <w:rsid w:val="00D35CA8"/>
    <w:rsid w:val="00D361C1"/>
    <w:rsid w:val="00D37814"/>
    <w:rsid w:val="00D4309F"/>
    <w:rsid w:val="00D431ED"/>
    <w:rsid w:val="00D46E7C"/>
    <w:rsid w:val="00D47EFA"/>
    <w:rsid w:val="00D51575"/>
    <w:rsid w:val="00D52474"/>
    <w:rsid w:val="00D6592E"/>
    <w:rsid w:val="00D659BA"/>
    <w:rsid w:val="00D65B87"/>
    <w:rsid w:val="00D71180"/>
    <w:rsid w:val="00D77B2F"/>
    <w:rsid w:val="00D80452"/>
    <w:rsid w:val="00D80AAF"/>
    <w:rsid w:val="00D8698F"/>
    <w:rsid w:val="00D91E8C"/>
    <w:rsid w:val="00DA43B1"/>
    <w:rsid w:val="00DA78EF"/>
    <w:rsid w:val="00DB13A5"/>
    <w:rsid w:val="00DB404D"/>
    <w:rsid w:val="00DB4245"/>
    <w:rsid w:val="00DB51A7"/>
    <w:rsid w:val="00DB53C5"/>
    <w:rsid w:val="00DB6467"/>
    <w:rsid w:val="00DB6DFB"/>
    <w:rsid w:val="00DC023C"/>
    <w:rsid w:val="00DC1DC8"/>
    <w:rsid w:val="00DC1F37"/>
    <w:rsid w:val="00DC4FE9"/>
    <w:rsid w:val="00DC6350"/>
    <w:rsid w:val="00DC77E4"/>
    <w:rsid w:val="00DD33F7"/>
    <w:rsid w:val="00DD5119"/>
    <w:rsid w:val="00DD54D2"/>
    <w:rsid w:val="00DD57A6"/>
    <w:rsid w:val="00DE377F"/>
    <w:rsid w:val="00DE43CD"/>
    <w:rsid w:val="00DE45BF"/>
    <w:rsid w:val="00DE7704"/>
    <w:rsid w:val="00DF2715"/>
    <w:rsid w:val="00DF3345"/>
    <w:rsid w:val="00DF57A6"/>
    <w:rsid w:val="00DF6108"/>
    <w:rsid w:val="00DF6BCE"/>
    <w:rsid w:val="00DF77A9"/>
    <w:rsid w:val="00DF78BA"/>
    <w:rsid w:val="00E005E4"/>
    <w:rsid w:val="00E00ECA"/>
    <w:rsid w:val="00E021A1"/>
    <w:rsid w:val="00E108AB"/>
    <w:rsid w:val="00E141E2"/>
    <w:rsid w:val="00E164F4"/>
    <w:rsid w:val="00E17217"/>
    <w:rsid w:val="00E30E20"/>
    <w:rsid w:val="00E3181B"/>
    <w:rsid w:val="00E31CB4"/>
    <w:rsid w:val="00E3315E"/>
    <w:rsid w:val="00E343FC"/>
    <w:rsid w:val="00E37110"/>
    <w:rsid w:val="00E42016"/>
    <w:rsid w:val="00E43EB4"/>
    <w:rsid w:val="00E45B03"/>
    <w:rsid w:val="00E45C75"/>
    <w:rsid w:val="00E47799"/>
    <w:rsid w:val="00E47AB8"/>
    <w:rsid w:val="00E5158C"/>
    <w:rsid w:val="00E51830"/>
    <w:rsid w:val="00E53A23"/>
    <w:rsid w:val="00E5453A"/>
    <w:rsid w:val="00E60268"/>
    <w:rsid w:val="00E60AFE"/>
    <w:rsid w:val="00E667D1"/>
    <w:rsid w:val="00E669F2"/>
    <w:rsid w:val="00E72E01"/>
    <w:rsid w:val="00E75BE4"/>
    <w:rsid w:val="00E76A17"/>
    <w:rsid w:val="00E81D80"/>
    <w:rsid w:val="00E83024"/>
    <w:rsid w:val="00E843DF"/>
    <w:rsid w:val="00E8567A"/>
    <w:rsid w:val="00E8625C"/>
    <w:rsid w:val="00E86A5E"/>
    <w:rsid w:val="00E90F0C"/>
    <w:rsid w:val="00E93157"/>
    <w:rsid w:val="00E979A6"/>
    <w:rsid w:val="00E97EBE"/>
    <w:rsid w:val="00EA0C8F"/>
    <w:rsid w:val="00EA43DA"/>
    <w:rsid w:val="00EA5201"/>
    <w:rsid w:val="00EB3377"/>
    <w:rsid w:val="00EB4974"/>
    <w:rsid w:val="00EB5F8A"/>
    <w:rsid w:val="00EB7DC9"/>
    <w:rsid w:val="00EC071E"/>
    <w:rsid w:val="00EC0CAE"/>
    <w:rsid w:val="00EC0EA9"/>
    <w:rsid w:val="00EC367B"/>
    <w:rsid w:val="00ED43DF"/>
    <w:rsid w:val="00ED5727"/>
    <w:rsid w:val="00ED597A"/>
    <w:rsid w:val="00ED7027"/>
    <w:rsid w:val="00EE0537"/>
    <w:rsid w:val="00EE12E4"/>
    <w:rsid w:val="00EE3D40"/>
    <w:rsid w:val="00EE54A1"/>
    <w:rsid w:val="00EF2220"/>
    <w:rsid w:val="00EF2B45"/>
    <w:rsid w:val="00EF3761"/>
    <w:rsid w:val="00F01EE7"/>
    <w:rsid w:val="00F021C2"/>
    <w:rsid w:val="00F10573"/>
    <w:rsid w:val="00F10FED"/>
    <w:rsid w:val="00F1245B"/>
    <w:rsid w:val="00F12BB3"/>
    <w:rsid w:val="00F13CB4"/>
    <w:rsid w:val="00F15775"/>
    <w:rsid w:val="00F2204A"/>
    <w:rsid w:val="00F25E12"/>
    <w:rsid w:val="00F26E9C"/>
    <w:rsid w:val="00F27539"/>
    <w:rsid w:val="00F2779D"/>
    <w:rsid w:val="00F33B53"/>
    <w:rsid w:val="00F35A3A"/>
    <w:rsid w:val="00F416F0"/>
    <w:rsid w:val="00F41C4F"/>
    <w:rsid w:val="00F46151"/>
    <w:rsid w:val="00F51C8B"/>
    <w:rsid w:val="00F525A0"/>
    <w:rsid w:val="00F529A4"/>
    <w:rsid w:val="00F52E13"/>
    <w:rsid w:val="00F5448A"/>
    <w:rsid w:val="00F55B70"/>
    <w:rsid w:val="00F60E07"/>
    <w:rsid w:val="00F61FC4"/>
    <w:rsid w:val="00F645BC"/>
    <w:rsid w:val="00F64731"/>
    <w:rsid w:val="00F65786"/>
    <w:rsid w:val="00F666F7"/>
    <w:rsid w:val="00F71B5E"/>
    <w:rsid w:val="00F7382C"/>
    <w:rsid w:val="00F76564"/>
    <w:rsid w:val="00F76D17"/>
    <w:rsid w:val="00F76E26"/>
    <w:rsid w:val="00F8146C"/>
    <w:rsid w:val="00F84C72"/>
    <w:rsid w:val="00F90380"/>
    <w:rsid w:val="00F91236"/>
    <w:rsid w:val="00F91341"/>
    <w:rsid w:val="00F93069"/>
    <w:rsid w:val="00F9489A"/>
    <w:rsid w:val="00F94E9F"/>
    <w:rsid w:val="00F956B9"/>
    <w:rsid w:val="00F968D0"/>
    <w:rsid w:val="00FA3AC7"/>
    <w:rsid w:val="00FA43ED"/>
    <w:rsid w:val="00FA44CF"/>
    <w:rsid w:val="00FA5E08"/>
    <w:rsid w:val="00FA7C61"/>
    <w:rsid w:val="00FB4EE6"/>
    <w:rsid w:val="00FC04CD"/>
    <w:rsid w:val="00FC098E"/>
    <w:rsid w:val="00FC11DC"/>
    <w:rsid w:val="00FC23E2"/>
    <w:rsid w:val="00FC331B"/>
    <w:rsid w:val="00FD0848"/>
    <w:rsid w:val="00FD0B7D"/>
    <w:rsid w:val="00FD0F2E"/>
    <w:rsid w:val="00FD2A60"/>
    <w:rsid w:val="00FD52E8"/>
    <w:rsid w:val="00FD5936"/>
    <w:rsid w:val="00FD6841"/>
    <w:rsid w:val="00FE1BD0"/>
    <w:rsid w:val="00FE24E1"/>
    <w:rsid w:val="00FE256F"/>
    <w:rsid w:val="00FE42EF"/>
    <w:rsid w:val="00FE4700"/>
    <w:rsid w:val="00FE5D54"/>
    <w:rsid w:val="00FF4450"/>
    <w:rsid w:val="00FF7145"/>
    <w:rsid w:val="01600073"/>
    <w:rsid w:val="02C8DAC1"/>
    <w:rsid w:val="03542A9E"/>
    <w:rsid w:val="0464AB22"/>
    <w:rsid w:val="05409869"/>
    <w:rsid w:val="056FEAD4"/>
    <w:rsid w:val="05A51C60"/>
    <w:rsid w:val="05EDA182"/>
    <w:rsid w:val="079C4BE4"/>
    <w:rsid w:val="07E013E3"/>
    <w:rsid w:val="08EAF799"/>
    <w:rsid w:val="0974B04B"/>
    <w:rsid w:val="09E54A41"/>
    <w:rsid w:val="0B58FF10"/>
    <w:rsid w:val="0C22985B"/>
    <w:rsid w:val="0D3386A0"/>
    <w:rsid w:val="0D559B25"/>
    <w:rsid w:val="0DA47A7B"/>
    <w:rsid w:val="0E67813A"/>
    <w:rsid w:val="0EA8AE5B"/>
    <w:rsid w:val="0F9D2A41"/>
    <w:rsid w:val="10100928"/>
    <w:rsid w:val="10C33667"/>
    <w:rsid w:val="10E0AD95"/>
    <w:rsid w:val="12C8FAFE"/>
    <w:rsid w:val="12E98C97"/>
    <w:rsid w:val="12F97A00"/>
    <w:rsid w:val="13B62993"/>
    <w:rsid w:val="13B98AC0"/>
    <w:rsid w:val="145A4A92"/>
    <w:rsid w:val="1499D84D"/>
    <w:rsid w:val="14A4D5C6"/>
    <w:rsid w:val="1593753F"/>
    <w:rsid w:val="1818708E"/>
    <w:rsid w:val="193DF39A"/>
    <w:rsid w:val="198077D2"/>
    <w:rsid w:val="19E34A09"/>
    <w:rsid w:val="1C32E8F7"/>
    <w:rsid w:val="1C657D97"/>
    <w:rsid w:val="1D1D7A58"/>
    <w:rsid w:val="1D4DA166"/>
    <w:rsid w:val="1DA86DE3"/>
    <w:rsid w:val="1FA56820"/>
    <w:rsid w:val="2009AD02"/>
    <w:rsid w:val="212EEEC0"/>
    <w:rsid w:val="21BCFD8D"/>
    <w:rsid w:val="21E601FA"/>
    <w:rsid w:val="22D196C5"/>
    <w:rsid w:val="23745DC8"/>
    <w:rsid w:val="2482DCAF"/>
    <w:rsid w:val="250B07BC"/>
    <w:rsid w:val="25102E29"/>
    <w:rsid w:val="261EAD10"/>
    <w:rsid w:val="28245286"/>
    <w:rsid w:val="2ADC1F62"/>
    <w:rsid w:val="2AED2EE0"/>
    <w:rsid w:val="2BF2F55F"/>
    <w:rsid w:val="2C77EFC3"/>
    <w:rsid w:val="2CE5F02B"/>
    <w:rsid w:val="2D53C50A"/>
    <w:rsid w:val="305C4056"/>
    <w:rsid w:val="314B60E6"/>
    <w:rsid w:val="31843D0E"/>
    <w:rsid w:val="3234420E"/>
    <w:rsid w:val="33A74C32"/>
    <w:rsid w:val="33CB5CCC"/>
    <w:rsid w:val="3436B114"/>
    <w:rsid w:val="348301A8"/>
    <w:rsid w:val="34D6D2C0"/>
    <w:rsid w:val="35672D2D"/>
    <w:rsid w:val="356EA9CD"/>
    <w:rsid w:val="362D1BEA"/>
    <w:rsid w:val="36344039"/>
    <w:rsid w:val="3743847E"/>
    <w:rsid w:val="38538EAB"/>
    <w:rsid w:val="38E86F72"/>
    <w:rsid w:val="3A7BE674"/>
    <w:rsid w:val="3ACF373F"/>
    <w:rsid w:val="3CCB8D30"/>
    <w:rsid w:val="3CE88376"/>
    <w:rsid w:val="3D38BC44"/>
    <w:rsid w:val="3D81D680"/>
    <w:rsid w:val="3DDB16EA"/>
    <w:rsid w:val="3E6943AF"/>
    <w:rsid w:val="3F016ED6"/>
    <w:rsid w:val="3F114F13"/>
    <w:rsid w:val="40653E56"/>
    <w:rsid w:val="40B2E8A0"/>
    <w:rsid w:val="41F914CC"/>
    <w:rsid w:val="423C1F46"/>
    <w:rsid w:val="42BBF32C"/>
    <w:rsid w:val="436D285A"/>
    <w:rsid w:val="45C81E45"/>
    <w:rsid w:val="4712C583"/>
    <w:rsid w:val="4A88AF03"/>
    <w:rsid w:val="4B07A7B3"/>
    <w:rsid w:val="4B3CA56A"/>
    <w:rsid w:val="4BE3018C"/>
    <w:rsid w:val="4BF48001"/>
    <w:rsid w:val="4CD07623"/>
    <w:rsid w:val="4D67A610"/>
    <w:rsid w:val="4ECA09A6"/>
    <w:rsid w:val="4F0541EC"/>
    <w:rsid w:val="4F115DA2"/>
    <w:rsid w:val="50A651AC"/>
    <w:rsid w:val="50F38940"/>
    <w:rsid w:val="51A3E746"/>
    <w:rsid w:val="52D30946"/>
    <w:rsid w:val="52D6CF87"/>
    <w:rsid w:val="538A04DC"/>
    <w:rsid w:val="53ADF598"/>
    <w:rsid w:val="54BA298A"/>
    <w:rsid w:val="55D06E2A"/>
    <w:rsid w:val="58BDA5EA"/>
    <w:rsid w:val="5906EBBD"/>
    <w:rsid w:val="5B500B0F"/>
    <w:rsid w:val="5BB7F8A0"/>
    <w:rsid w:val="5C0112DC"/>
    <w:rsid w:val="5D539630"/>
    <w:rsid w:val="5FF06C96"/>
    <w:rsid w:val="601CDF23"/>
    <w:rsid w:val="606DB013"/>
    <w:rsid w:val="6152F823"/>
    <w:rsid w:val="623176E1"/>
    <w:rsid w:val="624231D9"/>
    <w:rsid w:val="6294A5A6"/>
    <w:rsid w:val="62A6A233"/>
    <w:rsid w:val="62EEC884"/>
    <w:rsid w:val="6323A3F7"/>
    <w:rsid w:val="6375F063"/>
    <w:rsid w:val="64F86776"/>
    <w:rsid w:val="666806B7"/>
    <w:rsid w:val="6827F108"/>
    <w:rsid w:val="6ADE20BB"/>
    <w:rsid w:val="6B0D43D8"/>
    <w:rsid w:val="6BCDC684"/>
    <w:rsid w:val="6C274DD5"/>
    <w:rsid w:val="6C54B049"/>
    <w:rsid w:val="6F258E08"/>
    <w:rsid w:val="6FDB0401"/>
    <w:rsid w:val="710EF90F"/>
    <w:rsid w:val="718AF7B4"/>
    <w:rsid w:val="7190CCCB"/>
    <w:rsid w:val="722CB831"/>
    <w:rsid w:val="73B1A11E"/>
    <w:rsid w:val="73E0E6A6"/>
    <w:rsid w:val="749C2731"/>
    <w:rsid w:val="74F1C2E3"/>
    <w:rsid w:val="75B7E74A"/>
    <w:rsid w:val="75DB0EB7"/>
    <w:rsid w:val="7A376399"/>
    <w:rsid w:val="7A8A059F"/>
    <w:rsid w:val="7C176276"/>
    <w:rsid w:val="7CCD181F"/>
    <w:rsid w:val="7DB332D7"/>
    <w:rsid w:val="7DF5699D"/>
    <w:rsid w:val="7E4182CE"/>
    <w:rsid w:val="7E62F030"/>
    <w:rsid w:val="7EF7DAB8"/>
    <w:rsid w:val="7F87F0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6B738B"/>
  <w15:chartTrackingRefBased/>
  <w15:docId w15:val="{9A3EFDB4-D893-AE48-9713-AB41B219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pPr>
        <w:spacing w:before="100" w:beforeAutospacing="1" w:after="100" w:afterAutospacing="1" w:line="360" w:lineRule="auto"/>
        <w:ind w:firstLine="851"/>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4">
    <w:name w:val="heading 4"/>
    <w:basedOn w:val="Normal"/>
    <w:next w:val="Normal"/>
    <w:link w:val="Ttulo4Car"/>
    <w:unhideWhenUsed/>
    <w:qFormat/>
    <w:rsid w:val="003B6848"/>
    <w:pPr>
      <w:keepNext/>
      <w:tabs>
        <w:tab w:val="left" w:pos="0"/>
      </w:tabs>
      <w:overflowPunct w:val="0"/>
      <w:autoSpaceDE w:val="0"/>
      <w:autoSpaceDN w:val="0"/>
      <w:adjustRightInd w:val="0"/>
      <w:spacing w:before="0" w:beforeAutospacing="0" w:after="0" w:afterAutospacing="0" w:line="240" w:lineRule="auto"/>
      <w:ind w:firstLine="0"/>
      <w:jc w:val="center"/>
      <w:outlineLvl w:val="3"/>
    </w:pPr>
    <w:rPr>
      <w:rFonts w:ascii="Times New Roman" w:eastAsia="Times New Roman" w:hAnsi="Times New Roman"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B6848"/>
    <w:pPr>
      <w:spacing w:line="240" w:lineRule="auto"/>
      <w:ind w:firstLine="0"/>
      <w:jc w:val="left"/>
    </w:pPr>
    <w:rPr>
      <w:rFonts w:ascii="Times New Roman" w:eastAsia="Times New Roman" w:hAnsi="Times New Roman" w:cs="Times New Roman"/>
      <w:lang w:eastAsia="es-ES_tradnl"/>
    </w:rPr>
  </w:style>
  <w:style w:type="character" w:customStyle="1" w:styleId="normaltextrun">
    <w:name w:val="normaltextrun"/>
    <w:basedOn w:val="Fuentedeprrafopredeter"/>
    <w:rsid w:val="003B6848"/>
  </w:style>
  <w:style w:type="character" w:customStyle="1" w:styleId="eop">
    <w:name w:val="eop"/>
    <w:basedOn w:val="Fuentedeprrafopredeter"/>
    <w:rsid w:val="003B6848"/>
  </w:style>
  <w:style w:type="character" w:customStyle="1" w:styleId="Ttulo4Car">
    <w:name w:val="Título 4 Car"/>
    <w:basedOn w:val="Fuentedeprrafopredeter"/>
    <w:link w:val="Ttulo4"/>
    <w:rsid w:val="003B6848"/>
    <w:rPr>
      <w:rFonts w:ascii="Times New Roman" w:eastAsia="Times New Roman" w:hAnsi="Times New Roman" w:cs="Times New Roman"/>
      <w:b/>
      <w:szCs w:val="20"/>
      <w:lang w:val="es-ES" w:eastAsia="es-ES"/>
    </w:rPr>
  </w:style>
  <w:style w:type="character" w:customStyle="1" w:styleId="fontstyle21">
    <w:name w:val="fontstyle21"/>
    <w:basedOn w:val="Fuentedeprrafopredeter"/>
    <w:rsid w:val="003B6848"/>
    <w:rPr>
      <w:rFonts w:ascii="Tahoma" w:hAnsi="Tahoma" w:cs="Tahoma" w:hint="default"/>
      <w:b w:val="0"/>
      <w:bCs w:val="0"/>
      <w:i w:val="0"/>
      <w:iCs w:val="0"/>
      <w:color w:val="000000"/>
      <w:sz w:val="24"/>
      <w:szCs w:val="24"/>
    </w:rPr>
  </w:style>
  <w:style w:type="paragraph" w:styleId="Prrafodelista">
    <w:name w:val="List Paragraph"/>
    <w:basedOn w:val="Normal"/>
    <w:qFormat/>
    <w:rsid w:val="00415842"/>
    <w:pPr>
      <w:spacing w:before="0" w:beforeAutospacing="0" w:after="0" w:afterAutospacing="0"/>
      <w:ind w:left="720" w:firstLine="0"/>
      <w:contextualSpacing/>
    </w:pPr>
    <w:rPr>
      <w:rFonts w:ascii="Tahoma" w:hAnsi="Tahoma"/>
      <w:szCs w:val="22"/>
    </w:rPr>
  </w:style>
  <w:style w:type="paragraph" w:styleId="Encabezado">
    <w:name w:val="header"/>
    <w:basedOn w:val="Normal"/>
    <w:link w:val="EncabezadoCar"/>
    <w:uiPriority w:val="99"/>
    <w:unhideWhenUsed/>
    <w:rsid w:val="00995B6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995B6C"/>
  </w:style>
  <w:style w:type="paragraph" w:styleId="Piedepgina">
    <w:name w:val="footer"/>
    <w:basedOn w:val="Normal"/>
    <w:link w:val="PiedepginaCar"/>
    <w:uiPriority w:val="99"/>
    <w:unhideWhenUsed/>
    <w:rsid w:val="00995B6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95B6C"/>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iPriority w:val="99"/>
    <w:unhideWhenUsed/>
    <w:qFormat/>
    <w:rsid w:val="006E0C88"/>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A Fu Car1,Ca"/>
    <w:basedOn w:val="Normal"/>
    <w:link w:val="TextonotapieCar"/>
    <w:uiPriority w:val="99"/>
    <w:unhideWhenUsed/>
    <w:qFormat/>
    <w:rsid w:val="006E0C88"/>
    <w:pPr>
      <w:spacing w:before="0" w:beforeAutospacing="0" w:after="0" w:afterAutospacing="0" w:line="240" w:lineRule="auto"/>
      <w:ind w:firstLine="709"/>
    </w:pPr>
    <w:rPr>
      <w:sz w:val="20"/>
      <w:szCs w:val="20"/>
      <w:lang w:val="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uiPriority w:val="99"/>
    <w:rsid w:val="006E0C88"/>
    <w:rPr>
      <w:sz w:val="20"/>
      <w:szCs w:val="20"/>
      <w:lang w:val="es-ES"/>
    </w:rPr>
  </w:style>
  <w:style w:type="paragraph" w:styleId="NormalWeb">
    <w:name w:val="Normal (Web)"/>
    <w:basedOn w:val="Normal"/>
    <w:uiPriority w:val="99"/>
    <w:unhideWhenUsed/>
    <w:rsid w:val="00F60E07"/>
    <w:pPr>
      <w:spacing w:line="240" w:lineRule="auto"/>
      <w:ind w:firstLine="0"/>
      <w:jc w:val="left"/>
    </w:pPr>
    <w:rPr>
      <w:rFonts w:ascii="Times New Roman" w:eastAsia="Times New Roman" w:hAnsi="Times New Roman" w:cs="Times New Roman"/>
      <w:lang w:val="es-ES" w:eastAsia="es-ES"/>
    </w:rPr>
  </w:style>
  <w:style w:type="character" w:styleId="Nmerodepgina">
    <w:name w:val="page number"/>
    <w:basedOn w:val="Fuentedeprrafopredeter"/>
    <w:uiPriority w:val="99"/>
    <w:semiHidden/>
    <w:unhideWhenUsed/>
    <w:rsid w:val="00BA2E95"/>
  </w:style>
  <w:style w:type="table" w:customStyle="1" w:styleId="Tablaconcuadrcula1">
    <w:name w:val="Tabla con cuadrícula1"/>
    <w:basedOn w:val="Tablanormal"/>
    <w:next w:val="Tablaconcuadrcula"/>
    <w:rsid w:val="008C3C1E"/>
    <w:pPr>
      <w:spacing w:before="0" w:beforeAutospacing="0" w:after="0" w:afterAutospacing="0" w:line="240" w:lineRule="auto"/>
      <w:ind w:firstLine="0"/>
      <w:jc w:val="left"/>
    </w:pPr>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C3C1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C3C1E"/>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3C1E"/>
    <w:rPr>
      <w:rFonts w:ascii="Segoe UI" w:hAnsi="Segoe UI" w:cs="Segoe UI"/>
      <w:sz w:val="18"/>
      <w:szCs w:val="18"/>
    </w:rPr>
  </w:style>
  <w:style w:type="character" w:styleId="Refdecomentario">
    <w:name w:val="annotation reference"/>
    <w:basedOn w:val="Fuentedeprrafopredeter"/>
    <w:uiPriority w:val="99"/>
    <w:semiHidden/>
    <w:unhideWhenUsed/>
    <w:rsid w:val="004F4328"/>
    <w:rPr>
      <w:sz w:val="16"/>
      <w:szCs w:val="16"/>
    </w:rPr>
  </w:style>
  <w:style w:type="paragraph" w:styleId="Textocomentario">
    <w:name w:val="annotation text"/>
    <w:basedOn w:val="Normal"/>
    <w:link w:val="TextocomentarioCar"/>
    <w:uiPriority w:val="99"/>
    <w:semiHidden/>
    <w:unhideWhenUsed/>
    <w:rsid w:val="004F43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4328"/>
    <w:rPr>
      <w:sz w:val="20"/>
      <w:szCs w:val="20"/>
    </w:rPr>
  </w:style>
  <w:style w:type="paragraph" w:styleId="Asuntodelcomentario">
    <w:name w:val="annotation subject"/>
    <w:basedOn w:val="Textocomentario"/>
    <w:next w:val="Textocomentario"/>
    <w:link w:val="AsuntodelcomentarioCar"/>
    <w:uiPriority w:val="99"/>
    <w:semiHidden/>
    <w:unhideWhenUsed/>
    <w:rsid w:val="004F4328"/>
    <w:rPr>
      <w:b/>
      <w:bCs/>
    </w:rPr>
  </w:style>
  <w:style w:type="character" w:customStyle="1" w:styleId="AsuntodelcomentarioCar">
    <w:name w:val="Asunto del comentario Car"/>
    <w:basedOn w:val="TextocomentarioCar"/>
    <w:link w:val="Asuntodelcomentario"/>
    <w:uiPriority w:val="99"/>
    <w:semiHidden/>
    <w:rsid w:val="004F4328"/>
    <w:rPr>
      <w:b/>
      <w:bCs/>
      <w:sz w:val="20"/>
      <w:szCs w:val="20"/>
    </w:rPr>
  </w:style>
  <w:style w:type="character" w:styleId="Hipervnculo">
    <w:name w:val="Hyperlink"/>
    <w:basedOn w:val="Fuentedeprrafopredeter"/>
    <w:uiPriority w:val="99"/>
    <w:unhideWhenUsed/>
    <w:rsid w:val="006048C5"/>
    <w:rPr>
      <w:color w:val="0563C1" w:themeColor="hyperlink"/>
      <w:u w:val="single"/>
    </w:rPr>
  </w:style>
  <w:style w:type="character" w:customStyle="1" w:styleId="Mencinsinresolver1">
    <w:name w:val="Mención sin resolver1"/>
    <w:basedOn w:val="Fuentedeprrafopredeter"/>
    <w:uiPriority w:val="99"/>
    <w:semiHidden/>
    <w:unhideWhenUsed/>
    <w:rsid w:val="006048C5"/>
    <w:rPr>
      <w:color w:val="605E5C"/>
      <w:shd w:val="clear" w:color="auto" w:fill="E1DFDD"/>
    </w:rPr>
  </w:style>
  <w:style w:type="paragraph" w:styleId="Sinespaciado">
    <w:name w:val="No Spacing"/>
    <w:uiPriority w:val="1"/>
    <w:qFormat/>
    <w:rsid w:val="00651B6E"/>
    <w:pPr>
      <w:spacing w:before="0" w:after="0" w:line="240" w:lineRule="auto"/>
    </w:pPr>
  </w:style>
  <w:style w:type="character" w:styleId="Textoennegrita">
    <w:name w:val="Strong"/>
    <w:basedOn w:val="Fuentedeprrafopredeter"/>
    <w:uiPriority w:val="22"/>
    <w:qFormat/>
    <w:rsid w:val="00E86A5E"/>
    <w:rPr>
      <w:b/>
      <w:bCs/>
    </w:rPr>
  </w:style>
  <w:style w:type="character" w:styleId="Ttulodellibro">
    <w:name w:val="Book Title"/>
    <w:basedOn w:val="Fuentedeprrafopredeter"/>
    <w:uiPriority w:val="33"/>
    <w:qFormat/>
    <w:rsid w:val="00713104"/>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89010">
      <w:bodyDiv w:val="1"/>
      <w:marLeft w:val="0"/>
      <w:marRight w:val="0"/>
      <w:marTop w:val="0"/>
      <w:marBottom w:val="0"/>
      <w:divBdr>
        <w:top w:val="none" w:sz="0" w:space="0" w:color="auto"/>
        <w:left w:val="none" w:sz="0" w:space="0" w:color="auto"/>
        <w:bottom w:val="none" w:sz="0" w:space="0" w:color="auto"/>
        <w:right w:val="none" w:sz="0" w:space="0" w:color="auto"/>
      </w:divBdr>
    </w:div>
    <w:div w:id="56897831">
      <w:bodyDiv w:val="1"/>
      <w:marLeft w:val="0"/>
      <w:marRight w:val="0"/>
      <w:marTop w:val="0"/>
      <w:marBottom w:val="0"/>
      <w:divBdr>
        <w:top w:val="none" w:sz="0" w:space="0" w:color="auto"/>
        <w:left w:val="none" w:sz="0" w:space="0" w:color="auto"/>
        <w:bottom w:val="none" w:sz="0" w:space="0" w:color="auto"/>
        <w:right w:val="none" w:sz="0" w:space="0" w:color="auto"/>
      </w:divBdr>
    </w:div>
    <w:div w:id="229461816">
      <w:bodyDiv w:val="1"/>
      <w:marLeft w:val="0"/>
      <w:marRight w:val="0"/>
      <w:marTop w:val="0"/>
      <w:marBottom w:val="0"/>
      <w:divBdr>
        <w:top w:val="none" w:sz="0" w:space="0" w:color="auto"/>
        <w:left w:val="none" w:sz="0" w:space="0" w:color="auto"/>
        <w:bottom w:val="none" w:sz="0" w:space="0" w:color="auto"/>
        <w:right w:val="none" w:sz="0" w:space="0" w:color="auto"/>
      </w:divBdr>
      <w:divsChild>
        <w:div w:id="826551943">
          <w:marLeft w:val="0"/>
          <w:marRight w:val="0"/>
          <w:marTop w:val="0"/>
          <w:marBottom w:val="0"/>
          <w:divBdr>
            <w:top w:val="none" w:sz="0" w:space="0" w:color="auto"/>
            <w:left w:val="none" w:sz="0" w:space="0" w:color="auto"/>
            <w:bottom w:val="none" w:sz="0" w:space="0" w:color="auto"/>
            <w:right w:val="none" w:sz="0" w:space="0" w:color="auto"/>
          </w:divBdr>
        </w:div>
        <w:div w:id="100073648">
          <w:marLeft w:val="0"/>
          <w:marRight w:val="0"/>
          <w:marTop w:val="0"/>
          <w:marBottom w:val="0"/>
          <w:divBdr>
            <w:top w:val="none" w:sz="0" w:space="0" w:color="auto"/>
            <w:left w:val="none" w:sz="0" w:space="0" w:color="auto"/>
            <w:bottom w:val="none" w:sz="0" w:space="0" w:color="auto"/>
            <w:right w:val="none" w:sz="0" w:space="0" w:color="auto"/>
          </w:divBdr>
        </w:div>
        <w:div w:id="1943537301">
          <w:marLeft w:val="0"/>
          <w:marRight w:val="0"/>
          <w:marTop w:val="0"/>
          <w:marBottom w:val="0"/>
          <w:divBdr>
            <w:top w:val="none" w:sz="0" w:space="0" w:color="auto"/>
            <w:left w:val="none" w:sz="0" w:space="0" w:color="auto"/>
            <w:bottom w:val="none" w:sz="0" w:space="0" w:color="auto"/>
            <w:right w:val="none" w:sz="0" w:space="0" w:color="auto"/>
          </w:divBdr>
        </w:div>
        <w:div w:id="445201936">
          <w:marLeft w:val="0"/>
          <w:marRight w:val="0"/>
          <w:marTop w:val="0"/>
          <w:marBottom w:val="0"/>
          <w:divBdr>
            <w:top w:val="none" w:sz="0" w:space="0" w:color="auto"/>
            <w:left w:val="none" w:sz="0" w:space="0" w:color="auto"/>
            <w:bottom w:val="none" w:sz="0" w:space="0" w:color="auto"/>
            <w:right w:val="none" w:sz="0" w:space="0" w:color="auto"/>
          </w:divBdr>
        </w:div>
        <w:div w:id="279996229">
          <w:marLeft w:val="0"/>
          <w:marRight w:val="0"/>
          <w:marTop w:val="0"/>
          <w:marBottom w:val="0"/>
          <w:divBdr>
            <w:top w:val="none" w:sz="0" w:space="0" w:color="auto"/>
            <w:left w:val="none" w:sz="0" w:space="0" w:color="auto"/>
            <w:bottom w:val="none" w:sz="0" w:space="0" w:color="auto"/>
            <w:right w:val="none" w:sz="0" w:space="0" w:color="auto"/>
          </w:divBdr>
        </w:div>
        <w:div w:id="1698775031">
          <w:marLeft w:val="0"/>
          <w:marRight w:val="0"/>
          <w:marTop w:val="0"/>
          <w:marBottom w:val="0"/>
          <w:divBdr>
            <w:top w:val="none" w:sz="0" w:space="0" w:color="auto"/>
            <w:left w:val="none" w:sz="0" w:space="0" w:color="auto"/>
            <w:bottom w:val="none" w:sz="0" w:space="0" w:color="auto"/>
            <w:right w:val="none" w:sz="0" w:space="0" w:color="auto"/>
          </w:divBdr>
        </w:div>
        <w:div w:id="301160128">
          <w:marLeft w:val="0"/>
          <w:marRight w:val="0"/>
          <w:marTop w:val="0"/>
          <w:marBottom w:val="0"/>
          <w:divBdr>
            <w:top w:val="none" w:sz="0" w:space="0" w:color="auto"/>
            <w:left w:val="none" w:sz="0" w:space="0" w:color="auto"/>
            <w:bottom w:val="none" w:sz="0" w:space="0" w:color="auto"/>
            <w:right w:val="none" w:sz="0" w:space="0" w:color="auto"/>
          </w:divBdr>
        </w:div>
        <w:div w:id="728843633">
          <w:marLeft w:val="0"/>
          <w:marRight w:val="0"/>
          <w:marTop w:val="0"/>
          <w:marBottom w:val="0"/>
          <w:divBdr>
            <w:top w:val="none" w:sz="0" w:space="0" w:color="auto"/>
            <w:left w:val="none" w:sz="0" w:space="0" w:color="auto"/>
            <w:bottom w:val="none" w:sz="0" w:space="0" w:color="auto"/>
            <w:right w:val="none" w:sz="0" w:space="0" w:color="auto"/>
          </w:divBdr>
        </w:div>
        <w:div w:id="465590907">
          <w:marLeft w:val="0"/>
          <w:marRight w:val="0"/>
          <w:marTop w:val="0"/>
          <w:marBottom w:val="0"/>
          <w:divBdr>
            <w:top w:val="none" w:sz="0" w:space="0" w:color="auto"/>
            <w:left w:val="none" w:sz="0" w:space="0" w:color="auto"/>
            <w:bottom w:val="none" w:sz="0" w:space="0" w:color="auto"/>
            <w:right w:val="none" w:sz="0" w:space="0" w:color="auto"/>
          </w:divBdr>
        </w:div>
        <w:div w:id="955481959">
          <w:marLeft w:val="0"/>
          <w:marRight w:val="0"/>
          <w:marTop w:val="0"/>
          <w:marBottom w:val="0"/>
          <w:divBdr>
            <w:top w:val="none" w:sz="0" w:space="0" w:color="auto"/>
            <w:left w:val="none" w:sz="0" w:space="0" w:color="auto"/>
            <w:bottom w:val="none" w:sz="0" w:space="0" w:color="auto"/>
            <w:right w:val="none" w:sz="0" w:space="0" w:color="auto"/>
          </w:divBdr>
        </w:div>
        <w:div w:id="900865101">
          <w:marLeft w:val="0"/>
          <w:marRight w:val="0"/>
          <w:marTop w:val="0"/>
          <w:marBottom w:val="0"/>
          <w:divBdr>
            <w:top w:val="none" w:sz="0" w:space="0" w:color="auto"/>
            <w:left w:val="none" w:sz="0" w:space="0" w:color="auto"/>
            <w:bottom w:val="none" w:sz="0" w:space="0" w:color="auto"/>
            <w:right w:val="none" w:sz="0" w:space="0" w:color="auto"/>
          </w:divBdr>
        </w:div>
        <w:div w:id="1382364227">
          <w:marLeft w:val="0"/>
          <w:marRight w:val="0"/>
          <w:marTop w:val="0"/>
          <w:marBottom w:val="0"/>
          <w:divBdr>
            <w:top w:val="none" w:sz="0" w:space="0" w:color="auto"/>
            <w:left w:val="none" w:sz="0" w:space="0" w:color="auto"/>
            <w:bottom w:val="none" w:sz="0" w:space="0" w:color="auto"/>
            <w:right w:val="none" w:sz="0" w:space="0" w:color="auto"/>
          </w:divBdr>
        </w:div>
        <w:div w:id="260842114">
          <w:marLeft w:val="0"/>
          <w:marRight w:val="0"/>
          <w:marTop w:val="0"/>
          <w:marBottom w:val="0"/>
          <w:divBdr>
            <w:top w:val="none" w:sz="0" w:space="0" w:color="auto"/>
            <w:left w:val="none" w:sz="0" w:space="0" w:color="auto"/>
            <w:bottom w:val="none" w:sz="0" w:space="0" w:color="auto"/>
            <w:right w:val="none" w:sz="0" w:space="0" w:color="auto"/>
          </w:divBdr>
        </w:div>
        <w:div w:id="1508865887">
          <w:marLeft w:val="0"/>
          <w:marRight w:val="0"/>
          <w:marTop w:val="0"/>
          <w:marBottom w:val="0"/>
          <w:divBdr>
            <w:top w:val="none" w:sz="0" w:space="0" w:color="auto"/>
            <w:left w:val="none" w:sz="0" w:space="0" w:color="auto"/>
            <w:bottom w:val="none" w:sz="0" w:space="0" w:color="auto"/>
            <w:right w:val="none" w:sz="0" w:space="0" w:color="auto"/>
          </w:divBdr>
        </w:div>
        <w:div w:id="780687508">
          <w:marLeft w:val="0"/>
          <w:marRight w:val="0"/>
          <w:marTop w:val="0"/>
          <w:marBottom w:val="0"/>
          <w:divBdr>
            <w:top w:val="none" w:sz="0" w:space="0" w:color="auto"/>
            <w:left w:val="none" w:sz="0" w:space="0" w:color="auto"/>
            <w:bottom w:val="none" w:sz="0" w:space="0" w:color="auto"/>
            <w:right w:val="none" w:sz="0" w:space="0" w:color="auto"/>
          </w:divBdr>
        </w:div>
        <w:div w:id="1342782349">
          <w:marLeft w:val="0"/>
          <w:marRight w:val="0"/>
          <w:marTop w:val="0"/>
          <w:marBottom w:val="0"/>
          <w:divBdr>
            <w:top w:val="none" w:sz="0" w:space="0" w:color="auto"/>
            <w:left w:val="none" w:sz="0" w:space="0" w:color="auto"/>
            <w:bottom w:val="none" w:sz="0" w:space="0" w:color="auto"/>
            <w:right w:val="none" w:sz="0" w:space="0" w:color="auto"/>
          </w:divBdr>
        </w:div>
        <w:div w:id="581372717">
          <w:marLeft w:val="0"/>
          <w:marRight w:val="0"/>
          <w:marTop w:val="0"/>
          <w:marBottom w:val="0"/>
          <w:divBdr>
            <w:top w:val="none" w:sz="0" w:space="0" w:color="auto"/>
            <w:left w:val="none" w:sz="0" w:space="0" w:color="auto"/>
            <w:bottom w:val="none" w:sz="0" w:space="0" w:color="auto"/>
            <w:right w:val="none" w:sz="0" w:space="0" w:color="auto"/>
          </w:divBdr>
        </w:div>
        <w:div w:id="1524316915">
          <w:marLeft w:val="0"/>
          <w:marRight w:val="0"/>
          <w:marTop w:val="0"/>
          <w:marBottom w:val="0"/>
          <w:divBdr>
            <w:top w:val="none" w:sz="0" w:space="0" w:color="auto"/>
            <w:left w:val="none" w:sz="0" w:space="0" w:color="auto"/>
            <w:bottom w:val="none" w:sz="0" w:space="0" w:color="auto"/>
            <w:right w:val="none" w:sz="0" w:space="0" w:color="auto"/>
          </w:divBdr>
        </w:div>
        <w:div w:id="592010887">
          <w:marLeft w:val="0"/>
          <w:marRight w:val="0"/>
          <w:marTop w:val="0"/>
          <w:marBottom w:val="0"/>
          <w:divBdr>
            <w:top w:val="none" w:sz="0" w:space="0" w:color="auto"/>
            <w:left w:val="none" w:sz="0" w:space="0" w:color="auto"/>
            <w:bottom w:val="none" w:sz="0" w:space="0" w:color="auto"/>
            <w:right w:val="none" w:sz="0" w:space="0" w:color="auto"/>
          </w:divBdr>
        </w:div>
      </w:divsChild>
    </w:div>
    <w:div w:id="238180257">
      <w:bodyDiv w:val="1"/>
      <w:marLeft w:val="0"/>
      <w:marRight w:val="0"/>
      <w:marTop w:val="0"/>
      <w:marBottom w:val="0"/>
      <w:divBdr>
        <w:top w:val="none" w:sz="0" w:space="0" w:color="auto"/>
        <w:left w:val="none" w:sz="0" w:space="0" w:color="auto"/>
        <w:bottom w:val="none" w:sz="0" w:space="0" w:color="auto"/>
        <w:right w:val="none" w:sz="0" w:space="0" w:color="auto"/>
      </w:divBdr>
    </w:div>
    <w:div w:id="287705929">
      <w:bodyDiv w:val="1"/>
      <w:marLeft w:val="0"/>
      <w:marRight w:val="0"/>
      <w:marTop w:val="0"/>
      <w:marBottom w:val="0"/>
      <w:divBdr>
        <w:top w:val="none" w:sz="0" w:space="0" w:color="auto"/>
        <w:left w:val="none" w:sz="0" w:space="0" w:color="auto"/>
        <w:bottom w:val="none" w:sz="0" w:space="0" w:color="auto"/>
        <w:right w:val="none" w:sz="0" w:space="0" w:color="auto"/>
      </w:divBdr>
    </w:div>
    <w:div w:id="299042370">
      <w:bodyDiv w:val="1"/>
      <w:marLeft w:val="0"/>
      <w:marRight w:val="0"/>
      <w:marTop w:val="0"/>
      <w:marBottom w:val="0"/>
      <w:divBdr>
        <w:top w:val="none" w:sz="0" w:space="0" w:color="auto"/>
        <w:left w:val="none" w:sz="0" w:space="0" w:color="auto"/>
        <w:bottom w:val="none" w:sz="0" w:space="0" w:color="auto"/>
        <w:right w:val="none" w:sz="0" w:space="0" w:color="auto"/>
      </w:divBdr>
    </w:div>
    <w:div w:id="314455246">
      <w:bodyDiv w:val="1"/>
      <w:marLeft w:val="0"/>
      <w:marRight w:val="0"/>
      <w:marTop w:val="0"/>
      <w:marBottom w:val="0"/>
      <w:divBdr>
        <w:top w:val="none" w:sz="0" w:space="0" w:color="auto"/>
        <w:left w:val="none" w:sz="0" w:space="0" w:color="auto"/>
        <w:bottom w:val="none" w:sz="0" w:space="0" w:color="auto"/>
        <w:right w:val="none" w:sz="0" w:space="0" w:color="auto"/>
      </w:divBdr>
      <w:divsChild>
        <w:div w:id="505444636">
          <w:marLeft w:val="0"/>
          <w:marRight w:val="0"/>
          <w:marTop w:val="0"/>
          <w:marBottom w:val="0"/>
          <w:divBdr>
            <w:top w:val="none" w:sz="0" w:space="0" w:color="auto"/>
            <w:left w:val="none" w:sz="0" w:space="0" w:color="auto"/>
            <w:bottom w:val="none" w:sz="0" w:space="0" w:color="auto"/>
            <w:right w:val="none" w:sz="0" w:space="0" w:color="auto"/>
          </w:divBdr>
        </w:div>
        <w:div w:id="1247113379">
          <w:marLeft w:val="0"/>
          <w:marRight w:val="0"/>
          <w:marTop w:val="0"/>
          <w:marBottom w:val="0"/>
          <w:divBdr>
            <w:top w:val="none" w:sz="0" w:space="0" w:color="auto"/>
            <w:left w:val="none" w:sz="0" w:space="0" w:color="auto"/>
            <w:bottom w:val="none" w:sz="0" w:space="0" w:color="auto"/>
            <w:right w:val="none" w:sz="0" w:space="0" w:color="auto"/>
          </w:divBdr>
        </w:div>
        <w:div w:id="1256402932">
          <w:marLeft w:val="0"/>
          <w:marRight w:val="0"/>
          <w:marTop w:val="0"/>
          <w:marBottom w:val="0"/>
          <w:divBdr>
            <w:top w:val="none" w:sz="0" w:space="0" w:color="auto"/>
            <w:left w:val="none" w:sz="0" w:space="0" w:color="auto"/>
            <w:bottom w:val="none" w:sz="0" w:space="0" w:color="auto"/>
            <w:right w:val="none" w:sz="0" w:space="0" w:color="auto"/>
          </w:divBdr>
        </w:div>
        <w:div w:id="1263801229">
          <w:marLeft w:val="0"/>
          <w:marRight w:val="0"/>
          <w:marTop w:val="0"/>
          <w:marBottom w:val="0"/>
          <w:divBdr>
            <w:top w:val="none" w:sz="0" w:space="0" w:color="auto"/>
            <w:left w:val="none" w:sz="0" w:space="0" w:color="auto"/>
            <w:bottom w:val="none" w:sz="0" w:space="0" w:color="auto"/>
            <w:right w:val="none" w:sz="0" w:space="0" w:color="auto"/>
          </w:divBdr>
        </w:div>
      </w:divsChild>
    </w:div>
    <w:div w:id="385880374">
      <w:bodyDiv w:val="1"/>
      <w:marLeft w:val="0"/>
      <w:marRight w:val="0"/>
      <w:marTop w:val="0"/>
      <w:marBottom w:val="0"/>
      <w:divBdr>
        <w:top w:val="none" w:sz="0" w:space="0" w:color="auto"/>
        <w:left w:val="none" w:sz="0" w:space="0" w:color="auto"/>
        <w:bottom w:val="none" w:sz="0" w:space="0" w:color="auto"/>
        <w:right w:val="none" w:sz="0" w:space="0" w:color="auto"/>
      </w:divBdr>
    </w:div>
    <w:div w:id="407310840">
      <w:bodyDiv w:val="1"/>
      <w:marLeft w:val="0"/>
      <w:marRight w:val="0"/>
      <w:marTop w:val="0"/>
      <w:marBottom w:val="0"/>
      <w:divBdr>
        <w:top w:val="none" w:sz="0" w:space="0" w:color="auto"/>
        <w:left w:val="none" w:sz="0" w:space="0" w:color="auto"/>
        <w:bottom w:val="none" w:sz="0" w:space="0" w:color="auto"/>
        <w:right w:val="none" w:sz="0" w:space="0" w:color="auto"/>
      </w:divBdr>
    </w:div>
    <w:div w:id="505369221">
      <w:bodyDiv w:val="1"/>
      <w:marLeft w:val="0"/>
      <w:marRight w:val="0"/>
      <w:marTop w:val="0"/>
      <w:marBottom w:val="0"/>
      <w:divBdr>
        <w:top w:val="none" w:sz="0" w:space="0" w:color="auto"/>
        <w:left w:val="none" w:sz="0" w:space="0" w:color="auto"/>
        <w:bottom w:val="none" w:sz="0" w:space="0" w:color="auto"/>
        <w:right w:val="none" w:sz="0" w:space="0" w:color="auto"/>
      </w:divBdr>
    </w:div>
    <w:div w:id="509373990">
      <w:bodyDiv w:val="1"/>
      <w:marLeft w:val="0"/>
      <w:marRight w:val="0"/>
      <w:marTop w:val="0"/>
      <w:marBottom w:val="0"/>
      <w:divBdr>
        <w:top w:val="none" w:sz="0" w:space="0" w:color="auto"/>
        <w:left w:val="none" w:sz="0" w:space="0" w:color="auto"/>
        <w:bottom w:val="none" w:sz="0" w:space="0" w:color="auto"/>
        <w:right w:val="none" w:sz="0" w:space="0" w:color="auto"/>
      </w:divBdr>
    </w:div>
    <w:div w:id="773131486">
      <w:bodyDiv w:val="1"/>
      <w:marLeft w:val="0"/>
      <w:marRight w:val="0"/>
      <w:marTop w:val="0"/>
      <w:marBottom w:val="0"/>
      <w:divBdr>
        <w:top w:val="none" w:sz="0" w:space="0" w:color="auto"/>
        <w:left w:val="none" w:sz="0" w:space="0" w:color="auto"/>
        <w:bottom w:val="none" w:sz="0" w:space="0" w:color="auto"/>
        <w:right w:val="none" w:sz="0" w:space="0" w:color="auto"/>
      </w:divBdr>
    </w:div>
    <w:div w:id="774057039">
      <w:bodyDiv w:val="1"/>
      <w:marLeft w:val="0"/>
      <w:marRight w:val="0"/>
      <w:marTop w:val="0"/>
      <w:marBottom w:val="0"/>
      <w:divBdr>
        <w:top w:val="none" w:sz="0" w:space="0" w:color="auto"/>
        <w:left w:val="none" w:sz="0" w:space="0" w:color="auto"/>
        <w:bottom w:val="none" w:sz="0" w:space="0" w:color="auto"/>
        <w:right w:val="none" w:sz="0" w:space="0" w:color="auto"/>
      </w:divBdr>
    </w:div>
    <w:div w:id="791484227">
      <w:bodyDiv w:val="1"/>
      <w:marLeft w:val="0"/>
      <w:marRight w:val="0"/>
      <w:marTop w:val="0"/>
      <w:marBottom w:val="0"/>
      <w:divBdr>
        <w:top w:val="none" w:sz="0" w:space="0" w:color="auto"/>
        <w:left w:val="none" w:sz="0" w:space="0" w:color="auto"/>
        <w:bottom w:val="none" w:sz="0" w:space="0" w:color="auto"/>
        <w:right w:val="none" w:sz="0" w:space="0" w:color="auto"/>
      </w:divBdr>
    </w:div>
    <w:div w:id="878399787">
      <w:bodyDiv w:val="1"/>
      <w:marLeft w:val="0"/>
      <w:marRight w:val="0"/>
      <w:marTop w:val="0"/>
      <w:marBottom w:val="0"/>
      <w:divBdr>
        <w:top w:val="none" w:sz="0" w:space="0" w:color="auto"/>
        <w:left w:val="none" w:sz="0" w:space="0" w:color="auto"/>
        <w:bottom w:val="none" w:sz="0" w:space="0" w:color="auto"/>
        <w:right w:val="none" w:sz="0" w:space="0" w:color="auto"/>
      </w:divBdr>
    </w:div>
    <w:div w:id="899092376">
      <w:bodyDiv w:val="1"/>
      <w:marLeft w:val="0"/>
      <w:marRight w:val="0"/>
      <w:marTop w:val="0"/>
      <w:marBottom w:val="0"/>
      <w:divBdr>
        <w:top w:val="none" w:sz="0" w:space="0" w:color="auto"/>
        <w:left w:val="none" w:sz="0" w:space="0" w:color="auto"/>
        <w:bottom w:val="none" w:sz="0" w:space="0" w:color="auto"/>
        <w:right w:val="none" w:sz="0" w:space="0" w:color="auto"/>
      </w:divBdr>
      <w:divsChild>
        <w:div w:id="1817869342">
          <w:marLeft w:val="0"/>
          <w:marRight w:val="0"/>
          <w:marTop w:val="0"/>
          <w:marBottom w:val="0"/>
          <w:divBdr>
            <w:top w:val="none" w:sz="0" w:space="0" w:color="auto"/>
            <w:left w:val="none" w:sz="0" w:space="0" w:color="auto"/>
            <w:bottom w:val="none" w:sz="0" w:space="0" w:color="auto"/>
            <w:right w:val="none" w:sz="0" w:space="0" w:color="auto"/>
          </w:divBdr>
        </w:div>
        <w:div w:id="993099382">
          <w:marLeft w:val="0"/>
          <w:marRight w:val="0"/>
          <w:marTop w:val="0"/>
          <w:marBottom w:val="0"/>
          <w:divBdr>
            <w:top w:val="none" w:sz="0" w:space="0" w:color="auto"/>
            <w:left w:val="none" w:sz="0" w:space="0" w:color="auto"/>
            <w:bottom w:val="none" w:sz="0" w:space="0" w:color="auto"/>
            <w:right w:val="none" w:sz="0" w:space="0" w:color="auto"/>
          </w:divBdr>
        </w:div>
        <w:div w:id="340084846">
          <w:marLeft w:val="0"/>
          <w:marRight w:val="0"/>
          <w:marTop w:val="0"/>
          <w:marBottom w:val="0"/>
          <w:divBdr>
            <w:top w:val="none" w:sz="0" w:space="0" w:color="auto"/>
            <w:left w:val="none" w:sz="0" w:space="0" w:color="auto"/>
            <w:bottom w:val="none" w:sz="0" w:space="0" w:color="auto"/>
            <w:right w:val="none" w:sz="0" w:space="0" w:color="auto"/>
          </w:divBdr>
        </w:div>
        <w:div w:id="996112597">
          <w:marLeft w:val="0"/>
          <w:marRight w:val="0"/>
          <w:marTop w:val="0"/>
          <w:marBottom w:val="0"/>
          <w:divBdr>
            <w:top w:val="none" w:sz="0" w:space="0" w:color="auto"/>
            <w:left w:val="none" w:sz="0" w:space="0" w:color="auto"/>
            <w:bottom w:val="none" w:sz="0" w:space="0" w:color="auto"/>
            <w:right w:val="none" w:sz="0" w:space="0" w:color="auto"/>
          </w:divBdr>
        </w:div>
      </w:divsChild>
    </w:div>
    <w:div w:id="1189441738">
      <w:bodyDiv w:val="1"/>
      <w:marLeft w:val="0"/>
      <w:marRight w:val="0"/>
      <w:marTop w:val="0"/>
      <w:marBottom w:val="0"/>
      <w:divBdr>
        <w:top w:val="none" w:sz="0" w:space="0" w:color="auto"/>
        <w:left w:val="none" w:sz="0" w:space="0" w:color="auto"/>
        <w:bottom w:val="none" w:sz="0" w:space="0" w:color="auto"/>
        <w:right w:val="none" w:sz="0" w:space="0" w:color="auto"/>
      </w:divBdr>
    </w:div>
    <w:div w:id="1269846966">
      <w:bodyDiv w:val="1"/>
      <w:marLeft w:val="0"/>
      <w:marRight w:val="0"/>
      <w:marTop w:val="0"/>
      <w:marBottom w:val="0"/>
      <w:divBdr>
        <w:top w:val="none" w:sz="0" w:space="0" w:color="auto"/>
        <w:left w:val="none" w:sz="0" w:space="0" w:color="auto"/>
        <w:bottom w:val="none" w:sz="0" w:space="0" w:color="auto"/>
        <w:right w:val="none" w:sz="0" w:space="0" w:color="auto"/>
      </w:divBdr>
    </w:div>
    <w:div w:id="1311130700">
      <w:bodyDiv w:val="1"/>
      <w:marLeft w:val="0"/>
      <w:marRight w:val="0"/>
      <w:marTop w:val="0"/>
      <w:marBottom w:val="0"/>
      <w:divBdr>
        <w:top w:val="none" w:sz="0" w:space="0" w:color="auto"/>
        <w:left w:val="none" w:sz="0" w:space="0" w:color="auto"/>
        <w:bottom w:val="none" w:sz="0" w:space="0" w:color="auto"/>
        <w:right w:val="none" w:sz="0" w:space="0" w:color="auto"/>
      </w:divBdr>
    </w:div>
    <w:div w:id="1469283686">
      <w:bodyDiv w:val="1"/>
      <w:marLeft w:val="0"/>
      <w:marRight w:val="0"/>
      <w:marTop w:val="0"/>
      <w:marBottom w:val="0"/>
      <w:divBdr>
        <w:top w:val="none" w:sz="0" w:space="0" w:color="auto"/>
        <w:left w:val="none" w:sz="0" w:space="0" w:color="auto"/>
        <w:bottom w:val="none" w:sz="0" w:space="0" w:color="auto"/>
        <w:right w:val="none" w:sz="0" w:space="0" w:color="auto"/>
      </w:divBdr>
    </w:div>
    <w:div w:id="1554999991">
      <w:bodyDiv w:val="1"/>
      <w:marLeft w:val="0"/>
      <w:marRight w:val="0"/>
      <w:marTop w:val="0"/>
      <w:marBottom w:val="0"/>
      <w:divBdr>
        <w:top w:val="none" w:sz="0" w:space="0" w:color="auto"/>
        <w:left w:val="none" w:sz="0" w:space="0" w:color="auto"/>
        <w:bottom w:val="none" w:sz="0" w:space="0" w:color="auto"/>
        <w:right w:val="none" w:sz="0" w:space="0" w:color="auto"/>
      </w:divBdr>
    </w:div>
    <w:div w:id="1557861498">
      <w:bodyDiv w:val="1"/>
      <w:marLeft w:val="0"/>
      <w:marRight w:val="0"/>
      <w:marTop w:val="0"/>
      <w:marBottom w:val="0"/>
      <w:divBdr>
        <w:top w:val="none" w:sz="0" w:space="0" w:color="auto"/>
        <w:left w:val="none" w:sz="0" w:space="0" w:color="auto"/>
        <w:bottom w:val="none" w:sz="0" w:space="0" w:color="auto"/>
        <w:right w:val="none" w:sz="0" w:space="0" w:color="auto"/>
      </w:divBdr>
    </w:div>
    <w:div w:id="1609894601">
      <w:bodyDiv w:val="1"/>
      <w:marLeft w:val="0"/>
      <w:marRight w:val="0"/>
      <w:marTop w:val="0"/>
      <w:marBottom w:val="0"/>
      <w:divBdr>
        <w:top w:val="none" w:sz="0" w:space="0" w:color="auto"/>
        <w:left w:val="none" w:sz="0" w:space="0" w:color="auto"/>
        <w:bottom w:val="none" w:sz="0" w:space="0" w:color="auto"/>
        <w:right w:val="none" w:sz="0" w:space="0" w:color="auto"/>
      </w:divBdr>
    </w:div>
    <w:div w:id="1754085639">
      <w:bodyDiv w:val="1"/>
      <w:marLeft w:val="0"/>
      <w:marRight w:val="0"/>
      <w:marTop w:val="0"/>
      <w:marBottom w:val="0"/>
      <w:divBdr>
        <w:top w:val="none" w:sz="0" w:space="0" w:color="auto"/>
        <w:left w:val="none" w:sz="0" w:space="0" w:color="auto"/>
        <w:bottom w:val="none" w:sz="0" w:space="0" w:color="auto"/>
        <w:right w:val="none" w:sz="0" w:space="0" w:color="auto"/>
      </w:divBdr>
    </w:div>
    <w:div w:id="1908877736">
      <w:bodyDiv w:val="1"/>
      <w:marLeft w:val="0"/>
      <w:marRight w:val="0"/>
      <w:marTop w:val="0"/>
      <w:marBottom w:val="0"/>
      <w:divBdr>
        <w:top w:val="none" w:sz="0" w:space="0" w:color="auto"/>
        <w:left w:val="none" w:sz="0" w:space="0" w:color="auto"/>
        <w:bottom w:val="none" w:sz="0" w:space="0" w:color="auto"/>
        <w:right w:val="none" w:sz="0" w:space="0" w:color="auto"/>
      </w:divBdr>
    </w:div>
    <w:div w:id="198183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0069722f30054288"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B8615-F1B5-4216-BA8D-2A9B81359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A36481-D898-4330-9494-F2102CD648F8}">
  <ds:schemaRefs>
    <ds:schemaRef ds:uri="http://purl.org/dc/terms/"/>
    <ds:schemaRef ds:uri="http://www.w3.org/XML/1998/namespace"/>
    <ds:schemaRef ds:uri="http://schemas.microsoft.com/office/2006/documentManagement/types"/>
    <ds:schemaRef ds:uri="7594eaa0-d1e4-4b7c-af1d-31740c5cc0e5"/>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43ca2746-26a0-40df-9010-f2a8f46d6514"/>
    <ds:schemaRef ds:uri="http://purl.org/dc/dcmitype/"/>
  </ds:schemaRefs>
</ds:datastoreItem>
</file>

<file path=customXml/itemProps3.xml><?xml version="1.0" encoding="utf-8"?>
<ds:datastoreItem xmlns:ds="http://schemas.openxmlformats.org/officeDocument/2006/customXml" ds:itemID="{403CB43C-E55A-4A49-A367-784B7391FE75}">
  <ds:schemaRefs>
    <ds:schemaRef ds:uri="http://schemas.microsoft.com/sharepoint/v3/contenttype/forms"/>
  </ds:schemaRefs>
</ds:datastoreItem>
</file>

<file path=customXml/itemProps4.xml><?xml version="1.0" encoding="utf-8"?>
<ds:datastoreItem xmlns:ds="http://schemas.openxmlformats.org/officeDocument/2006/customXml" ds:itemID="{A305A18C-DF4A-4530-99B3-A9F3F9722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8959</Words>
  <Characters>49275</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ayda matilde barbosa</dc:creator>
  <cp:keywords/>
  <dc:description/>
  <cp:lastModifiedBy>Relatoria Tribunal Superior - Risaralda - Pereira</cp:lastModifiedBy>
  <cp:revision>12</cp:revision>
  <dcterms:created xsi:type="dcterms:W3CDTF">2023-07-11T19:02:00Z</dcterms:created>
  <dcterms:modified xsi:type="dcterms:W3CDTF">2023-10-12T17:31:00Z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57090900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