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5030BE9" w14:textId="5C90AD92" w:rsidR="00AC7495" w:rsidRDefault="00AC7495" w:rsidP="00AC7495">
      <w:pPr>
        <w:jc w:val="both"/>
        <w:rPr>
          <w:rFonts w:ascii="Arial" w:hAnsi="Arial" w:cs="Arial"/>
          <w:sz w:val="20"/>
          <w:szCs w:val="20"/>
          <w:lang w:val="es-419"/>
        </w:rPr>
      </w:pPr>
      <w:r w:rsidRPr="008F381A">
        <w:rPr>
          <w:rFonts w:ascii="Arial" w:hAnsi="Arial" w:cs="Arial"/>
          <w:b/>
          <w:bCs/>
          <w:iCs/>
          <w:sz w:val="20"/>
          <w:szCs w:val="20"/>
          <w:lang w:val="es-419" w:eastAsia="fr-FR"/>
        </w:rPr>
        <w:t>PENSIÓN DE SOBREVIVIENTES / NORMA</w:t>
      </w:r>
      <w:r>
        <w:rPr>
          <w:rFonts w:ascii="Arial" w:hAnsi="Arial" w:cs="Arial"/>
          <w:b/>
          <w:bCs/>
          <w:iCs/>
          <w:sz w:val="20"/>
          <w:szCs w:val="20"/>
          <w:lang w:val="es-419" w:eastAsia="fr-FR"/>
        </w:rPr>
        <w:t>TIVIDAD</w:t>
      </w:r>
      <w:r w:rsidRPr="008F381A">
        <w:rPr>
          <w:rFonts w:ascii="Arial" w:hAnsi="Arial" w:cs="Arial"/>
          <w:b/>
          <w:bCs/>
          <w:iCs/>
          <w:sz w:val="20"/>
          <w:szCs w:val="20"/>
          <w:lang w:val="es-419" w:eastAsia="fr-FR"/>
        </w:rPr>
        <w:t xml:space="preserve"> APLICABLE</w:t>
      </w:r>
    </w:p>
    <w:p w14:paraId="791CA6B2" w14:textId="77777777" w:rsidR="00AC7495" w:rsidRDefault="00AC7495" w:rsidP="00AC7495">
      <w:pPr>
        <w:jc w:val="both"/>
        <w:rPr>
          <w:rFonts w:ascii="Arial" w:hAnsi="Arial" w:cs="Arial"/>
          <w:sz w:val="20"/>
          <w:szCs w:val="20"/>
          <w:lang w:val="es-419"/>
        </w:rPr>
      </w:pPr>
      <w:r w:rsidRPr="00DB3F4B">
        <w:rPr>
          <w:rFonts w:ascii="Arial" w:hAnsi="Arial" w:cs="Arial"/>
          <w:sz w:val="20"/>
          <w:szCs w:val="20"/>
          <w:lang w:val="es-419"/>
        </w:rPr>
        <w:t>Es sabido que la normatividad aplicable a la pensión de sobrevivientes es la legislación vigente al momento del fallecimiento del afiliado, no obstante, por excepción es posible acudir a la normatividad anterior con el fin de determinar la concesión o no de la gracia pensional en aplicación del “Principio de la condición más beneficiosa”, siempre y cuando el causante o el afiliado, según se trate de pensión de sobrevivencia o pensión de invalidez, haya acumulado el número mínimo de semanas para causar el derecho conforme a las regulaciones previas a la norma vigente a la fecha del fallecimiento o la estructuración de la invalidez</w:t>
      </w:r>
      <w:r>
        <w:rPr>
          <w:rFonts w:ascii="Arial" w:hAnsi="Arial" w:cs="Arial"/>
          <w:sz w:val="20"/>
          <w:szCs w:val="20"/>
          <w:lang w:val="es-419"/>
        </w:rPr>
        <w:t>…</w:t>
      </w:r>
    </w:p>
    <w:p w14:paraId="5B33E0CA" w14:textId="77777777" w:rsidR="00AC7495" w:rsidRDefault="00AC7495" w:rsidP="00AC7495">
      <w:pPr>
        <w:jc w:val="both"/>
        <w:rPr>
          <w:rFonts w:ascii="Arial" w:hAnsi="Arial" w:cs="Arial"/>
          <w:sz w:val="20"/>
          <w:szCs w:val="20"/>
          <w:lang w:val="es-419"/>
        </w:rPr>
      </w:pPr>
    </w:p>
    <w:p w14:paraId="4FBF87D0" w14:textId="5288E64F" w:rsidR="00AC7495" w:rsidRDefault="00AC7495" w:rsidP="00AC7495">
      <w:pPr>
        <w:jc w:val="both"/>
        <w:rPr>
          <w:rFonts w:ascii="Arial" w:hAnsi="Arial" w:cs="Arial"/>
          <w:b/>
          <w:bCs/>
          <w:iCs/>
          <w:sz w:val="20"/>
          <w:szCs w:val="20"/>
          <w:lang w:val="es-419" w:eastAsia="fr-FR"/>
        </w:rPr>
      </w:pPr>
      <w:r w:rsidRPr="008F381A">
        <w:rPr>
          <w:rFonts w:ascii="Arial" w:hAnsi="Arial" w:cs="Arial"/>
          <w:b/>
          <w:bCs/>
          <w:iCs/>
          <w:sz w:val="20"/>
          <w:szCs w:val="20"/>
          <w:lang w:val="es-419" w:eastAsia="fr-FR"/>
        </w:rPr>
        <w:t xml:space="preserve">PENSIÓN DE SOBREVIVIENTES / PRINCIPIO DE LA CONDICIÓN MÁS BENEFICIOSA / </w:t>
      </w:r>
      <w:r>
        <w:rPr>
          <w:rFonts w:ascii="Arial" w:hAnsi="Arial" w:cs="Arial"/>
          <w:b/>
          <w:bCs/>
          <w:iCs/>
          <w:sz w:val="20"/>
          <w:szCs w:val="20"/>
          <w:lang w:val="es-419" w:eastAsia="fr-FR"/>
        </w:rPr>
        <w:t>NORMATIVIDAD ANTERIOR</w:t>
      </w:r>
    </w:p>
    <w:p w14:paraId="59B1F56A" w14:textId="4A092888" w:rsidR="00AC7495" w:rsidRPr="00281CBF" w:rsidRDefault="00AC7495" w:rsidP="00AC7495">
      <w:pPr>
        <w:jc w:val="both"/>
        <w:rPr>
          <w:rFonts w:ascii="Arial" w:hAnsi="Arial" w:cs="Arial"/>
          <w:sz w:val="20"/>
          <w:szCs w:val="20"/>
          <w:lang w:val="es-419"/>
        </w:rPr>
      </w:pPr>
      <w:r w:rsidRPr="00447B37">
        <w:rPr>
          <w:rFonts w:ascii="Arial" w:hAnsi="Arial" w:cs="Arial"/>
          <w:sz w:val="20"/>
          <w:szCs w:val="20"/>
          <w:lang w:val="es-419"/>
        </w:rPr>
        <w:t>Atendiendo la interpretación que tuvo la Corte Constitucional sobre la materia, la cual resulta más favorable para el beneficiario, es posible el salto de la Ley 797 de 2003 al Acuerdo 049 de 1990, en la medida en que el artículo 53 de la Constitución no restringe la aplicación de la condición más beneficiosa a sólo dos normas aplicables al caso. En ese sentido, el presente asunto puede analizar</w:t>
      </w:r>
      <w:r>
        <w:rPr>
          <w:rFonts w:ascii="Arial" w:hAnsi="Arial" w:cs="Arial"/>
          <w:sz w:val="20"/>
          <w:szCs w:val="20"/>
          <w:lang w:val="es-419"/>
        </w:rPr>
        <w:t>se a la luz del aludido acuerdo</w:t>
      </w:r>
      <w:r w:rsidRPr="00447B37">
        <w:rPr>
          <w:rFonts w:ascii="Arial" w:hAnsi="Arial" w:cs="Arial"/>
          <w:sz w:val="20"/>
          <w:szCs w:val="20"/>
          <w:lang w:val="es-419"/>
        </w:rPr>
        <w:t xml:space="preserve"> que, si bien no es la norma inmediatamente anterior, se acompasa al precedente del Tribunal Constitucional</w:t>
      </w:r>
      <w:r>
        <w:rPr>
          <w:rFonts w:ascii="Arial" w:hAnsi="Arial" w:cs="Arial"/>
          <w:sz w:val="20"/>
          <w:szCs w:val="20"/>
          <w:lang w:val="es-419"/>
        </w:rPr>
        <w:t>…</w:t>
      </w:r>
      <w:r w:rsidR="00355CC5">
        <w:rPr>
          <w:rFonts w:ascii="Arial" w:hAnsi="Arial" w:cs="Arial"/>
          <w:sz w:val="20"/>
          <w:szCs w:val="20"/>
          <w:lang w:val="es-419"/>
        </w:rPr>
        <w:t xml:space="preserve"> </w:t>
      </w:r>
      <w:r w:rsidRPr="00447B37">
        <w:rPr>
          <w:rFonts w:ascii="Arial" w:hAnsi="Arial" w:cs="Arial"/>
          <w:sz w:val="20"/>
          <w:szCs w:val="20"/>
          <w:lang w:val="es-419"/>
        </w:rPr>
        <w:t>Sin embargo, en sentencia SU-005 de 2018, la Corte Constitucional modificó su precedente y condicionó la procedencia de la acción de tutela para conceder la pensión de sobrevivientes consagrada en el Acuerdo 049 de 1990, en aplicación del principio de la condición más beneficiosa, siempre que se evidencie que: i) el accionante pertenece a un grupo de especial protección constitucional</w:t>
      </w:r>
      <w:r>
        <w:rPr>
          <w:rFonts w:ascii="Arial" w:hAnsi="Arial" w:cs="Arial"/>
          <w:sz w:val="20"/>
          <w:szCs w:val="20"/>
          <w:lang w:val="es-419"/>
        </w:rPr>
        <w:t>…</w:t>
      </w:r>
      <w:r w:rsidRPr="00447B37">
        <w:rPr>
          <w:rFonts w:ascii="Arial" w:hAnsi="Arial" w:cs="Arial"/>
          <w:sz w:val="20"/>
          <w:szCs w:val="20"/>
          <w:lang w:val="es-419"/>
        </w:rPr>
        <w:t>; ii) que el no reconocimiento de la prestación afecta su mínimo vital; iii) la dependencia económica hacia el causante; iv) la imposibilidad del causante de cotizar las semanas exigidas en el sistema de pensiones y, v) la actuación diligente del accionante para reclamar la pensión</w:t>
      </w:r>
      <w:r>
        <w:rPr>
          <w:rFonts w:ascii="Arial" w:hAnsi="Arial" w:cs="Arial"/>
          <w:sz w:val="20"/>
          <w:szCs w:val="20"/>
          <w:lang w:val="es-419"/>
        </w:rPr>
        <w:t>…</w:t>
      </w:r>
    </w:p>
    <w:p w14:paraId="1B20BB8D" w14:textId="77777777" w:rsidR="00AC7495" w:rsidRPr="00281CBF" w:rsidRDefault="00AC7495" w:rsidP="00AC7495">
      <w:pPr>
        <w:jc w:val="both"/>
        <w:rPr>
          <w:rFonts w:ascii="Arial" w:hAnsi="Arial" w:cs="Arial"/>
          <w:sz w:val="20"/>
          <w:szCs w:val="20"/>
          <w:lang w:val="es-419"/>
        </w:rPr>
      </w:pPr>
    </w:p>
    <w:p w14:paraId="001B1F5E" w14:textId="6BDEA384" w:rsidR="00355CC5" w:rsidRDefault="00355CC5" w:rsidP="00355CC5">
      <w:pPr>
        <w:jc w:val="both"/>
        <w:rPr>
          <w:rFonts w:ascii="Arial" w:hAnsi="Arial" w:cs="Arial"/>
          <w:b/>
          <w:bCs/>
          <w:iCs/>
          <w:sz w:val="20"/>
          <w:szCs w:val="20"/>
          <w:lang w:val="es-419" w:eastAsia="fr-FR"/>
        </w:rPr>
      </w:pPr>
      <w:r w:rsidRPr="008F381A">
        <w:rPr>
          <w:rFonts w:ascii="Arial" w:hAnsi="Arial" w:cs="Arial"/>
          <w:b/>
          <w:bCs/>
          <w:iCs/>
          <w:sz w:val="20"/>
          <w:szCs w:val="20"/>
          <w:lang w:val="es-419" w:eastAsia="fr-FR"/>
        </w:rPr>
        <w:t>PENSIÓN DE SOBREVIVIENTE</w:t>
      </w:r>
      <w:r w:rsidR="00F07DF1" w:rsidRPr="008F381A">
        <w:rPr>
          <w:rFonts w:ascii="Arial" w:hAnsi="Arial" w:cs="Arial"/>
          <w:b/>
          <w:bCs/>
          <w:iCs/>
          <w:sz w:val="20"/>
          <w:szCs w:val="20"/>
          <w:lang w:val="es-419" w:eastAsia="fr-FR"/>
        </w:rPr>
        <w:t xml:space="preserve">S / PRINCIPIO DE LA CONDICIÓN MÁS BENEFICIOSA / </w:t>
      </w:r>
      <w:r w:rsidR="00F07DF1">
        <w:rPr>
          <w:rFonts w:ascii="Arial" w:hAnsi="Arial" w:cs="Arial"/>
          <w:b/>
          <w:bCs/>
          <w:iCs/>
          <w:sz w:val="20"/>
          <w:szCs w:val="20"/>
          <w:lang w:val="es-419" w:eastAsia="fr-FR"/>
        </w:rPr>
        <w:t>POSICIÓN DE LA CORTE SUPREMA DE JUSTICIA</w:t>
      </w:r>
    </w:p>
    <w:p w14:paraId="07A056A6" w14:textId="2D48E8D5" w:rsidR="00AC7495" w:rsidRDefault="00AC7495" w:rsidP="00AC7495">
      <w:pPr>
        <w:jc w:val="both"/>
        <w:rPr>
          <w:rFonts w:ascii="Arial" w:hAnsi="Arial" w:cs="Arial"/>
          <w:sz w:val="20"/>
          <w:szCs w:val="20"/>
          <w:lang w:val="es-419"/>
        </w:rPr>
      </w:pPr>
      <w:r w:rsidRPr="008D04B3">
        <w:rPr>
          <w:rFonts w:ascii="Arial" w:hAnsi="Arial" w:cs="Arial"/>
          <w:sz w:val="20"/>
          <w:szCs w:val="20"/>
          <w:lang w:val="es-419"/>
        </w:rPr>
        <w:t>Por su parte, la Sala de Casación Civil de la Corte Suprema de Justicia también avaló la aplicación del principio de condición más beneficiosa acudiendo a una norma pretérita que no necesariamente es la inmediatamente anterior</w:t>
      </w:r>
      <w:r>
        <w:rPr>
          <w:rFonts w:ascii="Arial" w:hAnsi="Arial" w:cs="Arial"/>
          <w:sz w:val="20"/>
          <w:szCs w:val="20"/>
          <w:lang w:val="es-419"/>
        </w:rPr>
        <w:t xml:space="preserve">. </w:t>
      </w:r>
      <w:r w:rsidRPr="005A4456">
        <w:rPr>
          <w:rFonts w:ascii="Arial" w:hAnsi="Arial" w:cs="Arial"/>
          <w:sz w:val="20"/>
          <w:szCs w:val="20"/>
          <w:lang w:val="es-419"/>
        </w:rPr>
        <w:t>Así lo sostuvo en la sentencia de tutela del 20 de noviembre de 2020, STC10214-2020</w:t>
      </w:r>
      <w:r>
        <w:rPr>
          <w:rFonts w:ascii="Arial" w:hAnsi="Arial" w:cs="Arial"/>
          <w:sz w:val="20"/>
          <w:szCs w:val="20"/>
          <w:lang w:val="es-419"/>
        </w:rPr>
        <w:t>…</w:t>
      </w:r>
      <w:r w:rsidR="00355CC5">
        <w:rPr>
          <w:rFonts w:ascii="Arial" w:hAnsi="Arial" w:cs="Arial"/>
          <w:sz w:val="20"/>
          <w:szCs w:val="20"/>
          <w:lang w:val="es-419"/>
        </w:rPr>
        <w:t xml:space="preserve"> </w:t>
      </w:r>
      <w:r w:rsidRPr="008D04B3">
        <w:rPr>
          <w:rFonts w:ascii="Arial" w:hAnsi="Arial" w:cs="Arial"/>
          <w:sz w:val="20"/>
          <w:szCs w:val="20"/>
          <w:lang w:val="es-419"/>
        </w:rPr>
        <w:t>Como pilar fundamental de la providencia en comento, la Corte Suprema se refirió al principio de In dubio Pro Operario en los siguientes términos:</w:t>
      </w:r>
      <w:r w:rsidR="00355CC5">
        <w:rPr>
          <w:rFonts w:ascii="Arial" w:hAnsi="Arial" w:cs="Arial"/>
          <w:sz w:val="20"/>
          <w:szCs w:val="20"/>
          <w:lang w:val="es-419"/>
        </w:rPr>
        <w:t xml:space="preserve"> </w:t>
      </w:r>
      <w:r w:rsidRPr="008D04B3">
        <w:rPr>
          <w:rFonts w:ascii="Arial" w:hAnsi="Arial" w:cs="Arial"/>
          <w:sz w:val="20"/>
          <w:szCs w:val="20"/>
          <w:lang w:val="es-419"/>
        </w:rPr>
        <w:t>“Igualmente, la jurisprudencia constitucional también ha consignado que el juzgador ordinario debe efectuar la exegesis más garantista en esta temática, de acuerdo con el postulado universal del «in dubio pro operario»</w:t>
      </w:r>
      <w:r>
        <w:rPr>
          <w:rFonts w:ascii="Arial" w:hAnsi="Arial" w:cs="Arial"/>
          <w:sz w:val="20"/>
          <w:szCs w:val="20"/>
          <w:lang w:val="es-419"/>
        </w:rPr>
        <w:t xml:space="preserve"> …</w:t>
      </w:r>
    </w:p>
    <w:p w14:paraId="2D28D23C" w14:textId="77777777" w:rsidR="00AC7495" w:rsidRPr="00281CBF" w:rsidRDefault="00AC7495" w:rsidP="00AC7495">
      <w:pPr>
        <w:jc w:val="both"/>
        <w:rPr>
          <w:rFonts w:ascii="Arial" w:hAnsi="Arial" w:cs="Arial"/>
          <w:sz w:val="20"/>
          <w:szCs w:val="20"/>
          <w:lang w:val="es-419"/>
        </w:rPr>
      </w:pPr>
    </w:p>
    <w:p w14:paraId="3FD739B3" w14:textId="401C7B74" w:rsidR="006C13FE" w:rsidRDefault="006C13FE" w:rsidP="006C13FE">
      <w:pPr>
        <w:jc w:val="both"/>
        <w:rPr>
          <w:rFonts w:ascii="Arial" w:hAnsi="Arial" w:cs="Arial"/>
          <w:b/>
          <w:bCs/>
          <w:iCs/>
          <w:sz w:val="20"/>
          <w:szCs w:val="20"/>
          <w:lang w:val="es-419" w:eastAsia="fr-FR"/>
        </w:rPr>
      </w:pPr>
      <w:r w:rsidRPr="008F381A">
        <w:rPr>
          <w:rFonts w:ascii="Arial" w:hAnsi="Arial" w:cs="Arial"/>
          <w:b/>
          <w:bCs/>
          <w:iCs/>
          <w:sz w:val="20"/>
          <w:szCs w:val="20"/>
          <w:lang w:val="es-419" w:eastAsia="fr-FR"/>
        </w:rPr>
        <w:t xml:space="preserve">PENSIÓN DE SOBREVIVIENTES / </w:t>
      </w:r>
      <w:r>
        <w:rPr>
          <w:rFonts w:ascii="Arial" w:hAnsi="Arial" w:cs="Arial"/>
          <w:b/>
          <w:bCs/>
          <w:iCs/>
          <w:sz w:val="20"/>
          <w:szCs w:val="20"/>
          <w:lang w:val="es-419" w:eastAsia="fr-FR"/>
        </w:rPr>
        <w:t>ACUMULACIÓN TIEMPOS PÚBLICOS Y PRIVADOS / EVOLUCIÓN JURISPRUDENCIAL</w:t>
      </w:r>
    </w:p>
    <w:p w14:paraId="75F2DA55" w14:textId="1FFCBE34" w:rsidR="00555C03" w:rsidRPr="00AC7495" w:rsidRDefault="006C13FE" w:rsidP="006C13FE">
      <w:pPr>
        <w:pStyle w:val="Ttulo"/>
        <w:spacing w:line="240" w:lineRule="auto"/>
        <w:jc w:val="both"/>
        <w:rPr>
          <w:b w:val="0"/>
          <w:sz w:val="20"/>
          <w:szCs w:val="18"/>
          <w:lang w:val="es-419"/>
        </w:rPr>
      </w:pPr>
      <w:r w:rsidRPr="006C13FE">
        <w:rPr>
          <w:b w:val="0"/>
          <w:sz w:val="20"/>
          <w:szCs w:val="18"/>
          <w:lang w:val="es-419"/>
        </w:rPr>
        <w:t>Venía sosteniendo la Sala de Casación Laboral de la Corte Suprema de Justicia que para acceder a las pensiones previstas en el Acuerdo 049 de 1990, no era posible sumar tiempos de servicios públicos no cotizados a los aportes efectivamente sufragados al ISS (hoy Colpensiones) …</w:t>
      </w:r>
      <w:r>
        <w:rPr>
          <w:b w:val="0"/>
          <w:sz w:val="20"/>
          <w:szCs w:val="18"/>
          <w:lang w:val="es-419"/>
        </w:rPr>
        <w:t xml:space="preserve"> </w:t>
      </w:r>
      <w:r w:rsidRPr="006C13FE">
        <w:rPr>
          <w:b w:val="0"/>
          <w:sz w:val="20"/>
          <w:szCs w:val="18"/>
          <w:lang w:val="es-419"/>
        </w:rPr>
        <w:t>No obstante, a partir de la sentencia SL1981 de 2020…</w:t>
      </w:r>
      <w:r>
        <w:rPr>
          <w:b w:val="0"/>
          <w:sz w:val="20"/>
          <w:szCs w:val="18"/>
          <w:lang w:val="es-419"/>
        </w:rPr>
        <w:t xml:space="preserve"> </w:t>
      </w:r>
      <w:r w:rsidRPr="006C13FE">
        <w:rPr>
          <w:b w:val="0"/>
          <w:sz w:val="20"/>
          <w:szCs w:val="18"/>
          <w:lang w:val="es-419"/>
        </w:rPr>
        <w:t>“… la Corte Suprema de Justicia abandona su criterio mayoritario conforme al cual el Acuerdo 049 de 1990, aplicable en virtud del régimen de transición, solo permite sumar cotizaciones realizadas exclusivamente al ISS y, en su reemplazo, postula que sí es posible para efectos de obtener la pensión por vejez prevista en ese reglamento, contabilizar las semanas laboradas en el sector público, sufragadas o no a una caja, fondo o entidad de previsión social</w:t>
      </w:r>
      <w:r>
        <w:rPr>
          <w:b w:val="0"/>
          <w:sz w:val="20"/>
          <w:szCs w:val="18"/>
          <w:lang w:val="es-419"/>
        </w:rPr>
        <w:t>…”</w:t>
      </w:r>
    </w:p>
    <w:p w14:paraId="4448A3BB" w14:textId="3237FE16" w:rsidR="00555C03" w:rsidRPr="00555C03" w:rsidRDefault="00555C03" w:rsidP="006C13FE">
      <w:pPr>
        <w:pStyle w:val="Ttulo"/>
        <w:spacing w:line="240" w:lineRule="auto"/>
        <w:jc w:val="both"/>
        <w:rPr>
          <w:b w:val="0"/>
          <w:sz w:val="20"/>
          <w:szCs w:val="18"/>
        </w:rPr>
      </w:pPr>
    </w:p>
    <w:p w14:paraId="639B4124" w14:textId="5101AEBC" w:rsidR="00555C03" w:rsidRDefault="00555C03" w:rsidP="00555C03">
      <w:pPr>
        <w:pStyle w:val="Ttulo"/>
        <w:spacing w:line="240" w:lineRule="auto"/>
        <w:jc w:val="both"/>
        <w:rPr>
          <w:b w:val="0"/>
          <w:sz w:val="20"/>
          <w:szCs w:val="18"/>
        </w:rPr>
      </w:pPr>
    </w:p>
    <w:p w14:paraId="4899437B" w14:textId="77777777" w:rsidR="006C13FE" w:rsidRPr="00555C03" w:rsidRDefault="006C13FE" w:rsidP="00555C03">
      <w:pPr>
        <w:pStyle w:val="Ttulo"/>
        <w:spacing w:line="240" w:lineRule="auto"/>
        <w:jc w:val="both"/>
        <w:rPr>
          <w:b w:val="0"/>
          <w:sz w:val="20"/>
          <w:szCs w:val="18"/>
        </w:rPr>
      </w:pPr>
    </w:p>
    <w:p w14:paraId="705183B1" w14:textId="614A66F0" w:rsidR="003A3BBB" w:rsidRPr="00555C03" w:rsidRDefault="003A3BBB" w:rsidP="00555C03">
      <w:pPr>
        <w:pStyle w:val="Ttulo"/>
        <w:spacing w:line="240" w:lineRule="auto"/>
        <w:jc w:val="both"/>
        <w:rPr>
          <w:b w:val="0"/>
          <w:sz w:val="20"/>
          <w:szCs w:val="18"/>
        </w:rPr>
      </w:pPr>
      <w:r w:rsidRPr="00555C03">
        <w:rPr>
          <w:b w:val="0"/>
          <w:sz w:val="20"/>
          <w:szCs w:val="18"/>
        </w:rPr>
        <w:t>Radicación No.:</w:t>
      </w:r>
      <w:r w:rsidRPr="00555C03">
        <w:rPr>
          <w:b w:val="0"/>
          <w:sz w:val="20"/>
          <w:szCs w:val="18"/>
        </w:rPr>
        <w:tab/>
      </w:r>
      <w:r w:rsidRPr="00555C03">
        <w:rPr>
          <w:b w:val="0"/>
          <w:sz w:val="20"/>
          <w:szCs w:val="18"/>
        </w:rPr>
        <w:tab/>
        <w:t>66</w:t>
      </w:r>
      <w:r w:rsidR="004603F1" w:rsidRPr="00555C03">
        <w:rPr>
          <w:b w:val="0"/>
          <w:sz w:val="20"/>
          <w:szCs w:val="18"/>
        </w:rPr>
        <w:t>001</w:t>
      </w:r>
      <w:r w:rsidRPr="00555C03">
        <w:rPr>
          <w:b w:val="0"/>
          <w:sz w:val="20"/>
          <w:szCs w:val="18"/>
        </w:rPr>
        <w:t>31</w:t>
      </w:r>
      <w:r w:rsidR="004603F1" w:rsidRPr="00555C03">
        <w:rPr>
          <w:b w:val="0"/>
          <w:sz w:val="20"/>
          <w:szCs w:val="18"/>
        </w:rPr>
        <w:t>05</w:t>
      </w:r>
      <w:r w:rsidRPr="00555C03">
        <w:rPr>
          <w:b w:val="0"/>
          <w:sz w:val="20"/>
          <w:szCs w:val="18"/>
        </w:rPr>
        <w:t>00</w:t>
      </w:r>
      <w:r w:rsidR="00212125" w:rsidRPr="00555C03">
        <w:rPr>
          <w:b w:val="0"/>
          <w:sz w:val="20"/>
          <w:szCs w:val="18"/>
        </w:rPr>
        <w:t>2</w:t>
      </w:r>
      <w:r w:rsidRPr="00555C03">
        <w:rPr>
          <w:b w:val="0"/>
          <w:sz w:val="20"/>
          <w:szCs w:val="18"/>
        </w:rPr>
        <w:t>201</w:t>
      </w:r>
      <w:r w:rsidR="003A04F1" w:rsidRPr="00555C03">
        <w:rPr>
          <w:b w:val="0"/>
          <w:sz w:val="20"/>
          <w:szCs w:val="18"/>
        </w:rPr>
        <w:t>9</w:t>
      </w:r>
      <w:r w:rsidRPr="00555C03">
        <w:rPr>
          <w:b w:val="0"/>
          <w:sz w:val="20"/>
          <w:szCs w:val="18"/>
        </w:rPr>
        <w:t>00</w:t>
      </w:r>
      <w:r w:rsidR="00212125" w:rsidRPr="00555C03">
        <w:rPr>
          <w:b w:val="0"/>
          <w:sz w:val="20"/>
          <w:szCs w:val="18"/>
        </w:rPr>
        <w:t>093</w:t>
      </w:r>
      <w:r w:rsidR="00875638" w:rsidRPr="00555C03">
        <w:rPr>
          <w:b w:val="0"/>
          <w:sz w:val="20"/>
          <w:szCs w:val="18"/>
        </w:rPr>
        <w:t>0</w:t>
      </w:r>
      <w:r w:rsidR="003A04F1" w:rsidRPr="00555C03">
        <w:rPr>
          <w:b w:val="0"/>
          <w:sz w:val="20"/>
          <w:szCs w:val="18"/>
        </w:rPr>
        <w:t>1</w:t>
      </w:r>
    </w:p>
    <w:p w14:paraId="0236023C" w14:textId="0B9CD3CE" w:rsidR="003A3BBB" w:rsidRPr="00555C03" w:rsidRDefault="003A3BBB" w:rsidP="00555C03">
      <w:pPr>
        <w:pStyle w:val="Ttulo"/>
        <w:spacing w:line="240" w:lineRule="auto"/>
        <w:jc w:val="both"/>
        <w:rPr>
          <w:b w:val="0"/>
          <w:sz w:val="20"/>
          <w:szCs w:val="18"/>
        </w:rPr>
      </w:pPr>
      <w:r w:rsidRPr="00555C03">
        <w:rPr>
          <w:b w:val="0"/>
          <w:sz w:val="20"/>
          <w:szCs w:val="18"/>
        </w:rPr>
        <w:t>Proceso:</w:t>
      </w:r>
      <w:r w:rsidRPr="00555C03">
        <w:rPr>
          <w:b w:val="0"/>
          <w:sz w:val="20"/>
          <w:szCs w:val="18"/>
        </w:rPr>
        <w:tab/>
      </w:r>
      <w:r w:rsidRPr="00555C03">
        <w:rPr>
          <w:b w:val="0"/>
          <w:sz w:val="20"/>
          <w:szCs w:val="18"/>
        </w:rPr>
        <w:tab/>
        <w:t>Ordinario labor</w:t>
      </w:r>
      <w:r w:rsidR="00DA269C" w:rsidRPr="00555C03">
        <w:rPr>
          <w:b w:val="0"/>
          <w:sz w:val="20"/>
          <w:szCs w:val="18"/>
        </w:rPr>
        <w:t>al</w:t>
      </w:r>
    </w:p>
    <w:p w14:paraId="7509151B" w14:textId="3C8673CE" w:rsidR="00212125" w:rsidRPr="00555C03" w:rsidRDefault="003A3BBB" w:rsidP="00555C03">
      <w:pPr>
        <w:pStyle w:val="Ttulo"/>
        <w:spacing w:line="240" w:lineRule="auto"/>
        <w:jc w:val="both"/>
        <w:rPr>
          <w:b w:val="0"/>
          <w:sz w:val="20"/>
          <w:szCs w:val="18"/>
        </w:rPr>
      </w:pPr>
      <w:r w:rsidRPr="00555C03">
        <w:rPr>
          <w:b w:val="0"/>
          <w:sz w:val="20"/>
          <w:szCs w:val="18"/>
        </w:rPr>
        <w:t>Demandante:</w:t>
      </w:r>
      <w:r w:rsidRPr="00555C03">
        <w:rPr>
          <w:b w:val="0"/>
          <w:sz w:val="20"/>
          <w:szCs w:val="18"/>
        </w:rPr>
        <w:tab/>
      </w:r>
      <w:r w:rsidRPr="00555C03">
        <w:rPr>
          <w:b w:val="0"/>
          <w:sz w:val="20"/>
          <w:szCs w:val="18"/>
        </w:rPr>
        <w:tab/>
      </w:r>
      <w:r w:rsidR="00212125" w:rsidRPr="00555C03">
        <w:rPr>
          <w:b w:val="0"/>
          <w:sz w:val="20"/>
          <w:szCs w:val="18"/>
        </w:rPr>
        <w:t>Betsabé Martínez Navarro</w:t>
      </w:r>
    </w:p>
    <w:p w14:paraId="423D43D5" w14:textId="2EF37D50" w:rsidR="003A3BBB" w:rsidRPr="00555C03" w:rsidRDefault="003A3BBB" w:rsidP="00555C03">
      <w:pPr>
        <w:pStyle w:val="Ttulo"/>
        <w:spacing w:line="240" w:lineRule="auto"/>
        <w:jc w:val="both"/>
        <w:rPr>
          <w:b w:val="0"/>
          <w:sz w:val="20"/>
          <w:szCs w:val="18"/>
        </w:rPr>
      </w:pPr>
      <w:r w:rsidRPr="00555C03">
        <w:rPr>
          <w:b w:val="0"/>
          <w:sz w:val="20"/>
          <w:szCs w:val="18"/>
        </w:rPr>
        <w:t>Demandado:</w:t>
      </w:r>
      <w:r w:rsidRPr="00555C03">
        <w:rPr>
          <w:b w:val="0"/>
          <w:sz w:val="20"/>
          <w:szCs w:val="18"/>
        </w:rPr>
        <w:tab/>
      </w:r>
      <w:r w:rsidRPr="00555C03">
        <w:rPr>
          <w:b w:val="0"/>
          <w:sz w:val="20"/>
          <w:szCs w:val="18"/>
        </w:rPr>
        <w:tab/>
      </w:r>
      <w:r w:rsidR="00212125" w:rsidRPr="00555C03">
        <w:rPr>
          <w:b w:val="0"/>
          <w:sz w:val="20"/>
          <w:szCs w:val="18"/>
        </w:rPr>
        <w:t>Colpensiones</w:t>
      </w:r>
    </w:p>
    <w:p w14:paraId="43600E48" w14:textId="7271769C" w:rsidR="003A3BBB" w:rsidRPr="00555C03" w:rsidRDefault="003A3BBB" w:rsidP="00555C03">
      <w:pPr>
        <w:pStyle w:val="Ttulo"/>
        <w:spacing w:line="240" w:lineRule="auto"/>
        <w:jc w:val="both"/>
        <w:rPr>
          <w:b w:val="0"/>
          <w:sz w:val="20"/>
          <w:szCs w:val="18"/>
        </w:rPr>
      </w:pPr>
      <w:r w:rsidRPr="00555C03">
        <w:rPr>
          <w:b w:val="0"/>
          <w:sz w:val="20"/>
          <w:szCs w:val="18"/>
        </w:rPr>
        <w:t xml:space="preserve">Juzgado de </w:t>
      </w:r>
      <w:r w:rsidR="004D3091" w:rsidRPr="00555C03">
        <w:rPr>
          <w:b w:val="0"/>
          <w:sz w:val="20"/>
          <w:szCs w:val="18"/>
        </w:rPr>
        <w:t>origen</w:t>
      </w:r>
      <w:r w:rsidRPr="00555C03">
        <w:rPr>
          <w:b w:val="0"/>
          <w:sz w:val="20"/>
          <w:szCs w:val="18"/>
        </w:rPr>
        <w:t>:</w:t>
      </w:r>
      <w:r w:rsidRPr="00555C03">
        <w:rPr>
          <w:b w:val="0"/>
          <w:sz w:val="20"/>
          <w:szCs w:val="18"/>
        </w:rPr>
        <w:tab/>
      </w:r>
      <w:r w:rsidR="00212125" w:rsidRPr="00555C03">
        <w:rPr>
          <w:b w:val="0"/>
          <w:sz w:val="20"/>
          <w:szCs w:val="18"/>
        </w:rPr>
        <w:t>Segundo</w:t>
      </w:r>
      <w:r w:rsidR="00C618C4" w:rsidRPr="00555C03">
        <w:rPr>
          <w:b w:val="0"/>
          <w:sz w:val="20"/>
          <w:szCs w:val="18"/>
        </w:rPr>
        <w:t xml:space="preserve"> Laboral </w:t>
      </w:r>
      <w:r w:rsidR="00CE5F80" w:rsidRPr="00555C03">
        <w:rPr>
          <w:b w:val="0"/>
          <w:sz w:val="20"/>
          <w:szCs w:val="18"/>
        </w:rPr>
        <w:t xml:space="preserve">del Circuito de </w:t>
      </w:r>
      <w:r w:rsidR="00107AB5" w:rsidRPr="00555C03">
        <w:rPr>
          <w:b w:val="0"/>
          <w:sz w:val="20"/>
          <w:szCs w:val="18"/>
        </w:rPr>
        <w:t>Pereira</w:t>
      </w:r>
      <w:r w:rsidR="00CE5F80" w:rsidRPr="00555C03">
        <w:rPr>
          <w:b w:val="0"/>
          <w:sz w:val="20"/>
          <w:szCs w:val="18"/>
        </w:rPr>
        <w:t xml:space="preserve"> </w:t>
      </w:r>
    </w:p>
    <w:p w14:paraId="5F4965C8" w14:textId="51EFF274" w:rsidR="00815A7D" w:rsidRDefault="00815A7D" w:rsidP="00555C03">
      <w:pPr>
        <w:pStyle w:val="Ttulo"/>
        <w:spacing w:line="240" w:lineRule="auto"/>
        <w:jc w:val="both"/>
        <w:rPr>
          <w:b w:val="0"/>
          <w:bCs/>
          <w:sz w:val="20"/>
          <w:szCs w:val="18"/>
        </w:rPr>
      </w:pPr>
    </w:p>
    <w:p w14:paraId="7D3534AA" w14:textId="77777777" w:rsidR="00555C03" w:rsidRPr="00555C03" w:rsidRDefault="00555C03" w:rsidP="00555C03">
      <w:pPr>
        <w:pStyle w:val="Ttulo"/>
        <w:spacing w:line="240" w:lineRule="auto"/>
        <w:jc w:val="both"/>
        <w:rPr>
          <w:b w:val="0"/>
          <w:bCs/>
          <w:sz w:val="20"/>
          <w:szCs w:val="18"/>
        </w:rPr>
      </w:pPr>
    </w:p>
    <w:p w14:paraId="35780E8C" w14:textId="77777777" w:rsidR="009736F3" w:rsidRPr="00555C03" w:rsidRDefault="009736F3" w:rsidP="00555C03">
      <w:pPr>
        <w:pStyle w:val="Ttulo"/>
        <w:spacing w:line="240" w:lineRule="auto"/>
        <w:jc w:val="both"/>
        <w:rPr>
          <w:b w:val="0"/>
          <w:bCs/>
          <w:sz w:val="20"/>
          <w:szCs w:val="18"/>
        </w:rPr>
      </w:pPr>
    </w:p>
    <w:p w14:paraId="1DD29841" w14:textId="77777777" w:rsidR="00766B8A" w:rsidRPr="00555C03" w:rsidRDefault="00766B8A" w:rsidP="00555C03">
      <w:pPr>
        <w:spacing w:line="276" w:lineRule="auto"/>
        <w:jc w:val="center"/>
        <w:textAlignment w:val="baseline"/>
        <w:rPr>
          <w:rFonts w:ascii="Tahoma" w:hAnsi="Tahoma" w:cs="Tahoma"/>
          <w:b/>
          <w:bCs/>
          <w:color w:val="000000"/>
          <w:lang w:eastAsia="es-CO"/>
        </w:rPr>
      </w:pPr>
      <w:r w:rsidRPr="00555C03">
        <w:rPr>
          <w:rFonts w:ascii="Tahoma" w:hAnsi="Tahoma" w:cs="Tahoma"/>
          <w:b/>
          <w:bCs/>
          <w:color w:val="000000"/>
          <w:lang w:eastAsia="es-CO"/>
        </w:rPr>
        <w:t xml:space="preserve">TRIBUNAL SUPERIOR DEL DISTRITO JUDICIAL DE PEREIRA </w:t>
      </w:r>
    </w:p>
    <w:p w14:paraId="3327ACFD" w14:textId="674FC980" w:rsidR="00766B8A" w:rsidRPr="00555C03" w:rsidRDefault="00766B8A" w:rsidP="00555C03">
      <w:pPr>
        <w:spacing w:line="276" w:lineRule="auto"/>
        <w:jc w:val="center"/>
        <w:textAlignment w:val="baseline"/>
        <w:rPr>
          <w:rFonts w:ascii="Tahoma" w:hAnsi="Tahoma" w:cs="Tahoma"/>
          <w:lang w:val="es-CO" w:eastAsia="es-CO"/>
        </w:rPr>
      </w:pPr>
      <w:r w:rsidRPr="00555C03">
        <w:rPr>
          <w:rFonts w:ascii="Tahoma" w:hAnsi="Tahoma" w:cs="Tahoma"/>
          <w:b/>
          <w:bCs/>
          <w:color w:val="000000"/>
          <w:lang w:eastAsia="es-CO"/>
        </w:rPr>
        <w:t xml:space="preserve">SALA </w:t>
      </w:r>
      <w:r w:rsidR="000139C8" w:rsidRPr="00555C03">
        <w:rPr>
          <w:rFonts w:ascii="Tahoma" w:hAnsi="Tahoma" w:cs="Tahoma"/>
          <w:b/>
          <w:bCs/>
          <w:color w:val="000000"/>
          <w:lang w:eastAsia="es-CO"/>
        </w:rPr>
        <w:t xml:space="preserve">CUARTA </w:t>
      </w:r>
      <w:r w:rsidRPr="00555C03">
        <w:rPr>
          <w:rFonts w:ascii="Tahoma" w:hAnsi="Tahoma" w:cs="Tahoma"/>
          <w:b/>
          <w:bCs/>
          <w:color w:val="000000"/>
          <w:lang w:eastAsia="es-CO"/>
        </w:rPr>
        <w:t xml:space="preserve">DE </w:t>
      </w:r>
      <w:r w:rsidR="00EC6038" w:rsidRPr="00555C03">
        <w:rPr>
          <w:rFonts w:ascii="Tahoma" w:hAnsi="Tahoma" w:cs="Tahoma"/>
          <w:b/>
          <w:bCs/>
          <w:color w:val="000000"/>
          <w:lang w:eastAsia="es-CO"/>
        </w:rPr>
        <w:t>DECISIÓN</w:t>
      </w:r>
      <w:bookmarkStart w:id="0" w:name="_GoBack"/>
      <w:bookmarkEnd w:id="0"/>
      <w:r w:rsidRPr="00555C03">
        <w:rPr>
          <w:rFonts w:ascii="Tahoma" w:hAnsi="Tahoma" w:cs="Tahoma"/>
          <w:b/>
          <w:bCs/>
          <w:color w:val="000000"/>
          <w:lang w:eastAsia="es-CO"/>
        </w:rPr>
        <w:t xml:space="preserve"> LABORAL </w:t>
      </w:r>
      <w:r w:rsidRPr="00555C03">
        <w:rPr>
          <w:rFonts w:ascii="Tahoma" w:hAnsi="Tahoma" w:cs="Tahoma"/>
          <w:color w:val="000000"/>
          <w:lang w:val="es-CO" w:eastAsia="es-CO"/>
        </w:rPr>
        <w:t> </w:t>
      </w:r>
    </w:p>
    <w:p w14:paraId="1424224E" w14:textId="77777777" w:rsidR="00766B8A" w:rsidRPr="00555C03" w:rsidRDefault="00766B8A" w:rsidP="00555C03">
      <w:pPr>
        <w:spacing w:line="276" w:lineRule="auto"/>
        <w:jc w:val="center"/>
        <w:textAlignment w:val="baseline"/>
        <w:rPr>
          <w:rFonts w:ascii="Tahoma" w:hAnsi="Tahoma" w:cs="Tahoma"/>
          <w:lang w:val="es-CO" w:eastAsia="es-CO"/>
        </w:rPr>
      </w:pPr>
      <w:r w:rsidRPr="00555C03">
        <w:rPr>
          <w:rFonts w:ascii="Tahoma" w:hAnsi="Tahoma" w:cs="Tahoma"/>
          <w:color w:val="000000"/>
          <w:lang w:val="es-CO" w:eastAsia="es-CO"/>
        </w:rPr>
        <w:t> </w:t>
      </w:r>
    </w:p>
    <w:p w14:paraId="4944CD3F" w14:textId="77777777" w:rsidR="00766B8A" w:rsidRPr="00555C03" w:rsidRDefault="00766B8A" w:rsidP="00555C03">
      <w:pPr>
        <w:spacing w:line="276" w:lineRule="auto"/>
        <w:jc w:val="center"/>
        <w:textAlignment w:val="baseline"/>
        <w:rPr>
          <w:rFonts w:ascii="Tahoma" w:hAnsi="Tahoma" w:cs="Tahoma"/>
          <w:lang w:val="es-CO" w:eastAsia="es-CO"/>
        </w:rPr>
      </w:pPr>
      <w:r w:rsidRPr="00555C03">
        <w:rPr>
          <w:rFonts w:ascii="Tahoma" w:hAnsi="Tahoma" w:cs="Tahoma"/>
          <w:color w:val="000000"/>
          <w:lang w:eastAsia="es-CO"/>
        </w:rPr>
        <w:t>Magistrada Ponente: </w:t>
      </w:r>
      <w:r w:rsidRPr="00555C03">
        <w:rPr>
          <w:rFonts w:ascii="Tahoma" w:hAnsi="Tahoma" w:cs="Tahoma"/>
          <w:b/>
          <w:bCs/>
          <w:color w:val="000000"/>
          <w:lang w:eastAsia="es-CO"/>
        </w:rPr>
        <w:t>Ana Lucía Caicedo Calderón</w:t>
      </w:r>
      <w:r w:rsidRPr="00555C03">
        <w:rPr>
          <w:rFonts w:ascii="Tahoma" w:hAnsi="Tahoma" w:cs="Tahoma"/>
          <w:color w:val="000000"/>
          <w:lang w:val="es-CO" w:eastAsia="es-CO"/>
        </w:rPr>
        <w:t> </w:t>
      </w:r>
    </w:p>
    <w:p w14:paraId="6F82CB97" w14:textId="77777777" w:rsidR="00766B8A" w:rsidRPr="00555C03" w:rsidRDefault="00766B8A" w:rsidP="00555C03">
      <w:pPr>
        <w:spacing w:line="276" w:lineRule="auto"/>
        <w:jc w:val="center"/>
        <w:textAlignment w:val="baseline"/>
        <w:rPr>
          <w:rFonts w:ascii="Tahoma" w:hAnsi="Tahoma" w:cs="Tahoma"/>
          <w:lang w:val="es-CO" w:eastAsia="es-CO"/>
        </w:rPr>
      </w:pPr>
      <w:r w:rsidRPr="00555C03">
        <w:rPr>
          <w:rFonts w:ascii="Tahoma" w:hAnsi="Tahoma" w:cs="Tahoma"/>
          <w:color w:val="000000"/>
          <w:lang w:val="es-CO" w:eastAsia="es-CO"/>
        </w:rPr>
        <w:t> </w:t>
      </w:r>
    </w:p>
    <w:p w14:paraId="369E966B" w14:textId="77777777" w:rsidR="00D053B9" w:rsidRPr="00555C03" w:rsidRDefault="00D053B9" w:rsidP="00555C03">
      <w:pPr>
        <w:spacing w:line="276" w:lineRule="auto"/>
        <w:mirrorIndents/>
        <w:jc w:val="center"/>
        <w:rPr>
          <w:rFonts w:ascii="Tahoma" w:hAnsi="Tahoma" w:cs="Tahoma"/>
        </w:rPr>
      </w:pPr>
      <w:r w:rsidRPr="00555C03">
        <w:rPr>
          <w:rFonts w:ascii="Tahoma" w:hAnsi="Tahoma" w:cs="Tahoma"/>
        </w:rPr>
        <w:t>Pereira, Risaralda, dieciocho (18) de agosto de dos mil veintitrés (2023)  </w:t>
      </w:r>
    </w:p>
    <w:p w14:paraId="7CFD5C23" w14:textId="77777777" w:rsidR="00D053B9" w:rsidRPr="00555C03" w:rsidRDefault="00D053B9" w:rsidP="00555C03">
      <w:pPr>
        <w:spacing w:line="276" w:lineRule="auto"/>
        <w:mirrorIndents/>
        <w:jc w:val="center"/>
        <w:rPr>
          <w:rFonts w:ascii="Tahoma" w:hAnsi="Tahoma" w:cs="Tahoma"/>
        </w:rPr>
      </w:pPr>
      <w:r w:rsidRPr="00555C03">
        <w:rPr>
          <w:rFonts w:ascii="Tahoma" w:hAnsi="Tahoma" w:cs="Tahoma"/>
        </w:rPr>
        <w:t> Acta No. 130A del diecisiete de agosto de 2023 </w:t>
      </w:r>
    </w:p>
    <w:p w14:paraId="11422366" w14:textId="77777777" w:rsidR="003A3BBB" w:rsidRPr="00555C03" w:rsidRDefault="003A3BBB" w:rsidP="00555C03">
      <w:pPr>
        <w:pStyle w:val="Sinespaciado"/>
        <w:spacing w:line="276" w:lineRule="auto"/>
        <w:rPr>
          <w:rFonts w:ascii="Tahoma" w:hAnsi="Tahoma" w:cs="Tahoma"/>
        </w:rPr>
      </w:pPr>
      <w:r w:rsidRPr="00555C03">
        <w:rPr>
          <w:rFonts w:ascii="Tahoma" w:hAnsi="Tahoma" w:cs="Tahoma"/>
        </w:rPr>
        <w:tab/>
      </w:r>
      <w:r w:rsidR="004052FE" w:rsidRPr="00555C03">
        <w:rPr>
          <w:rFonts w:ascii="Tahoma" w:hAnsi="Tahoma" w:cs="Tahoma"/>
        </w:rPr>
        <w:t xml:space="preserve"> </w:t>
      </w:r>
    </w:p>
    <w:p w14:paraId="5E269362" w14:textId="6141C39C" w:rsidR="008F0738" w:rsidRPr="00555C03" w:rsidRDefault="00E154EF" w:rsidP="00555C03">
      <w:pPr>
        <w:spacing w:line="276" w:lineRule="auto"/>
        <w:ind w:firstLine="708"/>
        <w:jc w:val="both"/>
        <w:rPr>
          <w:rFonts w:ascii="Tahoma" w:eastAsiaTheme="minorHAnsi" w:hAnsi="Tahoma" w:cs="Tahoma"/>
          <w:b/>
          <w:bCs/>
          <w:lang w:eastAsia="en-US"/>
        </w:rPr>
      </w:pPr>
      <w:r w:rsidRPr="00555C03">
        <w:rPr>
          <w:rFonts w:ascii="Tahoma" w:hAnsi="Tahoma" w:cs="Tahoma"/>
        </w:rPr>
        <w:lastRenderedPageBreak/>
        <w:t>Teniendo en cuenta que el artículo 13 de la Ley 2213 del 13 de junio de 2022,</w:t>
      </w:r>
      <w:r w:rsidR="000B7743" w:rsidRPr="00555C03">
        <w:rPr>
          <w:rFonts w:ascii="Tahoma" w:eastAsiaTheme="minorHAnsi" w:hAnsi="Tahoma" w:cs="Tahoma"/>
          <w:lang w:eastAsia="en-US"/>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N° 4 Presidida por el Dr. JULIO CÉSAR SALAZAR MUÑOZ del Tribunal Superior de Pereira, integrada por la Magistrada ANA LUCÍA CAICEDO CALDERÓN quien en esta oportunidad actuará como Ponente y el Magistrado </w:t>
      </w:r>
      <w:bookmarkStart w:id="1" w:name="_Hlk61987554"/>
      <w:r w:rsidR="000B7743" w:rsidRPr="00555C03">
        <w:rPr>
          <w:rFonts w:ascii="Tahoma" w:eastAsiaTheme="minorHAnsi" w:hAnsi="Tahoma" w:cs="Tahoma"/>
          <w:lang w:eastAsia="en-US"/>
        </w:rPr>
        <w:t>GERMÁN DARIO GOEZ VINASCO</w:t>
      </w:r>
      <w:bookmarkEnd w:id="1"/>
      <w:r w:rsidR="000B7743" w:rsidRPr="00555C03">
        <w:rPr>
          <w:rFonts w:ascii="Tahoma" w:eastAsiaTheme="minorHAnsi" w:hAnsi="Tahoma" w:cs="Tahoma"/>
          <w:lang w:eastAsia="en-US"/>
        </w:rPr>
        <w:t xml:space="preserve">, procede a proferir la siguiente sentencia escrita dentro del proceso </w:t>
      </w:r>
      <w:r w:rsidR="000B7743" w:rsidRPr="00866916">
        <w:rPr>
          <w:rFonts w:ascii="Tahoma" w:eastAsiaTheme="minorHAnsi" w:hAnsi="Tahoma" w:cs="Tahoma"/>
          <w:b/>
          <w:lang w:eastAsia="en-US"/>
        </w:rPr>
        <w:t>ordinario laboral</w:t>
      </w:r>
      <w:r w:rsidR="000B7743" w:rsidRPr="00555C03">
        <w:rPr>
          <w:rFonts w:ascii="Tahoma" w:eastAsiaTheme="minorHAnsi" w:hAnsi="Tahoma" w:cs="Tahoma"/>
          <w:lang w:eastAsia="en-US"/>
        </w:rPr>
        <w:t xml:space="preserve"> instaurado por </w:t>
      </w:r>
      <w:r w:rsidR="00417B5B" w:rsidRPr="00555C03">
        <w:rPr>
          <w:rFonts w:ascii="Tahoma" w:eastAsiaTheme="minorHAnsi" w:hAnsi="Tahoma" w:cs="Tahoma"/>
          <w:lang w:eastAsia="en-US"/>
        </w:rPr>
        <w:t xml:space="preserve">la señora </w:t>
      </w:r>
      <w:r w:rsidR="00866916" w:rsidRPr="00555C03">
        <w:rPr>
          <w:rFonts w:ascii="Tahoma" w:eastAsiaTheme="minorHAnsi" w:hAnsi="Tahoma" w:cs="Tahoma"/>
          <w:b/>
          <w:bCs/>
          <w:lang w:eastAsia="en-US"/>
        </w:rPr>
        <w:t xml:space="preserve">Betsabé Martínez Navarro </w:t>
      </w:r>
      <w:r w:rsidR="000B7743" w:rsidRPr="00555C03">
        <w:rPr>
          <w:rFonts w:ascii="Tahoma" w:eastAsiaTheme="minorHAnsi" w:hAnsi="Tahoma" w:cs="Tahoma"/>
          <w:lang w:eastAsia="en-US"/>
        </w:rPr>
        <w:t>en contra de</w:t>
      </w:r>
      <w:r w:rsidR="00821C1A" w:rsidRPr="00555C03">
        <w:rPr>
          <w:rFonts w:ascii="Tahoma" w:eastAsiaTheme="minorHAnsi" w:hAnsi="Tahoma" w:cs="Tahoma"/>
          <w:lang w:eastAsia="en-US"/>
        </w:rPr>
        <w:t xml:space="preserve"> la</w:t>
      </w:r>
      <w:r w:rsidR="000B7743" w:rsidRPr="00555C03">
        <w:rPr>
          <w:rFonts w:ascii="Tahoma" w:eastAsiaTheme="minorHAnsi" w:hAnsi="Tahoma" w:cs="Tahoma"/>
          <w:lang w:eastAsia="en-US"/>
        </w:rPr>
        <w:t xml:space="preserve"> </w:t>
      </w:r>
      <w:r w:rsidR="00866916" w:rsidRPr="00555C03">
        <w:rPr>
          <w:rFonts w:ascii="Tahoma" w:eastAsiaTheme="minorHAnsi" w:hAnsi="Tahoma" w:cs="Tahoma"/>
          <w:b/>
          <w:bCs/>
          <w:lang w:eastAsia="en-US"/>
        </w:rPr>
        <w:t xml:space="preserve">Administradora Colombiana de Pensiones </w:t>
      </w:r>
      <w:r w:rsidR="00212125" w:rsidRPr="00555C03">
        <w:rPr>
          <w:rFonts w:ascii="Tahoma" w:eastAsiaTheme="minorHAnsi" w:hAnsi="Tahoma" w:cs="Tahoma"/>
          <w:b/>
          <w:bCs/>
          <w:lang w:eastAsia="en-US"/>
        </w:rPr>
        <w:t>– COLPENSIONES.</w:t>
      </w:r>
    </w:p>
    <w:p w14:paraId="600078BB" w14:textId="75BBDEDD" w:rsidR="00821C1A" w:rsidRPr="00555C03" w:rsidRDefault="00821C1A" w:rsidP="00555C03">
      <w:pPr>
        <w:pStyle w:val="Sinespaciado"/>
        <w:spacing w:line="276" w:lineRule="auto"/>
        <w:rPr>
          <w:rFonts w:ascii="Tahoma" w:eastAsiaTheme="minorHAnsi" w:hAnsi="Tahoma" w:cs="Tahoma"/>
          <w:lang w:eastAsia="en-US"/>
        </w:rPr>
      </w:pPr>
    </w:p>
    <w:p w14:paraId="55E32454" w14:textId="77777777" w:rsidR="00B90190" w:rsidRPr="00555C03" w:rsidRDefault="00B90190" w:rsidP="00555C03">
      <w:pPr>
        <w:spacing w:line="276" w:lineRule="auto"/>
        <w:jc w:val="center"/>
        <w:rPr>
          <w:rFonts w:ascii="Tahoma" w:hAnsi="Tahoma" w:cs="Tahoma"/>
          <w:b/>
        </w:rPr>
      </w:pPr>
      <w:r w:rsidRPr="00555C03">
        <w:rPr>
          <w:rFonts w:ascii="Tahoma" w:hAnsi="Tahoma" w:cs="Tahoma"/>
          <w:b/>
        </w:rPr>
        <w:t>CUESTIÓN PREVIA</w:t>
      </w:r>
    </w:p>
    <w:p w14:paraId="05F59837" w14:textId="77777777" w:rsidR="00B90190" w:rsidRPr="00555C03" w:rsidRDefault="00B90190" w:rsidP="00555C03">
      <w:pPr>
        <w:pStyle w:val="Sinespaciado"/>
        <w:spacing w:line="276" w:lineRule="auto"/>
        <w:rPr>
          <w:rFonts w:ascii="Tahoma" w:hAnsi="Tahoma" w:cs="Tahoma"/>
        </w:rPr>
      </w:pPr>
    </w:p>
    <w:p w14:paraId="39DD2676" w14:textId="6D780607" w:rsidR="00B90190" w:rsidRPr="00555C03" w:rsidRDefault="00B90190" w:rsidP="00555C03">
      <w:pPr>
        <w:spacing w:line="276" w:lineRule="auto"/>
        <w:ind w:firstLine="708"/>
        <w:jc w:val="both"/>
        <w:rPr>
          <w:rFonts w:ascii="Tahoma" w:hAnsi="Tahoma" w:cs="Tahoma"/>
          <w:spacing w:val="-3"/>
          <w:kern w:val="2"/>
        </w:rPr>
      </w:pPr>
      <w:r w:rsidRPr="00555C03">
        <w:rPr>
          <w:rFonts w:ascii="Tahoma" w:hAnsi="Tahoma" w:cs="Tahoma"/>
          <w:spacing w:val="-3"/>
          <w:kern w:val="2"/>
        </w:rPr>
        <w:t xml:space="preserve">El proyecto inicial presentado por el Magistrado Julio César Salazar Muñoz no fue avalado por el resto de la Sala y por eso, </w:t>
      </w:r>
      <w:bookmarkStart w:id="2" w:name="_Hlk134513348"/>
      <w:r w:rsidRPr="00555C03">
        <w:rPr>
          <w:rFonts w:ascii="Tahoma" w:hAnsi="Tahoma" w:cs="Tahoma"/>
          <w:spacing w:val="-3"/>
          <w:kern w:val="2"/>
        </w:rPr>
        <w:t xml:space="preserve">la Magistrada que le sigue en turno, Dra. Ana Lucía Caicedo Calderón, presenta la ponencia </w:t>
      </w:r>
      <w:bookmarkEnd w:id="2"/>
      <w:r w:rsidRPr="00555C03">
        <w:rPr>
          <w:rFonts w:ascii="Tahoma" w:hAnsi="Tahoma" w:cs="Tahoma"/>
          <w:spacing w:val="-3"/>
          <w:kern w:val="2"/>
        </w:rPr>
        <w:t>de las mayorías, advirtiendo que, dentro del proyecto, por economía procesal, se acogieron varios acápites redactados en la ponencia original, frente a los cuales no se presentó discusión alguna.</w:t>
      </w:r>
    </w:p>
    <w:p w14:paraId="7A03984C" w14:textId="77777777" w:rsidR="00821C1A" w:rsidRPr="00555C03" w:rsidRDefault="00821C1A" w:rsidP="00555C03">
      <w:pPr>
        <w:pStyle w:val="Sinespaciado"/>
        <w:spacing w:line="276" w:lineRule="auto"/>
        <w:rPr>
          <w:rFonts w:ascii="Tahoma" w:hAnsi="Tahoma" w:cs="Tahoma"/>
        </w:rPr>
      </w:pPr>
    </w:p>
    <w:p w14:paraId="3864ECFF" w14:textId="116C4FF4" w:rsidR="00766B8A" w:rsidRPr="00555C03" w:rsidRDefault="00766B8A" w:rsidP="00555C03">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555C03">
        <w:rPr>
          <w:rStyle w:val="normaltextrun"/>
          <w:rFonts w:ascii="Tahoma" w:hAnsi="Tahoma" w:cs="Tahoma"/>
          <w:b/>
          <w:bCs/>
          <w:color w:val="000000"/>
          <w:lang w:val="es-ES"/>
        </w:rPr>
        <w:t>PUNTO A TRATAR</w:t>
      </w:r>
    </w:p>
    <w:p w14:paraId="12E4D180" w14:textId="77777777" w:rsidR="00766B8A" w:rsidRPr="00555C03" w:rsidRDefault="00766B8A" w:rsidP="00555C0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65C58448" w14:textId="14C5FECF" w:rsidR="00D72EE4" w:rsidRPr="00555C03" w:rsidRDefault="00370918" w:rsidP="00555C03">
      <w:pPr>
        <w:spacing w:line="276" w:lineRule="auto"/>
        <w:ind w:firstLine="708"/>
        <w:jc w:val="both"/>
        <w:rPr>
          <w:rStyle w:val="normaltextrun"/>
          <w:rFonts w:ascii="Tahoma" w:hAnsi="Tahoma" w:cs="Tahoma"/>
        </w:rPr>
      </w:pPr>
      <w:r w:rsidRPr="00555C03">
        <w:rPr>
          <w:rStyle w:val="normaltextrun"/>
          <w:rFonts w:ascii="Tahoma" w:hAnsi="Tahoma" w:cs="Tahoma"/>
        </w:rPr>
        <w:t>Por medio de esta providencia procede la Sala a resolver el grado jurisdiccional respecto de la sentencia proferida por el Juzgado Segundo Laboral del Circuito de Pereira el 19 de enero de 2023, por ser totalmente adversa a los intereses del demandante.  Para ello se tiene en cuenta lo siguiente:  </w:t>
      </w:r>
    </w:p>
    <w:p w14:paraId="643216D3" w14:textId="076A0994" w:rsidR="768D8C29" w:rsidRPr="00555C03" w:rsidRDefault="768D8C29" w:rsidP="00555C03">
      <w:pPr>
        <w:spacing w:line="276" w:lineRule="auto"/>
        <w:ind w:firstLine="708"/>
        <w:jc w:val="both"/>
        <w:rPr>
          <w:rStyle w:val="eop"/>
          <w:rFonts w:ascii="Tahoma" w:hAnsi="Tahoma" w:cs="Tahoma"/>
        </w:rPr>
      </w:pPr>
    </w:p>
    <w:p w14:paraId="3F031650" w14:textId="27AE864E" w:rsidR="00B424AD" w:rsidRPr="00555C03" w:rsidRDefault="00D72EE4" w:rsidP="00555C03">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555C03">
        <w:rPr>
          <w:rFonts w:ascii="Tahoma" w:hAnsi="Tahoma" w:cs="Tahoma"/>
          <w:b/>
          <w:bCs/>
        </w:rPr>
        <w:t>LA DEMANDA Y LA CONTESTACIÓN DE LA DEMANDA</w:t>
      </w:r>
    </w:p>
    <w:p w14:paraId="777E987C" w14:textId="4EACD438" w:rsidR="00F36C1D" w:rsidRPr="00555C03" w:rsidRDefault="00F36C1D" w:rsidP="00555C03">
      <w:pPr>
        <w:pStyle w:val="Sinespaciado"/>
        <w:spacing w:line="276" w:lineRule="auto"/>
        <w:rPr>
          <w:rFonts w:ascii="Tahoma" w:hAnsi="Tahoma" w:cs="Tahoma"/>
        </w:rPr>
      </w:pPr>
    </w:p>
    <w:p w14:paraId="090E311E" w14:textId="77777777" w:rsidR="00212125" w:rsidRPr="00555C03" w:rsidRDefault="00212125" w:rsidP="00555C03">
      <w:pPr>
        <w:widowControl w:val="0"/>
        <w:autoSpaceDE w:val="0"/>
        <w:autoSpaceDN w:val="0"/>
        <w:adjustRightInd w:val="0"/>
        <w:spacing w:line="276" w:lineRule="auto"/>
        <w:ind w:firstLine="706"/>
        <w:jc w:val="both"/>
        <w:rPr>
          <w:rFonts w:ascii="Tahoma" w:hAnsi="Tahoma" w:cs="Tahoma"/>
          <w:lang w:val="es-CO"/>
        </w:rPr>
      </w:pPr>
      <w:r w:rsidRPr="00555C03">
        <w:rPr>
          <w:rFonts w:ascii="Tahoma" w:hAnsi="Tahoma" w:cs="Tahoma"/>
          <w:lang w:val="es-CO"/>
        </w:rPr>
        <w:t>Pretende la señora Betsabé Martínez Navarro que la justicia laboral declare que el señor Víctor Manuel Romero González dejó causado el derecho a la pensión de sobrevivientes a favor de sus beneficiarios y con base en ello aspira que se condene a la Administradora Colombiana de Pensiones a reconocer y pagar a su favor la prestación económica a partir del 14 de febrero de 2011 en su calidad de compañera permanente y en cuantía equivalente al salario mínimo legal mensual vigente, los intereses moratorios del artículo 141 de la ley 100 de 1993, lo que resulte probado extra y ultra petita, además de las costas procesales a su favor.</w:t>
      </w:r>
    </w:p>
    <w:p w14:paraId="007EF20B" w14:textId="77777777" w:rsidR="00212125" w:rsidRPr="00555C03" w:rsidRDefault="00212125" w:rsidP="00555C03">
      <w:pPr>
        <w:pStyle w:val="Sinespaciado"/>
        <w:spacing w:line="276" w:lineRule="auto"/>
        <w:rPr>
          <w:rFonts w:ascii="Tahoma" w:hAnsi="Tahoma" w:cs="Tahoma"/>
          <w:lang w:val="es-CO"/>
        </w:rPr>
      </w:pPr>
    </w:p>
    <w:p w14:paraId="21182E92" w14:textId="77777777" w:rsidR="00212125" w:rsidRPr="00555C03" w:rsidRDefault="00212125" w:rsidP="00555C03">
      <w:pPr>
        <w:widowControl w:val="0"/>
        <w:autoSpaceDE w:val="0"/>
        <w:autoSpaceDN w:val="0"/>
        <w:adjustRightInd w:val="0"/>
        <w:spacing w:line="276" w:lineRule="auto"/>
        <w:ind w:firstLine="706"/>
        <w:jc w:val="both"/>
        <w:rPr>
          <w:rFonts w:ascii="Tahoma" w:hAnsi="Tahoma" w:cs="Tahoma"/>
          <w:lang w:val="es-CO"/>
        </w:rPr>
      </w:pPr>
      <w:r w:rsidRPr="00555C03">
        <w:rPr>
          <w:rFonts w:ascii="Tahoma" w:hAnsi="Tahoma" w:cs="Tahoma"/>
          <w:lang w:val="es-CO"/>
        </w:rPr>
        <w:t>Refiere que: El señor Víctor Manuel Romero González falleció el 14 de febrero de 2011, finalizando de esa manera una convivencia continua e ininterrumpida con ella equivalente a cincuenta años, en los que procrearon dos hijos; su compañero permanente tiene cotizadas más de 300 semanas antes del 1° de abril de 1994; el 14 de diciembre de 2017 elevó solicitud de reconocimiento de la pensión de sobrevivientes, la cual fue negada en la resolución SUB256548 de 28 de septiembre de 2018, bajo el argumento de no tener la densidad de semanas exigidas en la ley.</w:t>
      </w:r>
    </w:p>
    <w:p w14:paraId="37BF4EB6" w14:textId="77777777" w:rsidR="00212125" w:rsidRPr="00555C03" w:rsidRDefault="00212125" w:rsidP="00555C03">
      <w:pPr>
        <w:pStyle w:val="Sinespaciado"/>
        <w:spacing w:line="276" w:lineRule="auto"/>
        <w:rPr>
          <w:rFonts w:ascii="Tahoma" w:hAnsi="Tahoma" w:cs="Tahoma"/>
          <w:lang w:val="es-CO"/>
        </w:rPr>
      </w:pPr>
    </w:p>
    <w:p w14:paraId="11758198" w14:textId="413B7FE2" w:rsidR="00D72EE4" w:rsidRPr="00555C03" w:rsidRDefault="00212125" w:rsidP="00555C03">
      <w:pPr>
        <w:widowControl w:val="0"/>
        <w:autoSpaceDE w:val="0"/>
        <w:autoSpaceDN w:val="0"/>
        <w:adjustRightInd w:val="0"/>
        <w:spacing w:line="276" w:lineRule="auto"/>
        <w:ind w:firstLine="706"/>
        <w:jc w:val="both"/>
        <w:rPr>
          <w:rFonts w:ascii="Tahoma" w:hAnsi="Tahoma" w:cs="Tahoma"/>
          <w:lang w:val="es-CO"/>
        </w:rPr>
      </w:pPr>
      <w:r w:rsidRPr="00555C03">
        <w:rPr>
          <w:rFonts w:ascii="Tahoma" w:hAnsi="Tahoma" w:cs="Tahoma"/>
          <w:lang w:val="es-CO"/>
        </w:rPr>
        <w:t xml:space="preserve">Al dar respuesta a la demanda -archivo 08 carpeta primera instancia-, la </w:t>
      </w:r>
      <w:r w:rsidRPr="00555C03">
        <w:rPr>
          <w:rFonts w:ascii="Tahoma" w:hAnsi="Tahoma" w:cs="Tahoma"/>
          <w:lang w:val="es-CO"/>
        </w:rPr>
        <w:lastRenderedPageBreak/>
        <w:t>Administradora Colombiana de Pensiones se opuso a la prosperidad de las pretensiones elevadas por la señora Betsabé Martínez Navarro, argumentando que el señor Víctor Manuel Romero González no dejó causada a favor de sus beneficiarios la pensión de sobrevivientes, al no acreditar la densidad de cotizaciones exigidas en el numeral 2° del artículo 46 de la ley 100 de 1993 modificado por el artículo 12 de la ley 797 de 2003. Formuló las excepciones de mérito que denominó “Inexistencia de la obligación”, “Cobro de lo no debido”, “Prescripción”, “Imposibilidad jurídica para reconocer y pagar derechos por fuera del ordenamiento legal”, “Buena fe: Colpensiones”, “Imposibilidad de condena en costas” y “Declaratoria de otras excepciones”.</w:t>
      </w:r>
    </w:p>
    <w:p w14:paraId="00AA38F1" w14:textId="591E1B29" w:rsidR="00677620" w:rsidRPr="00555C03" w:rsidRDefault="00677620" w:rsidP="00555C03">
      <w:pPr>
        <w:pStyle w:val="Sinespaciado"/>
        <w:spacing w:line="276" w:lineRule="auto"/>
        <w:rPr>
          <w:rFonts w:ascii="Tahoma" w:hAnsi="Tahoma" w:cs="Tahoma"/>
          <w:lang w:val="es-CO"/>
        </w:rPr>
      </w:pPr>
    </w:p>
    <w:p w14:paraId="7304DE11" w14:textId="16E93C4E" w:rsidR="00677620" w:rsidRPr="00555C03" w:rsidRDefault="00677620" w:rsidP="00555C03">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555C03">
        <w:rPr>
          <w:rFonts w:ascii="Tahoma" w:hAnsi="Tahoma" w:cs="Tahoma"/>
          <w:b/>
          <w:bCs/>
          <w:lang w:val="es-CO"/>
        </w:rPr>
        <w:t>SENTENCIA DE PRIMERA INSTANCIA</w:t>
      </w:r>
    </w:p>
    <w:p w14:paraId="0C45C1B9" w14:textId="77777777" w:rsidR="008A4EEE" w:rsidRPr="00555C03" w:rsidRDefault="008A4EEE" w:rsidP="00555C03">
      <w:pPr>
        <w:pStyle w:val="Sinespaciado"/>
        <w:spacing w:line="276" w:lineRule="auto"/>
        <w:rPr>
          <w:rFonts w:ascii="Tahoma" w:hAnsi="Tahoma" w:cs="Tahoma"/>
          <w:lang w:val="es-CO"/>
        </w:rPr>
      </w:pPr>
    </w:p>
    <w:p w14:paraId="460E36D2" w14:textId="77777777" w:rsidR="00212125" w:rsidRPr="00555C03" w:rsidRDefault="00212125" w:rsidP="00555C03">
      <w:pPr>
        <w:widowControl w:val="0"/>
        <w:autoSpaceDE w:val="0"/>
        <w:autoSpaceDN w:val="0"/>
        <w:adjustRightInd w:val="0"/>
        <w:spacing w:line="276" w:lineRule="auto"/>
        <w:ind w:firstLine="706"/>
        <w:jc w:val="both"/>
        <w:rPr>
          <w:rFonts w:ascii="Tahoma" w:hAnsi="Tahoma" w:cs="Tahoma"/>
          <w:lang w:val="es-CO"/>
        </w:rPr>
      </w:pPr>
      <w:r w:rsidRPr="00555C03">
        <w:rPr>
          <w:rFonts w:ascii="Tahoma" w:hAnsi="Tahoma" w:cs="Tahoma"/>
          <w:lang w:val="es-CO"/>
        </w:rPr>
        <w:t>En sentencia de 19 de enero de 2023, la funcionaria de primer grado, luego de analizar las pruebas allegadas al proceso, determinó que el señor Víctor Manuel Romero González no dejó causado con su deceso el derecho a la pensión de sobrevivientes a favor de sus beneficiarios, en consideración a que no tenía el status de pensionado para la fecha en que se produjo su deceso, ni tampoco tenía cotizadas cincuenta semanas de cotización dentro de los tres años anteriores al 14 de febrero de 2011, añadiendo que en este caso no era posible aplicar la normatividad inmediatamente anterior a aquella que regía el tema para la fecha en que se produjo la muerte del señor Romero González, ya que no se da el presupuesto de temporalidad previsto en la jurisprudencia de la Sala de Casación Laboral de la Corte Suprema de Justicia.</w:t>
      </w:r>
    </w:p>
    <w:p w14:paraId="2A5A02C9" w14:textId="77777777" w:rsidR="00212125" w:rsidRPr="00555C03" w:rsidRDefault="00212125" w:rsidP="00555C03">
      <w:pPr>
        <w:pStyle w:val="Sinespaciado"/>
        <w:spacing w:line="276" w:lineRule="auto"/>
        <w:rPr>
          <w:rFonts w:ascii="Tahoma" w:hAnsi="Tahoma" w:cs="Tahoma"/>
          <w:lang w:val="es-CO"/>
        </w:rPr>
      </w:pPr>
    </w:p>
    <w:p w14:paraId="5A29B375" w14:textId="11B70171" w:rsidR="00212125" w:rsidRPr="00555C03" w:rsidRDefault="00212125" w:rsidP="00555C03">
      <w:pPr>
        <w:widowControl w:val="0"/>
        <w:autoSpaceDE w:val="0"/>
        <w:autoSpaceDN w:val="0"/>
        <w:adjustRightInd w:val="0"/>
        <w:spacing w:line="276" w:lineRule="auto"/>
        <w:ind w:firstLine="706"/>
        <w:jc w:val="both"/>
        <w:rPr>
          <w:rFonts w:ascii="Tahoma" w:hAnsi="Tahoma" w:cs="Tahoma"/>
          <w:lang w:val="es-CO"/>
        </w:rPr>
      </w:pPr>
      <w:r w:rsidRPr="00555C03">
        <w:rPr>
          <w:rFonts w:ascii="Tahoma" w:hAnsi="Tahoma" w:cs="Tahoma"/>
          <w:lang w:val="es-CO"/>
        </w:rPr>
        <w:t xml:space="preserve">Por los motivos expuestos, absolvió a la Administradora Colombiana de Pensiones de la totalidad de las pretensiones elevadas en su contra </w:t>
      </w:r>
      <w:r w:rsidR="00370918" w:rsidRPr="00555C03">
        <w:rPr>
          <w:rFonts w:ascii="Tahoma" w:hAnsi="Tahoma" w:cs="Tahoma"/>
          <w:lang w:val="es-CO"/>
        </w:rPr>
        <w:t>y,</w:t>
      </w:r>
      <w:r w:rsidRPr="00555C03">
        <w:rPr>
          <w:rFonts w:ascii="Tahoma" w:hAnsi="Tahoma" w:cs="Tahoma"/>
          <w:lang w:val="es-CO"/>
        </w:rPr>
        <w:t xml:space="preserve"> por consiguiente, condenó en costas procesales en un 100% a la parte actora, en favor de Colpensiones.</w:t>
      </w:r>
    </w:p>
    <w:p w14:paraId="0CD67290" w14:textId="77777777" w:rsidR="00212125" w:rsidRPr="00555C03" w:rsidRDefault="00212125" w:rsidP="00555C03">
      <w:pPr>
        <w:pStyle w:val="Sinespaciado"/>
        <w:spacing w:line="276" w:lineRule="auto"/>
        <w:rPr>
          <w:rFonts w:ascii="Tahoma" w:hAnsi="Tahoma" w:cs="Tahoma"/>
          <w:lang w:val="es-CO"/>
        </w:rPr>
      </w:pPr>
    </w:p>
    <w:p w14:paraId="3C4CCE74" w14:textId="475335C7" w:rsidR="007E2FA7" w:rsidRPr="00555C03" w:rsidRDefault="00212125" w:rsidP="00555C03">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555C03">
        <w:rPr>
          <w:rFonts w:ascii="Tahoma" w:hAnsi="Tahoma" w:cs="Tahoma"/>
          <w:b/>
          <w:bCs/>
          <w:lang w:val="es-CO"/>
        </w:rPr>
        <w:t>PROCEDENCIA DEL GRADO JURISDICCIONAL DE CONSULTA</w:t>
      </w:r>
    </w:p>
    <w:p w14:paraId="7800F3DC" w14:textId="7F70ECDD" w:rsidR="768D8C29" w:rsidRPr="00555C03" w:rsidRDefault="768D8C29" w:rsidP="00866916">
      <w:pPr>
        <w:widowControl w:val="0"/>
        <w:spacing w:line="276" w:lineRule="auto"/>
        <w:jc w:val="both"/>
        <w:rPr>
          <w:rFonts w:ascii="Tahoma" w:hAnsi="Tahoma" w:cs="Tahoma"/>
          <w:lang w:val="es-CO"/>
        </w:rPr>
      </w:pPr>
    </w:p>
    <w:p w14:paraId="486EEF34" w14:textId="3E11FF13" w:rsidR="00941125" w:rsidRPr="00555C03" w:rsidRDefault="00212125" w:rsidP="00555C03">
      <w:pPr>
        <w:widowControl w:val="0"/>
        <w:autoSpaceDE w:val="0"/>
        <w:autoSpaceDN w:val="0"/>
        <w:adjustRightInd w:val="0"/>
        <w:spacing w:line="276" w:lineRule="auto"/>
        <w:ind w:firstLine="706"/>
        <w:jc w:val="both"/>
        <w:rPr>
          <w:rFonts w:ascii="Tahoma" w:hAnsi="Tahoma" w:cs="Tahoma"/>
          <w:lang w:val="es-CO"/>
        </w:rPr>
      </w:pPr>
      <w:r w:rsidRPr="00555C03">
        <w:rPr>
          <w:rFonts w:ascii="Tahoma" w:hAnsi="Tahoma" w:cs="Tahoma"/>
          <w:lang w:val="es-CO"/>
        </w:rPr>
        <w:t>Como quiera que la decisión fue totalmente adversa a los intereses de la parte actora, se concedió el grado jurisdiccional de consulta ante esta Sala, de conformidad con el artículo 69 CPTSS.</w:t>
      </w:r>
    </w:p>
    <w:p w14:paraId="6623D0DC" w14:textId="77777777" w:rsidR="0088442F" w:rsidRPr="00555C03" w:rsidRDefault="0088442F" w:rsidP="00555C03">
      <w:pPr>
        <w:pStyle w:val="Sinespaciado"/>
        <w:spacing w:line="276" w:lineRule="auto"/>
        <w:rPr>
          <w:rFonts w:ascii="Tahoma" w:hAnsi="Tahoma" w:cs="Tahoma"/>
          <w:lang w:val="es-CO"/>
        </w:rPr>
      </w:pPr>
    </w:p>
    <w:p w14:paraId="63603455" w14:textId="0262F137" w:rsidR="00891C3A" w:rsidRPr="00555C03" w:rsidRDefault="00891C3A" w:rsidP="00555C03">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555C03">
        <w:rPr>
          <w:rFonts w:ascii="Tahoma" w:hAnsi="Tahoma" w:cs="Tahoma"/>
          <w:b/>
          <w:bCs/>
          <w:lang w:val="es-CO"/>
        </w:rPr>
        <w:t>ALEGATOS DE CONCLUSIÓN/ CONCEPTO DEL MINISTERIO PÚBLICO</w:t>
      </w:r>
    </w:p>
    <w:p w14:paraId="1DD99D86" w14:textId="77777777" w:rsidR="00AA0F11" w:rsidRPr="00555C03" w:rsidRDefault="00AA0F11" w:rsidP="00555C03">
      <w:pPr>
        <w:pStyle w:val="Sinespaciado"/>
        <w:spacing w:line="276" w:lineRule="auto"/>
        <w:rPr>
          <w:rStyle w:val="normaltextrun"/>
          <w:rFonts w:ascii="Tahoma" w:hAnsi="Tahoma" w:cs="Tahoma"/>
          <w:color w:val="000000"/>
        </w:rPr>
      </w:pPr>
    </w:p>
    <w:p w14:paraId="19702864" w14:textId="69DF4EAB" w:rsidR="00941125" w:rsidRPr="00555C03" w:rsidRDefault="00AA0F11" w:rsidP="00555C03">
      <w:pPr>
        <w:spacing w:line="276" w:lineRule="auto"/>
        <w:ind w:firstLine="708"/>
        <w:jc w:val="both"/>
        <w:rPr>
          <w:rStyle w:val="normaltextrun"/>
          <w:rFonts w:ascii="Tahoma" w:hAnsi="Tahoma" w:cs="Tahoma"/>
          <w:color w:val="000000"/>
        </w:rPr>
      </w:pPr>
      <w:r w:rsidRPr="00555C03">
        <w:rPr>
          <w:rStyle w:val="normaltextrun"/>
          <w:rFonts w:ascii="Tahoma" w:hAnsi="Tahoma" w:cs="Tahoma"/>
          <w:color w:val="000000" w:themeColor="text1"/>
        </w:rPr>
        <w:t xml:space="preserve">Analizados los alegatos presentados </w:t>
      </w:r>
      <w:r w:rsidR="00CC29B3" w:rsidRPr="00555C03">
        <w:rPr>
          <w:rStyle w:val="normaltextrun"/>
          <w:rFonts w:ascii="Tahoma" w:hAnsi="Tahoma" w:cs="Tahoma"/>
          <w:color w:val="000000" w:themeColor="text1"/>
        </w:rPr>
        <w:t xml:space="preserve">por </w:t>
      </w:r>
      <w:r w:rsidR="00370918" w:rsidRPr="00555C03">
        <w:rPr>
          <w:rStyle w:val="normaltextrun"/>
          <w:rFonts w:ascii="Tahoma" w:hAnsi="Tahoma" w:cs="Tahoma"/>
          <w:color w:val="000000" w:themeColor="text1"/>
        </w:rPr>
        <w:t>las partes</w:t>
      </w:r>
      <w:r w:rsidRPr="00555C03">
        <w:rPr>
          <w:rStyle w:val="normaltextrun"/>
          <w:rFonts w:ascii="Tahoma" w:hAnsi="Tahoma" w:cs="Tahoma"/>
          <w:color w:val="000000" w:themeColor="text1"/>
        </w:rPr>
        <w:t>, mismos que obran en el expediente digital y a los cuales nos remitimos por economía procesal en virtud del artículo 280 del C.G.P., la Sala encuentra que los</w:t>
      </w:r>
      <w:r w:rsidR="001073B1" w:rsidRPr="00555C03">
        <w:rPr>
          <w:rStyle w:val="normaltextrun"/>
          <w:rFonts w:ascii="Tahoma" w:hAnsi="Tahoma" w:cs="Tahoma"/>
          <w:color w:val="000000" w:themeColor="text1"/>
        </w:rPr>
        <w:t xml:space="preserve"> </w:t>
      </w:r>
      <w:r w:rsidRPr="00555C03">
        <w:rPr>
          <w:rStyle w:val="normaltextrun"/>
          <w:rFonts w:ascii="Tahoma" w:hAnsi="Tahoma" w:cs="Tahoma"/>
          <w:color w:val="000000" w:themeColor="text1"/>
        </w:rPr>
        <w:t xml:space="preserve">argumentos fácticos y jurídicos expresados concuerdan con los puntos objeto de discusión en esta instancia y se relacionan con los problemas jurídicos que se expresan a continuación.  </w:t>
      </w:r>
    </w:p>
    <w:p w14:paraId="1BE4D79B" w14:textId="77777777" w:rsidR="0088442F" w:rsidRPr="00555C03" w:rsidRDefault="0088442F" w:rsidP="00555C03">
      <w:pPr>
        <w:pStyle w:val="Sinespaciado"/>
        <w:spacing w:line="276" w:lineRule="auto"/>
        <w:rPr>
          <w:rFonts w:ascii="Tahoma" w:hAnsi="Tahoma" w:cs="Tahoma"/>
        </w:rPr>
      </w:pPr>
    </w:p>
    <w:p w14:paraId="62F3537C" w14:textId="77777777" w:rsidR="00197F4F" w:rsidRPr="00555C03" w:rsidRDefault="00197F4F" w:rsidP="00555C03">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555C03">
        <w:rPr>
          <w:rFonts w:ascii="Tahoma" w:hAnsi="Tahoma" w:cs="Tahoma"/>
          <w:b/>
          <w:caps/>
        </w:rPr>
        <w:t>Problema jurídico por resolver</w:t>
      </w:r>
    </w:p>
    <w:p w14:paraId="4222A69B" w14:textId="77777777" w:rsidR="00941125" w:rsidRPr="00555C03" w:rsidRDefault="00941125" w:rsidP="00555C03">
      <w:pPr>
        <w:spacing w:line="276" w:lineRule="auto"/>
        <w:jc w:val="both"/>
        <w:rPr>
          <w:rFonts w:ascii="Tahoma" w:hAnsi="Tahoma" w:cs="Tahoma"/>
        </w:rPr>
      </w:pPr>
    </w:p>
    <w:p w14:paraId="6DF82435" w14:textId="41EE21CE" w:rsidR="00223C6E" w:rsidRPr="00555C03" w:rsidRDefault="00223C6E" w:rsidP="00866916">
      <w:pPr>
        <w:pStyle w:val="Prrafodelista"/>
        <w:widowControl w:val="0"/>
        <w:numPr>
          <w:ilvl w:val="0"/>
          <w:numId w:val="15"/>
        </w:numPr>
        <w:autoSpaceDE w:val="0"/>
        <w:autoSpaceDN w:val="0"/>
        <w:adjustRightInd w:val="0"/>
        <w:spacing w:line="276" w:lineRule="auto"/>
        <w:ind w:left="709" w:right="420"/>
        <w:jc w:val="both"/>
        <w:rPr>
          <w:rFonts w:ascii="Tahoma" w:hAnsi="Tahoma" w:cs="Tahoma"/>
          <w:lang w:val="es-CO"/>
        </w:rPr>
      </w:pPr>
      <w:r w:rsidRPr="00555C03">
        <w:rPr>
          <w:rFonts w:ascii="Tahoma" w:hAnsi="Tahoma" w:cs="Tahoma"/>
          <w:lang w:val="es-CO"/>
        </w:rPr>
        <w:lastRenderedPageBreak/>
        <w:t xml:space="preserve">¿Dejó causada con su deceso la pensión de sobrevivientes a favor de sus beneficiarios el señor Víctor Manuel Romero González?     </w:t>
      </w:r>
    </w:p>
    <w:p w14:paraId="6391EC94" w14:textId="60EFB9A5" w:rsidR="00223C6E" w:rsidRPr="00555C03" w:rsidRDefault="00223C6E" w:rsidP="00866916">
      <w:pPr>
        <w:widowControl w:val="0"/>
        <w:autoSpaceDE w:val="0"/>
        <w:autoSpaceDN w:val="0"/>
        <w:adjustRightInd w:val="0"/>
        <w:spacing w:line="276" w:lineRule="auto"/>
        <w:ind w:left="709" w:right="420"/>
        <w:jc w:val="both"/>
        <w:rPr>
          <w:rFonts w:ascii="Tahoma" w:hAnsi="Tahoma" w:cs="Tahoma"/>
          <w:lang w:val="es-CO"/>
        </w:rPr>
      </w:pPr>
    </w:p>
    <w:p w14:paraId="702DD62F" w14:textId="0FA1EC87" w:rsidR="00223C6E" w:rsidRPr="00555C03" w:rsidRDefault="00223C6E" w:rsidP="00866916">
      <w:pPr>
        <w:pStyle w:val="Prrafodelista"/>
        <w:widowControl w:val="0"/>
        <w:numPr>
          <w:ilvl w:val="0"/>
          <w:numId w:val="15"/>
        </w:numPr>
        <w:autoSpaceDE w:val="0"/>
        <w:autoSpaceDN w:val="0"/>
        <w:adjustRightInd w:val="0"/>
        <w:spacing w:line="276" w:lineRule="auto"/>
        <w:ind w:left="709" w:right="420"/>
        <w:jc w:val="both"/>
        <w:rPr>
          <w:rFonts w:ascii="Tahoma" w:hAnsi="Tahoma" w:cs="Tahoma"/>
          <w:lang w:val="es-CO"/>
        </w:rPr>
      </w:pPr>
      <w:r w:rsidRPr="00555C03">
        <w:rPr>
          <w:rFonts w:ascii="Tahoma" w:hAnsi="Tahoma" w:cs="Tahoma"/>
          <w:lang w:val="es-CO"/>
        </w:rPr>
        <w:t>De conformidad con la respuesta al interrogante anterior ¿hay lugar a acceder a las pretensiones elevadas por la demandante</w:t>
      </w:r>
      <w:r w:rsidR="2C9408E7" w:rsidRPr="00555C03">
        <w:rPr>
          <w:rFonts w:ascii="Tahoma" w:hAnsi="Tahoma" w:cs="Tahoma"/>
          <w:lang w:val="es-CO"/>
        </w:rPr>
        <w:t>, aplicando el principio de condición más beneficiosa</w:t>
      </w:r>
      <w:r w:rsidRPr="00555C03">
        <w:rPr>
          <w:rFonts w:ascii="Tahoma" w:hAnsi="Tahoma" w:cs="Tahoma"/>
          <w:lang w:val="es-CO"/>
        </w:rPr>
        <w:t xml:space="preserve">?    </w:t>
      </w:r>
    </w:p>
    <w:p w14:paraId="76096936" w14:textId="1BBAE8C8" w:rsidR="768D8C29" w:rsidRPr="00555C03" w:rsidRDefault="768D8C29" w:rsidP="00555C03">
      <w:pPr>
        <w:pStyle w:val="Sinespaciado"/>
        <w:spacing w:line="276" w:lineRule="auto"/>
        <w:rPr>
          <w:rFonts w:ascii="Tahoma" w:hAnsi="Tahoma" w:cs="Tahoma"/>
        </w:rPr>
      </w:pPr>
    </w:p>
    <w:p w14:paraId="1DFC596C" w14:textId="632B9CD5" w:rsidR="003A3BBB" w:rsidRPr="00555C03" w:rsidRDefault="003A3BBB" w:rsidP="00555C03">
      <w:pPr>
        <w:widowControl w:val="0"/>
        <w:numPr>
          <w:ilvl w:val="0"/>
          <w:numId w:val="3"/>
        </w:numPr>
        <w:autoSpaceDE w:val="0"/>
        <w:autoSpaceDN w:val="0"/>
        <w:adjustRightInd w:val="0"/>
        <w:spacing w:line="276" w:lineRule="auto"/>
        <w:ind w:left="522" w:hanging="522"/>
        <w:jc w:val="center"/>
        <w:rPr>
          <w:rFonts w:ascii="Tahoma" w:hAnsi="Tahoma" w:cs="Tahoma"/>
          <w:b/>
          <w:caps/>
        </w:rPr>
      </w:pPr>
      <w:r w:rsidRPr="00555C03">
        <w:rPr>
          <w:rFonts w:ascii="Tahoma" w:hAnsi="Tahoma" w:cs="Tahoma"/>
          <w:b/>
          <w:caps/>
        </w:rPr>
        <w:t>Consideraciones</w:t>
      </w:r>
    </w:p>
    <w:p w14:paraId="5489FE51" w14:textId="77777777" w:rsidR="00083552" w:rsidRPr="00555C03" w:rsidRDefault="00083552" w:rsidP="00555C03">
      <w:pPr>
        <w:pStyle w:val="Sinespaciado"/>
        <w:spacing w:line="276" w:lineRule="auto"/>
        <w:rPr>
          <w:rFonts w:ascii="Tahoma" w:hAnsi="Tahoma" w:cs="Tahoma"/>
        </w:rPr>
      </w:pPr>
    </w:p>
    <w:p w14:paraId="30B87AA3" w14:textId="77777777" w:rsidR="00223C6E" w:rsidRPr="00555C03" w:rsidRDefault="00223C6E" w:rsidP="00555C03">
      <w:pPr>
        <w:pStyle w:val="Prrafodelista"/>
        <w:widowControl w:val="0"/>
        <w:numPr>
          <w:ilvl w:val="1"/>
          <w:numId w:val="16"/>
        </w:numPr>
        <w:autoSpaceDE w:val="0"/>
        <w:autoSpaceDN w:val="0"/>
        <w:adjustRightInd w:val="0"/>
        <w:spacing w:line="276" w:lineRule="auto"/>
        <w:jc w:val="both"/>
        <w:rPr>
          <w:rFonts w:ascii="Tahoma" w:hAnsi="Tahoma" w:cs="Tahoma"/>
          <w:b/>
          <w:caps/>
        </w:rPr>
      </w:pPr>
      <w:bookmarkStart w:id="3" w:name="_Hlk95812282"/>
      <w:r w:rsidRPr="00555C03">
        <w:rPr>
          <w:rFonts w:ascii="Tahoma" w:hAnsi="Tahoma" w:cs="Tahoma"/>
          <w:b/>
        </w:rPr>
        <w:t>Pensión de sobreviviente con aplicación del principio de la condición más beneficiosa – Acuerdo 049 de 1990-</w:t>
      </w:r>
    </w:p>
    <w:p w14:paraId="30459BE7" w14:textId="77777777" w:rsidR="00223C6E" w:rsidRPr="00555C03" w:rsidRDefault="00223C6E" w:rsidP="00555C03">
      <w:pPr>
        <w:pStyle w:val="Sinespaciado"/>
        <w:spacing w:line="276" w:lineRule="auto"/>
        <w:rPr>
          <w:rFonts w:ascii="Tahoma" w:hAnsi="Tahoma" w:cs="Tahoma"/>
        </w:rPr>
      </w:pPr>
    </w:p>
    <w:p w14:paraId="797ABAD7" w14:textId="77777777" w:rsidR="00223C6E" w:rsidRPr="00555C03" w:rsidRDefault="00223C6E"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 xml:space="preserve">Es sabido que la normatividad aplicable a la pensión de sobrevivientes es la legislación vigente al momento del fallecimiento del afiliado, no obstante, por excepción es posible acudir a la normatividad anterior con el fin de determinar la concesión o no de la gracia pensional en aplicación del </w:t>
      </w:r>
      <w:r w:rsidRPr="00555C03">
        <w:rPr>
          <w:rFonts w:ascii="Tahoma" w:hAnsi="Tahoma" w:cs="Tahoma"/>
          <w:i/>
        </w:rPr>
        <w:t>“Principio de la condición más beneficiosa</w:t>
      </w:r>
      <w:r w:rsidRPr="00555C03">
        <w:rPr>
          <w:rFonts w:ascii="Tahoma" w:hAnsi="Tahoma" w:cs="Tahoma"/>
        </w:rPr>
        <w:t xml:space="preserve">”, siempre y cuando el causante o el afiliado, según se trate de pensión de sobrevivencia o pensión de invalidez, haya acumulado el número mínimo de semanas para causar el derecho conforme a las regulaciones previas a la norma vigente a la fecha del fallecimiento o la estructuración de la invalidez, según el caso.  </w:t>
      </w:r>
    </w:p>
    <w:p w14:paraId="745EC6B5" w14:textId="77777777" w:rsidR="00223C6E" w:rsidRPr="00555C03" w:rsidRDefault="00223C6E" w:rsidP="00555C03">
      <w:pPr>
        <w:pStyle w:val="Sinespaciado"/>
        <w:spacing w:line="276" w:lineRule="auto"/>
        <w:rPr>
          <w:rFonts w:ascii="Tahoma" w:hAnsi="Tahoma" w:cs="Tahoma"/>
        </w:rPr>
      </w:pPr>
    </w:p>
    <w:p w14:paraId="72FA10A7" w14:textId="77777777" w:rsidR="00223C6E" w:rsidRPr="00555C03" w:rsidRDefault="00223C6E" w:rsidP="00555C03">
      <w:pPr>
        <w:widowControl w:val="0"/>
        <w:autoSpaceDE w:val="0"/>
        <w:autoSpaceDN w:val="0"/>
        <w:adjustRightInd w:val="0"/>
        <w:spacing w:line="276" w:lineRule="auto"/>
        <w:ind w:firstLine="708"/>
        <w:jc w:val="both"/>
        <w:rPr>
          <w:rFonts w:ascii="Tahoma" w:hAnsi="Tahoma" w:cs="Tahoma"/>
          <w:i/>
          <w:spacing w:val="-2"/>
        </w:rPr>
      </w:pPr>
      <w:r w:rsidRPr="00555C03">
        <w:rPr>
          <w:rFonts w:ascii="Tahoma" w:hAnsi="Tahoma" w:cs="Tahoma"/>
        </w:rPr>
        <w:t xml:space="preserve">Atendiendo la interpretación que tuvo la Corte Constitucional sobre la materia, la cual resulta más favorable para el beneficiario, es posible el salto de la Ley 797 de 2003 al Acuerdo 049 de 1990, en la medida en que </w:t>
      </w:r>
      <w:r w:rsidRPr="00555C03">
        <w:rPr>
          <w:rFonts w:ascii="Tahoma" w:hAnsi="Tahoma" w:cs="Tahoma"/>
          <w:spacing w:val="-2"/>
        </w:rPr>
        <w:t xml:space="preserve">el artículo 53 de la Constitución no restringe la aplicación de la condición más beneficiosa a sólo dos normas aplicables al caso. En ese sentido, el presente asunto puede analizarse a la luz del aludido acuerdo, que si bien no es la norma inmediatamente anterior, se acompasa al precedente del Tribunal Constitucional, quien a través de la sentencia SU-442 del 18 de agosto de 2016 </w:t>
      </w:r>
      <w:r w:rsidRPr="00555C03">
        <w:rPr>
          <w:rFonts w:ascii="Tahoma" w:hAnsi="Tahoma" w:cs="Tahoma"/>
          <w:i/>
          <w:spacing w:val="-2"/>
        </w:rPr>
        <w:t>–en la que se analizó una pensión de invalidez-</w:t>
      </w:r>
      <w:r w:rsidRPr="00555C03">
        <w:rPr>
          <w:rFonts w:ascii="Tahoma" w:hAnsi="Tahoma" w:cs="Tahoma"/>
          <w:spacing w:val="-2"/>
        </w:rPr>
        <w:t xml:space="preserve">, unificó los criterios en relación con la aplicación de principio en comento, reiterando los precedentes anteriores y precisando que </w:t>
      </w:r>
      <w:r w:rsidRPr="00555C03">
        <w:rPr>
          <w:rFonts w:ascii="Tahoma" w:hAnsi="Tahoma" w:cs="Tahoma"/>
          <w:i/>
          <w:spacing w:val="-2"/>
        </w:rPr>
        <w:t>“</w:t>
      </w:r>
      <w:r w:rsidRPr="00D90B42">
        <w:rPr>
          <w:rFonts w:ascii="Tahoma" w:hAnsi="Tahoma" w:cs="Tahoma"/>
          <w:i/>
          <w:spacing w:val="-2"/>
          <w:sz w:val="22"/>
        </w:rPr>
        <w:t>Si bien el legislador podía introducir ajustes o incluso reformas estructurales al sistema pensional, debía hacerlo en un marco de respeto por los derechos adquiridos y las expectativas legítimas</w:t>
      </w:r>
      <w:r w:rsidRPr="00555C03">
        <w:rPr>
          <w:rFonts w:ascii="Tahoma" w:hAnsi="Tahoma" w:cs="Tahoma"/>
          <w:i/>
          <w:spacing w:val="-2"/>
        </w:rPr>
        <w:t>”</w:t>
      </w:r>
      <w:r w:rsidRPr="00555C03">
        <w:rPr>
          <w:rFonts w:ascii="Tahoma" w:hAnsi="Tahoma" w:cs="Tahoma"/>
          <w:spacing w:val="-2"/>
        </w:rPr>
        <w:t xml:space="preserve"> y que, en vista de que la ley no contempló un régimen de transición que garantizara las pensiones de invalidez, debía preservarse para quien cumplió oportunamente uno de los requisitos relevantes para pensionarse, el derecho a que ese aspecto no le fuera cambiado drásticamente, en la medida en que resultara beneficioso para su seguridad social. Resaltó igualmente que el accionante en dicha acción aportó un total de 653 semanas en su historia laboral, por lo cual “</w:t>
      </w:r>
      <w:r w:rsidRPr="00D90B42">
        <w:rPr>
          <w:rFonts w:ascii="Tahoma" w:hAnsi="Tahoma" w:cs="Tahoma"/>
          <w:i/>
          <w:spacing w:val="-2"/>
          <w:sz w:val="22"/>
        </w:rPr>
        <w:t>no puede hablarse de un detrimento para la sostenibilidad financiera del sistema pensional</w:t>
      </w:r>
      <w:r w:rsidRPr="00555C03">
        <w:rPr>
          <w:rFonts w:ascii="Tahoma" w:hAnsi="Tahoma" w:cs="Tahoma"/>
          <w:i/>
          <w:spacing w:val="-2"/>
        </w:rPr>
        <w:t>”.</w:t>
      </w:r>
    </w:p>
    <w:p w14:paraId="7E5DBD17" w14:textId="77777777" w:rsidR="00223C6E" w:rsidRPr="00555C03" w:rsidRDefault="00223C6E" w:rsidP="00555C03">
      <w:pPr>
        <w:pStyle w:val="Sinespaciado"/>
        <w:spacing w:line="276" w:lineRule="auto"/>
        <w:rPr>
          <w:rFonts w:ascii="Tahoma" w:hAnsi="Tahoma" w:cs="Tahoma"/>
        </w:rPr>
      </w:pPr>
    </w:p>
    <w:p w14:paraId="6D2C273F" w14:textId="1076E81E" w:rsidR="00223C6E" w:rsidRPr="00555C03" w:rsidRDefault="00223C6E" w:rsidP="00555C03">
      <w:pPr>
        <w:spacing w:line="276" w:lineRule="auto"/>
        <w:ind w:firstLine="709"/>
        <w:jc w:val="both"/>
        <w:rPr>
          <w:rFonts w:ascii="Tahoma" w:eastAsia="Tahoma" w:hAnsi="Tahoma" w:cs="Tahoma"/>
          <w:color w:val="000000"/>
        </w:rPr>
      </w:pPr>
      <w:r w:rsidRPr="00555C03">
        <w:rPr>
          <w:rFonts w:ascii="Tahoma" w:eastAsia="Tahoma" w:hAnsi="Tahoma" w:cs="Tahoma"/>
          <w:color w:val="000000"/>
        </w:rPr>
        <w:t>Sin embargo, en sentencia SU-005 de 2018, la Corte Constitucional modificó su precedente y condicionó la procedencia de la acción de tutela para conceder la pensión de sobrevivientes consagrada en el Acuerdo 049 de 1990, en aplicación del principio de la condición más beneficiosa, siempre que se evidencie que:</w:t>
      </w:r>
      <w:r w:rsidRPr="00555C03">
        <w:rPr>
          <w:rFonts w:ascii="Tahoma" w:eastAsia="Tahoma" w:hAnsi="Tahoma" w:cs="Tahoma"/>
          <w:i/>
          <w:iCs/>
          <w:color w:val="000000"/>
        </w:rPr>
        <w:t xml:space="preserve"> i) el accionante pertenece a un grupo de especial protección constitucional o se encuentra en uno o varios supuestos de riesgo tales como analfabetismo, vejez, enfermedad, pobreza </w:t>
      </w:r>
      <w:r w:rsidRPr="00555C03">
        <w:rPr>
          <w:rFonts w:ascii="Tahoma" w:eastAsia="Tahoma" w:hAnsi="Tahoma" w:cs="Tahoma"/>
          <w:i/>
          <w:iCs/>
          <w:color w:val="000000"/>
        </w:rPr>
        <w:lastRenderedPageBreak/>
        <w:t xml:space="preserve">extrema, cabeza de familia o desplazamiento; ii) que el no reconocimiento de la prestación afecta su mínimo vital; iii) la dependencia económica hacia el causante; iv) la imposibilidad del causante de cotizar las semanas exigidas en el sistema de pensiones y, v) la actuación diligente del accionante para reclamar la pensión administrativa y judicialmente. </w:t>
      </w:r>
      <w:r w:rsidRPr="00555C03">
        <w:rPr>
          <w:rFonts w:ascii="Tahoma" w:eastAsia="Tahoma" w:hAnsi="Tahoma" w:cs="Tahoma"/>
          <w:iCs/>
          <w:color w:val="000000"/>
        </w:rPr>
        <w:t xml:space="preserve">Esta sentencia tuvo tres importantes salvamentos de voto que estuvieron en desacuerdo con la </w:t>
      </w:r>
      <w:r w:rsidRPr="00555C03">
        <w:rPr>
          <w:rFonts w:ascii="Tahoma" w:hAnsi="Tahoma" w:cs="Tahoma"/>
        </w:rPr>
        <w:t>nueva postura, la cual, según explican, constituye un cambio de tal magnitud que limita y contradice la postura pacífica que se venía sosteniendo de tiempo atrás</w:t>
      </w:r>
      <w:r w:rsidRPr="00555C03">
        <w:rPr>
          <w:rFonts w:ascii="Tahoma" w:eastAsia="Tahoma" w:hAnsi="Tahoma" w:cs="Tahoma"/>
          <w:iCs/>
          <w:color w:val="000000"/>
        </w:rPr>
        <w:t>.</w:t>
      </w:r>
    </w:p>
    <w:p w14:paraId="51EA7A85" w14:textId="77777777" w:rsidR="00223C6E" w:rsidRPr="00555C03" w:rsidRDefault="00223C6E" w:rsidP="00555C03">
      <w:pPr>
        <w:pStyle w:val="Sinespaciado"/>
        <w:spacing w:line="276" w:lineRule="auto"/>
        <w:rPr>
          <w:rFonts w:ascii="Tahoma" w:hAnsi="Tahoma" w:cs="Tahoma"/>
        </w:rPr>
      </w:pPr>
    </w:p>
    <w:p w14:paraId="2B6B2A0B" w14:textId="77777777" w:rsidR="00223C6E" w:rsidRPr="00555C03" w:rsidRDefault="00223C6E" w:rsidP="00555C03">
      <w:pPr>
        <w:overflowPunct w:val="0"/>
        <w:autoSpaceDE w:val="0"/>
        <w:autoSpaceDN w:val="0"/>
        <w:adjustRightInd w:val="0"/>
        <w:spacing w:line="276" w:lineRule="auto"/>
        <w:ind w:right="193" w:firstLine="709"/>
        <w:jc w:val="both"/>
        <w:textAlignment w:val="baseline"/>
        <w:rPr>
          <w:rFonts w:ascii="Tahoma" w:hAnsi="Tahoma" w:cs="Tahoma"/>
        </w:rPr>
      </w:pPr>
      <w:r w:rsidRPr="00555C03">
        <w:rPr>
          <w:rFonts w:ascii="Tahoma" w:hAnsi="Tahoma" w:cs="Tahoma"/>
        </w:rPr>
        <w:t xml:space="preserve">Por su parte, la Sala de Casación Civil de la Corte Suprema de Justicia también avaló la aplicación del principio de condición más beneficiosa acudiendo a una norma pretérita que no necesariamente es la inmediatamente anterior. Así lo sostuvo en la sentencia de tutela del 20 de noviembre de 2020, STC10214-2020, M.P. Francisco Ternera Barrios, en la que revocó el fallo de tutela proferido en primera instancia por su homóloga de la especialidad Penal, resaltando que era factible acudir al contenido del Acuerdo 049 de 1990 en aquellos casos en los que el siniestro ocurrió en vigencia de la Ley 797 de 2003 pero se contaba con la densidad de semanas exigidas por dicho acuerdo; ello en aplicación del precedente sentado por la Corte Constitucional frente al principio de la condición más beneficiosa. En estos términos se pronunció el Alto Tribunal: </w:t>
      </w:r>
    </w:p>
    <w:p w14:paraId="4938A6C9" w14:textId="77777777" w:rsidR="00223C6E" w:rsidRPr="00555C03" w:rsidRDefault="00223C6E" w:rsidP="00555C03">
      <w:pPr>
        <w:pStyle w:val="Sinespaciado"/>
        <w:spacing w:line="276" w:lineRule="auto"/>
        <w:rPr>
          <w:rFonts w:ascii="Tahoma" w:hAnsi="Tahoma" w:cs="Tahoma"/>
        </w:rPr>
      </w:pPr>
    </w:p>
    <w:p w14:paraId="1D634F1A"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xml:space="preserve">“Conforme a lo anterior, se tiene que para el reconocimiento de la pensión de sobrevivientes por muerte de origen común proceda, el beneficiario del asegurado debe acreditar que el causante haya cotizado 300 semanas al sistema de pensión y, de conformidad con lo establecido en los precedentes emitidos por la Corte Constitucional, éstas se hubiesen realizado en su totalidad, con antelación a la vigencia de la Ley 100 de 1993. </w:t>
      </w:r>
    </w:p>
    <w:p w14:paraId="05DE695F" w14:textId="77777777" w:rsidR="00223C6E" w:rsidRPr="00D90B42" w:rsidRDefault="00223C6E" w:rsidP="00D90B42">
      <w:pPr>
        <w:pStyle w:val="Sinespaciado"/>
        <w:ind w:left="426" w:right="420"/>
        <w:rPr>
          <w:rFonts w:ascii="Tahoma" w:hAnsi="Tahoma" w:cs="Tahoma"/>
          <w:sz w:val="22"/>
        </w:rPr>
      </w:pPr>
    </w:p>
    <w:p w14:paraId="407D1B95"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Así, de cara al caso concreto, se tiene que tales presupuestos se encuentran satisfechos, ya que el señor José Julián Rojas Sánchez, compañero permanente de la hoy reclamante, había cotizado un total de 300.99</w:t>
      </w:r>
      <w:r w:rsidRPr="00D90B42">
        <w:rPr>
          <w:rFonts w:ascii="Tahoma" w:hAnsi="Tahoma" w:cs="Tahoma"/>
          <w:i/>
          <w:sz w:val="22"/>
          <w:vertAlign w:val="superscript"/>
        </w:rPr>
        <w:footnoteReference w:id="2"/>
      </w:r>
      <w:r w:rsidRPr="00D90B42">
        <w:rPr>
          <w:rFonts w:ascii="Tahoma" w:hAnsi="Tahoma" w:cs="Tahoma"/>
          <w:i/>
          <w:sz w:val="22"/>
        </w:rPr>
        <w:t xml:space="preserve"> semanas en vigor del acuerdo 049 de 1990, de manera que, estando vigente ese régimen, a su patrimonio ingresó el derecho a la aplicación de ese sistema, por lo cual la nueva ley no podía menoscabar el derecho válidamente adquirido por el trabajador. Resulta incuestionable, que la Ley 797 de 2003 al momento del fallecimiento del señor Rojas era desfavorable para los intereses de la promotora. No obstante, resulta aplicable por el Acuerdo 049 de 1990 aprobado por el Decreto 758 de 1990, en atención al principio de la condición más beneficiosa, pues el causante, al momento de la vigencia de esa disposición, contaba con una densidad superior a 300 semanas cotizadas, cumpliendo con la exigencia pecuniaria o temporal establecida en ese instante.”</w:t>
      </w:r>
    </w:p>
    <w:p w14:paraId="1A97F434" w14:textId="77777777" w:rsidR="00223C6E" w:rsidRPr="00555C03" w:rsidRDefault="00223C6E" w:rsidP="00555C03">
      <w:pPr>
        <w:pStyle w:val="Sinespaciado"/>
        <w:spacing w:line="276" w:lineRule="auto"/>
        <w:rPr>
          <w:rFonts w:ascii="Tahoma" w:hAnsi="Tahoma" w:cs="Tahoma"/>
        </w:rPr>
      </w:pPr>
      <w:r w:rsidRPr="00555C03">
        <w:rPr>
          <w:rFonts w:ascii="Tahoma" w:hAnsi="Tahoma" w:cs="Tahoma"/>
        </w:rPr>
        <w:tab/>
      </w:r>
    </w:p>
    <w:p w14:paraId="528036E5" w14:textId="77777777" w:rsidR="00223C6E" w:rsidRPr="00555C03" w:rsidRDefault="00223C6E" w:rsidP="00555C03">
      <w:pPr>
        <w:overflowPunct w:val="0"/>
        <w:autoSpaceDE w:val="0"/>
        <w:autoSpaceDN w:val="0"/>
        <w:adjustRightInd w:val="0"/>
        <w:spacing w:line="276" w:lineRule="auto"/>
        <w:ind w:right="193" w:firstLine="708"/>
        <w:jc w:val="both"/>
        <w:textAlignment w:val="baseline"/>
        <w:rPr>
          <w:rFonts w:ascii="Tahoma" w:hAnsi="Tahoma" w:cs="Tahoma"/>
        </w:rPr>
      </w:pPr>
      <w:r w:rsidRPr="00555C03">
        <w:rPr>
          <w:rFonts w:ascii="Tahoma" w:hAnsi="Tahoma" w:cs="Tahoma"/>
        </w:rPr>
        <w:t xml:space="preserve">Como pilar fundamental de la providencia en comento, la Corte Suprema se refirió al principio de </w:t>
      </w:r>
      <w:r w:rsidRPr="00555C03">
        <w:rPr>
          <w:rFonts w:ascii="Tahoma" w:hAnsi="Tahoma" w:cs="Tahoma"/>
          <w:b/>
          <w:i/>
        </w:rPr>
        <w:t>In dubio Pro Operario</w:t>
      </w:r>
      <w:r w:rsidRPr="00555C03">
        <w:rPr>
          <w:rFonts w:ascii="Tahoma" w:hAnsi="Tahoma" w:cs="Tahoma"/>
        </w:rPr>
        <w:t xml:space="preserve"> en los siguientes términos:</w:t>
      </w:r>
    </w:p>
    <w:p w14:paraId="1BC6DE63" w14:textId="77777777" w:rsidR="00223C6E" w:rsidRPr="00555C03" w:rsidRDefault="00223C6E" w:rsidP="00555C03">
      <w:pPr>
        <w:pStyle w:val="Sinespaciado"/>
        <w:spacing w:line="276" w:lineRule="auto"/>
        <w:rPr>
          <w:rFonts w:ascii="Tahoma" w:hAnsi="Tahoma" w:cs="Tahoma"/>
        </w:rPr>
      </w:pPr>
    </w:p>
    <w:p w14:paraId="374E44B9"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“Igualmente, la jurisprudencia constitucional también ha consignado que el juzgador ordinario debe efectuar la exegesis más garantista en esta temática, de acuerdo con el postulado universal del «in dubio pro operario», en efecto, precisó que:</w:t>
      </w:r>
    </w:p>
    <w:p w14:paraId="50AF2EFE"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p>
    <w:p w14:paraId="6BAAB28B" w14:textId="77777777" w:rsidR="00223C6E" w:rsidRPr="00D90B42" w:rsidRDefault="00223C6E" w:rsidP="00D90B42">
      <w:pPr>
        <w:overflowPunct w:val="0"/>
        <w:autoSpaceDE w:val="0"/>
        <w:autoSpaceDN w:val="0"/>
        <w:adjustRightInd w:val="0"/>
        <w:ind w:left="851" w:right="845"/>
        <w:jc w:val="both"/>
        <w:textAlignment w:val="baseline"/>
        <w:rPr>
          <w:rFonts w:ascii="Tahoma" w:hAnsi="Tahoma" w:cs="Tahoma"/>
          <w:i/>
          <w:sz w:val="22"/>
        </w:rPr>
      </w:pPr>
      <w:r w:rsidRPr="00D90B42">
        <w:rPr>
          <w:rFonts w:ascii="Tahoma" w:hAnsi="Tahoma" w:cs="Tahoma"/>
          <w:i/>
          <w:sz w:val="22"/>
        </w:rPr>
        <w:lastRenderedPageBreak/>
        <w:t>…pueden surgir dudas sobre el alcance de la condición más beneficiosa como extensión del principio de favorabilidad, en particular si se le interpreta de manera conjunta con otros principios constitucionales y legales. Así, por un lado, en virtud de los principios de legalidad de la legislación laboral y de seguridad jurídica, podría argumentarse que el mencionado principio de favorabilidad en su extensión a la condición más beneficiosa debe limitar su aplicación en el tiempo solo a la norma inmediatamente anterior a la vigente al momento de causarse la pensión. Pero también, con fundamento en otros principios constitucionales como el respeto de la confianza legítima, solidaridad y buena fe (artículos 58 y 83 de la Constitución), puede entenderse que el alcance del principio de favorabilidad en la condición más beneficiosa no limita su aplicación en el tiempo a la norma inmediatamente anterior a la vigente al momento de causación de la pensión de sobrevivientes, esto es, el régimen legal vigente al momento de la muerte del causante (…)”.</w:t>
      </w:r>
    </w:p>
    <w:p w14:paraId="0E906A65" w14:textId="77777777" w:rsidR="00223C6E" w:rsidRPr="00D90B42" w:rsidRDefault="00223C6E" w:rsidP="00D90B42">
      <w:pPr>
        <w:overflowPunct w:val="0"/>
        <w:autoSpaceDE w:val="0"/>
        <w:autoSpaceDN w:val="0"/>
        <w:adjustRightInd w:val="0"/>
        <w:ind w:left="851" w:right="845"/>
        <w:jc w:val="both"/>
        <w:textAlignment w:val="baseline"/>
        <w:rPr>
          <w:rFonts w:ascii="Tahoma" w:hAnsi="Tahoma" w:cs="Tahoma"/>
          <w:i/>
          <w:sz w:val="22"/>
        </w:rPr>
      </w:pPr>
    </w:p>
    <w:p w14:paraId="554E6DBF" w14:textId="77777777" w:rsidR="00223C6E" w:rsidRPr="00D90B42" w:rsidRDefault="00223C6E" w:rsidP="00D90B42">
      <w:pPr>
        <w:overflowPunct w:val="0"/>
        <w:autoSpaceDE w:val="0"/>
        <w:autoSpaceDN w:val="0"/>
        <w:adjustRightInd w:val="0"/>
        <w:ind w:left="851" w:right="845"/>
        <w:jc w:val="both"/>
        <w:textAlignment w:val="baseline"/>
        <w:rPr>
          <w:rFonts w:ascii="Tahoma" w:hAnsi="Tahoma" w:cs="Tahoma"/>
          <w:i/>
          <w:sz w:val="22"/>
        </w:rPr>
      </w:pPr>
      <w:r w:rsidRPr="00D90B42">
        <w:rPr>
          <w:rFonts w:ascii="Tahoma" w:hAnsi="Tahoma" w:cs="Tahoma"/>
          <w:i/>
          <w:sz w:val="22"/>
        </w:rPr>
        <w:t>“(…) Frente a estas dos interpretaciones, una menos restrictiva que la otra, considera la Corte que la interpretación más adecuada frente al principio constitucional de favorabilidad, previsto en el artículo 53 de la Constitución, será aquella que respete la “situación más favorable al trabajador en caso de duda en la aplicación e interpretación de las fuentes formales de derecho”. Como se aprecia, el principio de favorabilidad opera en caso de duda sobre la interpretación de las “fuentes formales del derecho”, las cuales incluyen no solo las normas legales o infralegales, por lo que debe ser tomado en cuenta para determinar el sentido y alcance de las normas laborales de la propia Constitución. Por lo tanto, cuando una norma constitucional admita dos o más interpretaciones razonables, el intérprete debe elegir aquella que sea más favorable al trabajador. De no hacerlo, incurriría en violación directa de la Constitución… (CC T-084/17).</w:t>
      </w:r>
    </w:p>
    <w:p w14:paraId="3CD5160C"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p>
    <w:p w14:paraId="55BBA625"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Así pues, en el presente caso, no se acogió la interpretación más beneficiosa para la accionante, pues su compañero permanente solventó la densidad de tiempo necesaria para ser beneficiario de la prestación pensional conforme a lo establecido en el Acuerdo 049 de 1990, reglamentado por el Decreto 758 del mismo año, razón por la que era incontrovertible la procedencia del derecho deprecado.”</w:t>
      </w:r>
    </w:p>
    <w:p w14:paraId="1AE1C6D7" w14:textId="77777777" w:rsidR="00223C6E" w:rsidRPr="00555C03" w:rsidRDefault="00223C6E" w:rsidP="00555C03">
      <w:pPr>
        <w:spacing w:line="276" w:lineRule="auto"/>
        <w:ind w:firstLine="705"/>
        <w:jc w:val="both"/>
        <w:textAlignment w:val="baseline"/>
        <w:rPr>
          <w:rFonts w:ascii="Tahoma" w:hAnsi="Tahoma" w:cs="Tahoma"/>
          <w:lang w:eastAsia="es-ES_tradnl"/>
        </w:rPr>
      </w:pPr>
    </w:p>
    <w:p w14:paraId="6295E112" w14:textId="77777777" w:rsidR="00223C6E" w:rsidRPr="00555C03" w:rsidRDefault="00223C6E" w:rsidP="00555C03">
      <w:pPr>
        <w:spacing w:line="276" w:lineRule="auto"/>
        <w:ind w:firstLine="705"/>
        <w:jc w:val="both"/>
        <w:textAlignment w:val="baseline"/>
        <w:rPr>
          <w:rFonts w:ascii="Tahoma" w:hAnsi="Tahoma" w:cs="Tahoma"/>
          <w:lang w:val="es-CO" w:eastAsia="es-ES_tradnl"/>
        </w:rPr>
      </w:pPr>
      <w:r w:rsidRPr="00555C03">
        <w:rPr>
          <w:rFonts w:ascii="Tahoma" w:hAnsi="Tahoma" w:cs="Tahoma"/>
          <w:lang w:eastAsia="es-ES_tradnl"/>
        </w:rPr>
        <w:t xml:space="preserve">Estos precedentes de la Corte Constitucional, contenido en la </w:t>
      </w:r>
      <w:r w:rsidRPr="00555C03">
        <w:rPr>
          <w:rFonts w:ascii="Tahoma" w:hAnsi="Tahoma" w:cs="Tahoma"/>
          <w:spacing w:val="-2"/>
          <w:lang w:val="es-CO" w:eastAsia="es-ES_tradnl"/>
        </w:rPr>
        <w:t xml:space="preserve">sentencia SU-442 del 18 de agosto de 2016 </w:t>
      </w:r>
      <w:r w:rsidRPr="00555C03">
        <w:rPr>
          <w:rFonts w:ascii="Tahoma" w:hAnsi="Tahoma" w:cs="Tahoma"/>
          <w:i/>
          <w:spacing w:val="-2"/>
          <w:lang w:val="es-CO" w:eastAsia="es-ES_tradnl"/>
        </w:rPr>
        <w:t xml:space="preserve">-sin el condicionamiento realizado en la </w:t>
      </w:r>
      <w:r w:rsidRPr="00555C03">
        <w:rPr>
          <w:rFonts w:ascii="Tahoma" w:eastAsia="Tahoma" w:hAnsi="Tahoma" w:cs="Tahoma"/>
          <w:i/>
          <w:color w:val="000000"/>
          <w:lang w:eastAsia="es-ES_tradnl"/>
        </w:rPr>
        <w:t>sentencia SU-005 de 2018</w:t>
      </w:r>
      <w:r w:rsidRPr="00555C03">
        <w:rPr>
          <w:rFonts w:ascii="Tahoma" w:hAnsi="Tahoma" w:cs="Tahoma"/>
          <w:lang w:eastAsia="es-ES_tradnl"/>
        </w:rPr>
        <w:t>-  y la citada sentencia de la Sala de Casación Civil, han sido acogidos por esta Sala atendiendo precisamente uno de los principios pilares del Derecho laboral, como es el Principio Pro Operario, en virtud del cual se debe acoger la interpretación más favorable cuando existan dos o más interpretaciones frente a una misma fuente normativa, principio consagrado en el artículo 53 de la Constitución y el artículo 21 del Código Sustantivo del Trabajo. No sobra recordar que el principio pro operario y, en general, todos los principios mínimos fundamentales del artículo 53 de la Constitución Política, operan en favor no solo del trabajador sino de quien hace parte del sistema general de seguridad social. </w:t>
      </w:r>
      <w:r w:rsidRPr="00555C03">
        <w:rPr>
          <w:rFonts w:ascii="Tahoma" w:hAnsi="Tahoma" w:cs="Tahoma"/>
          <w:lang w:val="es-CO" w:eastAsia="es-ES_tradnl"/>
        </w:rPr>
        <w:t> </w:t>
      </w:r>
    </w:p>
    <w:p w14:paraId="2AE86DDF" w14:textId="77777777" w:rsidR="00223C6E" w:rsidRPr="00555C03" w:rsidRDefault="00223C6E" w:rsidP="00555C03">
      <w:pPr>
        <w:pStyle w:val="Sinespaciado"/>
        <w:spacing w:line="276" w:lineRule="auto"/>
        <w:rPr>
          <w:rFonts w:ascii="Tahoma" w:hAnsi="Tahoma" w:cs="Tahoma"/>
          <w:lang w:val="es-CO" w:eastAsia="es-ES_tradnl"/>
        </w:rPr>
      </w:pPr>
    </w:p>
    <w:p w14:paraId="31CBC0EE" w14:textId="77777777" w:rsidR="00223C6E" w:rsidRPr="00555C03" w:rsidRDefault="00223C6E" w:rsidP="00555C03">
      <w:pPr>
        <w:spacing w:line="276" w:lineRule="auto"/>
        <w:jc w:val="both"/>
        <w:rPr>
          <w:rFonts w:ascii="Tahoma" w:hAnsi="Tahoma" w:cs="Tahoma"/>
          <w:spacing w:val="-2"/>
        </w:rPr>
      </w:pPr>
      <w:r w:rsidRPr="00555C03">
        <w:rPr>
          <w:rFonts w:ascii="Tahoma" w:hAnsi="Tahoma" w:cs="Tahoma"/>
          <w:spacing w:val="-2"/>
        </w:rPr>
        <w:tab/>
        <w:t xml:space="preserve">Así mismo, el acogimiento de dicha postura se apuntala en el hecho de que la seguridad social es un derecho fundamental cuya naturaleza no cambia por el hecho de que se analice en un proceso ordinario o en una acción de tutela y por eso no es dable afirmar que, dependiendo de la jurisdicción que conozca dicho derecho (la ordinaria o la constitucional), el precedente vinculante corresponde al órgano de cierre de una y </w:t>
      </w:r>
      <w:r w:rsidRPr="00555C03">
        <w:rPr>
          <w:rFonts w:ascii="Tahoma" w:hAnsi="Tahoma" w:cs="Tahoma"/>
          <w:spacing w:val="-2"/>
        </w:rPr>
        <w:lastRenderedPageBreak/>
        <w:t xml:space="preserve">otra, es decir que si el derecho a la seguridad social se ventila ante la justicia ordinaria habrá que acogerse la posición de la Sala de Casación Laboral, en tanto que si se hace en una acción de tutela el precedente vinculante es el de la Corte Constitucional. </w:t>
      </w:r>
    </w:p>
    <w:p w14:paraId="70B537C9" w14:textId="77777777" w:rsidR="00223C6E" w:rsidRPr="00555C03" w:rsidRDefault="00223C6E" w:rsidP="00555C03">
      <w:pPr>
        <w:pStyle w:val="Sinespaciado"/>
        <w:spacing w:line="276" w:lineRule="auto"/>
        <w:rPr>
          <w:rFonts w:ascii="Tahoma" w:hAnsi="Tahoma" w:cs="Tahoma"/>
        </w:rPr>
      </w:pPr>
    </w:p>
    <w:p w14:paraId="732A053D" w14:textId="77777777" w:rsidR="00223C6E" w:rsidRPr="00555C03" w:rsidRDefault="00223C6E" w:rsidP="00555C03">
      <w:pPr>
        <w:overflowPunct w:val="0"/>
        <w:autoSpaceDE w:val="0"/>
        <w:autoSpaceDN w:val="0"/>
        <w:adjustRightInd w:val="0"/>
        <w:spacing w:line="276" w:lineRule="auto"/>
        <w:ind w:firstLine="851"/>
        <w:jc w:val="both"/>
        <w:rPr>
          <w:rFonts w:ascii="Tahoma" w:hAnsi="Tahoma" w:cs="Tahoma"/>
          <w:lang w:val="es-CO"/>
        </w:rPr>
      </w:pPr>
      <w:r w:rsidRPr="00555C03">
        <w:rPr>
          <w:rFonts w:ascii="Tahoma" w:hAnsi="Tahoma" w:cs="Tahoma"/>
          <w:lang w:val="es-CO"/>
        </w:rPr>
        <w:t>Ahora, en lo que toca al principio de la sostenibilidad financiera del sistema de la seguridad social, instaurada por el Acto Legislativo 01 de 2005, que podría servir como tesis contraria a la aplicación del principio de la condición más beneficiosa, su afectación se descarta por la jurisprudencia de la Corte Suprema de Justicia, por ejemplo, en la sentencia proferida el 2 de mayo de 2012, dentro del proceso radicado bajo el número 41695, M.P. Carlos Ernesto Molina Monsalve, en la que se expusieron los siguientes argumentos:</w:t>
      </w:r>
    </w:p>
    <w:p w14:paraId="2E17F2AB" w14:textId="77777777" w:rsidR="00223C6E" w:rsidRPr="00555C03" w:rsidRDefault="00223C6E" w:rsidP="00555C03">
      <w:pPr>
        <w:pStyle w:val="Sinespaciado"/>
        <w:spacing w:line="276" w:lineRule="auto"/>
        <w:rPr>
          <w:rFonts w:ascii="Tahoma" w:eastAsia="Calibri" w:hAnsi="Tahoma" w:cs="Tahoma"/>
          <w:lang w:val="es-CO" w:eastAsia="en-US"/>
        </w:rPr>
      </w:pPr>
    </w:p>
    <w:p w14:paraId="67C54730" w14:textId="77777777" w:rsidR="00223C6E" w:rsidRPr="00D90B42" w:rsidRDefault="00223C6E"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xml:space="preserve">“Por la razón expuesta, la aplicación jurisprudencial del principio de la condición más beneficiosa no atenta contra la regla de la sostenibilidad financiera del sistema de pensiones, no sólo porque esta regla obliga específicamente al legislativo a partir de la fecha señalada, sino, sobre todo, porque la aplicación del principio señalado opera sobre unas personas que han reunido las exigencias fácticas que, bajo una normativa determinada, aseguraban a ellas o a sus sucesores la obtención de un derecho. Y al reunir esas exigencias fácticas, traducidas en una determinada densidad de cotizaciones, esas personas han igualmente satisfecho las exigencias de tipo financiero demandadas por el sistema, según la normativa vigente para ese momento. O sea, para el sistema vigente en ese momento, sus pensiones estaban financiadas al cumplir el tiempo exigido de cotización.”. </w:t>
      </w:r>
    </w:p>
    <w:p w14:paraId="3625532B" w14:textId="77777777" w:rsidR="00941125" w:rsidRPr="00555C03" w:rsidRDefault="00941125" w:rsidP="00555C03">
      <w:pPr>
        <w:widowControl w:val="0"/>
        <w:autoSpaceDE w:val="0"/>
        <w:autoSpaceDN w:val="0"/>
        <w:adjustRightInd w:val="0"/>
        <w:spacing w:line="276" w:lineRule="auto"/>
        <w:ind w:firstLine="706"/>
        <w:jc w:val="both"/>
        <w:rPr>
          <w:rStyle w:val="eop"/>
          <w:rFonts w:ascii="Tahoma" w:hAnsi="Tahoma" w:cs="Tahoma"/>
        </w:rPr>
      </w:pPr>
    </w:p>
    <w:p w14:paraId="509DEC53" w14:textId="77777777" w:rsidR="002F38BD" w:rsidRPr="00555C03" w:rsidRDefault="002F38BD" w:rsidP="00555C03">
      <w:pPr>
        <w:pStyle w:val="Prrafodelista"/>
        <w:widowControl w:val="0"/>
        <w:numPr>
          <w:ilvl w:val="1"/>
          <w:numId w:val="16"/>
        </w:numPr>
        <w:autoSpaceDE w:val="0"/>
        <w:autoSpaceDN w:val="0"/>
        <w:adjustRightInd w:val="0"/>
        <w:spacing w:line="276" w:lineRule="auto"/>
        <w:jc w:val="both"/>
        <w:rPr>
          <w:rFonts w:ascii="Tahoma" w:hAnsi="Tahoma" w:cs="Tahoma"/>
          <w:b/>
          <w:bCs/>
        </w:rPr>
      </w:pPr>
      <w:r w:rsidRPr="00555C03">
        <w:rPr>
          <w:rFonts w:ascii="Tahoma" w:hAnsi="Tahoma" w:cs="Tahoma"/>
          <w:b/>
        </w:rPr>
        <w:t>Postura</w:t>
      </w:r>
      <w:r w:rsidRPr="00555C03">
        <w:rPr>
          <w:rFonts w:ascii="Tahoma" w:hAnsi="Tahoma" w:cs="Tahoma"/>
          <w:b/>
          <w:bCs/>
        </w:rPr>
        <w:t xml:space="preserve"> actual de la Corte Suprema de Justicia frente a la acumulación de tiempos públicos con aportes efectivamente sufragados al ISS (hoy Colpensiones) para aplicar las disposiciones del acuerdo 049 de 1990. </w:t>
      </w:r>
    </w:p>
    <w:p w14:paraId="55800218" w14:textId="77777777" w:rsidR="002F38BD" w:rsidRPr="00555C03" w:rsidRDefault="002F38BD" w:rsidP="00555C03">
      <w:pPr>
        <w:pStyle w:val="Sinespaciado"/>
        <w:spacing w:line="276" w:lineRule="auto"/>
        <w:rPr>
          <w:rFonts w:ascii="Tahoma" w:hAnsi="Tahoma" w:cs="Tahoma"/>
        </w:rPr>
      </w:pPr>
      <w:r w:rsidRPr="00555C03">
        <w:rPr>
          <w:rFonts w:ascii="Tahoma" w:hAnsi="Tahoma" w:cs="Tahoma"/>
          <w:lang w:eastAsia="es-CO"/>
        </w:rPr>
        <w:t> </w:t>
      </w:r>
    </w:p>
    <w:p w14:paraId="2ADD39AC" w14:textId="77777777" w:rsidR="002F38BD" w:rsidRPr="00555C03" w:rsidRDefault="002F38BD"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Venía sosteniendo la Sala de Casación Laboral de la Corte Suprema de Justicia que para acceder a las pensiones previstas en el Acuerdo 049 de 1990, no era posible sumar tiempos de servicios públicos no cotizados a los aportes efectivamente sufragados al ISS (Hoy Colpensiones), postura que sentó, entre otras, en sentencias SL16081 de 2016, SL11241 de 2016, SL4031 de 2017 y SL13277 de 2017, SL517 de 2018, SL4010 de 2019 y SL5614 de 2019. </w:t>
      </w:r>
    </w:p>
    <w:p w14:paraId="03FA44FE" w14:textId="77777777" w:rsidR="002F38BD" w:rsidRPr="00555C03" w:rsidRDefault="002F38BD" w:rsidP="00555C03">
      <w:pPr>
        <w:pStyle w:val="Sinespaciado"/>
        <w:spacing w:line="276" w:lineRule="auto"/>
        <w:rPr>
          <w:rFonts w:ascii="Tahoma" w:hAnsi="Tahoma" w:cs="Tahoma"/>
        </w:rPr>
      </w:pPr>
      <w:r w:rsidRPr="00555C03">
        <w:rPr>
          <w:rFonts w:ascii="Tahoma" w:hAnsi="Tahoma" w:cs="Tahoma"/>
        </w:rPr>
        <w:t> </w:t>
      </w:r>
    </w:p>
    <w:p w14:paraId="33357F05" w14:textId="77777777" w:rsidR="002F38BD" w:rsidRPr="00555C03" w:rsidRDefault="002F38BD"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No obstante, a partir de la sentencia SL1981 de 2020, reiterada en las providencias CSJ SL3110-2020, CSJ SL4480-2020, SL182-2021, entre otras, la sala mayoritaria del máximo órgano de la jurisdicción ordinaria laboral, después de analizar nuevamente el tema bajo estudio, concluyó que:  </w:t>
      </w:r>
    </w:p>
    <w:p w14:paraId="2656A5E1" w14:textId="77777777" w:rsidR="002F38BD" w:rsidRPr="00555C03" w:rsidRDefault="002F38BD" w:rsidP="00555C03">
      <w:pPr>
        <w:spacing w:line="276" w:lineRule="auto"/>
        <w:jc w:val="both"/>
        <w:textAlignment w:val="baseline"/>
        <w:rPr>
          <w:rFonts w:ascii="Tahoma" w:hAnsi="Tahoma" w:cs="Tahoma"/>
          <w:lang w:eastAsia="es-CO"/>
        </w:rPr>
      </w:pPr>
      <w:r w:rsidRPr="00555C03">
        <w:rPr>
          <w:rFonts w:ascii="Tahoma" w:hAnsi="Tahoma" w:cs="Tahoma"/>
          <w:lang w:eastAsia="es-CO"/>
        </w:rPr>
        <w:t> </w:t>
      </w:r>
    </w:p>
    <w:p w14:paraId="65267204"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“(i) El sistema de seguridad social, inspirado en el principio de universalidad y el trabajo como referente de construcción de la pensión, reconoce validez a todos los tiempos laborados, sin distinciones fundadas en la clase de empleador (público o privado) a la que se prestaron los servicios, la entidad de previsión a la que se realizaron los aportes o si los tiempos efectivamente laborados no fueron cotizados. </w:t>
      </w:r>
    </w:p>
    <w:p w14:paraId="0EF0F606"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w:t>
      </w:r>
    </w:p>
    <w:p w14:paraId="4D1AED3D"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xml:space="preserve">(ii) En tal dirección, el literal f) del artículo 13 refiere que para el reconocimiento de las pensiones del sistema se tendrá en cuenta la suma de las semanas cotizadas al Instituto de Seguros Sociales (hoy Colpensiones) o a cualquier caja, fondo o entidad </w:t>
      </w:r>
      <w:r w:rsidRPr="00D90B42">
        <w:rPr>
          <w:rFonts w:ascii="Tahoma" w:hAnsi="Tahoma" w:cs="Tahoma"/>
          <w:i/>
          <w:sz w:val="22"/>
        </w:rPr>
        <w:lastRenderedPageBreak/>
        <w:t>del sector público o privado, o el tiempo de servicio como servidores públicos, cualquiera sea el número de semanas cotizadas o el lapso laborado.  </w:t>
      </w:r>
    </w:p>
    <w:p w14:paraId="1D0C2BAF"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w:t>
      </w:r>
    </w:p>
    <w:p w14:paraId="76F488FA"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(iii) Los beneficiarios del régimen de transición, son afiliados del sistema general de seguridad social y, por consiguiente, salvo en lo que respecta a la edad, tiempo y monto de la pensión, las directrices, principios y reglas de la Ley 100 de 1993 les aplica en su integridad, lo que incluye la posibilidad de sumar todas las semanas laboradas en el sector público, sin importar si fueron o no cotizadas al ISS, hoy Colpensiones.  </w:t>
      </w:r>
    </w:p>
    <w:p w14:paraId="1E37C5B3"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w:t>
      </w:r>
    </w:p>
    <w:p w14:paraId="5CA826A3"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(iv) Esta regla de cardinal importancia la resaltó el legislador en el parágrafo del artículo 36 de la Ley 100 de 1993, al habilitar para los beneficiarios del régimen de transición, los tiempos públicos y privados, cotizados o no a entidades de previsión social o al ISS.  </w:t>
      </w:r>
    </w:p>
    <w:p w14:paraId="39DF2769"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w:t>
      </w:r>
    </w:p>
    <w:p w14:paraId="40F7CC13"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(v) Para darle viabilidad a esta posibilidad legal de integrar las semanas laboradas en el sector público sin cotización al ISS, la Ley 100 de 1993 y sus decretos reglamentarios regulan extensamente todo un régimen financiación de las prestaciones a través de cuotas partes y títulos pensionales.  </w:t>
      </w:r>
    </w:p>
    <w:p w14:paraId="7D5CC213"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 </w:t>
      </w:r>
    </w:p>
    <w:p w14:paraId="6A8E568D" w14:textId="77777777" w:rsidR="002F38BD" w:rsidRPr="00D90B42" w:rsidRDefault="002F38BD" w:rsidP="00D90B42">
      <w:pPr>
        <w:overflowPunct w:val="0"/>
        <w:autoSpaceDE w:val="0"/>
        <w:autoSpaceDN w:val="0"/>
        <w:adjustRightInd w:val="0"/>
        <w:ind w:left="426" w:right="420"/>
        <w:jc w:val="both"/>
        <w:textAlignment w:val="baseline"/>
        <w:rPr>
          <w:rFonts w:ascii="Tahoma" w:hAnsi="Tahoma" w:cs="Tahoma"/>
          <w:i/>
          <w:sz w:val="22"/>
        </w:rPr>
      </w:pPr>
      <w:r w:rsidRPr="00D90B42">
        <w:rPr>
          <w:rFonts w:ascii="Tahoma" w:hAnsi="Tahoma" w:cs="Tahoma"/>
          <w:i/>
          <w:sz w:val="22"/>
        </w:rPr>
        <w:t>De acuerdo con los anteriores argumentos, la Corte Suprema de Justicia abandona su criterio mayoritario conforme al cual el Acuerdo 049 de 1990, aplicable en virtud del régimen de transición, solo permite sumar cotizaciones realizadas exclusivamente al ISS y, en su reemplazo, postula que sí es posible para efectos de obtener la pensión por vejez prevista en ese reglamento, contabilizar las semanas laboradas en el sector público, sufragadas o no a una caja, fondo o entidad de previsión social. En consecuencia, todos los tiempos laborados, sin distinción al tipo de empleador o si fueron objeto de aportes a pensión o no, son válidos para efectos pensionales.”. </w:t>
      </w:r>
    </w:p>
    <w:p w14:paraId="719B3E9B" w14:textId="77777777" w:rsidR="002F38BD" w:rsidRPr="00555C03" w:rsidRDefault="002F38BD"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lang w:eastAsia="es-CO"/>
        </w:rPr>
        <w:t> </w:t>
      </w:r>
    </w:p>
    <w:p w14:paraId="6BBDA2E9" w14:textId="77777777" w:rsidR="002F38BD" w:rsidRPr="00555C03" w:rsidRDefault="002F38BD"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Así mismo, en las sentencias SL2557-2020, SL2776-2021 y SL3801-2021, dicha corporación estableció también que el nuevo criterio adoptado por la Alta Magistratura debe aplicarse también en aquellos casos en los que se solicita la reliquidación o reajuste pensional; postura mayoritaria que fue extendida a los casos en los que se pide el reconocimiento de las pensiones de invalidez y sobrevivientes en la sentencia SL5147 de 2020.</w:t>
      </w:r>
    </w:p>
    <w:p w14:paraId="651FC658" w14:textId="77777777" w:rsidR="002F38BD" w:rsidRPr="00555C03" w:rsidRDefault="002F38BD" w:rsidP="00555C03">
      <w:pPr>
        <w:pStyle w:val="Sinespaciado"/>
        <w:spacing w:line="276" w:lineRule="auto"/>
        <w:rPr>
          <w:rStyle w:val="eop"/>
          <w:rFonts w:ascii="Tahoma" w:hAnsi="Tahoma" w:cs="Tahoma"/>
        </w:rPr>
      </w:pPr>
    </w:p>
    <w:p w14:paraId="0F0907FF" w14:textId="77777777" w:rsidR="002F38BD" w:rsidRPr="00555C03" w:rsidRDefault="002F38BD"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 xml:space="preserve">Cabe agregar que esta postura ya había sido adoptada de vieja data por la Corte Constitucional y por la Sala Mayoritaria de esta Corporación. </w:t>
      </w:r>
    </w:p>
    <w:p w14:paraId="3D00E420" w14:textId="77777777" w:rsidR="001F5536" w:rsidRPr="00555C03" w:rsidRDefault="001F5536" w:rsidP="00555C03">
      <w:pPr>
        <w:pStyle w:val="Sinespaciado"/>
        <w:spacing w:line="276" w:lineRule="auto"/>
        <w:rPr>
          <w:rFonts w:ascii="Tahoma" w:hAnsi="Tahoma" w:cs="Tahoma"/>
        </w:rPr>
      </w:pPr>
    </w:p>
    <w:bookmarkEnd w:id="3"/>
    <w:p w14:paraId="6E82CFD9" w14:textId="18055341" w:rsidR="005D07DF" w:rsidRPr="00555C03" w:rsidRDefault="00807C22" w:rsidP="00555C03">
      <w:pPr>
        <w:pStyle w:val="Prrafodelista"/>
        <w:widowControl w:val="0"/>
        <w:numPr>
          <w:ilvl w:val="1"/>
          <w:numId w:val="16"/>
        </w:numPr>
        <w:autoSpaceDE w:val="0"/>
        <w:autoSpaceDN w:val="0"/>
        <w:adjustRightInd w:val="0"/>
        <w:spacing w:line="276" w:lineRule="auto"/>
        <w:jc w:val="both"/>
        <w:rPr>
          <w:rFonts w:ascii="Tahoma" w:hAnsi="Tahoma" w:cs="Tahoma"/>
          <w:b/>
        </w:rPr>
      </w:pPr>
      <w:r w:rsidRPr="00555C03">
        <w:rPr>
          <w:rFonts w:ascii="Tahoma" w:hAnsi="Tahoma" w:cs="Tahoma"/>
          <w:b/>
        </w:rPr>
        <w:t xml:space="preserve">Caso </w:t>
      </w:r>
      <w:r w:rsidRPr="00555C03">
        <w:rPr>
          <w:rFonts w:ascii="Tahoma" w:hAnsi="Tahoma" w:cs="Tahoma"/>
          <w:b/>
          <w:spacing w:val="-2"/>
        </w:rPr>
        <w:t>Concreto</w:t>
      </w:r>
    </w:p>
    <w:p w14:paraId="134DCEC5" w14:textId="58970DF6" w:rsidR="007A1A24" w:rsidRPr="00555C03" w:rsidRDefault="007A1A24" w:rsidP="00555C03">
      <w:pPr>
        <w:pStyle w:val="Sinespaciado"/>
        <w:spacing w:line="276" w:lineRule="auto"/>
        <w:rPr>
          <w:rFonts w:ascii="Tahoma" w:hAnsi="Tahoma" w:cs="Tahoma"/>
        </w:rPr>
      </w:pPr>
    </w:p>
    <w:p w14:paraId="09DA7F80" w14:textId="1025089F" w:rsidR="004A3023" w:rsidRPr="00555C03" w:rsidRDefault="004A3023"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No existe discusión alguna en el caso de marras respecto a los siguientes supuestos fácticos: i) el señor</w:t>
      </w:r>
      <w:r w:rsidRPr="00555C03">
        <w:rPr>
          <w:rFonts w:ascii="Tahoma" w:hAnsi="Tahoma" w:cs="Tahoma"/>
          <w:lang w:val="es-CO"/>
        </w:rPr>
        <w:t xml:space="preserve"> Víctor Manuel Romero González falleció el 14 de febrero de 2011</w:t>
      </w:r>
      <w:r w:rsidRPr="00555C03">
        <w:rPr>
          <w:rFonts w:ascii="Tahoma" w:hAnsi="Tahoma" w:cs="Tahoma"/>
        </w:rPr>
        <w:t xml:space="preserve">, como se aprecia </w:t>
      </w:r>
      <w:r w:rsidRPr="00555C03">
        <w:rPr>
          <w:rFonts w:ascii="Tahoma" w:hAnsi="Tahoma" w:cs="Tahoma"/>
          <w:lang w:val="es-CO"/>
        </w:rPr>
        <w:t xml:space="preserve">en el registro civil de defunción emitido por la Notaría Única del Círculo de Dosquebradas -págs.2 y 3 archivo 04 carpeta primera instancia- </w:t>
      </w:r>
      <w:r w:rsidRPr="00555C03">
        <w:rPr>
          <w:rFonts w:ascii="Tahoma" w:hAnsi="Tahoma" w:cs="Tahoma"/>
        </w:rPr>
        <w:t xml:space="preserve">ii) cotizó un total de </w:t>
      </w:r>
      <w:r w:rsidRPr="00555C03">
        <w:rPr>
          <w:rFonts w:ascii="Tahoma" w:hAnsi="Tahoma" w:cs="Tahoma"/>
          <w:lang w:val="es-CO"/>
        </w:rPr>
        <w:t xml:space="preserve">165,43 </w:t>
      </w:r>
      <w:r w:rsidRPr="00555C03">
        <w:rPr>
          <w:rFonts w:ascii="Tahoma" w:hAnsi="Tahoma" w:cs="Tahoma"/>
        </w:rPr>
        <w:t xml:space="preserve">semanas al otrora Instituto de Seguros Sociales entre el </w:t>
      </w:r>
      <w:r w:rsidR="00F320B8" w:rsidRPr="00555C03">
        <w:rPr>
          <w:rFonts w:ascii="Tahoma" w:hAnsi="Tahoma" w:cs="Tahoma"/>
        </w:rPr>
        <w:t>01 de julio de 1972 y el 01 de septiembre de 1975</w:t>
      </w:r>
      <w:r w:rsidRPr="00555C03">
        <w:rPr>
          <w:rFonts w:ascii="Tahoma" w:hAnsi="Tahoma" w:cs="Tahoma"/>
        </w:rPr>
        <w:t xml:space="preserve">, tal como se extrae de la historia laboral expedida por la Administradora Colombiana de Pensiones </w:t>
      </w:r>
      <w:r w:rsidRPr="00555C03">
        <w:rPr>
          <w:rFonts w:ascii="Tahoma" w:hAnsi="Tahoma" w:cs="Tahoma"/>
          <w:lang w:val="es-CO"/>
        </w:rPr>
        <w:t xml:space="preserve">–págs.2 a 7 archivo 19 carpeta primera instancia-, </w:t>
      </w:r>
      <w:r w:rsidRPr="00555C03">
        <w:rPr>
          <w:rFonts w:ascii="Tahoma" w:hAnsi="Tahoma" w:cs="Tahoma"/>
        </w:rPr>
        <w:t>iii) prestó sus servicios</w:t>
      </w:r>
      <w:r w:rsidR="00F320B8" w:rsidRPr="00555C03">
        <w:rPr>
          <w:rFonts w:ascii="Tahoma" w:hAnsi="Tahoma" w:cs="Tahoma"/>
        </w:rPr>
        <w:t xml:space="preserve"> </w:t>
      </w:r>
      <w:r w:rsidR="00F320B8" w:rsidRPr="00555C03">
        <w:rPr>
          <w:rFonts w:ascii="Tahoma" w:hAnsi="Tahoma" w:cs="Tahoma"/>
          <w:lang w:val="es-CO"/>
        </w:rPr>
        <w:t>en el sector público entre el 21 de julio de 1952 y el 16 de agosto de 1964</w:t>
      </w:r>
      <w:r w:rsidRPr="00555C03">
        <w:rPr>
          <w:rFonts w:ascii="Tahoma" w:hAnsi="Tahoma" w:cs="Tahoma"/>
        </w:rPr>
        <w:t xml:space="preserve">, que corresponden a </w:t>
      </w:r>
      <w:r w:rsidR="00F320B8" w:rsidRPr="00555C03">
        <w:rPr>
          <w:rFonts w:ascii="Tahoma" w:hAnsi="Tahoma" w:cs="Tahoma"/>
        </w:rPr>
        <w:t>629.43</w:t>
      </w:r>
      <w:r w:rsidRPr="00555C03">
        <w:rPr>
          <w:rFonts w:ascii="Tahoma" w:hAnsi="Tahoma" w:cs="Tahoma"/>
        </w:rPr>
        <w:t xml:space="preserve"> semanas, mismas que </w:t>
      </w:r>
      <w:r w:rsidR="00F320B8" w:rsidRPr="00555C03">
        <w:rPr>
          <w:rFonts w:ascii="Tahoma" w:hAnsi="Tahoma" w:cs="Tahoma"/>
        </w:rPr>
        <w:t>se desprenden d</w:t>
      </w:r>
      <w:r w:rsidR="00F320B8" w:rsidRPr="00555C03">
        <w:rPr>
          <w:rFonts w:ascii="Tahoma" w:hAnsi="Tahoma" w:cs="Tahoma"/>
          <w:lang w:val="es-CO"/>
        </w:rPr>
        <w:t xml:space="preserve">el certificado de información laboral emitido por el Fondo Pasivo Social de Ferrocarriles Nacionales de Colombia -pág.11 archivo 04 carpeta primera </w:t>
      </w:r>
      <w:r w:rsidR="00F320B8" w:rsidRPr="00555C03">
        <w:rPr>
          <w:rFonts w:ascii="Tahoma" w:hAnsi="Tahoma" w:cs="Tahoma"/>
          <w:lang w:val="es-CO"/>
        </w:rPr>
        <w:lastRenderedPageBreak/>
        <w:t>instancia-</w:t>
      </w:r>
      <w:r w:rsidRPr="00555C03">
        <w:rPr>
          <w:rFonts w:ascii="Tahoma" w:hAnsi="Tahoma" w:cs="Tahoma"/>
        </w:rPr>
        <w:t xml:space="preserve">; </w:t>
      </w:r>
      <w:r w:rsidR="006957CA" w:rsidRPr="00555C03">
        <w:rPr>
          <w:rFonts w:ascii="Tahoma" w:hAnsi="Tahoma" w:cs="Tahoma"/>
        </w:rPr>
        <w:t>i</w:t>
      </w:r>
      <w:r w:rsidRPr="00555C03">
        <w:rPr>
          <w:rFonts w:ascii="Tahoma" w:hAnsi="Tahoma" w:cs="Tahoma"/>
        </w:rPr>
        <w:t>v) la</w:t>
      </w:r>
      <w:r w:rsidR="006957CA" w:rsidRPr="00555C03">
        <w:rPr>
          <w:rFonts w:ascii="Tahoma" w:hAnsi="Tahoma" w:cs="Tahoma"/>
        </w:rPr>
        <w:t xml:space="preserve"> señora </w:t>
      </w:r>
      <w:r w:rsidRPr="00555C03">
        <w:rPr>
          <w:rFonts w:ascii="Tahoma" w:hAnsi="Tahoma" w:cs="Tahoma"/>
        </w:rPr>
        <w:t xml:space="preserve"> </w:t>
      </w:r>
      <w:r w:rsidR="006957CA" w:rsidRPr="00555C03">
        <w:rPr>
          <w:rFonts w:ascii="Tahoma" w:hAnsi="Tahoma" w:cs="Tahoma"/>
        </w:rPr>
        <w:t>Betsabé Martínez Navarro</w:t>
      </w:r>
      <w:r w:rsidRPr="00555C03">
        <w:rPr>
          <w:rFonts w:ascii="Tahoma" w:hAnsi="Tahoma" w:cs="Tahoma"/>
        </w:rPr>
        <w:t xml:space="preserve"> solicitó</w:t>
      </w:r>
      <w:r w:rsidR="006957CA" w:rsidRPr="00555C03">
        <w:rPr>
          <w:rFonts w:ascii="Tahoma" w:hAnsi="Tahoma" w:cs="Tahoma"/>
        </w:rPr>
        <w:t>, en calidad de compañera permanente,</w:t>
      </w:r>
      <w:r w:rsidRPr="00555C03">
        <w:rPr>
          <w:rFonts w:ascii="Tahoma" w:hAnsi="Tahoma" w:cs="Tahoma"/>
        </w:rPr>
        <w:t xml:space="preserve"> la pensión de sobrevivientes el </w:t>
      </w:r>
      <w:r w:rsidR="006957CA" w:rsidRPr="00555C03">
        <w:rPr>
          <w:rFonts w:ascii="Tahoma" w:hAnsi="Tahoma" w:cs="Tahoma"/>
        </w:rPr>
        <w:t>14 de diciembre de 2017</w:t>
      </w:r>
      <w:r w:rsidRPr="00555C03">
        <w:rPr>
          <w:rFonts w:ascii="Tahoma" w:hAnsi="Tahoma" w:cs="Tahoma"/>
        </w:rPr>
        <w:t xml:space="preserve">, la cual le fue negada mediante resolución SUB </w:t>
      </w:r>
      <w:r w:rsidR="006957CA" w:rsidRPr="00555C03">
        <w:rPr>
          <w:rFonts w:ascii="Tahoma" w:hAnsi="Tahoma" w:cs="Tahoma"/>
        </w:rPr>
        <w:t>256548</w:t>
      </w:r>
      <w:r w:rsidRPr="00555C03">
        <w:rPr>
          <w:rFonts w:ascii="Tahoma" w:hAnsi="Tahoma" w:cs="Tahoma"/>
        </w:rPr>
        <w:t xml:space="preserve"> del </w:t>
      </w:r>
      <w:r w:rsidR="006957CA" w:rsidRPr="00555C03">
        <w:rPr>
          <w:rFonts w:ascii="Tahoma" w:hAnsi="Tahoma" w:cs="Tahoma"/>
        </w:rPr>
        <w:t xml:space="preserve">28 de septiembre </w:t>
      </w:r>
      <w:r w:rsidRPr="00555C03">
        <w:rPr>
          <w:rFonts w:ascii="Tahoma" w:hAnsi="Tahoma" w:cs="Tahoma"/>
        </w:rPr>
        <w:t>de 2018, confirmada mediante resoluci</w:t>
      </w:r>
      <w:r w:rsidR="006957CA" w:rsidRPr="00555C03">
        <w:rPr>
          <w:rFonts w:ascii="Tahoma" w:hAnsi="Tahoma" w:cs="Tahoma"/>
        </w:rPr>
        <w:t>ón</w:t>
      </w:r>
      <w:r w:rsidRPr="00555C03">
        <w:rPr>
          <w:rFonts w:ascii="Tahoma" w:hAnsi="Tahoma" w:cs="Tahoma"/>
        </w:rPr>
        <w:t xml:space="preserve"> DIR </w:t>
      </w:r>
      <w:r w:rsidR="006957CA" w:rsidRPr="00555C03">
        <w:rPr>
          <w:rFonts w:ascii="Tahoma" w:hAnsi="Tahoma" w:cs="Tahoma"/>
        </w:rPr>
        <w:t>19517</w:t>
      </w:r>
      <w:r w:rsidRPr="00555C03">
        <w:rPr>
          <w:rFonts w:ascii="Tahoma" w:hAnsi="Tahoma" w:cs="Tahoma"/>
        </w:rPr>
        <w:t xml:space="preserve"> del </w:t>
      </w:r>
      <w:r w:rsidR="006957CA" w:rsidRPr="00555C03">
        <w:rPr>
          <w:rFonts w:ascii="Tahoma" w:hAnsi="Tahoma" w:cs="Tahoma"/>
        </w:rPr>
        <w:t>02 de noviembre</w:t>
      </w:r>
      <w:r w:rsidRPr="00555C03">
        <w:rPr>
          <w:rFonts w:ascii="Tahoma" w:hAnsi="Tahoma" w:cs="Tahoma"/>
        </w:rPr>
        <w:t xml:space="preserve"> de 2018– págs. </w:t>
      </w:r>
      <w:r w:rsidR="006957CA" w:rsidRPr="00555C03">
        <w:rPr>
          <w:rFonts w:ascii="Tahoma" w:hAnsi="Tahoma" w:cs="Tahoma"/>
        </w:rPr>
        <w:t xml:space="preserve">200 a 219 </w:t>
      </w:r>
      <w:r w:rsidR="006957CA" w:rsidRPr="00555C03">
        <w:rPr>
          <w:rFonts w:ascii="Tahoma" w:hAnsi="Tahoma" w:cs="Tahoma"/>
          <w:lang w:val="es-CO"/>
        </w:rPr>
        <w:t>archivo 19 carpeta primera instancia</w:t>
      </w:r>
      <w:r w:rsidRPr="00555C03">
        <w:rPr>
          <w:rFonts w:ascii="Tahoma" w:hAnsi="Tahoma" w:cs="Tahoma"/>
        </w:rPr>
        <w:t>-</w:t>
      </w:r>
      <w:r w:rsidR="009A57AB" w:rsidRPr="00555C03">
        <w:rPr>
          <w:rFonts w:ascii="Tahoma" w:hAnsi="Tahoma" w:cs="Tahoma"/>
        </w:rPr>
        <w:t xml:space="preserve"> y; v)</w:t>
      </w:r>
      <w:r w:rsidR="5BB58BB3" w:rsidRPr="00555C03">
        <w:rPr>
          <w:rFonts w:ascii="Tahoma" w:hAnsi="Tahoma" w:cs="Tahoma"/>
        </w:rPr>
        <w:t xml:space="preserve"> </w:t>
      </w:r>
      <w:r w:rsidR="009A57AB" w:rsidRPr="00555C03">
        <w:rPr>
          <w:rFonts w:ascii="Tahoma" w:hAnsi="Tahoma" w:cs="Tahoma"/>
        </w:rPr>
        <w:t xml:space="preserve">la señora Betsabé Martínez Navarro falleció el </w:t>
      </w:r>
      <w:r w:rsidR="005F1E30" w:rsidRPr="00555C03">
        <w:rPr>
          <w:rFonts w:ascii="Tahoma" w:hAnsi="Tahoma" w:cs="Tahoma"/>
        </w:rPr>
        <w:t xml:space="preserve">13 de febrero de 2022 </w:t>
      </w:r>
      <w:r w:rsidR="005F1E30" w:rsidRPr="00555C03">
        <w:rPr>
          <w:rFonts w:ascii="Tahoma" w:hAnsi="Tahoma" w:cs="Tahoma"/>
          <w:lang w:val="es-CO"/>
        </w:rPr>
        <w:t>-pág. 05 archivo 22 carpeta primera instancia-</w:t>
      </w:r>
      <w:r w:rsidR="70D27263" w:rsidRPr="00555C03">
        <w:rPr>
          <w:rFonts w:ascii="Tahoma" w:hAnsi="Tahoma" w:cs="Tahoma"/>
          <w:lang w:val="es-CO"/>
        </w:rPr>
        <w:t>, es decir, durante el transcurso de este proceso</w:t>
      </w:r>
      <w:r w:rsidRPr="00555C03">
        <w:rPr>
          <w:rFonts w:ascii="Tahoma" w:hAnsi="Tahoma" w:cs="Tahoma"/>
        </w:rPr>
        <w:t>.</w:t>
      </w:r>
    </w:p>
    <w:p w14:paraId="1E59FB63" w14:textId="77777777" w:rsidR="004A3023" w:rsidRPr="00555C03" w:rsidRDefault="004A3023" w:rsidP="00555C03">
      <w:pPr>
        <w:pStyle w:val="Sinespaciado"/>
        <w:spacing w:line="276" w:lineRule="auto"/>
        <w:rPr>
          <w:rFonts w:ascii="Tahoma" w:hAnsi="Tahoma" w:cs="Tahoma"/>
        </w:rPr>
      </w:pPr>
    </w:p>
    <w:p w14:paraId="7B0402D2" w14:textId="6B92A61C" w:rsidR="006957CA" w:rsidRPr="00555C03" w:rsidRDefault="004A3023" w:rsidP="00555C03">
      <w:pPr>
        <w:overflowPunct w:val="0"/>
        <w:autoSpaceDE w:val="0"/>
        <w:autoSpaceDN w:val="0"/>
        <w:adjustRightInd w:val="0"/>
        <w:spacing w:line="276" w:lineRule="auto"/>
        <w:ind w:firstLine="851"/>
        <w:jc w:val="both"/>
        <w:rPr>
          <w:rFonts w:ascii="Tahoma" w:eastAsia="Tahoma" w:hAnsi="Tahoma" w:cs="Tahoma"/>
          <w:color w:val="000000" w:themeColor="text1"/>
          <w:lang w:val="es-CO"/>
        </w:rPr>
      </w:pPr>
      <w:r w:rsidRPr="00555C03">
        <w:rPr>
          <w:rFonts w:ascii="Tahoma" w:hAnsi="Tahoma" w:cs="Tahoma"/>
        </w:rPr>
        <w:t>Conforme con lo expuesto,</w:t>
      </w:r>
      <w:r w:rsidR="003601F6" w:rsidRPr="00555C03">
        <w:rPr>
          <w:rFonts w:ascii="Tahoma" w:hAnsi="Tahoma" w:cs="Tahoma"/>
        </w:rPr>
        <w:t xml:space="preserve"> </w:t>
      </w:r>
      <w:r w:rsidR="006957CA" w:rsidRPr="00555C03">
        <w:rPr>
          <w:rFonts w:ascii="Tahoma" w:eastAsia="Tahoma" w:hAnsi="Tahoma" w:cs="Tahoma"/>
          <w:color w:val="000000" w:themeColor="text1"/>
          <w:lang w:val="es-CO"/>
        </w:rPr>
        <w:t xml:space="preserve">en cuanto a la pensión de sobrevivientes deprecada, se debe decir que, dado que la muerte del señor </w:t>
      </w:r>
      <w:r w:rsidR="003601F6" w:rsidRPr="00555C03">
        <w:rPr>
          <w:rFonts w:ascii="Tahoma" w:hAnsi="Tahoma" w:cs="Tahoma"/>
          <w:lang w:val="es-CO"/>
        </w:rPr>
        <w:t xml:space="preserve">Víctor Manuel Romero González </w:t>
      </w:r>
      <w:r w:rsidR="006957CA" w:rsidRPr="00555C03">
        <w:rPr>
          <w:rFonts w:ascii="Tahoma" w:eastAsia="Tahoma" w:hAnsi="Tahoma" w:cs="Tahoma"/>
          <w:color w:val="000000" w:themeColor="text1"/>
          <w:lang w:val="es-CO"/>
        </w:rPr>
        <w:t xml:space="preserve">ocurrió el </w:t>
      </w:r>
      <w:r w:rsidR="003601F6" w:rsidRPr="00555C03">
        <w:rPr>
          <w:rFonts w:ascii="Tahoma" w:hAnsi="Tahoma" w:cs="Tahoma"/>
          <w:lang w:val="es-CO"/>
        </w:rPr>
        <w:t>14 de febrero de 2011</w:t>
      </w:r>
      <w:r w:rsidR="006957CA" w:rsidRPr="00555C03">
        <w:rPr>
          <w:rFonts w:ascii="Tahoma" w:eastAsia="Tahoma" w:hAnsi="Tahoma" w:cs="Tahoma"/>
          <w:color w:val="000000" w:themeColor="text1"/>
          <w:lang w:val="es-CO"/>
        </w:rPr>
        <w:t>, la norma que gobernaba la gracia pensional es el artículo 47 de la Ley 100 de 1993, con la modificación que le introdujo el artículo 12 de la Ley 797 de 2003. Por tal razón, l</w:t>
      </w:r>
      <w:r w:rsidR="003601F6" w:rsidRPr="00555C03">
        <w:rPr>
          <w:rFonts w:ascii="Tahoma" w:eastAsia="Tahoma" w:hAnsi="Tahoma" w:cs="Tahoma"/>
          <w:color w:val="000000" w:themeColor="text1"/>
          <w:lang w:val="es-CO"/>
        </w:rPr>
        <w:t>a</w:t>
      </w:r>
      <w:r w:rsidR="006957CA" w:rsidRPr="00555C03">
        <w:rPr>
          <w:rFonts w:ascii="Tahoma" w:eastAsia="Tahoma" w:hAnsi="Tahoma" w:cs="Tahoma"/>
          <w:color w:val="000000" w:themeColor="text1"/>
          <w:lang w:val="es-CO"/>
        </w:rPr>
        <w:t xml:space="preserve"> demandante en este </w:t>
      </w:r>
      <w:r w:rsidR="003601F6" w:rsidRPr="00555C03">
        <w:rPr>
          <w:rFonts w:ascii="Tahoma" w:eastAsia="Tahoma" w:hAnsi="Tahoma" w:cs="Tahoma"/>
          <w:color w:val="000000" w:themeColor="text1"/>
          <w:lang w:val="es-CO"/>
        </w:rPr>
        <w:t>caso</w:t>
      </w:r>
      <w:r w:rsidR="006957CA" w:rsidRPr="00555C03">
        <w:rPr>
          <w:rFonts w:ascii="Tahoma" w:eastAsia="Tahoma" w:hAnsi="Tahoma" w:cs="Tahoma"/>
          <w:color w:val="000000" w:themeColor="text1"/>
          <w:lang w:val="es-CO"/>
        </w:rPr>
        <w:t xml:space="preserve"> debía demostrar, para acceder a tal prestación, que el afiliado fallecido contaba al menos con 50 semanas cotizadas dentro de los tres años anteriores a su fallecimiento, requisito que no se cumple, sin discusión alguna, debido a que la totalidad de las semanas acreditadas</w:t>
      </w:r>
      <w:r w:rsidR="003601F6" w:rsidRPr="00555C03">
        <w:rPr>
          <w:rFonts w:ascii="Tahoma" w:eastAsia="Tahoma" w:hAnsi="Tahoma" w:cs="Tahoma"/>
          <w:color w:val="000000" w:themeColor="text1"/>
          <w:lang w:val="es-CO"/>
        </w:rPr>
        <w:t xml:space="preserve"> entre tiempos públicos y aportes al entonces I.S.S.</w:t>
      </w:r>
      <w:r w:rsidR="006957CA" w:rsidRPr="00555C03">
        <w:rPr>
          <w:rFonts w:ascii="Tahoma" w:eastAsia="Tahoma" w:hAnsi="Tahoma" w:cs="Tahoma"/>
          <w:color w:val="000000" w:themeColor="text1"/>
          <w:lang w:val="es-CO"/>
        </w:rPr>
        <w:t xml:space="preserve"> datan del </w:t>
      </w:r>
      <w:r w:rsidR="003601F6" w:rsidRPr="00555C03">
        <w:rPr>
          <w:rFonts w:ascii="Tahoma" w:hAnsi="Tahoma" w:cs="Tahoma"/>
          <w:lang w:val="es-CO"/>
        </w:rPr>
        <w:t xml:space="preserve">21 de julio de 1952 </w:t>
      </w:r>
      <w:r w:rsidR="006957CA" w:rsidRPr="00555C03">
        <w:rPr>
          <w:rFonts w:ascii="Tahoma" w:eastAsia="Tahoma" w:hAnsi="Tahoma" w:cs="Tahoma"/>
          <w:color w:val="000000" w:themeColor="text1"/>
          <w:lang w:val="es-CO"/>
        </w:rPr>
        <w:t xml:space="preserve">al </w:t>
      </w:r>
      <w:r w:rsidR="003601F6" w:rsidRPr="00555C03">
        <w:rPr>
          <w:rFonts w:ascii="Tahoma" w:hAnsi="Tahoma" w:cs="Tahoma"/>
        </w:rPr>
        <w:t>01 de septiembre de 1975</w:t>
      </w:r>
      <w:r w:rsidR="006957CA" w:rsidRPr="00555C03">
        <w:rPr>
          <w:rFonts w:ascii="Tahoma" w:eastAsia="Tahoma" w:hAnsi="Tahoma" w:cs="Tahoma"/>
          <w:color w:val="000000" w:themeColor="text1"/>
          <w:lang w:val="es-CO"/>
        </w:rPr>
        <w:t>.</w:t>
      </w:r>
    </w:p>
    <w:p w14:paraId="63ED290C" w14:textId="77777777" w:rsidR="006957CA" w:rsidRPr="00555C03" w:rsidRDefault="006957CA" w:rsidP="00555C03">
      <w:pPr>
        <w:spacing w:line="276" w:lineRule="auto"/>
        <w:ind w:firstLine="708"/>
        <w:jc w:val="both"/>
        <w:rPr>
          <w:rFonts w:ascii="Tahoma" w:eastAsia="Tahoma" w:hAnsi="Tahoma" w:cs="Tahoma"/>
          <w:color w:val="000000" w:themeColor="text1"/>
          <w:lang w:val="es-CO"/>
        </w:rPr>
      </w:pPr>
    </w:p>
    <w:p w14:paraId="6A7474AD" w14:textId="180012B8" w:rsidR="00165DE9" w:rsidRPr="00555C03" w:rsidRDefault="00165DE9"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color w:val="000000" w:themeColor="text1"/>
          <w:lang w:val="es-CO"/>
        </w:rPr>
        <w:t>Ahora</w:t>
      </w:r>
      <w:r w:rsidR="006957CA" w:rsidRPr="00555C03">
        <w:rPr>
          <w:rFonts w:ascii="Tahoma" w:eastAsia="Tahoma" w:hAnsi="Tahoma" w:cs="Tahoma"/>
          <w:color w:val="000000" w:themeColor="text1"/>
          <w:lang w:val="es-CO"/>
        </w:rPr>
        <w:t>, como el causante registraba más de 300 semanas antes del 1° de abril de 1994</w:t>
      </w:r>
      <w:r w:rsidRPr="00555C03">
        <w:rPr>
          <w:rFonts w:ascii="Tahoma" w:eastAsia="Tahoma" w:hAnsi="Tahoma" w:cs="Tahoma"/>
          <w:color w:val="000000" w:themeColor="text1"/>
          <w:lang w:val="es-CO"/>
        </w:rPr>
        <w:t xml:space="preserve"> </w:t>
      </w:r>
      <w:r w:rsidRPr="00555C03">
        <w:rPr>
          <w:rFonts w:ascii="Tahoma" w:hAnsi="Tahoma" w:cs="Tahoma"/>
        </w:rPr>
        <w:t xml:space="preserve">– alcanzó 794.43- es evidente que dejó causado el derecho para que sus beneficiarios accedieran a la pensión de sobrevivientes en virtud </w:t>
      </w:r>
      <w:r w:rsidRPr="00555C03">
        <w:rPr>
          <w:rFonts w:ascii="Tahoma" w:eastAsia="Tahoma" w:hAnsi="Tahoma" w:cs="Tahoma"/>
          <w:color w:val="000000" w:themeColor="text1"/>
          <w:lang w:val="es-CO"/>
        </w:rPr>
        <w:t>del principio de la condición más beneficiosa y de conformidad con los requisitos previstos en el acuerdo 049 de 1990, por ser la norma anterior a la ley 100 de 1993 o, incluso el acuerdo 224 de 1966, vigente para el momento en que el afiliado fallecido realizó la totalidad de las cotizaciones al I.S.S., toda vez que la Corte Constitucional no restringió la aplicación de la condición más beneficiosa en cuanto a la ley 100 de 1993 en su versión original y el acuerdo 049 de 1990, sino que dejó abierta la posibilidad de acudir a regímenes anteriores a estos, como lo son los reglamentos del otrora administrador del RPM.</w:t>
      </w:r>
    </w:p>
    <w:p w14:paraId="18FA842F" w14:textId="77777777" w:rsidR="00165DE9" w:rsidRPr="00555C03" w:rsidRDefault="00165DE9" w:rsidP="00555C03">
      <w:pPr>
        <w:spacing w:line="276" w:lineRule="auto"/>
        <w:ind w:firstLine="708"/>
        <w:jc w:val="both"/>
        <w:rPr>
          <w:rFonts w:ascii="Tahoma" w:eastAsia="Tahoma" w:hAnsi="Tahoma" w:cs="Tahoma"/>
          <w:color w:val="000000" w:themeColor="text1"/>
          <w:lang w:val="es-CO"/>
        </w:rPr>
      </w:pPr>
    </w:p>
    <w:p w14:paraId="4C06EE8F" w14:textId="7F606E05" w:rsidR="00165DE9" w:rsidRPr="00555C03" w:rsidRDefault="00165DE9"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color w:val="000000" w:themeColor="text1"/>
          <w:lang w:val="es-CO"/>
        </w:rPr>
        <w:t xml:space="preserve">Asimismo, en este caso la causación del derecho </w:t>
      </w:r>
      <w:r w:rsidR="00B92EE3" w:rsidRPr="00555C03">
        <w:rPr>
          <w:rFonts w:ascii="Tahoma" w:eastAsia="Tahoma" w:hAnsi="Tahoma" w:cs="Tahoma"/>
          <w:color w:val="000000" w:themeColor="text1"/>
          <w:lang w:val="es-CO"/>
        </w:rPr>
        <w:t>obedece a la aplicación</w:t>
      </w:r>
      <w:r w:rsidRPr="00555C03">
        <w:rPr>
          <w:rFonts w:ascii="Tahoma" w:hAnsi="Tahoma" w:cs="Tahoma"/>
        </w:rPr>
        <w:t xml:space="preserve"> del precedente de la Sala Mayoritaria de Casación de la Corte Suprema de Justicia, que, se itera, ha sido acogido a su vez por esta Sala Mayoritaria, que permite la acumulación de tiempos públicos y privados para el reconocimiento de pensiones de vejez, invalidez y sobrevivencia.</w:t>
      </w:r>
    </w:p>
    <w:p w14:paraId="6DD29867" w14:textId="77777777" w:rsidR="006957CA" w:rsidRPr="00555C03" w:rsidRDefault="006957CA" w:rsidP="00555C03">
      <w:pPr>
        <w:pStyle w:val="Sinespaciado"/>
        <w:spacing w:line="276" w:lineRule="auto"/>
        <w:rPr>
          <w:rFonts w:ascii="Tahoma" w:eastAsia="Tahoma" w:hAnsi="Tahoma" w:cs="Tahoma"/>
          <w:lang w:val="es-CO"/>
        </w:rPr>
      </w:pPr>
    </w:p>
    <w:p w14:paraId="794063DD" w14:textId="1D1BE76E" w:rsidR="00B92EE3" w:rsidRPr="00555C03" w:rsidRDefault="006957CA" w:rsidP="00555C03">
      <w:pPr>
        <w:spacing w:line="276" w:lineRule="auto"/>
        <w:ind w:firstLine="708"/>
        <w:jc w:val="both"/>
        <w:rPr>
          <w:rFonts w:ascii="Tahoma" w:hAnsi="Tahoma" w:cs="Tahoma"/>
        </w:rPr>
      </w:pPr>
      <w:r w:rsidRPr="00555C03">
        <w:rPr>
          <w:rFonts w:ascii="Tahoma" w:eastAsia="Tahoma" w:hAnsi="Tahoma" w:cs="Tahoma"/>
          <w:color w:val="000000" w:themeColor="text1"/>
        </w:rPr>
        <w:t>Ahora, en lo que se refiere a la acreditación de la calidad de beneficiari</w:t>
      </w:r>
      <w:r w:rsidR="00165DE9" w:rsidRPr="00555C03">
        <w:rPr>
          <w:rFonts w:ascii="Tahoma" w:eastAsia="Tahoma" w:hAnsi="Tahoma" w:cs="Tahoma"/>
          <w:color w:val="000000" w:themeColor="text1"/>
        </w:rPr>
        <w:t>a</w:t>
      </w:r>
      <w:r w:rsidRPr="00555C03">
        <w:rPr>
          <w:rFonts w:ascii="Tahoma" w:eastAsia="Tahoma" w:hAnsi="Tahoma" w:cs="Tahoma"/>
          <w:color w:val="000000" w:themeColor="text1"/>
        </w:rPr>
        <w:t xml:space="preserve"> de la pensión de sobreviviente por parte de</w:t>
      </w:r>
      <w:r w:rsidR="00165DE9" w:rsidRPr="00555C03">
        <w:rPr>
          <w:rFonts w:ascii="Tahoma" w:eastAsia="Tahoma" w:hAnsi="Tahoma" w:cs="Tahoma"/>
          <w:color w:val="000000" w:themeColor="text1"/>
        </w:rPr>
        <w:t xml:space="preserve"> </w:t>
      </w:r>
      <w:r w:rsidRPr="00555C03">
        <w:rPr>
          <w:rFonts w:ascii="Tahoma" w:eastAsia="Tahoma" w:hAnsi="Tahoma" w:cs="Tahoma"/>
          <w:color w:val="000000" w:themeColor="text1"/>
        </w:rPr>
        <w:t>l</w:t>
      </w:r>
      <w:r w:rsidR="00165DE9" w:rsidRPr="00555C03">
        <w:rPr>
          <w:rFonts w:ascii="Tahoma" w:eastAsia="Tahoma" w:hAnsi="Tahoma" w:cs="Tahoma"/>
          <w:color w:val="000000" w:themeColor="text1"/>
        </w:rPr>
        <w:t>a señora</w:t>
      </w:r>
      <w:r w:rsidRPr="00555C03">
        <w:rPr>
          <w:rFonts w:ascii="Tahoma" w:eastAsia="Tahoma" w:hAnsi="Tahoma" w:cs="Tahoma"/>
          <w:color w:val="000000" w:themeColor="text1"/>
        </w:rPr>
        <w:t xml:space="preserve"> </w:t>
      </w:r>
      <w:r w:rsidR="00165DE9" w:rsidRPr="00555C03">
        <w:rPr>
          <w:rFonts w:ascii="Tahoma" w:eastAsia="Tahoma" w:hAnsi="Tahoma" w:cs="Tahoma"/>
          <w:color w:val="000000" w:themeColor="text1"/>
        </w:rPr>
        <w:t>Martínez Navarro</w:t>
      </w:r>
      <w:r w:rsidRPr="00555C03">
        <w:rPr>
          <w:rFonts w:ascii="Tahoma" w:eastAsia="Tahoma" w:hAnsi="Tahoma" w:cs="Tahoma"/>
          <w:color w:val="000000" w:themeColor="text1"/>
        </w:rPr>
        <w:t xml:space="preserve">, </w:t>
      </w:r>
      <w:r w:rsidR="00165DE9" w:rsidRPr="00555C03">
        <w:rPr>
          <w:rFonts w:ascii="Tahoma" w:eastAsia="Tahoma" w:hAnsi="Tahoma" w:cs="Tahoma"/>
          <w:color w:val="000000" w:themeColor="text1"/>
        </w:rPr>
        <w:t xml:space="preserve">se tiene que </w:t>
      </w:r>
      <w:r w:rsidR="00B92EE3" w:rsidRPr="00555C03">
        <w:rPr>
          <w:rFonts w:ascii="Tahoma" w:eastAsia="Tahoma" w:hAnsi="Tahoma" w:cs="Tahoma"/>
          <w:color w:val="000000" w:themeColor="text1"/>
        </w:rPr>
        <w:t xml:space="preserve">al </w:t>
      </w:r>
      <w:r w:rsidRPr="00555C03">
        <w:rPr>
          <w:rFonts w:ascii="Tahoma" w:eastAsia="Tahoma" w:hAnsi="Tahoma" w:cs="Tahoma"/>
          <w:color w:val="000000" w:themeColor="text1"/>
        </w:rPr>
        <w:t xml:space="preserve">proceso </w:t>
      </w:r>
      <w:r w:rsidR="00165DE9" w:rsidRPr="00555C03">
        <w:rPr>
          <w:rFonts w:ascii="Tahoma" w:eastAsia="Tahoma" w:hAnsi="Tahoma" w:cs="Tahoma"/>
          <w:color w:val="000000" w:themeColor="text1"/>
        </w:rPr>
        <w:t>concurrió la señora</w:t>
      </w:r>
      <w:r w:rsidRPr="00555C03">
        <w:rPr>
          <w:rFonts w:ascii="Tahoma" w:eastAsia="Tahoma" w:hAnsi="Tahoma" w:cs="Tahoma"/>
          <w:color w:val="000000" w:themeColor="text1"/>
        </w:rPr>
        <w:t xml:space="preserve"> </w:t>
      </w:r>
      <w:r w:rsidR="00B92EE3" w:rsidRPr="00555C03">
        <w:rPr>
          <w:rFonts w:ascii="Tahoma" w:hAnsi="Tahoma" w:cs="Tahoma"/>
        </w:rPr>
        <w:t>Olga Stella Correa Obando</w:t>
      </w:r>
      <w:r w:rsidR="00B92EE3" w:rsidRPr="00555C03">
        <w:rPr>
          <w:rFonts w:ascii="Tahoma" w:eastAsia="Tahoma" w:hAnsi="Tahoma" w:cs="Tahoma"/>
          <w:color w:val="000000" w:themeColor="text1"/>
        </w:rPr>
        <w:t xml:space="preserve"> para rendir testimonio por la parte activa, indicando la testiga que fue vecina por muchos años de la pareja conformada por la señora Betsabé y el señor Víctor Manuel, a quienes conoció desde sus 12 años por vivir en diagonal de la casa que habitaban aquellos, viéndolos constantemente. Precisó la declarante que </w:t>
      </w:r>
      <w:r w:rsidR="00B92EE3" w:rsidRPr="00555C03">
        <w:rPr>
          <w:rFonts w:ascii="Tahoma" w:hAnsi="Tahoma" w:cs="Tahoma"/>
        </w:rPr>
        <w:t xml:space="preserve">siempre los vio como pareja, en virtud de lo cual la demandante cuidó a su compañero hasta el último día de su vida, ya que ella era ama de casa y él se dedicaba a vender perfumes, con lo cual velaba por el sostenimiento del hogar.  </w:t>
      </w:r>
    </w:p>
    <w:p w14:paraId="2898B1E2" w14:textId="77777777" w:rsidR="00D06902" w:rsidRPr="00555C03" w:rsidRDefault="00D06902" w:rsidP="00555C03">
      <w:pPr>
        <w:pStyle w:val="Sinespaciado"/>
        <w:spacing w:line="276" w:lineRule="auto"/>
        <w:rPr>
          <w:rFonts w:ascii="Tahoma" w:hAnsi="Tahoma" w:cs="Tahoma"/>
        </w:rPr>
      </w:pPr>
    </w:p>
    <w:p w14:paraId="44FCCAAF" w14:textId="46A23831" w:rsidR="00165DE9" w:rsidRPr="00555C03" w:rsidRDefault="00D06902" w:rsidP="00555C03">
      <w:pPr>
        <w:widowControl w:val="0"/>
        <w:autoSpaceDE w:val="0"/>
        <w:autoSpaceDN w:val="0"/>
        <w:adjustRightInd w:val="0"/>
        <w:spacing w:line="276" w:lineRule="auto"/>
        <w:ind w:firstLine="708"/>
        <w:jc w:val="both"/>
        <w:rPr>
          <w:rFonts w:ascii="Tahoma" w:hAnsi="Tahoma" w:cs="Tahoma"/>
        </w:rPr>
      </w:pPr>
      <w:r w:rsidRPr="00555C03">
        <w:rPr>
          <w:rFonts w:ascii="Tahoma" w:hAnsi="Tahoma" w:cs="Tahoma"/>
        </w:rPr>
        <w:t>Así</w:t>
      </w:r>
      <w:r w:rsidR="00165DE9" w:rsidRPr="00555C03">
        <w:rPr>
          <w:rFonts w:ascii="Tahoma" w:hAnsi="Tahoma" w:cs="Tahoma"/>
        </w:rPr>
        <w:t xml:space="preserve">, </w:t>
      </w:r>
      <w:r w:rsidRPr="00555C03">
        <w:rPr>
          <w:rFonts w:ascii="Tahoma" w:hAnsi="Tahoma" w:cs="Tahoma"/>
        </w:rPr>
        <w:t>el</w:t>
      </w:r>
      <w:r w:rsidR="00165DE9" w:rsidRPr="00555C03">
        <w:rPr>
          <w:rFonts w:ascii="Tahoma" w:hAnsi="Tahoma" w:cs="Tahoma"/>
        </w:rPr>
        <w:t xml:space="preserve"> testimonio de la señora </w:t>
      </w:r>
      <w:r w:rsidRPr="00555C03">
        <w:rPr>
          <w:rFonts w:ascii="Tahoma" w:hAnsi="Tahoma" w:cs="Tahoma"/>
        </w:rPr>
        <w:t>Olga Stella Correa Obando</w:t>
      </w:r>
      <w:r w:rsidRPr="00555C03">
        <w:rPr>
          <w:rFonts w:ascii="Tahoma" w:eastAsia="Tahoma" w:hAnsi="Tahoma" w:cs="Tahoma"/>
          <w:color w:val="000000" w:themeColor="text1"/>
        </w:rPr>
        <w:t xml:space="preserve"> </w:t>
      </w:r>
      <w:r w:rsidR="00165DE9" w:rsidRPr="00555C03">
        <w:rPr>
          <w:rFonts w:ascii="Tahoma" w:hAnsi="Tahoma" w:cs="Tahoma"/>
        </w:rPr>
        <w:t>resulta</w:t>
      </w:r>
      <w:r w:rsidRPr="00555C03">
        <w:rPr>
          <w:rFonts w:ascii="Tahoma" w:hAnsi="Tahoma" w:cs="Tahoma"/>
        </w:rPr>
        <w:t xml:space="preserve"> </w:t>
      </w:r>
      <w:r w:rsidR="00165DE9" w:rsidRPr="00555C03">
        <w:rPr>
          <w:rFonts w:ascii="Tahoma" w:hAnsi="Tahoma" w:cs="Tahoma"/>
        </w:rPr>
        <w:t xml:space="preserve">verosímil en el contexto de lo alegado y circunstanciadas en tiempo modo y lugar, amén de que fue testiga presencial y directa de la situación, al ser </w:t>
      </w:r>
      <w:r w:rsidRPr="00555C03">
        <w:rPr>
          <w:rFonts w:ascii="Tahoma" w:hAnsi="Tahoma" w:cs="Tahoma"/>
        </w:rPr>
        <w:t xml:space="preserve">vecina y muy allegada a la pareja, hasta el punto que manifestó que era considerada por aquellos como una hija más, </w:t>
      </w:r>
      <w:r w:rsidR="00165DE9" w:rsidRPr="00555C03">
        <w:rPr>
          <w:rFonts w:ascii="Tahoma" w:hAnsi="Tahoma" w:cs="Tahoma"/>
        </w:rPr>
        <w:t xml:space="preserve">y, por ende, conoció de primera mano la relación que sostuvo </w:t>
      </w:r>
      <w:r w:rsidRPr="00555C03">
        <w:rPr>
          <w:rFonts w:ascii="Tahoma" w:hAnsi="Tahoma" w:cs="Tahoma"/>
        </w:rPr>
        <w:t xml:space="preserve">la demandante </w:t>
      </w:r>
      <w:r w:rsidR="00165DE9" w:rsidRPr="00555C03">
        <w:rPr>
          <w:rFonts w:ascii="Tahoma" w:hAnsi="Tahoma" w:cs="Tahoma"/>
        </w:rPr>
        <w:t>con el causante</w:t>
      </w:r>
      <w:r w:rsidRPr="00555C03">
        <w:rPr>
          <w:rFonts w:ascii="Tahoma" w:hAnsi="Tahoma" w:cs="Tahoma"/>
        </w:rPr>
        <w:t xml:space="preserve"> por lo menos desde que tenía 12 años -aproximadamente desde el año 1971 si se tiene en cuenta que la deponente indicó en la audiencia que tenía 64 años- y</w:t>
      </w:r>
      <w:r w:rsidR="00165DE9" w:rsidRPr="00555C03">
        <w:rPr>
          <w:rFonts w:ascii="Tahoma" w:hAnsi="Tahoma" w:cs="Tahoma"/>
        </w:rPr>
        <w:t xml:space="preserve"> hasta el fallecimiento del señor </w:t>
      </w:r>
      <w:r w:rsidRPr="00555C03">
        <w:rPr>
          <w:rFonts w:ascii="Tahoma" w:hAnsi="Tahoma" w:cs="Tahoma"/>
          <w:lang w:val="es-CO"/>
        </w:rPr>
        <w:t>Romero González</w:t>
      </w:r>
      <w:r w:rsidR="00165DE9" w:rsidRPr="00555C03">
        <w:rPr>
          <w:rFonts w:ascii="Tahoma" w:hAnsi="Tahoma" w:cs="Tahoma"/>
        </w:rPr>
        <w:t xml:space="preserve">, </w:t>
      </w:r>
      <w:r w:rsidRPr="00555C03">
        <w:rPr>
          <w:rFonts w:ascii="Tahoma" w:hAnsi="Tahoma" w:cs="Tahoma"/>
        </w:rPr>
        <w:t xml:space="preserve">lo que permite colegir que la relación estuvo vigente durante 40 aproximadamente, </w:t>
      </w:r>
      <w:r w:rsidR="00165DE9" w:rsidRPr="00555C03">
        <w:rPr>
          <w:rFonts w:ascii="Tahoma" w:hAnsi="Tahoma" w:cs="Tahoma"/>
        </w:rPr>
        <w:t>interregno en el que no medio separación alguna</w:t>
      </w:r>
      <w:r w:rsidRPr="00555C03">
        <w:rPr>
          <w:rFonts w:ascii="Tahoma" w:hAnsi="Tahoma" w:cs="Tahoma"/>
        </w:rPr>
        <w:t>.</w:t>
      </w:r>
    </w:p>
    <w:p w14:paraId="30F86262" w14:textId="77777777" w:rsidR="00165DE9" w:rsidRPr="00555C03" w:rsidRDefault="00165DE9" w:rsidP="00555C03">
      <w:pPr>
        <w:widowControl w:val="0"/>
        <w:autoSpaceDE w:val="0"/>
        <w:autoSpaceDN w:val="0"/>
        <w:adjustRightInd w:val="0"/>
        <w:spacing w:line="276" w:lineRule="auto"/>
        <w:ind w:firstLine="708"/>
        <w:jc w:val="both"/>
        <w:rPr>
          <w:rFonts w:ascii="Tahoma" w:hAnsi="Tahoma" w:cs="Tahoma"/>
        </w:rPr>
      </w:pPr>
    </w:p>
    <w:p w14:paraId="4C3EFC84" w14:textId="736EAA37" w:rsidR="006957CA" w:rsidRPr="00555C03" w:rsidRDefault="00165DE9" w:rsidP="00555C03">
      <w:pPr>
        <w:widowControl w:val="0"/>
        <w:autoSpaceDE w:val="0"/>
        <w:autoSpaceDN w:val="0"/>
        <w:adjustRightInd w:val="0"/>
        <w:spacing w:line="276" w:lineRule="auto"/>
        <w:ind w:firstLine="708"/>
        <w:jc w:val="both"/>
        <w:rPr>
          <w:rFonts w:ascii="Tahoma" w:eastAsia="Tahoma" w:hAnsi="Tahoma" w:cs="Tahoma"/>
          <w:color w:val="000000" w:themeColor="text1"/>
          <w:lang w:val="es-CO"/>
        </w:rPr>
      </w:pPr>
      <w:r w:rsidRPr="00555C03">
        <w:rPr>
          <w:rFonts w:ascii="Tahoma" w:hAnsi="Tahoma" w:cs="Tahoma"/>
        </w:rPr>
        <w:t xml:space="preserve">Lo hasta aquí discurrido permite concluir que </w:t>
      </w:r>
      <w:r w:rsidR="00D06902" w:rsidRPr="00555C03">
        <w:rPr>
          <w:rFonts w:ascii="Tahoma" w:hAnsi="Tahoma" w:cs="Tahoma"/>
        </w:rPr>
        <w:t xml:space="preserve">a </w:t>
      </w:r>
      <w:r w:rsidRPr="00555C03">
        <w:rPr>
          <w:rFonts w:ascii="Tahoma" w:hAnsi="Tahoma" w:cs="Tahoma"/>
        </w:rPr>
        <w:t xml:space="preserve">la </w:t>
      </w:r>
      <w:r w:rsidR="00D06902" w:rsidRPr="00555C03">
        <w:rPr>
          <w:rFonts w:ascii="Tahoma" w:hAnsi="Tahoma" w:cs="Tahoma"/>
        </w:rPr>
        <w:t xml:space="preserve">señora Betsabé Martínez Navarro, </w:t>
      </w:r>
      <w:r w:rsidRPr="00555C03">
        <w:rPr>
          <w:rFonts w:ascii="Tahoma" w:hAnsi="Tahoma" w:cs="Tahoma"/>
        </w:rPr>
        <w:t xml:space="preserve">en su calidad de </w:t>
      </w:r>
      <w:r w:rsidR="00D06902" w:rsidRPr="00555C03">
        <w:rPr>
          <w:rFonts w:ascii="Tahoma" w:hAnsi="Tahoma" w:cs="Tahoma"/>
        </w:rPr>
        <w:t>compañera permanente</w:t>
      </w:r>
      <w:r w:rsidRPr="00555C03">
        <w:rPr>
          <w:rFonts w:ascii="Tahoma" w:hAnsi="Tahoma" w:cs="Tahoma"/>
        </w:rPr>
        <w:t xml:space="preserve">, </w:t>
      </w:r>
      <w:r w:rsidR="00D06902" w:rsidRPr="00555C03">
        <w:rPr>
          <w:rFonts w:ascii="Tahoma" w:hAnsi="Tahoma" w:cs="Tahoma"/>
        </w:rPr>
        <w:t>le asistía d</w:t>
      </w:r>
      <w:r w:rsidRPr="00555C03">
        <w:rPr>
          <w:rFonts w:ascii="Tahoma" w:hAnsi="Tahoma" w:cs="Tahoma"/>
        </w:rPr>
        <w:t xml:space="preserve">erecho a la pensión de sobrevivientes a partir del momento del deceso del señor </w:t>
      </w:r>
      <w:r w:rsidR="00D06902" w:rsidRPr="00555C03">
        <w:rPr>
          <w:rFonts w:ascii="Tahoma" w:hAnsi="Tahoma" w:cs="Tahoma"/>
          <w:lang w:val="es-CO"/>
        </w:rPr>
        <w:t>Víctor Manuel Romero González</w:t>
      </w:r>
      <w:r w:rsidR="00B23576" w:rsidRPr="00555C03">
        <w:rPr>
          <w:rFonts w:ascii="Tahoma" w:hAnsi="Tahoma" w:cs="Tahoma"/>
        </w:rPr>
        <w:t xml:space="preserve">, toda vez </w:t>
      </w:r>
      <w:r w:rsidR="009A57AB" w:rsidRPr="00555C03">
        <w:rPr>
          <w:rFonts w:ascii="Tahoma" w:hAnsi="Tahoma" w:cs="Tahoma"/>
        </w:rPr>
        <w:t>que,</w:t>
      </w:r>
      <w:r w:rsidR="00B23576" w:rsidRPr="00555C03">
        <w:rPr>
          <w:rFonts w:ascii="Tahoma" w:hAnsi="Tahoma" w:cs="Tahoma"/>
        </w:rPr>
        <w:t xml:space="preserve"> </w:t>
      </w:r>
      <w:r w:rsidR="00B23576" w:rsidRPr="00555C03">
        <w:rPr>
          <w:rFonts w:ascii="Tahoma" w:eastAsia="Tahoma" w:hAnsi="Tahoma" w:cs="Tahoma"/>
          <w:color w:val="000000" w:themeColor="text1"/>
          <w:lang w:val="es-CO"/>
        </w:rPr>
        <w:t>e</w:t>
      </w:r>
      <w:r w:rsidR="006957CA" w:rsidRPr="00555C03">
        <w:rPr>
          <w:rFonts w:ascii="Tahoma" w:eastAsia="Tahoma" w:hAnsi="Tahoma" w:cs="Tahoma"/>
          <w:color w:val="000000" w:themeColor="text1"/>
          <w:lang w:val="es-CO"/>
        </w:rPr>
        <w:t>n este caso</w:t>
      </w:r>
      <w:r w:rsidR="00B23576" w:rsidRPr="00555C03">
        <w:rPr>
          <w:rFonts w:ascii="Tahoma" w:eastAsia="Tahoma" w:hAnsi="Tahoma" w:cs="Tahoma"/>
          <w:color w:val="000000" w:themeColor="text1"/>
          <w:lang w:val="es-CO"/>
        </w:rPr>
        <w:t xml:space="preserve">, </w:t>
      </w:r>
      <w:r w:rsidR="006957CA" w:rsidRPr="00555C03">
        <w:rPr>
          <w:rFonts w:ascii="Tahoma" w:eastAsia="Tahoma" w:hAnsi="Tahoma" w:cs="Tahoma"/>
          <w:color w:val="000000" w:themeColor="text1"/>
          <w:lang w:val="es-CO"/>
        </w:rPr>
        <w:t>se cumple a cabalidad el test de procedibilidad establecido por la Corte Constitucional en la sentencia SU –005 de 2018 de acuerdo a lo siguiente:</w:t>
      </w:r>
    </w:p>
    <w:p w14:paraId="276A275A" w14:textId="77777777" w:rsidR="006957CA" w:rsidRPr="00555C03" w:rsidRDefault="006957CA" w:rsidP="00555C03">
      <w:pPr>
        <w:spacing w:line="276" w:lineRule="auto"/>
        <w:ind w:firstLine="708"/>
        <w:jc w:val="both"/>
        <w:rPr>
          <w:rFonts w:ascii="Tahoma" w:eastAsia="Tahoma" w:hAnsi="Tahoma" w:cs="Tahoma"/>
          <w:color w:val="000000" w:themeColor="text1"/>
          <w:lang w:val="es-CO"/>
        </w:rPr>
      </w:pPr>
    </w:p>
    <w:p w14:paraId="2E74618B" w14:textId="688D8D48" w:rsidR="006957CA" w:rsidRPr="00555C03" w:rsidRDefault="006957CA"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b/>
          <w:bCs/>
          <w:color w:val="000000" w:themeColor="text1"/>
          <w:lang w:val="es-CO"/>
        </w:rPr>
        <w:t>i) l</w:t>
      </w:r>
      <w:r w:rsidR="00B23576" w:rsidRPr="00555C03">
        <w:rPr>
          <w:rFonts w:ascii="Tahoma" w:eastAsia="Tahoma" w:hAnsi="Tahoma" w:cs="Tahoma"/>
          <w:b/>
          <w:bCs/>
          <w:color w:val="000000" w:themeColor="text1"/>
          <w:lang w:val="es-CO"/>
        </w:rPr>
        <w:t>a</w:t>
      </w:r>
      <w:r w:rsidRPr="00555C03">
        <w:rPr>
          <w:rFonts w:ascii="Tahoma" w:eastAsia="Tahoma" w:hAnsi="Tahoma" w:cs="Tahoma"/>
          <w:b/>
          <w:bCs/>
          <w:color w:val="000000" w:themeColor="text1"/>
          <w:lang w:val="es-CO"/>
        </w:rPr>
        <w:t xml:space="preserve"> accionante pertenece a un grupo de especial protección constitucional: </w:t>
      </w:r>
      <w:r w:rsidR="00B23576" w:rsidRPr="00555C03">
        <w:rPr>
          <w:rFonts w:ascii="Tahoma" w:eastAsia="Tahoma" w:hAnsi="Tahoma" w:cs="Tahoma"/>
          <w:color w:val="000000" w:themeColor="text1"/>
          <w:lang w:val="es-CO"/>
        </w:rPr>
        <w:t xml:space="preserve">La actora </w:t>
      </w:r>
      <w:r w:rsidR="00B23576" w:rsidRPr="00555C03">
        <w:rPr>
          <w:rFonts w:ascii="Tahoma" w:hAnsi="Tahoma" w:cs="Tahoma"/>
          <w:lang w:val="es-CO"/>
        </w:rPr>
        <w:t xml:space="preserve">nació el 26 de marzo de 1930, </w:t>
      </w:r>
      <w:r w:rsidR="00B23576" w:rsidRPr="00555C03">
        <w:rPr>
          <w:rFonts w:ascii="Tahoma" w:eastAsia="Tahoma" w:hAnsi="Tahoma" w:cs="Tahoma"/>
          <w:color w:val="000000" w:themeColor="text1"/>
          <w:lang w:val="es-CO"/>
        </w:rPr>
        <w:t>por lo que al momento de presentarse la demanda contaba con 89 años, es decir que, por pertenecer a la tercera edad, era acreedora</w:t>
      </w:r>
      <w:r w:rsidRPr="00555C03">
        <w:rPr>
          <w:rFonts w:ascii="Tahoma" w:eastAsia="Tahoma" w:hAnsi="Tahoma" w:cs="Tahoma"/>
          <w:color w:val="000000" w:themeColor="text1"/>
          <w:lang w:val="es-CO"/>
        </w:rPr>
        <w:t xml:space="preserve"> de una especial protección por parte del Estado. </w:t>
      </w:r>
    </w:p>
    <w:p w14:paraId="41CECDAA" w14:textId="77777777" w:rsidR="006957CA" w:rsidRPr="00555C03" w:rsidRDefault="006957CA" w:rsidP="00555C03">
      <w:pPr>
        <w:spacing w:line="276" w:lineRule="auto"/>
        <w:ind w:firstLine="708"/>
        <w:jc w:val="both"/>
        <w:rPr>
          <w:rFonts w:ascii="Tahoma" w:eastAsia="Tahoma" w:hAnsi="Tahoma" w:cs="Tahoma"/>
          <w:color w:val="000000" w:themeColor="text1"/>
          <w:lang w:val="es-CO"/>
        </w:rPr>
      </w:pPr>
    </w:p>
    <w:p w14:paraId="35B4C721" w14:textId="4176D471" w:rsidR="006957CA" w:rsidRPr="00555C03" w:rsidRDefault="006957CA"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b/>
          <w:bCs/>
          <w:color w:val="000000" w:themeColor="text1"/>
          <w:lang w:val="es-CO"/>
        </w:rPr>
        <w:t>ii) que el no reconocimiento de la prestación afecta su mínimo vital</w:t>
      </w:r>
      <w:r w:rsidR="00B23576" w:rsidRPr="00555C03">
        <w:rPr>
          <w:rFonts w:ascii="Tahoma" w:eastAsia="Tahoma" w:hAnsi="Tahoma" w:cs="Tahoma"/>
          <w:b/>
          <w:bCs/>
          <w:color w:val="000000" w:themeColor="text1"/>
          <w:lang w:val="es-CO"/>
        </w:rPr>
        <w:t xml:space="preserve"> y</w:t>
      </w:r>
      <w:r w:rsidR="7270FB90" w:rsidRPr="00555C03">
        <w:rPr>
          <w:rFonts w:ascii="Tahoma" w:eastAsia="Tahoma" w:hAnsi="Tahoma" w:cs="Tahoma"/>
          <w:b/>
          <w:bCs/>
          <w:color w:val="000000" w:themeColor="text1"/>
          <w:lang w:val="es-CO"/>
        </w:rPr>
        <w:t xml:space="preserve">a que la demandante </w:t>
      </w:r>
      <w:r w:rsidR="00B23576" w:rsidRPr="00555C03">
        <w:rPr>
          <w:rFonts w:ascii="Tahoma" w:eastAsia="Tahoma" w:hAnsi="Tahoma" w:cs="Tahoma"/>
          <w:b/>
          <w:bCs/>
          <w:color w:val="000000" w:themeColor="text1"/>
          <w:lang w:val="es-CO"/>
        </w:rPr>
        <w:t xml:space="preserve">iii) </w:t>
      </w:r>
      <w:r w:rsidR="51C36E29" w:rsidRPr="00555C03">
        <w:rPr>
          <w:rFonts w:ascii="Tahoma" w:eastAsia="Tahoma" w:hAnsi="Tahoma" w:cs="Tahoma"/>
          <w:b/>
          <w:bCs/>
          <w:color w:val="000000" w:themeColor="text1"/>
          <w:lang w:val="es-CO"/>
        </w:rPr>
        <w:t xml:space="preserve">dependía </w:t>
      </w:r>
      <w:r w:rsidR="00B23576" w:rsidRPr="00555C03">
        <w:rPr>
          <w:rFonts w:ascii="Tahoma" w:eastAsia="Tahoma" w:hAnsi="Tahoma" w:cs="Tahoma"/>
          <w:b/>
          <w:bCs/>
          <w:color w:val="000000" w:themeColor="text1"/>
          <w:lang w:val="es-CO"/>
        </w:rPr>
        <w:t>económica</w:t>
      </w:r>
      <w:r w:rsidR="50427524" w:rsidRPr="00555C03">
        <w:rPr>
          <w:rFonts w:ascii="Tahoma" w:eastAsia="Tahoma" w:hAnsi="Tahoma" w:cs="Tahoma"/>
          <w:b/>
          <w:bCs/>
          <w:color w:val="000000" w:themeColor="text1"/>
          <w:lang w:val="es-CO"/>
        </w:rPr>
        <w:t xml:space="preserve">mente del </w:t>
      </w:r>
      <w:r w:rsidR="00B23576" w:rsidRPr="00555C03">
        <w:rPr>
          <w:rFonts w:ascii="Tahoma" w:eastAsia="Tahoma" w:hAnsi="Tahoma" w:cs="Tahoma"/>
          <w:b/>
          <w:bCs/>
          <w:color w:val="000000" w:themeColor="text1"/>
          <w:lang w:val="es-CO"/>
        </w:rPr>
        <w:t xml:space="preserve">causante: </w:t>
      </w:r>
      <w:r w:rsidR="00B23576" w:rsidRPr="00555C03">
        <w:rPr>
          <w:rFonts w:ascii="Tahoma" w:hAnsi="Tahoma" w:cs="Tahoma"/>
          <w:lang w:val="es-CO"/>
        </w:rPr>
        <w:t xml:space="preserve">La señora Olga Stella Correa Obando dio cuenta con su testimonio no solo del cumplimiento del requisito de convivencia exigido en la ley para los compañeros permanentes, sino también </w:t>
      </w:r>
      <w:r w:rsidR="513F3C07" w:rsidRPr="00555C03">
        <w:rPr>
          <w:rFonts w:ascii="Tahoma" w:hAnsi="Tahoma" w:cs="Tahoma"/>
          <w:lang w:val="es-CO"/>
        </w:rPr>
        <w:t xml:space="preserve">de </w:t>
      </w:r>
      <w:r w:rsidR="00B23576" w:rsidRPr="00555C03">
        <w:rPr>
          <w:rFonts w:ascii="Tahoma" w:hAnsi="Tahoma" w:cs="Tahoma"/>
          <w:lang w:val="es-CO"/>
        </w:rPr>
        <w:t>que la señora Betsabé dependía económicamente del señor Víctor Manuel Romero González y por tanto, se colige que la carencia del reconocimiento de la pensión de sobrevivientes afectó directamente la satisfacción de sus necesidades básicas, ya que fueron sus hijos quienes tuvieron que hacerse cargo de su sostenimiento, como bien lo aseveró la única testigo escuchada en el proceso.</w:t>
      </w:r>
    </w:p>
    <w:p w14:paraId="734804B1" w14:textId="77777777" w:rsidR="006957CA" w:rsidRPr="00555C03" w:rsidRDefault="006957CA" w:rsidP="00555C03">
      <w:pPr>
        <w:spacing w:line="276" w:lineRule="auto"/>
        <w:ind w:firstLine="708"/>
        <w:jc w:val="both"/>
        <w:rPr>
          <w:rFonts w:ascii="Tahoma" w:eastAsia="Tahoma" w:hAnsi="Tahoma" w:cs="Tahoma"/>
          <w:color w:val="000000" w:themeColor="text1"/>
          <w:lang w:val="es-CO"/>
        </w:rPr>
      </w:pPr>
    </w:p>
    <w:p w14:paraId="7E8AD0D1" w14:textId="14D233A9" w:rsidR="00D75001" w:rsidRPr="00555C03" w:rsidRDefault="006957CA"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b/>
          <w:bCs/>
          <w:color w:val="000000" w:themeColor="text1"/>
          <w:lang w:val="es-CO"/>
        </w:rPr>
        <w:t xml:space="preserve">iv) la imposibilidad del causante de cotizar las semanas exigidas en el sistema de pensiones: </w:t>
      </w:r>
      <w:r w:rsidRPr="00555C03">
        <w:rPr>
          <w:rFonts w:ascii="Tahoma" w:eastAsia="Tahoma" w:hAnsi="Tahoma" w:cs="Tahoma"/>
          <w:color w:val="000000" w:themeColor="text1"/>
          <w:lang w:val="es-CO"/>
        </w:rPr>
        <w:t>Respecto a este punto, si bien no se indicó de manera expresa las razones por las cuales el causante no pudo continuar cotizando, no puede pasar por alto la Sala</w:t>
      </w:r>
      <w:r w:rsidR="383B1A59" w:rsidRPr="00555C03">
        <w:rPr>
          <w:rFonts w:ascii="Tahoma" w:eastAsia="Tahoma" w:hAnsi="Tahoma" w:cs="Tahoma"/>
          <w:color w:val="000000" w:themeColor="text1"/>
          <w:lang w:val="es-CO"/>
        </w:rPr>
        <w:t xml:space="preserve"> mayoritaria </w:t>
      </w:r>
      <w:r w:rsidRPr="00555C03">
        <w:rPr>
          <w:rFonts w:ascii="Tahoma" w:eastAsia="Tahoma" w:hAnsi="Tahoma" w:cs="Tahoma"/>
          <w:color w:val="000000" w:themeColor="text1"/>
          <w:lang w:val="es-CO"/>
        </w:rPr>
        <w:t xml:space="preserve">que las cotizaciones del actor fueron realizadas en su totalidad con anterioridad a la expedición de la ley 100 de 1993, propiamente entre el </w:t>
      </w:r>
      <w:r w:rsidR="00EA189E" w:rsidRPr="00555C03">
        <w:rPr>
          <w:rFonts w:ascii="Tahoma" w:hAnsi="Tahoma" w:cs="Tahoma"/>
          <w:lang w:val="es-CO"/>
        </w:rPr>
        <w:t xml:space="preserve">21 de julio de 1952 </w:t>
      </w:r>
      <w:r w:rsidR="00EA189E" w:rsidRPr="00555C03">
        <w:rPr>
          <w:rFonts w:ascii="Tahoma" w:eastAsia="Tahoma" w:hAnsi="Tahoma" w:cs="Tahoma"/>
          <w:color w:val="000000" w:themeColor="text1"/>
          <w:lang w:val="es-CO"/>
        </w:rPr>
        <w:t xml:space="preserve">al </w:t>
      </w:r>
      <w:r w:rsidR="00EA189E" w:rsidRPr="00555C03">
        <w:rPr>
          <w:rFonts w:ascii="Tahoma" w:hAnsi="Tahoma" w:cs="Tahoma"/>
        </w:rPr>
        <w:t>01 de septiembre de 1975</w:t>
      </w:r>
      <w:r w:rsidRPr="00555C03">
        <w:rPr>
          <w:rFonts w:ascii="Tahoma" w:eastAsia="Tahoma" w:hAnsi="Tahoma" w:cs="Tahoma"/>
          <w:color w:val="000000" w:themeColor="text1"/>
          <w:lang w:val="es-CO"/>
        </w:rPr>
        <w:t xml:space="preserve">, última fecha en la que se encontraba vigente el </w:t>
      </w:r>
      <w:r w:rsidR="004372F5" w:rsidRPr="00555C03">
        <w:rPr>
          <w:rFonts w:ascii="Tahoma" w:eastAsia="Tahoma" w:hAnsi="Tahoma" w:cs="Tahoma"/>
          <w:color w:val="000000" w:themeColor="text1"/>
          <w:lang w:val="es-CO"/>
        </w:rPr>
        <w:t xml:space="preserve">Decreto 3041 de 1966 </w:t>
      </w:r>
      <w:r w:rsidRPr="00555C03">
        <w:rPr>
          <w:rFonts w:ascii="Tahoma" w:eastAsia="Tahoma" w:hAnsi="Tahoma" w:cs="Tahoma"/>
          <w:color w:val="000000" w:themeColor="text1"/>
          <w:lang w:val="es-CO"/>
        </w:rPr>
        <w:t>que</w:t>
      </w:r>
      <w:r w:rsidR="004372F5" w:rsidRPr="00555C03">
        <w:rPr>
          <w:rFonts w:ascii="Tahoma" w:eastAsia="Tahoma" w:hAnsi="Tahoma" w:cs="Tahoma"/>
          <w:color w:val="000000" w:themeColor="text1"/>
          <w:lang w:val="es-CO"/>
        </w:rPr>
        <w:t>, como los reglamentos del ISS anteriores al Acuerdo 049 de 1990,</w:t>
      </w:r>
      <w:r w:rsidRPr="00555C03">
        <w:rPr>
          <w:rFonts w:ascii="Tahoma" w:eastAsia="Tahoma" w:hAnsi="Tahoma" w:cs="Tahoma"/>
          <w:color w:val="000000" w:themeColor="text1"/>
          <w:lang w:val="es-CO"/>
        </w:rPr>
        <w:t xml:space="preserve"> no permitía que, una vez finalizada la relación laboral que dio lugar a los aportes, el ahora causante continuara efectuando cotizaciones como trabajador independiente. Posteriormente, si bien</w:t>
      </w:r>
      <w:r w:rsidR="004372F5" w:rsidRPr="00555C03">
        <w:rPr>
          <w:rFonts w:ascii="Tahoma" w:eastAsia="Tahoma" w:hAnsi="Tahoma" w:cs="Tahoma"/>
          <w:color w:val="000000" w:themeColor="text1"/>
          <w:lang w:val="es-CO"/>
        </w:rPr>
        <w:t xml:space="preserve"> el Acuerdo 049 de 1990 permitía la afiliación, esta era facultativa para los trabajadores independientes, misma que a través de</w:t>
      </w:r>
      <w:r w:rsidRPr="00555C03">
        <w:rPr>
          <w:rFonts w:ascii="Tahoma" w:eastAsia="Tahoma" w:hAnsi="Tahoma" w:cs="Tahoma"/>
          <w:color w:val="000000" w:themeColor="text1"/>
          <w:lang w:val="es-CO"/>
        </w:rPr>
        <w:t xml:space="preserve"> la ley 100 de 1993</w:t>
      </w:r>
      <w:r w:rsidR="004372F5" w:rsidRPr="00555C03">
        <w:rPr>
          <w:rFonts w:ascii="Tahoma" w:eastAsia="Tahoma" w:hAnsi="Tahoma" w:cs="Tahoma"/>
          <w:color w:val="000000" w:themeColor="text1"/>
          <w:lang w:val="es-CO"/>
        </w:rPr>
        <w:t xml:space="preserve"> se tornó obligatoria</w:t>
      </w:r>
      <w:r w:rsidRPr="00555C03">
        <w:rPr>
          <w:rFonts w:ascii="Tahoma" w:eastAsia="Tahoma" w:hAnsi="Tahoma" w:cs="Tahoma"/>
          <w:color w:val="000000" w:themeColor="text1"/>
          <w:lang w:val="es-CO"/>
        </w:rPr>
        <w:t xml:space="preserve">, es </w:t>
      </w:r>
      <w:r w:rsidRPr="00555C03">
        <w:rPr>
          <w:rFonts w:ascii="Tahoma" w:eastAsia="Tahoma" w:hAnsi="Tahoma" w:cs="Tahoma"/>
          <w:color w:val="000000" w:themeColor="text1"/>
          <w:lang w:val="es-CO"/>
        </w:rPr>
        <w:lastRenderedPageBreak/>
        <w:t xml:space="preserve">razonable inferir que </w:t>
      </w:r>
      <w:r w:rsidR="004372F5" w:rsidRPr="00555C03">
        <w:rPr>
          <w:rFonts w:ascii="Tahoma" w:eastAsia="Tahoma" w:hAnsi="Tahoma" w:cs="Tahoma"/>
          <w:color w:val="000000" w:themeColor="text1"/>
          <w:lang w:val="es-CO"/>
        </w:rPr>
        <w:t>el señor Víctor Manuel como vendedor de perfumes</w:t>
      </w:r>
      <w:r w:rsidRPr="00555C03">
        <w:rPr>
          <w:rFonts w:ascii="Tahoma" w:eastAsia="Tahoma" w:hAnsi="Tahoma" w:cs="Tahoma"/>
          <w:color w:val="000000" w:themeColor="text1"/>
          <w:lang w:val="es-CO"/>
        </w:rPr>
        <w:t xml:space="preserve"> no est</w:t>
      </w:r>
      <w:r w:rsidR="004372F5" w:rsidRPr="00555C03">
        <w:rPr>
          <w:rFonts w:ascii="Tahoma" w:eastAsia="Tahoma" w:hAnsi="Tahoma" w:cs="Tahoma"/>
          <w:color w:val="000000" w:themeColor="text1"/>
          <w:lang w:val="es-CO"/>
        </w:rPr>
        <w:t>aba</w:t>
      </w:r>
      <w:r w:rsidRPr="00555C03">
        <w:rPr>
          <w:rFonts w:ascii="Tahoma" w:eastAsia="Tahoma" w:hAnsi="Tahoma" w:cs="Tahoma"/>
          <w:color w:val="000000" w:themeColor="text1"/>
          <w:lang w:val="es-CO"/>
        </w:rPr>
        <w:t xml:space="preserve"> en posibilidad de realizar el aporte pensional, puesto que, dada la informalidad de la labor</w:t>
      </w:r>
      <w:r w:rsidR="004372F5" w:rsidRPr="00555C03">
        <w:rPr>
          <w:rFonts w:ascii="Tahoma" w:eastAsia="Tahoma" w:hAnsi="Tahoma" w:cs="Tahoma"/>
          <w:color w:val="000000" w:themeColor="text1"/>
          <w:lang w:val="es-CO"/>
        </w:rPr>
        <w:t xml:space="preserve"> </w:t>
      </w:r>
      <w:r w:rsidR="00D75001" w:rsidRPr="00555C03">
        <w:rPr>
          <w:rFonts w:ascii="Tahoma" w:eastAsia="Tahoma" w:hAnsi="Tahoma" w:cs="Tahoma"/>
          <w:color w:val="000000" w:themeColor="text1"/>
          <w:lang w:val="es-CO"/>
        </w:rPr>
        <w:t>no cuenta con ingresos fijos y estos suelen ser incluso menores al</w:t>
      </w:r>
      <w:r w:rsidRPr="00555C03">
        <w:rPr>
          <w:rFonts w:ascii="Tahoma" w:eastAsia="Tahoma" w:hAnsi="Tahoma" w:cs="Tahoma"/>
          <w:color w:val="000000" w:themeColor="text1"/>
          <w:lang w:val="es-CO"/>
        </w:rPr>
        <w:t xml:space="preserve"> salario mínimo, adicional a lo cual no </w:t>
      </w:r>
      <w:r w:rsidR="00D75001" w:rsidRPr="00555C03">
        <w:rPr>
          <w:rFonts w:ascii="Tahoma" w:eastAsia="Tahoma" w:hAnsi="Tahoma" w:cs="Tahoma"/>
          <w:color w:val="000000" w:themeColor="text1"/>
          <w:lang w:val="es-CO"/>
        </w:rPr>
        <w:t>son</w:t>
      </w:r>
      <w:r w:rsidRPr="00555C03">
        <w:rPr>
          <w:rFonts w:ascii="Tahoma" w:eastAsia="Tahoma" w:hAnsi="Tahoma" w:cs="Tahoma"/>
          <w:color w:val="000000" w:themeColor="text1"/>
          <w:lang w:val="es-CO"/>
        </w:rPr>
        <w:t xml:space="preserve"> permanente</w:t>
      </w:r>
      <w:r w:rsidR="00D75001" w:rsidRPr="00555C03">
        <w:rPr>
          <w:rFonts w:ascii="Tahoma" w:eastAsia="Tahoma" w:hAnsi="Tahoma" w:cs="Tahoma"/>
          <w:color w:val="000000" w:themeColor="text1"/>
          <w:lang w:val="es-CO"/>
        </w:rPr>
        <w:t>s, sino que depende del número de ventas</w:t>
      </w:r>
      <w:r w:rsidRPr="00555C03">
        <w:rPr>
          <w:rFonts w:ascii="Tahoma" w:eastAsia="Tahoma" w:hAnsi="Tahoma" w:cs="Tahoma"/>
          <w:color w:val="000000" w:themeColor="text1"/>
          <w:lang w:val="es-CO"/>
        </w:rPr>
        <w:t>.  Tampoco puede perderse de vista que</w:t>
      </w:r>
      <w:r w:rsidR="00D75001" w:rsidRPr="00555C03">
        <w:rPr>
          <w:rFonts w:ascii="Tahoma" w:eastAsia="Tahoma" w:hAnsi="Tahoma" w:cs="Tahoma"/>
          <w:color w:val="000000" w:themeColor="text1"/>
          <w:lang w:val="es-CO"/>
        </w:rPr>
        <w:t xml:space="preserve"> el causante nació el 29 de diciembre de 1925, razón por la cual, a la </w:t>
      </w:r>
      <w:r w:rsidR="00351318" w:rsidRPr="00555C03">
        <w:rPr>
          <w:rFonts w:ascii="Tahoma" w:eastAsia="Tahoma" w:hAnsi="Tahoma" w:cs="Tahoma"/>
          <w:color w:val="000000" w:themeColor="text1"/>
          <w:lang w:val="es-CO"/>
        </w:rPr>
        <w:t>entrada en vigor</w:t>
      </w:r>
      <w:r w:rsidR="00D75001" w:rsidRPr="00555C03">
        <w:rPr>
          <w:rFonts w:ascii="Tahoma" w:eastAsia="Tahoma" w:hAnsi="Tahoma" w:cs="Tahoma"/>
          <w:color w:val="000000" w:themeColor="text1"/>
          <w:lang w:val="es-CO"/>
        </w:rPr>
        <w:t xml:space="preserve"> de la ley 100 de 1994 tenía aproximadamente 69 años, por lo que ya había pasado la edad para adquirir la pensión de vejez. </w:t>
      </w:r>
    </w:p>
    <w:p w14:paraId="15355A1E" w14:textId="77777777" w:rsidR="00D75001" w:rsidRPr="00555C03" w:rsidRDefault="00D75001" w:rsidP="00555C03">
      <w:pPr>
        <w:spacing w:line="276" w:lineRule="auto"/>
        <w:ind w:firstLine="708"/>
        <w:jc w:val="both"/>
        <w:rPr>
          <w:rFonts w:ascii="Tahoma" w:eastAsia="Tahoma" w:hAnsi="Tahoma" w:cs="Tahoma"/>
          <w:color w:val="000000" w:themeColor="text1"/>
          <w:lang w:val="es-CO"/>
        </w:rPr>
      </w:pPr>
    </w:p>
    <w:p w14:paraId="054DF627" w14:textId="54EF28B8" w:rsidR="0019121C" w:rsidRPr="00555C03" w:rsidRDefault="006957CA" w:rsidP="00555C03">
      <w:pPr>
        <w:spacing w:line="276" w:lineRule="auto"/>
        <w:ind w:firstLine="708"/>
        <w:jc w:val="both"/>
        <w:rPr>
          <w:rFonts w:ascii="Tahoma" w:hAnsi="Tahoma" w:cs="Tahoma"/>
          <w:lang w:val="es-CO"/>
        </w:rPr>
      </w:pPr>
      <w:r w:rsidRPr="00555C03">
        <w:rPr>
          <w:rFonts w:ascii="Tahoma" w:eastAsia="Tahoma" w:hAnsi="Tahoma" w:cs="Tahoma"/>
          <w:color w:val="000000" w:themeColor="text1"/>
          <w:lang w:val="es-CO"/>
        </w:rPr>
        <w:t>Así pues, dadas las circunstancias particulares de</w:t>
      </w:r>
      <w:r w:rsidR="00351318" w:rsidRPr="00555C03">
        <w:rPr>
          <w:rFonts w:ascii="Tahoma" w:eastAsia="Tahoma" w:hAnsi="Tahoma" w:cs="Tahoma"/>
          <w:color w:val="000000" w:themeColor="text1"/>
          <w:lang w:val="es-CO"/>
        </w:rPr>
        <w:t>l causante</w:t>
      </w:r>
      <w:r w:rsidR="0000397F" w:rsidRPr="00555C03">
        <w:rPr>
          <w:rFonts w:ascii="Tahoma" w:eastAsia="Tahoma" w:hAnsi="Tahoma" w:cs="Tahoma"/>
          <w:color w:val="000000" w:themeColor="text1"/>
          <w:lang w:val="es-CO"/>
        </w:rPr>
        <w:t xml:space="preserve"> (</w:t>
      </w:r>
      <w:r w:rsidR="00351318" w:rsidRPr="00555C03">
        <w:rPr>
          <w:rFonts w:ascii="Tahoma" w:eastAsia="Tahoma" w:hAnsi="Tahoma" w:cs="Tahoma"/>
          <w:color w:val="000000" w:themeColor="text1"/>
          <w:lang w:val="es-CO"/>
        </w:rPr>
        <w:t>su avanzada edad a la entrada en vigor de la ley 100 de 1993 y no contar con un empleo formal</w:t>
      </w:r>
      <w:r w:rsidR="0000397F" w:rsidRPr="00555C03">
        <w:rPr>
          <w:rFonts w:ascii="Tahoma" w:eastAsia="Tahoma" w:hAnsi="Tahoma" w:cs="Tahoma"/>
          <w:color w:val="000000" w:themeColor="text1"/>
          <w:lang w:val="es-CO"/>
        </w:rPr>
        <w:t>)</w:t>
      </w:r>
      <w:r w:rsidR="00351318" w:rsidRPr="00555C03">
        <w:rPr>
          <w:rFonts w:ascii="Tahoma" w:eastAsia="Tahoma" w:hAnsi="Tahoma" w:cs="Tahoma"/>
          <w:color w:val="000000" w:themeColor="text1"/>
          <w:lang w:val="es-CO"/>
        </w:rPr>
        <w:t>,</w:t>
      </w:r>
      <w:r w:rsidR="0000397F" w:rsidRPr="00555C03">
        <w:rPr>
          <w:rFonts w:ascii="Tahoma" w:eastAsia="Tahoma" w:hAnsi="Tahoma" w:cs="Tahoma"/>
          <w:color w:val="000000" w:themeColor="text1"/>
          <w:lang w:val="es-CO"/>
        </w:rPr>
        <w:t xml:space="preserve"> permiten tener por acreditado este requisito.</w:t>
      </w:r>
      <w:r w:rsidR="00351318" w:rsidRPr="00555C03">
        <w:rPr>
          <w:rFonts w:ascii="Tahoma" w:eastAsia="Tahoma" w:hAnsi="Tahoma" w:cs="Tahoma"/>
          <w:color w:val="000000" w:themeColor="text1"/>
          <w:lang w:val="es-CO"/>
        </w:rPr>
        <w:t xml:space="preserve">  </w:t>
      </w:r>
    </w:p>
    <w:p w14:paraId="1AE8DCAF" w14:textId="77777777" w:rsidR="0019121C" w:rsidRPr="00555C03" w:rsidRDefault="0019121C" w:rsidP="00555C03">
      <w:pPr>
        <w:overflowPunct w:val="0"/>
        <w:autoSpaceDE w:val="0"/>
        <w:autoSpaceDN w:val="0"/>
        <w:adjustRightInd w:val="0"/>
        <w:spacing w:line="276" w:lineRule="auto"/>
        <w:ind w:firstLine="851"/>
        <w:jc w:val="both"/>
        <w:rPr>
          <w:rFonts w:ascii="Tahoma" w:hAnsi="Tahoma" w:cs="Tahoma"/>
          <w:lang w:val="es-CO"/>
        </w:rPr>
      </w:pPr>
    </w:p>
    <w:p w14:paraId="3B418FA4" w14:textId="4A841C2F" w:rsidR="006D76D8" w:rsidRPr="00555C03" w:rsidRDefault="006957CA"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b/>
          <w:bCs/>
          <w:color w:val="000000" w:themeColor="text1"/>
          <w:lang w:val="es-CO"/>
        </w:rPr>
        <w:t>v) la actuación diligente de</w:t>
      </w:r>
      <w:r w:rsidR="0000397F" w:rsidRPr="00555C03">
        <w:rPr>
          <w:rFonts w:ascii="Tahoma" w:eastAsia="Tahoma" w:hAnsi="Tahoma" w:cs="Tahoma"/>
          <w:b/>
          <w:bCs/>
          <w:color w:val="000000" w:themeColor="text1"/>
          <w:lang w:val="es-CO"/>
        </w:rPr>
        <w:t xml:space="preserve"> </w:t>
      </w:r>
      <w:r w:rsidRPr="00555C03">
        <w:rPr>
          <w:rFonts w:ascii="Tahoma" w:eastAsia="Tahoma" w:hAnsi="Tahoma" w:cs="Tahoma"/>
          <w:b/>
          <w:bCs/>
          <w:color w:val="000000" w:themeColor="text1"/>
          <w:lang w:val="es-CO"/>
        </w:rPr>
        <w:t>l</w:t>
      </w:r>
      <w:r w:rsidR="0000397F" w:rsidRPr="00555C03">
        <w:rPr>
          <w:rFonts w:ascii="Tahoma" w:eastAsia="Tahoma" w:hAnsi="Tahoma" w:cs="Tahoma"/>
          <w:b/>
          <w:bCs/>
          <w:color w:val="000000" w:themeColor="text1"/>
          <w:lang w:val="es-CO"/>
        </w:rPr>
        <w:t>a</w:t>
      </w:r>
      <w:r w:rsidRPr="00555C03">
        <w:rPr>
          <w:rFonts w:ascii="Tahoma" w:eastAsia="Tahoma" w:hAnsi="Tahoma" w:cs="Tahoma"/>
          <w:b/>
          <w:bCs/>
          <w:color w:val="000000" w:themeColor="text1"/>
          <w:lang w:val="es-CO"/>
        </w:rPr>
        <w:t xml:space="preserve"> accionante para reclamar la pensión administrativa y judicialmente. </w:t>
      </w:r>
      <w:r w:rsidRPr="00555C03">
        <w:rPr>
          <w:rFonts w:ascii="Tahoma" w:eastAsia="Tahoma" w:hAnsi="Tahoma" w:cs="Tahoma"/>
          <w:color w:val="000000" w:themeColor="text1"/>
          <w:lang w:val="es-CO"/>
        </w:rPr>
        <w:t xml:space="preserve">Finalmente, </w:t>
      </w:r>
      <w:r w:rsidR="0000397F" w:rsidRPr="00555C03">
        <w:rPr>
          <w:rFonts w:ascii="Tahoma" w:eastAsia="Tahoma" w:hAnsi="Tahoma" w:cs="Tahoma"/>
          <w:color w:val="000000" w:themeColor="text1"/>
          <w:lang w:val="es-CO"/>
        </w:rPr>
        <w:t xml:space="preserve">la </w:t>
      </w:r>
      <w:r w:rsidRPr="00555C03">
        <w:rPr>
          <w:rFonts w:ascii="Tahoma" w:eastAsia="Tahoma" w:hAnsi="Tahoma" w:cs="Tahoma"/>
          <w:color w:val="000000" w:themeColor="text1"/>
          <w:lang w:val="es-CO"/>
        </w:rPr>
        <w:t>demandante cumplió con reclamar administrativamente la pensión y si bien pasaron más de</w:t>
      </w:r>
      <w:r w:rsidR="006D76D8" w:rsidRPr="00555C03">
        <w:rPr>
          <w:rFonts w:ascii="Tahoma" w:eastAsia="Tahoma" w:hAnsi="Tahoma" w:cs="Tahoma"/>
          <w:color w:val="000000" w:themeColor="text1"/>
          <w:lang w:val="es-CO"/>
        </w:rPr>
        <w:t xml:space="preserve"> 6 años</w:t>
      </w:r>
      <w:r w:rsidRPr="00555C03">
        <w:rPr>
          <w:rFonts w:ascii="Tahoma" w:eastAsia="Tahoma" w:hAnsi="Tahoma" w:cs="Tahoma"/>
          <w:color w:val="000000" w:themeColor="text1"/>
          <w:lang w:val="es-CO"/>
        </w:rPr>
        <w:t xml:space="preserve"> </w:t>
      </w:r>
      <w:r w:rsidR="006D76D8" w:rsidRPr="00555C03">
        <w:rPr>
          <w:rFonts w:ascii="Tahoma" w:eastAsia="Tahoma" w:hAnsi="Tahoma" w:cs="Tahoma"/>
          <w:color w:val="000000" w:themeColor="text1"/>
          <w:lang w:val="es-CO"/>
        </w:rPr>
        <w:t>entre el fallecimiento de su compañero y su reclamo pensional, debe tenerse en cuenta que la demandante nació en 1.930 es decir que para la muerte del señor Víctor Manuel tenía 81 años, una edad en la que difícilmente una mujer de esa generación, que no era casada y que además era lega en derecho laboral y de seguridad social, pudiera tener conciencia de que tenía derecho a una pensión de sobrevivientes, máxime cuando su compañero llevaba más de 30 años sin cotizar.</w:t>
      </w:r>
    </w:p>
    <w:p w14:paraId="242EF7B3" w14:textId="77777777" w:rsidR="006D76D8" w:rsidRPr="00555C03" w:rsidRDefault="006D76D8" w:rsidP="00555C03">
      <w:pPr>
        <w:spacing w:line="276" w:lineRule="auto"/>
        <w:ind w:firstLine="708"/>
        <w:jc w:val="both"/>
        <w:rPr>
          <w:rFonts w:ascii="Tahoma" w:eastAsia="Tahoma" w:hAnsi="Tahoma" w:cs="Tahoma"/>
          <w:color w:val="000000" w:themeColor="text1"/>
          <w:lang w:val="es-CO"/>
        </w:rPr>
      </w:pPr>
    </w:p>
    <w:p w14:paraId="7DACA1E2" w14:textId="3A5390EA" w:rsidR="006957CA" w:rsidRPr="00555C03" w:rsidRDefault="006D76D8" w:rsidP="00555C03">
      <w:pPr>
        <w:spacing w:line="276" w:lineRule="auto"/>
        <w:ind w:firstLine="708"/>
        <w:jc w:val="both"/>
        <w:rPr>
          <w:rFonts w:ascii="Tahoma" w:eastAsia="Tahoma" w:hAnsi="Tahoma" w:cs="Tahoma"/>
          <w:color w:val="000000" w:themeColor="text1"/>
          <w:lang w:val="es"/>
        </w:rPr>
      </w:pPr>
      <w:r w:rsidRPr="00555C03">
        <w:rPr>
          <w:rFonts w:ascii="Tahoma" w:eastAsia="Tahoma" w:hAnsi="Tahoma" w:cs="Tahoma"/>
          <w:color w:val="000000" w:themeColor="text1"/>
          <w:lang w:val="es"/>
        </w:rPr>
        <w:t xml:space="preserve">Superado lo anterior, se tiene que </w:t>
      </w:r>
      <w:r w:rsidR="006957CA" w:rsidRPr="00555C03">
        <w:rPr>
          <w:rFonts w:ascii="Tahoma" w:eastAsia="Tahoma" w:hAnsi="Tahoma" w:cs="Tahoma"/>
          <w:color w:val="000000" w:themeColor="text1"/>
          <w:lang w:val="es"/>
        </w:rPr>
        <w:t>la mesada pensional que le correspond</w:t>
      </w:r>
      <w:r w:rsidRPr="00555C03">
        <w:rPr>
          <w:rFonts w:ascii="Tahoma" w:eastAsia="Tahoma" w:hAnsi="Tahoma" w:cs="Tahoma"/>
          <w:color w:val="000000" w:themeColor="text1"/>
          <w:lang w:val="es"/>
        </w:rPr>
        <w:t>ía</w:t>
      </w:r>
      <w:r w:rsidR="006957CA" w:rsidRPr="00555C03">
        <w:rPr>
          <w:rFonts w:ascii="Tahoma" w:eastAsia="Tahoma" w:hAnsi="Tahoma" w:cs="Tahoma"/>
          <w:color w:val="000000" w:themeColor="text1"/>
          <w:lang w:val="es"/>
        </w:rPr>
        <w:t xml:space="preserve"> a</w:t>
      </w:r>
      <w:r w:rsidRPr="00555C03">
        <w:rPr>
          <w:rFonts w:ascii="Tahoma" w:eastAsia="Tahoma" w:hAnsi="Tahoma" w:cs="Tahoma"/>
          <w:color w:val="000000" w:themeColor="text1"/>
          <w:lang w:val="es"/>
        </w:rPr>
        <w:t xml:space="preserve"> </w:t>
      </w:r>
      <w:r w:rsidR="006957CA" w:rsidRPr="00555C03">
        <w:rPr>
          <w:rFonts w:ascii="Tahoma" w:eastAsia="Tahoma" w:hAnsi="Tahoma" w:cs="Tahoma"/>
          <w:color w:val="000000" w:themeColor="text1"/>
          <w:lang w:val="es"/>
        </w:rPr>
        <w:t>l</w:t>
      </w:r>
      <w:r w:rsidRPr="00555C03">
        <w:rPr>
          <w:rFonts w:ascii="Tahoma" w:eastAsia="Tahoma" w:hAnsi="Tahoma" w:cs="Tahoma"/>
          <w:color w:val="000000" w:themeColor="text1"/>
          <w:lang w:val="es"/>
        </w:rPr>
        <w:t>a</w:t>
      </w:r>
      <w:r w:rsidR="006957CA" w:rsidRPr="00555C03">
        <w:rPr>
          <w:rFonts w:ascii="Tahoma" w:eastAsia="Tahoma" w:hAnsi="Tahoma" w:cs="Tahoma"/>
          <w:color w:val="000000" w:themeColor="text1"/>
          <w:lang w:val="es"/>
        </w:rPr>
        <w:t xml:space="preserve"> </w:t>
      </w:r>
      <w:r w:rsidRPr="00555C03">
        <w:rPr>
          <w:rFonts w:ascii="Tahoma" w:eastAsia="Tahoma" w:hAnsi="Tahoma" w:cs="Tahoma"/>
          <w:color w:val="000000" w:themeColor="text1"/>
          <w:lang w:val="es"/>
        </w:rPr>
        <w:t>demandante</w:t>
      </w:r>
      <w:r w:rsidR="006957CA" w:rsidRPr="00555C03">
        <w:rPr>
          <w:rFonts w:ascii="Tahoma" w:eastAsia="Tahoma" w:hAnsi="Tahoma" w:cs="Tahoma"/>
          <w:color w:val="000000" w:themeColor="text1"/>
          <w:lang w:val="es"/>
        </w:rPr>
        <w:t xml:space="preserve"> es equivalente a un salario mínimo pues así ha sido solicitado en la demanda, además </w:t>
      </w:r>
      <w:r w:rsidR="009A57AB" w:rsidRPr="00555C03">
        <w:rPr>
          <w:rFonts w:ascii="Tahoma" w:eastAsia="Tahoma" w:hAnsi="Tahoma" w:cs="Tahoma"/>
          <w:color w:val="000000" w:themeColor="text1"/>
          <w:lang w:val="es"/>
        </w:rPr>
        <w:t>que,</w:t>
      </w:r>
      <w:r w:rsidR="007F1390" w:rsidRPr="00555C03">
        <w:rPr>
          <w:rFonts w:ascii="Tahoma" w:eastAsia="Tahoma" w:hAnsi="Tahoma" w:cs="Tahoma"/>
          <w:color w:val="000000" w:themeColor="text1"/>
          <w:lang w:val="es"/>
        </w:rPr>
        <w:t xml:space="preserve"> al no conocerse el IBC por el tiempo servido al sector público,</w:t>
      </w:r>
      <w:r w:rsidR="006957CA" w:rsidRPr="00555C03">
        <w:rPr>
          <w:rFonts w:ascii="Tahoma" w:eastAsia="Tahoma" w:hAnsi="Tahoma" w:cs="Tahoma"/>
          <w:color w:val="000000" w:themeColor="text1"/>
          <w:lang w:val="es"/>
        </w:rPr>
        <w:t xml:space="preserve"> </w:t>
      </w:r>
      <w:r w:rsidR="007F1390" w:rsidRPr="00555C03">
        <w:rPr>
          <w:rFonts w:ascii="Tahoma" w:eastAsia="Tahoma" w:hAnsi="Tahoma" w:cs="Tahoma"/>
          <w:color w:val="000000" w:themeColor="text1"/>
          <w:lang w:val="es"/>
        </w:rPr>
        <w:t>debe presumirse que este correspondió por lo menos a la suma fijada para esa calenda por e</w:t>
      </w:r>
      <w:r w:rsidR="009A57AB" w:rsidRPr="00555C03">
        <w:rPr>
          <w:rFonts w:ascii="Tahoma" w:eastAsia="Tahoma" w:hAnsi="Tahoma" w:cs="Tahoma"/>
          <w:color w:val="000000" w:themeColor="text1"/>
          <w:lang w:val="es"/>
        </w:rPr>
        <w:t xml:space="preserve"> G</w:t>
      </w:r>
      <w:r w:rsidR="007F1390" w:rsidRPr="00555C03">
        <w:rPr>
          <w:rFonts w:ascii="Tahoma" w:eastAsia="Tahoma" w:hAnsi="Tahoma" w:cs="Tahoma"/>
          <w:color w:val="000000" w:themeColor="text1"/>
          <w:lang w:val="es"/>
        </w:rPr>
        <w:t xml:space="preserve">obierno </w:t>
      </w:r>
      <w:r w:rsidR="009A57AB" w:rsidRPr="00555C03">
        <w:rPr>
          <w:rFonts w:ascii="Tahoma" w:eastAsia="Tahoma" w:hAnsi="Tahoma" w:cs="Tahoma"/>
          <w:color w:val="000000" w:themeColor="text1"/>
          <w:lang w:val="es"/>
        </w:rPr>
        <w:t>Nacional.</w:t>
      </w:r>
    </w:p>
    <w:p w14:paraId="62CB5349" w14:textId="77777777" w:rsidR="006957CA" w:rsidRPr="00555C03" w:rsidRDefault="006957CA" w:rsidP="00555C03">
      <w:pPr>
        <w:spacing w:line="276" w:lineRule="auto"/>
        <w:ind w:firstLine="708"/>
        <w:jc w:val="both"/>
        <w:rPr>
          <w:rFonts w:ascii="Tahoma" w:eastAsia="Tahoma" w:hAnsi="Tahoma" w:cs="Tahoma"/>
          <w:color w:val="000000" w:themeColor="text1"/>
          <w:lang w:val="es"/>
        </w:rPr>
      </w:pPr>
    </w:p>
    <w:p w14:paraId="2D46FED9" w14:textId="0D1D8FCA" w:rsidR="006957CA" w:rsidRPr="00555C03" w:rsidRDefault="006957CA" w:rsidP="00555C03">
      <w:pPr>
        <w:tabs>
          <w:tab w:val="left" w:pos="284"/>
        </w:tabs>
        <w:spacing w:line="276" w:lineRule="auto"/>
        <w:ind w:firstLine="708"/>
        <w:jc w:val="both"/>
        <w:rPr>
          <w:rFonts w:ascii="Tahoma" w:eastAsia="Tahoma" w:hAnsi="Tahoma" w:cs="Tahoma"/>
          <w:color w:val="000000" w:themeColor="text1"/>
          <w:lang w:val="es"/>
        </w:rPr>
      </w:pPr>
      <w:r w:rsidRPr="00555C03">
        <w:rPr>
          <w:rFonts w:ascii="Tahoma" w:eastAsia="Tahoma" w:hAnsi="Tahoma" w:cs="Tahoma"/>
          <w:color w:val="000000" w:themeColor="text1"/>
          <w:lang w:val="es"/>
        </w:rPr>
        <w:t>En ese orden, a</w:t>
      </w:r>
      <w:r w:rsidR="009A57AB" w:rsidRPr="00555C03">
        <w:rPr>
          <w:rFonts w:ascii="Tahoma" w:eastAsia="Tahoma" w:hAnsi="Tahoma" w:cs="Tahoma"/>
          <w:color w:val="000000" w:themeColor="text1"/>
          <w:lang w:val="es"/>
        </w:rPr>
        <w:t xml:space="preserve"> </w:t>
      </w:r>
      <w:r w:rsidRPr="00555C03">
        <w:rPr>
          <w:rFonts w:ascii="Tahoma" w:eastAsia="Tahoma" w:hAnsi="Tahoma" w:cs="Tahoma"/>
          <w:color w:val="000000" w:themeColor="text1"/>
          <w:lang w:val="es"/>
        </w:rPr>
        <w:t>l</w:t>
      </w:r>
      <w:r w:rsidR="009A57AB" w:rsidRPr="00555C03">
        <w:rPr>
          <w:rFonts w:ascii="Tahoma" w:eastAsia="Tahoma" w:hAnsi="Tahoma" w:cs="Tahoma"/>
          <w:color w:val="000000" w:themeColor="text1"/>
          <w:lang w:val="es"/>
        </w:rPr>
        <w:t>a</w:t>
      </w:r>
      <w:r w:rsidRPr="00555C03">
        <w:rPr>
          <w:rFonts w:ascii="Tahoma" w:eastAsia="Tahoma" w:hAnsi="Tahoma" w:cs="Tahoma"/>
          <w:color w:val="000000" w:themeColor="text1"/>
          <w:lang w:val="es"/>
        </w:rPr>
        <w:t xml:space="preserve"> demandante le asist</w:t>
      </w:r>
      <w:r w:rsidR="009A57AB" w:rsidRPr="00555C03">
        <w:rPr>
          <w:rFonts w:ascii="Tahoma" w:eastAsia="Tahoma" w:hAnsi="Tahoma" w:cs="Tahoma"/>
          <w:color w:val="000000" w:themeColor="text1"/>
          <w:lang w:val="es"/>
        </w:rPr>
        <w:t>ía</w:t>
      </w:r>
      <w:r w:rsidRPr="00555C03">
        <w:rPr>
          <w:rFonts w:ascii="Tahoma" w:eastAsia="Tahoma" w:hAnsi="Tahoma" w:cs="Tahoma"/>
          <w:color w:val="000000" w:themeColor="text1"/>
          <w:lang w:val="es"/>
        </w:rPr>
        <w:t xml:space="preserve"> derecho a percibir la pensión de sobrevivientes a partir del </w:t>
      </w:r>
      <w:r w:rsidR="009A57AB" w:rsidRPr="00555C03">
        <w:rPr>
          <w:rFonts w:ascii="Tahoma" w:eastAsia="Tahoma" w:hAnsi="Tahoma" w:cs="Tahoma"/>
          <w:color w:val="000000" w:themeColor="text1"/>
          <w:lang w:val="es"/>
        </w:rPr>
        <w:t>15 de febrero del 2011</w:t>
      </w:r>
      <w:r w:rsidRPr="00555C03">
        <w:rPr>
          <w:rFonts w:ascii="Tahoma" w:eastAsia="Tahoma" w:hAnsi="Tahoma" w:cs="Tahoma"/>
          <w:color w:val="000000" w:themeColor="text1"/>
          <w:lang w:val="es"/>
        </w:rPr>
        <w:t xml:space="preserve"> – día siguiente al deceso</w:t>
      </w:r>
      <w:r w:rsidR="008419A0">
        <w:rPr>
          <w:rFonts w:ascii="Tahoma" w:eastAsia="Tahoma" w:hAnsi="Tahoma" w:cs="Tahoma"/>
          <w:color w:val="000000" w:themeColor="text1"/>
          <w:lang w:val="es"/>
        </w:rPr>
        <w:t xml:space="preserve"> –</w:t>
      </w:r>
      <w:r w:rsidRPr="00555C03">
        <w:rPr>
          <w:rFonts w:ascii="Tahoma" w:eastAsia="Tahoma" w:hAnsi="Tahoma" w:cs="Tahoma"/>
          <w:color w:val="000000" w:themeColor="text1"/>
          <w:lang w:val="es"/>
        </w:rPr>
        <w:t>, en cuantía que para esa fecha ascendía a $</w:t>
      </w:r>
      <w:r w:rsidR="009A57AB" w:rsidRPr="00555C03">
        <w:rPr>
          <w:rFonts w:ascii="Tahoma" w:eastAsia="Tahoma" w:hAnsi="Tahoma" w:cs="Tahoma"/>
          <w:color w:val="000000" w:themeColor="text1"/>
          <w:lang w:val="es"/>
        </w:rPr>
        <w:t>535.600</w:t>
      </w:r>
      <w:r w:rsidRPr="00555C03">
        <w:rPr>
          <w:rFonts w:ascii="Tahoma" w:eastAsia="Tahoma" w:hAnsi="Tahoma" w:cs="Tahoma"/>
          <w:color w:val="000000" w:themeColor="text1"/>
          <w:lang w:val="es"/>
        </w:rPr>
        <w:t xml:space="preserve"> en razón a 1</w:t>
      </w:r>
      <w:r w:rsidR="009A57AB" w:rsidRPr="00555C03">
        <w:rPr>
          <w:rFonts w:ascii="Tahoma" w:eastAsia="Tahoma" w:hAnsi="Tahoma" w:cs="Tahoma"/>
          <w:color w:val="000000" w:themeColor="text1"/>
          <w:lang w:val="es"/>
        </w:rPr>
        <w:t>3</w:t>
      </w:r>
      <w:r w:rsidRPr="00555C03">
        <w:rPr>
          <w:rFonts w:ascii="Tahoma" w:eastAsia="Tahoma" w:hAnsi="Tahoma" w:cs="Tahoma"/>
          <w:color w:val="000000" w:themeColor="text1"/>
          <w:lang w:val="es"/>
        </w:rPr>
        <w:t xml:space="preserve"> mesadas anuales, por haberse causado con </w:t>
      </w:r>
      <w:r w:rsidR="009A57AB" w:rsidRPr="00555C03">
        <w:rPr>
          <w:rFonts w:ascii="Tahoma" w:eastAsia="Tahoma" w:hAnsi="Tahoma" w:cs="Tahoma"/>
          <w:color w:val="000000" w:themeColor="text1"/>
          <w:lang w:val="es"/>
        </w:rPr>
        <w:t>posterioridad</w:t>
      </w:r>
      <w:r w:rsidRPr="00555C03">
        <w:rPr>
          <w:rFonts w:ascii="Tahoma" w:eastAsia="Tahoma" w:hAnsi="Tahoma" w:cs="Tahoma"/>
          <w:color w:val="000000" w:themeColor="text1"/>
          <w:lang w:val="es"/>
        </w:rPr>
        <w:t xml:space="preserve"> al 31 de julio de 2010, no obstante, como la administradora pensional propuso la excepción de prescripción y la reclamación administrativa se elevó el </w:t>
      </w:r>
      <w:r w:rsidR="009A57AB" w:rsidRPr="00555C03">
        <w:rPr>
          <w:rFonts w:ascii="Tahoma" w:hAnsi="Tahoma" w:cs="Tahoma"/>
        </w:rPr>
        <w:t>14 de diciembre de 2017</w:t>
      </w:r>
      <w:r w:rsidRPr="00555C03">
        <w:rPr>
          <w:rFonts w:ascii="Tahoma" w:eastAsia="Tahoma" w:hAnsi="Tahoma" w:cs="Tahoma"/>
          <w:color w:val="000000" w:themeColor="text1"/>
          <w:lang w:val="es"/>
        </w:rPr>
        <w:t xml:space="preserve">, se encuentran prescritas las mesadas pensionales causadas con anterioridad al </w:t>
      </w:r>
      <w:r w:rsidR="009A57AB" w:rsidRPr="00555C03">
        <w:rPr>
          <w:rFonts w:ascii="Tahoma" w:hAnsi="Tahoma" w:cs="Tahoma"/>
        </w:rPr>
        <w:t>14 de diciembre de 2014</w:t>
      </w:r>
      <w:r w:rsidRPr="00555C03">
        <w:rPr>
          <w:rFonts w:ascii="Tahoma" w:eastAsia="Tahoma" w:hAnsi="Tahoma" w:cs="Tahoma"/>
          <w:color w:val="000000" w:themeColor="text1"/>
          <w:lang w:val="es"/>
        </w:rPr>
        <w:t xml:space="preserve">. </w:t>
      </w:r>
    </w:p>
    <w:p w14:paraId="17AB90D1" w14:textId="77777777" w:rsidR="006957CA" w:rsidRPr="00555C03" w:rsidRDefault="006957CA" w:rsidP="00555C03">
      <w:pPr>
        <w:tabs>
          <w:tab w:val="left" w:pos="284"/>
        </w:tabs>
        <w:spacing w:line="276" w:lineRule="auto"/>
        <w:ind w:firstLine="708"/>
        <w:jc w:val="both"/>
        <w:rPr>
          <w:rFonts w:ascii="Tahoma" w:eastAsia="Tahoma" w:hAnsi="Tahoma" w:cs="Tahoma"/>
          <w:color w:val="000000" w:themeColor="text1"/>
          <w:lang w:val="es"/>
        </w:rPr>
      </w:pPr>
    </w:p>
    <w:p w14:paraId="2BDF6E6E" w14:textId="1FDEA042" w:rsidR="006957CA" w:rsidRPr="00555C03" w:rsidRDefault="006957CA" w:rsidP="00555C03">
      <w:pPr>
        <w:tabs>
          <w:tab w:val="left" w:pos="284"/>
        </w:tabs>
        <w:spacing w:line="276" w:lineRule="auto"/>
        <w:ind w:firstLine="708"/>
        <w:jc w:val="both"/>
        <w:rPr>
          <w:rFonts w:ascii="Tahoma" w:eastAsia="Tahoma" w:hAnsi="Tahoma" w:cs="Tahoma"/>
          <w:color w:val="000000" w:themeColor="text1"/>
          <w:lang w:val="es"/>
        </w:rPr>
      </w:pPr>
      <w:r w:rsidRPr="00555C03">
        <w:rPr>
          <w:rFonts w:ascii="Tahoma" w:eastAsia="Tahoma" w:hAnsi="Tahoma" w:cs="Tahoma"/>
          <w:color w:val="000000" w:themeColor="text1"/>
          <w:lang w:val="es"/>
        </w:rPr>
        <w:t xml:space="preserve">De acuerdo a lo anterior, efectuadas las operaciones aritméticas correspondientes, por concepto del retroactivo generado entre el </w:t>
      </w:r>
      <w:r w:rsidR="009A57AB" w:rsidRPr="00555C03">
        <w:rPr>
          <w:rFonts w:ascii="Tahoma" w:hAnsi="Tahoma" w:cs="Tahoma"/>
        </w:rPr>
        <w:t xml:space="preserve">14 de diciembre de 2014 </w:t>
      </w:r>
      <w:r w:rsidRPr="00555C03">
        <w:rPr>
          <w:rFonts w:ascii="Tahoma" w:eastAsia="Tahoma" w:hAnsi="Tahoma" w:cs="Tahoma"/>
          <w:color w:val="000000" w:themeColor="text1"/>
          <w:lang w:val="es"/>
        </w:rPr>
        <w:t>y el</w:t>
      </w:r>
      <w:r w:rsidR="005F1E30" w:rsidRPr="00555C03">
        <w:rPr>
          <w:rFonts w:ascii="Tahoma" w:eastAsia="Tahoma" w:hAnsi="Tahoma" w:cs="Tahoma"/>
          <w:color w:val="000000" w:themeColor="text1"/>
          <w:lang w:val="es"/>
        </w:rPr>
        <w:t>13 de febrero de 2022</w:t>
      </w:r>
      <w:r w:rsidRPr="00555C03">
        <w:rPr>
          <w:rFonts w:ascii="Tahoma" w:eastAsia="Tahoma" w:hAnsi="Tahoma" w:cs="Tahoma"/>
          <w:color w:val="000000" w:themeColor="text1"/>
          <w:lang w:val="es"/>
        </w:rPr>
        <w:t>, COLPENSIONES deberá reconocer y pagar a</w:t>
      </w:r>
      <w:r w:rsidR="005F1E30" w:rsidRPr="00555C03">
        <w:rPr>
          <w:rFonts w:ascii="Tahoma" w:eastAsia="Tahoma" w:hAnsi="Tahoma" w:cs="Tahoma"/>
          <w:color w:val="000000" w:themeColor="text1"/>
          <w:lang w:val="es"/>
        </w:rPr>
        <w:t xml:space="preserve"> la masa sucesoral de la</w:t>
      </w:r>
      <w:r w:rsidRPr="00555C03">
        <w:rPr>
          <w:rFonts w:ascii="Tahoma" w:eastAsia="Tahoma" w:hAnsi="Tahoma" w:cs="Tahoma"/>
          <w:color w:val="000000" w:themeColor="text1"/>
          <w:lang w:val="es"/>
        </w:rPr>
        <w:t xml:space="preserve"> demandante la suma de $</w:t>
      </w:r>
      <w:r w:rsidR="003660FA" w:rsidRPr="00555C03">
        <w:rPr>
          <w:rFonts w:ascii="Tahoma" w:eastAsia="Tahoma" w:hAnsi="Tahoma" w:cs="Tahoma"/>
          <w:color w:val="000000" w:themeColor="text1"/>
          <w:lang w:val="es"/>
        </w:rPr>
        <w:t>73.446.197</w:t>
      </w:r>
      <w:r w:rsidRPr="00555C03">
        <w:rPr>
          <w:rFonts w:ascii="Tahoma" w:eastAsia="Tahoma" w:hAnsi="Tahoma" w:cs="Tahoma"/>
          <w:color w:val="000000" w:themeColor="text1"/>
          <w:lang w:val="es"/>
        </w:rPr>
        <w:t>, misma sobre la cual proceden los descuentos con destino al sistema de seguridad social en salud</w:t>
      </w:r>
      <w:r w:rsidR="005F1E30" w:rsidRPr="00555C03">
        <w:rPr>
          <w:rFonts w:ascii="Tahoma" w:eastAsia="Tahoma" w:hAnsi="Tahoma" w:cs="Tahoma"/>
          <w:color w:val="000000" w:themeColor="text1"/>
          <w:lang w:val="es"/>
        </w:rPr>
        <w:t>.</w:t>
      </w:r>
    </w:p>
    <w:p w14:paraId="359C36E5" w14:textId="77777777" w:rsidR="006957CA" w:rsidRPr="00555C03" w:rsidRDefault="006957CA" w:rsidP="00555C03">
      <w:pPr>
        <w:tabs>
          <w:tab w:val="left" w:pos="284"/>
        </w:tabs>
        <w:spacing w:line="276" w:lineRule="auto"/>
        <w:ind w:firstLine="708"/>
        <w:jc w:val="both"/>
        <w:rPr>
          <w:rFonts w:ascii="Tahoma" w:eastAsia="Tahoma" w:hAnsi="Tahoma" w:cs="Tahoma"/>
          <w:color w:val="000000" w:themeColor="text1"/>
          <w:highlight w:val="yellow"/>
          <w:lang w:val="es"/>
        </w:rPr>
      </w:pPr>
    </w:p>
    <w:tbl>
      <w:tblPr>
        <w:tblStyle w:val="Tabladecuadrcula4-nfasis3"/>
        <w:tblW w:w="7869" w:type="dxa"/>
        <w:jc w:val="center"/>
        <w:tblLook w:val="04A0" w:firstRow="1" w:lastRow="0" w:firstColumn="1" w:lastColumn="0" w:noHBand="0" w:noVBand="1"/>
      </w:tblPr>
      <w:tblGrid>
        <w:gridCol w:w="1214"/>
        <w:gridCol w:w="1262"/>
        <w:gridCol w:w="1262"/>
        <w:gridCol w:w="1264"/>
        <w:gridCol w:w="1310"/>
        <w:gridCol w:w="1615"/>
      </w:tblGrid>
      <w:tr w:rsidR="003660FA" w:rsidRPr="00E2012B" w14:paraId="3BB3B1BF" w14:textId="77777777" w:rsidTr="003660FA">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7869" w:type="dxa"/>
            <w:gridSpan w:val="6"/>
            <w:noWrap/>
            <w:hideMark/>
          </w:tcPr>
          <w:p w14:paraId="4F8851B7" w14:textId="77777777" w:rsidR="003660FA" w:rsidRPr="00E2012B" w:rsidRDefault="003660FA" w:rsidP="00E2012B">
            <w:pPr>
              <w:jc w:val="center"/>
              <w:rPr>
                <w:rFonts w:ascii="Tahoma" w:hAnsi="Tahoma" w:cs="Tahoma"/>
                <w:color w:val="000000"/>
                <w:sz w:val="22"/>
              </w:rPr>
            </w:pPr>
            <w:r w:rsidRPr="00E2012B">
              <w:rPr>
                <w:rFonts w:ascii="Tahoma" w:hAnsi="Tahoma" w:cs="Tahoma"/>
                <w:color w:val="000000"/>
                <w:sz w:val="22"/>
              </w:rPr>
              <w:t>RETROACTIVO</w:t>
            </w:r>
          </w:p>
        </w:tc>
      </w:tr>
      <w:tr w:rsidR="003660FA" w:rsidRPr="00E2012B" w14:paraId="56BB01BF" w14:textId="77777777" w:rsidTr="003660F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77B6C52C"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Año</w:t>
            </w:r>
          </w:p>
        </w:tc>
        <w:tc>
          <w:tcPr>
            <w:tcW w:w="1262" w:type="dxa"/>
            <w:hideMark/>
          </w:tcPr>
          <w:p w14:paraId="39B7328E"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22"/>
              </w:rPr>
            </w:pPr>
            <w:r w:rsidRPr="00E2012B">
              <w:rPr>
                <w:rFonts w:ascii="Tahoma" w:hAnsi="Tahoma" w:cs="Tahoma"/>
                <w:b/>
                <w:bCs/>
                <w:color w:val="000000"/>
                <w:sz w:val="22"/>
              </w:rPr>
              <w:t>Desde</w:t>
            </w:r>
          </w:p>
        </w:tc>
        <w:tc>
          <w:tcPr>
            <w:tcW w:w="1262" w:type="dxa"/>
            <w:hideMark/>
          </w:tcPr>
          <w:p w14:paraId="441B37F2"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22"/>
              </w:rPr>
            </w:pPr>
            <w:r w:rsidRPr="00E2012B">
              <w:rPr>
                <w:rFonts w:ascii="Tahoma" w:hAnsi="Tahoma" w:cs="Tahoma"/>
                <w:b/>
                <w:bCs/>
                <w:color w:val="000000"/>
                <w:sz w:val="22"/>
              </w:rPr>
              <w:t>Hasta</w:t>
            </w:r>
          </w:p>
        </w:tc>
        <w:tc>
          <w:tcPr>
            <w:tcW w:w="1262" w:type="dxa"/>
            <w:hideMark/>
          </w:tcPr>
          <w:p w14:paraId="633E07E4"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22"/>
              </w:rPr>
            </w:pPr>
            <w:r w:rsidRPr="00E2012B">
              <w:rPr>
                <w:rFonts w:ascii="Tahoma" w:hAnsi="Tahoma" w:cs="Tahoma"/>
                <w:b/>
                <w:bCs/>
                <w:color w:val="000000"/>
                <w:sz w:val="22"/>
              </w:rPr>
              <w:t>Causadas</w:t>
            </w:r>
          </w:p>
        </w:tc>
        <w:tc>
          <w:tcPr>
            <w:tcW w:w="1262" w:type="dxa"/>
            <w:hideMark/>
          </w:tcPr>
          <w:p w14:paraId="5DC1B2E2"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22"/>
              </w:rPr>
            </w:pPr>
            <w:r w:rsidRPr="00E2012B">
              <w:rPr>
                <w:rFonts w:ascii="Tahoma" w:hAnsi="Tahoma" w:cs="Tahoma"/>
                <w:b/>
                <w:bCs/>
                <w:color w:val="000000"/>
                <w:sz w:val="22"/>
              </w:rPr>
              <w:t>Mesada</w:t>
            </w:r>
          </w:p>
        </w:tc>
        <w:tc>
          <w:tcPr>
            <w:tcW w:w="1557" w:type="dxa"/>
            <w:hideMark/>
          </w:tcPr>
          <w:p w14:paraId="6AF86802"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22"/>
              </w:rPr>
            </w:pPr>
            <w:r w:rsidRPr="00E2012B">
              <w:rPr>
                <w:rFonts w:ascii="Tahoma" w:hAnsi="Tahoma" w:cs="Tahoma"/>
                <w:b/>
                <w:bCs/>
                <w:color w:val="000000"/>
                <w:sz w:val="22"/>
              </w:rPr>
              <w:t xml:space="preserve"> Retroactivo </w:t>
            </w:r>
          </w:p>
        </w:tc>
      </w:tr>
      <w:tr w:rsidR="003660FA" w:rsidRPr="00E2012B" w14:paraId="33290AA4" w14:textId="77777777" w:rsidTr="003660FA">
        <w:trPr>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5F3EE150"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2014</w:t>
            </w:r>
          </w:p>
        </w:tc>
        <w:tc>
          <w:tcPr>
            <w:tcW w:w="1262" w:type="dxa"/>
            <w:noWrap/>
            <w:hideMark/>
          </w:tcPr>
          <w:p w14:paraId="0A56AD9B"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14-dic-14</w:t>
            </w:r>
          </w:p>
        </w:tc>
        <w:tc>
          <w:tcPr>
            <w:tcW w:w="1262" w:type="dxa"/>
            <w:noWrap/>
            <w:hideMark/>
          </w:tcPr>
          <w:p w14:paraId="3A4ECA3B"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31-dic-14</w:t>
            </w:r>
          </w:p>
        </w:tc>
        <w:tc>
          <w:tcPr>
            <w:tcW w:w="1262" w:type="dxa"/>
            <w:noWrap/>
            <w:hideMark/>
          </w:tcPr>
          <w:p w14:paraId="7BB118BD" w14:textId="7777777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1,53</w:t>
            </w:r>
          </w:p>
        </w:tc>
        <w:tc>
          <w:tcPr>
            <w:tcW w:w="1262" w:type="dxa"/>
            <w:hideMark/>
          </w:tcPr>
          <w:p w14:paraId="540F0CA9" w14:textId="0E0466AE"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 xml:space="preserve">$616.000 </w:t>
            </w:r>
          </w:p>
        </w:tc>
        <w:tc>
          <w:tcPr>
            <w:tcW w:w="1557" w:type="dxa"/>
            <w:hideMark/>
          </w:tcPr>
          <w:p w14:paraId="60658EED" w14:textId="0D89464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$942.480 </w:t>
            </w:r>
          </w:p>
        </w:tc>
      </w:tr>
      <w:tr w:rsidR="003660FA" w:rsidRPr="00E2012B" w14:paraId="726D3BFE" w14:textId="77777777" w:rsidTr="003660F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488A08AC"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2015</w:t>
            </w:r>
          </w:p>
        </w:tc>
        <w:tc>
          <w:tcPr>
            <w:tcW w:w="1262" w:type="dxa"/>
            <w:noWrap/>
            <w:hideMark/>
          </w:tcPr>
          <w:p w14:paraId="727B992E"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1-ene-15</w:t>
            </w:r>
          </w:p>
        </w:tc>
        <w:tc>
          <w:tcPr>
            <w:tcW w:w="1262" w:type="dxa"/>
            <w:noWrap/>
            <w:hideMark/>
          </w:tcPr>
          <w:p w14:paraId="0AB06CBB"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31-dic-15</w:t>
            </w:r>
          </w:p>
        </w:tc>
        <w:tc>
          <w:tcPr>
            <w:tcW w:w="1262" w:type="dxa"/>
            <w:noWrap/>
            <w:hideMark/>
          </w:tcPr>
          <w:p w14:paraId="2D47EE84"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3B961AB7" w14:textId="6BD6F2EE"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 xml:space="preserve">$644.350 </w:t>
            </w:r>
          </w:p>
        </w:tc>
        <w:tc>
          <w:tcPr>
            <w:tcW w:w="1557" w:type="dxa"/>
            <w:hideMark/>
          </w:tcPr>
          <w:p w14:paraId="088BB361" w14:textId="5B32CA6F"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$8.376.550 </w:t>
            </w:r>
          </w:p>
        </w:tc>
      </w:tr>
      <w:tr w:rsidR="003660FA" w:rsidRPr="00E2012B" w14:paraId="22AA4E23" w14:textId="77777777" w:rsidTr="003660FA">
        <w:trPr>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63A38279"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2016</w:t>
            </w:r>
          </w:p>
        </w:tc>
        <w:tc>
          <w:tcPr>
            <w:tcW w:w="1262" w:type="dxa"/>
            <w:noWrap/>
            <w:hideMark/>
          </w:tcPr>
          <w:p w14:paraId="12D137E6"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1-ene-16</w:t>
            </w:r>
          </w:p>
        </w:tc>
        <w:tc>
          <w:tcPr>
            <w:tcW w:w="1262" w:type="dxa"/>
            <w:noWrap/>
            <w:hideMark/>
          </w:tcPr>
          <w:p w14:paraId="7F5A2128"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31-dic-16</w:t>
            </w:r>
          </w:p>
        </w:tc>
        <w:tc>
          <w:tcPr>
            <w:tcW w:w="1262" w:type="dxa"/>
            <w:noWrap/>
            <w:hideMark/>
          </w:tcPr>
          <w:p w14:paraId="3FB6FAFC" w14:textId="7777777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69C76E56" w14:textId="4BDE52C2"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 xml:space="preserve">$689.455 </w:t>
            </w:r>
          </w:p>
        </w:tc>
        <w:tc>
          <w:tcPr>
            <w:tcW w:w="1557" w:type="dxa"/>
            <w:hideMark/>
          </w:tcPr>
          <w:p w14:paraId="22E0BC73" w14:textId="03CC3EF6"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$8.962.915 </w:t>
            </w:r>
          </w:p>
        </w:tc>
      </w:tr>
      <w:tr w:rsidR="003660FA" w:rsidRPr="00E2012B" w14:paraId="2DBF28E1" w14:textId="77777777" w:rsidTr="003660F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7A845DB1"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lastRenderedPageBreak/>
              <w:t>2017</w:t>
            </w:r>
          </w:p>
        </w:tc>
        <w:tc>
          <w:tcPr>
            <w:tcW w:w="1262" w:type="dxa"/>
            <w:noWrap/>
            <w:hideMark/>
          </w:tcPr>
          <w:p w14:paraId="430B4C5B"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1-ene-17</w:t>
            </w:r>
          </w:p>
        </w:tc>
        <w:tc>
          <w:tcPr>
            <w:tcW w:w="1262" w:type="dxa"/>
            <w:noWrap/>
            <w:hideMark/>
          </w:tcPr>
          <w:p w14:paraId="237D1F0B"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31-dic-17</w:t>
            </w:r>
          </w:p>
        </w:tc>
        <w:tc>
          <w:tcPr>
            <w:tcW w:w="1262" w:type="dxa"/>
            <w:noWrap/>
            <w:hideMark/>
          </w:tcPr>
          <w:p w14:paraId="121CB6A0"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7296D27E" w14:textId="6E4CB104"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 xml:space="preserve">$737.717 </w:t>
            </w:r>
          </w:p>
        </w:tc>
        <w:tc>
          <w:tcPr>
            <w:tcW w:w="1557" w:type="dxa"/>
            <w:hideMark/>
          </w:tcPr>
          <w:p w14:paraId="1F1618B9" w14:textId="76A78BF3"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$9.590.321 </w:t>
            </w:r>
          </w:p>
        </w:tc>
      </w:tr>
      <w:tr w:rsidR="003660FA" w:rsidRPr="00E2012B" w14:paraId="60DE0474" w14:textId="77777777" w:rsidTr="003660FA">
        <w:trPr>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19901802"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2018</w:t>
            </w:r>
          </w:p>
        </w:tc>
        <w:tc>
          <w:tcPr>
            <w:tcW w:w="1262" w:type="dxa"/>
            <w:noWrap/>
            <w:hideMark/>
          </w:tcPr>
          <w:p w14:paraId="47F5B727"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1-ene-18</w:t>
            </w:r>
          </w:p>
        </w:tc>
        <w:tc>
          <w:tcPr>
            <w:tcW w:w="1262" w:type="dxa"/>
            <w:noWrap/>
            <w:hideMark/>
          </w:tcPr>
          <w:p w14:paraId="38803660"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31-dic-18</w:t>
            </w:r>
          </w:p>
        </w:tc>
        <w:tc>
          <w:tcPr>
            <w:tcW w:w="1262" w:type="dxa"/>
            <w:noWrap/>
            <w:hideMark/>
          </w:tcPr>
          <w:p w14:paraId="29B2C73C" w14:textId="7777777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4A9211C7" w14:textId="14CFBEFF"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 xml:space="preserve">$781.242 </w:t>
            </w:r>
          </w:p>
        </w:tc>
        <w:tc>
          <w:tcPr>
            <w:tcW w:w="1557" w:type="dxa"/>
            <w:hideMark/>
          </w:tcPr>
          <w:p w14:paraId="60C0D5FC" w14:textId="7D38891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$10.156.146 </w:t>
            </w:r>
          </w:p>
        </w:tc>
      </w:tr>
      <w:tr w:rsidR="003660FA" w:rsidRPr="00E2012B" w14:paraId="1A1C4F4D" w14:textId="77777777" w:rsidTr="003660F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405DC329"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2019</w:t>
            </w:r>
          </w:p>
        </w:tc>
        <w:tc>
          <w:tcPr>
            <w:tcW w:w="1262" w:type="dxa"/>
            <w:noWrap/>
            <w:hideMark/>
          </w:tcPr>
          <w:p w14:paraId="6814E0BF"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1-ene-19</w:t>
            </w:r>
          </w:p>
        </w:tc>
        <w:tc>
          <w:tcPr>
            <w:tcW w:w="1262" w:type="dxa"/>
            <w:noWrap/>
            <w:hideMark/>
          </w:tcPr>
          <w:p w14:paraId="03FEEBF6"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31-dic-19</w:t>
            </w:r>
          </w:p>
        </w:tc>
        <w:tc>
          <w:tcPr>
            <w:tcW w:w="1262" w:type="dxa"/>
            <w:noWrap/>
            <w:hideMark/>
          </w:tcPr>
          <w:p w14:paraId="65AEF769"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04565615" w14:textId="694B4741"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 xml:space="preserve">$828.116 </w:t>
            </w:r>
          </w:p>
        </w:tc>
        <w:tc>
          <w:tcPr>
            <w:tcW w:w="1557" w:type="dxa"/>
            <w:hideMark/>
          </w:tcPr>
          <w:p w14:paraId="7F311C6C" w14:textId="39473A4D"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$10.765.508 </w:t>
            </w:r>
          </w:p>
        </w:tc>
      </w:tr>
      <w:tr w:rsidR="003660FA" w:rsidRPr="00E2012B" w14:paraId="3E3163FD" w14:textId="77777777" w:rsidTr="003660FA">
        <w:trPr>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4B1AFE62"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2020</w:t>
            </w:r>
          </w:p>
        </w:tc>
        <w:tc>
          <w:tcPr>
            <w:tcW w:w="1262" w:type="dxa"/>
            <w:noWrap/>
            <w:hideMark/>
          </w:tcPr>
          <w:p w14:paraId="659DE565"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1-ene-20</w:t>
            </w:r>
          </w:p>
        </w:tc>
        <w:tc>
          <w:tcPr>
            <w:tcW w:w="1262" w:type="dxa"/>
            <w:noWrap/>
            <w:hideMark/>
          </w:tcPr>
          <w:p w14:paraId="75762DD4"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31-dic-20</w:t>
            </w:r>
          </w:p>
        </w:tc>
        <w:tc>
          <w:tcPr>
            <w:tcW w:w="1262" w:type="dxa"/>
            <w:noWrap/>
            <w:hideMark/>
          </w:tcPr>
          <w:p w14:paraId="51C90B8F" w14:textId="7777777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28CD5C5F" w14:textId="307379D1"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 xml:space="preserve">$877.803 </w:t>
            </w:r>
          </w:p>
        </w:tc>
        <w:tc>
          <w:tcPr>
            <w:tcW w:w="1557" w:type="dxa"/>
            <w:hideMark/>
          </w:tcPr>
          <w:p w14:paraId="695D5FCE" w14:textId="385020D6"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$11.411.439 </w:t>
            </w:r>
          </w:p>
        </w:tc>
      </w:tr>
      <w:tr w:rsidR="003660FA" w:rsidRPr="00E2012B" w14:paraId="6FD5DE39" w14:textId="77777777" w:rsidTr="003660F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07D5A7F2"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2021</w:t>
            </w:r>
          </w:p>
        </w:tc>
        <w:tc>
          <w:tcPr>
            <w:tcW w:w="1262" w:type="dxa"/>
            <w:noWrap/>
            <w:hideMark/>
          </w:tcPr>
          <w:p w14:paraId="2A98A9E2"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1-ene-21</w:t>
            </w:r>
          </w:p>
        </w:tc>
        <w:tc>
          <w:tcPr>
            <w:tcW w:w="1262" w:type="dxa"/>
            <w:noWrap/>
            <w:hideMark/>
          </w:tcPr>
          <w:p w14:paraId="3DBA1B11" w14:textId="77777777" w:rsidR="003660FA" w:rsidRPr="00E2012B" w:rsidRDefault="003660FA" w:rsidP="00E2012B">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31-dic-21</w:t>
            </w:r>
          </w:p>
        </w:tc>
        <w:tc>
          <w:tcPr>
            <w:tcW w:w="1262" w:type="dxa"/>
            <w:noWrap/>
            <w:hideMark/>
          </w:tcPr>
          <w:p w14:paraId="27AD3E75" w14:textId="77777777"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13,00</w:t>
            </w:r>
          </w:p>
        </w:tc>
        <w:tc>
          <w:tcPr>
            <w:tcW w:w="1262" w:type="dxa"/>
            <w:hideMark/>
          </w:tcPr>
          <w:p w14:paraId="3C41DBD5" w14:textId="61B19DC5"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E2012B">
              <w:rPr>
                <w:rFonts w:ascii="Tahoma" w:hAnsi="Tahoma" w:cs="Tahoma"/>
                <w:sz w:val="22"/>
              </w:rPr>
              <w:t xml:space="preserve">$908.526 </w:t>
            </w:r>
          </w:p>
        </w:tc>
        <w:tc>
          <w:tcPr>
            <w:tcW w:w="1557" w:type="dxa"/>
            <w:hideMark/>
          </w:tcPr>
          <w:p w14:paraId="459B3F3D" w14:textId="051024F4"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$11.810.838 </w:t>
            </w:r>
          </w:p>
        </w:tc>
      </w:tr>
      <w:tr w:rsidR="003660FA" w:rsidRPr="00E2012B" w14:paraId="7FFA0EBA" w14:textId="77777777" w:rsidTr="003660FA">
        <w:trPr>
          <w:trHeight w:val="296"/>
          <w:jc w:val="center"/>
        </w:trPr>
        <w:tc>
          <w:tcPr>
            <w:cnfStyle w:val="001000000000" w:firstRow="0" w:lastRow="0" w:firstColumn="1" w:lastColumn="0" w:oddVBand="0" w:evenVBand="0" w:oddHBand="0" w:evenHBand="0" w:firstRowFirstColumn="0" w:firstRowLastColumn="0" w:lastRowFirstColumn="0" w:lastRowLastColumn="0"/>
            <w:tcW w:w="1262" w:type="dxa"/>
            <w:hideMark/>
          </w:tcPr>
          <w:p w14:paraId="7ABB3374"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2022</w:t>
            </w:r>
          </w:p>
        </w:tc>
        <w:tc>
          <w:tcPr>
            <w:tcW w:w="1262" w:type="dxa"/>
            <w:noWrap/>
            <w:hideMark/>
          </w:tcPr>
          <w:p w14:paraId="7AB1E7FE"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1-ene-22</w:t>
            </w:r>
          </w:p>
        </w:tc>
        <w:tc>
          <w:tcPr>
            <w:tcW w:w="1262" w:type="dxa"/>
            <w:noWrap/>
            <w:hideMark/>
          </w:tcPr>
          <w:p w14:paraId="161DE90C" w14:textId="77777777" w:rsidR="003660FA" w:rsidRPr="00E2012B" w:rsidRDefault="003660FA" w:rsidP="00E2012B">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rPr>
            </w:pPr>
            <w:r w:rsidRPr="00E2012B">
              <w:rPr>
                <w:rFonts w:ascii="Tahoma" w:hAnsi="Tahoma" w:cs="Tahoma"/>
                <w:color w:val="000000"/>
                <w:sz w:val="22"/>
              </w:rPr>
              <w:t>13-feb-22</w:t>
            </w:r>
          </w:p>
        </w:tc>
        <w:tc>
          <w:tcPr>
            <w:tcW w:w="1262" w:type="dxa"/>
            <w:noWrap/>
            <w:hideMark/>
          </w:tcPr>
          <w:p w14:paraId="148228E2" w14:textId="77777777"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1,43</w:t>
            </w:r>
          </w:p>
        </w:tc>
        <w:tc>
          <w:tcPr>
            <w:tcW w:w="1262" w:type="dxa"/>
            <w:hideMark/>
          </w:tcPr>
          <w:p w14:paraId="6067306E" w14:textId="54DE1D7D"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E2012B">
              <w:rPr>
                <w:rFonts w:ascii="Tahoma" w:hAnsi="Tahoma" w:cs="Tahoma"/>
                <w:sz w:val="22"/>
              </w:rPr>
              <w:t xml:space="preserve">$1.000.000 </w:t>
            </w:r>
          </w:p>
        </w:tc>
        <w:tc>
          <w:tcPr>
            <w:tcW w:w="1557" w:type="dxa"/>
            <w:hideMark/>
          </w:tcPr>
          <w:p w14:paraId="71B9CCFE" w14:textId="5FB9F38F" w:rsidR="003660FA" w:rsidRPr="00E2012B" w:rsidRDefault="003660FA" w:rsidP="00E2012B">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$1.430.000 </w:t>
            </w:r>
          </w:p>
        </w:tc>
      </w:tr>
      <w:tr w:rsidR="003660FA" w:rsidRPr="00E2012B" w14:paraId="6894BD22" w14:textId="77777777" w:rsidTr="003660F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6312" w:type="dxa"/>
            <w:gridSpan w:val="5"/>
            <w:noWrap/>
            <w:hideMark/>
          </w:tcPr>
          <w:p w14:paraId="3713E97C" w14:textId="77777777" w:rsidR="003660FA" w:rsidRPr="00E2012B" w:rsidRDefault="003660FA" w:rsidP="00E2012B">
            <w:pPr>
              <w:jc w:val="center"/>
              <w:rPr>
                <w:rFonts w:ascii="Tahoma" w:hAnsi="Tahoma" w:cs="Tahoma"/>
                <w:b w:val="0"/>
                <w:bCs w:val="0"/>
                <w:color w:val="000000"/>
                <w:sz w:val="22"/>
              </w:rPr>
            </w:pPr>
            <w:r w:rsidRPr="00E2012B">
              <w:rPr>
                <w:rFonts w:ascii="Tahoma" w:hAnsi="Tahoma" w:cs="Tahoma"/>
                <w:b w:val="0"/>
                <w:bCs w:val="0"/>
                <w:color w:val="000000"/>
                <w:sz w:val="22"/>
              </w:rPr>
              <w:t>TOTAL RETROACTIVO</w:t>
            </w:r>
          </w:p>
        </w:tc>
        <w:tc>
          <w:tcPr>
            <w:tcW w:w="1557" w:type="dxa"/>
            <w:hideMark/>
          </w:tcPr>
          <w:p w14:paraId="11F113E4" w14:textId="697FACCC" w:rsidR="003660FA" w:rsidRPr="00E2012B" w:rsidRDefault="003660FA" w:rsidP="00E2012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rPr>
            </w:pPr>
            <w:r w:rsidRPr="00E2012B">
              <w:rPr>
                <w:rFonts w:ascii="Tahoma" w:hAnsi="Tahoma" w:cs="Tahoma"/>
                <w:b/>
                <w:bCs/>
                <w:sz w:val="22"/>
              </w:rPr>
              <w:t xml:space="preserve">$73.446.197 </w:t>
            </w:r>
          </w:p>
        </w:tc>
      </w:tr>
    </w:tbl>
    <w:p w14:paraId="2BED1E31" w14:textId="77777777" w:rsidR="006957CA" w:rsidRPr="00555C03" w:rsidRDefault="006957CA" w:rsidP="00555C03">
      <w:pPr>
        <w:tabs>
          <w:tab w:val="left" w:pos="284"/>
        </w:tabs>
        <w:spacing w:line="276" w:lineRule="auto"/>
        <w:ind w:firstLine="708"/>
        <w:jc w:val="both"/>
        <w:rPr>
          <w:rFonts w:ascii="Tahoma" w:eastAsia="Tahoma" w:hAnsi="Tahoma" w:cs="Tahoma"/>
          <w:color w:val="000000" w:themeColor="text1"/>
          <w:highlight w:val="yellow"/>
          <w:lang w:val="es"/>
        </w:rPr>
      </w:pPr>
    </w:p>
    <w:p w14:paraId="42ABF566" w14:textId="77777777" w:rsidR="006957CA" w:rsidRPr="00555C03" w:rsidRDefault="006957CA" w:rsidP="00555C03">
      <w:pPr>
        <w:spacing w:line="276" w:lineRule="auto"/>
        <w:ind w:firstLine="708"/>
        <w:jc w:val="both"/>
        <w:rPr>
          <w:rFonts w:ascii="Tahoma" w:eastAsia="Tahoma" w:hAnsi="Tahoma" w:cs="Tahoma"/>
          <w:color w:val="000000" w:themeColor="text1"/>
          <w:highlight w:val="yellow"/>
          <w:lang w:val="es"/>
        </w:rPr>
      </w:pPr>
    </w:p>
    <w:p w14:paraId="1DB61FF6" w14:textId="05212414" w:rsidR="006957CA" w:rsidRPr="00555C03" w:rsidRDefault="006957CA" w:rsidP="00555C03">
      <w:pPr>
        <w:widowControl w:val="0"/>
        <w:autoSpaceDE w:val="0"/>
        <w:autoSpaceDN w:val="0"/>
        <w:adjustRightInd w:val="0"/>
        <w:spacing w:line="276" w:lineRule="auto"/>
        <w:ind w:firstLine="709"/>
        <w:jc w:val="both"/>
        <w:rPr>
          <w:rFonts w:ascii="Tahoma" w:eastAsiaTheme="minorEastAsia" w:hAnsi="Tahoma" w:cs="Tahoma"/>
          <w:lang w:eastAsia="en-US"/>
        </w:rPr>
      </w:pPr>
      <w:r w:rsidRPr="00555C03">
        <w:rPr>
          <w:rFonts w:ascii="Tahoma" w:eastAsiaTheme="minorEastAsia" w:hAnsi="Tahoma" w:cs="Tahoma"/>
          <w:lang w:eastAsia="en-US"/>
        </w:rPr>
        <w:t xml:space="preserve">Por otra parte, aunque, por regla general, los intereses moratorios de que trata el artículo 141 de la Ley 100 de 1993, se generan desde el momento en que, vencido el término de gracia que tienen las administradoras de pensiones para resolver la solicitud de pensión y proceder a su pago, no lo hacen, esta Corporación en varias oportunidades ha adoptado la posición, que hoy reitera, según la cual, no es procedente la condena por concepto de dichos intereses cuando </w:t>
      </w:r>
      <w:r w:rsidRPr="00555C03">
        <w:rPr>
          <w:rFonts w:ascii="Tahoma" w:eastAsiaTheme="minorEastAsia" w:hAnsi="Tahoma" w:cs="Tahoma"/>
          <w:i/>
          <w:iCs/>
          <w:lang w:eastAsia="en-US"/>
        </w:rPr>
        <w:t>“</w:t>
      </w:r>
      <w:r w:rsidRPr="00D90B42">
        <w:rPr>
          <w:rFonts w:ascii="Tahoma" w:hAnsi="Tahoma" w:cs="Tahoma"/>
          <w:i/>
          <w:sz w:val="22"/>
        </w:rPr>
        <w:t>la pensión se reconoce en virtud de una interpretación constitucional favorable”</w:t>
      </w:r>
      <w:r w:rsidRPr="00555C03">
        <w:rPr>
          <w:rFonts w:ascii="Tahoma" w:eastAsiaTheme="minorEastAsia" w:hAnsi="Tahoma" w:cs="Tahoma"/>
          <w:lang w:eastAsia="en-US"/>
        </w:rPr>
        <w:t xml:space="preserve">, pues en esos eventos, se entiende que la entidad negó la prestación de conformidad con los parámetros legales vigentes, de manera que, en esencia, </w:t>
      </w:r>
      <w:r w:rsidR="003660FA" w:rsidRPr="00555C03">
        <w:rPr>
          <w:rFonts w:ascii="Tahoma" w:eastAsiaTheme="minorEastAsia" w:hAnsi="Tahoma" w:cs="Tahoma"/>
          <w:lang w:eastAsia="en-US"/>
        </w:rPr>
        <w:t>la peticionaria</w:t>
      </w:r>
      <w:r w:rsidRPr="00555C03">
        <w:rPr>
          <w:rFonts w:ascii="Tahoma" w:eastAsiaTheme="minorEastAsia" w:hAnsi="Tahoma" w:cs="Tahoma"/>
          <w:lang w:eastAsia="en-US"/>
        </w:rPr>
        <w:t xml:space="preserve"> no cumplía con los requisitos para acceder a la prestación reclamada. Por lo que, en su lugar se ordenará la indexación de las sumas adeudadas con el fin de resarcir la pérdida de valor adquisitivo de la moneda con el transcurrir del tiempo.</w:t>
      </w:r>
    </w:p>
    <w:p w14:paraId="1C7B1460" w14:textId="77777777" w:rsidR="003660FA" w:rsidRPr="00555C03" w:rsidRDefault="003660FA" w:rsidP="00555C03">
      <w:pPr>
        <w:widowControl w:val="0"/>
        <w:autoSpaceDE w:val="0"/>
        <w:autoSpaceDN w:val="0"/>
        <w:adjustRightInd w:val="0"/>
        <w:spacing w:line="276" w:lineRule="auto"/>
        <w:ind w:firstLine="709"/>
        <w:jc w:val="both"/>
        <w:rPr>
          <w:rFonts w:ascii="Tahoma" w:eastAsia="Tahoma" w:hAnsi="Tahoma" w:cs="Tahoma"/>
        </w:rPr>
      </w:pPr>
    </w:p>
    <w:p w14:paraId="6EF4D796" w14:textId="15619BE2" w:rsidR="006957CA" w:rsidRPr="00555C03" w:rsidRDefault="006957CA"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color w:val="000000" w:themeColor="text1"/>
          <w:lang w:val="es-CO"/>
        </w:rPr>
        <w:t xml:space="preserve">En vista de lo anterior, </w:t>
      </w:r>
      <w:r w:rsidR="003660FA" w:rsidRPr="00555C03">
        <w:rPr>
          <w:rFonts w:ascii="Tahoma" w:eastAsia="Tahoma" w:hAnsi="Tahoma" w:cs="Tahoma"/>
          <w:color w:val="000000" w:themeColor="text1"/>
          <w:lang w:val="es-CO"/>
        </w:rPr>
        <w:t>en virtud del grado jurisdiccional de consulta</w:t>
      </w:r>
      <w:r w:rsidRPr="00555C03">
        <w:rPr>
          <w:rFonts w:ascii="Tahoma" w:eastAsia="Tahoma" w:hAnsi="Tahoma" w:cs="Tahoma"/>
          <w:color w:val="000000" w:themeColor="text1"/>
          <w:lang w:val="es-CO"/>
        </w:rPr>
        <w:t>, se revocará la sentencia recurrida.</w:t>
      </w:r>
    </w:p>
    <w:p w14:paraId="41FF90AD" w14:textId="77777777" w:rsidR="006957CA" w:rsidRPr="00555C03" w:rsidRDefault="006957CA" w:rsidP="00555C03">
      <w:pPr>
        <w:spacing w:line="276" w:lineRule="auto"/>
        <w:ind w:firstLine="708"/>
        <w:jc w:val="both"/>
        <w:rPr>
          <w:rFonts w:ascii="Tahoma" w:eastAsia="Tahoma" w:hAnsi="Tahoma" w:cs="Tahoma"/>
          <w:color w:val="000000" w:themeColor="text1"/>
          <w:lang w:val="es-CO"/>
        </w:rPr>
      </w:pPr>
    </w:p>
    <w:p w14:paraId="045E0801" w14:textId="77777777" w:rsidR="006957CA" w:rsidRPr="00555C03" w:rsidRDefault="006957CA" w:rsidP="00555C03">
      <w:pPr>
        <w:spacing w:line="276" w:lineRule="auto"/>
        <w:ind w:firstLine="708"/>
        <w:jc w:val="both"/>
        <w:rPr>
          <w:rFonts w:ascii="Tahoma" w:eastAsia="Tahoma" w:hAnsi="Tahoma" w:cs="Tahoma"/>
          <w:color w:val="000000" w:themeColor="text1"/>
          <w:lang w:val="es-CO"/>
        </w:rPr>
      </w:pPr>
      <w:r w:rsidRPr="00555C03">
        <w:rPr>
          <w:rFonts w:ascii="Tahoma" w:eastAsia="Tahoma" w:hAnsi="Tahoma" w:cs="Tahoma"/>
          <w:color w:val="000000" w:themeColor="text1"/>
          <w:lang w:val="es-CO"/>
        </w:rPr>
        <w:t>En cuanto a la condena en costas, si bien las mismas son de rigor para quien resulte vencido, atendiendo que el reconocimiento de la pensión de sobrevivientes parte de un criterio jurisprudencial constitucional favorable y que, al negar la prestación en sede administrativa, Colpensiones actuó en estricto cumplimiento de la ley, la Sala se abstendrá de efectuar condenar en costas procesales. Así, se declarará probada la excepción de Imposibilidad de condena en costas.</w:t>
      </w:r>
    </w:p>
    <w:p w14:paraId="45F1BD1E" w14:textId="77777777" w:rsidR="001F063B" w:rsidRPr="00555C03" w:rsidRDefault="001F063B" w:rsidP="00555C03">
      <w:pPr>
        <w:spacing w:line="276" w:lineRule="auto"/>
        <w:ind w:firstLine="708"/>
        <w:jc w:val="both"/>
        <w:rPr>
          <w:rFonts w:ascii="Tahoma" w:eastAsia="Tahoma" w:hAnsi="Tahoma" w:cs="Tahoma"/>
          <w:color w:val="000000" w:themeColor="text1"/>
          <w:lang w:val="es-CO"/>
        </w:rPr>
      </w:pPr>
    </w:p>
    <w:p w14:paraId="65F10DCD" w14:textId="77777777" w:rsidR="001F063B" w:rsidRPr="00555C03" w:rsidRDefault="001F063B" w:rsidP="00555C03">
      <w:pPr>
        <w:tabs>
          <w:tab w:val="left" w:pos="748"/>
        </w:tabs>
        <w:spacing w:line="276" w:lineRule="auto"/>
        <w:jc w:val="both"/>
        <w:rPr>
          <w:rFonts w:ascii="Tahoma" w:hAnsi="Tahoma" w:cs="Tahoma"/>
          <w:lang w:val="es-CO"/>
        </w:rPr>
      </w:pPr>
      <w:r w:rsidRPr="00555C03">
        <w:rPr>
          <w:rFonts w:ascii="Tahoma" w:hAnsi="Tahoma" w:cs="Tahoma"/>
          <w:lang w:val="es-CO"/>
        </w:rPr>
        <w:tab/>
        <w:t xml:space="preserve">En mérito de lo expuesto, el </w:t>
      </w:r>
      <w:r w:rsidRPr="00555C03">
        <w:rPr>
          <w:rFonts w:ascii="Tahoma" w:hAnsi="Tahoma" w:cs="Tahoma"/>
          <w:b/>
          <w:bCs/>
          <w:lang w:val="es-CO"/>
        </w:rPr>
        <w:t>Tribunal Superior del Distrito Judicial de Pereira - Risaralda, Sala Primera de Decisión Laboral,</w:t>
      </w:r>
      <w:r w:rsidRPr="00555C03">
        <w:rPr>
          <w:rFonts w:ascii="Tahoma" w:hAnsi="Tahoma" w:cs="Tahoma"/>
          <w:lang w:val="es-CO"/>
        </w:rPr>
        <w:t xml:space="preserve"> administrando justicia en nombre de la República y por autoridad de la ley,</w:t>
      </w:r>
    </w:p>
    <w:p w14:paraId="291583F7" w14:textId="77777777" w:rsidR="001F063B" w:rsidRPr="00555C03" w:rsidRDefault="001F063B" w:rsidP="00555C03">
      <w:pPr>
        <w:tabs>
          <w:tab w:val="left" w:pos="748"/>
        </w:tabs>
        <w:spacing w:line="276" w:lineRule="auto"/>
        <w:rPr>
          <w:rFonts w:ascii="Tahoma" w:hAnsi="Tahoma" w:cs="Tahoma"/>
          <w:iCs/>
          <w:lang w:val="es-CO"/>
        </w:rPr>
      </w:pPr>
    </w:p>
    <w:p w14:paraId="39745972" w14:textId="77777777" w:rsidR="001F063B" w:rsidRPr="00555C03" w:rsidRDefault="001F063B" w:rsidP="00555C03">
      <w:pPr>
        <w:widowControl w:val="0"/>
        <w:autoSpaceDE w:val="0"/>
        <w:autoSpaceDN w:val="0"/>
        <w:adjustRightInd w:val="0"/>
        <w:spacing w:line="276" w:lineRule="auto"/>
        <w:jc w:val="center"/>
        <w:rPr>
          <w:rFonts w:ascii="Tahoma" w:hAnsi="Tahoma" w:cs="Tahoma"/>
          <w:b/>
        </w:rPr>
      </w:pPr>
      <w:r w:rsidRPr="00555C03">
        <w:rPr>
          <w:rFonts w:ascii="Tahoma" w:hAnsi="Tahoma" w:cs="Tahoma"/>
          <w:b/>
        </w:rPr>
        <w:t>RESUELVE:</w:t>
      </w:r>
    </w:p>
    <w:p w14:paraId="3F984587" w14:textId="77777777" w:rsidR="001F063B" w:rsidRPr="00555C03" w:rsidRDefault="001F063B" w:rsidP="00555C03">
      <w:pPr>
        <w:widowControl w:val="0"/>
        <w:autoSpaceDE w:val="0"/>
        <w:autoSpaceDN w:val="0"/>
        <w:adjustRightInd w:val="0"/>
        <w:spacing w:line="276" w:lineRule="auto"/>
        <w:rPr>
          <w:rFonts w:ascii="Tahoma" w:hAnsi="Tahoma" w:cs="Tahoma"/>
          <w:b/>
        </w:rPr>
      </w:pPr>
    </w:p>
    <w:p w14:paraId="4FB02116" w14:textId="139BDA8A" w:rsidR="001F063B" w:rsidRPr="00555C03" w:rsidRDefault="001F063B" w:rsidP="00555C03">
      <w:pPr>
        <w:spacing w:line="276" w:lineRule="auto"/>
        <w:ind w:firstLine="708"/>
        <w:jc w:val="both"/>
        <w:rPr>
          <w:rFonts w:ascii="Tahoma" w:hAnsi="Tahoma" w:cs="Tahoma"/>
        </w:rPr>
      </w:pPr>
      <w:r w:rsidRPr="00555C03">
        <w:rPr>
          <w:rFonts w:ascii="Tahoma" w:hAnsi="Tahoma" w:cs="Tahoma"/>
          <w:b/>
          <w:bCs/>
          <w:u w:val="single"/>
        </w:rPr>
        <w:t>PRIMERO:</w:t>
      </w:r>
      <w:r w:rsidRPr="00555C03">
        <w:rPr>
          <w:rFonts w:ascii="Tahoma" w:hAnsi="Tahoma" w:cs="Tahoma"/>
          <w:b/>
        </w:rPr>
        <w:t xml:space="preserve"> REVOCAR </w:t>
      </w:r>
      <w:r w:rsidRPr="00555C03">
        <w:rPr>
          <w:rFonts w:ascii="Tahoma" w:hAnsi="Tahoma" w:cs="Tahoma"/>
        </w:rPr>
        <w:t xml:space="preserve">la sentencia proferida por el </w:t>
      </w:r>
      <w:r w:rsidRPr="00555C03">
        <w:rPr>
          <w:rFonts w:ascii="Tahoma" w:hAnsi="Tahoma" w:cs="Tahoma"/>
          <w:lang w:val="es-CO"/>
        </w:rPr>
        <w:t xml:space="preserve">Juzgado Segundo Laboral del Circuito de Pereira el </w:t>
      </w:r>
      <w:r w:rsidR="003660FA" w:rsidRPr="00555C03">
        <w:rPr>
          <w:rStyle w:val="normaltextrun"/>
          <w:rFonts w:ascii="Tahoma" w:hAnsi="Tahoma" w:cs="Tahoma"/>
        </w:rPr>
        <w:t>19 de enero de 2023</w:t>
      </w:r>
      <w:r w:rsidRPr="00555C03">
        <w:rPr>
          <w:rFonts w:ascii="Tahoma" w:hAnsi="Tahoma" w:cs="Tahoma"/>
          <w:bCs/>
          <w:lang w:val="es-CO"/>
        </w:rPr>
        <w:t xml:space="preserve">, dentro del proceso ordinario laboral promovido por </w:t>
      </w:r>
      <w:r w:rsidR="003660FA" w:rsidRPr="00555C03">
        <w:rPr>
          <w:rFonts w:ascii="Tahoma" w:eastAsiaTheme="minorHAnsi" w:hAnsi="Tahoma" w:cs="Tahoma"/>
          <w:b/>
          <w:bCs/>
          <w:lang w:eastAsia="en-US"/>
        </w:rPr>
        <w:t xml:space="preserve">BETSABÉ MARTÍNEZ NAVARRO </w:t>
      </w:r>
      <w:r w:rsidR="003660FA" w:rsidRPr="00555C03">
        <w:rPr>
          <w:rFonts w:ascii="Tahoma" w:eastAsiaTheme="minorHAnsi" w:hAnsi="Tahoma" w:cs="Tahoma"/>
          <w:lang w:eastAsia="en-US"/>
        </w:rPr>
        <w:t xml:space="preserve">en contra de la </w:t>
      </w:r>
      <w:r w:rsidR="003660FA" w:rsidRPr="00555C03">
        <w:rPr>
          <w:rFonts w:ascii="Tahoma" w:eastAsiaTheme="minorHAnsi" w:hAnsi="Tahoma" w:cs="Tahoma"/>
          <w:b/>
          <w:bCs/>
          <w:lang w:eastAsia="en-US"/>
        </w:rPr>
        <w:t>ADMINISTRADORA COLOMBIANA DE PENSIONES – COLPENSIONES</w:t>
      </w:r>
      <w:r w:rsidR="003660FA" w:rsidRPr="00555C03">
        <w:rPr>
          <w:rFonts w:ascii="Tahoma" w:hAnsi="Tahoma" w:cs="Tahoma"/>
          <w:bCs/>
          <w:lang w:val="es-CO"/>
        </w:rPr>
        <w:t xml:space="preserve"> </w:t>
      </w:r>
      <w:r w:rsidRPr="00555C03">
        <w:rPr>
          <w:rFonts w:ascii="Tahoma" w:hAnsi="Tahoma" w:cs="Tahoma"/>
          <w:bCs/>
          <w:lang w:val="es-CO"/>
        </w:rPr>
        <w:t>y, en su lugar:</w:t>
      </w:r>
    </w:p>
    <w:p w14:paraId="32F2290D" w14:textId="77777777" w:rsidR="001F063B" w:rsidRPr="00555C03" w:rsidRDefault="001F063B" w:rsidP="00555C03">
      <w:pPr>
        <w:spacing w:line="276" w:lineRule="auto"/>
        <w:ind w:firstLine="708"/>
        <w:jc w:val="both"/>
        <w:rPr>
          <w:rFonts w:ascii="Tahoma" w:hAnsi="Tahoma" w:cs="Tahoma"/>
          <w:b/>
        </w:rPr>
      </w:pPr>
    </w:p>
    <w:p w14:paraId="0F1DAC52" w14:textId="29E472CD" w:rsidR="001F063B" w:rsidRPr="00555C03" w:rsidRDefault="001F063B" w:rsidP="00555C03">
      <w:pPr>
        <w:spacing w:line="276" w:lineRule="auto"/>
        <w:ind w:firstLine="708"/>
        <w:jc w:val="both"/>
        <w:rPr>
          <w:rFonts w:ascii="Tahoma" w:hAnsi="Tahoma" w:cs="Tahoma"/>
          <w:bCs/>
        </w:rPr>
      </w:pPr>
      <w:r w:rsidRPr="00555C03">
        <w:rPr>
          <w:rFonts w:ascii="Tahoma" w:hAnsi="Tahoma" w:cs="Tahoma"/>
          <w:b/>
          <w:u w:val="single"/>
        </w:rPr>
        <w:t>SEGUNDO:</w:t>
      </w:r>
      <w:r w:rsidRPr="00555C03">
        <w:rPr>
          <w:rFonts w:ascii="Tahoma" w:hAnsi="Tahoma" w:cs="Tahoma"/>
          <w:b/>
        </w:rPr>
        <w:t xml:space="preserve"> DECLARAR</w:t>
      </w:r>
      <w:r w:rsidRPr="00555C03">
        <w:rPr>
          <w:rFonts w:ascii="Tahoma" w:hAnsi="Tahoma" w:cs="Tahoma"/>
          <w:bCs/>
        </w:rPr>
        <w:t xml:space="preserve"> que </w:t>
      </w:r>
      <w:r w:rsidR="003660FA" w:rsidRPr="00555C03">
        <w:rPr>
          <w:rFonts w:ascii="Tahoma" w:eastAsiaTheme="minorHAnsi" w:hAnsi="Tahoma" w:cs="Tahoma"/>
          <w:b/>
          <w:bCs/>
          <w:lang w:eastAsia="en-US"/>
        </w:rPr>
        <w:t xml:space="preserve">BETSABÉ MARTÍNEZ NAVARRO </w:t>
      </w:r>
      <w:r w:rsidRPr="00555C03">
        <w:rPr>
          <w:rFonts w:ascii="Tahoma" w:hAnsi="Tahoma" w:cs="Tahoma"/>
          <w:bCs/>
        </w:rPr>
        <w:t>t</w:t>
      </w:r>
      <w:r w:rsidR="003660FA" w:rsidRPr="00555C03">
        <w:rPr>
          <w:rFonts w:ascii="Tahoma" w:hAnsi="Tahoma" w:cs="Tahoma"/>
          <w:bCs/>
        </w:rPr>
        <w:t>enía</w:t>
      </w:r>
      <w:r w:rsidRPr="00555C03">
        <w:rPr>
          <w:rFonts w:ascii="Tahoma" w:hAnsi="Tahoma" w:cs="Tahoma"/>
          <w:bCs/>
        </w:rPr>
        <w:t xml:space="preserve"> derecho a la pensión de sobrevivientes </w:t>
      </w:r>
      <w:r w:rsidR="003660FA" w:rsidRPr="00555C03">
        <w:rPr>
          <w:rFonts w:ascii="Tahoma" w:hAnsi="Tahoma" w:cs="Tahoma"/>
          <w:bCs/>
        </w:rPr>
        <w:t xml:space="preserve">causada por el señor Víctor Manuel Romero González </w:t>
      </w:r>
      <w:r w:rsidRPr="00555C03">
        <w:rPr>
          <w:rFonts w:ascii="Tahoma" w:hAnsi="Tahoma" w:cs="Tahoma"/>
          <w:bCs/>
        </w:rPr>
        <w:lastRenderedPageBreak/>
        <w:t xml:space="preserve">desde el </w:t>
      </w:r>
      <w:r w:rsidR="003660FA" w:rsidRPr="00555C03">
        <w:rPr>
          <w:rFonts w:ascii="Tahoma" w:hAnsi="Tahoma" w:cs="Tahoma"/>
          <w:bCs/>
        </w:rPr>
        <w:t>15 de febrero de 2011</w:t>
      </w:r>
      <w:r w:rsidRPr="00555C03">
        <w:rPr>
          <w:rFonts w:ascii="Tahoma" w:hAnsi="Tahoma" w:cs="Tahoma"/>
          <w:bCs/>
        </w:rPr>
        <w:t xml:space="preserve">, en calidad de </w:t>
      </w:r>
      <w:r w:rsidR="003660FA" w:rsidRPr="00555C03">
        <w:rPr>
          <w:rFonts w:ascii="Tahoma" w:hAnsi="Tahoma" w:cs="Tahoma"/>
          <w:bCs/>
        </w:rPr>
        <w:t>compañera permanente</w:t>
      </w:r>
      <w:r w:rsidRPr="00555C03">
        <w:rPr>
          <w:rFonts w:ascii="Tahoma" w:hAnsi="Tahoma" w:cs="Tahoma"/>
          <w:bCs/>
        </w:rPr>
        <w:t>, sobre la base de un salario mínimo mensual legal vigente y por 1</w:t>
      </w:r>
      <w:r w:rsidR="003660FA" w:rsidRPr="00555C03">
        <w:rPr>
          <w:rFonts w:ascii="Tahoma" w:hAnsi="Tahoma" w:cs="Tahoma"/>
          <w:bCs/>
        </w:rPr>
        <w:t>3</w:t>
      </w:r>
      <w:r w:rsidRPr="00555C03">
        <w:rPr>
          <w:rFonts w:ascii="Tahoma" w:hAnsi="Tahoma" w:cs="Tahoma"/>
          <w:bCs/>
        </w:rPr>
        <w:t xml:space="preserve"> mesadas al año.</w:t>
      </w:r>
    </w:p>
    <w:p w14:paraId="00687C0B" w14:textId="77777777" w:rsidR="001F063B" w:rsidRPr="00555C03" w:rsidRDefault="001F063B" w:rsidP="00555C03">
      <w:pPr>
        <w:spacing w:line="276" w:lineRule="auto"/>
        <w:ind w:firstLine="708"/>
        <w:jc w:val="both"/>
        <w:rPr>
          <w:rFonts w:ascii="Tahoma" w:hAnsi="Tahoma" w:cs="Tahoma"/>
          <w:b/>
        </w:rPr>
      </w:pPr>
    </w:p>
    <w:p w14:paraId="436B5297" w14:textId="26955E7D" w:rsidR="001F063B" w:rsidRPr="00555C03" w:rsidRDefault="001F063B" w:rsidP="00555C03">
      <w:pPr>
        <w:spacing w:line="276" w:lineRule="auto"/>
        <w:ind w:firstLine="708"/>
        <w:jc w:val="both"/>
        <w:rPr>
          <w:rFonts w:ascii="Tahoma" w:hAnsi="Tahoma" w:cs="Tahoma"/>
        </w:rPr>
      </w:pPr>
      <w:r w:rsidRPr="00555C03">
        <w:rPr>
          <w:rFonts w:ascii="Tahoma" w:hAnsi="Tahoma" w:cs="Tahoma"/>
          <w:b/>
          <w:bCs/>
          <w:u w:val="single"/>
        </w:rPr>
        <w:t>TERCERO:</w:t>
      </w:r>
      <w:r w:rsidRPr="00555C03">
        <w:rPr>
          <w:rFonts w:ascii="Tahoma" w:hAnsi="Tahoma" w:cs="Tahoma"/>
        </w:rPr>
        <w:t xml:space="preserve"> </w:t>
      </w:r>
      <w:r w:rsidRPr="00555C03">
        <w:rPr>
          <w:rFonts w:ascii="Tahoma" w:hAnsi="Tahoma" w:cs="Tahoma"/>
          <w:b/>
          <w:bCs/>
        </w:rPr>
        <w:t xml:space="preserve">DECLARAR </w:t>
      </w:r>
      <w:r w:rsidRPr="00555C03">
        <w:rPr>
          <w:rFonts w:ascii="Tahoma" w:hAnsi="Tahoma" w:cs="Tahoma"/>
        </w:rPr>
        <w:t xml:space="preserve">probada parcialmente la excepción de Prescripción propuesta por la </w:t>
      </w:r>
      <w:r w:rsidR="003660FA" w:rsidRPr="00555C03">
        <w:rPr>
          <w:rFonts w:ascii="Tahoma" w:hAnsi="Tahoma" w:cs="Tahoma"/>
          <w:b/>
          <w:bCs/>
        </w:rPr>
        <w:t>ADMINISTRADORA COLOMBIANA DE PENSIONES- COLPENSIONES</w:t>
      </w:r>
      <w:r w:rsidR="003660FA" w:rsidRPr="00555C03">
        <w:rPr>
          <w:rFonts w:ascii="Tahoma" w:hAnsi="Tahoma" w:cs="Tahoma"/>
        </w:rPr>
        <w:t xml:space="preserve"> </w:t>
      </w:r>
      <w:r w:rsidRPr="00555C03">
        <w:rPr>
          <w:rFonts w:ascii="Tahoma" w:hAnsi="Tahoma" w:cs="Tahoma"/>
        </w:rPr>
        <w:t xml:space="preserve">sobre las mesadas causadas con anterioridad al </w:t>
      </w:r>
      <w:r w:rsidR="003660FA" w:rsidRPr="00555C03">
        <w:rPr>
          <w:rFonts w:ascii="Tahoma" w:hAnsi="Tahoma" w:cs="Tahoma"/>
        </w:rPr>
        <w:t>14 de diciembre de 2014</w:t>
      </w:r>
      <w:r w:rsidRPr="00555C03">
        <w:rPr>
          <w:rFonts w:ascii="Tahoma" w:hAnsi="Tahoma" w:cs="Tahoma"/>
        </w:rPr>
        <w:t>, conforme se expuso en presencia.</w:t>
      </w:r>
    </w:p>
    <w:p w14:paraId="074C4539" w14:textId="77777777" w:rsidR="001F063B" w:rsidRPr="00555C03" w:rsidRDefault="001F063B" w:rsidP="00555C03">
      <w:pPr>
        <w:spacing w:line="276" w:lineRule="auto"/>
        <w:ind w:firstLine="708"/>
        <w:jc w:val="both"/>
        <w:rPr>
          <w:rFonts w:ascii="Tahoma" w:hAnsi="Tahoma" w:cs="Tahoma"/>
          <w:bCs/>
        </w:rPr>
      </w:pPr>
    </w:p>
    <w:p w14:paraId="14085FD2" w14:textId="0B57C098" w:rsidR="001F063B" w:rsidRPr="00555C03" w:rsidRDefault="001F063B" w:rsidP="00555C03">
      <w:pPr>
        <w:spacing w:line="276" w:lineRule="auto"/>
        <w:ind w:firstLine="708"/>
        <w:jc w:val="both"/>
        <w:rPr>
          <w:rFonts w:ascii="Tahoma" w:hAnsi="Tahoma" w:cs="Tahoma"/>
        </w:rPr>
      </w:pPr>
      <w:r w:rsidRPr="00555C03">
        <w:rPr>
          <w:rFonts w:ascii="Tahoma" w:hAnsi="Tahoma" w:cs="Tahoma"/>
          <w:b/>
          <w:bCs/>
          <w:u w:val="single"/>
        </w:rPr>
        <w:t xml:space="preserve">CUARTO: </w:t>
      </w:r>
      <w:r w:rsidRPr="00555C03">
        <w:rPr>
          <w:rFonts w:ascii="Tahoma" w:hAnsi="Tahoma" w:cs="Tahoma"/>
          <w:b/>
          <w:bCs/>
        </w:rPr>
        <w:t xml:space="preserve"> CONDENAR </w:t>
      </w:r>
      <w:r w:rsidRPr="00555C03">
        <w:rPr>
          <w:rFonts w:ascii="Tahoma" w:hAnsi="Tahoma" w:cs="Tahoma"/>
        </w:rPr>
        <w:t xml:space="preserve">a la </w:t>
      </w:r>
      <w:r w:rsidR="003660FA" w:rsidRPr="00555C03">
        <w:rPr>
          <w:rFonts w:ascii="Tahoma" w:hAnsi="Tahoma" w:cs="Tahoma"/>
          <w:b/>
          <w:bCs/>
        </w:rPr>
        <w:t>ADMINISTRADORA COLOMBIANA DE PENSIONES- COLPENSIONES</w:t>
      </w:r>
      <w:r w:rsidR="003660FA" w:rsidRPr="00555C03">
        <w:rPr>
          <w:rFonts w:ascii="Tahoma" w:hAnsi="Tahoma" w:cs="Tahoma"/>
        </w:rPr>
        <w:t xml:space="preserve"> </w:t>
      </w:r>
      <w:r w:rsidRPr="00555C03">
        <w:rPr>
          <w:rFonts w:ascii="Tahoma" w:hAnsi="Tahoma" w:cs="Tahoma"/>
        </w:rPr>
        <w:t xml:space="preserve">a reconocer </w:t>
      </w:r>
      <w:r w:rsidR="003660FA" w:rsidRPr="00555C03">
        <w:rPr>
          <w:rFonts w:ascii="Tahoma" w:hAnsi="Tahoma" w:cs="Tahoma"/>
        </w:rPr>
        <w:t xml:space="preserve">en favor de la masa sucesoral de la señora </w:t>
      </w:r>
      <w:r w:rsidR="003660FA" w:rsidRPr="00555C03">
        <w:rPr>
          <w:rFonts w:ascii="Tahoma" w:eastAsiaTheme="minorHAnsi" w:hAnsi="Tahoma" w:cs="Tahoma"/>
          <w:b/>
          <w:bCs/>
          <w:lang w:eastAsia="en-US"/>
        </w:rPr>
        <w:t>BETSABÉ MARTÍNEZ NAVARRO</w:t>
      </w:r>
      <w:r w:rsidR="003660FA" w:rsidRPr="00555C03">
        <w:rPr>
          <w:rFonts w:ascii="Tahoma" w:hAnsi="Tahoma" w:cs="Tahoma"/>
        </w:rPr>
        <w:t xml:space="preserve"> la suma de $73.446.197</w:t>
      </w:r>
      <w:r w:rsidRPr="00555C03">
        <w:rPr>
          <w:rFonts w:ascii="Tahoma" w:hAnsi="Tahoma" w:cs="Tahoma"/>
        </w:rPr>
        <w:t xml:space="preserve">, </w:t>
      </w:r>
      <w:r w:rsidR="003660FA" w:rsidRPr="00555C03">
        <w:rPr>
          <w:rFonts w:ascii="Tahoma" w:hAnsi="Tahoma" w:cs="Tahoma"/>
        </w:rPr>
        <w:t>suma frente a la cual proceden los descuentos correspondientes al sistema de salud que serán puestos a disposición de la EPS a la que se encontrara afiliada la actora</w:t>
      </w:r>
      <w:r w:rsidRPr="00555C03">
        <w:rPr>
          <w:rFonts w:ascii="Tahoma" w:hAnsi="Tahoma" w:cs="Tahoma"/>
        </w:rPr>
        <w:t>.</w:t>
      </w:r>
    </w:p>
    <w:p w14:paraId="2050B30A" w14:textId="77777777" w:rsidR="001F063B" w:rsidRPr="00555C03" w:rsidRDefault="001F063B" w:rsidP="00555C03">
      <w:pPr>
        <w:spacing w:line="276" w:lineRule="auto"/>
        <w:ind w:firstLine="708"/>
        <w:jc w:val="both"/>
        <w:rPr>
          <w:rFonts w:ascii="Tahoma" w:hAnsi="Tahoma" w:cs="Tahoma"/>
          <w:bCs/>
        </w:rPr>
      </w:pPr>
    </w:p>
    <w:p w14:paraId="52F13F81" w14:textId="3055915F" w:rsidR="001F063B" w:rsidRPr="00555C03" w:rsidRDefault="001F063B" w:rsidP="00555C03">
      <w:pPr>
        <w:spacing w:line="276" w:lineRule="auto"/>
        <w:ind w:firstLine="708"/>
        <w:jc w:val="both"/>
        <w:rPr>
          <w:rFonts w:ascii="Tahoma" w:hAnsi="Tahoma" w:cs="Tahoma"/>
        </w:rPr>
      </w:pPr>
      <w:r w:rsidRPr="00555C03">
        <w:rPr>
          <w:rFonts w:ascii="Tahoma" w:hAnsi="Tahoma" w:cs="Tahoma"/>
          <w:b/>
          <w:bCs/>
          <w:u w:val="single"/>
        </w:rPr>
        <w:t>QUINTO</w:t>
      </w:r>
      <w:r w:rsidRPr="00555C03">
        <w:rPr>
          <w:rFonts w:ascii="Tahoma" w:hAnsi="Tahoma" w:cs="Tahoma"/>
          <w:b/>
          <w:bCs/>
        </w:rPr>
        <w:t xml:space="preserve">: </w:t>
      </w:r>
      <w:r w:rsidR="003660FA" w:rsidRPr="00555C03">
        <w:rPr>
          <w:rFonts w:ascii="Tahoma" w:hAnsi="Tahoma" w:cs="Tahoma"/>
          <w:b/>
          <w:bCs/>
        </w:rPr>
        <w:t xml:space="preserve">CONDENAR </w:t>
      </w:r>
      <w:r w:rsidR="003660FA" w:rsidRPr="00555C03">
        <w:rPr>
          <w:rFonts w:ascii="Tahoma" w:hAnsi="Tahoma" w:cs="Tahoma"/>
        </w:rPr>
        <w:t xml:space="preserve">a la </w:t>
      </w:r>
      <w:r w:rsidR="003660FA" w:rsidRPr="00555C03">
        <w:rPr>
          <w:rFonts w:ascii="Tahoma" w:hAnsi="Tahoma" w:cs="Tahoma"/>
          <w:b/>
          <w:bCs/>
        </w:rPr>
        <w:t>ADMINISTRADORA COLOMBIANA DE PENSIONES- COLPENSIONES</w:t>
      </w:r>
      <w:r w:rsidR="003660FA" w:rsidRPr="00555C03">
        <w:rPr>
          <w:rFonts w:ascii="Tahoma" w:hAnsi="Tahoma" w:cs="Tahoma"/>
        </w:rPr>
        <w:t xml:space="preserve"> a reconocer en favor de la masa sucesoral de la señora </w:t>
      </w:r>
      <w:r w:rsidR="003660FA" w:rsidRPr="00555C03">
        <w:rPr>
          <w:rFonts w:ascii="Tahoma" w:eastAsiaTheme="minorHAnsi" w:hAnsi="Tahoma" w:cs="Tahoma"/>
          <w:b/>
          <w:bCs/>
          <w:lang w:eastAsia="en-US"/>
        </w:rPr>
        <w:t xml:space="preserve">BETSABÉ MARTÍNEZ NAVARRO </w:t>
      </w:r>
      <w:r w:rsidR="003660FA" w:rsidRPr="00555C03">
        <w:rPr>
          <w:rFonts w:ascii="Tahoma" w:eastAsiaTheme="minorHAnsi" w:hAnsi="Tahoma" w:cs="Tahoma"/>
          <w:lang w:eastAsia="en-US"/>
        </w:rPr>
        <w:t>la indexación del retroactivo pensional, desde la fecha de causación de cada mesada y hasta la fecha del pago efectivo.</w:t>
      </w:r>
    </w:p>
    <w:p w14:paraId="0C1E0C89" w14:textId="77777777" w:rsidR="001F063B" w:rsidRPr="00555C03" w:rsidRDefault="001F063B" w:rsidP="00555C03">
      <w:pPr>
        <w:spacing w:line="276" w:lineRule="auto"/>
        <w:jc w:val="both"/>
        <w:rPr>
          <w:rFonts w:ascii="Tahoma" w:hAnsi="Tahoma" w:cs="Tahoma"/>
          <w:b/>
        </w:rPr>
      </w:pPr>
    </w:p>
    <w:p w14:paraId="77D3A0FC" w14:textId="77777777" w:rsidR="001F063B" w:rsidRPr="00555C03" w:rsidRDefault="001F063B" w:rsidP="00555C03">
      <w:pPr>
        <w:spacing w:line="276" w:lineRule="auto"/>
        <w:ind w:firstLine="708"/>
        <w:jc w:val="both"/>
        <w:rPr>
          <w:rFonts w:ascii="Tahoma" w:hAnsi="Tahoma" w:cs="Tahoma"/>
          <w:lang w:val="es-CO"/>
        </w:rPr>
      </w:pPr>
      <w:r w:rsidRPr="00555C03">
        <w:rPr>
          <w:rFonts w:ascii="Tahoma" w:hAnsi="Tahoma" w:cs="Tahoma"/>
          <w:b/>
          <w:bCs/>
          <w:u w:val="single"/>
        </w:rPr>
        <w:t>SEXTO: DECLARAR</w:t>
      </w:r>
      <w:r w:rsidRPr="00555C03">
        <w:rPr>
          <w:rFonts w:ascii="Tahoma" w:hAnsi="Tahoma" w:cs="Tahoma"/>
        </w:rPr>
        <w:t xml:space="preserve"> probada la excepción de </w:t>
      </w:r>
      <w:r w:rsidRPr="00555C03">
        <w:rPr>
          <w:rFonts w:ascii="Tahoma" w:hAnsi="Tahoma" w:cs="Tahoma"/>
          <w:lang w:val="es-CO"/>
        </w:rPr>
        <w:t xml:space="preserve">Imposibilidad de condena en costas propuesta por Colpensiones y, en consecuencia, </w:t>
      </w:r>
      <w:r w:rsidRPr="00555C03">
        <w:rPr>
          <w:rFonts w:ascii="Tahoma" w:hAnsi="Tahoma" w:cs="Tahoma"/>
          <w:b/>
          <w:bCs/>
          <w:lang w:val="es-CO"/>
        </w:rPr>
        <w:t>ABSTENERSE</w:t>
      </w:r>
      <w:r w:rsidRPr="00555C03">
        <w:rPr>
          <w:rFonts w:ascii="Tahoma" w:hAnsi="Tahoma" w:cs="Tahoma"/>
          <w:lang w:val="es-CO"/>
        </w:rPr>
        <w:t xml:space="preserve"> de proferir condena por este concepto. </w:t>
      </w:r>
    </w:p>
    <w:p w14:paraId="5B129851" w14:textId="77777777" w:rsidR="00555C03" w:rsidRPr="00555C03" w:rsidRDefault="00555C03" w:rsidP="00555C03">
      <w:pPr>
        <w:spacing w:line="276" w:lineRule="auto"/>
        <w:jc w:val="both"/>
        <w:rPr>
          <w:rFonts w:ascii="Tahoma" w:eastAsia="Calibri" w:hAnsi="Tahoma" w:cs="Tahoma"/>
          <w:sz w:val="22"/>
          <w:szCs w:val="22"/>
          <w:lang w:val="es-CO" w:eastAsia="en-US"/>
        </w:rPr>
      </w:pPr>
    </w:p>
    <w:p w14:paraId="736A37BC" w14:textId="77777777" w:rsidR="00555C03" w:rsidRPr="00555C03" w:rsidRDefault="00555C03" w:rsidP="00555C03">
      <w:pPr>
        <w:widowControl w:val="0"/>
        <w:autoSpaceDE w:val="0"/>
        <w:autoSpaceDN w:val="0"/>
        <w:adjustRightInd w:val="0"/>
        <w:spacing w:line="276" w:lineRule="auto"/>
        <w:jc w:val="both"/>
        <w:rPr>
          <w:rFonts w:ascii="Tahoma" w:eastAsia="Calibri" w:hAnsi="Tahoma" w:cs="Tahoma"/>
          <w:sz w:val="22"/>
          <w:szCs w:val="22"/>
          <w:lang w:val="es-CO"/>
        </w:rPr>
      </w:pPr>
      <w:r w:rsidRPr="00555C03">
        <w:rPr>
          <w:rFonts w:ascii="Tahoma" w:eastAsia="Calibri" w:hAnsi="Tahoma" w:cs="Tahoma"/>
          <w:sz w:val="22"/>
          <w:szCs w:val="22"/>
          <w:lang w:val="es-CO"/>
        </w:rPr>
        <w:tab/>
        <w:t>La Magistrada ponente,</w:t>
      </w:r>
    </w:p>
    <w:p w14:paraId="4CE91F1B" w14:textId="77777777" w:rsidR="00555C03" w:rsidRPr="00555C03" w:rsidRDefault="00555C03" w:rsidP="00555C03">
      <w:pPr>
        <w:spacing w:line="276" w:lineRule="auto"/>
        <w:rPr>
          <w:rFonts w:ascii="Tahoma" w:eastAsia="Calibri" w:hAnsi="Tahoma" w:cs="Tahoma"/>
          <w:sz w:val="22"/>
          <w:szCs w:val="22"/>
          <w:lang w:val="es-CO"/>
        </w:rPr>
      </w:pPr>
    </w:p>
    <w:p w14:paraId="265B39BC" w14:textId="77777777" w:rsidR="00555C03" w:rsidRPr="00555C03" w:rsidRDefault="00555C03" w:rsidP="00555C03">
      <w:pPr>
        <w:spacing w:line="276" w:lineRule="auto"/>
        <w:rPr>
          <w:rFonts w:ascii="Tahoma" w:eastAsia="Calibri" w:hAnsi="Tahoma" w:cs="Tahoma"/>
          <w:sz w:val="22"/>
          <w:szCs w:val="22"/>
          <w:lang w:val="es-CO"/>
        </w:rPr>
      </w:pPr>
    </w:p>
    <w:p w14:paraId="14C29C7E" w14:textId="77777777" w:rsidR="00555C03" w:rsidRPr="00555C03" w:rsidRDefault="00555C03" w:rsidP="00555C03">
      <w:pPr>
        <w:spacing w:line="276" w:lineRule="auto"/>
        <w:rPr>
          <w:rFonts w:ascii="Tahoma" w:eastAsia="Calibri" w:hAnsi="Tahoma" w:cs="Tahoma"/>
          <w:sz w:val="22"/>
          <w:szCs w:val="22"/>
          <w:lang w:val="es-CO"/>
        </w:rPr>
      </w:pPr>
    </w:p>
    <w:p w14:paraId="08FA5449" w14:textId="77777777" w:rsidR="00555C03" w:rsidRPr="00555C03" w:rsidRDefault="00555C03" w:rsidP="00555C03">
      <w:pPr>
        <w:keepNext/>
        <w:spacing w:line="276" w:lineRule="auto"/>
        <w:jc w:val="center"/>
        <w:outlineLvl w:val="2"/>
        <w:rPr>
          <w:rFonts w:ascii="Tahoma" w:eastAsia="Calibri" w:hAnsi="Tahoma" w:cs="Tahoma"/>
          <w:b/>
          <w:bCs/>
          <w:sz w:val="22"/>
          <w:szCs w:val="22"/>
          <w:lang w:val="es-CO"/>
        </w:rPr>
      </w:pPr>
      <w:r w:rsidRPr="00555C03">
        <w:rPr>
          <w:rFonts w:ascii="Tahoma" w:eastAsia="Calibri" w:hAnsi="Tahoma" w:cs="Tahoma"/>
          <w:b/>
          <w:bCs/>
          <w:sz w:val="22"/>
          <w:szCs w:val="22"/>
          <w:lang w:val="es-CO"/>
        </w:rPr>
        <w:t>ANA LUCÍA CAICEDO CALDERÓN</w:t>
      </w:r>
    </w:p>
    <w:p w14:paraId="06802514" w14:textId="77777777" w:rsidR="00555C03" w:rsidRPr="00555C03" w:rsidRDefault="00555C03" w:rsidP="00555C03">
      <w:pPr>
        <w:spacing w:line="276" w:lineRule="auto"/>
        <w:rPr>
          <w:rFonts w:ascii="Tahoma" w:eastAsia="Calibri" w:hAnsi="Tahoma" w:cs="Tahoma"/>
          <w:sz w:val="22"/>
          <w:szCs w:val="22"/>
          <w:lang w:val="es-CO"/>
        </w:rPr>
      </w:pPr>
    </w:p>
    <w:p w14:paraId="7D1B1859" w14:textId="77777777" w:rsidR="00555C03" w:rsidRPr="00555C03" w:rsidRDefault="00555C03" w:rsidP="00555C03">
      <w:pPr>
        <w:spacing w:line="276" w:lineRule="auto"/>
        <w:ind w:firstLine="708"/>
        <w:rPr>
          <w:rFonts w:ascii="Tahoma" w:eastAsia="Calibri" w:hAnsi="Tahoma" w:cs="Tahoma"/>
          <w:sz w:val="22"/>
          <w:szCs w:val="22"/>
          <w:lang w:val="es-CO"/>
        </w:rPr>
      </w:pPr>
      <w:bookmarkStart w:id="4" w:name="_Hlk62478330"/>
      <w:r w:rsidRPr="00555C03">
        <w:rPr>
          <w:rFonts w:ascii="Tahoma" w:eastAsia="Calibri" w:hAnsi="Tahoma" w:cs="Tahoma"/>
          <w:sz w:val="22"/>
          <w:szCs w:val="22"/>
          <w:lang w:val="es-CO"/>
        </w:rPr>
        <w:t>Los Magistrados,</w:t>
      </w:r>
    </w:p>
    <w:p w14:paraId="1382155B" w14:textId="77777777" w:rsidR="00555C03" w:rsidRPr="00555C03" w:rsidRDefault="00555C03" w:rsidP="00555C03">
      <w:pPr>
        <w:spacing w:line="276" w:lineRule="auto"/>
        <w:rPr>
          <w:rFonts w:ascii="Tahoma" w:eastAsia="Calibri" w:hAnsi="Tahoma" w:cs="Tahoma"/>
          <w:sz w:val="22"/>
          <w:szCs w:val="22"/>
          <w:lang w:val="es-CO"/>
        </w:rPr>
      </w:pPr>
    </w:p>
    <w:p w14:paraId="007A03D4" w14:textId="77777777" w:rsidR="00555C03" w:rsidRPr="00555C03" w:rsidRDefault="00555C03" w:rsidP="00555C03">
      <w:pPr>
        <w:spacing w:line="276" w:lineRule="auto"/>
        <w:rPr>
          <w:rFonts w:ascii="Tahoma" w:eastAsia="Calibri" w:hAnsi="Tahoma" w:cs="Tahoma"/>
          <w:sz w:val="22"/>
          <w:szCs w:val="22"/>
          <w:lang w:val="es-CO"/>
        </w:rPr>
      </w:pPr>
    </w:p>
    <w:p w14:paraId="63F17F3B" w14:textId="77777777" w:rsidR="00555C03" w:rsidRPr="00555C03" w:rsidRDefault="00555C03" w:rsidP="00555C03">
      <w:pPr>
        <w:spacing w:line="276" w:lineRule="auto"/>
        <w:rPr>
          <w:rFonts w:ascii="Tahoma" w:eastAsia="Calibri" w:hAnsi="Tahoma" w:cs="Tahoma"/>
          <w:sz w:val="22"/>
          <w:szCs w:val="22"/>
          <w:lang w:val="es-CO"/>
        </w:rPr>
      </w:pPr>
    </w:p>
    <w:p w14:paraId="42AAE283" w14:textId="77777777" w:rsidR="00555C03" w:rsidRPr="00555C03" w:rsidRDefault="00555C03" w:rsidP="00555C03">
      <w:pPr>
        <w:spacing w:line="276" w:lineRule="auto"/>
        <w:jc w:val="both"/>
        <w:rPr>
          <w:rFonts w:ascii="Tahoma" w:eastAsia="Calibri" w:hAnsi="Tahoma" w:cs="Tahoma"/>
          <w:b/>
          <w:bCs/>
          <w:sz w:val="22"/>
          <w:szCs w:val="22"/>
          <w:lang w:val="es-CO"/>
        </w:rPr>
      </w:pPr>
      <w:r w:rsidRPr="00555C03">
        <w:rPr>
          <w:rFonts w:ascii="Tahoma" w:eastAsia="Calibri" w:hAnsi="Tahoma" w:cs="Tahoma"/>
          <w:b/>
          <w:bCs/>
          <w:sz w:val="22"/>
          <w:szCs w:val="22"/>
          <w:lang w:val="es-CO"/>
        </w:rPr>
        <w:t>GERMÁN DARÍO GÓEZ VINASCO</w:t>
      </w:r>
      <w:bookmarkEnd w:id="4"/>
      <w:r w:rsidRPr="00555C03">
        <w:rPr>
          <w:rFonts w:ascii="Tahoma" w:eastAsia="Calibri" w:hAnsi="Tahoma" w:cs="Tahoma"/>
          <w:b/>
          <w:bCs/>
          <w:sz w:val="22"/>
          <w:szCs w:val="22"/>
          <w:lang w:val="es-CO"/>
        </w:rPr>
        <w:tab/>
      </w:r>
      <w:r w:rsidRPr="00555C03">
        <w:rPr>
          <w:rFonts w:ascii="Tahoma" w:eastAsia="Calibri" w:hAnsi="Tahoma" w:cs="Tahoma"/>
          <w:b/>
          <w:bCs/>
          <w:sz w:val="22"/>
          <w:szCs w:val="22"/>
          <w:lang w:val="es-CO"/>
        </w:rPr>
        <w:tab/>
        <w:t>JULIO CÉSAR SALAZAR MUÑOZ</w:t>
      </w:r>
    </w:p>
    <w:p w14:paraId="1868D276" w14:textId="4DB00E46" w:rsidR="00E154EF" w:rsidRDefault="00555C03" w:rsidP="00555C03">
      <w:pPr>
        <w:spacing w:line="276" w:lineRule="auto"/>
        <w:jc w:val="both"/>
        <w:rPr>
          <w:rFonts w:ascii="Tahoma" w:eastAsia="Calibri" w:hAnsi="Tahoma" w:cs="Tahoma"/>
          <w:bCs/>
          <w:sz w:val="22"/>
          <w:szCs w:val="22"/>
          <w:lang w:val="es-CO"/>
        </w:rPr>
      </w:pPr>
      <w:r w:rsidRPr="00555C03">
        <w:rPr>
          <w:rFonts w:ascii="Tahoma" w:eastAsia="Calibri" w:hAnsi="Tahoma" w:cs="Tahoma"/>
          <w:bCs/>
          <w:sz w:val="22"/>
          <w:szCs w:val="22"/>
          <w:lang w:val="es-CO"/>
        </w:rPr>
        <w:tab/>
      </w:r>
      <w:r w:rsidRPr="00555C03">
        <w:rPr>
          <w:rFonts w:ascii="Tahoma" w:eastAsia="Calibri" w:hAnsi="Tahoma" w:cs="Tahoma"/>
          <w:bCs/>
          <w:sz w:val="22"/>
          <w:szCs w:val="22"/>
          <w:lang w:val="es-CO"/>
        </w:rPr>
        <w:tab/>
      </w:r>
      <w:r w:rsidRPr="00555C03">
        <w:rPr>
          <w:rFonts w:ascii="Tahoma" w:eastAsia="Calibri" w:hAnsi="Tahoma" w:cs="Tahoma"/>
          <w:bCs/>
          <w:sz w:val="22"/>
          <w:szCs w:val="22"/>
          <w:lang w:val="es-CO"/>
        </w:rPr>
        <w:tab/>
      </w:r>
      <w:r w:rsidRPr="00555C03">
        <w:rPr>
          <w:rFonts w:ascii="Tahoma" w:eastAsia="Calibri" w:hAnsi="Tahoma" w:cs="Tahoma"/>
          <w:bCs/>
          <w:sz w:val="22"/>
          <w:szCs w:val="22"/>
          <w:lang w:val="es-CO"/>
        </w:rPr>
        <w:tab/>
      </w:r>
      <w:r w:rsidRPr="00555C03">
        <w:rPr>
          <w:rFonts w:ascii="Tahoma" w:eastAsia="Calibri" w:hAnsi="Tahoma" w:cs="Tahoma"/>
          <w:bCs/>
          <w:sz w:val="22"/>
          <w:szCs w:val="22"/>
          <w:lang w:val="es-CO"/>
        </w:rPr>
        <w:tab/>
      </w:r>
      <w:r w:rsidRPr="00555C03">
        <w:rPr>
          <w:rFonts w:ascii="Tahoma" w:eastAsia="Calibri" w:hAnsi="Tahoma" w:cs="Tahoma"/>
          <w:bCs/>
          <w:sz w:val="22"/>
          <w:szCs w:val="22"/>
          <w:lang w:val="es-CO"/>
        </w:rPr>
        <w:tab/>
      </w:r>
      <w:r w:rsidRPr="00555C03">
        <w:rPr>
          <w:rFonts w:ascii="Tahoma" w:eastAsia="Calibri" w:hAnsi="Tahoma" w:cs="Tahoma"/>
          <w:bCs/>
          <w:sz w:val="22"/>
          <w:szCs w:val="22"/>
          <w:lang w:val="es-CO"/>
        </w:rPr>
        <w:tab/>
        <w:t>Con salvamento de voto</w:t>
      </w:r>
    </w:p>
    <w:p w14:paraId="76206A1E" w14:textId="584ACA1B" w:rsidR="005561C1" w:rsidRDefault="005561C1" w:rsidP="00555C03">
      <w:pPr>
        <w:spacing w:line="276" w:lineRule="auto"/>
        <w:jc w:val="both"/>
        <w:rPr>
          <w:rFonts w:ascii="Tahoma" w:eastAsia="Calibri" w:hAnsi="Tahoma" w:cs="Tahoma"/>
          <w:bCs/>
          <w:sz w:val="22"/>
          <w:szCs w:val="22"/>
          <w:lang w:val="es-CO"/>
        </w:rPr>
      </w:pPr>
    </w:p>
    <w:p w14:paraId="48385A9B" w14:textId="0C9B74AA" w:rsidR="005561C1" w:rsidRDefault="005561C1">
      <w:pPr>
        <w:rPr>
          <w:rFonts w:ascii="Tahoma" w:eastAsia="Calibri" w:hAnsi="Tahoma" w:cs="Tahoma"/>
          <w:bCs/>
          <w:sz w:val="22"/>
          <w:szCs w:val="22"/>
          <w:lang w:val="es-CO"/>
        </w:rPr>
      </w:pPr>
      <w:r>
        <w:rPr>
          <w:rFonts w:ascii="Tahoma" w:eastAsia="Calibri" w:hAnsi="Tahoma" w:cs="Tahoma"/>
          <w:bCs/>
          <w:sz w:val="22"/>
          <w:szCs w:val="22"/>
          <w:lang w:val="es-CO"/>
        </w:rPr>
        <w:br w:type="page"/>
      </w:r>
    </w:p>
    <w:p w14:paraId="2BD70C70" w14:textId="47F2A25A" w:rsidR="005561C1" w:rsidRPr="005561C1" w:rsidRDefault="005561C1" w:rsidP="005561C1">
      <w:pPr>
        <w:widowControl w:val="0"/>
        <w:autoSpaceDE w:val="0"/>
        <w:autoSpaceDN w:val="0"/>
        <w:adjustRightInd w:val="0"/>
        <w:jc w:val="both"/>
        <w:rPr>
          <w:rFonts w:ascii="Arial" w:hAnsi="Arial" w:cs="Arial"/>
          <w:sz w:val="20"/>
          <w:szCs w:val="20"/>
        </w:rPr>
      </w:pPr>
      <w:bookmarkStart w:id="5" w:name="_Hlk137830676"/>
      <w:bookmarkStart w:id="6" w:name="_Hlk137828955"/>
      <w:r w:rsidRPr="005561C1">
        <w:rPr>
          <w:rFonts w:ascii="Arial" w:hAnsi="Arial" w:cs="Arial"/>
          <w:sz w:val="20"/>
          <w:szCs w:val="20"/>
        </w:rPr>
        <w:lastRenderedPageBreak/>
        <w:t>Radicación Nro.:</w:t>
      </w:r>
      <w:r w:rsidRPr="005561C1">
        <w:rPr>
          <w:rFonts w:ascii="Roman 12cpi" w:hAnsi="Roman 12cpi"/>
          <w:b/>
          <w:bCs/>
          <w:sz w:val="20"/>
          <w:szCs w:val="20"/>
        </w:rPr>
        <w:tab/>
      </w:r>
      <w:r w:rsidRPr="005561C1">
        <w:rPr>
          <w:rFonts w:ascii="Arial" w:hAnsi="Arial" w:cs="Arial"/>
          <w:sz w:val="20"/>
          <w:szCs w:val="20"/>
        </w:rPr>
        <w:t>66001310500220190009301</w:t>
      </w:r>
    </w:p>
    <w:p w14:paraId="7405021F" w14:textId="2591FB7A" w:rsidR="005561C1" w:rsidRPr="005561C1" w:rsidRDefault="005561C1" w:rsidP="005561C1">
      <w:pPr>
        <w:widowControl w:val="0"/>
        <w:autoSpaceDE w:val="0"/>
        <w:autoSpaceDN w:val="0"/>
        <w:adjustRightInd w:val="0"/>
        <w:jc w:val="both"/>
        <w:rPr>
          <w:rFonts w:ascii="Arial" w:hAnsi="Arial" w:cs="Arial"/>
          <w:bCs/>
          <w:sz w:val="20"/>
          <w:szCs w:val="20"/>
        </w:rPr>
      </w:pPr>
      <w:r w:rsidRPr="005561C1">
        <w:rPr>
          <w:rFonts w:ascii="Arial" w:hAnsi="Arial" w:cs="Arial"/>
          <w:bCs/>
          <w:sz w:val="20"/>
          <w:szCs w:val="20"/>
        </w:rPr>
        <w:t>Proceso:</w:t>
      </w:r>
      <w:r w:rsidRPr="005561C1">
        <w:rPr>
          <w:rFonts w:ascii="Arial" w:hAnsi="Arial" w:cs="Arial"/>
          <w:bCs/>
          <w:sz w:val="20"/>
          <w:szCs w:val="20"/>
        </w:rPr>
        <w:tab/>
      </w:r>
      <w:r w:rsidRPr="005561C1">
        <w:rPr>
          <w:rFonts w:ascii="Arial" w:hAnsi="Arial" w:cs="Arial"/>
          <w:bCs/>
          <w:sz w:val="20"/>
          <w:szCs w:val="20"/>
        </w:rPr>
        <w:tab/>
        <w:t xml:space="preserve">Ordinario Laboral  </w:t>
      </w:r>
    </w:p>
    <w:p w14:paraId="7F2F4C81" w14:textId="022EF9C5" w:rsidR="005561C1" w:rsidRPr="005561C1" w:rsidRDefault="005561C1" w:rsidP="005561C1">
      <w:pPr>
        <w:widowControl w:val="0"/>
        <w:autoSpaceDE w:val="0"/>
        <w:autoSpaceDN w:val="0"/>
        <w:adjustRightInd w:val="0"/>
        <w:jc w:val="both"/>
        <w:rPr>
          <w:rFonts w:ascii="Arial" w:hAnsi="Arial" w:cs="Arial"/>
          <w:bCs/>
          <w:sz w:val="20"/>
          <w:szCs w:val="20"/>
        </w:rPr>
      </w:pPr>
      <w:r w:rsidRPr="005561C1">
        <w:rPr>
          <w:rFonts w:ascii="Arial" w:hAnsi="Arial" w:cs="Arial"/>
          <w:bCs/>
          <w:sz w:val="20"/>
          <w:szCs w:val="20"/>
        </w:rPr>
        <w:t>Demandante:</w:t>
      </w:r>
      <w:r w:rsidRPr="005561C1">
        <w:rPr>
          <w:rFonts w:ascii="Arial" w:hAnsi="Arial" w:cs="Arial"/>
          <w:bCs/>
          <w:sz w:val="20"/>
          <w:szCs w:val="20"/>
        </w:rPr>
        <w:tab/>
      </w:r>
      <w:r w:rsidRPr="005561C1">
        <w:rPr>
          <w:rFonts w:ascii="Arial" w:hAnsi="Arial" w:cs="Arial"/>
          <w:bCs/>
          <w:sz w:val="20"/>
          <w:szCs w:val="20"/>
        </w:rPr>
        <w:tab/>
        <w:t>Betsabé Martínez Navarro</w:t>
      </w:r>
    </w:p>
    <w:p w14:paraId="5496EAC5" w14:textId="36F92015" w:rsidR="005561C1" w:rsidRPr="005561C1" w:rsidRDefault="005561C1" w:rsidP="005561C1">
      <w:pPr>
        <w:widowControl w:val="0"/>
        <w:autoSpaceDE w:val="0"/>
        <w:autoSpaceDN w:val="0"/>
        <w:adjustRightInd w:val="0"/>
        <w:jc w:val="both"/>
        <w:rPr>
          <w:rFonts w:ascii="Arial" w:hAnsi="Arial" w:cs="Arial"/>
          <w:bCs/>
          <w:sz w:val="20"/>
          <w:szCs w:val="20"/>
        </w:rPr>
      </w:pPr>
      <w:r w:rsidRPr="005561C1">
        <w:rPr>
          <w:rFonts w:ascii="Arial" w:hAnsi="Arial" w:cs="Arial"/>
          <w:bCs/>
          <w:sz w:val="20"/>
          <w:szCs w:val="20"/>
        </w:rPr>
        <w:t>Demandado:</w:t>
      </w:r>
      <w:r>
        <w:rPr>
          <w:rFonts w:ascii="Arial" w:hAnsi="Arial" w:cs="Arial"/>
          <w:bCs/>
          <w:sz w:val="20"/>
          <w:szCs w:val="20"/>
        </w:rPr>
        <w:tab/>
      </w:r>
      <w:r w:rsidRPr="005561C1">
        <w:rPr>
          <w:rFonts w:ascii="Arial" w:hAnsi="Arial" w:cs="Arial"/>
          <w:bCs/>
          <w:sz w:val="20"/>
          <w:szCs w:val="20"/>
        </w:rPr>
        <w:tab/>
      </w:r>
      <w:bookmarkStart w:id="7" w:name="_Hlk134444056"/>
      <w:r w:rsidRPr="005561C1">
        <w:rPr>
          <w:rFonts w:ascii="Arial" w:hAnsi="Arial" w:cs="Arial"/>
          <w:bCs/>
          <w:sz w:val="20"/>
          <w:szCs w:val="20"/>
        </w:rPr>
        <w:t xml:space="preserve">Colpensiones </w:t>
      </w:r>
      <w:bookmarkEnd w:id="5"/>
      <w:bookmarkEnd w:id="7"/>
    </w:p>
    <w:bookmarkEnd w:id="6"/>
    <w:p w14:paraId="3CB975C9" w14:textId="77777777" w:rsidR="005561C1" w:rsidRPr="005561C1" w:rsidRDefault="005561C1" w:rsidP="005561C1">
      <w:pPr>
        <w:tabs>
          <w:tab w:val="center" w:pos="4419"/>
          <w:tab w:val="right" w:pos="8838"/>
        </w:tabs>
        <w:jc w:val="both"/>
        <w:rPr>
          <w:rFonts w:ascii="Calibri" w:eastAsia="Calibri" w:hAnsi="Calibri"/>
          <w:sz w:val="20"/>
          <w:szCs w:val="20"/>
          <w:lang w:val="es-CO" w:eastAsia="en-US"/>
        </w:rPr>
      </w:pPr>
    </w:p>
    <w:p w14:paraId="31E88147" w14:textId="77777777" w:rsidR="005561C1" w:rsidRPr="005561C1" w:rsidRDefault="005561C1" w:rsidP="005561C1">
      <w:pPr>
        <w:tabs>
          <w:tab w:val="center" w:pos="4419"/>
          <w:tab w:val="right" w:pos="8838"/>
        </w:tabs>
        <w:jc w:val="both"/>
        <w:rPr>
          <w:rFonts w:ascii="Calibri" w:eastAsia="Calibri" w:hAnsi="Calibri"/>
          <w:sz w:val="20"/>
          <w:szCs w:val="20"/>
          <w:lang w:val="es-CO" w:eastAsia="en-US"/>
        </w:rPr>
      </w:pPr>
    </w:p>
    <w:p w14:paraId="3FB451CA" w14:textId="77777777" w:rsidR="005561C1" w:rsidRPr="005561C1" w:rsidRDefault="005561C1" w:rsidP="005561C1">
      <w:pPr>
        <w:tabs>
          <w:tab w:val="center" w:pos="4419"/>
          <w:tab w:val="right" w:pos="8838"/>
        </w:tabs>
        <w:jc w:val="both"/>
        <w:rPr>
          <w:rFonts w:ascii="Calibri" w:eastAsia="Calibri" w:hAnsi="Calibri"/>
          <w:sz w:val="20"/>
          <w:szCs w:val="20"/>
          <w:lang w:val="es-CO" w:eastAsia="en-US"/>
        </w:rPr>
      </w:pPr>
    </w:p>
    <w:p w14:paraId="51F04BFF" w14:textId="3844D07A" w:rsidR="005561C1" w:rsidRPr="0021718F" w:rsidRDefault="005561C1" w:rsidP="0021718F">
      <w:pPr>
        <w:spacing w:line="276" w:lineRule="auto"/>
        <w:jc w:val="center"/>
        <w:rPr>
          <w:rFonts w:ascii="Arial" w:eastAsia="Calibri" w:hAnsi="Arial" w:cs="Arial"/>
          <w:b/>
          <w:lang w:val="es-CO" w:eastAsia="en-US"/>
        </w:rPr>
      </w:pPr>
      <w:r w:rsidRPr="0021718F">
        <w:rPr>
          <w:rFonts w:ascii="Arial" w:eastAsia="Calibri" w:hAnsi="Arial" w:cs="Arial"/>
          <w:b/>
          <w:lang w:val="es-CO" w:eastAsia="en-US"/>
        </w:rPr>
        <w:t>TRIBUNAL SUPERIOR DEL DISTRITO JUDICIAL</w:t>
      </w:r>
    </w:p>
    <w:p w14:paraId="3187A74D" w14:textId="7BA35DF7" w:rsidR="005561C1" w:rsidRPr="0021718F" w:rsidRDefault="005561C1" w:rsidP="0021718F">
      <w:pPr>
        <w:spacing w:line="276" w:lineRule="auto"/>
        <w:jc w:val="center"/>
        <w:rPr>
          <w:rFonts w:ascii="Arial" w:eastAsia="Calibri" w:hAnsi="Arial" w:cs="Arial"/>
          <w:b/>
          <w:lang w:val="es-CO" w:eastAsia="en-US"/>
        </w:rPr>
      </w:pPr>
      <w:r w:rsidRPr="0021718F">
        <w:rPr>
          <w:rFonts w:ascii="Arial" w:eastAsia="Calibri" w:hAnsi="Arial" w:cs="Arial"/>
          <w:b/>
          <w:lang w:val="es-CO" w:eastAsia="en-US"/>
        </w:rPr>
        <w:t>SALA LABORAL</w:t>
      </w:r>
    </w:p>
    <w:p w14:paraId="20FDCE1C" w14:textId="77777777" w:rsidR="0021718F" w:rsidRPr="0021718F" w:rsidRDefault="0021718F" w:rsidP="0021718F">
      <w:pPr>
        <w:spacing w:line="276" w:lineRule="auto"/>
        <w:jc w:val="center"/>
        <w:rPr>
          <w:rFonts w:ascii="Arial" w:eastAsia="Calibri" w:hAnsi="Arial" w:cs="Arial"/>
          <w:lang w:val="es-CO" w:eastAsia="en-US"/>
        </w:rPr>
      </w:pPr>
    </w:p>
    <w:p w14:paraId="03B299CA" w14:textId="5E69EEDF" w:rsidR="005561C1" w:rsidRPr="005561C1" w:rsidRDefault="005561C1" w:rsidP="0021718F">
      <w:pPr>
        <w:spacing w:line="276" w:lineRule="auto"/>
        <w:jc w:val="center"/>
        <w:rPr>
          <w:rFonts w:ascii="Arial" w:eastAsia="Calibri" w:hAnsi="Arial" w:cs="Arial"/>
          <w:b/>
          <w:lang w:val="es-CO" w:eastAsia="en-US"/>
        </w:rPr>
      </w:pPr>
      <w:r w:rsidRPr="005561C1">
        <w:rPr>
          <w:rFonts w:ascii="Arial" w:eastAsia="Calibri" w:hAnsi="Arial" w:cs="Arial"/>
          <w:lang w:val="es-CO" w:eastAsia="en-US"/>
        </w:rPr>
        <w:t xml:space="preserve">MAGISTRADO: </w:t>
      </w:r>
      <w:r w:rsidRPr="005561C1">
        <w:rPr>
          <w:rFonts w:ascii="Arial" w:eastAsia="Calibri" w:hAnsi="Arial" w:cs="Arial"/>
          <w:b/>
          <w:lang w:val="es-CO" w:eastAsia="en-US"/>
        </w:rPr>
        <w:t>JULIO CÉSAR SALAZAR MUÑOZ</w:t>
      </w:r>
    </w:p>
    <w:p w14:paraId="2CEE22E6" w14:textId="77777777" w:rsidR="0021718F" w:rsidRPr="0021718F" w:rsidRDefault="0021718F" w:rsidP="0021718F">
      <w:pPr>
        <w:spacing w:line="276" w:lineRule="auto"/>
        <w:jc w:val="center"/>
        <w:rPr>
          <w:rFonts w:ascii="Arial" w:eastAsia="Calibri" w:hAnsi="Arial" w:cs="Arial"/>
          <w:lang w:val="es-CO" w:eastAsia="en-US"/>
        </w:rPr>
      </w:pPr>
    </w:p>
    <w:p w14:paraId="75C280F8" w14:textId="54CF39ED" w:rsidR="005561C1" w:rsidRPr="005561C1" w:rsidRDefault="005561C1" w:rsidP="0021718F">
      <w:pPr>
        <w:spacing w:line="276" w:lineRule="auto"/>
        <w:jc w:val="center"/>
        <w:rPr>
          <w:rFonts w:ascii="Arial" w:eastAsia="Calibri" w:hAnsi="Arial" w:cs="Arial"/>
          <w:lang w:val="es-CO" w:eastAsia="en-US"/>
        </w:rPr>
      </w:pPr>
      <w:r w:rsidRPr="005561C1">
        <w:rPr>
          <w:rFonts w:ascii="Arial" w:eastAsia="Calibri" w:hAnsi="Arial" w:cs="Arial"/>
          <w:lang w:val="es-CO" w:eastAsia="en-US"/>
        </w:rPr>
        <w:t>Pereira, veintinueve [29] de agosto de dos mil veintitrés [2023].</w:t>
      </w:r>
    </w:p>
    <w:p w14:paraId="41DA98D7" w14:textId="25DC6414" w:rsidR="005561C1" w:rsidRDefault="005561C1" w:rsidP="0021718F">
      <w:pPr>
        <w:tabs>
          <w:tab w:val="left" w:pos="1440"/>
        </w:tabs>
        <w:spacing w:line="276" w:lineRule="auto"/>
        <w:jc w:val="both"/>
        <w:rPr>
          <w:rFonts w:ascii="Arial" w:eastAsia="Calibri" w:hAnsi="Arial" w:cs="Arial"/>
          <w:snapToGrid w:val="0"/>
          <w:lang w:val="es-CO" w:eastAsia="en-US"/>
        </w:rPr>
      </w:pPr>
    </w:p>
    <w:p w14:paraId="12F809F7" w14:textId="77777777" w:rsidR="0021718F" w:rsidRPr="005561C1" w:rsidRDefault="0021718F" w:rsidP="0021718F">
      <w:pPr>
        <w:tabs>
          <w:tab w:val="left" w:pos="1440"/>
        </w:tabs>
        <w:spacing w:line="276" w:lineRule="auto"/>
        <w:jc w:val="both"/>
        <w:rPr>
          <w:rFonts w:ascii="Arial" w:eastAsia="Calibri" w:hAnsi="Arial" w:cs="Arial"/>
          <w:snapToGrid w:val="0"/>
          <w:lang w:val="es-CO" w:eastAsia="en-US"/>
        </w:rPr>
      </w:pPr>
    </w:p>
    <w:p w14:paraId="7A263590" w14:textId="77777777" w:rsidR="005561C1" w:rsidRPr="005561C1" w:rsidRDefault="005561C1" w:rsidP="0021718F">
      <w:pPr>
        <w:spacing w:line="276" w:lineRule="auto"/>
        <w:jc w:val="center"/>
        <w:rPr>
          <w:rFonts w:ascii="Arial" w:eastAsia="Calibri" w:hAnsi="Arial" w:cs="Arial"/>
          <w:b/>
          <w:u w:val="single"/>
          <w:lang w:val="es-CO" w:eastAsia="en-US"/>
        </w:rPr>
      </w:pPr>
      <w:r w:rsidRPr="005561C1">
        <w:rPr>
          <w:rFonts w:ascii="Arial" w:eastAsia="Calibri" w:hAnsi="Arial" w:cs="Arial"/>
          <w:b/>
          <w:u w:val="single"/>
          <w:lang w:val="es-CO" w:eastAsia="en-US"/>
        </w:rPr>
        <w:t>SALVAMENTO DE VOTO:</w:t>
      </w:r>
    </w:p>
    <w:p w14:paraId="26E1BDC4" w14:textId="1CE3E3AA" w:rsidR="005561C1" w:rsidRDefault="005561C1" w:rsidP="0021718F">
      <w:pPr>
        <w:spacing w:line="276" w:lineRule="auto"/>
        <w:jc w:val="both"/>
        <w:rPr>
          <w:rFonts w:ascii="Arial" w:hAnsi="Arial" w:cs="Arial"/>
          <w:lang w:val="es-ES_tradnl" w:eastAsia="en-US"/>
        </w:rPr>
      </w:pPr>
    </w:p>
    <w:p w14:paraId="6DA1B876" w14:textId="77777777" w:rsidR="0021718F" w:rsidRPr="005561C1" w:rsidRDefault="0021718F" w:rsidP="0021718F">
      <w:pPr>
        <w:spacing w:line="276" w:lineRule="auto"/>
        <w:jc w:val="both"/>
        <w:rPr>
          <w:rFonts w:ascii="Arial" w:hAnsi="Arial" w:cs="Arial"/>
          <w:lang w:val="es-ES_tradnl" w:eastAsia="en-US"/>
        </w:rPr>
      </w:pPr>
    </w:p>
    <w:p w14:paraId="3D39C3C6" w14:textId="77777777" w:rsidR="005561C1" w:rsidRPr="005561C1" w:rsidRDefault="005561C1" w:rsidP="0021718F">
      <w:pPr>
        <w:suppressAutoHyphens/>
        <w:spacing w:line="276" w:lineRule="auto"/>
        <w:jc w:val="both"/>
        <w:rPr>
          <w:rFonts w:ascii="Arial" w:eastAsia="Calibri" w:hAnsi="Arial" w:cs="Arial"/>
          <w:spacing w:val="-2"/>
          <w:lang w:val="es-ES_tradnl" w:eastAsia="en-US"/>
        </w:rPr>
      </w:pPr>
      <w:r w:rsidRPr="005561C1">
        <w:rPr>
          <w:rFonts w:ascii="Arial" w:eastAsia="Calibri" w:hAnsi="Arial" w:cs="Arial"/>
          <w:spacing w:val="-2"/>
          <w:lang w:val="es-ES_tradnl" w:eastAsia="en-US"/>
        </w:rPr>
        <w:t xml:space="preserve">Tal como lo propuse en la ponencia que presenté inicialmente, considero que </w:t>
      </w:r>
      <w:r w:rsidRPr="005561C1">
        <w:rPr>
          <w:rFonts w:ascii="Arial" w:eastAsia="Calibri" w:hAnsi="Arial" w:cs="Arial"/>
          <w:spacing w:val="-2"/>
          <w:lang w:val="es-CO" w:eastAsia="en-US"/>
        </w:rPr>
        <w:t xml:space="preserve">la sentencia proferida por </w:t>
      </w:r>
      <w:r w:rsidRPr="005561C1">
        <w:rPr>
          <w:rFonts w:ascii="Arial" w:eastAsia="Calibri" w:hAnsi="Arial" w:cs="Arial"/>
          <w:color w:val="000000"/>
          <w:shd w:val="clear" w:color="auto" w:fill="FFFFFF"/>
          <w:lang w:val="es-CO" w:eastAsia="en-US"/>
        </w:rPr>
        <w:t>el Juzgado Segundo Laboral del Circuito de Pereira el día 19 de enero de 2023</w:t>
      </w:r>
      <w:r w:rsidRPr="005561C1">
        <w:rPr>
          <w:rFonts w:ascii="Arial" w:eastAsia="Calibri" w:hAnsi="Arial" w:cs="Arial"/>
          <w:spacing w:val="-2"/>
          <w:lang w:val="es-CO" w:eastAsia="en-US"/>
        </w:rPr>
        <w:t>, debió ser confirmada</w:t>
      </w:r>
      <w:r w:rsidRPr="005561C1">
        <w:rPr>
          <w:rFonts w:ascii="Arial" w:eastAsia="Calibri" w:hAnsi="Arial" w:cs="Arial"/>
          <w:spacing w:val="-2"/>
          <w:lang w:val="es-ES_tradnl" w:eastAsia="en-US"/>
        </w:rPr>
        <w:t>.</w:t>
      </w:r>
    </w:p>
    <w:p w14:paraId="05671408" w14:textId="77777777" w:rsidR="0021718F" w:rsidRPr="0021718F" w:rsidRDefault="0021718F" w:rsidP="0021718F">
      <w:pPr>
        <w:tabs>
          <w:tab w:val="left" w:pos="-720"/>
        </w:tabs>
        <w:suppressAutoHyphens/>
        <w:spacing w:line="276" w:lineRule="auto"/>
        <w:jc w:val="both"/>
        <w:rPr>
          <w:rFonts w:ascii="Arial" w:eastAsia="Calibri" w:hAnsi="Arial" w:cs="Arial"/>
          <w:spacing w:val="-2"/>
          <w:lang w:val="es-ES_tradnl" w:eastAsia="en-US"/>
        </w:rPr>
      </w:pPr>
    </w:p>
    <w:p w14:paraId="6C1845EA" w14:textId="5549A5B6" w:rsidR="005561C1" w:rsidRPr="005561C1" w:rsidRDefault="005561C1" w:rsidP="0021718F">
      <w:pPr>
        <w:tabs>
          <w:tab w:val="left" w:pos="-720"/>
        </w:tabs>
        <w:suppressAutoHyphens/>
        <w:spacing w:line="276" w:lineRule="auto"/>
        <w:jc w:val="both"/>
        <w:rPr>
          <w:rFonts w:ascii="Arial" w:eastAsia="Calibri" w:hAnsi="Arial" w:cs="Arial"/>
          <w:spacing w:val="-2"/>
          <w:lang w:val="es-ES_tradnl" w:eastAsia="en-US"/>
        </w:rPr>
      </w:pPr>
      <w:r w:rsidRPr="005561C1">
        <w:rPr>
          <w:rFonts w:ascii="Arial" w:eastAsia="Calibri" w:hAnsi="Arial" w:cs="Arial"/>
          <w:spacing w:val="-2"/>
          <w:lang w:val="es-ES_tradnl" w:eastAsia="en-US"/>
        </w:rPr>
        <w:t>Los argumentos que sustentan mi alejamiento de lo decidido por la mayoría en esta segunda instancia, se basan en los siguientes supuestos jurídicos y análisis del caso, partiendo de la necesidad de resolver como problemas jurídicos, si:</w:t>
      </w:r>
    </w:p>
    <w:p w14:paraId="7A3F0AAE" w14:textId="77777777" w:rsidR="005561C1" w:rsidRPr="005561C1" w:rsidRDefault="005561C1" w:rsidP="0021718F">
      <w:pPr>
        <w:tabs>
          <w:tab w:val="left" w:pos="-720"/>
        </w:tabs>
        <w:suppressAutoHyphens/>
        <w:spacing w:line="276" w:lineRule="auto"/>
        <w:jc w:val="both"/>
        <w:rPr>
          <w:rFonts w:ascii="Arial" w:eastAsia="Calibri" w:hAnsi="Arial" w:cs="Arial"/>
          <w:lang w:val="es-ES_tradnl" w:eastAsia="en-US"/>
        </w:rPr>
      </w:pPr>
    </w:p>
    <w:p w14:paraId="5F89ABF8"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b/>
          <w:bCs/>
          <w:lang w:eastAsia="es-CO"/>
        </w:rPr>
        <w:t>1. ¿Dejó causada con su deceso la pensión de sobrevivientes a favor de sus beneficiarios el señor Víctor Manuel Romero González?</w:t>
      </w:r>
      <w:r w:rsidRPr="005561C1">
        <w:rPr>
          <w:rFonts w:ascii="Arial" w:hAnsi="Arial" w:cs="Arial"/>
          <w:lang w:val="es-CO" w:eastAsia="es-CO"/>
        </w:rPr>
        <w:t>      </w:t>
      </w:r>
    </w:p>
    <w:p w14:paraId="3F97458D"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295400C0"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b/>
          <w:bCs/>
          <w:lang w:eastAsia="es-CO"/>
        </w:rPr>
        <w:t>2. De conformidad con la respuesta al interrogante anterior ¿hay lugar a acceder a las pretensiones elevadas por la demandante?</w:t>
      </w:r>
      <w:r w:rsidRPr="005561C1">
        <w:rPr>
          <w:rFonts w:ascii="Arial" w:hAnsi="Arial" w:cs="Arial"/>
          <w:lang w:val="es-CO" w:eastAsia="es-CO"/>
        </w:rPr>
        <w:t>     </w:t>
      </w:r>
    </w:p>
    <w:p w14:paraId="16AD8704" w14:textId="635502A9" w:rsidR="005561C1" w:rsidRPr="005561C1" w:rsidRDefault="005561C1" w:rsidP="005561C1">
      <w:pPr>
        <w:spacing w:line="276" w:lineRule="auto"/>
        <w:jc w:val="both"/>
        <w:textAlignment w:val="baseline"/>
        <w:rPr>
          <w:rFonts w:ascii="Arial" w:hAnsi="Arial" w:cs="Arial"/>
          <w:lang w:val="es-CO" w:eastAsia="es-CO"/>
        </w:rPr>
      </w:pPr>
    </w:p>
    <w:p w14:paraId="1A215FF3" w14:textId="77777777" w:rsidR="005561C1" w:rsidRPr="005561C1" w:rsidRDefault="005561C1" w:rsidP="005561C1">
      <w:pPr>
        <w:spacing w:line="276" w:lineRule="auto"/>
        <w:jc w:val="both"/>
        <w:textAlignment w:val="baseline"/>
        <w:rPr>
          <w:rFonts w:ascii="Arial" w:hAnsi="Arial" w:cs="Arial"/>
          <w:lang w:val="es-CO" w:eastAsia="es-CO"/>
        </w:rPr>
      </w:pPr>
      <w:r w:rsidRPr="005561C1">
        <w:rPr>
          <w:rFonts w:ascii="Arial" w:hAnsi="Arial" w:cs="Arial"/>
          <w:lang w:val="es-CO" w:eastAsia="es-CO"/>
        </w:rPr>
        <w:t>Para resolver los interrogantes formulados propuse hacer las siguientes precisiones:</w:t>
      </w:r>
    </w:p>
    <w:p w14:paraId="4FED8F0B" w14:textId="77777777" w:rsidR="005561C1" w:rsidRPr="005561C1" w:rsidRDefault="005561C1" w:rsidP="005561C1">
      <w:pPr>
        <w:spacing w:line="276" w:lineRule="auto"/>
        <w:jc w:val="both"/>
        <w:textAlignment w:val="baseline"/>
        <w:rPr>
          <w:rFonts w:ascii="Arial" w:hAnsi="Arial" w:cs="Arial"/>
          <w:lang w:val="es-CO" w:eastAsia="es-CO"/>
        </w:rPr>
      </w:pPr>
      <w:r w:rsidRPr="005561C1">
        <w:rPr>
          <w:rFonts w:ascii="Arial" w:hAnsi="Arial" w:cs="Arial"/>
          <w:lang w:val="es-CO" w:eastAsia="es-CO"/>
        </w:rPr>
        <w:t> </w:t>
      </w:r>
    </w:p>
    <w:p w14:paraId="679568F1"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b/>
          <w:bCs/>
          <w:lang w:val="es-CO" w:eastAsia="es-CO"/>
        </w:rPr>
        <w:t>“JURISPRUDENCIA DE LA SALA DE CASACIÓN LABORAL DE LA CORTE SUPREMA DE JUSTICIA FRENTE A LA APLICACIÓN DEL PRINCIPIO DE LA CONDICIÓN MÁS BENEFICIOSA.</w:t>
      </w:r>
      <w:r w:rsidRPr="005561C1">
        <w:rPr>
          <w:rFonts w:ascii="Arial" w:hAnsi="Arial" w:cs="Arial"/>
          <w:lang w:val="es-CO" w:eastAsia="es-CO"/>
        </w:rPr>
        <w:t> </w:t>
      </w:r>
    </w:p>
    <w:p w14:paraId="69E7DE7C"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7F4F1B54"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Prevé el artículo 4º de la Ley 169 de 1896 que tres decisiones uniformes dadas por la Corte Suprema de Justicia como Tribunal de Casación sobre un mismo punto de derecho constituyen doctrina probable. </w:t>
      </w:r>
    </w:p>
    <w:p w14:paraId="18D84F04"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3D5C1CB4"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xml:space="preserve">En ese sentido la Corte Constitucional en la sentencia C-836 de 2001, por medio de la cual declaró exequible la referenciada norma, manifestó que la Corte Suprema de Justicia como juez de casación se le ha encomendado el deber de unificar la jurisprudencia nacional en la jurisdiccional ordinaria, situación que lleva a la propia Corte y a los jueces de esa jurisdicción a no apartarse por su sola voluntad de la jurisprudencia que sobre un mismo tema ha construido el alto tribunal, pues precisamente la razón de su existencia es diseñar el orden que garantice la igualdad; lo que implica que, para apartarse </w:t>
      </w:r>
      <w:r w:rsidRPr="005561C1">
        <w:rPr>
          <w:rFonts w:ascii="Arial" w:hAnsi="Arial" w:cs="Arial"/>
          <w:lang w:val="es-CO" w:eastAsia="es-CO"/>
        </w:rPr>
        <w:lastRenderedPageBreak/>
        <w:t>de la doctrina probable, los jueces están obligados a tener unas superiores razones jurídicas que pongan en evidencia la equivocación del razonamiento que viene aplicando la respectiva Sala de Casación. </w:t>
      </w:r>
    </w:p>
    <w:p w14:paraId="11C5ED7A"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71340AC1" w14:textId="58D61FFF"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Con tal premisa puesta de presente, para el asunto que aquí debe decidirse, la Sala de Casación Laboral a partir de la sentencia SL4650 de 28 de enero de 2017 radicación Nº</w:t>
      </w:r>
      <w:r w:rsidR="0021718F" w:rsidRPr="0021718F">
        <w:rPr>
          <w:rFonts w:ascii="Arial" w:hAnsi="Arial" w:cs="Arial"/>
          <w:lang w:val="es-CO" w:eastAsia="es-CO"/>
        </w:rPr>
        <w:t xml:space="preserve"> </w:t>
      </w:r>
      <w:r w:rsidRPr="005561C1">
        <w:rPr>
          <w:rFonts w:ascii="Arial" w:hAnsi="Arial" w:cs="Arial"/>
          <w:lang w:val="es-CO" w:eastAsia="es-CO"/>
        </w:rPr>
        <w:t>45262, reiterada en las sentencias SL11745 de 1º de agosto de 2017, SL12555 de 16 de agosto de 2017 y SL17986 de 1º de noviembre de 2017, sentó su posición frente a la aplicación del principio de la condición más beneficiosa en los casos en que la muerte o la invalidez se produce en vigencia de las leyes 797 y 860 de 2003, concluyendo que solo es viable dar paso a la aplicación de la Ley 100 de 1993 en su estado original cuando el evento (muerte o invalidez) se produzca dentro de los tres años siguientes a la fecha de expedición de las mencionadas leyes 797 y 860 de 2003; postura que explicó en los siguientes términos: </w:t>
      </w:r>
    </w:p>
    <w:p w14:paraId="748D791C"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726C0FB2" w14:textId="77777777" w:rsidR="005561C1" w:rsidRPr="005561C1" w:rsidRDefault="005561C1" w:rsidP="00A21B2F">
      <w:pPr>
        <w:spacing w:line="276" w:lineRule="auto"/>
        <w:ind w:left="851" w:right="845"/>
        <w:jc w:val="both"/>
        <w:textAlignment w:val="baseline"/>
        <w:rPr>
          <w:rFonts w:ascii="Arial" w:hAnsi="Arial" w:cs="Arial"/>
          <w:lang w:val="es-CO" w:eastAsia="es-CO"/>
        </w:rPr>
      </w:pPr>
      <w:r w:rsidRPr="005561C1">
        <w:rPr>
          <w:rFonts w:ascii="Arial" w:hAnsi="Arial" w:cs="Arial"/>
          <w:iCs/>
          <w:lang w:eastAsia="es-CO"/>
        </w:rPr>
        <w:t>“Pero ¿cuál es el tiempo de permanencia de esa «zona de paso» entre la Ley 100 de 1993 y la Ley 797 de 2003? Bueno, para la Corte lo es de tres años, tiempo este que la nueva normativa (Ley 797 de 2003) dispuso como necesario para que los afiliados al sistema de pensiones reúnan la densidad de semanas de cotización-50- y una vez verificada la contingencia de la muerte los causahabientes puedan acceder a la prestación correspondiente. </w:t>
      </w:r>
      <w:r w:rsidRPr="005561C1">
        <w:rPr>
          <w:rFonts w:ascii="Arial" w:hAnsi="Arial" w:cs="Arial"/>
          <w:lang w:val="es-CO" w:eastAsia="es-CO"/>
        </w:rPr>
        <w:t> </w:t>
      </w:r>
    </w:p>
    <w:p w14:paraId="36A3087D" w14:textId="77777777" w:rsidR="005561C1" w:rsidRPr="005561C1" w:rsidRDefault="005561C1" w:rsidP="00A21B2F">
      <w:pPr>
        <w:spacing w:line="276" w:lineRule="auto"/>
        <w:ind w:left="851" w:right="845"/>
        <w:jc w:val="both"/>
        <w:textAlignment w:val="baseline"/>
        <w:rPr>
          <w:rFonts w:ascii="Arial" w:hAnsi="Arial" w:cs="Arial"/>
          <w:lang w:val="es-CO" w:eastAsia="es-CO"/>
        </w:rPr>
      </w:pPr>
      <w:r w:rsidRPr="005561C1">
        <w:rPr>
          <w:rFonts w:ascii="Arial" w:hAnsi="Arial" w:cs="Arial"/>
          <w:lang w:val="es-CO" w:eastAsia="es-CO"/>
        </w:rPr>
        <w:t> </w:t>
      </w:r>
    </w:p>
    <w:p w14:paraId="278981BF" w14:textId="77777777" w:rsidR="005561C1" w:rsidRPr="005561C1" w:rsidRDefault="005561C1" w:rsidP="00A21B2F">
      <w:pPr>
        <w:spacing w:line="276" w:lineRule="auto"/>
        <w:ind w:left="851" w:right="845"/>
        <w:jc w:val="both"/>
        <w:textAlignment w:val="baseline"/>
        <w:rPr>
          <w:rFonts w:ascii="Arial" w:hAnsi="Arial" w:cs="Arial"/>
          <w:lang w:val="es-CO" w:eastAsia="es-CO"/>
        </w:rPr>
      </w:pPr>
      <w:r w:rsidRPr="005561C1">
        <w:rPr>
          <w:rFonts w:ascii="Arial" w:hAnsi="Arial" w:cs="Arial"/>
          <w:iCs/>
          <w:lang w:eastAsia="es-CO"/>
        </w:rPr>
        <w:t>Con ese fin, se obtiene un punto de equilibrio y se conserva razonablemente por un lapso determinado- tres años-, los «derechos en curso de adquisición», respetándose así, para determinadas personas, las semanas mínimas establecidas en la Ley 100 de 1993, «con miras a la obtención de un derecho en materia de pensiones, cuya efectividad se subordina al cumplimiento ulterior de una condición», cual es, la muerte. </w:t>
      </w:r>
      <w:r w:rsidRPr="005561C1">
        <w:rPr>
          <w:rFonts w:ascii="Arial" w:hAnsi="Arial" w:cs="Arial"/>
          <w:lang w:val="es-CO" w:eastAsia="es-CO"/>
        </w:rPr>
        <w:t> </w:t>
      </w:r>
    </w:p>
    <w:p w14:paraId="61434A29" w14:textId="77777777" w:rsidR="005561C1" w:rsidRPr="005561C1" w:rsidRDefault="005561C1" w:rsidP="00A21B2F">
      <w:pPr>
        <w:spacing w:line="276" w:lineRule="auto"/>
        <w:ind w:left="851" w:right="845"/>
        <w:jc w:val="both"/>
        <w:textAlignment w:val="baseline"/>
        <w:rPr>
          <w:rFonts w:ascii="Arial" w:hAnsi="Arial" w:cs="Arial"/>
          <w:lang w:val="es-CO" w:eastAsia="es-CO"/>
        </w:rPr>
      </w:pPr>
      <w:r w:rsidRPr="005561C1">
        <w:rPr>
          <w:rFonts w:ascii="Arial" w:hAnsi="Arial" w:cs="Arial"/>
          <w:lang w:val="es-CO" w:eastAsia="es-CO"/>
        </w:rPr>
        <w:t> </w:t>
      </w:r>
    </w:p>
    <w:p w14:paraId="6D80F590" w14:textId="77777777" w:rsidR="005561C1" w:rsidRPr="005561C1" w:rsidRDefault="005561C1" w:rsidP="001A7EF5">
      <w:pPr>
        <w:spacing w:line="276" w:lineRule="auto"/>
        <w:ind w:left="851" w:right="845"/>
        <w:jc w:val="both"/>
        <w:textAlignment w:val="baseline"/>
        <w:rPr>
          <w:rFonts w:ascii="Arial" w:hAnsi="Arial" w:cs="Arial"/>
          <w:lang w:val="es-CO" w:eastAsia="es-CO"/>
        </w:rPr>
      </w:pPr>
      <w:r w:rsidRPr="005561C1">
        <w:rPr>
          <w:rFonts w:ascii="Arial" w:hAnsi="Arial" w:cs="Arial"/>
          <w:iCs/>
          <w:lang w:eastAsia="es-CO"/>
        </w:rPr>
        <w:t>Entonces, algo debe quedar muy claro. Solo es posible que la Ley 797 de 2003 difiera sus efectos jurídicos hasta el 29 de enero de 2006, exclusivamente para las personas con una expectativa legítima. Con estribo en ello se garantiza y protege, de forma interina pero suficiente, la cobertura al sistema general de seguridad social frente a la contingencia de la muerte, bajo la égida de la condición más beneficiosa. Después de allí no sería viable su aplicación, pues este principio no puede convertirse en un obstáculo de cambio normativo y de adecuación de los preceptos a una realidad social y económica diferente, toda vez que es de la esencia del sistema el ser dinámico, jamás estático. Expresado en otro giro, durante dicho periodo (29 de enero de 2003 – 29 de enero de 2006), el artículo 46 de la Ley 100 de 1993 continúa produciendo sus efectos con venero en el principio de la condición más beneficiosa para las personas con expectativa legítima, ulterior a ese día opera, en estrictez, el relevo normativo y cesan los efectos de este postulado constitucional.”.</w:t>
      </w:r>
      <w:r w:rsidRPr="005561C1">
        <w:rPr>
          <w:rFonts w:ascii="Arial" w:hAnsi="Arial" w:cs="Arial"/>
          <w:lang w:val="es-CO" w:eastAsia="es-CO"/>
        </w:rPr>
        <w:t> </w:t>
      </w:r>
    </w:p>
    <w:p w14:paraId="07597A05" w14:textId="77777777" w:rsidR="005561C1" w:rsidRPr="005561C1" w:rsidRDefault="005561C1" w:rsidP="00A21B2F">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0EAACA17" w14:textId="64E5FD1A" w:rsidR="005561C1" w:rsidRPr="005561C1" w:rsidRDefault="005561C1" w:rsidP="00A21B2F">
      <w:pPr>
        <w:spacing w:line="276" w:lineRule="auto"/>
        <w:ind w:left="426" w:right="420"/>
        <w:jc w:val="both"/>
        <w:textAlignment w:val="baseline"/>
        <w:rPr>
          <w:rFonts w:ascii="Arial" w:hAnsi="Arial" w:cs="Arial"/>
          <w:lang w:eastAsia="es-CO"/>
        </w:rPr>
      </w:pPr>
      <w:r w:rsidRPr="005561C1">
        <w:rPr>
          <w:rFonts w:ascii="Arial" w:hAnsi="Arial" w:cs="Arial"/>
          <w:lang w:eastAsia="es-CO"/>
        </w:rPr>
        <w:lastRenderedPageBreak/>
        <w:t>Así las cosas, al haber proferido la Sala de Casación Laboral de la Corte Suprema de Justicia más de tres decisiones en ese sentido como órgano unificador de la jurisprudencia nacional en la jurisdiccional ordinaria, esta Sala de Decisión acoge esa postura como doctrina probable, y en consecuencia para que sea viable la aplicación de la Ley 100 de 1993 cuando la muerte o la invalidez del afiliado se produzca en vigencia de las Leyes 797 y 860 de 2003 respectivamente, tales eventos deben haberse ocasionado dentro de los tres años siguientes a su vigencia; sin que sea dable en este tipo de eventos dar paso a la aplicación del Acuerdo 049 de 1990, pues como lo ha sostenido pacíficamente el máximo órgano de la jurisdicción ordinaria laboral, no es posible efectuar un rastreo histórico para ver cuál de las normas pretéritas que eventualmente han regulado esas situaciones se adecua a los intereses de cada afiliado, en consideración a que ese fenómeno ultractivo de la norma no es factible que se predique de otras diferentes a la inmediatamente anterior, en aplicación precisamente del principio de la condición más beneficiosa; postura ésta que recordó en la sentencia SL16886 de 11 de noviembre de 2015 radicación Nº</w:t>
      </w:r>
      <w:r w:rsidRPr="0021718F">
        <w:rPr>
          <w:rFonts w:ascii="Arial" w:hAnsi="Arial" w:cs="Arial"/>
          <w:lang w:eastAsia="es-CO"/>
        </w:rPr>
        <w:t xml:space="preserve"> </w:t>
      </w:r>
      <w:r w:rsidRPr="005561C1">
        <w:rPr>
          <w:rFonts w:ascii="Arial" w:hAnsi="Arial" w:cs="Arial"/>
          <w:lang w:eastAsia="es-CO"/>
        </w:rPr>
        <w:t>54093.</w:t>
      </w:r>
    </w:p>
    <w:p w14:paraId="491797A4" w14:textId="77777777" w:rsidR="005561C1" w:rsidRPr="005561C1" w:rsidRDefault="005561C1" w:rsidP="005561C1">
      <w:pPr>
        <w:spacing w:line="276" w:lineRule="auto"/>
        <w:jc w:val="both"/>
        <w:textAlignment w:val="baseline"/>
        <w:rPr>
          <w:rFonts w:ascii="Arial" w:hAnsi="Arial" w:cs="Arial"/>
          <w:lang w:eastAsia="es-CO"/>
        </w:rPr>
      </w:pPr>
    </w:p>
    <w:p w14:paraId="7D8ABB0A" w14:textId="77777777" w:rsidR="005561C1" w:rsidRPr="005561C1" w:rsidRDefault="005561C1" w:rsidP="005561C1">
      <w:pPr>
        <w:spacing w:line="276" w:lineRule="auto"/>
        <w:jc w:val="both"/>
        <w:rPr>
          <w:rFonts w:ascii="Arial" w:eastAsia="Arial" w:hAnsi="Arial" w:cs="Arial"/>
          <w:lang w:val="es-CO" w:eastAsia="en-US"/>
        </w:rPr>
      </w:pPr>
      <w:r w:rsidRPr="005561C1">
        <w:rPr>
          <w:rFonts w:ascii="Arial" w:eastAsia="Arial" w:hAnsi="Arial" w:cs="Arial"/>
          <w:lang w:val="es-CO" w:eastAsia="en-US"/>
        </w:rPr>
        <w:t>Fue con base en lo anterior que el fondo del asunto propuse resolverlo como lo señalo a continuación.</w:t>
      </w:r>
    </w:p>
    <w:p w14:paraId="17E26987" w14:textId="77777777" w:rsidR="005561C1" w:rsidRPr="005561C1" w:rsidRDefault="005561C1" w:rsidP="005561C1">
      <w:pPr>
        <w:spacing w:line="276" w:lineRule="auto"/>
        <w:jc w:val="both"/>
        <w:textAlignment w:val="baseline"/>
        <w:rPr>
          <w:rFonts w:ascii="Arial" w:hAnsi="Arial" w:cs="Arial"/>
          <w:lang w:val="es-CO" w:eastAsia="es-CO"/>
        </w:rPr>
      </w:pPr>
      <w:r w:rsidRPr="005561C1">
        <w:rPr>
          <w:rFonts w:ascii="Arial" w:hAnsi="Arial" w:cs="Arial"/>
          <w:lang w:val="es-CO" w:eastAsia="es-CO"/>
        </w:rPr>
        <w:t> </w:t>
      </w:r>
    </w:p>
    <w:p w14:paraId="63F72653" w14:textId="7BE65322"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b/>
          <w:bCs/>
          <w:lang w:val="es-CO" w:eastAsia="es-CO"/>
        </w:rPr>
        <w:t>EL CASO CONCRETO</w:t>
      </w:r>
    </w:p>
    <w:p w14:paraId="1B862688"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MX" w:eastAsia="es-CO"/>
        </w:rPr>
        <w:t> </w:t>
      </w:r>
      <w:r w:rsidRPr="005561C1">
        <w:rPr>
          <w:rFonts w:ascii="Arial" w:hAnsi="Arial" w:cs="Arial"/>
          <w:lang w:val="es-CO" w:eastAsia="es-CO"/>
        </w:rPr>
        <w:t> </w:t>
      </w:r>
    </w:p>
    <w:p w14:paraId="0480E3DC"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Como se aprecia en el registro civil de defunción emitido por la Notaría Única del Círculo de Dosquebradas -págs.2 y 3 archivo 04 carpeta primera instancia- el señor Víctor Manuel Romero González falleció el 14 de febrero de 2011, fecha para la cual se encontraba vigente el artículo 46 de la ley 100 de 1993 modificado por el artículo 12 de la ley 797 de 2003, la cual exige al afiliado fallecido, para dejar causado el derecho a la pensión de sobrevivientes a favor de sus beneficiarios, que haya cotizado por lo menos cincuenta semanas al sistema general de pensiones, dentro de los tres años anteriores a su deceso. </w:t>
      </w:r>
    </w:p>
    <w:p w14:paraId="5FB22817"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50B8EAE6"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De acuerdo con la información contenida en la historia laboral allegada por la Administradora Colombiana de Pensiones en el expediente administrativo –págs.2 a 7 archivo 19 carpeta primera instancia-, el señor Víctor Manuel Romero González cotizó en toda su vida laboral un total de 165,43 semanas al régimen de prima media con prestación definida, pero ninguna de ellas dentro de los tres años anteriores a su deceso acaecido el 14 de febrero de 2011. </w:t>
      </w:r>
    </w:p>
    <w:p w14:paraId="61184CA6"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7C416700" w14:textId="36633614"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Ahora, no puede pasar por alto la Corporación que, además de las 165,43 semanas de cotizaciones reportadas en la historia laboral expedida por Colpensiones, todas ellas sufragadas antes del 1° de abril de 1994, según el certificado de información laboral emitido por el Fondo Pasivo Social de Ferrocarriles Nacionales de Colombia -pág.</w:t>
      </w:r>
      <w:r w:rsidRPr="0021718F">
        <w:rPr>
          <w:rFonts w:ascii="Arial" w:hAnsi="Arial" w:cs="Arial"/>
          <w:lang w:val="es-CO" w:eastAsia="es-CO"/>
        </w:rPr>
        <w:t xml:space="preserve"> </w:t>
      </w:r>
      <w:r w:rsidRPr="005561C1">
        <w:rPr>
          <w:rFonts w:ascii="Arial" w:hAnsi="Arial" w:cs="Arial"/>
          <w:lang w:val="es-CO" w:eastAsia="es-CO"/>
        </w:rPr>
        <w:t xml:space="preserve">11 archivo 04 carpeta primera instancia-, el señor Víctor Manuel González prestó sus servicios en el sector público entre el 21 de julio de 1952 y el 16 de agosto de 1964, tiempo de servicios que representa un total de 629,43 semanas, que sumadas a las 165,43 semanas efectivamente sufragadas al otrora ISS, contabilizan un total </w:t>
      </w:r>
      <w:r w:rsidRPr="005561C1">
        <w:rPr>
          <w:rFonts w:ascii="Arial" w:hAnsi="Arial" w:cs="Arial"/>
          <w:lang w:val="es-CO" w:eastAsia="es-CO"/>
        </w:rPr>
        <w:lastRenderedPageBreak/>
        <w:t>de 794,86 semanas entre tiempos de servicios públicos y cotizaciones en el régimen de prima media con prestación definida. </w:t>
      </w:r>
    </w:p>
    <w:p w14:paraId="74195E03"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0C389267"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Bajo esas circunstancias y teniendo en cuenta que la Sala Mayoritaria conformada por la magistrada Ana Lucía Caicedo Calderón y el magistrado Germán Darío Góez Vinasco son de la postura consistente en que en este tipo de casos es viable la aplicación del Acuerdo 049 de 1990 y que las 300 semanas exigidas en ese cuerpo normativo para dejar causado el derecho a la pensión de sobrevivientes pueden acreditarse con la sumatoria de tiempos de servicios públicos con las semanas sufragadas en el régimen de prima media con prestación definida, como acontece precisamente en este caso -</w:t>
      </w:r>
      <w:r w:rsidRPr="005561C1">
        <w:rPr>
          <w:rFonts w:ascii="Arial" w:hAnsi="Arial" w:cs="Arial"/>
          <w:b/>
          <w:bCs/>
          <w:lang w:val="es-CO" w:eastAsia="es-CO"/>
        </w:rPr>
        <w:t>posturas de las cuales se aparta quien aquí hace las veces de Magistrado Ponente</w:t>
      </w:r>
      <w:r w:rsidRPr="005561C1">
        <w:rPr>
          <w:rFonts w:ascii="Arial" w:hAnsi="Arial" w:cs="Arial"/>
          <w:lang w:val="es-CO" w:eastAsia="es-CO"/>
        </w:rPr>
        <w:t>-; lo cierto es que también sostienen que en este tipo de casos, para acceder al derecho pensional, se deben superar las cinco condiciones previstas en el test de procedencia definidas en la sentencia SU-005 de 2018 de la Corte Constitucional. </w:t>
      </w:r>
    </w:p>
    <w:p w14:paraId="71552FE3"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6C1B19B0" w14:textId="28BC34AA"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xml:space="preserve">En ese sentido, si bien en el presente asunto se acreditan las tres primeras condiciones, ya que la señora Betsabé Martínez Navarro pertenece a un grupo de especial protección constitucional, más concretamente al de la vejez al haber nacido el 26 de marzo de 1930, habiendo demostrado también por medio del testimonio de la señora Olga Stella Correa Obando, no solamente el requisito de convivencia exigido en la ley para los compañeros permanentes, sino también que dependía económicamente del señor Víctor Manuel Romero González y por tanto la carencia del reconocimiento de la pensión de sobrevivientes afectó directamente la satisfacción de sus necesidades básicas, ya que fueron sus hijos quienes tuvieron que hacerse cargo de su sostenimiento, como bien lo aseveró la única testigo escuchada en el proceso; </w:t>
      </w:r>
      <w:r w:rsidRPr="005561C1">
        <w:rPr>
          <w:rFonts w:ascii="Arial" w:hAnsi="Arial" w:cs="Arial"/>
          <w:b/>
          <w:lang w:val="es-CO" w:eastAsia="es-CO"/>
        </w:rPr>
        <w:t>la verdad es que, a pesar de ello, en el plenario no se estableció cuáles fueron las circunstancias para que al causante le fuera imposible cotizar las semanas exigidas en el sistema general de pensiones para acceder al derecho -cuarta condición- y de todos modos la señora Betsabé Martínez Navarro no tuvo una actuación diligente en orden adelantar las acciones administrativas o judiciales para solicitar el reconocimiento de la pensión de sobrevivientes, ya que luego de ocurrido el deceso de su compañero permanente el 14 de febrero de 2011, solo vino a elevar la reclamación administrativa tendiente a obtener el reconocimiento del derecho pensional el 14 de diciembre de 2017, esto es, 6 años 10 meses y 3 días después de ocurrida la muerte de su compañero permanente, como se aprecia en la resolución SUB256548 de 28 de septiembre de 2018 -págs.</w:t>
      </w:r>
      <w:r w:rsidRPr="0021718F">
        <w:rPr>
          <w:rFonts w:ascii="Arial" w:hAnsi="Arial" w:cs="Arial"/>
          <w:b/>
          <w:lang w:val="es-CO" w:eastAsia="es-CO"/>
        </w:rPr>
        <w:t xml:space="preserve"> </w:t>
      </w:r>
      <w:r w:rsidRPr="005561C1">
        <w:rPr>
          <w:rFonts w:ascii="Arial" w:hAnsi="Arial" w:cs="Arial"/>
          <w:b/>
          <w:lang w:val="es-CO" w:eastAsia="es-CO"/>
        </w:rPr>
        <w:t xml:space="preserve">20 a 25 archivo 19 carpeta primera instancia- e inició la presente acción ordinaria laboral el 8 de marzo de 2019 -archivo 05 carpeta primera instancia-; es decir que, la reclamación administrativa ni siquiera la realizó dentro del término de tres años dispuesto en la ley para que no prescribiera ninguna de las mesadas pensionales que eventualmente se podrían generar a su favor, lo que muestra la ausencia de inmediatez que tuvo la señora Betsabé Martínez Navarro a la hora de procurar la obtención del derecho pensional a su favor, esto es, en palabras de la Corte Constitucional, no </w:t>
      </w:r>
      <w:r w:rsidRPr="005561C1">
        <w:rPr>
          <w:rFonts w:ascii="Arial" w:hAnsi="Arial" w:cs="Arial"/>
          <w:b/>
          <w:lang w:val="es-CO" w:eastAsia="es-CO"/>
        </w:rPr>
        <w:lastRenderedPageBreak/>
        <w:t>tuvo una actuación diligente para adelantar las solicitudes administrativas o judiciales necesarias para solicitar el reconocimiento de la pensión de sobrevivientes.</w:t>
      </w:r>
      <w:r w:rsidRPr="005561C1">
        <w:rPr>
          <w:rFonts w:ascii="Arial" w:hAnsi="Arial" w:cs="Arial"/>
          <w:lang w:val="es-CO" w:eastAsia="es-CO"/>
        </w:rPr>
        <w:t> </w:t>
      </w:r>
    </w:p>
    <w:p w14:paraId="66B56973"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589B4C00"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En esas circunstancias, al no superarse el test de procedencia previsto en la sentencia SU-005 de 2018, no resulta tampoco viable acceder a la pensión de sobrevivientes bajo la postura adoptada por la sala Mayoritaria conformada por la Magistrada Ana Lucía Caicedo Calderón y el magistrado Germán Darío Góez Vinasco. </w:t>
      </w:r>
    </w:p>
    <w:p w14:paraId="58BF7311"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43AE2F90"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En el anterior orden de ideas, se confirmará la sentencia proferida por el Juzgado Segundo Laboral del Circuito el 19 de enero de 2023. </w:t>
      </w:r>
    </w:p>
    <w:p w14:paraId="0C637FBB"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 </w:t>
      </w:r>
    </w:p>
    <w:p w14:paraId="6027E94C" w14:textId="77777777" w:rsidR="005561C1" w:rsidRPr="005561C1" w:rsidRDefault="005561C1" w:rsidP="001A7EF5">
      <w:pPr>
        <w:spacing w:line="276" w:lineRule="auto"/>
        <w:ind w:left="426" w:right="420"/>
        <w:jc w:val="both"/>
        <w:textAlignment w:val="baseline"/>
        <w:rPr>
          <w:rFonts w:ascii="Arial" w:hAnsi="Arial" w:cs="Arial"/>
          <w:lang w:val="es-CO" w:eastAsia="es-CO"/>
        </w:rPr>
      </w:pPr>
      <w:r w:rsidRPr="005561C1">
        <w:rPr>
          <w:rFonts w:ascii="Arial" w:hAnsi="Arial" w:cs="Arial"/>
          <w:lang w:val="es-CO" w:eastAsia="es-CO"/>
        </w:rPr>
        <w:t>Sin costas en esta sede.” </w:t>
      </w:r>
    </w:p>
    <w:p w14:paraId="762DE392" w14:textId="77777777" w:rsidR="005561C1" w:rsidRPr="005561C1" w:rsidRDefault="005561C1" w:rsidP="005561C1">
      <w:pPr>
        <w:spacing w:line="276" w:lineRule="auto"/>
        <w:ind w:left="708"/>
        <w:jc w:val="both"/>
        <w:textAlignment w:val="baseline"/>
        <w:rPr>
          <w:rFonts w:ascii="Arial" w:hAnsi="Arial" w:cs="Arial"/>
          <w:lang w:val="es-CO" w:eastAsia="es-CO"/>
        </w:rPr>
      </w:pPr>
    </w:p>
    <w:p w14:paraId="59804582" w14:textId="16A11732" w:rsidR="005561C1" w:rsidRPr="005561C1" w:rsidRDefault="005561C1" w:rsidP="005561C1">
      <w:pPr>
        <w:spacing w:line="276" w:lineRule="auto"/>
        <w:jc w:val="both"/>
        <w:rPr>
          <w:rFonts w:ascii="Arial" w:hAnsi="Arial" w:cs="Arial"/>
          <w:lang w:val="es-ES_tradnl" w:eastAsia="en-US"/>
        </w:rPr>
      </w:pPr>
      <w:r w:rsidRPr="005561C1">
        <w:rPr>
          <w:rFonts w:ascii="Arial" w:hAnsi="Arial" w:cs="Arial"/>
          <w:lang w:val="es-ES_tradnl" w:eastAsia="en-US"/>
        </w:rPr>
        <w:t>Como puede verse, no solo difiero de la sumatoria de tiempos públicos y privados para acceder a la pensión del acuerdo 049 de 1990, sino que tampoco estoy de acuerdo con utilizar el test de procedibilidad que utiliza la Corte Constitucional en casos similares al presente para aplicar la figura de la condición más beneficiosa, pero, sobre todo, aun, aceptando en gracia de discusión el uso de tal figura para resolver el asunto, la verdad es que ni siquiera se cumplían los requisitos que exige el alto tribunal para el efecto. Por todo lo anterior es que salvo mi voto, pues la pensión no debió ser otorgada bajo ninguna perspectiva.</w:t>
      </w:r>
    </w:p>
    <w:p w14:paraId="28F7749A" w14:textId="4FB893A2" w:rsidR="005561C1" w:rsidRPr="0021718F" w:rsidRDefault="005561C1" w:rsidP="005561C1">
      <w:pPr>
        <w:spacing w:line="276" w:lineRule="auto"/>
        <w:jc w:val="both"/>
        <w:rPr>
          <w:rFonts w:ascii="Arial" w:hAnsi="Arial" w:cs="Arial"/>
          <w:lang w:val="es-ES_tradnl" w:eastAsia="en-US"/>
        </w:rPr>
      </w:pPr>
    </w:p>
    <w:p w14:paraId="77047DA6" w14:textId="5EFE987A" w:rsidR="005561C1" w:rsidRPr="0021718F" w:rsidRDefault="005561C1" w:rsidP="005561C1">
      <w:pPr>
        <w:spacing w:line="276" w:lineRule="auto"/>
        <w:jc w:val="both"/>
        <w:rPr>
          <w:rFonts w:ascii="Arial" w:hAnsi="Arial" w:cs="Arial"/>
          <w:lang w:val="es-ES_tradnl" w:eastAsia="en-US"/>
        </w:rPr>
      </w:pPr>
    </w:p>
    <w:p w14:paraId="682C701C" w14:textId="23D72464" w:rsidR="005561C1" w:rsidRPr="0021718F" w:rsidRDefault="005561C1" w:rsidP="005561C1">
      <w:pPr>
        <w:spacing w:line="276" w:lineRule="auto"/>
        <w:jc w:val="both"/>
        <w:rPr>
          <w:rFonts w:ascii="Arial" w:hAnsi="Arial" w:cs="Arial"/>
          <w:lang w:val="es-ES_tradnl" w:eastAsia="en-US"/>
        </w:rPr>
      </w:pPr>
    </w:p>
    <w:p w14:paraId="0F9BD2B8" w14:textId="77777777" w:rsidR="005561C1" w:rsidRPr="005561C1" w:rsidRDefault="005561C1" w:rsidP="005561C1">
      <w:pPr>
        <w:spacing w:line="276" w:lineRule="auto"/>
        <w:jc w:val="both"/>
        <w:rPr>
          <w:rFonts w:ascii="Arial" w:hAnsi="Arial" w:cs="Arial"/>
          <w:lang w:val="es-ES_tradnl" w:eastAsia="en-US"/>
        </w:rPr>
      </w:pPr>
    </w:p>
    <w:p w14:paraId="384112C2" w14:textId="77777777" w:rsidR="005561C1" w:rsidRPr="005561C1" w:rsidRDefault="005561C1" w:rsidP="005561C1">
      <w:pPr>
        <w:spacing w:line="276" w:lineRule="auto"/>
        <w:jc w:val="center"/>
        <w:rPr>
          <w:rFonts w:ascii="Arial" w:eastAsia="Calibri" w:hAnsi="Arial" w:cs="Arial"/>
          <w:b/>
          <w:lang w:val="es-CO" w:eastAsia="en-US"/>
        </w:rPr>
      </w:pPr>
      <w:r w:rsidRPr="005561C1">
        <w:rPr>
          <w:rFonts w:ascii="Arial" w:eastAsia="Calibri" w:hAnsi="Arial" w:cs="Arial"/>
          <w:b/>
          <w:lang w:val="es-CO" w:eastAsia="en-US"/>
        </w:rPr>
        <w:t>JULIO CÉSAR SALAZAR MUÑOZ</w:t>
      </w:r>
    </w:p>
    <w:p w14:paraId="42D7568E" w14:textId="453BA797" w:rsidR="005561C1" w:rsidRPr="0021718F" w:rsidRDefault="005561C1" w:rsidP="005561C1">
      <w:pPr>
        <w:spacing w:line="276" w:lineRule="auto"/>
        <w:jc w:val="center"/>
        <w:rPr>
          <w:rFonts w:ascii="Arial" w:eastAsia="Calibri" w:hAnsi="Arial" w:cs="Arial"/>
          <w:lang w:val="es-CO" w:eastAsia="en-US"/>
        </w:rPr>
      </w:pPr>
      <w:r w:rsidRPr="005561C1">
        <w:rPr>
          <w:rFonts w:ascii="Arial" w:eastAsia="Calibri" w:hAnsi="Arial" w:cs="Arial"/>
          <w:lang w:val="es-CO" w:eastAsia="en-US"/>
        </w:rPr>
        <w:t>Magistrado</w:t>
      </w:r>
    </w:p>
    <w:sectPr w:rsidR="005561C1" w:rsidRPr="0021718F" w:rsidSect="00555C03">
      <w:headerReference w:type="even" r:id="rId11"/>
      <w:headerReference w:type="default" r:id="rId12"/>
      <w:footerReference w:type="default" r:id="rId13"/>
      <w:footerReference w:type="first" r:id="rId14"/>
      <w:pgSz w:w="12242" w:h="18722" w:code="258"/>
      <w:pgMar w:top="1871" w:right="1304" w:bottom="1304" w:left="187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CD0A" w14:textId="77777777" w:rsidR="00EB442C" w:rsidRDefault="00EB442C">
      <w:r>
        <w:separator/>
      </w:r>
    </w:p>
  </w:endnote>
  <w:endnote w:type="continuationSeparator" w:id="0">
    <w:p w14:paraId="74774406" w14:textId="77777777" w:rsidR="00EB442C" w:rsidRDefault="00EB442C">
      <w:r>
        <w:continuationSeparator/>
      </w:r>
    </w:p>
  </w:endnote>
  <w:endnote w:type="continuationNotice" w:id="1">
    <w:p w14:paraId="35E3044A" w14:textId="77777777" w:rsidR="00EB442C" w:rsidRDefault="00EB4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567E6C55" w:rsidR="00450B65" w:rsidRPr="00866916" w:rsidRDefault="00450B65" w:rsidP="00866916">
    <w:pPr>
      <w:pStyle w:val="Piedepgina"/>
      <w:jc w:val="right"/>
      <w:rPr>
        <w:rFonts w:ascii="Arial" w:hAnsi="Arial" w:cs="Arial"/>
        <w:sz w:val="18"/>
        <w:szCs w:val="18"/>
      </w:rPr>
    </w:pPr>
    <w:r w:rsidRPr="00866916">
      <w:rPr>
        <w:rFonts w:ascii="Arial" w:hAnsi="Arial" w:cs="Arial"/>
        <w:sz w:val="18"/>
        <w:szCs w:val="18"/>
      </w:rPr>
      <w:fldChar w:fldCharType="begin"/>
    </w:r>
    <w:r w:rsidRPr="00866916">
      <w:rPr>
        <w:rFonts w:ascii="Arial" w:hAnsi="Arial" w:cs="Arial"/>
        <w:sz w:val="18"/>
        <w:szCs w:val="18"/>
      </w:rPr>
      <w:instrText>PAGE   \* MERGEFORMAT</w:instrText>
    </w:r>
    <w:r w:rsidRPr="00866916">
      <w:rPr>
        <w:rFonts w:ascii="Arial" w:hAnsi="Arial" w:cs="Arial"/>
        <w:sz w:val="18"/>
        <w:szCs w:val="18"/>
      </w:rPr>
      <w:fldChar w:fldCharType="separate"/>
    </w:r>
    <w:r w:rsidR="00EC6038">
      <w:rPr>
        <w:rFonts w:ascii="Arial" w:hAnsi="Arial" w:cs="Arial"/>
        <w:noProof/>
        <w:sz w:val="18"/>
        <w:szCs w:val="18"/>
      </w:rPr>
      <w:t>18</w:t>
    </w:r>
    <w:r w:rsidRPr="00866916">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2D03FE61" w:rsidR="00450B65" w:rsidRDefault="00450B65">
    <w:pPr>
      <w:pStyle w:val="Piedepgina"/>
      <w:jc w:val="right"/>
    </w:pPr>
    <w:r>
      <w:fldChar w:fldCharType="begin"/>
    </w:r>
    <w:r>
      <w:instrText>PAGE   \* MERGEFORMAT</w:instrText>
    </w:r>
    <w:r>
      <w:fldChar w:fldCharType="separate"/>
    </w:r>
    <w:r w:rsidR="00EC6038">
      <w:rPr>
        <w:noProof/>
      </w:rPr>
      <w:t>1</w:t>
    </w:r>
    <w:r>
      <w:fldChar w:fldCharType="end"/>
    </w:r>
  </w:p>
  <w:p w14:paraId="167C4D67" w14:textId="77777777" w:rsidR="00450B65" w:rsidRDefault="00450B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1D72" w14:textId="77777777" w:rsidR="00EB442C" w:rsidRDefault="00EB442C">
      <w:r>
        <w:separator/>
      </w:r>
    </w:p>
  </w:footnote>
  <w:footnote w:type="continuationSeparator" w:id="0">
    <w:p w14:paraId="3FCEBEC1" w14:textId="77777777" w:rsidR="00EB442C" w:rsidRDefault="00EB442C">
      <w:r>
        <w:continuationSeparator/>
      </w:r>
    </w:p>
  </w:footnote>
  <w:footnote w:type="continuationNotice" w:id="1">
    <w:p w14:paraId="26FC266E" w14:textId="77777777" w:rsidR="00EB442C" w:rsidRDefault="00EB442C"/>
  </w:footnote>
  <w:footnote w:id="2">
    <w:p w14:paraId="1648D7B4" w14:textId="77777777" w:rsidR="00223C6E" w:rsidRPr="00CD5AD0" w:rsidRDefault="00223C6E" w:rsidP="00CD5AD0">
      <w:pPr>
        <w:pStyle w:val="Textonotapie"/>
        <w:jc w:val="both"/>
        <w:rPr>
          <w:rFonts w:ascii="Arial" w:hAnsi="Arial" w:cs="Arial"/>
          <w:sz w:val="18"/>
          <w:szCs w:val="18"/>
        </w:rPr>
      </w:pPr>
      <w:r w:rsidRPr="00CD5AD0">
        <w:rPr>
          <w:rStyle w:val="Refdenotaalpie"/>
          <w:rFonts w:ascii="Arial" w:hAnsi="Arial" w:cs="Arial"/>
          <w:sz w:val="18"/>
          <w:szCs w:val="18"/>
        </w:rPr>
        <w:footnoteRef/>
      </w:r>
      <w:r w:rsidRPr="00CD5AD0">
        <w:rPr>
          <w:rFonts w:ascii="Arial" w:hAnsi="Arial" w:cs="Arial"/>
          <w:sz w:val="18"/>
          <w:szCs w:val="18"/>
        </w:rPr>
        <w:t xml:space="preserve"> Por ejemplo, según el Reporte de semanas cotizadas en pensiones del 29 de abril de 2015 -emanado de Colpensiones-, el Sr. José Julián Rojas Sánchez contaba con las siguientes semanas: 55,71; 8,57; 31; 26,57; 96,71; 30,43; 21,14; 23,43 y 7,43.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450B65" w:rsidRDefault="00450B6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450B65" w:rsidRDefault="00450B6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2D73" w14:textId="02D00DDF" w:rsidR="0041505A" w:rsidRPr="00866916" w:rsidRDefault="00450B65" w:rsidP="00866916">
    <w:pPr>
      <w:pStyle w:val="Sinespaciado"/>
      <w:rPr>
        <w:rFonts w:ascii="Arial" w:hAnsi="Arial" w:cs="Arial"/>
        <w:b/>
        <w:sz w:val="18"/>
        <w:szCs w:val="18"/>
      </w:rPr>
    </w:pPr>
    <w:r w:rsidRPr="00866916">
      <w:rPr>
        <w:rFonts w:ascii="Arial" w:hAnsi="Arial" w:cs="Arial"/>
        <w:sz w:val="18"/>
        <w:szCs w:val="18"/>
      </w:rPr>
      <w:t xml:space="preserve">Radicación No.: </w:t>
    </w:r>
    <w:r w:rsidR="00212125" w:rsidRPr="00866916">
      <w:rPr>
        <w:rFonts w:ascii="Arial" w:hAnsi="Arial" w:cs="Arial"/>
        <w:sz w:val="18"/>
        <w:szCs w:val="18"/>
      </w:rPr>
      <w:tab/>
    </w:r>
    <w:r w:rsidR="0041505A" w:rsidRPr="00866916">
      <w:rPr>
        <w:rFonts w:ascii="Arial" w:hAnsi="Arial" w:cs="Arial"/>
        <w:sz w:val="18"/>
        <w:szCs w:val="18"/>
      </w:rPr>
      <w:t>66001-31-05-00</w:t>
    </w:r>
    <w:r w:rsidR="00212125" w:rsidRPr="00866916">
      <w:rPr>
        <w:rFonts w:ascii="Arial" w:hAnsi="Arial" w:cs="Arial"/>
        <w:sz w:val="18"/>
        <w:szCs w:val="18"/>
      </w:rPr>
      <w:t>2</w:t>
    </w:r>
    <w:r w:rsidR="0041505A" w:rsidRPr="00866916">
      <w:rPr>
        <w:rFonts w:ascii="Arial" w:hAnsi="Arial" w:cs="Arial"/>
        <w:sz w:val="18"/>
        <w:szCs w:val="18"/>
      </w:rPr>
      <w:t>-201</w:t>
    </w:r>
    <w:r w:rsidR="00417B5B" w:rsidRPr="00866916">
      <w:rPr>
        <w:rFonts w:ascii="Arial" w:hAnsi="Arial" w:cs="Arial"/>
        <w:sz w:val="18"/>
        <w:szCs w:val="18"/>
      </w:rPr>
      <w:t>9</w:t>
    </w:r>
    <w:r w:rsidR="0041505A" w:rsidRPr="00866916">
      <w:rPr>
        <w:rFonts w:ascii="Arial" w:hAnsi="Arial" w:cs="Arial"/>
        <w:sz w:val="18"/>
        <w:szCs w:val="18"/>
      </w:rPr>
      <w:t>-00</w:t>
    </w:r>
    <w:r w:rsidR="00212125" w:rsidRPr="00866916">
      <w:rPr>
        <w:rFonts w:ascii="Arial" w:hAnsi="Arial" w:cs="Arial"/>
        <w:b/>
        <w:sz w:val="18"/>
        <w:szCs w:val="18"/>
      </w:rPr>
      <w:t>093</w:t>
    </w:r>
    <w:r w:rsidR="0041505A" w:rsidRPr="00866916">
      <w:rPr>
        <w:rFonts w:ascii="Arial" w:hAnsi="Arial" w:cs="Arial"/>
        <w:sz w:val="18"/>
        <w:szCs w:val="18"/>
      </w:rPr>
      <w:t>-0</w:t>
    </w:r>
    <w:r w:rsidR="007C6F56" w:rsidRPr="00866916">
      <w:rPr>
        <w:rFonts w:ascii="Arial" w:hAnsi="Arial" w:cs="Arial"/>
        <w:sz w:val="18"/>
        <w:szCs w:val="18"/>
      </w:rPr>
      <w:t>1</w:t>
    </w:r>
  </w:p>
  <w:p w14:paraId="680EB4A5" w14:textId="46B24157" w:rsidR="00D9208E" w:rsidRPr="00866916" w:rsidRDefault="00D9208E" w:rsidP="00866916">
    <w:pPr>
      <w:pStyle w:val="Sinespaciado"/>
      <w:rPr>
        <w:rFonts w:ascii="Arial" w:hAnsi="Arial" w:cs="Arial"/>
        <w:sz w:val="18"/>
        <w:szCs w:val="18"/>
      </w:rPr>
    </w:pPr>
    <w:r w:rsidRPr="00866916">
      <w:rPr>
        <w:rFonts w:ascii="Arial" w:hAnsi="Arial" w:cs="Arial"/>
        <w:sz w:val="18"/>
        <w:szCs w:val="18"/>
      </w:rPr>
      <w:t>Demandante:</w:t>
    </w:r>
    <w:r w:rsidRPr="00866916">
      <w:rPr>
        <w:rFonts w:ascii="Arial" w:hAnsi="Arial" w:cs="Arial"/>
        <w:b/>
        <w:sz w:val="18"/>
        <w:szCs w:val="18"/>
      </w:rPr>
      <w:tab/>
    </w:r>
    <w:r w:rsidR="00212125" w:rsidRPr="00866916">
      <w:rPr>
        <w:rFonts w:ascii="Arial" w:hAnsi="Arial" w:cs="Arial"/>
        <w:sz w:val="18"/>
        <w:szCs w:val="18"/>
      </w:rPr>
      <w:t>Betsabé Martínez Navarro</w:t>
    </w:r>
  </w:p>
  <w:p w14:paraId="30DC2CB1" w14:textId="2ED40AB0" w:rsidR="00450B65" w:rsidRPr="00866916" w:rsidRDefault="00D9208E" w:rsidP="00866916">
    <w:pPr>
      <w:pStyle w:val="Sinespaciado"/>
      <w:rPr>
        <w:rFonts w:ascii="Arial" w:hAnsi="Arial" w:cs="Arial"/>
        <w:b/>
        <w:sz w:val="18"/>
        <w:szCs w:val="18"/>
      </w:rPr>
    </w:pPr>
    <w:r w:rsidRPr="00866916">
      <w:rPr>
        <w:rFonts w:ascii="Arial" w:hAnsi="Arial" w:cs="Arial"/>
        <w:sz w:val="18"/>
        <w:szCs w:val="18"/>
      </w:rPr>
      <w:t>Demandado:</w:t>
    </w:r>
    <w:r w:rsidRPr="00866916">
      <w:rPr>
        <w:rFonts w:ascii="Arial" w:hAnsi="Arial" w:cs="Arial"/>
        <w:sz w:val="18"/>
        <w:szCs w:val="18"/>
      </w:rPr>
      <w:tab/>
    </w:r>
    <w:r w:rsidR="00212125" w:rsidRPr="00866916">
      <w:rPr>
        <w:rFonts w:ascii="Arial" w:hAnsi="Arial" w:cs="Arial"/>
        <w:sz w:val="18"/>
        <w:szCs w:val="18"/>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3870E07"/>
    <w:multiLevelType w:val="hybridMultilevel"/>
    <w:tmpl w:val="886E7F96"/>
    <w:lvl w:ilvl="0" w:tplc="080A0001">
      <w:start w:val="1"/>
      <w:numFmt w:val="bullet"/>
      <w:lvlText w:val=""/>
      <w:lvlJc w:val="left"/>
      <w:pPr>
        <w:ind w:left="1713" w:hanging="360"/>
      </w:pPr>
      <w:rPr>
        <w:rFonts w:ascii="Symbol" w:hAnsi="Symbol" w:hint="default"/>
      </w:rPr>
    </w:lvl>
    <w:lvl w:ilvl="1" w:tplc="080A0003">
      <w:start w:val="1"/>
      <w:numFmt w:val="bullet"/>
      <w:lvlText w:val="o"/>
      <w:lvlJc w:val="left"/>
      <w:pPr>
        <w:ind w:left="2433" w:hanging="360"/>
      </w:pPr>
      <w:rPr>
        <w:rFonts w:ascii="Courier New" w:hAnsi="Courier New" w:cs="Courier New" w:hint="default"/>
      </w:rPr>
    </w:lvl>
    <w:lvl w:ilvl="2" w:tplc="080A0005">
      <w:start w:val="1"/>
      <w:numFmt w:val="bullet"/>
      <w:lvlText w:val=""/>
      <w:lvlJc w:val="left"/>
      <w:pPr>
        <w:ind w:left="3153" w:hanging="360"/>
      </w:pPr>
      <w:rPr>
        <w:rFonts w:ascii="Wingdings" w:hAnsi="Wingdings" w:hint="default"/>
      </w:rPr>
    </w:lvl>
    <w:lvl w:ilvl="3" w:tplc="080A0001">
      <w:start w:val="1"/>
      <w:numFmt w:val="bullet"/>
      <w:lvlText w:val=""/>
      <w:lvlJc w:val="left"/>
      <w:pPr>
        <w:ind w:left="3873" w:hanging="360"/>
      </w:pPr>
      <w:rPr>
        <w:rFonts w:ascii="Symbol" w:hAnsi="Symbol" w:hint="default"/>
      </w:rPr>
    </w:lvl>
    <w:lvl w:ilvl="4" w:tplc="080A0003">
      <w:start w:val="1"/>
      <w:numFmt w:val="bullet"/>
      <w:lvlText w:val="o"/>
      <w:lvlJc w:val="left"/>
      <w:pPr>
        <w:ind w:left="4593" w:hanging="360"/>
      </w:pPr>
      <w:rPr>
        <w:rFonts w:ascii="Courier New" w:hAnsi="Courier New" w:cs="Courier New" w:hint="default"/>
      </w:rPr>
    </w:lvl>
    <w:lvl w:ilvl="5" w:tplc="080A0005">
      <w:start w:val="1"/>
      <w:numFmt w:val="bullet"/>
      <w:lvlText w:val=""/>
      <w:lvlJc w:val="left"/>
      <w:pPr>
        <w:ind w:left="5313" w:hanging="360"/>
      </w:pPr>
      <w:rPr>
        <w:rFonts w:ascii="Wingdings" w:hAnsi="Wingdings" w:hint="default"/>
      </w:rPr>
    </w:lvl>
    <w:lvl w:ilvl="6" w:tplc="080A0001">
      <w:start w:val="1"/>
      <w:numFmt w:val="bullet"/>
      <w:lvlText w:val=""/>
      <w:lvlJc w:val="left"/>
      <w:pPr>
        <w:ind w:left="6033" w:hanging="360"/>
      </w:pPr>
      <w:rPr>
        <w:rFonts w:ascii="Symbol" w:hAnsi="Symbol" w:hint="default"/>
      </w:rPr>
    </w:lvl>
    <w:lvl w:ilvl="7" w:tplc="080A0003">
      <w:start w:val="1"/>
      <w:numFmt w:val="bullet"/>
      <w:lvlText w:val="o"/>
      <w:lvlJc w:val="left"/>
      <w:pPr>
        <w:ind w:left="6753" w:hanging="360"/>
      </w:pPr>
      <w:rPr>
        <w:rFonts w:ascii="Courier New" w:hAnsi="Courier New" w:cs="Courier New" w:hint="default"/>
      </w:rPr>
    </w:lvl>
    <w:lvl w:ilvl="8" w:tplc="080A0005">
      <w:start w:val="1"/>
      <w:numFmt w:val="bullet"/>
      <w:lvlText w:val=""/>
      <w:lvlJc w:val="left"/>
      <w:pPr>
        <w:ind w:left="7473" w:hanging="360"/>
      </w:pPr>
      <w:rPr>
        <w:rFonts w:ascii="Wingdings" w:hAnsi="Wingdings" w:hint="default"/>
      </w:rPr>
    </w:lvl>
  </w:abstractNum>
  <w:abstractNum w:abstractNumId="3"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4" w15:restartNumberingAfterBreak="0">
    <w:nsid w:val="30A14B68"/>
    <w:multiLevelType w:val="hybridMultilevel"/>
    <w:tmpl w:val="315614D2"/>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5" w15:restartNumberingAfterBreak="0">
    <w:nsid w:val="31246503"/>
    <w:multiLevelType w:val="multilevel"/>
    <w:tmpl w:val="DB2249E8"/>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65D2D86"/>
    <w:multiLevelType w:val="hybridMultilevel"/>
    <w:tmpl w:val="DABE3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55B33A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4"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489768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9"/>
  </w:num>
  <w:num w:numId="3">
    <w:abstractNumId w:val="14"/>
  </w:num>
  <w:num w:numId="4">
    <w:abstractNumId w:val="12"/>
  </w:num>
  <w:num w:numId="5">
    <w:abstractNumId w:val="1"/>
  </w:num>
  <w:num w:numId="6">
    <w:abstractNumId w:val="8"/>
  </w:num>
  <w:num w:numId="7">
    <w:abstractNumId w:val="11"/>
  </w:num>
  <w:num w:numId="8">
    <w:abstractNumId w:val="3"/>
  </w:num>
  <w:num w:numId="9">
    <w:abstractNumId w:val="16"/>
  </w:num>
  <w:num w:numId="10">
    <w:abstractNumId w:val="15"/>
  </w:num>
  <w:num w:numId="11">
    <w:abstractNumId w:val="10"/>
  </w:num>
  <w:num w:numId="1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4"/>
  </w:num>
  <w:num w:numId="16">
    <w:abstractNumId w:val="5"/>
  </w:num>
  <w:num w:numId="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397F"/>
    <w:rsid w:val="00004003"/>
    <w:rsid w:val="000043B8"/>
    <w:rsid w:val="0000451C"/>
    <w:rsid w:val="00005487"/>
    <w:rsid w:val="000057C8"/>
    <w:rsid w:val="00005AE6"/>
    <w:rsid w:val="00005FD6"/>
    <w:rsid w:val="00006084"/>
    <w:rsid w:val="0000616E"/>
    <w:rsid w:val="00006421"/>
    <w:rsid w:val="000067FE"/>
    <w:rsid w:val="00006AB3"/>
    <w:rsid w:val="00006F27"/>
    <w:rsid w:val="00007112"/>
    <w:rsid w:val="000108A0"/>
    <w:rsid w:val="000108FA"/>
    <w:rsid w:val="000113A2"/>
    <w:rsid w:val="000113AE"/>
    <w:rsid w:val="000116DD"/>
    <w:rsid w:val="000117AB"/>
    <w:rsid w:val="00011DC0"/>
    <w:rsid w:val="00012EC2"/>
    <w:rsid w:val="00013138"/>
    <w:rsid w:val="000138D2"/>
    <w:rsid w:val="000139C8"/>
    <w:rsid w:val="00014101"/>
    <w:rsid w:val="00014172"/>
    <w:rsid w:val="00014949"/>
    <w:rsid w:val="000149FB"/>
    <w:rsid w:val="00014F1A"/>
    <w:rsid w:val="000153D6"/>
    <w:rsid w:val="00015567"/>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57"/>
    <w:rsid w:val="0002341D"/>
    <w:rsid w:val="0002387D"/>
    <w:rsid w:val="0002448C"/>
    <w:rsid w:val="0002458E"/>
    <w:rsid w:val="000253C3"/>
    <w:rsid w:val="00025895"/>
    <w:rsid w:val="00026905"/>
    <w:rsid w:val="000269CA"/>
    <w:rsid w:val="000271CA"/>
    <w:rsid w:val="000277BB"/>
    <w:rsid w:val="00027E37"/>
    <w:rsid w:val="000322C0"/>
    <w:rsid w:val="00033A79"/>
    <w:rsid w:val="00034330"/>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61AB"/>
    <w:rsid w:val="00046230"/>
    <w:rsid w:val="0004798C"/>
    <w:rsid w:val="000502A9"/>
    <w:rsid w:val="00050B8B"/>
    <w:rsid w:val="00051677"/>
    <w:rsid w:val="000516FA"/>
    <w:rsid w:val="000526DE"/>
    <w:rsid w:val="0005299F"/>
    <w:rsid w:val="00053381"/>
    <w:rsid w:val="00053767"/>
    <w:rsid w:val="000539D9"/>
    <w:rsid w:val="00053BBC"/>
    <w:rsid w:val="00053C09"/>
    <w:rsid w:val="00054180"/>
    <w:rsid w:val="00054AC2"/>
    <w:rsid w:val="00056F1F"/>
    <w:rsid w:val="000575D1"/>
    <w:rsid w:val="00057644"/>
    <w:rsid w:val="00057E02"/>
    <w:rsid w:val="0006296E"/>
    <w:rsid w:val="0006298A"/>
    <w:rsid w:val="000634C3"/>
    <w:rsid w:val="00063B66"/>
    <w:rsid w:val="00063FBC"/>
    <w:rsid w:val="00064C80"/>
    <w:rsid w:val="00065677"/>
    <w:rsid w:val="00065765"/>
    <w:rsid w:val="00065C21"/>
    <w:rsid w:val="00065E53"/>
    <w:rsid w:val="00067227"/>
    <w:rsid w:val="0007089E"/>
    <w:rsid w:val="00070FB2"/>
    <w:rsid w:val="00071C2C"/>
    <w:rsid w:val="00072803"/>
    <w:rsid w:val="00073AD8"/>
    <w:rsid w:val="00073CDD"/>
    <w:rsid w:val="00074717"/>
    <w:rsid w:val="000755E0"/>
    <w:rsid w:val="000758C9"/>
    <w:rsid w:val="00075CDE"/>
    <w:rsid w:val="000768A1"/>
    <w:rsid w:val="00076CCC"/>
    <w:rsid w:val="000770E2"/>
    <w:rsid w:val="00077395"/>
    <w:rsid w:val="000804F3"/>
    <w:rsid w:val="00080A28"/>
    <w:rsid w:val="0008113C"/>
    <w:rsid w:val="000815B8"/>
    <w:rsid w:val="000816D0"/>
    <w:rsid w:val="000821A3"/>
    <w:rsid w:val="00082836"/>
    <w:rsid w:val="00082F11"/>
    <w:rsid w:val="000834E1"/>
    <w:rsid w:val="00083552"/>
    <w:rsid w:val="00084F5B"/>
    <w:rsid w:val="00085416"/>
    <w:rsid w:val="00085865"/>
    <w:rsid w:val="00085A34"/>
    <w:rsid w:val="00085F79"/>
    <w:rsid w:val="00086703"/>
    <w:rsid w:val="00086BBE"/>
    <w:rsid w:val="00087119"/>
    <w:rsid w:val="00087799"/>
    <w:rsid w:val="00087FDF"/>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4D94"/>
    <w:rsid w:val="0009509A"/>
    <w:rsid w:val="00095F31"/>
    <w:rsid w:val="00096148"/>
    <w:rsid w:val="0009645A"/>
    <w:rsid w:val="00096A81"/>
    <w:rsid w:val="00096C52"/>
    <w:rsid w:val="00097251"/>
    <w:rsid w:val="000974DF"/>
    <w:rsid w:val="0009794F"/>
    <w:rsid w:val="00097ED3"/>
    <w:rsid w:val="000A032D"/>
    <w:rsid w:val="000A1172"/>
    <w:rsid w:val="000A1286"/>
    <w:rsid w:val="000A129C"/>
    <w:rsid w:val="000A2266"/>
    <w:rsid w:val="000A2294"/>
    <w:rsid w:val="000A22BF"/>
    <w:rsid w:val="000A23F4"/>
    <w:rsid w:val="000A29E4"/>
    <w:rsid w:val="000A3567"/>
    <w:rsid w:val="000A36A6"/>
    <w:rsid w:val="000A37DE"/>
    <w:rsid w:val="000A3DFE"/>
    <w:rsid w:val="000A4174"/>
    <w:rsid w:val="000A4FB3"/>
    <w:rsid w:val="000A5A26"/>
    <w:rsid w:val="000A5C99"/>
    <w:rsid w:val="000A61BC"/>
    <w:rsid w:val="000A73FC"/>
    <w:rsid w:val="000A7871"/>
    <w:rsid w:val="000A7A02"/>
    <w:rsid w:val="000A7B83"/>
    <w:rsid w:val="000B0C39"/>
    <w:rsid w:val="000B0DC6"/>
    <w:rsid w:val="000B0F92"/>
    <w:rsid w:val="000B103B"/>
    <w:rsid w:val="000B1AC3"/>
    <w:rsid w:val="000B3191"/>
    <w:rsid w:val="000B3201"/>
    <w:rsid w:val="000B408E"/>
    <w:rsid w:val="000B4F1F"/>
    <w:rsid w:val="000B5064"/>
    <w:rsid w:val="000B5A5B"/>
    <w:rsid w:val="000B6255"/>
    <w:rsid w:val="000B6D07"/>
    <w:rsid w:val="000B6F52"/>
    <w:rsid w:val="000B7743"/>
    <w:rsid w:val="000B7C76"/>
    <w:rsid w:val="000B7F7C"/>
    <w:rsid w:val="000C032A"/>
    <w:rsid w:val="000C0395"/>
    <w:rsid w:val="000C0CA5"/>
    <w:rsid w:val="000C13C5"/>
    <w:rsid w:val="000C1504"/>
    <w:rsid w:val="000C1551"/>
    <w:rsid w:val="000C1808"/>
    <w:rsid w:val="000C2226"/>
    <w:rsid w:val="000C29B3"/>
    <w:rsid w:val="000C2C37"/>
    <w:rsid w:val="000C3177"/>
    <w:rsid w:val="000C39D4"/>
    <w:rsid w:val="000C4935"/>
    <w:rsid w:val="000C49FA"/>
    <w:rsid w:val="000C4CB0"/>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6FA"/>
    <w:rsid w:val="000D6954"/>
    <w:rsid w:val="000D6E32"/>
    <w:rsid w:val="000D74FA"/>
    <w:rsid w:val="000D7896"/>
    <w:rsid w:val="000D78DE"/>
    <w:rsid w:val="000D78EF"/>
    <w:rsid w:val="000D7A48"/>
    <w:rsid w:val="000D7BC1"/>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12E"/>
    <w:rsid w:val="000E46A6"/>
    <w:rsid w:val="000E4D28"/>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79E"/>
    <w:rsid w:val="000F1911"/>
    <w:rsid w:val="000F200C"/>
    <w:rsid w:val="000F34FC"/>
    <w:rsid w:val="000F374C"/>
    <w:rsid w:val="000F44F9"/>
    <w:rsid w:val="000F4590"/>
    <w:rsid w:val="000F499D"/>
    <w:rsid w:val="000F5060"/>
    <w:rsid w:val="000F52F9"/>
    <w:rsid w:val="000F5E64"/>
    <w:rsid w:val="000F5EBD"/>
    <w:rsid w:val="000F6917"/>
    <w:rsid w:val="000F6A05"/>
    <w:rsid w:val="000F6B06"/>
    <w:rsid w:val="000F7199"/>
    <w:rsid w:val="000F719F"/>
    <w:rsid w:val="000F7D1B"/>
    <w:rsid w:val="001001C8"/>
    <w:rsid w:val="00100D4D"/>
    <w:rsid w:val="001015B5"/>
    <w:rsid w:val="00102482"/>
    <w:rsid w:val="00102835"/>
    <w:rsid w:val="00103DA1"/>
    <w:rsid w:val="00104424"/>
    <w:rsid w:val="001045F3"/>
    <w:rsid w:val="00104664"/>
    <w:rsid w:val="00104920"/>
    <w:rsid w:val="00104A14"/>
    <w:rsid w:val="0010539E"/>
    <w:rsid w:val="00106D1B"/>
    <w:rsid w:val="00106DB6"/>
    <w:rsid w:val="001070DD"/>
    <w:rsid w:val="001073B1"/>
    <w:rsid w:val="00107553"/>
    <w:rsid w:val="00107712"/>
    <w:rsid w:val="0010779E"/>
    <w:rsid w:val="00107AB5"/>
    <w:rsid w:val="001102C3"/>
    <w:rsid w:val="00110367"/>
    <w:rsid w:val="001103AC"/>
    <w:rsid w:val="00110C12"/>
    <w:rsid w:val="0011286C"/>
    <w:rsid w:val="00112F15"/>
    <w:rsid w:val="00113705"/>
    <w:rsid w:val="00113870"/>
    <w:rsid w:val="00114499"/>
    <w:rsid w:val="00114AD3"/>
    <w:rsid w:val="001162F4"/>
    <w:rsid w:val="001171E6"/>
    <w:rsid w:val="001172A8"/>
    <w:rsid w:val="001174B9"/>
    <w:rsid w:val="00120A35"/>
    <w:rsid w:val="00120EAB"/>
    <w:rsid w:val="00122140"/>
    <w:rsid w:val="00122521"/>
    <w:rsid w:val="00123348"/>
    <w:rsid w:val="00123412"/>
    <w:rsid w:val="00123767"/>
    <w:rsid w:val="001245C1"/>
    <w:rsid w:val="00124D1E"/>
    <w:rsid w:val="00125BB8"/>
    <w:rsid w:val="00126266"/>
    <w:rsid w:val="00127403"/>
    <w:rsid w:val="00127EE2"/>
    <w:rsid w:val="00130D74"/>
    <w:rsid w:val="00131250"/>
    <w:rsid w:val="00131C1B"/>
    <w:rsid w:val="00131D6F"/>
    <w:rsid w:val="00132646"/>
    <w:rsid w:val="0013280B"/>
    <w:rsid w:val="00133641"/>
    <w:rsid w:val="00133DD5"/>
    <w:rsid w:val="00134872"/>
    <w:rsid w:val="001355E4"/>
    <w:rsid w:val="00135707"/>
    <w:rsid w:val="00135FC1"/>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FF0"/>
    <w:rsid w:val="00147041"/>
    <w:rsid w:val="00150388"/>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DDB"/>
    <w:rsid w:val="00156F0C"/>
    <w:rsid w:val="001571F6"/>
    <w:rsid w:val="001573DE"/>
    <w:rsid w:val="00160472"/>
    <w:rsid w:val="0016169A"/>
    <w:rsid w:val="00161819"/>
    <w:rsid w:val="00161EBF"/>
    <w:rsid w:val="001627AF"/>
    <w:rsid w:val="00162BE3"/>
    <w:rsid w:val="00162D1D"/>
    <w:rsid w:val="00162E84"/>
    <w:rsid w:val="00162F4E"/>
    <w:rsid w:val="00163A57"/>
    <w:rsid w:val="00163BDC"/>
    <w:rsid w:val="00165DE9"/>
    <w:rsid w:val="00166A97"/>
    <w:rsid w:val="00166F5B"/>
    <w:rsid w:val="0016790B"/>
    <w:rsid w:val="00167EBE"/>
    <w:rsid w:val="001700CB"/>
    <w:rsid w:val="0017023C"/>
    <w:rsid w:val="00170532"/>
    <w:rsid w:val="00170E1A"/>
    <w:rsid w:val="0017149D"/>
    <w:rsid w:val="0017184C"/>
    <w:rsid w:val="00171B5F"/>
    <w:rsid w:val="00172149"/>
    <w:rsid w:val="0017221E"/>
    <w:rsid w:val="00172C90"/>
    <w:rsid w:val="00172CAC"/>
    <w:rsid w:val="00173EBE"/>
    <w:rsid w:val="00175883"/>
    <w:rsid w:val="00175C09"/>
    <w:rsid w:val="00175F09"/>
    <w:rsid w:val="001769ED"/>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7EA"/>
    <w:rsid w:val="00186AF7"/>
    <w:rsid w:val="00186CDF"/>
    <w:rsid w:val="001906E1"/>
    <w:rsid w:val="0019121C"/>
    <w:rsid w:val="00191410"/>
    <w:rsid w:val="001917DB"/>
    <w:rsid w:val="00191D60"/>
    <w:rsid w:val="00192076"/>
    <w:rsid w:val="00193410"/>
    <w:rsid w:val="00193623"/>
    <w:rsid w:val="001938F9"/>
    <w:rsid w:val="001939B4"/>
    <w:rsid w:val="00193AAA"/>
    <w:rsid w:val="00193D28"/>
    <w:rsid w:val="00193F7E"/>
    <w:rsid w:val="00194645"/>
    <w:rsid w:val="00196180"/>
    <w:rsid w:val="001962B9"/>
    <w:rsid w:val="00196342"/>
    <w:rsid w:val="00196B2F"/>
    <w:rsid w:val="00196D88"/>
    <w:rsid w:val="00197194"/>
    <w:rsid w:val="001971E7"/>
    <w:rsid w:val="00197AB1"/>
    <w:rsid w:val="00197BCD"/>
    <w:rsid w:val="00197CFD"/>
    <w:rsid w:val="00197F4F"/>
    <w:rsid w:val="00197F8E"/>
    <w:rsid w:val="001A0550"/>
    <w:rsid w:val="001A0E8A"/>
    <w:rsid w:val="001A0EB1"/>
    <w:rsid w:val="001A143D"/>
    <w:rsid w:val="001A1535"/>
    <w:rsid w:val="001A155B"/>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4B7"/>
    <w:rsid w:val="001A762A"/>
    <w:rsid w:val="001A7850"/>
    <w:rsid w:val="001A7EF5"/>
    <w:rsid w:val="001A7FD7"/>
    <w:rsid w:val="001B03FF"/>
    <w:rsid w:val="001B07DE"/>
    <w:rsid w:val="001B0A01"/>
    <w:rsid w:val="001B0B3E"/>
    <w:rsid w:val="001B0B83"/>
    <w:rsid w:val="001B1178"/>
    <w:rsid w:val="001B15F4"/>
    <w:rsid w:val="001B2375"/>
    <w:rsid w:val="001B237E"/>
    <w:rsid w:val="001B26BD"/>
    <w:rsid w:val="001B3055"/>
    <w:rsid w:val="001B3552"/>
    <w:rsid w:val="001B3CDE"/>
    <w:rsid w:val="001B3E4E"/>
    <w:rsid w:val="001B409C"/>
    <w:rsid w:val="001B4B1A"/>
    <w:rsid w:val="001B4C7E"/>
    <w:rsid w:val="001B5F3A"/>
    <w:rsid w:val="001B66C6"/>
    <w:rsid w:val="001B6E90"/>
    <w:rsid w:val="001B76BD"/>
    <w:rsid w:val="001C03A9"/>
    <w:rsid w:val="001C1243"/>
    <w:rsid w:val="001C14EA"/>
    <w:rsid w:val="001C1CDC"/>
    <w:rsid w:val="001C2224"/>
    <w:rsid w:val="001C264B"/>
    <w:rsid w:val="001C2DB5"/>
    <w:rsid w:val="001C4178"/>
    <w:rsid w:val="001C4293"/>
    <w:rsid w:val="001C46CD"/>
    <w:rsid w:val="001C4719"/>
    <w:rsid w:val="001C4780"/>
    <w:rsid w:val="001C512A"/>
    <w:rsid w:val="001C5B1C"/>
    <w:rsid w:val="001C75FA"/>
    <w:rsid w:val="001C7F1D"/>
    <w:rsid w:val="001D03F9"/>
    <w:rsid w:val="001D153F"/>
    <w:rsid w:val="001D2272"/>
    <w:rsid w:val="001D2276"/>
    <w:rsid w:val="001D305C"/>
    <w:rsid w:val="001D3995"/>
    <w:rsid w:val="001D3A97"/>
    <w:rsid w:val="001D3DC4"/>
    <w:rsid w:val="001D5B31"/>
    <w:rsid w:val="001D6479"/>
    <w:rsid w:val="001D70F2"/>
    <w:rsid w:val="001E0812"/>
    <w:rsid w:val="001E13EB"/>
    <w:rsid w:val="001E1465"/>
    <w:rsid w:val="001E34F9"/>
    <w:rsid w:val="001E3501"/>
    <w:rsid w:val="001E3682"/>
    <w:rsid w:val="001E36CE"/>
    <w:rsid w:val="001E3A55"/>
    <w:rsid w:val="001E3E2C"/>
    <w:rsid w:val="001E448B"/>
    <w:rsid w:val="001E4B08"/>
    <w:rsid w:val="001E514F"/>
    <w:rsid w:val="001E52A5"/>
    <w:rsid w:val="001E5AC7"/>
    <w:rsid w:val="001E65B7"/>
    <w:rsid w:val="001E6AC9"/>
    <w:rsid w:val="001E7355"/>
    <w:rsid w:val="001E7B5E"/>
    <w:rsid w:val="001E7CFB"/>
    <w:rsid w:val="001F063B"/>
    <w:rsid w:val="001F0BDA"/>
    <w:rsid w:val="001F0CF7"/>
    <w:rsid w:val="001F0DDE"/>
    <w:rsid w:val="001F25BB"/>
    <w:rsid w:val="001F276B"/>
    <w:rsid w:val="001F3AEA"/>
    <w:rsid w:val="001F3CEA"/>
    <w:rsid w:val="001F4666"/>
    <w:rsid w:val="001F48BB"/>
    <w:rsid w:val="001F48EE"/>
    <w:rsid w:val="001F4FBB"/>
    <w:rsid w:val="001F54E6"/>
    <w:rsid w:val="001F5536"/>
    <w:rsid w:val="001F55B9"/>
    <w:rsid w:val="001F582C"/>
    <w:rsid w:val="001F5BC2"/>
    <w:rsid w:val="001F5D82"/>
    <w:rsid w:val="001F5F7F"/>
    <w:rsid w:val="001F6462"/>
    <w:rsid w:val="001F6B11"/>
    <w:rsid w:val="001F7539"/>
    <w:rsid w:val="001F7BDE"/>
    <w:rsid w:val="001F7DFA"/>
    <w:rsid w:val="00200192"/>
    <w:rsid w:val="00201DEE"/>
    <w:rsid w:val="0020257E"/>
    <w:rsid w:val="00202618"/>
    <w:rsid w:val="00203376"/>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2125"/>
    <w:rsid w:val="00212261"/>
    <w:rsid w:val="002126DB"/>
    <w:rsid w:val="00212876"/>
    <w:rsid w:val="002129DF"/>
    <w:rsid w:val="002129EF"/>
    <w:rsid w:val="0021392A"/>
    <w:rsid w:val="00213C99"/>
    <w:rsid w:val="002143B5"/>
    <w:rsid w:val="00214494"/>
    <w:rsid w:val="00214CA4"/>
    <w:rsid w:val="00214E9E"/>
    <w:rsid w:val="002158ED"/>
    <w:rsid w:val="00215AC3"/>
    <w:rsid w:val="00215D91"/>
    <w:rsid w:val="002165E8"/>
    <w:rsid w:val="002168DD"/>
    <w:rsid w:val="00216D9B"/>
    <w:rsid w:val="00216E76"/>
    <w:rsid w:val="0021718F"/>
    <w:rsid w:val="00217318"/>
    <w:rsid w:val="0022026F"/>
    <w:rsid w:val="00221452"/>
    <w:rsid w:val="00221E2C"/>
    <w:rsid w:val="00221F05"/>
    <w:rsid w:val="002225AD"/>
    <w:rsid w:val="00222D98"/>
    <w:rsid w:val="0022317F"/>
    <w:rsid w:val="0022375A"/>
    <w:rsid w:val="00223894"/>
    <w:rsid w:val="00223AE4"/>
    <w:rsid w:val="00223C6E"/>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0BD7"/>
    <w:rsid w:val="00231133"/>
    <w:rsid w:val="002314B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11AC"/>
    <w:rsid w:val="002413EE"/>
    <w:rsid w:val="002429C7"/>
    <w:rsid w:val="00242B0A"/>
    <w:rsid w:val="00243627"/>
    <w:rsid w:val="00243DF5"/>
    <w:rsid w:val="00243E9F"/>
    <w:rsid w:val="0024401A"/>
    <w:rsid w:val="00244877"/>
    <w:rsid w:val="00244C23"/>
    <w:rsid w:val="002454BA"/>
    <w:rsid w:val="00245528"/>
    <w:rsid w:val="002456FA"/>
    <w:rsid w:val="002458C2"/>
    <w:rsid w:val="00245D8A"/>
    <w:rsid w:val="00245EB0"/>
    <w:rsid w:val="00245ED5"/>
    <w:rsid w:val="00246115"/>
    <w:rsid w:val="00246652"/>
    <w:rsid w:val="002468EE"/>
    <w:rsid w:val="00246BA0"/>
    <w:rsid w:val="00246CB1"/>
    <w:rsid w:val="00247231"/>
    <w:rsid w:val="00247347"/>
    <w:rsid w:val="002477C5"/>
    <w:rsid w:val="00247841"/>
    <w:rsid w:val="00247E47"/>
    <w:rsid w:val="002500A3"/>
    <w:rsid w:val="00250565"/>
    <w:rsid w:val="00250BE8"/>
    <w:rsid w:val="002513E6"/>
    <w:rsid w:val="002531AB"/>
    <w:rsid w:val="00253D88"/>
    <w:rsid w:val="00253F65"/>
    <w:rsid w:val="00253FD6"/>
    <w:rsid w:val="00254181"/>
    <w:rsid w:val="00254C92"/>
    <w:rsid w:val="00255760"/>
    <w:rsid w:val="002557C5"/>
    <w:rsid w:val="002557C8"/>
    <w:rsid w:val="002565B2"/>
    <w:rsid w:val="002568B4"/>
    <w:rsid w:val="00257001"/>
    <w:rsid w:val="00261293"/>
    <w:rsid w:val="00262666"/>
    <w:rsid w:val="00262830"/>
    <w:rsid w:val="00262975"/>
    <w:rsid w:val="00262D66"/>
    <w:rsid w:val="00262E0F"/>
    <w:rsid w:val="00264334"/>
    <w:rsid w:val="0026437A"/>
    <w:rsid w:val="002643EE"/>
    <w:rsid w:val="00264762"/>
    <w:rsid w:val="002654A9"/>
    <w:rsid w:val="00265644"/>
    <w:rsid w:val="00265B6D"/>
    <w:rsid w:val="0026673D"/>
    <w:rsid w:val="00266836"/>
    <w:rsid w:val="002668AB"/>
    <w:rsid w:val="00266F2E"/>
    <w:rsid w:val="0026744C"/>
    <w:rsid w:val="002676DC"/>
    <w:rsid w:val="002677BB"/>
    <w:rsid w:val="002703E0"/>
    <w:rsid w:val="0027052D"/>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3FA"/>
    <w:rsid w:val="00277F51"/>
    <w:rsid w:val="002802D1"/>
    <w:rsid w:val="00280874"/>
    <w:rsid w:val="002814C1"/>
    <w:rsid w:val="002818EA"/>
    <w:rsid w:val="002819E9"/>
    <w:rsid w:val="002819FE"/>
    <w:rsid w:val="00281F83"/>
    <w:rsid w:val="002822BF"/>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1521"/>
    <w:rsid w:val="00291655"/>
    <w:rsid w:val="00291A2F"/>
    <w:rsid w:val="00292402"/>
    <w:rsid w:val="00293351"/>
    <w:rsid w:val="00293646"/>
    <w:rsid w:val="002944C2"/>
    <w:rsid w:val="002950EB"/>
    <w:rsid w:val="0029596C"/>
    <w:rsid w:val="00295AB0"/>
    <w:rsid w:val="00295E8D"/>
    <w:rsid w:val="00295FDC"/>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B0087"/>
    <w:rsid w:val="002B0EB4"/>
    <w:rsid w:val="002B0F49"/>
    <w:rsid w:val="002B191F"/>
    <w:rsid w:val="002B2511"/>
    <w:rsid w:val="002B2545"/>
    <w:rsid w:val="002B2DEC"/>
    <w:rsid w:val="002B3DE1"/>
    <w:rsid w:val="002B4353"/>
    <w:rsid w:val="002B4504"/>
    <w:rsid w:val="002B4874"/>
    <w:rsid w:val="002B581C"/>
    <w:rsid w:val="002B5A64"/>
    <w:rsid w:val="002B60ED"/>
    <w:rsid w:val="002B6380"/>
    <w:rsid w:val="002B6B54"/>
    <w:rsid w:val="002B6D4C"/>
    <w:rsid w:val="002B73AC"/>
    <w:rsid w:val="002B75C5"/>
    <w:rsid w:val="002B776A"/>
    <w:rsid w:val="002B7E9C"/>
    <w:rsid w:val="002B7FD3"/>
    <w:rsid w:val="002C0644"/>
    <w:rsid w:val="002C064C"/>
    <w:rsid w:val="002C0BAD"/>
    <w:rsid w:val="002C0D45"/>
    <w:rsid w:val="002C0F53"/>
    <w:rsid w:val="002C1403"/>
    <w:rsid w:val="002C25E0"/>
    <w:rsid w:val="002C2A7C"/>
    <w:rsid w:val="002C31C2"/>
    <w:rsid w:val="002C363A"/>
    <w:rsid w:val="002C3867"/>
    <w:rsid w:val="002C3F33"/>
    <w:rsid w:val="002C4035"/>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553D"/>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5CCF"/>
    <w:rsid w:val="002E6272"/>
    <w:rsid w:val="002E65E5"/>
    <w:rsid w:val="002E6783"/>
    <w:rsid w:val="002E6C11"/>
    <w:rsid w:val="002E6C9E"/>
    <w:rsid w:val="002E6CAF"/>
    <w:rsid w:val="002E6DB9"/>
    <w:rsid w:val="002E7ED1"/>
    <w:rsid w:val="002F045E"/>
    <w:rsid w:val="002F0805"/>
    <w:rsid w:val="002F11B1"/>
    <w:rsid w:val="002F13EA"/>
    <w:rsid w:val="002F151B"/>
    <w:rsid w:val="002F1B5A"/>
    <w:rsid w:val="002F2315"/>
    <w:rsid w:val="002F256A"/>
    <w:rsid w:val="002F3251"/>
    <w:rsid w:val="002F347F"/>
    <w:rsid w:val="002F36B3"/>
    <w:rsid w:val="002F38BD"/>
    <w:rsid w:val="002F394A"/>
    <w:rsid w:val="002F3BB8"/>
    <w:rsid w:val="002F4195"/>
    <w:rsid w:val="002F4257"/>
    <w:rsid w:val="002F4897"/>
    <w:rsid w:val="002F4962"/>
    <w:rsid w:val="002F5385"/>
    <w:rsid w:val="002F63EE"/>
    <w:rsid w:val="002F6742"/>
    <w:rsid w:val="002F748E"/>
    <w:rsid w:val="00300150"/>
    <w:rsid w:val="003018EC"/>
    <w:rsid w:val="00301DB0"/>
    <w:rsid w:val="00302051"/>
    <w:rsid w:val="00302184"/>
    <w:rsid w:val="003021A9"/>
    <w:rsid w:val="003035A7"/>
    <w:rsid w:val="003038FB"/>
    <w:rsid w:val="00303C62"/>
    <w:rsid w:val="003049C6"/>
    <w:rsid w:val="00304AED"/>
    <w:rsid w:val="003055F2"/>
    <w:rsid w:val="00305729"/>
    <w:rsid w:val="00305990"/>
    <w:rsid w:val="003060CA"/>
    <w:rsid w:val="003061BB"/>
    <w:rsid w:val="00306290"/>
    <w:rsid w:val="003064FA"/>
    <w:rsid w:val="003068A1"/>
    <w:rsid w:val="00306B02"/>
    <w:rsid w:val="00307298"/>
    <w:rsid w:val="0030730A"/>
    <w:rsid w:val="00307FC0"/>
    <w:rsid w:val="003101CC"/>
    <w:rsid w:val="0031023A"/>
    <w:rsid w:val="0031092F"/>
    <w:rsid w:val="00310B0D"/>
    <w:rsid w:val="00310C08"/>
    <w:rsid w:val="0031125C"/>
    <w:rsid w:val="003112F3"/>
    <w:rsid w:val="003118B3"/>
    <w:rsid w:val="003119D8"/>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6687"/>
    <w:rsid w:val="00317201"/>
    <w:rsid w:val="003174DF"/>
    <w:rsid w:val="00317BF5"/>
    <w:rsid w:val="00320608"/>
    <w:rsid w:val="00320D1D"/>
    <w:rsid w:val="0032124D"/>
    <w:rsid w:val="0032135D"/>
    <w:rsid w:val="003216D0"/>
    <w:rsid w:val="00321806"/>
    <w:rsid w:val="00322B29"/>
    <w:rsid w:val="00323C2D"/>
    <w:rsid w:val="003247FB"/>
    <w:rsid w:val="0032525B"/>
    <w:rsid w:val="00325D21"/>
    <w:rsid w:val="0032600C"/>
    <w:rsid w:val="00326E13"/>
    <w:rsid w:val="0032713E"/>
    <w:rsid w:val="003274A7"/>
    <w:rsid w:val="00327884"/>
    <w:rsid w:val="00327D1C"/>
    <w:rsid w:val="00327D30"/>
    <w:rsid w:val="00330D39"/>
    <w:rsid w:val="00331BCE"/>
    <w:rsid w:val="00332594"/>
    <w:rsid w:val="0033262C"/>
    <w:rsid w:val="00332F27"/>
    <w:rsid w:val="00333929"/>
    <w:rsid w:val="00333C41"/>
    <w:rsid w:val="00333E22"/>
    <w:rsid w:val="00334208"/>
    <w:rsid w:val="0033454A"/>
    <w:rsid w:val="00334AB3"/>
    <w:rsid w:val="00334BE1"/>
    <w:rsid w:val="00335367"/>
    <w:rsid w:val="00335549"/>
    <w:rsid w:val="003355F3"/>
    <w:rsid w:val="00335AFF"/>
    <w:rsid w:val="00335E64"/>
    <w:rsid w:val="00336559"/>
    <w:rsid w:val="0033658A"/>
    <w:rsid w:val="003366CA"/>
    <w:rsid w:val="0033794B"/>
    <w:rsid w:val="00337B89"/>
    <w:rsid w:val="00337C3D"/>
    <w:rsid w:val="00341289"/>
    <w:rsid w:val="003425A9"/>
    <w:rsid w:val="00342B91"/>
    <w:rsid w:val="00342F43"/>
    <w:rsid w:val="00343A84"/>
    <w:rsid w:val="0034420C"/>
    <w:rsid w:val="00344697"/>
    <w:rsid w:val="003447A4"/>
    <w:rsid w:val="00344FE9"/>
    <w:rsid w:val="00345108"/>
    <w:rsid w:val="00345BFE"/>
    <w:rsid w:val="003465DB"/>
    <w:rsid w:val="00346B75"/>
    <w:rsid w:val="00346BF8"/>
    <w:rsid w:val="00346D00"/>
    <w:rsid w:val="003470ED"/>
    <w:rsid w:val="00347661"/>
    <w:rsid w:val="00347BFA"/>
    <w:rsid w:val="00350F57"/>
    <w:rsid w:val="00351318"/>
    <w:rsid w:val="003514E5"/>
    <w:rsid w:val="00351DA6"/>
    <w:rsid w:val="00352BAE"/>
    <w:rsid w:val="00353228"/>
    <w:rsid w:val="00353B4B"/>
    <w:rsid w:val="00353C76"/>
    <w:rsid w:val="00353EF9"/>
    <w:rsid w:val="00355296"/>
    <w:rsid w:val="00355CC5"/>
    <w:rsid w:val="00355E71"/>
    <w:rsid w:val="003561C2"/>
    <w:rsid w:val="003561ED"/>
    <w:rsid w:val="003565B2"/>
    <w:rsid w:val="00356D92"/>
    <w:rsid w:val="0035791A"/>
    <w:rsid w:val="003601F6"/>
    <w:rsid w:val="00360FBF"/>
    <w:rsid w:val="003612E6"/>
    <w:rsid w:val="0036166D"/>
    <w:rsid w:val="003619A5"/>
    <w:rsid w:val="00361A25"/>
    <w:rsid w:val="00361C60"/>
    <w:rsid w:val="00361E4B"/>
    <w:rsid w:val="00361F70"/>
    <w:rsid w:val="003621F3"/>
    <w:rsid w:val="003627F9"/>
    <w:rsid w:val="0036298C"/>
    <w:rsid w:val="00363588"/>
    <w:rsid w:val="003642A2"/>
    <w:rsid w:val="003644DA"/>
    <w:rsid w:val="00364504"/>
    <w:rsid w:val="003650EB"/>
    <w:rsid w:val="00365DC1"/>
    <w:rsid w:val="003660FA"/>
    <w:rsid w:val="00366AFD"/>
    <w:rsid w:val="00366BFD"/>
    <w:rsid w:val="00366D80"/>
    <w:rsid w:val="00366E68"/>
    <w:rsid w:val="0036726D"/>
    <w:rsid w:val="00370918"/>
    <w:rsid w:val="00371191"/>
    <w:rsid w:val="003720D7"/>
    <w:rsid w:val="003720E0"/>
    <w:rsid w:val="003725CC"/>
    <w:rsid w:val="00372E1F"/>
    <w:rsid w:val="0037454D"/>
    <w:rsid w:val="003750A1"/>
    <w:rsid w:val="0037552F"/>
    <w:rsid w:val="0037582F"/>
    <w:rsid w:val="00375CF8"/>
    <w:rsid w:val="00375D2C"/>
    <w:rsid w:val="00377042"/>
    <w:rsid w:val="0037720D"/>
    <w:rsid w:val="00377AD3"/>
    <w:rsid w:val="00377B96"/>
    <w:rsid w:val="00380ED1"/>
    <w:rsid w:val="00381082"/>
    <w:rsid w:val="00381284"/>
    <w:rsid w:val="0038145C"/>
    <w:rsid w:val="00381543"/>
    <w:rsid w:val="00381782"/>
    <w:rsid w:val="003819FA"/>
    <w:rsid w:val="00381A98"/>
    <w:rsid w:val="003821B0"/>
    <w:rsid w:val="003822EF"/>
    <w:rsid w:val="003837C8"/>
    <w:rsid w:val="00384432"/>
    <w:rsid w:val="003848FC"/>
    <w:rsid w:val="00385042"/>
    <w:rsid w:val="0038616C"/>
    <w:rsid w:val="00386DDA"/>
    <w:rsid w:val="00386E56"/>
    <w:rsid w:val="00386EC9"/>
    <w:rsid w:val="00386F57"/>
    <w:rsid w:val="003870B2"/>
    <w:rsid w:val="00387D04"/>
    <w:rsid w:val="00387EB2"/>
    <w:rsid w:val="003913BF"/>
    <w:rsid w:val="003919E3"/>
    <w:rsid w:val="00391F0D"/>
    <w:rsid w:val="003921C9"/>
    <w:rsid w:val="00393187"/>
    <w:rsid w:val="003935DC"/>
    <w:rsid w:val="00394320"/>
    <w:rsid w:val="0039489B"/>
    <w:rsid w:val="00395136"/>
    <w:rsid w:val="003951A5"/>
    <w:rsid w:val="0039610D"/>
    <w:rsid w:val="0039694A"/>
    <w:rsid w:val="003976FC"/>
    <w:rsid w:val="003A04F1"/>
    <w:rsid w:val="003A0F99"/>
    <w:rsid w:val="003A1F44"/>
    <w:rsid w:val="003A22EF"/>
    <w:rsid w:val="003A2C58"/>
    <w:rsid w:val="003A311B"/>
    <w:rsid w:val="003A388F"/>
    <w:rsid w:val="003A3A6E"/>
    <w:rsid w:val="003A3BBB"/>
    <w:rsid w:val="003A3D86"/>
    <w:rsid w:val="003A3FC4"/>
    <w:rsid w:val="003A3FDF"/>
    <w:rsid w:val="003A4185"/>
    <w:rsid w:val="003A432A"/>
    <w:rsid w:val="003A43C3"/>
    <w:rsid w:val="003A5634"/>
    <w:rsid w:val="003A6522"/>
    <w:rsid w:val="003A65B1"/>
    <w:rsid w:val="003A66AE"/>
    <w:rsid w:val="003A69EC"/>
    <w:rsid w:val="003A7B37"/>
    <w:rsid w:val="003B02A3"/>
    <w:rsid w:val="003B0878"/>
    <w:rsid w:val="003B16C4"/>
    <w:rsid w:val="003B1930"/>
    <w:rsid w:val="003B2E57"/>
    <w:rsid w:val="003B32A3"/>
    <w:rsid w:val="003B379D"/>
    <w:rsid w:val="003B4467"/>
    <w:rsid w:val="003B4CEA"/>
    <w:rsid w:val="003B51C2"/>
    <w:rsid w:val="003B558A"/>
    <w:rsid w:val="003B5CD2"/>
    <w:rsid w:val="003B5F57"/>
    <w:rsid w:val="003B6103"/>
    <w:rsid w:val="003B61BF"/>
    <w:rsid w:val="003B650D"/>
    <w:rsid w:val="003B6E9D"/>
    <w:rsid w:val="003B737B"/>
    <w:rsid w:val="003B7777"/>
    <w:rsid w:val="003C0C9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9AD"/>
    <w:rsid w:val="003C6A57"/>
    <w:rsid w:val="003C6A58"/>
    <w:rsid w:val="003C6D5F"/>
    <w:rsid w:val="003C6E55"/>
    <w:rsid w:val="003C7018"/>
    <w:rsid w:val="003C7149"/>
    <w:rsid w:val="003C79FA"/>
    <w:rsid w:val="003C7C33"/>
    <w:rsid w:val="003D01CA"/>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FE"/>
    <w:rsid w:val="003E0B8D"/>
    <w:rsid w:val="003E0F33"/>
    <w:rsid w:val="003E0FD2"/>
    <w:rsid w:val="003E1938"/>
    <w:rsid w:val="003E1BB2"/>
    <w:rsid w:val="003E1D76"/>
    <w:rsid w:val="003E21D9"/>
    <w:rsid w:val="003E2409"/>
    <w:rsid w:val="003E3A8B"/>
    <w:rsid w:val="003E4883"/>
    <w:rsid w:val="003E5306"/>
    <w:rsid w:val="003E544D"/>
    <w:rsid w:val="003E62D6"/>
    <w:rsid w:val="003E6636"/>
    <w:rsid w:val="003E6A85"/>
    <w:rsid w:val="003E7344"/>
    <w:rsid w:val="003E75E1"/>
    <w:rsid w:val="003E7844"/>
    <w:rsid w:val="003F0212"/>
    <w:rsid w:val="003F0223"/>
    <w:rsid w:val="003F02EE"/>
    <w:rsid w:val="003F0BE6"/>
    <w:rsid w:val="003F1A0A"/>
    <w:rsid w:val="003F1DCA"/>
    <w:rsid w:val="003F1F88"/>
    <w:rsid w:val="003F30EF"/>
    <w:rsid w:val="003F348D"/>
    <w:rsid w:val="003F40F1"/>
    <w:rsid w:val="003F45AE"/>
    <w:rsid w:val="003F4F97"/>
    <w:rsid w:val="003F51EC"/>
    <w:rsid w:val="003F52B3"/>
    <w:rsid w:val="003F5592"/>
    <w:rsid w:val="003F5A7E"/>
    <w:rsid w:val="003F5D62"/>
    <w:rsid w:val="003F60CD"/>
    <w:rsid w:val="003F6AA9"/>
    <w:rsid w:val="003F6BFA"/>
    <w:rsid w:val="003F6DB5"/>
    <w:rsid w:val="003F6E69"/>
    <w:rsid w:val="003F6E73"/>
    <w:rsid w:val="003F73AE"/>
    <w:rsid w:val="003F7451"/>
    <w:rsid w:val="003F758F"/>
    <w:rsid w:val="003F77AC"/>
    <w:rsid w:val="00400050"/>
    <w:rsid w:val="0040027A"/>
    <w:rsid w:val="004004AA"/>
    <w:rsid w:val="00400FD4"/>
    <w:rsid w:val="004012CA"/>
    <w:rsid w:val="00401559"/>
    <w:rsid w:val="00401BC4"/>
    <w:rsid w:val="0040223A"/>
    <w:rsid w:val="004023CD"/>
    <w:rsid w:val="00402A5B"/>
    <w:rsid w:val="00402C0E"/>
    <w:rsid w:val="004034A8"/>
    <w:rsid w:val="00403EE1"/>
    <w:rsid w:val="0040469F"/>
    <w:rsid w:val="00404FCE"/>
    <w:rsid w:val="004052FE"/>
    <w:rsid w:val="0040570B"/>
    <w:rsid w:val="004057F1"/>
    <w:rsid w:val="00405B51"/>
    <w:rsid w:val="00406C6D"/>
    <w:rsid w:val="00407199"/>
    <w:rsid w:val="0040776C"/>
    <w:rsid w:val="00407D53"/>
    <w:rsid w:val="0041273C"/>
    <w:rsid w:val="004127F3"/>
    <w:rsid w:val="00412810"/>
    <w:rsid w:val="00412B4E"/>
    <w:rsid w:val="00412EB1"/>
    <w:rsid w:val="004130F7"/>
    <w:rsid w:val="00413A20"/>
    <w:rsid w:val="00413E1F"/>
    <w:rsid w:val="00413F4B"/>
    <w:rsid w:val="00414671"/>
    <w:rsid w:val="00414771"/>
    <w:rsid w:val="00414B84"/>
    <w:rsid w:val="0041505A"/>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285E"/>
    <w:rsid w:val="00433FA1"/>
    <w:rsid w:val="00433FF1"/>
    <w:rsid w:val="0043421D"/>
    <w:rsid w:val="004347CA"/>
    <w:rsid w:val="00434967"/>
    <w:rsid w:val="00434A90"/>
    <w:rsid w:val="004356B3"/>
    <w:rsid w:val="004357B2"/>
    <w:rsid w:val="00435C1D"/>
    <w:rsid w:val="004372F5"/>
    <w:rsid w:val="0043741C"/>
    <w:rsid w:val="004403B2"/>
    <w:rsid w:val="00441167"/>
    <w:rsid w:val="004412A1"/>
    <w:rsid w:val="00441945"/>
    <w:rsid w:val="00441AB0"/>
    <w:rsid w:val="00441C3C"/>
    <w:rsid w:val="00442325"/>
    <w:rsid w:val="004425F1"/>
    <w:rsid w:val="0044269F"/>
    <w:rsid w:val="004434C6"/>
    <w:rsid w:val="00443F05"/>
    <w:rsid w:val="0044400B"/>
    <w:rsid w:val="004445BB"/>
    <w:rsid w:val="00445139"/>
    <w:rsid w:val="00445A76"/>
    <w:rsid w:val="00445D1B"/>
    <w:rsid w:val="00445F50"/>
    <w:rsid w:val="00446778"/>
    <w:rsid w:val="004472B6"/>
    <w:rsid w:val="00447A15"/>
    <w:rsid w:val="00450B65"/>
    <w:rsid w:val="00450F1F"/>
    <w:rsid w:val="004511D9"/>
    <w:rsid w:val="00451A93"/>
    <w:rsid w:val="00451D74"/>
    <w:rsid w:val="004529A7"/>
    <w:rsid w:val="00453D2C"/>
    <w:rsid w:val="004543AB"/>
    <w:rsid w:val="004545A0"/>
    <w:rsid w:val="0045489C"/>
    <w:rsid w:val="00454D5B"/>
    <w:rsid w:val="00454E5E"/>
    <w:rsid w:val="00456585"/>
    <w:rsid w:val="004571FD"/>
    <w:rsid w:val="00457599"/>
    <w:rsid w:val="004575BF"/>
    <w:rsid w:val="00457AF3"/>
    <w:rsid w:val="0046001C"/>
    <w:rsid w:val="004603F1"/>
    <w:rsid w:val="00461303"/>
    <w:rsid w:val="00461ADF"/>
    <w:rsid w:val="00461C34"/>
    <w:rsid w:val="00461EE1"/>
    <w:rsid w:val="00461FD7"/>
    <w:rsid w:val="0046245C"/>
    <w:rsid w:val="00462E1B"/>
    <w:rsid w:val="00462F0D"/>
    <w:rsid w:val="004631FD"/>
    <w:rsid w:val="00463DA1"/>
    <w:rsid w:val="00463ECE"/>
    <w:rsid w:val="00464FDA"/>
    <w:rsid w:val="00465518"/>
    <w:rsid w:val="00466812"/>
    <w:rsid w:val="00466C62"/>
    <w:rsid w:val="00466CA4"/>
    <w:rsid w:val="00466E02"/>
    <w:rsid w:val="00467254"/>
    <w:rsid w:val="00467540"/>
    <w:rsid w:val="00467781"/>
    <w:rsid w:val="00467EF2"/>
    <w:rsid w:val="00470028"/>
    <w:rsid w:val="00470E19"/>
    <w:rsid w:val="004718E2"/>
    <w:rsid w:val="00472BD9"/>
    <w:rsid w:val="00473069"/>
    <w:rsid w:val="00473135"/>
    <w:rsid w:val="0047392F"/>
    <w:rsid w:val="0047546E"/>
    <w:rsid w:val="004757DF"/>
    <w:rsid w:val="00476B77"/>
    <w:rsid w:val="00476D40"/>
    <w:rsid w:val="00476F5C"/>
    <w:rsid w:val="00476F6F"/>
    <w:rsid w:val="00477FB5"/>
    <w:rsid w:val="004801B8"/>
    <w:rsid w:val="0048101C"/>
    <w:rsid w:val="00481298"/>
    <w:rsid w:val="00481B7D"/>
    <w:rsid w:val="00481CB8"/>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3E08"/>
    <w:rsid w:val="004940ED"/>
    <w:rsid w:val="00494331"/>
    <w:rsid w:val="00494BA4"/>
    <w:rsid w:val="00494EBE"/>
    <w:rsid w:val="00495560"/>
    <w:rsid w:val="00495E07"/>
    <w:rsid w:val="004962A5"/>
    <w:rsid w:val="0049794C"/>
    <w:rsid w:val="004A08C7"/>
    <w:rsid w:val="004A099E"/>
    <w:rsid w:val="004A0D39"/>
    <w:rsid w:val="004A15AD"/>
    <w:rsid w:val="004A1714"/>
    <w:rsid w:val="004A1C5B"/>
    <w:rsid w:val="004A20E0"/>
    <w:rsid w:val="004A212B"/>
    <w:rsid w:val="004A21D0"/>
    <w:rsid w:val="004A26E6"/>
    <w:rsid w:val="004A3023"/>
    <w:rsid w:val="004A3185"/>
    <w:rsid w:val="004A31E9"/>
    <w:rsid w:val="004A3235"/>
    <w:rsid w:val="004A3C31"/>
    <w:rsid w:val="004A48B2"/>
    <w:rsid w:val="004A5014"/>
    <w:rsid w:val="004A5036"/>
    <w:rsid w:val="004A504E"/>
    <w:rsid w:val="004A508D"/>
    <w:rsid w:val="004A5823"/>
    <w:rsid w:val="004A6247"/>
    <w:rsid w:val="004A7204"/>
    <w:rsid w:val="004A7233"/>
    <w:rsid w:val="004A75F4"/>
    <w:rsid w:val="004A7C5D"/>
    <w:rsid w:val="004B0127"/>
    <w:rsid w:val="004B019D"/>
    <w:rsid w:val="004B27E0"/>
    <w:rsid w:val="004B2877"/>
    <w:rsid w:val="004B29F2"/>
    <w:rsid w:val="004B3289"/>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C9C"/>
    <w:rsid w:val="004B7CFC"/>
    <w:rsid w:val="004C092A"/>
    <w:rsid w:val="004C0DD4"/>
    <w:rsid w:val="004C1050"/>
    <w:rsid w:val="004C1363"/>
    <w:rsid w:val="004C2405"/>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707"/>
    <w:rsid w:val="004C6957"/>
    <w:rsid w:val="004C70D2"/>
    <w:rsid w:val="004C784C"/>
    <w:rsid w:val="004C7AC7"/>
    <w:rsid w:val="004C7CED"/>
    <w:rsid w:val="004C7E1F"/>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12E"/>
    <w:rsid w:val="004E16B2"/>
    <w:rsid w:val="004E19FD"/>
    <w:rsid w:val="004E218B"/>
    <w:rsid w:val="004E2B0E"/>
    <w:rsid w:val="004E2C92"/>
    <w:rsid w:val="004E3445"/>
    <w:rsid w:val="004E3952"/>
    <w:rsid w:val="004E4B9F"/>
    <w:rsid w:val="004E5E6C"/>
    <w:rsid w:val="004E62E1"/>
    <w:rsid w:val="004E6B0C"/>
    <w:rsid w:val="004E6C9A"/>
    <w:rsid w:val="004E70C1"/>
    <w:rsid w:val="004F0469"/>
    <w:rsid w:val="004F1C0F"/>
    <w:rsid w:val="004F1D2C"/>
    <w:rsid w:val="004F1FD4"/>
    <w:rsid w:val="004F2069"/>
    <w:rsid w:val="004F31FF"/>
    <w:rsid w:val="004F43F1"/>
    <w:rsid w:val="004F48F6"/>
    <w:rsid w:val="004F4F15"/>
    <w:rsid w:val="004F550B"/>
    <w:rsid w:val="004F6882"/>
    <w:rsid w:val="004F69C5"/>
    <w:rsid w:val="004F6D5B"/>
    <w:rsid w:val="004F71FA"/>
    <w:rsid w:val="004F7351"/>
    <w:rsid w:val="004F7C33"/>
    <w:rsid w:val="005005D1"/>
    <w:rsid w:val="00500756"/>
    <w:rsid w:val="005014A9"/>
    <w:rsid w:val="0050220E"/>
    <w:rsid w:val="00503101"/>
    <w:rsid w:val="00503883"/>
    <w:rsid w:val="005051A9"/>
    <w:rsid w:val="00505E54"/>
    <w:rsid w:val="005065A4"/>
    <w:rsid w:val="00507889"/>
    <w:rsid w:val="005079BC"/>
    <w:rsid w:val="005105B7"/>
    <w:rsid w:val="0051061B"/>
    <w:rsid w:val="005107E5"/>
    <w:rsid w:val="00511AF5"/>
    <w:rsid w:val="00512112"/>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2357"/>
    <w:rsid w:val="00522A1B"/>
    <w:rsid w:val="00522ABF"/>
    <w:rsid w:val="00522B92"/>
    <w:rsid w:val="00523032"/>
    <w:rsid w:val="005235DA"/>
    <w:rsid w:val="0052373A"/>
    <w:rsid w:val="00523843"/>
    <w:rsid w:val="00523AA8"/>
    <w:rsid w:val="00523AF1"/>
    <w:rsid w:val="0052426E"/>
    <w:rsid w:val="00524572"/>
    <w:rsid w:val="00524822"/>
    <w:rsid w:val="005248E1"/>
    <w:rsid w:val="005251F3"/>
    <w:rsid w:val="005263AE"/>
    <w:rsid w:val="00526F12"/>
    <w:rsid w:val="0052733E"/>
    <w:rsid w:val="00527593"/>
    <w:rsid w:val="005276B9"/>
    <w:rsid w:val="00527A72"/>
    <w:rsid w:val="00527E73"/>
    <w:rsid w:val="0053068C"/>
    <w:rsid w:val="00530C2B"/>
    <w:rsid w:val="00531442"/>
    <w:rsid w:val="00531CF2"/>
    <w:rsid w:val="00532384"/>
    <w:rsid w:val="00532475"/>
    <w:rsid w:val="00532F76"/>
    <w:rsid w:val="005337F5"/>
    <w:rsid w:val="00533BA1"/>
    <w:rsid w:val="00533FD9"/>
    <w:rsid w:val="00534379"/>
    <w:rsid w:val="00534382"/>
    <w:rsid w:val="00534CEA"/>
    <w:rsid w:val="00535526"/>
    <w:rsid w:val="0053628F"/>
    <w:rsid w:val="005366D1"/>
    <w:rsid w:val="00540A27"/>
    <w:rsid w:val="00540BF2"/>
    <w:rsid w:val="005416D6"/>
    <w:rsid w:val="005417FF"/>
    <w:rsid w:val="00542138"/>
    <w:rsid w:val="00542C65"/>
    <w:rsid w:val="005430A5"/>
    <w:rsid w:val="00543F0A"/>
    <w:rsid w:val="0054465E"/>
    <w:rsid w:val="0054549D"/>
    <w:rsid w:val="005455F5"/>
    <w:rsid w:val="00545B55"/>
    <w:rsid w:val="0054647D"/>
    <w:rsid w:val="00546BE0"/>
    <w:rsid w:val="00547C05"/>
    <w:rsid w:val="00547DEE"/>
    <w:rsid w:val="00550451"/>
    <w:rsid w:val="00551407"/>
    <w:rsid w:val="00551FD6"/>
    <w:rsid w:val="0055210C"/>
    <w:rsid w:val="005521C7"/>
    <w:rsid w:val="00552B5A"/>
    <w:rsid w:val="00553402"/>
    <w:rsid w:val="00553A43"/>
    <w:rsid w:val="005544E8"/>
    <w:rsid w:val="0055466E"/>
    <w:rsid w:val="00555137"/>
    <w:rsid w:val="005553CE"/>
    <w:rsid w:val="0055555B"/>
    <w:rsid w:val="00555C03"/>
    <w:rsid w:val="005561C1"/>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441"/>
    <w:rsid w:val="005627E3"/>
    <w:rsid w:val="00563866"/>
    <w:rsid w:val="00563942"/>
    <w:rsid w:val="00563FC0"/>
    <w:rsid w:val="005643F4"/>
    <w:rsid w:val="005649CC"/>
    <w:rsid w:val="005651AD"/>
    <w:rsid w:val="005654A9"/>
    <w:rsid w:val="005658F0"/>
    <w:rsid w:val="00566226"/>
    <w:rsid w:val="00566719"/>
    <w:rsid w:val="00567639"/>
    <w:rsid w:val="0056774A"/>
    <w:rsid w:val="0056776A"/>
    <w:rsid w:val="00567BED"/>
    <w:rsid w:val="00567ECB"/>
    <w:rsid w:val="00570552"/>
    <w:rsid w:val="00570C1C"/>
    <w:rsid w:val="00570FA6"/>
    <w:rsid w:val="005714E9"/>
    <w:rsid w:val="00572199"/>
    <w:rsid w:val="005721AB"/>
    <w:rsid w:val="00572365"/>
    <w:rsid w:val="0057284F"/>
    <w:rsid w:val="005728DC"/>
    <w:rsid w:val="00572918"/>
    <w:rsid w:val="00572A1F"/>
    <w:rsid w:val="00573164"/>
    <w:rsid w:val="005735A5"/>
    <w:rsid w:val="00573636"/>
    <w:rsid w:val="00574B14"/>
    <w:rsid w:val="00574B38"/>
    <w:rsid w:val="005753F5"/>
    <w:rsid w:val="005759F3"/>
    <w:rsid w:val="0057607D"/>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50E4"/>
    <w:rsid w:val="0058513D"/>
    <w:rsid w:val="0058542A"/>
    <w:rsid w:val="005872C1"/>
    <w:rsid w:val="0058746D"/>
    <w:rsid w:val="00587680"/>
    <w:rsid w:val="00587896"/>
    <w:rsid w:val="00587936"/>
    <w:rsid w:val="00587E7F"/>
    <w:rsid w:val="00590296"/>
    <w:rsid w:val="005903F8"/>
    <w:rsid w:val="00590AD8"/>
    <w:rsid w:val="00591329"/>
    <w:rsid w:val="005918AF"/>
    <w:rsid w:val="00592A13"/>
    <w:rsid w:val="00593452"/>
    <w:rsid w:val="00593CA9"/>
    <w:rsid w:val="005941FD"/>
    <w:rsid w:val="00594769"/>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577B"/>
    <w:rsid w:val="005A5E6A"/>
    <w:rsid w:val="005A67F3"/>
    <w:rsid w:val="005A6E74"/>
    <w:rsid w:val="005A716C"/>
    <w:rsid w:val="005A75BA"/>
    <w:rsid w:val="005A786A"/>
    <w:rsid w:val="005A7AE9"/>
    <w:rsid w:val="005A7B34"/>
    <w:rsid w:val="005B0811"/>
    <w:rsid w:val="005B087A"/>
    <w:rsid w:val="005B0970"/>
    <w:rsid w:val="005B1010"/>
    <w:rsid w:val="005B1BA2"/>
    <w:rsid w:val="005B1C48"/>
    <w:rsid w:val="005B1F8E"/>
    <w:rsid w:val="005B20D0"/>
    <w:rsid w:val="005B2A5C"/>
    <w:rsid w:val="005B2EFE"/>
    <w:rsid w:val="005B33CE"/>
    <w:rsid w:val="005B37F1"/>
    <w:rsid w:val="005B4016"/>
    <w:rsid w:val="005B4056"/>
    <w:rsid w:val="005B446D"/>
    <w:rsid w:val="005B5254"/>
    <w:rsid w:val="005B5CDC"/>
    <w:rsid w:val="005B7021"/>
    <w:rsid w:val="005B72F4"/>
    <w:rsid w:val="005B73A8"/>
    <w:rsid w:val="005B77D1"/>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6DE8"/>
    <w:rsid w:val="005C76D7"/>
    <w:rsid w:val="005C7C27"/>
    <w:rsid w:val="005D07DF"/>
    <w:rsid w:val="005D1275"/>
    <w:rsid w:val="005D173D"/>
    <w:rsid w:val="005D2D57"/>
    <w:rsid w:val="005D322F"/>
    <w:rsid w:val="005D3838"/>
    <w:rsid w:val="005D3FC4"/>
    <w:rsid w:val="005D41D3"/>
    <w:rsid w:val="005D44B9"/>
    <w:rsid w:val="005D47F3"/>
    <w:rsid w:val="005D4CFA"/>
    <w:rsid w:val="005D56BB"/>
    <w:rsid w:val="005D571D"/>
    <w:rsid w:val="005D5737"/>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62F"/>
    <w:rsid w:val="005E6375"/>
    <w:rsid w:val="005E6682"/>
    <w:rsid w:val="005E684E"/>
    <w:rsid w:val="005E6E40"/>
    <w:rsid w:val="005E7AFA"/>
    <w:rsid w:val="005E7DD1"/>
    <w:rsid w:val="005F0F58"/>
    <w:rsid w:val="005F15EF"/>
    <w:rsid w:val="005F1887"/>
    <w:rsid w:val="005F1E30"/>
    <w:rsid w:val="005F21D2"/>
    <w:rsid w:val="005F22AD"/>
    <w:rsid w:val="005F248C"/>
    <w:rsid w:val="005F2875"/>
    <w:rsid w:val="005F29D6"/>
    <w:rsid w:val="005F2DC3"/>
    <w:rsid w:val="005F2DE1"/>
    <w:rsid w:val="005F3CEB"/>
    <w:rsid w:val="005F3E14"/>
    <w:rsid w:val="005F4267"/>
    <w:rsid w:val="005F46E5"/>
    <w:rsid w:val="005F4EC3"/>
    <w:rsid w:val="005F511E"/>
    <w:rsid w:val="005F5194"/>
    <w:rsid w:val="005F5575"/>
    <w:rsid w:val="005F5ADF"/>
    <w:rsid w:val="005F5B27"/>
    <w:rsid w:val="005F6045"/>
    <w:rsid w:val="005F628F"/>
    <w:rsid w:val="005F6EEC"/>
    <w:rsid w:val="005F72A6"/>
    <w:rsid w:val="005F78A4"/>
    <w:rsid w:val="005F7D5B"/>
    <w:rsid w:val="005F7D80"/>
    <w:rsid w:val="00600136"/>
    <w:rsid w:val="006005EE"/>
    <w:rsid w:val="0060123E"/>
    <w:rsid w:val="00601D2E"/>
    <w:rsid w:val="00601E68"/>
    <w:rsid w:val="00602689"/>
    <w:rsid w:val="0060282E"/>
    <w:rsid w:val="00602F78"/>
    <w:rsid w:val="006033E3"/>
    <w:rsid w:val="00603759"/>
    <w:rsid w:val="00604A2C"/>
    <w:rsid w:val="00604C9F"/>
    <w:rsid w:val="00604DEC"/>
    <w:rsid w:val="006051E6"/>
    <w:rsid w:val="00605224"/>
    <w:rsid w:val="00605933"/>
    <w:rsid w:val="006060E9"/>
    <w:rsid w:val="00606B1F"/>
    <w:rsid w:val="00606C0F"/>
    <w:rsid w:val="00606D60"/>
    <w:rsid w:val="006072B6"/>
    <w:rsid w:val="0060738D"/>
    <w:rsid w:val="00607F7E"/>
    <w:rsid w:val="00611598"/>
    <w:rsid w:val="006125F4"/>
    <w:rsid w:val="00612616"/>
    <w:rsid w:val="00612E56"/>
    <w:rsid w:val="0061340F"/>
    <w:rsid w:val="006137C9"/>
    <w:rsid w:val="006139E3"/>
    <w:rsid w:val="00613A32"/>
    <w:rsid w:val="00613FA7"/>
    <w:rsid w:val="006153AB"/>
    <w:rsid w:val="00615B84"/>
    <w:rsid w:val="00615F04"/>
    <w:rsid w:val="00616C21"/>
    <w:rsid w:val="00616F8E"/>
    <w:rsid w:val="006172B6"/>
    <w:rsid w:val="00617571"/>
    <w:rsid w:val="00617CF9"/>
    <w:rsid w:val="006204F3"/>
    <w:rsid w:val="006206DD"/>
    <w:rsid w:val="00620DA9"/>
    <w:rsid w:val="00621A38"/>
    <w:rsid w:val="00621FBF"/>
    <w:rsid w:val="00622F78"/>
    <w:rsid w:val="0062311A"/>
    <w:rsid w:val="00623155"/>
    <w:rsid w:val="006231BB"/>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284"/>
    <w:rsid w:val="0063044C"/>
    <w:rsid w:val="00630B64"/>
    <w:rsid w:val="00630DF7"/>
    <w:rsid w:val="00630F66"/>
    <w:rsid w:val="00630FB8"/>
    <w:rsid w:val="0063125C"/>
    <w:rsid w:val="0063143E"/>
    <w:rsid w:val="0063160D"/>
    <w:rsid w:val="00632C4D"/>
    <w:rsid w:val="0063348A"/>
    <w:rsid w:val="00633727"/>
    <w:rsid w:val="00633C82"/>
    <w:rsid w:val="00633D34"/>
    <w:rsid w:val="00633E07"/>
    <w:rsid w:val="006344C0"/>
    <w:rsid w:val="00635ADE"/>
    <w:rsid w:val="00635CE4"/>
    <w:rsid w:val="00636627"/>
    <w:rsid w:val="00636635"/>
    <w:rsid w:val="00636812"/>
    <w:rsid w:val="00636945"/>
    <w:rsid w:val="00637FD8"/>
    <w:rsid w:val="006406AA"/>
    <w:rsid w:val="00640EE1"/>
    <w:rsid w:val="0064162F"/>
    <w:rsid w:val="0064274D"/>
    <w:rsid w:val="00643B07"/>
    <w:rsid w:val="00644D88"/>
    <w:rsid w:val="00644F38"/>
    <w:rsid w:val="0064502D"/>
    <w:rsid w:val="00645F06"/>
    <w:rsid w:val="00645F28"/>
    <w:rsid w:val="00646E28"/>
    <w:rsid w:val="0064703A"/>
    <w:rsid w:val="006471FB"/>
    <w:rsid w:val="006475D0"/>
    <w:rsid w:val="00647996"/>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66E5"/>
    <w:rsid w:val="0065759A"/>
    <w:rsid w:val="00660133"/>
    <w:rsid w:val="006609C0"/>
    <w:rsid w:val="00660F77"/>
    <w:rsid w:val="006621E9"/>
    <w:rsid w:val="0066269A"/>
    <w:rsid w:val="006637CB"/>
    <w:rsid w:val="00663B58"/>
    <w:rsid w:val="00663BEC"/>
    <w:rsid w:val="00664B6C"/>
    <w:rsid w:val="00664D3D"/>
    <w:rsid w:val="00665091"/>
    <w:rsid w:val="006656BE"/>
    <w:rsid w:val="00666B78"/>
    <w:rsid w:val="00667269"/>
    <w:rsid w:val="006672AD"/>
    <w:rsid w:val="006677D7"/>
    <w:rsid w:val="00670E02"/>
    <w:rsid w:val="00670EEA"/>
    <w:rsid w:val="0067116B"/>
    <w:rsid w:val="006713AF"/>
    <w:rsid w:val="0067189C"/>
    <w:rsid w:val="00671B43"/>
    <w:rsid w:val="00671DDA"/>
    <w:rsid w:val="00672845"/>
    <w:rsid w:val="00672B23"/>
    <w:rsid w:val="00672FE3"/>
    <w:rsid w:val="00673BB8"/>
    <w:rsid w:val="00673D39"/>
    <w:rsid w:val="00673F2B"/>
    <w:rsid w:val="0067431F"/>
    <w:rsid w:val="006749AF"/>
    <w:rsid w:val="00674BED"/>
    <w:rsid w:val="00674D78"/>
    <w:rsid w:val="006756C6"/>
    <w:rsid w:val="00676937"/>
    <w:rsid w:val="00676D3D"/>
    <w:rsid w:val="00677620"/>
    <w:rsid w:val="006776BD"/>
    <w:rsid w:val="00677B3F"/>
    <w:rsid w:val="0068004E"/>
    <w:rsid w:val="006803E1"/>
    <w:rsid w:val="00681774"/>
    <w:rsid w:val="00681FC4"/>
    <w:rsid w:val="00682049"/>
    <w:rsid w:val="0068233B"/>
    <w:rsid w:val="00682EB5"/>
    <w:rsid w:val="0068315A"/>
    <w:rsid w:val="006834F0"/>
    <w:rsid w:val="0068387E"/>
    <w:rsid w:val="006838B6"/>
    <w:rsid w:val="00683904"/>
    <w:rsid w:val="006840BA"/>
    <w:rsid w:val="006842A5"/>
    <w:rsid w:val="006846CE"/>
    <w:rsid w:val="006849DC"/>
    <w:rsid w:val="00685405"/>
    <w:rsid w:val="006857A7"/>
    <w:rsid w:val="00686D2E"/>
    <w:rsid w:val="00687ACE"/>
    <w:rsid w:val="00690700"/>
    <w:rsid w:val="0069102A"/>
    <w:rsid w:val="00691445"/>
    <w:rsid w:val="0069314A"/>
    <w:rsid w:val="00693263"/>
    <w:rsid w:val="00693296"/>
    <w:rsid w:val="006936EA"/>
    <w:rsid w:val="0069400F"/>
    <w:rsid w:val="006957CA"/>
    <w:rsid w:val="00695976"/>
    <w:rsid w:val="006960F1"/>
    <w:rsid w:val="00696229"/>
    <w:rsid w:val="006963CB"/>
    <w:rsid w:val="00696D9D"/>
    <w:rsid w:val="00697587"/>
    <w:rsid w:val="00697666"/>
    <w:rsid w:val="00697CC0"/>
    <w:rsid w:val="00697E72"/>
    <w:rsid w:val="006A0CC1"/>
    <w:rsid w:val="006A24A6"/>
    <w:rsid w:val="006A24AC"/>
    <w:rsid w:val="006A29E7"/>
    <w:rsid w:val="006A2AA7"/>
    <w:rsid w:val="006A2AB8"/>
    <w:rsid w:val="006A2B58"/>
    <w:rsid w:val="006A2C7E"/>
    <w:rsid w:val="006A41E6"/>
    <w:rsid w:val="006A4958"/>
    <w:rsid w:val="006A52A2"/>
    <w:rsid w:val="006A58D8"/>
    <w:rsid w:val="006A5C36"/>
    <w:rsid w:val="006A5DD7"/>
    <w:rsid w:val="006A5E0F"/>
    <w:rsid w:val="006A6626"/>
    <w:rsid w:val="006A7C1E"/>
    <w:rsid w:val="006A7CFC"/>
    <w:rsid w:val="006B057C"/>
    <w:rsid w:val="006B0671"/>
    <w:rsid w:val="006B0EE8"/>
    <w:rsid w:val="006B108A"/>
    <w:rsid w:val="006B1D87"/>
    <w:rsid w:val="006B2798"/>
    <w:rsid w:val="006B2831"/>
    <w:rsid w:val="006B2ADA"/>
    <w:rsid w:val="006B2C1E"/>
    <w:rsid w:val="006B2DB9"/>
    <w:rsid w:val="006B3B43"/>
    <w:rsid w:val="006B4B48"/>
    <w:rsid w:val="006B53B7"/>
    <w:rsid w:val="006B60D9"/>
    <w:rsid w:val="006B6423"/>
    <w:rsid w:val="006B6960"/>
    <w:rsid w:val="006B762D"/>
    <w:rsid w:val="006B7830"/>
    <w:rsid w:val="006B78F8"/>
    <w:rsid w:val="006C02A6"/>
    <w:rsid w:val="006C13FE"/>
    <w:rsid w:val="006C1952"/>
    <w:rsid w:val="006C23AF"/>
    <w:rsid w:val="006C2C44"/>
    <w:rsid w:val="006C2DC7"/>
    <w:rsid w:val="006C319C"/>
    <w:rsid w:val="006C3280"/>
    <w:rsid w:val="006C46EF"/>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4DBE"/>
    <w:rsid w:val="006D5A43"/>
    <w:rsid w:val="006D5F81"/>
    <w:rsid w:val="006D5FD1"/>
    <w:rsid w:val="006D6152"/>
    <w:rsid w:val="006D6FA1"/>
    <w:rsid w:val="006D7697"/>
    <w:rsid w:val="006D76D8"/>
    <w:rsid w:val="006D791C"/>
    <w:rsid w:val="006E04D1"/>
    <w:rsid w:val="006E057B"/>
    <w:rsid w:val="006E0CD7"/>
    <w:rsid w:val="006E10D1"/>
    <w:rsid w:val="006E16C9"/>
    <w:rsid w:val="006E1C27"/>
    <w:rsid w:val="006E26B9"/>
    <w:rsid w:val="006E2A54"/>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3B7"/>
    <w:rsid w:val="006F6FFC"/>
    <w:rsid w:val="006F74C5"/>
    <w:rsid w:val="006F7C76"/>
    <w:rsid w:val="00701153"/>
    <w:rsid w:val="0070134C"/>
    <w:rsid w:val="007014F8"/>
    <w:rsid w:val="007016D8"/>
    <w:rsid w:val="0070176A"/>
    <w:rsid w:val="00701E01"/>
    <w:rsid w:val="00702DA3"/>
    <w:rsid w:val="007032EF"/>
    <w:rsid w:val="007044E5"/>
    <w:rsid w:val="00705900"/>
    <w:rsid w:val="00705943"/>
    <w:rsid w:val="00707856"/>
    <w:rsid w:val="00707D90"/>
    <w:rsid w:val="00707DBF"/>
    <w:rsid w:val="00710E9E"/>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2165B"/>
    <w:rsid w:val="0072189C"/>
    <w:rsid w:val="007218BA"/>
    <w:rsid w:val="0072201B"/>
    <w:rsid w:val="00723BD9"/>
    <w:rsid w:val="00723FD3"/>
    <w:rsid w:val="007241A8"/>
    <w:rsid w:val="00724299"/>
    <w:rsid w:val="00724E3A"/>
    <w:rsid w:val="00725071"/>
    <w:rsid w:val="007250F3"/>
    <w:rsid w:val="00725326"/>
    <w:rsid w:val="0072534F"/>
    <w:rsid w:val="0072550C"/>
    <w:rsid w:val="007255D0"/>
    <w:rsid w:val="00725BD5"/>
    <w:rsid w:val="00725FC0"/>
    <w:rsid w:val="00726102"/>
    <w:rsid w:val="007266BA"/>
    <w:rsid w:val="0072789D"/>
    <w:rsid w:val="00727AF6"/>
    <w:rsid w:val="0073076E"/>
    <w:rsid w:val="00730A33"/>
    <w:rsid w:val="00730B52"/>
    <w:rsid w:val="007310CB"/>
    <w:rsid w:val="00731B40"/>
    <w:rsid w:val="00732070"/>
    <w:rsid w:val="0073215F"/>
    <w:rsid w:val="00732D93"/>
    <w:rsid w:val="0073326C"/>
    <w:rsid w:val="00733346"/>
    <w:rsid w:val="0073357B"/>
    <w:rsid w:val="007335A5"/>
    <w:rsid w:val="00733726"/>
    <w:rsid w:val="0073395C"/>
    <w:rsid w:val="00734730"/>
    <w:rsid w:val="0073497E"/>
    <w:rsid w:val="00734AE6"/>
    <w:rsid w:val="00734C45"/>
    <w:rsid w:val="00734D5A"/>
    <w:rsid w:val="00735676"/>
    <w:rsid w:val="00735908"/>
    <w:rsid w:val="00737335"/>
    <w:rsid w:val="00737CC9"/>
    <w:rsid w:val="00737D33"/>
    <w:rsid w:val="00740311"/>
    <w:rsid w:val="00740546"/>
    <w:rsid w:val="00741413"/>
    <w:rsid w:val="00741464"/>
    <w:rsid w:val="007419EB"/>
    <w:rsid w:val="00741D8B"/>
    <w:rsid w:val="00741F8B"/>
    <w:rsid w:val="00741FA4"/>
    <w:rsid w:val="0074262D"/>
    <w:rsid w:val="007427D6"/>
    <w:rsid w:val="00742B6A"/>
    <w:rsid w:val="00742DEE"/>
    <w:rsid w:val="00743062"/>
    <w:rsid w:val="007437C2"/>
    <w:rsid w:val="00743EFD"/>
    <w:rsid w:val="00743F97"/>
    <w:rsid w:val="0074423A"/>
    <w:rsid w:val="00744D7A"/>
    <w:rsid w:val="00744FFF"/>
    <w:rsid w:val="00745003"/>
    <w:rsid w:val="00745829"/>
    <w:rsid w:val="00745B8B"/>
    <w:rsid w:val="00746D43"/>
    <w:rsid w:val="00746FF3"/>
    <w:rsid w:val="0074709F"/>
    <w:rsid w:val="00747365"/>
    <w:rsid w:val="007475D7"/>
    <w:rsid w:val="007477DB"/>
    <w:rsid w:val="00747F79"/>
    <w:rsid w:val="007508EA"/>
    <w:rsid w:val="0075113D"/>
    <w:rsid w:val="00751752"/>
    <w:rsid w:val="007518D9"/>
    <w:rsid w:val="00751D83"/>
    <w:rsid w:val="0075227E"/>
    <w:rsid w:val="007524E8"/>
    <w:rsid w:val="00752774"/>
    <w:rsid w:val="0075315E"/>
    <w:rsid w:val="0075371F"/>
    <w:rsid w:val="007538B1"/>
    <w:rsid w:val="0075410B"/>
    <w:rsid w:val="0075491E"/>
    <w:rsid w:val="007555B0"/>
    <w:rsid w:val="00755CE1"/>
    <w:rsid w:val="0075687E"/>
    <w:rsid w:val="00756DF9"/>
    <w:rsid w:val="007572F7"/>
    <w:rsid w:val="00757313"/>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6B8A"/>
    <w:rsid w:val="00766D44"/>
    <w:rsid w:val="00766DE5"/>
    <w:rsid w:val="00767572"/>
    <w:rsid w:val="00767752"/>
    <w:rsid w:val="0077011F"/>
    <w:rsid w:val="007701D7"/>
    <w:rsid w:val="00770643"/>
    <w:rsid w:val="0077071F"/>
    <w:rsid w:val="00771012"/>
    <w:rsid w:val="00771E1D"/>
    <w:rsid w:val="0077280E"/>
    <w:rsid w:val="0077284B"/>
    <w:rsid w:val="0077321F"/>
    <w:rsid w:val="0077374D"/>
    <w:rsid w:val="007743DF"/>
    <w:rsid w:val="007754D8"/>
    <w:rsid w:val="007763AA"/>
    <w:rsid w:val="00776A8B"/>
    <w:rsid w:val="0077789E"/>
    <w:rsid w:val="00780210"/>
    <w:rsid w:val="0078138B"/>
    <w:rsid w:val="00781E64"/>
    <w:rsid w:val="00782109"/>
    <w:rsid w:val="00782C9A"/>
    <w:rsid w:val="00782D54"/>
    <w:rsid w:val="00783314"/>
    <w:rsid w:val="007833A8"/>
    <w:rsid w:val="007837E8"/>
    <w:rsid w:val="007838F2"/>
    <w:rsid w:val="00785436"/>
    <w:rsid w:val="00785469"/>
    <w:rsid w:val="00785BAE"/>
    <w:rsid w:val="00786520"/>
    <w:rsid w:val="0078749D"/>
    <w:rsid w:val="00787BE8"/>
    <w:rsid w:val="00787CF8"/>
    <w:rsid w:val="0079079B"/>
    <w:rsid w:val="00790836"/>
    <w:rsid w:val="00790D2F"/>
    <w:rsid w:val="007910C1"/>
    <w:rsid w:val="007916D2"/>
    <w:rsid w:val="00791841"/>
    <w:rsid w:val="00792211"/>
    <w:rsid w:val="00793198"/>
    <w:rsid w:val="0079353F"/>
    <w:rsid w:val="007938CC"/>
    <w:rsid w:val="00794113"/>
    <w:rsid w:val="00794CB7"/>
    <w:rsid w:val="00794FB7"/>
    <w:rsid w:val="00795283"/>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41F1"/>
    <w:rsid w:val="007A472F"/>
    <w:rsid w:val="007A4826"/>
    <w:rsid w:val="007A4916"/>
    <w:rsid w:val="007A4D61"/>
    <w:rsid w:val="007A79C7"/>
    <w:rsid w:val="007A7C37"/>
    <w:rsid w:val="007B0848"/>
    <w:rsid w:val="007B0A84"/>
    <w:rsid w:val="007B0C81"/>
    <w:rsid w:val="007B133A"/>
    <w:rsid w:val="007B1E9C"/>
    <w:rsid w:val="007B234E"/>
    <w:rsid w:val="007B427C"/>
    <w:rsid w:val="007B4882"/>
    <w:rsid w:val="007B4A12"/>
    <w:rsid w:val="007B4DD5"/>
    <w:rsid w:val="007B58F5"/>
    <w:rsid w:val="007B5A38"/>
    <w:rsid w:val="007B6475"/>
    <w:rsid w:val="007B71CE"/>
    <w:rsid w:val="007B78AA"/>
    <w:rsid w:val="007B7D6F"/>
    <w:rsid w:val="007C0C4D"/>
    <w:rsid w:val="007C1842"/>
    <w:rsid w:val="007C207A"/>
    <w:rsid w:val="007C2139"/>
    <w:rsid w:val="007C257E"/>
    <w:rsid w:val="007C2596"/>
    <w:rsid w:val="007C3028"/>
    <w:rsid w:val="007C383D"/>
    <w:rsid w:val="007C4AE8"/>
    <w:rsid w:val="007C500D"/>
    <w:rsid w:val="007C5023"/>
    <w:rsid w:val="007C5426"/>
    <w:rsid w:val="007C5FFC"/>
    <w:rsid w:val="007C63D6"/>
    <w:rsid w:val="007C668A"/>
    <w:rsid w:val="007C6F56"/>
    <w:rsid w:val="007C744B"/>
    <w:rsid w:val="007C7F97"/>
    <w:rsid w:val="007D08C3"/>
    <w:rsid w:val="007D1260"/>
    <w:rsid w:val="007D1576"/>
    <w:rsid w:val="007D1C8A"/>
    <w:rsid w:val="007D298E"/>
    <w:rsid w:val="007D2A0B"/>
    <w:rsid w:val="007D2C24"/>
    <w:rsid w:val="007D2D77"/>
    <w:rsid w:val="007D302A"/>
    <w:rsid w:val="007D31CF"/>
    <w:rsid w:val="007D3778"/>
    <w:rsid w:val="007D3B6D"/>
    <w:rsid w:val="007D4553"/>
    <w:rsid w:val="007D5613"/>
    <w:rsid w:val="007D56F0"/>
    <w:rsid w:val="007D5B63"/>
    <w:rsid w:val="007D5C11"/>
    <w:rsid w:val="007D6E17"/>
    <w:rsid w:val="007D7F0E"/>
    <w:rsid w:val="007E13EB"/>
    <w:rsid w:val="007E20D9"/>
    <w:rsid w:val="007E25BE"/>
    <w:rsid w:val="007E27D8"/>
    <w:rsid w:val="007E2FA7"/>
    <w:rsid w:val="007E326E"/>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7D03"/>
    <w:rsid w:val="007E7E41"/>
    <w:rsid w:val="007F0777"/>
    <w:rsid w:val="007F0E86"/>
    <w:rsid w:val="007F0F5B"/>
    <w:rsid w:val="007F1390"/>
    <w:rsid w:val="007F2707"/>
    <w:rsid w:val="007F2B54"/>
    <w:rsid w:val="007F2CD5"/>
    <w:rsid w:val="007F4058"/>
    <w:rsid w:val="007F43EF"/>
    <w:rsid w:val="007F4D78"/>
    <w:rsid w:val="007F5364"/>
    <w:rsid w:val="007F5C42"/>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C22"/>
    <w:rsid w:val="00807E7B"/>
    <w:rsid w:val="008102A8"/>
    <w:rsid w:val="008102D3"/>
    <w:rsid w:val="0081058C"/>
    <w:rsid w:val="0081073E"/>
    <w:rsid w:val="00811467"/>
    <w:rsid w:val="0081288C"/>
    <w:rsid w:val="0081288D"/>
    <w:rsid w:val="00812B86"/>
    <w:rsid w:val="00812CF9"/>
    <w:rsid w:val="00812F06"/>
    <w:rsid w:val="008130A6"/>
    <w:rsid w:val="00813908"/>
    <w:rsid w:val="00813EAE"/>
    <w:rsid w:val="0081479D"/>
    <w:rsid w:val="00814923"/>
    <w:rsid w:val="00815322"/>
    <w:rsid w:val="0081543E"/>
    <w:rsid w:val="008155DB"/>
    <w:rsid w:val="00815A7D"/>
    <w:rsid w:val="00815F9D"/>
    <w:rsid w:val="0081628A"/>
    <w:rsid w:val="008165FB"/>
    <w:rsid w:val="0081673E"/>
    <w:rsid w:val="00816784"/>
    <w:rsid w:val="00816C15"/>
    <w:rsid w:val="00816F82"/>
    <w:rsid w:val="008171EC"/>
    <w:rsid w:val="00820469"/>
    <w:rsid w:val="00820CB4"/>
    <w:rsid w:val="00820EF2"/>
    <w:rsid w:val="00821C1A"/>
    <w:rsid w:val="008228FE"/>
    <w:rsid w:val="00823A0F"/>
    <w:rsid w:val="00823AB6"/>
    <w:rsid w:val="00823BDB"/>
    <w:rsid w:val="00823D4A"/>
    <w:rsid w:val="00824291"/>
    <w:rsid w:val="008243A5"/>
    <w:rsid w:val="0082471B"/>
    <w:rsid w:val="0082483E"/>
    <w:rsid w:val="00824A9D"/>
    <w:rsid w:val="00824C78"/>
    <w:rsid w:val="00824DBF"/>
    <w:rsid w:val="008253A9"/>
    <w:rsid w:val="00826426"/>
    <w:rsid w:val="00826B15"/>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4257"/>
    <w:rsid w:val="00835297"/>
    <w:rsid w:val="0083569E"/>
    <w:rsid w:val="00835720"/>
    <w:rsid w:val="00835A9F"/>
    <w:rsid w:val="00836BF4"/>
    <w:rsid w:val="00836C37"/>
    <w:rsid w:val="00836E63"/>
    <w:rsid w:val="00836F5B"/>
    <w:rsid w:val="00840A12"/>
    <w:rsid w:val="00840BBB"/>
    <w:rsid w:val="0084136C"/>
    <w:rsid w:val="0084167C"/>
    <w:rsid w:val="008419A0"/>
    <w:rsid w:val="00842244"/>
    <w:rsid w:val="00842ECF"/>
    <w:rsid w:val="00842FF4"/>
    <w:rsid w:val="00843142"/>
    <w:rsid w:val="008438C8"/>
    <w:rsid w:val="00843EF9"/>
    <w:rsid w:val="00844517"/>
    <w:rsid w:val="00844688"/>
    <w:rsid w:val="00844840"/>
    <w:rsid w:val="0084491B"/>
    <w:rsid w:val="00844E2A"/>
    <w:rsid w:val="00844EF0"/>
    <w:rsid w:val="00845A71"/>
    <w:rsid w:val="00846653"/>
    <w:rsid w:val="008468EC"/>
    <w:rsid w:val="00846B1F"/>
    <w:rsid w:val="008476E7"/>
    <w:rsid w:val="008477EE"/>
    <w:rsid w:val="00847A45"/>
    <w:rsid w:val="00847E70"/>
    <w:rsid w:val="00850A53"/>
    <w:rsid w:val="00850B62"/>
    <w:rsid w:val="0085196F"/>
    <w:rsid w:val="00851AB6"/>
    <w:rsid w:val="00852111"/>
    <w:rsid w:val="00852D1F"/>
    <w:rsid w:val="00852F27"/>
    <w:rsid w:val="00853A4C"/>
    <w:rsid w:val="008546AA"/>
    <w:rsid w:val="008549C4"/>
    <w:rsid w:val="00854A4E"/>
    <w:rsid w:val="00854E0B"/>
    <w:rsid w:val="008558A8"/>
    <w:rsid w:val="00860141"/>
    <w:rsid w:val="00860CDC"/>
    <w:rsid w:val="00860DB4"/>
    <w:rsid w:val="00862013"/>
    <w:rsid w:val="00862254"/>
    <w:rsid w:val="0086238E"/>
    <w:rsid w:val="0086299B"/>
    <w:rsid w:val="00862DA4"/>
    <w:rsid w:val="00863046"/>
    <w:rsid w:val="00863432"/>
    <w:rsid w:val="00863CCE"/>
    <w:rsid w:val="00863E28"/>
    <w:rsid w:val="0086487F"/>
    <w:rsid w:val="00864C7F"/>
    <w:rsid w:val="00864D67"/>
    <w:rsid w:val="00864FA8"/>
    <w:rsid w:val="00864FAF"/>
    <w:rsid w:val="00865B37"/>
    <w:rsid w:val="0086603F"/>
    <w:rsid w:val="00866060"/>
    <w:rsid w:val="00866916"/>
    <w:rsid w:val="00866AB4"/>
    <w:rsid w:val="00866E65"/>
    <w:rsid w:val="00867367"/>
    <w:rsid w:val="00867A99"/>
    <w:rsid w:val="00867D10"/>
    <w:rsid w:val="00870437"/>
    <w:rsid w:val="00870518"/>
    <w:rsid w:val="00870C47"/>
    <w:rsid w:val="00871010"/>
    <w:rsid w:val="0087143C"/>
    <w:rsid w:val="008725BF"/>
    <w:rsid w:val="00873205"/>
    <w:rsid w:val="00873340"/>
    <w:rsid w:val="008734B7"/>
    <w:rsid w:val="00873969"/>
    <w:rsid w:val="00873F8B"/>
    <w:rsid w:val="0087427B"/>
    <w:rsid w:val="00874538"/>
    <w:rsid w:val="00874E0C"/>
    <w:rsid w:val="00875638"/>
    <w:rsid w:val="0087586E"/>
    <w:rsid w:val="00875A24"/>
    <w:rsid w:val="00876B11"/>
    <w:rsid w:val="00877335"/>
    <w:rsid w:val="00881196"/>
    <w:rsid w:val="008811B1"/>
    <w:rsid w:val="00881514"/>
    <w:rsid w:val="0088223A"/>
    <w:rsid w:val="0088300C"/>
    <w:rsid w:val="00883522"/>
    <w:rsid w:val="008837EF"/>
    <w:rsid w:val="0088442F"/>
    <w:rsid w:val="0088455A"/>
    <w:rsid w:val="00884873"/>
    <w:rsid w:val="00884E1D"/>
    <w:rsid w:val="00885370"/>
    <w:rsid w:val="00885C43"/>
    <w:rsid w:val="00885F8E"/>
    <w:rsid w:val="00886B50"/>
    <w:rsid w:val="00886DEA"/>
    <w:rsid w:val="00886FEC"/>
    <w:rsid w:val="00887331"/>
    <w:rsid w:val="00890290"/>
    <w:rsid w:val="00890A75"/>
    <w:rsid w:val="00890B57"/>
    <w:rsid w:val="00891234"/>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A0A4C"/>
    <w:rsid w:val="008A0C42"/>
    <w:rsid w:val="008A0CAD"/>
    <w:rsid w:val="008A0CE2"/>
    <w:rsid w:val="008A1406"/>
    <w:rsid w:val="008A16A9"/>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4EEE"/>
    <w:rsid w:val="008A57D3"/>
    <w:rsid w:val="008A589B"/>
    <w:rsid w:val="008A5903"/>
    <w:rsid w:val="008A693C"/>
    <w:rsid w:val="008A6C58"/>
    <w:rsid w:val="008A6F32"/>
    <w:rsid w:val="008A6FF5"/>
    <w:rsid w:val="008A769D"/>
    <w:rsid w:val="008B1065"/>
    <w:rsid w:val="008B111D"/>
    <w:rsid w:val="008B1B1E"/>
    <w:rsid w:val="008B24F9"/>
    <w:rsid w:val="008B2EA1"/>
    <w:rsid w:val="008B35A7"/>
    <w:rsid w:val="008B4CC9"/>
    <w:rsid w:val="008B59C3"/>
    <w:rsid w:val="008B684D"/>
    <w:rsid w:val="008B69DF"/>
    <w:rsid w:val="008B6BF3"/>
    <w:rsid w:val="008B7A03"/>
    <w:rsid w:val="008B7BFA"/>
    <w:rsid w:val="008C0444"/>
    <w:rsid w:val="008C04FE"/>
    <w:rsid w:val="008C0B28"/>
    <w:rsid w:val="008C0B6D"/>
    <w:rsid w:val="008C0B7C"/>
    <w:rsid w:val="008C0D89"/>
    <w:rsid w:val="008C1770"/>
    <w:rsid w:val="008C22DA"/>
    <w:rsid w:val="008C2652"/>
    <w:rsid w:val="008C26C2"/>
    <w:rsid w:val="008C29CE"/>
    <w:rsid w:val="008C2B48"/>
    <w:rsid w:val="008C2EB1"/>
    <w:rsid w:val="008C30F6"/>
    <w:rsid w:val="008C3D5C"/>
    <w:rsid w:val="008C3F1C"/>
    <w:rsid w:val="008C4417"/>
    <w:rsid w:val="008C4B93"/>
    <w:rsid w:val="008C5E5B"/>
    <w:rsid w:val="008C6FEC"/>
    <w:rsid w:val="008C762C"/>
    <w:rsid w:val="008C76AE"/>
    <w:rsid w:val="008C7A13"/>
    <w:rsid w:val="008C7EA7"/>
    <w:rsid w:val="008D04D4"/>
    <w:rsid w:val="008D0698"/>
    <w:rsid w:val="008D0FFB"/>
    <w:rsid w:val="008D10A9"/>
    <w:rsid w:val="008D125A"/>
    <w:rsid w:val="008D2FB8"/>
    <w:rsid w:val="008D308E"/>
    <w:rsid w:val="008D34AB"/>
    <w:rsid w:val="008D4756"/>
    <w:rsid w:val="008D4B0E"/>
    <w:rsid w:val="008D4B1D"/>
    <w:rsid w:val="008D544F"/>
    <w:rsid w:val="008D6240"/>
    <w:rsid w:val="008D68D0"/>
    <w:rsid w:val="008D69CD"/>
    <w:rsid w:val="008D6CB9"/>
    <w:rsid w:val="008D7BDF"/>
    <w:rsid w:val="008D7C69"/>
    <w:rsid w:val="008D7E7A"/>
    <w:rsid w:val="008E014E"/>
    <w:rsid w:val="008E02CC"/>
    <w:rsid w:val="008E053E"/>
    <w:rsid w:val="008E06DE"/>
    <w:rsid w:val="008E0D71"/>
    <w:rsid w:val="008E130A"/>
    <w:rsid w:val="008E18C6"/>
    <w:rsid w:val="008E1B46"/>
    <w:rsid w:val="008E1BF8"/>
    <w:rsid w:val="008E1CB2"/>
    <w:rsid w:val="008E2285"/>
    <w:rsid w:val="008E2BD3"/>
    <w:rsid w:val="008E3270"/>
    <w:rsid w:val="008E40FB"/>
    <w:rsid w:val="008E4311"/>
    <w:rsid w:val="008E4DEE"/>
    <w:rsid w:val="008E5CE2"/>
    <w:rsid w:val="008E6C43"/>
    <w:rsid w:val="008E72F2"/>
    <w:rsid w:val="008F02C2"/>
    <w:rsid w:val="008F0316"/>
    <w:rsid w:val="008F0382"/>
    <w:rsid w:val="008F0439"/>
    <w:rsid w:val="008F0536"/>
    <w:rsid w:val="008F0738"/>
    <w:rsid w:val="008F1C52"/>
    <w:rsid w:val="008F236D"/>
    <w:rsid w:val="008F2E7F"/>
    <w:rsid w:val="008F3386"/>
    <w:rsid w:val="008F3D5B"/>
    <w:rsid w:val="008F43E6"/>
    <w:rsid w:val="008F468C"/>
    <w:rsid w:val="008F4DC3"/>
    <w:rsid w:val="008F4FE1"/>
    <w:rsid w:val="008F5A3A"/>
    <w:rsid w:val="008F5C9C"/>
    <w:rsid w:val="008F5E92"/>
    <w:rsid w:val="008F5F6E"/>
    <w:rsid w:val="008F6075"/>
    <w:rsid w:val="008F6407"/>
    <w:rsid w:val="008F6664"/>
    <w:rsid w:val="008F71D6"/>
    <w:rsid w:val="00900280"/>
    <w:rsid w:val="0090154D"/>
    <w:rsid w:val="00901EFB"/>
    <w:rsid w:val="00902111"/>
    <w:rsid w:val="00902A37"/>
    <w:rsid w:val="009030CA"/>
    <w:rsid w:val="009035E7"/>
    <w:rsid w:val="00903BEC"/>
    <w:rsid w:val="00903C8D"/>
    <w:rsid w:val="009042E3"/>
    <w:rsid w:val="009043C7"/>
    <w:rsid w:val="0090466B"/>
    <w:rsid w:val="00904A0D"/>
    <w:rsid w:val="00904F8D"/>
    <w:rsid w:val="00905B2D"/>
    <w:rsid w:val="00905BEF"/>
    <w:rsid w:val="009060BE"/>
    <w:rsid w:val="009063D2"/>
    <w:rsid w:val="00906CB2"/>
    <w:rsid w:val="00907178"/>
    <w:rsid w:val="0091018E"/>
    <w:rsid w:val="00910328"/>
    <w:rsid w:val="00911415"/>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DA5"/>
    <w:rsid w:val="0092012F"/>
    <w:rsid w:val="00920A3E"/>
    <w:rsid w:val="00920BFE"/>
    <w:rsid w:val="009213B6"/>
    <w:rsid w:val="009213F7"/>
    <w:rsid w:val="00921A19"/>
    <w:rsid w:val="00921C3B"/>
    <w:rsid w:val="00921D17"/>
    <w:rsid w:val="00922E77"/>
    <w:rsid w:val="00922FC4"/>
    <w:rsid w:val="009230B8"/>
    <w:rsid w:val="009234D1"/>
    <w:rsid w:val="00923C8D"/>
    <w:rsid w:val="009246EF"/>
    <w:rsid w:val="00924F0D"/>
    <w:rsid w:val="0092546B"/>
    <w:rsid w:val="00926550"/>
    <w:rsid w:val="009267D7"/>
    <w:rsid w:val="00926B55"/>
    <w:rsid w:val="00927407"/>
    <w:rsid w:val="00927865"/>
    <w:rsid w:val="009279E8"/>
    <w:rsid w:val="0093077C"/>
    <w:rsid w:val="00930A61"/>
    <w:rsid w:val="00930DA8"/>
    <w:rsid w:val="0093129A"/>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0F9"/>
    <w:rsid w:val="00937BDE"/>
    <w:rsid w:val="00940331"/>
    <w:rsid w:val="009403A0"/>
    <w:rsid w:val="00940725"/>
    <w:rsid w:val="00940D13"/>
    <w:rsid w:val="00940EDF"/>
    <w:rsid w:val="00941125"/>
    <w:rsid w:val="009417F2"/>
    <w:rsid w:val="00941914"/>
    <w:rsid w:val="00941BC6"/>
    <w:rsid w:val="009420F1"/>
    <w:rsid w:val="0094236B"/>
    <w:rsid w:val="009425DB"/>
    <w:rsid w:val="00942A20"/>
    <w:rsid w:val="00942A3E"/>
    <w:rsid w:val="00942C75"/>
    <w:rsid w:val="009432E2"/>
    <w:rsid w:val="009436BC"/>
    <w:rsid w:val="00943D69"/>
    <w:rsid w:val="009445F5"/>
    <w:rsid w:val="00944A44"/>
    <w:rsid w:val="009458B5"/>
    <w:rsid w:val="00945CB0"/>
    <w:rsid w:val="009462C5"/>
    <w:rsid w:val="009466F8"/>
    <w:rsid w:val="009476D9"/>
    <w:rsid w:val="00947F7A"/>
    <w:rsid w:val="00950717"/>
    <w:rsid w:val="00950785"/>
    <w:rsid w:val="009509CC"/>
    <w:rsid w:val="009510BE"/>
    <w:rsid w:val="009516A9"/>
    <w:rsid w:val="00951A53"/>
    <w:rsid w:val="009529F5"/>
    <w:rsid w:val="00952D0A"/>
    <w:rsid w:val="0095381C"/>
    <w:rsid w:val="00953C96"/>
    <w:rsid w:val="0095406A"/>
    <w:rsid w:val="009543AE"/>
    <w:rsid w:val="00955200"/>
    <w:rsid w:val="009555F2"/>
    <w:rsid w:val="009558BE"/>
    <w:rsid w:val="00955A0D"/>
    <w:rsid w:val="00955D06"/>
    <w:rsid w:val="00956E84"/>
    <w:rsid w:val="0095765E"/>
    <w:rsid w:val="00957838"/>
    <w:rsid w:val="00957889"/>
    <w:rsid w:val="00957E5C"/>
    <w:rsid w:val="00960378"/>
    <w:rsid w:val="00960BB8"/>
    <w:rsid w:val="00961B0F"/>
    <w:rsid w:val="009622B1"/>
    <w:rsid w:val="00963618"/>
    <w:rsid w:val="009637CB"/>
    <w:rsid w:val="00964CFD"/>
    <w:rsid w:val="00964F65"/>
    <w:rsid w:val="00964FC6"/>
    <w:rsid w:val="00966217"/>
    <w:rsid w:val="009662CE"/>
    <w:rsid w:val="009663D9"/>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51EC"/>
    <w:rsid w:val="00976097"/>
    <w:rsid w:val="009761C9"/>
    <w:rsid w:val="009771B0"/>
    <w:rsid w:val="009779B5"/>
    <w:rsid w:val="00977A65"/>
    <w:rsid w:val="00977A78"/>
    <w:rsid w:val="00980690"/>
    <w:rsid w:val="00980FAA"/>
    <w:rsid w:val="009813E6"/>
    <w:rsid w:val="009813F5"/>
    <w:rsid w:val="0098140C"/>
    <w:rsid w:val="00981E1C"/>
    <w:rsid w:val="00982144"/>
    <w:rsid w:val="0098216E"/>
    <w:rsid w:val="00982BC4"/>
    <w:rsid w:val="009834A8"/>
    <w:rsid w:val="00984217"/>
    <w:rsid w:val="00984C8A"/>
    <w:rsid w:val="00984E11"/>
    <w:rsid w:val="00986845"/>
    <w:rsid w:val="0098751C"/>
    <w:rsid w:val="009875F0"/>
    <w:rsid w:val="00987B5C"/>
    <w:rsid w:val="0099042D"/>
    <w:rsid w:val="009904DA"/>
    <w:rsid w:val="00990A77"/>
    <w:rsid w:val="00991640"/>
    <w:rsid w:val="00991A3C"/>
    <w:rsid w:val="00992668"/>
    <w:rsid w:val="0099338C"/>
    <w:rsid w:val="00993FC0"/>
    <w:rsid w:val="00994532"/>
    <w:rsid w:val="00994A5A"/>
    <w:rsid w:val="009952BF"/>
    <w:rsid w:val="00995558"/>
    <w:rsid w:val="0099557A"/>
    <w:rsid w:val="00995E81"/>
    <w:rsid w:val="00996C36"/>
    <w:rsid w:val="00997754"/>
    <w:rsid w:val="009977C1"/>
    <w:rsid w:val="00997B10"/>
    <w:rsid w:val="00997FB1"/>
    <w:rsid w:val="009A0496"/>
    <w:rsid w:val="009A071C"/>
    <w:rsid w:val="009A0807"/>
    <w:rsid w:val="009A0B6C"/>
    <w:rsid w:val="009A126F"/>
    <w:rsid w:val="009A1429"/>
    <w:rsid w:val="009A1583"/>
    <w:rsid w:val="009A1674"/>
    <w:rsid w:val="009A1C6E"/>
    <w:rsid w:val="009A2924"/>
    <w:rsid w:val="009A2CAC"/>
    <w:rsid w:val="009A3047"/>
    <w:rsid w:val="009A32A1"/>
    <w:rsid w:val="009A3B81"/>
    <w:rsid w:val="009A3EDD"/>
    <w:rsid w:val="009A4268"/>
    <w:rsid w:val="009A57AB"/>
    <w:rsid w:val="009A57B9"/>
    <w:rsid w:val="009A5975"/>
    <w:rsid w:val="009A5E41"/>
    <w:rsid w:val="009A6407"/>
    <w:rsid w:val="009A64BA"/>
    <w:rsid w:val="009A6A74"/>
    <w:rsid w:val="009A6B48"/>
    <w:rsid w:val="009A6B7C"/>
    <w:rsid w:val="009A7069"/>
    <w:rsid w:val="009A7D79"/>
    <w:rsid w:val="009A7E52"/>
    <w:rsid w:val="009B0E87"/>
    <w:rsid w:val="009B1643"/>
    <w:rsid w:val="009B175B"/>
    <w:rsid w:val="009B29A6"/>
    <w:rsid w:val="009B2AC8"/>
    <w:rsid w:val="009B3F8F"/>
    <w:rsid w:val="009B43C5"/>
    <w:rsid w:val="009B4B56"/>
    <w:rsid w:val="009B5339"/>
    <w:rsid w:val="009B57D8"/>
    <w:rsid w:val="009B59FB"/>
    <w:rsid w:val="009B5C1C"/>
    <w:rsid w:val="009B617B"/>
    <w:rsid w:val="009B6875"/>
    <w:rsid w:val="009B6923"/>
    <w:rsid w:val="009B700C"/>
    <w:rsid w:val="009B79EE"/>
    <w:rsid w:val="009B7B37"/>
    <w:rsid w:val="009B7D2C"/>
    <w:rsid w:val="009C0108"/>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6037"/>
    <w:rsid w:val="009C6497"/>
    <w:rsid w:val="009C6934"/>
    <w:rsid w:val="009C6BC6"/>
    <w:rsid w:val="009C6E34"/>
    <w:rsid w:val="009C7BC7"/>
    <w:rsid w:val="009D0F6C"/>
    <w:rsid w:val="009D12E7"/>
    <w:rsid w:val="009D1F44"/>
    <w:rsid w:val="009D1FEA"/>
    <w:rsid w:val="009D20D6"/>
    <w:rsid w:val="009D2CEF"/>
    <w:rsid w:val="009D34EB"/>
    <w:rsid w:val="009D3B18"/>
    <w:rsid w:val="009D40FE"/>
    <w:rsid w:val="009D43E4"/>
    <w:rsid w:val="009D498E"/>
    <w:rsid w:val="009D4A4E"/>
    <w:rsid w:val="009D4AFD"/>
    <w:rsid w:val="009D5ADA"/>
    <w:rsid w:val="009D63C8"/>
    <w:rsid w:val="009D679E"/>
    <w:rsid w:val="009D694C"/>
    <w:rsid w:val="009D6B15"/>
    <w:rsid w:val="009D7237"/>
    <w:rsid w:val="009D76AF"/>
    <w:rsid w:val="009D772F"/>
    <w:rsid w:val="009E1642"/>
    <w:rsid w:val="009E1650"/>
    <w:rsid w:val="009E27E4"/>
    <w:rsid w:val="009E2F9F"/>
    <w:rsid w:val="009E2FAB"/>
    <w:rsid w:val="009E3C2D"/>
    <w:rsid w:val="009E4107"/>
    <w:rsid w:val="009E411E"/>
    <w:rsid w:val="009E4905"/>
    <w:rsid w:val="009E4E6A"/>
    <w:rsid w:val="009E5879"/>
    <w:rsid w:val="009E5C1F"/>
    <w:rsid w:val="009E5D17"/>
    <w:rsid w:val="009E6A1E"/>
    <w:rsid w:val="009E72A7"/>
    <w:rsid w:val="009E782D"/>
    <w:rsid w:val="009E7883"/>
    <w:rsid w:val="009F1086"/>
    <w:rsid w:val="009F239F"/>
    <w:rsid w:val="009F2CDF"/>
    <w:rsid w:val="009F3150"/>
    <w:rsid w:val="009F3855"/>
    <w:rsid w:val="009F3F98"/>
    <w:rsid w:val="009F4358"/>
    <w:rsid w:val="009F4A0B"/>
    <w:rsid w:val="009F554A"/>
    <w:rsid w:val="009F5E04"/>
    <w:rsid w:val="009F614B"/>
    <w:rsid w:val="009F6880"/>
    <w:rsid w:val="009F6F9F"/>
    <w:rsid w:val="009F7425"/>
    <w:rsid w:val="009F7588"/>
    <w:rsid w:val="009F7CD1"/>
    <w:rsid w:val="009F7ED0"/>
    <w:rsid w:val="00A0016D"/>
    <w:rsid w:val="00A014B8"/>
    <w:rsid w:val="00A01A26"/>
    <w:rsid w:val="00A02880"/>
    <w:rsid w:val="00A02D6E"/>
    <w:rsid w:val="00A030B2"/>
    <w:rsid w:val="00A0331C"/>
    <w:rsid w:val="00A03A72"/>
    <w:rsid w:val="00A03DD2"/>
    <w:rsid w:val="00A04183"/>
    <w:rsid w:val="00A04313"/>
    <w:rsid w:val="00A0445C"/>
    <w:rsid w:val="00A0470B"/>
    <w:rsid w:val="00A04FE1"/>
    <w:rsid w:val="00A0559F"/>
    <w:rsid w:val="00A05643"/>
    <w:rsid w:val="00A06193"/>
    <w:rsid w:val="00A066EB"/>
    <w:rsid w:val="00A076FC"/>
    <w:rsid w:val="00A079F3"/>
    <w:rsid w:val="00A07A0A"/>
    <w:rsid w:val="00A07C90"/>
    <w:rsid w:val="00A117EC"/>
    <w:rsid w:val="00A119A0"/>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998"/>
    <w:rsid w:val="00A21B2F"/>
    <w:rsid w:val="00A220D6"/>
    <w:rsid w:val="00A22CD4"/>
    <w:rsid w:val="00A22D2F"/>
    <w:rsid w:val="00A23597"/>
    <w:rsid w:val="00A2401C"/>
    <w:rsid w:val="00A24052"/>
    <w:rsid w:val="00A246AD"/>
    <w:rsid w:val="00A24BAA"/>
    <w:rsid w:val="00A25C78"/>
    <w:rsid w:val="00A25DC4"/>
    <w:rsid w:val="00A269C2"/>
    <w:rsid w:val="00A272C8"/>
    <w:rsid w:val="00A278E1"/>
    <w:rsid w:val="00A27BF3"/>
    <w:rsid w:val="00A30A68"/>
    <w:rsid w:val="00A30BA3"/>
    <w:rsid w:val="00A30CBC"/>
    <w:rsid w:val="00A315E1"/>
    <w:rsid w:val="00A31EF7"/>
    <w:rsid w:val="00A3227E"/>
    <w:rsid w:val="00A323EA"/>
    <w:rsid w:val="00A32545"/>
    <w:rsid w:val="00A32ED9"/>
    <w:rsid w:val="00A33693"/>
    <w:rsid w:val="00A33AFB"/>
    <w:rsid w:val="00A34573"/>
    <w:rsid w:val="00A36576"/>
    <w:rsid w:val="00A36C44"/>
    <w:rsid w:val="00A37CF9"/>
    <w:rsid w:val="00A37F81"/>
    <w:rsid w:val="00A414EA"/>
    <w:rsid w:val="00A419DD"/>
    <w:rsid w:val="00A41ACF"/>
    <w:rsid w:val="00A41D55"/>
    <w:rsid w:val="00A43BB8"/>
    <w:rsid w:val="00A443BC"/>
    <w:rsid w:val="00A44DE9"/>
    <w:rsid w:val="00A45733"/>
    <w:rsid w:val="00A457C8"/>
    <w:rsid w:val="00A45A43"/>
    <w:rsid w:val="00A4627C"/>
    <w:rsid w:val="00A46592"/>
    <w:rsid w:val="00A46822"/>
    <w:rsid w:val="00A46847"/>
    <w:rsid w:val="00A4770E"/>
    <w:rsid w:val="00A5033B"/>
    <w:rsid w:val="00A50E2A"/>
    <w:rsid w:val="00A511F8"/>
    <w:rsid w:val="00A51F3F"/>
    <w:rsid w:val="00A52C01"/>
    <w:rsid w:val="00A52CBE"/>
    <w:rsid w:val="00A533AC"/>
    <w:rsid w:val="00A53625"/>
    <w:rsid w:val="00A546BA"/>
    <w:rsid w:val="00A55509"/>
    <w:rsid w:val="00A55EBC"/>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5239"/>
    <w:rsid w:val="00A65508"/>
    <w:rsid w:val="00A656F0"/>
    <w:rsid w:val="00A66012"/>
    <w:rsid w:val="00A664EA"/>
    <w:rsid w:val="00A66547"/>
    <w:rsid w:val="00A66778"/>
    <w:rsid w:val="00A66F02"/>
    <w:rsid w:val="00A67653"/>
    <w:rsid w:val="00A67FEB"/>
    <w:rsid w:val="00A71330"/>
    <w:rsid w:val="00A71908"/>
    <w:rsid w:val="00A725A2"/>
    <w:rsid w:val="00A72A3C"/>
    <w:rsid w:val="00A72DDF"/>
    <w:rsid w:val="00A73080"/>
    <w:rsid w:val="00A730FC"/>
    <w:rsid w:val="00A73541"/>
    <w:rsid w:val="00A73674"/>
    <w:rsid w:val="00A737EB"/>
    <w:rsid w:val="00A73C88"/>
    <w:rsid w:val="00A74D4B"/>
    <w:rsid w:val="00A75C8C"/>
    <w:rsid w:val="00A75DE9"/>
    <w:rsid w:val="00A75EC3"/>
    <w:rsid w:val="00A76078"/>
    <w:rsid w:val="00A762C5"/>
    <w:rsid w:val="00A77324"/>
    <w:rsid w:val="00A77862"/>
    <w:rsid w:val="00A77BAA"/>
    <w:rsid w:val="00A8054C"/>
    <w:rsid w:val="00A8059C"/>
    <w:rsid w:val="00A80D67"/>
    <w:rsid w:val="00A80EB6"/>
    <w:rsid w:val="00A8142C"/>
    <w:rsid w:val="00A81C64"/>
    <w:rsid w:val="00A81E82"/>
    <w:rsid w:val="00A82F87"/>
    <w:rsid w:val="00A835E0"/>
    <w:rsid w:val="00A83722"/>
    <w:rsid w:val="00A84779"/>
    <w:rsid w:val="00A85761"/>
    <w:rsid w:val="00A85896"/>
    <w:rsid w:val="00A868F7"/>
    <w:rsid w:val="00A86B4F"/>
    <w:rsid w:val="00A86CAE"/>
    <w:rsid w:val="00A87B6A"/>
    <w:rsid w:val="00A87FBF"/>
    <w:rsid w:val="00A90108"/>
    <w:rsid w:val="00A90297"/>
    <w:rsid w:val="00A9046F"/>
    <w:rsid w:val="00A913F2"/>
    <w:rsid w:val="00A91E04"/>
    <w:rsid w:val="00A91E44"/>
    <w:rsid w:val="00A91FC6"/>
    <w:rsid w:val="00A92401"/>
    <w:rsid w:val="00A93362"/>
    <w:rsid w:val="00A93F75"/>
    <w:rsid w:val="00A942A9"/>
    <w:rsid w:val="00A94470"/>
    <w:rsid w:val="00A9473B"/>
    <w:rsid w:val="00A9549C"/>
    <w:rsid w:val="00A955F6"/>
    <w:rsid w:val="00A95F31"/>
    <w:rsid w:val="00A96399"/>
    <w:rsid w:val="00A96A5C"/>
    <w:rsid w:val="00A97146"/>
    <w:rsid w:val="00A973E3"/>
    <w:rsid w:val="00AA04F1"/>
    <w:rsid w:val="00AA0A66"/>
    <w:rsid w:val="00AA0D24"/>
    <w:rsid w:val="00AA0F11"/>
    <w:rsid w:val="00AA1037"/>
    <w:rsid w:val="00AA14DF"/>
    <w:rsid w:val="00AA1A90"/>
    <w:rsid w:val="00AA24AB"/>
    <w:rsid w:val="00AA2FDB"/>
    <w:rsid w:val="00AA3FF9"/>
    <w:rsid w:val="00AA4808"/>
    <w:rsid w:val="00AA4869"/>
    <w:rsid w:val="00AA48AF"/>
    <w:rsid w:val="00AA4C38"/>
    <w:rsid w:val="00AA5233"/>
    <w:rsid w:val="00AA532D"/>
    <w:rsid w:val="00AA5629"/>
    <w:rsid w:val="00AA5BB1"/>
    <w:rsid w:val="00AA5D05"/>
    <w:rsid w:val="00AA5D8C"/>
    <w:rsid w:val="00AA6E2E"/>
    <w:rsid w:val="00AA711C"/>
    <w:rsid w:val="00AA7394"/>
    <w:rsid w:val="00AA74F1"/>
    <w:rsid w:val="00AA7768"/>
    <w:rsid w:val="00AA7BB6"/>
    <w:rsid w:val="00AB0A1C"/>
    <w:rsid w:val="00AB17DE"/>
    <w:rsid w:val="00AB18FE"/>
    <w:rsid w:val="00AB1B69"/>
    <w:rsid w:val="00AB2A28"/>
    <w:rsid w:val="00AB31AC"/>
    <w:rsid w:val="00AB32CB"/>
    <w:rsid w:val="00AB343D"/>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73B"/>
    <w:rsid w:val="00AC38EC"/>
    <w:rsid w:val="00AC3BF4"/>
    <w:rsid w:val="00AC3F40"/>
    <w:rsid w:val="00AC3FB9"/>
    <w:rsid w:val="00AC4C0C"/>
    <w:rsid w:val="00AC5139"/>
    <w:rsid w:val="00AC568C"/>
    <w:rsid w:val="00AC5D25"/>
    <w:rsid w:val="00AC618B"/>
    <w:rsid w:val="00AC659C"/>
    <w:rsid w:val="00AC6676"/>
    <w:rsid w:val="00AC7495"/>
    <w:rsid w:val="00AD0DF0"/>
    <w:rsid w:val="00AD1694"/>
    <w:rsid w:val="00AD17BA"/>
    <w:rsid w:val="00AD1B7A"/>
    <w:rsid w:val="00AD1E37"/>
    <w:rsid w:val="00AD252D"/>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DCC"/>
    <w:rsid w:val="00AE1F2C"/>
    <w:rsid w:val="00AE2017"/>
    <w:rsid w:val="00AE2351"/>
    <w:rsid w:val="00AE23DE"/>
    <w:rsid w:val="00AE255E"/>
    <w:rsid w:val="00AE267A"/>
    <w:rsid w:val="00AE2950"/>
    <w:rsid w:val="00AE34D5"/>
    <w:rsid w:val="00AE39BF"/>
    <w:rsid w:val="00AE3DFE"/>
    <w:rsid w:val="00AE3F32"/>
    <w:rsid w:val="00AE43D5"/>
    <w:rsid w:val="00AE4BBE"/>
    <w:rsid w:val="00AE531D"/>
    <w:rsid w:val="00AE563C"/>
    <w:rsid w:val="00AE647A"/>
    <w:rsid w:val="00AF0852"/>
    <w:rsid w:val="00AF1552"/>
    <w:rsid w:val="00AF1576"/>
    <w:rsid w:val="00AF1635"/>
    <w:rsid w:val="00AF1827"/>
    <w:rsid w:val="00AF1C94"/>
    <w:rsid w:val="00AF254B"/>
    <w:rsid w:val="00AF2A41"/>
    <w:rsid w:val="00AF31B3"/>
    <w:rsid w:val="00AF327B"/>
    <w:rsid w:val="00AF411A"/>
    <w:rsid w:val="00AF519E"/>
    <w:rsid w:val="00AF6145"/>
    <w:rsid w:val="00AF6507"/>
    <w:rsid w:val="00AF6802"/>
    <w:rsid w:val="00AF693E"/>
    <w:rsid w:val="00AF6D9A"/>
    <w:rsid w:val="00AF702B"/>
    <w:rsid w:val="00AF706B"/>
    <w:rsid w:val="00B00484"/>
    <w:rsid w:val="00B00AF5"/>
    <w:rsid w:val="00B00D85"/>
    <w:rsid w:val="00B02250"/>
    <w:rsid w:val="00B0358A"/>
    <w:rsid w:val="00B04618"/>
    <w:rsid w:val="00B048BA"/>
    <w:rsid w:val="00B04FCD"/>
    <w:rsid w:val="00B0505F"/>
    <w:rsid w:val="00B052E9"/>
    <w:rsid w:val="00B0538B"/>
    <w:rsid w:val="00B05489"/>
    <w:rsid w:val="00B05774"/>
    <w:rsid w:val="00B07801"/>
    <w:rsid w:val="00B07D70"/>
    <w:rsid w:val="00B07F07"/>
    <w:rsid w:val="00B1000D"/>
    <w:rsid w:val="00B10865"/>
    <w:rsid w:val="00B109E0"/>
    <w:rsid w:val="00B1188A"/>
    <w:rsid w:val="00B11975"/>
    <w:rsid w:val="00B11C8A"/>
    <w:rsid w:val="00B12335"/>
    <w:rsid w:val="00B12B6C"/>
    <w:rsid w:val="00B12BB4"/>
    <w:rsid w:val="00B12DC9"/>
    <w:rsid w:val="00B12ED6"/>
    <w:rsid w:val="00B12FEE"/>
    <w:rsid w:val="00B13258"/>
    <w:rsid w:val="00B13822"/>
    <w:rsid w:val="00B14407"/>
    <w:rsid w:val="00B1491A"/>
    <w:rsid w:val="00B14BDF"/>
    <w:rsid w:val="00B14EDC"/>
    <w:rsid w:val="00B157B7"/>
    <w:rsid w:val="00B158AB"/>
    <w:rsid w:val="00B15C43"/>
    <w:rsid w:val="00B15DED"/>
    <w:rsid w:val="00B1695C"/>
    <w:rsid w:val="00B16A1C"/>
    <w:rsid w:val="00B16B65"/>
    <w:rsid w:val="00B16E4B"/>
    <w:rsid w:val="00B16F90"/>
    <w:rsid w:val="00B16FAD"/>
    <w:rsid w:val="00B17323"/>
    <w:rsid w:val="00B17C1F"/>
    <w:rsid w:val="00B17C94"/>
    <w:rsid w:val="00B20741"/>
    <w:rsid w:val="00B20C66"/>
    <w:rsid w:val="00B23576"/>
    <w:rsid w:val="00B23581"/>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8C1"/>
    <w:rsid w:val="00B30D4B"/>
    <w:rsid w:val="00B30F21"/>
    <w:rsid w:val="00B30F2B"/>
    <w:rsid w:val="00B316FD"/>
    <w:rsid w:val="00B31989"/>
    <w:rsid w:val="00B31EE0"/>
    <w:rsid w:val="00B31FFA"/>
    <w:rsid w:val="00B320E6"/>
    <w:rsid w:val="00B321C2"/>
    <w:rsid w:val="00B339F8"/>
    <w:rsid w:val="00B34ACF"/>
    <w:rsid w:val="00B34ED4"/>
    <w:rsid w:val="00B34F7E"/>
    <w:rsid w:val="00B35666"/>
    <w:rsid w:val="00B35C7F"/>
    <w:rsid w:val="00B35EBB"/>
    <w:rsid w:val="00B36309"/>
    <w:rsid w:val="00B363D6"/>
    <w:rsid w:val="00B36581"/>
    <w:rsid w:val="00B36B81"/>
    <w:rsid w:val="00B36C81"/>
    <w:rsid w:val="00B3724D"/>
    <w:rsid w:val="00B37588"/>
    <w:rsid w:val="00B375E5"/>
    <w:rsid w:val="00B37CD7"/>
    <w:rsid w:val="00B40996"/>
    <w:rsid w:val="00B415E4"/>
    <w:rsid w:val="00B41CAF"/>
    <w:rsid w:val="00B4219B"/>
    <w:rsid w:val="00B4244E"/>
    <w:rsid w:val="00B424AD"/>
    <w:rsid w:val="00B431C3"/>
    <w:rsid w:val="00B43BEE"/>
    <w:rsid w:val="00B4463E"/>
    <w:rsid w:val="00B44856"/>
    <w:rsid w:val="00B459E5"/>
    <w:rsid w:val="00B46202"/>
    <w:rsid w:val="00B46330"/>
    <w:rsid w:val="00B47ADC"/>
    <w:rsid w:val="00B5292D"/>
    <w:rsid w:val="00B540BB"/>
    <w:rsid w:val="00B54344"/>
    <w:rsid w:val="00B54374"/>
    <w:rsid w:val="00B55327"/>
    <w:rsid w:val="00B5545C"/>
    <w:rsid w:val="00B55602"/>
    <w:rsid w:val="00B55E0E"/>
    <w:rsid w:val="00B5623C"/>
    <w:rsid w:val="00B604FB"/>
    <w:rsid w:val="00B60EFB"/>
    <w:rsid w:val="00B613C3"/>
    <w:rsid w:val="00B61F1B"/>
    <w:rsid w:val="00B61FEC"/>
    <w:rsid w:val="00B62E5F"/>
    <w:rsid w:val="00B62ECD"/>
    <w:rsid w:val="00B63393"/>
    <w:rsid w:val="00B6385D"/>
    <w:rsid w:val="00B6394F"/>
    <w:rsid w:val="00B63C91"/>
    <w:rsid w:val="00B642D6"/>
    <w:rsid w:val="00B648B1"/>
    <w:rsid w:val="00B64B03"/>
    <w:rsid w:val="00B6591E"/>
    <w:rsid w:val="00B65CB2"/>
    <w:rsid w:val="00B66040"/>
    <w:rsid w:val="00B66122"/>
    <w:rsid w:val="00B661CD"/>
    <w:rsid w:val="00B665CD"/>
    <w:rsid w:val="00B66AE1"/>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5D28"/>
    <w:rsid w:val="00B766FF"/>
    <w:rsid w:val="00B77503"/>
    <w:rsid w:val="00B778DA"/>
    <w:rsid w:val="00B77EE8"/>
    <w:rsid w:val="00B77F3D"/>
    <w:rsid w:val="00B80AA6"/>
    <w:rsid w:val="00B80CFD"/>
    <w:rsid w:val="00B8159A"/>
    <w:rsid w:val="00B81BA6"/>
    <w:rsid w:val="00B8247D"/>
    <w:rsid w:val="00B82B47"/>
    <w:rsid w:val="00B82DE7"/>
    <w:rsid w:val="00B82F22"/>
    <w:rsid w:val="00B83F98"/>
    <w:rsid w:val="00B84528"/>
    <w:rsid w:val="00B8493E"/>
    <w:rsid w:val="00B866C3"/>
    <w:rsid w:val="00B86FB2"/>
    <w:rsid w:val="00B875BD"/>
    <w:rsid w:val="00B90190"/>
    <w:rsid w:val="00B90285"/>
    <w:rsid w:val="00B90554"/>
    <w:rsid w:val="00B91AB8"/>
    <w:rsid w:val="00B929BA"/>
    <w:rsid w:val="00B92EE3"/>
    <w:rsid w:val="00B931B7"/>
    <w:rsid w:val="00B9358A"/>
    <w:rsid w:val="00B937D1"/>
    <w:rsid w:val="00B943B5"/>
    <w:rsid w:val="00B9486D"/>
    <w:rsid w:val="00B94B44"/>
    <w:rsid w:val="00B94E3E"/>
    <w:rsid w:val="00B95B18"/>
    <w:rsid w:val="00B9647A"/>
    <w:rsid w:val="00B96777"/>
    <w:rsid w:val="00B968E5"/>
    <w:rsid w:val="00B96F86"/>
    <w:rsid w:val="00B9700E"/>
    <w:rsid w:val="00B9774A"/>
    <w:rsid w:val="00B978FA"/>
    <w:rsid w:val="00B97D0C"/>
    <w:rsid w:val="00BA013F"/>
    <w:rsid w:val="00BA05D3"/>
    <w:rsid w:val="00BA0812"/>
    <w:rsid w:val="00BA0B78"/>
    <w:rsid w:val="00BA109E"/>
    <w:rsid w:val="00BA1604"/>
    <w:rsid w:val="00BA1734"/>
    <w:rsid w:val="00BA1859"/>
    <w:rsid w:val="00BA2038"/>
    <w:rsid w:val="00BA251A"/>
    <w:rsid w:val="00BA280A"/>
    <w:rsid w:val="00BA35EF"/>
    <w:rsid w:val="00BA36D7"/>
    <w:rsid w:val="00BA3B10"/>
    <w:rsid w:val="00BA3BB8"/>
    <w:rsid w:val="00BA3D41"/>
    <w:rsid w:val="00BA4196"/>
    <w:rsid w:val="00BA47BB"/>
    <w:rsid w:val="00BA5060"/>
    <w:rsid w:val="00BA5DAA"/>
    <w:rsid w:val="00BA62A0"/>
    <w:rsid w:val="00BA6DBA"/>
    <w:rsid w:val="00BA6FB5"/>
    <w:rsid w:val="00BA75E4"/>
    <w:rsid w:val="00BA7EF5"/>
    <w:rsid w:val="00BB03E6"/>
    <w:rsid w:val="00BB074E"/>
    <w:rsid w:val="00BB1DE9"/>
    <w:rsid w:val="00BB2CF5"/>
    <w:rsid w:val="00BB2DB8"/>
    <w:rsid w:val="00BB2E9A"/>
    <w:rsid w:val="00BB3D5A"/>
    <w:rsid w:val="00BB3DFD"/>
    <w:rsid w:val="00BB4372"/>
    <w:rsid w:val="00BB460C"/>
    <w:rsid w:val="00BB49C1"/>
    <w:rsid w:val="00BB4CA2"/>
    <w:rsid w:val="00BB5402"/>
    <w:rsid w:val="00BB5480"/>
    <w:rsid w:val="00BB6167"/>
    <w:rsid w:val="00BB7253"/>
    <w:rsid w:val="00BB7AB8"/>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BE4"/>
    <w:rsid w:val="00BC7DEB"/>
    <w:rsid w:val="00BD0ACD"/>
    <w:rsid w:val="00BD1142"/>
    <w:rsid w:val="00BD36E0"/>
    <w:rsid w:val="00BD3899"/>
    <w:rsid w:val="00BD3F2E"/>
    <w:rsid w:val="00BD497F"/>
    <w:rsid w:val="00BD4A6A"/>
    <w:rsid w:val="00BD5490"/>
    <w:rsid w:val="00BD5E42"/>
    <w:rsid w:val="00BD6412"/>
    <w:rsid w:val="00BD77FD"/>
    <w:rsid w:val="00BD7A75"/>
    <w:rsid w:val="00BD7E7F"/>
    <w:rsid w:val="00BE0FB0"/>
    <w:rsid w:val="00BE11FC"/>
    <w:rsid w:val="00BE2326"/>
    <w:rsid w:val="00BE236A"/>
    <w:rsid w:val="00BE2499"/>
    <w:rsid w:val="00BE3022"/>
    <w:rsid w:val="00BE36DD"/>
    <w:rsid w:val="00BE396A"/>
    <w:rsid w:val="00BE4066"/>
    <w:rsid w:val="00BE4591"/>
    <w:rsid w:val="00BE4C99"/>
    <w:rsid w:val="00BE4DE5"/>
    <w:rsid w:val="00BE4F53"/>
    <w:rsid w:val="00BE5014"/>
    <w:rsid w:val="00BE57B4"/>
    <w:rsid w:val="00BE5C2D"/>
    <w:rsid w:val="00BE5D24"/>
    <w:rsid w:val="00BE5D45"/>
    <w:rsid w:val="00BE6AB7"/>
    <w:rsid w:val="00BE6F83"/>
    <w:rsid w:val="00BE711F"/>
    <w:rsid w:val="00BE72C5"/>
    <w:rsid w:val="00BE7535"/>
    <w:rsid w:val="00BE755E"/>
    <w:rsid w:val="00BE77DB"/>
    <w:rsid w:val="00BE7996"/>
    <w:rsid w:val="00BF0B89"/>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32F"/>
    <w:rsid w:val="00C01C27"/>
    <w:rsid w:val="00C0213D"/>
    <w:rsid w:val="00C0263C"/>
    <w:rsid w:val="00C02C55"/>
    <w:rsid w:val="00C0306B"/>
    <w:rsid w:val="00C0371A"/>
    <w:rsid w:val="00C037F2"/>
    <w:rsid w:val="00C04554"/>
    <w:rsid w:val="00C05441"/>
    <w:rsid w:val="00C054DF"/>
    <w:rsid w:val="00C058B7"/>
    <w:rsid w:val="00C05AA6"/>
    <w:rsid w:val="00C05C85"/>
    <w:rsid w:val="00C060DB"/>
    <w:rsid w:val="00C06191"/>
    <w:rsid w:val="00C065B8"/>
    <w:rsid w:val="00C068EF"/>
    <w:rsid w:val="00C06C36"/>
    <w:rsid w:val="00C06C8F"/>
    <w:rsid w:val="00C07326"/>
    <w:rsid w:val="00C1005D"/>
    <w:rsid w:val="00C10A16"/>
    <w:rsid w:val="00C10B24"/>
    <w:rsid w:val="00C116A8"/>
    <w:rsid w:val="00C117B9"/>
    <w:rsid w:val="00C123A5"/>
    <w:rsid w:val="00C14339"/>
    <w:rsid w:val="00C14441"/>
    <w:rsid w:val="00C151E0"/>
    <w:rsid w:val="00C15BBB"/>
    <w:rsid w:val="00C162EE"/>
    <w:rsid w:val="00C1698B"/>
    <w:rsid w:val="00C16EF0"/>
    <w:rsid w:val="00C1711B"/>
    <w:rsid w:val="00C1730D"/>
    <w:rsid w:val="00C203EF"/>
    <w:rsid w:val="00C20611"/>
    <w:rsid w:val="00C21135"/>
    <w:rsid w:val="00C212D1"/>
    <w:rsid w:val="00C2166E"/>
    <w:rsid w:val="00C22D36"/>
    <w:rsid w:val="00C22ED8"/>
    <w:rsid w:val="00C22F77"/>
    <w:rsid w:val="00C23C77"/>
    <w:rsid w:val="00C23D59"/>
    <w:rsid w:val="00C23E38"/>
    <w:rsid w:val="00C24068"/>
    <w:rsid w:val="00C24285"/>
    <w:rsid w:val="00C2441F"/>
    <w:rsid w:val="00C24757"/>
    <w:rsid w:val="00C25178"/>
    <w:rsid w:val="00C2518C"/>
    <w:rsid w:val="00C251EA"/>
    <w:rsid w:val="00C25BE3"/>
    <w:rsid w:val="00C2665C"/>
    <w:rsid w:val="00C2673F"/>
    <w:rsid w:val="00C26832"/>
    <w:rsid w:val="00C26902"/>
    <w:rsid w:val="00C26A49"/>
    <w:rsid w:val="00C26CEE"/>
    <w:rsid w:val="00C277C0"/>
    <w:rsid w:val="00C27A42"/>
    <w:rsid w:val="00C27F9F"/>
    <w:rsid w:val="00C30DE3"/>
    <w:rsid w:val="00C30FE4"/>
    <w:rsid w:val="00C3137D"/>
    <w:rsid w:val="00C320AB"/>
    <w:rsid w:val="00C32163"/>
    <w:rsid w:val="00C335F2"/>
    <w:rsid w:val="00C34CD2"/>
    <w:rsid w:val="00C352CF"/>
    <w:rsid w:val="00C358A8"/>
    <w:rsid w:val="00C35920"/>
    <w:rsid w:val="00C36532"/>
    <w:rsid w:val="00C36830"/>
    <w:rsid w:val="00C36F15"/>
    <w:rsid w:val="00C37EED"/>
    <w:rsid w:val="00C4008B"/>
    <w:rsid w:val="00C401BD"/>
    <w:rsid w:val="00C4023D"/>
    <w:rsid w:val="00C40782"/>
    <w:rsid w:val="00C40A92"/>
    <w:rsid w:val="00C4164E"/>
    <w:rsid w:val="00C41DD0"/>
    <w:rsid w:val="00C41E0D"/>
    <w:rsid w:val="00C41E96"/>
    <w:rsid w:val="00C41F62"/>
    <w:rsid w:val="00C4234D"/>
    <w:rsid w:val="00C42660"/>
    <w:rsid w:val="00C42A94"/>
    <w:rsid w:val="00C42C6A"/>
    <w:rsid w:val="00C42F5C"/>
    <w:rsid w:val="00C4318A"/>
    <w:rsid w:val="00C43477"/>
    <w:rsid w:val="00C43611"/>
    <w:rsid w:val="00C43A2B"/>
    <w:rsid w:val="00C43F11"/>
    <w:rsid w:val="00C45355"/>
    <w:rsid w:val="00C4537C"/>
    <w:rsid w:val="00C461C2"/>
    <w:rsid w:val="00C471ED"/>
    <w:rsid w:val="00C474EB"/>
    <w:rsid w:val="00C4783E"/>
    <w:rsid w:val="00C47BA9"/>
    <w:rsid w:val="00C47DD1"/>
    <w:rsid w:val="00C47E1D"/>
    <w:rsid w:val="00C47E46"/>
    <w:rsid w:val="00C500D7"/>
    <w:rsid w:val="00C502FE"/>
    <w:rsid w:val="00C5039B"/>
    <w:rsid w:val="00C503E8"/>
    <w:rsid w:val="00C50ADF"/>
    <w:rsid w:val="00C5129A"/>
    <w:rsid w:val="00C51664"/>
    <w:rsid w:val="00C528B8"/>
    <w:rsid w:val="00C530FE"/>
    <w:rsid w:val="00C533F1"/>
    <w:rsid w:val="00C53793"/>
    <w:rsid w:val="00C53873"/>
    <w:rsid w:val="00C54875"/>
    <w:rsid w:val="00C54F2C"/>
    <w:rsid w:val="00C55CCF"/>
    <w:rsid w:val="00C55E35"/>
    <w:rsid w:val="00C55F85"/>
    <w:rsid w:val="00C570E0"/>
    <w:rsid w:val="00C5713A"/>
    <w:rsid w:val="00C57525"/>
    <w:rsid w:val="00C57CE2"/>
    <w:rsid w:val="00C57FDF"/>
    <w:rsid w:val="00C603C6"/>
    <w:rsid w:val="00C60D6A"/>
    <w:rsid w:val="00C60E53"/>
    <w:rsid w:val="00C618C4"/>
    <w:rsid w:val="00C61DF1"/>
    <w:rsid w:val="00C62BC9"/>
    <w:rsid w:val="00C62DEC"/>
    <w:rsid w:val="00C62E2F"/>
    <w:rsid w:val="00C63381"/>
    <w:rsid w:val="00C63559"/>
    <w:rsid w:val="00C635C0"/>
    <w:rsid w:val="00C6471C"/>
    <w:rsid w:val="00C649C0"/>
    <w:rsid w:val="00C65EF6"/>
    <w:rsid w:val="00C660FC"/>
    <w:rsid w:val="00C67D15"/>
    <w:rsid w:val="00C70046"/>
    <w:rsid w:val="00C70E39"/>
    <w:rsid w:val="00C7139B"/>
    <w:rsid w:val="00C71F76"/>
    <w:rsid w:val="00C7207A"/>
    <w:rsid w:val="00C721C8"/>
    <w:rsid w:val="00C721D7"/>
    <w:rsid w:val="00C72440"/>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701"/>
    <w:rsid w:val="00C85CC7"/>
    <w:rsid w:val="00C86746"/>
    <w:rsid w:val="00C8747E"/>
    <w:rsid w:val="00C907E0"/>
    <w:rsid w:val="00C908C9"/>
    <w:rsid w:val="00C90C89"/>
    <w:rsid w:val="00C90DC5"/>
    <w:rsid w:val="00C90DD6"/>
    <w:rsid w:val="00C913F3"/>
    <w:rsid w:val="00C91481"/>
    <w:rsid w:val="00C91B31"/>
    <w:rsid w:val="00C91BEB"/>
    <w:rsid w:val="00C92B02"/>
    <w:rsid w:val="00C95190"/>
    <w:rsid w:val="00C956DF"/>
    <w:rsid w:val="00C97A53"/>
    <w:rsid w:val="00C97B5F"/>
    <w:rsid w:val="00C97F7D"/>
    <w:rsid w:val="00CA06EE"/>
    <w:rsid w:val="00CA0E3F"/>
    <w:rsid w:val="00CA115F"/>
    <w:rsid w:val="00CA23C7"/>
    <w:rsid w:val="00CA264C"/>
    <w:rsid w:val="00CA2A47"/>
    <w:rsid w:val="00CA405F"/>
    <w:rsid w:val="00CA451F"/>
    <w:rsid w:val="00CA51C4"/>
    <w:rsid w:val="00CA5254"/>
    <w:rsid w:val="00CA52DD"/>
    <w:rsid w:val="00CA613D"/>
    <w:rsid w:val="00CA699A"/>
    <w:rsid w:val="00CA70EB"/>
    <w:rsid w:val="00CA7306"/>
    <w:rsid w:val="00CA7923"/>
    <w:rsid w:val="00CB051B"/>
    <w:rsid w:val="00CB077B"/>
    <w:rsid w:val="00CB0AD2"/>
    <w:rsid w:val="00CB1253"/>
    <w:rsid w:val="00CB140A"/>
    <w:rsid w:val="00CB1E4D"/>
    <w:rsid w:val="00CB1FC2"/>
    <w:rsid w:val="00CB2060"/>
    <w:rsid w:val="00CB286E"/>
    <w:rsid w:val="00CB2CF2"/>
    <w:rsid w:val="00CB2F1B"/>
    <w:rsid w:val="00CB3572"/>
    <w:rsid w:val="00CB3C06"/>
    <w:rsid w:val="00CB3F3B"/>
    <w:rsid w:val="00CB441D"/>
    <w:rsid w:val="00CB4525"/>
    <w:rsid w:val="00CB5622"/>
    <w:rsid w:val="00CB640E"/>
    <w:rsid w:val="00CB6584"/>
    <w:rsid w:val="00CB7BA0"/>
    <w:rsid w:val="00CB7C32"/>
    <w:rsid w:val="00CB7C9B"/>
    <w:rsid w:val="00CB7D1E"/>
    <w:rsid w:val="00CB7DE9"/>
    <w:rsid w:val="00CC09A2"/>
    <w:rsid w:val="00CC0DC7"/>
    <w:rsid w:val="00CC225A"/>
    <w:rsid w:val="00CC29B3"/>
    <w:rsid w:val="00CC2B6D"/>
    <w:rsid w:val="00CC2C0A"/>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3B10"/>
    <w:rsid w:val="00CD425D"/>
    <w:rsid w:val="00CD4263"/>
    <w:rsid w:val="00CD4AA0"/>
    <w:rsid w:val="00CD4AD4"/>
    <w:rsid w:val="00CD55CD"/>
    <w:rsid w:val="00CD5941"/>
    <w:rsid w:val="00CD59D0"/>
    <w:rsid w:val="00CD5AD0"/>
    <w:rsid w:val="00CD5CEB"/>
    <w:rsid w:val="00CD64B2"/>
    <w:rsid w:val="00CD6847"/>
    <w:rsid w:val="00CD771C"/>
    <w:rsid w:val="00CD7884"/>
    <w:rsid w:val="00CD7F5A"/>
    <w:rsid w:val="00CE0156"/>
    <w:rsid w:val="00CE07B1"/>
    <w:rsid w:val="00CE1149"/>
    <w:rsid w:val="00CE1429"/>
    <w:rsid w:val="00CE16CE"/>
    <w:rsid w:val="00CE1CEF"/>
    <w:rsid w:val="00CE1E28"/>
    <w:rsid w:val="00CE28BC"/>
    <w:rsid w:val="00CE3286"/>
    <w:rsid w:val="00CE364B"/>
    <w:rsid w:val="00CE4142"/>
    <w:rsid w:val="00CE4676"/>
    <w:rsid w:val="00CE48BF"/>
    <w:rsid w:val="00CE4E5E"/>
    <w:rsid w:val="00CE4F1A"/>
    <w:rsid w:val="00CE526B"/>
    <w:rsid w:val="00CE529E"/>
    <w:rsid w:val="00CE52C8"/>
    <w:rsid w:val="00CE5F80"/>
    <w:rsid w:val="00CE5FDE"/>
    <w:rsid w:val="00CE6AF0"/>
    <w:rsid w:val="00CE6D1E"/>
    <w:rsid w:val="00CE788C"/>
    <w:rsid w:val="00CE7DF9"/>
    <w:rsid w:val="00CF016E"/>
    <w:rsid w:val="00CF0670"/>
    <w:rsid w:val="00CF0A02"/>
    <w:rsid w:val="00CF1693"/>
    <w:rsid w:val="00CF1E45"/>
    <w:rsid w:val="00CF2084"/>
    <w:rsid w:val="00CF2C37"/>
    <w:rsid w:val="00CF3705"/>
    <w:rsid w:val="00CF3E20"/>
    <w:rsid w:val="00CF4509"/>
    <w:rsid w:val="00CF597D"/>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38C2"/>
    <w:rsid w:val="00D0444F"/>
    <w:rsid w:val="00D04F39"/>
    <w:rsid w:val="00D053B9"/>
    <w:rsid w:val="00D05544"/>
    <w:rsid w:val="00D056CB"/>
    <w:rsid w:val="00D05DD8"/>
    <w:rsid w:val="00D061A8"/>
    <w:rsid w:val="00D061BC"/>
    <w:rsid w:val="00D062D7"/>
    <w:rsid w:val="00D0634F"/>
    <w:rsid w:val="00D0635F"/>
    <w:rsid w:val="00D064E6"/>
    <w:rsid w:val="00D06902"/>
    <w:rsid w:val="00D075BE"/>
    <w:rsid w:val="00D07639"/>
    <w:rsid w:val="00D103EF"/>
    <w:rsid w:val="00D10F44"/>
    <w:rsid w:val="00D11FCD"/>
    <w:rsid w:val="00D12B22"/>
    <w:rsid w:val="00D12B43"/>
    <w:rsid w:val="00D13595"/>
    <w:rsid w:val="00D13640"/>
    <w:rsid w:val="00D13B16"/>
    <w:rsid w:val="00D14806"/>
    <w:rsid w:val="00D15314"/>
    <w:rsid w:val="00D15399"/>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25B4"/>
    <w:rsid w:val="00D2285C"/>
    <w:rsid w:val="00D22C3F"/>
    <w:rsid w:val="00D22F7E"/>
    <w:rsid w:val="00D24665"/>
    <w:rsid w:val="00D246EC"/>
    <w:rsid w:val="00D2494E"/>
    <w:rsid w:val="00D24CE0"/>
    <w:rsid w:val="00D250E6"/>
    <w:rsid w:val="00D256F8"/>
    <w:rsid w:val="00D25E2C"/>
    <w:rsid w:val="00D26175"/>
    <w:rsid w:val="00D266A4"/>
    <w:rsid w:val="00D26C51"/>
    <w:rsid w:val="00D2780D"/>
    <w:rsid w:val="00D300B3"/>
    <w:rsid w:val="00D30178"/>
    <w:rsid w:val="00D30E7A"/>
    <w:rsid w:val="00D30ECB"/>
    <w:rsid w:val="00D31332"/>
    <w:rsid w:val="00D314AE"/>
    <w:rsid w:val="00D31730"/>
    <w:rsid w:val="00D31AFC"/>
    <w:rsid w:val="00D31CA4"/>
    <w:rsid w:val="00D31EBF"/>
    <w:rsid w:val="00D320A2"/>
    <w:rsid w:val="00D32457"/>
    <w:rsid w:val="00D33969"/>
    <w:rsid w:val="00D33E68"/>
    <w:rsid w:val="00D33E8F"/>
    <w:rsid w:val="00D3403A"/>
    <w:rsid w:val="00D3431C"/>
    <w:rsid w:val="00D34889"/>
    <w:rsid w:val="00D35826"/>
    <w:rsid w:val="00D3587E"/>
    <w:rsid w:val="00D359E4"/>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90B"/>
    <w:rsid w:val="00D41BA7"/>
    <w:rsid w:val="00D424F5"/>
    <w:rsid w:val="00D42937"/>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3A6"/>
    <w:rsid w:val="00D52D7E"/>
    <w:rsid w:val="00D52F23"/>
    <w:rsid w:val="00D52F99"/>
    <w:rsid w:val="00D53646"/>
    <w:rsid w:val="00D53F83"/>
    <w:rsid w:val="00D541AD"/>
    <w:rsid w:val="00D55013"/>
    <w:rsid w:val="00D55531"/>
    <w:rsid w:val="00D5556E"/>
    <w:rsid w:val="00D569F8"/>
    <w:rsid w:val="00D5752C"/>
    <w:rsid w:val="00D60116"/>
    <w:rsid w:val="00D604D6"/>
    <w:rsid w:val="00D60737"/>
    <w:rsid w:val="00D6104D"/>
    <w:rsid w:val="00D6118C"/>
    <w:rsid w:val="00D6200D"/>
    <w:rsid w:val="00D6375B"/>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2146"/>
    <w:rsid w:val="00D724B3"/>
    <w:rsid w:val="00D72C0A"/>
    <w:rsid w:val="00D72EE4"/>
    <w:rsid w:val="00D7348D"/>
    <w:rsid w:val="00D73492"/>
    <w:rsid w:val="00D73EE5"/>
    <w:rsid w:val="00D74097"/>
    <w:rsid w:val="00D74808"/>
    <w:rsid w:val="00D74919"/>
    <w:rsid w:val="00D74C49"/>
    <w:rsid w:val="00D74CFC"/>
    <w:rsid w:val="00D74D58"/>
    <w:rsid w:val="00D75001"/>
    <w:rsid w:val="00D7585A"/>
    <w:rsid w:val="00D758B1"/>
    <w:rsid w:val="00D76301"/>
    <w:rsid w:val="00D764DB"/>
    <w:rsid w:val="00D76654"/>
    <w:rsid w:val="00D76AC9"/>
    <w:rsid w:val="00D77081"/>
    <w:rsid w:val="00D77F4F"/>
    <w:rsid w:val="00D80C9F"/>
    <w:rsid w:val="00D81119"/>
    <w:rsid w:val="00D81896"/>
    <w:rsid w:val="00D818F9"/>
    <w:rsid w:val="00D81E4D"/>
    <w:rsid w:val="00D82587"/>
    <w:rsid w:val="00D82F65"/>
    <w:rsid w:val="00D836CC"/>
    <w:rsid w:val="00D83C73"/>
    <w:rsid w:val="00D84924"/>
    <w:rsid w:val="00D84DEB"/>
    <w:rsid w:val="00D84EAE"/>
    <w:rsid w:val="00D8578D"/>
    <w:rsid w:val="00D85FFD"/>
    <w:rsid w:val="00D8679A"/>
    <w:rsid w:val="00D87535"/>
    <w:rsid w:val="00D87E23"/>
    <w:rsid w:val="00D87E8A"/>
    <w:rsid w:val="00D90A00"/>
    <w:rsid w:val="00D90A99"/>
    <w:rsid w:val="00D90B42"/>
    <w:rsid w:val="00D90B5A"/>
    <w:rsid w:val="00D9131B"/>
    <w:rsid w:val="00D918FC"/>
    <w:rsid w:val="00D9208E"/>
    <w:rsid w:val="00D9214A"/>
    <w:rsid w:val="00D92B53"/>
    <w:rsid w:val="00D92DCE"/>
    <w:rsid w:val="00D93485"/>
    <w:rsid w:val="00D934FA"/>
    <w:rsid w:val="00D9453B"/>
    <w:rsid w:val="00D946A9"/>
    <w:rsid w:val="00D94B76"/>
    <w:rsid w:val="00D94BC4"/>
    <w:rsid w:val="00D957EB"/>
    <w:rsid w:val="00D967E2"/>
    <w:rsid w:val="00D96830"/>
    <w:rsid w:val="00D96DD1"/>
    <w:rsid w:val="00DA0545"/>
    <w:rsid w:val="00DA0FD5"/>
    <w:rsid w:val="00DA269C"/>
    <w:rsid w:val="00DA3640"/>
    <w:rsid w:val="00DA386E"/>
    <w:rsid w:val="00DA4022"/>
    <w:rsid w:val="00DA416B"/>
    <w:rsid w:val="00DA5551"/>
    <w:rsid w:val="00DA59D6"/>
    <w:rsid w:val="00DA628A"/>
    <w:rsid w:val="00DA6558"/>
    <w:rsid w:val="00DA73D7"/>
    <w:rsid w:val="00DA7C2A"/>
    <w:rsid w:val="00DA7DCB"/>
    <w:rsid w:val="00DB0141"/>
    <w:rsid w:val="00DB08B1"/>
    <w:rsid w:val="00DB13F5"/>
    <w:rsid w:val="00DB1AF4"/>
    <w:rsid w:val="00DB1CB2"/>
    <w:rsid w:val="00DB1D82"/>
    <w:rsid w:val="00DB1DBC"/>
    <w:rsid w:val="00DB243D"/>
    <w:rsid w:val="00DB2B48"/>
    <w:rsid w:val="00DB2C15"/>
    <w:rsid w:val="00DB2C63"/>
    <w:rsid w:val="00DB3576"/>
    <w:rsid w:val="00DB37B3"/>
    <w:rsid w:val="00DB3AAC"/>
    <w:rsid w:val="00DB3C9B"/>
    <w:rsid w:val="00DB43F4"/>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2D05"/>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3315"/>
    <w:rsid w:val="00DD40EE"/>
    <w:rsid w:val="00DD4D98"/>
    <w:rsid w:val="00DD5421"/>
    <w:rsid w:val="00DD5EC5"/>
    <w:rsid w:val="00DE0119"/>
    <w:rsid w:val="00DE0F1D"/>
    <w:rsid w:val="00DE1CF2"/>
    <w:rsid w:val="00DE1D62"/>
    <w:rsid w:val="00DE2020"/>
    <w:rsid w:val="00DE215A"/>
    <w:rsid w:val="00DE2EB9"/>
    <w:rsid w:val="00DE34DD"/>
    <w:rsid w:val="00DE3A97"/>
    <w:rsid w:val="00DE3FAA"/>
    <w:rsid w:val="00DE4E65"/>
    <w:rsid w:val="00DE5002"/>
    <w:rsid w:val="00DE5D5E"/>
    <w:rsid w:val="00DE5E8D"/>
    <w:rsid w:val="00DE60EF"/>
    <w:rsid w:val="00DE696D"/>
    <w:rsid w:val="00DE70C5"/>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ED5"/>
    <w:rsid w:val="00E00464"/>
    <w:rsid w:val="00E0051C"/>
    <w:rsid w:val="00E0081A"/>
    <w:rsid w:val="00E00922"/>
    <w:rsid w:val="00E00B88"/>
    <w:rsid w:val="00E00CA5"/>
    <w:rsid w:val="00E00F31"/>
    <w:rsid w:val="00E01A19"/>
    <w:rsid w:val="00E02438"/>
    <w:rsid w:val="00E03558"/>
    <w:rsid w:val="00E04642"/>
    <w:rsid w:val="00E055B6"/>
    <w:rsid w:val="00E06B0B"/>
    <w:rsid w:val="00E06B63"/>
    <w:rsid w:val="00E06CAA"/>
    <w:rsid w:val="00E0719A"/>
    <w:rsid w:val="00E075D9"/>
    <w:rsid w:val="00E07908"/>
    <w:rsid w:val="00E07983"/>
    <w:rsid w:val="00E079A1"/>
    <w:rsid w:val="00E10DB9"/>
    <w:rsid w:val="00E10E35"/>
    <w:rsid w:val="00E11139"/>
    <w:rsid w:val="00E113DD"/>
    <w:rsid w:val="00E1161C"/>
    <w:rsid w:val="00E11C08"/>
    <w:rsid w:val="00E1224B"/>
    <w:rsid w:val="00E122E7"/>
    <w:rsid w:val="00E12858"/>
    <w:rsid w:val="00E131B9"/>
    <w:rsid w:val="00E13DBC"/>
    <w:rsid w:val="00E13E30"/>
    <w:rsid w:val="00E14218"/>
    <w:rsid w:val="00E154EF"/>
    <w:rsid w:val="00E15527"/>
    <w:rsid w:val="00E159FE"/>
    <w:rsid w:val="00E1604A"/>
    <w:rsid w:val="00E162DC"/>
    <w:rsid w:val="00E16B28"/>
    <w:rsid w:val="00E16DFF"/>
    <w:rsid w:val="00E1724B"/>
    <w:rsid w:val="00E174D4"/>
    <w:rsid w:val="00E17578"/>
    <w:rsid w:val="00E17C92"/>
    <w:rsid w:val="00E17DC6"/>
    <w:rsid w:val="00E17F97"/>
    <w:rsid w:val="00E2012B"/>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300"/>
    <w:rsid w:val="00E27672"/>
    <w:rsid w:val="00E27A1F"/>
    <w:rsid w:val="00E30591"/>
    <w:rsid w:val="00E30735"/>
    <w:rsid w:val="00E30AC5"/>
    <w:rsid w:val="00E30FB6"/>
    <w:rsid w:val="00E315CE"/>
    <w:rsid w:val="00E31713"/>
    <w:rsid w:val="00E31ACE"/>
    <w:rsid w:val="00E32128"/>
    <w:rsid w:val="00E338FF"/>
    <w:rsid w:val="00E33D54"/>
    <w:rsid w:val="00E342E5"/>
    <w:rsid w:val="00E344F6"/>
    <w:rsid w:val="00E355DA"/>
    <w:rsid w:val="00E3591B"/>
    <w:rsid w:val="00E35D84"/>
    <w:rsid w:val="00E36028"/>
    <w:rsid w:val="00E3641B"/>
    <w:rsid w:val="00E36F1F"/>
    <w:rsid w:val="00E376A8"/>
    <w:rsid w:val="00E37778"/>
    <w:rsid w:val="00E40FBC"/>
    <w:rsid w:val="00E41462"/>
    <w:rsid w:val="00E4181F"/>
    <w:rsid w:val="00E41882"/>
    <w:rsid w:val="00E41F7B"/>
    <w:rsid w:val="00E42FC3"/>
    <w:rsid w:val="00E43CD2"/>
    <w:rsid w:val="00E4453A"/>
    <w:rsid w:val="00E44B5E"/>
    <w:rsid w:val="00E45246"/>
    <w:rsid w:val="00E45B2A"/>
    <w:rsid w:val="00E4641F"/>
    <w:rsid w:val="00E46424"/>
    <w:rsid w:val="00E4696E"/>
    <w:rsid w:val="00E46C5B"/>
    <w:rsid w:val="00E46DD5"/>
    <w:rsid w:val="00E47542"/>
    <w:rsid w:val="00E51A54"/>
    <w:rsid w:val="00E522B1"/>
    <w:rsid w:val="00E523AD"/>
    <w:rsid w:val="00E525E1"/>
    <w:rsid w:val="00E529DB"/>
    <w:rsid w:val="00E52A14"/>
    <w:rsid w:val="00E52A52"/>
    <w:rsid w:val="00E52F56"/>
    <w:rsid w:val="00E53098"/>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684"/>
    <w:rsid w:val="00E61862"/>
    <w:rsid w:val="00E61E3D"/>
    <w:rsid w:val="00E61E40"/>
    <w:rsid w:val="00E62671"/>
    <w:rsid w:val="00E63934"/>
    <w:rsid w:val="00E63D94"/>
    <w:rsid w:val="00E63F1A"/>
    <w:rsid w:val="00E64023"/>
    <w:rsid w:val="00E641C8"/>
    <w:rsid w:val="00E64874"/>
    <w:rsid w:val="00E64A2B"/>
    <w:rsid w:val="00E64FC0"/>
    <w:rsid w:val="00E6509B"/>
    <w:rsid w:val="00E65B05"/>
    <w:rsid w:val="00E661B9"/>
    <w:rsid w:val="00E663CA"/>
    <w:rsid w:val="00E66958"/>
    <w:rsid w:val="00E66984"/>
    <w:rsid w:val="00E66BCE"/>
    <w:rsid w:val="00E6742E"/>
    <w:rsid w:val="00E704F9"/>
    <w:rsid w:val="00E7053D"/>
    <w:rsid w:val="00E707A7"/>
    <w:rsid w:val="00E70C8F"/>
    <w:rsid w:val="00E7167D"/>
    <w:rsid w:val="00E71811"/>
    <w:rsid w:val="00E7188B"/>
    <w:rsid w:val="00E7293C"/>
    <w:rsid w:val="00E72C9D"/>
    <w:rsid w:val="00E734D8"/>
    <w:rsid w:val="00E74A60"/>
    <w:rsid w:val="00E753B3"/>
    <w:rsid w:val="00E753D1"/>
    <w:rsid w:val="00E75D5C"/>
    <w:rsid w:val="00E76A5D"/>
    <w:rsid w:val="00E773C2"/>
    <w:rsid w:val="00E7784D"/>
    <w:rsid w:val="00E77B20"/>
    <w:rsid w:val="00E77DB4"/>
    <w:rsid w:val="00E8064B"/>
    <w:rsid w:val="00E8069F"/>
    <w:rsid w:val="00E812BC"/>
    <w:rsid w:val="00E8198B"/>
    <w:rsid w:val="00E819D3"/>
    <w:rsid w:val="00E81F74"/>
    <w:rsid w:val="00E8211B"/>
    <w:rsid w:val="00E82A33"/>
    <w:rsid w:val="00E8401D"/>
    <w:rsid w:val="00E841BE"/>
    <w:rsid w:val="00E842AF"/>
    <w:rsid w:val="00E84390"/>
    <w:rsid w:val="00E853F5"/>
    <w:rsid w:val="00E8572F"/>
    <w:rsid w:val="00E8639D"/>
    <w:rsid w:val="00E8690A"/>
    <w:rsid w:val="00E8747B"/>
    <w:rsid w:val="00E87C61"/>
    <w:rsid w:val="00E909DA"/>
    <w:rsid w:val="00E90B59"/>
    <w:rsid w:val="00E90C15"/>
    <w:rsid w:val="00E90C53"/>
    <w:rsid w:val="00E90F31"/>
    <w:rsid w:val="00E91817"/>
    <w:rsid w:val="00E91A36"/>
    <w:rsid w:val="00E91A49"/>
    <w:rsid w:val="00E91C83"/>
    <w:rsid w:val="00E91E06"/>
    <w:rsid w:val="00E9208C"/>
    <w:rsid w:val="00E92CA8"/>
    <w:rsid w:val="00E93F2B"/>
    <w:rsid w:val="00E94AE2"/>
    <w:rsid w:val="00E94D03"/>
    <w:rsid w:val="00E94EF5"/>
    <w:rsid w:val="00E94F93"/>
    <w:rsid w:val="00E95175"/>
    <w:rsid w:val="00E95888"/>
    <w:rsid w:val="00E95BC1"/>
    <w:rsid w:val="00E96784"/>
    <w:rsid w:val="00EA0160"/>
    <w:rsid w:val="00EA0954"/>
    <w:rsid w:val="00EA10C8"/>
    <w:rsid w:val="00EA10F4"/>
    <w:rsid w:val="00EA189E"/>
    <w:rsid w:val="00EA1B87"/>
    <w:rsid w:val="00EA320A"/>
    <w:rsid w:val="00EA36E4"/>
    <w:rsid w:val="00EA3D30"/>
    <w:rsid w:val="00EA3EDD"/>
    <w:rsid w:val="00EA3EFB"/>
    <w:rsid w:val="00EA47A3"/>
    <w:rsid w:val="00EA4C56"/>
    <w:rsid w:val="00EA5395"/>
    <w:rsid w:val="00EA5A1A"/>
    <w:rsid w:val="00EA5B02"/>
    <w:rsid w:val="00EA5F92"/>
    <w:rsid w:val="00EA6532"/>
    <w:rsid w:val="00EA73DA"/>
    <w:rsid w:val="00EA7593"/>
    <w:rsid w:val="00EA7F94"/>
    <w:rsid w:val="00EB0B5E"/>
    <w:rsid w:val="00EB13EB"/>
    <w:rsid w:val="00EB1AE8"/>
    <w:rsid w:val="00EB1EAC"/>
    <w:rsid w:val="00EB2326"/>
    <w:rsid w:val="00EB2B0E"/>
    <w:rsid w:val="00EB2EA6"/>
    <w:rsid w:val="00EB306E"/>
    <w:rsid w:val="00EB3216"/>
    <w:rsid w:val="00EB37C1"/>
    <w:rsid w:val="00EB3D47"/>
    <w:rsid w:val="00EB3DAA"/>
    <w:rsid w:val="00EB442C"/>
    <w:rsid w:val="00EB4ACF"/>
    <w:rsid w:val="00EB4E30"/>
    <w:rsid w:val="00EB4F85"/>
    <w:rsid w:val="00EB53BB"/>
    <w:rsid w:val="00EB5516"/>
    <w:rsid w:val="00EB5FBD"/>
    <w:rsid w:val="00EB5FBF"/>
    <w:rsid w:val="00EB61DF"/>
    <w:rsid w:val="00EB6949"/>
    <w:rsid w:val="00EB7970"/>
    <w:rsid w:val="00EB7ABC"/>
    <w:rsid w:val="00EB7E2F"/>
    <w:rsid w:val="00EC0153"/>
    <w:rsid w:val="00EC0163"/>
    <w:rsid w:val="00EC01D0"/>
    <w:rsid w:val="00EC15F0"/>
    <w:rsid w:val="00EC20E7"/>
    <w:rsid w:val="00EC238A"/>
    <w:rsid w:val="00EC2782"/>
    <w:rsid w:val="00EC2895"/>
    <w:rsid w:val="00EC344C"/>
    <w:rsid w:val="00EC3A53"/>
    <w:rsid w:val="00EC3F0B"/>
    <w:rsid w:val="00EC402A"/>
    <w:rsid w:val="00EC4063"/>
    <w:rsid w:val="00EC539B"/>
    <w:rsid w:val="00EC55C4"/>
    <w:rsid w:val="00EC5915"/>
    <w:rsid w:val="00EC6038"/>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4B5"/>
    <w:rsid w:val="00ED495F"/>
    <w:rsid w:val="00ED4DEB"/>
    <w:rsid w:val="00ED57A7"/>
    <w:rsid w:val="00ED5A33"/>
    <w:rsid w:val="00ED5F1D"/>
    <w:rsid w:val="00ED5F4D"/>
    <w:rsid w:val="00ED63E9"/>
    <w:rsid w:val="00ED6436"/>
    <w:rsid w:val="00ED65C3"/>
    <w:rsid w:val="00ED69B9"/>
    <w:rsid w:val="00ED6D4F"/>
    <w:rsid w:val="00ED6F70"/>
    <w:rsid w:val="00ED707E"/>
    <w:rsid w:val="00ED7784"/>
    <w:rsid w:val="00ED7EC5"/>
    <w:rsid w:val="00EE024B"/>
    <w:rsid w:val="00EE06F3"/>
    <w:rsid w:val="00EE0C0E"/>
    <w:rsid w:val="00EE105C"/>
    <w:rsid w:val="00EE1EC2"/>
    <w:rsid w:val="00EE1FB7"/>
    <w:rsid w:val="00EE238E"/>
    <w:rsid w:val="00EE2431"/>
    <w:rsid w:val="00EE3204"/>
    <w:rsid w:val="00EE359B"/>
    <w:rsid w:val="00EE39A1"/>
    <w:rsid w:val="00EE3A47"/>
    <w:rsid w:val="00EE3DCE"/>
    <w:rsid w:val="00EE45FA"/>
    <w:rsid w:val="00EE50AA"/>
    <w:rsid w:val="00EE58A3"/>
    <w:rsid w:val="00EE5B24"/>
    <w:rsid w:val="00EE618C"/>
    <w:rsid w:val="00EE6190"/>
    <w:rsid w:val="00EE63F9"/>
    <w:rsid w:val="00EE64F0"/>
    <w:rsid w:val="00EE79C6"/>
    <w:rsid w:val="00EF0357"/>
    <w:rsid w:val="00EF03B3"/>
    <w:rsid w:val="00EF0782"/>
    <w:rsid w:val="00EF07E0"/>
    <w:rsid w:val="00EF1300"/>
    <w:rsid w:val="00EF15D6"/>
    <w:rsid w:val="00EF16AB"/>
    <w:rsid w:val="00EF1BE7"/>
    <w:rsid w:val="00EF2014"/>
    <w:rsid w:val="00EF27CF"/>
    <w:rsid w:val="00EF3A80"/>
    <w:rsid w:val="00EF40EB"/>
    <w:rsid w:val="00EF4380"/>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5B1"/>
    <w:rsid w:val="00F037D6"/>
    <w:rsid w:val="00F038E9"/>
    <w:rsid w:val="00F03945"/>
    <w:rsid w:val="00F0416C"/>
    <w:rsid w:val="00F042C5"/>
    <w:rsid w:val="00F052ED"/>
    <w:rsid w:val="00F05A2F"/>
    <w:rsid w:val="00F06324"/>
    <w:rsid w:val="00F06611"/>
    <w:rsid w:val="00F06D6D"/>
    <w:rsid w:val="00F06E13"/>
    <w:rsid w:val="00F06F3F"/>
    <w:rsid w:val="00F07853"/>
    <w:rsid w:val="00F07DF1"/>
    <w:rsid w:val="00F10A6C"/>
    <w:rsid w:val="00F10C6E"/>
    <w:rsid w:val="00F10FCC"/>
    <w:rsid w:val="00F1140A"/>
    <w:rsid w:val="00F11975"/>
    <w:rsid w:val="00F11EB8"/>
    <w:rsid w:val="00F12B71"/>
    <w:rsid w:val="00F134F4"/>
    <w:rsid w:val="00F13E1E"/>
    <w:rsid w:val="00F1429C"/>
    <w:rsid w:val="00F15705"/>
    <w:rsid w:val="00F17352"/>
    <w:rsid w:val="00F17981"/>
    <w:rsid w:val="00F17B12"/>
    <w:rsid w:val="00F17E0D"/>
    <w:rsid w:val="00F204EF"/>
    <w:rsid w:val="00F206D8"/>
    <w:rsid w:val="00F20E7A"/>
    <w:rsid w:val="00F213B1"/>
    <w:rsid w:val="00F214AF"/>
    <w:rsid w:val="00F22898"/>
    <w:rsid w:val="00F23581"/>
    <w:rsid w:val="00F23B68"/>
    <w:rsid w:val="00F23C19"/>
    <w:rsid w:val="00F24A41"/>
    <w:rsid w:val="00F2554B"/>
    <w:rsid w:val="00F25CF0"/>
    <w:rsid w:val="00F25F18"/>
    <w:rsid w:val="00F2641D"/>
    <w:rsid w:val="00F26DF5"/>
    <w:rsid w:val="00F27290"/>
    <w:rsid w:val="00F2785B"/>
    <w:rsid w:val="00F279B0"/>
    <w:rsid w:val="00F30251"/>
    <w:rsid w:val="00F305B2"/>
    <w:rsid w:val="00F320B8"/>
    <w:rsid w:val="00F3226D"/>
    <w:rsid w:val="00F3245D"/>
    <w:rsid w:val="00F334B6"/>
    <w:rsid w:val="00F335A7"/>
    <w:rsid w:val="00F33E15"/>
    <w:rsid w:val="00F34265"/>
    <w:rsid w:val="00F34CDE"/>
    <w:rsid w:val="00F35249"/>
    <w:rsid w:val="00F353F9"/>
    <w:rsid w:val="00F35609"/>
    <w:rsid w:val="00F358B6"/>
    <w:rsid w:val="00F35BAB"/>
    <w:rsid w:val="00F35D3F"/>
    <w:rsid w:val="00F3607F"/>
    <w:rsid w:val="00F36207"/>
    <w:rsid w:val="00F3646F"/>
    <w:rsid w:val="00F36C1D"/>
    <w:rsid w:val="00F372A4"/>
    <w:rsid w:val="00F373AF"/>
    <w:rsid w:val="00F3754E"/>
    <w:rsid w:val="00F4167E"/>
    <w:rsid w:val="00F416FA"/>
    <w:rsid w:val="00F41931"/>
    <w:rsid w:val="00F42339"/>
    <w:rsid w:val="00F423EF"/>
    <w:rsid w:val="00F4314A"/>
    <w:rsid w:val="00F43433"/>
    <w:rsid w:val="00F43450"/>
    <w:rsid w:val="00F44BE8"/>
    <w:rsid w:val="00F44C0F"/>
    <w:rsid w:val="00F45BA6"/>
    <w:rsid w:val="00F470A4"/>
    <w:rsid w:val="00F479F8"/>
    <w:rsid w:val="00F50014"/>
    <w:rsid w:val="00F5068A"/>
    <w:rsid w:val="00F50A32"/>
    <w:rsid w:val="00F50B68"/>
    <w:rsid w:val="00F516D6"/>
    <w:rsid w:val="00F5192B"/>
    <w:rsid w:val="00F51D3D"/>
    <w:rsid w:val="00F522CB"/>
    <w:rsid w:val="00F5262C"/>
    <w:rsid w:val="00F527D2"/>
    <w:rsid w:val="00F52F30"/>
    <w:rsid w:val="00F53680"/>
    <w:rsid w:val="00F53BB6"/>
    <w:rsid w:val="00F53E8B"/>
    <w:rsid w:val="00F5428A"/>
    <w:rsid w:val="00F54596"/>
    <w:rsid w:val="00F5558B"/>
    <w:rsid w:val="00F55ED9"/>
    <w:rsid w:val="00F56103"/>
    <w:rsid w:val="00F56DA6"/>
    <w:rsid w:val="00F56FE4"/>
    <w:rsid w:val="00F570B1"/>
    <w:rsid w:val="00F57EB4"/>
    <w:rsid w:val="00F6026C"/>
    <w:rsid w:val="00F60F26"/>
    <w:rsid w:val="00F62574"/>
    <w:rsid w:val="00F62AFD"/>
    <w:rsid w:val="00F6310D"/>
    <w:rsid w:val="00F6428B"/>
    <w:rsid w:val="00F64BCD"/>
    <w:rsid w:val="00F64CAE"/>
    <w:rsid w:val="00F64F37"/>
    <w:rsid w:val="00F651D8"/>
    <w:rsid w:val="00F65234"/>
    <w:rsid w:val="00F65258"/>
    <w:rsid w:val="00F6531D"/>
    <w:rsid w:val="00F65408"/>
    <w:rsid w:val="00F65904"/>
    <w:rsid w:val="00F65B99"/>
    <w:rsid w:val="00F663B7"/>
    <w:rsid w:val="00F6676D"/>
    <w:rsid w:val="00F67785"/>
    <w:rsid w:val="00F677C4"/>
    <w:rsid w:val="00F677FA"/>
    <w:rsid w:val="00F70786"/>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D5D"/>
    <w:rsid w:val="00F83EBA"/>
    <w:rsid w:val="00F84162"/>
    <w:rsid w:val="00F84547"/>
    <w:rsid w:val="00F8559D"/>
    <w:rsid w:val="00F85686"/>
    <w:rsid w:val="00F85A0D"/>
    <w:rsid w:val="00F85E7E"/>
    <w:rsid w:val="00F87CE0"/>
    <w:rsid w:val="00F90580"/>
    <w:rsid w:val="00F90901"/>
    <w:rsid w:val="00F91224"/>
    <w:rsid w:val="00F91732"/>
    <w:rsid w:val="00F91E8C"/>
    <w:rsid w:val="00F929A1"/>
    <w:rsid w:val="00F9315B"/>
    <w:rsid w:val="00F932D8"/>
    <w:rsid w:val="00F93C4B"/>
    <w:rsid w:val="00F9466F"/>
    <w:rsid w:val="00F94B8C"/>
    <w:rsid w:val="00F94CE3"/>
    <w:rsid w:val="00F94FA6"/>
    <w:rsid w:val="00F95627"/>
    <w:rsid w:val="00F95877"/>
    <w:rsid w:val="00F958E4"/>
    <w:rsid w:val="00F95BBF"/>
    <w:rsid w:val="00F95BD9"/>
    <w:rsid w:val="00F95D39"/>
    <w:rsid w:val="00F96496"/>
    <w:rsid w:val="00F968EE"/>
    <w:rsid w:val="00F97DBD"/>
    <w:rsid w:val="00FA000A"/>
    <w:rsid w:val="00FA0189"/>
    <w:rsid w:val="00FA035D"/>
    <w:rsid w:val="00FA0390"/>
    <w:rsid w:val="00FA03F4"/>
    <w:rsid w:val="00FA09B4"/>
    <w:rsid w:val="00FA0C36"/>
    <w:rsid w:val="00FA181D"/>
    <w:rsid w:val="00FA1C72"/>
    <w:rsid w:val="00FA49F7"/>
    <w:rsid w:val="00FA4D61"/>
    <w:rsid w:val="00FA5348"/>
    <w:rsid w:val="00FA5ADC"/>
    <w:rsid w:val="00FA70FA"/>
    <w:rsid w:val="00FA792B"/>
    <w:rsid w:val="00FB0592"/>
    <w:rsid w:val="00FB0808"/>
    <w:rsid w:val="00FB1198"/>
    <w:rsid w:val="00FB13B9"/>
    <w:rsid w:val="00FB2619"/>
    <w:rsid w:val="00FB276C"/>
    <w:rsid w:val="00FB303B"/>
    <w:rsid w:val="00FB372D"/>
    <w:rsid w:val="00FB4032"/>
    <w:rsid w:val="00FB42E8"/>
    <w:rsid w:val="00FB4714"/>
    <w:rsid w:val="00FB49C0"/>
    <w:rsid w:val="00FB50FD"/>
    <w:rsid w:val="00FB57FB"/>
    <w:rsid w:val="00FB5F29"/>
    <w:rsid w:val="00FB60F1"/>
    <w:rsid w:val="00FB6813"/>
    <w:rsid w:val="00FB6C48"/>
    <w:rsid w:val="00FB71DC"/>
    <w:rsid w:val="00FB7611"/>
    <w:rsid w:val="00FB78A4"/>
    <w:rsid w:val="00FC0C2A"/>
    <w:rsid w:val="00FC0DD7"/>
    <w:rsid w:val="00FC116A"/>
    <w:rsid w:val="00FC13CC"/>
    <w:rsid w:val="00FC18C4"/>
    <w:rsid w:val="00FC1ACE"/>
    <w:rsid w:val="00FC26DD"/>
    <w:rsid w:val="00FC2F9C"/>
    <w:rsid w:val="00FC3460"/>
    <w:rsid w:val="00FC3B84"/>
    <w:rsid w:val="00FC3FEF"/>
    <w:rsid w:val="00FC4ECC"/>
    <w:rsid w:val="00FC536F"/>
    <w:rsid w:val="00FC53CE"/>
    <w:rsid w:val="00FC54D7"/>
    <w:rsid w:val="00FC5E4E"/>
    <w:rsid w:val="00FC6457"/>
    <w:rsid w:val="00FC6EF4"/>
    <w:rsid w:val="00FD0675"/>
    <w:rsid w:val="00FD0D70"/>
    <w:rsid w:val="00FD1829"/>
    <w:rsid w:val="00FD19E3"/>
    <w:rsid w:val="00FD2245"/>
    <w:rsid w:val="00FD2BCE"/>
    <w:rsid w:val="00FD2D31"/>
    <w:rsid w:val="00FD4053"/>
    <w:rsid w:val="00FD45EB"/>
    <w:rsid w:val="00FD48FD"/>
    <w:rsid w:val="00FD4C7A"/>
    <w:rsid w:val="00FD56F5"/>
    <w:rsid w:val="00FD5C78"/>
    <w:rsid w:val="00FD6BD3"/>
    <w:rsid w:val="00FD6CA4"/>
    <w:rsid w:val="00FD70AF"/>
    <w:rsid w:val="00FD79BB"/>
    <w:rsid w:val="00FD7D0A"/>
    <w:rsid w:val="00FD7F59"/>
    <w:rsid w:val="00FE0B21"/>
    <w:rsid w:val="00FE147D"/>
    <w:rsid w:val="00FE18C9"/>
    <w:rsid w:val="00FE1B93"/>
    <w:rsid w:val="00FE2152"/>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672DFE8"/>
    <w:rsid w:val="2C9408E7"/>
    <w:rsid w:val="318BEF12"/>
    <w:rsid w:val="383B1A59"/>
    <w:rsid w:val="3D1269B8"/>
    <w:rsid w:val="46DF2643"/>
    <w:rsid w:val="50427524"/>
    <w:rsid w:val="513F3C07"/>
    <w:rsid w:val="51C36E29"/>
    <w:rsid w:val="5BB58BB3"/>
    <w:rsid w:val="60651737"/>
    <w:rsid w:val="6FF907D8"/>
    <w:rsid w:val="70A5DAA3"/>
    <w:rsid w:val="70D27263"/>
    <w:rsid w:val="71397364"/>
    <w:rsid w:val="7270FB90"/>
    <w:rsid w:val="748D7659"/>
    <w:rsid w:val="768D8C29"/>
    <w:rsid w:val="7AFCB7DD"/>
    <w:rsid w:val="7CBE6283"/>
    <w:rsid w:val="7D5F1596"/>
    <w:rsid w:val="7E1B3042"/>
    <w:rsid w:val="7E5A3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A20EDE78-DF89-4E94-80FB-463BA371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C5"/>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1,Footnote Text Cha Car1"/>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styleId="Refdecomentario">
    <w:name w:val="annotation reference"/>
    <w:basedOn w:val="Fuentedeprrafopredeter"/>
    <w:uiPriority w:val="99"/>
    <w:semiHidden/>
    <w:unhideWhenUsed/>
    <w:rsid w:val="00051677"/>
    <w:rPr>
      <w:sz w:val="16"/>
      <w:szCs w:val="16"/>
    </w:rPr>
  </w:style>
  <w:style w:type="paragraph" w:styleId="Textocomentario">
    <w:name w:val="annotation text"/>
    <w:basedOn w:val="Normal"/>
    <w:link w:val="TextocomentarioCar"/>
    <w:semiHidden/>
    <w:unhideWhenUsed/>
    <w:rsid w:val="00051677"/>
    <w:rPr>
      <w:sz w:val="20"/>
      <w:szCs w:val="20"/>
    </w:rPr>
  </w:style>
  <w:style w:type="character" w:customStyle="1" w:styleId="TextocomentarioCar">
    <w:name w:val="Texto comentario Car"/>
    <w:basedOn w:val="Fuentedeprrafopredeter"/>
    <w:link w:val="Textocomentario"/>
    <w:semiHidden/>
    <w:rsid w:val="00051677"/>
  </w:style>
  <w:style w:type="paragraph" w:styleId="Asuntodelcomentario">
    <w:name w:val="annotation subject"/>
    <w:basedOn w:val="Textocomentario"/>
    <w:next w:val="Textocomentario"/>
    <w:link w:val="AsuntodelcomentarioCar"/>
    <w:semiHidden/>
    <w:unhideWhenUsed/>
    <w:rsid w:val="00051677"/>
    <w:rPr>
      <w:b/>
      <w:bCs/>
    </w:rPr>
  </w:style>
  <w:style w:type="character" w:customStyle="1" w:styleId="AsuntodelcomentarioCar">
    <w:name w:val="Asunto del comentario Car"/>
    <w:basedOn w:val="TextocomentarioCar"/>
    <w:link w:val="Asuntodelcomentario"/>
    <w:semiHidden/>
    <w:rsid w:val="00051677"/>
    <w:rPr>
      <w:b/>
      <w:bCs/>
    </w:rPr>
  </w:style>
  <w:style w:type="paragraph" w:styleId="Revisin">
    <w:name w:val="Revision"/>
    <w:hidden/>
    <w:uiPriority w:val="99"/>
    <w:semiHidden/>
    <w:rsid w:val="001F7BDE"/>
    <w:rPr>
      <w:sz w:val="24"/>
      <w:szCs w:val="24"/>
    </w:rPr>
  </w:style>
  <w:style w:type="paragraph" w:customStyle="1" w:styleId="Prrafonormal">
    <w:name w:val="Párrafo normal"/>
    <w:basedOn w:val="Normal"/>
    <w:autoRedefine/>
    <w:uiPriority w:val="99"/>
    <w:qFormat/>
    <w:rsid w:val="000A7B83"/>
    <w:pPr>
      <w:widowControl w:val="0"/>
      <w:spacing w:line="360" w:lineRule="auto"/>
      <w:ind w:firstLine="709"/>
      <w:jc w:val="both"/>
    </w:pPr>
    <w:rPr>
      <w:rFonts w:ascii="Bookman Old Style" w:hAnsi="Bookman Old Style"/>
      <w:sz w:val="28"/>
      <w:szCs w:val="20"/>
      <w:lang w:val="es-CO" w:eastAsia="es-MX"/>
    </w:rPr>
  </w:style>
  <w:style w:type="character" w:customStyle="1" w:styleId="cf01">
    <w:name w:val="cf01"/>
    <w:basedOn w:val="Fuentedeprrafopredeter"/>
    <w:rsid w:val="006A5E0F"/>
    <w:rPr>
      <w:rFonts w:ascii="Segoe UI" w:hAnsi="Segoe UI" w:cs="Segoe UI" w:hint="default"/>
      <w:sz w:val="18"/>
      <w:szCs w:val="18"/>
    </w:rPr>
  </w:style>
  <w:style w:type="table" w:styleId="Tabladecuadrcula1clara-nfasis1">
    <w:name w:val="Grid Table 1 Light Accent 1"/>
    <w:basedOn w:val="Tablanormal"/>
    <w:uiPriority w:val="46"/>
    <w:rsid w:val="003660F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3660F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17572544">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2593631">
      <w:bodyDiv w:val="1"/>
      <w:marLeft w:val="0"/>
      <w:marRight w:val="0"/>
      <w:marTop w:val="0"/>
      <w:marBottom w:val="0"/>
      <w:divBdr>
        <w:top w:val="none" w:sz="0" w:space="0" w:color="auto"/>
        <w:left w:val="none" w:sz="0" w:space="0" w:color="auto"/>
        <w:bottom w:val="none" w:sz="0" w:space="0" w:color="auto"/>
        <w:right w:val="none" w:sz="0" w:space="0" w:color="auto"/>
      </w:divBdr>
      <w:divsChild>
        <w:div w:id="994410278">
          <w:marLeft w:val="0"/>
          <w:marRight w:val="0"/>
          <w:marTop w:val="0"/>
          <w:marBottom w:val="0"/>
          <w:divBdr>
            <w:top w:val="none" w:sz="0" w:space="0" w:color="auto"/>
            <w:left w:val="none" w:sz="0" w:space="0" w:color="auto"/>
            <w:bottom w:val="none" w:sz="0" w:space="0" w:color="auto"/>
            <w:right w:val="none" w:sz="0" w:space="0" w:color="auto"/>
          </w:divBdr>
        </w:div>
      </w:divsChild>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757870">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05804889">
      <w:bodyDiv w:val="1"/>
      <w:marLeft w:val="0"/>
      <w:marRight w:val="0"/>
      <w:marTop w:val="0"/>
      <w:marBottom w:val="0"/>
      <w:divBdr>
        <w:top w:val="none" w:sz="0" w:space="0" w:color="auto"/>
        <w:left w:val="none" w:sz="0" w:space="0" w:color="auto"/>
        <w:bottom w:val="none" w:sz="0" w:space="0" w:color="auto"/>
        <w:right w:val="none" w:sz="0" w:space="0" w:color="auto"/>
      </w:divBdr>
    </w:div>
    <w:div w:id="441145344">
      <w:bodyDiv w:val="1"/>
      <w:marLeft w:val="0"/>
      <w:marRight w:val="0"/>
      <w:marTop w:val="0"/>
      <w:marBottom w:val="0"/>
      <w:divBdr>
        <w:top w:val="none" w:sz="0" w:space="0" w:color="auto"/>
        <w:left w:val="none" w:sz="0" w:space="0" w:color="auto"/>
        <w:bottom w:val="none" w:sz="0" w:space="0" w:color="auto"/>
        <w:right w:val="none" w:sz="0" w:space="0" w:color="auto"/>
      </w:divBdr>
      <w:divsChild>
        <w:div w:id="209341237">
          <w:marLeft w:val="0"/>
          <w:marRight w:val="0"/>
          <w:marTop w:val="0"/>
          <w:marBottom w:val="0"/>
          <w:divBdr>
            <w:top w:val="none" w:sz="0" w:space="0" w:color="auto"/>
            <w:left w:val="none" w:sz="0" w:space="0" w:color="auto"/>
            <w:bottom w:val="none" w:sz="0" w:space="0" w:color="auto"/>
            <w:right w:val="none" w:sz="0" w:space="0" w:color="auto"/>
          </w:divBdr>
        </w:div>
        <w:div w:id="438909978">
          <w:marLeft w:val="0"/>
          <w:marRight w:val="0"/>
          <w:marTop w:val="0"/>
          <w:marBottom w:val="0"/>
          <w:divBdr>
            <w:top w:val="none" w:sz="0" w:space="0" w:color="auto"/>
            <w:left w:val="none" w:sz="0" w:space="0" w:color="auto"/>
            <w:bottom w:val="none" w:sz="0" w:space="0" w:color="auto"/>
            <w:right w:val="none" w:sz="0" w:space="0" w:color="auto"/>
          </w:divBdr>
        </w:div>
        <w:div w:id="994920871">
          <w:marLeft w:val="0"/>
          <w:marRight w:val="0"/>
          <w:marTop w:val="0"/>
          <w:marBottom w:val="0"/>
          <w:divBdr>
            <w:top w:val="none" w:sz="0" w:space="0" w:color="auto"/>
            <w:left w:val="none" w:sz="0" w:space="0" w:color="auto"/>
            <w:bottom w:val="none" w:sz="0" w:space="0" w:color="auto"/>
            <w:right w:val="none" w:sz="0" w:space="0" w:color="auto"/>
          </w:divBdr>
        </w:div>
        <w:div w:id="1183855780">
          <w:marLeft w:val="0"/>
          <w:marRight w:val="0"/>
          <w:marTop w:val="0"/>
          <w:marBottom w:val="0"/>
          <w:divBdr>
            <w:top w:val="none" w:sz="0" w:space="0" w:color="auto"/>
            <w:left w:val="none" w:sz="0" w:space="0" w:color="auto"/>
            <w:bottom w:val="none" w:sz="0" w:space="0" w:color="auto"/>
            <w:right w:val="none" w:sz="0" w:space="0" w:color="auto"/>
          </w:divBdr>
        </w:div>
        <w:div w:id="1345665133">
          <w:marLeft w:val="0"/>
          <w:marRight w:val="0"/>
          <w:marTop w:val="0"/>
          <w:marBottom w:val="0"/>
          <w:divBdr>
            <w:top w:val="none" w:sz="0" w:space="0" w:color="auto"/>
            <w:left w:val="none" w:sz="0" w:space="0" w:color="auto"/>
            <w:bottom w:val="none" w:sz="0" w:space="0" w:color="auto"/>
            <w:right w:val="none" w:sz="0" w:space="0" w:color="auto"/>
          </w:divBdr>
        </w:div>
        <w:div w:id="1439057098">
          <w:marLeft w:val="0"/>
          <w:marRight w:val="0"/>
          <w:marTop w:val="0"/>
          <w:marBottom w:val="0"/>
          <w:divBdr>
            <w:top w:val="none" w:sz="0" w:space="0" w:color="auto"/>
            <w:left w:val="none" w:sz="0" w:space="0" w:color="auto"/>
            <w:bottom w:val="none" w:sz="0" w:space="0" w:color="auto"/>
            <w:right w:val="none" w:sz="0" w:space="0" w:color="auto"/>
          </w:divBdr>
        </w:div>
        <w:div w:id="1505431959">
          <w:marLeft w:val="0"/>
          <w:marRight w:val="0"/>
          <w:marTop w:val="0"/>
          <w:marBottom w:val="0"/>
          <w:divBdr>
            <w:top w:val="none" w:sz="0" w:space="0" w:color="auto"/>
            <w:left w:val="none" w:sz="0" w:space="0" w:color="auto"/>
            <w:bottom w:val="none" w:sz="0" w:space="0" w:color="auto"/>
            <w:right w:val="none" w:sz="0" w:space="0" w:color="auto"/>
          </w:divBdr>
        </w:div>
        <w:div w:id="1838691957">
          <w:marLeft w:val="0"/>
          <w:marRight w:val="0"/>
          <w:marTop w:val="0"/>
          <w:marBottom w:val="0"/>
          <w:divBdr>
            <w:top w:val="none" w:sz="0" w:space="0" w:color="auto"/>
            <w:left w:val="none" w:sz="0" w:space="0" w:color="auto"/>
            <w:bottom w:val="none" w:sz="0" w:space="0" w:color="auto"/>
            <w:right w:val="none" w:sz="0" w:space="0" w:color="auto"/>
          </w:divBdr>
        </w:div>
      </w:divsChild>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48636064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60555492">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25843210">
      <w:bodyDiv w:val="1"/>
      <w:marLeft w:val="0"/>
      <w:marRight w:val="0"/>
      <w:marTop w:val="0"/>
      <w:marBottom w:val="0"/>
      <w:divBdr>
        <w:top w:val="none" w:sz="0" w:space="0" w:color="auto"/>
        <w:left w:val="none" w:sz="0" w:space="0" w:color="auto"/>
        <w:bottom w:val="none" w:sz="0" w:space="0" w:color="auto"/>
        <w:right w:val="none" w:sz="0" w:space="0" w:color="auto"/>
      </w:divBdr>
      <w:divsChild>
        <w:div w:id="1305894733">
          <w:marLeft w:val="0"/>
          <w:marRight w:val="0"/>
          <w:marTop w:val="120"/>
          <w:marBottom w:val="120"/>
          <w:divBdr>
            <w:top w:val="none" w:sz="0" w:space="0" w:color="auto"/>
            <w:left w:val="none" w:sz="0" w:space="0" w:color="auto"/>
            <w:bottom w:val="none" w:sz="0" w:space="0" w:color="auto"/>
            <w:right w:val="none" w:sz="0" w:space="0" w:color="auto"/>
          </w:divBdr>
          <w:divsChild>
            <w:div w:id="1622030298">
              <w:marLeft w:val="0"/>
              <w:marRight w:val="0"/>
              <w:marTop w:val="0"/>
              <w:marBottom w:val="0"/>
              <w:divBdr>
                <w:top w:val="none" w:sz="0" w:space="0" w:color="auto"/>
                <w:left w:val="none" w:sz="0" w:space="0" w:color="auto"/>
                <w:bottom w:val="none" w:sz="0" w:space="0" w:color="auto"/>
                <w:right w:val="none" w:sz="0" w:space="0" w:color="auto"/>
              </w:divBdr>
            </w:div>
          </w:divsChild>
        </w:div>
        <w:div w:id="2019035748">
          <w:marLeft w:val="0"/>
          <w:marRight w:val="0"/>
          <w:marTop w:val="0"/>
          <w:marBottom w:val="120"/>
          <w:divBdr>
            <w:top w:val="none" w:sz="0" w:space="0" w:color="auto"/>
            <w:left w:val="none" w:sz="0" w:space="0" w:color="auto"/>
            <w:bottom w:val="none" w:sz="0" w:space="0" w:color="auto"/>
            <w:right w:val="none" w:sz="0" w:space="0" w:color="auto"/>
          </w:divBdr>
          <w:divsChild>
            <w:div w:id="9241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8272">
      <w:bodyDiv w:val="1"/>
      <w:marLeft w:val="0"/>
      <w:marRight w:val="0"/>
      <w:marTop w:val="0"/>
      <w:marBottom w:val="0"/>
      <w:divBdr>
        <w:top w:val="none" w:sz="0" w:space="0" w:color="auto"/>
        <w:left w:val="none" w:sz="0" w:space="0" w:color="auto"/>
        <w:bottom w:val="none" w:sz="0" w:space="0" w:color="auto"/>
        <w:right w:val="none" w:sz="0" w:space="0" w:color="auto"/>
      </w:divBdr>
      <w:divsChild>
        <w:div w:id="201872128">
          <w:marLeft w:val="0"/>
          <w:marRight w:val="0"/>
          <w:marTop w:val="0"/>
          <w:marBottom w:val="0"/>
          <w:divBdr>
            <w:top w:val="none" w:sz="0" w:space="0" w:color="auto"/>
            <w:left w:val="none" w:sz="0" w:space="0" w:color="auto"/>
            <w:bottom w:val="none" w:sz="0" w:space="0" w:color="auto"/>
            <w:right w:val="none" w:sz="0" w:space="0" w:color="auto"/>
          </w:divBdr>
        </w:div>
      </w:divsChild>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4502722">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31960045">
      <w:bodyDiv w:val="1"/>
      <w:marLeft w:val="0"/>
      <w:marRight w:val="0"/>
      <w:marTop w:val="0"/>
      <w:marBottom w:val="0"/>
      <w:divBdr>
        <w:top w:val="none" w:sz="0" w:space="0" w:color="auto"/>
        <w:left w:val="none" w:sz="0" w:space="0" w:color="auto"/>
        <w:bottom w:val="none" w:sz="0" w:space="0" w:color="auto"/>
        <w:right w:val="none" w:sz="0" w:space="0" w:color="auto"/>
      </w:divBdr>
    </w:div>
    <w:div w:id="1253510587">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7376131">
      <w:bodyDiv w:val="1"/>
      <w:marLeft w:val="0"/>
      <w:marRight w:val="0"/>
      <w:marTop w:val="0"/>
      <w:marBottom w:val="0"/>
      <w:divBdr>
        <w:top w:val="none" w:sz="0" w:space="0" w:color="auto"/>
        <w:left w:val="none" w:sz="0" w:space="0" w:color="auto"/>
        <w:bottom w:val="none" w:sz="0" w:space="0" w:color="auto"/>
        <w:right w:val="none" w:sz="0" w:space="0" w:color="auto"/>
      </w:divBdr>
    </w:div>
    <w:div w:id="1548953584">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781531187">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28075080">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9B46-3B31-406D-BCEC-B9109121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50884E23-05D4-4475-85F9-08623B52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7813</Words>
  <Characters>44539</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5</cp:revision>
  <cp:lastPrinted>2018-11-02T18:38:00Z</cp:lastPrinted>
  <dcterms:created xsi:type="dcterms:W3CDTF">2023-08-16T20:10:00Z</dcterms:created>
  <dcterms:modified xsi:type="dcterms:W3CDTF">2024-03-13T16:24:00Z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