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B7AFD98" w14:textId="7BC95BE5"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r w:rsidRPr="000248AD">
        <w:rPr>
          <w:rFonts w:ascii="Arial" w:eastAsia="Times New Roman" w:hAnsi="Arial" w:cs="Arial"/>
          <w:b/>
          <w:sz w:val="20"/>
          <w:szCs w:val="20"/>
          <w:lang w:val="es-419" w:eastAsia="es-ES"/>
        </w:rPr>
        <w:t xml:space="preserve">INEFICACIA TRASLADO DE RÉGIMEN PENSIONAL / DEBER DE INFORMACIÓN DE LAS AFP / </w:t>
      </w:r>
      <w:r w:rsidR="00676916">
        <w:rPr>
          <w:rFonts w:ascii="Arial" w:eastAsia="Times New Roman" w:hAnsi="Arial" w:cs="Arial"/>
          <w:b/>
          <w:sz w:val="20"/>
          <w:szCs w:val="20"/>
          <w:lang w:val="es-419" w:eastAsia="es-ES"/>
        </w:rPr>
        <w:t>OBJETO</w:t>
      </w:r>
      <w:bookmarkStart w:id="0" w:name="_GoBack"/>
      <w:bookmarkEnd w:id="0"/>
    </w:p>
    <w:p w14:paraId="185F86C4"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r w:rsidRPr="000248AD">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3C1B8D0"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p>
    <w:p w14:paraId="59DBD276" w14:textId="77777777" w:rsidR="000248AD" w:rsidRPr="000248AD" w:rsidRDefault="000248AD" w:rsidP="000248AD">
      <w:pPr>
        <w:spacing w:before="0" w:beforeAutospacing="0" w:after="0" w:afterAutospacing="0" w:line="240" w:lineRule="auto"/>
        <w:ind w:firstLine="0"/>
        <w:rPr>
          <w:rFonts w:ascii="Arial" w:eastAsia="Times New Roman" w:hAnsi="Arial" w:cs="Arial"/>
          <w:b/>
          <w:sz w:val="20"/>
          <w:szCs w:val="20"/>
          <w:lang w:val="es-419" w:eastAsia="es-ES"/>
        </w:rPr>
      </w:pPr>
      <w:r w:rsidRPr="000248AD">
        <w:rPr>
          <w:rFonts w:ascii="Arial" w:eastAsia="Times New Roman" w:hAnsi="Arial" w:cs="Arial"/>
          <w:b/>
          <w:sz w:val="20"/>
          <w:szCs w:val="20"/>
          <w:lang w:val="es-419" w:eastAsia="es-ES"/>
        </w:rPr>
        <w:t>INEFICACIA TRASLADO DE RÉGIMEN PENSIONAL / DEBER DE INFORMACIÓN DE LAS AFP / CARGA PROBATORIA</w:t>
      </w:r>
    </w:p>
    <w:p w14:paraId="6125DCF8"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r w:rsidRPr="000248AD">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 …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049B09B6"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p>
    <w:p w14:paraId="4AD04902"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p>
    <w:p w14:paraId="338DACEA"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r w:rsidRPr="000248AD">
        <w:rPr>
          <w:rFonts w:ascii="Arial" w:eastAsia="Times New Roman" w:hAnsi="Arial" w:cs="Arial"/>
          <w:b/>
          <w:sz w:val="20"/>
          <w:szCs w:val="20"/>
          <w:lang w:val="es-419" w:eastAsia="es-ES"/>
        </w:rPr>
        <w:t>INEFICACIA TRASLADO DE RÉGIMEN PENSIONAL / DEBER DE INFORMACIÓN DE LAS AFP / LO TIENEN DESDE SU CREACIÓN</w:t>
      </w:r>
    </w:p>
    <w:p w14:paraId="5D2F6905"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r w:rsidRPr="000248AD">
        <w:rPr>
          <w:rFonts w:ascii="Arial" w:eastAsia="Times New Roman" w:hAnsi="Arial" w:cs="Arial"/>
          <w:sz w:val="20"/>
          <w:szCs w:val="20"/>
          <w:lang w:val="es-419" w:eastAsia="es-ES"/>
        </w:rPr>
        <w:t>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7EDCC0C0"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p>
    <w:p w14:paraId="75DB8114" w14:textId="77777777" w:rsidR="000248AD" w:rsidRPr="000248AD" w:rsidRDefault="000248AD" w:rsidP="000248AD">
      <w:pPr>
        <w:spacing w:before="0" w:beforeAutospacing="0" w:after="0" w:afterAutospacing="0" w:line="240" w:lineRule="auto"/>
        <w:ind w:firstLine="0"/>
        <w:rPr>
          <w:rFonts w:ascii="Arial" w:eastAsia="Times New Roman" w:hAnsi="Arial" w:cs="Arial"/>
          <w:b/>
          <w:sz w:val="20"/>
          <w:szCs w:val="20"/>
          <w:lang w:val="es-419" w:eastAsia="es-ES"/>
        </w:rPr>
      </w:pPr>
      <w:r w:rsidRPr="000248AD">
        <w:rPr>
          <w:rFonts w:ascii="Arial" w:eastAsia="Times New Roman" w:hAnsi="Arial" w:cs="Arial"/>
          <w:b/>
          <w:sz w:val="20"/>
          <w:szCs w:val="20"/>
          <w:lang w:val="es-419" w:eastAsia="es-ES"/>
        </w:rPr>
        <w:t>INEFICACIA TRASLADO DE RÉGIMEN PENSIONAL / FORMULARIO DE AFILIACIÓN / VALOR PROBATORIO / NO VALIDA POR SÍ SOLO EL TRASLADO</w:t>
      </w:r>
    </w:p>
    <w:p w14:paraId="00F3DBDF"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r w:rsidRPr="000248AD">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2646BA61" w14:textId="77777777" w:rsidR="000248AD" w:rsidRPr="000248AD" w:rsidRDefault="000248AD" w:rsidP="000248AD">
      <w:pPr>
        <w:spacing w:before="0" w:beforeAutospacing="0" w:after="0" w:afterAutospacing="0" w:line="240" w:lineRule="auto"/>
        <w:ind w:firstLine="0"/>
        <w:rPr>
          <w:rFonts w:ascii="Arial" w:eastAsia="Times New Roman" w:hAnsi="Arial" w:cs="Arial"/>
          <w:sz w:val="20"/>
          <w:szCs w:val="20"/>
          <w:lang w:val="es-419" w:eastAsia="es-ES"/>
        </w:rPr>
      </w:pPr>
    </w:p>
    <w:p w14:paraId="0268CFD8" w14:textId="77777777" w:rsidR="000248AD" w:rsidRPr="000248AD" w:rsidRDefault="000248AD" w:rsidP="000248A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09FA3DB8" w14:textId="77777777" w:rsidR="000248AD" w:rsidRPr="000248AD" w:rsidRDefault="000248AD" w:rsidP="000248A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1E8F52CA" w14:textId="0FDCE638" w:rsidR="002A7251" w:rsidRPr="000248AD" w:rsidRDefault="002A7251" w:rsidP="000248AD">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0248AD">
        <w:rPr>
          <w:rFonts w:ascii="Arial" w:hAnsi="Arial" w:cs="Arial"/>
          <w:color w:val="000000"/>
          <w:sz w:val="20"/>
          <w:szCs w:val="18"/>
        </w:rPr>
        <w:t>Radicación No.:</w:t>
      </w:r>
      <w:r w:rsidR="000248AD">
        <w:rPr>
          <w:rFonts w:ascii="Arial" w:hAnsi="Arial" w:cs="Arial"/>
          <w:color w:val="000000"/>
          <w:sz w:val="20"/>
          <w:szCs w:val="18"/>
        </w:rPr>
        <w:tab/>
      </w:r>
      <w:r w:rsidR="000248AD">
        <w:rPr>
          <w:rFonts w:ascii="Arial" w:hAnsi="Arial" w:cs="Arial"/>
          <w:color w:val="000000"/>
          <w:sz w:val="20"/>
          <w:szCs w:val="18"/>
        </w:rPr>
        <w:tab/>
      </w:r>
      <w:r w:rsidRPr="000248AD">
        <w:rPr>
          <w:rFonts w:ascii="Arial" w:hAnsi="Arial" w:cs="Arial"/>
          <w:color w:val="000000"/>
          <w:sz w:val="20"/>
          <w:szCs w:val="18"/>
        </w:rPr>
        <w:t>6600131</w:t>
      </w:r>
      <w:r w:rsidR="00504E83" w:rsidRPr="000248AD">
        <w:rPr>
          <w:rFonts w:ascii="Arial" w:hAnsi="Arial" w:cs="Arial"/>
          <w:color w:val="000000"/>
          <w:sz w:val="20"/>
          <w:szCs w:val="18"/>
        </w:rPr>
        <w:t>05</w:t>
      </w:r>
      <w:r w:rsidRPr="000248AD">
        <w:rPr>
          <w:rFonts w:ascii="Arial" w:hAnsi="Arial" w:cs="Arial"/>
          <w:color w:val="000000"/>
          <w:sz w:val="20"/>
          <w:szCs w:val="18"/>
        </w:rPr>
        <w:t>00</w:t>
      </w:r>
      <w:r w:rsidR="00596F82" w:rsidRPr="000248AD">
        <w:rPr>
          <w:rFonts w:ascii="Arial" w:hAnsi="Arial" w:cs="Arial"/>
          <w:color w:val="000000"/>
          <w:sz w:val="20"/>
          <w:szCs w:val="18"/>
        </w:rPr>
        <w:t>3</w:t>
      </w:r>
      <w:r w:rsidRPr="000248AD">
        <w:rPr>
          <w:rFonts w:ascii="Arial" w:hAnsi="Arial" w:cs="Arial"/>
          <w:color w:val="000000"/>
          <w:sz w:val="20"/>
          <w:szCs w:val="18"/>
        </w:rPr>
        <w:t>20</w:t>
      </w:r>
      <w:r w:rsidR="00D51796" w:rsidRPr="000248AD">
        <w:rPr>
          <w:rFonts w:ascii="Arial" w:hAnsi="Arial" w:cs="Arial"/>
          <w:color w:val="000000"/>
          <w:sz w:val="20"/>
          <w:szCs w:val="18"/>
        </w:rPr>
        <w:t>2</w:t>
      </w:r>
      <w:r w:rsidR="00BD109F" w:rsidRPr="000248AD">
        <w:rPr>
          <w:rFonts w:ascii="Arial" w:hAnsi="Arial" w:cs="Arial"/>
          <w:color w:val="000000"/>
          <w:sz w:val="20"/>
          <w:szCs w:val="18"/>
        </w:rPr>
        <w:t>2</w:t>
      </w:r>
      <w:r w:rsidRPr="000248AD">
        <w:rPr>
          <w:rFonts w:ascii="Arial" w:hAnsi="Arial" w:cs="Arial"/>
          <w:color w:val="000000"/>
          <w:sz w:val="20"/>
          <w:szCs w:val="18"/>
        </w:rPr>
        <w:t>00</w:t>
      </w:r>
      <w:r w:rsidR="00BD109F" w:rsidRPr="000248AD">
        <w:rPr>
          <w:rFonts w:ascii="Arial" w:hAnsi="Arial" w:cs="Arial"/>
          <w:color w:val="000000"/>
          <w:sz w:val="20"/>
          <w:szCs w:val="18"/>
        </w:rPr>
        <w:t>018</w:t>
      </w:r>
      <w:r w:rsidRPr="000248AD">
        <w:rPr>
          <w:rFonts w:ascii="Arial" w:hAnsi="Arial" w:cs="Arial"/>
          <w:color w:val="000000"/>
          <w:sz w:val="20"/>
          <w:szCs w:val="18"/>
        </w:rPr>
        <w:t>01</w:t>
      </w:r>
    </w:p>
    <w:p w14:paraId="7B67D4D7" w14:textId="1527C3EE" w:rsidR="002A7251" w:rsidRPr="000248AD" w:rsidRDefault="002A7251" w:rsidP="000248AD">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0248AD">
        <w:rPr>
          <w:rFonts w:ascii="Arial" w:hAnsi="Arial" w:cs="Arial"/>
          <w:color w:val="000000"/>
          <w:sz w:val="20"/>
          <w:szCs w:val="18"/>
        </w:rPr>
        <w:t>Proceso:</w:t>
      </w:r>
      <w:r w:rsidR="000248AD">
        <w:rPr>
          <w:rFonts w:ascii="Arial" w:hAnsi="Arial" w:cs="Arial"/>
          <w:color w:val="000000"/>
          <w:sz w:val="20"/>
          <w:szCs w:val="18"/>
        </w:rPr>
        <w:tab/>
      </w:r>
      <w:r w:rsidR="000248AD">
        <w:rPr>
          <w:rFonts w:ascii="Arial" w:hAnsi="Arial" w:cs="Arial"/>
          <w:color w:val="000000"/>
          <w:sz w:val="20"/>
          <w:szCs w:val="18"/>
        </w:rPr>
        <w:tab/>
      </w:r>
      <w:r w:rsidRPr="000248AD">
        <w:rPr>
          <w:rFonts w:ascii="Arial" w:hAnsi="Arial" w:cs="Arial"/>
          <w:color w:val="000000"/>
          <w:sz w:val="20"/>
          <w:szCs w:val="18"/>
        </w:rPr>
        <w:t xml:space="preserve">Ordinario Laboral </w:t>
      </w:r>
    </w:p>
    <w:p w14:paraId="595D248E" w14:textId="470DE9E8" w:rsidR="002A7251" w:rsidRPr="000248AD" w:rsidRDefault="002A7251" w:rsidP="000248AD">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0248AD">
        <w:rPr>
          <w:rFonts w:ascii="Arial" w:hAnsi="Arial" w:cs="Arial"/>
          <w:color w:val="000000"/>
          <w:sz w:val="20"/>
          <w:szCs w:val="18"/>
        </w:rPr>
        <w:t>Demandante:</w:t>
      </w:r>
      <w:r w:rsidR="000248AD">
        <w:rPr>
          <w:rFonts w:ascii="Arial" w:hAnsi="Arial" w:cs="Arial"/>
          <w:color w:val="000000"/>
          <w:sz w:val="20"/>
          <w:szCs w:val="18"/>
        </w:rPr>
        <w:tab/>
      </w:r>
      <w:r w:rsidR="000248AD">
        <w:rPr>
          <w:rFonts w:ascii="Arial" w:hAnsi="Arial" w:cs="Arial"/>
          <w:color w:val="000000"/>
          <w:sz w:val="20"/>
          <w:szCs w:val="18"/>
        </w:rPr>
        <w:tab/>
      </w:r>
      <w:r w:rsidR="00F806A0" w:rsidRPr="000248AD">
        <w:rPr>
          <w:rFonts w:ascii="Arial" w:hAnsi="Arial" w:cs="Arial"/>
          <w:color w:val="000000"/>
          <w:sz w:val="20"/>
          <w:szCs w:val="18"/>
        </w:rPr>
        <w:t>Rafael Eduardo Paris Paris</w:t>
      </w:r>
    </w:p>
    <w:p w14:paraId="65503D84" w14:textId="33F663C3" w:rsidR="002A7251" w:rsidRPr="000248AD" w:rsidRDefault="002A7251" w:rsidP="000248AD">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0248AD">
        <w:rPr>
          <w:rFonts w:ascii="Arial" w:hAnsi="Arial" w:cs="Arial"/>
          <w:color w:val="000000"/>
          <w:sz w:val="20"/>
          <w:szCs w:val="18"/>
        </w:rPr>
        <w:t>Demandado:</w:t>
      </w:r>
      <w:r w:rsidR="000248AD">
        <w:rPr>
          <w:rFonts w:ascii="Arial" w:hAnsi="Arial" w:cs="Arial"/>
          <w:color w:val="000000"/>
          <w:sz w:val="20"/>
          <w:szCs w:val="18"/>
        </w:rPr>
        <w:tab/>
      </w:r>
      <w:r w:rsidR="000248AD">
        <w:rPr>
          <w:rFonts w:ascii="Arial" w:hAnsi="Arial" w:cs="Arial"/>
          <w:color w:val="000000"/>
          <w:sz w:val="20"/>
          <w:szCs w:val="18"/>
        </w:rPr>
        <w:tab/>
      </w:r>
      <w:r w:rsidRPr="000248AD">
        <w:rPr>
          <w:rFonts w:ascii="Arial" w:hAnsi="Arial" w:cs="Arial"/>
          <w:color w:val="000000"/>
          <w:sz w:val="20"/>
          <w:szCs w:val="18"/>
        </w:rPr>
        <w:t>Colpensiones</w:t>
      </w:r>
      <w:r w:rsidR="002F2771" w:rsidRPr="000248AD">
        <w:rPr>
          <w:rFonts w:ascii="Arial" w:hAnsi="Arial" w:cs="Arial"/>
          <w:color w:val="000000"/>
          <w:sz w:val="20"/>
          <w:szCs w:val="18"/>
        </w:rPr>
        <w:t xml:space="preserve">, Colfondos S.A. y </w:t>
      </w:r>
      <w:r w:rsidR="00F806A0" w:rsidRPr="000248AD">
        <w:rPr>
          <w:rFonts w:ascii="Arial" w:hAnsi="Arial" w:cs="Arial"/>
          <w:color w:val="000000"/>
          <w:sz w:val="20"/>
          <w:szCs w:val="18"/>
        </w:rPr>
        <w:t>Protección</w:t>
      </w:r>
      <w:r w:rsidR="002F2771" w:rsidRPr="000248AD">
        <w:rPr>
          <w:rFonts w:ascii="Arial" w:hAnsi="Arial" w:cs="Arial"/>
          <w:color w:val="000000"/>
          <w:sz w:val="20"/>
          <w:szCs w:val="18"/>
        </w:rPr>
        <w:t xml:space="preserve"> S.A.</w:t>
      </w:r>
    </w:p>
    <w:p w14:paraId="5254DA4D" w14:textId="0D477CC6" w:rsidR="002A7251" w:rsidRPr="000248AD" w:rsidRDefault="002A7251" w:rsidP="000248AD">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0248AD">
        <w:rPr>
          <w:rFonts w:ascii="Arial" w:hAnsi="Arial" w:cs="Arial"/>
          <w:color w:val="000000"/>
          <w:sz w:val="20"/>
          <w:szCs w:val="18"/>
        </w:rPr>
        <w:t>Juzgado</w:t>
      </w:r>
      <w:r w:rsidR="000248AD">
        <w:rPr>
          <w:rFonts w:ascii="Arial" w:hAnsi="Arial" w:cs="Arial"/>
          <w:color w:val="000000"/>
          <w:sz w:val="20"/>
          <w:szCs w:val="18"/>
        </w:rPr>
        <w:t xml:space="preserve"> de origen</w:t>
      </w:r>
      <w:r w:rsidRPr="000248AD">
        <w:rPr>
          <w:rFonts w:ascii="Arial" w:hAnsi="Arial" w:cs="Arial"/>
          <w:color w:val="000000"/>
          <w:sz w:val="20"/>
          <w:szCs w:val="18"/>
        </w:rPr>
        <w:t>:</w:t>
      </w:r>
      <w:r w:rsidR="000248AD">
        <w:rPr>
          <w:rFonts w:ascii="Arial" w:hAnsi="Arial" w:cs="Arial"/>
          <w:color w:val="000000"/>
          <w:sz w:val="20"/>
          <w:szCs w:val="18"/>
        </w:rPr>
        <w:tab/>
      </w:r>
      <w:r w:rsidR="00596F82" w:rsidRPr="000248AD">
        <w:rPr>
          <w:rFonts w:ascii="Arial" w:hAnsi="Arial" w:cs="Arial"/>
          <w:color w:val="000000"/>
          <w:sz w:val="20"/>
          <w:szCs w:val="18"/>
        </w:rPr>
        <w:t>Tercero</w:t>
      </w:r>
      <w:r w:rsidRPr="000248AD">
        <w:rPr>
          <w:rFonts w:ascii="Arial" w:hAnsi="Arial" w:cs="Arial"/>
          <w:color w:val="000000"/>
          <w:sz w:val="20"/>
          <w:szCs w:val="18"/>
        </w:rPr>
        <w:t xml:space="preserve"> Laboral del Circuito de Pereira</w:t>
      </w:r>
    </w:p>
    <w:p w14:paraId="5BEC05F9" w14:textId="79677930" w:rsidR="00882C8A" w:rsidRDefault="00882C8A" w:rsidP="000248AD">
      <w:pPr>
        <w:spacing w:before="0" w:beforeAutospacing="0" w:after="0" w:afterAutospacing="0" w:line="240" w:lineRule="auto"/>
        <w:ind w:firstLine="0"/>
        <w:rPr>
          <w:rFonts w:ascii="Arial" w:eastAsia="Times New Roman" w:hAnsi="Arial" w:cs="Arial"/>
          <w:sz w:val="22"/>
          <w:szCs w:val="20"/>
          <w:lang w:eastAsia="es-ES"/>
        </w:rPr>
      </w:pPr>
    </w:p>
    <w:p w14:paraId="11A10FF1" w14:textId="77777777" w:rsidR="000248AD" w:rsidRPr="000248AD" w:rsidRDefault="000248AD" w:rsidP="000248AD">
      <w:pPr>
        <w:spacing w:before="0" w:beforeAutospacing="0" w:after="0" w:afterAutospacing="0" w:line="240" w:lineRule="auto"/>
        <w:ind w:firstLine="0"/>
        <w:rPr>
          <w:rFonts w:ascii="Arial" w:eastAsia="Times New Roman" w:hAnsi="Arial" w:cs="Arial"/>
          <w:sz w:val="22"/>
          <w:szCs w:val="20"/>
          <w:lang w:eastAsia="es-ES"/>
        </w:rPr>
      </w:pPr>
    </w:p>
    <w:p w14:paraId="74723295" w14:textId="77777777" w:rsidR="00BF5EA5" w:rsidRPr="000248AD" w:rsidRDefault="00BF5EA5" w:rsidP="000248AD">
      <w:pPr>
        <w:spacing w:before="0" w:beforeAutospacing="0" w:after="0" w:afterAutospacing="0" w:line="240" w:lineRule="auto"/>
        <w:ind w:firstLine="0"/>
        <w:rPr>
          <w:rFonts w:ascii="Arial" w:eastAsia="Times New Roman" w:hAnsi="Arial" w:cs="Arial"/>
          <w:sz w:val="22"/>
          <w:szCs w:val="20"/>
          <w:lang w:val="es-ES" w:eastAsia="es-ES"/>
        </w:rPr>
      </w:pPr>
    </w:p>
    <w:p w14:paraId="1B48FCCC" w14:textId="77777777" w:rsidR="003B6848" w:rsidRPr="000248AD" w:rsidRDefault="003B6848" w:rsidP="000248AD">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0248AD">
        <w:rPr>
          <w:rFonts w:ascii="Tahoma" w:hAnsi="Tahoma" w:cs="Tahoma"/>
          <w:bCs/>
          <w:szCs w:val="24"/>
          <w:lang w:eastAsia="es-MX"/>
        </w:rPr>
        <w:t>TRIBUNAL SUPERIOR DEL DISTRITO JUDICIAL DE PEREIRA</w:t>
      </w:r>
    </w:p>
    <w:p w14:paraId="5A16DD1F" w14:textId="5F655AE0" w:rsidR="003B6848" w:rsidRPr="000248AD" w:rsidRDefault="003B6848" w:rsidP="000248AD">
      <w:pPr>
        <w:pStyle w:val="Ttulo4"/>
        <w:widowControl w:val="0"/>
        <w:tabs>
          <w:tab w:val="clear" w:pos="0"/>
        </w:tabs>
        <w:spacing w:line="276" w:lineRule="auto"/>
        <w:ind w:right="49"/>
        <w:contextualSpacing/>
        <w:rPr>
          <w:rFonts w:ascii="Tahoma" w:hAnsi="Tahoma" w:cs="Tahoma"/>
          <w:bCs/>
          <w:szCs w:val="24"/>
          <w:lang w:eastAsia="es-MX"/>
        </w:rPr>
      </w:pPr>
      <w:r w:rsidRPr="000248AD">
        <w:rPr>
          <w:rFonts w:ascii="Tahoma" w:hAnsi="Tahoma" w:cs="Tahoma"/>
          <w:bCs/>
          <w:szCs w:val="24"/>
          <w:lang w:eastAsia="es-MX"/>
        </w:rPr>
        <w:t>SALA PRIMERA DE DECISION LABORAL</w:t>
      </w:r>
    </w:p>
    <w:p w14:paraId="1EA4F8CA" w14:textId="77777777" w:rsidR="000A7489" w:rsidRPr="000248AD" w:rsidRDefault="000A7489" w:rsidP="000248AD">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0248AD" w:rsidRDefault="003B6848" w:rsidP="000248AD">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0248AD">
        <w:rPr>
          <w:rFonts w:ascii="Tahoma" w:eastAsia="Times New Roman" w:hAnsi="Tahoma" w:cs="Tahoma"/>
          <w:lang w:eastAsia="es-CO"/>
        </w:rPr>
        <w:t>Magistrada Ponente: </w:t>
      </w:r>
      <w:r w:rsidRPr="000248AD">
        <w:rPr>
          <w:rFonts w:ascii="Tahoma" w:eastAsia="Times New Roman" w:hAnsi="Tahoma" w:cs="Tahoma"/>
          <w:b/>
          <w:bCs/>
          <w:lang w:eastAsia="es-CO"/>
        </w:rPr>
        <w:t>Ana Lucía Caicedo Calderón</w:t>
      </w:r>
    </w:p>
    <w:bookmarkEnd w:id="1"/>
    <w:p w14:paraId="2EE6C2C2" w14:textId="438562DA" w:rsidR="003B6848" w:rsidRPr="000248AD" w:rsidRDefault="003B6848" w:rsidP="000248AD">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720917D3" w14:textId="04CB8D35" w:rsidR="3BBD2DD7" w:rsidRPr="000248AD" w:rsidRDefault="3BBD2DD7" w:rsidP="00CF52CC">
      <w:pPr>
        <w:spacing w:before="0" w:beforeAutospacing="0" w:after="0" w:afterAutospacing="0" w:line="276" w:lineRule="auto"/>
        <w:ind w:firstLine="709"/>
        <w:jc w:val="center"/>
        <w:rPr>
          <w:rFonts w:ascii="Tahoma" w:hAnsi="Tahoma" w:cs="Tahoma"/>
        </w:rPr>
      </w:pPr>
      <w:r w:rsidRPr="000248AD">
        <w:rPr>
          <w:rFonts w:ascii="Tahoma" w:eastAsia="Tahoma" w:hAnsi="Tahoma" w:cs="Tahoma"/>
          <w:lang w:val="es"/>
        </w:rPr>
        <w:t xml:space="preserve">Pereira, Risaralda, cuatro (04) de agosto de dos mil veintitrés (2023)  </w:t>
      </w:r>
    </w:p>
    <w:p w14:paraId="409CC3A8" w14:textId="6A9CE3F7" w:rsidR="3BBD2DD7" w:rsidRPr="000248AD" w:rsidRDefault="3BBD2DD7" w:rsidP="00CF52CC">
      <w:pPr>
        <w:spacing w:before="0" w:beforeAutospacing="0" w:after="0" w:afterAutospacing="0" w:line="276" w:lineRule="auto"/>
        <w:ind w:firstLine="709"/>
        <w:jc w:val="center"/>
        <w:rPr>
          <w:rFonts w:ascii="Tahoma" w:hAnsi="Tahoma" w:cs="Tahoma"/>
        </w:rPr>
      </w:pPr>
      <w:r w:rsidRPr="000248AD">
        <w:rPr>
          <w:rFonts w:ascii="Tahoma" w:eastAsia="Tahoma" w:hAnsi="Tahoma" w:cs="Tahoma"/>
          <w:lang w:val="es"/>
        </w:rPr>
        <w:t xml:space="preserve"> Acta No. </w:t>
      </w:r>
      <w:r w:rsidR="1DBE3439" w:rsidRPr="000248AD">
        <w:rPr>
          <w:rFonts w:ascii="Tahoma" w:eastAsia="Tahoma" w:hAnsi="Tahoma" w:cs="Tahoma"/>
          <w:lang w:val="es"/>
        </w:rPr>
        <w:t>121</w:t>
      </w:r>
      <w:r w:rsidRPr="000248AD">
        <w:rPr>
          <w:rFonts w:ascii="Tahoma" w:eastAsia="Tahoma" w:hAnsi="Tahoma" w:cs="Tahoma"/>
          <w:lang w:val="es"/>
        </w:rPr>
        <w:t xml:space="preserve"> del 03 de agosto de 2023</w:t>
      </w:r>
    </w:p>
    <w:p w14:paraId="77C0F7AD" w14:textId="733181A7" w:rsidR="003B6848" w:rsidRPr="000248AD" w:rsidRDefault="003B6848" w:rsidP="00CF52CC">
      <w:pPr>
        <w:spacing w:before="0" w:beforeAutospacing="0" w:after="0" w:afterAutospacing="0" w:line="276" w:lineRule="auto"/>
        <w:contextualSpacing/>
        <w:jc w:val="center"/>
        <w:rPr>
          <w:rFonts w:ascii="Tahoma" w:hAnsi="Tahoma" w:cs="Tahoma"/>
          <w:b/>
        </w:rPr>
      </w:pPr>
    </w:p>
    <w:p w14:paraId="4D47DCFA" w14:textId="77777777" w:rsidR="00151506" w:rsidRPr="000248AD" w:rsidRDefault="00151506" w:rsidP="00CF52CC">
      <w:pPr>
        <w:spacing w:before="0" w:beforeAutospacing="0" w:after="0" w:afterAutospacing="0" w:line="276" w:lineRule="auto"/>
        <w:contextualSpacing/>
        <w:jc w:val="center"/>
        <w:rPr>
          <w:rFonts w:ascii="Tahoma" w:hAnsi="Tahoma" w:cs="Tahoma"/>
          <w:b/>
        </w:rPr>
      </w:pPr>
    </w:p>
    <w:p w14:paraId="2788A7E0" w14:textId="149B35B7" w:rsidR="005B1014" w:rsidRPr="000248AD" w:rsidRDefault="00C113E7" w:rsidP="000248AD">
      <w:pPr>
        <w:spacing w:before="0" w:beforeAutospacing="0" w:after="0" w:afterAutospacing="0" w:line="276" w:lineRule="auto"/>
        <w:ind w:firstLine="708"/>
        <w:contextualSpacing/>
        <w:rPr>
          <w:rFonts w:ascii="Tahoma" w:hAnsi="Tahoma" w:cs="Tahoma"/>
          <w:b/>
          <w:bCs/>
        </w:rPr>
      </w:pPr>
      <w:r w:rsidRPr="000248AD">
        <w:rPr>
          <w:rFonts w:ascii="Tahoma" w:hAnsi="Tahoma" w:cs="Tahoma"/>
          <w:lang w:val="es-ES"/>
        </w:rPr>
        <w:t xml:space="preserve">Teniendo en cuenta que el artículo 15 del Decreto No. 806 del 4 de junio de 2020, adoptado como legislación permanente por medio de la Ley 2213 del 13 de junio </w:t>
      </w:r>
      <w:r w:rsidRPr="000248AD">
        <w:rPr>
          <w:rFonts w:ascii="Tahoma" w:hAnsi="Tahoma" w:cs="Tahoma"/>
          <w:lang w:val="es-ES"/>
        </w:rPr>
        <w:lastRenderedPageBreak/>
        <w:t>de 2022</w:t>
      </w:r>
      <w:r w:rsidR="000A7489" w:rsidRPr="000248AD">
        <w:rPr>
          <w:rFonts w:ascii="Tahoma" w:hAnsi="Tahoma" w:cs="Tahoma"/>
        </w:rPr>
        <w:t xml:space="preserve">, </w:t>
      </w:r>
      <w:r w:rsidR="003B6848" w:rsidRPr="000248AD">
        <w:rPr>
          <w:rFonts w:ascii="Tahoma" w:hAnsi="Tahoma" w:cs="Tahoma"/>
        </w:rPr>
        <w:t>estableció que en la</w:t>
      </w:r>
      <w:r w:rsidR="00E60AFE" w:rsidRPr="000248AD">
        <w:rPr>
          <w:rFonts w:ascii="Tahoma" w:hAnsi="Tahoma" w:cs="Tahoma"/>
        </w:rPr>
        <w:t xml:space="preserve"> </w:t>
      </w:r>
      <w:r w:rsidR="003B6848" w:rsidRPr="000248AD">
        <w:rPr>
          <w:rFonts w:ascii="Tahoma" w:hAnsi="Tahoma" w:cs="Tahoma"/>
        </w:rPr>
        <w:t>especialidad laboral se proferirán por escrito las providencias de</w:t>
      </w:r>
      <w:r w:rsidR="00E60AFE" w:rsidRPr="000248AD">
        <w:rPr>
          <w:rFonts w:ascii="Tahoma" w:hAnsi="Tahoma" w:cs="Tahoma"/>
        </w:rPr>
        <w:t xml:space="preserve"> </w:t>
      </w:r>
      <w:r w:rsidR="003B6848" w:rsidRPr="000248AD">
        <w:rPr>
          <w:rFonts w:ascii="Tahoma" w:hAnsi="Tahoma" w:cs="Tahoma"/>
        </w:rPr>
        <w:t>segunda</w:t>
      </w:r>
      <w:r w:rsidR="00E60AFE" w:rsidRPr="000248AD">
        <w:rPr>
          <w:rFonts w:ascii="Tahoma" w:hAnsi="Tahoma" w:cs="Tahoma"/>
        </w:rPr>
        <w:t xml:space="preserve"> </w:t>
      </w:r>
      <w:r w:rsidR="003B6848" w:rsidRPr="000248AD">
        <w:rPr>
          <w:rFonts w:ascii="Tahoma" w:hAnsi="Tahoma" w:cs="Tahoma"/>
        </w:rPr>
        <w:t>instancia</w:t>
      </w:r>
      <w:r w:rsidR="00E60AFE" w:rsidRPr="000248AD">
        <w:rPr>
          <w:rFonts w:ascii="Tahoma" w:hAnsi="Tahoma" w:cs="Tahoma"/>
        </w:rPr>
        <w:t xml:space="preserve"> </w:t>
      </w:r>
      <w:r w:rsidR="003B6848" w:rsidRPr="000248AD">
        <w:rPr>
          <w:rFonts w:ascii="Tahoma" w:hAnsi="Tahoma" w:cs="Tahoma"/>
        </w:rPr>
        <w:t>en las que se surta el grado jurisdiccional de consulta o se resuelva el recurso de</w:t>
      </w:r>
      <w:r w:rsidR="00E60AFE" w:rsidRPr="000248AD">
        <w:rPr>
          <w:rFonts w:ascii="Tahoma" w:hAnsi="Tahoma" w:cs="Tahoma"/>
        </w:rPr>
        <w:t xml:space="preserve"> </w:t>
      </w:r>
      <w:r w:rsidR="003B6848" w:rsidRPr="000248AD">
        <w:rPr>
          <w:rFonts w:ascii="Tahoma" w:hAnsi="Tahoma" w:cs="Tahoma"/>
        </w:rPr>
        <w:t>apelación de autos o sentencias, la Sala de Decisión Laboral</w:t>
      </w:r>
      <w:r w:rsidR="00617E08" w:rsidRPr="000248AD">
        <w:rPr>
          <w:rFonts w:ascii="Tahoma" w:hAnsi="Tahoma" w:cs="Tahoma"/>
        </w:rPr>
        <w:t xml:space="preserve"> del Tribunal Superior de Pereira, </w:t>
      </w:r>
      <w:r w:rsidR="003B6848" w:rsidRPr="000248AD">
        <w:rPr>
          <w:rFonts w:ascii="Tahoma" w:hAnsi="Tahoma" w:cs="Tahoma"/>
        </w:rPr>
        <w:t>integrada por las</w:t>
      </w:r>
      <w:r w:rsidR="00510D63" w:rsidRPr="000248AD">
        <w:rPr>
          <w:rFonts w:ascii="Tahoma" w:hAnsi="Tahoma" w:cs="Tahoma"/>
        </w:rPr>
        <w:t xml:space="preserve"> </w:t>
      </w:r>
      <w:r w:rsidR="003B6848" w:rsidRPr="000248AD">
        <w:rPr>
          <w:rFonts w:ascii="Tahoma" w:hAnsi="Tahoma" w:cs="Tahoma"/>
        </w:rPr>
        <w:t>Magistradas ANA LUCÍA CAICEDO CALDERÓN</w:t>
      </w:r>
      <w:r w:rsidR="00617E08" w:rsidRPr="000248AD">
        <w:rPr>
          <w:rFonts w:ascii="Tahoma" w:hAnsi="Tahoma" w:cs="Tahoma"/>
        </w:rPr>
        <w:t>,</w:t>
      </w:r>
      <w:r w:rsidR="003B6848" w:rsidRPr="000248AD">
        <w:rPr>
          <w:rFonts w:ascii="Tahoma" w:hAnsi="Tahoma" w:cs="Tahoma"/>
        </w:rPr>
        <w:t xml:space="preserve"> como </w:t>
      </w:r>
      <w:r w:rsidR="00617E08" w:rsidRPr="000248AD">
        <w:rPr>
          <w:rFonts w:ascii="Tahoma" w:hAnsi="Tahoma" w:cs="Tahoma"/>
        </w:rPr>
        <w:t>p</w:t>
      </w:r>
      <w:r w:rsidR="003B6848" w:rsidRPr="000248AD">
        <w:rPr>
          <w:rFonts w:ascii="Tahoma" w:hAnsi="Tahoma" w:cs="Tahoma"/>
        </w:rPr>
        <w:t xml:space="preserve">onente, </w:t>
      </w:r>
      <w:r w:rsidR="00617E08" w:rsidRPr="000248AD">
        <w:rPr>
          <w:rFonts w:ascii="Tahoma" w:hAnsi="Tahoma" w:cs="Tahoma"/>
        </w:rPr>
        <w:t xml:space="preserve">y </w:t>
      </w:r>
      <w:r w:rsidR="003B6848" w:rsidRPr="000248AD">
        <w:rPr>
          <w:rFonts w:ascii="Tahoma" w:hAnsi="Tahoma" w:cs="Tahoma"/>
        </w:rPr>
        <w:t>OLGA LUCÍA HOYOS</w:t>
      </w:r>
      <w:r w:rsidR="00510D63" w:rsidRPr="000248AD">
        <w:rPr>
          <w:rFonts w:ascii="Tahoma" w:hAnsi="Tahoma" w:cs="Tahoma"/>
        </w:rPr>
        <w:t xml:space="preserve"> </w:t>
      </w:r>
      <w:r w:rsidR="003B6848" w:rsidRPr="000248AD">
        <w:rPr>
          <w:rFonts w:ascii="Tahoma" w:hAnsi="Tahoma" w:cs="Tahoma"/>
        </w:rPr>
        <w:t>SEPÚLVEDA</w:t>
      </w:r>
      <w:r w:rsidR="00617E08" w:rsidRPr="000248AD">
        <w:rPr>
          <w:rFonts w:ascii="Tahoma" w:hAnsi="Tahoma" w:cs="Tahoma"/>
        </w:rPr>
        <w:t>,</w:t>
      </w:r>
      <w:r w:rsidR="003B6848" w:rsidRPr="000248AD">
        <w:rPr>
          <w:rFonts w:ascii="Tahoma" w:hAnsi="Tahoma" w:cs="Tahoma"/>
        </w:rPr>
        <w:t xml:space="preserve"> y el Magistrado</w:t>
      </w:r>
      <w:r w:rsidR="00510D63" w:rsidRPr="000248AD">
        <w:rPr>
          <w:rFonts w:ascii="Tahoma" w:hAnsi="Tahoma" w:cs="Tahoma"/>
        </w:rPr>
        <w:t xml:space="preserve"> </w:t>
      </w:r>
      <w:r w:rsidR="003B6848" w:rsidRPr="000248AD">
        <w:rPr>
          <w:rFonts w:ascii="Tahoma" w:hAnsi="Tahoma" w:cs="Tahoma"/>
        </w:rPr>
        <w:t xml:space="preserve">GERMÁN DARIO </w:t>
      </w:r>
      <w:r w:rsidR="00AA60CF" w:rsidRPr="000248AD">
        <w:rPr>
          <w:rFonts w:ascii="Tahoma" w:hAnsi="Tahoma" w:cs="Tahoma"/>
        </w:rPr>
        <w:t xml:space="preserve">GOEZ </w:t>
      </w:r>
      <w:r w:rsidR="003B6848" w:rsidRPr="000248AD">
        <w:rPr>
          <w:rFonts w:ascii="Tahoma" w:hAnsi="Tahoma" w:cs="Tahoma"/>
        </w:rPr>
        <w:t>VINASCO, procede a proferir la</w:t>
      </w:r>
      <w:r w:rsidR="00510D63" w:rsidRPr="000248AD">
        <w:rPr>
          <w:rFonts w:ascii="Tahoma" w:hAnsi="Tahoma" w:cs="Tahoma"/>
        </w:rPr>
        <w:t xml:space="preserve"> </w:t>
      </w:r>
      <w:r w:rsidR="003B6848" w:rsidRPr="000248AD">
        <w:rPr>
          <w:rFonts w:ascii="Tahoma" w:hAnsi="Tahoma" w:cs="Tahoma"/>
        </w:rPr>
        <w:t xml:space="preserve">siguiente sentencia escrita dentro del proceso </w:t>
      </w:r>
      <w:r w:rsidR="003B6848" w:rsidRPr="00CF52CC">
        <w:rPr>
          <w:rFonts w:ascii="Tahoma" w:hAnsi="Tahoma" w:cs="Tahoma"/>
          <w:b/>
        </w:rPr>
        <w:t>ordinario laboral</w:t>
      </w:r>
      <w:r w:rsidR="003B6848" w:rsidRPr="000248AD">
        <w:rPr>
          <w:rFonts w:ascii="Tahoma" w:hAnsi="Tahoma" w:cs="Tahoma"/>
        </w:rPr>
        <w:t xml:space="preserve"> instaurado por </w:t>
      </w:r>
      <w:r w:rsidR="00F806A0" w:rsidRPr="000248AD">
        <w:rPr>
          <w:rFonts w:ascii="Tahoma" w:hAnsi="Tahoma" w:cs="Tahoma"/>
          <w:b/>
          <w:bCs/>
        </w:rPr>
        <w:t xml:space="preserve">Rafael Eduardo Paris Paris </w:t>
      </w:r>
      <w:r w:rsidR="00171926" w:rsidRPr="000248AD">
        <w:rPr>
          <w:rFonts w:ascii="Tahoma" w:hAnsi="Tahoma" w:cs="Tahoma"/>
        </w:rPr>
        <w:t>en contra de</w:t>
      </w:r>
      <w:r w:rsidR="00171926" w:rsidRPr="000248AD">
        <w:rPr>
          <w:rFonts w:ascii="Tahoma" w:hAnsi="Tahoma" w:cs="Tahoma"/>
          <w:b/>
          <w:bCs/>
        </w:rPr>
        <w:t xml:space="preserve"> </w:t>
      </w:r>
      <w:r w:rsidR="00B82067" w:rsidRPr="000248AD">
        <w:rPr>
          <w:rFonts w:ascii="Tahoma" w:hAnsi="Tahoma" w:cs="Tahoma"/>
          <w:bCs/>
        </w:rPr>
        <w:t>la</w:t>
      </w:r>
      <w:r w:rsidR="00B82067" w:rsidRPr="000248AD">
        <w:rPr>
          <w:rFonts w:ascii="Tahoma" w:hAnsi="Tahoma" w:cs="Tahoma"/>
          <w:b/>
          <w:bCs/>
        </w:rPr>
        <w:t xml:space="preserve"> Administradora Colombiana de Pensiones</w:t>
      </w:r>
      <w:r w:rsidR="00171926" w:rsidRPr="000248AD">
        <w:rPr>
          <w:rFonts w:ascii="Tahoma" w:hAnsi="Tahoma" w:cs="Tahoma"/>
          <w:b/>
          <w:bCs/>
          <w:caps/>
        </w:rPr>
        <w:t xml:space="preserve"> – </w:t>
      </w:r>
      <w:r w:rsidR="00B82067" w:rsidRPr="000248AD">
        <w:rPr>
          <w:rFonts w:ascii="Tahoma" w:hAnsi="Tahoma" w:cs="Tahoma"/>
          <w:b/>
          <w:bCs/>
        </w:rPr>
        <w:t>Colpensiones</w:t>
      </w:r>
      <w:r w:rsidR="002F2771" w:rsidRPr="000248AD">
        <w:rPr>
          <w:rFonts w:ascii="Tahoma" w:hAnsi="Tahoma" w:cs="Tahoma"/>
          <w:bCs/>
        </w:rPr>
        <w:t>,</w:t>
      </w:r>
      <w:r w:rsidR="00A60EFC" w:rsidRPr="000248AD">
        <w:rPr>
          <w:rFonts w:ascii="Tahoma" w:hAnsi="Tahoma" w:cs="Tahoma"/>
          <w:b/>
        </w:rPr>
        <w:t xml:space="preserve"> la Administradora de Fondos de Pensiones y Cesantías </w:t>
      </w:r>
      <w:r w:rsidR="00F806A0" w:rsidRPr="000248AD">
        <w:rPr>
          <w:rFonts w:ascii="Tahoma" w:hAnsi="Tahoma" w:cs="Tahoma"/>
          <w:b/>
        </w:rPr>
        <w:t>Protección</w:t>
      </w:r>
      <w:r w:rsidR="00A60EFC" w:rsidRPr="000248AD">
        <w:rPr>
          <w:rFonts w:ascii="Tahoma" w:hAnsi="Tahoma" w:cs="Tahoma"/>
          <w:b/>
        </w:rPr>
        <w:t xml:space="preserve"> S.A.</w:t>
      </w:r>
      <w:r w:rsidR="002F2771" w:rsidRPr="000248AD">
        <w:rPr>
          <w:rFonts w:ascii="Tahoma" w:hAnsi="Tahoma" w:cs="Tahoma"/>
          <w:b/>
        </w:rPr>
        <w:t xml:space="preserve"> </w:t>
      </w:r>
      <w:r w:rsidR="002F2771" w:rsidRPr="000248AD">
        <w:rPr>
          <w:rFonts w:ascii="Tahoma" w:hAnsi="Tahoma" w:cs="Tahoma"/>
          <w:bCs/>
        </w:rPr>
        <w:t xml:space="preserve"> y </w:t>
      </w:r>
      <w:r w:rsidR="002F2771" w:rsidRPr="000248AD">
        <w:rPr>
          <w:rFonts w:ascii="Tahoma" w:hAnsi="Tahoma" w:cs="Tahoma"/>
          <w:b/>
        </w:rPr>
        <w:t>Colfondos Pensiones y Cesantías</w:t>
      </w:r>
      <w:r w:rsidR="002F2771" w:rsidRPr="000248AD">
        <w:rPr>
          <w:rFonts w:ascii="Tahoma" w:hAnsi="Tahoma" w:cs="Tahoma"/>
          <w:bCs/>
        </w:rPr>
        <w:t xml:space="preserve"> </w:t>
      </w:r>
      <w:r w:rsidR="002F2771" w:rsidRPr="000248AD">
        <w:rPr>
          <w:rFonts w:ascii="Tahoma" w:hAnsi="Tahoma" w:cs="Tahoma"/>
          <w:b/>
          <w:bCs/>
        </w:rPr>
        <w:t>S.A.</w:t>
      </w:r>
    </w:p>
    <w:p w14:paraId="67119924" w14:textId="08148B6B" w:rsidR="71F93D75" w:rsidRPr="000248AD" w:rsidRDefault="71F93D75" w:rsidP="000248AD">
      <w:pPr>
        <w:pStyle w:val="paragraph"/>
        <w:spacing w:before="0" w:beforeAutospacing="0" w:after="0" w:afterAutospacing="0" w:line="276" w:lineRule="auto"/>
        <w:jc w:val="center"/>
        <w:rPr>
          <w:rStyle w:val="normaltextrun"/>
          <w:rFonts w:ascii="Tahoma" w:hAnsi="Tahoma" w:cs="Tahoma"/>
          <w:b/>
          <w:bCs/>
        </w:rPr>
      </w:pPr>
    </w:p>
    <w:p w14:paraId="1A5AB7B6" w14:textId="7ADABE29" w:rsidR="669305DA" w:rsidRPr="000248AD" w:rsidRDefault="669305DA" w:rsidP="000248AD">
      <w:pPr>
        <w:pStyle w:val="paragraph"/>
        <w:spacing w:before="0" w:beforeAutospacing="0" w:after="0" w:afterAutospacing="0" w:line="276" w:lineRule="auto"/>
        <w:jc w:val="center"/>
        <w:rPr>
          <w:rStyle w:val="normaltextrun"/>
          <w:rFonts w:ascii="Tahoma" w:hAnsi="Tahoma" w:cs="Tahoma"/>
          <w:b/>
          <w:bCs/>
        </w:rPr>
      </w:pPr>
      <w:r w:rsidRPr="000248AD">
        <w:rPr>
          <w:rStyle w:val="normaltextrun"/>
          <w:rFonts w:ascii="Tahoma" w:hAnsi="Tahoma" w:cs="Tahoma"/>
          <w:b/>
          <w:bCs/>
        </w:rPr>
        <w:t>AUTO</w:t>
      </w:r>
    </w:p>
    <w:p w14:paraId="57608374" w14:textId="0CBC3E5F" w:rsidR="71F93D75" w:rsidRPr="000248AD" w:rsidRDefault="71F93D75" w:rsidP="000248AD">
      <w:pPr>
        <w:pStyle w:val="paragraph"/>
        <w:spacing w:before="0" w:beforeAutospacing="0" w:after="0" w:afterAutospacing="0" w:line="276" w:lineRule="auto"/>
        <w:jc w:val="center"/>
        <w:rPr>
          <w:rStyle w:val="normaltextrun"/>
          <w:rFonts w:ascii="Tahoma" w:hAnsi="Tahoma" w:cs="Tahoma"/>
          <w:b/>
          <w:bCs/>
        </w:rPr>
      </w:pPr>
    </w:p>
    <w:p w14:paraId="00A1E2ED" w14:textId="015D990C" w:rsidR="669305DA" w:rsidRPr="000248AD" w:rsidRDefault="00CF52CC" w:rsidP="00CF52CC">
      <w:pPr>
        <w:spacing w:before="0" w:beforeAutospacing="0" w:after="0" w:afterAutospacing="0" w:line="276" w:lineRule="auto"/>
        <w:ind w:firstLine="705"/>
        <w:rPr>
          <w:rFonts w:ascii="Tahoma" w:hAnsi="Tahoma" w:cs="Tahoma"/>
        </w:rPr>
      </w:pPr>
      <w:r>
        <w:rPr>
          <w:rFonts w:ascii="Tahoma" w:eastAsia="Tahoma" w:hAnsi="Tahoma" w:cs="Tahoma"/>
          <w:lang w:val="es"/>
        </w:rPr>
        <w:t>(…)</w:t>
      </w:r>
    </w:p>
    <w:p w14:paraId="5B47061F" w14:textId="2D14E712" w:rsidR="71F93D75" w:rsidRPr="000248AD" w:rsidRDefault="71F93D75" w:rsidP="000248AD">
      <w:pPr>
        <w:pStyle w:val="paragraph"/>
        <w:spacing w:before="0" w:beforeAutospacing="0" w:after="0" w:afterAutospacing="0" w:line="276" w:lineRule="auto"/>
        <w:jc w:val="center"/>
        <w:rPr>
          <w:rStyle w:val="normaltextrun"/>
          <w:rFonts w:ascii="Tahoma" w:hAnsi="Tahoma" w:cs="Tahoma"/>
          <w:b/>
          <w:bCs/>
        </w:rPr>
      </w:pPr>
    </w:p>
    <w:p w14:paraId="32FCA209" w14:textId="12115787" w:rsidR="00617E08" w:rsidRPr="000248AD" w:rsidRDefault="00CC7065" w:rsidP="000248AD">
      <w:pPr>
        <w:pStyle w:val="paragraph"/>
        <w:spacing w:before="0" w:beforeAutospacing="0" w:after="0" w:afterAutospacing="0" w:line="276" w:lineRule="auto"/>
        <w:jc w:val="center"/>
        <w:textAlignment w:val="baseline"/>
        <w:rPr>
          <w:rStyle w:val="normaltextrun"/>
          <w:rFonts w:ascii="Tahoma" w:hAnsi="Tahoma" w:cs="Tahoma"/>
          <w:b/>
        </w:rPr>
      </w:pPr>
      <w:r w:rsidRPr="000248AD">
        <w:rPr>
          <w:rStyle w:val="normaltextrun"/>
          <w:rFonts w:ascii="Tahoma" w:hAnsi="Tahoma" w:cs="Tahoma"/>
          <w:b/>
        </w:rPr>
        <w:t>PUNTO A TRATAR</w:t>
      </w:r>
    </w:p>
    <w:p w14:paraId="408B3A0C" w14:textId="77777777" w:rsidR="00596F82" w:rsidRPr="000248AD" w:rsidRDefault="00596F82" w:rsidP="000248AD">
      <w:pPr>
        <w:spacing w:before="0" w:beforeAutospacing="0" w:after="0" w:afterAutospacing="0" w:line="276" w:lineRule="auto"/>
        <w:contextualSpacing/>
        <w:jc w:val="center"/>
        <w:rPr>
          <w:rStyle w:val="normaltextrun"/>
          <w:rFonts w:ascii="Tahoma" w:hAnsi="Tahoma" w:cs="Tahoma"/>
          <w:b/>
        </w:rPr>
      </w:pPr>
    </w:p>
    <w:p w14:paraId="06AA2758" w14:textId="4D0E7497" w:rsidR="00415842" w:rsidRPr="000248AD" w:rsidRDefault="00CC7065" w:rsidP="000248AD">
      <w:pPr>
        <w:spacing w:before="0" w:beforeAutospacing="0" w:after="0" w:afterAutospacing="0" w:line="276" w:lineRule="auto"/>
        <w:ind w:firstLine="708"/>
        <w:rPr>
          <w:rStyle w:val="normaltextrun"/>
          <w:rFonts w:ascii="Tahoma" w:hAnsi="Tahoma" w:cs="Tahoma"/>
        </w:rPr>
      </w:pPr>
      <w:r w:rsidRPr="000248AD">
        <w:rPr>
          <w:rStyle w:val="normaltextrun"/>
          <w:rFonts w:ascii="Tahoma" w:hAnsi="Tahoma" w:cs="Tahoma"/>
        </w:rPr>
        <w:t>Por medio de esta providencia procede la Sala a</w:t>
      </w:r>
      <w:r w:rsidRPr="000248AD">
        <w:rPr>
          <w:rFonts w:ascii="Tahoma" w:hAnsi="Tahoma" w:cs="Tahoma"/>
        </w:rPr>
        <w:t xml:space="preserve"> resolver el </w:t>
      </w:r>
      <w:r w:rsidR="00E75BE4" w:rsidRPr="000248AD">
        <w:rPr>
          <w:rFonts w:ascii="Tahoma" w:hAnsi="Tahoma" w:cs="Tahoma"/>
        </w:rPr>
        <w:t xml:space="preserve">grado jurisdiccional de consulta </w:t>
      </w:r>
      <w:r w:rsidR="00767097" w:rsidRPr="000248AD">
        <w:rPr>
          <w:rFonts w:ascii="Tahoma" w:hAnsi="Tahoma" w:cs="Tahoma"/>
        </w:rPr>
        <w:t>dispuesta</w:t>
      </w:r>
      <w:r w:rsidR="00E75BE4" w:rsidRPr="000248AD">
        <w:rPr>
          <w:rFonts w:ascii="Tahoma" w:hAnsi="Tahoma" w:cs="Tahoma"/>
        </w:rPr>
        <w:t xml:space="preserve"> en favor de la Administradora Colombiana de Pensiones</w:t>
      </w:r>
      <w:r w:rsidR="00D51575" w:rsidRPr="000248AD">
        <w:rPr>
          <w:rFonts w:ascii="Tahoma" w:hAnsi="Tahoma" w:cs="Tahoma"/>
        </w:rPr>
        <w:t xml:space="preserve"> </w:t>
      </w:r>
      <w:r w:rsidR="00E75BE4" w:rsidRPr="000248AD">
        <w:rPr>
          <w:rFonts w:ascii="Tahoma" w:hAnsi="Tahoma" w:cs="Tahoma"/>
        </w:rPr>
        <w:t>-Colpensiones</w:t>
      </w:r>
      <w:r w:rsidR="00D51575" w:rsidRPr="000248AD">
        <w:rPr>
          <w:rFonts w:ascii="Tahoma" w:hAnsi="Tahoma" w:cs="Tahoma"/>
        </w:rPr>
        <w:t>-</w:t>
      </w:r>
      <w:r w:rsidR="00E75BE4" w:rsidRPr="000248AD">
        <w:rPr>
          <w:rFonts w:ascii="Tahoma" w:hAnsi="Tahoma" w:cs="Tahoma"/>
        </w:rPr>
        <w:t xml:space="preserve"> </w:t>
      </w:r>
      <w:r w:rsidR="000B758F" w:rsidRPr="000248AD">
        <w:rPr>
          <w:rFonts w:ascii="Tahoma" w:hAnsi="Tahoma" w:cs="Tahoma"/>
        </w:rPr>
        <w:t xml:space="preserve">y </w:t>
      </w:r>
      <w:r w:rsidR="00B46D08" w:rsidRPr="000248AD">
        <w:rPr>
          <w:rFonts w:ascii="Tahoma" w:hAnsi="Tahoma" w:cs="Tahoma"/>
        </w:rPr>
        <w:t>el recurso de apelación presentado por esta misma entidad</w:t>
      </w:r>
      <w:r w:rsidR="00097ED5" w:rsidRPr="000248AD">
        <w:rPr>
          <w:rFonts w:ascii="Tahoma" w:hAnsi="Tahoma" w:cs="Tahoma"/>
        </w:rPr>
        <w:t>,</w:t>
      </w:r>
      <w:r w:rsidR="000B758F" w:rsidRPr="000248AD">
        <w:rPr>
          <w:rFonts w:ascii="Tahoma" w:hAnsi="Tahoma" w:cs="Tahoma"/>
        </w:rPr>
        <w:t xml:space="preserve"> en contra de </w:t>
      </w:r>
      <w:r w:rsidR="00E75BE4" w:rsidRPr="000248AD">
        <w:rPr>
          <w:rFonts w:ascii="Tahoma" w:hAnsi="Tahoma" w:cs="Tahoma"/>
        </w:rPr>
        <w:t xml:space="preserve">la sentencia proferida el </w:t>
      </w:r>
      <w:r w:rsidR="00E62441" w:rsidRPr="000248AD">
        <w:rPr>
          <w:rFonts w:ascii="Tahoma" w:hAnsi="Tahoma" w:cs="Tahoma"/>
        </w:rPr>
        <w:t xml:space="preserve">13 de febrero de 2023 </w:t>
      </w:r>
      <w:r w:rsidR="00E75BE4" w:rsidRPr="000248AD">
        <w:rPr>
          <w:rFonts w:ascii="Tahoma" w:hAnsi="Tahoma" w:cs="Tahoma"/>
        </w:rPr>
        <w:t xml:space="preserve">por el Juzgado </w:t>
      </w:r>
      <w:r w:rsidR="00596F82" w:rsidRPr="000248AD">
        <w:rPr>
          <w:rFonts w:ascii="Tahoma" w:hAnsi="Tahoma" w:cs="Tahoma"/>
        </w:rPr>
        <w:t>Tercero</w:t>
      </w:r>
      <w:r w:rsidR="00693DE0" w:rsidRPr="000248AD">
        <w:rPr>
          <w:rFonts w:ascii="Tahoma" w:hAnsi="Tahoma" w:cs="Tahoma"/>
        </w:rPr>
        <w:t xml:space="preserve"> </w:t>
      </w:r>
      <w:r w:rsidR="00E75BE4" w:rsidRPr="000248AD">
        <w:rPr>
          <w:rFonts w:ascii="Tahoma" w:hAnsi="Tahoma" w:cs="Tahoma"/>
        </w:rPr>
        <w:t>Laboral del Circuito de Pereira</w:t>
      </w:r>
      <w:r w:rsidR="00B57E70" w:rsidRPr="000248AD">
        <w:rPr>
          <w:rFonts w:ascii="Tahoma" w:hAnsi="Tahoma" w:cs="Tahoma"/>
        </w:rPr>
        <w:t xml:space="preserve">. </w:t>
      </w:r>
      <w:r w:rsidR="00C93566" w:rsidRPr="000248AD">
        <w:rPr>
          <w:rStyle w:val="normaltextrun"/>
          <w:rFonts w:ascii="Tahoma" w:hAnsi="Tahoma" w:cs="Tahoma"/>
        </w:rPr>
        <w:t>Así,</w:t>
      </w:r>
      <w:r w:rsidRPr="000248AD">
        <w:rPr>
          <w:rStyle w:val="normaltextrun"/>
          <w:rFonts w:ascii="Tahoma" w:hAnsi="Tahoma" w:cs="Tahoma"/>
        </w:rPr>
        <w:t xml:space="preserve"> se tiene en cuenta lo siguiente: </w:t>
      </w:r>
    </w:p>
    <w:p w14:paraId="52CFA965" w14:textId="77777777" w:rsidR="00A60EFC" w:rsidRPr="000248AD" w:rsidRDefault="00A60EFC" w:rsidP="000248AD">
      <w:pPr>
        <w:spacing w:before="0" w:beforeAutospacing="0" w:after="0" w:afterAutospacing="0" w:line="276" w:lineRule="auto"/>
        <w:ind w:firstLine="708"/>
        <w:rPr>
          <w:rStyle w:val="normaltextrun"/>
          <w:rFonts w:ascii="Tahoma" w:hAnsi="Tahoma" w:cs="Tahoma"/>
        </w:rPr>
      </w:pPr>
    </w:p>
    <w:p w14:paraId="40C2E441" w14:textId="605EEB5E" w:rsidR="00415842" w:rsidRPr="000248AD" w:rsidRDefault="005C136F" w:rsidP="000248AD">
      <w:pPr>
        <w:pStyle w:val="Prrafodelista"/>
        <w:numPr>
          <w:ilvl w:val="0"/>
          <w:numId w:val="2"/>
        </w:numPr>
        <w:spacing w:line="276" w:lineRule="auto"/>
        <w:ind w:left="426" w:hanging="426"/>
        <w:jc w:val="center"/>
        <w:rPr>
          <w:rStyle w:val="normaltextrun"/>
          <w:rFonts w:cs="Tahoma"/>
          <w:b/>
          <w:bCs/>
          <w:szCs w:val="24"/>
        </w:rPr>
      </w:pPr>
      <w:r w:rsidRPr="000248AD">
        <w:rPr>
          <w:rFonts w:cs="Tahoma"/>
          <w:b/>
          <w:bCs/>
          <w:szCs w:val="24"/>
        </w:rPr>
        <w:t xml:space="preserve">La </w:t>
      </w:r>
      <w:r w:rsidR="00415842" w:rsidRPr="000248AD">
        <w:rPr>
          <w:rFonts w:cs="Tahoma"/>
          <w:b/>
          <w:bCs/>
          <w:szCs w:val="24"/>
        </w:rPr>
        <w:t xml:space="preserve">Demanda y </w:t>
      </w:r>
      <w:r w:rsidRPr="000248AD">
        <w:rPr>
          <w:rFonts w:cs="Tahoma"/>
          <w:b/>
          <w:bCs/>
          <w:szCs w:val="24"/>
        </w:rPr>
        <w:t>la</w:t>
      </w:r>
      <w:r w:rsidR="00415842" w:rsidRPr="000248AD">
        <w:rPr>
          <w:rFonts w:cs="Tahoma"/>
          <w:b/>
          <w:bCs/>
          <w:szCs w:val="24"/>
        </w:rPr>
        <w:t xml:space="preserve"> contestación</w:t>
      </w:r>
      <w:r w:rsidRPr="000248AD">
        <w:rPr>
          <w:rFonts w:cs="Tahoma"/>
          <w:b/>
          <w:bCs/>
          <w:szCs w:val="24"/>
        </w:rPr>
        <w:t xml:space="preserve"> de la demanda</w:t>
      </w:r>
    </w:p>
    <w:p w14:paraId="417070AC" w14:textId="77777777" w:rsidR="00647E83" w:rsidRPr="000248AD" w:rsidRDefault="00647E83" w:rsidP="000248AD">
      <w:pPr>
        <w:spacing w:before="0" w:beforeAutospacing="0" w:after="0" w:afterAutospacing="0" w:line="276" w:lineRule="auto"/>
        <w:ind w:firstLine="708"/>
        <w:contextualSpacing/>
        <w:rPr>
          <w:rFonts w:ascii="Tahoma" w:eastAsia="Calibri" w:hAnsi="Tahoma" w:cs="Tahoma"/>
        </w:rPr>
      </w:pPr>
    </w:p>
    <w:p w14:paraId="4E8446E6" w14:textId="6017A93E" w:rsidR="00721BFD" w:rsidRPr="000248AD" w:rsidRDefault="00FD6841" w:rsidP="000248AD">
      <w:pPr>
        <w:spacing w:before="0" w:beforeAutospacing="0" w:after="0" w:afterAutospacing="0" w:line="276" w:lineRule="auto"/>
        <w:rPr>
          <w:rFonts w:ascii="Tahoma" w:eastAsia="Times New Roman" w:hAnsi="Tahoma" w:cs="Tahoma"/>
          <w:lang w:eastAsia="es-MX"/>
        </w:rPr>
      </w:pPr>
      <w:r w:rsidRPr="000248AD">
        <w:rPr>
          <w:rFonts w:ascii="Tahoma" w:eastAsia="Times New Roman" w:hAnsi="Tahoma" w:cs="Tahoma"/>
          <w:lang w:val="es-ES" w:eastAsia="es-MX"/>
        </w:rPr>
        <w:t xml:space="preserve">Pretende </w:t>
      </w:r>
      <w:r w:rsidR="002F2771" w:rsidRPr="000248AD">
        <w:rPr>
          <w:rFonts w:ascii="Tahoma" w:eastAsia="Times New Roman" w:hAnsi="Tahoma" w:cs="Tahoma"/>
          <w:lang w:val="es-ES" w:eastAsia="es-MX"/>
        </w:rPr>
        <w:t>el</w:t>
      </w:r>
      <w:r w:rsidRPr="000248AD">
        <w:rPr>
          <w:rFonts w:ascii="Tahoma" w:eastAsia="Times New Roman" w:hAnsi="Tahoma" w:cs="Tahoma"/>
          <w:lang w:val="es-ES" w:eastAsia="es-MX"/>
        </w:rPr>
        <w:t xml:space="preserve"> promotor del litigio que se declare </w:t>
      </w:r>
      <w:r w:rsidR="00AC6E49" w:rsidRPr="000248AD">
        <w:rPr>
          <w:rFonts w:ascii="Tahoma" w:eastAsia="Times New Roman" w:hAnsi="Tahoma" w:cs="Tahoma"/>
          <w:lang w:val="es-ES" w:eastAsia="es-MX"/>
        </w:rPr>
        <w:t xml:space="preserve">la </w:t>
      </w:r>
      <w:r w:rsidR="006A0D79" w:rsidRPr="000248AD">
        <w:rPr>
          <w:rFonts w:ascii="Tahoma" w:eastAsia="Times New Roman" w:hAnsi="Tahoma" w:cs="Tahoma"/>
          <w:lang w:val="es-ES" w:eastAsia="es-MX"/>
        </w:rPr>
        <w:t>ineficacia</w:t>
      </w:r>
      <w:r w:rsidR="006C00B2" w:rsidRPr="000248AD">
        <w:rPr>
          <w:rFonts w:ascii="Tahoma" w:eastAsia="Times New Roman" w:hAnsi="Tahoma" w:cs="Tahoma"/>
          <w:lang w:val="es-ES" w:eastAsia="es-MX"/>
        </w:rPr>
        <w:t xml:space="preserve"> de</w:t>
      </w:r>
      <w:r w:rsidR="003B2DE4" w:rsidRPr="000248AD">
        <w:rPr>
          <w:rFonts w:ascii="Tahoma" w:eastAsia="Times New Roman" w:hAnsi="Tahoma" w:cs="Tahoma"/>
          <w:lang w:val="es-ES" w:eastAsia="es-MX"/>
        </w:rPr>
        <w:t xml:space="preserve">l traslado </w:t>
      </w:r>
      <w:r w:rsidR="006C00B2" w:rsidRPr="000248AD">
        <w:rPr>
          <w:rFonts w:ascii="Tahoma" w:eastAsia="Times New Roman" w:hAnsi="Tahoma" w:cs="Tahoma"/>
          <w:lang w:val="es-ES" w:eastAsia="es-MX"/>
        </w:rPr>
        <w:t>del régimen de prima media con prestación definida (en adelante RPM) al régimen de ahorro individual con solidaridad (en adelante RAIS)</w:t>
      </w:r>
      <w:r w:rsidR="00E14886" w:rsidRPr="000248AD">
        <w:rPr>
          <w:rFonts w:ascii="Tahoma" w:eastAsia="Times New Roman" w:hAnsi="Tahoma" w:cs="Tahoma"/>
          <w:lang w:val="es-ES" w:eastAsia="es-MX"/>
        </w:rPr>
        <w:t xml:space="preserve"> que realizó a través de </w:t>
      </w:r>
      <w:r w:rsidR="002F2771" w:rsidRPr="000248AD">
        <w:rPr>
          <w:rFonts w:ascii="Tahoma" w:eastAsia="Times New Roman" w:hAnsi="Tahoma" w:cs="Tahoma"/>
          <w:lang w:val="es-ES" w:eastAsia="es-MX"/>
        </w:rPr>
        <w:t>COLFONDOS</w:t>
      </w:r>
      <w:r w:rsidR="00CE4AC3" w:rsidRPr="000248AD">
        <w:rPr>
          <w:rFonts w:ascii="Tahoma" w:eastAsia="Times New Roman" w:hAnsi="Tahoma" w:cs="Tahoma"/>
          <w:lang w:val="es-ES" w:eastAsia="es-MX"/>
        </w:rPr>
        <w:t xml:space="preserve"> </w:t>
      </w:r>
      <w:r w:rsidR="00E14886" w:rsidRPr="000248AD">
        <w:rPr>
          <w:rFonts w:ascii="Tahoma" w:eastAsia="Times New Roman" w:hAnsi="Tahoma" w:cs="Tahoma"/>
          <w:lang w:val="es-ES" w:eastAsia="es-MX"/>
        </w:rPr>
        <w:t>S.A.</w:t>
      </w:r>
      <w:r w:rsidR="002F2771" w:rsidRPr="000248AD">
        <w:rPr>
          <w:rFonts w:ascii="Tahoma" w:eastAsia="Times New Roman" w:hAnsi="Tahoma" w:cs="Tahoma"/>
          <w:lang w:val="es-ES" w:eastAsia="es-MX"/>
        </w:rPr>
        <w:t xml:space="preserve"> </w:t>
      </w:r>
      <w:r w:rsidR="00AF7CDD" w:rsidRPr="000248AD">
        <w:rPr>
          <w:rFonts w:ascii="Tahoma" w:eastAsia="Times New Roman" w:hAnsi="Tahoma" w:cs="Tahoma"/>
          <w:lang w:val="es-ES" w:eastAsia="es-MX"/>
        </w:rPr>
        <w:t>y el posterior traslado entre administradoras efectuado a Protección S.A.</w:t>
      </w:r>
      <w:r w:rsidR="00211C42" w:rsidRPr="000248AD">
        <w:rPr>
          <w:rFonts w:ascii="Tahoma" w:eastAsia="Times New Roman" w:hAnsi="Tahoma" w:cs="Tahoma"/>
          <w:lang w:val="es-ES" w:eastAsia="es-MX"/>
        </w:rPr>
        <w:t>,</w:t>
      </w:r>
      <w:r w:rsidR="00367B8E" w:rsidRPr="000248AD">
        <w:rPr>
          <w:rFonts w:ascii="Tahoma" w:eastAsia="Times New Roman" w:hAnsi="Tahoma" w:cs="Tahoma"/>
          <w:lang w:val="es-ES" w:eastAsia="es-MX"/>
        </w:rPr>
        <w:t xml:space="preserve"> </w:t>
      </w:r>
      <w:r w:rsidR="00EA43DA" w:rsidRPr="000248AD">
        <w:rPr>
          <w:rFonts w:ascii="Tahoma" w:eastAsia="Times New Roman" w:hAnsi="Tahoma" w:cs="Tahoma"/>
          <w:lang w:val="es-ES" w:eastAsia="es-MX"/>
        </w:rPr>
        <w:t xml:space="preserve">y en </w:t>
      </w:r>
      <w:r w:rsidR="00721BFD" w:rsidRPr="000248AD">
        <w:rPr>
          <w:rFonts w:ascii="Tahoma" w:eastAsia="Times New Roman" w:hAnsi="Tahoma" w:cs="Tahoma"/>
          <w:lang w:val="es-ES" w:eastAsia="es-MX"/>
        </w:rPr>
        <w:t>consecuencia</w:t>
      </w:r>
      <w:r w:rsidR="00EA43DA" w:rsidRPr="000248AD">
        <w:rPr>
          <w:rFonts w:ascii="Tahoma" w:eastAsia="Times New Roman" w:hAnsi="Tahoma" w:cs="Tahoma"/>
          <w:lang w:val="es-ES" w:eastAsia="es-MX"/>
        </w:rPr>
        <w:t xml:space="preserve"> se conden</w:t>
      </w:r>
      <w:r w:rsidR="005C136F" w:rsidRPr="000248AD">
        <w:rPr>
          <w:rFonts w:ascii="Tahoma" w:eastAsia="Times New Roman" w:hAnsi="Tahoma" w:cs="Tahoma"/>
          <w:lang w:val="es-ES" w:eastAsia="es-MX"/>
        </w:rPr>
        <w:t>e</w:t>
      </w:r>
      <w:r w:rsidR="00EA43DA" w:rsidRPr="000248AD">
        <w:rPr>
          <w:rFonts w:ascii="Tahoma" w:eastAsia="Times New Roman" w:hAnsi="Tahoma" w:cs="Tahoma"/>
          <w:lang w:val="es-ES" w:eastAsia="es-MX"/>
        </w:rPr>
        <w:t xml:space="preserve"> </w:t>
      </w:r>
      <w:r w:rsidR="00AF7CDD" w:rsidRPr="000248AD">
        <w:rPr>
          <w:rFonts w:ascii="Tahoma" w:eastAsia="Times New Roman" w:hAnsi="Tahoma" w:cs="Tahoma"/>
          <w:lang w:val="es-ES" w:eastAsia="es-MX"/>
        </w:rPr>
        <w:t>a esta última</w:t>
      </w:r>
      <w:r w:rsidR="00444A33" w:rsidRPr="000248AD">
        <w:rPr>
          <w:rFonts w:ascii="Tahoma" w:eastAsia="Times New Roman" w:hAnsi="Tahoma" w:cs="Tahoma"/>
          <w:lang w:eastAsia="es-MX"/>
        </w:rPr>
        <w:t xml:space="preserve"> a trasladar sus </w:t>
      </w:r>
      <w:r w:rsidR="00AF7CDD" w:rsidRPr="000248AD">
        <w:rPr>
          <w:rFonts w:ascii="Tahoma" w:eastAsia="Times New Roman" w:hAnsi="Tahoma" w:cs="Tahoma"/>
          <w:lang w:eastAsia="es-MX"/>
        </w:rPr>
        <w:t>saldos, cotizaciones, bonos pensionales, sumas adicionales, junto con sus rendimientos</w:t>
      </w:r>
      <w:r w:rsidR="00444A33" w:rsidRPr="000248AD">
        <w:rPr>
          <w:rFonts w:ascii="Tahoma" w:eastAsia="Times New Roman" w:hAnsi="Tahoma" w:cs="Tahoma"/>
          <w:lang w:eastAsia="es-MX"/>
        </w:rPr>
        <w:t xml:space="preserve"> a COLPENSIONES</w:t>
      </w:r>
      <w:r w:rsidR="002F2771" w:rsidRPr="000248AD">
        <w:rPr>
          <w:rFonts w:ascii="Tahoma" w:eastAsia="Times New Roman" w:hAnsi="Tahoma" w:cs="Tahoma"/>
          <w:lang w:eastAsia="es-MX"/>
        </w:rPr>
        <w:t xml:space="preserve">, ultima a quien persigue, se ordene que acepte su traslado. </w:t>
      </w:r>
    </w:p>
    <w:p w14:paraId="0B2055D5" w14:textId="77777777" w:rsidR="006C00B2" w:rsidRPr="000248AD" w:rsidRDefault="006C00B2" w:rsidP="000248AD">
      <w:pPr>
        <w:spacing w:before="0" w:beforeAutospacing="0" w:after="0" w:afterAutospacing="0" w:line="276" w:lineRule="auto"/>
        <w:ind w:firstLine="0"/>
        <w:rPr>
          <w:rFonts w:ascii="Tahoma" w:eastAsia="Times New Roman" w:hAnsi="Tahoma" w:cs="Tahoma"/>
          <w:lang w:val="es-ES" w:eastAsia="es-MX"/>
        </w:rPr>
      </w:pPr>
    </w:p>
    <w:p w14:paraId="657E8646" w14:textId="2011B92D" w:rsidR="002D0B5A" w:rsidRPr="000248AD" w:rsidRDefault="006C00B2" w:rsidP="000248AD">
      <w:pPr>
        <w:spacing w:before="0" w:beforeAutospacing="0" w:after="0" w:afterAutospacing="0" w:line="276" w:lineRule="auto"/>
        <w:ind w:firstLine="708"/>
        <w:rPr>
          <w:rFonts w:ascii="Tahoma" w:eastAsia="Times New Roman" w:hAnsi="Tahoma" w:cs="Tahoma"/>
          <w:lang w:val="es-ES" w:eastAsia="es-MX"/>
        </w:rPr>
      </w:pPr>
      <w:r w:rsidRPr="000248AD">
        <w:rPr>
          <w:rFonts w:ascii="Tahoma" w:eastAsia="Times New Roman" w:hAnsi="Tahoma" w:cs="Tahoma"/>
          <w:lang w:val="es-ES" w:eastAsia="es-MX"/>
        </w:rPr>
        <w:t>En sustento de lo pretendido, relata</w:t>
      </w:r>
      <w:r w:rsidR="002D0B5A" w:rsidRPr="000248AD">
        <w:rPr>
          <w:rFonts w:ascii="Tahoma" w:eastAsia="Times New Roman" w:hAnsi="Tahoma" w:cs="Tahoma"/>
          <w:lang w:val="es-ES" w:eastAsia="es-MX"/>
        </w:rPr>
        <w:t>, en síntesis,</w:t>
      </w:r>
      <w:r w:rsidRPr="000248AD">
        <w:rPr>
          <w:rFonts w:ascii="Tahoma" w:eastAsia="Times New Roman" w:hAnsi="Tahoma" w:cs="Tahoma"/>
          <w:lang w:val="es-ES" w:eastAsia="es-MX"/>
        </w:rPr>
        <w:t xml:space="preserve"> </w:t>
      </w:r>
      <w:r w:rsidR="00444A33" w:rsidRPr="000248AD">
        <w:rPr>
          <w:rFonts w:ascii="Tahoma" w:eastAsia="Times New Roman" w:hAnsi="Tahoma" w:cs="Tahoma"/>
          <w:lang w:val="es-ES" w:eastAsia="es-MX"/>
        </w:rPr>
        <w:t xml:space="preserve">que </w:t>
      </w:r>
      <w:r w:rsidR="00F00AE3" w:rsidRPr="000248AD">
        <w:rPr>
          <w:rFonts w:ascii="Tahoma" w:eastAsia="Times New Roman" w:hAnsi="Tahoma" w:cs="Tahoma"/>
          <w:lang w:val="es-ES" w:eastAsia="es-MX"/>
        </w:rPr>
        <w:t xml:space="preserve">nació el 27 de abril de 1959, que en octubre de 1995 se trasladó del RPM al RAIS a través de </w:t>
      </w:r>
      <w:r w:rsidR="002F2771" w:rsidRPr="000248AD">
        <w:rPr>
          <w:rFonts w:ascii="Tahoma" w:eastAsia="Times New Roman" w:hAnsi="Tahoma" w:cs="Tahoma"/>
          <w:lang w:val="es-ES" w:eastAsia="es-MX"/>
        </w:rPr>
        <w:t>Colfondos S.A.</w:t>
      </w:r>
      <w:r w:rsidR="00F00AE3" w:rsidRPr="000248AD">
        <w:rPr>
          <w:rFonts w:ascii="Tahoma" w:eastAsia="Times New Roman" w:hAnsi="Tahoma" w:cs="Tahoma"/>
          <w:lang w:val="es-ES" w:eastAsia="es-MX"/>
        </w:rPr>
        <w:t xml:space="preserve"> y que el 13 de febrero de 2001 se trasladó a Santander hoy Protección S.A.</w:t>
      </w:r>
      <w:r w:rsidR="002F2771" w:rsidRPr="000248AD">
        <w:rPr>
          <w:rFonts w:ascii="Tahoma" w:eastAsia="Times New Roman" w:hAnsi="Tahoma" w:cs="Tahoma"/>
          <w:lang w:val="es-ES" w:eastAsia="es-MX"/>
        </w:rPr>
        <w:t xml:space="preserve">, pese a que </w:t>
      </w:r>
      <w:r w:rsidR="00F00AE3" w:rsidRPr="000248AD">
        <w:rPr>
          <w:rFonts w:ascii="Tahoma" w:eastAsia="Times New Roman" w:hAnsi="Tahoma" w:cs="Tahoma"/>
          <w:lang w:val="es-ES" w:eastAsia="es-MX"/>
        </w:rPr>
        <w:t>los asesores que gestionaron sus traslados no le brindaron una asesoría completa sobre las consecuencias de los mismos, puesto que únicamente le indicaron que le garantizarían una serie de beneficios que finalmente no cumplieron</w:t>
      </w:r>
      <w:r w:rsidR="4E1F6D5F" w:rsidRPr="000248AD">
        <w:rPr>
          <w:rFonts w:ascii="Tahoma" w:eastAsia="Times New Roman" w:hAnsi="Tahoma" w:cs="Tahoma"/>
          <w:lang w:val="es-ES" w:eastAsia="es-MX"/>
        </w:rPr>
        <w:t>, tales c</w:t>
      </w:r>
      <w:r w:rsidR="00F00AE3" w:rsidRPr="000248AD">
        <w:rPr>
          <w:rFonts w:ascii="Tahoma" w:eastAsia="Times New Roman" w:hAnsi="Tahoma" w:cs="Tahoma"/>
          <w:lang w:val="es-ES" w:eastAsia="es-MX"/>
        </w:rPr>
        <w:t xml:space="preserve">omo una mesada superior y a cualquier edad.  </w:t>
      </w:r>
      <w:r w:rsidR="002F2771" w:rsidRPr="000248AD">
        <w:rPr>
          <w:rFonts w:ascii="Tahoma" w:eastAsia="Times New Roman" w:hAnsi="Tahoma" w:cs="Tahoma"/>
          <w:lang w:val="es-ES" w:eastAsia="es-MX"/>
        </w:rPr>
        <w:t xml:space="preserve"> </w:t>
      </w:r>
    </w:p>
    <w:p w14:paraId="17723503" w14:textId="052BC517" w:rsidR="005E14A1" w:rsidRPr="000248AD" w:rsidRDefault="005E14A1" w:rsidP="000248AD">
      <w:pPr>
        <w:spacing w:before="0" w:beforeAutospacing="0" w:after="0" w:afterAutospacing="0" w:line="276" w:lineRule="auto"/>
        <w:ind w:firstLine="0"/>
        <w:rPr>
          <w:rFonts w:ascii="Tahoma" w:eastAsia="Times New Roman" w:hAnsi="Tahoma" w:cs="Tahoma"/>
          <w:i/>
          <w:iCs/>
          <w:lang w:val="es-ES" w:eastAsia="es-MX"/>
        </w:rPr>
      </w:pPr>
    </w:p>
    <w:p w14:paraId="575F5711" w14:textId="1CD9DBC9" w:rsidR="00241291" w:rsidRPr="000248AD" w:rsidRDefault="004446D7" w:rsidP="000248AD">
      <w:pPr>
        <w:spacing w:before="0" w:beforeAutospacing="0" w:after="0" w:afterAutospacing="0" w:line="276" w:lineRule="auto"/>
        <w:ind w:firstLine="708"/>
        <w:rPr>
          <w:rFonts w:ascii="Tahoma" w:eastAsia="Times New Roman" w:hAnsi="Tahoma" w:cs="Tahoma"/>
          <w:i/>
          <w:iCs/>
          <w:lang w:val="es-ES" w:eastAsia="es-MX"/>
        </w:rPr>
      </w:pPr>
      <w:r w:rsidRPr="000248AD">
        <w:rPr>
          <w:rFonts w:ascii="Tahoma" w:eastAsia="Times New Roman" w:hAnsi="Tahoma" w:cs="Tahoma"/>
          <w:lang w:val="es-ES" w:eastAsia="es-MX"/>
        </w:rPr>
        <w:t>La</w:t>
      </w:r>
      <w:r w:rsidRPr="000248AD">
        <w:rPr>
          <w:rFonts w:ascii="Tahoma" w:eastAsia="Times New Roman" w:hAnsi="Tahoma" w:cs="Tahoma"/>
          <w:b/>
          <w:bCs/>
          <w:lang w:val="es-ES" w:eastAsia="es-MX"/>
        </w:rPr>
        <w:t xml:space="preserve"> Administradora Colombiana de Pensiones -Colpensiones-</w:t>
      </w:r>
      <w:r w:rsidRPr="000248AD">
        <w:rPr>
          <w:rFonts w:ascii="Tahoma" w:eastAsia="Times New Roman" w:hAnsi="Tahoma" w:cs="Tahoma"/>
          <w:lang w:val="es-ES" w:eastAsia="es-MX"/>
        </w:rPr>
        <w:t xml:space="preserve"> se opuso a la prosperidad de las pretensiones, señalando que </w:t>
      </w:r>
      <w:r w:rsidR="00FE1A24" w:rsidRPr="000248AD">
        <w:rPr>
          <w:rFonts w:ascii="Tahoma" w:eastAsia="Times New Roman" w:hAnsi="Tahoma" w:cs="Tahoma"/>
          <w:lang w:val="es-ES" w:eastAsia="es-MX"/>
        </w:rPr>
        <w:t xml:space="preserve">no se encuentra en la obligación de aceptar la afiliación/traslado, puesto que, si bien el demandante manifiesta que al momento de realizarse la afiliación al RAIS se le comunicaron diferentes motivos para promover su elección, no puede pasarse por alto que es de público conocimiento que al liquidarse el ISS, la Administradora Colombiana de Pensiones tomó su lugar como </w:t>
      </w:r>
      <w:r w:rsidR="00FE1A24" w:rsidRPr="000248AD">
        <w:rPr>
          <w:rFonts w:ascii="Tahoma" w:eastAsia="Times New Roman" w:hAnsi="Tahoma" w:cs="Tahoma"/>
          <w:lang w:val="es-ES" w:eastAsia="es-MX"/>
        </w:rPr>
        <w:lastRenderedPageBreak/>
        <w:t>administradora del RPM, por lo cual si su intención era regresar a dicho régimen no puede alegar 20 años después de haberse efectuado el traslado, que pensaba que éste iba a desaparecer.</w:t>
      </w:r>
      <w:r w:rsidRPr="000248AD">
        <w:rPr>
          <w:rFonts w:ascii="Tahoma" w:eastAsia="Times New Roman" w:hAnsi="Tahoma" w:cs="Tahoma"/>
          <w:lang w:val="es-ES" w:eastAsia="es-MX"/>
        </w:rPr>
        <w:t xml:space="preserve"> En ese orden como medios exceptivos de mérito formuló: </w:t>
      </w:r>
      <w:r w:rsidR="00C1487F" w:rsidRPr="000248AD">
        <w:rPr>
          <w:rFonts w:ascii="Tahoma" w:eastAsia="Times New Roman" w:hAnsi="Tahoma" w:cs="Tahoma"/>
          <w:i/>
          <w:iCs/>
          <w:lang w:val="es-ES" w:eastAsia="es-MX"/>
        </w:rPr>
        <w:t>“Inexistencia de la obligación”, “Excepción de buena fe”, “Imposibilidad jurídica para cumplir con las obligaciones pretendidas”, “Excepción de innominada” y “Prescripción</w:t>
      </w:r>
      <w:r w:rsidR="00BC57BA" w:rsidRPr="000248AD">
        <w:rPr>
          <w:rFonts w:ascii="Tahoma" w:eastAsia="Times New Roman" w:hAnsi="Tahoma" w:cs="Tahoma"/>
          <w:i/>
          <w:iCs/>
          <w:lang w:val="es-ES" w:eastAsia="es-MX"/>
        </w:rPr>
        <w:t>”</w:t>
      </w:r>
      <w:r w:rsidR="00C74052" w:rsidRPr="000248AD">
        <w:rPr>
          <w:rFonts w:ascii="Tahoma" w:eastAsia="Times New Roman" w:hAnsi="Tahoma" w:cs="Tahoma"/>
          <w:i/>
          <w:iCs/>
          <w:lang w:val="es-ES" w:eastAsia="es-MX"/>
        </w:rPr>
        <w:t>.</w:t>
      </w:r>
      <w:r w:rsidR="00C1287D" w:rsidRPr="000248AD">
        <w:rPr>
          <w:rFonts w:ascii="Tahoma" w:eastAsia="Times New Roman" w:hAnsi="Tahoma" w:cs="Tahoma"/>
          <w:i/>
          <w:iCs/>
          <w:lang w:val="es-ES" w:eastAsia="es-MX"/>
        </w:rPr>
        <w:t xml:space="preserve"> </w:t>
      </w:r>
    </w:p>
    <w:p w14:paraId="7B34B88D" w14:textId="77777777" w:rsidR="004446D7" w:rsidRPr="000248AD" w:rsidRDefault="004446D7" w:rsidP="000248AD">
      <w:pPr>
        <w:spacing w:before="0" w:beforeAutospacing="0" w:after="0" w:afterAutospacing="0" w:line="276" w:lineRule="auto"/>
        <w:ind w:firstLine="0"/>
        <w:rPr>
          <w:rFonts w:ascii="Tahoma" w:eastAsia="Times New Roman" w:hAnsi="Tahoma" w:cs="Tahoma"/>
          <w:i/>
          <w:iCs/>
          <w:lang w:val="es-ES" w:eastAsia="es-MX"/>
        </w:rPr>
      </w:pPr>
    </w:p>
    <w:p w14:paraId="60888CF8" w14:textId="01F6691F" w:rsidR="00905A75" w:rsidRPr="000248AD" w:rsidRDefault="00C1287D" w:rsidP="000248AD">
      <w:pPr>
        <w:spacing w:before="0" w:beforeAutospacing="0" w:after="0" w:afterAutospacing="0" w:line="276" w:lineRule="auto"/>
        <w:ind w:firstLine="708"/>
        <w:contextualSpacing/>
        <w:rPr>
          <w:rFonts w:ascii="Tahoma" w:hAnsi="Tahoma" w:cs="Tahoma"/>
          <w:i/>
          <w:iCs/>
        </w:rPr>
      </w:pPr>
      <w:r w:rsidRPr="000248AD">
        <w:rPr>
          <w:rFonts w:ascii="Tahoma" w:eastAsia="Calibri" w:hAnsi="Tahoma" w:cs="Tahoma"/>
        </w:rPr>
        <w:t>Por su parte, la</w:t>
      </w:r>
      <w:r w:rsidRPr="000248AD">
        <w:rPr>
          <w:rFonts w:ascii="Tahoma" w:eastAsia="Calibri" w:hAnsi="Tahoma" w:cs="Tahoma"/>
          <w:b/>
        </w:rPr>
        <w:t xml:space="preserve"> Administradora de Fondos de Pensiones y Cesantías </w:t>
      </w:r>
      <w:r w:rsidR="00B602F0" w:rsidRPr="000248AD">
        <w:rPr>
          <w:rFonts w:ascii="Tahoma" w:eastAsia="Calibri" w:hAnsi="Tahoma" w:cs="Tahoma"/>
          <w:b/>
        </w:rPr>
        <w:t>Protección</w:t>
      </w:r>
      <w:r w:rsidRPr="000248AD">
        <w:rPr>
          <w:rFonts w:ascii="Tahoma" w:eastAsia="Calibri" w:hAnsi="Tahoma" w:cs="Tahoma"/>
          <w:b/>
        </w:rPr>
        <w:t xml:space="preserve"> S.A.</w:t>
      </w:r>
      <w:r w:rsidRPr="000248AD">
        <w:rPr>
          <w:rFonts w:ascii="Tahoma" w:hAnsi="Tahoma" w:cs="Tahoma"/>
          <w:b/>
          <w:caps/>
        </w:rPr>
        <w:t xml:space="preserve">, </w:t>
      </w:r>
      <w:r w:rsidRPr="000248AD">
        <w:rPr>
          <w:rFonts w:ascii="Tahoma" w:hAnsi="Tahoma" w:cs="Tahoma"/>
        </w:rPr>
        <w:t xml:space="preserve">argumentó </w:t>
      </w:r>
      <w:r w:rsidR="00515E3C" w:rsidRPr="000248AD">
        <w:rPr>
          <w:rFonts w:ascii="Tahoma" w:hAnsi="Tahoma" w:cs="Tahoma"/>
        </w:rPr>
        <w:t>en su defensa que</w:t>
      </w:r>
      <w:r w:rsidR="00474E33" w:rsidRPr="000248AD">
        <w:rPr>
          <w:rFonts w:ascii="Tahoma" w:hAnsi="Tahoma" w:cs="Tahoma"/>
        </w:rPr>
        <w:t xml:space="preserve"> el acto de traslado es existente, válido, exento de vicios de consentimiento y de cualquier fuerza para realizarlo, toda vez que el formulario de vinculación se suscribió de forma libre y expresa, por virtud del cual se generaron derechos y obligaciones en cabeza tanto del Fondo como del afiliado y donde constata que el afiliado entendió y aceptó los efectos legales, los principales riesgos y beneficio de su decisión. </w:t>
      </w:r>
      <w:r w:rsidRPr="000248AD">
        <w:rPr>
          <w:rFonts w:ascii="Tahoma" w:eastAsia="Times New Roman" w:hAnsi="Tahoma" w:cs="Tahoma"/>
          <w:lang w:val="es-ES" w:eastAsia="es-MX"/>
        </w:rPr>
        <w:t xml:space="preserve">En ese orden, formuló las excepciones que denominó </w:t>
      </w:r>
      <w:r w:rsidR="006538D1" w:rsidRPr="000248AD">
        <w:rPr>
          <w:rFonts w:ascii="Tahoma" w:hAnsi="Tahoma" w:cs="Tahoma"/>
          <w:i/>
          <w:iCs/>
        </w:rPr>
        <w:t>“</w:t>
      </w:r>
      <w:r w:rsidR="00474E33" w:rsidRPr="000248AD">
        <w:rPr>
          <w:rFonts w:ascii="Tahoma" w:hAnsi="Tahoma" w:cs="Tahoma"/>
          <w:i/>
          <w:iCs/>
        </w:rPr>
        <w:t xml:space="preserve">Inexistencia de la obligación y falta de causa para pedir”, “Buena fe”, “Prescripción” </w:t>
      </w:r>
      <w:r w:rsidR="00474E33" w:rsidRPr="000248AD">
        <w:rPr>
          <w:rFonts w:ascii="Tahoma" w:hAnsi="Tahoma" w:cs="Tahoma"/>
        </w:rPr>
        <w:t>e</w:t>
      </w:r>
      <w:r w:rsidR="00474E33" w:rsidRPr="000248AD">
        <w:rPr>
          <w:rFonts w:ascii="Tahoma" w:hAnsi="Tahoma" w:cs="Tahoma"/>
          <w:i/>
          <w:iCs/>
        </w:rPr>
        <w:t xml:space="preserve"> “Innominada o Genérica”</w:t>
      </w:r>
      <w:r w:rsidR="00905A75" w:rsidRPr="000248AD">
        <w:rPr>
          <w:rFonts w:ascii="Tahoma" w:hAnsi="Tahoma" w:cs="Tahoma"/>
          <w:i/>
          <w:iCs/>
        </w:rPr>
        <w:t>-</w:t>
      </w:r>
    </w:p>
    <w:p w14:paraId="4E812A37" w14:textId="77777777" w:rsidR="00905A75" w:rsidRPr="000248AD" w:rsidRDefault="00905A75" w:rsidP="000248AD">
      <w:pPr>
        <w:spacing w:before="0" w:beforeAutospacing="0" w:after="0" w:afterAutospacing="0" w:line="276" w:lineRule="auto"/>
        <w:ind w:firstLine="708"/>
        <w:contextualSpacing/>
        <w:rPr>
          <w:rFonts w:ascii="Tahoma" w:hAnsi="Tahoma" w:cs="Tahoma"/>
          <w:i/>
          <w:iCs/>
        </w:rPr>
      </w:pPr>
    </w:p>
    <w:p w14:paraId="2DA8D927" w14:textId="490EA638" w:rsidR="00905A75" w:rsidRPr="000248AD" w:rsidRDefault="00905A75" w:rsidP="000248AD">
      <w:pPr>
        <w:spacing w:before="0" w:beforeAutospacing="0" w:after="0" w:afterAutospacing="0" w:line="276" w:lineRule="auto"/>
        <w:ind w:firstLine="708"/>
        <w:contextualSpacing/>
        <w:rPr>
          <w:rFonts w:ascii="Tahoma" w:eastAsia="Calibri" w:hAnsi="Tahoma" w:cs="Tahoma"/>
          <w:i/>
          <w:iCs/>
        </w:rPr>
      </w:pPr>
      <w:r w:rsidRPr="000248AD">
        <w:rPr>
          <w:rFonts w:ascii="Tahoma" w:eastAsia="Calibri" w:hAnsi="Tahoma" w:cs="Tahoma"/>
        </w:rPr>
        <w:t xml:space="preserve">Finalmente, </w:t>
      </w:r>
      <w:r w:rsidRPr="000248AD">
        <w:rPr>
          <w:rFonts w:ascii="Tahoma" w:eastAsia="Calibri" w:hAnsi="Tahoma" w:cs="Tahoma"/>
          <w:b/>
          <w:bCs/>
        </w:rPr>
        <w:t>Colfondos S.A. Pensiones y Cesantías</w:t>
      </w:r>
      <w:r w:rsidRPr="000248AD">
        <w:rPr>
          <w:rFonts w:ascii="Tahoma" w:hAnsi="Tahoma" w:cs="Tahoma"/>
          <w:caps/>
        </w:rPr>
        <w:t xml:space="preserve">, </w:t>
      </w:r>
      <w:r w:rsidRPr="000248AD">
        <w:rPr>
          <w:rFonts w:ascii="Tahoma" w:hAnsi="Tahoma" w:cs="Tahoma"/>
        </w:rPr>
        <w:t>indicó que</w:t>
      </w:r>
      <w:r w:rsidR="00E949FA" w:rsidRPr="000248AD">
        <w:rPr>
          <w:rFonts w:ascii="Tahoma" w:hAnsi="Tahoma" w:cs="Tahoma"/>
        </w:rPr>
        <w:t xml:space="preserve"> cumplió con las formalidades para la afiliación del demandante, al tiempo que esta vinculación fue resultado de la voluntad libre y espontánea de dicho afiliado, quien suscribió el formulario de afiliación y, por lo tanto conoce como opera el RAIS, puesto que la AFP siempre cumplió con el deber de informar, siendo el demandante una persona mentalmente estructurada que contaba con la capacidad de sopesar los argumentos manifestados por los asesores, a fin de determinar si realmente le convenía o no tomar dicha decisión</w:t>
      </w:r>
      <w:r w:rsidRPr="000248AD">
        <w:rPr>
          <w:rFonts w:ascii="Tahoma" w:hAnsi="Tahoma" w:cs="Tahoma"/>
        </w:rPr>
        <w:t xml:space="preserve">. </w:t>
      </w:r>
      <w:r w:rsidRPr="000248AD">
        <w:rPr>
          <w:rFonts w:ascii="Tahoma" w:eastAsia="Calibri" w:hAnsi="Tahoma" w:cs="Tahoma"/>
        </w:rPr>
        <w:t xml:space="preserve">De esa manera, invocó como excepciones mérito las que denominó </w:t>
      </w:r>
      <w:r w:rsidRPr="000248AD">
        <w:rPr>
          <w:rFonts w:ascii="Tahoma" w:eastAsia="Calibri" w:hAnsi="Tahoma" w:cs="Tahoma"/>
          <w:i/>
          <w:iCs/>
        </w:rPr>
        <w:t>“</w:t>
      </w:r>
      <w:r w:rsidR="008D2E8A" w:rsidRPr="000248AD">
        <w:rPr>
          <w:rFonts w:ascii="Tahoma" w:eastAsia="Calibri" w:hAnsi="Tahoma" w:cs="Tahoma"/>
          <w:i/>
          <w:iCs/>
        </w:rPr>
        <w:t>inexistencia de la obligación”, “falta de legitimación en la causa por pasiva</w:t>
      </w:r>
      <w:r w:rsidRPr="000248AD">
        <w:rPr>
          <w:rFonts w:ascii="Tahoma" w:eastAsia="Calibri" w:hAnsi="Tahoma" w:cs="Tahoma"/>
          <w:i/>
          <w:iCs/>
        </w:rPr>
        <w:t>”</w:t>
      </w:r>
      <w:r w:rsidR="008D2E8A" w:rsidRPr="000248AD">
        <w:rPr>
          <w:rFonts w:ascii="Tahoma" w:eastAsia="Calibri" w:hAnsi="Tahoma" w:cs="Tahoma"/>
          <w:i/>
          <w:iCs/>
        </w:rPr>
        <w:t>, “buena fe”</w:t>
      </w:r>
      <w:r w:rsidR="00D55BA1" w:rsidRPr="000248AD">
        <w:rPr>
          <w:rFonts w:ascii="Tahoma" w:eastAsia="Calibri" w:hAnsi="Tahoma" w:cs="Tahoma"/>
          <w:i/>
          <w:iCs/>
        </w:rPr>
        <w:t>,</w:t>
      </w:r>
      <w:r w:rsidR="008D2E8A" w:rsidRPr="000248AD">
        <w:rPr>
          <w:rFonts w:ascii="Tahoma" w:eastAsia="Calibri" w:hAnsi="Tahoma" w:cs="Tahoma"/>
          <w:i/>
          <w:iCs/>
        </w:rPr>
        <w:t xml:space="preserve"> “innominada o genérica”</w:t>
      </w:r>
      <w:r w:rsidR="00D55BA1" w:rsidRPr="000248AD">
        <w:rPr>
          <w:rFonts w:ascii="Tahoma" w:eastAsia="Calibri" w:hAnsi="Tahoma" w:cs="Tahoma"/>
          <w:i/>
          <w:iCs/>
        </w:rPr>
        <w:t>, “ausencia de vicios del consentimiento”, “validez de la afiliación al régimen de ahorro individual con solidaridad”, “ratificación de la afiliación del actor al fondo de pensiones obligatorias administrador por Colfondos S.A.”</w:t>
      </w:r>
      <w:r w:rsidR="00AE722E" w:rsidRPr="000248AD">
        <w:rPr>
          <w:rFonts w:ascii="Tahoma" w:eastAsia="Calibri" w:hAnsi="Tahoma" w:cs="Tahoma"/>
          <w:i/>
          <w:iCs/>
        </w:rPr>
        <w:t xml:space="preserve">, “prescripción de la acción para solicitar la nulidad de la afiliación” y “compensación y </w:t>
      </w:r>
      <w:r w:rsidR="006C6919" w:rsidRPr="000248AD">
        <w:rPr>
          <w:rFonts w:ascii="Tahoma" w:eastAsia="Calibri" w:hAnsi="Tahoma" w:cs="Tahoma"/>
          <w:i/>
          <w:iCs/>
        </w:rPr>
        <w:t>pago</w:t>
      </w:r>
      <w:r w:rsidR="00AE722E" w:rsidRPr="000248AD">
        <w:rPr>
          <w:rFonts w:ascii="Tahoma" w:eastAsia="Calibri" w:hAnsi="Tahoma" w:cs="Tahoma"/>
          <w:i/>
          <w:iCs/>
        </w:rPr>
        <w:t>”</w:t>
      </w:r>
      <w:r w:rsidRPr="000248AD">
        <w:rPr>
          <w:rFonts w:ascii="Tahoma" w:eastAsia="Calibri" w:hAnsi="Tahoma" w:cs="Tahoma"/>
          <w:i/>
          <w:iCs/>
        </w:rPr>
        <w:t>.</w:t>
      </w:r>
    </w:p>
    <w:p w14:paraId="78739914" w14:textId="77777777" w:rsidR="00905A75" w:rsidRPr="000248AD" w:rsidRDefault="00905A75" w:rsidP="000248AD">
      <w:pPr>
        <w:spacing w:before="0" w:beforeAutospacing="0" w:after="0" w:afterAutospacing="0" w:line="276" w:lineRule="auto"/>
        <w:ind w:firstLine="708"/>
        <w:contextualSpacing/>
        <w:rPr>
          <w:rFonts w:ascii="Tahoma" w:hAnsi="Tahoma" w:cs="Tahoma"/>
          <w:i/>
          <w:iCs/>
        </w:rPr>
      </w:pPr>
    </w:p>
    <w:p w14:paraId="11AD750A" w14:textId="21B36A6A" w:rsidR="00286FED" w:rsidRPr="000248AD" w:rsidRDefault="00DC4FE9" w:rsidP="000248AD">
      <w:pPr>
        <w:pStyle w:val="Prrafodelista"/>
        <w:numPr>
          <w:ilvl w:val="0"/>
          <w:numId w:val="2"/>
        </w:numPr>
        <w:spacing w:line="276" w:lineRule="auto"/>
        <w:jc w:val="center"/>
        <w:rPr>
          <w:rFonts w:cs="Tahoma"/>
          <w:b/>
          <w:bCs/>
          <w:szCs w:val="24"/>
        </w:rPr>
      </w:pPr>
      <w:r w:rsidRPr="000248AD">
        <w:rPr>
          <w:rFonts w:cs="Tahoma"/>
          <w:b/>
          <w:bCs/>
          <w:szCs w:val="24"/>
        </w:rPr>
        <w:t>Sentencia de primera instancia</w:t>
      </w:r>
    </w:p>
    <w:p w14:paraId="0AB30D49" w14:textId="77777777" w:rsidR="00404C5D" w:rsidRPr="000248AD" w:rsidRDefault="00404C5D" w:rsidP="000248AD">
      <w:pPr>
        <w:pStyle w:val="Prrafodelista"/>
        <w:spacing w:line="276" w:lineRule="auto"/>
        <w:ind w:left="426"/>
        <w:rPr>
          <w:rFonts w:cs="Tahoma"/>
          <w:b/>
          <w:bCs/>
          <w:szCs w:val="24"/>
        </w:rPr>
      </w:pPr>
    </w:p>
    <w:p w14:paraId="411E51AD" w14:textId="7E86A47E" w:rsidR="00336C14" w:rsidRPr="000248AD" w:rsidRDefault="00CB33D8" w:rsidP="000248AD">
      <w:pPr>
        <w:spacing w:before="0" w:beforeAutospacing="0" w:after="0" w:afterAutospacing="0" w:line="276" w:lineRule="auto"/>
        <w:ind w:firstLine="426"/>
        <w:rPr>
          <w:rFonts w:ascii="Tahoma" w:eastAsia="Times New Roman" w:hAnsi="Tahoma" w:cs="Tahoma"/>
          <w:i/>
          <w:iCs/>
          <w:lang w:val="es-ES" w:eastAsia="es-MX"/>
        </w:rPr>
      </w:pPr>
      <w:r w:rsidRPr="000248AD">
        <w:rPr>
          <w:rFonts w:ascii="Tahoma" w:hAnsi="Tahoma" w:cs="Tahoma"/>
        </w:rPr>
        <w:t>La jueza de primera instancia</w:t>
      </w:r>
      <w:r w:rsidR="005748DA" w:rsidRPr="000248AD">
        <w:rPr>
          <w:rFonts w:ascii="Tahoma" w:eastAsia="Calibri" w:hAnsi="Tahoma" w:cs="Tahoma"/>
        </w:rPr>
        <w:t xml:space="preserve"> </w:t>
      </w:r>
      <w:r w:rsidRPr="000248AD">
        <w:rPr>
          <w:rFonts w:ascii="Tahoma" w:hAnsi="Tahoma" w:cs="Tahoma"/>
        </w:rPr>
        <w:t xml:space="preserve">declaró </w:t>
      </w:r>
      <w:r w:rsidR="00336C14" w:rsidRPr="000248AD">
        <w:rPr>
          <w:rFonts w:ascii="Tahoma" w:hAnsi="Tahoma" w:cs="Tahoma"/>
        </w:rPr>
        <w:t xml:space="preserve">ineficaz el traslado de régimen pensional efectuado el </w:t>
      </w:r>
      <w:r w:rsidR="00C15C3B" w:rsidRPr="000248AD">
        <w:rPr>
          <w:rFonts w:ascii="Tahoma" w:hAnsi="Tahoma" w:cs="Tahoma"/>
        </w:rPr>
        <w:t>05 de octubre de 1995</w:t>
      </w:r>
      <w:r w:rsidR="00336C14" w:rsidRPr="000248AD">
        <w:rPr>
          <w:rFonts w:ascii="Tahoma" w:hAnsi="Tahoma" w:cs="Tahoma"/>
        </w:rPr>
        <w:t xml:space="preserve"> por </w:t>
      </w:r>
      <w:r w:rsidR="00AD392C" w:rsidRPr="000248AD">
        <w:rPr>
          <w:rFonts w:ascii="Tahoma" w:hAnsi="Tahoma" w:cs="Tahoma"/>
        </w:rPr>
        <w:t xml:space="preserve">el señor </w:t>
      </w:r>
      <w:r w:rsidR="00C15C3B" w:rsidRPr="000248AD">
        <w:rPr>
          <w:rFonts w:ascii="Tahoma" w:hAnsi="Tahoma" w:cs="Tahoma"/>
        </w:rPr>
        <w:t>Rafael Eduardo Paris Paris</w:t>
      </w:r>
      <w:r w:rsidR="00336C14" w:rsidRPr="000248AD">
        <w:rPr>
          <w:rFonts w:ascii="Tahoma" w:hAnsi="Tahoma" w:cs="Tahoma"/>
        </w:rPr>
        <w:t xml:space="preserve"> y, </w:t>
      </w:r>
      <w:r w:rsidR="00AC6E49" w:rsidRPr="000248AD">
        <w:rPr>
          <w:rFonts w:ascii="Tahoma" w:hAnsi="Tahoma" w:cs="Tahoma"/>
        </w:rPr>
        <w:t xml:space="preserve">que, </w:t>
      </w:r>
      <w:r w:rsidR="00336C14" w:rsidRPr="000248AD">
        <w:rPr>
          <w:rFonts w:ascii="Tahoma" w:hAnsi="Tahoma" w:cs="Tahoma"/>
        </w:rPr>
        <w:t>por tanto, se encuentra afiliad</w:t>
      </w:r>
      <w:r w:rsidR="00AD392C" w:rsidRPr="000248AD">
        <w:rPr>
          <w:rFonts w:ascii="Tahoma" w:hAnsi="Tahoma" w:cs="Tahoma"/>
        </w:rPr>
        <w:t>o</w:t>
      </w:r>
      <w:r w:rsidR="00336C14" w:rsidRPr="000248AD">
        <w:rPr>
          <w:rFonts w:ascii="Tahoma" w:hAnsi="Tahoma" w:cs="Tahoma"/>
        </w:rPr>
        <w:t xml:space="preserve"> al </w:t>
      </w:r>
      <w:r w:rsidR="00C15C3B" w:rsidRPr="000248AD">
        <w:rPr>
          <w:rFonts w:ascii="Tahoma" w:hAnsi="Tahoma" w:cs="Tahoma"/>
        </w:rPr>
        <w:t>RPM</w:t>
      </w:r>
      <w:r w:rsidR="00336C14" w:rsidRPr="000248AD">
        <w:rPr>
          <w:rFonts w:ascii="Tahoma" w:hAnsi="Tahoma" w:cs="Tahoma"/>
        </w:rPr>
        <w:t>, para lo cual, ordenó</w:t>
      </w:r>
      <w:r w:rsidRPr="000248AD">
        <w:rPr>
          <w:rFonts w:ascii="Tahoma" w:hAnsi="Tahoma" w:cs="Tahoma"/>
        </w:rPr>
        <w:t xml:space="preserve"> a </w:t>
      </w:r>
      <w:r w:rsidR="00AD392C" w:rsidRPr="000248AD">
        <w:rPr>
          <w:rFonts w:ascii="Tahoma" w:hAnsi="Tahoma" w:cs="Tahoma"/>
        </w:rPr>
        <w:t>P</w:t>
      </w:r>
      <w:r w:rsidR="00C15C3B" w:rsidRPr="000248AD">
        <w:rPr>
          <w:rFonts w:ascii="Tahoma" w:hAnsi="Tahoma" w:cs="Tahoma"/>
        </w:rPr>
        <w:t>rotección</w:t>
      </w:r>
      <w:r w:rsidR="00AD392C" w:rsidRPr="000248AD">
        <w:rPr>
          <w:rFonts w:ascii="Tahoma" w:hAnsi="Tahoma" w:cs="Tahoma"/>
        </w:rPr>
        <w:t xml:space="preserve"> </w:t>
      </w:r>
      <w:r w:rsidR="00336C14" w:rsidRPr="000248AD">
        <w:rPr>
          <w:rFonts w:ascii="Tahoma" w:hAnsi="Tahoma" w:cs="Tahoma"/>
        </w:rPr>
        <w:t xml:space="preserve">S.A. que </w:t>
      </w:r>
      <w:r w:rsidR="00C15C3B" w:rsidRPr="000248AD">
        <w:rPr>
          <w:rFonts w:ascii="Tahoma" w:hAnsi="Tahoma" w:cs="Tahoma"/>
        </w:rPr>
        <w:t>ponga a disposición de Colpensiones</w:t>
      </w:r>
      <w:r w:rsidR="00336C14" w:rsidRPr="000248AD">
        <w:rPr>
          <w:rFonts w:ascii="Tahoma" w:hAnsi="Tahoma" w:cs="Tahoma"/>
        </w:rPr>
        <w:t xml:space="preserve"> </w:t>
      </w:r>
      <w:r w:rsidR="00C15C3B" w:rsidRPr="000248AD">
        <w:rPr>
          <w:rFonts w:ascii="Tahoma" w:hAnsi="Tahoma" w:cs="Tahoma"/>
        </w:rPr>
        <w:t>todo lo que aparece en la cuenta individual del actor, incluyendo intereses, rendimientos, frutos, cuota de administración</w:t>
      </w:r>
      <w:r w:rsidR="004504A2" w:rsidRPr="000248AD">
        <w:rPr>
          <w:rFonts w:ascii="Tahoma" w:hAnsi="Tahoma" w:cs="Tahoma"/>
        </w:rPr>
        <w:t xml:space="preserve"> y prima </w:t>
      </w:r>
      <w:r w:rsidR="00C15C3B" w:rsidRPr="000248AD">
        <w:rPr>
          <w:rFonts w:ascii="Tahoma" w:hAnsi="Tahoma" w:cs="Tahoma"/>
        </w:rPr>
        <w:t>del seguro previsional</w:t>
      </w:r>
      <w:r w:rsidR="004504A2" w:rsidRPr="000248AD">
        <w:rPr>
          <w:rFonts w:ascii="Tahoma" w:hAnsi="Tahoma" w:cs="Tahoma"/>
        </w:rPr>
        <w:t xml:space="preserve"> y </w:t>
      </w:r>
      <w:r w:rsidR="00C15C3B" w:rsidRPr="000248AD">
        <w:rPr>
          <w:rFonts w:ascii="Tahoma" w:hAnsi="Tahoma" w:cs="Tahoma"/>
        </w:rPr>
        <w:t>garantía de pensión</w:t>
      </w:r>
      <w:r w:rsidR="004504A2" w:rsidRPr="000248AD">
        <w:rPr>
          <w:rFonts w:ascii="Tahoma" w:hAnsi="Tahoma" w:cs="Tahoma"/>
        </w:rPr>
        <w:t xml:space="preserve"> </w:t>
      </w:r>
      <w:r w:rsidR="00C15C3B" w:rsidRPr="000248AD">
        <w:rPr>
          <w:rFonts w:ascii="Tahoma" w:hAnsi="Tahoma" w:cs="Tahoma"/>
        </w:rPr>
        <w:t>mínima, debidamente indexado.</w:t>
      </w:r>
      <w:r w:rsidR="00174818" w:rsidRPr="000248AD">
        <w:rPr>
          <w:rFonts w:ascii="Tahoma" w:hAnsi="Tahoma" w:cs="Tahoma"/>
        </w:rPr>
        <w:t xml:space="preserve"> </w:t>
      </w:r>
      <w:r w:rsidR="00AD392C" w:rsidRPr="000248AD">
        <w:rPr>
          <w:rFonts w:ascii="Tahoma" w:hAnsi="Tahoma" w:cs="Tahoma"/>
        </w:rPr>
        <w:t>Concomitantemente,</w:t>
      </w:r>
      <w:r w:rsidR="008D0FEF" w:rsidRPr="000248AD">
        <w:rPr>
          <w:rFonts w:ascii="Tahoma" w:hAnsi="Tahoma" w:cs="Tahoma"/>
        </w:rPr>
        <w:t xml:space="preserve"> ordenó a COLPENSIONES </w:t>
      </w:r>
      <w:r w:rsidR="00336C14" w:rsidRPr="000248AD">
        <w:rPr>
          <w:rFonts w:ascii="Tahoma" w:hAnsi="Tahoma" w:cs="Tahoma"/>
        </w:rPr>
        <w:t xml:space="preserve">a habilitar la afiliación del </w:t>
      </w:r>
      <w:r w:rsidR="00A62FA4" w:rsidRPr="000248AD">
        <w:rPr>
          <w:rFonts w:ascii="Tahoma" w:hAnsi="Tahoma" w:cs="Tahoma"/>
        </w:rPr>
        <w:t>demandante y actualizar su historia laboral</w:t>
      </w:r>
      <w:r w:rsidR="00336C14" w:rsidRPr="000248AD">
        <w:rPr>
          <w:rFonts w:ascii="Tahoma" w:eastAsia="Times New Roman" w:hAnsi="Tahoma" w:cs="Tahoma"/>
          <w:iCs/>
          <w:lang w:val="es-ES" w:eastAsia="es-MX"/>
        </w:rPr>
        <w:t>.</w:t>
      </w:r>
      <w:r w:rsidR="00336C14" w:rsidRPr="000248AD">
        <w:rPr>
          <w:rFonts w:ascii="Tahoma" w:eastAsia="Times New Roman" w:hAnsi="Tahoma" w:cs="Tahoma"/>
          <w:i/>
          <w:iCs/>
          <w:lang w:val="es-ES" w:eastAsia="es-MX"/>
        </w:rPr>
        <w:t xml:space="preserve"> </w:t>
      </w:r>
    </w:p>
    <w:p w14:paraId="1F4DA40D" w14:textId="009B376E" w:rsidR="005227F3" w:rsidRPr="000248AD" w:rsidRDefault="005227F3" w:rsidP="000248AD">
      <w:pPr>
        <w:spacing w:before="0" w:beforeAutospacing="0" w:after="0" w:afterAutospacing="0" w:line="276" w:lineRule="auto"/>
        <w:ind w:firstLine="708"/>
        <w:rPr>
          <w:rFonts w:ascii="Tahoma" w:eastAsia="Times New Roman" w:hAnsi="Tahoma" w:cs="Tahoma"/>
          <w:lang w:val="es-ES" w:eastAsia="es-MX"/>
        </w:rPr>
      </w:pPr>
      <w:bookmarkStart w:id="2" w:name="_Hlk117246351"/>
    </w:p>
    <w:p w14:paraId="5DAA2CFC" w14:textId="412D23B3" w:rsidR="005227F3" w:rsidRPr="000248AD" w:rsidRDefault="005227F3" w:rsidP="000248AD">
      <w:pPr>
        <w:spacing w:before="0" w:beforeAutospacing="0" w:after="0" w:afterAutospacing="0" w:line="276" w:lineRule="auto"/>
        <w:ind w:firstLine="708"/>
        <w:rPr>
          <w:rFonts w:ascii="Tahoma" w:eastAsia="Times New Roman" w:hAnsi="Tahoma" w:cs="Tahoma"/>
          <w:lang w:val="es-ES" w:eastAsia="es-MX"/>
        </w:rPr>
      </w:pPr>
      <w:r w:rsidRPr="000248AD">
        <w:rPr>
          <w:rFonts w:ascii="Tahoma" w:eastAsia="Times New Roman" w:hAnsi="Tahoma" w:cs="Tahoma"/>
          <w:lang w:val="es-ES" w:eastAsia="es-MX"/>
        </w:rPr>
        <w:t xml:space="preserve">Por último, </w:t>
      </w:r>
      <w:r w:rsidR="005748DA" w:rsidRPr="000248AD">
        <w:rPr>
          <w:rFonts w:ascii="Tahoma" w:eastAsia="Calibri" w:hAnsi="Tahoma" w:cs="Tahoma"/>
        </w:rPr>
        <w:t>declaró no probados los medios exceptivos propuestos por las codemandadas</w:t>
      </w:r>
      <w:r w:rsidR="00AD392C" w:rsidRPr="000248AD">
        <w:rPr>
          <w:rFonts w:ascii="Tahoma" w:eastAsia="Calibri" w:hAnsi="Tahoma" w:cs="Tahoma"/>
        </w:rPr>
        <w:t xml:space="preserve"> </w:t>
      </w:r>
      <w:r w:rsidR="005748DA" w:rsidRPr="000248AD">
        <w:rPr>
          <w:rFonts w:ascii="Tahoma" w:eastAsia="Calibri" w:hAnsi="Tahoma" w:cs="Tahoma"/>
        </w:rPr>
        <w:t xml:space="preserve">y </w:t>
      </w:r>
      <w:r w:rsidR="00C34AC9" w:rsidRPr="000248AD">
        <w:rPr>
          <w:rFonts w:ascii="Tahoma" w:eastAsia="Calibri" w:hAnsi="Tahoma" w:cs="Tahoma"/>
        </w:rPr>
        <w:t xml:space="preserve">así </w:t>
      </w:r>
      <w:r w:rsidRPr="000248AD">
        <w:rPr>
          <w:rFonts w:ascii="Tahoma" w:eastAsia="Times New Roman" w:hAnsi="Tahoma" w:cs="Tahoma"/>
          <w:lang w:val="es-ES" w:eastAsia="es-MX"/>
        </w:rPr>
        <w:t xml:space="preserve">condenó a </w:t>
      </w:r>
      <w:r w:rsidR="00AD392C" w:rsidRPr="000248AD">
        <w:rPr>
          <w:rFonts w:ascii="Tahoma" w:eastAsia="Times New Roman" w:hAnsi="Tahoma" w:cs="Tahoma"/>
          <w:lang w:val="es-ES" w:eastAsia="es-MX"/>
        </w:rPr>
        <w:t xml:space="preserve">COLFONDOS </w:t>
      </w:r>
      <w:r w:rsidRPr="000248AD">
        <w:rPr>
          <w:rFonts w:ascii="Tahoma" w:eastAsia="Times New Roman" w:hAnsi="Tahoma" w:cs="Tahoma"/>
          <w:lang w:val="es-ES" w:eastAsia="es-MX"/>
        </w:rPr>
        <w:t>S.A. al pago de las costas procesales</w:t>
      </w:r>
      <w:r w:rsidR="00AD392C" w:rsidRPr="000248AD">
        <w:rPr>
          <w:rFonts w:ascii="Tahoma" w:eastAsia="Times New Roman" w:hAnsi="Tahoma" w:cs="Tahoma"/>
          <w:lang w:val="es-ES" w:eastAsia="es-MX"/>
        </w:rPr>
        <w:t xml:space="preserve"> </w:t>
      </w:r>
      <w:r w:rsidRPr="000248AD">
        <w:rPr>
          <w:rFonts w:ascii="Tahoma" w:eastAsia="Times New Roman" w:hAnsi="Tahoma" w:cs="Tahoma"/>
          <w:lang w:val="es-ES" w:eastAsia="es-MX"/>
        </w:rPr>
        <w:t>a favor de la parte demandante</w:t>
      </w:r>
      <w:r w:rsidR="005748DA" w:rsidRPr="000248AD">
        <w:rPr>
          <w:rFonts w:ascii="Tahoma" w:eastAsia="Times New Roman" w:hAnsi="Tahoma" w:cs="Tahoma"/>
          <w:lang w:val="es-ES" w:eastAsia="es-MX"/>
        </w:rPr>
        <w:t>.</w:t>
      </w:r>
    </w:p>
    <w:p w14:paraId="70876A35" w14:textId="2ADA554B" w:rsidR="00BE3AF9" w:rsidRPr="000248AD" w:rsidRDefault="00BE3AF9" w:rsidP="000248AD">
      <w:pPr>
        <w:spacing w:before="0" w:beforeAutospacing="0" w:after="0" w:afterAutospacing="0" w:line="276" w:lineRule="auto"/>
        <w:ind w:firstLine="708"/>
        <w:rPr>
          <w:rFonts w:ascii="Tahoma" w:eastAsia="Times New Roman" w:hAnsi="Tahoma" w:cs="Tahoma"/>
          <w:lang w:val="es-ES" w:eastAsia="es-MX"/>
        </w:rPr>
      </w:pPr>
    </w:p>
    <w:bookmarkEnd w:id="2"/>
    <w:p w14:paraId="683E6B95" w14:textId="668360E7" w:rsidR="00B25AD8" w:rsidRPr="000248AD" w:rsidRDefault="00CB33D8" w:rsidP="000248AD">
      <w:pPr>
        <w:spacing w:before="0" w:beforeAutospacing="0" w:after="0" w:afterAutospacing="0" w:line="276" w:lineRule="auto"/>
        <w:ind w:firstLine="708"/>
        <w:rPr>
          <w:rFonts w:ascii="Tahoma" w:eastAsia="Times New Roman" w:hAnsi="Tahoma" w:cs="Tahoma"/>
          <w:lang w:val="es-ES" w:eastAsia="es-MX"/>
        </w:rPr>
      </w:pPr>
      <w:r w:rsidRPr="000248AD">
        <w:rPr>
          <w:rFonts w:ascii="Tahoma" w:eastAsia="Times New Roman" w:hAnsi="Tahoma" w:cs="Tahoma"/>
          <w:lang w:val="es-ES" w:eastAsia="es-MX"/>
        </w:rPr>
        <w:lastRenderedPageBreak/>
        <w:t>Para llegar a tal determinación la a-quo hizo un recuento legal y jurisprudencial respecto de</w:t>
      </w:r>
      <w:r w:rsidR="0065530D" w:rsidRPr="000248AD">
        <w:rPr>
          <w:rFonts w:ascii="Tahoma" w:eastAsia="Times New Roman" w:hAnsi="Tahoma" w:cs="Tahoma"/>
          <w:lang w:val="es-ES" w:eastAsia="es-MX"/>
        </w:rPr>
        <w:t xml:space="preserve"> la libertad de escogencia de régimen pensional y el</w:t>
      </w:r>
      <w:r w:rsidRPr="000248AD">
        <w:rPr>
          <w:rFonts w:ascii="Tahoma" w:eastAsia="Times New Roman" w:hAnsi="Tahoma" w:cs="Tahoma"/>
          <w:lang w:val="es-ES" w:eastAsia="es-MX"/>
        </w:rPr>
        <w:t xml:space="preserve"> deber </w:t>
      </w:r>
      <w:r w:rsidR="00F07844" w:rsidRPr="000248AD">
        <w:rPr>
          <w:rFonts w:ascii="Tahoma" w:eastAsia="Times New Roman" w:hAnsi="Tahoma" w:cs="Tahoma"/>
          <w:lang w:val="es-ES" w:eastAsia="es-MX"/>
        </w:rPr>
        <w:t>que tienen</w:t>
      </w:r>
      <w:r w:rsidR="00F149D7" w:rsidRPr="000248AD">
        <w:rPr>
          <w:rFonts w:ascii="Tahoma" w:eastAsia="Times New Roman" w:hAnsi="Tahoma" w:cs="Tahoma"/>
          <w:lang w:val="es-ES" w:eastAsia="es-MX"/>
        </w:rPr>
        <w:t xml:space="preserve"> las AFP</w:t>
      </w:r>
      <w:r w:rsidR="00F07844" w:rsidRPr="000248AD">
        <w:rPr>
          <w:rFonts w:ascii="Tahoma" w:eastAsia="Times New Roman" w:hAnsi="Tahoma" w:cs="Tahoma"/>
          <w:lang w:val="es-ES" w:eastAsia="es-MX"/>
        </w:rPr>
        <w:t xml:space="preserve">, desde su misma creación con la expedición de la ley 100 de 1993, </w:t>
      </w:r>
      <w:r w:rsidRPr="000248AD">
        <w:rPr>
          <w:rFonts w:ascii="Tahoma" w:eastAsia="Times New Roman" w:hAnsi="Tahoma" w:cs="Tahoma"/>
          <w:lang w:val="es-ES" w:eastAsia="es-MX"/>
        </w:rPr>
        <w:t xml:space="preserve">de </w:t>
      </w:r>
      <w:r w:rsidR="00F07844" w:rsidRPr="000248AD">
        <w:rPr>
          <w:rFonts w:ascii="Tahoma" w:eastAsia="Times New Roman" w:hAnsi="Tahoma" w:cs="Tahoma"/>
          <w:lang w:val="es-ES" w:eastAsia="es-MX"/>
        </w:rPr>
        <w:t>brindar</w:t>
      </w:r>
      <w:r w:rsidR="00F149D7" w:rsidRPr="000248AD">
        <w:rPr>
          <w:rFonts w:ascii="Tahoma" w:eastAsia="Times New Roman" w:hAnsi="Tahoma" w:cs="Tahoma"/>
          <w:lang w:val="es-ES" w:eastAsia="es-MX"/>
        </w:rPr>
        <w:t xml:space="preserve"> a sus posibles afiliados</w:t>
      </w:r>
      <w:r w:rsidR="00F07844" w:rsidRPr="000248AD">
        <w:rPr>
          <w:rFonts w:ascii="Tahoma" w:eastAsia="Times New Roman" w:hAnsi="Tahoma" w:cs="Tahoma"/>
          <w:lang w:val="es-ES" w:eastAsia="es-MX"/>
        </w:rPr>
        <w:t xml:space="preserve"> </w:t>
      </w:r>
      <w:r w:rsidRPr="000248AD">
        <w:rPr>
          <w:rFonts w:ascii="Tahoma" w:eastAsia="Times New Roman" w:hAnsi="Tahoma" w:cs="Tahoma"/>
          <w:lang w:val="es-ES" w:eastAsia="es-MX"/>
        </w:rPr>
        <w:t>información</w:t>
      </w:r>
      <w:r w:rsidR="00F149D7" w:rsidRPr="000248AD">
        <w:rPr>
          <w:rFonts w:ascii="Tahoma" w:eastAsia="Times New Roman" w:hAnsi="Tahoma" w:cs="Tahoma"/>
          <w:lang w:val="es-ES" w:eastAsia="es-MX"/>
        </w:rPr>
        <w:t xml:space="preserve"> </w:t>
      </w:r>
      <w:r w:rsidR="00F1206C" w:rsidRPr="000248AD">
        <w:rPr>
          <w:rFonts w:ascii="Tahoma" w:eastAsia="Times New Roman" w:hAnsi="Tahoma" w:cs="Tahoma"/>
          <w:lang w:val="es-ES" w:eastAsia="es-MX"/>
        </w:rPr>
        <w:t xml:space="preserve">suficiente, </w:t>
      </w:r>
      <w:r w:rsidRPr="000248AD">
        <w:rPr>
          <w:rFonts w:ascii="Tahoma" w:eastAsia="Times New Roman" w:hAnsi="Tahoma" w:cs="Tahoma"/>
          <w:lang w:val="es-ES" w:eastAsia="es-MX"/>
        </w:rPr>
        <w:t>clara, cierta, comprensible y oportuna sobre las características, condiciones, beneficios, diferencias, riesgos y consecuencias del cambio de régimen pensional</w:t>
      </w:r>
      <w:r w:rsidR="002938DE" w:rsidRPr="000248AD">
        <w:rPr>
          <w:rFonts w:ascii="Tahoma" w:eastAsia="Times New Roman" w:hAnsi="Tahoma" w:cs="Tahoma"/>
          <w:lang w:val="es-ES" w:eastAsia="es-MX"/>
        </w:rPr>
        <w:t xml:space="preserve"> con el fin de generar simetría entre los actores del sistema</w:t>
      </w:r>
      <w:r w:rsidR="003E5342" w:rsidRPr="000248AD">
        <w:rPr>
          <w:rFonts w:ascii="Tahoma" w:eastAsia="Times New Roman" w:hAnsi="Tahoma" w:cs="Tahoma"/>
          <w:lang w:val="es-ES" w:eastAsia="es-MX"/>
        </w:rPr>
        <w:t xml:space="preserve"> y un real consentimiento informado por parte del usuario</w:t>
      </w:r>
      <w:r w:rsidRPr="000248AD">
        <w:rPr>
          <w:rFonts w:ascii="Tahoma" w:eastAsia="Times New Roman" w:hAnsi="Tahoma" w:cs="Tahoma"/>
          <w:lang w:val="es-ES" w:eastAsia="es-MX"/>
        </w:rPr>
        <w:t xml:space="preserve">. </w:t>
      </w:r>
      <w:r w:rsidR="009658FF" w:rsidRPr="000248AD">
        <w:rPr>
          <w:rFonts w:ascii="Tahoma" w:eastAsia="Times New Roman" w:hAnsi="Tahoma" w:cs="Tahoma"/>
          <w:lang w:val="es-ES" w:eastAsia="es-MX"/>
        </w:rPr>
        <w:t xml:space="preserve">Agregó que, dada su obligación y las normas sustantivas y adjetivas, son las mismas AFP las que deben demostrar en el proceso que actuaron con la diligencia que les exige el legislador, so pena de declararse la ineficacia del acta jurídico y el consecuente retorno al régimen anterior. </w:t>
      </w:r>
    </w:p>
    <w:p w14:paraId="3B9ABABC" w14:textId="77777777" w:rsidR="00404C5D" w:rsidRPr="000248AD" w:rsidRDefault="00404C5D" w:rsidP="000248AD">
      <w:pPr>
        <w:spacing w:before="0" w:beforeAutospacing="0" w:after="0" w:afterAutospacing="0" w:line="276" w:lineRule="auto"/>
        <w:ind w:firstLine="708"/>
        <w:rPr>
          <w:rFonts w:ascii="Tahoma" w:eastAsia="Times New Roman" w:hAnsi="Tahoma" w:cs="Tahoma"/>
          <w:lang w:val="es-ES" w:eastAsia="es-MX"/>
        </w:rPr>
      </w:pPr>
    </w:p>
    <w:p w14:paraId="5BFC9C56" w14:textId="3A37447F" w:rsidR="00454894" w:rsidRPr="000248AD" w:rsidRDefault="00454894" w:rsidP="000248AD">
      <w:pPr>
        <w:spacing w:before="0" w:beforeAutospacing="0" w:after="0" w:afterAutospacing="0" w:line="276" w:lineRule="auto"/>
        <w:ind w:firstLine="708"/>
        <w:rPr>
          <w:rFonts w:ascii="Tahoma" w:eastAsia="Times New Roman" w:hAnsi="Tahoma" w:cs="Tahoma"/>
          <w:lang w:val="es-ES" w:eastAsia="es-MX"/>
        </w:rPr>
      </w:pPr>
      <w:r w:rsidRPr="000248AD">
        <w:rPr>
          <w:rFonts w:ascii="Tahoma" w:eastAsia="Times New Roman" w:hAnsi="Tahoma" w:cs="Tahoma"/>
          <w:lang w:val="es-ES" w:eastAsia="es-MX"/>
        </w:rPr>
        <w:t xml:space="preserve">En ese sentido, consideró, en síntesis, que </w:t>
      </w:r>
      <w:r w:rsidR="001D480A" w:rsidRPr="000248AD">
        <w:rPr>
          <w:rFonts w:ascii="Tahoma" w:eastAsia="Times New Roman" w:hAnsi="Tahoma" w:cs="Tahoma"/>
          <w:lang w:val="es-ES" w:eastAsia="es-MX"/>
        </w:rPr>
        <w:t>la</w:t>
      </w:r>
      <w:r w:rsidR="00F574FB" w:rsidRPr="000248AD">
        <w:rPr>
          <w:rFonts w:ascii="Tahoma" w:eastAsia="Times New Roman" w:hAnsi="Tahoma" w:cs="Tahoma"/>
          <w:lang w:val="es-ES" w:eastAsia="es-MX"/>
        </w:rPr>
        <w:t>s</w:t>
      </w:r>
      <w:r w:rsidR="005069CF" w:rsidRPr="000248AD">
        <w:rPr>
          <w:rFonts w:ascii="Tahoma" w:eastAsia="Times New Roman" w:hAnsi="Tahoma" w:cs="Tahoma"/>
          <w:lang w:val="es-ES" w:eastAsia="es-MX"/>
        </w:rPr>
        <w:t xml:space="preserve"> </w:t>
      </w:r>
      <w:r w:rsidR="00077785" w:rsidRPr="000248AD">
        <w:rPr>
          <w:rFonts w:ascii="Tahoma" w:eastAsia="Times New Roman" w:hAnsi="Tahoma" w:cs="Tahoma"/>
          <w:lang w:val="es-ES" w:eastAsia="es-MX"/>
        </w:rPr>
        <w:t xml:space="preserve">AFP </w:t>
      </w:r>
      <w:r w:rsidR="00F574FB" w:rsidRPr="000248AD">
        <w:rPr>
          <w:rFonts w:ascii="Tahoma" w:eastAsia="Times New Roman" w:hAnsi="Tahoma" w:cs="Tahoma"/>
          <w:lang w:val="es-ES" w:eastAsia="es-MX"/>
        </w:rPr>
        <w:t>demandadas</w:t>
      </w:r>
      <w:r w:rsidR="00077785" w:rsidRPr="000248AD">
        <w:rPr>
          <w:rFonts w:ascii="Tahoma" w:eastAsia="Times New Roman" w:hAnsi="Tahoma" w:cs="Tahoma"/>
          <w:lang w:val="es-ES" w:eastAsia="es-MX"/>
        </w:rPr>
        <w:t xml:space="preserve">. </w:t>
      </w:r>
      <w:r w:rsidRPr="000248AD">
        <w:rPr>
          <w:rFonts w:ascii="Tahoma" w:eastAsia="Times New Roman" w:hAnsi="Tahoma" w:cs="Tahoma"/>
          <w:lang w:val="es-ES" w:eastAsia="es-MX"/>
        </w:rPr>
        <w:t xml:space="preserve">no </w:t>
      </w:r>
      <w:r w:rsidR="001D480A" w:rsidRPr="000248AD">
        <w:rPr>
          <w:rFonts w:ascii="Tahoma" w:eastAsia="Times New Roman" w:hAnsi="Tahoma" w:cs="Tahoma"/>
          <w:lang w:val="es-ES" w:eastAsia="es-MX"/>
        </w:rPr>
        <w:t>cumpli</w:t>
      </w:r>
      <w:r w:rsidR="00F574FB" w:rsidRPr="000248AD">
        <w:rPr>
          <w:rFonts w:ascii="Tahoma" w:eastAsia="Times New Roman" w:hAnsi="Tahoma" w:cs="Tahoma"/>
          <w:lang w:val="es-ES" w:eastAsia="es-MX"/>
        </w:rPr>
        <w:t>eron</w:t>
      </w:r>
      <w:r w:rsidRPr="000248AD">
        <w:rPr>
          <w:rFonts w:ascii="Tahoma" w:eastAsia="Times New Roman" w:hAnsi="Tahoma" w:cs="Tahoma"/>
          <w:lang w:val="es-ES" w:eastAsia="es-MX"/>
        </w:rPr>
        <w:t xml:space="preserve"> con la carga de la prueba que le</w:t>
      </w:r>
      <w:r w:rsidR="00F574FB" w:rsidRPr="000248AD">
        <w:rPr>
          <w:rFonts w:ascii="Tahoma" w:eastAsia="Times New Roman" w:hAnsi="Tahoma" w:cs="Tahoma"/>
          <w:lang w:val="es-ES" w:eastAsia="es-MX"/>
        </w:rPr>
        <w:t>s</w:t>
      </w:r>
      <w:r w:rsidRPr="000248AD">
        <w:rPr>
          <w:rFonts w:ascii="Tahoma" w:eastAsia="Times New Roman" w:hAnsi="Tahoma" w:cs="Tahoma"/>
          <w:lang w:val="es-ES" w:eastAsia="es-MX"/>
        </w:rPr>
        <w:t xml:space="preserve"> correspondía en el proceso, tendiente a acreditar </w:t>
      </w:r>
      <w:r w:rsidR="001D480A" w:rsidRPr="000248AD">
        <w:rPr>
          <w:rFonts w:ascii="Tahoma" w:eastAsia="Times New Roman" w:hAnsi="Tahoma" w:cs="Tahoma"/>
          <w:lang w:val="es-ES" w:eastAsia="es-MX"/>
        </w:rPr>
        <w:t>que llev</w:t>
      </w:r>
      <w:r w:rsidR="00F574FB" w:rsidRPr="000248AD">
        <w:rPr>
          <w:rFonts w:ascii="Tahoma" w:eastAsia="Times New Roman" w:hAnsi="Tahoma" w:cs="Tahoma"/>
          <w:lang w:val="es-ES" w:eastAsia="es-MX"/>
        </w:rPr>
        <w:t>aron</w:t>
      </w:r>
      <w:r w:rsidRPr="000248AD">
        <w:rPr>
          <w:rFonts w:ascii="Tahoma" w:eastAsia="Times New Roman" w:hAnsi="Tahoma" w:cs="Tahoma"/>
          <w:lang w:val="es-ES" w:eastAsia="es-MX"/>
        </w:rPr>
        <w:t xml:space="preserve"> a cabo el deber de información en los términos expuestos por la jurisprudencia de la Sala de Casación Laboral de la Corte Suprema de Justicia; ello en razón a que </w:t>
      </w:r>
      <w:r w:rsidR="00F574FB" w:rsidRPr="000248AD">
        <w:rPr>
          <w:rFonts w:ascii="Tahoma" w:eastAsia="Times New Roman" w:hAnsi="Tahoma" w:cs="Tahoma"/>
          <w:lang w:val="es-ES" w:eastAsia="es-MX"/>
        </w:rPr>
        <w:t xml:space="preserve">de la documental aportada no </w:t>
      </w:r>
      <w:r w:rsidRPr="000248AD">
        <w:rPr>
          <w:rFonts w:ascii="Tahoma" w:eastAsia="Times New Roman" w:hAnsi="Tahoma" w:cs="Tahoma"/>
          <w:lang w:val="es-ES" w:eastAsia="es-MX"/>
        </w:rPr>
        <w:t xml:space="preserve">se logra extraer la calidad de la información que se le brindó. </w:t>
      </w:r>
    </w:p>
    <w:p w14:paraId="5F4655E4" w14:textId="77777777" w:rsidR="00404C5D" w:rsidRPr="000248AD" w:rsidRDefault="00404C5D" w:rsidP="000248AD">
      <w:pPr>
        <w:spacing w:before="0" w:beforeAutospacing="0" w:after="0" w:afterAutospacing="0" w:line="276" w:lineRule="auto"/>
        <w:ind w:firstLine="708"/>
        <w:rPr>
          <w:rFonts w:ascii="Tahoma" w:eastAsia="Times New Roman" w:hAnsi="Tahoma" w:cs="Tahoma"/>
          <w:lang w:val="es-ES" w:eastAsia="es-MX"/>
        </w:rPr>
      </w:pPr>
    </w:p>
    <w:p w14:paraId="050685B5" w14:textId="2F73D412" w:rsidR="00454894" w:rsidRPr="000248AD" w:rsidRDefault="009D4186" w:rsidP="000248AD">
      <w:pPr>
        <w:spacing w:before="0" w:beforeAutospacing="0" w:after="0" w:afterAutospacing="0" w:line="276" w:lineRule="auto"/>
        <w:ind w:firstLine="708"/>
        <w:rPr>
          <w:rFonts w:ascii="Tahoma" w:eastAsia="Times New Roman" w:hAnsi="Tahoma" w:cs="Tahoma"/>
          <w:lang w:val="es-ES" w:eastAsia="es-MX"/>
        </w:rPr>
      </w:pPr>
      <w:r w:rsidRPr="000248AD">
        <w:rPr>
          <w:rFonts w:ascii="Tahoma" w:eastAsia="Times New Roman" w:hAnsi="Tahoma" w:cs="Tahoma"/>
          <w:lang w:val="es-ES" w:eastAsia="es-MX"/>
        </w:rPr>
        <w:t xml:space="preserve">Advirtió, </w:t>
      </w:r>
      <w:r w:rsidR="0040147A" w:rsidRPr="000248AD">
        <w:rPr>
          <w:rFonts w:ascii="Tahoma" w:eastAsia="Times New Roman" w:hAnsi="Tahoma" w:cs="Tahoma"/>
          <w:lang w:val="es-ES" w:eastAsia="es-MX"/>
        </w:rPr>
        <w:t>que,</w:t>
      </w:r>
      <w:r w:rsidRPr="000248AD">
        <w:rPr>
          <w:rFonts w:ascii="Tahoma" w:eastAsia="Times New Roman" w:hAnsi="Tahoma" w:cs="Tahoma"/>
          <w:lang w:val="es-ES" w:eastAsia="es-MX"/>
        </w:rPr>
        <w:t xml:space="preserve"> d</w:t>
      </w:r>
      <w:r w:rsidR="00454894" w:rsidRPr="000248AD">
        <w:rPr>
          <w:rFonts w:ascii="Tahoma" w:eastAsia="Times New Roman" w:hAnsi="Tahoma" w:cs="Tahoma"/>
          <w:lang w:val="es-ES" w:eastAsia="es-MX"/>
        </w:rPr>
        <w:t xml:space="preserve">el interrogatorio rendido por </w:t>
      </w:r>
      <w:r w:rsidR="001D480A" w:rsidRPr="000248AD">
        <w:rPr>
          <w:rFonts w:ascii="Tahoma" w:eastAsia="Times New Roman" w:hAnsi="Tahoma" w:cs="Tahoma"/>
          <w:lang w:val="es-ES" w:eastAsia="es-MX"/>
        </w:rPr>
        <w:t>e</w:t>
      </w:r>
      <w:r w:rsidRPr="000248AD">
        <w:rPr>
          <w:rFonts w:ascii="Tahoma" w:eastAsia="Times New Roman" w:hAnsi="Tahoma" w:cs="Tahoma"/>
          <w:lang w:val="es-ES" w:eastAsia="es-MX"/>
        </w:rPr>
        <w:t>l actor</w:t>
      </w:r>
      <w:r w:rsidR="00454894" w:rsidRPr="000248AD">
        <w:rPr>
          <w:rFonts w:ascii="Tahoma" w:eastAsia="Times New Roman" w:hAnsi="Tahoma" w:cs="Tahoma"/>
          <w:lang w:val="es-ES" w:eastAsia="es-MX"/>
        </w:rPr>
        <w:t xml:space="preserve">, no sé </w:t>
      </w:r>
      <w:r w:rsidR="00F574FB" w:rsidRPr="000248AD">
        <w:rPr>
          <w:rFonts w:ascii="Tahoma" w:eastAsia="Times New Roman" w:hAnsi="Tahoma" w:cs="Tahoma"/>
          <w:lang w:val="es-ES" w:eastAsia="es-MX"/>
        </w:rPr>
        <w:t>desprende</w:t>
      </w:r>
      <w:r w:rsidR="00454894" w:rsidRPr="000248AD">
        <w:rPr>
          <w:rFonts w:ascii="Tahoma" w:eastAsia="Times New Roman" w:hAnsi="Tahoma" w:cs="Tahoma"/>
          <w:lang w:val="es-ES" w:eastAsia="es-MX"/>
        </w:rPr>
        <w:t xml:space="preserve"> ninguna confesión que permitiera concluir que </w:t>
      </w:r>
      <w:r w:rsidR="001D480A" w:rsidRPr="000248AD">
        <w:rPr>
          <w:rFonts w:ascii="Tahoma" w:eastAsia="Times New Roman" w:hAnsi="Tahoma" w:cs="Tahoma"/>
          <w:lang w:val="es-ES" w:eastAsia="es-MX"/>
        </w:rPr>
        <w:t>los fondos</w:t>
      </w:r>
      <w:r w:rsidR="00454894" w:rsidRPr="000248AD">
        <w:rPr>
          <w:rFonts w:ascii="Tahoma" w:eastAsia="Times New Roman" w:hAnsi="Tahoma" w:cs="Tahoma"/>
          <w:lang w:val="es-ES" w:eastAsia="es-MX"/>
        </w:rPr>
        <w:t xml:space="preserve"> sí cumpli</w:t>
      </w:r>
      <w:r w:rsidR="001D480A" w:rsidRPr="000248AD">
        <w:rPr>
          <w:rFonts w:ascii="Tahoma" w:eastAsia="Times New Roman" w:hAnsi="Tahoma" w:cs="Tahoma"/>
          <w:lang w:val="es-ES" w:eastAsia="es-MX"/>
        </w:rPr>
        <w:t>eron</w:t>
      </w:r>
      <w:r w:rsidR="00454894" w:rsidRPr="000248AD">
        <w:rPr>
          <w:rFonts w:ascii="Tahoma" w:eastAsia="Times New Roman" w:hAnsi="Tahoma" w:cs="Tahoma"/>
          <w:lang w:val="es-ES" w:eastAsia="es-MX"/>
        </w:rPr>
        <w:t xml:space="preserve"> con su deber de información, ya que</w:t>
      </w:r>
      <w:r w:rsidR="007B38C7" w:rsidRPr="000248AD">
        <w:rPr>
          <w:rFonts w:ascii="Tahoma" w:eastAsia="Times New Roman" w:hAnsi="Tahoma" w:cs="Tahoma"/>
          <w:lang w:val="es-ES" w:eastAsia="es-MX"/>
        </w:rPr>
        <w:t xml:space="preserve"> es evidente el desconocimiento del demandante sobre </w:t>
      </w:r>
      <w:r w:rsidR="00A22477" w:rsidRPr="000248AD">
        <w:rPr>
          <w:rFonts w:ascii="Tahoma" w:eastAsia="Times New Roman" w:hAnsi="Tahoma" w:cs="Tahoma"/>
          <w:lang w:val="es-ES" w:eastAsia="es-MX"/>
        </w:rPr>
        <w:t xml:space="preserve">las características </w:t>
      </w:r>
      <w:r w:rsidR="00F678D5" w:rsidRPr="000248AD">
        <w:rPr>
          <w:rFonts w:ascii="Tahoma" w:eastAsia="Times New Roman" w:hAnsi="Tahoma" w:cs="Tahoma"/>
          <w:lang w:val="es-ES" w:eastAsia="es-MX"/>
        </w:rPr>
        <w:t xml:space="preserve">y diferencias entre </w:t>
      </w:r>
      <w:r w:rsidR="007B38C7" w:rsidRPr="000248AD">
        <w:rPr>
          <w:rFonts w:ascii="Tahoma" w:eastAsia="Times New Roman" w:hAnsi="Tahoma" w:cs="Tahoma"/>
          <w:lang w:val="es-ES" w:eastAsia="es-MX"/>
        </w:rPr>
        <w:t>ambos regímenes pensionales</w:t>
      </w:r>
      <w:r w:rsidR="005069CF" w:rsidRPr="000248AD">
        <w:rPr>
          <w:rFonts w:ascii="Tahoma" w:eastAsia="Times New Roman" w:hAnsi="Tahoma" w:cs="Tahoma"/>
          <w:lang w:val="es-ES" w:eastAsia="es-MX"/>
        </w:rPr>
        <w:t>.</w:t>
      </w:r>
    </w:p>
    <w:p w14:paraId="4DFDE107" w14:textId="77777777" w:rsidR="00404C5D" w:rsidRPr="000248AD" w:rsidRDefault="00404C5D" w:rsidP="000248AD">
      <w:pPr>
        <w:spacing w:before="0" w:beforeAutospacing="0" w:after="0" w:afterAutospacing="0" w:line="276" w:lineRule="auto"/>
        <w:ind w:firstLine="708"/>
        <w:rPr>
          <w:rFonts w:ascii="Tahoma" w:eastAsia="Times New Roman" w:hAnsi="Tahoma" w:cs="Tahoma"/>
          <w:lang w:val="es-ES" w:eastAsia="es-MX"/>
        </w:rPr>
      </w:pPr>
    </w:p>
    <w:p w14:paraId="66442AE5" w14:textId="676198E7" w:rsidR="00454894" w:rsidRPr="000248AD" w:rsidRDefault="00454894" w:rsidP="000248AD">
      <w:pPr>
        <w:spacing w:before="0" w:beforeAutospacing="0" w:after="0" w:afterAutospacing="0" w:line="276" w:lineRule="auto"/>
        <w:ind w:firstLine="708"/>
        <w:rPr>
          <w:rFonts w:ascii="Tahoma" w:eastAsia="Times New Roman" w:hAnsi="Tahoma" w:cs="Tahoma"/>
          <w:lang w:val="es-ES" w:eastAsia="es-MX"/>
        </w:rPr>
      </w:pPr>
      <w:r w:rsidRPr="000248AD">
        <w:rPr>
          <w:rFonts w:ascii="Tahoma" w:eastAsia="Times New Roman" w:hAnsi="Tahoma" w:cs="Tahoma"/>
          <w:lang w:val="es-ES" w:eastAsia="es-MX"/>
        </w:rPr>
        <w:t>Por lo dicho, concluyó que la decisión del</w:t>
      </w:r>
      <w:r w:rsidR="00404C5D" w:rsidRPr="000248AD">
        <w:rPr>
          <w:rFonts w:ascii="Tahoma" w:eastAsia="Times New Roman" w:hAnsi="Tahoma" w:cs="Tahoma"/>
          <w:lang w:val="es-ES" w:eastAsia="es-MX"/>
        </w:rPr>
        <w:t xml:space="preserve"> </w:t>
      </w:r>
      <w:r w:rsidRPr="000248AD">
        <w:rPr>
          <w:rFonts w:ascii="Tahoma" w:eastAsia="Times New Roman" w:hAnsi="Tahoma" w:cs="Tahoma"/>
          <w:lang w:val="es-ES" w:eastAsia="es-MX"/>
        </w:rPr>
        <w:t>acto</w:t>
      </w:r>
      <w:r w:rsidR="00404C5D" w:rsidRPr="000248AD">
        <w:rPr>
          <w:rFonts w:ascii="Tahoma" w:eastAsia="Times New Roman" w:hAnsi="Tahoma" w:cs="Tahoma"/>
          <w:lang w:val="es-ES" w:eastAsia="es-MX"/>
        </w:rPr>
        <w:t>r</w:t>
      </w:r>
      <w:r w:rsidRPr="000248AD">
        <w:rPr>
          <w:rFonts w:ascii="Tahoma" w:eastAsia="Times New Roman" w:hAnsi="Tahoma" w:cs="Tahoma"/>
          <w:lang w:val="es-ES" w:eastAsia="es-MX"/>
        </w:rPr>
        <w:t xml:space="preserve"> no estuvo precedida de la comprensión suficiente ni el real consentimiento para llevarla a cabo, razón por la cual debía declararse la ineficacia del acto de traslado.</w:t>
      </w:r>
    </w:p>
    <w:p w14:paraId="6A9565C7" w14:textId="410C6AE7" w:rsidR="00404C5D" w:rsidRPr="000248AD" w:rsidRDefault="00404C5D" w:rsidP="000248AD">
      <w:pPr>
        <w:spacing w:before="0" w:beforeAutospacing="0" w:after="0" w:afterAutospacing="0" w:line="276" w:lineRule="auto"/>
        <w:ind w:firstLine="708"/>
        <w:rPr>
          <w:rFonts w:ascii="Tahoma" w:eastAsia="Times New Roman" w:hAnsi="Tahoma" w:cs="Tahoma"/>
          <w:lang w:val="es-ES" w:eastAsia="es-MX"/>
        </w:rPr>
      </w:pPr>
    </w:p>
    <w:p w14:paraId="61F2BBDD" w14:textId="37E4F8F8" w:rsidR="00363345" w:rsidRPr="000248AD" w:rsidRDefault="00363345" w:rsidP="000248AD">
      <w:pPr>
        <w:pStyle w:val="Prrafodelista"/>
        <w:widowControl w:val="0"/>
        <w:numPr>
          <w:ilvl w:val="0"/>
          <w:numId w:val="2"/>
        </w:numPr>
        <w:autoSpaceDE w:val="0"/>
        <w:autoSpaceDN w:val="0"/>
        <w:spacing w:line="276" w:lineRule="auto"/>
        <w:ind w:left="0" w:firstLine="0"/>
        <w:jc w:val="center"/>
        <w:rPr>
          <w:rFonts w:eastAsia="Calibri" w:cs="Tahoma"/>
          <w:b/>
          <w:szCs w:val="24"/>
          <w:lang w:val="es-ES"/>
        </w:rPr>
      </w:pPr>
      <w:r w:rsidRPr="000248AD">
        <w:rPr>
          <w:rFonts w:eastAsia="Calibri" w:cs="Tahoma"/>
          <w:b/>
          <w:szCs w:val="24"/>
          <w:lang w:val="es-ES"/>
        </w:rPr>
        <w:t>Recursos de apelación y procedencia de la consulta</w:t>
      </w:r>
    </w:p>
    <w:p w14:paraId="1F30DA75" w14:textId="6F6800A9" w:rsidR="00EB4974" w:rsidRPr="000248AD" w:rsidRDefault="00EB4974" w:rsidP="000248AD">
      <w:pPr>
        <w:widowControl w:val="0"/>
        <w:autoSpaceDE w:val="0"/>
        <w:autoSpaceDN w:val="0"/>
        <w:spacing w:before="0" w:beforeAutospacing="0" w:after="0" w:afterAutospacing="0" w:line="276" w:lineRule="auto"/>
        <w:contextualSpacing/>
        <w:rPr>
          <w:rFonts w:ascii="Tahoma" w:eastAsia="Calibri" w:hAnsi="Tahoma" w:cs="Tahoma"/>
          <w:lang w:val="es-ES"/>
        </w:rPr>
      </w:pPr>
    </w:p>
    <w:p w14:paraId="35AB9C34" w14:textId="1A0E7BCA" w:rsidR="0019054B" w:rsidRPr="000248AD" w:rsidRDefault="00363345" w:rsidP="000248AD">
      <w:pPr>
        <w:spacing w:before="0" w:beforeAutospacing="0" w:after="0" w:afterAutospacing="0" w:line="276" w:lineRule="auto"/>
        <w:ind w:firstLine="708"/>
        <w:rPr>
          <w:rFonts w:ascii="Tahoma" w:eastAsia="Calibri" w:hAnsi="Tahoma" w:cs="Tahoma"/>
          <w:lang w:val="es-ES"/>
        </w:rPr>
      </w:pPr>
      <w:r w:rsidRPr="000248AD">
        <w:rPr>
          <w:rFonts w:ascii="Tahoma" w:eastAsia="Calibri" w:hAnsi="Tahoma" w:cs="Tahoma"/>
          <w:lang w:val="es-ES"/>
        </w:rPr>
        <w:t xml:space="preserve">Colpensiones </w:t>
      </w:r>
      <w:r w:rsidR="00A84261" w:rsidRPr="000248AD">
        <w:rPr>
          <w:rFonts w:ascii="Tahoma" w:eastAsia="Calibri" w:hAnsi="Tahoma" w:cs="Tahoma"/>
          <w:lang w:val="es-ES"/>
        </w:rPr>
        <w:t>atacó la decisión de primera instancia argumentando que</w:t>
      </w:r>
      <w:r w:rsidR="007E2A5C" w:rsidRPr="000248AD">
        <w:rPr>
          <w:rFonts w:ascii="Tahoma" w:eastAsia="Calibri" w:hAnsi="Tahoma" w:cs="Tahoma"/>
          <w:lang w:val="es-ES"/>
        </w:rPr>
        <w:t xml:space="preserve"> </w:t>
      </w:r>
      <w:r w:rsidR="00A84261" w:rsidRPr="000248AD">
        <w:rPr>
          <w:rFonts w:ascii="Tahoma" w:eastAsia="Calibri" w:hAnsi="Tahoma" w:cs="Tahoma"/>
          <w:lang w:val="es-ES"/>
        </w:rPr>
        <w:t>la afiliación d</w:t>
      </w:r>
      <w:r w:rsidR="00656496" w:rsidRPr="000248AD">
        <w:rPr>
          <w:rFonts w:ascii="Tahoma" w:eastAsia="Calibri" w:hAnsi="Tahoma" w:cs="Tahoma"/>
          <w:lang w:val="es-ES"/>
        </w:rPr>
        <w:t>e</w:t>
      </w:r>
      <w:r w:rsidR="00A84261" w:rsidRPr="000248AD">
        <w:rPr>
          <w:rFonts w:ascii="Tahoma" w:eastAsia="Calibri" w:hAnsi="Tahoma" w:cs="Tahoma"/>
          <w:lang w:val="es-ES"/>
        </w:rPr>
        <w:t>l demandante cumplió con la normatividad vigente para la fecha y que</w:t>
      </w:r>
      <w:r w:rsidR="00656496" w:rsidRPr="000248AD">
        <w:rPr>
          <w:rFonts w:ascii="Tahoma" w:eastAsia="Calibri" w:hAnsi="Tahoma" w:cs="Tahoma"/>
          <w:lang w:val="es-ES"/>
        </w:rPr>
        <w:t xml:space="preserve"> lo que ahora pretende es obtener un beneficio económico mayor, por lo que al no ser beneficiario</w:t>
      </w:r>
      <w:r w:rsidR="00A84261" w:rsidRPr="000248AD">
        <w:rPr>
          <w:rFonts w:ascii="Tahoma" w:eastAsia="Calibri" w:hAnsi="Tahoma" w:cs="Tahoma"/>
          <w:lang w:val="es-ES"/>
        </w:rPr>
        <w:t xml:space="preserve"> del régimen de transición, </w:t>
      </w:r>
      <w:r w:rsidR="002E4D16" w:rsidRPr="000248AD">
        <w:rPr>
          <w:rFonts w:ascii="Tahoma" w:eastAsia="Calibri" w:hAnsi="Tahoma" w:cs="Tahoma"/>
          <w:lang w:val="es-ES"/>
        </w:rPr>
        <w:t>no puede recibirl</w:t>
      </w:r>
      <w:r w:rsidR="00656496" w:rsidRPr="000248AD">
        <w:rPr>
          <w:rFonts w:ascii="Tahoma" w:eastAsia="Calibri" w:hAnsi="Tahoma" w:cs="Tahoma"/>
          <w:lang w:val="es-ES"/>
        </w:rPr>
        <w:t>o</w:t>
      </w:r>
      <w:r w:rsidR="002E4D16" w:rsidRPr="000248AD">
        <w:rPr>
          <w:rFonts w:ascii="Tahoma" w:eastAsia="Calibri" w:hAnsi="Tahoma" w:cs="Tahoma"/>
          <w:lang w:val="es-ES"/>
        </w:rPr>
        <w:t xml:space="preserve"> como su afiliad</w:t>
      </w:r>
      <w:r w:rsidR="00A84261" w:rsidRPr="000248AD">
        <w:rPr>
          <w:rFonts w:ascii="Tahoma" w:eastAsia="Calibri" w:hAnsi="Tahoma" w:cs="Tahoma"/>
          <w:lang w:val="es-ES"/>
        </w:rPr>
        <w:t>a</w:t>
      </w:r>
      <w:r w:rsidR="002E4D16" w:rsidRPr="000248AD">
        <w:rPr>
          <w:rFonts w:ascii="Tahoma" w:eastAsia="Calibri" w:hAnsi="Tahoma" w:cs="Tahoma"/>
          <w:lang w:val="es-ES"/>
        </w:rPr>
        <w:t xml:space="preserve"> al faltarle menos de 10 años para pensionarse</w:t>
      </w:r>
      <w:r w:rsidR="00A84261" w:rsidRPr="000248AD">
        <w:rPr>
          <w:rFonts w:ascii="Tahoma" w:eastAsia="Calibri" w:hAnsi="Tahoma" w:cs="Tahoma"/>
          <w:lang w:val="es-ES"/>
        </w:rPr>
        <w:t>, sin que el hecho de ver sus expectativas económicas fallidas deba declararse la ineficacia del traslado, con lo cual se afectan los intereses de Colpensiones como tercera de buena fe</w:t>
      </w:r>
      <w:r w:rsidR="00656496" w:rsidRPr="000248AD">
        <w:rPr>
          <w:rFonts w:ascii="Tahoma" w:eastAsia="Calibri" w:hAnsi="Tahoma" w:cs="Tahoma"/>
          <w:lang w:val="es-ES"/>
        </w:rPr>
        <w:t xml:space="preserve">, </w:t>
      </w:r>
      <w:r w:rsidR="00AF7CDD" w:rsidRPr="000248AD">
        <w:rPr>
          <w:rFonts w:ascii="Tahoma" w:eastAsia="Calibri" w:hAnsi="Tahoma" w:cs="Tahoma"/>
          <w:lang w:val="es-ES"/>
        </w:rPr>
        <w:t xml:space="preserve">razón por la cual, solicita que, en caso de confirmarse el fallo, se condene </w:t>
      </w:r>
      <w:r w:rsidR="0019054B" w:rsidRPr="000248AD">
        <w:rPr>
          <w:rFonts w:ascii="Tahoma" w:eastAsia="Calibri" w:hAnsi="Tahoma" w:cs="Tahoma"/>
          <w:lang w:val="es-ES"/>
        </w:rPr>
        <w:t xml:space="preserve">a las </w:t>
      </w:r>
      <w:r w:rsidR="00AF7CDD" w:rsidRPr="000248AD">
        <w:rPr>
          <w:rFonts w:ascii="Tahoma" w:eastAsia="Calibri" w:hAnsi="Tahoma" w:cs="Tahoma"/>
          <w:lang w:val="es-ES"/>
        </w:rPr>
        <w:t xml:space="preserve">AFP </w:t>
      </w:r>
      <w:r w:rsidR="0019054B" w:rsidRPr="000248AD">
        <w:rPr>
          <w:rFonts w:ascii="Tahoma" w:eastAsia="Calibri" w:hAnsi="Tahoma" w:cs="Tahoma"/>
          <w:lang w:val="es-ES"/>
        </w:rPr>
        <w:t xml:space="preserve">a pagar un </w:t>
      </w:r>
      <w:r w:rsidR="00AF7CDD" w:rsidRPr="000248AD">
        <w:rPr>
          <w:rFonts w:ascii="Tahoma" w:eastAsia="Calibri" w:hAnsi="Tahoma" w:cs="Tahoma"/>
          <w:lang w:val="es-ES"/>
        </w:rPr>
        <w:t>cálculo</w:t>
      </w:r>
      <w:r w:rsidR="0019054B" w:rsidRPr="000248AD">
        <w:rPr>
          <w:rFonts w:ascii="Tahoma" w:eastAsia="Calibri" w:hAnsi="Tahoma" w:cs="Tahoma"/>
          <w:lang w:val="es-ES"/>
        </w:rPr>
        <w:t xml:space="preserve"> actuarial equivalente a las mesadas liquidadas conforme al </w:t>
      </w:r>
      <w:r w:rsidR="00AF7CDD" w:rsidRPr="000248AD">
        <w:rPr>
          <w:rFonts w:ascii="Tahoma" w:eastAsia="Calibri" w:hAnsi="Tahoma" w:cs="Tahoma"/>
          <w:lang w:val="es-ES"/>
        </w:rPr>
        <w:t xml:space="preserve">RPM. </w:t>
      </w:r>
    </w:p>
    <w:p w14:paraId="20C029A2" w14:textId="77777777" w:rsidR="008F4A6D" w:rsidRPr="000248AD" w:rsidRDefault="008F4A6D" w:rsidP="000248AD">
      <w:pPr>
        <w:widowControl w:val="0"/>
        <w:autoSpaceDE w:val="0"/>
        <w:autoSpaceDN w:val="0"/>
        <w:spacing w:before="0" w:beforeAutospacing="0" w:after="0" w:afterAutospacing="0" w:line="276" w:lineRule="auto"/>
        <w:contextualSpacing/>
        <w:rPr>
          <w:rFonts w:ascii="Tahoma" w:eastAsia="Calibri" w:hAnsi="Tahoma" w:cs="Tahoma"/>
          <w:lang w:val="es-ES"/>
        </w:rPr>
      </w:pPr>
    </w:p>
    <w:p w14:paraId="5681262D" w14:textId="77777777" w:rsidR="00363345" w:rsidRPr="000248AD" w:rsidRDefault="00363345" w:rsidP="000248AD">
      <w:pPr>
        <w:pStyle w:val="Prrafodelista"/>
        <w:widowControl w:val="0"/>
        <w:numPr>
          <w:ilvl w:val="0"/>
          <w:numId w:val="2"/>
        </w:numPr>
        <w:autoSpaceDE w:val="0"/>
        <w:autoSpaceDN w:val="0"/>
        <w:spacing w:line="276" w:lineRule="auto"/>
        <w:jc w:val="center"/>
        <w:rPr>
          <w:rFonts w:eastAsiaTheme="minorEastAsia" w:cs="Tahoma"/>
          <w:b/>
          <w:bCs/>
          <w:szCs w:val="24"/>
          <w:lang w:val="es-ES"/>
        </w:rPr>
      </w:pPr>
      <w:r w:rsidRPr="000248AD">
        <w:rPr>
          <w:rFonts w:eastAsia="Tahoma" w:cs="Tahoma"/>
          <w:b/>
          <w:bCs/>
          <w:szCs w:val="24"/>
          <w:lang w:val="es"/>
        </w:rPr>
        <w:t>Alegatos de conclusión</w:t>
      </w:r>
    </w:p>
    <w:p w14:paraId="33A27BB1" w14:textId="77777777" w:rsidR="00363345" w:rsidRPr="000248AD" w:rsidRDefault="00363345" w:rsidP="000248AD">
      <w:pPr>
        <w:spacing w:before="0" w:beforeAutospacing="0" w:after="0" w:afterAutospacing="0" w:line="276" w:lineRule="auto"/>
        <w:ind w:firstLine="708"/>
        <w:contextualSpacing/>
        <w:rPr>
          <w:rFonts w:ascii="Tahoma" w:eastAsia="Tahoma" w:hAnsi="Tahoma" w:cs="Tahoma"/>
        </w:rPr>
      </w:pPr>
    </w:p>
    <w:p w14:paraId="7B700BFD" w14:textId="10075EA8" w:rsidR="00363345" w:rsidRPr="000248AD" w:rsidRDefault="00363345" w:rsidP="000248AD">
      <w:pPr>
        <w:spacing w:before="0" w:beforeAutospacing="0" w:after="0" w:afterAutospacing="0" w:line="276" w:lineRule="auto"/>
        <w:ind w:firstLine="708"/>
        <w:contextualSpacing/>
        <w:rPr>
          <w:rFonts w:ascii="Tahoma" w:eastAsia="Tahoma" w:hAnsi="Tahoma" w:cs="Tahoma"/>
        </w:rPr>
      </w:pPr>
      <w:r w:rsidRPr="000248AD">
        <w:rPr>
          <w:rFonts w:ascii="Tahoma" w:eastAsia="Tahoma" w:hAnsi="Tahoma" w:cs="Tahoma"/>
        </w:rPr>
        <w:t xml:space="preserve">Analizados los alegatos presentados </w:t>
      </w:r>
      <w:r w:rsidR="005227F3" w:rsidRPr="000248AD">
        <w:rPr>
          <w:rFonts w:ascii="Tahoma" w:eastAsia="Tahoma" w:hAnsi="Tahoma" w:cs="Tahoma"/>
        </w:rPr>
        <w:t>por</w:t>
      </w:r>
      <w:r w:rsidR="00444162" w:rsidRPr="000248AD">
        <w:rPr>
          <w:rFonts w:ascii="Tahoma" w:eastAsia="Tahoma" w:hAnsi="Tahoma" w:cs="Tahoma"/>
        </w:rPr>
        <w:t xml:space="preserve"> </w:t>
      </w:r>
      <w:r w:rsidR="24879466" w:rsidRPr="000248AD">
        <w:rPr>
          <w:rFonts w:ascii="Tahoma" w:eastAsia="Tahoma" w:hAnsi="Tahoma" w:cs="Tahoma"/>
        </w:rPr>
        <w:t>Colpensiones</w:t>
      </w:r>
      <w:r w:rsidR="00AD392C" w:rsidRPr="000248AD">
        <w:rPr>
          <w:rFonts w:ascii="Tahoma" w:eastAsia="Tahoma" w:hAnsi="Tahoma" w:cs="Tahoma"/>
        </w:rPr>
        <w:t xml:space="preserve"> y el concepto del Ministerio Público</w:t>
      </w:r>
      <w:r w:rsidR="002041DB" w:rsidRPr="000248AD">
        <w:rPr>
          <w:rFonts w:ascii="Tahoma" w:eastAsia="Tahoma" w:hAnsi="Tahoma" w:cs="Tahoma"/>
        </w:rPr>
        <w:t>,</w:t>
      </w:r>
      <w:r w:rsidRPr="000248AD">
        <w:rPr>
          <w:rFonts w:ascii="Tahoma" w:eastAsia="Tahoma" w:hAnsi="Tahoma" w:cs="Tahoma"/>
        </w:rPr>
        <w:t xml:space="preserve"> mismos que obran en el expediente digital y a los cuales nos remitimos por economía procesal en virtud del artículo 280 del C.G.P., la Sala encuentra que los argumentos fácticos y jurídicos expresados concuerdan con los </w:t>
      </w:r>
      <w:r w:rsidRPr="000248AD">
        <w:rPr>
          <w:rFonts w:ascii="Tahoma" w:eastAsia="Tahoma" w:hAnsi="Tahoma" w:cs="Tahoma"/>
        </w:rPr>
        <w:lastRenderedPageBreak/>
        <w:t>puntos objeto de discusión en esta instancia y se relacionan con el problema jurídico que se expresará más adelante</w:t>
      </w:r>
      <w:r w:rsidR="2483BF16" w:rsidRPr="000248AD">
        <w:rPr>
          <w:rFonts w:ascii="Tahoma" w:eastAsia="Tahoma" w:hAnsi="Tahoma" w:cs="Tahoma"/>
        </w:rPr>
        <w:t>.</w:t>
      </w:r>
    </w:p>
    <w:p w14:paraId="0F783372" w14:textId="77777777" w:rsidR="00767097" w:rsidRPr="000248AD" w:rsidRDefault="00767097" w:rsidP="000248AD">
      <w:pPr>
        <w:spacing w:before="0" w:beforeAutospacing="0" w:after="0" w:afterAutospacing="0" w:line="276" w:lineRule="auto"/>
        <w:ind w:firstLine="708"/>
        <w:contextualSpacing/>
        <w:rPr>
          <w:rFonts w:ascii="Tahoma" w:eastAsia="Tahoma" w:hAnsi="Tahoma" w:cs="Tahoma"/>
        </w:rPr>
      </w:pPr>
    </w:p>
    <w:p w14:paraId="644CA4BB" w14:textId="77777777" w:rsidR="00363345" w:rsidRPr="000248AD" w:rsidRDefault="00363345" w:rsidP="000248AD">
      <w:pPr>
        <w:widowControl w:val="0"/>
        <w:numPr>
          <w:ilvl w:val="0"/>
          <w:numId w:val="2"/>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0248AD">
        <w:rPr>
          <w:rFonts w:ascii="Tahoma" w:eastAsia="Tahoma" w:hAnsi="Tahoma" w:cs="Tahoma"/>
          <w:b/>
          <w:bCs/>
          <w:lang w:val="es"/>
        </w:rPr>
        <w:t>Problemas jurídicos por resolver</w:t>
      </w:r>
    </w:p>
    <w:p w14:paraId="6B587EC9" w14:textId="77777777" w:rsidR="00363345" w:rsidRPr="000248AD" w:rsidRDefault="00363345" w:rsidP="000248AD">
      <w:pPr>
        <w:spacing w:before="0" w:beforeAutospacing="0" w:after="0" w:afterAutospacing="0" w:line="276" w:lineRule="auto"/>
        <w:ind w:firstLine="708"/>
        <w:contextualSpacing/>
        <w:rPr>
          <w:rFonts w:ascii="Tahoma" w:hAnsi="Tahoma" w:cs="Tahoma"/>
        </w:rPr>
      </w:pPr>
    </w:p>
    <w:p w14:paraId="3D04D197" w14:textId="77777777" w:rsidR="00363345" w:rsidRPr="000248AD" w:rsidRDefault="00363345" w:rsidP="000248AD">
      <w:pPr>
        <w:spacing w:before="0" w:beforeAutospacing="0" w:after="0" w:afterAutospacing="0" w:line="276" w:lineRule="auto"/>
        <w:ind w:firstLine="708"/>
        <w:contextualSpacing/>
        <w:rPr>
          <w:rFonts w:ascii="Tahoma" w:hAnsi="Tahoma" w:cs="Tahoma"/>
        </w:rPr>
      </w:pPr>
      <w:r w:rsidRPr="000248AD">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7CE96F55" w14:textId="77777777" w:rsidR="00363345" w:rsidRPr="000248AD" w:rsidRDefault="00363345" w:rsidP="000248AD">
      <w:pPr>
        <w:spacing w:before="0" w:beforeAutospacing="0" w:after="0" w:afterAutospacing="0" w:line="276" w:lineRule="auto"/>
        <w:ind w:firstLine="708"/>
        <w:contextualSpacing/>
        <w:rPr>
          <w:rFonts w:ascii="Tahoma" w:hAnsi="Tahoma" w:cs="Tahoma"/>
        </w:rPr>
      </w:pPr>
    </w:p>
    <w:p w14:paraId="22611C26" w14:textId="64FB3FE3" w:rsidR="00363345" w:rsidRPr="000248AD" w:rsidRDefault="00363345" w:rsidP="000248AD">
      <w:pPr>
        <w:pStyle w:val="Prrafodelista"/>
        <w:numPr>
          <w:ilvl w:val="0"/>
          <w:numId w:val="11"/>
        </w:numPr>
        <w:spacing w:line="276" w:lineRule="auto"/>
        <w:ind w:left="0" w:firstLine="709"/>
        <w:rPr>
          <w:rFonts w:cs="Tahoma"/>
          <w:szCs w:val="24"/>
        </w:rPr>
      </w:pPr>
      <w:r w:rsidRPr="000248AD">
        <w:rPr>
          <w:rFonts w:cs="Tahoma"/>
          <w:szCs w:val="24"/>
        </w:rPr>
        <w:t>Establecer si para el momento en que la parte actora efectuó el traslado del régimen de prima media al régimen de ahorro individual, existía normatividad vigente que obliga</w:t>
      </w:r>
      <w:r w:rsidR="00A526C1" w:rsidRPr="000248AD">
        <w:rPr>
          <w:rFonts w:cs="Tahoma"/>
          <w:szCs w:val="24"/>
        </w:rPr>
        <w:t>ra</w:t>
      </w:r>
      <w:r w:rsidRPr="000248AD">
        <w:rPr>
          <w:rFonts w:cs="Tahoma"/>
          <w:szCs w:val="24"/>
        </w:rPr>
        <w:t xml:space="preserve"> a la entidad administradora de pensiones a brindarle al potencial afiliado información suficiente sobre las consecuencias del cambio de régimen.</w:t>
      </w:r>
    </w:p>
    <w:p w14:paraId="0281927C" w14:textId="77777777" w:rsidR="00363345" w:rsidRPr="000248AD" w:rsidRDefault="00363345" w:rsidP="000248AD">
      <w:pPr>
        <w:spacing w:before="0" w:beforeAutospacing="0" w:after="0" w:afterAutospacing="0" w:line="276" w:lineRule="auto"/>
        <w:ind w:firstLine="708"/>
        <w:contextualSpacing/>
        <w:rPr>
          <w:rFonts w:ascii="Tahoma" w:hAnsi="Tahoma" w:cs="Tahoma"/>
        </w:rPr>
      </w:pPr>
    </w:p>
    <w:p w14:paraId="3FDD46C2" w14:textId="77777777" w:rsidR="00363345" w:rsidRPr="000248AD" w:rsidRDefault="00363345" w:rsidP="000248AD">
      <w:pPr>
        <w:pStyle w:val="Prrafodelista"/>
        <w:numPr>
          <w:ilvl w:val="0"/>
          <w:numId w:val="11"/>
        </w:numPr>
        <w:spacing w:line="276" w:lineRule="auto"/>
        <w:ind w:left="0" w:firstLine="709"/>
        <w:rPr>
          <w:rFonts w:cs="Tahoma"/>
          <w:szCs w:val="24"/>
        </w:rPr>
      </w:pPr>
      <w:r w:rsidRPr="000248AD">
        <w:rPr>
          <w:rFonts w:cs="Tahoma"/>
          <w:szCs w:val="24"/>
        </w:rPr>
        <w:t>Definir si para dar por cumplido el deber de información de las AFP es suficiente el diligenciamiento del formulario de afiliación.</w:t>
      </w:r>
    </w:p>
    <w:p w14:paraId="26F064A9" w14:textId="77777777" w:rsidR="00363345" w:rsidRPr="000248AD" w:rsidRDefault="00363345" w:rsidP="000248AD">
      <w:pPr>
        <w:spacing w:before="0" w:beforeAutospacing="0" w:after="0" w:afterAutospacing="0" w:line="276" w:lineRule="auto"/>
        <w:ind w:firstLine="708"/>
        <w:contextualSpacing/>
        <w:rPr>
          <w:rFonts w:ascii="Tahoma" w:hAnsi="Tahoma" w:cs="Tahoma"/>
        </w:rPr>
      </w:pPr>
    </w:p>
    <w:p w14:paraId="6F526C40" w14:textId="77777777" w:rsidR="00363345" w:rsidRPr="000248AD" w:rsidRDefault="00363345" w:rsidP="000248AD">
      <w:pPr>
        <w:pStyle w:val="Prrafodelista"/>
        <w:numPr>
          <w:ilvl w:val="0"/>
          <w:numId w:val="11"/>
        </w:numPr>
        <w:spacing w:line="276" w:lineRule="auto"/>
        <w:ind w:left="0" w:firstLine="709"/>
        <w:rPr>
          <w:rFonts w:cs="Tahoma"/>
          <w:szCs w:val="24"/>
        </w:rPr>
      </w:pPr>
      <w:r w:rsidRPr="000248AD">
        <w:rPr>
          <w:rFonts w:cs="Tahoma"/>
          <w:szCs w:val="24"/>
        </w:rPr>
        <w:t xml:space="preserve">Determinar la carga probatoria que les corresponde a cada una de las partes cuando está en discusión la eficacia del traslado entre regímenes pensionales. </w:t>
      </w:r>
    </w:p>
    <w:p w14:paraId="480FD0AE" w14:textId="77777777" w:rsidR="00363345" w:rsidRPr="000248AD" w:rsidRDefault="00363345" w:rsidP="000248AD">
      <w:pPr>
        <w:spacing w:before="0" w:beforeAutospacing="0" w:after="0" w:afterAutospacing="0" w:line="276" w:lineRule="auto"/>
        <w:ind w:firstLine="708"/>
        <w:contextualSpacing/>
        <w:rPr>
          <w:rFonts w:ascii="Tahoma" w:hAnsi="Tahoma" w:cs="Tahoma"/>
        </w:rPr>
      </w:pPr>
    </w:p>
    <w:p w14:paraId="21C57FC0" w14:textId="0E2CB470" w:rsidR="00363345" w:rsidRPr="000248AD" w:rsidRDefault="00363345" w:rsidP="000248AD">
      <w:pPr>
        <w:pStyle w:val="Prrafodelista"/>
        <w:numPr>
          <w:ilvl w:val="0"/>
          <w:numId w:val="11"/>
        </w:numPr>
        <w:spacing w:line="276" w:lineRule="auto"/>
        <w:ind w:left="0" w:firstLine="709"/>
        <w:rPr>
          <w:rFonts w:cs="Tahoma"/>
          <w:szCs w:val="24"/>
        </w:rPr>
      </w:pPr>
      <w:r w:rsidRPr="000248AD">
        <w:rPr>
          <w:rFonts w:cs="Tahoma"/>
          <w:szCs w:val="24"/>
        </w:rPr>
        <w:t xml:space="preserve">Analizar si quedó probado en el proceso que la parte demandante recibió de parte de la AFP demandada, la asesoría e información suficiente y necesaria para hacer el cambio de régimen. </w:t>
      </w:r>
    </w:p>
    <w:p w14:paraId="30C2A8BD" w14:textId="77777777" w:rsidR="00363345" w:rsidRPr="000248AD" w:rsidRDefault="00363345" w:rsidP="000248AD">
      <w:pPr>
        <w:spacing w:before="0" w:beforeAutospacing="0" w:after="0" w:afterAutospacing="0" w:line="276" w:lineRule="auto"/>
        <w:ind w:firstLine="708"/>
        <w:contextualSpacing/>
        <w:rPr>
          <w:rFonts w:ascii="Tahoma" w:hAnsi="Tahoma" w:cs="Tahoma"/>
        </w:rPr>
      </w:pPr>
    </w:p>
    <w:p w14:paraId="36D03925" w14:textId="5633A5EA" w:rsidR="00363345" w:rsidRPr="000248AD" w:rsidRDefault="00363345" w:rsidP="000248AD">
      <w:pPr>
        <w:pStyle w:val="Prrafodelista"/>
        <w:numPr>
          <w:ilvl w:val="0"/>
          <w:numId w:val="11"/>
        </w:numPr>
        <w:spacing w:line="276" w:lineRule="auto"/>
        <w:ind w:left="0" w:firstLine="709"/>
        <w:rPr>
          <w:rFonts w:cs="Tahoma"/>
          <w:szCs w:val="24"/>
        </w:rPr>
      </w:pPr>
      <w:r w:rsidRPr="000248AD">
        <w:rPr>
          <w:rFonts w:cs="Tahoma"/>
          <w:szCs w:val="24"/>
        </w:rPr>
        <w:t>Establecer si se debe ordenar a la</w:t>
      </w:r>
      <w:r w:rsidR="005227F3" w:rsidRPr="000248AD">
        <w:rPr>
          <w:rFonts w:cs="Tahoma"/>
          <w:szCs w:val="24"/>
        </w:rPr>
        <w:t>s</w:t>
      </w:r>
      <w:r w:rsidRPr="000248AD">
        <w:rPr>
          <w:rFonts w:cs="Tahoma"/>
          <w:szCs w:val="24"/>
        </w:rPr>
        <w:t xml:space="preserve"> AFP demandada la devolución, con cargo a sus propios recursos los gastos de administración, comisiones, cuotas de garantía de pensión mínima y seguros previsionales a Colpensiones. </w:t>
      </w:r>
    </w:p>
    <w:p w14:paraId="6D2D1C27" w14:textId="77777777" w:rsidR="00363345" w:rsidRPr="000248AD" w:rsidRDefault="00363345" w:rsidP="000248AD">
      <w:pPr>
        <w:spacing w:before="0" w:beforeAutospacing="0" w:after="0" w:afterAutospacing="0" w:line="276" w:lineRule="auto"/>
        <w:ind w:firstLine="0"/>
        <w:contextualSpacing/>
        <w:rPr>
          <w:rFonts w:ascii="Tahoma" w:hAnsi="Tahoma" w:cs="Tahoma"/>
        </w:rPr>
      </w:pPr>
    </w:p>
    <w:p w14:paraId="623FFBAD" w14:textId="4CE296F8" w:rsidR="002D01FE" w:rsidRPr="000248AD" w:rsidRDefault="002D01FE" w:rsidP="000248AD">
      <w:pPr>
        <w:pStyle w:val="Prrafodelista"/>
        <w:numPr>
          <w:ilvl w:val="0"/>
          <w:numId w:val="11"/>
        </w:numPr>
        <w:spacing w:line="276" w:lineRule="auto"/>
        <w:ind w:left="0" w:firstLine="709"/>
        <w:rPr>
          <w:rFonts w:cs="Tahoma"/>
          <w:szCs w:val="24"/>
        </w:rPr>
      </w:pPr>
      <w:r w:rsidRPr="000248AD">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78C14783" w14:textId="77777777" w:rsidR="002D01FE" w:rsidRPr="000248AD" w:rsidRDefault="002D01FE" w:rsidP="000248AD">
      <w:pPr>
        <w:pStyle w:val="Prrafodelista"/>
        <w:spacing w:line="276" w:lineRule="auto"/>
        <w:rPr>
          <w:rFonts w:cs="Tahoma"/>
          <w:szCs w:val="24"/>
        </w:rPr>
      </w:pPr>
    </w:p>
    <w:p w14:paraId="37E96C6B" w14:textId="77777777" w:rsidR="00363345" w:rsidRPr="000248AD" w:rsidRDefault="00363345" w:rsidP="000248AD">
      <w:pPr>
        <w:widowControl w:val="0"/>
        <w:numPr>
          <w:ilvl w:val="0"/>
          <w:numId w:val="5"/>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0248AD">
        <w:rPr>
          <w:rFonts w:ascii="Tahoma" w:eastAsia="Calibri" w:hAnsi="Tahoma" w:cs="Tahoma"/>
          <w:b/>
          <w:bCs/>
          <w:lang w:eastAsia="es-CO"/>
        </w:rPr>
        <w:t>Consideraciones</w:t>
      </w:r>
    </w:p>
    <w:p w14:paraId="10F104B7" w14:textId="77777777" w:rsidR="00363345" w:rsidRPr="000248AD" w:rsidRDefault="00363345" w:rsidP="000248AD">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2D855AC5" w14:textId="77777777" w:rsidR="00C4372F" w:rsidRPr="00C4372F" w:rsidRDefault="00C4372F" w:rsidP="00C4372F">
      <w:pPr>
        <w:widowControl w:val="0"/>
        <w:numPr>
          <w:ilvl w:val="1"/>
          <w:numId w:val="5"/>
        </w:numPr>
        <w:autoSpaceDE w:val="0"/>
        <w:autoSpaceDN w:val="0"/>
        <w:adjustRightInd w:val="0"/>
        <w:spacing w:before="0" w:beforeAutospacing="0" w:after="0" w:afterAutospacing="0" w:line="276" w:lineRule="auto"/>
        <w:rPr>
          <w:rFonts w:ascii="Tahoma" w:eastAsia="Calibri" w:hAnsi="Tahoma" w:cs="Tahoma"/>
          <w:b/>
          <w:bCs/>
          <w:lang w:eastAsia="es-CO"/>
        </w:rPr>
      </w:pPr>
      <w:r w:rsidRPr="00C4372F">
        <w:rPr>
          <w:rFonts w:ascii="Tahoma" w:eastAsia="Calibri" w:hAnsi="Tahoma" w:cs="Tahoma"/>
          <w:b/>
          <w:bCs/>
          <w:lang w:eastAsia="es-CO"/>
        </w:rPr>
        <w:t xml:space="preserve">Precedente vertical: la tesis de la Corte Suprema de Justicia respecto al tema de la ineficacia del traslado constituye doctrina probable </w:t>
      </w:r>
    </w:p>
    <w:p w14:paraId="6FF80E41"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1A47D9E3"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lang w:eastAsia="es-CO"/>
        </w:rPr>
        <w:t xml:space="preserve">En la actualidad existe </w:t>
      </w:r>
      <w:r w:rsidRPr="00C4372F">
        <w:rPr>
          <w:rFonts w:ascii="Tahoma" w:eastAsia="Calibri" w:hAnsi="Tahoma" w:cs="Tahoma"/>
          <w:b/>
          <w:lang w:eastAsia="es-CO"/>
        </w:rPr>
        <w:t>doctrina probable</w:t>
      </w:r>
      <w:r w:rsidRPr="00C4372F">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517EA01F"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1D1AA1F"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bCs/>
          <w:lang w:eastAsia="es-CO"/>
        </w:rPr>
        <w:t xml:space="preserve">SL 31989 del 9 sep. 2008, </w:t>
      </w:r>
      <w:r w:rsidRPr="00C4372F">
        <w:rPr>
          <w:rFonts w:ascii="Tahoma" w:eastAsia="Calibri" w:hAnsi="Tahoma" w:cs="Tahoma"/>
          <w:lang w:eastAsia="es-CO"/>
        </w:rPr>
        <w:t xml:space="preserve">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w:t>
      </w:r>
      <w:r w:rsidRPr="00C4372F">
        <w:rPr>
          <w:rFonts w:ascii="Tahoma" w:eastAsia="Calibri" w:hAnsi="Tahoma" w:cs="Tahoma"/>
          <w:lang w:eastAsia="es-CO"/>
        </w:rPr>
        <w:lastRenderedPageBreak/>
        <w:t>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6378071B"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EB57839"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lang w:eastAsia="es-CO"/>
        </w:rPr>
        <w:t xml:space="preserve">En términos generales, en todas estas sentencias se determinó </w:t>
      </w:r>
      <w:r w:rsidRPr="00C4372F">
        <w:rPr>
          <w:rFonts w:ascii="Tahoma" w:eastAsia="Calibri" w:hAnsi="Tahoma" w:cs="Tahoma"/>
          <w:i/>
          <w:lang w:eastAsia="es-CO"/>
        </w:rPr>
        <w:t xml:space="preserve">i) </w:t>
      </w:r>
      <w:r w:rsidRPr="00C4372F">
        <w:rPr>
          <w:rFonts w:ascii="Tahoma" w:eastAsia="Calibri" w:hAnsi="Tahoma" w:cs="Tahoma"/>
          <w:lang w:eastAsia="es-CO"/>
        </w:rPr>
        <w:t xml:space="preserve">el alcance del deber de información a cargo de las Administradoras de Fondos de Pensiones, </w:t>
      </w:r>
      <w:r w:rsidRPr="00C4372F">
        <w:rPr>
          <w:rFonts w:ascii="Tahoma" w:eastAsia="Calibri" w:hAnsi="Tahoma" w:cs="Tahoma"/>
          <w:i/>
          <w:lang w:eastAsia="es-CO"/>
        </w:rPr>
        <w:t xml:space="preserve">ii) </w:t>
      </w:r>
      <w:r w:rsidRPr="00C4372F">
        <w:rPr>
          <w:rFonts w:ascii="Tahoma" w:eastAsia="Calibri" w:hAnsi="Tahoma" w:cs="Tahoma"/>
          <w:lang w:eastAsia="es-CO"/>
        </w:rPr>
        <w:t xml:space="preserve">la procedencia de la ineficacia del traslado, </w:t>
      </w:r>
      <w:r w:rsidRPr="00C4372F">
        <w:rPr>
          <w:rFonts w:ascii="Tahoma" w:eastAsia="Calibri" w:hAnsi="Tahoma" w:cs="Tahoma"/>
          <w:i/>
          <w:lang w:eastAsia="es-CO"/>
        </w:rPr>
        <w:t xml:space="preserve">iii) </w:t>
      </w:r>
      <w:r w:rsidRPr="00C4372F">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62D1CBEA"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588CC77" w14:textId="77777777" w:rsidR="00C4372F" w:rsidRPr="00C4372F" w:rsidRDefault="00C4372F" w:rsidP="00C4372F">
      <w:pPr>
        <w:widowControl w:val="0"/>
        <w:numPr>
          <w:ilvl w:val="1"/>
          <w:numId w:val="5"/>
        </w:numPr>
        <w:autoSpaceDE w:val="0"/>
        <w:autoSpaceDN w:val="0"/>
        <w:adjustRightInd w:val="0"/>
        <w:spacing w:before="0" w:beforeAutospacing="0" w:after="0" w:afterAutospacing="0" w:line="276" w:lineRule="auto"/>
        <w:rPr>
          <w:rFonts w:ascii="Tahoma" w:eastAsia="Calibri" w:hAnsi="Tahoma" w:cs="Tahoma"/>
          <w:b/>
          <w:iCs/>
          <w:lang w:eastAsia="es-CO"/>
        </w:rPr>
      </w:pPr>
      <w:r w:rsidRPr="00C4372F">
        <w:rPr>
          <w:rFonts w:ascii="Tahoma" w:eastAsia="Calibri" w:hAnsi="Tahoma" w:cs="Tahoma"/>
          <w:b/>
          <w:iCs/>
          <w:lang w:eastAsia="es-CO"/>
        </w:rPr>
        <w:t>“El deber de información a cargo de las administradoras de fondos de pensiones: Un deber exigible desde su creación</w:t>
      </w:r>
      <w:r w:rsidRPr="00C4372F">
        <w:rPr>
          <w:rFonts w:ascii="Tahoma" w:eastAsia="Calibri" w:hAnsi="Tahoma" w:cs="Tahoma"/>
          <w:b/>
          <w:iCs/>
          <w:vertAlign w:val="superscript"/>
          <w:lang w:eastAsia="es-CO"/>
        </w:rPr>
        <w:footnoteReference w:id="2"/>
      </w:r>
      <w:r w:rsidRPr="00C4372F">
        <w:rPr>
          <w:rFonts w:ascii="Tahoma" w:eastAsia="Calibri" w:hAnsi="Tahoma" w:cs="Tahoma"/>
          <w:b/>
          <w:iCs/>
          <w:lang w:eastAsia="es-CO"/>
        </w:rPr>
        <w:t>”</w:t>
      </w:r>
    </w:p>
    <w:p w14:paraId="0C18BFC2"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2C8136BE"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C4372F">
        <w:rPr>
          <w:rFonts w:ascii="Tahoma" w:eastAsia="Calibri" w:hAnsi="Tahoma" w:cs="Tahoma"/>
          <w:u w:val="single"/>
          <w:lang w:eastAsia="es-CO"/>
        </w:rPr>
        <w:t>debida diligencia y cuidado</w:t>
      </w:r>
      <w:r w:rsidRPr="00C4372F">
        <w:rPr>
          <w:rFonts w:ascii="Tahoma" w:eastAsia="Calibri" w:hAnsi="Tahoma" w:cs="Tahoma"/>
          <w:lang w:eastAsia="es-CO"/>
        </w:rPr>
        <w:t xml:space="preserve"> incumbe a quien ha debido emplearla, atendiendo a las siguientes razones:</w:t>
      </w:r>
    </w:p>
    <w:p w14:paraId="741DD283"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721F456" w14:textId="77777777" w:rsidR="00C4372F" w:rsidRPr="00C4372F" w:rsidRDefault="00C4372F" w:rsidP="00C4372F">
      <w:pPr>
        <w:widowControl w:val="0"/>
        <w:numPr>
          <w:ilvl w:val="0"/>
          <w:numId w:val="10"/>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4372F">
        <w:rPr>
          <w:rFonts w:ascii="Tahoma" w:eastAsia="Calibri" w:hAnsi="Tahoma" w:cs="Tahoma"/>
          <w:lang w:eastAsia="es-CO"/>
        </w:rPr>
        <w:t xml:space="preserve">Las Administradoras de Fondos de Pensiones tienen deberes de carácter profesional con sus afiliados y con los consumidores del mercado potencial en general. Además, sus actividades se encuentran reguladas por el </w:t>
      </w:r>
      <w:r w:rsidRPr="00C4372F">
        <w:rPr>
          <w:rFonts w:ascii="Tahoma" w:eastAsia="Calibri" w:hAnsi="Tahoma" w:cs="Tahoma"/>
          <w:u w:val="single"/>
          <w:lang w:eastAsia="es-CO"/>
        </w:rPr>
        <w:t>Decreto 663 de 1993</w:t>
      </w:r>
      <w:r w:rsidRPr="00C4372F">
        <w:rPr>
          <w:rFonts w:ascii="Tahoma" w:hAnsi="Tahoma" w:cs="Tahoma"/>
          <w:u w:val="single"/>
          <w:vertAlign w:val="superscript"/>
          <w:lang w:eastAsia="es-CO"/>
        </w:rPr>
        <w:footnoteReference w:id="3"/>
      </w:r>
      <w:r w:rsidRPr="00C4372F">
        <w:rPr>
          <w:rFonts w:ascii="Tahoma" w:eastAsia="Calibri" w:hAnsi="Tahoma" w:cs="Tahoma"/>
          <w:lang w:eastAsia="es-CO"/>
        </w:rPr>
        <w:t>, norma en la que se destaca la importancia de los principios de debida diligencia, transparencia e información cierta, suficiente y oportuna.</w:t>
      </w:r>
    </w:p>
    <w:p w14:paraId="2CA74DC0" w14:textId="77777777" w:rsidR="00C4372F" w:rsidRPr="00C4372F" w:rsidRDefault="00C4372F" w:rsidP="00C4372F">
      <w:pPr>
        <w:widowControl w:val="0"/>
        <w:autoSpaceDE w:val="0"/>
        <w:autoSpaceDN w:val="0"/>
        <w:adjustRightInd w:val="0"/>
        <w:spacing w:before="0" w:beforeAutospacing="0" w:after="0" w:afterAutospacing="0" w:line="276" w:lineRule="auto"/>
        <w:ind w:left="720" w:firstLine="0"/>
        <w:contextualSpacing/>
        <w:rPr>
          <w:rFonts w:ascii="Tahoma" w:eastAsia="Calibri" w:hAnsi="Tahoma" w:cs="Tahoma"/>
          <w:lang w:eastAsia="es-CO"/>
        </w:rPr>
      </w:pPr>
    </w:p>
    <w:p w14:paraId="295E95AB" w14:textId="77777777" w:rsidR="00C4372F" w:rsidRPr="00C4372F" w:rsidRDefault="00C4372F" w:rsidP="00C4372F">
      <w:pPr>
        <w:widowControl w:val="0"/>
        <w:numPr>
          <w:ilvl w:val="0"/>
          <w:numId w:val="10"/>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4372F">
        <w:rPr>
          <w:rFonts w:ascii="Tahoma" w:eastAsia="Calibri" w:hAnsi="Tahoma" w:cs="Tahoma"/>
          <w:lang w:eastAsia="es-CO"/>
        </w:rPr>
        <w:t xml:space="preserve">Adicionalmente, se tiene previsto en el artículo 12 del Decreto 720 de 1994, que los promotores que empleen las sociedades administradoras del sistema general de pensiones deberán suministrar </w:t>
      </w:r>
      <w:r w:rsidRPr="00C4372F">
        <w:rPr>
          <w:rFonts w:ascii="Tahoma" w:eastAsia="Calibri" w:hAnsi="Tahoma" w:cs="Tahoma"/>
          <w:u w:val="single"/>
          <w:lang w:eastAsia="es-CO"/>
        </w:rPr>
        <w:t>suficiente, amplia y oportuna</w:t>
      </w:r>
      <w:r w:rsidRPr="00C4372F">
        <w:rPr>
          <w:rFonts w:ascii="Tahoma" w:eastAsia="Calibri" w:hAnsi="Tahoma" w:cs="Tahoma"/>
          <w:lang w:eastAsia="es-CO"/>
        </w:rPr>
        <w:t xml:space="preserve"> información a los posibles afiliados al momento de la promoción de la afiliación y durante toda la vinculación con ocasión de las prestaciones a las cuales tenga derecho el afiliado. </w:t>
      </w:r>
    </w:p>
    <w:p w14:paraId="2CA08F93" w14:textId="77777777" w:rsidR="00C4372F" w:rsidRPr="00C4372F" w:rsidRDefault="00C4372F" w:rsidP="00C4372F">
      <w:pPr>
        <w:spacing w:before="0" w:beforeAutospacing="0" w:after="0" w:afterAutospacing="0" w:line="276" w:lineRule="auto"/>
        <w:ind w:left="720" w:firstLine="0"/>
        <w:contextualSpacing/>
        <w:rPr>
          <w:rFonts w:ascii="Tahoma" w:eastAsia="Calibri" w:hAnsi="Tahoma" w:cs="Tahoma"/>
          <w:lang w:eastAsia="es-CO"/>
        </w:rPr>
      </w:pPr>
    </w:p>
    <w:p w14:paraId="26B0B4B3" w14:textId="77777777" w:rsidR="00C4372F" w:rsidRPr="00C4372F" w:rsidRDefault="00C4372F" w:rsidP="00C4372F">
      <w:pPr>
        <w:widowControl w:val="0"/>
        <w:numPr>
          <w:ilvl w:val="0"/>
          <w:numId w:val="10"/>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4372F">
        <w:rPr>
          <w:rFonts w:ascii="Tahoma" w:eastAsia="Calibri" w:hAnsi="Tahoma" w:cs="Tahoma"/>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6410F6A4" w14:textId="77777777" w:rsidR="00C4372F" w:rsidRPr="00C4372F" w:rsidRDefault="00C4372F" w:rsidP="00C4372F">
      <w:pPr>
        <w:spacing w:before="0" w:beforeAutospacing="0" w:after="0" w:afterAutospacing="0" w:line="276" w:lineRule="auto"/>
        <w:ind w:left="720" w:firstLine="0"/>
        <w:contextualSpacing/>
        <w:rPr>
          <w:rFonts w:ascii="Tahoma" w:eastAsia="Calibri" w:hAnsi="Tahoma" w:cs="Tahoma"/>
          <w:lang w:eastAsia="es-CO"/>
        </w:rPr>
      </w:pPr>
    </w:p>
    <w:p w14:paraId="79D2D395" w14:textId="77777777" w:rsidR="00C4372F" w:rsidRPr="00C4372F" w:rsidRDefault="00C4372F" w:rsidP="00C4372F">
      <w:pPr>
        <w:widowControl w:val="0"/>
        <w:numPr>
          <w:ilvl w:val="0"/>
          <w:numId w:val="10"/>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4372F">
        <w:rPr>
          <w:rFonts w:ascii="Tahoma" w:eastAsia="Calibri" w:hAnsi="Tahoma" w:cs="Tahoma"/>
          <w:lang w:eastAsia="es-CO"/>
        </w:rPr>
        <w:t xml:space="preserve">En numerosas sentencias del órgano de cierre de la jurisdicción ordinaria laboral, se ha establecido que no puede argüirse que </w:t>
      </w:r>
      <w:r w:rsidRPr="00C4372F">
        <w:rPr>
          <w:rFonts w:ascii="Tahoma" w:eastAsia="Calibri" w:hAnsi="Tahoma" w:cs="Tahoma"/>
          <w:iCs/>
          <w:lang w:eastAsia="es-CO"/>
        </w:rPr>
        <w:t xml:space="preserve">existe una manifestación libre y voluntaria cuando las personas desconocen la incidencia que el traslado </w:t>
      </w:r>
      <w:r w:rsidRPr="00C4372F">
        <w:rPr>
          <w:rFonts w:ascii="Tahoma" w:eastAsia="Calibri" w:hAnsi="Tahoma" w:cs="Tahoma"/>
          <w:iCs/>
          <w:lang w:eastAsia="es-CO"/>
        </w:rPr>
        <w:lastRenderedPageBreak/>
        <w:t xml:space="preserve">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C4372F">
        <w:rPr>
          <w:rFonts w:ascii="Tahoma" w:eastAsia="Calibri" w:hAnsi="Tahoma" w:cs="Tahoma"/>
          <w:i/>
          <w:iCs/>
          <w:lang w:eastAsia="es-CO"/>
        </w:rPr>
        <w:t>“</w:t>
      </w:r>
      <w:r w:rsidRPr="00C4372F">
        <w:rPr>
          <w:rFonts w:ascii="Tahoma" w:eastAsia="Calibri" w:hAnsi="Tahoma" w:cs="Tahoma"/>
          <w:i/>
          <w:iCs/>
          <w:u w:val="single"/>
          <w:lang w:eastAsia="es-CO"/>
        </w:rPr>
        <w:t>dar cuenta de que documentaron clara y suficientemente los efectos que acarrea el cambio de régimen, so pena de declarar ineficaz ese tránsito.”</w:t>
      </w:r>
    </w:p>
    <w:p w14:paraId="280BEB73" w14:textId="77777777" w:rsidR="00C4372F" w:rsidRPr="00C4372F" w:rsidRDefault="00C4372F" w:rsidP="00C4372F">
      <w:pPr>
        <w:spacing w:before="0" w:beforeAutospacing="0" w:after="0" w:afterAutospacing="0" w:line="276" w:lineRule="auto"/>
        <w:ind w:left="720" w:firstLine="0"/>
        <w:contextualSpacing/>
        <w:rPr>
          <w:rFonts w:ascii="Tahoma" w:eastAsia="Calibri" w:hAnsi="Tahoma" w:cs="Tahoma"/>
          <w:iCs/>
          <w:lang w:eastAsia="es-CO"/>
        </w:rPr>
      </w:pPr>
    </w:p>
    <w:p w14:paraId="6C54590A" w14:textId="77777777" w:rsidR="00C4372F" w:rsidRPr="00C4372F" w:rsidRDefault="00C4372F" w:rsidP="00C4372F">
      <w:pPr>
        <w:widowControl w:val="0"/>
        <w:numPr>
          <w:ilvl w:val="0"/>
          <w:numId w:val="10"/>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4372F">
        <w:rPr>
          <w:rFonts w:ascii="Tahoma" w:eastAsia="Calibri" w:hAnsi="Tahoma" w:cs="Tahoma"/>
          <w:iCs/>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7AE8D2A9"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0E68B50"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C4372F">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377B67E3"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144D318E"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C4372F">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7072D000"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FA291C6" w14:textId="321FE35E" w:rsidR="00C4372F" w:rsidRPr="00C4372F" w:rsidRDefault="002176A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176AF">
        <w:rPr>
          <w:rFonts w:ascii="Tahoma" w:eastAsia="Calibri" w:hAnsi="Tahoma" w:cs="Tahoma"/>
          <w:lang w:eastAsia="es-CO"/>
        </w:rPr>
        <w:t>Ahora bien, como quiera que uno de los argumentos de la defensa de las AFP es que la normatividad del deber de información se ha venido dando paulatinamente, v</w:t>
      </w:r>
      <w:r w:rsidR="00C4372F" w:rsidRPr="00C4372F">
        <w:rPr>
          <w:rFonts w:ascii="Tahoma" w:eastAsia="Calibri" w:hAnsi="Tahoma" w:cs="Tahoma"/>
          <w:lang w:eastAsia="es-CO"/>
        </w:rPr>
        <w:t xml:space="preserve">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00C4372F" w:rsidRPr="00C4372F">
        <w:rPr>
          <w:rFonts w:ascii="Tahoma" w:eastAsia="Calibri" w:hAnsi="Tahoma" w:cs="Tahoma"/>
          <w:b/>
          <w:lang w:eastAsia="es-CO"/>
        </w:rPr>
        <w:t xml:space="preserve">necesaria y transparente, </w:t>
      </w:r>
      <w:r w:rsidR="00C4372F" w:rsidRPr="00C4372F">
        <w:rPr>
          <w:rFonts w:ascii="Tahoma" w:eastAsia="Calibri" w:hAnsi="Tahoma" w:cs="Tahoma"/>
          <w:lang w:eastAsia="es-CO"/>
        </w:rPr>
        <w:t xml:space="preserve">que con el transcurrir del tiempo esta exigencia cambió, pasando de un deber de información necesaria al de </w:t>
      </w:r>
      <w:r w:rsidR="00C4372F" w:rsidRPr="00C4372F">
        <w:rPr>
          <w:rFonts w:ascii="Tahoma" w:eastAsia="Calibri" w:hAnsi="Tahoma" w:cs="Tahoma"/>
          <w:b/>
          <w:lang w:eastAsia="es-CO"/>
        </w:rPr>
        <w:t>asesoría y buen consejo</w:t>
      </w:r>
      <w:r w:rsidR="00C4372F" w:rsidRPr="00C4372F">
        <w:rPr>
          <w:rFonts w:ascii="Tahoma" w:eastAsia="Calibri" w:hAnsi="Tahoma" w:cs="Tahoma"/>
          <w:lang w:eastAsia="es-CO"/>
        </w:rPr>
        <w:t xml:space="preserve">, y finalmente al de </w:t>
      </w:r>
      <w:r w:rsidR="00C4372F" w:rsidRPr="00C4372F">
        <w:rPr>
          <w:rFonts w:ascii="Tahoma" w:eastAsia="Calibri" w:hAnsi="Tahoma" w:cs="Tahoma"/>
          <w:b/>
          <w:lang w:eastAsia="es-CO"/>
        </w:rPr>
        <w:t>doble asesoría</w:t>
      </w:r>
      <w:r w:rsidR="00C4372F" w:rsidRPr="00C4372F">
        <w:rPr>
          <w:rFonts w:ascii="Tahoma" w:eastAsia="Calibri" w:hAnsi="Tahoma" w:cs="Tahoma"/>
          <w:lang w:eastAsia="es-CO"/>
        </w:rPr>
        <w:t>, explicando en qué consiste cada uno de esos conceptos. Dicho recuento histórico, se compendia de la siguiente manera:</w:t>
      </w:r>
    </w:p>
    <w:p w14:paraId="1ABF49D9"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780D97B"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652420B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C4372F" w:rsidRPr="00C4372F" w14:paraId="5B757FF6"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360909CB"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13C97263"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 xml:space="preserve">Normas que obligan a las administradoras de pensiones a </w:t>
            </w:r>
            <w:r w:rsidRPr="00C4372F">
              <w:rPr>
                <w:rFonts w:ascii="Tahoma" w:eastAsia="Tahoma" w:hAnsi="Tahoma" w:cs="Tahoma"/>
                <w:i/>
                <w:iCs/>
                <w:lang w:eastAsia="es-MX"/>
              </w:rPr>
              <w:lastRenderedPageBreak/>
              <w:t>dar información</w:t>
            </w:r>
          </w:p>
        </w:tc>
        <w:tc>
          <w:tcPr>
            <w:tcW w:w="3544" w:type="dxa"/>
            <w:tcBorders>
              <w:top w:val="single" w:sz="4" w:space="0" w:color="auto"/>
              <w:left w:val="single" w:sz="4" w:space="0" w:color="auto"/>
              <w:bottom w:val="single" w:sz="4" w:space="0" w:color="auto"/>
              <w:right w:val="single" w:sz="4" w:space="0" w:color="auto"/>
            </w:tcBorders>
            <w:hideMark/>
          </w:tcPr>
          <w:p w14:paraId="3235F7F0"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lastRenderedPageBreak/>
              <w:t>Contenido mínimo y alcance del deber de información</w:t>
            </w:r>
          </w:p>
        </w:tc>
      </w:tr>
      <w:tr w:rsidR="00C4372F" w:rsidRPr="00C4372F" w14:paraId="56203760"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45BAEF09"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lastRenderedPageBreak/>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2F7110F9"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Arts. 13 literal b), 271 y 272 de la Ley 100 de 1993</w:t>
            </w:r>
          </w:p>
          <w:p w14:paraId="1FA4FF18"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p>
          <w:p w14:paraId="17DAFF02"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Art. 97, numeral 1.° del Decreto 663 de 1993, modificado por el artículo 23 de la Ley 797 de 2003</w:t>
            </w:r>
          </w:p>
          <w:p w14:paraId="4775A78C"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p>
          <w:p w14:paraId="07A98C11"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0E6F125D"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bookmarkStart w:id="3" w:name="_Hlk109250046"/>
            <w:r w:rsidRPr="00C4372F">
              <w:rPr>
                <w:rFonts w:ascii="Tahoma" w:eastAsia="Tahoma" w:hAnsi="Tahoma" w:cs="Tahoma"/>
                <w:i/>
                <w:iCs/>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3"/>
          </w:p>
        </w:tc>
      </w:tr>
      <w:tr w:rsidR="00C4372F" w:rsidRPr="00C4372F" w14:paraId="77C4A2AD"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2CF9438E"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71A164B7"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Artículo 3.°, literal c) de la Ley 1328 de 2009</w:t>
            </w:r>
          </w:p>
          <w:p w14:paraId="57A1C148"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p>
          <w:p w14:paraId="7380CA49"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2EDD3846"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C4372F" w:rsidRPr="00C4372F" w14:paraId="77CEE93D"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4DA1D177"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53ED9D91"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Ley 1748 de 2014</w:t>
            </w:r>
          </w:p>
          <w:p w14:paraId="5DC2AD9F"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p>
          <w:p w14:paraId="108BA6D3"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Artículo 3.° del Decreto 2071 de 2015</w:t>
            </w:r>
          </w:p>
          <w:p w14:paraId="588B9C01"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p>
          <w:p w14:paraId="7EECCAC5"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5D2BE3CC" w14:textId="77777777" w:rsidR="00C4372F" w:rsidRPr="00C4372F" w:rsidRDefault="00C4372F" w:rsidP="00C4372F">
            <w:pPr>
              <w:widowControl w:val="0"/>
              <w:autoSpaceDE w:val="0"/>
              <w:autoSpaceDN w:val="0"/>
              <w:adjustRightInd w:val="0"/>
              <w:ind w:left="426" w:right="420"/>
              <w:rPr>
                <w:rFonts w:ascii="Tahoma" w:eastAsia="Tahoma" w:hAnsi="Tahoma" w:cs="Tahoma"/>
                <w:i/>
                <w:iCs/>
                <w:lang w:eastAsia="es-MX"/>
              </w:rPr>
            </w:pPr>
            <w:r w:rsidRPr="00C4372F">
              <w:rPr>
                <w:rFonts w:ascii="Tahoma" w:eastAsia="Tahoma" w:hAnsi="Tahoma" w:cs="Tahoma"/>
                <w:i/>
                <w:iCs/>
                <w:lang w:eastAsia="es-MX"/>
              </w:rPr>
              <w:t>Junto con lo anterior, lleva inmerso el derecho a obtener asesoría de los representantes de ambos regímenes pensionales.</w:t>
            </w:r>
          </w:p>
        </w:tc>
      </w:tr>
    </w:tbl>
    <w:p w14:paraId="57D6CB16"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6639E3A1"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C4372F">
        <w:rPr>
          <w:rFonts w:ascii="Tahoma" w:eastAsia="Calibri" w:hAnsi="Tahoma" w:cs="Tahoma"/>
          <w:b/>
          <w:i/>
          <w:sz w:val="22"/>
          <w:lang w:eastAsia="es-CO"/>
        </w:rPr>
        <w:t>1.4 Conclusión: La constatación del deber de información es ineludible</w:t>
      </w:r>
    </w:p>
    <w:p w14:paraId="55DE931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56BEDADC"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Según se pudo advertir del anterior recuento, </w:t>
      </w:r>
      <w:r w:rsidRPr="00C4372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C4372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w:t>
      </w:r>
      <w:r w:rsidRPr="00C4372F">
        <w:rPr>
          <w:rFonts w:ascii="Tahoma" w:eastAsia="Calibri" w:hAnsi="Tahoma" w:cs="Tahoma"/>
          <w:i/>
          <w:sz w:val="22"/>
          <w:lang w:eastAsia="es-CO"/>
        </w:rPr>
        <w:lastRenderedPageBreak/>
        <w:t xml:space="preserve">perder de vista que este desde un inicio ha existido. </w:t>
      </w:r>
    </w:p>
    <w:p w14:paraId="72DF1883"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3BC5DB0"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1C630BC5"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1EC74E86"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Adicionalmente, la Sala no puede pasar por alto la indebida fundamentación con la que </w:t>
      </w:r>
      <w:r w:rsidRPr="00C4372F">
        <w:rPr>
          <w:rFonts w:ascii="Tahoma" w:eastAsia="Calibri" w:hAnsi="Tahoma" w:cs="Tahoma"/>
          <w:bCs/>
          <w:i/>
          <w:sz w:val="22"/>
          <w:lang w:eastAsia="es-CO"/>
        </w:rPr>
        <w:t>la Sala Primera de Decisión Laboral del Tribunal de Medellín</w:t>
      </w:r>
      <w:r w:rsidRPr="00C4372F">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5F1C28DE"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658C3B5" w14:textId="77777777" w:rsidR="00C4372F" w:rsidRPr="00C4372F" w:rsidRDefault="00C4372F" w:rsidP="00C4372F">
      <w:pPr>
        <w:widowControl w:val="0"/>
        <w:numPr>
          <w:ilvl w:val="1"/>
          <w:numId w:val="5"/>
        </w:numPr>
        <w:autoSpaceDE w:val="0"/>
        <w:autoSpaceDN w:val="0"/>
        <w:adjustRightInd w:val="0"/>
        <w:spacing w:before="0" w:beforeAutospacing="0" w:after="0" w:afterAutospacing="0" w:line="276" w:lineRule="auto"/>
        <w:rPr>
          <w:rFonts w:ascii="Tahoma" w:eastAsia="Calibri" w:hAnsi="Tahoma" w:cs="Tahoma"/>
          <w:iCs/>
          <w:lang w:eastAsia="es-CO"/>
        </w:rPr>
      </w:pPr>
      <w:r w:rsidRPr="00C4372F">
        <w:rPr>
          <w:rFonts w:ascii="Tahoma" w:eastAsia="Calibri" w:hAnsi="Tahoma" w:cs="Tahoma"/>
          <w:b/>
          <w:iCs/>
          <w:lang w:eastAsia="es-CO"/>
        </w:rPr>
        <w:t xml:space="preserve">“El simple consentimiento vertido en el formulario de afiliación es insuficiente – Necesidad de un consentimiento informado” </w:t>
      </w:r>
      <w:r w:rsidRPr="00C4372F">
        <w:rPr>
          <w:rFonts w:ascii="Tahoma" w:eastAsia="Calibri" w:hAnsi="Tahoma" w:cs="Tahoma"/>
          <w:b/>
          <w:iCs/>
          <w:vertAlign w:val="superscript"/>
          <w:lang w:eastAsia="es-CO"/>
        </w:rPr>
        <w:footnoteReference w:id="4"/>
      </w:r>
      <w:r w:rsidRPr="00C4372F">
        <w:rPr>
          <w:rFonts w:ascii="Tahoma" w:eastAsia="Calibri" w:hAnsi="Tahoma" w:cs="Tahoma"/>
          <w:iCs/>
          <w:lang w:eastAsia="es-CO"/>
        </w:rPr>
        <w:t xml:space="preserve"> </w:t>
      </w:r>
    </w:p>
    <w:p w14:paraId="2658E8A6"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BE1DF61"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C4372F">
        <w:rPr>
          <w:rFonts w:ascii="Tahoma" w:eastAsia="Calibri" w:hAnsi="Tahoma" w:cs="Tahoma"/>
          <w:b/>
          <w:lang w:eastAsia="es-CO"/>
        </w:rPr>
        <w:t>pero no informado</w:t>
      </w:r>
      <w:r w:rsidRPr="00C4372F">
        <w:rPr>
          <w:rFonts w:ascii="Tahoma" w:eastAsia="Calibri" w:hAnsi="Tahoma" w:cs="Tahoma"/>
          <w:lang w:eastAsia="es-CO"/>
        </w:rPr>
        <w:t xml:space="preserve">, tal como se expresa a continuación: </w:t>
      </w:r>
    </w:p>
    <w:p w14:paraId="6343531E"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8D89FA9"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1971D03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3E4E96B1"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67F7D8AB"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A400631"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753A591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A79D380"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0EB3BC3B"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2048D809"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C4372F">
        <w:rPr>
          <w:rFonts w:ascii="Tahoma" w:eastAsia="Calibri" w:hAnsi="Tahoma" w:cs="Tahoma"/>
          <w:bCs/>
          <w:lang w:eastAsia="es-CO"/>
        </w:rPr>
        <w:t xml:space="preserve">Como se dijo en precedencia, el tema de la suscripción del formulario de traslado como única prueba para desvirtuar la negligencia en la remisión de información al afiliado, ha sido analizado en múltiples fallos de la Sala de Casación de </w:t>
      </w:r>
      <w:r w:rsidRPr="00C4372F">
        <w:rPr>
          <w:rFonts w:ascii="Tahoma" w:eastAsia="Calibri" w:hAnsi="Tahoma" w:cs="Tahoma"/>
          <w:bCs/>
          <w:lang w:eastAsia="es-CO"/>
        </w:rPr>
        <w:lastRenderedPageBreak/>
        <w:t>la Corte Suprema de Justicia, entre estas sentencias, está la providencia CSJ SL12136-2014 en la que se dijo lo siguiente:</w:t>
      </w:r>
    </w:p>
    <w:p w14:paraId="25949861"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50A6832D"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1F032932" w14:textId="77777777" w:rsidR="00C4372F" w:rsidRPr="00C4372F" w:rsidRDefault="00C4372F" w:rsidP="00C4372F">
      <w:pPr>
        <w:widowControl w:val="0"/>
        <w:autoSpaceDE w:val="0"/>
        <w:autoSpaceDN w:val="0"/>
        <w:adjustRightInd w:val="0"/>
        <w:spacing w:before="0" w:beforeAutospacing="0" w:after="0" w:afterAutospacing="0"/>
        <w:ind w:firstLine="0"/>
        <w:rPr>
          <w:rFonts w:ascii="Tahoma" w:eastAsia="Calibri" w:hAnsi="Tahoma" w:cs="Tahoma"/>
          <w:bCs/>
          <w:lang w:eastAsia="es-CO"/>
        </w:rPr>
      </w:pPr>
    </w:p>
    <w:p w14:paraId="57502074" w14:textId="77777777" w:rsidR="00C4372F" w:rsidRPr="00C4372F" w:rsidRDefault="00C4372F" w:rsidP="00C4372F">
      <w:pPr>
        <w:widowControl w:val="0"/>
        <w:numPr>
          <w:ilvl w:val="1"/>
          <w:numId w:val="5"/>
        </w:numPr>
        <w:autoSpaceDE w:val="0"/>
        <w:autoSpaceDN w:val="0"/>
        <w:adjustRightInd w:val="0"/>
        <w:spacing w:before="0" w:beforeAutospacing="0" w:after="0" w:afterAutospacing="0" w:line="276" w:lineRule="auto"/>
        <w:rPr>
          <w:rFonts w:ascii="Tahoma" w:eastAsia="Calibri" w:hAnsi="Tahoma" w:cs="Tahoma"/>
          <w:b/>
          <w:iCs/>
          <w:lang w:eastAsia="es-CO"/>
        </w:rPr>
      </w:pPr>
      <w:bookmarkStart w:id="4" w:name="_Hlk109243055"/>
      <w:bookmarkStart w:id="5" w:name="_Hlk109255998"/>
      <w:r w:rsidRPr="00C4372F">
        <w:rPr>
          <w:rFonts w:ascii="Tahoma" w:eastAsia="Calibri" w:hAnsi="Tahoma" w:cs="Tahoma"/>
          <w:b/>
          <w:iCs/>
          <w:lang w:eastAsia="es-CO"/>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37F9F24F" w14:textId="77777777" w:rsidR="00C4372F" w:rsidRPr="00C4372F" w:rsidRDefault="00C4372F" w:rsidP="00C4372F">
      <w:pPr>
        <w:widowControl w:val="0"/>
        <w:autoSpaceDE w:val="0"/>
        <w:autoSpaceDN w:val="0"/>
        <w:adjustRightInd w:val="0"/>
        <w:spacing w:before="0" w:beforeAutospacing="0" w:after="0" w:afterAutospacing="0" w:line="276" w:lineRule="auto"/>
        <w:ind w:left="1429" w:firstLine="0"/>
        <w:contextualSpacing/>
        <w:rPr>
          <w:rFonts w:ascii="Tahoma" w:eastAsia="Calibri" w:hAnsi="Tahoma" w:cs="Tahoma"/>
          <w:b/>
          <w:bCs/>
          <w:lang w:eastAsia="es-CO"/>
        </w:rPr>
      </w:pPr>
    </w:p>
    <w:bookmarkEnd w:id="4"/>
    <w:p w14:paraId="0AD19752" w14:textId="77777777" w:rsidR="00C4372F" w:rsidRPr="00C4372F" w:rsidRDefault="00C4372F" w:rsidP="00C4372F">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C4372F">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C4372F">
        <w:rPr>
          <w:rFonts w:ascii="Tahoma" w:eastAsia="Calibri" w:hAnsi="Tahoma" w:cs="Tahoma"/>
          <w:bCs/>
          <w:vertAlign w:val="superscript"/>
          <w:lang w:eastAsia="es-CO"/>
        </w:rPr>
        <w:footnoteReference w:id="5"/>
      </w:r>
      <w:r w:rsidRPr="00C4372F">
        <w:rPr>
          <w:rFonts w:ascii="Tahoma" w:eastAsia="Calibri" w:hAnsi="Tahoma" w:cs="Tahoma"/>
          <w:bCs/>
          <w:lang w:eastAsia="es-CO"/>
        </w:rPr>
        <w:t xml:space="preserve"> que memora la sentencia CSJ SL, 9 sep. 2008, rad. 31989 expuso:</w:t>
      </w:r>
    </w:p>
    <w:p w14:paraId="25A6D75E"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0CA0FBE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16ED9794"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33DCD27F" w14:textId="77777777" w:rsidR="00C4372F" w:rsidRPr="00C4372F" w:rsidRDefault="00C4372F" w:rsidP="00C4372F">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C4372F">
        <w:rPr>
          <w:rFonts w:ascii="Tahoma" w:eastAsia="Calibri" w:hAnsi="Tahoma" w:cs="Tahoma"/>
          <w:bCs/>
          <w:lang w:eastAsia="es-CO"/>
        </w:rPr>
        <w:t>En este orden de ideas, en la sentencia CSJ SL 5686 de 2021</w:t>
      </w:r>
      <w:r w:rsidRPr="00C4372F">
        <w:rPr>
          <w:rFonts w:ascii="Tahoma" w:eastAsia="Calibri" w:hAnsi="Tahoma" w:cs="Tahoma"/>
          <w:bCs/>
          <w:vertAlign w:val="superscript"/>
          <w:lang w:eastAsia="es-CO"/>
        </w:rPr>
        <w:footnoteReference w:id="6"/>
      </w:r>
      <w:r w:rsidRPr="00C4372F">
        <w:rPr>
          <w:rFonts w:ascii="Tahoma" w:eastAsia="Calibri" w:hAnsi="Tahoma" w:cs="Tahoma"/>
          <w:bCs/>
          <w:lang w:eastAsia="es-CO"/>
        </w:rPr>
        <w:t xml:space="preserve"> traída a colación en la CSJ SL1926-2022</w:t>
      </w:r>
      <w:r w:rsidRPr="00C4372F">
        <w:rPr>
          <w:rFonts w:ascii="Tahoma" w:eastAsia="Calibri" w:hAnsi="Tahoma" w:cs="Tahoma"/>
          <w:bCs/>
          <w:vertAlign w:val="superscript"/>
          <w:lang w:eastAsia="es-CO"/>
        </w:rPr>
        <w:footnoteReference w:id="7"/>
      </w:r>
      <w:r w:rsidRPr="00C4372F">
        <w:rPr>
          <w:rFonts w:ascii="Tahoma" w:eastAsia="Calibri" w:hAnsi="Tahoma" w:cs="Tahoma"/>
          <w:bCs/>
          <w:lang w:eastAsia="es-CO"/>
        </w:rPr>
        <w:t xml:space="preserve"> añadió:</w:t>
      </w:r>
    </w:p>
    <w:p w14:paraId="398421C9"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D10F915"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w:t>
      </w:r>
      <w:r w:rsidRPr="00C4372F">
        <w:rPr>
          <w:rFonts w:ascii="Tahoma" w:eastAsia="Calibri" w:hAnsi="Tahoma" w:cs="Tahoma"/>
          <w:i/>
          <w:sz w:val="22"/>
          <w:lang w:eastAsia="es-CO"/>
        </w:rPr>
        <w:lastRenderedPageBreak/>
        <w:t>está informada debidamente en los términos legales, y menos aún morigera los efectos que ello genera en la eficacia del acto jurídico de traslado; esto, desde luego, cuando dicho desacato se acredita debidamente en el proceso, conforme se explicó.</w:t>
      </w:r>
    </w:p>
    <w:p w14:paraId="2F306509"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EA0CBE7"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29BB619E"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149CB840" w14:textId="77777777" w:rsidR="00C4372F" w:rsidRPr="00C4372F" w:rsidRDefault="00C4372F" w:rsidP="00C4372F">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C4372F">
        <w:rPr>
          <w:rFonts w:ascii="Tahoma" w:eastAsia="Calibri" w:hAnsi="Tahoma" w:cs="Tahoma"/>
          <w:bCs/>
          <w:lang w:eastAsia="es-CO"/>
        </w:rPr>
        <w:t>Posteriormente, la sentencia CSJ SL1055 de 2022</w:t>
      </w:r>
      <w:r w:rsidRPr="00C4372F">
        <w:rPr>
          <w:rFonts w:ascii="Tahoma" w:eastAsia="Calibri" w:hAnsi="Tahoma" w:cs="Tahoma"/>
          <w:bCs/>
          <w:vertAlign w:val="superscript"/>
          <w:lang w:eastAsia="es-CO"/>
        </w:rPr>
        <w:footnoteReference w:id="8"/>
      </w:r>
      <w:r w:rsidRPr="00C4372F">
        <w:rPr>
          <w:rFonts w:ascii="Tahoma" w:eastAsia="Calibri" w:hAnsi="Tahoma" w:cs="Tahoma"/>
          <w:bCs/>
          <w:lang w:eastAsia="es-CO"/>
        </w:rPr>
        <w:t xml:space="preserve"> también recogió las posturas contrarias establecidas por las Sala de Descongestión de la Corte en las providencias </w:t>
      </w:r>
      <w:r w:rsidRPr="00C4372F">
        <w:rPr>
          <w:rFonts w:ascii="Tahoma" w:eastAsia="Calibri" w:hAnsi="Tahoma" w:cs="Tahoma"/>
          <w:bCs/>
          <w:lang w:val="es-ES" w:eastAsia="es-CO"/>
        </w:rPr>
        <w:t>CSJ SL249-2022 y SL259-2022, y en su lugar ratificó:</w:t>
      </w:r>
    </w:p>
    <w:p w14:paraId="5B553E86"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704C7B42"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41219859"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0DE7476"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bCs/>
          <w:lang w:eastAsia="es-CO"/>
        </w:rPr>
        <w:t>Igual cosa se ha predicado de las reasesorías posteriores dadas al interior de las AFP</w:t>
      </w:r>
      <w:r w:rsidRPr="00C4372F">
        <w:rPr>
          <w:rFonts w:ascii="Tahoma" w:eastAsia="Calibri" w:hAnsi="Tahoma" w:cs="Tahoma"/>
          <w:lang w:eastAsia="es-CO"/>
        </w:rPr>
        <w:t xml:space="preserve">, las cuales tampoco convalidan el traslado, como quedó dicho en la citada sentencia del 8 de mayo de 2019 SL 1688-2019, así: </w:t>
      </w:r>
    </w:p>
    <w:p w14:paraId="31269C73"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C4372F">
        <w:rPr>
          <w:rFonts w:ascii="Tahoma" w:eastAsia="Calibri" w:hAnsi="Tahoma" w:cs="Tahoma"/>
          <w:lang w:eastAsia="es-CO"/>
        </w:rPr>
        <w:t xml:space="preserve">  </w:t>
      </w:r>
    </w:p>
    <w:p w14:paraId="314CA97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650F05B6"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 </w:t>
      </w:r>
    </w:p>
    <w:p w14:paraId="0C5B0723"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1B2D9266"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 </w:t>
      </w:r>
    </w:p>
    <w:p w14:paraId="3E560DE0"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065F1468"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 </w:t>
      </w:r>
    </w:p>
    <w:p w14:paraId="089E9EF2"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w:t>
      </w:r>
      <w:r w:rsidRPr="00C4372F">
        <w:rPr>
          <w:rFonts w:ascii="Tahoma" w:eastAsia="Calibri" w:hAnsi="Tahoma" w:cs="Tahoma"/>
          <w:i/>
          <w:sz w:val="22"/>
          <w:lang w:eastAsia="es-CO"/>
        </w:rPr>
        <w:lastRenderedPageBreak/>
        <w:t>tiempo de reflexión, buscara información y consejo profesional para, finalmente, adoptar su elección”.</w:t>
      </w:r>
    </w:p>
    <w:p w14:paraId="48445021" w14:textId="77777777" w:rsidR="00C4372F" w:rsidRPr="00C4372F" w:rsidRDefault="00C4372F" w:rsidP="00C4372F">
      <w:pPr>
        <w:spacing w:before="0" w:beforeAutospacing="0" w:after="0" w:afterAutospacing="0" w:line="276" w:lineRule="auto"/>
        <w:ind w:left="426" w:right="420" w:firstLine="0"/>
        <w:contextualSpacing/>
        <w:rPr>
          <w:rFonts w:ascii="Tahoma" w:eastAsia="Calibri" w:hAnsi="Tahoma" w:cs="Tahoma"/>
          <w:lang w:val="es-ES"/>
        </w:rPr>
      </w:pPr>
    </w:p>
    <w:p w14:paraId="7FC2CDE3" w14:textId="77777777" w:rsidR="00C4372F" w:rsidRPr="00C4372F" w:rsidRDefault="00C4372F" w:rsidP="00C4372F">
      <w:pPr>
        <w:spacing w:before="0" w:beforeAutospacing="0" w:after="0" w:afterAutospacing="0" w:line="276" w:lineRule="auto"/>
        <w:ind w:right="420"/>
        <w:contextualSpacing/>
        <w:rPr>
          <w:rFonts w:ascii="Tahoma" w:eastAsia="Calibri" w:hAnsi="Tahoma" w:cs="Tahoma"/>
          <w:iCs/>
          <w:lang w:val="es-ES"/>
        </w:rPr>
      </w:pPr>
      <w:r w:rsidRPr="00C4372F">
        <w:rPr>
          <w:rFonts w:ascii="Tahoma" w:eastAsia="Calibri" w:hAnsi="Tahoma" w:cs="Tahoma"/>
          <w:iCs/>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6F617DBD" w14:textId="77777777" w:rsidR="00C4372F" w:rsidRPr="00C4372F" w:rsidRDefault="00C4372F" w:rsidP="00C4372F">
      <w:pPr>
        <w:spacing w:before="0" w:beforeAutospacing="0" w:after="0" w:afterAutospacing="0" w:line="276" w:lineRule="auto"/>
        <w:ind w:left="426" w:right="420" w:firstLine="0"/>
        <w:contextualSpacing/>
        <w:rPr>
          <w:rFonts w:ascii="Tahoma" w:eastAsia="Calibri" w:hAnsi="Tahoma" w:cs="Tahoma"/>
          <w:lang w:val="es-ES"/>
        </w:rPr>
      </w:pPr>
    </w:p>
    <w:p w14:paraId="0A21BAAB"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4B02E11A" w14:textId="77777777" w:rsidR="00C4372F" w:rsidRPr="00C4372F" w:rsidRDefault="00C4372F" w:rsidP="00C4372F">
      <w:pPr>
        <w:spacing w:before="0" w:beforeAutospacing="0" w:after="0" w:afterAutospacing="0" w:line="276" w:lineRule="auto"/>
        <w:ind w:left="426" w:right="420" w:firstLine="0"/>
        <w:contextualSpacing/>
        <w:rPr>
          <w:rFonts w:ascii="Tahoma" w:eastAsia="Calibri" w:hAnsi="Tahoma" w:cs="Tahoma"/>
          <w:lang w:val="es-ES"/>
        </w:rPr>
      </w:pPr>
    </w:p>
    <w:bookmarkEnd w:id="5"/>
    <w:p w14:paraId="48827803" w14:textId="77777777" w:rsidR="00C4372F" w:rsidRPr="00C4372F" w:rsidRDefault="00C4372F" w:rsidP="00C4372F">
      <w:pPr>
        <w:spacing w:before="0" w:beforeAutospacing="0" w:after="0" w:afterAutospacing="0" w:line="276" w:lineRule="auto"/>
        <w:ind w:right="420"/>
        <w:contextualSpacing/>
        <w:rPr>
          <w:rFonts w:ascii="Tahoma" w:eastAsia="Calibri" w:hAnsi="Tahoma" w:cs="Tahoma"/>
          <w:iCs/>
          <w:lang w:val="es-ES"/>
        </w:rPr>
      </w:pPr>
      <w:r w:rsidRPr="00C4372F">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C4372F">
        <w:rPr>
          <w:rFonts w:ascii="Tahoma" w:eastAsia="Calibri" w:hAnsi="Tahoma" w:cs="Tahoma"/>
          <w:lang w:val="es-ES"/>
        </w:rPr>
        <w:t>de la cuenta de ahorro individual, en este orden en la sentencia CSJ 1618-2022</w:t>
      </w:r>
      <w:r w:rsidRPr="00C4372F">
        <w:rPr>
          <w:rFonts w:ascii="Tahoma" w:eastAsia="Calibri" w:hAnsi="Tahoma" w:cs="Tahoma"/>
          <w:lang w:val="es-ES"/>
        </w:rPr>
        <w:footnoteReference w:id="9"/>
      </w:r>
      <w:r w:rsidRPr="00C4372F">
        <w:rPr>
          <w:rFonts w:ascii="Tahoma" w:eastAsia="Calibri" w:hAnsi="Tahoma" w:cs="Tahoma"/>
          <w:iCs/>
          <w:lang w:val="es-ES"/>
        </w:rPr>
        <w:t xml:space="preserve"> precisó: </w:t>
      </w:r>
    </w:p>
    <w:p w14:paraId="5042F590" w14:textId="77777777" w:rsidR="00C4372F" w:rsidRPr="00C4372F" w:rsidRDefault="00C4372F" w:rsidP="00C4372F">
      <w:pPr>
        <w:spacing w:before="0" w:beforeAutospacing="0" w:after="0" w:afterAutospacing="0" w:line="276" w:lineRule="auto"/>
        <w:ind w:left="426" w:right="420" w:firstLine="0"/>
        <w:contextualSpacing/>
        <w:rPr>
          <w:rFonts w:ascii="Tahoma" w:eastAsia="Calibri" w:hAnsi="Tahoma" w:cs="Tahoma"/>
          <w:lang w:val="es-ES"/>
        </w:rPr>
      </w:pPr>
    </w:p>
    <w:p w14:paraId="33D3736C"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51FFD578"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EAD3143" w14:textId="77777777" w:rsidR="00C4372F" w:rsidRPr="00C4372F" w:rsidRDefault="00C4372F" w:rsidP="00C4372F">
      <w:pPr>
        <w:widowControl w:val="0"/>
        <w:numPr>
          <w:ilvl w:val="1"/>
          <w:numId w:val="5"/>
        </w:numPr>
        <w:autoSpaceDE w:val="0"/>
        <w:autoSpaceDN w:val="0"/>
        <w:adjustRightInd w:val="0"/>
        <w:spacing w:before="0" w:beforeAutospacing="0" w:after="0" w:afterAutospacing="0" w:line="276" w:lineRule="auto"/>
        <w:rPr>
          <w:rFonts w:ascii="Tahoma" w:eastAsia="Calibri" w:hAnsi="Tahoma" w:cs="Tahoma"/>
          <w:b/>
          <w:iCs/>
          <w:lang w:eastAsia="es-CO"/>
        </w:rPr>
      </w:pPr>
      <w:r w:rsidRPr="00C4372F">
        <w:rPr>
          <w:rFonts w:ascii="Tahoma" w:eastAsia="Calibri" w:hAnsi="Tahoma" w:cs="Tahoma"/>
          <w:b/>
          <w:bCs/>
          <w:lang w:eastAsia="es-CO"/>
        </w:rPr>
        <w:t xml:space="preserve">“De la carga de la prueba – Inversión a favor del afiliado” </w:t>
      </w:r>
      <w:r w:rsidRPr="00C4372F">
        <w:rPr>
          <w:rFonts w:ascii="Tahoma" w:eastAsia="Calibri" w:hAnsi="Tahoma" w:cs="Tahoma"/>
          <w:b/>
          <w:bCs/>
          <w:vertAlign w:val="superscript"/>
          <w:lang w:eastAsia="es-CO"/>
        </w:rPr>
        <w:footnoteReference w:id="10"/>
      </w:r>
    </w:p>
    <w:p w14:paraId="3547BAEC"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1BDAB293" w14:textId="77777777" w:rsidR="00C4372F" w:rsidRPr="00C4372F" w:rsidRDefault="00C4372F" w:rsidP="00C4372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4372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C4372F">
        <w:rPr>
          <w:rFonts w:ascii="Tahoma" w:eastAsia="Calibri" w:hAnsi="Tahoma" w:cs="Tahoma"/>
          <w:i/>
          <w:lang w:eastAsia="es-CO"/>
        </w:rPr>
        <w:t>la prueba de la diligencia o cuidado incumbe al que ha debido emplearlo”</w:t>
      </w:r>
      <w:r w:rsidRPr="00C4372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300165C7" w14:textId="77777777" w:rsidR="00C4372F" w:rsidRPr="00C4372F" w:rsidRDefault="00C4372F" w:rsidP="00C4372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0AA5BDC"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6292D538"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60ABE6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553849D1"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B74B82E"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w:t>
      </w:r>
      <w:r w:rsidRPr="00C4372F">
        <w:rPr>
          <w:rFonts w:ascii="Tahoma" w:eastAsia="Calibri" w:hAnsi="Tahoma" w:cs="Tahoma"/>
          <w:i/>
          <w:sz w:val="22"/>
          <w:lang w:eastAsia="es-CO"/>
        </w:rPr>
        <w:lastRenderedPageBreak/>
        <w:t>el trabajador no puede acreditar que no recibió información, corresponde a su contraparte demostrar que sí la brindó, dado que es quien está en posición de hacerlo.</w:t>
      </w:r>
    </w:p>
    <w:p w14:paraId="77CAB412"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66AFE04"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419FB373"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6B40E02"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648A2449"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29F0240"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49262325"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71F30BC"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629D8485"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FF1D58E" w14:textId="77777777" w:rsidR="00C4372F" w:rsidRPr="00C4372F" w:rsidRDefault="00C4372F" w:rsidP="00C4372F">
      <w:pPr>
        <w:widowControl w:val="0"/>
        <w:numPr>
          <w:ilvl w:val="1"/>
          <w:numId w:val="5"/>
        </w:numPr>
        <w:autoSpaceDE w:val="0"/>
        <w:autoSpaceDN w:val="0"/>
        <w:adjustRightInd w:val="0"/>
        <w:spacing w:before="0" w:beforeAutospacing="0" w:after="0" w:afterAutospacing="0" w:line="276" w:lineRule="auto"/>
        <w:rPr>
          <w:rFonts w:ascii="Tahoma" w:eastAsia="Calibri" w:hAnsi="Tahoma" w:cs="Tahoma"/>
          <w:b/>
          <w:bCs/>
          <w:lang w:eastAsia="es-CO"/>
        </w:rPr>
      </w:pPr>
      <w:r w:rsidRPr="00C4372F">
        <w:rPr>
          <w:rFonts w:ascii="Tahoma" w:eastAsia="Calibri" w:hAnsi="Tahoma" w:cs="Tahoma"/>
          <w:b/>
          <w:bCs/>
          <w:lang w:eastAsia="es-CO"/>
        </w:rPr>
        <w:t>Consecuencias de la declaratoria de la ineficacia del traslado de régimen pensional.</w:t>
      </w:r>
    </w:p>
    <w:p w14:paraId="0B9A905D"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3A10937" w14:textId="77777777" w:rsidR="00C4372F" w:rsidRPr="00C4372F" w:rsidRDefault="00C4372F" w:rsidP="00C4372F">
      <w:pPr>
        <w:spacing w:before="0" w:beforeAutospacing="0" w:after="0" w:afterAutospacing="0" w:line="276" w:lineRule="auto"/>
        <w:ind w:firstLine="708"/>
        <w:rPr>
          <w:rFonts w:ascii="Tahoma" w:hAnsi="Tahoma" w:cs="Tahoma"/>
        </w:rPr>
      </w:pPr>
      <w:r w:rsidRPr="00C4372F">
        <w:rPr>
          <w:rFonts w:ascii="Tahoma" w:eastAsia="Tahoma" w:hAnsi="Tahoma" w:cs="Tahoma"/>
        </w:rPr>
        <w:t xml:space="preserve">Al efecto, la Sala de Casación Laboral de la Corte Suprema de Justicia precisó en las sentencias CSJ SL 4297-2022, </w:t>
      </w:r>
      <w:r w:rsidRPr="00C4372F">
        <w:rPr>
          <w:rFonts w:ascii="Tahoma" w:eastAsia="Tahoma" w:hAnsi="Tahoma" w:cs="Tahoma"/>
          <w:lang w:val="es"/>
        </w:rPr>
        <w:t xml:space="preserve">CSJ SL3871-2021, CSJ SL 3611-2021, CSJ SL3537-2021 </w:t>
      </w:r>
      <w:r w:rsidRPr="00C4372F">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13EB5D1F"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C4372F">
        <w:rPr>
          <w:rFonts w:ascii="Tahoma" w:eastAsia="Calibri" w:hAnsi="Tahoma" w:cs="Tahoma"/>
          <w:bCs/>
          <w:lang w:eastAsia="es-CO"/>
        </w:rPr>
        <w:t xml:space="preserve"> </w:t>
      </w:r>
    </w:p>
    <w:p w14:paraId="47603572" w14:textId="77777777" w:rsidR="00C4372F" w:rsidRPr="00C4372F" w:rsidRDefault="00C4372F" w:rsidP="00C4372F">
      <w:pPr>
        <w:spacing w:before="0" w:beforeAutospacing="0" w:after="0" w:afterAutospacing="0" w:line="276" w:lineRule="auto"/>
        <w:ind w:firstLine="708"/>
        <w:rPr>
          <w:rFonts w:ascii="Tahoma" w:hAnsi="Tahoma" w:cs="Tahoma"/>
        </w:rPr>
      </w:pPr>
      <w:r w:rsidRPr="00C4372F">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50EF1F52" w14:textId="77777777" w:rsidR="00C4372F" w:rsidRPr="00C4372F" w:rsidRDefault="00C4372F" w:rsidP="00C4372F">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C4372F">
        <w:rPr>
          <w:rFonts w:ascii="Tahoma" w:eastAsia="Calibri" w:hAnsi="Tahoma" w:cs="Tahoma"/>
          <w:bCs/>
          <w:lang w:eastAsia="es-CO"/>
        </w:rPr>
        <w:t xml:space="preserve"> </w:t>
      </w:r>
    </w:p>
    <w:p w14:paraId="00915C84" w14:textId="77777777" w:rsidR="00C4372F" w:rsidRPr="00C4372F" w:rsidRDefault="00C4372F" w:rsidP="00C4372F">
      <w:pPr>
        <w:spacing w:before="0" w:beforeAutospacing="0" w:after="0" w:afterAutospacing="0" w:line="276" w:lineRule="auto"/>
        <w:ind w:firstLine="708"/>
        <w:rPr>
          <w:rFonts w:ascii="Tahoma" w:hAnsi="Tahoma" w:cs="Tahoma"/>
        </w:rPr>
      </w:pPr>
      <w:r w:rsidRPr="00C4372F">
        <w:rPr>
          <w:rFonts w:ascii="Tahoma" w:eastAsia="Tahoma" w:hAnsi="Tahoma" w:cs="Tahoma"/>
        </w:rPr>
        <w:t xml:space="preserve">Con base en lo anterior, el máximo órgano de cierre de la jurisdicción laboral declaró, entre otras, en las sentencias CSJ </w:t>
      </w:r>
      <w:r w:rsidRPr="00C4372F">
        <w:rPr>
          <w:rFonts w:ascii="Tahoma" w:eastAsia="Tahoma" w:hAnsi="Tahoma" w:cs="Tahoma"/>
          <w:lang w:val="es"/>
        </w:rPr>
        <w:t xml:space="preserve">SL1084-2023, CSJ SL 932-2023, CSJ SL </w:t>
      </w:r>
      <w:r w:rsidRPr="00C4372F">
        <w:rPr>
          <w:rFonts w:ascii="Tahoma" w:eastAsia="Tahoma" w:hAnsi="Tahoma" w:cs="Tahoma"/>
          <w:lang w:val="es"/>
        </w:rPr>
        <w:lastRenderedPageBreak/>
        <w:t xml:space="preserve">4297-2022, CSJ SL3465-2022, CSJ SL2229-2022 y CSJ SL3188-2022 que la ineficacia del traslado no solo acarrea la obligación de trasladar </w:t>
      </w:r>
      <w:r w:rsidRPr="00C4372F">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6396F19E" w14:textId="77777777" w:rsidR="00C4372F" w:rsidRPr="00C4372F" w:rsidRDefault="00C4372F" w:rsidP="00C4372F">
      <w:pPr>
        <w:spacing w:before="0" w:beforeAutospacing="0" w:after="0" w:afterAutospacing="0" w:line="276" w:lineRule="auto"/>
        <w:ind w:firstLine="708"/>
        <w:rPr>
          <w:rFonts w:ascii="Tahoma" w:hAnsi="Tahoma" w:cs="Tahoma"/>
        </w:rPr>
      </w:pPr>
      <w:r w:rsidRPr="00C4372F">
        <w:rPr>
          <w:rFonts w:ascii="Tahoma" w:eastAsia="Tahoma" w:hAnsi="Tahoma" w:cs="Tahoma"/>
        </w:rPr>
        <w:t xml:space="preserve"> </w:t>
      </w:r>
    </w:p>
    <w:p w14:paraId="30C0270C"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56A6C4D6"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 xml:space="preserve"> </w:t>
      </w:r>
    </w:p>
    <w:p w14:paraId="56DA1889" w14:textId="77777777" w:rsidR="00C4372F" w:rsidRPr="00C4372F" w:rsidRDefault="00C4372F" w:rsidP="00C4372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4372F">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3D6A9C00" w14:textId="77777777" w:rsidR="008F4A6D" w:rsidRPr="000248AD" w:rsidRDefault="008F4A6D" w:rsidP="000248AD">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C2099CA" w14:textId="77777777" w:rsidR="00363345" w:rsidRPr="000248AD" w:rsidRDefault="00363345" w:rsidP="000248AD">
      <w:pPr>
        <w:pStyle w:val="Prrafodelista"/>
        <w:widowControl w:val="0"/>
        <w:numPr>
          <w:ilvl w:val="1"/>
          <w:numId w:val="5"/>
        </w:numPr>
        <w:autoSpaceDE w:val="0"/>
        <w:autoSpaceDN w:val="0"/>
        <w:adjustRightInd w:val="0"/>
        <w:spacing w:line="276" w:lineRule="auto"/>
        <w:ind w:left="0" w:firstLine="0"/>
        <w:rPr>
          <w:rFonts w:eastAsia="Calibri" w:cs="Tahoma"/>
          <w:b/>
          <w:szCs w:val="24"/>
          <w:lang w:eastAsia="es-CO"/>
        </w:rPr>
      </w:pPr>
      <w:r w:rsidRPr="000248AD">
        <w:rPr>
          <w:rFonts w:eastAsia="Calibri" w:cs="Tahoma"/>
          <w:b/>
          <w:bCs/>
          <w:szCs w:val="24"/>
          <w:lang w:eastAsia="es-CO"/>
        </w:rPr>
        <w:t>Caso concreto</w:t>
      </w:r>
    </w:p>
    <w:p w14:paraId="29B8913B" w14:textId="77777777" w:rsidR="00363345" w:rsidRPr="000248AD" w:rsidRDefault="00363345" w:rsidP="000248AD">
      <w:pPr>
        <w:pStyle w:val="Prrafodelista"/>
        <w:widowControl w:val="0"/>
        <w:autoSpaceDE w:val="0"/>
        <w:autoSpaceDN w:val="0"/>
        <w:adjustRightInd w:val="0"/>
        <w:spacing w:line="276" w:lineRule="auto"/>
        <w:ind w:left="0"/>
        <w:rPr>
          <w:rFonts w:eastAsia="Calibri" w:cs="Tahoma"/>
          <w:b/>
          <w:szCs w:val="24"/>
          <w:lang w:eastAsia="es-CO"/>
        </w:rPr>
      </w:pPr>
    </w:p>
    <w:p w14:paraId="48C48BAA" w14:textId="24963B70" w:rsidR="00785377" w:rsidRPr="000248AD" w:rsidRDefault="00785377"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 xml:space="preserve">Se pretende por esta vía ordinaria que se declare la ineficacia del traslado del régimen de prima media con prestación definida al de ahorro individual con solidaridad, dada la omisión de información clara y precisa, que ha debido brindarle </w:t>
      </w:r>
      <w:r w:rsidR="00F15BA4" w:rsidRPr="000248AD">
        <w:rPr>
          <w:rFonts w:ascii="Tahoma" w:eastAsia="Calibri" w:hAnsi="Tahoma" w:cs="Tahoma"/>
          <w:lang w:eastAsia="es-CO"/>
        </w:rPr>
        <w:t>en e</w:t>
      </w:r>
      <w:r w:rsidR="00AF3DFE" w:rsidRPr="000248AD">
        <w:rPr>
          <w:rFonts w:ascii="Tahoma" w:eastAsia="Calibri" w:hAnsi="Tahoma" w:cs="Tahoma"/>
          <w:lang w:eastAsia="es-CO"/>
        </w:rPr>
        <w:t>se</w:t>
      </w:r>
      <w:r w:rsidR="00F15BA4" w:rsidRPr="000248AD">
        <w:rPr>
          <w:rFonts w:ascii="Tahoma" w:eastAsia="Calibri" w:hAnsi="Tahoma" w:cs="Tahoma"/>
          <w:lang w:eastAsia="es-CO"/>
        </w:rPr>
        <w:t xml:space="preserve"> entonces </w:t>
      </w:r>
      <w:r w:rsidR="00AF3DFE" w:rsidRPr="000248AD">
        <w:rPr>
          <w:rFonts w:ascii="Tahoma" w:eastAsia="Calibri" w:hAnsi="Tahoma" w:cs="Tahoma"/>
          <w:lang w:eastAsia="es-CO"/>
        </w:rPr>
        <w:t>COLFONDOS S.A.</w:t>
      </w:r>
      <w:r w:rsidRPr="000248AD">
        <w:rPr>
          <w:rFonts w:ascii="Tahoma" w:eastAsia="Calibri" w:hAnsi="Tahoma" w:cs="Tahoma"/>
          <w:lang w:eastAsia="es-CO"/>
        </w:rPr>
        <w:t xml:space="preserve"> a</w:t>
      </w:r>
      <w:r w:rsidR="00AF3DFE" w:rsidRPr="000248AD">
        <w:rPr>
          <w:rFonts w:ascii="Tahoma" w:eastAsia="Calibri" w:hAnsi="Tahoma" w:cs="Tahoma"/>
          <w:lang w:eastAsia="es-CO"/>
        </w:rPr>
        <w:t xml:space="preserve">l demandante </w:t>
      </w:r>
      <w:r w:rsidRPr="000248AD">
        <w:rPr>
          <w:rFonts w:ascii="Tahoma" w:eastAsia="Calibri" w:hAnsi="Tahoma" w:cs="Tahoma"/>
          <w:lang w:eastAsia="es-CO"/>
        </w:rPr>
        <w:t>en orden a conocer las condiciones y consecuencias de migración de régimen.</w:t>
      </w:r>
    </w:p>
    <w:p w14:paraId="5DFBF7B0" w14:textId="77777777" w:rsidR="00363345" w:rsidRPr="000248AD" w:rsidRDefault="00363345" w:rsidP="000248A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659FA06" w14:textId="24927E2F" w:rsidR="00363345" w:rsidRPr="000248AD" w:rsidRDefault="00363345"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 xml:space="preserve">De conformidad con </w:t>
      </w:r>
      <w:r w:rsidR="006E2CCE" w:rsidRPr="000248AD">
        <w:rPr>
          <w:rFonts w:ascii="Tahoma" w:eastAsia="Calibri" w:hAnsi="Tahoma" w:cs="Tahoma"/>
          <w:lang w:eastAsia="es-CO"/>
        </w:rPr>
        <w:t xml:space="preserve">la </w:t>
      </w:r>
      <w:r w:rsidRPr="000248AD">
        <w:rPr>
          <w:rFonts w:ascii="Tahoma" w:eastAsia="Calibri" w:hAnsi="Tahoma" w:cs="Tahoma"/>
          <w:lang w:eastAsia="es-CO"/>
        </w:rPr>
        <w:t>jurisprudencia de la Sala de Casación Laboral de la Corte Suprema de Justicia, en las precitadas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al afiliad</w:t>
      </w:r>
      <w:r w:rsidR="00EF68DF" w:rsidRPr="000248AD">
        <w:rPr>
          <w:rFonts w:ascii="Tahoma" w:eastAsia="Calibri" w:hAnsi="Tahoma" w:cs="Tahoma"/>
          <w:lang w:eastAsia="es-CO"/>
        </w:rPr>
        <w:t>o</w:t>
      </w:r>
      <w:r w:rsidRPr="000248AD">
        <w:rPr>
          <w:rFonts w:ascii="Tahoma" w:eastAsia="Calibri" w:hAnsi="Tahoma" w:cs="Tahoma"/>
          <w:lang w:eastAsia="es-CO"/>
        </w:rPr>
        <w:t>, acerca del impacto del cambio de régimen pensional.</w:t>
      </w:r>
    </w:p>
    <w:p w14:paraId="012D18E7" w14:textId="77777777" w:rsidR="002500F6" w:rsidRPr="000248AD" w:rsidRDefault="002500F6"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6BF0DFF" w14:textId="77777777" w:rsidR="002500F6" w:rsidRPr="000248AD" w:rsidRDefault="002500F6" w:rsidP="000248AD">
      <w:pPr>
        <w:widowControl w:val="0"/>
        <w:autoSpaceDE w:val="0"/>
        <w:autoSpaceDN w:val="0"/>
        <w:adjustRightInd w:val="0"/>
        <w:spacing w:before="0" w:beforeAutospacing="0" w:after="0" w:afterAutospacing="0" w:line="276" w:lineRule="auto"/>
        <w:ind w:firstLine="708"/>
        <w:rPr>
          <w:rFonts w:ascii="Tahoma" w:eastAsia="Calibri" w:hAnsi="Tahoma" w:cs="Tahoma"/>
          <w:b/>
          <w:bCs/>
          <w:lang w:eastAsia="es-CO"/>
        </w:rPr>
      </w:pPr>
      <w:r w:rsidRPr="000248AD">
        <w:rPr>
          <w:rFonts w:ascii="Tahoma" w:eastAsia="Calibri" w:hAnsi="Tahoma" w:cs="Tahoma"/>
          <w:lang w:eastAsia="es-CO"/>
        </w:rPr>
        <w:t>Así pues, la negligencia en que eventualmente incurren tales administradoras de pensiones, al no suministrar la información adecuada y precisa al afiliado(a), recaerá en la eficacia del acto, dado que con la omisión o la defectuosa información se ha inducido en error al afectado(a). En curso del proceso la AFP demandada no cumplió con la carga que se le impone, esto es</w:t>
      </w:r>
      <w:r w:rsidRPr="000248AD">
        <w:rPr>
          <w:rFonts w:ascii="Tahoma" w:eastAsia="Calibri" w:hAnsi="Tahoma" w:cs="Tahoma"/>
          <w:b/>
          <w:bCs/>
          <w:lang w:eastAsia="es-CO"/>
        </w:rPr>
        <w:t>, acreditar haber transmitido a la parte actora la información concreta y cierta, acerca de la implicación del traslado de régimen pensional.</w:t>
      </w:r>
    </w:p>
    <w:p w14:paraId="0A88B6F9" w14:textId="77777777" w:rsidR="002500F6" w:rsidRPr="000248AD" w:rsidRDefault="002500F6" w:rsidP="000248AD">
      <w:pPr>
        <w:widowControl w:val="0"/>
        <w:autoSpaceDE w:val="0"/>
        <w:autoSpaceDN w:val="0"/>
        <w:adjustRightInd w:val="0"/>
        <w:spacing w:before="0" w:beforeAutospacing="0" w:after="0" w:afterAutospacing="0" w:line="276" w:lineRule="auto"/>
        <w:ind w:firstLine="284"/>
        <w:rPr>
          <w:rFonts w:ascii="Tahoma" w:eastAsia="Calibri" w:hAnsi="Tahoma" w:cs="Tahoma"/>
          <w:b/>
          <w:bCs/>
          <w:lang w:eastAsia="es-CO"/>
        </w:rPr>
      </w:pPr>
    </w:p>
    <w:p w14:paraId="39E01EF0" w14:textId="7BC3DFD5" w:rsidR="002500F6" w:rsidRPr="000248AD" w:rsidRDefault="002500F6"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 xml:space="preserve">En realidad, mínimo la AFP tendría que haber dado la siguiente información: </w:t>
      </w:r>
      <w:r w:rsidRPr="000248AD">
        <w:rPr>
          <w:rFonts w:ascii="Tahoma" w:eastAsia="Calibri" w:hAnsi="Tahoma" w:cs="Tahoma"/>
          <w:i/>
          <w:iCs/>
          <w:lang w:eastAsia="es-CO"/>
        </w:rPr>
        <w:t xml:space="preserve">i) </w:t>
      </w:r>
      <w:r w:rsidRPr="000248AD">
        <w:rPr>
          <w:rFonts w:ascii="Tahoma" w:eastAsia="Calibri" w:hAnsi="Tahoma" w:cs="Tahoma"/>
          <w:lang w:eastAsia="es-CO"/>
        </w:rPr>
        <w:t xml:space="preserve">Que, dependiendo del capital, puede pensionarse anticipadamente, esto es, antes de la edad mínima para la pensión de vejez. </w:t>
      </w:r>
      <w:r w:rsidRPr="000248AD">
        <w:rPr>
          <w:rFonts w:ascii="Tahoma" w:eastAsia="Calibri" w:hAnsi="Tahoma" w:cs="Tahoma"/>
          <w:i/>
          <w:iCs/>
          <w:lang w:eastAsia="es-CO"/>
        </w:rPr>
        <w:t xml:space="preserve">ii) </w:t>
      </w:r>
      <w:r w:rsidRPr="000248AD">
        <w:rPr>
          <w:rFonts w:ascii="Tahoma" w:eastAsia="Calibri" w:hAnsi="Tahoma" w:cs="Tahoma"/>
          <w:lang w:eastAsia="es-CO"/>
        </w:rPr>
        <w:t xml:space="preserve">La posibilidad para sus herederos de hacerse a la devolución de saldos, en caso de que no existieran beneficiaros para la pensión de sobrevivientes. </w:t>
      </w:r>
      <w:r w:rsidRPr="000248AD">
        <w:rPr>
          <w:rFonts w:ascii="Tahoma" w:eastAsia="Calibri" w:hAnsi="Tahoma" w:cs="Tahoma"/>
          <w:i/>
          <w:iCs/>
          <w:lang w:eastAsia="es-CO"/>
        </w:rPr>
        <w:t xml:space="preserve">iii) </w:t>
      </w:r>
      <w:r w:rsidRPr="000248AD">
        <w:rPr>
          <w:rFonts w:ascii="Tahoma" w:eastAsia="Calibri" w:hAnsi="Tahoma" w:cs="Tahoma"/>
          <w:lang w:eastAsia="es-CO"/>
        </w:rPr>
        <w:t xml:space="preserve">La devolución total del saldo en caso de no alcanzar a reunir el total de los requisitos legales para optar al beneficio pensional. </w:t>
      </w:r>
      <w:r w:rsidRPr="000248AD">
        <w:rPr>
          <w:rFonts w:ascii="Tahoma" w:eastAsia="Calibri" w:hAnsi="Tahoma" w:cs="Tahoma"/>
          <w:i/>
          <w:iCs/>
          <w:lang w:eastAsia="es-CO"/>
        </w:rPr>
        <w:t xml:space="preserve">iv) </w:t>
      </w:r>
      <w:r w:rsidRPr="000248AD">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0248AD">
        <w:rPr>
          <w:rFonts w:ascii="Tahoma" w:eastAsia="Calibri" w:hAnsi="Tahoma" w:cs="Tahoma"/>
          <w:i/>
          <w:iCs/>
          <w:lang w:eastAsia="es-CO"/>
        </w:rPr>
        <w:t xml:space="preserve">v) </w:t>
      </w:r>
      <w:r w:rsidRPr="000248AD">
        <w:rPr>
          <w:rFonts w:ascii="Tahoma" w:eastAsia="Calibri" w:hAnsi="Tahoma" w:cs="Tahoma"/>
          <w:lang w:eastAsia="es-CO"/>
        </w:rPr>
        <w:t xml:space="preserve">La posibilidad de que el reconocimiento de la pensión de vejez, una vez reunido los requisitos, se haga pronto. </w:t>
      </w:r>
      <w:r w:rsidRPr="000248AD">
        <w:rPr>
          <w:rFonts w:ascii="Tahoma" w:eastAsia="Calibri" w:hAnsi="Tahoma" w:cs="Tahoma"/>
          <w:i/>
          <w:iCs/>
          <w:lang w:eastAsia="es-CO"/>
        </w:rPr>
        <w:t xml:space="preserve">vi) </w:t>
      </w:r>
      <w:r w:rsidRPr="000248AD">
        <w:rPr>
          <w:rFonts w:ascii="Tahoma" w:eastAsia="Calibri" w:hAnsi="Tahoma" w:cs="Tahoma"/>
          <w:lang w:eastAsia="es-CO"/>
        </w:rPr>
        <w:t xml:space="preserve">La posibilidad de que sus aportes se </w:t>
      </w:r>
      <w:r w:rsidRPr="000248AD">
        <w:rPr>
          <w:rFonts w:ascii="Tahoma" w:eastAsia="Calibri" w:hAnsi="Tahoma" w:cs="Tahoma"/>
          <w:lang w:eastAsia="es-CO"/>
        </w:rPr>
        <w:lastRenderedPageBreak/>
        <w:t xml:space="preserve">conviertan en patrimonio sucesoral en un caso dado. </w:t>
      </w:r>
      <w:r w:rsidRPr="000248AD">
        <w:rPr>
          <w:rFonts w:ascii="Tahoma" w:eastAsia="Calibri" w:hAnsi="Tahoma" w:cs="Tahoma"/>
          <w:i/>
          <w:iCs/>
          <w:lang w:eastAsia="es-CO"/>
        </w:rPr>
        <w:t xml:space="preserve">vii) </w:t>
      </w:r>
      <w:r w:rsidRPr="000248AD">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0248AD">
        <w:rPr>
          <w:rFonts w:ascii="Tahoma" w:eastAsia="Calibri" w:hAnsi="Tahoma" w:cs="Tahoma"/>
          <w:i/>
          <w:iCs/>
          <w:lang w:eastAsia="es-CO"/>
        </w:rPr>
        <w:t xml:space="preserve">viii) </w:t>
      </w:r>
      <w:r w:rsidRPr="000248AD">
        <w:rPr>
          <w:rFonts w:ascii="Tahoma" w:eastAsia="Calibri" w:hAnsi="Tahoma" w:cs="Tahoma"/>
          <w:lang w:eastAsia="es-CO"/>
        </w:rPr>
        <w:t xml:space="preserve">Los rendimientos financieros que le generen sus aportes abonados sobre el saldo de su cuenta de ahorro individual; y, </w:t>
      </w:r>
      <w:r w:rsidRPr="000248AD">
        <w:rPr>
          <w:rFonts w:ascii="Tahoma" w:eastAsia="Calibri" w:hAnsi="Tahoma" w:cs="Tahoma"/>
          <w:i/>
          <w:iCs/>
          <w:lang w:eastAsia="es-CO"/>
        </w:rPr>
        <w:t xml:space="preserve">ix) </w:t>
      </w:r>
      <w:r w:rsidRPr="000248AD">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0248AD">
        <w:rPr>
          <w:rFonts w:ascii="Tahoma" w:eastAsia="Calibri" w:hAnsi="Tahoma" w:cs="Tahoma"/>
          <w:i/>
          <w:iCs/>
          <w:lang w:eastAsia="es-CO"/>
        </w:rPr>
        <w:t>retiro programado</w:t>
      </w:r>
      <w:r w:rsidRPr="000248AD">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246EF94C" w14:textId="77777777" w:rsidR="002500F6" w:rsidRPr="000248AD" w:rsidRDefault="002500F6"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EBE0B4A" w14:textId="196B6AE2" w:rsidR="002500F6" w:rsidRPr="000248AD" w:rsidRDefault="002500F6"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La</w:t>
      </w:r>
      <w:r w:rsidR="00AF3DFE" w:rsidRPr="000248AD">
        <w:rPr>
          <w:rFonts w:ascii="Tahoma" w:eastAsia="Calibri" w:hAnsi="Tahoma" w:cs="Tahoma"/>
          <w:lang w:eastAsia="es-CO"/>
        </w:rPr>
        <w:t>s</w:t>
      </w:r>
      <w:r w:rsidRPr="000248AD">
        <w:rPr>
          <w:rFonts w:ascii="Tahoma" w:eastAsia="Calibri" w:hAnsi="Tahoma" w:cs="Tahoma"/>
          <w:lang w:eastAsia="es-CO"/>
        </w:rPr>
        <w:t xml:space="preserve"> AFP convocada</w:t>
      </w:r>
      <w:r w:rsidR="00AF3DFE" w:rsidRPr="000248AD">
        <w:rPr>
          <w:rFonts w:ascii="Tahoma" w:eastAsia="Calibri" w:hAnsi="Tahoma" w:cs="Tahoma"/>
          <w:lang w:eastAsia="es-CO"/>
        </w:rPr>
        <w:t>s</w:t>
      </w:r>
      <w:r w:rsidRPr="000248AD">
        <w:rPr>
          <w:rFonts w:ascii="Tahoma" w:eastAsia="Calibri" w:hAnsi="Tahoma" w:cs="Tahoma"/>
          <w:lang w:eastAsia="es-CO"/>
        </w:rPr>
        <w:t xml:space="preserve"> al proceso </w:t>
      </w:r>
      <w:r w:rsidRPr="000248AD">
        <w:rPr>
          <w:rFonts w:ascii="Tahoma" w:eastAsia="Calibri" w:hAnsi="Tahoma" w:cs="Tahoma"/>
          <w:color w:val="000000" w:themeColor="text1"/>
          <w:lang w:eastAsia="es-CO"/>
        </w:rPr>
        <w:t>afirma</w:t>
      </w:r>
      <w:r w:rsidR="00AF3DFE" w:rsidRPr="000248AD">
        <w:rPr>
          <w:rFonts w:ascii="Tahoma" w:eastAsia="Calibri" w:hAnsi="Tahoma" w:cs="Tahoma"/>
          <w:color w:val="000000" w:themeColor="text1"/>
          <w:lang w:eastAsia="es-CO"/>
        </w:rPr>
        <w:t>n</w:t>
      </w:r>
      <w:r w:rsidRPr="000248AD">
        <w:rPr>
          <w:rFonts w:ascii="Tahoma" w:eastAsia="Calibri" w:hAnsi="Tahoma" w:cs="Tahoma"/>
          <w:color w:val="000000" w:themeColor="text1"/>
          <w:lang w:eastAsia="es-CO"/>
        </w:rPr>
        <w:t xml:space="preserve"> en su contestación de la demanda que brind</w:t>
      </w:r>
      <w:r w:rsidR="00AF3DFE" w:rsidRPr="000248AD">
        <w:rPr>
          <w:rFonts w:ascii="Tahoma" w:eastAsia="Calibri" w:hAnsi="Tahoma" w:cs="Tahoma"/>
          <w:color w:val="000000" w:themeColor="text1"/>
          <w:lang w:eastAsia="es-CO"/>
        </w:rPr>
        <w:t>aron</w:t>
      </w:r>
      <w:r w:rsidRPr="000248AD">
        <w:rPr>
          <w:rFonts w:ascii="Tahoma" w:eastAsia="Calibri" w:hAnsi="Tahoma" w:cs="Tahoma"/>
          <w:color w:val="000000" w:themeColor="text1"/>
          <w:lang w:eastAsia="es-CO"/>
        </w:rPr>
        <w:t xml:space="preserve"> </w:t>
      </w:r>
      <w:r w:rsidR="00AF3DFE" w:rsidRPr="000248AD">
        <w:rPr>
          <w:rFonts w:ascii="Tahoma" w:eastAsia="Calibri" w:hAnsi="Tahoma" w:cs="Tahoma"/>
          <w:lang w:eastAsia="es-CO"/>
        </w:rPr>
        <w:t xml:space="preserve">a la parte demandante </w:t>
      </w:r>
      <w:r w:rsidRPr="000248AD">
        <w:rPr>
          <w:rFonts w:ascii="Tahoma" w:eastAsia="Calibri" w:hAnsi="Tahoma" w:cs="Tahoma"/>
          <w:color w:val="000000" w:themeColor="text1"/>
          <w:lang w:eastAsia="es-CO"/>
        </w:rPr>
        <w:t xml:space="preserve">la </w:t>
      </w:r>
      <w:r w:rsidRPr="000248AD">
        <w:rPr>
          <w:rFonts w:ascii="Tahoma" w:eastAsia="Calibri" w:hAnsi="Tahoma" w:cs="Tahoma"/>
          <w:lang w:eastAsia="es-CO"/>
        </w:rPr>
        <w:t xml:space="preserve">información seria y veraz que para la época era jurídicamente pertinente sin que se precise en qué consistió tal cosa. Ello sería suficiente para concluir, que efectivamente la información que recibió </w:t>
      </w:r>
      <w:r w:rsidR="00AF3DFE" w:rsidRPr="000248AD">
        <w:rPr>
          <w:rFonts w:ascii="Tahoma" w:eastAsia="Calibri" w:hAnsi="Tahoma" w:cs="Tahoma"/>
          <w:lang w:eastAsia="es-CO"/>
        </w:rPr>
        <w:t>el actor</w:t>
      </w:r>
      <w:r w:rsidRPr="000248AD">
        <w:rPr>
          <w:rFonts w:ascii="Tahoma" w:eastAsia="Calibri" w:hAnsi="Tahoma" w:cs="Tahoma"/>
          <w:lang w:eastAsia="es-CO"/>
        </w:rPr>
        <w:t xml:space="preserve">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p>
    <w:p w14:paraId="64D97EE9" w14:textId="77777777" w:rsidR="00363345" w:rsidRPr="000248AD" w:rsidRDefault="00363345" w:rsidP="000248AD">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0AA46838" w14:textId="381D139A" w:rsidR="00BB08F1" w:rsidRPr="000248AD" w:rsidRDefault="002500F6"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0248AD">
        <w:rPr>
          <w:rFonts w:ascii="Tahoma" w:eastAsia="Calibri" w:hAnsi="Tahoma" w:cs="Tahoma"/>
          <w:lang w:eastAsia="es-CO"/>
        </w:rPr>
        <w:t>Ahora, lo cierto es que</w:t>
      </w:r>
      <w:r w:rsidR="00363345" w:rsidRPr="000248AD">
        <w:rPr>
          <w:rFonts w:ascii="Tahoma" w:eastAsia="Calibri" w:hAnsi="Tahoma" w:cs="Tahoma"/>
          <w:lang w:eastAsia="es-CO"/>
        </w:rPr>
        <w:t xml:space="preserve"> </w:t>
      </w:r>
      <w:r w:rsidR="006C6919" w:rsidRPr="000248AD">
        <w:rPr>
          <w:rFonts w:ascii="Tahoma" w:eastAsia="Calibri" w:hAnsi="Tahoma" w:cs="Tahoma"/>
          <w:lang w:eastAsia="es-CO"/>
        </w:rPr>
        <w:t>las AFP</w:t>
      </w:r>
      <w:r w:rsidR="009C239E" w:rsidRPr="000248AD">
        <w:rPr>
          <w:rFonts w:ascii="Tahoma" w:eastAsia="Calibri" w:hAnsi="Tahoma" w:cs="Tahoma"/>
          <w:lang w:eastAsia="es-CO"/>
        </w:rPr>
        <w:t>,</w:t>
      </w:r>
      <w:r w:rsidR="00363345" w:rsidRPr="000248AD">
        <w:rPr>
          <w:rFonts w:ascii="Tahoma" w:eastAsia="Calibri" w:hAnsi="Tahoma" w:cs="Tahoma"/>
          <w:lang w:eastAsia="es-CO"/>
        </w:rPr>
        <w:t xml:space="preserve"> como </w:t>
      </w:r>
      <w:r w:rsidR="00363345" w:rsidRPr="000248AD">
        <w:rPr>
          <w:rFonts w:ascii="Tahoma" w:eastAsia="Calibri" w:hAnsi="Tahoma" w:cs="Tahoma"/>
          <w:lang w:val="es-ES" w:eastAsia="es-CO"/>
        </w:rPr>
        <w:t>prueba del cumplimiento del deber de información, llam</w:t>
      </w:r>
      <w:r w:rsidR="006C6919" w:rsidRPr="000248AD">
        <w:rPr>
          <w:rFonts w:ascii="Tahoma" w:eastAsia="Calibri" w:hAnsi="Tahoma" w:cs="Tahoma"/>
          <w:lang w:val="es-ES" w:eastAsia="es-CO"/>
        </w:rPr>
        <w:t>aron</w:t>
      </w:r>
      <w:r w:rsidR="00363345" w:rsidRPr="000248AD">
        <w:rPr>
          <w:rFonts w:ascii="Tahoma" w:eastAsia="Calibri" w:hAnsi="Tahoma" w:cs="Tahoma"/>
          <w:lang w:val="es-ES" w:eastAsia="es-CO"/>
        </w:rPr>
        <w:t xml:space="preserve"> a declarar a su contraparte procesal, con el fin de demostrar </w:t>
      </w:r>
      <w:r w:rsidR="00AE4DE2" w:rsidRPr="000248AD">
        <w:rPr>
          <w:rFonts w:ascii="Tahoma" w:eastAsia="Calibri" w:hAnsi="Tahoma" w:cs="Tahoma"/>
          <w:lang w:val="es-ES" w:eastAsia="es-CO"/>
        </w:rPr>
        <w:t>el cumplimiento de su obligación, s</w:t>
      </w:r>
      <w:r w:rsidR="00363345" w:rsidRPr="000248AD">
        <w:rPr>
          <w:rFonts w:ascii="Tahoma" w:eastAsia="Calibri" w:hAnsi="Tahoma" w:cs="Tahoma"/>
          <w:lang w:eastAsia="es-CO"/>
        </w:rPr>
        <w:t xml:space="preserve">in embargo, una vez rendido el interrogatorio de </w:t>
      </w:r>
      <w:r w:rsidR="00363345" w:rsidRPr="000248AD">
        <w:rPr>
          <w:rFonts w:ascii="Tahoma" w:eastAsia="Calibri" w:hAnsi="Tahoma" w:cs="Tahoma"/>
          <w:lang w:val="es-ES" w:eastAsia="es-CO"/>
        </w:rPr>
        <w:t xml:space="preserve">parte, no se logró desvirtuar </w:t>
      </w:r>
      <w:r w:rsidR="00AE4DE2" w:rsidRPr="000248AD">
        <w:rPr>
          <w:rFonts w:ascii="Tahoma" w:eastAsia="Calibri" w:hAnsi="Tahoma" w:cs="Tahoma"/>
          <w:lang w:val="es-ES" w:eastAsia="es-CO"/>
        </w:rPr>
        <w:t xml:space="preserve">la omisión alegada en la demanda, </w:t>
      </w:r>
      <w:r w:rsidR="00EF68DF" w:rsidRPr="000248AD">
        <w:rPr>
          <w:rFonts w:ascii="Tahoma" w:eastAsia="Calibri" w:hAnsi="Tahoma" w:cs="Tahoma"/>
          <w:lang w:val="es-ES" w:eastAsia="es-CO"/>
        </w:rPr>
        <w:t xml:space="preserve">puesto que </w:t>
      </w:r>
      <w:r w:rsidR="006C6919" w:rsidRPr="000248AD">
        <w:rPr>
          <w:rFonts w:ascii="Tahoma" w:eastAsia="Calibri" w:hAnsi="Tahoma" w:cs="Tahoma"/>
          <w:lang w:val="es-ES" w:eastAsia="es-CO"/>
        </w:rPr>
        <w:t>el</w:t>
      </w:r>
      <w:r w:rsidR="00AE4DE2" w:rsidRPr="000248AD">
        <w:rPr>
          <w:rFonts w:ascii="Tahoma" w:eastAsia="Calibri" w:hAnsi="Tahoma" w:cs="Tahoma"/>
          <w:lang w:val="es-ES" w:eastAsia="es-CO"/>
        </w:rPr>
        <w:t xml:space="preserve"> promotor del litigio</w:t>
      </w:r>
      <w:r w:rsidR="00AF3DFE" w:rsidRPr="000248AD">
        <w:rPr>
          <w:rFonts w:ascii="Tahoma" w:eastAsia="Calibri" w:hAnsi="Tahoma" w:cs="Tahoma"/>
          <w:lang w:val="es-ES" w:eastAsia="es-CO"/>
        </w:rPr>
        <w:t xml:space="preserve">, sobre los pormenores que rodearon la mutación de régimen, únicamente indicó que </w:t>
      </w:r>
      <w:r w:rsidR="00BB08F1" w:rsidRPr="000248AD">
        <w:rPr>
          <w:rFonts w:ascii="Tahoma" w:eastAsia="Calibri" w:hAnsi="Tahoma" w:cs="Tahoma"/>
          <w:lang w:val="es-ES" w:eastAsia="es-CO"/>
        </w:rPr>
        <w:t>los fondos de pensiones visitaron la obra en donde trabajaba en 1995, para indicarles que eran mejores que el ISS, puesto que el manejo era más claro, al tratarse de una cuenta individual, que sus aportes podían ser heredados y que requería menos semanas, además de que el ISS iba a desaparecer porque estaba quebrado.</w:t>
      </w:r>
    </w:p>
    <w:p w14:paraId="3E038C2B" w14:textId="77777777" w:rsidR="00BB08F1" w:rsidRPr="000248AD" w:rsidRDefault="00BB08F1" w:rsidP="000248AD">
      <w:pPr>
        <w:widowControl w:val="0"/>
        <w:autoSpaceDE w:val="0"/>
        <w:autoSpaceDN w:val="0"/>
        <w:adjustRightInd w:val="0"/>
        <w:spacing w:before="0" w:beforeAutospacing="0" w:after="0" w:afterAutospacing="0" w:line="276" w:lineRule="auto"/>
        <w:ind w:firstLine="708"/>
        <w:rPr>
          <w:rFonts w:ascii="Tahoma" w:hAnsi="Tahoma" w:cs="Tahoma"/>
          <w:lang w:val="es-ES"/>
        </w:rPr>
      </w:pPr>
    </w:p>
    <w:p w14:paraId="3FE41C18" w14:textId="77777777" w:rsidR="00BB08F1" w:rsidRPr="000248AD" w:rsidRDefault="00BB08F1" w:rsidP="000248AD">
      <w:pPr>
        <w:spacing w:before="0" w:beforeAutospacing="0" w:after="0" w:afterAutospacing="0" w:line="276" w:lineRule="auto"/>
        <w:ind w:firstLine="708"/>
        <w:rPr>
          <w:rFonts w:ascii="Tahoma" w:eastAsia="Calibri" w:hAnsi="Tahoma" w:cs="Tahoma"/>
          <w:lang w:val="es-ES" w:eastAsia="es-CO"/>
        </w:rPr>
      </w:pPr>
      <w:r w:rsidRPr="000248AD">
        <w:rPr>
          <w:rFonts w:ascii="Tahoma" w:eastAsia="Tahoma" w:hAnsi="Tahoma" w:cs="Tahoma"/>
          <w:color w:val="000000" w:themeColor="text1"/>
          <w:lang w:val="es-ES"/>
        </w:rPr>
        <w:t>Si bien añadió el actor que la decisión de retornar a Colpensiones se funda en el bajo monto de la mesada pensional que percibiría en el RAIS, esto de ningún modo desvía el origen de la litis, esto es, verificar si al momento del traslado efectivo la afiliada accedió a una información clara y precisa sobre las ventajas, desventajas y riesgos de cada régimen en los términos explicados.</w:t>
      </w:r>
    </w:p>
    <w:p w14:paraId="11ED62F5" w14:textId="5AFA0CF3" w:rsidR="009C239E" w:rsidRPr="000248AD" w:rsidRDefault="009C239E" w:rsidP="000248AD">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p>
    <w:p w14:paraId="1A41DAF3" w14:textId="396A3274" w:rsidR="00210D29" w:rsidRPr="000248AD" w:rsidRDefault="00743CF9"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Tahoma" w:hAnsi="Tahoma" w:cs="Tahoma"/>
          <w:color w:val="000000" w:themeColor="text1"/>
          <w:lang w:val="es-ES"/>
        </w:rPr>
        <w:t xml:space="preserve">Cabe recalcar que </w:t>
      </w:r>
      <w:r w:rsidR="00AF3DFE" w:rsidRPr="000248AD">
        <w:rPr>
          <w:rFonts w:ascii="Tahoma" w:eastAsia="Tahoma" w:hAnsi="Tahoma" w:cs="Tahoma"/>
          <w:color w:val="000000" w:themeColor="text1"/>
          <w:lang w:val="es-ES"/>
        </w:rPr>
        <w:t>e</w:t>
      </w:r>
      <w:r w:rsidR="00785377" w:rsidRPr="000248AD">
        <w:rPr>
          <w:rFonts w:ascii="Tahoma" w:eastAsia="Tahoma" w:hAnsi="Tahoma" w:cs="Tahoma"/>
          <w:color w:val="000000" w:themeColor="text1"/>
          <w:lang w:val="es-ES"/>
        </w:rPr>
        <w:t>l</w:t>
      </w:r>
      <w:r w:rsidR="00EF68DF" w:rsidRPr="000248AD">
        <w:rPr>
          <w:rFonts w:ascii="Tahoma" w:eastAsia="Tahoma" w:hAnsi="Tahoma" w:cs="Tahoma"/>
          <w:color w:val="000000" w:themeColor="text1"/>
          <w:lang w:val="es-ES"/>
        </w:rPr>
        <w:t xml:space="preserve"> </w:t>
      </w:r>
      <w:r w:rsidRPr="000248AD">
        <w:rPr>
          <w:rFonts w:ascii="Tahoma" w:eastAsia="Tahoma" w:hAnsi="Tahoma" w:cs="Tahoma"/>
          <w:color w:val="000000" w:themeColor="text1"/>
          <w:lang w:val="es-ES"/>
        </w:rPr>
        <w:t xml:space="preserve">demandante </w:t>
      </w:r>
      <w:r w:rsidR="00363345" w:rsidRPr="000248AD">
        <w:rPr>
          <w:rFonts w:ascii="Tahoma" w:eastAsia="Tahoma" w:hAnsi="Tahoma" w:cs="Tahoma"/>
          <w:color w:val="000000" w:themeColor="text1"/>
          <w:lang w:val="es-ES"/>
        </w:rPr>
        <w:t>jamás confesó que se le hubiere brindado una explicación pormenorizada e individualizada de los pros y contras de su determinación</w:t>
      </w:r>
      <w:r w:rsidR="00FC331B" w:rsidRPr="000248AD">
        <w:rPr>
          <w:rFonts w:ascii="Tahoma" w:eastAsia="Tahoma" w:hAnsi="Tahoma" w:cs="Tahoma"/>
          <w:color w:val="000000" w:themeColor="text1"/>
          <w:lang w:val="es-ES"/>
        </w:rPr>
        <w:t xml:space="preserve"> de cambiar de régimen</w:t>
      </w:r>
      <w:r w:rsidR="00363345" w:rsidRPr="000248AD">
        <w:rPr>
          <w:rFonts w:ascii="Tahoma" w:eastAsia="Tahoma" w:hAnsi="Tahoma" w:cs="Tahoma"/>
          <w:color w:val="000000" w:themeColor="text1"/>
          <w:lang w:val="es-ES"/>
        </w:rPr>
        <w:t xml:space="preserve"> o de las características entre uno u otro régimen,</w:t>
      </w:r>
      <w:r w:rsidR="00AF3DFE" w:rsidRPr="000248AD">
        <w:rPr>
          <w:rFonts w:ascii="Tahoma" w:eastAsia="Tahoma" w:hAnsi="Tahoma" w:cs="Tahoma"/>
          <w:color w:val="000000" w:themeColor="text1"/>
          <w:lang w:val="es-ES"/>
        </w:rPr>
        <w:t xml:space="preserve"> y, la documental aportada no da cuenta de las circunstancias que rodearon el momento del traslado o de la información recibida por el actor, que contrario a lo afirmado por las pasivas de la litis, se evidencia parcializada, sesgada e insuficiente para calificarse de </w:t>
      </w:r>
      <w:r w:rsidR="00AF3DFE" w:rsidRPr="000248AD">
        <w:rPr>
          <w:rFonts w:ascii="Tahoma" w:eastAsia="Tahoma" w:hAnsi="Tahoma" w:cs="Tahoma"/>
          <w:color w:val="000000" w:themeColor="text1"/>
          <w:lang w:val="es-ES"/>
        </w:rPr>
        <w:lastRenderedPageBreak/>
        <w:t>informada.</w:t>
      </w:r>
    </w:p>
    <w:p w14:paraId="7C4A347F" w14:textId="2E2F9B27" w:rsidR="0418CE1C" w:rsidRPr="000248AD" w:rsidRDefault="0418CE1C" w:rsidP="000248AD">
      <w:pPr>
        <w:widowControl w:val="0"/>
        <w:spacing w:before="0" w:beforeAutospacing="0" w:after="0" w:afterAutospacing="0" w:line="276" w:lineRule="auto"/>
        <w:ind w:firstLine="708"/>
        <w:rPr>
          <w:rFonts w:ascii="Tahoma" w:eastAsia="Tahoma" w:hAnsi="Tahoma" w:cs="Tahoma"/>
          <w:color w:val="000000" w:themeColor="text1"/>
          <w:lang w:val="es-ES"/>
        </w:rPr>
      </w:pPr>
    </w:p>
    <w:p w14:paraId="18E72D9E" w14:textId="4926529D" w:rsidR="00EF68DF" w:rsidRPr="000248AD" w:rsidRDefault="00EF68DF" w:rsidP="00CF52CC">
      <w:pPr>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 xml:space="preserve">En cuanto a las condenas impartidas a cargo de </w:t>
      </w:r>
      <w:r w:rsidR="00BB08F1" w:rsidRPr="000248AD">
        <w:rPr>
          <w:rFonts w:ascii="Tahoma" w:eastAsia="Calibri" w:hAnsi="Tahoma" w:cs="Tahoma"/>
          <w:lang w:eastAsia="es-CO"/>
        </w:rPr>
        <w:t xml:space="preserve">PROTECCIÓN </w:t>
      </w:r>
      <w:r w:rsidRPr="000248AD">
        <w:rPr>
          <w:rFonts w:ascii="Tahoma" w:eastAsia="Calibri" w:hAnsi="Tahoma" w:cs="Tahoma"/>
          <w:lang w:eastAsia="es-CO"/>
        </w:rPr>
        <w:t xml:space="preserve">S.A., </w:t>
      </w:r>
      <w:r w:rsidR="2130F610" w:rsidRPr="000248AD">
        <w:rPr>
          <w:rFonts w:ascii="Tahoma" w:eastAsia="Tahoma" w:hAnsi="Tahoma" w:cs="Tahoma"/>
        </w:rPr>
        <w:t xml:space="preserve">se dirá que en estricto acatamiento de las consecuencias previstas por la Corte Suprema de Justicia, entre otras, en las sentencias CSJ </w:t>
      </w:r>
      <w:r w:rsidR="2130F610" w:rsidRPr="000248AD">
        <w:rPr>
          <w:rFonts w:ascii="Tahoma" w:eastAsia="Tahoma" w:hAnsi="Tahoma" w:cs="Tahoma"/>
          <w:lang w:val="es"/>
        </w:rPr>
        <w:t>SL1084-2023, CSJ SL 932-2023, CSJ SL 4297-2022, CSJ SL3465-2022, CSJ SL2229-2022 y CSJ SL3188-2022,</w:t>
      </w:r>
      <w:r w:rsidR="2130F610" w:rsidRPr="000248AD">
        <w:rPr>
          <w:rFonts w:ascii="Tahoma" w:eastAsia="Tahoma" w:hAnsi="Tahoma" w:cs="Tahoma"/>
          <w:b/>
          <w:bCs/>
          <w:lang w:val="es"/>
        </w:rPr>
        <w:t xml:space="preserve"> </w:t>
      </w:r>
      <w:r w:rsidR="2130F610" w:rsidRPr="000248AD">
        <w:rPr>
          <w:rFonts w:ascii="Tahoma" w:eastAsia="Tahoma" w:hAnsi="Tahoma" w:cs="Tahoma"/>
        </w:rPr>
        <w:t xml:space="preserve">previamente citadas, es su deber devolver a Colpensiones </w:t>
      </w:r>
      <w:r w:rsidR="2130F610" w:rsidRPr="000248AD">
        <w:rPr>
          <w:rFonts w:ascii="Tahoma" w:eastAsia="Tahoma" w:hAnsi="Tahoma" w:cs="Tahoma"/>
          <w:lang w:val="es"/>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 </w:t>
      </w:r>
      <w:r w:rsidR="2130F610" w:rsidRPr="000248AD">
        <w:rPr>
          <w:rFonts w:ascii="Tahoma" w:eastAsia="Tahoma" w:hAnsi="Tahoma" w:cs="Tahoma"/>
        </w:rPr>
        <w:t>por lo que se confirmará la sentencia apelada frente a tal decisión.</w:t>
      </w:r>
    </w:p>
    <w:p w14:paraId="58CFC411" w14:textId="563F0319" w:rsidR="577B4671" w:rsidRPr="000248AD" w:rsidRDefault="577B4671" w:rsidP="00CF52CC">
      <w:pPr>
        <w:spacing w:before="0" w:beforeAutospacing="0" w:after="0" w:afterAutospacing="0" w:line="276" w:lineRule="auto"/>
        <w:ind w:firstLine="708"/>
        <w:rPr>
          <w:rFonts w:ascii="Tahoma" w:eastAsia="Tahoma" w:hAnsi="Tahoma" w:cs="Tahoma"/>
        </w:rPr>
      </w:pPr>
    </w:p>
    <w:p w14:paraId="6BAADD19" w14:textId="2961BFD3" w:rsidR="2130F610" w:rsidRPr="000248AD" w:rsidRDefault="2130F610" w:rsidP="00CF52CC">
      <w:pPr>
        <w:spacing w:before="0" w:beforeAutospacing="0" w:after="0" w:afterAutospacing="0" w:line="276" w:lineRule="auto"/>
        <w:rPr>
          <w:rFonts w:ascii="Tahoma" w:eastAsia="Calibri" w:hAnsi="Tahoma" w:cs="Tahoma"/>
          <w:lang w:eastAsia="es-CO"/>
        </w:rPr>
      </w:pPr>
      <w:r w:rsidRPr="000248AD">
        <w:rPr>
          <w:rFonts w:ascii="Tahoma" w:eastAsia="Calibri" w:hAnsi="Tahoma" w:cs="Tahoma"/>
          <w:lang w:eastAsia="es-CO"/>
        </w:rPr>
        <w:t xml:space="preserve">Ahora, </w:t>
      </w:r>
      <w:r w:rsidRPr="000248AD">
        <w:rPr>
          <w:rFonts w:ascii="Tahoma" w:eastAsia="Tahoma" w:hAnsi="Tahoma" w:cs="Tahoma"/>
          <w:lang w:val="es"/>
        </w:rPr>
        <w:t>el porcentaje correspondiente a los gastos de administración, comisiones y primas de seguros previsionales de invalidez y sobrevivencia, y el porcentaje destinado al fondo de garantía de pensión mínima</w:t>
      </w:r>
      <w:r w:rsidRPr="000248AD">
        <w:rPr>
          <w:rFonts w:ascii="Tahoma" w:eastAsia="Calibri" w:hAnsi="Tahoma" w:cs="Tahoma"/>
          <w:lang w:eastAsia="es-CO"/>
        </w:rPr>
        <w:t xml:space="preserve"> deben pagarse debidamente indexadas no solo por parte de PROTECCIÓN S.A., sino también por cuenta de COLFONDOS S.A., por el tiempo en que el actor estuvo afiliado a cada una de ellas; por lo que se </w:t>
      </w:r>
      <w:r w:rsidRPr="000248AD">
        <w:rPr>
          <w:rFonts w:ascii="Tahoma" w:hAnsi="Tahoma" w:cs="Tahoma"/>
          <w:color w:val="000000" w:themeColor="text1"/>
        </w:rPr>
        <w:t xml:space="preserve">adicionará el numeral tercero de la parte resolutiva de la sentencia de primera instancia, en el sentido de que, </w:t>
      </w:r>
      <w:r w:rsidRPr="000248AD">
        <w:rPr>
          <w:rFonts w:ascii="Tahoma" w:hAnsi="Tahoma" w:cs="Tahoma"/>
          <w:lang w:val="es-ES"/>
        </w:rPr>
        <w:t xml:space="preserve">las cuotas de administración y </w:t>
      </w:r>
      <w:r w:rsidRPr="000248AD">
        <w:rPr>
          <w:rFonts w:ascii="Tahoma" w:eastAsia="Calibri" w:hAnsi="Tahoma" w:cs="Tahoma"/>
          <w:lang w:eastAsia="es-CO"/>
        </w:rPr>
        <w:t>los valores utilizados en seguros previsionales y las cuotas de garantía de pensión mínima, deben reintegrarse debidamente indexadas por parte de COLFONDOS S.A. y PROTECCIÓN S.A., con cargo sus propios recursos.</w:t>
      </w:r>
    </w:p>
    <w:p w14:paraId="4AC78407" w14:textId="305F3051" w:rsidR="577B4671" w:rsidRPr="000248AD" w:rsidRDefault="577B4671" w:rsidP="00CF52CC">
      <w:pPr>
        <w:spacing w:before="0" w:beforeAutospacing="0" w:after="0" w:afterAutospacing="0" w:line="276" w:lineRule="auto"/>
        <w:ind w:firstLine="708"/>
        <w:rPr>
          <w:rFonts w:ascii="Tahoma" w:eastAsia="Tahoma" w:hAnsi="Tahoma" w:cs="Tahoma"/>
        </w:rPr>
      </w:pPr>
    </w:p>
    <w:p w14:paraId="6E6320DE" w14:textId="2962AA44" w:rsidR="2130F610" w:rsidRPr="000248AD" w:rsidRDefault="2130F610" w:rsidP="00CF52CC">
      <w:pPr>
        <w:spacing w:before="0" w:beforeAutospacing="0" w:after="0" w:afterAutospacing="0" w:line="276" w:lineRule="auto"/>
        <w:ind w:firstLine="708"/>
        <w:rPr>
          <w:rFonts w:ascii="Tahoma" w:hAnsi="Tahoma" w:cs="Tahoma"/>
        </w:rPr>
      </w:pPr>
      <w:r w:rsidRPr="000248AD">
        <w:rPr>
          <w:rFonts w:ascii="Tahoma" w:eastAsia="Tahoma" w:hAnsi="Tahoma" w:cs="Tahoma"/>
        </w:rPr>
        <w:t xml:space="preserve"> Sin embargo, bajo las mismas premisas se adicionará la sentencia en el sentido de precisar que al momento del cumplimiento de las ordenes previstas en los numerales tercero, cuarto y sexto “</w:t>
      </w:r>
      <w:r w:rsidRPr="003D4CBC">
        <w:rPr>
          <w:rFonts w:ascii="Tahoma" w:eastAsia="Tahoma" w:hAnsi="Tahoma" w:cs="Tahoma"/>
          <w:i/>
          <w:iCs/>
          <w:sz w:val="22"/>
          <w:lang w:val="es"/>
        </w:rPr>
        <w:t>tales valores deberán aparecer discriminados con sus respectivos montos, junto con el detalle pormenorizado de los ciclos, IBC, aportes y demás información relevante que los justifiquen</w:t>
      </w:r>
      <w:r w:rsidRPr="000248AD">
        <w:rPr>
          <w:rFonts w:ascii="Tahoma" w:eastAsia="Tahoma" w:hAnsi="Tahoma" w:cs="Tahoma"/>
          <w:i/>
          <w:iCs/>
          <w:lang w:val="es"/>
        </w:rPr>
        <w:t>”.</w:t>
      </w:r>
    </w:p>
    <w:p w14:paraId="57D559B5" w14:textId="5C75DA25" w:rsidR="577B4671" w:rsidRPr="00CF52CC" w:rsidRDefault="577B4671" w:rsidP="00CF52CC">
      <w:pPr>
        <w:spacing w:before="0" w:beforeAutospacing="0" w:after="0" w:afterAutospacing="0" w:line="276" w:lineRule="auto"/>
        <w:ind w:firstLine="708"/>
        <w:rPr>
          <w:rFonts w:ascii="Tahoma" w:eastAsia="Tahoma" w:hAnsi="Tahoma" w:cs="Tahoma"/>
        </w:rPr>
      </w:pPr>
    </w:p>
    <w:p w14:paraId="72647273" w14:textId="54B7ED06" w:rsidR="005301E5" w:rsidRPr="000248AD" w:rsidRDefault="00EF68DF" w:rsidP="000248AD">
      <w:pPr>
        <w:spacing w:before="0" w:beforeAutospacing="0" w:after="0" w:afterAutospacing="0" w:line="276" w:lineRule="auto"/>
        <w:ind w:firstLine="644"/>
        <w:rPr>
          <w:rFonts w:ascii="Tahoma" w:eastAsia="Times New Roman" w:hAnsi="Tahoma" w:cs="Tahoma"/>
          <w:lang w:val="es-ES" w:eastAsia="es-ES"/>
        </w:rPr>
      </w:pPr>
      <w:r w:rsidRPr="000248AD">
        <w:rPr>
          <w:rFonts w:ascii="Tahoma" w:eastAsia="Times New Roman" w:hAnsi="Tahoma" w:cs="Tahoma"/>
          <w:lang w:val="es-ES" w:eastAsia="es-ES"/>
        </w:rPr>
        <w:t>En este punto es oportuno recordar que la Corte Constitucional en sentencia SU-053-2015, ha definido el precedente judicial como</w:t>
      </w:r>
      <w:r w:rsidRPr="000248AD">
        <w:rPr>
          <w:rFonts w:ascii="Tahoma" w:eastAsia="Times New Roman" w:hAnsi="Tahoma" w:cs="Tahoma"/>
          <w:i/>
          <w:lang w:val="es-ES" w:eastAsia="es-ES"/>
        </w:rPr>
        <w:t xml:space="preserve"> «</w:t>
      </w:r>
      <w:r w:rsidRPr="00CF52CC">
        <w:rPr>
          <w:rFonts w:ascii="Tahoma" w:eastAsia="Times New Roman" w:hAnsi="Tahoma" w:cs="Tahoma"/>
          <w:i/>
          <w:sz w:val="22"/>
          <w:lang w:val="es-ES" w:eastAsia="es-ES"/>
        </w:rPr>
        <w:t>la sentencia o el conjunto de ellas, anteriores a un caso determinado, que por su pertinencia y semejanza en los problemas jurídicos resueltos, debe necesariamente considerarse por las autoridades judiciales al momento de emitir un fallo</w:t>
      </w:r>
      <w:r w:rsidRPr="000248AD">
        <w:rPr>
          <w:rFonts w:ascii="Tahoma" w:eastAsia="Times New Roman" w:hAnsi="Tahoma" w:cs="Tahoma"/>
          <w:i/>
          <w:lang w:val="es-ES" w:eastAsia="es-ES"/>
        </w:rPr>
        <w:t xml:space="preserve">» </w:t>
      </w:r>
      <w:r w:rsidRPr="000248AD">
        <w:rPr>
          <w:rFonts w:ascii="Tahoma" w:eastAsia="Times New Roman" w:hAnsi="Tahoma" w:cs="Tahoma"/>
          <w:lang w:val="es-ES" w:eastAsia="es-ES"/>
        </w:rPr>
        <w:t>y, en tal sentido, el emitido por los máximos órganos de cierre</w:t>
      </w:r>
      <w:r w:rsidRPr="000248AD">
        <w:rPr>
          <w:rFonts w:ascii="Tahoma" w:eastAsia="Times New Roman" w:hAnsi="Tahoma" w:cs="Tahoma"/>
          <w:i/>
          <w:lang w:val="es-ES" w:eastAsia="es-ES"/>
        </w:rPr>
        <w:t>, “</w:t>
      </w:r>
      <w:r w:rsidRPr="00CF52CC">
        <w:rPr>
          <w:rFonts w:ascii="Tahoma" w:eastAsia="Times New Roman" w:hAnsi="Tahoma" w:cs="Tahoma"/>
          <w:i/>
          <w:sz w:val="22"/>
          <w:lang w:val="es-ES" w:eastAsia="es-ES"/>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Pr="000248AD">
        <w:rPr>
          <w:rFonts w:ascii="Tahoma" w:eastAsia="Times New Roman" w:hAnsi="Tahoma" w:cs="Tahoma"/>
          <w:i/>
          <w:lang w:val="es-ES" w:eastAsia="es-ES"/>
        </w:rPr>
        <w:t>”</w:t>
      </w:r>
      <w:r w:rsidRPr="000248AD">
        <w:rPr>
          <w:rFonts w:ascii="Tahoma" w:eastAsia="Times New Roman" w:hAnsi="Tahoma" w:cs="Tahoma"/>
          <w:lang w:val="es-ES" w:eastAsia="es-ES"/>
        </w:rPr>
        <w:t xml:space="preserve"> (STL4759-2020).</w:t>
      </w:r>
    </w:p>
    <w:p w14:paraId="2F0CE1A3" w14:textId="77777777" w:rsidR="00F15BA4" w:rsidRPr="000248AD" w:rsidRDefault="00F15BA4" w:rsidP="000248AD">
      <w:pPr>
        <w:spacing w:before="0" w:beforeAutospacing="0" w:after="0" w:afterAutospacing="0" w:line="276" w:lineRule="auto"/>
        <w:ind w:firstLine="644"/>
        <w:rPr>
          <w:rFonts w:ascii="Tahoma" w:eastAsia="Times New Roman" w:hAnsi="Tahoma" w:cs="Tahoma"/>
          <w:lang w:val="es-ES" w:eastAsia="es-ES"/>
        </w:rPr>
      </w:pPr>
    </w:p>
    <w:p w14:paraId="3E4AC016" w14:textId="63A0F884" w:rsidR="00F15BA4" w:rsidRPr="000248AD" w:rsidRDefault="00F15BA4"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 xml:space="preserve">Frente al argumento de Colpensiones, referente a que era improcedente permitir que el demandante se trasladara hacia dicha entidad al superar la edad mínima pensional, basta mencionar que uno de los efectos de la ineficacia es que justamente las cosas se retrotraen al estado en que se encontraban, es decir, como si ello no hubiera ocurrido y, en este caso, dicha declaratoria de ineficacia de cambio de </w:t>
      </w:r>
      <w:r w:rsidRPr="000248AD">
        <w:rPr>
          <w:rFonts w:ascii="Tahoma" w:eastAsia="Calibri" w:hAnsi="Tahoma" w:cs="Tahoma"/>
          <w:lang w:eastAsia="es-CO"/>
        </w:rPr>
        <w:lastRenderedPageBreak/>
        <w:t>régimen pensional, conlleva al regreso automático de</w:t>
      </w:r>
      <w:r w:rsidR="007E1273" w:rsidRPr="000248AD">
        <w:rPr>
          <w:rFonts w:ascii="Tahoma" w:eastAsia="Calibri" w:hAnsi="Tahoma" w:cs="Tahoma"/>
          <w:lang w:eastAsia="es-CO"/>
        </w:rPr>
        <w:t>l</w:t>
      </w:r>
      <w:r w:rsidRPr="000248AD">
        <w:rPr>
          <w:rFonts w:ascii="Tahoma" w:eastAsia="Calibri" w:hAnsi="Tahoma" w:cs="Tahoma"/>
          <w:lang w:eastAsia="es-CO"/>
        </w:rPr>
        <w:t xml:space="preserve"> demandante al régimen solidario de prima media con prestación definida hoy administrado por Colpensiones, del cual ya hacía parte, consecuencia que no puede ser modificada por la administración de justicia, con el fin de que la administradora pensional no se vea perjudicada, puesto que si el actor regresa a Colpensiones es porque antes del traslado ineficaz se encontraba válidamente afiliado al RPM</w:t>
      </w:r>
      <w:r w:rsidR="00AE4DE2" w:rsidRPr="000248AD">
        <w:rPr>
          <w:rFonts w:ascii="Tahoma" w:eastAsia="Calibri" w:hAnsi="Tahoma" w:cs="Tahoma"/>
          <w:lang w:eastAsia="es-CO"/>
        </w:rPr>
        <w:t xml:space="preserve"> y en la actualidad es aquella la única administradora de este régimen</w:t>
      </w:r>
      <w:r w:rsidRPr="000248AD">
        <w:rPr>
          <w:rFonts w:ascii="Tahoma" w:eastAsia="Calibri" w:hAnsi="Tahoma" w:cs="Tahoma"/>
          <w:lang w:eastAsia="es-CO"/>
        </w:rPr>
        <w:t>. Además, lo aquí analizado no es el traslado voluntario con la conservación o no del régimen de transición, sino el efecto de la ineficacia del cambio de régimen pensional a falta de información detallada y completa al momento del traslado de régimen.</w:t>
      </w:r>
    </w:p>
    <w:p w14:paraId="05550500" w14:textId="77777777" w:rsidR="00F15BA4" w:rsidRPr="000248AD" w:rsidRDefault="00F15BA4" w:rsidP="000248AD">
      <w:pPr>
        <w:spacing w:before="0" w:beforeAutospacing="0" w:after="0" w:afterAutospacing="0" w:line="276" w:lineRule="auto"/>
        <w:ind w:firstLine="644"/>
        <w:rPr>
          <w:rFonts w:ascii="Tahoma" w:eastAsia="Times New Roman" w:hAnsi="Tahoma" w:cs="Tahoma"/>
          <w:lang w:val="es-ES" w:eastAsia="es-ES"/>
        </w:rPr>
      </w:pPr>
    </w:p>
    <w:p w14:paraId="20757498" w14:textId="4DAB2D46" w:rsidR="002A1BAD" w:rsidRPr="000248AD" w:rsidRDefault="00DC5DA8" w:rsidP="000248AD">
      <w:pPr>
        <w:spacing w:before="0" w:beforeAutospacing="0" w:after="0" w:afterAutospacing="0" w:line="276" w:lineRule="auto"/>
        <w:ind w:firstLine="644"/>
        <w:rPr>
          <w:rFonts w:ascii="Tahoma" w:eastAsia="Calibri" w:hAnsi="Tahoma" w:cs="Tahoma"/>
          <w:lang w:val="es-ES"/>
        </w:rPr>
      </w:pPr>
      <w:r w:rsidRPr="000248AD">
        <w:rPr>
          <w:rFonts w:ascii="Tahoma" w:eastAsia="Calibri" w:hAnsi="Tahoma" w:cs="Tahoma"/>
          <w:lang w:val="es-ES"/>
        </w:rPr>
        <w:t xml:space="preserve">Ahora, como la declaratoria de ineficacia trae como consecuencia que las cosas se reestablezcan al estado en el que se encontraban al momento del traslado de régimen, </w:t>
      </w:r>
      <w:r w:rsidR="002A1BAD" w:rsidRPr="000248AD">
        <w:rPr>
          <w:rFonts w:ascii="Tahoma" w:eastAsia="Calibri" w:hAnsi="Tahoma" w:cs="Tahoma"/>
          <w:lang w:val="es-ES"/>
        </w:rPr>
        <w:t>sería del caso adicionar la sentencia con el fin de</w:t>
      </w:r>
      <w:r w:rsidRPr="000248AD">
        <w:rPr>
          <w:rFonts w:ascii="Tahoma" w:eastAsia="Calibri" w:hAnsi="Tahoma" w:cs="Tahoma"/>
          <w:lang w:val="es-ES"/>
        </w:rPr>
        <w:t xml:space="preserve"> comunicar la decisión adoptada en este asunto a la OBP del Ministerio de Hacienda y Crédito Público, </w:t>
      </w:r>
      <w:r w:rsidR="002A1BAD" w:rsidRPr="000248AD">
        <w:rPr>
          <w:rFonts w:ascii="Tahoma" w:eastAsia="Calibri" w:hAnsi="Tahoma" w:cs="Tahoma"/>
          <w:lang w:val="es-ES"/>
        </w:rPr>
        <w:t xml:space="preserve">no obstante, teniendo en cuenta que en la historia laboral </w:t>
      </w:r>
      <w:r w:rsidR="007A0AC6" w:rsidRPr="000248AD">
        <w:rPr>
          <w:rFonts w:ascii="Tahoma" w:eastAsia="Calibri" w:hAnsi="Tahoma" w:cs="Tahoma"/>
          <w:lang w:val="es-ES"/>
        </w:rPr>
        <w:t>expedida por</w:t>
      </w:r>
      <w:r w:rsidR="002A1BAD" w:rsidRPr="000248AD">
        <w:rPr>
          <w:rFonts w:ascii="Tahoma" w:eastAsia="Calibri" w:hAnsi="Tahoma" w:cs="Tahoma"/>
          <w:lang w:val="es-ES"/>
        </w:rPr>
        <w:t xml:space="preserve"> Protección S.A. se relacionan únicamente 104.43 semanas cotizadas a otro régimen y que en la consulta del bono pensional ante la OBP del Ministerio de Hacienda se encuentra la observación </w:t>
      </w:r>
      <w:r w:rsidR="002A1BAD" w:rsidRPr="000248AD">
        <w:rPr>
          <w:rFonts w:ascii="Tahoma" w:eastAsia="Calibri" w:hAnsi="Tahoma" w:cs="Tahoma"/>
          <w:i/>
          <w:iCs/>
          <w:lang w:val="es-ES"/>
        </w:rPr>
        <w:t>“historia laboral con aportes a la seguridad social no cumple con el mínimo de semanas requeridas 150”,</w:t>
      </w:r>
      <w:r w:rsidR="002A1BAD" w:rsidRPr="000248AD">
        <w:rPr>
          <w:rFonts w:ascii="Tahoma" w:eastAsia="Calibri" w:hAnsi="Tahoma" w:cs="Tahoma"/>
          <w:lang w:val="es-ES"/>
        </w:rPr>
        <w:t xml:space="preserve"> inane resulta emitir comunicación alguna </w:t>
      </w:r>
      <w:r w:rsidR="007A0AC6" w:rsidRPr="000248AD">
        <w:rPr>
          <w:rFonts w:ascii="Tahoma" w:eastAsia="Calibri" w:hAnsi="Tahoma" w:cs="Tahoma"/>
          <w:lang w:val="es-ES"/>
        </w:rPr>
        <w:t>con el fin de que se deje sin efecto la emisión de algún bono pensional</w:t>
      </w:r>
      <w:r w:rsidR="002A1BAD" w:rsidRPr="000248AD">
        <w:rPr>
          <w:rFonts w:ascii="Tahoma" w:eastAsia="Calibri" w:hAnsi="Tahoma" w:cs="Tahoma"/>
          <w:lang w:val="es-ES"/>
        </w:rPr>
        <w:t xml:space="preserve">, toda vez que el actor cotizó menos de 150 semanas anteriores al traslado al RAIS y, por ende, no se configura ninguna de las causales contempladas en el artículo 115 de la Ley 100 de 1993, que lo hagan acreedor o beneficiario de </w:t>
      </w:r>
      <w:r w:rsidR="007A0AC6" w:rsidRPr="000248AD">
        <w:rPr>
          <w:rFonts w:ascii="Tahoma" w:eastAsia="Calibri" w:hAnsi="Tahoma" w:cs="Tahoma"/>
          <w:lang w:val="es-ES"/>
        </w:rPr>
        <w:t>dicho instrumento de deuda pública</w:t>
      </w:r>
      <w:r w:rsidR="002A1BAD" w:rsidRPr="000248AD">
        <w:rPr>
          <w:rFonts w:ascii="Tahoma" w:eastAsia="Calibri" w:hAnsi="Tahoma" w:cs="Tahoma"/>
          <w:lang w:val="es-ES"/>
        </w:rPr>
        <w:t>.</w:t>
      </w:r>
    </w:p>
    <w:p w14:paraId="2EB119E7" w14:textId="5506B612" w:rsidR="002A1BAD" w:rsidRPr="000248AD" w:rsidRDefault="002A1BAD" w:rsidP="000248AD">
      <w:pPr>
        <w:spacing w:before="0" w:beforeAutospacing="0" w:after="0" w:afterAutospacing="0" w:line="276" w:lineRule="auto"/>
        <w:ind w:firstLine="644"/>
        <w:rPr>
          <w:rFonts w:ascii="Tahoma" w:eastAsia="Calibri" w:hAnsi="Tahoma" w:cs="Tahoma"/>
          <w:lang w:val="es-ES"/>
        </w:rPr>
      </w:pPr>
    </w:p>
    <w:p w14:paraId="2C118F6E" w14:textId="37524EF7" w:rsidR="007E1273" w:rsidRPr="000248AD" w:rsidRDefault="00B6284A" w:rsidP="000248AD">
      <w:pPr>
        <w:spacing w:before="0" w:beforeAutospacing="0" w:after="0" w:afterAutospacing="0" w:line="276" w:lineRule="auto"/>
        <w:ind w:firstLine="644"/>
        <w:rPr>
          <w:rFonts w:ascii="Tahoma" w:eastAsia="Calibri" w:hAnsi="Tahoma" w:cs="Tahoma"/>
          <w:color w:val="000000" w:themeColor="text1"/>
        </w:rPr>
      </w:pPr>
      <w:r w:rsidRPr="000248AD">
        <w:rPr>
          <w:rFonts w:ascii="Tahoma" w:eastAsia="Calibri" w:hAnsi="Tahoma" w:cs="Tahoma"/>
          <w:color w:val="000000" w:themeColor="text1"/>
        </w:rPr>
        <w:t xml:space="preserve">Al margen de lo anterior, </w:t>
      </w:r>
      <w:r w:rsidR="007E1273" w:rsidRPr="000248AD">
        <w:rPr>
          <w:rFonts w:ascii="Tahoma" w:eastAsia="Calibri" w:hAnsi="Tahoma" w:cs="Tahoma"/>
          <w:color w:val="000000" w:themeColor="text1"/>
        </w:rPr>
        <w:t xml:space="preserve">para mayor precisión, se encuentra procedente adicionar la sentencia de primera instancia, en el sentido de declarar igualmente ineficaz el traslado entre administradoras efectuado por el demandante mediante solicitud del </w:t>
      </w:r>
      <w:r w:rsidR="00BB08F1" w:rsidRPr="000248AD">
        <w:rPr>
          <w:rFonts w:ascii="Tahoma" w:eastAsia="Calibri" w:hAnsi="Tahoma" w:cs="Tahoma"/>
          <w:color w:val="000000" w:themeColor="text1"/>
        </w:rPr>
        <w:t>25 de julio de 2001</w:t>
      </w:r>
      <w:r w:rsidR="007E1273" w:rsidRPr="000248AD">
        <w:rPr>
          <w:rFonts w:ascii="Tahoma" w:eastAsia="Calibri" w:hAnsi="Tahoma" w:cs="Tahoma"/>
          <w:color w:val="000000" w:themeColor="text1"/>
        </w:rPr>
        <w:t xml:space="preserve"> a </w:t>
      </w:r>
      <w:r w:rsidR="00BB08F1" w:rsidRPr="000248AD">
        <w:rPr>
          <w:rFonts w:ascii="Tahoma" w:eastAsia="Calibri" w:hAnsi="Tahoma" w:cs="Tahoma"/>
          <w:color w:val="000000" w:themeColor="text1"/>
        </w:rPr>
        <w:t>Santander hoy Protección S.A.</w:t>
      </w:r>
      <w:r w:rsidR="007E1273" w:rsidRPr="000248AD">
        <w:rPr>
          <w:rFonts w:ascii="Tahoma" w:eastAsia="Calibri" w:hAnsi="Tahoma" w:cs="Tahoma"/>
          <w:color w:val="000000" w:themeColor="text1"/>
        </w:rPr>
        <w:t xml:space="preserve">, toda vez que, como accesorio al traslado de régimen, sigue la suerte de lo principal. </w:t>
      </w:r>
    </w:p>
    <w:p w14:paraId="000AB641" w14:textId="77777777" w:rsidR="00B6284A" w:rsidRPr="000248AD" w:rsidRDefault="00B6284A" w:rsidP="000248AD">
      <w:pPr>
        <w:spacing w:before="0" w:beforeAutospacing="0" w:after="0" w:afterAutospacing="0" w:line="276" w:lineRule="auto"/>
        <w:ind w:firstLine="644"/>
        <w:rPr>
          <w:rFonts w:ascii="Tahoma" w:eastAsia="Calibri" w:hAnsi="Tahoma" w:cs="Tahoma"/>
          <w:color w:val="000000" w:themeColor="text1"/>
        </w:rPr>
      </w:pPr>
    </w:p>
    <w:p w14:paraId="427C1D2F" w14:textId="0B6DFF63" w:rsidR="00B6284A" w:rsidRPr="000248AD" w:rsidRDefault="00B6284A" w:rsidP="000248AD">
      <w:pPr>
        <w:widowControl w:val="0"/>
        <w:autoSpaceDE w:val="0"/>
        <w:autoSpaceDN w:val="0"/>
        <w:adjustRightInd w:val="0"/>
        <w:spacing w:before="0" w:beforeAutospacing="0" w:after="0" w:afterAutospacing="0" w:line="276" w:lineRule="auto"/>
        <w:ind w:firstLine="708"/>
        <w:rPr>
          <w:rFonts w:ascii="Tahoma" w:hAnsi="Tahoma" w:cs="Tahoma"/>
          <w:lang w:val="es"/>
        </w:rPr>
      </w:pPr>
      <w:r w:rsidRPr="000248AD">
        <w:rPr>
          <w:rFonts w:ascii="Tahoma" w:eastAsia="Calibri" w:hAnsi="Tahoma" w:cs="Tahoma"/>
        </w:rPr>
        <w:t>Por último, improcedente resulta dar prosperidad a la solicitud elevada por Colpensiones en la a</w:t>
      </w:r>
      <w:r w:rsidR="0F5330D2" w:rsidRPr="000248AD">
        <w:rPr>
          <w:rFonts w:ascii="Tahoma" w:eastAsia="Calibri" w:hAnsi="Tahoma" w:cs="Tahoma"/>
        </w:rPr>
        <w:t>l</w:t>
      </w:r>
      <w:r w:rsidRPr="000248AD">
        <w:rPr>
          <w:rFonts w:ascii="Tahoma" w:eastAsia="Calibri" w:hAnsi="Tahoma" w:cs="Tahoma"/>
        </w:rPr>
        <w:t xml:space="preserve">zada referente a condenar a las AFP a reconocer un cálculo actuarial equivalente al valor total de las mesadas pensionales a pagar, liquidadas bajo los parámetros del Régimen de Prima Media, </w:t>
      </w:r>
      <w:r w:rsidR="2C4C625E" w:rsidRPr="000248AD">
        <w:rPr>
          <w:rFonts w:ascii="Tahoma" w:eastAsia="Calibri" w:hAnsi="Tahoma" w:cs="Tahoma"/>
        </w:rPr>
        <w:t>puesto que,</w:t>
      </w:r>
      <w:r w:rsidRPr="000248AD">
        <w:rPr>
          <w:rFonts w:ascii="Tahoma" w:eastAsia="Calibri" w:hAnsi="Tahoma" w:cs="Tahoma"/>
        </w:rPr>
        <w:t xml:space="preserve"> al ser ajena al objeto del proceso</w:t>
      </w:r>
      <w:r w:rsidRPr="000248AD">
        <w:rPr>
          <w:rFonts w:ascii="Tahoma" w:hAnsi="Tahoma" w:cs="Tahoma"/>
          <w:lang w:val="es"/>
        </w:rPr>
        <w:t xml:space="preserve">, debe ser objeto de demanda de COLPENSIONES contra las AFP a efectos de que esta última ejerza debidamente su derecho de defensa. En consecuencia, el cálculo actuarial solicitado por COLPENSIONES no puede analizarse en este asunto porque no hay pretensiones en ese sentido. </w:t>
      </w:r>
    </w:p>
    <w:p w14:paraId="7A5AEF02" w14:textId="77777777" w:rsidR="00F15BA4" w:rsidRPr="000248AD" w:rsidRDefault="00F15BA4" w:rsidP="000248AD">
      <w:pPr>
        <w:spacing w:before="0" w:beforeAutospacing="0" w:after="0" w:afterAutospacing="0" w:line="276" w:lineRule="auto"/>
        <w:ind w:firstLine="644"/>
        <w:rPr>
          <w:rFonts w:ascii="Tahoma" w:eastAsia="Calibri" w:hAnsi="Tahoma" w:cs="Tahoma"/>
          <w:lang w:eastAsia="es-CO"/>
        </w:rPr>
      </w:pPr>
    </w:p>
    <w:p w14:paraId="64637C2C" w14:textId="0AAC14F8" w:rsidR="00210D29" w:rsidRPr="000248AD" w:rsidRDefault="00711FF5"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248AD">
        <w:rPr>
          <w:rFonts w:ascii="Tahoma" w:eastAsia="Calibri" w:hAnsi="Tahoma" w:cs="Tahoma"/>
          <w:lang w:eastAsia="es-CO"/>
        </w:rPr>
        <w:t xml:space="preserve">Ante el fracaso del recurso de apelación, </w:t>
      </w:r>
      <w:r w:rsidR="00210D29" w:rsidRPr="000248AD">
        <w:rPr>
          <w:rFonts w:ascii="Tahoma" w:eastAsia="Calibri" w:hAnsi="Tahoma" w:cs="Tahoma"/>
          <w:lang w:eastAsia="es-CO"/>
        </w:rPr>
        <w:t xml:space="preserve">de conformidad con el artículo 365 del CGP, se condenará en costas procesales a Colpensiones a favor de la parte actora, las cuales se liquidarán por la secretaría del juzgado de origen. </w:t>
      </w:r>
    </w:p>
    <w:p w14:paraId="45B98FC9" w14:textId="7ACDF18D" w:rsidR="00C33B3F" w:rsidRPr="000248AD" w:rsidRDefault="00C33B3F" w:rsidP="000248A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BE016E8" w14:textId="77777777" w:rsidR="00210D29" w:rsidRPr="000248AD" w:rsidRDefault="00210D29" w:rsidP="000248AD">
      <w:pPr>
        <w:spacing w:before="0" w:beforeAutospacing="0" w:after="0" w:afterAutospacing="0" w:line="276" w:lineRule="auto"/>
        <w:ind w:firstLine="705"/>
        <w:textAlignment w:val="baseline"/>
        <w:rPr>
          <w:rFonts w:ascii="Tahoma" w:eastAsia="Times New Roman" w:hAnsi="Tahoma" w:cs="Tahoma"/>
          <w:lang w:eastAsia="es-CO"/>
        </w:rPr>
      </w:pPr>
      <w:r w:rsidRPr="000248AD">
        <w:rPr>
          <w:rFonts w:ascii="Tahoma" w:eastAsia="Times New Roman" w:hAnsi="Tahoma" w:cs="Tahoma"/>
          <w:lang w:eastAsia="es-CO"/>
        </w:rPr>
        <w:t xml:space="preserve">En mérito de lo expuesto, el </w:t>
      </w:r>
      <w:r w:rsidRPr="000248AD">
        <w:rPr>
          <w:rFonts w:ascii="Tahoma" w:eastAsia="Times New Roman" w:hAnsi="Tahoma" w:cs="Tahoma"/>
          <w:b/>
          <w:bCs/>
          <w:lang w:eastAsia="es-CO"/>
        </w:rPr>
        <w:t>Tribunal Superior del Distrito Judicial de Pereira - Risaralda, Sala Primera de Decisión Laboral,</w:t>
      </w:r>
      <w:r w:rsidRPr="000248AD">
        <w:rPr>
          <w:rFonts w:ascii="Tahoma" w:eastAsia="Times New Roman" w:hAnsi="Tahoma" w:cs="Tahoma"/>
          <w:lang w:eastAsia="es-CO"/>
        </w:rPr>
        <w:t xml:space="preserve"> administrando justicia en nombre de la República y por autoridad de la ley, </w:t>
      </w:r>
    </w:p>
    <w:p w14:paraId="443025ED" w14:textId="28E1398D" w:rsidR="00210D29" w:rsidRPr="000248AD" w:rsidRDefault="00210D29" w:rsidP="000248AD">
      <w:pPr>
        <w:spacing w:before="0" w:beforeAutospacing="0" w:after="0" w:afterAutospacing="0" w:line="276" w:lineRule="auto"/>
        <w:ind w:firstLine="705"/>
        <w:textAlignment w:val="baseline"/>
        <w:rPr>
          <w:rFonts w:ascii="Tahoma" w:eastAsia="Times New Roman" w:hAnsi="Tahoma" w:cs="Tahoma"/>
          <w:lang w:eastAsia="es-CO"/>
        </w:rPr>
      </w:pPr>
      <w:r w:rsidRPr="000248AD">
        <w:rPr>
          <w:rFonts w:ascii="Tahoma" w:eastAsia="Times New Roman" w:hAnsi="Tahoma" w:cs="Tahoma"/>
          <w:lang w:eastAsia="es-CO"/>
        </w:rPr>
        <w:lastRenderedPageBreak/>
        <w:t> </w:t>
      </w:r>
    </w:p>
    <w:p w14:paraId="6746B67C" w14:textId="5C5247B8" w:rsidR="00210D29" w:rsidRDefault="00210D29" w:rsidP="000248AD">
      <w:pPr>
        <w:spacing w:before="0" w:beforeAutospacing="0" w:after="0" w:afterAutospacing="0" w:line="276" w:lineRule="auto"/>
        <w:ind w:firstLine="0"/>
        <w:jc w:val="center"/>
        <w:textAlignment w:val="baseline"/>
        <w:rPr>
          <w:rFonts w:ascii="Tahoma" w:eastAsia="Times New Roman" w:hAnsi="Tahoma" w:cs="Tahoma"/>
          <w:b/>
          <w:bCs/>
          <w:color w:val="000000"/>
          <w:lang w:eastAsia="es-CO"/>
        </w:rPr>
      </w:pPr>
      <w:r w:rsidRPr="000248AD">
        <w:rPr>
          <w:rFonts w:ascii="Tahoma" w:eastAsia="Times New Roman" w:hAnsi="Tahoma" w:cs="Tahoma"/>
          <w:b/>
          <w:bCs/>
          <w:color w:val="000000"/>
          <w:lang w:eastAsia="es-CO"/>
        </w:rPr>
        <w:t>RESUELVE</w:t>
      </w:r>
    </w:p>
    <w:p w14:paraId="5B965248" w14:textId="77777777" w:rsidR="000248AD" w:rsidRPr="000248AD" w:rsidRDefault="000248AD" w:rsidP="000248AD">
      <w:pPr>
        <w:spacing w:before="0" w:beforeAutospacing="0" w:after="0" w:afterAutospacing="0" w:line="276" w:lineRule="auto"/>
        <w:ind w:firstLine="0"/>
        <w:jc w:val="center"/>
        <w:textAlignment w:val="baseline"/>
        <w:rPr>
          <w:rFonts w:ascii="Tahoma" w:eastAsia="Times New Roman" w:hAnsi="Tahoma" w:cs="Tahoma"/>
          <w:b/>
          <w:bCs/>
          <w:color w:val="000000"/>
          <w:lang w:eastAsia="es-CO"/>
        </w:rPr>
      </w:pPr>
    </w:p>
    <w:p w14:paraId="6057BFFA" w14:textId="1F28DC72" w:rsidR="00BB08F1" w:rsidRPr="000248AD" w:rsidRDefault="004035B0" w:rsidP="000248AD">
      <w:pPr>
        <w:spacing w:before="0" w:beforeAutospacing="0" w:after="0" w:afterAutospacing="0" w:line="276" w:lineRule="auto"/>
        <w:textAlignment w:val="baseline"/>
        <w:rPr>
          <w:rFonts w:ascii="Tahoma" w:eastAsia="Calibri" w:hAnsi="Tahoma" w:cs="Tahoma"/>
          <w:color w:val="000000" w:themeColor="text1"/>
        </w:rPr>
      </w:pPr>
      <w:r w:rsidRPr="000248AD">
        <w:rPr>
          <w:rFonts w:ascii="Tahoma" w:eastAsia="Times New Roman" w:hAnsi="Tahoma" w:cs="Tahoma"/>
          <w:b/>
          <w:bCs/>
          <w:color w:val="000000" w:themeColor="text1"/>
          <w:lang w:eastAsia="es-CO"/>
        </w:rPr>
        <w:t xml:space="preserve">PRIMERO: </w:t>
      </w:r>
      <w:r w:rsidRPr="000248AD">
        <w:rPr>
          <w:rFonts w:ascii="Tahoma" w:eastAsia="Times New Roman" w:hAnsi="Tahoma" w:cs="Tahoma"/>
          <w:color w:val="000000" w:themeColor="text1"/>
          <w:lang w:eastAsia="es-CO"/>
        </w:rPr>
        <w:t> </w:t>
      </w:r>
      <w:r w:rsidRPr="000248AD">
        <w:rPr>
          <w:rFonts w:ascii="Tahoma" w:eastAsia="Times New Roman" w:hAnsi="Tahoma" w:cs="Tahoma"/>
          <w:b/>
          <w:bCs/>
          <w:color w:val="000000" w:themeColor="text1"/>
          <w:lang w:val="es-ES" w:eastAsia="es-CO"/>
        </w:rPr>
        <w:t> </w:t>
      </w:r>
      <w:r w:rsidR="007E1273" w:rsidRPr="000248AD">
        <w:rPr>
          <w:rFonts w:ascii="Tahoma" w:eastAsia="Tahoma" w:hAnsi="Tahoma" w:cs="Tahoma"/>
          <w:b/>
          <w:bCs/>
          <w:lang w:eastAsia="es-ES"/>
        </w:rPr>
        <w:t xml:space="preserve">ADICIONAR </w:t>
      </w:r>
      <w:r w:rsidR="007E1273" w:rsidRPr="000248AD">
        <w:rPr>
          <w:rFonts w:ascii="Tahoma" w:eastAsia="Tahoma" w:hAnsi="Tahoma" w:cs="Tahoma"/>
          <w:lang w:eastAsia="es-ES"/>
        </w:rPr>
        <w:t xml:space="preserve">el numeral primero de la parte resolutiva de la sentencia de primera instancia, en el sentido </w:t>
      </w:r>
      <w:r w:rsidR="007E1273" w:rsidRPr="000248AD">
        <w:rPr>
          <w:rFonts w:ascii="Tahoma" w:hAnsi="Tahoma" w:cs="Tahoma"/>
        </w:rPr>
        <w:t xml:space="preserve">de que también se deja sin efectos </w:t>
      </w:r>
      <w:r w:rsidR="007E1273" w:rsidRPr="000248AD">
        <w:rPr>
          <w:rFonts w:ascii="Tahoma" w:eastAsia="Calibri" w:hAnsi="Tahoma" w:cs="Tahoma"/>
          <w:color w:val="000000" w:themeColor="text1"/>
        </w:rPr>
        <w:t xml:space="preserve">el traslado entre administradoras efectuado por el demandante mediante solicitud del </w:t>
      </w:r>
      <w:r w:rsidR="00BB08F1" w:rsidRPr="000248AD">
        <w:rPr>
          <w:rFonts w:ascii="Tahoma" w:eastAsia="Calibri" w:hAnsi="Tahoma" w:cs="Tahoma"/>
          <w:color w:val="000000" w:themeColor="text1"/>
        </w:rPr>
        <w:t>25 de julio de 2001 a Santander</w:t>
      </w:r>
      <w:r w:rsidR="008C7C8C">
        <w:rPr>
          <w:rFonts w:ascii="Tahoma" w:eastAsia="Calibri" w:hAnsi="Tahoma" w:cs="Tahoma"/>
          <w:color w:val="000000" w:themeColor="text1"/>
        </w:rPr>
        <w:t>,</w:t>
      </w:r>
      <w:r w:rsidR="00BB08F1" w:rsidRPr="000248AD">
        <w:rPr>
          <w:rFonts w:ascii="Tahoma" w:eastAsia="Calibri" w:hAnsi="Tahoma" w:cs="Tahoma"/>
          <w:color w:val="000000" w:themeColor="text1"/>
        </w:rPr>
        <w:t xml:space="preserve"> hoy </w:t>
      </w:r>
      <w:r w:rsidR="00BB08F1" w:rsidRPr="000248AD">
        <w:rPr>
          <w:rFonts w:ascii="Tahoma" w:eastAsia="Calibri" w:hAnsi="Tahoma" w:cs="Tahoma"/>
          <w:b/>
          <w:bCs/>
          <w:color w:val="000000" w:themeColor="text1"/>
        </w:rPr>
        <w:t>PROTECCIÓN S.A.</w:t>
      </w:r>
    </w:p>
    <w:p w14:paraId="72289C0A" w14:textId="22EBB514" w:rsidR="0418CE1C" w:rsidRPr="000248AD" w:rsidRDefault="0418CE1C" w:rsidP="000248AD">
      <w:pPr>
        <w:spacing w:before="0" w:beforeAutospacing="0" w:after="0" w:afterAutospacing="0" w:line="276" w:lineRule="auto"/>
        <w:rPr>
          <w:rFonts w:ascii="Tahoma" w:eastAsia="Calibri" w:hAnsi="Tahoma" w:cs="Tahoma"/>
          <w:b/>
          <w:bCs/>
          <w:color w:val="000000" w:themeColor="text1"/>
        </w:rPr>
      </w:pPr>
    </w:p>
    <w:p w14:paraId="79B2F57D" w14:textId="0E2A1247" w:rsidR="004035B0" w:rsidRPr="000248AD" w:rsidRDefault="007E1273" w:rsidP="000248AD">
      <w:pPr>
        <w:spacing w:before="0" w:beforeAutospacing="0" w:after="0" w:afterAutospacing="0" w:line="276" w:lineRule="auto"/>
        <w:textAlignment w:val="baseline"/>
        <w:rPr>
          <w:rFonts w:ascii="Tahoma" w:hAnsi="Tahoma" w:cs="Tahoma"/>
          <w:color w:val="000000" w:themeColor="text1"/>
        </w:rPr>
      </w:pPr>
      <w:r w:rsidRPr="000248AD">
        <w:rPr>
          <w:rFonts w:ascii="Tahoma" w:eastAsia="Tahoma" w:hAnsi="Tahoma" w:cs="Tahoma"/>
          <w:b/>
          <w:bCs/>
          <w:color w:val="000000" w:themeColor="text1"/>
          <w:lang w:eastAsia="es-ES"/>
        </w:rPr>
        <w:t xml:space="preserve">SEGUNDO: </w:t>
      </w:r>
      <w:r w:rsidR="004035B0" w:rsidRPr="000248AD">
        <w:rPr>
          <w:rFonts w:ascii="Tahoma" w:hAnsi="Tahoma" w:cs="Tahoma"/>
          <w:b/>
          <w:bCs/>
          <w:color w:val="000000" w:themeColor="text1"/>
        </w:rPr>
        <w:t xml:space="preserve">ADICIONAR </w:t>
      </w:r>
      <w:r w:rsidR="004035B0" w:rsidRPr="000248AD">
        <w:rPr>
          <w:rFonts w:ascii="Tahoma" w:hAnsi="Tahoma" w:cs="Tahoma"/>
          <w:color w:val="000000" w:themeColor="text1"/>
        </w:rPr>
        <w:t xml:space="preserve">el numeral tercero de la parte resolutiva de la sentencia de primera instancia, en el sentido de que, </w:t>
      </w:r>
      <w:r w:rsidR="004035B0" w:rsidRPr="000248AD">
        <w:rPr>
          <w:rFonts w:ascii="Tahoma" w:hAnsi="Tahoma" w:cs="Tahoma"/>
          <w:lang w:val="es-ES"/>
        </w:rPr>
        <w:t xml:space="preserve">las </w:t>
      </w:r>
      <w:r w:rsidR="00597D25" w:rsidRPr="000248AD">
        <w:rPr>
          <w:rFonts w:ascii="Tahoma" w:hAnsi="Tahoma" w:cs="Tahoma"/>
          <w:lang w:val="es-ES"/>
        </w:rPr>
        <w:t xml:space="preserve">cuotas de administración y </w:t>
      </w:r>
      <w:r w:rsidR="004035B0" w:rsidRPr="000248AD">
        <w:rPr>
          <w:rFonts w:ascii="Tahoma" w:eastAsia="Calibri" w:hAnsi="Tahoma" w:cs="Tahoma"/>
          <w:lang w:eastAsia="es-CO"/>
        </w:rPr>
        <w:t>los valores utilizados en seguros previsionales y las cuotas de garantía de pensión mínima</w:t>
      </w:r>
      <w:r w:rsidR="004035B0" w:rsidRPr="000248AD">
        <w:rPr>
          <w:rFonts w:ascii="Tahoma" w:hAnsi="Tahoma" w:cs="Tahoma"/>
        </w:rPr>
        <w:t xml:space="preserve">, deben </w:t>
      </w:r>
      <w:r w:rsidR="00597D25" w:rsidRPr="000248AD">
        <w:rPr>
          <w:rFonts w:ascii="Tahoma" w:hAnsi="Tahoma" w:cs="Tahoma"/>
        </w:rPr>
        <w:t xml:space="preserve">reintegrarse </w:t>
      </w:r>
      <w:r w:rsidR="004035B0" w:rsidRPr="000248AD">
        <w:rPr>
          <w:rFonts w:ascii="Tahoma" w:hAnsi="Tahoma" w:cs="Tahoma"/>
        </w:rPr>
        <w:t>debidamente indexada</w:t>
      </w:r>
      <w:r w:rsidR="00B80B5E" w:rsidRPr="000248AD">
        <w:rPr>
          <w:rFonts w:ascii="Tahoma" w:hAnsi="Tahoma" w:cs="Tahoma"/>
        </w:rPr>
        <w:t>s</w:t>
      </w:r>
      <w:r w:rsidR="00152CA5" w:rsidRPr="000248AD">
        <w:rPr>
          <w:rFonts w:ascii="Tahoma" w:hAnsi="Tahoma" w:cs="Tahoma"/>
        </w:rPr>
        <w:t xml:space="preserve"> por parte de COLFONDOS S.A. y </w:t>
      </w:r>
      <w:r w:rsidR="00BB08F1" w:rsidRPr="000248AD">
        <w:rPr>
          <w:rFonts w:ascii="Tahoma" w:hAnsi="Tahoma" w:cs="Tahoma"/>
        </w:rPr>
        <w:t>PROTECCIÓN</w:t>
      </w:r>
      <w:r w:rsidR="00152CA5" w:rsidRPr="000248AD">
        <w:rPr>
          <w:rFonts w:ascii="Tahoma" w:hAnsi="Tahoma" w:cs="Tahoma"/>
        </w:rPr>
        <w:t xml:space="preserve"> S.A., con cargo sus propios recursos, por el tiempo en que el demandante estuvo afiliado a cada una.</w:t>
      </w:r>
    </w:p>
    <w:p w14:paraId="524725EE" w14:textId="519F2566" w:rsidR="0418CE1C" w:rsidRPr="000248AD" w:rsidRDefault="0418CE1C" w:rsidP="000248AD">
      <w:pPr>
        <w:spacing w:before="0" w:beforeAutospacing="0" w:after="0" w:afterAutospacing="0" w:line="276" w:lineRule="auto"/>
        <w:rPr>
          <w:rFonts w:ascii="Tahoma" w:hAnsi="Tahoma" w:cs="Tahoma"/>
        </w:rPr>
      </w:pPr>
    </w:p>
    <w:p w14:paraId="3850E639" w14:textId="3261EDC5" w:rsidR="007E1273" w:rsidRPr="000248AD" w:rsidRDefault="007E1273" w:rsidP="000248AD">
      <w:pPr>
        <w:spacing w:before="0" w:beforeAutospacing="0" w:after="0" w:afterAutospacing="0" w:line="276" w:lineRule="auto"/>
        <w:ind w:firstLine="708"/>
        <w:rPr>
          <w:rFonts w:ascii="Tahoma" w:eastAsia="Arial Narrow" w:hAnsi="Tahoma" w:cs="Tahoma"/>
          <w:i/>
          <w:iCs/>
          <w:lang w:val="es"/>
        </w:rPr>
      </w:pPr>
      <w:r w:rsidRPr="000248AD">
        <w:rPr>
          <w:rFonts w:ascii="Tahoma" w:eastAsia="Times New Roman" w:hAnsi="Tahoma" w:cs="Tahoma"/>
          <w:b/>
          <w:bCs/>
          <w:lang w:val="es-ES" w:eastAsia="es-CO"/>
        </w:rPr>
        <w:t>TERCERO:</w:t>
      </w:r>
      <w:r w:rsidR="72856C4B" w:rsidRPr="000248AD">
        <w:rPr>
          <w:rFonts w:ascii="Tahoma" w:eastAsia="Times New Roman" w:hAnsi="Tahoma" w:cs="Tahoma"/>
          <w:b/>
          <w:bCs/>
          <w:lang w:val="es-ES" w:eastAsia="es-CO"/>
        </w:rPr>
        <w:t xml:space="preserve"> </w:t>
      </w:r>
      <w:r w:rsidR="72856C4B" w:rsidRPr="000248AD">
        <w:rPr>
          <w:rFonts w:ascii="Tahoma" w:eastAsia="Tahoma" w:hAnsi="Tahoma" w:cs="Tahoma"/>
          <w:b/>
          <w:bCs/>
          <w:lang w:val="es-ES"/>
        </w:rPr>
        <w:t xml:space="preserve">ADICIONAR </w:t>
      </w:r>
      <w:r w:rsidR="72856C4B" w:rsidRPr="000248AD">
        <w:rPr>
          <w:rFonts w:ascii="Tahoma" w:eastAsia="Tahoma" w:hAnsi="Tahoma" w:cs="Tahoma"/>
          <w:lang w:val="es-ES"/>
        </w:rPr>
        <w:t>la sentencia</w:t>
      </w:r>
      <w:r w:rsidR="72856C4B" w:rsidRPr="000248AD">
        <w:rPr>
          <w:rFonts w:ascii="Tahoma" w:eastAsia="Tahoma" w:hAnsi="Tahoma" w:cs="Tahoma"/>
          <w:b/>
          <w:bCs/>
          <w:lang w:val="es-ES"/>
        </w:rPr>
        <w:t xml:space="preserve"> </w:t>
      </w:r>
      <w:r w:rsidR="72856C4B" w:rsidRPr="000248AD">
        <w:rPr>
          <w:rFonts w:ascii="Tahoma" w:eastAsia="Tahoma" w:hAnsi="Tahoma" w:cs="Tahoma"/>
          <w:lang w:val="es-ES"/>
        </w:rPr>
        <w:t xml:space="preserve">para precisar que al momento de cumplir las órdenes previstas en el numeral tercero </w:t>
      </w:r>
      <w:r w:rsidR="72856C4B" w:rsidRPr="000248AD">
        <w:rPr>
          <w:rFonts w:ascii="Tahoma" w:eastAsia="Arial Narrow" w:hAnsi="Tahoma" w:cs="Tahoma"/>
          <w:i/>
          <w:iCs/>
          <w:lang w:val="es-ES"/>
        </w:rPr>
        <w:t>“</w:t>
      </w:r>
      <w:r w:rsidR="72856C4B" w:rsidRPr="000248AD">
        <w:rPr>
          <w:rFonts w:ascii="Tahoma" w:eastAsia="Arial Narrow" w:hAnsi="Tahoma" w:cs="Tahoma"/>
          <w:i/>
          <w:iCs/>
          <w:lang w:val="es"/>
        </w:rPr>
        <w:t>tales valores deberán aparecer discriminados con sus respectivos montos, junto con el detalle pormenorizado de los ciclos, IBC, aportes y demás información relevante que los justifiquen”.</w:t>
      </w:r>
    </w:p>
    <w:p w14:paraId="64D7E9DA" w14:textId="71582ECB" w:rsidR="577B4671" w:rsidRPr="000248AD" w:rsidRDefault="577B4671" w:rsidP="000248AD">
      <w:pPr>
        <w:spacing w:before="0" w:beforeAutospacing="0" w:after="0" w:afterAutospacing="0" w:line="276" w:lineRule="auto"/>
        <w:ind w:firstLine="644"/>
        <w:rPr>
          <w:rFonts w:ascii="Tahoma" w:eastAsia="Times New Roman" w:hAnsi="Tahoma" w:cs="Tahoma"/>
          <w:b/>
          <w:bCs/>
          <w:lang w:val="es-ES" w:eastAsia="es-CO"/>
        </w:rPr>
      </w:pPr>
    </w:p>
    <w:p w14:paraId="1FDF734F" w14:textId="203A92A1" w:rsidR="004035B0" w:rsidRPr="000248AD" w:rsidRDefault="004035B0" w:rsidP="000248AD">
      <w:pPr>
        <w:spacing w:before="0" w:beforeAutospacing="0" w:after="0" w:afterAutospacing="0" w:line="276" w:lineRule="auto"/>
        <w:ind w:firstLine="644"/>
        <w:rPr>
          <w:rFonts w:ascii="Tahoma" w:eastAsia="Times New Roman" w:hAnsi="Tahoma" w:cs="Tahoma"/>
          <w:lang w:val="es-ES" w:eastAsia="es-CO"/>
        </w:rPr>
      </w:pPr>
      <w:r w:rsidRPr="000248AD">
        <w:rPr>
          <w:rFonts w:ascii="Tahoma" w:eastAsia="Tahoma" w:hAnsi="Tahoma" w:cs="Tahoma"/>
          <w:b/>
          <w:bCs/>
          <w:color w:val="000000" w:themeColor="text1"/>
          <w:lang w:eastAsia="es-ES"/>
        </w:rPr>
        <w:t xml:space="preserve">CUARTO: </w:t>
      </w:r>
      <w:r w:rsidR="2198087F" w:rsidRPr="000248AD">
        <w:rPr>
          <w:rFonts w:ascii="Tahoma" w:eastAsia="Tahoma" w:hAnsi="Tahoma" w:cs="Tahoma"/>
          <w:b/>
          <w:bCs/>
          <w:color w:val="000000" w:themeColor="text1"/>
          <w:lang w:eastAsia="es-ES"/>
        </w:rPr>
        <w:t>CONFIRMAR</w:t>
      </w:r>
      <w:r w:rsidR="2198087F" w:rsidRPr="000248AD">
        <w:rPr>
          <w:rFonts w:ascii="Tahoma" w:eastAsia="Tahoma" w:hAnsi="Tahoma" w:cs="Tahoma"/>
          <w:lang w:val="es-ES"/>
        </w:rPr>
        <w:t> </w:t>
      </w:r>
      <w:r w:rsidR="2198087F" w:rsidRPr="000248AD">
        <w:rPr>
          <w:rFonts w:ascii="Tahoma" w:eastAsia="Tahoma" w:hAnsi="Tahoma" w:cs="Tahoma"/>
        </w:rPr>
        <w:t>en lo demás la sentencia de primer grado.</w:t>
      </w:r>
    </w:p>
    <w:p w14:paraId="0924F42A" w14:textId="28330FF7" w:rsidR="004035B0" w:rsidRPr="000248AD" w:rsidRDefault="004035B0" w:rsidP="000248AD">
      <w:pPr>
        <w:spacing w:before="0" w:beforeAutospacing="0" w:after="0" w:afterAutospacing="0" w:line="276" w:lineRule="auto"/>
        <w:ind w:firstLine="644"/>
        <w:rPr>
          <w:rFonts w:ascii="Tahoma" w:eastAsia="Tahoma" w:hAnsi="Tahoma" w:cs="Tahoma"/>
          <w:b/>
          <w:bCs/>
        </w:rPr>
      </w:pPr>
    </w:p>
    <w:p w14:paraId="7434CD6A" w14:textId="2B1D660B" w:rsidR="004035B0" w:rsidRPr="000248AD" w:rsidRDefault="2198087F" w:rsidP="000248AD">
      <w:pPr>
        <w:spacing w:before="0" w:beforeAutospacing="0" w:after="0" w:afterAutospacing="0" w:line="276" w:lineRule="auto"/>
        <w:ind w:firstLine="644"/>
        <w:rPr>
          <w:rFonts w:ascii="Tahoma" w:eastAsia="Times New Roman" w:hAnsi="Tahoma" w:cs="Tahoma"/>
          <w:b/>
          <w:bCs/>
          <w:lang w:eastAsia="es-CO"/>
        </w:rPr>
      </w:pPr>
      <w:r w:rsidRPr="000248AD">
        <w:rPr>
          <w:rFonts w:ascii="Tahoma" w:eastAsia="Tahoma" w:hAnsi="Tahoma" w:cs="Tahoma"/>
          <w:b/>
          <w:bCs/>
        </w:rPr>
        <w:t xml:space="preserve">QUINTO: </w:t>
      </w:r>
      <w:r w:rsidR="007A0AC6" w:rsidRPr="000248AD">
        <w:rPr>
          <w:rFonts w:ascii="Tahoma" w:eastAsia="Tahoma" w:hAnsi="Tahoma" w:cs="Tahoma"/>
          <w:b/>
          <w:bCs/>
        </w:rPr>
        <w:t>CONDENAR</w:t>
      </w:r>
      <w:r w:rsidR="007A0AC6" w:rsidRPr="000248AD">
        <w:rPr>
          <w:rFonts w:ascii="Tahoma" w:eastAsia="Tahoma" w:hAnsi="Tahoma" w:cs="Tahoma"/>
        </w:rPr>
        <w:t xml:space="preserve"> en costas de segunda instancia a </w:t>
      </w:r>
      <w:r w:rsidR="007A0AC6" w:rsidRPr="000248AD">
        <w:rPr>
          <w:rFonts w:ascii="Tahoma" w:eastAsia="Tahoma" w:hAnsi="Tahoma" w:cs="Tahoma"/>
          <w:b/>
          <w:bCs/>
        </w:rPr>
        <w:t>COLPENSIONES</w:t>
      </w:r>
      <w:r w:rsidR="007A0AC6" w:rsidRPr="000248AD">
        <w:rPr>
          <w:rFonts w:ascii="Tahoma" w:eastAsia="Tahoma" w:hAnsi="Tahoma" w:cs="Tahoma"/>
        </w:rPr>
        <w:t xml:space="preserve"> a favor de la parte demandante. Liquídense por la secretaría del juzgado de origen.</w:t>
      </w:r>
    </w:p>
    <w:p w14:paraId="2D3BBC84" w14:textId="77777777" w:rsidR="000248AD" w:rsidRPr="006622A2" w:rsidRDefault="000248AD" w:rsidP="000248AD">
      <w:pPr>
        <w:spacing w:before="0" w:beforeAutospacing="0" w:after="0" w:afterAutospacing="0" w:line="276" w:lineRule="auto"/>
        <w:ind w:firstLine="0"/>
        <w:rPr>
          <w:rFonts w:ascii="Tahoma" w:eastAsia="Calibri" w:hAnsi="Tahoma" w:cs="Tahoma"/>
        </w:rPr>
      </w:pPr>
      <w:bookmarkStart w:id="6" w:name="_Hlk126574973"/>
    </w:p>
    <w:p w14:paraId="67BBDAE8" w14:textId="77777777" w:rsidR="000248AD" w:rsidRPr="006622A2" w:rsidRDefault="000248AD" w:rsidP="000248AD">
      <w:pPr>
        <w:spacing w:before="0" w:beforeAutospacing="0" w:after="0" w:afterAutospacing="0" w:line="276" w:lineRule="auto"/>
        <w:ind w:firstLine="0"/>
        <w:jc w:val="center"/>
        <w:rPr>
          <w:rFonts w:ascii="Tahoma" w:eastAsia="Tahoma" w:hAnsi="Tahoma" w:cs="Tahoma"/>
          <w:b/>
          <w:bCs/>
        </w:rPr>
      </w:pPr>
      <w:r w:rsidRPr="006622A2">
        <w:rPr>
          <w:rFonts w:ascii="Tahoma" w:eastAsia="Tahoma" w:hAnsi="Tahoma" w:cs="Tahoma"/>
          <w:b/>
          <w:bCs/>
        </w:rPr>
        <w:t>NOTIFÍQUESE Y CÚMPLASE</w:t>
      </w:r>
    </w:p>
    <w:p w14:paraId="2CC9F702" w14:textId="77777777" w:rsidR="000248AD" w:rsidRPr="006622A2" w:rsidRDefault="000248AD" w:rsidP="000248AD">
      <w:pPr>
        <w:spacing w:before="0" w:beforeAutospacing="0" w:after="0" w:afterAutospacing="0" w:line="276" w:lineRule="auto"/>
        <w:ind w:firstLine="0"/>
        <w:rPr>
          <w:rFonts w:ascii="Tahoma" w:eastAsia="Calibri" w:hAnsi="Tahoma" w:cs="Tahoma"/>
        </w:rPr>
      </w:pPr>
      <w:r w:rsidRPr="006622A2">
        <w:rPr>
          <w:rFonts w:ascii="Tahoma" w:eastAsia="Calibri" w:hAnsi="Tahoma" w:cs="Tahoma"/>
        </w:rPr>
        <w:t xml:space="preserve"> </w:t>
      </w:r>
    </w:p>
    <w:p w14:paraId="5B15E3D0" w14:textId="77777777" w:rsidR="000248AD" w:rsidRPr="006622A2" w:rsidRDefault="000248AD" w:rsidP="000248AD">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622A2">
        <w:rPr>
          <w:rFonts w:ascii="Tahoma" w:eastAsia="Times New Roman" w:hAnsi="Tahoma" w:cs="Tahoma"/>
          <w:lang w:val="es-ES" w:eastAsia="es-ES"/>
        </w:rPr>
        <w:tab/>
        <w:t>La Magistrada ponente,</w:t>
      </w:r>
    </w:p>
    <w:p w14:paraId="71D18577"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0DFA1D72"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4F485197"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246EEA05" w14:textId="77777777" w:rsidR="000248AD" w:rsidRPr="006622A2" w:rsidRDefault="000248AD" w:rsidP="000248AD">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622A2">
        <w:rPr>
          <w:rFonts w:ascii="Tahoma" w:eastAsia="Times New Roman" w:hAnsi="Tahoma" w:cs="Tahoma"/>
          <w:b/>
          <w:bCs/>
          <w:lang w:val="es-ES" w:eastAsia="es-ES"/>
        </w:rPr>
        <w:t>ANA LUCÍA CAICEDO CALDERÓN</w:t>
      </w:r>
    </w:p>
    <w:p w14:paraId="4E148554"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044BB43F" w14:textId="77777777" w:rsidR="000248AD" w:rsidRPr="006622A2" w:rsidRDefault="000248AD" w:rsidP="000248AD">
      <w:pPr>
        <w:spacing w:before="0" w:beforeAutospacing="0" w:after="0" w:afterAutospacing="0" w:line="276" w:lineRule="auto"/>
        <w:ind w:firstLine="708"/>
        <w:jc w:val="left"/>
        <w:rPr>
          <w:rFonts w:ascii="Tahoma" w:eastAsia="Times New Roman" w:hAnsi="Tahoma" w:cs="Tahoma"/>
          <w:lang w:val="es-ES" w:eastAsia="es-ES"/>
        </w:rPr>
      </w:pPr>
      <w:bookmarkStart w:id="7" w:name="_Hlk62478330"/>
      <w:r w:rsidRPr="006622A2">
        <w:rPr>
          <w:rFonts w:ascii="Tahoma" w:eastAsia="Times New Roman" w:hAnsi="Tahoma" w:cs="Tahoma"/>
          <w:lang w:val="es-ES" w:eastAsia="es-ES"/>
        </w:rPr>
        <w:t>La Magistrada y el Magistrado,</w:t>
      </w:r>
    </w:p>
    <w:p w14:paraId="674E885C"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4AD22975"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7B8D46E4" w14:textId="77777777" w:rsidR="000248AD" w:rsidRPr="006622A2" w:rsidRDefault="000248AD" w:rsidP="000248AD">
      <w:pPr>
        <w:spacing w:before="0" w:beforeAutospacing="0" w:after="0" w:afterAutospacing="0" w:line="276" w:lineRule="auto"/>
        <w:ind w:firstLine="0"/>
        <w:jc w:val="left"/>
        <w:rPr>
          <w:rFonts w:ascii="Tahoma" w:eastAsia="Times New Roman" w:hAnsi="Tahoma" w:cs="Tahoma"/>
          <w:lang w:val="es-ES" w:eastAsia="es-ES"/>
        </w:rPr>
      </w:pPr>
    </w:p>
    <w:p w14:paraId="75E58D6A" w14:textId="77777777" w:rsidR="000248AD" w:rsidRPr="006622A2" w:rsidRDefault="000248AD" w:rsidP="000248AD">
      <w:pPr>
        <w:spacing w:before="0" w:beforeAutospacing="0" w:after="0" w:afterAutospacing="0" w:line="276" w:lineRule="auto"/>
        <w:ind w:firstLine="0"/>
        <w:rPr>
          <w:rFonts w:ascii="Tahoma" w:eastAsia="Calibri" w:hAnsi="Tahoma" w:cs="Tahoma"/>
          <w:lang w:val="es-ES"/>
        </w:rPr>
      </w:pPr>
      <w:r w:rsidRPr="006622A2">
        <w:rPr>
          <w:rFonts w:ascii="Tahoma" w:eastAsia="Times New Roman" w:hAnsi="Tahoma" w:cs="Tahoma"/>
          <w:b/>
          <w:bCs/>
          <w:lang w:val="es-ES" w:eastAsia="es-ES"/>
        </w:rPr>
        <w:t>OLGA LUCÍA HOYOS SEPÚLVEDA</w:t>
      </w:r>
      <w:r w:rsidRPr="006622A2">
        <w:rPr>
          <w:rFonts w:ascii="Tahoma" w:eastAsia="Times New Roman" w:hAnsi="Tahoma" w:cs="Tahoma"/>
          <w:b/>
          <w:bCs/>
          <w:lang w:val="es-ES" w:eastAsia="es-ES"/>
        </w:rPr>
        <w:tab/>
      </w:r>
      <w:r w:rsidRPr="006622A2">
        <w:rPr>
          <w:rFonts w:ascii="Tahoma" w:eastAsia="Times New Roman" w:hAnsi="Tahoma" w:cs="Tahoma"/>
          <w:b/>
          <w:bCs/>
          <w:lang w:val="es-ES" w:eastAsia="es-ES"/>
        </w:rPr>
        <w:tab/>
        <w:t>GERMÁN DARÍO GÓEZ VINASCO</w:t>
      </w:r>
      <w:bookmarkEnd w:id="6"/>
      <w:bookmarkEnd w:id="7"/>
    </w:p>
    <w:p w14:paraId="696CAC1A" w14:textId="79B84156" w:rsidR="00507E0F" w:rsidRPr="000248AD" w:rsidRDefault="000248AD" w:rsidP="000248AD">
      <w:pPr>
        <w:spacing w:before="0" w:beforeAutospacing="0" w:after="0" w:afterAutospacing="0" w:line="276" w:lineRule="auto"/>
        <w:ind w:firstLine="0"/>
        <w:rPr>
          <w:rFonts w:ascii="Tahoma" w:eastAsia="Times New Roman" w:hAnsi="Tahoma" w:cs="Tahoma"/>
          <w:lang w:eastAsia="es-ES"/>
        </w:rPr>
      </w:pPr>
      <w:r w:rsidRPr="006622A2">
        <w:rPr>
          <w:rFonts w:ascii="Tahoma" w:eastAsia="Times New Roman" w:hAnsi="Tahoma" w:cs="Tahoma"/>
          <w:lang w:eastAsia="es-ES"/>
        </w:rPr>
        <w:t>Con aclaración de voto</w:t>
      </w:r>
    </w:p>
    <w:sectPr w:rsidR="00507E0F" w:rsidRPr="000248AD" w:rsidSect="003D4CBC">
      <w:headerReference w:type="default" r:id="rId11"/>
      <w:footerReference w:type="even" r:id="rId12"/>
      <w:footerReference w:type="default" r:id="rId13"/>
      <w:pgSz w:w="12242" w:h="18722" w:code="258"/>
      <w:pgMar w:top="1814" w:right="1304" w:bottom="1247"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A89572" w16cex:dateUtc="2023-08-02T13:31:05.285Z"/>
  <w16cex:commentExtensible w16cex:durableId="4C5958D3" w16cex:dateUtc="2023-08-03T16:43:58.155Z"/>
</w16cex:commentsExtensible>
</file>

<file path=word/commentsIds.xml><?xml version="1.0" encoding="utf-8"?>
<w16cid:commentsIds xmlns:mc="http://schemas.openxmlformats.org/markup-compatibility/2006" xmlns:w16cid="http://schemas.microsoft.com/office/word/2016/wordml/cid" mc:Ignorable="w16cid">
  <w16cid:commentId w16cid:paraId="7E0023BD" w16cid:durableId="75A89572"/>
  <w16cid:commentId w16cid:paraId="6CE90443" w16cid:durableId="4C5958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6DB3" w14:textId="77777777" w:rsidR="00695638" w:rsidRDefault="00695638" w:rsidP="00995B6C">
      <w:pPr>
        <w:spacing w:before="0" w:after="0" w:line="240" w:lineRule="auto"/>
      </w:pPr>
      <w:r>
        <w:separator/>
      </w:r>
    </w:p>
  </w:endnote>
  <w:endnote w:type="continuationSeparator" w:id="0">
    <w:p w14:paraId="5BEC36C8" w14:textId="77777777" w:rsidR="00695638" w:rsidRDefault="00695638" w:rsidP="00995B6C">
      <w:pPr>
        <w:spacing w:before="0" w:after="0" w:line="240" w:lineRule="auto"/>
      </w:pPr>
      <w:r>
        <w:continuationSeparator/>
      </w:r>
    </w:p>
  </w:endnote>
  <w:endnote w:type="continuationNotice" w:id="1">
    <w:p w14:paraId="318D0E86" w14:textId="77777777" w:rsidR="00695638" w:rsidRDefault="006956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4F27CE" w:rsidRDefault="004F27CE"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4F27CE" w:rsidRDefault="004F27CE"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136D2E69" w:rsidR="004F27CE" w:rsidRPr="008C7C8C" w:rsidRDefault="004F27CE" w:rsidP="008C7C8C">
        <w:pPr>
          <w:framePr w:wrap="none" w:vAnchor="text" w:hAnchor="margin" w:xAlign="right" w:y="1"/>
          <w:tabs>
            <w:tab w:val="left" w:pos="0"/>
          </w:tabs>
          <w:spacing w:before="0" w:beforeAutospacing="0" w:after="0" w:afterAutospacing="0" w:line="240" w:lineRule="auto"/>
          <w:ind w:firstLine="0"/>
          <w:rPr>
            <w:rFonts w:ascii="Arial" w:hAnsi="Arial" w:cs="Arial"/>
            <w:color w:val="000000"/>
            <w:sz w:val="18"/>
            <w:szCs w:val="18"/>
          </w:rPr>
        </w:pPr>
        <w:r w:rsidRPr="008C7C8C">
          <w:rPr>
            <w:rFonts w:ascii="Arial" w:hAnsi="Arial" w:cs="Arial"/>
            <w:color w:val="000000"/>
            <w:sz w:val="18"/>
            <w:szCs w:val="18"/>
          </w:rPr>
          <w:fldChar w:fldCharType="begin"/>
        </w:r>
        <w:r w:rsidRPr="008C7C8C">
          <w:rPr>
            <w:rFonts w:ascii="Arial" w:hAnsi="Arial" w:cs="Arial"/>
            <w:color w:val="000000"/>
            <w:sz w:val="18"/>
            <w:szCs w:val="18"/>
          </w:rPr>
          <w:instrText xml:space="preserve"> PAGE </w:instrText>
        </w:r>
        <w:r w:rsidRPr="008C7C8C">
          <w:rPr>
            <w:rFonts w:ascii="Arial" w:hAnsi="Arial" w:cs="Arial"/>
            <w:color w:val="000000"/>
            <w:sz w:val="18"/>
            <w:szCs w:val="18"/>
          </w:rPr>
          <w:fldChar w:fldCharType="separate"/>
        </w:r>
        <w:r w:rsidR="00676916">
          <w:rPr>
            <w:rFonts w:ascii="Arial" w:hAnsi="Arial" w:cs="Arial"/>
            <w:noProof/>
            <w:color w:val="000000"/>
            <w:sz w:val="18"/>
            <w:szCs w:val="18"/>
          </w:rPr>
          <w:t>18</w:t>
        </w:r>
        <w:r w:rsidRPr="008C7C8C">
          <w:rPr>
            <w:rFonts w:ascii="Arial" w:hAnsi="Arial" w:cs="Arial"/>
            <w:color w:val="000000"/>
            <w:sz w:val="18"/>
            <w:szCs w:val="18"/>
          </w:rPr>
          <w:fldChar w:fldCharType="end"/>
        </w:r>
      </w:p>
    </w:sdtContent>
  </w:sdt>
  <w:p w14:paraId="79A44826" w14:textId="77777777" w:rsidR="004F27CE" w:rsidRPr="008C7C8C" w:rsidRDefault="004F27CE" w:rsidP="008C7C8C">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B4CC7" w14:textId="77777777" w:rsidR="00695638" w:rsidRDefault="00695638" w:rsidP="00995B6C">
      <w:pPr>
        <w:spacing w:before="0" w:after="0" w:line="240" w:lineRule="auto"/>
      </w:pPr>
      <w:r>
        <w:separator/>
      </w:r>
    </w:p>
  </w:footnote>
  <w:footnote w:type="continuationSeparator" w:id="0">
    <w:p w14:paraId="79B5DF45" w14:textId="77777777" w:rsidR="00695638" w:rsidRDefault="00695638" w:rsidP="00995B6C">
      <w:pPr>
        <w:spacing w:before="0" w:after="0" w:line="240" w:lineRule="auto"/>
      </w:pPr>
      <w:r>
        <w:continuationSeparator/>
      </w:r>
    </w:p>
  </w:footnote>
  <w:footnote w:type="continuationNotice" w:id="1">
    <w:p w14:paraId="1C89A1D1" w14:textId="77777777" w:rsidR="00695638" w:rsidRDefault="00695638">
      <w:pPr>
        <w:spacing w:before="0" w:after="0" w:line="240" w:lineRule="auto"/>
      </w:pPr>
    </w:p>
  </w:footnote>
  <w:footnote w:id="2">
    <w:p w14:paraId="07EC34F6" w14:textId="77777777" w:rsidR="00C4372F" w:rsidRPr="009A6B98" w:rsidRDefault="00C4372F" w:rsidP="00C4372F">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3">
    <w:p w14:paraId="0BB87825" w14:textId="77777777" w:rsidR="00C4372F" w:rsidRPr="009A6B98" w:rsidRDefault="00C4372F" w:rsidP="00C4372F">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Estatuto Orgánico del Sistema Financiero </w:t>
      </w:r>
    </w:p>
  </w:footnote>
  <w:footnote w:id="4">
    <w:p w14:paraId="3EE5CE73" w14:textId="77777777" w:rsidR="00C4372F" w:rsidRPr="009A6B98" w:rsidRDefault="00C4372F" w:rsidP="00C4372F">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5">
    <w:p w14:paraId="112DF5A9" w14:textId="77777777" w:rsidR="00C4372F" w:rsidRPr="00C917F0" w:rsidRDefault="00C4372F" w:rsidP="00C4372F">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SL5688 de 2021, rad. 83576 del 6 de octubre de 2021. M.P. Iván Mauricio Lenis Gómez.</w:t>
      </w:r>
    </w:p>
  </w:footnote>
  <w:footnote w:id="6">
    <w:p w14:paraId="2B360CBE" w14:textId="77777777" w:rsidR="00C4372F" w:rsidRPr="00C917F0" w:rsidRDefault="00C4372F" w:rsidP="00C4372F">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SL5686 de 2021, rad. 82139 del 6 de octubre de 2021. M.P. Iván Mauricio Lenis Gómez.</w:t>
      </w:r>
    </w:p>
  </w:footnote>
  <w:footnote w:id="7">
    <w:p w14:paraId="53939F47" w14:textId="77777777" w:rsidR="00C4372F" w:rsidRPr="00C917F0" w:rsidRDefault="00C4372F" w:rsidP="00C4372F">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SL1926 de 2022, rad. 89920 del 27 de abril de 2022. M.P. Omar Ángel Mejía Amador.</w:t>
      </w:r>
    </w:p>
  </w:footnote>
  <w:footnote w:id="8">
    <w:p w14:paraId="615240DB" w14:textId="77777777" w:rsidR="00C4372F" w:rsidRPr="00C917F0" w:rsidRDefault="00C4372F" w:rsidP="00C4372F">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SL1055 de 2022, rad. 87911 del 2 de marzo de 2022. M.P. Iván Mauricio Lenis Gómez.</w:t>
      </w:r>
    </w:p>
  </w:footnote>
  <w:footnote w:id="9">
    <w:p w14:paraId="2B8EF823" w14:textId="77777777" w:rsidR="00C4372F" w:rsidRPr="00C917F0" w:rsidRDefault="00C4372F" w:rsidP="00C4372F">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 1618-2022, radicado 87821 del 4 de mayo de 2022, M.P. Gerardo Botero Zuluaga.</w:t>
      </w:r>
    </w:p>
  </w:footnote>
  <w:footnote w:id="10">
    <w:p w14:paraId="26D223BE" w14:textId="77777777" w:rsidR="00C4372F" w:rsidRPr="009A6B98" w:rsidRDefault="00C4372F" w:rsidP="00C4372F">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1E4A" w14:textId="7B524030" w:rsidR="004F27CE" w:rsidRPr="00CF52CC" w:rsidRDefault="004F27CE" w:rsidP="00CF52CC">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CF52CC">
      <w:rPr>
        <w:rFonts w:ascii="Arial" w:hAnsi="Arial" w:cs="Arial"/>
        <w:color w:val="000000"/>
        <w:sz w:val="18"/>
        <w:szCs w:val="18"/>
      </w:rPr>
      <w:t>Radicación No.:</w:t>
    </w:r>
    <w:r w:rsidR="008C7C8C">
      <w:rPr>
        <w:rFonts w:ascii="Arial" w:hAnsi="Arial" w:cs="Arial"/>
        <w:color w:val="000000"/>
        <w:sz w:val="18"/>
        <w:szCs w:val="18"/>
      </w:rPr>
      <w:tab/>
    </w:r>
    <w:r w:rsidRPr="00CF52CC">
      <w:rPr>
        <w:rFonts w:ascii="Arial" w:hAnsi="Arial" w:cs="Arial"/>
        <w:color w:val="000000"/>
        <w:sz w:val="18"/>
        <w:szCs w:val="18"/>
      </w:rPr>
      <w:t>66001-31-</w:t>
    </w:r>
    <w:r w:rsidR="00F806A0" w:rsidRPr="00CF52CC">
      <w:rPr>
        <w:rFonts w:ascii="Arial" w:hAnsi="Arial" w:cs="Arial"/>
        <w:color w:val="000000"/>
        <w:sz w:val="18"/>
        <w:szCs w:val="18"/>
      </w:rPr>
      <w:t>05-</w:t>
    </w:r>
    <w:r w:rsidRPr="00CF52CC">
      <w:rPr>
        <w:rFonts w:ascii="Arial" w:hAnsi="Arial" w:cs="Arial"/>
        <w:color w:val="000000"/>
        <w:sz w:val="18"/>
        <w:szCs w:val="18"/>
      </w:rPr>
      <w:t>003-2021-001</w:t>
    </w:r>
    <w:r w:rsidR="006C6919" w:rsidRPr="00CF52CC">
      <w:rPr>
        <w:rFonts w:ascii="Arial" w:hAnsi="Arial" w:cs="Arial"/>
        <w:color w:val="000000"/>
        <w:sz w:val="18"/>
        <w:szCs w:val="18"/>
      </w:rPr>
      <w:t>90</w:t>
    </w:r>
    <w:r w:rsidRPr="00CF52CC">
      <w:rPr>
        <w:rFonts w:ascii="Arial" w:hAnsi="Arial" w:cs="Arial"/>
        <w:color w:val="000000"/>
        <w:sz w:val="18"/>
        <w:szCs w:val="18"/>
      </w:rPr>
      <w:t>-01</w:t>
    </w:r>
  </w:p>
  <w:p w14:paraId="2E1082D1" w14:textId="6541C1C4" w:rsidR="004F27CE" w:rsidRPr="00CF52CC" w:rsidRDefault="004F27CE" w:rsidP="00CF52CC">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CF52CC">
      <w:rPr>
        <w:rFonts w:ascii="Arial" w:hAnsi="Arial" w:cs="Arial"/>
        <w:color w:val="000000"/>
        <w:sz w:val="18"/>
        <w:szCs w:val="18"/>
      </w:rPr>
      <w:t>Demandante:</w:t>
    </w:r>
    <w:r w:rsidR="008C7C8C">
      <w:rPr>
        <w:rFonts w:ascii="Arial" w:hAnsi="Arial" w:cs="Arial"/>
        <w:color w:val="000000"/>
        <w:sz w:val="18"/>
        <w:szCs w:val="18"/>
      </w:rPr>
      <w:tab/>
    </w:r>
    <w:r w:rsidR="00F806A0" w:rsidRPr="00CF52CC">
      <w:rPr>
        <w:rFonts w:ascii="Arial" w:hAnsi="Arial" w:cs="Arial"/>
        <w:color w:val="000000"/>
        <w:sz w:val="18"/>
        <w:szCs w:val="18"/>
      </w:rPr>
      <w:t>Rafael Eduardo parís Paris</w:t>
    </w:r>
  </w:p>
  <w:p w14:paraId="4E07F099" w14:textId="6C32F7F7" w:rsidR="004F27CE" w:rsidRPr="00CF52CC" w:rsidRDefault="004F27CE" w:rsidP="00CF52CC">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CF52CC">
      <w:rPr>
        <w:rFonts w:ascii="Arial" w:hAnsi="Arial" w:cs="Arial"/>
        <w:color w:val="000000"/>
        <w:sz w:val="18"/>
        <w:szCs w:val="18"/>
      </w:rPr>
      <w:t>Demandado:</w:t>
    </w:r>
    <w:r w:rsidR="008C7C8C">
      <w:rPr>
        <w:rFonts w:ascii="Arial" w:hAnsi="Arial" w:cs="Arial"/>
        <w:color w:val="000000"/>
        <w:sz w:val="18"/>
        <w:szCs w:val="18"/>
      </w:rPr>
      <w:tab/>
    </w:r>
    <w:r w:rsidRPr="00CF52CC">
      <w:rPr>
        <w:rFonts w:ascii="Arial" w:hAnsi="Arial" w:cs="Arial"/>
        <w:color w:val="000000"/>
        <w:sz w:val="18"/>
        <w:szCs w:val="18"/>
      </w:rPr>
      <w:t xml:space="preserve">Colpensiones y </w:t>
    </w:r>
    <w:r w:rsidR="006C6919" w:rsidRPr="00CF52CC">
      <w:rPr>
        <w:rFonts w:ascii="Arial" w:hAnsi="Arial" w:cs="Arial"/>
        <w:color w:val="000000"/>
        <w:sz w:val="18"/>
        <w:szCs w:val="18"/>
      </w:rPr>
      <w:t>otros</w:t>
    </w:r>
    <w:r w:rsidRPr="00CF52CC">
      <w:rPr>
        <w:rFonts w:ascii="Arial" w:hAnsi="Arial" w:cs="Arial"/>
        <w:color w:val="000000"/>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6E14E58"/>
    <w:multiLevelType w:val="hybridMultilevel"/>
    <w:tmpl w:val="DE82B244"/>
    <w:lvl w:ilvl="0" w:tplc="4F109232">
      <w:start w:val="1"/>
      <w:numFmt w:val="decimal"/>
      <w:lvlText w:val="%1."/>
      <w:lvlJc w:val="left"/>
      <w:pPr>
        <w:ind w:left="720" w:hanging="360"/>
      </w:pPr>
    </w:lvl>
    <w:lvl w:ilvl="1" w:tplc="291A188C">
      <w:start w:val="6"/>
      <w:numFmt w:val="decimal"/>
      <w:lvlText w:val="%2."/>
      <w:lvlJc w:val="left"/>
      <w:pPr>
        <w:ind w:left="1440" w:hanging="360"/>
      </w:pPr>
    </w:lvl>
    <w:lvl w:ilvl="2" w:tplc="15FE0B38">
      <w:start w:val="1"/>
      <w:numFmt w:val="lowerRoman"/>
      <w:lvlText w:val="%3."/>
      <w:lvlJc w:val="right"/>
      <w:pPr>
        <w:ind w:left="2160" w:hanging="180"/>
      </w:pPr>
    </w:lvl>
    <w:lvl w:ilvl="3" w:tplc="B9A0AA12">
      <w:start w:val="1"/>
      <w:numFmt w:val="decimal"/>
      <w:lvlText w:val="%4."/>
      <w:lvlJc w:val="left"/>
      <w:pPr>
        <w:ind w:left="2880" w:hanging="360"/>
      </w:pPr>
    </w:lvl>
    <w:lvl w:ilvl="4" w:tplc="DF86C6CA">
      <w:start w:val="1"/>
      <w:numFmt w:val="lowerLetter"/>
      <w:lvlText w:val="%5."/>
      <w:lvlJc w:val="left"/>
      <w:pPr>
        <w:ind w:left="3600" w:hanging="360"/>
      </w:pPr>
    </w:lvl>
    <w:lvl w:ilvl="5" w:tplc="D338C162">
      <w:start w:val="1"/>
      <w:numFmt w:val="lowerRoman"/>
      <w:lvlText w:val="%6."/>
      <w:lvlJc w:val="right"/>
      <w:pPr>
        <w:ind w:left="4320" w:hanging="180"/>
      </w:pPr>
    </w:lvl>
    <w:lvl w:ilvl="6" w:tplc="7E88AE48">
      <w:start w:val="1"/>
      <w:numFmt w:val="decimal"/>
      <w:lvlText w:val="%7."/>
      <w:lvlJc w:val="left"/>
      <w:pPr>
        <w:ind w:left="5040" w:hanging="360"/>
      </w:pPr>
    </w:lvl>
    <w:lvl w:ilvl="7" w:tplc="8482D81C">
      <w:start w:val="1"/>
      <w:numFmt w:val="lowerLetter"/>
      <w:lvlText w:val="%8."/>
      <w:lvlJc w:val="left"/>
      <w:pPr>
        <w:ind w:left="5760" w:hanging="360"/>
      </w:pPr>
    </w:lvl>
    <w:lvl w:ilvl="8" w:tplc="256C0D04">
      <w:start w:val="1"/>
      <w:numFmt w:val="lowerRoman"/>
      <w:lvlText w:val="%9."/>
      <w:lvlJc w:val="right"/>
      <w:pPr>
        <w:ind w:left="6480" w:hanging="180"/>
      </w:pPr>
    </w:lvl>
  </w:abstractNum>
  <w:abstractNum w:abstractNumId="2"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2D47DE"/>
    <w:multiLevelType w:val="hybridMultilevel"/>
    <w:tmpl w:val="194AAE3A"/>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4" w15:restartNumberingAfterBreak="0">
    <w:nsid w:val="400D04B6"/>
    <w:multiLevelType w:val="hybridMultilevel"/>
    <w:tmpl w:val="57B2C6BE"/>
    <w:lvl w:ilvl="0" w:tplc="1936A99E">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33E7"/>
    <w:rsid w:val="00003D61"/>
    <w:rsid w:val="00003F8B"/>
    <w:rsid w:val="0000442B"/>
    <w:rsid w:val="000075E2"/>
    <w:rsid w:val="00010CA6"/>
    <w:rsid w:val="000114AC"/>
    <w:rsid w:val="0001172A"/>
    <w:rsid w:val="0001462A"/>
    <w:rsid w:val="0001710B"/>
    <w:rsid w:val="00021D57"/>
    <w:rsid w:val="000248AD"/>
    <w:rsid w:val="000331FD"/>
    <w:rsid w:val="00034673"/>
    <w:rsid w:val="00037CD5"/>
    <w:rsid w:val="00043917"/>
    <w:rsid w:val="000507B6"/>
    <w:rsid w:val="00061247"/>
    <w:rsid w:val="00062E02"/>
    <w:rsid w:val="000645D4"/>
    <w:rsid w:val="00070883"/>
    <w:rsid w:val="000729F9"/>
    <w:rsid w:val="00073E27"/>
    <w:rsid w:val="000775A3"/>
    <w:rsid w:val="00077785"/>
    <w:rsid w:val="00081E34"/>
    <w:rsid w:val="0008247A"/>
    <w:rsid w:val="00084FE4"/>
    <w:rsid w:val="000879BA"/>
    <w:rsid w:val="00091006"/>
    <w:rsid w:val="00091CEF"/>
    <w:rsid w:val="00093D25"/>
    <w:rsid w:val="00094464"/>
    <w:rsid w:val="00095732"/>
    <w:rsid w:val="00097ED5"/>
    <w:rsid w:val="000A0C58"/>
    <w:rsid w:val="000A477C"/>
    <w:rsid w:val="000A547B"/>
    <w:rsid w:val="000A70BA"/>
    <w:rsid w:val="000A7489"/>
    <w:rsid w:val="000B1501"/>
    <w:rsid w:val="000B269B"/>
    <w:rsid w:val="000B3174"/>
    <w:rsid w:val="000B5F9F"/>
    <w:rsid w:val="000B758F"/>
    <w:rsid w:val="000C42AB"/>
    <w:rsid w:val="000C5FE0"/>
    <w:rsid w:val="000C6EE9"/>
    <w:rsid w:val="000D1243"/>
    <w:rsid w:val="000D1284"/>
    <w:rsid w:val="000D60BA"/>
    <w:rsid w:val="000E1D8A"/>
    <w:rsid w:val="000E3AA0"/>
    <w:rsid w:val="000E4C41"/>
    <w:rsid w:val="000E4F34"/>
    <w:rsid w:val="000E6459"/>
    <w:rsid w:val="000E7048"/>
    <w:rsid w:val="000F0479"/>
    <w:rsid w:val="000F048E"/>
    <w:rsid w:val="00100045"/>
    <w:rsid w:val="00100F91"/>
    <w:rsid w:val="0010292D"/>
    <w:rsid w:val="001102E5"/>
    <w:rsid w:val="0011418D"/>
    <w:rsid w:val="0012076B"/>
    <w:rsid w:val="00126DAB"/>
    <w:rsid w:val="001300D4"/>
    <w:rsid w:val="00130244"/>
    <w:rsid w:val="00130EA4"/>
    <w:rsid w:val="00130FFD"/>
    <w:rsid w:val="00131F80"/>
    <w:rsid w:val="00132737"/>
    <w:rsid w:val="00133625"/>
    <w:rsid w:val="001342EE"/>
    <w:rsid w:val="00142244"/>
    <w:rsid w:val="0014296D"/>
    <w:rsid w:val="00142A07"/>
    <w:rsid w:val="00142E00"/>
    <w:rsid w:val="00143CD9"/>
    <w:rsid w:val="00144783"/>
    <w:rsid w:val="001466BC"/>
    <w:rsid w:val="001477E0"/>
    <w:rsid w:val="00150C39"/>
    <w:rsid w:val="00151506"/>
    <w:rsid w:val="001515A6"/>
    <w:rsid w:val="00152364"/>
    <w:rsid w:val="00152CA5"/>
    <w:rsid w:val="001559D4"/>
    <w:rsid w:val="00157578"/>
    <w:rsid w:val="0016074B"/>
    <w:rsid w:val="00160AD7"/>
    <w:rsid w:val="0016235B"/>
    <w:rsid w:val="0016609B"/>
    <w:rsid w:val="00166B82"/>
    <w:rsid w:val="00167475"/>
    <w:rsid w:val="00167FC3"/>
    <w:rsid w:val="001701D0"/>
    <w:rsid w:val="001704E4"/>
    <w:rsid w:val="00171926"/>
    <w:rsid w:val="00174818"/>
    <w:rsid w:val="00174AE3"/>
    <w:rsid w:val="00175C84"/>
    <w:rsid w:val="00175F93"/>
    <w:rsid w:val="00176391"/>
    <w:rsid w:val="00183FB2"/>
    <w:rsid w:val="001846F2"/>
    <w:rsid w:val="00185BF8"/>
    <w:rsid w:val="00186097"/>
    <w:rsid w:val="00187B9A"/>
    <w:rsid w:val="0019054B"/>
    <w:rsid w:val="00191CB5"/>
    <w:rsid w:val="00193482"/>
    <w:rsid w:val="001949A3"/>
    <w:rsid w:val="00197066"/>
    <w:rsid w:val="001977C7"/>
    <w:rsid w:val="001A2518"/>
    <w:rsid w:val="001A6210"/>
    <w:rsid w:val="001B4D98"/>
    <w:rsid w:val="001B64E3"/>
    <w:rsid w:val="001B6C82"/>
    <w:rsid w:val="001C013A"/>
    <w:rsid w:val="001C31A7"/>
    <w:rsid w:val="001C5080"/>
    <w:rsid w:val="001C6065"/>
    <w:rsid w:val="001D328D"/>
    <w:rsid w:val="001D3D0B"/>
    <w:rsid w:val="001D480A"/>
    <w:rsid w:val="001D48B0"/>
    <w:rsid w:val="001D61F2"/>
    <w:rsid w:val="001E0A71"/>
    <w:rsid w:val="001E31CE"/>
    <w:rsid w:val="001E35F2"/>
    <w:rsid w:val="001E3A51"/>
    <w:rsid w:val="001E3E1A"/>
    <w:rsid w:val="001E60C4"/>
    <w:rsid w:val="001F3E27"/>
    <w:rsid w:val="001F42A5"/>
    <w:rsid w:val="001F7A57"/>
    <w:rsid w:val="002001A7"/>
    <w:rsid w:val="00203CE4"/>
    <w:rsid w:val="002041DB"/>
    <w:rsid w:val="0020420B"/>
    <w:rsid w:val="00206161"/>
    <w:rsid w:val="0020674E"/>
    <w:rsid w:val="00210D29"/>
    <w:rsid w:val="00211049"/>
    <w:rsid w:val="00211C42"/>
    <w:rsid w:val="00211DB9"/>
    <w:rsid w:val="002176AF"/>
    <w:rsid w:val="002304E9"/>
    <w:rsid w:val="00234B72"/>
    <w:rsid w:val="002372A5"/>
    <w:rsid w:val="00241291"/>
    <w:rsid w:val="00241461"/>
    <w:rsid w:val="00243613"/>
    <w:rsid w:val="00245563"/>
    <w:rsid w:val="0024686F"/>
    <w:rsid w:val="002472D3"/>
    <w:rsid w:val="0024770B"/>
    <w:rsid w:val="002477D8"/>
    <w:rsid w:val="002500F6"/>
    <w:rsid w:val="002519CA"/>
    <w:rsid w:val="00256E1A"/>
    <w:rsid w:val="00270931"/>
    <w:rsid w:val="0027225F"/>
    <w:rsid w:val="00274814"/>
    <w:rsid w:val="00274ACE"/>
    <w:rsid w:val="00274C26"/>
    <w:rsid w:val="00274D15"/>
    <w:rsid w:val="00276DD9"/>
    <w:rsid w:val="00281848"/>
    <w:rsid w:val="00282127"/>
    <w:rsid w:val="00283C0F"/>
    <w:rsid w:val="00284925"/>
    <w:rsid w:val="00286FED"/>
    <w:rsid w:val="0029235B"/>
    <w:rsid w:val="002938DE"/>
    <w:rsid w:val="00295F84"/>
    <w:rsid w:val="002A05AE"/>
    <w:rsid w:val="002A1367"/>
    <w:rsid w:val="002A1BAD"/>
    <w:rsid w:val="002A6071"/>
    <w:rsid w:val="002A6D8C"/>
    <w:rsid w:val="002A6F21"/>
    <w:rsid w:val="002A7251"/>
    <w:rsid w:val="002B2FEF"/>
    <w:rsid w:val="002B586C"/>
    <w:rsid w:val="002B775C"/>
    <w:rsid w:val="002C0C24"/>
    <w:rsid w:val="002C3206"/>
    <w:rsid w:val="002C36F5"/>
    <w:rsid w:val="002C5C44"/>
    <w:rsid w:val="002C6AA0"/>
    <w:rsid w:val="002D01FE"/>
    <w:rsid w:val="002D07AA"/>
    <w:rsid w:val="002D0B5A"/>
    <w:rsid w:val="002D3F32"/>
    <w:rsid w:val="002D4640"/>
    <w:rsid w:val="002D4C61"/>
    <w:rsid w:val="002D7247"/>
    <w:rsid w:val="002E07F2"/>
    <w:rsid w:val="002E4CD5"/>
    <w:rsid w:val="002E4D16"/>
    <w:rsid w:val="002E4FED"/>
    <w:rsid w:val="002F2771"/>
    <w:rsid w:val="002F59E9"/>
    <w:rsid w:val="002F7398"/>
    <w:rsid w:val="003015EF"/>
    <w:rsid w:val="00304309"/>
    <w:rsid w:val="00305BFF"/>
    <w:rsid w:val="0030626D"/>
    <w:rsid w:val="00311CE6"/>
    <w:rsid w:val="0031282D"/>
    <w:rsid w:val="00316347"/>
    <w:rsid w:val="003203F3"/>
    <w:rsid w:val="00320FA4"/>
    <w:rsid w:val="0032250B"/>
    <w:rsid w:val="00322A29"/>
    <w:rsid w:val="00324253"/>
    <w:rsid w:val="00325F7E"/>
    <w:rsid w:val="00327B34"/>
    <w:rsid w:val="00330B03"/>
    <w:rsid w:val="00332FB5"/>
    <w:rsid w:val="003337B6"/>
    <w:rsid w:val="003341A8"/>
    <w:rsid w:val="0033550D"/>
    <w:rsid w:val="00336942"/>
    <w:rsid w:val="00336C14"/>
    <w:rsid w:val="00340DBE"/>
    <w:rsid w:val="00341542"/>
    <w:rsid w:val="00342407"/>
    <w:rsid w:val="00342C2D"/>
    <w:rsid w:val="0035588E"/>
    <w:rsid w:val="003632A0"/>
    <w:rsid w:val="00363345"/>
    <w:rsid w:val="003637EB"/>
    <w:rsid w:val="00367B8E"/>
    <w:rsid w:val="003706D2"/>
    <w:rsid w:val="00370766"/>
    <w:rsid w:val="003723B6"/>
    <w:rsid w:val="003728FE"/>
    <w:rsid w:val="00385187"/>
    <w:rsid w:val="0039019A"/>
    <w:rsid w:val="003926FE"/>
    <w:rsid w:val="00397E88"/>
    <w:rsid w:val="003A4172"/>
    <w:rsid w:val="003B23EA"/>
    <w:rsid w:val="003B2DE4"/>
    <w:rsid w:val="003B38E1"/>
    <w:rsid w:val="003B3B22"/>
    <w:rsid w:val="003B6848"/>
    <w:rsid w:val="003C1954"/>
    <w:rsid w:val="003C1968"/>
    <w:rsid w:val="003C3F45"/>
    <w:rsid w:val="003C3FE0"/>
    <w:rsid w:val="003C56EF"/>
    <w:rsid w:val="003C5A00"/>
    <w:rsid w:val="003D3C04"/>
    <w:rsid w:val="003D4CBC"/>
    <w:rsid w:val="003D5DB0"/>
    <w:rsid w:val="003E0BE1"/>
    <w:rsid w:val="003E12D1"/>
    <w:rsid w:val="003E47B9"/>
    <w:rsid w:val="003E5342"/>
    <w:rsid w:val="003E604A"/>
    <w:rsid w:val="003F4AAB"/>
    <w:rsid w:val="00400B5C"/>
    <w:rsid w:val="00400CB5"/>
    <w:rsid w:val="0040147A"/>
    <w:rsid w:val="00403459"/>
    <w:rsid w:val="004035B0"/>
    <w:rsid w:val="00404C5D"/>
    <w:rsid w:val="0040599D"/>
    <w:rsid w:val="00407A14"/>
    <w:rsid w:val="00410BA1"/>
    <w:rsid w:val="004126ED"/>
    <w:rsid w:val="00412D02"/>
    <w:rsid w:val="004137B9"/>
    <w:rsid w:val="00415842"/>
    <w:rsid w:val="00416085"/>
    <w:rsid w:val="00416DEC"/>
    <w:rsid w:val="00417C79"/>
    <w:rsid w:val="00420ABB"/>
    <w:rsid w:val="00423610"/>
    <w:rsid w:val="004239E1"/>
    <w:rsid w:val="0042586E"/>
    <w:rsid w:val="00427DB9"/>
    <w:rsid w:val="004303F5"/>
    <w:rsid w:val="004332C7"/>
    <w:rsid w:val="00434EF3"/>
    <w:rsid w:val="00441D34"/>
    <w:rsid w:val="004435D7"/>
    <w:rsid w:val="00444162"/>
    <w:rsid w:val="004446D7"/>
    <w:rsid w:val="00444A33"/>
    <w:rsid w:val="00445C03"/>
    <w:rsid w:val="00445F55"/>
    <w:rsid w:val="0044656C"/>
    <w:rsid w:val="004504A2"/>
    <w:rsid w:val="00454894"/>
    <w:rsid w:val="004558B8"/>
    <w:rsid w:val="00455FC7"/>
    <w:rsid w:val="00456855"/>
    <w:rsid w:val="0046549D"/>
    <w:rsid w:val="004708F9"/>
    <w:rsid w:val="004733E7"/>
    <w:rsid w:val="00473B12"/>
    <w:rsid w:val="00474E33"/>
    <w:rsid w:val="0047555D"/>
    <w:rsid w:val="00480F74"/>
    <w:rsid w:val="00481436"/>
    <w:rsid w:val="00481BD4"/>
    <w:rsid w:val="00482FD3"/>
    <w:rsid w:val="004839AD"/>
    <w:rsid w:val="0048475E"/>
    <w:rsid w:val="00491ED6"/>
    <w:rsid w:val="004922E4"/>
    <w:rsid w:val="0049395C"/>
    <w:rsid w:val="00493A3A"/>
    <w:rsid w:val="0049495F"/>
    <w:rsid w:val="00495403"/>
    <w:rsid w:val="00496773"/>
    <w:rsid w:val="004A425D"/>
    <w:rsid w:val="004A4A87"/>
    <w:rsid w:val="004A5112"/>
    <w:rsid w:val="004B05CC"/>
    <w:rsid w:val="004B3577"/>
    <w:rsid w:val="004B58AC"/>
    <w:rsid w:val="004B6730"/>
    <w:rsid w:val="004B6909"/>
    <w:rsid w:val="004B6EE9"/>
    <w:rsid w:val="004C3B1C"/>
    <w:rsid w:val="004C426A"/>
    <w:rsid w:val="004D2220"/>
    <w:rsid w:val="004D4784"/>
    <w:rsid w:val="004E0093"/>
    <w:rsid w:val="004E4F6D"/>
    <w:rsid w:val="004E5244"/>
    <w:rsid w:val="004E659A"/>
    <w:rsid w:val="004F004E"/>
    <w:rsid w:val="004F0854"/>
    <w:rsid w:val="004F1747"/>
    <w:rsid w:val="004F19B6"/>
    <w:rsid w:val="004F27CE"/>
    <w:rsid w:val="004F2ECB"/>
    <w:rsid w:val="004F359A"/>
    <w:rsid w:val="004F3E96"/>
    <w:rsid w:val="004F4328"/>
    <w:rsid w:val="004F5AD3"/>
    <w:rsid w:val="004F643D"/>
    <w:rsid w:val="0050278F"/>
    <w:rsid w:val="00504E83"/>
    <w:rsid w:val="005058C8"/>
    <w:rsid w:val="005069CF"/>
    <w:rsid w:val="00507E0F"/>
    <w:rsid w:val="00510B15"/>
    <w:rsid w:val="00510D63"/>
    <w:rsid w:val="00515E3C"/>
    <w:rsid w:val="00520A60"/>
    <w:rsid w:val="005219F8"/>
    <w:rsid w:val="005227F3"/>
    <w:rsid w:val="00522DCA"/>
    <w:rsid w:val="00523FE3"/>
    <w:rsid w:val="00524AFE"/>
    <w:rsid w:val="0052540F"/>
    <w:rsid w:val="005301E5"/>
    <w:rsid w:val="005311FB"/>
    <w:rsid w:val="005314C7"/>
    <w:rsid w:val="005338F5"/>
    <w:rsid w:val="005345C0"/>
    <w:rsid w:val="005352EF"/>
    <w:rsid w:val="00536DE0"/>
    <w:rsid w:val="00537B37"/>
    <w:rsid w:val="00543D59"/>
    <w:rsid w:val="00545F85"/>
    <w:rsid w:val="00545FCC"/>
    <w:rsid w:val="00553215"/>
    <w:rsid w:val="0056162F"/>
    <w:rsid w:val="00563DB3"/>
    <w:rsid w:val="005652FE"/>
    <w:rsid w:val="00565852"/>
    <w:rsid w:val="00565922"/>
    <w:rsid w:val="00565DF4"/>
    <w:rsid w:val="00571C08"/>
    <w:rsid w:val="0057307A"/>
    <w:rsid w:val="005748DA"/>
    <w:rsid w:val="00576236"/>
    <w:rsid w:val="00576F86"/>
    <w:rsid w:val="005771F8"/>
    <w:rsid w:val="00581726"/>
    <w:rsid w:val="00581B7C"/>
    <w:rsid w:val="00582209"/>
    <w:rsid w:val="00585C8B"/>
    <w:rsid w:val="00586457"/>
    <w:rsid w:val="0059688C"/>
    <w:rsid w:val="00596F82"/>
    <w:rsid w:val="005974D6"/>
    <w:rsid w:val="00597D25"/>
    <w:rsid w:val="005A7261"/>
    <w:rsid w:val="005B1014"/>
    <w:rsid w:val="005B1377"/>
    <w:rsid w:val="005B2028"/>
    <w:rsid w:val="005B440B"/>
    <w:rsid w:val="005B4D39"/>
    <w:rsid w:val="005B54EF"/>
    <w:rsid w:val="005B6A0C"/>
    <w:rsid w:val="005B7733"/>
    <w:rsid w:val="005C136F"/>
    <w:rsid w:val="005C2C37"/>
    <w:rsid w:val="005C2D06"/>
    <w:rsid w:val="005C588D"/>
    <w:rsid w:val="005C5D11"/>
    <w:rsid w:val="005C70DC"/>
    <w:rsid w:val="005C7802"/>
    <w:rsid w:val="005D0D5A"/>
    <w:rsid w:val="005D6237"/>
    <w:rsid w:val="005E0B37"/>
    <w:rsid w:val="005E14A1"/>
    <w:rsid w:val="005E2321"/>
    <w:rsid w:val="005E55E7"/>
    <w:rsid w:val="005E6CF3"/>
    <w:rsid w:val="005F0D02"/>
    <w:rsid w:val="005F15A6"/>
    <w:rsid w:val="005F249B"/>
    <w:rsid w:val="005F27EC"/>
    <w:rsid w:val="005F47E7"/>
    <w:rsid w:val="00601795"/>
    <w:rsid w:val="00602044"/>
    <w:rsid w:val="00603BC5"/>
    <w:rsid w:val="006048C5"/>
    <w:rsid w:val="00606472"/>
    <w:rsid w:val="00612CB4"/>
    <w:rsid w:val="00613BC1"/>
    <w:rsid w:val="00615E64"/>
    <w:rsid w:val="00617E08"/>
    <w:rsid w:val="006231F4"/>
    <w:rsid w:val="00623AEF"/>
    <w:rsid w:val="0062667E"/>
    <w:rsid w:val="00630A98"/>
    <w:rsid w:val="0063194E"/>
    <w:rsid w:val="006338FD"/>
    <w:rsid w:val="006412B3"/>
    <w:rsid w:val="00641BF1"/>
    <w:rsid w:val="0064476B"/>
    <w:rsid w:val="006453D0"/>
    <w:rsid w:val="00645930"/>
    <w:rsid w:val="00646361"/>
    <w:rsid w:val="00647E83"/>
    <w:rsid w:val="00650C9B"/>
    <w:rsid w:val="00651B11"/>
    <w:rsid w:val="00651B6E"/>
    <w:rsid w:val="0065201C"/>
    <w:rsid w:val="00652650"/>
    <w:rsid w:val="006538D1"/>
    <w:rsid w:val="0065530D"/>
    <w:rsid w:val="00656496"/>
    <w:rsid w:val="00660362"/>
    <w:rsid w:val="00660570"/>
    <w:rsid w:val="00666129"/>
    <w:rsid w:val="0066635F"/>
    <w:rsid w:val="0067082A"/>
    <w:rsid w:val="0067372B"/>
    <w:rsid w:val="006740DF"/>
    <w:rsid w:val="00676916"/>
    <w:rsid w:val="00676A11"/>
    <w:rsid w:val="00681BCC"/>
    <w:rsid w:val="006835BE"/>
    <w:rsid w:val="00686245"/>
    <w:rsid w:val="00686D2F"/>
    <w:rsid w:val="00690A06"/>
    <w:rsid w:val="006919F2"/>
    <w:rsid w:val="00693DE0"/>
    <w:rsid w:val="00695638"/>
    <w:rsid w:val="0069601C"/>
    <w:rsid w:val="00696E88"/>
    <w:rsid w:val="006A0C84"/>
    <w:rsid w:val="006A0D79"/>
    <w:rsid w:val="006A2ECC"/>
    <w:rsid w:val="006A3A51"/>
    <w:rsid w:val="006A5A01"/>
    <w:rsid w:val="006A644C"/>
    <w:rsid w:val="006B068B"/>
    <w:rsid w:val="006B2CCE"/>
    <w:rsid w:val="006B3DE9"/>
    <w:rsid w:val="006B682B"/>
    <w:rsid w:val="006B70C1"/>
    <w:rsid w:val="006B70EF"/>
    <w:rsid w:val="006C00B2"/>
    <w:rsid w:val="006C1748"/>
    <w:rsid w:val="006C1E3C"/>
    <w:rsid w:val="006C487F"/>
    <w:rsid w:val="006C4E21"/>
    <w:rsid w:val="006C6919"/>
    <w:rsid w:val="006C79E4"/>
    <w:rsid w:val="006D2211"/>
    <w:rsid w:val="006D4E2B"/>
    <w:rsid w:val="006D5907"/>
    <w:rsid w:val="006E0C88"/>
    <w:rsid w:val="006E10A0"/>
    <w:rsid w:val="006E2CCE"/>
    <w:rsid w:val="006E2CED"/>
    <w:rsid w:val="006E2F57"/>
    <w:rsid w:val="006E5977"/>
    <w:rsid w:val="006E5BD6"/>
    <w:rsid w:val="006E65BD"/>
    <w:rsid w:val="006E668F"/>
    <w:rsid w:val="006F1E32"/>
    <w:rsid w:val="006F3CDF"/>
    <w:rsid w:val="006F4E09"/>
    <w:rsid w:val="006F54F3"/>
    <w:rsid w:val="006F63B8"/>
    <w:rsid w:val="007013BC"/>
    <w:rsid w:val="0070153D"/>
    <w:rsid w:val="00706B62"/>
    <w:rsid w:val="00711F08"/>
    <w:rsid w:val="00711FF5"/>
    <w:rsid w:val="00712ADA"/>
    <w:rsid w:val="00721BFD"/>
    <w:rsid w:val="0072401D"/>
    <w:rsid w:val="0073045F"/>
    <w:rsid w:val="00732037"/>
    <w:rsid w:val="007339D2"/>
    <w:rsid w:val="00733C37"/>
    <w:rsid w:val="00740263"/>
    <w:rsid w:val="00740928"/>
    <w:rsid w:val="00740F1C"/>
    <w:rsid w:val="00740F84"/>
    <w:rsid w:val="00741A38"/>
    <w:rsid w:val="007425C2"/>
    <w:rsid w:val="00743408"/>
    <w:rsid w:val="00743CF9"/>
    <w:rsid w:val="00747D56"/>
    <w:rsid w:val="00752050"/>
    <w:rsid w:val="007524CE"/>
    <w:rsid w:val="00754F0E"/>
    <w:rsid w:val="00756E93"/>
    <w:rsid w:val="00761A18"/>
    <w:rsid w:val="0076221D"/>
    <w:rsid w:val="00765D43"/>
    <w:rsid w:val="00767097"/>
    <w:rsid w:val="00767A1B"/>
    <w:rsid w:val="00767B5D"/>
    <w:rsid w:val="0077100F"/>
    <w:rsid w:val="0077167A"/>
    <w:rsid w:val="00771A6E"/>
    <w:rsid w:val="00772BFD"/>
    <w:rsid w:val="00773016"/>
    <w:rsid w:val="007775BD"/>
    <w:rsid w:val="0077776D"/>
    <w:rsid w:val="00785377"/>
    <w:rsid w:val="00792275"/>
    <w:rsid w:val="00795848"/>
    <w:rsid w:val="00797F97"/>
    <w:rsid w:val="007A0AC6"/>
    <w:rsid w:val="007B38C7"/>
    <w:rsid w:val="007B482B"/>
    <w:rsid w:val="007B75CC"/>
    <w:rsid w:val="007C3486"/>
    <w:rsid w:val="007C43EC"/>
    <w:rsid w:val="007C7A2B"/>
    <w:rsid w:val="007D249C"/>
    <w:rsid w:val="007D4B82"/>
    <w:rsid w:val="007D50D1"/>
    <w:rsid w:val="007D591C"/>
    <w:rsid w:val="007D5BA4"/>
    <w:rsid w:val="007E1273"/>
    <w:rsid w:val="007E2587"/>
    <w:rsid w:val="007E2A5C"/>
    <w:rsid w:val="007E5498"/>
    <w:rsid w:val="007E6666"/>
    <w:rsid w:val="007F0D78"/>
    <w:rsid w:val="007F183E"/>
    <w:rsid w:val="007F4262"/>
    <w:rsid w:val="007F46D0"/>
    <w:rsid w:val="007F5C1B"/>
    <w:rsid w:val="007F63AA"/>
    <w:rsid w:val="007F729D"/>
    <w:rsid w:val="0080163F"/>
    <w:rsid w:val="00802BC0"/>
    <w:rsid w:val="0080582B"/>
    <w:rsid w:val="00805B61"/>
    <w:rsid w:val="00807A87"/>
    <w:rsid w:val="00807E0A"/>
    <w:rsid w:val="00810D70"/>
    <w:rsid w:val="00811777"/>
    <w:rsid w:val="008126EA"/>
    <w:rsid w:val="008138D6"/>
    <w:rsid w:val="008143EF"/>
    <w:rsid w:val="0081474E"/>
    <w:rsid w:val="00814B66"/>
    <w:rsid w:val="00815840"/>
    <w:rsid w:val="008179CD"/>
    <w:rsid w:val="00820314"/>
    <w:rsid w:val="0082038E"/>
    <w:rsid w:val="008203B9"/>
    <w:rsid w:val="00823661"/>
    <w:rsid w:val="00832DE7"/>
    <w:rsid w:val="00835274"/>
    <w:rsid w:val="00837814"/>
    <w:rsid w:val="008404A9"/>
    <w:rsid w:val="00841EA8"/>
    <w:rsid w:val="00843B77"/>
    <w:rsid w:val="0084405A"/>
    <w:rsid w:val="00850E9D"/>
    <w:rsid w:val="0085400D"/>
    <w:rsid w:val="00855F4F"/>
    <w:rsid w:val="00860DF9"/>
    <w:rsid w:val="0086200C"/>
    <w:rsid w:val="0086282F"/>
    <w:rsid w:val="00862AF8"/>
    <w:rsid w:val="00862D97"/>
    <w:rsid w:val="00863705"/>
    <w:rsid w:val="00863B1F"/>
    <w:rsid w:val="008677B4"/>
    <w:rsid w:val="00870C82"/>
    <w:rsid w:val="00871A40"/>
    <w:rsid w:val="00873435"/>
    <w:rsid w:val="00882A88"/>
    <w:rsid w:val="00882C8A"/>
    <w:rsid w:val="0088572E"/>
    <w:rsid w:val="00886B43"/>
    <w:rsid w:val="008879E8"/>
    <w:rsid w:val="008936D8"/>
    <w:rsid w:val="0089481D"/>
    <w:rsid w:val="00895894"/>
    <w:rsid w:val="00897908"/>
    <w:rsid w:val="00897D7E"/>
    <w:rsid w:val="008A4CA2"/>
    <w:rsid w:val="008A7187"/>
    <w:rsid w:val="008B0237"/>
    <w:rsid w:val="008B0CA0"/>
    <w:rsid w:val="008B1AFA"/>
    <w:rsid w:val="008C1C22"/>
    <w:rsid w:val="008C3C1E"/>
    <w:rsid w:val="008C74BE"/>
    <w:rsid w:val="008C798D"/>
    <w:rsid w:val="008C7C8C"/>
    <w:rsid w:val="008C7FCA"/>
    <w:rsid w:val="008D0DE1"/>
    <w:rsid w:val="008D0FEF"/>
    <w:rsid w:val="008D10F5"/>
    <w:rsid w:val="008D2AEC"/>
    <w:rsid w:val="008D2E27"/>
    <w:rsid w:val="008D2E8A"/>
    <w:rsid w:val="008D3212"/>
    <w:rsid w:val="008D4B94"/>
    <w:rsid w:val="008D6A0C"/>
    <w:rsid w:val="008D7E8A"/>
    <w:rsid w:val="008E0C39"/>
    <w:rsid w:val="008E24DB"/>
    <w:rsid w:val="008E2814"/>
    <w:rsid w:val="008E6732"/>
    <w:rsid w:val="008E6FB9"/>
    <w:rsid w:val="008E7F44"/>
    <w:rsid w:val="008F08E8"/>
    <w:rsid w:val="008F27F1"/>
    <w:rsid w:val="008F2D08"/>
    <w:rsid w:val="008F4552"/>
    <w:rsid w:val="008F4A6D"/>
    <w:rsid w:val="00901D3D"/>
    <w:rsid w:val="00903CF2"/>
    <w:rsid w:val="00905218"/>
    <w:rsid w:val="00905A75"/>
    <w:rsid w:val="00910B4C"/>
    <w:rsid w:val="00910B8E"/>
    <w:rsid w:val="00911938"/>
    <w:rsid w:val="0091724D"/>
    <w:rsid w:val="00924DEF"/>
    <w:rsid w:val="00924F14"/>
    <w:rsid w:val="009257C1"/>
    <w:rsid w:val="00925E94"/>
    <w:rsid w:val="009279BF"/>
    <w:rsid w:val="0093390D"/>
    <w:rsid w:val="00936BC2"/>
    <w:rsid w:val="0094021B"/>
    <w:rsid w:val="009501F7"/>
    <w:rsid w:val="00953406"/>
    <w:rsid w:val="00954A72"/>
    <w:rsid w:val="0096257A"/>
    <w:rsid w:val="0096264F"/>
    <w:rsid w:val="00964410"/>
    <w:rsid w:val="00964AFF"/>
    <w:rsid w:val="00964F1D"/>
    <w:rsid w:val="009658FF"/>
    <w:rsid w:val="00970B33"/>
    <w:rsid w:val="00981BC3"/>
    <w:rsid w:val="00982FED"/>
    <w:rsid w:val="009831D8"/>
    <w:rsid w:val="00986C7A"/>
    <w:rsid w:val="0099526A"/>
    <w:rsid w:val="00995B6C"/>
    <w:rsid w:val="009966E9"/>
    <w:rsid w:val="00996A49"/>
    <w:rsid w:val="009A1B0F"/>
    <w:rsid w:val="009A299F"/>
    <w:rsid w:val="009A53EF"/>
    <w:rsid w:val="009B3A13"/>
    <w:rsid w:val="009B3CE5"/>
    <w:rsid w:val="009C239E"/>
    <w:rsid w:val="009C3DFC"/>
    <w:rsid w:val="009C5EB3"/>
    <w:rsid w:val="009C6ED1"/>
    <w:rsid w:val="009D1E3F"/>
    <w:rsid w:val="009D38FF"/>
    <w:rsid w:val="009D4186"/>
    <w:rsid w:val="009E165B"/>
    <w:rsid w:val="009E4E4B"/>
    <w:rsid w:val="009F2539"/>
    <w:rsid w:val="009F319E"/>
    <w:rsid w:val="009F360A"/>
    <w:rsid w:val="00A03007"/>
    <w:rsid w:val="00A0409F"/>
    <w:rsid w:val="00A05225"/>
    <w:rsid w:val="00A05EFA"/>
    <w:rsid w:val="00A11E5C"/>
    <w:rsid w:val="00A128B9"/>
    <w:rsid w:val="00A1753F"/>
    <w:rsid w:val="00A20AB0"/>
    <w:rsid w:val="00A223F1"/>
    <w:rsid w:val="00A22477"/>
    <w:rsid w:val="00A242D7"/>
    <w:rsid w:val="00A27D8A"/>
    <w:rsid w:val="00A3299A"/>
    <w:rsid w:val="00A347C0"/>
    <w:rsid w:val="00A3647A"/>
    <w:rsid w:val="00A36906"/>
    <w:rsid w:val="00A40324"/>
    <w:rsid w:val="00A40704"/>
    <w:rsid w:val="00A42B3C"/>
    <w:rsid w:val="00A502E1"/>
    <w:rsid w:val="00A526C1"/>
    <w:rsid w:val="00A527AB"/>
    <w:rsid w:val="00A52887"/>
    <w:rsid w:val="00A52E97"/>
    <w:rsid w:val="00A53EEE"/>
    <w:rsid w:val="00A57698"/>
    <w:rsid w:val="00A5787D"/>
    <w:rsid w:val="00A60EFC"/>
    <w:rsid w:val="00A62FA4"/>
    <w:rsid w:val="00A6404A"/>
    <w:rsid w:val="00A64AD9"/>
    <w:rsid w:val="00A70802"/>
    <w:rsid w:val="00A73395"/>
    <w:rsid w:val="00A7384E"/>
    <w:rsid w:val="00A74A66"/>
    <w:rsid w:val="00A75E5C"/>
    <w:rsid w:val="00A7665A"/>
    <w:rsid w:val="00A81564"/>
    <w:rsid w:val="00A82E64"/>
    <w:rsid w:val="00A84261"/>
    <w:rsid w:val="00A84DED"/>
    <w:rsid w:val="00A871A4"/>
    <w:rsid w:val="00A91753"/>
    <w:rsid w:val="00A92302"/>
    <w:rsid w:val="00A927EA"/>
    <w:rsid w:val="00A9285A"/>
    <w:rsid w:val="00A9443F"/>
    <w:rsid w:val="00A94656"/>
    <w:rsid w:val="00AA2320"/>
    <w:rsid w:val="00AA2997"/>
    <w:rsid w:val="00AA5584"/>
    <w:rsid w:val="00AA60CF"/>
    <w:rsid w:val="00AB3DE6"/>
    <w:rsid w:val="00AB5225"/>
    <w:rsid w:val="00AB53D3"/>
    <w:rsid w:val="00AB6339"/>
    <w:rsid w:val="00AB6641"/>
    <w:rsid w:val="00AB721F"/>
    <w:rsid w:val="00AB753C"/>
    <w:rsid w:val="00AB7DA5"/>
    <w:rsid w:val="00AC04B5"/>
    <w:rsid w:val="00AC190C"/>
    <w:rsid w:val="00AC1A72"/>
    <w:rsid w:val="00AC22DC"/>
    <w:rsid w:val="00AC5F06"/>
    <w:rsid w:val="00AC6E49"/>
    <w:rsid w:val="00AC6F5B"/>
    <w:rsid w:val="00AD0B5E"/>
    <w:rsid w:val="00AD1ACE"/>
    <w:rsid w:val="00AD392C"/>
    <w:rsid w:val="00AD3B13"/>
    <w:rsid w:val="00AD520E"/>
    <w:rsid w:val="00AE049B"/>
    <w:rsid w:val="00AE09F1"/>
    <w:rsid w:val="00AE182C"/>
    <w:rsid w:val="00AE476D"/>
    <w:rsid w:val="00AE4DE2"/>
    <w:rsid w:val="00AE7029"/>
    <w:rsid w:val="00AE722E"/>
    <w:rsid w:val="00AE7F09"/>
    <w:rsid w:val="00AF0B1B"/>
    <w:rsid w:val="00AF3DFE"/>
    <w:rsid w:val="00AF5B3A"/>
    <w:rsid w:val="00AF772A"/>
    <w:rsid w:val="00AF777E"/>
    <w:rsid w:val="00AF7CDD"/>
    <w:rsid w:val="00B00D86"/>
    <w:rsid w:val="00B00DBA"/>
    <w:rsid w:val="00B059D5"/>
    <w:rsid w:val="00B061E0"/>
    <w:rsid w:val="00B068A2"/>
    <w:rsid w:val="00B113DC"/>
    <w:rsid w:val="00B11A50"/>
    <w:rsid w:val="00B121C3"/>
    <w:rsid w:val="00B126A9"/>
    <w:rsid w:val="00B13502"/>
    <w:rsid w:val="00B15211"/>
    <w:rsid w:val="00B1570A"/>
    <w:rsid w:val="00B17B1C"/>
    <w:rsid w:val="00B202C5"/>
    <w:rsid w:val="00B21548"/>
    <w:rsid w:val="00B2391B"/>
    <w:rsid w:val="00B24AB7"/>
    <w:rsid w:val="00B24FB1"/>
    <w:rsid w:val="00B25A70"/>
    <w:rsid w:val="00B25AD8"/>
    <w:rsid w:val="00B26ECF"/>
    <w:rsid w:val="00B34265"/>
    <w:rsid w:val="00B3592A"/>
    <w:rsid w:val="00B405F0"/>
    <w:rsid w:val="00B40967"/>
    <w:rsid w:val="00B40DB8"/>
    <w:rsid w:val="00B469DC"/>
    <w:rsid w:val="00B46D08"/>
    <w:rsid w:val="00B5151E"/>
    <w:rsid w:val="00B519CA"/>
    <w:rsid w:val="00B52510"/>
    <w:rsid w:val="00B534BA"/>
    <w:rsid w:val="00B54FE4"/>
    <w:rsid w:val="00B57C61"/>
    <w:rsid w:val="00B57E70"/>
    <w:rsid w:val="00B602F0"/>
    <w:rsid w:val="00B6284A"/>
    <w:rsid w:val="00B6290B"/>
    <w:rsid w:val="00B66255"/>
    <w:rsid w:val="00B71F7C"/>
    <w:rsid w:val="00B72AA5"/>
    <w:rsid w:val="00B73C88"/>
    <w:rsid w:val="00B73FF1"/>
    <w:rsid w:val="00B76091"/>
    <w:rsid w:val="00B76422"/>
    <w:rsid w:val="00B76768"/>
    <w:rsid w:val="00B7718D"/>
    <w:rsid w:val="00B80B5E"/>
    <w:rsid w:val="00B82067"/>
    <w:rsid w:val="00B82443"/>
    <w:rsid w:val="00B827C3"/>
    <w:rsid w:val="00B82A49"/>
    <w:rsid w:val="00B82ED6"/>
    <w:rsid w:val="00B8729C"/>
    <w:rsid w:val="00B876BD"/>
    <w:rsid w:val="00B90029"/>
    <w:rsid w:val="00B91B8D"/>
    <w:rsid w:val="00B92B87"/>
    <w:rsid w:val="00B93249"/>
    <w:rsid w:val="00BA0131"/>
    <w:rsid w:val="00BA1564"/>
    <w:rsid w:val="00BA1817"/>
    <w:rsid w:val="00BA2E95"/>
    <w:rsid w:val="00BA33B0"/>
    <w:rsid w:val="00BA653D"/>
    <w:rsid w:val="00BB08F1"/>
    <w:rsid w:val="00BB0D41"/>
    <w:rsid w:val="00BB6B1B"/>
    <w:rsid w:val="00BB7C59"/>
    <w:rsid w:val="00BC4DCF"/>
    <w:rsid w:val="00BC4FE6"/>
    <w:rsid w:val="00BC57BA"/>
    <w:rsid w:val="00BD109F"/>
    <w:rsid w:val="00BD14AE"/>
    <w:rsid w:val="00BD43D0"/>
    <w:rsid w:val="00BD4CD3"/>
    <w:rsid w:val="00BD5887"/>
    <w:rsid w:val="00BE09FC"/>
    <w:rsid w:val="00BE2554"/>
    <w:rsid w:val="00BE3906"/>
    <w:rsid w:val="00BE3AF9"/>
    <w:rsid w:val="00BE461D"/>
    <w:rsid w:val="00BE61AA"/>
    <w:rsid w:val="00BE6E65"/>
    <w:rsid w:val="00BE7F15"/>
    <w:rsid w:val="00BF10A5"/>
    <w:rsid w:val="00BF592F"/>
    <w:rsid w:val="00BF5EA5"/>
    <w:rsid w:val="00C055FE"/>
    <w:rsid w:val="00C06396"/>
    <w:rsid w:val="00C10434"/>
    <w:rsid w:val="00C105A5"/>
    <w:rsid w:val="00C107A0"/>
    <w:rsid w:val="00C113E7"/>
    <w:rsid w:val="00C1287D"/>
    <w:rsid w:val="00C13C88"/>
    <w:rsid w:val="00C1487F"/>
    <w:rsid w:val="00C15C3B"/>
    <w:rsid w:val="00C23C26"/>
    <w:rsid w:val="00C263AD"/>
    <w:rsid w:val="00C27AB6"/>
    <w:rsid w:val="00C33B3F"/>
    <w:rsid w:val="00C34AC9"/>
    <w:rsid w:val="00C35AB1"/>
    <w:rsid w:val="00C37DCA"/>
    <w:rsid w:val="00C41934"/>
    <w:rsid w:val="00C4372F"/>
    <w:rsid w:val="00C517F7"/>
    <w:rsid w:val="00C5239A"/>
    <w:rsid w:val="00C62188"/>
    <w:rsid w:val="00C623D5"/>
    <w:rsid w:val="00C632F7"/>
    <w:rsid w:val="00C64794"/>
    <w:rsid w:val="00C6543D"/>
    <w:rsid w:val="00C7020C"/>
    <w:rsid w:val="00C72652"/>
    <w:rsid w:val="00C73CC7"/>
    <w:rsid w:val="00C74052"/>
    <w:rsid w:val="00C76FCB"/>
    <w:rsid w:val="00C77DAD"/>
    <w:rsid w:val="00C85BE8"/>
    <w:rsid w:val="00C86B6C"/>
    <w:rsid w:val="00C87913"/>
    <w:rsid w:val="00C93566"/>
    <w:rsid w:val="00C948A8"/>
    <w:rsid w:val="00C9561A"/>
    <w:rsid w:val="00CA349D"/>
    <w:rsid w:val="00CA56C7"/>
    <w:rsid w:val="00CA5B04"/>
    <w:rsid w:val="00CA6E57"/>
    <w:rsid w:val="00CA7B2F"/>
    <w:rsid w:val="00CB0795"/>
    <w:rsid w:val="00CB33D8"/>
    <w:rsid w:val="00CB40C7"/>
    <w:rsid w:val="00CB44C4"/>
    <w:rsid w:val="00CB46B2"/>
    <w:rsid w:val="00CB6E57"/>
    <w:rsid w:val="00CC2CDE"/>
    <w:rsid w:val="00CC3B17"/>
    <w:rsid w:val="00CC3CFB"/>
    <w:rsid w:val="00CC5E24"/>
    <w:rsid w:val="00CC5E74"/>
    <w:rsid w:val="00CC6CAB"/>
    <w:rsid w:val="00CC7065"/>
    <w:rsid w:val="00CD055E"/>
    <w:rsid w:val="00CD1885"/>
    <w:rsid w:val="00CD4BB4"/>
    <w:rsid w:val="00CD70A7"/>
    <w:rsid w:val="00CE39A5"/>
    <w:rsid w:val="00CE4339"/>
    <w:rsid w:val="00CE4AC3"/>
    <w:rsid w:val="00CF36B9"/>
    <w:rsid w:val="00CF52CC"/>
    <w:rsid w:val="00D02D0C"/>
    <w:rsid w:val="00D02DA5"/>
    <w:rsid w:val="00D03084"/>
    <w:rsid w:val="00D0472B"/>
    <w:rsid w:val="00D05C5F"/>
    <w:rsid w:val="00D07CB8"/>
    <w:rsid w:val="00D1121B"/>
    <w:rsid w:val="00D11763"/>
    <w:rsid w:val="00D21B62"/>
    <w:rsid w:val="00D26C4D"/>
    <w:rsid w:val="00D3092D"/>
    <w:rsid w:val="00D31E1D"/>
    <w:rsid w:val="00D32EE0"/>
    <w:rsid w:val="00D35BAA"/>
    <w:rsid w:val="00D35CA8"/>
    <w:rsid w:val="00D361C1"/>
    <w:rsid w:val="00D42054"/>
    <w:rsid w:val="00D431ED"/>
    <w:rsid w:val="00D47EFA"/>
    <w:rsid w:val="00D51575"/>
    <w:rsid w:val="00D51796"/>
    <w:rsid w:val="00D52474"/>
    <w:rsid w:val="00D55BA1"/>
    <w:rsid w:val="00D6592E"/>
    <w:rsid w:val="00D659BA"/>
    <w:rsid w:val="00D71180"/>
    <w:rsid w:val="00D77B2F"/>
    <w:rsid w:val="00D77E5A"/>
    <w:rsid w:val="00D80452"/>
    <w:rsid w:val="00D80AAF"/>
    <w:rsid w:val="00D83C57"/>
    <w:rsid w:val="00D8698F"/>
    <w:rsid w:val="00D91E8C"/>
    <w:rsid w:val="00D95C9D"/>
    <w:rsid w:val="00DA623A"/>
    <w:rsid w:val="00DA78EF"/>
    <w:rsid w:val="00DB13A5"/>
    <w:rsid w:val="00DB4245"/>
    <w:rsid w:val="00DB51A7"/>
    <w:rsid w:val="00DB53C5"/>
    <w:rsid w:val="00DB6467"/>
    <w:rsid w:val="00DB6DFB"/>
    <w:rsid w:val="00DC023C"/>
    <w:rsid w:val="00DC1DC8"/>
    <w:rsid w:val="00DC1F37"/>
    <w:rsid w:val="00DC4FE9"/>
    <w:rsid w:val="00DC5DA8"/>
    <w:rsid w:val="00DC6350"/>
    <w:rsid w:val="00DC77E4"/>
    <w:rsid w:val="00DD33F7"/>
    <w:rsid w:val="00DD5119"/>
    <w:rsid w:val="00DD57A6"/>
    <w:rsid w:val="00DE377F"/>
    <w:rsid w:val="00DE43CD"/>
    <w:rsid w:val="00DE45BF"/>
    <w:rsid w:val="00DE7704"/>
    <w:rsid w:val="00DF2715"/>
    <w:rsid w:val="00DF3345"/>
    <w:rsid w:val="00DF57A6"/>
    <w:rsid w:val="00DF6108"/>
    <w:rsid w:val="00DF6BCE"/>
    <w:rsid w:val="00DF77A9"/>
    <w:rsid w:val="00DF78BA"/>
    <w:rsid w:val="00E005E4"/>
    <w:rsid w:val="00E021A1"/>
    <w:rsid w:val="00E108AB"/>
    <w:rsid w:val="00E141E2"/>
    <w:rsid w:val="00E14886"/>
    <w:rsid w:val="00E164F4"/>
    <w:rsid w:val="00E17217"/>
    <w:rsid w:val="00E30E20"/>
    <w:rsid w:val="00E3181B"/>
    <w:rsid w:val="00E31CB4"/>
    <w:rsid w:val="00E343FC"/>
    <w:rsid w:val="00E37110"/>
    <w:rsid w:val="00E42016"/>
    <w:rsid w:val="00E4266B"/>
    <w:rsid w:val="00E45B03"/>
    <w:rsid w:val="00E45C75"/>
    <w:rsid w:val="00E46569"/>
    <w:rsid w:val="00E47799"/>
    <w:rsid w:val="00E47AB8"/>
    <w:rsid w:val="00E5158C"/>
    <w:rsid w:val="00E51830"/>
    <w:rsid w:val="00E53A23"/>
    <w:rsid w:val="00E54555"/>
    <w:rsid w:val="00E60AFE"/>
    <w:rsid w:val="00E62441"/>
    <w:rsid w:val="00E667D1"/>
    <w:rsid w:val="00E669F2"/>
    <w:rsid w:val="00E72E01"/>
    <w:rsid w:val="00E75BE4"/>
    <w:rsid w:val="00E76A17"/>
    <w:rsid w:val="00E81D80"/>
    <w:rsid w:val="00E83024"/>
    <w:rsid w:val="00E843DF"/>
    <w:rsid w:val="00E8567A"/>
    <w:rsid w:val="00E8625C"/>
    <w:rsid w:val="00E90F0C"/>
    <w:rsid w:val="00E93157"/>
    <w:rsid w:val="00E949FA"/>
    <w:rsid w:val="00E979A6"/>
    <w:rsid w:val="00E97EBE"/>
    <w:rsid w:val="00EA0C8F"/>
    <w:rsid w:val="00EA43DA"/>
    <w:rsid w:val="00EA5201"/>
    <w:rsid w:val="00EB3377"/>
    <w:rsid w:val="00EB4974"/>
    <w:rsid w:val="00EB5F8A"/>
    <w:rsid w:val="00EB603B"/>
    <w:rsid w:val="00EB6F88"/>
    <w:rsid w:val="00EB7DC9"/>
    <w:rsid w:val="00EC071E"/>
    <w:rsid w:val="00EC0CAE"/>
    <w:rsid w:val="00EC0EA9"/>
    <w:rsid w:val="00EC367B"/>
    <w:rsid w:val="00ED43DF"/>
    <w:rsid w:val="00ED5727"/>
    <w:rsid w:val="00ED597A"/>
    <w:rsid w:val="00ED7027"/>
    <w:rsid w:val="00EE0537"/>
    <w:rsid w:val="00EE12E4"/>
    <w:rsid w:val="00EE3D40"/>
    <w:rsid w:val="00EE54A1"/>
    <w:rsid w:val="00EF2220"/>
    <w:rsid w:val="00EF2B45"/>
    <w:rsid w:val="00EF3761"/>
    <w:rsid w:val="00EF68DF"/>
    <w:rsid w:val="00F00AE3"/>
    <w:rsid w:val="00F01EE7"/>
    <w:rsid w:val="00F021C2"/>
    <w:rsid w:val="00F07844"/>
    <w:rsid w:val="00F10573"/>
    <w:rsid w:val="00F10FED"/>
    <w:rsid w:val="00F1206C"/>
    <w:rsid w:val="00F1245B"/>
    <w:rsid w:val="00F12BB3"/>
    <w:rsid w:val="00F13CB4"/>
    <w:rsid w:val="00F149D7"/>
    <w:rsid w:val="00F15775"/>
    <w:rsid w:val="00F15A3F"/>
    <w:rsid w:val="00F15BA4"/>
    <w:rsid w:val="00F2204A"/>
    <w:rsid w:val="00F23369"/>
    <w:rsid w:val="00F25E12"/>
    <w:rsid w:val="00F26E9C"/>
    <w:rsid w:val="00F27539"/>
    <w:rsid w:val="00F2779D"/>
    <w:rsid w:val="00F33B53"/>
    <w:rsid w:val="00F34774"/>
    <w:rsid w:val="00F35A3A"/>
    <w:rsid w:val="00F416F0"/>
    <w:rsid w:val="00F41C4F"/>
    <w:rsid w:val="00F46505"/>
    <w:rsid w:val="00F51C8B"/>
    <w:rsid w:val="00F525A0"/>
    <w:rsid w:val="00F529A4"/>
    <w:rsid w:val="00F52E13"/>
    <w:rsid w:val="00F55B70"/>
    <w:rsid w:val="00F574FB"/>
    <w:rsid w:val="00F60E07"/>
    <w:rsid w:val="00F61FC4"/>
    <w:rsid w:val="00F6238C"/>
    <w:rsid w:val="00F645BC"/>
    <w:rsid w:val="00F64731"/>
    <w:rsid w:val="00F65786"/>
    <w:rsid w:val="00F666F7"/>
    <w:rsid w:val="00F678D5"/>
    <w:rsid w:val="00F71B5E"/>
    <w:rsid w:val="00F7382C"/>
    <w:rsid w:val="00F76564"/>
    <w:rsid w:val="00F76D17"/>
    <w:rsid w:val="00F806A0"/>
    <w:rsid w:val="00F8146C"/>
    <w:rsid w:val="00F84C72"/>
    <w:rsid w:val="00F90380"/>
    <w:rsid w:val="00F91236"/>
    <w:rsid w:val="00F91341"/>
    <w:rsid w:val="00F93069"/>
    <w:rsid w:val="00F9489A"/>
    <w:rsid w:val="00F94E9F"/>
    <w:rsid w:val="00F956B9"/>
    <w:rsid w:val="00F968D0"/>
    <w:rsid w:val="00FA3AC7"/>
    <w:rsid w:val="00FA43ED"/>
    <w:rsid w:val="00FA44CF"/>
    <w:rsid w:val="00FA5E08"/>
    <w:rsid w:val="00FA7C61"/>
    <w:rsid w:val="00FB4EE6"/>
    <w:rsid w:val="00FC04CD"/>
    <w:rsid w:val="00FC098E"/>
    <w:rsid w:val="00FC11DC"/>
    <w:rsid w:val="00FC23E2"/>
    <w:rsid w:val="00FC331B"/>
    <w:rsid w:val="00FC5F07"/>
    <w:rsid w:val="00FD0848"/>
    <w:rsid w:val="00FD0B7D"/>
    <w:rsid w:val="00FD0F2E"/>
    <w:rsid w:val="00FD2A60"/>
    <w:rsid w:val="00FD52E8"/>
    <w:rsid w:val="00FD5936"/>
    <w:rsid w:val="00FD6841"/>
    <w:rsid w:val="00FE1A24"/>
    <w:rsid w:val="00FE1BD0"/>
    <w:rsid w:val="00FE24E1"/>
    <w:rsid w:val="00FE256F"/>
    <w:rsid w:val="00FE4187"/>
    <w:rsid w:val="00FE42EF"/>
    <w:rsid w:val="00FE4700"/>
    <w:rsid w:val="00FE5D54"/>
    <w:rsid w:val="00FF4450"/>
    <w:rsid w:val="00FF7145"/>
    <w:rsid w:val="014C1367"/>
    <w:rsid w:val="01600073"/>
    <w:rsid w:val="03542A9E"/>
    <w:rsid w:val="0418CE1C"/>
    <w:rsid w:val="05409869"/>
    <w:rsid w:val="056FEAD4"/>
    <w:rsid w:val="07B4647F"/>
    <w:rsid w:val="07C0931D"/>
    <w:rsid w:val="08EAF799"/>
    <w:rsid w:val="09E54A41"/>
    <w:rsid w:val="0C22985B"/>
    <w:rsid w:val="0D559B25"/>
    <w:rsid w:val="0DA47A7B"/>
    <w:rsid w:val="0F5330D2"/>
    <w:rsid w:val="10100928"/>
    <w:rsid w:val="10E0AD95"/>
    <w:rsid w:val="13B62993"/>
    <w:rsid w:val="13B98AC0"/>
    <w:rsid w:val="1593753F"/>
    <w:rsid w:val="1818708E"/>
    <w:rsid w:val="198077D2"/>
    <w:rsid w:val="1DBE3439"/>
    <w:rsid w:val="1F88188F"/>
    <w:rsid w:val="1FA56820"/>
    <w:rsid w:val="2009AD02"/>
    <w:rsid w:val="2130F610"/>
    <w:rsid w:val="2141C87E"/>
    <w:rsid w:val="2198087F"/>
    <w:rsid w:val="21E601FA"/>
    <w:rsid w:val="22D196C5"/>
    <w:rsid w:val="2483BF16"/>
    <w:rsid w:val="24879466"/>
    <w:rsid w:val="250B07BC"/>
    <w:rsid w:val="27F6E5A0"/>
    <w:rsid w:val="2AED2EE0"/>
    <w:rsid w:val="2B792544"/>
    <w:rsid w:val="2BF2F55F"/>
    <w:rsid w:val="2C4C625E"/>
    <w:rsid w:val="2CE5F02B"/>
    <w:rsid w:val="2D53C50A"/>
    <w:rsid w:val="33CB5CCC"/>
    <w:rsid w:val="34D6D2C0"/>
    <w:rsid w:val="35672D2D"/>
    <w:rsid w:val="38538EAB"/>
    <w:rsid w:val="38E86F72"/>
    <w:rsid w:val="3914CBCA"/>
    <w:rsid w:val="3ACF373F"/>
    <w:rsid w:val="3BBD2DD7"/>
    <w:rsid w:val="3CE88376"/>
    <w:rsid w:val="3DDB16EA"/>
    <w:rsid w:val="3F114F13"/>
    <w:rsid w:val="40653E56"/>
    <w:rsid w:val="42EE0DA1"/>
    <w:rsid w:val="45C81E45"/>
    <w:rsid w:val="481508C2"/>
    <w:rsid w:val="4BF48001"/>
    <w:rsid w:val="4E1F6D5F"/>
    <w:rsid w:val="4F0541EC"/>
    <w:rsid w:val="517E1C73"/>
    <w:rsid w:val="52B9F57C"/>
    <w:rsid w:val="52D30946"/>
    <w:rsid w:val="538A04DC"/>
    <w:rsid w:val="53E30BE5"/>
    <w:rsid w:val="5459740D"/>
    <w:rsid w:val="54BA298A"/>
    <w:rsid w:val="55D06E2A"/>
    <w:rsid w:val="55DF7610"/>
    <w:rsid w:val="577B4671"/>
    <w:rsid w:val="57FA3D23"/>
    <w:rsid w:val="589E001F"/>
    <w:rsid w:val="58B4ACE7"/>
    <w:rsid w:val="5C03B87A"/>
    <w:rsid w:val="5DF4B3E5"/>
    <w:rsid w:val="5E5F87CF"/>
    <w:rsid w:val="601CDF23"/>
    <w:rsid w:val="601E8CAE"/>
    <w:rsid w:val="606DB013"/>
    <w:rsid w:val="6152F823"/>
    <w:rsid w:val="617A2D52"/>
    <w:rsid w:val="617AE84E"/>
    <w:rsid w:val="62EEC884"/>
    <w:rsid w:val="65FD8760"/>
    <w:rsid w:val="669305DA"/>
    <w:rsid w:val="6827F108"/>
    <w:rsid w:val="69352822"/>
    <w:rsid w:val="6ADE20BB"/>
    <w:rsid w:val="6E771E6E"/>
    <w:rsid w:val="718AF7B4"/>
    <w:rsid w:val="7190CCCB"/>
    <w:rsid w:val="71F93D75"/>
    <w:rsid w:val="72856C4B"/>
    <w:rsid w:val="73B1A11E"/>
    <w:rsid w:val="74ED4D8A"/>
    <w:rsid w:val="75DB0EB7"/>
    <w:rsid w:val="7758F541"/>
    <w:rsid w:val="777E8C92"/>
    <w:rsid w:val="7983ACC2"/>
    <w:rsid w:val="7A8A059F"/>
    <w:rsid w:val="7E62F030"/>
    <w:rsid w:val="7EF7DAB8"/>
    <w:rsid w:val="7F87F0EC"/>
    <w:rsid w:val="7FF91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Mencinsinresolver1">
    <w:name w:val="Mención sin resolver1"/>
    <w:basedOn w:val="Fuentedeprrafopredeter"/>
    <w:uiPriority w:val="99"/>
    <w:semiHidden/>
    <w:unhideWhenUsed/>
    <w:rsid w:val="006048C5"/>
    <w:rPr>
      <w:color w:val="605E5C"/>
      <w:shd w:val="clear" w:color="auto" w:fill="E1DFDD"/>
    </w:rPr>
  </w:style>
  <w:style w:type="paragraph" w:styleId="Sinespaciado">
    <w:name w:val="No Spacing"/>
    <w:uiPriority w:val="1"/>
    <w:qFormat/>
    <w:rsid w:val="00651B6E"/>
    <w:pPr>
      <w:spacing w:before="0" w:after="0" w:line="240" w:lineRule="auto"/>
    </w:pPr>
  </w:style>
  <w:style w:type="paragraph" w:styleId="Revisin">
    <w:name w:val="Revision"/>
    <w:hidden/>
    <w:uiPriority w:val="99"/>
    <w:semiHidden/>
    <w:rsid w:val="008A4CA2"/>
    <w:pPr>
      <w:spacing w:before="0" w:beforeAutospacing="0" w:after="0" w:afterAutospacing="0" w:line="240" w:lineRule="auto"/>
      <w:ind w:firstLine="0"/>
      <w:jc w:val="left"/>
    </w:pPr>
  </w:style>
  <w:style w:type="table" w:customStyle="1" w:styleId="Tablaconcuadrcula11">
    <w:name w:val="Tabla con cuadrícula11"/>
    <w:basedOn w:val="Tablanormal"/>
    <w:next w:val="Tablaconcuadrcula"/>
    <w:rsid w:val="00C4372F"/>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56897831">
      <w:bodyDiv w:val="1"/>
      <w:marLeft w:val="0"/>
      <w:marRight w:val="0"/>
      <w:marTop w:val="0"/>
      <w:marBottom w:val="0"/>
      <w:divBdr>
        <w:top w:val="none" w:sz="0" w:space="0" w:color="auto"/>
        <w:left w:val="none" w:sz="0" w:space="0" w:color="auto"/>
        <w:bottom w:val="none" w:sz="0" w:space="0" w:color="auto"/>
        <w:right w:val="none" w:sz="0" w:space="0" w:color="auto"/>
      </w:divBdr>
    </w:div>
    <w:div w:id="168452076">
      <w:bodyDiv w:val="1"/>
      <w:marLeft w:val="0"/>
      <w:marRight w:val="0"/>
      <w:marTop w:val="0"/>
      <w:marBottom w:val="0"/>
      <w:divBdr>
        <w:top w:val="none" w:sz="0" w:space="0" w:color="auto"/>
        <w:left w:val="none" w:sz="0" w:space="0" w:color="auto"/>
        <w:bottom w:val="none" w:sz="0" w:space="0" w:color="auto"/>
        <w:right w:val="none" w:sz="0" w:space="0" w:color="auto"/>
      </w:divBdr>
    </w:div>
    <w:div w:id="229461816">
      <w:bodyDiv w:val="1"/>
      <w:marLeft w:val="0"/>
      <w:marRight w:val="0"/>
      <w:marTop w:val="0"/>
      <w:marBottom w:val="0"/>
      <w:divBdr>
        <w:top w:val="none" w:sz="0" w:space="0" w:color="auto"/>
        <w:left w:val="none" w:sz="0" w:space="0" w:color="auto"/>
        <w:bottom w:val="none" w:sz="0" w:space="0" w:color="auto"/>
        <w:right w:val="none" w:sz="0" w:space="0" w:color="auto"/>
      </w:divBdr>
      <w:divsChild>
        <w:div w:id="826551943">
          <w:marLeft w:val="0"/>
          <w:marRight w:val="0"/>
          <w:marTop w:val="0"/>
          <w:marBottom w:val="0"/>
          <w:divBdr>
            <w:top w:val="none" w:sz="0" w:space="0" w:color="auto"/>
            <w:left w:val="none" w:sz="0" w:space="0" w:color="auto"/>
            <w:bottom w:val="none" w:sz="0" w:space="0" w:color="auto"/>
            <w:right w:val="none" w:sz="0" w:space="0" w:color="auto"/>
          </w:divBdr>
        </w:div>
        <w:div w:id="100073648">
          <w:marLeft w:val="0"/>
          <w:marRight w:val="0"/>
          <w:marTop w:val="0"/>
          <w:marBottom w:val="0"/>
          <w:divBdr>
            <w:top w:val="none" w:sz="0" w:space="0" w:color="auto"/>
            <w:left w:val="none" w:sz="0" w:space="0" w:color="auto"/>
            <w:bottom w:val="none" w:sz="0" w:space="0" w:color="auto"/>
            <w:right w:val="none" w:sz="0" w:space="0" w:color="auto"/>
          </w:divBdr>
        </w:div>
        <w:div w:id="1943537301">
          <w:marLeft w:val="0"/>
          <w:marRight w:val="0"/>
          <w:marTop w:val="0"/>
          <w:marBottom w:val="0"/>
          <w:divBdr>
            <w:top w:val="none" w:sz="0" w:space="0" w:color="auto"/>
            <w:left w:val="none" w:sz="0" w:space="0" w:color="auto"/>
            <w:bottom w:val="none" w:sz="0" w:space="0" w:color="auto"/>
            <w:right w:val="none" w:sz="0" w:space="0" w:color="auto"/>
          </w:divBdr>
        </w:div>
        <w:div w:id="445201936">
          <w:marLeft w:val="0"/>
          <w:marRight w:val="0"/>
          <w:marTop w:val="0"/>
          <w:marBottom w:val="0"/>
          <w:divBdr>
            <w:top w:val="none" w:sz="0" w:space="0" w:color="auto"/>
            <w:left w:val="none" w:sz="0" w:space="0" w:color="auto"/>
            <w:bottom w:val="none" w:sz="0" w:space="0" w:color="auto"/>
            <w:right w:val="none" w:sz="0" w:space="0" w:color="auto"/>
          </w:divBdr>
        </w:div>
        <w:div w:id="279996229">
          <w:marLeft w:val="0"/>
          <w:marRight w:val="0"/>
          <w:marTop w:val="0"/>
          <w:marBottom w:val="0"/>
          <w:divBdr>
            <w:top w:val="none" w:sz="0" w:space="0" w:color="auto"/>
            <w:left w:val="none" w:sz="0" w:space="0" w:color="auto"/>
            <w:bottom w:val="none" w:sz="0" w:space="0" w:color="auto"/>
            <w:right w:val="none" w:sz="0" w:space="0" w:color="auto"/>
          </w:divBdr>
        </w:div>
        <w:div w:id="1698775031">
          <w:marLeft w:val="0"/>
          <w:marRight w:val="0"/>
          <w:marTop w:val="0"/>
          <w:marBottom w:val="0"/>
          <w:divBdr>
            <w:top w:val="none" w:sz="0" w:space="0" w:color="auto"/>
            <w:left w:val="none" w:sz="0" w:space="0" w:color="auto"/>
            <w:bottom w:val="none" w:sz="0" w:space="0" w:color="auto"/>
            <w:right w:val="none" w:sz="0" w:space="0" w:color="auto"/>
          </w:divBdr>
        </w:div>
        <w:div w:id="301160128">
          <w:marLeft w:val="0"/>
          <w:marRight w:val="0"/>
          <w:marTop w:val="0"/>
          <w:marBottom w:val="0"/>
          <w:divBdr>
            <w:top w:val="none" w:sz="0" w:space="0" w:color="auto"/>
            <w:left w:val="none" w:sz="0" w:space="0" w:color="auto"/>
            <w:bottom w:val="none" w:sz="0" w:space="0" w:color="auto"/>
            <w:right w:val="none" w:sz="0" w:space="0" w:color="auto"/>
          </w:divBdr>
        </w:div>
        <w:div w:id="728843633">
          <w:marLeft w:val="0"/>
          <w:marRight w:val="0"/>
          <w:marTop w:val="0"/>
          <w:marBottom w:val="0"/>
          <w:divBdr>
            <w:top w:val="none" w:sz="0" w:space="0" w:color="auto"/>
            <w:left w:val="none" w:sz="0" w:space="0" w:color="auto"/>
            <w:bottom w:val="none" w:sz="0" w:space="0" w:color="auto"/>
            <w:right w:val="none" w:sz="0" w:space="0" w:color="auto"/>
          </w:divBdr>
        </w:div>
        <w:div w:id="465590907">
          <w:marLeft w:val="0"/>
          <w:marRight w:val="0"/>
          <w:marTop w:val="0"/>
          <w:marBottom w:val="0"/>
          <w:divBdr>
            <w:top w:val="none" w:sz="0" w:space="0" w:color="auto"/>
            <w:left w:val="none" w:sz="0" w:space="0" w:color="auto"/>
            <w:bottom w:val="none" w:sz="0" w:space="0" w:color="auto"/>
            <w:right w:val="none" w:sz="0" w:space="0" w:color="auto"/>
          </w:divBdr>
        </w:div>
        <w:div w:id="955481959">
          <w:marLeft w:val="0"/>
          <w:marRight w:val="0"/>
          <w:marTop w:val="0"/>
          <w:marBottom w:val="0"/>
          <w:divBdr>
            <w:top w:val="none" w:sz="0" w:space="0" w:color="auto"/>
            <w:left w:val="none" w:sz="0" w:space="0" w:color="auto"/>
            <w:bottom w:val="none" w:sz="0" w:space="0" w:color="auto"/>
            <w:right w:val="none" w:sz="0" w:space="0" w:color="auto"/>
          </w:divBdr>
        </w:div>
        <w:div w:id="900865101">
          <w:marLeft w:val="0"/>
          <w:marRight w:val="0"/>
          <w:marTop w:val="0"/>
          <w:marBottom w:val="0"/>
          <w:divBdr>
            <w:top w:val="none" w:sz="0" w:space="0" w:color="auto"/>
            <w:left w:val="none" w:sz="0" w:space="0" w:color="auto"/>
            <w:bottom w:val="none" w:sz="0" w:space="0" w:color="auto"/>
            <w:right w:val="none" w:sz="0" w:space="0" w:color="auto"/>
          </w:divBdr>
        </w:div>
        <w:div w:id="1382364227">
          <w:marLeft w:val="0"/>
          <w:marRight w:val="0"/>
          <w:marTop w:val="0"/>
          <w:marBottom w:val="0"/>
          <w:divBdr>
            <w:top w:val="none" w:sz="0" w:space="0" w:color="auto"/>
            <w:left w:val="none" w:sz="0" w:space="0" w:color="auto"/>
            <w:bottom w:val="none" w:sz="0" w:space="0" w:color="auto"/>
            <w:right w:val="none" w:sz="0" w:space="0" w:color="auto"/>
          </w:divBdr>
        </w:div>
        <w:div w:id="260842114">
          <w:marLeft w:val="0"/>
          <w:marRight w:val="0"/>
          <w:marTop w:val="0"/>
          <w:marBottom w:val="0"/>
          <w:divBdr>
            <w:top w:val="none" w:sz="0" w:space="0" w:color="auto"/>
            <w:left w:val="none" w:sz="0" w:space="0" w:color="auto"/>
            <w:bottom w:val="none" w:sz="0" w:space="0" w:color="auto"/>
            <w:right w:val="none" w:sz="0" w:space="0" w:color="auto"/>
          </w:divBdr>
        </w:div>
        <w:div w:id="1508865887">
          <w:marLeft w:val="0"/>
          <w:marRight w:val="0"/>
          <w:marTop w:val="0"/>
          <w:marBottom w:val="0"/>
          <w:divBdr>
            <w:top w:val="none" w:sz="0" w:space="0" w:color="auto"/>
            <w:left w:val="none" w:sz="0" w:space="0" w:color="auto"/>
            <w:bottom w:val="none" w:sz="0" w:space="0" w:color="auto"/>
            <w:right w:val="none" w:sz="0" w:space="0" w:color="auto"/>
          </w:divBdr>
        </w:div>
        <w:div w:id="780687508">
          <w:marLeft w:val="0"/>
          <w:marRight w:val="0"/>
          <w:marTop w:val="0"/>
          <w:marBottom w:val="0"/>
          <w:divBdr>
            <w:top w:val="none" w:sz="0" w:space="0" w:color="auto"/>
            <w:left w:val="none" w:sz="0" w:space="0" w:color="auto"/>
            <w:bottom w:val="none" w:sz="0" w:space="0" w:color="auto"/>
            <w:right w:val="none" w:sz="0" w:space="0" w:color="auto"/>
          </w:divBdr>
        </w:div>
        <w:div w:id="1342782349">
          <w:marLeft w:val="0"/>
          <w:marRight w:val="0"/>
          <w:marTop w:val="0"/>
          <w:marBottom w:val="0"/>
          <w:divBdr>
            <w:top w:val="none" w:sz="0" w:space="0" w:color="auto"/>
            <w:left w:val="none" w:sz="0" w:space="0" w:color="auto"/>
            <w:bottom w:val="none" w:sz="0" w:space="0" w:color="auto"/>
            <w:right w:val="none" w:sz="0" w:space="0" w:color="auto"/>
          </w:divBdr>
        </w:div>
        <w:div w:id="581372717">
          <w:marLeft w:val="0"/>
          <w:marRight w:val="0"/>
          <w:marTop w:val="0"/>
          <w:marBottom w:val="0"/>
          <w:divBdr>
            <w:top w:val="none" w:sz="0" w:space="0" w:color="auto"/>
            <w:left w:val="none" w:sz="0" w:space="0" w:color="auto"/>
            <w:bottom w:val="none" w:sz="0" w:space="0" w:color="auto"/>
            <w:right w:val="none" w:sz="0" w:space="0" w:color="auto"/>
          </w:divBdr>
        </w:div>
        <w:div w:id="1524316915">
          <w:marLeft w:val="0"/>
          <w:marRight w:val="0"/>
          <w:marTop w:val="0"/>
          <w:marBottom w:val="0"/>
          <w:divBdr>
            <w:top w:val="none" w:sz="0" w:space="0" w:color="auto"/>
            <w:left w:val="none" w:sz="0" w:space="0" w:color="auto"/>
            <w:bottom w:val="none" w:sz="0" w:space="0" w:color="auto"/>
            <w:right w:val="none" w:sz="0" w:space="0" w:color="auto"/>
          </w:divBdr>
        </w:div>
        <w:div w:id="592010887">
          <w:marLeft w:val="0"/>
          <w:marRight w:val="0"/>
          <w:marTop w:val="0"/>
          <w:marBottom w:val="0"/>
          <w:divBdr>
            <w:top w:val="none" w:sz="0" w:space="0" w:color="auto"/>
            <w:left w:val="none" w:sz="0" w:space="0" w:color="auto"/>
            <w:bottom w:val="none" w:sz="0" w:space="0" w:color="auto"/>
            <w:right w:val="none" w:sz="0" w:space="0" w:color="auto"/>
          </w:divBdr>
        </w:div>
      </w:divsChild>
    </w:div>
    <w:div w:id="238180257">
      <w:bodyDiv w:val="1"/>
      <w:marLeft w:val="0"/>
      <w:marRight w:val="0"/>
      <w:marTop w:val="0"/>
      <w:marBottom w:val="0"/>
      <w:divBdr>
        <w:top w:val="none" w:sz="0" w:space="0" w:color="auto"/>
        <w:left w:val="none" w:sz="0" w:space="0" w:color="auto"/>
        <w:bottom w:val="none" w:sz="0" w:space="0" w:color="auto"/>
        <w:right w:val="none" w:sz="0" w:space="0" w:color="auto"/>
      </w:divBdr>
    </w:div>
    <w:div w:id="287705929">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14455246">
      <w:bodyDiv w:val="1"/>
      <w:marLeft w:val="0"/>
      <w:marRight w:val="0"/>
      <w:marTop w:val="0"/>
      <w:marBottom w:val="0"/>
      <w:divBdr>
        <w:top w:val="none" w:sz="0" w:space="0" w:color="auto"/>
        <w:left w:val="none" w:sz="0" w:space="0" w:color="auto"/>
        <w:bottom w:val="none" w:sz="0" w:space="0" w:color="auto"/>
        <w:right w:val="none" w:sz="0" w:space="0" w:color="auto"/>
      </w:divBdr>
      <w:divsChild>
        <w:div w:id="505444636">
          <w:marLeft w:val="0"/>
          <w:marRight w:val="0"/>
          <w:marTop w:val="0"/>
          <w:marBottom w:val="0"/>
          <w:divBdr>
            <w:top w:val="none" w:sz="0" w:space="0" w:color="auto"/>
            <w:left w:val="none" w:sz="0" w:space="0" w:color="auto"/>
            <w:bottom w:val="none" w:sz="0" w:space="0" w:color="auto"/>
            <w:right w:val="none" w:sz="0" w:space="0" w:color="auto"/>
          </w:divBdr>
        </w:div>
        <w:div w:id="1247113379">
          <w:marLeft w:val="0"/>
          <w:marRight w:val="0"/>
          <w:marTop w:val="0"/>
          <w:marBottom w:val="0"/>
          <w:divBdr>
            <w:top w:val="none" w:sz="0" w:space="0" w:color="auto"/>
            <w:left w:val="none" w:sz="0" w:space="0" w:color="auto"/>
            <w:bottom w:val="none" w:sz="0" w:space="0" w:color="auto"/>
            <w:right w:val="none" w:sz="0" w:space="0" w:color="auto"/>
          </w:divBdr>
        </w:div>
        <w:div w:id="1256402932">
          <w:marLeft w:val="0"/>
          <w:marRight w:val="0"/>
          <w:marTop w:val="0"/>
          <w:marBottom w:val="0"/>
          <w:divBdr>
            <w:top w:val="none" w:sz="0" w:space="0" w:color="auto"/>
            <w:left w:val="none" w:sz="0" w:space="0" w:color="auto"/>
            <w:bottom w:val="none" w:sz="0" w:space="0" w:color="auto"/>
            <w:right w:val="none" w:sz="0" w:space="0" w:color="auto"/>
          </w:divBdr>
        </w:div>
        <w:div w:id="1263801229">
          <w:marLeft w:val="0"/>
          <w:marRight w:val="0"/>
          <w:marTop w:val="0"/>
          <w:marBottom w:val="0"/>
          <w:divBdr>
            <w:top w:val="none" w:sz="0" w:space="0" w:color="auto"/>
            <w:left w:val="none" w:sz="0" w:space="0" w:color="auto"/>
            <w:bottom w:val="none" w:sz="0" w:space="0" w:color="auto"/>
            <w:right w:val="none" w:sz="0" w:space="0" w:color="auto"/>
          </w:divBdr>
        </w:div>
      </w:divsChild>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74976513">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899092376">
      <w:bodyDiv w:val="1"/>
      <w:marLeft w:val="0"/>
      <w:marRight w:val="0"/>
      <w:marTop w:val="0"/>
      <w:marBottom w:val="0"/>
      <w:divBdr>
        <w:top w:val="none" w:sz="0" w:space="0" w:color="auto"/>
        <w:left w:val="none" w:sz="0" w:space="0" w:color="auto"/>
        <w:bottom w:val="none" w:sz="0" w:space="0" w:color="auto"/>
        <w:right w:val="none" w:sz="0" w:space="0" w:color="auto"/>
      </w:divBdr>
      <w:divsChild>
        <w:div w:id="1817869342">
          <w:marLeft w:val="0"/>
          <w:marRight w:val="0"/>
          <w:marTop w:val="0"/>
          <w:marBottom w:val="0"/>
          <w:divBdr>
            <w:top w:val="none" w:sz="0" w:space="0" w:color="auto"/>
            <w:left w:val="none" w:sz="0" w:space="0" w:color="auto"/>
            <w:bottom w:val="none" w:sz="0" w:space="0" w:color="auto"/>
            <w:right w:val="none" w:sz="0" w:space="0" w:color="auto"/>
          </w:divBdr>
        </w:div>
        <w:div w:id="993099382">
          <w:marLeft w:val="0"/>
          <w:marRight w:val="0"/>
          <w:marTop w:val="0"/>
          <w:marBottom w:val="0"/>
          <w:divBdr>
            <w:top w:val="none" w:sz="0" w:space="0" w:color="auto"/>
            <w:left w:val="none" w:sz="0" w:space="0" w:color="auto"/>
            <w:bottom w:val="none" w:sz="0" w:space="0" w:color="auto"/>
            <w:right w:val="none" w:sz="0" w:space="0" w:color="auto"/>
          </w:divBdr>
        </w:div>
        <w:div w:id="340084846">
          <w:marLeft w:val="0"/>
          <w:marRight w:val="0"/>
          <w:marTop w:val="0"/>
          <w:marBottom w:val="0"/>
          <w:divBdr>
            <w:top w:val="none" w:sz="0" w:space="0" w:color="auto"/>
            <w:left w:val="none" w:sz="0" w:space="0" w:color="auto"/>
            <w:bottom w:val="none" w:sz="0" w:space="0" w:color="auto"/>
            <w:right w:val="none" w:sz="0" w:space="0" w:color="auto"/>
          </w:divBdr>
        </w:div>
        <w:div w:id="996112597">
          <w:marLeft w:val="0"/>
          <w:marRight w:val="0"/>
          <w:marTop w:val="0"/>
          <w:marBottom w:val="0"/>
          <w:divBdr>
            <w:top w:val="none" w:sz="0" w:space="0" w:color="auto"/>
            <w:left w:val="none" w:sz="0" w:space="0" w:color="auto"/>
            <w:bottom w:val="none" w:sz="0" w:space="0" w:color="auto"/>
            <w:right w:val="none" w:sz="0" w:space="0" w:color="auto"/>
          </w:divBdr>
        </w:div>
      </w:divsChild>
    </w:div>
    <w:div w:id="1119490760">
      <w:bodyDiv w:val="1"/>
      <w:marLeft w:val="0"/>
      <w:marRight w:val="0"/>
      <w:marTop w:val="0"/>
      <w:marBottom w:val="0"/>
      <w:divBdr>
        <w:top w:val="none" w:sz="0" w:space="0" w:color="auto"/>
        <w:left w:val="none" w:sz="0" w:space="0" w:color="auto"/>
        <w:bottom w:val="none" w:sz="0" w:space="0" w:color="auto"/>
        <w:right w:val="none" w:sz="0" w:space="0" w:color="auto"/>
      </w:divBdr>
    </w:div>
    <w:div w:id="1123965892">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69283686">
      <w:bodyDiv w:val="1"/>
      <w:marLeft w:val="0"/>
      <w:marRight w:val="0"/>
      <w:marTop w:val="0"/>
      <w:marBottom w:val="0"/>
      <w:divBdr>
        <w:top w:val="none" w:sz="0" w:space="0" w:color="auto"/>
        <w:left w:val="none" w:sz="0" w:space="0" w:color="auto"/>
        <w:bottom w:val="none" w:sz="0" w:space="0" w:color="auto"/>
        <w:right w:val="none" w:sz="0" w:space="0" w:color="auto"/>
      </w:divBdr>
    </w:div>
    <w:div w:id="1528642316">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609894601">
      <w:bodyDiv w:val="1"/>
      <w:marLeft w:val="0"/>
      <w:marRight w:val="0"/>
      <w:marTop w:val="0"/>
      <w:marBottom w:val="0"/>
      <w:divBdr>
        <w:top w:val="none" w:sz="0" w:space="0" w:color="auto"/>
        <w:left w:val="none" w:sz="0" w:space="0" w:color="auto"/>
        <w:bottom w:val="none" w:sz="0" w:space="0" w:color="auto"/>
        <w:right w:val="none" w:sz="0" w:space="0" w:color="auto"/>
      </w:divBdr>
    </w:div>
    <w:div w:id="1657492936">
      <w:bodyDiv w:val="1"/>
      <w:marLeft w:val="0"/>
      <w:marRight w:val="0"/>
      <w:marTop w:val="0"/>
      <w:marBottom w:val="0"/>
      <w:divBdr>
        <w:top w:val="none" w:sz="0" w:space="0" w:color="auto"/>
        <w:left w:val="none" w:sz="0" w:space="0" w:color="auto"/>
        <w:bottom w:val="none" w:sz="0" w:space="0" w:color="auto"/>
        <w:right w:val="none" w:sz="0" w:space="0" w:color="auto"/>
      </w:divBdr>
    </w:div>
    <w:div w:id="1743526238">
      <w:bodyDiv w:val="1"/>
      <w:marLeft w:val="0"/>
      <w:marRight w:val="0"/>
      <w:marTop w:val="0"/>
      <w:marBottom w:val="0"/>
      <w:divBdr>
        <w:top w:val="none" w:sz="0" w:space="0" w:color="auto"/>
        <w:left w:val="none" w:sz="0" w:space="0" w:color="auto"/>
        <w:bottom w:val="none" w:sz="0" w:space="0" w:color="auto"/>
        <w:right w:val="none" w:sz="0" w:space="0" w:color="auto"/>
      </w:divBdr>
    </w:div>
    <w:div w:id="1754085639">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553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cc62a8de6a542e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0fda0e0a22534ae6"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48E7-EFC5-4B65-9ACD-6C1CF3AD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11171809-AA76-46C5-8A0B-200D49AA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7946</Words>
  <Characters>45297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7</cp:revision>
  <dcterms:created xsi:type="dcterms:W3CDTF">2023-07-27T22:01:00Z</dcterms:created>
  <dcterms:modified xsi:type="dcterms:W3CDTF">2023-10-05T20:35:00Z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