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A927B1" w14:textId="193A3225" w:rsidR="00D27893" w:rsidRPr="00D27893" w:rsidRDefault="00D27893" w:rsidP="00D27893">
      <w:pPr>
        <w:contextualSpacing/>
        <w:jc w:val="both"/>
        <w:rPr>
          <w:rFonts w:ascii="Arial" w:hAnsi="Arial" w:cs="Arial"/>
          <w:b/>
          <w:sz w:val="20"/>
          <w:szCs w:val="20"/>
          <w:lang w:val="es-419"/>
        </w:rPr>
      </w:pPr>
      <w:r w:rsidRPr="00D27893">
        <w:rPr>
          <w:rFonts w:ascii="Arial" w:hAnsi="Arial" w:cs="Arial"/>
          <w:b/>
          <w:sz w:val="20"/>
          <w:szCs w:val="20"/>
          <w:lang w:val="es-419"/>
        </w:rPr>
        <w:t>PROCESO EJECUTIVO LABORAL / A CONTINUACIÓN DEL ORDINARIO / EXCEPCIONES QUE PROCEDEN</w:t>
      </w:r>
    </w:p>
    <w:p w14:paraId="166B3DDA" w14:textId="114A54F0" w:rsidR="009C20AC" w:rsidRPr="008A5179" w:rsidRDefault="00D27893" w:rsidP="00D27893">
      <w:pPr>
        <w:contextualSpacing/>
        <w:jc w:val="both"/>
        <w:rPr>
          <w:rFonts w:ascii="Arial" w:hAnsi="Arial" w:cs="Arial"/>
          <w:sz w:val="20"/>
          <w:szCs w:val="20"/>
          <w:lang w:val="es-419"/>
        </w:rPr>
      </w:pPr>
      <w:r w:rsidRPr="00D27893">
        <w:rPr>
          <w:rFonts w:ascii="Arial" w:hAnsi="Arial" w:cs="Arial"/>
          <w:sz w:val="20"/>
          <w:szCs w:val="20"/>
          <w:lang w:val="es-419"/>
        </w:rPr>
        <w:t>Respecto a las excepciones susceptibles de ser formuladas dentro del proceso ejecutivo seguido a continuación del proceso ordinario, el artículo 442 del C.G.P., aplicable en estas materias por remisión analógica dispuesta en el art. 145 del C.P.T. y S.S. establece que solo podrán formularse las excepciones de pago, compensación, confusión, novación, remisión, prescripción o transacción, siempre que se basen en hechos posteriores a la respectiva providencia que presta mérito ejecutivo.</w:t>
      </w:r>
    </w:p>
    <w:p w14:paraId="3296E070" w14:textId="612CF809" w:rsidR="008A5179" w:rsidRPr="008A5179" w:rsidRDefault="008A5179" w:rsidP="00D27893">
      <w:pPr>
        <w:contextualSpacing/>
        <w:jc w:val="both"/>
        <w:rPr>
          <w:rFonts w:ascii="Arial" w:hAnsi="Arial" w:cs="Arial"/>
          <w:sz w:val="20"/>
          <w:szCs w:val="20"/>
          <w:lang w:val="es-419"/>
        </w:rPr>
      </w:pPr>
    </w:p>
    <w:p w14:paraId="4F818593" w14:textId="267A4857" w:rsidR="004F5168" w:rsidRPr="00D27893" w:rsidRDefault="004F5168" w:rsidP="004F5168">
      <w:pPr>
        <w:contextualSpacing/>
        <w:jc w:val="both"/>
        <w:rPr>
          <w:rFonts w:ascii="Arial" w:hAnsi="Arial" w:cs="Arial"/>
          <w:b/>
          <w:sz w:val="20"/>
          <w:szCs w:val="20"/>
          <w:lang w:val="es-419"/>
        </w:rPr>
      </w:pPr>
      <w:r w:rsidRPr="00D27893">
        <w:rPr>
          <w:rFonts w:ascii="Arial" w:hAnsi="Arial" w:cs="Arial"/>
          <w:b/>
          <w:sz w:val="20"/>
          <w:szCs w:val="20"/>
          <w:lang w:val="es-419"/>
        </w:rPr>
        <w:t xml:space="preserve">PROCESO EJECUTIVO LABORAL / </w:t>
      </w:r>
      <w:r w:rsidR="005B214B">
        <w:rPr>
          <w:rFonts w:ascii="Arial" w:hAnsi="Arial" w:cs="Arial"/>
          <w:b/>
          <w:sz w:val="20"/>
          <w:szCs w:val="20"/>
          <w:lang w:val="es-419"/>
        </w:rPr>
        <w:t>INTERESES DE MORA / FORMA DE LIQUIDARLOS</w:t>
      </w:r>
      <w:r w:rsidR="007F19D7">
        <w:rPr>
          <w:rFonts w:ascii="Arial" w:hAnsi="Arial" w:cs="Arial"/>
          <w:b/>
          <w:sz w:val="20"/>
          <w:szCs w:val="20"/>
          <w:lang w:val="es-419"/>
        </w:rPr>
        <w:t xml:space="preserve"> / </w:t>
      </w:r>
      <w:r w:rsidR="0072201E">
        <w:rPr>
          <w:rFonts w:ascii="Arial" w:hAnsi="Arial" w:cs="Arial"/>
          <w:b/>
          <w:sz w:val="20"/>
          <w:szCs w:val="20"/>
          <w:lang w:val="es-419"/>
        </w:rPr>
        <w:t xml:space="preserve">PREVIOS </w:t>
      </w:r>
      <w:bookmarkStart w:id="0" w:name="_GoBack"/>
      <w:bookmarkEnd w:id="0"/>
      <w:r w:rsidR="007F19D7">
        <w:rPr>
          <w:rFonts w:ascii="Arial" w:hAnsi="Arial" w:cs="Arial"/>
          <w:b/>
          <w:sz w:val="20"/>
          <w:szCs w:val="20"/>
          <w:lang w:val="es-419"/>
        </w:rPr>
        <w:t>DESCUENTOS DE LEY / APORTES EN SALUD</w:t>
      </w:r>
    </w:p>
    <w:p w14:paraId="153458D3" w14:textId="06B4AC24" w:rsidR="008A5179" w:rsidRPr="005B214B" w:rsidRDefault="004F5168" w:rsidP="005B214B">
      <w:pPr>
        <w:contextualSpacing/>
        <w:jc w:val="both"/>
        <w:rPr>
          <w:rFonts w:ascii="Arial" w:hAnsi="Arial" w:cs="Arial"/>
          <w:sz w:val="20"/>
          <w:szCs w:val="20"/>
          <w:lang w:val="es-419"/>
        </w:rPr>
      </w:pPr>
      <w:r w:rsidRPr="004F5168">
        <w:rPr>
          <w:rFonts w:ascii="Arial" w:hAnsi="Arial" w:cs="Arial"/>
          <w:sz w:val="20"/>
          <w:szCs w:val="20"/>
          <w:lang w:val="es-419"/>
        </w:rPr>
        <w:t>En torno a la liquidación de intereses moratorios, esta Corporación en decisión del 09-10-2019, frente a la forma de liquidarlos, indicó: “El artículo 141 de la Ley 100 de 1993 estableció el pago de intereses moratorios a la tasa máxima vigente al momento que se efectúe el pago, en caso de mora de las mesadas pensionales que trata dicha ley.</w:t>
      </w:r>
      <w:r>
        <w:rPr>
          <w:rFonts w:ascii="Arial" w:hAnsi="Arial" w:cs="Arial"/>
          <w:sz w:val="20"/>
          <w:szCs w:val="20"/>
          <w:lang w:val="es-419"/>
        </w:rPr>
        <w:t xml:space="preserve"> </w:t>
      </w:r>
      <w:r w:rsidRPr="004F5168">
        <w:rPr>
          <w:rFonts w:ascii="Arial" w:hAnsi="Arial" w:cs="Arial"/>
          <w:sz w:val="20"/>
          <w:szCs w:val="20"/>
          <w:lang w:val="es-419"/>
        </w:rPr>
        <w:t>La Superintendencia Financiera por su parte</w:t>
      </w:r>
      <w:r>
        <w:rPr>
          <w:rFonts w:ascii="Arial" w:hAnsi="Arial" w:cs="Arial"/>
          <w:sz w:val="20"/>
          <w:szCs w:val="20"/>
          <w:lang w:val="es-419"/>
        </w:rPr>
        <w:t>…</w:t>
      </w:r>
      <w:r w:rsidRPr="004F5168">
        <w:rPr>
          <w:rFonts w:ascii="Arial" w:hAnsi="Arial" w:cs="Arial"/>
          <w:sz w:val="20"/>
          <w:szCs w:val="20"/>
          <w:lang w:val="es-419"/>
        </w:rPr>
        <w:t>, explicó que para calcular la equivalencia de la tasa efectiva anual en periodos distintos al de un año, como son los réditos que se causan mensual o diariamente, se debe acudir a</w:t>
      </w:r>
      <w:r>
        <w:rPr>
          <w:rFonts w:ascii="Arial" w:hAnsi="Arial" w:cs="Arial"/>
          <w:sz w:val="20"/>
          <w:szCs w:val="20"/>
          <w:lang w:val="es-419"/>
        </w:rPr>
        <w:t>…</w:t>
      </w:r>
      <w:r w:rsidRPr="004F5168">
        <w:rPr>
          <w:rFonts w:ascii="Arial" w:hAnsi="Arial" w:cs="Arial"/>
          <w:sz w:val="20"/>
          <w:szCs w:val="20"/>
          <w:lang w:val="es-419"/>
        </w:rPr>
        <w:t xml:space="preserve"> fórmulas matemáticas</w:t>
      </w:r>
      <w:r>
        <w:rPr>
          <w:rFonts w:ascii="Arial" w:hAnsi="Arial" w:cs="Arial"/>
          <w:sz w:val="20"/>
          <w:szCs w:val="20"/>
          <w:lang w:val="es-419"/>
        </w:rPr>
        <w:t>…”</w:t>
      </w:r>
      <w:r w:rsidR="005B214B">
        <w:rPr>
          <w:rFonts w:ascii="Arial" w:hAnsi="Arial" w:cs="Arial"/>
          <w:sz w:val="20"/>
          <w:szCs w:val="20"/>
          <w:lang w:val="es-419"/>
        </w:rPr>
        <w:t xml:space="preserve"> </w:t>
      </w:r>
      <w:r w:rsidR="005B214B" w:rsidRPr="005B214B">
        <w:rPr>
          <w:rFonts w:ascii="Arial" w:hAnsi="Arial" w:cs="Arial"/>
          <w:sz w:val="20"/>
          <w:szCs w:val="20"/>
          <w:lang w:val="es-419"/>
        </w:rPr>
        <w:t>De otro lado, es de tener en cuenta que, al momento de liquidar los intereses moratorios, éstos deberán ser establecido sobre el valor neto a cancelar, esto es, luego de realizados los descuentos de Ley.</w:t>
      </w:r>
    </w:p>
    <w:p w14:paraId="04E6B324" w14:textId="2173324A" w:rsidR="004F5168" w:rsidRDefault="004F5168" w:rsidP="00D27893">
      <w:pPr>
        <w:contextualSpacing/>
        <w:jc w:val="both"/>
        <w:rPr>
          <w:rFonts w:ascii="Arial" w:hAnsi="Arial" w:cs="Arial"/>
          <w:sz w:val="20"/>
          <w:szCs w:val="20"/>
          <w:lang w:val="es-419"/>
        </w:rPr>
      </w:pPr>
    </w:p>
    <w:p w14:paraId="4776E17A" w14:textId="012C56CA" w:rsidR="009C20AC" w:rsidRPr="008A5179" w:rsidRDefault="009C20AC" w:rsidP="00D27893">
      <w:pPr>
        <w:contextualSpacing/>
        <w:jc w:val="both"/>
        <w:rPr>
          <w:rFonts w:ascii="Arial" w:hAnsi="Arial" w:cs="Arial"/>
          <w:sz w:val="20"/>
          <w:szCs w:val="20"/>
          <w:lang w:val="es-419"/>
        </w:rPr>
      </w:pPr>
    </w:p>
    <w:p w14:paraId="1D0A34FD" w14:textId="77777777" w:rsidR="00084C85" w:rsidRPr="008A5179" w:rsidRDefault="00084C85" w:rsidP="00D27893">
      <w:pPr>
        <w:contextualSpacing/>
        <w:jc w:val="both"/>
        <w:rPr>
          <w:rFonts w:ascii="Arial" w:hAnsi="Arial" w:cs="Arial"/>
          <w:sz w:val="20"/>
          <w:szCs w:val="20"/>
          <w:lang w:val="es-419"/>
        </w:rPr>
      </w:pPr>
    </w:p>
    <w:p w14:paraId="36B4E4DB" w14:textId="44BB10EA" w:rsidR="009C20AC" w:rsidRPr="008A5179" w:rsidRDefault="009C20AC" w:rsidP="008A5179">
      <w:pPr>
        <w:pBdr>
          <w:top w:val="nil"/>
          <w:left w:val="nil"/>
          <w:bottom w:val="nil"/>
          <w:right w:val="nil"/>
          <w:between w:val="nil"/>
        </w:pBdr>
        <w:tabs>
          <w:tab w:val="left" w:pos="0"/>
        </w:tabs>
        <w:rPr>
          <w:rFonts w:ascii="Arial" w:hAnsi="Arial" w:cs="Arial"/>
          <w:color w:val="000000"/>
          <w:sz w:val="20"/>
          <w:szCs w:val="20"/>
        </w:rPr>
      </w:pPr>
      <w:r w:rsidRPr="008A5179">
        <w:rPr>
          <w:rFonts w:ascii="Arial" w:hAnsi="Arial" w:cs="Arial"/>
          <w:color w:val="000000"/>
          <w:sz w:val="20"/>
          <w:szCs w:val="20"/>
        </w:rPr>
        <w:t>Radicación No.:</w:t>
      </w:r>
      <w:r w:rsidR="008A5179">
        <w:rPr>
          <w:rFonts w:ascii="Arial" w:hAnsi="Arial" w:cs="Arial"/>
          <w:color w:val="000000"/>
          <w:sz w:val="20"/>
          <w:szCs w:val="20"/>
        </w:rPr>
        <w:tab/>
      </w:r>
      <w:r w:rsidR="008A5179">
        <w:rPr>
          <w:rFonts w:ascii="Arial" w:hAnsi="Arial" w:cs="Arial"/>
          <w:color w:val="000000"/>
          <w:sz w:val="20"/>
          <w:szCs w:val="20"/>
        </w:rPr>
        <w:tab/>
      </w:r>
      <w:r w:rsidRPr="008A5179">
        <w:rPr>
          <w:rFonts w:ascii="Arial" w:hAnsi="Arial" w:cs="Arial"/>
          <w:color w:val="000000"/>
          <w:sz w:val="20"/>
          <w:szCs w:val="20"/>
        </w:rPr>
        <w:t>66001310500</w:t>
      </w:r>
      <w:r w:rsidR="00911F19" w:rsidRPr="008A5179">
        <w:rPr>
          <w:rFonts w:ascii="Arial" w:hAnsi="Arial" w:cs="Arial"/>
          <w:color w:val="000000"/>
          <w:sz w:val="20"/>
          <w:szCs w:val="20"/>
        </w:rPr>
        <w:t>1</w:t>
      </w:r>
      <w:r w:rsidRPr="008A5179">
        <w:rPr>
          <w:rFonts w:ascii="Arial" w:hAnsi="Arial" w:cs="Arial"/>
          <w:color w:val="000000"/>
          <w:sz w:val="20"/>
          <w:szCs w:val="20"/>
        </w:rPr>
        <w:t>20</w:t>
      </w:r>
      <w:r w:rsidR="00084C85" w:rsidRPr="008A5179">
        <w:rPr>
          <w:rFonts w:ascii="Arial" w:hAnsi="Arial" w:cs="Arial"/>
          <w:color w:val="000000"/>
          <w:sz w:val="20"/>
          <w:szCs w:val="20"/>
        </w:rPr>
        <w:t>1</w:t>
      </w:r>
      <w:r w:rsidR="00911F19" w:rsidRPr="008A5179">
        <w:rPr>
          <w:rFonts w:ascii="Arial" w:hAnsi="Arial" w:cs="Arial"/>
          <w:color w:val="000000"/>
          <w:sz w:val="20"/>
          <w:szCs w:val="20"/>
        </w:rPr>
        <w:t>7</w:t>
      </w:r>
      <w:r w:rsidRPr="008A5179">
        <w:rPr>
          <w:rFonts w:ascii="Arial" w:hAnsi="Arial" w:cs="Arial"/>
          <w:color w:val="000000"/>
          <w:sz w:val="20"/>
          <w:szCs w:val="20"/>
        </w:rPr>
        <w:t>00</w:t>
      </w:r>
      <w:r w:rsidR="00911F19" w:rsidRPr="008A5179">
        <w:rPr>
          <w:rFonts w:ascii="Arial" w:hAnsi="Arial" w:cs="Arial"/>
          <w:color w:val="000000"/>
          <w:sz w:val="20"/>
          <w:szCs w:val="20"/>
        </w:rPr>
        <w:t>502</w:t>
      </w:r>
      <w:r w:rsidRPr="008A5179">
        <w:rPr>
          <w:rFonts w:ascii="Arial" w:hAnsi="Arial" w:cs="Arial"/>
          <w:color w:val="000000"/>
          <w:sz w:val="20"/>
          <w:szCs w:val="20"/>
        </w:rPr>
        <w:t>0</w:t>
      </w:r>
      <w:r w:rsidR="00911F19" w:rsidRPr="008A5179">
        <w:rPr>
          <w:rFonts w:ascii="Arial" w:hAnsi="Arial" w:cs="Arial"/>
          <w:color w:val="000000"/>
          <w:sz w:val="20"/>
          <w:szCs w:val="20"/>
        </w:rPr>
        <w:t>2</w:t>
      </w:r>
    </w:p>
    <w:p w14:paraId="54BC86BD" w14:textId="66AD15BF" w:rsidR="009C20AC" w:rsidRPr="008A5179" w:rsidRDefault="009C20AC" w:rsidP="008A5179">
      <w:pPr>
        <w:pBdr>
          <w:top w:val="nil"/>
          <w:left w:val="nil"/>
          <w:bottom w:val="nil"/>
          <w:right w:val="nil"/>
          <w:between w:val="nil"/>
        </w:pBdr>
        <w:tabs>
          <w:tab w:val="left" w:pos="0"/>
        </w:tabs>
        <w:rPr>
          <w:rFonts w:ascii="Arial" w:hAnsi="Arial" w:cs="Arial"/>
          <w:color w:val="000000"/>
          <w:sz w:val="20"/>
          <w:szCs w:val="20"/>
        </w:rPr>
      </w:pPr>
      <w:r w:rsidRPr="008A5179">
        <w:rPr>
          <w:rFonts w:ascii="Arial" w:hAnsi="Arial" w:cs="Arial"/>
          <w:color w:val="000000"/>
          <w:sz w:val="20"/>
          <w:szCs w:val="20"/>
        </w:rPr>
        <w:t>Proceso:</w:t>
      </w:r>
      <w:r w:rsidR="008A5179">
        <w:rPr>
          <w:rFonts w:ascii="Arial" w:hAnsi="Arial" w:cs="Arial"/>
          <w:color w:val="000000"/>
          <w:sz w:val="20"/>
          <w:szCs w:val="20"/>
        </w:rPr>
        <w:tab/>
      </w:r>
      <w:r w:rsidR="008A5179">
        <w:rPr>
          <w:rFonts w:ascii="Arial" w:hAnsi="Arial" w:cs="Arial"/>
          <w:color w:val="000000"/>
          <w:sz w:val="20"/>
          <w:szCs w:val="20"/>
        </w:rPr>
        <w:tab/>
      </w:r>
      <w:r w:rsidRPr="008A5179">
        <w:rPr>
          <w:rFonts w:ascii="Arial" w:hAnsi="Arial" w:cs="Arial"/>
          <w:color w:val="000000"/>
          <w:sz w:val="20"/>
          <w:szCs w:val="20"/>
        </w:rPr>
        <w:t xml:space="preserve">Ejecutivo </w:t>
      </w:r>
    </w:p>
    <w:p w14:paraId="5F89F10D" w14:textId="511E9E1E" w:rsidR="009C20AC" w:rsidRPr="008A5179" w:rsidRDefault="009C20AC" w:rsidP="008A5179">
      <w:pPr>
        <w:pBdr>
          <w:top w:val="nil"/>
          <w:left w:val="nil"/>
          <w:bottom w:val="nil"/>
          <w:right w:val="nil"/>
          <w:between w:val="nil"/>
        </w:pBdr>
        <w:tabs>
          <w:tab w:val="left" w:pos="0"/>
        </w:tabs>
        <w:rPr>
          <w:rFonts w:ascii="Arial" w:hAnsi="Arial" w:cs="Arial"/>
          <w:color w:val="000000"/>
          <w:sz w:val="20"/>
          <w:szCs w:val="20"/>
        </w:rPr>
      </w:pPr>
      <w:r w:rsidRPr="008A5179">
        <w:rPr>
          <w:rFonts w:ascii="Arial" w:hAnsi="Arial" w:cs="Arial"/>
          <w:color w:val="000000"/>
          <w:sz w:val="20"/>
          <w:szCs w:val="20"/>
        </w:rPr>
        <w:t>Demandante:</w:t>
      </w:r>
      <w:r w:rsidR="008A5179">
        <w:rPr>
          <w:rFonts w:ascii="Arial" w:hAnsi="Arial" w:cs="Arial"/>
          <w:color w:val="000000"/>
          <w:sz w:val="20"/>
          <w:szCs w:val="20"/>
        </w:rPr>
        <w:tab/>
      </w:r>
      <w:r w:rsidRPr="008A5179">
        <w:rPr>
          <w:rFonts w:ascii="Arial" w:hAnsi="Arial" w:cs="Arial"/>
          <w:color w:val="000000"/>
          <w:sz w:val="20"/>
          <w:szCs w:val="20"/>
        </w:rPr>
        <w:tab/>
      </w:r>
      <w:r w:rsidR="00911F19" w:rsidRPr="008A5179">
        <w:rPr>
          <w:rFonts w:ascii="Arial" w:hAnsi="Arial" w:cs="Arial"/>
          <w:color w:val="000000"/>
          <w:sz w:val="20"/>
          <w:szCs w:val="20"/>
        </w:rPr>
        <w:t xml:space="preserve">Carlota de </w:t>
      </w:r>
      <w:r w:rsidR="00850681" w:rsidRPr="008A5179">
        <w:rPr>
          <w:rFonts w:ascii="Arial" w:hAnsi="Arial" w:cs="Arial"/>
          <w:color w:val="000000"/>
          <w:sz w:val="20"/>
          <w:szCs w:val="20"/>
        </w:rPr>
        <w:t xml:space="preserve">los </w:t>
      </w:r>
      <w:r w:rsidR="00911F19" w:rsidRPr="008A5179">
        <w:rPr>
          <w:rFonts w:ascii="Arial" w:hAnsi="Arial" w:cs="Arial"/>
          <w:color w:val="000000"/>
          <w:sz w:val="20"/>
          <w:szCs w:val="20"/>
        </w:rPr>
        <w:t>Ángeles Meza y Otro</w:t>
      </w:r>
    </w:p>
    <w:p w14:paraId="49F16B3F" w14:textId="04206E4A" w:rsidR="009C20AC" w:rsidRPr="008A5179" w:rsidRDefault="009C20AC" w:rsidP="008A5179">
      <w:pPr>
        <w:pBdr>
          <w:top w:val="nil"/>
          <w:left w:val="nil"/>
          <w:bottom w:val="nil"/>
          <w:right w:val="nil"/>
          <w:between w:val="nil"/>
        </w:pBdr>
        <w:tabs>
          <w:tab w:val="left" w:pos="0"/>
        </w:tabs>
        <w:rPr>
          <w:rFonts w:ascii="Arial" w:hAnsi="Arial" w:cs="Arial"/>
          <w:color w:val="000000"/>
          <w:sz w:val="20"/>
          <w:szCs w:val="20"/>
        </w:rPr>
      </w:pPr>
      <w:r w:rsidRPr="008A5179">
        <w:rPr>
          <w:rFonts w:ascii="Arial" w:hAnsi="Arial" w:cs="Arial"/>
          <w:color w:val="000000"/>
          <w:sz w:val="20"/>
          <w:szCs w:val="20"/>
        </w:rPr>
        <w:t>Demandado:</w:t>
      </w:r>
      <w:r w:rsidR="008A5179">
        <w:rPr>
          <w:rFonts w:ascii="Arial" w:hAnsi="Arial" w:cs="Arial"/>
          <w:color w:val="000000"/>
          <w:sz w:val="20"/>
          <w:szCs w:val="20"/>
        </w:rPr>
        <w:tab/>
      </w:r>
      <w:r w:rsidRPr="008A5179">
        <w:rPr>
          <w:rFonts w:ascii="Arial" w:hAnsi="Arial" w:cs="Arial"/>
          <w:color w:val="000000"/>
          <w:sz w:val="20"/>
          <w:szCs w:val="20"/>
        </w:rPr>
        <w:tab/>
      </w:r>
      <w:r w:rsidR="00911F19" w:rsidRPr="008A5179">
        <w:rPr>
          <w:rFonts w:ascii="Arial" w:hAnsi="Arial" w:cs="Arial"/>
          <w:color w:val="000000"/>
          <w:sz w:val="20"/>
          <w:szCs w:val="20"/>
        </w:rPr>
        <w:t>Protección S.A.</w:t>
      </w:r>
    </w:p>
    <w:p w14:paraId="4DAC1C77" w14:textId="5914A8BE" w:rsidR="009C20AC" w:rsidRPr="008A5179" w:rsidRDefault="009C20AC" w:rsidP="008A5179">
      <w:pPr>
        <w:pBdr>
          <w:top w:val="nil"/>
          <w:left w:val="nil"/>
          <w:bottom w:val="nil"/>
          <w:right w:val="nil"/>
          <w:between w:val="nil"/>
        </w:pBdr>
        <w:tabs>
          <w:tab w:val="left" w:pos="0"/>
        </w:tabs>
        <w:rPr>
          <w:rFonts w:ascii="Arial" w:hAnsi="Arial" w:cs="Arial"/>
          <w:color w:val="000000"/>
          <w:sz w:val="20"/>
          <w:szCs w:val="20"/>
        </w:rPr>
      </w:pPr>
      <w:r w:rsidRPr="008A5179">
        <w:rPr>
          <w:rFonts w:ascii="Arial" w:hAnsi="Arial" w:cs="Arial"/>
          <w:color w:val="000000"/>
          <w:sz w:val="20"/>
          <w:szCs w:val="20"/>
        </w:rPr>
        <w:t>Juzgado</w:t>
      </w:r>
      <w:r w:rsidR="008A5179">
        <w:rPr>
          <w:rFonts w:ascii="Arial" w:hAnsi="Arial" w:cs="Arial"/>
          <w:color w:val="000000"/>
          <w:sz w:val="20"/>
          <w:szCs w:val="20"/>
        </w:rPr>
        <w:t xml:space="preserve"> de origen</w:t>
      </w:r>
      <w:r w:rsidRPr="008A5179">
        <w:rPr>
          <w:rFonts w:ascii="Arial" w:hAnsi="Arial" w:cs="Arial"/>
          <w:color w:val="000000"/>
          <w:sz w:val="20"/>
          <w:szCs w:val="20"/>
        </w:rPr>
        <w:t>:</w:t>
      </w:r>
      <w:r w:rsidRPr="008A5179">
        <w:rPr>
          <w:rFonts w:ascii="Arial" w:hAnsi="Arial" w:cs="Arial"/>
          <w:color w:val="000000"/>
          <w:sz w:val="20"/>
          <w:szCs w:val="20"/>
        </w:rPr>
        <w:tab/>
      </w:r>
      <w:r w:rsidR="00911F19" w:rsidRPr="008A5179">
        <w:rPr>
          <w:rFonts w:ascii="Arial" w:hAnsi="Arial" w:cs="Arial"/>
          <w:color w:val="000000"/>
          <w:sz w:val="20"/>
          <w:szCs w:val="20"/>
        </w:rPr>
        <w:t>Primero</w:t>
      </w:r>
      <w:r w:rsidRPr="008A5179">
        <w:rPr>
          <w:rFonts w:ascii="Arial" w:hAnsi="Arial" w:cs="Arial"/>
          <w:color w:val="000000"/>
          <w:sz w:val="20"/>
          <w:szCs w:val="20"/>
        </w:rPr>
        <w:t xml:space="preserve"> Laboral del Circuito de Pereira</w:t>
      </w:r>
    </w:p>
    <w:p w14:paraId="5ECCCD22" w14:textId="77777777" w:rsidR="009C20AC" w:rsidRPr="008A5179" w:rsidRDefault="009C20AC" w:rsidP="008A5179">
      <w:pPr>
        <w:rPr>
          <w:rFonts w:ascii="Arial" w:hAnsi="Arial" w:cs="Arial"/>
          <w:sz w:val="20"/>
          <w:szCs w:val="20"/>
        </w:rPr>
      </w:pPr>
    </w:p>
    <w:p w14:paraId="71E66B43" w14:textId="77777777" w:rsidR="009C20AC" w:rsidRPr="008A5179" w:rsidRDefault="009C20AC" w:rsidP="008A5179">
      <w:pPr>
        <w:rPr>
          <w:rFonts w:ascii="Arial" w:hAnsi="Arial" w:cs="Arial"/>
          <w:sz w:val="20"/>
          <w:szCs w:val="20"/>
        </w:rPr>
      </w:pPr>
    </w:p>
    <w:p w14:paraId="3DB74D50" w14:textId="77777777" w:rsidR="009C20AC" w:rsidRPr="008A5179" w:rsidRDefault="009C20AC" w:rsidP="008A5179">
      <w:pPr>
        <w:rPr>
          <w:rFonts w:ascii="Arial" w:hAnsi="Arial" w:cs="Arial"/>
          <w:sz w:val="20"/>
          <w:szCs w:val="20"/>
        </w:rPr>
      </w:pPr>
    </w:p>
    <w:p w14:paraId="3C1DCBA2" w14:textId="77777777" w:rsidR="009C20AC" w:rsidRPr="008A5179" w:rsidRDefault="009C20AC" w:rsidP="008A5179">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8A5179">
        <w:rPr>
          <w:rFonts w:ascii="Tahoma" w:hAnsi="Tahoma" w:cs="Tahoma"/>
          <w:bCs/>
          <w:szCs w:val="24"/>
          <w:lang w:eastAsia="es-MX"/>
        </w:rPr>
        <w:t>TRIBUNAL SUPERIOR DEL DISTRITO JUDICIAL DE PEREIRA</w:t>
      </w:r>
    </w:p>
    <w:p w14:paraId="5E19C9F6" w14:textId="43697402" w:rsidR="009C20AC" w:rsidRPr="008A5179" w:rsidRDefault="009C20AC" w:rsidP="008A5179">
      <w:pPr>
        <w:pStyle w:val="Ttulo4"/>
        <w:widowControl w:val="0"/>
        <w:tabs>
          <w:tab w:val="clear" w:pos="0"/>
        </w:tabs>
        <w:spacing w:line="276" w:lineRule="auto"/>
        <w:ind w:right="49"/>
        <w:contextualSpacing/>
        <w:rPr>
          <w:rFonts w:ascii="Tahoma" w:hAnsi="Tahoma" w:cs="Tahoma"/>
          <w:bCs/>
          <w:szCs w:val="24"/>
          <w:lang w:eastAsia="es-MX"/>
        </w:rPr>
      </w:pPr>
      <w:r w:rsidRPr="008A5179">
        <w:rPr>
          <w:rFonts w:ascii="Tahoma" w:hAnsi="Tahoma" w:cs="Tahoma"/>
          <w:bCs/>
          <w:szCs w:val="24"/>
          <w:lang w:eastAsia="es-MX"/>
        </w:rPr>
        <w:t xml:space="preserve">SALA PRIMERA DE </w:t>
      </w:r>
      <w:r w:rsidR="008A5179" w:rsidRPr="008A5179">
        <w:rPr>
          <w:rFonts w:ascii="Tahoma" w:hAnsi="Tahoma" w:cs="Tahoma"/>
          <w:bCs/>
          <w:szCs w:val="24"/>
          <w:lang w:eastAsia="es-MX"/>
        </w:rPr>
        <w:t>DECISIÓN</w:t>
      </w:r>
      <w:r w:rsidRPr="008A5179">
        <w:rPr>
          <w:rFonts w:ascii="Tahoma" w:hAnsi="Tahoma" w:cs="Tahoma"/>
          <w:bCs/>
          <w:szCs w:val="24"/>
          <w:lang w:eastAsia="es-MX"/>
        </w:rPr>
        <w:t xml:space="preserve"> LABORAL</w:t>
      </w:r>
    </w:p>
    <w:p w14:paraId="1E65C07B" w14:textId="76E0D055" w:rsidR="009C20AC" w:rsidRPr="008A5179" w:rsidRDefault="009C20AC" w:rsidP="008A5179">
      <w:pPr>
        <w:spacing w:line="276" w:lineRule="auto"/>
        <w:rPr>
          <w:rFonts w:ascii="Tahoma" w:hAnsi="Tahoma" w:cs="Tahoma"/>
          <w:lang w:eastAsia="es-MX"/>
        </w:rPr>
      </w:pPr>
    </w:p>
    <w:p w14:paraId="4095E78E" w14:textId="77777777" w:rsidR="009C20AC" w:rsidRPr="008A5179" w:rsidRDefault="009C20AC" w:rsidP="008A5179">
      <w:pPr>
        <w:spacing w:line="276" w:lineRule="auto"/>
        <w:ind w:right="49"/>
        <w:contextualSpacing/>
        <w:jc w:val="center"/>
        <w:textAlignment w:val="baseline"/>
        <w:rPr>
          <w:rFonts w:ascii="Tahoma" w:hAnsi="Tahoma" w:cs="Tahoma"/>
          <w:lang w:eastAsia="es-CO"/>
        </w:rPr>
      </w:pPr>
      <w:r w:rsidRPr="008A5179">
        <w:rPr>
          <w:rFonts w:ascii="Tahoma" w:hAnsi="Tahoma" w:cs="Tahoma"/>
          <w:lang w:eastAsia="es-CO"/>
        </w:rPr>
        <w:t>Magistrada Ponente: </w:t>
      </w:r>
      <w:r w:rsidRPr="008A5179">
        <w:rPr>
          <w:rFonts w:ascii="Tahoma" w:hAnsi="Tahoma" w:cs="Tahoma"/>
          <w:b/>
          <w:bCs/>
          <w:lang w:eastAsia="es-CO"/>
        </w:rPr>
        <w:t>Ana Lucía Caicedo Calderón</w:t>
      </w:r>
    </w:p>
    <w:p w14:paraId="51E10741" w14:textId="77777777" w:rsidR="009C20AC" w:rsidRPr="008A5179" w:rsidRDefault="009C20AC" w:rsidP="008A5179">
      <w:pPr>
        <w:spacing w:line="276" w:lineRule="auto"/>
        <w:ind w:right="51"/>
        <w:contextualSpacing/>
        <w:jc w:val="center"/>
        <w:textAlignment w:val="baseline"/>
        <w:rPr>
          <w:rFonts w:ascii="Tahoma" w:hAnsi="Tahoma" w:cs="Tahoma"/>
          <w:lang w:eastAsia="es-CO"/>
        </w:rPr>
      </w:pPr>
    </w:p>
    <w:bookmarkEnd w:id="1"/>
    <w:p w14:paraId="765461A8" w14:textId="687C662D" w:rsidR="00EE79BA" w:rsidRPr="008A5179" w:rsidRDefault="00EE79BA" w:rsidP="008A5179">
      <w:pPr>
        <w:spacing w:line="276" w:lineRule="auto"/>
        <w:ind w:right="49"/>
        <w:contextualSpacing/>
        <w:jc w:val="center"/>
        <w:textAlignment w:val="baseline"/>
        <w:rPr>
          <w:rFonts w:ascii="Tahoma" w:hAnsi="Tahoma" w:cs="Tahoma"/>
          <w:lang w:eastAsia="es-CO"/>
        </w:rPr>
      </w:pPr>
      <w:r w:rsidRPr="008A5179">
        <w:rPr>
          <w:rFonts w:ascii="Tahoma" w:hAnsi="Tahoma" w:cs="Tahoma"/>
          <w:lang w:eastAsia="es-CO"/>
        </w:rPr>
        <w:t xml:space="preserve">Pereira, Risaralda, </w:t>
      </w:r>
      <w:r w:rsidR="62491292" w:rsidRPr="008A5179">
        <w:rPr>
          <w:rFonts w:ascii="Tahoma" w:hAnsi="Tahoma" w:cs="Tahoma"/>
          <w:lang w:eastAsia="es-CO"/>
        </w:rPr>
        <w:t>veinticinco</w:t>
      </w:r>
      <w:r w:rsidRPr="008A5179">
        <w:rPr>
          <w:rFonts w:ascii="Tahoma" w:hAnsi="Tahoma" w:cs="Tahoma"/>
          <w:lang w:eastAsia="es-CO"/>
        </w:rPr>
        <w:t xml:space="preserve"> (</w:t>
      </w:r>
      <w:r w:rsidR="172DB0F0" w:rsidRPr="008A5179">
        <w:rPr>
          <w:rFonts w:ascii="Tahoma" w:hAnsi="Tahoma" w:cs="Tahoma"/>
          <w:lang w:eastAsia="es-CO"/>
        </w:rPr>
        <w:t>25</w:t>
      </w:r>
      <w:r w:rsidRPr="008A5179">
        <w:rPr>
          <w:rFonts w:ascii="Tahoma" w:hAnsi="Tahoma" w:cs="Tahoma"/>
          <w:lang w:eastAsia="es-CO"/>
        </w:rPr>
        <w:t>) de septiembre de dos mil veintitrés (2023)</w:t>
      </w:r>
    </w:p>
    <w:p w14:paraId="1E336B6F" w14:textId="290D6E94" w:rsidR="00EE79BA" w:rsidRPr="008A5179" w:rsidRDefault="00EE79BA" w:rsidP="008A5179">
      <w:pPr>
        <w:spacing w:line="276" w:lineRule="auto"/>
        <w:ind w:right="49"/>
        <w:contextualSpacing/>
        <w:jc w:val="center"/>
        <w:textAlignment w:val="baseline"/>
        <w:rPr>
          <w:rFonts w:ascii="Tahoma" w:hAnsi="Tahoma" w:cs="Tahoma"/>
          <w:lang w:eastAsia="es-CO"/>
        </w:rPr>
      </w:pPr>
      <w:r w:rsidRPr="008A5179">
        <w:rPr>
          <w:rFonts w:ascii="Tahoma" w:hAnsi="Tahoma" w:cs="Tahoma"/>
          <w:lang w:eastAsia="es-CO"/>
        </w:rPr>
        <w:t>Acta No.</w:t>
      </w:r>
      <w:r w:rsidR="008A5179">
        <w:rPr>
          <w:rFonts w:ascii="Tahoma" w:hAnsi="Tahoma" w:cs="Tahoma"/>
          <w:lang w:eastAsia="es-CO"/>
        </w:rPr>
        <w:t xml:space="preserve"> </w:t>
      </w:r>
      <w:r w:rsidR="48AC87E0" w:rsidRPr="008A5179">
        <w:rPr>
          <w:rFonts w:ascii="Tahoma" w:hAnsi="Tahoma" w:cs="Tahoma"/>
          <w:lang w:eastAsia="es-CO"/>
        </w:rPr>
        <w:t>149</w:t>
      </w:r>
      <w:r w:rsidRPr="008A5179">
        <w:rPr>
          <w:rFonts w:ascii="Tahoma" w:hAnsi="Tahoma" w:cs="Tahoma"/>
          <w:lang w:eastAsia="es-CO"/>
        </w:rPr>
        <w:t xml:space="preserve"> del </w:t>
      </w:r>
      <w:r w:rsidR="091A4B1B" w:rsidRPr="008A5179">
        <w:rPr>
          <w:rFonts w:ascii="Tahoma" w:hAnsi="Tahoma" w:cs="Tahoma"/>
          <w:lang w:eastAsia="es-CO"/>
        </w:rPr>
        <w:t>21</w:t>
      </w:r>
      <w:r w:rsidRPr="008A5179">
        <w:rPr>
          <w:rFonts w:ascii="Tahoma" w:hAnsi="Tahoma" w:cs="Tahoma"/>
          <w:lang w:eastAsia="es-CO"/>
        </w:rPr>
        <w:t xml:space="preserve"> de </w:t>
      </w:r>
      <w:r w:rsidR="00911F19" w:rsidRPr="008A5179">
        <w:rPr>
          <w:rFonts w:ascii="Tahoma" w:hAnsi="Tahoma" w:cs="Tahoma"/>
          <w:lang w:eastAsia="es-CO"/>
        </w:rPr>
        <w:t>septiembre</w:t>
      </w:r>
      <w:r w:rsidRPr="008A5179">
        <w:rPr>
          <w:rFonts w:ascii="Tahoma" w:hAnsi="Tahoma" w:cs="Tahoma"/>
          <w:lang w:eastAsia="es-CO"/>
        </w:rPr>
        <w:t xml:space="preserve"> de 2023</w:t>
      </w:r>
    </w:p>
    <w:p w14:paraId="37D5424D" w14:textId="77777777" w:rsidR="009C20AC" w:rsidRPr="008A5179" w:rsidRDefault="009C20AC" w:rsidP="008A5179">
      <w:pPr>
        <w:spacing w:line="276" w:lineRule="auto"/>
        <w:contextualSpacing/>
        <w:jc w:val="center"/>
        <w:rPr>
          <w:rFonts w:ascii="Tahoma" w:hAnsi="Tahoma" w:cs="Tahoma"/>
          <w:b/>
        </w:rPr>
      </w:pPr>
    </w:p>
    <w:p w14:paraId="0B5D593F" w14:textId="77777777" w:rsidR="009C20AC" w:rsidRPr="008A5179" w:rsidRDefault="009C20AC" w:rsidP="008A5179">
      <w:pPr>
        <w:spacing w:line="276" w:lineRule="auto"/>
        <w:contextualSpacing/>
        <w:jc w:val="center"/>
        <w:rPr>
          <w:rFonts w:ascii="Tahoma" w:hAnsi="Tahoma" w:cs="Tahoma"/>
          <w:b/>
        </w:rPr>
      </w:pPr>
    </w:p>
    <w:p w14:paraId="17356E20" w14:textId="6B8E5AE1" w:rsidR="009C20AC" w:rsidRPr="008A5179" w:rsidRDefault="009C20AC" w:rsidP="008A5179">
      <w:pPr>
        <w:spacing w:line="276" w:lineRule="auto"/>
        <w:ind w:firstLine="708"/>
        <w:contextualSpacing/>
        <w:jc w:val="both"/>
        <w:rPr>
          <w:rFonts w:ascii="Tahoma" w:hAnsi="Tahoma" w:cs="Tahoma"/>
          <w:b/>
          <w:bCs/>
          <w:caps/>
        </w:rPr>
      </w:pPr>
      <w:r w:rsidRPr="008A5179">
        <w:rPr>
          <w:rFonts w:ascii="Tahoma" w:hAnsi="Tahoma" w:cs="Tahoma"/>
        </w:rPr>
        <w:t>Teniendo en cuenta que el artículo 15 del Decreto 806 del 4 de junio de</w:t>
      </w:r>
      <w:r w:rsidRPr="008A5179">
        <w:rPr>
          <w:rFonts w:ascii="Tahoma" w:hAnsi="Tahoma" w:cs="Tahoma"/>
        </w:rPr>
        <w:br/>
        <w:t xml:space="preserve">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r w:rsidR="008A5179" w:rsidRPr="008A5179">
        <w:rPr>
          <w:rFonts w:ascii="Tahoma" w:hAnsi="Tahoma" w:cs="Tahoma"/>
        </w:rPr>
        <w:t>DARÍO</w:t>
      </w:r>
      <w:r w:rsidRPr="008A5179">
        <w:rPr>
          <w:rFonts w:ascii="Tahoma" w:hAnsi="Tahoma" w:cs="Tahoma"/>
        </w:rPr>
        <w:t xml:space="preserve"> GOEZ VINASCO, procede a proferir el siguiente auto interlocutorio, dentro del proceso ejecutivo a continuación de </w:t>
      </w:r>
      <w:r w:rsidRPr="008A5179">
        <w:rPr>
          <w:rFonts w:ascii="Tahoma" w:hAnsi="Tahoma" w:cs="Tahoma"/>
          <w:b/>
        </w:rPr>
        <w:t>ordinario</w:t>
      </w:r>
      <w:r w:rsidR="008A5179">
        <w:rPr>
          <w:rFonts w:ascii="Tahoma" w:hAnsi="Tahoma" w:cs="Tahoma"/>
          <w:b/>
        </w:rPr>
        <w:t xml:space="preserve"> laboral</w:t>
      </w:r>
      <w:r w:rsidRPr="008A5179">
        <w:rPr>
          <w:rFonts w:ascii="Tahoma" w:hAnsi="Tahoma" w:cs="Tahoma"/>
        </w:rPr>
        <w:t xml:space="preserve"> instaurado por </w:t>
      </w:r>
      <w:r w:rsidR="008A5179" w:rsidRPr="008A5179">
        <w:rPr>
          <w:rFonts w:ascii="Tahoma" w:hAnsi="Tahoma" w:cs="Tahoma"/>
          <w:b/>
          <w:color w:val="000000"/>
        </w:rPr>
        <w:t>Carlota de los Ángeles Meza</w:t>
      </w:r>
      <w:r w:rsidR="00911F19" w:rsidRPr="008A5179">
        <w:rPr>
          <w:rFonts w:ascii="Tahoma" w:hAnsi="Tahoma" w:cs="Tahoma"/>
          <w:b/>
          <w:caps/>
          <w:color w:val="000000"/>
        </w:rPr>
        <w:t xml:space="preserve"> </w:t>
      </w:r>
      <w:r w:rsidR="00911F19" w:rsidRPr="008A5179">
        <w:rPr>
          <w:rFonts w:ascii="Tahoma" w:hAnsi="Tahoma" w:cs="Tahoma"/>
        </w:rPr>
        <w:t xml:space="preserve">y </w:t>
      </w:r>
      <w:r w:rsidR="008A5179" w:rsidRPr="008A5179">
        <w:rPr>
          <w:rFonts w:ascii="Tahoma" w:hAnsi="Tahoma" w:cs="Tahoma"/>
          <w:b/>
          <w:color w:val="000000"/>
        </w:rPr>
        <w:t>Gabriel Ángel Rendón Rendón</w:t>
      </w:r>
      <w:r w:rsidR="00911F19" w:rsidRPr="008A5179">
        <w:rPr>
          <w:rFonts w:ascii="Tahoma" w:hAnsi="Tahoma" w:cs="Tahoma"/>
          <w:b/>
          <w:caps/>
          <w:color w:val="000000"/>
        </w:rPr>
        <w:t xml:space="preserve"> </w:t>
      </w:r>
      <w:r w:rsidRPr="008A5179">
        <w:rPr>
          <w:rFonts w:ascii="Tahoma" w:hAnsi="Tahoma" w:cs="Tahoma"/>
          <w:bCs/>
        </w:rPr>
        <w:t xml:space="preserve">en contra de la </w:t>
      </w:r>
      <w:r w:rsidR="008A5179" w:rsidRPr="008A5179">
        <w:rPr>
          <w:rFonts w:ascii="Tahoma" w:hAnsi="Tahoma" w:cs="Tahoma"/>
          <w:b/>
          <w:bCs/>
        </w:rPr>
        <w:t>Administradora de Fondos de Pensiones y Cesantías Protección</w:t>
      </w:r>
      <w:r w:rsidR="00911F19" w:rsidRPr="008A5179">
        <w:rPr>
          <w:rFonts w:ascii="Tahoma" w:hAnsi="Tahoma" w:cs="Tahoma"/>
          <w:b/>
          <w:bCs/>
        </w:rPr>
        <w:t xml:space="preserve"> S.A.</w:t>
      </w:r>
      <w:r w:rsidRPr="008A5179">
        <w:rPr>
          <w:rFonts w:ascii="Tahoma" w:hAnsi="Tahoma" w:cs="Tahoma"/>
          <w:b/>
          <w:bCs/>
        </w:rPr>
        <w:t xml:space="preserve"> </w:t>
      </w:r>
    </w:p>
    <w:p w14:paraId="77CE89DA" w14:textId="77777777" w:rsidR="009C20AC" w:rsidRPr="008A5179" w:rsidRDefault="009C20AC" w:rsidP="008A5179">
      <w:pPr>
        <w:pStyle w:val="Sinespaciado"/>
        <w:spacing w:line="276" w:lineRule="auto"/>
        <w:rPr>
          <w:rFonts w:ascii="Tahoma" w:hAnsi="Tahoma" w:cs="Tahoma"/>
          <w:lang w:val="es-ES_tradnl"/>
        </w:rPr>
      </w:pPr>
    </w:p>
    <w:p w14:paraId="05F94415" w14:textId="77777777" w:rsidR="009C20AC" w:rsidRPr="008A5179" w:rsidRDefault="009C20AC" w:rsidP="008A5179">
      <w:pPr>
        <w:pStyle w:val="paragraph"/>
        <w:spacing w:before="0" w:beforeAutospacing="0" w:after="0" w:afterAutospacing="0" w:line="276" w:lineRule="auto"/>
        <w:jc w:val="center"/>
        <w:textAlignment w:val="baseline"/>
        <w:rPr>
          <w:rFonts w:ascii="Tahoma" w:hAnsi="Tahoma" w:cs="Tahoma"/>
          <w:b/>
        </w:rPr>
      </w:pPr>
      <w:r w:rsidRPr="008A5179">
        <w:rPr>
          <w:rStyle w:val="normaltextrun"/>
          <w:rFonts w:ascii="Tahoma" w:hAnsi="Tahoma" w:cs="Tahoma"/>
          <w:b/>
        </w:rPr>
        <w:t>Punto a tratar</w:t>
      </w:r>
    </w:p>
    <w:p w14:paraId="46B57D25" w14:textId="77777777" w:rsidR="009C20AC" w:rsidRPr="008A5179" w:rsidRDefault="009C20AC" w:rsidP="008A5179">
      <w:pPr>
        <w:pStyle w:val="Sinespaciado"/>
        <w:spacing w:line="276" w:lineRule="auto"/>
        <w:rPr>
          <w:rStyle w:val="normaltextrun"/>
          <w:rFonts w:ascii="Tahoma" w:hAnsi="Tahoma" w:cs="Tahoma"/>
        </w:rPr>
      </w:pPr>
    </w:p>
    <w:p w14:paraId="3B8ED207" w14:textId="1EA6130E" w:rsidR="009C20AC" w:rsidRPr="008A5179" w:rsidRDefault="009C20AC" w:rsidP="008A5179">
      <w:pPr>
        <w:spacing w:line="276" w:lineRule="auto"/>
        <w:ind w:firstLine="708"/>
        <w:jc w:val="both"/>
        <w:rPr>
          <w:rStyle w:val="normaltextrun"/>
          <w:rFonts w:ascii="Tahoma" w:hAnsi="Tahoma" w:cs="Tahoma"/>
        </w:rPr>
      </w:pPr>
      <w:r w:rsidRPr="008A5179">
        <w:rPr>
          <w:rStyle w:val="normaltextrun"/>
          <w:rFonts w:ascii="Tahoma" w:hAnsi="Tahoma" w:cs="Tahoma"/>
        </w:rPr>
        <w:t>Por medio de esta providencia procede la Sala a</w:t>
      </w:r>
      <w:r w:rsidRPr="008A5179">
        <w:rPr>
          <w:rFonts w:ascii="Tahoma" w:hAnsi="Tahoma" w:cs="Tahoma"/>
        </w:rPr>
        <w:t xml:space="preserve"> resolver el recurso de apelación instaurado por la </w:t>
      </w:r>
      <w:r w:rsidR="00911F19" w:rsidRPr="008A5179">
        <w:rPr>
          <w:rFonts w:ascii="Tahoma" w:hAnsi="Tahoma" w:cs="Tahoma"/>
        </w:rPr>
        <w:t>ejecutada</w:t>
      </w:r>
      <w:r w:rsidRPr="008A5179">
        <w:rPr>
          <w:rFonts w:ascii="Tahoma" w:hAnsi="Tahoma" w:cs="Tahoma"/>
        </w:rPr>
        <w:t xml:space="preserve"> en contra de la decisión de excepciones adoptada en audiencia del </w:t>
      </w:r>
      <w:r w:rsidR="00911F19" w:rsidRPr="008A5179">
        <w:rPr>
          <w:rFonts w:ascii="Tahoma" w:hAnsi="Tahoma" w:cs="Tahoma"/>
        </w:rPr>
        <w:t>22 de junio</w:t>
      </w:r>
      <w:r w:rsidR="00EE79BA" w:rsidRPr="008A5179">
        <w:rPr>
          <w:rFonts w:ascii="Tahoma" w:hAnsi="Tahoma" w:cs="Tahoma"/>
        </w:rPr>
        <w:t xml:space="preserve"> de 2023</w:t>
      </w:r>
      <w:r w:rsidRPr="008A5179">
        <w:rPr>
          <w:rFonts w:ascii="Tahoma" w:hAnsi="Tahoma" w:cs="Tahoma"/>
        </w:rPr>
        <w:t xml:space="preserve">. </w:t>
      </w:r>
      <w:r w:rsidRPr="008A5179">
        <w:rPr>
          <w:rStyle w:val="normaltextrun"/>
          <w:rFonts w:ascii="Tahoma" w:hAnsi="Tahoma" w:cs="Tahoma"/>
        </w:rPr>
        <w:t>Para ello, se tiene en cuenta lo siguiente: </w:t>
      </w:r>
    </w:p>
    <w:p w14:paraId="711C2B5C" w14:textId="77777777" w:rsidR="0069065B" w:rsidRPr="008A5179" w:rsidRDefault="0069065B" w:rsidP="008A5179">
      <w:pPr>
        <w:spacing w:line="276" w:lineRule="auto"/>
        <w:jc w:val="both"/>
        <w:rPr>
          <w:rFonts w:ascii="Tahoma" w:hAnsi="Tahoma" w:cs="Tahoma"/>
        </w:rPr>
      </w:pPr>
    </w:p>
    <w:p w14:paraId="60B859F0" w14:textId="77777777" w:rsidR="00CB7166" w:rsidRPr="008A5179" w:rsidRDefault="004F2AB7" w:rsidP="008A5179">
      <w:pPr>
        <w:pStyle w:val="Prrafodelista"/>
        <w:numPr>
          <w:ilvl w:val="0"/>
          <w:numId w:val="15"/>
        </w:numPr>
        <w:tabs>
          <w:tab w:val="left" w:pos="284"/>
        </w:tabs>
        <w:spacing w:line="276" w:lineRule="auto"/>
        <w:ind w:left="0" w:firstLine="0"/>
        <w:jc w:val="center"/>
        <w:rPr>
          <w:rFonts w:ascii="Tahoma" w:hAnsi="Tahoma" w:cs="Tahoma"/>
          <w:b/>
        </w:rPr>
      </w:pPr>
      <w:r w:rsidRPr="008A5179">
        <w:rPr>
          <w:rFonts w:ascii="Tahoma" w:hAnsi="Tahoma" w:cs="Tahoma"/>
          <w:b/>
        </w:rPr>
        <w:lastRenderedPageBreak/>
        <w:t>Antecedentes procesales</w:t>
      </w:r>
    </w:p>
    <w:p w14:paraId="1B5F2D39" w14:textId="77777777" w:rsidR="00CB7166" w:rsidRPr="008A5179" w:rsidRDefault="00CB7166" w:rsidP="008A5179">
      <w:pPr>
        <w:spacing w:line="276" w:lineRule="auto"/>
        <w:ind w:firstLine="708"/>
        <w:jc w:val="center"/>
        <w:rPr>
          <w:rFonts w:ascii="Tahoma" w:hAnsi="Tahoma" w:cs="Tahoma"/>
          <w:b/>
        </w:rPr>
      </w:pPr>
    </w:p>
    <w:p w14:paraId="2D569FCD" w14:textId="7F30649E" w:rsidR="00142385" w:rsidRPr="008A5179" w:rsidRDefault="00595D36" w:rsidP="008A5179">
      <w:pPr>
        <w:tabs>
          <w:tab w:val="left" w:pos="-720"/>
        </w:tabs>
        <w:suppressAutoHyphens/>
        <w:spacing w:line="276" w:lineRule="auto"/>
        <w:jc w:val="both"/>
        <w:rPr>
          <w:rFonts w:ascii="Tahoma" w:hAnsi="Tahoma" w:cs="Tahoma"/>
        </w:rPr>
      </w:pPr>
      <w:r w:rsidRPr="008A5179">
        <w:rPr>
          <w:rFonts w:ascii="Tahoma" w:hAnsi="Tahoma" w:cs="Tahoma"/>
        </w:rPr>
        <w:tab/>
      </w:r>
      <w:r w:rsidR="00DF7BB6" w:rsidRPr="008A5179">
        <w:rPr>
          <w:rFonts w:ascii="Tahoma" w:hAnsi="Tahoma" w:cs="Tahoma"/>
        </w:rPr>
        <w:t xml:space="preserve">Para lo que interesa al recurso de apelación, hay que decir que </w:t>
      </w:r>
      <w:r w:rsidR="009C20AC" w:rsidRPr="008A5179">
        <w:rPr>
          <w:rFonts w:ascii="Tahoma" w:hAnsi="Tahoma" w:cs="Tahoma"/>
        </w:rPr>
        <w:t xml:space="preserve">la </w:t>
      </w:r>
      <w:r w:rsidR="00911F19" w:rsidRPr="008A5179">
        <w:rPr>
          <w:rFonts w:ascii="Tahoma" w:hAnsi="Tahoma" w:cs="Tahoma"/>
        </w:rPr>
        <w:t xml:space="preserve">CARLOTA DE LOS ÁNGELES MEZA y el señor GABRIEL ÁNGEL RENDÓN RENDÓN </w:t>
      </w:r>
      <w:r w:rsidR="009C20AC" w:rsidRPr="008A5179">
        <w:rPr>
          <w:rFonts w:ascii="Tahoma" w:hAnsi="Tahoma" w:cs="Tahoma"/>
        </w:rPr>
        <w:t>present</w:t>
      </w:r>
      <w:r w:rsidR="00911F19" w:rsidRPr="008A5179">
        <w:rPr>
          <w:rFonts w:ascii="Tahoma" w:hAnsi="Tahoma" w:cs="Tahoma"/>
        </w:rPr>
        <w:t>aron</w:t>
      </w:r>
      <w:r w:rsidR="009C20AC" w:rsidRPr="008A5179">
        <w:rPr>
          <w:rFonts w:ascii="Tahoma" w:hAnsi="Tahoma" w:cs="Tahoma"/>
        </w:rPr>
        <w:t xml:space="preserve"> demanda ejecutiva laboral en contra de </w:t>
      </w:r>
      <w:r w:rsidR="00911F19" w:rsidRPr="008A5179">
        <w:rPr>
          <w:rFonts w:ascii="Tahoma" w:hAnsi="Tahoma" w:cs="Tahoma"/>
        </w:rPr>
        <w:t>PROTECCIÓN S.A.</w:t>
      </w:r>
      <w:r w:rsidR="009C20AC" w:rsidRPr="008A5179">
        <w:rPr>
          <w:rFonts w:ascii="Tahoma" w:hAnsi="Tahoma" w:cs="Tahoma"/>
        </w:rPr>
        <w:t xml:space="preserve"> el </w:t>
      </w:r>
      <w:r w:rsidR="00911F19" w:rsidRPr="008A5179">
        <w:rPr>
          <w:rFonts w:ascii="Tahoma" w:hAnsi="Tahoma" w:cs="Tahoma"/>
        </w:rPr>
        <w:t>29 de octubre de 2021</w:t>
      </w:r>
      <w:r w:rsidR="009C20AC" w:rsidRPr="008A5179">
        <w:rPr>
          <w:rFonts w:ascii="Tahoma" w:hAnsi="Tahoma" w:cs="Tahoma"/>
        </w:rPr>
        <w:t xml:space="preserve">, teniendo como título ejecutivo la sentencia del </w:t>
      </w:r>
      <w:r w:rsidR="00911F19" w:rsidRPr="008A5179">
        <w:rPr>
          <w:rFonts w:ascii="Tahoma" w:hAnsi="Tahoma" w:cs="Tahoma"/>
        </w:rPr>
        <w:t>13 de agosto de 2019, proferida por el Juzgado Primero Laboral del Circuito de Pereira y confirmada</w:t>
      </w:r>
      <w:r w:rsidR="009C20AC" w:rsidRPr="008A5179">
        <w:rPr>
          <w:rFonts w:ascii="Tahoma" w:hAnsi="Tahoma" w:cs="Tahoma"/>
        </w:rPr>
        <w:t xml:space="preserve"> por </w:t>
      </w:r>
      <w:r w:rsidR="00084C85" w:rsidRPr="008A5179">
        <w:rPr>
          <w:rFonts w:ascii="Tahoma" w:hAnsi="Tahoma" w:cs="Tahoma"/>
        </w:rPr>
        <w:t>esta Corporación</w:t>
      </w:r>
      <w:r w:rsidR="00911F19" w:rsidRPr="008A5179">
        <w:rPr>
          <w:rFonts w:ascii="Tahoma" w:hAnsi="Tahoma" w:cs="Tahoma"/>
        </w:rPr>
        <w:t xml:space="preserve"> el 29 de mayo de 2020</w:t>
      </w:r>
      <w:r w:rsidR="0042291D" w:rsidRPr="008A5179">
        <w:rPr>
          <w:rFonts w:ascii="Tahoma" w:hAnsi="Tahoma" w:cs="Tahoma"/>
        </w:rPr>
        <w:t xml:space="preserve">, pretendiendo mandamiento de pago por </w:t>
      </w:r>
      <w:r w:rsidR="00DA4D2F" w:rsidRPr="008A5179">
        <w:rPr>
          <w:rFonts w:ascii="Tahoma" w:hAnsi="Tahoma" w:cs="Tahoma"/>
        </w:rPr>
        <w:t>sumas insolutas condenadas en la sentencia</w:t>
      </w:r>
      <w:r w:rsidR="00911F19" w:rsidRPr="008A5179">
        <w:rPr>
          <w:rFonts w:ascii="Tahoma" w:hAnsi="Tahoma" w:cs="Tahoma"/>
        </w:rPr>
        <w:t xml:space="preserve">, </w:t>
      </w:r>
      <w:r w:rsidR="00EE79BA" w:rsidRPr="008A5179">
        <w:rPr>
          <w:rFonts w:ascii="Tahoma" w:hAnsi="Tahoma" w:cs="Tahoma"/>
        </w:rPr>
        <w:t>los</w:t>
      </w:r>
      <w:r w:rsidR="00DA4D2F" w:rsidRPr="008A5179">
        <w:rPr>
          <w:rFonts w:ascii="Tahoma" w:hAnsi="Tahoma" w:cs="Tahoma"/>
        </w:rPr>
        <w:t xml:space="preserve"> intereses moratorios de que trata el art. 141 de la Ley 100 de 1993</w:t>
      </w:r>
      <w:r w:rsidR="0042291D" w:rsidRPr="008A5179">
        <w:rPr>
          <w:rFonts w:ascii="Tahoma" w:hAnsi="Tahoma" w:cs="Tahoma"/>
        </w:rPr>
        <w:t>, las costas procesales del trámite ordinario</w:t>
      </w:r>
      <w:r w:rsidR="00EE79BA" w:rsidRPr="008A5179">
        <w:rPr>
          <w:rFonts w:ascii="Tahoma" w:hAnsi="Tahoma" w:cs="Tahoma"/>
        </w:rPr>
        <w:t xml:space="preserve"> </w:t>
      </w:r>
      <w:r w:rsidR="0042291D" w:rsidRPr="008A5179">
        <w:rPr>
          <w:rFonts w:ascii="Tahoma" w:hAnsi="Tahoma" w:cs="Tahoma"/>
        </w:rPr>
        <w:t>y las costas procesales de la ejecución.</w:t>
      </w:r>
    </w:p>
    <w:p w14:paraId="6F3D48DF" w14:textId="77777777" w:rsidR="009C20AC" w:rsidRPr="008A5179" w:rsidRDefault="009C20AC" w:rsidP="008A5179">
      <w:pPr>
        <w:pStyle w:val="Sinespaciado"/>
        <w:spacing w:line="276" w:lineRule="auto"/>
        <w:rPr>
          <w:rFonts w:ascii="Tahoma" w:hAnsi="Tahoma" w:cs="Tahoma"/>
        </w:rPr>
      </w:pPr>
      <w:r w:rsidRPr="008A5179">
        <w:rPr>
          <w:rFonts w:ascii="Tahoma" w:hAnsi="Tahoma" w:cs="Tahoma"/>
        </w:rPr>
        <w:tab/>
      </w:r>
    </w:p>
    <w:p w14:paraId="71A05163" w14:textId="02B9E741" w:rsidR="00C2213F" w:rsidRPr="008A5179" w:rsidRDefault="009C20AC" w:rsidP="008A5179">
      <w:pPr>
        <w:tabs>
          <w:tab w:val="left" w:pos="-720"/>
        </w:tabs>
        <w:suppressAutoHyphens/>
        <w:spacing w:line="276" w:lineRule="auto"/>
        <w:jc w:val="both"/>
        <w:rPr>
          <w:rFonts w:ascii="Tahoma" w:hAnsi="Tahoma" w:cs="Tahoma"/>
        </w:rPr>
      </w:pPr>
      <w:r w:rsidRPr="008A5179">
        <w:rPr>
          <w:rFonts w:ascii="Tahoma" w:hAnsi="Tahoma" w:cs="Tahoma"/>
        </w:rPr>
        <w:tab/>
        <w:t>El juzgado de conocimiento</w:t>
      </w:r>
      <w:r w:rsidR="00084C85" w:rsidRPr="008A5179">
        <w:rPr>
          <w:rFonts w:ascii="Tahoma" w:hAnsi="Tahoma" w:cs="Tahoma"/>
        </w:rPr>
        <w:t xml:space="preserve"> </w:t>
      </w:r>
      <w:r w:rsidRPr="008A5179">
        <w:rPr>
          <w:rFonts w:ascii="Tahoma" w:hAnsi="Tahoma" w:cs="Tahoma"/>
        </w:rPr>
        <w:t>libró mandamiento de pago</w:t>
      </w:r>
      <w:r w:rsidR="00084C85" w:rsidRPr="008A5179">
        <w:rPr>
          <w:rFonts w:ascii="Tahoma" w:hAnsi="Tahoma" w:cs="Tahoma"/>
        </w:rPr>
        <w:t xml:space="preserve"> el </w:t>
      </w:r>
      <w:r w:rsidR="00DA4D2F" w:rsidRPr="008A5179">
        <w:rPr>
          <w:rFonts w:ascii="Tahoma" w:hAnsi="Tahoma" w:cs="Tahoma"/>
        </w:rPr>
        <w:t>01 de diciembre de 2021</w:t>
      </w:r>
      <w:r w:rsidR="00084C85" w:rsidRPr="008A5179">
        <w:rPr>
          <w:rFonts w:ascii="Tahoma" w:hAnsi="Tahoma" w:cs="Tahoma"/>
        </w:rPr>
        <w:t xml:space="preserve"> por la</w:t>
      </w:r>
      <w:r w:rsidR="00C2213F" w:rsidRPr="008A5179">
        <w:rPr>
          <w:rFonts w:ascii="Tahoma" w:hAnsi="Tahoma" w:cs="Tahoma"/>
        </w:rPr>
        <w:t>s siguientes sumas:</w:t>
      </w:r>
    </w:p>
    <w:p w14:paraId="6846DB73" w14:textId="77777777" w:rsidR="001D12B8" w:rsidRPr="008A5179" w:rsidRDefault="001D12B8" w:rsidP="008A5179">
      <w:pPr>
        <w:tabs>
          <w:tab w:val="left" w:pos="-720"/>
        </w:tabs>
        <w:suppressAutoHyphens/>
        <w:spacing w:line="276" w:lineRule="auto"/>
        <w:jc w:val="both"/>
        <w:rPr>
          <w:rFonts w:ascii="Tahoma" w:hAnsi="Tahoma" w:cs="Tahoma"/>
        </w:rPr>
      </w:pPr>
    </w:p>
    <w:p w14:paraId="151E7FD2" w14:textId="6264B2A4" w:rsidR="00C2213F" w:rsidRPr="008A5179" w:rsidRDefault="00084C85" w:rsidP="008A5179">
      <w:pPr>
        <w:pStyle w:val="Prrafodelista"/>
        <w:numPr>
          <w:ilvl w:val="0"/>
          <w:numId w:val="20"/>
        </w:numPr>
        <w:tabs>
          <w:tab w:val="left" w:pos="-720"/>
        </w:tabs>
        <w:suppressAutoHyphens/>
        <w:spacing w:line="276" w:lineRule="auto"/>
        <w:jc w:val="both"/>
        <w:rPr>
          <w:rFonts w:ascii="Tahoma" w:hAnsi="Tahoma" w:cs="Tahoma"/>
        </w:rPr>
      </w:pPr>
      <w:r w:rsidRPr="008A5179">
        <w:rPr>
          <w:rFonts w:ascii="Tahoma" w:hAnsi="Tahoma" w:cs="Tahoma"/>
        </w:rPr>
        <w:t>$</w:t>
      </w:r>
      <w:r w:rsidR="00DA4D2F" w:rsidRPr="008A5179">
        <w:rPr>
          <w:rFonts w:ascii="Tahoma" w:hAnsi="Tahoma" w:cs="Tahoma"/>
        </w:rPr>
        <w:t>20.066.987, por concepto de retroactivo pensional causado a favor de los demandantes, desde el 27 de mayo de 2015 y hasta el momento en que se haga la respectiva inclusión en nómina.</w:t>
      </w:r>
    </w:p>
    <w:p w14:paraId="203CF7B0" w14:textId="77777777" w:rsidR="00DA4D2F" w:rsidRPr="008A5179" w:rsidRDefault="00DA4D2F" w:rsidP="008A5179">
      <w:pPr>
        <w:pStyle w:val="Prrafodelista"/>
        <w:tabs>
          <w:tab w:val="left" w:pos="-720"/>
        </w:tabs>
        <w:suppressAutoHyphens/>
        <w:spacing w:line="276" w:lineRule="auto"/>
        <w:ind w:left="720"/>
        <w:jc w:val="both"/>
        <w:rPr>
          <w:rFonts w:ascii="Tahoma" w:hAnsi="Tahoma" w:cs="Tahoma"/>
        </w:rPr>
      </w:pPr>
    </w:p>
    <w:p w14:paraId="02B04618" w14:textId="22385F6F" w:rsidR="00C2213F" w:rsidRPr="008A5179" w:rsidRDefault="00DA4D2F" w:rsidP="008A5179">
      <w:pPr>
        <w:pStyle w:val="Prrafodelista"/>
        <w:numPr>
          <w:ilvl w:val="0"/>
          <w:numId w:val="20"/>
        </w:numPr>
        <w:tabs>
          <w:tab w:val="left" w:pos="-720"/>
        </w:tabs>
        <w:suppressAutoHyphens/>
        <w:spacing w:line="276" w:lineRule="auto"/>
        <w:jc w:val="both"/>
        <w:rPr>
          <w:rFonts w:ascii="Tahoma" w:hAnsi="Tahoma" w:cs="Tahoma"/>
        </w:rPr>
      </w:pPr>
      <w:r w:rsidRPr="008A5179">
        <w:rPr>
          <w:rFonts w:ascii="Tahoma" w:hAnsi="Tahoma" w:cs="Tahoma"/>
        </w:rPr>
        <w:t>Por los intereses de mora de que trata el artículo 141 de la Ley 100 de 1993 sobre cada una de las mesadas causadas, a partir del 6 de diciembre de 2015 y hasta que el pago se verifique.</w:t>
      </w:r>
    </w:p>
    <w:p w14:paraId="2B02C5E4" w14:textId="77777777" w:rsidR="00DA4D2F" w:rsidRPr="008A5179" w:rsidRDefault="00DA4D2F" w:rsidP="008A5179">
      <w:pPr>
        <w:pStyle w:val="Prrafodelista"/>
        <w:spacing w:line="276" w:lineRule="auto"/>
        <w:rPr>
          <w:rFonts w:ascii="Tahoma" w:hAnsi="Tahoma" w:cs="Tahoma"/>
        </w:rPr>
      </w:pPr>
    </w:p>
    <w:p w14:paraId="05DDD940" w14:textId="6DB7D0E8" w:rsidR="00C2213F" w:rsidRPr="008A5179" w:rsidRDefault="00C2213F" w:rsidP="008A5179">
      <w:pPr>
        <w:pStyle w:val="Prrafodelista"/>
        <w:numPr>
          <w:ilvl w:val="0"/>
          <w:numId w:val="20"/>
        </w:numPr>
        <w:tabs>
          <w:tab w:val="left" w:pos="-720"/>
        </w:tabs>
        <w:suppressAutoHyphens/>
        <w:spacing w:line="276" w:lineRule="auto"/>
        <w:jc w:val="both"/>
        <w:rPr>
          <w:rFonts w:ascii="Tahoma" w:hAnsi="Tahoma" w:cs="Tahoma"/>
        </w:rPr>
      </w:pPr>
      <w:r w:rsidRPr="008A5179">
        <w:rPr>
          <w:rFonts w:ascii="Tahoma" w:hAnsi="Tahoma" w:cs="Tahoma"/>
        </w:rPr>
        <w:t>$</w:t>
      </w:r>
      <w:r w:rsidR="00DA4D2F" w:rsidRPr="008A5179">
        <w:rPr>
          <w:rFonts w:ascii="Tahoma" w:hAnsi="Tahoma" w:cs="Tahoma"/>
        </w:rPr>
        <w:t xml:space="preserve">4.968.686 </w:t>
      </w:r>
      <w:r w:rsidRPr="008A5179">
        <w:rPr>
          <w:rFonts w:ascii="Tahoma" w:hAnsi="Tahoma" w:cs="Tahoma"/>
        </w:rPr>
        <w:t>por concepto de costas del proceso ordinario.</w:t>
      </w:r>
    </w:p>
    <w:p w14:paraId="240E0B0A" w14:textId="77777777" w:rsidR="00DA4D2F" w:rsidRPr="008A5179" w:rsidRDefault="00DA4D2F" w:rsidP="008A5179">
      <w:pPr>
        <w:pStyle w:val="Prrafodelista"/>
        <w:spacing w:line="276" w:lineRule="auto"/>
        <w:rPr>
          <w:rFonts w:ascii="Tahoma" w:hAnsi="Tahoma" w:cs="Tahoma"/>
        </w:rPr>
      </w:pPr>
    </w:p>
    <w:p w14:paraId="2D6F5B4B" w14:textId="51A13A2F" w:rsidR="00DA4D2F" w:rsidRPr="008A5179" w:rsidRDefault="00DA4D2F" w:rsidP="008A5179">
      <w:pPr>
        <w:pStyle w:val="Prrafodelista"/>
        <w:numPr>
          <w:ilvl w:val="0"/>
          <w:numId w:val="20"/>
        </w:numPr>
        <w:tabs>
          <w:tab w:val="left" w:pos="-720"/>
        </w:tabs>
        <w:suppressAutoHyphens/>
        <w:spacing w:line="276" w:lineRule="auto"/>
        <w:jc w:val="both"/>
        <w:rPr>
          <w:rFonts w:ascii="Tahoma" w:hAnsi="Tahoma" w:cs="Tahoma"/>
        </w:rPr>
      </w:pPr>
      <w:r w:rsidRPr="008A5179">
        <w:rPr>
          <w:rFonts w:ascii="Tahoma" w:hAnsi="Tahoma" w:cs="Tahoma"/>
        </w:rPr>
        <w:t>Por los intereses legales sobre las costas procesales a partir del 30 de agosto de 2021, hasta que se verifique el pago de la obligación.</w:t>
      </w:r>
    </w:p>
    <w:p w14:paraId="1B49EFA6" w14:textId="77777777" w:rsidR="00C2213F" w:rsidRPr="008A5179" w:rsidRDefault="00C2213F" w:rsidP="008A5179">
      <w:pPr>
        <w:pStyle w:val="Prrafodelista"/>
        <w:tabs>
          <w:tab w:val="left" w:pos="-720"/>
        </w:tabs>
        <w:suppressAutoHyphens/>
        <w:spacing w:line="276" w:lineRule="auto"/>
        <w:ind w:left="720"/>
        <w:jc w:val="both"/>
        <w:rPr>
          <w:rFonts w:ascii="Tahoma" w:hAnsi="Tahoma" w:cs="Tahoma"/>
        </w:rPr>
      </w:pPr>
    </w:p>
    <w:p w14:paraId="29D18C85" w14:textId="30350153" w:rsidR="003F6D49" w:rsidRPr="008A5179" w:rsidRDefault="003F6D49" w:rsidP="008A5179">
      <w:pPr>
        <w:tabs>
          <w:tab w:val="left" w:pos="-720"/>
        </w:tabs>
        <w:suppressAutoHyphens/>
        <w:spacing w:line="276" w:lineRule="auto"/>
        <w:jc w:val="both"/>
        <w:rPr>
          <w:rFonts w:ascii="Tahoma" w:hAnsi="Tahoma" w:cs="Tahoma"/>
        </w:rPr>
      </w:pPr>
      <w:r w:rsidRPr="008A5179">
        <w:rPr>
          <w:rFonts w:ascii="Tahoma" w:hAnsi="Tahoma" w:cs="Tahoma"/>
        </w:rPr>
        <w:tab/>
        <w:t>Mediante proveído del 26 de enero de 2022, se adicionó el mandamiento de pago para incluir las costas procesales de segunda instancia del proceso ordinario, quedando en total la orden de pago por concepto de costas en la suma de $5.877.212.</w:t>
      </w:r>
    </w:p>
    <w:p w14:paraId="35944245" w14:textId="77777777" w:rsidR="003F6D49" w:rsidRPr="008A5179" w:rsidRDefault="003F6D49" w:rsidP="008A5179">
      <w:pPr>
        <w:tabs>
          <w:tab w:val="left" w:pos="-720"/>
        </w:tabs>
        <w:suppressAutoHyphens/>
        <w:spacing w:line="276" w:lineRule="auto"/>
        <w:ind w:left="720"/>
        <w:jc w:val="both"/>
        <w:rPr>
          <w:rFonts w:ascii="Tahoma" w:hAnsi="Tahoma" w:cs="Tahoma"/>
        </w:rPr>
      </w:pPr>
    </w:p>
    <w:p w14:paraId="3717A3CD" w14:textId="491516A5" w:rsidR="00B65B19" w:rsidRPr="008A5179" w:rsidRDefault="00403253" w:rsidP="008A5179">
      <w:pPr>
        <w:tabs>
          <w:tab w:val="left" w:pos="-720"/>
        </w:tabs>
        <w:suppressAutoHyphens/>
        <w:spacing w:line="276" w:lineRule="auto"/>
        <w:jc w:val="both"/>
        <w:rPr>
          <w:rFonts w:ascii="Tahoma" w:hAnsi="Tahoma" w:cs="Tahoma"/>
        </w:rPr>
      </w:pPr>
      <w:r w:rsidRPr="008A5179">
        <w:rPr>
          <w:rFonts w:ascii="Tahoma" w:hAnsi="Tahoma" w:cs="Tahoma"/>
        </w:rPr>
        <w:tab/>
      </w:r>
      <w:r w:rsidRPr="008A5179">
        <w:rPr>
          <w:rFonts w:ascii="Tahoma" w:hAnsi="Tahoma" w:cs="Tahoma"/>
          <w:b/>
          <w:bCs/>
        </w:rPr>
        <w:t>PROTECCIÓN S.A.</w:t>
      </w:r>
      <w:r w:rsidR="0042291D" w:rsidRPr="008A5179">
        <w:rPr>
          <w:rFonts w:ascii="Tahoma" w:hAnsi="Tahoma" w:cs="Tahoma"/>
        </w:rPr>
        <w:t xml:space="preserve"> el </w:t>
      </w:r>
      <w:r w:rsidRPr="008A5179">
        <w:rPr>
          <w:rFonts w:ascii="Tahoma" w:hAnsi="Tahoma" w:cs="Tahoma"/>
        </w:rPr>
        <w:t>29 de junio de 2022</w:t>
      </w:r>
      <w:r w:rsidR="0042291D" w:rsidRPr="008A5179">
        <w:rPr>
          <w:rFonts w:ascii="Tahoma" w:hAnsi="Tahoma" w:cs="Tahoma"/>
        </w:rPr>
        <w:t xml:space="preserve"> formuló</w:t>
      </w:r>
      <w:r w:rsidR="009C20AC" w:rsidRPr="008A5179">
        <w:rPr>
          <w:rFonts w:ascii="Tahoma" w:hAnsi="Tahoma" w:cs="Tahoma"/>
        </w:rPr>
        <w:t xml:space="preserve"> la </w:t>
      </w:r>
      <w:r w:rsidRPr="008A5179">
        <w:rPr>
          <w:rFonts w:ascii="Tahoma" w:hAnsi="Tahoma" w:cs="Tahoma"/>
        </w:rPr>
        <w:t>excepción de pago</w:t>
      </w:r>
      <w:r w:rsidR="00B65B19" w:rsidRPr="008A5179">
        <w:rPr>
          <w:rFonts w:ascii="Tahoma" w:hAnsi="Tahoma" w:cs="Tahoma"/>
        </w:rPr>
        <w:t>, aduciendo que desde el 3 de noviembre de 2021 pagó a los demandantes la suma de $93</w:t>
      </w:r>
      <w:r w:rsidR="006B0F94" w:rsidRPr="008A5179">
        <w:rPr>
          <w:rFonts w:ascii="Tahoma" w:hAnsi="Tahoma" w:cs="Tahoma"/>
        </w:rPr>
        <w:t>.</w:t>
      </w:r>
      <w:r w:rsidR="00B65B19" w:rsidRPr="008A5179">
        <w:rPr>
          <w:rFonts w:ascii="Tahoma" w:hAnsi="Tahoma" w:cs="Tahoma"/>
        </w:rPr>
        <w:t>131</w:t>
      </w:r>
      <w:r w:rsidR="006B0F94" w:rsidRPr="008A5179">
        <w:rPr>
          <w:rFonts w:ascii="Tahoma" w:hAnsi="Tahoma" w:cs="Tahoma"/>
        </w:rPr>
        <w:t>.</w:t>
      </w:r>
      <w:r w:rsidR="00B65B19" w:rsidRPr="008A5179">
        <w:rPr>
          <w:rFonts w:ascii="Tahoma" w:hAnsi="Tahoma" w:cs="Tahoma"/>
        </w:rPr>
        <w:t xml:space="preserve">776, mediante sendos cheques que fueron entregados a los demandantes, mientras que desde el 6 de septiembre de 2021 se encuentran consignada, en el Juzgado, la suma de $5.877.212, correspondiente a las costas procesales a que fue condenada Protección S.A., dentro del proceso ordinario. </w:t>
      </w:r>
    </w:p>
    <w:p w14:paraId="78FB9B63" w14:textId="77777777" w:rsidR="006B0F94" w:rsidRPr="008A5179" w:rsidRDefault="006B0F94" w:rsidP="008A5179">
      <w:pPr>
        <w:tabs>
          <w:tab w:val="left" w:pos="-720"/>
        </w:tabs>
        <w:suppressAutoHyphens/>
        <w:spacing w:line="276" w:lineRule="auto"/>
        <w:jc w:val="both"/>
        <w:rPr>
          <w:rFonts w:ascii="Tahoma" w:hAnsi="Tahoma" w:cs="Tahoma"/>
        </w:rPr>
      </w:pPr>
    </w:p>
    <w:p w14:paraId="780FA9E3" w14:textId="32095275" w:rsidR="006B0F94" w:rsidRPr="008A5179" w:rsidRDefault="006B0F94" w:rsidP="008A5179">
      <w:pPr>
        <w:suppressAutoHyphens/>
        <w:spacing w:line="276" w:lineRule="auto"/>
        <w:ind w:firstLine="709"/>
        <w:jc w:val="both"/>
        <w:rPr>
          <w:rFonts w:ascii="Tahoma" w:hAnsi="Tahoma" w:cs="Tahoma"/>
        </w:rPr>
      </w:pPr>
      <w:r w:rsidRPr="008A5179">
        <w:rPr>
          <w:rFonts w:ascii="Tahoma" w:hAnsi="Tahoma" w:cs="Tahoma"/>
        </w:rPr>
        <w:t>Dentro del término de traslado de la excepción de pago, la parte ejecutante se opuso a su declaratoria, como quiera que, a pesar del pago efectuado por la suma de $93.131.776, a la fecha la demandada se encuentra pendiente de pago por concepto de intereses moratorios, la suma $9.806.336,02, toda vez que los mentados intereses debieron ser liquidados hasta noviembre de 2021</w:t>
      </w:r>
      <w:r w:rsidR="009B0464" w:rsidRPr="008A5179">
        <w:rPr>
          <w:rFonts w:ascii="Tahoma" w:hAnsi="Tahoma" w:cs="Tahoma"/>
        </w:rPr>
        <w:t>.</w:t>
      </w:r>
      <w:r w:rsidRPr="008A5179">
        <w:rPr>
          <w:rFonts w:ascii="Tahoma" w:hAnsi="Tahoma" w:cs="Tahoma"/>
        </w:rPr>
        <w:t xml:space="preserve"> </w:t>
      </w:r>
    </w:p>
    <w:p w14:paraId="20FA81A2" w14:textId="37713BEE" w:rsidR="00142385" w:rsidRPr="008A5179" w:rsidRDefault="00142385" w:rsidP="008A5179">
      <w:pPr>
        <w:pStyle w:val="Sinespaciado"/>
        <w:spacing w:line="276" w:lineRule="auto"/>
        <w:rPr>
          <w:rFonts w:ascii="Tahoma" w:hAnsi="Tahoma" w:cs="Tahoma"/>
        </w:rPr>
      </w:pPr>
    </w:p>
    <w:p w14:paraId="454BDD3F" w14:textId="77777777" w:rsidR="000F780E" w:rsidRPr="008A5179" w:rsidRDefault="004F2AB7" w:rsidP="008A5179">
      <w:pPr>
        <w:pStyle w:val="Prrafodelista"/>
        <w:numPr>
          <w:ilvl w:val="0"/>
          <w:numId w:val="15"/>
        </w:numPr>
        <w:tabs>
          <w:tab w:val="left" w:pos="142"/>
          <w:tab w:val="left" w:pos="567"/>
        </w:tabs>
        <w:spacing w:line="276" w:lineRule="auto"/>
        <w:ind w:left="0" w:firstLine="0"/>
        <w:jc w:val="center"/>
        <w:rPr>
          <w:rFonts w:ascii="Tahoma" w:hAnsi="Tahoma" w:cs="Tahoma"/>
          <w:b/>
        </w:rPr>
      </w:pPr>
      <w:r w:rsidRPr="008A5179">
        <w:rPr>
          <w:rFonts w:ascii="Tahoma" w:hAnsi="Tahoma" w:cs="Tahoma"/>
          <w:b/>
        </w:rPr>
        <w:t>Auto apelado</w:t>
      </w:r>
    </w:p>
    <w:p w14:paraId="0A7398F9" w14:textId="77777777" w:rsidR="00AF763F" w:rsidRPr="008A5179" w:rsidRDefault="00AF763F" w:rsidP="008A5179">
      <w:pPr>
        <w:pStyle w:val="Sinespaciado"/>
        <w:spacing w:line="276" w:lineRule="auto"/>
        <w:rPr>
          <w:rFonts w:ascii="Tahoma" w:hAnsi="Tahoma" w:cs="Tahoma"/>
        </w:rPr>
      </w:pPr>
    </w:p>
    <w:p w14:paraId="42F7A509" w14:textId="187E8D90" w:rsidR="001503E8" w:rsidRPr="008A5179" w:rsidRDefault="00BF0BFD" w:rsidP="008A5179">
      <w:pPr>
        <w:spacing w:line="276" w:lineRule="auto"/>
        <w:ind w:firstLine="709"/>
        <w:jc w:val="both"/>
        <w:rPr>
          <w:rFonts w:ascii="Tahoma" w:hAnsi="Tahoma" w:cs="Tahoma"/>
        </w:rPr>
      </w:pPr>
      <w:r w:rsidRPr="008A5179">
        <w:rPr>
          <w:rFonts w:ascii="Tahoma" w:hAnsi="Tahoma" w:cs="Tahoma"/>
        </w:rPr>
        <w:lastRenderedPageBreak/>
        <w:t>El despacho de conocimiento</w:t>
      </w:r>
      <w:r w:rsidR="00AC657D" w:rsidRPr="008A5179">
        <w:rPr>
          <w:rFonts w:ascii="Tahoma" w:hAnsi="Tahoma" w:cs="Tahoma"/>
        </w:rPr>
        <w:t xml:space="preserve"> declaró </w:t>
      </w:r>
      <w:r w:rsidR="001A78C3" w:rsidRPr="008A5179">
        <w:rPr>
          <w:rFonts w:ascii="Tahoma" w:hAnsi="Tahoma" w:cs="Tahoma"/>
        </w:rPr>
        <w:t>probada parcialmente la excepción de pago y, en consecuencia, dispuso continuar el cobro ejecutivo por los intereses moratorios insolutos, las costas procesales del trámite ordinario y por los intereses legales sobre estas últimas.</w:t>
      </w:r>
    </w:p>
    <w:p w14:paraId="69CC94FC" w14:textId="77777777" w:rsidR="001A78C3" w:rsidRPr="008A5179" w:rsidRDefault="001A78C3" w:rsidP="008A5179">
      <w:pPr>
        <w:spacing w:line="276" w:lineRule="auto"/>
        <w:ind w:firstLine="709"/>
        <w:jc w:val="both"/>
        <w:rPr>
          <w:rFonts w:ascii="Tahoma" w:hAnsi="Tahoma" w:cs="Tahoma"/>
        </w:rPr>
      </w:pPr>
    </w:p>
    <w:p w14:paraId="083D92CB" w14:textId="7E69F1FD" w:rsidR="001A78C3" w:rsidRPr="008A5179" w:rsidRDefault="001A78C3" w:rsidP="008A5179">
      <w:pPr>
        <w:spacing w:line="276" w:lineRule="auto"/>
        <w:ind w:firstLine="709"/>
        <w:jc w:val="both"/>
        <w:rPr>
          <w:rFonts w:ascii="Tahoma" w:hAnsi="Tahoma" w:cs="Tahoma"/>
        </w:rPr>
      </w:pPr>
      <w:r w:rsidRPr="008A5179">
        <w:rPr>
          <w:rFonts w:ascii="Tahoma" w:hAnsi="Tahoma" w:cs="Tahoma"/>
        </w:rPr>
        <w:t xml:space="preserve">Finalmente, requirió a las partes para que presenten la liquidación del crédito y condenó en costas procesales por el trámite ejecutivo a Protección S.A. en un 5% del valor del crédito. </w:t>
      </w:r>
    </w:p>
    <w:p w14:paraId="431A5B7E" w14:textId="77777777" w:rsidR="001A78C3" w:rsidRPr="008A5179" w:rsidRDefault="001A78C3" w:rsidP="008A5179">
      <w:pPr>
        <w:spacing w:line="276" w:lineRule="auto"/>
        <w:ind w:firstLine="709"/>
        <w:jc w:val="both"/>
        <w:rPr>
          <w:rFonts w:ascii="Tahoma" w:hAnsi="Tahoma" w:cs="Tahoma"/>
        </w:rPr>
      </w:pPr>
    </w:p>
    <w:p w14:paraId="378F80B7" w14:textId="1E392D31" w:rsidR="001A78C3" w:rsidRPr="008A5179" w:rsidRDefault="001A78C3" w:rsidP="008A5179">
      <w:pPr>
        <w:spacing w:line="276" w:lineRule="auto"/>
        <w:ind w:firstLine="709"/>
        <w:jc w:val="both"/>
        <w:rPr>
          <w:rFonts w:ascii="Tahoma" w:hAnsi="Tahoma" w:cs="Tahoma"/>
        </w:rPr>
      </w:pPr>
      <w:r w:rsidRPr="008A5179">
        <w:rPr>
          <w:rFonts w:ascii="Tahoma" w:hAnsi="Tahoma" w:cs="Tahoma"/>
        </w:rPr>
        <w:t>Para llegar a tal determinación, encontró acreditado el pago en favor de los ejecutantes de la suma de $93.131.776 puesto que así fue aceptado por el apoderado judicial de la activa, no obstante, como el pago se efectuó en noviembre de 2021, Protección S.A. adeuda un saldo por concepto de intereses moratorios causados hasta la fecha del pago, por lo cual debe seguir la ejecución.</w:t>
      </w:r>
    </w:p>
    <w:p w14:paraId="6FBFC238" w14:textId="77777777" w:rsidR="001A78C3" w:rsidRPr="008A5179" w:rsidRDefault="001A78C3" w:rsidP="008A5179">
      <w:pPr>
        <w:spacing w:line="276" w:lineRule="auto"/>
        <w:ind w:firstLine="709"/>
        <w:jc w:val="both"/>
        <w:rPr>
          <w:rFonts w:ascii="Tahoma" w:hAnsi="Tahoma" w:cs="Tahoma"/>
        </w:rPr>
      </w:pPr>
    </w:p>
    <w:p w14:paraId="1F7F75B6" w14:textId="0DD3E543" w:rsidR="009B0464" w:rsidRPr="008A5179" w:rsidRDefault="001A78C3" w:rsidP="008A5179">
      <w:pPr>
        <w:spacing w:line="276" w:lineRule="auto"/>
        <w:ind w:firstLine="709"/>
        <w:jc w:val="both"/>
        <w:rPr>
          <w:rFonts w:ascii="Tahoma" w:hAnsi="Tahoma" w:cs="Tahoma"/>
        </w:rPr>
      </w:pPr>
      <w:r w:rsidRPr="008A5179">
        <w:rPr>
          <w:rFonts w:ascii="Tahoma" w:hAnsi="Tahoma" w:cs="Tahoma"/>
        </w:rPr>
        <w:t>Por otra parte, indicó que, r</w:t>
      </w:r>
      <w:r w:rsidR="009B0464" w:rsidRPr="008A5179">
        <w:rPr>
          <w:rFonts w:ascii="Tahoma" w:hAnsi="Tahoma" w:cs="Tahoma"/>
        </w:rPr>
        <w:t xml:space="preserve">evisado </w:t>
      </w:r>
      <w:r w:rsidRPr="008A5179">
        <w:rPr>
          <w:rFonts w:ascii="Tahoma" w:hAnsi="Tahoma" w:cs="Tahoma"/>
        </w:rPr>
        <w:t xml:space="preserve">por </w:t>
      </w:r>
      <w:r w:rsidR="009B0464" w:rsidRPr="008A5179">
        <w:rPr>
          <w:rFonts w:ascii="Tahoma" w:hAnsi="Tahoma" w:cs="Tahoma"/>
        </w:rPr>
        <w:t xml:space="preserve">el Despacho el portal del </w:t>
      </w:r>
      <w:r w:rsidRPr="008A5179">
        <w:rPr>
          <w:rFonts w:ascii="Tahoma" w:hAnsi="Tahoma" w:cs="Tahoma"/>
        </w:rPr>
        <w:t>B</w:t>
      </w:r>
      <w:r w:rsidR="009B0464" w:rsidRPr="008A5179">
        <w:rPr>
          <w:rFonts w:ascii="Tahoma" w:hAnsi="Tahoma" w:cs="Tahoma"/>
        </w:rPr>
        <w:t xml:space="preserve">anco </w:t>
      </w:r>
      <w:r w:rsidRPr="008A5179">
        <w:rPr>
          <w:rFonts w:ascii="Tahoma" w:hAnsi="Tahoma" w:cs="Tahoma"/>
        </w:rPr>
        <w:t>A</w:t>
      </w:r>
      <w:r w:rsidR="009B0464" w:rsidRPr="008A5179">
        <w:rPr>
          <w:rFonts w:ascii="Tahoma" w:hAnsi="Tahoma" w:cs="Tahoma"/>
        </w:rPr>
        <w:t xml:space="preserve">graria no advirtió que se encontrara el titulo judicial por costas procesales, </w:t>
      </w:r>
      <w:r w:rsidRPr="008A5179">
        <w:rPr>
          <w:rFonts w:ascii="Tahoma" w:hAnsi="Tahoma" w:cs="Tahoma"/>
        </w:rPr>
        <w:t xml:space="preserve">razón por la cual, ante la inexistencia del título, es evidente que se adeudan las costas procesales y los intereses legales que de estas se derivan. </w:t>
      </w:r>
    </w:p>
    <w:p w14:paraId="58BDF622" w14:textId="7CC0BBF9" w:rsidR="672D3D82" w:rsidRPr="008A5179" w:rsidRDefault="672D3D82" w:rsidP="008A5179">
      <w:pPr>
        <w:spacing w:line="276" w:lineRule="auto"/>
        <w:rPr>
          <w:rFonts w:ascii="Tahoma" w:hAnsi="Tahoma" w:cs="Tahoma"/>
        </w:rPr>
      </w:pPr>
    </w:p>
    <w:p w14:paraId="0D4AFA49" w14:textId="20B90DD6" w:rsidR="00F37868" w:rsidRPr="008A5179" w:rsidRDefault="00AC657D" w:rsidP="008A5179">
      <w:pPr>
        <w:pStyle w:val="Prrafodelista"/>
        <w:numPr>
          <w:ilvl w:val="0"/>
          <w:numId w:val="15"/>
        </w:numPr>
        <w:tabs>
          <w:tab w:val="left" w:pos="142"/>
        </w:tabs>
        <w:spacing w:line="276" w:lineRule="auto"/>
        <w:ind w:left="0" w:firstLine="0"/>
        <w:jc w:val="center"/>
        <w:rPr>
          <w:rFonts w:ascii="Tahoma" w:hAnsi="Tahoma" w:cs="Tahoma"/>
          <w:b/>
        </w:rPr>
      </w:pPr>
      <w:r w:rsidRPr="008A5179">
        <w:rPr>
          <w:rFonts w:ascii="Tahoma" w:hAnsi="Tahoma" w:cs="Tahoma"/>
          <w:b/>
        </w:rPr>
        <w:t>Recurso de apelación</w:t>
      </w:r>
    </w:p>
    <w:p w14:paraId="10707241" w14:textId="77777777" w:rsidR="00F37868" w:rsidRPr="008A5179" w:rsidRDefault="00F37868" w:rsidP="008A5179">
      <w:pPr>
        <w:pStyle w:val="Sinespaciado"/>
        <w:spacing w:line="276" w:lineRule="auto"/>
        <w:rPr>
          <w:rFonts w:ascii="Tahoma" w:hAnsi="Tahoma" w:cs="Tahoma"/>
        </w:rPr>
      </w:pPr>
    </w:p>
    <w:p w14:paraId="19E833CE" w14:textId="02D86118" w:rsidR="000B395C" w:rsidRDefault="00F37868" w:rsidP="008A5179">
      <w:pPr>
        <w:widowControl w:val="0"/>
        <w:autoSpaceDE w:val="0"/>
        <w:autoSpaceDN w:val="0"/>
        <w:adjustRightInd w:val="0"/>
        <w:spacing w:line="276" w:lineRule="auto"/>
        <w:ind w:firstLine="708"/>
        <w:jc w:val="both"/>
        <w:rPr>
          <w:rStyle w:val="normaltextrun"/>
          <w:rFonts w:ascii="Tahoma" w:hAnsi="Tahoma" w:cs="Tahoma"/>
          <w:color w:val="000000"/>
        </w:rPr>
      </w:pPr>
      <w:r w:rsidRPr="008A5179">
        <w:rPr>
          <w:rStyle w:val="normaltextrun"/>
          <w:rFonts w:ascii="Tahoma" w:hAnsi="Tahoma" w:cs="Tahoma"/>
          <w:color w:val="000000"/>
        </w:rPr>
        <w:t>Inconforme con lo decidido</w:t>
      </w:r>
      <w:r w:rsidR="004F05EA" w:rsidRPr="008A5179">
        <w:rPr>
          <w:rStyle w:val="normaltextrun"/>
          <w:rFonts w:ascii="Tahoma" w:hAnsi="Tahoma" w:cs="Tahoma"/>
          <w:color w:val="000000"/>
        </w:rPr>
        <w:t xml:space="preserve">, </w:t>
      </w:r>
      <w:r w:rsidRPr="008A5179">
        <w:rPr>
          <w:rStyle w:val="normaltextrun"/>
          <w:rFonts w:ascii="Tahoma" w:hAnsi="Tahoma" w:cs="Tahoma"/>
          <w:color w:val="000000"/>
        </w:rPr>
        <w:t xml:space="preserve">la parte </w:t>
      </w:r>
      <w:r w:rsidR="000B395C" w:rsidRPr="008A5179">
        <w:rPr>
          <w:rStyle w:val="normaltextrun"/>
          <w:rFonts w:ascii="Tahoma" w:hAnsi="Tahoma" w:cs="Tahoma"/>
          <w:color w:val="000000"/>
        </w:rPr>
        <w:t>ejecutada</w:t>
      </w:r>
      <w:r w:rsidRPr="008A5179">
        <w:rPr>
          <w:rStyle w:val="normaltextrun"/>
          <w:rFonts w:ascii="Tahoma" w:hAnsi="Tahoma" w:cs="Tahoma"/>
          <w:color w:val="000000"/>
        </w:rPr>
        <w:t xml:space="preserve"> </w:t>
      </w:r>
      <w:r w:rsidR="00AC657D" w:rsidRPr="008A5179">
        <w:rPr>
          <w:rStyle w:val="normaltextrun"/>
          <w:rFonts w:ascii="Tahoma" w:hAnsi="Tahoma" w:cs="Tahoma"/>
          <w:color w:val="000000"/>
        </w:rPr>
        <w:t>reprochó que el juzgado de primera instancia</w:t>
      </w:r>
      <w:r w:rsidR="001503E8" w:rsidRPr="008A5179">
        <w:rPr>
          <w:rStyle w:val="normaltextrun"/>
          <w:rFonts w:ascii="Tahoma" w:hAnsi="Tahoma" w:cs="Tahoma"/>
          <w:color w:val="000000"/>
        </w:rPr>
        <w:t xml:space="preserve"> </w:t>
      </w:r>
      <w:r w:rsidR="005C7E32" w:rsidRPr="008A5179">
        <w:rPr>
          <w:rStyle w:val="normaltextrun"/>
          <w:rFonts w:ascii="Tahoma" w:hAnsi="Tahoma" w:cs="Tahoma"/>
          <w:color w:val="000000"/>
        </w:rPr>
        <w:t>no diera por probado el pago total de la obligación y terminara el proceso, toda vez que se encuentra acreditado que el 03 de noviembre de 2021 pagó a los ejecutantes la suma de $93.131.776, c</w:t>
      </w:r>
      <w:r w:rsidR="000B395C" w:rsidRPr="008A5179">
        <w:rPr>
          <w:rStyle w:val="normaltextrun"/>
          <w:rFonts w:ascii="Tahoma" w:hAnsi="Tahoma" w:cs="Tahoma"/>
          <w:color w:val="000000"/>
        </w:rPr>
        <w:t xml:space="preserve">on lo cual se cubre la totalidad de la obligación </w:t>
      </w:r>
      <w:r w:rsidR="005C7E32" w:rsidRPr="008A5179">
        <w:rPr>
          <w:rStyle w:val="normaltextrun"/>
          <w:rFonts w:ascii="Tahoma" w:hAnsi="Tahoma" w:cs="Tahoma"/>
          <w:color w:val="000000"/>
        </w:rPr>
        <w:t>por retroactivo pensional e intereses moratorios, estos últimos calculados una vez se efectuó el descuento</w:t>
      </w:r>
      <w:r w:rsidR="000B395C" w:rsidRPr="008A5179">
        <w:rPr>
          <w:rStyle w:val="normaltextrun"/>
          <w:rFonts w:ascii="Tahoma" w:hAnsi="Tahoma" w:cs="Tahoma"/>
          <w:color w:val="000000"/>
        </w:rPr>
        <w:t xml:space="preserve"> de los aportes en salud</w:t>
      </w:r>
      <w:r w:rsidR="005C7E32" w:rsidRPr="008A5179">
        <w:rPr>
          <w:rStyle w:val="normaltextrun"/>
          <w:rFonts w:ascii="Tahoma" w:hAnsi="Tahoma" w:cs="Tahoma"/>
          <w:color w:val="000000"/>
        </w:rPr>
        <w:t>.</w:t>
      </w:r>
    </w:p>
    <w:p w14:paraId="42119568" w14:textId="77777777" w:rsidR="00D27893" w:rsidRPr="008A5179" w:rsidRDefault="00D27893" w:rsidP="008A5179">
      <w:pPr>
        <w:widowControl w:val="0"/>
        <w:autoSpaceDE w:val="0"/>
        <w:autoSpaceDN w:val="0"/>
        <w:adjustRightInd w:val="0"/>
        <w:spacing w:line="276" w:lineRule="auto"/>
        <w:ind w:firstLine="708"/>
        <w:jc w:val="both"/>
        <w:rPr>
          <w:rStyle w:val="normaltextrun"/>
          <w:rFonts w:ascii="Tahoma" w:hAnsi="Tahoma" w:cs="Tahoma"/>
          <w:color w:val="000000"/>
        </w:rPr>
      </w:pPr>
    </w:p>
    <w:p w14:paraId="39672222" w14:textId="772F3FA1" w:rsidR="000B395C" w:rsidRPr="008A5179" w:rsidRDefault="005C7E32" w:rsidP="008A5179">
      <w:pPr>
        <w:widowControl w:val="0"/>
        <w:autoSpaceDE w:val="0"/>
        <w:autoSpaceDN w:val="0"/>
        <w:adjustRightInd w:val="0"/>
        <w:spacing w:line="276" w:lineRule="auto"/>
        <w:ind w:firstLine="708"/>
        <w:jc w:val="both"/>
        <w:rPr>
          <w:rStyle w:val="normaltextrun"/>
          <w:rFonts w:ascii="Tahoma" w:hAnsi="Tahoma" w:cs="Tahoma"/>
          <w:color w:val="000000"/>
        </w:rPr>
      </w:pPr>
      <w:r w:rsidRPr="008A5179">
        <w:rPr>
          <w:rStyle w:val="normaltextrun"/>
          <w:rFonts w:ascii="Tahoma" w:hAnsi="Tahoma" w:cs="Tahoma"/>
          <w:color w:val="000000"/>
        </w:rPr>
        <w:t>Por otra parte, argumentó que, c</w:t>
      </w:r>
      <w:r w:rsidR="000B395C" w:rsidRPr="008A5179">
        <w:rPr>
          <w:rStyle w:val="normaltextrun"/>
          <w:rFonts w:ascii="Tahoma" w:hAnsi="Tahoma" w:cs="Tahoma"/>
          <w:color w:val="000000"/>
        </w:rPr>
        <w:t xml:space="preserve">on el escrito de la </w:t>
      </w:r>
      <w:r w:rsidRPr="008A5179">
        <w:rPr>
          <w:rStyle w:val="normaltextrun"/>
          <w:rFonts w:ascii="Tahoma" w:hAnsi="Tahoma" w:cs="Tahoma"/>
          <w:color w:val="000000"/>
        </w:rPr>
        <w:t>excepción</w:t>
      </w:r>
      <w:r w:rsidR="000B395C" w:rsidRPr="008A5179">
        <w:rPr>
          <w:rStyle w:val="normaltextrun"/>
          <w:rFonts w:ascii="Tahoma" w:hAnsi="Tahoma" w:cs="Tahoma"/>
          <w:color w:val="000000"/>
        </w:rPr>
        <w:t xml:space="preserve">, aportó el archivo de carga masiva </w:t>
      </w:r>
      <w:r w:rsidRPr="008A5179">
        <w:rPr>
          <w:rStyle w:val="normaltextrun"/>
          <w:rFonts w:ascii="Tahoma" w:hAnsi="Tahoma" w:cs="Tahoma"/>
          <w:color w:val="000000"/>
        </w:rPr>
        <w:t xml:space="preserve">en donde </w:t>
      </w:r>
      <w:r w:rsidR="000B395C" w:rsidRPr="008A5179">
        <w:rPr>
          <w:rStyle w:val="normaltextrun"/>
          <w:rFonts w:ascii="Tahoma" w:hAnsi="Tahoma" w:cs="Tahoma"/>
          <w:color w:val="000000"/>
        </w:rPr>
        <w:t>se evidencia que fue consignado el valor de las costas procesales el 06 de septiembre de 2021</w:t>
      </w:r>
      <w:r w:rsidRPr="008A5179">
        <w:rPr>
          <w:rStyle w:val="normaltextrun"/>
          <w:rFonts w:ascii="Tahoma" w:hAnsi="Tahoma" w:cs="Tahoma"/>
          <w:color w:val="000000"/>
        </w:rPr>
        <w:t xml:space="preserve">, encontrándose satisfechas de esta manera todas las obligaciones. </w:t>
      </w:r>
    </w:p>
    <w:p w14:paraId="29E242F7" w14:textId="77777777" w:rsidR="005C7E32" w:rsidRPr="008A5179" w:rsidRDefault="005C7E32" w:rsidP="008A5179">
      <w:pPr>
        <w:widowControl w:val="0"/>
        <w:autoSpaceDE w:val="0"/>
        <w:autoSpaceDN w:val="0"/>
        <w:adjustRightInd w:val="0"/>
        <w:spacing w:line="276" w:lineRule="auto"/>
        <w:ind w:firstLine="708"/>
        <w:jc w:val="both"/>
        <w:rPr>
          <w:rStyle w:val="normaltextrun"/>
          <w:rFonts w:ascii="Tahoma" w:hAnsi="Tahoma" w:cs="Tahoma"/>
          <w:color w:val="000000"/>
        </w:rPr>
      </w:pPr>
    </w:p>
    <w:p w14:paraId="30FF1E7A" w14:textId="4C545945" w:rsidR="000B395C" w:rsidRPr="008A5179" w:rsidRDefault="005C7E32" w:rsidP="008A5179">
      <w:pPr>
        <w:widowControl w:val="0"/>
        <w:autoSpaceDE w:val="0"/>
        <w:autoSpaceDN w:val="0"/>
        <w:adjustRightInd w:val="0"/>
        <w:spacing w:line="276" w:lineRule="auto"/>
        <w:ind w:firstLine="708"/>
        <w:jc w:val="both"/>
        <w:rPr>
          <w:rFonts w:ascii="Tahoma" w:hAnsi="Tahoma" w:cs="Tahoma"/>
        </w:rPr>
      </w:pPr>
      <w:r w:rsidRPr="008A5179">
        <w:rPr>
          <w:rStyle w:val="normaltextrun"/>
          <w:rFonts w:ascii="Tahoma" w:hAnsi="Tahoma" w:cs="Tahoma"/>
          <w:color w:val="000000"/>
        </w:rPr>
        <w:t>Finalmente, alegó que n</w:t>
      </w:r>
      <w:r w:rsidR="000B395C" w:rsidRPr="008A5179">
        <w:rPr>
          <w:rStyle w:val="normaltextrun"/>
          <w:rFonts w:ascii="Tahoma" w:hAnsi="Tahoma" w:cs="Tahoma"/>
          <w:color w:val="000000"/>
        </w:rPr>
        <w:t>o hay lugar a imponer costas</w:t>
      </w:r>
      <w:r w:rsidRPr="008A5179">
        <w:rPr>
          <w:rStyle w:val="normaltextrun"/>
          <w:rFonts w:ascii="Tahoma" w:hAnsi="Tahoma" w:cs="Tahoma"/>
          <w:color w:val="000000"/>
        </w:rPr>
        <w:t xml:space="preserve"> por el trámite</w:t>
      </w:r>
      <w:r w:rsidR="000B395C" w:rsidRPr="008A5179">
        <w:rPr>
          <w:rStyle w:val="normaltextrun"/>
          <w:rFonts w:ascii="Tahoma" w:hAnsi="Tahoma" w:cs="Tahoma"/>
          <w:color w:val="000000"/>
        </w:rPr>
        <w:t xml:space="preserve"> ejecutivo </w:t>
      </w:r>
      <w:r w:rsidRPr="008A5179">
        <w:rPr>
          <w:rStyle w:val="normaltextrun"/>
          <w:rFonts w:ascii="Tahoma" w:hAnsi="Tahoma" w:cs="Tahoma"/>
          <w:color w:val="000000"/>
        </w:rPr>
        <w:t>en el entendido que se</w:t>
      </w:r>
      <w:r w:rsidR="000B395C" w:rsidRPr="008A5179">
        <w:rPr>
          <w:rStyle w:val="normaltextrun"/>
          <w:rFonts w:ascii="Tahoma" w:hAnsi="Tahoma" w:cs="Tahoma"/>
          <w:color w:val="000000"/>
        </w:rPr>
        <w:t xml:space="preserve"> realizó el pago del retroactivo, intereses</w:t>
      </w:r>
      <w:r w:rsidRPr="008A5179">
        <w:rPr>
          <w:rStyle w:val="normaltextrun"/>
          <w:rFonts w:ascii="Tahoma" w:hAnsi="Tahoma" w:cs="Tahoma"/>
          <w:color w:val="000000"/>
        </w:rPr>
        <w:t xml:space="preserve"> </w:t>
      </w:r>
      <w:r w:rsidR="000B395C" w:rsidRPr="008A5179">
        <w:rPr>
          <w:rStyle w:val="normaltextrun"/>
          <w:rFonts w:ascii="Tahoma" w:hAnsi="Tahoma" w:cs="Tahoma"/>
          <w:color w:val="000000"/>
        </w:rPr>
        <w:t>y costas procesales</w:t>
      </w:r>
      <w:r w:rsidRPr="008A5179">
        <w:rPr>
          <w:rStyle w:val="normaltextrun"/>
          <w:rFonts w:ascii="Tahoma" w:hAnsi="Tahoma" w:cs="Tahoma"/>
          <w:color w:val="000000"/>
        </w:rPr>
        <w:t>.</w:t>
      </w:r>
    </w:p>
    <w:p w14:paraId="28514240" w14:textId="77777777" w:rsidR="001A78C3" w:rsidRPr="008A5179" w:rsidRDefault="001A78C3" w:rsidP="008A5179">
      <w:pPr>
        <w:pStyle w:val="Sinespaciado"/>
        <w:spacing w:line="276" w:lineRule="auto"/>
        <w:rPr>
          <w:rFonts w:ascii="Tahoma" w:hAnsi="Tahoma" w:cs="Tahoma"/>
        </w:rPr>
      </w:pPr>
    </w:p>
    <w:p w14:paraId="38FC4A55" w14:textId="3D5A7F4E" w:rsidR="00AC657D" w:rsidRPr="008A5179" w:rsidRDefault="00AC657D" w:rsidP="008A5179">
      <w:pPr>
        <w:pStyle w:val="Prrafodelista"/>
        <w:numPr>
          <w:ilvl w:val="0"/>
          <w:numId w:val="15"/>
        </w:numPr>
        <w:tabs>
          <w:tab w:val="left" w:pos="142"/>
        </w:tabs>
        <w:spacing w:line="276" w:lineRule="auto"/>
        <w:ind w:left="0" w:firstLine="0"/>
        <w:jc w:val="center"/>
        <w:rPr>
          <w:rFonts w:ascii="Tahoma" w:hAnsi="Tahoma" w:cs="Tahoma"/>
          <w:b/>
          <w:bCs/>
          <w:spacing w:val="2"/>
        </w:rPr>
      </w:pPr>
      <w:r w:rsidRPr="008A5179">
        <w:rPr>
          <w:rFonts w:ascii="Tahoma" w:hAnsi="Tahoma" w:cs="Tahoma"/>
          <w:b/>
          <w:bCs/>
          <w:spacing w:val="2"/>
        </w:rPr>
        <w:t>Alegatos de conclusión</w:t>
      </w:r>
    </w:p>
    <w:p w14:paraId="53D2956C" w14:textId="77777777" w:rsidR="00AC657D" w:rsidRPr="008A5179" w:rsidRDefault="00AC657D" w:rsidP="008A5179">
      <w:pPr>
        <w:pStyle w:val="Sinespaciado"/>
        <w:spacing w:line="276" w:lineRule="auto"/>
        <w:rPr>
          <w:rFonts w:ascii="Tahoma" w:hAnsi="Tahoma" w:cs="Tahoma"/>
        </w:rPr>
      </w:pPr>
    </w:p>
    <w:p w14:paraId="3CD5330B" w14:textId="05A33859" w:rsidR="00EF3CDC" w:rsidRPr="008A5179" w:rsidRDefault="005C7E32" w:rsidP="008A5179">
      <w:pPr>
        <w:widowControl w:val="0"/>
        <w:autoSpaceDE w:val="0"/>
        <w:autoSpaceDN w:val="0"/>
        <w:adjustRightInd w:val="0"/>
        <w:spacing w:line="276" w:lineRule="auto"/>
        <w:ind w:firstLine="708"/>
        <w:rPr>
          <w:rFonts w:ascii="Tahoma" w:hAnsi="Tahoma" w:cs="Tahoma"/>
        </w:rPr>
      </w:pPr>
      <w:r w:rsidRPr="008A5179">
        <w:rPr>
          <w:rFonts w:ascii="Tahoma" w:hAnsi="Tahoma" w:cs="Tahoma"/>
        </w:rPr>
        <w:t xml:space="preserve">Como quedó sentado en la constancia secretarial que antecede, las partes guardaron silencio durante el término dispuesto para presentar alegatos de conclusión. </w:t>
      </w:r>
    </w:p>
    <w:p w14:paraId="45A812D1" w14:textId="7B70BA10" w:rsidR="672D3D82" w:rsidRPr="008A5179" w:rsidRDefault="672D3D82" w:rsidP="008A5179">
      <w:pPr>
        <w:pStyle w:val="Sinespaciado"/>
        <w:spacing w:line="276" w:lineRule="auto"/>
        <w:rPr>
          <w:rFonts w:ascii="Tahoma" w:hAnsi="Tahoma" w:cs="Tahoma"/>
        </w:rPr>
      </w:pPr>
    </w:p>
    <w:p w14:paraId="7A7964C1" w14:textId="225F318A" w:rsidR="00D3635B" w:rsidRPr="008A5179" w:rsidRDefault="003E493D" w:rsidP="008A5179">
      <w:pPr>
        <w:pStyle w:val="Prrafodelista"/>
        <w:numPr>
          <w:ilvl w:val="0"/>
          <w:numId w:val="15"/>
        </w:numPr>
        <w:tabs>
          <w:tab w:val="left" w:pos="142"/>
        </w:tabs>
        <w:spacing w:line="276" w:lineRule="auto"/>
        <w:ind w:left="0" w:firstLine="0"/>
        <w:jc w:val="center"/>
        <w:rPr>
          <w:rFonts w:ascii="Tahoma" w:hAnsi="Tahoma" w:cs="Tahoma"/>
          <w:b/>
          <w:spacing w:val="2"/>
          <w:u w:val="single"/>
        </w:rPr>
      </w:pPr>
      <w:r w:rsidRPr="008A5179">
        <w:rPr>
          <w:rFonts w:ascii="Tahoma" w:hAnsi="Tahoma" w:cs="Tahoma"/>
          <w:b/>
          <w:spacing w:val="2"/>
        </w:rPr>
        <w:t>Consideraciones</w:t>
      </w:r>
    </w:p>
    <w:p w14:paraId="1E1B366D" w14:textId="77777777" w:rsidR="00216556" w:rsidRPr="008A5179" w:rsidRDefault="00216556" w:rsidP="008A5179">
      <w:pPr>
        <w:pStyle w:val="Sinespaciado"/>
        <w:spacing w:line="276" w:lineRule="auto"/>
        <w:rPr>
          <w:rFonts w:ascii="Tahoma" w:hAnsi="Tahoma" w:cs="Tahoma"/>
        </w:rPr>
      </w:pPr>
    </w:p>
    <w:p w14:paraId="1503C63F" w14:textId="0477FC66" w:rsidR="007D4D1B" w:rsidRPr="008A5179" w:rsidRDefault="007D4D1B" w:rsidP="008A5179">
      <w:pPr>
        <w:pStyle w:val="Textoindependiente"/>
        <w:widowControl w:val="0"/>
        <w:numPr>
          <w:ilvl w:val="1"/>
          <w:numId w:val="19"/>
        </w:numPr>
        <w:autoSpaceDE w:val="0"/>
        <w:autoSpaceDN w:val="0"/>
        <w:adjustRightInd w:val="0"/>
        <w:spacing w:after="0" w:line="276" w:lineRule="auto"/>
        <w:rPr>
          <w:rFonts w:ascii="Tahoma" w:hAnsi="Tahoma" w:cs="Tahoma"/>
          <w:b/>
          <w:bCs/>
          <w:spacing w:val="2"/>
        </w:rPr>
      </w:pPr>
      <w:r w:rsidRPr="008A5179">
        <w:rPr>
          <w:rFonts w:ascii="Tahoma" w:hAnsi="Tahoma" w:cs="Tahoma"/>
          <w:b/>
          <w:bCs/>
          <w:spacing w:val="2"/>
        </w:rPr>
        <w:t>Problema</w:t>
      </w:r>
      <w:r w:rsidR="003F297E" w:rsidRPr="008A5179">
        <w:rPr>
          <w:rFonts w:ascii="Tahoma" w:hAnsi="Tahoma" w:cs="Tahoma"/>
          <w:b/>
          <w:bCs/>
          <w:spacing w:val="2"/>
        </w:rPr>
        <w:t>s</w:t>
      </w:r>
      <w:r w:rsidRPr="008A5179">
        <w:rPr>
          <w:rFonts w:ascii="Tahoma" w:hAnsi="Tahoma" w:cs="Tahoma"/>
          <w:b/>
          <w:bCs/>
          <w:spacing w:val="2"/>
        </w:rPr>
        <w:t xml:space="preserve"> jurídico</w:t>
      </w:r>
      <w:r w:rsidR="003F297E" w:rsidRPr="008A5179">
        <w:rPr>
          <w:rFonts w:ascii="Tahoma" w:hAnsi="Tahoma" w:cs="Tahoma"/>
          <w:b/>
          <w:bCs/>
          <w:spacing w:val="2"/>
        </w:rPr>
        <w:t>s</w:t>
      </w:r>
      <w:r w:rsidRPr="008A5179">
        <w:rPr>
          <w:rFonts w:ascii="Tahoma" w:hAnsi="Tahoma" w:cs="Tahoma"/>
          <w:b/>
          <w:bCs/>
          <w:spacing w:val="2"/>
        </w:rPr>
        <w:t xml:space="preserve"> por resolver</w:t>
      </w:r>
    </w:p>
    <w:p w14:paraId="4CD91FC6" w14:textId="77777777" w:rsidR="007D4D1B" w:rsidRPr="008A5179" w:rsidRDefault="007D4D1B" w:rsidP="008A5179">
      <w:pPr>
        <w:pStyle w:val="Sinespaciado"/>
        <w:spacing w:line="276" w:lineRule="auto"/>
        <w:rPr>
          <w:rFonts w:ascii="Tahoma" w:hAnsi="Tahoma" w:cs="Tahoma"/>
        </w:rPr>
      </w:pPr>
    </w:p>
    <w:p w14:paraId="40A4D44F" w14:textId="2C67646C" w:rsidR="00307070" w:rsidRPr="008A5179" w:rsidRDefault="00665C86" w:rsidP="008A5179">
      <w:pPr>
        <w:widowControl w:val="0"/>
        <w:autoSpaceDE w:val="0"/>
        <w:autoSpaceDN w:val="0"/>
        <w:adjustRightInd w:val="0"/>
        <w:spacing w:line="276" w:lineRule="auto"/>
        <w:ind w:firstLine="708"/>
        <w:jc w:val="both"/>
        <w:rPr>
          <w:rFonts w:ascii="Tahoma" w:hAnsi="Tahoma" w:cs="Tahoma"/>
        </w:rPr>
      </w:pPr>
      <w:r w:rsidRPr="008A5179">
        <w:rPr>
          <w:rFonts w:ascii="Tahoma" w:hAnsi="Tahoma" w:cs="Tahoma"/>
        </w:rPr>
        <w:lastRenderedPageBreak/>
        <w:t>¿</w:t>
      </w:r>
      <w:r w:rsidR="006708C9" w:rsidRPr="008A5179">
        <w:rPr>
          <w:rFonts w:ascii="Tahoma" w:hAnsi="Tahoma" w:cs="Tahoma"/>
        </w:rPr>
        <w:t>Existe saldo insoluto en favor de l</w:t>
      </w:r>
      <w:r w:rsidR="005C7E32" w:rsidRPr="008A5179">
        <w:rPr>
          <w:rFonts w:ascii="Tahoma" w:hAnsi="Tahoma" w:cs="Tahoma"/>
        </w:rPr>
        <w:t>os</w:t>
      </w:r>
      <w:r w:rsidR="006708C9" w:rsidRPr="008A5179">
        <w:rPr>
          <w:rFonts w:ascii="Tahoma" w:hAnsi="Tahoma" w:cs="Tahoma"/>
        </w:rPr>
        <w:t xml:space="preserve"> ejecutante</w:t>
      </w:r>
      <w:r w:rsidR="005C7E32" w:rsidRPr="008A5179">
        <w:rPr>
          <w:rFonts w:ascii="Tahoma" w:hAnsi="Tahoma" w:cs="Tahoma"/>
        </w:rPr>
        <w:t>s</w:t>
      </w:r>
      <w:r w:rsidR="006708C9" w:rsidRPr="008A5179">
        <w:rPr>
          <w:rFonts w:ascii="Tahoma" w:hAnsi="Tahoma" w:cs="Tahoma"/>
        </w:rPr>
        <w:t xml:space="preserve"> por el cual debe seguir la ejecución</w:t>
      </w:r>
      <w:r w:rsidR="00AC657D" w:rsidRPr="008A5179">
        <w:rPr>
          <w:rFonts w:ascii="Tahoma" w:hAnsi="Tahoma" w:cs="Tahoma"/>
        </w:rPr>
        <w:t xml:space="preserve">? </w:t>
      </w:r>
    </w:p>
    <w:p w14:paraId="1E68FCFA" w14:textId="35E5E10A" w:rsidR="672D3D82" w:rsidRPr="008A5179" w:rsidRDefault="672D3D82" w:rsidP="008A5179">
      <w:pPr>
        <w:widowControl w:val="0"/>
        <w:spacing w:line="276" w:lineRule="auto"/>
        <w:ind w:firstLine="708"/>
        <w:jc w:val="both"/>
        <w:rPr>
          <w:rFonts w:ascii="Tahoma" w:hAnsi="Tahoma" w:cs="Tahoma"/>
        </w:rPr>
      </w:pPr>
    </w:p>
    <w:p w14:paraId="5F52FD8C" w14:textId="7B686E91" w:rsidR="00FF4A9D" w:rsidRPr="008A5179" w:rsidRDefault="00FF4A9D" w:rsidP="008A5179">
      <w:pPr>
        <w:pStyle w:val="Textoindependiente"/>
        <w:widowControl w:val="0"/>
        <w:numPr>
          <w:ilvl w:val="1"/>
          <w:numId w:val="19"/>
        </w:numPr>
        <w:autoSpaceDE w:val="0"/>
        <w:autoSpaceDN w:val="0"/>
        <w:adjustRightInd w:val="0"/>
        <w:spacing w:after="0" w:line="276" w:lineRule="auto"/>
        <w:rPr>
          <w:rFonts w:ascii="Tahoma" w:hAnsi="Tahoma" w:cs="Tahoma"/>
          <w:b/>
          <w:bCs/>
          <w:spacing w:val="-3"/>
          <w:kern w:val="1"/>
        </w:rPr>
      </w:pPr>
      <w:r w:rsidRPr="008A5179">
        <w:rPr>
          <w:rFonts w:ascii="Tahoma" w:hAnsi="Tahoma" w:cs="Tahoma"/>
          <w:b/>
          <w:bCs/>
          <w:spacing w:val="-3"/>
          <w:kern w:val="1"/>
        </w:rPr>
        <w:t>Pago de la obligación ejecutada.</w:t>
      </w:r>
    </w:p>
    <w:p w14:paraId="20B06DF7" w14:textId="77777777" w:rsidR="00FF4A9D" w:rsidRPr="008A5179" w:rsidRDefault="00FF4A9D" w:rsidP="008A5179">
      <w:pPr>
        <w:widowControl w:val="0"/>
        <w:autoSpaceDE w:val="0"/>
        <w:autoSpaceDN w:val="0"/>
        <w:adjustRightInd w:val="0"/>
        <w:spacing w:line="276" w:lineRule="auto"/>
        <w:ind w:firstLine="708"/>
        <w:jc w:val="both"/>
        <w:rPr>
          <w:rStyle w:val="normaltextrun"/>
          <w:rFonts w:ascii="Tahoma" w:hAnsi="Tahoma" w:cs="Tahoma"/>
          <w:color w:val="000000"/>
        </w:rPr>
      </w:pPr>
    </w:p>
    <w:p w14:paraId="2313D262" w14:textId="7BA5BF7F" w:rsidR="00FF4A9D" w:rsidRPr="008A5179" w:rsidRDefault="00FF4A9D" w:rsidP="008A5179">
      <w:pPr>
        <w:widowControl w:val="0"/>
        <w:autoSpaceDE w:val="0"/>
        <w:autoSpaceDN w:val="0"/>
        <w:adjustRightInd w:val="0"/>
        <w:spacing w:line="276" w:lineRule="auto"/>
        <w:ind w:firstLine="708"/>
        <w:jc w:val="both"/>
        <w:rPr>
          <w:rStyle w:val="normaltextrun"/>
          <w:rFonts w:ascii="Tahoma" w:hAnsi="Tahoma" w:cs="Tahoma"/>
          <w:color w:val="000000"/>
        </w:rPr>
      </w:pPr>
      <w:r w:rsidRPr="008A5179">
        <w:rPr>
          <w:rStyle w:val="normaltextrun"/>
          <w:rFonts w:ascii="Tahoma" w:hAnsi="Tahoma" w:cs="Tahoma"/>
          <w:color w:val="000000"/>
        </w:rPr>
        <w:t>Como el proceso ejecutivo pretende la satisfacción de una obligación a cargo del deudor, y finaliza con el pago total de la obligación, en su trámite dos providencias concretan el monto de lo adeudado: la primera de ellas el mandamiento de pago, que, con base en el título ejecutivo aportado, fija la suma a ejecutar.  La siguiente decisión del juez es la providencia que resuelve las excepciones, en la cual se puede variar el mandamiento de pago de conformidad con las excepciones que prosperen [Sentencia T-753/2014].</w:t>
      </w:r>
    </w:p>
    <w:p w14:paraId="73A7A760" w14:textId="77777777" w:rsidR="00D11D62" w:rsidRPr="008A5179" w:rsidRDefault="00D11D62" w:rsidP="008A5179">
      <w:pPr>
        <w:widowControl w:val="0"/>
        <w:autoSpaceDE w:val="0"/>
        <w:autoSpaceDN w:val="0"/>
        <w:adjustRightInd w:val="0"/>
        <w:spacing w:line="276" w:lineRule="auto"/>
        <w:ind w:firstLine="708"/>
        <w:jc w:val="both"/>
        <w:rPr>
          <w:rStyle w:val="normaltextrun"/>
          <w:rFonts w:ascii="Tahoma" w:hAnsi="Tahoma" w:cs="Tahoma"/>
          <w:color w:val="000000"/>
        </w:rPr>
      </w:pPr>
    </w:p>
    <w:p w14:paraId="325FC9EA" w14:textId="423BDB5B" w:rsidR="00D11D62" w:rsidRPr="008A5179" w:rsidRDefault="00D11D62" w:rsidP="008A5179">
      <w:pPr>
        <w:widowControl w:val="0"/>
        <w:autoSpaceDE w:val="0"/>
        <w:autoSpaceDN w:val="0"/>
        <w:adjustRightInd w:val="0"/>
        <w:spacing w:line="276" w:lineRule="auto"/>
        <w:ind w:firstLine="708"/>
        <w:jc w:val="both"/>
        <w:rPr>
          <w:rStyle w:val="normaltextrun"/>
          <w:rFonts w:ascii="Tahoma" w:hAnsi="Tahoma" w:cs="Tahoma"/>
          <w:color w:val="000000"/>
        </w:rPr>
      </w:pPr>
      <w:r w:rsidRPr="008A5179">
        <w:rPr>
          <w:rStyle w:val="normaltextrun"/>
          <w:rFonts w:ascii="Tahoma" w:hAnsi="Tahoma" w:cs="Tahoma"/>
          <w:color w:val="000000" w:themeColor="text1"/>
        </w:rPr>
        <w:t>Respecto a las excepciones susceptibles de ser formuladas dentro del proceso ejecutivo</w:t>
      </w:r>
      <w:r w:rsidR="682E22CF" w:rsidRPr="008A5179">
        <w:rPr>
          <w:rStyle w:val="normaltextrun"/>
          <w:rFonts w:ascii="Tahoma" w:hAnsi="Tahoma" w:cs="Tahoma"/>
          <w:color w:val="000000" w:themeColor="text1"/>
        </w:rPr>
        <w:t xml:space="preserve"> seguido a continuación del proceso ordinario</w:t>
      </w:r>
      <w:r w:rsidRPr="008A5179">
        <w:rPr>
          <w:rStyle w:val="normaltextrun"/>
          <w:rFonts w:ascii="Tahoma" w:hAnsi="Tahoma" w:cs="Tahoma"/>
          <w:color w:val="000000" w:themeColor="text1"/>
        </w:rPr>
        <w:t>, el artículo 442 del C.G.P., aplicable en estas materias por remisión analógica dispuesta en el art. 145 del C.P.T. y S.S. establece que solo podrán formularse las excepciones de pago, compensación, confusión, novación, remisión, prescripción o transacción, siempre que se basen en hechos posteriores a la respectiva providencia</w:t>
      </w:r>
      <w:r w:rsidR="1DC774D2" w:rsidRPr="008A5179">
        <w:rPr>
          <w:rStyle w:val="normaltextrun"/>
          <w:rFonts w:ascii="Tahoma" w:hAnsi="Tahoma" w:cs="Tahoma"/>
          <w:color w:val="000000" w:themeColor="text1"/>
        </w:rPr>
        <w:t xml:space="preserve"> que presta mérito ejecutivo</w:t>
      </w:r>
      <w:r w:rsidRPr="008A5179">
        <w:rPr>
          <w:rStyle w:val="normaltextrun"/>
          <w:rFonts w:ascii="Tahoma" w:hAnsi="Tahoma" w:cs="Tahoma"/>
          <w:color w:val="000000" w:themeColor="text1"/>
        </w:rPr>
        <w:t>.</w:t>
      </w:r>
    </w:p>
    <w:p w14:paraId="151BD88A" w14:textId="2B828BAB" w:rsidR="35607FE4" w:rsidRPr="008A5179" w:rsidRDefault="35607FE4" w:rsidP="008A5179">
      <w:pPr>
        <w:pStyle w:val="Textoindependiente"/>
        <w:widowControl w:val="0"/>
        <w:spacing w:after="0" w:line="276" w:lineRule="auto"/>
        <w:ind w:left="1429"/>
        <w:rPr>
          <w:rFonts w:ascii="Tahoma" w:hAnsi="Tahoma" w:cs="Tahoma"/>
          <w:b/>
          <w:bCs/>
        </w:rPr>
      </w:pPr>
    </w:p>
    <w:p w14:paraId="19C76BF0" w14:textId="3124796C" w:rsidR="002F2AD2" w:rsidRPr="008A5179" w:rsidRDefault="002F2AD2" w:rsidP="008A5179">
      <w:pPr>
        <w:pStyle w:val="Textoindependiente"/>
        <w:widowControl w:val="0"/>
        <w:numPr>
          <w:ilvl w:val="1"/>
          <w:numId w:val="19"/>
        </w:numPr>
        <w:autoSpaceDE w:val="0"/>
        <w:autoSpaceDN w:val="0"/>
        <w:adjustRightInd w:val="0"/>
        <w:spacing w:after="0" w:line="276" w:lineRule="auto"/>
        <w:rPr>
          <w:rFonts w:ascii="Tahoma" w:hAnsi="Tahoma" w:cs="Tahoma"/>
          <w:b/>
          <w:bCs/>
          <w:spacing w:val="-3"/>
          <w:kern w:val="1"/>
        </w:rPr>
      </w:pPr>
      <w:r w:rsidRPr="008A5179">
        <w:rPr>
          <w:rFonts w:ascii="Tahoma" w:hAnsi="Tahoma" w:cs="Tahoma"/>
          <w:b/>
          <w:bCs/>
          <w:spacing w:val="-3"/>
          <w:kern w:val="1"/>
        </w:rPr>
        <w:t xml:space="preserve">De los </w:t>
      </w:r>
      <w:r w:rsidRPr="008A5179">
        <w:rPr>
          <w:rFonts w:ascii="Tahoma" w:hAnsi="Tahoma" w:cs="Tahoma"/>
          <w:b/>
          <w:bCs/>
          <w:spacing w:val="2"/>
        </w:rPr>
        <w:t>intereses</w:t>
      </w:r>
      <w:r w:rsidRPr="008A5179">
        <w:rPr>
          <w:rFonts w:ascii="Tahoma" w:hAnsi="Tahoma" w:cs="Tahoma"/>
          <w:b/>
          <w:bCs/>
          <w:spacing w:val="-3"/>
          <w:kern w:val="1"/>
        </w:rPr>
        <w:t xml:space="preserve"> moratorios.</w:t>
      </w:r>
    </w:p>
    <w:p w14:paraId="1284926F" w14:textId="77777777" w:rsidR="002F2AD2" w:rsidRPr="008A5179" w:rsidRDefault="002F2AD2" w:rsidP="008A5179">
      <w:pPr>
        <w:spacing w:line="276" w:lineRule="auto"/>
        <w:ind w:firstLine="708"/>
        <w:rPr>
          <w:rFonts w:ascii="Tahoma" w:hAnsi="Tahoma" w:cs="Tahoma"/>
        </w:rPr>
      </w:pPr>
    </w:p>
    <w:p w14:paraId="02F2614D" w14:textId="77777777" w:rsidR="002F2AD2" w:rsidRPr="008A5179" w:rsidRDefault="002F2AD2" w:rsidP="008A5179">
      <w:pPr>
        <w:widowControl w:val="0"/>
        <w:autoSpaceDE w:val="0"/>
        <w:autoSpaceDN w:val="0"/>
        <w:adjustRightInd w:val="0"/>
        <w:spacing w:line="276" w:lineRule="auto"/>
        <w:ind w:firstLine="708"/>
        <w:jc w:val="both"/>
        <w:rPr>
          <w:rFonts w:ascii="Tahoma" w:hAnsi="Tahoma" w:cs="Tahoma"/>
        </w:rPr>
      </w:pPr>
      <w:r w:rsidRPr="008A5179">
        <w:rPr>
          <w:rStyle w:val="normaltextrun"/>
          <w:rFonts w:ascii="Tahoma" w:hAnsi="Tahoma" w:cs="Tahoma"/>
          <w:color w:val="000000"/>
        </w:rPr>
        <w:t>En torno a la liquidación de intereses moratorios, esta Corporación en decisión del 09-10-2019</w:t>
      </w:r>
      <w:r w:rsidRPr="008A5179">
        <w:rPr>
          <w:rStyle w:val="Refdenotaalpie"/>
          <w:rFonts w:ascii="Tahoma" w:hAnsi="Tahoma" w:cs="Tahoma"/>
          <w:b/>
          <w:bCs/>
          <w:spacing w:val="-3"/>
          <w:kern w:val="1"/>
        </w:rPr>
        <w:footnoteReference w:id="1"/>
      </w:r>
      <w:r w:rsidRPr="008A5179">
        <w:rPr>
          <w:rFonts w:ascii="Tahoma" w:hAnsi="Tahoma" w:cs="Tahoma"/>
        </w:rPr>
        <w:t xml:space="preserve">, </w:t>
      </w:r>
      <w:r w:rsidRPr="008A5179">
        <w:rPr>
          <w:rStyle w:val="normaltextrun"/>
          <w:rFonts w:ascii="Tahoma" w:hAnsi="Tahoma" w:cs="Tahoma"/>
          <w:color w:val="000000"/>
        </w:rPr>
        <w:t xml:space="preserve">frente a la forma de liquidarlos, indicó: </w:t>
      </w:r>
    </w:p>
    <w:p w14:paraId="278B8A8F" w14:textId="77777777" w:rsidR="002F2AD2" w:rsidRPr="008A5179" w:rsidRDefault="002F2AD2" w:rsidP="008A5179">
      <w:pPr>
        <w:pStyle w:val="Sinespaciado"/>
        <w:spacing w:line="276" w:lineRule="auto"/>
        <w:rPr>
          <w:rFonts w:ascii="Tahoma" w:hAnsi="Tahoma" w:cs="Tahoma"/>
        </w:rPr>
      </w:pPr>
    </w:p>
    <w:p w14:paraId="2F4F63A6" w14:textId="77777777" w:rsidR="002F2AD2" w:rsidRPr="008A5179" w:rsidRDefault="002F2AD2" w:rsidP="008A5179">
      <w:pPr>
        <w:ind w:left="426" w:right="420"/>
        <w:jc w:val="both"/>
        <w:rPr>
          <w:rFonts w:ascii="Tahoma" w:hAnsi="Tahoma" w:cs="Tahoma"/>
          <w:i/>
          <w:iCs/>
          <w:sz w:val="22"/>
        </w:rPr>
      </w:pPr>
      <w:r w:rsidRPr="008A5179">
        <w:rPr>
          <w:rFonts w:ascii="Tahoma" w:hAnsi="Tahoma" w:cs="Tahoma"/>
          <w:i/>
          <w:iCs/>
          <w:sz w:val="22"/>
        </w:rPr>
        <w:t>“El artículo 141 de la Ley 100 de 1993 estableció el pago de intereses moratorios a la tasa máxima vigente al momento que se efectúe el pago, en caso de mora de las mesadas pensionales que trata dicha ley.</w:t>
      </w:r>
    </w:p>
    <w:p w14:paraId="13AE9DAA" w14:textId="77777777" w:rsidR="002F2AD2" w:rsidRPr="008A5179" w:rsidRDefault="002F2AD2" w:rsidP="008A5179">
      <w:pPr>
        <w:pStyle w:val="Sinespaciado"/>
        <w:ind w:left="426" w:right="420"/>
        <w:jc w:val="both"/>
        <w:rPr>
          <w:rFonts w:ascii="Tahoma" w:hAnsi="Tahoma" w:cs="Tahoma"/>
          <w:sz w:val="22"/>
        </w:rPr>
      </w:pPr>
    </w:p>
    <w:p w14:paraId="2CE34BBD" w14:textId="77777777" w:rsidR="002F2AD2" w:rsidRPr="008A5179" w:rsidRDefault="002F2AD2" w:rsidP="008A5179">
      <w:pPr>
        <w:ind w:left="426" w:right="420"/>
        <w:jc w:val="both"/>
        <w:rPr>
          <w:rFonts w:ascii="Tahoma" w:hAnsi="Tahoma" w:cs="Tahoma"/>
          <w:i/>
          <w:iCs/>
          <w:sz w:val="22"/>
        </w:rPr>
      </w:pPr>
      <w:r w:rsidRPr="008A5179">
        <w:rPr>
          <w:rFonts w:ascii="Tahoma" w:hAnsi="Tahoma" w:cs="Tahoma"/>
          <w:i/>
          <w:iCs/>
          <w:sz w:val="22"/>
        </w:rPr>
        <w:t>La Superintendencia Financiera por su parte, mediante concepto Nº 2009046566-001 del 23 de julio de 2009, explicó que para calcular la equivalencia de la tasa efectiva anual en periodos distintos al de un año, como son los réditos que se causan mensual o diariamente, se debe acudir a las siguientes fórmulas matemáticas:</w:t>
      </w:r>
    </w:p>
    <w:p w14:paraId="26DD685B" w14:textId="77777777" w:rsidR="002F2AD2" w:rsidRPr="008A5179" w:rsidRDefault="002F2AD2" w:rsidP="008A5179">
      <w:pPr>
        <w:pStyle w:val="Sinespaciado"/>
        <w:ind w:left="426" w:right="420"/>
        <w:rPr>
          <w:rFonts w:ascii="Tahoma" w:hAnsi="Tahoma" w:cs="Tahoma"/>
          <w:sz w:val="22"/>
        </w:rPr>
      </w:pPr>
    </w:p>
    <w:p w14:paraId="16F9249B" w14:textId="77777777" w:rsidR="002F2AD2" w:rsidRPr="008A5179" w:rsidRDefault="002F2AD2" w:rsidP="008A5179">
      <w:pPr>
        <w:autoSpaceDE w:val="0"/>
        <w:autoSpaceDN w:val="0"/>
        <w:adjustRightInd w:val="0"/>
        <w:ind w:left="426" w:right="420"/>
        <w:rPr>
          <w:rFonts w:ascii="Tahoma" w:hAnsi="Tahoma" w:cs="Tahoma"/>
          <w:i/>
          <w:iCs/>
          <w:sz w:val="22"/>
        </w:rPr>
      </w:pPr>
      <w:r w:rsidRPr="008A5179">
        <w:rPr>
          <w:rFonts w:ascii="Tahoma" w:hAnsi="Tahoma" w:cs="Tahoma"/>
          <w:i/>
          <w:iCs/>
          <w:sz w:val="22"/>
        </w:rPr>
        <w:t>Para calcular la tasa efectiva mensual:</w:t>
      </w:r>
    </w:p>
    <w:p w14:paraId="6EFE14F7" w14:textId="77777777" w:rsidR="002F2AD2" w:rsidRPr="008A5179" w:rsidRDefault="002F2AD2" w:rsidP="008A5179">
      <w:pPr>
        <w:pStyle w:val="Sinespaciado"/>
        <w:ind w:left="426" w:right="420"/>
        <w:rPr>
          <w:rFonts w:ascii="Tahoma" w:hAnsi="Tahoma" w:cs="Tahoma"/>
          <w:sz w:val="22"/>
        </w:rPr>
      </w:pPr>
    </w:p>
    <w:p w14:paraId="24772C96" w14:textId="77777777" w:rsidR="002F2AD2" w:rsidRPr="008A5179" w:rsidRDefault="002F2AD2" w:rsidP="008A5179">
      <w:pPr>
        <w:autoSpaceDE w:val="0"/>
        <w:autoSpaceDN w:val="0"/>
        <w:adjustRightInd w:val="0"/>
        <w:ind w:left="426" w:right="420"/>
        <w:jc w:val="center"/>
        <w:rPr>
          <w:rFonts w:ascii="Tahoma" w:hAnsi="Tahoma" w:cs="Tahoma"/>
          <w:i/>
          <w:iCs/>
          <w:sz w:val="22"/>
        </w:rPr>
      </w:pPr>
      <w:r w:rsidRPr="008A5179">
        <w:rPr>
          <w:rFonts w:ascii="Tahoma" w:hAnsi="Tahoma" w:cs="Tahoma"/>
          <w:i/>
          <w:iCs/>
          <w:sz w:val="22"/>
        </w:rPr>
        <w:t>[(1+ i)</w:t>
      </w:r>
      <w:r w:rsidRPr="008A5179">
        <w:rPr>
          <w:rFonts w:ascii="Tahoma" w:hAnsi="Tahoma" w:cs="Tahoma"/>
          <w:i/>
          <w:iCs/>
          <w:position w:val="6"/>
          <w:sz w:val="22"/>
        </w:rPr>
        <w:t>1/12</w:t>
      </w:r>
      <w:r w:rsidRPr="008A5179">
        <w:rPr>
          <w:rFonts w:ascii="Tahoma" w:hAnsi="Tahoma" w:cs="Tahoma"/>
          <w:i/>
          <w:iCs/>
          <w:sz w:val="22"/>
        </w:rPr>
        <w:t xml:space="preserve"> -1]*100</w:t>
      </w:r>
    </w:p>
    <w:p w14:paraId="0AF63CDA" w14:textId="77777777" w:rsidR="002F2AD2" w:rsidRPr="008A5179" w:rsidRDefault="002F2AD2" w:rsidP="008A5179">
      <w:pPr>
        <w:autoSpaceDE w:val="0"/>
        <w:autoSpaceDN w:val="0"/>
        <w:adjustRightInd w:val="0"/>
        <w:ind w:left="426" w:right="420"/>
        <w:jc w:val="center"/>
        <w:rPr>
          <w:rFonts w:ascii="Tahoma" w:hAnsi="Tahoma" w:cs="Tahoma"/>
          <w:i/>
          <w:iCs/>
          <w:sz w:val="22"/>
        </w:rPr>
      </w:pPr>
      <w:r w:rsidRPr="008A5179">
        <w:rPr>
          <w:rFonts w:ascii="Tahoma" w:hAnsi="Tahoma" w:cs="Tahoma"/>
          <w:i/>
          <w:iCs/>
          <w:sz w:val="22"/>
        </w:rPr>
        <w:t xml:space="preserve">  </w:t>
      </w:r>
    </w:p>
    <w:p w14:paraId="2389402D" w14:textId="77777777" w:rsidR="002F2AD2" w:rsidRPr="008A5179" w:rsidRDefault="002F2AD2" w:rsidP="008A5179">
      <w:pPr>
        <w:autoSpaceDE w:val="0"/>
        <w:autoSpaceDN w:val="0"/>
        <w:adjustRightInd w:val="0"/>
        <w:ind w:left="426" w:right="420"/>
        <w:jc w:val="center"/>
        <w:rPr>
          <w:rFonts w:ascii="Tahoma" w:hAnsi="Tahoma" w:cs="Tahoma"/>
          <w:i/>
          <w:iCs/>
          <w:sz w:val="22"/>
        </w:rPr>
      </w:pPr>
      <w:r w:rsidRPr="008A5179">
        <w:rPr>
          <w:rFonts w:ascii="Tahoma" w:hAnsi="Tahoma" w:cs="Tahoma"/>
          <w:i/>
          <w:iCs/>
          <w:sz w:val="22"/>
        </w:rPr>
        <w:t>Donde i = tasa efectiva anual</w:t>
      </w:r>
    </w:p>
    <w:p w14:paraId="636FD50A" w14:textId="77777777" w:rsidR="002F2AD2" w:rsidRPr="008A5179" w:rsidRDefault="002F2AD2" w:rsidP="008A5179">
      <w:pPr>
        <w:autoSpaceDE w:val="0"/>
        <w:autoSpaceDN w:val="0"/>
        <w:adjustRightInd w:val="0"/>
        <w:ind w:left="426" w:right="420"/>
        <w:jc w:val="center"/>
        <w:rPr>
          <w:rFonts w:ascii="Tahoma" w:hAnsi="Tahoma" w:cs="Tahoma"/>
          <w:i/>
          <w:iCs/>
          <w:sz w:val="22"/>
        </w:rPr>
      </w:pPr>
    </w:p>
    <w:p w14:paraId="544CC08A" w14:textId="77777777" w:rsidR="002F2AD2" w:rsidRPr="008A5179" w:rsidRDefault="002F2AD2" w:rsidP="008A5179">
      <w:pPr>
        <w:autoSpaceDE w:val="0"/>
        <w:autoSpaceDN w:val="0"/>
        <w:adjustRightInd w:val="0"/>
        <w:ind w:left="426" w:right="420"/>
        <w:rPr>
          <w:rFonts w:ascii="Tahoma" w:hAnsi="Tahoma" w:cs="Tahoma"/>
          <w:i/>
          <w:iCs/>
          <w:sz w:val="22"/>
        </w:rPr>
      </w:pPr>
      <w:r w:rsidRPr="008A5179">
        <w:rPr>
          <w:rFonts w:ascii="Tahoma" w:hAnsi="Tahoma" w:cs="Tahoma"/>
          <w:i/>
          <w:iCs/>
          <w:sz w:val="22"/>
        </w:rPr>
        <w:t>Para calcular la tasa efectiva diaria:</w:t>
      </w:r>
    </w:p>
    <w:p w14:paraId="1F835B28" w14:textId="77777777" w:rsidR="002F2AD2" w:rsidRPr="008A5179" w:rsidRDefault="002F2AD2" w:rsidP="008A5179">
      <w:pPr>
        <w:autoSpaceDE w:val="0"/>
        <w:autoSpaceDN w:val="0"/>
        <w:adjustRightInd w:val="0"/>
        <w:ind w:left="426" w:right="420"/>
        <w:rPr>
          <w:rFonts w:ascii="Tahoma" w:hAnsi="Tahoma" w:cs="Tahoma"/>
          <w:i/>
          <w:iCs/>
          <w:sz w:val="22"/>
        </w:rPr>
      </w:pPr>
    </w:p>
    <w:p w14:paraId="0D4CCC06" w14:textId="77777777" w:rsidR="002F2AD2" w:rsidRPr="008A5179" w:rsidRDefault="002F2AD2" w:rsidP="008A5179">
      <w:pPr>
        <w:autoSpaceDE w:val="0"/>
        <w:autoSpaceDN w:val="0"/>
        <w:adjustRightInd w:val="0"/>
        <w:ind w:left="426" w:right="420"/>
        <w:jc w:val="center"/>
        <w:rPr>
          <w:rFonts w:ascii="Tahoma" w:hAnsi="Tahoma" w:cs="Tahoma"/>
          <w:i/>
          <w:iCs/>
          <w:sz w:val="22"/>
        </w:rPr>
      </w:pPr>
      <w:r w:rsidRPr="008A5179">
        <w:rPr>
          <w:rFonts w:ascii="Tahoma" w:hAnsi="Tahoma" w:cs="Tahoma"/>
          <w:i/>
          <w:iCs/>
          <w:sz w:val="22"/>
        </w:rPr>
        <w:t>[(1+ i)</w:t>
      </w:r>
      <w:r w:rsidRPr="008A5179">
        <w:rPr>
          <w:rFonts w:ascii="Tahoma" w:hAnsi="Tahoma" w:cs="Tahoma"/>
          <w:i/>
          <w:iCs/>
          <w:position w:val="6"/>
          <w:sz w:val="22"/>
        </w:rPr>
        <w:t>1/365</w:t>
      </w:r>
      <w:r w:rsidRPr="008A5179">
        <w:rPr>
          <w:rFonts w:ascii="Tahoma" w:hAnsi="Tahoma" w:cs="Tahoma"/>
          <w:i/>
          <w:iCs/>
          <w:sz w:val="22"/>
        </w:rPr>
        <w:t xml:space="preserve"> -1]*100</w:t>
      </w:r>
    </w:p>
    <w:p w14:paraId="563BC863" w14:textId="77777777" w:rsidR="002F2AD2" w:rsidRPr="008A5179" w:rsidRDefault="002F2AD2" w:rsidP="008A5179">
      <w:pPr>
        <w:autoSpaceDE w:val="0"/>
        <w:autoSpaceDN w:val="0"/>
        <w:adjustRightInd w:val="0"/>
        <w:ind w:left="426" w:right="420"/>
        <w:jc w:val="center"/>
        <w:rPr>
          <w:rFonts w:ascii="Tahoma" w:hAnsi="Tahoma" w:cs="Tahoma"/>
          <w:i/>
          <w:iCs/>
          <w:sz w:val="22"/>
        </w:rPr>
      </w:pPr>
    </w:p>
    <w:p w14:paraId="4E835F5F" w14:textId="77777777" w:rsidR="002F2AD2" w:rsidRPr="008A5179" w:rsidRDefault="002F2AD2" w:rsidP="008A5179">
      <w:pPr>
        <w:autoSpaceDE w:val="0"/>
        <w:autoSpaceDN w:val="0"/>
        <w:adjustRightInd w:val="0"/>
        <w:ind w:left="426" w:right="420"/>
        <w:jc w:val="center"/>
        <w:rPr>
          <w:rFonts w:ascii="Tahoma" w:hAnsi="Tahoma" w:cs="Tahoma"/>
          <w:i/>
          <w:iCs/>
          <w:sz w:val="22"/>
        </w:rPr>
      </w:pPr>
      <w:r w:rsidRPr="008A5179">
        <w:rPr>
          <w:rFonts w:ascii="Tahoma" w:hAnsi="Tahoma" w:cs="Tahoma"/>
          <w:i/>
          <w:iCs/>
          <w:sz w:val="22"/>
        </w:rPr>
        <w:t>Donde i = tasa efectiva anual”</w:t>
      </w:r>
    </w:p>
    <w:p w14:paraId="20EE9E73" w14:textId="77777777" w:rsidR="002F2AD2" w:rsidRPr="008A5179" w:rsidRDefault="002F2AD2" w:rsidP="008A5179">
      <w:pPr>
        <w:ind w:left="426" w:right="420"/>
        <w:rPr>
          <w:rFonts w:ascii="Tahoma" w:hAnsi="Tahoma" w:cs="Tahoma"/>
          <w:i/>
          <w:iCs/>
          <w:sz w:val="22"/>
        </w:rPr>
      </w:pPr>
      <w:r w:rsidRPr="008A5179">
        <w:rPr>
          <w:rFonts w:ascii="Tahoma" w:hAnsi="Tahoma" w:cs="Tahoma"/>
          <w:i/>
          <w:iCs/>
          <w:sz w:val="22"/>
        </w:rPr>
        <w:t xml:space="preserve"> (…)”</w:t>
      </w:r>
    </w:p>
    <w:p w14:paraId="7D415A92" w14:textId="77777777" w:rsidR="002F2AD2" w:rsidRPr="008A5179" w:rsidRDefault="002F2AD2" w:rsidP="008A5179">
      <w:pPr>
        <w:spacing w:line="276" w:lineRule="auto"/>
        <w:rPr>
          <w:rFonts w:ascii="Tahoma" w:hAnsi="Tahoma" w:cs="Tahoma"/>
        </w:rPr>
      </w:pPr>
    </w:p>
    <w:p w14:paraId="4F3C871A" w14:textId="77777777" w:rsidR="002F2AD2" w:rsidRPr="008A5179" w:rsidRDefault="002F2AD2" w:rsidP="008A5179">
      <w:pPr>
        <w:widowControl w:val="0"/>
        <w:autoSpaceDE w:val="0"/>
        <w:autoSpaceDN w:val="0"/>
        <w:adjustRightInd w:val="0"/>
        <w:spacing w:line="276" w:lineRule="auto"/>
        <w:ind w:firstLine="708"/>
        <w:jc w:val="both"/>
        <w:rPr>
          <w:rStyle w:val="normaltextrun"/>
          <w:rFonts w:ascii="Tahoma" w:hAnsi="Tahoma" w:cs="Tahoma"/>
          <w:color w:val="000000"/>
        </w:rPr>
      </w:pPr>
      <w:r w:rsidRPr="008A5179">
        <w:rPr>
          <w:rStyle w:val="normaltextrun"/>
          <w:rFonts w:ascii="Tahoma" w:hAnsi="Tahoma" w:cs="Tahoma"/>
          <w:color w:val="000000"/>
        </w:rPr>
        <w:t xml:space="preserve">De otro lado, es de tener en cuenta que, al momento de liquidar los intereses moratorios, éstos deberán ser establecido sobre el valor neto a cancelar, esto es, luego </w:t>
      </w:r>
      <w:r w:rsidRPr="008A5179">
        <w:rPr>
          <w:rStyle w:val="normaltextrun"/>
          <w:rFonts w:ascii="Tahoma" w:hAnsi="Tahoma" w:cs="Tahoma"/>
          <w:color w:val="000000"/>
        </w:rPr>
        <w:lastRenderedPageBreak/>
        <w:t>de realizados los descuentos de Ley. En ese sentido, la Sala en decisión del 10-09-2020</w:t>
      </w:r>
      <w:r w:rsidRPr="008A5179">
        <w:rPr>
          <w:rStyle w:val="normaltextrun"/>
          <w:rFonts w:ascii="Tahoma" w:hAnsi="Tahoma" w:cs="Tahoma"/>
          <w:color w:val="000000"/>
          <w:vertAlign w:val="superscript"/>
        </w:rPr>
        <w:footnoteReference w:id="2"/>
      </w:r>
      <w:r w:rsidRPr="008A5179">
        <w:rPr>
          <w:rStyle w:val="normaltextrun"/>
          <w:rFonts w:ascii="Tahoma" w:hAnsi="Tahoma" w:cs="Tahoma"/>
          <w:color w:val="000000"/>
        </w:rPr>
        <w:t>, hizo la siguiente precisión:</w:t>
      </w:r>
    </w:p>
    <w:p w14:paraId="6017D838" w14:textId="77777777" w:rsidR="002F2AD2" w:rsidRPr="008A5179" w:rsidRDefault="002F2AD2" w:rsidP="008A5179">
      <w:pPr>
        <w:widowControl w:val="0"/>
        <w:autoSpaceDE w:val="0"/>
        <w:autoSpaceDN w:val="0"/>
        <w:adjustRightInd w:val="0"/>
        <w:spacing w:line="276" w:lineRule="auto"/>
        <w:ind w:firstLine="708"/>
        <w:jc w:val="both"/>
        <w:rPr>
          <w:rStyle w:val="normaltextrun"/>
          <w:rFonts w:ascii="Tahoma" w:hAnsi="Tahoma" w:cs="Tahoma"/>
          <w:color w:val="000000"/>
        </w:rPr>
      </w:pPr>
    </w:p>
    <w:p w14:paraId="0DCECC24" w14:textId="77777777" w:rsidR="002F2AD2" w:rsidRPr="008A5179" w:rsidRDefault="002F2AD2" w:rsidP="008A5179">
      <w:pPr>
        <w:ind w:left="426" w:right="420"/>
        <w:jc w:val="both"/>
        <w:rPr>
          <w:rFonts w:ascii="Tahoma" w:hAnsi="Tahoma" w:cs="Tahoma"/>
          <w:i/>
          <w:iCs/>
          <w:sz w:val="22"/>
        </w:rPr>
      </w:pPr>
      <w:r w:rsidRPr="008A5179">
        <w:rPr>
          <w:rFonts w:ascii="Tahoma" w:hAnsi="Tahoma" w:cs="Tahoma"/>
          <w:i/>
          <w:iCs/>
          <w:sz w:val="22"/>
        </w:rPr>
        <w:t>“En ese sentido, cumple recordar que por disposición legal las administradoras de pensiones están obligadas a deducir de las mesadas el porcentaje correspondiente con destino al sistema de salud. De suerte que, aunque la prestación se causa en su totalidad en cabeza de los pensionados, estos únicamente están llamados a percibir o si se quiere, a reclamar para sí, el valor neto después de aplicar dicho descuento.</w:t>
      </w:r>
    </w:p>
    <w:p w14:paraId="517A34DA" w14:textId="77777777" w:rsidR="002F2AD2" w:rsidRPr="008A5179" w:rsidRDefault="002F2AD2" w:rsidP="008A5179">
      <w:pPr>
        <w:ind w:left="426" w:right="420"/>
        <w:jc w:val="both"/>
        <w:rPr>
          <w:rFonts w:ascii="Tahoma" w:hAnsi="Tahoma" w:cs="Tahoma"/>
          <w:i/>
          <w:iCs/>
          <w:sz w:val="22"/>
        </w:rPr>
      </w:pPr>
    </w:p>
    <w:p w14:paraId="584A7CBD" w14:textId="77777777" w:rsidR="002F2AD2" w:rsidRPr="008A5179" w:rsidRDefault="002F2AD2" w:rsidP="008A5179">
      <w:pPr>
        <w:ind w:left="426" w:right="420"/>
        <w:jc w:val="both"/>
        <w:rPr>
          <w:rFonts w:ascii="Tahoma" w:hAnsi="Tahoma" w:cs="Tahoma"/>
          <w:i/>
          <w:iCs/>
          <w:sz w:val="22"/>
        </w:rPr>
      </w:pPr>
      <w:r w:rsidRPr="008A5179">
        <w:rPr>
          <w:rFonts w:ascii="Tahoma" w:hAnsi="Tahoma" w:cs="Tahoma"/>
          <w:i/>
          <w:iCs/>
          <w:sz w:val="22"/>
        </w:rPr>
        <w:t>Consecuentemente, acorde con la máxima de que lo accesorio sigue la suerte de lo principal, los pensionados (…), únicamente le es dable reclamar el pago de intereses moratorios sobre las sumas que efectivamente está llamado a recibir. Contrario sensu no está legitimado para exigir en su favor el pago de intereses de mora sobre el valor de las contribuciones del sistema de seguridad social”.</w:t>
      </w:r>
    </w:p>
    <w:p w14:paraId="5A765ED4" w14:textId="58AC7470" w:rsidR="009925CA" w:rsidRPr="008A5179" w:rsidRDefault="009925CA" w:rsidP="008A5179">
      <w:pPr>
        <w:pStyle w:val="Sinespaciado"/>
        <w:spacing w:line="276" w:lineRule="auto"/>
        <w:rPr>
          <w:rFonts w:ascii="Tahoma" w:hAnsi="Tahoma" w:cs="Tahoma"/>
        </w:rPr>
      </w:pPr>
    </w:p>
    <w:p w14:paraId="39C653B6" w14:textId="77777777" w:rsidR="009E7F20" w:rsidRPr="008A5179" w:rsidRDefault="006321BE" w:rsidP="008A5179">
      <w:pPr>
        <w:pStyle w:val="Textoindependiente"/>
        <w:widowControl w:val="0"/>
        <w:numPr>
          <w:ilvl w:val="1"/>
          <w:numId w:val="19"/>
        </w:numPr>
        <w:autoSpaceDE w:val="0"/>
        <w:autoSpaceDN w:val="0"/>
        <w:adjustRightInd w:val="0"/>
        <w:spacing w:after="0" w:line="276" w:lineRule="auto"/>
        <w:rPr>
          <w:rFonts w:ascii="Tahoma" w:hAnsi="Tahoma" w:cs="Tahoma"/>
          <w:b/>
          <w:bCs/>
          <w:spacing w:val="2"/>
        </w:rPr>
      </w:pPr>
      <w:r w:rsidRPr="008A5179">
        <w:rPr>
          <w:rFonts w:ascii="Tahoma" w:hAnsi="Tahoma" w:cs="Tahoma"/>
          <w:b/>
          <w:bCs/>
          <w:spacing w:val="2"/>
        </w:rPr>
        <w:t xml:space="preserve">Caso concreto </w:t>
      </w:r>
    </w:p>
    <w:p w14:paraId="08864EAD" w14:textId="1654A248" w:rsidR="009E7F20" w:rsidRPr="008A5179" w:rsidRDefault="009E7F20" w:rsidP="008A5179">
      <w:pPr>
        <w:pStyle w:val="Sinespaciado"/>
        <w:spacing w:line="276" w:lineRule="auto"/>
        <w:rPr>
          <w:rFonts w:ascii="Tahoma" w:hAnsi="Tahoma" w:cs="Tahoma"/>
        </w:rPr>
      </w:pPr>
    </w:p>
    <w:p w14:paraId="72BC4AD7" w14:textId="57B9F3BB" w:rsidR="00725536" w:rsidRPr="008A5179" w:rsidRDefault="00412939"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En el presente caso, </w:t>
      </w:r>
      <w:r w:rsidR="00725536" w:rsidRPr="008A5179">
        <w:rPr>
          <w:rFonts w:ascii="Tahoma" w:hAnsi="Tahoma" w:cs="Tahoma"/>
        </w:rPr>
        <w:t xml:space="preserve">de acuerdo con el esquema del recurso, la </w:t>
      </w:r>
      <w:r w:rsidR="004328DF" w:rsidRPr="008A5179">
        <w:rPr>
          <w:rFonts w:ascii="Tahoma" w:hAnsi="Tahoma" w:cs="Tahoma"/>
        </w:rPr>
        <w:t>ejecutada</w:t>
      </w:r>
      <w:r w:rsidR="00725536" w:rsidRPr="008A5179">
        <w:rPr>
          <w:rFonts w:ascii="Tahoma" w:hAnsi="Tahoma" w:cs="Tahoma"/>
        </w:rPr>
        <w:t xml:space="preserve"> alega que </w:t>
      </w:r>
      <w:r w:rsidR="004328DF" w:rsidRPr="008A5179">
        <w:rPr>
          <w:rFonts w:ascii="Tahoma" w:hAnsi="Tahoma" w:cs="Tahoma"/>
        </w:rPr>
        <w:t xml:space="preserve">con el pago efectuado a los demandantes por la suma de $93.131.776 se cubre la obligación por retroactivo pensional e intereses moratorios, mientras que, las costas procesales del trámite ordinario fueron consignados a órdenes del Despacho el 06 de septiembre de 2021. </w:t>
      </w:r>
    </w:p>
    <w:p w14:paraId="0102C5EA" w14:textId="77777777" w:rsidR="004328DF" w:rsidRPr="008A5179" w:rsidRDefault="004328DF" w:rsidP="008A5179">
      <w:pPr>
        <w:widowControl w:val="0"/>
        <w:autoSpaceDE w:val="0"/>
        <w:autoSpaceDN w:val="0"/>
        <w:adjustRightInd w:val="0"/>
        <w:spacing w:line="276" w:lineRule="auto"/>
        <w:ind w:firstLine="709"/>
        <w:jc w:val="both"/>
        <w:rPr>
          <w:rFonts w:ascii="Tahoma" w:hAnsi="Tahoma" w:cs="Tahoma"/>
        </w:rPr>
      </w:pPr>
    </w:p>
    <w:p w14:paraId="65B07663" w14:textId="2A092AA0" w:rsidR="004328DF" w:rsidRPr="008A5179" w:rsidRDefault="004328DF"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Pues bien, se encuentra por fuera de discusión que Protección S.A. pagó a los ejecutantes la suma de $93.131.776 el 03 de noviembre de 2021, puesto que de ello no solo da cuenta la constancia de impresión de Bancolombia generada el 26 de noviembre de 2021, visible en el archivo 15, página 05, del cuaderno de primera instanci</w:t>
      </w:r>
      <w:r w:rsidR="004F27AD" w:rsidRPr="008A5179">
        <w:rPr>
          <w:rFonts w:ascii="Tahoma" w:hAnsi="Tahoma" w:cs="Tahoma"/>
        </w:rPr>
        <w:t xml:space="preserve">a, sino </w:t>
      </w:r>
      <w:r w:rsidRPr="008A5179">
        <w:rPr>
          <w:rFonts w:ascii="Tahoma" w:hAnsi="Tahoma" w:cs="Tahoma"/>
        </w:rPr>
        <w:t xml:space="preserve">que </w:t>
      </w:r>
      <w:r w:rsidR="004F27AD" w:rsidRPr="008A5179">
        <w:rPr>
          <w:rFonts w:ascii="Tahoma" w:hAnsi="Tahoma" w:cs="Tahoma"/>
        </w:rPr>
        <w:t xml:space="preserve">así también fue aceptado por el apoderado judicial de la activa, dentro del término de traslado de la excepción. </w:t>
      </w:r>
    </w:p>
    <w:p w14:paraId="707A4DBD" w14:textId="77777777" w:rsidR="003B57DA" w:rsidRPr="008A5179" w:rsidRDefault="003B57DA" w:rsidP="008A5179">
      <w:pPr>
        <w:widowControl w:val="0"/>
        <w:autoSpaceDE w:val="0"/>
        <w:autoSpaceDN w:val="0"/>
        <w:adjustRightInd w:val="0"/>
        <w:spacing w:line="276" w:lineRule="auto"/>
        <w:ind w:firstLine="709"/>
        <w:jc w:val="both"/>
        <w:rPr>
          <w:rFonts w:ascii="Tahoma" w:hAnsi="Tahoma" w:cs="Tahoma"/>
        </w:rPr>
      </w:pPr>
    </w:p>
    <w:p w14:paraId="16EC9AEA" w14:textId="337D4D54" w:rsidR="00FE3BED" w:rsidRPr="008A5179" w:rsidRDefault="00977554"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En ese orden, con el fin de verificar si el pago efectuado por </w:t>
      </w:r>
      <w:r w:rsidR="004F27AD" w:rsidRPr="008A5179">
        <w:rPr>
          <w:rFonts w:ascii="Tahoma" w:hAnsi="Tahoma" w:cs="Tahoma"/>
        </w:rPr>
        <w:t xml:space="preserve">Protección S.A. </w:t>
      </w:r>
      <w:r w:rsidRPr="008A5179">
        <w:rPr>
          <w:rFonts w:ascii="Tahoma" w:hAnsi="Tahoma" w:cs="Tahoma"/>
        </w:rPr>
        <w:t xml:space="preserve"> respecto a las mesadas pensionales e intereses de mora se ajusta a lo ordenado en la sentencia proferida el </w:t>
      </w:r>
      <w:r w:rsidR="004F27AD" w:rsidRPr="008A5179">
        <w:rPr>
          <w:rFonts w:ascii="Tahoma" w:hAnsi="Tahoma" w:cs="Tahoma"/>
        </w:rPr>
        <w:t xml:space="preserve">13 de agosto de 2019 por el Juzgado Primero Laboral del Circuito de Pereira y confirmada por esta Corporación el 29 de mayo de 2020, así como </w:t>
      </w:r>
      <w:r w:rsidRPr="008A5179">
        <w:rPr>
          <w:rFonts w:ascii="Tahoma" w:hAnsi="Tahoma" w:cs="Tahoma"/>
        </w:rPr>
        <w:t>al mandamiento de pago, la Sala procedió a realizar la respectiva liquidación,</w:t>
      </w:r>
      <w:r w:rsidR="00FE3BED" w:rsidRPr="008A5179">
        <w:rPr>
          <w:rFonts w:ascii="Tahoma" w:hAnsi="Tahoma" w:cs="Tahoma"/>
        </w:rPr>
        <w:t xml:space="preserve"> teniendo en cuenta </w:t>
      </w:r>
      <w:r w:rsidR="00AE1D61" w:rsidRPr="008A5179">
        <w:rPr>
          <w:rFonts w:ascii="Tahoma" w:hAnsi="Tahoma" w:cs="Tahoma"/>
        </w:rPr>
        <w:t xml:space="preserve">lo siguiente: i) </w:t>
      </w:r>
      <w:r w:rsidR="00FE3BED" w:rsidRPr="008A5179">
        <w:rPr>
          <w:rFonts w:ascii="Tahoma" w:hAnsi="Tahoma" w:cs="Tahoma"/>
        </w:rPr>
        <w:t xml:space="preserve">que el valor de la mesada pensional equivale al </w:t>
      </w:r>
      <w:r w:rsidR="00AE1D61" w:rsidRPr="008A5179">
        <w:rPr>
          <w:rFonts w:ascii="Tahoma" w:hAnsi="Tahoma" w:cs="Tahoma"/>
        </w:rPr>
        <w:t xml:space="preserve">salario </w:t>
      </w:r>
      <w:r w:rsidR="00FE3BED" w:rsidRPr="008A5179">
        <w:rPr>
          <w:rFonts w:ascii="Tahoma" w:hAnsi="Tahoma" w:cs="Tahoma"/>
        </w:rPr>
        <w:t>mínimo por 1</w:t>
      </w:r>
      <w:r w:rsidR="004F27AD" w:rsidRPr="008A5179">
        <w:rPr>
          <w:rFonts w:ascii="Tahoma" w:hAnsi="Tahoma" w:cs="Tahoma"/>
        </w:rPr>
        <w:t>3</w:t>
      </w:r>
      <w:r w:rsidR="00FE3BED" w:rsidRPr="008A5179">
        <w:rPr>
          <w:rFonts w:ascii="Tahoma" w:hAnsi="Tahoma" w:cs="Tahoma"/>
        </w:rPr>
        <w:t xml:space="preserve"> mesadas anuales</w:t>
      </w:r>
      <w:r w:rsidR="00AE1D61" w:rsidRPr="008A5179">
        <w:rPr>
          <w:rFonts w:ascii="Tahoma" w:hAnsi="Tahoma" w:cs="Tahoma"/>
        </w:rPr>
        <w:t>; ii)</w:t>
      </w:r>
      <w:r w:rsidR="00FE3BED" w:rsidRPr="008A5179">
        <w:rPr>
          <w:rFonts w:ascii="Tahoma" w:hAnsi="Tahoma" w:cs="Tahoma"/>
        </w:rPr>
        <w:t xml:space="preserve"> </w:t>
      </w:r>
      <w:r w:rsidR="006D7EAB" w:rsidRPr="008A5179">
        <w:rPr>
          <w:rFonts w:ascii="Tahoma" w:hAnsi="Tahoma" w:cs="Tahoma"/>
        </w:rPr>
        <w:t xml:space="preserve">que el retroactivo pensional corre del del 27 de mayo de 2015 al 31 de octubre de 2021, por 13 mesadas anuales; iii) </w:t>
      </w:r>
      <w:r w:rsidR="00FE3BED" w:rsidRPr="008A5179">
        <w:rPr>
          <w:rFonts w:ascii="Tahoma" w:hAnsi="Tahoma" w:cs="Tahoma"/>
        </w:rPr>
        <w:t>que del retroactivo pensional deben descontarse los aportes en salud equivalentes al 12%</w:t>
      </w:r>
      <w:r w:rsidR="004F27AD" w:rsidRPr="008A5179">
        <w:rPr>
          <w:rFonts w:ascii="Tahoma" w:hAnsi="Tahoma" w:cs="Tahoma"/>
        </w:rPr>
        <w:t>, toda vez que así fue ordenado en la sentencia</w:t>
      </w:r>
      <w:r w:rsidR="00FE3BED" w:rsidRPr="008A5179">
        <w:rPr>
          <w:rFonts w:ascii="Tahoma" w:hAnsi="Tahoma" w:cs="Tahoma"/>
        </w:rPr>
        <w:t>, resultando el valor neto de la mesada sobre las que se aplicaran los intereses moratorios con la tasa vigente al momento del pago -</w:t>
      </w:r>
      <w:r w:rsidR="004F27AD" w:rsidRPr="008A5179">
        <w:rPr>
          <w:rFonts w:ascii="Tahoma" w:hAnsi="Tahoma" w:cs="Tahoma"/>
        </w:rPr>
        <w:t>03 de noviembre de 2021</w:t>
      </w:r>
      <w:r w:rsidR="00FE3BED" w:rsidRPr="008A5179">
        <w:rPr>
          <w:rFonts w:ascii="Tahoma" w:hAnsi="Tahoma" w:cs="Tahoma"/>
        </w:rPr>
        <w:t>-</w:t>
      </w:r>
      <w:r w:rsidR="004F27AD" w:rsidRPr="008A5179">
        <w:rPr>
          <w:rFonts w:ascii="Tahoma" w:hAnsi="Tahoma" w:cs="Tahoma"/>
        </w:rPr>
        <w:t>.</w:t>
      </w:r>
    </w:p>
    <w:p w14:paraId="5B824576" w14:textId="77777777" w:rsidR="00FE3BED" w:rsidRPr="008A5179" w:rsidRDefault="00FE3BED" w:rsidP="008A5179">
      <w:pPr>
        <w:widowControl w:val="0"/>
        <w:autoSpaceDE w:val="0"/>
        <w:autoSpaceDN w:val="0"/>
        <w:adjustRightInd w:val="0"/>
        <w:spacing w:line="276" w:lineRule="auto"/>
        <w:ind w:firstLine="709"/>
        <w:jc w:val="both"/>
        <w:rPr>
          <w:rFonts w:ascii="Tahoma" w:hAnsi="Tahoma" w:cs="Tahoma"/>
        </w:rPr>
      </w:pPr>
    </w:p>
    <w:p w14:paraId="270A1708" w14:textId="62467195" w:rsidR="00E15734" w:rsidRPr="008A5179" w:rsidRDefault="00FE3BED"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Así, efectuadas las operaciones aritméticas pertinente</w:t>
      </w:r>
      <w:r w:rsidR="002F275F" w:rsidRPr="008A5179">
        <w:rPr>
          <w:rFonts w:ascii="Tahoma" w:hAnsi="Tahoma" w:cs="Tahoma"/>
        </w:rPr>
        <w:t>s</w:t>
      </w:r>
      <w:r w:rsidRPr="008A5179">
        <w:rPr>
          <w:rFonts w:ascii="Tahoma" w:hAnsi="Tahoma" w:cs="Tahoma"/>
        </w:rPr>
        <w:t xml:space="preserve">, </w:t>
      </w:r>
      <w:r w:rsidR="00977554" w:rsidRPr="008A5179">
        <w:rPr>
          <w:rFonts w:ascii="Tahoma" w:hAnsi="Tahoma" w:cs="Tahoma"/>
        </w:rPr>
        <w:t>de acuerdo a la siguiente tabla descriptiva</w:t>
      </w:r>
      <w:r w:rsidRPr="008A5179">
        <w:rPr>
          <w:rFonts w:ascii="Tahoma" w:hAnsi="Tahoma" w:cs="Tahoma"/>
        </w:rPr>
        <w:t xml:space="preserve">, se encuentra que </w:t>
      </w:r>
      <w:r w:rsidR="006D7EAB" w:rsidRPr="008A5179">
        <w:rPr>
          <w:rFonts w:ascii="Tahoma" w:hAnsi="Tahoma" w:cs="Tahoma"/>
        </w:rPr>
        <w:t>PROTECCIÓN S.</w:t>
      </w:r>
      <w:r w:rsidR="008F2C18" w:rsidRPr="008A5179">
        <w:rPr>
          <w:rFonts w:ascii="Tahoma" w:hAnsi="Tahoma" w:cs="Tahoma"/>
        </w:rPr>
        <w:t xml:space="preserve">A. adeuda a los demandantes la suma de $6.101.026,72, mismos que corresponden a los intereses moratorios causados hasta la fecha del pago efectivo y, por los cuales debe seguir la ejecución, tal como lo </w:t>
      </w:r>
      <w:r w:rsidR="008F2C18" w:rsidRPr="008A5179">
        <w:rPr>
          <w:rFonts w:ascii="Tahoma" w:hAnsi="Tahoma" w:cs="Tahoma"/>
        </w:rPr>
        <w:lastRenderedPageBreak/>
        <w:t xml:space="preserve">indicó la a-quo. </w:t>
      </w:r>
    </w:p>
    <w:p w14:paraId="438057D1" w14:textId="77777777" w:rsidR="008F2C18" w:rsidRPr="008A5179" w:rsidRDefault="008F2C18" w:rsidP="008A5179">
      <w:pPr>
        <w:widowControl w:val="0"/>
        <w:autoSpaceDE w:val="0"/>
        <w:autoSpaceDN w:val="0"/>
        <w:adjustRightInd w:val="0"/>
        <w:spacing w:line="276" w:lineRule="auto"/>
        <w:ind w:firstLine="709"/>
        <w:jc w:val="both"/>
        <w:rPr>
          <w:rFonts w:ascii="Tahoma" w:hAnsi="Tahoma" w:cs="Tahoma"/>
        </w:rPr>
      </w:pPr>
    </w:p>
    <w:tbl>
      <w:tblPr>
        <w:tblW w:w="9940" w:type="dxa"/>
        <w:jc w:val="center"/>
        <w:tblCellMar>
          <w:left w:w="70" w:type="dxa"/>
          <w:right w:w="70" w:type="dxa"/>
        </w:tblCellMar>
        <w:tblLook w:val="04A0" w:firstRow="1" w:lastRow="0" w:firstColumn="1" w:lastColumn="0" w:noHBand="0" w:noVBand="1"/>
      </w:tblPr>
      <w:tblGrid>
        <w:gridCol w:w="1220"/>
        <w:gridCol w:w="1060"/>
        <w:gridCol w:w="1360"/>
        <w:gridCol w:w="1720"/>
        <w:gridCol w:w="1455"/>
        <w:gridCol w:w="1570"/>
        <w:gridCol w:w="1720"/>
      </w:tblGrid>
      <w:tr w:rsidR="008F2C18" w:rsidRPr="008A5179" w14:paraId="490479BD" w14:textId="77777777" w:rsidTr="00E351A3">
        <w:trPr>
          <w:trHeight w:val="611"/>
          <w:jc w:val="center"/>
        </w:trPr>
        <w:tc>
          <w:tcPr>
            <w:tcW w:w="1220" w:type="dxa"/>
            <w:tcBorders>
              <w:top w:val="single" w:sz="8" w:space="0" w:color="auto"/>
              <w:left w:val="single" w:sz="8" w:space="0" w:color="auto"/>
              <w:bottom w:val="nil"/>
              <w:right w:val="nil"/>
            </w:tcBorders>
            <w:shd w:val="clear" w:color="FFC000" w:fill="FFC000"/>
            <w:vAlign w:val="center"/>
            <w:hideMark/>
          </w:tcPr>
          <w:p w14:paraId="340D0C78"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AÑO</w:t>
            </w:r>
          </w:p>
        </w:tc>
        <w:tc>
          <w:tcPr>
            <w:tcW w:w="1060" w:type="dxa"/>
            <w:tcBorders>
              <w:top w:val="single" w:sz="8" w:space="0" w:color="auto"/>
              <w:left w:val="nil"/>
              <w:bottom w:val="nil"/>
              <w:right w:val="nil"/>
            </w:tcBorders>
            <w:shd w:val="clear" w:color="FFC000" w:fill="FFC000"/>
            <w:vAlign w:val="center"/>
            <w:hideMark/>
          </w:tcPr>
          <w:p w14:paraId="73A420CC"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N° MESADAS</w:t>
            </w:r>
          </w:p>
        </w:tc>
        <w:tc>
          <w:tcPr>
            <w:tcW w:w="1360" w:type="dxa"/>
            <w:tcBorders>
              <w:top w:val="single" w:sz="8" w:space="0" w:color="auto"/>
              <w:left w:val="nil"/>
              <w:bottom w:val="nil"/>
              <w:right w:val="nil"/>
            </w:tcBorders>
            <w:shd w:val="clear" w:color="FFC000" w:fill="FFC000"/>
            <w:vAlign w:val="center"/>
            <w:hideMark/>
          </w:tcPr>
          <w:p w14:paraId="7A8B1DB4"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MESADA</w:t>
            </w:r>
          </w:p>
        </w:tc>
        <w:tc>
          <w:tcPr>
            <w:tcW w:w="1720" w:type="dxa"/>
            <w:tcBorders>
              <w:top w:val="single" w:sz="8" w:space="0" w:color="auto"/>
              <w:left w:val="nil"/>
              <w:bottom w:val="nil"/>
              <w:right w:val="nil"/>
            </w:tcBorders>
            <w:shd w:val="clear" w:color="FFC000" w:fill="FFC000"/>
            <w:vAlign w:val="center"/>
            <w:hideMark/>
          </w:tcPr>
          <w:p w14:paraId="45FF7C4D"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VLR TOTAL MESADAS</w:t>
            </w:r>
          </w:p>
        </w:tc>
        <w:tc>
          <w:tcPr>
            <w:tcW w:w="1320" w:type="dxa"/>
            <w:tcBorders>
              <w:top w:val="single" w:sz="8" w:space="0" w:color="auto"/>
              <w:left w:val="nil"/>
              <w:bottom w:val="nil"/>
              <w:right w:val="nil"/>
            </w:tcBorders>
            <w:shd w:val="clear" w:color="FFC000" w:fill="FFC000"/>
            <w:vAlign w:val="center"/>
            <w:hideMark/>
          </w:tcPr>
          <w:p w14:paraId="75505DD3"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DESCUENTO SALUD</w:t>
            </w:r>
          </w:p>
        </w:tc>
        <w:tc>
          <w:tcPr>
            <w:tcW w:w="1540" w:type="dxa"/>
            <w:tcBorders>
              <w:top w:val="single" w:sz="8" w:space="0" w:color="auto"/>
              <w:left w:val="nil"/>
              <w:bottom w:val="nil"/>
              <w:right w:val="nil"/>
            </w:tcBorders>
            <w:shd w:val="clear" w:color="FFC000" w:fill="FFC000"/>
            <w:vAlign w:val="center"/>
            <w:hideMark/>
          </w:tcPr>
          <w:p w14:paraId="272C6F46" w14:textId="77777777" w:rsidR="008F2C18" w:rsidRPr="00E351A3" w:rsidRDefault="008F2C18" w:rsidP="00E351A3">
            <w:pPr>
              <w:jc w:val="center"/>
              <w:rPr>
                <w:rFonts w:ascii="Tahoma" w:hAnsi="Tahoma" w:cs="Tahoma"/>
                <w:b/>
                <w:bCs/>
                <w:sz w:val="18"/>
              </w:rPr>
            </w:pPr>
            <w:r w:rsidRPr="00E351A3">
              <w:rPr>
                <w:rFonts w:ascii="Tahoma" w:hAnsi="Tahoma" w:cs="Tahoma"/>
                <w:b/>
                <w:bCs/>
                <w:sz w:val="18"/>
              </w:rPr>
              <w:t>MESADA NETA</w:t>
            </w:r>
          </w:p>
        </w:tc>
        <w:tc>
          <w:tcPr>
            <w:tcW w:w="1720" w:type="dxa"/>
            <w:tcBorders>
              <w:top w:val="single" w:sz="8" w:space="0" w:color="auto"/>
              <w:left w:val="nil"/>
              <w:bottom w:val="nil"/>
              <w:right w:val="single" w:sz="8" w:space="0" w:color="auto"/>
            </w:tcBorders>
            <w:shd w:val="clear" w:color="FFC000" w:fill="FFC000"/>
            <w:vAlign w:val="center"/>
            <w:hideMark/>
          </w:tcPr>
          <w:p w14:paraId="6EB5A193" w14:textId="60BDF3B5" w:rsidR="008F2C18" w:rsidRPr="00E351A3" w:rsidRDefault="00E351A3" w:rsidP="00E351A3">
            <w:pPr>
              <w:jc w:val="center"/>
              <w:rPr>
                <w:rFonts w:ascii="Tahoma" w:hAnsi="Tahoma" w:cs="Tahoma"/>
                <w:b/>
                <w:bCs/>
                <w:sz w:val="18"/>
              </w:rPr>
            </w:pPr>
            <w:r w:rsidRPr="00E351A3">
              <w:rPr>
                <w:rFonts w:ascii="Tahoma" w:hAnsi="Tahoma" w:cs="Tahoma"/>
                <w:b/>
                <w:bCs/>
                <w:sz w:val="18"/>
              </w:rPr>
              <w:t>INTER</w:t>
            </w:r>
            <w:r>
              <w:rPr>
                <w:rFonts w:ascii="Tahoma" w:hAnsi="Tahoma" w:cs="Tahoma"/>
                <w:b/>
                <w:bCs/>
                <w:sz w:val="18"/>
              </w:rPr>
              <w:t>ESE</w:t>
            </w:r>
            <w:r w:rsidRPr="00E351A3">
              <w:rPr>
                <w:rFonts w:ascii="Tahoma" w:hAnsi="Tahoma" w:cs="Tahoma"/>
                <w:b/>
                <w:bCs/>
                <w:sz w:val="18"/>
              </w:rPr>
              <w:t>S</w:t>
            </w:r>
            <w:r w:rsidR="008F2C18" w:rsidRPr="00E351A3">
              <w:rPr>
                <w:rFonts w:ascii="Tahoma" w:hAnsi="Tahoma" w:cs="Tahoma"/>
                <w:b/>
                <w:bCs/>
                <w:sz w:val="18"/>
              </w:rPr>
              <w:t xml:space="preserve"> DE MORA</w:t>
            </w:r>
          </w:p>
        </w:tc>
      </w:tr>
      <w:tr w:rsidR="008F2C18" w:rsidRPr="008A5179" w14:paraId="4AC51217"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DBDBDB" w:fill="DBDBDB"/>
            <w:noWrap/>
            <w:vAlign w:val="bottom"/>
            <w:hideMark/>
          </w:tcPr>
          <w:p w14:paraId="4BBF32E2"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2015</w:t>
            </w:r>
          </w:p>
        </w:tc>
        <w:tc>
          <w:tcPr>
            <w:tcW w:w="10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10FDF2C"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8,13</w:t>
            </w:r>
          </w:p>
        </w:tc>
        <w:tc>
          <w:tcPr>
            <w:tcW w:w="13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8F15102"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$ 644.350,00</w:t>
            </w:r>
          </w:p>
        </w:tc>
        <w:tc>
          <w:tcPr>
            <w:tcW w:w="17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CBD9225"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$ 5.240.713,00</w:t>
            </w:r>
          </w:p>
        </w:tc>
        <w:tc>
          <w:tcPr>
            <w:tcW w:w="13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F9C6145"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$ 628.885,56</w:t>
            </w:r>
          </w:p>
        </w:tc>
        <w:tc>
          <w:tcPr>
            <w:tcW w:w="154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D4C6703"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$ 4.611.827,44</w:t>
            </w:r>
          </w:p>
        </w:tc>
        <w:tc>
          <w:tcPr>
            <w:tcW w:w="1720" w:type="dxa"/>
            <w:tcBorders>
              <w:top w:val="single" w:sz="4" w:space="0" w:color="auto"/>
              <w:left w:val="single" w:sz="4" w:space="0" w:color="auto"/>
              <w:bottom w:val="single" w:sz="4" w:space="0" w:color="auto"/>
              <w:right w:val="single" w:sz="8" w:space="0" w:color="auto"/>
            </w:tcBorders>
            <w:shd w:val="clear" w:color="DBDBDB" w:fill="DBDBDB"/>
            <w:noWrap/>
            <w:vAlign w:val="bottom"/>
            <w:hideMark/>
          </w:tcPr>
          <w:p w14:paraId="3718BADA"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$ 6.419.799,00</w:t>
            </w:r>
          </w:p>
        </w:tc>
      </w:tr>
      <w:tr w:rsidR="008F2C18" w:rsidRPr="008A5179" w14:paraId="7A6A1CF2"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EDEDED" w:fill="EDEDED"/>
            <w:noWrap/>
            <w:vAlign w:val="bottom"/>
            <w:hideMark/>
          </w:tcPr>
          <w:p w14:paraId="0553CE7B"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2016</w:t>
            </w:r>
          </w:p>
        </w:tc>
        <w:tc>
          <w:tcPr>
            <w:tcW w:w="10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24FB27"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13</w:t>
            </w:r>
          </w:p>
        </w:tc>
        <w:tc>
          <w:tcPr>
            <w:tcW w:w="13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4C40964"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$ 689.455,00</w:t>
            </w:r>
          </w:p>
        </w:tc>
        <w:tc>
          <w:tcPr>
            <w:tcW w:w="17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A935D7"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$ 8.962.915,00</w:t>
            </w:r>
          </w:p>
        </w:tc>
        <w:tc>
          <w:tcPr>
            <w:tcW w:w="13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836441"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$ 1.075.549,80</w:t>
            </w:r>
          </w:p>
        </w:tc>
        <w:tc>
          <w:tcPr>
            <w:tcW w:w="154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A9E1DC"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$ 7.887.365,20</w:t>
            </w:r>
          </w:p>
        </w:tc>
        <w:tc>
          <w:tcPr>
            <w:tcW w:w="1720" w:type="dxa"/>
            <w:tcBorders>
              <w:top w:val="single" w:sz="4" w:space="0" w:color="auto"/>
              <w:left w:val="single" w:sz="4" w:space="0" w:color="auto"/>
              <w:bottom w:val="single" w:sz="4" w:space="0" w:color="auto"/>
              <w:right w:val="single" w:sz="8" w:space="0" w:color="auto"/>
            </w:tcBorders>
            <w:shd w:val="clear" w:color="EDEDED" w:fill="EDEDED"/>
            <w:noWrap/>
            <w:vAlign w:val="bottom"/>
            <w:hideMark/>
          </w:tcPr>
          <w:p w14:paraId="704AA35D"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$ 9.804.723,00</w:t>
            </w:r>
          </w:p>
        </w:tc>
      </w:tr>
      <w:tr w:rsidR="008F2C18" w:rsidRPr="008A5179" w14:paraId="322BE5B5"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DBDBDB" w:fill="DBDBDB"/>
            <w:noWrap/>
            <w:vAlign w:val="bottom"/>
            <w:hideMark/>
          </w:tcPr>
          <w:p w14:paraId="53E55AFC"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2017</w:t>
            </w:r>
          </w:p>
        </w:tc>
        <w:tc>
          <w:tcPr>
            <w:tcW w:w="10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0E0651E"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13</w:t>
            </w:r>
          </w:p>
        </w:tc>
        <w:tc>
          <w:tcPr>
            <w:tcW w:w="13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B93F521"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$ 737.717,00</w:t>
            </w:r>
          </w:p>
        </w:tc>
        <w:tc>
          <w:tcPr>
            <w:tcW w:w="17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62FECE5"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$ 9.590.321,00</w:t>
            </w:r>
          </w:p>
        </w:tc>
        <w:tc>
          <w:tcPr>
            <w:tcW w:w="13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79FFB57"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$ 1.150.838,52</w:t>
            </w:r>
          </w:p>
        </w:tc>
        <w:tc>
          <w:tcPr>
            <w:tcW w:w="154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F79EC88"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$ 8.439.482,48</w:t>
            </w:r>
          </w:p>
        </w:tc>
        <w:tc>
          <w:tcPr>
            <w:tcW w:w="1720" w:type="dxa"/>
            <w:tcBorders>
              <w:top w:val="single" w:sz="4" w:space="0" w:color="auto"/>
              <w:left w:val="single" w:sz="4" w:space="0" w:color="auto"/>
              <w:bottom w:val="single" w:sz="4" w:space="0" w:color="auto"/>
              <w:right w:val="single" w:sz="8" w:space="0" w:color="auto"/>
            </w:tcBorders>
            <w:shd w:val="clear" w:color="DBDBDB" w:fill="DBDBDB"/>
            <w:noWrap/>
            <w:vAlign w:val="bottom"/>
            <w:hideMark/>
          </w:tcPr>
          <w:p w14:paraId="2373F287"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$ 8.526.344,00</w:t>
            </w:r>
          </w:p>
        </w:tc>
      </w:tr>
      <w:tr w:rsidR="008F2C18" w:rsidRPr="008A5179" w14:paraId="1B69247D"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EDEDED" w:fill="EDEDED"/>
            <w:noWrap/>
            <w:vAlign w:val="bottom"/>
            <w:hideMark/>
          </w:tcPr>
          <w:p w14:paraId="5918213A"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2018</w:t>
            </w:r>
          </w:p>
        </w:tc>
        <w:tc>
          <w:tcPr>
            <w:tcW w:w="10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BF8B0F"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13</w:t>
            </w:r>
          </w:p>
        </w:tc>
        <w:tc>
          <w:tcPr>
            <w:tcW w:w="13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4681E3"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$ 781.242,00</w:t>
            </w:r>
          </w:p>
        </w:tc>
        <w:tc>
          <w:tcPr>
            <w:tcW w:w="17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3F1A73A"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$ 10.156.146,00</w:t>
            </w:r>
          </w:p>
        </w:tc>
        <w:tc>
          <w:tcPr>
            <w:tcW w:w="13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8A913AB"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$ 1.218.737,52</w:t>
            </w:r>
          </w:p>
        </w:tc>
        <w:tc>
          <w:tcPr>
            <w:tcW w:w="154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64586B"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$ 8.937.408,48</w:t>
            </w:r>
          </w:p>
        </w:tc>
        <w:tc>
          <w:tcPr>
            <w:tcW w:w="1720" w:type="dxa"/>
            <w:tcBorders>
              <w:top w:val="single" w:sz="4" w:space="0" w:color="auto"/>
              <w:left w:val="single" w:sz="4" w:space="0" w:color="auto"/>
              <w:bottom w:val="single" w:sz="4" w:space="0" w:color="auto"/>
              <w:right w:val="single" w:sz="8" w:space="0" w:color="auto"/>
            </w:tcBorders>
            <w:shd w:val="clear" w:color="EDEDED" w:fill="EDEDED"/>
            <w:noWrap/>
            <w:vAlign w:val="bottom"/>
            <w:hideMark/>
          </w:tcPr>
          <w:p w14:paraId="29A0DDC9"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$ 6.948.767,00</w:t>
            </w:r>
          </w:p>
        </w:tc>
      </w:tr>
      <w:tr w:rsidR="008F2C18" w:rsidRPr="008A5179" w14:paraId="1297C2F8"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DBDBDB" w:fill="DBDBDB"/>
            <w:noWrap/>
            <w:vAlign w:val="bottom"/>
            <w:hideMark/>
          </w:tcPr>
          <w:p w14:paraId="2BA9994B"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2019</w:t>
            </w:r>
          </w:p>
        </w:tc>
        <w:tc>
          <w:tcPr>
            <w:tcW w:w="10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46A8978"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13</w:t>
            </w:r>
          </w:p>
        </w:tc>
        <w:tc>
          <w:tcPr>
            <w:tcW w:w="136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628956A"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$ 828.116,00</w:t>
            </w:r>
          </w:p>
        </w:tc>
        <w:tc>
          <w:tcPr>
            <w:tcW w:w="17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DF8CEA8"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$ 10.765.508,00</w:t>
            </w:r>
          </w:p>
        </w:tc>
        <w:tc>
          <w:tcPr>
            <w:tcW w:w="132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D1D0A5A"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$ 1.291.860,96</w:t>
            </w:r>
          </w:p>
        </w:tc>
        <w:tc>
          <w:tcPr>
            <w:tcW w:w="154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E22FA55"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$ 9.473.647,04</w:t>
            </w:r>
          </w:p>
        </w:tc>
        <w:tc>
          <w:tcPr>
            <w:tcW w:w="1720" w:type="dxa"/>
            <w:tcBorders>
              <w:top w:val="single" w:sz="4" w:space="0" w:color="auto"/>
              <w:left w:val="single" w:sz="4" w:space="0" w:color="auto"/>
              <w:bottom w:val="single" w:sz="4" w:space="0" w:color="auto"/>
              <w:right w:val="single" w:sz="8" w:space="0" w:color="auto"/>
            </w:tcBorders>
            <w:shd w:val="clear" w:color="DBDBDB" w:fill="DBDBDB"/>
            <w:noWrap/>
            <w:vAlign w:val="bottom"/>
            <w:hideMark/>
          </w:tcPr>
          <w:p w14:paraId="4EEA6E56"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$ 5.160.223,00</w:t>
            </w:r>
          </w:p>
        </w:tc>
      </w:tr>
      <w:tr w:rsidR="008F2C18" w:rsidRPr="008A5179" w14:paraId="18CA49B8" w14:textId="77777777" w:rsidTr="008F2C18">
        <w:trPr>
          <w:trHeight w:val="330"/>
          <w:jc w:val="center"/>
        </w:trPr>
        <w:tc>
          <w:tcPr>
            <w:tcW w:w="1220" w:type="dxa"/>
            <w:tcBorders>
              <w:top w:val="single" w:sz="4" w:space="0" w:color="auto"/>
              <w:left w:val="single" w:sz="8" w:space="0" w:color="auto"/>
              <w:bottom w:val="single" w:sz="4" w:space="0" w:color="auto"/>
              <w:right w:val="single" w:sz="4" w:space="0" w:color="auto"/>
            </w:tcBorders>
            <w:shd w:val="clear" w:color="EDEDED" w:fill="EDEDED"/>
            <w:noWrap/>
            <w:vAlign w:val="bottom"/>
            <w:hideMark/>
          </w:tcPr>
          <w:p w14:paraId="631F62E2"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2020</w:t>
            </w:r>
          </w:p>
        </w:tc>
        <w:tc>
          <w:tcPr>
            <w:tcW w:w="10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6215A2F"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13</w:t>
            </w:r>
          </w:p>
        </w:tc>
        <w:tc>
          <w:tcPr>
            <w:tcW w:w="13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8D8E00"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$ 877.803,00</w:t>
            </w:r>
          </w:p>
        </w:tc>
        <w:tc>
          <w:tcPr>
            <w:tcW w:w="17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98D5012"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$ 11.411.439,00</w:t>
            </w:r>
          </w:p>
        </w:tc>
        <w:tc>
          <w:tcPr>
            <w:tcW w:w="13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D45939C"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$ 912.915,12</w:t>
            </w:r>
          </w:p>
        </w:tc>
        <w:tc>
          <w:tcPr>
            <w:tcW w:w="154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13CB60A"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$ 10.498.523,88</w:t>
            </w:r>
          </w:p>
        </w:tc>
        <w:tc>
          <w:tcPr>
            <w:tcW w:w="1720" w:type="dxa"/>
            <w:tcBorders>
              <w:top w:val="single" w:sz="4" w:space="0" w:color="auto"/>
              <w:left w:val="single" w:sz="4" w:space="0" w:color="auto"/>
              <w:bottom w:val="single" w:sz="4" w:space="0" w:color="auto"/>
              <w:right w:val="single" w:sz="8" w:space="0" w:color="auto"/>
            </w:tcBorders>
            <w:shd w:val="clear" w:color="EDEDED" w:fill="EDEDED"/>
            <w:noWrap/>
            <w:vAlign w:val="bottom"/>
            <w:hideMark/>
          </w:tcPr>
          <w:p w14:paraId="41208CE7"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$ 3.274.408,00</w:t>
            </w:r>
          </w:p>
        </w:tc>
      </w:tr>
      <w:tr w:rsidR="008F2C18" w:rsidRPr="008A5179" w14:paraId="17C6D887" w14:textId="77777777" w:rsidTr="008F2C18">
        <w:trPr>
          <w:trHeight w:val="345"/>
          <w:jc w:val="center"/>
        </w:trPr>
        <w:tc>
          <w:tcPr>
            <w:tcW w:w="1220" w:type="dxa"/>
            <w:tcBorders>
              <w:top w:val="single" w:sz="4" w:space="0" w:color="auto"/>
              <w:left w:val="single" w:sz="8" w:space="0" w:color="auto"/>
              <w:bottom w:val="double" w:sz="6" w:space="0" w:color="auto"/>
              <w:right w:val="single" w:sz="4" w:space="0" w:color="auto"/>
            </w:tcBorders>
            <w:shd w:val="clear" w:color="DBDBDB" w:fill="DBDBDB"/>
            <w:noWrap/>
            <w:vAlign w:val="bottom"/>
            <w:hideMark/>
          </w:tcPr>
          <w:p w14:paraId="237ADC7B"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2021</w:t>
            </w:r>
          </w:p>
        </w:tc>
        <w:tc>
          <w:tcPr>
            <w:tcW w:w="1060" w:type="dxa"/>
            <w:tcBorders>
              <w:top w:val="single" w:sz="4" w:space="0" w:color="auto"/>
              <w:left w:val="single" w:sz="4" w:space="0" w:color="auto"/>
              <w:bottom w:val="double" w:sz="6" w:space="0" w:color="auto"/>
              <w:right w:val="single" w:sz="4" w:space="0" w:color="auto"/>
            </w:tcBorders>
            <w:shd w:val="clear" w:color="DBDBDB" w:fill="DBDBDB"/>
            <w:noWrap/>
            <w:vAlign w:val="bottom"/>
            <w:hideMark/>
          </w:tcPr>
          <w:p w14:paraId="3B691CD9" w14:textId="77777777" w:rsidR="008F2C18" w:rsidRPr="00E351A3" w:rsidRDefault="008F2C18" w:rsidP="00E351A3">
            <w:pPr>
              <w:jc w:val="center"/>
              <w:rPr>
                <w:rFonts w:ascii="Tahoma" w:hAnsi="Tahoma" w:cs="Tahoma"/>
                <w:color w:val="000000"/>
                <w:sz w:val="18"/>
              </w:rPr>
            </w:pPr>
            <w:r w:rsidRPr="00E351A3">
              <w:rPr>
                <w:rFonts w:ascii="Tahoma" w:hAnsi="Tahoma" w:cs="Tahoma"/>
                <w:color w:val="000000"/>
                <w:sz w:val="18"/>
              </w:rPr>
              <w:t>10</w:t>
            </w:r>
          </w:p>
        </w:tc>
        <w:tc>
          <w:tcPr>
            <w:tcW w:w="1360" w:type="dxa"/>
            <w:tcBorders>
              <w:top w:val="single" w:sz="4" w:space="0" w:color="auto"/>
              <w:left w:val="single" w:sz="4" w:space="0" w:color="auto"/>
              <w:bottom w:val="double" w:sz="6" w:space="0" w:color="auto"/>
              <w:right w:val="single" w:sz="4" w:space="0" w:color="auto"/>
            </w:tcBorders>
            <w:shd w:val="clear" w:color="DBDBDB" w:fill="DBDBDB"/>
            <w:noWrap/>
            <w:vAlign w:val="bottom"/>
            <w:hideMark/>
          </w:tcPr>
          <w:p w14:paraId="4A847338"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$ 908.526,00</w:t>
            </w:r>
          </w:p>
        </w:tc>
        <w:tc>
          <w:tcPr>
            <w:tcW w:w="1720" w:type="dxa"/>
            <w:tcBorders>
              <w:top w:val="single" w:sz="4" w:space="0" w:color="auto"/>
              <w:left w:val="single" w:sz="4" w:space="0" w:color="auto"/>
              <w:bottom w:val="double" w:sz="6" w:space="0" w:color="auto"/>
              <w:right w:val="single" w:sz="4" w:space="0" w:color="auto"/>
            </w:tcBorders>
            <w:shd w:val="clear" w:color="DBDBDB" w:fill="DBDBDB"/>
            <w:noWrap/>
            <w:vAlign w:val="bottom"/>
            <w:hideMark/>
          </w:tcPr>
          <w:p w14:paraId="564502A2"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$ 9.085.260,00</w:t>
            </w:r>
          </w:p>
        </w:tc>
        <w:tc>
          <w:tcPr>
            <w:tcW w:w="1320" w:type="dxa"/>
            <w:tcBorders>
              <w:top w:val="single" w:sz="4" w:space="0" w:color="auto"/>
              <w:left w:val="single" w:sz="4" w:space="0" w:color="auto"/>
              <w:bottom w:val="double" w:sz="6" w:space="0" w:color="auto"/>
              <w:right w:val="single" w:sz="4" w:space="0" w:color="auto"/>
            </w:tcBorders>
            <w:shd w:val="clear" w:color="DBDBDB" w:fill="DBDBDB"/>
            <w:noWrap/>
            <w:vAlign w:val="bottom"/>
            <w:hideMark/>
          </w:tcPr>
          <w:p w14:paraId="3082F225"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$ 726.820,80</w:t>
            </w:r>
          </w:p>
        </w:tc>
        <w:tc>
          <w:tcPr>
            <w:tcW w:w="1540" w:type="dxa"/>
            <w:tcBorders>
              <w:top w:val="single" w:sz="4" w:space="0" w:color="auto"/>
              <w:left w:val="single" w:sz="4" w:space="0" w:color="auto"/>
              <w:bottom w:val="double" w:sz="6" w:space="0" w:color="auto"/>
              <w:right w:val="single" w:sz="4" w:space="0" w:color="auto"/>
            </w:tcBorders>
            <w:shd w:val="clear" w:color="DBDBDB" w:fill="DBDBDB"/>
            <w:noWrap/>
            <w:vAlign w:val="bottom"/>
            <w:hideMark/>
          </w:tcPr>
          <w:p w14:paraId="2A90417F"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$ 8.358.439,20</w:t>
            </w:r>
          </w:p>
        </w:tc>
        <w:tc>
          <w:tcPr>
            <w:tcW w:w="1720" w:type="dxa"/>
            <w:tcBorders>
              <w:top w:val="single" w:sz="4" w:space="0" w:color="auto"/>
              <w:left w:val="single" w:sz="4" w:space="0" w:color="auto"/>
              <w:bottom w:val="double" w:sz="6" w:space="0" w:color="auto"/>
              <w:right w:val="single" w:sz="8" w:space="0" w:color="auto"/>
            </w:tcBorders>
            <w:shd w:val="clear" w:color="DBDBDB" w:fill="DBDBDB"/>
            <w:noWrap/>
            <w:vAlign w:val="bottom"/>
            <w:hideMark/>
          </w:tcPr>
          <w:p w14:paraId="7B2D669F" w14:textId="77777777" w:rsidR="008F2C18" w:rsidRPr="00E351A3" w:rsidRDefault="008F2C18" w:rsidP="00E351A3">
            <w:pPr>
              <w:jc w:val="right"/>
              <w:rPr>
                <w:rFonts w:ascii="Tahoma" w:hAnsi="Tahoma" w:cs="Tahoma"/>
                <w:color w:val="000000"/>
                <w:sz w:val="18"/>
              </w:rPr>
            </w:pPr>
            <w:r w:rsidRPr="00E351A3">
              <w:rPr>
                <w:rFonts w:ascii="Tahoma" w:hAnsi="Tahoma" w:cs="Tahoma"/>
                <w:color w:val="000000"/>
                <w:sz w:val="18"/>
              </w:rPr>
              <w:t>$ 891.845,00</w:t>
            </w:r>
          </w:p>
        </w:tc>
      </w:tr>
      <w:tr w:rsidR="008F2C18" w:rsidRPr="008A5179" w14:paraId="7C9DB287" w14:textId="77777777" w:rsidTr="008F2C18">
        <w:trPr>
          <w:trHeight w:val="345"/>
          <w:jc w:val="center"/>
        </w:trPr>
        <w:tc>
          <w:tcPr>
            <w:tcW w:w="1220" w:type="dxa"/>
            <w:tcBorders>
              <w:top w:val="double" w:sz="6" w:space="0" w:color="000000"/>
              <w:left w:val="single" w:sz="8" w:space="0" w:color="auto"/>
              <w:bottom w:val="single" w:sz="8" w:space="0" w:color="auto"/>
              <w:right w:val="nil"/>
            </w:tcBorders>
            <w:shd w:val="clear" w:color="EDEDED" w:fill="EDEDED"/>
            <w:noWrap/>
            <w:vAlign w:val="bottom"/>
            <w:hideMark/>
          </w:tcPr>
          <w:p w14:paraId="426D62C6" w14:textId="77777777" w:rsidR="008F2C18" w:rsidRPr="00E351A3" w:rsidRDefault="008F2C18" w:rsidP="00E351A3">
            <w:pPr>
              <w:rPr>
                <w:rFonts w:ascii="Tahoma" w:hAnsi="Tahoma" w:cs="Tahoma"/>
                <w:b/>
                <w:bCs/>
                <w:color w:val="000000"/>
                <w:sz w:val="18"/>
              </w:rPr>
            </w:pPr>
            <w:r w:rsidRPr="00E351A3">
              <w:rPr>
                <w:rFonts w:ascii="Tahoma" w:hAnsi="Tahoma" w:cs="Tahoma"/>
                <w:b/>
                <w:bCs/>
                <w:color w:val="000000"/>
                <w:sz w:val="18"/>
              </w:rPr>
              <w:t>Total</w:t>
            </w:r>
          </w:p>
        </w:tc>
        <w:tc>
          <w:tcPr>
            <w:tcW w:w="1060" w:type="dxa"/>
            <w:tcBorders>
              <w:top w:val="double" w:sz="6" w:space="0" w:color="000000"/>
              <w:left w:val="nil"/>
              <w:bottom w:val="single" w:sz="8" w:space="0" w:color="auto"/>
              <w:right w:val="nil"/>
            </w:tcBorders>
            <w:shd w:val="clear" w:color="EDEDED" w:fill="EDEDED"/>
            <w:noWrap/>
            <w:vAlign w:val="bottom"/>
            <w:hideMark/>
          </w:tcPr>
          <w:p w14:paraId="79731474" w14:textId="77777777" w:rsidR="008F2C18" w:rsidRPr="00E351A3" w:rsidRDefault="008F2C18" w:rsidP="00E351A3">
            <w:pPr>
              <w:rPr>
                <w:rFonts w:ascii="Tahoma" w:hAnsi="Tahoma" w:cs="Tahoma"/>
                <w:b/>
                <w:bCs/>
                <w:color w:val="000000"/>
                <w:sz w:val="18"/>
              </w:rPr>
            </w:pPr>
          </w:p>
        </w:tc>
        <w:tc>
          <w:tcPr>
            <w:tcW w:w="1360" w:type="dxa"/>
            <w:tcBorders>
              <w:top w:val="double" w:sz="6" w:space="0" w:color="000000"/>
              <w:left w:val="nil"/>
              <w:bottom w:val="single" w:sz="8" w:space="0" w:color="auto"/>
              <w:right w:val="nil"/>
            </w:tcBorders>
            <w:shd w:val="clear" w:color="EDEDED" w:fill="EDEDED"/>
            <w:noWrap/>
            <w:vAlign w:val="bottom"/>
            <w:hideMark/>
          </w:tcPr>
          <w:p w14:paraId="4EE48DC4" w14:textId="77777777" w:rsidR="008F2C18" w:rsidRPr="00E351A3" w:rsidRDefault="008F2C18" w:rsidP="00E351A3">
            <w:pPr>
              <w:rPr>
                <w:rFonts w:ascii="Tahoma" w:hAnsi="Tahoma" w:cs="Tahoma"/>
                <w:sz w:val="18"/>
              </w:rPr>
            </w:pPr>
          </w:p>
        </w:tc>
        <w:tc>
          <w:tcPr>
            <w:tcW w:w="1720" w:type="dxa"/>
            <w:tcBorders>
              <w:top w:val="double" w:sz="6" w:space="0" w:color="000000"/>
              <w:left w:val="single" w:sz="4" w:space="0" w:color="auto"/>
              <w:bottom w:val="single" w:sz="8" w:space="0" w:color="auto"/>
              <w:right w:val="single" w:sz="4" w:space="0" w:color="auto"/>
            </w:tcBorders>
            <w:shd w:val="clear" w:color="EDEDED" w:fill="EDEDED"/>
            <w:noWrap/>
            <w:vAlign w:val="bottom"/>
            <w:hideMark/>
          </w:tcPr>
          <w:p w14:paraId="311F7A23" w14:textId="4507F108" w:rsidR="008F2C18" w:rsidRPr="00E351A3" w:rsidRDefault="008F2C18" w:rsidP="00E351A3">
            <w:pPr>
              <w:jc w:val="right"/>
              <w:rPr>
                <w:rFonts w:ascii="Tahoma" w:hAnsi="Tahoma" w:cs="Tahoma"/>
                <w:b/>
                <w:bCs/>
                <w:color w:val="000000"/>
                <w:sz w:val="18"/>
              </w:rPr>
            </w:pPr>
            <w:r w:rsidRPr="00E351A3">
              <w:rPr>
                <w:rFonts w:ascii="Tahoma" w:hAnsi="Tahoma" w:cs="Tahoma"/>
                <w:b/>
                <w:bCs/>
                <w:color w:val="000000"/>
                <w:sz w:val="18"/>
              </w:rPr>
              <w:t>$65.212.302,00</w:t>
            </w:r>
          </w:p>
        </w:tc>
        <w:tc>
          <w:tcPr>
            <w:tcW w:w="1320" w:type="dxa"/>
            <w:tcBorders>
              <w:top w:val="double" w:sz="6" w:space="0" w:color="000000"/>
              <w:left w:val="single" w:sz="4" w:space="0" w:color="auto"/>
              <w:bottom w:val="single" w:sz="8" w:space="0" w:color="auto"/>
              <w:right w:val="single" w:sz="4" w:space="0" w:color="auto"/>
            </w:tcBorders>
            <w:shd w:val="clear" w:color="EDEDED" w:fill="EDEDED"/>
            <w:noWrap/>
            <w:vAlign w:val="bottom"/>
            <w:hideMark/>
          </w:tcPr>
          <w:p w14:paraId="1F9D53B4" w14:textId="26BE10A1" w:rsidR="008F2C18" w:rsidRPr="00E351A3" w:rsidRDefault="00E351A3" w:rsidP="00E351A3">
            <w:pPr>
              <w:jc w:val="right"/>
              <w:rPr>
                <w:rFonts w:ascii="Tahoma" w:hAnsi="Tahoma" w:cs="Tahoma"/>
                <w:b/>
                <w:bCs/>
                <w:color w:val="000000"/>
                <w:sz w:val="18"/>
              </w:rPr>
            </w:pPr>
            <w:r>
              <w:rPr>
                <w:rFonts w:ascii="Tahoma" w:hAnsi="Tahoma" w:cs="Tahoma"/>
                <w:b/>
                <w:bCs/>
                <w:color w:val="000000"/>
                <w:sz w:val="18"/>
              </w:rPr>
              <w:t>$</w:t>
            </w:r>
            <w:r w:rsidR="008F2C18" w:rsidRPr="00E351A3">
              <w:rPr>
                <w:rFonts w:ascii="Tahoma" w:hAnsi="Tahoma" w:cs="Tahoma"/>
                <w:b/>
                <w:bCs/>
                <w:color w:val="000000"/>
                <w:sz w:val="18"/>
              </w:rPr>
              <w:t>7.005.608,28</w:t>
            </w:r>
          </w:p>
        </w:tc>
        <w:tc>
          <w:tcPr>
            <w:tcW w:w="1540" w:type="dxa"/>
            <w:tcBorders>
              <w:top w:val="double" w:sz="6" w:space="0" w:color="000000"/>
              <w:left w:val="single" w:sz="4" w:space="0" w:color="auto"/>
              <w:bottom w:val="single" w:sz="8" w:space="0" w:color="auto"/>
              <w:right w:val="single" w:sz="4" w:space="0" w:color="auto"/>
            </w:tcBorders>
            <w:shd w:val="clear" w:color="EDEDED" w:fill="EDEDED"/>
            <w:noWrap/>
            <w:vAlign w:val="bottom"/>
            <w:hideMark/>
          </w:tcPr>
          <w:p w14:paraId="71A0E2B3" w14:textId="0DACD792" w:rsidR="008F2C18" w:rsidRPr="00E351A3" w:rsidRDefault="008F2C18" w:rsidP="00E351A3">
            <w:pPr>
              <w:jc w:val="right"/>
              <w:rPr>
                <w:rFonts w:ascii="Tahoma" w:hAnsi="Tahoma" w:cs="Tahoma"/>
                <w:b/>
                <w:bCs/>
                <w:color w:val="000000"/>
                <w:sz w:val="18"/>
              </w:rPr>
            </w:pPr>
            <w:r w:rsidRPr="00E351A3">
              <w:rPr>
                <w:rFonts w:ascii="Tahoma" w:hAnsi="Tahoma" w:cs="Tahoma"/>
                <w:b/>
                <w:bCs/>
                <w:color w:val="000000"/>
                <w:sz w:val="18"/>
              </w:rPr>
              <w:t>$58.206.693,72</w:t>
            </w:r>
          </w:p>
        </w:tc>
        <w:tc>
          <w:tcPr>
            <w:tcW w:w="1720" w:type="dxa"/>
            <w:tcBorders>
              <w:top w:val="double" w:sz="6" w:space="0" w:color="000000"/>
              <w:left w:val="single" w:sz="4" w:space="0" w:color="auto"/>
              <w:bottom w:val="single" w:sz="8" w:space="0" w:color="auto"/>
              <w:right w:val="single" w:sz="8" w:space="0" w:color="auto"/>
            </w:tcBorders>
            <w:shd w:val="clear" w:color="EDEDED" w:fill="EDEDED"/>
            <w:noWrap/>
            <w:vAlign w:val="bottom"/>
            <w:hideMark/>
          </w:tcPr>
          <w:p w14:paraId="4425E3B7" w14:textId="20D4AAD7" w:rsidR="008F2C18" w:rsidRPr="00E351A3" w:rsidRDefault="008F2C18" w:rsidP="00E351A3">
            <w:pPr>
              <w:jc w:val="right"/>
              <w:rPr>
                <w:rFonts w:ascii="Tahoma" w:hAnsi="Tahoma" w:cs="Tahoma"/>
                <w:b/>
                <w:bCs/>
                <w:color w:val="000000"/>
                <w:sz w:val="18"/>
              </w:rPr>
            </w:pPr>
            <w:r w:rsidRPr="00E351A3">
              <w:rPr>
                <w:rFonts w:ascii="Tahoma" w:hAnsi="Tahoma" w:cs="Tahoma"/>
                <w:b/>
                <w:bCs/>
                <w:color w:val="000000"/>
                <w:sz w:val="18"/>
              </w:rPr>
              <w:t>$41.026.109,00</w:t>
            </w:r>
          </w:p>
        </w:tc>
      </w:tr>
      <w:tr w:rsidR="008F2C18" w:rsidRPr="008A5179" w14:paraId="5034C4EF" w14:textId="77777777" w:rsidTr="008F2C18">
        <w:trPr>
          <w:trHeight w:val="345"/>
          <w:jc w:val="center"/>
        </w:trPr>
        <w:tc>
          <w:tcPr>
            <w:tcW w:w="1220" w:type="dxa"/>
            <w:tcBorders>
              <w:top w:val="nil"/>
              <w:left w:val="nil"/>
              <w:bottom w:val="nil"/>
              <w:right w:val="nil"/>
            </w:tcBorders>
            <w:shd w:val="clear" w:color="auto" w:fill="auto"/>
            <w:noWrap/>
            <w:vAlign w:val="bottom"/>
            <w:hideMark/>
          </w:tcPr>
          <w:p w14:paraId="48D6D715" w14:textId="77777777" w:rsidR="008F2C18" w:rsidRPr="00E351A3" w:rsidRDefault="008F2C18" w:rsidP="00E351A3">
            <w:pPr>
              <w:rPr>
                <w:rFonts w:ascii="Tahoma" w:hAnsi="Tahoma" w:cs="Tahoma"/>
                <w:b/>
                <w:bCs/>
                <w:color w:val="000000"/>
                <w:sz w:val="18"/>
              </w:rPr>
            </w:pPr>
          </w:p>
        </w:tc>
        <w:tc>
          <w:tcPr>
            <w:tcW w:w="1060" w:type="dxa"/>
            <w:tcBorders>
              <w:top w:val="nil"/>
              <w:left w:val="nil"/>
              <w:bottom w:val="nil"/>
              <w:right w:val="nil"/>
            </w:tcBorders>
            <w:shd w:val="clear" w:color="auto" w:fill="auto"/>
            <w:noWrap/>
            <w:vAlign w:val="bottom"/>
            <w:hideMark/>
          </w:tcPr>
          <w:p w14:paraId="75062C26" w14:textId="77777777" w:rsidR="008F2C18" w:rsidRPr="00E351A3" w:rsidRDefault="008F2C18" w:rsidP="00E351A3">
            <w:pPr>
              <w:rPr>
                <w:rFonts w:ascii="Tahoma" w:hAnsi="Tahoma" w:cs="Tahoma"/>
                <w:sz w:val="18"/>
              </w:rPr>
            </w:pPr>
          </w:p>
        </w:tc>
        <w:tc>
          <w:tcPr>
            <w:tcW w:w="1360" w:type="dxa"/>
            <w:tcBorders>
              <w:top w:val="nil"/>
              <w:left w:val="nil"/>
              <w:bottom w:val="nil"/>
              <w:right w:val="nil"/>
            </w:tcBorders>
            <w:shd w:val="clear" w:color="auto" w:fill="auto"/>
            <w:noWrap/>
            <w:vAlign w:val="bottom"/>
            <w:hideMark/>
          </w:tcPr>
          <w:p w14:paraId="08D8A0C0" w14:textId="77777777" w:rsidR="008F2C18" w:rsidRPr="00E351A3" w:rsidRDefault="008F2C18" w:rsidP="00E351A3">
            <w:pPr>
              <w:rPr>
                <w:rFonts w:ascii="Tahoma" w:hAnsi="Tahoma" w:cs="Tahoma"/>
                <w:sz w:val="18"/>
              </w:rPr>
            </w:pPr>
          </w:p>
        </w:tc>
        <w:tc>
          <w:tcPr>
            <w:tcW w:w="1720" w:type="dxa"/>
            <w:tcBorders>
              <w:top w:val="nil"/>
              <w:left w:val="nil"/>
              <w:bottom w:val="nil"/>
              <w:right w:val="nil"/>
            </w:tcBorders>
            <w:shd w:val="clear" w:color="auto" w:fill="auto"/>
            <w:noWrap/>
            <w:vAlign w:val="bottom"/>
            <w:hideMark/>
          </w:tcPr>
          <w:p w14:paraId="799B8B70" w14:textId="77777777" w:rsidR="008F2C18" w:rsidRPr="00E351A3" w:rsidRDefault="008F2C18" w:rsidP="00E351A3">
            <w:pPr>
              <w:rPr>
                <w:rFonts w:ascii="Tahoma" w:hAnsi="Tahoma" w:cs="Tahoma"/>
                <w:sz w:val="18"/>
              </w:rPr>
            </w:pPr>
          </w:p>
        </w:tc>
        <w:tc>
          <w:tcPr>
            <w:tcW w:w="1320" w:type="dxa"/>
            <w:tcBorders>
              <w:top w:val="nil"/>
              <w:left w:val="nil"/>
              <w:bottom w:val="nil"/>
              <w:right w:val="nil"/>
            </w:tcBorders>
            <w:shd w:val="clear" w:color="auto" w:fill="auto"/>
            <w:noWrap/>
            <w:vAlign w:val="bottom"/>
            <w:hideMark/>
          </w:tcPr>
          <w:p w14:paraId="5F412F89" w14:textId="77777777" w:rsidR="008F2C18" w:rsidRPr="00E351A3" w:rsidRDefault="008F2C18" w:rsidP="00E351A3">
            <w:pPr>
              <w:rPr>
                <w:rFonts w:ascii="Tahoma" w:hAnsi="Tahoma" w:cs="Tahoma"/>
                <w:sz w:val="18"/>
              </w:rPr>
            </w:pPr>
          </w:p>
        </w:tc>
        <w:tc>
          <w:tcPr>
            <w:tcW w:w="1540" w:type="dxa"/>
            <w:tcBorders>
              <w:top w:val="nil"/>
              <w:left w:val="nil"/>
              <w:bottom w:val="nil"/>
              <w:right w:val="nil"/>
            </w:tcBorders>
            <w:shd w:val="clear" w:color="auto" w:fill="auto"/>
            <w:noWrap/>
            <w:vAlign w:val="bottom"/>
            <w:hideMark/>
          </w:tcPr>
          <w:p w14:paraId="62C991AE" w14:textId="77777777" w:rsidR="008F2C18" w:rsidRPr="00E351A3" w:rsidRDefault="008F2C18" w:rsidP="00E351A3">
            <w:pPr>
              <w:rPr>
                <w:rFonts w:ascii="Tahoma" w:hAnsi="Tahoma" w:cs="Tahoma"/>
                <w:sz w:val="18"/>
              </w:rPr>
            </w:pPr>
          </w:p>
        </w:tc>
        <w:tc>
          <w:tcPr>
            <w:tcW w:w="1720" w:type="dxa"/>
            <w:tcBorders>
              <w:top w:val="nil"/>
              <w:left w:val="nil"/>
              <w:bottom w:val="nil"/>
              <w:right w:val="nil"/>
            </w:tcBorders>
            <w:shd w:val="clear" w:color="auto" w:fill="auto"/>
            <w:noWrap/>
            <w:vAlign w:val="bottom"/>
            <w:hideMark/>
          </w:tcPr>
          <w:p w14:paraId="69E6A42A" w14:textId="77777777" w:rsidR="008F2C18" w:rsidRPr="00E351A3" w:rsidRDefault="008F2C18" w:rsidP="00E351A3">
            <w:pPr>
              <w:rPr>
                <w:rFonts w:ascii="Tahoma" w:hAnsi="Tahoma" w:cs="Tahoma"/>
                <w:sz w:val="18"/>
              </w:rPr>
            </w:pPr>
          </w:p>
        </w:tc>
      </w:tr>
      <w:tr w:rsidR="008F2C18" w:rsidRPr="008A5179" w14:paraId="64290417" w14:textId="77777777" w:rsidTr="008F2C18">
        <w:trPr>
          <w:trHeight w:val="345"/>
          <w:jc w:val="center"/>
        </w:trPr>
        <w:tc>
          <w:tcPr>
            <w:tcW w:w="3640" w:type="dxa"/>
            <w:gridSpan w:val="3"/>
            <w:tcBorders>
              <w:top w:val="single" w:sz="8" w:space="0" w:color="auto"/>
              <w:left w:val="single" w:sz="8" w:space="0" w:color="auto"/>
              <w:bottom w:val="single" w:sz="8" w:space="0" w:color="auto"/>
              <w:right w:val="nil"/>
            </w:tcBorders>
            <w:shd w:val="clear" w:color="000000" w:fill="BFBFBF"/>
            <w:noWrap/>
            <w:vAlign w:val="bottom"/>
            <w:hideMark/>
          </w:tcPr>
          <w:p w14:paraId="1373F153" w14:textId="77777777" w:rsidR="008F2C18" w:rsidRPr="00E351A3" w:rsidRDefault="008F2C18" w:rsidP="00E351A3">
            <w:pPr>
              <w:rPr>
                <w:rFonts w:ascii="Tahoma" w:hAnsi="Tahoma" w:cs="Tahoma"/>
                <w:b/>
                <w:bCs/>
                <w:color w:val="FF0000"/>
                <w:sz w:val="18"/>
              </w:rPr>
            </w:pPr>
            <w:r w:rsidRPr="00E351A3">
              <w:rPr>
                <w:rFonts w:ascii="Tahoma" w:hAnsi="Tahoma" w:cs="Tahoma"/>
                <w:b/>
                <w:bCs/>
                <w:color w:val="FF0000"/>
                <w:sz w:val="18"/>
              </w:rPr>
              <w:t>TOTAL MESADAS + INT MORA=</w:t>
            </w:r>
          </w:p>
        </w:tc>
        <w:tc>
          <w:tcPr>
            <w:tcW w:w="1720" w:type="dxa"/>
            <w:tcBorders>
              <w:top w:val="single" w:sz="8" w:space="0" w:color="auto"/>
              <w:left w:val="nil"/>
              <w:bottom w:val="single" w:sz="8" w:space="0" w:color="auto"/>
              <w:right w:val="nil"/>
            </w:tcBorders>
            <w:shd w:val="clear" w:color="000000" w:fill="BFBFBF"/>
            <w:noWrap/>
            <w:vAlign w:val="bottom"/>
            <w:hideMark/>
          </w:tcPr>
          <w:p w14:paraId="61FDB13A" w14:textId="77777777" w:rsidR="008F2C18" w:rsidRPr="00E351A3" w:rsidRDefault="008F2C18" w:rsidP="00E351A3">
            <w:pPr>
              <w:rPr>
                <w:rFonts w:ascii="Tahoma" w:hAnsi="Tahoma" w:cs="Tahoma"/>
                <w:b/>
                <w:bCs/>
                <w:color w:val="FF0000"/>
                <w:sz w:val="18"/>
              </w:rPr>
            </w:pPr>
            <w:r w:rsidRPr="00E351A3">
              <w:rPr>
                <w:rFonts w:ascii="Tahoma" w:hAnsi="Tahoma" w:cs="Tahoma"/>
                <w:b/>
                <w:bCs/>
                <w:color w:val="FF0000"/>
                <w:sz w:val="18"/>
              </w:rPr>
              <w:t> </w:t>
            </w:r>
          </w:p>
        </w:tc>
        <w:tc>
          <w:tcPr>
            <w:tcW w:w="1320" w:type="dxa"/>
            <w:tcBorders>
              <w:top w:val="single" w:sz="8" w:space="0" w:color="auto"/>
              <w:left w:val="nil"/>
              <w:bottom w:val="single" w:sz="8" w:space="0" w:color="auto"/>
              <w:right w:val="single" w:sz="8" w:space="0" w:color="auto"/>
            </w:tcBorders>
            <w:shd w:val="clear" w:color="000000" w:fill="BFBFBF"/>
            <w:noWrap/>
            <w:vAlign w:val="bottom"/>
            <w:hideMark/>
          </w:tcPr>
          <w:p w14:paraId="5C84E120" w14:textId="77777777" w:rsidR="008F2C18" w:rsidRPr="00E351A3" w:rsidRDefault="008F2C18" w:rsidP="00E351A3">
            <w:pPr>
              <w:rPr>
                <w:rFonts w:ascii="Tahoma" w:hAnsi="Tahoma" w:cs="Tahoma"/>
                <w:b/>
                <w:bCs/>
                <w:color w:val="FF0000"/>
                <w:sz w:val="18"/>
              </w:rPr>
            </w:pPr>
            <w:r w:rsidRPr="00E351A3">
              <w:rPr>
                <w:rFonts w:ascii="Tahoma" w:hAnsi="Tahoma" w:cs="Tahoma"/>
                <w:b/>
                <w:bCs/>
                <w:color w:val="FF0000"/>
                <w:sz w:val="18"/>
              </w:rPr>
              <w:t> </w:t>
            </w:r>
          </w:p>
        </w:tc>
        <w:tc>
          <w:tcPr>
            <w:tcW w:w="1540" w:type="dxa"/>
            <w:tcBorders>
              <w:top w:val="single" w:sz="8" w:space="0" w:color="auto"/>
              <w:left w:val="nil"/>
              <w:bottom w:val="single" w:sz="8" w:space="0" w:color="auto"/>
              <w:right w:val="nil"/>
            </w:tcBorders>
            <w:shd w:val="clear" w:color="000000" w:fill="BFBFBF"/>
            <w:noWrap/>
            <w:vAlign w:val="bottom"/>
            <w:hideMark/>
          </w:tcPr>
          <w:p w14:paraId="70BD6768" w14:textId="4A206619" w:rsidR="008F2C18" w:rsidRPr="00E351A3" w:rsidRDefault="008F2C18" w:rsidP="00E351A3">
            <w:pPr>
              <w:rPr>
                <w:rFonts w:ascii="Tahoma" w:hAnsi="Tahoma" w:cs="Tahoma"/>
                <w:b/>
                <w:bCs/>
                <w:color w:val="FF0000"/>
                <w:sz w:val="18"/>
              </w:rPr>
            </w:pPr>
          </w:p>
        </w:tc>
        <w:tc>
          <w:tcPr>
            <w:tcW w:w="1720" w:type="dxa"/>
            <w:tcBorders>
              <w:top w:val="single" w:sz="8" w:space="0" w:color="auto"/>
              <w:left w:val="nil"/>
              <w:bottom w:val="single" w:sz="8" w:space="0" w:color="auto"/>
              <w:right w:val="single" w:sz="8" w:space="0" w:color="auto"/>
            </w:tcBorders>
            <w:shd w:val="clear" w:color="000000" w:fill="BFBFBF"/>
            <w:noWrap/>
            <w:vAlign w:val="bottom"/>
            <w:hideMark/>
          </w:tcPr>
          <w:p w14:paraId="2D34F85E" w14:textId="4EE210D0" w:rsidR="008F2C18" w:rsidRPr="00E351A3" w:rsidRDefault="008F2C18" w:rsidP="00E351A3">
            <w:pPr>
              <w:jc w:val="right"/>
              <w:rPr>
                <w:rFonts w:ascii="Tahoma" w:hAnsi="Tahoma" w:cs="Tahoma"/>
                <w:b/>
                <w:bCs/>
                <w:color w:val="FF0000"/>
                <w:sz w:val="18"/>
              </w:rPr>
            </w:pPr>
            <w:r w:rsidRPr="00E351A3">
              <w:rPr>
                <w:rFonts w:ascii="Tahoma" w:hAnsi="Tahoma" w:cs="Tahoma"/>
                <w:b/>
                <w:bCs/>
                <w:color w:val="FF0000"/>
                <w:sz w:val="18"/>
              </w:rPr>
              <w:t>$99.232.802,72</w:t>
            </w:r>
          </w:p>
        </w:tc>
      </w:tr>
    </w:tbl>
    <w:p w14:paraId="0185480B" w14:textId="77777777" w:rsidR="008F2C18" w:rsidRPr="008A5179" w:rsidRDefault="008F2C18" w:rsidP="008A5179">
      <w:pPr>
        <w:widowControl w:val="0"/>
        <w:spacing w:line="276" w:lineRule="auto"/>
        <w:ind w:firstLine="709"/>
        <w:jc w:val="both"/>
        <w:rPr>
          <w:rFonts w:ascii="Tahoma" w:hAnsi="Tahoma" w:cs="Tahoma"/>
        </w:rPr>
      </w:pPr>
    </w:p>
    <w:p w14:paraId="24C2667E" w14:textId="2B52ED3E" w:rsidR="00D77F64" w:rsidRPr="008A5179" w:rsidRDefault="006D7EAB"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Superado lo anterior, en cuanto al segundo motivo de la alzada, esto es las costas procesales del trámite ordinario, mismas que fueron fijadas en la suma de $5.877.212 y que alega la ejecutada que consignó a </w:t>
      </w:r>
      <w:r w:rsidR="00D77F64" w:rsidRPr="008A5179">
        <w:rPr>
          <w:rFonts w:ascii="Tahoma" w:hAnsi="Tahoma" w:cs="Tahoma"/>
        </w:rPr>
        <w:t>órdenes</w:t>
      </w:r>
      <w:r w:rsidRPr="008A5179">
        <w:rPr>
          <w:rFonts w:ascii="Tahoma" w:hAnsi="Tahoma" w:cs="Tahoma"/>
        </w:rPr>
        <w:t xml:space="preserve"> del</w:t>
      </w:r>
      <w:r w:rsidR="00D77F64" w:rsidRPr="008A5179">
        <w:rPr>
          <w:rFonts w:ascii="Tahoma" w:hAnsi="Tahoma" w:cs="Tahoma"/>
        </w:rPr>
        <w:t xml:space="preserve"> proceso</w:t>
      </w:r>
      <w:r w:rsidRPr="008A5179">
        <w:rPr>
          <w:rFonts w:ascii="Tahoma" w:hAnsi="Tahoma" w:cs="Tahoma"/>
        </w:rPr>
        <w:t xml:space="preserve"> el 06 de septiembre de 2021, es del caso advertir que </w:t>
      </w:r>
      <w:r w:rsidR="008D1B50" w:rsidRPr="008A5179">
        <w:rPr>
          <w:rFonts w:ascii="Tahoma" w:hAnsi="Tahoma" w:cs="Tahoma"/>
        </w:rPr>
        <w:t>resulta extraño para la Sala que la jueza de primera instancia afirm</w:t>
      </w:r>
      <w:r w:rsidR="40300F2B" w:rsidRPr="008A5179">
        <w:rPr>
          <w:rFonts w:ascii="Tahoma" w:hAnsi="Tahoma" w:cs="Tahoma"/>
        </w:rPr>
        <w:t>e</w:t>
      </w:r>
      <w:r w:rsidR="008D1B50" w:rsidRPr="008A5179">
        <w:rPr>
          <w:rFonts w:ascii="Tahoma" w:hAnsi="Tahoma" w:cs="Tahoma"/>
        </w:rPr>
        <w:t xml:space="preserve"> en el auto recurrido que, una vez revisado por el </w:t>
      </w:r>
      <w:r w:rsidR="00D77F64" w:rsidRPr="008A5179">
        <w:rPr>
          <w:rFonts w:ascii="Tahoma" w:hAnsi="Tahoma" w:cs="Tahoma"/>
        </w:rPr>
        <w:t>Despacho el portal del Banco Agrario no encontró ningún título judicial para el presente proceso o a nombre de los demandantes y mucho menos por el valor de las costas procesales, cuando en los archivos 25 y 26 del cuaderno de primera instancia reposan impresiones de consultas de títulos judiciales realizada por Sandra Patricia Gil Restrepo – Secretaria del Juzgado Primero Laboral del Circuito de Pereira</w:t>
      </w:r>
      <w:r w:rsidR="00E351A3">
        <w:rPr>
          <w:rFonts w:ascii="Tahoma" w:hAnsi="Tahoma" w:cs="Tahoma"/>
        </w:rPr>
        <w:t xml:space="preserve"> –</w:t>
      </w:r>
      <w:r w:rsidR="00D77F64" w:rsidRPr="008A5179">
        <w:rPr>
          <w:rFonts w:ascii="Tahoma" w:hAnsi="Tahoma" w:cs="Tahoma"/>
        </w:rPr>
        <w:t xml:space="preserve"> evidenciándose dos títulos judiciales a saber:</w:t>
      </w:r>
    </w:p>
    <w:p w14:paraId="21F3DC0B" w14:textId="77777777" w:rsidR="00D77F64" w:rsidRPr="008A5179" w:rsidRDefault="00D77F64" w:rsidP="008A5179">
      <w:pPr>
        <w:widowControl w:val="0"/>
        <w:autoSpaceDE w:val="0"/>
        <w:autoSpaceDN w:val="0"/>
        <w:adjustRightInd w:val="0"/>
        <w:spacing w:line="276" w:lineRule="auto"/>
        <w:ind w:firstLine="709"/>
        <w:jc w:val="both"/>
        <w:rPr>
          <w:rFonts w:ascii="Tahoma" w:hAnsi="Tahoma" w:cs="Tahoma"/>
        </w:rPr>
      </w:pPr>
    </w:p>
    <w:p w14:paraId="7340C378" w14:textId="30DFF061" w:rsidR="00D77F64" w:rsidRPr="008A5179" w:rsidRDefault="00D77F64" w:rsidP="008A5179">
      <w:pPr>
        <w:pStyle w:val="Prrafodelista"/>
        <w:widowControl w:val="0"/>
        <w:numPr>
          <w:ilvl w:val="0"/>
          <w:numId w:val="22"/>
        </w:numPr>
        <w:autoSpaceDE w:val="0"/>
        <w:autoSpaceDN w:val="0"/>
        <w:adjustRightInd w:val="0"/>
        <w:spacing w:line="276" w:lineRule="auto"/>
        <w:jc w:val="both"/>
        <w:rPr>
          <w:rFonts w:ascii="Tahoma" w:hAnsi="Tahoma" w:cs="Tahoma"/>
        </w:rPr>
      </w:pPr>
      <w:r w:rsidRPr="008A5179">
        <w:rPr>
          <w:rFonts w:ascii="Tahoma" w:hAnsi="Tahoma" w:cs="Tahoma"/>
        </w:rPr>
        <w:t>No. 457030000805379 constituido el 07 de abril de 2022 para el proceso 66001310500120170050200 por la suma de $154.337.079.</w:t>
      </w:r>
    </w:p>
    <w:p w14:paraId="4A12A471" w14:textId="77777777" w:rsidR="00D77F64" w:rsidRPr="008A5179" w:rsidRDefault="00D77F64" w:rsidP="008A5179">
      <w:pPr>
        <w:pStyle w:val="Prrafodelista"/>
        <w:widowControl w:val="0"/>
        <w:autoSpaceDE w:val="0"/>
        <w:autoSpaceDN w:val="0"/>
        <w:adjustRightInd w:val="0"/>
        <w:spacing w:line="276" w:lineRule="auto"/>
        <w:ind w:left="1429"/>
        <w:jc w:val="both"/>
        <w:rPr>
          <w:rFonts w:ascii="Tahoma" w:hAnsi="Tahoma" w:cs="Tahoma"/>
        </w:rPr>
      </w:pPr>
    </w:p>
    <w:p w14:paraId="7D2BF304" w14:textId="0EED08A7" w:rsidR="00725536" w:rsidRPr="008A5179" w:rsidRDefault="00D77F64" w:rsidP="008A5179">
      <w:pPr>
        <w:pStyle w:val="Prrafodelista"/>
        <w:widowControl w:val="0"/>
        <w:numPr>
          <w:ilvl w:val="0"/>
          <w:numId w:val="22"/>
        </w:numPr>
        <w:autoSpaceDE w:val="0"/>
        <w:autoSpaceDN w:val="0"/>
        <w:adjustRightInd w:val="0"/>
        <w:spacing w:line="276" w:lineRule="auto"/>
        <w:jc w:val="both"/>
        <w:rPr>
          <w:rFonts w:ascii="Tahoma" w:hAnsi="Tahoma" w:cs="Tahoma"/>
        </w:rPr>
      </w:pPr>
      <w:r w:rsidRPr="008A5179">
        <w:rPr>
          <w:rFonts w:ascii="Tahoma" w:hAnsi="Tahoma" w:cs="Tahoma"/>
        </w:rPr>
        <w:t xml:space="preserve"> No. 457030000779613 constituido el 06 de septiembre de 2021 por valor de $5.877.212 para el proceso 66001310500120170050200.</w:t>
      </w:r>
    </w:p>
    <w:p w14:paraId="5B77EBBD" w14:textId="77777777" w:rsidR="00D77F64" w:rsidRPr="008A5179" w:rsidRDefault="00D77F64" w:rsidP="008A5179">
      <w:pPr>
        <w:pStyle w:val="Prrafodelista"/>
        <w:spacing w:line="276" w:lineRule="auto"/>
        <w:rPr>
          <w:rFonts w:ascii="Tahoma" w:hAnsi="Tahoma" w:cs="Tahoma"/>
        </w:rPr>
      </w:pPr>
    </w:p>
    <w:p w14:paraId="77E6B49E" w14:textId="62FF7D4B" w:rsidR="008D1B50" w:rsidRPr="008A5179" w:rsidRDefault="00D77F64"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Y es que incluso respecto al título No. </w:t>
      </w:r>
      <w:r w:rsidR="008D1B50" w:rsidRPr="008A5179">
        <w:rPr>
          <w:rFonts w:ascii="Tahoma" w:hAnsi="Tahoma" w:cs="Tahoma"/>
        </w:rPr>
        <w:t>457030000779613</w:t>
      </w:r>
      <w:r w:rsidRPr="008A5179">
        <w:rPr>
          <w:rFonts w:ascii="Tahoma" w:hAnsi="Tahoma" w:cs="Tahoma"/>
        </w:rPr>
        <w:t xml:space="preserve"> por valor de $5.877.212</w:t>
      </w:r>
      <w:r w:rsidR="008D1B50" w:rsidRPr="008A5179">
        <w:rPr>
          <w:rFonts w:ascii="Tahoma" w:hAnsi="Tahoma" w:cs="Tahoma"/>
        </w:rPr>
        <w:t xml:space="preserve"> la parte</w:t>
      </w:r>
      <w:r w:rsidRPr="008A5179">
        <w:rPr>
          <w:rFonts w:ascii="Tahoma" w:hAnsi="Tahoma" w:cs="Tahoma"/>
        </w:rPr>
        <w:t xml:space="preserve"> ejecutante, </w:t>
      </w:r>
      <w:r w:rsidR="008D1B50" w:rsidRPr="008A5179">
        <w:rPr>
          <w:rFonts w:ascii="Tahoma" w:hAnsi="Tahoma" w:cs="Tahoma"/>
        </w:rPr>
        <w:t xml:space="preserve"> </w:t>
      </w:r>
      <w:r w:rsidRPr="008A5179">
        <w:rPr>
          <w:rFonts w:ascii="Tahoma" w:hAnsi="Tahoma" w:cs="Tahoma"/>
        </w:rPr>
        <w:t xml:space="preserve">el 18 de noviembre de 2022, </w:t>
      </w:r>
      <w:r w:rsidR="008D1B50" w:rsidRPr="008A5179">
        <w:rPr>
          <w:rFonts w:ascii="Tahoma" w:hAnsi="Tahoma" w:cs="Tahoma"/>
        </w:rPr>
        <w:t xml:space="preserve">solicitó el pago </w:t>
      </w:r>
      <w:r w:rsidRPr="008A5179">
        <w:rPr>
          <w:rFonts w:ascii="Tahoma" w:hAnsi="Tahoma" w:cs="Tahoma"/>
        </w:rPr>
        <w:t>(</w:t>
      </w:r>
      <w:r w:rsidR="008D1B50" w:rsidRPr="008A5179">
        <w:rPr>
          <w:rFonts w:ascii="Tahoma" w:hAnsi="Tahoma" w:cs="Tahoma"/>
        </w:rPr>
        <w:t>archivo 22</w:t>
      </w:r>
      <w:r w:rsidRPr="008A5179">
        <w:rPr>
          <w:rFonts w:ascii="Tahoma" w:hAnsi="Tahoma" w:cs="Tahoma"/>
        </w:rPr>
        <w:t xml:space="preserve"> cuaderno de primera instancia)</w:t>
      </w:r>
      <w:r w:rsidR="008D1B50" w:rsidRPr="008A5179">
        <w:rPr>
          <w:rFonts w:ascii="Tahoma" w:hAnsi="Tahoma" w:cs="Tahoma"/>
        </w:rPr>
        <w:t>, reiterado</w:t>
      </w:r>
      <w:r w:rsidRPr="008A5179">
        <w:rPr>
          <w:rFonts w:ascii="Tahoma" w:hAnsi="Tahoma" w:cs="Tahoma"/>
        </w:rPr>
        <w:t xml:space="preserve"> su solicitud</w:t>
      </w:r>
      <w:r w:rsidR="008D1B50" w:rsidRPr="008A5179">
        <w:rPr>
          <w:rFonts w:ascii="Tahoma" w:hAnsi="Tahoma" w:cs="Tahoma"/>
        </w:rPr>
        <w:t xml:space="preserve"> el 10 de febrero de 2023</w:t>
      </w:r>
      <w:r w:rsidRPr="008A5179">
        <w:rPr>
          <w:rFonts w:ascii="Tahoma" w:hAnsi="Tahoma" w:cs="Tahoma"/>
        </w:rPr>
        <w:t xml:space="preserve"> (</w:t>
      </w:r>
      <w:r w:rsidR="008D1B50" w:rsidRPr="008A5179">
        <w:rPr>
          <w:rFonts w:ascii="Tahoma" w:hAnsi="Tahoma" w:cs="Tahoma"/>
        </w:rPr>
        <w:t>archivo 24</w:t>
      </w:r>
      <w:r w:rsidRPr="008A5179">
        <w:rPr>
          <w:rFonts w:ascii="Tahoma" w:hAnsi="Tahoma" w:cs="Tahoma"/>
        </w:rPr>
        <w:t xml:space="preserve"> cuaderno de primera instancia), por lo que en proveído del 15 de febrero de 2023 la a-quo</w:t>
      </w:r>
      <w:r w:rsidR="008D1B50" w:rsidRPr="008A5179">
        <w:rPr>
          <w:rFonts w:ascii="Tahoma" w:hAnsi="Tahoma" w:cs="Tahoma"/>
        </w:rPr>
        <w:t xml:space="preserve"> indicó que </w:t>
      </w:r>
      <w:r w:rsidR="008D1B50" w:rsidRPr="008A5179">
        <w:rPr>
          <w:rFonts w:ascii="Tahoma" w:hAnsi="Tahoma" w:cs="Tahoma"/>
          <w:i/>
          <w:iCs/>
        </w:rPr>
        <w:t>“</w:t>
      </w:r>
      <w:r w:rsidR="008D1B50" w:rsidRPr="00E351A3">
        <w:rPr>
          <w:rFonts w:ascii="Tahoma" w:hAnsi="Tahoma" w:cs="Tahoma"/>
          <w:i/>
          <w:iCs/>
          <w:sz w:val="22"/>
        </w:rPr>
        <w:t>no se accede al pago de depósito judicial No. 457030000779613, toda vez que el mismo es citado en la excepción de pago propuesta por la parte ejecutada, y dentro del presente tramit</w:t>
      </w:r>
      <w:r w:rsidRPr="00E351A3">
        <w:rPr>
          <w:rFonts w:ascii="Tahoma" w:hAnsi="Tahoma" w:cs="Tahoma"/>
          <w:i/>
          <w:iCs/>
          <w:sz w:val="22"/>
        </w:rPr>
        <w:t>e</w:t>
      </w:r>
      <w:r w:rsidR="008D1B50" w:rsidRPr="008A5179">
        <w:rPr>
          <w:rFonts w:ascii="Tahoma" w:hAnsi="Tahoma" w:cs="Tahoma"/>
          <w:i/>
          <w:iCs/>
        </w:rPr>
        <w:t>”</w:t>
      </w:r>
      <w:r w:rsidR="00E351A3">
        <w:rPr>
          <w:rFonts w:ascii="Tahoma" w:hAnsi="Tahoma" w:cs="Tahoma"/>
          <w:i/>
          <w:iCs/>
        </w:rPr>
        <w:t>.</w:t>
      </w:r>
    </w:p>
    <w:p w14:paraId="18F180F0" w14:textId="03EC26B2" w:rsidR="00E01F8B" w:rsidRPr="008A5179" w:rsidRDefault="00E01F8B" w:rsidP="008A5179">
      <w:pPr>
        <w:pStyle w:val="Sinespaciado"/>
        <w:spacing w:line="276" w:lineRule="auto"/>
        <w:rPr>
          <w:rFonts w:ascii="Tahoma" w:hAnsi="Tahoma" w:cs="Tahoma"/>
        </w:rPr>
      </w:pPr>
    </w:p>
    <w:p w14:paraId="5EBAA472" w14:textId="4B7EBFED" w:rsidR="00D77F64" w:rsidRPr="008A5179" w:rsidRDefault="00D77F64" w:rsidP="008A5179">
      <w:pPr>
        <w:widowControl w:val="0"/>
        <w:autoSpaceDE w:val="0"/>
        <w:autoSpaceDN w:val="0"/>
        <w:adjustRightInd w:val="0"/>
        <w:spacing w:line="276" w:lineRule="auto"/>
        <w:ind w:firstLine="709"/>
        <w:jc w:val="both"/>
        <w:rPr>
          <w:rStyle w:val="normaltextrun"/>
          <w:rFonts w:ascii="Tahoma" w:hAnsi="Tahoma" w:cs="Tahoma"/>
          <w:color w:val="000000"/>
        </w:rPr>
      </w:pPr>
      <w:r w:rsidRPr="008A5179">
        <w:rPr>
          <w:rFonts w:ascii="Tahoma" w:hAnsi="Tahoma" w:cs="Tahoma"/>
        </w:rPr>
        <w:t xml:space="preserve">Como puede verse, no solo </w:t>
      </w:r>
      <w:r w:rsidRPr="008A5179">
        <w:rPr>
          <w:rStyle w:val="normaltextrun"/>
          <w:rFonts w:ascii="Tahoma" w:hAnsi="Tahoma" w:cs="Tahoma"/>
          <w:color w:val="000000" w:themeColor="text1"/>
        </w:rPr>
        <w:t xml:space="preserve">el archivo de carga masiva aportado por Protección S.A. con el escrito de excepciones es prueba del depósito judicial por el valor de las costas procesales, sino </w:t>
      </w:r>
      <w:r w:rsidR="00A779C5" w:rsidRPr="008A5179">
        <w:rPr>
          <w:rStyle w:val="normaltextrun"/>
          <w:rFonts w:ascii="Tahoma" w:hAnsi="Tahoma" w:cs="Tahoma"/>
          <w:color w:val="000000" w:themeColor="text1"/>
        </w:rPr>
        <w:t>que,</w:t>
      </w:r>
      <w:r w:rsidRPr="008A5179">
        <w:rPr>
          <w:rStyle w:val="normaltextrun"/>
          <w:rFonts w:ascii="Tahoma" w:hAnsi="Tahoma" w:cs="Tahoma"/>
          <w:color w:val="000000" w:themeColor="text1"/>
        </w:rPr>
        <w:t xml:space="preserve"> con la consulta por parte del Despacho, en virtud de la </w:t>
      </w:r>
      <w:r w:rsidR="00A779C5" w:rsidRPr="008A5179">
        <w:rPr>
          <w:rStyle w:val="normaltextrun"/>
          <w:rFonts w:ascii="Tahoma" w:hAnsi="Tahoma" w:cs="Tahoma"/>
          <w:color w:val="000000" w:themeColor="text1"/>
        </w:rPr>
        <w:t xml:space="preserve">solicitud de la parte ejecutante, </w:t>
      </w:r>
      <w:r w:rsidRPr="008A5179">
        <w:rPr>
          <w:rStyle w:val="normaltextrun"/>
          <w:rFonts w:ascii="Tahoma" w:hAnsi="Tahoma" w:cs="Tahoma"/>
          <w:color w:val="000000" w:themeColor="text1"/>
        </w:rPr>
        <w:t>se evidencia que</w:t>
      </w:r>
      <w:r w:rsidR="00A779C5" w:rsidRPr="008A5179">
        <w:rPr>
          <w:rStyle w:val="normaltextrun"/>
          <w:rFonts w:ascii="Tahoma" w:hAnsi="Tahoma" w:cs="Tahoma"/>
          <w:color w:val="000000" w:themeColor="text1"/>
        </w:rPr>
        <w:t xml:space="preserve"> en efecto la ejecutada</w:t>
      </w:r>
      <w:r w:rsidRPr="008A5179">
        <w:rPr>
          <w:rStyle w:val="normaltextrun"/>
          <w:rFonts w:ascii="Tahoma" w:hAnsi="Tahoma" w:cs="Tahoma"/>
          <w:color w:val="000000" w:themeColor="text1"/>
        </w:rPr>
        <w:t xml:space="preserve"> </w:t>
      </w:r>
      <w:r w:rsidR="00A779C5" w:rsidRPr="008A5179">
        <w:rPr>
          <w:rStyle w:val="normaltextrun"/>
          <w:rFonts w:ascii="Tahoma" w:hAnsi="Tahoma" w:cs="Tahoma"/>
          <w:color w:val="000000" w:themeColor="text1"/>
        </w:rPr>
        <w:t xml:space="preserve">consignó </w:t>
      </w:r>
      <w:r w:rsidRPr="008A5179">
        <w:rPr>
          <w:rStyle w:val="normaltextrun"/>
          <w:rFonts w:ascii="Tahoma" w:hAnsi="Tahoma" w:cs="Tahoma"/>
          <w:color w:val="000000" w:themeColor="text1"/>
        </w:rPr>
        <w:t>el valor de las costas procesales el 06 de septiembre de 2021</w:t>
      </w:r>
      <w:r w:rsidR="00A779C5" w:rsidRPr="008A5179">
        <w:rPr>
          <w:rStyle w:val="normaltextrun"/>
          <w:rFonts w:ascii="Tahoma" w:hAnsi="Tahoma" w:cs="Tahoma"/>
          <w:color w:val="000000" w:themeColor="text1"/>
        </w:rPr>
        <w:t xml:space="preserve">, razón por la cual se modificará la decisión para declarar probada la excepción de pago también frente a las </w:t>
      </w:r>
      <w:r w:rsidR="00A779C5" w:rsidRPr="008A5179">
        <w:rPr>
          <w:rStyle w:val="normaltextrun"/>
          <w:rFonts w:ascii="Tahoma" w:hAnsi="Tahoma" w:cs="Tahoma"/>
          <w:color w:val="000000" w:themeColor="text1"/>
        </w:rPr>
        <w:lastRenderedPageBreak/>
        <w:t xml:space="preserve">costas del trámite ordinario, debiéndose continuar </w:t>
      </w:r>
      <w:r w:rsidR="008F2C18" w:rsidRPr="008A5179">
        <w:rPr>
          <w:rStyle w:val="normaltextrun"/>
          <w:rFonts w:ascii="Tahoma" w:hAnsi="Tahoma" w:cs="Tahoma"/>
          <w:color w:val="000000" w:themeColor="text1"/>
        </w:rPr>
        <w:t>la</w:t>
      </w:r>
      <w:r w:rsidR="00A779C5" w:rsidRPr="008A5179">
        <w:rPr>
          <w:rStyle w:val="normaltextrun"/>
          <w:rFonts w:ascii="Tahoma" w:hAnsi="Tahoma" w:cs="Tahoma"/>
          <w:color w:val="000000" w:themeColor="text1"/>
        </w:rPr>
        <w:t xml:space="preserve"> ejecución por los intereses legales a partir del 30 de agosto de 2021, como se dispuso en el mandamiento de pago y hasta el 06 de septiembre de 2021, fecha del depósito judicial a </w:t>
      </w:r>
      <w:r w:rsidR="40B4414D" w:rsidRPr="008A5179">
        <w:rPr>
          <w:rStyle w:val="normaltextrun"/>
          <w:rFonts w:ascii="Tahoma" w:hAnsi="Tahoma" w:cs="Tahoma"/>
          <w:color w:val="000000" w:themeColor="text1"/>
        </w:rPr>
        <w:t>órdenes</w:t>
      </w:r>
      <w:r w:rsidR="00A779C5" w:rsidRPr="008A5179">
        <w:rPr>
          <w:rStyle w:val="normaltextrun"/>
          <w:rFonts w:ascii="Tahoma" w:hAnsi="Tahoma" w:cs="Tahoma"/>
          <w:color w:val="000000" w:themeColor="text1"/>
        </w:rPr>
        <w:t xml:space="preserve"> del proceso. </w:t>
      </w:r>
    </w:p>
    <w:p w14:paraId="0EF4197F" w14:textId="77777777" w:rsidR="00B5736D" w:rsidRPr="008A5179" w:rsidRDefault="00B5736D" w:rsidP="008A5179">
      <w:pPr>
        <w:widowControl w:val="0"/>
        <w:autoSpaceDE w:val="0"/>
        <w:autoSpaceDN w:val="0"/>
        <w:adjustRightInd w:val="0"/>
        <w:spacing w:line="276" w:lineRule="auto"/>
        <w:ind w:firstLine="709"/>
        <w:jc w:val="both"/>
        <w:rPr>
          <w:rStyle w:val="normaltextrun"/>
          <w:rFonts w:ascii="Tahoma" w:hAnsi="Tahoma" w:cs="Tahoma"/>
          <w:color w:val="000000"/>
        </w:rPr>
      </w:pPr>
    </w:p>
    <w:p w14:paraId="46676A42" w14:textId="688C4AF3" w:rsidR="00B5736D" w:rsidRPr="008A5179" w:rsidRDefault="00B5736D" w:rsidP="008A5179">
      <w:pPr>
        <w:widowControl w:val="0"/>
        <w:autoSpaceDE w:val="0"/>
        <w:autoSpaceDN w:val="0"/>
        <w:adjustRightInd w:val="0"/>
        <w:spacing w:line="276" w:lineRule="auto"/>
        <w:ind w:firstLine="709"/>
        <w:jc w:val="both"/>
        <w:rPr>
          <w:rFonts w:ascii="Tahoma" w:hAnsi="Tahoma" w:cs="Tahoma"/>
        </w:rPr>
      </w:pPr>
      <w:r w:rsidRPr="008A5179">
        <w:rPr>
          <w:rStyle w:val="normaltextrun"/>
          <w:rFonts w:ascii="Tahoma" w:hAnsi="Tahoma" w:cs="Tahoma"/>
          <w:color w:val="000000"/>
        </w:rPr>
        <w:t>Finalmente, no hay lugar a exonerar de costas procesales de primera instancia, como quiera que la excepción de pago únicamente triunfó de manera parcial</w:t>
      </w:r>
      <w:r w:rsidR="008F2C18" w:rsidRPr="008A5179">
        <w:rPr>
          <w:rStyle w:val="normaltextrun"/>
          <w:rFonts w:ascii="Tahoma" w:hAnsi="Tahoma" w:cs="Tahoma"/>
          <w:color w:val="000000"/>
        </w:rPr>
        <w:t xml:space="preserve">, quedando un saldo insoluto por concepto de intereses moratorios contemplados en el art. 141 de la Ley 100 de 1993 y por los intereses legales, como ya se explicó. Así, </w:t>
      </w:r>
      <w:r w:rsidRPr="008A5179">
        <w:rPr>
          <w:rStyle w:val="normaltextrun"/>
          <w:rFonts w:ascii="Tahoma" w:hAnsi="Tahoma" w:cs="Tahoma"/>
          <w:color w:val="000000"/>
        </w:rPr>
        <w:t xml:space="preserve">se encuentra acertado que la jueza de primera instancia no hubiese condenado por el 100% de las costas causadas. </w:t>
      </w:r>
    </w:p>
    <w:p w14:paraId="794A6FD8" w14:textId="77777777" w:rsidR="00D77F64" w:rsidRPr="008A5179" w:rsidRDefault="00D77F64" w:rsidP="008A5179">
      <w:pPr>
        <w:widowControl w:val="0"/>
        <w:autoSpaceDE w:val="0"/>
        <w:autoSpaceDN w:val="0"/>
        <w:adjustRightInd w:val="0"/>
        <w:spacing w:line="276" w:lineRule="auto"/>
        <w:ind w:firstLine="709"/>
        <w:jc w:val="both"/>
        <w:rPr>
          <w:rFonts w:ascii="Tahoma" w:hAnsi="Tahoma" w:cs="Tahoma"/>
        </w:rPr>
      </w:pPr>
    </w:p>
    <w:p w14:paraId="2F1BEAEE" w14:textId="4ED8411F" w:rsidR="00F4444E" w:rsidRPr="008A5179" w:rsidRDefault="00A779C5"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Sin costas de segunda instancia, ante la prosperidad parcial del recurso. </w:t>
      </w:r>
    </w:p>
    <w:p w14:paraId="5D10742A" w14:textId="77777777" w:rsidR="0034665E" w:rsidRPr="008A5179" w:rsidRDefault="0034665E" w:rsidP="008A5179">
      <w:pPr>
        <w:widowControl w:val="0"/>
        <w:autoSpaceDE w:val="0"/>
        <w:autoSpaceDN w:val="0"/>
        <w:adjustRightInd w:val="0"/>
        <w:spacing w:line="276" w:lineRule="auto"/>
        <w:ind w:firstLine="1080"/>
        <w:jc w:val="both"/>
        <w:rPr>
          <w:rFonts w:ascii="Tahoma" w:hAnsi="Tahoma" w:cs="Tahoma"/>
        </w:rPr>
      </w:pPr>
    </w:p>
    <w:p w14:paraId="5B4568F1" w14:textId="77777777" w:rsidR="0034665E" w:rsidRPr="008A5179" w:rsidRDefault="0034665E" w:rsidP="008A5179">
      <w:pPr>
        <w:widowControl w:val="0"/>
        <w:autoSpaceDE w:val="0"/>
        <w:autoSpaceDN w:val="0"/>
        <w:adjustRightInd w:val="0"/>
        <w:spacing w:line="276" w:lineRule="auto"/>
        <w:ind w:firstLine="709"/>
        <w:jc w:val="both"/>
        <w:rPr>
          <w:rFonts w:ascii="Tahoma" w:hAnsi="Tahoma" w:cs="Tahoma"/>
        </w:rPr>
      </w:pPr>
      <w:r w:rsidRPr="008A5179">
        <w:rPr>
          <w:rFonts w:ascii="Tahoma" w:hAnsi="Tahoma" w:cs="Tahoma"/>
        </w:rPr>
        <w:t xml:space="preserve">En mérito de lo expuesto, el </w:t>
      </w:r>
      <w:r w:rsidRPr="008A5179">
        <w:rPr>
          <w:rFonts w:ascii="Tahoma" w:hAnsi="Tahoma" w:cs="Tahoma"/>
          <w:b/>
        </w:rPr>
        <w:t>Tribunal Superior del Distrito Judicial de Pereira (Risaralda)</w:t>
      </w:r>
      <w:r w:rsidRPr="008A5179">
        <w:rPr>
          <w:rFonts w:ascii="Tahoma" w:hAnsi="Tahoma" w:cs="Tahoma"/>
        </w:rPr>
        <w:t xml:space="preserve">, </w:t>
      </w:r>
      <w:r w:rsidRPr="008A5179">
        <w:rPr>
          <w:rFonts w:ascii="Tahoma" w:hAnsi="Tahoma" w:cs="Tahoma"/>
          <w:b/>
        </w:rPr>
        <w:t>Sala de Decisión Laboral No 1</w:t>
      </w:r>
      <w:r w:rsidRPr="008A5179">
        <w:rPr>
          <w:rFonts w:ascii="Tahoma" w:hAnsi="Tahoma" w:cs="Tahoma"/>
        </w:rPr>
        <w:t xml:space="preserve">, </w:t>
      </w:r>
    </w:p>
    <w:p w14:paraId="10D7BECB" w14:textId="77777777" w:rsidR="007E5784" w:rsidRPr="008A5179" w:rsidRDefault="007E5784" w:rsidP="008A5179">
      <w:pPr>
        <w:widowControl w:val="0"/>
        <w:autoSpaceDE w:val="0"/>
        <w:autoSpaceDN w:val="0"/>
        <w:adjustRightInd w:val="0"/>
        <w:spacing w:line="276" w:lineRule="auto"/>
        <w:ind w:firstLine="709"/>
        <w:jc w:val="both"/>
        <w:rPr>
          <w:rFonts w:ascii="Tahoma" w:hAnsi="Tahoma" w:cs="Tahoma"/>
        </w:rPr>
      </w:pPr>
    </w:p>
    <w:p w14:paraId="3FBF3209" w14:textId="77777777" w:rsidR="007D4D1B" w:rsidRPr="008A5179" w:rsidRDefault="007D4D1B" w:rsidP="008A5179">
      <w:pPr>
        <w:widowControl w:val="0"/>
        <w:autoSpaceDE w:val="0"/>
        <w:autoSpaceDN w:val="0"/>
        <w:adjustRightInd w:val="0"/>
        <w:spacing w:line="276" w:lineRule="auto"/>
        <w:jc w:val="center"/>
        <w:rPr>
          <w:rFonts w:ascii="Tahoma" w:hAnsi="Tahoma" w:cs="Tahoma"/>
          <w:b/>
        </w:rPr>
      </w:pPr>
      <w:r w:rsidRPr="008A5179">
        <w:rPr>
          <w:rFonts w:ascii="Tahoma" w:hAnsi="Tahoma" w:cs="Tahoma"/>
          <w:b/>
        </w:rPr>
        <w:t>R E S U E L V E:</w:t>
      </w:r>
    </w:p>
    <w:p w14:paraId="24EF5744" w14:textId="77777777" w:rsidR="007D4D1B" w:rsidRPr="008A5179" w:rsidRDefault="007D4D1B" w:rsidP="008A5179">
      <w:pPr>
        <w:widowControl w:val="0"/>
        <w:autoSpaceDE w:val="0"/>
        <w:autoSpaceDN w:val="0"/>
        <w:adjustRightInd w:val="0"/>
        <w:spacing w:line="276" w:lineRule="auto"/>
        <w:jc w:val="both"/>
        <w:rPr>
          <w:rFonts w:ascii="Tahoma" w:hAnsi="Tahoma" w:cs="Tahoma"/>
        </w:rPr>
      </w:pPr>
    </w:p>
    <w:p w14:paraId="0CF396EF" w14:textId="11039626" w:rsidR="001B2EAD" w:rsidRPr="008A5179" w:rsidRDefault="008A5179" w:rsidP="008A5179">
      <w:pPr>
        <w:widowControl w:val="0"/>
        <w:autoSpaceDE w:val="0"/>
        <w:autoSpaceDN w:val="0"/>
        <w:adjustRightInd w:val="0"/>
        <w:spacing w:line="276" w:lineRule="auto"/>
        <w:ind w:firstLine="1080"/>
        <w:jc w:val="both"/>
        <w:rPr>
          <w:rFonts w:ascii="Tahoma" w:hAnsi="Tahoma" w:cs="Tahoma"/>
        </w:rPr>
      </w:pPr>
      <w:r w:rsidRPr="008A5179">
        <w:rPr>
          <w:rFonts w:ascii="Tahoma" w:hAnsi="Tahoma" w:cs="Tahoma"/>
          <w:b/>
          <w:u w:val="single"/>
        </w:rPr>
        <w:t>PRIMERO</w:t>
      </w:r>
      <w:r w:rsidRPr="008A5179">
        <w:rPr>
          <w:rFonts w:ascii="Tahoma" w:hAnsi="Tahoma" w:cs="Tahoma"/>
        </w:rPr>
        <w:t>. -</w:t>
      </w:r>
      <w:r w:rsidR="00F14EFA" w:rsidRPr="008A5179">
        <w:rPr>
          <w:rFonts w:ascii="Tahoma" w:hAnsi="Tahoma" w:cs="Tahoma"/>
        </w:rPr>
        <w:t xml:space="preserve"> </w:t>
      </w:r>
      <w:r w:rsidR="00A779C5" w:rsidRPr="008A5179">
        <w:rPr>
          <w:rFonts w:ascii="Tahoma" w:hAnsi="Tahoma" w:cs="Tahoma"/>
          <w:b/>
        </w:rPr>
        <w:t xml:space="preserve">MODIFICAR </w:t>
      </w:r>
      <w:r w:rsidR="00B5736D" w:rsidRPr="008A5179">
        <w:rPr>
          <w:rFonts w:ascii="Tahoma" w:hAnsi="Tahoma" w:cs="Tahoma"/>
          <w:bCs/>
        </w:rPr>
        <w:t>los ordinales primero y segundo del</w:t>
      </w:r>
      <w:r w:rsidR="00F10F33" w:rsidRPr="008A5179">
        <w:rPr>
          <w:rFonts w:ascii="Tahoma" w:hAnsi="Tahoma" w:cs="Tahoma"/>
        </w:rPr>
        <w:t xml:space="preserve"> </w:t>
      </w:r>
      <w:r w:rsidR="001B2EAD" w:rsidRPr="008A5179">
        <w:rPr>
          <w:rFonts w:ascii="Tahoma" w:hAnsi="Tahoma" w:cs="Tahoma"/>
        </w:rPr>
        <w:t>auto proferido por el Juzgado</w:t>
      </w:r>
      <w:r w:rsidR="00A779C5" w:rsidRPr="008A5179">
        <w:rPr>
          <w:rFonts w:ascii="Tahoma" w:hAnsi="Tahoma" w:cs="Tahoma"/>
        </w:rPr>
        <w:t xml:space="preserve"> Primero</w:t>
      </w:r>
      <w:r w:rsidR="003C5B2A" w:rsidRPr="008A5179">
        <w:rPr>
          <w:rFonts w:ascii="Tahoma" w:hAnsi="Tahoma" w:cs="Tahoma"/>
        </w:rPr>
        <w:t xml:space="preserve"> </w:t>
      </w:r>
      <w:r w:rsidR="001B2EAD" w:rsidRPr="008A5179">
        <w:rPr>
          <w:rFonts w:ascii="Tahoma" w:hAnsi="Tahoma" w:cs="Tahoma"/>
        </w:rPr>
        <w:t xml:space="preserve">Laboral del Circuito de Pereira el </w:t>
      </w:r>
      <w:r w:rsidR="00A779C5" w:rsidRPr="008A5179">
        <w:rPr>
          <w:rFonts w:ascii="Tahoma" w:hAnsi="Tahoma" w:cs="Tahoma"/>
        </w:rPr>
        <w:t xml:space="preserve">22 de junio de 2023, el cual quedará así: </w:t>
      </w:r>
    </w:p>
    <w:p w14:paraId="3C60ACE5" w14:textId="77777777" w:rsidR="00B5736D" w:rsidRPr="008A5179" w:rsidRDefault="00B5736D" w:rsidP="008A5179">
      <w:pPr>
        <w:widowControl w:val="0"/>
        <w:autoSpaceDE w:val="0"/>
        <w:autoSpaceDN w:val="0"/>
        <w:adjustRightInd w:val="0"/>
        <w:spacing w:line="276" w:lineRule="auto"/>
        <w:ind w:firstLine="1080"/>
        <w:jc w:val="both"/>
        <w:rPr>
          <w:rFonts w:ascii="Tahoma" w:hAnsi="Tahoma" w:cs="Tahoma"/>
        </w:rPr>
      </w:pPr>
    </w:p>
    <w:p w14:paraId="555AB5DA" w14:textId="2D28756A" w:rsidR="00B5736D" w:rsidRPr="008A5179" w:rsidRDefault="00B5736D" w:rsidP="008A5179">
      <w:pPr>
        <w:widowControl w:val="0"/>
        <w:autoSpaceDE w:val="0"/>
        <w:autoSpaceDN w:val="0"/>
        <w:adjustRightInd w:val="0"/>
        <w:spacing w:line="276" w:lineRule="auto"/>
        <w:ind w:firstLine="1080"/>
        <w:jc w:val="both"/>
        <w:rPr>
          <w:rFonts w:ascii="Tahoma" w:hAnsi="Tahoma" w:cs="Tahoma"/>
          <w:i/>
          <w:iCs/>
        </w:rPr>
      </w:pPr>
      <w:r w:rsidRPr="008A5179">
        <w:rPr>
          <w:rFonts w:ascii="Tahoma" w:hAnsi="Tahoma" w:cs="Tahoma"/>
          <w:i/>
          <w:iCs/>
        </w:rPr>
        <w:t>“PRIMERO: DECLARAR probada parcialmente la excepción de PAGO frente al retroactivo pensional</w:t>
      </w:r>
      <w:r w:rsidR="008F2C18" w:rsidRPr="008A5179">
        <w:rPr>
          <w:rFonts w:ascii="Tahoma" w:hAnsi="Tahoma" w:cs="Tahoma"/>
          <w:i/>
          <w:iCs/>
        </w:rPr>
        <w:t xml:space="preserve"> </w:t>
      </w:r>
      <w:r w:rsidRPr="008A5179">
        <w:rPr>
          <w:rFonts w:ascii="Tahoma" w:hAnsi="Tahoma" w:cs="Tahoma"/>
          <w:i/>
          <w:iCs/>
        </w:rPr>
        <w:t xml:space="preserve">y las costas del trámite ordinario, conforme a lo expuesto en la parte motiva. </w:t>
      </w:r>
    </w:p>
    <w:p w14:paraId="450BC379" w14:textId="77777777" w:rsidR="00B5736D" w:rsidRPr="008A5179" w:rsidRDefault="00B5736D" w:rsidP="008A5179">
      <w:pPr>
        <w:widowControl w:val="0"/>
        <w:autoSpaceDE w:val="0"/>
        <w:autoSpaceDN w:val="0"/>
        <w:adjustRightInd w:val="0"/>
        <w:spacing w:line="276" w:lineRule="auto"/>
        <w:ind w:firstLine="1080"/>
        <w:jc w:val="both"/>
        <w:rPr>
          <w:rFonts w:ascii="Tahoma" w:hAnsi="Tahoma" w:cs="Tahoma"/>
          <w:i/>
          <w:iCs/>
        </w:rPr>
      </w:pPr>
    </w:p>
    <w:p w14:paraId="17B4C13A" w14:textId="1BCC5977" w:rsidR="00B5736D" w:rsidRPr="008A5179" w:rsidRDefault="00E351A3" w:rsidP="008A5179">
      <w:pPr>
        <w:widowControl w:val="0"/>
        <w:autoSpaceDE w:val="0"/>
        <w:autoSpaceDN w:val="0"/>
        <w:adjustRightInd w:val="0"/>
        <w:spacing w:line="276" w:lineRule="auto"/>
        <w:ind w:firstLine="1080"/>
        <w:jc w:val="both"/>
        <w:rPr>
          <w:rFonts w:ascii="Tahoma" w:hAnsi="Tahoma" w:cs="Tahoma"/>
          <w:i/>
          <w:iCs/>
        </w:rPr>
      </w:pPr>
      <w:r>
        <w:rPr>
          <w:rFonts w:ascii="Tahoma" w:hAnsi="Tahoma" w:cs="Tahoma"/>
          <w:i/>
          <w:iCs/>
        </w:rPr>
        <w:t>“</w:t>
      </w:r>
      <w:r w:rsidR="00B5736D" w:rsidRPr="008A5179">
        <w:rPr>
          <w:rFonts w:ascii="Tahoma" w:hAnsi="Tahoma" w:cs="Tahoma"/>
          <w:i/>
          <w:iCs/>
        </w:rPr>
        <w:t>SEGUNDO: Continuar el cobro ejecutivo a favor de Carlota de los Ángeles Meza y Gabriel Ángel Rendón y a cargo de la Administradora de Fondos de Pensiones y Cesantías Protección S.A., por los intereses legales causados del 30 de agosto de 2021 y hasta el 06 de septiembre de 2021 sobre el valor de las costas procesales, así como por</w:t>
      </w:r>
      <w:r w:rsidR="008F2C18" w:rsidRPr="008A5179">
        <w:rPr>
          <w:rFonts w:ascii="Tahoma" w:hAnsi="Tahoma" w:cs="Tahoma"/>
          <w:i/>
          <w:iCs/>
        </w:rPr>
        <w:t xml:space="preserve"> el saldo de</w:t>
      </w:r>
      <w:r w:rsidR="00B5736D" w:rsidRPr="008A5179">
        <w:rPr>
          <w:rFonts w:ascii="Tahoma" w:hAnsi="Tahoma" w:cs="Tahoma"/>
          <w:i/>
          <w:iCs/>
        </w:rPr>
        <w:t xml:space="preserve"> los intereses de mora, de conformidad con lo expuesto en la parte considerativa”.</w:t>
      </w:r>
    </w:p>
    <w:p w14:paraId="77F21062" w14:textId="77777777" w:rsidR="001B2EAD" w:rsidRPr="008A5179" w:rsidRDefault="001B2EAD" w:rsidP="008A5179">
      <w:pPr>
        <w:widowControl w:val="0"/>
        <w:autoSpaceDE w:val="0"/>
        <w:autoSpaceDN w:val="0"/>
        <w:adjustRightInd w:val="0"/>
        <w:spacing w:line="276" w:lineRule="auto"/>
        <w:ind w:firstLine="1080"/>
        <w:jc w:val="both"/>
        <w:rPr>
          <w:rFonts w:ascii="Tahoma" w:hAnsi="Tahoma" w:cs="Tahoma"/>
        </w:rPr>
      </w:pPr>
    </w:p>
    <w:p w14:paraId="1C6B7D55" w14:textId="652B06B4" w:rsidR="00AF50EA" w:rsidRPr="008A5179" w:rsidRDefault="008A5179" w:rsidP="008A5179">
      <w:pPr>
        <w:widowControl w:val="0"/>
        <w:autoSpaceDE w:val="0"/>
        <w:autoSpaceDN w:val="0"/>
        <w:adjustRightInd w:val="0"/>
        <w:spacing w:line="276" w:lineRule="auto"/>
        <w:ind w:firstLine="1080"/>
        <w:jc w:val="both"/>
        <w:rPr>
          <w:rFonts w:ascii="Tahoma" w:hAnsi="Tahoma" w:cs="Tahoma"/>
        </w:rPr>
      </w:pPr>
      <w:r w:rsidRPr="008A5179">
        <w:rPr>
          <w:rFonts w:ascii="Tahoma" w:hAnsi="Tahoma" w:cs="Tahoma"/>
          <w:b/>
          <w:u w:val="single"/>
        </w:rPr>
        <w:t>SEGUNDO</w:t>
      </w:r>
      <w:r w:rsidRPr="008A5179">
        <w:rPr>
          <w:rFonts w:ascii="Tahoma" w:hAnsi="Tahoma" w:cs="Tahoma"/>
        </w:rPr>
        <w:t>. -</w:t>
      </w:r>
      <w:r w:rsidR="001B2EAD" w:rsidRPr="008A5179">
        <w:rPr>
          <w:rFonts w:ascii="Tahoma" w:hAnsi="Tahoma" w:cs="Tahoma"/>
        </w:rPr>
        <w:t xml:space="preserve"> </w:t>
      </w:r>
      <w:r w:rsidR="00A779C5" w:rsidRPr="008A5179">
        <w:rPr>
          <w:rFonts w:ascii="Tahoma" w:hAnsi="Tahoma" w:cs="Tahoma"/>
        </w:rPr>
        <w:t>Sin costas en esta instancia.</w:t>
      </w:r>
      <w:r w:rsidR="00A779C5" w:rsidRPr="008A5179">
        <w:rPr>
          <w:rFonts w:ascii="Tahoma" w:hAnsi="Tahoma" w:cs="Tahoma"/>
          <w:b/>
        </w:rPr>
        <w:t xml:space="preserve"> </w:t>
      </w:r>
    </w:p>
    <w:p w14:paraId="444ACDF1" w14:textId="77777777" w:rsidR="008A5179" w:rsidRPr="008A5179" w:rsidRDefault="008A5179" w:rsidP="008A5179">
      <w:pPr>
        <w:spacing w:line="276" w:lineRule="auto"/>
        <w:jc w:val="both"/>
        <w:rPr>
          <w:rFonts w:ascii="Tahoma" w:eastAsia="Calibri" w:hAnsi="Tahoma" w:cs="Tahoma"/>
          <w:lang w:val="es-CO" w:eastAsia="en-US"/>
        </w:rPr>
      </w:pPr>
      <w:bookmarkStart w:id="2" w:name="_Hlk126574973"/>
    </w:p>
    <w:p w14:paraId="04CB5F63" w14:textId="77777777" w:rsidR="008A5179" w:rsidRPr="008A5179" w:rsidRDefault="008A5179" w:rsidP="008A5179">
      <w:pPr>
        <w:spacing w:line="276" w:lineRule="auto"/>
        <w:jc w:val="center"/>
        <w:rPr>
          <w:rFonts w:ascii="Tahoma" w:eastAsia="Tahoma" w:hAnsi="Tahoma" w:cs="Tahoma"/>
          <w:b/>
          <w:bCs/>
          <w:lang w:val="es-CO" w:eastAsia="en-US"/>
        </w:rPr>
      </w:pPr>
      <w:r w:rsidRPr="008A5179">
        <w:rPr>
          <w:rFonts w:ascii="Tahoma" w:eastAsia="Tahoma" w:hAnsi="Tahoma" w:cs="Tahoma"/>
          <w:b/>
          <w:bCs/>
          <w:lang w:val="es-CO" w:eastAsia="en-US"/>
        </w:rPr>
        <w:t>NOTIFÍQUESE Y CÚMPLASE</w:t>
      </w:r>
    </w:p>
    <w:p w14:paraId="0916FB5C" w14:textId="77777777" w:rsidR="008A5179" w:rsidRPr="008A5179" w:rsidRDefault="008A5179" w:rsidP="008A5179">
      <w:pPr>
        <w:spacing w:line="276" w:lineRule="auto"/>
        <w:jc w:val="both"/>
        <w:rPr>
          <w:rFonts w:ascii="Tahoma" w:eastAsia="Calibri" w:hAnsi="Tahoma" w:cs="Tahoma"/>
          <w:lang w:val="es-CO" w:eastAsia="en-US"/>
        </w:rPr>
      </w:pPr>
      <w:r w:rsidRPr="008A5179">
        <w:rPr>
          <w:rFonts w:ascii="Tahoma" w:eastAsia="Calibri" w:hAnsi="Tahoma" w:cs="Tahoma"/>
          <w:lang w:val="es-CO" w:eastAsia="en-US"/>
        </w:rPr>
        <w:t xml:space="preserve"> </w:t>
      </w:r>
    </w:p>
    <w:p w14:paraId="51B5BA35" w14:textId="77777777" w:rsidR="008A5179" w:rsidRPr="008A5179" w:rsidRDefault="008A5179" w:rsidP="008A5179">
      <w:pPr>
        <w:widowControl w:val="0"/>
        <w:autoSpaceDE w:val="0"/>
        <w:autoSpaceDN w:val="0"/>
        <w:adjustRightInd w:val="0"/>
        <w:spacing w:line="276" w:lineRule="auto"/>
        <w:jc w:val="both"/>
        <w:rPr>
          <w:rFonts w:ascii="Tahoma" w:hAnsi="Tahoma" w:cs="Tahoma"/>
        </w:rPr>
      </w:pPr>
      <w:r w:rsidRPr="008A5179">
        <w:rPr>
          <w:rFonts w:ascii="Tahoma" w:hAnsi="Tahoma" w:cs="Tahoma"/>
        </w:rPr>
        <w:tab/>
        <w:t>La Magistrada ponente,</w:t>
      </w:r>
    </w:p>
    <w:p w14:paraId="43B56F86" w14:textId="77777777" w:rsidR="008A5179" w:rsidRPr="008A5179" w:rsidRDefault="008A5179" w:rsidP="008A5179">
      <w:pPr>
        <w:spacing w:line="276" w:lineRule="auto"/>
        <w:rPr>
          <w:rFonts w:ascii="Tahoma" w:hAnsi="Tahoma" w:cs="Tahoma"/>
        </w:rPr>
      </w:pPr>
    </w:p>
    <w:p w14:paraId="22845394" w14:textId="77777777" w:rsidR="008A5179" w:rsidRPr="008A5179" w:rsidRDefault="008A5179" w:rsidP="008A5179">
      <w:pPr>
        <w:spacing w:line="276" w:lineRule="auto"/>
        <w:rPr>
          <w:rFonts w:ascii="Tahoma" w:hAnsi="Tahoma" w:cs="Tahoma"/>
        </w:rPr>
      </w:pPr>
    </w:p>
    <w:p w14:paraId="5F8FDEF3" w14:textId="77777777" w:rsidR="008A5179" w:rsidRPr="008A5179" w:rsidRDefault="008A5179" w:rsidP="008A5179">
      <w:pPr>
        <w:keepNext/>
        <w:spacing w:line="276" w:lineRule="auto"/>
        <w:jc w:val="center"/>
        <w:outlineLvl w:val="2"/>
        <w:rPr>
          <w:rFonts w:ascii="Tahoma" w:hAnsi="Tahoma" w:cs="Tahoma"/>
          <w:b/>
          <w:bCs/>
        </w:rPr>
      </w:pPr>
      <w:r w:rsidRPr="008A5179">
        <w:rPr>
          <w:rFonts w:ascii="Tahoma" w:hAnsi="Tahoma" w:cs="Tahoma"/>
          <w:b/>
          <w:bCs/>
        </w:rPr>
        <w:t>ANA LUCÍA CAICEDO CALDERÓN</w:t>
      </w:r>
    </w:p>
    <w:p w14:paraId="2D68EC11" w14:textId="77777777" w:rsidR="008A5179" w:rsidRPr="008A5179" w:rsidRDefault="008A5179" w:rsidP="008A5179">
      <w:pPr>
        <w:spacing w:line="276" w:lineRule="auto"/>
        <w:rPr>
          <w:rFonts w:ascii="Tahoma" w:hAnsi="Tahoma" w:cs="Tahoma"/>
        </w:rPr>
      </w:pPr>
    </w:p>
    <w:p w14:paraId="2D350F36" w14:textId="77777777" w:rsidR="008A5179" w:rsidRPr="008A5179" w:rsidRDefault="008A5179" w:rsidP="008A5179">
      <w:pPr>
        <w:spacing w:line="276" w:lineRule="auto"/>
        <w:ind w:firstLine="708"/>
        <w:rPr>
          <w:rFonts w:ascii="Tahoma" w:hAnsi="Tahoma" w:cs="Tahoma"/>
        </w:rPr>
      </w:pPr>
      <w:bookmarkStart w:id="3" w:name="_Hlk62478330"/>
      <w:r w:rsidRPr="008A5179">
        <w:rPr>
          <w:rFonts w:ascii="Tahoma" w:hAnsi="Tahoma" w:cs="Tahoma"/>
        </w:rPr>
        <w:t>La Magistrada y el Magistrado,</w:t>
      </w:r>
    </w:p>
    <w:p w14:paraId="67954595" w14:textId="77777777" w:rsidR="008A5179" w:rsidRPr="008A5179" w:rsidRDefault="008A5179" w:rsidP="008A5179">
      <w:pPr>
        <w:spacing w:line="276" w:lineRule="auto"/>
        <w:rPr>
          <w:rFonts w:ascii="Tahoma" w:hAnsi="Tahoma" w:cs="Tahoma"/>
        </w:rPr>
      </w:pPr>
    </w:p>
    <w:p w14:paraId="649B6375" w14:textId="77777777" w:rsidR="008A5179" w:rsidRPr="008A5179" w:rsidRDefault="008A5179" w:rsidP="008A5179">
      <w:pPr>
        <w:spacing w:line="276" w:lineRule="auto"/>
        <w:rPr>
          <w:rFonts w:ascii="Tahoma" w:hAnsi="Tahoma" w:cs="Tahoma"/>
        </w:rPr>
      </w:pPr>
    </w:p>
    <w:p w14:paraId="557E6B0B" w14:textId="1264A5C5" w:rsidR="008A5179" w:rsidRPr="008A5179" w:rsidRDefault="008A5179" w:rsidP="008A5179">
      <w:pPr>
        <w:spacing w:line="276" w:lineRule="auto"/>
        <w:jc w:val="both"/>
        <w:rPr>
          <w:rFonts w:ascii="Tahoma" w:eastAsia="Calibri" w:hAnsi="Tahoma" w:cs="Tahoma"/>
          <w:lang w:eastAsia="en-US"/>
        </w:rPr>
      </w:pPr>
      <w:r w:rsidRPr="008A5179">
        <w:rPr>
          <w:rFonts w:ascii="Tahoma" w:hAnsi="Tahoma" w:cs="Tahoma"/>
          <w:b/>
          <w:bCs/>
        </w:rPr>
        <w:t>OLGA LUCÍA HOYOS SEPÚLVEDA</w:t>
      </w:r>
      <w:r w:rsidRPr="008A5179">
        <w:rPr>
          <w:rFonts w:ascii="Tahoma" w:hAnsi="Tahoma" w:cs="Tahoma"/>
          <w:b/>
          <w:bCs/>
        </w:rPr>
        <w:tab/>
      </w:r>
      <w:r w:rsidRPr="008A5179">
        <w:rPr>
          <w:rFonts w:ascii="Tahoma" w:hAnsi="Tahoma" w:cs="Tahoma"/>
          <w:b/>
          <w:bCs/>
        </w:rPr>
        <w:tab/>
        <w:t>GERMÁN DARÍO GÓEZ VINASCO</w:t>
      </w:r>
      <w:bookmarkEnd w:id="2"/>
      <w:bookmarkEnd w:id="3"/>
    </w:p>
    <w:sectPr w:rsidR="008A5179" w:rsidRPr="008A5179" w:rsidSect="007F19D7">
      <w:headerReference w:type="even" r:id="rId11"/>
      <w:headerReference w:type="default" r:id="rId12"/>
      <w:pgSz w:w="12242" w:h="18722" w:code="258"/>
      <w:pgMar w:top="1814" w:right="1247" w:bottom="1247" w:left="1814"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CAD61B" w16cex:dateUtc="2023-09-11T18:53:41.669Z"/>
  <w16cex:commentExtensible w16cex:durableId="29096F52" w16cex:dateUtc="2023-09-14T13:22:00.63Z"/>
</w16cex:commentsExtensible>
</file>

<file path=word/commentsIds.xml><?xml version="1.0" encoding="utf-8"?>
<w16cid:commentsIds xmlns:mc="http://schemas.openxmlformats.org/markup-compatibility/2006" xmlns:w16cid="http://schemas.microsoft.com/office/word/2016/wordml/cid" mc:Ignorable="w16cid">
  <w16cid:commentId w16cid:paraId="1FBEFDED" w16cid:durableId="5CCAD61B"/>
  <w16cid:commentId w16cid:paraId="5ADE9AE5" w16cid:durableId="29096F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4D07" w14:textId="77777777" w:rsidR="001B172D" w:rsidRDefault="001B172D">
      <w:r>
        <w:separator/>
      </w:r>
    </w:p>
  </w:endnote>
  <w:endnote w:type="continuationSeparator" w:id="0">
    <w:p w14:paraId="4BBF8FD7" w14:textId="77777777" w:rsidR="001B172D" w:rsidRDefault="001B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14A3" w14:textId="77777777" w:rsidR="001B172D" w:rsidRDefault="001B172D">
      <w:r>
        <w:separator/>
      </w:r>
    </w:p>
  </w:footnote>
  <w:footnote w:type="continuationSeparator" w:id="0">
    <w:p w14:paraId="442C3913" w14:textId="77777777" w:rsidR="001B172D" w:rsidRDefault="001B172D">
      <w:r>
        <w:continuationSeparator/>
      </w:r>
    </w:p>
  </w:footnote>
  <w:footnote w:id="1">
    <w:p w14:paraId="3CA04DEE" w14:textId="77777777" w:rsidR="002F2AD2" w:rsidRPr="00010EBF" w:rsidRDefault="002F2AD2" w:rsidP="002F2AD2">
      <w:pPr>
        <w:pStyle w:val="Textonotapie"/>
        <w:ind w:left="284"/>
        <w:rPr>
          <w:rFonts w:ascii="Arial Narrow" w:hAnsi="Arial Narrow" w:cs="Arial"/>
          <w:sz w:val="16"/>
          <w:szCs w:val="16"/>
          <w:lang w:val="es-419"/>
        </w:rPr>
      </w:pPr>
      <w:r w:rsidRPr="00010EBF">
        <w:rPr>
          <w:rStyle w:val="Refdenotaalpie"/>
          <w:rFonts w:ascii="Arial Narrow" w:hAnsi="Arial Narrow" w:cs="Arial"/>
          <w:sz w:val="16"/>
          <w:szCs w:val="16"/>
        </w:rPr>
        <w:footnoteRef/>
      </w:r>
      <w:r w:rsidRPr="00010EBF">
        <w:rPr>
          <w:rFonts w:ascii="Arial Narrow" w:hAnsi="Arial Narrow" w:cs="Arial"/>
          <w:sz w:val="16"/>
          <w:szCs w:val="16"/>
        </w:rPr>
        <w:t xml:space="preserve"> Rad. No. </w:t>
      </w:r>
      <w:r w:rsidRPr="00010EBF">
        <w:rPr>
          <w:rFonts w:ascii="Arial Narrow" w:hAnsi="Arial Narrow" w:cs="Arial"/>
          <w:spacing w:val="-3"/>
          <w:kern w:val="1"/>
          <w:sz w:val="16"/>
          <w:szCs w:val="16"/>
        </w:rPr>
        <w:t>66001-31- 05-005-2017 -00109-01</w:t>
      </w:r>
      <w:r w:rsidRPr="00010EBF">
        <w:rPr>
          <w:rFonts w:ascii="Arial Narrow" w:hAnsi="Arial Narrow" w:cs="Arial"/>
          <w:sz w:val="16"/>
          <w:szCs w:val="16"/>
        </w:rPr>
        <w:t>.  Auto del 9-10-2019 M.P. Dr. Julio César Salazar Muñoz</w:t>
      </w:r>
    </w:p>
  </w:footnote>
  <w:footnote w:id="2">
    <w:p w14:paraId="6CDA732F" w14:textId="77777777" w:rsidR="002F2AD2" w:rsidRPr="00E737CE" w:rsidRDefault="002F2AD2" w:rsidP="002F2AD2">
      <w:pPr>
        <w:pStyle w:val="Textonotapie"/>
        <w:ind w:left="284"/>
        <w:rPr>
          <w:rFonts w:ascii="Arial" w:hAnsi="Arial" w:cs="Arial"/>
          <w:sz w:val="18"/>
          <w:szCs w:val="14"/>
          <w:lang w:val="es-419"/>
        </w:rPr>
      </w:pPr>
      <w:r w:rsidRPr="00E737CE">
        <w:rPr>
          <w:rStyle w:val="Refdenotaalpie"/>
          <w:rFonts w:ascii="Arial" w:hAnsi="Arial" w:cs="Arial"/>
          <w:sz w:val="18"/>
          <w:szCs w:val="14"/>
        </w:rPr>
        <w:footnoteRef/>
      </w:r>
      <w:r w:rsidRPr="00E737CE">
        <w:rPr>
          <w:rFonts w:ascii="Arial" w:hAnsi="Arial" w:cs="Arial"/>
          <w:sz w:val="18"/>
          <w:szCs w:val="14"/>
        </w:rPr>
        <w:t xml:space="preserve"> </w:t>
      </w:r>
      <w:r w:rsidRPr="00786BE5">
        <w:rPr>
          <w:rFonts w:ascii="Arial Narrow" w:hAnsi="Arial Narrow" w:cs="Arial"/>
          <w:sz w:val="16"/>
          <w:szCs w:val="16"/>
        </w:rPr>
        <w:t>Rad. No. 66001-31- 05-002-2011 -00801-02.  Auto del 21-09-2020 M.P. Dra. Alejandra María Henao Palacio.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A41F" w14:textId="77777777" w:rsidR="00FD6F15" w:rsidRDefault="00FD6F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2627EF" w14:textId="77777777" w:rsidR="00FD6F15" w:rsidRDefault="00FD6F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BBE5" w14:textId="3A4858BE" w:rsidR="00FD6F15" w:rsidRPr="008A5179" w:rsidRDefault="00FD6F15" w:rsidP="008A5179">
    <w:pPr>
      <w:pStyle w:val="Encabezado"/>
      <w:framePr w:wrap="around" w:vAnchor="text" w:hAnchor="margin" w:xAlign="center" w:y="1"/>
      <w:rPr>
        <w:rStyle w:val="Nmerodepgina"/>
        <w:rFonts w:ascii="Arial" w:hAnsi="Arial" w:cs="Arial"/>
        <w:sz w:val="18"/>
        <w:szCs w:val="18"/>
      </w:rPr>
    </w:pPr>
    <w:r w:rsidRPr="008A5179">
      <w:rPr>
        <w:rStyle w:val="Nmerodepgina"/>
        <w:rFonts w:ascii="Arial" w:hAnsi="Arial" w:cs="Arial"/>
        <w:sz w:val="18"/>
        <w:szCs w:val="18"/>
      </w:rPr>
      <w:fldChar w:fldCharType="begin"/>
    </w:r>
    <w:r w:rsidRPr="008A5179">
      <w:rPr>
        <w:rStyle w:val="Nmerodepgina"/>
        <w:rFonts w:ascii="Arial" w:hAnsi="Arial" w:cs="Arial"/>
        <w:sz w:val="18"/>
        <w:szCs w:val="18"/>
      </w:rPr>
      <w:instrText xml:space="preserve">PAGE  </w:instrText>
    </w:r>
    <w:r w:rsidRPr="008A5179">
      <w:rPr>
        <w:rStyle w:val="Nmerodepgina"/>
        <w:rFonts w:ascii="Arial" w:hAnsi="Arial" w:cs="Arial"/>
        <w:sz w:val="18"/>
        <w:szCs w:val="18"/>
      </w:rPr>
      <w:fldChar w:fldCharType="separate"/>
    </w:r>
    <w:r w:rsidR="0072201E">
      <w:rPr>
        <w:rStyle w:val="Nmerodepgina"/>
        <w:rFonts w:ascii="Arial" w:hAnsi="Arial" w:cs="Arial"/>
        <w:noProof/>
        <w:sz w:val="18"/>
        <w:szCs w:val="18"/>
      </w:rPr>
      <w:t>7</w:t>
    </w:r>
    <w:r w:rsidRPr="008A5179">
      <w:rPr>
        <w:rStyle w:val="Nmerodepgina"/>
        <w:rFonts w:ascii="Arial" w:hAnsi="Arial" w:cs="Arial"/>
        <w:sz w:val="18"/>
        <w:szCs w:val="18"/>
      </w:rPr>
      <w:fldChar w:fldCharType="end"/>
    </w:r>
  </w:p>
  <w:p w14:paraId="66EFCDAD" w14:textId="77777777" w:rsidR="008A5179" w:rsidRDefault="008A5179" w:rsidP="009C20AC">
    <w:pPr>
      <w:pStyle w:val="Ttulo"/>
      <w:spacing w:line="240" w:lineRule="auto"/>
      <w:ind w:left="708" w:hanging="708"/>
      <w:jc w:val="both"/>
      <w:rPr>
        <w:b w:val="0"/>
        <w:sz w:val="18"/>
        <w:szCs w:val="18"/>
      </w:rPr>
    </w:pPr>
  </w:p>
  <w:p w14:paraId="3725037A" w14:textId="5AE38EF2" w:rsidR="009C20AC" w:rsidRPr="008A5179" w:rsidRDefault="009C20AC" w:rsidP="009C20AC">
    <w:pPr>
      <w:pStyle w:val="Ttulo"/>
      <w:spacing w:line="240" w:lineRule="auto"/>
      <w:ind w:left="708" w:hanging="708"/>
      <w:jc w:val="both"/>
      <w:rPr>
        <w:b w:val="0"/>
        <w:sz w:val="18"/>
        <w:szCs w:val="18"/>
      </w:rPr>
    </w:pPr>
    <w:r w:rsidRPr="008A5179">
      <w:rPr>
        <w:b w:val="0"/>
        <w:sz w:val="18"/>
        <w:szCs w:val="18"/>
      </w:rPr>
      <w:t>Radicación No.:</w:t>
    </w:r>
    <w:r w:rsidR="008A5179">
      <w:rPr>
        <w:b w:val="0"/>
        <w:sz w:val="18"/>
        <w:szCs w:val="18"/>
      </w:rPr>
      <w:tab/>
    </w:r>
    <w:r w:rsidRPr="008A5179">
      <w:rPr>
        <w:b w:val="0"/>
        <w:sz w:val="18"/>
        <w:szCs w:val="18"/>
      </w:rPr>
      <w:t>66001310500</w:t>
    </w:r>
    <w:r w:rsidR="00911F19" w:rsidRPr="008A5179">
      <w:rPr>
        <w:b w:val="0"/>
        <w:sz w:val="18"/>
        <w:szCs w:val="18"/>
      </w:rPr>
      <w:t>1</w:t>
    </w:r>
    <w:r w:rsidRPr="008A5179">
      <w:rPr>
        <w:b w:val="0"/>
        <w:sz w:val="18"/>
        <w:szCs w:val="18"/>
      </w:rPr>
      <w:t>20</w:t>
    </w:r>
    <w:r w:rsidR="00EE79BA" w:rsidRPr="008A5179">
      <w:rPr>
        <w:b w:val="0"/>
        <w:sz w:val="18"/>
        <w:szCs w:val="18"/>
      </w:rPr>
      <w:t>1</w:t>
    </w:r>
    <w:r w:rsidR="00911F19" w:rsidRPr="008A5179">
      <w:rPr>
        <w:b w:val="0"/>
        <w:sz w:val="18"/>
        <w:szCs w:val="18"/>
      </w:rPr>
      <w:t>7</w:t>
    </w:r>
    <w:r w:rsidRPr="008A5179">
      <w:rPr>
        <w:b w:val="0"/>
        <w:sz w:val="18"/>
        <w:szCs w:val="18"/>
      </w:rPr>
      <w:t>00</w:t>
    </w:r>
    <w:r w:rsidR="00911F19" w:rsidRPr="008A5179">
      <w:rPr>
        <w:b w:val="0"/>
        <w:sz w:val="18"/>
        <w:szCs w:val="18"/>
      </w:rPr>
      <w:t>502</w:t>
    </w:r>
    <w:r w:rsidRPr="008A5179">
      <w:rPr>
        <w:b w:val="0"/>
        <w:sz w:val="18"/>
        <w:szCs w:val="18"/>
      </w:rPr>
      <w:t>01</w:t>
    </w:r>
  </w:p>
  <w:p w14:paraId="22033D82" w14:textId="075E6D34" w:rsidR="009C20AC" w:rsidRPr="008A5179" w:rsidRDefault="009C20AC" w:rsidP="009C20AC">
    <w:pPr>
      <w:pStyle w:val="Ttulo"/>
      <w:spacing w:line="240" w:lineRule="auto"/>
      <w:ind w:left="708" w:hanging="708"/>
      <w:jc w:val="both"/>
      <w:rPr>
        <w:b w:val="0"/>
        <w:sz w:val="18"/>
        <w:szCs w:val="18"/>
      </w:rPr>
    </w:pPr>
    <w:r w:rsidRPr="008A5179">
      <w:rPr>
        <w:b w:val="0"/>
        <w:sz w:val="18"/>
        <w:szCs w:val="18"/>
      </w:rPr>
      <w:t>Demandante:</w:t>
    </w:r>
    <w:r w:rsidR="008A5179">
      <w:rPr>
        <w:b w:val="0"/>
        <w:sz w:val="18"/>
        <w:szCs w:val="18"/>
      </w:rPr>
      <w:tab/>
    </w:r>
    <w:r w:rsidR="00911F19" w:rsidRPr="008A5179">
      <w:rPr>
        <w:b w:val="0"/>
        <w:sz w:val="18"/>
        <w:szCs w:val="18"/>
      </w:rPr>
      <w:t xml:space="preserve">Carlota de </w:t>
    </w:r>
    <w:r w:rsidR="00D77F64" w:rsidRPr="008A5179">
      <w:rPr>
        <w:b w:val="0"/>
        <w:sz w:val="18"/>
        <w:szCs w:val="18"/>
      </w:rPr>
      <w:t>l</w:t>
    </w:r>
    <w:r w:rsidR="00911F19" w:rsidRPr="008A5179">
      <w:rPr>
        <w:b w:val="0"/>
        <w:sz w:val="18"/>
        <w:szCs w:val="18"/>
      </w:rPr>
      <w:t>os Ángeles Meza y Otro</w:t>
    </w:r>
  </w:p>
  <w:p w14:paraId="5A1AB0B9" w14:textId="064F3399" w:rsidR="00AF763F" w:rsidRPr="008A5179" w:rsidRDefault="009C20AC" w:rsidP="008A5179">
    <w:pPr>
      <w:pStyle w:val="Ttulo"/>
      <w:spacing w:line="240" w:lineRule="auto"/>
      <w:ind w:left="708" w:hanging="708"/>
      <w:jc w:val="both"/>
      <w:rPr>
        <w:b w:val="0"/>
        <w:sz w:val="18"/>
        <w:szCs w:val="18"/>
      </w:rPr>
    </w:pPr>
    <w:r w:rsidRPr="008A5179">
      <w:rPr>
        <w:b w:val="0"/>
        <w:sz w:val="18"/>
        <w:szCs w:val="18"/>
      </w:rPr>
      <w:t>Demandado:</w:t>
    </w:r>
    <w:r w:rsidR="008A5179">
      <w:rPr>
        <w:b w:val="0"/>
        <w:sz w:val="18"/>
        <w:szCs w:val="18"/>
      </w:rPr>
      <w:tab/>
    </w:r>
    <w:r w:rsidR="00911F19" w:rsidRPr="008A5179">
      <w:rPr>
        <w:b w:val="0"/>
        <w:sz w:val="18"/>
        <w:szCs w:val="18"/>
      </w:rPr>
      <w:t>Protección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96B"/>
    <w:multiLevelType w:val="hybridMultilevel"/>
    <w:tmpl w:val="2802247C"/>
    <w:lvl w:ilvl="0" w:tplc="127467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C53AAC"/>
    <w:multiLevelType w:val="multilevel"/>
    <w:tmpl w:val="728E3B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E24C6"/>
    <w:multiLevelType w:val="multilevel"/>
    <w:tmpl w:val="EE8ADB2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192" w:hanging="2520"/>
      </w:pPr>
      <w:rPr>
        <w:rFonts w:hint="default"/>
      </w:rPr>
    </w:lvl>
  </w:abstractNum>
  <w:abstractNum w:abstractNumId="3" w15:restartNumberingAfterBreak="0">
    <w:nsid w:val="07753C3C"/>
    <w:multiLevelType w:val="multilevel"/>
    <w:tmpl w:val="728E3B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577ED"/>
    <w:multiLevelType w:val="hybridMultilevel"/>
    <w:tmpl w:val="493027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36F9A"/>
    <w:multiLevelType w:val="hybridMultilevel"/>
    <w:tmpl w:val="728E3BC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7B75"/>
    <w:multiLevelType w:val="hybridMultilevel"/>
    <w:tmpl w:val="2A36B1A4"/>
    <w:lvl w:ilvl="0" w:tplc="BFE0A1DE">
      <w:start w:val="4"/>
      <w:numFmt w:val="low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FC30B33"/>
    <w:multiLevelType w:val="hybridMultilevel"/>
    <w:tmpl w:val="553EA4FA"/>
    <w:lvl w:ilvl="0" w:tplc="275C61DA">
      <w:numFmt w:val="bullet"/>
      <w:lvlText w:val="-"/>
      <w:lvlJc w:val="left"/>
      <w:pPr>
        <w:tabs>
          <w:tab w:val="num" w:pos="1639"/>
        </w:tabs>
        <w:ind w:left="1639" w:hanging="930"/>
      </w:pPr>
      <w:rPr>
        <w:rFonts w:ascii="Tahoma" w:eastAsia="Times New Roman" w:hAnsi="Tahoma" w:cs="Tahoma"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17E761D"/>
    <w:multiLevelType w:val="hybridMultilevel"/>
    <w:tmpl w:val="60E4A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A275E5"/>
    <w:multiLevelType w:val="multilevel"/>
    <w:tmpl w:val="3A705F1E"/>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1" w15:restartNumberingAfterBreak="0">
    <w:nsid w:val="41727D8C"/>
    <w:multiLevelType w:val="hybridMultilevel"/>
    <w:tmpl w:val="E5823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4D7440"/>
    <w:multiLevelType w:val="hybridMultilevel"/>
    <w:tmpl w:val="32544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E07409"/>
    <w:multiLevelType w:val="hybridMultilevel"/>
    <w:tmpl w:val="F1A280A8"/>
    <w:lvl w:ilvl="0" w:tplc="086A1CBE">
      <w:start w:val="1"/>
      <w:numFmt w:val="decimal"/>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AB07BA0"/>
    <w:multiLevelType w:val="multilevel"/>
    <w:tmpl w:val="17FC86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06738DF"/>
    <w:multiLevelType w:val="hybridMultilevel"/>
    <w:tmpl w:val="914695B2"/>
    <w:lvl w:ilvl="0" w:tplc="1A4C39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C8108CB"/>
    <w:multiLevelType w:val="hybridMultilevel"/>
    <w:tmpl w:val="7E82D40C"/>
    <w:lvl w:ilvl="0" w:tplc="B9F6934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1E96F88"/>
    <w:multiLevelType w:val="hybridMultilevel"/>
    <w:tmpl w:val="1ABE30CC"/>
    <w:lvl w:ilvl="0" w:tplc="7A381A1A">
      <w:start w:val="1"/>
      <w:numFmt w:val="upperRoman"/>
      <w:lvlText w:val="%1."/>
      <w:lvlJc w:val="left"/>
      <w:pPr>
        <w:tabs>
          <w:tab w:val="num" w:pos="1080"/>
        </w:tabs>
        <w:ind w:left="1080" w:hanging="720"/>
      </w:pPr>
      <w:rPr>
        <w:rFonts w:hint="default"/>
      </w:rPr>
    </w:lvl>
    <w:lvl w:ilvl="1" w:tplc="875AF6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B72EB6"/>
    <w:multiLevelType w:val="hybridMultilevel"/>
    <w:tmpl w:val="7DC8D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C96866"/>
    <w:multiLevelType w:val="hybridMultilevel"/>
    <w:tmpl w:val="DB9A1E3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68EC6D3F"/>
    <w:multiLevelType w:val="multilevel"/>
    <w:tmpl w:val="8E3C36F0"/>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1" w15:restartNumberingAfterBreak="0">
    <w:nsid w:val="750D3CB5"/>
    <w:multiLevelType w:val="multilevel"/>
    <w:tmpl w:val="3508FD96"/>
    <w:lvl w:ilvl="0">
      <w:start w:val="1"/>
      <w:numFmt w:val="decimal"/>
      <w:lvlText w:val="%1."/>
      <w:lvlJc w:val="left"/>
      <w:pPr>
        <w:ind w:left="1428" w:hanging="360"/>
      </w:pPr>
      <w:rPr>
        <w:b/>
      </w:r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num w:numId="1">
    <w:abstractNumId w:val="17"/>
  </w:num>
  <w:num w:numId="2">
    <w:abstractNumId w:val="7"/>
  </w:num>
  <w:num w:numId="3">
    <w:abstractNumId w:val="5"/>
  </w:num>
  <w:num w:numId="4">
    <w:abstractNumId w:val="4"/>
  </w:num>
  <w:num w:numId="5">
    <w:abstractNumId w:val="3"/>
  </w:num>
  <w:num w:numId="6">
    <w:abstractNumId w:val="1"/>
  </w:num>
  <w:num w:numId="7">
    <w:abstractNumId w:val="8"/>
  </w:num>
  <w:num w:numId="8">
    <w:abstractNumId w:val="0"/>
  </w:num>
  <w:num w:numId="9">
    <w:abstractNumId w:val="6"/>
  </w:num>
  <w:num w:numId="10">
    <w:abstractNumId w:val="13"/>
  </w:num>
  <w:num w:numId="11">
    <w:abstractNumId w:val="16"/>
  </w:num>
  <w:num w:numId="12">
    <w:abstractNumId w:val="11"/>
  </w:num>
  <w:num w:numId="13">
    <w:abstractNumId w:val="10"/>
  </w:num>
  <w:num w:numId="14">
    <w:abstractNumId w:val="9"/>
  </w:num>
  <w:num w:numId="15">
    <w:abstractNumId w:val="21"/>
  </w:num>
  <w:num w:numId="16">
    <w:abstractNumId w:val="20"/>
  </w:num>
  <w:num w:numId="17">
    <w:abstractNumId w:val="12"/>
  </w:num>
  <w:num w:numId="18">
    <w:abstractNumId w:val="15"/>
  </w:num>
  <w:num w:numId="19">
    <w:abstractNumId w:val="2"/>
  </w:num>
  <w:num w:numId="20">
    <w:abstractNumId w:val="18"/>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5B"/>
    <w:rsid w:val="00000E73"/>
    <w:rsid w:val="00001210"/>
    <w:rsid w:val="00002C31"/>
    <w:rsid w:val="000030F1"/>
    <w:rsid w:val="00004102"/>
    <w:rsid w:val="00010034"/>
    <w:rsid w:val="000114CC"/>
    <w:rsid w:val="00013F08"/>
    <w:rsid w:val="000179E3"/>
    <w:rsid w:val="00023947"/>
    <w:rsid w:val="000239ED"/>
    <w:rsid w:val="00024695"/>
    <w:rsid w:val="0002731B"/>
    <w:rsid w:val="000326B7"/>
    <w:rsid w:val="00032BA4"/>
    <w:rsid w:val="00036047"/>
    <w:rsid w:val="00036B66"/>
    <w:rsid w:val="000406C1"/>
    <w:rsid w:val="00040B5F"/>
    <w:rsid w:val="00041661"/>
    <w:rsid w:val="00041EDC"/>
    <w:rsid w:val="00042956"/>
    <w:rsid w:val="00043D77"/>
    <w:rsid w:val="00044B1D"/>
    <w:rsid w:val="00044BD6"/>
    <w:rsid w:val="00044BF7"/>
    <w:rsid w:val="00051F1C"/>
    <w:rsid w:val="00053620"/>
    <w:rsid w:val="000625CB"/>
    <w:rsid w:val="000637C3"/>
    <w:rsid w:val="000676D1"/>
    <w:rsid w:val="000679CB"/>
    <w:rsid w:val="00067FA2"/>
    <w:rsid w:val="00070993"/>
    <w:rsid w:val="0007224E"/>
    <w:rsid w:val="00074C56"/>
    <w:rsid w:val="00074CB2"/>
    <w:rsid w:val="000756AB"/>
    <w:rsid w:val="0007611A"/>
    <w:rsid w:val="0008307B"/>
    <w:rsid w:val="000836EB"/>
    <w:rsid w:val="0008392D"/>
    <w:rsid w:val="00084C85"/>
    <w:rsid w:val="00085891"/>
    <w:rsid w:val="00085CC3"/>
    <w:rsid w:val="00086A59"/>
    <w:rsid w:val="000878B8"/>
    <w:rsid w:val="00093A10"/>
    <w:rsid w:val="000940AB"/>
    <w:rsid w:val="00097318"/>
    <w:rsid w:val="000A06D2"/>
    <w:rsid w:val="000A0BC0"/>
    <w:rsid w:val="000A2294"/>
    <w:rsid w:val="000A2D16"/>
    <w:rsid w:val="000A5ACC"/>
    <w:rsid w:val="000B16B9"/>
    <w:rsid w:val="000B34E6"/>
    <w:rsid w:val="000B395C"/>
    <w:rsid w:val="000C100B"/>
    <w:rsid w:val="000C2DE8"/>
    <w:rsid w:val="000C324A"/>
    <w:rsid w:val="000D03E8"/>
    <w:rsid w:val="000D04E1"/>
    <w:rsid w:val="000D0F0C"/>
    <w:rsid w:val="000D1161"/>
    <w:rsid w:val="000D2AB7"/>
    <w:rsid w:val="000E3A68"/>
    <w:rsid w:val="000E3DD6"/>
    <w:rsid w:val="000E5530"/>
    <w:rsid w:val="000E5B32"/>
    <w:rsid w:val="000F0121"/>
    <w:rsid w:val="000F0E9B"/>
    <w:rsid w:val="000F17CF"/>
    <w:rsid w:val="000F39DC"/>
    <w:rsid w:val="000F488B"/>
    <w:rsid w:val="000F50CF"/>
    <w:rsid w:val="000F5112"/>
    <w:rsid w:val="000F6662"/>
    <w:rsid w:val="000F6C20"/>
    <w:rsid w:val="000F780E"/>
    <w:rsid w:val="00104046"/>
    <w:rsid w:val="0010649B"/>
    <w:rsid w:val="00112396"/>
    <w:rsid w:val="0011296D"/>
    <w:rsid w:val="00113859"/>
    <w:rsid w:val="00113D50"/>
    <w:rsid w:val="00114110"/>
    <w:rsid w:val="0011491F"/>
    <w:rsid w:val="00114C98"/>
    <w:rsid w:val="001165DF"/>
    <w:rsid w:val="00120040"/>
    <w:rsid w:val="00120781"/>
    <w:rsid w:val="00120F3B"/>
    <w:rsid w:val="0012203A"/>
    <w:rsid w:val="00123325"/>
    <w:rsid w:val="00123645"/>
    <w:rsid w:val="001269BE"/>
    <w:rsid w:val="00133B45"/>
    <w:rsid w:val="00134FE6"/>
    <w:rsid w:val="00135133"/>
    <w:rsid w:val="00137A8B"/>
    <w:rsid w:val="00142385"/>
    <w:rsid w:val="00143467"/>
    <w:rsid w:val="001438EE"/>
    <w:rsid w:val="00144AEE"/>
    <w:rsid w:val="00145295"/>
    <w:rsid w:val="001503E8"/>
    <w:rsid w:val="00150439"/>
    <w:rsid w:val="00153B85"/>
    <w:rsid w:val="00165F01"/>
    <w:rsid w:val="001669F1"/>
    <w:rsid w:val="00170ADE"/>
    <w:rsid w:val="0017202B"/>
    <w:rsid w:val="001722DB"/>
    <w:rsid w:val="00173416"/>
    <w:rsid w:val="00177192"/>
    <w:rsid w:val="00180701"/>
    <w:rsid w:val="00180AA1"/>
    <w:rsid w:val="00182A53"/>
    <w:rsid w:val="0018506B"/>
    <w:rsid w:val="001866BB"/>
    <w:rsid w:val="0018723F"/>
    <w:rsid w:val="00187FA4"/>
    <w:rsid w:val="00190095"/>
    <w:rsid w:val="001905D5"/>
    <w:rsid w:val="00195396"/>
    <w:rsid w:val="001A1E4E"/>
    <w:rsid w:val="001A40A6"/>
    <w:rsid w:val="001A78C3"/>
    <w:rsid w:val="001A7D73"/>
    <w:rsid w:val="001B0678"/>
    <w:rsid w:val="001B172D"/>
    <w:rsid w:val="001B1CEC"/>
    <w:rsid w:val="001B2D98"/>
    <w:rsid w:val="001B2EAD"/>
    <w:rsid w:val="001B6117"/>
    <w:rsid w:val="001C19A7"/>
    <w:rsid w:val="001C29BE"/>
    <w:rsid w:val="001C3849"/>
    <w:rsid w:val="001C5DCD"/>
    <w:rsid w:val="001C6C1E"/>
    <w:rsid w:val="001D0D2F"/>
    <w:rsid w:val="001D12B8"/>
    <w:rsid w:val="001D21EA"/>
    <w:rsid w:val="001D25B8"/>
    <w:rsid w:val="001D385F"/>
    <w:rsid w:val="001D6842"/>
    <w:rsid w:val="001D7243"/>
    <w:rsid w:val="001D7543"/>
    <w:rsid w:val="001E20ED"/>
    <w:rsid w:val="001E4ABF"/>
    <w:rsid w:val="001E7461"/>
    <w:rsid w:val="001E78D4"/>
    <w:rsid w:val="001F0587"/>
    <w:rsid w:val="001F3236"/>
    <w:rsid w:val="001F5F54"/>
    <w:rsid w:val="001F75DB"/>
    <w:rsid w:val="0020058F"/>
    <w:rsid w:val="0020402E"/>
    <w:rsid w:val="0021004F"/>
    <w:rsid w:val="00214593"/>
    <w:rsid w:val="00214B02"/>
    <w:rsid w:val="00215037"/>
    <w:rsid w:val="00216556"/>
    <w:rsid w:val="0022029F"/>
    <w:rsid w:val="00224087"/>
    <w:rsid w:val="00224952"/>
    <w:rsid w:val="002320F0"/>
    <w:rsid w:val="00232A31"/>
    <w:rsid w:val="002343D3"/>
    <w:rsid w:val="00235AAA"/>
    <w:rsid w:val="00236AB4"/>
    <w:rsid w:val="002403EE"/>
    <w:rsid w:val="002412C3"/>
    <w:rsid w:val="00241B68"/>
    <w:rsid w:val="0024458E"/>
    <w:rsid w:val="00245D03"/>
    <w:rsid w:val="002475D1"/>
    <w:rsid w:val="00251A6B"/>
    <w:rsid w:val="0025238E"/>
    <w:rsid w:val="00255D08"/>
    <w:rsid w:val="00262CF1"/>
    <w:rsid w:val="0026331F"/>
    <w:rsid w:val="002643CE"/>
    <w:rsid w:val="0027180F"/>
    <w:rsid w:val="00274107"/>
    <w:rsid w:val="0027777C"/>
    <w:rsid w:val="00282A22"/>
    <w:rsid w:val="0028499E"/>
    <w:rsid w:val="00286723"/>
    <w:rsid w:val="00287926"/>
    <w:rsid w:val="0029128F"/>
    <w:rsid w:val="00292FD7"/>
    <w:rsid w:val="002932F3"/>
    <w:rsid w:val="002947C1"/>
    <w:rsid w:val="002969CF"/>
    <w:rsid w:val="00297726"/>
    <w:rsid w:val="002979DE"/>
    <w:rsid w:val="002A0211"/>
    <w:rsid w:val="002A67C3"/>
    <w:rsid w:val="002A7EB8"/>
    <w:rsid w:val="002B0062"/>
    <w:rsid w:val="002B27FB"/>
    <w:rsid w:val="002B34A0"/>
    <w:rsid w:val="002B3F86"/>
    <w:rsid w:val="002B3F9A"/>
    <w:rsid w:val="002B6847"/>
    <w:rsid w:val="002C23D0"/>
    <w:rsid w:val="002C2855"/>
    <w:rsid w:val="002C3EDB"/>
    <w:rsid w:val="002C6D27"/>
    <w:rsid w:val="002C719E"/>
    <w:rsid w:val="002D0B52"/>
    <w:rsid w:val="002D2802"/>
    <w:rsid w:val="002D475F"/>
    <w:rsid w:val="002D647C"/>
    <w:rsid w:val="002D7A0A"/>
    <w:rsid w:val="002E101A"/>
    <w:rsid w:val="002E16CE"/>
    <w:rsid w:val="002E1A6E"/>
    <w:rsid w:val="002E2273"/>
    <w:rsid w:val="002E271F"/>
    <w:rsid w:val="002E44C0"/>
    <w:rsid w:val="002E62D3"/>
    <w:rsid w:val="002F002E"/>
    <w:rsid w:val="002F1E32"/>
    <w:rsid w:val="002F2298"/>
    <w:rsid w:val="002F275F"/>
    <w:rsid w:val="002F2AD2"/>
    <w:rsid w:val="003045C3"/>
    <w:rsid w:val="00305B40"/>
    <w:rsid w:val="00307070"/>
    <w:rsid w:val="00307897"/>
    <w:rsid w:val="003111A3"/>
    <w:rsid w:val="00312A49"/>
    <w:rsid w:val="00314C72"/>
    <w:rsid w:val="003154A0"/>
    <w:rsid w:val="00321633"/>
    <w:rsid w:val="003220E3"/>
    <w:rsid w:val="00322C9F"/>
    <w:rsid w:val="003233A9"/>
    <w:rsid w:val="003248E9"/>
    <w:rsid w:val="00330E19"/>
    <w:rsid w:val="00332B14"/>
    <w:rsid w:val="003356E7"/>
    <w:rsid w:val="00336B9B"/>
    <w:rsid w:val="00337D6F"/>
    <w:rsid w:val="003426CA"/>
    <w:rsid w:val="00343C01"/>
    <w:rsid w:val="003452F2"/>
    <w:rsid w:val="0034665E"/>
    <w:rsid w:val="00351118"/>
    <w:rsid w:val="00351EA6"/>
    <w:rsid w:val="003559B2"/>
    <w:rsid w:val="00355C7A"/>
    <w:rsid w:val="00356B6A"/>
    <w:rsid w:val="00357AAD"/>
    <w:rsid w:val="0036044B"/>
    <w:rsid w:val="00360E18"/>
    <w:rsid w:val="00361BE7"/>
    <w:rsid w:val="00364940"/>
    <w:rsid w:val="0037329B"/>
    <w:rsid w:val="003749D8"/>
    <w:rsid w:val="003751CD"/>
    <w:rsid w:val="00381997"/>
    <w:rsid w:val="00390C4E"/>
    <w:rsid w:val="003A07C5"/>
    <w:rsid w:val="003A6EDD"/>
    <w:rsid w:val="003B1729"/>
    <w:rsid w:val="003B1C54"/>
    <w:rsid w:val="003B1D1C"/>
    <w:rsid w:val="003B2CCF"/>
    <w:rsid w:val="003B306F"/>
    <w:rsid w:val="003B57DA"/>
    <w:rsid w:val="003B7B42"/>
    <w:rsid w:val="003B7E03"/>
    <w:rsid w:val="003C0C2E"/>
    <w:rsid w:val="003C21E0"/>
    <w:rsid w:val="003C271A"/>
    <w:rsid w:val="003C2AFB"/>
    <w:rsid w:val="003C5AC3"/>
    <w:rsid w:val="003C5B2A"/>
    <w:rsid w:val="003C6BF3"/>
    <w:rsid w:val="003D08BC"/>
    <w:rsid w:val="003D1F24"/>
    <w:rsid w:val="003D7D2D"/>
    <w:rsid w:val="003E0624"/>
    <w:rsid w:val="003E3D02"/>
    <w:rsid w:val="003E42AD"/>
    <w:rsid w:val="003E493D"/>
    <w:rsid w:val="003E50E8"/>
    <w:rsid w:val="003E6FBA"/>
    <w:rsid w:val="003E7D06"/>
    <w:rsid w:val="003F2590"/>
    <w:rsid w:val="003F297E"/>
    <w:rsid w:val="003F4BCE"/>
    <w:rsid w:val="003F6675"/>
    <w:rsid w:val="003F6D49"/>
    <w:rsid w:val="00401240"/>
    <w:rsid w:val="00402DE0"/>
    <w:rsid w:val="00403253"/>
    <w:rsid w:val="0040388C"/>
    <w:rsid w:val="00406486"/>
    <w:rsid w:val="00406F75"/>
    <w:rsid w:val="00410BD0"/>
    <w:rsid w:val="00412939"/>
    <w:rsid w:val="004156B8"/>
    <w:rsid w:val="004161EA"/>
    <w:rsid w:val="004169AA"/>
    <w:rsid w:val="00417498"/>
    <w:rsid w:val="00417805"/>
    <w:rsid w:val="004225AF"/>
    <w:rsid w:val="0042291D"/>
    <w:rsid w:val="00422F18"/>
    <w:rsid w:val="00424017"/>
    <w:rsid w:val="0042631F"/>
    <w:rsid w:val="00427396"/>
    <w:rsid w:val="004312EE"/>
    <w:rsid w:val="00431F4D"/>
    <w:rsid w:val="004322A8"/>
    <w:rsid w:val="004328DF"/>
    <w:rsid w:val="00433F2B"/>
    <w:rsid w:val="0043434E"/>
    <w:rsid w:val="0043748C"/>
    <w:rsid w:val="004403B9"/>
    <w:rsid w:val="00440C4E"/>
    <w:rsid w:val="0044115F"/>
    <w:rsid w:val="00442D39"/>
    <w:rsid w:val="00445615"/>
    <w:rsid w:val="00450985"/>
    <w:rsid w:val="00454C98"/>
    <w:rsid w:val="00455B64"/>
    <w:rsid w:val="00456848"/>
    <w:rsid w:val="004578C7"/>
    <w:rsid w:val="00460DA7"/>
    <w:rsid w:val="00463814"/>
    <w:rsid w:val="00464E65"/>
    <w:rsid w:val="00467425"/>
    <w:rsid w:val="00472724"/>
    <w:rsid w:val="00481674"/>
    <w:rsid w:val="00481A86"/>
    <w:rsid w:val="004834C3"/>
    <w:rsid w:val="00486640"/>
    <w:rsid w:val="00486955"/>
    <w:rsid w:val="00487DB5"/>
    <w:rsid w:val="004905FF"/>
    <w:rsid w:val="00492014"/>
    <w:rsid w:val="0049216A"/>
    <w:rsid w:val="00492C4F"/>
    <w:rsid w:val="00495CBC"/>
    <w:rsid w:val="004978A7"/>
    <w:rsid w:val="00497DF8"/>
    <w:rsid w:val="004A1C8B"/>
    <w:rsid w:val="004A34C7"/>
    <w:rsid w:val="004A41A9"/>
    <w:rsid w:val="004A5AAB"/>
    <w:rsid w:val="004A6EE6"/>
    <w:rsid w:val="004A7397"/>
    <w:rsid w:val="004A779F"/>
    <w:rsid w:val="004B0473"/>
    <w:rsid w:val="004B0516"/>
    <w:rsid w:val="004B38BA"/>
    <w:rsid w:val="004B6D48"/>
    <w:rsid w:val="004C54F9"/>
    <w:rsid w:val="004C582A"/>
    <w:rsid w:val="004C6639"/>
    <w:rsid w:val="004D1DE9"/>
    <w:rsid w:val="004D31E6"/>
    <w:rsid w:val="004D658D"/>
    <w:rsid w:val="004E0CB5"/>
    <w:rsid w:val="004E2638"/>
    <w:rsid w:val="004E506D"/>
    <w:rsid w:val="004E5144"/>
    <w:rsid w:val="004E515F"/>
    <w:rsid w:val="004E5F49"/>
    <w:rsid w:val="004E60E8"/>
    <w:rsid w:val="004F05EA"/>
    <w:rsid w:val="004F27AD"/>
    <w:rsid w:val="004F2AB7"/>
    <w:rsid w:val="004F5168"/>
    <w:rsid w:val="004F5600"/>
    <w:rsid w:val="004F70D2"/>
    <w:rsid w:val="004F768E"/>
    <w:rsid w:val="00507C23"/>
    <w:rsid w:val="00520BA6"/>
    <w:rsid w:val="00524273"/>
    <w:rsid w:val="00527338"/>
    <w:rsid w:val="00527D7F"/>
    <w:rsid w:val="0053305F"/>
    <w:rsid w:val="00534D30"/>
    <w:rsid w:val="005352C6"/>
    <w:rsid w:val="0053723C"/>
    <w:rsid w:val="00543420"/>
    <w:rsid w:val="005440EB"/>
    <w:rsid w:val="005459E8"/>
    <w:rsid w:val="00550084"/>
    <w:rsid w:val="0055036C"/>
    <w:rsid w:val="0055094C"/>
    <w:rsid w:val="00552824"/>
    <w:rsid w:val="00554593"/>
    <w:rsid w:val="00555394"/>
    <w:rsid w:val="00563016"/>
    <w:rsid w:val="0056330A"/>
    <w:rsid w:val="00564046"/>
    <w:rsid w:val="005722C8"/>
    <w:rsid w:val="00572517"/>
    <w:rsid w:val="00573E44"/>
    <w:rsid w:val="005743F2"/>
    <w:rsid w:val="00575E70"/>
    <w:rsid w:val="00576945"/>
    <w:rsid w:val="005841EE"/>
    <w:rsid w:val="0058455A"/>
    <w:rsid w:val="005848B2"/>
    <w:rsid w:val="0059189F"/>
    <w:rsid w:val="00595D36"/>
    <w:rsid w:val="00595E53"/>
    <w:rsid w:val="00596E39"/>
    <w:rsid w:val="005974C1"/>
    <w:rsid w:val="005A1ADB"/>
    <w:rsid w:val="005A4516"/>
    <w:rsid w:val="005A7C19"/>
    <w:rsid w:val="005B1443"/>
    <w:rsid w:val="005B214B"/>
    <w:rsid w:val="005B46E6"/>
    <w:rsid w:val="005B53EC"/>
    <w:rsid w:val="005B6C2E"/>
    <w:rsid w:val="005C0D5C"/>
    <w:rsid w:val="005C5EAE"/>
    <w:rsid w:val="005C6408"/>
    <w:rsid w:val="005C6E75"/>
    <w:rsid w:val="005C7E32"/>
    <w:rsid w:val="005C7F80"/>
    <w:rsid w:val="005D0402"/>
    <w:rsid w:val="005D34A6"/>
    <w:rsid w:val="005D4BCC"/>
    <w:rsid w:val="005D5285"/>
    <w:rsid w:val="005D7348"/>
    <w:rsid w:val="005E0803"/>
    <w:rsid w:val="005E2614"/>
    <w:rsid w:val="005E2BE1"/>
    <w:rsid w:val="005E347B"/>
    <w:rsid w:val="005F01A4"/>
    <w:rsid w:val="005F1D0C"/>
    <w:rsid w:val="005F2E44"/>
    <w:rsid w:val="005F63B1"/>
    <w:rsid w:val="00604C40"/>
    <w:rsid w:val="00606C7B"/>
    <w:rsid w:val="00610DC5"/>
    <w:rsid w:val="00617180"/>
    <w:rsid w:val="00621A86"/>
    <w:rsid w:val="00621B26"/>
    <w:rsid w:val="006249DD"/>
    <w:rsid w:val="00626FAE"/>
    <w:rsid w:val="00627A56"/>
    <w:rsid w:val="006321BE"/>
    <w:rsid w:val="00633395"/>
    <w:rsid w:val="00636087"/>
    <w:rsid w:val="006369D3"/>
    <w:rsid w:val="0063794B"/>
    <w:rsid w:val="0065036D"/>
    <w:rsid w:val="00651197"/>
    <w:rsid w:val="00652107"/>
    <w:rsid w:val="0065601B"/>
    <w:rsid w:val="006561BB"/>
    <w:rsid w:val="00656DCE"/>
    <w:rsid w:val="006577B9"/>
    <w:rsid w:val="00657961"/>
    <w:rsid w:val="00662C67"/>
    <w:rsid w:val="006651ED"/>
    <w:rsid w:val="00665209"/>
    <w:rsid w:val="0066586A"/>
    <w:rsid w:val="00665C86"/>
    <w:rsid w:val="006666CA"/>
    <w:rsid w:val="00667701"/>
    <w:rsid w:val="00667D7E"/>
    <w:rsid w:val="00667E32"/>
    <w:rsid w:val="006708C9"/>
    <w:rsid w:val="00671E77"/>
    <w:rsid w:val="006728E8"/>
    <w:rsid w:val="00672A8F"/>
    <w:rsid w:val="00673320"/>
    <w:rsid w:val="0067684C"/>
    <w:rsid w:val="00683B34"/>
    <w:rsid w:val="0068479C"/>
    <w:rsid w:val="00685E2A"/>
    <w:rsid w:val="0069065B"/>
    <w:rsid w:val="00690B5B"/>
    <w:rsid w:val="006921D7"/>
    <w:rsid w:val="00693732"/>
    <w:rsid w:val="00694EE5"/>
    <w:rsid w:val="0069710D"/>
    <w:rsid w:val="006A0957"/>
    <w:rsid w:val="006A17E2"/>
    <w:rsid w:val="006A1C66"/>
    <w:rsid w:val="006A565A"/>
    <w:rsid w:val="006B030A"/>
    <w:rsid w:val="006B0A44"/>
    <w:rsid w:val="006B0F94"/>
    <w:rsid w:val="006B23E4"/>
    <w:rsid w:val="006B3242"/>
    <w:rsid w:val="006B387F"/>
    <w:rsid w:val="006B792C"/>
    <w:rsid w:val="006C0845"/>
    <w:rsid w:val="006C64B9"/>
    <w:rsid w:val="006C709B"/>
    <w:rsid w:val="006C7402"/>
    <w:rsid w:val="006D52FA"/>
    <w:rsid w:val="006D7C0A"/>
    <w:rsid w:val="006D7EAB"/>
    <w:rsid w:val="006D7FA5"/>
    <w:rsid w:val="006E0347"/>
    <w:rsid w:val="006E515C"/>
    <w:rsid w:val="006E6624"/>
    <w:rsid w:val="006E676C"/>
    <w:rsid w:val="006E776A"/>
    <w:rsid w:val="006F0705"/>
    <w:rsid w:val="006F0ABB"/>
    <w:rsid w:val="006F7D8B"/>
    <w:rsid w:val="0070197E"/>
    <w:rsid w:val="00702460"/>
    <w:rsid w:val="007069C4"/>
    <w:rsid w:val="00711984"/>
    <w:rsid w:val="00711D63"/>
    <w:rsid w:val="00712ACE"/>
    <w:rsid w:val="00715C75"/>
    <w:rsid w:val="007163D0"/>
    <w:rsid w:val="00720D2F"/>
    <w:rsid w:val="0072201E"/>
    <w:rsid w:val="00725470"/>
    <w:rsid w:val="00725536"/>
    <w:rsid w:val="00725AF0"/>
    <w:rsid w:val="00725EF3"/>
    <w:rsid w:val="0072708A"/>
    <w:rsid w:val="0073316B"/>
    <w:rsid w:val="00734BD7"/>
    <w:rsid w:val="0073590F"/>
    <w:rsid w:val="007406EB"/>
    <w:rsid w:val="00741F9E"/>
    <w:rsid w:val="007432B1"/>
    <w:rsid w:val="00744EA3"/>
    <w:rsid w:val="00745CC5"/>
    <w:rsid w:val="00746AC9"/>
    <w:rsid w:val="00752095"/>
    <w:rsid w:val="007550F0"/>
    <w:rsid w:val="007564D7"/>
    <w:rsid w:val="00760011"/>
    <w:rsid w:val="00760D73"/>
    <w:rsid w:val="007626E8"/>
    <w:rsid w:val="0076525C"/>
    <w:rsid w:val="00767BCA"/>
    <w:rsid w:val="00767EAD"/>
    <w:rsid w:val="0077047A"/>
    <w:rsid w:val="00774143"/>
    <w:rsid w:val="007757F2"/>
    <w:rsid w:val="00775E8D"/>
    <w:rsid w:val="007764DE"/>
    <w:rsid w:val="0077712A"/>
    <w:rsid w:val="00783CEF"/>
    <w:rsid w:val="00792CBB"/>
    <w:rsid w:val="00792E9F"/>
    <w:rsid w:val="00796FD8"/>
    <w:rsid w:val="007978DA"/>
    <w:rsid w:val="00797D49"/>
    <w:rsid w:val="007A3913"/>
    <w:rsid w:val="007B0E4C"/>
    <w:rsid w:val="007B1781"/>
    <w:rsid w:val="007B48AC"/>
    <w:rsid w:val="007B5E9E"/>
    <w:rsid w:val="007C032D"/>
    <w:rsid w:val="007C303B"/>
    <w:rsid w:val="007C4541"/>
    <w:rsid w:val="007D4D1B"/>
    <w:rsid w:val="007D5E36"/>
    <w:rsid w:val="007D5EAF"/>
    <w:rsid w:val="007E1EAC"/>
    <w:rsid w:val="007E305B"/>
    <w:rsid w:val="007E3FB8"/>
    <w:rsid w:val="007E5784"/>
    <w:rsid w:val="007E5C10"/>
    <w:rsid w:val="007F078C"/>
    <w:rsid w:val="007F19D7"/>
    <w:rsid w:val="007F1A20"/>
    <w:rsid w:val="007F26BC"/>
    <w:rsid w:val="007F29CF"/>
    <w:rsid w:val="007F3A97"/>
    <w:rsid w:val="007F4FE9"/>
    <w:rsid w:val="007F7A39"/>
    <w:rsid w:val="00802EF6"/>
    <w:rsid w:val="00803E0B"/>
    <w:rsid w:val="0080487B"/>
    <w:rsid w:val="00805442"/>
    <w:rsid w:val="00805A6B"/>
    <w:rsid w:val="00805B99"/>
    <w:rsid w:val="0081089F"/>
    <w:rsid w:val="00811ED6"/>
    <w:rsid w:val="0081225F"/>
    <w:rsid w:val="00815CF0"/>
    <w:rsid w:val="00817230"/>
    <w:rsid w:val="00817E9E"/>
    <w:rsid w:val="00822D96"/>
    <w:rsid w:val="00824488"/>
    <w:rsid w:val="00824A2F"/>
    <w:rsid w:val="008251DE"/>
    <w:rsid w:val="0082538D"/>
    <w:rsid w:val="0082579D"/>
    <w:rsid w:val="008303B6"/>
    <w:rsid w:val="00833499"/>
    <w:rsid w:val="00834461"/>
    <w:rsid w:val="00834745"/>
    <w:rsid w:val="0083611E"/>
    <w:rsid w:val="0084071B"/>
    <w:rsid w:val="00844D32"/>
    <w:rsid w:val="008463D1"/>
    <w:rsid w:val="00850681"/>
    <w:rsid w:val="00850A32"/>
    <w:rsid w:val="00851806"/>
    <w:rsid w:val="00853D9C"/>
    <w:rsid w:val="00854CFD"/>
    <w:rsid w:val="00856406"/>
    <w:rsid w:val="00857358"/>
    <w:rsid w:val="0085791F"/>
    <w:rsid w:val="008714DD"/>
    <w:rsid w:val="008729C2"/>
    <w:rsid w:val="00873EA9"/>
    <w:rsid w:val="00874A27"/>
    <w:rsid w:val="00875E61"/>
    <w:rsid w:val="0088338B"/>
    <w:rsid w:val="00885245"/>
    <w:rsid w:val="0088671C"/>
    <w:rsid w:val="00890D2D"/>
    <w:rsid w:val="00891235"/>
    <w:rsid w:val="00895A46"/>
    <w:rsid w:val="008A0B12"/>
    <w:rsid w:val="008A1EA2"/>
    <w:rsid w:val="008A1F25"/>
    <w:rsid w:val="008A46FC"/>
    <w:rsid w:val="008A5179"/>
    <w:rsid w:val="008A5C50"/>
    <w:rsid w:val="008B04BB"/>
    <w:rsid w:val="008B27B1"/>
    <w:rsid w:val="008B4B8B"/>
    <w:rsid w:val="008B56FA"/>
    <w:rsid w:val="008B6360"/>
    <w:rsid w:val="008C0E5A"/>
    <w:rsid w:val="008C2AD4"/>
    <w:rsid w:val="008D1B50"/>
    <w:rsid w:val="008D249C"/>
    <w:rsid w:val="008D32CC"/>
    <w:rsid w:val="008D4015"/>
    <w:rsid w:val="008D63BB"/>
    <w:rsid w:val="008D6ACD"/>
    <w:rsid w:val="008D71D3"/>
    <w:rsid w:val="008D7B4D"/>
    <w:rsid w:val="008E3047"/>
    <w:rsid w:val="008E3468"/>
    <w:rsid w:val="008E5136"/>
    <w:rsid w:val="008F0041"/>
    <w:rsid w:val="008F0EB2"/>
    <w:rsid w:val="008F1268"/>
    <w:rsid w:val="008F2C18"/>
    <w:rsid w:val="008F2D42"/>
    <w:rsid w:val="00904FC9"/>
    <w:rsid w:val="009057C3"/>
    <w:rsid w:val="00905BD3"/>
    <w:rsid w:val="00910696"/>
    <w:rsid w:val="00911CAA"/>
    <w:rsid w:val="00911F19"/>
    <w:rsid w:val="00912FCF"/>
    <w:rsid w:val="00913D73"/>
    <w:rsid w:val="00916437"/>
    <w:rsid w:val="00916F1A"/>
    <w:rsid w:val="0091742D"/>
    <w:rsid w:val="009230C5"/>
    <w:rsid w:val="00923384"/>
    <w:rsid w:val="00923C31"/>
    <w:rsid w:val="009257E1"/>
    <w:rsid w:val="00926CAC"/>
    <w:rsid w:val="00927302"/>
    <w:rsid w:val="0093203A"/>
    <w:rsid w:val="009322DB"/>
    <w:rsid w:val="00932F8B"/>
    <w:rsid w:val="00933D88"/>
    <w:rsid w:val="00934AD6"/>
    <w:rsid w:val="0094052F"/>
    <w:rsid w:val="00941349"/>
    <w:rsid w:val="00941F15"/>
    <w:rsid w:val="009441CD"/>
    <w:rsid w:val="00945486"/>
    <w:rsid w:val="00946719"/>
    <w:rsid w:val="00946778"/>
    <w:rsid w:val="009479E2"/>
    <w:rsid w:val="00947D59"/>
    <w:rsid w:val="009522B6"/>
    <w:rsid w:val="00952977"/>
    <w:rsid w:val="00952E62"/>
    <w:rsid w:val="00954925"/>
    <w:rsid w:val="00963879"/>
    <w:rsid w:val="00963B40"/>
    <w:rsid w:val="00964A82"/>
    <w:rsid w:val="009653D4"/>
    <w:rsid w:val="00970D35"/>
    <w:rsid w:val="00970F26"/>
    <w:rsid w:val="00973799"/>
    <w:rsid w:val="009757F1"/>
    <w:rsid w:val="00976B06"/>
    <w:rsid w:val="00977554"/>
    <w:rsid w:val="009805B3"/>
    <w:rsid w:val="00982569"/>
    <w:rsid w:val="00985435"/>
    <w:rsid w:val="00991850"/>
    <w:rsid w:val="009925CA"/>
    <w:rsid w:val="00996F4A"/>
    <w:rsid w:val="00997005"/>
    <w:rsid w:val="009A116D"/>
    <w:rsid w:val="009A2C52"/>
    <w:rsid w:val="009A395A"/>
    <w:rsid w:val="009A46B4"/>
    <w:rsid w:val="009B026D"/>
    <w:rsid w:val="009B0464"/>
    <w:rsid w:val="009B0ED6"/>
    <w:rsid w:val="009B3B1E"/>
    <w:rsid w:val="009B598C"/>
    <w:rsid w:val="009B604C"/>
    <w:rsid w:val="009C20AC"/>
    <w:rsid w:val="009C2AD1"/>
    <w:rsid w:val="009C57B6"/>
    <w:rsid w:val="009D0A19"/>
    <w:rsid w:val="009D64D3"/>
    <w:rsid w:val="009E2FBC"/>
    <w:rsid w:val="009E734E"/>
    <w:rsid w:val="009E7F20"/>
    <w:rsid w:val="009F132C"/>
    <w:rsid w:val="009F5CAC"/>
    <w:rsid w:val="00A01A02"/>
    <w:rsid w:val="00A025AC"/>
    <w:rsid w:val="00A04DF8"/>
    <w:rsid w:val="00A067A3"/>
    <w:rsid w:val="00A06809"/>
    <w:rsid w:val="00A06D01"/>
    <w:rsid w:val="00A12C46"/>
    <w:rsid w:val="00A12FAC"/>
    <w:rsid w:val="00A15268"/>
    <w:rsid w:val="00A162D8"/>
    <w:rsid w:val="00A16F4D"/>
    <w:rsid w:val="00A2005B"/>
    <w:rsid w:val="00A207B6"/>
    <w:rsid w:val="00A21457"/>
    <w:rsid w:val="00A22B70"/>
    <w:rsid w:val="00A2305D"/>
    <w:rsid w:val="00A25DB9"/>
    <w:rsid w:val="00A27CAA"/>
    <w:rsid w:val="00A30616"/>
    <w:rsid w:val="00A323F9"/>
    <w:rsid w:val="00A347A6"/>
    <w:rsid w:val="00A36BF6"/>
    <w:rsid w:val="00A37A7E"/>
    <w:rsid w:val="00A37EA7"/>
    <w:rsid w:val="00A41195"/>
    <w:rsid w:val="00A43284"/>
    <w:rsid w:val="00A44A5C"/>
    <w:rsid w:val="00A46497"/>
    <w:rsid w:val="00A523C2"/>
    <w:rsid w:val="00A529EF"/>
    <w:rsid w:val="00A53F45"/>
    <w:rsid w:val="00A55CA2"/>
    <w:rsid w:val="00A61E91"/>
    <w:rsid w:val="00A6298C"/>
    <w:rsid w:val="00A64B1C"/>
    <w:rsid w:val="00A66640"/>
    <w:rsid w:val="00A66E3A"/>
    <w:rsid w:val="00A716C1"/>
    <w:rsid w:val="00A74A24"/>
    <w:rsid w:val="00A776CD"/>
    <w:rsid w:val="00A779C5"/>
    <w:rsid w:val="00A805C7"/>
    <w:rsid w:val="00A80AD4"/>
    <w:rsid w:val="00A82055"/>
    <w:rsid w:val="00A82AA3"/>
    <w:rsid w:val="00A90F5C"/>
    <w:rsid w:val="00A91F08"/>
    <w:rsid w:val="00A94F97"/>
    <w:rsid w:val="00AA3DA4"/>
    <w:rsid w:val="00AA4348"/>
    <w:rsid w:val="00AA4699"/>
    <w:rsid w:val="00AA5B4C"/>
    <w:rsid w:val="00AB23A2"/>
    <w:rsid w:val="00AB491A"/>
    <w:rsid w:val="00AB4DDE"/>
    <w:rsid w:val="00AB4FA3"/>
    <w:rsid w:val="00AB6112"/>
    <w:rsid w:val="00AB6D65"/>
    <w:rsid w:val="00AC657D"/>
    <w:rsid w:val="00AC65E3"/>
    <w:rsid w:val="00AD1F6F"/>
    <w:rsid w:val="00AD24FB"/>
    <w:rsid w:val="00AD2AFA"/>
    <w:rsid w:val="00AD3C77"/>
    <w:rsid w:val="00AD49FA"/>
    <w:rsid w:val="00AD4DF3"/>
    <w:rsid w:val="00AD4FF8"/>
    <w:rsid w:val="00AE0B72"/>
    <w:rsid w:val="00AE1C53"/>
    <w:rsid w:val="00AE1D61"/>
    <w:rsid w:val="00AE3DE3"/>
    <w:rsid w:val="00AE43B4"/>
    <w:rsid w:val="00AE57D1"/>
    <w:rsid w:val="00AE68B2"/>
    <w:rsid w:val="00AE75FB"/>
    <w:rsid w:val="00AF01EE"/>
    <w:rsid w:val="00AF1C0A"/>
    <w:rsid w:val="00AF50EA"/>
    <w:rsid w:val="00AF6FF2"/>
    <w:rsid w:val="00AF763F"/>
    <w:rsid w:val="00AF76F5"/>
    <w:rsid w:val="00B016B3"/>
    <w:rsid w:val="00B04146"/>
    <w:rsid w:val="00B10EE6"/>
    <w:rsid w:val="00B13882"/>
    <w:rsid w:val="00B1445F"/>
    <w:rsid w:val="00B14D9A"/>
    <w:rsid w:val="00B15202"/>
    <w:rsid w:val="00B153F2"/>
    <w:rsid w:val="00B17115"/>
    <w:rsid w:val="00B17628"/>
    <w:rsid w:val="00B17DC3"/>
    <w:rsid w:val="00B17FFB"/>
    <w:rsid w:val="00B20184"/>
    <w:rsid w:val="00B21FE8"/>
    <w:rsid w:val="00B23190"/>
    <w:rsid w:val="00B278B3"/>
    <w:rsid w:val="00B33353"/>
    <w:rsid w:val="00B36691"/>
    <w:rsid w:val="00B40409"/>
    <w:rsid w:val="00B405AE"/>
    <w:rsid w:val="00B41E4B"/>
    <w:rsid w:val="00B5020E"/>
    <w:rsid w:val="00B51920"/>
    <w:rsid w:val="00B5267E"/>
    <w:rsid w:val="00B5500C"/>
    <w:rsid w:val="00B55487"/>
    <w:rsid w:val="00B5604A"/>
    <w:rsid w:val="00B5736D"/>
    <w:rsid w:val="00B6050A"/>
    <w:rsid w:val="00B6250E"/>
    <w:rsid w:val="00B63755"/>
    <w:rsid w:val="00B657FB"/>
    <w:rsid w:val="00B65911"/>
    <w:rsid w:val="00B65B19"/>
    <w:rsid w:val="00B65C30"/>
    <w:rsid w:val="00B7592A"/>
    <w:rsid w:val="00B76AB2"/>
    <w:rsid w:val="00B76F17"/>
    <w:rsid w:val="00B7754B"/>
    <w:rsid w:val="00B81755"/>
    <w:rsid w:val="00B86FD4"/>
    <w:rsid w:val="00B907F3"/>
    <w:rsid w:val="00B96411"/>
    <w:rsid w:val="00B964FF"/>
    <w:rsid w:val="00BA212A"/>
    <w:rsid w:val="00BA536A"/>
    <w:rsid w:val="00BA5789"/>
    <w:rsid w:val="00BA5A54"/>
    <w:rsid w:val="00BA6CFD"/>
    <w:rsid w:val="00BA70E6"/>
    <w:rsid w:val="00BB0060"/>
    <w:rsid w:val="00BB14AD"/>
    <w:rsid w:val="00BB250D"/>
    <w:rsid w:val="00BB337E"/>
    <w:rsid w:val="00BB718A"/>
    <w:rsid w:val="00BC30CC"/>
    <w:rsid w:val="00BD0A60"/>
    <w:rsid w:val="00BD1CD4"/>
    <w:rsid w:val="00BD4C8E"/>
    <w:rsid w:val="00BD652A"/>
    <w:rsid w:val="00BD6531"/>
    <w:rsid w:val="00BE3E74"/>
    <w:rsid w:val="00BE41E8"/>
    <w:rsid w:val="00BE4283"/>
    <w:rsid w:val="00BE74EC"/>
    <w:rsid w:val="00BE7AFA"/>
    <w:rsid w:val="00BE7EEC"/>
    <w:rsid w:val="00BF06A7"/>
    <w:rsid w:val="00BF0942"/>
    <w:rsid w:val="00BF0BFD"/>
    <w:rsid w:val="00BF15D7"/>
    <w:rsid w:val="00BF2384"/>
    <w:rsid w:val="00BF35FF"/>
    <w:rsid w:val="00BF54A9"/>
    <w:rsid w:val="00BF5E0B"/>
    <w:rsid w:val="00BF68BF"/>
    <w:rsid w:val="00C03D50"/>
    <w:rsid w:val="00C0544C"/>
    <w:rsid w:val="00C05D42"/>
    <w:rsid w:val="00C06FA9"/>
    <w:rsid w:val="00C15AB8"/>
    <w:rsid w:val="00C171B3"/>
    <w:rsid w:val="00C2213F"/>
    <w:rsid w:val="00C22C85"/>
    <w:rsid w:val="00C23207"/>
    <w:rsid w:val="00C23570"/>
    <w:rsid w:val="00C243F0"/>
    <w:rsid w:val="00C2620B"/>
    <w:rsid w:val="00C30402"/>
    <w:rsid w:val="00C33DFD"/>
    <w:rsid w:val="00C3413F"/>
    <w:rsid w:val="00C358AD"/>
    <w:rsid w:val="00C40D5D"/>
    <w:rsid w:val="00C4158D"/>
    <w:rsid w:val="00C417B3"/>
    <w:rsid w:val="00C4205E"/>
    <w:rsid w:val="00C423A9"/>
    <w:rsid w:val="00C42CF5"/>
    <w:rsid w:val="00C44797"/>
    <w:rsid w:val="00C4742A"/>
    <w:rsid w:val="00C54DFF"/>
    <w:rsid w:val="00C54E5D"/>
    <w:rsid w:val="00C55F33"/>
    <w:rsid w:val="00C56D5E"/>
    <w:rsid w:val="00C57114"/>
    <w:rsid w:val="00C57D7A"/>
    <w:rsid w:val="00C610A6"/>
    <w:rsid w:val="00C61DD9"/>
    <w:rsid w:val="00C709D8"/>
    <w:rsid w:val="00C721CC"/>
    <w:rsid w:val="00C72957"/>
    <w:rsid w:val="00C73024"/>
    <w:rsid w:val="00C736E3"/>
    <w:rsid w:val="00C74F6C"/>
    <w:rsid w:val="00C77193"/>
    <w:rsid w:val="00C82E78"/>
    <w:rsid w:val="00C8339E"/>
    <w:rsid w:val="00C83793"/>
    <w:rsid w:val="00C90A12"/>
    <w:rsid w:val="00C96A67"/>
    <w:rsid w:val="00CA0A42"/>
    <w:rsid w:val="00CA266A"/>
    <w:rsid w:val="00CA3CF4"/>
    <w:rsid w:val="00CA3DC4"/>
    <w:rsid w:val="00CA42D7"/>
    <w:rsid w:val="00CA5D64"/>
    <w:rsid w:val="00CA7B8A"/>
    <w:rsid w:val="00CB1110"/>
    <w:rsid w:val="00CB3933"/>
    <w:rsid w:val="00CB3B35"/>
    <w:rsid w:val="00CB43EB"/>
    <w:rsid w:val="00CB5EE6"/>
    <w:rsid w:val="00CB633C"/>
    <w:rsid w:val="00CB7166"/>
    <w:rsid w:val="00CB71E8"/>
    <w:rsid w:val="00CC0235"/>
    <w:rsid w:val="00CC03FA"/>
    <w:rsid w:val="00CC089B"/>
    <w:rsid w:val="00CC10B3"/>
    <w:rsid w:val="00CC26B7"/>
    <w:rsid w:val="00CC366D"/>
    <w:rsid w:val="00CC502B"/>
    <w:rsid w:val="00CC755E"/>
    <w:rsid w:val="00CC7D03"/>
    <w:rsid w:val="00CD305E"/>
    <w:rsid w:val="00CD4EB3"/>
    <w:rsid w:val="00CD5D3D"/>
    <w:rsid w:val="00CD753D"/>
    <w:rsid w:val="00CD7A4F"/>
    <w:rsid w:val="00CE2C3E"/>
    <w:rsid w:val="00CE3B50"/>
    <w:rsid w:val="00CE4F13"/>
    <w:rsid w:val="00CF1C7B"/>
    <w:rsid w:val="00CF4421"/>
    <w:rsid w:val="00CF5AB5"/>
    <w:rsid w:val="00CF715F"/>
    <w:rsid w:val="00D016BA"/>
    <w:rsid w:val="00D0531F"/>
    <w:rsid w:val="00D10141"/>
    <w:rsid w:val="00D107D5"/>
    <w:rsid w:val="00D1103C"/>
    <w:rsid w:val="00D112B3"/>
    <w:rsid w:val="00D11D62"/>
    <w:rsid w:val="00D13DA2"/>
    <w:rsid w:val="00D236B1"/>
    <w:rsid w:val="00D23C64"/>
    <w:rsid w:val="00D27893"/>
    <w:rsid w:val="00D31783"/>
    <w:rsid w:val="00D323D6"/>
    <w:rsid w:val="00D32AB7"/>
    <w:rsid w:val="00D32DD4"/>
    <w:rsid w:val="00D34888"/>
    <w:rsid w:val="00D34DCF"/>
    <w:rsid w:val="00D35737"/>
    <w:rsid w:val="00D358DF"/>
    <w:rsid w:val="00D3613A"/>
    <w:rsid w:val="00D3635B"/>
    <w:rsid w:val="00D37B9E"/>
    <w:rsid w:val="00D42946"/>
    <w:rsid w:val="00D4367A"/>
    <w:rsid w:val="00D44E33"/>
    <w:rsid w:val="00D45914"/>
    <w:rsid w:val="00D45E04"/>
    <w:rsid w:val="00D470D5"/>
    <w:rsid w:val="00D505B6"/>
    <w:rsid w:val="00D53727"/>
    <w:rsid w:val="00D54616"/>
    <w:rsid w:val="00D5511B"/>
    <w:rsid w:val="00D562A1"/>
    <w:rsid w:val="00D57060"/>
    <w:rsid w:val="00D628A4"/>
    <w:rsid w:val="00D756B3"/>
    <w:rsid w:val="00D75FAC"/>
    <w:rsid w:val="00D76E9B"/>
    <w:rsid w:val="00D77A95"/>
    <w:rsid w:val="00D77F64"/>
    <w:rsid w:val="00D803AD"/>
    <w:rsid w:val="00D80659"/>
    <w:rsid w:val="00D8225A"/>
    <w:rsid w:val="00D826FB"/>
    <w:rsid w:val="00D83CF7"/>
    <w:rsid w:val="00D85098"/>
    <w:rsid w:val="00D86D02"/>
    <w:rsid w:val="00D933F6"/>
    <w:rsid w:val="00D94AFB"/>
    <w:rsid w:val="00D978BA"/>
    <w:rsid w:val="00DA1167"/>
    <w:rsid w:val="00DA20AF"/>
    <w:rsid w:val="00DA27ED"/>
    <w:rsid w:val="00DA2975"/>
    <w:rsid w:val="00DA4603"/>
    <w:rsid w:val="00DA48B5"/>
    <w:rsid w:val="00DA4D2F"/>
    <w:rsid w:val="00DA7CA9"/>
    <w:rsid w:val="00DC0C6D"/>
    <w:rsid w:val="00DC0E0D"/>
    <w:rsid w:val="00DC168B"/>
    <w:rsid w:val="00DC2526"/>
    <w:rsid w:val="00DC2A48"/>
    <w:rsid w:val="00DC301A"/>
    <w:rsid w:val="00DC387E"/>
    <w:rsid w:val="00DC3C98"/>
    <w:rsid w:val="00DC4A0D"/>
    <w:rsid w:val="00DC5111"/>
    <w:rsid w:val="00DC6421"/>
    <w:rsid w:val="00DC72F1"/>
    <w:rsid w:val="00DD1F8F"/>
    <w:rsid w:val="00DD3480"/>
    <w:rsid w:val="00DD3A67"/>
    <w:rsid w:val="00DE126F"/>
    <w:rsid w:val="00DE12B0"/>
    <w:rsid w:val="00DE21D9"/>
    <w:rsid w:val="00DE29FC"/>
    <w:rsid w:val="00DE43C4"/>
    <w:rsid w:val="00DE5428"/>
    <w:rsid w:val="00DE7816"/>
    <w:rsid w:val="00DF0E18"/>
    <w:rsid w:val="00DF2FF5"/>
    <w:rsid w:val="00DF3263"/>
    <w:rsid w:val="00DF350C"/>
    <w:rsid w:val="00DF5CAE"/>
    <w:rsid w:val="00DF66F1"/>
    <w:rsid w:val="00DF6B95"/>
    <w:rsid w:val="00DF762D"/>
    <w:rsid w:val="00DF7BB6"/>
    <w:rsid w:val="00E0074B"/>
    <w:rsid w:val="00E01F8B"/>
    <w:rsid w:val="00E0457B"/>
    <w:rsid w:val="00E04CBC"/>
    <w:rsid w:val="00E053D4"/>
    <w:rsid w:val="00E05934"/>
    <w:rsid w:val="00E05AE9"/>
    <w:rsid w:val="00E06246"/>
    <w:rsid w:val="00E07E0E"/>
    <w:rsid w:val="00E123EF"/>
    <w:rsid w:val="00E14925"/>
    <w:rsid w:val="00E15500"/>
    <w:rsid w:val="00E15734"/>
    <w:rsid w:val="00E15A64"/>
    <w:rsid w:val="00E15AF3"/>
    <w:rsid w:val="00E15EC2"/>
    <w:rsid w:val="00E17D36"/>
    <w:rsid w:val="00E17DDF"/>
    <w:rsid w:val="00E20E85"/>
    <w:rsid w:val="00E214D2"/>
    <w:rsid w:val="00E2355D"/>
    <w:rsid w:val="00E24FAC"/>
    <w:rsid w:val="00E26303"/>
    <w:rsid w:val="00E30C2A"/>
    <w:rsid w:val="00E3268B"/>
    <w:rsid w:val="00E334D1"/>
    <w:rsid w:val="00E34C8A"/>
    <w:rsid w:val="00E350AC"/>
    <w:rsid w:val="00E351A3"/>
    <w:rsid w:val="00E37D67"/>
    <w:rsid w:val="00E411C7"/>
    <w:rsid w:val="00E42577"/>
    <w:rsid w:val="00E42CF8"/>
    <w:rsid w:val="00E44962"/>
    <w:rsid w:val="00E44B93"/>
    <w:rsid w:val="00E45443"/>
    <w:rsid w:val="00E4570D"/>
    <w:rsid w:val="00E47540"/>
    <w:rsid w:val="00E51A44"/>
    <w:rsid w:val="00E51D32"/>
    <w:rsid w:val="00E52950"/>
    <w:rsid w:val="00E5694C"/>
    <w:rsid w:val="00E56CA7"/>
    <w:rsid w:val="00E60424"/>
    <w:rsid w:val="00E606A9"/>
    <w:rsid w:val="00E61142"/>
    <w:rsid w:val="00E617DF"/>
    <w:rsid w:val="00E62028"/>
    <w:rsid w:val="00E624E1"/>
    <w:rsid w:val="00E6496A"/>
    <w:rsid w:val="00E706AC"/>
    <w:rsid w:val="00E73D0D"/>
    <w:rsid w:val="00E80B52"/>
    <w:rsid w:val="00E81AFE"/>
    <w:rsid w:val="00E908B8"/>
    <w:rsid w:val="00E90EA9"/>
    <w:rsid w:val="00E9253C"/>
    <w:rsid w:val="00E9428E"/>
    <w:rsid w:val="00E951AA"/>
    <w:rsid w:val="00EA1607"/>
    <w:rsid w:val="00EA2018"/>
    <w:rsid w:val="00EA2AA6"/>
    <w:rsid w:val="00EA580C"/>
    <w:rsid w:val="00EB4FBB"/>
    <w:rsid w:val="00EB7D57"/>
    <w:rsid w:val="00EC52F4"/>
    <w:rsid w:val="00ED1BBB"/>
    <w:rsid w:val="00ED6EA3"/>
    <w:rsid w:val="00EE0BFD"/>
    <w:rsid w:val="00EE0D49"/>
    <w:rsid w:val="00EE1546"/>
    <w:rsid w:val="00EE1AB3"/>
    <w:rsid w:val="00EE1DC7"/>
    <w:rsid w:val="00EE2371"/>
    <w:rsid w:val="00EE2442"/>
    <w:rsid w:val="00EE2535"/>
    <w:rsid w:val="00EE79BA"/>
    <w:rsid w:val="00EE7F24"/>
    <w:rsid w:val="00EF0DAB"/>
    <w:rsid w:val="00EF112C"/>
    <w:rsid w:val="00EF1965"/>
    <w:rsid w:val="00EF2E32"/>
    <w:rsid w:val="00EF3CDC"/>
    <w:rsid w:val="00EF5879"/>
    <w:rsid w:val="00EF65BF"/>
    <w:rsid w:val="00EF6A25"/>
    <w:rsid w:val="00F10F33"/>
    <w:rsid w:val="00F1112A"/>
    <w:rsid w:val="00F11FFF"/>
    <w:rsid w:val="00F1335D"/>
    <w:rsid w:val="00F144BD"/>
    <w:rsid w:val="00F14EFA"/>
    <w:rsid w:val="00F173A1"/>
    <w:rsid w:val="00F22561"/>
    <w:rsid w:val="00F23F3F"/>
    <w:rsid w:val="00F24A4C"/>
    <w:rsid w:val="00F30414"/>
    <w:rsid w:val="00F36995"/>
    <w:rsid w:val="00F3737C"/>
    <w:rsid w:val="00F37868"/>
    <w:rsid w:val="00F40E37"/>
    <w:rsid w:val="00F44281"/>
    <w:rsid w:val="00F4444E"/>
    <w:rsid w:val="00F47C8F"/>
    <w:rsid w:val="00F502CC"/>
    <w:rsid w:val="00F534DC"/>
    <w:rsid w:val="00F5661E"/>
    <w:rsid w:val="00F567FF"/>
    <w:rsid w:val="00F56FB3"/>
    <w:rsid w:val="00F6011D"/>
    <w:rsid w:val="00F65DBA"/>
    <w:rsid w:val="00F67DAA"/>
    <w:rsid w:val="00F71E97"/>
    <w:rsid w:val="00F74A43"/>
    <w:rsid w:val="00F76A21"/>
    <w:rsid w:val="00F7771E"/>
    <w:rsid w:val="00F77FBC"/>
    <w:rsid w:val="00F80C78"/>
    <w:rsid w:val="00F8158D"/>
    <w:rsid w:val="00F81D58"/>
    <w:rsid w:val="00F8304F"/>
    <w:rsid w:val="00F85F64"/>
    <w:rsid w:val="00F872C9"/>
    <w:rsid w:val="00F87BE9"/>
    <w:rsid w:val="00F91850"/>
    <w:rsid w:val="00F94208"/>
    <w:rsid w:val="00F9780F"/>
    <w:rsid w:val="00FA130E"/>
    <w:rsid w:val="00FA28B8"/>
    <w:rsid w:val="00FA56F5"/>
    <w:rsid w:val="00FA7F4E"/>
    <w:rsid w:val="00FB2D4B"/>
    <w:rsid w:val="00FB31A2"/>
    <w:rsid w:val="00FB627A"/>
    <w:rsid w:val="00FD0349"/>
    <w:rsid w:val="00FD6F15"/>
    <w:rsid w:val="00FD7CF3"/>
    <w:rsid w:val="00FE10C2"/>
    <w:rsid w:val="00FE1664"/>
    <w:rsid w:val="00FE1822"/>
    <w:rsid w:val="00FE1DC7"/>
    <w:rsid w:val="00FE3BED"/>
    <w:rsid w:val="00FE41F1"/>
    <w:rsid w:val="00FF2761"/>
    <w:rsid w:val="00FF342F"/>
    <w:rsid w:val="00FF4409"/>
    <w:rsid w:val="00FF4A9D"/>
    <w:rsid w:val="00FF6D3B"/>
    <w:rsid w:val="02AB57BC"/>
    <w:rsid w:val="091A4B1B"/>
    <w:rsid w:val="1712F11C"/>
    <w:rsid w:val="172DB0F0"/>
    <w:rsid w:val="1DC774D2"/>
    <w:rsid w:val="20CA2765"/>
    <w:rsid w:val="21A51039"/>
    <w:rsid w:val="325C9B08"/>
    <w:rsid w:val="353BC3A0"/>
    <w:rsid w:val="35607FE4"/>
    <w:rsid w:val="3743A4B8"/>
    <w:rsid w:val="3A16C899"/>
    <w:rsid w:val="40300F2B"/>
    <w:rsid w:val="40B4414D"/>
    <w:rsid w:val="44110EA2"/>
    <w:rsid w:val="48AC87E0"/>
    <w:rsid w:val="4B5D2D72"/>
    <w:rsid w:val="4FA375E8"/>
    <w:rsid w:val="5462ABEB"/>
    <w:rsid w:val="55C85FA2"/>
    <w:rsid w:val="5821E881"/>
    <w:rsid w:val="58CC1276"/>
    <w:rsid w:val="62491292"/>
    <w:rsid w:val="672D3D82"/>
    <w:rsid w:val="682E22CF"/>
    <w:rsid w:val="75956407"/>
    <w:rsid w:val="786A3271"/>
    <w:rsid w:val="78A244A7"/>
    <w:rsid w:val="7A3C4138"/>
    <w:rsid w:val="7A82EF94"/>
    <w:rsid w:val="7FA52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9204"/>
  <w15:docId w15:val="{A976168E-47DA-4BE1-A854-E27C5602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5B"/>
    <w:rPr>
      <w:sz w:val="24"/>
      <w:szCs w:val="24"/>
    </w:rPr>
  </w:style>
  <w:style w:type="paragraph" w:styleId="Ttulo3">
    <w:name w:val="heading 3"/>
    <w:basedOn w:val="Normal"/>
    <w:next w:val="Normal"/>
    <w:qFormat/>
    <w:rsid w:val="00D3635B"/>
    <w:pPr>
      <w:keepNext/>
      <w:spacing w:before="240" w:after="60"/>
      <w:outlineLvl w:val="2"/>
    </w:pPr>
    <w:rPr>
      <w:rFonts w:ascii="Arial" w:hAnsi="Arial" w:cs="Arial"/>
      <w:b/>
      <w:bCs/>
      <w:sz w:val="26"/>
      <w:szCs w:val="26"/>
    </w:rPr>
  </w:style>
  <w:style w:type="paragraph" w:styleId="Ttulo4">
    <w:name w:val="heading 4"/>
    <w:basedOn w:val="Normal"/>
    <w:next w:val="Normal"/>
    <w:qFormat/>
    <w:rsid w:val="00D3635B"/>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rsid w:val="00D3635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3635B"/>
    <w:pPr>
      <w:widowControl w:val="0"/>
      <w:autoSpaceDE w:val="0"/>
      <w:autoSpaceDN w:val="0"/>
      <w:adjustRightInd w:val="0"/>
      <w:spacing w:line="360" w:lineRule="auto"/>
      <w:jc w:val="center"/>
    </w:pPr>
    <w:rPr>
      <w:rFonts w:ascii="Arial" w:hAnsi="Arial" w:cs="Arial"/>
      <w:b/>
    </w:rPr>
  </w:style>
  <w:style w:type="character" w:styleId="Nmerodepgina">
    <w:name w:val="page number"/>
    <w:basedOn w:val="Fuentedeprrafopredeter"/>
    <w:rsid w:val="00D3635B"/>
  </w:style>
  <w:style w:type="paragraph" w:styleId="Encabezado">
    <w:name w:val="header"/>
    <w:basedOn w:val="Normal"/>
    <w:rsid w:val="00D3635B"/>
    <w:pPr>
      <w:tabs>
        <w:tab w:val="center" w:pos="4419"/>
        <w:tab w:val="right" w:pos="8838"/>
      </w:tabs>
    </w:pPr>
  </w:style>
  <w:style w:type="paragraph" w:styleId="Textoindependiente">
    <w:name w:val="Body Text"/>
    <w:basedOn w:val="Normal"/>
    <w:link w:val="TextoindependienteCar"/>
    <w:rsid w:val="00D3635B"/>
    <w:pPr>
      <w:spacing w:after="120"/>
    </w:pPr>
  </w:style>
  <w:style w:type="character" w:customStyle="1" w:styleId="TtuloCar">
    <w:name w:val="Título Car"/>
    <w:link w:val="Ttulo"/>
    <w:rsid w:val="00D3635B"/>
    <w:rPr>
      <w:rFonts w:ascii="Arial" w:hAnsi="Arial" w:cs="Arial"/>
      <w:b/>
      <w:sz w:val="24"/>
      <w:szCs w:val="24"/>
      <w:lang w:val="es-ES" w:eastAsia="es-ES" w:bidi="ar-SA"/>
    </w:rPr>
  </w:style>
  <w:style w:type="paragraph" w:styleId="Sangradetextonormal">
    <w:name w:val="Body Text Indent"/>
    <w:basedOn w:val="Normal"/>
    <w:rsid w:val="007D4D1B"/>
    <w:pPr>
      <w:spacing w:after="120"/>
      <w:ind w:left="283"/>
    </w:pPr>
  </w:style>
  <w:style w:type="paragraph" w:styleId="NormalWeb">
    <w:name w:val="Normal (Web)"/>
    <w:basedOn w:val="Normal"/>
    <w:rsid w:val="007D4D1B"/>
    <w:pPr>
      <w:overflowPunct w:val="0"/>
      <w:autoSpaceDE w:val="0"/>
      <w:autoSpaceDN w:val="0"/>
      <w:adjustRightInd w:val="0"/>
      <w:spacing w:before="100" w:after="100"/>
      <w:textAlignment w:val="baseline"/>
    </w:pPr>
    <w:rPr>
      <w:rFonts w:ascii="Arial" w:hAnsi="Arial"/>
      <w:color w:val="000000"/>
      <w:sz w:val="18"/>
      <w:szCs w:val="20"/>
    </w:rPr>
  </w:style>
  <w:style w:type="character" w:styleId="Refdenotaalpie">
    <w:name w:val="footnote reference"/>
    <w:uiPriority w:val="99"/>
    <w:semiHidden/>
    <w:rsid w:val="007D4D1B"/>
    <w:rPr>
      <w:vertAlign w:val="superscript"/>
    </w:rPr>
  </w:style>
  <w:style w:type="character" w:styleId="Textoennegrita">
    <w:name w:val="Strong"/>
    <w:qFormat/>
    <w:rsid w:val="007D4D1B"/>
    <w:rPr>
      <w:b/>
      <w:bCs/>
    </w:rPr>
  </w:style>
  <w:style w:type="character" w:customStyle="1" w:styleId="CarCar6">
    <w:name w:val="Car Car6"/>
    <w:rsid w:val="00CA266A"/>
    <w:rPr>
      <w:rFonts w:ascii="Arial" w:hAnsi="Arial" w:cs="Arial"/>
      <w:b/>
      <w:sz w:val="24"/>
      <w:szCs w:val="24"/>
      <w:lang w:val="es-ES" w:eastAsia="es-ES" w:bidi="ar-SA"/>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uiPriority w:val="99"/>
    <w:semiHidden/>
    <w:rsid w:val="00044B1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uiPriority w:val="99"/>
    <w:semiHidden/>
    <w:rsid w:val="00F7771E"/>
  </w:style>
  <w:style w:type="paragraph" w:customStyle="1" w:styleId="Default">
    <w:name w:val="Default"/>
    <w:rsid w:val="00F7771E"/>
    <w:pPr>
      <w:autoSpaceDE w:val="0"/>
      <w:autoSpaceDN w:val="0"/>
      <w:adjustRightInd w:val="0"/>
    </w:pPr>
    <w:rPr>
      <w:rFonts w:ascii="Tahoma" w:hAnsi="Tahoma" w:cs="Tahoma"/>
      <w:color w:val="000000"/>
      <w:sz w:val="24"/>
      <w:szCs w:val="24"/>
    </w:rPr>
  </w:style>
  <w:style w:type="paragraph" w:customStyle="1" w:styleId="Textoindependiente21">
    <w:name w:val="Texto independiente 21"/>
    <w:basedOn w:val="Normal"/>
    <w:link w:val="BodyText2Car"/>
    <w:rsid w:val="00AF01EE"/>
    <w:pPr>
      <w:overflowPunct w:val="0"/>
      <w:autoSpaceDE w:val="0"/>
      <w:autoSpaceDN w:val="0"/>
      <w:adjustRightInd w:val="0"/>
      <w:spacing w:line="360" w:lineRule="auto"/>
      <w:ind w:firstLine="709"/>
      <w:jc w:val="both"/>
      <w:textAlignment w:val="baseline"/>
    </w:pPr>
    <w:rPr>
      <w:rFonts w:ascii="Arial Narrow" w:hAnsi="Arial Narrow"/>
      <w:sz w:val="30"/>
      <w:szCs w:val="20"/>
      <w:lang w:val="es-CO"/>
    </w:rPr>
  </w:style>
  <w:style w:type="character" w:customStyle="1" w:styleId="BodyText2Car">
    <w:name w:val="Body Text 2 Car"/>
    <w:link w:val="Textoindependiente21"/>
    <w:rsid w:val="00AF01EE"/>
    <w:rPr>
      <w:rFonts w:ascii="Arial Narrow" w:hAnsi="Arial Narrow"/>
      <w:sz w:val="30"/>
      <w:lang w:val="es-CO"/>
    </w:rPr>
  </w:style>
  <w:style w:type="paragraph" w:styleId="Prrafodelista">
    <w:name w:val="List Paragraph"/>
    <w:basedOn w:val="Normal"/>
    <w:qFormat/>
    <w:rsid w:val="00651197"/>
    <w:pPr>
      <w:ind w:left="708"/>
    </w:pPr>
  </w:style>
  <w:style w:type="paragraph" w:styleId="Piedepgina">
    <w:name w:val="footer"/>
    <w:basedOn w:val="Normal"/>
    <w:link w:val="PiedepginaCar"/>
    <w:rsid w:val="00D32AB7"/>
    <w:pPr>
      <w:tabs>
        <w:tab w:val="center" w:pos="4252"/>
        <w:tab w:val="right" w:pos="8504"/>
      </w:tabs>
    </w:pPr>
  </w:style>
  <w:style w:type="character" w:customStyle="1" w:styleId="PiedepginaCar">
    <w:name w:val="Pie de página Car"/>
    <w:link w:val="Piedepgina"/>
    <w:rsid w:val="00D32AB7"/>
    <w:rPr>
      <w:sz w:val="24"/>
      <w:szCs w:val="24"/>
    </w:rPr>
  </w:style>
  <w:style w:type="paragraph" w:styleId="Sangra2detindependiente">
    <w:name w:val="Body Text Indent 2"/>
    <w:basedOn w:val="Normal"/>
    <w:link w:val="Sangra2detindependienteCar"/>
    <w:rsid w:val="00F37868"/>
    <w:pPr>
      <w:spacing w:after="120" w:line="480" w:lineRule="auto"/>
      <w:ind w:left="283"/>
    </w:pPr>
  </w:style>
  <w:style w:type="character" w:customStyle="1" w:styleId="Sangra2detindependienteCar">
    <w:name w:val="Sangría 2 de t. independiente Car"/>
    <w:link w:val="Sangra2detindependiente"/>
    <w:rsid w:val="00F37868"/>
    <w:rPr>
      <w:sz w:val="24"/>
      <w:szCs w:val="24"/>
    </w:rPr>
  </w:style>
  <w:style w:type="paragraph" w:styleId="Textodeglobo">
    <w:name w:val="Balloon Text"/>
    <w:basedOn w:val="Normal"/>
    <w:link w:val="TextodegloboCar"/>
    <w:rsid w:val="00E908B8"/>
    <w:rPr>
      <w:rFonts w:ascii="Segoe UI" w:hAnsi="Segoe UI" w:cs="Segoe UI"/>
      <w:sz w:val="18"/>
      <w:szCs w:val="18"/>
    </w:rPr>
  </w:style>
  <w:style w:type="character" w:customStyle="1" w:styleId="TextodegloboCar">
    <w:name w:val="Texto de globo Car"/>
    <w:basedOn w:val="Fuentedeprrafopredeter"/>
    <w:link w:val="Textodeglobo"/>
    <w:rsid w:val="00E908B8"/>
    <w:rPr>
      <w:rFonts w:ascii="Segoe UI" w:hAnsi="Segoe UI" w:cs="Segoe UI"/>
      <w:sz w:val="18"/>
      <w:szCs w:val="18"/>
    </w:rPr>
  </w:style>
  <w:style w:type="character" w:customStyle="1" w:styleId="TextoindependienteCar">
    <w:name w:val="Texto independiente Car"/>
    <w:link w:val="Textoindependiente"/>
    <w:rsid w:val="00460DA7"/>
    <w:rPr>
      <w:sz w:val="24"/>
      <w:szCs w:val="24"/>
    </w:rPr>
  </w:style>
  <w:style w:type="character" w:styleId="Hipervnculo">
    <w:name w:val="Hyperlink"/>
    <w:rsid w:val="00460DA7"/>
    <w:rPr>
      <w:color w:val="0000FF"/>
      <w:u w:val="single"/>
    </w:rPr>
  </w:style>
  <w:style w:type="character" w:styleId="nfasis">
    <w:name w:val="Emphasis"/>
    <w:basedOn w:val="Fuentedeprrafopredeter"/>
    <w:qFormat/>
    <w:rsid w:val="00A067A3"/>
    <w:rPr>
      <w:i/>
      <w:iCs/>
    </w:rPr>
  </w:style>
  <w:style w:type="paragraph" w:styleId="Textonotaalfinal">
    <w:name w:val="endnote text"/>
    <w:basedOn w:val="Normal"/>
    <w:link w:val="TextonotaalfinalCar"/>
    <w:uiPriority w:val="99"/>
    <w:unhideWhenUsed/>
    <w:rsid w:val="00EE1DC7"/>
    <w:rPr>
      <w:rFonts w:asciiTheme="minorHAnsi" w:eastAsiaTheme="minorHAnsi" w:hAnsiTheme="minorHAnsi" w:cstheme="minorBidi"/>
      <w:sz w:val="20"/>
      <w:szCs w:val="20"/>
      <w:lang w:val="es-AR" w:eastAsia="en-US"/>
    </w:rPr>
  </w:style>
  <w:style w:type="character" w:customStyle="1" w:styleId="TextonotaalfinalCar">
    <w:name w:val="Texto nota al final Car"/>
    <w:basedOn w:val="Fuentedeprrafopredeter"/>
    <w:link w:val="Textonotaalfinal"/>
    <w:uiPriority w:val="99"/>
    <w:rsid w:val="00EE1DC7"/>
    <w:rPr>
      <w:rFonts w:asciiTheme="minorHAnsi" w:eastAsiaTheme="minorHAnsi" w:hAnsiTheme="minorHAnsi" w:cstheme="minorBidi"/>
      <w:lang w:val="es-AR" w:eastAsia="en-US"/>
    </w:rPr>
  </w:style>
  <w:style w:type="character" w:styleId="Refdenotaalfinal">
    <w:name w:val="endnote reference"/>
    <w:basedOn w:val="Fuentedeprrafopredeter"/>
    <w:uiPriority w:val="99"/>
    <w:unhideWhenUsed/>
    <w:rsid w:val="00EE1DC7"/>
    <w:rPr>
      <w:vertAlign w:val="superscript"/>
    </w:rPr>
  </w:style>
  <w:style w:type="character" w:customStyle="1" w:styleId="FontStyle16">
    <w:name w:val="Font Style16"/>
    <w:rsid w:val="00307070"/>
    <w:rPr>
      <w:rFonts w:ascii="Arial" w:hAnsi="Arial" w:cs="Arial"/>
      <w:color w:val="000000"/>
      <w:spacing w:val="20"/>
      <w:sz w:val="18"/>
      <w:szCs w:val="18"/>
    </w:rPr>
  </w:style>
  <w:style w:type="paragraph" w:customStyle="1" w:styleId="paragraph">
    <w:name w:val="paragraph"/>
    <w:basedOn w:val="Normal"/>
    <w:rsid w:val="009C20AC"/>
    <w:pPr>
      <w:spacing w:before="100" w:beforeAutospacing="1" w:after="100" w:afterAutospacing="1"/>
    </w:pPr>
    <w:rPr>
      <w:lang w:val="es-CO" w:eastAsia="es-ES_tradnl"/>
    </w:rPr>
  </w:style>
  <w:style w:type="character" w:customStyle="1" w:styleId="normaltextrun">
    <w:name w:val="normaltextrun"/>
    <w:basedOn w:val="Fuentedeprrafopredeter"/>
    <w:rsid w:val="009C20AC"/>
  </w:style>
  <w:style w:type="character" w:customStyle="1" w:styleId="eop">
    <w:name w:val="eop"/>
    <w:basedOn w:val="Fuentedeprrafopredeter"/>
    <w:rsid w:val="009C20AC"/>
  </w:style>
  <w:style w:type="character" w:customStyle="1" w:styleId="fontstyle21">
    <w:name w:val="fontstyle21"/>
    <w:basedOn w:val="Fuentedeprrafopredeter"/>
    <w:rsid w:val="009C20AC"/>
    <w:rPr>
      <w:rFonts w:ascii="Tahoma" w:hAnsi="Tahoma" w:cs="Tahoma" w:hint="default"/>
      <w:b w:val="0"/>
      <w:bCs w:val="0"/>
      <w:i w:val="0"/>
      <w:iCs w:val="0"/>
      <w:color w:val="000000"/>
      <w:sz w:val="24"/>
      <w:szCs w:val="24"/>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style>
  <w:style w:type="character" w:styleId="Refdecomentario">
    <w:name w:val="annotation reference"/>
    <w:basedOn w:val="Fuentedeprrafopredeter"/>
    <w:rPr>
      <w:sz w:val="16"/>
      <w:szCs w:val="16"/>
    </w:rPr>
  </w:style>
  <w:style w:type="character" w:customStyle="1" w:styleId="fontstyle01">
    <w:name w:val="fontstyle01"/>
    <w:basedOn w:val="Fuentedeprrafopredeter"/>
    <w:rsid w:val="00084C85"/>
    <w:rPr>
      <w:rFonts w:ascii="Tahoma-Bold" w:hAnsi="Tahoma-Bold" w:hint="default"/>
      <w:b/>
      <w:bCs/>
      <w:i w:val="0"/>
      <w:iCs w:val="0"/>
      <w:color w:val="000000"/>
      <w:sz w:val="24"/>
      <w:szCs w:val="24"/>
    </w:rPr>
  </w:style>
  <w:style w:type="paragraph" w:styleId="Sinespaciado">
    <w:name w:val="No Spacing"/>
    <w:link w:val="SinespaciadoCar"/>
    <w:uiPriority w:val="1"/>
    <w:qFormat/>
    <w:rsid w:val="00084C85"/>
    <w:rPr>
      <w:sz w:val="24"/>
      <w:szCs w:val="24"/>
    </w:rPr>
  </w:style>
  <w:style w:type="character" w:customStyle="1" w:styleId="SinespaciadoCar">
    <w:name w:val="Sin espaciado Car"/>
    <w:link w:val="Sinespaciado"/>
    <w:uiPriority w:val="1"/>
    <w:locked/>
    <w:rsid w:val="002F2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335">
      <w:bodyDiv w:val="1"/>
      <w:marLeft w:val="0"/>
      <w:marRight w:val="0"/>
      <w:marTop w:val="0"/>
      <w:marBottom w:val="0"/>
      <w:divBdr>
        <w:top w:val="none" w:sz="0" w:space="0" w:color="auto"/>
        <w:left w:val="none" w:sz="0" w:space="0" w:color="auto"/>
        <w:bottom w:val="none" w:sz="0" w:space="0" w:color="auto"/>
        <w:right w:val="none" w:sz="0" w:space="0" w:color="auto"/>
      </w:divBdr>
    </w:div>
    <w:div w:id="459232021">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858734419">
      <w:bodyDiv w:val="1"/>
      <w:marLeft w:val="0"/>
      <w:marRight w:val="0"/>
      <w:marTop w:val="0"/>
      <w:marBottom w:val="0"/>
      <w:divBdr>
        <w:top w:val="none" w:sz="0" w:space="0" w:color="auto"/>
        <w:left w:val="none" w:sz="0" w:space="0" w:color="auto"/>
        <w:bottom w:val="none" w:sz="0" w:space="0" w:color="auto"/>
        <w:right w:val="none" w:sz="0" w:space="0" w:color="auto"/>
      </w:divBdr>
    </w:div>
    <w:div w:id="207357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b2ee4d71061144ea"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3bef7f09cb4e4fc0"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CD42-53B5-40B8-A28C-D8D7AFECD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C45AF-AADE-4865-B83A-FFE8DB4CC0A2}">
  <ds:schemaRefs>
    <ds:schemaRef ds:uri="http://schemas.microsoft.com/sharepoint/v3/contenttype/forms"/>
  </ds:schemaRefs>
</ds:datastoreItem>
</file>

<file path=customXml/itemProps3.xml><?xml version="1.0" encoding="utf-8"?>
<ds:datastoreItem xmlns:ds="http://schemas.openxmlformats.org/officeDocument/2006/customXml" ds:itemID="{A3114621-11A8-43DF-A37C-A624F7DF88B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6E4E0C8B-404E-4673-9014-ED846EBC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2672</Words>
  <Characters>15236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Radicación Nro</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JAVIER ANDRES</dc:creator>
  <cp:keywords/>
  <dc:description/>
  <cp:lastModifiedBy>samsung</cp:lastModifiedBy>
  <cp:revision>11</cp:revision>
  <cp:lastPrinted>2019-08-22T16:05:00Z</cp:lastPrinted>
  <dcterms:created xsi:type="dcterms:W3CDTF">2023-08-29T12:56:00Z</dcterms:created>
  <dcterms:modified xsi:type="dcterms:W3CDTF">2023-10-31T18:09:00Z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57078800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