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44F2C" w14:textId="4908CC5C" w:rsidR="0051482E" w:rsidRPr="0051482E" w:rsidRDefault="0051482E" w:rsidP="0051482E">
      <w:pPr>
        <w:spacing w:line="240" w:lineRule="auto"/>
        <w:contextualSpacing/>
        <w:rPr>
          <w:rFonts w:ascii="Arial" w:eastAsia="Times New Roman" w:hAnsi="Arial" w:cs="Arial"/>
          <w:sz w:val="20"/>
          <w:szCs w:val="20"/>
          <w:lang w:val="es-419" w:eastAsia="es-ES"/>
        </w:rPr>
      </w:pPr>
      <w:r w:rsidRPr="0051482E">
        <w:rPr>
          <w:rFonts w:ascii="Arial" w:eastAsia="Times New Roman" w:hAnsi="Arial" w:cs="Arial"/>
          <w:b/>
          <w:sz w:val="20"/>
          <w:szCs w:val="20"/>
          <w:lang w:val="es-419" w:eastAsia="es-ES"/>
        </w:rPr>
        <w:t>CONTRATO DE TRABAJO / ESTABILIDAD LABORAL REFORZADA / PERSONAS EN ESTADO DE DEBILIDAD MANIFIESTA</w:t>
      </w:r>
    </w:p>
    <w:p w14:paraId="6560EECA" w14:textId="795DFAA3" w:rsidR="00B462E4" w:rsidRPr="0051482E" w:rsidRDefault="0051482E" w:rsidP="0051482E">
      <w:pPr>
        <w:spacing w:line="240" w:lineRule="auto"/>
        <w:contextualSpacing/>
        <w:rPr>
          <w:rFonts w:ascii="Arial" w:eastAsia="Times New Roman" w:hAnsi="Arial" w:cs="Arial"/>
          <w:sz w:val="20"/>
          <w:szCs w:val="20"/>
          <w:lang w:val="es-419" w:eastAsia="es-ES"/>
        </w:rPr>
      </w:pPr>
      <w:r w:rsidRPr="0051482E">
        <w:rPr>
          <w:rFonts w:ascii="Arial" w:eastAsia="Times New Roman" w:hAnsi="Arial" w:cs="Arial"/>
          <w:sz w:val="20"/>
          <w:szCs w:val="20"/>
          <w:lang w:val="es-419" w:eastAsia="es-ES"/>
        </w:rPr>
        <w:t>Dispone el art. 26 de la Ley 361 de 1997 que “(…)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p>
    <w:p w14:paraId="52B5A76E" w14:textId="77777777" w:rsidR="00B462E4" w:rsidRPr="00B462E4" w:rsidRDefault="00B462E4" w:rsidP="0051482E">
      <w:pPr>
        <w:spacing w:line="240" w:lineRule="auto"/>
        <w:contextualSpacing/>
        <w:rPr>
          <w:rFonts w:ascii="Arial" w:eastAsia="Times New Roman" w:hAnsi="Arial" w:cs="Arial"/>
          <w:sz w:val="20"/>
          <w:szCs w:val="20"/>
          <w:lang w:val="es-419" w:eastAsia="es-ES"/>
        </w:rPr>
      </w:pPr>
    </w:p>
    <w:p w14:paraId="2B8338F1" w14:textId="3703827B" w:rsidR="0051482E" w:rsidRPr="0051482E" w:rsidRDefault="0051482E" w:rsidP="0051482E">
      <w:pPr>
        <w:spacing w:line="240" w:lineRule="auto"/>
        <w:contextualSpacing/>
        <w:rPr>
          <w:rFonts w:ascii="Arial" w:eastAsia="Times New Roman" w:hAnsi="Arial" w:cs="Arial"/>
          <w:sz w:val="20"/>
          <w:szCs w:val="20"/>
          <w:lang w:val="es-419" w:eastAsia="es-ES"/>
        </w:rPr>
      </w:pPr>
      <w:r w:rsidRPr="0051482E">
        <w:rPr>
          <w:rFonts w:ascii="Arial" w:eastAsia="Times New Roman" w:hAnsi="Arial" w:cs="Arial"/>
          <w:b/>
          <w:sz w:val="20"/>
          <w:szCs w:val="20"/>
          <w:lang w:val="es-419" w:eastAsia="es-ES"/>
        </w:rPr>
        <w:t xml:space="preserve">CONTRATO DE TRABAJO / ESTABILIDAD LABORAL REFORZADA / </w:t>
      </w:r>
      <w:r w:rsidR="000038BD">
        <w:rPr>
          <w:rFonts w:ascii="Arial" w:eastAsia="Times New Roman" w:hAnsi="Arial" w:cs="Arial"/>
          <w:b/>
          <w:sz w:val="20"/>
          <w:szCs w:val="20"/>
          <w:lang w:val="es-419" w:eastAsia="es-ES"/>
        </w:rPr>
        <w:t>EVOLUCIÓN JURISPRUDENCIAL</w:t>
      </w:r>
    </w:p>
    <w:p w14:paraId="1DE4FDF5" w14:textId="76FE72DA" w:rsidR="00B462E4" w:rsidRPr="000038BD" w:rsidRDefault="00FB7825" w:rsidP="000038BD">
      <w:pPr>
        <w:spacing w:line="240" w:lineRule="auto"/>
        <w:contextualSpacing/>
        <w:rPr>
          <w:rFonts w:ascii="Arial" w:eastAsia="Times New Roman" w:hAnsi="Arial" w:cs="Arial"/>
          <w:sz w:val="20"/>
          <w:szCs w:val="20"/>
          <w:lang w:val="es-419" w:eastAsia="es-ES"/>
        </w:rPr>
      </w:pPr>
      <w:r>
        <w:rPr>
          <w:rFonts w:ascii="Arial" w:eastAsia="Times New Roman" w:hAnsi="Arial" w:cs="Arial"/>
          <w:sz w:val="20"/>
          <w:szCs w:val="20"/>
          <w:lang w:val="es-419" w:eastAsia="es-ES"/>
        </w:rPr>
        <w:t>A</w:t>
      </w:r>
      <w:r w:rsidR="000038BD" w:rsidRPr="000038BD">
        <w:rPr>
          <w:rFonts w:ascii="Arial" w:eastAsia="Times New Roman" w:hAnsi="Arial" w:cs="Arial"/>
          <w:sz w:val="20"/>
          <w:szCs w:val="20"/>
          <w:lang w:val="es-419" w:eastAsia="es-ES"/>
        </w:rPr>
        <w:t xml:space="preserve"> propósito de esta norma, conviene precisar que la Sala Laboral de la Corte Suprema de Justicia, en la sentencia Rad. 10538 de 2016, determinó que no cualquier discapacidad está cobijada por la estabilidad laboral reforzada, por cuanto solo son sujetos de dicha garantía (o fuero) las personas que acrediten al </w:t>
      </w:r>
      <w:r w:rsidR="000038BD">
        <w:rPr>
          <w:rFonts w:ascii="Arial" w:eastAsia="Times New Roman" w:hAnsi="Arial" w:cs="Arial"/>
          <w:sz w:val="20"/>
          <w:szCs w:val="20"/>
          <w:lang w:val="es-419" w:eastAsia="es-ES"/>
        </w:rPr>
        <w:t xml:space="preserve">menos una “limitación moderada” … </w:t>
      </w:r>
      <w:r w:rsidR="000038BD" w:rsidRPr="000038BD">
        <w:rPr>
          <w:rFonts w:ascii="Arial" w:eastAsia="Times New Roman" w:hAnsi="Arial" w:cs="Arial"/>
          <w:sz w:val="20"/>
          <w:szCs w:val="20"/>
          <w:lang w:val="es-419" w:eastAsia="es-ES"/>
        </w:rPr>
        <w:t>En la actualidad, la Corte Suprema de Justicia por medio de las sentencias CSJ SL 1508-2023 y CSJ SL1152-2023, concluyó que el artículo 7º del Decreto 2463 de 2001 es compatible para todos aquellos casos ocurridos antes de la entrada en vigor de la Convención sobre los Derechos de las Personas con Discapacidad, el 10 de junio de 2011 y, de la ley estatutaria 1618 de 2013.</w:t>
      </w:r>
    </w:p>
    <w:p w14:paraId="74EF4F0E" w14:textId="77777777" w:rsidR="00B462E4" w:rsidRPr="00B462E4" w:rsidRDefault="00B462E4" w:rsidP="0051482E">
      <w:pPr>
        <w:spacing w:line="240" w:lineRule="auto"/>
        <w:contextualSpacing/>
        <w:rPr>
          <w:rFonts w:ascii="Arial" w:eastAsia="Times New Roman" w:hAnsi="Arial" w:cs="Arial"/>
          <w:sz w:val="20"/>
          <w:szCs w:val="20"/>
          <w:lang w:val="es-419" w:eastAsia="es-ES"/>
        </w:rPr>
      </w:pPr>
    </w:p>
    <w:p w14:paraId="5DB30556" w14:textId="52E1612C" w:rsidR="000038BD" w:rsidRPr="0051482E" w:rsidRDefault="000038BD" w:rsidP="000038BD">
      <w:pPr>
        <w:spacing w:line="240" w:lineRule="auto"/>
        <w:contextualSpacing/>
        <w:rPr>
          <w:rFonts w:ascii="Arial" w:eastAsia="Times New Roman" w:hAnsi="Arial" w:cs="Arial"/>
          <w:sz w:val="20"/>
          <w:szCs w:val="20"/>
          <w:lang w:val="es-419" w:eastAsia="es-ES"/>
        </w:rPr>
      </w:pPr>
      <w:r w:rsidRPr="0051482E">
        <w:rPr>
          <w:rFonts w:ascii="Arial" w:eastAsia="Times New Roman" w:hAnsi="Arial" w:cs="Arial"/>
          <w:b/>
          <w:sz w:val="20"/>
          <w:szCs w:val="20"/>
          <w:lang w:val="es-419" w:eastAsia="es-ES"/>
        </w:rPr>
        <w:t xml:space="preserve">CONTRATO DE TRABAJO / </w:t>
      </w:r>
      <w:r w:rsidR="00155880">
        <w:rPr>
          <w:rFonts w:ascii="Arial" w:eastAsia="Times New Roman" w:hAnsi="Arial" w:cs="Arial"/>
          <w:b/>
          <w:sz w:val="20"/>
          <w:szCs w:val="20"/>
          <w:lang w:val="es-419" w:eastAsia="es-ES"/>
        </w:rPr>
        <w:t xml:space="preserve">SOLIDARIDAD / </w:t>
      </w:r>
      <w:r w:rsidR="005A1AEF">
        <w:rPr>
          <w:rFonts w:ascii="Arial" w:eastAsia="Times New Roman" w:hAnsi="Arial" w:cs="Arial"/>
          <w:b/>
          <w:sz w:val="20"/>
          <w:szCs w:val="20"/>
          <w:lang w:val="es-419" w:eastAsia="es-ES"/>
        </w:rPr>
        <w:t>CONTRATISTA INDEPENDIENTE / BENEFICIARIO DE LA OBRA</w:t>
      </w:r>
    </w:p>
    <w:p w14:paraId="1BB8CEFD" w14:textId="014EF832" w:rsidR="00B462E4" w:rsidRPr="00155880" w:rsidRDefault="00155880" w:rsidP="00155880">
      <w:pPr>
        <w:spacing w:line="240" w:lineRule="auto"/>
        <w:contextualSpacing/>
        <w:rPr>
          <w:rFonts w:ascii="Arial" w:eastAsia="Times New Roman" w:hAnsi="Arial" w:cs="Arial"/>
          <w:sz w:val="20"/>
          <w:szCs w:val="20"/>
          <w:lang w:val="es-419" w:eastAsia="es-ES"/>
        </w:rPr>
      </w:pPr>
      <w:bookmarkStart w:id="0" w:name="_GoBack"/>
      <w:r w:rsidRPr="00155880">
        <w:rPr>
          <w:rFonts w:ascii="Arial" w:eastAsia="Times New Roman" w:hAnsi="Arial" w:cs="Arial"/>
          <w:sz w:val="20"/>
          <w:szCs w:val="20"/>
          <w:lang w:val="es-419" w:eastAsia="es-ES"/>
        </w:rPr>
        <w:t>A propósito</w:t>
      </w:r>
      <w:bookmarkEnd w:id="0"/>
      <w:r w:rsidRPr="00155880">
        <w:rPr>
          <w:rFonts w:ascii="Arial" w:eastAsia="Times New Roman" w:hAnsi="Arial" w:cs="Arial"/>
          <w:sz w:val="20"/>
          <w:szCs w:val="20"/>
          <w:lang w:val="es-419" w:eastAsia="es-ES"/>
        </w:rPr>
        <w:t xml:space="preserve"> del concepto de solidaridad en materia laboral, la Sala de Casación Laboral de la Corte Suprema de Justicia en sentencia No. 35864 del 1° de marzo de 2011</w:t>
      </w:r>
      <w:r>
        <w:rPr>
          <w:rFonts w:ascii="Arial" w:eastAsia="Times New Roman" w:hAnsi="Arial" w:cs="Arial"/>
          <w:sz w:val="20"/>
          <w:szCs w:val="20"/>
          <w:lang w:val="es-419" w:eastAsia="es-ES"/>
        </w:rPr>
        <w:t>…</w:t>
      </w:r>
      <w:r w:rsidRPr="00155880">
        <w:rPr>
          <w:rFonts w:ascii="Arial" w:eastAsia="Times New Roman" w:hAnsi="Arial" w:cs="Arial"/>
          <w:sz w:val="20"/>
          <w:szCs w:val="20"/>
          <w:lang w:val="es-419" w:eastAsia="es-ES"/>
        </w:rPr>
        <w:t xml:space="preserve"> realizó las siguientes consideraciones que ofrecen claridad y precisión sobre la materia, señaló el alto tribunal: “(…) lo que se busca con la solidaridad laboral del artículo 34 del Código Sustantivo del Trabajo es que la contratación con un contratista independiente para que realice una obra o preste servicios, no se convierta en un mecanismo utilizado por las empresas para evadir el cumplim</w:t>
      </w:r>
      <w:r>
        <w:rPr>
          <w:rFonts w:ascii="Arial" w:eastAsia="Times New Roman" w:hAnsi="Arial" w:cs="Arial"/>
          <w:sz w:val="20"/>
          <w:szCs w:val="20"/>
          <w:lang w:val="es-419" w:eastAsia="es-ES"/>
        </w:rPr>
        <w:t>iento de obligaciones laborales...”</w:t>
      </w:r>
    </w:p>
    <w:p w14:paraId="1BE97FFA" w14:textId="4C8818A2" w:rsidR="00B462E4" w:rsidRDefault="00B462E4" w:rsidP="0051482E">
      <w:pPr>
        <w:spacing w:line="240" w:lineRule="auto"/>
        <w:contextualSpacing/>
        <w:rPr>
          <w:rFonts w:ascii="Arial" w:eastAsia="Times New Roman" w:hAnsi="Arial" w:cs="Arial"/>
          <w:sz w:val="20"/>
          <w:szCs w:val="20"/>
          <w:lang w:val="es-419" w:eastAsia="es-ES"/>
        </w:rPr>
      </w:pPr>
    </w:p>
    <w:p w14:paraId="53876147" w14:textId="5CC69125" w:rsidR="0019339C" w:rsidRPr="0051482E" w:rsidRDefault="0019339C" w:rsidP="0019339C">
      <w:pPr>
        <w:spacing w:line="240" w:lineRule="auto"/>
        <w:contextualSpacing/>
        <w:rPr>
          <w:rFonts w:ascii="Arial" w:eastAsia="Times New Roman" w:hAnsi="Arial" w:cs="Arial"/>
          <w:sz w:val="20"/>
          <w:szCs w:val="20"/>
          <w:lang w:val="es-419" w:eastAsia="es-ES"/>
        </w:rPr>
      </w:pPr>
      <w:r w:rsidRPr="0051482E">
        <w:rPr>
          <w:rFonts w:ascii="Arial" w:eastAsia="Times New Roman" w:hAnsi="Arial" w:cs="Arial"/>
          <w:b/>
          <w:sz w:val="20"/>
          <w:szCs w:val="20"/>
          <w:lang w:val="es-419" w:eastAsia="es-ES"/>
        </w:rPr>
        <w:t xml:space="preserve">CONTRATO DE TRABAJO / </w:t>
      </w:r>
      <w:r>
        <w:rPr>
          <w:rFonts w:ascii="Arial" w:eastAsia="Times New Roman" w:hAnsi="Arial" w:cs="Arial"/>
          <w:b/>
          <w:sz w:val="20"/>
          <w:szCs w:val="20"/>
          <w:lang w:val="es-419" w:eastAsia="es-ES"/>
        </w:rPr>
        <w:t>PRESCRIPCIÓN / REGULACIÓN LEGAL</w:t>
      </w:r>
    </w:p>
    <w:p w14:paraId="1C25CAC2" w14:textId="3D54C075" w:rsidR="005A1AEF" w:rsidRDefault="005A1AEF" w:rsidP="0051482E">
      <w:pPr>
        <w:spacing w:line="240" w:lineRule="auto"/>
        <w:contextualSpacing/>
        <w:rPr>
          <w:rFonts w:ascii="Arial" w:eastAsia="Times New Roman" w:hAnsi="Arial" w:cs="Arial"/>
          <w:sz w:val="20"/>
          <w:szCs w:val="20"/>
          <w:lang w:val="es-419" w:eastAsia="es-ES"/>
        </w:rPr>
      </w:pPr>
      <w:r w:rsidRPr="005A1AEF">
        <w:rPr>
          <w:rFonts w:ascii="Arial" w:eastAsia="Times New Roman" w:hAnsi="Arial" w:cs="Arial"/>
          <w:sz w:val="20"/>
          <w:szCs w:val="20"/>
          <w:lang w:val="es-419" w:eastAsia="es-ES"/>
        </w:rPr>
        <w:t>Los artículos 151 del Código Procesal del Trabajo y de la Seguridad Social, 488 y 489 del Código Sustantivo del Trabajo, preceptúan que las acciones correspondientes a los derechos laborales prescriben en tres años contados a partir de la exigibilidad de cada acreencia, de modo que quien exija una prestación social deberá alegarla en el término establecido, en cuyo caso, basta "el simple reclamo escrito del trabajador recibido por el empleador", para que por una sola vez se entienda interrumpida y comience a correr de nuevo el término por un lapso igual al inicialmente señalado</w:t>
      </w:r>
      <w:r w:rsidR="0019339C">
        <w:rPr>
          <w:rFonts w:ascii="Arial" w:eastAsia="Times New Roman" w:hAnsi="Arial" w:cs="Arial"/>
          <w:sz w:val="20"/>
          <w:szCs w:val="20"/>
          <w:lang w:val="es-419" w:eastAsia="es-ES"/>
        </w:rPr>
        <w:t>…</w:t>
      </w:r>
    </w:p>
    <w:p w14:paraId="0B2FD371" w14:textId="77777777" w:rsidR="005A1AEF" w:rsidRDefault="005A1AEF" w:rsidP="0051482E">
      <w:pPr>
        <w:spacing w:line="240" w:lineRule="auto"/>
        <w:contextualSpacing/>
        <w:rPr>
          <w:rFonts w:ascii="Arial" w:eastAsia="Times New Roman" w:hAnsi="Arial" w:cs="Arial"/>
          <w:sz w:val="20"/>
          <w:szCs w:val="20"/>
          <w:lang w:val="es-419" w:eastAsia="es-ES"/>
        </w:rPr>
      </w:pPr>
    </w:p>
    <w:p w14:paraId="21324670" w14:textId="77777777" w:rsidR="00155880" w:rsidRPr="00B462E4" w:rsidRDefault="00155880" w:rsidP="0051482E">
      <w:pPr>
        <w:spacing w:line="240" w:lineRule="auto"/>
        <w:contextualSpacing/>
        <w:rPr>
          <w:rFonts w:ascii="Arial" w:eastAsia="Times New Roman" w:hAnsi="Arial" w:cs="Arial"/>
          <w:sz w:val="20"/>
          <w:szCs w:val="20"/>
          <w:lang w:val="es-419" w:eastAsia="es-ES"/>
        </w:rPr>
      </w:pPr>
    </w:p>
    <w:p w14:paraId="67DF58E8" w14:textId="77777777" w:rsidR="00B462E4" w:rsidRPr="00B462E4" w:rsidRDefault="00B462E4" w:rsidP="0051482E">
      <w:pPr>
        <w:spacing w:line="240" w:lineRule="auto"/>
        <w:contextualSpacing/>
        <w:rPr>
          <w:rFonts w:ascii="Arial" w:eastAsia="Times New Roman" w:hAnsi="Arial" w:cs="Arial"/>
          <w:sz w:val="20"/>
          <w:szCs w:val="20"/>
          <w:lang w:val="es-419" w:eastAsia="es-ES"/>
        </w:rPr>
      </w:pPr>
    </w:p>
    <w:p w14:paraId="00000010" w14:textId="596E607A" w:rsidR="00041DAE" w:rsidRPr="00B462E4" w:rsidRDefault="00CA4F9B" w:rsidP="00B462E4">
      <w:pPr>
        <w:spacing w:line="240" w:lineRule="auto"/>
        <w:contextualSpacing/>
        <w:jc w:val="left"/>
        <w:rPr>
          <w:rFonts w:ascii="Arial" w:eastAsia="Times New Roman" w:hAnsi="Arial" w:cs="Arial"/>
          <w:sz w:val="20"/>
          <w:szCs w:val="20"/>
          <w:lang w:val="es-419" w:eastAsia="es-ES"/>
        </w:rPr>
      </w:pPr>
      <w:r w:rsidRPr="00B462E4">
        <w:rPr>
          <w:rFonts w:ascii="Arial" w:eastAsia="Times New Roman" w:hAnsi="Arial" w:cs="Arial"/>
          <w:sz w:val="20"/>
          <w:szCs w:val="20"/>
          <w:lang w:val="es-419" w:eastAsia="es-ES"/>
        </w:rPr>
        <w:t>Radicación No.:</w:t>
      </w:r>
      <w:r w:rsidR="00B462E4">
        <w:rPr>
          <w:rFonts w:ascii="Arial" w:eastAsia="Times New Roman" w:hAnsi="Arial" w:cs="Arial"/>
          <w:sz w:val="20"/>
          <w:szCs w:val="20"/>
          <w:lang w:val="es-419" w:eastAsia="es-ES"/>
        </w:rPr>
        <w:tab/>
      </w:r>
      <w:r w:rsidR="00B462E4">
        <w:rPr>
          <w:rFonts w:ascii="Arial" w:eastAsia="Times New Roman" w:hAnsi="Arial" w:cs="Arial"/>
          <w:sz w:val="20"/>
          <w:szCs w:val="20"/>
          <w:lang w:val="es-419" w:eastAsia="es-ES"/>
        </w:rPr>
        <w:tab/>
      </w:r>
      <w:r w:rsidRPr="00B462E4">
        <w:rPr>
          <w:rFonts w:ascii="Arial" w:eastAsia="Times New Roman" w:hAnsi="Arial" w:cs="Arial"/>
          <w:sz w:val="20"/>
          <w:szCs w:val="20"/>
          <w:lang w:val="es-419" w:eastAsia="es-ES"/>
        </w:rPr>
        <w:t>66001310500</w:t>
      </w:r>
      <w:r w:rsidR="00106FA0" w:rsidRPr="00B462E4">
        <w:rPr>
          <w:rFonts w:ascii="Arial" w:eastAsia="Times New Roman" w:hAnsi="Arial" w:cs="Arial"/>
          <w:sz w:val="20"/>
          <w:szCs w:val="20"/>
          <w:lang w:val="es-419" w:eastAsia="es-ES"/>
        </w:rPr>
        <w:t>1</w:t>
      </w:r>
      <w:r w:rsidRPr="00B462E4">
        <w:rPr>
          <w:rFonts w:ascii="Arial" w:eastAsia="Times New Roman" w:hAnsi="Arial" w:cs="Arial"/>
          <w:sz w:val="20"/>
          <w:szCs w:val="20"/>
          <w:lang w:val="es-419" w:eastAsia="es-ES"/>
        </w:rPr>
        <w:t>20</w:t>
      </w:r>
      <w:r w:rsidR="00106FA0" w:rsidRPr="00B462E4">
        <w:rPr>
          <w:rFonts w:ascii="Arial" w:eastAsia="Times New Roman" w:hAnsi="Arial" w:cs="Arial"/>
          <w:sz w:val="20"/>
          <w:szCs w:val="20"/>
          <w:lang w:val="es-419" w:eastAsia="es-ES"/>
        </w:rPr>
        <w:t>15</w:t>
      </w:r>
      <w:r w:rsidRPr="00B462E4">
        <w:rPr>
          <w:rFonts w:ascii="Arial" w:eastAsia="Times New Roman" w:hAnsi="Arial" w:cs="Arial"/>
          <w:sz w:val="20"/>
          <w:szCs w:val="20"/>
          <w:lang w:val="es-419" w:eastAsia="es-ES"/>
        </w:rPr>
        <w:t>00</w:t>
      </w:r>
      <w:r w:rsidR="00106FA0" w:rsidRPr="00B462E4">
        <w:rPr>
          <w:rFonts w:ascii="Arial" w:eastAsia="Times New Roman" w:hAnsi="Arial" w:cs="Arial"/>
          <w:sz w:val="20"/>
          <w:szCs w:val="20"/>
          <w:lang w:val="es-419" w:eastAsia="es-ES"/>
        </w:rPr>
        <w:t>646</w:t>
      </w:r>
      <w:r w:rsidRPr="00B462E4">
        <w:rPr>
          <w:rFonts w:ascii="Arial" w:eastAsia="Times New Roman" w:hAnsi="Arial" w:cs="Arial"/>
          <w:sz w:val="20"/>
          <w:szCs w:val="20"/>
          <w:lang w:val="es-419" w:eastAsia="es-ES"/>
        </w:rPr>
        <w:t>01</w:t>
      </w:r>
    </w:p>
    <w:p w14:paraId="00000011" w14:textId="6967E058" w:rsidR="00041DAE" w:rsidRPr="00B462E4" w:rsidRDefault="00CA4F9B" w:rsidP="00B462E4">
      <w:pPr>
        <w:spacing w:line="240" w:lineRule="auto"/>
        <w:contextualSpacing/>
        <w:jc w:val="left"/>
        <w:rPr>
          <w:rFonts w:ascii="Arial" w:eastAsia="Times New Roman" w:hAnsi="Arial" w:cs="Arial"/>
          <w:sz w:val="20"/>
          <w:szCs w:val="20"/>
          <w:lang w:val="es-419" w:eastAsia="es-ES"/>
        </w:rPr>
      </w:pPr>
      <w:r w:rsidRPr="00B462E4">
        <w:rPr>
          <w:rFonts w:ascii="Arial" w:eastAsia="Times New Roman" w:hAnsi="Arial" w:cs="Arial"/>
          <w:sz w:val="20"/>
          <w:szCs w:val="20"/>
          <w:lang w:val="es-419" w:eastAsia="es-ES"/>
        </w:rPr>
        <w:t>Proceso:</w:t>
      </w:r>
      <w:r w:rsidR="00B462E4">
        <w:rPr>
          <w:rFonts w:ascii="Arial" w:eastAsia="Times New Roman" w:hAnsi="Arial" w:cs="Arial"/>
          <w:sz w:val="20"/>
          <w:szCs w:val="20"/>
          <w:lang w:val="es-419" w:eastAsia="es-ES"/>
        </w:rPr>
        <w:tab/>
      </w:r>
      <w:r w:rsidRPr="00B462E4">
        <w:rPr>
          <w:rFonts w:ascii="Arial" w:eastAsia="Times New Roman" w:hAnsi="Arial" w:cs="Arial"/>
          <w:sz w:val="20"/>
          <w:szCs w:val="20"/>
          <w:lang w:val="es-419" w:eastAsia="es-ES"/>
        </w:rPr>
        <w:tab/>
        <w:t xml:space="preserve">Ordinario Laboral </w:t>
      </w:r>
    </w:p>
    <w:p w14:paraId="00000012" w14:textId="64F9EF74" w:rsidR="00041DAE" w:rsidRPr="00B462E4" w:rsidRDefault="00CA4F9B" w:rsidP="00B462E4">
      <w:pPr>
        <w:spacing w:line="240" w:lineRule="auto"/>
        <w:contextualSpacing/>
        <w:jc w:val="left"/>
        <w:rPr>
          <w:rFonts w:ascii="Arial" w:eastAsia="Times New Roman" w:hAnsi="Arial" w:cs="Arial"/>
          <w:sz w:val="20"/>
          <w:szCs w:val="20"/>
          <w:lang w:val="es-419" w:eastAsia="es-ES"/>
        </w:rPr>
      </w:pPr>
      <w:r w:rsidRPr="00B462E4">
        <w:rPr>
          <w:rFonts w:ascii="Arial" w:eastAsia="Times New Roman" w:hAnsi="Arial" w:cs="Arial"/>
          <w:sz w:val="20"/>
          <w:szCs w:val="20"/>
          <w:lang w:val="es-419" w:eastAsia="es-ES"/>
        </w:rPr>
        <w:t>Demandante:</w:t>
      </w:r>
      <w:r w:rsidR="00B462E4">
        <w:rPr>
          <w:rFonts w:ascii="Arial" w:eastAsia="Times New Roman" w:hAnsi="Arial" w:cs="Arial"/>
          <w:sz w:val="20"/>
          <w:szCs w:val="20"/>
          <w:lang w:val="es-419" w:eastAsia="es-ES"/>
        </w:rPr>
        <w:tab/>
      </w:r>
      <w:r w:rsidRPr="00B462E4">
        <w:rPr>
          <w:rFonts w:ascii="Arial" w:eastAsia="Times New Roman" w:hAnsi="Arial" w:cs="Arial"/>
          <w:sz w:val="20"/>
          <w:szCs w:val="20"/>
          <w:lang w:val="es-419" w:eastAsia="es-ES"/>
        </w:rPr>
        <w:tab/>
      </w:r>
      <w:r w:rsidR="00106FA0" w:rsidRPr="00B462E4">
        <w:rPr>
          <w:rFonts w:ascii="Arial" w:eastAsia="Times New Roman" w:hAnsi="Arial" w:cs="Arial"/>
          <w:sz w:val="20"/>
          <w:szCs w:val="20"/>
          <w:lang w:val="es-419" w:eastAsia="es-ES"/>
        </w:rPr>
        <w:t xml:space="preserve">Darío de Jesús Foronda Montoya </w:t>
      </w:r>
    </w:p>
    <w:p w14:paraId="00000013" w14:textId="1482181D" w:rsidR="00041DAE" w:rsidRPr="00B462E4" w:rsidRDefault="00CA4F9B" w:rsidP="00B462E4">
      <w:pPr>
        <w:spacing w:line="240" w:lineRule="auto"/>
        <w:contextualSpacing/>
        <w:jc w:val="left"/>
        <w:rPr>
          <w:rFonts w:ascii="Arial" w:eastAsia="Times New Roman" w:hAnsi="Arial" w:cs="Arial"/>
          <w:sz w:val="20"/>
          <w:szCs w:val="20"/>
          <w:lang w:val="es-419" w:eastAsia="es-ES"/>
        </w:rPr>
      </w:pPr>
      <w:r w:rsidRPr="00B462E4">
        <w:rPr>
          <w:rFonts w:ascii="Arial" w:eastAsia="Times New Roman" w:hAnsi="Arial" w:cs="Arial"/>
          <w:sz w:val="20"/>
          <w:szCs w:val="20"/>
          <w:lang w:val="es-419" w:eastAsia="es-ES"/>
        </w:rPr>
        <w:t>Demandado:</w:t>
      </w:r>
      <w:r w:rsidR="00B462E4">
        <w:rPr>
          <w:rFonts w:ascii="Arial" w:eastAsia="Times New Roman" w:hAnsi="Arial" w:cs="Arial"/>
          <w:sz w:val="20"/>
          <w:szCs w:val="20"/>
          <w:lang w:val="es-419" w:eastAsia="es-ES"/>
        </w:rPr>
        <w:tab/>
      </w:r>
      <w:r w:rsidRPr="00B462E4">
        <w:rPr>
          <w:rFonts w:ascii="Arial" w:eastAsia="Times New Roman" w:hAnsi="Arial" w:cs="Arial"/>
          <w:sz w:val="20"/>
          <w:szCs w:val="20"/>
          <w:lang w:val="es-419" w:eastAsia="es-ES"/>
        </w:rPr>
        <w:tab/>
      </w:r>
      <w:r w:rsidR="00106FA0" w:rsidRPr="00B462E4">
        <w:rPr>
          <w:rFonts w:ascii="Arial" w:eastAsia="Times New Roman" w:hAnsi="Arial" w:cs="Arial"/>
          <w:sz w:val="20"/>
          <w:szCs w:val="20"/>
          <w:lang w:val="es-419" w:eastAsia="es-ES"/>
        </w:rPr>
        <w:t>German Torres Salgado y otros</w:t>
      </w:r>
    </w:p>
    <w:p w14:paraId="00000014" w14:textId="7C9ADEF9" w:rsidR="00041DAE" w:rsidRPr="00B462E4" w:rsidRDefault="00CA4F9B" w:rsidP="00B462E4">
      <w:pPr>
        <w:spacing w:line="240" w:lineRule="auto"/>
        <w:contextualSpacing/>
        <w:jc w:val="left"/>
        <w:rPr>
          <w:rFonts w:ascii="Arial" w:eastAsia="Times New Roman" w:hAnsi="Arial" w:cs="Arial"/>
          <w:sz w:val="20"/>
          <w:szCs w:val="20"/>
          <w:lang w:val="es-419" w:eastAsia="es-ES"/>
        </w:rPr>
      </w:pPr>
      <w:r w:rsidRPr="00B462E4">
        <w:rPr>
          <w:rFonts w:ascii="Arial" w:eastAsia="Times New Roman" w:hAnsi="Arial" w:cs="Arial"/>
          <w:sz w:val="20"/>
          <w:szCs w:val="20"/>
          <w:lang w:val="es-419" w:eastAsia="es-ES"/>
        </w:rPr>
        <w:t>Juzgado</w:t>
      </w:r>
      <w:r w:rsidR="00B462E4">
        <w:rPr>
          <w:rFonts w:ascii="Arial" w:eastAsia="Times New Roman" w:hAnsi="Arial" w:cs="Arial"/>
          <w:sz w:val="20"/>
          <w:szCs w:val="20"/>
          <w:lang w:val="es-419" w:eastAsia="es-ES"/>
        </w:rPr>
        <w:t xml:space="preserve"> de origen</w:t>
      </w:r>
      <w:r w:rsidRPr="00B462E4">
        <w:rPr>
          <w:rFonts w:ascii="Arial" w:eastAsia="Times New Roman" w:hAnsi="Arial" w:cs="Arial"/>
          <w:sz w:val="20"/>
          <w:szCs w:val="20"/>
          <w:lang w:val="es-419" w:eastAsia="es-ES"/>
        </w:rPr>
        <w:t>:</w:t>
      </w:r>
      <w:r w:rsidR="00B462E4">
        <w:rPr>
          <w:rFonts w:ascii="Arial" w:eastAsia="Times New Roman" w:hAnsi="Arial" w:cs="Arial"/>
          <w:sz w:val="20"/>
          <w:szCs w:val="20"/>
          <w:lang w:val="es-419" w:eastAsia="es-ES"/>
        </w:rPr>
        <w:tab/>
      </w:r>
      <w:r w:rsidR="00106FA0" w:rsidRPr="00B462E4">
        <w:rPr>
          <w:rFonts w:ascii="Arial" w:eastAsia="Times New Roman" w:hAnsi="Arial" w:cs="Arial"/>
          <w:sz w:val="20"/>
          <w:szCs w:val="20"/>
          <w:lang w:val="es-419" w:eastAsia="es-ES"/>
        </w:rPr>
        <w:t xml:space="preserve">Primero </w:t>
      </w:r>
      <w:r w:rsidR="000B4349" w:rsidRPr="00B462E4">
        <w:rPr>
          <w:rFonts w:ascii="Arial" w:eastAsia="Times New Roman" w:hAnsi="Arial" w:cs="Arial"/>
          <w:sz w:val="20"/>
          <w:szCs w:val="20"/>
          <w:lang w:val="es-419" w:eastAsia="es-ES"/>
        </w:rPr>
        <w:t>Laboral</w:t>
      </w:r>
      <w:r w:rsidRPr="00B462E4">
        <w:rPr>
          <w:rFonts w:ascii="Arial" w:eastAsia="Times New Roman" w:hAnsi="Arial" w:cs="Arial"/>
          <w:sz w:val="20"/>
          <w:szCs w:val="20"/>
          <w:lang w:val="es-419" w:eastAsia="es-ES"/>
        </w:rPr>
        <w:t xml:space="preserve"> del Circuito de Pereir</w:t>
      </w:r>
      <w:r w:rsidR="007B674A" w:rsidRPr="00B462E4">
        <w:rPr>
          <w:rFonts w:ascii="Arial" w:eastAsia="Times New Roman" w:hAnsi="Arial" w:cs="Arial"/>
          <w:sz w:val="20"/>
          <w:szCs w:val="20"/>
          <w:lang w:val="es-419" w:eastAsia="es-ES"/>
        </w:rPr>
        <w:t>a</w:t>
      </w:r>
    </w:p>
    <w:p w14:paraId="00000016" w14:textId="16C5AD84" w:rsidR="00041DAE" w:rsidRDefault="00041DAE" w:rsidP="00B462E4">
      <w:pPr>
        <w:spacing w:line="240" w:lineRule="auto"/>
        <w:contextualSpacing/>
        <w:jc w:val="left"/>
        <w:rPr>
          <w:rFonts w:ascii="Arial" w:eastAsia="Times New Roman" w:hAnsi="Arial" w:cs="Arial"/>
          <w:sz w:val="20"/>
          <w:szCs w:val="20"/>
          <w:lang w:val="es-419" w:eastAsia="es-ES"/>
        </w:rPr>
      </w:pPr>
    </w:p>
    <w:p w14:paraId="389E63F1" w14:textId="77777777" w:rsidR="00B462E4" w:rsidRPr="00B462E4" w:rsidRDefault="00B462E4" w:rsidP="00B462E4">
      <w:pPr>
        <w:spacing w:line="240" w:lineRule="auto"/>
        <w:contextualSpacing/>
        <w:jc w:val="left"/>
        <w:rPr>
          <w:rFonts w:ascii="Arial" w:eastAsia="Times New Roman" w:hAnsi="Arial" w:cs="Arial"/>
          <w:sz w:val="20"/>
          <w:szCs w:val="20"/>
          <w:lang w:val="es-419" w:eastAsia="es-ES"/>
        </w:rPr>
      </w:pPr>
    </w:p>
    <w:p w14:paraId="48402AE7" w14:textId="77777777" w:rsidR="00713862" w:rsidRPr="00B462E4" w:rsidRDefault="00713862" w:rsidP="00B462E4">
      <w:pPr>
        <w:spacing w:line="240" w:lineRule="auto"/>
        <w:contextualSpacing/>
        <w:jc w:val="left"/>
        <w:rPr>
          <w:rFonts w:ascii="Arial" w:eastAsia="Times New Roman" w:hAnsi="Arial" w:cs="Arial"/>
          <w:sz w:val="20"/>
          <w:szCs w:val="20"/>
          <w:lang w:val="es-419" w:eastAsia="es-ES"/>
        </w:rPr>
      </w:pPr>
    </w:p>
    <w:p w14:paraId="00000017" w14:textId="77777777" w:rsidR="00041DAE" w:rsidRPr="00B462E4" w:rsidRDefault="00CA4F9B" w:rsidP="00B462E4">
      <w:pPr>
        <w:pStyle w:val="Ttulo4"/>
        <w:widowControl w:val="0"/>
        <w:spacing w:line="276" w:lineRule="auto"/>
        <w:ind w:left="709" w:right="845"/>
        <w:rPr>
          <w:rFonts w:ascii="Tahoma" w:eastAsia="Tahoma" w:hAnsi="Tahoma" w:cs="Tahoma"/>
          <w:szCs w:val="24"/>
        </w:rPr>
      </w:pPr>
      <w:r w:rsidRPr="00B462E4">
        <w:rPr>
          <w:rFonts w:ascii="Tahoma" w:eastAsia="Tahoma" w:hAnsi="Tahoma" w:cs="Tahoma"/>
          <w:szCs w:val="24"/>
        </w:rPr>
        <w:t>TRIBUNAL SUPERIOR DEL DISTRITO JUDICIAL DE PEREIRA</w:t>
      </w:r>
    </w:p>
    <w:p w14:paraId="00000018" w14:textId="26978E44" w:rsidR="00041DAE" w:rsidRPr="00B462E4" w:rsidRDefault="00CA4F9B" w:rsidP="00B462E4">
      <w:pPr>
        <w:pStyle w:val="Ttulo4"/>
        <w:widowControl w:val="0"/>
        <w:spacing w:line="276" w:lineRule="auto"/>
        <w:ind w:left="709" w:right="845"/>
        <w:rPr>
          <w:rFonts w:ascii="Tahoma" w:eastAsia="Tahoma" w:hAnsi="Tahoma" w:cs="Tahoma"/>
          <w:szCs w:val="24"/>
        </w:rPr>
      </w:pPr>
      <w:r w:rsidRPr="00B462E4">
        <w:rPr>
          <w:rFonts w:ascii="Tahoma" w:eastAsia="Tahoma" w:hAnsi="Tahoma" w:cs="Tahoma"/>
          <w:szCs w:val="24"/>
        </w:rPr>
        <w:t>SALA PRIMERA DE DECISI</w:t>
      </w:r>
      <w:r w:rsidR="003B3A62">
        <w:rPr>
          <w:rFonts w:ascii="Tahoma" w:eastAsia="Tahoma" w:hAnsi="Tahoma" w:cs="Tahoma"/>
          <w:szCs w:val="24"/>
        </w:rPr>
        <w:t>Ó</w:t>
      </w:r>
      <w:r w:rsidRPr="00B462E4">
        <w:rPr>
          <w:rFonts w:ascii="Tahoma" w:eastAsia="Tahoma" w:hAnsi="Tahoma" w:cs="Tahoma"/>
          <w:szCs w:val="24"/>
        </w:rPr>
        <w:t xml:space="preserve">N LABORAL </w:t>
      </w:r>
    </w:p>
    <w:p w14:paraId="00000019" w14:textId="77777777" w:rsidR="00041DAE" w:rsidRPr="00B462E4" w:rsidRDefault="00041DAE" w:rsidP="00B462E4">
      <w:pPr>
        <w:spacing w:line="276" w:lineRule="auto"/>
        <w:jc w:val="center"/>
        <w:rPr>
          <w:szCs w:val="24"/>
        </w:rPr>
      </w:pPr>
    </w:p>
    <w:p w14:paraId="0000001A" w14:textId="77777777" w:rsidR="00041DAE" w:rsidRPr="00B462E4" w:rsidRDefault="00CA4F9B" w:rsidP="00B462E4">
      <w:pPr>
        <w:spacing w:line="276" w:lineRule="auto"/>
        <w:jc w:val="center"/>
        <w:rPr>
          <w:szCs w:val="24"/>
        </w:rPr>
      </w:pPr>
      <w:r w:rsidRPr="00B462E4">
        <w:rPr>
          <w:szCs w:val="24"/>
        </w:rPr>
        <w:t>Magistrada Ponente: </w:t>
      </w:r>
      <w:r w:rsidRPr="00B462E4">
        <w:rPr>
          <w:b/>
          <w:szCs w:val="24"/>
        </w:rPr>
        <w:t>Ana Lucía Caicedo Calderón</w:t>
      </w:r>
      <w:r w:rsidRPr="00B462E4">
        <w:rPr>
          <w:szCs w:val="24"/>
        </w:rPr>
        <w:t> </w:t>
      </w:r>
    </w:p>
    <w:p w14:paraId="0000001B" w14:textId="77777777" w:rsidR="00041DAE" w:rsidRPr="00B462E4" w:rsidRDefault="00CA4F9B" w:rsidP="00B462E4">
      <w:pPr>
        <w:spacing w:line="276" w:lineRule="auto"/>
        <w:jc w:val="center"/>
        <w:rPr>
          <w:szCs w:val="24"/>
        </w:rPr>
      </w:pPr>
      <w:r w:rsidRPr="00B462E4">
        <w:rPr>
          <w:szCs w:val="24"/>
        </w:rPr>
        <w:t> </w:t>
      </w:r>
    </w:p>
    <w:p w14:paraId="7BC33798" w14:textId="77777777" w:rsidR="00791876" w:rsidRPr="00B462E4" w:rsidRDefault="00791876" w:rsidP="00B462E4">
      <w:pPr>
        <w:spacing w:line="276" w:lineRule="auto"/>
        <w:jc w:val="center"/>
        <w:textAlignment w:val="baseline"/>
        <w:rPr>
          <w:rFonts w:eastAsia="Times New Roman"/>
          <w:szCs w:val="24"/>
        </w:rPr>
      </w:pPr>
      <w:r w:rsidRPr="00B462E4">
        <w:rPr>
          <w:rFonts w:eastAsia="Times New Roman"/>
          <w:szCs w:val="24"/>
        </w:rPr>
        <w:t>Pereira, Risaralda, veintinueve (29) de septiembre de dos mil veintitrés (2023) </w:t>
      </w:r>
    </w:p>
    <w:p w14:paraId="4B670A07" w14:textId="6BDEF0D2" w:rsidR="79D4AA4D" w:rsidRPr="00B462E4" w:rsidRDefault="4B73BFAF" w:rsidP="00B462E4">
      <w:pPr>
        <w:spacing w:line="276" w:lineRule="auto"/>
        <w:jc w:val="center"/>
        <w:rPr>
          <w:color w:val="000000" w:themeColor="text1"/>
          <w:szCs w:val="24"/>
        </w:rPr>
      </w:pPr>
      <w:r w:rsidRPr="00B462E4">
        <w:rPr>
          <w:color w:val="000000" w:themeColor="text1"/>
          <w:szCs w:val="24"/>
        </w:rPr>
        <w:t> Acta No. </w:t>
      </w:r>
      <w:r w:rsidR="1045C595" w:rsidRPr="00B462E4">
        <w:rPr>
          <w:color w:val="000000" w:themeColor="text1"/>
          <w:szCs w:val="24"/>
        </w:rPr>
        <w:t>153</w:t>
      </w:r>
      <w:r w:rsidRPr="00B462E4">
        <w:rPr>
          <w:color w:val="000000" w:themeColor="text1"/>
          <w:szCs w:val="24"/>
        </w:rPr>
        <w:t xml:space="preserve"> del 28 de septiembre de 2023</w:t>
      </w:r>
    </w:p>
    <w:p w14:paraId="0000001E" w14:textId="22DA1A11" w:rsidR="00041DAE" w:rsidRDefault="00041DAE" w:rsidP="00B462E4">
      <w:pPr>
        <w:spacing w:line="276" w:lineRule="auto"/>
        <w:jc w:val="center"/>
        <w:rPr>
          <w:b/>
          <w:szCs w:val="24"/>
        </w:rPr>
      </w:pPr>
    </w:p>
    <w:p w14:paraId="2426B972" w14:textId="77777777" w:rsidR="00B462E4" w:rsidRPr="00B462E4" w:rsidRDefault="00B462E4" w:rsidP="00B462E4">
      <w:pPr>
        <w:spacing w:line="276" w:lineRule="auto"/>
        <w:jc w:val="center"/>
        <w:rPr>
          <w:b/>
          <w:szCs w:val="24"/>
        </w:rPr>
      </w:pPr>
    </w:p>
    <w:p w14:paraId="0B02E24E" w14:textId="7CA517E3" w:rsidR="008E7AC8" w:rsidRPr="00B462E4" w:rsidRDefault="00E7039F" w:rsidP="00B462E4">
      <w:pPr>
        <w:spacing w:line="276" w:lineRule="auto"/>
        <w:ind w:firstLine="709"/>
        <w:rPr>
          <w:b/>
          <w:bCs/>
          <w:szCs w:val="24"/>
          <w:lang w:val="es-419"/>
        </w:rPr>
      </w:pPr>
      <w:r w:rsidRPr="00B462E4">
        <w:rPr>
          <w:szCs w:val="24"/>
        </w:rPr>
        <w:t xml:space="preserve">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w:t>
      </w:r>
      <w:r w:rsidRPr="00B462E4">
        <w:rPr>
          <w:szCs w:val="24"/>
        </w:rPr>
        <w:lastRenderedPageBreak/>
        <w:t xml:space="preserve">como ponente, y OLGA LUCÍA HOYOS SEPÚLVEDA, y el Magistrado GERMÁN DARIO GOEZ VINASCO, procede a proferir la siguiente sentencia escrita dentro del proceso </w:t>
      </w:r>
      <w:r w:rsidRPr="00B462E4">
        <w:rPr>
          <w:b/>
          <w:szCs w:val="24"/>
        </w:rPr>
        <w:t>ordinario laboral</w:t>
      </w:r>
      <w:r w:rsidRPr="00B462E4">
        <w:rPr>
          <w:szCs w:val="24"/>
        </w:rPr>
        <w:t xml:space="preserve"> instaurado por </w:t>
      </w:r>
      <w:r w:rsidR="008E7AC8" w:rsidRPr="00B462E4">
        <w:rPr>
          <w:b/>
          <w:bCs/>
          <w:szCs w:val="24"/>
          <w:lang w:val="es-419"/>
        </w:rPr>
        <w:t xml:space="preserve">Darío de Jesús Foronda Montoya </w:t>
      </w:r>
      <w:r w:rsidR="00CA4F9B" w:rsidRPr="00B462E4">
        <w:rPr>
          <w:szCs w:val="24"/>
        </w:rPr>
        <w:t xml:space="preserve">en contra de </w:t>
      </w:r>
      <w:r w:rsidR="008E7AC8" w:rsidRPr="00B462E4">
        <w:rPr>
          <w:b/>
          <w:bCs/>
          <w:szCs w:val="24"/>
          <w:lang w:val="es-419"/>
        </w:rPr>
        <w:t>German Torres Salgado, Octavio Augusto Morales Ayala, José Guillermo Galán Gómez, Vías y Canales S.A.S</w:t>
      </w:r>
      <w:r w:rsidR="00B462E4">
        <w:rPr>
          <w:b/>
          <w:bCs/>
          <w:szCs w:val="24"/>
          <w:lang w:val="es-419"/>
        </w:rPr>
        <w:t>.</w:t>
      </w:r>
      <w:r w:rsidR="00F237DA" w:rsidRPr="00B462E4">
        <w:rPr>
          <w:b/>
          <w:bCs/>
          <w:szCs w:val="24"/>
          <w:lang w:val="es-419"/>
        </w:rPr>
        <w:t xml:space="preserve"> </w:t>
      </w:r>
      <w:r w:rsidR="00F237DA" w:rsidRPr="00B462E4">
        <w:rPr>
          <w:szCs w:val="24"/>
          <w:lang w:val="es-419"/>
        </w:rPr>
        <w:t xml:space="preserve">como integrantes del </w:t>
      </w:r>
      <w:r w:rsidR="00F237DA" w:rsidRPr="00B462E4">
        <w:rPr>
          <w:b/>
          <w:szCs w:val="24"/>
          <w:lang w:val="es-419"/>
        </w:rPr>
        <w:t xml:space="preserve">Consorcio </w:t>
      </w:r>
      <w:r w:rsidR="00BE1459" w:rsidRPr="00B462E4">
        <w:rPr>
          <w:b/>
          <w:szCs w:val="24"/>
          <w:lang w:val="es-419"/>
        </w:rPr>
        <w:t>Omega</w:t>
      </w:r>
      <w:r w:rsidR="00BE1459" w:rsidRPr="00B462E4">
        <w:rPr>
          <w:szCs w:val="24"/>
          <w:lang w:val="es-419"/>
        </w:rPr>
        <w:t xml:space="preserve"> y solidariamente en contra del </w:t>
      </w:r>
      <w:r w:rsidR="008E7AC8" w:rsidRPr="00B462E4">
        <w:rPr>
          <w:b/>
          <w:bCs/>
          <w:szCs w:val="24"/>
          <w:lang w:val="es-419"/>
        </w:rPr>
        <w:t xml:space="preserve">Municipio de Pereira </w:t>
      </w:r>
      <w:r w:rsidR="008E7AC8" w:rsidRPr="00B462E4">
        <w:rPr>
          <w:szCs w:val="24"/>
          <w:lang w:val="es-419"/>
        </w:rPr>
        <w:t>y</w:t>
      </w:r>
      <w:r w:rsidR="008E7AC8" w:rsidRPr="00B462E4">
        <w:rPr>
          <w:b/>
          <w:bCs/>
          <w:szCs w:val="24"/>
          <w:lang w:val="es-419"/>
        </w:rPr>
        <w:t xml:space="preserve"> Aeropuerto Internacional Matecaña.</w:t>
      </w:r>
    </w:p>
    <w:p w14:paraId="7A766A60" w14:textId="77777777" w:rsidR="008E7AC8" w:rsidRPr="00B462E4" w:rsidRDefault="008E7AC8" w:rsidP="00B462E4">
      <w:pPr>
        <w:spacing w:line="276" w:lineRule="auto"/>
        <w:ind w:firstLine="709"/>
        <w:rPr>
          <w:b/>
          <w:bCs/>
          <w:szCs w:val="24"/>
          <w:lang w:val="es-419"/>
        </w:rPr>
      </w:pPr>
    </w:p>
    <w:p w14:paraId="00000021" w14:textId="5EEB7C0D" w:rsidR="00041DAE" w:rsidRPr="00B462E4" w:rsidRDefault="00CA4F9B" w:rsidP="00B462E4">
      <w:pPr>
        <w:spacing w:line="276" w:lineRule="auto"/>
        <w:ind w:firstLine="709"/>
        <w:jc w:val="center"/>
        <w:rPr>
          <w:b/>
          <w:color w:val="000000"/>
          <w:szCs w:val="24"/>
        </w:rPr>
      </w:pPr>
      <w:r w:rsidRPr="00B462E4">
        <w:rPr>
          <w:b/>
          <w:color w:val="000000"/>
          <w:szCs w:val="24"/>
        </w:rPr>
        <w:t>PUNTO A TRATAR</w:t>
      </w:r>
    </w:p>
    <w:p w14:paraId="00000022" w14:textId="77777777" w:rsidR="00041DAE" w:rsidRPr="00B462E4" w:rsidRDefault="00041DAE" w:rsidP="00B462E4">
      <w:pPr>
        <w:pBdr>
          <w:top w:val="nil"/>
          <w:left w:val="nil"/>
          <w:bottom w:val="nil"/>
          <w:right w:val="nil"/>
          <w:between w:val="nil"/>
        </w:pBdr>
        <w:spacing w:line="276" w:lineRule="auto"/>
        <w:jc w:val="center"/>
        <w:rPr>
          <w:color w:val="000000"/>
          <w:szCs w:val="24"/>
        </w:rPr>
      </w:pPr>
    </w:p>
    <w:p w14:paraId="7978129C" w14:textId="7EAAE85A" w:rsidR="00AE2570" w:rsidRPr="00B462E4" w:rsidRDefault="00AE2570" w:rsidP="00B462E4">
      <w:pPr>
        <w:spacing w:line="276" w:lineRule="auto"/>
        <w:ind w:firstLine="709"/>
        <w:rPr>
          <w:szCs w:val="24"/>
          <w:lang w:val="es-ES_tradnl"/>
        </w:rPr>
      </w:pPr>
      <w:r w:rsidRPr="00B462E4">
        <w:rPr>
          <w:szCs w:val="24"/>
          <w:lang w:val="es-ES_tradnl"/>
        </w:rPr>
        <w:t>Por medio de esta providencia procede la Sala a revolver el grado jurisdiccional de consulta dispuesto en favor del Municipio de Pereira y los recursos de apelación interpuestos por e</w:t>
      </w:r>
      <w:r w:rsidR="00132E66" w:rsidRPr="00B462E4">
        <w:rPr>
          <w:szCs w:val="24"/>
          <w:lang w:val="es-ES_tradnl"/>
        </w:rPr>
        <w:t xml:space="preserve">l </w:t>
      </w:r>
      <w:r w:rsidRPr="00B462E4">
        <w:rPr>
          <w:szCs w:val="24"/>
          <w:lang w:val="es-ES_tradnl"/>
        </w:rPr>
        <w:t>ente territorial y los demandados José Guillermo Galán</w:t>
      </w:r>
      <w:r w:rsidR="00F237DA" w:rsidRPr="00B462E4">
        <w:rPr>
          <w:szCs w:val="24"/>
          <w:lang w:val="es-ES_tradnl"/>
        </w:rPr>
        <w:t xml:space="preserve"> Gómez</w:t>
      </w:r>
      <w:r w:rsidRPr="00B462E4">
        <w:rPr>
          <w:szCs w:val="24"/>
          <w:lang w:val="es-ES_tradnl"/>
        </w:rPr>
        <w:t>, Octavio Augusto Morales</w:t>
      </w:r>
      <w:r w:rsidR="00F237DA" w:rsidRPr="00B462E4">
        <w:rPr>
          <w:szCs w:val="24"/>
          <w:lang w:val="es-ES_tradnl"/>
        </w:rPr>
        <w:t xml:space="preserve"> Ayala</w:t>
      </w:r>
      <w:r w:rsidRPr="00B462E4">
        <w:rPr>
          <w:szCs w:val="24"/>
          <w:lang w:val="es-ES_tradnl"/>
        </w:rPr>
        <w:t xml:space="preserve">, Germán Torres Salgado y la sociedad Vías y Canales S.A.S en contra de la sentencia proferida el 10 de noviembre de 2022 </w:t>
      </w:r>
      <w:r w:rsidRPr="00B462E4">
        <w:rPr>
          <w:szCs w:val="24"/>
          <w:lang w:val="es-CO"/>
        </w:rPr>
        <w:t>por el Juzgado Primero Laboral del Circuito de Pereira</w:t>
      </w:r>
      <w:r w:rsidRPr="00B462E4">
        <w:rPr>
          <w:szCs w:val="24"/>
          <w:lang w:val="es-ES_tradnl"/>
        </w:rPr>
        <w:t xml:space="preserve">. Para ello se tiene en cuenta lo siguiente: </w:t>
      </w:r>
    </w:p>
    <w:p w14:paraId="6616BA9F" w14:textId="58A40034" w:rsidR="00E559E8" w:rsidRPr="00B462E4" w:rsidRDefault="00E559E8" w:rsidP="00B462E4">
      <w:pPr>
        <w:spacing w:line="276" w:lineRule="auto"/>
        <w:rPr>
          <w:szCs w:val="24"/>
        </w:rPr>
      </w:pPr>
    </w:p>
    <w:p w14:paraId="34179A9E" w14:textId="29541AAE" w:rsidR="00ED578B" w:rsidRPr="00B462E4" w:rsidRDefault="00ED578B" w:rsidP="00B462E4">
      <w:pPr>
        <w:numPr>
          <w:ilvl w:val="0"/>
          <w:numId w:val="2"/>
        </w:numPr>
        <w:spacing w:line="276" w:lineRule="auto"/>
        <w:ind w:left="0"/>
        <w:jc w:val="center"/>
        <w:rPr>
          <w:b/>
          <w:bCs/>
          <w:color w:val="000000"/>
          <w:szCs w:val="24"/>
          <w:lang w:val="es-CO"/>
        </w:rPr>
      </w:pPr>
      <w:r w:rsidRPr="00B462E4">
        <w:rPr>
          <w:b/>
          <w:bCs/>
          <w:color w:val="000000" w:themeColor="text1"/>
          <w:szCs w:val="24"/>
          <w:lang w:val="es-CO"/>
        </w:rPr>
        <w:t xml:space="preserve">LA DEMANDA Y </w:t>
      </w:r>
      <w:r w:rsidR="2D2652D4" w:rsidRPr="00B462E4">
        <w:rPr>
          <w:b/>
          <w:bCs/>
          <w:color w:val="000000" w:themeColor="text1"/>
          <w:szCs w:val="24"/>
          <w:lang w:val="es-CO"/>
        </w:rPr>
        <w:t>LA</w:t>
      </w:r>
      <w:r w:rsidRPr="00B462E4">
        <w:rPr>
          <w:b/>
          <w:bCs/>
          <w:color w:val="000000" w:themeColor="text1"/>
          <w:szCs w:val="24"/>
          <w:lang w:val="es-CO"/>
        </w:rPr>
        <w:t xml:space="preserve"> CONTESTACIÓN</w:t>
      </w:r>
      <w:r w:rsidR="112B9F68" w:rsidRPr="00B462E4">
        <w:rPr>
          <w:b/>
          <w:bCs/>
          <w:color w:val="000000" w:themeColor="text1"/>
          <w:szCs w:val="24"/>
          <w:lang w:val="es-CO"/>
        </w:rPr>
        <w:t xml:space="preserve"> DE LA DEMANDA</w:t>
      </w:r>
    </w:p>
    <w:p w14:paraId="00000026" w14:textId="77777777" w:rsidR="00041DAE" w:rsidRPr="00B462E4" w:rsidRDefault="00041DAE" w:rsidP="00B462E4">
      <w:pPr>
        <w:spacing w:line="276" w:lineRule="auto"/>
        <w:jc w:val="center"/>
        <w:rPr>
          <w:b/>
          <w:szCs w:val="24"/>
        </w:rPr>
      </w:pPr>
    </w:p>
    <w:p w14:paraId="26EF6BAF" w14:textId="714FC540" w:rsidR="00E724BD" w:rsidRPr="00B462E4" w:rsidRDefault="005A6E08" w:rsidP="00B462E4">
      <w:pPr>
        <w:spacing w:line="276" w:lineRule="auto"/>
        <w:ind w:firstLine="720"/>
        <w:rPr>
          <w:szCs w:val="24"/>
          <w:lang w:val="es-CO"/>
        </w:rPr>
      </w:pPr>
      <w:r w:rsidRPr="00B462E4">
        <w:rPr>
          <w:szCs w:val="24"/>
          <w:lang w:val="es-CO"/>
        </w:rPr>
        <w:t>Pretende el señor Darío de Jesús Foronda Montoya se declare que entre él y los señores Germán Torres Salgado, José Guillermo Gómez Galán, Octavio Augusto Morales Ayala y Vías y Canales S.A.S</w:t>
      </w:r>
      <w:r w:rsidR="6CAC305A" w:rsidRPr="00B462E4">
        <w:rPr>
          <w:szCs w:val="24"/>
          <w:lang w:val="es-CO"/>
        </w:rPr>
        <w:t>.,</w:t>
      </w:r>
      <w:r w:rsidRPr="00B462E4">
        <w:rPr>
          <w:szCs w:val="24"/>
          <w:lang w:val="es-CO"/>
        </w:rPr>
        <w:t xml:space="preserve"> integrantes del consorcio Omega</w:t>
      </w:r>
      <w:r w:rsidR="6D85F70A" w:rsidRPr="00B462E4">
        <w:rPr>
          <w:szCs w:val="24"/>
          <w:lang w:val="es-CO"/>
        </w:rPr>
        <w:t>,</w:t>
      </w:r>
      <w:r w:rsidRPr="00B462E4">
        <w:rPr>
          <w:szCs w:val="24"/>
          <w:lang w:val="es-CO"/>
        </w:rPr>
        <w:t xml:space="preserve"> existió un contrato de trabajo </w:t>
      </w:r>
      <w:r w:rsidR="13DAA4A6" w:rsidRPr="00B462E4">
        <w:rPr>
          <w:szCs w:val="24"/>
          <w:lang w:val="es-CO"/>
        </w:rPr>
        <w:t>por</w:t>
      </w:r>
      <w:r w:rsidRPr="00B462E4">
        <w:rPr>
          <w:szCs w:val="24"/>
          <w:lang w:val="es-CO"/>
        </w:rPr>
        <w:t xml:space="preserve"> obra </w:t>
      </w:r>
      <w:r w:rsidR="53E4F0D3" w:rsidRPr="00B462E4">
        <w:rPr>
          <w:szCs w:val="24"/>
          <w:lang w:val="es-CO"/>
        </w:rPr>
        <w:t>o</w:t>
      </w:r>
      <w:r w:rsidRPr="00B462E4">
        <w:rPr>
          <w:szCs w:val="24"/>
          <w:lang w:val="es-CO"/>
        </w:rPr>
        <w:t xml:space="preserve"> labor, </w:t>
      </w:r>
      <w:r w:rsidR="00EE5E85" w:rsidRPr="00B462E4">
        <w:rPr>
          <w:szCs w:val="24"/>
          <w:lang w:val="es-CO"/>
        </w:rPr>
        <w:t>desde el 30 de abril de 2014</w:t>
      </w:r>
      <w:r w:rsidR="7C2E6D4D" w:rsidRPr="00B462E4">
        <w:rPr>
          <w:szCs w:val="24"/>
          <w:lang w:val="es-CO"/>
        </w:rPr>
        <w:t>. A</w:t>
      </w:r>
      <w:r w:rsidR="00E724BD" w:rsidRPr="00B462E4">
        <w:rPr>
          <w:szCs w:val="24"/>
          <w:lang w:val="es-CO"/>
        </w:rPr>
        <w:t>simismo, que se declare que la terminación del contrato es ineficaz debido a que gozaba del fuero de es</w:t>
      </w:r>
      <w:r w:rsidR="00F442F1" w:rsidRPr="00B462E4">
        <w:rPr>
          <w:szCs w:val="24"/>
          <w:lang w:val="es-CO"/>
        </w:rPr>
        <w:t>tabilidad laboral reforzada.</w:t>
      </w:r>
    </w:p>
    <w:p w14:paraId="585C26E8" w14:textId="77777777" w:rsidR="00F442F1" w:rsidRPr="00B462E4" w:rsidRDefault="00F442F1" w:rsidP="00B462E4">
      <w:pPr>
        <w:spacing w:line="276" w:lineRule="auto"/>
        <w:ind w:firstLine="720"/>
        <w:rPr>
          <w:szCs w:val="24"/>
          <w:lang w:val="es-CO"/>
        </w:rPr>
      </w:pPr>
    </w:p>
    <w:p w14:paraId="5D238372" w14:textId="2809A2CA" w:rsidR="005A6E08" w:rsidRPr="00B462E4" w:rsidRDefault="00F442F1" w:rsidP="00B462E4">
      <w:pPr>
        <w:spacing w:line="276" w:lineRule="auto"/>
        <w:ind w:firstLine="720"/>
        <w:rPr>
          <w:szCs w:val="24"/>
          <w:lang w:val="es-CO"/>
        </w:rPr>
      </w:pPr>
      <w:r w:rsidRPr="00B462E4">
        <w:rPr>
          <w:szCs w:val="24"/>
          <w:lang w:val="es-CO"/>
        </w:rPr>
        <w:t>En consecuencia</w:t>
      </w:r>
      <w:r w:rsidR="003572CA" w:rsidRPr="00B462E4">
        <w:rPr>
          <w:szCs w:val="24"/>
          <w:lang w:val="es-CO"/>
        </w:rPr>
        <w:t>,</w:t>
      </w:r>
      <w:r w:rsidRPr="00B462E4">
        <w:rPr>
          <w:szCs w:val="24"/>
          <w:lang w:val="es-CO"/>
        </w:rPr>
        <w:t xml:space="preserve"> procura que se condene a los referidos integrantes del consorcio y solidariamente al Municipio de Pereira y </w:t>
      </w:r>
      <w:r w:rsidR="00BF6C3C" w:rsidRPr="00B462E4">
        <w:rPr>
          <w:szCs w:val="24"/>
          <w:lang w:val="es-CO"/>
        </w:rPr>
        <w:t>a</w:t>
      </w:r>
      <w:r w:rsidRPr="00B462E4">
        <w:rPr>
          <w:szCs w:val="24"/>
          <w:lang w:val="es-CO"/>
        </w:rPr>
        <w:t>l Aeropuerto Internacional Matecaña a</w:t>
      </w:r>
      <w:r w:rsidR="00BF6C3C" w:rsidRPr="00B462E4">
        <w:rPr>
          <w:szCs w:val="24"/>
          <w:lang w:val="es-CO"/>
        </w:rPr>
        <w:t xml:space="preserve"> </w:t>
      </w:r>
      <w:r w:rsidR="005A6E08" w:rsidRPr="00B462E4">
        <w:rPr>
          <w:szCs w:val="24"/>
          <w:lang w:val="es-CO"/>
        </w:rPr>
        <w:t xml:space="preserve">reintegrarlo al cargo que desempeñaba o uno de igual o mejor jerarquía; a pagar los salarios y prestaciones sociales </w:t>
      </w:r>
      <w:r w:rsidR="004A4572" w:rsidRPr="00B462E4">
        <w:rPr>
          <w:szCs w:val="24"/>
          <w:lang w:val="es-CO"/>
        </w:rPr>
        <w:t>a partir d</w:t>
      </w:r>
      <w:r w:rsidR="005A6E08" w:rsidRPr="00B462E4">
        <w:rPr>
          <w:szCs w:val="24"/>
          <w:lang w:val="es-CO"/>
        </w:rPr>
        <w:t>el 29 de noviembre de 2019 hasta el momento en que se haga efectivo el reintegro</w:t>
      </w:r>
      <w:r w:rsidR="004A4572" w:rsidRPr="00B462E4">
        <w:rPr>
          <w:szCs w:val="24"/>
          <w:lang w:val="es-CO"/>
        </w:rPr>
        <w:t>; a</w:t>
      </w:r>
      <w:r w:rsidR="005A6E08" w:rsidRPr="00B462E4">
        <w:rPr>
          <w:szCs w:val="24"/>
          <w:lang w:val="es-CO"/>
        </w:rPr>
        <w:t>l pago de la indemnización de 180 días de la que trata</w:t>
      </w:r>
      <w:r w:rsidR="008C5D0B" w:rsidRPr="00B462E4">
        <w:rPr>
          <w:szCs w:val="24"/>
          <w:lang w:val="es-CO"/>
        </w:rPr>
        <w:t xml:space="preserve"> el artículo 26 de</w:t>
      </w:r>
      <w:r w:rsidR="005A6E08" w:rsidRPr="00B462E4">
        <w:rPr>
          <w:szCs w:val="24"/>
          <w:lang w:val="es-CO"/>
        </w:rPr>
        <w:t xml:space="preserve"> la </w:t>
      </w:r>
      <w:r w:rsidR="008C5D0B" w:rsidRPr="00B462E4">
        <w:rPr>
          <w:szCs w:val="24"/>
          <w:lang w:val="es-CO"/>
        </w:rPr>
        <w:t>L</w:t>
      </w:r>
      <w:r w:rsidR="005A6E08" w:rsidRPr="00B462E4">
        <w:rPr>
          <w:szCs w:val="24"/>
          <w:lang w:val="es-CO"/>
        </w:rPr>
        <w:t>ey 361 de 1997</w:t>
      </w:r>
      <w:r w:rsidR="008C5D0B" w:rsidRPr="00B462E4">
        <w:rPr>
          <w:szCs w:val="24"/>
          <w:lang w:val="es-CO"/>
        </w:rPr>
        <w:t xml:space="preserve">; lo que se demuestre bajo las facultades ultra y extra petita y las costas procesales en su favor. </w:t>
      </w:r>
    </w:p>
    <w:p w14:paraId="367689A0" w14:textId="77777777" w:rsidR="005A6E08" w:rsidRPr="00B462E4" w:rsidRDefault="005A6E08" w:rsidP="00B462E4">
      <w:pPr>
        <w:spacing w:line="276" w:lineRule="auto"/>
        <w:rPr>
          <w:szCs w:val="24"/>
          <w:lang w:val="es-CO"/>
        </w:rPr>
      </w:pPr>
    </w:p>
    <w:p w14:paraId="33DEC21D" w14:textId="03BAA47E" w:rsidR="007B22DA" w:rsidRPr="00B462E4" w:rsidRDefault="005A6E08" w:rsidP="00B462E4">
      <w:pPr>
        <w:spacing w:line="276" w:lineRule="auto"/>
        <w:ind w:firstLine="720"/>
        <w:rPr>
          <w:szCs w:val="24"/>
          <w:lang w:val="es-CO"/>
        </w:rPr>
      </w:pPr>
      <w:r w:rsidRPr="00B462E4">
        <w:rPr>
          <w:szCs w:val="24"/>
          <w:lang w:val="es-CO"/>
        </w:rPr>
        <w:t>Como sustento de lo peticionado, relata que suscribió contrato de trabajo bajo la modalidad</w:t>
      </w:r>
      <w:r w:rsidR="20A7D16E" w:rsidRPr="00B462E4">
        <w:rPr>
          <w:szCs w:val="24"/>
          <w:lang w:val="es-CO"/>
        </w:rPr>
        <w:t xml:space="preserve"> por obra o labor</w:t>
      </w:r>
      <w:r w:rsidRPr="00B462E4">
        <w:rPr>
          <w:szCs w:val="24"/>
          <w:lang w:val="es-CO"/>
        </w:rPr>
        <w:t xml:space="preserve"> con el Consorcio Omega, </w:t>
      </w:r>
      <w:r w:rsidR="006C0119" w:rsidRPr="00B462E4">
        <w:rPr>
          <w:szCs w:val="24"/>
          <w:lang w:val="es-CO"/>
        </w:rPr>
        <w:t>para desempeñarse como ayudante de obra</w:t>
      </w:r>
      <w:r w:rsidR="00BA4EA6" w:rsidRPr="00B462E4">
        <w:rPr>
          <w:szCs w:val="24"/>
          <w:lang w:val="es-CO"/>
        </w:rPr>
        <w:t xml:space="preserve"> en el terraplén de la cabecera 8 del Aeropuerto Internacional Matecaña</w:t>
      </w:r>
      <w:r w:rsidR="00BA1C78" w:rsidRPr="00B462E4">
        <w:rPr>
          <w:szCs w:val="24"/>
          <w:lang w:val="es-CO"/>
        </w:rPr>
        <w:t>,</w:t>
      </w:r>
      <w:r w:rsidR="006C0119" w:rsidRPr="00B462E4">
        <w:rPr>
          <w:szCs w:val="24"/>
          <w:lang w:val="es-CO"/>
        </w:rPr>
        <w:t xml:space="preserve"> desde el 30 de abril de 2014</w:t>
      </w:r>
      <w:r w:rsidR="00BA4EA6" w:rsidRPr="00B462E4">
        <w:rPr>
          <w:szCs w:val="24"/>
          <w:lang w:val="es-CO"/>
        </w:rPr>
        <w:t>,</w:t>
      </w:r>
      <w:r w:rsidR="29DCAAC6" w:rsidRPr="00B462E4">
        <w:rPr>
          <w:szCs w:val="24"/>
          <w:lang w:val="es-CO"/>
        </w:rPr>
        <w:t xml:space="preserve"> cumpliendo</w:t>
      </w:r>
      <w:r w:rsidR="00BA4EA6" w:rsidRPr="00B462E4">
        <w:rPr>
          <w:szCs w:val="24"/>
          <w:lang w:val="es-CO"/>
        </w:rPr>
        <w:t xml:space="preserve"> en un horario de lunes a sábado de 7am a 5pm</w:t>
      </w:r>
      <w:r w:rsidR="49873F1A" w:rsidRPr="00B462E4">
        <w:rPr>
          <w:szCs w:val="24"/>
          <w:lang w:val="es-CO"/>
        </w:rPr>
        <w:t xml:space="preserve"> y</w:t>
      </w:r>
      <w:r w:rsidR="00BA1C78" w:rsidRPr="00B462E4">
        <w:rPr>
          <w:szCs w:val="24"/>
          <w:lang w:val="es-CO"/>
        </w:rPr>
        <w:t xml:space="preserve"> </w:t>
      </w:r>
      <w:r w:rsidR="006C0119" w:rsidRPr="00B462E4">
        <w:rPr>
          <w:szCs w:val="24"/>
          <w:lang w:val="es-CO"/>
        </w:rPr>
        <w:t>de</w:t>
      </w:r>
      <w:r w:rsidR="007B22DA" w:rsidRPr="00B462E4">
        <w:rPr>
          <w:szCs w:val="24"/>
          <w:lang w:val="es-CO"/>
        </w:rPr>
        <w:t>vengando la suma equivalente al salario mínimo mensual legal vigente</w:t>
      </w:r>
      <w:r w:rsidR="31D1FC70" w:rsidRPr="00B462E4">
        <w:rPr>
          <w:szCs w:val="24"/>
          <w:lang w:val="es-CO"/>
        </w:rPr>
        <w:t xml:space="preserve"> como remuneración</w:t>
      </w:r>
      <w:r w:rsidR="007B22DA" w:rsidRPr="00B462E4">
        <w:rPr>
          <w:szCs w:val="24"/>
          <w:lang w:val="es-CO"/>
        </w:rPr>
        <w:t xml:space="preserve">. </w:t>
      </w:r>
    </w:p>
    <w:p w14:paraId="683A8F53" w14:textId="77777777" w:rsidR="007B22DA" w:rsidRPr="00B462E4" w:rsidRDefault="007B22DA" w:rsidP="00B462E4">
      <w:pPr>
        <w:spacing w:line="276" w:lineRule="auto"/>
        <w:ind w:firstLine="720"/>
        <w:rPr>
          <w:szCs w:val="24"/>
          <w:lang w:val="es-CO"/>
        </w:rPr>
      </w:pPr>
    </w:p>
    <w:p w14:paraId="475DBC25" w14:textId="5B2A1C03" w:rsidR="005A6E08" w:rsidRPr="00B462E4" w:rsidRDefault="007B22DA" w:rsidP="00B462E4">
      <w:pPr>
        <w:spacing w:line="276" w:lineRule="auto"/>
        <w:ind w:firstLine="720"/>
        <w:rPr>
          <w:szCs w:val="24"/>
          <w:lang w:val="es-CO"/>
        </w:rPr>
      </w:pPr>
      <w:r w:rsidRPr="00B462E4">
        <w:rPr>
          <w:szCs w:val="24"/>
          <w:lang w:val="es-CO"/>
        </w:rPr>
        <w:t xml:space="preserve">Explica que sus funciones </w:t>
      </w:r>
      <w:r w:rsidR="005A6E08" w:rsidRPr="00B462E4">
        <w:rPr>
          <w:szCs w:val="24"/>
          <w:lang w:val="es-CO"/>
        </w:rPr>
        <w:t>consistieron en pisar tierra y cemento con pistones metálicos</w:t>
      </w:r>
      <w:r w:rsidR="00FA0107" w:rsidRPr="00B462E4">
        <w:rPr>
          <w:szCs w:val="24"/>
          <w:lang w:val="es-CO"/>
        </w:rPr>
        <w:t xml:space="preserve">, </w:t>
      </w:r>
      <w:r w:rsidR="005A6E08" w:rsidRPr="00B462E4">
        <w:rPr>
          <w:szCs w:val="24"/>
          <w:lang w:val="es-CO"/>
        </w:rPr>
        <w:t>remover piedras enterradas</w:t>
      </w:r>
      <w:r w:rsidR="00FA0107" w:rsidRPr="00B462E4">
        <w:rPr>
          <w:szCs w:val="24"/>
          <w:lang w:val="es-CO"/>
        </w:rPr>
        <w:t xml:space="preserve"> y mover y dispersar el cemento</w:t>
      </w:r>
      <w:r w:rsidR="00BA1C78" w:rsidRPr="00B462E4">
        <w:rPr>
          <w:szCs w:val="24"/>
          <w:lang w:val="es-CO"/>
        </w:rPr>
        <w:t xml:space="preserve">, y que las ordenes la recibía de su jefe </w:t>
      </w:r>
      <w:r w:rsidR="005A6E08" w:rsidRPr="00B462E4">
        <w:rPr>
          <w:szCs w:val="24"/>
          <w:lang w:val="es-CO"/>
        </w:rPr>
        <w:t>inmediato</w:t>
      </w:r>
      <w:r w:rsidR="00397C99">
        <w:rPr>
          <w:szCs w:val="24"/>
          <w:lang w:val="es-CO"/>
        </w:rPr>
        <w:t>,</w:t>
      </w:r>
      <w:r w:rsidR="00BA1C78" w:rsidRPr="00B462E4">
        <w:rPr>
          <w:szCs w:val="24"/>
          <w:lang w:val="es-CO"/>
        </w:rPr>
        <w:t xml:space="preserve"> </w:t>
      </w:r>
      <w:r w:rsidR="005A6E08" w:rsidRPr="00B462E4">
        <w:rPr>
          <w:szCs w:val="24"/>
          <w:lang w:val="es-CO"/>
        </w:rPr>
        <w:t xml:space="preserve">el señor Miguel Ángel Gómez, quien ostentaba el cargo de maestro de obra. </w:t>
      </w:r>
    </w:p>
    <w:p w14:paraId="7207AC2F" w14:textId="77777777" w:rsidR="005A6E08" w:rsidRPr="00B462E4" w:rsidRDefault="005A6E08" w:rsidP="00B462E4">
      <w:pPr>
        <w:spacing w:line="276" w:lineRule="auto"/>
        <w:rPr>
          <w:szCs w:val="24"/>
          <w:lang w:val="es-CO"/>
        </w:rPr>
      </w:pPr>
    </w:p>
    <w:p w14:paraId="2B6571A0" w14:textId="49C3E9F0" w:rsidR="005A6E08" w:rsidRPr="00B462E4" w:rsidRDefault="005A6E08" w:rsidP="00B462E4">
      <w:pPr>
        <w:spacing w:line="276" w:lineRule="auto"/>
        <w:ind w:firstLine="720"/>
        <w:rPr>
          <w:szCs w:val="24"/>
          <w:lang w:val="es-CO"/>
        </w:rPr>
      </w:pPr>
      <w:r w:rsidRPr="00B462E4">
        <w:rPr>
          <w:szCs w:val="24"/>
          <w:lang w:val="es-CO"/>
        </w:rPr>
        <w:lastRenderedPageBreak/>
        <w:t xml:space="preserve">Manifiesta que el 10 de julio de 2014, </w:t>
      </w:r>
      <w:r w:rsidR="006A6232" w:rsidRPr="00B462E4">
        <w:rPr>
          <w:szCs w:val="24"/>
          <w:lang w:val="es-CO"/>
        </w:rPr>
        <w:t xml:space="preserve">en desarrollo de </w:t>
      </w:r>
      <w:r w:rsidRPr="00B462E4">
        <w:rPr>
          <w:szCs w:val="24"/>
          <w:lang w:val="es-CO"/>
        </w:rPr>
        <w:t xml:space="preserve">las labores encomendadas realizó un mal movimiento </w:t>
      </w:r>
      <w:r w:rsidR="007D2DEA" w:rsidRPr="00B462E4">
        <w:rPr>
          <w:szCs w:val="24"/>
          <w:lang w:val="es-CO"/>
        </w:rPr>
        <w:t xml:space="preserve">con </w:t>
      </w:r>
      <w:r w:rsidRPr="00B462E4">
        <w:rPr>
          <w:szCs w:val="24"/>
          <w:lang w:val="es-CO"/>
        </w:rPr>
        <w:t>un bulto de cemento,</w:t>
      </w:r>
      <w:r w:rsidR="007D2DEA" w:rsidRPr="00B462E4">
        <w:rPr>
          <w:szCs w:val="24"/>
          <w:lang w:val="es-CO"/>
        </w:rPr>
        <w:t xml:space="preserve"> que le ocasionó </w:t>
      </w:r>
      <w:r w:rsidRPr="00B462E4">
        <w:rPr>
          <w:szCs w:val="24"/>
          <w:lang w:val="es-CO"/>
        </w:rPr>
        <w:t>una hernia inguinal</w:t>
      </w:r>
      <w:r w:rsidR="001405D2" w:rsidRPr="00B462E4">
        <w:rPr>
          <w:szCs w:val="24"/>
          <w:lang w:val="es-CO"/>
        </w:rPr>
        <w:t xml:space="preserve">, motivo por el cual fue intervenido quirúrgicamente </w:t>
      </w:r>
      <w:r w:rsidRPr="00B462E4">
        <w:rPr>
          <w:szCs w:val="24"/>
          <w:lang w:val="es-CO"/>
        </w:rPr>
        <w:t xml:space="preserve">el 10 de octubre de 2014 </w:t>
      </w:r>
      <w:r w:rsidR="007D10BA" w:rsidRPr="00B462E4">
        <w:rPr>
          <w:szCs w:val="24"/>
          <w:lang w:val="es-CO"/>
        </w:rPr>
        <w:t>y estuvo incapacitado por un mes y doce días.</w:t>
      </w:r>
    </w:p>
    <w:p w14:paraId="77C3A151" w14:textId="77777777" w:rsidR="005A6E08" w:rsidRPr="00B462E4" w:rsidRDefault="005A6E08" w:rsidP="00B462E4">
      <w:pPr>
        <w:spacing w:line="276" w:lineRule="auto"/>
        <w:rPr>
          <w:szCs w:val="24"/>
          <w:lang w:val="es-CO"/>
        </w:rPr>
      </w:pPr>
    </w:p>
    <w:p w14:paraId="27108F2C" w14:textId="797F8B4E" w:rsidR="005A6E08" w:rsidRPr="00B462E4" w:rsidRDefault="005A6E08" w:rsidP="00B462E4">
      <w:pPr>
        <w:spacing w:line="276" w:lineRule="auto"/>
        <w:ind w:firstLine="720"/>
        <w:rPr>
          <w:szCs w:val="24"/>
          <w:lang w:val="es-CO"/>
        </w:rPr>
      </w:pPr>
      <w:r w:rsidRPr="00B462E4">
        <w:rPr>
          <w:szCs w:val="24"/>
          <w:lang w:val="es-CO"/>
        </w:rPr>
        <w:t xml:space="preserve">Alude que el </w:t>
      </w:r>
      <w:r w:rsidR="00A41B07" w:rsidRPr="00B462E4">
        <w:rPr>
          <w:szCs w:val="24"/>
          <w:lang w:val="es-CO"/>
        </w:rPr>
        <w:t>accident</w:t>
      </w:r>
      <w:r w:rsidR="44818D7A" w:rsidRPr="00B462E4">
        <w:rPr>
          <w:szCs w:val="24"/>
          <w:lang w:val="es-CO"/>
        </w:rPr>
        <w:t>e</w:t>
      </w:r>
      <w:r w:rsidR="00A41B07" w:rsidRPr="00B462E4">
        <w:rPr>
          <w:szCs w:val="24"/>
          <w:lang w:val="es-CO"/>
        </w:rPr>
        <w:t xml:space="preserve"> fue de origen laboral, empero el empleador omitió la afiliación a la ARL y por tanto la</w:t>
      </w:r>
      <w:r w:rsidR="008C3CBA" w:rsidRPr="00B462E4">
        <w:rPr>
          <w:szCs w:val="24"/>
          <w:lang w:val="es-CO"/>
        </w:rPr>
        <w:t xml:space="preserve"> atención </w:t>
      </w:r>
      <w:r w:rsidR="008A33DD" w:rsidRPr="00B462E4">
        <w:rPr>
          <w:szCs w:val="24"/>
          <w:lang w:val="es-CO"/>
        </w:rPr>
        <w:t>médica fue</w:t>
      </w:r>
      <w:r w:rsidRPr="00B462E4">
        <w:rPr>
          <w:szCs w:val="24"/>
          <w:lang w:val="es-CO"/>
        </w:rPr>
        <w:t xml:space="preserve"> asumida por la EPS </w:t>
      </w:r>
      <w:r w:rsidR="008A33DD" w:rsidRPr="00B462E4">
        <w:rPr>
          <w:szCs w:val="24"/>
          <w:lang w:val="es-CO"/>
        </w:rPr>
        <w:t xml:space="preserve">a la cual se </w:t>
      </w:r>
      <w:r w:rsidRPr="00B462E4">
        <w:rPr>
          <w:szCs w:val="24"/>
          <w:lang w:val="es-CO"/>
        </w:rPr>
        <w:t>encontraba afiliado.</w:t>
      </w:r>
    </w:p>
    <w:p w14:paraId="41515071" w14:textId="77777777" w:rsidR="005A6E08" w:rsidRPr="00B462E4" w:rsidRDefault="005A6E08" w:rsidP="00B462E4">
      <w:pPr>
        <w:spacing w:line="276" w:lineRule="auto"/>
        <w:rPr>
          <w:szCs w:val="24"/>
          <w:lang w:val="es-CO"/>
        </w:rPr>
      </w:pPr>
    </w:p>
    <w:p w14:paraId="6787E780" w14:textId="1E8FCD66" w:rsidR="005A6E08" w:rsidRPr="00B462E4" w:rsidRDefault="005A6E08" w:rsidP="00B462E4">
      <w:pPr>
        <w:spacing w:line="276" w:lineRule="auto"/>
        <w:ind w:firstLine="720"/>
        <w:rPr>
          <w:szCs w:val="24"/>
          <w:lang w:val="es-CO"/>
        </w:rPr>
      </w:pPr>
      <w:r w:rsidRPr="00B462E4">
        <w:rPr>
          <w:szCs w:val="24"/>
          <w:lang w:val="es-CO"/>
        </w:rPr>
        <w:t>Indica que el área de medicina laboral de la EPS Salud Total, el 21 de noviembre de 2014 emitió</w:t>
      </w:r>
      <w:r w:rsidR="008A33DD" w:rsidRPr="00B462E4">
        <w:rPr>
          <w:szCs w:val="24"/>
          <w:lang w:val="es-CO"/>
        </w:rPr>
        <w:t xml:space="preserve"> las recomendaciones que el empleador</w:t>
      </w:r>
      <w:r w:rsidR="000B14AB" w:rsidRPr="00B462E4">
        <w:rPr>
          <w:szCs w:val="24"/>
          <w:lang w:val="es-CO"/>
        </w:rPr>
        <w:t xml:space="preserve"> debía tener en cuenta para el reintegro</w:t>
      </w:r>
      <w:r w:rsidR="00E324D7" w:rsidRPr="00B462E4">
        <w:rPr>
          <w:szCs w:val="24"/>
          <w:lang w:val="es-CO"/>
        </w:rPr>
        <w:t>;</w:t>
      </w:r>
      <w:r w:rsidR="000B14AB" w:rsidRPr="00B462E4">
        <w:rPr>
          <w:szCs w:val="24"/>
          <w:lang w:val="es-CO"/>
        </w:rPr>
        <w:t xml:space="preserve"> sin </w:t>
      </w:r>
      <w:r w:rsidR="00010D1C" w:rsidRPr="00B462E4">
        <w:rPr>
          <w:szCs w:val="24"/>
          <w:lang w:val="es-CO"/>
        </w:rPr>
        <w:t>embargo,</w:t>
      </w:r>
      <w:r w:rsidR="000B14AB" w:rsidRPr="00B462E4">
        <w:rPr>
          <w:szCs w:val="24"/>
          <w:lang w:val="es-CO"/>
        </w:rPr>
        <w:t xml:space="preserve"> </w:t>
      </w:r>
      <w:r w:rsidR="00E324D7" w:rsidRPr="00B462E4">
        <w:rPr>
          <w:szCs w:val="24"/>
          <w:lang w:val="es-CO"/>
        </w:rPr>
        <w:t>e</w:t>
      </w:r>
      <w:r w:rsidR="000B14AB" w:rsidRPr="00B462E4">
        <w:rPr>
          <w:szCs w:val="24"/>
          <w:lang w:val="es-CO"/>
        </w:rPr>
        <w:t>l 29 de ese mes y año</w:t>
      </w:r>
      <w:r w:rsidR="00E324D7" w:rsidRPr="00B462E4">
        <w:rPr>
          <w:szCs w:val="24"/>
          <w:lang w:val="es-CO"/>
        </w:rPr>
        <w:t xml:space="preserve">, el residente de obra </w:t>
      </w:r>
      <w:r w:rsidRPr="00B462E4">
        <w:rPr>
          <w:szCs w:val="24"/>
          <w:lang w:val="es-CO"/>
        </w:rPr>
        <w:t xml:space="preserve">le informó que se daba por culminado su contrato de trabajo en razón de la terminación de la obra. </w:t>
      </w:r>
    </w:p>
    <w:p w14:paraId="63C8FB48" w14:textId="77777777" w:rsidR="005A6E08" w:rsidRPr="00B462E4" w:rsidRDefault="005A6E08" w:rsidP="00B462E4">
      <w:pPr>
        <w:spacing w:line="276" w:lineRule="auto"/>
        <w:rPr>
          <w:szCs w:val="24"/>
          <w:lang w:val="es-CO"/>
        </w:rPr>
      </w:pPr>
    </w:p>
    <w:p w14:paraId="54125C50" w14:textId="437CE91B" w:rsidR="00E54697" w:rsidRPr="00B462E4" w:rsidRDefault="005A6E08" w:rsidP="00B462E4">
      <w:pPr>
        <w:spacing w:line="276" w:lineRule="auto"/>
        <w:ind w:firstLine="720"/>
        <w:rPr>
          <w:szCs w:val="24"/>
          <w:lang w:val="es-CO"/>
        </w:rPr>
      </w:pPr>
      <w:r w:rsidRPr="00B462E4">
        <w:rPr>
          <w:szCs w:val="24"/>
          <w:lang w:val="es-CO"/>
        </w:rPr>
        <w:t xml:space="preserve">En virtud de lo anterior, señala que el empleador no realizó el respectivo trámite, tendiente a obtener autorización por parte del inspector de trabajo para despedirlo </w:t>
      </w:r>
      <w:r w:rsidR="008174B7" w:rsidRPr="00B462E4">
        <w:rPr>
          <w:szCs w:val="24"/>
          <w:lang w:val="es-CO"/>
        </w:rPr>
        <w:t xml:space="preserve">e </w:t>
      </w:r>
      <w:r w:rsidRPr="00B462E4">
        <w:rPr>
          <w:szCs w:val="24"/>
          <w:lang w:val="es-CO"/>
        </w:rPr>
        <w:t xml:space="preserve">incumplió </w:t>
      </w:r>
      <w:r w:rsidR="008174B7" w:rsidRPr="00B462E4">
        <w:rPr>
          <w:szCs w:val="24"/>
          <w:lang w:val="es-CO"/>
        </w:rPr>
        <w:t>el</w:t>
      </w:r>
      <w:r w:rsidRPr="00B462E4">
        <w:rPr>
          <w:szCs w:val="24"/>
          <w:lang w:val="es-CO"/>
        </w:rPr>
        <w:t xml:space="preserve"> deber de acatar los términos </w:t>
      </w:r>
      <w:r w:rsidR="00E54697" w:rsidRPr="00B462E4">
        <w:rPr>
          <w:szCs w:val="24"/>
          <w:lang w:val="es-CO"/>
        </w:rPr>
        <w:t xml:space="preserve">de </w:t>
      </w:r>
      <w:r w:rsidRPr="00B462E4">
        <w:rPr>
          <w:szCs w:val="24"/>
          <w:lang w:val="es-CO"/>
        </w:rPr>
        <w:t>pre</w:t>
      </w:r>
      <w:r w:rsidR="00E54697" w:rsidRPr="00B462E4">
        <w:rPr>
          <w:szCs w:val="24"/>
          <w:lang w:val="es-CO"/>
        </w:rPr>
        <w:t>a</w:t>
      </w:r>
      <w:r w:rsidRPr="00B462E4">
        <w:rPr>
          <w:szCs w:val="24"/>
          <w:lang w:val="es-CO"/>
        </w:rPr>
        <w:t>vi</w:t>
      </w:r>
      <w:r w:rsidR="00E54697" w:rsidRPr="00B462E4">
        <w:rPr>
          <w:szCs w:val="24"/>
          <w:lang w:val="es-CO"/>
        </w:rPr>
        <w:t>so</w:t>
      </w:r>
      <w:r w:rsidRPr="00B462E4">
        <w:rPr>
          <w:szCs w:val="24"/>
          <w:lang w:val="es-CO"/>
        </w:rPr>
        <w:t xml:space="preserve"> para</w:t>
      </w:r>
      <w:r w:rsidR="00E54697" w:rsidRPr="00B462E4">
        <w:rPr>
          <w:szCs w:val="24"/>
          <w:lang w:val="es-CO"/>
        </w:rPr>
        <w:t xml:space="preserve"> dar por terminado el contrato, pues para el 3 de noviembre de 2014, </w:t>
      </w:r>
      <w:r w:rsidR="5D62E692" w:rsidRPr="00B462E4">
        <w:rPr>
          <w:szCs w:val="24"/>
          <w:lang w:val="es-CO"/>
        </w:rPr>
        <w:t xml:space="preserve">fecha en </w:t>
      </w:r>
      <w:r w:rsidR="00E54697" w:rsidRPr="00B462E4">
        <w:rPr>
          <w:szCs w:val="24"/>
          <w:lang w:val="es-CO"/>
        </w:rPr>
        <w:t>que se</w:t>
      </w:r>
      <w:r w:rsidR="3B6DC3D7" w:rsidRPr="00B462E4">
        <w:rPr>
          <w:szCs w:val="24"/>
          <w:lang w:val="es-CO"/>
        </w:rPr>
        <w:t xml:space="preserve"> le notificó la terminación,</w:t>
      </w:r>
      <w:r w:rsidR="00E54697" w:rsidRPr="00B462E4">
        <w:rPr>
          <w:szCs w:val="24"/>
          <w:lang w:val="es-CO"/>
        </w:rPr>
        <w:t xml:space="preserve"> se encontraba incapacitado.</w:t>
      </w:r>
    </w:p>
    <w:p w14:paraId="34375E17" w14:textId="77777777" w:rsidR="00AB5414" w:rsidRPr="00B462E4" w:rsidRDefault="00AB5414" w:rsidP="00B462E4">
      <w:pPr>
        <w:spacing w:line="276" w:lineRule="auto"/>
        <w:ind w:firstLine="720"/>
        <w:rPr>
          <w:szCs w:val="24"/>
          <w:lang w:val="es-CO"/>
        </w:rPr>
      </w:pPr>
    </w:p>
    <w:p w14:paraId="498429CB" w14:textId="10699292" w:rsidR="005A6E08" w:rsidRPr="00B462E4" w:rsidRDefault="00AB5414" w:rsidP="00B462E4">
      <w:pPr>
        <w:spacing w:line="276" w:lineRule="auto"/>
        <w:ind w:firstLine="720"/>
        <w:rPr>
          <w:szCs w:val="24"/>
          <w:lang w:val="es-CO"/>
        </w:rPr>
      </w:pPr>
      <w:r w:rsidRPr="00B462E4">
        <w:rPr>
          <w:szCs w:val="24"/>
          <w:lang w:val="es-CO"/>
        </w:rPr>
        <w:t xml:space="preserve">Manifiesta que </w:t>
      </w:r>
      <w:r w:rsidR="001C4ECA" w:rsidRPr="00B462E4">
        <w:rPr>
          <w:szCs w:val="24"/>
          <w:lang w:val="es-CO"/>
        </w:rPr>
        <w:t xml:space="preserve">entre el Consorcio Omega y el Municipio de Pereira </w:t>
      </w:r>
      <w:r w:rsidR="005A6E08" w:rsidRPr="00B462E4">
        <w:rPr>
          <w:szCs w:val="24"/>
          <w:lang w:val="es-CO"/>
        </w:rPr>
        <w:t>se suscribió el contrato de obra N°</w:t>
      </w:r>
      <w:r w:rsidR="00991767">
        <w:rPr>
          <w:szCs w:val="24"/>
          <w:lang w:val="es-CO"/>
        </w:rPr>
        <w:t xml:space="preserve"> </w:t>
      </w:r>
      <w:r w:rsidR="005A6E08" w:rsidRPr="00B462E4">
        <w:rPr>
          <w:szCs w:val="24"/>
          <w:lang w:val="es-CO"/>
        </w:rPr>
        <w:t xml:space="preserve">2396 de 2013, </w:t>
      </w:r>
      <w:r w:rsidR="001C4ECA" w:rsidRPr="00B462E4">
        <w:rPr>
          <w:szCs w:val="24"/>
          <w:lang w:val="es-CO"/>
        </w:rPr>
        <w:t>cuyo objeto era la</w:t>
      </w:r>
      <w:r w:rsidR="001652ED" w:rsidRPr="00B462E4">
        <w:rPr>
          <w:szCs w:val="24"/>
          <w:lang w:val="es-CO"/>
        </w:rPr>
        <w:t xml:space="preserve"> </w:t>
      </w:r>
      <w:r w:rsidR="005A6E08" w:rsidRPr="00B462E4">
        <w:rPr>
          <w:i/>
          <w:iCs/>
          <w:szCs w:val="24"/>
          <w:lang w:val="es-CO"/>
        </w:rPr>
        <w:t>“</w:t>
      </w:r>
      <w:r w:rsidR="005A6E08" w:rsidRPr="00B462E4">
        <w:rPr>
          <w:i/>
          <w:iCs/>
          <w:sz w:val="22"/>
          <w:szCs w:val="24"/>
          <w:lang w:val="es-CO"/>
        </w:rPr>
        <w:t xml:space="preserve">conformación de terrenos para franjas de pista y zona resa en la cabecera 08 y obras complementarias en el </w:t>
      </w:r>
      <w:r w:rsidR="001652ED" w:rsidRPr="00B462E4">
        <w:rPr>
          <w:i/>
          <w:iCs/>
          <w:sz w:val="22"/>
          <w:szCs w:val="24"/>
          <w:lang w:val="es-CO"/>
        </w:rPr>
        <w:t>A</w:t>
      </w:r>
      <w:r w:rsidR="005A6E08" w:rsidRPr="00B462E4">
        <w:rPr>
          <w:i/>
          <w:iCs/>
          <w:sz w:val="22"/>
          <w:szCs w:val="24"/>
          <w:lang w:val="es-CO"/>
        </w:rPr>
        <w:t xml:space="preserve">eropuerto </w:t>
      </w:r>
      <w:r w:rsidR="001652ED" w:rsidRPr="00B462E4">
        <w:rPr>
          <w:i/>
          <w:iCs/>
          <w:sz w:val="22"/>
          <w:szCs w:val="24"/>
          <w:lang w:val="es-CO"/>
        </w:rPr>
        <w:t>I</w:t>
      </w:r>
      <w:r w:rsidR="005A6E08" w:rsidRPr="00B462E4">
        <w:rPr>
          <w:i/>
          <w:iCs/>
          <w:sz w:val="22"/>
          <w:szCs w:val="24"/>
          <w:lang w:val="es-CO"/>
        </w:rPr>
        <w:t xml:space="preserve">nternacional </w:t>
      </w:r>
      <w:r w:rsidR="001652ED" w:rsidRPr="00B462E4">
        <w:rPr>
          <w:i/>
          <w:iCs/>
          <w:sz w:val="22"/>
          <w:szCs w:val="24"/>
          <w:lang w:val="es-CO"/>
        </w:rPr>
        <w:t>M</w:t>
      </w:r>
      <w:r w:rsidR="005A6E08" w:rsidRPr="00B462E4">
        <w:rPr>
          <w:i/>
          <w:iCs/>
          <w:sz w:val="22"/>
          <w:szCs w:val="24"/>
          <w:lang w:val="es-CO"/>
        </w:rPr>
        <w:t>atecaña de Pereira</w:t>
      </w:r>
      <w:r w:rsidR="005A6E08" w:rsidRPr="00B462E4">
        <w:rPr>
          <w:i/>
          <w:iCs/>
          <w:szCs w:val="24"/>
          <w:lang w:val="es-CO"/>
        </w:rPr>
        <w:t xml:space="preserve">", </w:t>
      </w:r>
      <w:r w:rsidR="00010E01" w:rsidRPr="00B462E4">
        <w:rPr>
          <w:szCs w:val="24"/>
          <w:lang w:val="es-CO"/>
        </w:rPr>
        <w:t>que se ejecutó hasta el 20 de diciembre de 2014.</w:t>
      </w:r>
      <w:r w:rsidR="005A6E08" w:rsidRPr="00B462E4">
        <w:rPr>
          <w:szCs w:val="24"/>
          <w:lang w:val="es-CO"/>
        </w:rPr>
        <w:t xml:space="preserve"> </w:t>
      </w:r>
    </w:p>
    <w:p w14:paraId="6E4426FC" w14:textId="77777777" w:rsidR="005A6E08" w:rsidRPr="00B462E4" w:rsidRDefault="005A6E08" w:rsidP="00B462E4">
      <w:pPr>
        <w:spacing w:line="276" w:lineRule="auto"/>
        <w:rPr>
          <w:szCs w:val="24"/>
          <w:lang w:val="es-CO"/>
        </w:rPr>
      </w:pPr>
    </w:p>
    <w:p w14:paraId="4798945F" w14:textId="27C7C64C" w:rsidR="005A6E08" w:rsidRPr="00B462E4" w:rsidRDefault="005A6E08" w:rsidP="00B462E4">
      <w:pPr>
        <w:spacing w:line="276" w:lineRule="auto"/>
        <w:rPr>
          <w:szCs w:val="24"/>
          <w:lang w:val="es-CO"/>
        </w:rPr>
      </w:pPr>
      <w:r w:rsidRPr="00B462E4">
        <w:rPr>
          <w:szCs w:val="24"/>
          <w:lang w:val="es-CO"/>
        </w:rPr>
        <w:tab/>
        <w:t>Expone que el objeto del Aeropuerto Internacional Matecaña</w:t>
      </w:r>
      <w:r w:rsidR="0063796D" w:rsidRPr="00B462E4">
        <w:rPr>
          <w:szCs w:val="24"/>
          <w:lang w:val="es-CO"/>
        </w:rPr>
        <w:t xml:space="preserve"> </w:t>
      </w:r>
      <w:r w:rsidRPr="00B462E4">
        <w:rPr>
          <w:szCs w:val="24"/>
          <w:lang w:val="es-CO"/>
        </w:rPr>
        <w:t>consiste en servir de plataforma para el servicio de transporte aéreo de personas y mercancías, razón por la cual, la modernización y mantenimiento de la pista de aterrizaje hacen parte de su objeto</w:t>
      </w:r>
      <w:r w:rsidR="001B2A96" w:rsidRPr="00B462E4">
        <w:rPr>
          <w:szCs w:val="24"/>
          <w:lang w:val="es-CO"/>
        </w:rPr>
        <w:t xml:space="preserve">, y por ende la labor para la cual fue contratado </w:t>
      </w:r>
      <w:r w:rsidRPr="00B462E4">
        <w:rPr>
          <w:szCs w:val="24"/>
          <w:lang w:val="es-CO"/>
        </w:rPr>
        <w:t>es inherente al giro ordinario del aeropuerto</w:t>
      </w:r>
      <w:r w:rsidR="0063796D" w:rsidRPr="00B462E4">
        <w:rPr>
          <w:szCs w:val="24"/>
          <w:lang w:val="es-CO"/>
        </w:rPr>
        <w:t>;</w:t>
      </w:r>
      <w:r w:rsidR="00E92052" w:rsidRPr="00B462E4">
        <w:rPr>
          <w:szCs w:val="24"/>
          <w:lang w:val="es-CO"/>
        </w:rPr>
        <w:t xml:space="preserve"> asimismo</w:t>
      </w:r>
      <w:r w:rsidR="0063796D" w:rsidRPr="00B462E4">
        <w:rPr>
          <w:szCs w:val="24"/>
          <w:lang w:val="es-CO"/>
        </w:rPr>
        <w:t>,</w:t>
      </w:r>
      <w:r w:rsidR="00E92052" w:rsidRPr="00B462E4">
        <w:rPr>
          <w:szCs w:val="24"/>
          <w:lang w:val="es-CO"/>
        </w:rPr>
        <w:t xml:space="preserve"> precisa que</w:t>
      </w:r>
      <w:r w:rsidR="001758EF" w:rsidRPr="00B462E4">
        <w:rPr>
          <w:szCs w:val="24"/>
          <w:lang w:val="es-CO"/>
        </w:rPr>
        <w:t xml:space="preserve"> dentro de las funciones</w:t>
      </w:r>
      <w:r w:rsidR="00E92052" w:rsidRPr="00B462E4">
        <w:rPr>
          <w:szCs w:val="24"/>
          <w:lang w:val="es-CO"/>
        </w:rPr>
        <w:t xml:space="preserve"> </w:t>
      </w:r>
      <w:r w:rsidR="001758EF" w:rsidRPr="00B462E4">
        <w:rPr>
          <w:szCs w:val="24"/>
          <w:lang w:val="es-CO"/>
        </w:rPr>
        <w:t>d</w:t>
      </w:r>
      <w:r w:rsidR="00E92052" w:rsidRPr="00B462E4">
        <w:rPr>
          <w:szCs w:val="24"/>
          <w:lang w:val="es-CO"/>
        </w:rPr>
        <w:t xml:space="preserve">el Municipio de Pereira </w:t>
      </w:r>
      <w:r w:rsidR="001758EF" w:rsidRPr="00B462E4">
        <w:rPr>
          <w:szCs w:val="24"/>
          <w:lang w:val="es-CO"/>
        </w:rPr>
        <w:t xml:space="preserve">se encuentra la </w:t>
      </w:r>
      <w:r w:rsidR="0063796D" w:rsidRPr="00B462E4">
        <w:rPr>
          <w:szCs w:val="24"/>
          <w:lang w:val="es-CO"/>
        </w:rPr>
        <w:t>construcción</w:t>
      </w:r>
      <w:r w:rsidR="001758EF" w:rsidRPr="00B462E4">
        <w:rPr>
          <w:szCs w:val="24"/>
          <w:lang w:val="es-CO"/>
        </w:rPr>
        <w:t xml:space="preserve"> de vías de acceso a la ciudad, entre ellas</w:t>
      </w:r>
      <w:r w:rsidR="0063796D" w:rsidRPr="00B462E4">
        <w:rPr>
          <w:szCs w:val="24"/>
          <w:lang w:val="es-CO"/>
        </w:rPr>
        <w:t xml:space="preserve"> la del aeropuerto, en virtud de lo cual, las labores desarrolladas también resultan conexas a las del normal curso del ente convocado en solidaridad</w:t>
      </w:r>
      <w:r w:rsidR="006C2325" w:rsidRPr="00B462E4">
        <w:rPr>
          <w:szCs w:val="24"/>
          <w:lang w:val="es-CO"/>
        </w:rPr>
        <w:t>.</w:t>
      </w:r>
    </w:p>
    <w:p w14:paraId="5F41DF3A" w14:textId="77777777" w:rsidR="005A6E08" w:rsidRPr="00B462E4" w:rsidRDefault="005A6E08" w:rsidP="00B462E4">
      <w:pPr>
        <w:spacing w:line="276" w:lineRule="auto"/>
        <w:rPr>
          <w:szCs w:val="24"/>
          <w:lang w:val="es-CO"/>
        </w:rPr>
      </w:pPr>
    </w:p>
    <w:p w14:paraId="7D1D9EC4" w14:textId="5C02E2DB" w:rsidR="005A6E08" w:rsidRPr="00B462E4" w:rsidRDefault="005A6E08" w:rsidP="00B462E4">
      <w:pPr>
        <w:spacing w:line="276" w:lineRule="auto"/>
        <w:ind w:firstLine="720"/>
        <w:rPr>
          <w:szCs w:val="24"/>
          <w:lang w:val="es-CO"/>
        </w:rPr>
      </w:pPr>
      <w:r w:rsidRPr="00B462E4">
        <w:rPr>
          <w:szCs w:val="24"/>
          <w:lang w:val="es-CO"/>
        </w:rPr>
        <w:t>Por último, refiere que el 3</w:t>
      </w:r>
      <w:r w:rsidR="004F5FC8" w:rsidRPr="00B462E4">
        <w:rPr>
          <w:szCs w:val="24"/>
          <w:lang w:val="es-CO"/>
        </w:rPr>
        <w:t xml:space="preserve"> y </w:t>
      </w:r>
      <w:r w:rsidR="00010D1C" w:rsidRPr="00B462E4">
        <w:rPr>
          <w:szCs w:val="24"/>
          <w:lang w:val="es-CO"/>
        </w:rPr>
        <w:t>12</w:t>
      </w:r>
      <w:r w:rsidRPr="00B462E4">
        <w:rPr>
          <w:szCs w:val="24"/>
          <w:lang w:val="es-CO"/>
        </w:rPr>
        <w:t xml:space="preserve"> de junio de 2015 presentó </w:t>
      </w:r>
      <w:r w:rsidR="004F5FC8" w:rsidRPr="00B462E4">
        <w:rPr>
          <w:szCs w:val="24"/>
          <w:lang w:val="es-CO"/>
        </w:rPr>
        <w:t xml:space="preserve">reclamación </w:t>
      </w:r>
      <w:r w:rsidR="00132E66" w:rsidRPr="00B462E4">
        <w:rPr>
          <w:szCs w:val="24"/>
          <w:lang w:val="es-CO"/>
        </w:rPr>
        <w:t>ante la</w:t>
      </w:r>
      <w:r w:rsidRPr="00B462E4">
        <w:rPr>
          <w:szCs w:val="24"/>
          <w:lang w:val="es-CO"/>
        </w:rPr>
        <w:t xml:space="preserve"> </w:t>
      </w:r>
      <w:r w:rsidR="004F5FC8" w:rsidRPr="00B462E4">
        <w:rPr>
          <w:szCs w:val="24"/>
          <w:lang w:val="es-CO"/>
        </w:rPr>
        <w:t>A</w:t>
      </w:r>
      <w:r w:rsidRPr="00B462E4">
        <w:rPr>
          <w:szCs w:val="24"/>
          <w:lang w:val="es-CO"/>
        </w:rPr>
        <w:t>lcaldía de Pereira</w:t>
      </w:r>
      <w:r w:rsidR="004F5FC8" w:rsidRPr="00B462E4">
        <w:rPr>
          <w:szCs w:val="24"/>
          <w:lang w:val="es-CO"/>
        </w:rPr>
        <w:t xml:space="preserve"> y el Aeropuerto Internacional Matecaña</w:t>
      </w:r>
      <w:r w:rsidR="00067401" w:rsidRPr="00B462E4">
        <w:rPr>
          <w:szCs w:val="24"/>
          <w:lang w:val="es-CO"/>
        </w:rPr>
        <w:t xml:space="preserve">, respectivamente, sin </w:t>
      </w:r>
      <w:r w:rsidR="00132E66" w:rsidRPr="00B462E4">
        <w:rPr>
          <w:szCs w:val="24"/>
          <w:lang w:val="es-CO"/>
        </w:rPr>
        <w:t>embargo,</w:t>
      </w:r>
      <w:r w:rsidR="00067401" w:rsidRPr="00B462E4">
        <w:rPr>
          <w:szCs w:val="24"/>
          <w:lang w:val="es-CO"/>
        </w:rPr>
        <w:t xml:space="preserve"> solo obtuvo respuesta por parte del ente territorial</w:t>
      </w:r>
      <w:r w:rsidR="00FD0907" w:rsidRPr="00B462E4">
        <w:rPr>
          <w:szCs w:val="24"/>
          <w:lang w:val="es-CO"/>
        </w:rPr>
        <w:t xml:space="preserve"> negando las acreencias pretendidas.</w:t>
      </w:r>
      <w:r w:rsidRPr="00B462E4">
        <w:rPr>
          <w:szCs w:val="24"/>
          <w:lang w:val="es-CO"/>
        </w:rPr>
        <w:t xml:space="preserve"> </w:t>
      </w:r>
    </w:p>
    <w:p w14:paraId="7460B837" w14:textId="77777777" w:rsidR="005A6E08" w:rsidRPr="00B462E4" w:rsidRDefault="005A6E08" w:rsidP="00B462E4">
      <w:pPr>
        <w:spacing w:line="276" w:lineRule="auto"/>
        <w:rPr>
          <w:szCs w:val="24"/>
          <w:lang w:val="es-CO"/>
        </w:rPr>
      </w:pPr>
    </w:p>
    <w:p w14:paraId="3D880F4A" w14:textId="1619AFC5" w:rsidR="005A6E08" w:rsidRPr="00B462E4" w:rsidRDefault="00FD0907" w:rsidP="00B462E4">
      <w:pPr>
        <w:spacing w:line="276" w:lineRule="auto"/>
        <w:ind w:firstLine="720"/>
        <w:rPr>
          <w:i/>
          <w:iCs/>
          <w:szCs w:val="24"/>
          <w:lang w:val="es-CO"/>
        </w:rPr>
      </w:pPr>
      <w:r w:rsidRPr="00B462E4">
        <w:rPr>
          <w:szCs w:val="24"/>
          <w:lang w:val="es-CO"/>
        </w:rPr>
        <w:t>En respuesta a la demanda,</w:t>
      </w:r>
      <w:r w:rsidR="000D580B" w:rsidRPr="00B462E4">
        <w:rPr>
          <w:szCs w:val="24"/>
          <w:lang w:val="es-CO"/>
        </w:rPr>
        <w:t xml:space="preserve"> por medio de curador ad-litem</w:t>
      </w:r>
      <w:r w:rsidRPr="00B462E4">
        <w:rPr>
          <w:szCs w:val="24"/>
          <w:lang w:val="es-CO"/>
        </w:rPr>
        <w:t xml:space="preserve"> </w:t>
      </w:r>
      <w:r w:rsidR="005A6E08" w:rsidRPr="00B462E4">
        <w:rPr>
          <w:szCs w:val="24"/>
          <w:lang w:val="es-CO"/>
        </w:rPr>
        <w:t xml:space="preserve">los señores </w:t>
      </w:r>
      <w:r w:rsidR="005A6E08" w:rsidRPr="00B462E4">
        <w:rPr>
          <w:b/>
          <w:bCs/>
          <w:szCs w:val="24"/>
          <w:lang w:val="es-CO"/>
        </w:rPr>
        <w:t>José Guillermo Galán Gómez</w:t>
      </w:r>
      <w:r w:rsidR="005A6E08" w:rsidRPr="00B462E4">
        <w:rPr>
          <w:szCs w:val="24"/>
          <w:lang w:val="es-CO"/>
        </w:rPr>
        <w:t xml:space="preserve"> y </w:t>
      </w:r>
      <w:r w:rsidR="005A6E08" w:rsidRPr="00B462E4">
        <w:rPr>
          <w:b/>
          <w:bCs/>
          <w:szCs w:val="24"/>
          <w:lang w:val="es-CO"/>
        </w:rPr>
        <w:t>Octavio Augusto Morales Amaya</w:t>
      </w:r>
      <w:r w:rsidR="00F02EF9" w:rsidRPr="00B462E4">
        <w:rPr>
          <w:rStyle w:val="Refdenotaalpie"/>
          <w:b/>
          <w:bCs/>
          <w:szCs w:val="24"/>
          <w:lang w:val="es-CO"/>
        </w:rPr>
        <w:footnoteReference w:id="2"/>
      </w:r>
      <w:r w:rsidR="005A6E08" w:rsidRPr="00B462E4">
        <w:rPr>
          <w:szCs w:val="24"/>
          <w:lang w:val="es-CO"/>
        </w:rPr>
        <w:t xml:space="preserve"> se opusieron a la prosperidad de las pretensiones de la demanda</w:t>
      </w:r>
      <w:r w:rsidR="00F02EF9" w:rsidRPr="00B462E4">
        <w:rPr>
          <w:szCs w:val="24"/>
          <w:lang w:val="es-CO"/>
        </w:rPr>
        <w:t xml:space="preserve"> y</w:t>
      </w:r>
      <w:r w:rsidR="000D580B" w:rsidRPr="00B462E4">
        <w:rPr>
          <w:szCs w:val="24"/>
          <w:lang w:val="es-CO"/>
        </w:rPr>
        <w:t xml:space="preserve"> como medios exceptivos </w:t>
      </w:r>
      <w:r w:rsidR="00167A5A" w:rsidRPr="00B462E4">
        <w:rPr>
          <w:szCs w:val="24"/>
          <w:lang w:val="es-CO"/>
        </w:rPr>
        <w:t>de mérito formularon</w:t>
      </w:r>
      <w:r w:rsidR="005A6E08" w:rsidRPr="00B462E4">
        <w:rPr>
          <w:szCs w:val="24"/>
          <w:lang w:val="es-CO"/>
        </w:rPr>
        <w:t xml:space="preserve"> </w:t>
      </w:r>
      <w:r w:rsidR="005A6E08" w:rsidRPr="00B462E4">
        <w:rPr>
          <w:i/>
          <w:iCs/>
          <w:szCs w:val="24"/>
          <w:lang w:val="es-CO"/>
        </w:rPr>
        <w:t xml:space="preserve">“Inexistencia obligación demanda”, “prescripción”, “cobro de lo no debido”, “genéricas”. </w:t>
      </w:r>
    </w:p>
    <w:p w14:paraId="27BF66B9" w14:textId="77777777" w:rsidR="005A6E08" w:rsidRPr="00B462E4" w:rsidRDefault="005A6E08" w:rsidP="00B462E4">
      <w:pPr>
        <w:spacing w:line="276" w:lineRule="auto"/>
        <w:rPr>
          <w:i/>
          <w:iCs/>
          <w:szCs w:val="24"/>
          <w:lang w:val="es-CO"/>
        </w:rPr>
      </w:pPr>
    </w:p>
    <w:p w14:paraId="74D47CB4" w14:textId="272DE408" w:rsidR="005A6E08" w:rsidRPr="00B462E4" w:rsidRDefault="005A6E08" w:rsidP="00B462E4">
      <w:pPr>
        <w:spacing w:line="276" w:lineRule="auto"/>
        <w:ind w:firstLine="720"/>
        <w:rPr>
          <w:szCs w:val="24"/>
          <w:lang w:val="es-CO"/>
        </w:rPr>
      </w:pPr>
      <w:r w:rsidRPr="00B462E4">
        <w:rPr>
          <w:szCs w:val="24"/>
          <w:lang w:val="es-CO"/>
        </w:rPr>
        <w:lastRenderedPageBreak/>
        <w:t xml:space="preserve">Por su parte, el señor </w:t>
      </w:r>
      <w:r w:rsidRPr="00B462E4">
        <w:rPr>
          <w:b/>
          <w:bCs/>
          <w:szCs w:val="24"/>
          <w:lang w:val="es-CO"/>
        </w:rPr>
        <w:t xml:space="preserve">Germán Torres Salgado </w:t>
      </w:r>
      <w:r w:rsidRPr="00B462E4">
        <w:rPr>
          <w:szCs w:val="24"/>
          <w:lang w:val="es-CO"/>
        </w:rPr>
        <w:t>y</w:t>
      </w:r>
      <w:r w:rsidRPr="00B462E4">
        <w:rPr>
          <w:b/>
          <w:bCs/>
          <w:szCs w:val="24"/>
          <w:lang w:val="es-CO"/>
        </w:rPr>
        <w:t xml:space="preserve"> Vías y Canales S.A.S</w:t>
      </w:r>
      <w:r w:rsidR="009659AE" w:rsidRPr="00B462E4">
        <w:rPr>
          <w:rStyle w:val="Refdenotaalpie"/>
          <w:b/>
          <w:bCs/>
          <w:szCs w:val="24"/>
          <w:lang w:val="es-CO"/>
        </w:rPr>
        <w:footnoteReference w:id="3"/>
      </w:r>
      <w:r w:rsidRPr="00B462E4">
        <w:rPr>
          <w:szCs w:val="24"/>
          <w:lang w:val="es-CO"/>
        </w:rPr>
        <w:t xml:space="preserve">, </w:t>
      </w:r>
      <w:r w:rsidR="00002D6A" w:rsidRPr="00B462E4">
        <w:rPr>
          <w:szCs w:val="24"/>
          <w:lang w:val="es-CO"/>
        </w:rPr>
        <w:t>a</w:t>
      </w:r>
      <w:r w:rsidR="00DA1755" w:rsidRPr="00B462E4">
        <w:rPr>
          <w:szCs w:val="24"/>
          <w:lang w:val="es-CO"/>
        </w:rPr>
        <w:t>firmaron que el Consorcio Omega contrat</w:t>
      </w:r>
      <w:r w:rsidR="37786ECE" w:rsidRPr="00B462E4">
        <w:rPr>
          <w:szCs w:val="24"/>
          <w:lang w:val="es-CO"/>
        </w:rPr>
        <w:t>ó</w:t>
      </w:r>
      <w:r w:rsidR="00DA1755" w:rsidRPr="00B462E4">
        <w:rPr>
          <w:szCs w:val="24"/>
          <w:lang w:val="es-CO"/>
        </w:rPr>
        <w:t xml:space="preserve"> al demandante por medio de un contrato por obra o labor contratada </w:t>
      </w:r>
      <w:r w:rsidR="009754A1" w:rsidRPr="00B462E4">
        <w:rPr>
          <w:szCs w:val="24"/>
          <w:lang w:val="es-CO"/>
        </w:rPr>
        <w:t>para desempeñarse en el cargo, con la remuneración</w:t>
      </w:r>
      <w:r w:rsidR="007E746C" w:rsidRPr="00B462E4">
        <w:rPr>
          <w:szCs w:val="24"/>
          <w:lang w:val="es-CO"/>
        </w:rPr>
        <w:t xml:space="preserve"> y horario reseñado en la demanda</w:t>
      </w:r>
      <w:r w:rsidR="70814046" w:rsidRPr="00B462E4">
        <w:rPr>
          <w:szCs w:val="24"/>
          <w:lang w:val="es-CO"/>
        </w:rPr>
        <w:t>. Igualmente</w:t>
      </w:r>
      <w:r w:rsidR="002C5ACD" w:rsidRPr="00B462E4">
        <w:rPr>
          <w:szCs w:val="24"/>
          <w:lang w:val="es-CO"/>
        </w:rPr>
        <w:t xml:space="preserve"> corroboraron el periodo de incapacidad del trabajador y el objeto </w:t>
      </w:r>
      <w:r w:rsidR="0013611B" w:rsidRPr="00B462E4">
        <w:rPr>
          <w:szCs w:val="24"/>
          <w:lang w:val="es-CO"/>
        </w:rPr>
        <w:t xml:space="preserve">y terminación </w:t>
      </w:r>
      <w:r w:rsidR="002C5ACD" w:rsidRPr="00B462E4">
        <w:rPr>
          <w:szCs w:val="24"/>
          <w:lang w:val="es-CO"/>
        </w:rPr>
        <w:t>de contrato No. 2396 de 2013. En</w:t>
      </w:r>
      <w:r w:rsidR="004E5A3A" w:rsidRPr="00B462E4">
        <w:rPr>
          <w:szCs w:val="24"/>
          <w:lang w:val="es-CO"/>
        </w:rPr>
        <w:t xml:space="preserve"> tal virtud,</w:t>
      </w:r>
      <w:r w:rsidR="001B13B3" w:rsidRPr="00B462E4">
        <w:rPr>
          <w:szCs w:val="24"/>
          <w:lang w:val="es-CO"/>
        </w:rPr>
        <w:t xml:space="preserve"> </w:t>
      </w:r>
      <w:r w:rsidR="004E5A3A" w:rsidRPr="00B462E4">
        <w:rPr>
          <w:szCs w:val="24"/>
          <w:lang w:val="es-CO"/>
        </w:rPr>
        <w:t>se opus</w:t>
      </w:r>
      <w:r w:rsidR="009659AE" w:rsidRPr="00B462E4">
        <w:rPr>
          <w:szCs w:val="24"/>
          <w:lang w:val="es-CO"/>
        </w:rPr>
        <w:t>ieron</w:t>
      </w:r>
      <w:r w:rsidR="004E5A3A" w:rsidRPr="00B462E4">
        <w:rPr>
          <w:szCs w:val="24"/>
          <w:lang w:val="es-CO"/>
        </w:rPr>
        <w:t xml:space="preserve"> a las pretensiones a exc</w:t>
      </w:r>
      <w:r w:rsidR="002D5A5B" w:rsidRPr="00B462E4">
        <w:rPr>
          <w:szCs w:val="24"/>
          <w:lang w:val="es-CO"/>
        </w:rPr>
        <w:t>epción de la declaratoria del contrato de trabajo</w:t>
      </w:r>
      <w:r w:rsidR="004053DD" w:rsidRPr="00B462E4">
        <w:rPr>
          <w:szCs w:val="24"/>
          <w:lang w:val="es-CO"/>
        </w:rPr>
        <w:t xml:space="preserve">, </w:t>
      </w:r>
      <w:r w:rsidR="009659AE" w:rsidRPr="00B462E4">
        <w:rPr>
          <w:szCs w:val="24"/>
          <w:lang w:val="es-CO"/>
        </w:rPr>
        <w:t xml:space="preserve">señalando </w:t>
      </w:r>
      <w:r w:rsidR="00E448B7" w:rsidRPr="00B462E4">
        <w:rPr>
          <w:szCs w:val="24"/>
          <w:lang w:val="es-CO"/>
        </w:rPr>
        <w:t>que el contrato finalizó por la terminación de la obra o labor contratada momento para el cual el trabajador no estaba incapacitado o discapacitado, y</w:t>
      </w:r>
      <w:r w:rsidR="226E6228" w:rsidRPr="00B462E4">
        <w:rPr>
          <w:szCs w:val="24"/>
          <w:lang w:val="es-CO"/>
        </w:rPr>
        <w:t>,</w:t>
      </w:r>
      <w:r w:rsidR="00E448B7" w:rsidRPr="00B462E4">
        <w:rPr>
          <w:szCs w:val="24"/>
          <w:lang w:val="es-CO"/>
        </w:rPr>
        <w:t xml:space="preserve"> por tanto, no gozaba de </w:t>
      </w:r>
      <w:r w:rsidR="001B13B3" w:rsidRPr="00B462E4">
        <w:rPr>
          <w:szCs w:val="24"/>
          <w:lang w:val="es-CO"/>
        </w:rPr>
        <w:t xml:space="preserve">estabilidad laboral reforzada. </w:t>
      </w:r>
      <w:r w:rsidRPr="00B462E4">
        <w:rPr>
          <w:szCs w:val="24"/>
          <w:lang w:val="es-CO"/>
        </w:rPr>
        <w:t>En este orden,</w:t>
      </w:r>
      <w:r w:rsidR="004053DD" w:rsidRPr="00B462E4">
        <w:rPr>
          <w:szCs w:val="24"/>
          <w:lang w:val="es-CO"/>
        </w:rPr>
        <w:t xml:space="preserve"> como excepciones perentorias propusieron: </w:t>
      </w:r>
      <w:r w:rsidRPr="00B462E4">
        <w:rPr>
          <w:i/>
          <w:iCs/>
          <w:szCs w:val="24"/>
          <w:lang w:val="es-CO"/>
        </w:rPr>
        <w:t>“Cobro de lo no debido”, “mala fe”, “demanda temeraria”</w:t>
      </w:r>
      <w:r w:rsidR="004053DD" w:rsidRPr="00B462E4">
        <w:rPr>
          <w:i/>
          <w:iCs/>
          <w:szCs w:val="24"/>
          <w:lang w:val="es-CO"/>
        </w:rPr>
        <w:t xml:space="preserve"> y</w:t>
      </w:r>
      <w:r w:rsidRPr="00B462E4">
        <w:rPr>
          <w:i/>
          <w:iCs/>
          <w:szCs w:val="24"/>
          <w:lang w:val="es-CO"/>
        </w:rPr>
        <w:t xml:space="preserve"> “pago”. </w:t>
      </w:r>
    </w:p>
    <w:p w14:paraId="16C0F9C2" w14:textId="77777777" w:rsidR="005A6E08" w:rsidRPr="00B462E4" w:rsidRDefault="005A6E08" w:rsidP="00B462E4">
      <w:pPr>
        <w:spacing w:line="276" w:lineRule="auto"/>
        <w:rPr>
          <w:i/>
          <w:iCs/>
          <w:szCs w:val="24"/>
          <w:lang w:val="es-CO"/>
        </w:rPr>
      </w:pPr>
    </w:p>
    <w:p w14:paraId="043A3E67" w14:textId="3D28A21D" w:rsidR="005A6E08" w:rsidRPr="00B462E4" w:rsidRDefault="005A6E08" w:rsidP="00B462E4">
      <w:pPr>
        <w:spacing w:line="276" w:lineRule="auto"/>
        <w:ind w:firstLine="720"/>
        <w:rPr>
          <w:szCs w:val="24"/>
          <w:lang w:val="es-CO"/>
        </w:rPr>
      </w:pPr>
      <w:r w:rsidRPr="00B462E4">
        <w:rPr>
          <w:szCs w:val="24"/>
          <w:lang w:val="es-CO"/>
        </w:rPr>
        <w:t xml:space="preserve">A su turno, </w:t>
      </w:r>
      <w:r w:rsidRPr="00B462E4">
        <w:rPr>
          <w:b/>
          <w:bCs/>
          <w:szCs w:val="24"/>
          <w:lang w:val="es-CO"/>
        </w:rPr>
        <w:t>el Aeropuerto Internacional Matecaña</w:t>
      </w:r>
      <w:r w:rsidR="002340F2" w:rsidRPr="00B462E4">
        <w:rPr>
          <w:rStyle w:val="Refdenotaalpie"/>
          <w:szCs w:val="24"/>
          <w:lang w:val="es-CO"/>
        </w:rPr>
        <w:footnoteReference w:id="4"/>
      </w:r>
      <w:r w:rsidRPr="00B462E4">
        <w:rPr>
          <w:szCs w:val="24"/>
          <w:lang w:val="es-CO"/>
        </w:rPr>
        <w:t xml:space="preserve"> </w:t>
      </w:r>
      <w:r w:rsidR="002340F2" w:rsidRPr="00B462E4">
        <w:rPr>
          <w:szCs w:val="24"/>
          <w:lang w:val="es-CO"/>
        </w:rPr>
        <w:t xml:space="preserve">aceptó </w:t>
      </w:r>
      <w:r w:rsidR="0013611B" w:rsidRPr="00B462E4">
        <w:rPr>
          <w:szCs w:val="24"/>
          <w:lang w:val="es-CO"/>
        </w:rPr>
        <w:t xml:space="preserve">que el contrato </w:t>
      </w:r>
      <w:r w:rsidR="6B6F62C2" w:rsidRPr="00B462E4">
        <w:rPr>
          <w:szCs w:val="24"/>
          <w:lang w:val="es-CO"/>
        </w:rPr>
        <w:t>No.</w:t>
      </w:r>
      <w:r w:rsidR="00991767">
        <w:rPr>
          <w:szCs w:val="24"/>
          <w:lang w:val="es-CO"/>
        </w:rPr>
        <w:t xml:space="preserve"> </w:t>
      </w:r>
      <w:r w:rsidR="0013611B" w:rsidRPr="00B462E4">
        <w:rPr>
          <w:szCs w:val="24"/>
          <w:lang w:val="es-CO"/>
        </w:rPr>
        <w:t xml:space="preserve">2396 de 2013 finalizó el </w:t>
      </w:r>
      <w:r w:rsidR="006A42F9" w:rsidRPr="00B462E4">
        <w:rPr>
          <w:szCs w:val="24"/>
          <w:lang w:val="es-CO"/>
        </w:rPr>
        <w:t>20 de diciembre de 2014 y que el demandante reclam</w:t>
      </w:r>
      <w:r w:rsidR="2AEA90B2" w:rsidRPr="00B462E4">
        <w:rPr>
          <w:szCs w:val="24"/>
          <w:lang w:val="es-CO"/>
        </w:rPr>
        <w:t>ó</w:t>
      </w:r>
      <w:r w:rsidR="006A42F9" w:rsidRPr="00B462E4">
        <w:rPr>
          <w:szCs w:val="24"/>
          <w:lang w:val="es-CO"/>
        </w:rPr>
        <w:t xml:space="preserve"> los derechos litigiosos administrativamente sin </w:t>
      </w:r>
      <w:r w:rsidR="00304919" w:rsidRPr="00B462E4">
        <w:rPr>
          <w:szCs w:val="24"/>
          <w:lang w:val="es-CO"/>
        </w:rPr>
        <w:t xml:space="preserve">obtener </w:t>
      </w:r>
      <w:r w:rsidR="006A42F9" w:rsidRPr="00B462E4">
        <w:rPr>
          <w:szCs w:val="24"/>
          <w:lang w:val="es-CO"/>
        </w:rPr>
        <w:t>respuesta</w:t>
      </w:r>
      <w:r w:rsidR="00304919" w:rsidRPr="00B462E4">
        <w:rPr>
          <w:szCs w:val="24"/>
          <w:lang w:val="es-CO"/>
        </w:rPr>
        <w:t xml:space="preserve">. A </w:t>
      </w:r>
      <w:r w:rsidR="000F04E7" w:rsidRPr="00B462E4">
        <w:rPr>
          <w:szCs w:val="24"/>
          <w:lang w:val="es-CO"/>
        </w:rPr>
        <w:t xml:space="preserve">los demás hechos indicó que no eran ciertos o no le constaban y se opuso a la totalidad de las pretensiones, arguyendo que </w:t>
      </w:r>
      <w:r w:rsidRPr="00B462E4">
        <w:rPr>
          <w:szCs w:val="24"/>
          <w:lang w:val="es-CO"/>
        </w:rPr>
        <w:t xml:space="preserve">la labor realizada por el demandante no corresponde a las labores propias del Aeropuerto, en razón a que el objeto social del Aeropuerto es el prestar servicios aeronáuticos mientras que la actividad desarrollada por el demandante era la construcción. Señaló que en virtud del contrato de obra civil 2396 del 10 de septiembre de 2013, se realizaron obras complementarias con el aeropuerto, sin embargo, no tuvo participación alguna en el desarrollo de las mismas. Agregó que es el contratista independiente quien responde de forma autónoma e independiente por sus trabajadores dependientes, </w:t>
      </w:r>
      <w:r w:rsidR="00ED27D4" w:rsidRPr="00B462E4">
        <w:rPr>
          <w:szCs w:val="24"/>
          <w:lang w:val="es-CO"/>
        </w:rPr>
        <w:t xml:space="preserve">por ser </w:t>
      </w:r>
      <w:r w:rsidRPr="00B462E4">
        <w:rPr>
          <w:szCs w:val="24"/>
          <w:lang w:val="es-CO"/>
        </w:rPr>
        <w:t xml:space="preserve">quien directamente los contrata. </w:t>
      </w:r>
      <w:r w:rsidR="00ED27D4" w:rsidRPr="00B462E4">
        <w:rPr>
          <w:szCs w:val="24"/>
          <w:lang w:val="es-CO"/>
        </w:rPr>
        <w:t xml:space="preserve">Invocó como medios exceptivos: </w:t>
      </w:r>
      <w:r w:rsidRPr="00B462E4">
        <w:rPr>
          <w:i/>
          <w:iCs/>
          <w:szCs w:val="24"/>
          <w:lang w:val="es-CO"/>
        </w:rPr>
        <w:t xml:space="preserve">“Ausencia de solidaridad del Aeropuerto Internacional Matecaña de Pereira”, “prescripción”, “buena fe”. </w:t>
      </w:r>
    </w:p>
    <w:p w14:paraId="4978AE5D" w14:textId="77777777" w:rsidR="005A6E08" w:rsidRPr="00B462E4" w:rsidRDefault="005A6E08" w:rsidP="00B462E4">
      <w:pPr>
        <w:spacing w:line="276" w:lineRule="auto"/>
        <w:rPr>
          <w:i/>
          <w:iCs/>
          <w:szCs w:val="24"/>
          <w:lang w:val="es-CO"/>
        </w:rPr>
      </w:pPr>
    </w:p>
    <w:p w14:paraId="35C6016C" w14:textId="10F94F6F" w:rsidR="005A6E08" w:rsidRPr="00B462E4" w:rsidRDefault="00ED27D4" w:rsidP="00B462E4">
      <w:pPr>
        <w:spacing w:line="276" w:lineRule="auto"/>
        <w:ind w:firstLine="720"/>
        <w:rPr>
          <w:szCs w:val="24"/>
          <w:lang w:val="es-CO"/>
        </w:rPr>
      </w:pPr>
      <w:r w:rsidRPr="00B462E4">
        <w:rPr>
          <w:szCs w:val="24"/>
          <w:lang w:val="es-CO"/>
        </w:rPr>
        <w:t>En similares términos dio respuesta e</w:t>
      </w:r>
      <w:r w:rsidR="005A6E08" w:rsidRPr="00B462E4">
        <w:rPr>
          <w:szCs w:val="24"/>
          <w:lang w:val="es-CO"/>
        </w:rPr>
        <w:t xml:space="preserve">l </w:t>
      </w:r>
      <w:r w:rsidRPr="00B462E4">
        <w:rPr>
          <w:b/>
          <w:bCs/>
          <w:szCs w:val="24"/>
          <w:lang w:val="es-CO"/>
        </w:rPr>
        <w:t>M</w:t>
      </w:r>
      <w:r w:rsidR="005A6E08" w:rsidRPr="00B462E4">
        <w:rPr>
          <w:b/>
          <w:bCs/>
          <w:szCs w:val="24"/>
          <w:lang w:val="es-CO"/>
        </w:rPr>
        <w:t>unicipio de Pereira</w:t>
      </w:r>
      <w:r w:rsidR="00D31EB6" w:rsidRPr="00B462E4">
        <w:rPr>
          <w:rStyle w:val="Refdenotaalpie"/>
          <w:b/>
          <w:bCs/>
          <w:szCs w:val="24"/>
          <w:lang w:val="es-CO"/>
        </w:rPr>
        <w:footnoteReference w:id="5"/>
      </w:r>
      <w:r w:rsidR="005A6E08" w:rsidRPr="00B462E4">
        <w:rPr>
          <w:szCs w:val="24"/>
          <w:lang w:val="es-CO"/>
        </w:rPr>
        <w:t xml:space="preserve"> </w:t>
      </w:r>
      <w:r w:rsidR="00981115" w:rsidRPr="00B462E4">
        <w:rPr>
          <w:szCs w:val="24"/>
          <w:lang w:val="es-CO"/>
        </w:rPr>
        <w:t xml:space="preserve">quien aceptó </w:t>
      </w:r>
      <w:r w:rsidR="006A5377" w:rsidRPr="00B462E4">
        <w:rPr>
          <w:szCs w:val="24"/>
          <w:lang w:val="es-CO"/>
        </w:rPr>
        <w:t>la suscripción del contrato</w:t>
      </w:r>
      <w:r w:rsidR="00E44D39" w:rsidRPr="00B462E4">
        <w:rPr>
          <w:szCs w:val="24"/>
          <w:lang w:val="es-CO"/>
        </w:rPr>
        <w:t xml:space="preserve"> de obra</w:t>
      </w:r>
      <w:r w:rsidR="006A5377" w:rsidRPr="00B462E4">
        <w:rPr>
          <w:szCs w:val="24"/>
          <w:lang w:val="es-CO"/>
        </w:rPr>
        <w:t xml:space="preserve"> No.2396 de 2013 con el Consorcio Omega</w:t>
      </w:r>
      <w:r w:rsidR="00B47435" w:rsidRPr="00B462E4">
        <w:rPr>
          <w:szCs w:val="24"/>
          <w:lang w:val="es-CO"/>
        </w:rPr>
        <w:t xml:space="preserve"> y </w:t>
      </w:r>
      <w:r w:rsidR="00E44D39" w:rsidRPr="00B462E4">
        <w:rPr>
          <w:szCs w:val="24"/>
          <w:lang w:val="es-CO"/>
        </w:rPr>
        <w:t>la reclamación y respuesta a la reclamación administrativa elevada por el actor</w:t>
      </w:r>
      <w:r w:rsidR="00B47435" w:rsidRPr="00B462E4">
        <w:rPr>
          <w:szCs w:val="24"/>
          <w:lang w:val="es-CO"/>
        </w:rPr>
        <w:t>. No obstante, también</w:t>
      </w:r>
      <w:r w:rsidR="00E44D39" w:rsidRPr="00B462E4">
        <w:rPr>
          <w:szCs w:val="24"/>
          <w:lang w:val="es-CO"/>
        </w:rPr>
        <w:t xml:space="preserve"> </w:t>
      </w:r>
      <w:r w:rsidR="00981115" w:rsidRPr="00B462E4">
        <w:rPr>
          <w:szCs w:val="24"/>
          <w:lang w:val="es-CO"/>
        </w:rPr>
        <w:t xml:space="preserve">se opuso a las pretensiones, </w:t>
      </w:r>
      <w:r w:rsidR="00CF1321" w:rsidRPr="00B462E4">
        <w:rPr>
          <w:szCs w:val="24"/>
          <w:lang w:val="es-CO"/>
        </w:rPr>
        <w:t xml:space="preserve">arguyendo que </w:t>
      </w:r>
      <w:r w:rsidR="005A6E08" w:rsidRPr="00B462E4">
        <w:rPr>
          <w:szCs w:val="24"/>
          <w:lang w:val="es-CO"/>
        </w:rPr>
        <w:t>el Consorcio Omega contrat</w:t>
      </w:r>
      <w:r w:rsidR="24B0FAAF" w:rsidRPr="00B462E4">
        <w:rPr>
          <w:szCs w:val="24"/>
          <w:lang w:val="es-CO"/>
        </w:rPr>
        <w:t>ó</w:t>
      </w:r>
      <w:r w:rsidR="005A6E08" w:rsidRPr="00B462E4">
        <w:rPr>
          <w:szCs w:val="24"/>
          <w:lang w:val="es-CO"/>
        </w:rPr>
        <w:t xml:space="preserve"> directamente al demandante y en el contrato </w:t>
      </w:r>
      <w:r w:rsidR="00B47435" w:rsidRPr="00B462E4">
        <w:rPr>
          <w:szCs w:val="24"/>
          <w:lang w:val="es-CO"/>
        </w:rPr>
        <w:t xml:space="preserve">No. </w:t>
      </w:r>
      <w:r w:rsidR="005A6E08" w:rsidRPr="00B462E4">
        <w:rPr>
          <w:szCs w:val="24"/>
          <w:lang w:val="es-CO"/>
        </w:rPr>
        <w:t xml:space="preserve">2396 de 2013 no </w:t>
      </w:r>
      <w:r w:rsidR="00B47435" w:rsidRPr="00B462E4">
        <w:rPr>
          <w:szCs w:val="24"/>
          <w:lang w:val="es-CO"/>
        </w:rPr>
        <w:t>previó solida</w:t>
      </w:r>
      <w:r w:rsidR="39FF238E" w:rsidRPr="00B462E4">
        <w:rPr>
          <w:szCs w:val="24"/>
          <w:lang w:val="es-CO"/>
        </w:rPr>
        <w:t>ridad</w:t>
      </w:r>
      <w:r w:rsidR="00B47435" w:rsidRPr="00B462E4">
        <w:rPr>
          <w:szCs w:val="24"/>
          <w:lang w:val="es-CO"/>
        </w:rPr>
        <w:t xml:space="preserve"> alguna frente a los demandados.</w:t>
      </w:r>
      <w:r w:rsidR="005A6E08" w:rsidRPr="00B462E4">
        <w:rPr>
          <w:szCs w:val="24"/>
          <w:lang w:val="es-CO"/>
        </w:rPr>
        <w:t xml:space="preserve"> Agregó que el Aeropuerto Internacional Matecaña cuenta con personería jurídica y autonomía presupuestal y financiera</w:t>
      </w:r>
      <w:r w:rsidR="00DA1755" w:rsidRPr="00B462E4">
        <w:rPr>
          <w:szCs w:val="24"/>
          <w:lang w:val="es-CO"/>
        </w:rPr>
        <w:t xml:space="preserve"> para </w:t>
      </w:r>
      <w:r w:rsidR="005A6E08" w:rsidRPr="00B462E4">
        <w:rPr>
          <w:szCs w:val="24"/>
          <w:lang w:val="es-CO"/>
        </w:rPr>
        <w:t>contraer deberes y obligaciones</w:t>
      </w:r>
      <w:r w:rsidR="00CF1321" w:rsidRPr="00B462E4">
        <w:rPr>
          <w:szCs w:val="24"/>
          <w:lang w:val="es-CO"/>
        </w:rPr>
        <w:t xml:space="preserve">. Como </w:t>
      </w:r>
      <w:r w:rsidR="00D31EB6" w:rsidRPr="00B462E4">
        <w:rPr>
          <w:szCs w:val="24"/>
          <w:lang w:val="es-CO"/>
        </w:rPr>
        <w:t>excepciones</w:t>
      </w:r>
      <w:r w:rsidR="00CF1321" w:rsidRPr="00B462E4">
        <w:rPr>
          <w:szCs w:val="24"/>
          <w:lang w:val="es-CO"/>
        </w:rPr>
        <w:t xml:space="preserve"> de fondo propuso:</w:t>
      </w:r>
      <w:r w:rsidR="005A6E08" w:rsidRPr="00B462E4">
        <w:rPr>
          <w:szCs w:val="24"/>
          <w:lang w:val="es-CO"/>
        </w:rPr>
        <w:t xml:space="preserve"> </w:t>
      </w:r>
      <w:r w:rsidR="005A6E08" w:rsidRPr="00B462E4">
        <w:rPr>
          <w:i/>
          <w:iCs/>
          <w:szCs w:val="24"/>
          <w:lang w:val="es-CO"/>
        </w:rPr>
        <w:t xml:space="preserve">“Falta de legitimación en la causa por pasiva”, “buena fe”, “prescripción”, “genérica”. </w:t>
      </w:r>
    </w:p>
    <w:p w14:paraId="0A29D0F5" w14:textId="4320FDE1" w:rsidR="00542003" w:rsidRPr="00B462E4" w:rsidRDefault="00542003" w:rsidP="00B462E4">
      <w:pPr>
        <w:spacing w:line="276" w:lineRule="auto"/>
        <w:rPr>
          <w:szCs w:val="24"/>
          <w:highlight w:val="yellow"/>
        </w:rPr>
      </w:pPr>
    </w:p>
    <w:p w14:paraId="57EBA3FB" w14:textId="77777777" w:rsidR="00ED578B" w:rsidRPr="00B462E4" w:rsidRDefault="00ED578B" w:rsidP="00B462E4">
      <w:pPr>
        <w:numPr>
          <w:ilvl w:val="0"/>
          <w:numId w:val="2"/>
        </w:numPr>
        <w:pBdr>
          <w:top w:val="nil"/>
          <w:left w:val="nil"/>
          <w:bottom w:val="nil"/>
          <w:right w:val="nil"/>
          <w:between w:val="nil"/>
        </w:pBdr>
        <w:spacing w:line="276" w:lineRule="auto"/>
        <w:ind w:left="0" w:firstLine="0"/>
        <w:jc w:val="center"/>
        <w:rPr>
          <w:b/>
          <w:color w:val="000000"/>
          <w:szCs w:val="24"/>
          <w:lang w:val="es-CO"/>
        </w:rPr>
      </w:pPr>
      <w:r w:rsidRPr="00B462E4">
        <w:rPr>
          <w:b/>
          <w:color w:val="000000"/>
          <w:szCs w:val="24"/>
          <w:lang w:val="es-CO"/>
        </w:rPr>
        <w:t>SENTENCIA DE PRIMERA INSTANCIA</w:t>
      </w:r>
    </w:p>
    <w:p w14:paraId="00000039" w14:textId="77777777" w:rsidR="00041DAE" w:rsidRPr="00B462E4" w:rsidRDefault="00041DAE" w:rsidP="00B462E4">
      <w:pPr>
        <w:pBdr>
          <w:top w:val="nil"/>
          <w:left w:val="nil"/>
          <w:bottom w:val="nil"/>
          <w:right w:val="nil"/>
          <w:between w:val="nil"/>
        </w:pBdr>
        <w:spacing w:line="276" w:lineRule="auto"/>
        <w:rPr>
          <w:b/>
          <w:color w:val="000000"/>
          <w:szCs w:val="24"/>
        </w:rPr>
      </w:pPr>
    </w:p>
    <w:p w14:paraId="5E6BD518" w14:textId="77777777" w:rsidR="00DF5979" w:rsidRPr="00B462E4" w:rsidRDefault="00DF5979" w:rsidP="00B462E4">
      <w:pPr>
        <w:pBdr>
          <w:top w:val="nil"/>
          <w:left w:val="nil"/>
          <w:bottom w:val="nil"/>
          <w:right w:val="nil"/>
          <w:between w:val="nil"/>
        </w:pBdr>
        <w:spacing w:line="276" w:lineRule="auto"/>
        <w:ind w:firstLine="720"/>
        <w:rPr>
          <w:color w:val="000000"/>
          <w:szCs w:val="24"/>
          <w:lang w:val="es-CO"/>
        </w:rPr>
      </w:pPr>
      <w:r w:rsidRPr="00B462E4">
        <w:rPr>
          <w:color w:val="000000"/>
          <w:szCs w:val="24"/>
          <w:lang w:val="es-CO"/>
        </w:rPr>
        <w:t xml:space="preserve">La Jueza de primera instancia declaró no probadas las excepciones de mérito propuestas por José Guillermo Galán, Octavio Augusto Morales, Germán Torres Salgado, la sociedad Vías y Canales S.A.S y el Municipio de Pereira, y probada la de </w:t>
      </w:r>
      <w:r w:rsidRPr="00B462E4">
        <w:rPr>
          <w:color w:val="000000"/>
          <w:szCs w:val="24"/>
          <w:lang w:val="es-CO"/>
        </w:rPr>
        <w:lastRenderedPageBreak/>
        <w:t>“falta de ausencia de responsabilidad”, propuesta por el Aeropuerto internacional Matecaña</w:t>
      </w:r>
    </w:p>
    <w:p w14:paraId="69DAE5B0" w14:textId="77777777" w:rsidR="00DF5979" w:rsidRPr="00B462E4" w:rsidRDefault="00DF5979" w:rsidP="00B462E4">
      <w:pPr>
        <w:pBdr>
          <w:top w:val="nil"/>
          <w:left w:val="nil"/>
          <w:bottom w:val="nil"/>
          <w:right w:val="nil"/>
          <w:between w:val="nil"/>
        </w:pBdr>
        <w:spacing w:line="276" w:lineRule="auto"/>
        <w:rPr>
          <w:color w:val="000000"/>
          <w:szCs w:val="24"/>
          <w:lang w:val="es-CO"/>
        </w:rPr>
      </w:pPr>
    </w:p>
    <w:p w14:paraId="0DAA8754" w14:textId="5581C658" w:rsidR="00DF5979" w:rsidRPr="00B462E4" w:rsidRDefault="00DF5979" w:rsidP="00B462E4">
      <w:pPr>
        <w:pBdr>
          <w:top w:val="nil"/>
          <w:left w:val="nil"/>
          <w:bottom w:val="nil"/>
          <w:right w:val="nil"/>
          <w:between w:val="nil"/>
        </w:pBdr>
        <w:spacing w:line="276" w:lineRule="auto"/>
        <w:ind w:firstLine="720"/>
        <w:rPr>
          <w:color w:val="000000"/>
          <w:szCs w:val="24"/>
          <w:lang w:val="es-CO"/>
        </w:rPr>
      </w:pPr>
      <w:r w:rsidRPr="00B462E4">
        <w:rPr>
          <w:color w:val="000000" w:themeColor="text1"/>
          <w:szCs w:val="24"/>
          <w:lang w:val="es-CO"/>
        </w:rPr>
        <w:t xml:space="preserve">Asimismo, declaró que la labor para la que fue contratada el </w:t>
      </w:r>
      <w:r w:rsidR="60FCE591" w:rsidRPr="00B462E4">
        <w:rPr>
          <w:color w:val="000000" w:themeColor="text1"/>
          <w:szCs w:val="24"/>
          <w:lang w:val="es-CO"/>
        </w:rPr>
        <w:t>demandante</w:t>
      </w:r>
      <w:r w:rsidRPr="00B462E4">
        <w:rPr>
          <w:color w:val="000000" w:themeColor="text1"/>
          <w:szCs w:val="24"/>
          <w:lang w:val="es-CO"/>
        </w:rPr>
        <w:t xml:space="preserve"> se dio con ocasión </w:t>
      </w:r>
      <w:r w:rsidR="7B790C82" w:rsidRPr="00B462E4">
        <w:rPr>
          <w:color w:val="000000" w:themeColor="text1"/>
          <w:szCs w:val="24"/>
          <w:lang w:val="es-CO"/>
        </w:rPr>
        <w:t>de</w:t>
      </w:r>
      <w:r w:rsidRPr="00B462E4">
        <w:rPr>
          <w:color w:val="000000" w:themeColor="text1"/>
          <w:szCs w:val="24"/>
          <w:lang w:val="es-CO"/>
        </w:rPr>
        <w:t xml:space="preserve">l contrato de obra No. 2396 del 10 de septiembre de 2013 suscrito entre el municipio de Pereira y el Consorcio Omega, el cual finalizó el 20 de diciembre de 2014. </w:t>
      </w:r>
    </w:p>
    <w:p w14:paraId="621654B1" w14:textId="77777777" w:rsidR="00DF5979" w:rsidRPr="00B462E4" w:rsidRDefault="00DF5979" w:rsidP="00B462E4">
      <w:pPr>
        <w:pBdr>
          <w:top w:val="nil"/>
          <w:left w:val="nil"/>
          <w:bottom w:val="nil"/>
          <w:right w:val="nil"/>
          <w:between w:val="nil"/>
        </w:pBdr>
        <w:spacing w:line="276" w:lineRule="auto"/>
        <w:rPr>
          <w:color w:val="000000"/>
          <w:szCs w:val="24"/>
          <w:lang w:val="es-CO"/>
        </w:rPr>
      </w:pPr>
    </w:p>
    <w:p w14:paraId="0DBBE677" w14:textId="77777777" w:rsidR="00DF5979" w:rsidRPr="00B462E4" w:rsidRDefault="00DF5979" w:rsidP="00B462E4">
      <w:pPr>
        <w:pBdr>
          <w:top w:val="nil"/>
          <w:left w:val="nil"/>
          <w:bottom w:val="nil"/>
          <w:right w:val="nil"/>
          <w:between w:val="nil"/>
        </w:pBdr>
        <w:spacing w:line="276" w:lineRule="auto"/>
        <w:ind w:firstLine="720"/>
        <w:rPr>
          <w:color w:val="000000"/>
          <w:szCs w:val="24"/>
          <w:lang w:val="es-CO"/>
        </w:rPr>
      </w:pPr>
      <w:r w:rsidRPr="00B462E4">
        <w:rPr>
          <w:color w:val="000000"/>
          <w:szCs w:val="24"/>
          <w:lang w:val="es-CO"/>
        </w:rPr>
        <w:t>Adicionalmente declaró que el contrato de trabajo celebrado entre el demandante y los demandados José Guillermo Galán, Octavio Augusto Morales, Germán Torres Salgado y la sociedad Vías y Canales S.A.S. como integrantes del Consorcio Omega, como empleadores, se dio por terminado de manera unilateral y sin justa causa por parte del empleador, estando el demandante en situación de estabilidad laboral reforzada.</w:t>
      </w:r>
    </w:p>
    <w:p w14:paraId="7C8526BD" w14:textId="77777777" w:rsidR="00DF5979" w:rsidRPr="00B462E4" w:rsidRDefault="00DF5979" w:rsidP="00B462E4">
      <w:pPr>
        <w:pBdr>
          <w:top w:val="nil"/>
          <w:left w:val="nil"/>
          <w:bottom w:val="nil"/>
          <w:right w:val="nil"/>
          <w:between w:val="nil"/>
        </w:pBdr>
        <w:spacing w:line="276" w:lineRule="auto"/>
        <w:rPr>
          <w:color w:val="000000"/>
          <w:szCs w:val="24"/>
          <w:lang w:val="es-CO"/>
        </w:rPr>
      </w:pPr>
    </w:p>
    <w:p w14:paraId="1B2C13C1" w14:textId="72720251" w:rsidR="00DF5979" w:rsidRPr="00B462E4" w:rsidRDefault="00DF5979" w:rsidP="00B462E4">
      <w:pPr>
        <w:pBdr>
          <w:top w:val="nil"/>
          <w:left w:val="nil"/>
          <w:bottom w:val="nil"/>
          <w:right w:val="nil"/>
          <w:between w:val="nil"/>
        </w:pBdr>
        <w:spacing w:line="276" w:lineRule="auto"/>
        <w:ind w:firstLine="720"/>
        <w:rPr>
          <w:color w:val="000000"/>
          <w:szCs w:val="24"/>
          <w:lang w:val="es-CO"/>
        </w:rPr>
      </w:pPr>
      <w:r w:rsidRPr="00B462E4">
        <w:rPr>
          <w:color w:val="000000" w:themeColor="text1"/>
          <w:szCs w:val="24"/>
          <w:lang w:val="es-CO"/>
        </w:rPr>
        <w:t>En consecuencia, condenó a José Guillermo Galán, Octavio Augusto Morales, Germán Torres Salgado y la sociedad Vías y Canales S.A.S. como integrantes del Consorcio Omega y solidariamente al Municipio de Pereira, a pagar a favor del demandante por concepto de indemnización por despido injusto la suma de $431.200, y por in</w:t>
      </w:r>
      <w:r w:rsidR="78543D9E" w:rsidRPr="00B462E4">
        <w:rPr>
          <w:color w:val="000000" w:themeColor="text1"/>
          <w:szCs w:val="24"/>
          <w:lang w:val="es-CO"/>
        </w:rPr>
        <w:t>demnización</w:t>
      </w:r>
      <w:r w:rsidRPr="00B462E4">
        <w:rPr>
          <w:color w:val="000000" w:themeColor="text1"/>
          <w:szCs w:val="24"/>
          <w:lang w:val="es-CO"/>
        </w:rPr>
        <w:t xml:space="preserve"> de que trata el artículo 26 de la ley 371 de 1991 la suma de $3.696.000, debidamente indexados al momento de efectuarse el pago.</w:t>
      </w:r>
    </w:p>
    <w:p w14:paraId="04FE8698" w14:textId="77777777" w:rsidR="00DF5979" w:rsidRPr="00B462E4" w:rsidRDefault="00DF5979" w:rsidP="00B462E4">
      <w:pPr>
        <w:pBdr>
          <w:top w:val="nil"/>
          <w:left w:val="nil"/>
          <w:bottom w:val="nil"/>
          <w:right w:val="nil"/>
          <w:between w:val="nil"/>
        </w:pBdr>
        <w:spacing w:line="276" w:lineRule="auto"/>
        <w:rPr>
          <w:color w:val="000000"/>
          <w:szCs w:val="24"/>
          <w:lang w:val="es-CO"/>
        </w:rPr>
      </w:pPr>
    </w:p>
    <w:p w14:paraId="7E402E0D" w14:textId="2960B7EB" w:rsidR="005A6E08" w:rsidRPr="00B462E4" w:rsidRDefault="00DF5979" w:rsidP="00B462E4">
      <w:pPr>
        <w:pBdr>
          <w:top w:val="nil"/>
          <w:left w:val="nil"/>
          <w:bottom w:val="nil"/>
          <w:right w:val="nil"/>
          <w:between w:val="nil"/>
        </w:pBdr>
        <w:spacing w:line="276" w:lineRule="auto"/>
        <w:ind w:firstLine="720"/>
        <w:rPr>
          <w:color w:val="000000"/>
          <w:szCs w:val="24"/>
          <w:lang w:val="es-CO"/>
        </w:rPr>
      </w:pPr>
      <w:r w:rsidRPr="00B462E4">
        <w:rPr>
          <w:color w:val="000000" w:themeColor="text1"/>
          <w:szCs w:val="24"/>
          <w:lang w:val="es-CO"/>
        </w:rPr>
        <w:t>Finalmente, absolvió al Aeropuerto Internacional Matecaña, y condenó al demandante a pagarle las costas procesales</w:t>
      </w:r>
      <w:r w:rsidR="6355DFE0" w:rsidRPr="00B462E4">
        <w:rPr>
          <w:color w:val="000000" w:themeColor="text1"/>
          <w:szCs w:val="24"/>
          <w:lang w:val="es-CO"/>
        </w:rPr>
        <w:t>;</w:t>
      </w:r>
      <w:r w:rsidRPr="00B462E4">
        <w:rPr>
          <w:color w:val="000000" w:themeColor="text1"/>
          <w:szCs w:val="24"/>
          <w:lang w:val="es-CO"/>
        </w:rPr>
        <w:t xml:space="preserve"> asimismo condenó a José Guillermo Galán, Octavio Augusto Morales, Germán Torres Salgado, a la sociedad Vías y Canales S.A.S y al Municipio de Pereira a pagar costas en favor del demandante.</w:t>
      </w:r>
    </w:p>
    <w:p w14:paraId="367BDCFE" w14:textId="77777777" w:rsidR="00DF5979" w:rsidRPr="00B462E4" w:rsidRDefault="00DF5979" w:rsidP="00B462E4">
      <w:pPr>
        <w:pBdr>
          <w:top w:val="nil"/>
          <w:left w:val="nil"/>
          <w:bottom w:val="nil"/>
          <w:right w:val="nil"/>
          <w:between w:val="nil"/>
        </w:pBdr>
        <w:spacing w:line="276" w:lineRule="auto"/>
        <w:ind w:firstLine="720"/>
        <w:rPr>
          <w:color w:val="000000"/>
          <w:szCs w:val="24"/>
          <w:lang w:val="es-CO"/>
        </w:rPr>
      </w:pPr>
    </w:p>
    <w:p w14:paraId="7F339B0F" w14:textId="608EA029" w:rsidR="005A6E08" w:rsidRPr="00B462E4" w:rsidRDefault="005A6E08" w:rsidP="00B462E4">
      <w:pPr>
        <w:pBdr>
          <w:top w:val="nil"/>
          <w:left w:val="nil"/>
          <w:bottom w:val="nil"/>
          <w:right w:val="nil"/>
          <w:between w:val="nil"/>
        </w:pBdr>
        <w:spacing w:line="276" w:lineRule="auto"/>
        <w:ind w:firstLine="720"/>
        <w:rPr>
          <w:color w:val="000000"/>
          <w:szCs w:val="24"/>
          <w:lang w:val="es-CO"/>
        </w:rPr>
      </w:pPr>
      <w:r w:rsidRPr="00B462E4">
        <w:rPr>
          <w:color w:val="000000" w:themeColor="text1"/>
          <w:szCs w:val="24"/>
          <w:lang w:val="es-CO"/>
        </w:rPr>
        <w:t xml:space="preserve">Para arribar a tal determinación, </w:t>
      </w:r>
      <w:r w:rsidR="00DF5979" w:rsidRPr="00B462E4">
        <w:rPr>
          <w:color w:val="000000" w:themeColor="text1"/>
          <w:szCs w:val="24"/>
          <w:lang w:val="es-CO"/>
        </w:rPr>
        <w:t xml:space="preserve">dio por demostrado que </w:t>
      </w:r>
      <w:r w:rsidR="005621C1" w:rsidRPr="00B462E4">
        <w:rPr>
          <w:color w:val="000000" w:themeColor="text1"/>
          <w:szCs w:val="24"/>
          <w:lang w:val="es-CO"/>
        </w:rPr>
        <w:t>al momento del finiquit</w:t>
      </w:r>
      <w:r w:rsidR="2B9BC335" w:rsidRPr="00B462E4">
        <w:rPr>
          <w:color w:val="000000" w:themeColor="text1"/>
          <w:szCs w:val="24"/>
          <w:lang w:val="es-CO"/>
        </w:rPr>
        <w:t>o</w:t>
      </w:r>
      <w:r w:rsidR="005621C1" w:rsidRPr="00B462E4">
        <w:rPr>
          <w:color w:val="000000" w:themeColor="text1"/>
          <w:szCs w:val="24"/>
          <w:lang w:val="es-CO"/>
        </w:rPr>
        <w:t xml:space="preserve"> contractual el demandante tenía restricciones laborales que le impedían la normal ejecución de sus labores, ya que </w:t>
      </w:r>
      <w:r w:rsidR="00DF5979" w:rsidRPr="00B462E4">
        <w:rPr>
          <w:color w:val="000000" w:themeColor="text1"/>
          <w:szCs w:val="24"/>
          <w:lang w:val="es-CO"/>
        </w:rPr>
        <w:t xml:space="preserve">el 21 de noviembre de 2014 </w:t>
      </w:r>
      <w:r w:rsidR="004612C5" w:rsidRPr="00B462E4">
        <w:rPr>
          <w:color w:val="000000" w:themeColor="text1"/>
          <w:szCs w:val="24"/>
          <w:lang w:val="es-CO"/>
        </w:rPr>
        <w:t xml:space="preserve">la </w:t>
      </w:r>
      <w:r w:rsidRPr="00B462E4">
        <w:rPr>
          <w:color w:val="000000" w:themeColor="text1"/>
          <w:szCs w:val="24"/>
          <w:lang w:val="es-CO"/>
        </w:rPr>
        <w:t>EPS Salud Total emitió</w:t>
      </w:r>
      <w:r w:rsidR="00364494" w:rsidRPr="00B462E4">
        <w:rPr>
          <w:color w:val="000000" w:themeColor="text1"/>
          <w:szCs w:val="24"/>
          <w:lang w:val="es-CO"/>
        </w:rPr>
        <w:t xml:space="preserve"> un</w:t>
      </w:r>
      <w:r w:rsidRPr="00B462E4">
        <w:rPr>
          <w:color w:val="000000" w:themeColor="text1"/>
          <w:szCs w:val="24"/>
          <w:lang w:val="es-CO"/>
        </w:rPr>
        <w:t xml:space="preserve"> concepto </w:t>
      </w:r>
      <w:r w:rsidR="004612C5" w:rsidRPr="00B462E4">
        <w:rPr>
          <w:color w:val="000000" w:themeColor="text1"/>
          <w:szCs w:val="24"/>
          <w:lang w:val="es-CO"/>
        </w:rPr>
        <w:t xml:space="preserve">que contenía </w:t>
      </w:r>
      <w:r w:rsidR="00364494" w:rsidRPr="00B462E4">
        <w:rPr>
          <w:color w:val="000000" w:themeColor="text1"/>
          <w:szCs w:val="24"/>
          <w:lang w:val="es-CO"/>
        </w:rPr>
        <w:t>r</w:t>
      </w:r>
      <w:r w:rsidRPr="00B462E4">
        <w:rPr>
          <w:color w:val="000000" w:themeColor="text1"/>
          <w:szCs w:val="24"/>
          <w:lang w:val="es-CO"/>
        </w:rPr>
        <w:t xml:space="preserve">estricciones para la incorporación del demandante </w:t>
      </w:r>
      <w:r w:rsidR="00364494" w:rsidRPr="00B462E4">
        <w:rPr>
          <w:color w:val="000000" w:themeColor="text1"/>
          <w:szCs w:val="24"/>
          <w:lang w:val="es-CO"/>
        </w:rPr>
        <w:t xml:space="preserve">a </w:t>
      </w:r>
      <w:r w:rsidRPr="00B462E4">
        <w:rPr>
          <w:color w:val="000000" w:themeColor="text1"/>
          <w:szCs w:val="24"/>
          <w:lang w:val="es-CO"/>
        </w:rPr>
        <w:t>sus labores,</w:t>
      </w:r>
      <w:r w:rsidR="00620542" w:rsidRPr="00B462E4">
        <w:rPr>
          <w:color w:val="000000" w:themeColor="text1"/>
          <w:szCs w:val="24"/>
          <w:lang w:val="es-CO"/>
        </w:rPr>
        <w:t xml:space="preserve"> entre ellas la imposibilidad de levantar </w:t>
      </w:r>
      <w:r w:rsidR="005621C1" w:rsidRPr="00B462E4">
        <w:rPr>
          <w:color w:val="000000" w:themeColor="text1"/>
          <w:szCs w:val="24"/>
          <w:lang w:val="es-CO"/>
        </w:rPr>
        <w:t xml:space="preserve">peso superior a </w:t>
      </w:r>
      <w:r w:rsidRPr="00B462E4">
        <w:rPr>
          <w:color w:val="000000" w:themeColor="text1"/>
          <w:szCs w:val="24"/>
          <w:lang w:val="es-CO"/>
        </w:rPr>
        <w:t>12.5 kilogramos,</w:t>
      </w:r>
      <w:r w:rsidR="00620542" w:rsidRPr="00B462E4">
        <w:rPr>
          <w:color w:val="000000" w:themeColor="text1"/>
          <w:szCs w:val="24"/>
          <w:lang w:val="es-CO"/>
        </w:rPr>
        <w:t xml:space="preserve"> acción que era necesaria para ejecutar su labor como ayudante de obra. </w:t>
      </w:r>
    </w:p>
    <w:p w14:paraId="1341CAA2" w14:textId="77777777" w:rsidR="00AC1671" w:rsidRPr="00B462E4" w:rsidRDefault="00AC1671" w:rsidP="00B462E4">
      <w:pPr>
        <w:pBdr>
          <w:top w:val="nil"/>
          <w:left w:val="nil"/>
          <w:bottom w:val="nil"/>
          <w:right w:val="nil"/>
          <w:between w:val="nil"/>
        </w:pBdr>
        <w:spacing w:line="276" w:lineRule="auto"/>
        <w:ind w:firstLine="720"/>
        <w:rPr>
          <w:color w:val="000000"/>
          <w:szCs w:val="24"/>
          <w:lang w:val="es-CO"/>
        </w:rPr>
      </w:pPr>
    </w:p>
    <w:p w14:paraId="7FE96E71" w14:textId="2EF07B11" w:rsidR="005A6E08" w:rsidRPr="00B462E4" w:rsidRDefault="00AC1671" w:rsidP="00B462E4">
      <w:pPr>
        <w:pBdr>
          <w:top w:val="nil"/>
          <w:left w:val="nil"/>
          <w:bottom w:val="nil"/>
          <w:right w:val="nil"/>
          <w:between w:val="nil"/>
        </w:pBdr>
        <w:spacing w:line="276" w:lineRule="auto"/>
        <w:ind w:firstLine="720"/>
        <w:rPr>
          <w:color w:val="000000"/>
          <w:szCs w:val="24"/>
          <w:lang w:val="es-CO"/>
        </w:rPr>
      </w:pPr>
      <w:r w:rsidRPr="00B462E4">
        <w:rPr>
          <w:color w:val="000000"/>
          <w:szCs w:val="24"/>
          <w:lang w:val="es-CO"/>
        </w:rPr>
        <w:t xml:space="preserve">Por lo anterior, concluyó que el </w:t>
      </w:r>
      <w:r w:rsidR="002901E7" w:rsidRPr="00B462E4">
        <w:rPr>
          <w:color w:val="000000"/>
          <w:szCs w:val="24"/>
          <w:lang w:val="es-CO"/>
        </w:rPr>
        <w:t>demandante gozaba de estabilidad laboral reforzada, y condenó a la indemnización por despido, debido a que el mismo no obedeció a una causa objetiva como lo era la terminación de la obra o labor contratada, en tanto, señaló q</w:t>
      </w:r>
      <w:r w:rsidR="00CB6DF1" w:rsidRPr="00B462E4">
        <w:rPr>
          <w:color w:val="000000"/>
          <w:szCs w:val="24"/>
          <w:lang w:val="es-CO"/>
        </w:rPr>
        <w:t>ue los testigos manifestaron que para la fecha del despido las obras no habían finalizado.</w:t>
      </w:r>
    </w:p>
    <w:p w14:paraId="79827568" w14:textId="77777777" w:rsidR="008E6433" w:rsidRPr="00B462E4" w:rsidRDefault="008E6433" w:rsidP="00B462E4">
      <w:pPr>
        <w:pBdr>
          <w:top w:val="nil"/>
          <w:left w:val="nil"/>
          <w:bottom w:val="nil"/>
          <w:right w:val="nil"/>
          <w:between w:val="nil"/>
        </w:pBdr>
        <w:spacing w:line="276" w:lineRule="auto"/>
        <w:ind w:firstLine="720"/>
        <w:rPr>
          <w:color w:val="000000"/>
          <w:szCs w:val="24"/>
          <w:lang w:val="es-CO"/>
        </w:rPr>
      </w:pPr>
    </w:p>
    <w:p w14:paraId="32D57213" w14:textId="165A45A2" w:rsidR="008E6433" w:rsidRPr="00B462E4" w:rsidRDefault="008E6433" w:rsidP="00B462E4">
      <w:pPr>
        <w:pBdr>
          <w:top w:val="nil"/>
          <w:left w:val="nil"/>
          <w:bottom w:val="nil"/>
          <w:right w:val="nil"/>
          <w:between w:val="nil"/>
        </w:pBdr>
        <w:spacing w:line="276" w:lineRule="auto"/>
        <w:ind w:firstLine="720"/>
        <w:rPr>
          <w:color w:val="000000"/>
          <w:szCs w:val="24"/>
          <w:lang w:val="es-CO"/>
        </w:rPr>
      </w:pPr>
      <w:r w:rsidRPr="00B462E4">
        <w:rPr>
          <w:color w:val="000000"/>
          <w:szCs w:val="24"/>
          <w:lang w:val="es-CO"/>
        </w:rPr>
        <w:t xml:space="preserve">Negó el reintegro del demandante, arguyendo que la obra para la cual fue contratado el demandante al momento de la sentencia había finalizado y el contratista no contaba con otra obra en curso. </w:t>
      </w:r>
    </w:p>
    <w:p w14:paraId="3B4173B5" w14:textId="22331EA7" w:rsidR="005A6E08" w:rsidRPr="00B462E4" w:rsidRDefault="005A6E08" w:rsidP="00B462E4">
      <w:pPr>
        <w:pBdr>
          <w:top w:val="nil"/>
          <w:left w:val="nil"/>
          <w:bottom w:val="nil"/>
          <w:right w:val="nil"/>
          <w:between w:val="nil"/>
        </w:pBdr>
        <w:spacing w:line="276" w:lineRule="auto"/>
        <w:ind w:firstLine="720"/>
        <w:rPr>
          <w:color w:val="000000"/>
          <w:szCs w:val="24"/>
          <w:lang w:val="es-CO"/>
        </w:rPr>
      </w:pPr>
    </w:p>
    <w:p w14:paraId="5900A7F1" w14:textId="0C6EFA23" w:rsidR="005A6E08" w:rsidRPr="00B462E4" w:rsidRDefault="008E6433" w:rsidP="00B462E4">
      <w:pPr>
        <w:pBdr>
          <w:top w:val="nil"/>
          <w:left w:val="nil"/>
          <w:bottom w:val="nil"/>
          <w:right w:val="nil"/>
          <w:between w:val="nil"/>
        </w:pBdr>
        <w:spacing w:line="276" w:lineRule="auto"/>
        <w:ind w:firstLine="720"/>
        <w:rPr>
          <w:color w:val="000000"/>
          <w:szCs w:val="24"/>
          <w:lang w:val="es-CO"/>
        </w:rPr>
      </w:pPr>
      <w:r w:rsidRPr="00B462E4">
        <w:rPr>
          <w:color w:val="000000"/>
          <w:szCs w:val="24"/>
          <w:lang w:val="es-CO"/>
        </w:rPr>
        <w:t>Respecto a la</w:t>
      </w:r>
      <w:r w:rsidR="00F474FD" w:rsidRPr="00B462E4">
        <w:rPr>
          <w:color w:val="000000"/>
          <w:szCs w:val="24"/>
          <w:lang w:val="es-CO"/>
        </w:rPr>
        <w:t xml:space="preserve"> responsabilidad</w:t>
      </w:r>
      <w:r w:rsidRPr="00B462E4">
        <w:rPr>
          <w:color w:val="000000"/>
          <w:szCs w:val="24"/>
          <w:lang w:val="es-CO"/>
        </w:rPr>
        <w:t xml:space="preserve"> </w:t>
      </w:r>
      <w:r w:rsidR="00F474FD" w:rsidRPr="00B462E4">
        <w:rPr>
          <w:color w:val="000000"/>
          <w:szCs w:val="24"/>
          <w:lang w:val="es-CO"/>
        </w:rPr>
        <w:t>s</w:t>
      </w:r>
      <w:r w:rsidR="005A6E08" w:rsidRPr="00B462E4">
        <w:rPr>
          <w:color w:val="000000"/>
          <w:szCs w:val="24"/>
          <w:lang w:val="es-CO"/>
        </w:rPr>
        <w:t>olida</w:t>
      </w:r>
      <w:r w:rsidR="00F474FD" w:rsidRPr="00B462E4">
        <w:rPr>
          <w:color w:val="000000"/>
          <w:szCs w:val="24"/>
          <w:lang w:val="es-CO"/>
        </w:rPr>
        <w:t>ria deprecada</w:t>
      </w:r>
      <w:r w:rsidR="005A6E08" w:rsidRPr="00B462E4">
        <w:rPr>
          <w:color w:val="000000"/>
          <w:szCs w:val="24"/>
          <w:lang w:val="es-CO"/>
        </w:rPr>
        <w:t xml:space="preserve">, </w:t>
      </w:r>
      <w:r w:rsidR="00F474FD" w:rsidRPr="00B462E4">
        <w:rPr>
          <w:color w:val="000000"/>
          <w:szCs w:val="24"/>
          <w:lang w:val="es-CO"/>
        </w:rPr>
        <w:t xml:space="preserve">dispuso que no existía nexo alguno entre el Aeropuerto Internacional Matecaña </w:t>
      </w:r>
      <w:r w:rsidR="005A6E08" w:rsidRPr="00B462E4">
        <w:rPr>
          <w:color w:val="000000"/>
          <w:szCs w:val="24"/>
          <w:lang w:val="es-CO"/>
        </w:rPr>
        <w:t>y el consorcio Omega</w:t>
      </w:r>
      <w:r w:rsidR="005466FD" w:rsidRPr="00B462E4">
        <w:rPr>
          <w:color w:val="000000"/>
          <w:szCs w:val="24"/>
          <w:lang w:val="es-CO"/>
        </w:rPr>
        <w:t xml:space="preserve">, pues este </w:t>
      </w:r>
      <w:r w:rsidR="005466FD" w:rsidRPr="00B462E4">
        <w:rPr>
          <w:color w:val="000000"/>
          <w:szCs w:val="24"/>
          <w:lang w:val="es-CO"/>
        </w:rPr>
        <w:lastRenderedPageBreak/>
        <w:t xml:space="preserve">último celebró el contrato de obra con el ente territorial demandado y no con el Aeropuerto, resaltando que el objeto social </w:t>
      </w:r>
      <w:r w:rsidR="00D4224C" w:rsidRPr="00B462E4">
        <w:rPr>
          <w:color w:val="000000"/>
          <w:szCs w:val="24"/>
          <w:lang w:val="es-CO"/>
        </w:rPr>
        <w:t>del mismo es</w:t>
      </w:r>
      <w:r w:rsidR="000C22B8" w:rsidRPr="00B462E4">
        <w:rPr>
          <w:color w:val="000000"/>
          <w:szCs w:val="24"/>
          <w:lang w:val="es-CO"/>
        </w:rPr>
        <w:t xml:space="preserve"> la prestación de servicios aeroportuarios y no la construcción de obras, por </w:t>
      </w:r>
      <w:r w:rsidR="00D4224C" w:rsidRPr="00B462E4">
        <w:rPr>
          <w:color w:val="000000"/>
          <w:szCs w:val="24"/>
          <w:lang w:val="es-CO"/>
        </w:rPr>
        <w:t xml:space="preserve">lo que la labor del demandante </w:t>
      </w:r>
      <w:r w:rsidR="000C22B8" w:rsidRPr="00B462E4">
        <w:rPr>
          <w:color w:val="000000"/>
          <w:szCs w:val="24"/>
          <w:lang w:val="es-CO"/>
        </w:rPr>
        <w:t xml:space="preserve">discrepaba </w:t>
      </w:r>
      <w:r w:rsidR="00D4224C" w:rsidRPr="00B462E4">
        <w:rPr>
          <w:color w:val="000000"/>
          <w:szCs w:val="24"/>
          <w:lang w:val="es-CO"/>
        </w:rPr>
        <w:t>de dicho objeto social.</w:t>
      </w:r>
      <w:r w:rsidR="00CA70C6" w:rsidRPr="00B462E4">
        <w:rPr>
          <w:color w:val="000000"/>
          <w:szCs w:val="24"/>
          <w:lang w:val="es-CO"/>
        </w:rPr>
        <w:t xml:space="preserve"> </w:t>
      </w:r>
      <w:r w:rsidR="005A6E08" w:rsidRPr="00B462E4">
        <w:rPr>
          <w:color w:val="000000"/>
          <w:szCs w:val="24"/>
          <w:lang w:val="es-CO"/>
        </w:rPr>
        <w:t>Contrario sensu, en lo referente a la solidaridad del municipio de Pereira, estimó el despacho que se daban los presupuestos normativos para la configuración de solidaridad, debido a que fue la Secretaria de Infraestructura quien realizó el contrato civil con el consorcio Omega</w:t>
      </w:r>
      <w:r w:rsidR="00CA70C6" w:rsidRPr="00B462E4">
        <w:rPr>
          <w:color w:val="000000"/>
          <w:szCs w:val="24"/>
          <w:lang w:val="es-CO"/>
        </w:rPr>
        <w:t>,</w:t>
      </w:r>
      <w:r w:rsidR="005A6E08" w:rsidRPr="00B462E4">
        <w:rPr>
          <w:color w:val="000000"/>
          <w:szCs w:val="24"/>
          <w:lang w:val="es-CO"/>
        </w:rPr>
        <w:t xml:space="preserve"> secretaria que </w:t>
      </w:r>
      <w:r w:rsidR="00CA70C6" w:rsidRPr="00B462E4">
        <w:rPr>
          <w:color w:val="000000"/>
          <w:szCs w:val="24"/>
          <w:lang w:val="es-CO"/>
        </w:rPr>
        <w:t>dentro</w:t>
      </w:r>
      <w:r w:rsidR="005A6E08" w:rsidRPr="00B462E4">
        <w:rPr>
          <w:color w:val="000000"/>
          <w:szCs w:val="24"/>
          <w:lang w:val="es-CO"/>
        </w:rPr>
        <w:t xml:space="preserve"> de su objeto </w:t>
      </w:r>
      <w:r w:rsidR="00CA70C6" w:rsidRPr="00B462E4">
        <w:rPr>
          <w:color w:val="000000"/>
          <w:szCs w:val="24"/>
          <w:lang w:val="es-CO"/>
        </w:rPr>
        <w:t xml:space="preserve">tiene </w:t>
      </w:r>
      <w:r w:rsidR="005A6E08" w:rsidRPr="00B462E4">
        <w:rPr>
          <w:color w:val="000000"/>
          <w:szCs w:val="24"/>
          <w:lang w:val="es-CO"/>
        </w:rPr>
        <w:t>el desarrollo de obras de infraestructura en los establecimientos del orden municipal y de las vías del municipio</w:t>
      </w:r>
      <w:r w:rsidR="00CA70C6" w:rsidRPr="00B462E4">
        <w:rPr>
          <w:color w:val="000000"/>
          <w:szCs w:val="24"/>
          <w:lang w:val="es-CO"/>
        </w:rPr>
        <w:t xml:space="preserve"> entre ellas las vías de acceso aéreas</w:t>
      </w:r>
      <w:r w:rsidR="005A6E08" w:rsidRPr="00B462E4">
        <w:rPr>
          <w:color w:val="000000"/>
          <w:szCs w:val="24"/>
          <w:lang w:val="es-CO"/>
        </w:rPr>
        <w:t>, por lo</w:t>
      </w:r>
      <w:r w:rsidR="00CA70C6" w:rsidRPr="00B462E4">
        <w:rPr>
          <w:color w:val="000000"/>
          <w:szCs w:val="24"/>
          <w:lang w:val="es-CO"/>
        </w:rPr>
        <w:t xml:space="preserve"> que </w:t>
      </w:r>
      <w:r w:rsidR="005A6E08" w:rsidRPr="00B462E4">
        <w:rPr>
          <w:color w:val="000000"/>
          <w:szCs w:val="24"/>
          <w:lang w:val="es-CO"/>
        </w:rPr>
        <w:t xml:space="preserve">concluyó que la labor desarrollada por el demandante, se enmarca en la labor misional de la </w:t>
      </w:r>
      <w:r w:rsidR="00C36159" w:rsidRPr="00B462E4">
        <w:rPr>
          <w:color w:val="000000"/>
          <w:szCs w:val="24"/>
          <w:lang w:val="es-CO"/>
        </w:rPr>
        <w:t>S</w:t>
      </w:r>
      <w:r w:rsidR="005A6E08" w:rsidRPr="00B462E4">
        <w:rPr>
          <w:color w:val="000000"/>
          <w:szCs w:val="24"/>
          <w:lang w:val="es-CO"/>
        </w:rPr>
        <w:t xml:space="preserve">ecretaria de </w:t>
      </w:r>
      <w:r w:rsidR="00C36159" w:rsidRPr="00B462E4">
        <w:rPr>
          <w:color w:val="000000"/>
          <w:szCs w:val="24"/>
          <w:lang w:val="es-CO"/>
        </w:rPr>
        <w:t>I</w:t>
      </w:r>
      <w:r w:rsidR="005A6E08" w:rsidRPr="00B462E4">
        <w:rPr>
          <w:color w:val="000000"/>
          <w:szCs w:val="24"/>
          <w:lang w:val="es-CO"/>
        </w:rPr>
        <w:t xml:space="preserve">nfraestructura del </w:t>
      </w:r>
      <w:r w:rsidR="00C36159" w:rsidRPr="00B462E4">
        <w:rPr>
          <w:color w:val="000000"/>
          <w:szCs w:val="24"/>
          <w:lang w:val="es-CO"/>
        </w:rPr>
        <w:t>M</w:t>
      </w:r>
      <w:r w:rsidR="005A6E08" w:rsidRPr="00B462E4">
        <w:rPr>
          <w:color w:val="000000"/>
          <w:szCs w:val="24"/>
          <w:lang w:val="es-CO"/>
        </w:rPr>
        <w:t xml:space="preserve">unicipio de Pereira. </w:t>
      </w:r>
    </w:p>
    <w:p w14:paraId="3CC97C2F" w14:textId="44038A6F" w:rsidR="00E559E8" w:rsidRPr="00B462E4" w:rsidRDefault="00E559E8" w:rsidP="00B462E4">
      <w:pPr>
        <w:pBdr>
          <w:top w:val="nil"/>
          <w:left w:val="nil"/>
          <w:bottom w:val="nil"/>
          <w:right w:val="nil"/>
          <w:between w:val="nil"/>
        </w:pBdr>
        <w:spacing w:line="276" w:lineRule="auto"/>
        <w:rPr>
          <w:color w:val="000000"/>
          <w:szCs w:val="24"/>
        </w:rPr>
      </w:pPr>
    </w:p>
    <w:p w14:paraId="00000054" w14:textId="65DCE6EB" w:rsidR="00041DAE" w:rsidRPr="00B462E4" w:rsidRDefault="00ED578B" w:rsidP="00B462E4">
      <w:pPr>
        <w:pStyle w:val="Prrafodelista"/>
        <w:numPr>
          <w:ilvl w:val="0"/>
          <w:numId w:val="2"/>
        </w:numPr>
        <w:spacing w:line="276" w:lineRule="auto"/>
        <w:ind w:left="0"/>
        <w:jc w:val="center"/>
        <w:rPr>
          <w:szCs w:val="24"/>
        </w:rPr>
      </w:pPr>
      <w:r w:rsidRPr="00B462E4">
        <w:rPr>
          <w:b/>
          <w:bCs/>
          <w:szCs w:val="24"/>
          <w:lang w:val="es-CO"/>
        </w:rPr>
        <w:t>RECURSO DE APELACIÓN</w:t>
      </w:r>
    </w:p>
    <w:p w14:paraId="6693A833" w14:textId="77777777" w:rsidR="00ED578B" w:rsidRPr="00B462E4" w:rsidRDefault="00ED578B" w:rsidP="00B462E4">
      <w:pPr>
        <w:pStyle w:val="Prrafodelista"/>
        <w:spacing w:line="276" w:lineRule="auto"/>
        <w:ind w:left="0"/>
        <w:rPr>
          <w:szCs w:val="24"/>
        </w:rPr>
      </w:pPr>
    </w:p>
    <w:p w14:paraId="0CE5276B" w14:textId="59FFBBF6" w:rsidR="005A6E08" w:rsidRPr="00B462E4" w:rsidRDefault="005A6E08" w:rsidP="00B462E4">
      <w:pPr>
        <w:spacing w:line="276" w:lineRule="auto"/>
        <w:ind w:firstLine="720"/>
        <w:rPr>
          <w:szCs w:val="24"/>
          <w:lang w:val="es-CO"/>
        </w:rPr>
      </w:pPr>
      <w:r w:rsidRPr="00B462E4">
        <w:rPr>
          <w:szCs w:val="24"/>
          <w:lang w:val="es-CO"/>
        </w:rPr>
        <w:t xml:space="preserve">Inconforme con la decisión, </w:t>
      </w:r>
      <w:r w:rsidR="00346C7C" w:rsidRPr="00B462E4">
        <w:rPr>
          <w:szCs w:val="24"/>
          <w:lang w:val="es-CO"/>
        </w:rPr>
        <w:t xml:space="preserve">los demandados </w:t>
      </w:r>
      <w:r w:rsidRPr="00B462E4">
        <w:rPr>
          <w:szCs w:val="24"/>
          <w:lang w:val="es-CO"/>
        </w:rPr>
        <w:t>José Guillermo Galán, Octavio Augusto Morales, Germán Torres Salgado, y la sociedad Vías y Canales S.A.S interpus</w:t>
      </w:r>
      <w:r w:rsidR="00BB43FA" w:rsidRPr="00B462E4">
        <w:rPr>
          <w:szCs w:val="24"/>
          <w:lang w:val="es-CO"/>
        </w:rPr>
        <w:t xml:space="preserve">ieron </w:t>
      </w:r>
      <w:r w:rsidRPr="00B462E4">
        <w:rPr>
          <w:szCs w:val="24"/>
          <w:lang w:val="es-CO"/>
        </w:rPr>
        <w:t xml:space="preserve">recurso de apelación </w:t>
      </w:r>
      <w:r w:rsidR="00BB43FA" w:rsidRPr="00B462E4">
        <w:rPr>
          <w:szCs w:val="24"/>
          <w:lang w:val="es-CO"/>
        </w:rPr>
        <w:t xml:space="preserve">indicando </w:t>
      </w:r>
      <w:r w:rsidRPr="00B462E4">
        <w:rPr>
          <w:szCs w:val="24"/>
          <w:lang w:val="es-CO"/>
        </w:rPr>
        <w:t>que</w:t>
      </w:r>
      <w:r w:rsidR="00BB43FA" w:rsidRPr="00B462E4">
        <w:rPr>
          <w:szCs w:val="24"/>
          <w:lang w:val="es-CO"/>
        </w:rPr>
        <w:t xml:space="preserve"> en el asunto objeto de estudio opero el fenómeno extintivo de la prescripción, ya que desde la ocurrencia de los hechos y hasta el momento del fallo transcurrieron más de 8 años.</w:t>
      </w:r>
      <w:r w:rsidRPr="00B462E4">
        <w:rPr>
          <w:szCs w:val="24"/>
          <w:lang w:val="es-CO"/>
        </w:rPr>
        <w:t xml:space="preserve"> </w:t>
      </w:r>
      <w:r w:rsidR="00003673" w:rsidRPr="00B462E4">
        <w:rPr>
          <w:szCs w:val="24"/>
          <w:lang w:val="es-CO"/>
        </w:rPr>
        <w:t>Señal</w:t>
      </w:r>
      <w:r w:rsidR="7FD4E5D9" w:rsidRPr="00B462E4">
        <w:rPr>
          <w:szCs w:val="24"/>
          <w:lang w:val="es-CO"/>
        </w:rPr>
        <w:t>aron</w:t>
      </w:r>
      <w:r w:rsidR="00003673" w:rsidRPr="00B462E4">
        <w:rPr>
          <w:szCs w:val="24"/>
          <w:lang w:val="es-CO"/>
        </w:rPr>
        <w:t xml:space="preserve"> que el demandante no demostró que el despido </w:t>
      </w:r>
      <w:r w:rsidR="6BDCFB49" w:rsidRPr="00B462E4">
        <w:rPr>
          <w:szCs w:val="24"/>
          <w:lang w:val="es-CO"/>
        </w:rPr>
        <w:t xml:space="preserve">hubiese </w:t>
      </w:r>
      <w:r w:rsidR="00003673" w:rsidRPr="00B462E4">
        <w:rPr>
          <w:szCs w:val="24"/>
          <w:lang w:val="es-CO"/>
        </w:rPr>
        <w:t>si</w:t>
      </w:r>
      <w:r w:rsidR="7A076AF0" w:rsidRPr="00B462E4">
        <w:rPr>
          <w:szCs w:val="24"/>
          <w:lang w:val="es-CO"/>
        </w:rPr>
        <w:t>do sin</w:t>
      </w:r>
      <w:r w:rsidR="00003673" w:rsidRPr="00B462E4">
        <w:rPr>
          <w:szCs w:val="24"/>
          <w:lang w:val="es-CO"/>
        </w:rPr>
        <w:t xml:space="preserve"> justa causa, ya que no acreditó que fue al único trabajador al que le terminaron el contrato y que </w:t>
      </w:r>
      <w:r w:rsidRPr="00B462E4">
        <w:rPr>
          <w:szCs w:val="24"/>
          <w:lang w:val="es-CO"/>
        </w:rPr>
        <w:t xml:space="preserve">al momento de efectuarse el mismo, la obra aún no hubiese culminado. </w:t>
      </w:r>
    </w:p>
    <w:p w14:paraId="51DC26C2" w14:textId="77777777" w:rsidR="005059A1" w:rsidRPr="00B462E4" w:rsidRDefault="005059A1" w:rsidP="00B462E4">
      <w:pPr>
        <w:spacing w:line="276" w:lineRule="auto"/>
        <w:ind w:firstLine="720"/>
        <w:rPr>
          <w:szCs w:val="24"/>
          <w:lang w:val="es-CO"/>
        </w:rPr>
      </w:pPr>
    </w:p>
    <w:p w14:paraId="17DA341F" w14:textId="2E5F0E1D" w:rsidR="005A6E08" w:rsidRPr="00B462E4" w:rsidRDefault="005059A1" w:rsidP="00B462E4">
      <w:pPr>
        <w:spacing w:line="276" w:lineRule="auto"/>
        <w:ind w:firstLine="720"/>
        <w:rPr>
          <w:szCs w:val="24"/>
          <w:lang w:val="es-CO"/>
        </w:rPr>
      </w:pPr>
      <w:r w:rsidRPr="00B462E4">
        <w:rPr>
          <w:szCs w:val="24"/>
          <w:lang w:val="es-CO"/>
        </w:rPr>
        <w:t xml:space="preserve">Agrega que el trabajador fue contratado por el señor Miguel Ángel Gómez, maestro de obra y superior jerárquico, por lo que </w:t>
      </w:r>
      <w:r w:rsidR="00262A19" w:rsidRPr="00B462E4">
        <w:rPr>
          <w:szCs w:val="24"/>
          <w:lang w:val="es-CO"/>
        </w:rPr>
        <w:t xml:space="preserve">también le debe asistir responsabilidad. </w:t>
      </w:r>
      <w:r w:rsidR="005A6E08" w:rsidRPr="00B462E4">
        <w:rPr>
          <w:szCs w:val="24"/>
          <w:lang w:val="es-CO"/>
        </w:rPr>
        <w:t>Asimismo, sostiene que</w:t>
      </w:r>
      <w:r w:rsidR="00D43747" w:rsidRPr="00B462E4">
        <w:rPr>
          <w:szCs w:val="24"/>
          <w:lang w:val="es-CO"/>
        </w:rPr>
        <w:t xml:space="preserve"> una vez el trabajador se reintegró no se encontraba incapacitado</w:t>
      </w:r>
      <w:r w:rsidR="00AD468C" w:rsidRPr="00B462E4">
        <w:rPr>
          <w:szCs w:val="24"/>
          <w:lang w:val="es-CO"/>
        </w:rPr>
        <w:t>, por lo cual no gozaba de estabilidad laboral reforzada, aunado a que la terminación del contrato se dio por terminación de la obra o labor contratada</w:t>
      </w:r>
      <w:r w:rsidR="00353AFA" w:rsidRPr="00B462E4">
        <w:rPr>
          <w:szCs w:val="24"/>
          <w:lang w:val="es-CO"/>
        </w:rPr>
        <w:t>, culminación que fu</w:t>
      </w:r>
      <w:r w:rsidR="50A529F3" w:rsidRPr="00B462E4">
        <w:rPr>
          <w:szCs w:val="24"/>
          <w:lang w:val="es-CO"/>
        </w:rPr>
        <w:t>e</w:t>
      </w:r>
      <w:r w:rsidR="00353AFA" w:rsidRPr="00B462E4">
        <w:rPr>
          <w:szCs w:val="24"/>
          <w:lang w:val="es-CO"/>
        </w:rPr>
        <w:t xml:space="preserve"> de público conocimiento para todos los trabajadores, pues se colocó un aviso general y visible en la obra para que los trabadores conocieran </w:t>
      </w:r>
      <w:r w:rsidR="009C0415" w:rsidRPr="00B462E4">
        <w:rPr>
          <w:szCs w:val="24"/>
          <w:lang w:val="es-CO"/>
        </w:rPr>
        <w:t xml:space="preserve">la fecha de terminación. </w:t>
      </w:r>
    </w:p>
    <w:p w14:paraId="290E3EE9" w14:textId="77777777" w:rsidR="005A6E08" w:rsidRPr="00B462E4" w:rsidRDefault="005A6E08" w:rsidP="00B462E4">
      <w:pPr>
        <w:spacing w:line="276" w:lineRule="auto"/>
        <w:ind w:firstLine="720"/>
        <w:rPr>
          <w:szCs w:val="24"/>
          <w:lang w:val="es-CO"/>
        </w:rPr>
      </w:pPr>
    </w:p>
    <w:p w14:paraId="22904C95" w14:textId="03771033" w:rsidR="005A6E08" w:rsidRPr="00B462E4" w:rsidRDefault="005A6E08" w:rsidP="00B462E4">
      <w:pPr>
        <w:spacing w:line="276" w:lineRule="auto"/>
        <w:ind w:firstLine="720"/>
        <w:rPr>
          <w:szCs w:val="24"/>
          <w:lang w:val="es-CO"/>
        </w:rPr>
      </w:pPr>
      <w:r w:rsidRPr="00B462E4">
        <w:rPr>
          <w:szCs w:val="24"/>
          <w:lang w:val="es-CO"/>
        </w:rPr>
        <w:t xml:space="preserve">A su turno, la apoderada judicial del </w:t>
      </w:r>
      <w:r w:rsidR="009912DF" w:rsidRPr="00B462E4">
        <w:rPr>
          <w:szCs w:val="24"/>
          <w:lang w:val="es-CO"/>
        </w:rPr>
        <w:t>M</w:t>
      </w:r>
      <w:r w:rsidRPr="00B462E4">
        <w:rPr>
          <w:szCs w:val="24"/>
          <w:lang w:val="es-CO"/>
        </w:rPr>
        <w:t xml:space="preserve">unicipio de </w:t>
      </w:r>
      <w:r w:rsidR="6152CCB1" w:rsidRPr="00B462E4">
        <w:rPr>
          <w:szCs w:val="24"/>
          <w:lang w:val="es-CO"/>
        </w:rPr>
        <w:t>Pereira</w:t>
      </w:r>
      <w:r w:rsidR="009C0415" w:rsidRPr="00B462E4">
        <w:rPr>
          <w:szCs w:val="24"/>
          <w:lang w:val="es-CO"/>
        </w:rPr>
        <w:t xml:space="preserve"> interpuso el mismo </w:t>
      </w:r>
      <w:r w:rsidR="009912DF" w:rsidRPr="00B462E4">
        <w:rPr>
          <w:szCs w:val="24"/>
          <w:lang w:val="es-CO"/>
        </w:rPr>
        <w:t>recurso, inconforme con la condena solidaria</w:t>
      </w:r>
      <w:r w:rsidR="71120FA9" w:rsidRPr="00B462E4">
        <w:rPr>
          <w:szCs w:val="24"/>
          <w:lang w:val="es-CO"/>
        </w:rPr>
        <w:t xml:space="preserve"> que la cobij</w:t>
      </w:r>
      <w:r w:rsidR="43B83D32" w:rsidRPr="00B462E4">
        <w:rPr>
          <w:szCs w:val="24"/>
          <w:lang w:val="es-CO"/>
        </w:rPr>
        <w:t>ó</w:t>
      </w:r>
      <w:r w:rsidR="009912DF" w:rsidRPr="00B462E4">
        <w:rPr>
          <w:szCs w:val="24"/>
          <w:lang w:val="es-CO"/>
        </w:rPr>
        <w:t>, arguyendo</w:t>
      </w:r>
      <w:r w:rsidR="71D6E97C" w:rsidRPr="00B462E4">
        <w:rPr>
          <w:szCs w:val="24"/>
          <w:lang w:val="es-CO"/>
        </w:rPr>
        <w:t xml:space="preserve"> que </w:t>
      </w:r>
      <w:r w:rsidR="00B25444" w:rsidRPr="00B462E4">
        <w:rPr>
          <w:szCs w:val="24"/>
          <w:lang w:val="es-CO"/>
        </w:rPr>
        <w:t xml:space="preserve">la actividad económica </w:t>
      </w:r>
      <w:r w:rsidRPr="00B462E4">
        <w:rPr>
          <w:szCs w:val="24"/>
          <w:lang w:val="es-CO"/>
        </w:rPr>
        <w:t xml:space="preserve">de la </w:t>
      </w:r>
      <w:r w:rsidR="00B25444" w:rsidRPr="00B462E4">
        <w:rPr>
          <w:szCs w:val="24"/>
          <w:lang w:val="es-CO"/>
        </w:rPr>
        <w:t xml:space="preserve">construcción </w:t>
      </w:r>
      <w:r w:rsidRPr="00B462E4">
        <w:rPr>
          <w:szCs w:val="24"/>
          <w:lang w:val="es-CO"/>
        </w:rPr>
        <w:t xml:space="preserve">es ajena al objeto social del </w:t>
      </w:r>
      <w:r w:rsidR="00B25444" w:rsidRPr="00B462E4">
        <w:rPr>
          <w:szCs w:val="24"/>
          <w:lang w:val="es-CO"/>
        </w:rPr>
        <w:t>M</w:t>
      </w:r>
      <w:r w:rsidRPr="00B462E4">
        <w:rPr>
          <w:szCs w:val="24"/>
          <w:lang w:val="es-CO"/>
        </w:rPr>
        <w:t>unicipio</w:t>
      </w:r>
      <w:r w:rsidR="00EB0DFF" w:rsidRPr="00B462E4">
        <w:rPr>
          <w:szCs w:val="24"/>
          <w:lang w:val="es-CO"/>
        </w:rPr>
        <w:t xml:space="preserve"> y </w:t>
      </w:r>
      <w:r w:rsidRPr="00B462E4">
        <w:rPr>
          <w:szCs w:val="24"/>
          <w:lang w:val="es-CO"/>
        </w:rPr>
        <w:t xml:space="preserve">que el contrato de obra civil 2396 de 2013 </w:t>
      </w:r>
      <w:r w:rsidR="00B25444" w:rsidRPr="00B462E4">
        <w:rPr>
          <w:szCs w:val="24"/>
          <w:lang w:val="es-CO"/>
        </w:rPr>
        <w:t xml:space="preserve">se suscribió con el fin </w:t>
      </w:r>
      <w:r w:rsidRPr="00B462E4">
        <w:rPr>
          <w:szCs w:val="24"/>
          <w:lang w:val="es-CO"/>
        </w:rPr>
        <w:t>de que el Aeropuerto Internacional Matecaña cumpliera con los reglamentos aeronáuticos</w:t>
      </w:r>
      <w:r w:rsidR="009C4BEA" w:rsidRPr="00B462E4">
        <w:rPr>
          <w:szCs w:val="24"/>
          <w:lang w:val="es-CO"/>
        </w:rPr>
        <w:t xml:space="preserve"> como se demuestra con el Acuerdo 012 de 2013</w:t>
      </w:r>
      <w:r w:rsidR="00B021B0" w:rsidRPr="00B462E4">
        <w:rPr>
          <w:szCs w:val="24"/>
          <w:lang w:val="es-CO"/>
        </w:rPr>
        <w:t>, pero no reportaba ningún beneficio para el Municipio.</w:t>
      </w:r>
    </w:p>
    <w:p w14:paraId="14D6C51A" w14:textId="77777777" w:rsidR="005A6E08" w:rsidRPr="00B462E4" w:rsidRDefault="005A6E08" w:rsidP="00B462E4">
      <w:pPr>
        <w:spacing w:line="276" w:lineRule="auto"/>
        <w:ind w:firstLine="720"/>
        <w:rPr>
          <w:szCs w:val="24"/>
          <w:lang w:val="es-CO"/>
        </w:rPr>
      </w:pPr>
    </w:p>
    <w:p w14:paraId="0E54292D" w14:textId="202DBB20" w:rsidR="005A6E08" w:rsidRPr="00B462E4" w:rsidRDefault="005A6E08" w:rsidP="00B462E4">
      <w:pPr>
        <w:spacing w:line="276" w:lineRule="auto"/>
        <w:ind w:firstLine="720"/>
        <w:rPr>
          <w:szCs w:val="24"/>
          <w:lang w:val="es-CO"/>
        </w:rPr>
      </w:pPr>
      <w:r w:rsidRPr="00B462E4">
        <w:rPr>
          <w:szCs w:val="24"/>
          <w:lang w:val="es-CO"/>
        </w:rPr>
        <w:t xml:space="preserve">Por otra parte, señaló que en el plenario se logró probar la existencia de una causa justa y objetiva respecto al despido del demandante, debido a que el contrato suscrito era </w:t>
      </w:r>
      <w:r w:rsidR="2EF150F4" w:rsidRPr="00B462E4">
        <w:rPr>
          <w:szCs w:val="24"/>
          <w:lang w:val="es-CO"/>
        </w:rPr>
        <w:t>por</w:t>
      </w:r>
      <w:r w:rsidRPr="00B462E4">
        <w:rPr>
          <w:szCs w:val="24"/>
          <w:lang w:val="es-CO"/>
        </w:rPr>
        <w:t xml:space="preserve"> obra </w:t>
      </w:r>
      <w:r w:rsidR="44E0616F" w:rsidRPr="00B462E4">
        <w:rPr>
          <w:szCs w:val="24"/>
          <w:lang w:val="es-CO"/>
        </w:rPr>
        <w:t>o</w:t>
      </w:r>
      <w:r w:rsidRPr="00B462E4">
        <w:rPr>
          <w:szCs w:val="24"/>
          <w:lang w:val="es-CO"/>
        </w:rPr>
        <w:t xml:space="preserve"> labor, por tanto, una vez finalizada la obra no era posible postergarla, tal y como se acredit</w:t>
      </w:r>
      <w:r w:rsidR="00471E18" w:rsidRPr="00B462E4">
        <w:rPr>
          <w:szCs w:val="24"/>
          <w:lang w:val="es-CO"/>
        </w:rPr>
        <w:t xml:space="preserve">ó con las </w:t>
      </w:r>
      <w:r w:rsidRPr="00B462E4">
        <w:rPr>
          <w:szCs w:val="24"/>
          <w:lang w:val="es-CO"/>
        </w:rPr>
        <w:t xml:space="preserve">actas de terminación. Por lo anterior objeta la decisión primigenia, argumentando que no se debió declarar la existencia de un despido injusto en razón a una condición de salud. </w:t>
      </w:r>
    </w:p>
    <w:p w14:paraId="27C7C43F" w14:textId="77777777" w:rsidR="00604098" w:rsidRPr="00B462E4" w:rsidRDefault="00604098" w:rsidP="00B462E4">
      <w:pPr>
        <w:spacing w:line="276" w:lineRule="auto"/>
        <w:ind w:firstLine="720"/>
        <w:rPr>
          <w:szCs w:val="24"/>
          <w:lang w:val="es-CO"/>
        </w:rPr>
      </w:pPr>
    </w:p>
    <w:p w14:paraId="4DBC55B3" w14:textId="79B80F0B" w:rsidR="005A6E08" w:rsidRPr="00B462E4" w:rsidRDefault="00604098" w:rsidP="00B462E4">
      <w:pPr>
        <w:spacing w:line="276" w:lineRule="auto"/>
        <w:ind w:firstLine="720"/>
        <w:rPr>
          <w:szCs w:val="24"/>
          <w:lang w:val="es-CO"/>
        </w:rPr>
      </w:pPr>
      <w:r w:rsidRPr="00B462E4">
        <w:rPr>
          <w:szCs w:val="24"/>
          <w:lang w:val="es-CO"/>
        </w:rPr>
        <w:lastRenderedPageBreak/>
        <w:t>En cuanto al grado jurisdiccional de consulta, como quiera que la decisión de primer grado fue adversa a los intereses del Municipio de Pereira, en esta instancia se admitió la consulta en favor de dicha entidad.  </w:t>
      </w:r>
    </w:p>
    <w:p w14:paraId="05C6434F" w14:textId="4EA3E563" w:rsidR="00D26E6D" w:rsidRPr="00B462E4" w:rsidRDefault="00D26E6D" w:rsidP="00B462E4">
      <w:pPr>
        <w:spacing w:line="276" w:lineRule="auto"/>
        <w:rPr>
          <w:szCs w:val="24"/>
          <w:lang w:val="es-CO"/>
        </w:rPr>
      </w:pPr>
    </w:p>
    <w:p w14:paraId="62326C37" w14:textId="74058BA0" w:rsidR="00ED578B" w:rsidRPr="00B462E4" w:rsidRDefault="00ED578B" w:rsidP="00B462E4">
      <w:pPr>
        <w:pStyle w:val="Prrafodelista"/>
        <w:widowControl w:val="0"/>
        <w:numPr>
          <w:ilvl w:val="0"/>
          <w:numId w:val="2"/>
        </w:numPr>
        <w:autoSpaceDE w:val="0"/>
        <w:autoSpaceDN w:val="0"/>
        <w:adjustRightInd w:val="0"/>
        <w:spacing w:line="276" w:lineRule="auto"/>
        <w:ind w:left="0"/>
        <w:jc w:val="center"/>
        <w:rPr>
          <w:rFonts w:eastAsia="Times New Roman"/>
          <w:b/>
          <w:bCs/>
          <w:szCs w:val="24"/>
          <w:lang w:val="es-CO" w:eastAsia="es-ES"/>
        </w:rPr>
      </w:pPr>
      <w:r w:rsidRPr="00B462E4">
        <w:rPr>
          <w:rFonts w:eastAsia="Times New Roman"/>
          <w:b/>
          <w:bCs/>
          <w:szCs w:val="24"/>
          <w:lang w:val="es-CO" w:eastAsia="es-ES"/>
        </w:rPr>
        <w:t>ALEGATOS DE CONCLUSIÓN/CONCEPTO DEL MINISTERIO PÚBLICO</w:t>
      </w:r>
    </w:p>
    <w:p w14:paraId="00000063" w14:textId="77777777" w:rsidR="00041DAE" w:rsidRPr="00B462E4" w:rsidRDefault="00041DAE" w:rsidP="00B462E4">
      <w:pPr>
        <w:spacing w:line="276" w:lineRule="auto"/>
        <w:ind w:firstLine="709"/>
        <w:rPr>
          <w:color w:val="000000"/>
          <w:szCs w:val="24"/>
          <w:shd w:val="clear" w:color="auto" w:fill="FAF9F8"/>
          <w:lang w:val="es-CO"/>
        </w:rPr>
      </w:pPr>
    </w:p>
    <w:p w14:paraId="49A86D37" w14:textId="1DDD27A9" w:rsidR="60374B68" w:rsidRPr="00B462E4" w:rsidRDefault="60374B68" w:rsidP="00B462E4">
      <w:pPr>
        <w:spacing w:line="276" w:lineRule="auto"/>
        <w:ind w:firstLine="708"/>
        <w:rPr>
          <w:rStyle w:val="normaltextrun"/>
          <w:szCs w:val="24"/>
        </w:rPr>
      </w:pPr>
      <w:r w:rsidRPr="00B462E4">
        <w:rPr>
          <w:color w:val="000000" w:themeColor="text1"/>
          <w:szCs w:val="24"/>
          <w:lang w:val="es"/>
        </w:rPr>
        <w:t xml:space="preserve">Analizados los alegatos presentados </w:t>
      </w:r>
      <w:r w:rsidRPr="00B462E4">
        <w:rPr>
          <w:rStyle w:val="normaltextrun"/>
          <w:szCs w:val="24"/>
        </w:rPr>
        <w:t xml:space="preserve">únicamente por la parte demandante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los problemas jurídicos que se expresan a continuación.  </w:t>
      </w:r>
    </w:p>
    <w:p w14:paraId="1C0C672D" w14:textId="56E29CBD" w:rsidR="009B76A2" w:rsidRPr="00B462E4" w:rsidRDefault="009B76A2" w:rsidP="00B462E4">
      <w:pPr>
        <w:spacing w:line="276" w:lineRule="auto"/>
        <w:rPr>
          <w:rFonts w:eastAsiaTheme="minorHAnsi"/>
          <w:szCs w:val="24"/>
          <w:lang w:eastAsia="en-US"/>
        </w:rPr>
      </w:pPr>
    </w:p>
    <w:p w14:paraId="5767CA86" w14:textId="77777777" w:rsidR="00ED578B" w:rsidRPr="00B462E4" w:rsidRDefault="00ED578B" w:rsidP="00B462E4">
      <w:pPr>
        <w:pStyle w:val="paragraph"/>
        <w:numPr>
          <w:ilvl w:val="0"/>
          <w:numId w:val="2"/>
        </w:numPr>
        <w:spacing w:before="0" w:beforeAutospacing="0" w:after="0" w:afterAutospacing="0" w:line="276" w:lineRule="auto"/>
        <w:ind w:left="0"/>
        <w:jc w:val="center"/>
        <w:textAlignment w:val="baseline"/>
        <w:rPr>
          <w:rFonts w:ascii="Tahoma" w:hAnsi="Tahoma" w:cs="Tahoma"/>
          <w:b/>
        </w:rPr>
      </w:pPr>
      <w:r w:rsidRPr="00B462E4">
        <w:rPr>
          <w:rStyle w:val="normaltextrun"/>
          <w:rFonts w:ascii="Tahoma" w:hAnsi="Tahoma" w:cs="Tahoma"/>
          <w:b/>
          <w:bCs/>
        </w:rPr>
        <w:t>PROBLEMA JURÍDICO POR RESOLVER</w:t>
      </w:r>
    </w:p>
    <w:p w14:paraId="00000067" w14:textId="347BBBBE" w:rsidR="00041DAE" w:rsidRPr="00B462E4" w:rsidRDefault="00041DAE" w:rsidP="00B462E4">
      <w:pPr>
        <w:spacing w:line="276" w:lineRule="auto"/>
        <w:ind w:firstLine="709"/>
        <w:rPr>
          <w:color w:val="000000"/>
          <w:szCs w:val="24"/>
          <w:shd w:val="clear" w:color="auto" w:fill="FAF9F8"/>
        </w:rPr>
      </w:pPr>
    </w:p>
    <w:p w14:paraId="24585A30" w14:textId="2A1F2E92" w:rsidR="00AD1586" w:rsidRPr="00B462E4" w:rsidRDefault="0039092E" w:rsidP="00B462E4">
      <w:pPr>
        <w:spacing w:line="276" w:lineRule="auto"/>
        <w:ind w:firstLine="720"/>
        <w:rPr>
          <w:szCs w:val="24"/>
        </w:rPr>
      </w:pPr>
      <w:r w:rsidRPr="00B462E4">
        <w:rPr>
          <w:szCs w:val="24"/>
        </w:rPr>
        <w:t>El problema jurídico se circunscribe en</w:t>
      </w:r>
      <w:r w:rsidR="000D4B23" w:rsidRPr="00B462E4">
        <w:rPr>
          <w:szCs w:val="24"/>
          <w:lang w:eastAsia="es-MX"/>
        </w:rPr>
        <w:t xml:space="preserve"> determinar s</w:t>
      </w:r>
      <w:r w:rsidR="000D4B23" w:rsidRPr="00B462E4">
        <w:rPr>
          <w:szCs w:val="24"/>
        </w:rPr>
        <w:t xml:space="preserve">í al momento de la terminación del contrato, </w:t>
      </w:r>
      <w:r w:rsidR="009E5CAC" w:rsidRPr="00B462E4">
        <w:rPr>
          <w:szCs w:val="24"/>
        </w:rPr>
        <w:t xml:space="preserve">el trabajador </w:t>
      </w:r>
      <w:r w:rsidR="000D4B23" w:rsidRPr="00B462E4">
        <w:rPr>
          <w:szCs w:val="24"/>
        </w:rPr>
        <w:t>gozaba de estabilidad laboral reforzada debido a su estado de salud</w:t>
      </w:r>
      <w:r w:rsidR="00A81DB9" w:rsidRPr="00B462E4">
        <w:rPr>
          <w:szCs w:val="24"/>
        </w:rPr>
        <w:t>, y</w:t>
      </w:r>
      <w:r w:rsidR="1BDE9A35" w:rsidRPr="00B462E4">
        <w:rPr>
          <w:szCs w:val="24"/>
        </w:rPr>
        <w:t>,</w:t>
      </w:r>
      <w:r w:rsidR="00A81DB9" w:rsidRPr="00B462E4">
        <w:rPr>
          <w:szCs w:val="24"/>
        </w:rPr>
        <w:t xml:space="preserve"> en caso afirmativo</w:t>
      </w:r>
      <w:r w:rsidR="584FC80A" w:rsidRPr="00B462E4">
        <w:rPr>
          <w:szCs w:val="24"/>
        </w:rPr>
        <w:t>,</w:t>
      </w:r>
      <w:r w:rsidR="00A81DB9" w:rsidRPr="00B462E4">
        <w:rPr>
          <w:szCs w:val="24"/>
        </w:rPr>
        <w:t xml:space="preserve"> si hay </w:t>
      </w:r>
      <w:r w:rsidR="00BA2601" w:rsidRPr="00B462E4">
        <w:rPr>
          <w:szCs w:val="24"/>
        </w:rPr>
        <w:t>lugar al pago de la indemnización por despido sin justa causa</w:t>
      </w:r>
      <w:r w:rsidR="000D13F7" w:rsidRPr="00B462E4">
        <w:rPr>
          <w:szCs w:val="24"/>
        </w:rPr>
        <w:t xml:space="preserve">, a </w:t>
      </w:r>
      <w:r w:rsidR="00BA2601" w:rsidRPr="00B462E4">
        <w:rPr>
          <w:szCs w:val="24"/>
        </w:rPr>
        <w:t>la indemnización contenida en el artículo 26 de la ley 361 de 1997 equivalente a 180 días de salario</w:t>
      </w:r>
      <w:r w:rsidR="001B46DF" w:rsidRPr="00B462E4">
        <w:rPr>
          <w:szCs w:val="24"/>
        </w:rPr>
        <w:t>, y</w:t>
      </w:r>
      <w:r w:rsidR="48E68C32" w:rsidRPr="00B462E4">
        <w:rPr>
          <w:szCs w:val="24"/>
        </w:rPr>
        <w:t>,</w:t>
      </w:r>
      <w:r w:rsidR="001B46DF" w:rsidRPr="00B462E4">
        <w:rPr>
          <w:szCs w:val="24"/>
        </w:rPr>
        <w:t xml:space="preserve"> del ser el caso, si el Municipio de Pereira debe responder solidariamente por las condenas.</w:t>
      </w:r>
    </w:p>
    <w:p w14:paraId="038574C6" w14:textId="77777777" w:rsidR="009B76A2" w:rsidRPr="00B462E4" w:rsidRDefault="009B76A2" w:rsidP="00B462E4">
      <w:pPr>
        <w:spacing w:line="276" w:lineRule="auto"/>
        <w:ind w:firstLine="720"/>
        <w:rPr>
          <w:szCs w:val="24"/>
        </w:rPr>
      </w:pPr>
    </w:p>
    <w:p w14:paraId="61675F80" w14:textId="4E30ED9B" w:rsidR="00ED578B" w:rsidRPr="00B462E4" w:rsidRDefault="00ED578B" w:rsidP="00B462E4">
      <w:pPr>
        <w:pStyle w:val="Prrafodelista"/>
        <w:widowControl w:val="0"/>
        <w:numPr>
          <w:ilvl w:val="0"/>
          <w:numId w:val="2"/>
        </w:numPr>
        <w:tabs>
          <w:tab w:val="left" w:pos="284"/>
        </w:tabs>
        <w:autoSpaceDE w:val="0"/>
        <w:autoSpaceDN w:val="0"/>
        <w:adjustRightInd w:val="0"/>
        <w:spacing w:line="276" w:lineRule="auto"/>
        <w:ind w:left="0" w:firstLine="0"/>
        <w:jc w:val="center"/>
        <w:rPr>
          <w:b/>
          <w:szCs w:val="24"/>
        </w:rPr>
      </w:pPr>
      <w:r w:rsidRPr="00B462E4">
        <w:rPr>
          <w:b/>
          <w:szCs w:val="24"/>
        </w:rPr>
        <w:t>CONSIDERACIONES</w:t>
      </w:r>
    </w:p>
    <w:p w14:paraId="46182C19" w14:textId="2A79CECC" w:rsidR="00A80E6B" w:rsidRPr="00B462E4" w:rsidRDefault="00A80E6B" w:rsidP="00B462E4">
      <w:pPr>
        <w:widowControl w:val="0"/>
        <w:tabs>
          <w:tab w:val="left" w:pos="284"/>
        </w:tabs>
        <w:autoSpaceDE w:val="0"/>
        <w:autoSpaceDN w:val="0"/>
        <w:adjustRightInd w:val="0"/>
        <w:spacing w:line="276" w:lineRule="auto"/>
        <w:jc w:val="center"/>
        <w:rPr>
          <w:b/>
          <w:szCs w:val="24"/>
        </w:rPr>
      </w:pPr>
    </w:p>
    <w:p w14:paraId="38115569" w14:textId="265BAFF1" w:rsidR="002656EC" w:rsidRPr="00B462E4" w:rsidRDefault="002656EC" w:rsidP="00B462E4">
      <w:pPr>
        <w:pStyle w:val="Prrafodelista"/>
        <w:widowControl w:val="0"/>
        <w:numPr>
          <w:ilvl w:val="1"/>
          <w:numId w:val="8"/>
        </w:numPr>
        <w:tabs>
          <w:tab w:val="left" w:pos="284"/>
        </w:tabs>
        <w:autoSpaceDE w:val="0"/>
        <w:autoSpaceDN w:val="0"/>
        <w:adjustRightInd w:val="0"/>
        <w:spacing w:line="276" w:lineRule="auto"/>
        <w:rPr>
          <w:b/>
          <w:bCs/>
          <w:szCs w:val="24"/>
        </w:rPr>
      </w:pPr>
      <w:bookmarkStart w:id="1" w:name="_Hlk136334180"/>
      <w:r w:rsidRPr="00B462E4">
        <w:rPr>
          <w:b/>
          <w:bCs/>
          <w:szCs w:val="24"/>
        </w:rPr>
        <w:t>Derecho a la estabilidad laboral reforzada de personas en estado de debilidad manifiesta por razones de salud.</w:t>
      </w:r>
    </w:p>
    <w:p w14:paraId="0C067364" w14:textId="77777777" w:rsidR="002656EC" w:rsidRPr="00B462E4" w:rsidRDefault="002656EC" w:rsidP="00B462E4">
      <w:pPr>
        <w:widowControl w:val="0"/>
        <w:tabs>
          <w:tab w:val="left" w:pos="284"/>
        </w:tabs>
        <w:autoSpaceDE w:val="0"/>
        <w:autoSpaceDN w:val="0"/>
        <w:adjustRightInd w:val="0"/>
        <w:spacing w:line="276" w:lineRule="auto"/>
        <w:jc w:val="left"/>
        <w:rPr>
          <w:b/>
          <w:szCs w:val="24"/>
        </w:rPr>
      </w:pPr>
    </w:p>
    <w:p w14:paraId="6E85796D" w14:textId="77777777" w:rsidR="002656EC" w:rsidRPr="00B462E4" w:rsidRDefault="002656EC" w:rsidP="00B462E4">
      <w:pPr>
        <w:spacing w:line="276" w:lineRule="auto"/>
        <w:ind w:firstLine="705"/>
        <w:textAlignment w:val="baseline"/>
        <w:rPr>
          <w:rFonts w:eastAsia="Times New Roman"/>
          <w:color w:val="000000"/>
          <w:szCs w:val="24"/>
          <w:lang w:eastAsia="es-ES_tradnl"/>
        </w:rPr>
      </w:pPr>
      <w:r w:rsidRPr="00B462E4">
        <w:rPr>
          <w:rFonts w:eastAsia="Times New Roman"/>
          <w:color w:val="000000"/>
          <w:szCs w:val="24"/>
          <w:lang w:eastAsia="es-ES_tradnl"/>
        </w:rPr>
        <w:t>Dispone el art. 26 de la Ley 361 de 1997 que</w:t>
      </w:r>
      <w:r w:rsidRPr="00B462E4">
        <w:rPr>
          <w:rFonts w:eastAsia="Times New Roman"/>
          <w:i/>
          <w:iCs/>
          <w:color w:val="000000"/>
          <w:szCs w:val="24"/>
          <w:lang w:eastAsia="es-ES_tradnl"/>
        </w:rPr>
        <w:t xml:space="preserve"> “</w:t>
      </w:r>
      <w:r w:rsidRPr="00B462E4">
        <w:rPr>
          <w:rFonts w:eastAsia="Times New Roman"/>
          <w:i/>
          <w:iCs/>
          <w:color w:val="000000"/>
          <w:sz w:val="22"/>
          <w:szCs w:val="24"/>
          <w:lang w:eastAsia="es-ES_tradnl"/>
        </w:rPr>
        <w:t>(…)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r w:rsidRPr="00B462E4">
        <w:rPr>
          <w:rFonts w:eastAsia="Times New Roman"/>
          <w:i/>
          <w:iCs/>
          <w:color w:val="000000"/>
          <w:szCs w:val="24"/>
          <w:lang w:eastAsia="es-ES_tradnl"/>
        </w:rPr>
        <w:t>” y agrega que “</w:t>
      </w:r>
      <w:r w:rsidRPr="00B462E4">
        <w:rPr>
          <w:rFonts w:eastAsia="Times New Roman"/>
          <w:i/>
          <w:iCs/>
          <w:color w:val="000000"/>
          <w:sz w:val="22"/>
          <w:szCs w:val="24"/>
          <w:lang w:eastAsia="es-ES_tradnl"/>
        </w:rPr>
        <w:t>no obstante, quienes fueren despedidos o su contrato terminado por razón de su discapacidad, sin el cumplimiento del requisito previsto en el inciso anterior, tendrán derecho a una indemnización equivalente a ciento ochenta (180) días del salario, sin perjuicio de las demás prestaciones e indemnizaciones a que hubiere lugar de acuerdo con el Código Sustantivo del Trabajo y demás normas que lo modifiquen, adicionen, complementen o aclaren</w:t>
      </w:r>
      <w:r w:rsidRPr="00B462E4">
        <w:rPr>
          <w:rFonts w:eastAsia="Times New Roman"/>
          <w:i/>
          <w:iCs/>
          <w:color w:val="000000"/>
          <w:szCs w:val="24"/>
          <w:lang w:eastAsia="es-ES_tradnl"/>
        </w:rPr>
        <w:t>”. </w:t>
      </w:r>
      <w:r w:rsidRPr="00B462E4">
        <w:rPr>
          <w:rFonts w:eastAsia="Times New Roman"/>
          <w:color w:val="000000"/>
          <w:szCs w:val="24"/>
          <w:lang w:eastAsia="es-ES_tradnl"/>
        </w:rPr>
        <w:t xml:space="preserve"> Cabe agregar, que dicha disposición fue declarada condicionalmente exequible por medio de la sentencia C-531 de 2000 bajo en el entendido que </w:t>
      </w:r>
      <w:r w:rsidRPr="00B462E4">
        <w:rPr>
          <w:i/>
          <w:szCs w:val="24"/>
        </w:rPr>
        <w:t>“</w:t>
      </w:r>
      <w:r w:rsidRPr="00B462E4">
        <w:rPr>
          <w:i/>
          <w:sz w:val="22"/>
          <w:szCs w:val="24"/>
        </w:rPr>
        <w:t>carece de todo efecto jurídico el despido o la terminación del contrato de una persona por razón de su limitación sin que exista autorización previa de la oficina de Trabajo que constate la configuración de la existencia de una justa causa para el despido o terminación del respectivo contrato</w:t>
      </w:r>
      <w:r w:rsidRPr="00B462E4">
        <w:rPr>
          <w:i/>
          <w:szCs w:val="24"/>
        </w:rPr>
        <w:t>”.</w:t>
      </w:r>
    </w:p>
    <w:p w14:paraId="119029FC" w14:textId="77777777" w:rsidR="002656EC" w:rsidRPr="00B462E4" w:rsidRDefault="002656EC" w:rsidP="00B462E4">
      <w:pPr>
        <w:spacing w:line="276" w:lineRule="auto"/>
        <w:ind w:firstLine="705"/>
        <w:textAlignment w:val="baseline"/>
        <w:rPr>
          <w:rFonts w:eastAsia="Times New Roman"/>
          <w:color w:val="000000"/>
          <w:szCs w:val="24"/>
          <w:lang w:eastAsia="es-ES_tradnl"/>
        </w:rPr>
      </w:pPr>
    </w:p>
    <w:p w14:paraId="62A764DD" w14:textId="58493593" w:rsidR="002656EC" w:rsidRPr="00B462E4" w:rsidRDefault="002656EC" w:rsidP="00B462E4">
      <w:pPr>
        <w:spacing w:line="276" w:lineRule="auto"/>
        <w:textAlignment w:val="baseline"/>
        <w:rPr>
          <w:rFonts w:eastAsia="Times New Roman"/>
          <w:color w:val="000000"/>
          <w:szCs w:val="24"/>
          <w:lang w:eastAsia="es-ES"/>
        </w:rPr>
      </w:pPr>
      <w:r w:rsidRPr="00B462E4">
        <w:rPr>
          <w:rFonts w:eastAsia="Times New Roman"/>
          <w:color w:val="000000"/>
          <w:szCs w:val="24"/>
          <w:lang w:eastAsia="es-ES_tradnl"/>
        </w:rPr>
        <w:tab/>
      </w:r>
      <w:r w:rsidR="009005DA">
        <w:rPr>
          <w:rFonts w:eastAsia="Times New Roman"/>
          <w:color w:val="000000"/>
          <w:szCs w:val="24"/>
          <w:lang w:eastAsia="es-ES_tradnl"/>
        </w:rPr>
        <w:t>A</w:t>
      </w:r>
      <w:r w:rsidRPr="00B462E4">
        <w:rPr>
          <w:rFonts w:eastAsia="Times New Roman"/>
          <w:color w:val="000000"/>
          <w:szCs w:val="24"/>
          <w:lang w:eastAsia="es-ES"/>
        </w:rPr>
        <w:t xml:space="preserve"> propósito de esta norma, conviene precisar que la Sala Laboral de la Corte Suprema de Justicia, en la sentencia Rad. 10538 de 2016, determinó que no cualquier discapacidad está cobijada por la estabilidad laboral reforzada, por cuanto solo son sujetos de dicha garantía (o fuero) las personas que acrediten al menos una </w:t>
      </w:r>
      <w:r w:rsidRPr="00B462E4">
        <w:rPr>
          <w:rFonts w:eastAsia="Times New Roman"/>
          <w:i/>
          <w:iCs/>
          <w:color w:val="000000"/>
          <w:szCs w:val="24"/>
          <w:lang w:eastAsia="es-ES"/>
        </w:rPr>
        <w:t xml:space="preserve">“limitación </w:t>
      </w:r>
      <w:r w:rsidRPr="00B462E4">
        <w:rPr>
          <w:rFonts w:eastAsia="Times New Roman"/>
          <w:i/>
          <w:iCs/>
          <w:color w:val="000000"/>
          <w:szCs w:val="24"/>
          <w:lang w:eastAsia="es-ES"/>
        </w:rPr>
        <w:lastRenderedPageBreak/>
        <w:t>moderada”</w:t>
      </w:r>
      <w:r w:rsidRPr="00B462E4">
        <w:rPr>
          <w:rFonts w:eastAsia="Times New Roman"/>
          <w:color w:val="000000"/>
          <w:szCs w:val="24"/>
          <w:lang w:eastAsia="es-ES"/>
        </w:rPr>
        <w:t>, en los términos al Decreto 2463 de 2001 y expuso que el carné de que trata el artículo 5 de la Ley 361 de 1997, como el dictamen pericial de las Juntas de Calificación de Invalidez, son solo algunos de los medios de prueba, no solemnes, para acreditar dicha limitación, empero, habrá casos, según la patología, en los que el juez podrá verificar tal supuesto de hecho con otras pruebas que obren válidamente en el plenario.  </w:t>
      </w:r>
    </w:p>
    <w:p w14:paraId="4AD55497" w14:textId="77777777" w:rsidR="002656EC" w:rsidRPr="00B462E4" w:rsidRDefault="002656EC" w:rsidP="00B462E4">
      <w:pPr>
        <w:spacing w:line="276" w:lineRule="auto"/>
        <w:ind w:firstLine="705"/>
        <w:textAlignment w:val="baseline"/>
        <w:rPr>
          <w:rFonts w:eastAsia="Times New Roman"/>
          <w:color w:val="000000"/>
          <w:szCs w:val="24"/>
          <w:lang w:eastAsia="es-ES_tradnl"/>
        </w:rPr>
      </w:pPr>
    </w:p>
    <w:p w14:paraId="751B0AAE" w14:textId="77777777" w:rsidR="002656EC" w:rsidRPr="00B462E4" w:rsidRDefault="002656EC" w:rsidP="00B462E4">
      <w:pPr>
        <w:spacing w:line="276" w:lineRule="auto"/>
        <w:ind w:firstLine="705"/>
        <w:textAlignment w:val="baseline"/>
        <w:rPr>
          <w:rFonts w:eastAsia="Times New Roman"/>
          <w:color w:val="000000" w:themeColor="text1"/>
          <w:szCs w:val="24"/>
          <w:lang w:eastAsia="es-ES"/>
        </w:rPr>
      </w:pPr>
      <w:r w:rsidRPr="00B462E4">
        <w:rPr>
          <w:rFonts w:eastAsia="Times New Roman"/>
          <w:color w:val="000000" w:themeColor="text1"/>
          <w:szCs w:val="24"/>
          <w:lang w:eastAsia="es-ES"/>
        </w:rPr>
        <w:t xml:space="preserve">Además, a partir de la sentencia SL 2586-2020, del 15 de julio de 2020, la Corte precisó que el dictamen pericial no es prueba solemne de la discapacidad, la cual puede ser acreditada bajo cualquier otro medio probatorio, rigiendo para el efecto el principio de libertad probatoria y de formación del convencimiento y aclaró que, en todo caso, el requisito o exigencia de la acreditación de una discapacidad al menos moderada, solo es exigible frente a litigios fundamentados en hechos anteriores a la entrada en vigor de la Convención sobre los derechos de las personas con discapacidad, aprobada por la Ley 1346 de 2009 y vigente en Colombia a partir del 10 de junio de 2011, de acuerdo con el artículo 45 de ese instrumento, pues, en lo sucesivo, la protección se debe extender a todos los trabajadores discapacitados o en situación de discapacidad, es decir, aquellas personas que tengan deficiencias físicas, mentales, intelectuales o sensoriales a mediano y largo plazo que, al interactuar con diversas barreras incluyendo las actitudinales, puedan impedir su participación plena y efectiva en la sociedad, en igualdad de condiciones con las demás, entendiendo por </w:t>
      </w:r>
      <w:r w:rsidRPr="00B462E4">
        <w:rPr>
          <w:rFonts w:eastAsia="Times New Roman"/>
          <w:i/>
          <w:iCs/>
          <w:color w:val="000000" w:themeColor="text1"/>
          <w:szCs w:val="24"/>
          <w:lang w:eastAsia="es-ES"/>
        </w:rPr>
        <w:t>“barreras”</w:t>
      </w:r>
      <w:r w:rsidRPr="00B462E4">
        <w:rPr>
          <w:rFonts w:eastAsia="Times New Roman"/>
          <w:color w:val="000000" w:themeColor="text1"/>
          <w:szCs w:val="24"/>
          <w:lang w:eastAsia="es-ES"/>
        </w:rPr>
        <w:t xml:space="preserve"> cualquier tipo de obstáculo que impida el ejercicio efectivo de los derechos de las personas con algún tipo de discapacidad, las cuales pueden ser actitudinales, comunicativas y físicas, en los términos del artículo 2° de la Ley 1618 de 2013. </w:t>
      </w:r>
    </w:p>
    <w:p w14:paraId="2975AFA5" w14:textId="77777777" w:rsidR="002656EC" w:rsidRPr="00B462E4" w:rsidRDefault="002656EC" w:rsidP="00B462E4">
      <w:pPr>
        <w:spacing w:line="276" w:lineRule="auto"/>
        <w:ind w:firstLine="705"/>
        <w:textAlignment w:val="baseline"/>
        <w:rPr>
          <w:rFonts w:eastAsia="Times New Roman"/>
          <w:color w:val="000000" w:themeColor="text1"/>
          <w:szCs w:val="24"/>
          <w:lang w:eastAsia="es-ES_tradnl"/>
        </w:rPr>
      </w:pPr>
    </w:p>
    <w:p w14:paraId="22E01F4A" w14:textId="5C92C502" w:rsidR="002656EC" w:rsidRPr="00B462E4" w:rsidRDefault="002656EC" w:rsidP="00B462E4">
      <w:pPr>
        <w:spacing w:line="276" w:lineRule="auto"/>
        <w:ind w:firstLine="705"/>
        <w:textAlignment w:val="baseline"/>
        <w:rPr>
          <w:rFonts w:eastAsia="Times New Roman"/>
          <w:color w:val="000000" w:themeColor="text1"/>
          <w:szCs w:val="24"/>
          <w:lang w:eastAsia="es-ES"/>
        </w:rPr>
      </w:pPr>
      <w:r w:rsidRPr="00B462E4">
        <w:rPr>
          <w:rFonts w:eastAsia="Times New Roman"/>
          <w:color w:val="000000" w:themeColor="text1"/>
          <w:szCs w:val="24"/>
          <w:lang w:eastAsia="es-ES"/>
        </w:rPr>
        <w:t xml:space="preserve">La anterior tesis fue modificada por las mayorías de la Sala de Casación Laboral de la Corte Suprema de Justicia mediante </w:t>
      </w:r>
      <w:r w:rsidRPr="00B462E4">
        <w:rPr>
          <w:rFonts w:eastAsia="Arial"/>
          <w:szCs w:val="24"/>
          <w:lang w:eastAsia="es-ES"/>
        </w:rPr>
        <w:t>sentencia SL711-2021 del 24 de febrero de 2021</w:t>
      </w:r>
      <w:r w:rsidRPr="00B462E4">
        <w:rPr>
          <w:rFonts w:eastAsia="Arial"/>
          <w:szCs w:val="24"/>
          <w:vertAlign w:val="superscript"/>
          <w:lang w:eastAsia="es-ES"/>
        </w:rPr>
        <w:footnoteReference w:id="6"/>
      </w:r>
      <w:r w:rsidRPr="00B462E4">
        <w:rPr>
          <w:rFonts w:eastAsia="Arial"/>
          <w:szCs w:val="24"/>
          <w:lang w:eastAsia="es-ES"/>
        </w:rPr>
        <w:t>, en virtud de lo cual, la Sala Mayoritaria de esta Sala de decisión con base en los salvamentos de voto de dos de los Magistrados</w:t>
      </w:r>
      <w:r w:rsidRPr="00B462E4">
        <w:rPr>
          <w:rFonts w:eastAsia="Arial"/>
          <w:szCs w:val="24"/>
          <w:vertAlign w:val="superscript"/>
          <w:lang w:eastAsia="es-ES"/>
        </w:rPr>
        <w:footnoteReference w:id="7"/>
      </w:r>
      <w:r w:rsidRPr="00B462E4">
        <w:rPr>
          <w:rFonts w:eastAsia="Arial"/>
          <w:szCs w:val="24"/>
          <w:lang w:eastAsia="es-ES"/>
        </w:rPr>
        <w:t>, continu</w:t>
      </w:r>
      <w:r w:rsidR="2B7AF8D3" w:rsidRPr="00B462E4">
        <w:rPr>
          <w:rFonts w:eastAsia="Arial"/>
          <w:szCs w:val="24"/>
          <w:lang w:eastAsia="es-ES"/>
        </w:rPr>
        <w:t>ó</w:t>
      </w:r>
      <w:r w:rsidRPr="00B462E4">
        <w:rPr>
          <w:rFonts w:eastAsia="Arial"/>
          <w:szCs w:val="24"/>
          <w:lang w:eastAsia="es-ES"/>
        </w:rPr>
        <w:t xml:space="preserve"> aplicando la tesis vertida en la sentencia SL </w:t>
      </w:r>
      <w:r w:rsidRPr="00B462E4">
        <w:rPr>
          <w:rFonts w:eastAsia="Times New Roman"/>
          <w:color w:val="000000" w:themeColor="text1"/>
          <w:szCs w:val="24"/>
          <w:lang w:eastAsia="es-ES"/>
        </w:rPr>
        <w:t>2586-2020 del 15 de julio de 2020, debido a que la interpretación mayoritaria del máximo órgano de cierre basada en los grados de pérdida de la capacidad laboral, contenidos en el derogado artículo 7 del Decreto 2463 de 2001</w:t>
      </w:r>
      <w:r w:rsidRPr="00B462E4">
        <w:rPr>
          <w:rStyle w:val="Refdenotaalpie"/>
          <w:color w:val="000000" w:themeColor="text1"/>
          <w:szCs w:val="24"/>
          <w:lang w:eastAsia="es-ES"/>
        </w:rPr>
        <w:footnoteReference w:id="8"/>
      </w:r>
      <w:r w:rsidRPr="00B462E4">
        <w:rPr>
          <w:rFonts w:eastAsia="Times New Roman"/>
          <w:color w:val="000000" w:themeColor="text1"/>
          <w:szCs w:val="24"/>
          <w:lang w:eastAsia="es-ES"/>
        </w:rPr>
        <w:t xml:space="preserve">, desconocían el modelo social de discapacidad establecido en la Convención sobre los Derechos de las Personas con Discapacidad y en la Ley Estatutaria 1618 de 2013, que, como lo señalaron las voces disidentes, son normas superiores a las normas internas de carácter legal. </w:t>
      </w:r>
    </w:p>
    <w:p w14:paraId="0B1D2544" w14:textId="77777777" w:rsidR="002656EC" w:rsidRPr="00B462E4" w:rsidRDefault="002656EC" w:rsidP="00B462E4">
      <w:pPr>
        <w:spacing w:line="276" w:lineRule="auto"/>
        <w:ind w:firstLine="705"/>
        <w:textAlignment w:val="baseline"/>
        <w:rPr>
          <w:rFonts w:eastAsia="Times New Roman"/>
          <w:color w:val="000000" w:themeColor="text1"/>
          <w:szCs w:val="24"/>
          <w:lang w:eastAsia="es-ES_tradnl"/>
        </w:rPr>
      </w:pPr>
    </w:p>
    <w:p w14:paraId="782B4AD6" w14:textId="3DA32142" w:rsidR="002656EC" w:rsidRPr="00B462E4" w:rsidRDefault="002656EC" w:rsidP="00B462E4">
      <w:pPr>
        <w:spacing w:line="276" w:lineRule="auto"/>
        <w:ind w:firstLine="705"/>
        <w:textAlignment w:val="baseline"/>
        <w:rPr>
          <w:rFonts w:eastAsia="Times New Roman"/>
          <w:i/>
          <w:iCs/>
          <w:color w:val="000000" w:themeColor="text1"/>
          <w:szCs w:val="24"/>
          <w:lang w:eastAsia="es-ES"/>
        </w:rPr>
      </w:pPr>
      <w:r w:rsidRPr="00B462E4">
        <w:rPr>
          <w:rFonts w:eastAsia="Times New Roman"/>
          <w:color w:val="000000" w:themeColor="text1"/>
          <w:szCs w:val="24"/>
          <w:lang w:eastAsia="es-ES"/>
        </w:rPr>
        <w:t>En la actualidad, la Corte Suprema de Justicia por medio de las sentencias CSJ SL 1508-2023</w:t>
      </w:r>
      <w:r w:rsidR="7E10CCCD" w:rsidRPr="00B462E4">
        <w:rPr>
          <w:rFonts w:eastAsia="Times New Roman"/>
          <w:color w:val="000000" w:themeColor="text1"/>
          <w:szCs w:val="24"/>
          <w:lang w:eastAsia="es-ES"/>
        </w:rPr>
        <w:t xml:space="preserve"> y CSJ SL1152-2023</w:t>
      </w:r>
      <w:r w:rsidRPr="00B462E4">
        <w:rPr>
          <w:rFonts w:eastAsia="Times New Roman"/>
          <w:color w:val="000000" w:themeColor="text1"/>
          <w:szCs w:val="24"/>
          <w:lang w:eastAsia="es-ES"/>
        </w:rPr>
        <w:t xml:space="preserve">, concluyó que </w:t>
      </w:r>
      <w:r w:rsidR="7166F920" w:rsidRPr="00B462E4">
        <w:rPr>
          <w:rFonts w:eastAsia="Times New Roman"/>
          <w:color w:val="000000" w:themeColor="text1"/>
          <w:szCs w:val="24"/>
          <w:lang w:eastAsia="es-ES"/>
        </w:rPr>
        <w:t xml:space="preserve">el </w:t>
      </w:r>
      <w:r w:rsidRPr="00B462E4">
        <w:rPr>
          <w:szCs w:val="24"/>
        </w:rPr>
        <w:t>artículo 7º del Decreto 2463 de 2001 es compatible para todos aquellos casos ocurridos antes de la entrada en vigor de la Convención sobre los Derechos de las Personas con Discapacidad, el 10 de junio de 2011 y, de la ley estatutaria 1618 de 2013.</w:t>
      </w:r>
    </w:p>
    <w:p w14:paraId="2FE2E93B" w14:textId="77777777" w:rsidR="002656EC" w:rsidRPr="00B462E4" w:rsidRDefault="002656EC" w:rsidP="00B462E4">
      <w:pPr>
        <w:spacing w:line="276" w:lineRule="auto"/>
        <w:ind w:firstLine="705"/>
        <w:textAlignment w:val="baseline"/>
        <w:rPr>
          <w:rFonts w:eastAsia="Times New Roman"/>
          <w:i/>
          <w:iCs/>
          <w:color w:val="000000" w:themeColor="text1"/>
          <w:szCs w:val="24"/>
          <w:lang w:eastAsia="es-ES_tradnl"/>
        </w:rPr>
      </w:pPr>
    </w:p>
    <w:p w14:paraId="2F1A4F15" w14:textId="77777777" w:rsidR="002656EC" w:rsidRPr="00B462E4" w:rsidRDefault="002656EC" w:rsidP="00B462E4">
      <w:pPr>
        <w:spacing w:line="276" w:lineRule="auto"/>
        <w:ind w:firstLine="705"/>
        <w:textAlignment w:val="baseline"/>
        <w:rPr>
          <w:rFonts w:eastAsia="Times New Roman"/>
          <w:color w:val="000000" w:themeColor="text1"/>
          <w:szCs w:val="24"/>
          <w:lang w:eastAsia="es-ES_tradnl"/>
        </w:rPr>
      </w:pPr>
      <w:r w:rsidRPr="00B462E4">
        <w:rPr>
          <w:rFonts w:eastAsia="Times New Roman"/>
          <w:color w:val="000000" w:themeColor="text1"/>
          <w:szCs w:val="24"/>
          <w:lang w:eastAsia="es-ES_tradnl"/>
        </w:rPr>
        <w:lastRenderedPageBreak/>
        <w:t>Del mismo modo, dispuso que para la aplicación de la estabilidad laboral reforzada establecida en el artículo 26 de la Ley 361 de 1997 a la luz de la Convención sobre los derechos de las personas en situación de discapacidad, era necesario que concurrieran los siguientes parámetros objetivos:</w:t>
      </w:r>
    </w:p>
    <w:p w14:paraId="1F589985" w14:textId="77777777" w:rsidR="002656EC" w:rsidRPr="00B462E4" w:rsidRDefault="002656EC" w:rsidP="00B462E4">
      <w:pPr>
        <w:spacing w:line="276" w:lineRule="auto"/>
        <w:ind w:firstLine="705"/>
        <w:textAlignment w:val="baseline"/>
        <w:rPr>
          <w:rFonts w:eastAsia="Times New Roman"/>
          <w:color w:val="000000" w:themeColor="text1"/>
          <w:szCs w:val="24"/>
          <w:lang w:eastAsia="es-ES_tradnl"/>
        </w:rPr>
      </w:pPr>
    </w:p>
    <w:p w14:paraId="25064255" w14:textId="717B65A6" w:rsidR="002656EC" w:rsidRPr="00B462E4" w:rsidRDefault="002656EC" w:rsidP="00B462E4">
      <w:pPr>
        <w:pStyle w:val="Prrafodelista"/>
        <w:numPr>
          <w:ilvl w:val="0"/>
          <w:numId w:val="6"/>
        </w:numPr>
        <w:spacing w:line="276" w:lineRule="auto"/>
        <w:textAlignment w:val="baseline"/>
        <w:rPr>
          <w:color w:val="000000"/>
          <w:szCs w:val="24"/>
        </w:rPr>
      </w:pPr>
      <w:r w:rsidRPr="00B462E4">
        <w:rPr>
          <w:color w:val="000000"/>
          <w:szCs w:val="24"/>
        </w:rPr>
        <w:t xml:space="preserve">La deficiencia física, mental, intelectual o sensorial, a </w:t>
      </w:r>
      <w:r w:rsidRPr="00B462E4">
        <w:rPr>
          <w:color w:val="000000"/>
          <w:szCs w:val="24"/>
          <w:u w:val="single"/>
        </w:rPr>
        <w:t>mediano y largo plazo</w:t>
      </w:r>
      <w:r w:rsidRPr="00B462E4">
        <w:rPr>
          <w:color w:val="000000"/>
          <w:szCs w:val="24"/>
        </w:rPr>
        <w:t xml:space="preserve"> (Inc. 1, art 2°, Ley 1618 de 2013)</w:t>
      </w:r>
      <w:r w:rsidR="7832346C" w:rsidRPr="00B462E4">
        <w:rPr>
          <w:color w:val="000000"/>
          <w:szCs w:val="24"/>
        </w:rPr>
        <w:t>, a</w:t>
      </w:r>
      <w:r w:rsidRPr="00B462E4">
        <w:rPr>
          <w:color w:val="000000"/>
          <w:szCs w:val="24"/>
        </w:rPr>
        <w:t xml:space="preserve">clarando que las </w:t>
      </w:r>
      <w:r w:rsidRPr="00B462E4">
        <w:rPr>
          <w:color w:val="000000"/>
          <w:szCs w:val="24"/>
          <w:shd w:val="clear" w:color="auto" w:fill="FFFFFF"/>
        </w:rPr>
        <w:t>contingencias o alteraciones momentáneas de salud o las patologías temporales, transitorias o de corta duración</w:t>
      </w:r>
      <w:r w:rsidRPr="00B462E4">
        <w:rPr>
          <w:color w:val="000000"/>
          <w:szCs w:val="24"/>
        </w:rPr>
        <w:t xml:space="preserve"> </w:t>
      </w:r>
      <w:r w:rsidRPr="00B462E4">
        <w:rPr>
          <w:i/>
          <w:iCs/>
          <w:color w:val="000000"/>
          <w:szCs w:val="24"/>
        </w:rPr>
        <w:t>per se</w:t>
      </w:r>
      <w:r w:rsidRPr="00B462E4">
        <w:rPr>
          <w:color w:val="000000"/>
          <w:szCs w:val="24"/>
        </w:rPr>
        <w:t xml:space="preserve"> no son una discapacidad.</w:t>
      </w:r>
    </w:p>
    <w:p w14:paraId="7C2B8780" w14:textId="77777777" w:rsidR="002656EC" w:rsidRPr="00B462E4" w:rsidRDefault="002656EC" w:rsidP="00B462E4">
      <w:pPr>
        <w:pStyle w:val="Prrafodelista"/>
        <w:spacing w:line="276" w:lineRule="auto"/>
        <w:ind w:left="1065"/>
        <w:textAlignment w:val="baseline"/>
        <w:rPr>
          <w:color w:val="000000"/>
          <w:szCs w:val="24"/>
        </w:rPr>
      </w:pPr>
    </w:p>
    <w:p w14:paraId="2CFA246D" w14:textId="32DA6650" w:rsidR="002656EC" w:rsidRPr="00B462E4" w:rsidRDefault="002656EC" w:rsidP="00B462E4">
      <w:pPr>
        <w:pStyle w:val="Prrafodelista"/>
        <w:numPr>
          <w:ilvl w:val="0"/>
          <w:numId w:val="6"/>
        </w:numPr>
        <w:spacing w:line="276" w:lineRule="auto"/>
        <w:textAlignment w:val="baseline"/>
        <w:rPr>
          <w:rFonts w:eastAsia="Times New Roman"/>
          <w:color w:val="000000" w:themeColor="text1"/>
          <w:szCs w:val="24"/>
          <w:lang w:eastAsia="es-ES"/>
        </w:rPr>
      </w:pPr>
      <w:r w:rsidRPr="00B462E4">
        <w:rPr>
          <w:color w:val="000000" w:themeColor="text1"/>
          <w:szCs w:val="24"/>
        </w:rPr>
        <w:t xml:space="preserve">La existencia de barreras actitudinales, comunicativas o físicas, que puedan impedir al trabajador que sufre la deficiencia </w:t>
      </w:r>
      <w:r w:rsidR="28409114" w:rsidRPr="00B462E4">
        <w:rPr>
          <w:color w:val="000000" w:themeColor="text1"/>
          <w:szCs w:val="24"/>
        </w:rPr>
        <w:t xml:space="preserve">en </w:t>
      </w:r>
      <w:r w:rsidRPr="00B462E4">
        <w:rPr>
          <w:color w:val="000000" w:themeColor="text1"/>
          <w:szCs w:val="24"/>
        </w:rPr>
        <w:t>el ejercicio efectivo de su labor, en igualdad de condiciones con los demás. (Inc. 5, art 2°, Ley 1618 de 2013), para lo cual es necesario el análisis del cargo, sus funciones, requerimientos, exigencias, el entorno laboral y actitudinal específico.</w:t>
      </w:r>
    </w:p>
    <w:p w14:paraId="135424DE" w14:textId="77777777" w:rsidR="002656EC" w:rsidRPr="00B462E4" w:rsidRDefault="002656EC" w:rsidP="00B462E4">
      <w:pPr>
        <w:pStyle w:val="Prrafodelista"/>
        <w:spacing w:line="276" w:lineRule="auto"/>
        <w:rPr>
          <w:rFonts w:eastAsia="Times New Roman"/>
          <w:color w:val="000000" w:themeColor="text1"/>
          <w:szCs w:val="24"/>
          <w:lang w:eastAsia="es-ES_tradnl"/>
        </w:rPr>
      </w:pPr>
    </w:p>
    <w:p w14:paraId="1E172620" w14:textId="77777777" w:rsidR="002656EC" w:rsidRPr="00B462E4" w:rsidRDefault="002656EC" w:rsidP="00B462E4">
      <w:pPr>
        <w:pStyle w:val="Prrafodelista"/>
        <w:numPr>
          <w:ilvl w:val="0"/>
          <w:numId w:val="6"/>
        </w:numPr>
        <w:spacing w:line="276" w:lineRule="auto"/>
        <w:textAlignment w:val="baseline"/>
        <w:rPr>
          <w:rFonts w:eastAsia="Times New Roman"/>
          <w:color w:val="000000" w:themeColor="text1"/>
          <w:szCs w:val="24"/>
          <w:lang w:eastAsia="es-ES_tradnl"/>
        </w:rPr>
      </w:pPr>
      <w:r w:rsidRPr="00B462E4">
        <w:rPr>
          <w:color w:val="000000"/>
          <w:szCs w:val="24"/>
          <w:shd w:val="clear" w:color="auto" w:fill="FFFFFF"/>
        </w:rPr>
        <w:t>El conocimiento de los elementos anteriores por parte del empleador al momento del despido, a menos que sean notorios para el caso.</w:t>
      </w:r>
    </w:p>
    <w:p w14:paraId="791E6C6B" w14:textId="77777777" w:rsidR="002656EC" w:rsidRPr="00B462E4" w:rsidRDefault="002656EC" w:rsidP="00B462E4">
      <w:pPr>
        <w:spacing w:line="276" w:lineRule="auto"/>
        <w:ind w:firstLine="705"/>
        <w:textAlignment w:val="baseline"/>
        <w:rPr>
          <w:rFonts w:eastAsia="Times New Roman"/>
          <w:color w:val="000000" w:themeColor="text1"/>
          <w:szCs w:val="24"/>
          <w:lang w:eastAsia="es-ES_tradnl"/>
        </w:rPr>
      </w:pPr>
    </w:p>
    <w:p w14:paraId="1F323A10" w14:textId="77777777" w:rsidR="002656EC" w:rsidRPr="00B462E4" w:rsidRDefault="002656EC" w:rsidP="00B462E4">
      <w:pPr>
        <w:spacing w:line="276" w:lineRule="auto"/>
        <w:ind w:firstLine="705"/>
        <w:textAlignment w:val="baseline"/>
        <w:rPr>
          <w:rFonts w:eastAsia="Times New Roman"/>
          <w:color w:val="000000"/>
          <w:szCs w:val="24"/>
          <w:lang w:eastAsia="es-ES_tradnl"/>
        </w:rPr>
      </w:pPr>
      <w:r w:rsidRPr="00B462E4">
        <w:rPr>
          <w:rFonts w:eastAsia="Times New Roman"/>
          <w:color w:val="000000" w:themeColor="text1"/>
          <w:szCs w:val="24"/>
          <w:lang w:eastAsia="es-ES_tradnl"/>
        </w:rPr>
        <w:t xml:space="preserve">Con todo, la Sala Laboral mantuvo la tesis de presunción adoptada en la sentencia </w:t>
      </w:r>
      <w:r w:rsidRPr="00B462E4">
        <w:rPr>
          <w:rFonts w:eastAsia="Times New Roman"/>
          <w:color w:val="000000"/>
          <w:szCs w:val="24"/>
          <w:lang w:eastAsia="es-ES_tradnl"/>
        </w:rPr>
        <w:t xml:space="preserve">CSJ SL1360-2018, por medio de la cual, abandonó el criterio adoptado en la sentencia CSJ SL36115, 16 mar. 2010, reiterada en SL35794, 10 ago. 2010, para, en su lugar, adoctrinar que el artículo 26 de la Ley 361 de 1997 consagra una presunción legal o de derecho, en la cual al trabajador le corresponde demostrar su situación de discapacidad, para que el despido se presuma discriminatorio, lo que impone al empleador la carga de demostrar la justa causa para dar por terminado el contrato de trabajo, y la necesidad de acudir al Ministerio del Trabajo solo </w:t>
      </w:r>
      <w:r w:rsidRPr="00B462E4">
        <w:rPr>
          <w:szCs w:val="24"/>
        </w:rPr>
        <w:t xml:space="preserve">cuando la discapacidad sea un obstáculo insuperable para laborar, es decir, cuando el contrato de trabajo pierda su razón de ser por imposibilidad de prestar el servicio, ya que en este caso el funcionario gubernamental debe validar que el empleador haya agotado diligentemente las etapas de rehabilitación integral, readaptación, reinserción y reubicación laboral de los trabajadores con discapacidad. </w:t>
      </w:r>
    </w:p>
    <w:p w14:paraId="64EA2E95" w14:textId="77777777" w:rsidR="002656EC" w:rsidRPr="00B462E4" w:rsidRDefault="002656EC" w:rsidP="00B462E4">
      <w:pPr>
        <w:spacing w:line="276" w:lineRule="auto"/>
        <w:textAlignment w:val="baseline"/>
        <w:rPr>
          <w:rFonts w:eastAsia="Times New Roman"/>
          <w:color w:val="000000" w:themeColor="text1"/>
          <w:szCs w:val="24"/>
          <w:lang w:eastAsia="es-ES_tradnl"/>
        </w:rPr>
      </w:pPr>
    </w:p>
    <w:p w14:paraId="61A9F635" w14:textId="04444E2C" w:rsidR="002B6F78" w:rsidRPr="00B462E4" w:rsidRDefault="002656EC" w:rsidP="00B462E4">
      <w:pPr>
        <w:spacing w:line="276" w:lineRule="auto"/>
        <w:ind w:firstLine="705"/>
        <w:textAlignment w:val="baseline"/>
        <w:rPr>
          <w:rFonts w:eastAsia="Times New Roman"/>
          <w:color w:val="000000" w:themeColor="text1"/>
          <w:szCs w:val="24"/>
          <w:lang w:eastAsia="es-ES"/>
        </w:rPr>
      </w:pPr>
      <w:r w:rsidRPr="00B462E4">
        <w:rPr>
          <w:rFonts w:eastAsia="Times New Roman"/>
          <w:color w:val="000000" w:themeColor="text1"/>
          <w:szCs w:val="24"/>
          <w:lang w:eastAsia="es-ES"/>
        </w:rPr>
        <w:t>En este orden de ideas, como regla de decisión dispuso que una vez acreditada la situación de discapacidad del trabajador y que la terminación del vínculo laboral no se fundó en una causa objetiva, el finiquit</w:t>
      </w:r>
      <w:r w:rsidR="30E05B51" w:rsidRPr="00B462E4">
        <w:rPr>
          <w:rFonts w:eastAsia="Times New Roman"/>
          <w:color w:val="000000" w:themeColor="text1"/>
          <w:szCs w:val="24"/>
          <w:lang w:eastAsia="es-ES"/>
        </w:rPr>
        <w:t>o</w:t>
      </w:r>
      <w:r w:rsidRPr="00B462E4">
        <w:rPr>
          <w:rFonts w:eastAsia="Times New Roman"/>
          <w:color w:val="000000" w:themeColor="text1"/>
          <w:szCs w:val="24"/>
          <w:lang w:eastAsia="es-ES"/>
        </w:rPr>
        <w:t xml:space="preserve"> se consideraba discriminatorio, y por ello, era preciso declarar su ineficacia, acompañada de la orden de reintegro y el pago de salarios y demás emolumentos respectivos, junto con los ajustes razonables que se requieran y la indemnización contemplada en el artículo 26 de la Ley 361 de 1997.</w:t>
      </w:r>
    </w:p>
    <w:p w14:paraId="3DAEC9C7" w14:textId="66B50C52" w:rsidR="4DD89054" w:rsidRPr="00B462E4" w:rsidRDefault="4DD89054" w:rsidP="00B462E4">
      <w:pPr>
        <w:spacing w:line="276" w:lineRule="auto"/>
        <w:rPr>
          <w:rFonts w:eastAsia="Times New Roman"/>
          <w:color w:val="000000" w:themeColor="text1"/>
          <w:szCs w:val="24"/>
          <w:lang w:eastAsia="es-ES"/>
        </w:rPr>
      </w:pPr>
    </w:p>
    <w:p w14:paraId="67D3DC6A" w14:textId="7EAEF77E" w:rsidR="002B6F78" w:rsidRPr="00B462E4" w:rsidRDefault="002B6F78" w:rsidP="00B462E4">
      <w:pPr>
        <w:pStyle w:val="Prrafodelista"/>
        <w:widowControl w:val="0"/>
        <w:numPr>
          <w:ilvl w:val="1"/>
          <w:numId w:val="8"/>
        </w:numPr>
        <w:tabs>
          <w:tab w:val="left" w:pos="284"/>
        </w:tabs>
        <w:autoSpaceDE w:val="0"/>
        <w:autoSpaceDN w:val="0"/>
        <w:adjustRightInd w:val="0"/>
        <w:spacing w:line="276" w:lineRule="auto"/>
        <w:rPr>
          <w:b/>
          <w:szCs w:val="24"/>
        </w:rPr>
      </w:pPr>
      <w:r w:rsidRPr="00B462E4">
        <w:rPr>
          <w:b/>
          <w:szCs w:val="24"/>
        </w:rPr>
        <w:t>Solidaridad entre contratista independiente y beneficiario de la obra o labor contratada – solidaridad de entidades públicas</w:t>
      </w:r>
    </w:p>
    <w:p w14:paraId="45BBCC63" w14:textId="156FC435" w:rsidR="002B6F78" w:rsidRPr="00B462E4" w:rsidRDefault="002B6F78" w:rsidP="00B462E4">
      <w:pPr>
        <w:pStyle w:val="NormalWeb"/>
        <w:spacing w:before="0" w:beforeAutospacing="0" w:after="0" w:afterAutospacing="0" w:line="276" w:lineRule="auto"/>
        <w:jc w:val="both"/>
        <w:rPr>
          <w:rFonts w:ascii="Tahoma" w:hAnsi="Tahoma" w:cs="Tahoma"/>
          <w:color w:val="000000"/>
          <w:lang w:val="es-ES"/>
        </w:rPr>
      </w:pPr>
    </w:p>
    <w:p w14:paraId="509CD1CC" w14:textId="57D22C6C" w:rsidR="002B6F78" w:rsidRPr="00B462E4" w:rsidRDefault="002B6F78" w:rsidP="00B462E4">
      <w:pPr>
        <w:pStyle w:val="NormalWeb"/>
        <w:spacing w:before="0" w:beforeAutospacing="0" w:after="0" w:afterAutospacing="0" w:line="276" w:lineRule="auto"/>
        <w:ind w:firstLine="720"/>
        <w:jc w:val="both"/>
        <w:rPr>
          <w:rFonts w:ascii="Tahoma" w:hAnsi="Tahoma" w:cs="Tahoma"/>
          <w:color w:val="000000"/>
        </w:rPr>
      </w:pPr>
      <w:r w:rsidRPr="00B462E4">
        <w:rPr>
          <w:rFonts w:ascii="Tahoma" w:hAnsi="Tahoma" w:cs="Tahoma"/>
          <w:color w:val="000000" w:themeColor="text1"/>
        </w:rPr>
        <w:t xml:space="preserve">A propósito del concepto de solidaridad en materia laboral, </w:t>
      </w:r>
      <w:r w:rsidR="7758A52F" w:rsidRPr="00B462E4">
        <w:rPr>
          <w:rFonts w:ascii="Tahoma" w:hAnsi="Tahoma" w:cs="Tahoma"/>
          <w:color w:val="000000" w:themeColor="text1"/>
        </w:rPr>
        <w:t>l</w:t>
      </w:r>
      <w:r w:rsidRPr="00B462E4">
        <w:rPr>
          <w:rFonts w:ascii="Tahoma" w:hAnsi="Tahoma" w:cs="Tahoma"/>
          <w:color w:val="000000" w:themeColor="text1"/>
        </w:rPr>
        <w:t xml:space="preserve">a Sala de Casación Laboral de la Corte Suprema de Justicia en sentencia No. 35864 del 1° de marzo de 2011, con ponencia del magistrado Gustavo José Gnecco Mendoza, recogiendo lo dicho </w:t>
      </w:r>
      <w:r w:rsidRPr="00B462E4">
        <w:rPr>
          <w:rFonts w:ascii="Tahoma" w:hAnsi="Tahoma" w:cs="Tahoma"/>
          <w:color w:val="000000" w:themeColor="text1"/>
        </w:rPr>
        <w:lastRenderedPageBreak/>
        <w:t>en la sentencia del 25 de mayo de 1968, citada entre otras en la del 26 de septiembre de 2000, radicación 14038, realizó las siguientes consideraciones que ofrecen claridad y precisión sobre la materia, señaló el alto tribunal: “</w:t>
      </w:r>
      <w:r w:rsidRPr="00B462E4">
        <w:rPr>
          <w:rFonts w:ascii="Tahoma" w:hAnsi="Tahoma" w:cs="Tahoma"/>
          <w:i/>
          <w:iCs/>
          <w:color w:val="000000" w:themeColor="text1"/>
          <w:sz w:val="22"/>
        </w:rPr>
        <w:t xml:space="preserve">(…)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 Por manera </w:t>
      </w:r>
      <w:r w:rsidR="47FBB934" w:rsidRPr="00B462E4">
        <w:rPr>
          <w:rFonts w:ascii="Tahoma" w:hAnsi="Tahoma" w:cs="Tahoma"/>
          <w:i/>
          <w:iCs/>
          <w:color w:val="000000" w:themeColor="text1"/>
          <w:sz w:val="22"/>
        </w:rPr>
        <w:t>que,</w:t>
      </w:r>
      <w:r w:rsidRPr="00B462E4">
        <w:rPr>
          <w:rFonts w:ascii="Tahoma" w:hAnsi="Tahoma" w:cs="Tahoma"/>
          <w:i/>
          <w:iCs/>
          <w:color w:val="000000" w:themeColor="text1"/>
          <w:sz w:val="22"/>
        </w:rPr>
        <w:t xml:space="preserve"> si una actividad directamente vinculada con el objeto económico principal de la empresa se contrata para que la preste un tercero, pero utilizando trabajadores, existirá una responsabilidad solidaria respecto de las obligaciones laborales de esos trabajadores</w:t>
      </w:r>
      <w:r w:rsidRPr="00B462E4">
        <w:rPr>
          <w:rFonts w:ascii="Tahoma" w:hAnsi="Tahoma" w:cs="Tahoma"/>
          <w:i/>
          <w:iCs/>
          <w:color w:val="000000" w:themeColor="text1"/>
        </w:rPr>
        <w:t>”</w:t>
      </w:r>
      <w:r w:rsidRPr="00B462E4">
        <w:rPr>
          <w:rFonts w:ascii="Tahoma" w:hAnsi="Tahoma" w:cs="Tahoma"/>
          <w:color w:val="000000" w:themeColor="text1"/>
        </w:rPr>
        <w:t xml:space="preserve">. Y agregó: </w:t>
      </w:r>
      <w:r w:rsidRPr="00B462E4">
        <w:rPr>
          <w:rFonts w:ascii="Tahoma" w:hAnsi="Tahoma" w:cs="Tahoma"/>
          <w:i/>
          <w:iCs/>
          <w:color w:val="000000" w:themeColor="text1"/>
        </w:rPr>
        <w:t>“</w:t>
      </w:r>
      <w:r w:rsidRPr="00B462E4">
        <w:rPr>
          <w:rFonts w:ascii="Tahoma" w:hAnsi="Tahoma" w:cs="Tahoma"/>
          <w:i/>
          <w:iCs/>
          <w:color w:val="000000" w:themeColor="text1"/>
          <w:sz w:val="22"/>
        </w:rPr>
        <w:t xml:space="preserve">(…) </w:t>
      </w:r>
      <w:r w:rsidRPr="00B462E4">
        <w:rPr>
          <w:rFonts w:ascii="Tahoma" w:hAnsi="Tahoma" w:cs="Tahoma"/>
          <w:i/>
          <w:iCs/>
          <w:color w:val="000000" w:themeColor="text1"/>
          <w:sz w:val="22"/>
          <w:u w:val="single"/>
        </w:rPr>
        <w:t>si el empresario ha podido adelantar la actividad directamente y utilizando sus propios trabajadores</w:t>
      </w:r>
      <w:r w:rsidRPr="00B462E4">
        <w:rPr>
          <w:rFonts w:ascii="Tahoma" w:hAnsi="Tahoma" w:cs="Tahoma"/>
          <w:i/>
          <w:iCs/>
          <w:color w:val="000000" w:themeColor="text1"/>
          <w:sz w:val="22"/>
        </w:rPr>
        <w:t>, pero decide hacerlo contratando un tercero para que éste adelante la actividad, empleando trabajadores dependientes por él contratados, el beneficiario o dueño de la obra debe hacerse responsable de los salarios, prestaciones e indemnizaciones a que tienen derecho estos trabajadores, por la vía de la solidaridad laboral, pues, en últimas, resulta beneficiándose del trabajo desarrollado por personas que prestaron sus servicios en una labor que no es extraña a lo que constituye lo primordial de sus actividades empresariales</w:t>
      </w:r>
      <w:r w:rsidRPr="00B462E4">
        <w:rPr>
          <w:rFonts w:ascii="Tahoma" w:hAnsi="Tahoma" w:cs="Tahoma"/>
          <w:i/>
          <w:iCs/>
          <w:color w:val="000000" w:themeColor="text1"/>
        </w:rPr>
        <w:t>”.</w:t>
      </w:r>
    </w:p>
    <w:p w14:paraId="2B29652A" w14:textId="77777777" w:rsidR="002B6F78" w:rsidRPr="00B462E4" w:rsidRDefault="002B6F78" w:rsidP="00B462E4">
      <w:pPr>
        <w:pStyle w:val="NormalWeb"/>
        <w:spacing w:before="0" w:beforeAutospacing="0" w:after="0" w:afterAutospacing="0" w:line="276" w:lineRule="auto"/>
        <w:jc w:val="both"/>
        <w:rPr>
          <w:rFonts w:ascii="Tahoma" w:hAnsi="Tahoma" w:cs="Tahoma"/>
          <w:color w:val="000000"/>
        </w:rPr>
      </w:pPr>
    </w:p>
    <w:p w14:paraId="6E1ABEDE" w14:textId="77777777" w:rsidR="002B6F78" w:rsidRPr="00B462E4" w:rsidRDefault="002B6F78" w:rsidP="00B462E4">
      <w:pPr>
        <w:pStyle w:val="NormalWeb"/>
        <w:spacing w:before="0" w:beforeAutospacing="0" w:after="0" w:afterAutospacing="0" w:line="276" w:lineRule="auto"/>
        <w:ind w:firstLine="720"/>
        <w:jc w:val="both"/>
        <w:rPr>
          <w:rFonts w:ascii="Tahoma" w:hAnsi="Tahoma" w:cs="Tahoma"/>
          <w:color w:val="000000"/>
        </w:rPr>
      </w:pPr>
      <w:r w:rsidRPr="00B462E4">
        <w:rPr>
          <w:rFonts w:ascii="Tahoma" w:hAnsi="Tahoma" w:cs="Tahoma"/>
          <w:color w:val="000000"/>
        </w:rPr>
        <w:t xml:space="preserve">Por demás, para que la solidaridad opere, además de que la actividad desarrollada por el contratista independiente cubra una necesidad propia del beneficiario de la obra o el trabajo, se requiere que ella constituya una función normalmente desarrollada por él, directamente vinculada con la ordinaria explotación de su objeto económico. Igualmente, vale añadir que la Sala Laboral ha admitido la posibilidad de que opere la solidaridad tomando en cuenta para ello la actividad específica desarrollada por el trabajador y no sólo el objeto social del contratista y el beneficiario de la obra. Así lo dispuso en la sentencia del 24 de agosto de 2011, radicación 40.135, en la que se indicó: </w:t>
      </w:r>
      <w:r w:rsidRPr="00B462E4">
        <w:rPr>
          <w:rFonts w:ascii="Tahoma" w:hAnsi="Tahoma" w:cs="Tahoma"/>
          <w:i/>
          <w:color w:val="000000"/>
        </w:rPr>
        <w:t>“</w:t>
      </w:r>
      <w:r w:rsidRPr="00B462E4">
        <w:rPr>
          <w:rFonts w:ascii="Tahoma" w:hAnsi="Tahoma" w:cs="Tahoma"/>
          <w:i/>
          <w:color w:val="111111"/>
          <w:sz w:val="22"/>
          <w:shd w:val="clear" w:color="auto" w:fill="FFFFFF"/>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 Y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solidaridad establecida en el artículo citado</w:t>
      </w:r>
      <w:r w:rsidRPr="00B462E4">
        <w:rPr>
          <w:rFonts w:ascii="Tahoma" w:hAnsi="Tahoma" w:cs="Tahoma"/>
          <w:i/>
          <w:color w:val="111111"/>
          <w:shd w:val="clear" w:color="auto" w:fill="FFFFFF"/>
        </w:rPr>
        <w:t>”.</w:t>
      </w:r>
    </w:p>
    <w:p w14:paraId="131936D9" w14:textId="77777777" w:rsidR="002B6F78" w:rsidRPr="00B462E4" w:rsidRDefault="002B6F78" w:rsidP="00B462E4">
      <w:pPr>
        <w:pStyle w:val="paragraph"/>
        <w:spacing w:before="0" w:beforeAutospacing="0" w:after="0" w:afterAutospacing="0" w:line="276" w:lineRule="auto"/>
        <w:textAlignment w:val="baseline"/>
        <w:rPr>
          <w:rFonts w:ascii="Tahoma" w:hAnsi="Tahoma" w:cs="Tahoma"/>
          <w:b/>
        </w:rPr>
      </w:pPr>
    </w:p>
    <w:p w14:paraId="4959E166" w14:textId="1C3ACECD" w:rsidR="002B6F78" w:rsidRPr="00B462E4" w:rsidRDefault="002B6F78" w:rsidP="00B462E4">
      <w:pPr>
        <w:pStyle w:val="paragraph"/>
        <w:spacing w:before="0" w:beforeAutospacing="0" w:after="0" w:afterAutospacing="0" w:line="276" w:lineRule="auto"/>
        <w:ind w:firstLine="720"/>
        <w:jc w:val="both"/>
        <w:textAlignment w:val="baseline"/>
        <w:rPr>
          <w:rFonts w:ascii="Tahoma" w:hAnsi="Tahoma" w:cs="Tahoma"/>
          <w:i/>
        </w:rPr>
      </w:pPr>
      <w:r w:rsidRPr="00B462E4">
        <w:rPr>
          <w:rFonts w:ascii="Tahoma" w:hAnsi="Tahoma" w:cs="Tahoma"/>
        </w:rPr>
        <w:t>Por último, es del caso precisar que la solidaridad prevista en el artículo 34 del C.S.T. también aplica en aquellos eventos en que el beneficiario o dueño de la obra sea una entidad pública de cualquier orden, tal como lo enseñó de antaño la Sala Laboral de la Corte Suprema de Justicia en sentencia 14038 de 2000, donde señaló:</w:t>
      </w:r>
      <w:r w:rsidRPr="00B462E4">
        <w:rPr>
          <w:rFonts w:ascii="Tahoma" w:hAnsi="Tahoma" w:cs="Tahoma"/>
          <w:b/>
        </w:rPr>
        <w:t xml:space="preserve"> </w:t>
      </w:r>
      <w:r w:rsidR="00B462E4" w:rsidRPr="00B462E4">
        <w:rPr>
          <w:rFonts w:ascii="Tahoma" w:hAnsi="Tahoma" w:cs="Tahoma"/>
        </w:rPr>
        <w:t>“</w:t>
      </w:r>
      <w:r w:rsidRPr="00B462E4">
        <w:rPr>
          <w:rFonts w:ascii="Tahoma" w:hAnsi="Tahoma" w:cs="Tahoma"/>
          <w:i/>
          <w:sz w:val="22"/>
        </w:rPr>
        <w:t>nada obsta, para imponer la condena solidaria, que el vínculo entre contratista y entidad estatal sea de carácter administrativo porque la imposición de la obligación solidaria emana de la ley, como ya fue dicho”</w:t>
      </w:r>
      <w:r w:rsidR="00B462E4">
        <w:rPr>
          <w:rFonts w:ascii="Tahoma" w:hAnsi="Tahoma" w:cs="Tahoma"/>
          <w:i/>
          <w:sz w:val="22"/>
        </w:rPr>
        <w:t>.</w:t>
      </w:r>
    </w:p>
    <w:p w14:paraId="2898F0A1" w14:textId="77777777" w:rsidR="00E5230D" w:rsidRPr="00B462E4" w:rsidRDefault="00E5230D" w:rsidP="00B462E4">
      <w:pPr>
        <w:pStyle w:val="paragraph"/>
        <w:spacing w:before="0" w:beforeAutospacing="0" w:after="0" w:afterAutospacing="0" w:line="276" w:lineRule="auto"/>
        <w:ind w:firstLine="720"/>
        <w:jc w:val="both"/>
        <w:textAlignment w:val="baseline"/>
        <w:rPr>
          <w:rFonts w:ascii="Tahoma" w:hAnsi="Tahoma" w:cs="Tahoma"/>
          <w:i/>
        </w:rPr>
      </w:pPr>
    </w:p>
    <w:p w14:paraId="738AF843" w14:textId="29C91A30" w:rsidR="00E5230D" w:rsidRPr="00B462E4" w:rsidRDefault="00E5230D" w:rsidP="00B462E4">
      <w:pPr>
        <w:pStyle w:val="Prrafodelista"/>
        <w:widowControl w:val="0"/>
        <w:numPr>
          <w:ilvl w:val="1"/>
          <w:numId w:val="8"/>
        </w:numPr>
        <w:tabs>
          <w:tab w:val="left" w:pos="284"/>
        </w:tabs>
        <w:autoSpaceDE w:val="0"/>
        <w:autoSpaceDN w:val="0"/>
        <w:adjustRightInd w:val="0"/>
        <w:spacing w:line="276" w:lineRule="auto"/>
        <w:rPr>
          <w:b/>
          <w:szCs w:val="24"/>
        </w:rPr>
      </w:pPr>
      <w:r w:rsidRPr="00B462E4">
        <w:rPr>
          <w:b/>
          <w:szCs w:val="24"/>
        </w:rPr>
        <w:t>Prescripción en materia laboral y su interrupción.</w:t>
      </w:r>
    </w:p>
    <w:p w14:paraId="35630EE9" w14:textId="77777777" w:rsidR="00E5230D" w:rsidRPr="00B462E4" w:rsidRDefault="00E5230D" w:rsidP="00B462E4">
      <w:pPr>
        <w:spacing w:line="276" w:lineRule="auto"/>
        <w:rPr>
          <w:b/>
          <w:szCs w:val="24"/>
        </w:rPr>
      </w:pPr>
    </w:p>
    <w:p w14:paraId="343FE221" w14:textId="77777777" w:rsidR="00E5230D" w:rsidRPr="00B462E4" w:rsidRDefault="00E5230D" w:rsidP="00B462E4">
      <w:pPr>
        <w:spacing w:line="276" w:lineRule="auto"/>
        <w:ind w:firstLine="708"/>
        <w:rPr>
          <w:bCs/>
          <w:szCs w:val="24"/>
        </w:rPr>
      </w:pPr>
      <w:r w:rsidRPr="00B462E4">
        <w:rPr>
          <w:bCs/>
          <w:szCs w:val="24"/>
        </w:rPr>
        <w:t xml:space="preserve">Los artículos 151 del Código Procesal del Trabajo y de la Seguridad Social, 488 y 489 del Código Sustantivo del Trabajo, preceptúan que las acciones correspondientes a los derechos laborales prescriben en tres años contados a partir de la exigibilidad de cada acreencia, de modo que quien exija una prestación social deberá alegarla en el </w:t>
      </w:r>
      <w:r w:rsidRPr="00B462E4">
        <w:rPr>
          <w:bCs/>
          <w:szCs w:val="24"/>
        </w:rPr>
        <w:lastRenderedPageBreak/>
        <w:t xml:space="preserve">término establecido, en cuyo caso, basta </w:t>
      </w:r>
      <w:r w:rsidRPr="00B462E4">
        <w:rPr>
          <w:bCs/>
          <w:i/>
          <w:iCs/>
          <w:szCs w:val="24"/>
        </w:rPr>
        <w:t>"</w:t>
      </w:r>
      <w:r w:rsidRPr="00B462E4">
        <w:rPr>
          <w:bCs/>
          <w:i/>
          <w:iCs/>
          <w:sz w:val="22"/>
          <w:szCs w:val="24"/>
        </w:rPr>
        <w:t>el simple reclamo escrito del trabajador recibido por el empleador</w:t>
      </w:r>
      <w:r w:rsidRPr="00B462E4">
        <w:rPr>
          <w:bCs/>
          <w:i/>
          <w:iCs/>
          <w:szCs w:val="24"/>
        </w:rPr>
        <w:t>",</w:t>
      </w:r>
      <w:r w:rsidRPr="00B462E4">
        <w:rPr>
          <w:bCs/>
          <w:szCs w:val="24"/>
        </w:rPr>
        <w:t xml:space="preserve"> para que por una sola vez se entienda interrumpida y comience a correr de nuevo el término por un lapso igual al inicialmente señalado, reclamo que puede entenderse como cualquier requerimiento o solicitud por escrito que el trabajador hubiese realizado del derecho debidamente determinado y del que el empleador tuviese conocimiento, incluso, en peticiones realizadas ante autoridades judiciales o administrativas que hubiesen quedado plasmadas de forma escritural (CSJ SL 4554 de 2020).</w:t>
      </w:r>
    </w:p>
    <w:p w14:paraId="11D2CB88" w14:textId="77777777" w:rsidR="00E5230D" w:rsidRPr="00B462E4" w:rsidRDefault="00E5230D" w:rsidP="00B462E4">
      <w:pPr>
        <w:spacing w:line="276" w:lineRule="auto"/>
        <w:ind w:firstLine="708"/>
        <w:rPr>
          <w:bCs/>
          <w:szCs w:val="24"/>
        </w:rPr>
      </w:pPr>
    </w:p>
    <w:p w14:paraId="5ED6D514" w14:textId="77777777" w:rsidR="00E5230D" w:rsidRPr="00B462E4" w:rsidRDefault="00E5230D" w:rsidP="00B462E4">
      <w:pPr>
        <w:spacing w:line="276" w:lineRule="auto"/>
        <w:ind w:firstLine="708"/>
        <w:rPr>
          <w:bCs/>
          <w:i/>
          <w:iCs/>
          <w:szCs w:val="24"/>
        </w:rPr>
      </w:pPr>
      <w:r w:rsidRPr="00B462E4">
        <w:rPr>
          <w:bCs/>
          <w:szCs w:val="24"/>
        </w:rPr>
        <w:t xml:space="preserve">Adicionalmente, el artículo 94 del Código General del Proceso aplicable a los procesos laborales en virtud de lo dispuesto por el artículo 145 del Estatuto Adjetivo del Trabajo y de la Seguridad Social, contempla la posibilidad que el término de tres años se entienda interrumpido desde la fecha de radicación de la demanda, siempre que el auto admisorio de aquella, o el de mandamiento ejecutivo, según sea al caso, </w:t>
      </w:r>
      <w:r w:rsidRPr="00B462E4">
        <w:rPr>
          <w:bCs/>
          <w:i/>
          <w:iCs/>
          <w:szCs w:val="24"/>
        </w:rPr>
        <w:t>“</w:t>
      </w:r>
      <w:r w:rsidRPr="00B462E4">
        <w:rPr>
          <w:bCs/>
          <w:i/>
          <w:iCs/>
          <w:sz w:val="22"/>
          <w:szCs w:val="24"/>
        </w:rPr>
        <w:t>se notifique al demandado dentro del término de un (1) año contado a partir del día siguiente a la notificación de tales providencias al demandante</w:t>
      </w:r>
      <w:r w:rsidRPr="00B462E4">
        <w:rPr>
          <w:bCs/>
          <w:i/>
          <w:iCs/>
          <w:szCs w:val="24"/>
        </w:rPr>
        <w:t>”.</w:t>
      </w:r>
    </w:p>
    <w:p w14:paraId="72B954B4" w14:textId="77777777" w:rsidR="00E5230D" w:rsidRPr="00B462E4" w:rsidRDefault="00E5230D" w:rsidP="00B462E4">
      <w:pPr>
        <w:spacing w:line="276" w:lineRule="auto"/>
        <w:ind w:firstLine="708"/>
        <w:rPr>
          <w:bCs/>
          <w:i/>
          <w:iCs/>
          <w:szCs w:val="24"/>
        </w:rPr>
      </w:pPr>
    </w:p>
    <w:p w14:paraId="4AF36192" w14:textId="77777777" w:rsidR="00E5230D" w:rsidRPr="00B462E4" w:rsidRDefault="00E5230D" w:rsidP="00B462E4">
      <w:pPr>
        <w:spacing w:line="276" w:lineRule="auto"/>
        <w:ind w:firstLine="708"/>
        <w:rPr>
          <w:bCs/>
          <w:szCs w:val="24"/>
        </w:rPr>
      </w:pPr>
      <w:r w:rsidRPr="00B462E4">
        <w:rPr>
          <w:bCs/>
          <w:szCs w:val="24"/>
        </w:rPr>
        <w:t>Conforme a lo anterior, la prescripción de las acciones laborales puede ser interrumpida a través de dos mecanismos diferentes y no excluyentes: la extrajudicial, mediante la presentación al empleador del simple reclamo escrito por el trabajador respecto de un derecho determinado, de conformidad con lo dispuesto en los artículos 489 del Código Sustantivo del Trabajo y 151 del Código Procesal del Trabajo; y con la presentación de la demanda, en los términos y condiciones señaladas por el artículo 94 del Código General del Proceso. (CSJ SL 5159 de 2020)</w:t>
      </w:r>
    </w:p>
    <w:p w14:paraId="75F2F255" w14:textId="77777777" w:rsidR="00E5230D" w:rsidRPr="00B462E4" w:rsidRDefault="00E5230D" w:rsidP="00B462E4">
      <w:pPr>
        <w:spacing w:line="276" w:lineRule="auto"/>
        <w:ind w:firstLine="708"/>
        <w:rPr>
          <w:bCs/>
          <w:szCs w:val="24"/>
        </w:rPr>
      </w:pPr>
    </w:p>
    <w:p w14:paraId="04478DFC" w14:textId="77777777" w:rsidR="00E5230D" w:rsidRPr="00B462E4" w:rsidRDefault="00E5230D" w:rsidP="00B462E4">
      <w:pPr>
        <w:spacing w:line="276" w:lineRule="auto"/>
        <w:ind w:firstLine="708"/>
        <w:rPr>
          <w:bCs/>
          <w:szCs w:val="24"/>
        </w:rPr>
      </w:pPr>
      <w:r w:rsidRPr="00B462E4">
        <w:rPr>
          <w:bCs/>
          <w:szCs w:val="24"/>
        </w:rPr>
        <w:t>No obstante, la aplicación del artículo 94 del CGP no opera de forma automática, pues resulta desproporcionado predicar la ineficacia de la interrupción de la prescripción cuando el demandante es diligente en la formulación oportuna de la demanda, pero por razones por razones ajenas o no imputables exclusivamente a él, como en el caso de diferencias doctrinarias o jurisprudenciales sobre competencia y jurisdicción, se ve obligado a acudir a una u otra sede judicial; en tales casos, la interrupción de la prescripción por la presentación oportuna de la demanda produce todos sus efectos (CSJ SL 5159 de 2020).</w:t>
      </w:r>
    </w:p>
    <w:p w14:paraId="481EADA0" w14:textId="77777777" w:rsidR="00E5230D" w:rsidRPr="00B462E4" w:rsidRDefault="00E5230D" w:rsidP="00B462E4">
      <w:pPr>
        <w:spacing w:line="276" w:lineRule="auto"/>
        <w:ind w:firstLine="708"/>
        <w:rPr>
          <w:bCs/>
          <w:szCs w:val="24"/>
        </w:rPr>
      </w:pPr>
    </w:p>
    <w:p w14:paraId="73215E5B" w14:textId="16EB2A4E" w:rsidR="00E5230D" w:rsidRPr="00B462E4" w:rsidRDefault="00E5230D" w:rsidP="00B462E4">
      <w:pPr>
        <w:spacing w:line="276" w:lineRule="auto"/>
        <w:ind w:firstLine="708"/>
        <w:rPr>
          <w:bCs/>
          <w:szCs w:val="24"/>
        </w:rPr>
      </w:pPr>
      <w:r w:rsidRPr="00B462E4">
        <w:rPr>
          <w:bCs/>
          <w:szCs w:val="24"/>
        </w:rPr>
        <w:t>Asimismo, la Corte Suprema de Justicia por medio de las sentencias CSJ SL 8716 de 2014 y CSJ SL 1356 de 2021 ha adoctrinado que dicha disposición procesal tampoco aplica cuando la notificación no se efectúa oportunamente por negligencia del juzgado o por actividad elusiva del demandado, como quiera que esa eventualidad no puede redundar en perjuicio del promotor del litigio que ha actuado diligentemente.</w:t>
      </w:r>
    </w:p>
    <w:bookmarkEnd w:id="1"/>
    <w:p w14:paraId="10101C27" w14:textId="77777777" w:rsidR="002A02F5" w:rsidRPr="00B462E4" w:rsidRDefault="002A02F5" w:rsidP="00B462E4">
      <w:pPr>
        <w:spacing w:line="276" w:lineRule="auto"/>
        <w:textAlignment w:val="baseline"/>
        <w:rPr>
          <w:rFonts w:eastAsia="Times New Roman"/>
          <w:color w:val="000000"/>
          <w:szCs w:val="24"/>
          <w:lang w:eastAsia="es-ES_tradnl"/>
        </w:rPr>
      </w:pPr>
    </w:p>
    <w:p w14:paraId="343ADF3E" w14:textId="77777777" w:rsidR="00021D50" w:rsidRPr="00B462E4" w:rsidRDefault="00021D50" w:rsidP="00B462E4">
      <w:pPr>
        <w:pStyle w:val="Prrafodelista"/>
        <w:widowControl w:val="0"/>
        <w:numPr>
          <w:ilvl w:val="1"/>
          <w:numId w:val="8"/>
        </w:numPr>
        <w:tabs>
          <w:tab w:val="left" w:pos="284"/>
        </w:tabs>
        <w:autoSpaceDE w:val="0"/>
        <w:autoSpaceDN w:val="0"/>
        <w:adjustRightInd w:val="0"/>
        <w:spacing w:line="276" w:lineRule="auto"/>
        <w:rPr>
          <w:b/>
          <w:bCs/>
          <w:szCs w:val="24"/>
        </w:rPr>
      </w:pPr>
      <w:r w:rsidRPr="00B462E4">
        <w:rPr>
          <w:b/>
          <w:bCs/>
          <w:szCs w:val="24"/>
        </w:rPr>
        <w:t>Precedente actual de la Sala de Casación laboral respecto a las uniones temporales y consorcios no le es aplicable al presente caso</w:t>
      </w:r>
    </w:p>
    <w:p w14:paraId="4F0A786E" w14:textId="77777777" w:rsidR="00B462E4" w:rsidRDefault="00B462E4" w:rsidP="00B462E4">
      <w:pPr>
        <w:widowControl w:val="0"/>
        <w:tabs>
          <w:tab w:val="left" w:pos="284"/>
        </w:tabs>
        <w:autoSpaceDE w:val="0"/>
        <w:autoSpaceDN w:val="0"/>
        <w:adjustRightInd w:val="0"/>
        <w:spacing w:line="276" w:lineRule="auto"/>
        <w:rPr>
          <w:szCs w:val="24"/>
        </w:rPr>
      </w:pPr>
    </w:p>
    <w:p w14:paraId="1ECFCAAC" w14:textId="5FBAF24B" w:rsidR="00021D50" w:rsidRPr="00B462E4" w:rsidRDefault="00B462E4" w:rsidP="00B462E4">
      <w:pPr>
        <w:widowControl w:val="0"/>
        <w:tabs>
          <w:tab w:val="left" w:pos="284"/>
        </w:tabs>
        <w:autoSpaceDE w:val="0"/>
        <w:autoSpaceDN w:val="0"/>
        <w:adjustRightInd w:val="0"/>
        <w:spacing w:line="276" w:lineRule="auto"/>
        <w:rPr>
          <w:szCs w:val="24"/>
        </w:rPr>
      </w:pPr>
      <w:r>
        <w:rPr>
          <w:szCs w:val="24"/>
        </w:rPr>
        <w:tab/>
      </w:r>
      <w:r>
        <w:rPr>
          <w:szCs w:val="24"/>
        </w:rPr>
        <w:tab/>
      </w:r>
      <w:r w:rsidR="3DBD8C32" w:rsidRPr="00B462E4">
        <w:rPr>
          <w:szCs w:val="24"/>
        </w:rPr>
        <w:t xml:space="preserve">Con anterioridad a la Sentencia SL 462 del 10 de febrero de 2021 (Ponencia Dra. Clara Cecilia Dueñas Quevedo), la Sala de Casación laboral venía sosteniendo que </w:t>
      </w:r>
      <w:r w:rsidR="3DBD8C32" w:rsidRPr="00B462E4">
        <w:rPr>
          <w:i/>
          <w:iCs/>
          <w:szCs w:val="24"/>
        </w:rPr>
        <w:t>“</w:t>
      </w:r>
      <w:r w:rsidR="3DBD8C32" w:rsidRPr="00B462E4">
        <w:rPr>
          <w:i/>
          <w:iCs/>
          <w:sz w:val="22"/>
          <w:szCs w:val="24"/>
        </w:rPr>
        <w:t xml:space="preserve">las uniones temporales de personas naturales o jurídicas como también los llamados </w:t>
      </w:r>
      <w:r w:rsidR="3DBD8C32" w:rsidRPr="00B462E4">
        <w:rPr>
          <w:i/>
          <w:iCs/>
          <w:sz w:val="22"/>
          <w:szCs w:val="24"/>
        </w:rPr>
        <w:lastRenderedPageBreak/>
        <w:t>consorcios, conformados o integrados para un fin determinado</w:t>
      </w:r>
      <w:r w:rsidR="3DBD8C32" w:rsidRPr="00B462E4">
        <w:rPr>
          <w:b/>
          <w:bCs/>
          <w:i/>
          <w:iCs/>
          <w:sz w:val="22"/>
          <w:szCs w:val="24"/>
        </w:rPr>
        <w:t>, no son sujetos procesales que puedan responder válidamente por obligaciones a su cargo, por lo que las responsabilidades que en la ejecución de la obra se susciten, son a cargo de las personas que las integran</w:t>
      </w:r>
      <w:r w:rsidR="3DBD8C32" w:rsidRPr="00B462E4">
        <w:rPr>
          <w:bCs/>
          <w:i/>
          <w:iCs/>
          <w:szCs w:val="24"/>
        </w:rPr>
        <w:t xml:space="preserve">” </w:t>
      </w:r>
      <w:r w:rsidR="3DBD8C32" w:rsidRPr="00B462E4">
        <w:rPr>
          <w:szCs w:val="24"/>
        </w:rPr>
        <w:t>(negrilla fuera de texto), como puede observarse entre otras en la Sentencia SL Radicado 24426 del 11 de febrero de 2009 (M.P. Dr. Luis Javier Osorio López)</w:t>
      </w:r>
      <w:r w:rsidR="3DBD8C32" w:rsidRPr="00B462E4">
        <w:rPr>
          <w:i/>
          <w:iCs/>
          <w:szCs w:val="24"/>
        </w:rPr>
        <w:t xml:space="preserve">. </w:t>
      </w:r>
      <w:r w:rsidR="3DBD8C32" w:rsidRPr="00B462E4">
        <w:rPr>
          <w:szCs w:val="24"/>
        </w:rPr>
        <w:t>En virtud de ese precedente que se aplicó por varios años, los trabajadores vinculados por uniones temporales o consorcios, se veían obligados a demandar a cada uno de los integrantes de aquellas, lo cual en muchas ocasiones les causaba mucha dificultad cua</w:t>
      </w:r>
      <w:r w:rsidR="133E8578" w:rsidRPr="00B462E4">
        <w:rPr>
          <w:szCs w:val="24"/>
        </w:rPr>
        <w:t>n</w:t>
      </w:r>
      <w:r w:rsidR="3DBD8C32" w:rsidRPr="00B462E4">
        <w:rPr>
          <w:szCs w:val="24"/>
        </w:rPr>
        <w:t xml:space="preserve">do no tenían claro los nombres ni la dirección de los integrantes de la unión temporal o el consorcio. </w:t>
      </w:r>
      <w:r w:rsidR="284EE1CF" w:rsidRPr="00B462E4">
        <w:rPr>
          <w:szCs w:val="24"/>
        </w:rPr>
        <w:t>Así mismo, esta interpretación restrin</w:t>
      </w:r>
      <w:r w:rsidR="008E794F" w:rsidRPr="00B462E4">
        <w:rPr>
          <w:szCs w:val="24"/>
        </w:rPr>
        <w:t>j</w:t>
      </w:r>
      <w:r w:rsidR="284EE1CF" w:rsidRPr="00B462E4">
        <w:rPr>
          <w:szCs w:val="24"/>
        </w:rPr>
        <w:t>a el derecho fundamental de asociación por cuanto a los trabajadores les era imposible negociar con las uniones temporales o consorcio bajo el argumento de que no</w:t>
      </w:r>
      <w:r w:rsidR="00DB62D0" w:rsidRPr="00B462E4">
        <w:rPr>
          <w:szCs w:val="24"/>
        </w:rPr>
        <w:t xml:space="preserve"> tienen capacidad contractual. </w:t>
      </w:r>
      <w:r w:rsidR="284EE1CF" w:rsidRPr="00B462E4">
        <w:rPr>
          <w:szCs w:val="24"/>
        </w:rPr>
        <w:t xml:space="preserve"> </w:t>
      </w:r>
    </w:p>
    <w:p w14:paraId="7DFEB750" w14:textId="77777777" w:rsidR="00021D50" w:rsidRPr="00B462E4" w:rsidRDefault="00021D50" w:rsidP="00B462E4">
      <w:pPr>
        <w:widowControl w:val="0"/>
        <w:tabs>
          <w:tab w:val="left" w:pos="284"/>
        </w:tabs>
        <w:autoSpaceDE w:val="0"/>
        <w:autoSpaceDN w:val="0"/>
        <w:adjustRightInd w:val="0"/>
        <w:spacing w:line="276" w:lineRule="auto"/>
        <w:rPr>
          <w:b/>
          <w:bCs/>
          <w:szCs w:val="24"/>
        </w:rPr>
      </w:pPr>
    </w:p>
    <w:p w14:paraId="75FF7334" w14:textId="43729DB6" w:rsidR="00021D50" w:rsidRPr="00B462E4" w:rsidRDefault="00021D50" w:rsidP="00B462E4">
      <w:pPr>
        <w:widowControl w:val="0"/>
        <w:tabs>
          <w:tab w:val="left" w:pos="284"/>
        </w:tabs>
        <w:autoSpaceDE w:val="0"/>
        <w:autoSpaceDN w:val="0"/>
        <w:adjustRightInd w:val="0"/>
        <w:spacing w:line="276" w:lineRule="auto"/>
        <w:rPr>
          <w:szCs w:val="24"/>
        </w:rPr>
      </w:pPr>
      <w:r w:rsidRPr="00B462E4">
        <w:rPr>
          <w:b/>
          <w:bCs/>
          <w:szCs w:val="24"/>
        </w:rPr>
        <w:tab/>
      </w:r>
      <w:r w:rsidR="3DBD8C32" w:rsidRPr="00B462E4">
        <w:rPr>
          <w:szCs w:val="24"/>
        </w:rPr>
        <w:t xml:space="preserve">Pero a partir de la citada sentencia SL 462, la Sala de Casación Laboral </w:t>
      </w:r>
      <w:r w:rsidR="00DB62D0" w:rsidRPr="00B462E4">
        <w:rPr>
          <w:szCs w:val="24"/>
        </w:rPr>
        <w:t xml:space="preserve">y con base en un precedente del Consejo de Estado, </w:t>
      </w:r>
      <w:r w:rsidR="3DBD8C32" w:rsidRPr="00B462E4">
        <w:rPr>
          <w:szCs w:val="24"/>
        </w:rPr>
        <w:t xml:space="preserve">cambió su jurisprudencia para decir lo siguiente: </w:t>
      </w:r>
    </w:p>
    <w:p w14:paraId="114F9F05" w14:textId="1E66058D" w:rsidR="00021D50" w:rsidRPr="00B462E4" w:rsidRDefault="00021D50" w:rsidP="00B462E4">
      <w:pPr>
        <w:widowControl w:val="0"/>
        <w:tabs>
          <w:tab w:val="left" w:pos="284"/>
        </w:tabs>
        <w:autoSpaceDE w:val="0"/>
        <w:autoSpaceDN w:val="0"/>
        <w:adjustRightInd w:val="0"/>
        <w:spacing w:line="276" w:lineRule="auto"/>
        <w:rPr>
          <w:bCs/>
          <w:szCs w:val="24"/>
        </w:rPr>
      </w:pPr>
    </w:p>
    <w:p w14:paraId="584214B0" w14:textId="5E1CE98B" w:rsidR="009B7FC3" w:rsidRPr="00B462E4" w:rsidRDefault="009B7FC3" w:rsidP="00B462E4">
      <w:pPr>
        <w:spacing w:line="240" w:lineRule="auto"/>
        <w:ind w:left="426" w:right="420" w:firstLine="709"/>
        <w:rPr>
          <w:b/>
          <w:bCs/>
          <w:i/>
          <w:sz w:val="22"/>
          <w:szCs w:val="24"/>
        </w:rPr>
      </w:pPr>
      <w:r w:rsidRPr="00B462E4">
        <w:rPr>
          <w:b/>
          <w:bCs/>
          <w:i/>
          <w:sz w:val="22"/>
          <w:szCs w:val="24"/>
        </w:rPr>
        <w:t>“2. De la responsabilidad de la unión temporal y de sus integrantes</w:t>
      </w:r>
    </w:p>
    <w:p w14:paraId="7A2077DB" w14:textId="77777777" w:rsidR="009B7FC3" w:rsidRPr="00B462E4" w:rsidRDefault="009B7FC3" w:rsidP="00B462E4">
      <w:pPr>
        <w:spacing w:line="240" w:lineRule="auto"/>
        <w:ind w:left="426" w:right="420" w:firstLine="709"/>
        <w:rPr>
          <w:i/>
          <w:sz w:val="22"/>
          <w:szCs w:val="24"/>
        </w:rPr>
      </w:pPr>
    </w:p>
    <w:p w14:paraId="4AA2F72E" w14:textId="77777777" w:rsidR="009B7FC3" w:rsidRPr="00B462E4" w:rsidRDefault="009B7FC3" w:rsidP="00B462E4">
      <w:pPr>
        <w:spacing w:line="240" w:lineRule="auto"/>
        <w:ind w:left="426" w:right="420" w:firstLine="709"/>
        <w:rPr>
          <w:i/>
          <w:sz w:val="22"/>
          <w:szCs w:val="24"/>
        </w:rPr>
      </w:pPr>
      <w:r w:rsidRPr="00B462E4">
        <w:rPr>
          <w:i/>
          <w:sz w:val="22"/>
          <w:szCs w:val="24"/>
        </w:rPr>
        <w:t xml:space="preserve">La Corte se pregunta si la atribución de responsabilidad corresponde solo a los integrantes de la unión temporal o a esta y a sus miembros. Contestar este punto depende de si las uniones temporales tienen o no capacidad para ser empleadoras, a lo que la Sala ofrece a una respuesta afirmativa. </w:t>
      </w:r>
    </w:p>
    <w:p w14:paraId="68F18BD5" w14:textId="77777777" w:rsidR="009B7FC3" w:rsidRPr="00B462E4" w:rsidRDefault="009B7FC3" w:rsidP="00B462E4">
      <w:pPr>
        <w:spacing w:line="240" w:lineRule="auto"/>
        <w:ind w:left="426" w:right="420" w:firstLine="709"/>
        <w:rPr>
          <w:i/>
          <w:sz w:val="22"/>
          <w:szCs w:val="24"/>
        </w:rPr>
      </w:pPr>
    </w:p>
    <w:p w14:paraId="158E4858" w14:textId="77777777" w:rsidR="009B7FC3" w:rsidRPr="00B462E4" w:rsidRDefault="009B7FC3" w:rsidP="00B462E4">
      <w:pPr>
        <w:spacing w:line="240" w:lineRule="auto"/>
        <w:ind w:left="426" w:right="420" w:firstLine="709"/>
        <w:rPr>
          <w:i/>
          <w:sz w:val="22"/>
          <w:szCs w:val="24"/>
        </w:rPr>
      </w:pPr>
      <w:r w:rsidRPr="00B462E4">
        <w:rPr>
          <w:i/>
          <w:sz w:val="22"/>
          <w:szCs w:val="24"/>
        </w:rPr>
        <w:t>En primer lugar, es necesario recordar que las uniones temporales y los consorcios son figuras jurídicas concebidas en el artículo 7.° de la Ley 80 de 1993, en virtud de las cuales dos o más personas pueden presentar de manera conjunta una misma propuesta para la adjudicación, celebración y ejecución de un contrato, respondiendo solidariamente de todas y cada una de las obligaciones derivadas de la propuesta y del contrato. De acuerdo con lo anterior, se trata de agrupaciones de contratistas u organizaciones empresariales que no configuran una persona jurídica nueva e independiente respecto de los miembros que las integran.</w:t>
      </w:r>
    </w:p>
    <w:p w14:paraId="0E7A02E8" w14:textId="77777777" w:rsidR="009B7FC3" w:rsidRPr="00B462E4" w:rsidRDefault="009B7FC3" w:rsidP="00B462E4">
      <w:pPr>
        <w:spacing w:line="240" w:lineRule="auto"/>
        <w:ind w:left="426" w:right="420" w:firstLine="709"/>
        <w:rPr>
          <w:i/>
          <w:sz w:val="22"/>
          <w:szCs w:val="24"/>
        </w:rPr>
      </w:pPr>
    </w:p>
    <w:p w14:paraId="79CE34D3" w14:textId="77777777" w:rsidR="009B7FC3" w:rsidRPr="00B462E4" w:rsidRDefault="009B7FC3" w:rsidP="00B462E4">
      <w:pPr>
        <w:spacing w:line="240" w:lineRule="auto"/>
        <w:ind w:left="426" w:right="420" w:firstLine="709"/>
        <w:rPr>
          <w:i/>
          <w:sz w:val="22"/>
          <w:szCs w:val="24"/>
        </w:rPr>
      </w:pPr>
      <w:r w:rsidRPr="00B462E4">
        <w:rPr>
          <w:i/>
          <w:sz w:val="22"/>
          <w:szCs w:val="24"/>
          <w:lang w:val="es-CO"/>
        </w:rPr>
        <w:t xml:space="preserve">No obstante que carecen de personalidad jurídica, el artículo 6.° de la Ley 80 de 1993 les otorga plena capacidad para contratar, premisa que arroja una primera conclusión: para poseer capacidad jurídica contractual no es requisito ser persona moral, pues como ocurre con los consorcios y uniones temporales, entidades sin personería jurídica, la ley los considera legalmente capaces para efectos contractuales. </w:t>
      </w:r>
    </w:p>
    <w:p w14:paraId="76CD8BD8" w14:textId="77777777" w:rsidR="009B7FC3" w:rsidRPr="00B462E4" w:rsidRDefault="009B7FC3" w:rsidP="00B462E4">
      <w:pPr>
        <w:spacing w:line="240" w:lineRule="auto"/>
        <w:ind w:left="426" w:right="420" w:firstLine="709"/>
        <w:rPr>
          <w:i/>
          <w:sz w:val="22"/>
          <w:szCs w:val="24"/>
          <w:lang w:val="es-CO"/>
        </w:rPr>
      </w:pPr>
    </w:p>
    <w:p w14:paraId="467ACDC9" w14:textId="77777777" w:rsidR="009B7FC3" w:rsidRPr="00B462E4" w:rsidRDefault="009B7FC3" w:rsidP="00B462E4">
      <w:pPr>
        <w:spacing w:line="240" w:lineRule="auto"/>
        <w:ind w:left="426" w:right="420" w:firstLine="709"/>
        <w:rPr>
          <w:i/>
          <w:sz w:val="22"/>
          <w:szCs w:val="24"/>
        </w:rPr>
      </w:pPr>
      <w:r w:rsidRPr="00B462E4">
        <w:rPr>
          <w:i/>
          <w:sz w:val="22"/>
          <w:szCs w:val="24"/>
        </w:rPr>
        <w:t>Sobre el particular, conviene traer a colación la sentencia de unificación 1997-03930 de 25 de septiembre de 2013 que profirió la Sala Plena de la Sección Tercera del Consejo de Estado, a través de la cual rectificó su jurisprudencia frente a la capacidad de los consorcios y uniones temporales para comparecer al juicio:</w:t>
      </w:r>
    </w:p>
    <w:p w14:paraId="70357CA5" w14:textId="77777777" w:rsidR="009B7FC3" w:rsidRPr="00B462E4" w:rsidRDefault="009B7FC3" w:rsidP="00B462E4">
      <w:pPr>
        <w:spacing w:line="240" w:lineRule="auto"/>
        <w:ind w:left="426" w:right="420" w:firstLine="709"/>
        <w:rPr>
          <w:i/>
          <w:sz w:val="22"/>
          <w:szCs w:val="24"/>
        </w:rPr>
      </w:pPr>
    </w:p>
    <w:p w14:paraId="06D2C551" w14:textId="129690A8" w:rsidR="009B7FC3" w:rsidRPr="00B462E4" w:rsidRDefault="009B7FC3" w:rsidP="00B462E4">
      <w:pPr>
        <w:spacing w:line="240" w:lineRule="auto"/>
        <w:ind w:left="851" w:right="845"/>
        <w:rPr>
          <w:i/>
          <w:sz w:val="22"/>
          <w:szCs w:val="24"/>
        </w:rPr>
      </w:pPr>
      <w:r w:rsidRPr="00B462E4">
        <w:rPr>
          <w:i/>
          <w:sz w:val="22"/>
          <w:szCs w:val="24"/>
        </w:rPr>
        <w:t xml:space="preserve">[…] Así pues, la capacidad de contratación que expresamente la Ley 80 otorgó y reconoció a los consorcios y a las uniones temporales, en modo alguno puede entenderse agotada en el campo de las actuaciones que esas organizaciones pueden válidamente desplegar en relación o con ocasión de su actividad contractual —incluyendo los actos jurídicos consistentes en la formulación misma de la oferta; la notificación de la adjudicación;  la celebración, ejecución y liquidación del respectivo contrato estatal—, sino que proyecta sus efectos de manera cierta e importante en el campo </w:t>
      </w:r>
      <w:r w:rsidRPr="00B462E4">
        <w:rPr>
          <w:i/>
          <w:sz w:val="22"/>
          <w:szCs w:val="24"/>
        </w:rPr>
        <w:lastRenderedPageBreak/>
        <w:t>procesal, en el cual, como ya se indicó, esas organizaciones empresariales podrán asumir la condición de parte, en cuanto titulares de derechos y obligaciones, al tiempo que podrán comparecer en juicio para exigir o defender, según corresponda, los derechos que a su favor hubieren surgido del respectivo procedimiento administrativo de selección contractual o del propio contrato estatal, puesto que, según lo dejó dicho la Corte Constitucional, la capacidad de contratación que a los consorcios y a las uniones temporales les atribuyó el artículo 6º de la Ley 80 “(...) comprende tanto el poder para ser titular de derechos y obligaciones e igualmente la facultad de actuación o ejercicio para hacer reales y efectivos dichos derechos (...)”.</w:t>
      </w:r>
    </w:p>
    <w:p w14:paraId="34441BF0" w14:textId="77777777" w:rsidR="009B7FC3" w:rsidRPr="00B462E4" w:rsidRDefault="009B7FC3" w:rsidP="00B462E4">
      <w:pPr>
        <w:spacing w:line="240" w:lineRule="auto"/>
        <w:ind w:left="426" w:right="420" w:firstLine="709"/>
        <w:rPr>
          <w:i/>
          <w:sz w:val="22"/>
          <w:szCs w:val="24"/>
        </w:rPr>
      </w:pPr>
    </w:p>
    <w:p w14:paraId="33F08A86" w14:textId="7BF78848" w:rsidR="009B7FC3" w:rsidRPr="00B462E4" w:rsidRDefault="009B7FC3" w:rsidP="00B462E4">
      <w:pPr>
        <w:spacing w:line="240" w:lineRule="auto"/>
        <w:ind w:left="426" w:right="420" w:firstLine="709"/>
        <w:rPr>
          <w:i/>
          <w:sz w:val="22"/>
          <w:szCs w:val="24"/>
        </w:rPr>
      </w:pPr>
      <w:r w:rsidRPr="00B462E4">
        <w:rPr>
          <w:i/>
          <w:sz w:val="22"/>
          <w:szCs w:val="24"/>
        </w:rPr>
        <w:t>De acuerdo con lo dicho, las uniones temporales y consorcios pueden ser empleadores de los trabajadores que participan en los proyectos empresariales contratados con las entidades públicas. Por tanto, pueden ser convocados para responder por las obligaciones laborales de sus trabajadores, como también de manera solidaria cada uno de sus integrantes. Con esto, se recoge el criterio fijado en las sentencias CSJ SL, 11 feb. 2009, rad. 24426 y CSJ SL, 24 nov. 2009, rad. 35043</w:t>
      </w:r>
      <w:r w:rsidR="00DB62D0" w:rsidRPr="00B462E4">
        <w:rPr>
          <w:i/>
          <w:sz w:val="22"/>
          <w:szCs w:val="24"/>
        </w:rPr>
        <w:t>”</w:t>
      </w:r>
      <w:r w:rsidRPr="00B462E4">
        <w:rPr>
          <w:i/>
          <w:sz w:val="22"/>
          <w:szCs w:val="24"/>
        </w:rPr>
        <w:t xml:space="preserve">. </w:t>
      </w:r>
    </w:p>
    <w:p w14:paraId="36725D04" w14:textId="353844D0" w:rsidR="00E56C1A" w:rsidRPr="00B462E4" w:rsidRDefault="00E56C1A" w:rsidP="00B462E4">
      <w:pPr>
        <w:spacing w:line="276" w:lineRule="auto"/>
        <w:rPr>
          <w:b/>
          <w:bCs/>
          <w:szCs w:val="24"/>
        </w:rPr>
      </w:pPr>
    </w:p>
    <w:p w14:paraId="3E6CD21C" w14:textId="78BAFB50" w:rsidR="00E56C1A" w:rsidRPr="00B462E4" w:rsidRDefault="00DB62D0" w:rsidP="00B462E4">
      <w:pPr>
        <w:spacing w:line="276" w:lineRule="auto"/>
        <w:rPr>
          <w:bCs/>
          <w:szCs w:val="24"/>
        </w:rPr>
      </w:pPr>
      <w:r w:rsidRPr="00B462E4">
        <w:rPr>
          <w:b/>
          <w:bCs/>
          <w:szCs w:val="24"/>
        </w:rPr>
        <w:tab/>
        <w:t xml:space="preserve">En el presente caso no puede perderse de vista que la demanda se instauró en el </w:t>
      </w:r>
      <w:r w:rsidR="00E56C1A" w:rsidRPr="00B462E4">
        <w:rPr>
          <w:b/>
          <w:bCs/>
          <w:szCs w:val="24"/>
        </w:rPr>
        <w:t xml:space="preserve">año </w:t>
      </w:r>
      <w:r w:rsidRPr="00B462E4">
        <w:rPr>
          <w:b/>
          <w:bCs/>
          <w:szCs w:val="24"/>
        </w:rPr>
        <w:t xml:space="preserve">2015, esto es, cuando </w:t>
      </w:r>
      <w:r w:rsidR="00E56C1A" w:rsidRPr="00B462E4">
        <w:rPr>
          <w:b/>
          <w:bCs/>
          <w:szCs w:val="24"/>
        </w:rPr>
        <w:t>estaba vigente el precedente de la Sala de Casación laboral que obligaba a los trabajadores vinculados a una unión temporal a demandar a cada uno de sus integrantes, como se hizo en este asunto</w:t>
      </w:r>
      <w:r w:rsidR="00E56C1A" w:rsidRPr="00B462E4">
        <w:rPr>
          <w:bCs/>
          <w:szCs w:val="24"/>
        </w:rPr>
        <w:t xml:space="preserve">. </w:t>
      </w:r>
      <w:r w:rsidR="00E56C1A" w:rsidRPr="00B462E4">
        <w:rPr>
          <w:b/>
          <w:bCs/>
          <w:szCs w:val="24"/>
        </w:rPr>
        <w:t xml:space="preserve">De manera que resulta un exabrupto aplicarle al demandante este nuevo precedente que, como puede observarse, devino precisamente para favorecer al trabajador y no para entorpecer sus derechos. En consecuencia, la Sala mayoritaria pasará de largo el nuevo precedente, por las consecuencias adversas que le puede acarrear al demandante </w:t>
      </w:r>
      <w:r w:rsidR="00572B1A" w:rsidRPr="00B462E4">
        <w:rPr>
          <w:b/>
          <w:bCs/>
          <w:szCs w:val="24"/>
        </w:rPr>
        <w:t xml:space="preserve">en materia de legitimación en la causa por pasiva </w:t>
      </w:r>
      <w:r w:rsidR="00E56C1A" w:rsidRPr="00B462E4">
        <w:rPr>
          <w:b/>
          <w:bCs/>
          <w:szCs w:val="24"/>
        </w:rPr>
        <w:t xml:space="preserve">y el asunto se decidirá bajo el antiguo precedente, en aplicación del principio in dubio pro operario.  </w:t>
      </w:r>
    </w:p>
    <w:p w14:paraId="2F6941FC" w14:textId="6FC55AF4" w:rsidR="0060493F" w:rsidRPr="00B462E4" w:rsidRDefault="00E56C1A" w:rsidP="00B462E4">
      <w:pPr>
        <w:spacing w:line="276" w:lineRule="auto"/>
        <w:rPr>
          <w:bCs/>
          <w:szCs w:val="24"/>
        </w:rPr>
      </w:pPr>
      <w:r w:rsidRPr="00B462E4">
        <w:rPr>
          <w:bCs/>
          <w:szCs w:val="24"/>
        </w:rPr>
        <w:t xml:space="preserve">  </w:t>
      </w:r>
      <w:r w:rsidR="00DB62D0" w:rsidRPr="00B462E4">
        <w:rPr>
          <w:bCs/>
          <w:szCs w:val="24"/>
        </w:rPr>
        <w:t xml:space="preserve"> </w:t>
      </w:r>
    </w:p>
    <w:p w14:paraId="7793B588" w14:textId="76C465F8" w:rsidR="0060493F" w:rsidRPr="00B462E4" w:rsidRDefault="007F22A5" w:rsidP="00B462E4">
      <w:pPr>
        <w:pStyle w:val="Prrafodelista"/>
        <w:widowControl w:val="0"/>
        <w:numPr>
          <w:ilvl w:val="1"/>
          <w:numId w:val="8"/>
        </w:numPr>
        <w:tabs>
          <w:tab w:val="left" w:pos="284"/>
        </w:tabs>
        <w:autoSpaceDE w:val="0"/>
        <w:autoSpaceDN w:val="0"/>
        <w:adjustRightInd w:val="0"/>
        <w:spacing w:line="276" w:lineRule="auto"/>
        <w:rPr>
          <w:b/>
          <w:bCs/>
          <w:szCs w:val="24"/>
        </w:rPr>
      </w:pPr>
      <w:r w:rsidRPr="00B462E4">
        <w:rPr>
          <w:b/>
          <w:bCs/>
          <w:szCs w:val="24"/>
        </w:rPr>
        <w:t>Caso concreto.</w:t>
      </w:r>
    </w:p>
    <w:p w14:paraId="5679D21D" w14:textId="47447587" w:rsidR="006937DC" w:rsidRPr="00B462E4" w:rsidRDefault="006937DC" w:rsidP="00B462E4">
      <w:pPr>
        <w:spacing w:line="276" w:lineRule="auto"/>
        <w:ind w:firstLine="720"/>
        <w:rPr>
          <w:b/>
          <w:szCs w:val="24"/>
        </w:rPr>
      </w:pPr>
    </w:p>
    <w:p w14:paraId="03191EEF" w14:textId="039B3BF6" w:rsidR="00A34FD8" w:rsidRPr="00B462E4" w:rsidRDefault="00832222" w:rsidP="00B462E4">
      <w:pPr>
        <w:spacing w:line="276" w:lineRule="auto"/>
        <w:ind w:firstLine="720"/>
        <w:rPr>
          <w:color w:val="000000" w:themeColor="text1"/>
          <w:szCs w:val="24"/>
        </w:rPr>
      </w:pPr>
      <w:r w:rsidRPr="00B462E4">
        <w:rPr>
          <w:color w:val="000000"/>
          <w:szCs w:val="24"/>
        </w:rPr>
        <w:t>Se desprende del contrato individual de trabajo por obra o labor contratada que el demandante prestó sus servicios desde el 30 de abril de 2014 para el Consorcio Omega</w:t>
      </w:r>
      <w:r w:rsidR="00170940" w:rsidRPr="00B462E4">
        <w:rPr>
          <w:color w:val="000000"/>
          <w:szCs w:val="24"/>
        </w:rPr>
        <w:t>, devengado la suma mensual de $616.000</w:t>
      </w:r>
      <w:r w:rsidR="0FF2B7A9" w:rsidRPr="00B462E4">
        <w:rPr>
          <w:color w:val="000000"/>
          <w:szCs w:val="24"/>
        </w:rPr>
        <w:t xml:space="preserve">; </w:t>
      </w:r>
      <w:r w:rsidR="0FF2B7A9" w:rsidRPr="00B462E4">
        <w:rPr>
          <w:color w:val="000000" w:themeColor="text1"/>
          <w:szCs w:val="24"/>
        </w:rPr>
        <w:t>que</w:t>
      </w:r>
      <w:r w:rsidR="00170940" w:rsidRPr="00B462E4">
        <w:rPr>
          <w:color w:val="000000"/>
          <w:szCs w:val="24"/>
        </w:rPr>
        <w:t xml:space="preserve"> fue</w:t>
      </w:r>
      <w:r w:rsidR="00A34FD8" w:rsidRPr="00B462E4">
        <w:rPr>
          <w:color w:val="000000"/>
          <w:szCs w:val="24"/>
        </w:rPr>
        <w:t xml:space="preserve"> contratado</w:t>
      </w:r>
      <w:r w:rsidR="00170940" w:rsidRPr="00B462E4">
        <w:rPr>
          <w:color w:val="000000"/>
          <w:szCs w:val="24"/>
        </w:rPr>
        <w:t xml:space="preserve"> como ayudante de obra</w:t>
      </w:r>
      <w:r w:rsidR="00A34FD8" w:rsidRPr="00B462E4">
        <w:rPr>
          <w:color w:val="000000"/>
          <w:szCs w:val="24"/>
          <w:vertAlign w:val="superscript"/>
        </w:rPr>
        <w:footnoteReference w:id="9"/>
      </w:r>
      <w:r w:rsidR="00170940" w:rsidRPr="00B462E4">
        <w:rPr>
          <w:color w:val="000000"/>
          <w:szCs w:val="24"/>
        </w:rPr>
        <w:t>,</w:t>
      </w:r>
      <w:r w:rsidR="00A34FD8" w:rsidRPr="00B462E4">
        <w:rPr>
          <w:color w:val="000000"/>
          <w:szCs w:val="24"/>
        </w:rPr>
        <w:t xml:space="preserve"> y aunque no se precisa para qu</w:t>
      </w:r>
      <w:r w:rsidR="72468ABB" w:rsidRPr="00B462E4">
        <w:rPr>
          <w:color w:val="000000"/>
          <w:szCs w:val="24"/>
        </w:rPr>
        <w:t>é</w:t>
      </w:r>
      <w:r w:rsidR="00A34FD8" w:rsidRPr="00B462E4">
        <w:rPr>
          <w:color w:val="000000"/>
          <w:szCs w:val="24"/>
        </w:rPr>
        <w:t xml:space="preserve"> obra, con el escrito inaugural el actor afirmó que fue en el terraplén de la cabecera 8 del Aeropuerto Internacional Matecaña, obra objeto del contrato No. 2396 de 2013 suscrito entre el Municipio de Pereira y el Consorcio Omega, conforme se desprende del acta de inicio y de recibo final del referido</w:t>
      </w:r>
      <w:r w:rsidR="065A7206" w:rsidRPr="00B462E4">
        <w:rPr>
          <w:color w:val="000000"/>
          <w:szCs w:val="24"/>
        </w:rPr>
        <w:t xml:space="preserve"> contrato</w:t>
      </w:r>
      <w:r w:rsidR="48310676" w:rsidRPr="00B462E4">
        <w:rPr>
          <w:color w:val="000000"/>
          <w:szCs w:val="24"/>
        </w:rPr>
        <w:t>,</w:t>
      </w:r>
      <w:r w:rsidR="00A34FD8" w:rsidRPr="00B462E4">
        <w:rPr>
          <w:color w:val="000000"/>
          <w:szCs w:val="24"/>
        </w:rPr>
        <w:t xml:space="preserve"> que se ejecutó entre el 24 de septiembre de 2013 y el 20 de diciembre de 2014</w:t>
      </w:r>
      <w:r w:rsidR="00A34FD8" w:rsidRPr="00B462E4">
        <w:rPr>
          <w:color w:val="000000"/>
          <w:szCs w:val="24"/>
          <w:vertAlign w:val="superscript"/>
        </w:rPr>
        <w:footnoteReference w:id="10"/>
      </w:r>
      <w:r w:rsidR="00A34FD8" w:rsidRPr="00B462E4">
        <w:rPr>
          <w:color w:val="000000"/>
          <w:szCs w:val="24"/>
        </w:rPr>
        <w:t>.</w:t>
      </w:r>
    </w:p>
    <w:p w14:paraId="135D52F5" w14:textId="77777777" w:rsidR="00A34FD8" w:rsidRPr="00B462E4" w:rsidRDefault="00A34FD8" w:rsidP="00B462E4">
      <w:pPr>
        <w:spacing w:line="276" w:lineRule="auto"/>
        <w:ind w:firstLine="720"/>
        <w:rPr>
          <w:color w:val="000000"/>
          <w:szCs w:val="24"/>
        </w:rPr>
      </w:pPr>
    </w:p>
    <w:p w14:paraId="59D19BB3" w14:textId="44157742" w:rsidR="00A34FD8" w:rsidRPr="00B462E4" w:rsidRDefault="00A34FD8" w:rsidP="00B462E4">
      <w:pPr>
        <w:spacing w:line="276" w:lineRule="auto"/>
        <w:ind w:firstLine="720"/>
        <w:rPr>
          <w:color w:val="000000"/>
          <w:szCs w:val="24"/>
        </w:rPr>
      </w:pPr>
      <w:r w:rsidRPr="00B462E4">
        <w:rPr>
          <w:color w:val="000000" w:themeColor="text1"/>
          <w:szCs w:val="24"/>
        </w:rPr>
        <w:t>El 20 de diciembre de 2014, data de terminación</w:t>
      </w:r>
      <w:r w:rsidR="4C506FAE" w:rsidRPr="00B462E4">
        <w:rPr>
          <w:color w:val="000000" w:themeColor="text1"/>
          <w:szCs w:val="24"/>
        </w:rPr>
        <w:t>,</w:t>
      </w:r>
      <w:r w:rsidRPr="00B462E4">
        <w:rPr>
          <w:color w:val="000000" w:themeColor="text1"/>
          <w:szCs w:val="24"/>
        </w:rPr>
        <w:t xml:space="preserve"> según el acta de recibo final</w:t>
      </w:r>
      <w:r w:rsidR="7B93F762" w:rsidRPr="00B462E4">
        <w:rPr>
          <w:color w:val="000000" w:themeColor="text1"/>
          <w:szCs w:val="24"/>
        </w:rPr>
        <w:t>,</w:t>
      </w:r>
      <w:r w:rsidRPr="00B462E4">
        <w:rPr>
          <w:color w:val="000000" w:themeColor="text1"/>
          <w:szCs w:val="24"/>
        </w:rPr>
        <w:t xml:space="preserve"> concuerda con el relato</w:t>
      </w:r>
      <w:r w:rsidR="4E979CDA" w:rsidRPr="00B462E4">
        <w:rPr>
          <w:color w:val="000000" w:themeColor="text1"/>
          <w:szCs w:val="24"/>
        </w:rPr>
        <w:t xml:space="preserve"> </w:t>
      </w:r>
      <w:r w:rsidRPr="00B462E4">
        <w:rPr>
          <w:color w:val="000000" w:themeColor="text1"/>
          <w:szCs w:val="24"/>
        </w:rPr>
        <w:t>del promotor del litigio</w:t>
      </w:r>
      <w:r w:rsidR="774C4CAA" w:rsidRPr="00B462E4">
        <w:rPr>
          <w:color w:val="000000" w:themeColor="text1"/>
          <w:szCs w:val="24"/>
        </w:rPr>
        <w:t>,</w:t>
      </w:r>
      <w:r w:rsidRPr="00B462E4">
        <w:rPr>
          <w:color w:val="000000" w:themeColor="text1"/>
          <w:szCs w:val="24"/>
        </w:rPr>
        <w:t xml:space="preserve"> quien afirmó que el 29 de noviembre de 2014</w:t>
      </w:r>
      <w:r w:rsidR="22406049" w:rsidRPr="00B462E4">
        <w:rPr>
          <w:color w:val="000000" w:themeColor="text1"/>
          <w:szCs w:val="24"/>
        </w:rPr>
        <w:t xml:space="preserve"> su contrato</w:t>
      </w:r>
      <w:r w:rsidRPr="00B462E4">
        <w:rPr>
          <w:color w:val="000000" w:themeColor="text1"/>
          <w:szCs w:val="24"/>
        </w:rPr>
        <w:t xml:space="preserve"> fue terminado</w:t>
      </w:r>
      <w:r w:rsidR="15581A27" w:rsidRPr="00B462E4">
        <w:rPr>
          <w:color w:val="000000" w:themeColor="text1"/>
          <w:szCs w:val="24"/>
        </w:rPr>
        <w:t>, so pretexto de la</w:t>
      </w:r>
      <w:r w:rsidRPr="00B462E4">
        <w:rPr>
          <w:color w:val="000000" w:themeColor="text1"/>
          <w:szCs w:val="24"/>
        </w:rPr>
        <w:t xml:space="preserve"> culminación de la obra o labor contratada</w:t>
      </w:r>
      <w:r w:rsidR="0EA3FE35" w:rsidRPr="00B462E4">
        <w:rPr>
          <w:color w:val="000000" w:themeColor="text1"/>
          <w:szCs w:val="24"/>
        </w:rPr>
        <w:t>, pese a que en la obra todavía seguían vinculados</w:t>
      </w:r>
      <w:r w:rsidRPr="00B462E4">
        <w:rPr>
          <w:color w:val="000000" w:themeColor="text1"/>
          <w:szCs w:val="24"/>
        </w:rPr>
        <w:t xml:space="preserve"> </w:t>
      </w:r>
      <w:r w:rsidR="74AA8CBF" w:rsidRPr="00B462E4">
        <w:rPr>
          <w:color w:val="000000" w:themeColor="text1"/>
          <w:szCs w:val="24"/>
        </w:rPr>
        <w:t>unos</w:t>
      </w:r>
      <w:r w:rsidRPr="00B462E4">
        <w:rPr>
          <w:color w:val="000000" w:themeColor="text1"/>
          <w:szCs w:val="24"/>
        </w:rPr>
        <w:t xml:space="preserve"> 10 o 12 </w:t>
      </w:r>
      <w:r w:rsidRPr="00B462E4">
        <w:rPr>
          <w:color w:val="000000" w:themeColor="text1"/>
          <w:szCs w:val="24"/>
        </w:rPr>
        <w:lastRenderedPageBreak/>
        <w:t>trabajadores</w:t>
      </w:r>
      <w:r w:rsidR="5126DF2C" w:rsidRPr="00B462E4">
        <w:rPr>
          <w:color w:val="000000" w:themeColor="text1"/>
          <w:szCs w:val="24"/>
        </w:rPr>
        <w:t xml:space="preserve">, pues faltaba la culminación de al menos </w:t>
      </w:r>
      <w:r w:rsidRPr="00B462E4">
        <w:rPr>
          <w:color w:val="000000" w:themeColor="text1"/>
          <w:szCs w:val="24"/>
        </w:rPr>
        <w:t>el 10% de la obra</w:t>
      </w:r>
      <w:r w:rsidR="075A1DCA" w:rsidRPr="00B462E4">
        <w:rPr>
          <w:color w:val="000000" w:themeColor="text1"/>
          <w:szCs w:val="24"/>
        </w:rPr>
        <w:t>; lo cual</w:t>
      </w:r>
      <w:r w:rsidRPr="00B462E4">
        <w:rPr>
          <w:color w:val="000000" w:themeColor="text1"/>
          <w:szCs w:val="24"/>
        </w:rPr>
        <w:t xml:space="preserve"> </w:t>
      </w:r>
      <w:r w:rsidR="51B853DF" w:rsidRPr="00B462E4">
        <w:rPr>
          <w:color w:val="000000" w:themeColor="text1"/>
          <w:szCs w:val="24"/>
        </w:rPr>
        <w:t>se corrobora con el dicho de</w:t>
      </w:r>
      <w:r w:rsidRPr="00B462E4">
        <w:rPr>
          <w:color w:val="000000" w:themeColor="text1"/>
          <w:szCs w:val="24"/>
        </w:rPr>
        <w:t xml:space="preserve"> Luis Delio Cardona Carrero, compañero de trabajo del demandante en la misma obra, quien para la calenda que despidieron al promotor del litigio siguió prestando el servicio más hasta finales de 2014 y aseguró que en noviembre solo le fue terminado el contrato de trabajo al demandante, por lo que no cabe duda que el contrato finalizó 21 días antes de la terminación de la obra, según se desprende del acta de terminación</w:t>
      </w:r>
      <w:r w:rsidR="45FF02FB" w:rsidRPr="00B462E4">
        <w:rPr>
          <w:color w:val="000000" w:themeColor="text1"/>
          <w:szCs w:val="24"/>
        </w:rPr>
        <w:t>,</w:t>
      </w:r>
      <w:r w:rsidRPr="00B462E4">
        <w:rPr>
          <w:color w:val="000000" w:themeColor="text1"/>
          <w:szCs w:val="24"/>
        </w:rPr>
        <w:t xml:space="preserve"> de ahí que se torne acertada la indemnización y cuantificación de la condena por despido injusto impuesta en primera instancia</w:t>
      </w:r>
      <w:r w:rsidR="005539F0" w:rsidRPr="00B462E4">
        <w:rPr>
          <w:color w:val="000000" w:themeColor="text1"/>
          <w:szCs w:val="24"/>
        </w:rPr>
        <w:t>, de conformidad con el inciso tercero del artículo 64 del Código Sustantivo del Trabajo.</w:t>
      </w:r>
    </w:p>
    <w:p w14:paraId="4A4D2A2C" w14:textId="77777777" w:rsidR="00A34FD8" w:rsidRPr="00B462E4" w:rsidRDefault="00A34FD8" w:rsidP="00B462E4">
      <w:pPr>
        <w:spacing w:line="276" w:lineRule="auto"/>
        <w:ind w:firstLine="720"/>
        <w:rPr>
          <w:color w:val="000000"/>
          <w:szCs w:val="24"/>
        </w:rPr>
      </w:pPr>
    </w:p>
    <w:p w14:paraId="1069A546" w14:textId="5E589C27" w:rsidR="005115F5" w:rsidRPr="00B462E4" w:rsidRDefault="00A34FD8" w:rsidP="00B462E4">
      <w:pPr>
        <w:spacing w:line="276" w:lineRule="auto"/>
        <w:ind w:firstLine="720"/>
        <w:rPr>
          <w:color w:val="000000"/>
          <w:szCs w:val="24"/>
        </w:rPr>
      </w:pPr>
      <w:r w:rsidRPr="00B462E4">
        <w:rPr>
          <w:color w:val="000000" w:themeColor="text1"/>
          <w:szCs w:val="24"/>
        </w:rPr>
        <w:t>Por otra parte,</w:t>
      </w:r>
      <w:r w:rsidR="006274C0" w:rsidRPr="00B462E4">
        <w:rPr>
          <w:color w:val="000000" w:themeColor="text1"/>
          <w:szCs w:val="24"/>
        </w:rPr>
        <w:t xml:space="preserve"> para</w:t>
      </w:r>
      <w:r w:rsidRPr="00B462E4">
        <w:rPr>
          <w:color w:val="000000" w:themeColor="text1"/>
          <w:szCs w:val="24"/>
        </w:rPr>
        <w:t xml:space="preserve"> establecer si al actor también le asistía la indemnización consagrada en el artículo 26 de la Ley 361 de 1997, </w:t>
      </w:r>
      <w:r w:rsidR="0041653B" w:rsidRPr="00B462E4">
        <w:rPr>
          <w:color w:val="000000" w:themeColor="text1"/>
          <w:szCs w:val="24"/>
        </w:rPr>
        <w:t xml:space="preserve">a la Sala le corresponde analizar si </w:t>
      </w:r>
      <w:r w:rsidR="005115F5" w:rsidRPr="00B462E4">
        <w:rPr>
          <w:color w:val="000000" w:themeColor="text1"/>
          <w:szCs w:val="24"/>
        </w:rPr>
        <w:t xml:space="preserve">el actor </w:t>
      </w:r>
      <w:r w:rsidR="0041653B" w:rsidRPr="00B462E4">
        <w:rPr>
          <w:color w:val="000000" w:themeColor="text1"/>
          <w:szCs w:val="24"/>
        </w:rPr>
        <w:t>era sujeto de especial protección</w:t>
      </w:r>
      <w:r w:rsidR="00107A1F" w:rsidRPr="00B462E4">
        <w:rPr>
          <w:color w:val="000000" w:themeColor="text1"/>
          <w:szCs w:val="24"/>
        </w:rPr>
        <w:t xml:space="preserve">, para lo cual </w:t>
      </w:r>
      <w:r w:rsidR="00350315" w:rsidRPr="00B462E4">
        <w:rPr>
          <w:color w:val="000000" w:themeColor="text1"/>
          <w:szCs w:val="24"/>
        </w:rPr>
        <w:t>era su carga procesal</w:t>
      </w:r>
      <w:r w:rsidR="00107A1F" w:rsidRPr="00B462E4">
        <w:rPr>
          <w:color w:val="000000" w:themeColor="text1"/>
          <w:szCs w:val="24"/>
        </w:rPr>
        <w:t xml:space="preserve"> demostrar la discapacidad de mediano o largo plazo</w:t>
      </w:r>
      <w:r w:rsidR="00B72FB6" w:rsidRPr="00B462E4">
        <w:rPr>
          <w:color w:val="000000" w:themeColor="text1"/>
          <w:szCs w:val="24"/>
        </w:rPr>
        <w:t>, aunado a la barrera de tipo laboral</w:t>
      </w:r>
      <w:r w:rsidR="00BF61E6" w:rsidRPr="00B462E4">
        <w:rPr>
          <w:color w:val="000000" w:themeColor="text1"/>
          <w:szCs w:val="24"/>
        </w:rPr>
        <w:t xml:space="preserve">, y que </w:t>
      </w:r>
      <w:r w:rsidR="005115F5" w:rsidRPr="00B462E4">
        <w:rPr>
          <w:color w:val="000000" w:themeColor="text1"/>
          <w:szCs w:val="24"/>
        </w:rPr>
        <w:t>dicha situación era conocida o notoria para el empleador, p</w:t>
      </w:r>
      <w:r w:rsidR="56BE15CE" w:rsidRPr="00B462E4">
        <w:rPr>
          <w:color w:val="000000" w:themeColor="text1"/>
          <w:szCs w:val="24"/>
        </w:rPr>
        <w:t>ues solo</w:t>
      </w:r>
      <w:r w:rsidR="005115F5" w:rsidRPr="00B462E4">
        <w:rPr>
          <w:color w:val="000000" w:themeColor="text1"/>
          <w:szCs w:val="24"/>
        </w:rPr>
        <w:t xml:space="preserve"> así</w:t>
      </w:r>
      <w:r w:rsidR="57292DFD" w:rsidRPr="00B462E4">
        <w:rPr>
          <w:color w:val="000000" w:themeColor="text1"/>
          <w:szCs w:val="24"/>
        </w:rPr>
        <w:t xml:space="preserve"> puede</w:t>
      </w:r>
      <w:r w:rsidR="005115F5" w:rsidRPr="00B462E4">
        <w:rPr>
          <w:color w:val="000000" w:themeColor="text1"/>
          <w:szCs w:val="24"/>
        </w:rPr>
        <w:t xml:space="preserve"> operar la presunción de despido discriminatorio, la cual correspondería desvirtuarla a este último.</w:t>
      </w:r>
    </w:p>
    <w:p w14:paraId="280B7653" w14:textId="3FF63709" w:rsidR="0041653B" w:rsidRPr="00B462E4" w:rsidRDefault="0041653B" w:rsidP="00B462E4">
      <w:pPr>
        <w:spacing w:line="276" w:lineRule="auto"/>
        <w:ind w:firstLine="720"/>
        <w:rPr>
          <w:color w:val="000000"/>
          <w:szCs w:val="24"/>
        </w:rPr>
      </w:pPr>
    </w:p>
    <w:p w14:paraId="7F8D2AF7" w14:textId="0902B68F" w:rsidR="00A34FD8" w:rsidRPr="00B462E4" w:rsidRDefault="00956BD8" w:rsidP="00B462E4">
      <w:pPr>
        <w:spacing w:line="276" w:lineRule="auto"/>
        <w:ind w:firstLine="720"/>
        <w:rPr>
          <w:color w:val="000000"/>
          <w:szCs w:val="24"/>
        </w:rPr>
      </w:pPr>
      <w:r w:rsidRPr="00B462E4">
        <w:rPr>
          <w:color w:val="000000"/>
          <w:szCs w:val="24"/>
        </w:rPr>
        <w:t xml:space="preserve">En este orden de ideas, se desprende del </w:t>
      </w:r>
      <w:r w:rsidR="00A34FD8" w:rsidRPr="00B462E4">
        <w:rPr>
          <w:color w:val="000000"/>
          <w:szCs w:val="24"/>
        </w:rPr>
        <w:t>certificado laboral de ingreso que el demandante al momento de iniciar sus labores era apto para las mismas y no tenía ningún tipo de limitación o recomendación</w:t>
      </w:r>
      <w:r w:rsidR="00A34FD8" w:rsidRPr="00B462E4">
        <w:rPr>
          <w:color w:val="000000"/>
          <w:szCs w:val="24"/>
          <w:vertAlign w:val="superscript"/>
        </w:rPr>
        <w:footnoteReference w:id="11"/>
      </w:r>
      <w:r w:rsidR="00A34FD8" w:rsidRPr="00B462E4">
        <w:rPr>
          <w:color w:val="000000"/>
          <w:szCs w:val="24"/>
        </w:rPr>
        <w:t xml:space="preserve">; sin embargo, como relata el actor en la demanda y </w:t>
      </w:r>
      <w:r w:rsidR="484EFEBC" w:rsidRPr="00B462E4">
        <w:rPr>
          <w:color w:val="000000"/>
          <w:szCs w:val="24"/>
        </w:rPr>
        <w:t>lo confirma</w:t>
      </w:r>
      <w:r w:rsidR="00A34FD8" w:rsidRPr="00B462E4">
        <w:rPr>
          <w:color w:val="000000"/>
          <w:szCs w:val="24"/>
        </w:rPr>
        <w:t xml:space="preserve"> el testigo Luis Delio</w:t>
      </w:r>
      <w:r w:rsidR="2F44C4C3" w:rsidRPr="00B462E4">
        <w:rPr>
          <w:color w:val="000000"/>
          <w:szCs w:val="24"/>
        </w:rPr>
        <w:t xml:space="preserve">, aquel </w:t>
      </w:r>
      <w:r w:rsidR="00A34FD8" w:rsidRPr="00B462E4">
        <w:rPr>
          <w:color w:val="000000"/>
          <w:szCs w:val="24"/>
        </w:rPr>
        <w:t>sufrió un accidente</w:t>
      </w:r>
      <w:r w:rsidR="5D8FC461" w:rsidRPr="00B462E4">
        <w:rPr>
          <w:color w:val="000000"/>
          <w:szCs w:val="24"/>
        </w:rPr>
        <w:t xml:space="preserve"> en ejercicio de sus actividades laborales, lo cual</w:t>
      </w:r>
      <w:r w:rsidR="00A34FD8" w:rsidRPr="00B462E4">
        <w:rPr>
          <w:color w:val="000000"/>
          <w:szCs w:val="24"/>
        </w:rPr>
        <w:t xml:space="preserve"> desencadenó una serie de incapacidades interrumpidas desde el 21 de julio hasta el 24 de noviembre de 2014 producto de los diagnósticos de hernia inguinal y cuidados posquirúrgicos, así:</w:t>
      </w:r>
    </w:p>
    <w:p w14:paraId="05BE243E" w14:textId="77777777" w:rsidR="00A34FD8" w:rsidRPr="00B462E4" w:rsidRDefault="00A34FD8" w:rsidP="00B462E4">
      <w:pPr>
        <w:spacing w:line="276" w:lineRule="auto"/>
        <w:ind w:firstLine="720"/>
        <w:rPr>
          <w:color w:val="000000"/>
          <w:szCs w:val="24"/>
        </w:rPr>
      </w:pPr>
    </w:p>
    <w:tbl>
      <w:tblPr>
        <w:tblStyle w:val="Tablaconcuadrcula"/>
        <w:tblW w:w="0" w:type="auto"/>
        <w:jc w:val="center"/>
        <w:tblLook w:val="04A0" w:firstRow="1" w:lastRow="0" w:firstColumn="1" w:lastColumn="0" w:noHBand="0" w:noVBand="1"/>
      </w:tblPr>
      <w:tblGrid>
        <w:gridCol w:w="1696"/>
        <w:gridCol w:w="1701"/>
        <w:gridCol w:w="1418"/>
        <w:gridCol w:w="1840"/>
      </w:tblGrid>
      <w:tr w:rsidR="00A34FD8" w:rsidRPr="00B462E4" w14:paraId="786B134D" w14:textId="77777777" w:rsidTr="006122F4">
        <w:trPr>
          <w:jc w:val="center"/>
        </w:trPr>
        <w:tc>
          <w:tcPr>
            <w:tcW w:w="1696" w:type="dxa"/>
          </w:tcPr>
          <w:p w14:paraId="3A4A03C8" w14:textId="77777777" w:rsidR="00A34FD8" w:rsidRPr="00B462E4" w:rsidRDefault="00A34FD8" w:rsidP="00B462E4">
            <w:pPr>
              <w:rPr>
                <w:b/>
                <w:bCs/>
                <w:color w:val="000000"/>
                <w:sz w:val="22"/>
                <w:szCs w:val="24"/>
              </w:rPr>
            </w:pPr>
            <w:r w:rsidRPr="00B462E4">
              <w:rPr>
                <w:b/>
                <w:bCs/>
                <w:color w:val="000000"/>
                <w:sz w:val="22"/>
                <w:szCs w:val="24"/>
              </w:rPr>
              <w:t>DESDE</w:t>
            </w:r>
          </w:p>
        </w:tc>
        <w:tc>
          <w:tcPr>
            <w:tcW w:w="1701" w:type="dxa"/>
          </w:tcPr>
          <w:p w14:paraId="447FD7D0" w14:textId="77777777" w:rsidR="00A34FD8" w:rsidRPr="00B462E4" w:rsidRDefault="00A34FD8" w:rsidP="00B462E4">
            <w:pPr>
              <w:rPr>
                <w:b/>
                <w:bCs/>
                <w:color w:val="000000"/>
                <w:sz w:val="22"/>
                <w:szCs w:val="24"/>
              </w:rPr>
            </w:pPr>
            <w:r w:rsidRPr="00B462E4">
              <w:rPr>
                <w:b/>
                <w:bCs/>
                <w:color w:val="000000"/>
                <w:sz w:val="22"/>
                <w:szCs w:val="24"/>
              </w:rPr>
              <w:t>HASTA</w:t>
            </w:r>
          </w:p>
        </w:tc>
        <w:tc>
          <w:tcPr>
            <w:tcW w:w="1418" w:type="dxa"/>
          </w:tcPr>
          <w:p w14:paraId="77871D54" w14:textId="77777777" w:rsidR="00A34FD8" w:rsidRPr="00B462E4" w:rsidRDefault="00A34FD8" w:rsidP="00B462E4">
            <w:pPr>
              <w:rPr>
                <w:b/>
                <w:bCs/>
                <w:color w:val="000000"/>
                <w:sz w:val="22"/>
                <w:szCs w:val="24"/>
              </w:rPr>
            </w:pPr>
            <w:r w:rsidRPr="00B462E4">
              <w:rPr>
                <w:b/>
                <w:bCs/>
                <w:color w:val="000000"/>
                <w:sz w:val="22"/>
                <w:szCs w:val="24"/>
              </w:rPr>
              <w:t xml:space="preserve">No. DIAS </w:t>
            </w:r>
          </w:p>
        </w:tc>
        <w:tc>
          <w:tcPr>
            <w:tcW w:w="1559" w:type="dxa"/>
          </w:tcPr>
          <w:p w14:paraId="157D0665" w14:textId="77777777" w:rsidR="00A34FD8" w:rsidRPr="00B462E4" w:rsidRDefault="00A34FD8" w:rsidP="00B462E4">
            <w:pPr>
              <w:rPr>
                <w:b/>
                <w:bCs/>
                <w:color w:val="000000"/>
                <w:sz w:val="22"/>
                <w:szCs w:val="24"/>
              </w:rPr>
            </w:pPr>
            <w:r w:rsidRPr="00B462E4">
              <w:rPr>
                <w:b/>
                <w:bCs/>
                <w:color w:val="000000"/>
                <w:sz w:val="22"/>
                <w:szCs w:val="24"/>
              </w:rPr>
              <w:t xml:space="preserve">DIAGNÓSTICO </w:t>
            </w:r>
          </w:p>
        </w:tc>
      </w:tr>
      <w:tr w:rsidR="00A34FD8" w:rsidRPr="00B462E4" w14:paraId="50692FEA" w14:textId="77777777" w:rsidTr="006122F4">
        <w:trPr>
          <w:jc w:val="center"/>
        </w:trPr>
        <w:tc>
          <w:tcPr>
            <w:tcW w:w="1696" w:type="dxa"/>
          </w:tcPr>
          <w:p w14:paraId="3ED05D2B" w14:textId="77777777" w:rsidR="00A34FD8" w:rsidRPr="00B462E4" w:rsidRDefault="00A34FD8" w:rsidP="00B462E4">
            <w:pPr>
              <w:rPr>
                <w:color w:val="000000"/>
                <w:sz w:val="22"/>
                <w:szCs w:val="24"/>
              </w:rPr>
            </w:pPr>
            <w:r w:rsidRPr="00B462E4">
              <w:rPr>
                <w:color w:val="000000"/>
                <w:sz w:val="22"/>
                <w:szCs w:val="24"/>
              </w:rPr>
              <w:t>13-may-2014</w:t>
            </w:r>
          </w:p>
        </w:tc>
        <w:tc>
          <w:tcPr>
            <w:tcW w:w="1701" w:type="dxa"/>
          </w:tcPr>
          <w:p w14:paraId="5A931F8C" w14:textId="77777777" w:rsidR="00A34FD8" w:rsidRPr="00B462E4" w:rsidRDefault="00A34FD8" w:rsidP="00B462E4">
            <w:pPr>
              <w:rPr>
                <w:color w:val="000000"/>
                <w:sz w:val="22"/>
                <w:szCs w:val="24"/>
              </w:rPr>
            </w:pPr>
            <w:r w:rsidRPr="00B462E4">
              <w:rPr>
                <w:color w:val="000000"/>
                <w:sz w:val="22"/>
                <w:szCs w:val="24"/>
              </w:rPr>
              <w:t>14-may-2014</w:t>
            </w:r>
          </w:p>
        </w:tc>
        <w:tc>
          <w:tcPr>
            <w:tcW w:w="1418" w:type="dxa"/>
          </w:tcPr>
          <w:p w14:paraId="592E3166" w14:textId="77777777" w:rsidR="00A34FD8" w:rsidRPr="00B462E4" w:rsidRDefault="00A34FD8" w:rsidP="00B462E4">
            <w:pPr>
              <w:rPr>
                <w:color w:val="000000"/>
                <w:sz w:val="22"/>
                <w:szCs w:val="24"/>
              </w:rPr>
            </w:pPr>
            <w:r w:rsidRPr="00B462E4">
              <w:rPr>
                <w:color w:val="000000"/>
                <w:sz w:val="22"/>
                <w:szCs w:val="24"/>
              </w:rPr>
              <w:t>2</w:t>
            </w:r>
          </w:p>
        </w:tc>
        <w:tc>
          <w:tcPr>
            <w:tcW w:w="1559" w:type="dxa"/>
          </w:tcPr>
          <w:p w14:paraId="5C29F357" w14:textId="77777777" w:rsidR="00A34FD8" w:rsidRPr="00B462E4" w:rsidRDefault="00A34FD8" w:rsidP="00B462E4">
            <w:pPr>
              <w:rPr>
                <w:color w:val="000000"/>
                <w:sz w:val="22"/>
                <w:szCs w:val="24"/>
              </w:rPr>
            </w:pPr>
            <w:r w:rsidRPr="00B462E4">
              <w:rPr>
                <w:color w:val="000000"/>
                <w:sz w:val="22"/>
                <w:szCs w:val="24"/>
              </w:rPr>
              <w:t xml:space="preserve">K20 </w:t>
            </w:r>
          </w:p>
        </w:tc>
      </w:tr>
      <w:tr w:rsidR="00A34FD8" w:rsidRPr="00B462E4" w14:paraId="5718C05D" w14:textId="77777777" w:rsidTr="006122F4">
        <w:trPr>
          <w:jc w:val="center"/>
        </w:trPr>
        <w:tc>
          <w:tcPr>
            <w:tcW w:w="1696" w:type="dxa"/>
          </w:tcPr>
          <w:p w14:paraId="6E5FFFA5" w14:textId="77777777" w:rsidR="00A34FD8" w:rsidRPr="00B462E4" w:rsidRDefault="00A34FD8" w:rsidP="00B462E4">
            <w:pPr>
              <w:rPr>
                <w:color w:val="000000"/>
                <w:sz w:val="22"/>
                <w:szCs w:val="24"/>
              </w:rPr>
            </w:pPr>
            <w:r w:rsidRPr="00B462E4">
              <w:rPr>
                <w:color w:val="000000"/>
                <w:sz w:val="22"/>
                <w:szCs w:val="24"/>
              </w:rPr>
              <w:t>18-jun-2014</w:t>
            </w:r>
          </w:p>
        </w:tc>
        <w:tc>
          <w:tcPr>
            <w:tcW w:w="1701" w:type="dxa"/>
          </w:tcPr>
          <w:p w14:paraId="73DF3C66" w14:textId="77777777" w:rsidR="00A34FD8" w:rsidRPr="00B462E4" w:rsidRDefault="00A34FD8" w:rsidP="00B462E4">
            <w:pPr>
              <w:rPr>
                <w:color w:val="000000"/>
                <w:sz w:val="22"/>
                <w:szCs w:val="24"/>
              </w:rPr>
            </w:pPr>
            <w:r w:rsidRPr="00B462E4">
              <w:rPr>
                <w:color w:val="000000"/>
                <w:sz w:val="22"/>
                <w:szCs w:val="24"/>
              </w:rPr>
              <w:t>18-jun-2014</w:t>
            </w:r>
          </w:p>
        </w:tc>
        <w:tc>
          <w:tcPr>
            <w:tcW w:w="1418" w:type="dxa"/>
          </w:tcPr>
          <w:p w14:paraId="561CFEC7" w14:textId="77777777" w:rsidR="00A34FD8" w:rsidRPr="00B462E4" w:rsidRDefault="00A34FD8" w:rsidP="00B462E4">
            <w:pPr>
              <w:rPr>
                <w:color w:val="000000"/>
                <w:sz w:val="22"/>
                <w:szCs w:val="24"/>
              </w:rPr>
            </w:pPr>
            <w:r w:rsidRPr="00B462E4">
              <w:rPr>
                <w:color w:val="000000"/>
                <w:sz w:val="22"/>
                <w:szCs w:val="24"/>
              </w:rPr>
              <w:t>1</w:t>
            </w:r>
          </w:p>
        </w:tc>
        <w:tc>
          <w:tcPr>
            <w:tcW w:w="1559" w:type="dxa"/>
          </w:tcPr>
          <w:p w14:paraId="3166FD86" w14:textId="77777777" w:rsidR="00A34FD8" w:rsidRPr="00B462E4" w:rsidRDefault="00A34FD8" w:rsidP="00B462E4">
            <w:pPr>
              <w:rPr>
                <w:color w:val="000000"/>
                <w:sz w:val="22"/>
                <w:szCs w:val="24"/>
              </w:rPr>
            </w:pPr>
            <w:r w:rsidRPr="00B462E4">
              <w:rPr>
                <w:color w:val="000000"/>
                <w:sz w:val="22"/>
                <w:szCs w:val="24"/>
              </w:rPr>
              <w:t>R05</w:t>
            </w:r>
          </w:p>
        </w:tc>
      </w:tr>
      <w:tr w:rsidR="00A34FD8" w:rsidRPr="00B462E4" w14:paraId="1B98650C" w14:textId="77777777" w:rsidTr="006122F4">
        <w:trPr>
          <w:jc w:val="center"/>
        </w:trPr>
        <w:tc>
          <w:tcPr>
            <w:tcW w:w="1696" w:type="dxa"/>
          </w:tcPr>
          <w:p w14:paraId="6B98A2F3" w14:textId="77777777" w:rsidR="00A34FD8" w:rsidRPr="00B462E4" w:rsidRDefault="00A34FD8" w:rsidP="00B462E4">
            <w:pPr>
              <w:rPr>
                <w:color w:val="000000"/>
                <w:sz w:val="22"/>
                <w:szCs w:val="24"/>
              </w:rPr>
            </w:pPr>
            <w:r w:rsidRPr="00B462E4">
              <w:rPr>
                <w:color w:val="000000"/>
                <w:sz w:val="22"/>
                <w:szCs w:val="24"/>
              </w:rPr>
              <w:t>15-jul-2014</w:t>
            </w:r>
          </w:p>
        </w:tc>
        <w:tc>
          <w:tcPr>
            <w:tcW w:w="1701" w:type="dxa"/>
          </w:tcPr>
          <w:p w14:paraId="59B02515" w14:textId="77777777" w:rsidR="00A34FD8" w:rsidRPr="00B462E4" w:rsidRDefault="00A34FD8" w:rsidP="00B462E4">
            <w:pPr>
              <w:rPr>
                <w:color w:val="000000"/>
                <w:sz w:val="22"/>
                <w:szCs w:val="24"/>
              </w:rPr>
            </w:pPr>
            <w:r w:rsidRPr="00B462E4">
              <w:rPr>
                <w:color w:val="000000"/>
                <w:sz w:val="22"/>
                <w:szCs w:val="24"/>
              </w:rPr>
              <w:t>16-jul-2014</w:t>
            </w:r>
          </w:p>
        </w:tc>
        <w:tc>
          <w:tcPr>
            <w:tcW w:w="1418" w:type="dxa"/>
          </w:tcPr>
          <w:p w14:paraId="558B8A8B" w14:textId="77777777" w:rsidR="00A34FD8" w:rsidRPr="00B462E4" w:rsidRDefault="00A34FD8" w:rsidP="00B462E4">
            <w:pPr>
              <w:rPr>
                <w:color w:val="000000"/>
                <w:sz w:val="22"/>
                <w:szCs w:val="24"/>
              </w:rPr>
            </w:pPr>
            <w:r w:rsidRPr="00B462E4">
              <w:rPr>
                <w:color w:val="000000"/>
                <w:sz w:val="22"/>
                <w:szCs w:val="24"/>
              </w:rPr>
              <w:t>2</w:t>
            </w:r>
          </w:p>
        </w:tc>
        <w:tc>
          <w:tcPr>
            <w:tcW w:w="1559" w:type="dxa"/>
          </w:tcPr>
          <w:p w14:paraId="654ED042" w14:textId="77777777" w:rsidR="00A34FD8" w:rsidRPr="00B462E4" w:rsidRDefault="00A34FD8" w:rsidP="00B462E4">
            <w:pPr>
              <w:rPr>
                <w:color w:val="000000"/>
                <w:sz w:val="22"/>
                <w:szCs w:val="24"/>
              </w:rPr>
            </w:pPr>
            <w:r w:rsidRPr="00B462E4">
              <w:rPr>
                <w:color w:val="000000"/>
                <w:sz w:val="22"/>
                <w:szCs w:val="24"/>
              </w:rPr>
              <w:t>R10,4</w:t>
            </w:r>
          </w:p>
        </w:tc>
      </w:tr>
      <w:tr w:rsidR="00A34FD8" w:rsidRPr="00B462E4" w14:paraId="6364807D" w14:textId="77777777" w:rsidTr="006122F4">
        <w:trPr>
          <w:jc w:val="center"/>
        </w:trPr>
        <w:tc>
          <w:tcPr>
            <w:tcW w:w="1696" w:type="dxa"/>
          </w:tcPr>
          <w:p w14:paraId="40693482" w14:textId="77777777" w:rsidR="00A34FD8" w:rsidRPr="00B462E4" w:rsidRDefault="00A34FD8" w:rsidP="00B462E4">
            <w:pPr>
              <w:rPr>
                <w:color w:val="000000"/>
                <w:sz w:val="22"/>
                <w:szCs w:val="24"/>
              </w:rPr>
            </w:pPr>
            <w:r w:rsidRPr="00B462E4">
              <w:rPr>
                <w:color w:val="000000"/>
                <w:sz w:val="22"/>
                <w:szCs w:val="24"/>
              </w:rPr>
              <w:t>21-jul-2014</w:t>
            </w:r>
          </w:p>
        </w:tc>
        <w:tc>
          <w:tcPr>
            <w:tcW w:w="1701" w:type="dxa"/>
          </w:tcPr>
          <w:p w14:paraId="1F102D14" w14:textId="77777777" w:rsidR="00A34FD8" w:rsidRPr="00B462E4" w:rsidRDefault="00A34FD8" w:rsidP="00B462E4">
            <w:pPr>
              <w:rPr>
                <w:color w:val="000000"/>
                <w:sz w:val="22"/>
                <w:szCs w:val="24"/>
              </w:rPr>
            </w:pPr>
            <w:r w:rsidRPr="00B462E4">
              <w:rPr>
                <w:color w:val="000000"/>
                <w:sz w:val="22"/>
                <w:szCs w:val="24"/>
              </w:rPr>
              <w:t>21-jul-2014</w:t>
            </w:r>
          </w:p>
        </w:tc>
        <w:tc>
          <w:tcPr>
            <w:tcW w:w="1418" w:type="dxa"/>
          </w:tcPr>
          <w:p w14:paraId="4A9E278A" w14:textId="77777777" w:rsidR="00A34FD8" w:rsidRPr="00B462E4" w:rsidRDefault="00A34FD8" w:rsidP="00B462E4">
            <w:pPr>
              <w:rPr>
                <w:color w:val="000000"/>
                <w:sz w:val="22"/>
                <w:szCs w:val="24"/>
              </w:rPr>
            </w:pPr>
            <w:r w:rsidRPr="00B462E4">
              <w:rPr>
                <w:color w:val="000000"/>
                <w:sz w:val="22"/>
                <w:szCs w:val="24"/>
              </w:rPr>
              <w:t>1</w:t>
            </w:r>
          </w:p>
        </w:tc>
        <w:tc>
          <w:tcPr>
            <w:tcW w:w="1559" w:type="dxa"/>
          </w:tcPr>
          <w:p w14:paraId="305FB9B7" w14:textId="77777777" w:rsidR="00A34FD8" w:rsidRPr="00B462E4" w:rsidRDefault="00A34FD8" w:rsidP="00B462E4">
            <w:pPr>
              <w:rPr>
                <w:color w:val="000000"/>
                <w:sz w:val="22"/>
                <w:szCs w:val="24"/>
              </w:rPr>
            </w:pPr>
            <w:r w:rsidRPr="00B462E4">
              <w:rPr>
                <w:color w:val="000000"/>
                <w:sz w:val="22"/>
                <w:szCs w:val="24"/>
              </w:rPr>
              <w:t xml:space="preserve">K40.9 </w:t>
            </w:r>
          </w:p>
        </w:tc>
      </w:tr>
      <w:tr w:rsidR="00A34FD8" w:rsidRPr="00B462E4" w14:paraId="533E6076" w14:textId="77777777" w:rsidTr="006122F4">
        <w:trPr>
          <w:jc w:val="center"/>
        </w:trPr>
        <w:tc>
          <w:tcPr>
            <w:tcW w:w="1696" w:type="dxa"/>
          </w:tcPr>
          <w:p w14:paraId="21A2218A" w14:textId="77777777" w:rsidR="00A34FD8" w:rsidRPr="00B462E4" w:rsidRDefault="00A34FD8" w:rsidP="00B462E4">
            <w:pPr>
              <w:rPr>
                <w:color w:val="000000"/>
                <w:sz w:val="22"/>
                <w:szCs w:val="24"/>
              </w:rPr>
            </w:pPr>
            <w:r w:rsidRPr="00B462E4">
              <w:rPr>
                <w:color w:val="000000"/>
                <w:sz w:val="22"/>
                <w:szCs w:val="24"/>
              </w:rPr>
              <w:t>25-jul-2014</w:t>
            </w:r>
          </w:p>
        </w:tc>
        <w:tc>
          <w:tcPr>
            <w:tcW w:w="1701" w:type="dxa"/>
          </w:tcPr>
          <w:p w14:paraId="63ED74B6" w14:textId="77777777" w:rsidR="00A34FD8" w:rsidRPr="00B462E4" w:rsidRDefault="00A34FD8" w:rsidP="00B462E4">
            <w:pPr>
              <w:rPr>
                <w:color w:val="000000"/>
                <w:sz w:val="22"/>
                <w:szCs w:val="24"/>
              </w:rPr>
            </w:pPr>
            <w:r w:rsidRPr="00B462E4">
              <w:rPr>
                <w:color w:val="000000"/>
                <w:sz w:val="22"/>
                <w:szCs w:val="24"/>
              </w:rPr>
              <w:t>26-jul-2014</w:t>
            </w:r>
          </w:p>
        </w:tc>
        <w:tc>
          <w:tcPr>
            <w:tcW w:w="1418" w:type="dxa"/>
          </w:tcPr>
          <w:p w14:paraId="27A35232" w14:textId="77777777" w:rsidR="00A34FD8" w:rsidRPr="00B462E4" w:rsidRDefault="00A34FD8" w:rsidP="00B462E4">
            <w:pPr>
              <w:rPr>
                <w:color w:val="000000"/>
                <w:sz w:val="22"/>
                <w:szCs w:val="24"/>
              </w:rPr>
            </w:pPr>
            <w:r w:rsidRPr="00B462E4">
              <w:rPr>
                <w:color w:val="000000"/>
                <w:sz w:val="22"/>
                <w:szCs w:val="24"/>
              </w:rPr>
              <w:t>2</w:t>
            </w:r>
          </w:p>
        </w:tc>
        <w:tc>
          <w:tcPr>
            <w:tcW w:w="1559" w:type="dxa"/>
          </w:tcPr>
          <w:p w14:paraId="3F95071B" w14:textId="77777777" w:rsidR="00A34FD8" w:rsidRPr="00B462E4" w:rsidRDefault="00A34FD8" w:rsidP="00B462E4">
            <w:pPr>
              <w:rPr>
                <w:color w:val="000000"/>
                <w:sz w:val="22"/>
                <w:szCs w:val="24"/>
              </w:rPr>
            </w:pPr>
            <w:r w:rsidRPr="00B462E4">
              <w:rPr>
                <w:color w:val="000000"/>
                <w:sz w:val="22"/>
                <w:szCs w:val="24"/>
              </w:rPr>
              <w:t>K40.9</w:t>
            </w:r>
          </w:p>
        </w:tc>
      </w:tr>
      <w:tr w:rsidR="00A34FD8" w:rsidRPr="00B462E4" w14:paraId="696FB2E4" w14:textId="77777777" w:rsidTr="006122F4">
        <w:trPr>
          <w:jc w:val="center"/>
        </w:trPr>
        <w:tc>
          <w:tcPr>
            <w:tcW w:w="1696" w:type="dxa"/>
          </w:tcPr>
          <w:p w14:paraId="1B077DEA" w14:textId="77777777" w:rsidR="00A34FD8" w:rsidRPr="00B462E4" w:rsidRDefault="00A34FD8" w:rsidP="00B462E4">
            <w:pPr>
              <w:rPr>
                <w:color w:val="000000"/>
                <w:sz w:val="22"/>
                <w:szCs w:val="24"/>
              </w:rPr>
            </w:pPr>
            <w:r w:rsidRPr="00B462E4">
              <w:rPr>
                <w:color w:val="000000"/>
                <w:sz w:val="22"/>
                <w:szCs w:val="24"/>
              </w:rPr>
              <w:t>06-ago-2014</w:t>
            </w:r>
          </w:p>
        </w:tc>
        <w:tc>
          <w:tcPr>
            <w:tcW w:w="1701" w:type="dxa"/>
          </w:tcPr>
          <w:p w14:paraId="097634D5" w14:textId="77777777" w:rsidR="00A34FD8" w:rsidRPr="00B462E4" w:rsidRDefault="00A34FD8" w:rsidP="00B462E4">
            <w:pPr>
              <w:rPr>
                <w:color w:val="000000"/>
                <w:sz w:val="22"/>
                <w:szCs w:val="24"/>
              </w:rPr>
            </w:pPr>
            <w:r w:rsidRPr="00B462E4">
              <w:rPr>
                <w:color w:val="000000"/>
                <w:sz w:val="22"/>
                <w:szCs w:val="24"/>
              </w:rPr>
              <w:t>08-ago-2014</w:t>
            </w:r>
          </w:p>
        </w:tc>
        <w:tc>
          <w:tcPr>
            <w:tcW w:w="1418" w:type="dxa"/>
          </w:tcPr>
          <w:p w14:paraId="16D5730C" w14:textId="77777777" w:rsidR="00A34FD8" w:rsidRPr="00B462E4" w:rsidRDefault="00A34FD8" w:rsidP="00B462E4">
            <w:pPr>
              <w:rPr>
                <w:color w:val="000000"/>
                <w:sz w:val="22"/>
                <w:szCs w:val="24"/>
              </w:rPr>
            </w:pPr>
            <w:r w:rsidRPr="00B462E4">
              <w:rPr>
                <w:color w:val="000000"/>
                <w:sz w:val="22"/>
                <w:szCs w:val="24"/>
              </w:rPr>
              <w:t>3</w:t>
            </w:r>
          </w:p>
        </w:tc>
        <w:tc>
          <w:tcPr>
            <w:tcW w:w="1559" w:type="dxa"/>
          </w:tcPr>
          <w:p w14:paraId="15AB5885" w14:textId="77777777" w:rsidR="00A34FD8" w:rsidRPr="00B462E4" w:rsidRDefault="00A34FD8" w:rsidP="00B462E4">
            <w:pPr>
              <w:rPr>
                <w:color w:val="000000"/>
                <w:sz w:val="22"/>
                <w:szCs w:val="24"/>
              </w:rPr>
            </w:pPr>
            <w:r w:rsidRPr="00B462E4">
              <w:rPr>
                <w:color w:val="000000"/>
                <w:sz w:val="22"/>
                <w:szCs w:val="24"/>
              </w:rPr>
              <w:t>K40.9</w:t>
            </w:r>
          </w:p>
        </w:tc>
      </w:tr>
      <w:tr w:rsidR="00A34FD8" w:rsidRPr="00B462E4" w14:paraId="3F69F799" w14:textId="77777777" w:rsidTr="006122F4">
        <w:trPr>
          <w:jc w:val="center"/>
        </w:trPr>
        <w:tc>
          <w:tcPr>
            <w:tcW w:w="1696" w:type="dxa"/>
          </w:tcPr>
          <w:p w14:paraId="7D2EC717" w14:textId="77777777" w:rsidR="00A34FD8" w:rsidRPr="00B462E4" w:rsidRDefault="00A34FD8" w:rsidP="00B462E4">
            <w:pPr>
              <w:rPr>
                <w:color w:val="000000"/>
                <w:sz w:val="22"/>
                <w:szCs w:val="24"/>
              </w:rPr>
            </w:pPr>
            <w:r w:rsidRPr="00B462E4">
              <w:rPr>
                <w:color w:val="000000"/>
                <w:sz w:val="22"/>
                <w:szCs w:val="24"/>
              </w:rPr>
              <w:t>27-ago-2014</w:t>
            </w:r>
          </w:p>
        </w:tc>
        <w:tc>
          <w:tcPr>
            <w:tcW w:w="1701" w:type="dxa"/>
          </w:tcPr>
          <w:p w14:paraId="0698BDA3" w14:textId="77777777" w:rsidR="00A34FD8" w:rsidRPr="00B462E4" w:rsidRDefault="00A34FD8" w:rsidP="00B462E4">
            <w:pPr>
              <w:rPr>
                <w:color w:val="000000"/>
                <w:sz w:val="22"/>
                <w:szCs w:val="24"/>
              </w:rPr>
            </w:pPr>
            <w:r w:rsidRPr="00B462E4">
              <w:rPr>
                <w:color w:val="000000"/>
                <w:sz w:val="22"/>
                <w:szCs w:val="24"/>
              </w:rPr>
              <w:t>29-ago-2014</w:t>
            </w:r>
          </w:p>
        </w:tc>
        <w:tc>
          <w:tcPr>
            <w:tcW w:w="1418" w:type="dxa"/>
          </w:tcPr>
          <w:p w14:paraId="2CAFC87E" w14:textId="77777777" w:rsidR="00A34FD8" w:rsidRPr="00B462E4" w:rsidRDefault="00A34FD8" w:rsidP="00B462E4">
            <w:pPr>
              <w:rPr>
                <w:color w:val="000000"/>
                <w:sz w:val="22"/>
                <w:szCs w:val="24"/>
              </w:rPr>
            </w:pPr>
            <w:r w:rsidRPr="00B462E4">
              <w:rPr>
                <w:color w:val="000000"/>
                <w:sz w:val="22"/>
                <w:szCs w:val="24"/>
              </w:rPr>
              <w:t>3</w:t>
            </w:r>
          </w:p>
        </w:tc>
        <w:tc>
          <w:tcPr>
            <w:tcW w:w="1559" w:type="dxa"/>
          </w:tcPr>
          <w:p w14:paraId="6EAB5F0A" w14:textId="77777777" w:rsidR="00A34FD8" w:rsidRPr="00B462E4" w:rsidRDefault="00A34FD8" w:rsidP="00B462E4">
            <w:pPr>
              <w:rPr>
                <w:color w:val="000000"/>
                <w:sz w:val="22"/>
                <w:szCs w:val="24"/>
              </w:rPr>
            </w:pPr>
            <w:r w:rsidRPr="00B462E4">
              <w:rPr>
                <w:color w:val="000000"/>
                <w:sz w:val="22"/>
                <w:szCs w:val="24"/>
              </w:rPr>
              <w:t>K40.9</w:t>
            </w:r>
          </w:p>
        </w:tc>
      </w:tr>
      <w:tr w:rsidR="00A34FD8" w:rsidRPr="00B462E4" w14:paraId="4ABF6086" w14:textId="77777777" w:rsidTr="006122F4">
        <w:trPr>
          <w:jc w:val="center"/>
        </w:trPr>
        <w:tc>
          <w:tcPr>
            <w:tcW w:w="1696" w:type="dxa"/>
          </w:tcPr>
          <w:p w14:paraId="5F4C70E3" w14:textId="77777777" w:rsidR="00A34FD8" w:rsidRPr="00B462E4" w:rsidRDefault="00A34FD8" w:rsidP="00B462E4">
            <w:pPr>
              <w:rPr>
                <w:color w:val="000000"/>
                <w:sz w:val="22"/>
                <w:szCs w:val="24"/>
              </w:rPr>
            </w:pPr>
            <w:r w:rsidRPr="00B462E4">
              <w:rPr>
                <w:color w:val="000000"/>
                <w:sz w:val="22"/>
                <w:szCs w:val="24"/>
              </w:rPr>
              <w:t>05-sep-2014</w:t>
            </w:r>
          </w:p>
        </w:tc>
        <w:tc>
          <w:tcPr>
            <w:tcW w:w="1701" w:type="dxa"/>
          </w:tcPr>
          <w:p w14:paraId="1293992C" w14:textId="77777777" w:rsidR="00A34FD8" w:rsidRPr="00B462E4" w:rsidRDefault="00A34FD8" w:rsidP="00B462E4">
            <w:pPr>
              <w:rPr>
                <w:color w:val="000000"/>
                <w:sz w:val="22"/>
                <w:szCs w:val="24"/>
              </w:rPr>
            </w:pPr>
            <w:r w:rsidRPr="00B462E4">
              <w:rPr>
                <w:color w:val="000000"/>
                <w:sz w:val="22"/>
                <w:szCs w:val="24"/>
              </w:rPr>
              <w:t>06-sep-2014</w:t>
            </w:r>
          </w:p>
        </w:tc>
        <w:tc>
          <w:tcPr>
            <w:tcW w:w="1418" w:type="dxa"/>
          </w:tcPr>
          <w:p w14:paraId="4367E541" w14:textId="77777777" w:rsidR="00A34FD8" w:rsidRPr="00B462E4" w:rsidRDefault="00A34FD8" w:rsidP="00B462E4">
            <w:pPr>
              <w:rPr>
                <w:color w:val="000000"/>
                <w:sz w:val="22"/>
                <w:szCs w:val="24"/>
              </w:rPr>
            </w:pPr>
            <w:r w:rsidRPr="00B462E4">
              <w:rPr>
                <w:color w:val="000000"/>
                <w:sz w:val="22"/>
                <w:szCs w:val="24"/>
              </w:rPr>
              <w:t>2</w:t>
            </w:r>
          </w:p>
        </w:tc>
        <w:tc>
          <w:tcPr>
            <w:tcW w:w="1559" w:type="dxa"/>
          </w:tcPr>
          <w:p w14:paraId="03D2D844" w14:textId="77777777" w:rsidR="00A34FD8" w:rsidRPr="00B462E4" w:rsidRDefault="00A34FD8" w:rsidP="00B462E4">
            <w:pPr>
              <w:rPr>
                <w:color w:val="000000"/>
                <w:sz w:val="22"/>
                <w:szCs w:val="24"/>
              </w:rPr>
            </w:pPr>
            <w:r w:rsidRPr="00B462E4">
              <w:rPr>
                <w:color w:val="000000"/>
                <w:sz w:val="22"/>
                <w:szCs w:val="24"/>
              </w:rPr>
              <w:t>K40.9</w:t>
            </w:r>
          </w:p>
        </w:tc>
      </w:tr>
      <w:tr w:rsidR="00A34FD8" w:rsidRPr="00B462E4" w14:paraId="54AAFBE8" w14:textId="77777777" w:rsidTr="006122F4">
        <w:trPr>
          <w:jc w:val="center"/>
        </w:trPr>
        <w:tc>
          <w:tcPr>
            <w:tcW w:w="1696" w:type="dxa"/>
          </w:tcPr>
          <w:p w14:paraId="2AE6DAE2" w14:textId="77777777" w:rsidR="00A34FD8" w:rsidRPr="00B462E4" w:rsidRDefault="00A34FD8" w:rsidP="00B462E4">
            <w:pPr>
              <w:rPr>
                <w:color w:val="000000"/>
                <w:sz w:val="22"/>
                <w:szCs w:val="24"/>
              </w:rPr>
            </w:pPr>
            <w:r w:rsidRPr="00B462E4">
              <w:rPr>
                <w:color w:val="000000"/>
                <w:sz w:val="22"/>
                <w:szCs w:val="24"/>
              </w:rPr>
              <w:t>29-sep-2014</w:t>
            </w:r>
          </w:p>
        </w:tc>
        <w:tc>
          <w:tcPr>
            <w:tcW w:w="1701" w:type="dxa"/>
          </w:tcPr>
          <w:p w14:paraId="7567E0A6" w14:textId="77777777" w:rsidR="00A34FD8" w:rsidRPr="00B462E4" w:rsidRDefault="00A34FD8" w:rsidP="00B462E4">
            <w:pPr>
              <w:rPr>
                <w:color w:val="000000"/>
                <w:sz w:val="22"/>
                <w:szCs w:val="24"/>
              </w:rPr>
            </w:pPr>
            <w:r w:rsidRPr="00B462E4">
              <w:rPr>
                <w:color w:val="000000"/>
                <w:sz w:val="22"/>
                <w:szCs w:val="24"/>
              </w:rPr>
              <w:t>01-oct-2014</w:t>
            </w:r>
          </w:p>
        </w:tc>
        <w:tc>
          <w:tcPr>
            <w:tcW w:w="1418" w:type="dxa"/>
          </w:tcPr>
          <w:p w14:paraId="2D222443" w14:textId="77777777" w:rsidR="00A34FD8" w:rsidRPr="00B462E4" w:rsidRDefault="00A34FD8" w:rsidP="00B462E4">
            <w:pPr>
              <w:rPr>
                <w:color w:val="000000"/>
                <w:sz w:val="22"/>
                <w:szCs w:val="24"/>
              </w:rPr>
            </w:pPr>
            <w:r w:rsidRPr="00B462E4">
              <w:rPr>
                <w:color w:val="000000"/>
                <w:sz w:val="22"/>
                <w:szCs w:val="24"/>
              </w:rPr>
              <w:t>3</w:t>
            </w:r>
          </w:p>
        </w:tc>
        <w:tc>
          <w:tcPr>
            <w:tcW w:w="1559" w:type="dxa"/>
          </w:tcPr>
          <w:p w14:paraId="11D5DDCF" w14:textId="77777777" w:rsidR="00A34FD8" w:rsidRPr="00B462E4" w:rsidRDefault="00A34FD8" w:rsidP="00B462E4">
            <w:pPr>
              <w:rPr>
                <w:color w:val="000000"/>
                <w:sz w:val="22"/>
                <w:szCs w:val="24"/>
              </w:rPr>
            </w:pPr>
            <w:r w:rsidRPr="00B462E4">
              <w:rPr>
                <w:color w:val="000000"/>
                <w:sz w:val="22"/>
                <w:szCs w:val="24"/>
              </w:rPr>
              <w:t>K40.9</w:t>
            </w:r>
          </w:p>
        </w:tc>
      </w:tr>
      <w:tr w:rsidR="00A34FD8" w:rsidRPr="00B462E4" w14:paraId="1EBB6E5F" w14:textId="77777777" w:rsidTr="006122F4">
        <w:trPr>
          <w:jc w:val="center"/>
        </w:trPr>
        <w:tc>
          <w:tcPr>
            <w:tcW w:w="1696" w:type="dxa"/>
          </w:tcPr>
          <w:p w14:paraId="3E8EC57A" w14:textId="77777777" w:rsidR="00A34FD8" w:rsidRPr="00B462E4" w:rsidRDefault="00A34FD8" w:rsidP="00B462E4">
            <w:pPr>
              <w:rPr>
                <w:color w:val="000000"/>
                <w:sz w:val="22"/>
                <w:szCs w:val="24"/>
              </w:rPr>
            </w:pPr>
            <w:r w:rsidRPr="00B462E4">
              <w:rPr>
                <w:color w:val="000000"/>
                <w:sz w:val="22"/>
                <w:szCs w:val="24"/>
              </w:rPr>
              <w:t>24-oct-2014</w:t>
            </w:r>
          </w:p>
        </w:tc>
        <w:tc>
          <w:tcPr>
            <w:tcW w:w="1701" w:type="dxa"/>
          </w:tcPr>
          <w:p w14:paraId="063ABD21" w14:textId="77777777" w:rsidR="00A34FD8" w:rsidRPr="00B462E4" w:rsidRDefault="00A34FD8" w:rsidP="00B462E4">
            <w:pPr>
              <w:rPr>
                <w:color w:val="000000"/>
                <w:sz w:val="22"/>
                <w:szCs w:val="24"/>
              </w:rPr>
            </w:pPr>
            <w:r w:rsidRPr="00B462E4">
              <w:rPr>
                <w:color w:val="000000"/>
                <w:sz w:val="22"/>
                <w:szCs w:val="24"/>
              </w:rPr>
              <w:t>25-oct-2014</w:t>
            </w:r>
          </w:p>
        </w:tc>
        <w:tc>
          <w:tcPr>
            <w:tcW w:w="1418" w:type="dxa"/>
          </w:tcPr>
          <w:p w14:paraId="16764C5E" w14:textId="77777777" w:rsidR="00A34FD8" w:rsidRPr="00B462E4" w:rsidRDefault="00A34FD8" w:rsidP="00B462E4">
            <w:pPr>
              <w:rPr>
                <w:color w:val="000000"/>
                <w:sz w:val="22"/>
                <w:szCs w:val="24"/>
              </w:rPr>
            </w:pPr>
            <w:r w:rsidRPr="00B462E4">
              <w:rPr>
                <w:color w:val="000000"/>
                <w:sz w:val="22"/>
                <w:szCs w:val="24"/>
              </w:rPr>
              <w:t>2</w:t>
            </w:r>
          </w:p>
        </w:tc>
        <w:tc>
          <w:tcPr>
            <w:tcW w:w="1559" w:type="dxa"/>
          </w:tcPr>
          <w:p w14:paraId="535C8086" w14:textId="77777777" w:rsidR="00A34FD8" w:rsidRPr="00B462E4" w:rsidRDefault="00A34FD8" w:rsidP="00B462E4">
            <w:pPr>
              <w:rPr>
                <w:color w:val="000000"/>
                <w:sz w:val="22"/>
                <w:szCs w:val="24"/>
              </w:rPr>
            </w:pPr>
            <w:r w:rsidRPr="00B462E4">
              <w:rPr>
                <w:color w:val="000000"/>
                <w:sz w:val="22"/>
                <w:szCs w:val="24"/>
              </w:rPr>
              <w:t>Z48.9</w:t>
            </w:r>
          </w:p>
        </w:tc>
      </w:tr>
      <w:tr w:rsidR="00A34FD8" w:rsidRPr="00B462E4" w14:paraId="48A46C52" w14:textId="77777777" w:rsidTr="006122F4">
        <w:trPr>
          <w:jc w:val="center"/>
        </w:trPr>
        <w:tc>
          <w:tcPr>
            <w:tcW w:w="1696" w:type="dxa"/>
          </w:tcPr>
          <w:p w14:paraId="1785F640" w14:textId="77777777" w:rsidR="00A34FD8" w:rsidRPr="00B462E4" w:rsidRDefault="00A34FD8" w:rsidP="00B462E4">
            <w:pPr>
              <w:rPr>
                <w:color w:val="000000"/>
                <w:sz w:val="22"/>
                <w:szCs w:val="24"/>
              </w:rPr>
            </w:pPr>
            <w:r w:rsidRPr="00B462E4">
              <w:rPr>
                <w:color w:val="000000"/>
                <w:sz w:val="22"/>
                <w:szCs w:val="24"/>
              </w:rPr>
              <w:t>26-oct-2014</w:t>
            </w:r>
          </w:p>
        </w:tc>
        <w:tc>
          <w:tcPr>
            <w:tcW w:w="1701" w:type="dxa"/>
          </w:tcPr>
          <w:p w14:paraId="0944B086" w14:textId="77777777" w:rsidR="00A34FD8" w:rsidRPr="00B462E4" w:rsidRDefault="00A34FD8" w:rsidP="00B462E4">
            <w:pPr>
              <w:rPr>
                <w:color w:val="000000"/>
                <w:sz w:val="22"/>
                <w:szCs w:val="24"/>
              </w:rPr>
            </w:pPr>
            <w:r w:rsidRPr="00B462E4">
              <w:rPr>
                <w:color w:val="000000"/>
                <w:sz w:val="22"/>
                <w:szCs w:val="24"/>
              </w:rPr>
              <w:t>08-nov-2014</w:t>
            </w:r>
          </w:p>
        </w:tc>
        <w:tc>
          <w:tcPr>
            <w:tcW w:w="1418" w:type="dxa"/>
          </w:tcPr>
          <w:p w14:paraId="2B34ABCB" w14:textId="77777777" w:rsidR="00A34FD8" w:rsidRPr="00B462E4" w:rsidRDefault="00A34FD8" w:rsidP="00B462E4">
            <w:pPr>
              <w:rPr>
                <w:color w:val="000000"/>
                <w:sz w:val="22"/>
                <w:szCs w:val="24"/>
              </w:rPr>
            </w:pPr>
            <w:r w:rsidRPr="00B462E4">
              <w:rPr>
                <w:color w:val="000000"/>
                <w:sz w:val="22"/>
                <w:szCs w:val="24"/>
              </w:rPr>
              <w:t>14</w:t>
            </w:r>
          </w:p>
        </w:tc>
        <w:tc>
          <w:tcPr>
            <w:tcW w:w="1559" w:type="dxa"/>
          </w:tcPr>
          <w:p w14:paraId="1EAF5D8B" w14:textId="77777777" w:rsidR="00A34FD8" w:rsidRPr="00B462E4" w:rsidRDefault="00A34FD8" w:rsidP="00B462E4">
            <w:pPr>
              <w:rPr>
                <w:color w:val="000000"/>
                <w:sz w:val="22"/>
                <w:szCs w:val="24"/>
              </w:rPr>
            </w:pPr>
            <w:r w:rsidRPr="00B462E4">
              <w:rPr>
                <w:color w:val="000000"/>
                <w:sz w:val="22"/>
                <w:szCs w:val="24"/>
              </w:rPr>
              <w:t>K40</w:t>
            </w:r>
          </w:p>
        </w:tc>
      </w:tr>
      <w:tr w:rsidR="00A34FD8" w:rsidRPr="00B462E4" w14:paraId="44FD2C60" w14:textId="77777777" w:rsidTr="006122F4">
        <w:trPr>
          <w:jc w:val="center"/>
        </w:trPr>
        <w:tc>
          <w:tcPr>
            <w:tcW w:w="1696" w:type="dxa"/>
          </w:tcPr>
          <w:p w14:paraId="66DC62EC" w14:textId="77777777" w:rsidR="00A34FD8" w:rsidRPr="00B462E4" w:rsidRDefault="00A34FD8" w:rsidP="00B462E4">
            <w:pPr>
              <w:rPr>
                <w:color w:val="000000"/>
                <w:sz w:val="22"/>
                <w:szCs w:val="24"/>
              </w:rPr>
            </w:pPr>
            <w:r w:rsidRPr="00B462E4">
              <w:rPr>
                <w:color w:val="000000"/>
                <w:sz w:val="22"/>
                <w:szCs w:val="24"/>
              </w:rPr>
              <w:t>10-oct-2014</w:t>
            </w:r>
          </w:p>
        </w:tc>
        <w:tc>
          <w:tcPr>
            <w:tcW w:w="1701" w:type="dxa"/>
          </w:tcPr>
          <w:p w14:paraId="2FCBEF79" w14:textId="77777777" w:rsidR="00A34FD8" w:rsidRPr="00B462E4" w:rsidRDefault="00A34FD8" w:rsidP="00B462E4">
            <w:pPr>
              <w:rPr>
                <w:color w:val="000000"/>
                <w:sz w:val="22"/>
                <w:szCs w:val="24"/>
              </w:rPr>
            </w:pPr>
            <w:r w:rsidRPr="00B462E4">
              <w:rPr>
                <w:color w:val="000000"/>
                <w:sz w:val="22"/>
                <w:szCs w:val="24"/>
              </w:rPr>
              <w:t>23-oct-2014</w:t>
            </w:r>
          </w:p>
        </w:tc>
        <w:tc>
          <w:tcPr>
            <w:tcW w:w="1418" w:type="dxa"/>
          </w:tcPr>
          <w:p w14:paraId="3DAEB279" w14:textId="77777777" w:rsidR="00A34FD8" w:rsidRPr="00B462E4" w:rsidRDefault="00A34FD8" w:rsidP="00B462E4">
            <w:pPr>
              <w:rPr>
                <w:color w:val="000000"/>
                <w:sz w:val="22"/>
                <w:szCs w:val="24"/>
              </w:rPr>
            </w:pPr>
            <w:r w:rsidRPr="00B462E4">
              <w:rPr>
                <w:color w:val="000000"/>
                <w:sz w:val="22"/>
                <w:szCs w:val="24"/>
              </w:rPr>
              <w:t>14</w:t>
            </w:r>
          </w:p>
        </w:tc>
        <w:tc>
          <w:tcPr>
            <w:tcW w:w="1559" w:type="dxa"/>
          </w:tcPr>
          <w:p w14:paraId="7201AAAA" w14:textId="77777777" w:rsidR="00A34FD8" w:rsidRPr="00B462E4" w:rsidRDefault="00A34FD8" w:rsidP="00B462E4">
            <w:pPr>
              <w:rPr>
                <w:color w:val="000000"/>
                <w:sz w:val="22"/>
                <w:szCs w:val="24"/>
              </w:rPr>
            </w:pPr>
            <w:r w:rsidRPr="00B462E4">
              <w:rPr>
                <w:color w:val="000000"/>
                <w:sz w:val="22"/>
                <w:szCs w:val="24"/>
              </w:rPr>
              <w:t>K40</w:t>
            </w:r>
          </w:p>
        </w:tc>
      </w:tr>
      <w:tr w:rsidR="00A34FD8" w:rsidRPr="00B462E4" w14:paraId="1E939A94" w14:textId="77777777" w:rsidTr="006122F4">
        <w:trPr>
          <w:jc w:val="center"/>
        </w:trPr>
        <w:tc>
          <w:tcPr>
            <w:tcW w:w="1696" w:type="dxa"/>
          </w:tcPr>
          <w:p w14:paraId="3F9C3904" w14:textId="77777777" w:rsidR="00A34FD8" w:rsidRPr="00B462E4" w:rsidRDefault="00A34FD8" w:rsidP="00B462E4">
            <w:pPr>
              <w:rPr>
                <w:color w:val="000000"/>
                <w:sz w:val="22"/>
                <w:szCs w:val="24"/>
              </w:rPr>
            </w:pPr>
            <w:r w:rsidRPr="00B462E4">
              <w:rPr>
                <w:color w:val="000000"/>
                <w:sz w:val="22"/>
                <w:szCs w:val="24"/>
              </w:rPr>
              <w:t>11-nov-2014</w:t>
            </w:r>
          </w:p>
        </w:tc>
        <w:tc>
          <w:tcPr>
            <w:tcW w:w="1701" w:type="dxa"/>
          </w:tcPr>
          <w:p w14:paraId="674415A2" w14:textId="77777777" w:rsidR="00A34FD8" w:rsidRPr="00B462E4" w:rsidRDefault="00A34FD8" w:rsidP="00B462E4">
            <w:pPr>
              <w:rPr>
                <w:color w:val="000000"/>
                <w:sz w:val="22"/>
                <w:szCs w:val="24"/>
              </w:rPr>
            </w:pPr>
            <w:r w:rsidRPr="00B462E4">
              <w:rPr>
                <w:color w:val="000000"/>
                <w:sz w:val="22"/>
                <w:szCs w:val="24"/>
              </w:rPr>
              <w:t>18-nov-2014</w:t>
            </w:r>
          </w:p>
        </w:tc>
        <w:tc>
          <w:tcPr>
            <w:tcW w:w="1418" w:type="dxa"/>
          </w:tcPr>
          <w:p w14:paraId="39FED71F" w14:textId="77777777" w:rsidR="00A34FD8" w:rsidRPr="00B462E4" w:rsidRDefault="00A34FD8" w:rsidP="00B462E4">
            <w:pPr>
              <w:rPr>
                <w:color w:val="000000"/>
                <w:sz w:val="22"/>
                <w:szCs w:val="24"/>
              </w:rPr>
            </w:pPr>
            <w:r w:rsidRPr="00B462E4">
              <w:rPr>
                <w:color w:val="000000"/>
                <w:sz w:val="22"/>
                <w:szCs w:val="24"/>
              </w:rPr>
              <w:t>8</w:t>
            </w:r>
          </w:p>
        </w:tc>
        <w:tc>
          <w:tcPr>
            <w:tcW w:w="1559" w:type="dxa"/>
          </w:tcPr>
          <w:p w14:paraId="008F8FFD" w14:textId="77777777" w:rsidR="00A34FD8" w:rsidRPr="00B462E4" w:rsidRDefault="00A34FD8" w:rsidP="00B462E4">
            <w:pPr>
              <w:rPr>
                <w:color w:val="000000"/>
                <w:sz w:val="22"/>
                <w:szCs w:val="24"/>
              </w:rPr>
            </w:pPr>
            <w:r w:rsidRPr="00B462E4">
              <w:rPr>
                <w:color w:val="000000"/>
                <w:sz w:val="22"/>
                <w:szCs w:val="24"/>
              </w:rPr>
              <w:t>K40</w:t>
            </w:r>
          </w:p>
        </w:tc>
      </w:tr>
      <w:tr w:rsidR="00A34FD8" w:rsidRPr="00B462E4" w14:paraId="00E0F710" w14:textId="77777777" w:rsidTr="006122F4">
        <w:trPr>
          <w:jc w:val="center"/>
        </w:trPr>
        <w:tc>
          <w:tcPr>
            <w:tcW w:w="1696" w:type="dxa"/>
          </w:tcPr>
          <w:p w14:paraId="1F9DE60D" w14:textId="77777777" w:rsidR="00A34FD8" w:rsidRPr="00B462E4" w:rsidRDefault="00A34FD8" w:rsidP="00B462E4">
            <w:pPr>
              <w:rPr>
                <w:color w:val="000000"/>
                <w:sz w:val="22"/>
                <w:szCs w:val="24"/>
              </w:rPr>
            </w:pPr>
            <w:r w:rsidRPr="00B462E4">
              <w:rPr>
                <w:color w:val="000000"/>
                <w:sz w:val="22"/>
                <w:szCs w:val="24"/>
              </w:rPr>
              <w:t>20-nov-2014</w:t>
            </w:r>
          </w:p>
        </w:tc>
        <w:tc>
          <w:tcPr>
            <w:tcW w:w="1701" w:type="dxa"/>
          </w:tcPr>
          <w:p w14:paraId="078F4E3D" w14:textId="77777777" w:rsidR="00A34FD8" w:rsidRPr="00B462E4" w:rsidRDefault="00A34FD8" w:rsidP="00B462E4">
            <w:pPr>
              <w:rPr>
                <w:color w:val="000000"/>
                <w:sz w:val="22"/>
                <w:szCs w:val="24"/>
              </w:rPr>
            </w:pPr>
            <w:r w:rsidRPr="00B462E4">
              <w:rPr>
                <w:color w:val="000000"/>
                <w:sz w:val="22"/>
                <w:szCs w:val="24"/>
              </w:rPr>
              <w:t>24-nov-2014</w:t>
            </w:r>
          </w:p>
        </w:tc>
        <w:tc>
          <w:tcPr>
            <w:tcW w:w="1418" w:type="dxa"/>
          </w:tcPr>
          <w:p w14:paraId="1FB93D43" w14:textId="77777777" w:rsidR="00A34FD8" w:rsidRPr="00B462E4" w:rsidRDefault="00A34FD8" w:rsidP="00B462E4">
            <w:pPr>
              <w:rPr>
                <w:color w:val="000000"/>
                <w:sz w:val="22"/>
                <w:szCs w:val="24"/>
              </w:rPr>
            </w:pPr>
            <w:r w:rsidRPr="00B462E4">
              <w:rPr>
                <w:color w:val="000000"/>
                <w:sz w:val="22"/>
                <w:szCs w:val="24"/>
              </w:rPr>
              <w:t>5</w:t>
            </w:r>
          </w:p>
        </w:tc>
        <w:tc>
          <w:tcPr>
            <w:tcW w:w="1559" w:type="dxa"/>
          </w:tcPr>
          <w:p w14:paraId="206FECED" w14:textId="77777777" w:rsidR="00A34FD8" w:rsidRPr="00B462E4" w:rsidRDefault="00A34FD8" w:rsidP="00B462E4">
            <w:pPr>
              <w:rPr>
                <w:color w:val="000000"/>
                <w:sz w:val="22"/>
                <w:szCs w:val="24"/>
              </w:rPr>
            </w:pPr>
            <w:r w:rsidRPr="00B462E4">
              <w:rPr>
                <w:color w:val="000000"/>
                <w:sz w:val="22"/>
                <w:szCs w:val="24"/>
              </w:rPr>
              <w:t>Z48.9</w:t>
            </w:r>
          </w:p>
        </w:tc>
      </w:tr>
    </w:tbl>
    <w:p w14:paraId="1D29EDA0" w14:textId="77777777" w:rsidR="00A34FD8" w:rsidRPr="00B462E4" w:rsidRDefault="00A34FD8" w:rsidP="00B462E4">
      <w:pPr>
        <w:spacing w:line="276" w:lineRule="auto"/>
        <w:ind w:firstLine="720"/>
        <w:rPr>
          <w:color w:val="000000"/>
          <w:szCs w:val="24"/>
        </w:rPr>
      </w:pPr>
    </w:p>
    <w:p w14:paraId="00BB83F1" w14:textId="265E18D6" w:rsidR="00A34FD8" w:rsidRPr="00B462E4" w:rsidRDefault="00A34FD8" w:rsidP="00B462E4">
      <w:pPr>
        <w:spacing w:line="276" w:lineRule="auto"/>
        <w:ind w:firstLine="720"/>
        <w:rPr>
          <w:color w:val="000000"/>
          <w:szCs w:val="24"/>
        </w:rPr>
      </w:pPr>
      <w:r w:rsidRPr="00B462E4">
        <w:rPr>
          <w:color w:val="000000"/>
          <w:szCs w:val="24"/>
        </w:rPr>
        <w:t>Una vez superado el periodo de incapacidad</w:t>
      </w:r>
      <w:r w:rsidR="15CE132F" w:rsidRPr="00B462E4">
        <w:rPr>
          <w:color w:val="000000"/>
          <w:szCs w:val="24"/>
        </w:rPr>
        <w:t>,</w:t>
      </w:r>
      <w:r w:rsidRPr="00B462E4">
        <w:rPr>
          <w:color w:val="000000"/>
          <w:szCs w:val="24"/>
        </w:rPr>
        <w:t xml:space="preserve"> el actor retornó a </w:t>
      </w:r>
      <w:r w:rsidR="287DA439" w:rsidRPr="00B462E4">
        <w:rPr>
          <w:color w:val="000000"/>
          <w:szCs w:val="24"/>
        </w:rPr>
        <w:t>su puesto de trabajo</w:t>
      </w:r>
      <w:r w:rsidRPr="00B462E4">
        <w:rPr>
          <w:color w:val="000000"/>
          <w:szCs w:val="24"/>
        </w:rPr>
        <w:t xml:space="preserve">, con </w:t>
      </w:r>
      <w:r w:rsidR="006274C0" w:rsidRPr="00B462E4">
        <w:rPr>
          <w:color w:val="000000"/>
          <w:szCs w:val="24"/>
        </w:rPr>
        <w:t xml:space="preserve">una </w:t>
      </w:r>
      <w:r w:rsidRPr="00B462E4">
        <w:rPr>
          <w:color w:val="000000"/>
          <w:szCs w:val="24"/>
        </w:rPr>
        <w:t xml:space="preserve">restricción laboral expedida por la EPS Salud Total el 21 de noviembre de 2014, en la que se indicaba </w:t>
      </w:r>
      <w:r w:rsidR="00317EAB" w:rsidRPr="00B462E4">
        <w:rPr>
          <w:color w:val="000000"/>
          <w:szCs w:val="24"/>
        </w:rPr>
        <w:t>que,</w:t>
      </w:r>
      <w:r w:rsidRPr="00B462E4">
        <w:rPr>
          <w:color w:val="000000"/>
          <w:szCs w:val="24"/>
        </w:rPr>
        <w:t xml:space="preserve"> por el término de 1 mes</w:t>
      </w:r>
      <w:r w:rsidR="00E209CC" w:rsidRPr="00B462E4">
        <w:rPr>
          <w:color w:val="000000"/>
          <w:szCs w:val="24"/>
        </w:rPr>
        <w:t>, esto es</w:t>
      </w:r>
      <w:r w:rsidR="76F72DD4" w:rsidRPr="00B462E4">
        <w:rPr>
          <w:color w:val="000000"/>
          <w:szCs w:val="24"/>
        </w:rPr>
        <w:t>,</w:t>
      </w:r>
      <w:r w:rsidR="00E209CC" w:rsidRPr="00B462E4">
        <w:rPr>
          <w:color w:val="000000"/>
          <w:szCs w:val="24"/>
        </w:rPr>
        <w:t xml:space="preserve"> hasta el 21 de diciembre de 20</w:t>
      </w:r>
      <w:r w:rsidR="00317EAB" w:rsidRPr="00B462E4">
        <w:rPr>
          <w:color w:val="000000"/>
          <w:szCs w:val="24"/>
        </w:rPr>
        <w:t>14,</w:t>
      </w:r>
      <w:r w:rsidRPr="00B462E4">
        <w:rPr>
          <w:color w:val="000000"/>
          <w:szCs w:val="24"/>
        </w:rPr>
        <w:t xml:space="preserve"> el actor no podía levantar cargas superiores a 12,5 kilos</w:t>
      </w:r>
      <w:r w:rsidRPr="00B462E4">
        <w:rPr>
          <w:color w:val="000000"/>
          <w:szCs w:val="24"/>
          <w:vertAlign w:val="superscript"/>
        </w:rPr>
        <w:footnoteReference w:id="12"/>
      </w:r>
      <w:r w:rsidR="00317EAB" w:rsidRPr="00B462E4">
        <w:rPr>
          <w:color w:val="000000"/>
          <w:szCs w:val="24"/>
        </w:rPr>
        <w:t xml:space="preserve">. </w:t>
      </w:r>
    </w:p>
    <w:p w14:paraId="18605C5B" w14:textId="77777777" w:rsidR="00317EAB" w:rsidRPr="00B462E4" w:rsidRDefault="00317EAB" w:rsidP="00B462E4">
      <w:pPr>
        <w:spacing w:line="276" w:lineRule="auto"/>
        <w:ind w:firstLine="720"/>
        <w:rPr>
          <w:color w:val="000000"/>
          <w:szCs w:val="24"/>
        </w:rPr>
      </w:pPr>
    </w:p>
    <w:p w14:paraId="2D8DAF0B" w14:textId="2E007EAC" w:rsidR="000161CF" w:rsidRPr="00B462E4" w:rsidRDefault="00317EAB" w:rsidP="00B462E4">
      <w:pPr>
        <w:spacing w:line="276" w:lineRule="auto"/>
        <w:ind w:firstLine="720"/>
        <w:rPr>
          <w:color w:val="000000"/>
          <w:szCs w:val="24"/>
        </w:rPr>
      </w:pPr>
      <w:r w:rsidRPr="00B462E4">
        <w:rPr>
          <w:color w:val="000000"/>
          <w:szCs w:val="24"/>
        </w:rPr>
        <w:lastRenderedPageBreak/>
        <w:t>Como puede verse</w:t>
      </w:r>
      <w:r w:rsidR="00752783" w:rsidRPr="00B462E4">
        <w:rPr>
          <w:color w:val="000000"/>
          <w:szCs w:val="24"/>
        </w:rPr>
        <w:t>,</w:t>
      </w:r>
      <w:r w:rsidRPr="00B462E4">
        <w:rPr>
          <w:color w:val="000000"/>
          <w:szCs w:val="24"/>
        </w:rPr>
        <w:t xml:space="preserve"> a la fecha del finiquito laboral, 29 de noviembre de 2014, el actor únicamente </w:t>
      </w:r>
      <w:r w:rsidR="00AC32F2" w:rsidRPr="00B462E4">
        <w:rPr>
          <w:color w:val="000000"/>
          <w:szCs w:val="24"/>
        </w:rPr>
        <w:t>contaba con la restricción laboral de levantar cargas superiores a 12,5 kilos</w:t>
      </w:r>
      <w:r w:rsidR="00C403A8" w:rsidRPr="00B462E4">
        <w:rPr>
          <w:color w:val="000000"/>
          <w:szCs w:val="24"/>
        </w:rPr>
        <w:t xml:space="preserve">; sin embargo, no demostró </w:t>
      </w:r>
      <w:r w:rsidR="4DE6355E" w:rsidRPr="00B462E4">
        <w:rPr>
          <w:color w:val="000000"/>
          <w:szCs w:val="24"/>
        </w:rPr>
        <w:t>de qué manera</w:t>
      </w:r>
      <w:r w:rsidR="00C403A8" w:rsidRPr="00B462E4">
        <w:rPr>
          <w:color w:val="000000"/>
          <w:szCs w:val="24"/>
        </w:rPr>
        <w:t xml:space="preserve"> dicha restricción le impidió el desarrollo de sus roles ocupacionales o l</w:t>
      </w:r>
      <w:r w:rsidR="5472F860" w:rsidRPr="00B462E4">
        <w:rPr>
          <w:color w:val="000000"/>
          <w:szCs w:val="24"/>
        </w:rPr>
        <w:t>o puso en</w:t>
      </w:r>
      <w:r w:rsidR="00C403A8" w:rsidRPr="00B462E4">
        <w:rPr>
          <w:color w:val="000000"/>
          <w:szCs w:val="24"/>
        </w:rPr>
        <w:t xml:space="preserve"> situación de desventaja </w:t>
      </w:r>
      <w:r w:rsidR="003C06F2" w:rsidRPr="00B462E4">
        <w:rPr>
          <w:color w:val="000000"/>
          <w:szCs w:val="24"/>
        </w:rPr>
        <w:t>respecto de los demás trabajadores, ya que en el escrito inaugural no precisa c</w:t>
      </w:r>
      <w:r w:rsidR="525A829A" w:rsidRPr="00B462E4">
        <w:rPr>
          <w:color w:val="000000"/>
          <w:szCs w:val="24"/>
        </w:rPr>
        <w:t>ó</w:t>
      </w:r>
      <w:r w:rsidR="003C06F2" w:rsidRPr="00B462E4">
        <w:rPr>
          <w:color w:val="000000"/>
          <w:szCs w:val="24"/>
        </w:rPr>
        <w:t>mo la limitación interfirió con el normal desempeñó de sus</w:t>
      </w:r>
      <w:r w:rsidR="00A97172" w:rsidRPr="00B462E4">
        <w:rPr>
          <w:color w:val="000000"/>
          <w:szCs w:val="24"/>
        </w:rPr>
        <w:t xml:space="preserve"> actividades, y aunque el testigo Luis Delio narró que como ayudantes de obra debían cargar bultos de cemento de 50 kg aproximadamente, </w:t>
      </w:r>
      <w:r w:rsidR="00EF3D39" w:rsidRPr="00B462E4">
        <w:rPr>
          <w:color w:val="000000"/>
          <w:szCs w:val="24"/>
        </w:rPr>
        <w:t>y que después del reintegro del trabajador esa labor era deficiente en relación con el resto del personal, lo cierto e</w:t>
      </w:r>
      <w:r w:rsidR="008F73A6" w:rsidRPr="00B462E4">
        <w:rPr>
          <w:color w:val="000000"/>
          <w:szCs w:val="24"/>
        </w:rPr>
        <w:t>s que</w:t>
      </w:r>
      <w:r w:rsidR="00D23F00" w:rsidRPr="00B462E4">
        <w:rPr>
          <w:color w:val="000000"/>
          <w:szCs w:val="24"/>
        </w:rPr>
        <w:t xml:space="preserve"> posteriormente precisó que en ese corto tiempo no compartió sector de labor con el demandante</w:t>
      </w:r>
      <w:r w:rsidR="5AD98EC4" w:rsidRPr="00B462E4">
        <w:rPr>
          <w:color w:val="000000"/>
          <w:szCs w:val="24"/>
        </w:rPr>
        <w:t>,</w:t>
      </w:r>
      <w:r w:rsidR="00E67EF9" w:rsidRPr="00B462E4">
        <w:rPr>
          <w:color w:val="000000"/>
          <w:szCs w:val="24"/>
        </w:rPr>
        <w:t xml:space="preserve"> porque la obra estaba a punto de finalizar y las funciones habían cambiado, al punto que él se dedicaba a actividades de señalización, y</w:t>
      </w:r>
      <w:r w:rsidR="00D936F8" w:rsidRPr="00B462E4">
        <w:rPr>
          <w:color w:val="000000"/>
          <w:szCs w:val="24"/>
        </w:rPr>
        <w:t xml:space="preserve"> </w:t>
      </w:r>
      <w:r w:rsidR="00E67EF9" w:rsidRPr="00B462E4">
        <w:rPr>
          <w:color w:val="000000"/>
          <w:szCs w:val="24"/>
        </w:rPr>
        <w:t>el promotor del litigio a labores de limpieza</w:t>
      </w:r>
      <w:r w:rsidR="00D936F8" w:rsidRPr="00B462E4">
        <w:rPr>
          <w:color w:val="000000"/>
          <w:szCs w:val="24"/>
        </w:rPr>
        <w:t xml:space="preserve"> como recolección de palos en un buggy o cargando ma</w:t>
      </w:r>
      <w:r w:rsidR="7D565F96" w:rsidRPr="00B462E4">
        <w:rPr>
          <w:color w:val="000000"/>
          <w:szCs w:val="24"/>
        </w:rPr>
        <w:t>d</w:t>
      </w:r>
      <w:r w:rsidR="00D936F8" w:rsidRPr="00B462E4">
        <w:rPr>
          <w:color w:val="000000"/>
          <w:szCs w:val="24"/>
        </w:rPr>
        <w:t>era</w:t>
      </w:r>
      <w:r w:rsidR="002A2AF5" w:rsidRPr="00B462E4">
        <w:rPr>
          <w:color w:val="000000"/>
          <w:szCs w:val="24"/>
        </w:rPr>
        <w:t xml:space="preserve">, </w:t>
      </w:r>
      <w:r w:rsidR="003C441A" w:rsidRPr="00B462E4">
        <w:rPr>
          <w:color w:val="000000"/>
          <w:szCs w:val="24"/>
        </w:rPr>
        <w:t xml:space="preserve">por </w:t>
      </w:r>
      <w:r w:rsidR="002A2AF5" w:rsidRPr="00B462E4">
        <w:rPr>
          <w:color w:val="000000"/>
          <w:szCs w:val="24"/>
        </w:rPr>
        <w:t xml:space="preserve">lo que es dable concluir que al momento del reintegro del </w:t>
      </w:r>
      <w:r w:rsidR="45291610" w:rsidRPr="00B462E4">
        <w:rPr>
          <w:color w:val="000000"/>
          <w:szCs w:val="24"/>
        </w:rPr>
        <w:t>t</w:t>
      </w:r>
      <w:r w:rsidR="002A2AF5" w:rsidRPr="00B462E4">
        <w:rPr>
          <w:color w:val="000000"/>
          <w:szCs w:val="24"/>
        </w:rPr>
        <w:t>rabajador</w:t>
      </w:r>
      <w:r w:rsidR="64BCE719" w:rsidRPr="00B462E4">
        <w:rPr>
          <w:color w:val="000000"/>
          <w:szCs w:val="24"/>
        </w:rPr>
        <w:t>,</w:t>
      </w:r>
      <w:r w:rsidR="002A2AF5" w:rsidRPr="00B462E4">
        <w:rPr>
          <w:color w:val="000000"/>
          <w:szCs w:val="24"/>
        </w:rPr>
        <w:t xml:space="preserve"> las actividades realizadas no </w:t>
      </w:r>
      <w:r w:rsidR="00A51023" w:rsidRPr="00B462E4">
        <w:rPr>
          <w:color w:val="000000"/>
          <w:szCs w:val="24"/>
        </w:rPr>
        <w:t>requerían levantamiento de peso significativo</w:t>
      </w:r>
      <w:r w:rsidR="002A2AF5" w:rsidRPr="00B462E4">
        <w:rPr>
          <w:color w:val="000000"/>
          <w:szCs w:val="24"/>
        </w:rPr>
        <w:t xml:space="preserve"> </w:t>
      </w:r>
      <w:r w:rsidR="00AD0BA8" w:rsidRPr="00B462E4">
        <w:rPr>
          <w:color w:val="000000"/>
          <w:szCs w:val="24"/>
        </w:rPr>
        <w:t>o superior a</w:t>
      </w:r>
      <w:r w:rsidR="61402528" w:rsidRPr="00B462E4">
        <w:rPr>
          <w:color w:val="000000"/>
          <w:szCs w:val="24"/>
        </w:rPr>
        <w:t>l</w:t>
      </w:r>
      <w:r w:rsidR="00AD0BA8" w:rsidRPr="00B462E4">
        <w:rPr>
          <w:color w:val="000000"/>
          <w:szCs w:val="24"/>
        </w:rPr>
        <w:t xml:space="preserve"> restr</w:t>
      </w:r>
      <w:r w:rsidR="28523C93" w:rsidRPr="00B462E4">
        <w:rPr>
          <w:color w:val="000000"/>
          <w:szCs w:val="24"/>
        </w:rPr>
        <w:t>ingido</w:t>
      </w:r>
      <w:r w:rsidR="000161CF" w:rsidRPr="00B462E4">
        <w:rPr>
          <w:color w:val="000000"/>
          <w:szCs w:val="24"/>
        </w:rPr>
        <w:t>, de ahí que no se pueda calificar la restricción como un hecho notorio</w:t>
      </w:r>
      <w:r w:rsidR="000D5457" w:rsidRPr="00B462E4">
        <w:rPr>
          <w:color w:val="000000"/>
          <w:szCs w:val="24"/>
        </w:rPr>
        <w:t xml:space="preserve">, </w:t>
      </w:r>
      <w:r w:rsidR="00B42CCC" w:rsidRPr="00B462E4">
        <w:rPr>
          <w:color w:val="000000"/>
          <w:szCs w:val="24"/>
        </w:rPr>
        <w:t xml:space="preserve">pues el mismo testigo manifestó que el trabajador no tenía ninguna lesión visible o él </w:t>
      </w:r>
      <w:r w:rsidR="6BD57EF6" w:rsidRPr="00B462E4">
        <w:rPr>
          <w:i/>
          <w:iCs/>
          <w:color w:val="000000"/>
          <w:szCs w:val="24"/>
        </w:rPr>
        <w:t>“</w:t>
      </w:r>
      <w:r w:rsidR="00B42CCC" w:rsidRPr="00B462E4">
        <w:rPr>
          <w:i/>
          <w:iCs/>
          <w:color w:val="000000"/>
          <w:sz w:val="22"/>
          <w:szCs w:val="24"/>
        </w:rPr>
        <w:t>no le veía nada</w:t>
      </w:r>
      <w:r w:rsidR="7F152C2D" w:rsidRPr="00B462E4">
        <w:rPr>
          <w:i/>
          <w:iCs/>
          <w:color w:val="000000"/>
          <w:szCs w:val="24"/>
        </w:rPr>
        <w:t>”</w:t>
      </w:r>
      <w:r w:rsidR="00B42CCC" w:rsidRPr="00B462E4">
        <w:rPr>
          <w:color w:val="000000"/>
          <w:szCs w:val="24"/>
        </w:rPr>
        <w:t xml:space="preserve">, </w:t>
      </w:r>
      <w:r w:rsidR="009A472F" w:rsidRPr="00B462E4">
        <w:rPr>
          <w:color w:val="000000"/>
          <w:szCs w:val="24"/>
        </w:rPr>
        <w:t xml:space="preserve">y por tanto que </w:t>
      </w:r>
      <w:r w:rsidR="000161CF" w:rsidRPr="00B462E4">
        <w:rPr>
          <w:color w:val="000000"/>
          <w:szCs w:val="24"/>
        </w:rPr>
        <w:t>deb</w:t>
      </w:r>
      <w:r w:rsidR="34499D1B" w:rsidRPr="00B462E4">
        <w:rPr>
          <w:color w:val="000000"/>
          <w:szCs w:val="24"/>
        </w:rPr>
        <w:t>iera</w:t>
      </w:r>
      <w:r w:rsidR="000161CF" w:rsidRPr="00B462E4">
        <w:rPr>
          <w:color w:val="000000"/>
          <w:szCs w:val="24"/>
        </w:rPr>
        <w:t xml:space="preserve"> ser puest</w:t>
      </w:r>
      <w:r w:rsidR="009A472F" w:rsidRPr="00B462E4">
        <w:rPr>
          <w:color w:val="000000"/>
          <w:szCs w:val="24"/>
        </w:rPr>
        <w:t>o</w:t>
      </w:r>
      <w:r w:rsidR="000161CF" w:rsidRPr="00B462E4">
        <w:rPr>
          <w:color w:val="000000"/>
          <w:szCs w:val="24"/>
        </w:rPr>
        <w:t xml:space="preserve"> en conocimiento del empleador</w:t>
      </w:r>
      <w:r w:rsidR="000D5457" w:rsidRPr="00B462E4">
        <w:rPr>
          <w:color w:val="000000"/>
          <w:szCs w:val="24"/>
        </w:rPr>
        <w:t xml:space="preserve">, empero el </w:t>
      </w:r>
      <w:r w:rsidR="00E63C37" w:rsidRPr="00B462E4">
        <w:rPr>
          <w:color w:val="000000"/>
          <w:szCs w:val="24"/>
        </w:rPr>
        <w:t>formato de restricciones para reinici</w:t>
      </w:r>
      <w:r w:rsidR="799F2A57" w:rsidRPr="00B462E4">
        <w:rPr>
          <w:color w:val="000000"/>
          <w:szCs w:val="24"/>
        </w:rPr>
        <w:t>o</w:t>
      </w:r>
      <w:r w:rsidR="00E63C37" w:rsidRPr="00B462E4">
        <w:rPr>
          <w:color w:val="000000"/>
          <w:szCs w:val="24"/>
        </w:rPr>
        <w:t xml:space="preserve"> de labores </w:t>
      </w:r>
      <w:r w:rsidR="000D5457" w:rsidRPr="00B462E4">
        <w:rPr>
          <w:color w:val="000000"/>
          <w:szCs w:val="24"/>
        </w:rPr>
        <w:t>no contiene fecha de radicación o recibido</w:t>
      </w:r>
      <w:r w:rsidR="008F3FED" w:rsidRPr="00B462E4">
        <w:rPr>
          <w:color w:val="000000"/>
          <w:szCs w:val="24"/>
        </w:rPr>
        <w:t xml:space="preserve"> por parte del empleador</w:t>
      </w:r>
      <w:r w:rsidR="00E63C37" w:rsidRPr="00B462E4">
        <w:rPr>
          <w:rStyle w:val="Refdenotaalpie"/>
          <w:color w:val="000000"/>
          <w:szCs w:val="24"/>
        </w:rPr>
        <w:footnoteReference w:id="13"/>
      </w:r>
      <w:r w:rsidR="008F3FED" w:rsidRPr="00B462E4">
        <w:rPr>
          <w:color w:val="000000"/>
          <w:szCs w:val="24"/>
        </w:rPr>
        <w:t>.</w:t>
      </w:r>
    </w:p>
    <w:p w14:paraId="21E962CC" w14:textId="77777777" w:rsidR="000161CF" w:rsidRPr="00B462E4" w:rsidRDefault="000161CF" w:rsidP="00B462E4">
      <w:pPr>
        <w:spacing w:line="276" w:lineRule="auto"/>
        <w:rPr>
          <w:color w:val="000000"/>
          <w:szCs w:val="24"/>
        </w:rPr>
      </w:pPr>
    </w:p>
    <w:p w14:paraId="4AF1C526" w14:textId="2AAEB152" w:rsidR="00A63953" w:rsidRPr="00B462E4" w:rsidRDefault="006B60F1" w:rsidP="00B462E4">
      <w:pPr>
        <w:spacing w:line="276" w:lineRule="auto"/>
        <w:ind w:firstLine="720"/>
        <w:rPr>
          <w:color w:val="000000"/>
          <w:szCs w:val="24"/>
        </w:rPr>
      </w:pPr>
      <w:r w:rsidRPr="00B462E4">
        <w:rPr>
          <w:color w:val="000000"/>
          <w:szCs w:val="24"/>
        </w:rPr>
        <w:t xml:space="preserve">Así las cosas, no se puede catalogar la restricción del trabajador como una situación de </w:t>
      </w:r>
      <w:r w:rsidR="00C25C84" w:rsidRPr="00B462E4">
        <w:rPr>
          <w:color w:val="000000"/>
          <w:szCs w:val="24"/>
        </w:rPr>
        <w:t>discapacidad</w:t>
      </w:r>
      <w:r w:rsidRPr="00B462E4">
        <w:rPr>
          <w:color w:val="000000"/>
          <w:szCs w:val="24"/>
        </w:rPr>
        <w:t xml:space="preserve"> de mediano o largo plazo, debido</w:t>
      </w:r>
      <w:r w:rsidR="005E2124" w:rsidRPr="00B462E4">
        <w:rPr>
          <w:color w:val="000000"/>
          <w:szCs w:val="24"/>
        </w:rPr>
        <w:t xml:space="preserve"> a que no se </w:t>
      </w:r>
      <w:r w:rsidR="008F3FED" w:rsidRPr="00B462E4">
        <w:rPr>
          <w:color w:val="000000"/>
          <w:szCs w:val="24"/>
        </w:rPr>
        <w:t>prolongó más</w:t>
      </w:r>
      <w:r w:rsidR="005E2124" w:rsidRPr="00B462E4">
        <w:rPr>
          <w:color w:val="000000"/>
          <w:szCs w:val="24"/>
        </w:rPr>
        <w:t xml:space="preserve"> allá del mes en comento</w:t>
      </w:r>
      <w:r w:rsidR="008F3FED" w:rsidRPr="00B462E4">
        <w:rPr>
          <w:color w:val="000000"/>
          <w:szCs w:val="24"/>
        </w:rPr>
        <w:t>. N</w:t>
      </w:r>
      <w:r w:rsidR="005E2124" w:rsidRPr="00B462E4">
        <w:rPr>
          <w:color w:val="000000"/>
          <w:szCs w:val="24"/>
        </w:rPr>
        <w:t>ótese como la historia clínica no exhibe</w:t>
      </w:r>
      <w:r w:rsidR="00376475" w:rsidRPr="00B462E4">
        <w:rPr>
          <w:color w:val="000000"/>
          <w:szCs w:val="24"/>
        </w:rPr>
        <w:t xml:space="preserve"> consulta por molestias derivadas</w:t>
      </w:r>
      <w:r w:rsidR="00716A3E" w:rsidRPr="00B462E4">
        <w:rPr>
          <w:color w:val="000000"/>
          <w:szCs w:val="24"/>
        </w:rPr>
        <w:t xml:space="preserve"> o relacionadas con el </w:t>
      </w:r>
      <w:r w:rsidR="005C0403" w:rsidRPr="00B462E4">
        <w:rPr>
          <w:color w:val="000000"/>
          <w:szCs w:val="24"/>
        </w:rPr>
        <w:t>diagnóstico</w:t>
      </w:r>
      <w:r w:rsidR="00716A3E" w:rsidRPr="00B462E4">
        <w:rPr>
          <w:color w:val="000000"/>
          <w:szCs w:val="24"/>
        </w:rPr>
        <w:t xml:space="preserve"> de hernia inguinal o dolor derivado del mismo, por ello, tampoco </w:t>
      </w:r>
      <w:r w:rsidR="005C0403" w:rsidRPr="00B462E4">
        <w:rPr>
          <w:color w:val="000000"/>
          <w:szCs w:val="24"/>
        </w:rPr>
        <w:t>recibió</w:t>
      </w:r>
      <w:r w:rsidR="005E2124" w:rsidRPr="00B462E4">
        <w:rPr>
          <w:color w:val="000000"/>
          <w:szCs w:val="24"/>
        </w:rPr>
        <w:t xml:space="preserve"> </w:t>
      </w:r>
      <w:r w:rsidR="00392509" w:rsidRPr="00B462E4">
        <w:rPr>
          <w:color w:val="000000"/>
          <w:szCs w:val="24"/>
        </w:rPr>
        <w:t>tratamiento de seguimiento o rehabilitación posterior</w:t>
      </w:r>
      <w:r w:rsidR="0063413D" w:rsidRPr="00B462E4">
        <w:rPr>
          <w:color w:val="000000"/>
          <w:szCs w:val="24"/>
        </w:rPr>
        <w:t xml:space="preserve"> al concepto de restricción, </w:t>
      </w:r>
      <w:r w:rsidR="00392509" w:rsidRPr="00B462E4">
        <w:rPr>
          <w:color w:val="000000"/>
          <w:szCs w:val="24"/>
        </w:rPr>
        <w:t xml:space="preserve">circunstancias advertidas por la Junta de Calificación de </w:t>
      </w:r>
      <w:r w:rsidR="003448DC" w:rsidRPr="00B462E4">
        <w:rPr>
          <w:color w:val="000000"/>
          <w:szCs w:val="24"/>
        </w:rPr>
        <w:t>Invalidez</w:t>
      </w:r>
      <w:r w:rsidR="00392509" w:rsidRPr="00B462E4">
        <w:rPr>
          <w:color w:val="000000"/>
          <w:szCs w:val="24"/>
        </w:rPr>
        <w:t xml:space="preserve"> de Risaralda en el dictamen</w:t>
      </w:r>
      <w:r w:rsidR="0063413D" w:rsidRPr="00B462E4">
        <w:rPr>
          <w:color w:val="000000"/>
          <w:szCs w:val="24"/>
        </w:rPr>
        <w:t xml:space="preserve"> de pérdida de capacidad laboral y ocupacional N° 4378687</w:t>
      </w:r>
      <w:r w:rsidR="00181E7C" w:rsidRPr="00B462E4">
        <w:rPr>
          <w:color w:val="000000"/>
          <w:szCs w:val="24"/>
        </w:rPr>
        <w:t>-</w:t>
      </w:r>
      <w:r w:rsidR="0063413D" w:rsidRPr="00B462E4">
        <w:rPr>
          <w:color w:val="000000"/>
          <w:szCs w:val="24"/>
        </w:rPr>
        <w:t>1273</w:t>
      </w:r>
      <w:r w:rsidR="00181E7C" w:rsidRPr="00B462E4">
        <w:rPr>
          <w:color w:val="000000"/>
          <w:szCs w:val="24"/>
        </w:rPr>
        <w:t>-</w:t>
      </w:r>
      <w:r w:rsidR="0063413D" w:rsidRPr="00B462E4">
        <w:rPr>
          <w:color w:val="000000"/>
          <w:szCs w:val="24"/>
        </w:rPr>
        <w:t>1 del 30 de noviembre de 2021</w:t>
      </w:r>
      <w:r w:rsidR="0063413D" w:rsidRPr="00B462E4">
        <w:rPr>
          <w:rStyle w:val="Refdenotaalpie"/>
          <w:color w:val="000000"/>
          <w:szCs w:val="24"/>
        </w:rPr>
        <w:footnoteReference w:id="14"/>
      </w:r>
      <w:r w:rsidR="51BCC2C3" w:rsidRPr="00B462E4">
        <w:rPr>
          <w:color w:val="000000"/>
          <w:szCs w:val="24"/>
        </w:rPr>
        <w:t xml:space="preserve">, </w:t>
      </w:r>
      <w:r w:rsidR="00392509" w:rsidRPr="00B462E4">
        <w:rPr>
          <w:color w:val="000000"/>
          <w:szCs w:val="24"/>
        </w:rPr>
        <w:t xml:space="preserve">donde ni siquiera </w:t>
      </w:r>
      <w:r w:rsidR="00376475" w:rsidRPr="00B462E4">
        <w:rPr>
          <w:color w:val="000000"/>
          <w:szCs w:val="24"/>
        </w:rPr>
        <w:t xml:space="preserve">se </w:t>
      </w:r>
      <w:r w:rsidR="00392509" w:rsidRPr="00B462E4">
        <w:rPr>
          <w:color w:val="000000"/>
          <w:szCs w:val="24"/>
        </w:rPr>
        <w:t xml:space="preserve">tuvo en cuenta </w:t>
      </w:r>
      <w:r w:rsidR="003448DC" w:rsidRPr="00B462E4">
        <w:rPr>
          <w:color w:val="000000"/>
          <w:szCs w:val="24"/>
        </w:rPr>
        <w:t>la patología objeto de la restricción como un factor preponderante en la calificación</w:t>
      </w:r>
      <w:r w:rsidR="00C25C84" w:rsidRPr="00B462E4">
        <w:rPr>
          <w:color w:val="000000"/>
          <w:szCs w:val="24"/>
        </w:rPr>
        <w:t xml:space="preserve">, </w:t>
      </w:r>
      <w:r w:rsidR="00270746" w:rsidRPr="00B462E4">
        <w:rPr>
          <w:color w:val="000000"/>
          <w:szCs w:val="24"/>
        </w:rPr>
        <w:t>ya que</w:t>
      </w:r>
      <w:r w:rsidR="5C660678" w:rsidRPr="00B462E4">
        <w:rPr>
          <w:color w:val="000000"/>
          <w:szCs w:val="24"/>
        </w:rPr>
        <w:t xml:space="preserve"> incluso se</w:t>
      </w:r>
      <w:r w:rsidR="00270746" w:rsidRPr="00B462E4">
        <w:rPr>
          <w:color w:val="000000"/>
          <w:szCs w:val="24"/>
        </w:rPr>
        <w:t xml:space="preserve"> concluyó </w:t>
      </w:r>
      <w:r w:rsidR="0DB49591" w:rsidRPr="00B462E4">
        <w:rPr>
          <w:color w:val="000000"/>
          <w:szCs w:val="24"/>
        </w:rPr>
        <w:t>la</w:t>
      </w:r>
      <w:r w:rsidR="00270746" w:rsidRPr="00B462E4">
        <w:rPr>
          <w:color w:val="000000"/>
          <w:szCs w:val="24"/>
        </w:rPr>
        <w:t xml:space="preserve"> hernia inguinal derecha</w:t>
      </w:r>
      <w:r w:rsidR="4BDA5E81" w:rsidRPr="00B462E4">
        <w:rPr>
          <w:color w:val="000000"/>
          <w:szCs w:val="24"/>
        </w:rPr>
        <w:t>,</w:t>
      </w:r>
      <w:r w:rsidR="00270746" w:rsidRPr="00B462E4">
        <w:rPr>
          <w:color w:val="000000"/>
          <w:szCs w:val="24"/>
        </w:rPr>
        <w:t xml:space="preserve"> diagnosticada como indirecta</w:t>
      </w:r>
      <w:r w:rsidR="31CC4BBE" w:rsidRPr="00B462E4">
        <w:rPr>
          <w:color w:val="000000"/>
          <w:szCs w:val="24"/>
        </w:rPr>
        <w:t>,</w:t>
      </w:r>
      <w:r w:rsidR="00270746" w:rsidRPr="00B462E4">
        <w:rPr>
          <w:color w:val="000000"/>
          <w:szCs w:val="24"/>
        </w:rPr>
        <w:t xml:space="preserve"> fue corregida quirúrgicamente sin complicaciones</w:t>
      </w:r>
      <w:r w:rsidR="00A63953" w:rsidRPr="00B462E4">
        <w:rPr>
          <w:color w:val="000000"/>
          <w:szCs w:val="24"/>
        </w:rPr>
        <w:t>, descripción medica que se acompasa a la declaración rendida por el promotor del litigio</w:t>
      </w:r>
      <w:r w:rsidR="656FF523" w:rsidRPr="00B462E4">
        <w:rPr>
          <w:color w:val="000000"/>
          <w:szCs w:val="24"/>
        </w:rPr>
        <w:t>, quien</w:t>
      </w:r>
      <w:r w:rsidR="00A63953" w:rsidRPr="00B462E4">
        <w:rPr>
          <w:color w:val="000000"/>
          <w:szCs w:val="24"/>
        </w:rPr>
        <w:t xml:space="preserve"> confesó que después de la cirugía se sentía “</w:t>
      </w:r>
      <w:r w:rsidR="00A63953" w:rsidRPr="00B462E4">
        <w:rPr>
          <w:color w:val="000000"/>
          <w:sz w:val="22"/>
          <w:szCs w:val="24"/>
        </w:rPr>
        <w:t>prácticamente bien</w:t>
      </w:r>
      <w:r w:rsidR="00A63953" w:rsidRPr="00B462E4">
        <w:rPr>
          <w:color w:val="000000"/>
          <w:szCs w:val="24"/>
        </w:rPr>
        <w:t xml:space="preserve">”. </w:t>
      </w:r>
    </w:p>
    <w:p w14:paraId="2209F611" w14:textId="77777777" w:rsidR="00710F15" w:rsidRPr="00B462E4" w:rsidRDefault="00710F15" w:rsidP="00B462E4">
      <w:pPr>
        <w:spacing w:line="276" w:lineRule="auto"/>
        <w:ind w:firstLine="720"/>
        <w:rPr>
          <w:color w:val="000000"/>
          <w:szCs w:val="24"/>
        </w:rPr>
      </w:pPr>
    </w:p>
    <w:p w14:paraId="569B863D" w14:textId="15F02C02" w:rsidR="00710F15" w:rsidRPr="00B462E4" w:rsidRDefault="00755895" w:rsidP="00B462E4">
      <w:pPr>
        <w:spacing w:line="276" w:lineRule="auto"/>
        <w:ind w:firstLine="720"/>
        <w:rPr>
          <w:color w:val="000000"/>
          <w:szCs w:val="24"/>
        </w:rPr>
      </w:pPr>
      <w:r w:rsidRPr="00B462E4">
        <w:rPr>
          <w:color w:val="000000"/>
          <w:szCs w:val="24"/>
        </w:rPr>
        <w:t xml:space="preserve">Por todo lo dicho se </w:t>
      </w:r>
      <w:r w:rsidR="00137B76" w:rsidRPr="00B462E4">
        <w:rPr>
          <w:color w:val="000000"/>
          <w:szCs w:val="24"/>
        </w:rPr>
        <w:t>modificarán</w:t>
      </w:r>
      <w:r w:rsidRPr="00B462E4">
        <w:rPr>
          <w:color w:val="000000"/>
          <w:szCs w:val="24"/>
        </w:rPr>
        <w:t xml:space="preserve"> los ordinales tercero</w:t>
      </w:r>
      <w:r w:rsidR="00FF73DE" w:rsidRPr="00B462E4">
        <w:rPr>
          <w:color w:val="000000"/>
          <w:szCs w:val="24"/>
        </w:rPr>
        <w:t xml:space="preserve"> y</w:t>
      </w:r>
      <w:r w:rsidRPr="00B462E4">
        <w:rPr>
          <w:color w:val="000000"/>
          <w:szCs w:val="24"/>
        </w:rPr>
        <w:t xml:space="preserve"> cuarto </w:t>
      </w:r>
      <w:r w:rsidR="00FF73DE" w:rsidRPr="00B462E4">
        <w:rPr>
          <w:color w:val="000000"/>
          <w:szCs w:val="24"/>
        </w:rPr>
        <w:t xml:space="preserve">de la sentencia recurrida, para en su lugar, revocar </w:t>
      </w:r>
      <w:r w:rsidR="00704DDE" w:rsidRPr="00B462E4">
        <w:rPr>
          <w:color w:val="000000"/>
          <w:szCs w:val="24"/>
        </w:rPr>
        <w:t>la condena por concepto de indemnización de que trata el artículo 26 de la Ley 371 de 1991</w:t>
      </w:r>
      <w:r w:rsidR="00137B76" w:rsidRPr="00B462E4">
        <w:rPr>
          <w:color w:val="000000"/>
          <w:szCs w:val="24"/>
        </w:rPr>
        <w:t xml:space="preserve">, debido a que el trabajador al momento despido no estaba en una situación de estabilidad laboral reforzada. </w:t>
      </w:r>
    </w:p>
    <w:p w14:paraId="541AE198" w14:textId="382514ED" w:rsidR="005C0403" w:rsidRPr="00B462E4" w:rsidRDefault="005C0403" w:rsidP="00B462E4">
      <w:pPr>
        <w:spacing w:line="276" w:lineRule="auto"/>
        <w:ind w:firstLine="720"/>
        <w:rPr>
          <w:color w:val="000000"/>
          <w:szCs w:val="24"/>
        </w:rPr>
      </w:pPr>
    </w:p>
    <w:p w14:paraId="51BA8B07" w14:textId="3DAF7F17" w:rsidR="00A84A76" w:rsidRPr="00B462E4" w:rsidRDefault="00F16F13" w:rsidP="00B462E4">
      <w:pPr>
        <w:spacing w:line="276" w:lineRule="auto"/>
        <w:ind w:firstLine="720"/>
        <w:rPr>
          <w:color w:val="000000"/>
          <w:szCs w:val="24"/>
          <w:lang w:val="es-419"/>
        </w:rPr>
      </w:pPr>
      <w:r w:rsidRPr="00B462E4">
        <w:rPr>
          <w:color w:val="000000" w:themeColor="text1"/>
          <w:szCs w:val="24"/>
          <w:lang w:val="es-419"/>
        </w:rPr>
        <w:t>En lo que atañe a la solidaridad laboral</w:t>
      </w:r>
      <w:r w:rsidR="00181E7C" w:rsidRPr="00B462E4">
        <w:rPr>
          <w:color w:val="000000" w:themeColor="text1"/>
          <w:szCs w:val="24"/>
          <w:lang w:val="es-419"/>
        </w:rPr>
        <w:t xml:space="preserve">, </w:t>
      </w:r>
      <w:r w:rsidRPr="00B462E4">
        <w:rPr>
          <w:color w:val="000000" w:themeColor="text1"/>
          <w:szCs w:val="24"/>
          <w:lang w:val="es-419"/>
        </w:rPr>
        <w:t xml:space="preserve">en virtud de la cual se hizo extensiva al Municipio de Pereira la condena impuesta a los empleadores del </w:t>
      </w:r>
      <w:r w:rsidR="6B2B80BE" w:rsidRPr="00B462E4">
        <w:rPr>
          <w:color w:val="000000" w:themeColor="text1"/>
          <w:szCs w:val="24"/>
          <w:lang w:val="es-419"/>
        </w:rPr>
        <w:t>demandante</w:t>
      </w:r>
      <w:r w:rsidRPr="00B462E4">
        <w:rPr>
          <w:color w:val="000000" w:themeColor="text1"/>
          <w:szCs w:val="24"/>
          <w:lang w:val="es-419"/>
        </w:rPr>
        <w:t xml:space="preserve"> se debe recordar que los </w:t>
      </w:r>
      <w:r w:rsidR="005C4535" w:rsidRPr="00B462E4">
        <w:rPr>
          <w:color w:val="000000" w:themeColor="text1"/>
          <w:szCs w:val="24"/>
          <w:lang w:val="es-419"/>
        </w:rPr>
        <w:t xml:space="preserve">Municipios </w:t>
      </w:r>
      <w:r w:rsidRPr="00B462E4">
        <w:rPr>
          <w:color w:val="000000" w:themeColor="text1"/>
          <w:szCs w:val="24"/>
          <w:lang w:val="es-419"/>
        </w:rPr>
        <w:t xml:space="preserve">son entidades territoriales de la República que gozan de autonomía </w:t>
      </w:r>
      <w:r w:rsidR="00A84A76" w:rsidRPr="00B462E4">
        <w:rPr>
          <w:color w:val="000000" w:themeColor="text1"/>
          <w:szCs w:val="24"/>
          <w:lang w:val="es-419"/>
        </w:rPr>
        <w:t xml:space="preserve">para la gestión de sus intereses </w:t>
      </w:r>
      <w:r w:rsidR="000D47F7" w:rsidRPr="00B462E4">
        <w:rPr>
          <w:color w:val="000000" w:themeColor="text1"/>
          <w:szCs w:val="24"/>
          <w:lang w:val="es-419"/>
        </w:rPr>
        <w:t xml:space="preserve">(arts. 286 y 287 C.N). </w:t>
      </w:r>
    </w:p>
    <w:p w14:paraId="39FA8468" w14:textId="77777777" w:rsidR="00181E7C" w:rsidRPr="00B462E4" w:rsidRDefault="00181E7C" w:rsidP="00B462E4">
      <w:pPr>
        <w:spacing w:line="276" w:lineRule="auto"/>
        <w:rPr>
          <w:color w:val="000000"/>
          <w:szCs w:val="24"/>
        </w:rPr>
      </w:pPr>
    </w:p>
    <w:p w14:paraId="33602FE9" w14:textId="40821426" w:rsidR="00181E7C" w:rsidRPr="00B462E4" w:rsidRDefault="00181E7C" w:rsidP="00B462E4">
      <w:pPr>
        <w:spacing w:line="276" w:lineRule="auto"/>
        <w:ind w:firstLine="720"/>
        <w:rPr>
          <w:szCs w:val="24"/>
        </w:rPr>
      </w:pPr>
      <w:r w:rsidRPr="00B462E4">
        <w:rPr>
          <w:szCs w:val="24"/>
          <w:lang w:val="es-419"/>
        </w:rPr>
        <w:t xml:space="preserve">Aunado a lo anterior, previene </w:t>
      </w:r>
      <w:r w:rsidR="000D47F7" w:rsidRPr="00B462E4">
        <w:rPr>
          <w:szCs w:val="24"/>
          <w:lang w:val="es-419"/>
        </w:rPr>
        <w:t xml:space="preserve">el artículo 12 del Decreto 1333 de 1986 </w:t>
      </w:r>
      <w:r w:rsidR="000D47F7" w:rsidRPr="00B462E4">
        <w:rPr>
          <w:i/>
          <w:iCs/>
          <w:szCs w:val="24"/>
          <w:lang w:val="es-419"/>
        </w:rPr>
        <w:t>“</w:t>
      </w:r>
      <w:r w:rsidR="009F1A89" w:rsidRPr="00B462E4">
        <w:rPr>
          <w:i/>
          <w:iCs/>
          <w:sz w:val="22"/>
          <w:szCs w:val="24"/>
        </w:rPr>
        <w:t>Por el cual se expide el Código de Régimen Municipal</w:t>
      </w:r>
      <w:r w:rsidR="009F1A89" w:rsidRPr="00B462E4">
        <w:rPr>
          <w:i/>
          <w:iCs/>
          <w:szCs w:val="24"/>
        </w:rPr>
        <w:t xml:space="preserve">” </w:t>
      </w:r>
      <w:r w:rsidR="009F1A89" w:rsidRPr="00B462E4">
        <w:rPr>
          <w:szCs w:val="24"/>
        </w:rPr>
        <w:t xml:space="preserve">que </w:t>
      </w:r>
      <w:r w:rsidR="0049166A" w:rsidRPr="00B462E4">
        <w:rPr>
          <w:szCs w:val="24"/>
        </w:rPr>
        <w:t xml:space="preserve">la atención de las funciones, la prestación de los servicios y la ejecución de las obras a cargo de los Municipios se hará directamente por </w:t>
      </w:r>
      <w:r w:rsidR="5240F4E5" w:rsidRPr="00B462E4">
        <w:rPr>
          <w:szCs w:val="24"/>
        </w:rPr>
        <w:t>e</w:t>
      </w:r>
      <w:r w:rsidR="0049166A" w:rsidRPr="00B462E4">
        <w:rPr>
          <w:szCs w:val="24"/>
        </w:rPr>
        <w:t>stos, a través de sus oficinas y dependencias centrales o de sus entidades descentralizadas, o por otras personas en razón de los contratos y asociaciones que para el efecto se celebren o constituyan</w:t>
      </w:r>
      <w:r w:rsidR="00EC3756" w:rsidRPr="00B462E4">
        <w:rPr>
          <w:szCs w:val="24"/>
        </w:rPr>
        <w:t>.</w:t>
      </w:r>
    </w:p>
    <w:p w14:paraId="0C1ACC8C" w14:textId="77777777" w:rsidR="00181E7C" w:rsidRPr="00B462E4" w:rsidRDefault="00181E7C" w:rsidP="00B462E4">
      <w:pPr>
        <w:spacing w:line="276" w:lineRule="auto"/>
        <w:ind w:firstLine="720"/>
        <w:rPr>
          <w:szCs w:val="24"/>
          <w:lang w:val="es-419"/>
        </w:rPr>
      </w:pPr>
    </w:p>
    <w:p w14:paraId="7B25D499" w14:textId="6982CB59" w:rsidR="00181E7C" w:rsidRPr="00B462E4" w:rsidRDefault="00181E7C" w:rsidP="00B462E4">
      <w:pPr>
        <w:spacing w:line="276" w:lineRule="auto"/>
        <w:ind w:firstLine="720"/>
        <w:rPr>
          <w:szCs w:val="24"/>
          <w:lang w:val="es-419"/>
        </w:rPr>
      </w:pPr>
      <w:r w:rsidRPr="00B462E4">
        <w:rPr>
          <w:szCs w:val="24"/>
          <w:lang w:val="es-419"/>
        </w:rPr>
        <w:t xml:space="preserve">Cabe añadir que la Sala de Consulta y Servicio Civil del Consejo Estado explicó en concepto No. 1746 de 2006, </w:t>
      </w:r>
      <w:r w:rsidR="5CC828BA" w:rsidRPr="00B462E4">
        <w:rPr>
          <w:szCs w:val="24"/>
          <w:lang w:val="es-419"/>
        </w:rPr>
        <w:t xml:space="preserve">indicó </w:t>
      </w:r>
      <w:r w:rsidRPr="00B462E4">
        <w:rPr>
          <w:szCs w:val="24"/>
          <w:lang w:val="es-419"/>
        </w:rPr>
        <w:t>que la descentralización de las competencias en materia de infraestructura vial, a partir de la expedición de la Ley 105 de 1993, trajo consigo no solo el traslado de la propiedad de las vías a las entidades territoriales sino también la responsabilidad de apropiar, en los respectivos niveles, los recursos presupuestales que se requieran para la conservación, rehabilitación y mantenimiento de las mismas</w:t>
      </w:r>
      <w:r w:rsidR="00D104AD" w:rsidRPr="00B462E4">
        <w:rPr>
          <w:szCs w:val="24"/>
          <w:lang w:val="es-419"/>
        </w:rPr>
        <w:t>, como dispone el artículo 20 ibidem</w:t>
      </w:r>
      <w:r w:rsidRPr="00B462E4">
        <w:rPr>
          <w:szCs w:val="24"/>
          <w:lang w:val="es-419"/>
        </w:rPr>
        <w:t>. En efecto el artículo 19 de la citada ley establece: “</w:t>
      </w:r>
      <w:r w:rsidRPr="00B462E4">
        <w:rPr>
          <w:i/>
          <w:iCs/>
          <w:color w:val="333333"/>
          <w:sz w:val="22"/>
          <w:szCs w:val="24"/>
          <w:shd w:val="clear" w:color="auto" w:fill="FFFFFF"/>
        </w:rPr>
        <w:t>Constitución y conservación. Corresponde a la Nación y a las entidades territoriales la construcción y la conservación de todos y cada uno de los componentes de su propiedad, en los términos establecidos en la presente Ley</w:t>
      </w:r>
      <w:r w:rsidRPr="00B462E4">
        <w:rPr>
          <w:i/>
          <w:iCs/>
          <w:color w:val="333333"/>
          <w:szCs w:val="24"/>
          <w:shd w:val="clear" w:color="auto" w:fill="FFFFFF"/>
        </w:rPr>
        <w:t>".</w:t>
      </w:r>
      <w:r w:rsidRPr="00B462E4">
        <w:rPr>
          <w:szCs w:val="24"/>
          <w:lang w:val="es-419"/>
        </w:rPr>
        <w:t xml:space="preserve"> </w:t>
      </w:r>
    </w:p>
    <w:p w14:paraId="7559E532" w14:textId="77777777" w:rsidR="00181E7C" w:rsidRPr="00B462E4" w:rsidRDefault="00181E7C" w:rsidP="00B462E4">
      <w:pPr>
        <w:spacing w:line="276" w:lineRule="auto"/>
        <w:ind w:firstLine="720"/>
        <w:rPr>
          <w:szCs w:val="24"/>
          <w:lang w:val="es-419"/>
        </w:rPr>
      </w:pPr>
    </w:p>
    <w:p w14:paraId="14BA937F" w14:textId="77777777" w:rsidR="00181E7C" w:rsidRPr="00B462E4" w:rsidRDefault="00181E7C" w:rsidP="00B462E4">
      <w:pPr>
        <w:spacing w:line="276" w:lineRule="auto"/>
        <w:ind w:firstLine="720"/>
        <w:rPr>
          <w:szCs w:val="24"/>
        </w:rPr>
      </w:pPr>
      <w:r w:rsidRPr="00B462E4">
        <w:rPr>
          <w:szCs w:val="24"/>
        </w:rPr>
        <w:t>En concordancia con las normas expuestas, corresponde a la Nación y las entidades territoriales (municipios, distritos y departamentos) la obligación de incorporar dentro de su plan de desarrollo e inversiones, proyectos y obras para garantizar la sostenibilidad y transitabilidad de las vías bajo su responsabilidad, según las competencias asignadas en la constitución y la ley y de apropiar en sus respectivos presupuestos las partidas que se requieran para el efecto.</w:t>
      </w:r>
    </w:p>
    <w:p w14:paraId="54B92B01" w14:textId="77777777" w:rsidR="00181E7C" w:rsidRPr="00B462E4" w:rsidRDefault="00181E7C" w:rsidP="00B462E4">
      <w:pPr>
        <w:spacing w:line="276" w:lineRule="auto"/>
        <w:ind w:firstLine="720"/>
        <w:rPr>
          <w:szCs w:val="24"/>
          <w:lang w:val="es-419"/>
        </w:rPr>
      </w:pPr>
    </w:p>
    <w:p w14:paraId="2CAFF6E6" w14:textId="670C6493" w:rsidR="00181E7C" w:rsidRPr="00B462E4" w:rsidRDefault="00181E7C" w:rsidP="00B462E4">
      <w:pPr>
        <w:spacing w:line="276" w:lineRule="auto"/>
        <w:ind w:firstLine="720"/>
        <w:rPr>
          <w:szCs w:val="24"/>
          <w:lang w:val="es-419"/>
        </w:rPr>
      </w:pPr>
      <w:r w:rsidRPr="00B462E4">
        <w:rPr>
          <w:szCs w:val="24"/>
          <w:lang w:val="es-419"/>
        </w:rPr>
        <w:t>Pues bien, como expresión de la función pública de planificación, ejecución, mantenimiento, mejoramiento y rehabilitación de los proyectos y obras de infraestructura del transporte</w:t>
      </w:r>
      <w:r w:rsidR="003F02A8" w:rsidRPr="00B462E4">
        <w:rPr>
          <w:szCs w:val="24"/>
          <w:lang w:val="es-419"/>
        </w:rPr>
        <w:t xml:space="preserve"> público dentro de su jurisdicción</w:t>
      </w:r>
      <w:r w:rsidR="00175EDC" w:rsidRPr="00B462E4">
        <w:rPr>
          <w:szCs w:val="24"/>
          <w:lang w:val="es-419"/>
        </w:rPr>
        <w:t xml:space="preserve">, entre estos los terminales aeroportuarios </w:t>
      </w:r>
      <w:r w:rsidR="0059569C" w:rsidRPr="00B462E4">
        <w:rPr>
          <w:szCs w:val="24"/>
          <w:lang w:val="es-419"/>
        </w:rPr>
        <w:t xml:space="preserve">e infraestructura </w:t>
      </w:r>
      <w:r w:rsidR="005C747A" w:rsidRPr="00B462E4">
        <w:rPr>
          <w:szCs w:val="24"/>
          <w:lang w:val="es-419"/>
        </w:rPr>
        <w:t>aeronáutica</w:t>
      </w:r>
      <w:r w:rsidR="0059569C" w:rsidRPr="00B462E4">
        <w:rPr>
          <w:szCs w:val="24"/>
          <w:lang w:val="es-419"/>
        </w:rPr>
        <w:t xml:space="preserve"> y </w:t>
      </w:r>
      <w:r w:rsidR="005C747A" w:rsidRPr="00B462E4">
        <w:rPr>
          <w:szCs w:val="24"/>
          <w:lang w:val="es-419"/>
        </w:rPr>
        <w:t>aeroportuaria</w:t>
      </w:r>
      <w:r w:rsidR="0059569C" w:rsidRPr="00B462E4">
        <w:rPr>
          <w:szCs w:val="24"/>
          <w:lang w:val="es-419"/>
        </w:rPr>
        <w:t xml:space="preserve"> destinada a facilitar y hacer posible la navegación aérea </w:t>
      </w:r>
      <w:r w:rsidR="00175EDC" w:rsidRPr="00B462E4">
        <w:rPr>
          <w:szCs w:val="24"/>
          <w:lang w:val="es-419"/>
        </w:rPr>
        <w:t>(art. 4</w:t>
      </w:r>
      <w:r w:rsidR="003F02A8" w:rsidRPr="00B462E4">
        <w:rPr>
          <w:szCs w:val="24"/>
          <w:lang w:val="es-419"/>
        </w:rPr>
        <w:t xml:space="preserve"> y 5</w:t>
      </w:r>
      <w:r w:rsidR="00175EDC" w:rsidRPr="00B462E4">
        <w:rPr>
          <w:szCs w:val="24"/>
          <w:lang w:val="es-419"/>
        </w:rPr>
        <w:t xml:space="preserve"> de la Ley 1682 de 2013</w:t>
      </w:r>
      <w:r w:rsidR="0059569C" w:rsidRPr="00B462E4">
        <w:rPr>
          <w:szCs w:val="24"/>
          <w:lang w:val="es-419"/>
        </w:rPr>
        <w:t>)</w:t>
      </w:r>
      <w:r w:rsidR="003F02A8" w:rsidRPr="00B462E4">
        <w:rPr>
          <w:szCs w:val="24"/>
          <w:lang w:val="es-419"/>
        </w:rPr>
        <w:t xml:space="preserve">, </w:t>
      </w:r>
      <w:r w:rsidRPr="00B462E4">
        <w:rPr>
          <w:szCs w:val="24"/>
          <w:lang w:val="es-419"/>
        </w:rPr>
        <w:t xml:space="preserve">el </w:t>
      </w:r>
      <w:r w:rsidR="002303E6" w:rsidRPr="00B462E4">
        <w:rPr>
          <w:szCs w:val="24"/>
          <w:lang w:val="es-419"/>
        </w:rPr>
        <w:t xml:space="preserve">Municipio </w:t>
      </w:r>
      <w:r w:rsidR="005C747A" w:rsidRPr="00B462E4">
        <w:rPr>
          <w:szCs w:val="24"/>
          <w:lang w:val="es-419"/>
        </w:rPr>
        <w:t>de Pereira celebró con el Consorcio Omega</w:t>
      </w:r>
      <w:r w:rsidR="00D12EC8" w:rsidRPr="00B462E4">
        <w:rPr>
          <w:szCs w:val="24"/>
          <w:lang w:val="es-419"/>
        </w:rPr>
        <w:t xml:space="preserve"> el contrato No. 2396 de 2013 cuyo objeto era </w:t>
      </w:r>
      <w:r w:rsidR="00D12EC8" w:rsidRPr="00B462E4">
        <w:rPr>
          <w:i/>
          <w:iCs/>
          <w:szCs w:val="24"/>
          <w:lang w:val="es-419"/>
        </w:rPr>
        <w:t>“</w:t>
      </w:r>
      <w:r w:rsidR="00D12EC8" w:rsidRPr="00B462E4">
        <w:rPr>
          <w:i/>
          <w:iCs/>
          <w:sz w:val="22"/>
          <w:szCs w:val="24"/>
          <w:lang w:val="es-419"/>
        </w:rPr>
        <w:t xml:space="preserve">conformación de </w:t>
      </w:r>
      <w:r w:rsidR="00AB5F84" w:rsidRPr="00B462E4">
        <w:rPr>
          <w:i/>
          <w:iCs/>
          <w:sz w:val="22"/>
          <w:szCs w:val="24"/>
          <w:lang w:val="es-419"/>
        </w:rPr>
        <w:t>terrenos</w:t>
      </w:r>
      <w:r w:rsidR="00D12EC8" w:rsidRPr="00B462E4">
        <w:rPr>
          <w:i/>
          <w:iCs/>
          <w:sz w:val="22"/>
          <w:szCs w:val="24"/>
          <w:lang w:val="es-419"/>
        </w:rPr>
        <w:t xml:space="preserve"> para franjas de pista y zona de resa en la cabecera 08 y obras complementarias en el Aeropuerto Internacional Matecaña</w:t>
      </w:r>
      <w:r w:rsidR="00AB5F84" w:rsidRPr="00B462E4">
        <w:rPr>
          <w:i/>
          <w:iCs/>
          <w:sz w:val="22"/>
          <w:szCs w:val="24"/>
          <w:lang w:val="es-419"/>
        </w:rPr>
        <w:t xml:space="preserve"> de Pereira</w:t>
      </w:r>
      <w:r w:rsidR="00AB5F84" w:rsidRPr="00B462E4">
        <w:rPr>
          <w:i/>
          <w:iCs/>
          <w:szCs w:val="24"/>
          <w:lang w:val="es-419"/>
        </w:rPr>
        <w:t>”</w:t>
      </w:r>
      <w:r w:rsidR="001C6694" w:rsidRPr="00B462E4">
        <w:rPr>
          <w:szCs w:val="24"/>
          <w:lang w:val="es-419"/>
        </w:rPr>
        <w:t>.</w:t>
      </w:r>
    </w:p>
    <w:p w14:paraId="7437132D" w14:textId="77777777" w:rsidR="001C6694" w:rsidRPr="00B462E4" w:rsidRDefault="001C6694" w:rsidP="00B462E4">
      <w:pPr>
        <w:spacing w:line="276" w:lineRule="auto"/>
        <w:ind w:firstLine="720"/>
        <w:rPr>
          <w:szCs w:val="24"/>
          <w:lang w:val="es-419"/>
        </w:rPr>
      </w:pPr>
    </w:p>
    <w:p w14:paraId="759FA760" w14:textId="1419EF0A" w:rsidR="00181E7C" w:rsidRPr="00B462E4" w:rsidRDefault="00181E7C" w:rsidP="00B462E4">
      <w:pPr>
        <w:spacing w:line="276" w:lineRule="auto"/>
        <w:ind w:firstLine="720"/>
        <w:rPr>
          <w:szCs w:val="24"/>
          <w:lang w:val="es-419"/>
        </w:rPr>
      </w:pPr>
      <w:r w:rsidRPr="00B462E4">
        <w:rPr>
          <w:szCs w:val="24"/>
          <w:lang w:val="es-419"/>
        </w:rPr>
        <w:t xml:space="preserve">Conforme se viene de explicar, resulta palmario entonces que el ente </w:t>
      </w:r>
      <w:r w:rsidR="001C6694" w:rsidRPr="00B462E4">
        <w:rPr>
          <w:szCs w:val="24"/>
          <w:lang w:val="es-419"/>
        </w:rPr>
        <w:t>territorial como dueño</w:t>
      </w:r>
      <w:r w:rsidR="00891C7E" w:rsidRPr="00B462E4">
        <w:rPr>
          <w:szCs w:val="24"/>
          <w:lang w:val="es-419"/>
        </w:rPr>
        <w:t xml:space="preserve"> del Aeropuerto Internacional Matecaña</w:t>
      </w:r>
      <w:r w:rsidR="001C6694" w:rsidRPr="00B462E4">
        <w:rPr>
          <w:szCs w:val="24"/>
          <w:lang w:val="es-419"/>
        </w:rPr>
        <w:t xml:space="preserve"> </w:t>
      </w:r>
      <w:r w:rsidRPr="00B462E4">
        <w:rPr>
          <w:szCs w:val="24"/>
          <w:lang w:val="es-419"/>
        </w:rPr>
        <w:t xml:space="preserve">es el único </w:t>
      </w:r>
      <w:r w:rsidR="00DE08D6" w:rsidRPr="00B462E4">
        <w:rPr>
          <w:szCs w:val="24"/>
          <w:lang w:val="es-419"/>
        </w:rPr>
        <w:t>dueño</w:t>
      </w:r>
      <w:r w:rsidRPr="00B462E4">
        <w:rPr>
          <w:szCs w:val="24"/>
          <w:lang w:val="es-419"/>
        </w:rPr>
        <w:t xml:space="preserve"> de la obra contratada, </w:t>
      </w:r>
      <w:r w:rsidR="00891C7E" w:rsidRPr="00B462E4">
        <w:rPr>
          <w:szCs w:val="24"/>
          <w:lang w:val="es-419"/>
        </w:rPr>
        <w:t xml:space="preserve">pues según Acuerdo </w:t>
      </w:r>
      <w:r w:rsidR="00F551FB" w:rsidRPr="00B462E4">
        <w:rPr>
          <w:szCs w:val="24"/>
          <w:lang w:val="es-419"/>
        </w:rPr>
        <w:t xml:space="preserve">12 de 2013 para ejecución del contrato en el que se </w:t>
      </w:r>
      <w:r w:rsidR="300182E3" w:rsidRPr="00B462E4">
        <w:rPr>
          <w:szCs w:val="24"/>
          <w:lang w:val="es-419"/>
        </w:rPr>
        <w:t>desempeñó</w:t>
      </w:r>
      <w:r w:rsidR="00F551FB" w:rsidRPr="00B462E4">
        <w:rPr>
          <w:szCs w:val="24"/>
          <w:lang w:val="es-419"/>
        </w:rPr>
        <w:t xml:space="preserve"> el trabajador </w:t>
      </w:r>
      <w:r w:rsidR="00707459" w:rsidRPr="00B462E4">
        <w:rPr>
          <w:szCs w:val="24"/>
          <w:lang w:val="es-419"/>
        </w:rPr>
        <w:t xml:space="preserve">fueron comprometidos dineros de vigencias futuras ordinarias, </w:t>
      </w:r>
      <w:r w:rsidR="00165768" w:rsidRPr="00B462E4">
        <w:rPr>
          <w:szCs w:val="24"/>
          <w:lang w:val="es-419"/>
        </w:rPr>
        <w:t xml:space="preserve">pues eran obras indispensables para la certificación del Aeródromo y la etapa I del Plan Maestro </w:t>
      </w:r>
      <w:r w:rsidR="1D2ED4BD" w:rsidRPr="00B462E4">
        <w:rPr>
          <w:szCs w:val="24"/>
          <w:lang w:val="es-419"/>
        </w:rPr>
        <w:t>Aeronáutico</w:t>
      </w:r>
      <w:r w:rsidR="00720EA2" w:rsidRPr="00B462E4">
        <w:rPr>
          <w:szCs w:val="24"/>
          <w:lang w:val="es-419"/>
        </w:rPr>
        <w:t>, de allí que el desarrollo de la obra no resulte ex</w:t>
      </w:r>
      <w:r w:rsidRPr="00B462E4">
        <w:rPr>
          <w:szCs w:val="24"/>
          <w:lang w:val="es-419"/>
        </w:rPr>
        <w:t>trañ</w:t>
      </w:r>
      <w:r w:rsidR="00720EA2" w:rsidRPr="00B462E4">
        <w:rPr>
          <w:szCs w:val="24"/>
          <w:lang w:val="es-419"/>
        </w:rPr>
        <w:t>o</w:t>
      </w:r>
      <w:r w:rsidRPr="00B462E4">
        <w:rPr>
          <w:szCs w:val="24"/>
          <w:lang w:val="es-419"/>
        </w:rPr>
        <w:t xml:space="preserve"> a las actividades consubstanciales de</w:t>
      </w:r>
      <w:r w:rsidR="00720EA2" w:rsidRPr="00B462E4">
        <w:rPr>
          <w:szCs w:val="24"/>
          <w:lang w:val="es-419"/>
        </w:rPr>
        <w:t>l ente territorial</w:t>
      </w:r>
      <w:r w:rsidR="00674A04" w:rsidRPr="00B462E4">
        <w:rPr>
          <w:rStyle w:val="Refdenotaalpie"/>
          <w:szCs w:val="24"/>
          <w:lang w:val="es-419"/>
        </w:rPr>
        <w:footnoteReference w:id="15"/>
      </w:r>
      <w:r w:rsidR="00AE24D1" w:rsidRPr="00B462E4">
        <w:rPr>
          <w:szCs w:val="24"/>
          <w:lang w:val="es-419"/>
        </w:rPr>
        <w:t>.</w:t>
      </w:r>
    </w:p>
    <w:p w14:paraId="08E4F534" w14:textId="77777777" w:rsidR="00181E7C" w:rsidRPr="00B462E4" w:rsidRDefault="00181E7C" w:rsidP="00B462E4">
      <w:pPr>
        <w:spacing w:line="276" w:lineRule="auto"/>
        <w:ind w:firstLine="720"/>
        <w:rPr>
          <w:szCs w:val="24"/>
          <w:lang w:val="es-419"/>
        </w:rPr>
      </w:pPr>
    </w:p>
    <w:p w14:paraId="1595183C" w14:textId="751E4796" w:rsidR="00C43D93" w:rsidRPr="00B462E4" w:rsidRDefault="00181E7C" w:rsidP="00B462E4">
      <w:pPr>
        <w:spacing w:line="276" w:lineRule="auto"/>
        <w:ind w:firstLine="720"/>
        <w:rPr>
          <w:szCs w:val="24"/>
          <w:lang w:val="es-419"/>
        </w:rPr>
      </w:pPr>
      <w:r w:rsidRPr="00B462E4">
        <w:rPr>
          <w:szCs w:val="24"/>
          <w:lang w:val="es-419"/>
        </w:rPr>
        <w:t xml:space="preserve">Ello así, habrá de confirmarse la responsabilidad solidaria atribuida en primera instancia al </w:t>
      </w:r>
      <w:r w:rsidR="00AE24D1" w:rsidRPr="00B462E4">
        <w:rPr>
          <w:szCs w:val="24"/>
          <w:lang w:val="es-419"/>
        </w:rPr>
        <w:t xml:space="preserve">Municipio de Pereira </w:t>
      </w:r>
      <w:r w:rsidR="00B2626A" w:rsidRPr="00B462E4">
        <w:rPr>
          <w:szCs w:val="24"/>
          <w:lang w:val="es-419"/>
        </w:rPr>
        <w:t xml:space="preserve">pues como se demostró </w:t>
      </w:r>
      <w:r w:rsidRPr="00B462E4">
        <w:rPr>
          <w:szCs w:val="24"/>
          <w:lang w:val="es-419"/>
        </w:rPr>
        <w:t xml:space="preserve">las actividades de </w:t>
      </w:r>
      <w:r w:rsidRPr="00B462E4">
        <w:rPr>
          <w:szCs w:val="24"/>
          <w:lang w:val="es-419"/>
        </w:rPr>
        <w:lastRenderedPageBreak/>
        <w:t xml:space="preserve">construcción que cumplió el demandante en vigencia del contrato laboral no son extrañas sino inherentes a la función pública que </w:t>
      </w:r>
      <w:r w:rsidR="129F9237" w:rsidRPr="00B462E4">
        <w:rPr>
          <w:szCs w:val="24"/>
          <w:lang w:val="es-419"/>
        </w:rPr>
        <w:t>les</w:t>
      </w:r>
      <w:r w:rsidRPr="00B462E4">
        <w:rPr>
          <w:szCs w:val="24"/>
          <w:lang w:val="es-419"/>
        </w:rPr>
        <w:t xml:space="preserve"> entrega la constitución y la ley a los entes territoriales</w:t>
      </w:r>
      <w:r w:rsidR="00674A04" w:rsidRPr="00B462E4">
        <w:rPr>
          <w:szCs w:val="24"/>
          <w:lang w:val="es-419"/>
        </w:rPr>
        <w:t xml:space="preserve"> dentro de su jurisdicción.</w:t>
      </w:r>
    </w:p>
    <w:p w14:paraId="193CE212" w14:textId="77777777" w:rsidR="00B10396" w:rsidRPr="00B462E4" w:rsidRDefault="00B10396" w:rsidP="00B462E4">
      <w:pPr>
        <w:spacing w:line="276" w:lineRule="auto"/>
        <w:rPr>
          <w:color w:val="000000"/>
          <w:szCs w:val="24"/>
        </w:rPr>
      </w:pPr>
    </w:p>
    <w:p w14:paraId="62EED544" w14:textId="6EF0AF36" w:rsidR="00955D69" w:rsidRPr="00B462E4" w:rsidRDefault="00022C66" w:rsidP="00B462E4">
      <w:pPr>
        <w:spacing w:line="276" w:lineRule="auto"/>
        <w:ind w:firstLine="720"/>
        <w:rPr>
          <w:color w:val="000000"/>
          <w:szCs w:val="24"/>
        </w:rPr>
      </w:pPr>
      <w:r w:rsidRPr="00B462E4">
        <w:rPr>
          <w:color w:val="000000"/>
          <w:szCs w:val="24"/>
        </w:rPr>
        <w:t>Finalmente</w:t>
      </w:r>
      <w:r w:rsidR="001D4613" w:rsidRPr="00B462E4">
        <w:rPr>
          <w:color w:val="000000"/>
          <w:szCs w:val="24"/>
        </w:rPr>
        <w:t xml:space="preserve">, </w:t>
      </w:r>
      <w:r w:rsidR="00D5393E" w:rsidRPr="00B462E4">
        <w:rPr>
          <w:color w:val="000000"/>
          <w:szCs w:val="24"/>
        </w:rPr>
        <w:t>al margen del tiempo que transcurrió entre el inició del litigio y la sentencia, con</w:t>
      </w:r>
      <w:r w:rsidR="003A0DA5" w:rsidRPr="00B462E4">
        <w:rPr>
          <w:color w:val="000000"/>
          <w:szCs w:val="24"/>
        </w:rPr>
        <w:t xml:space="preserve"> base en las consideraciones precedentes</w:t>
      </w:r>
      <w:r w:rsidR="00D5393E" w:rsidRPr="00B462E4">
        <w:rPr>
          <w:color w:val="000000"/>
          <w:szCs w:val="24"/>
        </w:rPr>
        <w:t xml:space="preserve">, </w:t>
      </w:r>
      <w:r w:rsidR="001D4613" w:rsidRPr="00B462E4">
        <w:rPr>
          <w:color w:val="000000"/>
          <w:szCs w:val="24"/>
        </w:rPr>
        <w:t xml:space="preserve">el fenómeno extintivo de la prescripción no tuvo la virtualidad de enervar las indemnizaciones objeto de condena, como quiera </w:t>
      </w:r>
      <w:r w:rsidR="00415514" w:rsidRPr="00B462E4">
        <w:rPr>
          <w:color w:val="000000"/>
          <w:szCs w:val="24"/>
        </w:rPr>
        <w:t>que,</w:t>
      </w:r>
      <w:r w:rsidR="001D4613" w:rsidRPr="00B462E4">
        <w:rPr>
          <w:color w:val="000000"/>
          <w:szCs w:val="24"/>
        </w:rPr>
        <w:t xml:space="preserve"> entre </w:t>
      </w:r>
      <w:r w:rsidR="00415514" w:rsidRPr="00B462E4">
        <w:rPr>
          <w:color w:val="000000"/>
          <w:szCs w:val="24"/>
        </w:rPr>
        <w:t xml:space="preserve">el 29 de noviembre de 2014, calenda de </w:t>
      </w:r>
      <w:r w:rsidR="001D4613" w:rsidRPr="00B462E4">
        <w:rPr>
          <w:color w:val="000000"/>
          <w:szCs w:val="24"/>
        </w:rPr>
        <w:t xml:space="preserve">la finalización del </w:t>
      </w:r>
      <w:r w:rsidR="007460F4" w:rsidRPr="00B462E4">
        <w:rPr>
          <w:color w:val="000000"/>
          <w:szCs w:val="24"/>
        </w:rPr>
        <w:t>contrato, y</w:t>
      </w:r>
      <w:r w:rsidR="00415514" w:rsidRPr="00B462E4">
        <w:rPr>
          <w:color w:val="000000"/>
          <w:szCs w:val="24"/>
        </w:rPr>
        <w:t xml:space="preserve"> el </w:t>
      </w:r>
      <w:r w:rsidR="009B0B6D" w:rsidRPr="00B462E4">
        <w:rPr>
          <w:color w:val="000000"/>
          <w:szCs w:val="24"/>
        </w:rPr>
        <w:t>12 de diciembre de 2015, fecha de radicación de la demanda según acta individual de reparto</w:t>
      </w:r>
      <w:r w:rsidR="00CE29D9" w:rsidRPr="00B462E4">
        <w:rPr>
          <w:rStyle w:val="Refdenotaalpie"/>
          <w:color w:val="000000"/>
          <w:szCs w:val="24"/>
        </w:rPr>
        <w:footnoteReference w:id="16"/>
      </w:r>
      <w:r w:rsidR="7C814755" w:rsidRPr="00B462E4">
        <w:rPr>
          <w:color w:val="000000"/>
          <w:szCs w:val="24"/>
        </w:rPr>
        <w:t xml:space="preserve">, </w:t>
      </w:r>
      <w:r w:rsidR="009B0B6D" w:rsidRPr="00B462E4">
        <w:rPr>
          <w:color w:val="000000"/>
          <w:szCs w:val="24"/>
        </w:rPr>
        <w:t>no transcurrieron más de 3 años</w:t>
      </w:r>
      <w:r w:rsidR="00E610A2" w:rsidRPr="00B462E4">
        <w:rPr>
          <w:color w:val="000000"/>
          <w:szCs w:val="24"/>
        </w:rPr>
        <w:t xml:space="preserve">. </w:t>
      </w:r>
      <w:r w:rsidR="00955D69" w:rsidRPr="00B462E4">
        <w:rPr>
          <w:color w:val="000000"/>
          <w:szCs w:val="24"/>
        </w:rPr>
        <w:t xml:space="preserve"> Aunado a que la notificación de los </w:t>
      </w:r>
      <w:r w:rsidR="006F6AAF" w:rsidRPr="00B462E4">
        <w:rPr>
          <w:color w:val="000000"/>
          <w:szCs w:val="24"/>
        </w:rPr>
        <w:t>demandados</w:t>
      </w:r>
      <w:r w:rsidR="00955D69" w:rsidRPr="00B462E4">
        <w:rPr>
          <w:color w:val="000000"/>
          <w:szCs w:val="24"/>
        </w:rPr>
        <w:t xml:space="preserve"> </w:t>
      </w:r>
      <w:r w:rsidR="002028DA" w:rsidRPr="00B462E4">
        <w:rPr>
          <w:color w:val="000000"/>
          <w:szCs w:val="24"/>
        </w:rPr>
        <w:t xml:space="preserve">se dio dentro del año siguiente a la admisión de la demanda que tuvo lugar el 11 de abril de 2016, así: </w:t>
      </w:r>
      <w:r w:rsidR="00D675BC" w:rsidRPr="00B462E4">
        <w:rPr>
          <w:color w:val="000000"/>
          <w:szCs w:val="24"/>
        </w:rPr>
        <w:t xml:space="preserve">los demandados </w:t>
      </w:r>
      <w:r w:rsidR="00955D69" w:rsidRPr="00B462E4">
        <w:rPr>
          <w:color w:val="000000"/>
          <w:szCs w:val="24"/>
        </w:rPr>
        <w:t xml:space="preserve">José Guillermo Galán Gómez y Octavio Augusto Morales </w:t>
      </w:r>
      <w:r w:rsidR="002028DA" w:rsidRPr="00B462E4">
        <w:rPr>
          <w:color w:val="000000"/>
          <w:szCs w:val="24"/>
        </w:rPr>
        <w:t xml:space="preserve">se </w:t>
      </w:r>
      <w:r w:rsidR="00D675BC" w:rsidRPr="00B462E4">
        <w:rPr>
          <w:color w:val="000000"/>
          <w:szCs w:val="24"/>
        </w:rPr>
        <w:t xml:space="preserve">notificaron el 21 de julio de 2016, debido a que el acta de notificación no exhibe la calenda de </w:t>
      </w:r>
      <w:r w:rsidR="00AE786D" w:rsidRPr="00B462E4">
        <w:rPr>
          <w:color w:val="000000"/>
          <w:szCs w:val="24"/>
        </w:rPr>
        <w:t>presentación</w:t>
      </w:r>
      <w:r w:rsidR="00AE786D" w:rsidRPr="00B462E4">
        <w:rPr>
          <w:rStyle w:val="Refdenotaalpie"/>
          <w:color w:val="000000"/>
          <w:szCs w:val="24"/>
        </w:rPr>
        <w:footnoteReference w:id="17"/>
      </w:r>
      <w:r w:rsidR="00AE786D" w:rsidRPr="00B462E4">
        <w:rPr>
          <w:color w:val="000000"/>
          <w:szCs w:val="24"/>
        </w:rPr>
        <w:t>;</w:t>
      </w:r>
      <w:r w:rsidR="00E9688B" w:rsidRPr="00B462E4">
        <w:rPr>
          <w:color w:val="000000"/>
          <w:szCs w:val="24"/>
        </w:rPr>
        <w:t xml:space="preserve"> el señor Germán Torres Salgado y la sociedad </w:t>
      </w:r>
      <w:r w:rsidR="00BB39BB" w:rsidRPr="00B462E4">
        <w:rPr>
          <w:color w:val="000000"/>
          <w:szCs w:val="24"/>
        </w:rPr>
        <w:t>Vias y Canales S.A.S el 19 de agosto de 2016 según acta de notificación personal</w:t>
      </w:r>
      <w:r w:rsidR="00BB39BB" w:rsidRPr="00B462E4">
        <w:rPr>
          <w:rStyle w:val="Refdenotaalpie"/>
          <w:color w:val="000000"/>
          <w:szCs w:val="24"/>
        </w:rPr>
        <w:footnoteReference w:id="18"/>
      </w:r>
      <w:r w:rsidR="00B33C0D" w:rsidRPr="00B462E4">
        <w:rPr>
          <w:color w:val="000000"/>
          <w:szCs w:val="24"/>
        </w:rPr>
        <w:t xml:space="preserve">. </w:t>
      </w:r>
    </w:p>
    <w:p w14:paraId="512E0BEF" w14:textId="77777777" w:rsidR="00B33C0D" w:rsidRPr="00B462E4" w:rsidRDefault="00B33C0D" w:rsidP="00B462E4">
      <w:pPr>
        <w:spacing w:line="276" w:lineRule="auto"/>
        <w:ind w:firstLine="720"/>
        <w:rPr>
          <w:color w:val="000000"/>
          <w:szCs w:val="24"/>
        </w:rPr>
      </w:pPr>
    </w:p>
    <w:p w14:paraId="4BB6AEAA" w14:textId="04355434" w:rsidR="00955D69" w:rsidRPr="00B462E4" w:rsidRDefault="00B33C0D" w:rsidP="00B462E4">
      <w:pPr>
        <w:spacing w:line="276" w:lineRule="auto"/>
        <w:ind w:firstLine="720"/>
        <w:rPr>
          <w:color w:val="000000"/>
          <w:szCs w:val="24"/>
        </w:rPr>
      </w:pPr>
      <w:r w:rsidRPr="00B462E4">
        <w:rPr>
          <w:color w:val="000000"/>
          <w:szCs w:val="24"/>
        </w:rPr>
        <w:t>Ahora</w:t>
      </w:r>
      <w:r w:rsidR="00FD7A5F" w:rsidRPr="00B462E4">
        <w:rPr>
          <w:color w:val="000000"/>
          <w:szCs w:val="24"/>
        </w:rPr>
        <w:t xml:space="preserve">, </w:t>
      </w:r>
      <w:r w:rsidRPr="00B462E4">
        <w:rPr>
          <w:color w:val="000000"/>
          <w:szCs w:val="24"/>
        </w:rPr>
        <w:t>aunque el Municipio de Pereira arribó al proceso jud</w:t>
      </w:r>
      <w:r w:rsidR="003D5868" w:rsidRPr="00B462E4">
        <w:rPr>
          <w:color w:val="000000"/>
          <w:szCs w:val="24"/>
        </w:rPr>
        <w:t xml:space="preserve">icial el 14 de noviembre de 2017, </w:t>
      </w:r>
      <w:r w:rsidR="00464344" w:rsidRPr="00B462E4">
        <w:rPr>
          <w:color w:val="000000"/>
          <w:szCs w:val="24"/>
        </w:rPr>
        <w:t>dado que</w:t>
      </w:r>
      <w:r w:rsidR="00F938BD" w:rsidRPr="00B462E4">
        <w:rPr>
          <w:color w:val="000000"/>
          <w:szCs w:val="24"/>
        </w:rPr>
        <w:t xml:space="preserve"> </w:t>
      </w:r>
      <w:r w:rsidR="007460F4" w:rsidRPr="00B462E4">
        <w:rPr>
          <w:color w:val="000000"/>
          <w:szCs w:val="24"/>
        </w:rPr>
        <w:t>se le había elevado reclamación administrativa el 3 de junio de 2015</w:t>
      </w:r>
      <w:r w:rsidR="007460F4" w:rsidRPr="00B462E4">
        <w:rPr>
          <w:rStyle w:val="Refdenotaalpie"/>
          <w:color w:val="000000"/>
          <w:szCs w:val="24"/>
        </w:rPr>
        <w:footnoteReference w:id="19"/>
      </w:r>
      <w:r w:rsidR="007460F4" w:rsidRPr="00B462E4">
        <w:rPr>
          <w:color w:val="000000"/>
          <w:szCs w:val="24"/>
        </w:rPr>
        <w:t xml:space="preserve"> y</w:t>
      </w:r>
      <w:r w:rsidR="00464344" w:rsidRPr="00B462E4">
        <w:rPr>
          <w:color w:val="000000"/>
          <w:szCs w:val="24"/>
        </w:rPr>
        <w:t xml:space="preserve"> </w:t>
      </w:r>
      <w:r w:rsidR="0056622B" w:rsidRPr="00B462E4">
        <w:rPr>
          <w:color w:val="000000"/>
          <w:szCs w:val="24"/>
        </w:rPr>
        <w:t xml:space="preserve">recibió la citación para diligencia de notificación personal </w:t>
      </w:r>
      <w:r w:rsidR="004D2650" w:rsidRPr="00B462E4">
        <w:rPr>
          <w:color w:val="000000"/>
          <w:szCs w:val="24"/>
        </w:rPr>
        <w:t>el 3 de agosto de 2016</w:t>
      </w:r>
      <w:r w:rsidR="004D2650" w:rsidRPr="00B462E4">
        <w:rPr>
          <w:rStyle w:val="Refdenotaalpie"/>
          <w:color w:val="000000"/>
          <w:szCs w:val="24"/>
        </w:rPr>
        <w:footnoteReference w:id="20"/>
      </w:r>
      <w:r w:rsidR="00464344" w:rsidRPr="00B462E4">
        <w:rPr>
          <w:color w:val="000000"/>
          <w:szCs w:val="24"/>
        </w:rPr>
        <w:t xml:space="preserve"> </w:t>
      </w:r>
      <w:r w:rsidR="004740A3" w:rsidRPr="00B462E4">
        <w:rPr>
          <w:color w:val="000000"/>
          <w:szCs w:val="24"/>
        </w:rPr>
        <w:t xml:space="preserve">en las instalaciones de la Alcaldía de Pereira según constancia de la empresa de correo, </w:t>
      </w:r>
      <w:r w:rsidR="00C37C51" w:rsidRPr="00B462E4">
        <w:rPr>
          <w:color w:val="000000"/>
          <w:szCs w:val="24"/>
        </w:rPr>
        <w:t>la mora en la notificación personal del Municipio demandado no</w:t>
      </w:r>
      <w:r w:rsidR="007C3478" w:rsidRPr="00B462E4">
        <w:rPr>
          <w:color w:val="000000"/>
          <w:szCs w:val="24"/>
        </w:rPr>
        <w:t xml:space="preserve"> puede ser</w:t>
      </w:r>
      <w:r w:rsidR="00C37C51" w:rsidRPr="00B462E4">
        <w:rPr>
          <w:color w:val="000000"/>
          <w:szCs w:val="24"/>
        </w:rPr>
        <w:t xml:space="preserve"> atribuible al demandante</w:t>
      </w:r>
      <w:r w:rsidR="79E66357" w:rsidRPr="00B462E4">
        <w:rPr>
          <w:color w:val="000000"/>
          <w:szCs w:val="24"/>
        </w:rPr>
        <w:t>,</w:t>
      </w:r>
      <w:r w:rsidR="00C37C51" w:rsidRPr="00B462E4">
        <w:rPr>
          <w:color w:val="000000"/>
          <w:szCs w:val="24"/>
        </w:rPr>
        <w:t xml:space="preserve"> quien cumplió con los acto</w:t>
      </w:r>
      <w:r w:rsidR="6E7755AA" w:rsidRPr="00B462E4">
        <w:rPr>
          <w:color w:val="000000"/>
          <w:szCs w:val="24"/>
        </w:rPr>
        <w:t>s</w:t>
      </w:r>
      <w:r w:rsidR="00C37C51" w:rsidRPr="00B462E4">
        <w:rPr>
          <w:color w:val="000000"/>
          <w:szCs w:val="24"/>
        </w:rPr>
        <w:t xml:space="preserve"> previos de comunicación, </w:t>
      </w:r>
      <w:r w:rsidR="00781D88" w:rsidRPr="00B462E4">
        <w:rPr>
          <w:color w:val="000000"/>
          <w:szCs w:val="24"/>
        </w:rPr>
        <w:t>así</w:t>
      </w:r>
      <w:r w:rsidR="6691E6F1" w:rsidRPr="00B462E4">
        <w:rPr>
          <w:color w:val="000000"/>
          <w:szCs w:val="24"/>
        </w:rPr>
        <w:t xml:space="preserve"> que</w:t>
      </w:r>
      <w:r w:rsidR="00781D88" w:rsidRPr="00B462E4">
        <w:rPr>
          <w:color w:val="000000"/>
          <w:szCs w:val="24"/>
        </w:rPr>
        <w:t xml:space="preserve"> la decidía del ente territorial no puede redundar en beneficio propio a efectos de extinguir los derechos del promotor del litigio que actuó con diligencia</w:t>
      </w:r>
      <w:r w:rsidR="007C3478" w:rsidRPr="00B462E4">
        <w:rPr>
          <w:color w:val="000000"/>
          <w:szCs w:val="24"/>
        </w:rPr>
        <w:t>. U</w:t>
      </w:r>
      <w:r w:rsidR="00781D88" w:rsidRPr="00B462E4">
        <w:rPr>
          <w:color w:val="000000"/>
          <w:szCs w:val="24"/>
        </w:rPr>
        <w:t xml:space="preserve">na intelección distinta propendería por </w:t>
      </w:r>
      <w:r w:rsidR="00E64CC4" w:rsidRPr="00B462E4">
        <w:rPr>
          <w:color w:val="000000"/>
          <w:szCs w:val="24"/>
        </w:rPr>
        <w:t>la utilización de maniobras dilatorias</w:t>
      </w:r>
      <w:r w:rsidR="007C3478" w:rsidRPr="00B462E4">
        <w:rPr>
          <w:color w:val="000000"/>
          <w:szCs w:val="24"/>
        </w:rPr>
        <w:t>,</w:t>
      </w:r>
      <w:r w:rsidR="00E64CC4" w:rsidRPr="00B462E4">
        <w:rPr>
          <w:color w:val="000000"/>
          <w:szCs w:val="24"/>
        </w:rPr>
        <w:t xml:space="preserve"> con el fin de</w:t>
      </w:r>
      <w:r w:rsidR="00E50CB0" w:rsidRPr="00B462E4">
        <w:rPr>
          <w:color w:val="000000"/>
          <w:szCs w:val="24"/>
        </w:rPr>
        <w:t xml:space="preserve"> despojar a los trabajadores de sus derechos laborales</w:t>
      </w:r>
      <w:r w:rsidR="00E64CC4" w:rsidRPr="00B462E4">
        <w:rPr>
          <w:color w:val="000000"/>
          <w:szCs w:val="24"/>
        </w:rPr>
        <w:t xml:space="preserve">, de allí que el recurso de la apoderada del Municipio de Pereira </w:t>
      </w:r>
      <w:r w:rsidR="005D6E3F" w:rsidRPr="00B462E4">
        <w:rPr>
          <w:color w:val="000000"/>
          <w:szCs w:val="24"/>
        </w:rPr>
        <w:t xml:space="preserve">en cuando a dicho medio exceptivo </w:t>
      </w:r>
      <w:r w:rsidR="00E64CC4" w:rsidRPr="00B462E4">
        <w:rPr>
          <w:color w:val="000000"/>
          <w:szCs w:val="24"/>
        </w:rPr>
        <w:t xml:space="preserve">no pueda salir avante. </w:t>
      </w:r>
    </w:p>
    <w:p w14:paraId="6FCAAD1A" w14:textId="41EC9534" w:rsidR="007F22A5" w:rsidRPr="00B462E4" w:rsidRDefault="007F22A5" w:rsidP="00B462E4">
      <w:pPr>
        <w:spacing w:line="276" w:lineRule="auto"/>
        <w:rPr>
          <w:szCs w:val="24"/>
        </w:rPr>
      </w:pPr>
    </w:p>
    <w:p w14:paraId="7810638B" w14:textId="40A191D2" w:rsidR="00B1441C" w:rsidRPr="00B462E4" w:rsidRDefault="00B1441C" w:rsidP="00B462E4">
      <w:pPr>
        <w:spacing w:line="276" w:lineRule="auto"/>
        <w:ind w:firstLine="709"/>
        <w:rPr>
          <w:szCs w:val="24"/>
        </w:rPr>
      </w:pPr>
      <w:r w:rsidRPr="00B462E4">
        <w:rPr>
          <w:szCs w:val="24"/>
        </w:rPr>
        <w:t>Sin costas en segunda instancia ante la prosperidad parcial del recurso de apelación propuesto.</w:t>
      </w:r>
    </w:p>
    <w:p w14:paraId="0FD7C194" w14:textId="77777777" w:rsidR="00A80E6B" w:rsidRPr="00B462E4" w:rsidRDefault="00A80E6B" w:rsidP="00B462E4">
      <w:pPr>
        <w:widowControl w:val="0"/>
        <w:tabs>
          <w:tab w:val="left" w:pos="284"/>
        </w:tabs>
        <w:autoSpaceDE w:val="0"/>
        <w:autoSpaceDN w:val="0"/>
        <w:adjustRightInd w:val="0"/>
        <w:spacing w:line="276" w:lineRule="auto"/>
        <w:rPr>
          <w:b/>
          <w:szCs w:val="24"/>
        </w:rPr>
      </w:pPr>
    </w:p>
    <w:p w14:paraId="1EC68BF8" w14:textId="77777777" w:rsidR="00ED578B" w:rsidRPr="00B462E4" w:rsidRDefault="00ED578B" w:rsidP="00B462E4">
      <w:pPr>
        <w:pStyle w:val="Prrafodelista2"/>
        <w:spacing w:after="0"/>
        <w:ind w:left="0" w:firstLine="709"/>
        <w:jc w:val="both"/>
        <w:rPr>
          <w:rFonts w:ascii="Tahoma" w:hAnsi="Tahoma" w:cs="Tahoma"/>
          <w:color w:val="000000" w:themeColor="text1"/>
          <w:sz w:val="24"/>
          <w:szCs w:val="24"/>
          <w:lang w:val="es-ES_tradnl"/>
        </w:rPr>
      </w:pPr>
      <w:r w:rsidRPr="00B462E4">
        <w:rPr>
          <w:rFonts w:ascii="Tahoma" w:hAnsi="Tahoma" w:cs="Tahoma"/>
          <w:color w:val="000000" w:themeColor="text1"/>
          <w:sz w:val="24"/>
          <w:szCs w:val="24"/>
          <w:lang w:val="es-ES_tradnl"/>
        </w:rPr>
        <w:t xml:space="preserve">En mérito de lo expuesto, el </w:t>
      </w:r>
      <w:r w:rsidRPr="00B462E4">
        <w:rPr>
          <w:rFonts w:ascii="Tahoma" w:hAnsi="Tahoma" w:cs="Tahoma"/>
          <w:b/>
          <w:color w:val="000000" w:themeColor="text1"/>
          <w:sz w:val="24"/>
          <w:szCs w:val="24"/>
          <w:lang w:val="es-ES_tradnl"/>
        </w:rPr>
        <w:t>Tribunal Superior del Distrito Judicial de Pereira - Risaralda, Sala Primera de Decisión Laboral,</w:t>
      </w:r>
      <w:r w:rsidRPr="00B462E4">
        <w:rPr>
          <w:rFonts w:ascii="Tahoma" w:hAnsi="Tahoma" w:cs="Tahoma"/>
          <w:color w:val="000000" w:themeColor="text1"/>
          <w:sz w:val="24"/>
          <w:szCs w:val="24"/>
          <w:lang w:val="es-ES_tradnl"/>
        </w:rPr>
        <w:t xml:space="preserve"> administrando justicia en nombre de la República y por autoridad de la ley,</w:t>
      </w:r>
    </w:p>
    <w:p w14:paraId="41F45EAB" w14:textId="77777777" w:rsidR="00ED578B" w:rsidRPr="00B462E4" w:rsidRDefault="00ED578B" w:rsidP="00B462E4">
      <w:pPr>
        <w:pStyle w:val="Prrafodelista2"/>
        <w:spacing w:after="0"/>
        <w:ind w:left="0"/>
        <w:jc w:val="both"/>
        <w:rPr>
          <w:rFonts w:ascii="Tahoma" w:hAnsi="Tahoma" w:cs="Tahoma"/>
          <w:color w:val="000000" w:themeColor="text1"/>
          <w:sz w:val="24"/>
          <w:szCs w:val="24"/>
          <w:lang w:val="es-ES_tradnl"/>
        </w:rPr>
      </w:pPr>
    </w:p>
    <w:p w14:paraId="56E09B17" w14:textId="77777777" w:rsidR="00ED578B" w:rsidRPr="00B462E4" w:rsidRDefault="00ED578B" w:rsidP="00B462E4">
      <w:pPr>
        <w:pStyle w:val="Prrafodelista"/>
        <w:spacing w:line="276" w:lineRule="auto"/>
        <w:ind w:left="0"/>
        <w:jc w:val="center"/>
        <w:rPr>
          <w:b/>
          <w:color w:val="000000" w:themeColor="text1"/>
          <w:szCs w:val="24"/>
        </w:rPr>
      </w:pPr>
      <w:r w:rsidRPr="00B462E4">
        <w:rPr>
          <w:b/>
          <w:color w:val="000000" w:themeColor="text1"/>
          <w:szCs w:val="24"/>
        </w:rPr>
        <w:t>RESUELVE</w:t>
      </w:r>
    </w:p>
    <w:p w14:paraId="01AA9A73" w14:textId="77777777" w:rsidR="00ED578B" w:rsidRPr="00B462E4" w:rsidRDefault="00ED578B" w:rsidP="00B462E4">
      <w:pPr>
        <w:pStyle w:val="Prrafodelista"/>
        <w:spacing w:line="276" w:lineRule="auto"/>
        <w:ind w:left="0"/>
        <w:rPr>
          <w:b/>
          <w:color w:val="000000" w:themeColor="text1"/>
          <w:szCs w:val="24"/>
        </w:rPr>
      </w:pPr>
    </w:p>
    <w:p w14:paraId="4F11D3BB" w14:textId="02CFB384" w:rsidR="002C3BE2" w:rsidRPr="00B462E4" w:rsidRDefault="00ED578B" w:rsidP="00B462E4">
      <w:pPr>
        <w:spacing w:line="276" w:lineRule="auto"/>
        <w:ind w:firstLine="720"/>
        <w:rPr>
          <w:color w:val="000000" w:themeColor="text1"/>
          <w:szCs w:val="24"/>
        </w:rPr>
      </w:pPr>
      <w:r w:rsidRPr="00B462E4">
        <w:rPr>
          <w:rFonts w:eastAsia="Times New Roman"/>
          <w:b/>
          <w:bCs/>
          <w:szCs w:val="24"/>
          <w:u w:val="single"/>
          <w:lang w:eastAsia="es-ES"/>
        </w:rPr>
        <w:t>PRIMERO</w:t>
      </w:r>
      <w:r w:rsidRPr="00B462E4">
        <w:rPr>
          <w:rFonts w:eastAsia="Times New Roman"/>
          <w:b/>
          <w:bCs/>
          <w:szCs w:val="24"/>
          <w:lang w:eastAsia="es-ES"/>
        </w:rPr>
        <w:t>:</w:t>
      </w:r>
      <w:r w:rsidRPr="00B462E4">
        <w:rPr>
          <w:rFonts w:eastAsia="Times New Roman"/>
          <w:b/>
          <w:bCs/>
          <w:i/>
          <w:iCs/>
          <w:szCs w:val="24"/>
          <w:lang w:eastAsia="es-ES"/>
        </w:rPr>
        <w:t> </w:t>
      </w:r>
      <w:r w:rsidR="00AD67D3" w:rsidRPr="00B462E4">
        <w:rPr>
          <w:rFonts w:eastAsia="Times New Roman"/>
          <w:b/>
          <w:bCs/>
          <w:szCs w:val="24"/>
          <w:lang w:eastAsia="es-ES"/>
        </w:rPr>
        <w:t xml:space="preserve">MODIFICAR </w:t>
      </w:r>
      <w:r w:rsidR="00AD67D3" w:rsidRPr="00B462E4">
        <w:rPr>
          <w:rFonts w:eastAsia="Times New Roman"/>
          <w:szCs w:val="24"/>
          <w:lang w:eastAsia="es-ES"/>
        </w:rPr>
        <w:t>los ordinales tercero y cuarto de</w:t>
      </w:r>
      <w:r w:rsidR="00D61519" w:rsidRPr="00B462E4">
        <w:rPr>
          <w:rFonts w:eastAsia="Times New Roman"/>
          <w:b/>
          <w:bCs/>
          <w:szCs w:val="24"/>
          <w:lang w:eastAsia="es-ES"/>
        </w:rPr>
        <w:t xml:space="preserve"> </w:t>
      </w:r>
      <w:r w:rsidR="00116F8D" w:rsidRPr="00B462E4">
        <w:rPr>
          <w:rFonts w:eastAsia="Times New Roman"/>
          <w:szCs w:val="24"/>
          <w:lang w:eastAsia="es-ES"/>
        </w:rPr>
        <w:t xml:space="preserve">la sentencia proferida por el Juzgado </w:t>
      </w:r>
      <w:r w:rsidR="00AD67D3" w:rsidRPr="00B462E4">
        <w:rPr>
          <w:rFonts w:eastAsia="Times New Roman"/>
          <w:szCs w:val="24"/>
          <w:lang w:eastAsia="es-ES"/>
        </w:rPr>
        <w:t>Primero</w:t>
      </w:r>
      <w:r w:rsidR="00116F8D" w:rsidRPr="00B462E4">
        <w:rPr>
          <w:rFonts w:eastAsia="Times New Roman"/>
          <w:szCs w:val="24"/>
          <w:lang w:eastAsia="es-ES"/>
        </w:rPr>
        <w:t xml:space="preserve"> Laboral del Circuito de Pereira el </w:t>
      </w:r>
      <w:r w:rsidR="00AD67D3" w:rsidRPr="00B462E4">
        <w:rPr>
          <w:rFonts w:eastAsia="Times New Roman"/>
          <w:szCs w:val="24"/>
          <w:lang w:eastAsia="es-ES"/>
        </w:rPr>
        <w:t>10</w:t>
      </w:r>
      <w:r w:rsidR="00AE053E" w:rsidRPr="00B462E4">
        <w:rPr>
          <w:rFonts w:eastAsia="Times New Roman"/>
          <w:szCs w:val="24"/>
          <w:lang w:eastAsia="es-ES"/>
        </w:rPr>
        <w:t xml:space="preserve"> de</w:t>
      </w:r>
      <w:r w:rsidR="00AD67D3" w:rsidRPr="00B462E4">
        <w:rPr>
          <w:rFonts w:eastAsia="Times New Roman"/>
          <w:szCs w:val="24"/>
          <w:lang w:eastAsia="es-ES"/>
        </w:rPr>
        <w:t xml:space="preserve"> noviembre</w:t>
      </w:r>
      <w:r w:rsidR="00AE053E" w:rsidRPr="00B462E4">
        <w:rPr>
          <w:rFonts w:eastAsia="Times New Roman"/>
          <w:szCs w:val="24"/>
          <w:lang w:eastAsia="es-ES"/>
        </w:rPr>
        <w:t xml:space="preserve"> de 202</w:t>
      </w:r>
      <w:r w:rsidR="00AD67D3" w:rsidRPr="00B462E4">
        <w:rPr>
          <w:rFonts w:eastAsia="Times New Roman"/>
          <w:szCs w:val="24"/>
          <w:lang w:eastAsia="es-ES"/>
        </w:rPr>
        <w:t>2</w:t>
      </w:r>
      <w:r w:rsidR="00AE053E" w:rsidRPr="00B462E4">
        <w:rPr>
          <w:rFonts w:eastAsia="Times New Roman"/>
          <w:szCs w:val="24"/>
          <w:lang w:eastAsia="es-ES"/>
        </w:rPr>
        <w:t xml:space="preserve"> dentro del proceso </w:t>
      </w:r>
      <w:r w:rsidR="1E42EE35" w:rsidRPr="00B462E4">
        <w:rPr>
          <w:rFonts w:eastAsia="Times New Roman"/>
          <w:szCs w:val="24"/>
          <w:lang w:eastAsia="es-ES"/>
        </w:rPr>
        <w:t>de la referencia</w:t>
      </w:r>
      <w:r w:rsidR="002C3BE2" w:rsidRPr="00B462E4">
        <w:rPr>
          <w:rFonts w:eastAsia="Times New Roman"/>
          <w:b/>
          <w:bCs/>
          <w:szCs w:val="24"/>
          <w:lang w:val="es-419" w:eastAsia="es-ES"/>
        </w:rPr>
        <w:t xml:space="preserve">, </w:t>
      </w:r>
      <w:r w:rsidR="59BBA4C1" w:rsidRPr="00B462E4">
        <w:rPr>
          <w:color w:val="000000" w:themeColor="text1"/>
          <w:szCs w:val="24"/>
        </w:rPr>
        <w:t xml:space="preserve">para en su lugar, </w:t>
      </w:r>
      <w:r w:rsidR="59BBA4C1" w:rsidRPr="00B462E4">
        <w:rPr>
          <w:b/>
          <w:bCs/>
          <w:color w:val="000000" w:themeColor="text1"/>
          <w:szCs w:val="24"/>
        </w:rPr>
        <w:t>REVOCAR</w:t>
      </w:r>
      <w:r w:rsidR="59BBA4C1" w:rsidRPr="00B462E4">
        <w:rPr>
          <w:color w:val="000000" w:themeColor="text1"/>
          <w:szCs w:val="24"/>
        </w:rPr>
        <w:t xml:space="preserve"> la condena por </w:t>
      </w:r>
      <w:r w:rsidR="59BBA4C1" w:rsidRPr="00B462E4">
        <w:rPr>
          <w:color w:val="000000" w:themeColor="text1"/>
          <w:szCs w:val="24"/>
        </w:rPr>
        <w:lastRenderedPageBreak/>
        <w:t xml:space="preserve">concepto de indemnización de que trata el artículo 26 de la Ley 371 de 1991, debido a que el trabajador al momento despido no estaba en una situación de estabilidad laboral reforzada, </w:t>
      </w:r>
      <w:r w:rsidR="4A95DF42" w:rsidRPr="00B462E4">
        <w:rPr>
          <w:color w:val="000000" w:themeColor="text1"/>
          <w:szCs w:val="24"/>
        </w:rPr>
        <w:t>así:</w:t>
      </w:r>
    </w:p>
    <w:p w14:paraId="791FC491" w14:textId="57D7189A" w:rsidR="002C3BE2" w:rsidRPr="00B462E4" w:rsidRDefault="002C3BE2" w:rsidP="00B462E4">
      <w:pPr>
        <w:spacing w:line="276" w:lineRule="auto"/>
        <w:rPr>
          <w:rFonts w:eastAsia="Times New Roman"/>
          <w:i/>
          <w:iCs/>
          <w:szCs w:val="24"/>
          <w:lang w:val="es-419" w:eastAsia="es-ES"/>
        </w:rPr>
      </w:pPr>
    </w:p>
    <w:p w14:paraId="78DCED45" w14:textId="20730E2C" w:rsidR="002C3BE2" w:rsidRPr="00B462E4" w:rsidRDefault="002C3BE2" w:rsidP="00B462E4">
      <w:pPr>
        <w:spacing w:line="276" w:lineRule="auto"/>
        <w:rPr>
          <w:rFonts w:eastAsia="Times New Roman"/>
          <w:i/>
          <w:iCs/>
          <w:szCs w:val="24"/>
          <w:lang w:val="es-419" w:eastAsia="es-ES"/>
        </w:rPr>
      </w:pPr>
      <w:r w:rsidRPr="00B462E4">
        <w:rPr>
          <w:rFonts w:eastAsia="Times New Roman"/>
          <w:i/>
          <w:iCs/>
          <w:szCs w:val="24"/>
          <w:lang w:val="es-419" w:eastAsia="es-ES"/>
        </w:rPr>
        <w:t>“TERCERO: DECLARAR que el contrato de trabajo celebrado entre el señor DARIO DE JESUS FORONDA MONTOYA como trabajador y los señores JOSE GUILLERMO GALAN, OCTAVIO AUGUSTO MORALES, GERMÁN TORRES SALGADO y la sociedad VÍAS Y CANALES S.A.S. como integrantes del CONSORCIO OMEGA, como empleadores, se dio por terminado de manera unilateral y sin justa causa por parte del empleador</w:t>
      </w:r>
      <w:r w:rsidR="00FE392E" w:rsidRPr="00B462E4">
        <w:rPr>
          <w:rFonts w:eastAsia="Times New Roman"/>
          <w:i/>
          <w:iCs/>
          <w:szCs w:val="24"/>
          <w:lang w:val="es-419" w:eastAsia="es-ES"/>
        </w:rPr>
        <w:t>”.</w:t>
      </w:r>
    </w:p>
    <w:p w14:paraId="246B1D27" w14:textId="77777777" w:rsidR="002C3BE2" w:rsidRPr="00B462E4" w:rsidRDefault="002C3BE2" w:rsidP="00B462E4">
      <w:pPr>
        <w:spacing w:line="276" w:lineRule="auto"/>
        <w:rPr>
          <w:rFonts w:eastAsia="Times New Roman"/>
          <w:i/>
          <w:iCs/>
          <w:szCs w:val="24"/>
          <w:lang w:val="es-419" w:eastAsia="es-ES"/>
        </w:rPr>
      </w:pPr>
    </w:p>
    <w:p w14:paraId="4CD5427A" w14:textId="465CE085" w:rsidR="002C3BE2" w:rsidRPr="00B462E4" w:rsidRDefault="002C3BE2" w:rsidP="00B462E4">
      <w:pPr>
        <w:spacing w:line="276" w:lineRule="auto"/>
        <w:rPr>
          <w:rFonts w:eastAsia="Times New Roman"/>
          <w:szCs w:val="24"/>
          <w:lang w:val="es-419" w:eastAsia="es-ES"/>
        </w:rPr>
      </w:pPr>
      <w:r w:rsidRPr="00B462E4">
        <w:rPr>
          <w:rFonts w:eastAsia="Times New Roman"/>
          <w:i/>
          <w:iCs/>
          <w:szCs w:val="24"/>
          <w:lang w:val="es-419" w:eastAsia="es-ES"/>
        </w:rPr>
        <w:t>CUARTO: CONDENAR a los señores JOSE GUILLERMO GALAN, OCTAVIO AUGUSTO MORALES, GERMÁN TORRES SALGADO y la sociedad VÍAS Y CANALES S.A.S. como integrantes del CONSORCIO OMEGA a pagar a favor del demandante DARIO DE JESUS FORONDA MONTOYA por concepto de indemnización por despido injusto la suma de $431.200</w:t>
      </w:r>
      <w:r w:rsidR="00FE392E" w:rsidRPr="00B462E4">
        <w:rPr>
          <w:rFonts w:eastAsia="Times New Roman"/>
          <w:i/>
          <w:iCs/>
          <w:szCs w:val="24"/>
          <w:lang w:val="es-419" w:eastAsia="es-ES"/>
        </w:rPr>
        <w:t>,</w:t>
      </w:r>
      <w:r w:rsidRPr="00B462E4">
        <w:rPr>
          <w:rFonts w:eastAsia="Times New Roman"/>
          <w:i/>
          <w:iCs/>
          <w:szCs w:val="24"/>
          <w:lang w:val="es-419" w:eastAsia="es-ES"/>
        </w:rPr>
        <w:t xml:space="preserve"> debidamente indexad</w:t>
      </w:r>
      <w:r w:rsidR="00FE392E" w:rsidRPr="00B462E4">
        <w:rPr>
          <w:rFonts w:eastAsia="Times New Roman"/>
          <w:i/>
          <w:iCs/>
          <w:szCs w:val="24"/>
          <w:lang w:val="es-419" w:eastAsia="es-ES"/>
        </w:rPr>
        <w:t>a</w:t>
      </w:r>
      <w:r w:rsidRPr="00B462E4">
        <w:rPr>
          <w:rFonts w:eastAsia="Times New Roman"/>
          <w:i/>
          <w:iCs/>
          <w:szCs w:val="24"/>
          <w:lang w:val="es-419" w:eastAsia="es-ES"/>
        </w:rPr>
        <w:t xml:space="preserve"> al momento de efectuarse el pago.”</w:t>
      </w:r>
    </w:p>
    <w:p w14:paraId="72A0F842" w14:textId="632B7CA8" w:rsidR="00580904" w:rsidRPr="00B462E4" w:rsidRDefault="00580904" w:rsidP="00B462E4">
      <w:pPr>
        <w:spacing w:line="276" w:lineRule="auto"/>
        <w:ind w:firstLine="705"/>
        <w:rPr>
          <w:rFonts w:eastAsia="Times New Roman"/>
          <w:szCs w:val="24"/>
          <w:lang w:val="es-419" w:eastAsia="es-ES"/>
        </w:rPr>
      </w:pPr>
    </w:p>
    <w:p w14:paraId="00000068" w14:textId="463E6F70" w:rsidR="00041DAE" w:rsidRPr="00B462E4" w:rsidRDefault="00580904" w:rsidP="00B462E4">
      <w:pPr>
        <w:spacing w:line="276" w:lineRule="auto"/>
        <w:ind w:firstLine="705"/>
        <w:rPr>
          <w:b/>
          <w:szCs w:val="24"/>
        </w:rPr>
      </w:pPr>
      <w:r w:rsidRPr="00B462E4">
        <w:rPr>
          <w:b/>
          <w:bCs/>
          <w:szCs w:val="24"/>
          <w:u w:val="single"/>
        </w:rPr>
        <w:t>SEGUNDO</w:t>
      </w:r>
      <w:r w:rsidRPr="00B462E4">
        <w:rPr>
          <w:b/>
          <w:bCs/>
          <w:szCs w:val="24"/>
        </w:rPr>
        <w:t xml:space="preserve">: </w:t>
      </w:r>
      <w:r w:rsidR="008F2785" w:rsidRPr="00B462E4">
        <w:rPr>
          <w:rFonts w:eastAsia="Times New Roman"/>
          <w:b/>
          <w:bCs/>
          <w:szCs w:val="24"/>
          <w:lang w:eastAsia="es-ES"/>
        </w:rPr>
        <w:t xml:space="preserve">CONFIRMAR </w:t>
      </w:r>
      <w:r w:rsidRPr="00B462E4">
        <w:rPr>
          <w:rFonts w:eastAsia="Times New Roman"/>
          <w:szCs w:val="24"/>
          <w:lang w:eastAsia="es-ES"/>
        </w:rPr>
        <w:t>en todo lo demás la sentencia apelada.</w:t>
      </w:r>
    </w:p>
    <w:p w14:paraId="09AFEB3D" w14:textId="77777777" w:rsidR="00C82EB2" w:rsidRPr="00B462E4" w:rsidRDefault="00C82EB2" w:rsidP="00B462E4">
      <w:pPr>
        <w:spacing w:line="276" w:lineRule="auto"/>
        <w:ind w:firstLine="705"/>
        <w:rPr>
          <w:b/>
          <w:bCs/>
          <w:szCs w:val="24"/>
        </w:rPr>
      </w:pPr>
    </w:p>
    <w:p w14:paraId="6848E1FD" w14:textId="67165908" w:rsidR="00196AE8" w:rsidRPr="00B462E4" w:rsidRDefault="00580904" w:rsidP="00B462E4">
      <w:pPr>
        <w:spacing w:line="276" w:lineRule="auto"/>
        <w:ind w:firstLine="705"/>
        <w:rPr>
          <w:b/>
          <w:szCs w:val="24"/>
        </w:rPr>
      </w:pPr>
      <w:r w:rsidRPr="00B462E4">
        <w:rPr>
          <w:b/>
          <w:bCs/>
          <w:szCs w:val="24"/>
          <w:u w:val="single"/>
        </w:rPr>
        <w:t>TERCERO</w:t>
      </w:r>
      <w:r w:rsidR="00C82EB2" w:rsidRPr="00B462E4">
        <w:rPr>
          <w:b/>
          <w:bCs/>
          <w:szCs w:val="24"/>
        </w:rPr>
        <w:t>:</w:t>
      </w:r>
      <w:r w:rsidRPr="00B462E4">
        <w:rPr>
          <w:b/>
          <w:bCs/>
          <w:szCs w:val="24"/>
        </w:rPr>
        <w:t xml:space="preserve"> </w:t>
      </w:r>
      <w:r w:rsidR="00C617C7" w:rsidRPr="00B462E4">
        <w:rPr>
          <w:szCs w:val="24"/>
        </w:rPr>
        <w:t>Sin costas en esta instancia procesal.</w:t>
      </w:r>
      <w:r w:rsidR="00C82EB2" w:rsidRPr="00B462E4">
        <w:rPr>
          <w:b/>
          <w:bCs/>
          <w:szCs w:val="24"/>
        </w:rPr>
        <w:t xml:space="preserve"> </w:t>
      </w:r>
    </w:p>
    <w:p w14:paraId="12A83898" w14:textId="77777777" w:rsidR="00B462E4" w:rsidRPr="00B462E4" w:rsidRDefault="00B462E4" w:rsidP="00B462E4">
      <w:pPr>
        <w:spacing w:line="276" w:lineRule="auto"/>
        <w:rPr>
          <w:rFonts w:eastAsia="Calibri"/>
          <w:szCs w:val="24"/>
          <w:lang w:val="es-CO" w:eastAsia="en-US"/>
        </w:rPr>
      </w:pPr>
      <w:bookmarkStart w:id="2" w:name="_Hlk126574973"/>
    </w:p>
    <w:p w14:paraId="5A8FED5E" w14:textId="77777777" w:rsidR="00B462E4" w:rsidRPr="00B462E4" w:rsidRDefault="00B462E4" w:rsidP="00B462E4">
      <w:pPr>
        <w:spacing w:line="276" w:lineRule="auto"/>
        <w:jc w:val="center"/>
        <w:rPr>
          <w:b/>
          <w:bCs/>
          <w:szCs w:val="24"/>
          <w:lang w:val="es-CO" w:eastAsia="en-US"/>
        </w:rPr>
      </w:pPr>
      <w:r w:rsidRPr="00B462E4">
        <w:rPr>
          <w:b/>
          <w:bCs/>
          <w:szCs w:val="24"/>
          <w:lang w:val="es-CO" w:eastAsia="en-US"/>
        </w:rPr>
        <w:t>NOTIFÍQUESE Y CÚMPLASE</w:t>
      </w:r>
    </w:p>
    <w:p w14:paraId="5E921A4B" w14:textId="77777777" w:rsidR="00B462E4" w:rsidRPr="00B462E4" w:rsidRDefault="00B462E4" w:rsidP="00B462E4">
      <w:pPr>
        <w:spacing w:line="276" w:lineRule="auto"/>
        <w:rPr>
          <w:rFonts w:eastAsia="Calibri"/>
          <w:szCs w:val="24"/>
          <w:lang w:val="es-CO" w:eastAsia="en-US"/>
        </w:rPr>
      </w:pPr>
      <w:r w:rsidRPr="00B462E4">
        <w:rPr>
          <w:rFonts w:eastAsia="Calibri"/>
          <w:szCs w:val="24"/>
          <w:lang w:val="es-CO" w:eastAsia="en-US"/>
        </w:rPr>
        <w:t xml:space="preserve"> </w:t>
      </w:r>
    </w:p>
    <w:p w14:paraId="2607A5B6" w14:textId="77777777" w:rsidR="00B462E4" w:rsidRPr="00B462E4" w:rsidRDefault="00B462E4" w:rsidP="00B462E4">
      <w:pPr>
        <w:widowControl w:val="0"/>
        <w:autoSpaceDE w:val="0"/>
        <w:autoSpaceDN w:val="0"/>
        <w:adjustRightInd w:val="0"/>
        <w:spacing w:line="276" w:lineRule="auto"/>
        <w:rPr>
          <w:rFonts w:eastAsia="Times New Roman"/>
          <w:szCs w:val="24"/>
          <w:lang w:eastAsia="es-ES"/>
        </w:rPr>
      </w:pPr>
      <w:r w:rsidRPr="00B462E4">
        <w:rPr>
          <w:rFonts w:eastAsia="Times New Roman"/>
          <w:szCs w:val="24"/>
          <w:lang w:eastAsia="es-ES"/>
        </w:rPr>
        <w:tab/>
        <w:t>La Magistrada ponente,</w:t>
      </w:r>
    </w:p>
    <w:p w14:paraId="0E6CF144" w14:textId="77777777" w:rsidR="00B462E4" w:rsidRPr="00B462E4" w:rsidRDefault="00B462E4" w:rsidP="00B462E4">
      <w:pPr>
        <w:spacing w:line="276" w:lineRule="auto"/>
        <w:jc w:val="left"/>
        <w:rPr>
          <w:rFonts w:eastAsia="Times New Roman"/>
          <w:szCs w:val="24"/>
          <w:lang w:eastAsia="es-ES"/>
        </w:rPr>
      </w:pPr>
    </w:p>
    <w:p w14:paraId="04706F62" w14:textId="77777777" w:rsidR="00B462E4" w:rsidRPr="00B462E4" w:rsidRDefault="00B462E4" w:rsidP="00B462E4">
      <w:pPr>
        <w:spacing w:line="276" w:lineRule="auto"/>
        <w:jc w:val="left"/>
        <w:rPr>
          <w:rFonts w:eastAsia="Times New Roman"/>
          <w:szCs w:val="24"/>
          <w:lang w:eastAsia="es-ES"/>
        </w:rPr>
      </w:pPr>
    </w:p>
    <w:p w14:paraId="686DC67C" w14:textId="77777777" w:rsidR="00B462E4" w:rsidRPr="00B462E4" w:rsidRDefault="00B462E4" w:rsidP="00B462E4">
      <w:pPr>
        <w:spacing w:line="276" w:lineRule="auto"/>
        <w:jc w:val="left"/>
        <w:rPr>
          <w:rFonts w:eastAsia="Times New Roman"/>
          <w:szCs w:val="24"/>
          <w:lang w:eastAsia="es-ES"/>
        </w:rPr>
      </w:pPr>
    </w:p>
    <w:p w14:paraId="5664729D" w14:textId="77777777" w:rsidR="00B462E4" w:rsidRPr="00B462E4" w:rsidRDefault="00B462E4" w:rsidP="00B462E4">
      <w:pPr>
        <w:keepNext/>
        <w:spacing w:line="276" w:lineRule="auto"/>
        <w:jc w:val="center"/>
        <w:outlineLvl w:val="2"/>
        <w:rPr>
          <w:rFonts w:eastAsia="Times New Roman"/>
          <w:b/>
          <w:bCs/>
          <w:szCs w:val="24"/>
          <w:lang w:eastAsia="es-ES"/>
        </w:rPr>
      </w:pPr>
      <w:r w:rsidRPr="00B462E4">
        <w:rPr>
          <w:rFonts w:eastAsia="Times New Roman"/>
          <w:b/>
          <w:bCs/>
          <w:szCs w:val="24"/>
          <w:lang w:eastAsia="es-ES"/>
        </w:rPr>
        <w:t>ANA LUCÍA CAICEDO CALDERÓN</w:t>
      </w:r>
    </w:p>
    <w:p w14:paraId="668DDCA1" w14:textId="77777777" w:rsidR="00B462E4" w:rsidRPr="00B462E4" w:rsidRDefault="00B462E4" w:rsidP="00B462E4">
      <w:pPr>
        <w:spacing w:line="276" w:lineRule="auto"/>
        <w:jc w:val="left"/>
        <w:rPr>
          <w:rFonts w:eastAsia="Times New Roman"/>
          <w:szCs w:val="24"/>
          <w:lang w:eastAsia="es-ES"/>
        </w:rPr>
      </w:pPr>
    </w:p>
    <w:p w14:paraId="6B560665" w14:textId="77777777" w:rsidR="00B462E4" w:rsidRPr="00B462E4" w:rsidRDefault="00B462E4" w:rsidP="00B462E4">
      <w:pPr>
        <w:spacing w:line="276" w:lineRule="auto"/>
        <w:ind w:firstLine="708"/>
        <w:jc w:val="left"/>
        <w:rPr>
          <w:rFonts w:eastAsia="Times New Roman"/>
          <w:szCs w:val="24"/>
          <w:lang w:eastAsia="es-ES"/>
        </w:rPr>
      </w:pPr>
      <w:bookmarkStart w:id="3" w:name="_Hlk62478330"/>
      <w:r w:rsidRPr="00B462E4">
        <w:rPr>
          <w:rFonts w:eastAsia="Times New Roman"/>
          <w:szCs w:val="24"/>
          <w:lang w:eastAsia="es-ES"/>
        </w:rPr>
        <w:t>La Magistrada y el Magistrado,</w:t>
      </w:r>
    </w:p>
    <w:p w14:paraId="5E403ED6" w14:textId="77777777" w:rsidR="00B462E4" w:rsidRPr="00B462E4" w:rsidRDefault="00B462E4" w:rsidP="00B462E4">
      <w:pPr>
        <w:spacing w:line="276" w:lineRule="auto"/>
        <w:jc w:val="left"/>
        <w:rPr>
          <w:rFonts w:eastAsia="Times New Roman"/>
          <w:szCs w:val="24"/>
          <w:lang w:eastAsia="es-ES"/>
        </w:rPr>
      </w:pPr>
    </w:p>
    <w:p w14:paraId="61B7722E" w14:textId="77777777" w:rsidR="00B462E4" w:rsidRPr="00B462E4" w:rsidRDefault="00B462E4" w:rsidP="00B462E4">
      <w:pPr>
        <w:spacing w:line="276" w:lineRule="auto"/>
        <w:jc w:val="left"/>
        <w:rPr>
          <w:rFonts w:eastAsia="Times New Roman"/>
          <w:szCs w:val="24"/>
          <w:lang w:eastAsia="es-ES"/>
        </w:rPr>
      </w:pPr>
    </w:p>
    <w:p w14:paraId="55A431C4" w14:textId="77777777" w:rsidR="00B462E4" w:rsidRPr="00B462E4" w:rsidRDefault="00B462E4" w:rsidP="00B462E4">
      <w:pPr>
        <w:spacing w:line="276" w:lineRule="auto"/>
        <w:jc w:val="left"/>
        <w:rPr>
          <w:rFonts w:eastAsia="Times New Roman"/>
          <w:szCs w:val="24"/>
          <w:lang w:eastAsia="es-ES"/>
        </w:rPr>
      </w:pPr>
    </w:p>
    <w:p w14:paraId="17160AFE" w14:textId="77777777" w:rsidR="00B462E4" w:rsidRPr="00B462E4" w:rsidRDefault="00B462E4" w:rsidP="00B462E4">
      <w:pPr>
        <w:spacing w:line="276" w:lineRule="auto"/>
        <w:rPr>
          <w:rFonts w:eastAsia="Calibri"/>
          <w:szCs w:val="24"/>
          <w:lang w:eastAsia="en-US"/>
        </w:rPr>
      </w:pPr>
      <w:r w:rsidRPr="00B462E4">
        <w:rPr>
          <w:rFonts w:eastAsia="Times New Roman"/>
          <w:b/>
          <w:bCs/>
          <w:szCs w:val="24"/>
          <w:lang w:eastAsia="es-ES"/>
        </w:rPr>
        <w:t>OLGA LUCÍA HOYOS SEPÚLVEDA</w:t>
      </w:r>
      <w:r w:rsidRPr="00B462E4">
        <w:rPr>
          <w:rFonts w:eastAsia="Times New Roman"/>
          <w:b/>
          <w:bCs/>
          <w:szCs w:val="24"/>
          <w:lang w:eastAsia="es-ES"/>
        </w:rPr>
        <w:tab/>
      </w:r>
      <w:r w:rsidRPr="00B462E4">
        <w:rPr>
          <w:rFonts w:eastAsia="Times New Roman"/>
          <w:b/>
          <w:bCs/>
          <w:szCs w:val="24"/>
          <w:lang w:eastAsia="es-ES"/>
        </w:rPr>
        <w:tab/>
        <w:t>GERMÁN DARÍO GÓEZ VINASCO</w:t>
      </w:r>
      <w:bookmarkEnd w:id="2"/>
      <w:bookmarkEnd w:id="3"/>
    </w:p>
    <w:p w14:paraId="51DA9890" w14:textId="56DE2263" w:rsidR="00EF30F5" w:rsidRPr="00B462E4" w:rsidRDefault="00B462E4" w:rsidP="00B462E4">
      <w:pPr>
        <w:spacing w:line="276" w:lineRule="auto"/>
        <w:textAlignment w:val="baseline"/>
        <w:rPr>
          <w:szCs w:val="24"/>
        </w:rPr>
      </w:pPr>
      <w:r>
        <w:rPr>
          <w:szCs w:val="24"/>
        </w:rPr>
        <w:t>Con salvamento de voto</w:t>
      </w:r>
    </w:p>
    <w:sectPr w:rsidR="00EF30F5" w:rsidRPr="00B462E4" w:rsidSect="00854E21">
      <w:headerReference w:type="default" r:id="rId12"/>
      <w:pgSz w:w="12242" w:h="18722" w:code="258"/>
      <w:pgMar w:top="1871" w:right="1304" w:bottom="1304" w:left="1871" w:header="709" w:footer="709"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A7D281" w16cex:dateUtc="2023-09-27T18:42:59.909Z"/>
  <w16cex:commentExtensible w16cex:durableId="01237322" w16cex:dateUtc="2023-09-28T20:57:30.20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302D2" w14:textId="77777777" w:rsidR="00A54793" w:rsidRDefault="00A54793">
      <w:pPr>
        <w:spacing w:line="240" w:lineRule="auto"/>
      </w:pPr>
      <w:r>
        <w:separator/>
      </w:r>
    </w:p>
  </w:endnote>
  <w:endnote w:type="continuationSeparator" w:id="0">
    <w:p w14:paraId="062000B3" w14:textId="77777777" w:rsidR="00A54793" w:rsidRDefault="00A54793">
      <w:pPr>
        <w:spacing w:line="240" w:lineRule="auto"/>
      </w:pPr>
      <w:r>
        <w:continuationSeparator/>
      </w:r>
    </w:p>
  </w:endnote>
  <w:endnote w:type="continuationNotice" w:id="1">
    <w:p w14:paraId="47BEBAAB" w14:textId="77777777" w:rsidR="00A54793" w:rsidRDefault="00A547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518AF" w14:textId="77777777" w:rsidR="00A54793" w:rsidRDefault="00A54793">
      <w:pPr>
        <w:spacing w:line="240" w:lineRule="auto"/>
      </w:pPr>
      <w:r>
        <w:separator/>
      </w:r>
    </w:p>
  </w:footnote>
  <w:footnote w:type="continuationSeparator" w:id="0">
    <w:p w14:paraId="1A6289D5" w14:textId="77777777" w:rsidR="00A54793" w:rsidRDefault="00A54793">
      <w:pPr>
        <w:spacing w:line="240" w:lineRule="auto"/>
      </w:pPr>
      <w:r>
        <w:continuationSeparator/>
      </w:r>
    </w:p>
  </w:footnote>
  <w:footnote w:type="continuationNotice" w:id="1">
    <w:p w14:paraId="47201CD1" w14:textId="77777777" w:rsidR="00A54793" w:rsidRDefault="00A54793">
      <w:pPr>
        <w:spacing w:line="240" w:lineRule="auto"/>
      </w:pPr>
    </w:p>
  </w:footnote>
  <w:footnote w:id="2">
    <w:p w14:paraId="7278DABA" w14:textId="39E329FD"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13 cuaderno de primera instancia.</w:t>
      </w:r>
    </w:p>
  </w:footnote>
  <w:footnote w:id="3">
    <w:p w14:paraId="481EF695" w14:textId="7354F510"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22 cuaderno de primera instancia. </w:t>
      </w:r>
    </w:p>
  </w:footnote>
  <w:footnote w:id="4">
    <w:p w14:paraId="0229D917" w14:textId="5541FBE6"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32 cuaderno de primera instancia.</w:t>
      </w:r>
    </w:p>
  </w:footnote>
  <w:footnote w:id="5">
    <w:p w14:paraId="38B7D8B0" w14:textId="3215FB9C"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34 cuaderno de primera instancia.</w:t>
      </w:r>
    </w:p>
  </w:footnote>
  <w:footnote w:id="6">
    <w:p w14:paraId="77ADACF7" w14:textId="77777777" w:rsidR="003B3A62" w:rsidRPr="00B462E4" w:rsidRDefault="003B3A62" w:rsidP="00B462E4">
      <w:pPr>
        <w:pStyle w:val="Textonotapie"/>
        <w:rPr>
          <w:rFonts w:ascii="Arial" w:hAnsi="Arial" w:cs="Arial"/>
          <w:sz w:val="18"/>
          <w:szCs w:val="18"/>
          <w:lang w:val="es-CO"/>
        </w:rPr>
      </w:pPr>
      <w:r w:rsidRPr="00B462E4">
        <w:rPr>
          <w:rStyle w:val="Refdenotaalpie"/>
          <w:rFonts w:ascii="Arial" w:hAnsi="Arial" w:cs="Arial"/>
          <w:sz w:val="18"/>
          <w:szCs w:val="18"/>
        </w:rPr>
        <w:footnoteRef/>
      </w:r>
      <w:r w:rsidRPr="00B462E4">
        <w:rPr>
          <w:rFonts w:ascii="Arial" w:hAnsi="Arial" w:cs="Arial"/>
          <w:sz w:val="18"/>
          <w:szCs w:val="18"/>
        </w:rPr>
        <w:t xml:space="preserve"> </w:t>
      </w:r>
      <w:r w:rsidRPr="00B462E4">
        <w:rPr>
          <w:rFonts w:ascii="Arial" w:hAnsi="Arial" w:cs="Arial"/>
          <w:sz w:val="18"/>
          <w:szCs w:val="18"/>
          <w:lang w:val="es-CO"/>
        </w:rPr>
        <w:t xml:space="preserve">Magistrado Ponente Dr. Gerardo Botero Zuluaga, </w:t>
      </w:r>
      <w:r w:rsidRPr="00B462E4">
        <w:rPr>
          <w:rFonts w:ascii="Arial" w:hAnsi="Arial" w:cs="Arial"/>
          <w:sz w:val="18"/>
          <w:szCs w:val="18"/>
        </w:rPr>
        <w:t>Radicación No. 64605.</w:t>
      </w:r>
    </w:p>
  </w:footnote>
  <w:footnote w:id="7">
    <w:p w14:paraId="5CD17059" w14:textId="77777777" w:rsidR="003B3A62" w:rsidRPr="00B462E4" w:rsidRDefault="003B3A62" w:rsidP="00B462E4">
      <w:pPr>
        <w:pStyle w:val="Textonotapie"/>
        <w:rPr>
          <w:rFonts w:ascii="Arial" w:hAnsi="Arial" w:cs="Arial"/>
          <w:sz w:val="18"/>
          <w:szCs w:val="18"/>
          <w:lang w:val="es-CO"/>
        </w:rPr>
      </w:pPr>
      <w:r w:rsidRPr="00B462E4">
        <w:rPr>
          <w:rStyle w:val="Refdenotaalpie"/>
          <w:rFonts w:ascii="Arial" w:hAnsi="Arial" w:cs="Arial"/>
          <w:sz w:val="18"/>
          <w:szCs w:val="18"/>
        </w:rPr>
        <w:footnoteRef/>
      </w:r>
      <w:r w:rsidRPr="00B462E4">
        <w:rPr>
          <w:rFonts w:ascii="Arial" w:hAnsi="Arial" w:cs="Arial"/>
          <w:sz w:val="18"/>
          <w:szCs w:val="18"/>
        </w:rPr>
        <w:t xml:space="preserve"> </w:t>
      </w:r>
      <w:r w:rsidRPr="00B462E4">
        <w:rPr>
          <w:rFonts w:ascii="Arial" w:hAnsi="Arial" w:cs="Arial"/>
          <w:sz w:val="18"/>
          <w:szCs w:val="18"/>
          <w:lang w:val="es-CO"/>
        </w:rPr>
        <w:t xml:space="preserve">Dra. Clara Inés Dueñas Quevedo y Dr. Iván Mauricio Lenis Gómez </w:t>
      </w:r>
    </w:p>
  </w:footnote>
  <w:footnote w:id="8">
    <w:p w14:paraId="69CFE078" w14:textId="77777777"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El artículo 61 del Decreto 1352 de 2013, 26 de junio, derogó el artículo 7 del Decreto 2463 de 2001.</w:t>
      </w:r>
    </w:p>
  </w:footnote>
  <w:footnote w:id="9">
    <w:p w14:paraId="30EA83F7" w14:textId="77777777"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04, páginas 1 a 2 cuaderno de primera instancia.</w:t>
      </w:r>
    </w:p>
  </w:footnote>
  <w:footnote w:id="10">
    <w:p w14:paraId="0AB902F4" w14:textId="77777777"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78 cuaderno de primera instancia.</w:t>
      </w:r>
    </w:p>
  </w:footnote>
  <w:footnote w:id="11">
    <w:p w14:paraId="236CC81D" w14:textId="77777777"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04, página 3 cuaderno de primera instancia.</w:t>
      </w:r>
    </w:p>
  </w:footnote>
  <w:footnote w:id="12">
    <w:p w14:paraId="72B92EC1" w14:textId="77777777"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04, página 7 cuaderno de primera instancia.</w:t>
      </w:r>
    </w:p>
  </w:footnote>
  <w:footnote w:id="13">
    <w:p w14:paraId="440A41AC" w14:textId="78936784"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04, página 7 cuaderno de primera instancia.</w:t>
      </w:r>
    </w:p>
  </w:footnote>
  <w:footnote w:id="14">
    <w:p w14:paraId="5CAD0EEF" w14:textId="7BB7F62A"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85 cuaderno de primera instancia.</w:t>
      </w:r>
    </w:p>
  </w:footnote>
  <w:footnote w:id="15">
    <w:p w14:paraId="0BFA0C5E" w14:textId="7EC86B3D"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92, página 10 cuaderno de primera instancia</w:t>
      </w:r>
    </w:p>
  </w:footnote>
  <w:footnote w:id="16">
    <w:p w14:paraId="72DE135E" w14:textId="45136A03"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05, cuaderno de primera instancia.</w:t>
      </w:r>
    </w:p>
  </w:footnote>
  <w:footnote w:id="17">
    <w:p w14:paraId="50A5DAE4" w14:textId="1BC698C8"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Archivos 12 y 13 cuaderno de primera instancia. </w:t>
      </w:r>
    </w:p>
  </w:footnote>
  <w:footnote w:id="18">
    <w:p w14:paraId="2BD1439D" w14:textId="25CC6C2E"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17 cuaderno de primera instancia.</w:t>
      </w:r>
    </w:p>
  </w:footnote>
  <w:footnote w:id="19">
    <w:p w14:paraId="51BE86E2" w14:textId="284D93FA"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04, página 15 cuaderno de primera instancia.</w:t>
      </w:r>
    </w:p>
  </w:footnote>
  <w:footnote w:id="20">
    <w:p w14:paraId="6C5CF215" w14:textId="2E5EDA7B" w:rsidR="003B3A62" w:rsidRPr="00B462E4" w:rsidRDefault="003B3A62" w:rsidP="00B462E4">
      <w:pPr>
        <w:pStyle w:val="Textonotapie"/>
        <w:rPr>
          <w:rFonts w:ascii="Arial" w:hAnsi="Arial" w:cs="Arial"/>
          <w:sz w:val="18"/>
          <w:szCs w:val="18"/>
        </w:rPr>
      </w:pPr>
      <w:r w:rsidRPr="00B462E4">
        <w:rPr>
          <w:rStyle w:val="Refdenotaalpie"/>
          <w:rFonts w:ascii="Arial" w:hAnsi="Arial" w:cs="Arial"/>
          <w:sz w:val="18"/>
          <w:szCs w:val="18"/>
        </w:rPr>
        <w:footnoteRef/>
      </w:r>
      <w:r w:rsidRPr="00B462E4">
        <w:rPr>
          <w:rFonts w:ascii="Arial" w:hAnsi="Arial" w:cs="Arial"/>
          <w:sz w:val="18"/>
          <w:szCs w:val="18"/>
        </w:rPr>
        <w:t xml:space="preserve"> Archivo 15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D39B8" w14:textId="3B40EA07" w:rsidR="003B3A62" w:rsidRPr="00B462E4" w:rsidRDefault="003B3A62" w:rsidP="00B462E4">
    <w:pPr>
      <w:spacing w:line="240" w:lineRule="auto"/>
      <w:rPr>
        <w:rFonts w:ascii="Arial" w:hAnsi="Arial" w:cs="Arial"/>
        <w:sz w:val="18"/>
        <w:szCs w:val="18"/>
      </w:rPr>
    </w:pPr>
    <w:r w:rsidRPr="00B462E4">
      <w:rPr>
        <w:rFonts w:ascii="Arial" w:hAnsi="Arial" w:cs="Arial"/>
        <w:sz w:val="18"/>
        <w:szCs w:val="18"/>
      </w:rPr>
      <w:t>Radicación No.:</w:t>
    </w:r>
    <w:r>
      <w:rPr>
        <w:rFonts w:ascii="Arial" w:hAnsi="Arial" w:cs="Arial"/>
        <w:sz w:val="18"/>
        <w:szCs w:val="18"/>
      </w:rPr>
      <w:tab/>
    </w:r>
    <w:r w:rsidRPr="00B462E4">
      <w:rPr>
        <w:rFonts w:ascii="Arial" w:hAnsi="Arial" w:cs="Arial"/>
        <w:sz w:val="18"/>
        <w:szCs w:val="18"/>
      </w:rPr>
      <w:t>66001-31-05-001-2015-00646-01</w:t>
    </w:r>
  </w:p>
  <w:p w14:paraId="07801181" w14:textId="5581FDD1" w:rsidR="003B3A62" w:rsidRPr="00B462E4" w:rsidRDefault="003B3A62" w:rsidP="00B462E4">
    <w:pPr>
      <w:spacing w:line="240" w:lineRule="auto"/>
      <w:rPr>
        <w:rFonts w:ascii="Arial" w:hAnsi="Arial" w:cs="Arial"/>
        <w:sz w:val="18"/>
        <w:szCs w:val="18"/>
        <w:lang w:val="es-419"/>
      </w:rPr>
    </w:pPr>
    <w:r w:rsidRPr="00B462E4">
      <w:rPr>
        <w:rFonts w:ascii="Arial" w:hAnsi="Arial" w:cs="Arial"/>
        <w:sz w:val="18"/>
        <w:szCs w:val="18"/>
      </w:rPr>
      <w:t>Demandante:</w:t>
    </w:r>
    <w:r w:rsidRPr="00B462E4">
      <w:rPr>
        <w:rFonts w:ascii="Arial" w:hAnsi="Arial" w:cs="Arial"/>
        <w:sz w:val="18"/>
        <w:szCs w:val="18"/>
      </w:rPr>
      <w:tab/>
    </w:r>
    <w:r w:rsidRPr="00B462E4">
      <w:rPr>
        <w:rFonts w:ascii="Arial" w:hAnsi="Arial" w:cs="Arial"/>
        <w:sz w:val="18"/>
        <w:szCs w:val="18"/>
        <w:lang w:val="es-419"/>
      </w:rPr>
      <w:t xml:space="preserve">Darío de Jesús Foronda Montoya </w:t>
    </w:r>
  </w:p>
  <w:p w14:paraId="51C49910" w14:textId="76F316B6" w:rsidR="003B3A62" w:rsidRPr="00B462E4" w:rsidRDefault="003B3A62" w:rsidP="00B462E4">
    <w:pPr>
      <w:spacing w:line="240" w:lineRule="auto"/>
      <w:rPr>
        <w:rFonts w:ascii="Arial" w:hAnsi="Arial" w:cs="Arial"/>
        <w:sz w:val="18"/>
        <w:szCs w:val="18"/>
      </w:rPr>
    </w:pPr>
    <w:r w:rsidRPr="00B462E4">
      <w:rPr>
        <w:rFonts w:ascii="Arial" w:hAnsi="Arial" w:cs="Arial"/>
        <w:sz w:val="18"/>
        <w:szCs w:val="18"/>
      </w:rPr>
      <w:t>Demandado:</w:t>
    </w:r>
    <w:r w:rsidRPr="00B462E4">
      <w:rPr>
        <w:rFonts w:ascii="Arial" w:hAnsi="Arial" w:cs="Arial"/>
        <w:sz w:val="18"/>
        <w:szCs w:val="18"/>
      </w:rPr>
      <w:tab/>
    </w:r>
    <w:r w:rsidRPr="00B462E4">
      <w:rPr>
        <w:rFonts w:ascii="Arial" w:hAnsi="Arial" w:cs="Arial"/>
        <w:sz w:val="18"/>
        <w:szCs w:val="18"/>
        <w:lang w:val="es-419"/>
      </w:rPr>
      <w:t>German Torres Salgado y otros</w:t>
    </w:r>
  </w:p>
</w:hdr>
</file>

<file path=word/intelligence2.xml><?xml version="1.0" encoding="utf-8"?>
<int2:intelligence xmlns:int2="http://schemas.microsoft.com/office/intelligence/2020/intelligence">
  <int2:observations>
    <int2:textHash int2:hashCode="cxwrWbOQpJ314H" int2:id="rs4QDlUR">
      <int2:state int2:type="AugLoop_Text_Critique" int2:value="Rejected"/>
    </int2:textHash>
    <int2:textHash int2:hashCode="ZfN+7fRXmz8YYO" int2:id="OkTHnMop">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2A87"/>
    <w:multiLevelType w:val="hybridMultilevel"/>
    <w:tmpl w:val="415600E4"/>
    <w:lvl w:ilvl="0" w:tplc="AA3AE3F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791CB0"/>
    <w:multiLevelType w:val="multilevel"/>
    <w:tmpl w:val="A0709402"/>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2E342C3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9D4261"/>
    <w:multiLevelType w:val="multilevel"/>
    <w:tmpl w:val="1C1CDB2C"/>
    <w:lvl w:ilvl="0">
      <w:start w:val="1"/>
      <w:numFmt w:val="decimal"/>
      <w:lvlText w:val="%1."/>
      <w:lvlJc w:val="left"/>
      <w:pPr>
        <w:ind w:left="720" w:hanging="360"/>
      </w:pPr>
      <w:rPr>
        <w:b/>
        <w:bCs/>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4" w15:restartNumberingAfterBreak="0">
    <w:nsid w:val="590279E5"/>
    <w:multiLevelType w:val="hybridMultilevel"/>
    <w:tmpl w:val="0FFEDFD2"/>
    <w:lvl w:ilvl="0" w:tplc="51DAA986">
      <w:start w:val="1"/>
      <w:numFmt w:val="decimal"/>
      <w:lvlText w:val="%1."/>
      <w:lvlJc w:val="left"/>
      <w:pPr>
        <w:ind w:left="1065" w:hanging="360"/>
      </w:pPr>
      <w:rPr>
        <w:rFonts w:eastAsia="Times New Roman"/>
        <w:color w:val="000000" w:themeColor="text1"/>
      </w:rPr>
    </w:lvl>
    <w:lvl w:ilvl="1" w:tplc="240A0019">
      <w:start w:val="1"/>
      <w:numFmt w:val="lowerLetter"/>
      <w:lvlText w:val="%2."/>
      <w:lvlJc w:val="left"/>
      <w:pPr>
        <w:ind w:left="1785" w:hanging="360"/>
      </w:p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start w:val="1"/>
      <w:numFmt w:val="lowerRoman"/>
      <w:lvlText w:val="%6."/>
      <w:lvlJc w:val="right"/>
      <w:pPr>
        <w:ind w:left="4665" w:hanging="180"/>
      </w:pPr>
    </w:lvl>
    <w:lvl w:ilvl="6" w:tplc="240A000F">
      <w:start w:val="1"/>
      <w:numFmt w:val="decimal"/>
      <w:lvlText w:val="%7."/>
      <w:lvlJc w:val="left"/>
      <w:pPr>
        <w:ind w:left="5385" w:hanging="360"/>
      </w:pPr>
    </w:lvl>
    <w:lvl w:ilvl="7" w:tplc="240A0019">
      <w:start w:val="1"/>
      <w:numFmt w:val="lowerLetter"/>
      <w:lvlText w:val="%8."/>
      <w:lvlJc w:val="left"/>
      <w:pPr>
        <w:ind w:left="6105" w:hanging="360"/>
      </w:pPr>
    </w:lvl>
    <w:lvl w:ilvl="8" w:tplc="240A001B">
      <w:start w:val="1"/>
      <w:numFmt w:val="lowerRoman"/>
      <w:lvlText w:val="%9."/>
      <w:lvlJc w:val="right"/>
      <w:pPr>
        <w:ind w:left="6825" w:hanging="180"/>
      </w:pPr>
    </w:lvl>
  </w:abstractNum>
  <w:abstractNum w:abstractNumId="5" w15:restartNumberingAfterBreak="0">
    <w:nsid w:val="5C46222F"/>
    <w:multiLevelType w:val="multilevel"/>
    <w:tmpl w:val="5E38F2BC"/>
    <w:lvl w:ilvl="0">
      <w:start w:val="1"/>
      <w:numFmt w:val="decimal"/>
      <w:lvlText w:val="%1."/>
      <w:lvlJc w:val="left"/>
      <w:pPr>
        <w:ind w:left="720" w:hanging="360"/>
      </w:p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abstractNum w:abstractNumId="6" w15:restartNumberingAfterBreak="0">
    <w:nsid w:val="764B647B"/>
    <w:multiLevelType w:val="multilevel"/>
    <w:tmpl w:val="1C1CDB2C"/>
    <w:lvl w:ilvl="0">
      <w:start w:val="1"/>
      <w:numFmt w:val="decimal"/>
      <w:lvlText w:val="%1."/>
      <w:lvlJc w:val="left"/>
      <w:pPr>
        <w:ind w:left="720" w:hanging="360"/>
      </w:pPr>
      <w:rPr>
        <w:b/>
        <w:bCs/>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7" w15:restartNumberingAfterBreak="0">
    <w:nsid w:val="7A35251A"/>
    <w:multiLevelType w:val="hybridMultilevel"/>
    <w:tmpl w:val="D8E213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AE"/>
    <w:rsid w:val="00002D6A"/>
    <w:rsid w:val="000031C5"/>
    <w:rsid w:val="00003673"/>
    <w:rsid w:val="000038BD"/>
    <w:rsid w:val="00005631"/>
    <w:rsid w:val="00010813"/>
    <w:rsid w:val="00010D1C"/>
    <w:rsid w:val="00010E01"/>
    <w:rsid w:val="0001220B"/>
    <w:rsid w:val="000161CF"/>
    <w:rsid w:val="00017362"/>
    <w:rsid w:val="000173F3"/>
    <w:rsid w:val="00020092"/>
    <w:rsid w:val="00020DDD"/>
    <w:rsid w:val="00021D50"/>
    <w:rsid w:val="00022C66"/>
    <w:rsid w:val="00023309"/>
    <w:rsid w:val="00023B42"/>
    <w:rsid w:val="00024623"/>
    <w:rsid w:val="00024DA5"/>
    <w:rsid w:val="00025F95"/>
    <w:rsid w:val="000273A4"/>
    <w:rsid w:val="00027F30"/>
    <w:rsid w:val="00030E47"/>
    <w:rsid w:val="000317C4"/>
    <w:rsid w:val="00031C5D"/>
    <w:rsid w:val="00041B28"/>
    <w:rsid w:val="00041DAE"/>
    <w:rsid w:val="0004300C"/>
    <w:rsid w:val="00051551"/>
    <w:rsid w:val="00060CDB"/>
    <w:rsid w:val="00062C34"/>
    <w:rsid w:val="00063D7F"/>
    <w:rsid w:val="00063D93"/>
    <w:rsid w:val="000658DA"/>
    <w:rsid w:val="0006622A"/>
    <w:rsid w:val="00066244"/>
    <w:rsid w:val="00067401"/>
    <w:rsid w:val="00067855"/>
    <w:rsid w:val="00067B4A"/>
    <w:rsid w:val="00071543"/>
    <w:rsid w:val="00071975"/>
    <w:rsid w:val="0007293F"/>
    <w:rsid w:val="00072E1E"/>
    <w:rsid w:val="00073030"/>
    <w:rsid w:val="000741C9"/>
    <w:rsid w:val="000749C6"/>
    <w:rsid w:val="00074E11"/>
    <w:rsid w:val="000818F3"/>
    <w:rsid w:val="0008350C"/>
    <w:rsid w:val="00092EE0"/>
    <w:rsid w:val="00094217"/>
    <w:rsid w:val="00096243"/>
    <w:rsid w:val="000A3346"/>
    <w:rsid w:val="000A4140"/>
    <w:rsid w:val="000B1025"/>
    <w:rsid w:val="000B14AB"/>
    <w:rsid w:val="000B2175"/>
    <w:rsid w:val="000B2263"/>
    <w:rsid w:val="000B3DAA"/>
    <w:rsid w:val="000B4349"/>
    <w:rsid w:val="000B62F9"/>
    <w:rsid w:val="000B7CF9"/>
    <w:rsid w:val="000C22B8"/>
    <w:rsid w:val="000C43B5"/>
    <w:rsid w:val="000C56B9"/>
    <w:rsid w:val="000C6A09"/>
    <w:rsid w:val="000C742E"/>
    <w:rsid w:val="000D02FE"/>
    <w:rsid w:val="000D06C7"/>
    <w:rsid w:val="000D13F7"/>
    <w:rsid w:val="000D47F7"/>
    <w:rsid w:val="000D4B23"/>
    <w:rsid w:val="000D5457"/>
    <w:rsid w:val="000D580B"/>
    <w:rsid w:val="000D5F86"/>
    <w:rsid w:val="000E0635"/>
    <w:rsid w:val="000E2F7E"/>
    <w:rsid w:val="000E3EC7"/>
    <w:rsid w:val="000E5509"/>
    <w:rsid w:val="000E6310"/>
    <w:rsid w:val="000F04E7"/>
    <w:rsid w:val="000F5007"/>
    <w:rsid w:val="000F7C32"/>
    <w:rsid w:val="001008EC"/>
    <w:rsid w:val="00100A4E"/>
    <w:rsid w:val="001045BB"/>
    <w:rsid w:val="00104E58"/>
    <w:rsid w:val="0010632B"/>
    <w:rsid w:val="00106FA0"/>
    <w:rsid w:val="00107A1F"/>
    <w:rsid w:val="00116A5B"/>
    <w:rsid w:val="00116F8D"/>
    <w:rsid w:val="00120053"/>
    <w:rsid w:val="001252F2"/>
    <w:rsid w:val="00131096"/>
    <w:rsid w:val="00131F24"/>
    <w:rsid w:val="00132D24"/>
    <w:rsid w:val="00132E66"/>
    <w:rsid w:val="0013611B"/>
    <w:rsid w:val="00136C2F"/>
    <w:rsid w:val="00137B76"/>
    <w:rsid w:val="00137DEB"/>
    <w:rsid w:val="001405D2"/>
    <w:rsid w:val="00147F0B"/>
    <w:rsid w:val="0015080C"/>
    <w:rsid w:val="00151E7D"/>
    <w:rsid w:val="00153171"/>
    <w:rsid w:val="00154EAA"/>
    <w:rsid w:val="001551A6"/>
    <w:rsid w:val="00155880"/>
    <w:rsid w:val="00157A03"/>
    <w:rsid w:val="00157E75"/>
    <w:rsid w:val="00161B8C"/>
    <w:rsid w:val="00161BB2"/>
    <w:rsid w:val="00163A95"/>
    <w:rsid w:val="001652ED"/>
    <w:rsid w:val="00165768"/>
    <w:rsid w:val="0016629C"/>
    <w:rsid w:val="0016722C"/>
    <w:rsid w:val="00167A5A"/>
    <w:rsid w:val="00170940"/>
    <w:rsid w:val="00172245"/>
    <w:rsid w:val="001758EF"/>
    <w:rsid w:val="00175EDC"/>
    <w:rsid w:val="00176F0D"/>
    <w:rsid w:val="00176FDA"/>
    <w:rsid w:val="00177ECE"/>
    <w:rsid w:val="00180F09"/>
    <w:rsid w:val="00181E7C"/>
    <w:rsid w:val="00183D77"/>
    <w:rsid w:val="0018416A"/>
    <w:rsid w:val="001843ED"/>
    <w:rsid w:val="001878B7"/>
    <w:rsid w:val="00191C6B"/>
    <w:rsid w:val="0019339C"/>
    <w:rsid w:val="00195083"/>
    <w:rsid w:val="00195261"/>
    <w:rsid w:val="001960E5"/>
    <w:rsid w:val="00196AE8"/>
    <w:rsid w:val="00196FBF"/>
    <w:rsid w:val="001A0F6D"/>
    <w:rsid w:val="001A1DF3"/>
    <w:rsid w:val="001A21EB"/>
    <w:rsid w:val="001A5A0F"/>
    <w:rsid w:val="001A74E3"/>
    <w:rsid w:val="001A75C1"/>
    <w:rsid w:val="001A79F0"/>
    <w:rsid w:val="001B129E"/>
    <w:rsid w:val="001B13B3"/>
    <w:rsid w:val="001B1EA7"/>
    <w:rsid w:val="001B2A96"/>
    <w:rsid w:val="001B3CCD"/>
    <w:rsid w:val="001B46DF"/>
    <w:rsid w:val="001B5215"/>
    <w:rsid w:val="001B7A0D"/>
    <w:rsid w:val="001B7E1F"/>
    <w:rsid w:val="001C184C"/>
    <w:rsid w:val="001C2897"/>
    <w:rsid w:val="001C3A75"/>
    <w:rsid w:val="001C4ECA"/>
    <w:rsid w:val="001C6694"/>
    <w:rsid w:val="001D1654"/>
    <w:rsid w:val="001D1B05"/>
    <w:rsid w:val="001D1BC4"/>
    <w:rsid w:val="001D4613"/>
    <w:rsid w:val="001D5C81"/>
    <w:rsid w:val="001E03D6"/>
    <w:rsid w:val="001E0AD3"/>
    <w:rsid w:val="001E391D"/>
    <w:rsid w:val="001E4C80"/>
    <w:rsid w:val="001E5D1E"/>
    <w:rsid w:val="001F07AC"/>
    <w:rsid w:val="001F09DD"/>
    <w:rsid w:val="001F503D"/>
    <w:rsid w:val="001F7336"/>
    <w:rsid w:val="00202230"/>
    <w:rsid w:val="002028DA"/>
    <w:rsid w:val="00202C9E"/>
    <w:rsid w:val="0020459C"/>
    <w:rsid w:val="00207DA9"/>
    <w:rsid w:val="00210293"/>
    <w:rsid w:val="00210D0E"/>
    <w:rsid w:val="002117A7"/>
    <w:rsid w:val="00212386"/>
    <w:rsid w:val="00214D20"/>
    <w:rsid w:val="002161F2"/>
    <w:rsid w:val="00216FAF"/>
    <w:rsid w:val="00225646"/>
    <w:rsid w:val="002303C0"/>
    <w:rsid w:val="002303E6"/>
    <w:rsid w:val="002315A8"/>
    <w:rsid w:val="002334E1"/>
    <w:rsid w:val="002340F2"/>
    <w:rsid w:val="00234AAA"/>
    <w:rsid w:val="002366C0"/>
    <w:rsid w:val="0023795F"/>
    <w:rsid w:val="00243695"/>
    <w:rsid w:val="00243C79"/>
    <w:rsid w:val="00244A84"/>
    <w:rsid w:val="002468CE"/>
    <w:rsid w:val="00246F04"/>
    <w:rsid w:val="00251995"/>
    <w:rsid w:val="00252AA9"/>
    <w:rsid w:val="00255468"/>
    <w:rsid w:val="00260DE9"/>
    <w:rsid w:val="00260E75"/>
    <w:rsid w:val="00262A19"/>
    <w:rsid w:val="002633B9"/>
    <w:rsid w:val="00264465"/>
    <w:rsid w:val="00264FBF"/>
    <w:rsid w:val="00265113"/>
    <w:rsid w:val="00265563"/>
    <w:rsid w:val="002656EC"/>
    <w:rsid w:val="00270746"/>
    <w:rsid w:val="00271CD6"/>
    <w:rsid w:val="002726E6"/>
    <w:rsid w:val="002737CC"/>
    <w:rsid w:val="00273E54"/>
    <w:rsid w:val="00280C7A"/>
    <w:rsid w:val="00282863"/>
    <w:rsid w:val="00283C80"/>
    <w:rsid w:val="002901E7"/>
    <w:rsid w:val="00293088"/>
    <w:rsid w:val="00297621"/>
    <w:rsid w:val="002A02F5"/>
    <w:rsid w:val="002A0B64"/>
    <w:rsid w:val="002A1965"/>
    <w:rsid w:val="002A2AF5"/>
    <w:rsid w:val="002A3E0D"/>
    <w:rsid w:val="002B6369"/>
    <w:rsid w:val="002B6F78"/>
    <w:rsid w:val="002C305A"/>
    <w:rsid w:val="002C3B30"/>
    <w:rsid w:val="002C3BE2"/>
    <w:rsid w:val="002C5ACD"/>
    <w:rsid w:val="002D0C18"/>
    <w:rsid w:val="002D1194"/>
    <w:rsid w:val="002D13FD"/>
    <w:rsid w:val="002D1EBF"/>
    <w:rsid w:val="002D5A5B"/>
    <w:rsid w:val="002D5C0E"/>
    <w:rsid w:val="002D60F8"/>
    <w:rsid w:val="002D6339"/>
    <w:rsid w:val="002E07C9"/>
    <w:rsid w:val="002E1D4B"/>
    <w:rsid w:val="002F260E"/>
    <w:rsid w:val="002F56CD"/>
    <w:rsid w:val="002F5BEB"/>
    <w:rsid w:val="0030058A"/>
    <w:rsid w:val="003019BB"/>
    <w:rsid w:val="00304919"/>
    <w:rsid w:val="00305FCE"/>
    <w:rsid w:val="003139A8"/>
    <w:rsid w:val="00315A6E"/>
    <w:rsid w:val="00317EAB"/>
    <w:rsid w:val="00317FA7"/>
    <w:rsid w:val="003205F0"/>
    <w:rsid w:val="00320AA7"/>
    <w:rsid w:val="0032103B"/>
    <w:rsid w:val="003215AA"/>
    <w:rsid w:val="00322FE0"/>
    <w:rsid w:val="00327C3D"/>
    <w:rsid w:val="0033112C"/>
    <w:rsid w:val="00331582"/>
    <w:rsid w:val="003348C3"/>
    <w:rsid w:val="00334968"/>
    <w:rsid w:val="0033547B"/>
    <w:rsid w:val="00337270"/>
    <w:rsid w:val="00341DB2"/>
    <w:rsid w:val="0034277D"/>
    <w:rsid w:val="003448DC"/>
    <w:rsid w:val="00345FFE"/>
    <w:rsid w:val="00346C7C"/>
    <w:rsid w:val="00350315"/>
    <w:rsid w:val="00351C8A"/>
    <w:rsid w:val="003536DA"/>
    <w:rsid w:val="00353AFA"/>
    <w:rsid w:val="0035422F"/>
    <w:rsid w:val="0035650D"/>
    <w:rsid w:val="003572CA"/>
    <w:rsid w:val="003573BD"/>
    <w:rsid w:val="003616B6"/>
    <w:rsid w:val="00364494"/>
    <w:rsid w:val="00370213"/>
    <w:rsid w:val="003755F9"/>
    <w:rsid w:val="00375FD5"/>
    <w:rsid w:val="00376475"/>
    <w:rsid w:val="003765B0"/>
    <w:rsid w:val="00376D28"/>
    <w:rsid w:val="00377F84"/>
    <w:rsid w:val="003801AB"/>
    <w:rsid w:val="00380E43"/>
    <w:rsid w:val="00382C4F"/>
    <w:rsid w:val="0039092E"/>
    <w:rsid w:val="00390D12"/>
    <w:rsid w:val="003916D2"/>
    <w:rsid w:val="00392206"/>
    <w:rsid w:val="0039227B"/>
    <w:rsid w:val="00392509"/>
    <w:rsid w:val="00393264"/>
    <w:rsid w:val="00396327"/>
    <w:rsid w:val="00396CAF"/>
    <w:rsid w:val="003971AA"/>
    <w:rsid w:val="00397C99"/>
    <w:rsid w:val="003A0DA5"/>
    <w:rsid w:val="003A18DB"/>
    <w:rsid w:val="003A1AAA"/>
    <w:rsid w:val="003A482B"/>
    <w:rsid w:val="003A590E"/>
    <w:rsid w:val="003A59EB"/>
    <w:rsid w:val="003A7817"/>
    <w:rsid w:val="003B1C27"/>
    <w:rsid w:val="003B3A62"/>
    <w:rsid w:val="003B4F7C"/>
    <w:rsid w:val="003B51D7"/>
    <w:rsid w:val="003B5967"/>
    <w:rsid w:val="003B6277"/>
    <w:rsid w:val="003B6FF3"/>
    <w:rsid w:val="003C06F2"/>
    <w:rsid w:val="003C0FFD"/>
    <w:rsid w:val="003C2594"/>
    <w:rsid w:val="003C441A"/>
    <w:rsid w:val="003C689E"/>
    <w:rsid w:val="003C78D3"/>
    <w:rsid w:val="003D413E"/>
    <w:rsid w:val="003D5868"/>
    <w:rsid w:val="003D6659"/>
    <w:rsid w:val="003D6BDF"/>
    <w:rsid w:val="003D7149"/>
    <w:rsid w:val="003D7D0D"/>
    <w:rsid w:val="003E0422"/>
    <w:rsid w:val="003E088F"/>
    <w:rsid w:val="003E5FE9"/>
    <w:rsid w:val="003F02A8"/>
    <w:rsid w:val="003F11EB"/>
    <w:rsid w:val="003F145D"/>
    <w:rsid w:val="003F35FC"/>
    <w:rsid w:val="003F3703"/>
    <w:rsid w:val="003F46DD"/>
    <w:rsid w:val="003F681E"/>
    <w:rsid w:val="003F7B42"/>
    <w:rsid w:val="00402A6B"/>
    <w:rsid w:val="00404145"/>
    <w:rsid w:val="0040506C"/>
    <w:rsid w:val="004053DD"/>
    <w:rsid w:val="0040691D"/>
    <w:rsid w:val="004076B1"/>
    <w:rsid w:val="00413D0D"/>
    <w:rsid w:val="00415514"/>
    <w:rsid w:val="0041653B"/>
    <w:rsid w:val="0042000F"/>
    <w:rsid w:val="00420C8D"/>
    <w:rsid w:val="00421E35"/>
    <w:rsid w:val="004221CF"/>
    <w:rsid w:val="004251E2"/>
    <w:rsid w:val="00431F2D"/>
    <w:rsid w:val="00432B77"/>
    <w:rsid w:val="004331D5"/>
    <w:rsid w:val="00433D1E"/>
    <w:rsid w:val="00435DEA"/>
    <w:rsid w:val="004368BC"/>
    <w:rsid w:val="00440140"/>
    <w:rsid w:val="0044027A"/>
    <w:rsid w:val="0044250E"/>
    <w:rsid w:val="00442BA2"/>
    <w:rsid w:val="004461B0"/>
    <w:rsid w:val="00450691"/>
    <w:rsid w:val="004548CA"/>
    <w:rsid w:val="0045494F"/>
    <w:rsid w:val="0045599D"/>
    <w:rsid w:val="004561E3"/>
    <w:rsid w:val="004576E0"/>
    <w:rsid w:val="004612C5"/>
    <w:rsid w:val="004641A4"/>
    <w:rsid w:val="00464344"/>
    <w:rsid w:val="00467138"/>
    <w:rsid w:val="00470E4D"/>
    <w:rsid w:val="00471A77"/>
    <w:rsid w:val="00471E18"/>
    <w:rsid w:val="004740A3"/>
    <w:rsid w:val="0047456E"/>
    <w:rsid w:val="00474C6A"/>
    <w:rsid w:val="00477E70"/>
    <w:rsid w:val="004820C7"/>
    <w:rsid w:val="004864B3"/>
    <w:rsid w:val="004864CC"/>
    <w:rsid w:val="00486860"/>
    <w:rsid w:val="004877DD"/>
    <w:rsid w:val="0049166A"/>
    <w:rsid w:val="00493D13"/>
    <w:rsid w:val="00495EE2"/>
    <w:rsid w:val="00497383"/>
    <w:rsid w:val="004A03EB"/>
    <w:rsid w:val="004A0C07"/>
    <w:rsid w:val="004A1C1B"/>
    <w:rsid w:val="004A3547"/>
    <w:rsid w:val="004A35FD"/>
    <w:rsid w:val="004A39B6"/>
    <w:rsid w:val="004A4572"/>
    <w:rsid w:val="004A5228"/>
    <w:rsid w:val="004A73A5"/>
    <w:rsid w:val="004B053B"/>
    <w:rsid w:val="004B1695"/>
    <w:rsid w:val="004B20BB"/>
    <w:rsid w:val="004B2BDB"/>
    <w:rsid w:val="004B31EF"/>
    <w:rsid w:val="004B3641"/>
    <w:rsid w:val="004C313B"/>
    <w:rsid w:val="004C3FB7"/>
    <w:rsid w:val="004C4DA5"/>
    <w:rsid w:val="004C6638"/>
    <w:rsid w:val="004C6F90"/>
    <w:rsid w:val="004D1DAA"/>
    <w:rsid w:val="004D2650"/>
    <w:rsid w:val="004D368A"/>
    <w:rsid w:val="004E189E"/>
    <w:rsid w:val="004E3200"/>
    <w:rsid w:val="004E5A3A"/>
    <w:rsid w:val="004E6B23"/>
    <w:rsid w:val="004E6C60"/>
    <w:rsid w:val="004E7364"/>
    <w:rsid w:val="004E7B1B"/>
    <w:rsid w:val="004F2E78"/>
    <w:rsid w:val="004F3CE2"/>
    <w:rsid w:val="004F5FC8"/>
    <w:rsid w:val="00503BCF"/>
    <w:rsid w:val="00503EFD"/>
    <w:rsid w:val="005059A1"/>
    <w:rsid w:val="005115F5"/>
    <w:rsid w:val="00513F6C"/>
    <w:rsid w:val="0051482E"/>
    <w:rsid w:val="005152AE"/>
    <w:rsid w:val="005177C5"/>
    <w:rsid w:val="00522166"/>
    <w:rsid w:val="00523F6D"/>
    <w:rsid w:val="0052530C"/>
    <w:rsid w:val="00525BE7"/>
    <w:rsid w:val="00525F93"/>
    <w:rsid w:val="00531260"/>
    <w:rsid w:val="00531CAC"/>
    <w:rsid w:val="005325F4"/>
    <w:rsid w:val="00533046"/>
    <w:rsid w:val="0053332F"/>
    <w:rsid w:val="005360A2"/>
    <w:rsid w:val="00536CED"/>
    <w:rsid w:val="00537EC8"/>
    <w:rsid w:val="00541F20"/>
    <w:rsid w:val="00542003"/>
    <w:rsid w:val="005433B4"/>
    <w:rsid w:val="00543D8C"/>
    <w:rsid w:val="005447F5"/>
    <w:rsid w:val="0054501A"/>
    <w:rsid w:val="0054568C"/>
    <w:rsid w:val="0054650F"/>
    <w:rsid w:val="005466FD"/>
    <w:rsid w:val="00552C6E"/>
    <w:rsid w:val="005539F0"/>
    <w:rsid w:val="0055567C"/>
    <w:rsid w:val="005621C1"/>
    <w:rsid w:val="00563359"/>
    <w:rsid w:val="00565CA2"/>
    <w:rsid w:val="0056622B"/>
    <w:rsid w:val="00572B1A"/>
    <w:rsid w:val="00574005"/>
    <w:rsid w:val="005742A7"/>
    <w:rsid w:val="00576DC3"/>
    <w:rsid w:val="005771AD"/>
    <w:rsid w:val="00577AFA"/>
    <w:rsid w:val="00580904"/>
    <w:rsid w:val="00584505"/>
    <w:rsid w:val="00584AA3"/>
    <w:rsid w:val="0058535A"/>
    <w:rsid w:val="005860A1"/>
    <w:rsid w:val="00593B54"/>
    <w:rsid w:val="0059569C"/>
    <w:rsid w:val="00595779"/>
    <w:rsid w:val="005957C4"/>
    <w:rsid w:val="00596820"/>
    <w:rsid w:val="005A1AEF"/>
    <w:rsid w:val="005A20B4"/>
    <w:rsid w:val="005A4D56"/>
    <w:rsid w:val="005A4E89"/>
    <w:rsid w:val="005A5847"/>
    <w:rsid w:val="005A5DD8"/>
    <w:rsid w:val="005A6E08"/>
    <w:rsid w:val="005A7B80"/>
    <w:rsid w:val="005B0BBA"/>
    <w:rsid w:val="005B3691"/>
    <w:rsid w:val="005B4760"/>
    <w:rsid w:val="005B6E30"/>
    <w:rsid w:val="005C0403"/>
    <w:rsid w:val="005C129A"/>
    <w:rsid w:val="005C22CE"/>
    <w:rsid w:val="005C2945"/>
    <w:rsid w:val="005C4535"/>
    <w:rsid w:val="005C747A"/>
    <w:rsid w:val="005C7FE5"/>
    <w:rsid w:val="005D162E"/>
    <w:rsid w:val="005D2536"/>
    <w:rsid w:val="005D2AB3"/>
    <w:rsid w:val="005D4231"/>
    <w:rsid w:val="005D6E3F"/>
    <w:rsid w:val="005D7D6A"/>
    <w:rsid w:val="005E2124"/>
    <w:rsid w:val="005E4CB0"/>
    <w:rsid w:val="005E5841"/>
    <w:rsid w:val="005F200C"/>
    <w:rsid w:val="005F567C"/>
    <w:rsid w:val="005F69A0"/>
    <w:rsid w:val="006005A5"/>
    <w:rsid w:val="006036F9"/>
    <w:rsid w:val="00604098"/>
    <w:rsid w:val="0060493F"/>
    <w:rsid w:val="00607BF0"/>
    <w:rsid w:val="00607D1A"/>
    <w:rsid w:val="00610D45"/>
    <w:rsid w:val="006122F4"/>
    <w:rsid w:val="006161F0"/>
    <w:rsid w:val="006173C6"/>
    <w:rsid w:val="00620542"/>
    <w:rsid w:val="00621385"/>
    <w:rsid w:val="0062466D"/>
    <w:rsid w:val="006249E2"/>
    <w:rsid w:val="0062611B"/>
    <w:rsid w:val="00626A12"/>
    <w:rsid w:val="006274C0"/>
    <w:rsid w:val="0063116C"/>
    <w:rsid w:val="0063413D"/>
    <w:rsid w:val="00634877"/>
    <w:rsid w:val="006354EB"/>
    <w:rsid w:val="0063635F"/>
    <w:rsid w:val="006375A3"/>
    <w:rsid w:val="0063796D"/>
    <w:rsid w:val="00642479"/>
    <w:rsid w:val="00642E81"/>
    <w:rsid w:val="00646189"/>
    <w:rsid w:val="0066348A"/>
    <w:rsid w:val="00664DE2"/>
    <w:rsid w:val="00667551"/>
    <w:rsid w:val="00667607"/>
    <w:rsid w:val="0067214B"/>
    <w:rsid w:val="00673CC8"/>
    <w:rsid w:val="00674A04"/>
    <w:rsid w:val="00674E00"/>
    <w:rsid w:val="00674F1F"/>
    <w:rsid w:val="00680520"/>
    <w:rsid w:val="00680C19"/>
    <w:rsid w:val="00681B48"/>
    <w:rsid w:val="00685EC1"/>
    <w:rsid w:val="006914F3"/>
    <w:rsid w:val="006937DC"/>
    <w:rsid w:val="0069538F"/>
    <w:rsid w:val="00696640"/>
    <w:rsid w:val="006A0A9C"/>
    <w:rsid w:val="006A3609"/>
    <w:rsid w:val="006A390E"/>
    <w:rsid w:val="006A42F9"/>
    <w:rsid w:val="006A5377"/>
    <w:rsid w:val="006A5642"/>
    <w:rsid w:val="006A6232"/>
    <w:rsid w:val="006A652B"/>
    <w:rsid w:val="006A752A"/>
    <w:rsid w:val="006A784F"/>
    <w:rsid w:val="006A7A49"/>
    <w:rsid w:val="006A7DC8"/>
    <w:rsid w:val="006B5521"/>
    <w:rsid w:val="006B60F1"/>
    <w:rsid w:val="006B635F"/>
    <w:rsid w:val="006C0119"/>
    <w:rsid w:val="006C2325"/>
    <w:rsid w:val="006C4776"/>
    <w:rsid w:val="006C6CD5"/>
    <w:rsid w:val="006C73BD"/>
    <w:rsid w:val="006D0150"/>
    <w:rsid w:val="006E0C60"/>
    <w:rsid w:val="006E1056"/>
    <w:rsid w:val="006E10B6"/>
    <w:rsid w:val="006E57D2"/>
    <w:rsid w:val="006E5CE3"/>
    <w:rsid w:val="006E7F50"/>
    <w:rsid w:val="006F1E73"/>
    <w:rsid w:val="006F1F38"/>
    <w:rsid w:val="006F6AAF"/>
    <w:rsid w:val="006F76D5"/>
    <w:rsid w:val="00702D58"/>
    <w:rsid w:val="00703FB2"/>
    <w:rsid w:val="00704DDE"/>
    <w:rsid w:val="00707459"/>
    <w:rsid w:val="00710E3F"/>
    <w:rsid w:val="00710F15"/>
    <w:rsid w:val="00713862"/>
    <w:rsid w:val="00714428"/>
    <w:rsid w:val="00716A3E"/>
    <w:rsid w:val="00720EA2"/>
    <w:rsid w:val="00723185"/>
    <w:rsid w:val="00723750"/>
    <w:rsid w:val="007247A3"/>
    <w:rsid w:val="00725B33"/>
    <w:rsid w:val="007267A4"/>
    <w:rsid w:val="007274D3"/>
    <w:rsid w:val="0073165A"/>
    <w:rsid w:val="00731D4A"/>
    <w:rsid w:val="00733654"/>
    <w:rsid w:val="007353E9"/>
    <w:rsid w:val="00736F71"/>
    <w:rsid w:val="00740495"/>
    <w:rsid w:val="007419AF"/>
    <w:rsid w:val="007422DA"/>
    <w:rsid w:val="007460F4"/>
    <w:rsid w:val="00750604"/>
    <w:rsid w:val="00752783"/>
    <w:rsid w:val="00753B73"/>
    <w:rsid w:val="00753CFF"/>
    <w:rsid w:val="00755895"/>
    <w:rsid w:val="007629D4"/>
    <w:rsid w:val="00763806"/>
    <w:rsid w:val="00766108"/>
    <w:rsid w:val="00767508"/>
    <w:rsid w:val="00772E79"/>
    <w:rsid w:val="007735FC"/>
    <w:rsid w:val="0078009E"/>
    <w:rsid w:val="007811CE"/>
    <w:rsid w:val="00781810"/>
    <w:rsid w:val="00781D88"/>
    <w:rsid w:val="00781E85"/>
    <w:rsid w:val="00782D6A"/>
    <w:rsid w:val="00784EDD"/>
    <w:rsid w:val="007872A6"/>
    <w:rsid w:val="00790EDB"/>
    <w:rsid w:val="00791876"/>
    <w:rsid w:val="00794D2F"/>
    <w:rsid w:val="00796CCD"/>
    <w:rsid w:val="007A0792"/>
    <w:rsid w:val="007A1D18"/>
    <w:rsid w:val="007A3F8C"/>
    <w:rsid w:val="007A5567"/>
    <w:rsid w:val="007A686C"/>
    <w:rsid w:val="007A6D26"/>
    <w:rsid w:val="007B0D34"/>
    <w:rsid w:val="007B22DA"/>
    <w:rsid w:val="007B674A"/>
    <w:rsid w:val="007B768C"/>
    <w:rsid w:val="007C0273"/>
    <w:rsid w:val="007C253A"/>
    <w:rsid w:val="007C2C1A"/>
    <w:rsid w:val="007C3478"/>
    <w:rsid w:val="007C4EC5"/>
    <w:rsid w:val="007C67BC"/>
    <w:rsid w:val="007D01BC"/>
    <w:rsid w:val="007D0FDF"/>
    <w:rsid w:val="007D10BA"/>
    <w:rsid w:val="007D2DEA"/>
    <w:rsid w:val="007D5BF4"/>
    <w:rsid w:val="007D677C"/>
    <w:rsid w:val="007D7F53"/>
    <w:rsid w:val="007E368B"/>
    <w:rsid w:val="007E3A33"/>
    <w:rsid w:val="007E4BEF"/>
    <w:rsid w:val="007E746C"/>
    <w:rsid w:val="007F0520"/>
    <w:rsid w:val="007F0D77"/>
    <w:rsid w:val="007F0FA9"/>
    <w:rsid w:val="007F22A5"/>
    <w:rsid w:val="007F2B5D"/>
    <w:rsid w:val="007F4DE1"/>
    <w:rsid w:val="007F6050"/>
    <w:rsid w:val="008015DB"/>
    <w:rsid w:val="00802503"/>
    <w:rsid w:val="00802A06"/>
    <w:rsid w:val="008110A4"/>
    <w:rsid w:val="008152BA"/>
    <w:rsid w:val="00816A35"/>
    <w:rsid w:val="008174B7"/>
    <w:rsid w:val="00817CDC"/>
    <w:rsid w:val="00820A47"/>
    <w:rsid w:val="00820C4B"/>
    <w:rsid w:val="008218B3"/>
    <w:rsid w:val="00825D01"/>
    <w:rsid w:val="00832222"/>
    <w:rsid w:val="008344DC"/>
    <w:rsid w:val="00834A70"/>
    <w:rsid w:val="00835684"/>
    <w:rsid w:val="008368A1"/>
    <w:rsid w:val="00837221"/>
    <w:rsid w:val="0083767C"/>
    <w:rsid w:val="00840877"/>
    <w:rsid w:val="00842623"/>
    <w:rsid w:val="008450EE"/>
    <w:rsid w:val="00845234"/>
    <w:rsid w:val="008465B9"/>
    <w:rsid w:val="00847300"/>
    <w:rsid w:val="00850096"/>
    <w:rsid w:val="0085019A"/>
    <w:rsid w:val="00850AFC"/>
    <w:rsid w:val="00853C59"/>
    <w:rsid w:val="00854E21"/>
    <w:rsid w:val="00856DA7"/>
    <w:rsid w:val="0086165F"/>
    <w:rsid w:val="00861AA7"/>
    <w:rsid w:val="00864D59"/>
    <w:rsid w:val="00865023"/>
    <w:rsid w:val="008679AB"/>
    <w:rsid w:val="00875211"/>
    <w:rsid w:val="00876C13"/>
    <w:rsid w:val="00882CD6"/>
    <w:rsid w:val="008856ED"/>
    <w:rsid w:val="008866DC"/>
    <w:rsid w:val="00887A8C"/>
    <w:rsid w:val="00891555"/>
    <w:rsid w:val="008918A3"/>
    <w:rsid w:val="00891C7E"/>
    <w:rsid w:val="008942A4"/>
    <w:rsid w:val="00895CA7"/>
    <w:rsid w:val="008975AB"/>
    <w:rsid w:val="008A1CD9"/>
    <w:rsid w:val="008A33DD"/>
    <w:rsid w:val="008A3D05"/>
    <w:rsid w:val="008A496C"/>
    <w:rsid w:val="008A4B4A"/>
    <w:rsid w:val="008A4CB2"/>
    <w:rsid w:val="008B096A"/>
    <w:rsid w:val="008B2A60"/>
    <w:rsid w:val="008B58DF"/>
    <w:rsid w:val="008B7EC1"/>
    <w:rsid w:val="008C1D79"/>
    <w:rsid w:val="008C3CBA"/>
    <w:rsid w:val="008C42B0"/>
    <w:rsid w:val="008C5D0B"/>
    <w:rsid w:val="008C7237"/>
    <w:rsid w:val="008D0179"/>
    <w:rsid w:val="008D07CC"/>
    <w:rsid w:val="008D0AF7"/>
    <w:rsid w:val="008D3F9D"/>
    <w:rsid w:val="008D4853"/>
    <w:rsid w:val="008D4CFE"/>
    <w:rsid w:val="008D6EE8"/>
    <w:rsid w:val="008E3117"/>
    <w:rsid w:val="008E3180"/>
    <w:rsid w:val="008E6069"/>
    <w:rsid w:val="008E6433"/>
    <w:rsid w:val="008E794F"/>
    <w:rsid w:val="008E7AC8"/>
    <w:rsid w:val="008F10D9"/>
    <w:rsid w:val="008F1CAB"/>
    <w:rsid w:val="008F235F"/>
    <w:rsid w:val="008F2785"/>
    <w:rsid w:val="008F3FED"/>
    <w:rsid w:val="008F4AB7"/>
    <w:rsid w:val="008F5475"/>
    <w:rsid w:val="008F637A"/>
    <w:rsid w:val="008F73A6"/>
    <w:rsid w:val="009005DA"/>
    <w:rsid w:val="009016F7"/>
    <w:rsid w:val="009035FA"/>
    <w:rsid w:val="00917ADE"/>
    <w:rsid w:val="00920A11"/>
    <w:rsid w:val="00920F8D"/>
    <w:rsid w:val="00922E3D"/>
    <w:rsid w:val="00924250"/>
    <w:rsid w:val="00925C41"/>
    <w:rsid w:val="00925F1A"/>
    <w:rsid w:val="009304FE"/>
    <w:rsid w:val="00930C70"/>
    <w:rsid w:val="00931525"/>
    <w:rsid w:val="00943EED"/>
    <w:rsid w:val="00951008"/>
    <w:rsid w:val="00951CA2"/>
    <w:rsid w:val="00952574"/>
    <w:rsid w:val="009532EE"/>
    <w:rsid w:val="00955D69"/>
    <w:rsid w:val="00956BD8"/>
    <w:rsid w:val="009624C2"/>
    <w:rsid w:val="009635B0"/>
    <w:rsid w:val="00963809"/>
    <w:rsid w:val="00964E91"/>
    <w:rsid w:val="009659AE"/>
    <w:rsid w:val="009673C5"/>
    <w:rsid w:val="00972CDC"/>
    <w:rsid w:val="009754A1"/>
    <w:rsid w:val="00976FAE"/>
    <w:rsid w:val="0097768E"/>
    <w:rsid w:val="00980373"/>
    <w:rsid w:val="00981115"/>
    <w:rsid w:val="00983BB0"/>
    <w:rsid w:val="009864E5"/>
    <w:rsid w:val="00986BFC"/>
    <w:rsid w:val="00987640"/>
    <w:rsid w:val="009912DF"/>
    <w:rsid w:val="00991767"/>
    <w:rsid w:val="00992991"/>
    <w:rsid w:val="0099527A"/>
    <w:rsid w:val="0099730A"/>
    <w:rsid w:val="009976A6"/>
    <w:rsid w:val="009A11A7"/>
    <w:rsid w:val="009A1C44"/>
    <w:rsid w:val="009A3D78"/>
    <w:rsid w:val="009A472F"/>
    <w:rsid w:val="009A5602"/>
    <w:rsid w:val="009A7013"/>
    <w:rsid w:val="009B0B6D"/>
    <w:rsid w:val="009B2D41"/>
    <w:rsid w:val="009B2E3F"/>
    <w:rsid w:val="009B3A3C"/>
    <w:rsid w:val="009B76A2"/>
    <w:rsid w:val="009B7FC3"/>
    <w:rsid w:val="009C0415"/>
    <w:rsid w:val="009C20EE"/>
    <w:rsid w:val="009C2A3E"/>
    <w:rsid w:val="009C4BEA"/>
    <w:rsid w:val="009C72E0"/>
    <w:rsid w:val="009E164D"/>
    <w:rsid w:val="009E1A48"/>
    <w:rsid w:val="009E421A"/>
    <w:rsid w:val="009E5CAC"/>
    <w:rsid w:val="009F0A6D"/>
    <w:rsid w:val="009F1A89"/>
    <w:rsid w:val="009F3FAC"/>
    <w:rsid w:val="009F561D"/>
    <w:rsid w:val="00A000E0"/>
    <w:rsid w:val="00A021C7"/>
    <w:rsid w:val="00A03924"/>
    <w:rsid w:val="00A100C1"/>
    <w:rsid w:val="00A11F15"/>
    <w:rsid w:val="00A1575B"/>
    <w:rsid w:val="00A165C8"/>
    <w:rsid w:val="00A1799D"/>
    <w:rsid w:val="00A2180A"/>
    <w:rsid w:val="00A24030"/>
    <w:rsid w:val="00A25083"/>
    <w:rsid w:val="00A25E38"/>
    <w:rsid w:val="00A307AF"/>
    <w:rsid w:val="00A335FA"/>
    <w:rsid w:val="00A339BC"/>
    <w:rsid w:val="00A34FD8"/>
    <w:rsid w:val="00A36A2A"/>
    <w:rsid w:val="00A375BE"/>
    <w:rsid w:val="00A37627"/>
    <w:rsid w:val="00A40730"/>
    <w:rsid w:val="00A41B07"/>
    <w:rsid w:val="00A44076"/>
    <w:rsid w:val="00A44B8F"/>
    <w:rsid w:val="00A47392"/>
    <w:rsid w:val="00A47466"/>
    <w:rsid w:val="00A4768B"/>
    <w:rsid w:val="00A51023"/>
    <w:rsid w:val="00A5330C"/>
    <w:rsid w:val="00A54793"/>
    <w:rsid w:val="00A54893"/>
    <w:rsid w:val="00A56075"/>
    <w:rsid w:val="00A62042"/>
    <w:rsid w:val="00A63932"/>
    <w:rsid w:val="00A63953"/>
    <w:rsid w:val="00A64419"/>
    <w:rsid w:val="00A7488A"/>
    <w:rsid w:val="00A752F0"/>
    <w:rsid w:val="00A80E6B"/>
    <w:rsid w:val="00A81DB9"/>
    <w:rsid w:val="00A830BF"/>
    <w:rsid w:val="00A84A76"/>
    <w:rsid w:val="00A85482"/>
    <w:rsid w:val="00A901D9"/>
    <w:rsid w:val="00A92867"/>
    <w:rsid w:val="00A97172"/>
    <w:rsid w:val="00AA1C7D"/>
    <w:rsid w:val="00AA5978"/>
    <w:rsid w:val="00AA605A"/>
    <w:rsid w:val="00AB0D8F"/>
    <w:rsid w:val="00AB146C"/>
    <w:rsid w:val="00AB1CB3"/>
    <w:rsid w:val="00AB485A"/>
    <w:rsid w:val="00AB5414"/>
    <w:rsid w:val="00AB5F84"/>
    <w:rsid w:val="00AB6AE9"/>
    <w:rsid w:val="00AC1671"/>
    <w:rsid w:val="00AC2253"/>
    <w:rsid w:val="00AC32F2"/>
    <w:rsid w:val="00AC727B"/>
    <w:rsid w:val="00AD0BA8"/>
    <w:rsid w:val="00AD1586"/>
    <w:rsid w:val="00AD468C"/>
    <w:rsid w:val="00AD48BB"/>
    <w:rsid w:val="00AD606E"/>
    <w:rsid w:val="00AD67D3"/>
    <w:rsid w:val="00AE04CE"/>
    <w:rsid w:val="00AE053E"/>
    <w:rsid w:val="00AE0615"/>
    <w:rsid w:val="00AE11AC"/>
    <w:rsid w:val="00AE21EC"/>
    <w:rsid w:val="00AE24D1"/>
    <w:rsid w:val="00AE2570"/>
    <w:rsid w:val="00AE4C2C"/>
    <w:rsid w:val="00AE558F"/>
    <w:rsid w:val="00AE55CD"/>
    <w:rsid w:val="00AE6767"/>
    <w:rsid w:val="00AE786D"/>
    <w:rsid w:val="00AF07F6"/>
    <w:rsid w:val="00AF1765"/>
    <w:rsid w:val="00AF1849"/>
    <w:rsid w:val="00AF74D3"/>
    <w:rsid w:val="00B01F64"/>
    <w:rsid w:val="00B021B0"/>
    <w:rsid w:val="00B03E8B"/>
    <w:rsid w:val="00B072EB"/>
    <w:rsid w:val="00B10396"/>
    <w:rsid w:val="00B106B4"/>
    <w:rsid w:val="00B10AE8"/>
    <w:rsid w:val="00B1319C"/>
    <w:rsid w:val="00B138A6"/>
    <w:rsid w:val="00B13ECC"/>
    <w:rsid w:val="00B1441C"/>
    <w:rsid w:val="00B164E6"/>
    <w:rsid w:val="00B16CDC"/>
    <w:rsid w:val="00B17BCA"/>
    <w:rsid w:val="00B21E93"/>
    <w:rsid w:val="00B245F0"/>
    <w:rsid w:val="00B25444"/>
    <w:rsid w:val="00B2626A"/>
    <w:rsid w:val="00B27575"/>
    <w:rsid w:val="00B32AD7"/>
    <w:rsid w:val="00B33C0D"/>
    <w:rsid w:val="00B35B80"/>
    <w:rsid w:val="00B37CEF"/>
    <w:rsid w:val="00B40DBB"/>
    <w:rsid w:val="00B4105B"/>
    <w:rsid w:val="00B41FC6"/>
    <w:rsid w:val="00B42CCC"/>
    <w:rsid w:val="00B42F99"/>
    <w:rsid w:val="00B43385"/>
    <w:rsid w:val="00B462E4"/>
    <w:rsid w:val="00B47435"/>
    <w:rsid w:val="00B5004C"/>
    <w:rsid w:val="00B5012C"/>
    <w:rsid w:val="00B50C4F"/>
    <w:rsid w:val="00B5103B"/>
    <w:rsid w:val="00B51968"/>
    <w:rsid w:val="00B569C4"/>
    <w:rsid w:val="00B62C20"/>
    <w:rsid w:val="00B62E86"/>
    <w:rsid w:val="00B645A7"/>
    <w:rsid w:val="00B67D3B"/>
    <w:rsid w:val="00B70BC4"/>
    <w:rsid w:val="00B72FB6"/>
    <w:rsid w:val="00B74B06"/>
    <w:rsid w:val="00B74C38"/>
    <w:rsid w:val="00B75ECA"/>
    <w:rsid w:val="00B75F5A"/>
    <w:rsid w:val="00B76DEA"/>
    <w:rsid w:val="00B80F0B"/>
    <w:rsid w:val="00B811FF"/>
    <w:rsid w:val="00B82113"/>
    <w:rsid w:val="00B85CC5"/>
    <w:rsid w:val="00B85F12"/>
    <w:rsid w:val="00B8607D"/>
    <w:rsid w:val="00B861E9"/>
    <w:rsid w:val="00B8661D"/>
    <w:rsid w:val="00B86B7F"/>
    <w:rsid w:val="00B878E0"/>
    <w:rsid w:val="00B94886"/>
    <w:rsid w:val="00B957CF"/>
    <w:rsid w:val="00B9580A"/>
    <w:rsid w:val="00BA07F1"/>
    <w:rsid w:val="00BA1A8E"/>
    <w:rsid w:val="00BA1C78"/>
    <w:rsid w:val="00BA1D77"/>
    <w:rsid w:val="00BA2601"/>
    <w:rsid w:val="00BA2801"/>
    <w:rsid w:val="00BA2CD2"/>
    <w:rsid w:val="00BA3D09"/>
    <w:rsid w:val="00BA4432"/>
    <w:rsid w:val="00BA4EA6"/>
    <w:rsid w:val="00BA5DA0"/>
    <w:rsid w:val="00BA6473"/>
    <w:rsid w:val="00BB357A"/>
    <w:rsid w:val="00BB39BB"/>
    <w:rsid w:val="00BB43FA"/>
    <w:rsid w:val="00BB470C"/>
    <w:rsid w:val="00BB4AC6"/>
    <w:rsid w:val="00BB58FB"/>
    <w:rsid w:val="00BC0DD2"/>
    <w:rsid w:val="00BC6E6B"/>
    <w:rsid w:val="00BC7321"/>
    <w:rsid w:val="00BD1E0B"/>
    <w:rsid w:val="00BD230E"/>
    <w:rsid w:val="00BD4E4D"/>
    <w:rsid w:val="00BD6020"/>
    <w:rsid w:val="00BD7C12"/>
    <w:rsid w:val="00BE085D"/>
    <w:rsid w:val="00BE1459"/>
    <w:rsid w:val="00BE236B"/>
    <w:rsid w:val="00BE388C"/>
    <w:rsid w:val="00BE4A9B"/>
    <w:rsid w:val="00BE55B4"/>
    <w:rsid w:val="00BE5724"/>
    <w:rsid w:val="00BE58C3"/>
    <w:rsid w:val="00BF3C4C"/>
    <w:rsid w:val="00BF3F0B"/>
    <w:rsid w:val="00BF4908"/>
    <w:rsid w:val="00BF61E6"/>
    <w:rsid w:val="00BF6C3C"/>
    <w:rsid w:val="00C00B33"/>
    <w:rsid w:val="00C00E70"/>
    <w:rsid w:val="00C10C88"/>
    <w:rsid w:val="00C1217C"/>
    <w:rsid w:val="00C175C7"/>
    <w:rsid w:val="00C20FB9"/>
    <w:rsid w:val="00C214F4"/>
    <w:rsid w:val="00C2270D"/>
    <w:rsid w:val="00C23F7D"/>
    <w:rsid w:val="00C24072"/>
    <w:rsid w:val="00C25C84"/>
    <w:rsid w:val="00C2772F"/>
    <w:rsid w:val="00C3048C"/>
    <w:rsid w:val="00C3107C"/>
    <w:rsid w:val="00C31836"/>
    <w:rsid w:val="00C32712"/>
    <w:rsid w:val="00C334C5"/>
    <w:rsid w:val="00C33C30"/>
    <w:rsid w:val="00C36159"/>
    <w:rsid w:val="00C37968"/>
    <w:rsid w:val="00C37C51"/>
    <w:rsid w:val="00C403A8"/>
    <w:rsid w:val="00C42ED1"/>
    <w:rsid w:val="00C43D93"/>
    <w:rsid w:val="00C44111"/>
    <w:rsid w:val="00C45918"/>
    <w:rsid w:val="00C45A6E"/>
    <w:rsid w:val="00C4642E"/>
    <w:rsid w:val="00C46DFB"/>
    <w:rsid w:val="00C47C2A"/>
    <w:rsid w:val="00C50044"/>
    <w:rsid w:val="00C529F6"/>
    <w:rsid w:val="00C533BA"/>
    <w:rsid w:val="00C5458C"/>
    <w:rsid w:val="00C54E16"/>
    <w:rsid w:val="00C55ABB"/>
    <w:rsid w:val="00C6039D"/>
    <w:rsid w:val="00C617C7"/>
    <w:rsid w:val="00C65091"/>
    <w:rsid w:val="00C71874"/>
    <w:rsid w:val="00C71EB3"/>
    <w:rsid w:val="00C74DC0"/>
    <w:rsid w:val="00C8025A"/>
    <w:rsid w:val="00C82EB2"/>
    <w:rsid w:val="00C83032"/>
    <w:rsid w:val="00C83464"/>
    <w:rsid w:val="00C85104"/>
    <w:rsid w:val="00C9059A"/>
    <w:rsid w:val="00C9284D"/>
    <w:rsid w:val="00C93E8C"/>
    <w:rsid w:val="00C950D2"/>
    <w:rsid w:val="00C959A4"/>
    <w:rsid w:val="00C97810"/>
    <w:rsid w:val="00CA4577"/>
    <w:rsid w:val="00CA4B1C"/>
    <w:rsid w:val="00CA4F9B"/>
    <w:rsid w:val="00CA6900"/>
    <w:rsid w:val="00CA70C6"/>
    <w:rsid w:val="00CB1395"/>
    <w:rsid w:val="00CB3202"/>
    <w:rsid w:val="00CB496F"/>
    <w:rsid w:val="00CB5A41"/>
    <w:rsid w:val="00CB5FB9"/>
    <w:rsid w:val="00CB617B"/>
    <w:rsid w:val="00CB6576"/>
    <w:rsid w:val="00CB6BFC"/>
    <w:rsid w:val="00CB6DF1"/>
    <w:rsid w:val="00CC01F1"/>
    <w:rsid w:val="00CC1A6F"/>
    <w:rsid w:val="00CC4AE4"/>
    <w:rsid w:val="00CC5ED9"/>
    <w:rsid w:val="00CC7937"/>
    <w:rsid w:val="00CD1C58"/>
    <w:rsid w:val="00CD2C6F"/>
    <w:rsid w:val="00CD33BB"/>
    <w:rsid w:val="00CD77DB"/>
    <w:rsid w:val="00CE29D9"/>
    <w:rsid w:val="00CE69E2"/>
    <w:rsid w:val="00CE6D85"/>
    <w:rsid w:val="00CF1321"/>
    <w:rsid w:val="00CF23A4"/>
    <w:rsid w:val="00CF522A"/>
    <w:rsid w:val="00CF5261"/>
    <w:rsid w:val="00CF5CF1"/>
    <w:rsid w:val="00CF6713"/>
    <w:rsid w:val="00CF74B3"/>
    <w:rsid w:val="00D00293"/>
    <w:rsid w:val="00D0442B"/>
    <w:rsid w:val="00D104AD"/>
    <w:rsid w:val="00D1205E"/>
    <w:rsid w:val="00D12332"/>
    <w:rsid w:val="00D1267B"/>
    <w:rsid w:val="00D12EC8"/>
    <w:rsid w:val="00D14E6C"/>
    <w:rsid w:val="00D15206"/>
    <w:rsid w:val="00D16E7E"/>
    <w:rsid w:val="00D20E07"/>
    <w:rsid w:val="00D23F00"/>
    <w:rsid w:val="00D250BA"/>
    <w:rsid w:val="00D26E6D"/>
    <w:rsid w:val="00D30DA5"/>
    <w:rsid w:val="00D31EB6"/>
    <w:rsid w:val="00D33823"/>
    <w:rsid w:val="00D376C7"/>
    <w:rsid w:val="00D4224C"/>
    <w:rsid w:val="00D43747"/>
    <w:rsid w:val="00D43ACA"/>
    <w:rsid w:val="00D449CE"/>
    <w:rsid w:val="00D468FF"/>
    <w:rsid w:val="00D46A44"/>
    <w:rsid w:val="00D4729B"/>
    <w:rsid w:val="00D508C0"/>
    <w:rsid w:val="00D5393E"/>
    <w:rsid w:val="00D56029"/>
    <w:rsid w:val="00D61519"/>
    <w:rsid w:val="00D6349E"/>
    <w:rsid w:val="00D641B9"/>
    <w:rsid w:val="00D64C64"/>
    <w:rsid w:val="00D675BC"/>
    <w:rsid w:val="00D67768"/>
    <w:rsid w:val="00D765F4"/>
    <w:rsid w:val="00D76B2A"/>
    <w:rsid w:val="00D76B44"/>
    <w:rsid w:val="00D8058D"/>
    <w:rsid w:val="00D831B6"/>
    <w:rsid w:val="00D8380D"/>
    <w:rsid w:val="00D83FFE"/>
    <w:rsid w:val="00D848A5"/>
    <w:rsid w:val="00D875F4"/>
    <w:rsid w:val="00D921B9"/>
    <w:rsid w:val="00D92EEE"/>
    <w:rsid w:val="00D9321E"/>
    <w:rsid w:val="00D936F8"/>
    <w:rsid w:val="00D939A8"/>
    <w:rsid w:val="00D9633F"/>
    <w:rsid w:val="00D965D1"/>
    <w:rsid w:val="00D96CCA"/>
    <w:rsid w:val="00DA0AA4"/>
    <w:rsid w:val="00DA1755"/>
    <w:rsid w:val="00DA2507"/>
    <w:rsid w:val="00DA41E2"/>
    <w:rsid w:val="00DA479F"/>
    <w:rsid w:val="00DA57E9"/>
    <w:rsid w:val="00DA7070"/>
    <w:rsid w:val="00DB52CC"/>
    <w:rsid w:val="00DB62D0"/>
    <w:rsid w:val="00DB6623"/>
    <w:rsid w:val="00DC10C1"/>
    <w:rsid w:val="00DC29AA"/>
    <w:rsid w:val="00DC39F3"/>
    <w:rsid w:val="00DC55EA"/>
    <w:rsid w:val="00DD534B"/>
    <w:rsid w:val="00DE08D6"/>
    <w:rsid w:val="00DE1ECB"/>
    <w:rsid w:val="00DE2453"/>
    <w:rsid w:val="00DE33F2"/>
    <w:rsid w:val="00DE5A90"/>
    <w:rsid w:val="00DF5979"/>
    <w:rsid w:val="00DF6F8F"/>
    <w:rsid w:val="00DF7690"/>
    <w:rsid w:val="00E01C6A"/>
    <w:rsid w:val="00E0308D"/>
    <w:rsid w:val="00E10542"/>
    <w:rsid w:val="00E107A5"/>
    <w:rsid w:val="00E11ED6"/>
    <w:rsid w:val="00E1432E"/>
    <w:rsid w:val="00E15A08"/>
    <w:rsid w:val="00E16E40"/>
    <w:rsid w:val="00E17B53"/>
    <w:rsid w:val="00E209CC"/>
    <w:rsid w:val="00E2249A"/>
    <w:rsid w:val="00E23280"/>
    <w:rsid w:val="00E25B51"/>
    <w:rsid w:val="00E277CC"/>
    <w:rsid w:val="00E3177B"/>
    <w:rsid w:val="00E317CF"/>
    <w:rsid w:val="00E324D7"/>
    <w:rsid w:val="00E32CC9"/>
    <w:rsid w:val="00E32D67"/>
    <w:rsid w:val="00E34B54"/>
    <w:rsid w:val="00E36558"/>
    <w:rsid w:val="00E4432D"/>
    <w:rsid w:val="00E44427"/>
    <w:rsid w:val="00E4459B"/>
    <w:rsid w:val="00E448B7"/>
    <w:rsid w:val="00E44D39"/>
    <w:rsid w:val="00E50CB0"/>
    <w:rsid w:val="00E5230D"/>
    <w:rsid w:val="00E544C0"/>
    <w:rsid w:val="00E54697"/>
    <w:rsid w:val="00E559BC"/>
    <w:rsid w:val="00E559E8"/>
    <w:rsid w:val="00E56C1A"/>
    <w:rsid w:val="00E56D00"/>
    <w:rsid w:val="00E610A2"/>
    <w:rsid w:val="00E63C37"/>
    <w:rsid w:val="00E6468D"/>
    <w:rsid w:val="00E64CC4"/>
    <w:rsid w:val="00E667EF"/>
    <w:rsid w:val="00E67EF9"/>
    <w:rsid w:val="00E7036C"/>
    <w:rsid w:val="00E7039F"/>
    <w:rsid w:val="00E724BD"/>
    <w:rsid w:val="00E763FC"/>
    <w:rsid w:val="00E84500"/>
    <w:rsid w:val="00E84653"/>
    <w:rsid w:val="00E92052"/>
    <w:rsid w:val="00E92503"/>
    <w:rsid w:val="00E9688B"/>
    <w:rsid w:val="00E975AF"/>
    <w:rsid w:val="00EA148D"/>
    <w:rsid w:val="00EA6441"/>
    <w:rsid w:val="00EB053A"/>
    <w:rsid w:val="00EB0DFF"/>
    <w:rsid w:val="00EB5742"/>
    <w:rsid w:val="00EB77AF"/>
    <w:rsid w:val="00EC3756"/>
    <w:rsid w:val="00EC39A3"/>
    <w:rsid w:val="00EC582A"/>
    <w:rsid w:val="00ED1432"/>
    <w:rsid w:val="00ED27D4"/>
    <w:rsid w:val="00ED4683"/>
    <w:rsid w:val="00ED55CF"/>
    <w:rsid w:val="00ED578B"/>
    <w:rsid w:val="00ED5833"/>
    <w:rsid w:val="00ED7075"/>
    <w:rsid w:val="00ED75F5"/>
    <w:rsid w:val="00EE12A5"/>
    <w:rsid w:val="00EE2402"/>
    <w:rsid w:val="00EE5E85"/>
    <w:rsid w:val="00EF30F5"/>
    <w:rsid w:val="00EF3D39"/>
    <w:rsid w:val="00EF5E8F"/>
    <w:rsid w:val="00F02E8C"/>
    <w:rsid w:val="00F02EF9"/>
    <w:rsid w:val="00F03031"/>
    <w:rsid w:val="00F04C66"/>
    <w:rsid w:val="00F06077"/>
    <w:rsid w:val="00F07578"/>
    <w:rsid w:val="00F07B1C"/>
    <w:rsid w:val="00F11F45"/>
    <w:rsid w:val="00F120B1"/>
    <w:rsid w:val="00F16F13"/>
    <w:rsid w:val="00F17922"/>
    <w:rsid w:val="00F208B8"/>
    <w:rsid w:val="00F216B6"/>
    <w:rsid w:val="00F2176A"/>
    <w:rsid w:val="00F230D5"/>
    <w:rsid w:val="00F237DA"/>
    <w:rsid w:val="00F24B1B"/>
    <w:rsid w:val="00F25F67"/>
    <w:rsid w:val="00F25F84"/>
    <w:rsid w:val="00F26126"/>
    <w:rsid w:val="00F267B8"/>
    <w:rsid w:val="00F276D8"/>
    <w:rsid w:val="00F34899"/>
    <w:rsid w:val="00F378A3"/>
    <w:rsid w:val="00F42FD2"/>
    <w:rsid w:val="00F43D3A"/>
    <w:rsid w:val="00F4401F"/>
    <w:rsid w:val="00F442F1"/>
    <w:rsid w:val="00F46957"/>
    <w:rsid w:val="00F46E63"/>
    <w:rsid w:val="00F474FD"/>
    <w:rsid w:val="00F475FD"/>
    <w:rsid w:val="00F5375F"/>
    <w:rsid w:val="00F5442C"/>
    <w:rsid w:val="00F551FB"/>
    <w:rsid w:val="00F55FB7"/>
    <w:rsid w:val="00F605BA"/>
    <w:rsid w:val="00F62FFB"/>
    <w:rsid w:val="00F6460C"/>
    <w:rsid w:val="00F66975"/>
    <w:rsid w:val="00F6780D"/>
    <w:rsid w:val="00F7220B"/>
    <w:rsid w:val="00F726EB"/>
    <w:rsid w:val="00F731E0"/>
    <w:rsid w:val="00F75F0E"/>
    <w:rsid w:val="00F8100B"/>
    <w:rsid w:val="00F81E2D"/>
    <w:rsid w:val="00F84A2B"/>
    <w:rsid w:val="00F859E2"/>
    <w:rsid w:val="00F90CD0"/>
    <w:rsid w:val="00F91BA5"/>
    <w:rsid w:val="00F92E73"/>
    <w:rsid w:val="00F938BD"/>
    <w:rsid w:val="00F95B48"/>
    <w:rsid w:val="00FA0107"/>
    <w:rsid w:val="00FA304B"/>
    <w:rsid w:val="00FA316B"/>
    <w:rsid w:val="00FA6A14"/>
    <w:rsid w:val="00FA7694"/>
    <w:rsid w:val="00FA7E44"/>
    <w:rsid w:val="00FB05E0"/>
    <w:rsid w:val="00FB078C"/>
    <w:rsid w:val="00FB4A8F"/>
    <w:rsid w:val="00FB5477"/>
    <w:rsid w:val="00FB5ACB"/>
    <w:rsid w:val="00FB7825"/>
    <w:rsid w:val="00FC0C62"/>
    <w:rsid w:val="00FC577D"/>
    <w:rsid w:val="00FC7E7B"/>
    <w:rsid w:val="00FD0907"/>
    <w:rsid w:val="00FD1BDE"/>
    <w:rsid w:val="00FD27A3"/>
    <w:rsid w:val="00FD4151"/>
    <w:rsid w:val="00FD7A5F"/>
    <w:rsid w:val="00FD7B75"/>
    <w:rsid w:val="00FE154E"/>
    <w:rsid w:val="00FE1975"/>
    <w:rsid w:val="00FE392E"/>
    <w:rsid w:val="00FE3C9B"/>
    <w:rsid w:val="00FE49E2"/>
    <w:rsid w:val="00FE4BEF"/>
    <w:rsid w:val="00FE60AF"/>
    <w:rsid w:val="00FE6453"/>
    <w:rsid w:val="00FF0864"/>
    <w:rsid w:val="00FF56F3"/>
    <w:rsid w:val="00FF5F46"/>
    <w:rsid w:val="00FF63D5"/>
    <w:rsid w:val="00FF649D"/>
    <w:rsid w:val="00FF73DE"/>
    <w:rsid w:val="01C18942"/>
    <w:rsid w:val="02908156"/>
    <w:rsid w:val="030EC308"/>
    <w:rsid w:val="064E638C"/>
    <w:rsid w:val="065A7206"/>
    <w:rsid w:val="0694FA65"/>
    <w:rsid w:val="075A1DCA"/>
    <w:rsid w:val="081D97B1"/>
    <w:rsid w:val="084DCF4C"/>
    <w:rsid w:val="0AA735BD"/>
    <w:rsid w:val="0B029C94"/>
    <w:rsid w:val="0C0149E7"/>
    <w:rsid w:val="0C8FEA93"/>
    <w:rsid w:val="0CC9E1D4"/>
    <w:rsid w:val="0DB49591"/>
    <w:rsid w:val="0DDED67F"/>
    <w:rsid w:val="0EA3FE35"/>
    <w:rsid w:val="0FF2B7A9"/>
    <w:rsid w:val="1045C595"/>
    <w:rsid w:val="112B9F68"/>
    <w:rsid w:val="1183CC5A"/>
    <w:rsid w:val="129E1749"/>
    <w:rsid w:val="129F9237"/>
    <w:rsid w:val="133E8578"/>
    <w:rsid w:val="13DAA4A6"/>
    <w:rsid w:val="14E2F25C"/>
    <w:rsid w:val="15581A27"/>
    <w:rsid w:val="15CE132F"/>
    <w:rsid w:val="19218926"/>
    <w:rsid w:val="1BDE9A35"/>
    <w:rsid w:val="1C61176E"/>
    <w:rsid w:val="1CFC20DC"/>
    <w:rsid w:val="1D2ED4BD"/>
    <w:rsid w:val="1DFCE7CF"/>
    <w:rsid w:val="1E42EE35"/>
    <w:rsid w:val="20A7D16E"/>
    <w:rsid w:val="21D14F75"/>
    <w:rsid w:val="21EB5467"/>
    <w:rsid w:val="22406049"/>
    <w:rsid w:val="226E6228"/>
    <w:rsid w:val="22C86B6C"/>
    <w:rsid w:val="24423205"/>
    <w:rsid w:val="24643BCD"/>
    <w:rsid w:val="24911AC0"/>
    <w:rsid w:val="24B0FAAF"/>
    <w:rsid w:val="279BF59E"/>
    <w:rsid w:val="28409114"/>
    <w:rsid w:val="284EE1CF"/>
    <w:rsid w:val="28523C93"/>
    <w:rsid w:val="287DA439"/>
    <w:rsid w:val="29DC615A"/>
    <w:rsid w:val="29DCAAC6"/>
    <w:rsid w:val="2AEA90B2"/>
    <w:rsid w:val="2B7AF8D3"/>
    <w:rsid w:val="2B9BC335"/>
    <w:rsid w:val="2D2652D4"/>
    <w:rsid w:val="2EF150F4"/>
    <w:rsid w:val="2F44C4C3"/>
    <w:rsid w:val="300182E3"/>
    <w:rsid w:val="30E05B51"/>
    <w:rsid w:val="31CC4BBE"/>
    <w:rsid w:val="31D1FC70"/>
    <w:rsid w:val="32E67CBC"/>
    <w:rsid w:val="34499D1B"/>
    <w:rsid w:val="34AD846B"/>
    <w:rsid w:val="372030FD"/>
    <w:rsid w:val="37541EEB"/>
    <w:rsid w:val="37786ECE"/>
    <w:rsid w:val="38C88C64"/>
    <w:rsid w:val="39FF238E"/>
    <w:rsid w:val="3B6DC3D7"/>
    <w:rsid w:val="3DBD8C32"/>
    <w:rsid w:val="3F03C9F9"/>
    <w:rsid w:val="43B83D32"/>
    <w:rsid w:val="44641734"/>
    <w:rsid w:val="44818D7A"/>
    <w:rsid w:val="44B7C9FF"/>
    <w:rsid w:val="44E0616F"/>
    <w:rsid w:val="45291610"/>
    <w:rsid w:val="45351841"/>
    <w:rsid w:val="45730B7D"/>
    <w:rsid w:val="45FF02FB"/>
    <w:rsid w:val="47FBB934"/>
    <w:rsid w:val="4825C9D6"/>
    <w:rsid w:val="48310676"/>
    <w:rsid w:val="4848EED2"/>
    <w:rsid w:val="484EFEBC"/>
    <w:rsid w:val="48E68C32"/>
    <w:rsid w:val="498546D5"/>
    <w:rsid w:val="49873F1A"/>
    <w:rsid w:val="49C3609F"/>
    <w:rsid w:val="4A95DF42"/>
    <w:rsid w:val="4B73BFAF"/>
    <w:rsid w:val="4BDA5E81"/>
    <w:rsid w:val="4C506FAE"/>
    <w:rsid w:val="4CBCE797"/>
    <w:rsid w:val="4D54C0AB"/>
    <w:rsid w:val="4DD89054"/>
    <w:rsid w:val="4DE6355E"/>
    <w:rsid w:val="4E979CDA"/>
    <w:rsid w:val="4EF4D597"/>
    <w:rsid w:val="4F19EDC3"/>
    <w:rsid w:val="4FC4441F"/>
    <w:rsid w:val="501E1573"/>
    <w:rsid w:val="50A529F3"/>
    <w:rsid w:val="5126DF2C"/>
    <w:rsid w:val="51B54A27"/>
    <w:rsid w:val="51B853DF"/>
    <w:rsid w:val="51BCC2C3"/>
    <w:rsid w:val="5240F4E5"/>
    <w:rsid w:val="525A829A"/>
    <w:rsid w:val="532C291B"/>
    <w:rsid w:val="53550E5D"/>
    <w:rsid w:val="53878FF2"/>
    <w:rsid w:val="53E4F0D3"/>
    <w:rsid w:val="5472F860"/>
    <w:rsid w:val="56BE15CE"/>
    <w:rsid w:val="57292DFD"/>
    <w:rsid w:val="584FC80A"/>
    <w:rsid w:val="59BBA4C1"/>
    <w:rsid w:val="5A112824"/>
    <w:rsid w:val="5AD98EC4"/>
    <w:rsid w:val="5B373B00"/>
    <w:rsid w:val="5C660678"/>
    <w:rsid w:val="5CC828BA"/>
    <w:rsid w:val="5D62E692"/>
    <w:rsid w:val="5D8FC461"/>
    <w:rsid w:val="5DE36C48"/>
    <w:rsid w:val="5EE054AD"/>
    <w:rsid w:val="5F03B61B"/>
    <w:rsid w:val="60374B68"/>
    <w:rsid w:val="604923BD"/>
    <w:rsid w:val="60FCE591"/>
    <w:rsid w:val="61402528"/>
    <w:rsid w:val="6152CCB1"/>
    <w:rsid w:val="6355DFE0"/>
    <w:rsid w:val="637608FD"/>
    <w:rsid w:val="64BCE719"/>
    <w:rsid w:val="656FF523"/>
    <w:rsid w:val="6691E6F1"/>
    <w:rsid w:val="67EB5DA7"/>
    <w:rsid w:val="688D3F40"/>
    <w:rsid w:val="6925C505"/>
    <w:rsid w:val="6B2B80BE"/>
    <w:rsid w:val="6B554C50"/>
    <w:rsid w:val="6B6F62C2"/>
    <w:rsid w:val="6BD57EF6"/>
    <w:rsid w:val="6BDCFB49"/>
    <w:rsid w:val="6CA7B01A"/>
    <w:rsid w:val="6CAC305A"/>
    <w:rsid w:val="6D85F70A"/>
    <w:rsid w:val="6D965874"/>
    <w:rsid w:val="6DB49B6A"/>
    <w:rsid w:val="6E10AE36"/>
    <w:rsid w:val="6E66AD2B"/>
    <w:rsid w:val="6E7755AA"/>
    <w:rsid w:val="6E8CED12"/>
    <w:rsid w:val="70814046"/>
    <w:rsid w:val="70EC3C2C"/>
    <w:rsid w:val="71120FA9"/>
    <w:rsid w:val="7166F920"/>
    <w:rsid w:val="71C48DD4"/>
    <w:rsid w:val="71D6E97C"/>
    <w:rsid w:val="72468ABB"/>
    <w:rsid w:val="7259682D"/>
    <w:rsid w:val="74AA8CBF"/>
    <w:rsid w:val="7620CD42"/>
    <w:rsid w:val="7648F06E"/>
    <w:rsid w:val="76F72DD4"/>
    <w:rsid w:val="774C4CAA"/>
    <w:rsid w:val="7758A52F"/>
    <w:rsid w:val="782888CE"/>
    <w:rsid w:val="7832346C"/>
    <w:rsid w:val="7833CF58"/>
    <w:rsid w:val="78543D9E"/>
    <w:rsid w:val="78B76DDF"/>
    <w:rsid w:val="790E69EE"/>
    <w:rsid w:val="799F2A57"/>
    <w:rsid w:val="79D4AA4D"/>
    <w:rsid w:val="79E66357"/>
    <w:rsid w:val="7A076AF0"/>
    <w:rsid w:val="7AD608E1"/>
    <w:rsid w:val="7B790C82"/>
    <w:rsid w:val="7B93F762"/>
    <w:rsid w:val="7C2E6D4D"/>
    <w:rsid w:val="7C814755"/>
    <w:rsid w:val="7D565F96"/>
    <w:rsid w:val="7E01EB9B"/>
    <w:rsid w:val="7E10CCCD"/>
    <w:rsid w:val="7F152C2D"/>
    <w:rsid w:val="7F4EFACF"/>
    <w:rsid w:val="7FD4E5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270D"/>
  <w15:docId w15:val="{2D89F4A9-E3D2-4703-BE73-45A86748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s-ES" w:eastAsia="es-CO"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E2C"/>
    <w:rPr>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66E2C"/>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Ttulo4Car">
    <w:name w:val="Título 4 Car"/>
    <w:basedOn w:val="Fuentedeprrafopredeter"/>
    <w:link w:val="Ttulo4"/>
    <w:uiPriority w:val="9"/>
    <w:rsid w:val="00E66E2C"/>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E66E2C"/>
    <w:pPr>
      <w:ind w:left="720"/>
      <w:contextualSpacing/>
    </w:pPr>
  </w:style>
  <w:style w:type="paragraph" w:styleId="NormalWeb">
    <w:name w:val="Normal (Web)"/>
    <w:basedOn w:val="Normal"/>
    <w:uiPriority w:val="99"/>
    <w:unhideWhenUsed/>
    <w:rsid w:val="006427CC"/>
    <w:pPr>
      <w:spacing w:before="100" w:beforeAutospacing="1" w:after="100" w:afterAutospacing="1" w:line="240" w:lineRule="auto"/>
      <w:jc w:val="left"/>
    </w:pPr>
    <w:rPr>
      <w:rFonts w:ascii="Times New Roman" w:eastAsia="Times New Roman" w:hAnsi="Times New Roman" w:cs="Times New Roman"/>
      <w:szCs w:val="24"/>
      <w:lang w:val="es-CO"/>
    </w:rPr>
  </w:style>
  <w:style w:type="paragraph" w:styleId="Encabezado">
    <w:name w:val="header"/>
    <w:basedOn w:val="Normal"/>
    <w:link w:val="EncabezadoCar"/>
    <w:uiPriority w:val="99"/>
    <w:unhideWhenUsed/>
    <w:rsid w:val="00E826C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26C9"/>
    <w:rPr>
      <w:rFonts w:ascii="Tahoma" w:eastAsia="Tahoma" w:hAnsi="Tahoma" w:cs="Tahoma"/>
      <w:szCs w:val="22"/>
      <w:lang w:val="es-ES" w:eastAsia="es-MX"/>
    </w:rPr>
  </w:style>
  <w:style w:type="paragraph" w:styleId="Piedepgina">
    <w:name w:val="footer"/>
    <w:basedOn w:val="Normal"/>
    <w:link w:val="PiedepginaCar"/>
    <w:uiPriority w:val="99"/>
    <w:unhideWhenUsed/>
    <w:rsid w:val="00E826C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26C9"/>
    <w:rPr>
      <w:rFonts w:ascii="Tahoma" w:eastAsia="Tahoma" w:hAnsi="Tahoma" w:cs="Tahoma"/>
      <w:szCs w:val="22"/>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Fuentedeprrafopredeter"/>
    <w:rsid w:val="00ED578B"/>
  </w:style>
  <w:style w:type="paragraph" w:customStyle="1" w:styleId="paragraph">
    <w:name w:val="paragraph"/>
    <w:basedOn w:val="Normal"/>
    <w:rsid w:val="00ED578B"/>
    <w:pPr>
      <w:spacing w:before="100" w:beforeAutospacing="1" w:after="100" w:afterAutospacing="1" w:line="240" w:lineRule="auto"/>
      <w:jc w:val="left"/>
    </w:pPr>
    <w:rPr>
      <w:rFonts w:ascii="Times New Roman" w:eastAsia="Times New Roman" w:hAnsi="Times New Roman" w:cs="Times New Roman"/>
      <w:szCs w:val="24"/>
      <w:lang w:val="es-CO" w:eastAsia="es-ES_tradnl"/>
    </w:rPr>
  </w:style>
  <w:style w:type="paragraph" w:customStyle="1" w:styleId="Prrafodelista2">
    <w:name w:val="Párrafo de lista2"/>
    <w:basedOn w:val="Normal"/>
    <w:rsid w:val="00ED578B"/>
    <w:pPr>
      <w:spacing w:after="200" w:line="276" w:lineRule="auto"/>
      <w:ind w:left="720"/>
      <w:contextualSpacing/>
      <w:jc w:val="left"/>
    </w:pPr>
    <w:rPr>
      <w:rFonts w:ascii="Calibri" w:eastAsia="Times New Roman" w:hAnsi="Calibri" w:cs="Times New Roman"/>
      <w:sz w:val="22"/>
      <w:lang w:val="es-CO" w:eastAsia="en-US"/>
    </w:rPr>
  </w:style>
  <w:style w:type="character" w:customStyle="1" w:styleId="eop">
    <w:name w:val="eop"/>
    <w:basedOn w:val="Fuentedeprrafopredeter"/>
    <w:rsid w:val="00C82EB2"/>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unhideWhenUsed/>
    <w:qFormat/>
    <w:rsid w:val="006161F0"/>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161F0"/>
    <w:rPr>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basedOn w:val="Fuentedeprrafopredeter"/>
    <w:uiPriority w:val="99"/>
    <w:unhideWhenUsed/>
    <w:qFormat/>
    <w:rsid w:val="006161F0"/>
    <w:rPr>
      <w:vertAlign w:val="superscript"/>
    </w:rPr>
  </w:style>
  <w:style w:type="table" w:styleId="Tablaconcuadrcula">
    <w:name w:val="Table Grid"/>
    <w:basedOn w:val="Tablanormal"/>
    <w:uiPriority w:val="39"/>
    <w:rsid w:val="001508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84EDD"/>
    <w:rPr>
      <w:color w:val="0563C1" w:themeColor="hyperlink"/>
      <w:u w:val="single"/>
    </w:rPr>
  </w:style>
  <w:style w:type="character" w:customStyle="1" w:styleId="UnresolvedMention">
    <w:name w:val="Unresolved Mention"/>
    <w:basedOn w:val="Fuentedeprrafopredeter"/>
    <w:uiPriority w:val="99"/>
    <w:rsid w:val="00784EDD"/>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21D5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80216">
      <w:bodyDiv w:val="1"/>
      <w:marLeft w:val="0"/>
      <w:marRight w:val="0"/>
      <w:marTop w:val="0"/>
      <w:marBottom w:val="0"/>
      <w:divBdr>
        <w:top w:val="none" w:sz="0" w:space="0" w:color="auto"/>
        <w:left w:val="none" w:sz="0" w:space="0" w:color="auto"/>
        <w:bottom w:val="none" w:sz="0" w:space="0" w:color="auto"/>
        <w:right w:val="none" w:sz="0" w:space="0" w:color="auto"/>
      </w:divBdr>
    </w:div>
    <w:div w:id="404645657">
      <w:bodyDiv w:val="1"/>
      <w:marLeft w:val="0"/>
      <w:marRight w:val="0"/>
      <w:marTop w:val="0"/>
      <w:marBottom w:val="0"/>
      <w:divBdr>
        <w:top w:val="none" w:sz="0" w:space="0" w:color="auto"/>
        <w:left w:val="none" w:sz="0" w:space="0" w:color="auto"/>
        <w:bottom w:val="none" w:sz="0" w:space="0" w:color="auto"/>
        <w:right w:val="none" w:sz="0" w:space="0" w:color="auto"/>
      </w:divBdr>
    </w:div>
    <w:div w:id="997609360">
      <w:bodyDiv w:val="1"/>
      <w:marLeft w:val="0"/>
      <w:marRight w:val="0"/>
      <w:marTop w:val="0"/>
      <w:marBottom w:val="0"/>
      <w:divBdr>
        <w:top w:val="none" w:sz="0" w:space="0" w:color="auto"/>
        <w:left w:val="none" w:sz="0" w:space="0" w:color="auto"/>
        <w:bottom w:val="none" w:sz="0" w:space="0" w:color="auto"/>
        <w:right w:val="none" w:sz="0" w:space="0" w:color="auto"/>
      </w:divBdr>
    </w:div>
    <w:div w:id="1157109474">
      <w:bodyDiv w:val="1"/>
      <w:marLeft w:val="0"/>
      <w:marRight w:val="0"/>
      <w:marTop w:val="0"/>
      <w:marBottom w:val="0"/>
      <w:divBdr>
        <w:top w:val="none" w:sz="0" w:space="0" w:color="auto"/>
        <w:left w:val="none" w:sz="0" w:space="0" w:color="auto"/>
        <w:bottom w:val="none" w:sz="0" w:space="0" w:color="auto"/>
        <w:right w:val="none" w:sz="0" w:space="0" w:color="auto"/>
      </w:divBdr>
    </w:div>
    <w:div w:id="1164471413">
      <w:bodyDiv w:val="1"/>
      <w:marLeft w:val="0"/>
      <w:marRight w:val="0"/>
      <w:marTop w:val="0"/>
      <w:marBottom w:val="0"/>
      <w:divBdr>
        <w:top w:val="none" w:sz="0" w:space="0" w:color="auto"/>
        <w:left w:val="none" w:sz="0" w:space="0" w:color="auto"/>
        <w:bottom w:val="none" w:sz="0" w:space="0" w:color="auto"/>
        <w:right w:val="none" w:sz="0" w:space="0" w:color="auto"/>
      </w:divBdr>
    </w:div>
    <w:div w:id="1237277854">
      <w:bodyDiv w:val="1"/>
      <w:marLeft w:val="0"/>
      <w:marRight w:val="0"/>
      <w:marTop w:val="0"/>
      <w:marBottom w:val="0"/>
      <w:divBdr>
        <w:top w:val="none" w:sz="0" w:space="0" w:color="auto"/>
        <w:left w:val="none" w:sz="0" w:space="0" w:color="auto"/>
        <w:bottom w:val="none" w:sz="0" w:space="0" w:color="auto"/>
        <w:right w:val="none" w:sz="0" w:space="0" w:color="auto"/>
      </w:divBdr>
    </w:div>
    <w:div w:id="1256285878">
      <w:bodyDiv w:val="1"/>
      <w:marLeft w:val="0"/>
      <w:marRight w:val="0"/>
      <w:marTop w:val="0"/>
      <w:marBottom w:val="0"/>
      <w:divBdr>
        <w:top w:val="none" w:sz="0" w:space="0" w:color="auto"/>
        <w:left w:val="none" w:sz="0" w:space="0" w:color="auto"/>
        <w:bottom w:val="none" w:sz="0" w:space="0" w:color="auto"/>
        <w:right w:val="none" w:sz="0" w:space="0" w:color="auto"/>
      </w:divBdr>
    </w:div>
    <w:div w:id="1310327260">
      <w:bodyDiv w:val="1"/>
      <w:marLeft w:val="0"/>
      <w:marRight w:val="0"/>
      <w:marTop w:val="0"/>
      <w:marBottom w:val="0"/>
      <w:divBdr>
        <w:top w:val="none" w:sz="0" w:space="0" w:color="auto"/>
        <w:left w:val="none" w:sz="0" w:space="0" w:color="auto"/>
        <w:bottom w:val="none" w:sz="0" w:space="0" w:color="auto"/>
        <w:right w:val="none" w:sz="0" w:space="0" w:color="auto"/>
      </w:divBdr>
    </w:div>
    <w:div w:id="1515193030">
      <w:bodyDiv w:val="1"/>
      <w:marLeft w:val="0"/>
      <w:marRight w:val="0"/>
      <w:marTop w:val="0"/>
      <w:marBottom w:val="0"/>
      <w:divBdr>
        <w:top w:val="none" w:sz="0" w:space="0" w:color="auto"/>
        <w:left w:val="none" w:sz="0" w:space="0" w:color="auto"/>
        <w:bottom w:val="none" w:sz="0" w:space="0" w:color="auto"/>
        <w:right w:val="none" w:sz="0" w:space="0" w:color="auto"/>
      </w:divBdr>
    </w:div>
    <w:div w:id="1918056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6c8af72fab114600" Type="http://schemas.microsoft.com/office/2020/10/relationships/intelligence" Target="intelligence2.xml"/><Relationship Id="Rf5dfcfe6af5e4ca9"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BZvYUK2cpxoaOLw1UkVpAlulbNg==">AMUW2mX96kHlnmn9sDjOsD8zwR8KQz+kl+EBXvLd/HVy/09u6kBdPNrMwHtU9X3uGTTAsxXyNq5trMHOraJJy9o8qK7C0x7ZpWTu7mMDmqJ+mXmKLb/46y4=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0D63A-6F5A-43DC-99E8-9FB9B9486B1B}">
  <ds:schemaRefs>
    <ds:schemaRef ds:uri="http://schemas.microsoft.com/sharepoint/v3/contenttype/forms"/>
  </ds:schemaRefs>
</ds:datastoreItem>
</file>

<file path=customXml/itemProps2.xml><?xml version="1.0" encoding="utf-8"?>
<ds:datastoreItem xmlns:ds="http://schemas.openxmlformats.org/officeDocument/2006/customXml" ds:itemID="{4515A298-B2C3-4E4D-BD18-8CFA63589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E96C5A4-F1CD-451F-9A74-F90DA663F1AF}">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5.xml><?xml version="1.0" encoding="utf-8"?>
<ds:datastoreItem xmlns:ds="http://schemas.openxmlformats.org/officeDocument/2006/customXml" ds:itemID="{F2E70152-608C-4554-BEA8-6875BE1F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7969</Words>
  <Characters>45427</Characters>
  <Application>Microsoft Office Word</Application>
  <DocSecurity>0</DocSecurity>
  <Lines>378</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15</cp:revision>
  <dcterms:created xsi:type="dcterms:W3CDTF">2023-09-21T15:19:00Z</dcterms:created>
  <dcterms:modified xsi:type="dcterms:W3CDTF">2023-11-01T17:04:00Z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