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CA8BD9" w14:textId="3442F7B1" w:rsidR="00D839A6" w:rsidRPr="00020722" w:rsidRDefault="00E454C7" w:rsidP="00E454C7">
      <w:pPr>
        <w:contextualSpacing/>
        <w:jc w:val="both"/>
        <w:rPr>
          <w:rFonts w:ascii="Arial" w:hAnsi="Arial" w:cs="Arial"/>
          <w:b/>
          <w:sz w:val="20"/>
          <w:szCs w:val="20"/>
          <w:lang w:val="es-419"/>
        </w:rPr>
      </w:pPr>
      <w:bookmarkStart w:id="0" w:name="_30j0zll" w:colFirst="0" w:colLast="0"/>
      <w:bookmarkStart w:id="1" w:name="_Hlk108635099"/>
      <w:bookmarkStart w:id="2" w:name="_Hlk111714860"/>
      <w:bookmarkEnd w:id="0"/>
      <w:r>
        <w:rPr>
          <w:rFonts w:ascii="Arial" w:hAnsi="Arial" w:cs="Arial"/>
          <w:b/>
          <w:sz w:val="20"/>
          <w:szCs w:val="20"/>
          <w:lang w:val="es-419"/>
        </w:rPr>
        <w:t>PENSIÓN DE INVALIDEZ / FECHA DE RECONOCIMIENTO / INFLUENCIA DE LAS INCAPACIDADES</w:t>
      </w:r>
    </w:p>
    <w:p w14:paraId="0863C686" w14:textId="57B536FD" w:rsidR="00D839A6" w:rsidRPr="008A5179" w:rsidRDefault="00020722" w:rsidP="00E454C7">
      <w:pPr>
        <w:contextualSpacing/>
        <w:jc w:val="both"/>
        <w:rPr>
          <w:rFonts w:ascii="Arial" w:hAnsi="Arial" w:cs="Arial"/>
          <w:sz w:val="20"/>
          <w:szCs w:val="20"/>
          <w:lang w:val="es-419"/>
        </w:rPr>
      </w:pPr>
      <w:r w:rsidRPr="00020722">
        <w:rPr>
          <w:rFonts w:ascii="Arial" w:hAnsi="Arial" w:cs="Arial"/>
          <w:sz w:val="20"/>
          <w:szCs w:val="20"/>
          <w:lang w:val="es-419"/>
        </w:rPr>
        <w:t xml:space="preserve">Con antelación a la sentencia CSJ </w:t>
      </w:r>
      <w:proofErr w:type="spellStart"/>
      <w:r w:rsidRPr="00020722">
        <w:rPr>
          <w:rFonts w:ascii="Arial" w:hAnsi="Arial" w:cs="Arial"/>
          <w:sz w:val="20"/>
          <w:szCs w:val="20"/>
          <w:lang w:val="es-419"/>
        </w:rPr>
        <w:t>SL</w:t>
      </w:r>
      <w:proofErr w:type="spellEnd"/>
      <w:r w:rsidRPr="00020722">
        <w:rPr>
          <w:rFonts w:ascii="Arial" w:hAnsi="Arial" w:cs="Arial"/>
          <w:sz w:val="20"/>
          <w:szCs w:val="20"/>
          <w:lang w:val="es-419"/>
        </w:rPr>
        <w:t xml:space="preserve"> 5170 de 2021 era prolija la jurisprudencia de la Corte Suprema de justicia respecto de que la pensión de invalidez debía reconocerse desde el mismo momento en que se generó el estado invalidante de la persona, esto es desde la fecha de estructuración, pues el artículo 39 de la Ley 100 de 1993 no estableció ninguna condición para que su otorgamiento lo fuera a partir de ese momento, por lo que el pago de un subsidio por incapacidades temporales no podía disminuir, ni afectar el estado de invalidez</w:t>
      </w:r>
      <w:r>
        <w:rPr>
          <w:rFonts w:ascii="Arial" w:hAnsi="Arial" w:cs="Arial"/>
          <w:sz w:val="20"/>
          <w:szCs w:val="20"/>
          <w:lang w:val="es-419"/>
        </w:rPr>
        <w:t>…</w:t>
      </w:r>
    </w:p>
    <w:p w14:paraId="76C3A91D" w14:textId="77777777" w:rsidR="00D839A6" w:rsidRPr="008A5179" w:rsidRDefault="00D839A6" w:rsidP="00E454C7">
      <w:pPr>
        <w:contextualSpacing/>
        <w:jc w:val="both"/>
        <w:rPr>
          <w:rFonts w:ascii="Arial" w:hAnsi="Arial" w:cs="Arial"/>
          <w:sz w:val="20"/>
          <w:szCs w:val="20"/>
          <w:lang w:val="es-419"/>
        </w:rPr>
      </w:pPr>
    </w:p>
    <w:p w14:paraId="470E0442" w14:textId="2CF48F52" w:rsidR="00E454C7" w:rsidRPr="00020722" w:rsidRDefault="00E454C7" w:rsidP="00E454C7">
      <w:pPr>
        <w:contextualSpacing/>
        <w:jc w:val="both"/>
        <w:rPr>
          <w:rFonts w:ascii="Arial" w:hAnsi="Arial" w:cs="Arial"/>
          <w:b/>
          <w:sz w:val="20"/>
          <w:szCs w:val="20"/>
          <w:lang w:val="es-419"/>
        </w:rPr>
      </w:pPr>
      <w:r>
        <w:rPr>
          <w:rFonts w:ascii="Arial" w:hAnsi="Arial" w:cs="Arial"/>
          <w:b/>
          <w:sz w:val="20"/>
          <w:szCs w:val="20"/>
          <w:lang w:val="es-419"/>
        </w:rPr>
        <w:t xml:space="preserve">PENSIÓN DE INVALIDEZ / FECHA DE RECONOCIMIENTO / </w:t>
      </w:r>
      <w:r w:rsidR="006A7E81">
        <w:rPr>
          <w:rFonts w:ascii="Arial" w:hAnsi="Arial" w:cs="Arial"/>
          <w:b/>
          <w:sz w:val="20"/>
          <w:szCs w:val="20"/>
          <w:lang w:val="es-419"/>
        </w:rPr>
        <w:t>EVOLUCIÓN JURISPRUDENCIAL</w:t>
      </w:r>
    </w:p>
    <w:p w14:paraId="4B3BC4B5" w14:textId="27E963AE" w:rsidR="00D839A6" w:rsidRPr="006A7E81" w:rsidRDefault="00B878AA" w:rsidP="006A7E81">
      <w:pPr>
        <w:contextualSpacing/>
        <w:jc w:val="both"/>
        <w:rPr>
          <w:rFonts w:ascii="Arial" w:hAnsi="Arial" w:cs="Arial"/>
          <w:sz w:val="20"/>
          <w:szCs w:val="20"/>
          <w:lang w:val="es-419"/>
        </w:rPr>
      </w:pPr>
      <w:r w:rsidRPr="00B878AA">
        <w:rPr>
          <w:rFonts w:ascii="Arial" w:hAnsi="Arial" w:cs="Arial"/>
          <w:sz w:val="20"/>
          <w:szCs w:val="20"/>
          <w:lang w:val="es-419"/>
        </w:rPr>
        <w:t>Sin embargo, a partir de dicha sentencia, ratificó la necesidad de la incompatibilidad, con el objeto de que no haya un doble cobro al sistema general de pensiones y de salud, pues el riesgo cubierto con la incapacidad temporal y la pensión de invalidez no es la alteración de la salud, sino la incidencia de tal acontecimiento en la disminución del ingreso o ganancia</w:t>
      </w:r>
      <w:r>
        <w:rPr>
          <w:rFonts w:ascii="Arial" w:hAnsi="Arial" w:cs="Arial"/>
          <w:sz w:val="20"/>
          <w:szCs w:val="20"/>
          <w:lang w:val="es-419"/>
        </w:rPr>
        <w:t>…</w:t>
      </w:r>
      <w:r w:rsidR="006A7E81">
        <w:rPr>
          <w:rFonts w:ascii="Arial" w:hAnsi="Arial" w:cs="Arial"/>
          <w:sz w:val="20"/>
          <w:szCs w:val="20"/>
          <w:lang w:val="es-419"/>
        </w:rPr>
        <w:t xml:space="preserve"> </w:t>
      </w:r>
      <w:r w:rsidR="006A7E81" w:rsidRPr="006A7E81">
        <w:rPr>
          <w:rFonts w:ascii="Arial" w:hAnsi="Arial" w:cs="Arial"/>
          <w:sz w:val="20"/>
          <w:szCs w:val="20"/>
          <w:lang w:val="es-419"/>
        </w:rPr>
        <w:t>Con base en todo lo anterior, el máximo órgano de cierre varió el precedente judicial, para establecer como r</w:t>
      </w:r>
      <w:r w:rsidR="006A7E81">
        <w:rPr>
          <w:rFonts w:ascii="Arial" w:hAnsi="Arial" w:cs="Arial"/>
          <w:sz w:val="20"/>
          <w:szCs w:val="20"/>
          <w:lang w:val="es-419"/>
        </w:rPr>
        <w:t>egla de decisión, la siguiente: (…) “</w:t>
      </w:r>
      <w:r w:rsidR="006A7E81" w:rsidRPr="006A7E81">
        <w:rPr>
          <w:rFonts w:ascii="Arial" w:hAnsi="Arial" w:cs="Arial"/>
          <w:sz w:val="20"/>
          <w:szCs w:val="20"/>
          <w:lang w:val="es-419"/>
        </w:rPr>
        <w:t>La Sala considera necesario precisar su doctrina, en el sentido de señalar que cuando existen subsidios por incapacidad temporal, continuos o discontinuos, con posterioridad a la fecha de estructuración del estado de invalidez, las mesadas pensionales se comenzarán a pagar sólo a partir del momento en que expire el derecho a la última incapacidad, postura con la cual queda rectificada y delineada su posición con relación a criterios anteriores que le hubieren sido contrarios</w:t>
      </w:r>
      <w:r w:rsidR="006A7E81">
        <w:rPr>
          <w:rFonts w:ascii="Arial" w:hAnsi="Arial" w:cs="Arial"/>
          <w:sz w:val="20"/>
          <w:szCs w:val="20"/>
          <w:lang w:val="es-419"/>
        </w:rPr>
        <w:t>…”</w:t>
      </w:r>
    </w:p>
    <w:p w14:paraId="4EF6214E" w14:textId="77777777" w:rsidR="00D839A6" w:rsidRPr="008A5179" w:rsidRDefault="00D839A6" w:rsidP="00E454C7">
      <w:pPr>
        <w:contextualSpacing/>
        <w:jc w:val="both"/>
        <w:rPr>
          <w:rFonts w:ascii="Arial" w:hAnsi="Arial" w:cs="Arial"/>
          <w:sz w:val="20"/>
          <w:szCs w:val="20"/>
          <w:lang w:val="es-419"/>
        </w:rPr>
      </w:pPr>
    </w:p>
    <w:p w14:paraId="5ADCC246" w14:textId="5CF71B6F" w:rsidR="006A7E81" w:rsidRPr="006A7E81" w:rsidRDefault="006A7E81" w:rsidP="006A7E81">
      <w:pPr>
        <w:jc w:val="both"/>
        <w:rPr>
          <w:rFonts w:ascii="Arial" w:hAnsi="Arial" w:cs="Arial"/>
          <w:b/>
          <w:sz w:val="20"/>
          <w:szCs w:val="20"/>
          <w:lang w:val="es-419" w:eastAsia="es-ES"/>
        </w:rPr>
      </w:pPr>
      <w:r w:rsidRPr="006A7E81">
        <w:rPr>
          <w:rFonts w:ascii="Arial" w:hAnsi="Arial" w:cs="Arial"/>
          <w:b/>
          <w:bCs/>
          <w:iCs/>
          <w:sz w:val="20"/>
          <w:szCs w:val="20"/>
          <w:lang w:val="es-CO" w:eastAsia="fr-FR"/>
        </w:rPr>
        <w:t xml:space="preserve">PENSIÓN DE SOBREVIVIENTES / </w:t>
      </w:r>
      <w:r w:rsidRPr="006A7E81">
        <w:rPr>
          <w:rFonts w:ascii="Arial" w:hAnsi="Arial" w:cs="Arial"/>
          <w:b/>
          <w:sz w:val="20"/>
          <w:szCs w:val="20"/>
          <w:lang w:val="es-419" w:eastAsia="es-ES"/>
        </w:rPr>
        <w:t>INTERESES DE MORA</w:t>
      </w:r>
      <w:r w:rsidRPr="006A7E81">
        <w:rPr>
          <w:rFonts w:ascii="Arial" w:hAnsi="Arial" w:cs="Arial"/>
          <w:b/>
          <w:bCs/>
          <w:iCs/>
          <w:sz w:val="20"/>
          <w:szCs w:val="20"/>
          <w:lang w:val="es-CO" w:eastAsia="fr-FR"/>
        </w:rPr>
        <w:t xml:space="preserve"> / CARÁCTER </w:t>
      </w:r>
      <w:r w:rsidRPr="006A7E81">
        <w:rPr>
          <w:rFonts w:ascii="Arial" w:hAnsi="Arial" w:cs="Arial"/>
          <w:b/>
          <w:sz w:val="20"/>
          <w:szCs w:val="20"/>
          <w:lang w:val="es-419" w:eastAsia="es-ES"/>
        </w:rPr>
        <w:t>RESARCITORIO</w:t>
      </w:r>
    </w:p>
    <w:p w14:paraId="6215DA09" w14:textId="4687DFC2" w:rsidR="006A7E81" w:rsidRPr="006A7E81" w:rsidRDefault="006A7E81" w:rsidP="006A7E81">
      <w:pPr>
        <w:jc w:val="both"/>
        <w:rPr>
          <w:rFonts w:ascii="Arial" w:hAnsi="Arial" w:cs="Arial"/>
          <w:sz w:val="20"/>
          <w:szCs w:val="20"/>
          <w:lang w:val="es-419" w:eastAsia="es-ES"/>
        </w:rPr>
      </w:pPr>
      <w:r w:rsidRPr="006A7E81">
        <w:rPr>
          <w:rFonts w:ascii="Arial" w:hAnsi="Arial" w:cs="Arial"/>
          <w:sz w:val="20"/>
          <w:szCs w:val="20"/>
          <w:lang w:val="es-419" w:eastAsia="es-ES"/>
        </w:rPr>
        <w:t xml:space="preserve">Señala el artículo 141 de la ley 100 de 1993, que “a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 La norma en comento opera como un mecanismo resarcitorio que se activa ante la tardanza en el pago de las mesadas pensionales derivadas de los riesgos de invalidez, vejez y muerte… </w:t>
      </w:r>
    </w:p>
    <w:p w14:paraId="53688719" w14:textId="262B4D09" w:rsidR="00D839A6" w:rsidRDefault="00D839A6" w:rsidP="00E454C7">
      <w:pPr>
        <w:contextualSpacing/>
        <w:jc w:val="both"/>
        <w:rPr>
          <w:rFonts w:ascii="Arial" w:hAnsi="Arial" w:cs="Arial"/>
          <w:sz w:val="20"/>
          <w:szCs w:val="20"/>
          <w:lang w:val="es-419"/>
        </w:rPr>
      </w:pPr>
    </w:p>
    <w:p w14:paraId="39DF6ED9" w14:textId="29EAD2D8" w:rsidR="00194D3E" w:rsidRPr="006A7E81" w:rsidRDefault="00194D3E" w:rsidP="00194D3E">
      <w:pPr>
        <w:jc w:val="both"/>
        <w:rPr>
          <w:rFonts w:ascii="Arial" w:hAnsi="Arial" w:cs="Arial"/>
          <w:b/>
          <w:sz w:val="20"/>
          <w:szCs w:val="20"/>
          <w:lang w:val="es-419" w:eastAsia="es-ES"/>
        </w:rPr>
      </w:pPr>
      <w:r w:rsidRPr="006A7E81">
        <w:rPr>
          <w:rFonts w:ascii="Arial" w:hAnsi="Arial" w:cs="Arial"/>
          <w:b/>
          <w:bCs/>
          <w:iCs/>
          <w:sz w:val="20"/>
          <w:szCs w:val="20"/>
          <w:lang w:val="es-CO" w:eastAsia="fr-FR"/>
        </w:rPr>
        <w:t xml:space="preserve">PENSIÓN DE SOBREVIVIENTES / </w:t>
      </w:r>
      <w:r w:rsidR="003A7760">
        <w:rPr>
          <w:rFonts w:ascii="Arial" w:hAnsi="Arial" w:cs="Arial"/>
          <w:b/>
          <w:bCs/>
          <w:iCs/>
          <w:sz w:val="20"/>
          <w:szCs w:val="20"/>
          <w:lang w:val="es-CO" w:eastAsia="fr-FR"/>
        </w:rPr>
        <w:t xml:space="preserve">PRESTACIÓN POST MORTEM </w:t>
      </w:r>
      <w:r w:rsidR="003A7760" w:rsidRPr="006A7E81">
        <w:rPr>
          <w:rFonts w:ascii="Arial" w:hAnsi="Arial" w:cs="Arial"/>
          <w:b/>
          <w:bCs/>
          <w:iCs/>
          <w:sz w:val="20"/>
          <w:szCs w:val="20"/>
          <w:lang w:val="es-CO" w:eastAsia="fr-FR"/>
        </w:rPr>
        <w:t xml:space="preserve">/ </w:t>
      </w:r>
      <w:r w:rsidR="003A7760" w:rsidRPr="006A7E81">
        <w:rPr>
          <w:rFonts w:ascii="Arial" w:hAnsi="Arial" w:cs="Arial"/>
          <w:b/>
          <w:sz w:val="20"/>
          <w:szCs w:val="20"/>
          <w:lang w:val="es-419" w:eastAsia="es-ES"/>
        </w:rPr>
        <w:t>INTERESES DE MORA</w:t>
      </w:r>
      <w:r w:rsidR="003A7760" w:rsidRPr="006A7E81">
        <w:rPr>
          <w:rFonts w:ascii="Arial" w:hAnsi="Arial" w:cs="Arial"/>
          <w:b/>
          <w:bCs/>
          <w:iCs/>
          <w:sz w:val="20"/>
          <w:szCs w:val="20"/>
          <w:lang w:val="es-CO" w:eastAsia="fr-FR"/>
        </w:rPr>
        <w:t xml:space="preserve"> </w:t>
      </w:r>
      <w:r w:rsidR="003A7760">
        <w:rPr>
          <w:rFonts w:ascii="Arial" w:hAnsi="Arial" w:cs="Arial"/>
          <w:b/>
          <w:bCs/>
          <w:iCs/>
          <w:sz w:val="20"/>
          <w:szCs w:val="20"/>
          <w:lang w:val="es-CO" w:eastAsia="fr-FR"/>
        </w:rPr>
        <w:t>/ NO PROCEDEN</w:t>
      </w:r>
    </w:p>
    <w:p w14:paraId="66370BE3" w14:textId="7CD79C31" w:rsidR="006A7E81" w:rsidRDefault="00194D3E" w:rsidP="00E454C7">
      <w:pPr>
        <w:contextualSpacing/>
        <w:jc w:val="both"/>
        <w:rPr>
          <w:rFonts w:ascii="Arial" w:hAnsi="Arial" w:cs="Arial"/>
          <w:sz w:val="20"/>
          <w:szCs w:val="20"/>
          <w:lang w:val="es-419"/>
        </w:rPr>
      </w:pPr>
      <w:r>
        <w:rPr>
          <w:rFonts w:ascii="Arial" w:hAnsi="Arial" w:cs="Arial"/>
          <w:sz w:val="20"/>
          <w:szCs w:val="20"/>
          <w:lang w:val="es-419"/>
        </w:rPr>
        <w:t xml:space="preserve">… </w:t>
      </w:r>
      <w:r w:rsidRPr="00194D3E">
        <w:rPr>
          <w:rFonts w:ascii="Arial" w:hAnsi="Arial" w:cs="Arial"/>
          <w:sz w:val="20"/>
          <w:szCs w:val="20"/>
          <w:lang w:val="es-419"/>
        </w:rPr>
        <w:t>teniendo en cuenta que dicha prestación se reconoció post mortem y que los intereses del artículo 141 de la Ley 100 de 1993 solo se causan por el pago insoluto o deficitario de la mesada pensional su reconocimiento solo era factible si la mora hubiera acaecido en vida del pensionado y hasta la muerte del mismo, hecho que no ocurrió, pues el señor Guillermo Ayala Duque no elevó solicitud de pensión. Así teniendo en cuenta que la pensión post</w:t>
      </w:r>
      <w:r w:rsidR="003A7760">
        <w:rPr>
          <w:rFonts w:ascii="Arial" w:hAnsi="Arial" w:cs="Arial"/>
          <w:sz w:val="20"/>
          <w:szCs w:val="20"/>
          <w:lang w:val="es-419"/>
        </w:rPr>
        <w:t xml:space="preserve"> </w:t>
      </w:r>
      <w:r w:rsidRPr="00194D3E">
        <w:rPr>
          <w:rFonts w:ascii="Arial" w:hAnsi="Arial" w:cs="Arial"/>
          <w:sz w:val="20"/>
          <w:szCs w:val="20"/>
          <w:lang w:val="es-419"/>
        </w:rPr>
        <w:t xml:space="preserve">mortem reconocida para los herederos no tiene connotación de mesada pensional, sino de una obligación crediticia que integra la masa </w:t>
      </w:r>
      <w:proofErr w:type="spellStart"/>
      <w:r w:rsidRPr="00194D3E">
        <w:rPr>
          <w:rFonts w:ascii="Arial" w:hAnsi="Arial" w:cs="Arial"/>
          <w:sz w:val="20"/>
          <w:szCs w:val="20"/>
          <w:lang w:val="es-419"/>
        </w:rPr>
        <w:t>sucesoral</w:t>
      </w:r>
      <w:proofErr w:type="spellEnd"/>
      <w:r w:rsidRPr="00194D3E">
        <w:rPr>
          <w:rFonts w:ascii="Arial" w:hAnsi="Arial" w:cs="Arial"/>
          <w:sz w:val="20"/>
          <w:szCs w:val="20"/>
          <w:lang w:val="es-419"/>
        </w:rPr>
        <w:t xml:space="preserve"> no es plausible el reconocimiento de los intereses pretendidos. Por lo anterior, en sede de consulta se revocará el numeral cuarto de la sentencia que condenó a la Administradora Colombiana de Pensiones a pagar los intereses moratorios, y en su lugar se dispondrá el pago del retroactivo debidamente indexado a la fecha de pago.</w:t>
      </w:r>
    </w:p>
    <w:p w14:paraId="21E60868" w14:textId="77777777" w:rsidR="006A7E81" w:rsidRPr="008A5179" w:rsidRDefault="006A7E81" w:rsidP="00E454C7">
      <w:pPr>
        <w:contextualSpacing/>
        <w:jc w:val="both"/>
        <w:rPr>
          <w:rFonts w:ascii="Arial" w:hAnsi="Arial" w:cs="Arial"/>
          <w:sz w:val="20"/>
          <w:szCs w:val="20"/>
          <w:lang w:val="es-419"/>
        </w:rPr>
      </w:pPr>
    </w:p>
    <w:p w14:paraId="6C13BB25" w14:textId="4EB42C86" w:rsidR="00D839A6" w:rsidRDefault="00D839A6" w:rsidP="00E454C7">
      <w:pPr>
        <w:contextualSpacing/>
        <w:jc w:val="both"/>
        <w:rPr>
          <w:rFonts w:ascii="Arial" w:hAnsi="Arial" w:cs="Arial"/>
          <w:sz w:val="20"/>
          <w:szCs w:val="20"/>
          <w:lang w:val="es-419"/>
        </w:rPr>
      </w:pPr>
    </w:p>
    <w:p w14:paraId="711CE50C" w14:textId="77777777" w:rsidR="003A7760" w:rsidRPr="008A5179" w:rsidRDefault="003A7760" w:rsidP="00E454C7">
      <w:pPr>
        <w:contextualSpacing/>
        <w:jc w:val="both"/>
        <w:rPr>
          <w:rFonts w:ascii="Arial" w:hAnsi="Arial" w:cs="Arial"/>
          <w:sz w:val="20"/>
          <w:szCs w:val="20"/>
          <w:lang w:val="es-419"/>
        </w:rPr>
      </w:pPr>
    </w:p>
    <w:p w14:paraId="41E7E8E8" w14:textId="1C741313" w:rsidR="008C0B82" w:rsidRPr="00D839A6" w:rsidRDefault="00B00BC8" w:rsidP="00D839A6">
      <w:pPr>
        <w:contextualSpacing/>
        <w:rPr>
          <w:rFonts w:ascii="Arial" w:hAnsi="Arial" w:cs="Arial"/>
          <w:sz w:val="20"/>
          <w:szCs w:val="20"/>
          <w:lang w:val="es-419"/>
        </w:rPr>
      </w:pPr>
      <w:r w:rsidRPr="00D839A6">
        <w:rPr>
          <w:rFonts w:ascii="Arial" w:hAnsi="Arial" w:cs="Arial"/>
          <w:sz w:val="20"/>
          <w:szCs w:val="20"/>
          <w:lang w:val="es-419"/>
        </w:rPr>
        <w:t>Radicación No.:</w:t>
      </w:r>
      <w:r w:rsidRPr="00D839A6">
        <w:rPr>
          <w:rFonts w:ascii="Arial" w:hAnsi="Arial" w:cs="Arial"/>
          <w:sz w:val="20"/>
          <w:szCs w:val="20"/>
          <w:lang w:val="es-419"/>
        </w:rPr>
        <w:tab/>
      </w:r>
      <w:r w:rsidRPr="00D839A6">
        <w:rPr>
          <w:rFonts w:ascii="Arial" w:hAnsi="Arial" w:cs="Arial"/>
          <w:sz w:val="20"/>
          <w:szCs w:val="20"/>
          <w:lang w:val="es-419"/>
        </w:rPr>
        <w:tab/>
      </w:r>
      <w:bookmarkStart w:id="3" w:name="_GoBack"/>
      <w:r w:rsidRPr="00D839A6">
        <w:rPr>
          <w:rFonts w:ascii="Arial" w:hAnsi="Arial" w:cs="Arial"/>
          <w:sz w:val="20"/>
          <w:szCs w:val="20"/>
          <w:lang w:val="es-419"/>
        </w:rPr>
        <w:t>66001310500</w:t>
      </w:r>
      <w:r w:rsidR="00827BB7" w:rsidRPr="00D839A6">
        <w:rPr>
          <w:rFonts w:ascii="Arial" w:hAnsi="Arial" w:cs="Arial"/>
          <w:sz w:val="20"/>
          <w:szCs w:val="20"/>
          <w:lang w:val="es-419"/>
        </w:rPr>
        <w:t>3</w:t>
      </w:r>
      <w:r w:rsidRPr="00D839A6">
        <w:rPr>
          <w:rFonts w:ascii="Arial" w:hAnsi="Arial" w:cs="Arial"/>
          <w:sz w:val="20"/>
          <w:szCs w:val="20"/>
          <w:lang w:val="es-419"/>
        </w:rPr>
        <w:t>20</w:t>
      </w:r>
      <w:r w:rsidR="00E10380" w:rsidRPr="00D839A6">
        <w:rPr>
          <w:rFonts w:ascii="Arial" w:hAnsi="Arial" w:cs="Arial"/>
          <w:sz w:val="20"/>
          <w:szCs w:val="20"/>
          <w:lang w:val="es-419"/>
        </w:rPr>
        <w:t>2</w:t>
      </w:r>
      <w:r w:rsidR="00827BB7" w:rsidRPr="00D839A6">
        <w:rPr>
          <w:rFonts w:ascii="Arial" w:hAnsi="Arial" w:cs="Arial"/>
          <w:sz w:val="20"/>
          <w:szCs w:val="20"/>
          <w:lang w:val="es-419"/>
        </w:rPr>
        <w:t>1</w:t>
      </w:r>
      <w:r w:rsidRPr="00D839A6">
        <w:rPr>
          <w:rFonts w:ascii="Arial" w:hAnsi="Arial" w:cs="Arial"/>
          <w:sz w:val="20"/>
          <w:szCs w:val="20"/>
          <w:lang w:val="es-419"/>
        </w:rPr>
        <w:t>00</w:t>
      </w:r>
      <w:r w:rsidR="00827BB7" w:rsidRPr="00D839A6">
        <w:rPr>
          <w:rFonts w:ascii="Arial" w:hAnsi="Arial" w:cs="Arial"/>
          <w:sz w:val="20"/>
          <w:szCs w:val="20"/>
          <w:lang w:val="es-419"/>
        </w:rPr>
        <w:t>065</w:t>
      </w:r>
      <w:r w:rsidRPr="00D839A6">
        <w:rPr>
          <w:rFonts w:ascii="Arial" w:hAnsi="Arial" w:cs="Arial"/>
          <w:sz w:val="20"/>
          <w:szCs w:val="20"/>
          <w:lang w:val="es-419"/>
        </w:rPr>
        <w:t>01</w:t>
      </w:r>
      <w:bookmarkEnd w:id="3"/>
    </w:p>
    <w:p w14:paraId="78DEEE5C" w14:textId="77777777" w:rsidR="008C0B82" w:rsidRPr="00D839A6" w:rsidRDefault="00B00BC8" w:rsidP="00D839A6">
      <w:pPr>
        <w:contextualSpacing/>
        <w:rPr>
          <w:rFonts w:ascii="Arial" w:hAnsi="Arial" w:cs="Arial"/>
          <w:sz w:val="20"/>
          <w:szCs w:val="20"/>
          <w:lang w:val="es-419"/>
        </w:rPr>
      </w:pPr>
      <w:r w:rsidRPr="00D839A6">
        <w:rPr>
          <w:rFonts w:ascii="Arial" w:hAnsi="Arial" w:cs="Arial"/>
          <w:sz w:val="20"/>
          <w:szCs w:val="20"/>
          <w:lang w:val="es-419"/>
        </w:rPr>
        <w:t>Proceso:</w:t>
      </w:r>
      <w:r w:rsidRPr="00D839A6">
        <w:rPr>
          <w:rFonts w:ascii="Arial" w:hAnsi="Arial" w:cs="Arial"/>
          <w:sz w:val="20"/>
          <w:szCs w:val="20"/>
          <w:lang w:val="es-419"/>
        </w:rPr>
        <w:tab/>
      </w:r>
      <w:r w:rsidRPr="00D839A6">
        <w:rPr>
          <w:rFonts w:ascii="Arial" w:hAnsi="Arial" w:cs="Arial"/>
          <w:sz w:val="20"/>
          <w:szCs w:val="20"/>
          <w:lang w:val="es-419"/>
        </w:rPr>
        <w:tab/>
        <w:t>Ordinario laboral</w:t>
      </w:r>
    </w:p>
    <w:p w14:paraId="1B6B36B6" w14:textId="70B7F877" w:rsidR="008C0B82" w:rsidRPr="00D839A6" w:rsidRDefault="00B00BC8" w:rsidP="00D839A6">
      <w:pPr>
        <w:contextualSpacing/>
        <w:rPr>
          <w:rFonts w:ascii="Arial" w:hAnsi="Arial" w:cs="Arial"/>
          <w:sz w:val="20"/>
          <w:szCs w:val="20"/>
          <w:lang w:val="es-419"/>
        </w:rPr>
      </w:pPr>
      <w:r w:rsidRPr="00D839A6">
        <w:rPr>
          <w:rFonts w:ascii="Arial" w:hAnsi="Arial" w:cs="Arial"/>
          <w:sz w:val="20"/>
          <w:szCs w:val="20"/>
          <w:lang w:val="es-419"/>
        </w:rPr>
        <w:t>Demandante:</w:t>
      </w:r>
      <w:r w:rsidRPr="00D839A6">
        <w:rPr>
          <w:rFonts w:ascii="Arial" w:hAnsi="Arial" w:cs="Arial"/>
          <w:sz w:val="20"/>
          <w:szCs w:val="20"/>
          <w:lang w:val="es-419"/>
        </w:rPr>
        <w:tab/>
      </w:r>
      <w:r w:rsidRPr="00D839A6">
        <w:rPr>
          <w:rFonts w:ascii="Arial" w:hAnsi="Arial" w:cs="Arial"/>
          <w:sz w:val="20"/>
          <w:szCs w:val="20"/>
          <w:lang w:val="es-419"/>
        </w:rPr>
        <w:tab/>
      </w:r>
      <w:r w:rsidR="00F52FFB" w:rsidRPr="00D839A6">
        <w:rPr>
          <w:rFonts w:ascii="Arial" w:hAnsi="Arial" w:cs="Arial"/>
          <w:sz w:val="20"/>
          <w:szCs w:val="20"/>
          <w:lang w:val="es-419"/>
        </w:rPr>
        <w:t>A</w:t>
      </w:r>
      <w:r w:rsidR="00827BB7" w:rsidRPr="00D839A6">
        <w:rPr>
          <w:rFonts w:ascii="Arial" w:hAnsi="Arial" w:cs="Arial"/>
          <w:sz w:val="20"/>
          <w:szCs w:val="20"/>
          <w:lang w:val="es-419"/>
        </w:rPr>
        <w:t>na Rita Rodríguez de Ayala</w:t>
      </w:r>
    </w:p>
    <w:p w14:paraId="7B1E9E2F" w14:textId="44AABFB1" w:rsidR="008C0B82" w:rsidRPr="00D839A6" w:rsidRDefault="00B00BC8" w:rsidP="00D839A6">
      <w:pPr>
        <w:contextualSpacing/>
        <w:rPr>
          <w:rFonts w:ascii="Arial" w:hAnsi="Arial" w:cs="Arial"/>
          <w:sz w:val="20"/>
          <w:szCs w:val="20"/>
          <w:lang w:val="es-419"/>
        </w:rPr>
      </w:pPr>
      <w:r w:rsidRPr="00D839A6">
        <w:rPr>
          <w:rFonts w:ascii="Arial" w:hAnsi="Arial" w:cs="Arial"/>
          <w:sz w:val="20"/>
          <w:szCs w:val="20"/>
          <w:lang w:val="es-419"/>
        </w:rPr>
        <w:t>Demandado:</w:t>
      </w:r>
      <w:r w:rsidRPr="00D839A6">
        <w:rPr>
          <w:rFonts w:ascii="Arial" w:hAnsi="Arial" w:cs="Arial"/>
          <w:sz w:val="20"/>
          <w:szCs w:val="20"/>
          <w:lang w:val="es-419"/>
        </w:rPr>
        <w:tab/>
      </w:r>
      <w:r w:rsidRPr="00D839A6">
        <w:rPr>
          <w:rFonts w:ascii="Arial" w:hAnsi="Arial" w:cs="Arial"/>
          <w:sz w:val="20"/>
          <w:szCs w:val="20"/>
          <w:lang w:val="es-419"/>
        </w:rPr>
        <w:tab/>
      </w:r>
      <w:r w:rsidR="009509D0" w:rsidRPr="00D839A6">
        <w:rPr>
          <w:rFonts w:ascii="Arial" w:hAnsi="Arial" w:cs="Arial"/>
          <w:sz w:val="20"/>
          <w:szCs w:val="20"/>
          <w:lang w:val="es-419"/>
        </w:rPr>
        <w:t>Colpensiones</w:t>
      </w:r>
    </w:p>
    <w:p w14:paraId="60A76882" w14:textId="1B316EED" w:rsidR="008C0B82" w:rsidRPr="00D839A6" w:rsidRDefault="00B00BC8" w:rsidP="00D839A6">
      <w:pPr>
        <w:contextualSpacing/>
        <w:rPr>
          <w:rFonts w:ascii="Arial" w:hAnsi="Arial" w:cs="Arial"/>
          <w:sz w:val="20"/>
          <w:szCs w:val="20"/>
          <w:lang w:val="es-419"/>
        </w:rPr>
      </w:pPr>
      <w:r w:rsidRPr="00D839A6">
        <w:rPr>
          <w:rFonts w:ascii="Arial" w:hAnsi="Arial" w:cs="Arial"/>
          <w:sz w:val="20"/>
          <w:szCs w:val="20"/>
          <w:lang w:val="es-419"/>
        </w:rPr>
        <w:t xml:space="preserve">Juzgado de origen: </w:t>
      </w:r>
      <w:r w:rsidRPr="00D839A6">
        <w:rPr>
          <w:rFonts w:ascii="Arial" w:hAnsi="Arial" w:cs="Arial"/>
          <w:sz w:val="20"/>
          <w:szCs w:val="20"/>
          <w:lang w:val="es-419"/>
        </w:rPr>
        <w:tab/>
      </w:r>
      <w:r w:rsidR="0A824033" w:rsidRPr="00D839A6">
        <w:rPr>
          <w:rFonts w:ascii="Arial" w:hAnsi="Arial" w:cs="Arial"/>
          <w:sz w:val="20"/>
          <w:szCs w:val="20"/>
          <w:lang w:val="es-419"/>
        </w:rPr>
        <w:t xml:space="preserve">Tercero </w:t>
      </w:r>
      <w:r w:rsidRPr="00D839A6">
        <w:rPr>
          <w:rFonts w:ascii="Arial" w:hAnsi="Arial" w:cs="Arial"/>
          <w:sz w:val="20"/>
          <w:szCs w:val="20"/>
          <w:lang w:val="es-419"/>
        </w:rPr>
        <w:t xml:space="preserve">Laboral del Circuito de Pereira.  </w:t>
      </w:r>
    </w:p>
    <w:bookmarkEnd w:id="1"/>
    <w:bookmarkEnd w:id="2"/>
    <w:p w14:paraId="5B118CE5" w14:textId="210AFA11" w:rsidR="008C0B82" w:rsidRPr="00D839A6" w:rsidRDefault="008C0B82" w:rsidP="00D839A6">
      <w:pPr>
        <w:contextualSpacing/>
        <w:rPr>
          <w:rFonts w:ascii="Arial" w:hAnsi="Arial" w:cs="Arial"/>
          <w:sz w:val="20"/>
          <w:szCs w:val="20"/>
          <w:lang w:val="es-419"/>
        </w:rPr>
      </w:pPr>
    </w:p>
    <w:p w14:paraId="37992ADC" w14:textId="467D9176" w:rsidR="00630E86" w:rsidRDefault="00630E86" w:rsidP="00D839A6">
      <w:pPr>
        <w:contextualSpacing/>
        <w:rPr>
          <w:rFonts w:ascii="Arial" w:hAnsi="Arial" w:cs="Arial"/>
          <w:sz w:val="20"/>
          <w:szCs w:val="20"/>
          <w:lang w:val="es-419"/>
        </w:rPr>
      </w:pPr>
    </w:p>
    <w:p w14:paraId="5A424969" w14:textId="77777777" w:rsidR="00D839A6" w:rsidRPr="00D839A6" w:rsidRDefault="00D839A6" w:rsidP="00D839A6">
      <w:pPr>
        <w:contextualSpacing/>
        <w:rPr>
          <w:rFonts w:ascii="Arial" w:hAnsi="Arial" w:cs="Arial"/>
          <w:sz w:val="20"/>
          <w:szCs w:val="20"/>
          <w:lang w:val="es-419"/>
        </w:rPr>
      </w:pPr>
    </w:p>
    <w:p w14:paraId="4B57126B" w14:textId="77777777" w:rsidR="008C0B82" w:rsidRPr="00D839A6" w:rsidRDefault="00B00BC8" w:rsidP="00D839A6">
      <w:pPr>
        <w:spacing w:line="276" w:lineRule="auto"/>
        <w:jc w:val="center"/>
        <w:rPr>
          <w:rFonts w:ascii="Tahoma" w:eastAsia="Tahoma" w:hAnsi="Tahoma" w:cs="Tahoma"/>
          <w:b/>
          <w:color w:val="000000"/>
        </w:rPr>
      </w:pPr>
      <w:r w:rsidRPr="00D839A6">
        <w:rPr>
          <w:rFonts w:ascii="Tahoma" w:eastAsia="Tahoma" w:hAnsi="Tahoma" w:cs="Tahoma"/>
          <w:b/>
          <w:color w:val="000000"/>
        </w:rPr>
        <w:t xml:space="preserve">TRIBUNAL SUPERIOR DEL DISTRITO JUDICIAL DE PEREIRA </w:t>
      </w:r>
    </w:p>
    <w:p w14:paraId="666A7BEB" w14:textId="586A1818" w:rsidR="008C0B82" w:rsidRPr="00D839A6" w:rsidRDefault="00B00BC8" w:rsidP="00D839A6">
      <w:pPr>
        <w:spacing w:line="276" w:lineRule="auto"/>
        <w:jc w:val="center"/>
        <w:rPr>
          <w:rFonts w:ascii="Tahoma" w:eastAsia="Quattrocento Sans" w:hAnsi="Tahoma" w:cs="Tahoma"/>
        </w:rPr>
      </w:pPr>
      <w:r w:rsidRPr="00D839A6">
        <w:rPr>
          <w:rFonts w:ascii="Tahoma" w:eastAsia="Tahoma" w:hAnsi="Tahoma" w:cs="Tahoma"/>
          <w:b/>
          <w:color w:val="000000"/>
        </w:rPr>
        <w:t xml:space="preserve">SALA PRIMERA DE </w:t>
      </w:r>
      <w:r w:rsidR="00D839A6" w:rsidRPr="00D839A6">
        <w:rPr>
          <w:rFonts w:ascii="Tahoma" w:eastAsia="Tahoma" w:hAnsi="Tahoma" w:cs="Tahoma"/>
          <w:b/>
          <w:color w:val="000000"/>
        </w:rPr>
        <w:t>DECISIÓN</w:t>
      </w:r>
      <w:r w:rsidRPr="00D839A6">
        <w:rPr>
          <w:rFonts w:ascii="Tahoma" w:eastAsia="Tahoma" w:hAnsi="Tahoma" w:cs="Tahoma"/>
          <w:b/>
          <w:color w:val="000000"/>
        </w:rPr>
        <w:t xml:space="preserve"> LABORAL </w:t>
      </w:r>
      <w:r w:rsidRPr="00D839A6">
        <w:rPr>
          <w:rFonts w:ascii="Tahoma" w:eastAsia="Tahoma" w:hAnsi="Tahoma" w:cs="Tahoma"/>
          <w:color w:val="000000"/>
        </w:rPr>
        <w:t> </w:t>
      </w:r>
    </w:p>
    <w:p w14:paraId="1E20D98A" w14:textId="77777777" w:rsidR="008C0B82" w:rsidRPr="00D839A6" w:rsidRDefault="00B00BC8" w:rsidP="00D839A6">
      <w:pPr>
        <w:spacing w:line="276" w:lineRule="auto"/>
        <w:rPr>
          <w:rFonts w:ascii="Tahoma" w:eastAsia="Quattrocento Sans" w:hAnsi="Tahoma" w:cs="Tahoma"/>
        </w:rPr>
      </w:pPr>
      <w:r w:rsidRPr="00D839A6">
        <w:rPr>
          <w:rFonts w:ascii="Tahoma" w:hAnsi="Tahoma" w:cs="Tahoma"/>
          <w:color w:val="000000"/>
        </w:rPr>
        <w:t> </w:t>
      </w:r>
    </w:p>
    <w:p w14:paraId="6D463D93" w14:textId="27E5C879" w:rsidR="008C0B82" w:rsidRPr="00D839A6" w:rsidRDefault="00B00BC8" w:rsidP="00D839A6">
      <w:pPr>
        <w:spacing w:line="276" w:lineRule="auto"/>
        <w:jc w:val="center"/>
        <w:rPr>
          <w:rFonts w:ascii="Tahoma" w:eastAsia="Tahoma" w:hAnsi="Tahoma" w:cs="Tahoma"/>
          <w:color w:val="000000"/>
        </w:rPr>
      </w:pPr>
      <w:r w:rsidRPr="00D839A6">
        <w:rPr>
          <w:rFonts w:ascii="Tahoma" w:eastAsia="Tahoma" w:hAnsi="Tahoma" w:cs="Tahoma"/>
          <w:color w:val="000000"/>
        </w:rPr>
        <w:t>Magistrada Ponente: </w:t>
      </w:r>
      <w:r w:rsidRPr="00D839A6">
        <w:rPr>
          <w:rFonts w:ascii="Tahoma" w:eastAsia="Tahoma" w:hAnsi="Tahoma" w:cs="Tahoma"/>
          <w:b/>
          <w:color w:val="000000"/>
        </w:rPr>
        <w:t>Ana Lucía Caicedo Calderón</w:t>
      </w:r>
    </w:p>
    <w:p w14:paraId="52ACA75E" w14:textId="77777777" w:rsidR="009D22C6" w:rsidRPr="00D839A6" w:rsidRDefault="009D22C6" w:rsidP="00D839A6">
      <w:pPr>
        <w:spacing w:line="276" w:lineRule="auto"/>
        <w:jc w:val="center"/>
        <w:rPr>
          <w:rFonts w:ascii="Tahoma" w:eastAsia="Quattrocento Sans" w:hAnsi="Tahoma" w:cs="Tahoma"/>
        </w:rPr>
      </w:pPr>
    </w:p>
    <w:p w14:paraId="669203CE" w14:textId="6BB754C2" w:rsidR="00B00BC8" w:rsidRPr="00D839A6" w:rsidRDefault="024E651B" w:rsidP="00D839A6">
      <w:pPr>
        <w:spacing w:line="276" w:lineRule="auto"/>
        <w:ind w:right="49"/>
        <w:contextualSpacing/>
        <w:jc w:val="center"/>
        <w:rPr>
          <w:rFonts w:ascii="Tahoma" w:eastAsia="Tahoma" w:hAnsi="Tahoma" w:cs="Tahoma"/>
          <w:color w:val="000000" w:themeColor="text1"/>
        </w:rPr>
      </w:pPr>
      <w:r w:rsidRPr="00D839A6">
        <w:rPr>
          <w:rFonts w:ascii="Tahoma" w:eastAsia="Tahoma" w:hAnsi="Tahoma" w:cs="Tahoma"/>
          <w:color w:val="000000" w:themeColor="text1"/>
        </w:rPr>
        <w:t>Pereira, Risaralda, veinticinco (25) de septiembre de dos mil veintitrés (2023)</w:t>
      </w:r>
    </w:p>
    <w:p w14:paraId="0A6744F7" w14:textId="63A8FCB2" w:rsidR="024E651B" w:rsidRPr="00D839A6" w:rsidRDefault="024E651B" w:rsidP="00D839A6">
      <w:pPr>
        <w:spacing w:line="276" w:lineRule="auto"/>
        <w:ind w:right="49"/>
        <w:contextualSpacing/>
        <w:jc w:val="center"/>
        <w:rPr>
          <w:rFonts w:ascii="Tahoma" w:eastAsia="Tahoma" w:hAnsi="Tahoma" w:cs="Tahoma"/>
          <w:color w:val="000000" w:themeColor="text1"/>
        </w:rPr>
      </w:pPr>
      <w:r w:rsidRPr="00D839A6">
        <w:rPr>
          <w:rFonts w:ascii="Tahoma" w:eastAsia="Tahoma" w:hAnsi="Tahoma" w:cs="Tahoma"/>
          <w:color w:val="000000" w:themeColor="text1"/>
        </w:rPr>
        <w:t>Acta No. 149 del 21 de septiembre de 2023</w:t>
      </w:r>
    </w:p>
    <w:p w14:paraId="57A34253" w14:textId="18BD4B66" w:rsidR="00630E86" w:rsidRDefault="009D22C6" w:rsidP="00D839A6">
      <w:pPr>
        <w:pStyle w:val="Sinespaciado"/>
        <w:spacing w:line="276" w:lineRule="auto"/>
        <w:rPr>
          <w:rFonts w:ascii="Tahoma" w:hAnsi="Tahoma" w:cs="Tahoma"/>
        </w:rPr>
      </w:pPr>
      <w:r w:rsidRPr="00D839A6">
        <w:rPr>
          <w:rFonts w:ascii="Tahoma" w:hAnsi="Tahoma" w:cs="Tahoma"/>
        </w:rPr>
        <w:tab/>
        <w:t xml:space="preserve"> </w:t>
      </w:r>
    </w:p>
    <w:p w14:paraId="3102517C" w14:textId="77777777" w:rsidR="005C10DD" w:rsidRPr="00D839A6" w:rsidRDefault="005C10DD" w:rsidP="00D839A6">
      <w:pPr>
        <w:pStyle w:val="Sinespaciado"/>
        <w:spacing w:line="276" w:lineRule="auto"/>
        <w:rPr>
          <w:rFonts w:ascii="Tahoma" w:hAnsi="Tahoma" w:cs="Tahoma"/>
        </w:rPr>
      </w:pPr>
    </w:p>
    <w:p w14:paraId="52A4E0F5" w14:textId="4868D7E7" w:rsidR="008C0B82" w:rsidRPr="00D839A6" w:rsidRDefault="006D2B57" w:rsidP="00D839A6">
      <w:pPr>
        <w:spacing w:line="276" w:lineRule="auto"/>
        <w:ind w:firstLine="708"/>
        <w:jc w:val="both"/>
        <w:rPr>
          <w:rFonts w:ascii="Tahoma" w:eastAsia="Tahoma" w:hAnsi="Tahoma" w:cs="Tahoma"/>
        </w:rPr>
      </w:pPr>
      <w:r w:rsidRPr="00D839A6">
        <w:rPr>
          <w:rFonts w:ascii="Tahoma" w:eastAsia="Tahoma" w:hAnsi="Tahoma" w:cs="Tahoma"/>
          <w:color w:val="000000"/>
        </w:rPr>
        <w:lastRenderedPageBreak/>
        <w:t xml:space="preserve">Teniendo en cuenta que el artículo </w:t>
      </w:r>
      <w:r w:rsidR="002718A5" w:rsidRPr="00D839A6">
        <w:rPr>
          <w:rFonts w:ascii="Tahoma" w:eastAsia="Tahoma" w:hAnsi="Tahoma" w:cs="Tahoma"/>
          <w:color w:val="000000"/>
        </w:rPr>
        <w:t xml:space="preserve">13 </w:t>
      </w:r>
      <w:r w:rsidRPr="00D839A6">
        <w:rPr>
          <w:rFonts w:ascii="Tahoma" w:eastAsia="Tahoma" w:hAnsi="Tahoma" w:cs="Tahoma"/>
          <w:color w:val="000000"/>
        </w:rPr>
        <w:t>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proofErr w:type="spellStart"/>
      <w:r w:rsidRPr="00D839A6">
        <w:rPr>
          <w:rFonts w:ascii="Tahoma" w:eastAsia="Tahoma" w:hAnsi="Tahoma" w:cs="Tahoma"/>
          <w:color w:val="000000"/>
        </w:rPr>
        <w:t>GÓEZ</w:t>
      </w:r>
      <w:proofErr w:type="spellEnd"/>
      <w:r w:rsidRPr="00D839A6">
        <w:rPr>
          <w:rFonts w:ascii="Tahoma" w:eastAsia="Tahoma" w:hAnsi="Tahoma" w:cs="Tahoma"/>
          <w:color w:val="000000"/>
        </w:rPr>
        <w:t> </w:t>
      </w:r>
      <w:proofErr w:type="spellStart"/>
      <w:r w:rsidRPr="00D839A6">
        <w:rPr>
          <w:rFonts w:ascii="Tahoma" w:eastAsia="Tahoma" w:hAnsi="Tahoma" w:cs="Tahoma"/>
          <w:color w:val="000000"/>
        </w:rPr>
        <w:t>VINASCO</w:t>
      </w:r>
      <w:proofErr w:type="spellEnd"/>
      <w:r w:rsidRPr="00D839A6">
        <w:rPr>
          <w:rFonts w:ascii="Tahoma" w:eastAsia="Tahoma" w:hAnsi="Tahoma" w:cs="Tahoma"/>
          <w:color w:val="000000"/>
        </w:rPr>
        <w:t xml:space="preserve">, procede a proferir la siguiente sentencia escrita dentro del proceso </w:t>
      </w:r>
      <w:r w:rsidRPr="00D839A6">
        <w:rPr>
          <w:rFonts w:ascii="Tahoma" w:eastAsia="Tahoma" w:hAnsi="Tahoma" w:cs="Tahoma"/>
          <w:b/>
          <w:color w:val="000000"/>
        </w:rPr>
        <w:t>ordinario laboral</w:t>
      </w:r>
      <w:r w:rsidRPr="00D839A6">
        <w:rPr>
          <w:rFonts w:ascii="Tahoma" w:eastAsia="Tahoma" w:hAnsi="Tahoma" w:cs="Tahoma"/>
          <w:color w:val="000000"/>
        </w:rPr>
        <w:t xml:space="preserve"> instaurado por </w:t>
      </w:r>
      <w:r w:rsidR="001B0267" w:rsidRPr="00D839A6">
        <w:rPr>
          <w:rFonts w:ascii="Tahoma" w:eastAsia="Tahoma" w:hAnsi="Tahoma" w:cs="Tahoma"/>
          <w:b/>
          <w:color w:val="000000"/>
        </w:rPr>
        <w:t xml:space="preserve">Ana Rita Rodríguez de Ayala </w:t>
      </w:r>
      <w:r w:rsidR="00B00BC8" w:rsidRPr="00D839A6">
        <w:rPr>
          <w:rFonts w:ascii="Tahoma" w:eastAsia="Tahoma" w:hAnsi="Tahoma" w:cs="Tahoma"/>
        </w:rPr>
        <w:t xml:space="preserve">en contra de </w:t>
      </w:r>
      <w:r w:rsidR="00E95091" w:rsidRPr="00D839A6">
        <w:rPr>
          <w:rFonts w:ascii="Tahoma" w:eastAsia="Tahoma" w:hAnsi="Tahoma" w:cs="Tahoma"/>
          <w:b/>
        </w:rPr>
        <w:t xml:space="preserve">la Administradora </w:t>
      </w:r>
      <w:r w:rsidR="00D161B8" w:rsidRPr="00D839A6">
        <w:rPr>
          <w:rFonts w:ascii="Tahoma" w:eastAsia="Tahoma" w:hAnsi="Tahoma" w:cs="Tahoma"/>
          <w:b/>
        </w:rPr>
        <w:t>Colombiana de Pensiones</w:t>
      </w:r>
      <w:r w:rsidR="00D839A6">
        <w:rPr>
          <w:rFonts w:ascii="Tahoma" w:eastAsia="Tahoma" w:hAnsi="Tahoma" w:cs="Tahoma"/>
          <w:b/>
        </w:rPr>
        <w:t xml:space="preserve"> –</w:t>
      </w:r>
      <w:r w:rsidR="00D161B8" w:rsidRPr="00D839A6">
        <w:rPr>
          <w:rFonts w:ascii="Tahoma" w:eastAsia="Tahoma" w:hAnsi="Tahoma" w:cs="Tahoma"/>
          <w:b/>
        </w:rPr>
        <w:t xml:space="preserve"> </w:t>
      </w:r>
      <w:r w:rsidR="00D839A6" w:rsidRPr="00D839A6">
        <w:rPr>
          <w:rFonts w:ascii="Tahoma" w:eastAsia="Tahoma" w:hAnsi="Tahoma" w:cs="Tahoma"/>
          <w:b/>
        </w:rPr>
        <w:t>COLPENSIONES</w:t>
      </w:r>
      <w:r w:rsidR="0066223F" w:rsidRPr="00D839A6">
        <w:rPr>
          <w:rFonts w:ascii="Tahoma" w:eastAsia="Tahoma" w:hAnsi="Tahoma" w:cs="Tahoma"/>
          <w:b/>
        </w:rPr>
        <w:t>.</w:t>
      </w:r>
    </w:p>
    <w:p w14:paraId="75E3A551" w14:textId="77777777" w:rsidR="008922C2" w:rsidRPr="00D839A6" w:rsidRDefault="008922C2" w:rsidP="00D839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rPr>
      </w:pPr>
    </w:p>
    <w:p w14:paraId="2798F7F4" w14:textId="77777777" w:rsidR="00807903" w:rsidRPr="00D839A6" w:rsidRDefault="00807903" w:rsidP="00B77C0D">
      <w:pPr>
        <w:spacing w:line="276" w:lineRule="auto"/>
        <w:contextualSpacing/>
        <w:jc w:val="center"/>
        <w:rPr>
          <w:rFonts w:ascii="Tahoma" w:hAnsi="Tahoma" w:cs="Tahoma"/>
          <w:b/>
          <w:bCs/>
        </w:rPr>
      </w:pPr>
      <w:r w:rsidRPr="00D839A6">
        <w:rPr>
          <w:rFonts w:ascii="Tahoma" w:hAnsi="Tahoma" w:cs="Tahoma"/>
          <w:b/>
          <w:bCs/>
        </w:rPr>
        <w:t>AUTO</w:t>
      </w:r>
    </w:p>
    <w:p w14:paraId="439AE361" w14:textId="77777777" w:rsidR="00807903" w:rsidRPr="00D839A6" w:rsidRDefault="00807903" w:rsidP="00D839A6">
      <w:pPr>
        <w:spacing w:line="276" w:lineRule="auto"/>
        <w:jc w:val="both"/>
        <w:rPr>
          <w:rFonts w:ascii="Tahoma" w:eastAsia="Tahoma" w:hAnsi="Tahoma" w:cs="Tahoma"/>
          <w:color w:val="000000" w:themeColor="text1"/>
        </w:rPr>
      </w:pPr>
    </w:p>
    <w:p w14:paraId="40909F92" w14:textId="63735A82" w:rsidR="00807903" w:rsidRPr="00D839A6" w:rsidRDefault="00D839A6" w:rsidP="00D839A6">
      <w:pPr>
        <w:spacing w:line="276" w:lineRule="auto"/>
        <w:ind w:firstLine="708"/>
        <w:jc w:val="both"/>
        <w:rPr>
          <w:rFonts w:ascii="Tahoma" w:eastAsia="Tahoma" w:hAnsi="Tahoma" w:cs="Tahoma"/>
          <w:color w:val="000000" w:themeColor="text1"/>
          <w:lang w:val="es-CO"/>
        </w:rPr>
      </w:pPr>
      <w:r>
        <w:rPr>
          <w:rFonts w:ascii="Tahoma" w:eastAsia="Tahoma" w:hAnsi="Tahoma" w:cs="Tahoma"/>
          <w:color w:val="000000" w:themeColor="text1"/>
          <w:lang w:val="es-CO"/>
        </w:rPr>
        <w:t>(…)</w:t>
      </w:r>
    </w:p>
    <w:p w14:paraId="0FDF00A0" w14:textId="77777777" w:rsidR="00807903" w:rsidRPr="00D839A6" w:rsidRDefault="00807903" w:rsidP="00D839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rPr>
      </w:pPr>
    </w:p>
    <w:p w14:paraId="0D49712D" w14:textId="23B3BBE9" w:rsidR="008922C2" w:rsidRPr="00D839A6" w:rsidRDefault="008922C2" w:rsidP="00D839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rFonts w:ascii="Tahoma" w:eastAsia="Tahoma" w:hAnsi="Tahoma" w:cs="Tahoma"/>
          <w:b/>
          <w:bCs/>
          <w:color w:val="000000"/>
        </w:rPr>
      </w:pPr>
      <w:r w:rsidRPr="00D839A6">
        <w:rPr>
          <w:rFonts w:ascii="Tahoma" w:eastAsia="Tahoma" w:hAnsi="Tahoma" w:cs="Tahoma"/>
          <w:b/>
          <w:bCs/>
          <w:color w:val="000000"/>
        </w:rPr>
        <w:t xml:space="preserve">PUNTO </w:t>
      </w:r>
      <w:r w:rsidR="001979A8" w:rsidRPr="00D839A6">
        <w:rPr>
          <w:rFonts w:ascii="Tahoma" w:eastAsia="Tahoma" w:hAnsi="Tahoma" w:cs="Tahoma"/>
          <w:b/>
          <w:bCs/>
          <w:color w:val="000000"/>
        </w:rPr>
        <w:t>A</w:t>
      </w:r>
      <w:r w:rsidRPr="00D839A6">
        <w:rPr>
          <w:rFonts w:ascii="Tahoma" w:eastAsia="Tahoma" w:hAnsi="Tahoma" w:cs="Tahoma"/>
          <w:b/>
          <w:bCs/>
          <w:color w:val="000000"/>
        </w:rPr>
        <w:t xml:space="preserve"> TRATAR</w:t>
      </w:r>
    </w:p>
    <w:p w14:paraId="52A49853" w14:textId="3F446A9C" w:rsidR="009D6E92" w:rsidRPr="00D839A6" w:rsidRDefault="009D6E92" w:rsidP="00D839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color w:val="000000"/>
          <w:lang w:val="es-CO"/>
        </w:rPr>
      </w:pPr>
    </w:p>
    <w:p w14:paraId="6A28D162" w14:textId="29E633CF" w:rsidR="00807903" w:rsidRPr="00D839A6" w:rsidRDefault="001979A8" w:rsidP="00D839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ahoma" w:eastAsia="Tahoma" w:hAnsi="Tahoma" w:cs="Tahoma"/>
        </w:rPr>
      </w:pPr>
      <w:r w:rsidRPr="00D839A6">
        <w:rPr>
          <w:rFonts w:ascii="Tahoma" w:eastAsia="Tahoma" w:hAnsi="Tahoma" w:cs="Tahoma"/>
          <w:color w:val="000000"/>
        </w:rPr>
        <w:tab/>
      </w:r>
      <w:r w:rsidR="008922C2" w:rsidRPr="00D839A6">
        <w:rPr>
          <w:rFonts w:ascii="Tahoma" w:eastAsia="Tahoma" w:hAnsi="Tahoma" w:cs="Tahoma"/>
        </w:rPr>
        <w:t>P</w:t>
      </w:r>
      <w:r w:rsidR="00882AB1" w:rsidRPr="00D839A6">
        <w:rPr>
          <w:rFonts w:ascii="Tahoma" w:eastAsia="Tahoma" w:hAnsi="Tahoma" w:cs="Tahoma"/>
        </w:rPr>
        <w:t xml:space="preserve">rocede la Sala a resolver </w:t>
      </w:r>
      <w:r w:rsidR="00CD7EA9" w:rsidRPr="00D839A6">
        <w:rPr>
          <w:rFonts w:ascii="Tahoma" w:eastAsia="Tahoma" w:hAnsi="Tahoma" w:cs="Tahoma"/>
        </w:rPr>
        <w:t xml:space="preserve">el </w:t>
      </w:r>
      <w:r w:rsidR="00A904C4" w:rsidRPr="00D839A6">
        <w:rPr>
          <w:rFonts w:ascii="Tahoma" w:eastAsia="Tahoma" w:hAnsi="Tahoma" w:cs="Tahoma"/>
        </w:rPr>
        <w:t xml:space="preserve">grado jurisdiccional de consulta dispuesto en favor del Colpensiones, y los recursos de apelación propuestos por </w:t>
      </w:r>
      <w:r w:rsidR="00392029" w:rsidRPr="00D839A6">
        <w:rPr>
          <w:rFonts w:ascii="Tahoma" w:eastAsia="Tahoma" w:hAnsi="Tahoma" w:cs="Tahoma"/>
        </w:rPr>
        <w:t>dicha entidad y la demandante contra la sentencia proferida el 8 de marzo de 2023 por el Juzgado Tercero Laboral del Circuito de Pereira</w:t>
      </w:r>
      <w:r w:rsidR="00CD7EA9" w:rsidRPr="00D839A6">
        <w:rPr>
          <w:rFonts w:ascii="Tahoma" w:eastAsia="Tahoma" w:hAnsi="Tahoma" w:cs="Tahoma"/>
        </w:rPr>
        <w:t xml:space="preserve">. </w:t>
      </w:r>
      <w:r w:rsidR="00882AB1" w:rsidRPr="00D839A6">
        <w:rPr>
          <w:rFonts w:ascii="Tahoma" w:eastAsia="Tahoma" w:hAnsi="Tahoma" w:cs="Tahoma"/>
        </w:rPr>
        <w:t>Para ello se tiene en cuenta lo siguiente:</w:t>
      </w:r>
    </w:p>
    <w:p w14:paraId="49BE9D3F" w14:textId="13ACE66E" w:rsidR="00CD7EA9" w:rsidRPr="00D839A6" w:rsidRDefault="00CD7EA9" w:rsidP="00D839A6">
      <w:pPr>
        <w:spacing w:line="276" w:lineRule="auto"/>
        <w:jc w:val="both"/>
        <w:rPr>
          <w:rFonts w:ascii="Tahoma" w:eastAsia="Tahoma" w:hAnsi="Tahoma" w:cs="Tahoma"/>
        </w:rPr>
      </w:pPr>
    </w:p>
    <w:p w14:paraId="53D69BDB" w14:textId="7076CB1D" w:rsidR="008C0B82" w:rsidRPr="00D839A6" w:rsidRDefault="00882AB1" w:rsidP="00D839A6">
      <w:pPr>
        <w:numPr>
          <w:ilvl w:val="0"/>
          <w:numId w:val="3"/>
        </w:numPr>
        <w:pBdr>
          <w:top w:val="nil"/>
          <w:left w:val="nil"/>
          <w:bottom w:val="nil"/>
          <w:right w:val="nil"/>
          <w:between w:val="nil"/>
        </w:pBdr>
        <w:spacing w:line="276" w:lineRule="auto"/>
        <w:ind w:left="0" w:firstLine="0"/>
        <w:contextualSpacing/>
        <w:jc w:val="center"/>
        <w:rPr>
          <w:rFonts w:ascii="Tahoma" w:eastAsia="Tahoma" w:hAnsi="Tahoma" w:cs="Tahoma"/>
          <w:b/>
          <w:color w:val="000000"/>
        </w:rPr>
      </w:pPr>
      <w:r w:rsidRPr="00D839A6">
        <w:rPr>
          <w:rFonts w:ascii="Tahoma" w:eastAsia="Tahoma" w:hAnsi="Tahoma" w:cs="Tahoma"/>
          <w:b/>
          <w:color w:val="000000"/>
        </w:rPr>
        <w:t>LA DEMANDA Y LA CONTESTACIÓN A LA DEMANDA.</w:t>
      </w:r>
    </w:p>
    <w:p w14:paraId="5D16C016" w14:textId="77777777" w:rsidR="00555132" w:rsidRPr="00D839A6" w:rsidRDefault="00555132" w:rsidP="00D839A6">
      <w:pPr>
        <w:widowControl w:val="0"/>
        <w:spacing w:line="276" w:lineRule="auto"/>
        <w:jc w:val="both"/>
        <w:rPr>
          <w:rFonts w:ascii="Tahoma" w:eastAsia="Tahoma" w:hAnsi="Tahoma" w:cs="Tahoma"/>
        </w:rPr>
      </w:pPr>
    </w:p>
    <w:p w14:paraId="2815834B" w14:textId="36CCD438" w:rsidR="000E13A7" w:rsidRPr="00D839A6" w:rsidRDefault="007D42BB" w:rsidP="00D839A6">
      <w:pPr>
        <w:spacing w:line="276" w:lineRule="auto"/>
        <w:ind w:firstLine="709"/>
        <w:jc w:val="both"/>
        <w:rPr>
          <w:rFonts w:ascii="Tahoma" w:hAnsi="Tahoma" w:cs="Tahoma"/>
        </w:rPr>
      </w:pPr>
      <w:r w:rsidRPr="00D839A6">
        <w:rPr>
          <w:rFonts w:ascii="Tahoma" w:hAnsi="Tahoma" w:cs="Tahoma"/>
        </w:rPr>
        <w:t>Pretende la promotora del litigio que se condene a la Administradora Colombiana de Pensiones</w:t>
      </w:r>
      <w:r w:rsidR="00B77C0D">
        <w:rPr>
          <w:rFonts w:ascii="Tahoma" w:hAnsi="Tahoma" w:cs="Tahoma"/>
        </w:rPr>
        <w:t xml:space="preserve"> –</w:t>
      </w:r>
      <w:r w:rsidRPr="00D839A6">
        <w:rPr>
          <w:rFonts w:ascii="Tahoma" w:hAnsi="Tahoma" w:cs="Tahoma"/>
        </w:rPr>
        <w:t xml:space="preserve"> Colpensiones a cancelar</w:t>
      </w:r>
      <w:r w:rsidR="005902D5" w:rsidRPr="00D839A6">
        <w:rPr>
          <w:rFonts w:ascii="Tahoma" w:hAnsi="Tahoma" w:cs="Tahoma"/>
        </w:rPr>
        <w:t>le</w:t>
      </w:r>
      <w:r w:rsidRPr="00D839A6">
        <w:rPr>
          <w:rFonts w:ascii="Tahoma" w:hAnsi="Tahoma" w:cs="Tahoma"/>
        </w:rPr>
        <w:t xml:space="preserve"> el retroactivo de la pensión de invalidez </w:t>
      </w:r>
      <w:proofErr w:type="spellStart"/>
      <w:r w:rsidRPr="00D839A6">
        <w:rPr>
          <w:rFonts w:ascii="Tahoma" w:hAnsi="Tahoma" w:cs="Tahoma"/>
        </w:rPr>
        <w:t>postmortem</w:t>
      </w:r>
      <w:proofErr w:type="spellEnd"/>
      <w:r w:rsidRPr="00D839A6">
        <w:rPr>
          <w:rFonts w:ascii="Tahoma" w:hAnsi="Tahoma" w:cs="Tahoma"/>
        </w:rPr>
        <w:t xml:space="preserve"> a </w:t>
      </w:r>
      <w:r w:rsidR="00A32E08" w:rsidRPr="00D839A6">
        <w:rPr>
          <w:rFonts w:ascii="Tahoma" w:hAnsi="Tahoma" w:cs="Tahoma"/>
        </w:rPr>
        <w:t>partir del 25 de mayo de 2007</w:t>
      </w:r>
      <w:r w:rsidR="005902D5" w:rsidRPr="00D839A6">
        <w:rPr>
          <w:rFonts w:ascii="Tahoma" w:hAnsi="Tahoma" w:cs="Tahoma"/>
        </w:rPr>
        <w:t xml:space="preserve"> (</w:t>
      </w:r>
      <w:r w:rsidR="00A32E08" w:rsidRPr="00D839A6">
        <w:rPr>
          <w:rFonts w:ascii="Tahoma" w:hAnsi="Tahoma" w:cs="Tahoma"/>
        </w:rPr>
        <w:t>fecha de estructuración de invalidez de Guillermo Ayala Duque</w:t>
      </w:r>
      <w:r w:rsidR="005902D5" w:rsidRPr="00D839A6">
        <w:rPr>
          <w:rFonts w:ascii="Tahoma" w:hAnsi="Tahoma" w:cs="Tahoma"/>
        </w:rPr>
        <w:t xml:space="preserve">) </w:t>
      </w:r>
      <w:r w:rsidR="00B51789" w:rsidRPr="00D839A6">
        <w:rPr>
          <w:rFonts w:ascii="Tahoma" w:hAnsi="Tahoma" w:cs="Tahoma"/>
        </w:rPr>
        <w:t xml:space="preserve">y </w:t>
      </w:r>
      <w:r w:rsidR="00060964" w:rsidRPr="00D839A6">
        <w:rPr>
          <w:rFonts w:ascii="Tahoma" w:hAnsi="Tahoma" w:cs="Tahoma"/>
        </w:rPr>
        <w:t>hasta el 10 de febrero de 2020</w:t>
      </w:r>
      <w:r w:rsidR="006D797D" w:rsidRPr="00D839A6">
        <w:rPr>
          <w:rFonts w:ascii="Tahoma" w:hAnsi="Tahoma" w:cs="Tahoma"/>
        </w:rPr>
        <w:t xml:space="preserve"> (</w:t>
      </w:r>
      <w:r w:rsidR="00060964" w:rsidRPr="00D839A6">
        <w:rPr>
          <w:rFonts w:ascii="Tahoma" w:hAnsi="Tahoma" w:cs="Tahoma"/>
        </w:rPr>
        <w:t>fecha en que se reconoció la sustitución pensional</w:t>
      </w:r>
      <w:r w:rsidR="006D797D" w:rsidRPr="00D839A6">
        <w:rPr>
          <w:rFonts w:ascii="Tahoma" w:hAnsi="Tahoma" w:cs="Tahoma"/>
        </w:rPr>
        <w:t>)</w:t>
      </w:r>
      <w:r w:rsidR="00060964" w:rsidRPr="00D839A6">
        <w:rPr>
          <w:rFonts w:ascii="Tahoma" w:hAnsi="Tahoma" w:cs="Tahoma"/>
        </w:rPr>
        <w:t>, junto con los intereses moratorios</w:t>
      </w:r>
      <w:r w:rsidR="00754A08" w:rsidRPr="00D839A6">
        <w:rPr>
          <w:rFonts w:ascii="Tahoma" w:hAnsi="Tahoma" w:cs="Tahoma"/>
        </w:rPr>
        <w:t>,</w:t>
      </w:r>
      <w:r w:rsidR="000E1C15" w:rsidRPr="00D839A6">
        <w:rPr>
          <w:rFonts w:ascii="Tahoma" w:hAnsi="Tahoma" w:cs="Tahoma"/>
        </w:rPr>
        <w:t xml:space="preserve"> las costas procesales en su favor y</w:t>
      </w:r>
      <w:r w:rsidR="00754A08" w:rsidRPr="00D839A6">
        <w:rPr>
          <w:rFonts w:ascii="Tahoma" w:hAnsi="Tahoma" w:cs="Tahoma"/>
        </w:rPr>
        <w:t xml:space="preserve"> la obligación de hacer consistente en proferir la resolución acatando el fallo judicial</w:t>
      </w:r>
      <w:r w:rsidR="000E1C15" w:rsidRPr="00D839A6">
        <w:rPr>
          <w:rFonts w:ascii="Tahoma" w:hAnsi="Tahoma" w:cs="Tahoma"/>
        </w:rPr>
        <w:t>.</w:t>
      </w:r>
    </w:p>
    <w:p w14:paraId="09927C21" w14:textId="77777777" w:rsidR="00135DA2" w:rsidRPr="00D839A6" w:rsidRDefault="00135DA2" w:rsidP="00D839A6">
      <w:pPr>
        <w:spacing w:line="276" w:lineRule="auto"/>
        <w:ind w:firstLine="709"/>
        <w:jc w:val="both"/>
        <w:rPr>
          <w:rFonts w:ascii="Tahoma" w:hAnsi="Tahoma" w:cs="Tahoma"/>
        </w:rPr>
      </w:pPr>
    </w:p>
    <w:p w14:paraId="5A27F55A" w14:textId="0BD1236F" w:rsidR="00CF1AC1" w:rsidRPr="00D839A6" w:rsidRDefault="00135DA2" w:rsidP="00D839A6">
      <w:pPr>
        <w:spacing w:line="276" w:lineRule="auto"/>
        <w:ind w:firstLine="709"/>
        <w:jc w:val="both"/>
        <w:rPr>
          <w:rFonts w:ascii="Tahoma" w:hAnsi="Tahoma" w:cs="Tahoma"/>
        </w:rPr>
      </w:pPr>
      <w:r w:rsidRPr="00D839A6">
        <w:rPr>
          <w:rFonts w:ascii="Tahoma" w:hAnsi="Tahoma" w:cs="Tahoma"/>
        </w:rPr>
        <w:t>En sustento de las súplicas, relata que</w:t>
      </w:r>
      <w:r w:rsidR="002856CC" w:rsidRPr="00D839A6">
        <w:rPr>
          <w:rFonts w:ascii="Tahoma" w:hAnsi="Tahoma" w:cs="Tahoma"/>
        </w:rPr>
        <w:t xml:space="preserve"> el </w:t>
      </w:r>
      <w:r w:rsidR="00B33D2D" w:rsidRPr="00D839A6">
        <w:rPr>
          <w:rFonts w:ascii="Tahoma" w:hAnsi="Tahoma" w:cs="Tahoma"/>
        </w:rPr>
        <w:t xml:space="preserve">14 de noviembre de 2019 </w:t>
      </w:r>
      <w:r w:rsidR="002856CC" w:rsidRPr="00D839A6">
        <w:rPr>
          <w:rFonts w:ascii="Tahoma" w:hAnsi="Tahoma" w:cs="Tahoma"/>
        </w:rPr>
        <w:t>la Administradora Colombiana de Pensiones</w:t>
      </w:r>
      <w:r w:rsidR="00B77C0D">
        <w:rPr>
          <w:rFonts w:ascii="Tahoma" w:hAnsi="Tahoma" w:cs="Tahoma"/>
        </w:rPr>
        <w:t xml:space="preserve"> –</w:t>
      </w:r>
      <w:r w:rsidR="00BE384A" w:rsidRPr="00D839A6">
        <w:rPr>
          <w:rFonts w:ascii="Tahoma" w:hAnsi="Tahoma" w:cs="Tahoma"/>
        </w:rPr>
        <w:t xml:space="preserve"> </w:t>
      </w:r>
      <w:r w:rsidR="002856CC" w:rsidRPr="00D839A6">
        <w:rPr>
          <w:rFonts w:ascii="Tahoma" w:hAnsi="Tahoma" w:cs="Tahoma"/>
        </w:rPr>
        <w:t>Colpensiones</w:t>
      </w:r>
      <w:r w:rsidR="006279CB" w:rsidRPr="00D839A6">
        <w:rPr>
          <w:rFonts w:ascii="Tahoma" w:hAnsi="Tahoma" w:cs="Tahoma"/>
        </w:rPr>
        <w:t xml:space="preserve"> calificó al señor Guillermo Ayala Duque </w:t>
      </w:r>
      <w:r w:rsidR="00D2613F" w:rsidRPr="00D839A6">
        <w:rPr>
          <w:rFonts w:ascii="Tahoma" w:hAnsi="Tahoma" w:cs="Tahoma"/>
        </w:rPr>
        <w:t>con una pérdida de capacidad laboral del 65.78%</w:t>
      </w:r>
      <w:r w:rsidR="00CF1AC1" w:rsidRPr="00D839A6">
        <w:rPr>
          <w:rFonts w:ascii="Tahoma" w:hAnsi="Tahoma" w:cs="Tahoma"/>
        </w:rPr>
        <w:t xml:space="preserve"> de origen común, </w:t>
      </w:r>
      <w:r w:rsidR="00D2613F" w:rsidRPr="00D839A6">
        <w:rPr>
          <w:rFonts w:ascii="Tahoma" w:hAnsi="Tahoma" w:cs="Tahoma"/>
        </w:rPr>
        <w:t>estructurada el 25 de mayo de 2007</w:t>
      </w:r>
      <w:r w:rsidR="00EC7AD9" w:rsidRPr="00D839A6">
        <w:rPr>
          <w:rFonts w:ascii="Tahoma" w:hAnsi="Tahoma" w:cs="Tahoma"/>
        </w:rPr>
        <w:t>.</w:t>
      </w:r>
    </w:p>
    <w:p w14:paraId="58A56FB2" w14:textId="77777777" w:rsidR="00337419" w:rsidRPr="00D839A6" w:rsidRDefault="00337419" w:rsidP="00D839A6">
      <w:pPr>
        <w:spacing w:line="276" w:lineRule="auto"/>
        <w:ind w:firstLine="709"/>
        <w:jc w:val="both"/>
        <w:rPr>
          <w:rFonts w:ascii="Tahoma" w:hAnsi="Tahoma" w:cs="Tahoma"/>
        </w:rPr>
      </w:pPr>
    </w:p>
    <w:p w14:paraId="6798349B" w14:textId="695231C2" w:rsidR="00337419" w:rsidRPr="00D839A6" w:rsidRDefault="00337419" w:rsidP="00D839A6">
      <w:pPr>
        <w:spacing w:line="276" w:lineRule="auto"/>
        <w:ind w:firstLine="709"/>
        <w:jc w:val="both"/>
        <w:rPr>
          <w:rFonts w:ascii="Tahoma" w:hAnsi="Tahoma" w:cs="Tahoma"/>
        </w:rPr>
      </w:pPr>
      <w:r w:rsidRPr="00D839A6">
        <w:rPr>
          <w:rFonts w:ascii="Tahoma" w:hAnsi="Tahoma" w:cs="Tahoma"/>
        </w:rPr>
        <w:t>Indica que con ocasión a la muerte del señor Ayala Duque, elevó re</w:t>
      </w:r>
      <w:r w:rsidR="00EC7AD9" w:rsidRPr="00D839A6">
        <w:rPr>
          <w:rFonts w:ascii="Tahoma" w:hAnsi="Tahoma" w:cs="Tahoma"/>
        </w:rPr>
        <w:t xml:space="preserve">clamación de pensión de invalidez </w:t>
      </w:r>
      <w:proofErr w:type="spellStart"/>
      <w:r w:rsidR="00EC7AD9" w:rsidRPr="00D839A6">
        <w:rPr>
          <w:rFonts w:ascii="Tahoma" w:hAnsi="Tahoma" w:cs="Tahoma"/>
        </w:rPr>
        <w:t>postmortem</w:t>
      </w:r>
      <w:proofErr w:type="spellEnd"/>
      <w:r w:rsidR="00EC7AD9" w:rsidRPr="00D839A6">
        <w:rPr>
          <w:rFonts w:ascii="Tahoma" w:hAnsi="Tahoma" w:cs="Tahoma"/>
        </w:rPr>
        <w:t xml:space="preserve"> </w:t>
      </w:r>
      <w:r w:rsidR="0006480E" w:rsidRPr="00D839A6">
        <w:rPr>
          <w:rFonts w:ascii="Tahoma" w:hAnsi="Tahoma" w:cs="Tahoma"/>
        </w:rPr>
        <w:t xml:space="preserve">y sustitución pensional en calidad de cónyuge, misma le fue reconocida mediante Resolución SUB 213126 </w:t>
      </w:r>
      <w:r w:rsidR="002A0E63" w:rsidRPr="00D839A6">
        <w:rPr>
          <w:rFonts w:ascii="Tahoma" w:hAnsi="Tahoma" w:cs="Tahoma"/>
        </w:rPr>
        <w:t>a partir del 10 de febrero de 2020, fecha del fallecimiento del causante</w:t>
      </w:r>
      <w:r w:rsidR="00514C0F" w:rsidRPr="00D839A6">
        <w:rPr>
          <w:rFonts w:ascii="Tahoma" w:hAnsi="Tahoma" w:cs="Tahoma"/>
        </w:rPr>
        <w:t>, con el argumento de que no era posible el reconocimiento desde la estructuración de la invalidez</w:t>
      </w:r>
      <w:r w:rsidR="00076D53" w:rsidRPr="00D839A6">
        <w:rPr>
          <w:rFonts w:ascii="Tahoma" w:hAnsi="Tahoma" w:cs="Tahoma"/>
        </w:rPr>
        <w:t xml:space="preserve">, porque </w:t>
      </w:r>
      <w:r w:rsidR="00EB5BC2" w:rsidRPr="00D839A6">
        <w:rPr>
          <w:rFonts w:ascii="Tahoma" w:hAnsi="Tahoma" w:cs="Tahoma"/>
        </w:rPr>
        <w:t xml:space="preserve">del expediente no se podía </w:t>
      </w:r>
      <w:r w:rsidR="00076D53" w:rsidRPr="00D839A6">
        <w:rPr>
          <w:rFonts w:ascii="Tahoma" w:hAnsi="Tahoma" w:cs="Tahoma"/>
        </w:rPr>
        <w:t xml:space="preserve">establecer </w:t>
      </w:r>
      <w:r w:rsidR="00EB5BC2" w:rsidRPr="00D839A6">
        <w:rPr>
          <w:rFonts w:ascii="Tahoma" w:hAnsi="Tahoma" w:cs="Tahoma"/>
        </w:rPr>
        <w:t xml:space="preserve">en </w:t>
      </w:r>
      <w:r w:rsidR="00076D53" w:rsidRPr="00D839A6">
        <w:rPr>
          <w:rFonts w:ascii="Tahoma" w:hAnsi="Tahoma" w:cs="Tahoma"/>
        </w:rPr>
        <w:t xml:space="preserve">cuales </w:t>
      </w:r>
      <w:proofErr w:type="spellStart"/>
      <w:r w:rsidR="00EB5BC2" w:rsidRPr="00D839A6">
        <w:rPr>
          <w:rFonts w:ascii="Tahoma" w:hAnsi="Tahoma" w:cs="Tahoma"/>
        </w:rPr>
        <w:t>EPS</w:t>
      </w:r>
      <w:proofErr w:type="spellEnd"/>
      <w:r w:rsidR="00EB5BC2" w:rsidRPr="00D839A6">
        <w:rPr>
          <w:rFonts w:ascii="Tahoma" w:hAnsi="Tahoma" w:cs="Tahoma"/>
        </w:rPr>
        <w:t xml:space="preserve"> </w:t>
      </w:r>
      <w:r w:rsidR="00076D53" w:rsidRPr="00D839A6">
        <w:rPr>
          <w:rFonts w:ascii="Tahoma" w:hAnsi="Tahoma" w:cs="Tahoma"/>
        </w:rPr>
        <w:t>estuvo afiliado el causante, en qu</w:t>
      </w:r>
      <w:r w:rsidR="0F125FC9" w:rsidRPr="00D839A6">
        <w:rPr>
          <w:rFonts w:ascii="Tahoma" w:hAnsi="Tahoma" w:cs="Tahoma"/>
        </w:rPr>
        <w:t>é</w:t>
      </w:r>
      <w:r w:rsidR="00076D53" w:rsidRPr="00D839A6">
        <w:rPr>
          <w:rFonts w:ascii="Tahoma" w:hAnsi="Tahoma" w:cs="Tahoma"/>
        </w:rPr>
        <w:t xml:space="preserve"> periodos y si las mismas realizaron pagos por concepto de incapacidades</w:t>
      </w:r>
      <w:r w:rsidR="00E91E08" w:rsidRPr="00D839A6">
        <w:rPr>
          <w:rFonts w:ascii="Tahoma" w:hAnsi="Tahoma" w:cs="Tahoma"/>
        </w:rPr>
        <w:t>, advirtiendo que</w:t>
      </w:r>
      <w:r w:rsidR="00B82729" w:rsidRPr="00D839A6">
        <w:rPr>
          <w:rFonts w:ascii="Tahoma" w:hAnsi="Tahoma" w:cs="Tahoma"/>
        </w:rPr>
        <w:t xml:space="preserve"> una vez se aportaran</w:t>
      </w:r>
      <w:r w:rsidR="00E91E08" w:rsidRPr="00D839A6">
        <w:rPr>
          <w:rFonts w:ascii="Tahoma" w:hAnsi="Tahoma" w:cs="Tahoma"/>
        </w:rPr>
        <w:t xml:space="preserve"> los certificados </w:t>
      </w:r>
      <w:r w:rsidR="00B82729" w:rsidRPr="00D839A6">
        <w:rPr>
          <w:rFonts w:ascii="Tahoma" w:hAnsi="Tahoma" w:cs="Tahoma"/>
        </w:rPr>
        <w:t xml:space="preserve">requeridos </w:t>
      </w:r>
      <w:r w:rsidR="00E91E08" w:rsidRPr="00D839A6">
        <w:rPr>
          <w:rFonts w:ascii="Tahoma" w:hAnsi="Tahoma" w:cs="Tahoma"/>
        </w:rPr>
        <w:t xml:space="preserve">procedería a realizar un nuevo estudio. </w:t>
      </w:r>
    </w:p>
    <w:p w14:paraId="678586E7" w14:textId="77777777" w:rsidR="00C31458" w:rsidRPr="00D839A6" w:rsidRDefault="00C31458" w:rsidP="00D839A6">
      <w:pPr>
        <w:spacing w:line="276" w:lineRule="auto"/>
        <w:ind w:firstLine="709"/>
        <w:jc w:val="both"/>
        <w:rPr>
          <w:rFonts w:ascii="Tahoma" w:hAnsi="Tahoma" w:cs="Tahoma"/>
        </w:rPr>
      </w:pPr>
    </w:p>
    <w:p w14:paraId="61AA5D89" w14:textId="1B6368C7" w:rsidR="00C31458" w:rsidRPr="00D839A6" w:rsidRDefault="00C31458" w:rsidP="00D839A6">
      <w:pPr>
        <w:spacing w:line="276" w:lineRule="auto"/>
        <w:ind w:firstLine="709"/>
        <w:jc w:val="both"/>
        <w:rPr>
          <w:rFonts w:ascii="Tahoma" w:hAnsi="Tahoma" w:cs="Tahoma"/>
        </w:rPr>
      </w:pPr>
      <w:r w:rsidRPr="00D839A6">
        <w:rPr>
          <w:rFonts w:ascii="Tahoma" w:hAnsi="Tahoma" w:cs="Tahoma"/>
        </w:rPr>
        <w:lastRenderedPageBreak/>
        <w:t xml:space="preserve">Agrega que la anterior Resolución </w:t>
      </w:r>
      <w:r w:rsidR="007D7158" w:rsidRPr="00D839A6">
        <w:rPr>
          <w:rFonts w:ascii="Tahoma" w:hAnsi="Tahoma" w:cs="Tahoma"/>
        </w:rPr>
        <w:t xml:space="preserve">fue confirmada en reposición mediante Resolución </w:t>
      </w:r>
      <w:r w:rsidR="7A3A761F" w:rsidRPr="00D839A6">
        <w:rPr>
          <w:rFonts w:ascii="Tahoma" w:hAnsi="Tahoma" w:cs="Tahoma"/>
        </w:rPr>
        <w:t>SUB-213126</w:t>
      </w:r>
      <w:r w:rsidR="007D7158" w:rsidRPr="00D839A6">
        <w:rPr>
          <w:rFonts w:ascii="Tahoma" w:hAnsi="Tahoma" w:cs="Tahoma"/>
        </w:rPr>
        <w:t xml:space="preserve"> del 6 de octubre de 2020 y en apelación a través del acto administrativo </w:t>
      </w:r>
      <w:proofErr w:type="spellStart"/>
      <w:r w:rsidR="007D7158" w:rsidRPr="00D839A6">
        <w:rPr>
          <w:rFonts w:ascii="Tahoma" w:hAnsi="Tahoma" w:cs="Tahoma"/>
        </w:rPr>
        <w:t>DPE</w:t>
      </w:r>
      <w:proofErr w:type="spellEnd"/>
      <w:r w:rsidR="007D7158" w:rsidRPr="00D839A6">
        <w:rPr>
          <w:rFonts w:ascii="Tahoma" w:hAnsi="Tahoma" w:cs="Tahoma"/>
        </w:rPr>
        <w:t xml:space="preserve"> 14053 del 15 de octubre de 2020</w:t>
      </w:r>
      <w:r w:rsidR="00AB3CF7" w:rsidRPr="00D839A6">
        <w:rPr>
          <w:rFonts w:ascii="Tahoma" w:hAnsi="Tahoma" w:cs="Tahoma"/>
        </w:rPr>
        <w:t xml:space="preserve">, en razón de lo cual solicitó a la NUEVA </w:t>
      </w:r>
      <w:proofErr w:type="spellStart"/>
      <w:r w:rsidR="00AB3CF7" w:rsidRPr="00D839A6">
        <w:rPr>
          <w:rFonts w:ascii="Tahoma" w:hAnsi="Tahoma" w:cs="Tahoma"/>
        </w:rPr>
        <w:t>EPS</w:t>
      </w:r>
      <w:proofErr w:type="spellEnd"/>
      <w:r w:rsidR="00AB3CF7" w:rsidRPr="00D839A6">
        <w:rPr>
          <w:rFonts w:ascii="Tahoma" w:hAnsi="Tahoma" w:cs="Tahoma"/>
        </w:rPr>
        <w:t xml:space="preserve"> y COOMEVA </w:t>
      </w:r>
      <w:proofErr w:type="spellStart"/>
      <w:r w:rsidR="00AB3CF7" w:rsidRPr="00D839A6">
        <w:rPr>
          <w:rFonts w:ascii="Tahoma" w:hAnsi="Tahoma" w:cs="Tahoma"/>
        </w:rPr>
        <w:t>EPS</w:t>
      </w:r>
      <w:proofErr w:type="spellEnd"/>
      <w:r w:rsidR="00AB3CF7" w:rsidRPr="00D839A6">
        <w:rPr>
          <w:rFonts w:ascii="Tahoma" w:hAnsi="Tahoma" w:cs="Tahoma"/>
        </w:rPr>
        <w:t xml:space="preserve"> las certificaciones requeridas</w:t>
      </w:r>
      <w:r w:rsidR="006877FF" w:rsidRPr="00D839A6">
        <w:rPr>
          <w:rFonts w:ascii="Tahoma" w:hAnsi="Tahoma" w:cs="Tahoma"/>
        </w:rPr>
        <w:t>, y las aportó al trámite administrativo</w:t>
      </w:r>
      <w:r w:rsidR="005E6BD5" w:rsidRPr="00D839A6">
        <w:rPr>
          <w:rFonts w:ascii="Tahoma" w:hAnsi="Tahoma" w:cs="Tahoma"/>
        </w:rPr>
        <w:t xml:space="preserve">; sin embargo, </w:t>
      </w:r>
      <w:r w:rsidR="000444D4" w:rsidRPr="00D839A6">
        <w:rPr>
          <w:rFonts w:ascii="Tahoma" w:hAnsi="Tahoma" w:cs="Tahoma"/>
        </w:rPr>
        <w:t xml:space="preserve">Colpensiones </w:t>
      </w:r>
      <w:r w:rsidR="00AB3CF7" w:rsidRPr="00D839A6">
        <w:rPr>
          <w:rFonts w:ascii="Tahoma" w:hAnsi="Tahoma" w:cs="Tahoma"/>
        </w:rPr>
        <w:t>le negó</w:t>
      </w:r>
      <w:r w:rsidR="00EB5185" w:rsidRPr="00D839A6">
        <w:rPr>
          <w:rFonts w:ascii="Tahoma" w:hAnsi="Tahoma" w:cs="Tahoma"/>
        </w:rPr>
        <w:t xml:space="preserve"> nuevamente </w:t>
      </w:r>
      <w:r w:rsidR="000444D4" w:rsidRPr="00D839A6">
        <w:rPr>
          <w:rFonts w:ascii="Tahoma" w:hAnsi="Tahoma" w:cs="Tahoma"/>
        </w:rPr>
        <w:t xml:space="preserve">el retroactivo por medio de </w:t>
      </w:r>
      <w:r w:rsidR="00556C70" w:rsidRPr="00D839A6">
        <w:rPr>
          <w:rFonts w:ascii="Tahoma" w:hAnsi="Tahoma" w:cs="Tahoma"/>
        </w:rPr>
        <w:t xml:space="preserve">resolución </w:t>
      </w:r>
      <w:r w:rsidR="0CAA2D6D" w:rsidRPr="00D839A6">
        <w:rPr>
          <w:rFonts w:ascii="Tahoma" w:hAnsi="Tahoma" w:cs="Tahoma"/>
        </w:rPr>
        <w:t>SUB-260047</w:t>
      </w:r>
      <w:r w:rsidR="00556C70" w:rsidRPr="00D839A6">
        <w:rPr>
          <w:rFonts w:ascii="Tahoma" w:hAnsi="Tahoma" w:cs="Tahoma"/>
        </w:rPr>
        <w:t xml:space="preserve"> del 30 de noviembre de 2020 y </w:t>
      </w:r>
      <w:r w:rsidR="7799EEA2" w:rsidRPr="00D839A6">
        <w:rPr>
          <w:rFonts w:ascii="Tahoma" w:hAnsi="Tahoma" w:cs="Tahoma"/>
        </w:rPr>
        <w:t>SUB-347892</w:t>
      </w:r>
      <w:r w:rsidR="00556C70" w:rsidRPr="00D839A6">
        <w:rPr>
          <w:rFonts w:ascii="Tahoma" w:hAnsi="Tahoma" w:cs="Tahoma"/>
        </w:rPr>
        <w:t xml:space="preserve"> del 11 de febrero de 2021</w:t>
      </w:r>
      <w:r w:rsidR="0076659A" w:rsidRPr="00D839A6">
        <w:rPr>
          <w:rFonts w:ascii="Tahoma" w:hAnsi="Tahoma" w:cs="Tahoma"/>
        </w:rPr>
        <w:t>.</w:t>
      </w:r>
    </w:p>
    <w:p w14:paraId="36F3230D" w14:textId="77777777" w:rsidR="005761E9" w:rsidRPr="00D839A6" w:rsidRDefault="005761E9" w:rsidP="00D839A6">
      <w:pPr>
        <w:spacing w:line="276" w:lineRule="auto"/>
        <w:ind w:firstLine="709"/>
        <w:jc w:val="both"/>
        <w:rPr>
          <w:rFonts w:ascii="Tahoma" w:hAnsi="Tahoma" w:cs="Tahoma"/>
        </w:rPr>
      </w:pPr>
    </w:p>
    <w:p w14:paraId="02991F92" w14:textId="54836D38" w:rsidR="00C405F4" w:rsidRPr="00D839A6" w:rsidRDefault="005761E9" w:rsidP="00D839A6">
      <w:pPr>
        <w:spacing w:line="276" w:lineRule="auto"/>
        <w:ind w:firstLine="709"/>
        <w:jc w:val="both"/>
        <w:rPr>
          <w:rFonts w:ascii="Tahoma" w:hAnsi="Tahoma" w:cs="Tahoma"/>
        </w:rPr>
      </w:pPr>
      <w:r w:rsidRPr="00D839A6">
        <w:rPr>
          <w:rFonts w:ascii="Tahoma" w:hAnsi="Tahoma" w:cs="Tahoma"/>
        </w:rPr>
        <w:t xml:space="preserve">En respuesta a la demanda, la </w:t>
      </w:r>
      <w:r w:rsidRPr="00D839A6">
        <w:rPr>
          <w:rFonts w:ascii="Tahoma" w:hAnsi="Tahoma" w:cs="Tahoma"/>
          <w:b/>
          <w:bCs/>
        </w:rPr>
        <w:t>Administradora Colombiana de Pensiones- Colpensiones</w:t>
      </w:r>
      <w:r w:rsidR="00C439F0" w:rsidRPr="00D839A6">
        <w:rPr>
          <w:rFonts w:ascii="Tahoma" w:hAnsi="Tahoma" w:cs="Tahoma"/>
        </w:rPr>
        <w:t xml:space="preserve"> se opuso a la totalidad de las pretensiones, señalando </w:t>
      </w:r>
      <w:r w:rsidRPr="00D839A6">
        <w:rPr>
          <w:rFonts w:ascii="Tahoma" w:hAnsi="Tahoma" w:cs="Tahoma"/>
        </w:rPr>
        <w:t xml:space="preserve">que los certificados proferidos por COOMEVA </w:t>
      </w:r>
      <w:proofErr w:type="spellStart"/>
      <w:r w:rsidRPr="00D839A6">
        <w:rPr>
          <w:rFonts w:ascii="Tahoma" w:hAnsi="Tahoma" w:cs="Tahoma"/>
        </w:rPr>
        <w:t>EPS</w:t>
      </w:r>
      <w:proofErr w:type="spellEnd"/>
      <w:r w:rsidRPr="00D839A6">
        <w:rPr>
          <w:rFonts w:ascii="Tahoma" w:hAnsi="Tahoma" w:cs="Tahoma"/>
        </w:rPr>
        <w:t xml:space="preserve"> y la NUEVA </w:t>
      </w:r>
      <w:proofErr w:type="spellStart"/>
      <w:r w:rsidRPr="00D839A6">
        <w:rPr>
          <w:rFonts w:ascii="Tahoma" w:hAnsi="Tahoma" w:cs="Tahoma"/>
        </w:rPr>
        <w:t>EPS</w:t>
      </w:r>
      <w:proofErr w:type="spellEnd"/>
      <w:r w:rsidRPr="00D839A6">
        <w:rPr>
          <w:rFonts w:ascii="Tahoma" w:hAnsi="Tahoma" w:cs="Tahoma"/>
        </w:rPr>
        <w:t xml:space="preserve"> no </w:t>
      </w:r>
      <w:r w:rsidR="00C439F0" w:rsidRPr="00D839A6">
        <w:rPr>
          <w:rFonts w:ascii="Tahoma" w:hAnsi="Tahoma" w:cs="Tahoma"/>
        </w:rPr>
        <w:t xml:space="preserve">cumplían con los requisitos exigidos por la </w:t>
      </w:r>
      <w:r w:rsidR="0076659A" w:rsidRPr="00D839A6">
        <w:rPr>
          <w:rFonts w:ascii="Tahoma" w:hAnsi="Tahoma" w:cs="Tahoma"/>
        </w:rPr>
        <w:t>l</w:t>
      </w:r>
      <w:r w:rsidR="00C439F0" w:rsidRPr="00D839A6">
        <w:rPr>
          <w:rFonts w:ascii="Tahoma" w:hAnsi="Tahoma" w:cs="Tahoma"/>
        </w:rPr>
        <w:t>ey para que tuvieran validez</w:t>
      </w:r>
      <w:r w:rsidR="00F8638A" w:rsidRPr="00D839A6">
        <w:rPr>
          <w:rFonts w:ascii="Tahoma" w:hAnsi="Tahoma" w:cs="Tahoma"/>
        </w:rPr>
        <w:t xml:space="preserve">, y en su defensa como medios exceptivos de mérito propuso: </w:t>
      </w:r>
      <w:r w:rsidR="00F8638A" w:rsidRPr="00D839A6">
        <w:rPr>
          <w:rFonts w:ascii="Tahoma" w:hAnsi="Tahoma" w:cs="Tahoma"/>
          <w:i/>
          <w:iCs/>
        </w:rPr>
        <w:t xml:space="preserve">“falta de cumplimiento de requisitos”, “inexistencia de la obligación y cobro de lo no debido”, “prescripción”, </w:t>
      </w:r>
      <w:r w:rsidR="00034339" w:rsidRPr="00D839A6">
        <w:rPr>
          <w:rFonts w:ascii="Tahoma" w:hAnsi="Tahoma" w:cs="Tahoma"/>
          <w:i/>
          <w:iCs/>
        </w:rPr>
        <w:t>“buena fe” y “declarables de oficio”.</w:t>
      </w:r>
    </w:p>
    <w:p w14:paraId="520750F3" w14:textId="3B54F465" w:rsidR="0076659A" w:rsidRPr="00D839A6" w:rsidRDefault="0076659A" w:rsidP="00D839A6">
      <w:pPr>
        <w:spacing w:line="276" w:lineRule="auto"/>
        <w:jc w:val="both"/>
        <w:textAlignment w:val="baseline"/>
        <w:rPr>
          <w:rFonts w:ascii="Tahoma" w:hAnsi="Tahoma" w:cs="Tahoma"/>
          <w:i/>
          <w:iCs/>
        </w:rPr>
      </w:pPr>
    </w:p>
    <w:p w14:paraId="7D7A6034" w14:textId="6A3456B8" w:rsidR="005A7041" w:rsidRPr="00D839A6" w:rsidRDefault="00B42142" w:rsidP="00D839A6">
      <w:pPr>
        <w:pStyle w:val="Yo"/>
        <w:spacing w:line="276" w:lineRule="auto"/>
        <w:rPr>
          <w:rFonts w:ascii="Tahoma" w:eastAsia="Tahoma" w:hAnsi="Tahoma" w:cs="Tahoma"/>
          <w:sz w:val="24"/>
          <w:szCs w:val="24"/>
        </w:rPr>
      </w:pPr>
      <w:r w:rsidRPr="00D839A6">
        <w:rPr>
          <w:rFonts w:ascii="Tahoma" w:eastAsia="Tahoma" w:hAnsi="Tahoma" w:cs="Tahoma"/>
          <w:sz w:val="24"/>
          <w:szCs w:val="24"/>
        </w:rPr>
        <w:t>SENTENCIA DE PRIMERA INSTANCIA</w:t>
      </w:r>
    </w:p>
    <w:p w14:paraId="287A32AE" w14:textId="77777777" w:rsidR="00160EC9" w:rsidRPr="00D839A6" w:rsidRDefault="00160EC9" w:rsidP="00D839A6">
      <w:pPr>
        <w:spacing w:line="276" w:lineRule="auto"/>
        <w:textAlignment w:val="baseline"/>
        <w:rPr>
          <w:rFonts w:ascii="Tahoma" w:eastAsia="Tahoma" w:hAnsi="Tahoma" w:cs="Tahoma"/>
          <w:b/>
          <w:bCs/>
        </w:rPr>
      </w:pPr>
    </w:p>
    <w:p w14:paraId="6AA5ACF9" w14:textId="0C9DD130" w:rsidR="004F5E98" w:rsidRPr="00D839A6" w:rsidRDefault="004F5E98" w:rsidP="00D839A6">
      <w:pPr>
        <w:spacing w:line="276" w:lineRule="auto"/>
        <w:ind w:firstLine="708"/>
        <w:jc w:val="both"/>
        <w:rPr>
          <w:rFonts w:ascii="Tahoma" w:hAnsi="Tahoma" w:cs="Tahoma"/>
        </w:rPr>
      </w:pPr>
      <w:r w:rsidRPr="00D839A6">
        <w:rPr>
          <w:rFonts w:ascii="Tahoma" w:hAnsi="Tahoma" w:cs="Tahoma"/>
        </w:rPr>
        <w:t xml:space="preserve">La jueza de primer grado </w:t>
      </w:r>
      <w:r w:rsidR="00DE367D" w:rsidRPr="00D839A6">
        <w:rPr>
          <w:rFonts w:ascii="Tahoma" w:hAnsi="Tahoma" w:cs="Tahoma"/>
        </w:rPr>
        <w:t xml:space="preserve">desestimó las excepciones de mérito propuestas y </w:t>
      </w:r>
      <w:r w:rsidR="00D74010" w:rsidRPr="00D839A6">
        <w:rPr>
          <w:rFonts w:ascii="Tahoma" w:hAnsi="Tahoma" w:cs="Tahoma"/>
        </w:rPr>
        <w:t xml:space="preserve">declaró que el señor Guillermo Ayala Duque tenía derecho al reconocimiento y pago del retroactivo de la </w:t>
      </w:r>
      <w:r w:rsidR="005A6D5D" w:rsidRPr="00D839A6">
        <w:rPr>
          <w:rFonts w:ascii="Tahoma" w:hAnsi="Tahoma" w:cs="Tahoma"/>
        </w:rPr>
        <w:t>pensión de invalidez a partir del 25 de mayo de 2007</w:t>
      </w:r>
      <w:r w:rsidR="001F193E" w:rsidRPr="00D839A6">
        <w:rPr>
          <w:rFonts w:ascii="Tahoma" w:hAnsi="Tahoma" w:cs="Tahoma"/>
        </w:rPr>
        <w:t>,</w:t>
      </w:r>
      <w:r w:rsidR="005A6D5D" w:rsidRPr="00D839A6">
        <w:rPr>
          <w:rFonts w:ascii="Tahoma" w:hAnsi="Tahoma" w:cs="Tahoma"/>
        </w:rPr>
        <w:t xml:space="preserve"> en cuantía equivalente al </w:t>
      </w:r>
      <w:proofErr w:type="spellStart"/>
      <w:r w:rsidR="005A6D5D" w:rsidRPr="00D839A6">
        <w:rPr>
          <w:rFonts w:ascii="Tahoma" w:hAnsi="Tahoma" w:cs="Tahoma"/>
        </w:rPr>
        <w:t>S.M.M.L.V</w:t>
      </w:r>
      <w:proofErr w:type="spellEnd"/>
      <w:r w:rsidR="005A6D5D" w:rsidRPr="00D839A6">
        <w:rPr>
          <w:rFonts w:ascii="Tahoma" w:hAnsi="Tahoma" w:cs="Tahoma"/>
        </w:rPr>
        <w:t xml:space="preserve"> y hasta el 9 de febrero de 2020</w:t>
      </w:r>
      <w:r w:rsidR="001F193E" w:rsidRPr="00D839A6">
        <w:rPr>
          <w:rFonts w:ascii="Tahoma" w:hAnsi="Tahoma" w:cs="Tahoma"/>
        </w:rPr>
        <w:t>;</w:t>
      </w:r>
      <w:r w:rsidR="005A6D5D" w:rsidRPr="00D839A6">
        <w:rPr>
          <w:rFonts w:ascii="Tahoma" w:hAnsi="Tahoma" w:cs="Tahoma"/>
        </w:rPr>
        <w:t xml:space="preserve"> en consecuencia, reconoció </w:t>
      </w:r>
      <w:r w:rsidR="00F823F1" w:rsidRPr="00D839A6">
        <w:rPr>
          <w:rFonts w:ascii="Tahoma" w:hAnsi="Tahoma" w:cs="Tahoma"/>
        </w:rPr>
        <w:t xml:space="preserve">el retroactivo pensional en favor de la masa </w:t>
      </w:r>
      <w:proofErr w:type="spellStart"/>
      <w:r w:rsidR="00F823F1" w:rsidRPr="00D839A6">
        <w:rPr>
          <w:rFonts w:ascii="Tahoma" w:hAnsi="Tahoma" w:cs="Tahoma"/>
        </w:rPr>
        <w:t>sucesoral</w:t>
      </w:r>
      <w:proofErr w:type="spellEnd"/>
      <w:r w:rsidR="00F823F1" w:rsidRPr="00D839A6">
        <w:rPr>
          <w:rFonts w:ascii="Tahoma" w:hAnsi="Tahoma" w:cs="Tahoma"/>
        </w:rPr>
        <w:t xml:space="preserve"> del </w:t>
      </w:r>
      <w:r w:rsidR="006C3E7D" w:rsidRPr="00D839A6">
        <w:rPr>
          <w:rFonts w:ascii="Tahoma" w:hAnsi="Tahoma" w:cs="Tahoma"/>
        </w:rPr>
        <w:t xml:space="preserve">causante, </w:t>
      </w:r>
      <w:r w:rsidR="00F823F1" w:rsidRPr="00D839A6">
        <w:rPr>
          <w:rFonts w:ascii="Tahoma" w:hAnsi="Tahoma" w:cs="Tahoma"/>
        </w:rPr>
        <w:t xml:space="preserve">previo descuento de los aportes con destino al sistema </w:t>
      </w:r>
      <w:r w:rsidR="006C3E7D" w:rsidRPr="00D839A6">
        <w:rPr>
          <w:rFonts w:ascii="Tahoma" w:hAnsi="Tahoma" w:cs="Tahoma"/>
        </w:rPr>
        <w:t>de salud en cuantía de $96.096.991, junto con los intereses moratorios desde la ejecutoria de la sentencia</w:t>
      </w:r>
      <w:r w:rsidR="00DE367D" w:rsidRPr="00D839A6">
        <w:rPr>
          <w:rFonts w:ascii="Tahoma" w:hAnsi="Tahoma" w:cs="Tahoma"/>
        </w:rPr>
        <w:t xml:space="preserve">. Por último, impuso el pago de costas procesales a la demandada y en favor de la parte demandante. </w:t>
      </w:r>
    </w:p>
    <w:p w14:paraId="1EE32248" w14:textId="2CA90D32" w:rsidR="00223623" w:rsidRPr="00D839A6" w:rsidRDefault="00223623" w:rsidP="00D839A6">
      <w:pPr>
        <w:spacing w:line="276" w:lineRule="auto"/>
        <w:jc w:val="both"/>
        <w:rPr>
          <w:rFonts w:ascii="Tahoma" w:hAnsi="Tahoma" w:cs="Tahoma"/>
        </w:rPr>
      </w:pPr>
    </w:p>
    <w:p w14:paraId="6204D3A3" w14:textId="58DE34E3" w:rsidR="00030476" w:rsidRPr="00D839A6" w:rsidRDefault="00223623" w:rsidP="00D839A6">
      <w:pPr>
        <w:spacing w:line="276" w:lineRule="auto"/>
        <w:ind w:firstLine="709"/>
        <w:jc w:val="both"/>
        <w:rPr>
          <w:rFonts w:ascii="Tahoma" w:hAnsi="Tahoma" w:cs="Tahoma"/>
        </w:rPr>
      </w:pPr>
      <w:r w:rsidRPr="00D839A6">
        <w:rPr>
          <w:rFonts w:ascii="Tahoma" w:hAnsi="Tahoma" w:cs="Tahoma"/>
        </w:rPr>
        <w:t>Como fundamento de la anterior decisión,</w:t>
      </w:r>
      <w:r w:rsidR="009C6C39" w:rsidRPr="00D839A6">
        <w:rPr>
          <w:rFonts w:ascii="Tahoma" w:hAnsi="Tahoma" w:cs="Tahoma"/>
        </w:rPr>
        <w:t xml:space="preserve"> </w:t>
      </w:r>
      <w:r w:rsidR="00826DF9" w:rsidRPr="00D839A6">
        <w:rPr>
          <w:rFonts w:ascii="Tahoma" w:hAnsi="Tahoma" w:cs="Tahoma"/>
        </w:rPr>
        <w:t xml:space="preserve">señaló que no existía duda respecto </w:t>
      </w:r>
      <w:r w:rsidR="00102FC3" w:rsidRPr="00D839A6">
        <w:rPr>
          <w:rFonts w:ascii="Tahoma" w:hAnsi="Tahoma" w:cs="Tahoma"/>
        </w:rPr>
        <w:t xml:space="preserve">del derecho pensional que le asistía al causante, </w:t>
      </w:r>
      <w:r w:rsidR="00AC057D" w:rsidRPr="00D839A6">
        <w:rPr>
          <w:rFonts w:ascii="Tahoma" w:hAnsi="Tahoma" w:cs="Tahoma"/>
        </w:rPr>
        <w:t>al haber sido calificado el 14 de diciembre de 2019 por el Departamento de Medicina Laboral de la Administradora Colombiana de Pensiones, con un porcentaje superior al 50% de pérdida de la capacidad laboral</w:t>
      </w:r>
      <w:r w:rsidR="006E6196" w:rsidRPr="00D839A6">
        <w:rPr>
          <w:rFonts w:ascii="Tahoma" w:hAnsi="Tahoma" w:cs="Tahoma"/>
        </w:rPr>
        <w:t xml:space="preserve"> de origen común, estructurada el </w:t>
      </w:r>
      <w:r w:rsidR="00E62C62" w:rsidRPr="00D839A6">
        <w:rPr>
          <w:rFonts w:ascii="Tahoma" w:hAnsi="Tahoma" w:cs="Tahoma"/>
        </w:rPr>
        <w:t xml:space="preserve">25 de mayo de 2007, </w:t>
      </w:r>
      <w:r w:rsidR="002D3893" w:rsidRPr="00D839A6">
        <w:rPr>
          <w:rFonts w:ascii="Tahoma" w:hAnsi="Tahoma" w:cs="Tahoma"/>
        </w:rPr>
        <w:t>aunado</w:t>
      </w:r>
      <w:r w:rsidR="00C15CF2" w:rsidRPr="00D839A6">
        <w:rPr>
          <w:rFonts w:ascii="Tahoma" w:hAnsi="Tahoma" w:cs="Tahoma"/>
        </w:rPr>
        <w:t xml:space="preserve"> a que en el </w:t>
      </w:r>
      <w:r w:rsidR="002D3893" w:rsidRPr="00D839A6">
        <w:rPr>
          <w:rFonts w:ascii="Tahoma" w:hAnsi="Tahoma" w:cs="Tahoma"/>
        </w:rPr>
        <w:t>trienio</w:t>
      </w:r>
      <w:r w:rsidR="00C15CF2" w:rsidRPr="00D839A6">
        <w:rPr>
          <w:rFonts w:ascii="Tahoma" w:hAnsi="Tahoma" w:cs="Tahoma"/>
        </w:rPr>
        <w:t xml:space="preserve"> anterior a la data de estructuración reportaba más de 50 semanas de cotización</w:t>
      </w:r>
      <w:r w:rsidR="002D3893" w:rsidRPr="00D839A6">
        <w:rPr>
          <w:rFonts w:ascii="Tahoma" w:hAnsi="Tahoma" w:cs="Tahoma"/>
        </w:rPr>
        <w:t xml:space="preserve">. </w:t>
      </w:r>
    </w:p>
    <w:p w14:paraId="111E82CB" w14:textId="77777777" w:rsidR="002D3893" w:rsidRPr="00D839A6" w:rsidRDefault="002D3893" w:rsidP="00D839A6">
      <w:pPr>
        <w:spacing w:line="276" w:lineRule="auto"/>
        <w:ind w:firstLine="709"/>
        <w:jc w:val="both"/>
        <w:rPr>
          <w:rFonts w:ascii="Tahoma" w:hAnsi="Tahoma" w:cs="Tahoma"/>
        </w:rPr>
      </w:pPr>
    </w:p>
    <w:p w14:paraId="65A5B8C1" w14:textId="3E0CEA5C" w:rsidR="008B3439" w:rsidRPr="00D839A6" w:rsidRDefault="002D3893" w:rsidP="00D839A6">
      <w:pPr>
        <w:spacing w:line="276" w:lineRule="auto"/>
        <w:ind w:firstLine="709"/>
        <w:jc w:val="both"/>
        <w:rPr>
          <w:rFonts w:ascii="Tahoma" w:hAnsi="Tahoma" w:cs="Tahoma"/>
        </w:rPr>
      </w:pPr>
      <w:r w:rsidRPr="00D839A6">
        <w:rPr>
          <w:rFonts w:ascii="Tahoma" w:hAnsi="Tahoma" w:cs="Tahoma"/>
        </w:rPr>
        <w:t xml:space="preserve">En cuanto al retroactivo pretendido, </w:t>
      </w:r>
      <w:r w:rsidR="00DE17F8" w:rsidRPr="00D839A6">
        <w:rPr>
          <w:rFonts w:ascii="Tahoma" w:hAnsi="Tahoma" w:cs="Tahoma"/>
        </w:rPr>
        <w:t xml:space="preserve">dada la incompatibilidad de las mesadas pensionales y el subsidio de incapacidad, indicó </w:t>
      </w:r>
      <w:r w:rsidR="008B3439" w:rsidRPr="00D839A6">
        <w:rPr>
          <w:rFonts w:ascii="Tahoma" w:hAnsi="Tahoma" w:cs="Tahoma"/>
        </w:rPr>
        <w:t>que,</w:t>
      </w:r>
      <w:r w:rsidR="006F7C95" w:rsidRPr="00D839A6">
        <w:rPr>
          <w:rFonts w:ascii="Tahoma" w:hAnsi="Tahoma" w:cs="Tahoma"/>
        </w:rPr>
        <w:t xml:space="preserve"> </w:t>
      </w:r>
      <w:r w:rsidR="008B3439" w:rsidRPr="00D839A6">
        <w:rPr>
          <w:rFonts w:ascii="Tahoma" w:hAnsi="Tahoma" w:cs="Tahoma"/>
        </w:rPr>
        <w:t>a</w:t>
      </w:r>
      <w:r w:rsidR="006F7C95" w:rsidRPr="00D839A6">
        <w:rPr>
          <w:rFonts w:ascii="Tahoma" w:hAnsi="Tahoma" w:cs="Tahoma"/>
        </w:rPr>
        <w:t>l causante</w:t>
      </w:r>
      <w:r w:rsidR="008B3439" w:rsidRPr="00D839A6">
        <w:rPr>
          <w:rFonts w:ascii="Tahoma" w:hAnsi="Tahoma" w:cs="Tahoma"/>
        </w:rPr>
        <w:t xml:space="preserve"> con posterioridad a la fecha de estructuración, no le fue reconocida, ni prescrita </w:t>
      </w:r>
      <w:r w:rsidR="00801B5F" w:rsidRPr="00D839A6">
        <w:rPr>
          <w:rFonts w:ascii="Tahoma" w:hAnsi="Tahoma" w:cs="Tahoma"/>
        </w:rPr>
        <w:t xml:space="preserve">algún tipo de incapacidad, </w:t>
      </w:r>
      <w:r w:rsidR="00063C0F" w:rsidRPr="00D839A6">
        <w:rPr>
          <w:rFonts w:ascii="Tahoma" w:hAnsi="Tahoma" w:cs="Tahoma"/>
        </w:rPr>
        <w:t xml:space="preserve">pues </w:t>
      </w:r>
      <w:r w:rsidR="000B137B" w:rsidRPr="00D839A6">
        <w:rPr>
          <w:rFonts w:ascii="Tahoma" w:hAnsi="Tahoma" w:cs="Tahoma"/>
        </w:rPr>
        <w:t>estuvo</w:t>
      </w:r>
      <w:r w:rsidR="00801B5F" w:rsidRPr="00D839A6">
        <w:rPr>
          <w:rFonts w:ascii="Tahoma" w:hAnsi="Tahoma" w:cs="Tahoma"/>
        </w:rPr>
        <w:t xml:space="preserve"> afiliado al régimen subsidiado en salud desde el 7 de octubre de 2003</w:t>
      </w:r>
      <w:r w:rsidR="000B137B" w:rsidRPr="00D839A6">
        <w:rPr>
          <w:rFonts w:ascii="Tahoma" w:hAnsi="Tahoma" w:cs="Tahoma"/>
        </w:rPr>
        <w:t xml:space="preserve">, </w:t>
      </w:r>
      <w:r w:rsidR="00063C0F" w:rsidRPr="00D839A6">
        <w:rPr>
          <w:rFonts w:ascii="Tahoma" w:hAnsi="Tahoma" w:cs="Tahoma"/>
        </w:rPr>
        <w:t xml:space="preserve">por lo que era posible </w:t>
      </w:r>
      <w:r w:rsidR="000B137B" w:rsidRPr="00D839A6">
        <w:rPr>
          <w:rFonts w:ascii="Tahoma" w:hAnsi="Tahoma" w:cs="Tahoma"/>
        </w:rPr>
        <w:t xml:space="preserve">inferir que </w:t>
      </w:r>
      <w:r w:rsidR="2663C39D" w:rsidRPr="00D839A6">
        <w:rPr>
          <w:rFonts w:ascii="Tahoma" w:hAnsi="Tahoma" w:cs="Tahoma"/>
        </w:rPr>
        <w:t xml:space="preserve">no </w:t>
      </w:r>
      <w:r w:rsidR="000B137B" w:rsidRPr="00D839A6">
        <w:rPr>
          <w:rFonts w:ascii="Tahoma" w:hAnsi="Tahoma" w:cs="Tahoma"/>
        </w:rPr>
        <w:t>obtuvo reconocimiento económico por parte del sistema de salud, concluy</w:t>
      </w:r>
      <w:r w:rsidR="513E2B2F" w:rsidRPr="00D839A6">
        <w:rPr>
          <w:rFonts w:ascii="Tahoma" w:hAnsi="Tahoma" w:cs="Tahoma"/>
        </w:rPr>
        <w:t>endo</w:t>
      </w:r>
      <w:r w:rsidR="000B137B" w:rsidRPr="00D839A6">
        <w:rPr>
          <w:rFonts w:ascii="Tahoma" w:hAnsi="Tahoma" w:cs="Tahoma"/>
        </w:rPr>
        <w:t xml:space="preserve"> que </w:t>
      </w:r>
      <w:r w:rsidR="00B06B55" w:rsidRPr="00D839A6">
        <w:rPr>
          <w:rFonts w:ascii="Tahoma" w:hAnsi="Tahoma" w:cs="Tahoma"/>
        </w:rPr>
        <w:t xml:space="preserve">la prestación efectiva debió reconocerse desde su causación, esto es, desde la fecha de estructuración. </w:t>
      </w:r>
    </w:p>
    <w:p w14:paraId="571E9F5C" w14:textId="77777777" w:rsidR="00B06B55" w:rsidRPr="00D839A6" w:rsidRDefault="00B06B55" w:rsidP="00D839A6">
      <w:pPr>
        <w:spacing w:line="276" w:lineRule="auto"/>
        <w:ind w:firstLine="709"/>
        <w:jc w:val="both"/>
        <w:rPr>
          <w:rFonts w:ascii="Tahoma" w:hAnsi="Tahoma" w:cs="Tahoma"/>
        </w:rPr>
      </w:pPr>
    </w:p>
    <w:p w14:paraId="0C8EDC91" w14:textId="6A4F2C63" w:rsidR="00B06B55" w:rsidRPr="00D839A6" w:rsidRDefault="00B06B55" w:rsidP="00D839A6">
      <w:pPr>
        <w:spacing w:line="276" w:lineRule="auto"/>
        <w:ind w:firstLine="709"/>
        <w:jc w:val="both"/>
        <w:rPr>
          <w:rFonts w:ascii="Tahoma" w:hAnsi="Tahoma" w:cs="Tahoma"/>
        </w:rPr>
      </w:pPr>
      <w:r w:rsidRPr="00D839A6">
        <w:rPr>
          <w:rFonts w:ascii="Tahoma" w:hAnsi="Tahoma" w:cs="Tahoma"/>
        </w:rPr>
        <w:t>Sin embargo, agreg</w:t>
      </w:r>
      <w:r w:rsidR="00CA0706" w:rsidRPr="00D839A6">
        <w:rPr>
          <w:rFonts w:ascii="Tahoma" w:hAnsi="Tahoma" w:cs="Tahoma"/>
        </w:rPr>
        <w:t>ó</w:t>
      </w:r>
      <w:r w:rsidRPr="00D839A6">
        <w:rPr>
          <w:rFonts w:ascii="Tahoma" w:hAnsi="Tahoma" w:cs="Tahoma"/>
        </w:rPr>
        <w:t xml:space="preserve">, que al tratarse del </w:t>
      </w:r>
      <w:r w:rsidR="00A777AD" w:rsidRPr="00D839A6">
        <w:rPr>
          <w:rFonts w:ascii="Tahoma" w:hAnsi="Tahoma" w:cs="Tahoma"/>
        </w:rPr>
        <w:t>retroactivo</w:t>
      </w:r>
      <w:r w:rsidRPr="00D839A6">
        <w:rPr>
          <w:rFonts w:ascii="Tahoma" w:hAnsi="Tahoma" w:cs="Tahoma"/>
        </w:rPr>
        <w:t xml:space="preserve"> de la pensión de invalidez y no del retroactivo de la pensión de sobrevivientes, el mismo </w:t>
      </w:r>
      <w:r w:rsidR="00A777AD" w:rsidRPr="00D839A6">
        <w:rPr>
          <w:rFonts w:ascii="Tahoma" w:hAnsi="Tahoma" w:cs="Tahoma"/>
        </w:rPr>
        <w:t xml:space="preserve">era parte de la masa </w:t>
      </w:r>
      <w:proofErr w:type="spellStart"/>
      <w:r w:rsidR="00CA0706" w:rsidRPr="00D839A6">
        <w:rPr>
          <w:rFonts w:ascii="Tahoma" w:hAnsi="Tahoma" w:cs="Tahoma"/>
        </w:rPr>
        <w:lastRenderedPageBreak/>
        <w:t>sucesoral</w:t>
      </w:r>
      <w:proofErr w:type="spellEnd"/>
      <w:r w:rsidR="00A777AD" w:rsidRPr="00D839A6">
        <w:rPr>
          <w:rFonts w:ascii="Tahoma" w:hAnsi="Tahoma" w:cs="Tahoma"/>
        </w:rPr>
        <w:t xml:space="preserve"> del pensionado, debido a que la promotora del litigio no demostró que se le </w:t>
      </w:r>
      <w:r w:rsidR="00CA0706" w:rsidRPr="00D839A6">
        <w:rPr>
          <w:rFonts w:ascii="Tahoma" w:hAnsi="Tahoma" w:cs="Tahoma"/>
        </w:rPr>
        <w:t>hubiera</w:t>
      </w:r>
      <w:r w:rsidR="00A777AD" w:rsidRPr="00D839A6">
        <w:rPr>
          <w:rFonts w:ascii="Tahoma" w:hAnsi="Tahoma" w:cs="Tahoma"/>
        </w:rPr>
        <w:t xml:space="preserve"> adjudicado</w:t>
      </w:r>
      <w:r w:rsidR="00CA0706" w:rsidRPr="00D839A6">
        <w:rPr>
          <w:rFonts w:ascii="Tahoma" w:hAnsi="Tahoma" w:cs="Tahoma"/>
        </w:rPr>
        <w:t xml:space="preserve">, comprado o cedido el derecho hereditario. </w:t>
      </w:r>
    </w:p>
    <w:p w14:paraId="2BDA7D0D" w14:textId="77777777" w:rsidR="00CA0706" w:rsidRPr="00D839A6" w:rsidRDefault="00CA0706" w:rsidP="00D839A6">
      <w:pPr>
        <w:spacing w:line="276" w:lineRule="auto"/>
        <w:ind w:firstLine="709"/>
        <w:jc w:val="both"/>
        <w:rPr>
          <w:rFonts w:ascii="Tahoma" w:hAnsi="Tahoma" w:cs="Tahoma"/>
        </w:rPr>
      </w:pPr>
    </w:p>
    <w:p w14:paraId="30BB03B6" w14:textId="6377BD11" w:rsidR="009D7ABE" w:rsidRPr="00D839A6" w:rsidRDefault="0085751D" w:rsidP="00D839A6">
      <w:pPr>
        <w:spacing w:line="276" w:lineRule="auto"/>
        <w:ind w:firstLine="709"/>
        <w:jc w:val="both"/>
        <w:rPr>
          <w:rFonts w:ascii="Tahoma" w:hAnsi="Tahoma" w:cs="Tahoma"/>
        </w:rPr>
      </w:pPr>
      <w:r w:rsidRPr="00D839A6">
        <w:rPr>
          <w:rFonts w:ascii="Tahoma" w:hAnsi="Tahoma" w:cs="Tahoma"/>
        </w:rPr>
        <w:t>D</w:t>
      </w:r>
      <w:r w:rsidR="00CA0706" w:rsidRPr="00D839A6">
        <w:rPr>
          <w:rFonts w:ascii="Tahoma" w:hAnsi="Tahoma" w:cs="Tahoma"/>
        </w:rPr>
        <w:t>ispuso que la excepción de prescripción no estaba llamada a prosperar, porque entre la fecha de cali</w:t>
      </w:r>
      <w:r w:rsidR="001779CA" w:rsidRPr="00D839A6">
        <w:rPr>
          <w:rFonts w:ascii="Tahoma" w:hAnsi="Tahoma" w:cs="Tahoma"/>
        </w:rPr>
        <w:t xml:space="preserve">ficación </w:t>
      </w:r>
      <w:r w:rsidR="00FC5A35" w:rsidRPr="00D839A6">
        <w:rPr>
          <w:rFonts w:ascii="Tahoma" w:hAnsi="Tahoma" w:cs="Tahoma"/>
        </w:rPr>
        <w:t xml:space="preserve">(14 de noviembre de 2019) y la </w:t>
      </w:r>
      <w:r w:rsidR="00060B1E" w:rsidRPr="00D839A6">
        <w:rPr>
          <w:rFonts w:ascii="Tahoma" w:hAnsi="Tahoma" w:cs="Tahoma"/>
        </w:rPr>
        <w:t xml:space="preserve">presentación de la </w:t>
      </w:r>
      <w:r w:rsidR="00083B70" w:rsidRPr="00D839A6">
        <w:rPr>
          <w:rFonts w:ascii="Tahoma" w:hAnsi="Tahoma" w:cs="Tahoma"/>
        </w:rPr>
        <w:t xml:space="preserve">demanda </w:t>
      </w:r>
      <w:r w:rsidR="00B158BE" w:rsidRPr="00D839A6">
        <w:rPr>
          <w:rFonts w:ascii="Tahoma" w:hAnsi="Tahoma" w:cs="Tahoma"/>
        </w:rPr>
        <w:t>(</w:t>
      </w:r>
      <w:r w:rsidRPr="00D839A6">
        <w:rPr>
          <w:rFonts w:ascii="Tahoma" w:hAnsi="Tahoma" w:cs="Tahoma"/>
        </w:rPr>
        <w:t xml:space="preserve">1 de marzo de </w:t>
      </w:r>
      <w:r w:rsidR="00083B70" w:rsidRPr="00D839A6">
        <w:rPr>
          <w:rFonts w:ascii="Tahoma" w:hAnsi="Tahoma" w:cs="Tahoma"/>
        </w:rPr>
        <w:t>2021</w:t>
      </w:r>
      <w:r w:rsidR="00B158BE" w:rsidRPr="00D839A6">
        <w:rPr>
          <w:rFonts w:ascii="Tahoma" w:hAnsi="Tahoma" w:cs="Tahoma"/>
        </w:rPr>
        <w:t>)</w:t>
      </w:r>
      <w:r w:rsidR="00083B70" w:rsidRPr="00D839A6">
        <w:rPr>
          <w:rFonts w:ascii="Tahoma" w:hAnsi="Tahoma" w:cs="Tahoma"/>
        </w:rPr>
        <w:t xml:space="preserve">, </w:t>
      </w:r>
      <w:r w:rsidR="00B158BE" w:rsidRPr="00D839A6">
        <w:rPr>
          <w:rFonts w:ascii="Tahoma" w:hAnsi="Tahoma" w:cs="Tahoma"/>
        </w:rPr>
        <w:t xml:space="preserve">transcurrieron menos </w:t>
      </w:r>
      <w:r w:rsidR="00060B1E" w:rsidRPr="00D839A6">
        <w:rPr>
          <w:rFonts w:ascii="Tahoma" w:hAnsi="Tahoma" w:cs="Tahoma"/>
        </w:rPr>
        <w:t>de tres años</w:t>
      </w:r>
      <w:r w:rsidR="008D1397" w:rsidRPr="00D839A6">
        <w:rPr>
          <w:rFonts w:ascii="Tahoma" w:hAnsi="Tahoma" w:cs="Tahoma"/>
        </w:rPr>
        <w:t xml:space="preserve">. </w:t>
      </w:r>
    </w:p>
    <w:p w14:paraId="3C5E523A" w14:textId="77777777" w:rsidR="008D1397" w:rsidRPr="00D839A6" w:rsidRDefault="008D1397" w:rsidP="00D839A6">
      <w:pPr>
        <w:spacing w:line="276" w:lineRule="auto"/>
        <w:ind w:firstLine="709"/>
        <w:jc w:val="both"/>
        <w:rPr>
          <w:rFonts w:ascii="Tahoma" w:hAnsi="Tahoma" w:cs="Tahoma"/>
        </w:rPr>
      </w:pPr>
    </w:p>
    <w:p w14:paraId="2024380F" w14:textId="208C1318" w:rsidR="00CA0706" w:rsidRPr="00D839A6" w:rsidRDefault="008D1397" w:rsidP="00D839A6">
      <w:pPr>
        <w:spacing w:line="276" w:lineRule="auto"/>
        <w:ind w:firstLine="709"/>
        <w:jc w:val="both"/>
        <w:rPr>
          <w:rFonts w:ascii="Tahoma" w:hAnsi="Tahoma" w:cs="Tahoma"/>
        </w:rPr>
      </w:pPr>
      <w:r w:rsidRPr="00D839A6">
        <w:rPr>
          <w:rFonts w:ascii="Tahoma" w:hAnsi="Tahoma" w:cs="Tahoma"/>
        </w:rPr>
        <w:t>Así, calcul</w:t>
      </w:r>
      <w:r w:rsidR="3CD9986E" w:rsidRPr="00D839A6">
        <w:rPr>
          <w:rFonts w:ascii="Tahoma" w:hAnsi="Tahoma" w:cs="Tahoma"/>
        </w:rPr>
        <w:t>ó</w:t>
      </w:r>
      <w:r w:rsidRPr="00D839A6">
        <w:rPr>
          <w:rFonts w:ascii="Tahoma" w:hAnsi="Tahoma" w:cs="Tahoma"/>
        </w:rPr>
        <w:t xml:space="preserve"> el retroactivo pensional</w:t>
      </w:r>
      <w:r w:rsidR="00044016" w:rsidRPr="00D839A6">
        <w:rPr>
          <w:rFonts w:ascii="Tahoma" w:hAnsi="Tahoma" w:cs="Tahoma"/>
        </w:rPr>
        <w:t xml:space="preserve"> en $109.149.256,</w:t>
      </w:r>
      <w:r w:rsidRPr="00D839A6">
        <w:rPr>
          <w:rFonts w:ascii="Tahoma" w:hAnsi="Tahoma" w:cs="Tahoma"/>
        </w:rPr>
        <w:t xml:space="preserve"> teniendo para el efecto 14 mesadas anuales y una mesada equivalente al salario mínimo </w:t>
      </w:r>
      <w:r w:rsidR="00D84E0F" w:rsidRPr="00D839A6">
        <w:rPr>
          <w:rFonts w:ascii="Tahoma" w:hAnsi="Tahoma" w:cs="Tahoma"/>
        </w:rPr>
        <w:t xml:space="preserve">del </w:t>
      </w:r>
      <w:r w:rsidR="00D06389" w:rsidRPr="00D839A6">
        <w:rPr>
          <w:rFonts w:ascii="Tahoma" w:hAnsi="Tahoma" w:cs="Tahoma"/>
        </w:rPr>
        <w:t xml:space="preserve">25 de mayo de </w:t>
      </w:r>
      <w:r w:rsidR="002533EE" w:rsidRPr="00D839A6">
        <w:rPr>
          <w:rFonts w:ascii="Tahoma" w:hAnsi="Tahoma" w:cs="Tahoma"/>
        </w:rPr>
        <w:t xml:space="preserve">2007 </w:t>
      </w:r>
      <w:r w:rsidR="00D84E0F" w:rsidRPr="00D839A6">
        <w:rPr>
          <w:rFonts w:ascii="Tahoma" w:hAnsi="Tahoma" w:cs="Tahoma"/>
        </w:rPr>
        <w:t xml:space="preserve">al </w:t>
      </w:r>
      <w:r w:rsidR="002533EE" w:rsidRPr="00D839A6">
        <w:rPr>
          <w:rFonts w:ascii="Tahoma" w:hAnsi="Tahoma" w:cs="Tahoma"/>
        </w:rPr>
        <w:t>10 de febrero de 2020</w:t>
      </w:r>
      <w:r w:rsidR="00D84E0F" w:rsidRPr="00D839A6">
        <w:rPr>
          <w:rFonts w:ascii="Tahoma" w:hAnsi="Tahoma" w:cs="Tahoma"/>
        </w:rPr>
        <w:t xml:space="preserve"> </w:t>
      </w:r>
      <w:r w:rsidR="00E71146" w:rsidRPr="00D839A6">
        <w:rPr>
          <w:rFonts w:ascii="Tahoma" w:hAnsi="Tahoma" w:cs="Tahoma"/>
        </w:rPr>
        <w:t>del cual descontó la suma de $</w:t>
      </w:r>
      <w:r w:rsidR="00AB2102" w:rsidRPr="00D839A6">
        <w:rPr>
          <w:rFonts w:ascii="Tahoma" w:hAnsi="Tahoma" w:cs="Tahoma"/>
        </w:rPr>
        <w:t>13.052.</w:t>
      </w:r>
      <w:r w:rsidR="00FC7374" w:rsidRPr="00D839A6">
        <w:rPr>
          <w:rFonts w:ascii="Tahoma" w:hAnsi="Tahoma" w:cs="Tahoma"/>
        </w:rPr>
        <w:t>2</w:t>
      </w:r>
      <w:r w:rsidR="00C9635F" w:rsidRPr="00D839A6">
        <w:rPr>
          <w:rFonts w:ascii="Tahoma" w:hAnsi="Tahoma" w:cs="Tahoma"/>
        </w:rPr>
        <w:t>65</w:t>
      </w:r>
      <w:r w:rsidR="00E71146" w:rsidRPr="00D839A6">
        <w:rPr>
          <w:rFonts w:ascii="Tahoma" w:hAnsi="Tahoma" w:cs="Tahoma"/>
        </w:rPr>
        <w:t xml:space="preserve"> equivalente a los descuentos con destino al sistema de salud, </w:t>
      </w:r>
      <w:r w:rsidR="00AB2102" w:rsidRPr="00D839A6">
        <w:rPr>
          <w:rFonts w:ascii="Tahoma" w:hAnsi="Tahoma" w:cs="Tahoma"/>
        </w:rPr>
        <w:t>para lo cual, tuvo en cuenta un porcentaje del 12% a excepción del 2020 cuyo descuento se redujo al 8%</w:t>
      </w:r>
      <w:r w:rsidR="002533EE" w:rsidRPr="00D839A6">
        <w:rPr>
          <w:rFonts w:ascii="Tahoma" w:hAnsi="Tahoma" w:cs="Tahoma"/>
        </w:rPr>
        <w:t xml:space="preserve">. </w:t>
      </w:r>
    </w:p>
    <w:p w14:paraId="0854669C" w14:textId="77777777" w:rsidR="002533EE" w:rsidRPr="00D839A6" w:rsidRDefault="002533EE" w:rsidP="00D839A6">
      <w:pPr>
        <w:spacing w:line="276" w:lineRule="auto"/>
        <w:ind w:firstLine="709"/>
        <w:jc w:val="both"/>
        <w:rPr>
          <w:rFonts w:ascii="Tahoma" w:hAnsi="Tahoma" w:cs="Tahoma"/>
        </w:rPr>
      </w:pPr>
    </w:p>
    <w:p w14:paraId="531225F1" w14:textId="24F79D3B" w:rsidR="00984DBE" w:rsidRPr="00D839A6" w:rsidRDefault="002533EE" w:rsidP="00D839A6">
      <w:pPr>
        <w:spacing w:line="276" w:lineRule="auto"/>
        <w:ind w:firstLine="709"/>
        <w:jc w:val="both"/>
        <w:rPr>
          <w:rFonts w:ascii="Tahoma" w:hAnsi="Tahoma" w:cs="Tahoma"/>
        </w:rPr>
      </w:pPr>
      <w:r w:rsidRPr="00D839A6">
        <w:rPr>
          <w:rFonts w:ascii="Tahoma" w:hAnsi="Tahoma" w:cs="Tahoma"/>
        </w:rPr>
        <w:t xml:space="preserve">Finalmente, </w:t>
      </w:r>
      <w:r w:rsidR="00F624CF" w:rsidRPr="00D839A6">
        <w:rPr>
          <w:rFonts w:ascii="Tahoma" w:hAnsi="Tahoma" w:cs="Tahoma"/>
        </w:rPr>
        <w:t xml:space="preserve">reconoció el pago de los intereses moratorios desde la ejecutoria de la sentencia, refiriendo que la </w:t>
      </w:r>
      <w:r w:rsidR="0006469A" w:rsidRPr="00D839A6">
        <w:rPr>
          <w:rFonts w:ascii="Tahoma" w:hAnsi="Tahoma" w:cs="Tahoma"/>
        </w:rPr>
        <w:t xml:space="preserve">pensión de sobrevivientes </w:t>
      </w:r>
      <w:r w:rsidR="00F624CF" w:rsidRPr="00D839A6">
        <w:rPr>
          <w:rFonts w:ascii="Tahoma" w:hAnsi="Tahoma" w:cs="Tahoma"/>
        </w:rPr>
        <w:t xml:space="preserve">se había reconocido dentro </w:t>
      </w:r>
      <w:r w:rsidR="0006469A" w:rsidRPr="00D839A6">
        <w:rPr>
          <w:rFonts w:ascii="Tahoma" w:hAnsi="Tahoma" w:cs="Tahoma"/>
        </w:rPr>
        <w:t>del término, y advirtió que la negativa del retroactivo de la pensión de invalidez se había</w:t>
      </w:r>
      <w:r w:rsidR="00044456" w:rsidRPr="00D839A6">
        <w:rPr>
          <w:rFonts w:ascii="Tahoma" w:hAnsi="Tahoma" w:cs="Tahoma"/>
        </w:rPr>
        <w:t xml:space="preserve"> realizado con sujeción a la ley, pues no se podía reconocer ante la incertidumbre de los periodos en los cuales estuvo incapacitado el causante</w:t>
      </w:r>
      <w:r w:rsidR="00E6791C" w:rsidRPr="00D839A6">
        <w:rPr>
          <w:rFonts w:ascii="Tahoma" w:hAnsi="Tahoma" w:cs="Tahoma"/>
        </w:rPr>
        <w:t xml:space="preserve">, para lo cual solicitó las pruebas necesarias a la demandante. </w:t>
      </w:r>
    </w:p>
    <w:p w14:paraId="20C5CB90" w14:textId="77777777" w:rsidR="00A822AE" w:rsidRPr="00D839A6" w:rsidRDefault="00A822AE" w:rsidP="00D839A6">
      <w:pPr>
        <w:spacing w:line="276" w:lineRule="auto"/>
        <w:jc w:val="both"/>
        <w:rPr>
          <w:rFonts w:ascii="Tahoma" w:hAnsi="Tahoma" w:cs="Tahoma"/>
        </w:rPr>
      </w:pPr>
    </w:p>
    <w:p w14:paraId="7A9570B2" w14:textId="2EA43311" w:rsidR="00984DBE" w:rsidRPr="00D839A6" w:rsidRDefault="00714B9C" w:rsidP="00D839A6">
      <w:pPr>
        <w:pStyle w:val="Yo"/>
        <w:spacing w:line="276" w:lineRule="auto"/>
        <w:rPr>
          <w:rFonts w:ascii="Tahoma" w:eastAsia="Tahoma" w:hAnsi="Tahoma" w:cs="Tahoma"/>
          <w:sz w:val="24"/>
          <w:szCs w:val="24"/>
        </w:rPr>
      </w:pPr>
      <w:r w:rsidRPr="00D839A6">
        <w:rPr>
          <w:rFonts w:ascii="Tahoma" w:eastAsia="Tahoma" w:hAnsi="Tahoma" w:cs="Tahoma"/>
          <w:sz w:val="24"/>
          <w:szCs w:val="24"/>
        </w:rPr>
        <w:t xml:space="preserve">RECURSO DE APELACIÓN </w:t>
      </w:r>
    </w:p>
    <w:p w14:paraId="549D47B4" w14:textId="0048722E" w:rsidR="00984DBE" w:rsidRPr="00D839A6" w:rsidRDefault="00984DBE" w:rsidP="00D839A6">
      <w:pPr>
        <w:widowControl w:val="0"/>
        <w:spacing w:line="276" w:lineRule="auto"/>
        <w:jc w:val="both"/>
        <w:rPr>
          <w:rFonts w:ascii="Tahoma" w:eastAsia="Tahoma" w:hAnsi="Tahoma" w:cs="Tahoma"/>
        </w:rPr>
      </w:pPr>
    </w:p>
    <w:p w14:paraId="74649039" w14:textId="4EEC63D5" w:rsidR="00541B58" w:rsidRPr="00D839A6" w:rsidRDefault="00EB4DB0" w:rsidP="00D839A6">
      <w:pPr>
        <w:spacing w:line="276" w:lineRule="auto"/>
        <w:ind w:firstLine="708"/>
        <w:jc w:val="both"/>
        <w:rPr>
          <w:rFonts w:ascii="Tahoma" w:eastAsia="Tahoma" w:hAnsi="Tahoma" w:cs="Tahoma"/>
          <w:lang w:val="es-CO"/>
        </w:rPr>
      </w:pPr>
      <w:r w:rsidRPr="00D839A6">
        <w:rPr>
          <w:rFonts w:ascii="Tahoma" w:eastAsia="Tahoma" w:hAnsi="Tahoma" w:cs="Tahoma"/>
          <w:lang w:val="es-CO"/>
        </w:rPr>
        <w:t>Inconforme con</w:t>
      </w:r>
      <w:r w:rsidR="00541B58" w:rsidRPr="00D839A6">
        <w:rPr>
          <w:rFonts w:ascii="Tahoma" w:eastAsia="Tahoma" w:hAnsi="Tahoma" w:cs="Tahoma"/>
          <w:lang w:val="es-CO"/>
        </w:rPr>
        <w:t xml:space="preserve"> el momento desde el cual se condenó al pago de los intereses moratorios, </w:t>
      </w:r>
      <w:r w:rsidR="002E3775" w:rsidRPr="00D839A6">
        <w:rPr>
          <w:rFonts w:ascii="Tahoma" w:eastAsia="Tahoma" w:hAnsi="Tahoma" w:cs="Tahoma"/>
          <w:lang w:val="es-CO"/>
        </w:rPr>
        <w:t xml:space="preserve">la parte demandante interpuso recurso de apelación, para que contrario a la sentencia de instancia, </w:t>
      </w:r>
      <w:r w:rsidR="00D614C6" w:rsidRPr="00D839A6">
        <w:rPr>
          <w:rFonts w:ascii="Tahoma" w:eastAsia="Tahoma" w:hAnsi="Tahoma" w:cs="Tahoma"/>
          <w:lang w:val="es-CO"/>
        </w:rPr>
        <w:t>le fuer</w:t>
      </w:r>
      <w:r w:rsidR="0093691A" w:rsidRPr="00D839A6">
        <w:rPr>
          <w:rFonts w:ascii="Tahoma" w:eastAsia="Tahoma" w:hAnsi="Tahoma" w:cs="Tahoma"/>
          <w:lang w:val="es-CO"/>
        </w:rPr>
        <w:t>a</w:t>
      </w:r>
      <w:r w:rsidR="00D614C6" w:rsidRPr="00D839A6">
        <w:rPr>
          <w:rFonts w:ascii="Tahoma" w:eastAsia="Tahoma" w:hAnsi="Tahoma" w:cs="Tahoma"/>
          <w:lang w:val="es-CO"/>
        </w:rPr>
        <w:t>n reconocidos desde l</w:t>
      </w:r>
      <w:r w:rsidR="002E3775" w:rsidRPr="00D839A6">
        <w:rPr>
          <w:rFonts w:ascii="Tahoma" w:eastAsia="Tahoma" w:hAnsi="Tahoma" w:cs="Tahoma"/>
          <w:lang w:val="es-CO"/>
        </w:rPr>
        <w:t xml:space="preserve">a </w:t>
      </w:r>
      <w:r w:rsidR="00833F75" w:rsidRPr="00D839A6">
        <w:rPr>
          <w:rFonts w:ascii="Tahoma" w:eastAsia="Tahoma" w:hAnsi="Tahoma" w:cs="Tahoma"/>
          <w:lang w:val="es-CO"/>
        </w:rPr>
        <w:t>causación del retroactivo pensional, afirmando que en tres oportunidades</w:t>
      </w:r>
      <w:r w:rsidR="007D5A06" w:rsidRPr="00D839A6">
        <w:rPr>
          <w:rFonts w:ascii="Tahoma" w:eastAsia="Tahoma" w:hAnsi="Tahoma" w:cs="Tahoma"/>
          <w:lang w:val="es-CO"/>
        </w:rPr>
        <w:t xml:space="preserve">, esto es, 6 de octubre de 2020 en el recurso de apelación presentado frente a la resolución que reconoció la pensión de sobrevivientes, el 24 de octubre de 2020 y el 19 de enero de 2021, últimas como </w:t>
      </w:r>
      <w:r w:rsidR="00D614C6" w:rsidRPr="00D839A6">
        <w:rPr>
          <w:rFonts w:ascii="Tahoma" w:eastAsia="Tahoma" w:hAnsi="Tahoma" w:cs="Tahoma"/>
          <w:lang w:val="es-CO"/>
        </w:rPr>
        <w:t>solicitud</w:t>
      </w:r>
      <w:r w:rsidR="007D5A06" w:rsidRPr="00D839A6">
        <w:rPr>
          <w:rFonts w:ascii="Tahoma" w:eastAsia="Tahoma" w:hAnsi="Tahoma" w:cs="Tahoma"/>
          <w:lang w:val="es-CO"/>
        </w:rPr>
        <w:t xml:space="preserve"> de nuevo estudio</w:t>
      </w:r>
      <w:r w:rsidR="00D614C6" w:rsidRPr="00D839A6">
        <w:rPr>
          <w:rFonts w:ascii="Tahoma" w:eastAsia="Tahoma" w:hAnsi="Tahoma" w:cs="Tahoma"/>
          <w:lang w:val="es-CO"/>
        </w:rPr>
        <w:t xml:space="preserve">, </w:t>
      </w:r>
      <w:r w:rsidR="00833F75" w:rsidRPr="00D839A6">
        <w:rPr>
          <w:rFonts w:ascii="Tahoma" w:eastAsia="Tahoma" w:hAnsi="Tahoma" w:cs="Tahoma"/>
          <w:lang w:val="es-CO"/>
        </w:rPr>
        <w:t xml:space="preserve">aportó los certificados expedidos por la NUEVA </w:t>
      </w:r>
      <w:proofErr w:type="spellStart"/>
      <w:r w:rsidR="00833F75" w:rsidRPr="00D839A6">
        <w:rPr>
          <w:rFonts w:ascii="Tahoma" w:eastAsia="Tahoma" w:hAnsi="Tahoma" w:cs="Tahoma"/>
          <w:lang w:val="es-CO"/>
        </w:rPr>
        <w:t>EPS</w:t>
      </w:r>
      <w:proofErr w:type="spellEnd"/>
      <w:r w:rsidR="00833F75" w:rsidRPr="00D839A6">
        <w:rPr>
          <w:rFonts w:ascii="Tahoma" w:eastAsia="Tahoma" w:hAnsi="Tahoma" w:cs="Tahoma"/>
          <w:lang w:val="es-CO"/>
        </w:rPr>
        <w:t xml:space="preserve"> y COOMEVA </w:t>
      </w:r>
      <w:proofErr w:type="spellStart"/>
      <w:r w:rsidR="00833F75" w:rsidRPr="00D839A6">
        <w:rPr>
          <w:rFonts w:ascii="Tahoma" w:eastAsia="Tahoma" w:hAnsi="Tahoma" w:cs="Tahoma"/>
          <w:lang w:val="es-CO"/>
        </w:rPr>
        <w:t>EPS</w:t>
      </w:r>
      <w:proofErr w:type="spellEnd"/>
      <w:r w:rsidR="00D614C6" w:rsidRPr="00D839A6">
        <w:rPr>
          <w:rFonts w:ascii="Tahoma" w:eastAsia="Tahoma" w:hAnsi="Tahoma" w:cs="Tahoma"/>
          <w:lang w:val="es-CO"/>
        </w:rPr>
        <w:t xml:space="preserve"> </w:t>
      </w:r>
      <w:r w:rsidR="00833F75" w:rsidRPr="00D839A6">
        <w:rPr>
          <w:rFonts w:ascii="Tahoma" w:eastAsia="Tahoma" w:hAnsi="Tahoma" w:cs="Tahoma"/>
          <w:lang w:val="es-CO"/>
        </w:rPr>
        <w:t xml:space="preserve">de los cuales era claro que con </w:t>
      </w:r>
      <w:r w:rsidR="002F2A49" w:rsidRPr="00D839A6">
        <w:rPr>
          <w:rFonts w:ascii="Tahoma" w:eastAsia="Tahoma" w:hAnsi="Tahoma" w:cs="Tahoma"/>
          <w:lang w:val="es-CO"/>
        </w:rPr>
        <w:t>posterioridad</w:t>
      </w:r>
      <w:r w:rsidR="00833F75" w:rsidRPr="00D839A6">
        <w:rPr>
          <w:rFonts w:ascii="Tahoma" w:eastAsia="Tahoma" w:hAnsi="Tahoma" w:cs="Tahoma"/>
          <w:lang w:val="es-CO"/>
        </w:rPr>
        <w:t xml:space="preserve"> a</w:t>
      </w:r>
      <w:r w:rsidR="002F2A49" w:rsidRPr="00D839A6">
        <w:rPr>
          <w:rFonts w:ascii="Tahoma" w:eastAsia="Tahoma" w:hAnsi="Tahoma" w:cs="Tahoma"/>
          <w:lang w:val="es-CO"/>
        </w:rPr>
        <w:t xml:space="preserve"> la fecha de estructuración al causante no le fueron prescritas incapacidades médicas</w:t>
      </w:r>
      <w:r w:rsidR="00EE1C5C" w:rsidRPr="00D839A6">
        <w:rPr>
          <w:rFonts w:ascii="Tahoma" w:eastAsia="Tahoma" w:hAnsi="Tahoma" w:cs="Tahoma"/>
          <w:lang w:val="es-CO"/>
        </w:rPr>
        <w:t xml:space="preserve">, </w:t>
      </w:r>
      <w:r w:rsidR="15E8AD5D" w:rsidRPr="00D839A6">
        <w:rPr>
          <w:rFonts w:ascii="Tahoma" w:eastAsia="Tahoma" w:hAnsi="Tahoma" w:cs="Tahoma"/>
          <w:lang w:val="es-CO"/>
        </w:rPr>
        <w:t>y por ello</w:t>
      </w:r>
      <w:r w:rsidR="00EE1C5C" w:rsidRPr="00D839A6">
        <w:rPr>
          <w:rFonts w:ascii="Tahoma" w:eastAsia="Tahoma" w:hAnsi="Tahoma" w:cs="Tahoma"/>
          <w:lang w:val="es-CO"/>
        </w:rPr>
        <w:t xml:space="preserve"> no existía ninguna razón para </w:t>
      </w:r>
      <w:r w:rsidR="00233E44" w:rsidRPr="00D839A6">
        <w:rPr>
          <w:rFonts w:ascii="Tahoma" w:eastAsia="Tahoma" w:hAnsi="Tahoma" w:cs="Tahoma"/>
          <w:lang w:val="es-CO"/>
        </w:rPr>
        <w:t xml:space="preserve">negar el </w:t>
      </w:r>
      <w:r w:rsidR="00EE1C5C" w:rsidRPr="00D839A6">
        <w:rPr>
          <w:rFonts w:ascii="Tahoma" w:eastAsia="Tahoma" w:hAnsi="Tahoma" w:cs="Tahoma"/>
          <w:lang w:val="es-CO"/>
        </w:rPr>
        <w:t>retroactivo pretendido.</w:t>
      </w:r>
    </w:p>
    <w:p w14:paraId="5F1EE5A4" w14:textId="77777777" w:rsidR="00EE1C5C" w:rsidRPr="00D839A6" w:rsidRDefault="00EE1C5C" w:rsidP="00D839A6">
      <w:pPr>
        <w:spacing w:line="276" w:lineRule="auto"/>
        <w:ind w:firstLine="708"/>
        <w:jc w:val="both"/>
        <w:rPr>
          <w:rFonts w:ascii="Tahoma" w:eastAsia="Tahoma" w:hAnsi="Tahoma" w:cs="Tahoma"/>
          <w:lang w:val="es-CO"/>
        </w:rPr>
      </w:pPr>
    </w:p>
    <w:p w14:paraId="049F8812" w14:textId="121FB2B9" w:rsidR="002D3B5E" w:rsidRPr="00D839A6" w:rsidRDefault="00A915FA" w:rsidP="00D839A6">
      <w:pPr>
        <w:spacing w:line="276" w:lineRule="auto"/>
        <w:ind w:firstLine="708"/>
        <w:jc w:val="both"/>
        <w:rPr>
          <w:rFonts w:ascii="Tahoma" w:eastAsia="Tahoma" w:hAnsi="Tahoma" w:cs="Tahoma"/>
          <w:lang w:val="es-CO"/>
        </w:rPr>
      </w:pPr>
      <w:r w:rsidRPr="00D839A6">
        <w:rPr>
          <w:rFonts w:ascii="Tahoma" w:eastAsia="Tahoma" w:hAnsi="Tahoma" w:cs="Tahoma"/>
          <w:lang w:val="es-CO"/>
        </w:rPr>
        <w:t xml:space="preserve">Por su parte, </w:t>
      </w:r>
      <w:r w:rsidR="00541B58" w:rsidRPr="00D839A6">
        <w:rPr>
          <w:rFonts w:ascii="Tahoma" w:eastAsia="Tahoma" w:hAnsi="Tahoma" w:cs="Tahoma"/>
          <w:lang w:val="es-CO"/>
        </w:rPr>
        <w:t>la Administradora Colombiana de Pensiones</w:t>
      </w:r>
      <w:r w:rsidR="009D77A8">
        <w:rPr>
          <w:rFonts w:ascii="Tahoma" w:eastAsia="Tahoma" w:hAnsi="Tahoma" w:cs="Tahoma"/>
          <w:lang w:val="es-CO"/>
        </w:rPr>
        <w:t xml:space="preserve"> –</w:t>
      </w:r>
      <w:r w:rsidR="00541B58" w:rsidRPr="00D839A6">
        <w:rPr>
          <w:rFonts w:ascii="Tahoma" w:eastAsia="Tahoma" w:hAnsi="Tahoma" w:cs="Tahoma"/>
          <w:lang w:val="es-CO"/>
        </w:rPr>
        <w:t xml:space="preserve"> Colpensiones, </w:t>
      </w:r>
      <w:r w:rsidRPr="00D839A6">
        <w:rPr>
          <w:rFonts w:ascii="Tahoma" w:eastAsia="Tahoma" w:hAnsi="Tahoma" w:cs="Tahoma"/>
          <w:lang w:val="es-CO"/>
        </w:rPr>
        <w:t>en sustento del mismo recurso,</w:t>
      </w:r>
      <w:r w:rsidR="00604BB8" w:rsidRPr="00D839A6">
        <w:rPr>
          <w:rFonts w:ascii="Tahoma" w:eastAsia="Tahoma" w:hAnsi="Tahoma" w:cs="Tahoma"/>
          <w:lang w:val="es-CO"/>
        </w:rPr>
        <w:t xml:space="preserve"> solici</w:t>
      </w:r>
      <w:r w:rsidR="001D0435" w:rsidRPr="00D839A6">
        <w:rPr>
          <w:rFonts w:ascii="Tahoma" w:eastAsia="Tahoma" w:hAnsi="Tahoma" w:cs="Tahoma"/>
          <w:lang w:val="es-CO"/>
        </w:rPr>
        <w:t xml:space="preserve">tó </w:t>
      </w:r>
      <w:r w:rsidR="00604BB8" w:rsidRPr="00D839A6">
        <w:rPr>
          <w:rFonts w:ascii="Tahoma" w:eastAsia="Tahoma" w:hAnsi="Tahoma" w:cs="Tahoma"/>
          <w:lang w:val="es-CO"/>
        </w:rPr>
        <w:t xml:space="preserve">que fueran desestimadas las pretensiones del libelo, ratificando los argumentos de la contestación, </w:t>
      </w:r>
      <w:r w:rsidR="001D0435" w:rsidRPr="00D839A6">
        <w:rPr>
          <w:rFonts w:ascii="Tahoma" w:eastAsia="Tahoma" w:hAnsi="Tahoma" w:cs="Tahoma"/>
          <w:lang w:val="es-CO"/>
        </w:rPr>
        <w:t xml:space="preserve">ya que los certificados de incapacidades aportados en sede administrativa </w:t>
      </w:r>
      <w:r w:rsidR="00126CC6" w:rsidRPr="00D839A6">
        <w:rPr>
          <w:rFonts w:ascii="Tahoma" w:eastAsia="Tahoma" w:hAnsi="Tahoma" w:cs="Tahoma"/>
          <w:lang w:val="es-CO"/>
        </w:rPr>
        <w:t>no correspondían a l</w:t>
      </w:r>
      <w:r w:rsidR="00485160" w:rsidRPr="00D839A6">
        <w:rPr>
          <w:rFonts w:ascii="Tahoma" w:eastAsia="Tahoma" w:hAnsi="Tahoma" w:cs="Tahoma"/>
          <w:lang w:val="es-CO"/>
        </w:rPr>
        <w:t>os exigidos por la</w:t>
      </w:r>
      <w:r w:rsidR="00126CC6" w:rsidRPr="00D839A6">
        <w:rPr>
          <w:rFonts w:ascii="Tahoma" w:eastAsia="Tahoma" w:hAnsi="Tahoma" w:cs="Tahoma"/>
          <w:lang w:val="es-CO"/>
        </w:rPr>
        <w:t xml:space="preserve"> normatividad vigente</w:t>
      </w:r>
      <w:r w:rsidR="0004037A" w:rsidRPr="00D839A6">
        <w:rPr>
          <w:rFonts w:ascii="Tahoma" w:eastAsia="Tahoma" w:hAnsi="Tahoma" w:cs="Tahoma"/>
          <w:lang w:val="es-CO"/>
        </w:rPr>
        <w:t xml:space="preserve">, siendo necesarios para reconocer la prestación pretendida, </w:t>
      </w:r>
      <w:r w:rsidR="00097D4C" w:rsidRPr="00D839A6">
        <w:rPr>
          <w:rFonts w:ascii="Tahoma" w:eastAsia="Tahoma" w:hAnsi="Tahoma" w:cs="Tahoma"/>
          <w:lang w:val="es-CO"/>
        </w:rPr>
        <w:t xml:space="preserve">conforme al </w:t>
      </w:r>
      <w:r w:rsidR="00485160" w:rsidRPr="00D839A6">
        <w:rPr>
          <w:rFonts w:ascii="Tahoma" w:eastAsia="Tahoma" w:hAnsi="Tahoma" w:cs="Tahoma"/>
          <w:lang w:val="es-CO"/>
        </w:rPr>
        <w:t>artículo 10 del Decreto 7</w:t>
      </w:r>
      <w:r w:rsidR="00415C0F" w:rsidRPr="00D839A6">
        <w:rPr>
          <w:rFonts w:ascii="Tahoma" w:eastAsia="Tahoma" w:hAnsi="Tahoma" w:cs="Tahoma"/>
          <w:lang w:val="es-CO"/>
        </w:rPr>
        <w:t>58 de 1990</w:t>
      </w:r>
      <w:r w:rsidR="0004037A" w:rsidRPr="00D839A6">
        <w:rPr>
          <w:rFonts w:ascii="Tahoma" w:eastAsia="Tahoma" w:hAnsi="Tahoma" w:cs="Tahoma"/>
          <w:lang w:val="es-CO"/>
        </w:rPr>
        <w:t>.</w:t>
      </w:r>
    </w:p>
    <w:p w14:paraId="3BBFD358" w14:textId="78159635" w:rsidR="00156BA1" w:rsidRPr="00D839A6" w:rsidRDefault="00156BA1" w:rsidP="00D839A6">
      <w:pPr>
        <w:spacing w:line="276" w:lineRule="auto"/>
        <w:jc w:val="both"/>
        <w:rPr>
          <w:rFonts w:ascii="Tahoma" w:eastAsia="Tahoma" w:hAnsi="Tahoma" w:cs="Tahoma"/>
        </w:rPr>
      </w:pPr>
    </w:p>
    <w:p w14:paraId="5F24AA60" w14:textId="1A50B467" w:rsidR="008C0B82" w:rsidRPr="00D839A6" w:rsidRDefault="00B00BC8" w:rsidP="00D839A6">
      <w:pPr>
        <w:numPr>
          <w:ilvl w:val="0"/>
          <w:numId w:val="3"/>
        </w:numPr>
        <w:pBdr>
          <w:top w:val="nil"/>
          <w:left w:val="nil"/>
          <w:bottom w:val="nil"/>
          <w:right w:val="nil"/>
          <w:between w:val="nil"/>
        </w:pBdr>
        <w:spacing w:line="276" w:lineRule="auto"/>
        <w:contextualSpacing/>
        <w:jc w:val="center"/>
        <w:rPr>
          <w:rFonts w:ascii="Tahoma" w:eastAsia="Tahoma" w:hAnsi="Tahoma" w:cs="Tahoma"/>
          <w:b/>
          <w:color w:val="000000"/>
        </w:rPr>
      </w:pPr>
      <w:bookmarkStart w:id="4" w:name="_Hlk105572572"/>
      <w:r w:rsidRPr="00D839A6">
        <w:rPr>
          <w:rFonts w:ascii="Tahoma" w:eastAsia="Tahoma" w:hAnsi="Tahoma" w:cs="Tahoma"/>
          <w:b/>
          <w:color w:val="000000"/>
        </w:rPr>
        <w:t>ALEGATOS DE CONCLUSIÓN</w:t>
      </w:r>
    </w:p>
    <w:p w14:paraId="4D7BB7F2" w14:textId="77777777" w:rsidR="00714B9C" w:rsidRPr="00D839A6" w:rsidRDefault="00714B9C" w:rsidP="00D839A6">
      <w:pPr>
        <w:pBdr>
          <w:top w:val="nil"/>
          <w:left w:val="nil"/>
          <w:bottom w:val="nil"/>
          <w:right w:val="nil"/>
          <w:between w:val="nil"/>
        </w:pBdr>
        <w:spacing w:line="276" w:lineRule="auto"/>
        <w:contextualSpacing/>
        <w:jc w:val="both"/>
        <w:rPr>
          <w:rFonts w:ascii="Tahoma" w:eastAsia="Tahoma" w:hAnsi="Tahoma" w:cs="Tahoma"/>
          <w:b/>
          <w:color w:val="000000"/>
        </w:rPr>
      </w:pPr>
    </w:p>
    <w:p w14:paraId="3670479F" w14:textId="62075533" w:rsidR="00F95AA1" w:rsidRPr="00D839A6" w:rsidRDefault="00F95AA1" w:rsidP="00D839A6">
      <w:pPr>
        <w:spacing w:line="276" w:lineRule="auto"/>
        <w:ind w:firstLine="708"/>
        <w:jc w:val="both"/>
        <w:rPr>
          <w:rFonts w:ascii="Tahoma" w:hAnsi="Tahoma" w:cs="Tahoma"/>
        </w:rPr>
      </w:pPr>
      <w:bookmarkStart w:id="5" w:name="_Hlk107745886"/>
      <w:r w:rsidRPr="00D839A6">
        <w:rPr>
          <w:rFonts w:ascii="Tahoma" w:hAnsi="Tahoma" w:cs="Tahoma"/>
        </w:rPr>
        <w:t xml:space="preserve">Analizados los alegatos escritos presentados </w:t>
      </w:r>
      <w:r w:rsidR="001F70E7" w:rsidRPr="00D839A6">
        <w:rPr>
          <w:rFonts w:ascii="Tahoma" w:hAnsi="Tahoma" w:cs="Tahoma"/>
        </w:rPr>
        <w:t xml:space="preserve">por Colpensiones, </w:t>
      </w:r>
      <w:r w:rsidRPr="00D839A6">
        <w:rPr>
          <w:rFonts w:ascii="Tahoma" w:hAnsi="Tahoma" w:cs="Tahoma"/>
        </w:rPr>
        <w:t xml:space="preserve">mismos que obran en el expediente digital y a los cuales nos remitimos por economía procesal en virtud del artículo 280 del </w:t>
      </w:r>
      <w:proofErr w:type="spellStart"/>
      <w:r w:rsidRPr="00D839A6">
        <w:rPr>
          <w:rFonts w:ascii="Tahoma" w:hAnsi="Tahoma" w:cs="Tahoma"/>
        </w:rPr>
        <w:t>C.G.P</w:t>
      </w:r>
      <w:proofErr w:type="spellEnd"/>
      <w:r w:rsidRPr="00D839A6">
        <w:rPr>
          <w:rFonts w:ascii="Tahoma" w:hAnsi="Tahoma" w:cs="Tahoma"/>
        </w:rPr>
        <w:t xml:space="preserve">., la Sala encuentra que los argumentos fácticos y jurídicos expresados concuerdan con los puntos objeto de discusión en esta instancia </w:t>
      </w:r>
      <w:r w:rsidRPr="00D839A6">
        <w:rPr>
          <w:rFonts w:ascii="Tahoma" w:hAnsi="Tahoma" w:cs="Tahoma"/>
        </w:rPr>
        <w:lastRenderedPageBreak/>
        <w:t>y se relacionan con el problema jurídico que se expresará más adelante. El Ministerio Público no conceptuó en este asunto.</w:t>
      </w:r>
    </w:p>
    <w:bookmarkEnd w:id="5"/>
    <w:p w14:paraId="1D39114E" w14:textId="06D16648" w:rsidR="002319F8" w:rsidRPr="00D839A6" w:rsidRDefault="002319F8" w:rsidP="00D839A6">
      <w:pPr>
        <w:spacing w:line="276" w:lineRule="auto"/>
        <w:jc w:val="both"/>
        <w:rPr>
          <w:rFonts w:ascii="Tahoma" w:eastAsia="Tahoma" w:hAnsi="Tahoma" w:cs="Tahoma"/>
        </w:rPr>
      </w:pPr>
    </w:p>
    <w:p w14:paraId="73C4D2F4" w14:textId="5DB6E0F1" w:rsidR="00F45D5F" w:rsidRPr="00D839A6" w:rsidRDefault="00326DD3" w:rsidP="00D839A6">
      <w:pPr>
        <w:pStyle w:val="Yo"/>
        <w:spacing w:line="276" w:lineRule="auto"/>
        <w:rPr>
          <w:rFonts w:ascii="Tahoma" w:eastAsia="Tahoma" w:hAnsi="Tahoma" w:cs="Tahoma"/>
          <w:sz w:val="24"/>
          <w:szCs w:val="24"/>
        </w:rPr>
      </w:pPr>
      <w:r w:rsidRPr="00D839A6">
        <w:rPr>
          <w:rFonts w:ascii="Tahoma" w:eastAsia="Tahoma" w:hAnsi="Tahoma" w:cs="Tahoma"/>
          <w:sz w:val="24"/>
          <w:szCs w:val="24"/>
        </w:rPr>
        <w:t>PROBLEMA JURÍDICO</w:t>
      </w:r>
    </w:p>
    <w:p w14:paraId="4BE061E1" w14:textId="741D8AF1" w:rsidR="00DE2CDA" w:rsidRPr="00D839A6" w:rsidRDefault="00DE2CDA" w:rsidP="00D839A6">
      <w:pPr>
        <w:pStyle w:val="Yo"/>
        <w:numPr>
          <w:ilvl w:val="0"/>
          <w:numId w:val="0"/>
        </w:numPr>
        <w:spacing w:line="276" w:lineRule="auto"/>
        <w:ind w:left="1068" w:hanging="360"/>
        <w:rPr>
          <w:rFonts w:ascii="Tahoma" w:eastAsia="Tahoma" w:hAnsi="Tahoma" w:cs="Tahoma"/>
          <w:sz w:val="24"/>
          <w:szCs w:val="24"/>
        </w:rPr>
      </w:pPr>
    </w:p>
    <w:bookmarkEnd w:id="4"/>
    <w:p w14:paraId="557F2C71" w14:textId="0D4E45B3" w:rsidR="0027128A" w:rsidRDefault="004A7D44" w:rsidP="00D839A6">
      <w:pPr>
        <w:widowControl w:val="0"/>
        <w:spacing w:line="276" w:lineRule="auto"/>
        <w:ind w:firstLine="708"/>
        <w:jc w:val="both"/>
        <w:rPr>
          <w:rFonts w:ascii="Tahoma" w:eastAsia="Tahoma" w:hAnsi="Tahoma" w:cs="Tahoma"/>
        </w:rPr>
      </w:pPr>
      <w:r w:rsidRPr="00D839A6">
        <w:rPr>
          <w:rFonts w:ascii="Tahoma" w:eastAsia="Tahoma" w:hAnsi="Tahoma" w:cs="Tahoma"/>
        </w:rPr>
        <w:t>De acuerdo a los argumentos expuestos en la sentencia de primera instancia</w:t>
      </w:r>
      <w:r w:rsidR="000539D0" w:rsidRPr="00D839A6">
        <w:rPr>
          <w:rFonts w:ascii="Tahoma" w:eastAsia="Tahoma" w:hAnsi="Tahoma" w:cs="Tahoma"/>
        </w:rPr>
        <w:t xml:space="preserve">, </w:t>
      </w:r>
      <w:r w:rsidRPr="00D839A6">
        <w:rPr>
          <w:rFonts w:ascii="Tahoma" w:eastAsia="Tahoma" w:hAnsi="Tahoma" w:cs="Tahoma"/>
        </w:rPr>
        <w:t>los fundamentos de la apelación</w:t>
      </w:r>
      <w:r w:rsidR="000539D0" w:rsidRPr="00D839A6">
        <w:rPr>
          <w:rFonts w:ascii="Tahoma" w:eastAsia="Tahoma" w:hAnsi="Tahoma" w:cs="Tahoma"/>
        </w:rPr>
        <w:t xml:space="preserve"> y la revisión en virtud del grado jurisdiccional de consulta,</w:t>
      </w:r>
      <w:r w:rsidRPr="00D839A6">
        <w:rPr>
          <w:rFonts w:ascii="Tahoma" w:eastAsia="Tahoma" w:hAnsi="Tahoma" w:cs="Tahoma"/>
        </w:rPr>
        <w:t xml:space="preserve"> le corresponde a la Sala determinar </w:t>
      </w:r>
      <w:r w:rsidR="009C2BD9" w:rsidRPr="00D839A6">
        <w:rPr>
          <w:rFonts w:ascii="Tahoma" w:eastAsia="Tahoma" w:hAnsi="Tahoma" w:cs="Tahoma"/>
        </w:rPr>
        <w:t>si es viable reconocer la</w:t>
      </w:r>
      <w:r w:rsidR="000539D0" w:rsidRPr="00D839A6">
        <w:rPr>
          <w:rFonts w:ascii="Tahoma" w:eastAsia="Tahoma" w:hAnsi="Tahoma" w:cs="Tahoma"/>
        </w:rPr>
        <w:t xml:space="preserve"> pensión de invalidez causada por el señor Guillermo Ayala Duque </w:t>
      </w:r>
      <w:r w:rsidR="00BF5290" w:rsidRPr="00D839A6">
        <w:rPr>
          <w:rFonts w:ascii="Tahoma" w:eastAsia="Tahoma" w:hAnsi="Tahoma" w:cs="Tahoma"/>
        </w:rPr>
        <w:t xml:space="preserve">desde la </w:t>
      </w:r>
      <w:r w:rsidR="000539D0" w:rsidRPr="00D839A6">
        <w:rPr>
          <w:rFonts w:ascii="Tahoma" w:eastAsia="Tahoma" w:hAnsi="Tahoma" w:cs="Tahoma"/>
        </w:rPr>
        <w:t xml:space="preserve">fecha de estructuración, y en caso afirmativo, </w:t>
      </w:r>
      <w:r w:rsidR="00BF5290" w:rsidRPr="00D839A6">
        <w:rPr>
          <w:rFonts w:ascii="Tahoma" w:eastAsia="Tahoma" w:hAnsi="Tahoma" w:cs="Tahoma"/>
        </w:rPr>
        <w:t xml:space="preserve">a partir de </w:t>
      </w:r>
      <w:r w:rsidR="00D839A6" w:rsidRPr="00D839A6">
        <w:rPr>
          <w:rFonts w:ascii="Tahoma" w:eastAsia="Tahoma" w:hAnsi="Tahoma" w:cs="Tahoma"/>
        </w:rPr>
        <w:t>qué</w:t>
      </w:r>
      <w:r w:rsidR="00BF5290" w:rsidRPr="00D839A6">
        <w:rPr>
          <w:rFonts w:ascii="Tahoma" w:eastAsia="Tahoma" w:hAnsi="Tahoma" w:cs="Tahoma"/>
        </w:rPr>
        <w:t xml:space="preserve"> fecha debe reconocer </w:t>
      </w:r>
      <w:r w:rsidR="006C1C11" w:rsidRPr="00D839A6">
        <w:rPr>
          <w:rFonts w:ascii="Tahoma" w:eastAsia="Tahoma" w:hAnsi="Tahoma" w:cs="Tahoma"/>
        </w:rPr>
        <w:t xml:space="preserve">la Administradora demandada </w:t>
      </w:r>
      <w:r w:rsidR="00BF5290" w:rsidRPr="00D839A6">
        <w:rPr>
          <w:rFonts w:ascii="Tahoma" w:eastAsia="Tahoma" w:hAnsi="Tahoma" w:cs="Tahoma"/>
        </w:rPr>
        <w:t>los intereses moratorios.</w:t>
      </w:r>
    </w:p>
    <w:p w14:paraId="20C1913A" w14:textId="77777777" w:rsidR="00D839A6" w:rsidRPr="00D839A6" w:rsidRDefault="00D839A6" w:rsidP="00D839A6">
      <w:pPr>
        <w:widowControl w:val="0"/>
        <w:spacing w:line="276" w:lineRule="auto"/>
        <w:jc w:val="both"/>
        <w:rPr>
          <w:rFonts w:ascii="Tahoma" w:eastAsia="Tahoma" w:hAnsi="Tahoma" w:cs="Tahoma"/>
        </w:rPr>
      </w:pPr>
    </w:p>
    <w:p w14:paraId="0CC4189B" w14:textId="211AE723" w:rsidR="006F6A32" w:rsidRPr="00D839A6" w:rsidRDefault="006F6A32" w:rsidP="00D839A6">
      <w:pPr>
        <w:pStyle w:val="Yo"/>
        <w:spacing w:line="276" w:lineRule="auto"/>
        <w:rPr>
          <w:rFonts w:ascii="Tahoma" w:eastAsia="Tahoma" w:hAnsi="Tahoma" w:cs="Tahoma"/>
          <w:sz w:val="24"/>
          <w:szCs w:val="24"/>
        </w:rPr>
      </w:pPr>
      <w:r w:rsidRPr="00D839A6">
        <w:rPr>
          <w:rFonts w:ascii="Tahoma" w:eastAsia="Tahoma" w:hAnsi="Tahoma" w:cs="Tahoma"/>
          <w:sz w:val="24"/>
          <w:szCs w:val="24"/>
        </w:rPr>
        <w:t>CONSIDERACIONES</w:t>
      </w:r>
    </w:p>
    <w:p w14:paraId="4116C1F0" w14:textId="77777777" w:rsidR="006F6A32" w:rsidRPr="00D839A6" w:rsidRDefault="006F6A32" w:rsidP="00D839A6">
      <w:pPr>
        <w:pStyle w:val="Yo"/>
        <w:numPr>
          <w:ilvl w:val="0"/>
          <w:numId w:val="0"/>
        </w:numPr>
        <w:spacing w:line="276" w:lineRule="auto"/>
        <w:ind w:left="1068" w:hanging="360"/>
        <w:jc w:val="left"/>
        <w:rPr>
          <w:rFonts w:ascii="Tahoma" w:eastAsia="Tahoma" w:hAnsi="Tahoma" w:cs="Tahoma"/>
          <w:sz w:val="24"/>
          <w:szCs w:val="24"/>
        </w:rPr>
      </w:pPr>
    </w:p>
    <w:p w14:paraId="6F9BD7C5" w14:textId="377BC77A" w:rsidR="0020710A" w:rsidRPr="00D839A6" w:rsidRDefault="00FE731E" w:rsidP="00D839A6">
      <w:pPr>
        <w:pStyle w:val="Prrafodelista"/>
        <w:widowControl w:val="0"/>
        <w:numPr>
          <w:ilvl w:val="1"/>
          <w:numId w:val="17"/>
        </w:numPr>
        <w:pBdr>
          <w:top w:val="nil"/>
          <w:left w:val="nil"/>
          <w:bottom w:val="nil"/>
          <w:right w:val="nil"/>
          <w:between w:val="nil"/>
        </w:pBdr>
        <w:spacing w:line="276" w:lineRule="auto"/>
        <w:jc w:val="both"/>
        <w:rPr>
          <w:rFonts w:ascii="Tahoma" w:hAnsi="Tahoma" w:cs="Tahoma"/>
          <w:b/>
          <w:bCs/>
        </w:rPr>
      </w:pPr>
      <w:r w:rsidRPr="00D839A6">
        <w:rPr>
          <w:rFonts w:ascii="Tahoma" w:hAnsi="Tahoma" w:cs="Tahoma"/>
          <w:b/>
          <w:bCs/>
        </w:rPr>
        <w:t>Reconocimiento y pago de la pensión de invalidez de origen común.</w:t>
      </w:r>
    </w:p>
    <w:p w14:paraId="2B757CE3" w14:textId="77777777" w:rsidR="000A5DA5" w:rsidRPr="00D839A6" w:rsidRDefault="000A5DA5" w:rsidP="00D839A6">
      <w:pPr>
        <w:pStyle w:val="paragraph"/>
        <w:spacing w:before="0" w:beforeAutospacing="0" w:after="0" w:afterAutospacing="0" w:line="276" w:lineRule="auto"/>
        <w:jc w:val="both"/>
        <w:textAlignment w:val="baseline"/>
        <w:rPr>
          <w:rFonts w:ascii="Tahoma" w:hAnsi="Tahoma" w:cs="Tahoma"/>
          <w:lang w:val="es-ES"/>
        </w:rPr>
      </w:pPr>
    </w:p>
    <w:p w14:paraId="615FBD8A" w14:textId="7A89B384" w:rsidR="000A5DA5" w:rsidRPr="00D839A6" w:rsidRDefault="009E2DD9" w:rsidP="00D839A6">
      <w:pPr>
        <w:pStyle w:val="paragraph"/>
        <w:spacing w:before="0" w:beforeAutospacing="0" w:after="0" w:afterAutospacing="0" w:line="276" w:lineRule="auto"/>
        <w:ind w:firstLine="705"/>
        <w:jc w:val="both"/>
        <w:textAlignment w:val="baseline"/>
        <w:rPr>
          <w:rFonts w:ascii="Tahoma" w:hAnsi="Tahoma" w:cs="Tahoma"/>
          <w:i/>
          <w:iCs/>
        </w:rPr>
      </w:pPr>
      <w:r w:rsidRPr="00D839A6">
        <w:rPr>
          <w:rStyle w:val="normaltextrun"/>
          <w:rFonts w:ascii="Tahoma" w:hAnsi="Tahoma" w:cs="Tahoma"/>
          <w:lang w:val="es-ES"/>
        </w:rPr>
        <w:t xml:space="preserve">Dispuso el </w:t>
      </w:r>
      <w:r w:rsidR="005809A8" w:rsidRPr="00D839A6">
        <w:rPr>
          <w:rStyle w:val="normaltextrun"/>
          <w:rFonts w:ascii="Tahoma" w:hAnsi="Tahoma" w:cs="Tahoma"/>
          <w:lang w:val="es-ES"/>
        </w:rPr>
        <w:t xml:space="preserve">artículo 10 del </w:t>
      </w:r>
      <w:r w:rsidR="00C8071C" w:rsidRPr="00D839A6">
        <w:rPr>
          <w:rStyle w:val="normaltextrun"/>
          <w:rFonts w:ascii="Tahoma" w:hAnsi="Tahoma" w:cs="Tahoma"/>
          <w:lang w:val="es-ES"/>
        </w:rPr>
        <w:t>Decreto 758</w:t>
      </w:r>
      <w:r w:rsidR="005809A8" w:rsidRPr="00D839A6">
        <w:rPr>
          <w:rStyle w:val="normaltextrun"/>
          <w:rFonts w:ascii="Tahoma" w:hAnsi="Tahoma" w:cs="Tahoma"/>
          <w:lang w:val="es-ES"/>
        </w:rPr>
        <w:t xml:space="preserve"> de 1990</w:t>
      </w:r>
      <w:r w:rsidR="00736136" w:rsidRPr="00D839A6">
        <w:rPr>
          <w:rStyle w:val="normaltextrun"/>
          <w:rFonts w:ascii="Tahoma" w:hAnsi="Tahoma" w:cs="Tahoma"/>
          <w:lang w:val="es-ES"/>
        </w:rPr>
        <w:t xml:space="preserve"> que </w:t>
      </w:r>
      <w:r w:rsidR="00736136" w:rsidRPr="00D839A6">
        <w:rPr>
          <w:rFonts w:ascii="Tahoma" w:hAnsi="Tahoma" w:cs="Tahoma"/>
          <w:i/>
          <w:iCs/>
        </w:rPr>
        <w:t>“</w:t>
      </w:r>
      <w:r w:rsidR="00736136" w:rsidRPr="00906E60">
        <w:rPr>
          <w:rFonts w:ascii="Tahoma" w:hAnsi="Tahoma" w:cs="Tahoma"/>
          <w:i/>
          <w:iCs/>
          <w:sz w:val="22"/>
        </w:rPr>
        <w:t>La pensión de invalidez por riesgo común, se reconocerá a solicitud de parte interesada y comenzará a pagarse en forma periódica y mensual desde la fecha en que se estructure tal estado. Cuando el beneficiario estuviere en goce de subsidio por incapacidad temporal, el pago de la pensión de invalidez comenzará a cubrirse al expirar el derecho al mencionado subsidio</w:t>
      </w:r>
      <w:r w:rsidR="00736136" w:rsidRPr="00D839A6">
        <w:rPr>
          <w:rFonts w:ascii="Tahoma" w:hAnsi="Tahoma" w:cs="Tahoma"/>
          <w:i/>
          <w:iCs/>
        </w:rPr>
        <w:t>.”</w:t>
      </w:r>
    </w:p>
    <w:p w14:paraId="7C820280" w14:textId="77777777" w:rsidR="00791EE3" w:rsidRPr="00D839A6" w:rsidRDefault="00791EE3" w:rsidP="00D839A6">
      <w:pPr>
        <w:pStyle w:val="paragraph"/>
        <w:spacing w:before="0" w:beforeAutospacing="0" w:after="0" w:afterAutospacing="0" w:line="276" w:lineRule="auto"/>
        <w:ind w:firstLine="705"/>
        <w:jc w:val="both"/>
        <w:textAlignment w:val="baseline"/>
        <w:rPr>
          <w:rFonts w:ascii="Tahoma" w:hAnsi="Tahoma" w:cs="Tahoma"/>
          <w:i/>
          <w:iCs/>
        </w:rPr>
      </w:pPr>
    </w:p>
    <w:p w14:paraId="762C0ABA" w14:textId="0B7B7DEF" w:rsidR="00791EE3" w:rsidRPr="00D839A6" w:rsidRDefault="00791EE3"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D839A6">
        <w:rPr>
          <w:rFonts w:ascii="Tahoma" w:hAnsi="Tahoma" w:cs="Tahoma"/>
        </w:rPr>
        <w:t xml:space="preserve">Asimismo, </w:t>
      </w:r>
      <w:r w:rsidR="009F62C5" w:rsidRPr="00D839A6">
        <w:rPr>
          <w:rFonts w:ascii="Tahoma" w:hAnsi="Tahoma" w:cs="Tahoma"/>
          <w:lang w:val="es-ES"/>
        </w:rPr>
        <w:t xml:space="preserve">el artículo 64° numeral 3° del Decreto </w:t>
      </w:r>
      <w:r w:rsidR="00496FBD" w:rsidRPr="00D839A6">
        <w:rPr>
          <w:rFonts w:ascii="Tahoma" w:hAnsi="Tahoma" w:cs="Tahoma"/>
          <w:lang w:val="es-ES"/>
        </w:rPr>
        <w:t>3435</w:t>
      </w:r>
      <w:r w:rsidR="009F62C5" w:rsidRPr="00D839A6">
        <w:rPr>
          <w:rFonts w:ascii="Tahoma" w:hAnsi="Tahoma" w:cs="Tahoma"/>
          <w:lang w:val="es-ES"/>
        </w:rPr>
        <w:t xml:space="preserve"> de 1968 consagró que </w:t>
      </w:r>
      <w:r w:rsidR="009F62C5" w:rsidRPr="00D839A6">
        <w:rPr>
          <w:rFonts w:ascii="Tahoma" w:hAnsi="Tahoma" w:cs="Tahoma"/>
          <w:i/>
          <w:iCs/>
          <w:lang w:val="es-ES"/>
        </w:rPr>
        <w:t>«la pensión de invalidez se debe desde que cese el subsidio monetario por incapacidad para trabajar y su pago se comenzará a hacer inmediatamente después del señalamiento de la incapacidad».</w:t>
      </w:r>
    </w:p>
    <w:p w14:paraId="2C8F8FC5" w14:textId="77777777" w:rsidR="009048FE" w:rsidRPr="00D839A6" w:rsidRDefault="009048FE"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0CA167AA" w14:textId="79D70F60" w:rsidR="00906E60" w:rsidRDefault="009E2DD9"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D839A6">
        <w:rPr>
          <w:rStyle w:val="normaltextrun"/>
          <w:rFonts w:ascii="Tahoma" w:hAnsi="Tahoma" w:cs="Tahoma"/>
          <w:lang w:val="es-ES"/>
        </w:rPr>
        <w:t xml:space="preserve">Posteriormente el </w:t>
      </w:r>
      <w:r w:rsidR="005809A8" w:rsidRPr="00D839A6">
        <w:rPr>
          <w:rStyle w:val="normaltextrun"/>
          <w:rFonts w:ascii="Tahoma" w:hAnsi="Tahoma" w:cs="Tahoma"/>
          <w:lang w:val="es-ES"/>
        </w:rPr>
        <w:t>artículo 3</w:t>
      </w:r>
      <w:r w:rsidR="007A68BB" w:rsidRPr="00D839A6">
        <w:rPr>
          <w:rStyle w:val="normaltextrun"/>
          <w:rFonts w:ascii="Tahoma" w:hAnsi="Tahoma" w:cs="Tahoma"/>
          <w:lang w:val="es-ES"/>
        </w:rPr>
        <w:t>°</w:t>
      </w:r>
      <w:r w:rsidR="005809A8" w:rsidRPr="00D839A6">
        <w:rPr>
          <w:rStyle w:val="normaltextrun"/>
          <w:rFonts w:ascii="Tahoma" w:hAnsi="Tahoma" w:cs="Tahoma"/>
          <w:lang w:val="es-ES"/>
        </w:rPr>
        <w:t xml:space="preserve"> </w:t>
      </w:r>
      <w:r w:rsidR="003B3451" w:rsidRPr="00D839A6">
        <w:rPr>
          <w:rStyle w:val="normaltextrun"/>
          <w:rFonts w:ascii="Tahoma" w:hAnsi="Tahoma" w:cs="Tahoma"/>
          <w:lang w:val="es-ES"/>
        </w:rPr>
        <w:t>del</w:t>
      </w:r>
      <w:r w:rsidR="0032616C" w:rsidRPr="00D839A6">
        <w:rPr>
          <w:rStyle w:val="normaltextrun"/>
          <w:rFonts w:ascii="Tahoma" w:hAnsi="Tahoma" w:cs="Tahoma"/>
          <w:lang w:val="es-ES"/>
        </w:rPr>
        <w:t xml:space="preserve"> derogado</w:t>
      </w:r>
      <w:r w:rsidR="005809A8" w:rsidRPr="00D839A6">
        <w:rPr>
          <w:rStyle w:val="normaltextrun"/>
          <w:rFonts w:ascii="Tahoma" w:hAnsi="Tahoma" w:cs="Tahoma"/>
          <w:lang w:val="es-ES"/>
        </w:rPr>
        <w:t xml:space="preserve"> Decreto 917 de 1999 </w:t>
      </w:r>
      <w:r w:rsidR="009B3BCF" w:rsidRPr="00D839A6">
        <w:rPr>
          <w:rStyle w:val="normaltextrun"/>
          <w:rFonts w:ascii="Tahoma" w:hAnsi="Tahoma" w:cs="Tahoma"/>
          <w:lang w:val="es-ES"/>
        </w:rPr>
        <w:t>al definir la fecha de estructuración o declaratoria de la pérdida de la capacidad laboral, agregó</w:t>
      </w:r>
      <w:r w:rsidR="00906E60">
        <w:rPr>
          <w:rStyle w:val="normaltextrun"/>
          <w:rFonts w:ascii="Tahoma" w:hAnsi="Tahoma" w:cs="Tahoma"/>
          <w:lang w:val="es-ES"/>
        </w:rPr>
        <w:t>:</w:t>
      </w:r>
    </w:p>
    <w:p w14:paraId="4A75C06C" w14:textId="77777777" w:rsidR="00625FA4" w:rsidRDefault="00625FA4"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29299DE9" w14:textId="460876C1" w:rsidR="00B932AB" w:rsidRPr="00906E60" w:rsidRDefault="009B3BCF" w:rsidP="00906E60">
      <w:pPr>
        <w:pStyle w:val="paragraph"/>
        <w:spacing w:before="0" w:beforeAutospacing="0" w:after="0" w:afterAutospacing="0"/>
        <w:ind w:left="426" w:right="420" w:firstLine="705"/>
        <w:jc w:val="both"/>
        <w:textAlignment w:val="baseline"/>
        <w:rPr>
          <w:rStyle w:val="normaltextrun"/>
          <w:rFonts w:ascii="Tahoma" w:hAnsi="Tahoma" w:cs="Tahoma"/>
          <w:sz w:val="22"/>
          <w:lang w:val="es-ES"/>
        </w:rPr>
      </w:pPr>
      <w:r w:rsidRPr="00906E60">
        <w:rPr>
          <w:rFonts w:ascii="Tahoma" w:hAnsi="Tahoma" w:cs="Tahoma"/>
          <w:i/>
          <w:iCs/>
          <w:sz w:val="22"/>
        </w:rPr>
        <w:t>“La pensión de invalidez por riesgo común, se reconocerá a solicitud de parte interesada y comenzará a pagarse en forma periódica y mensual desde la fecha en que se estructure tal estado. Cuando el beneficiario estuviere en goce de subsidio por incapacidad temporal, el pago de la pensión de invalidez comenzará a cubrirse al expirar el derecho al mencionado subsidio.”</w:t>
      </w:r>
    </w:p>
    <w:p w14:paraId="3EB13088" w14:textId="77777777" w:rsidR="00B932AB" w:rsidRPr="00D839A6" w:rsidRDefault="00B932AB"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04FC4895" w14:textId="03F8E4EE" w:rsidR="00B932AB" w:rsidRDefault="00B932AB" w:rsidP="00D839A6">
      <w:pPr>
        <w:pStyle w:val="paragraph"/>
        <w:spacing w:before="0" w:beforeAutospacing="0" w:after="0" w:afterAutospacing="0" w:line="276" w:lineRule="auto"/>
        <w:ind w:firstLine="705"/>
        <w:jc w:val="both"/>
        <w:textAlignment w:val="baseline"/>
        <w:rPr>
          <w:rFonts w:ascii="Tahoma" w:hAnsi="Tahoma" w:cs="Tahoma"/>
        </w:rPr>
      </w:pPr>
      <w:r w:rsidRPr="00D839A6">
        <w:rPr>
          <w:rFonts w:ascii="Tahoma" w:hAnsi="Tahoma" w:cs="Tahoma"/>
        </w:rPr>
        <w:t xml:space="preserve">En lo que concierne al caso concreto, importa resaltar que el inciso final del artículo 40 de la Ley 100 de 1993 señala que </w:t>
      </w:r>
      <w:r w:rsidRPr="00D839A6">
        <w:rPr>
          <w:rFonts w:ascii="Tahoma" w:hAnsi="Tahoma" w:cs="Tahoma"/>
          <w:i/>
        </w:rPr>
        <w:t>“</w:t>
      </w:r>
      <w:r w:rsidRPr="00906E60">
        <w:rPr>
          <w:rFonts w:ascii="Tahoma" w:hAnsi="Tahoma" w:cs="Tahoma"/>
          <w:i/>
          <w:sz w:val="22"/>
        </w:rPr>
        <w:t>la pensión de invalidez se reconocerá a solicitud de la parte interesada y comenzará a pagarse en forma retroactiva desde la fecha en que se produzca tal estado</w:t>
      </w:r>
      <w:r w:rsidRPr="00D839A6">
        <w:rPr>
          <w:rFonts w:ascii="Tahoma" w:hAnsi="Tahoma" w:cs="Tahoma"/>
          <w:i/>
        </w:rPr>
        <w:t>”.</w:t>
      </w:r>
    </w:p>
    <w:p w14:paraId="7E73402B" w14:textId="77777777" w:rsidR="00D839A6" w:rsidRPr="00D839A6" w:rsidRDefault="00D839A6" w:rsidP="00D839A6">
      <w:pPr>
        <w:pStyle w:val="paragraph"/>
        <w:spacing w:before="0" w:beforeAutospacing="0" w:after="0" w:afterAutospacing="0" w:line="276" w:lineRule="auto"/>
        <w:ind w:firstLine="705"/>
        <w:jc w:val="both"/>
        <w:textAlignment w:val="baseline"/>
        <w:rPr>
          <w:rFonts w:ascii="Tahoma" w:hAnsi="Tahoma" w:cs="Tahoma"/>
          <w:lang w:val="es-ES"/>
        </w:rPr>
      </w:pPr>
    </w:p>
    <w:p w14:paraId="3935EDBC" w14:textId="5445FFD6" w:rsidR="00B60EF4" w:rsidRPr="00D839A6" w:rsidRDefault="00B60EF4" w:rsidP="00D839A6">
      <w:pPr>
        <w:pStyle w:val="paragraph"/>
        <w:spacing w:before="0" w:beforeAutospacing="0" w:after="0" w:afterAutospacing="0" w:line="276" w:lineRule="auto"/>
        <w:ind w:firstLine="705"/>
        <w:jc w:val="both"/>
        <w:textAlignment w:val="baseline"/>
        <w:rPr>
          <w:rStyle w:val="normaltextrun"/>
          <w:rFonts w:ascii="Tahoma" w:hAnsi="Tahoma" w:cs="Tahoma"/>
          <w:i/>
          <w:iCs/>
        </w:rPr>
      </w:pPr>
      <w:r w:rsidRPr="00D839A6">
        <w:rPr>
          <w:rStyle w:val="normaltextrun"/>
          <w:rFonts w:ascii="Tahoma" w:hAnsi="Tahoma" w:cs="Tahoma"/>
          <w:lang w:val="es-ES"/>
        </w:rPr>
        <w:t xml:space="preserve">Con antelación a la sentencia </w:t>
      </w:r>
      <w:r w:rsidR="00385FF1" w:rsidRPr="00D839A6">
        <w:rPr>
          <w:rStyle w:val="normaltextrun"/>
          <w:rFonts w:ascii="Tahoma" w:hAnsi="Tahoma" w:cs="Tahoma"/>
          <w:lang w:val="es-ES"/>
        </w:rPr>
        <w:t xml:space="preserve">CSJ </w:t>
      </w:r>
      <w:proofErr w:type="spellStart"/>
      <w:r w:rsidR="00385FF1" w:rsidRPr="00D839A6">
        <w:rPr>
          <w:rFonts w:ascii="Tahoma" w:hAnsi="Tahoma" w:cs="Tahoma"/>
          <w:lang w:val="es-ES"/>
        </w:rPr>
        <w:t>SL</w:t>
      </w:r>
      <w:proofErr w:type="spellEnd"/>
      <w:r w:rsidR="00385FF1" w:rsidRPr="00D839A6">
        <w:rPr>
          <w:rFonts w:ascii="Tahoma" w:hAnsi="Tahoma" w:cs="Tahoma"/>
          <w:lang w:val="es-ES"/>
        </w:rPr>
        <w:t xml:space="preserve"> 5170 de 2021</w:t>
      </w:r>
      <w:r w:rsidR="001E6D6C" w:rsidRPr="00D839A6">
        <w:rPr>
          <w:rStyle w:val="normaltextrun"/>
          <w:rFonts w:ascii="Tahoma" w:hAnsi="Tahoma" w:cs="Tahoma"/>
          <w:lang w:val="es-ES"/>
        </w:rPr>
        <w:t xml:space="preserve"> </w:t>
      </w:r>
      <w:r w:rsidRPr="00D839A6">
        <w:rPr>
          <w:rStyle w:val="normaltextrun"/>
          <w:rFonts w:ascii="Tahoma" w:hAnsi="Tahoma" w:cs="Tahoma"/>
          <w:lang w:val="es-ES"/>
        </w:rPr>
        <w:t>era prolij</w:t>
      </w:r>
      <w:r w:rsidR="00DD6777" w:rsidRPr="00D839A6">
        <w:rPr>
          <w:rStyle w:val="normaltextrun"/>
          <w:rFonts w:ascii="Tahoma" w:hAnsi="Tahoma" w:cs="Tahoma"/>
          <w:lang w:val="es-ES"/>
        </w:rPr>
        <w:t>a</w:t>
      </w:r>
      <w:r w:rsidRPr="00D839A6">
        <w:rPr>
          <w:rStyle w:val="normaltextrun"/>
          <w:rFonts w:ascii="Tahoma" w:hAnsi="Tahoma" w:cs="Tahoma"/>
          <w:lang w:val="es-ES"/>
        </w:rPr>
        <w:t xml:space="preserve"> la jurisprudencia de la Corte </w:t>
      </w:r>
      <w:r w:rsidR="00206F8A" w:rsidRPr="00D839A6">
        <w:rPr>
          <w:rStyle w:val="normaltextrun"/>
          <w:rFonts w:ascii="Tahoma" w:hAnsi="Tahoma" w:cs="Tahoma"/>
          <w:lang w:val="es-ES"/>
        </w:rPr>
        <w:t xml:space="preserve">Suprema de justicia </w:t>
      </w:r>
      <w:r w:rsidR="00380701" w:rsidRPr="00D839A6">
        <w:rPr>
          <w:rStyle w:val="normaltextrun"/>
          <w:rFonts w:ascii="Tahoma" w:hAnsi="Tahoma" w:cs="Tahoma"/>
          <w:lang w:val="es-ES"/>
        </w:rPr>
        <w:t xml:space="preserve">respecto de que la pensión de invalidez debía reconocerse desde el mismo momento en que se generó el estado invalidante de la persona, esto es desde la fecha de estructuración, pues el artículo 39 de la Ley 100 de 1993 no estableció ninguna condición para que su otorgamiento lo fuera a partir de ese momento, </w:t>
      </w:r>
      <w:r w:rsidR="001C008D" w:rsidRPr="00D839A6">
        <w:rPr>
          <w:rFonts w:ascii="Tahoma" w:hAnsi="Tahoma" w:cs="Tahoma"/>
        </w:rPr>
        <w:t xml:space="preserve">por lo que el pago de </w:t>
      </w:r>
      <w:r w:rsidR="00F964C8" w:rsidRPr="00D839A6">
        <w:rPr>
          <w:rFonts w:ascii="Tahoma" w:hAnsi="Tahoma" w:cs="Tahoma"/>
        </w:rPr>
        <w:t>un subsidio</w:t>
      </w:r>
      <w:r w:rsidR="001C008D" w:rsidRPr="00D839A6">
        <w:rPr>
          <w:rFonts w:ascii="Tahoma" w:hAnsi="Tahoma" w:cs="Tahoma"/>
        </w:rPr>
        <w:t xml:space="preserve"> por incapacidades temporales</w:t>
      </w:r>
      <w:r w:rsidR="00F964C8" w:rsidRPr="00D839A6">
        <w:rPr>
          <w:rFonts w:ascii="Tahoma" w:hAnsi="Tahoma" w:cs="Tahoma"/>
        </w:rPr>
        <w:t xml:space="preserve"> no podía disminuir, ni afectar el estado de invalidez, y por tal razón, </w:t>
      </w:r>
      <w:r w:rsidR="000B2F3D" w:rsidRPr="00D839A6">
        <w:rPr>
          <w:rFonts w:ascii="Tahoma" w:hAnsi="Tahoma" w:cs="Tahoma"/>
        </w:rPr>
        <w:t xml:space="preserve">debía descontarse </w:t>
      </w:r>
      <w:r w:rsidR="000B2F3D" w:rsidRPr="00D839A6">
        <w:rPr>
          <w:rFonts w:ascii="Tahoma" w:hAnsi="Tahoma" w:cs="Tahoma"/>
        </w:rPr>
        <w:lastRenderedPageBreak/>
        <w:t xml:space="preserve">del retroactivo los periodos </w:t>
      </w:r>
      <w:r w:rsidR="00AA7666" w:rsidRPr="00D839A6">
        <w:rPr>
          <w:rFonts w:ascii="Tahoma" w:hAnsi="Tahoma" w:cs="Tahoma"/>
        </w:rPr>
        <w:t xml:space="preserve">en que percibió subsidio por incapacidad temporal (CSJ </w:t>
      </w:r>
      <w:proofErr w:type="spellStart"/>
      <w:r w:rsidR="00AA7666" w:rsidRPr="00D839A6">
        <w:rPr>
          <w:rFonts w:ascii="Tahoma" w:eastAsia="Tahoma" w:hAnsi="Tahoma" w:cs="Tahoma"/>
          <w:color w:val="000000" w:themeColor="text1"/>
        </w:rPr>
        <w:t>SL</w:t>
      </w:r>
      <w:proofErr w:type="spellEnd"/>
      <w:r w:rsidR="00AA7666" w:rsidRPr="00D839A6">
        <w:rPr>
          <w:rFonts w:ascii="Tahoma" w:eastAsia="Tahoma" w:hAnsi="Tahoma" w:cs="Tahoma"/>
          <w:color w:val="000000" w:themeColor="text1"/>
        </w:rPr>
        <w:t xml:space="preserve"> 4379 del 2018 y  CSJ </w:t>
      </w:r>
      <w:proofErr w:type="spellStart"/>
      <w:r w:rsidR="00AA7666" w:rsidRPr="00D839A6">
        <w:rPr>
          <w:rFonts w:ascii="Tahoma" w:eastAsia="Tahoma" w:hAnsi="Tahoma" w:cs="Tahoma"/>
          <w:color w:val="000000" w:themeColor="text1"/>
        </w:rPr>
        <w:t>SL</w:t>
      </w:r>
      <w:proofErr w:type="spellEnd"/>
      <w:r w:rsidR="00AA7666" w:rsidRPr="00D839A6">
        <w:rPr>
          <w:rFonts w:ascii="Tahoma" w:eastAsia="Tahoma" w:hAnsi="Tahoma" w:cs="Tahoma"/>
          <w:color w:val="000000" w:themeColor="text1"/>
        </w:rPr>
        <w:t xml:space="preserve"> 1562 de 2019</w:t>
      </w:r>
      <w:r w:rsidR="00AA7666" w:rsidRPr="00D839A6">
        <w:rPr>
          <w:rFonts w:ascii="Tahoma" w:hAnsi="Tahoma" w:cs="Tahoma"/>
        </w:rPr>
        <w:t>)</w:t>
      </w:r>
      <w:r w:rsidR="759C195D" w:rsidRPr="00D839A6">
        <w:rPr>
          <w:rFonts w:ascii="Tahoma" w:hAnsi="Tahoma" w:cs="Tahoma"/>
        </w:rPr>
        <w:t>.</w:t>
      </w:r>
    </w:p>
    <w:p w14:paraId="28DDDFDB" w14:textId="2FAA5437" w:rsidR="64F642F0" w:rsidRPr="00D839A6" w:rsidRDefault="64F642F0" w:rsidP="00D839A6">
      <w:pPr>
        <w:pStyle w:val="paragraph"/>
        <w:spacing w:before="0" w:beforeAutospacing="0" w:after="0" w:afterAutospacing="0" w:line="276" w:lineRule="auto"/>
        <w:jc w:val="both"/>
        <w:rPr>
          <w:rFonts w:ascii="Tahoma" w:hAnsi="Tahoma" w:cs="Tahoma"/>
        </w:rPr>
      </w:pPr>
    </w:p>
    <w:p w14:paraId="6F2D3B54" w14:textId="660D4F52" w:rsidR="00AE43C9" w:rsidRPr="00D839A6" w:rsidRDefault="00B60EF4" w:rsidP="00D839A6">
      <w:pPr>
        <w:pStyle w:val="paragraph"/>
        <w:spacing w:before="0" w:beforeAutospacing="0" w:after="0" w:afterAutospacing="0" w:line="276" w:lineRule="auto"/>
        <w:ind w:firstLine="705"/>
        <w:jc w:val="both"/>
        <w:textAlignment w:val="baseline"/>
        <w:rPr>
          <w:rFonts w:ascii="Tahoma" w:hAnsi="Tahoma" w:cs="Tahoma"/>
          <w:lang w:val="es-ES"/>
        </w:rPr>
      </w:pPr>
      <w:r w:rsidRPr="00D839A6">
        <w:rPr>
          <w:rStyle w:val="normaltextrun"/>
          <w:rFonts w:ascii="Tahoma" w:hAnsi="Tahoma" w:cs="Tahoma"/>
          <w:lang w:val="es-ES"/>
        </w:rPr>
        <w:t xml:space="preserve">Sin embargo, </w:t>
      </w:r>
      <w:r w:rsidR="00206F8A" w:rsidRPr="00D839A6">
        <w:rPr>
          <w:rStyle w:val="normaltextrun"/>
          <w:rFonts w:ascii="Tahoma" w:hAnsi="Tahoma" w:cs="Tahoma"/>
          <w:lang w:val="es-ES"/>
        </w:rPr>
        <w:t xml:space="preserve">a partir de dicha sentencia, </w:t>
      </w:r>
      <w:r w:rsidR="009B1522" w:rsidRPr="00D839A6">
        <w:rPr>
          <w:rStyle w:val="normaltextrun"/>
          <w:rFonts w:ascii="Tahoma" w:hAnsi="Tahoma" w:cs="Tahoma"/>
          <w:lang w:val="es-ES"/>
        </w:rPr>
        <w:t>ratificó la nece</w:t>
      </w:r>
      <w:r w:rsidR="001D2662" w:rsidRPr="00D839A6">
        <w:rPr>
          <w:rStyle w:val="normaltextrun"/>
          <w:rFonts w:ascii="Tahoma" w:hAnsi="Tahoma" w:cs="Tahoma"/>
          <w:lang w:val="es-ES"/>
        </w:rPr>
        <w:t>sidad de</w:t>
      </w:r>
      <w:r w:rsidR="009B1522" w:rsidRPr="00D839A6">
        <w:rPr>
          <w:rStyle w:val="normaltextrun"/>
          <w:rFonts w:ascii="Tahoma" w:hAnsi="Tahoma" w:cs="Tahoma"/>
          <w:lang w:val="es-ES"/>
        </w:rPr>
        <w:t xml:space="preserve"> la incompatibilidad,</w:t>
      </w:r>
      <w:r w:rsidR="001D2662" w:rsidRPr="00D839A6">
        <w:rPr>
          <w:rStyle w:val="normaltextrun"/>
          <w:rFonts w:ascii="Tahoma" w:hAnsi="Tahoma" w:cs="Tahoma"/>
          <w:lang w:val="es-ES"/>
        </w:rPr>
        <w:t xml:space="preserve"> </w:t>
      </w:r>
      <w:r w:rsidR="009B1522" w:rsidRPr="00D839A6">
        <w:rPr>
          <w:rStyle w:val="normaltextrun"/>
          <w:rFonts w:ascii="Tahoma" w:hAnsi="Tahoma" w:cs="Tahoma"/>
          <w:lang w:val="es-ES"/>
        </w:rPr>
        <w:t xml:space="preserve">con el objeto de que no haya un doble cobro al sistema general de pensiones y de salud, pues el riesgo cubierto con la incapacidad </w:t>
      </w:r>
      <w:r w:rsidR="009B1522" w:rsidRPr="00D839A6">
        <w:rPr>
          <w:rFonts w:ascii="Tahoma" w:hAnsi="Tahoma" w:cs="Tahoma"/>
          <w:lang w:val="es-ES"/>
        </w:rPr>
        <w:t>temporal y la pensión de invalidez no es la alteración de la salud, sino la incidencia de tal acontecimiento en la disminución del ingreso o ganancia, como repercusión de la afectación o pérdida de la capacidad laboral del trabajador</w:t>
      </w:r>
      <w:r w:rsidR="001D2662" w:rsidRPr="00D839A6">
        <w:rPr>
          <w:rFonts w:ascii="Tahoma" w:hAnsi="Tahoma" w:cs="Tahoma"/>
          <w:lang w:val="es-ES"/>
        </w:rPr>
        <w:t>, advirtiendo</w:t>
      </w:r>
      <w:r w:rsidR="00AA50BC" w:rsidRPr="00D839A6">
        <w:rPr>
          <w:rFonts w:ascii="Tahoma" w:hAnsi="Tahoma" w:cs="Tahoma"/>
          <w:lang w:val="es-ES"/>
        </w:rPr>
        <w:t xml:space="preserve"> que dentro del proceso incapacitante pueden existir períodos cortos e intermitentes de recuperación o mejoría de la salud del trabajador, durante los cuales la acción protectora de la seguridad social cesa para dar paso a las obligaciones remunerativas a cargo del empleador o a los ingresos que perciba el trabajador independiente, períodos en los cuales no se activa la protección de la seguridad social y, en consecuencia, no se pagan las dichas prestaciones. </w:t>
      </w:r>
    </w:p>
    <w:p w14:paraId="74822D50" w14:textId="77777777" w:rsidR="00AE43C9" w:rsidRPr="00D839A6" w:rsidRDefault="00AE43C9" w:rsidP="00D839A6">
      <w:pPr>
        <w:pStyle w:val="paragraph"/>
        <w:spacing w:before="0" w:beforeAutospacing="0" w:after="0" w:afterAutospacing="0" w:line="276" w:lineRule="auto"/>
        <w:ind w:firstLine="705"/>
        <w:jc w:val="both"/>
        <w:textAlignment w:val="baseline"/>
        <w:rPr>
          <w:rFonts w:ascii="Tahoma" w:hAnsi="Tahoma" w:cs="Tahoma"/>
          <w:lang w:val="es-ES"/>
        </w:rPr>
      </w:pPr>
    </w:p>
    <w:p w14:paraId="5364A91B" w14:textId="28005C36" w:rsidR="64F642F0" w:rsidRDefault="00AE43C9"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D839A6">
        <w:rPr>
          <w:rFonts w:ascii="Tahoma" w:hAnsi="Tahoma" w:cs="Tahoma"/>
          <w:lang w:val="es-ES"/>
        </w:rPr>
        <w:t xml:space="preserve">Con base en todo lo anterior, </w:t>
      </w:r>
      <w:r w:rsidR="00206F8A" w:rsidRPr="00D839A6">
        <w:rPr>
          <w:rStyle w:val="normaltextrun"/>
          <w:rFonts w:ascii="Tahoma" w:hAnsi="Tahoma" w:cs="Tahoma"/>
          <w:lang w:val="es-ES"/>
        </w:rPr>
        <w:t>el máximo órgano de cierre</w:t>
      </w:r>
      <w:r w:rsidRPr="00D839A6">
        <w:rPr>
          <w:rStyle w:val="normaltextrun"/>
          <w:rFonts w:ascii="Tahoma" w:hAnsi="Tahoma" w:cs="Tahoma"/>
          <w:lang w:val="es-ES"/>
        </w:rPr>
        <w:t xml:space="preserve"> varió el precedente judicial</w:t>
      </w:r>
      <w:r w:rsidR="00993C4F" w:rsidRPr="00D839A6">
        <w:rPr>
          <w:rStyle w:val="normaltextrun"/>
          <w:rFonts w:ascii="Tahoma" w:hAnsi="Tahoma" w:cs="Tahoma"/>
          <w:lang w:val="es-ES"/>
        </w:rPr>
        <w:t>, para establecer como regla de decisión, la siguiente</w:t>
      </w:r>
      <w:r w:rsidR="00D839A6">
        <w:rPr>
          <w:rStyle w:val="normaltextrun"/>
          <w:rFonts w:ascii="Tahoma" w:hAnsi="Tahoma" w:cs="Tahoma"/>
          <w:lang w:val="es-ES"/>
        </w:rPr>
        <w:t>:</w:t>
      </w:r>
    </w:p>
    <w:p w14:paraId="30DE5AFC" w14:textId="77777777" w:rsidR="00D839A6" w:rsidRPr="00D839A6" w:rsidRDefault="00D839A6"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5058600C" w14:textId="0696190E" w:rsidR="00A12811" w:rsidRPr="00D839A6" w:rsidRDefault="007A68BB" w:rsidP="00D839A6">
      <w:pPr>
        <w:pStyle w:val="paragraph"/>
        <w:spacing w:before="0" w:beforeAutospacing="0" w:after="0" w:afterAutospacing="0"/>
        <w:ind w:left="426" w:right="420"/>
        <w:jc w:val="both"/>
        <w:rPr>
          <w:rFonts w:ascii="Tahoma" w:hAnsi="Tahoma" w:cs="Tahoma"/>
          <w:sz w:val="22"/>
        </w:rPr>
      </w:pPr>
      <w:r w:rsidRPr="00D839A6">
        <w:rPr>
          <w:rFonts w:ascii="Tahoma" w:hAnsi="Tahoma" w:cs="Tahoma"/>
          <w:i/>
          <w:iCs/>
          <w:sz w:val="22"/>
        </w:rPr>
        <w:t>“Es claro entonces que, mientras el afiliado se encuentre recibiendo el subsidio por incapacidad temporal no puede percibir prestaciones derivadas de la invalidez, como son las mesadas pensionales, cuyo pago procede una vez la entidad previsional reconozca la pensión, momento a partir del cual ya no procede el pago de las incapacidades, porque la acción protectora es asumida por otra prestación, dado el nuevo hecho que la causa – la invalidez-, siendo la razón por la cual el sistema de salud no contempla prestaciones económicas para los pensionados --Artículos 28 del Decreto 806 de 1998 y 2.1.3.6 del Decreto 780 de 2016-“</w:t>
      </w:r>
      <w:r w:rsidRPr="00D839A6">
        <w:rPr>
          <w:rFonts w:ascii="Tahoma" w:hAnsi="Tahoma" w:cs="Tahoma"/>
          <w:sz w:val="22"/>
        </w:rPr>
        <w:t> </w:t>
      </w:r>
      <w:r w:rsidR="00D839A6">
        <w:rPr>
          <w:rFonts w:ascii="Tahoma" w:hAnsi="Tahoma" w:cs="Tahoma"/>
          <w:sz w:val="22"/>
        </w:rPr>
        <w:t xml:space="preserve"> </w:t>
      </w:r>
      <w:r w:rsidR="00A12811" w:rsidRPr="00D839A6">
        <w:rPr>
          <w:rFonts w:ascii="Tahoma" w:hAnsi="Tahoma" w:cs="Tahoma"/>
          <w:sz w:val="22"/>
        </w:rPr>
        <w:t>(</w:t>
      </w:r>
      <w:r w:rsidRPr="00D839A6">
        <w:rPr>
          <w:rFonts w:ascii="Tahoma" w:hAnsi="Tahoma" w:cs="Tahoma"/>
          <w:i/>
          <w:iCs/>
          <w:sz w:val="22"/>
        </w:rPr>
        <w:t>…) </w:t>
      </w:r>
      <w:r w:rsidRPr="00D839A6">
        <w:rPr>
          <w:rFonts w:ascii="Tahoma" w:hAnsi="Tahoma" w:cs="Tahoma"/>
          <w:sz w:val="22"/>
        </w:rPr>
        <w:t>  </w:t>
      </w:r>
    </w:p>
    <w:p w14:paraId="4493FA62" w14:textId="77777777" w:rsidR="00D839A6" w:rsidRPr="00D839A6" w:rsidRDefault="00D839A6" w:rsidP="00D839A6">
      <w:pPr>
        <w:pStyle w:val="paragraph"/>
        <w:spacing w:before="0" w:beforeAutospacing="0" w:after="0" w:afterAutospacing="0"/>
        <w:ind w:left="426" w:right="420"/>
        <w:jc w:val="both"/>
        <w:rPr>
          <w:rFonts w:ascii="Tahoma" w:hAnsi="Tahoma" w:cs="Tahoma"/>
          <w:b/>
          <w:bCs/>
          <w:i/>
          <w:iCs/>
          <w:sz w:val="22"/>
        </w:rPr>
      </w:pPr>
    </w:p>
    <w:p w14:paraId="1841F8E6" w14:textId="7E0C9A9A" w:rsidR="64F642F0" w:rsidRPr="00D839A6" w:rsidRDefault="00922459" w:rsidP="00D839A6">
      <w:pPr>
        <w:pStyle w:val="paragraph"/>
        <w:spacing w:before="0" w:beforeAutospacing="0" w:after="0" w:afterAutospacing="0"/>
        <w:ind w:left="426" w:right="420"/>
        <w:jc w:val="both"/>
        <w:rPr>
          <w:rFonts w:ascii="Tahoma" w:hAnsi="Tahoma" w:cs="Tahoma"/>
          <w:i/>
          <w:iCs/>
          <w:sz w:val="22"/>
        </w:rPr>
      </w:pPr>
      <w:r w:rsidRPr="00D839A6">
        <w:rPr>
          <w:rFonts w:ascii="Tahoma" w:hAnsi="Tahoma" w:cs="Tahoma"/>
          <w:b/>
          <w:bCs/>
          <w:i/>
          <w:iCs/>
          <w:sz w:val="22"/>
          <w:lang w:val="es-ES"/>
        </w:rPr>
        <w:t>L</w:t>
      </w:r>
      <w:r w:rsidR="007A68BB" w:rsidRPr="00D839A6">
        <w:rPr>
          <w:rFonts w:ascii="Tahoma" w:hAnsi="Tahoma" w:cs="Tahoma"/>
          <w:b/>
          <w:bCs/>
          <w:i/>
          <w:iCs/>
          <w:sz w:val="22"/>
          <w:lang w:val="es-ES"/>
        </w:rPr>
        <w:t xml:space="preserve">a Sala considera necesario precisar su doctrina, en el sentido de señalar que </w:t>
      </w:r>
      <w:r w:rsidR="007A68BB" w:rsidRPr="00D839A6">
        <w:rPr>
          <w:rFonts w:ascii="Tahoma" w:hAnsi="Tahoma" w:cs="Tahoma"/>
          <w:b/>
          <w:bCs/>
          <w:i/>
          <w:iCs/>
          <w:sz w:val="22"/>
        </w:rPr>
        <w:t xml:space="preserve">cuando existen subsidios por incapacidad temporal, continuos o discontinuos, con posterioridad a la fecha de estructuración del estado de invalidez, </w:t>
      </w:r>
      <w:r w:rsidR="007A68BB" w:rsidRPr="00D839A6">
        <w:rPr>
          <w:rFonts w:ascii="Tahoma" w:hAnsi="Tahoma" w:cs="Tahoma"/>
          <w:b/>
          <w:bCs/>
          <w:i/>
          <w:iCs/>
          <w:sz w:val="22"/>
          <w:lang w:val="es-ES"/>
        </w:rPr>
        <w:t xml:space="preserve">las mesadas pensionales se comenzarán a pagar sólo </w:t>
      </w:r>
      <w:r w:rsidR="007A68BB" w:rsidRPr="00D839A6">
        <w:rPr>
          <w:rFonts w:ascii="Tahoma" w:hAnsi="Tahoma" w:cs="Tahoma"/>
          <w:b/>
          <w:bCs/>
          <w:i/>
          <w:iCs/>
          <w:sz w:val="22"/>
        </w:rPr>
        <w:t>a partir del momento en que expire el derecho a la última incapacidad, postura con la cual queda rectificada y delineada su posición con relación a criterios anteriores que le hubieren sido contrarios</w:t>
      </w:r>
      <w:r w:rsidR="00D56310" w:rsidRPr="00D839A6">
        <w:rPr>
          <w:rFonts w:ascii="Tahoma" w:hAnsi="Tahoma" w:cs="Tahoma"/>
          <w:b/>
          <w:bCs/>
          <w:i/>
          <w:iCs/>
          <w:sz w:val="22"/>
        </w:rPr>
        <w:t xml:space="preserve"> </w:t>
      </w:r>
      <w:r w:rsidR="00D56310" w:rsidRPr="00D839A6">
        <w:rPr>
          <w:rFonts w:ascii="Tahoma" w:hAnsi="Tahoma" w:cs="Tahoma"/>
          <w:b/>
          <w:bCs/>
          <w:i/>
          <w:iCs/>
          <w:sz w:val="22"/>
          <w:lang w:val="es-ES"/>
        </w:rPr>
        <w:t>(</w:t>
      </w:r>
      <w:proofErr w:type="spellStart"/>
      <w:r w:rsidR="00D56310" w:rsidRPr="00D839A6">
        <w:rPr>
          <w:rFonts w:ascii="Tahoma" w:hAnsi="Tahoma" w:cs="Tahoma"/>
          <w:b/>
          <w:bCs/>
          <w:i/>
          <w:iCs/>
          <w:sz w:val="22"/>
          <w:lang w:val="es-ES"/>
        </w:rPr>
        <w:t>SL1562</w:t>
      </w:r>
      <w:proofErr w:type="spellEnd"/>
      <w:r w:rsidR="00D56310" w:rsidRPr="00D839A6">
        <w:rPr>
          <w:rFonts w:ascii="Tahoma" w:hAnsi="Tahoma" w:cs="Tahoma"/>
          <w:b/>
          <w:bCs/>
          <w:i/>
          <w:iCs/>
          <w:sz w:val="22"/>
          <w:lang w:val="es-ES"/>
        </w:rPr>
        <w:t>-2019). </w:t>
      </w:r>
      <w:r w:rsidR="007A68BB" w:rsidRPr="00D839A6">
        <w:rPr>
          <w:rFonts w:ascii="Tahoma" w:hAnsi="Tahoma" w:cs="Tahoma"/>
          <w:b/>
          <w:bCs/>
          <w:i/>
          <w:iCs/>
          <w:sz w:val="22"/>
        </w:rPr>
        <w:t xml:space="preserve"> (…)</w:t>
      </w:r>
      <w:r w:rsidR="00D56310" w:rsidRPr="00D839A6">
        <w:rPr>
          <w:rFonts w:ascii="Tahoma" w:hAnsi="Tahoma" w:cs="Tahoma"/>
          <w:b/>
          <w:bCs/>
          <w:i/>
          <w:iCs/>
          <w:sz w:val="22"/>
          <w:lang w:val="es-ES"/>
        </w:rPr>
        <w:t xml:space="preserve"> </w:t>
      </w:r>
      <w:r w:rsidR="007A68BB" w:rsidRPr="00D839A6">
        <w:rPr>
          <w:rFonts w:ascii="Tahoma" w:hAnsi="Tahoma" w:cs="Tahoma"/>
          <w:b/>
          <w:bCs/>
          <w:i/>
          <w:iCs/>
          <w:sz w:val="22"/>
          <w:lang w:val="es-ES"/>
        </w:rPr>
        <w:t>En todo caso, mientras dicha persona reciba subsidio por incapacidad temporal, no habrá lugar a percibir las prestaciones derivadas de la invalidez</w:t>
      </w:r>
      <w:r w:rsidR="00D56310" w:rsidRPr="00D839A6">
        <w:rPr>
          <w:rFonts w:ascii="Tahoma" w:hAnsi="Tahoma" w:cs="Tahoma"/>
          <w:i/>
          <w:iCs/>
          <w:sz w:val="22"/>
        </w:rPr>
        <w:t>”</w:t>
      </w:r>
    </w:p>
    <w:p w14:paraId="2DCF33AA" w14:textId="77777777" w:rsidR="00D839A6" w:rsidRDefault="00D839A6"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p>
    <w:p w14:paraId="5329A68E" w14:textId="38CD0F42" w:rsidR="00752465" w:rsidRPr="00D839A6" w:rsidRDefault="00181A0C"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D839A6">
        <w:rPr>
          <w:rStyle w:val="normaltextrun"/>
          <w:rFonts w:ascii="Tahoma" w:hAnsi="Tahoma" w:cs="Tahoma"/>
          <w:lang w:val="es-ES"/>
        </w:rPr>
        <w:t>De lo anterior</w:t>
      </w:r>
      <w:r w:rsidR="006D2A2C" w:rsidRPr="00D839A6">
        <w:rPr>
          <w:rStyle w:val="normaltextrun"/>
          <w:rFonts w:ascii="Tahoma" w:hAnsi="Tahoma" w:cs="Tahoma"/>
          <w:lang w:val="es-ES"/>
        </w:rPr>
        <w:t xml:space="preserve">, </w:t>
      </w:r>
      <w:r w:rsidR="00BB3995" w:rsidRPr="00D839A6">
        <w:rPr>
          <w:rStyle w:val="normaltextrun"/>
          <w:rFonts w:ascii="Tahoma" w:hAnsi="Tahoma" w:cs="Tahoma"/>
          <w:lang w:val="es-ES"/>
        </w:rPr>
        <w:t>se concluye que</w:t>
      </w:r>
      <w:r w:rsidR="006D2A2C" w:rsidRPr="00D839A6">
        <w:rPr>
          <w:rStyle w:val="normaltextrun"/>
          <w:rFonts w:ascii="Tahoma" w:hAnsi="Tahoma" w:cs="Tahoma"/>
          <w:lang w:val="es-ES"/>
        </w:rPr>
        <w:t xml:space="preserve"> </w:t>
      </w:r>
      <w:r w:rsidR="00752465" w:rsidRPr="00D839A6">
        <w:rPr>
          <w:rFonts w:ascii="Tahoma" w:hAnsi="Tahoma" w:cs="Tahoma"/>
          <w:lang w:val="es-ES"/>
        </w:rPr>
        <w:t xml:space="preserve">las mesadas pensionales inician a reconocerse en forma retroactiva, desde la fecha de estructuración, </w:t>
      </w:r>
      <w:bookmarkStart w:id="6" w:name="_Hlk144212874"/>
      <w:r w:rsidR="00752465" w:rsidRPr="00D839A6">
        <w:rPr>
          <w:rFonts w:ascii="Tahoma" w:hAnsi="Tahoma" w:cs="Tahoma"/>
          <w:lang w:val="es-ES"/>
        </w:rPr>
        <w:t>salvo que, con posterioridad a esta, se hubieran entregado subsidios por incapacidad, continuos o discontinuos, pues, ante esos eventos, la prestación comienza</w:t>
      </w:r>
      <w:r w:rsidR="002A2A26" w:rsidRPr="00D839A6">
        <w:rPr>
          <w:rFonts w:ascii="Tahoma" w:hAnsi="Tahoma" w:cs="Tahoma"/>
          <w:lang w:val="es-ES"/>
        </w:rPr>
        <w:t xml:space="preserve"> a pagarse</w:t>
      </w:r>
      <w:r w:rsidR="00752465" w:rsidRPr="00D839A6">
        <w:rPr>
          <w:rFonts w:ascii="Tahoma" w:hAnsi="Tahoma" w:cs="Tahoma"/>
          <w:lang w:val="es-ES"/>
        </w:rPr>
        <w:t xml:space="preserve"> a partir de la expiración de la última de estas.</w:t>
      </w:r>
    </w:p>
    <w:bookmarkEnd w:id="6"/>
    <w:p w14:paraId="233B9481" w14:textId="77777777" w:rsidR="007A68BB" w:rsidRPr="00D839A6" w:rsidRDefault="007A68BB" w:rsidP="00D839A6">
      <w:pPr>
        <w:pStyle w:val="paragraph"/>
        <w:spacing w:before="0" w:beforeAutospacing="0" w:after="0" w:afterAutospacing="0" w:line="276" w:lineRule="auto"/>
        <w:jc w:val="both"/>
        <w:textAlignment w:val="baseline"/>
        <w:rPr>
          <w:rStyle w:val="normaltextrun"/>
          <w:rFonts w:ascii="Tahoma" w:hAnsi="Tahoma" w:cs="Tahoma"/>
          <w:lang w:val="es-ES"/>
        </w:rPr>
      </w:pPr>
    </w:p>
    <w:p w14:paraId="6DF40026" w14:textId="36BEA335" w:rsidR="00336273" w:rsidRPr="00D839A6" w:rsidRDefault="007A68BB" w:rsidP="00D839A6">
      <w:pPr>
        <w:pStyle w:val="paragraph"/>
        <w:spacing w:before="0" w:beforeAutospacing="0" w:after="0" w:afterAutospacing="0" w:line="276" w:lineRule="auto"/>
        <w:ind w:firstLine="705"/>
        <w:jc w:val="both"/>
        <w:textAlignment w:val="baseline"/>
        <w:rPr>
          <w:rStyle w:val="normaltextrun"/>
          <w:rFonts w:ascii="Tahoma" w:hAnsi="Tahoma" w:cs="Tahoma"/>
          <w:lang w:val="es-ES"/>
        </w:rPr>
      </w:pPr>
      <w:r w:rsidRPr="00D839A6">
        <w:rPr>
          <w:rStyle w:val="normaltextrun"/>
          <w:rFonts w:ascii="Tahoma" w:hAnsi="Tahoma" w:cs="Tahoma"/>
          <w:lang w:val="es-ES"/>
        </w:rPr>
        <w:t>Ahora</w:t>
      </w:r>
      <w:r w:rsidR="00181A0C" w:rsidRPr="00D839A6">
        <w:rPr>
          <w:rStyle w:val="normaltextrun"/>
          <w:rFonts w:ascii="Tahoma" w:hAnsi="Tahoma" w:cs="Tahoma"/>
          <w:lang w:val="es-ES"/>
        </w:rPr>
        <w:t>,</w:t>
      </w:r>
      <w:r w:rsidRPr="00D839A6">
        <w:rPr>
          <w:rStyle w:val="normaltextrun"/>
          <w:rFonts w:ascii="Tahoma" w:hAnsi="Tahoma" w:cs="Tahoma"/>
          <w:lang w:val="es-ES"/>
        </w:rPr>
        <w:t xml:space="preserve"> no desconoce la Sala que </w:t>
      </w:r>
      <w:r w:rsidR="0046569D" w:rsidRPr="00D839A6">
        <w:rPr>
          <w:rStyle w:val="normaltextrun"/>
          <w:rFonts w:ascii="Tahoma" w:hAnsi="Tahoma" w:cs="Tahoma"/>
          <w:lang w:val="es-ES"/>
        </w:rPr>
        <w:t xml:space="preserve">la misma Corporación en sentencia CSJ </w:t>
      </w:r>
      <w:proofErr w:type="spellStart"/>
      <w:r w:rsidR="0046569D" w:rsidRPr="00D839A6">
        <w:rPr>
          <w:rStyle w:val="normaltextrun"/>
          <w:rFonts w:ascii="Tahoma" w:hAnsi="Tahoma" w:cs="Tahoma"/>
          <w:lang w:val="es-ES"/>
        </w:rPr>
        <w:t>SL</w:t>
      </w:r>
      <w:proofErr w:type="spellEnd"/>
      <w:r w:rsidR="0046569D" w:rsidRPr="00D839A6">
        <w:rPr>
          <w:rStyle w:val="normaltextrun"/>
          <w:rFonts w:ascii="Tahoma" w:hAnsi="Tahoma" w:cs="Tahoma"/>
          <w:lang w:val="es-ES"/>
        </w:rPr>
        <w:t xml:space="preserve"> 4299 de 2022, dispuso una excepción a la regla de </w:t>
      </w:r>
      <w:r w:rsidR="00181A0C" w:rsidRPr="00D839A6">
        <w:rPr>
          <w:rStyle w:val="normaltextrun"/>
          <w:rFonts w:ascii="Tahoma" w:hAnsi="Tahoma" w:cs="Tahoma"/>
          <w:lang w:val="es-ES"/>
        </w:rPr>
        <w:t>decisión anterior,</w:t>
      </w:r>
      <w:r w:rsidR="007561AB" w:rsidRPr="00D839A6">
        <w:rPr>
          <w:rStyle w:val="normaltextrun"/>
          <w:rFonts w:ascii="Tahoma" w:hAnsi="Tahoma" w:cs="Tahoma"/>
          <w:lang w:val="es-ES"/>
        </w:rPr>
        <w:t xml:space="preserve"> </w:t>
      </w:r>
      <w:r w:rsidR="0091425E" w:rsidRPr="00D839A6">
        <w:rPr>
          <w:rStyle w:val="normaltextrun"/>
          <w:rFonts w:ascii="Tahoma" w:hAnsi="Tahoma" w:cs="Tahoma"/>
          <w:lang w:val="es-ES"/>
        </w:rPr>
        <w:t xml:space="preserve">para el </w:t>
      </w:r>
      <w:r w:rsidR="007561AB" w:rsidRPr="00D839A6">
        <w:rPr>
          <w:rStyle w:val="normaltextrun"/>
          <w:rFonts w:ascii="Tahoma" w:hAnsi="Tahoma" w:cs="Tahoma"/>
          <w:lang w:val="es-ES"/>
        </w:rPr>
        <w:t>caso de incapacidades discontinuas</w:t>
      </w:r>
      <w:r w:rsidR="0053483B" w:rsidRPr="00D839A6">
        <w:rPr>
          <w:rStyle w:val="normaltextrun"/>
          <w:rFonts w:ascii="Tahoma" w:hAnsi="Tahoma" w:cs="Tahoma"/>
          <w:lang w:val="es-ES"/>
        </w:rPr>
        <w:t xml:space="preserve"> prescritas después de la fecha de estructuración</w:t>
      </w:r>
      <w:r w:rsidR="007561AB" w:rsidRPr="00D839A6">
        <w:rPr>
          <w:rStyle w:val="normaltextrun"/>
          <w:rFonts w:ascii="Tahoma" w:hAnsi="Tahoma" w:cs="Tahoma"/>
          <w:lang w:val="es-ES"/>
        </w:rPr>
        <w:t xml:space="preserve">, </w:t>
      </w:r>
      <w:r w:rsidR="0091425E" w:rsidRPr="00D839A6">
        <w:rPr>
          <w:rStyle w:val="normaltextrun"/>
          <w:rFonts w:ascii="Tahoma" w:hAnsi="Tahoma" w:cs="Tahoma"/>
          <w:lang w:val="es-ES"/>
        </w:rPr>
        <w:t xml:space="preserve">advirtiendo que </w:t>
      </w:r>
      <w:r w:rsidR="007561AB" w:rsidRPr="00D839A6">
        <w:rPr>
          <w:rStyle w:val="normaltextrun"/>
          <w:rFonts w:ascii="Tahoma" w:hAnsi="Tahoma" w:cs="Tahoma"/>
          <w:lang w:val="es-ES"/>
        </w:rPr>
        <w:t xml:space="preserve">hay lugar a descontar del retroactivo pensional las incapacidades prescritas </w:t>
      </w:r>
      <w:r w:rsidR="00840AFD" w:rsidRPr="00D839A6">
        <w:rPr>
          <w:rStyle w:val="normaltextrun"/>
          <w:rFonts w:ascii="Tahoma" w:hAnsi="Tahoma" w:cs="Tahoma"/>
          <w:lang w:val="es-ES"/>
        </w:rPr>
        <w:t xml:space="preserve">después de la estructuración, solo cuando el afiliado no registra vinculación alguna al sistema pensional con posterioridad a la fecha de estructuración y </w:t>
      </w:r>
      <w:r w:rsidR="0091425E" w:rsidRPr="00D839A6">
        <w:rPr>
          <w:rStyle w:val="normaltextrun"/>
          <w:rFonts w:ascii="Tahoma" w:hAnsi="Tahoma" w:cs="Tahoma"/>
          <w:lang w:val="es-ES"/>
        </w:rPr>
        <w:t xml:space="preserve">el subsidio </w:t>
      </w:r>
      <w:r w:rsidR="0091425E" w:rsidRPr="00D839A6">
        <w:rPr>
          <w:rStyle w:val="normaltextrun"/>
          <w:rFonts w:ascii="Tahoma" w:hAnsi="Tahoma" w:cs="Tahoma"/>
          <w:lang w:val="es-ES"/>
        </w:rPr>
        <w:lastRenderedPageBreak/>
        <w:t xml:space="preserve">de incapacidad </w:t>
      </w:r>
      <w:r w:rsidR="00336273" w:rsidRPr="00D839A6">
        <w:rPr>
          <w:rStyle w:val="normaltextrun"/>
          <w:rFonts w:ascii="Tahoma" w:hAnsi="Tahoma" w:cs="Tahoma"/>
          <w:lang w:val="es-ES"/>
        </w:rPr>
        <w:t xml:space="preserve">es cubierto por el sistema de seguridad social en salud, por la afiliación de forma exclusiva </w:t>
      </w:r>
      <w:r w:rsidR="00306758" w:rsidRPr="00D839A6">
        <w:rPr>
          <w:rStyle w:val="normaltextrun"/>
          <w:rFonts w:ascii="Tahoma" w:hAnsi="Tahoma" w:cs="Tahoma"/>
          <w:lang w:val="es-ES"/>
        </w:rPr>
        <w:t xml:space="preserve">a este sistema, es decir a una </w:t>
      </w:r>
      <w:proofErr w:type="spellStart"/>
      <w:r w:rsidR="00306758" w:rsidRPr="00D839A6">
        <w:rPr>
          <w:rStyle w:val="normaltextrun"/>
          <w:rFonts w:ascii="Tahoma" w:hAnsi="Tahoma" w:cs="Tahoma"/>
          <w:lang w:val="es-ES"/>
        </w:rPr>
        <w:t>EPS</w:t>
      </w:r>
      <w:proofErr w:type="spellEnd"/>
      <w:r w:rsidR="00306758" w:rsidRPr="00D839A6">
        <w:rPr>
          <w:rStyle w:val="normaltextrun"/>
          <w:rFonts w:ascii="Tahoma" w:hAnsi="Tahoma" w:cs="Tahoma"/>
          <w:lang w:val="es-ES"/>
        </w:rPr>
        <w:t xml:space="preserve">. </w:t>
      </w:r>
    </w:p>
    <w:p w14:paraId="72E06A0A" w14:textId="2B91491A" w:rsidR="64F642F0" w:rsidRPr="00D839A6" w:rsidRDefault="64F642F0" w:rsidP="00D839A6">
      <w:pPr>
        <w:pStyle w:val="paragraph"/>
        <w:spacing w:before="0" w:beforeAutospacing="0" w:after="0" w:afterAutospacing="0" w:line="276" w:lineRule="auto"/>
        <w:jc w:val="both"/>
        <w:rPr>
          <w:rFonts w:ascii="Tahoma" w:hAnsi="Tahoma" w:cs="Tahoma"/>
        </w:rPr>
      </w:pPr>
    </w:p>
    <w:p w14:paraId="021A9432" w14:textId="57F8304B" w:rsidR="008764EC" w:rsidRPr="00D839A6" w:rsidRDefault="008764EC" w:rsidP="00D839A6">
      <w:pPr>
        <w:pStyle w:val="Prrafodelista"/>
        <w:widowControl w:val="0"/>
        <w:numPr>
          <w:ilvl w:val="1"/>
          <w:numId w:val="17"/>
        </w:numPr>
        <w:pBdr>
          <w:top w:val="nil"/>
          <w:left w:val="nil"/>
          <w:bottom w:val="nil"/>
          <w:right w:val="nil"/>
          <w:between w:val="nil"/>
        </w:pBdr>
        <w:spacing w:line="276" w:lineRule="auto"/>
        <w:jc w:val="both"/>
        <w:rPr>
          <w:rFonts w:ascii="Tahoma" w:hAnsi="Tahoma" w:cs="Tahoma"/>
          <w:b/>
          <w:bCs/>
        </w:rPr>
      </w:pPr>
      <w:r w:rsidRPr="00D839A6">
        <w:rPr>
          <w:rFonts w:ascii="Tahoma" w:hAnsi="Tahoma" w:cs="Tahoma"/>
          <w:b/>
          <w:bCs/>
        </w:rPr>
        <w:t>Naturaleza resarcitoria de los intereses moratorios</w:t>
      </w:r>
    </w:p>
    <w:p w14:paraId="4AD5FF99" w14:textId="158B826C" w:rsidR="64F642F0" w:rsidRPr="00D839A6" w:rsidRDefault="64F642F0" w:rsidP="00D839A6">
      <w:pPr>
        <w:widowControl w:val="0"/>
        <w:spacing w:line="276" w:lineRule="auto"/>
        <w:ind w:firstLine="708"/>
        <w:jc w:val="both"/>
        <w:rPr>
          <w:rFonts w:ascii="Tahoma" w:hAnsi="Tahoma" w:cs="Tahoma"/>
        </w:rPr>
      </w:pPr>
    </w:p>
    <w:p w14:paraId="50B3F7E3" w14:textId="77777777" w:rsidR="008764EC" w:rsidRPr="00D839A6" w:rsidRDefault="008764EC" w:rsidP="00D839A6">
      <w:pPr>
        <w:widowControl w:val="0"/>
        <w:autoSpaceDE w:val="0"/>
        <w:autoSpaceDN w:val="0"/>
        <w:adjustRightInd w:val="0"/>
        <w:spacing w:line="276" w:lineRule="auto"/>
        <w:ind w:firstLine="708"/>
        <w:jc w:val="both"/>
        <w:rPr>
          <w:rFonts w:ascii="Tahoma" w:hAnsi="Tahoma" w:cs="Tahoma"/>
          <w:color w:val="000000"/>
          <w:shd w:val="clear" w:color="auto" w:fill="FFFFFF"/>
        </w:rPr>
      </w:pPr>
      <w:r w:rsidRPr="00D839A6">
        <w:rPr>
          <w:rFonts w:ascii="Tahoma" w:hAnsi="Tahoma" w:cs="Tahoma"/>
          <w:bCs/>
        </w:rPr>
        <w:t xml:space="preserve">Señala el artículo 141 de la ley 100 de 1993, que </w:t>
      </w:r>
      <w:r w:rsidRPr="00D839A6">
        <w:rPr>
          <w:rFonts w:ascii="Tahoma" w:hAnsi="Tahoma" w:cs="Tahoma"/>
          <w:bCs/>
          <w:i/>
        </w:rPr>
        <w:t>“</w:t>
      </w:r>
      <w:r w:rsidRPr="00906E60">
        <w:rPr>
          <w:rFonts w:ascii="Tahoma" w:hAnsi="Tahoma" w:cs="Tahoma"/>
          <w:i/>
          <w:color w:val="000000"/>
          <w:sz w:val="22"/>
          <w:shd w:val="clear" w:color="auto" w:fill="FFFFFF"/>
        </w:rPr>
        <w:t>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r w:rsidRPr="00D839A6">
        <w:rPr>
          <w:rFonts w:ascii="Tahoma" w:hAnsi="Tahoma" w:cs="Tahoma"/>
          <w:i/>
          <w:color w:val="000000"/>
          <w:shd w:val="clear" w:color="auto" w:fill="FFFFFF"/>
        </w:rPr>
        <w:t>”.</w:t>
      </w:r>
    </w:p>
    <w:p w14:paraId="2339A260" w14:textId="77777777" w:rsidR="008764EC" w:rsidRPr="00D839A6" w:rsidRDefault="008764EC" w:rsidP="00D839A6">
      <w:pPr>
        <w:pStyle w:val="Sinespaciado"/>
        <w:spacing w:line="276" w:lineRule="auto"/>
        <w:jc w:val="both"/>
        <w:rPr>
          <w:rFonts w:ascii="Tahoma" w:hAnsi="Tahoma" w:cs="Tahoma"/>
          <w:shd w:val="clear" w:color="auto" w:fill="FFFFFF"/>
        </w:rPr>
      </w:pPr>
    </w:p>
    <w:p w14:paraId="7516FE5C" w14:textId="77777777" w:rsidR="008764EC" w:rsidRPr="00D839A6" w:rsidRDefault="008764EC" w:rsidP="00D839A6">
      <w:pPr>
        <w:widowControl w:val="0"/>
        <w:autoSpaceDE w:val="0"/>
        <w:autoSpaceDN w:val="0"/>
        <w:adjustRightInd w:val="0"/>
        <w:spacing w:line="276" w:lineRule="auto"/>
        <w:ind w:firstLine="708"/>
        <w:jc w:val="both"/>
        <w:rPr>
          <w:rFonts w:ascii="Tahoma" w:hAnsi="Tahoma" w:cs="Tahoma"/>
          <w:color w:val="000000"/>
          <w:shd w:val="clear" w:color="auto" w:fill="FFFFFF"/>
        </w:rPr>
      </w:pPr>
      <w:r w:rsidRPr="00D839A6">
        <w:rPr>
          <w:rFonts w:ascii="Tahoma" w:hAnsi="Tahoma" w:cs="Tahoma"/>
          <w:color w:val="000000"/>
          <w:shd w:val="clear" w:color="auto" w:fill="FFFFFF"/>
        </w:rPr>
        <w:t>La norma en comento opera como un mecanismo resarcitorio que se activa ante la tardanza en el pago de las mesadas pensionales derivadas de los riesgos de invalidez, vejez y muerte. El resarcimiento previene de la pérdida del poder adquisitivo del dinero y busca reparar el daño patrimonial que supone la demora en el pago de las obligaciones pensionales a cargo de las Administradoras de Fondos de Pensiones.</w:t>
      </w:r>
    </w:p>
    <w:p w14:paraId="0E290630" w14:textId="77777777" w:rsidR="008764EC" w:rsidRPr="00D839A6" w:rsidRDefault="008764EC" w:rsidP="00D839A6">
      <w:pPr>
        <w:pStyle w:val="Sinespaciado"/>
        <w:spacing w:line="276" w:lineRule="auto"/>
        <w:jc w:val="both"/>
        <w:rPr>
          <w:rFonts w:ascii="Tahoma" w:hAnsi="Tahoma" w:cs="Tahoma"/>
        </w:rPr>
      </w:pPr>
    </w:p>
    <w:p w14:paraId="56DF0F2A" w14:textId="77777777" w:rsidR="008764EC" w:rsidRPr="00D839A6" w:rsidRDefault="008764EC" w:rsidP="00D839A6">
      <w:pPr>
        <w:widowControl w:val="0"/>
        <w:autoSpaceDE w:val="0"/>
        <w:autoSpaceDN w:val="0"/>
        <w:adjustRightInd w:val="0"/>
        <w:spacing w:line="276" w:lineRule="auto"/>
        <w:ind w:firstLine="708"/>
        <w:jc w:val="both"/>
        <w:rPr>
          <w:rFonts w:ascii="Tahoma" w:hAnsi="Tahoma" w:cs="Tahoma"/>
        </w:rPr>
      </w:pPr>
      <w:r w:rsidRPr="00D839A6">
        <w:rPr>
          <w:rFonts w:ascii="Tahoma" w:hAnsi="Tahoma" w:cs="Tahoma"/>
        </w:rPr>
        <w:t xml:space="preserve">El carácter particularmente resarcitorio del interés previsto en el artículo 141 de la Ley 100 de 1993, lo emparenta al mundo de las obligaciones objetivas, pues la norma en comento no se detiene en miramientos particulares o subjetivos, ya que solo basta la mora para que, </w:t>
      </w:r>
      <w:r w:rsidRPr="00D839A6">
        <w:rPr>
          <w:rFonts w:ascii="Tahoma" w:hAnsi="Tahoma" w:cs="Tahoma"/>
          <w:i/>
        </w:rPr>
        <w:t>de iure</w:t>
      </w:r>
      <w:r w:rsidRPr="00D839A6">
        <w:rPr>
          <w:rFonts w:ascii="Tahoma" w:hAnsi="Tahoma" w:cs="Tahoma"/>
        </w:rPr>
        <w:t>, asome la obligación de pagar intereses moratorios. En cambio, frente a las sanciones, por su relación directa con la conducta del autor del daño antijurídico, es posible que se hable de causales o circunstancias de exoneración, dentro de la que perfectamente cabe, por ejemplo, la buena fe del moroso. Empero, esto no es lo que ocurre cuando nos referimos a los intereses previstos en el artículo 141 de la ley 100 de 1993.</w:t>
      </w:r>
    </w:p>
    <w:p w14:paraId="4655B325" w14:textId="77777777" w:rsidR="008764EC" w:rsidRPr="00D839A6" w:rsidRDefault="008764EC" w:rsidP="00D839A6">
      <w:pPr>
        <w:pStyle w:val="Sinespaciado"/>
        <w:spacing w:line="276" w:lineRule="auto"/>
        <w:jc w:val="both"/>
        <w:rPr>
          <w:rFonts w:ascii="Tahoma" w:hAnsi="Tahoma" w:cs="Tahoma"/>
        </w:rPr>
      </w:pPr>
    </w:p>
    <w:p w14:paraId="60C67A11" w14:textId="77777777" w:rsidR="008764EC" w:rsidRPr="00D839A6" w:rsidRDefault="008764EC" w:rsidP="00D839A6">
      <w:pPr>
        <w:widowControl w:val="0"/>
        <w:autoSpaceDE w:val="0"/>
        <w:autoSpaceDN w:val="0"/>
        <w:adjustRightInd w:val="0"/>
        <w:spacing w:line="276" w:lineRule="auto"/>
        <w:ind w:firstLine="708"/>
        <w:jc w:val="both"/>
        <w:rPr>
          <w:rFonts w:ascii="Tahoma" w:hAnsi="Tahoma" w:cs="Tahoma"/>
          <w:color w:val="000000"/>
          <w:shd w:val="clear" w:color="auto" w:fill="FFFFFF"/>
        </w:rPr>
      </w:pPr>
      <w:r w:rsidRPr="00D839A6">
        <w:rPr>
          <w:rFonts w:ascii="Tahoma" w:hAnsi="Tahoma" w:cs="Tahoma"/>
        </w:rPr>
        <w:t xml:space="preserve">En este mismo sentido se ha </w:t>
      </w:r>
      <w:bookmarkStart w:id="7" w:name="_Hlk119501350"/>
      <w:r w:rsidRPr="00D839A6">
        <w:rPr>
          <w:rFonts w:ascii="Tahoma" w:hAnsi="Tahoma" w:cs="Tahoma"/>
        </w:rPr>
        <w:t>pronunciado en múltiples providencias la Sala Laboral de la Corte Suprema de Justicia, entre ellas la sentencia No. 26728 de 2006, donde indicó que con este tipo de intereses se pretende la reparación de los perjuicios causados a quien teniendo derecho a la pensión no recibe oportunamente su valor. De allí se abstrae una naturaleza resarcitoria y no sancionatoria</w:t>
      </w:r>
      <w:bookmarkEnd w:id="7"/>
      <w:r w:rsidRPr="00D839A6">
        <w:rPr>
          <w:rFonts w:ascii="Tahoma" w:hAnsi="Tahoma" w:cs="Tahoma"/>
        </w:rPr>
        <w:t>. En este orden, el concepto de buena o mala fe del deudor o las circunstancias particulares que hayan conducido a la discusión del derecho no pueden ser considerados para establecer la procedencia de los intereses moratorios.</w:t>
      </w:r>
    </w:p>
    <w:p w14:paraId="3945C008" w14:textId="77777777" w:rsidR="008764EC" w:rsidRPr="00D839A6" w:rsidRDefault="008764EC" w:rsidP="00D839A6">
      <w:pPr>
        <w:pStyle w:val="Sinespaciado"/>
        <w:spacing w:line="276" w:lineRule="auto"/>
        <w:jc w:val="both"/>
        <w:rPr>
          <w:rFonts w:ascii="Tahoma" w:hAnsi="Tahoma" w:cs="Tahoma"/>
        </w:rPr>
      </w:pPr>
    </w:p>
    <w:p w14:paraId="43E4D54A" w14:textId="12BFD7CD" w:rsidR="008764EC" w:rsidRPr="00D839A6" w:rsidRDefault="008764EC" w:rsidP="00D839A6">
      <w:pPr>
        <w:widowControl w:val="0"/>
        <w:autoSpaceDE w:val="0"/>
        <w:autoSpaceDN w:val="0"/>
        <w:adjustRightInd w:val="0"/>
        <w:spacing w:line="276" w:lineRule="auto"/>
        <w:ind w:firstLine="708"/>
        <w:jc w:val="both"/>
        <w:rPr>
          <w:rFonts w:ascii="Tahoma" w:hAnsi="Tahoma" w:cs="Tahoma"/>
          <w:color w:val="000000"/>
          <w:shd w:val="clear" w:color="auto" w:fill="FFFFFF"/>
        </w:rPr>
      </w:pPr>
      <w:r w:rsidRPr="00D839A6">
        <w:rPr>
          <w:rFonts w:ascii="Tahoma" w:hAnsi="Tahoma" w:cs="Tahoma"/>
        </w:rPr>
        <w:t xml:space="preserve">Cabe aclarar que, por vía de una interpretación jurisprudencial más cercana en el tiempo, La Sala de Casación Laboral de la Corte Suprema de Justicia ha consentido una especie de excepción insular a la línea jurisprudencial imperante, pues no la recoge del todo, pero la “modera”, en palabras de la misma Corte, </w:t>
      </w:r>
      <w:r w:rsidRPr="00D839A6">
        <w:rPr>
          <w:rFonts w:ascii="Tahoma" w:hAnsi="Tahoma" w:cs="Tahoma"/>
          <w:i/>
        </w:rPr>
        <w:t>“</w:t>
      </w:r>
      <w:r w:rsidRPr="00906E60">
        <w:rPr>
          <w:rFonts w:ascii="Tahoma" w:hAnsi="Tahoma" w:cs="Tahoma"/>
          <w:i/>
          <w:sz w:val="22"/>
        </w:rPr>
        <w:t xml:space="preserve">para aquellos eventos en que las actuaciones de las administradoras de </w:t>
      </w:r>
      <w:r w:rsidRPr="00906E60">
        <w:rPr>
          <w:rFonts w:ascii="Tahoma" w:hAnsi="Tahoma" w:cs="Tahoma"/>
          <w:sz w:val="22"/>
        </w:rPr>
        <w:t>pensiones</w:t>
      </w:r>
      <w:r w:rsidRPr="00906E60">
        <w:rPr>
          <w:rFonts w:ascii="Tahoma" w:hAnsi="Tahoma" w:cs="Tahoma"/>
          <w:i/>
          <w:sz w:val="22"/>
        </w:rPr>
        <w:t xml:space="preserve"> públicas o privadas, </w:t>
      </w:r>
      <w:r w:rsidRPr="00906E60">
        <w:rPr>
          <w:rFonts w:ascii="Tahoma" w:hAnsi="Tahoma" w:cs="Tahoma"/>
          <w:i/>
          <w:sz w:val="22"/>
          <w:u w:val="single"/>
        </w:rPr>
        <w:t>al no reconocer</w:t>
      </w:r>
      <w:r w:rsidRPr="00906E60">
        <w:rPr>
          <w:rFonts w:ascii="Tahoma" w:hAnsi="Tahoma" w:cs="Tahoma"/>
          <w:i/>
          <w:sz w:val="22"/>
        </w:rPr>
        <w:t xml:space="preserve"> o pagar las prestaciones periódicas a su cargo, encuentren plena justificación bien porque tengan respaldo normativo, ora porque su postura provenga de la aplicación minuciosa de la ley, sin los alcances o efectos que en un momento dado puedan darle los jueces en la función que les es propia de interpretar las normas sociales y ajustarlas a los postulados y objetivos fundamentales de la seguridad social, y que a las entidades que la gestionan no les compete y les es imposible predecir</w:t>
      </w:r>
      <w:r w:rsidRPr="00D839A6">
        <w:rPr>
          <w:rFonts w:ascii="Tahoma" w:hAnsi="Tahoma" w:cs="Tahoma"/>
          <w:i/>
        </w:rPr>
        <w:t xml:space="preserve">”. </w:t>
      </w:r>
      <w:r w:rsidRPr="00D839A6">
        <w:rPr>
          <w:rFonts w:ascii="Tahoma" w:hAnsi="Tahoma" w:cs="Tahoma"/>
        </w:rPr>
        <w:t>(</w:t>
      </w:r>
      <w:r w:rsidR="00BF5290" w:rsidRPr="00D839A6">
        <w:rPr>
          <w:rFonts w:ascii="Tahoma" w:hAnsi="Tahoma" w:cs="Tahoma"/>
        </w:rPr>
        <w:t>S</w:t>
      </w:r>
      <w:r w:rsidRPr="00D839A6">
        <w:rPr>
          <w:rFonts w:ascii="Tahoma" w:hAnsi="Tahoma" w:cs="Tahoma"/>
        </w:rPr>
        <w:t xml:space="preserve">entencia de casación No. 46602 de la Sala de Casación </w:t>
      </w:r>
      <w:r w:rsidRPr="00D839A6">
        <w:rPr>
          <w:rFonts w:ascii="Tahoma" w:hAnsi="Tahoma" w:cs="Tahoma"/>
        </w:rPr>
        <w:lastRenderedPageBreak/>
        <w:t>Laboral de la Corte Suprema de Justicia.)</w:t>
      </w:r>
    </w:p>
    <w:p w14:paraId="2C565071" w14:textId="71BAFC54" w:rsidR="00B23F76" w:rsidRPr="00D839A6" w:rsidRDefault="00B23F76" w:rsidP="00D839A6">
      <w:pPr>
        <w:pStyle w:val="paragraph"/>
        <w:spacing w:before="0" w:beforeAutospacing="0" w:after="0" w:afterAutospacing="0" w:line="276" w:lineRule="auto"/>
        <w:jc w:val="both"/>
        <w:textAlignment w:val="baseline"/>
        <w:rPr>
          <w:rFonts w:ascii="Tahoma" w:hAnsi="Tahoma" w:cs="Tahoma"/>
        </w:rPr>
      </w:pPr>
    </w:p>
    <w:p w14:paraId="5AA460D8" w14:textId="684E83CD" w:rsidR="00660928" w:rsidRPr="00D839A6" w:rsidRDefault="00B00BC8" w:rsidP="00D839A6">
      <w:pPr>
        <w:pStyle w:val="Prrafodelista"/>
        <w:widowControl w:val="0"/>
        <w:numPr>
          <w:ilvl w:val="1"/>
          <w:numId w:val="17"/>
        </w:numPr>
        <w:pBdr>
          <w:top w:val="nil"/>
          <w:left w:val="nil"/>
          <w:bottom w:val="nil"/>
          <w:right w:val="nil"/>
          <w:between w:val="nil"/>
        </w:pBdr>
        <w:spacing w:line="276" w:lineRule="auto"/>
        <w:jc w:val="both"/>
        <w:rPr>
          <w:rFonts w:ascii="Tahoma" w:eastAsia="Tahoma" w:hAnsi="Tahoma" w:cs="Tahoma"/>
          <w:b/>
          <w:color w:val="000000"/>
        </w:rPr>
      </w:pPr>
      <w:r w:rsidRPr="00D839A6">
        <w:rPr>
          <w:rFonts w:ascii="Tahoma" w:eastAsia="Tahoma" w:hAnsi="Tahoma" w:cs="Tahoma"/>
          <w:b/>
          <w:bCs/>
          <w:color w:val="000000" w:themeColor="text1"/>
        </w:rPr>
        <w:t>Caso concreto</w:t>
      </w:r>
    </w:p>
    <w:p w14:paraId="70005B57" w14:textId="7F0DE1C4" w:rsidR="1A96A8E2" w:rsidRPr="00D839A6" w:rsidRDefault="1A96A8E2" w:rsidP="00D839A6">
      <w:pPr>
        <w:widowControl w:val="0"/>
        <w:pBdr>
          <w:top w:val="nil"/>
          <w:left w:val="nil"/>
          <w:bottom w:val="nil"/>
          <w:right w:val="nil"/>
          <w:between w:val="nil"/>
        </w:pBdr>
        <w:spacing w:line="276" w:lineRule="auto"/>
        <w:jc w:val="both"/>
        <w:rPr>
          <w:rFonts w:ascii="Tahoma" w:eastAsia="Tahoma" w:hAnsi="Tahoma" w:cs="Tahoma"/>
          <w:b/>
          <w:bCs/>
          <w:color w:val="000000" w:themeColor="text1"/>
        </w:rPr>
      </w:pPr>
    </w:p>
    <w:p w14:paraId="4FA79E90" w14:textId="07B75614" w:rsidR="002A2A26" w:rsidRPr="00D839A6" w:rsidRDefault="00C228EA" w:rsidP="00D839A6">
      <w:pPr>
        <w:spacing w:line="276" w:lineRule="auto"/>
        <w:ind w:firstLine="709"/>
        <w:jc w:val="both"/>
        <w:rPr>
          <w:rFonts w:ascii="Tahoma" w:eastAsia="Tahoma" w:hAnsi="Tahoma" w:cs="Tahoma"/>
          <w:color w:val="000000"/>
        </w:rPr>
      </w:pPr>
      <w:r w:rsidRPr="00D839A6">
        <w:rPr>
          <w:rFonts w:ascii="Tahoma" w:eastAsia="Tahoma" w:hAnsi="Tahoma" w:cs="Tahoma"/>
          <w:color w:val="000000"/>
        </w:rPr>
        <w:t>En esta instancia no es materia de discusión</w:t>
      </w:r>
      <w:r w:rsidR="008E5F69" w:rsidRPr="00D839A6">
        <w:rPr>
          <w:rFonts w:ascii="Tahoma" w:eastAsia="Tahoma" w:hAnsi="Tahoma" w:cs="Tahoma"/>
          <w:color w:val="000000"/>
        </w:rPr>
        <w:t xml:space="preserve">: </w:t>
      </w:r>
      <w:r w:rsidR="008E5F69" w:rsidRPr="00D839A6">
        <w:rPr>
          <w:rFonts w:ascii="Tahoma" w:eastAsia="Tahoma" w:hAnsi="Tahoma" w:cs="Tahoma"/>
          <w:b/>
          <w:bCs/>
          <w:color w:val="000000"/>
        </w:rPr>
        <w:t xml:space="preserve">1) </w:t>
      </w:r>
      <w:r w:rsidR="00B63E81" w:rsidRPr="00D839A6">
        <w:rPr>
          <w:rFonts w:ascii="Tahoma" w:eastAsia="Tahoma" w:hAnsi="Tahoma" w:cs="Tahoma"/>
          <w:color w:val="000000"/>
        </w:rPr>
        <w:t>Q</w:t>
      </w:r>
      <w:r w:rsidR="005917D5" w:rsidRPr="00D839A6">
        <w:rPr>
          <w:rFonts w:ascii="Tahoma" w:eastAsia="Tahoma" w:hAnsi="Tahoma" w:cs="Tahoma"/>
          <w:color w:val="000000"/>
        </w:rPr>
        <w:t>ue la demandante nació el 9 de enero de 1938</w:t>
      </w:r>
      <w:r w:rsidR="005917D5" w:rsidRPr="00D839A6">
        <w:rPr>
          <w:rStyle w:val="Refdenotaalpie"/>
          <w:rFonts w:ascii="Tahoma" w:eastAsia="Tahoma" w:hAnsi="Tahoma" w:cs="Tahoma"/>
          <w:color w:val="000000"/>
        </w:rPr>
        <w:footnoteReference w:id="1"/>
      </w:r>
      <w:r w:rsidR="008C5962" w:rsidRPr="00D839A6">
        <w:rPr>
          <w:rFonts w:ascii="Tahoma" w:eastAsia="Tahoma" w:hAnsi="Tahoma" w:cs="Tahoma"/>
          <w:color w:val="000000"/>
        </w:rPr>
        <w:t xml:space="preserve">; </w:t>
      </w:r>
      <w:r w:rsidR="008C5962" w:rsidRPr="00D839A6">
        <w:rPr>
          <w:rFonts w:ascii="Tahoma" w:eastAsia="Tahoma" w:hAnsi="Tahoma" w:cs="Tahoma"/>
          <w:b/>
          <w:bCs/>
          <w:color w:val="000000"/>
        </w:rPr>
        <w:t xml:space="preserve">2) </w:t>
      </w:r>
      <w:r w:rsidR="00F1039F" w:rsidRPr="00D839A6">
        <w:rPr>
          <w:rFonts w:ascii="Tahoma" w:eastAsia="Tahoma" w:hAnsi="Tahoma" w:cs="Tahoma"/>
          <w:color w:val="000000"/>
        </w:rPr>
        <w:t xml:space="preserve">Que la demandante y el causante contrajeron nupcias el 27 de marzo de 1965, </w:t>
      </w:r>
      <w:r w:rsidR="00B63E81" w:rsidRPr="00D839A6">
        <w:rPr>
          <w:rFonts w:ascii="Tahoma" w:eastAsia="Tahoma" w:hAnsi="Tahoma" w:cs="Tahoma"/>
          <w:color w:val="000000"/>
        </w:rPr>
        <w:t xml:space="preserve">vínculo que se mantuvo </w:t>
      </w:r>
      <w:r w:rsidR="00F1039F" w:rsidRPr="00D839A6">
        <w:rPr>
          <w:rFonts w:ascii="Tahoma" w:eastAsia="Tahoma" w:hAnsi="Tahoma" w:cs="Tahoma"/>
          <w:color w:val="000000"/>
        </w:rPr>
        <w:t>vigente hasta la fecha del fallecimiento del causante, como quiera que el registro civil de matrimonio no exhibe notas de divorcio</w:t>
      </w:r>
      <w:r w:rsidR="00F1039F" w:rsidRPr="00D839A6">
        <w:rPr>
          <w:rFonts w:ascii="Tahoma" w:eastAsia="Tahoma" w:hAnsi="Tahoma" w:cs="Tahoma"/>
          <w:color w:val="000000"/>
          <w:vertAlign w:val="superscript"/>
        </w:rPr>
        <w:footnoteReference w:id="2"/>
      </w:r>
      <w:r w:rsidR="00F1039F" w:rsidRPr="00D839A6">
        <w:rPr>
          <w:rFonts w:ascii="Tahoma" w:eastAsia="Tahoma" w:hAnsi="Tahoma" w:cs="Tahoma"/>
          <w:color w:val="000000"/>
        </w:rPr>
        <w:t xml:space="preserve">; </w:t>
      </w:r>
      <w:r w:rsidR="00F1039F" w:rsidRPr="00D839A6">
        <w:rPr>
          <w:rFonts w:ascii="Tahoma" w:eastAsia="Tahoma" w:hAnsi="Tahoma" w:cs="Tahoma"/>
          <w:b/>
          <w:bCs/>
          <w:color w:val="000000"/>
        </w:rPr>
        <w:t>3)</w:t>
      </w:r>
      <w:r w:rsidR="00082E1A" w:rsidRPr="00D839A6">
        <w:rPr>
          <w:rFonts w:ascii="Tahoma" w:eastAsia="Tahoma" w:hAnsi="Tahoma" w:cs="Tahoma"/>
          <w:b/>
          <w:bCs/>
          <w:color w:val="000000"/>
        </w:rPr>
        <w:t xml:space="preserve"> </w:t>
      </w:r>
      <w:r w:rsidR="00B63E81" w:rsidRPr="00D839A6">
        <w:rPr>
          <w:rFonts w:ascii="Tahoma" w:eastAsia="Tahoma" w:hAnsi="Tahoma" w:cs="Tahoma"/>
          <w:color w:val="000000"/>
        </w:rPr>
        <w:t>Q</w:t>
      </w:r>
      <w:r w:rsidR="008C5962" w:rsidRPr="00D839A6">
        <w:rPr>
          <w:rFonts w:ascii="Tahoma" w:eastAsia="Tahoma" w:hAnsi="Tahoma" w:cs="Tahoma"/>
          <w:color w:val="000000"/>
        </w:rPr>
        <w:t xml:space="preserve">ue mediante dictamen de pérdida de la capacidad laboral No. </w:t>
      </w:r>
      <w:proofErr w:type="spellStart"/>
      <w:r w:rsidR="008C5962" w:rsidRPr="00D839A6">
        <w:rPr>
          <w:rFonts w:ascii="Tahoma" w:eastAsia="Tahoma" w:hAnsi="Tahoma" w:cs="Tahoma"/>
          <w:color w:val="000000"/>
        </w:rPr>
        <w:t>DML</w:t>
      </w:r>
      <w:proofErr w:type="spellEnd"/>
      <w:r w:rsidR="008C5962" w:rsidRPr="00D839A6">
        <w:rPr>
          <w:rFonts w:ascii="Tahoma" w:eastAsia="Tahoma" w:hAnsi="Tahoma" w:cs="Tahoma"/>
          <w:color w:val="000000"/>
        </w:rPr>
        <w:t xml:space="preserve"> 7543 del 14 de noviembre de </w:t>
      </w:r>
      <w:r w:rsidR="002C0623" w:rsidRPr="00D839A6">
        <w:rPr>
          <w:rFonts w:ascii="Tahoma" w:eastAsia="Tahoma" w:hAnsi="Tahoma" w:cs="Tahoma"/>
          <w:color w:val="000000"/>
        </w:rPr>
        <w:t xml:space="preserve">2019 la Administradora Colombiana de Pensiones- Colpensiones calificó al </w:t>
      </w:r>
      <w:r w:rsidR="00853034" w:rsidRPr="00D839A6">
        <w:rPr>
          <w:rFonts w:ascii="Tahoma" w:eastAsia="Tahoma" w:hAnsi="Tahoma" w:cs="Tahoma"/>
          <w:color w:val="000000"/>
        </w:rPr>
        <w:t xml:space="preserve">causante </w:t>
      </w:r>
      <w:r w:rsidR="002C0623" w:rsidRPr="00D839A6">
        <w:rPr>
          <w:rFonts w:ascii="Tahoma" w:eastAsia="Tahoma" w:hAnsi="Tahoma" w:cs="Tahoma"/>
          <w:color w:val="000000"/>
        </w:rPr>
        <w:t xml:space="preserve">con una </w:t>
      </w:r>
      <w:proofErr w:type="spellStart"/>
      <w:r w:rsidR="002C0623" w:rsidRPr="00D839A6">
        <w:rPr>
          <w:rFonts w:ascii="Tahoma" w:eastAsia="Tahoma" w:hAnsi="Tahoma" w:cs="Tahoma"/>
          <w:color w:val="000000"/>
        </w:rPr>
        <w:t>PCL</w:t>
      </w:r>
      <w:proofErr w:type="spellEnd"/>
      <w:r w:rsidR="002C0623" w:rsidRPr="00D839A6">
        <w:rPr>
          <w:rFonts w:ascii="Tahoma" w:eastAsia="Tahoma" w:hAnsi="Tahoma" w:cs="Tahoma"/>
          <w:color w:val="000000"/>
        </w:rPr>
        <w:t xml:space="preserve"> </w:t>
      </w:r>
      <w:r w:rsidR="00225163" w:rsidRPr="00D839A6">
        <w:rPr>
          <w:rFonts w:ascii="Tahoma" w:eastAsia="Tahoma" w:hAnsi="Tahoma" w:cs="Tahoma"/>
          <w:color w:val="000000"/>
        </w:rPr>
        <w:t>65.78%, de origen común, estructurada el 25 de mayo de 2007</w:t>
      </w:r>
      <w:r w:rsidR="00225163" w:rsidRPr="00D839A6">
        <w:rPr>
          <w:rStyle w:val="Refdenotaalpie"/>
          <w:rFonts w:ascii="Tahoma" w:eastAsia="Tahoma" w:hAnsi="Tahoma" w:cs="Tahoma"/>
          <w:color w:val="000000"/>
        </w:rPr>
        <w:footnoteReference w:id="3"/>
      </w:r>
      <w:r w:rsidR="00225163" w:rsidRPr="00D839A6">
        <w:rPr>
          <w:rFonts w:ascii="Tahoma" w:eastAsia="Tahoma" w:hAnsi="Tahoma" w:cs="Tahoma"/>
          <w:color w:val="000000"/>
        </w:rPr>
        <w:t xml:space="preserve">; </w:t>
      </w:r>
      <w:r w:rsidR="00082E1A" w:rsidRPr="00D839A6">
        <w:rPr>
          <w:rFonts w:ascii="Tahoma" w:eastAsia="Tahoma" w:hAnsi="Tahoma" w:cs="Tahoma"/>
          <w:b/>
          <w:bCs/>
          <w:color w:val="000000"/>
        </w:rPr>
        <w:t>4</w:t>
      </w:r>
      <w:r w:rsidR="00225163" w:rsidRPr="00D839A6">
        <w:rPr>
          <w:rFonts w:ascii="Tahoma" w:eastAsia="Tahoma" w:hAnsi="Tahoma" w:cs="Tahoma"/>
          <w:b/>
          <w:bCs/>
          <w:color w:val="000000"/>
        </w:rPr>
        <w:t>)</w:t>
      </w:r>
      <w:r w:rsidR="00082E1A" w:rsidRPr="00D839A6">
        <w:rPr>
          <w:rFonts w:ascii="Tahoma" w:eastAsia="Tahoma" w:hAnsi="Tahoma" w:cs="Tahoma"/>
          <w:b/>
          <w:bCs/>
          <w:color w:val="000000"/>
        </w:rPr>
        <w:t xml:space="preserve"> </w:t>
      </w:r>
      <w:r w:rsidR="00ED63FA" w:rsidRPr="00D839A6">
        <w:rPr>
          <w:rFonts w:ascii="Tahoma" w:eastAsia="Tahoma" w:hAnsi="Tahoma" w:cs="Tahoma"/>
          <w:color w:val="000000"/>
        </w:rPr>
        <w:t>Que e</w:t>
      </w:r>
      <w:r w:rsidR="00082E1A" w:rsidRPr="00D839A6">
        <w:rPr>
          <w:rFonts w:ascii="Tahoma" w:eastAsia="Tahoma" w:hAnsi="Tahoma" w:cs="Tahoma"/>
          <w:color w:val="000000"/>
        </w:rPr>
        <w:t>l señor Guillermo Ayala Duque falleció el 10 de febrero de 2020</w:t>
      </w:r>
      <w:r w:rsidR="00082E1A" w:rsidRPr="00D839A6">
        <w:rPr>
          <w:rFonts w:ascii="Tahoma" w:eastAsia="Tahoma" w:hAnsi="Tahoma" w:cs="Tahoma"/>
          <w:color w:val="000000"/>
          <w:vertAlign w:val="superscript"/>
        </w:rPr>
        <w:footnoteReference w:id="4"/>
      </w:r>
      <w:r w:rsidR="00082E1A" w:rsidRPr="00D839A6">
        <w:rPr>
          <w:rFonts w:ascii="Tahoma" w:eastAsia="Tahoma" w:hAnsi="Tahoma" w:cs="Tahoma"/>
          <w:color w:val="000000"/>
        </w:rPr>
        <w:t xml:space="preserve">; </w:t>
      </w:r>
      <w:r w:rsidR="00F1039F" w:rsidRPr="00D839A6">
        <w:rPr>
          <w:rFonts w:ascii="Tahoma" w:eastAsia="Tahoma" w:hAnsi="Tahoma" w:cs="Tahoma"/>
          <w:b/>
          <w:bCs/>
          <w:color w:val="000000"/>
        </w:rPr>
        <w:t xml:space="preserve">5) </w:t>
      </w:r>
      <w:r w:rsidR="00F1039F" w:rsidRPr="00D839A6">
        <w:rPr>
          <w:rFonts w:ascii="Tahoma" w:eastAsia="Tahoma" w:hAnsi="Tahoma" w:cs="Tahoma"/>
          <w:color w:val="000000"/>
        </w:rPr>
        <w:t>Que con ocasión al fallecimiento del causante</w:t>
      </w:r>
      <w:r w:rsidR="00082E1A" w:rsidRPr="00D839A6">
        <w:rPr>
          <w:rFonts w:ascii="Tahoma" w:eastAsia="Tahoma" w:hAnsi="Tahoma" w:cs="Tahoma"/>
          <w:color w:val="000000"/>
        </w:rPr>
        <w:t>,</w:t>
      </w:r>
      <w:r w:rsidR="00B461EE" w:rsidRPr="00D839A6">
        <w:rPr>
          <w:rFonts w:ascii="Tahoma" w:eastAsia="Tahoma" w:hAnsi="Tahoma" w:cs="Tahoma"/>
          <w:color w:val="000000"/>
        </w:rPr>
        <w:t xml:space="preserve"> el 20 de julio de 2020</w:t>
      </w:r>
      <w:r w:rsidR="00082E1A" w:rsidRPr="00D839A6">
        <w:rPr>
          <w:rFonts w:ascii="Tahoma" w:eastAsia="Tahoma" w:hAnsi="Tahoma" w:cs="Tahoma"/>
          <w:color w:val="000000"/>
        </w:rPr>
        <w:t xml:space="preserve"> la señora Ana Rita </w:t>
      </w:r>
      <w:r w:rsidR="00B461EE" w:rsidRPr="00D839A6">
        <w:rPr>
          <w:rFonts w:ascii="Tahoma" w:eastAsia="Tahoma" w:hAnsi="Tahoma" w:cs="Tahoma"/>
          <w:color w:val="000000"/>
        </w:rPr>
        <w:t>Rodríguez, en calidad de cónyuge, elevó solicitud de pensión de sobrevivientes, misma que le f</w:t>
      </w:r>
      <w:r w:rsidR="0095764C" w:rsidRPr="00D839A6">
        <w:rPr>
          <w:rFonts w:ascii="Tahoma" w:eastAsia="Tahoma" w:hAnsi="Tahoma" w:cs="Tahoma"/>
          <w:color w:val="000000"/>
        </w:rPr>
        <w:t xml:space="preserve">ue </w:t>
      </w:r>
      <w:r w:rsidR="00B461EE" w:rsidRPr="00D839A6">
        <w:rPr>
          <w:rFonts w:ascii="Tahoma" w:eastAsia="Tahoma" w:hAnsi="Tahoma" w:cs="Tahoma"/>
          <w:color w:val="000000"/>
        </w:rPr>
        <w:t xml:space="preserve">reconocida </w:t>
      </w:r>
      <w:r w:rsidR="0095764C" w:rsidRPr="00D839A6">
        <w:rPr>
          <w:rFonts w:ascii="Tahoma" w:eastAsia="Tahoma" w:hAnsi="Tahoma" w:cs="Tahoma"/>
          <w:color w:val="000000"/>
        </w:rPr>
        <w:t xml:space="preserve">de forma vitalicia y en un 100% </w:t>
      </w:r>
      <w:r w:rsidR="001D74AF" w:rsidRPr="00D839A6">
        <w:rPr>
          <w:rFonts w:ascii="Tahoma" w:eastAsia="Tahoma" w:hAnsi="Tahoma" w:cs="Tahoma"/>
          <w:color w:val="000000"/>
        </w:rPr>
        <w:t xml:space="preserve">a partir del 10 de febrero de 2020 </w:t>
      </w:r>
      <w:r w:rsidR="00B461EE" w:rsidRPr="00D839A6">
        <w:rPr>
          <w:rFonts w:ascii="Tahoma" w:eastAsia="Tahoma" w:hAnsi="Tahoma" w:cs="Tahoma"/>
          <w:color w:val="000000"/>
        </w:rPr>
        <w:t xml:space="preserve">mediante Resolución SUB </w:t>
      </w:r>
      <w:r w:rsidR="00C8260F" w:rsidRPr="00D839A6">
        <w:rPr>
          <w:rFonts w:ascii="Tahoma" w:eastAsia="Tahoma" w:hAnsi="Tahoma" w:cs="Tahoma"/>
          <w:color w:val="000000"/>
        </w:rPr>
        <w:t>213126 del 6 de octubre de 2020</w:t>
      </w:r>
      <w:r w:rsidR="0095764C" w:rsidRPr="00D839A6">
        <w:rPr>
          <w:rFonts w:ascii="Tahoma" w:eastAsia="Tahoma" w:hAnsi="Tahoma" w:cs="Tahoma"/>
          <w:color w:val="000000"/>
        </w:rPr>
        <w:t xml:space="preserve">, </w:t>
      </w:r>
      <w:r w:rsidR="002202F7" w:rsidRPr="00D839A6">
        <w:rPr>
          <w:rFonts w:ascii="Tahoma" w:eastAsia="Tahoma" w:hAnsi="Tahoma" w:cs="Tahoma"/>
          <w:color w:val="000000"/>
        </w:rPr>
        <w:t>previó reconocimiento de la</w:t>
      </w:r>
      <w:r w:rsidR="00225CBF" w:rsidRPr="00D839A6">
        <w:rPr>
          <w:rFonts w:ascii="Tahoma" w:eastAsia="Tahoma" w:hAnsi="Tahoma" w:cs="Tahoma"/>
          <w:color w:val="000000"/>
        </w:rPr>
        <w:t xml:space="preserve"> </w:t>
      </w:r>
      <w:r w:rsidR="1E73D911" w:rsidRPr="00D839A6">
        <w:rPr>
          <w:rFonts w:ascii="Tahoma" w:eastAsia="Tahoma" w:hAnsi="Tahoma" w:cs="Tahoma"/>
          <w:color w:val="000000"/>
        </w:rPr>
        <w:t>é</w:t>
      </w:r>
      <w:r w:rsidR="00225CBF" w:rsidRPr="00D839A6">
        <w:rPr>
          <w:rFonts w:ascii="Tahoma" w:eastAsia="Tahoma" w:hAnsi="Tahoma" w:cs="Tahoma"/>
          <w:color w:val="000000"/>
        </w:rPr>
        <w:t xml:space="preserve">gida de invalidez </w:t>
      </w:r>
      <w:proofErr w:type="spellStart"/>
      <w:r w:rsidR="00225CBF" w:rsidRPr="00D839A6">
        <w:rPr>
          <w:rFonts w:ascii="Tahoma" w:eastAsia="Tahoma" w:hAnsi="Tahoma" w:cs="Tahoma"/>
          <w:color w:val="000000"/>
        </w:rPr>
        <w:t>postmortem</w:t>
      </w:r>
      <w:proofErr w:type="spellEnd"/>
      <w:r w:rsidR="00225CBF" w:rsidRPr="00D839A6">
        <w:rPr>
          <w:rFonts w:ascii="Tahoma" w:eastAsia="Tahoma" w:hAnsi="Tahoma" w:cs="Tahoma"/>
          <w:color w:val="000000"/>
        </w:rPr>
        <w:t xml:space="preserve"> al señor Guillermo Ayala Duque </w:t>
      </w:r>
      <w:r w:rsidR="001D74AF" w:rsidRPr="00D839A6">
        <w:rPr>
          <w:rFonts w:ascii="Tahoma" w:eastAsia="Tahoma" w:hAnsi="Tahoma" w:cs="Tahoma"/>
          <w:color w:val="000000"/>
        </w:rPr>
        <w:t xml:space="preserve">en cuantía de un </w:t>
      </w:r>
      <w:proofErr w:type="spellStart"/>
      <w:r w:rsidR="001D74AF" w:rsidRPr="00D839A6">
        <w:rPr>
          <w:rFonts w:ascii="Tahoma" w:eastAsia="Tahoma" w:hAnsi="Tahoma" w:cs="Tahoma"/>
          <w:color w:val="000000"/>
        </w:rPr>
        <w:t>SMMLV</w:t>
      </w:r>
      <w:proofErr w:type="spellEnd"/>
      <w:r w:rsidR="001D74AF" w:rsidRPr="00D839A6">
        <w:rPr>
          <w:rStyle w:val="Refdenotaalpie"/>
          <w:rFonts w:ascii="Tahoma" w:eastAsia="Tahoma" w:hAnsi="Tahoma" w:cs="Tahoma"/>
          <w:color w:val="000000"/>
        </w:rPr>
        <w:footnoteReference w:id="5"/>
      </w:r>
      <w:r w:rsidR="004C4DC8" w:rsidRPr="00D839A6">
        <w:rPr>
          <w:rFonts w:ascii="Tahoma" w:eastAsia="Tahoma" w:hAnsi="Tahoma" w:cs="Tahoma"/>
          <w:color w:val="000000"/>
        </w:rPr>
        <w:t xml:space="preserve">; </w:t>
      </w:r>
      <w:r w:rsidR="004C4DC8" w:rsidRPr="00D839A6">
        <w:rPr>
          <w:rFonts w:ascii="Tahoma" w:eastAsia="Tahoma" w:hAnsi="Tahoma" w:cs="Tahoma"/>
          <w:b/>
          <w:bCs/>
          <w:color w:val="000000"/>
        </w:rPr>
        <w:t>6)</w:t>
      </w:r>
      <w:r w:rsidR="0003619C" w:rsidRPr="00D839A6">
        <w:rPr>
          <w:rFonts w:ascii="Tahoma" w:eastAsia="Tahoma" w:hAnsi="Tahoma" w:cs="Tahoma"/>
          <w:b/>
          <w:bCs/>
          <w:color w:val="000000"/>
        </w:rPr>
        <w:t xml:space="preserve"> </w:t>
      </w:r>
      <w:r w:rsidR="0003619C" w:rsidRPr="00D839A6">
        <w:rPr>
          <w:rFonts w:ascii="Tahoma" w:eastAsia="Tahoma" w:hAnsi="Tahoma" w:cs="Tahoma"/>
          <w:color w:val="000000"/>
        </w:rPr>
        <w:t xml:space="preserve">La anterior Resolución fue </w:t>
      </w:r>
      <w:r w:rsidR="00BE1031" w:rsidRPr="00D839A6">
        <w:rPr>
          <w:rFonts w:ascii="Tahoma" w:eastAsia="Tahoma" w:hAnsi="Tahoma" w:cs="Tahoma"/>
          <w:color w:val="000000"/>
        </w:rPr>
        <w:t>apelada parcialmente con el fin de que se reconociera el retroactivo pensional desde el 25 de mayo de 2007; sin embargo la decisión se mantuvo incólume</w:t>
      </w:r>
      <w:r w:rsidR="00F25E31" w:rsidRPr="00D839A6">
        <w:rPr>
          <w:rFonts w:ascii="Tahoma" w:eastAsia="Tahoma" w:hAnsi="Tahoma" w:cs="Tahoma"/>
          <w:color w:val="000000"/>
        </w:rPr>
        <w:t xml:space="preserve"> en la</w:t>
      </w:r>
      <w:r w:rsidR="00BD6E4E" w:rsidRPr="00D839A6">
        <w:rPr>
          <w:rFonts w:ascii="Tahoma" w:eastAsia="Tahoma" w:hAnsi="Tahoma" w:cs="Tahoma"/>
          <w:color w:val="000000"/>
        </w:rPr>
        <w:t>s</w:t>
      </w:r>
      <w:r w:rsidR="00F25E31" w:rsidRPr="00D839A6">
        <w:rPr>
          <w:rFonts w:ascii="Tahoma" w:eastAsia="Tahoma" w:hAnsi="Tahoma" w:cs="Tahoma"/>
          <w:color w:val="000000"/>
        </w:rPr>
        <w:t xml:space="preserve"> Resoluc</w:t>
      </w:r>
      <w:r w:rsidR="00BD6E4E" w:rsidRPr="00D839A6">
        <w:rPr>
          <w:rFonts w:ascii="Tahoma" w:eastAsia="Tahoma" w:hAnsi="Tahoma" w:cs="Tahoma"/>
          <w:color w:val="000000"/>
        </w:rPr>
        <w:t>iones</w:t>
      </w:r>
      <w:r w:rsidR="00F25E31" w:rsidRPr="00D839A6">
        <w:rPr>
          <w:rFonts w:ascii="Tahoma" w:eastAsia="Tahoma" w:hAnsi="Tahoma" w:cs="Tahoma"/>
          <w:color w:val="000000"/>
        </w:rPr>
        <w:t xml:space="preserve"> </w:t>
      </w:r>
      <w:proofErr w:type="spellStart"/>
      <w:r w:rsidR="00F25E31" w:rsidRPr="00D839A6">
        <w:rPr>
          <w:rFonts w:ascii="Tahoma" w:eastAsia="Tahoma" w:hAnsi="Tahoma" w:cs="Tahoma"/>
          <w:color w:val="000000"/>
        </w:rPr>
        <w:t>DPE</w:t>
      </w:r>
      <w:proofErr w:type="spellEnd"/>
      <w:r w:rsidR="00F25E31" w:rsidRPr="00D839A6">
        <w:rPr>
          <w:rFonts w:ascii="Tahoma" w:eastAsia="Tahoma" w:hAnsi="Tahoma" w:cs="Tahoma"/>
          <w:color w:val="000000"/>
        </w:rPr>
        <w:t xml:space="preserve"> 14053 del 15 de octubre de 2020</w:t>
      </w:r>
      <w:r w:rsidR="002047BD" w:rsidRPr="00D839A6">
        <w:rPr>
          <w:rStyle w:val="Refdenotaalpie"/>
          <w:rFonts w:ascii="Tahoma" w:eastAsia="Tahoma" w:hAnsi="Tahoma" w:cs="Tahoma"/>
          <w:color w:val="000000"/>
        </w:rPr>
        <w:footnoteReference w:id="6"/>
      </w:r>
      <w:r w:rsidR="00BD6E4E" w:rsidRPr="00D839A6">
        <w:rPr>
          <w:rFonts w:ascii="Tahoma" w:eastAsia="Tahoma" w:hAnsi="Tahoma" w:cs="Tahoma"/>
          <w:color w:val="000000"/>
        </w:rPr>
        <w:t>, SUB 260047 del 30 de noviembre de 2020</w:t>
      </w:r>
      <w:r w:rsidR="00BD6E4E" w:rsidRPr="00D839A6">
        <w:rPr>
          <w:rStyle w:val="Refdenotaalpie"/>
          <w:rFonts w:ascii="Tahoma" w:eastAsia="Tahoma" w:hAnsi="Tahoma" w:cs="Tahoma"/>
          <w:color w:val="000000"/>
        </w:rPr>
        <w:footnoteReference w:id="7"/>
      </w:r>
      <w:r w:rsidR="00BD6E4E" w:rsidRPr="00D839A6">
        <w:rPr>
          <w:rFonts w:ascii="Tahoma" w:eastAsia="Tahoma" w:hAnsi="Tahoma" w:cs="Tahoma"/>
          <w:color w:val="000000"/>
        </w:rPr>
        <w:t xml:space="preserve"> y </w:t>
      </w:r>
      <w:proofErr w:type="spellStart"/>
      <w:r w:rsidR="008F6DB9" w:rsidRPr="00D839A6">
        <w:rPr>
          <w:rFonts w:ascii="Tahoma" w:eastAsia="Tahoma" w:hAnsi="Tahoma" w:cs="Tahoma"/>
          <w:color w:val="000000"/>
        </w:rPr>
        <w:t>SUB34782</w:t>
      </w:r>
      <w:proofErr w:type="spellEnd"/>
      <w:r w:rsidR="008F6DB9" w:rsidRPr="00D839A6">
        <w:rPr>
          <w:rFonts w:ascii="Tahoma" w:eastAsia="Tahoma" w:hAnsi="Tahoma" w:cs="Tahoma"/>
          <w:color w:val="000000"/>
        </w:rPr>
        <w:t xml:space="preserve"> del 11 de febrero de 2021</w:t>
      </w:r>
      <w:r w:rsidR="008F6DB9" w:rsidRPr="00D839A6">
        <w:rPr>
          <w:rFonts w:ascii="Tahoma" w:eastAsia="Tahoma" w:hAnsi="Tahoma" w:cs="Tahoma"/>
          <w:color w:val="000000"/>
          <w:vertAlign w:val="superscript"/>
        </w:rPr>
        <w:footnoteReference w:id="8"/>
      </w:r>
      <w:r w:rsidR="008F6DB9" w:rsidRPr="00D839A6">
        <w:rPr>
          <w:rFonts w:ascii="Tahoma" w:eastAsia="Tahoma" w:hAnsi="Tahoma" w:cs="Tahoma"/>
          <w:color w:val="000000"/>
        </w:rPr>
        <w:t>.</w:t>
      </w:r>
    </w:p>
    <w:p w14:paraId="2CE16CF4" w14:textId="77777777" w:rsidR="00853034" w:rsidRPr="00D839A6" w:rsidRDefault="00853034" w:rsidP="00D839A6">
      <w:pPr>
        <w:spacing w:line="276" w:lineRule="auto"/>
        <w:ind w:firstLine="709"/>
        <w:jc w:val="both"/>
        <w:rPr>
          <w:rFonts w:ascii="Tahoma" w:eastAsia="Tahoma" w:hAnsi="Tahoma" w:cs="Tahoma"/>
          <w:bCs/>
          <w:color w:val="000000"/>
        </w:rPr>
      </w:pPr>
    </w:p>
    <w:p w14:paraId="27F72948" w14:textId="0A401613" w:rsidR="00E50667" w:rsidRPr="00D839A6" w:rsidRDefault="00ED757C" w:rsidP="00D839A6">
      <w:pPr>
        <w:spacing w:line="276" w:lineRule="auto"/>
        <w:ind w:firstLine="709"/>
        <w:jc w:val="both"/>
        <w:rPr>
          <w:rFonts w:ascii="Tahoma" w:eastAsia="Tahoma" w:hAnsi="Tahoma" w:cs="Tahoma"/>
          <w:color w:val="000000"/>
        </w:rPr>
      </w:pPr>
      <w:r w:rsidRPr="00D839A6">
        <w:rPr>
          <w:rFonts w:ascii="Tahoma" w:eastAsia="Tahoma" w:hAnsi="Tahoma" w:cs="Tahoma"/>
          <w:color w:val="000000" w:themeColor="text1"/>
        </w:rPr>
        <w:t>Tampoco, es objeto de controversia que</w:t>
      </w:r>
      <w:r w:rsidR="00001D42" w:rsidRPr="00D839A6">
        <w:rPr>
          <w:rFonts w:ascii="Tahoma" w:eastAsia="Tahoma" w:hAnsi="Tahoma" w:cs="Tahoma"/>
          <w:color w:val="000000" w:themeColor="text1"/>
        </w:rPr>
        <w:t xml:space="preserve"> la prestación </w:t>
      </w:r>
      <w:proofErr w:type="spellStart"/>
      <w:r w:rsidR="00001D42" w:rsidRPr="00D839A6">
        <w:rPr>
          <w:rFonts w:ascii="Tahoma" w:eastAsia="Tahoma" w:hAnsi="Tahoma" w:cs="Tahoma"/>
          <w:color w:val="000000" w:themeColor="text1"/>
        </w:rPr>
        <w:t>postmortem</w:t>
      </w:r>
      <w:proofErr w:type="spellEnd"/>
      <w:r w:rsidR="00001D42" w:rsidRPr="00D839A6">
        <w:rPr>
          <w:rFonts w:ascii="Tahoma" w:eastAsia="Tahoma" w:hAnsi="Tahoma" w:cs="Tahoma"/>
          <w:color w:val="000000" w:themeColor="text1"/>
        </w:rPr>
        <w:t xml:space="preserve"> reconocida y sustituida fue a razón de 14 mesadas al año,</w:t>
      </w:r>
      <w:r w:rsidR="00E50667" w:rsidRPr="00D839A6">
        <w:rPr>
          <w:rFonts w:ascii="Tahoma" w:eastAsia="Tahoma" w:hAnsi="Tahoma" w:cs="Tahoma"/>
          <w:color w:val="000000" w:themeColor="text1"/>
        </w:rPr>
        <w:t xml:space="preserve"> pues el derecho se </w:t>
      </w:r>
      <w:r w:rsidR="6409E2F6" w:rsidRPr="00D839A6">
        <w:rPr>
          <w:rFonts w:ascii="Tahoma" w:eastAsia="Tahoma" w:hAnsi="Tahoma" w:cs="Tahoma"/>
          <w:color w:val="000000" w:themeColor="text1"/>
        </w:rPr>
        <w:t>causó</w:t>
      </w:r>
      <w:r w:rsidR="00E50667" w:rsidRPr="00D839A6">
        <w:rPr>
          <w:rFonts w:ascii="Tahoma" w:eastAsia="Tahoma" w:hAnsi="Tahoma" w:cs="Tahoma"/>
          <w:color w:val="000000" w:themeColor="text1"/>
        </w:rPr>
        <w:t xml:space="preserve"> con antelación al 31 de julio de 2011</w:t>
      </w:r>
      <w:r w:rsidR="00F71516" w:rsidRPr="00D839A6">
        <w:rPr>
          <w:rFonts w:ascii="Tahoma" w:eastAsia="Tahoma" w:hAnsi="Tahoma" w:cs="Tahoma"/>
          <w:color w:val="000000" w:themeColor="text1"/>
        </w:rPr>
        <w:t>, en cuantía de un salario mínimo mensual vigente</w:t>
      </w:r>
      <w:r w:rsidR="00A7397C" w:rsidRPr="00D839A6">
        <w:rPr>
          <w:rFonts w:ascii="Tahoma" w:eastAsia="Tahoma" w:hAnsi="Tahoma" w:cs="Tahoma"/>
          <w:color w:val="000000" w:themeColor="text1"/>
        </w:rPr>
        <w:t>.</w:t>
      </w:r>
    </w:p>
    <w:p w14:paraId="3E0FAE8A" w14:textId="77777777" w:rsidR="00F23683" w:rsidRPr="00D839A6" w:rsidRDefault="00F23683" w:rsidP="00D839A6">
      <w:pPr>
        <w:spacing w:line="276" w:lineRule="auto"/>
        <w:ind w:firstLine="709"/>
        <w:jc w:val="both"/>
        <w:rPr>
          <w:rFonts w:ascii="Tahoma" w:eastAsia="Tahoma" w:hAnsi="Tahoma" w:cs="Tahoma"/>
          <w:bCs/>
          <w:color w:val="000000"/>
        </w:rPr>
      </w:pPr>
    </w:p>
    <w:p w14:paraId="476A9402" w14:textId="6178B2F1" w:rsidR="007420F0" w:rsidRPr="00D839A6" w:rsidRDefault="00A8315D" w:rsidP="00D839A6">
      <w:pPr>
        <w:spacing w:line="276" w:lineRule="auto"/>
        <w:jc w:val="both"/>
        <w:rPr>
          <w:rFonts w:ascii="Tahoma" w:eastAsia="Tahoma" w:hAnsi="Tahoma" w:cs="Tahoma"/>
          <w:bCs/>
          <w:color w:val="000000"/>
        </w:rPr>
      </w:pPr>
      <w:r w:rsidRPr="00D839A6">
        <w:rPr>
          <w:rFonts w:ascii="Tahoma" w:eastAsia="Tahoma" w:hAnsi="Tahoma" w:cs="Tahoma"/>
          <w:bCs/>
          <w:color w:val="000000"/>
        </w:rPr>
        <w:tab/>
        <w:t>Señalado lo anterior, reprocha Colpensiones que en el caso de marras la pensión del causante no debe ser reconocida desde la fecha de estructuración, porque los certificados de incapacidades aportados en sede administrativa carecían de los requisitos legales para otorgarles validez</w:t>
      </w:r>
      <w:r w:rsidR="00234CEF" w:rsidRPr="00D839A6">
        <w:rPr>
          <w:rFonts w:ascii="Tahoma" w:eastAsia="Tahoma" w:hAnsi="Tahoma" w:cs="Tahoma"/>
          <w:bCs/>
          <w:color w:val="000000"/>
        </w:rPr>
        <w:t xml:space="preserve">, mismo argumento que señaló en las resoluciones </w:t>
      </w:r>
      <w:proofErr w:type="spellStart"/>
      <w:r w:rsidR="00234CEF" w:rsidRPr="00D839A6">
        <w:rPr>
          <w:rFonts w:ascii="Tahoma" w:eastAsia="Tahoma" w:hAnsi="Tahoma" w:cs="Tahoma"/>
          <w:bCs/>
          <w:color w:val="000000"/>
        </w:rPr>
        <w:t>DPE</w:t>
      </w:r>
      <w:proofErr w:type="spellEnd"/>
      <w:r w:rsidR="00234CEF" w:rsidRPr="00D839A6">
        <w:rPr>
          <w:rFonts w:ascii="Tahoma" w:eastAsia="Tahoma" w:hAnsi="Tahoma" w:cs="Tahoma"/>
          <w:bCs/>
          <w:color w:val="000000"/>
        </w:rPr>
        <w:t xml:space="preserve"> 14053 del 15 de octubre de 2020, SUB 260047 del 30 de noviembre de 2020 y </w:t>
      </w:r>
      <w:proofErr w:type="spellStart"/>
      <w:r w:rsidR="00234CEF" w:rsidRPr="00D839A6">
        <w:rPr>
          <w:rFonts w:ascii="Tahoma" w:eastAsia="Tahoma" w:hAnsi="Tahoma" w:cs="Tahoma"/>
          <w:bCs/>
          <w:color w:val="000000"/>
        </w:rPr>
        <w:t>SUB34782</w:t>
      </w:r>
      <w:proofErr w:type="spellEnd"/>
      <w:r w:rsidR="00234CEF" w:rsidRPr="00D839A6">
        <w:rPr>
          <w:rFonts w:ascii="Tahoma" w:eastAsia="Tahoma" w:hAnsi="Tahoma" w:cs="Tahoma"/>
          <w:bCs/>
          <w:color w:val="000000"/>
        </w:rPr>
        <w:t xml:space="preserve"> del 11 de febrero de 2021, donde, con sustento </w:t>
      </w:r>
      <w:r w:rsidR="00F97F35" w:rsidRPr="00D839A6">
        <w:rPr>
          <w:rFonts w:ascii="Tahoma" w:eastAsia="Tahoma" w:hAnsi="Tahoma" w:cs="Tahoma"/>
          <w:bCs/>
          <w:color w:val="000000"/>
        </w:rPr>
        <w:t xml:space="preserve">en el concepto </w:t>
      </w:r>
      <w:proofErr w:type="spellStart"/>
      <w:r w:rsidR="00F97F35" w:rsidRPr="00D839A6">
        <w:rPr>
          <w:rFonts w:ascii="Tahoma" w:eastAsia="Tahoma" w:hAnsi="Tahoma" w:cs="Tahoma"/>
          <w:bCs/>
          <w:color w:val="000000"/>
        </w:rPr>
        <w:t>BIZAGI</w:t>
      </w:r>
      <w:proofErr w:type="spellEnd"/>
      <w:r w:rsidR="00F97F35" w:rsidRPr="00D839A6">
        <w:rPr>
          <w:rFonts w:ascii="Tahoma" w:eastAsia="Tahoma" w:hAnsi="Tahoma" w:cs="Tahoma"/>
          <w:bCs/>
          <w:color w:val="000000"/>
        </w:rPr>
        <w:t xml:space="preserve"> 2016_5976661 emitido por la Vicepresidencia Jurídica y Doctrinal de Colpensiones, dispuso que el único medio idóneo para acreditar el estado de incapacidad, era el certificado original, o en caso de que se aportara uno obtenido de </w:t>
      </w:r>
      <w:r w:rsidR="007420F0" w:rsidRPr="00D839A6">
        <w:rPr>
          <w:rFonts w:ascii="Tahoma" w:eastAsia="Tahoma" w:hAnsi="Tahoma" w:cs="Tahoma"/>
          <w:bCs/>
          <w:color w:val="000000"/>
        </w:rPr>
        <w:t xml:space="preserve">portales de internet, solo tendría validez y </w:t>
      </w:r>
      <w:r w:rsidR="00F97F35" w:rsidRPr="00D839A6">
        <w:rPr>
          <w:rFonts w:ascii="Tahoma" w:eastAsia="Tahoma" w:hAnsi="Tahoma" w:cs="Tahoma"/>
          <w:bCs/>
          <w:color w:val="000000"/>
        </w:rPr>
        <w:t>valor probatorio</w:t>
      </w:r>
      <w:r w:rsidR="007420F0" w:rsidRPr="00D839A6">
        <w:rPr>
          <w:rFonts w:ascii="Tahoma" w:eastAsia="Tahoma" w:hAnsi="Tahoma" w:cs="Tahoma"/>
          <w:bCs/>
          <w:color w:val="000000"/>
        </w:rPr>
        <w:t xml:space="preserve">, </w:t>
      </w:r>
      <w:r w:rsidR="00F97F35" w:rsidRPr="00D839A6">
        <w:rPr>
          <w:rFonts w:ascii="Tahoma" w:eastAsia="Tahoma" w:hAnsi="Tahoma" w:cs="Tahoma"/>
          <w:bCs/>
          <w:color w:val="000000"/>
        </w:rPr>
        <w:t xml:space="preserve">siempre y cuando se </w:t>
      </w:r>
      <w:r w:rsidR="00985E97" w:rsidRPr="00D839A6">
        <w:rPr>
          <w:rFonts w:ascii="Tahoma" w:eastAsia="Tahoma" w:hAnsi="Tahoma" w:cs="Tahoma"/>
          <w:bCs/>
          <w:color w:val="000000"/>
        </w:rPr>
        <w:t>garantizará</w:t>
      </w:r>
      <w:r w:rsidR="00F97F35" w:rsidRPr="00D839A6">
        <w:rPr>
          <w:rFonts w:ascii="Tahoma" w:eastAsia="Tahoma" w:hAnsi="Tahoma" w:cs="Tahoma"/>
          <w:bCs/>
          <w:color w:val="000000"/>
        </w:rPr>
        <w:t xml:space="preserve"> su autenticidad con firma digital, salvó que present</w:t>
      </w:r>
      <w:r w:rsidR="007420F0" w:rsidRPr="00D839A6">
        <w:rPr>
          <w:rFonts w:ascii="Tahoma" w:eastAsia="Tahoma" w:hAnsi="Tahoma" w:cs="Tahoma"/>
          <w:bCs/>
          <w:color w:val="000000"/>
        </w:rPr>
        <w:t>aran</w:t>
      </w:r>
      <w:r w:rsidR="00F97F35" w:rsidRPr="00D839A6">
        <w:rPr>
          <w:rFonts w:ascii="Tahoma" w:eastAsia="Tahoma" w:hAnsi="Tahoma" w:cs="Tahoma"/>
          <w:bCs/>
          <w:color w:val="000000"/>
        </w:rPr>
        <w:t xml:space="preserve"> en sobre sellado y suscrito por el funcionario competente</w:t>
      </w:r>
      <w:r w:rsidR="007420F0" w:rsidRPr="00D839A6">
        <w:rPr>
          <w:rFonts w:ascii="Tahoma" w:eastAsia="Tahoma" w:hAnsi="Tahoma" w:cs="Tahoma"/>
          <w:bCs/>
          <w:color w:val="000000"/>
        </w:rPr>
        <w:t xml:space="preserve">. </w:t>
      </w:r>
    </w:p>
    <w:p w14:paraId="545F98C7" w14:textId="77777777" w:rsidR="007420F0" w:rsidRPr="00D839A6" w:rsidRDefault="007420F0" w:rsidP="00D839A6">
      <w:pPr>
        <w:spacing w:line="276" w:lineRule="auto"/>
        <w:jc w:val="both"/>
        <w:rPr>
          <w:rFonts w:ascii="Tahoma" w:eastAsia="Tahoma" w:hAnsi="Tahoma" w:cs="Tahoma"/>
          <w:bCs/>
          <w:color w:val="000000"/>
        </w:rPr>
      </w:pPr>
    </w:p>
    <w:p w14:paraId="6551E325" w14:textId="136CC508" w:rsidR="009A133C" w:rsidRPr="00D839A6" w:rsidRDefault="007420F0" w:rsidP="00D839A6">
      <w:pPr>
        <w:spacing w:line="276" w:lineRule="auto"/>
        <w:jc w:val="both"/>
        <w:rPr>
          <w:rFonts w:ascii="Tahoma" w:eastAsia="Tahoma" w:hAnsi="Tahoma" w:cs="Tahoma"/>
          <w:bCs/>
          <w:color w:val="000000"/>
        </w:rPr>
      </w:pPr>
      <w:r w:rsidRPr="00D839A6">
        <w:rPr>
          <w:rFonts w:ascii="Tahoma" w:eastAsia="Tahoma" w:hAnsi="Tahoma" w:cs="Tahoma"/>
          <w:bCs/>
          <w:color w:val="000000"/>
        </w:rPr>
        <w:lastRenderedPageBreak/>
        <w:tab/>
      </w:r>
      <w:r w:rsidR="00FC4D2B" w:rsidRPr="00D839A6">
        <w:rPr>
          <w:rFonts w:ascii="Tahoma" w:eastAsia="Tahoma" w:hAnsi="Tahoma" w:cs="Tahoma"/>
          <w:bCs/>
          <w:color w:val="000000"/>
        </w:rPr>
        <w:t>Con el fin de suplir el requerimiento, la demandante aportó sendos certificados de afiliación e incapacidades</w:t>
      </w:r>
      <w:r w:rsidR="0040257C" w:rsidRPr="00D839A6">
        <w:rPr>
          <w:rFonts w:ascii="Tahoma" w:eastAsia="Tahoma" w:hAnsi="Tahoma" w:cs="Tahoma"/>
          <w:bCs/>
          <w:color w:val="000000"/>
        </w:rPr>
        <w:t xml:space="preserve">; </w:t>
      </w:r>
      <w:r w:rsidR="00FC4D2B" w:rsidRPr="00D839A6">
        <w:rPr>
          <w:rFonts w:ascii="Tahoma" w:eastAsia="Tahoma" w:hAnsi="Tahoma" w:cs="Tahoma"/>
          <w:bCs/>
          <w:color w:val="000000"/>
        </w:rPr>
        <w:t xml:space="preserve">no obstante, Colpensiones </w:t>
      </w:r>
      <w:r w:rsidR="00894328" w:rsidRPr="00D839A6">
        <w:rPr>
          <w:rFonts w:ascii="Tahoma" w:eastAsia="Tahoma" w:hAnsi="Tahoma" w:cs="Tahoma"/>
          <w:bCs/>
          <w:color w:val="000000"/>
        </w:rPr>
        <w:t>reiteradamente negó la prestación económica</w:t>
      </w:r>
      <w:r w:rsidR="0040257C" w:rsidRPr="00D839A6">
        <w:rPr>
          <w:rFonts w:ascii="Tahoma" w:eastAsia="Tahoma" w:hAnsi="Tahoma" w:cs="Tahoma"/>
          <w:bCs/>
          <w:color w:val="000000"/>
        </w:rPr>
        <w:t xml:space="preserve"> </w:t>
      </w:r>
      <w:r w:rsidR="004A7D84" w:rsidRPr="00D839A6">
        <w:rPr>
          <w:rFonts w:ascii="Tahoma" w:eastAsia="Tahoma" w:hAnsi="Tahoma" w:cs="Tahoma"/>
          <w:bCs/>
          <w:color w:val="000000"/>
        </w:rPr>
        <w:t>advirtiendo que no le era dable establecer si después de la fecha de estructuración el actor había percibido subsidio de incapacidad temporal, por las siguientes razones:</w:t>
      </w:r>
      <w:r w:rsidR="0040257C" w:rsidRPr="00D839A6">
        <w:rPr>
          <w:rFonts w:ascii="Tahoma" w:eastAsia="Tahoma" w:hAnsi="Tahoma" w:cs="Tahoma"/>
          <w:bCs/>
          <w:color w:val="000000"/>
        </w:rPr>
        <w:t xml:space="preserve"> </w:t>
      </w:r>
      <w:r w:rsidR="0040257C" w:rsidRPr="00D839A6">
        <w:rPr>
          <w:rFonts w:ascii="Tahoma" w:eastAsia="Tahoma" w:hAnsi="Tahoma" w:cs="Tahoma"/>
          <w:b/>
          <w:color w:val="000000"/>
        </w:rPr>
        <w:t>1)</w:t>
      </w:r>
      <w:r w:rsidR="00670DCD" w:rsidRPr="00D839A6">
        <w:rPr>
          <w:rFonts w:ascii="Tahoma" w:eastAsia="Tahoma" w:hAnsi="Tahoma" w:cs="Tahoma"/>
          <w:bCs/>
          <w:color w:val="000000"/>
        </w:rPr>
        <w:t xml:space="preserve"> En la resolución </w:t>
      </w:r>
      <w:proofErr w:type="spellStart"/>
      <w:r w:rsidR="00670DCD" w:rsidRPr="00D839A6">
        <w:rPr>
          <w:rFonts w:ascii="Tahoma" w:eastAsia="Tahoma" w:hAnsi="Tahoma" w:cs="Tahoma"/>
          <w:bCs/>
          <w:color w:val="000000"/>
        </w:rPr>
        <w:t>DPE</w:t>
      </w:r>
      <w:proofErr w:type="spellEnd"/>
      <w:r w:rsidR="00670DCD" w:rsidRPr="00D839A6">
        <w:rPr>
          <w:rFonts w:ascii="Tahoma" w:eastAsia="Tahoma" w:hAnsi="Tahoma" w:cs="Tahoma"/>
          <w:bCs/>
          <w:color w:val="000000"/>
        </w:rPr>
        <w:t xml:space="preserve"> 14053 del 15 de octubre de 2020</w:t>
      </w:r>
      <w:r w:rsidR="003048CF" w:rsidRPr="00D839A6">
        <w:rPr>
          <w:rFonts w:ascii="Tahoma" w:eastAsia="Tahoma" w:hAnsi="Tahoma" w:cs="Tahoma"/>
          <w:bCs/>
          <w:color w:val="000000"/>
        </w:rPr>
        <w:t xml:space="preserve"> indicó que </w:t>
      </w:r>
      <w:r w:rsidR="0040257C" w:rsidRPr="00D839A6">
        <w:rPr>
          <w:rFonts w:ascii="Tahoma" w:eastAsia="Tahoma" w:hAnsi="Tahoma" w:cs="Tahoma"/>
          <w:bCs/>
          <w:color w:val="000000"/>
        </w:rPr>
        <w:t>el certificado</w:t>
      </w:r>
      <w:r w:rsidR="003361B0" w:rsidRPr="00D839A6">
        <w:rPr>
          <w:rFonts w:ascii="Tahoma" w:eastAsia="Tahoma" w:hAnsi="Tahoma" w:cs="Tahoma"/>
          <w:bCs/>
          <w:color w:val="000000"/>
        </w:rPr>
        <w:t xml:space="preserve"> y comunicación</w:t>
      </w:r>
      <w:r w:rsidR="0040257C" w:rsidRPr="00D839A6">
        <w:rPr>
          <w:rFonts w:ascii="Tahoma" w:eastAsia="Tahoma" w:hAnsi="Tahoma" w:cs="Tahoma"/>
          <w:bCs/>
          <w:color w:val="000000"/>
        </w:rPr>
        <w:t xml:space="preserve"> de Coomeva </w:t>
      </w:r>
      <w:proofErr w:type="spellStart"/>
      <w:r w:rsidR="008B243E" w:rsidRPr="00D839A6">
        <w:rPr>
          <w:rFonts w:ascii="Tahoma" w:eastAsia="Tahoma" w:hAnsi="Tahoma" w:cs="Tahoma"/>
          <w:bCs/>
          <w:color w:val="000000"/>
        </w:rPr>
        <w:t>EPS</w:t>
      </w:r>
      <w:proofErr w:type="spellEnd"/>
      <w:r w:rsidR="008B243E" w:rsidRPr="00D839A6">
        <w:rPr>
          <w:rFonts w:ascii="Tahoma" w:eastAsia="Tahoma" w:hAnsi="Tahoma" w:cs="Tahoma"/>
          <w:bCs/>
          <w:color w:val="000000"/>
        </w:rPr>
        <w:t xml:space="preserve"> del 17 de enero de 2020</w:t>
      </w:r>
      <w:r w:rsidR="003361B0" w:rsidRPr="00D839A6">
        <w:rPr>
          <w:rFonts w:ascii="Tahoma" w:eastAsia="Tahoma" w:hAnsi="Tahoma" w:cs="Tahoma"/>
          <w:bCs/>
          <w:color w:val="000000"/>
        </w:rPr>
        <w:t xml:space="preserve">, se contradecían entre sí, </w:t>
      </w:r>
      <w:r w:rsidR="0048661C" w:rsidRPr="00D839A6">
        <w:rPr>
          <w:rFonts w:ascii="Tahoma" w:eastAsia="Tahoma" w:hAnsi="Tahoma" w:cs="Tahoma"/>
          <w:bCs/>
          <w:color w:val="000000"/>
        </w:rPr>
        <w:t xml:space="preserve">pues en el primero se estableció como periodo de certificación de 01/01/2020 al 17/01/2020, y en la certificación dispuso que se emitía </w:t>
      </w:r>
      <w:r w:rsidR="00985E97" w:rsidRPr="00D839A6">
        <w:rPr>
          <w:rFonts w:ascii="Tahoma" w:eastAsia="Tahoma" w:hAnsi="Tahoma" w:cs="Tahoma"/>
          <w:bCs/>
          <w:color w:val="000000"/>
        </w:rPr>
        <w:t>d</w:t>
      </w:r>
      <w:r w:rsidR="0048661C" w:rsidRPr="00D839A6">
        <w:rPr>
          <w:rFonts w:ascii="Tahoma" w:eastAsia="Tahoma" w:hAnsi="Tahoma" w:cs="Tahoma"/>
          <w:bCs/>
          <w:color w:val="000000"/>
        </w:rPr>
        <w:t>el 01/01/2000 al 17/01/2020</w:t>
      </w:r>
      <w:r w:rsidR="00B5560B" w:rsidRPr="00D839A6">
        <w:rPr>
          <w:rFonts w:ascii="Tahoma" w:eastAsia="Tahoma" w:hAnsi="Tahoma" w:cs="Tahoma"/>
          <w:bCs/>
          <w:color w:val="000000"/>
        </w:rPr>
        <w:t xml:space="preserve">; </w:t>
      </w:r>
      <w:r w:rsidR="00B5560B" w:rsidRPr="00D839A6">
        <w:rPr>
          <w:rFonts w:ascii="Tahoma" w:eastAsia="Tahoma" w:hAnsi="Tahoma" w:cs="Tahoma"/>
          <w:b/>
          <w:color w:val="000000"/>
        </w:rPr>
        <w:t>2)</w:t>
      </w:r>
      <w:r w:rsidR="00B5560B" w:rsidRPr="00D839A6">
        <w:rPr>
          <w:rFonts w:ascii="Tahoma" w:eastAsia="Tahoma" w:hAnsi="Tahoma" w:cs="Tahoma"/>
          <w:bCs/>
          <w:color w:val="000000"/>
        </w:rPr>
        <w:t xml:space="preserve"> </w:t>
      </w:r>
      <w:r w:rsidR="003048CF" w:rsidRPr="00D839A6">
        <w:rPr>
          <w:rFonts w:ascii="Tahoma" w:eastAsia="Tahoma" w:hAnsi="Tahoma" w:cs="Tahoma"/>
          <w:bCs/>
          <w:color w:val="000000"/>
        </w:rPr>
        <w:t xml:space="preserve">En la Resolución SUB 260047 del 30 de noviembre de 2020 señaló que el certificado de la Nueva </w:t>
      </w:r>
      <w:proofErr w:type="spellStart"/>
      <w:r w:rsidR="003048CF" w:rsidRPr="00D839A6">
        <w:rPr>
          <w:rFonts w:ascii="Tahoma" w:eastAsia="Tahoma" w:hAnsi="Tahoma" w:cs="Tahoma"/>
          <w:bCs/>
          <w:color w:val="000000"/>
        </w:rPr>
        <w:t>EPS</w:t>
      </w:r>
      <w:proofErr w:type="spellEnd"/>
      <w:r w:rsidR="003048CF" w:rsidRPr="00D839A6">
        <w:rPr>
          <w:rFonts w:ascii="Tahoma" w:eastAsia="Tahoma" w:hAnsi="Tahoma" w:cs="Tahoma"/>
          <w:bCs/>
          <w:color w:val="000000"/>
        </w:rPr>
        <w:t xml:space="preserve"> del </w:t>
      </w:r>
      <w:r w:rsidR="00497D87" w:rsidRPr="00D839A6">
        <w:rPr>
          <w:rFonts w:ascii="Tahoma" w:eastAsia="Tahoma" w:hAnsi="Tahoma" w:cs="Tahoma"/>
          <w:bCs/>
          <w:color w:val="000000"/>
        </w:rPr>
        <w:t xml:space="preserve">21 de octubre de 2020 no exhibía el nombre del funcionario y el emitido por </w:t>
      </w:r>
      <w:proofErr w:type="spellStart"/>
      <w:r w:rsidR="00497D87" w:rsidRPr="00D839A6">
        <w:rPr>
          <w:rFonts w:ascii="Tahoma" w:eastAsia="Tahoma" w:hAnsi="Tahoma" w:cs="Tahoma"/>
          <w:bCs/>
          <w:color w:val="000000"/>
        </w:rPr>
        <w:t>Comeva</w:t>
      </w:r>
      <w:proofErr w:type="spellEnd"/>
      <w:r w:rsidR="00497D87" w:rsidRPr="00D839A6">
        <w:rPr>
          <w:rFonts w:ascii="Tahoma" w:eastAsia="Tahoma" w:hAnsi="Tahoma" w:cs="Tahoma"/>
          <w:bCs/>
          <w:color w:val="000000"/>
        </w:rPr>
        <w:t xml:space="preserve"> </w:t>
      </w:r>
      <w:proofErr w:type="spellStart"/>
      <w:r w:rsidR="00497D87" w:rsidRPr="00D839A6">
        <w:rPr>
          <w:rFonts w:ascii="Tahoma" w:eastAsia="Tahoma" w:hAnsi="Tahoma" w:cs="Tahoma"/>
          <w:bCs/>
          <w:color w:val="000000"/>
        </w:rPr>
        <w:t>EPS</w:t>
      </w:r>
      <w:proofErr w:type="spellEnd"/>
      <w:r w:rsidR="00497D87" w:rsidRPr="00D839A6">
        <w:rPr>
          <w:rFonts w:ascii="Tahoma" w:eastAsia="Tahoma" w:hAnsi="Tahoma" w:cs="Tahoma"/>
          <w:bCs/>
          <w:color w:val="000000"/>
        </w:rPr>
        <w:t xml:space="preserve"> advertía que el causante era afiliado al régimen subsidiado, contrario al reporte ADRES donde el </w:t>
      </w:r>
      <w:r w:rsidR="00C929AB" w:rsidRPr="00D839A6">
        <w:rPr>
          <w:rFonts w:ascii="Tahoma" w:eastAsia="Tahoma" w:hAnsi="Tahoma" w:cs="Tahoma"/>
          <w:bCs/>
          <w:color w:val="000000"/>
        </w:rPr>
        <w:t>afiliado aparecía como cotizante</w:t>
      </w:r>
      <w:r w:rsidR="00497D87" w:rsidRPr="00D839A6">
        <w:rPr>
          <w:rFonts w:ascii="Tahoma" w:eastAsia="Tahoma" w:hAnsi="Tahoma" w:cs="Tahoma"/>
          <w:bCs/>
          <w:color w:val="000000"/>
        </w:rPr>
        <w:t xml:space="preserve"> desde septiembre de 2013; y </w:t>
      </w:r>
      <w:r w:rsidR="00497D87" w:rsidRPr="00D839A6">
        <w:rPr>
          <w:rFonts w:ascii="Tahoma" w:eastAsia="Tahoma" w:hAnsi="Tahoma" w:cs="Tahoma"/>
          <w:b/>
          <w:color w:val="000000"/>
        </w:rPr>
        <w:t xml:space="preserve">3) </w:t>
      </w:r>
      <w:r w:rsidR="00497D87" w:rsidRPr="00D839A6">
        <w:rPr>
          <w:rFonts w:ascii="Tahoma" w:eastAsia="Tahoma" w:hAnsi="Tahoma" w:cs="Tahoma"/>
          <w:bCs/>
          <w:color w:val="000000"/>
        </w:rPr>
        <w:t xml:space="preserve">En la Resolución </w:t>
      </w:r>
      <w:proofErr w:type="spellStart"/>
      <w:r w:rsidR="003048CF" w:rsidRPr="00D839A6">
        <w:rPr>
          <w:rFonts w:ascii="Tahoma" w:eastAsia="Tahoma" w:hAnsi="Tahoma" w:cs="Tahoma"/>
          <w:bCs/>
          <w:color w:val="000000"/>
        </w:rPr>
        <w:t>SUB34782</w:t>
      </w:r>
      <w:proofErr w:type="spellEnd"/>
      <w:r w:rsidR="003048CF" w:rsidRPr="00D839A6">
        <w:rPr>
          <w:rFonts w:ascii="Tahoma" w:eastAsia="Tahoma" w:hAnsi="Tahoma" w:cs="Tahoma"/>
          <w:bCs/>
          <w:color w:val="000000"/>
        </w:rPr>
        <w:t xml:space="preserve"> del 11 de febrero de 2021</w:t>
      </w:r>
      <w:r w:rsidR="001B3DC8" w:rsidRPr="00D839A6">
        <w:rPr>
          <w:rFonts w:ascii="Tahoma" w:eastAsia="Tahoma" w:hAnsi="Tahoma" w:cs="Tahoma"/>
          <w:bCs/>
          <w:color w:val="000000"/>
        </w:rPr>
        <w:t xml:space="preserve"> mantuvo los mismos </w:t>
      </w:r>
      <w:r w:rsidR="00581968" w:rsidRPr="00D839A6">
        <w:rPr>
          <w:rFonts w:ascii="Tahoma" w:eastAsia="Tahoma" w:hAnsi="Tahoma" w:cs="Tahoma"/>
          <w:bCs/>
          <w:color w:val="000000"/>
        </w:rPr>
        <w:t xml:space="preserve">cuestionamientos, esta vez sobre las certificaciones emitidas el 16 de diciembre de 2020 por la Nueva </w:t>
      </w:r>
      <w:proofErr w:type="spellStart"/>
      <w:r w:rsidR="00581968" w:rsidRPr="00D839A6">
        <w:rPr>
          <w:rFonts w:ascii="Tahoma" w:eastAsia="Tahoma" w:hAnsi="Tahoma" w:cs="Tahoma"/>
          <w:bCs/>
          <w:color w:val="000000"/>
        </w:rPr>
        <w:t>EPS</w:t>
      </w:r>
      <w:proofErr w:type="spellEnd"/>
      <w:r w:rsidR="00581968" w:rsidRPr="00D839A6">
        <w:rPr>
          <w:rFonts w:ascii="Tahoma" w:eastAsia="Tahoma" w:hAnsi="Tahoma" w:cs="Tahoma"/>
          <w:bCs/>
          <w:color w:val="000000"/>
        </w:rPr>
        <w:t xml:space="preserve"> y el </w:t>
      </w:r>
      <w:r w:rsidR="00581968" w:rsidRPr="00D839A6">
        <w:rPr>
          <w:rFonts w:ascii="Tahoma" w:eastAsia="Tahoma" w:hAnsi="Tahoma" w:cs="Tahoma"/>
          <w:bCs/>
        </w:rPr>
        <w:t>7 de enero de 20</w:t>
      </w:r>
      <w:r w:rsidR="009A133C" w:rsidRPr="00D839A6">
        <w:rPr>
          <w:rFonts w:ascii="Tahoma" w:eastAsia="Tahoma" w:hAnsi="Tahoma" w:cs="Tahoma"/>
          <w:bCs/>
        </w:rPr>
        <w:t xml:space="preserve">21 por Coomeva </w:t>
      </w:r>
      <w:proofErr w:type="spellStart"/>
      <w:r w:rsidR="009A133C" w:rsidRPr="00D839A6">
        <w:rPr>
          <w:rFonts w:ascii="Tahoma" w:eastAsia="Tahoma" w:hAnsi="Tahoma" w:cs="Tahoma"/>
          <w:bCs/>
        </w:rPr>
        <w:t>EPS</w:t>
      </w:r>
      <w:proofErr w:type="spellEnd"/>
      <w:r w:rsidR="009A133C" w:rsidRPr="00D839A6">
        <w:rPr>
          <w:rFonts w:ascii="Tahoma" w:eastAsia="Tahoma" w:hAnsi="Tahoma" w:cs="Tahoma"/>
          <w:bCs/>
        </w:rPr>
        <w:t xml:space="preserve">. </w:t>
      </w:r>
    </w:p>
    <w:p w14:paraId="08190CC5" w14:textId="3C1AF588" w:rsidR="007420F0" w:rsidRPr="00D839A6" w:rsidRDefault="007420F0" w:rsidP="00D839A6">
      <w:pPr>
        <w:spacing w:line="276" w:lineRule="auto"/>
        <w:jc w:val="both"/>
        <w:rPr>
          <w:rFonts w:ascii="Tahoma" w:eastAsia="Tahoma" w:hAnsi="Tahoma" w:cs="Tahoma"/>
          <w:bCs/>
          <w:color w:val="000000"/>
        </w:rPr>
      </w:pPr>
    </w:p>
    <w:p w14:paraId="2F6D12E9" w14:textId="15E01001" w:rsidR="007D044A" w:rsidRPr="00D839A6" w:rsidRDefault="00B5560B" w:rsidP="00D839A6">
      <w:pPr>
        <w:spacing w:line="276" w:lineRule="auto"/>
        <w:jc w:val="both"/>
        <w:rPr>
          <w:rFonts w:ascii="Tahoma" w:eastAsia="Tahoma" w:hAnsi="Tahoma" w:cs="Tahoma"/>
          <w:color w:val="000000"/>
        </w:rPr>
      </w:pPr>
      <w:r w:rsidRPr="00D839A6">
        <w:rPr>
          <w:rFonts w:ascii="Tahoma" w:eastAsia="Tahoma" w:hAnsi="Tahoma" w:cs="Tahoma"/>
          <w:bCs/>
          <w:color w:val="000000"/>
        </w:rPr>
        <w:tab/>
      </w:r>
      <w:r w:rsidR="005A1CA2" w:rsidRPr="00D839A6">
        <w:rPr>
          <w:rFonts w:ascii="Tahoma" w:eastAsia="Tahoma" w:hAnsi="Tahoma" w:cs="Tahoma"/>
          <w:color w:val="000000"/>
        </w:rPr>
        <w:t>Sin embargo, v</w:t>
      </w:r>
      <w:r w:rsidRPr="00D839A6">
        <w:rPr>
          <w:rFonts w:ascii="Tahoma" w:eastAsia="Tahoma" w:hAnsi="Tahoma" w:cs="Tahoma"/>
          <w:color w:val="000000"/>
        </w:rPr>
        <w:t>erificados los argumentos señalados por la administradora, se observa qu</w:t>
      </w:r>
      <w:r w:rsidR="005A1CA2" w:rsidRPr="00D839A6">
        <w:rPr>
          <w:rFonts w:ascii="Tahoma" w:eastAsia="Tahoma" w:hAnsi="Tahoma" w:cs="Tahoma"/>
          <w:color w:val="000000"/>
        </w:rPr>
        <w:t xml:space="preserve">e la inconsistencia entre la comunicación y certificación emitida el 17 de enero de 2020, </w:t>
      </w:r>
      <w:r w:rsidR="00646064" w:rsidRPr="00D839A6">
        <w:rPr>
          <w:rFonts w:ascii="Tahoma" w:eastAsia="Tahoma" w:hAnsi="Tahoma" w:cs="Tahoma"/>
          <w:color w:val="000000"/>
        </w:rPr>
        <w:t xml:space="preserve">no tenía más trascendencia que un simple error aritmético, pues incluso en la comunicación, expresamente se indicaba que la información </w:t>
      </w:r>
      <w:r w:rsidR="00B97F1C" w:rsidRPr="00D839A6">
        <w:rPr>
          <w:rFonts w:ascii="Tahoma" w:eastAsia="Tahoma" w:hAnsi="Tahoma" w:cs="Tahoma"/>
          <w:color w:val="000000"/>
        </w:rPr>
        <w:t>debía</w:t>
      </w:r>
      <w:r w:rsidR="00646064" w:rsidRPr="00D839A6">
        <w:rPr>
          <w:rFonts w:ascii="Tahoma" w:eastAsia="Tahoma" w:hAnsi="Tahoma" w:cs="Tahoma"/>
          <w:color w:val="000000"/>
        </w:rPr>
        <w:t xml:space="preserve"> verificarse en el anexo que era </w:t>
      </w:r>
      <w:r w:rsidR="00265489" w:rsidRPr="00D839A6">
        <w:rPr>
          <w:rFonts w:ascii="Tahoma" w:eastAsia="Tahoma" w:hAnsi="Tahoma" w:cs="Tahoma"/>
          <w:color w:val="000000"/>
        </w:rPr>
        <w:t>la certificación</w:t>
      </w:r>
      <w:r w:rsidR="00B97F1C" w:rsidRPr="00D839A6">
        <w:rPr>
          <w:rFonts w:ascii="Tahoma" w:eastAsia="Tahoma" w:hAnsi="Tahoma" w:cs="Tahoma"/>
          <w:color w:val="000000"/>
        </w:rPr>
        <w:t xml:space="preserve">, de la </w:t>
      </w:r>
      <w:r w:rsidR="08ED2090" w:rsidRPr="00D839A6">
        <w:rPr>
          <w:rFonts w:ascii="Tahoma" w:eastAsia="Tahoma" w:hAnsi="Tahoma" w:cs="Tahoma"/>
          <w:color w:val="000000"/>
        </w:rPr>
        <w:t xml:space="preserve">cual </w:t>
      </w:r>
      <w:r w:rsidR="00B97F1C" w:rsidRPr="00D839A6">
        <w:rPr>
          <w:rFonts w:ascii="Tahoma" w:eastAsia="Tahoma" w:hAnsi="Tahoma" w:cs="Tahoma"/>
          <w:color w:val="000000"/>
        </w:rPr>
        <w:t xml:space="preserve">se desprendía que </w:t>
      </w:r>
      <w:r w:rsidR="0079141C" w:rsidRPr="00D839A6">
        <w:rPr>
          <w:rFonts w:ascii="Tahoma" w:eastAsia="Tahoma" w:hAnsi="Tahoma" w:cs="Tahoma"/>
          <w:color w:val="000000"/>
        </w:rPr>
        <w:t xml:space="preserve">entre el </w:t>
      </w:r>
      <w:r w:rsidR="00B97F1C" w:rsidRPr="00D839A6">
        <w:rPr>
          <w:rFonts w:ascii="Tahoma" w:eastAsia="Tahoma" w:hAnsi="Tahoma" w:cs="Tahoma"/>
          <w:color w:val="000000"/>
        </w:rPr>
        <w:t xml:space="preserve">01/01/2000 </w:t>
      </w:r>
      <w:r w:rsidR="0079141C" w:rsidRPr="00D839A6">
        <w:rPr>
          <w:rFonts w:ascii="Tahoma" w:eastAsia="Tahoma" w:hAnsi="Tahoma" w:cs="Tahoma"/>
          <w:color w:val="000000"/>
        </w:rPr>
        <w:t xml:space="preserve">y el </w:t>
      </w:r>
      <w:r w:rsidR="00B97F1C" w:rsidRPr="00D839A6">
        <w:rPr>
          <w:rFonts w:ascii="Tahoma" w:eastAsia="Tahoma" w:hAnsi="Tahoma" w:cs="Tahoma"/>
          <w:color w:val="000000"/>
        </w:rPr>
        <w:t>17/01/2020 al actor s</w:t>
      </w:r>
      <w:r w:rsidR="25756B83" w:rsidRPr="00D839A6">
        <w:rPr>
          <w:rFonts w:ascii="Tahoma" w:eastAsia="Tahoma" w:hAnsi="Tahoma" w:cs="Tahoma"/>
          <w:color w:val="000000"/>
        </w:rPr>
        <w:t>ó</w:t>
      </w:r>
      <w:r w:rsidR="00B97F1C" w:rsidRPr="00D839A6">
        <w:rPr>
          <w:rFonts w:ascii="Tahoma" w:eastAsia="Tahoma" w:hAnsi="Tahoma" w:cs="Tahoma"/>
          <w:color w:val="000000"/>
        </w:rPr>
        <w:t xml:space="preserve">lo se le había prescrito una incapacidad por 9 días desde el </w:t>
      </w:r>
      <w:r w:rsidR="00CD3819" w:rsidRPr="00D839A6">
        <w:rPr>
          <w:rFonts w:ascii="Tahoma" w:eastAsia="Tahoma" w:hAnsi="Tahoma" w:cs="Tahoma"/>
          <w:color w:val="000000"/>
        </w:rPr>
        <w:t>02/01/2006 hasta el 10/01/2006</w:t>
      </w:r>
      <w:r w:rsidR="009B3A7C" w:rsidRPr="00D839A6">
        <w:rPr>
          <w:rStyle w:val="Refdenotaalpie"/>
          <w:rFonts w:ascii="Tahoma" w:eastAsia="Tahoma" w:hAnsi="Tahoma" w:cs="Tahoma"/>
          <w:color w:val="000000"/>
        </w:rPr>
        <w:footnoteReference w:id="9"/>
      </w:r>
      <w:r w:rsidR="007D044A" w:rsidRPr="00D839A6">
        <w:rPr>
          <w:rFonts w:ascii="Tahoma" w:eastAsia="Tahoma" w:hAnsi="Tahoma" w:cs="Tahoma"/>
          <w:color w:val="000000"/>
        </w:rPr>
        <w:t xml:space="preserve">. </w:t>
      </w:r>
    </w:p>
    <w:p w14:paraId="68C79ED4" w14:textId="77777777" w:rsidR="007D044A" w:rsidRPr="00D839A6" w:rsidRDefault="007D044A" w:rsidP="00D839A6">
      <w:pPr>
        <w:spacing w:line="276" w:lineRule="auto"/>
        <w:jc w:val="both"/>
        <w:rPr>
          <w:rFonts w:ascii="Tahoma" w:eastAsia="Tahoma" w:hAnsi="Tahoma" w:cs="Tahoma"/>
          <w:bCs/>
          <w:color w:val="000000"/>
        </w:rPr>
      </w:pPr>
    </w:p>
    <w:p w14:paraId="68A8BCCC" w14:textId="5A4C9FB1" w:rsidR="001A7DE9" w:rsidRPr="00D839A6" w:rsidRDefault="007D044A" w:rsidP="00D839A6">
      <w:pPr>
        <w:spacing w:line="276" w:lineRule="auto"/>
        <w:jc w:val="both"/>
        <w:rPr>
          <w:rFonts w:ascii="Tahoma" w:eastAsia="Tahoma" w:hAnsi="Tahoma" w:cs="Tahoma"/>
          <w:color w:val="000000"/>
        </w:rPr>
      </w:pPr>
      <w:r w:rsidRPr="00D839A6">
        <w:rPr>
          <w:rFonts w:ascii="Tahoma" w:eastAsia="Tahoma" w:hAnsi="Tahoma" w:cs="Tahoma"/>
          <w:bCs/>
          <w:color w:val="000000"/>
        </w:rPr>
        <w:tab/>
      </w:r>
      <w:r w:rsidRPr="00D839A6">
        <w:rPr>
          <w:rFonts w:ascii="Tahoma" w:eastAsia="Tahoma" w:hAnsi="Tahoma" w:cs="Tahoma"/>
          <w:color w:val="000000"/>
        </w:rPr>
        <w:t xml:space="preserve">El error advertido, respecto </w:t>
      </w:r>
      <w:r w:rsidR="000C3420" w:rsidRPr="00D839A6">
        <w:rPr>
          <w:rFonts w:ascii="Tahoma" w:eastAsia="Tahoma" w:hAnsi="Tahoma" w:cs="Tahoma"/>
          <w:color w:val="000000"/>
        </w:rPr>
        <w:t xml:space="preserve">de la certificación expedida por Coomeva </w:t>
      </w:r>
      <w:proofErr w:type="spellStart"/>
      <w:r w:rsidR="000C3420" w:rsidRPr="00D839A6">
        <w:rPr>
          <w:rFonts w:ascii="Tahoma" w:eastAsia="Tahoma" w:hAnsi="Tahoma" w:cs="Tahoma"/>
          <w:color w:val="000000"/>
        </w:rPr>
        <w:t>EPS</w:t>
      </w:r>
      <w:proofErr w:type="spellEnd"/>
      <w:r w:rsidR="000C3420" w:rsidRPr="00D839A6">
        <w:rPr>
          <w:rFonts w:ascii="Tahoma" w:eastAsia="Tahoma" w:hAnsi="Tahoma" w:cs="Tahoma"/>
          <w:color w:val="000000"/>
        </w:rPr>
        <w:t xml:space="preserve"> el </w:t>
      </w:r>
      <w:r w:rsidRPr="00D839A6">
        <w:rPr>
          <w:rFonts w:ascii="Tahoma" w:eastAsia="Tahoma" w:hAnsi="Tahoma" w:cs="Tahoma"/>
          <w:color w:val="000000"/>
        </w:rPr>
        <w:t>20 de noviembre 2020</w:t>
      </w:r>
      <w:r w:rsidR="000C3420" w:rsidRPr="00D839A6">
        <w:rPr>
          <w:rStyle w:val="Refdenotaalpie"/>
          <w:rFonts w:ascii="Tahoma" w:eastAsia="Tahoma" w:hAnsi="Tahoma" w:cs="Tahoma"/>
          <w:color w:val="000000"/>
        </w:rPr>
        <w:footnoteReference w:id="10"/>
      </w:r>
      <w:r w:rsidR="00A6366E" w:rsidRPr="00D839A6">
        <w:rPr>
          <w:rFonts w:ascii="Tahoma" w:eastAsia="Tahoma" w:hAnsi="Tahoma" w:cs="Tahoma"/>
          <w:color w:val="000000"/>
        </w:rPr>
        <w:t xml:space="preserve">, </w:t>
      </w:r>
      <w:r w:rsidR="00B65886" w:rsidRPr="00D839A6">
        <w:rPr>
          <w:rFonts w:ascii="Tahoma" w:eastAsia="Tahoma" w:hAnsi="Tahoma" w:cs="Tahoma"/>
          <w:color w:val="000000"/>
        </w:rPr>
        <w:t xml:space="preserve">se aclaró con la misma certificación que emitió el </w:t>
      </w:r>
      <w:r w:rsidR="000759D7" w:rsidRPr="00D839A6">
        <w:rPr>
          <w:rFonts w:ascii="Tahoma" w:eastAsia="Tahoma" w:hAnsi="Tahoma" w:cs="Tahoma"/>
          <w:color w:val="000000"/>
        </w:rPr>
        <w:t>7 de enero de 2021</w:t>
      </w:r>
      <w:r w:rsidR="004F7DC3" w:rsidRPr="00D839A6">
        <w:rPr>
          <w:rStyle w:val="Refdenotaalpie"/>
          <w:rFonts w:ascii="Tahoma" w:eastAsia="Tahoma" w:hAnsi="Tahoma" w:cs="Tahoma"/>
          <w:color w:val="000000"/>
        </w:rPr>
        <w:footnoteReference w:id="11"/>
      </w:r>
      <w:r w:rsidR="00B65886" w:rsidRPr="00D839A6">
        <w:rPr>
          <w:rFonts w:ascii="Tahoma" w:eastAsia="Tahoma" w:hAnsi="Tahoma" w:cs="Tahoma"/>
          <w:color w:val="000000"/>
        </w:rPr>
        <w:t xml:space="preserve"> y en todo caso en esa oportunidad al margen del tipo de afiliación</w:t>
      </w:r>
      <w:r w:rsidR="004F7DC3" w:rsidRPr="00D839A6">
        <w:rPr>
          <w:rFonts w:ascii="Tahoma" w:eastAsia="Tahoma" w:hAnsi="Tahoma" w:cs="Tahoma"/>
          <w:color w:val="000000"/>
        </w:rPr>
        <w:t>,</w:t>
      </w:r>
      <w:r w:rsidR="00B65886" w:rsidRPr="00D839A6">
        <w:rPr>
          <w:rFonts w:ascii="Tahoma" w:eastAsia="Tahoma" w:hAnsi="Tahoma" w:cs="Tahoma"/>
          <w:color w:val="000000"/>
        </w:rPr>
        <w:t xml:space="preserve"> reiteró que desde el 01/01/2006 hasta el 20 de noviembre de 2020 (fecha posterior a la muerte)</w:t>
      </w:r>
      <w:r w:rsidR="00745041" w:rsidRPr="00D839A6">
        <w:rPr>
          <w:rFonts w:ascii="Tahoma" w:eastAsia="Tahoma" w:hAnsi="Tahoma" w:cs="Tahoma"/>
          <w:color w:val="000000"/>
        </w:rPr>
        <w:t xml:space="preserve"> al actor s</w:t>
      </w:r>
      <w:r w:rsidR="787EE375" w:rsidRPr="00D839A6">
        <w:rPr>
          <w:rFonts w:ascii="Tahoma" w:eastAsia="Tahoma" w:hAnsi="Tahoma" w:cs="Tahoma"/>
          <w:color w:val="000000"/>
        </w:rPr>
        <w:t>ó</w:t>
      </w:r>
      <w:r w:rsidR="00745041" w:rsidRPr="00D839A6">
        <w:rPr>
          <w:rFonts w:ascii="Tahoma" w:eastAsia="Tahoma" w:hAnsi="Tahoma" w:cs="Tahoma"/>
          <w:color w:val="000000"/>
        </w:rPr>
        <w:t>lo le prescribieron los ya referidos 9 días de incapacidad en el 2006</w:t>
      </w:r>
      <w:r w:rsidR="004F7DC3" w:rsidRPr="00D839A6">
        <w:rPr>
          <w:rStyle w:val="Refdenotaalpie"/>
          <w:rFonts w:ascii="Tahoma" w:eastAsia="Tahoma" w:hAnsi="Tahoma" w:cs="Tahoma"/>
          <w:color w:val="000000"/>
        </w:rPr>
        <w:footnoteReference w:id="12"/>
      </w:r>
      <w:r w:rsidR="00745041" w:rsidRPr="00D839A6">
        <w:rPr>
          <w:rFonts w:ascii="Tahoma" w:eastAsia="Tahoma" w:hAnsi="Tahoma" w:cs="Tahoma"/>
          <w:color w:val="000000"/>
        </w:rPr>
        <w:t>.</w:t>
      </w:r>
      <w:r w:rsidR="005278DB" w:rsidRPr="00D839A6">
        <w:rPr>
          <w:rFonts w:ascii="Tahoma" w:eastAsia="Tahoma" w:hAnsi="Tahoma" w:cs="Tahoma"/>
          <w:color w:val="000000"/>
        </w:rPr>
        <w:t xml:space="preserve"> </w:t>
      </w:r>
    </w:p>
    <w:p w14:paraId="6054601E" w14:textId="77777777" w:rsidR="00BF3BED" w:rsidRPr="00D839A6" w:rsidRDefault="00BF3BED" w:rsidP="00D839A6">
      <w:pPr>
        <w:spacing w:line="276" w:lineRule="auto"/>
        <w:jc w:val="both"/>
        <w:rPr>
          <w:rFonts w:ascii="Tahoma" w:eastAsia="Tahoma" w:hAnsi="Tahoma" w:cs="Tahoma"/>
          <w:bCs/>
          <w:color w:val="000000"/>
        </w:rPr>
      </w:pPr>
    </w:p>
    <w:p w14:paraId="6C11B5F4" w14:textId="3780B4A8" w:rsidR="00BF3BED" w:rsidRPr="00D839A6" w:rsidRDefault="00BF3BED" w:rsidP="00D839A6">
      <w:pPr>
        <w:spacing w:line="276" w:lineRule="auto"/>
        <w:ind w:firstLine="720"/>
        <w:jc w:val="both"/>
        <w:rPr>
          <w:rFonts w:ascii="Tahoma" w:eastAsia="Tahoma" w:hAnsi="Tahoma" w:cs="Tahoma"/>
          <w:color w:val="000000"/>
        </w:rPr>
      </w:pPr>
      <w:r w:rsidRPr="00D839A6">
        <w:rPr>
          <w:rFonts w:ascii="Tahoma" w:eastAsia="Tahoma" w:hAnsi="Tahoma" w:cs="Tahoma"/>
          <w:color w:val="000000"/>
        </w:rPr>
        <w:t xml:space="preserve">Finalmente, la Nueva </w:t>
      </w:r>
      <w:proofErr w:type="spellStart"/>
      <w:r w:rsidRPr="00D839A6">
        <w:rPr>
          <w:rFonts w:ascii="Tahoma" w:eastAsia="Tahoma" w:hAnsi="Tahoma" w:cs="Tahoma"/>
          <w:color w:val="000000"/>
        </w:rPr>
        <w:t>EPS</w:t>
      </w:r>
      <w:proofErr w:type="spellEnd"/>
      <w:r w:rsidRPr="00D839A6">
        <w:rPr>
          <w:rFonts w:ascii="Tahoma" w:eastAsia="Tahoma" w:hAnsi="Tahoma" w:cs="Tahoma"/>
          <w:color w:val="000000"/>
        </w:rPr>
        <w:t xml:space="preserve"> en cada una de las certificaciones emitidas por la Dirección de Prestaciones económicas el 17 de marzo de 2020</w:t>
      </w:r>
      <w:r w:rsidRPr="00D839A6">
        <w:rPr>
          <w:rStyle w:val="Refdenotaalpie"/>
          <w:rFonts w:ascii="Tahoma" w:eastAsia="Tahoma" w:hAnsi="Tahoma" w:cs="Tahoma"/>
          <w:color w:val="000000"/>
        </w:rPr>
        <w:footnoteReference w:id="13"/>
      </w:r>
      <w:r w:rsidRPr="00D839A6">
        <w:rPr>
          <w:rFonts w:ascii="Tahoma" w:eastAsia="Tahoma" w:hAnsi="Tahoma" w:cs="Tahoma"/>
          <w:color w:val="000000"/>
        </w:rPr>
        <w:t>, 21 de octubre de 2020</w:t>
      </w:r>
      <w:r w:rsidRPr="00D839A6">
        <w:rPr>
          <w:rStyle w:val="Refdenotaalpie"/>
          <w:rFonts w:ascii="Tahoma" w:eastAsia="Tahoma" w:hAnsi="Tahoma" w:cs="Tahoma"/>
          <w:color w:val="000000"/>
        </w:rPr>
        <w:footnoteReference w:id="14"/>
      </w:r>
      <w:r w:rsidRPr="00D839A6">
        <w:rPr>
          <w:rFonts w:ascii="Tahoma" w:eastAsia="Tahoma" w:hAnsi="Tahoma" w:cs="Tahoma"/>
          <w:color w:val="000000"/>
        </w:rPr>
        <w:t xml:space="preserve"> </w:t>
      </w:r>
      <w:r w:rsidR="004979ED" w:rsidRPr="00D839A6">
        <w:rPr>
          <w:rFonts w:ascii="Tahoma" w:eastAsia="Tahoma" w:hAnsi="Tahoma" w:cs="Tahoma"/>
          <w:color w:val="000000"/>
        </w:rPr>
        <w:t>y el 16 de diciembre de 2020</w:t>
      </w:r>
      <w:r w:rsidR="000759D7" w:rsidRPr="00D839A6">
        <w:rPr>
          <w:rStyle w:val="Refdenotaalpie"/>
          <w:rFonts w:ascii="Tahoma" w:eastAsia="Tahoma" w:hAnsi="Tahoma" w:cs="Tahoma"/>
          <w:color w:val="000000"/>
        </w:rPr>
        <w:footnoteReference w:id="15"/>
      </w:r>
      <w:r w:rsidR="000759D7" w:rsidRPr="00D839A6">
        <w:rPr>
          <w:rFonts w:ascii="Tahoma" w:eastAsia="Tahoma" w:hAnsi="Tahoma" w:cs="Tahoma"/>
          <w:color w:val="000000"/>
        </w:rPr>
        <w:t xml:space="preserve"> </w:t>
      </w:r>
      <w:r w:rsidR="0026425B" w:rsidRPr="00D839A6">
        <w:rPr>
          <w:rFonts w:ascii="Tahoma" w:eastAsia="Tahoma" w:hAnsi="Tahoma" w:cs="Tahoma"/>
          <w:color w:val="000000"/>
        </w:rPr>
        <w:t>señaló que no existía registro alguno de incapacidades transcritas o reconocidas económicamente al señor Guillermo Ayala Duque</w:t>
      </w:r>
      <w:r w:rsidR="00095C04" w:rsidRPr="00D839A6">
        <w:rPr>
          <w:rFonts w:ascii="Tahoma" w:eastAsia="Tahoma" w:hAnsi="Tahoma" w:cs="Tahoma"/>
          <w:color w:val="000000"/>
        </w:rPr>
        <w:t xml:space="preserve">, y en la última precisó que </w:t>
      </w:r>
      <w:r w:rsidR="00EE2790" w:rsidRPr="00D839A6">
        <w:rPr>
          <w:rFonts w:ascii="Tahoma" w:eastAsia="Tahoma" w:hAnsi="Tahoma" w:cs="Tahoma"/>
          <w:color w:val="000000"/>
        </w:rPr>
        <w:t xml:space="preserve">la firma </w:t>
      </w:r>
      <w:r w:rsidR="00887FD0" w:rsidRPr="00D839A6">
        <w:rPr>
          <w:rFonts w:ascii="Tahoma" w:eastAsia="Tahoma" w:hAnsi="Tahoma" w:cs="Tahoma"/>
          <w:color w:val="000000"/>
        </w:rPr>
        <w:t xml:space="preserve">del funcionario </w:t>
      </w:r>
      <w:r w:rsidR="00EE2790" w:rsidRPr="00D839A6">
        <w:rPr>
          <w:rFonts w:ascii="Tahoma" w:eastAsia="Tahoma" w:hAnsi="Tahoma" w:cs="Tahoma"/>
          <w:color w:val="000000"/>
        </w:rPr>
        <w:t xml:space="preserve">y </w:t>
      </w:r>
      <w:r w:rsidR="00887FD0" w:rsidRPr="00D839A6">
        <w:rPr>
          <w:rFonts w:ascii="Tahoma" w:eastAsia="Tahoma" w:hAnsi="Tahoma" w:cs="Tahoma"/>
          <w:color w:val="000000"/>
        </w:rPr>
        <w:t>nombre</w:t>
      </w:r>
      <w:r w:rsidR="00EE2790" w:rsidRPr="00D839A6">
        <w:rPr>
          <w:rFonts w:ascii="Tahoma" w:eastAsia="Tahoma" w:hAnsi="Tahoma" w:cs="Tahoma"/>
          <w:color w:val="000000"/>
        </w:rPr>
        <w:t xml:space="preserve"> del cargo eran suficientes para </w:t>
      </w:r>
      <w:r w:rsidR="00887FD0" w:rsidRPr="00D839A6">
        <w:rPr>
          <w:rFonts w:ascii="Tahoma" w:eastAsia="Tahoma" w:hAnsi="Tahoma" w:cs="Tahoma"/>
          <w:color w:val="000000"/>
        </w:rPr>
        <w:t xml:space="preserve">expedición del documento </w:t>
      </w:r>
      <w:r w:rsidR="00095C04" w:rsidRPr="00D839A6">
        <w:rPr>
          <w:rFonts w:ascii="Tahoma" w:eastAsia="Tahoma" w:hAnsi="Tahoma" w:cs="Tahoma"/>
          <w:color w:val="000000"/>
        </w:rPr>
        <w:t xml:space="preserve">a la luz del artículo </w:t>
      </w:r>
      <w:r w:rsidR="00EE2790" w:rsidRPr="00D839A6">
        <w:rPr>
          <w:rFonts w:ascii="Tahoma" w:eastAsia="Tahoma" w:hAnsi="Tahoma" w:cs="Tahoma"/>
          <w:color w:val="000000"/>
        </w:rPr>
        <w:t>20 de la Ley 962 de 2005</w:t>
      </w:r>
      <w:r w:rsidR="00A460B0" w:rsidRPr="00D839A6">
        <w:rPr>
          <w:rFonts w:ascii="Tahoma" w:eastAsia="Tahoma" w:hAnsi="Tahoma" w:cs="Tahoma"/>
          <w:color w:val="000000"/>
        </w:rPr>
        <w:t xml:space="preserve">. </w:t>
      </w:r>
    </w:p>
    <w:p w14:paraId="14FDEA49" w14:textId="77777777" w:rsidR="00BF3BED" w:rsidRPr="00D839A6" w:rsidRDefault="00BF3BED" w:rsidP="00D839A6">
      <w:pPr>
        <w:spacing w:line="276" w:lineRule="auto"/>
        <w:jc w:val="both"/>
        <w:rPr>
          <w:rFonts w:ascii="Tahoma" w:eastAsia="Tahoma" w:hAnsi="Tahoma" w:cs="Tahoma"/>
          <w:bCs/>
          <w:color w:val="000000"/>
        </w:rPr>
      </w:pPr>
    </w:p>
    <w:p w14:paraId="79FF15B6" w14:textId="43243EFE" w:rsidR="00906338" w:rsidRPr="00D839A6" w:rsidRDefault="00BF3BED" w:rsidP="00D839A6">
      <w:pPr>
        <w:spacing w:line="276" w:lineRule="auto"/>
        <w:ind w:firstLine="720"/>
        <w:jc w:val="both"/>
        <w:rPr>
          <w:rFonts w:ascii="Tahoma" w:eastAsia="Tahoma" w:hAnsi="Tahoma" w:cs="Tahoma"/>
          <w:color w:val="000000"/>
        </w:rPr>
      </w:pPr>
      <w:r w:rsidRPr="00D839A6">
        <w:rPr>
          <w:rFonts w:ascii="Tahoma" w:eastAsia="Tahoma" w:hAnsi="Tahoma" w:cs="Tahoma"/>
          <w:color w:val="000000" w:themeColor="text1"/>
        </w:rPr>
        <w:t xml:space="preserve">Por todo lo anterior, se desprende </w:t>
      </w:r>
      <w:r w:rsidR="00265489" w:rsidRPr="00D839A6">
        <w:rPr>
          <w:rFonts w:ascii="Tahoma" w:eastAsia="Tahoma" w:hAnsi="Tahoma" w:cs="Tahoma"/>
          <w:color w:val="000000" w:themeColor="text1"/>
        </w:rPr>
        <w:t>sin lugar</w:t>
      </w:r>
      <w:r w:rsidR="005278DB" w:rsidRPr="00D839A6">
        <w:rPr>
          <w:rFonts w:ascii="Tahoma" w:eastAsia="Tahoma" w:hAnsi="Tahoma" w:cs="Tahoma"/>
          <w:color w:val="000000" w:themeColor="text1"/>
        </w:rPr>
        <w:t xml:space="preserve"> </w:t>
      </w:r>
      <w:r w:rsidR="00265489" w:rsidRPr="00D839A6">
        <w:rPr>
          <w:rFonts w:ascii="Tahoma" w:eastAsia="Tahoma" w:hAnsi="Tahoma" w:cs="Tahoma"/>
          <w:color w:val="000000" w:themeColor="text1"/>
        </w:rPr>
        <w:t>a</w:t>
      </w:r>
      <w:r w:rsidR="001D0E56" w:rsidRPr="00D839A6">
        <w:rPr>
          <w:rFonts w:ascii="Tahoma" w:eastAsia="Tahoma" w:hAnsi="Tahoma" w:cs="Tahoma"/>
          <w:color w:val="000000" w:themeColor="text1"/>
        </w:rPr>
        <w:t xml:space="preserve"> dudas </w:t>
      </w:r>
      <w:r w:rsidR="00D372AA" w:rsidRPr="00D839A6">
        <w:rPr>
          <w:rFonts w:ascii="Tahoma" w:eastAsia="Tahoma" w:hAnsi="Tahoma" w:cs="Tahoma"/>
          <w:color w:val="000000" w:themeColor="text1"/>
        </w:rPr>
        <w:t>que,</w:t>
      </w:r>
      <w:r w:rsidR="005278DB" w:rsidRPr="00D839A6">
        <w:rPr>
          <w:rFonts w:ascii="Tahoma" w:eastAsia="Tahoma" w:hAnsi="Tahoma" w:cs="Tahoma"/>
          <w:color w:val="000000" w:themeColor="text1"/>
        </w:rPr>
        <w:t xml:space="preserve"> al margen del tiempo y vinculación del actor tanto a la Nueva </w:t>
      </w:r>
      <w:proofErr w:type="spellStart"/>
      <w:r w:rsidR="005278DB" w:rsidRPr="00D839A6">
        <w:rPr>
          <w:rFonts w:ascii="Tahoma" w:eastAsia="Tahoma" w:hAnsi="Tahoma" w:cs="Tahoma"/>
          <w:color w:val="000000" w:themeColor="text1"/>
        </w:rPr>
        <w:t>EPS</w:t>
      </w:r>
      <w:proofErr w:type="spellEnd"/>
      <w:r w:rsidR="005278DB" w:rsidRPr="00D839A6">
        <w:rPr>
          <w:rFonts w:ascii="Tahoma" w:eastAsia="Tahoma" w:hAnsi="Tahoma" w:cs="Tahoma"/>
          <w:color w:val="000000" w:themeColor="text1"/>
        </w:rPr>
        <w:t xml:space="preserve">, como a Coomeva </w:t>
      </w:r>
      <w:proofErr w:type="spellStart"/>
      <w:r w:rsidR="005278DB" w:rsidRPr="00D839A6">
        <w:rPr>
          <w:rFonts w:ascii="Tahoma" w:eastAsia="Tahoma" w:hAnsi="Tahoma" w:cs="Tahoma"/>
          <w:color w:val="000000" w:themeColor="text1"/>
        </w:rPr>
        <w:t>EPS</w:t>
      </w:r>
      <w:proofErr w:type="spellEnd"/>
      <w:r w:rsidR="005278DB" w:rsidRPr="00D839A6">
        <w:rPr>
          <w:rFonts w:ascii="Tahoma" w:eastAsia="Tahoma" w:hAnsi="Tahoma" w:cs="Tahoma"/>
          <w:color w:val="000000" w:themeColor="text1"/>
        </w:rPr>
        <w:t>,</w:t>
      </w:r>
      <w:r w:rsidR="003F47F7" w:rsidRPr="00D839A6">
        <w:rPr>
          <w:rFonts w:ascii="Tahoma" w:eastAsia="Tahoma" w:hAnsi="Tahoma" w:cs="Tahoma"/>
          <w:color w:val="000000" w:themeColor="text1"/>
        </w:rPr>
        <w:t xml:space="preserve"> </w:t>
      </w:r>
      <w:r w:rsidR="005278DB" w:rsidRPr="00D839A6">
        <w:rPr>
          <w:rFonts w:ascii="Tahoma" w:eastAsia="Tahoma" w:hAnsi="Tahoma" w:cs="Tahoma"/>
          <w:color w:val="000000" w:themeColor="text1"/>
        </w:rPr>
        <w:t xml:space="preserve">al actor </w:t>
      </w:r>
      <w:r w:rsidR="00D372AA" w:rsidRPr="00D839A6">
        <w:rPr>
          <w:rFonts w:ascii="Tahoma" w:eastAsia="Tahoma" w:hAnsi="Tahoma" w:cs="Tahoma"/>
          <w:color w:val="000000" w:themeColor="text1"/>
        </w:rPr>
        <w:t xml:space="preserve">no le </w:t>
      </w:r>
      <w:r w:rsidR="00D372AA" w:rsidRPr="00D839A6">
        <w:rPr>
          <w:rFonts w:ascii="Tahoma" w:eastAsia="Tahoma" w:hAnsi="Tahoma" w:cs="Tahoma"/>
          <w:color w:val="000000" w:themeColor="text1"/>
        </w:rPr>
        <w:lastRenderedPageBreak/>
        <w:t>fueron prescritas incapacidades más allá de la fecha de estructuración</w:t>
      </w:r>
      <w:r w:rsidR="005E2293" w:rsidRPr="00D839A6">
        <w:rPr>
          <w:rFonts w:ascii="Tahoma" w:eastAsia="Tahoma" w:hAnsi="Tahoma" w:cs="Tahoma"/>
          <w:color w:val="000000" w:themeColor="text1"/>
        </w:rPr>
        <w:t>, esto es, después del 25 de mayo de 2007 y,</w:t>
      </w:r>
      <w:r w:rsidR="00D372AA" w:rsidRPr="00D839A6">
        <w:rPr>
          <w:rFonts w:ascii="Tahoma" w:eastAsia="Tahoma" w:hAnsi="Tahoma" w:cs="Tahoma"/>
          <w:color w:val="000000" w:themeColor="text1"/>
        </w:rPr>
        <w:t xml:space="preserve"> por tanto, </w:t>
      </w:r>
      <w:r w:rsidR="67B7237A" w:rsidRPr="00D839A6">
        <w:rPr>
          <w:rFonts w:ascii="Tahoma" w:eastAsia="Tahoma" w:hAnsi="Tahoma" w:cs="Tahoma"/>
          <w:color w:val="000000" w:themeColor="text1"/>
        </w:rPr>
        <w:t xml:space="preserve">ante la inexistencia de pago de subsidio por incapacidad, al tenor del artículo 40 de la Ley 100 de 1993 la pensión de invalidez debía reconocerse de forma retroactiva desde </w:t>
      </w:r>
      <w:r w:rsidR="72FEEA3A" w:rsidRPr="00D839A6">
        <w:rPr>
          <w:rFonts w:ascii="Tahoma" w:eastAsia="Tahoma" w:hAnsi="Tahoma" w:cs="Tahoma"/>
          <w:color w:val="000000" w:themeColor="text1"/>
        </w:rPr>
        <w:t xml:space="preserve">el estado invalidante y hasta el 10 de febrero de 2020, data del fallecimiento. </w:t>
      </w:r>
    </w:p>
    <w:p w14:paraId="42A8777D" w14:textId="2E448BFB" w:rsidR="0BBB48ED" w:rsidRPr="00D839A6" w:rsidRDefault="0BBB48ED" w:rsidP="00D839A6">
      <w:pPr>
        <w:spacing w:line="276" w:lineRule="auto"/>
        <w:ind w:firstLine="720"/>
        <w:jc w:val="both"/>
        <w:rPr>
          <w:rFonts w:ascii="Tahoma" w:eastAsia="Tahoma" w:hAnsi="Tahoma" w:cs="Tahoma"/>
          <w:color w:val="000000" w:themeColor="text1"/>
        </w:rPr>
      </w:pPr>
    </w:p>
    <w:p w14:paraId="608E54FD" w14:textId="41AD020B" w:rsidR="00DF2CA9" w:rsidRPr="00D839A6" w:rsidRDefault="0074008E" w:rsidP="00D839A6">
      <w:pPr>
        <w:spacing w:line="276" w:lineRule="auto"/>
        <w:ind w:firstLine="720"/>
        <w:jc w:val="both"/>
        <w:rPr>
          <w:rFonts w:ascii="Tahoma" w:eastAsia="Tahoma" w:hAnsi="Tahoma" w:cs="Tahoma"/>
          <w:color w:val="000000"/>
        </w:rPr>
      </w:pPr>
      <w:r w:rsidRPr="00D839A6">
        <w:rPr>
          <w:rFonts w:ascii="Tahoma" w:eastAsia="Tahoma" w:hAnsi="Tahoma" w:cs="Tahoma"/>
          <w:color w:val="000000"/>
        </w:rPr>
        <w:t xml:space="preserve">Ahora, </w:t>
      </w:r>
      <w:r w:rsidR="00E4360C" w:rsidRPr="00D839A6">
        <w:rPr>
          <w:rFonts w:ascii="Tahoma" w:eastAsia="Tahoma" w:hAnsi="Tahoma" w:cs="Tahoma"/>
          <w:color w:val="000000"/>
        </w:rPr>
        <w:t xml:space="preserve">revisado </w:t>
      </w:r>
      <w:r w:rsidR="57D1560E" w:rsidRPr="00D839A6">
        <w:rPr>
          <w:rFonts w:ascii="Tahoma" w:eastAsia="Tahoma" w:hAnsi="Tahoma" w:cs="Tahoma"/>
          <w:color w:val="000000"/>
        </w:rPr>
        <w:t xml:space="preserve">el </w:t>
      </w:r>
      <w:r w:rsidR="00E4360C" w:rsidRPr="00D839A6">
        <w:rPr>
          <w:rFonts w:ascii="Tahoma" w:eastAsia="Tahoma" w:hAnsi="Tahoma" w:cs="Tahoma"/>
          <w:color w:val="000000"/>
        </w:rPr>
        <w:t>retroactivo pensional al que fue condenada la entidad demandada</w:t>
      </w:r>
      <w:r w:rsidR="04AD475F" w:rsidRPr="00D839A6">
        <w:rPr>
          <w:rFonts w:ascii="Tahoma" w:eastAsia="Tahoma" w:hAnsi="Tahoma" w:cs="Tahoma"/>
          <w:color w:val="000000"/>
        </w:rPr>
        <w:t xml:space="preserve"> (</w:t>
      </w:r>
      <w:r w:rsidR="04AD475F" w:rsidRPr="00D839A6">
        <w:rPr>
          <w:rFonts w:ascii="Tahoma" w:hAnsi="Tahoma" w:cs="Tahoma"/>
        </w:rPr>
        <w:t>$96.096.991)</w:t>
      </w:r>
      <w:r w:rsidR="00E4360C" w:rsidRPr="00D839A6">
        <w:rPr>
          <w:rFonts w:ascii="Tahoma" w:eastAsia="Tahoma" w:hAnsi="Tahoma" w:cs="Tahoma"/>
          <w:color w:val="000000"/>
        </w:rPr>
        <w:t xml:space="preserve">, </w:t>
      </w:r>
      <w:r w:rsidR="00531858" w:rsidRPr="00D839A6">
        <w:rPr>
          <w:rFonts w:ascii="Tahoma" w:eastAsia="Tahoma" w:hAnsi="Tahoma" w:cs="Tahoma"/>
          <w:color w:val="000000"/>
        </w:rPr>
        <w:t xml:space="preserve">que no fue cobijado por el fenómeno extintivo de la prescripción como bien lo advirtió la a-quo, </w:t>
      </w:r>
      <w:r w:rsidR="00E900DC" w:rsidRPr="00D839A6">
        <w:rPr>
          <w:rFonts w:ascii="Tahoma" w:eastAsia="Tahoma" w:hAnsi="Tahoma" w:cs="Tahoma"/>
          <w:color w:val="000000"/>
        </w:rPr>
        <w:t xml:space="preserve">ya que la demanda se presentó </w:t>
      </w:r>
      <w:r w:rsidR="00B33680" w:rsidRPr="00D839A6">
        <w:rPr>
          <w:rFonts w:ascii="Tahoma" w:eastAsia="Tahoma" w:hAnsi="Tahoma" w:cs="Tahoma"/>
          <w:color w:val="000000"/>
        </w:rPr>
        <w:t xml:space="preserve">el </w:t>
      </w:r>
      <w:r w:rsidR="00AE2E6C" w:rsidRPr="00D839A6">
        <w:rPr>
          <w:rFonts w:ascii="Tahoma" w:eastAsia="Tahoma" w:hAnsi="Tahoma" w:cs="Tahoma"/>
          <w:color w:val="000000"/>
        </w:rPr>
        <w:t>1 de marzo de 2021</w:t>
      </w:r>
      <w:r w:rsidR="00691531" w:rsidRPr="00D839A6">
        <w:rPr>
          <w:rStyle w:val="Refdenotaalpie"/>
          <w:rFonts w:ascii="Tahoma" w:eastAsia="Tahoma" w:hAnsi="Tahoma" w:cs="Tahoma"/>
          <w:color w:val="000000"/>
        </w:rPr>
        <w:footnoteReference w:id="16"/>
      </w:r>
      <w:r w:rsidR="00AE2E6C" w:rsidRPr="00D839A6">
        <w:rPr>
          <w:rFonts w:ascii="Tahoma" w:eastAsia="Tahoma" w:hAnsi="Tahoma" w:cs="Tahoma"/>
          <w:color w:val="000000"/>
        </w:rPr>
        <w:t>, esto es, d</w:t>
      </w:r>
      <w:r w:rsidR="00E900DC" w:rsidRPr="00D839A6">
        <w:rPr>
          <w:rFonts w:ascii="Tahoma" w:eastAsia="Tahoma" w:hAnsi="Tahoma" w:cs="Tahoma"/>
          <w:color w:val="000000"/>
        </w:rPr>
        <w:t>entro de los tres años siguientes a la calificación de p</w:t>
      </w:r>
      <w:r w:rsidR="008D070B" w:rsidRPr="00D839A6">
        <w:rPr>
          <w:rFonts w:ascii="Tahoma" w:eastAsia="Tahoma" w:hAnsi="Tahoma" w:cs="Tahoma"/>
          <w:color w:val="000000"/>
        </w:rPr>
        <w:t>é</w:t>
      </w:r>
      <w:r w:rsidR="00E900DC" w:rsidRPr="00D839A6">
        <w:rPr>
          <w:rFonts w:ascii="Tahoma" w:eastAsia="Tahoma" w:hAnsi="Tahoma" w:cs="Tahoma"/>
          <w:color w:val="000000"/>
        </w:rPr>
        <w:t xml:space="preserve">rdida de la capacidad laboral emitida por Colpensiones el </w:t>
      </w:r>
      <w:bookmarkStart w:id="8" w:name="_Hlk144226617"/>
      <w:r w:rsidR="00B33680" w:rsidRPr="00D839A6">
        <w:rPr>
          <w:rFonts w:ascii="Tahoma" w:eastAsia="Tahoma" w:hAnsi="Tahoma" w:cs="Tahoma"/>
          <w:color w:val="000000"/>
        </w:rPr>
        <w:t>14 de noviembre de 2019</w:t>
      </w:r>
      <w:bookmarkEnd w:id="8"/>
      <w:r w:rsidR="00CE2170" w:rsidRPr="00D839A6">
        <w:rPr>
          <w:rFonts w:ascii="Tahoma" w:eastAsia="Tahoma" w:hAnsi="Tahoma" w:cs="Tahoma"/>
          <w:color w:val="000000"/>
        </w:rPr>
        <w:t xml:space="preserve">, </w:t>
      </w:r>
      <w:r w:rsidR="6500EDDD" w:rsidRPr="00D839A6">
        <w:rPr>
          <w:rFonts w:ascii="Tahoma" w:eastAsia="Tahoma" w:hAnsi="Tahoma" w:cs="Tahoma"/>
          <w:color w:val="000000"/>
        </w:rPr>
        <w:t xml:space="preserve">en sede de consulta </w:t>
      </w:r>
      <w:r w:rsidR="00D73144" w:rsidRPr="00D839A6">
        <w:rPr>
          <w:rFonts w:ascii="Tahoma" w:eastAsia="Tahoma" w:hAnsi="Tahoma" w:cs="Tahoma"/>
          <w:color w:val="000000"/>
        </w:rPr>
        <w:t xml:space="preserve">se </w:t>
      </w:r>
      <w:r w:rsidR="00CE2170" w:rsidRPr="00D839A6">
        <w:rPr>
          <w:rFonts w:ascii="Tahoma" w:eastAsia="Tahoma" w:hAnsi="Tahoma" w:cs="Tahoma"/>
          <w:color w:val="000000"/>
        </w:rPr>
        <w:t>mantendrá incólume</w:t>
      </w:r>
      <w:r w:rsidR="641E4623" w:rsidRPr="00D839A6">
        <w:rPr>
          <w:rFonts w:ascii="Tahoma" w:eastAsia="Tahoma" w:hAnsi="Tahoma" w:cs="Tahoma"/>
          <w:color w:val="000000"/>
        </w:rPr>
        <w:t xml:space="preserve"> </w:t>
      </w:r>
      <w:r w:rsidR="00007A67" w:rsidRPr="00D839A6">
        <w:rPr>
          <w:rFonts w:ascii="Tahoma" w:eastAsia="Tahoma" w:hAnsi="Tahoma" w:cs="Tahoma"/>
          <w:color w:val="000000"/>
        </w:rPr>
        <w:t>por ser inferior al calculado en esta instancia judicial</w:t>
      </w:r>
      <w:r w:rsidR="76AF4B01" w:rsidRPr="00D839A6">
        <w:rPr>
          <w:rFonts w:ascii="Tahoma" w:eastAsia="Tahoma" w:hAnsi="Tahoma" w:cs="Tahoma"/>
          <w:color w:val="000000"/>
        </w:rPr>
        <w:t xml:space="preserve">, según se desprende de la </w:t>
      </w:r>
      <w:r w:rsidR="00007A67" w:rsidRPr="00D839A6">
        <w:rPr>
          <w:rFonts w:ascii="Tahoma" w:eastAsia="Tahoma" w:hAnsi="Tahoma" w:cs="Tahoma"/>
          <w:color w:val="000000"/>
        </w:rPr>
        <w:t xml:space="preserve">siguiente liquidación: </w:t>
      </w:r>
    </w:p>
    <w:p w14:paraId="4DFEF760" w14:textId="77777777" w:rsidR="00016C9A" w:rsidRPr="00D839A6" w:rsidRDefault="00016C9A" w:rsidP="00D839A6">
      <w:pPr>
        <w:spacing w:line="276" w:lineRule="auto"/>
        <w:ind w:firstLine="720"/>
        <w:jc w:val="both"/>
        <w:rPr>
          <w:rFonts w:ascii="Tahoma" w:eastAsia="Tahoma" w:hAnsi="Tahoma" w:cs="Tahoma"/>
          <w:bCs/>
          <w:color w:val="000000"/>
        </w:rPr>
      </w:pPr>
    </w:p>
    <w:tbl>
      <w:tblPr>
        <w:tblW w:w="9056" w:type="dxa"/>
        <w:tblCellMar>
          <w:left w:w="70" w:type="dxa"/>
          <w:right w:w="70" w:type="dxa"/>
        </w:tblCellMar>
        <w:tblLook w:val="04A0" w:firstRow="1" w:lastRow="0" w:firstColumn="1" w:lastColumn="0" w:noHBand="0" w:noVBand="1"/>
      </w:tblPr>
      <w:tblGrid>
        <w:gridCol w:w="1180"/>
        <w:gridCol w:w="1167"/>
        <w:gridCol w:w="1160"/>
        <w:gridCol w:w="1260"/>
        <w:gridCol w:w="1609"/>
        <w:gridCol w:w="1274"/>
        <w:gridCol w:w="1406"/>
      </w:tblGrid>
      <w:tr w:rsidR="00016C9A" w:rsidRPr="00D839A6" w14:paraId="14A8E663" w14:textId="77777777" w:rsidTr="00D839A6">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D8382" w14:textId="77777777" w:rsidR="00016C9A" w:rsidRPr="00D839A6" w:rsidRDefault="00016C9A" w:rsidP="00D839A6">
            <w:pPr>
              <w:jc w:val="center"/>
              <w:rPr>
                <w:rFonts w:ascii="Tahoma" w:hAnsi="Tahoma" w:cs="Tahoma"/>
                <w:b/>
                <w:bCs/>
                <w:color w:val="000000"/>
                <w:sz w:val="20"/>
              </w:rPr>
            </w:pPr>
            <w:r w:rsidRPr="00D839A6">
              <w:rPr>
                <w:rFonts w:ascii="Tahoma" w:hAnsi="Tahoma" w:cs="Tahoma"/>
                <w:b/>
                <w:bCs/>
                <w:color w:val="000000"/>
                <w:sz w:val="20"/>
              </w:rPr>
              <w:t xml:space="preserve">DESDE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20EAD00B" w14:textId="77777777" w:rsidR="00016C9A" w:rsidRPr="00D839A6" w:rsidRDefault="00016C9A" w:rsidP="00D839A6">
            <w:pPr>
              <w:jc w:val="center"/>
              <w:rPr>
                <w:rFonts w:ascii="Tahoma" w:hAnsi="Tahoma" w:cs="Tahoma"/>
                <w:b/>
                <w:bCs/>
                <w:color w:val="000000"/>
                <w:sz w:val="20"/>
              </w:rPr>
            </w:pPr>
            <w:r w:rsidRPr="00D839A6">
              <w:rPr>
                <w:rFonts w:ascii="Tahoma" w:hAnsi="Tahoma" w:cs="Tahoma"/>
                <w:b/>
                <w:bCs/>
                <w:color w:val="000000"/>
                <w:sz w:val="20"/>
              </w:rPr>
              <w:t xml:space="preserve">HASTA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6B3C0A37" w14:textId="5E86B1C4" w:rsidR="00016C9A" w:rsidRPr="00D839A6" w:rsidRDefault="00016C9A" w:rsidP="00D839A6">
            <w:pPr>
              <w:jc w:val="center"/>
              <w:rPr>
                <w:rFonts w:ascii="Tahoma" w:hAnsi="Tahoma" w:cs="Tahoma"/>
                <w:b/>
                <w:bCs/>
                <w:color w:val="000000"/>
                <w:sz w:val="20"/>
              </w:rPr>
            </w:pPr>
            <w:r w:rsidRPr="00D839A6">
              <w:rPr>
                <w:rFonts w:ascii="Tahoma" w:hAnsi="Tahoma" w:cs="Tahoma"/>
                <w:b/>
                <w:bCs/>
                <w:color w:val="000000"/>
                <w:sz w:val="20"/>
              </w:rPr>
              <w:t>N</w:t>
            </w:r>
            <w:r w:rsidR="00906E60">
              <w:rPr>
                <w:rFonts w:ascii="Tahoma" w:hAnsi="Tahoma" w:cs="Tahoma"/>
                <w:b/>
                <w:bCs/>
                <w:color w:val="000000"/>
                <w:sz w:val="20"/>
              </w:rPr>
              <w:t>o</w:t>
            </w:r>
            <w:r w:rsidRPr="00D839A6">
              <w:rPr>
                <w:rFonts w:ascii="Tahoma" w:hAnsi="Tahoma" w:cs="Tahoma"/>
                <w:b/>
                <w:bCs/>
                <w:color w:val="000000"/>
                <w:sz w:val="20"/>
              </w:rPr>
              <w:t xml:space="preserve">. MESADA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960C01C" w14:textId="1621DA61" w:rsidR="00016C9A" w:rsidRPr="00D839A6" w:rsidRDefault="00016C9A" w:rsidP="00D839A6">
            <w:pPr>
              <w:jc w:val="center"/>
              <w:rPr>
                <w:rFonts w:ascii="Tahoma" w:hAnsi="Tahoma" w:cs="Tahoma"/>
                <w:b/>
                <w:bCs/>
                <w:color w:val="000000"/>
                <w:sz w:val="20"/>
              </w:rPr>
            </w:pPr>
            <w:proofErr w:type="spellStart"/>
            <w:r w:rsidRPr="00D839A6">
              <w:rPr>
                <w:rFonts w:ascii="Tahoma" w:hAnsi="Tahoma" w:cs="Tahoma"/>
                <w:b/>
                <w:bCs/>
                <w:color w:val="000000"/>
                <w:sz w:val="20"/>
              </w:rPr>
              <w:t>V</w:t>
            </w:r>
            <w:r w:rsidR="00906E60">
              <w:rPr>
                <w:rFonts w:ascii="Tahoma" w:hAnsi="Tahoma" w:cs="Tahoma"/>
                <w:b/>
                <w:bCs/>
                <w:color w:val="000000"/>
                <w:sz w:val="20"/>
              </w:rPr>
              <w:t>r</w:t>
            </w:r>
            <w:proofErr w:type="spellEnd"/>
            <w:r w:rsidRPr="00D839A6">
              <w:rPr>
                <w:rFonts w:ascii="Tahoma" w:hAnsi="Tahoma" w:cs="Tahoma"/>
                <w:b/>
                <w:bCs/>
                <w:color w:val="000000"/>
                <w:sz w:val="20"/>
              </w:rPr>
              <w:t>. MESADAS</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14:paraId="0FB6F42D" w14:textId="77777777" w:rsidR="00016C9A" w:rsidRPr="00D839A6" w:rsidRDefault="00016C9A" w:rsidP="00D839A6">
            <w:pPr>
              <w:jc w:val="center"/>
              <w:rPr>
                <w:rFonts w:ascii="Tahoma" w:hAnsi="Tahoma" w:cs="Tahoma"/>
                <w:b/>
                <w:bCs/>
                <w:color w:val="000000"/>
                <w:sz w:val="20"/>
              </w:rPr>
            </w:pPr>
            <w:r w:rsidRPr="00D839A6">
              <w:rPr>
                <w:rFonts w:ascii="Tahoma" w:hAnsi="Tahoma" w:cs="Tahoma"/>
                <w:b/>
                <w:bCs/>
                <w:color w:val="000000"/>
                <w:sz w:val="20"/>
              </w:rPr>
              <w:t>RETROACTIVO</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78C21B84" w14:textId="77777777" w:rsidR="00016C9A" w:rsidRPr="00D839A6" w:rsidRDefault="00016C9A" w:rsidP="00D839A6">
            <w:pPr>
              <w:jc w:val="center"/>
              <w:rPr>
                <w:rFonts w:ascii="Tahoma" w:hAnsi="Tahoma" w:cs="Tahoma"/>
                <w:b/>
                <w:bCs/>
                <w:color w:val="000000"/>
                <w:sz w:val="20"/>
              </w:rPr>
            </w:pPr>
            <w:r w:rsidRPr="00D839A6">
              <w:rPr>
                <w:rFonts w:ascii="Tahoma" w:hAnsi="Tahoma" w:cs="Tahoma"/>
                <w:b/>
                <w:bCs/>
                <w:color w:val="000000"/>
                <w:sz w:val="20"/>
              </w:rPr>
              <w:t>D. SALUD</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14:paraId="49A6877F" w14:textId="77777777" w:rsidR="00016C9A" w:rsidRPr="00D839A6" w:rsidRDefault="00016C9A" w:rsidP="00D839A6">
            <w:pPr>
              <w:jc w:val="center"/>
              <w:rPr>
                <w:rFonts w:ascii="Tahoma" w:hAnsi="Tahoma" w:cs="Tahoma"/>
                <w:b/>
                <w:bCs/>
                <w:color w:val="000000"/>
                <w:sz w:val="20"/>
              </w:rPr>
            </w:pPr>
            <w:r w:rsidRPr="00D839A6">
              <w:rPr>
                <w:rFonts w:ascii="Tahoma" w:hAnsi="Tahoma" w:cs="Tahoma"/>
                <w:b/>
                <w:bCs/>
                <w:color w:val="000000"/>
                <w:sz w:val="20"/>
              </w:rPr>
              <w:t>TOTAL</w:t>
            </w:r>
          </w:p>
        </w:tc>
      </w:tr>
      <w:tr w:rsidR="00016C9A" w:rsidRPr="00D839A6" w14:paraId="3D35BF71"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E9B0FE0"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26/05/2007</w:t>
            </w:r>
          </w:p>
        </w:tc>
        <w:tc>
          <w:tcPr>
            <w:tcW w:w="1167" w:type="dxa"/>
            <w:tcBorders>
              <w:top w:val="nil"/>
              <w:left w:val="nil"/>
              <w:bottom w:val="single" w:sz="4" w:space="0" w:color="auto"/>
              <w:right w:val="single" w:sz="4" w:space="0" w:color="auto"/>
            </w:tcBorders>
            <w:shd w:val="clear" w:color="auto" w:fill="auto"/>
            <w:noWrap/>
            <w:vAlign w:val="bottom"/>
            <w:hideMark/>
          </w:tcPr>
          <w:p w14:paraId="0DBCC8CA"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31/12/2007</w:t>
            </w:r>
          </w:p>
        </w:tc>
        <w:tc>
          <w:tcPr>
            <w:tcW w:w="1160" w:type="dxa"/>
            <w:tcBorders>
              <w:top w:val="nil"/>
              <w:left w:val="nil"/>
              <w:bottom w:val="single" w:sz="4" w:space="0" w:color="auto"/>
              <w:right w:val="single" w:sz="4" w:space="0" w:color="auto"/>
            </w:tcBorders>
            <w:shd w:val="clear" w:color="auto" w:fill="auto"/>
            <w:noWrap/>
            <w:vAlign w:val="bottom"/>
            <w:hideMark/>
          </w:tcPr>
          <w:p w14:paraId="1E6F9AA4"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9,9</w:t>
            </w:r>
          </w:p>
        </w:tc>
        <w:tc>
          <w:tcPr>
            <w:tcW w:w="1260" w:type="dxa"/>
            <w:tcBorders>
              <w:top w:val="nil"/>
              <w:left w:val="nil"/>
              <w:bottom w:val="single" w:sz="4" w:space="0" w:color="auto"/>
              <w:right w:val="single" w:sz="4" w:space="0" w:color="auto"/>
            </w:tcBorders>
            <w:shd w:val="clear" w:color="auto" w:fill="auto"/>
            <w:noWrap/>
            <w:vAlign w:val="bottom"/>
            <w:hideMark/>
          </w:tcPr>
          <w:p w14:paraId="3A8C5454"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$ 433.700</w:t>
            </w:r>
          </w:p>
        </w:tc>
        <w:tc>
          <w:tcPr>
            <w:tcW w:w="1609" w:type="dxa"/>
            <w:tcBorders>
              <w:top w:val="nil"/>
              <w:left w:val="nil"/>
              <w:bottom w:val="single" w:sz="4" w:space="0" w:color="auto"/>
              <w:right w:val="single" w:sz="4" w:space="0" w:color="auto"/>
            </w:tcBorders>
            <w:shd w:val="clear" w:color="auto" w:fill="auto"/>
            <w:noWrap/>
            <w:vAlign w:val="bottom"/>
            <w:hideMark/>
          </w:tcPr>
          <w:p w14:paraId="348BF0AF"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$ 4.293.630</w:t>
            </w:r>
          </w:p>
        </w:tc>
        <w:tc>
          <w:tcPr>
            <w:tcW w:w="1274" w:type="dxa"/>
            <w:tcBorders>
              <w:top w:val="nil"/>
              <w:left w:val="nil"/>
              <w:bottom w:val="single" w:sz="4" w:space="0" w:color="auto"/>
              <w:right w:val="single" w:sz="4" w:space="0" w:color="auto"/>
            </w:tcBorders>
            <w:shd w:val="clear" w:color="auto" w:fill="auto"/>
            <w:noWrap/>
            <w:vAlign w:val="bottom"/>
            <w:hideMark/>
          </w:tcPr>
          <w:p w14:paraId="779D3F10"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$ 515.236</w:t>
            </w:r>
          </w:p>
        </w:tc>
        <w:tc>
          <w:tcPr>
            <w:tcW w:w="1406" w:type="dxa"/>
            <w:tcBorders>
              <w:top w:val="nil"/>
              <w:left w:val="nil"/>
              <w:bottom w:val="single" w:sz="4" w:space="0" w:color="auto"/>
              <w:right w:val="single" w:sz="4" w:space="0" w:color="auto"/>
            </w:tcBorders>
            <w:shd w:val="clear" w:color="auto" w:fill="auto"/>
            <w:noWrap/>
            <w:vAlign w:val="bottom"/>
            <w:hideMark/>
          </w:tcPr>
          <w:p w14:paraId="668952AE"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$ 3.778.394</w:t>
            </w:r>
          </w:p>
        </w:tc>
      </w:tr>
      <w:tr w:rsidR="00016C9A" w:rsidRPr="00D839A6" w14:paraId="21BBB529"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1FE30E9"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1/01/2008</w:t>
            </w:r>
          </w:p>
        </w:tc>
        <w:tc>
          <w:tcPr>
            <w:tcW w:w="1167" w:type="dxa"/>
            <w:tcBorders>
              <w:top w:val="nil"/>
              <w:left w:val="nil"/>
              <w:bottom w:val="single" w:sz="4" w:space="0" w:color="auto"/>
              <w:right w:val="single" w:sz="4" w:space="0" w:color="auto"/>
            </w:tcBorders>
            <w:shd w:val="clear" w:color="auto" w:fill="auto"/>
            <w:noWrap/>
            <w:vAlign w:val="bottom"/>
            <w:hideMark/>
          </w:tcPr>
          <w:p w14:paraId="1FA732D6"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31/12/2008</w:t>
            </w:r>
          </w:p>
        </w:tc>
        <w:tc>
          <w:tcPr>
            <w:tcW w:w="1160" w:type="dxa"/>
            <w:tcBorders>
              <w:top w:val="nil"/>
              <w:left w:val="nil"/>
              <w:bottom w:val="single" w:sz="4" w:space="0" w:color="auto"/>
              <w:right w:val="single" w:sz="4" w:space="0" w:color="auto"/>
            </w:tcBorders>
            <w:shd w:val="clear" w:color="auto" w:fill="auto"/>
            <w:noWrap/>
            <w:vAlign w:val="bottom"/>
            <w:hideMark/>
          </w:tcPr>
          <w:p w14:paraId="6C560D90"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3C5334A4"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$ 461.500</w:t>
            </w:r>
          </w:p>
        </w:tc>
        <w:tc>
          <w:tcPr>
            <w:tcW w:w="1609" w:type="dxa"/>
            <w:tcBorders>
              <w:top w:val="nil"/>
              <w:left w:val="nil"/>
              <w:bottom w:val="single" w:sz="4" w:space="0" w:color="auto"/>
              <w:right w:val="single" w:sz="4" w:space="0" w:color="auto"/>
            </w:tcBorders>
            <w:shd w:val="clear" w:color="auto" w:fill="auto"/>
            <w:noWrap/>
            <w:vAlign w:val="bottom"/>
            <w:hideMark/>
          </w:tcPr>
          <w:p w14:paraId="5F173DA2"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$ 6.461.000</w:t>
            </w:r>
          </w:p>
        </w:tc>
        <w:tc>
          <w:tcPr>
            <w:tcW w:w="1274" w:type="dxa"/>
            <w:tcBorders>
              <w:top w:val="nil"/>
              <w:left w:val="nil"/>
              <w:bottom w:val="single" w:sz="4" w:space="0" w:color="auto"/>
              <w:right w:val="single" w:sz="4" w:space="0" w:color="auto"/>
            </w:tcBorders>
            <w:shd w:val="clear" w:color="auto" w:fill="auto"/>
            <w:noWrap/>
            <w:vAlign w:val="bottom"/>
            <w:hideMark/>
          </w:tcPr>
          <w:p w14:paraId="19A469B0"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$ 775.320</w:t>
            </w:r>
          </w:p>
        </w:tc>
        <w:tc>
          <w:tcPr>
            <w:tcW w:w="1406" w:type="dxa"/>
            <w:tcBorders>
              <w:top w:val="nil"/>
              <w:left w:val="nil"/>
              <w:bottom w:val="single" w:sz="4" w:space="0" w:color="auto"/>
              <w:right w:val="single" w:sz="4" w:space="0" w:color="auto"/>
            </w:tcBorders>
            <w:shd w:val="clear" w:color="auto" w:fill="auto"/>
            <w:noWrap/>
            <w:vAlign w:val="bottom"/>
            <w:hideMark/>
          </w:tcPr>
          <w:p w14:paraId="537745C0"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$ 5.685.680</w:t>
            </w:r>
          </w:p>
        </w:tc>
      </w:tr>
      <w:tr w:rsidR="00016C9A" w:rsidRPr="00D839A6" w14:paraId="7DB5FD0E"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921BAA4"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1/01/2009</w:t>
            </w:r>
          </w:p>
        </w:tc>
        <w:tc>
          <w:tcPr>
            <w:tcW w:w="1167" w:type="dxa"/>
            <w:tcBorders>
              <w:top w:val="nil"/>
              <w:left w:val="nil"/>
              <w:bottom w:val="single" w:sz="4" w:space="0" w:color="auto"/>
              <w:right w:val="single" w:sz="4" w:space="0" w:color="auto"/>
            </w:tcBorders>
            <w:shd w:val="clear" w:color="auto" w:fill="auto"/>
            <w:noWrap/>
            <w:vAlign w:val="bottom"/>
            <w:hideMark/>
          </w:tcPr>
          <w:p w14:paraId="5E01E9C3"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31/12/2009</w:t>
            </w:r>
          </w:p>
        </w:tc>
        <w:tc>
          <w:tcPr>
            <w:tcW w:w="1160" w:type="dxa"/>
            <w:tcBorders>
              <w:top w:val="nil"/>
              <w:left w:val="nil"/>
              <w:bottom w:val="single" w:sz="4" w:space="0" w:color="auto"/>
              <w:right w:val="single" w:sz="4" w:space="0" w:color="auto"/>
            </w:tcBorders>
            <w:shd w:val="clear" w:color="auto" w:fill="auto"/>
            <w:noWrap/>
            <w:vAlign w:val="bottom"/>
            <w:hideMark/>
          </w:tcPr>
          <w:p w14:paraId="0A71C2EC"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494F8C7C"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$ 496.900</w:t>
            </w:r>
          </w:p>
        </w:tc>
        <w:tc>
          <w:tcPr>
            <w:tcW w:w="1609" w:type="dxa"/>
            <w:tcBorders>
              <w:top w:val="nil"/>
              <w:left w:val="nil"/>
              <w:bottom w:val="single" w:sz="4" w:space="0" w:color="auto"/>
              <w:right w:val="single" w:sz="4" w:space="0" w:color="auto"/>
            </w:tcBorders>
            <w:shd w:val="clear" w:color="auto" w:fill="auto"/>
            <w:noWrap/>
            <w:vAlign w:val="bottom"/>
            <w:hideMark/>
          </w:tcPr>
          <w:p w14:paraId="0BCD4618"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$ 6.956.600</w:t>
            </w:r>
          </w:p>
        </w:tc>
        <w:tc>
          <w:tcPr>
            <w:tcW w:w="1274" w:type="dxa"/>
            <w:tcBorders>
              <w:top w:val="nil"/>
              <w:left w:val="nil"/>
              <w:bottom w:val="single" w:sz="4" w:space="0" w:color="auto"/>
              <w:right w:val="single" w:sz="4" w:space="0" w:color="auto"/>
            </w:tcBorders>
            <w:shd w:val="clear" w:color="auto" w:fill="auto"/>
            <w:noWrap/>
            <w:vAlign w:val="bottom"/>
            <w:hideMark/>
          </w:tcPr>
          <w:p w14:paraId="5D06C069"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$ 834.792</w:t>
            </w:r>
          </w:p>
        </w:tc>
        <w:tc>
          <w:tcPr>
            <w:tcW w:w="1406" w:type="dxa"/>
            <w:tcBorders>
              <w:top w:val="nil"/>
              <w:left w:val="nil"/>
              <w:bottom w:val="single" w:sz="4" w:space="0" w:color="auto"/>
              <w:right w:val="single" w:sz="4" w:space="0" w:color="auto"/>
            </w:tcBorders>
            <w:shd w:val="clear" w:color="auto" w:fill="auto"/>
            <w:noWrap/>
            <w:vAlign w:val="bottom"/>
            <w:hideMark/>
          </w:tcPr>
          <w:p w14:paraId="6710771A"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$ 6.121.808</w:t>
            </w:r>
          </w:p>
        </w:tc>
      </w:tr>
      <w:tr w:rsidR="00016C9A" w:rsidRPr="00D839A6" w14:paraId="70CF69BE"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B9EF68"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1/01/2010</w:t>
            </w:r>
          </w:p>
        </w:tc>
        <w:tc>
          <w:tcPr>
            <w:tcW w:w="1167" w:type="dxa"/>
            <w:tcBorders>
              <w:top w:val="nil"/>
              <w:left w:val="nil"/>
              <w:bottom w:val="single" w:sz="4" w:space="0" w:color="auto"/>
              <w:right w:val="single" w:sz="4" w:space="0" w:color="auto"/>
            </w:tcBorders>
            <w:shd w:val="clear" w:color="auto" w:fill="auto"/>
            <w:noWrap/>
            <w:vAlign w:val="bottom"/>
            <w:hideMark/>
          </w:tcPr>
          <w:p w14:paraId="7D224337"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31/12/2010</w:t>
            </w:r>
          </w:p>
        </w:tc>
        <w:tc>
          <w:tcPr>
            <w:tcW w:w="1160" w:type="dxa"/>
            <w:tcBorders>
              <w:top w:val="nil"/>
              <w:left w:val="nil"/>
              <w:bottom w:val="single" w:sz="4" w:space="0" w:color="auto"/>
              <w:right w:val="single" w:sz="4" w:space="0" w:color="auto"/>
            </w:tcBorders>
            <w:shd w:val="clear" w:color="auto" w:fill="auto"/>
            <w:noWrap/>
            <w:vAlign w:val="bottom"/>
            <w:hideMark/>
          </w:tcPr>
          <w:p w14:paraId="26799E67"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22BE8DFE"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$ 515.000</w:t>
            </w:r>
          </w:p>
        </w:tc>
        <w:tc>
          <w:tcPr>
            <w:tcW w:w="1609" w:type="dxa"/>
            <w:tcBorders>
              <w:top w:val="nil"/>
              <w:left w:val="nil"/>
              <w:bottom w:val="single" w:sz="4" w:space="0" w:color="auto"/>
              <w:right w:val="single" w:sz="4" w:space="0" w:color="auto"/>
            </w:tcBorders>
            <w:shd w:val="clear" w:color="auto" w:fill="auto"/>
            <w:noWrap/>
            <w:vAlign w:val="bottom"/>
            <w:hideMark/>
          </w:tcPr>
          <w:p w14:paraId="035A0213"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$ 7.210.000</w:t>
            </w:r>
          </w:p>
        </w:tc>
        <w:tc>
          <w:tcPr>
            <w:tcW w:w="1274" w:type="dxa"/>
            <w:tcBorders>
              <w:top w:val="nil"/>
              <w:left w:val="nil"/>
              <w:bottom w:val="single" w:sz="4" w:space="0" w:color="auto"/>
              <w:right w:val="single" w:sz="4" w:space="0" w:color="auto"/>
            </w:tcBorders>
            <w:shd w:val="clear" w:color="auto" w:fill="auto"/>
            <w:noWrap/>
            <w:vAlign w:val="bottom"/>
            <w:hideMark/>
          </w:tcPr>
          <w:p w14:paraId="2F0E3A3E"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$ 865.200</w:t>
            </w:r>
          </w:p>
        </w:tc>
        <w:tc>
          <w:tcPr>
            <w:tcW w:w="1406" w:type="dxa"/>
            <w:tcBorders>
              <w:top w:val="nil"/>
              <w:left w:val="nil"/>
              <w:bottom w:val="single" w:sz="4" w:space="0" w:color="auto"/>
              <w:right w:val="single" w:sz="4" w:space="0" w:color="auto"/>
            </w:tcBorders>
            <w:shd w:val="clear" w:color="auto" w:fill="auto"/>
            <w:noWrap/>
            <w:vAlign w:val="bottom"/>
            <w:hideMark/>
          </w:tcPr>
          <w:p w14:paraId="4FDD1DDC"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$ 6.344.800</w:t>
            </w:r>
          </w:p>
        </w:tc>
      </w:tr>
      <w:tr w:rsidR="00016C9A" w:rsidRPr="00D839A6" w14:paraId="7E8F68EF"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018A2A5"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1/01/2011</w:t>
            </w:r>
          </w:p>
        </w:tc>
        <w:tc>
          <w:tcPr>
            <w:tcW w:w="1167" w:type="dxa"/>
            <w:tcBorders>
              <w:top w:val="nil"/>
              <w:left w:val="nil"/>
              <w:bottom w:val="single" w:sz="4" w:space="0" w:color="auto"/>
              <w:right w:val="single" w:sz="4" w:space="0" w:color="auto"/>
            </w:tcBorders>
            <w:shd w:val="clear" w:color="auto" w:fill="auto"/>
            <w:noWrap/>
            <w:vAlign w:val="bottom"/>
            <w:hideMark/>
          </w:tcPr>
          <w:p w14:paraId="2C248143"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31/12/2011</w:t>
            </w:r>
          </w:p>
        </w:tc>
        <w:tc>
          <w:tcPr>
            <w:tcW w:w="1160" w:type="dxa"/>
            <w:tcBorders>
              <w:top w:val="nil"/>
              <w:left w:val="nil"/>
              <w:bottom w:val="single" w:sz="4" w:space="0" w:color="auto"/>
              <w:right w:val="single" w:sz="4" w:space="0" w:color="auto"/>
            </w:tcBorders>
            <w:shd w:val="clear" w:color="auto" w:fill="auto"/>
            <w:noWrap/>
            <w:vAlign w:val="bottom"/>
            <w:hideMark/>
          </w:tcPr>
          <w:p w14:paraId="0F7FC1B5"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3336F27B"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$ 535.600</w:t>
            </w:r>
          </w:p>
        </w:tc>
        <w:tc>
          <w:tcPr>
            <w:tcW w:w="1609" w:type="dxa"/>
            <w:tcBorders>
              <w:top w:val="nil"/>
              <w:left w:val="nil"/>
              <w:bottom w:val="single" w:sz="4" w:space="0" w:color="auto"/>
              <w:right w:val="single" w:sz="4" w:space="0" w:color="auto"/>
            </w:tcBorders>
            <w:shd w:val="clear" w:color="auto" w:fill="auto"/>
            <w:noWrap/>
            <w:vAlign w:val="bottom"/>
            <w:hideMark/>
          </w:tcPr>
          <w:p w14:paraId="5E011539"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$ 7.498.400</w:t>
            </w:r>
          </w:p>
        </w:tc>
        <w:tc>
          <w:tcPr>
            <w:tcW w:w="1274" w:type="dxa"/>
            <w:tcBorders>
              <w:top w:val="nil"/>
              <w:left w:val="nil"/>
              <w:bottom w:val="single" w:sz="4" w:space="0" w:color="auto"/>
              <w:right w:val="single" w:sz="4" w:space="0" w:color="auto"/>
            </w:tcBorders>
            <w:shd w:val="clear" w:color="auto" w:fill="auto"/>
            <w:noWrap/>
            <w:vAlign w:val="bottom"/>
            <w:hideMark/>
          </w:tcPr>
          <w:p w14:paraId="6A9822EA"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$ 899.808</w:t>
            </w:r>
          </w:p>
        </w:tc>
        <w:tc>
          <w:tcPr>
            <w:tcW w:w="1406" w:type="dxa"/>
            <w:tcBorders>
              <w:top w:val="nil"/>
              <w:left w:val="nil"/>
              <w:bottom w:val="single" w:sz="4" w:space="0" w:color="auto"/>
              <w:right w:val="single" w:sz="4" w:space="0" w:color="auto"/>
            </w:tcBorders>
            <w:shd w:val="clear" w:color="auto" w:fill="auto"/>
            <w:noWrap/>
            <w:vAlign w:val="bottom"/>
            <w:hideMark/>
          </w:tcPr>
          <w:p w14:paraId="69806AD5"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$ 6.598.592</w:t>
            </w:r>
          </w:p>
        </w:tc>
      </w:tr>
      <w:tr w:rsidR="00016C9A" w:rsidRPr="00D839A6" w14:paraId="4B74380A"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EB986D1"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1/01/2012</w:t>
            </w:r>
          </w:p>
        </w:tc>
        <w:tc>
          <w:tcPr>
            <w:tcW w:w="1167" w:type="dxa"/>
            <w:tcBorders>
              <w:top w:val="nil"/>
              <w:left w:val="nil"/>
              <w:bottom w:val="single" w:sz="4" w:space="0" w:color="auto"/>
              <w:right w:val="single" w:sz="4" w:space="0" w:color="auto"/>
            </w:tcBorders>
            <w:shd w:val="clear" w:color="auto" w:fill="auto"/>
            <w:noWrap/>
            <w:vAlign w:val="bottom"/>
            <w:hideMark/>
          </w:tcPr>
          <w:p w14:paraId="0E75F2A5"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31/12/2012</w:t>
            </w:r>
          </w:p>
        </w:tc>
        <w:tc>
          <w:tcPr>
            <w:tcW w:w="1160" w:type="dxa"/>
            <w:tcBorders>
              <w:top w:val="nil"/>
              <w:left w:val="nil"/>
              <w:bottom w:val="single" w:sz="4" w:space="0" w:color="auto"/>
              <w:right w:val="single" w:sz="4" w:space="0" w:color="auto"/>
            </w:tcBorders>
            <w:shd w:val="clear" w:color="auto" w:fill="auto"/>
            <w:noWrap/>
            <w:vAlign w:val="bottom"/>
            <w:hideMark/>
          </w:tcPr>
          <w:p w14:paraId="5DEA5AF0"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02AF8F78"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$ 566.700</w:t>
            </w:r>
          </w:p>
        </w:tc>
        <w:tc>
          <w:tcPr>
            <w:tcW w:w="1609" w:type="dxa"/>
            <w:tcBorders>
              <w:top w:val="nil"/>
              <w:left w:val="nil"/>
              <w:bottom w:val="single" w:sz="4" w:space="0" w:color="auto"/>
              <w:right w:val="single" w:sz="4" w:space="0" w:color="auto"/>
            </w:tcBorders>
            <w:shd w:val="clear" w:color="auto" w:fill="auto"/>
            <w:noWrap/>
            <w:vAlign w:val="bottom"/>
            <w:hideMark/>
          </w:tcPr>
          <w:p w14:paraId="241F9FC0"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$ 7.933.800</w:t>
            </w:r>
          </w:p>
        </w:tc>
        <w:tc>
          <w:tcPr>
            <w:tcW w:w="1274" w:type="dxa"/>
            <w:tcBorders>
              <w:top w:val="nil"/>
              <w:left w:val="nil"/>
              <w:bottom w:val="single" w:sz="4" w:space="0" w:color="auto"/>
              <w:right w:val="single" w:sz="4" w:space="0" w:color="auto"/>
            </w:tcBorders>
            <w:shd w:val="clear" w:color="auto" w:fill="auto"/>
            <w:noWrap/>
            <w:vAlign w:val="bottom"/>
            <w:hideMark/>
          </w:tcPr>
          <w:p w14:paraId="6C404238"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$ 952.056</w:t>
            </w:r>
          </w:p>
        </w:tc>
        <w:tc>
          <w:tcPr>
            <w:tcW w:w="1406" w:type="dxa"/>
            <w:tcBorders>
              <w:top w:val="nil"/>
              <w:left w:val="nil"/>
              <w:bottom w:val="single" w:sz="4" w:space="0" w:color="auto"/>
              <w:right w:val="single" w:sz="4" w:space="0" w:color="auto"/>
            </w:tcBorders>
            <w:shd w:val="clear" w:color="auto" w:fill="auto"/>
            <w:noWrap/>
            <w:vAlign w:val="bottom"/>
            <w:hideMark/>
          </w:tcPr>
          <w:p w14:paraId="78395B65"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$ 6.981.744</w:t>
            </w:r>
          </w:p>
        </w:tc>
      </w:tr>
      <w:tr w:rsidR="00016C9A" w:rsidRPr="00D839A6" w14:paraId="1F3E4632"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496A555"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1/01/2013</w:t>
            </w:r>
          </w:p>
        </w:tc>
        <w:tc>
          <w:tcPr>
            <w:tcW w:w="1167" w:type="dxa"/>
            <w:tcBorders>
              <w:top w:val="nil"/>
              <w:left w:val="nil"/>
              <w:bottom w:val="single" w:sz="4" w:space="0" w:color="auto"/>
              <w:right w:val="single" w:sz="4" w:space="0" w:color="auto"/>
            </w:tcBorders>
            <w:shd w:val="clear" w:color="auto" w:fill="auto"/>
            <w:noWrap/>
            <w:vAlign w:val="bottom"/>
            <w:hideMark/>
          </w:tcPr>
          <w:p w14:paraId="62519594"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31/12/2013</w:t>
            </w:r>
          </w:p>
        </w:tc>
        <w:tc>
          <w:tcPr>
            <w:tcW w:w="1160" w:type="dxa"/>
            <w:tcBorders>
              <w:top w:val="nil"/>
              <w:left w:val="nil"/>
              <w:bottom w:val="single" w:sz="4" w:space="0" w:color="auto"/>
              <w:right w:val="single" w:sz="4" w:space="0" w:color="auto"/>
            </w:tcBorders>
            <w:shd w:val="clear" w:color="auto" w:fill="auto"/>
            <w:noWrap/>
            <w:vAlign w:val="bottom"/>
            <w:hideMark/>
          </w:tcPr>
          <w:p w14:paraId="6EE43796"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44357A1E"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$ 589.500</w:t>
            </w:r>
          </w:p>
        </w:tc>
        <w:tc>
          <w:tcPr>
            <w:tcW w:w="1609" w:type="dxa"/>
            <w:tcBorders>
              <w:top w:val="nil"/>
              <w:left w:val="nil"/>
              <w:bottom w:val="single" w:sz="4" w:space="0" w:color="auto"/>
              <w:right w:val="single" w:sz="4" w:space="0" w:color="auto"/>
            </w:tcBorders>
            <w:shd w:val="clear" w:color="auto" w:fill="auto"/>
            <w:noWrap/>
            <w:vAlign w:val="bottom"/>
            <w:hideMark/>
          </w:tcPr>
          <w:p w14:paraId="529A97DB"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$ 8.253.000</w:t>
            </w:r>
          </w:p>
        </w:tc>
        <w:tc>
          <w:tcPr>
            <w:tcW w:w="1274" w:type="dxa"/>
            <w:tcBorders>
              <w:top w:val="nil"/>
              <w:left w:val="nil"/>
              <w:bottom w:val="single" w:sz="4" w:space="0" w:color="auto"/>
              <w:right w:val="single" w:sz="4" w:space="0" w:color="auto"/>
            </w:tcBorders>
            <w:shd w:val="clear" w:color="auto" w:fill="auto"/>
            <w:noWrap/>
            <w:vAlign w:val="bottom"/>
            <w:hideMark/>
          </w:tcPr>
          <w:p w14:paraId="0FC086ED"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$ 990.360</w:t>
            </w:r>
          </w:p>
        </w:tc>
        <w:tc>
          <w:tcPr>
            <w:tcW w:w="1406" w:type="dxa"/>
            <w:tcBorders>
              <w:top w:val="nil"/>
              <w:left w:val="nil"/>
              <w:bottom w:val="single" w:sz="4" w:space="0" w:color="auto"/>
              <w:right w:val="single" w:sz="4" w:space="0" w:color="auto"/>
            </w:tcBorders>
            <w:shd w:val="clear" w:color="auto" w:fill="auto"/>
            <w:noWrap/>
            <w:vAlign w:val="bottom"/>
            <w:hideMark/>
          </w:tcPr>
          <w:p w14:paraId="6804E7D2"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$ 7.262.640</w:t>
            </w:r>
          </w:p>
        </w:tc>
      </w:tr>
      <w:tr w:rsidR="00016C9A" w:rsidRPr="00D839A6" w14:paraId="5B24ABB7"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317BD03"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1/01/2014</w:t>
            </w:r>
          </w:p>
        </w:tc>
        <w:tc>
          <w:tcPr>
            <w:tcW w:w="1167" w:type="dxa"/>
            <w:tcBorders>
              <w:top w:val="nil"/>
              <w:left w:val="nil"/>
              <w:bottom w:val="single" w:sz="4" w:space="0" w:color="auto"/>
              <w:right w:val="single" w:sz="4" w:space="0" w:color="auto"/>
            </w:tcBorders>
            <w:shd w:val="clear" w:color="auto" w:fill="auto"/>
            <w:noWrap/>
            <w:vAlign w:val="bottom"/>
            <w:hideMark/>
          </w:tcPr>
          <w:p w14:paraId="30BAF58E"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31/12/2014</w:t>
            </w:r>
          </w:p>
        </w:tc>
        <w:tc>
          <w:tcPr>
            <w:tcW w:w="1160" w:type="dxa"/>
            <w:tcBorders>
              <w:top w:val="nil"/>
              <w:left w:val="nil"/>
              <w:bottom w:val="single" w:sz="4" w:space="0" w:color="auto"/>
              <w:right w:val="single" w:sz="4" w:space="0" w:color="auto"/>
            </w:tcBorders>
            <w:shd w:val="clear" w:color="auto" w:fill="auto"/>
            <w:noWrap/>
            <w:vAlign w:val="bottom"/>
            <w:hideMark/>
          </w:tcPr>
          <w:p w14:paraId="0F6B1DC8"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1B62494A"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$ 616.000</w:t>
            </w:r>
          </w:p>
        </w:tc>
        <w:tc>
          <w:tcPr>
            <w:tcW w:w="1609" w:type="dxa"/>
            <w:tcBorders>
              <w:top w:val="nil"/>
              <w:left w:val="nil"/>
              <w:bottom w:val="single" w:sz="4" w:space="0" w:color="auto"/>
              <w:right w:val="single" w:sz="4" w:space="0" w:color="auto"/>
            </w:tcBorders>
            <w:shd w:val="clear" w:color="auto" w:fill="auto"/>
            <w:noWrap/>
            <w:vAlign w:val="bottom"/>
            <w:hideMark/>
          </w:tcPr>
          <w:p w14:paraId="24A2683D"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$ 8.624.000</w:t>
            </w:r>
          </w:p>
        </w:tc>
        <w:tc>
          <w:tcPr>
            <w:tcW w:w="1274" w:type="dxa"/>
            <w:tcBorders>
              <w:top w:val="nil"/>
              <w:left w:val="nil"/>
              <w:bottom w:val="single" w:sz="4" w:space="0" w:color="auto"/>
              <w:right w:val="single" w:sz="4" w:space="0" w:color="auto"/>
            </w:tcBorders>
            <w:shd w:val="clear" w:color="auto" w:fill="auto"/>
            <w:noWrap/>
            <w:vAlign w:val="bottom"/>
            <w:hideMark/>
          </w:tcPr>
          <w:p w14:paraId="0585A329"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$ 1.034.880</w:t>
            </w:r>
          </w:p>
        </w:tc>
        <w:tc>
          <w:tcPr>
            <w:tcW w:w="1406" w:type="dxa"/>
            <w:tcBorders>
              <w:top w:val="nil"/>
              <w:left w:val="nil"/>
              <w:bottom w:val="single" w:sz="4" w:space="0" w:color="auto"/>
              <w:right w:val="single" w:sz="4" w:space="0" w:color="auto"/>
            </w:tcBorders>
            <w:shd w:val="clear" w:color="auto" w:fill="auto"/>
            <w:noWrap/>
            <w:vAlign w:val="bottom"/>
            <w:hideMark/>
          </w:tcPr>
          <w:p w14:paraId="72D11BCE"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$ 7.589.120</w:t>
            </w:r>
          </w:p>
        </w:tc>
      </w:tr>
      <w:tr w:rsidR="00016C9A" w:rsidRPr="00D839A6" w14:paraId="772ED4FA"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8DC6B51"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1/01/2015</w:t>
            </w:r>
          </w:p>
        </w:tc>
        <w:tc>
          <w:tcPr>
            <w:tcW w:w="1167" w:type="dxa"/>
            <w:tcBorders>
              <w:top w:val="nil"/>
              <w:left w:val="nil"/>
              <w:bottom w:val="single" w:sz="4" w:space="0" w:color="auto"/>
              <w:right w:val="single" w:sz="4" w:space="0" w:color="auto"/>
            </w:tcBorders>
            <w:shd w:val="clear" w:color="auto" w:fill="auto"/>
            <w:noWrap/>
            <w:vAlign w:val="bottom"/>
            <w:hideMark/>
          </w:tcPr>
          <w:p w14:paraId="2B0DC21E"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31/12/2015</w:t>
            </w:r>
          </w:p>
        </w:tc>
        <w:tc>
          <w:tcPr>
            <w:tcW w:w="1160" w:type="dxa"/>
            <w:tcBorders>
              <w:top w:val="nil"/>
              <w:left w:val="nil"/>
              <w:bottom w:val="single" w:sz="4" w:space="0" w:color="auto"/>
              <w:right w:val="single" w:sz="4" w:space="0" w:color="auto"/>
            </w:tcBorders>
            <w:shd w:val="clear" w:color="auto" w:fill="auto"/>
            <w:noWrap/>
            <w:vAlign w:val="bottom"/>
            <w:hideMark/>
          </w:tcPr>
          <w:p w14:paraId="49DCBB82"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3412566D"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$ 644.350</w:t>
            </w:r>
          </w:p>
        </w:tc>
        <w:tc>
          <w:tcPr>
            <w:tcW w:w="1609" w:type="dxa"/>
            <w:tcBorders>
              <w:top w:val="nil"/>
              <w:left w:val="nil"/>
              <w:bottom w:val="single" w:sz="4" w:space="0" w:color="auto"/>
              <w:right w:val="single" w:sz="4" w:space="0" w:color="auto"/>
            </w:tcBorders>
            <w:shd w:val="clear" w:color="auto" w:fill="auto"/>
            <w:noWrap/>
            <w:vAlign w:val="bottom"/>
            <w:hideMark/>
          </w:tcPr>
          <w:p w14:paraId="3E8A522A"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$ 9.020.900</w:t>
            </w:r>
          </w:p>
        </w:tc>
        <w:tc>
          <w:tcPr>
            <w:tcW w:w="1274" w:type="dxa"/>
            <w:tcBorders>
              <w:top w:val="nil"/>
              <w:left w:val="nil"/>
              <w:bottom w:val="single" w:sz="4" w:space="0" w:color="auto"/>
              <w:right w:val="single" w:sz="4" w:space="0" w:color="auto"/>
            </w:tcBorders>
            <w:shd w:val="clear" w:color="auto" w:fill="auto"/>
            <w:noWrap/>
            <w:vAlign w:val="bottom"/>
            <w:hideMark/>
          </w:tcPr>
          <w:p w14:paraId="5B7EE26F"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$ 1.082.508</w:t>
            </w:r>
          </w:p>
        </w:tc>
        <w:tc>
          <w:tcPr>
            <w:tcW w:w="1406" w:type="dxa"/>
            <w:tcBorders>
              <w:top w:val="nil"/>
              <w:left w:val="nil"/>
              <w:bottom w:val="single" w:sz="4" w:space="0" w:color="auto"/>
              <w:right w:val="single" w:sz="4" w:space="0" w:color="auto"/>
            </w:tcBorders>
            <w:shd w:val="clear" w:color="auto" w:fill="auto"/>
            <w:noWrap/>
            <w:vAlign w:val="bottom"/>
            <w:hideMark/>
          </w:tcPr>
          <w:p w14:paraId="2DC1999D"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$ 7.938.392</w:t>
            </w:r>
          </w:p>
        </w:tc>
      </w:tr>
      <w:tr w:rsidR="00016C9A" w:rsidRPr="00D839A6" w14:paraId="50AF1535"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AAD7CD2"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1/01/2016</w:t>
            </w:r>
          </w:p>
        </w:tc>
        <w:tc>
          <w:tcPr>
            <w:tcW w:w="1167" w:type="dxa"/>
            <w:tcBorders>
              <w:top w:val="nil"/>
              <w:left w:val="nil"/>
              <w:bottom w:val="single" w:sz="4" w:space="0" w:color="auto"/>
              <w:right w:val="single" w:sz="4" w:space="0" w:color="auto"/>
            </w:tcBorders>
            <w:shd w:val="clear" w:color="auto" w:fill="auto"/>
            <w:noWrap/>
            <w:vAlign w:val="bottom"/>
            <w:hideMark/>
          </w:tcPr>
          <w:p w14:paraId="4C9A63D2"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31/12/2016</w:t>
            </w:r>
          </w:p>
        </w:tc>
        <w:tc>
          <w:tcPr>
            <w:tcW w:w="1160" w:type="dxa"/>
            <w:tcBorders>
              <w:top w:val="nil"/>
              <w:left w:val="nil"/>
              <w:bottom w:val="single" w:sz="4" w:space="0" w:color="auto"/>
              <w:right w:val="single" w:sz="4" w:space="0" w:color="auto"/>
            </w:tcBorders>
            <w:shd w:val="clear" w:color="auto" w:fill="auto"/>
            <w:noWrap/>
            <w:vAlign w:val="bottom"/>
            <w:hideMark/>
          </w:tcPr>
          <w:p w14:paraId="59F45FD5"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0F0D417A"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$ 689.455</w:t>
            </w:r>
          </w:p>
        </w:tc>
        <w:tc>
          <w:tcPr>
            <w:tcW w:w="1609" w:type="dxa"/>
            <w:tcBorders>
              <w:top w:val="nil"/>
              <w:left w:val="nil"/>
              <w:bottom w:val="single" w:sz="4" w:space="0" w:color="auto"/>
              <w:right w:val="single" w:sz="4" w:space="0" w:color="auto"/>
            </w:tcBorders>
            <w:shd w:val="clear" w:color="auto" w:fill="auto"/>
            <w:noWrap/>
            <w:vAlign w:val="bottom"/>
            <w:hideMark/>
          </w:tcPr>
          <w:p w14:paraId="0A95A9A9"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$ 9.652.370</w:t>
            </w:r>
          </w:p>
        </w:tc>
        <w:tc>
          <w:tcPr>
            <w:tcW w:w="1274" w:type="dxa"/>
            <w:tcBorders>
              <w:top w:val="nil"/>
              <w:left w:val="nil"/>
              <w:bottom w:val="single" w:sz="4" w:space="0" w:color="auto"/>
              <w:right w:val="single" w:sz="4" w:space="0" w:color="auto"/>
            </w:tcBorders>
            <w:shd w:val="clear" w:color="auto" w:fill="auto"/>
            <w:noWrap/>
            <w:vAlign w:val="bottom"/>
            <w:hideMark/>
          </w:tcPr>
          <w:p w14:paraId="2A9A5EAF"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$ 1.158.284</w:t>
            </w:r>
          </w:p>
        </w:tc>
        <w:tc>
          <w:tcPr>
            <w:tcW w:w="1406" w:type="dxa"/>
            <w:tcBorders>
              <w:top w:val="nil"/>
              <w:left w:val="nil"/>
              <w:bottom w:val="single" w:sz="4" w:space="0" w:color="auto"/>
              <w:right w:val="single" w:sz="4" w:space="0" w:color="auto"/>
            </w:tcBorders>
            <w:shd w:val="clear" w:color="auto" w:fill="auto"/>
            <w:noWrap/>
            <w:vAlign w:val="bottom"/>
            <w:hideMark/>
          </w:tcPr>
          <w:p w14:paraId="7F2F3271"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$ 8.494.086</w:t>
            </w:r>
          </w:p>
        </w:tc>
      </w:tr>
      <w:tr w:rsidR="00016C9A" w:rsidRPr="00D839A6" w14:paraId="25CF1C09"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7CD6B57"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1/01/2017</w:t>
            </w:r>
          </w:p>
        </w:tc>
        <w:tc>
          <w:tcPr>
            <w:tcW w:w="1167" w:type="dxa"/>
            <w:tcBorders>
              <w:top w:val="nil"/>
              <w:left w:val="nil"/>
              <w:bottom w:val="single" w:sz="4" w:space="0" w:color="auto"/>
              <w:right w:val="single" w:sz="4" w:space="0" w:color="auto"/>
            </w:tcBorders>
            <w:shd w:val="clear" w:color="auto" w:fill="auto"/>
            <w:noWrap/>
            <w:vAlign w:val="bottom"/>
            <w:hideMark/>
          </w:tcPr>
          <w:p w14:paraId="4E9BE7AF"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31/12/2017</w:t>
            </w:r>
          </w:p>
        </w:tc>
        <w:tc>
          <w:tcPr>
            <w:tcW w:w="1160" w:type="dxa"/>
            <w:tcBorders>
              <w:top w:val="nil"/>
              <w:left w:val="nil"/>
              <w:bottom w:val="single" w:sz="4" w:space="0" w:color="auto"/>
              <w:right w:val="single" w:sz="4" w:space="0" w:color="auto"/>
            </w:tcBorders>
            <w:shd w:val="clear" w:color="auto" w:fill="auto"/>
            <w:noWrap/>
            <w:vAlign w:val="bottom"/>
            <w:hideMark/>
          </w:tcPr>
          <w:p w14:paraId="4E1400CF"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706FF60A"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$ 737.717</w:t>
            </w:r>
          </w:p>
        </w:tc>
        <w:tc>
          <w:tcPr>
            <w:tcW w:w="1609" w:type="dxa"/>
            <w:tcBorders>
              <w:top w:val="nil"/>
              <w:left w:val="nil"/>
              <w:bottom w:val="single" w:sz="4" w:space="0" w:color="auto"/>
              <w:right w:val="single" w:sz="4" w:space="0" w:color="auto"/>
            </w:tcBorders>
            <w:shd w:val="clear" w:color="auto" w:fill="auto"/>
            <w:noWrap/>
            <w:vAlign w:val="bottom"/>
            <w:hideMark/>
          </w:tcPr>
          <w:p w14:paraId="123ECC9B"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$ 10.328.038</w:t>
            </w:r>
          </w:p>
        </w:tc>
        <w:tc>
          <w:tcPr>
            <w:tcW w:w="1274" w:type="dxa"/>
            <w:tcBorders>
              <w:top w:val="nil"/>
              <w:left w:val="nil"/>
              <w:bottom w:val="single" w:sz="4" w:space="0" w:color="auto"/>
              <w:right w:val="single" w:sz="4" w:space="0" w:color="auto"/>
            </w:tcBorders>
            <w:shd w:val="clear" w:color="auto" w:fill="auto"/>
            <w:noWrap/>
            <w:vAlign w:val="bottom"/>
            <w:hideMark/>
          </w:tcPr>
          <w:p w14:paraId="0E3C0A3D"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$ 1.239.365</w:t>
            </w:r>
          </w:p>
        </w:tc>
        <w:tc>
          <w:tcPr>
            <w:tcW w:w="1406" w:type="dxa"/>
            <w:tcBorders>
              <w:top w:val="nil"/>
              <w:left w:val="nil"/>
              <w:bottom w:val="single" w:sz="4" w:space="0" w:color="auto"/>
              <w:right w:val="single" w:sz="4" w:space="0" w:color="auto"/>
            </w:tcBorders>
            <w:shd w:val="clear" w:color="auto" w:fill="auto"/>
            <w:noWrap/>
            <w:vAlign w:val="bottom"/>
            <w:hideMark/>
          </w:tcPr>
          <w:p w14:paraId="306174EB"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$ 9.088.673</w:t>
            </w:r>
          </w:p>
        </w:tc>
      </w:tr>
      <w:tr w:rsidR="00016C9A" w:rsidRPr="00D839A6" w14:paraId="76A60318"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57355BF"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1/01/2018</w:t>
            </w:r>
          </w:p>
        </w:tc>
        <w:tc>
          <w:tcPr>
            <w:tcW w:w="1167" w:type="dxa"/>
            <w:tcBorders>
              <w:top w:val="nil"/>
              <w:left w:val="nil"/>
              <w:bottom w:val="single" w:sz="4" w:space="0" w:color="auto"/>
              <w:right w:val="single" w:sz="4" w:space="0" w:color="auto"/>
            </w:tcBorders>
            <w:shd w:val="clear" w:color="auto" w:fill="auto"/>
            <w:noWrap/>
            <w:vAlign w:val="bottom"/>
            <w:hideMark/>
          </w:tcPr>
          <w:p w14:paraId="04AD3703"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31/12/2018</w:t>
            </w:r>
          </w:p>
        </w:tc>
        <w:tc>
          <w:tcPr>
            <w:tcW w:w="1160" w:type="dxa"/>
            <w:tcBorders>
              <w:top w:val="nil"/>
              <w:left w:val="nil"/>
              <w:bottom w:val="single" w:sz="4" w:space="0" w:color="auto"/>
              <w:right w:val="single" w:sz="4" w:space="0" w:color="auto"/>
            </w:tcBorders>
            <w:shd w:val="clear" w:color="auto" w:fill="auto"/>
            <w:noWrap/>
            <w:vAlign w:val="bottom"/>
            <w:hideMark/>
          </w:tcPr>
          <w:p w14:paraId="04243187"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7B8CCDCC"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$ 781.242</w:t>
            </w:r>
          </w:p>
        </w:tc>
        <w:tc>
          <w:tcPr>
            <w:tcW w:w="1609" w:type="dxa"/>
            <w:tcBorders>
              <w:top w:val="nil"/>
              <w:left w:val="nil"/>
              <w:bottom w:val="single" w:sz="4" w:space="0" w:color="auto"/>
              <w:right w:val="single" w:sz="4" w:space="0" w:color="auto"/>
            </w:tcBorders>
            <w:shd w:val="clear" w:color="auto" w:fill="auto"/>
            <w:noWrap/>
            <w:vAlign w:val="bottom"/>
            <w:hideMark/>
          </w:tcPr>
          <w:p w14:paraId="63C00F6E"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$ 10.937.388</w:t>
            </w:r>
          </w:p>
        </w:tc>
        <w:tc>
          <w:tcPr>
            <w:tcW w:w="1274" w:type="dxa"/>
            <w:tcBorders>
              <w:top w:val="nil"/>
              <w:left w:val="nil"/>
              <w:bottom w:val="single" w:sz="4" w:space="0" w:color="auto"/>
              <w:right w:val="single" w:sz="4" w:space="0" w:color="auto"/>
            </w:tcBorders>
            <w:shd w:val="clear" w:color="auto" w:fill="auto"/>
            <w:noWrap/>
            <w:vAlign w:val="bottom"/>
            <w:hideMark/>
          </w:tcPr>
          <w:p w14:paraId="5A1CE6C5"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$ 1.312.487</w:t>
            </w:r>
          </w:p>
        </w:tc>
        <w:tc>
          <w:tcPr>
            <w:tcW w:w="1406" w:type="dxa"/>
            <w:tcBorders>
              <w:top w:val="nil"/>
              <w:left w:val="nil"/>
              <w:bottom w:val="single" w:sz="4" w:space="0" w:color="auto"/>
              <w:right w:val="single" w:sz="4" w:space="0" w:color="auto"/>
            </w:tcBorders>
            <w:shd w:val="clear" w:color="auto" w:fill="auto"/>
            <w:noWrap/>
            <w:vAlign w:val="bottom"/>
            <w:hideMark/>
          </w:tcPr>
          <w:p w14:paraId="21CDFE6B"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$ 9.624.901</w:t>
            </w:r>
          </w:p>
        </w:tc>
      </w:tr>
      <w:tr w:rsidR="00016C9A" w:rsidRPr="00D839A6" w14:paraId="29FF5060"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9D1A0B6"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1/01/2019</w:t>
            </w:r>
          </w:p>
        </w:tc>
        <w:tc>
          <w:tcPr>
            <w:tcW w:w="1167" w:type="dxa"/>
            <w:tcBorders>
              <w:top w:val="nil"/>
              <w:left w:val="nil"/>
              <w:bottom w:val="single" w:sz="4" w:space="0" w:color="auto"/>
              <w:right w:val="single" w:sz="4" w:space="0" w:color="auto"/>
            </w:tcBorders>
            <w:shd w:val="clear" w:color="auto" w:fill="auto"/>
            <w:noWrap/>
            <w:vAlign w:val="bottom"/>
            <w:hideMark/>
          </w:tcPr>
          <w:p w14:paraId="5A0F3CA8"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31/12/2019</w:t>
            </w:r>
          </w:p>
        </w:tc>
        <w:tc>
          <w:tcPr>
            <w:tcW w:w="1160" w:type="dxa"/>
            <w:tcBorders>
              <w:top w:val="nil"/>
              <w:left w:val="nil"/>
              <w:bottom w:val="single" w:sz="4" w:space="0" w:color="auto"/>
              <w:right w:val="single" w:sz="4" w:space="0" w:color="auto"/>
            </w:tcBorders>
            <w:shd w:val="clear" w:color="auto" w:fill="auto"/>
            <w:noWrap/>
            <w:vAlign w:val="bottom"/>
            <w:hideMark/>
          </w:tcPr>
          <w:p w14:paraId="1596F15E"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5AB6720C"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$ 828.116</w:t>
            </w:r>
          </w:p>
        </w:tc>
        <w:tc>
          <w:tcPr>
            <w:tcW w:w="1609" w:type="dxa"/>
            <w:tcBorders>
              <w:top w:val="nil"/>
              <w:left w:val="nil"/>
              <w:bottom w:val="single" w:sz="4" w:space="0" w:color="auto"/>
              <w:right w:val="single" w:sz="4" w:space="0" w:color="auto"/>
            </w:tcBorders>
            <w:shd w:val="clear" w:color="auto" w:fill="auto"/>
            <w:noWrap/>
            <w:vAlign w:val="bottom"/>
            <w:hideMark/>
          </w:tcPr>
          <w:p w14:paraId="24421A77"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$ 11.593.624</w:t>
            </w:r>
          </w:p>
        </w:tc>
        <w:tc>
          <w:tcPr>
            <w:tcW w:w="1274" w:type="dxa"/>
            <w:tcBorders>
              <w:top w:val="nil"/>
              <w:left w:val="nil"/>
              <w:bottom w:val="single" w:sz="4" w:space="0" w:color="auto"/>
              <w:right w:val="single" w:sz="4" w:space="0" w:color="auto"/>
            </w:tcBorders>
            <w:shd w:val="clear" w:color="auto" w:fill="auto"/>
            <w:noWrap/>
            <w:vAlign w:val="bottom"/>
            <w:hideMark/>
          </w:tcPr>
          <w:p w14:paraId="16FE147C"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$ 1.391.235</w:t>
            </w:r>
          </w:p>
        </w:tc>
        <w:tc>
          <w:tcPr>
            <w:tcW w:w="1406" w:type="dxa"/>
            <w:tcBorders>
              <w:top w:val="nil"/>
              <w:left w:val="nil"/>
              <w:bottom w:val="single" w:sz="4" w:space="0" w:color="auto"/>
              <w:right w:val="single" w:sz="4" w:space="0" w:color="auto"/>
            </w:tcBorders>
            <w:shd w:val="clear" w:color="auto" w:fill="auto"/>
            <w:noWrap/>
            <w:vAlign w:val="bottom"/>
            <w:hideMark/>
          </w:tcPr>
          <w:p w14:paraId="2C6496F0"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$ 10.202.389</w:t>
            </w:r>
          </w:p>
        </w:tc>
      </w:tr>
      <w:tr w:rsidR="00016C9A" w:rsidRPr="00D839A6" w14:paraId="4B408830" w14:textId="77777777" w:rsidTr="00D839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BB4EE3"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1/01/2020</w:t>
            </w:r>
          </w:p>
        </w:tc>
        <w:tc>
          <w:tcPr>
            <w:tcW w:w="1167" w:type="dxa"/>
            <w:tcBorders>
              <w:top w:val="nil"/>
              <w:left w:val="nil"/>
              <w:bottom w:val="single" w:sz="4" w:space="0" w:color="auto"/>
              <w:right w:val="single" w:sz="4" w:space="0" w:color="auto"/>
            </w:tcBorders>
            <w:shd w:val="clear" w:color="auto" w:fill="auto"/>
            <w:noWrap/>
            <w:vAlign w:val="bottom"/>
            <w:hideMark/>
          </w:tcPr>
          <w:p w14:paraId="26CE3667"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10/02/2020</w:t>
            </w:r>
          </w:p>
        </w:tc>
        <w:tc>
          <w:tcPr>
            <w:tcW w:w="1160" w:type="dxa"/>
            <w:tcBorders>
              <w:top w:val="nil"/>
              <w:left w:val="nil"/>
              <w:bottom w:val="single" w:sz="4" w:space="0" w:color="auto"/>
              <w:right w:val="single" w:sz="4" w:space="0" w:color="auto"/>
            </w:tcBorders>
            <w:shd w:val="clear" w:color="auto" w:fill="auto"/>
            <w:noWrap/>
            <w:vAlign w:val="bottom"/>
            <w:hideMark/>
          </w:tcPr>
          <w:p w14:paraId="5009E263" w14:textId="77777777" w:rsidR="00016C9A" w:rsidRPr="00D839A6" w:rsidRDefault="00016C9A" w:rsidP="00D839A6">
            <w:pPr>
              <w:jc w:val="center"/>
              <w:rPr>
                <w:rFonts w:ascii="Tahoma" w:hAnsi="Tahoma" w:cs="Tahoma"/>
                <w:color w:val="000000"/>
                <w:sz w:val="20"/>
              </w:rPr>
            </w:pPr>
            <w:r w:rsidRPr="00D839A6">
              <w:rPr>
                <w:rFonts w:ascii="Tahoma" w:hAnsi="Tahoma" w:cs="Tahoma"/>
                <w:color w:val="000000"/>
                <w:sz w:val="20"/>
              </w:rPr>
              <w:t>1,3</w:t>
            </w:r>
          </w:p>
        </w:tc>
        <w:tc>
          <w:tcPr>
            <w:tcW w:w="1260" w:type="dxa"/>
            <w:tcBorders>
              <w:top w:val="nil"/>
              <w:left w:val="nil"/>
              <w:bottom w:val="single" w:sz="4" w:space="0" w:color="auto"/>
              <w:right w:val="single" w:sz="4" w:space="0" w:color="auto"/>
            </w:tcBorders>
            <w:shd w:val="clear" w:color="auto" w:fill="auto"/>
            <w:noWrap/>
            <w:vAlign w:val="bottom"/>
            <w:hideMark/>
          </w:tcPr>
          <w:p w14:paraId="263EC90E"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$ 977.803</w:t>
            </w:r>
          </w:p>
        </w:tc>
        <w:tc>
          <w:tcPr>
            <w:tcW w:w="1609" w:type="dxa"/>
            <w:tcBorders>
              <w:top w:val="nil"/>
              <w:left w:val="nil"/>
              <w:bottom w:val="single" w:sz="4" w:space="0" w:color="auto"/>
              <w:right w:val="single" w:sz="4" w:space="0" w:color="auto"/>
            </w:tcBorders>
            <w:shd w:val="clear" w:color="auto" w:fill="auto"/>
            <w:noWrap/>
            <w:vAlign w:val="bottom"/>
            <w:hideMark/>
          </w:tcPr>
          <w:p w14:paraId="51B3F6CD"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$ 1.271.144</w:t>
            </w:r>
          </w:p>
        </w:tc>
        <w:tc>
          <w:tcPr>
            <w:tcW w:w="1274" w:type="dxa"/>
            <w:tcBorders>
              <w:top w:val="nil"/>
              <w:left w:val="nil"/>
              <w:bottom w:val="single" w:sz="4" w:space="0" w:color="auto"/>
              <w:right w:val="single" w:sz="4" w:space="0" w:color="auto"/>
            </w:tcBorders>
            <w:shd w:val="clear" w:color="auto" w:fill="auto"/>
            <w:noWrap/>
            <w:vAlign w:val="bottom"/>
            <w:hideMark/>
          </w:tcPr>
          <w:p w14:paraId="000FF2B7"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$ 101.692</w:t>
            </w:r>
          </w:p>
        </w:tc>
        <w:tc>
          <w:tcPr>
            <w:tcW w:w="1406" w:type="dxa"/>
            <w:tcBorders>
              <w:top w:val="nil"/>
              <w:left w:val="nil"/>
              <w:bottom w:val="single" w:sz="4" w:space="0" w:color="auto"/>
              <w:right w:val="single" w:sz="4" w:space="0" w:color="auto"/>
            </w:tcBorders>
            <w:shd w:val="clear" w:color="auto" w:fill="auto"/>
            <w:noWrap/>
            <w:vAlign w:val="bottom"/>
            <w:hideMark/>
          </w:tcPr>
          <w:p w14:paraId="7EDEFA98"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$ 1.169.452</w:t>
            </w:r>
          </w:p>
        </w:tc>
      </w:tr>
      <w:tr w:rsidR="00016C9A" w:rsidRPr="00D839A6" w14:paraId="5D572608" w14:textId="77777777" w:rsidTr="00D839A6">
        <w:trPr>
          <w:trHeight w:val="300"/>
        </w:trPr>
        <w:tc>
          <w:tcPr>
            <w:tcW w:w="47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5815E" w14:textId="77777777" w:rsidR="00016C9A" w:rsidRPr="00D839A6" w:rsidRDefault="00016C9A" w:rsidP="00D839A6">
            <w:pPr>
              <w:jc w:val="center"/>
              <w:rPr>
                <w:rFonts w:ascii="Tahoma" w:hAnsi="Tahoma" w:cs="Tahoma"/>
                <w:b/>
                <w:bCs/>
                <w:color w:val="000000"/>
                <w:sz w:val="20"/>
              </w:rPr>
            </w:pPr>
            <w:r w:rsidRPr="00D839A6">
              <w:rPr>
                <w:rFonts w:ascii="Tahoma" w:hAnsi="Tahoma" w:cs="Tahoma"/>
                <w:b/>
                <w:bCs/>
                <w:color w:val="000000"/>
                <w:sz w:val="20"/>
              </w:rPr>
              <w:t>TOTAL</w:t>
            </w:r>
          </w:p>
        </w:tc>
        <w:tc>
          <w:tcPr>
            <w:tcW w:w="1609" w:type="dxa"/>
            <w:tcBorders>
              <w:top w:val="nil"/>
              <w:left w:val="nil"/>
              <w:bottom w:val="single" w:sz="4" w:space="0" w:color="auto"/>
              <w:right w:val="single" w:sz="4" w:space="0" w:color="auto"/>
            </w:tcBorders>
            <w:shd w:val="clear" w:color="auto" w:fill="auto"/>
            <w:noWrap/>
            <w:vAlign w:val="bottom"/>
            <w:hideMark/>
          </w:tcPr>
          <w:p w14:paraId="1F30A427" w14:textId="77777777"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$ 110.033.894</w:t>
            </w:r>
          </w:p>
        </w:tc>
        <w:tc>
          <w:tcPr>
            <w:tcW w:w="1274" w:type="dxa"/>
            <w:tcBorders>
              <w:top w:val="nil"/>
              <w:left w:val="nil"/>
              <w:bottom w:val="single" w:sz="4" w:space="0" w:color="auto"/>
              <w:right w:val="single" w:sz="4" w:space="0" w:color="auto"/>
            </w:tcBorders>
            <w:shd w:val="clear" w:color="auto" w:fill="auto"/>
            <w:noWrap/>
            <w:vAlign w:val="bottom"/>
            <w:hideMark/>
          </w:tcPr>
          <w:p w14:paraId="28163E11" w14:textId="107041FA" w:rsidR="00016C9A" w:rsidRPr="00D839A6" w:rsidRDefault="00016C9A" w:rsidP="00D839A6">
            <w:pPr>
              <w:jc w:val="right"/>
              <w:rPr>
                <w:rFonts w:ascii="Tahoma" w:hAnsi="Tahoma" w:cs="Tahoma"/>
                <w:color w:val="000000"/>
                <w:sz w:val="20"/>
              </w:rPr>
            </w:pPr>
            <w:r w:rsidRPr="00D839A6">
              <w:rPr>
                <w:rFonts w:ascii="Tahoma" w:hAnsi="Tahoma" w:cs="Tahoma"/>
                <w:color w:val="000000"/>
                <w:sz w:val="20"/>
              </w:rPr>
              <w:t>$13.153.222</w:t>
            </w:r>
          </w:p>
        </w:tc>
        <w:tc>
          <w:tcPr>
            <w:tcW w:w="1406" w:type="dxa"/>
            <w:tcBorders>
              <w:top w:val="nil"/>
              <w:left w:val="nil"/>
              <w:bottom w:val="single" w:sz="4" w:space="0" w:color="auto"/>
              <w:right w:val="single" w:sz="4" w:space="0" w:color="auto"/>
            </w:tcBorders>
            <w:shd w:val="clear" w:color="auto" w:fill="auto"/>
            <w:noWrap/>
            <w:vAlign w:val="bottom"/>
            <w:hideMark/>
          </w:tcPr>
          <w:p w14:paraId="7857DA1B" w14:textId="586C8D12" w:rsidR="00016C9A" w:rsidRPr="00D839A6" w:rsidRDefault="00016C9A" w:rsidP="00D839A6">
            <w:pPr>
              <w:jc w:val="right"/>
              <w:rPr>
                <w:rFonts w:ascii="Tahoma" w:hAnsi="Tahoma" w:cs="Tahoma"/>
                <w:b/>
                <w:bCs/>
                <w:color w:val="000000"/>
                <w:sz w:val="20"/>
              </w:rPr>
            </w:pPr>
            <w:r w:rsidRPr="00D839A6">
              <w:rPr>
                <w:rFonts w:ascii="Tahoma" w:hAnsi="Tahoma" w:cs="Tahoma"/>
                <w:b/>
                <w:bCs/>
                <w:color w:val="000000"/>
                <w:sz w:val="18"/>
              </w:rPr>
              <w:t>$96.880.672</w:t>
            </w:r>
          </w:p>
        </w:tc>
      </w:tr>
    </w:tbl>
    <w:p w14:paraId="2F3DE734" w14:textId="3555D2E6" w:rsidR="0BBB48ED" w:rsidRPr="00D839A6" w:rsidRDefault="0BBB48ED" w:rsidP="00D839A6">
      <w:pPr>
        <w:pStyle w:val="paragraph"/>
        <w:spacing w:before="0" w:beforeAutospacing="0" w:after="0" w:afterAutospacing="0" w:line="276" w:lineRule="auto"/>
        <w:jc w:val="both"/>
        <w:rPr>
          <w:rFonts w:ascii="Tahoma" w:hAnsi="Tahoma" w:cs="Tahoma"/>
          <w:lang w:val="es-ES"/>
        </w:rPr>
      </w:pPr>
    </w:p>
    <w:p w14:paraId="6F2A3F4A" w14:textId="4DDABE57" w:rsidR="00E04758" w:rsidRPr="00D839A6" w:rsidRDefault="00342525" w:rsidP="00D839A6">
      <w:pPr>
        <w:pStyle w:val="paragraph"/>
        <w:spacing w:before="0" w:beforeAutospacing="0" w:after="0" w:afterAutospacing="0" w:line="276" w:lineRule="auto"/>
        <w:jc w:val="both"/>
        <w:rPr>
          <w:rFonts w:ascii="Tahoma" w:hAnsi="Tahoma" w:cs="Tahoma"/>
        </w:rPr>
      </w:pPr>
      <w:r w:rsidRPr="00D839A6">
        <w:rPr>
          <w:rFonts w:ascii="Tahoma" w:hAnsi="Tahoma" w:cs="Tahoma"/>
          <w:lang w:val="es-ES"/>
        </w:rPr>
        <w:t xml:space="preserve">Por último, </w:t>
      </w:r>
      <w:r w:rsidR="45F5515E" w:rsidRPr="00D839A6">
        <w:rPr>
          <w:rFonts w:ascii="Tahoma" w:hAnsi="Tahoma" w:cs="Tahoma"/>
          <w:lang w:val="es-ES"/>
        </w:rPr>
        <w:t xml:space="preserve">con base en los </w:t>
      </w:r>
      <w:r w:rsidR="00C40321" w:rsidRPr="00D839A6">
        <w:rPr>
          <w:rFonts w:ascii="Tahoma" w:hAnsi="Tahoma" w:cs="Tahoma"/>
        </w:rPr>
        <w:t>argumentos precedentes</w:t>
      </w:r>
      <w:r w:rsidR="6A593477" w:rsidRPr="00D839A6">
        <w:rPr>
          <w:rFonts w:ascii="Tahoma" w:hAnsi="Tahoma" w:cs="Tahoma"/>
        </w:rPr>
        <w:t xml:space="preserve">, se evidencia </w:t>
      </w:r>
      <w:r w:rsidR="00C40321" w:rsidRPr="00D839A6">
        <w:rPr>
          <w:rFonts w:ascii="Tahoma" w:hAnsi="Tahoma" w:cs="Tahoma"/>
        </w:rPr>
        <w:t xml:space="preserve">que no existía </w:t>
      </w:r>
      <w:r w:rsidR="00CD2FA7" w:rsidRPr="00D839A6">
        <w:rPr>
          <w:rFonts w:ascii="Tahoma" w:hAnsi="Tahoma" w:cs="Tahoma"/>
        </w:rPr>
        <w:t xml:space="preserve">justificación alguna para que la administradora omitiera el reconocimiento </w:t>
      </w:r>
      <w:r w:rsidR="00C40321" w:rsidRPr="00D839A6">
        <w:rPr>
          <w:rFonts w:ascii="Tahoma" w:hAnsi="Tahoma" w:cs="Tahoma"/>
        </w:rPr>
        <w:t>del retroactivo de la pensión de invalidez</w:t>
      </w:r>
      <w:r w:rsidR="00384D83" w:rsidRPr="00D839A6">
        <w:rPr>
          <w:rFonts w:ascii="Tahoma" w:hAnsi="Tahoma" w:cs="Tahoma"/>
        </w:rPr>
        <w:t xml:space="preserve">, pues </w:t>
      </w:r>
      <w:r w:rsidR="00A66E16" w:rsidRPr="00D839A6">
        <w:rPr>
          <w:rFonts w:ascii="Tahoma" w:hAnsi="Tahoma" w:cs="Tahoma"/>
        </w:rPr>
        <w:t xml:space="preserve">Colpensiones </w:t>
      </w:r>
      <w:r w:rsidR="00E7658D" w:rsidRPr="00D839A6">
        <w:rPr>
          <w:rFonts w:ascii="Tahoma" w:hAnsi="Tahoma" w:cs="Tahoma"/>
        </w:rPr>
        <w:t xml:space="preserve">no requirió </w:t>
      </w:r>
      <w:r w:rsidR="00384D83" w:rsidRPr="00D839A6">
        <w:rPr>
          <w:rFonts w:ascii="Tahoma" w:hAnsi="Tahoma" w:cs="Tahoma"/>
        </w:rPr>
        <w:t xml:space="preserve">las certificaciones </w:t>
      </w:r>
      <w:r w:rsidR="005F6E10" w:rsidRPr="00D839A6">
        <w:rPr>
          <w:rFonts w:ascii="Tahoma" w:hAnsi="Tahoma" w:cs="Tahoma"/>
        </w:rPr>
        <w:t>para</w:t>
      </w:r>
      <w:r w:rsidR="00661336" w:rsidRPr="00D839A6">
        <w:rPr>
          <w:rFonts w:ascii="Tahoma" w:hAnsi="Tahoma" w:cs="Tahoma"/>
          <w:lang w:val="es-ES"/>
        </w:rPr>
        <w:t xml:space="preserve"> adoptar una decisión de fondo como dispone el artículo 17 de la Ley 1437 de 2011</w:t>
      </w:r>
      <w:r w:rsidR="002B4480" w:rsidRPr="00D839A6">
        <w:rPr>
          <w:rFonts w:ascii="Tahoma" w:hAnsi="Tahoma" w:cs="Tahoma"/>
          <w:lang w:val="es-ES"/>
        </w:rPr>
        <w:t xml:space="preserve">, </w:t>
      </w:r>
      <w:r w:rsidR="00E7658D" w:rsidRPr="00D839A6">
        <w:rPr>
          <w:rFonts w:ascii="Tahoma" w:hAnsi="Tahoma" w:cs="Tahoma"/>
          <w:lang w:val="es-ES"/>
        </w:rPr>
        <w:t xml:space="preserve">tampoco </w:t>
      </w:r>
      <w:r w:rsidR="002D79F7" w:rsidRPr="00D839A6">
        <w:rPr>
          <w:rFonts w:ascii="Tahoma" w:hAnsi="Tahoma" w:cs="Tahoma"/>
          <w:lang w:val="es-ES"/>
        </w:rPr>
        <w:t xml:space="preserve">requirió a </w:t>
      </w:r>
      <w:r w:rsidR="00384D83" w:rsidRPr="00D839A6">
        <w:rPr>
          <w:rFonts w:ascii="Tahoma" w:hAnsi="Tahoma" w:cs="Tahoma"/>
        </w:rPr>
        <w:t>las entidades promotoras de salud con sustento en el Decreto 019 de 2012</w:t>
      </w:r>
      <w:r w:rsidR="002D79F7" w:rsidRPr="00D839A6">
        <w:rPr>
          <w:rFonts w:ascii="Tahoma" w:hAnsi="Tahoma" w:cs="Tahoma"/>
        </w:rPr>
        <w:t>, y las mismas fueron aportadas oportunamente con el recurso;</w:t>
      </w:r>
      <w:r w:rsidR="00193C77" w:rsidRPr="00D839A6">
        <w:rPr>
          <w:rFonts w:ascii="Tahoma" w:hAnsi="Tahoma" w:cs="Tahoma"/>
        </w:rPr>
        <w:t xml:space="preserve"> sin embargo, teniendo en cuenta que dicha prestación se reconoció post</w:t>
      </w:r>
      <w:r w:rsidR="00194D3E">
        <w:rPr>
          <w:rFonts w:ascii="Tahoma" w:hAnsi="Tahoma" w:cs="Tahoma"/>
        </w:rPr>
        <w:t xml:space="preserve"> </w:t>
      </w:r>
      <w:r w:rsidR="00193C77" w:rsidRPr="00D839A6">
        <w:rPr>
          <w:rFonts w:ascii="Tahoma" w:hAnsi="Tahoma" w:cs="Tahoma"/>
        </w:rPr>
        <w:t>mortem</w:t>
      </w:r>
      <w:r w:rsidR="0077527A" w:rsidRPr="00D839A6">
        <w:rPr>
          <w:rFonts w:ascii="Tahoma" w:hAnsi="Tahoma" w:cs="Tahoma"/>
        </w:rPr>
        <w:t xml:space="preserve"> y que los intereses del artículo 141 de la Ley 100 de 1993 </w:t>
      </w:r>
      <w:r w:rsidR="002A4B15" w:rsidRPr="00D839A6">
        <w:rPr>
          <w:rFonts w:ascii="Tahoma" w:hAnsi="Tahoma" w:cs="Tahoma"/>
        </w:rPr>
        <w:t xml:space="preserve">solo </w:t>
      </w:r>
      <w:r w:rsidR="0077527A" w:rsidRPr="00D839A6">
        <w:rPr>
          <w:rFonts w:ascii="Tahoma" w:hAnsi="Tahoma" w:cs="Tahoma"/>
        </w:rPr>
        <w:t xml:space="preserve">se causan por el </w:t>
      </w:r>
      <w:r w:rsidR="002A4B15" w:rsidRPr="00D839A6">
        <w:rPr>
          <w:rFonts w:ascii="Tahoma" w:hAnsi="Tahoma" w:cs="Tahoma"/>
        </w:rPr>
        <w:t xml:space="preserve">pago insoluto </w:t>
      </w:r>
      <w:r w:rsidR="50B32586" w:rsidRPr="00D839A6">
        <w:rPr>
          <w:rFonts w:ascii="Tahoma" w:hAnsi="Tahoma" w:cs="Tahoma"/>
        </w:rPr>
        <w:t xml:space="preserve">o deficitario </w:t>
      </w:r>
      <w:r w:rsidR="0077527A" w:rsidRPr="00D839A6">
        <w:rPr>
          <w:rFonts w:ascii="Tahoma" w:hAnsi="Tahoma" w:cs="Tahoma"/>
        </w:rPr>
        <w:t xml:space="preserve">de la mesada </w:t>
      </w:r>
      <w:r w:rsidR="00224EBA" w:rsidRPr="00D839A6">
        <w:rPr>
          <w:rFonts w:ascii="Tahoma" w:hAnsi="Tahoma" w:cs="Tahoma"/>
        </w:rPr>
        <w:t xml:space="preserve">pensional </w:t>
      </w:r>
      <w:r w:rsidR="00090284" w:rsidRPr="00D839A6">
        <w:rPr>
          <w:rFonts w:ascii="Tahoma" w:hAnsi="Tahoma" w:cs="Tahoma"/>
        </w:rPr>
        <w:t xml:space="preserve">su reconocimiento solo </w:t>
      </w:r>
      <w:r w:rsidR="002A4B15" w:rsidRPr="00D839A6">
        <w:rPr>
          <w:rFonts w:ascii="Tahoma" w:hAnsi="Tahoma" w:cs="Tahoma"/>
        </w:rPr>
        <w:t>era</w:t>
      </w:r>
      <w:r w:rsidR="00090284" w:rsidRPr="00D839A6">
        <w:rPr>
          <w:rFonts w:ascii="Tahoma" w:hAnsi="Tahoma" w:cs="Tahoma"/>
        </w:rPr>
        <w:t xml:space="preserve"> factible si </w:t>
      </w:r>
      <w:r w:rsidR="00603DDC" w:rsidRPr="00D839A6">
        <w:rPr>
          <w:rFonts w:ascii="Tahoma" w:hAnsi="Tahoma" w:cs="Tahoma"/>
        </w:rPr>
        <w:t xml:space="preserve">la mora hubiera acaecido en vida del </w:t>
      </w:r>
      <w:r w:rsidR="00CD2B75" w:rsidRPr="00D839A6">
        <w:rPr>
          <w:rFonts w:ascii="Tahoma" w:hAnsi="Tahoma" w:cs="Tahoma"/>
        </w:rPr>
        <w:t xml:space="preserve">pensionado </w:t>
      </w:r>
      <w:r w:rsidR="00CF46AC" w:rsidRPr="00D839A6">
        <w:rPr>
          <w:rFonts w:ascii="Tahoma" w:hAnsi="Tahoma" w:cs="Tahoma"/>
        </w:rPr>
        <w:t>y hasta la muerte del</w:t>
      </w:r>
      <w:r w:rsidR="00CD2B75" w:rsidRPr="00D839A6">
        <w:rPr>
          <w:rFonts w:ascii="Tahoma" w:hAnsi="Tahoma" w:cs="Tahoma"/>
        </w:rPr>
        <w:t xml:space="preserve"> mismo</w:t>
      </w:r>
      <w:r w:rsidR="008D3B4F" w:rsidRPr="00D839A6">
        <w:rPr>
          <w:rFonts w:ascii="Tahoma" w:hAnsi="Tahoma" w:cs="Tahoma"/>
        </w:rPr>
        <w:t xml:space="preserve">, </w:t>
      </w:r>
      <w:r w:rsidR="00E3729D" w:rsidRPr="00D839A6">
        <w:rPr>
          <w:rFonts w:ascii="Tahoma" w:hAnsi="Tahoma" w:cs="Tahoma"/>
        </w:rPr>
        <w:t xml:space="preserve">hecho que no ocurrió, </w:t>
      </w:r>
      <w:r w:rsidR="00CD2B75" w:rsidRPr="00D839A6">
        <w:rPr>
          <w:rFonts w:ascii="Tahoma" w:hAnsi="Tahoma" w:cs="Tahoma"/>
        </w:rPr>
        <w:t xml:space="preserve">pues </w:t>
      </w:r>
      <w:r w:rsidR="00E3729D" w:rsidRPr="00D839A6">
        <w:rPr>
          <w:rFonts w:ascii="Tahoma" w:hAnsi="Tahoma" w:cs="Tahoma"/>
        </w:rPr>
        <w:t xml:space="preserve">el </w:t>
      </w:r>
      <w:r w:rsidR="00C5185F" w:rsidRPr="00D839A6">
        <w:rPr>
          <w:rFonts w:ascii="Tahoma" w:hAnsi="Tahoma" w:cs="Tahoma"/>
        </w:rPr>
        <w:t xml:space="preserve">señor </w:t>
      </w:r>
      <w:r w:rsidR="007B2FFE" w:rsidRPr="00D839A6">
        <w:rPr>
          <w:rFonts w:ascii="Tahoma" w:hAnsi="Tahoma" w:cs="Tahoma"/>
          <w:lang w:val="es-ES"/>
        </w:rPr>
        <w:t>Guillermo Ayala Duque</w:t>
      </w:r>
      <w:r w:rsidR="00CF46AC" w:rsidRPr="00D839A6">
        <w:rPr>
          <w:rFonts w:ascii="Tahoma" w:hAnsi="Tahoma" w:cs="Tahoma"/>
          <w:lang w:val="es-ES"/>
        </w:rPr>
        <w:t xml:space="preserve"> no elevó solicitud de pensión</w:t>
      </w:r>
      <w:r w:rsidR="00C374BC" w:rsidRPr="00D839A6">
        <w:rPr>
          <w:rFonts w:ascii="Tahoma" w:hAnsi="Tahoma" w:cs="Tahoma"/>
          <w:lang w:val="es-ES"/>
        </w:rPr>
        <w:t>. A</w:t>
      </w:r>
      <w:r w:rsidR="009534E8" w:rsidRPr="00D839A6">
        <w:rPr>
          <w:rFonts w:ascii="Tahoma" w:hAnsi="Tahoma" w:cs="Tahoma"/>
          <w:lang w:val="es-ES"/>
        </w:rPr>
        <w:t xml:space="preserve">sí teniendo en cuenta que la </w:t>
      </w:r>
      <w:r w:rsidR="00803CE8" w:rsidRPr="00D839A6">
        <w:rPr>
          <w:rFonts w:ascii="Tahoma" w:hAnsi="Tahoma" w:cs="Tahoma"/>
          <w:lang w:val="es-ES"/>
        </w:rPr>
        <w:t>pensión post</w:t>
      </w:r>
      <w:r w:rsidR="003A7760">
        <w:rPr>
          <w:rFonts w:ascii="Tahoma" w:hAnsi="Tahoma" w:cs="Tahoma"/>
          <w:lang w:val="es-ES"/>
        </w:rPr>
        <w:t xml:space="preserve"> </w:t>
      </w:r>
      <w:r w:rsidR="00803CE8" w:rsidRPr="00D839A6">
        <w:rPr>
          <w:rFonts w:ascii="Tahoma" w:hAnsi="Tahoma" w:cs="Tahoma"/>
          <w:lang w:val="es-ES"/>
        </w:rPr>
        <w:t>mortem reconocida</w:t>
      </w:r>
      <w:r w:rsidR="00D82E66" w:rsidRPr="00D839A6">
        <w:rPr>
          <w:rFonts w:ascii="Tahoma" w:hAnsi="Tahoma" w:cs="Tahoma"/>
          <w:lang w:val="es-ES"/>
        </w:rPr>
        <w:t xml:space="preserve"> </w:t>
      </w:r>
      <w:r w:rsidR="00E034AE" w:rsidRPr="00D839A6">
        <w:rPr>
          <w:rFonts w:ascii="Tahoma" w:hAnsi="Tahoma" w:cs="Tahoma"/>
          <w:lang w:val="es-ES"/>
        </w:rPr>
        <w:t xml:space="preserve">para los herederos no tiene connotación de mesada pensional, sino de una </w:t>
      </w:r>
      <w:r w:rsidR="00293832" w:rsidRPr="00D839A6">
        <w:rPr>
          <w:rFonts w:ascii="Tahoma" w:hAnsi="Tahoma" w:cs="Tahoma"/>
          <w:lang w:val="es-ES"/>
        </w:rPr>
        <w:t xml:space="preserve">obligación </w:t>
      </w:r>
      <w:r w:rsidR="002210E8" w:rsidRPr="00D839A6">
        <w:rPr>
          <w:rFonts w:ascii="Tahoma" w:hAnsi="Tahoma" w:cs="Tahoma"/>
          <w:lang w:val="es-ES"/>
        </w:rPr>
        <w:t>cr</w:t>
      </w:r>
      <w:r w:rsidR="00293832" w:rsidRPr="00D839A6">
        <w:rPr>
          <w:rFonts w:ascii="Tahoma" w:hAnsi="Tahoma" w:cs="Tahoma"/>
          <w:lang w:val="es-ES"/>
        </w:rPr>
        <w:t xml:space="preserve">editicia </w:t>
      </w:r>
      <w:r w:rsidR="002210E8" w:rsidRPr="00D839A6">
        <w:rPr>
          <w:rFonts w:ascii="Tahoma" w:hAnsi="Tahoma" w:cs="Tahoma"/>
          <w:lang w:val="es-ES"/>
        </w:rPr>
        <w:t xml:space="preserve">que integra la masa </w:t>
      </w:r>
      <w:proofErr w:type="spellStart"/>
      <w:r w:rsidR="002210E8" w:rsidRPr="00D839A6">
        <w:rPr>
          <w:rFonts w:ascii="Tahoma" w:hAnsi="Tahoma" w:cs="Tahoma"/>
          <w:lang w:val="es-ES"/>
        </w:rPr>
        <w:t>sucesoral</w:t>
      </w:r>
      <w:proofErr w:type="spellEnd"/>
      <w:r w:rsidR="002210E8" w:rsidRPr="00D839A6">
        <w:rPr>
          <w:rFonts w:ascii="Tahoma" w:hAnsi="Tahoma" w:cs="Tahoma"/>
          <w:lang w:val="es-ES"/>
        </w:rPr>
        <w:t xml:space="preserve"> </w:t>
      </w:r>
      <w:r w:rsidR="0047290B" w:rsidRPr="00D839A6">
        <w:rPr>
          <w:rFonts w:ascii="Tahoma" w:eastAsia="Tahoma" w:hAnsi="Tahoma" w:cs="Tahoma"/>
        </w:rPr>
        <w:t xml:space="preserve">no </w:t>
      </w:r>
      <w:r w:rsidR="002210E8" w:rsidRPr="00D839A6">
        <w:rPr>
          <w:rFonts w:ascii="Tahoma" w:eastAsia="Tahoma" w:hAnsi="Tahoma" w:cs="Tahoma"/>
        </w:rPr>
        <w:t>es</w:t>
      </w:r>
      <w:r w:rsidR="0047290B" w:rsidRPr="00D839A6">
        <w:rPr>
          <w:rFonts w:ascii="Tahoma" w:eastAsia="Tahoma" w:hAnsi="Tahoma" w:cs="Tahoma"/>
        </w:rPr>
        <w:t xml:space="preserve"> plausible el reconocimiento de los intereses pretendidos</w:t>
      </w:r>
      <w:r w:rsidR="007023B6" w:rsidRPr="00D839A6">
        <w:rPr>
          <w:rFonts w:ascii="Tahoma" w:eastAsia="Tahoma" w:hAnsi="Tahoma" w:cs="Tahoma"/>
        </w:rPr>
        <w:t xml:space="preserve">. Por </w:t>
      </w:r>
      <w:r w:rsidR="007023B6" w:rsidRPr="00D839A6">
        <w:rPr>
          <w:rFonts w:ascii="Tahoma" w:eastAsia="Tahoma" w:hAnsi="Tahoma" w:cs="Tahoma"/>
        </w:rPr>
        <w:lastRenderedPageBreak/>
        <w:t>lo anterior,</w:t>
      </w:r>
      <w:r w:rsidR="7E19ED01" w:rsidRPr="00D839A6">
        <w:rPr>
          <w:rFonts w:ascii="Tahoma" w:eastAsia="Tahoma" w:hAnsi="Tahoma" w:cs="Tahoma"/>
        </w:rPr>
        <w:t xml:space="preserve"> en sede de consulta</w:t>
      </w:r>
      <w:r w:rsidR="007023B6" w:rsidRPr="00D839A6">
        <w:rPr>
          <w:rFonts w:ascii="Tahoma" w:eastAsia="Tahoma" w:hAnsi="Tahoma" w:cs="Tahoma"/>
        </w:rPr>
        <w:t xml:space="preserve"> se </w:t>
      </w:r>
      <w:r w:rsidR="57E7C78B" w:rsidRPr="00D839A6">
        <w:rPr>
          <w:rFonts w:ascii="Tahoma" w:eastAsia="Tahoma" w:hAnsi="Tahoma" w:cs="Tahoma"/>
        </w:rPr>
        <w:t xml:space="preserve">revocará </w:t>
      </w:r>
      <w:r w:rsidR="004254C4" w:rsidRPr="00D839A6">
        <w:rPr>
          <w:rFonts w:ascii="Tahoma" w:eastAsia="Tahoma" w:hAnsi="Tahoma" w:cs="Tahoma"/>
        </w:rPr>
        <w:t>el numeral cuarto de</w:t>
      </w:r>
      <w:r w:rsidR="0000541E" w:rsidRPr="00D839A6">
        <w:rPr>
          <w:rFonts w:ascii="Tahoma" w:eastAsia="Tahoma" w:hAnsi="Tahoma" w:cs="Tahoma"/>
        </w:rPr>
        <w:t xml:space="preserve"> la sentencia </w:t>
      </w:r>
      <w:r w:rsidR="004254C4" w:rsidRPr="00D839A6">
        <w:rPr>
          <w:rFonts w:ascii="Tahoma" w:eastAsia="Tahoma" w:hAnsi="Tahoma" w:cs="Tahoma"/>
        </w:rPr>
        <w:t xml:space="preserve">que </w:t>
      </w:r>
      <w:r w:rsidR="00171375" w:rsidRPr="00D839A6">
        <w:rPr>
          <w:rFonts w:ascii="Tahoma" w:eastAsia="Tahoma" w:hAnsi="Tahoma" w:cs="Tahoma"/>
        </w:rPr>
        <w:t>condenó</w:t>
      </w:r>
      <w:r w:rsidR="004254C4" w:rsidRPr="00D839A6">
        <w:rPr>
          <w:rFonts w:ascii="Tahoma" w:eastAsia="Tahoma" w:hAnsi="Tahoma" w:cs="Tahoma"/>
        </w:rPr>
        <w:t xml:space="preserve"> </w:t>
      </w:r>
      <w:r w:rsidR="00CD2FA7" w:rsidRPr="00D839A6">
        <w:rPr>
          <w:rFonts w:ascii="Tahoma" w:hAnsi="Tahoma" w:cs="Tahoma"/>
        </w:rPr>
        <w:t xml:space="preserve">a la Administradora Colombiana de Pensiones a pagar los intereses moratorios, </w:t>
      </w:r>
      <w:r w:rsidR="5FAC9C2F" w:rsidRPr="00D839A6">
        <w:rPr>
          <w:rFonts w:ascii="Tahoma" w:hAnsi="Tahoma" w:cs="Tahoma"/>
        </w:rPr>
        <w:t>y en su lugar se dispondrá el pago del</w:t>
      </w:r>
      <w:r w:rsidR="0000541E" w:rsidRPr="00D839A6">
        <w:rPr>
          <w:rFonts w:ascii="Tahoma" w:hAnsi="Tahoma" w:cs="Tahoma"/>
        </w:rPr>
        <w:t xml:space="preserve"> retroactivo debidamente indexado</w:t>
      </w:r>
      <w:r w:rsidR="715AF953" w:rsidRPr="00D839A6">
        <w:rPr>
          <w:rFonts w:ascii="Tahoma" w:hAnsi="Tahoma" w:cs="Tahoma"/>
        </w:rPr>
        <w:t xml:space="preserve"> a la fecha de pago.</w:t>
      </w:r>
    </w:p>
    <w:p w14:paraId="364531C9" w14:textId="52A2FFDD" w:rsidR="19F0568F" w:rsidRPr="00D839A6" w:rsidRDefault="19F0568F" w:rsidP="00D839A6">
      <w:pPr>
        <w:pStyle w:val="paragraph"/>
        <w:spacing w:before="0" w:beforeAutospacing="0" w:after="0" w:afterAutospacing="0" w:line="276" w:lineRule="auto"/>
        <w:ind w:firstLine="720"/>
        <w:jc w:val="both"/>
        <w:rPr>
          <w:rFonts w:ascii="Tahoma" w:hAnsi="Tahoma" w:cs="Tahoma"/>
        </w:rPr>
      </w:pPr>
    </w:p>
    <w:p w14:paraId="21FD7296" w14:textId="674B89A6" w:rsidR="005C3CA3" w:rsidRPr="00D839A6" w:rsidRDefault="005C3CA3" w:rsidP="00D839A6">
      <w:pPr>
        <w:pStyle w:val="paragraph"/>
        <w:spacing w:before="0" w:beforeAutospacing="0" w:after="0" w:afterAutospacing="0" w:line="276" w:lineRule="auto"/>
        <w:ind w:firstLine="720"/>
        <w:jc w:val="both"/>
        <w:textAlignment w:val="baseline"/>
        <w:rPr>
          <w:rFonts w:ascii="Tahoma" w:hAnsi="Tahoma" w:cs="Tahoma"/>
          <w:lang w:val="es-ES"/>
        </w:rPr>
      </w:pPr>
      <w:r w:rsidRPr="00D839A6">
        <w:rPr>
          <w:rFonts w:ascii="Tahoma" w:hAnsi="Tahoma" w:cs="Tahoma"/>
          <w:lang w:val="es-ES"/>
        </w:rPr>
        <w:t>Corolario de lo expuesto, se confirmará</w:t>
      </w:r>
      <w:r w:rsidR="002A284E" w:rsidRPr="00D839A6">
        <w:rPr>
          <w:rFonts w:ascii="Tahoma" w:hAnsi="Tahoma" w:cs="Tahoma"/>
          <w:lang w:val="es-ES"/>
        </w:rPr>
        <w:t xml:space="preserve"> en todo lo demás</w:t>
      </w:r>
      <w:r w:rsidRPr="00D839A6">
        <w:rPr>
          <w:rFonts w:ascii="Tahoma" w:hAnsi="Tahoma" w:cs="Tahoma"/>
          <w:lang w:val="es-ES"/>
        </w:rPr>
        <w:t xml:space="preserve"> la decisión de primera instancia </w:t>
      </w:r>
      <w:r w:rsidR="00AA3C66" w:rsidRPr="00D839A6">
        <w:rPr>
          <w:rFonts w:ascii="Tahoma" w:hAnsi="Tahoma" w:cs="Tahoma"/>
          <w:lang w:val="es-ES"/>
        </w:rPr>
        <w:t>y ante el fracaso de</w:t>
      </w:r>
      <w:r w:rsidR="00E8C84C" w:rsidRPr="00D839A6">
        <w:rPr>
          <w:rFonts w:ascii="Tahoma" w:hAnsi="Tahoma" w:cs="Tahoma"/>
          <w:lang w:val="es-ES"/>
        </w:rPr>
        <w:t xml:space="preserve"> ambos </w:t>
      </w:r>
      <w:r w:rsidR="00AA3C66" w:rsidRPr="00D839A6">
        <w:rPr>
          <w:rFonts w:ascii="Tahoma" w:hAnsi="Tahoma" w:cs="Tahoma"/>
          <w:lang w:val="es-ES"/>
        </w:rPr>
        <w:t>recurso</w:t>
      </w:r>
      <w:r w:rsidR="2CFCF27B" w:rsidRPr="00D839A6">
        <w:rPr>
          <w:rFonts w:ascii="Tahoma" w:hAnsi="Tahoma" w:cs="Tahoma"/>
          <w:lang w:val="es-ES"/>
        </w:rPr>
        <w:t>s</w:t>
      </w:r>
      <w:r w:rsidR="00AA3C66" w:rsidRPr="00D839A6">
        <w:rPr>
          <w:rFonts w:ascii="Tahoma" w:hAnsi="Tahoma" w:cs="Tahoma"/>
          <w:lang w:val="es-ES"/>
        </w:rPr>
        <w:t xml:space="preserve"> de apelación</w:t>
      </w:r>
      <w:r w:rsidR="00B34A2B" w:rsidRPr="00D839A6">
        <w:rPr>
          <w:rFonts w:ascii="Tahoma" w:hAnsi="Tahoma" w:cs="Tahoma"/>
          <w:lang w:val="es-ES"/>
        </w:rPr>
        <w:t xml:space="preserve"> </w:t>
      </w:r>
      <w:r w:rsidR="18A29C18" w:rsidRPr="00D839A6">
        <w:rPr>
          <w:rFonts w:ascii="Tahoma" w:hAnsi="Tahoma" w:cs="Tahoma"/>
          <w:lang w:val="es-ES"/>
        </w:rPr>
        <w:t>no se impondrán costas de segunda instancia.</w:t>
      </w:r>
    </w:p>
    <w:p w14:paraId="63B2E840" w14:textId="77777777" w:rsidR="008C0B82" w:rsidRPr="00D839A6" w:rsidRDefault="008C0B82" w:rsidP="00D839A6">
      <w:pPr>
        <w:spacing w:line="276" w:lineRule="auto"/>
        <w:rPr>
          <w:rFonts w:ascii="Tahoma" w:eastAsia="Tahoma" w:hAnsi="Tahoma" w:cs="Tahoma"/>
          <w:color w:val="000000" w:themeColor="text1"/>
        </w:rPr>
      </w:pPr>
    </w:p>
    <w:p w14:paraId="0D3EDFA1" w14:textId="220CA615" w:rsidR="00A60AC9" w:rsidRPr="00D839A6" w:rsidRDefault="00B00BC8" w:rsidP="00D839A6">
      <w:pPr>
        <w:spacing w:line="276" w:lineRule="auto"/>
        <w:ind w:firstLine="708"/>
        <w:jc w:val="both"/>
        <w:rPr>
          <w:rFonts w:ascii="Tahoma" w:eastAsia="Tahoma" w:hAnsi="Tahoma" w:cs="Tahoma"/>
          <w:bCs/>
          <w:color w:val="000000" w:themeColor="text1"/>
        </w:rPr>
      </w:pPr>
      <w:r w:rsidRPr="00D839A6">
        <w:rPr>
          <w:rFonts w:ascii="Tahoma" w:eastAsia="Tahoma" w:hAnsi="Tahoma" w:cs="Tahoma"/>
          <w:color w:val="000000" w:themeColor="text1"/>
        </w:rPr>
        <w:t xml:space="preserve">En mérito de lo expuesto, el </w:t>
      </w:r>
      <w:r w:rsidRPr="00D839A6">
        <w:rPr>
          <w:rFonts w:ascii="Tahoma" w:eastAsia="Tahoma" w:hAnsi="Tahoma" w:cs="Tahoma"/>
          <w:b/>
          <w:color w:val="000000" w:themeColor="text1"/>
        </w:rPr>
        <w:t>Tribunal Superior del Distrito Judicial de Pereira (Risaralda)</w:t>
      </w:r>
      <w:r w:rsidRPr="00D839A6">
        <w:rPr>
          <w:rFonts w:ascii="Tahoma" w:eastAsia="Tahoma" w:hAnsi="Tahoma" w:cs="Tahoma"/>
          <w:color w:val="000000" w:themeColor="text1"/>
        </w:rPr>
        <w:t xml:space="preserve">, </w:t>
      </w:r>
      <w:r w:rsidRPr="00D839A6">
        <w:rPr>
          <w:rFonts w:ascii="Tahoma" w:eastAsia="Tahoma" w:hAnsi="Tahoma" w:cs="Tahoma"/>
          <w:b/>
          <w:color w:val="000000" w:themeColor="text1"/>
        </w:rPr>
        <w:t xml:space="preserve">Sala </w:t>
      </w:r>
      <w:r w:rsidR="00427921" w:rsidRPr="00D839A6">
        <w:rPr>
          <w:rFonts w:ascii="Tahoma" w:eastAsia="Tahoma" w:hAnsi="Tahoma" w:cs="Tahoma"/>
          <w:b/>
          <w:color w:val="000000" w:themeColor="text1"/>
        </w:rPr>
        <w:t xml:space="preserve">Primera de Decisión Laboral, </w:t>
      </w:r>
      <w:r w:rsidR="00427921" w:rsidRPr="00D839A6">
        <w:rPr>
          <w:rFonts w:ascii="Tahoma" w:eastAsia="Tahoma" w:hAnsi="Tahoma" w:cs="Tahoma"/>
          <w:bCs/>
          <w:color w:val="000000" w:themeColor="text1"/>
        </w:rPr>
        <w:t xml:space="preserve">administrando justicia en nombre de la República y por autoridad de la Ley, </w:t>
      </w:r>
    </w:p>
    <w:p w14:paraId="1F5E0963" w14:textId="3FE57C7A" w:rsidR="008C0B82" w:rsidRPr="00D839A6" w:rsidRDefault="008C0B82" w:rsidP="00D839A6">
      <w:pPr>
        <w:tabs>
          <w:tab w:val="left" w:pos="748"/>
        </w:tabs>
        <w:spacing w:line="276" w:lineRule="auto"/>
        <w:rPr>
          <w:rFonts w:ascii="Tahoma" w:eastAsia="Tahoma" w:hAnsi="Tahoma" w:cs="Tahoma"/>
        </w:rPr>
      </w:pPr>
    </w:p>
    <w:p w14:paraId="759ADE19" w14:textId="52B7383F" w:rsidR="008C0B82" w:rsidRPr="00D839A6" w:rsidRDefault="00B00BC8" w:rsidP="00D839A6">
      <w:pPr>
        <w:widowControl w:val="0"/>
        <w:spacing w:line="276" w:lineRule="auto"/>
        <w:jc w:val="center"/>
        <w:rPr>
          <w:rFonts w:ascii="Tahoma" w:eastAsia="Tahoma" w:hAnsi="Tahoma" w:cs="Tahoma"/>
          <w:b/>
        </w:rPr>
      </w:pPr>
      <w:r w:rsidRPr="00D839A6">
        <w:rPr>
          <w:rFonts w:ascii="Tahoma" w:eastAsia="Tahoma" w:hAnsi="Tahoma" w:cs="Tahoma"/>
          <w:b/>
        </w:rPr>
        <w:t>RESUELVE:</w:t>
      </w:r>
    </w:p>
    <w:p w14:paraId="51475BB1" w14:textId="77777777" w:rsidR="008C0B82" w:rsidRPr="00D839A6" w:rsidRDefault="008C0B82" w:rsidP="00D839A6">
      <w:pPr>
        <w:widowControl w:val="0"/>
        <w:spacing w:line="276" w:lineRule="auto"/>
        <w:jc w:val="center"/>
        <w:rPr>
          <w:rFonts w:ascii="Tahoma" w:eastAsia="Tahoma" w:hAnsi="Tahoma" w:cs="Tahoma"/>
          <w:b/>
        </w:rPr>
      </w:pPr>
    </w:p>
    <w:p w14:paraId="03DA9CCC" w14:textId="31D3C521" w:rsidR="00F22CA7" w:rsidRPr="00D839A6" w:rsidRDefault="00B00BC8" w:rsidP="00D839A6">
      <w:pPr>
        <w:spacing w:line="276" w:lineRule="auto"/>
        <w:ind w:firstLine="708"/>
        <w:jc w:val="both"/>
        <w:rPr>
          <w:rFonts w:ascii="Tahoma" w:eastAsia="Tahoma" w:hAnsi="Tahoma" w:cs="Tahoma"/>
        </w:rPr>
      </w:pPr>
      <w:r w:rsidRPr="00D839A6">
        <w:rPr>
          <w:rFonts w:ascii="Tahoma" w:eastAsia="Tahoma" w:hAnsi="Tahoma" w:cs="Tahoma"/>
          <w:b/>
          <w:bCs/>
          <w:u w:val="single"/>
        </w:rPr>
        <w:t>PRIMERO</w:t>
      </w:r>
      <w:r w:rsidR="006D5C0A" w:rsidRPr="00D839A6">
        <w:rPr>
          <w:rFonts w:ascii="Tahoma" w:eastAsia="Tahoma" w:hAnsi="Tahoma" w:cs="Tahoma"/>
          <w:b/>
          <w:bCs/>
        </w:rPr>
        <w:t xml:space="preserve">: </w:t>
      </w:r>
      <w:r w:rsidR="658F0071" w:rsidRPr="00D839A6">
        <w:rPr>
          <w:rFonts w:ascii="Tahoma" w:eastAsia="Tahoma" w:hAnsi="Tahoma" w:cs="Tahoma"/>
          <w:b/>
          <w:bCs/>
        </w:rPr>
        <w:t>REVOCAR</w:t>
      </w:r>
      <w:r w:rsidR="00450C46" w:rsidRPr="00D839A6">
        <w:rPr>
          <w:rFonts w:ascii="Tahoma" w:eastAsia="Tahoma" w:hAnsi="Tahoma" w:cs="Tahoma"/>
          <w:b/>
          <w:bCs/>
        </w:rPr>
        <w:t xml:space="preserve"> </w:t>
      </w:r>
      <w:r w:rsidR="00450C46" w:rsidRPr="00D839A6">
        <w:rPr>
          <w:rFonts w:ascii="Tahoma" w:eastAsia="Tahoma" w:hAnsi="Tahoma" w:cs="Tahoma"/>
        </w:rPr>
        <w:t>el numeral cuatro de la sentencia proferida el 8 de marzo de 2023 por el Juzgado Tercero Laboral del Circuito de Pereira, dentro del proceso ordinario laboral instaurado por Ana Rita Rodríguez de Ayala en contra de la Administradora Colombiana de Pensiones- Colpensiones</w:t>
      </w:r>
      <w:r w:rsidR="00BB6D5E" w:rsidRPr="00D839A6">
        <w:rPr>
          <w:rFonts w:ascii="Tahoma" w:eastAsia="Tahoma" w:hAnsi="Tahoma" w:cs="Tahoma"/>
        </w:rPr>
        <w:t xml:space="preserve">, </w:t>
      </w:r>
      <w:r w:rsidR="3D02F175" w:rsidRPr="00D839A6">
        <w:rPr>
          <w:rFonts w:ascii="Tahoma" w:eastAsia="Tahoma" w:hAnsi="Tahoma" w:cs="Tahoma"/>
        </w:rPr>
        <w:t xml:space="preserve">y en su lugar, CONDENAR a la Administradora Colombiana de Pensiones Colpensiones, a pagar </w:t>
      </w:r>
      <w:r w:rsidR="0BA1F057" w:rsidRPr="00D839A6">
        <w:rPr>
          <w:rFonts w:ascii="Tahoma" w:eastAsia="Tahoma" w:hAnsi="Tahoma" w:cs="Tahoma"/>
        </w:rPr>
        <w:t>el retroactivo pensional debidamente indexado a la fecha de pago</w:t>
      </w:r>
      <w:r w:rsidR="045C41F1" w:rsidRPr="00D839A6">
        <w:rPr>
          <w:rFonts w:ascii="Tahoma" w:eastAsia="Tahoma" w:hAnsi="Tahoma" w:cs="Tahoma"/>
        </w:rPr>
        <w:t>.</w:t>
      </w:r>
    </w:p>
    <w:p w14:paraId="715EADE8" w14:textId="27C58487" w:rsidR="00A60AC9" w:rsidRPr="00D839A6" w:rsidRDefault="00A60AC9" w:rsidP="00D839A6">
      <w:pPr>
        <w:spacing w:line="276" w:lineRule="auto"/>
        <w:ind w:firstLine="708"/>
        <w:jc w:val="both"/>
        <w:rPr>
          <w:rFonts w:ascii="Tahoma" w:eastAsia="Tahoma" w:hAnsi="Tahoma" w:cs="Tahoma"/>
        </w:rPr>
      </w:pPr>
    </w:p>
    <w:p w14:paraId="03AC15FE" w14:textId="734ABD88" w:rsidR="000A2633" w:rsidRPr="00D839A6" w:rsidRDefault="000A2633" w:rsidP="00D839A6">
      <w:pPr>
        <w:spacing w:line="276" w:lineRule="auto"/>
        <w:ind w:firstLine="708"/>
        <w:contextualSpacing/>
        <w:jc w:val="both"/>
        <w:rPr>
          <w:rFonts w:ascii="Tahoma" w:hAnsi="Tahoma" w:cs="Tahoma"/>
        </w:rPr>
      </w:pPr>
      <w:r w:rsidRPr="00D839A6">
        <w:rPr>
          <w:rFonts w:ascii="Tahoma" w:eastAsia="Tahoma" w:hAnsi="Tahoma" w:cs="Tahoma"/>
          <w:b/>
          <w:bCs/>
          <w:u w:val="single"/>
        </w:rPr>
        <w:t>SEGUNDO:</w:t>
      </w:r>
      <w:r w:rsidRPr="00D839A6">
        <w:rPr>
          <w:rFonts w:ascii="Tahoma" w:eastAsia="Tahoma" w:hAnsi="Tahoma" w:cs="Tahoma"/>
          <w:b/>
          <w:bCs/>
        </w:rPr>
        <w:t xml:space="preserve"> </w:t>
      </w:r>
      <w:r w:rsidRPr="00D839A6">
        <w:rPr>
          <w:rFonts w:ascii="Tahoma" w:hAnsi="Tahoma" w:cs="Tahoma"/>
          <w:b/>
          <w:bCs/>
        </w:rPr>
        <w:t xml:space="preserve">CONFIRMAR </w:t>
      </w:r>
      <w:r w:rsidRPr="00D839A6">
        <w:rPr>
          <w:rFonts w:ascii="Tahoma" w:hAnsi="Tahoma" w:cs="Tahoma"/>
          <w:bCs/>
        </w:rPr>
        <w:t>en todo lo demás la sentencia recurrida y consultada.</w:t>
      </w:r>
    </w:p>
    <w:p w14:paraId="7BD46366" w14:textId="77777777" w:rsidR="000A2633" w:rsidRPr="00D839A6" w:rsidRDefault="000A2633" w:rsidP="00D839A6">
      <w:pPr>
        <w:spacing w:line="276" w:lineRule="auto"/>
        <w:jc w:val="both"/>
        <w:rPr>
          <w:rFonts w:ascii="Tahoma" w:hAnsi="Tahoma" w:cs="Tahoma"/>
        </w:rPr>
      </w:pPr>
      <w:r w:rsidRPr="00D839A6">
        <w:rPr>
          <w:rFonts w:ascii="Tahoma" w:hAnsi="Tahoma" w:cs="Tahoma"/>
        </w:rPr>
        <w:t xml:space="preserve"> </w:t>
      </w:r>
    </w:p>
    <w:p w14:paraId="1DF62DC1" w14:textId="5C8E4335" w:rsidR="000A2633" w:rsidRPr="00D839A6" w:rsidRDefault="000A2633" w:rsidP="00D839A6">
      <w:pPr>
        <w:spacing w:line="276" w:lineRule="auto"/>
        <w:ind w:firstLine="708"/>
        <w:jc w:val="both"/>
        <w:rPr>
          <w:rFonts w:ascii="Tahoma" w:eastAsia="Tahoma" w:hAnsi="Tahoma" w:cs="Tahoma"/>
          <w:b/>
          <w:bCs/>
        </w:rPr>
      </w:pPr>
      <w:r w:rsidRPr="00D839A6">
        <w:rPr>
          <w:rFonts w:ascii="Tahoma" w:eastAsia="Tahoma" w:hAnsi="Tahoma" w:cs="Tahoma"/>
          <w:b/>
          <w:bCs/>
          <w:u w:val="single"/>
        </w:rPr>
        <w:t>TERCERO:</w:t>
      </w:r>
      <w:r w:rsidRPr="00D839A6">
        <w:rPr>
          <w:rFonts w:ascii="Tahoma" w:eastAsia="Tahoma" w:hAnsi="Tahoma" w:cs="Tahoma"/>
          <w:b/>
          <w:bCs/>
        </w:rPr>
        <w:t xml:space="preserve"> </w:t>
      </w:r>
      <w:r w:rsidR="783788BF" w:rsidRPr="00D839A6">
        <w:rPr>
          <w:rFonts w:ascii="Tahoma" w:eastAsia="Tahoma" w:hAnsi="Tahoma" w:cs="Tahoma"/>
        </w:rPr>
        <w:t>Sin costas en esta instancia procesal.</w:t>
      </w:r>
    </w:p>
    <w:p w14:paraId="7497CE3F" w14:textId="77777777" w:rsidR="00D839A6" w:rsidRPr="00D839A6" w:rsidRDefault="00D839A6" w:rsidP="00D839A6">
      <w:pPr>
        <w:spacing w:line="276" w:lineRule="auto"/>
        <w:jc w:val="both"/>
        <w:rPr>
          <w:rFonts w:ascii="Tahoma" w:eastAsia="Calibri" w:hAnsi="Tahoma" w:cs="Tahoma"/>
          <w:lang w:val="es-CO" w:eastAsia="en-US"/>
        </w:rPr>
      </w:pPr>
      <w:bookmarkStart w:id="9" w:name="_Hlk126574973"/>
    </w:p>
    <w:p w14:paraId="7ED02E22" w14:textId="77777777" w:rsidR="00D839A6" w:rsidRPr="00D839A6" w:rsidRDefault="00D839A6" w:rsidP="00D839A6">
      <w:pPr>
        <w:spacing w:line="276" w:lineRule="auto"/>
        <w:jc w:val="center"/>
        <w:rPr>
          <w:rFonts w:ascii="Tahoma" w:eastAsia="Tahoma" w:hAnsi="Tahoma" w:cs="Tahoma"/>
          <w:b/>
          <w:bCs/>
          <w:lang w:val="es-CO" w:eastAsia="en-US"/>
        </w:rPr>
      </w:pPr>
      <w:r w:rsidRPr="00D839A6">
        <w:rPr>
          <w:rFonts w:ascii="Tahoma" w:eastAsia="Tahoma" w:hAnsi="Tahoma" w:cs="Tahoma"/>
          <w:b/>
          <w:bCs/>
          <w:lang w:val="es-CO" w:eastAsia="en-US"/>
        </w:rPr>
        <w:t>NOTIFÍQUESE Y CÚMPLASE</w:t>
      </w:r>
    </w:p>
    <w:p w14:paraId="1386DA3F" w14:textId="77777777" w:rsidR="00D839A6" w:rsidRPr="00D839A6" w:rsidRDefault="00D839A6" w:rsidP="00D839A6">
      <w:pPr>
        <w:spacing w:line="276" w:lineRule="auto"/>
        <w:jc w:val="both"/>
        <w:rPr>
          <w:rFonts w:ascii="Tahoma" w:eastAsia="Calibri" w:hAnsi="Tahoma" w:cs="Tahoma"/>
          <w:lang w:val="es-CO" w:eastAsia="en-US"/>
        </w:rPr>
      </w:pPr>
      <w:r w:rsidRPr="00D839A6">
        <w:rPr>
          <w:rFonts w:ascii="Tahoma" w:eastAsia="Calibri" w:hAnsi="Tahoma" w:cs="Tahoma"/>
          <w:lang w:val="es-CO" w:eastAsia="en-US"/>
        </w:rPr>
        <w:t xml:space="preserve"> </w:t>
      </w:r>
    </w:p>
    <w:p w14:paraId="376F5B29" w14:textId="77777777" w:rsidR="00D839A6" w:rsidRPr="00D839A6" w:rsidRDefault="00D839A6" w:rsidP="00D839A6">
      <w:pPr>
        <w:widowControl w:val="0"/>
        <w:autoSpaceDE w:val="0"/>
        <w:autoSpaceDN w:val="0"/>
        <w:adjustRightInd w:val="0"/>
        <w:spacing w:line="276" w:lineRule="auto"/>
        <w:jc w:val="both"/>
        <w:rPr>
          <w:rFonts w:ascii="Tahoma" w:hAnsi="Tahoma" w:cs="Tahoma"/>
          <w:lang w:eastAsia="es-ES"/>
        </w:rPr>
      </w:pPr>
      <w:r w:rsidRPr="00D839A6">
        <w:rPr>
          <w:rFonts w:ascii="Tahoma" w:hAnsi="Tahoma" w:cs="Tahoma"/>
          <w:lang w:eastAsia="es-ES"/>
        </w:rPr>
        <w:tab/>
        <w:t>La Magistrada ponente,</w:t>
      </w:r>
    </w:p>
    <w:p w14:paraId="4608F72E" w14:textId="77777777" w:rsidR="00D839A6" w:rsidRPr="00D839A6" w:rsidRDefault="00D839A6" w:rsidP="00D839A6">
      <w:pPr>
        <w:spacing w:line="276" w:lineRule="auto"/>
        <w:rPr>
          <w:rFonts w:ascii="Tahoma" w:hAnsi="Tahoma" w:cs="Tahoma"/>
          <w:lang w:eastAsia="es-ES"/>
        </w:rPr>
      </w:pPr>
    </w:p>
    <w:p w14:paraId="60FF7DE5" w14:textId="77777777" w:rsidR="00D839A6" w:rsidRPr="00D839A6" w:rsidRDefault="00D839A6" w:rsidP="00D839A6">
      <w:pPr>
        <w:spacing w:line="276" w:lineRule="auto"/>
        <w:rPr>
          <w:rFonts w:ascii="Tahoma" w:hAnsi="Tahoma" w:cs="Tahoma"/>
          <w:lang w:eastAsia="es-ES"/>
        </w:rPr>
      </w:pPr>
    </w:p>
    <w:p w14:paraId="448DA065" w14:textId="77777777" w:rsidR="00D839A6" w:rsidRPr="00D839A6" w:rsidRDefault="00D839A6" w:rsidP="00D839A6">
      <w:pPr>
        <w:spacing w:line="276" w:lineRule="auto"/>
        <w:rPr>
          <w:rFonts w:ascii="Tahoma" w:hAnsi="Tahoma" w:cs="Tahoma"/>
          <w:lang w:eastAsia="es-ES"/>
        </w:rPr>
      </w:pPr>
    </w:p>
    <w:p w14:paraId="084F133E" w14:textId="77777777" w:rsidR="00D839A6" w:rsidRPr="00D839A6" w:rsidRDefault="00D839A6" w:rsidP="00D839A6">
      <w:pPr>
        <w:keepNext/>
        <w:spacing w:line="276" w:lineRule="auto"/>
        <w:jc w:val="center"/>
        <w:outlineLvl w:val="2"/>
        <w:rPr>
          <w:rFonts w:ascii="Tahoma" w:hAnsi="Tahoma" w:cs="Tahoma"/>
          <w:b/>
          <w:bCs/>
          <w:lang w:eastAsia="es-ES"/>
        </w:rPr>
      </w:pPr>
      <w:r w:rsidRPr="00D839A6">
        <w:rPr>
          <w:rFonts w:ascii="Tahoma" w:hAnsi="Tahoma" w:cs="Tahoma"/>
          <w:b/>
          <w:bCs/>
          <w:lang w:eastAsia="es-ES"/>
        </w:rPr>
        <w:t>ANA LUCÍA CAICEDO CALDERÓN</w:t>
      </w:r>
    </w:p>
    <w:p w14:paraId="5CA1EF1D" w14:textId="77777777" w:rsidR="00D839A6" w:rsidRPr="00D839A6" w:rsidRDefault="00D839A6" w:rsidP="00D839A6">
      <w:pPr>
        <w:spacing w:line="276" w:lineRule="auto"/>
        <w:rPr>
          <w:rFonts w:ascii="Tahoma" w:hAnsi="Tahoma" w:cs="Tahoma"/>
          <w:lang w:eastAsia="es-ES"/>
        </w:rPr>
      </w:pPr>
    </w:p>
    <w:p w14:paraId="4B5F1136" w14:textId="77777777" w:rsidR="00D839A6" w:rsidRPr="00D839A6" w:rsidRDefault="00D839A6" w:rsidP="00D839A6">
      <w:pPr>
        <w:spacing w:line="276" w:lineRule="auto"/>
        <w:ind w:firstLine="708"/>
        <w:rPr>
          <w:rFonts w:ascii="Tahoma" w:hAnsi="Tahoma" w:cs="Tahoma"/>
          <w:lang w:eastAsia="es-ES"/>
        </w:rPr>
      </w:pPr>
      <w:bookmarkStart w:id="10" w:name="_Hlk62478330"/>
      <w:r w:rsidRPr="00D839A6">
        <w:rPr>
          <w:rFonts w:ascii="Tahoma" w:hAnsi="Tahoma" w:cs="Tahoma"/>
          <w:lang w:eastAsia="es-ES"/>
        </w:rPr>
        <w:t>La Magistrada y el Magistrado,</w:t>
      </w:r>
    </w:p>
    <w:p w14:paraId="1924311E" w14:textId="77777777" w:rsidR="00D839A6" w:rsidRPr="00D839A6" w:rsidRDefault="00D839A6" w:rsidP="00D839A6">
      <w:pPr>
        <w:spacing w:line="276" w:lineRule="auto"/>
        <w:rPr>
          <w:rFonts w:ascii="Tahoma" w:hAnsi="Tahoma" w:cs="Tahoma"/>
          <w:lang w:eastAsia="es-ES"/>
        </w:rPr>
      </w:pPr>
    </w:p>
    <w:p w14:paraId="1C7CFFFA" w14:textId="77777777" w:rsidR="00D839A6" w:rsidRPr="00D839A6" w:rsidRDefault="00D839A6" w:rsidP="00D839A6">
      <w:pPr>
        <w:spacing w:line="276" w:lineRule="auto"/>
        <w:rPr>
          <w:rFonts w:ascii="Tahoma" w:hAnsi="Tahoma" w:cs="Tahoma"/>
          <w:lang w:eastAsia="es-ES"/>
        </w:rPr>
      </w:pPr>
    </w:p>
    <w:p w14:paraId="0274D684" w14:textId="77777777" w:rsidR="00D839A6" w:rsidRPr="00D839A6" w:rsidRDefault="00D839A6" w:rsidP="00D839A6">
      <w:pPr>
        <w:spacing w:line="276" w:lineRule="auto"/>
        <w:rPr>
          <w:rFonts w:ascii="Tahoma" w:hAnsi="Tahoma" w:cs="Tahoma"/>
          <w:lang w:eastAsia="es-ES"/>
        </w:rPr>
      </w:pPr>
    </w:p>
    <w:p w14:paraId="4817B4E5" w14:textId="440BD52E" w:rsidR="008C0B82" w:rsidRPr="00D839A6" w:rsidRDefault="00D839A6" w:rsidP="00D839A6">
      <w:pPr>
        <w:spacing w:line="276" w:lineRule="auto"/>
        <w:jc w:val="both"/>
        <w:rPr>
          <w:rFonts w:ascii="Tahoma" w:eastAsia="Calibri" w:hAnsi="Tahoma" w:cs="Tahoma"/>
          <w:lang w:eastAsia="en-US"/>
        </w:rPr>
      </w:pPr>
      <w:r w:rsidRPr="00D839A6">
        <w:rPr>
          <w:rFonts w:ascii="Tahoma" w:hAnsi="Tahoma" w:cs="Tahoma"/>
          <w:b/>
          <w:bCs/>
          <w:lang w:eastAsia="es-ES"/>
        </w:rPr>
        <w:t>OLGA LUCÍA HOYOS SEPÚLVEDA</w:t>
      </w:r>
      <w:r w:rsidRPr="00D839A6">
        <w:rPr>
          <w:rFonts w:ascii="Tahoma" w:hAnsi="Tahoma" w:cs="Tahoma"/>
          <w:b/>
          <w:bCs/>
          <w:lang w:eastAsia="es-ES"/>
        </w:rPr>
        <w:tab/>
      </w:r>
      <w:r w:rsidRPr="00D839A6">
        <w:rPr>
          <w:rFonts w:ascii="Tahoma" w:hAnsi="Tahoma" w:cs="Tahoma"/>
          <w:b/>
          <w:bCs/>
          <w:lang w:eastAsia="es-ES"/>
        </w:rPr>
        <w:tab/>
        <w:t xml:space="preserve">GERMÁN DARÍO </w:t>
      </w:r>
      <w:proofErr w:type="spellStart"/>
      <w:r w:rsidRPr="00D839A6">
        <w:rPr>
          <w:rFonts w:ascii="Tahoma" w:hAnsi="Tahoma" w:cs="Tahoma"/>
          <w:b/>
          <w:bCs/>
          <w:lang w:eastAsia="es-ES"/>
        </w:rPr>
        <w:t>GÓEZ</w:t>
      </w:r>
      <w:proofErr w:type="spellEnd"/>
      <w:r w:rsidRPr="00D839A6">
        <w:rPr>
          <w:rFonts w:ascii="Tahoma" w:hAnsi="Tahoma" w:cs="Tahoma"/>
          <w:b/>
          <w:bCs/>
          <w:lang w:eastAsia="es-ES"/>
        </w:rPr>
        <w:t xml:space="preserve"> </w:t>
      </w:r>
      <w:proofErr w:type="spellStart"/>
      <w:r w:rsidRPr="00D839A6">
        <w:rPr>
          <w:rFonts w:ascii="Tahoma" w:hAnsi="Tahoma" w:cs="Tahoma"/>
          <w:b/>
          <w:bCs/>
          <w:lang w:eastAsia="es-ES"/>
        </w:rPr>
        <w:t>VINASCO</w:t>
      </w:r>
      <w:bookmarkEnd w:id="9"/>
      <w:bookmarkEnd w:id="10"/>
      <w:proofErr w:type="spellEnd"/>
    </w:p>
    <w:sectPr w:rsidR="008C0B82" w:rsidRPr="00D839A6" w:rsidSect="00D839A6">
      <w:headerReference w:type="even" r:id="rId11"/>
      <w:headerReference w:type="default" r:id="rId12"/>
      <w:footerReference w:type="default" r:id="rId13"/>
      <w:headerReference w:type="first" r:id="rId14"/>
      <w:footerReference w:type="first" r:id="rId15"/>
      <w:pgSz w:w="12242" w:h="18722"/>
      <w:pgMar w:top="1871" w:right="1304" w:bottom="1304" w:left="1871"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EB7A49" w16cex:dateUtc="2023-09-11T18:56:00Z"/>
  <w16cex:commentExtensible w16cex:durableId="58AB6B51" w16cex:dateUtc="2023-09-12T14:57:29.921Z"/>
  <w16cex:commentExtensible w16cex:durableId="4A2562ED" w16cex:dateUtc="2023-09-12T14:57:44.867Z"/>
  <w16cex:commentExtensible w16cex:durableId="00B148BE" w16cex:dateUtc="2023-09-12T15:00:16.535Z"/>
  <w16cex:commentExtensible w16cex:durableId="26521B97" w16cex:dateUtc="2023-09-14T12:51:05.071Z"/>
  <w16cex:commentExtensible w16cex:durableId="3A62842A" w16cex:dateUtc="2023-09-14T13:23:46.402Z"/>
</w16cex:commentsExtensible>
</file>

<file path=word/commentsIds.xml><?xml version="1.0" encoding="utf-8"?>
<w16cid:commentsIds xmlns:mc="http://schemas.openxmlformats.org/markup-compatibility/2006" xmlns:w16cid="http://schemas.microsoft.com/office/word/2016/wordml/cid" mc:Ignorable="w16cid">
  <w16cid:commentId w16cid:paraId="31F3C939" w16cid:durableId="28EB7A49"/>
  <w16cid:commentId w16cid:paraId="3B2EB67B" w16cid:durableId="58AB6B51"/>
  <w16cid:commentId w16cid:paraId="2429A12B" w16cid:durableId="4A2562ED"/>
  <w16cid:commentId w16cid:paraId="7890863E" w16cid:durableId="00B148BE"/>
  <w16cid:commentId w16cid:paraId="4D97F2F7" w16cid:durableId="26521B97"/>
  <w16cid:commentId w16cid:paraId="59918795" w16cid:durableId="3A6284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64633" w14:textId="77777777" w:rsidR="00F94C5F" w:rsidRDefault="00F94C5F">
      <w:r>
        <w:separator/>
      </w:r>
    </w:p>
  </w:endnote>
  <w:endnote w:type="continuationSeparator" w:id="0">
    <w:p w14:paraId="692D6BB9" w14:textId="77777777" w:rsidR="00F94C5F" w:rsidRDefault="00F9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AE6" w14:textId="3342DE43" w:rsidR="008C0B82" w:rsidRPr="00D839A6" w:rsidRDefault="00B00BC8" w:rsidP="00D839A6">
    <w:pPr>
      <w:pStyle w:val="Ttulo"/>
      <w:spacing w:line="240" w:lineRule="auto"/>
      <w:jc w:val="right"/>
      <w:rPr>
        <w:rFonts w:eastAsia="Tahoma"/>
        <w:b w:val="0"/>
        <w:sz w:val="18"/>
        <w:szCs w:val="18"/>
      </w:rPr>
    </w:pPr>
    <w:r w:rsidRPr="00D839A6">
      <w:rPr>
        <w:rFonts w:eastAsia="Tahoma"/>
        <w:b w:val="0"/>
        <w:sz w:val="18"/>
        <w:szCs w:val="18"/>
      </w:rPr>
      <w:fldChar w:fldCharType="begin"/>
    </w:r>
    <w:r w:rsidRPr="00D839A6">
      <w:rPr>
        <w:rFonts w:eastAsia="Tahoma"/>
        <w:b w:val="0"/>
        <w:sz w:val="18"/>
        <w:szCs w:val="18"/>
      </w:rPr>
      <w:instrText>PAGE</w:instrText>
    </w:r>
    <w:r w:rsidRPr="00D839A6">
      <w:rPr>
        <w:rFonts w:eastAsia="Tahoma"/>
        <w:b w:val="0"/>
        <w:sz w:val="18"/>
        <w:szCs w:val="18"/>
      </w:rPr>
      <w:fldChar w:fldCharType="separate"/>
    </w:r>
    <w:r w:rsidR="003A7760">
      <w:rPr>
        <w:rFonts w:eastAsia="Tahoma"/>
        <w:b w:val="0"/>
        <w:noProof/>
        <w:sz w:val="18"/>
        <w:szCs w:val="18"/>
      </w:rPr>
      <w:t>11</w:t>
    </w:r>
    <w:r w:rsidRPr="00D839A6">
      <w:rPr>
        <w:rFonts w:eastAsia="Tahoma"/>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E961" w14:textId="0385931E" w:rsidR="008C0B82" w:rsidRDefault="00B00BC8">
    <w:pPr>
      <w:pBdr>
        <w:top w:val="nil"/>
        <w:left w:val="nil"/>
        <w:bottom w:val="nil"/>
        <w:right w:val="nil"/>
        <w:between w:val="nil"/>
      </w:pBdr>
      <w:tabs>
        <w:tab w:val="center" w:pos="4252"/>
        <w:tab w:val="right" w:pos="8504"/>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3A7760">
      <w:rPr>
        <w:noProof/>
        <w:color w:val="000000"/>
      </w:rPr>
      <w:t>1</w:t>
    </w:r>
    <w:r>
      <w:rPr>
        <w:color w:val="000000"/>
        <w:shd w:val="clear" w:color="auto" w:fill="E6E6E6"/>
      </w:rPr>
      <w:fldChar w:fldCharType="end"/>
    </w:r>
  </w:p>
  <w:p w14:paraId="4B8D358F" w14:textId="77777777" w:rsidR="008C0B82" w:rsidRDefault="008C0B82">
    <w:pPr>
      <w:pBdr>
        <w:top w:val="nil"/>
        <w:left w:val="nil"/>
        <w:bottom w:val="nil"/>
        <w:right w:val="nil"/>
        <w:between w:val="nil"/>
      </w:pBdr>
      <w:tabs>
        <w:tab w:val="center" w:pos="4252"/>
        <w:tab w:val="right" w:pos="8504"/>
      </w:tabs>
      <w:rPr>
        <w:color w:val="000000"/>
      </w:rPr>
    </w:pPr>
  </w:p>
  <w:p w14:paraId="034C8A97" w14:textId="77777777" w:rsidR="008C0B82" w:rsidRDefault="008C0B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F4DA" w14:textId="77777777" w:rsidR="00F94C5F" w:rsidRDefault="00F94C5F">
      <w:r>
        <w:separator/>
      </w:r>
    </w:p>
  </w:footnote>
  <w:footnote w:type="continuationSeparator" w:id="0">
    <w:p w14:paraId="589F6B19" w14:textId="77777777" w:rsidR="00F94C5F" w:rsidRDefault="00F94C5F">
      <w:r>
        <w:continuationSeparator/>
      </w:r>
    </w:p>
  </w:footnote>
  <w:footnote w:id="1">
    <w:p w14:paraId="11A09791" w14:textId="1FEA00D3" w:rsidR="005917D5" w:rsidRPr="00D839A6" w:rsidRDefault="005917D5"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05, página 1 cuaderno de primera instancia.</w:t>
      </w:r>
    </w:p>
  </w:footnote>
  <w:footnote w:id="2">
    <w:p w14:paraId="7E2451C2" w14:textId="77777777" w:rsidR="00F1039F" w:rsidRPr="00D839A6" w:rsidRDefault="00F1039F"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05, página 12 cuaderno de primera instancia.</w:t>
      </w:r>
    </w:p>
  </w:footnote>
  <w:footnote w:id="3">
    <w:p w14:paraId="619D6EF6" w14:textId="373C0885" w:rsidR="00225163" w:rsidRPr="00D839A6" w:rsidRDefault="00225163"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05, página</w:t>
      </w:r>
      <w:r w:rsidR="000C5255" w:rsidRPr="00D839A6">
        <w:rPr>
          <w:rFonts w:ascii="Arial" w:hAnsi="Arial" w:cs="Arial"/>
          <w:sz w:val="18"/>
        </w:rPr>
        <w:t xml:space="preserve">s 4 a 8 </w:t>
      </w:r>
      <w:r w:rsidRPr="00D839A6">
        <w:rPr>
          <w:rFonts w:ascii="Arial" w:hAnsi="Arial" w:cs="Arial"/>
          <w:sz w:val="18"/>
        </w:rPr>
        <w:t>cuaderno de primera instancia.</w:t>
      </w:r>
    </w:p>
  </w:footnote>
  <w:footnote w:id="4">
    <w:p w14:paraId="544ACE01" w14:textId="77777777" w:rsidR="00082E1A" w:rsidRPr="00D839A6" w:rsidRDefault="00082E1A"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05, página 10 cuaderno de primera instancia.</w:t>
      </w:r>
    </w:p>
  </w:footnote>
  <w:footnote w:id="5">
    <w:p w14:paraId="369B1123" w14:textId="3155580E" w:rsidR="001D74AF" w:rsidRPr="00D839A6" w:rsidRDefault="001D74AF"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05, páginas </w:t>
      </w:r>
      <w:r w:rsidR="004C4DC8" w:rsidRPr="00D839A6">
        <w:rPr>
          <w:rFonts w:ascii="Arial" w:hAnsi="Arial" w:cs="Arial"/>
          <w:sz w:val="18"/>
        </w:rPr>
        <w:t>13 a 20 cuaderno de primera instancia.</w:t>
      </w:r>
    </w:p>
  </w:footnote>
  <w:footnote w:id="6">
    <w:p w14:paraId="1270892B" w14:textId="29790013" w:rsidR="002047BD" w:rsidRPr="00D839A6" w:rsidRDefault="002047BD"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05, página 21 a 24 cuaderno de primera instancia. </w:t>
      </w:r>
    </w:p>
  </w:footnote>
  <w:footnote w:id="7">
    <w:p w14:paraId="41050108" w14:textId="77777777" w:rsidR="00BD6E4E" w:rsidRPr="00D839A6" w:rsidRDefault="00BD6E4E"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05, páginas 29 a 33 cuaderno de primera instancia.</w:t>
      </w:r>
    </w:p>
  </w:footnote>
  <w:footnote w:id="8">
    <w:p w14:paraId="009F7F36" w14:textId="77777777" w:rsidR="008F6DB9" w:rsidRPr="00D839A6" w:rsidRDefault="008F6DB9"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05, páginas 39 a 42 cuaderno de primera instancia</w:t>
      </w:r>
    </w:p>
  </w:footnote>
  <w:footnote w:id="9">
    <w:p w14:paraId="0E3BDD13" w14:textId="73D13BED" w:rsidR="009B3A7C" w:rsidRPr="00D839A6" w:rsidRDefault="009B3A7C"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14, página 313 cuaderno de primera instancia. </w:t>
      </w:r>
    </w:p>
  </w:footnote>
  <w:footnote w:id="10">
    <w:p w14:paraId="0708E590" w14:textId="590F6815" w:rsidR="000C3420" w:rsidRPr="00D839A6" w:rsidRDefault="000C3420"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14, página </w:t>
      </w:r>
      <w:r w:rsidR="00745041" w:rsidRPr="00D839A6">
        <w:rPr>
          <w:rFonts w:ascii="Arial" w:hAnsi="Arial" w:cs="Arial"/>
          <w:sz w:val="18"/>
        </w:rPr>
        <w:t xml:space="preserve">355 </w:t>
      </w:r>
      <w:r w:rsidRPr="00D839A6">
        <w:rPr>
          <w:rFonts w:ascii="Arial" w:hAnsi="Arial" w:cs="Arial"/>
          <w:sz w:val="18"/>
        </w:rPr>
        <w:t>cuaderno de primera instancia.</w:t>
      </w:r>
    </w:p>
  </w:footnote>
  <w:footnote w:id="11">
    <w:p w14:paraId="31233A66" w14:textId="2DE348A7" w:rsidR="004F7DC3" w:rsidRPr="00D839A6" w:rsidRDefault="004F7DC3"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w:t>
      </w:r>
      <w:r w:rsidR="000759D7" w:rsidRPr="00D839A6">
        <w:rPr>
          <w:rFonts w:ascii="Arial" w:hAnsi="Arial" w:cs="Arial"/>
          <w:sz w:val="18"/>
        </w:rPr>
        <w:t xml:space="preserve">Archivo </w:t>
      </w:r>
      <w:r w:rsidR="00095C04" w:rsidRPr="00D839A6">
        <w:rPr>
          <w:rFonts w:ascii="Arial" w:hAnsi="Arial" w:cs="Arial"/>
          <w:sz w:val="18"/>
        </w:rPr>
        <w:t>14, página 441 cuaderno de primera instancia.</w:t>
      </w:r>
    </w:p>
  </w:footnote>
  <w:footnote w:id="12">
    <w:p w14:paraId="092B2321" w14:textId="7BBEBAF5" w:rsidR="004F7DC3" w:rsidRPr="00D839A6" w:rsidRDefault="004F7DC3"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14, página 354 cuaderno de primera instancia. </w:t>
      </w:r>
    </w:p>
  </w:footnote>
  <w:footnote w:id="13">
    <w:p w14:paraId="7E7E3DC2" w14:textId="00140F76" w:rsidR="00BF3BED" w:rsidRPr="00D839A6" w:rsidRDefault="00BF3BED"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14, página 314</w:t>
      </w:r>
      <w:r w:rsidR="00AE2E6C" w:rsidRPr="00D839A6">
        <w:rPr>
          <w:rFonts w:ascii="Arial" w:hAnsi="Arial" w:cs="Arial"/>
          <w:sz w:val="18"/>
        </w:rPr>
        <w:t xml:space="preserve"> cuaderno de primera instancia. </w:t>
      </w:r>
    </w:p>
  </w:footnote>
  <w:footnote w:id="14">
    <w:p w14:paraId="4C143FE0" w14:textId="77777777" w:rsidR="00BF3BED" w:rsidRPr="00D839A6" w:rsidRDefault="00BF3BED"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14, página 356 cuaderno de primera instancia</w:t>
      </w:r>
    </w:p>
  </w:footnote>
  <w:footnote w:id="15">
    <w:p w14:paraId="0B391EB6" w14:textId="77D07F7B" w:rsidR="000759D7" w:rsidRPr="00D839A6" w:rsidRDefault="000759D7"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14, página 448 cuaderno de primera instancia</w:t>
      </w:r>
    </w:p>
  </w:footnote>
  <w:footnote w:id="16">
    <w:p w14:paraId="2CAB3CC0" w14:textId="6AB8F0A2" w:rsidR="00691531" w:rsidRPr="00D839A6" w:rsidRDefault="00691531" w:rsidP="00D839A6">
      <w:pPr>
        <w:pStyle w:val="Textonotapie"/>
        <w:jc w:val="both"/>
        <w:rPr>
          <w:rFonts w:ascii="Arial" w:hAnsi="Arial" w:cs="Arial"/>
          <w:sz w:val="18"/>
        </w:rPr>
      </w:pPr>
      <w:r w:rsidRPr="00D839A6">
        <w:rPr>
          <w:rStyle w:val="Refdenotaalpie"/>
          <w:rFonts w:ascii="Arial" w:hAnsi="Arial" w:cs="Arial"/>
          <w:sz w:val="18"/>
        </w:rPr>
        <w:footnoteRef/>
      </w:r>
      <w:r w:rsidRPr="00D839A6">
        <w:rPr>
          <w:rFonts w:ascii="Arial" w:hAnsi="Arial" w:cs="Arial"/>
          <w:sz w:val="18"/>
        </w:rPr>
        <w:t xml:space="preserve"> Archivo 07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5319" w14:textId="77777777" w:rsidR="008C0B82" w:rsidRDefault="00B00BC8">
    <w:pPr>
      <w:pBdr>
        <w:top w:val="nil"/>
        <w:left w:val="nil"/>
        <w:bottom w:val="nil"/>
        <w:right w:val="nil"/>
        <w:between w:val="nil"/>
      </w:pBdr>
      <w:tabs>
        <w:tab w:val="center" w:pos="4419"/>
        <w:tab w:val="right" w:pos="8838"/>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1825BA4E" w14:textId="77777777" w:rsidR="008C0B82" w:rsidRDefault="008C0B82">
    <w:pPr>
      <w:pBdr>
        <w:top w:val="nil"/>
        <w:left w:val="nil"/>
        <w:bottom w:val="nil"/>
        <w:right w:val="nil"/>
        <w:between w:val="nil"/>
      </w:pBdr>
      <w:tabs>
        <w:tab w:val="center" w:pos="4419"/>
        <w:tab w:val="right" w:pos="8838"/>
      </w:tabs>
      <w:rPr>
        <w:color w:val="000000"/>
      </w:rPr>
    </w:pPr>
  </w:p>
  <w:p w14:paraId="7A68FC1A" w14:textId="77777777" w:rsidR="008C0B82" w:rsidRDefault="008C0B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7110" w14:textId="5D85B6C8" w:rsidR="00896408" w:rsidRPr="00D839A6" w:rsidRDefault="00896408" w:rsidP="00D839A6">
    <w:pPr>
      <w:pStyle w:val="Ttulo"/>
      <w:spacing w:line="240" w:lineRule="auto"/>
      <w:jc w:val="both"/>
      <w:rPr>
        <w:rFonts w:eastAsia="Tahoma"/>
        <w:b w:val="0"/>
        <w:sz w:val="18"/>
        <w:szCs w:val="18"/>
      </w:rPr>
    </w:pPr>
    <w:r w:rsidRPr="00D839A6">
      <w:rPr>
        <w:rFonts w:eastAsia="Tahoma"/>
        <w:b w:val="0"/>
        <w:sz w:val="18"/>
        <w:szCs w:val="18"/>
      </w:rPr>
      <w:t>Radicación No.:</w:t>
    </w:r>
    <w:r w:rsidRPr="00D839A6">
      <w:rPr>
        <w:rFonts w:eastAsia="Tahoma"/>
        <w:b w:val="0"/>
        <w:sz w:val="18"/>
        <w:szCs w:val="18"/>
      </w:rPr>
      <w:tab/>
      <w:t>66001-31-05-003-2021-00065-01</w:t>
    </w:r>
  </w:p>
  <w:p w14:paraId="5E68B2B7" w14:textId="2C4DFFEC" w:rsidR="00896408" w:rsidRPr="00D839A6" w:rsidRDefault="00896408" w:rsidP="00D839A6">
    <w:pPr>
      <w:pStyle w:val="Ttulo"/>
      <w:spacing w:line="240" w:lineRule="auto"/>
      <w:jc w:val="both"/>
      <w:rPr>
        <w:rFonts w:eastAsia="Tahoma"/>
        <w:b w:val="0"/>
        <w:sz w:val="18"/>
        <w:szCs w:val="18"/>
      </w:rPr>
    </w:pPr>
    <w:r w:rsidRPr="00D839A6">
      <w:rPr>
        <w:rFonts w:eastAsia="Tahoma"/>
        <w:b w:val="0"/>
        <w:sz w:val="18"/>
        <w:szCs w:val="18"/>
      </w:rPr>
      <w:t>Demandante:</w:t>
    </w:r>
    <w:r w:rsidRPr="00D839A6">
      <w:rPr>
        <w:rFonts w:eastAsia="Tahoma"/>
        <w:b w:val="0"/>
        <w:sz w:val="18"/>
        <w:szCs w:val="18"/>
      </w:rPr>
      <w:tab/>
      <w:t>Ana Rita Rodríguez de Ayala</w:t>
    </w:r>
  </w:p>
  <w:p w14:paraId="405FC8AA" w14:textId="2CC3D7FA" w:rsidR="009509D0" w:rsidRPr="00D839A6" w:rsidRDefault="00896408" w:rsidP="00D839A6">
    <w:pPr>
      <w:pStyle w:val="Ttulo"/>
      <w:spacing w:line="240" w:lineRule="auto"/>
      <w:jc w:val="both"/>
      <w:rPr>
        <w:rFonts w:eastAsia="Tahoma"/>
        <w:b w:val="0"/>
        <w:sz w:val="18"/>
        <w:szCs w:val="18"/>
      </w:rPr>
    </w:pPr>
    <w:r w:rsidRPr="00D839A6">
      <w:rPr>
        <w:rFonts w:eastAsia="Tahoma"/>
        <w:b w:val="0"/>
        <w:sz w:val="18"/>
        <w:szCs w:val="18"/>
      </w:rPr>
      <w:t>Demandado:</w:t>
    </w:r>
    <w:r w:rsidR="00D839A6">
      <w:rPr>
        <w:rFonts w:eastAsia="Tahoma"/>
        <w:b w:val="0"/>
        <w:sz w:val="18"/>
        <w:szCs w:val="18"/>
      </w:rPr>
      <w:tab/>
    </w:r>
    <w:r w:rsidRPr="00D839A6">
      <w:rPr>
        <w:rFonts w:eastAsia="Tahoma"/>
        <w:b w:val="0"/>
        <w:sz w:val="18"/>
        <w:szCs w:val="18"/>
      </w:rPr>
      <w:t>Colpensiones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95"/>
      <w:gridCol w:w="3095"/>
      <w:gridCol w:w="3095"/>
    </w:tblGrid>
    <w:tr w:rsidR="19F0568F" w14:paraId="2B5CA8D5" w14:textId="77777777" w:rsidTr="19F0568F">
      <w:trPr>
        <w:trHeight w:val="300"/>
      </w:trPr>
      <w:tc>
        <w:tcPr>
          <w:tcW w:w="3095" w:type="dxa"/>
        </w:tcPr>
        <w:p w14:paraId="5BC486F6" w14:textId="2C13E9B9" w:rsidR="19F0568F" w:rsidRDefault="19F0568F" w:rsidP="19F0568F">
          <w:pPr>
            <w:pStyle w:val="Encabezado"/>
            <w:ind w:left="-115"/>
          </w:pPr>
        </w:p>
      </w:tc>
      <w:tc>
        <w:tcPr>
          <w:tcW w:w="3095" w:type="dxa"/>
        </w:tcPr>
        <w:p w14:paraId="734A00D2" w14:textId="16DABAA7" w:rsidR="19F0568F" w:rsidRDefault="19F0568F" w:rsidP="19F0568F">
          <w:pPr>
            <w:pStyle w:val="Encabezado"/>
            <w:jc w:val="center"/>
          </w:pPr>
        </w:p>
      </w:tc>
      <w:tc>
        <w:tcPr>
          <w:tcW w:w="3095" w:type="dxa"/>
        </w:tcPr>
        <w:p w14:paraId="1500989C" w14:textId="6C57DF6E" w:rsidR="19F0568F" w:rsidRDefault="19F0568F" w:rsidP="19F0568F">
          <w:pPr>
            <w:pStyle w:val="Encabezado"/>
            <w:ind w:right="-115"/>
            <w:jc w:val="right"/>
          </w:pPr>
        </w:p>
      </w:tc>
    </w:tr>
  </w:tbl>
  <w:p w14:paraId="4D0E1B47" w14:textId="436D0A19" w:rsidR="19F0568F" w:rsidRDefault="19F0568F" w:rsidP="19F056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64"/>
    <w:multiLevelType w:val="multilevel"/>
    <w:tmpl w:val="42AE70E8"/>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E87304"/>
    <w:multiLevelType w:val="multilevel"/>
    <w:tmpl w:val="4D007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F700B"/>
    <w:multiLevelType w:val="multilevel"/>
    <w:tmpl w:val="705A8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DA2CCC"/>
    <w:multiLevelType w:val="multilevel"/>
    <w:tmpl w:val="8E44335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7763A55"/>
    <w:multiLevelType w:val="multilevel"/>
    <w:tmpl w:val="3E1073CC"/>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2A07F28"/>
    <w:multiLevelType w:val="multilevel"/>
    <w:tmpl w:val="FBC6A11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F366BEC"/>
    <w:multiLevelType w:val="multilevel"/>
    <w:tmpl w:val="00DEC67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3427351"/>
    <w:multiLevelType w:val="multilevel"/>
    <w:tmpl w:val="7458C200"/>
    <w:lvl w:ilvl="0">
      <w:start w:val="5"/>
      <w:numFmt w:val="decimal"/>
      <w:lvlText w:val="%1."/>
      <w:lvlJc w:val="left"/>
      <w:pPr>
        <w:ind w:left="450" w:hanging="450"/>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8" w15:restartNumberingAfterBreak="0">
    <w:nsid w:val="50365ADF"/>
    <w:multiLevelType w:val="multilevel"/>
    <w:tmpl w:val="EE247B8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5FEDE4F3"/>
    <w:multiLevelType w:val="hybridMultilevel"/>
    <w:tmpl w:val="CB365846"/>
    <w:lvl w:ilvl="0" w:tplc="F458604E">
      <w:numFmt w:val="none"/>
      <w:lvlText w:val=""/>
      <w:lvlJc w:val="left"/>
      <w:pPr>
        <w:tabs>
          <w:tab w:val="num" w:pos="360"/>
        </w:tabs>
      </w:pPr>
    </w:lvl>
    <w:lvl w:ilvl="1" w:tplc="27FC6858">
      <w:start w:val="1"/>
      <w:numFmt w:val="lowerLetter"/>
      <w:lvlText w:val="%2."/>
      <w:lvlJc w:val="left"/>
      <w:pPr>
        <w:ind w:left="1440" w:hanging="360"/>
      </w:pPr>
    </w:lvl>
    <w:lvl w:ilvl="2" w:tplc="6C66E820">
      <w:start w:val="1"/>
      <w:numFmt w:val="lowerRoman"/>
      <w:lvlText w:val="%3."/>
      <w:lvlJc w:val="right"/>
      <w:pPr>
        <w:ind w:left="2160" w:hanging="180"/>
      </w:pPr>
    </w:lvl>
    <w:lvl w:ilvl="3" w:tplc="D8747F54">
      <w:start w:val="1"/>
      <w:numFmt w:val="decimal"/>
      <w:lvlText w:val="%4."/>
      <w:lvlJc w:val="left"/>
      <w:pPr>
        <w:ind w:left="2880" w:hanging="360"/>
      </w:pPr>
    </w:lvl>
    <w:lvl w:ilvl="4" w:tplc="351A8C4E">
      <w:start w:val="1"/>
      <w:numFmt w:val="lowerLetter"/>
      <w:lvlText w:val="%5."/>
      <w:lvlJc w:val="left"/>
      <w:pPr>
        <w:ind w:left="3600" w:hanging="360"/>
      </w:pPr>
    </w:lvl>
    <w:lvl w:ilvl="5" w:tplc="3848848E">
      <w:start w:val="1"/>
      <w:numFmt w:val="lowerRoman"/>
      <w:lvlText w:val="%6."/>
      <w:lvlJc w:val="right"/>
      <w:pPr>
        <w:ind w:left="4320" w:hanging="180"/>
      </w:pPr>
    </w:lvl>
    <w:lvl w:ilvl="6" w:tplc="E126F84A">
      <w:start w:val="1"/>
      <w:numFmt w:val="decimal"/>
      <w:lvlText w:val="%7."/>
      <w:lvlJc w:val="left"/>
      <w:pPr>
        <w:ind w:left="5040" w:hanging="360"/>
      </w:pPr>
    </w:lvl>
    <w:lvl w:ilvl="7" w:tplc="D520E2A8">
      <w:start w:val="1"/>
      <w:numFmt w:val="lowerLetter"/>
      <w:lvlText w:val="%8."/>
      <w:lvlJc w:val="left"/>
      <w:pPr>
        <w:ind w:left="5760" w:hanging="360"/>
      </w:pPr>
    </w:lvl>
    <w:lvl w:ilvl="8" w:tplc="071AE6AA">
      <w:start w:val="1"/>
      <w:numFmt w:val="lowerRoman"/>
      <w:lvlText w:val="%9."/>
      <w:lvlJc w:val="right"/>
      <w:pPr>
        <w:ind w:left="6480" w:hanging="180"/>
      </w:pPr>
    </w:lvl>
  </w:abstractNum>
  <w:abstractNum w:abstractNumId="10" w15:restartNumberingAfterBreak="0">
    <w:nsid w:val="60F84AB4"/>
    <w:multiLevelType w:val="multilevel"/>
    <w:tmpl w:val="4DA665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48B0054"/>
    <w:multiLevelType w:val="multilevel"/>
    <w:tmpl w:val="77DCAECA"/>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6BA85651"/>
    <w:multiLevelType w:val="multilevel"/>
    <w:tmpl w:val="301CFF86"/>
    <w:lvl w:ilvl="0">
      <w:start w:val="6"/>
      <w:numFmt w:val="decimal"/>
      <w:pStyle w:val="Listaconvietas"/>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4" w15:restartNumberingAfterBreak="0">
    <w:nsid w:val="6C8F7F7A"/>
    <w:multiLevelType w:val="multilevel"/>
    <w:tmpl w:val="FE92D00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6D3B35D7"/>
    <w:multiLevelType w:val="multilevel"/>
    <w:tmpl w:val="81146A84"/>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16" w15:restartNumberingAfterBreak="0">
    <w:nsid w:val="718A08EF"/>
    <w:multiLevelType w:val="multilevel"/>
    <w:tmpl w:val="ED9ACF42"/>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num w:numId="1">
    <w:abstractNumId w:val="9"/>
  </w:num>
  <w:num w:numId="2">
    <w:abstractNumId w:val="13"/>
  </w:num>
  <w:num w:numId="3">
    <w:abstractNumId w:val="12"/>
  </w:num>
  <w:num w:numId="4">
    <w:abstractNumId w:val="14"/>
  </w:num>
  <w:num w:numId="5">
    <w:abstractNumId w:val="1"/>
  </w:num>
  <w:num w:numId="6">
    <w:abstractNumId w:val="0"/>
  </w:num>
  <w:num w:numId="7">
    <w:abstractNumId w:val="6"/>
  </w:num>
  <w:num w:numId="8">
    <w:abstractNumId w:val="10"/>
  </w:num>
  <w:num w:numId="9">
    <w:abstractNumId w:val="2"/>
  </w:num>
  <w:num w:numId="10">
    <w:abstractNumId w:val="3"/>
  </w:num>
  <w:num w:numId="11">
    <w:abstractNumId w:val="16"/>
  </w:num>
  <w:num w:numId="12">
    <w:abstractNumId w:val="4"/>
  </w:num>
  <w:num w:numId="13">
    <w:abstractNumId w:val="7"/>
  </w:num>
  <w:num w:numId="14">
    <w:abstractNumId w:val="11"/>
  </w:num>
  <w:num w:numId="15">
    <w:abstractNumId w:val="8"/>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2"/>
    <w:rsid w:val="0000153A"/>
    <w:rsid w:val="00001B28"/>
    <w:rsid w:val="00001D42"/>
    <w:rsid w:val="0000460E"/>
    <w:rsid w:val="00004EEA"/>
    <w:rsid w:val="0000541E"/>
    <w:rsid w:val="000054A2"/>
    <w:rsid w:val="00005571"/>
    <w:rsid w:val="00005E35"/>
    <w:rsid w:val="00006477"/>
    <w:rsid w:val="0000773E"/>
    <w:rsid w:val="00007A67"/>
    <w:rsid w:val="00007D72"/>
    <w:rsid w:val="000114F2"/>
    <w:rsid w:val="00012937"/>
    <w:rsid w:val="00013D2B"/>
    <w:rsid w:val="000140B4"/>
    <w:rsid w:val="0001660B"/>
    <w:rsid w:val="00016C9A"/>
    <w:rsid w:val="00017F67"/>
    <w:rsid w:val="00020722"/>
    <w:rsid w:val="00021E91"/>
    <w:rsid w:val="00023118"/>
    <w:rsid w:val="000237E1"/>
    <w:rsid w:val="00023C98"/>
    <w:rsid w:val="00026DBC"/>
    <w:rsid w:val="00030476"/>
    <w:rsid w:val="00030743"/>
    <w:rsid w:val="00031A63"/>
    <w:rsid w:val="00034339"/>
    <w:rsid w:val="00035DE5"/>
    <w:rsid w:val="0003619C"/>
    <w:rsid w:val="00036567"/>
    <w:rsid w:val="000368F3"/>
    <w:rsid w:val="0003699B"/>
    <w:rsid w:val="00036F80"/>
    <w:rsid w:val="0003712A"/>
    <w:rsid w:val="0004037A"/>
    <w:rsid w:val="00043682"/>
    <w:rsid w:val="00043C3D"/>
    <w:rsid w:val="00043E25"/>
    <w:rsid w:val="00044016"/>
    <w:rsid w:val="00044456"/>
    <w:rsid w:val="000444D4"/>
    <w:rsid w:val="0004615F"/>
    <w:rsid w:val="00046975"/>
    <w:rsid w:val="00047913"/>
    <w:rsid w:val="00047AFF"/>
    <w:rsid w:val="000501C3"/>
    <w:rsid w:val="0005089B"/>
    <w:rsid w:val="0005290E"/>
    <w:rsid w:val="000539D0"/>
    <w:rsid w:val="000542E8"/>
    <w:rsid w:val="000563C9"/>
    <w:rsid w:val="00056AFE"/>
    <w:rsid w:val="000603D3"/>
    <w:rsid w:val="00060964"/>
    <w:rsid w:val="00060B1E"/>
    <w:rsid w:val="0006153E"/>
    <w:rsid w:val="00061540"/>
    <w:rsid w:val="00063C0F"/>
    <w:rsid w:val="00063CBC"/>
    <w:rsid w:val="0006469A"/>
    <w:rsid w:val="0006480E"/>
    <w:rsid w:val="00065ABA"/>
    <w:rsid w:val="00065B91"/>
    <w:rsid w:val="00065FBA"/>
    <w:rsid w:val="00066C86"/>
    <w:rsid w:val="0007183A"/>
    <w:rsid w:val="00071B0A"/>
    <w:rsid w:val="00072B99"/>
    <w:rsid w:val="000730FF"/>
    <w:rsid w:val="0007416A"/>
    <w:rsid w:val="000759D7"/>
    <w:rsid w:val="0007668E"/>
    <w:rsid w:val="00076D53"/>
    <w:rsid w:val="00077181"/>
    <w:rsid w:val="00077390"/>
    <w:rsid w:val="00077398"/>
    <w:rsid w:val="00080963"/>
    <w:rsid w:val="00080E55"/>
    <w:rsid w:val="00082D9F"/>
    <w:rsid w:val="00082E1A"/>
    <w:rsid w:val="00083726"/>
    <w:rsid w:val="000838DB"/>
    <w:rsid w:val="00083B70"/>
    <w:rsid w:val="00083DE5"/>
    <w:rsid w:val="0008459F"/>
    <w:rsid w:val="00084691"/>
    <w:rsid w:val="000857D1"/>
    <w:rsid w:val="00090284"/>
    <w:rsid w:val="00092DD6"/>
    <w:rsid w:val="00094A34"/>
    <w:rsid w:val="00094DD5"/>
    <w:rsid w:val="00095C04"/>
    <w:rsid w:val="00095EB6"/>
    <w:rsid w:val="000966B0"/>
    <w:rsid w:val="0009741F"/>
    <w:rsid w:val="00097D4C"/>
    <w:rsid w:val="00097E8E"/>
    <w:rsid w:val="000A208F"/>
    <w:rsid w:val="000A2633"/>
    <w:rsid w:val="000A26EB"/>
    <w:rsid w:val="000A3323"/>
    <w:rsid w:val="000A40A1"/>
    <w:rsid w:val="000A40B0"/>
    <w:rsid w:val="000A4BB8"/>
    <w:rsid w:val="000A5DA5"/>
    <w:rsid w:val="000A68CE"/>
    <w:rsid w:val="000A6A5A"/>
    <w:rsid w:val="000B0DCD"/>
    <w:rsid w:val="000B137B"/>
    <w:rsid w:val="000B162E"/>
    <w:rsid w:val="000B2F3D"/>
    <w:rsid w:val="000B35FE"/>
    <w:rsid w:val="000B3E8E"/>
    <w:rsid w:val="000B3EFE"/>
    <w:rsid w:val="000B4F3B"/>
    <w:rsid w:val="000B7A5B"/>
    <w:rsid w:val="000C17EF"/>
    <w:rsid w:val="000C3420"/>
    <w:rsid w:val="000C48E2"/>
    <w:rsid w:val="000C5255"/>
    <w:rsid w:val="000C5C7D"/>
    <w:rsid w:val="000D15C2"/>
    <w:rsid w:val="000D194B"/>
    <w:rsid w:val="000E13A7"/>
    <w:rsid w:val="000E178C"/>
    <w:rsid w:val="000E1AB7"/>
    <w:rsid w:val="000E1C15"/>
    <w:rsid w:val="000E3179"/>
    <w:rsid w:val="000E3A81"/>
    <w:rsid w:val="000E41E6"/>
    <w:rsid w:val="000E4853"/>
    <w:rsid w:val="000E48D3"/>
    <w:rsid w:val="000E49A6"/>
    <w:rsid w:val="000E5992"/>
    <w:rsid w:val="000E5EF0"/>
    <w:rsid w:val="000E7918"/>
    <w:rsid w:val="000E7C26"/>
    <w:rsid w:val="000F0481"/>
    <w:rsid w:val="000F3D4F"/>
    <w:rsid w:val="000F4EBE"/>
    <w:rsid w:val="000F5717"/>
    <w:rsid w:val="000F726B"/>
    <w:rsid w:val="0010034F"/>
    <w:rsid w:val="0010093F"/>
    <w:rsid w:val="00101758"/>
    <w:rsid w:val="00101D1B"/>
    <w:rsid w:val="00102C4F"/>
    <w:rsid w:val="00102FC3"/>
    <w:rsid w:val="00103864"/>
    <w:rsid w:val="001053FA"/>
    <w:rsid w:val="00105682"/>
    <w:rsid w:val="0010684B"/>
    <w:rsid w:val="001076E5"/>
    <w:rsid w:val="00107DE7"/>
    <w:rsid w:val="00107FD7"/>
    <w:rsid w:val="001107C0"/>
    <w:rsid w:val="001108EB"/>
    <w:rsid w:val="001114F8"/>
    <w:rsid w:val="00113A79"/>
    <w:rsid w:val="00114105"/>
    <w:rsid w:val="00115614"/>
    <w:rsid w:val="001157D7"/>
    <w:rsid w:val="0011698A"/>
    <w:rsid w:val="001204A4"/>
    <w:rsid w:val="00120665"/>
    <w:rsid w:val="00121649"/>
    <w:rsid w:val="001248FA"/>
    <w:rsid w:val="00124977"/>
    <w:rsid w:val="00126B2B"/>
    <w:rsid w:val="00126CC6"/>
    <w:rsid w:val="00127B55"/>
    <w:rsid w:val="00132080"/>
    <w:rsid w:val="00135DA2"/>
    <w:rsid w:val="00137825"/>
    <w:rsid w:val="00140822"/>
    <w:rsid w:val="00140E6F"/>
    <w:rsid w:val="00141098"/>
    <w:rsid w:val="001411B0"/>
    <w:rsid w:val="001450D1"/>
    <w:rsid w:val="00146962"/>
    <w:rsid w:val="0015274A"/>
    <w:rsid w:val="00156BA1"/>
    <w:rsid w:val="0016063E"/>
    <w:rsid w:val="00160EC9"/>
    <w:rsid w:val="00162ACA"/>
    <w:rsid w:val="00163AE0"/>
    <w:rsid w:val="00165A6B"/>
    <w:rsid w:val="00167CAC"/>
    <w:rsid w:val="00167D6D"/>
    <w:rsid w:val="00171375"/>
    <w:rsid w:val="001716B2"/>
    <w:rsid w:val="00171C0A"/>
    <w:rsid w:val="00172F59"/>
    <w:rsid w:val="0017333D"/>
    <w:rsid w:val="001779CA"/>
    <w:rsid w:val="00181712"/>
    <w:rsid w:val="00181A0C"/>
    <w:rsid w:val="0018252D"/>
    <w:rsid w:val="001832C8"/>
    <w:rsid w:val="00183B7E"/>
    <w:rsid w:val="00183CA1"/>
    <w:rsid w:val="00185348"/>
    <w:rsid w:val="00185754"/>
    <w:rsid w:val="00190CC3"/>
    <w:rsid w:val="00193C77"/>
    <w:rsid w:val="00194781"/>
    <w:rsid w:val="00194D3E"/>
    <w:rsid w:val="00195F14"/>
    <w:rsid w:val="00196214"/>
    <w:rsid w:val="001970CC"/>
    <w:rsid w:val="00197947"/>
    <w:rsid w:val="001979A8"/>
    <w:rsid w:val="00197F42"/>
    <w:rsid w:val="001A032C"/>
    <w:rsid w:val="001A0B72"/>
    <w:rsid w:val="001A140F"/>
    <w:rsid w:val="001A1A20"/>
    <w:rsid w:val="001A3074"/>
    <w:rsid w:val="001A3301"/>
    <w:rsid w:val="001A5D62"/>
    <w:rsid w:val="001A7606"/>
    <w:rsid w:val="001A7AA3"/>
    <w:rsid w:val="001A7DE9"/>
    <w:rsid w:val="001B0267"/>
    <w:rsid w:val="001B0A4F"/>
    <w:rsid w:val="001B0CDF"/>
    <w:rsid w:val="001B3DC8"/>
    <w:rsid w:val="001B5B6E"/>
    <w:rsid w:val="001B61BA"/>
    <w:rsid w:val="001B7A89"/>
    <w:rsid w:val="001C008D"/>
    <w:rsid w:val="001C160B"/>
    <w:rsid w:val="001C337D"/>
    <w:rsid w:val="001C4315"/>
    <w:rsid w:val="001C5561"/>
    <w:rsid w:val="001C744A"/>
    <w:rsid w:val="001C768D"/>
    <w:rsid w:val="001D0435"/>
    <w:rsid w:val="001D0E56"/>
    <w:rsid w:val="001D257F"/>
    <w:rsid w:val="001D2662"/>
    <w:rsid w:val="001D3B0F"/>
    <w:rsid w:val="001D4CC2"/>
    <w:rsid w:val="001D55E9"/>
    <w:rsid w:val="001D5B6E"/>
    <w:rsid w:val="001D5D0A"/>
    <w:rsid w:val="001D7422"/>
    <w:rsid w:val="001D74AF"/>
    <w:rsid w:val="001E0E92"/>
    <w:rsid w:val="001E1F14"/>
    <w:rsid w:val="001E33BA"/>
    <w:rsid w:val="001E3762"/>
    <w:rsid w:val="001E4042"/>
    <w:rsid w:val="001E4D5E"/>
    <w:rsid w:val="001E52F7"/>
    <w:rsid w:val="001E66FE"/>
    <w:rsid w:val="001E6D6C"/>
    <w:rsid w:val="001E705C"/>
    <w:rsid w:val="001E7A48"/>
    <w:rsid w:val="001E7C3D"/>
    <w:rsid w:val="001F193E"/>
    <w:rsid w:val="001F1E23"/>
    <w:rsid w:val="001F1EE2"/>
    <w:rsid w:val="001F2842"/>
    <w:rsid w:val="001F2EC7"/>
    <w:rsid w:val="001F3FEE"/>
    <w:rsid w:val="001F488E"/>
    <w:rsid w:val="001F70E7"/>
    <w:rsid w:val="001F7708"/>
    <w:rsid w:val="001F7BCB"/>
    <w:rsid w:val="001F7E8F"/>
    <w:rsid w:val="00200394"/>
    <w:rsid w:val="0020131D"/>
    <w:rsid w:val="00201842"/>
    <w:rsid w:val="002018D6"/>
    <w:rsid w:val="0020242E"/>
    <w:rsid w:val="00202E01"/>
    <w:rsid w:val="00203CF4"/>
    <w:rsid w:val="00203F43"/>
    <w:rsid w:val="002047BD"/>
    <w:rsid w:val="00204CCC"/>
    <w:rsid w:val="00206F8A"/>
    <w:rsid w:val="0020702F"/>
    <w:rsid w:val="0020710A"/>
    <w:rsid w:val="00207C37"/>
    <w:rsid w:val="00210EEB"/>
    <w:rsid w:val="00211D97"/>
    <w:rsid w:val="00216848"/>
    <w:rsid w:val="00216F80"/>
    <w:rsid w:val="002202F7"/>
    <w:rsid w:val="00220653"/>
    <w:rsid w:val="00221029"/>
    <w:rsid w:val="002210E8"/>
    <w:rsid w:val="002211EB"/>
    <w:rsid w:val="00223623"/>
    <w:rsid w:val="0022401C"/>
    <w:rsid w:val="00224EBA"/>
    <w:rsid w:val="00225163"/>
    <w:rsid w:val="00225A58"/>
    <w:rsid w:val="00225AD2"/>
    <w:rsid w:val="00225BCB"/>
    <w:rsid w:val="00225CBF"/>
    <w:rsid w:val="002277B7"/>
    <w:rsid w:val="0022792E"/>
    <w:rsid w:val="00230D38"/>
    <w:rsid w:val="002315EF"/>
    <w:rsid w:val="002319F8"/>
    <w:rsid w:val="00232487"/>
    <w:rsid w:val="002326C4"/>
    <w:rsid w:val="0023273C"/>
    <w:rsid w:val="00232F08"/>
    <w:rsid w:val="00233C69"/>
    <w:rsid w:val="00233E44"/>
    <w:rsid w:val="00234CEF"/>
    <w:rsid w:val="00235DEB"/>
    <w:rsid w:val="00236090"/>
    <w:rsid w:val="0023678D"/>
    <w:rsid w:val="002370FE"/>
    <w:rsid w:val="0024071C"/>
    <w:rsid w:val="00240A1A"/>
    <w:rsid w:val="00240AB9"/>
    <w:rsid w:val="00241C82"/>
    <w:rsid w:val="0024282E"/>
    <w:rsid w:val="00242F4B"/>
    <w:rsid w:val="002454AF"/>
    <w:rsid w:val="00245B58"/>
    <w:rsid w:val="00250DB8"/>
    <w:rsid w:val="00251581"/>
    <w:rsid w:val="0025230E"/>
    <w:rsid w:val="002533EE"/>
    <w:rsid w:val="00253A79"/>
    <w:rsid w:val="00255CE5"/>
    <w:rsid w:val="0025604E"/>
    <w:rsid w:val="00256969"/>
    <w:rsid w:val="00257DC5"/>
    <w:rsid w:val="00262873"/>
    <w:rsid w:val="00262BAD"/>
    <w:rsid w:val="00264060"/>
    <w:rsid w:val="0026425B"/>
    <w:rsid w:val="002644F3"/>
    <w:rsid w:val="00264604"/>
    <w:rsid w:val="00265489"/>
    <w:rsid w:val="00265B4E"/>
    <w:rsid w:val="002667E2"/>
    <w:rsid w:val="0026749E"/>
    <w:rsid w:val="00270B8F"/>
    <w:rsid w:val="00270D43"/>
    <w:rsid w:val="0027128A"/>
    <w:rsid w:val="0027144F"/>
    <w:rsid w:val="002718A5"/>
    <w:rsid w:val="00272C83"/>
    <w:rsid w:val="0027553D"/>
    <w:rsid w:val="0027648A"/>
    <w:rsid w:val="002768D4"/>
    <w:rsid w:val="00277C25"/>
    <w:rsid w:val="00280E6D"/>
    <w:rsid w:val="002830E7"/>
    <w:rsid w:val="00283D0B"/>
    <w:rsid w:val="00283DAF"/>
    <w:rsid w:val="002856CC"/>
    <w:rsid w:val="002915AB"/>
    <w:rsid w:val="00291EFA"/>
    <w:rsid w:val="00291FB4"/>
    <w:rsid w:val="00292335"/>
    <w:rsid w:val="00293832"/>
    <w:rsid w:val="00296472"/>
    <w:rsid w:val="0029770F"/>
    <w:rsid w:val="002A0305"/>
    <w:rsid w:val="002A0E63"/>
    <w:rsid w:val="002A24F6"/>
    <w:rsid w:val="002A269A"/>
    <w:rsid w:val="002A284E"/>
    <w:rsid w:val="002A2A26"/>
    <w:rsid w:val="002A33DA"/>
    <w:rsid w:val="002A383F"/>
    <w:rsid w:val="002A397C"/>
    <w:rsid w:val="002A44D7"/>
    <w:rsid w:val="002A4597"/>
    <w:rsid w:val="002A4B15"/>
    <w:rsid w:val="002A4B18"/>
    <w:rsid w:val="002A51D7"/>
    <w:rsid w:val="002B169F"/>
    <w:rsid w:val="002B390A"/>
    <w:rsid w:val="002B4480"/>
    <w:rsid w:val="002B63C4"/>
    <w:rsid w:val="002B7435"/>
    <w:rsid w:val="002B76AF"/>
    <w:rsid w:val="002B7E35"/>
    <w:rsid w:val="002C0623"/>
    <w:rsid w:val="002C0E58"/>
    <w:rsid w:val="002C0F0E"/>
    <w:rsid w:val="002C50C8"/>
    <w:rsid w:val="002C58FE"/>
    <w:rsid w:val="002D3893"/>
    <w:rsid w:val="002D3B5E"/>
    <w:rsid w:val="002D41DF"/>
    <w:rsid w:val="002D52D9"/>
    <w:rsid w:val="002D6260"/>
    <w:rsid w:val="002D79F7"/>
    <w:rsid w:val="002D7DC8"/>
    <w:rsid w:val="002E05B7"/>
    <w:rsid w:val="002E06B6"/>
    <w:rsid w:val="002E1191"/>
    <w:rsid w:val="002E2FA6"/>
    <w:rsid w:val="002E3775"/>
    <w:rsid w:val="002E37B6"/>
    <w:rsid w:val="002E3803"/>
    <w:rsid w:val="002E5664"/>
    <w:rsid w:val="002E682B"/>
    <w:rsid w:val="002F047A"/>
    <w:rsid w:val="002F09BD"/>
    <w:rsid w:val="002F1562"/>
    <w:rsid w:val="002F2A49"/>
    <w:rsid w:val="002F3799"/>
    <w:rsid w:val="002F4E2C"/>
    <w:rsid w:val="002F5EB5"/>
    <w:rsid w:val="002F6369"/>
    <w:rsid w:val="002F73FD"/>
    <w:rsid w:val="002F741C"/>
    <w:rsid w:val="00301937"/>
    <w:rsid w:val="003029AD"/>
    <w:rsid w:val="00302EEA"/>
    <w:rsid w:val="003033BA"/>
    <w:rsid w:val="003048CF"/>
    <w:rsid w:val="00305BBE"/>
    <w:rsid w:val="00306758"/>
    <w:rsid w:val="003067E2"/>
    <w:rsid w:val="003074A7"/>
    <w:rsid w:val="00307FB2"/>
    <w:rsid w:val="00310CBD"/>
    <w:rsid w:val="00312719"/>
    <w:rsid w:val="00313B05"/>
    <w:rsid w:val="00315E6D"/>
    <w:rsid w:val="00317D12"/>
    <w:rsid w:val="003223C9"/>
    <w:rsid w:val="0032345E"/>
    <w:rsid w:val="0032360B"/>
    <w:rsid w:val="00324D97"/>
    <w:rsid w:val="00324FBE"/>
    <w:rsid w:val="00326140"/>
    <w:rsid w:val="0032616C"/>
    <w:rsid w:val="00326DD3"/>
    <w:rsid w:val="00326F08"/>
    <w:rsid w:val="00330631"/>
    <w:rsid w:val="00330BAC"/>
    <w:rsid w:val="003320B7"/>
    <w:rsid w:val="00333BF1"/>
    <w:rsid w:val="003356B8"/>
    <w:rsid w:val="00335F07"/>
    <w:rsid w:val="003361B0"/>
    <w:rsid w:val="00336273"/>
    <w:rsid w:val="003373A0"/>
    <w:rsid w:val="00337419"/>
    <w:rsid w:val="00337750"/>
    <w:rsid w:val="003415FF"/>
    <w:rsid w:val="00342525"/>
    <w:rsid w:val="003427C1"/>
    <w:rsid w:val="00342B36"/>
    <w:rsid w:val="00343AC7"/>
    <w:rsid w:val="00344039"/>
    <w:rsid w:val="00345001"/>
    <w:rsid w:val="0034704F"/>
    <w:rsid w:val="003478FE"/>
    <w:rsid w:val="00351056"/>
    <w:rsid w:val="00353F8B"/>
    <w:rsid w:val="00354318"/>
    <w:rsid w:val="00354982"/>
    <w:rsid w:val="00354B1E"/>
    <w:rsid w:val="00354D51"/>
    <w:rsid w:val="0035550F"/>
    <w:rsid w:val="00355C96"/>
    <w:rsid w:val="00357262"/>
    <w:rsid w:val="003576DE"/>
    <w:rsid w:val="00357994"/>
    <w:rsid w:val="00360490"/>
    <w:rsid w:val="00360BB2"/>
    <w:rsid w:val="00360C68"/>
    <w:rsid w:val="003649E4"/>
    <w:rsid w:val="00365E4C"/>
    <w:rsid w:val="003667EB"/>
    <w:rsid w:val="00371AA1"/>
    <w:rsid w:val="003720EA"/>
    <w:rsid w:val="0037239F"/>
    <w:rsid w:val="00372847"/>
    <w:rsid w:val="00372E21"/>
    <w:rsid w:val="003730E4"/>
    <w:rsid w:val="003733D8"/>
    <w:rsid w:val="00373489"/>
    <w:rsid w:val="003758B4"/>
    <w:rsid w:val="00375C43"/>
    <w:rsid w:val="00375DD1"/>
    <w:rsid w:val="003763DB"/>
    <w:rsid w:val="003801F9"/>
    <w:rsid w:val="00380701"/>
    <w:rsid w:val="003807DF"/>
    <w:rsid w:val="00380AF4"/>
    <w:rsid w:val="00381160"/>
    <w:rsid w:val="00381C86"/>
    <w:rsid w:val="00384B63"/>
    <w:rsid w:val="00384D83"/>
    <w:rsid w:val="00385E80"/>
    <w:rsid w:val="00385FF1"/>
    <w:rsid w:val="00392029"/>
    <w:rsid w:val="00393A35"/>
    <w:rsid w:val="00394978"/>
    <w:rsid w:val="003967D5"/>
    <w:rsid w:val="00396B58"/>
    <w:rsid w:val="003A3F69"/>
    <w:rsid w:val="003A41AE"/>
    <w:rsid w:val="003A43CB"/>
    <w:rsid w:val="003A4F68"/>
    <w:rsid w:val="003A5DE5"/>
    <w:rsid w:val="003A7760"/>
    <w:rsid w:val="003A7CB9"/>
    <w:rsid w:val="003B04F9"/>
    <w:rsid w:val="003B07A5"/>
    <w:rsid w:val="003B105C"/>
    <w:rsid w:val="003B167D"/>
    <w:rsid w:val="003B1FD7"/>
    <w:rsid w:val="003B2830"/>
    <w:rsid w:val="003B288C"/>
    <w:rsid w:val="003B3101"/>
    <w:rsid w:val="003B337C"/>
    <w:rsid w:val="003B3451"/>
    <w:rsid w:val="003B3731"/>
    <w:rsid w:val="003B3BD0"/>
    <w:rsid w:val="003B3BD8"/>
    <w:rsid w:val="003B4298"/>
    <w:rsid w:val="003B4477"/>
    <w:rsid w:val="003B528F"/>
    <w:rsid w:val="003B7C84"/>
    <w:rsid w:val="003B7F9C"/>
    <w:rsid w:val="003C171B"/>
    <w:rsid w:val="003C4FFD"/>
    <w:rsid w:val="003C69C4"/>
    <w:rsid w:val="003C6B42"/>
    <w:rsid w:val="003C6CE9"/>
    <w:rsid w:val="003D03BD"/>
    <w:rsid w:val="003D1929"/>
    <w:rsid w:val="003D2F73"/>
    <w:rsid w:val="003D3DD3"/>
    <w:rsid w:val="003D42CC"/>
    <w:rsid w:val="003D4463"/>
    <w:rsid w:val="003D5585"/>
    <w:rsid w:val="003D6E77"/>
    <w:rsid w:val="003D7318"/>
    <w:rsid w:val="003D7C2D"/>
    <w:rsid w:val="003D7E33"/>
    <w:rsid w:val="003D7E6A"/>
    <w:rsid w:val="003E2F73"/>
    <w:rsid w:val="003E5340"/>
    <w:rsid w:val="003E60B5"/>
    <w:rsid w:val="003F18D1"/>
    <w:rsid w:val="003F1985"/>
    <w:rsid w:val="003F1E99"/>
    <w:rsid w:val="003F3508"/>
    <w:rsid w:val="003F386D"/>
    <w:rsid w:val="003F3FED"/>
    <w:rsid w:val="003F4039"/>
    <w:rsid w:val="003F47F7"/>
    <w:rsid w:val="003F4C9E"/>
    <w:rsid w:val="003F51DE"/>
    <w:rsid w:val="003F6D2F"/>
    <w:rsid w:val="003F703F"/>
    <w:rsid w:val="003F77F3"/>
    <w:rsid w:val="00401953"/>
    <w:rsid w:val="00402057"/>
    <w:rsid w:val="0040237E"/>
    <w:rsid w:val="004023D2"/>
    <w:rsid w:val="004024D9"/>
    <w:rsid w:val="0040257C"/>
    <w:rsid w:val="00404E15"/>
    <w:rsid w:val="00405596"/>
    <w:rsid w:val="004064ED"/>
    <w:rsid w:val="00407657"/>
    <w:rsid w:val="00410F71"/>
    <w:rsid w:val="00411798"/>
    <w:rsid w:val="00411D90"/>
    <w:rsid w:val="004142B5"/>
    <w:rsid w:val="00414A67"/>
    <w:rsid w:val="00415C0F"/>
    <w:rsid w:val="00415C50"/>
    <w:rsid w:val="0042107E"/>
    <w:rsid w:val="004212EE"/>
    <w:rsid w:val="00421788"/>
    <w:rsid w:val="00421F22"/>
    <w:rsid w:val="00422086"/>
    <w:rsid w:val="00422251"/>
    <w:rsid w:val="00422F29"/>
    <w:rsid w:val="004240BE"/>
    <w:rsid w:val="00424DCB"/>
    <w:rsid w:val="004254C4"/>
    <w:rsid w:val="00426217"/>
    <w:rsid w:val="00427921"/>
    <w:rsid w:val="004279FB"/>
    <w:rsid w:val="00432006"/>
    <w:rsid w:val="00432975"/>
    <w:rsid w:val="004336CC"/>
    <w:rsid w:val="004345E1"/>
    <w:rsid w:val="0043512A"/>
    <w:rsid w:val="00436A85"/>
    <w:rsid w:val="00436D3A"/>
    <w:rsid w:val="00437203"/>
    <w:rsid w:val="0043788A"/>
    <w:rsid w:val="00441176"/>
    <w:rsid w:val="0044168D"/>
    <w:rsid w:val="0044367D"/>
    <w:rsid w:val="00444FAD"/>
    <w:rsid w:val="00445825"/>
    <w:rsid w:val="004462B4"/>
    <w:rsid w:val="00446A06"/>
    <w:rsid w:val="004473DD"/>
    <w:rsid w:val="004476DE"/>
    <w:rsid w:val="00450BE4"/>
    <w:rsid w:val="00450C46"/>
    <w:rsid w:val="00453E91"/>
    <w:rsid w:val="004552A7"/>
    <w:rsid w:val="00455AAD"/>
    <w:rsid w:val="00455E6B"/>
    <w:rsid w:val="00455FD4"/>
    <w:rsid w:val="00462710"/>
    <w:rsid w:val="0046569D"/>
    <w:rsid w:val="00466060"/>
    <w:rsid w:val="00467B98"/>
    <w:rsid w:val="00467D79"/>
    <w:rsid w:val="00470E95"/>
    <w:rsid w:val="00471436"/>
    <w:rsid w:val="0047290B"/>
    <w:rsid w:val="00476CC4"/>
    <w:rsid w:val="00477303"/>
    <w:rsid w:val="00477E46"/>
    <w:rsid w:val="00481D11"/>
    <w:rsid w:val="0048340D"/>
    <w:rsid w:val="004843C4"/>
    <w:rsid w:val="00484F15"/>
    <w:rsid w:val="00485160"/>
    <w:rsid w:val="00485E66"/>
    <w:rsid w:val="0048661C"/>
    <w:rsid w:val="0049053E"/>
    <w:rsid w:val="00490CB0"/>
    <w:rsid w:val="00491141"/>
    <w:rsid w:val="00491D91"/>
    <w:rsid w:val="00492667"/>
    <w:rsid w:val="00494040"/>
    <w:rsid w:val="00495258"/>
    <w:rsid w:val="004959CF"/>
    <w:rsid w:val="00495DF1"/>
    <w:rsid w:val="0049669E"/>
    <w:rsid w:val="00496FBD"/>
    <w:rsid w:val="004973A2"/>
    <w:rsid w:val="00497817"/>
    <w:rsid w:val="004979ED"/>
    <w:rsid w:val="00497C54"/>
    <w:rsid w:val="00497D87"/>
    <w:rsid w:val="00497ED6"/>
    <w:rsid w:val="004A0928"/>
    <w:rsid w:val="004A1F0A"/>
    <w:rsid w:val="004A29F2"/>
    <w:rsid w:val="004A2C36"/>
    <w:rsid w:val="004A3017"/>
    <w:rsid w:val="004A389D"/>
    <w:rsid w:val="004A46E7"/>
    <w:rsid w:val="004A6984"/>
    <w:rsid w:val="004A7D44"/>
    <w:rsid w:val="004A7D84"/>
    <w:rsid w:val="004B03B6"/>
    <w:rsid w:val="004B1DF5"/>
    <w:rsid w:val="004B22A9"/>
    <w:rsid w:val="004B5E07"/>
    <w:rsid w:val="004B72A6"/>
    <w:rsid w:val="004C02C7"/>
    <w:rsid w:val="004C0DFB"/>
    <w:rsid w:val="004C2ADB"/>
    <w:rsid w:val="004C4DC8"/>
    <w:rsid w:val="004D01B9"/>
    <w:rsid w:val="004D083E"/>
    <w:rsid w:val="004D1882"/>
    <w:rsid w:val="004D1F77"/>
    <w:rsid w:val="004D2052"/>
    <w:rsid w:val="004D2E4A"/>
    <w:rsid w:val="004D310E"/>
    <w:rsid w:val="004D4315"/>
    <w:rsid w:val="004D6A30"/>
    <w:rsid w:val="004E2CEB"/>
    <w:rsid w:val="004E59F7"/>
    <w:rsid w:val="004E676E"/>
    <w:rsid w:val="004E7E1E"/>
    <w:rsid w:val="004F126F"/>
    <w:rsid w:val="004F4D4E"/>
    <w:rsid w:val="004F578F"/>
    <w:rsid w:val="004F5E98"/>
    <w:rsid w:val="004F7DC3"/>
    <w:rsid w:val="005008BE"/>
    <w:rsid w:val="005008F9"/>
    <w:rsid w:val="00501F8A"/>
    <w:rsid w:val="005020AE"/>
    <w:rsid w:val="0050275C"/>
    <w:rsid w:val="00502CC1"/>
    <w:rsid w:val="0050667F"/>
    <w:rsid w:val="00506846"/>
    <w:rsid w:val="00510DCA"/>
    <w:rsid w:val="00510EEE"/>
    <w:rsid w:val="00511897"/>
    <w:rsid w:val="005119DB"/>
    <w:rsid w:val="00512937"/>
    <w:rsid w:val="005132C7"/>
    <w:rsid w:val="00513A78"/>
    <w:rsid w:val="005141E3"/>
    <w:rsid w:val="00514A46"/>
    <w:rsid w:val="00514C0F"/>
    <w:rsid w:val="00515B45"/>
    <w:rsid w:val="0051610F"/>
    <w:rsid w:val="0052212E"/>
    <w:rsid w:val="00522EDA"/>
    <w:rsid w:val="005241E4"/>
    <w:rsid w:val="005245B0"/>
    <w:rsid w:val="00525FFB"/>
    <w:rsid w:val="00526EE6"/>
    <w:rsid w:val="005278DB"/>
    <w:rsid w:val="00531858"/>
    <w:rsid w:val="00532F73"/>
    <w:rsid w:val="0053360B"/>
    <w:rsid w:val="0053483B"/>
    <w:rsid w:val="005348B7"/>
    <w:rsid w:val="00534FEA"/>
    <w:rsid w:val="00535069"/>
    <w:rsid w:val="0053652A"/>
    <w:rsid w:val="00536CA6"/>
    <w:rsid w:val="00540DFB"/>
    <w:rsid w:val="00541602"/>
    <w:rsid w:val="00541B58"/>
    <w:rsid w:val="0054274A"/>
    <w:rsid w:val="00542EAC"/>
    <w:rsid w:val="005433B8"/>
    <w:rsid w:val="00545475"/>
    <w:rsid w:val="00545833"/>
    <w:rsid w:val="005464AC"/>
    <w:rsid w:val="005465AA"/>
    <w:rsid w:val="0054777E"/>
    <w:rsid w:val="0055169A"/>
    <w:rsid w:val="00551950"/>
    <w:rsid w:val="00552B8B"/>
    <w:rsid w:val="00552CB7"/>
    <w:rsid w:val="00554695"/>
    <w:rsid w:val="00554A8F"/>
    <w:rsid w:val="00554E25"/>
    <w:rsid w:val="00555132"/>
    <w:rsid w:val="0055574E"/>
    <w:rsid w:val="00555A5A"/>
    <w:rsid w:val="00556C70"/>
    <w:rsid w:val="00557A03"/>
    <w:rsid w:val="00557C2F"/>
    <w:rsid w:val="00560180"/>
    <w:rsid w:val="00561FB5"/>
    <w:rsid w:val="005631FF"/>
    <w:rsid w:val="005640B3"/>
    <w:rsid w:val="00566F6F"/>
    <w:rsid w:val="0057020E"/>
    <w:rsid w:val="005708F8"/>
    <w:rsid w:val="00571C4E"/>
    <w:rsid w:val="00571FD0"/>
    <w:rsid w:val="00572104"/>
    <w:rsid w:val="00572AC0"/>
    <w:rsid w:val="00573B29"/>
    <w:rsid w:val="005743A1"/>
    <w:rsid w:val="00575095"/>
    <w:rsid w:val="0057510F"/>
    <w:rsid w:val="00575E9F"/>
    <w:rsid w:val="005761E9"/>
    <w:rsid w:val="005774DF"/>
    <w:rsid w:val="005809A8"/>
    <w:rsid w:val="00581968"/>
    <w:rsid w:val="0058292B"/>
    <w:rsid w:val="00582D31"/>
    <w:rsid w:val="00583F7B"/>
    <w:rsid w:val="00584DBF"/>
    <w:rsid w:val="00586CDC"/>
    <w:rsid w:val="005902D5"/>
    <w:rsid w:val="005915CF"/>
    <w:rsid w:val="005917D5"/>
    <w:rsid w:val="0059353A"/>
    <w:rsid w:val="005941B2"/>
    <w:rsid w:val="00595948"/>
    <w:rsid w:val="00597183"/>
    <w:rsid w:val="005973D8"/>
    <w:rsid w:val="00597D11"/>
    <w:rsid w:val="005A1A49"/>
    <w:rsid w:val="005A1AD1"/>
    <w:rsid w:val="005A1CA2"/>
    <w:rsid w:val="005A3772"/>
    <w:rsid w:val="005A52A2"/>
    <w:rsid w:val="005A5699"/>
    <w:rsid w:val="005A6D5D"/>
    <w:rsid w:val="005A7041"/>
    <w:rsid w:val="005A71BF"/>
    <w:rsid w:val="005B19F2"/>
    <w:rsid w:val="005B226E"/>
    <w:rsid w:val="005B35A8"/>
    <w:rsid w:val="005B471D"/>
    <w:rsid w:val="005B7587"/>
    <w:rsid w:val="005C04A2"/>
    <w:rsid w:val="005C10DD"/>
    <w:rsid w:val="005C10F9"/>
    <w:rsid w:val="005C1C25"/>
    <w:rsid w:val="005C3451"/>
    <w:rsid w:val="005C3CA3"/>
    <w:rsid w:val="005C3E54"/>
    <w:rsid w:val="005C41EF"/>
    <w:rsid w:val="005C56F8"/>
    <w:rsid w:val="005C7A56"/>
    <w:rsid w:val="005D0301"/>
    <w:rsid w:val="005D0F4B"/>
    <w:rsid w:val="005D187C"/>
    <w:rsid w:val="005D216F"/>
    <w:rsid w:val="005D5C88"/>
    <w:rsid w:val="005D60F2"/>
    <w:rsid w:val="005D68DF"/>
    <w:rsid w:val="005E0E9C"/>
    <w:rsid w:val="005E1CED"/>
    <w:rsid w:val="005E2293"/>
    <w:rsid w:val="005E2345"/>
    <w:rsid w:val="005E376E"/>
    <w:rsid w:val="005E4C47"/>
    <w:rsid w:val="005E6BD5"/>
    <w:rsid w:val="005F01B4"/>
    <w:rsid w:val="005F1698"/>
    <w:rsid w:val="005F2E94"/>
    <w:rsid w:val="005F314C"/>
    <w:rsid w:val="005F6290"/>
    <w:rsid w:val="005F68CF"/>
    <w:rsid w:val="005F6E10"/>
    <w:rsid w:val="005F7A85"/>
    <w:rsid w:val="005F7D51"/>
    <w:rsid w:val="00601B9C"/>
    <w:rsid w:val="006035CA"/>
    <w:rsid w:val="00603DDC"/>
    <w:rsid w:val="00604BB8"/>
    <w:rsid w:val="006054AB"/>
    <w:rsid w:val="00605E74"/>
    <w:rsid w:val="00606475"/>
    <w:rsid w:val="006064BA"/>
    <w:rsid w:val="006101AD"/>
    <w:rsid w:val="00611AAC"/>
    <w:rsid w:val="00612C3A"/>
    <w:rsid w:val="00612FC1"/>
    <w:rsid w:val="0061317D"/>
    <w:rsid w:val="006150DA"/>
    <w:rsid w:val="006161A5"/>
    <w:rsid w:val="00616B6A"/>
    <w:rsid w:val="00617147"/>
    <w:rsid w:val="00620088"/>
    <w:rsid w:val="00620261"/>
    <w:rsid w:val="006228E0"/>
    <w:rsid w:val="00623B09"/>
    <w:rsid w:val="006240F9"/>
    <w:rsid w:val="00624590"/>
    <w:rsid w:val="00625717"/>
    <w:rsid w:val="00625FA4"/>
    <w:rsid w:val="006279CB"/>
    <w:rsid w:val="00630727"/>
    <w:rsid w:val="00630E86"/>
    <w:rsid w:val="00635DAA"/>
    <w:rsid w:val="006369F5"/>
    <w:rsid w:val="006428C9"/>
    <w:rsid w:val="00646064"/>
    <w:rsid w:val="00646AE0"/>
    <w:rsid w:val="00646AFA"/>
    <w:rsid w:val="00650E35"/>
    <w:rsid w:val="0065169F"/>
    <w:rsid w:val="006521EE"/>
    <w:rsid w:val="00653B23"/>
    <w:rsid w:val="00654AEF"/>
    <w:rsid w:val="00654F19"/>
    <w:rsid w:val="00655254"/>
    <w:rsid w:val="00656702"/>
    <w:rsid w:val="0065713C"/>
    <w:rsid w:val="006574DD"/>
    <w:rsid w:val="00660928"/>
    <w:rsid w:val="00660B17"/>
    <w:rsid w:val="00661336"/>
    <w:rsid w:val="0066223F"/>
    <w:rsid w:val="006659CA"/>
    <w:rsid w:val="0066702E"/>
    <w:rsid w:val="00670DCD"/>
    <w:rsid w:val="006726D6"/>
    <w:rsid w:val="00673664"/>
    <w:rsid w:val="00675EFE"/>
    <w:rsid w:val="00681C55"/>
    <w:rsid w:val="00681D7F"/>
    <w:rsid w:val="00682DC7"/>
    <w:rsid w:val="0068493B"/>
    <w:rsid w:val="00684C73"/>
    <w:rsid w:val="00685F10"/>
    <w:rsid w:val="006864DE"/>
    <w:rsid w:val="006877FF"/>
    <w:rsid w:val="006900C8"/>
    <w:rsid w:val="00691531"/>
    <w:rsid w:val="00691A41"/>
    <w:rsid w:val="00694E43"/>
    <w:rsid w:val="00695348"/>
    <w:rsid w:val="00695597"/>
    <w:rsid w:val="00695C2B"/>
    <w:rsid w:val="006968CB"/>
    <w:rsid w:val="006A23E0"/>
    <w:rsid w:val="006A7E81"/>
    <w:rsid w:val="006B03E3"/>
    <w:rsid w:val="006B0832"/>
    <w:rsid w:val="006B25E1"/>
    <w:rsid w:val="006B27BE"/>
    <w:rsid w:val="006B27E9"/>
    <w:rsid w:val="006B3F7C"/>
    <w:rsid w:val="006B4AEA"/>
    <w:rsid w:val="006B571F"/>
    <w:rsid w:val="006B5D6A"/>
    <w:rsid w:val="006B72F0"/>
    <w:rsid w:val="006C0323"/>
    <w:rsid w:val="006C04A2"/>
    <w:rsid w:val="006C1C11"/>
    <w:rsid w:val="006C2282"/>
    <w:rsid w:val="006C2882"/>
    <w:rsid w:val="006C2EE6"/>
    <w:rsid w:val="006C3023"/>
    <w:rsid w:val="006C3E7D"/>
    <w:rsid w:val="006C4DC1"/>
    <w:rsid w:val="006C582A"/>
    <w:rsid w:val="006C62B7"/>
    <w:rsid w:val="006C6751"/>
    <w:rsid w:val="006C7F42"/>
    <w:rsid w:val="006D18E2"/>
    <w:rsid w:val="006D1D09"/>
    <w:rsid w:val="006D2A2C"/>
    <w:rsid w:val="006D2B57"/>
    <w:rsid w:val="006D44DF"/>
    <w:rsid w:val="006D4E43"/>
    <w:rsid w:val="006D5606"/>
    <w:rsid w:val="006D588D"/>
    <w:rsid w:val="006D5C0A"/>
    <w:rsid w:val="006D68B3"/>
    <w:rsid w:val="006D797D"/>
    <w:rsid w:val="006E2613"/>
    <w:rsid w:val="006E2732"/>
    <w:rsid w:val="006E2A77"/>
    <w:rsid w:val="006E3F5E"/>
    <w:rsid w:val="006E591B"/>
    <w:rsid w:val="006E5FA0"/>
    <w:rsid w:val="006E6196"/>
    <w:rsid w:val="006E66A3"/>
    <w:rsid w:val="006E6CCB"/>
    <w:rsid w:val="006E726B"/>
    <w:rsid w:val="006E754F"/>
    <w:rsid w:val="006E7660"/>
    <w:rsid w:val="006F01EE"/>
    <w:rsid w:val="006F1D2F"/>
    <w:rsid w:val="006F21D0"/>
    <w:rsid w:val="006F4E92"/>
    <w:rsid w:val="006F5083"/>
    <w:rsid w:val="006F6460"/>
    <w:rsid w:val="006F6A32"/>
    <w:rsid w:val="006F7C95"/>
    <w:rsid w:val="00700199"/>
    <w:rsid w:val="007003DA"/>
    <w:rsid w:val="007023B6"/>
    <w:rsid w:val="00703D03"/>
    <w:rsid w:val="00704C20"/>
    <w:rsid w:val="007065FF"/>
    <w:rsid w:val="00707295"/>
    <w:rsid w:val="00710D88"/>
    <w:rsid w:val="00711B05"/>
    <w:rsid w:val="00713727"/>
    <w:rsid w:val="00714B9C"/>
    <w:rsid w:val="00714CB4"/>
    <w:rsid w:val="007156D2"/>
    <w:rsid w:val="007165D7"/>
    <w:rsid w:val="00716BCB"/>
    <w:rsid w:val="00720042"/>
    <w:rsid w:val="00721917"/>
    <w:rsid w:val="00723562"/>
    <w:rsid w:val="00723A97"/>
    <w:rsid w:val="007245A5"/>
    <w:rsid w:val="007247B4"/>
    <w:rsid w:val="00725B7E"/>
    <w:rsid w:val="00726713"/>
    <w:rsid w:val="007303C8"/>
    <w:rsid w:val="00731906"/>
    <w:rsid w:val="00731FBF"/>
    <w:rsid w:val="00732616"/>
    <w:rsid w:val="007337A0"/>
    <w:rsid w:val="00733CF0"/>
    <w:rsid w:val="007343A0"/>
    <w:rsid w:val="007358E1"/>
    <w:rsid w:val="00736136"/>
    <w:rsid w:val="00736C6A"/>
    <w:rsid w:val="00736F89"/>
    <w:rsid w:val="00737B6C"/>
    <w:rsid w:val="0074008E"/>
    <w:rsid w:val="007420F0"/>
    <w:rsid w:val="00745041"/>
    <w:rsid w:val="0074538C"/>
    <w:rsid w:val="00745A68"/>
    <w:rsid w:val="00745E86"/>
    <w:rsid w:val="00746249"/>
    <w:rsid w:val="00746595"/>
    <w:rsid w:val="00750750"/>
    <w:rsid w:val="00751639"/>
    <w:rsid w:val="00752465"/>
    <w:rsid w:val="00752BAD"/>
    <w:rsid w:val="00754A08"/>
    <w:rsid w:val="007561AB"/>
    <w:rsid w:val="00756964"/>
    <w:rsid w:val="00763D72"/>
    <w:rsid w:val="00764F15"/>
    <w:rsid w:val="0076659A"/>
    <w:rsid w:val="00767CA9"/>
    <w:rsid w:val="00771529"/>
    <w:rsid w:val="00771C6C"/>
    <w:rsid w:val="00771F44"/>
    <w:rsid w:val="007737A4"/>
    <w:rsid w:val="00773CF7"/>
    <w:rsid w:val="00773DFD"/>
    <w:rsid w:val="007740D1"/>
    <w:rsid w:val="00774F65"/>
    <w:rsid w:val="0077527A"/>
    <w:rsid w:val="0077646B"/>
    <w:rsid w:val="0078105A"/>
    <w:rsid w:val="00781BCF"/>
    <w:rsid w:val="0078334F"/>
    <w:rsid w:val="007847BE"/>
    <w:rsid w:val="00784E1D"/>
    <w:rsid w:val="00785750"/>
    <w:rsid w:val="007865B7"/>
    <w:rsid w:val="00787036"/>
    <w:rsid w:val="007905FC"/>
    <w:rsid w:val="0079141C"/>
    <w:rsid w:val="00791789"/>
    <w:rsid w:val="00791EE3"/>
    <w:rsid w:val="007962D8"/>
    <w:rsid w:val="00796792"/>
    <w:rsid w:val="007967A5"/>
    <w:rsid w:val="00796C22"/>
    <w:rsid w:val="00797DB7"/>
    <w:rsid w:val="007A46C0"/>
    <w:rsid w:val="007A61CA"/>
    <w:rsid w:val="007A68BB"/>
    <w:rsid w:val="007A7B64"/>
    <w:rsid w:val="007B1AED"/>
    <w:rsid w:val="007B1B92"/>
    <w:rsid w:val="007B203E"/>
    <w:rsid w:val="007B2FFE"/>
    <w:rsid w:val="007B325F"/>
    <w:rsid w:val="007B3B3B"/>
    <w:rsid w:val="007B47BA"/>
    <w:rsid w:val="007B7897"/>
    <w:rsid w:val="007C0C85"/>
    <w:rsid w:val="007C12BA"/>
    <w:rsid w:val="007C25C6"/>
    <w:rsid w:val="007C42AE"/>
    <w:rsid w:val="007C4B38"/>
    <w:rsid w:val="007C541D"/>
    <w:rsid w:val="007C7474"/>
    <w:rsid w:val="007C7819"/>
    <w:rsid w:val="007D044A"/>
    <w:rsid w:val="007D13DF"/>
    <w:rsid w:val="007D1480"/>
    <w:rsid w:val="007D24FD"/>
    <w:rsid w:val="007D2825"/>
    <w:rsid w:val="007D4120"/>
    <w:rsid w:val="007D42BB"/>
    <w:rsid w:val="007D490C"/>
    <w:rsid w:val="007D576F"/>
    <w:rsid w:val="007D5A06"/>
    <w:rsid w:val="007D5DCE"/>
    <w:rsid w:val="007D6B92"/>
    <w:rsid w:val="007D7158"/>
    <w:rsid w:val="007D7A96"/>
    <w:rsid w:val="007E0F4C"/>
    <w:rsid w:val="007E1BA5"/>
    <w:rsid w:val="007E1F43"/>
    <w:rsid w:val="007E2637"/>
    <w:rsid w:val="007E3225"/>
    <w:rsid w:val="007E472F"/>
    <w:rsid w:val="007E5A24"/>
    <w:rsid w:val="007E5A5D"/>
    <w:rsid w:val="007E5D89"/>
    <w:rsid w:val="007E6706"/>
    <w:rsid w:val="007E6B8B"/>
    <w:rsid w:val="007F04FB"/>
    <w:rsid w:val="007F0EC1"/>
    <w:rsid w:val="007F1A5B"/>
    <w:rsid w:val="007F455E"/>
    <w:rsid w:val="007F4C88"/>
    <w:rsid w:val="007F567A"/>
    <w:rsid w:val="007F6CE8"/>
    <w:rsid w:val="008008A6"/>
    <w:rsid w:val="00801B5F"/>
    <w:rsid w:val="008032F5"/>
    <w:rsid w:val="00803CE8"/>
    <w:rsid w:val="00803E97"/>
    <w:rsid w:val="0080509E"/>
    <w:rsid w:val="00807903"/>
    <w:rsid w:val="008079BB"/>
    <w:rsid w:val="00812153"/>
    <w:rsid w:val="00814473"/>
    <w:rsid w:val="00820062"/>
    <w:rsid w:val="008210F4"/>
    <w:rsid w:val="0082314C"/>
    <w:rsid w:val="0082538D"/>
    <w:rsid w:val="00825B08"/>
    <w:rsid w:val="00826DF9"/>
    <w:rsid w:val="0082774C"/>
    <w:rsid w:val="00827BB7"/>
    <w:rsid w:val="0083084D"/>
    <w:rsid w:val="00831FDD"/>
    <w:rsid w:val="00833F75"/>
    <w:rsid w:val="00834ADC"/>
    <w:rsid w:val="00835B2F"/>
    <w:rsid w:val="00836897"/>
    <w:rsid w:val="00840AFD"/>
    <w:rsid w:val="00841EDC"/>
    <w:rsid w:val="00844D16"/>
    <w:rsid w:val="008459E1"/>
    <w:rsid w:val="00846B74"/>
    <w:rsid w:val="00846EA1"/>
    <w:rsid w:val="008474D0"/>
    <w:rsid w:val="00851416"/>
    <w:rsid w:val="00851F56"/>
    <w:rsid w:val="00853034"/>
    <w:rsid w:val="0085630D"/>
    <w:rsid w:val="0085700B"/>
    <w:rsid w:val="0085751D"/>
    <w:rsid w:val="008577A2"/>
    <w:rsid w:val="00861021"/>
    <w:rsid w:val="008619F3"/>
    <w:rsid w:val="00866C88"/>
    <w:rsid w:val="00867148"/>
    <w:rsid w:val="0086746D"/>
    <w:rsid w:val="0087066D"/>
    <w:rsid w:val="00871131"/>
    <w:rsid w:val="0087425A"/>
    <w:rsid w:val="00874712"/>
    <w:rsid w:val="00874C84"/>
    <w:rsid w:val="008764EC"/>
    <w:rsid w:val="00877F1F"/>
    <w:rsid w:val="00882AB1"/>
    <w:rsid w:val="00882C1A"/>
    <w:rsid w:val="008831F0"/>
    <w:rsid w:val="008850EB"/>
    <w:rsid w:val="00887B1A"/>
    <w:rsid w:val="00887FD0"/>
    <w:rsid w:val="008922C2"/>
    <w:rsid w:val="00894328"/>
    <w:rsid w:val="00894611"/>
    <w:rsid w:val="00896408"/>
    <w:rsid w:val="00897353"/>
    <w:rsid w:val="00897953"/>
    <w:rsid w:val="008A227E"/>
    <w:rsid w:val="008A275E"/>
    <w:rsid w:val="008A3259"/>
    <w:rsid w:val="008A3C2E"/>
    <w:rsid w:val="008A4EC3"/>
    <w:rsid w:val="008A5865"/>
    <w:rsid w:val="008B0ED9"/>
    <w:rsid w:val="008B1211"/>
    <w:rsid w:val="008B136D"/>
    <w:rsid w:val="008B164A"/>
    <w:rsid w:val="008B243E"/>
    <w:rsid w:val="008B2A2A"/>
    <w:rsid w:val="008B3439"/>
    <w:rsid w:val="008B37EE"/>
    <w:rsid w:val="008B41AD"/>
    <w:rsid w:val="008C060E"/>
    <w:rsid w:val="008C0B82"/>
    <w:rsid w:val="008C1579"/>
    <w:rsid w:val="008C20F0"/>
    <w:rsid w:val="008C3131"/>
    <w:rsid w:val="008C577B"/>
    <w:rsid w:val="008C5962"/>
    <w:rsid w:val="008C76F9"/>
    <w:rsid w:val="008C7777"/>
    <w:rsid w:val="008C7F92"/>
    <w:rsid w:val="008D0425"/>
    <w:rsid w:val="008D06C9"/>
    <w:rsid w:val="008D070B"/>
    <w:rsid w:val="008D1397"/>
    <w:rsid w:val="008D2552"/>
    <w:rsid w:val="008D2F71"/>
    <w:rsid w:val="008D3B4F"/>
    <w:rsid w:val="008D3B92"/>
    <w:rsid w:val="008D4628"/>
    <w:rsid w:val="008D47D7"/>
    <w:rsid w:val="008D5D83"/>
    <w:rsid w:val="008D7289"/>
    <w:rsid w:val="008D7301"/>
    <w:rsid w:val="008E11F1"/>
    <w:rsid w:val="008E2466"/>
    <w:rsid w:val="008E271B"/>
    <w:rsid w:val="008E2722"/>
    <w:rsid w:val="008E3823"/>
    <w:rsid w:val="008E3D21"/>
    <w:rsid w:val="008E5B5B"/>
    <w:rsid w:val="008E5F69"/>
    <w:rsid w:val="008E6BF3"/>
    <w:rsid w:val="008E789E"/>
    <w:rsid w:val="008E7AA2"/>
    <w:rsid w:val="008F0EAA"/>
    <w:rsid w:val="008F1344"/>
    <w:rsid w:val="008F1556"/>
    <w:rsid w:val="008F200E"/>
    <w:rsid w:val="008F4C58"/>
    <w:rsid w:val="008F4C82"/>
    <w:rsid w:val="008F5975"/>
    <w:rsid w:val="008F6B55"/>
    <w:rsid w:val="008F6DB9"/>
    <w:rsid w:val="008F7DAA"/>
    <w:rsid w:val="0090114B"/>
    <w:rsid w:val="009022EB"/>
    <w:rsid w:val="009048FE"/>
    <w:rsid w:val="00904D45"/>
    <w:rsid w:val="00905195"/>
    <w:rsid w:val="00906338"/>
    <w:rsid w:val="00906E60"/>
    <w:rsid w:val="00906F40"/>
    <w:rsid w:val="009107A6"/>
    <w:rsid w:val="00911600"/>
    <w:rsid w:val="00912A27"/>
    <w:rsid w:val="00912B31"/>
    <w:rsid w:val="00913619"/>
    <w:rsid w:val="00913AF7"/>
    <w:rsid w:val="0091425E"/>
    <w:rsid w:val="00914688"/>
    <w:rsid w:val="00915650"/>
    <w:rsid w:val="00915BE6"/>
    <w:rsid w:val="00915FBD"/>
    <w:rsid w:val="009160A5"/>
    <w:rsid w:val="00916A87"/>
    <w:rsid w:val="00916B53"/>
    <w:rsid w:val="00917856"/>
    <w:rsid w:val="009216FD"/>
    <w:rsid w:val="00922459"/>
    <w:rsid w:val="00923135"/>
    <w:rsid w:val="00923200"/>
    <w:rsid w:val="00923C0D"/>
    <w:rsid w:val="0092427E"/>
    <w:rsid w:val="00924441"/>
    <w:rsid w:val="00925182"/>
    <w:rsid w:val="009256CC"/>
    <w:rsid w:val="00925C61"/>
    <w:rsid w:val="00927530"/>
    <w:rsid w:val="009324FC"/>
    <w:rsid w:val="00932A98"/>
    <w:rsid w:val="009334F6"/>
    <w:rsid w:val="0093381B"/>
    <w:rsid w:val="00933BC5"/>
    <w:rsid w:val="0093691A"/>
    <w:rsid w:val="00936D17"/>
    <w:rsid w:val="0093750E"/>
    <w:rsid w:val="00941A9A"/>
    <w:rsid w:val="0094209F"/>
    <w:rsid w:val="009420BF"/>
    <w:rsid w:val="009437FB"/>
    <w:rsid w:val="009443BC"/>
    <w:rsid w:val="00944D6E"/>
    <w:rsid w:val="0095009B"/>
    <w:rsid w:val="009502F1"/>
    <w:rsid w:val="009509D0"/>
    <w:rsid w:val="009518B0"/>
    <w:rsid w:val="00952E3A"/>
    <w:rsid w:val="00953049"/>
    <w:rsid w:val="00953245"/>
    <w:rsid w:val="009534E8"/>
    <w:rsid w:val="00954AAD"/>
    <w:rsid w:val="00954CC0"/>
    <w:rsid w:val="00955333"/>
    <w:rsid w:val="00955533"/>
    <w:rsid w:val="00955D85"/>
    <w:rsid w:val="00956642"/>
    <w:rsid w:val="0095764C"/>
    <w:rsid w:val="00960388"/>
    <w:rsid w:val="009603FA"/>
    <w:rsid w:val="009609F4"/>
    <w:rsid w:val="0096332D"/>
    <w:rsid w:val="00966337"/>
    <w:rsid w:val="0096699A"/>
    <w:rsid w:val="009673B1"/>
    <w:rsid w:val="009674FE"/>
    <w:rsid w:val="00967D43"/>
    <w:rsid w:val="00970077"/>
    <w:rsid w:val="00970FAF"/>
    <w:rsid w:val="00971591"/>
    <w:rsid w:val="00972C4A"/>
    <w:rsid w:val="00972CFB"/>
    <w:rsid w:val="00973127"/>
    <w:rsid w:val="0097321C"/>
    <w:rsid w:val="00973265"/>
    <w:rsid w:val="00974A41"/>
    <w:rsid w:val="009765B6"/>
    <w:rsid w:val="009776CF"/>
    <w:rsid w:val="0098238C"/>
    <w:rsid w:val="00983291"/>
    <w:rsid w:val="009849FC"/>
    <w:rsid w:val="00984DBE"/>
    <w:rsid w:val="009855AC"/>
    <w:rsid w:val="00985B6C"/>
    <w:rsid w:val="00985E97"/>
    <w:rsid w:val="0098777B"/>
    <w:rsid w:val="009879CA"/>
    <w:rsid w:val="00990D30"/>
    <w:rsid w:val="00992858"/>
    <w:rsid w:val="009928CC"/>
    <w:rsid w:val="00993C4F"/>
    <w:rsid w:val="009956FC"/>
    <w:rsid w:val="0099640E"/>
    <w:rsid w:val="0099740D"/>
    <w:rsid w:val="009A037A"/>
    <w:rsid w:val="009A133C"/>
    <w:rsid w:val="009A14E0"/>
    <w:rsid w:val="009A27C8"/>
    <w:rsid w:val="009A39D1"/>
    <w:rsid w:val="009A5ED1"/>
    <w:rsid w:val="009B0F98"/>
    <w:rsid w:val="009B10B1"/>
    <w:rsid w:val="009B1522"/>
    <w:rsid w:val="009B1FF9"/>
    <w:rsid w:val="009B3564"/>
    <w:rsid w:val="009B3771"/>
    <w:rsid w:val="009B3A7C"/>
    <w:rsid w:val="009B3BCF"/>
    <w:rsid w:val="009B4178"/>
    <w:rsid w:val="009B42F3"/>
    <w:rsid w:val="009B4448"/>
    <w:rsid w:val="009B4932"/>
    <w:rsid w:val="009B4CA6"/>
    <w:rsid w:val="009B5ECE"/>
    <w:rsid w:val="009B6C84"/>
    <w:rsid w:val="009B71AE"/>
    <w:rsid w:val="009C0C08"/>
    <w:rsid w:val="009C2BD9"/>
    <w:rsid w:val="009C3644"/>
    <w:rsid w:val="009C6129"/>
    <w:rsid w:val="009C6C39"/>
    <w:rsid w:val="009C7FA2"/>
    <w:rsid w:val="009D05B9"/>
    <w:rsid w:val="009D20C9"/>
    <w:rsid w:val="009D22C6"/>
    <w:rsid w:val="009D531C"/>
    <w:rsid w:val="009D6E92"/>
    <w:rsid w:val="009D77A8"/>
    <w:rsid w:val="009D7ABE"/>
    <w:rsid w:val="009E0B3A"/>
    <w:rsid w:val="009E17C8"/>
    <w:rsid w:val="009E1C04"/>
    <w:rsid w:val="009E2DD9"/>
    <w:rsid w:val="009E3A01"/>
    <w:rsid w:val="009E47EE"/>
    <w:rsid w:val="009E65FF"/>
    <w:rsid w:val="009E7BF4"/>
    <w:rsid w:val="009F03B1"/>
    <w:rsid w:val="009F3E14"/>
    <w:rsid w:val="009F559D"/>
    <w:rsid w:val="009F6067"/>
    <w:rsid w:val="009F62C5"/>
    <w:rsid w:val="00A01486"/>
    <w:rsid w:val="00A01BBE"/>
    <w:rsid w:val="00A0451C"/>
    <w:rsid w:val="00A04CCE"/>
    <w:rsid w:val="00A062FC"/>
    <w:rsid w:val="00A064E4"/>
    <w:rsid w:val="00A06D3C"/>
    <w:rsid w:val="00A10BD3"/>
    <w:rsid w:val="00A12811"/>
    <w:rsid w:val="00A1356F"/>
    <w:rsid w:val="00A13C3B"/>
    <w:rsid w:val="00A15273"/>
    <w:rsid w:val="00A16A08"/>
    <w:rsid w:val="00A20D47"/>
    <w:rsid w:val="00A22FE1"/>
    <w:rsid w:val="00A2393E"/>
    <w:rsid w:val="00A24952"/>
    <w:rsid w:val="00A24C5E"/>
    <w:rsid w:val="00A25AE9"/>
    <w:rsid w:val="00A273B9"/>
    <w:rsid w:val="00A27E6B"/>
    <w:rsid w:val="00A304C9"/>
    <w:rsid w:val="00A31B63"/>
    <w:rsid w:val="00A31F75"/>
    <w:rsid w:val="00A32E08"/>
    <w:rsid w:val="00A33932"/>
    <w:rsid w:val="00A33C2E"/>
    <w:rsid w:val="00A36B4E"/>
    <w:rsid w:val="00A409BA"/>
    <w:rsid w:val="00A40BD7"/>
    <w:rsid w:val="00A4165A"/>
    <w:rsid w:val="00A427AC"/>
    <w:rsid w:val="00A42F7F"/>
    <w:rsid w:val="00A43B0E"/>
    <w:rsid w:val="00A45A81"/>
    <w:rsid w:val="00A460B0"/>
    <w:rsid w:val="00A466CA"/>
    <w:rsid w:val="00A46A6D"/>
    <w:rsid w:val="00A46B70"/>
    <w:rsid w:val="00A46F57"/>
    <w:rsid w:val="00A47192"/>
    <w:rsid w:val="00A478DD"/>
    <w:rsid w:val="00A52243"/>
    <w:rsid w:val="00A525AD"/>
    <w:rsid w:val="00A525E4"/>
    <w:rsid w:val="00A53E2E"/>
    <w:rsid w:val="00A55996"/>
    <w:rsid w:val="00A55A67"/>
    <w:rsid w:val="00A55E7A"/>
    <w:rsid w:val="00A569F2"/>
    <w:rsid w:val="00A5709C"/>
    <w:rsid w:val="00A6039D"/>
    <w:rsid w:val="00A609F2"/>
    <w:rsid w:val="00A60A20"/>
    <w:rsid w:val="00A60AC9"/>
    <w:rsid w:val="00A60E8C"/>
    <w:rsid w:val="00A6366E"/>
    <w:rsid w:val="00A64704"/>
    <w:rsid w:val="00A6623D"/>
    <w:rsid w:val="00A66E16"/>
    <w:rsid w:val="00A6781A"/>
    <w:rsid w:val="00A67AF9"/>
    <w:rsid w:val="00A715D6"/>
    <w:rsid w:val="00A7337D"/>
    <w:rsid w:val="00A7397C"/>
    <w:rsid w:val="00A73CCD"/>
    <w:rsid w:val="00A74896"/>
    <w:rsid w:val="00A7496E"/>
    <w:rsid w:val="00A75C2C"/>
    <w:rsid w:val="00A75E20"/>
    <w:rsid w:val="00A76CA2"/>
    <w:rsid w:val="00A775EB"/>
    <w:rsid w:val="00A777AD"/>
    <w:rsid w:val="00A77C68"/>
    <w:rsid w:val="00A8005F"/>
    <w:rsid w:val="00A80A8A"/>
    <w:rsid w:val="00A80C7F"/>
    <w:rsid w:val="00A81B57"/>
    <w:rsid w:val="00A822AE"/>
    <w:rsid w:val="00A82D37"/>
    <w:rsid w:val="00A8315D"/>
    <w:rsid w:val="00A83D53"/>
    <w:rsid w:val="00A84A49"/>
    <w:rsid w:val="00A85C57"/>
    <w:rsid w:val="00A878F4"/>
    <w:rsid w:val="00A879CD"/>
    <w:rsid w:val="00A904C4"/>
    <w:rsid w:val="00A915FA"/>
    <w:rsid w:val="00A93D65"/>
    <w:rsid w:val="00A957E0"/>
    <w:rsid w:val="00A95FFD"/>
    <w:rsid w:val="00A9680B"/>
    <w:rsid w:val="00A97019"/>
    <w:rsid w:val="00A97308"/>
    <w:rsid w:val="00AA0E21"/>
    <w:rsid w:val="00AA2493"/>
    <w:rsid w:val="00AA2D22"/>
    <w:rsid w:val="00AA3B24"/>
    <w:rsid w:val="00AA3C66"/>
    <w:rsid w:val="00AA3DFF"/>
    <w:rsid w:val="00AA50BC"/>
    <w:rsid w:val="00AA5159"/>
    <w:rsid w:val="00AA68AB"/>
    <w:rsid w:val="00AA732B"/>
    <w:rsid w:val="00AA7666"/>
    <w:rsid w:val="00AA7B75"/>
    <w:rsid w:val="00AA7BA0"/>
    <w:rsid w:val="00AB0854"/>
    <w:rsid w:val="00AB1C0D"/>
    <w:rsid w:val="00AB1EC3"/>
    <w:rsid w:val="00AB2102"/>
    <w:rsid w:val="00AB256E"/>
    <w:rsid w:val="00AB27DB"/>
    <w:rsid w:val="00AB2C30"/>
    <w:rsid w:val="00AB2E9D"/>
    <w:rsid w:val="00AB3CF7"/>
    <w:rsid w:val="00AC04F5"/>
    <w:rsid w:val="00AC057D"/>
    <w:rsid w:val="00AC15CA"/>
    <w:rsid w:val="00AC22BB"/>
    <w:rsid w:val="00AC23D6"/>
    <w:rsid w:val="00AC2C43"/>
    <w:rsid w:val="00AC4186"/>
    <w:rsid w:val="00AC5EA5"/>
    <w:rsid w:val="00AD1A29"/>
    <w:rsid w:val="00AD206A"/>
    <w:rsid w:val="00AD3176"/>
    <w:rsid w:val="00AD3B69"/>
    <w:rsid w:val="00AD3EAA"/>
    <w:rsid w:val="00AD6776"/>
    <w:rsid w:val="00AD6C75"/>
    <w:rsid w:val="00AD7737"/>
    <w:rsid w:val="00AD7784"/>
    <w:rsid w:val="00AE13D4"/>
    <w:rsid w:val="00AE1671"/>
    <w:rsid w:val="00AE2E6C"/>
    <w:rsid w:val="00AE30A0"/>
    <w:rsid w:val="00AE34A7"/>
    <w:rsid w:val="00AE38ED"/>
    <w:rsid w:val="00AE3ACF"/>
    <w:rsid w:val="00AE3DD8"/>
    <w:rsid w:val="00AE43C9"/>
    <w:rsid w:val="00AE4E16"/>
    <w:rsid w:val="00AE51AD"/>
    <w:rsid w:val="00AE7B0E"/>
    <w:rsid w:val="00AF0551"/>
    <w:rsid w:val="00AF0DC4"/>
    <w:rsid w:val="00AF3AE4"/>
    <w:rsid w:val="00AF4599"/>
    <w:rsid w:val="00AF4838"/>
    <w:rsid w:val="00AF5839"/>
    <w:rsid w:val="00AF5D0F"/>
    <w:rsid w:val="00AF61BF"/>
    <w:rsid w:val="00AF6E15"/>
    <w:rsid w:val="00AF74AB"/>
    <w:rsid w:val="00B00360"/>
    <w:rsid w:val="00B00745"/>
    <w:rsid w:val="00B00BC8"/>
    <w:rsid w:val="00B0127F"/>
    <w:rsid w:val="00B03310"/>
    <w:rsid w:val="00B03EF6"/>
    <w:rsid w:val="00B06B55"/>
    <w:rsid w:val="00B110D5"/>
    <w:rsid w:val="00B11741"/>
    <w:rsid w:val="00B12369"/>
    <w:rsid w:val="00B136E1"/>
    <w:rsid w:val="00B13D9B"/>
    <w:rsid w:val="00B14939"/>
    <w:rsid w:val="00B158BE"/>
    <w:rsid w:val="00B15FFC"/>
    <w:rsid w:val="00B218A8"/>
    <w:rsid w:val="00B239C6"/>
    <w:rsid w:val="00B23F76"/>
    <w:rsid w:val="00B26CBD"/>
    <w:rsid w:val="00B302E8"/>
    <w:rsid w:val="00B31C84"/>
    <w:rsid w:val="00B32392"/>
    <w:rsid w:val="00B33680"/>
    <w:rsid w:val="00B33D2D"/>
    <w:rsid w:val="00B3408E"/>
    <w:rsid w:val="00B34689"/>
    <w:rsid w:val="00B34A2B"/>
    <w:rsid w:val="00B3776A"/>
    <w:rsid w:val="00B408E2"/>
    <w:rsid w:val="00B42142"/>
    <w:rsid w:val="00B42D9F"/>
    <w:rsid w:val="00B439FB"/>
    <w:rsid w:val="00B442E9"/>
    <w:rsid w:val="00B452DE"/>
    <w:rsid w:val="00B4536D"/>
    <w:rsid w:val="00B46137"/>
    <w:rsid w:val="00B461EE"/>
    <w:rsid w:val="00B46607"/>
    <w:rsid w:val="00B46D0D"/>
    <w:rsid w:val="00B47263"/>
    <w:rsid w:val="00B51789"/>
    <w:rsid w:val="00B5369E"/>
    <w:rsid w:val="00B5497A"/>
    <w:rsid w:val="00B54DF6"/>
    <w:rsid w:val="00B54F63"/>
    <w:rsid w:val="00B55180"/>
    <w:rsid w:val="00B553C8"/>
    <w:rsid w:val="00B5560B"/>
    <w:rsid w:val="00B55862"/>
    <w:rsid w:val="00B5717F"/>
    <w:rsid w:val="00B575BB"/>
    <w:rsid w:val="00B57BBC"/>
    <w:rsid w:val="00B60793"/>
    <w:rsid w:val="00B60AC3"/>
    <w:rsid w:val="00B60EF4"/>
    <w:rsid w:val="00B61FBE"/>
    <w:rsid w:val="00B63E81"/>
    <w:rsid w:val="00B65886"/>
    <w:rsid w:val="00B675FD"/>
    <w:rsid w:val="00B702B7"/>
    <w:rsid w:val="00B70A75"/>
    <w:rsid w:val="00B71D09"/>
    <w:rsid w:val="00B72207"/>
    <w:rsid w:val="00B74FB5"/>
    <w:rsid w:val="00B7592A"/>
    <w:rsid w:val="00B76121"/>
    <w:rsid w:val="00B76752"/>
    <w:rsid w:val="00B7778A"/>
    <w:rsid w:val="00B778D4"/>
    <w:rsid w:val="00B77C0D"/>
    <w:rsid w:val="00B80C63"/>
    <w:rsid w:val="00B80E3F"/>
    <w:rsid w:val="00B81644"/>
    <w:rsid w:val="00B81B65"/>
    <w:rsid w:val="00B82729"/>
    <w:rsid w:val="00B82BC0"/>
    <w:rsid w:val="00B82FFE"/>
    <w:rsid w:val="00B8540A"/>
    <w:rsid w:val="00B85F05"/>
    <w:rsid w:val="00B878AA"/>
    <w:rsid w:val="00B90E61"/>
    <w:rsid w:val="00B9145D"/>
    <w:rsid w:val="00B919E8"/>
    <w:rsid w:val="00B9296D"/>
    <w:rsid w:val="00B932AB"/>
    <w:rsid w:val="00B93389"/>
    <w:rsid w:val="00B94864"/>
    <w:rsid w:val="00B95DBF"/>
    <w:rsid w:val="00B96A71"/>
    <w:rsid w:val="00B97F1C"/>
    <w:rsid w:val="00BA1075"/>
    <w:rsid w:val="00BA159E"/>
    <w:rsid w:val="00BA3BF8"/>
    <w:rsid w:val="00BA410F"/>
    <w:rsid w:val="00BA477C"/>
    <w:rsid w:val="00BA5797"/>
    <w:rsid w:val="00BA688D"/>
    <w:rsid w:val="00BB168B"/>
    <w:rsid w:val="00BB1E08"/>
    <w:rsid w:val="00BB23B0"/>
    <w:rsid w:val="00BB25FC"/>
    <w:rsid w:val="00BB2AC8"/>
    <w:rsid w:val="00BB318D"/>
    <w:rsid w:val="00BB3696"/>
    <w:rsid w:val="00BB3995"/>
    <w:rsid w:val="00BB39EF"/>
    <w:rsid w:val="00BB4EFE"/>
    <w:rsid w:val="00BB5BCC"/>
    <w:rsid w:val="00BB6D5E"/>
    <w:rsid w:val="00BB6E35"/>
    <w:rsid w:val="00BB7819"/>
    <w:rsid w:val="00BC00C7"/>
    <w:rsid w:val="00BC04E1"/>
    <w:rsid w:val="00BC1194"/>
    <w:rsid w:val="00BC1F45"/>
    <w:rsid w:val="00BC2036"/>
    <w:rsid w:val="00BC247D"/>
    <w:rsid w:val="00BC3A3E"/>
    <w:rsid w:val="00BC3CDF"/>
    <w:rsid w:val="00BC4FB6"/>
    <w:rsid w:val="00BC5EDB"/>
    <w:rsid w:val="00BC5F9D"/>
    <w:rsid w:val="00BD0B73"/>
    <w:rsid w:val="00BD0CC2"/>
    <w:rsid w:val="00BD1E9D"/>
    <w:rsid w:val="00BD2162"/>
    <w:rsid w:val="00BD58AA"/>
    <w:rsid w:val="00BD635F"/>
    <w:rsid w:val="00BD6E4E"/>
    <w:rsid w:val="00BD759F"/>
    <w:rsid w:val="00BD7C43"/>
    <w:rsid w:val="00BE051E"/>
    <w:rsid w:val="00BE0FF8"/>
    <w:rsid w:val="00BE1031"/>
    <w:rsid w:val="00BE179C"/>
    <w:rsid w:val="00BE1911"/>
    <w:rsid w:val="00BE20CA"/>
    <w:rsid w:val="00BE22A3"/>
    <w:rsid w:val="00BE384A"/>
    <w:rsid w:val="00BE7A5A"/>
    <w:rsid w:val="00BF0735"/>
    <w:rsid w:val="00BF0CE4"/>
    <w:rsid w:val="00BF1A00"/>
    <w:rsid w:val="00BF24C6"/>
    <w:rsid w:val="00BF2E22"/>
    <w:rsid w:val="00BF3BED"/>
    <w:rsid w:val="00BF5290"/>
    <w:rsid w:val="00BF6763"/>
    <w:rsid w:val="00BF7E8E"/>
    <w:rsid w:val="00C023E5"/>
    <w:rsid w:val="00C05EA3"/>
    <w:rsid w:val="00C07473"/>
    <w:rsid w:val="00C11065"/>
    <w:rsid w:val="00C1118F"/>
    <w:rsid w:val="00C13393"/>
    <w:rsid w:val="00C15CF2"/>
    <w:rsid w:val="00C17248"/>
    <w:rsid w:val="00C17769"/>
    <w:rsid w:val="00C21EA6"/>
    <w:rsid w:val="00C228EA"/>
    <w:rsid w:val="00C22DE3"/>
    <w:rsid w:val="00C26BF2"/>
    <w:rsid w:val="00C300E7"/>
    <w:rsid w:val="00C30E95"/>
    <w:rsid w:val="00C30F84"/>
    <w:rsid w:val="00C3114E"/>
    <w:rsid w:val="00C31458"/>
    <w:rsid w:val="00C31741"/>
    <w:rsid w:val="00C31F3C"/>
    <w:rsid w:val="00C32A63"/>
    <w:rsid w:val="00C33CCB"/>
    <w:rsid w:val="00C37334"/>
    <w:rsid w:val="00C374BC"/>
    <w:rsid w:val="00C37B78"/>
    <w:rsid w:val="00C40321"/>
    <w:rsid w:val="00C405F4"/>
    <w:rsid w:val="00C407C1"/>
    <w:rsid w:val="00C415AC"/>
    <w:rsid w:val="00C439F0"/>
    <w:rsid w:val="00C45415"/>
    <w:rsid w:val="00C457C9"/>
    <w:rsid w:val="00C45B24"/>
    <w:rsid w:val="00C474CE"/>
    <w:rsid w:val="00C508BC"/>
    <w:rsid w:val="00C50A8A"/>
    <w:rsid w:val="00C50C48"/>
    <w:rsid w:val="00C5185F"/>
    <w:rsid w:val="00C51D6A"/>
    <w:rsid w:val="00C520AE"/>
    <w:rsid w:val="00C528B3"/>
    <w:rsid w:val="00C53623"/>
    <w:rsid w:val="00C53CA9"/>
    <w:rsid w:val="00C53DC2"/>
    <w:rsid w:val="00C53F07"/>
    <w:rsid w:val="00C54144"/>
    <w:rsid w:val="00C544CE"/>
    <w:rsid w:val="00C54E81"/>
    <w:rsid w:val="00C551A8"/>
    <w:rsid w:val="00C65D8A"/>
    <w:rsid w:val="00C67362"/>
    <w:rsid w:val="00C7048F"/>
    <w:rsid w:val="00C72361"/>
    <w:rsid w:val="00C73770"/>
    <w:rsid w:val="00C77739"/>
    <w:rsid w:val="00C779F5"/>
    <w:rsid w:val="00C77C5C"/>
    <w:rsid w:val="00C77FF2"/>
    <w:rsid w:val="00C8071C"/>
    <w:rsid w:val="00C82029"/>
    <w:rsid w:val="00C8260F"/>
    <w:rsid w:val="00C8405E"/>
    <w:rsid w:val="00C84F39"/>
    <w:rsid w:val="00C8501A"/>
    <w:rsid w:val="00C85C56"/>
    <w:rsid w:val="00C862CD"/>
    <w:rsid w:val="00C86881"/>
    <w:rsid w:val="00C90513"/>
    <w:rsid w:val="00C90A72"/>
    <w:rsid w:val="00C90AC0"/>
    <w:rsid w:val="00C90B59"/>
    <w:rsid w:val="00C90FEC"/>
    <w:rsid w:val="00C91AEC"/>
    <w:rsid w:val="00C91C58"/>
    <w:rsid w:val="00C91E25"/>
    <w:rsid w:val="00C9244F"/>
    <w:rsid w:val="00C929AB"/>
    <w:rsid w:val="00C9635F"/>
    <w:rsid w:val="00C96A57"/>
    <w:rsid w:val="00C974F1"/>
    <w:rsid w:val="00C97852"/>
    <w:rsid w:val="00CA0706"/>
    <w:rsid w:val="00CA1DAD"/>
    <w:rsid w:val="00CA257C"/>
    <w:rsid w:val="00CA2A46"/>
    <w:rsid w:val="00CA4CD7"/>
    <w:rsid w:val="00CB28DB"/>
    <w:rsid w:val="00CB2E41"/>
    <w:rsid w:val="00CB3D91"/>
    <w:rsid w:val="00CB42C6"/>
    <w:rsid w:val="00CB5EF1"/>
    <w:rsid w:val="00CB72B0"/>
    <w:rsid w:val="00CB7B3F"/>
    <w:rsid w:val="00CB7CA2"/>
    <w:rsid w:val="00CC1935"/>
    <w:rsid w:val="00CC34C8"/>
    <w:rsid w:val="00CC363D"/>
    <w:rsid w:val="00CC3AEB"/>
    <w:rsid w:val="00CC46FF"/>
    <w:rsid w:val="00CC50A9"/>
    <w:rsid w:val="00CC6039"/>
    <w:rsid w:val="00CC60C3"/>
    <w:rsid w:val="00CC6A17"/>
    <w:rsid w:val="00CD038B"/>
    <w:rsid w:val="00CD0912"/>
    <w:rsid w:val="00CD12E2"/>
    <w:rsid w:val="00CD2052"/>
    <w:rsid w:val="00CD2B75"/>
    <w:rsid w:val="00CD2CDD"/>
    <w:rsid w:val="00CD2FA7"/>
    <w:rsid w:val="00CD3819"/>
    <w:rsid w:val="00CD3B15"/>
    <w:rsid w:val="00CD4B31"/>
    <w:rsid w:val="00CD5902"/>
    <w:rsid w:val="00CD6559"/>
    <w:rsid w:val="00CD7EA9"/>
    <w:rsid w:val="00CD7F21"/>
    <w:rsid w:val="00CE2170"/>
    <w:rsid w:val="00CE44A3"/>
    <w:rsid w:val="00CE4B09"/>
    <w:rsid w:val="00CE4D87"/>
    <w:rsid w:val="00CE6499"/>
    <w:rsid w:val="00CF0501"/>
    <w:rsid w:val="00CF1AC1"/>
    <w:rsid w:val="00CF2567"/>
    <w:rsid w:val="00CF31C8"/>
    <w:rsid w:val="00CF35C0"/>
    <w:rsid w:val="00CF3C7B"/>
    <w:rsid w:val="00CF46AC"/>
    <w:rsid w:val="00CF5CF4"/>
    <w:rsid w:val="00CF6305"/>
    <w:rsid w:val="00CF6ECE"/>
    <w:rsid w:val="00CF7943"/>
    <w:rsid w:val="00CF7F76"/>
    <w:rsid w:val="00D00970"/>
    <w:rsid w:val="00D02665"/>
    <w:rsid w:val="00D05ADB"/>
    <w:rsid w:val="00D06389"/>
    <w:rsid w:val="00D07899"/>
    <w:rsid w:val="00D10D87"/>
    <w:rsid w:val="00D12023"/>
    <w:rsid w:val="00D13D17"/>
    <w:rsid w:val="00D13E0E"/>
    <w:rsid w:val="00D14237"/>
    <w:rsid w:val="00D14A95"/>
    <w:rsid w:val="00D14D53"/>
    <w:rsid w:val="00D14F32"/>
    <w:rsid w:val="00D15C80"/>
    <w:rsid w:val="00D161B8"/>
    <w:rsid w:val="00D16A54"/>
    <w:rsid w:val="00D17923"/>
    <w:rsid w:val="00D22D43"/>
    <w:rsid w:val="00D22E3F"/>
    <w:rsid w:val="00D23033"/>
    <w:rsid w:val="00D23473"/>
    <w:rsid w:val="00D2364B"/>
    <w:rsid w:val="00D24EE9"/>
    <w:rsid w:val="00D25724"/>
    <w:rsid w:val="00D2613F"/>
    <w:rsid w:val="00D265E1"/>
    <w:rsid w:val="00D26A6C"/>
    <w:rsid w:val="00D36287"/>
    <w:rsid w:val="00D372AA"/>
    <w:rsid w:val="00D40A36"/>
    <w:rsid w:val="00D40D5C"/>
    <w:rsid w:val="00D40D9B"/>
    <w:rsid w:val="00D44457"/>
    <w:rsid w:val="00D45586"/>
    <w:rsid w:val="00D46C22"/>
    <w:rsid w:val="00D470A3"/>
    <w:rsid w:val="00D4715A"/>
    <w:rsid w:val="00D4796B"/>
    <w:rsid w:val="00D51507"/>
    <w:rsid w:val="00D56310"/>
    <w:rsid w:val="00D60427"/>
    <w:rsid w:val="00D614C6"/>
    <w:rsid w:val="00D63B97"/>
    <w:rsid w:val="00D64C88"/>
    <w:rsid w:val="00D67828"/>
    <w:rsid w:val="00D70F10"/>
    <w:rsid w:val="00D7129F"/>
    <w:rsid w:val="00D73144"/>
    <w:rsid w:val="00D73C91"/>
    <w:rsid w:val="00D74010"/>
    <w:rsid w:val="00D74BE9"/>
    <w:rsid w:val="00D8091A"/>
    <w:rsid w:val="00D8124C"/>
    <w:rsid w:val="00D821CA"/>
    <w:rsid w:val="00D82904"/>
    <w:rsid w:val="00D82E66"/>
    <w:rsid w:val="00D838EC"/>
    <w:rsid w:val="00D839A6"/>
    <w:rsid w:val="00D84E0F"/>
    <w:rsid w:val="00D912B3"/>
    <w:rsid w:val="00D913C8"/>
    <w:rsid w:val="00D91D93"/>
    <w:rsid w:val="00D91E4C"/>
    <w:rsid w:val="00D92186"/>
    <w:rsid w:val="00D9311D"/>
    <w:rsid w:val="00D932F3"/>
    <w:rsid w:val="00D94FA4"/>
    <w:rsid w:val="00D95D0B"/>
    <w:rsid w:val="00D95FC5"/>
    <w:rsid w:val="00D978CB"/>
    <w:rsid w:val="00D97B6D"/>
    <w:rsid w:val="00D97EEF"/>
    <w:rsid w:val="00D97F72"/>
    <w:rsid w:val="00DA0127"/>
    <w:rsid w:val="00DA0376"/>
    <w:rsid w:val="00DA129A"/>
    <w:rsid w:val="00DA12FE"/>
    <w:rsid w:val="00DA1DE1"/>
    <w:rsid w:val="00DA445D"/>
    <w:rsid w:val="00DA7746"/>
    <w:rsid w:val="00DB2B7F"/>
    <w:rsid w:val="00DB3305"/>
    <w:rsid w:val="00DB3645"/>
    <w:rsid w:val="00DB4865"/>
    <w:rsid w:val="00DB6D7A"/>
    <w:rsid w:val="00DC05C1"/>
    <w:rsid w:val="00DC0C14"/>
    <w:rsid w:val="00DC0FBE"/>
    <w:rsid w:val="00DC30DC"/>
    <w:rsid w:val="00DC4A7F"/>
    <w:rsid w:val="00DD1015"/>
    <w:rsid w:val="00DD12F7"/>
    <w:rsid w:val="00DD4066"/>
    <w:rsid w:val="00DD5482"/>
    <w:rsid w:val="00DD642D"/>
    <w:rsid w:val="00DD6777"/>
    <w:rsid w:val="00DE0A42"/>
    <w:rsid w:val="00DE17F8"/>
    <w:rsid w:val="00DE20A2"/>
    <w:rsid w:val="00DE2BAD"/>
    <w:rsid w:val="00DE2CDA"/>
    <w:rsid w:val="00DE367D"/>
    <w:rsid w:val="00DE5A38"/>
    <w:rsid w:val="00DF00EA"/>
    <w:rsid w:val="00DF09A8"/>
    <w:rsid w:val="00DF1264"/>
    <w:rsid w:val="00DF16F4"/>
    <w:rsid w:val="00DF2CA9"/>
    <w:rsid w:val="00DF33B1"/>
    <w:rsid w:val="00DF44C6"/>
    <w:rsid w:val="00DF45FB"/>
    <w:rsid w:val="00DF604D"/>
    <w:rsid w:val="00DF7BCB"/>
    <w:rsid w:val="00DF7FC7"/>
    <w:rsid w:val="00E03287"/>
    <w:rsid w:val="00E034AE"/>
    <w:rsid w:val="00E03D8E"/>
    <w:rsid w:val="00E044AD"/>
    <w:rsid w:val="00E04758"/>
    <w:rsid w:val="00E0483A"/>
    <w:rsid w:val="00E06D78"/>
    <w:rsid w:val="00E07438"/>
    <w:rsid w:val="00E10380"/>
    <w:rsid w:val="00E10F5E"/>
    <w:rsid w:val="00E12122"/>
    <w:rsid w:val="00E125EE"/>
    <w:rsid w:val="00E13E47"/>
    <w:rsid w:val="00E1621F"/>
    <w:rsid w:val="00E21686"/>
    <w:rsid w:val="00E22587"/>
    <w:rsid w:val="00E2387F"/>
    <w:rsid w:val="00E24EB5"/>
    <w:rsid w:val="00E27562"/>
    <w:rsid w:val="00E27E10"/>
    <w:rsid w:val="00E3075F"/>
    <w:rsid w:val="00E36C12"/>
    <w:rsid w:val="00E3729D"/>
    <w:rsid w:val="00E37EC4"/>
    <w:rsid w:val="00E4077C"/>
    <w:rsid w:val="00E40830"/>
    <w:rsid w:val="00E41010"/>
    <w:rsid w:val="00E4330F"/>
    <w:rsid w:val="00E4360C"/>
    <w:rsid w:val="00E4373B"/>
    <w:rsid w:val="00E43CA3"/>
    <w:rsid w:val="00E4469E"/>
    <w:rsid w:val="00E454C7"/>
    <w:rsid w:val="00E50667"/>
    <w:rsid w:val="00E509D1"/>
    <w:rsid w:val="00E530C7"/>
    <w:rsid w:val="00E53A42"/>
    <w:rsid w:val="00E53A70"/>
    <w:rsid w:val="00E544F0"/>
    <w:rsid w:val="00E5525A"/>
    <w:rsid w:val="00E56F91"/>
    <w:rsid w:val="00E579AD"/>
    <w:rsid w:val="00E579C3"/>
    <w:rsid w:val="00E60F25"/>
    <w:rsid w:val="00E615CA"/>
    <w:rsid w:val="00E616FE"/>
    <w:rsid w:val="00E62230"/>
    <w:rsid w:val="00E624D6"/>
    <w:rsid w:val="00E6259F"/>
    <w:rsid w:val="00E62C62"/>
    <w:rsid w:val="00E66006"/>
    <w:rsid w:val="00E6699E"/>
    <w:rsid w:val="00E6791C"/>
    <w:rsid w:val="00E70304"/>
    <w:rsid w:val="00E705F1"/>
    <w:rsid w:val="00E71146"/>
    <w:rsid w:val="00E72698"/>
    <w:rsid w:val="00E72B64"/>
    <w:rsid w:val="00E7324A"/>
    <w:rsid w:val="00E7416B"/>
    <w:rsid w:val="00E74BF7"/>
    <w:rsid w:val="00E74C07"/>
    <w:rsid w:val="00E7658D"/>
    <w:rsid w:val="00E810E7"/>
    <w:rsid w:val="00E847FB"/>
    <w:rsid w:val="00E85ED7"/>
    <w:rsid w:val="00E8C84C"/>
    <w:rsid w:val="00E900DC"/>
    <w:rsid w:val="00E9158F"/>
    <w:rsid w:val="00E91E08"/>
    <w:rsid w:val="00E91EA3"/>
    <w:rsid w:val="00E940EA"/>
    <w:rsid w:val="00E95091"/>
    <w:rsid w:val="00E957F4"/>
    <w:rsid w:val="00E95863"/>
    <w:rsid w:val="00E95ED4"/>
    <w:rsid w:val="00E962B4"/>
    <w:rsid w:val="00E97309"/>
    <w:rsid w:val="00E979C9"/>
    <w:rsid w:val="00EA0370"/>
    <w:rsid w:val="00EA1825"/>
    <w:rsid w:val="00EA2C43"/>
    <w:rsid w:val="00EA389B"/>
    <w:rsid w:val="00EA6257"/>
    <w:rsid w:val="00EA69B0"/>
    <w:rsid w:val="00EA6B38"/>
    <w:rsid w:val="00EA6C18"/>
    <w:rsid w:val="00EB0C65"/>
    <w:rsid w:val="00EB0FF4"/>
    <w:rsid w:val="00EB19F7"/>
    <w:rsid w:val="00EB22FB"/>
    <w:rsid w:val="00EB40C9"/>
    <w:rsid w:val="00EB486A"/>
    <w:rsid w:val="00EB4DB0"/>
    <w:rsid w:val="00EB5185"/>
    <w:rsid w:val="00EB563B"/>
    <w:rsid w:val="00EB5BC2"/>
    <w:rsid w:val="00EB65DD"/>
    <w:rsid w:val="00EC0724"/>
    <w:rsid w:val="00EC0C30"/>
    <w:rsid w:val="00EC56EF"/>
    <w:rsid w:val="00EC5F29"/>
    <w:rsid w:val="00EC71F2"/>
    <w:rsid w:val="00EC7352"/>
    <w:rsid w:val="00EC7AD9"/>
    <w:rsid w:val="00ED333B"/>
    <w:rsid w:val="00ED3738"/>
    <w:rsid w:val="00ED401E"/>
    <w:rsid w:val="00ED5212"/>
    <w:rsid w:val="00ED63FA"/>
    <w:rsid w:val="00ED757C"/>
    <w:rsid w:val="00EE0028"/>
    <w:rsid w:val="00EE078D"/>
    <w:rsid w:val="00EE0C54"/>
    <w:rsid w:val="00EE1B57"/>
    <w:rsid w:val="00EE1C5C"/>
    <w:rsid w:val="00EE1CDC"/>
    <w:rsid w:val="00EE226C"/>
    <w:rsid w:val="00EE2790"/>
    <w:rsid w:val="00EE27F2"/>
    <w:rsid w:val="00EE2827"/>
    <w:rsid w:val="00EE31A5"/>
    <w:rsid w:val="00EE3EEA"/>
    <w:rsid w:val="00EE4FE0"/>
    <w:rsid w:val="00EE64B7"/>
    <w:rsid w:val="00EF4B63"/>
    <w:rsid w:val="00EF53F3"/>
    <w:rsid w:val="00EF5A0D"/>
    <w:rsid w:val="00F00D09"/>
    <w:rsid w:val="00F0408F"/>
    <w:rsid w:val="00F04942"/>
    <w:rsid w:val="00F07298"/>
    <w:rsid w:val="00F07A9B"/>
    <w:rsid w:val="00F1039F"/>
    <w:rsid w:val="00F10A6F"/>
    <w:rsid w:val="00F127C1"/>
    <w:rsid w:val="00F12D6F"/>
    <w:rsid w:val="00F14EEE"/>
    <w:rsid w:val="00F157CD"/>
    <w:rsid w:val="00F1751F"/>
    <w:rsid w:val="00F22CA7"/>
    <w:rsid w:val="00F235C0"/>
    <w:rsid w:val="00F23683"/>
    <w:rsid w:val="00F24002"/>
    <w:rsid w:val="00F24DBB"/>
    <w:rsid w:val="00F25AB7"/>
    <w:rsid w:val="00F25E31"/>
    <w:rsid w:val="00F26708"/>
    <w:rsid w:val="00F26A34"/>
    <w:rsid w:val="00F31760"/>
    <w:rsid w:val="00F32942"/>
    <w:rsid w:val="00F33AB0"/>
    <w:rsid w:val="00F34651"/>
    <w:rsid w:val="00F352FC"/>
    <w:rsid w:val="00F36D5F"/>
    <w:rsid w:val="00F37523"/>
    <w:rsid w:val="00F408A2"/>
    <w:rsid w:val="00F4154B"/>
    <w:rsid w:val="00F42758"/>
    <w:rsid w:val="00F43198"/>
    <w:rsid w:val="00F4336F"/>
    <w:rsid w:val="00F43545"/>
    <w:rsid w:val="00F437F1"/>
    <w:rsid w:val="00F43873"/>
    <w:rsid w:val="00F4391D"/>
    <w:rsid w:val="00F44232"/>
    <w:rsid w:val="00F445C4"/>
    <w:rsid w:val="00F45D5F"/>
    <w:rsid w:val="00F51632"/>
    <w:rsid w:val="00F52014"/>
    <w:rsid w:val="00F52FFB"/>
    <w:rsid w:val="00F53E76"/>
    <w:rsid w:val="00F54D8A"/>
    <w:rsid w:val="00F553D3"/>
    <w:rsid w:val="00F55ABE"/>
    <w:rsid w:val="00F57CA6"/>
    <w:rsid w:val="00F57DBF"/>
    <w:rsid w:val="00F624CF"/>
    <w:rsid w:val="00F628BE"/>
    <w:rsid w:val="00F62BB8"/>
    <w:rsid w:val="00F6389D"/>
    <w:rsid w:val="00F645A7"/>
    <w:rsid w:val="00F655B1"/>
    <w:rsid w:val="00F65FC9"/>
    <w:rsid w:val="00F66CC8"/>
    <w:rsid w:val="00F66CE7"/>
    <w:rsid w:val="00F6727D"/>
    <w:rsid w:val="00F67909"/>
    <w:rsid w:val="00F705A3"/>
    <w:rsid w:val="00F71516"/>
    <w:rsid w:val="00F742C5"/>
    <w:rsid w:val="00F74F5D"/>
    <w:rsid w:val="00F76442"/>
    <w:rsid w:val="00F81F5F"/>
    <w:rsid w:val="00F823F1"/>
    <w:rsid w:val="00F82E4E"/>
    <w:rsid w:val="00F8472B"/>
    <w:rsid w:val="00F85B4E"/>
    <w:rsid w:val="00F85EC9"/>
    <w:rsid w:val="00F86310"/>
    <w:rsid w:val="00F8638A"/>
    <w:rsid w:val="00F86532"/>
    <w:rsid w:val="00F86EBC"/>
    <w:rsid w:val="00F87010"/>
    <w:rsid w:val="00F87237"/>
    <w:rsid w:val="00F87BD4"/>
    <w:rsid w:val="00F9055C"/>
    <w:rsid w:val="00F92150"/>
    <w:rsid w:val="00F92DF9"/>
    <w:rsid w:val="00F94075"/>
    <w:rsid w:val="00F946FB"/>
    <w:rsid w:val="00F94814"/>
    <w:rsid w:val="00F94C5F"/>
    <w:rsid w:val="00F95AA1"/>
    <w:rsid w:val="00F964C8"/>
    <w:rsid w:val="00F9652D"/>
    <w:rsid w:val="00F9722D"/>
    <w:rsid w:val="00F97F35"/>
    <w:rsid w:val="00FA040E"/>
    <w:rsid w:val="00FA137E"/>
    <w:rsid w:val="00FA24EC"/>
    <w:rsid w:val="00FA27AD"/>
    <w:rsid w:val="00FA2AA7"/>
    <w:rsid w:val="00FA32E4"/>
    <w:rsid w:val="00FA3B75"/>
    <w:rsid w:val="00FA4675"/>
    <w:rsid w:val="00FA5C7F"/>
    <w:rsid w:val="00FA6AAA"/>
    <w:rsid w:val="00FA709B"/>
    <w:rsid w:val="00FB3186"/>
    <w:rsid w:val="00FB3DD5"/>
    <w:rsid w:val="00FB5354"/>
    <w:rsid w:val="00FB5A3A"/>
    <w:rsid w:val="00FB60F9"/>
    <w:rsid w:val="00FB6CAF"/>
    <w:rsid w:val="00FB7A61"/>
    <w:rsid w:val="00FC150E"/>
    <w:rsid w:val="00FC4D2B"/>
    <w:rsid w:val="00FC5320"/>
    <w:rsid w:val="00FC532E"/>
    <w:rsid w:val="00FC5A35"/>
    <w:rsid w:val="00FC6209"/>
    <w:rsid w:val="00FC6470"/>
    <w:rsid w:val="00FC66FC"/>
    <w:rsid w:val="00FC67BE"/>
    <w:rsid w:val="00FC7374"/>
    <w:rsid w:val="00FC745F"/>
    <w:rsid w:val="00FD012D"/>
    <w:rsid w:val="00FD07DF"/>
    <w:rsid w:val="00FD0901"/>
    <w:rsid w:val="00FD0D78"/>
    <w:rsid w:val="00FD1E6F"/>
    <w:rsid w:val="00FD4D48"/>
    <w:rsid w:val="00FD5922"/>
    <w:rsid w:val="00FD6C01"/>
    <w:rsid w:val="00FD71F0"/>
    <w:rsid w:val="00FE0020"/>
    <w:rsid w:val="00FE0F52"/>
    <w:rsid w:val="00FE30AE"/>
    <w:rsid w:val="00FE3CF1"/>
    <w:rsid w:val="00FE5D0F"/>
    <w:rsid w:val="00FE69D1"/>
    <w:rsid w:val="00FE6A61"/>
    <w:rsid w:val="00FE6A64"/>
    <w:rsid w:val="00FE731E"/>
    <w:rsid w:val="00FE774F"/>
    <w:rsid w:val="00FF6B63"/>
    <w:rsid w:val="00FF7611"/>
    <w:rsid w:val="01105347"/>
    <w:rsid w:val="015B8B00"/>
    <w:rsid w:val="01A54306"/>
    <w:rsid w:val="024E651B"/>
    <w:rsid w:val="02647A41"/>
    <w:rsid w:val="029131C4"/>
    <w:rsid w:val="0348EEBD"/>
    <w:rsid w:val="03634A66"/>
    <w:rsid w:val="0367E379"/>
    <w:rsid w:val="041D9140"/>
    <w:rsid w:val="045C41F1"/>
    <w:rsid w:val="04AD475F"/>
    <w:rsid w:val="04B48E14"/>
    <w:rsid w:val="04E4336B"/>
    <w:rsid w:val="0598C412"/>
    <w:rsid w:val="06487907"/>
    <w:rsid w:val="07283B72"/>
    <w:rsid w:val="077C45C3"/>
    <w:rsid w:val="080A9874"/>
    <w:rsid w:val="0815E9D9"/>
    <w:rsid w:val="0818E3C0"/>
    <w:rsid w:val="083EE16C"/>
    <w:rsid w:val="08447BED"/>
    <w:rsid w:val="08C66256"/>
    <w:rsid w:val="08ED2090"/>
    <w:rsid w:val="093366EF"/>
    <w:rsid w:val="09E04C4E"/>
    <w:rsid w:val="0A824033"/>
    <w:rsid w:val="0B768ABA"/>
    <w:rsid w:val="0B7DB046"/>
    <w:rsid w:val="0B7FEF91"/>
    <w:rsid w:val="0BA1F057"/>
    <w:rsid w:val="0BBB48ED"/>
    <w:rsid w:val="0C0B5C87"/>
    <w:rsid w:val="0CAA2D6D"/>
    <w:rsid w:val="0CD9AF4C"/>
    <w:rsid w:val="0CE5F704"/>
    <w:rsid w:val="0D16B345"/>
    <w:rsid w:val="0D91D7D5"/>
    <w:rsid w:val="0E46C0E3"/>
    <w:rsid w:val="0E79D9F8"/>
    <w:rsid w:val="0F125FC9"/>
    <w:rsid w:val="0F252CB8"/>
    <w:rsid w:val="10B2FA4F"/>
    <w:rsid w:val="10F25CD0"/>
    <w:rsid w:val="1203107E"/>
    <w:rsid w:val="12541C3F"/>
    <w:rsid w:val="128E2D31"/>
    <w:rsid w:val="12D286F5"/>
    <w:rsid w:val="12E916A0"/>
    <w:rsid w:val="132F098A"/>
    <w:rsid w:val="13A6BF7B"/>
    <w:rsid w:val="13D0A1EE"/>
    <w:rsid w:val="14E91B7C"/>
    <w:rsid w:val="1521C52A"/>
    <w:rsid w:val="15E8AD5D"/>
    <w:rsid w:val="1624184D"/>
    <w:rsid w:val="166828F6"/>
    <w:rsid w:val="16BD958B"/>
    <w:rsid w:val="18A29C18"/>
    <w:rsid w:val="18B9D729"/>
    <w:rsid w:val="18ECAC95"/>
    <w:rsid w:val="19C47A25"/>
    <w:rsid w:val="19F0568F"/>
    <w:rsid w:val="1A887CF6"/>
    <w:rsid w:val="1A96A8E2"/>
    <w:rsid w:val="1B624311"/>
    <w:rsid w:val="1BD21C7A"/>
    <w:rsid w:val="1BFB0D99"/>
    <w:rsid w:val="1C17BF10"/>
    <w:rsid w:val="1C44334F"/>
    <w:rsid w:val="1C7D9375"/>
    <w:rsid w:val="1C9A60A7"/>
    <w:rsid w:val="1CEEC178"/>
    <w:rsid w:val="1CF246FD"/>
    <w:rsid w:val="1E73D911"/>
    <w:rsid w:val="1E97EB48"/>
    <w:rsid w:val="1F5BEE19"/>
    <w:rsid w:val="1F85B8F3"/>
    <w:rsid w:val="2033BBA9"/>
    <w:rsid w:val="21CF8C0A"/>
    <w:rsid w:val="224EEBF7"/>
    <w:rsid w:val="22CF595E"/>
    <w:rsid w:val="22D4B399"/>
    <w:rsid w:val="23E31580"/>
    <w:rsid w:val="24396F05"/>
    <w:rsid w:val="24C7B563"/>
    <w:rsid w:val="25756B83"/>
    <w:rsid w:val="25FB821F"/>
    <w:rsid w:val="25FD37E5"/>
    <w:rsid w:val="2663C39D"/>
    <w:rsid w:val="26C93E0A"/>
    <w:rsid w:val="27FF0C7F"/>
    <w:rsid w:val="285897E2"/>
    <w:rsid w:val="2888251A"/>
    <w:rsid w:val="294A244C"/>
    <w:rsid w:val="297A419A"/>
    <w:rsid w:val="29DECA13"/>
    <w:rsid w:val="2BE8B147"/>
    <w:rsid w:val="2C09E958"/>
    <w:rsid w:val="2C385DBD"/>
    <w:rsid w:val="2CFCF27B"/>
    <w:rsid w:val="2D123EB1"/>
    <w:rsid w:val="2D8A939F"/>
    <w:rsid w:val="2E000C5C"/>
    <w:rsid w:val="2E41CBAF"/>
    <w:rsid w:val="2E795A48"/>
    <w:rsid w:val="2EA0B5A3"/>
    <w:rsid w:val="2F9BDCBD"/>
    <w:rsid w:val="305AB2DE"/>
    <w:rsid w:val="30C6079D"/>
    <w:rsid w:val="311ED267"/>
    <w:rsid w:val="312C3D8A"/>
    <w:rsid w:val="313F9AA4"/>
    <w:rsid w:val="31F00A4A"/>
    <w:rsid w:val="32D37D7F"/>
    <w:rsid w:val="32DB6B05"/>
    <w:rsid w:val="332144ED"/>
    <w:rsid w:val="3344B467"/>
    <w:rsid w:val="337C144C"/>
    <w:rsid w:val="33E60350"/>
    <w:rsid w:val="33F40C1E"/>
    <w:rsid w:val="341B7017"/>
    <w:rsid w:val="35201D9C"/>
    <w:rsid w:val="35543033"/>
    <w:rsid w:val="35CDBAC9"/>
    <w:rsid w:val="36130BC7"/>
    <w:rsid w:val="36D53D93"/>
    <w:rsid w:val="376CF6B5"/>
    <w:rsid w:val="379F8A7B"/>
    <w:rsid w:val="37AEDC28"/>
    <w:rsid w:val="38706E04"/>
    <w:rsid w:val="39696F67"/>
    <w:rsid w:val="39DC86F2"/>
    <w:rsid w:val="3A9CE7AE"/>
    <w:rsid w:val="3AF7462D"/>
    <w:rsid w:val="3B7CB9A7"/>
    <w:rsid w:val="3C3E10EE"/>
    <w:rsid w:val="3C95E2FA"/>
    <w:rsid w:val="3CD9986E"/>
    <w:rsid w:val="3D02F175"/>
    <w:rsid w:val="3D0F3AED"/>
    <w:rsid w:val="3D240BD8"/>
    <w:rsid w:val="3D558721"/>
    <w:rsid w:val="3E1E1DAC"/>
    <w:rsid w:val="3EB04838"/>
    <w:rsid w:val="3FC075B5"/>
    <w:rsid w:val="4028CCE2"/>
    <w:rsid w:val="404643C1"/>
    <w:rsid w:val="4326C6BC"/>
    <w:rsid w:val="43943141"/>
    <w:rsid w:val="44CFA211"/>
    <w:rsid w:val="45B2AEFB"/>
    <w:rsid w:val="45EA465F"/>
    <w:rsid w:val="45F5515E"/>
    <w:rsid w:val="46292F91"/>
    <w:rsid w:val="464423E8"/>
    <w:rsid w:val="4785D7AE"/>
    <w:rsid w:val="480561E4"/>
    <w:rsid w:val="4848290E"/>
    <w:rsid w:val="48DD2500"/>
    <w:rsid w:val="4929FBF4"/>
    <w:rsid w:val="4A3C0D4B"/>
    <w:rsid w:val="4AFD694C"/>
    <w:rsid w:val="4B7C826D"/>
    <w:rsid w:val="4BAD7070"/>
    <w:rsid w:val="4BCDBAE9"/>
    <w:rsid w:val="4BDF4272"/>
    <w:rsid w:val="4C740208"/>
    <w:rsid w:val="4C9322DD"/>
    <w:rsid w:val="4D64A101"/>
    <w:rsid w:val="4E44401E"/>
    <w:rsid w:val="4E5AC3B2"/>
    <w:rsid w:val="4F4BCAA3"/>
    <w:rsid w:val="4FDDF9DC"/>
    <w:rsid w:val="507E55D1"/>
    <w:rsid w:val="50B32586"/>
    <w:rsid w:val="50BC475E"/>
    <w:rsid w:val="50E86F3A"/>
    <w:rsid w:val="513E2B2F"/>
    <w:rsid w:val="513F86C6"/>
    <w:rsid w:val="5233F58C"/>
    <w:rsid w:val="52467CCE"/>
    <w:rsid w:val="52E06368"/>
    <w:rsid w:val="53080EAA"/>
    <w:rsid w:val="5374F6B3"/>
    <w:rsid w:val="539E76FA"/>
    <w:rsid w:val="544CF725"/>
    <w:rsid w:val="54DE9E93"/>
    <w:rsid w:val="54EE8BF6"/>
    <w:rsid w:val="55F82D73"/>
    <w:rsid w:val="571F7C60"/>
    <w:rsid w:val="57A522A0"/>
    <w:rsid w:val="57D1560E"/>
    <w:rsid w:val="57E7C78B"/>
    <w:rsid w:val="58B5BE52"/>
    <w:rsid w:val="595D125D"/>
    <w:rsid w:val="5AC352F4"/>
    <w:rsid w:val="5DAEC1E0"/>
    <w:rsid w:val="5E1AE0C4"/>
    <w:rsid w:val="5F3084AB"/>
    <w:rsid w:val="5FAC9C2F"/>
    <w:rsid w:val="5FC5A91D"/>
    <w:rsid w:val="60DE594A"/>
    <w:rsid w:val="60F7B59E"/>
    <w:rsid w:val="6100DAF9"/>
    <w:rsid w:val="6136CFFF"/>
    <w:rsid w:val="61723D75"/>
    <w:rsid w:val="61DE24FD"/>
    <w:rsid w:val="623C1414"/>
    <w:rsid w:val="6249FFE3"/>
    <w:rsid w:val="629116EA"/>
    <w:rsid w:val="638912B9"/>
    <w:rsid w:val="6409E2F6"/>
    <w:rsid w:val="641E4623"/>
    <w:rsid w:val="64F1F809"/>
    <w:rsid w:val="64F642F0"/>
    <w:rsid w:val="6500EDDD"/>
    <w:rsid w:val="658F0071"/>
    <w:rsid w:val="6686C7E5"/>
    <w:rsid w:val="668DC86A"/>
    <w:rsid w:val="679B24E3"/>
    <w:rsid w:val="67B7237A"/>
    <w:rsid w:val="681FB715"/>
    <w:rsid w:val="68336515"/>
    <w:rsid w:val="68A95E1D"/>
    <w:rsid w:val="6A56941C"/>
    <w:rsid w:val="6A593477"/>
    <w:rsid w:val="6B7B850E"/>
    <w:rsid w:val="6C408769"/>
    <w:rsid w:val="6C4D22A3"/>
    <w:rsid w:val="6C854307"/>
    <w:rsid w:val="6C8CCFD9"/>
    <w:rsid w:val="6CDE1D74"/>
    <w:rsid w:val="6E961B18"/>
    <w:rsid w:val="6EC4846C"/>
    <w:rsid w:val="6F3B7FB1"/>
    <w:rsid w:val="6FEE150B"/>
    <w:rsid w:val="7056484E"/>
    <w:rsid w:val="7150A5C8"/>
    <w:rsid w:val="715AF953"/>
    <w:rsid w:val="71A80322"/>
    <w:rsid w:val="71D43198"/>
    <w:rsid w:val="72FEEA3A"/>
    <w:rsid w:val="73EE083F"/>
    <w:rsid w:val="74843066"/>
    <w:rsid w:val="7509B31E"/>
    <w:rsid w:val="752FFB51"/>
    <w:rsid w:val="75768AE5"/>
    <w:rsid w:val="759C195D"/>
    <w:rsid w:val="75B0B560"/>
    <w:rsid w:val="75B51FD7"/>
    <w:rsid w:val="76896070"/>
    <w:rsid w:val="76AF4B01"/>
    <w:rsid w:val="7735CF76"/>
    <w:rsid w:val="77621BED"/>
    <w:rsid w:val="7799EEA2"/>
    <w:rsid w:val="77D3196A"/>
    <w:rsid w:val="783788BF"/>
    <w:rsid w:val="787EE375"/>
    <w:rsid w:val="78887704"/>
    <w:rsid w:val="78B5AA74"/>
    <w:rsid w:val="78D66590"/>
    <w:rsid w:val="79C10132"/>
    <w:rsid w:val="7A3A761F"/>
    <w:rsid w:val="7A517AD5"/>
    <w:rsid w:val="7A9B7141"/>
    <w:rsid w:val="7C51F7ED"/>
    <w:rsid w:val="7C7B67DB"/>
    <w:rsid w:val="7CF8A1F4"/>
    <w:rsid w:val="7D891B97"/>
    <w:rsid w:val="7DACEBDF"/>
    <w:rsid w:val="7E19ED01"/>
    <w:rsid w:val="7E947255"/>
    <w:rsid w:val="7EEF0D68"/>
    <w:rsid w:val="7F0D1B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CCF6"/>
  <w15:docId w15:val="{B8428873-7F86-4F3A-9E38-F27F409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EE"/>
  </w:style>
  <w:style w:type="paragraph" w:styleId="Ttulo1">
    <w:name w:val="heading 1"/>
    <w:basedOn w:val="Normal"/>
    <w:next w:val="Normal"/>
    <w:uiPriority w:val="9"/>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uiPriority w:val="9"/>
    <w:semiHidden/>
    <w:unhideWhenUsed/>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uiPriority w:val="9"/>
    <w:semiHidden/>
    <w:unhideWhenUsed/>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uiPriority w:val="9"/>
    <w:semiHidden/>
    <w:unhideWhenUsed/>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10"/>
    <w:qFormat/>
    <w:pPr>
      <w:widowControl w:val="0"/>
      <w:autoSpaceDE w:val="0"/>
      <w:autoSpaceDN w:val="0"/>
      <w:adjustRightInd w:val="0"/>
      <w:spacing w:line="360" w:lineRule="auto"/>
      <w:jc w:val="center"/>
    </w:pPr>
    <w:rPr>
      <w:rFonts w:ascii="Arial" w:hAnsi="Arial" w:cs="Arial"/>
      <w:b/>
    </w:rPr>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2"/>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3"/>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uiPriority w:val="99"/>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Mencinsinresolver2">
    <w:name w:val="Mención sin resolver2"/>
    <w:basedOn w:val="Fuentedeprrafopredeter"/>
    <w:rsid w:val="00B11F5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9D6E92"/>
  </w:style>
  <w:style w:type="paragraph" w:styleId="Revisin">
    <w:name w:val="Revision"/>
    <w:hidden/>
    <w:uiPriority w:val="99"/>
    <w:semiHidden/>
    <w:rsid w:val="00E2387F"/>
  </w:style>
  <w:style w:type="character" w:customStyle="1" w:styleId="Mention">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9198">
      <w:bodyDiv w:val="1"/>
      <w:marLeft w:val="0"/>
      <w:marRight w:val="0"/>
      <w:marTop w:val="0"/>
      <w:marBottom w:val="0"/>
      <w:divBdr>
        <w:top w:val="none" w:sz="0" w:space="0" w:color="auto"/>
        <w:left w:val="none" w:sz="0" w:space="0" w:color="auto"/>
        <w:bottom w:val="none" w:sz="0" w:space="0" w:color="auto"/>
        <w:right w:val="none" w:sz="0" w:space="0" w:color="auto"/>
      </w:divBdr>
      <w:divsChild>
        <w:div w:id="1472484371">
          <w:marLeft w:val="0"/>
          <w:marRight w:val="0"/>
          <w:marTop w:val="0"/>
          <w:marBottom w:val="0"/>
          <w:divBdr>
            <w:top w:val="none" w:sz="0" w:space="0" w:color="auto"/>
            <w:left w:val="none" w:sz="0" w:space="0" w:color="auto"/>
            <w:bottom w:val="none" w:sz="0" w:space="0" w:color="auto"/>
            <w:right w:val="none" w:sz="0" w:space="0" w:color="auto"/>
          </w:divBdr>
          <w:divsChild>
            <w:div w:id="165287743">
              <w:marLeft w:val="0"/>
              <w:marRight w:val="0"/>
              <w:marTop w:val="0"/>
              <w:marBottom w:val="0"/>
              <w:divBdr>
                <w:top w:val="none" w:sz="0" w:space="0" w:color="auto"/>
                <w:left w:val="none" w:sz="0" w:space="0" w:color="auto"/>
                <w:bottom w:val="none" w:sz="0" w:space="0" w:color="auto"/>
                <w:right w:val="none" w:sz="0" w:space="0" w:color="auto"/>
              </w:divBdr>
            </w:div>
            <w:div w:id="1406762762">
              <w:marLeft w:val="0"/>
              <w:marRight w:val="0"/>
              <w:marTop w:val="0"/>
              <w:marBottom w:val="0"/>
              <w:divBdr>
                <w:top w:val="none" w:sz="0" w:space="0" w:color="auto"/>
                <w:left w:val="none" w:sz="0" w:space="0" w:color="auto"/>
                <w:bottom w:val="none" w:sz="0" w:space="0" w:color="auto"/>
                <w:right w:val="none" w:sz="0" w:space="0" w:color="auto"/>
              </w:divBdr>
            </w:div>
            <w:div w:id="1614285702">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sChild>
        </w:div>
        <w:div w:id="194269772">
          <w:marLeft w:val="0"/>
          <w:marRight w:val="0"/>
          <w:marTop w:val="0"/>
          <w:marBottom w:val="0"/>
          <w:divBdr>
            <w:top w:val="none" w:sz="0" w:space="0" w:color="auto"/>
            <w:left w:val="none" w:sz="0" w:space="0" w:color="auto"/>
            <w:bottom w:val="none" w:sz="0" w:space="0" w:color="auto"/>
            <w:right w:val="none" w:sz="0" w:space="0" w:color="auto"/>
          </w:divBdr>
        </w:div>
        <w:div w:id="1454440792">
          <w:marLeft w:val="0"/>
          <w:marRight w:val="0"/>
          <w:marTop w:val="0"/>
          <w:marBottom w:val="0"/>
          <w:divBdr>
            <w:top w:val="none" w:sz="0" w:space="0" w:color="auto"/>
            <w:left w:val="none" w:sz="0" w:space="0" w:color="auto"/>
            <w:bottom w:val="none" w:sz="0" w:space="0" w:color="auto"/>
            <w:right w:val="none" w:sz="0" w:space="0" w:color="auto"/>
          </w:divBdr>
        </w:div>
        <w:div w:id="467631428">
          <w:marLeft w:val="0"/>
          <w:marRight w:val="0"/>
          <w:marTop w:val="0"/>
          <w:marBottom w:val="0"/>
          <w:divBdr>
            <w:top w:val="none" w:sz="0" w:space="0" w:color="auto"/>
            <w:left w:val="none" w:sz="0" w:space="0" w:color="auto"/>
            <w:bottom w:val="none" w:sz="0" w:space="0" w:color="auto"/>
            <w:right w:val="none" w:sz="0" w:space="0" w:color="auto"/>
          </w:divBdr>
        </w:div>
        <w:div w:id="1383410685">
          <w:marLeft w:val="0"/>
          <w:marRight w:val="0"/>
          <w:marTop w:val="0"/>
          <w:marBottom w:val="0"/>
          <w:divBdr>
            <w:top w:val="none" w:sz="0" w:space="0" w:color="auto"/>
            <w:left w:val="none" w:sz="0" w:space="0" w:color="auto"/>
            <w:bottom w:val="none" w:sz="0" w:space="0" w:color="auto"/>
            <w:right w:val="none" w:sz="0" w:space="0" w:color="auto"/>
          </w:divBdr>
        </w:div>
        <w:div w:id="296492048">
          <w:marLeft w:val="0"/>
          <w:marRight w:val="0"/>
          <w:marTop w:val="0"/>
          <w:marBottom w:val="0"/>
          <w:divBdr>
            <w:top w:val="none" w:sz="0" w:space="0" w:color="auto"/>
            <w:left w:val="none" w:sz="0" w:space="0" w:color="auto"/>
            <w:bottom w:val="none" w:sz="0" w:space="0" w:color="auto"/>
            <w:right w:val="none" w:sz="0" w:space="0" w:color="auto"/>
          </w:divBdr>
        </w:div>
        <w:div w:id="117720181">
          <w:marLeft w:val="0"/>
          <w:marRight w:val="0"/>
          <w:marTop w:val="0"/>
          <w:marBottom w:val="0"/>
          <w:divBdr>
            <w:top w:val="none" w:sz="0" w:space="0" w:color="auto"/>
            <w:left w:val="none" w:sz="0" w:space="0" w:color="auto"/>
            <w:bottom w:val="none" w:sz="0" w:space="0" w:color="auto"/>
            <w:right w:val="none" w:sz="0" w:space="0" w:color="auto"/>
          </w:divBdr>
          <w:divsChild>
            <w:div w:id="864563566">
              <w:marLeft w:val="0"/>
              <w:marRight w:val="0"/>
              <w:marTop w:val="0"/>
              <w:marBottom w:val="0"/>
              <w:divBdr>
                <w:top w:val="none" w:sz="0" w:space="0" w:color="auto"/>
                <w:left w:val="none" w:sz="0" w:space="0" w:color="auto"/>
                <w:bottom w:val="none" w:sz="0" w:space="0" w:color="auto"/>
                <w:right w:val="none" w:sz="0" w:space="0" w:color="auto"/>
              </w:divBdr>
            </w:div>
            <w:div w:id="1742869037">
              <w:marLeft w:val="0"/>
              <w:marRight w:val="0"/>
              <w:marTop w:val="0"/>
              <w:marBottom w:val="0"/>
              <w:divBdr>
                <w:top w:val="none" w:sz="0" w:space="0" w:color="auto"/>
                <w:left w:val="none" w:sz="0" w:space="0" w:color="auto"/>
                <w:bottom w:val="none" w:sz="0" w:space="0" w:color="auto"/>
                <w:right w:val="none" w:sz="0" w:space="0" w:color="auto"/>
              </w:divBdr>
            </w:div>
            <w:div w:id="1478302049">
              <w:marLeft w:val="0"/>
              <w:marRight w:val="0"/>
              <w:marTop w:val="0"/>
              <w:marBottom w:val="0"/>
              <w:divBdr>
                <w:top w:val="none" w:sz="0" w:space="0" w:color="auto"/>
                <w:left w:val="none" w:sz="0" w:space="0" w:color="auto"/>
                <w:bottom w:val="none" w:sz="0" w:space="0" w:color="auto"/>
                <w:right w:val="none" w:sz="0" w:space="0" w:color="auto"/>
              </w:divBdr>
            </w:div>
            <w:div w:id="528758393">
              <w:marLeft w:val="0"/>
              <w:marRight w:val="0"/>
              <w:marTop w:val="0"/>
              <w:marBottom w:val="0"/>
              <w:divBdr>
                <w:top w:val="none" w:sz="0" w:space="0" w:color="auto"/>
                <w:left w:val="none" w:sz="0" w:space="0" w:color="auto"/>
                <w:bottom w:val="none" w:sz="0" w:space="0" w:color="auto"/>
                <w:right w:val="none" w:sz="0" w:space="0" w:color="auto"/>
              </w:divBdr>
            </w:div>
            <w:div w:id="1600211113">
              <w:marLeft w:val="0"/>
              <w:marRight w:val="0"/>
              <w:marTop w:val="0"/>
              <w:marBottom w:val="0"/>
              <w:divBdr>
                <w:top w:val="none" w:sz="0" w:space="0" w:color="auto"/>
                <w:left w:val="none" w:sz="0" w:space="0" w:color="auto"/>
                <w:bottom w:val="none" w:sz="0" w:space="0" w:color="auto"/>
                <w:right w:val="none" w:sz="0" w:space="0" w:color="auto"/>
              </w:divBdr>
            </w:div>
          </w:divsChild>
        </w:div>
        <w:div w:id="1273591681">
          <w:marLeft w:val="0"/>
          <w:marRight w:val="0"/>
          <w:marTop w:val="0"/>
          <w:marBottom w:val="0"/>
          <w:divBdr>
            <w:top w:val="none" w:sz="0" w:space="0" w:color="auto"/>
            <w:left w:val="none" w:sz="0" w:space="0" w:color="auto"/>
            <w:bottom w:val="none" w:sz="0" w:space="0" w:color="auto"/>
            <w:right w:val="none" w:sz="0" w:space="0" w:color="auto"/>
          </w:divBdr>
        </w:div>
        <w:div w:id="1295217665">
          <w:marLeft w:val="0"/>
          <w:marRight w:val="0"/>
          <w:marTop w:val="0"/>
          <w:marBottom w:val="0"/>
          <w:divBdr>
            <w:top w:val="none" w:sz="0" w:space="0" w:color="auto"/>
            <w:left w:val="none" w:sz="0" w:space="0" w:color="auto"/>
            <w:bottom w:val="none" w:sz="0" w:space="0" w:color="auto"/>
            <w:right w:val="none" w:sz="0" w:space="0" w:color="auto"/>
          </w:divBdr>
        </w:div>
        <w:div w:id="1703938108">
          <w:marLeft w:val="0"/>
          <w:marRight w:val="0"/>
          <w:marTop w:val="0"/>
          <w:marBottom w:val="0"/>
          <w:divBdr>
            <w:top w:val="none" w:sz="0" w:space="0" w:color="auto"/>
            <w:left w:val="none" w:sz="0" w:space="0" w:color="auto"/>
            <w:bottom w:val="none" w:sz="0" w:space="0" w:color="auto"/>
            <w:right w:val="none" w:sz="0" w:space="0" w:color="auto"/>
          </w:divBdr>
        </w:div>
        <w:div w:id="2069524975">
          <w:marLeft w:val="0"/>
          <w:marRight w:val="0"/>
          <w:marTop w:val="0"/>
          <w:marBottom w:val="0"/>
          <w:divBdr>
            <w:top w:val="none" w:sz="0" w:space="0" w:color="auto"/>
            <w:left w:val="none" w:sz="0" w:space="0" w:color="auto"/>
            <w:bottom w:val="none" w:sz="0" w:space="0" w:color="auto"/>
            <w:right w:val="none" w:sz="0" w:space="0" w:color="auto"/>
          </w:divBdr>
        </w:div>
      </w:divsChild>
    </w:div>
    <w:div w:id="115369487">
      <w:bodyDiv w:val="1"/>
      <w:marLeft w:val="0"/>
      <w:marRight w:val="0"/>
      <w:marTop w:val="0"/>
      <w:marBottom w:val="0"/>
      <w:divBdr>
        <w:top w:val="none" w:sz="0" w:space="0" w:color="auto"/>
        <w:left w:val="none" w:sz="0" w:space="0" w:color="auto"/>
        <w:bottom w:val="none" w:sz="0" w:space="0" w:color="auto"/>
        <w:right w:val="none" w:sz="0" w:space="0" w:color="auto"/>
      </w:divBdr>
    </w:div>
    <w:div w:id="134110352">
      <w:bodyDiv w:val="1"/>
      <w:marLeft w:val="0"/>
      <w:marRight w:val="0"/>
      <w:marTop w:val="0"/>
      <w:marBottom w:val="0"/>
      <w:divBdr>
        <w:top w:val="none" w:sz="0" w:space="0" w:color="auto"/>
        <w:left w:val="none" w:sz="0" w:space="0" w:color="auto"/>
        <w:bottom w:val="none" w:sz="0" w:space="0" w:color="auto"/>
        <w:right w:val="none" w:sz="0" w:space="0" w:color="auto"/>
      </w:divBdr>
      <w:divsChild>
        <w:div w:id="2069646610">
          <w:marLeft w:val="0"/>
          <w:marRight w:val="0"/>
          <w:marTop w:val="0"/>
          <w:marBottom w:val="0"/>
          <w:divBdr>
            <w:top w:val="none" w:sz="0" w:space="0" w:color="auto"/>
            <w:left w:val="none" w:sz="0" w:space="0" w:color="auto"/>
            <w:bottom w:val="none" w:sz="0" w:space="0" w:color="auto"/>
            <w:right w:val="none" w:sz="0" w:space="0" w:color="auto"/>
          </w:divBdr>
        </w:div>
        <w:div w:id="1372535449">
          <w:marLeft w:val="0"/>
          <w:marRight w:val="0"/>
          <w:marTop w:val="0"/>
          <w:marBottom w:val="0"/>
          <w:divBdr>
            <w:top w:val="none" w:sz="0" w:space="0" w:color="auto"/>
            <w:left w:val="none" w:sz="0" w:space="0" w:color="auto"/>
            <w:bottom w:val="none" w:sz="0" w:space="0" w:color="auto"/>
            <w:right w:val="none" w:sz="0" w:space="0" w:color="auto"/>
          </w:divBdr>
        </w:div>
      </w:divsChild>
    </w:div>
    <w:div w:id="136723163">
      <w:bodyDiv w:val="1"/>
      <w:marLeft w:val="0"/>
      <w:marRight w:val="0"/>
      <w:marTop w:val="0"/>
      <w:marBottom w:val="0"/>
      <w:divBdr>
        <w:top w:val="none" w:sz="0" w:space="0" w:color="auto"/>
        <w:left w:val="none" w:sz="0" w:space="0" w:color="auto"/>
        <w:bottom w:val="none" w:sz="0" w:space="0" w:color="auto"/>
        <w:right w:val="none" w:sz="0" w:space="0" w:color="auto"/>
      </w:divBdr>
    </w:div>
    <w:div w:id="257107867">
      <w:bodyDiv w:val="1"/>
      <w:marLeft w:val="0"/>
      <w:marRight w:val="0"/>
      <w:marTop w:val="0"/>
      <w:marBottom w:val="0"/>
      <w:divBdr>
        <w:top w:val="none" w:sz="0" w:space="0" w:color="auto"/>
        <w:left w:val="none" w:sz="0" w:space="0" w:color="auto"/>
        <w:bottom w:val="none" w:sz="0" w:space="0" w:color="auto"/>
        <w:right w:val="none" w:sz="0" w:space="0" w:color="auto"/>
      </w:divBdr>
    </w:div>
    <w:div w:id="289826847">
      <w:bodyDiv w:val="1"/>
      <w:marLeft w:val="0"/>
      <w:marRight w:val="0"/>
      <w:marTop w:val="0"/>
      <w:marBottom w:val="0"/>
      <w:divBdr>
        <w:top w:val="none" w:sz="0" w:space="0" w:color="auto"/>
        <w:left w:val="none" w:sz="0" w:space="0" w:color="auto"/>
        <w:bottom w:val="none" w:sz="0" w:space="0" w:color="auto"/>
        <w:right w:val="none" w:sz="0" w:space="0" w:color="auto"/>
      </w:divBdr>
      <w:divsChild>
        <w:div w:id="1216964912">
          <w:marLeft w:val="0"/>
          <w:marRight w:val="0"/>
          <w:marTop w:val="0"/>
          <w:marBottom w:val="0"/>
          <w:divBdr>
            <w:top w:val="none" w:sz="0" w:space="0" w:color="auto"/>
            <w:left w:val="none" w:sz="0" w:space="0" w:color="auto"/>
            <w:bottom w:val="none" w:sz="0" w:space="0" w:color="auto"/>
            <w:right w:val="none" w:sz="0" w:space="0" w:color="auto"/>
          </w:divBdr>
        </w:div>
        <w:div w:id="1805539069">
          <w:marLeft w:val="0"/>
          <w:marRight w:val="0"/>
          <w:marTop w:val="0"/>
          <w:marBottom w:val="0"/>
          <w:divBdr>
            <w:top w:val="none" w:sz="0" w:space="0" w:color="auto"/>
            <w:left w:val="none" w:sz="0" w:space="0" w:color="auto"/>
            <w:bottom w:val="none" w:sz="0" w:space="0" w:color="auto"/>
            <w:right w:val="none" w:sz="0" w:space="0" w:color="auto"/>
          </w:divBdr>
        </w:div>
        <w:div w:id="1457990366">
          <w:marLeft w:val="0"/>
          <w:marRight w:val="0"/>
          <w:marTop w:val="0"/>
          <w:marBottom w:val="0"/>
          <w:divBdr>
            <w:top w:val="none" w:sz="0" w:space="0" w:color="auto"/>
            <w:left w:val="none" w:sz="0" w:space="0" w:color="auto"/>
            <w:bottom w:val="none" w:sz="0" w:space="0" w:color="auto"/>
            <w:right w:val="none" w:sz="0" w:space="0" w:color="auto"/>
          </w:divBdr>
        </w:div>
      </w:divsChild>
    </w:div>
    <w:div w:id="334722740">
      <w:bodyDiv w:val="1"/>
      <w:marLeft w:val="0"/>
      <w:marRight w:val="0"/>
      <w:marTop w:val="0"/>
      <w:marBottom w:val="0"/>
      <w:divBdr>
        <w:top w:val="none" w:sz="0" w:space="0" w:color="auto"/>
        <w:left w:val="none" w:sz="0" w:space="0" w:color="auto"/>
        <w:bottom w:val="none" w:sz="0" w:space="0" w:color="auto"/>
        <w:right w:val="none" w:sz="0" w:space="0" w:color="auto"/>
      </w:divBdr>
    </w:div>
    <w:div w:id="426732180">
      <w:bodyDiv w:val="1"/>
      <w:marLeft w:val="0"/>
      <w:marRight w:val="0"/>
      <w:marTop w:val="0"/>
      <w:marBottom w:val="0"/>
      <w:divBdr>
        <w:top w:val="none" w:sz="0" w:space="0" w:color="auto"/>
        <w:left w:val="none" w:sz="0" w:space="0" w:color="auto"/>
        <w:bottom w:val="none" w:sz="0" w:space="0" w:color="auto"/>
        <w:right w:val="none" w:sz="0" w:space="0" w:color="auto"/>
      </w:divBdr>
    </w:div>
    <w:div w:id="639044354">
      <w:bodyDiv w:val="1"/>
      <w:marLeft w:val="0"/>
      <w:marRight w:val="0"/>
      <w:marTop w:val="0"/>
      <w:marBottom w:val="0"/>
      <w:divBdr>
        <w:top w:val="none" w:sz="0" w:space="0" w:color="auto"/>
        <w:left w:val="none" w:sz="0" w:space="0" w:color="auto"/>
        <w:bottom w:val="none" w:sz="0" w:space="0" w:color="auto"/>
        <w:right w:val="none" w:sz="0" w:space="0" w:color="auto"/>
      </w:divBdr>
    </w:div>
    <w:div w:id="687604713">
      <w:bodyDiv w:val="1"/>
      <w:marLeft w:val="0"/>
      <w:marRight w:val="0"/>
      <w:marTop w:val="0"/>
      <w:marBottom w:val="0"/>
      <w:divBdr>
        <w:top w:val="none" w:sz="0" w:space="0" w:color="auto"/>
        <w:left w:val="none" w:sz="0" w:space="0" w:color="auto"/>
        <w:bottom w:val="none" w:sz="0" w:space="0" w:color="auto"/>
        <w:right w:val="none" w:sz="0" w:space="0" w:color="auto"/>
      </w:divBdr>
    </w:div>
    <w:div w:id="719982344">
      <w:bodyDiv w:val="1"/>
      <w:marLeft w:val="0"/>
      <w:marRight w:val="0"/>
      <w:marTop w:val="0"/>
      <w:marBottom w:val="0"/>
      <w:divBdr>
        <w:top w:val="none" w:sz="0" w:space="0" w:color="auto"/>
        <w:left w:val="none" w:sz="0" w:space="0" w:color="auto"/>
        <w:bottom w:val="none" w:sz="0" w:space="0" w:color="auto"/>
        <w:right w:val="none" w:sz="0" w:space="0" w:color="auto"/>
      </w:divBdr>
      <w:divsChild>
        <w:div w:id="1066342575">
          <w:marLeft w:val="0"/>
          <w:marRight w:val="0"/>
          <w:marTop w:val="0"/>
          <w:marBottom w:val="0"/>
          <w:divBdr>
            <w:top w:val="none" w:sz="0" w:space="0" w:color="auto"/>
            <w:left w:val="none" w:sz="0" w:space="0" w:color="auto"/>
            <w:bottom w:val="none" w:sz="0" w:space="0" w:color="auto"/>
            <w:right w:val="none" w:sz="0" w:space="0" w:color="auto"/>
          </w:divBdr>
        </w:div>
        <w:div w:id="335230739">
          <w:marLeft w:val="0"/>
          <w:marRight w:val="0"/>
          <w:marTop w:val="0"/>
          <w:marBottom w:val="0"/>
          <w:divBdr>
            <w:top w:val="none" w:sz="0" w:space="0" w:color="auto"/>
            <w:left w:val="none" w:sz="0" w:space="0" w:color="auto"/>
            <w:bottom w:val="none" w:sz="0" w:space="0" w:color="auto"/>
            <w:right w:val="none" w:sz="0" w:space="0" w:color="auto"/>
          </w:divBdr>
        </w:div>
        <w:div w:id="1936132014">
          <w:marLeft w:val="0"/>
          <w:marRight w:val="0"/>
          <w:marTop w:val="0"/>
          <w:marBottom w:val="0"/>
          <w:divBdr>
            <w:top w:val="none" w:sz="0" w:space="0" w:color="auto"/>
            <w:left w:val="none" w:sz="0" w:space="0" w:color="auto"/>
            <w:bottom w:val="none" w:sz="0" w:space="0" w:color="auto"/>
            <w:right w:val="none" w:sz="0" w:space="0" w:color="auto"/>
          </w:divBdr>
        </w:div>
        <w:div w:id="729184038">
          <w:marLeft w:val="0"/>
          <w:marRight w:val="0"/>
          <w:marTop w:val="0"/>
          <w:marBottom w:val="0"/>
          <w:divBdr>
            <w:top w:val="none" w:sz="0" w:space="0" w:color="auto"/>
            <w:left w:val="none" w:sz="0" w:space="0" w:color="auto"/>
            <w:bottom w:val="none" w:sz="0" w:space="0" w:color="auto"/>
            <w:right w:val="none" w:sz="0" w:space="0" w:color="auto"/>
          </w:divBdr>
        </w:div>
      </w:divsChild>
    </w:div>
    <w:div w:id="828329312">
      <w:bodyDiv w:val="1"/>
      <w:marLeft w:val="0"/>
      <w:marRight w:val="0"/>
      <w:marTop w:val="0"/>
      <w:marBottom w:val="0"/>
      <w:divBdr>
        <w:top w:val="none" w:sz="0" w:space="0" w:color="auto"/>
        <w:left w:val="none" w:sz="0" w:space="0" w:color="auto"/>
        <w:bottom w:val="none" w:sz="0" w:space="0" w:color="auto"/>
        <w:right w:val="none" w:sz="0" w:space="0" w:color="auto"/>
      </w:divBdr>
    </w:div>
    <w:div w:id="853110536">
      <w:bodyDiv w:val="1"/>
      <w:marLeft w:val="0"/>
      <w:marRight w:val="0"/>
      <w:marTop w:val="0"/>
      <w:marBottom w:val="0"/>
      <w:divBdr>
        <w:top w:val="none" w:sz="0" w:space="0" w:color="auto"/>
        <w:left w:val="none" w:sz="0" w:space="0" w:color="auto"/>
        <w:bottom w:val="none" w:sz="0" w:space="0" w:color="auto"/>
        <w:right w:val="none" w:sz="0" w:space="0" w:color="auto"/>
      </w:divBdr>
    </w:div>
    <w:div w:id="944850438">
      <w:bodyDiv w:val="1"/>
      <w:marLeft w:val="0"/>
      <w:marRight w:val="0"/>
      <w:marTop w:val="0"/>
      <w:marBottom w:val="0"/>
      <w:divBdr>
        <w:top w:val="none" w:sz="0" w:space="0" w:color="auto"/>
        <w:left w:val="none" w:sz="0" w:space="0" w:color="auto"/>
        <w:bottom w:val="none" w:sz="0" w:space="0" w:color="auto"/>
        <w:right w:val="none" w:sz="0" w:space="0" w:color="auto"/>
      </w:divBdr>
    </w:div>
    <w:div w:id="974289745">
      <w:bodyDiv w:val="1"/>
      <w:marLeft w:val="0"/>
      <w:marRight w:val="0"/>
      <w:marTop w:val="0"/>
      <w:marBottom w:val="0"/>
      <w:divBdr>
        <w:top w:val="none" w:sz="0" w:space="0" w:color="auto"/>
        <w:left w:val="none" w:sz="0" w:space="0" w:color="auto"/>
        <w:bottom w:val="none" w:sz="0" w:space="0" w:color="auto"/>
        <w:right w:val="none" w:sz="0" w:space="0" w:color="auto"/>
      </w:divBdr>
    </w:div>
    <w:div w:id="984696241">
      <w:bodyDiv w:val="1"/>
      <w:marLeft w:val="0"/>
      <w:marRight w:val="0"/>
      <w:marTop w:val="0"/>
      <w:marBottom w:val="0"/>
      <w:divBdr>
        <w:top w:val="none" w:sz="0" w:space="0" w:color="auto"/>
        <w:left w:val="none" w:sz="0" w:space="0" w:color="auto"/>
        <w:bottom w:val="none" w:sz="0" w:space="0" w:color="auto"/>
        <w:right w:val="none" w:sz="0" w:space="0" w:color="auto"/>
      </w:divBdr>
    </w:div>
    <w:div w:id="1401294515">
      <w:bodyDiv w:val="1"/>
      <w:marLeft w:val="0"/>
      <w:marRight w:val="0"/>
      <w:marTop w:val="0"/>
      <w:marBottom w:val="0"/>
      <w:divBdr>
        <w:top w:val="none" w:sz="0" w:space="0" w:color="auto"/>
        <w:left w:val="none" w:sz="0" w:space="0" w:color="auto"/>
        <w:bottom w:val="none" w:sz="0" w:space="0" w:color="auto"/>
        <w:right w:val="none" w:sz="0" w:space="0" w:color="auto"/>
      </w:divBdr>
    </w:div>
    <w:div w:id="1450708630">
      <w:bodyDiv w:val="1"/>
      <w:marLeft w:val="0"/>
      <w:marRight w:val="0"/>
      <w:marTop w:val="0"/>
      <w:marBottom w:val="0"/>
      <w:divBdr>
        <w:top w:val="none" w:sz="0" w:space="0" w:color="auto"/>
        <w:left w:val="none" w:sz="0" w:space="0" w:color="auto"/>
        <w:bottom w:val="none" w:sz="0" w:space="0" w:color="auto"/>
        <w:right w:val="none" w:sz="0" w:space="0" w:color="auto"/>
      </w:divBdr>
    </w:div>
    <w:div w:id="1480225513">
      <w:bodyDiv w:val="1"/>
      <w:marLeft w:val="0"/>
      <w:marRight w:val="0"/>
      <w:marTop w:val="0"/>
      <w:marBottom w:val="0"/>
      <w:divBdr>
        <w:top w:val="none" w:sz="0" w:space="0" w:color="auto"/>
        <w:left w:val="none" w:sz="0" w:space="0" w:color="auto"/>
        <w:bottom w:val="none" w:sz="0" w:space="0" w:color="auto"/>
        <w:right w:val="none" w:sz="0" w:space="0" w:color="auto"/>
      </w:divBdr>
    </w:div>
    <w:div w:id="1959602857">
      <w:bodyDiv w:val="1"/>
      <w:marLeft w:val="0"/>
      <w:marRight w:val="0"/>
      <w:marTop w:val="0"/>
      <w:marBottom w:val="0"/>
      <w:divBdr>
        <w:top w:val="none" w:sz="0" w:space="0" w:color="auto"/>
        <w:left w:val="none" w:sz="0" w:space="0" w:color="auto"/>
        <w:bottom w:val="none" w:sz="0" w:space="0" w:color="auto"/>
        <w:right w:val="none" w:sz="0" w:space="0" w:color="auto"/>
      </w:divBdr>
    </w:div>
    <w:div w:id="204262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62CC-E5DF-4603-878E-D2DA1773F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81E87-23F0-4AEC-9BA9-9EC6E7EB3257}">
  <ds:schemaRefs>
    <ds:schemaRef ds:uri="http://schemas.microsoft.com/sharepoint/v3/contenttype/forms"/>
  </ds:schemaRefs>
</ds:datastoreItem>
</file>

<file path=customXml/itemProps3.xml><?xml version="1.0" encoding="utf-8"?>
<ds:datastoreItem xmlns:ds="http://schemas.openxmlformats.org/officeDocument/2006/customXml" ds:itemID="{56234783-0035-456B-BF3C-53FEC3DD6989}">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C7054C91-A167-4166-8EE8-754E19DA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4715</Words>
  <Characters>26878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Ugarte</dc:creator>
  <cp:lastModifiedBy>samsung</cp:lastModifiedBy>
  <cp:revision>64</cp:revision>
  <dcterms:created xsi:type="dcterms:W3CDTF">2023-08-31T00:15:00Z</dcterms:created>
  <dcterms:modified xsi:type="dcterms:W3CDTF">2023-11-01T15:42:00Z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