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CC2B6B9" w14:textId="77777777" w:rsidR="0014098B" w:rsidRPr="004F30EA" w:rsidRDefault="0014098B" w:rsidP="0014098B">
      <w:pPr>
        <w:spacing w:line="240" w:lineRule="auto"/>
        <w:ind w:firstLine="0"/>
        <w:rPr>
          <w:rFonts w:ascii="Arial" w:eastAsia="Times New Roman" w:hAnsi="Arial" w:cs="Arial"/>
          <w:sz w:val="20"/>
          <w:szCs w:val="20"/>
          <w:lang w:val="es-419" w:eastAsia="es-ES"/>
        </w:rPr>
      </w:pPr>
      <w:bookmarkStart w:id="0" w:name="_Hlk58566252"/>
      <w:r w:rsidRPr="004F30EA">
        <w:rPr>
          <w:rFonts w:ascii="Arial" w:eastAsia="Times New Roman" w:hAnsi="Arial" w:cs="Arial"/>
          <w:b/>
          <w:bCs/>
          <w:iCs/>
          <w:sz w:val="20"/>
          <w:szCs w:val="20"/>
          <w:lang w:val="es-CO" w:eastAsia="fr-FR"/>
        </w:rPr>
        <w:t xml:space="preserve">PENSIÓN DE SOBREVIVIENTES / </w:t>
      </w:r>
      <w:r>
        <w:rPr>
          <w:rFonts w:ascii="Arial" w:eastAsia="Times New Roman" w:hAnsi="Arial" w:cs="Arial"/>
          <w:b/>
          <w:bCs/>
          <w:iCs/>
          <w:sz w:val="20"/>
          <w:szCs w:val="20"/>
          <w:lang w:val="es-CO" w:eastAsia="fr-FR"/>
        </w:rPr>
        <w:t>RÉGIMEN APLICABLE / LEY 797 DE 2033 / REQUISITOS</w:t>
      </w:r>
    </w:p>
    <w:p w14:paraId="11052452" w14:textId="22E3181F" w:rsidR="00EF6800" w:rsidRPr="004F30EA" w:rsidRDefault="00EF6800" w:rsidP="00EF6800">
      <w:pPr>
        <w:spacing w:line="240" w:lineRule="auto"/>
        <w:ind w:firstLine="0"/>
        <w:rPr>
          <w:rFonts w:ascii="Arial" w:eastAsia="Times New Roman" w:hAnsi="Arial" w:cs="Arial"/>
          <w:sz w:val="20"/>
          <w:szCs w:val="20"/>
          <w:lang w:val="es-419" w:eastAsia="es-ES"/>
        </w:rPr>
      </w:pPr>
      <w:bookmarkStart w:id="1" w:name="_GoBack"/>
      <w:bookmarkEnd w:id="1"/>
      <w:r w:rsidRPr="004F30EA">
        <w:rPr>
          <w:rFonts w:ascii="Arial" w:eastAsia="Times New Roman" w:hAnsi="Arial" w:cs="Arial"/>
          <w:sz w:val="20"/>
          <w:szCs w:val="20"/>
          <w:lang w:val="es-419" w:eastAsia="es-ES"/>
        </w:rPr>
        <w:t>… dada la fecha del fallecimiento…, la normatividad con arreglo a la cual se debe resolver la presente controversia no es otra que la Ley 797 de 2003, que en su artículo 13… establece que son beneficiarios de la pensión de sobrevivientes: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0D4F1EC1" w14:textId="791456A9" w:rsidR="00EF6800" w:rsidRDefault="00EF6800" w:rsidP="00EF6800">
      <w:pPr>
        <w:spacing w:line="240" w:lineRule="auto"/>
        <w:ind w:firstLine="0"/>
        <w:rPr>
          <w:rFonts w:ascii="Arial" w:eastAsia="Times New Roman" w:hAnsi="Arial" w:cs="Arial"/>
          <w:sz w:val="20"/>
          <w:szCs w:val="20"/>
          <w:lang w:val="es-419" w:eastAsia="es-ES"/>
        </w:rPr>
      </w:pPr>
    </w:p>
    <w:p w14:paraId="37398A25" w14:textId="22628218" w:rsidR="006A28AC" w:rsidRPr="00395EEE" w:rsidRDefault="006A28AC" w:rsidP="006A28AC">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sidR="008007D6">
        <w:rPr>
          <w:rFonts w:ascii="Arial" w:eastAsia="Times New Roman" w:hAnsi="Arial" w:cs="Arial"/>
          <w:b/>
          <w:bCs/>
          <w:iCs/>
          <w:sz w:val="20"/>
          <w:szCs w:val="20"/>
          <w:lang w:val="es-CO" w:eastAsia="fr-FR"/>
        </w:rPr>
        <w:t xml:space="preserve">COMPAÑEROS / </w:t>
      </w:r>
      <w:r w:rsidR="0085771B">
        <w:rPr>
          <w:rFonts w:ascii="Arial" w:eastAsia="Times New Roman" w:hAnsi="Arial" w:cs="Arial"/>
          <w:b/>
          <w:bCs/>
          <w:iCs/>
          <w:sz w:val="20"/>
          <w:szCs w:val="20"/>
          <w:lang w:val="es-CO" w:eastAsia="fr-FR"/>
        </w:rPr>
        <w:t>CONVIVENCIA / CARACTERÍSTICAS</w:t>
      </w:r>
    </w:p>
    <w:p w14:paraId="1C4D938C" w14:textId="584B552F" w:rsidR="006A28AC" w:rsidRDefault="006A28AC" w:rsidP="00EF6800">
      <w:pPr>
        <w:spacing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6A28AC">
        <w:rPr>
          <w:rFonts w:ascii="Arial" w:eastAsia="Times New Roman" w:hAnsi="Arial" w:cs="Arial"/>
          <w:sz w:val="20"/>
          <w:szCs w:val="20"/>
          <w:lang w:val="es-419" w:eastAsia="es-ES"/>
        </w:rPr>
        <w:t>cabe recordar, por último,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w:t>
      </w:r>
      <w:r>
        <w:rPr>
          <w:rFonts w:ascii="Arial" w:eastAsia="Times New Roman" w:hAnsi="Arial" w:cs="Arial"/>
          <w:sz w:val="20"/>
          <w:szCs w:val="20"/>
          <w:lang w:val="es-419" w:eastAsia="es-ES"/>
        </w:rPr>
        <w:t xml:space="preserve">… </w:t>
      </w:r>
      <w:r w:rsidRPr="006A28AC">
        <w:rPr>
          <w:rFonts w:ascii="Arial" w:eastAsia="Times New Roman" w:hAnsi="Arial" w:cs="Arial"/>
          <w:sz w:val="20"/>
          <w:szCs w:val="20"/>
          <w:lang w:val="es-419" w:eastAsia="es-ES"/>
        </w:rPr>
        <w:t>Es del caso recalcar que la cohabitación bajo el mismo techo no es el único rasgo distintivo de una relación de convivencia e incluso su ausencia o interrupción se puede excusar bajo razones de fuerza mayor o caso fortuito, como salud, trabajo, situaciones legales o económicas, discusiones o desacuerdos temporales, entre otros. Dichas razones deben aparecer acreditadas en los procesos donde se persigue el reconocimiento de una pensión de sobrevivientes</w:t>
      </w:r>
      <w:r>
        <w:rPr>
          <w:rFonts w:ascii="Arial" w:eastAsia="Times New Roman" w:hAnsi="Arial" w:cs="Arial"/>
          <w:sz w:val="20"/>
          <w:szCs w:val="20"/>
          <w:lang w:val="es-419" w:eastAsia="es-ES"/>
        </w:rPr>
        <w:t>…</w:t>
      </w:r>
    </w:p>
    <w:p w14:paraId="4EB716ED" w14:textId="5F7CD7E4" w:rsidR="006A28AC" w:rsidRDefault="006A28AC" w:rsidP="00EF6800">
      <w:pPr>
        <w:spacing w:line="240" w:lineRule="auto"/>
        <w:ind w:firstLine="0"/>
        <w:rPr>
          <w:rFonts w:ascii="Arial" w:eastAsia="Times New Roman" w:hAnsi="Arial" w:cs="Arial"/>
          <w:sz w:val="20"/>
          <w:szCs w:val="20"/>
          <w:lang w:val="es-419" w:eastAsia="es-ES"/>
        </w:rPr>
      </w:pPr>
    </w:p>
    <w:p w14:paraId="2F5B9819" w14:textId="67A38883" w:rsidR="00EF6800" w:rsidRPr="00395EEE" w:rsidRDefault="00EF6800" w:rsidP="00EF6800">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sidRPr="00395EEE">
        <w:rPr>
          <w:rFonts w:ascii="Arial" w:eastAsia="Times New Roman" w:hAnsi="Arial" w:cs="Arial"/>
          <w:b/>
          <w:sz w:val="20"/>
          <w:szCs w:val="20"/>
          <w:lang w:val="es-419" w:eastAsia="es-ES"/>
        </w:rPr>
        <w:t xml:space="preserve">INTERESES </w:t>
      </w:r>
      <w:r>
        <w:rPr>
          <w:rFonts w:ascii="Arial" w:eastAsia="Times New Roman" w:hAnsi="Arial" w:cs="Arial"/>
          <w:b/>
          <w:sz w:val="20"/>
          <w:szCs w:val="20"/>
          <w:lang w:val="es-419" w:eastAsia="es-ES"/>
        </w:rPr>
        <w:t xml:space="preserve">DE </w:t>
      </w:r>
      <w:r w:rsidRPr="00395EEE">
        <w:rPr>
          <w:rFonts w:ascii="Arial" w:eastAsia="Times New Roman" w:hAnsi="Arial" w:cs="Arial"/>
          <w:b/>
          <w:sz w:val="20"/>
          <w:szCs w:val="20"/>
          <w:lang w:val="es-419" w:eastAsia="es-ES"/>
        </w:rPr>
        <w:t>MORA</w:t>
      </w:r>
      <w:r>
        <w:rPr>
          <w:rFonts w:ascii="Arial" w:eastAsia="Times New Roman" w:hAnsi="Arial" w:cs="Arial"/>
          <w:b/>
          <w:bCs/>
          <w:iCs/>
          <w:sz w:val="20"/>
          <w:szCs w:val="20"/>
          <w:lang w:val="es-CO" w:eastAsia="fr-FR"/>
        </w:rPr>
        <w:t xml:space="preserve"> / CARÁCTER </w:t>
      </w:r>
      <w:r w:rsidRPr="00395EEE">
        <w:rPr>
          <w:rFonts w:ascii="Arial" w:eastAsia="Times New Roman" w:hAnsi="Arial" w:cs="Arial"/>
          <w:b/>
          <w:sz w:val="20"/>
          <w:szCs w:val="20"/>
          <w:lang w:val="es-419" w:eastAsia="es-ES"/>
        </w:rPr>
        <w:t>RESARCITORI</w:t>
      </w:r>
      <w:r>
        <w:rPr>
          <w:rFonts w:ascii="Arial" w:eastAsia="Times New Roman" w:hAnsi="Arial" w:cs="Arial"/>
          <w:b/>
          <w:sz w:val="20"/>
          <w:szCs w:val="20"/>
          <w:lang w:val="es-419" w:eastAsia="es-ES"/>
        </w:rPr>
        <w:t>O</w:t>
      </w:r>
      <w:r w:rsidR="0085771B">
        <w:rPr>
          <w:rFonts w:ascii="Arial" w:eastAsia="Times New Roman" w:hAnsi="Arial" w:cs="Arial"/>
          <w:b/>
          <w:sz w:val="20"/>
          <w:szCs w:val="20"/>
          <w:lang w:val="es-419" w:eastAsia="es-ES"/>
        </w:rPr>
        <w:t xml:space="preserve"> / OBLIGACIÓN OBJETIVA</w:t>
      </w:r>
    </w:p>
    <w:p w14:paraId="67E6C395" w14:textId="47C7F5B8" w:rsidR="00EF6800" w:rsidRPr="0085771B" w:rsidRDefault="00EF6800" w:rsidP="0085771B">
      <w:pPr>
        <w:spacing w:line="240" w:lineRule="auto"/>
        <w:ind w:firstLine="0"/>
        <w:rPr>
          <w:rFonts w:ascii="Arial" w:eastAsia="Times New Roman" w:hAnsi="Arial" w:cs="Arial"/>
          <w:sz w:val="20"/>
          <w:szCs w:val="20"/>
          <w:lang w:val="es-419" w:eastAsia="es-ES"/>
        </w:rPr>
      </w:pPr>
      <w:r w:rsidRPr="00395EEE">
        <w:rPr>
          <w:rFonts w:ascii="Arial" w:eastAsia="Times New Roman" w:hAnsi="Arial" w:cs="Arial"/>
          <w:sz w:val="20"/>
          <w:szCs w:val="20"/>
          <w:lang w:val="es-419" w:eastAsia="es-ES"/>
        </w:rPr>
        <w:t>Señala el artículo 141 de la ley 100 de 1993, que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Pr>
          <w:rFonts w:ascii="Arial" w:eastAsia="Times New Roman" w:hAnsi="Arial" w:cs="Arial"/>
          <w:sz w:val="20"/>
          <w:szCs w:val="20"/>
          <w:lang w:val="es-419" w:eastAsia="es-ES"/>
        </w:rPr>
        <w:t xml:space="preserve"> </w:t>
      </w:r>
      <w:r w:rsidRPr="00395EEE">
        <w:rPr>
          <w:rFonts w:ascii="Arial" w:eastAsia="Times New Roman" w:hAnsi="Arial" w:cs="Arial"/>
          <w:sz w:val="20"/>
          <w:szCs w:val="20"/>
          <w:lang w:val="es-419" w:eastAsia="es-ES"/>
        </w:rPr>
        <w:t>La norma en comento opera como un mecanismo resarcitorio que se activa ante la tardanza en el pago de las mesadas pensionales derivadas de los riesgos de invalidez, vejez y muerte</w:t>
      </w:r>
      <w:r w:rsidR="0085771B">
        <w:rPr>
          <w:rFonts w:ascii="Arial" w:eastAsia="Times New Roman" w:hAnsi="Arial" w:cs="Arial"/>
          <w:sz w:val="20"/>
          <w:szCs w:val="20"/>
          <w:lang w:val="es-419" w:eastAsia="es-ES"/>
        </w:rPr>
        <w:t xml:space="preserve">… </w:t>
      </w:r>
      <w:r w:rsidR="0085771B" w:rsidRPr="0085771B">
        <w:rPr>
          <w:rFonts w:ascii="Arial" w:eastAsia="Times New Roman" w:hAnsi="Arial" w:cs="Arial"/>
          <w:sz w:val="20"/>
          <w:szCs w:val="20"/>
          <w:lang w:val="es-419" w:eastAsia="es-ES"/>
        </w:rPr>
        <w:t>El carácter particularmente resarcitorio del interés previsto en el artículo 141 de la Ley 100 de 1993, lo emparenta al mundo de las obligaciones objetivas, pues la norma en comento no se detiene en miramientos particulares o subjetivos, ya que solo basta la mora para que, de iure, asome la obligación de pagar intereses moratorios.</w:t>
      </w:r>
    </w:p>
    <w:p w14:paraId="1AEA166E" w14:textId="77777777" w:rsidR="00EF6800" w:rsidRDefault="00EF6800" w:rsidP="00EF6800">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lang w:val="es-419"/>
        </w:rPr>
      </w:pPr>
    </w:p>
    <w:p w14:paraId="216B31A3" w14:textId="77777777" w:rsidR="00EF6800" w:rsidRPr="004F30EA" w:rsidRDefault="00EF6800" w:rsidP="00EF6800">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lang w:val="es-419"/>
        </w:rPr>
      </w:pPr>
    </w:p>
    <w:p w14:paraId="285BEC1E" w14:textId="77777777" w:rsidR="00EF6800" w:rsidRPr="00DA2BA7" w:rsidRDefault="00EF6800" w:rsidP="00EF6800">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rPr>
      </w:pPr>
    </w:p>
    <w:p w14:paraId="7E226552" w14:textId="5ECADD16" w:rsidR="00FA6ADF" w:rsidRPr="00494C4E" w:rsidRDefault="00FA6ADF" w:rsidP="00494C4E">
      <w:pPr>
        <w:spacing w:line="240" w:lineRule="auto"/>
        <w:ind w:firstLine="0"/>
        <w:contextualSpacing/>
        <w:jc w:val="left"/>
        <w:rPr>
          <w:rFonts w:ascii="Arial" w:eastAsia="Times New Roman" w:hAnsi="Arial" w:cs="Arial"/>
          <w:sz w:val="20"/>
          <w:szCs w:val="20"/>
          <w:lang w:val="es-419" w:eastAsia="es-ES"/>
        </w:rPr>
      </w:pPr>
      <w:r w:rsidRPr="00494C4E">
        <w:rPr>
          <w:rFonts w:ascii="Arial" w:eastAsia="Times New Roman" w:hAnsi="Arial" w:cs="Arial"/>
          <w:sz w:val="20"/>
          <w:szCs w:val="20"/>
          <w:lang w:val="es-419" w:eastAsia="es-ES"/>
        </w:rPr>
        <w:t>Radicación No.:</w:t>
      </w:r>
      <w:r w:rsidR="00494C4E">
        <w:rPr>
          <w:rFonts w:ascii="Arial" w:eastAsia="Times New Roman" w:hAnsi="Arial" w:cs="Arial"/>
          <w:sz w:val="20"/>
          <w:szCs w:val="20"/>
          <w:lang w:val="es-419" w:eastAsia="es-ES"/>
        </w:rPr>
        <w:tab/>
      </w:r>
      <w:r w:rsidRPr="00494C4E">
        <w:rPr>
          <w:rFonts w:ascii="Arial" w:eastAsia="Times New Roman" w:hAnsi="Arial" w:cs="Arial"/>
          <w:sz w:val="20"/>
          <w:szCs w:val="20"/>
          <w:lang w:val="es-419" w:eastAsia="es-ES"/>
        </w:rPr>
        <w:tab/>
        <w:t>66001310500</w:t>
      </w:r>
      <w:r w:rsidR="004E4D80" w:rsidRPr="00494C4E">
        <w:rPr>
          <w:rFonts w:ascii="Arial" w:eastAsia="Times New Roman" w:hAnsi="Arial" w:cs="Arial"/>
          <w:sz w:val="20"/>
          <w:szCs w:val="20"/>
          <w:lang w:val="es-419" w:eastAsia="es-ES"/>
        </w:rPr>
        <w:t>5</w:t>
      </w:r>
      <w:r w:rsidRPr="00494C4E">
        <w:rPr>
          <w:rFonts w:ascii="Arial" w:eastAsia="Times New Roman" w:hAnsi="Arial" w:cs="Arial"/>
          <w:sz w:val="20"/>
          <w:szCs w:val="20"/>
          <w:lang w:val="es-419" w:eastAsia="es-ES"/>
        </w:rPr>
        <w:t>20</w:t>
      </w:r>
      <w:r w:rsidR="00092B23" w:rsidRPr="00494C4E">
        <w:rPr>
          <w:rFonts w:ascii="Arial" w:eastAsia="Times New Roman" w:hAnsi="Arial" w:cs="Arial"/>
          <w:sz w:val="20"/>
          <w:szCs w:val="20"/>
          <w:lang w:val="es-419" w:eastAsia="es-ES"/>
        </w:rPr>
        <w:t>2</w:t>
      </w:r>
      <w:r w:rsidR="00334409" w:rsidRPr="00494C4E">
        <w:rPr>
          <w:rFonts w:ascii="Arial" w:eastAsia="Times New Roman" w:hAnsi="Arial" w:cs="Arial"/>
          <w:sz w:val="20"/>
          <w:szCs w:val="20"/>
          <w:lang w:val="es-419" w:eastAsia="es-ES"/>
        </w:rPr>
        <w:t>0</w:t>
      </w:r>
      <w:r w:rsidRPr="00494C4E">
        <w:rPr>
          <w:rFonts w:ascii="Arial" w:eastAsia="Times New Roman" w:hAnsi="Arial" w:cs="Arial"/>
          <w:sz w:val="20"/>
          <w:szCs w:val="20"/>
          <w:lang w:val="es-419" w:eastAsia="es-ES"/>
        </w:rPr>
        <w:t>00</w:t>
      </w:r>
      <w:r w:rsidR="004E4D80" w:rsidRPr="00494C4E">
        <w:rPr>
          <w:rFonts w:ascii="Arial" w:eastAsia="Times New Roman" w:hAnsi="Arial" w:cs="Arial"/>
          <w:sz w:val="20"/>
          <w:szCs w:val="20"/>
          <w:lang w:val="es-419" w:eastAsia="es-ES"/>
        </w:rPr>
        <w:t>0</w:t>
      </w:r>
      <w:r w:rsidR="00092B23" w:rsidRPr="00494C4E">
        <w:rPr>
          <w:rFonts w:ascii="Arial" w:eastAsia="Times New Roman" w:hAnsi="Arial" w:cs="Arial"/>
          <w:sz w:val="20"/>
          <w:szCs w:val="20"/>
          <w:lang w:val="es-419" w:eastAsia="es-ES"/>
        </w:rPr>
        <w:t>3</w:t>
      </w:r>
      <w:r w:rsidR="00334409" w:rsidRPr="00494C4E">
        <w:rPr>
          <w:rFonts w:ascii="Arial" w:eastAsia="Times New Roman" w:hAnsi="Arial" w:cs="Arial"/>
          <w:sz w:val="20"/>
          <w:szCs w:val="20"/>
          <w:lang w:val="es-419" w:eastAsia="es-ES"/>
        </w:rPr>
        <w:t>1</w:t>
      </w:r>
      <w:r w:rsidRPr="00494C4E">
        <w:rPr>
          <w:rFonts w:ascii="Arial" w:eastAsia="Times New Roman" w:hAnsi="Arial" w:cs="Arial"/>
          <w:sz w:val="20"/>
          <w:szCs w:val="20"/>
          <w:lang w:val="es-419" w:eastAsia="es-ES"/>
        </w:rPr>
        <w:t>01</w:t>
      </w:r>
    </w:p>
    <w:p w14:paraId="089600B1" w14:textId="6273F872" w:rsidR="00FA6ADF" w:rsidRPr="00494C4E" w:rsidRDefault="00FA6ADF" w:rsidP="00494C4E">
      <w:pPr>
        <w:spacing w:line="240" w:lineRule="auto"/>
        <w:ind w:firstLine="0"/>
        <w:contextualSpacing/>
        <w:jc w:val="left"/>
        <w:rPr>
          <w:rFonts w:ascii="Arial" w:eastAsia="Times New Roman" w:hAnsi="Arial" w:cs="Arial"/>
          <w:sz w:val="20"/>
          <w:szCs w:val="20"/>
          <w:lang w:val="es-419" w:eastAsia="es-ES"/>
        </w:rPr>
      </w:pPr>
      <w:r w:rsidRPr="00494C4E">
        <w:rPr>
          <w:rFonts w:ascii="Arial" w:eastAsia="Times New Roman" w:hAnsi="Arial" w:cs="Arial"/>
          <w:sz w:val="20"/>
          <w:szCs w:val="20"/>
          <w:lang w:val="es-419" w:eastAsia="es-ES"/>
        </w:rPr>
        <w:t>Proceso:</w:t>
      </w:r>
      <w:r w:rsidRPr="00494C4E">
        <w:rPr>
          <w:rFonts w:ascii="Arial" w:eastAsia="Times New Roman" w:hAnsi="Arial" w:cs="Arial"/>
          <w:sz w:val="20"/>
          <w:szCs w:val="20"/>
          <w:lang w:val="es-419" w:eastAsia="es-ES"/>
        </w:rPr>
        <w:tab/>
      </w:r>
      <w:r w:rsidRPr="00494C4E">
        <w:rPr>
          <w:rFonts w:ascii="Arial" w:eastAsia="Times New Roman" w:hAnsi="Arial" w:cs="Arial"/>
          <w:sz w:val="20"/>
          <w:szCs w:val="20"/>
          <w:lang w:val="es-419" w:eastAsia="es-ES"/>
        </w:rPr>
        <w:tab/>
        <w:t xml:space="preserve">Ordinario Laboral </w:t>
      </w:r>
    </w:p>
    <w:p w14:paraId="7DA52A30" w14:textId="253D70CD" w:rsidR="00FA6ADF" w:rsidRPr="00494C4E" w:rsidRDefault="00FA6ADF" w:rsidP="00494C4E">
      <w:pPr>
        <w:spacing w:line="240" w:lineRule="auto"/>
        <w:ind w:firstLine="0"/>
        <w:contextualSpacing/>
        <w:jc w:val="left"/>
        <w:rPr>
          <w:rFonts w:ascii="Arial" w:eastAsia="Times New Roman" w:hAnsi="Arial" w:cs="Arial"/>
          <w:sz w:val="20"/>
          <w:szCs w:val="20"/>
          <w:lang w:val="es-419" w:eastAsia="es-ES"/>
        </w:rPr>
      </w:pPr>
      <w:r w:rsidRPr="00494C4E">
        <w:rPr>
          <w:rFonts w:ascii="Arial" w:eastAsia="Times New Roman" w:hAnsi="Arial" w:cs="Arial"/>
          <w:sz w:val="20"/>
          <w:szCs w:val="20"/>
          <w:lang w:val="es-419" w:eastAsia="es-ES"/>
        </w:rPr>
        <w:t>Demandante:</w:t>
      </w:r>
      <w:r w:rsidR="00494C4E">
        <w:rPr>
          <w:rFonts w:ascii="Arial" w:eastAsia="Times New Roman" w:hAnsi="Arial" w:cs="Arial"/>
          <w:sz w:val="20"/>
          <w:szCs w:val="20"/>
          <w:lang w:val="es-419" w:eastAsia="es-ES"/>
        </w:rPr>
        <w:tab/>
      </w:r>
      <w:r w:rsidRPr="00494C4E">
        <w:rPr>
          <w:rFonts w:ascii="Arial" w:eastAsia="Times New Roman" w:hAnsi="Arial" w:cs="Arial"/>
          <w:sz w:val="20"/>
          <w:szCs w:val="20"/>
          <w:lang w:val="es-419" w:eastAsia="es-ES"/>
        </w:rPr>
        <w:tab/>
      </w:r>
      <w:r w:rsidR="004C0F88" w:rsidRPr="00494C4E">
        <w:rPr>
          <w:rFonts w:ascii="Arial" w:eastAsia="Times New Roman" w:hAnsi="Arial" w:cs="Arial"/>
          <w:sz w:val="20"/>
          <w:szCs w:val="20"/>
          <w:lang w:val="es-419" w:eastAsia="es-ES"/>
        </w:rPr>
        <w:t xml:space="preserve">María Adriana García Ortiz </w:t>
      </w:r>
    </w:p>
    <w:p w14:paraId="445073DD" w14:textId="60708B8D" w:rsidR="00FA6ADF" w:rsidRPr="00494C4E" w:rsidRDefault="00FA6ADF" w:rsidP="00494C4E">
      <w:pPr>
        <w:spacing w:line="240" w:lineRule="auto"/>
        <w:ind w:firstLine="0"/>
        <w:contextualSpacing/>
        <w:jc w:val="left"/>
        <w:rPr>
          <w:rFonts w:ascii="Arial" w:eastAsia="Times New Roman" w:hAnsi="Arial" w:cs="Arial"/>
          <w:sz w:val="20"/>
          <w:szCs w:val="20"/>
          <w:lang w:val="es-419" w:eastAsia="es-ES"/>
        </w:rPr>
      </w:pPr>
      <w:r w:rsidRPr="00494C4E">
        <w:rPr>
          <w:rFonts w:ascii="Arial" w:eastAsia="Times New Roman" w:hAnsi="Arial" w:cs="Arial"/>
          <w:sz w:val="20"/>
          <w:szCs w:val="20"/>
          <w:lang w:val="es-419" w:eastAsia="es-ES"/>
        </w:rPr>
        <w:t>Demandado:</w:t>
      </w:r>
      <w:r w:rsidRPr="00494C4E">
        <w:rPr>
          <w:rFonts w:ascii="Arial" w:eastAsia="Times New Roman" w:hAnsi="Arial" w:cs="Arial"/>
          <w:sz w:val="20"/>
          <w:szCs w:val="20"/>
          <w:lang w:val="es-419" w:eastAsia="es-ES"/>
        </w:rPr>
        <w:tab/>
      </w:r>
      <w:r w:rsidRPr="00494C4E">
        <w:rPr>
          <w:rFonts w:ascii="Arial" w:eastAsia="Times New Roman" w:hAnsi="Arial" w:cs="Arial"/>
          <w:sz w:val="20"/>
          <w:szCs w:val="20"/>
          <w:lang w:val="es-419" w:eastAsia="es-ES"/>
        </w:rPr>
        <w:tab/>
      </w:r>
      <w:r w:rsidR="00092B23" w:rsidRPr="00494C4E">
        <w:rPr>
          <w:rFonts w:ascii="Arial" w:eastAsia="Times New Roman" w:hAnsi="Arial" w:cs="Arial"/>
          <w:sz w:val="20"/>
          <w:szCs w:val="20"/>
          <w:lang w:val="es-419" w:eastAsia="es-ES"/>
        </w:rPr>
        <w:t>Colpensiones</w:t>
      </w:r>
    </w:p>
    <w:bookmarkEnd w:id="0"/>
    <w:p w14:paraId="5D79CC03" w14:textId="33665175" w:rsidR="00FA6ADF" w:rsidRPr="00494C4E" w:rsidRDefault="00FA6ADF" w:rsidP="00494C4E">
      <w:pPr>
        <w:spacing w:line="240" w:lineRule="auto"/>
        <w:ind w:firstLine="0"/>
        <w:contextualSpacing/>
        <w:jc w:val="left"/>
        <w:rPr>
          <w:rFonts w:ascii="Arial" w:eastAsia="Times New Roman" w:hAnsi="Arial" w:cs="Arial"/>
          <w:sz w:val="20"/>
          <w:szCs w:val="20"/>
          <w:lang w:val="es-419" w:eastAsia="es-ES"/>
        </w:rPr>
      </w:pPr>
      <w:r w:rsidRPr="00494C4E">
        <w:rPr>
          <w:rFonts w:ascii="Arial" w:eastAsia="Times New Roman" w:hAnsi="Arial" w:cs="Arial"/>
          <w:sz w:val="20"/>
          <w:szCs w:val="20"/>
          <w:lang w:val="es-419" w:eastAsia="es-ES"/>
        </w:rPr>
        <w:t>Juzgado de origen:</w:t>
      </w:r>
      <w:r w:rsidRPr="00494C4E">
        <w:rPr>
          <w:rFonts w:ascii="Arial" w:eastAsia="Times New Roman" w:hAnsi="Arial" w:cs="Arial"/>
          <w:sz w:val="20"/>
          <w:szCs w:val="20"/>
          <w:lang w:val="es-419" w:eastAsia="es-ES"/>
        </w:rPr>
        <w:tab/>
      </w:r>
      <w:r w:rsidR="004C0F88" w:rsidRPr="00494C4E">
        <w:rPr>
          <w:rFonts w:ascii="Arial" w:eastAsia="Times New Roman" w:hAnsi="Arial" w:cs="Arial"/>
          <w:sz w:val="20"/>
          <w:szCs w:val="20"/>
          <w:lang w:val="es-419" w:eastAsia="es-ES"/>
        </w:rPr>
        <w:t>Quinto</w:t>
      </w:r>
      <w:r w:rsidRPr="00494C4E">
        <w:rPr>
          <w:rFonts w:ascii="Arial" w:eastAsia="Times New Roman" w:hAnsi="Arial" w:cs="Arial"/>
          <w:sz w:val="20"/>
          <w:szCs w:val="20"/>
          <w:lang w:val="es-419" w:eastAsia="es-ES"/>
        </w:rPr>
        <w:t xml:space="preserve"> Laboral del Circuito de Pereira</w:t>
      </w:r>
    </w:p>
    <w:p w14:paraId="24946A0E" w14:textId="77777777" w:rsidR="00FA6ADF" w:rsidRPr="00494C4E" w:rsidRDefault="00FA6ADF" w:rsidP="00494C4E">
      <w:pPr>
        <w:spacing w:line="240" w:lineRule="auto"/>
        <w:ind w:firstLine="0"/>
        <w:contextualSpacing/>
        <w:jc w:val="left"/>
        <w:rPr>
          <w:rFonts w:ascii="Arial" w:eastAsia="Times New Roman" w:hAnsi="Arial" w:cs="Arial"/>
          <w:sz w:val="20"/>
          <w:szCs w:val="20"/>
          <w:lang w:val="es-419" w:eastAsia="es-ES"/>
        </w:rPr>
      </w:pPr>
    </w:p>
    <w:p w14:paraId="4D21B873" w14:textId="0E843289" w:rsidR="00F6059D" w:rsidRDefault="00F6059D" w:rsidP="00494C4E">
      <w:pPr>
        <w:spacing w:line="240" w:lineRule="auto"/>
        <w:ind w:firstLine="0"/>
        <w:contextualSpacing/>
        <w:jc w:val="left"/>
        <w:rPr>
          <w:rFonts w:ascii="Arial" w:eastAsia="Times New Roman" w:hAnsi="Arial" w:cs="Arial"/>
          <w:sz w:val="20"/>
          <w:szCs w:val="20"/>
          <w:lang w:val="es-419" w:eastAsia="es-ES"/>
        </w:rPr>
      </w:pPr>
    </w:p>
    <w:p w14:paraId="00937210" w14:textId="77777777" w:rsidR="00494C4E" w:rsidRPr="00494C4E" w:rsidRDefault="00494C4E" w:rsidP="00494C4E">
      <w:pPr>
        <w:spacing w:line="240" w:lineRule="auto"/>
        <w:ind w:firstLine="0"/>
        <w:contextualSpacing/>
        <w:jc w:val="left"/>
        <w:rPr>
          <w:rFonts w:ascii="Arial" w:eastAsia="Times New Roman" w:hAnsi="Arial" w:cs="Arial"/>
          <w:sz w:val="20"/>
          <w:szCs w:val="20"/>
          <w:lang w:val="es-419" w:eastAsia="es-ES"/>
        </w:rPr>
      </w:pPr>
    </w:p>
    <w:p w14:paraId="6CB56231" w14:textId="6787D5D7" w:rsidR="00FA6ADF" w:rsidRPr="00494C4E" w:rsidRDefault="00FA6ADF" w:rsidP="00494C4E">
      <w:pPr>
        <w:pStyle w:val="Ttulo4"/>
        <w:widowControl w:val="0"/>
        <w:spacing w:line="276" w:lineRule="auto"/>
        <w:ind w:right="845"/>
        <w:contextualSpacing/>
        <w:mirrorIndents/>
        <w:rPr>
          <w:rFonts w:ascii="Tahoma" w:eastAsia="Tahoma" w:hAnsi="Tahoma" w:cs="Tahoma"/>
          <w:szCs w:val="24"/>
        </w:rPr>
      </w:pPr>
      <w:r w:rsidRPr="00494C4E">
        <w:rPr>
          <w:rFonts w:ascii="Tahoma" w:eastAsia="Tahoma" w:hAnsi="Tahoma" w:cs="Tahoma"/>
          <w:szCs w:val="24"/>
        </w:rPr>
        <w:t xml:space="preserve">TRIBUNAL SUPERIOR </w:t>
      </w:r>
      <w:r w:rsidR="00494C4E" w:rsidRPr="00494C4E">
        <w:rPr>
          <w:rFonts w:ascii="Tahoma" w:eastAsia="Tahoma" w:hAnsi="Tahoma" w:cs="Tahoma"/>
          <w:szCs w:val="24"/>
        </w:rPr>
        <w:t>DEL DISTRITO JUDICIAL DE PEREIRA</w:t>
      </w:r>
    </w:p>
    <w:p w14:paraId="0584DA1B" w14:textId="6DCB3A9F" w:rsidR="00FA6ADF" w:rsidRPr="00494C4E" w:rsidRDefault="00FA6ADF" w:rsidP="00494C4E">
      <w:pPr>
        <w:pStyle w:val="Ttulo4"/>
        <w:widowControl w:val="0"/>
        <w:spacing w:line="276" w:lineRule="auto"/>
        <w:ind w:right="845"/>
        <w:contextualSpacing/>
        <w:mirrorIndents/>
        <w:rPr>
          <w:rFonts w:ascii="Tahoma" w:eastAsia="Tahoma" w:hAnsi="Tahoma" w:cs="Tahoma"/>
          <w:szCs w:val="24"/>
        </w:rPr>
      </w:pPr>
      <w:r w:rsidRPr="00494C4E">
        <w:rPr>
          <w:rFonts w:ascii="Tahoma" w:eastAsia="Tahoma" w:hAnsi="Tahoma" w:cs="Tahoma"/>
          <w:szCs w:val="24"/>
        </w:rPr>
        <w:t xml:space="preserve">SALA PRIMERA DE </w:t>
      </w:r>
      <w:r w:rsidR="00494C4E" w:rsidRPr="00494C4E">
        <w:rPr>
          <w:rFonts w:ascii="Tahoma" w:eastAsia="Tahoma" w:hAnsi="Tahoma" w:cs="Tahoma"/>
          <w:szCs w:val="24"/>
        </w:rPr>
        <w:t>DECISIÓN</w:t>
      </w:r>
      <w:r w:rsidRPr="00494C4E">
        <w:rPr>
          <w:rFonts w:ascii="Tahoma" w:eastAsia="Tahoma" w:hAnsi="Tahoma" w:cs="Tahoma"/>
          <w:szCs w:val="24"/>
        </w:rPr>
        <w:t xml:space="preserve"> LABORAL </w:t>
      </w:r>
    </w:p>
    <w:p w14:paraId="54AFEB4A" w14:textId="77777777" w:rsidR="00FA6ADF" w:rsidRPr="00494C4E" w:rsidRDefault="00FA6ADF" w:rsidP="00494C4E">
      <w:pPr>
        <w:spacing w:line="276" w:lineRule="auto"/>
        <w:rPr>
          <w:rFonts w:ascii="Tahoma" w:hAnsi="Tahoma" w:cs="Tahoma"/>
          <w:sz w:val="24"/>
          <w:szCs w:val="24"/>
          <w:lang w:eastAsia="es-ES"/>
        </w:rPr>
      </w:pPr>
    </w:p>
    <w:p w14:paraId="3591CCF0" w14:textId="3E7D057F" w:rsidR="00FA6ADF" w:rsidRPr="00494C4E" w:rsidRDefault="00FA6ADF" w:rsidP="00494C4E">
      <w:pPr>
        <w:spacing w:line="276" w:lineRule="auto"/>
        <w:ind w:firstLine="0"/>
        <w:contextualSpacing/>
        <w:mirrorIndents/>
        <w:jc w:val="center"/>
        <w:rPr>
          <w:rFonts w:ascii="Tahoma" w:hAnsi="Tahoma" w:cs="Tahoma"/>
          <w:sz w:val="24"/>
          <w:szCs w:val="24"/>
        </w:rPr>
      </w:pPr>
      <w:r w:rsidRPr="00494C4E">
        <w:rPr>
          <w:rFonts w:ascii="Tahoma" w:hAnsi="Tahoma" w:cs="Tahoma"/>
          <w:sz w:val="24"/>
          <w:szCs w:val="24"/>
        </w:rPr>
        <w:t>Magistrada Ponente: </w:t>
      </w:r>
      <w:r w:rsidRPr="00494C4E">
        <w:rPr>
          <w:rFonts w:ascii="Tahoma" w:hAnsi="Tahoma" w:cs="Tahoma"/>
          <w:b/>
          <w:sz w:val="24"/>
          <w:szCs w:val="24"/>
        </w:rPr>
        <w:t>Ana Lucía Caicedo Calderón</w:t>
      </w:r>
      <w:r w:rsidRPr="00494C4E">
        <w:rPr>
          <w:rFonts w:ascii="Tahoma" w:hAnsi="Tahoma" w:cs="Tahoma"/>
          <w:sz w:val="24"/>
          <w:szCs w:val="24"/>
        </w:rPr>
        <w:t>  </w:t>
      </w:r>
    </w:p>
    <w:p w14:paraId="0C5653C3" w14:textId="77777777" w:rsidR="00EA676C" w:rsidRPr="00494C4E" w:rsidRDefault="00EA676C" w:rsidP="00494C4E">
      <w:pPr>
        <w:spacing w:line="276" w:lineRule="auto"/>
        <w:ind w:firstLine="0"/>
        <w:contextualSpacing/>
        <w:mirrorIndents/>
        <w:jc w:val="center"/>
        <w:rPr>
          <w:rFonts w:ascii="Tahoma" w:hAnsi="Tahoma" w:cs="Tahoma"/>
          <w:sz w:val="24"/>
          <w:szCs w:val="24"/>
        </w:rPr>
      </w:pPr>
    </w:p>
    <w:p w14:paraId="61F7E62C" w14:textId="6CB2A798" w:rsidR="008441E2" w:rsidRPr="00494C4E" w:rsidRDefault="008441E2" w:rsidP="00494C4E">
      <w:pPr>
        <w:pStyle w:val="paragraph"/>
        <w:spacing w:before="0" w:beforeAutospacing="0" w:after="0" w:afterAutospacing="0" w:line="276" w:lineRule="auto"/>
        <w:ind w:right="45"/>
        <w:jc w:val="center"/>
        <w:textAlignment w:val="baseline"/>
        <w:rPr>
          <w:rFonts w:ascii="Tahoma" w:hAnsi="Tahoma" w:cs="Tahoma"/>
        </w:rPr>
      </w:pPr>
      <w:r w:rsidRPr="00494C4E">
        <w:rPr>
          <w:rStyle w:val="normaltextrun"/>
          <w:rFonts w:ascii="Tahoma" w:hAnsi="Tahoma" w:cs="Tahoma"/>
        </w:rPr>
        <w:t>Pereira, Risaralda, primero (01) de septiembre de dos mil veintitrés (2023)</w:t>
      </w:r>
    </w:p>
    <w:p w14:paraId="7E4617F2" w14:textId="052F1E32" w:rsidR="008441E2" w:rsidRPr="00494C4E" w:rsidRDefault="008441E2" w:rsidP="00494C4E">
      <w:pPr>
        <w:pStyle w:val="paragraph"/>
        <w:spacing w:before="0" w:beforeAutospacing="0" w:after="0" w:afterAutospacing="0" w:line="276" w:lineRule="auto"/>
        <w:ind w:right="45"/>
        <w:jc w:val="center"/>
        <w:textAlignment w:val="baseline"/>
        <w:rPr>
          <w:rStyle w:val="normaltextrun"/>
          <w:rFonts w:ascii="Tahoma" w:hAnsi="Tahoma" w:cs="Tahoma"/>
        </w:rPr>
      </w:pPr>
      <w:r w:rsidRPr="00494C4E">
        <w:rPr>
          <w:rStyle w:val="normaltextrun"/>
          <w:rFonts w:ascii="Tahoma" w:hAnsi="Tahoma" w:cs="Tahoma"/>
        </w:rPr>
        <w:t xml:space="preserve">Acta No. </w:t>
      </w:r>
      <w:r w:rsidR="55E1F1D1" w:rsidRPr="00494C4E">
        <w:rPr>
          <w:rStyle w:val="normaltextrun"/>
          <w:rFonts w:ascii="Tahoma" w:hAnsi="Tahoma" w:cs="Tahoma"/>
        </w:rPr>
        <w:t xml:space="preserve">138 </w:t>
      </w:r>
      <w:r w:rsidRPr="00494C4E">
        <w:rPr>
          <w:rStyle w:val="normaltextrun"/>
          <w:rFonts w:ascii="Tahoma" w:hAnsi="Tahoma" w:cs="Tahoma"/>
        </w:rPr>
        <w:t>del 31 de agosto de 2023</w:t>
      </w:r>
    </w:p>
    <w:p w14:paraId="088A1D3A" w14:textId="139C57FA" w:rsidR="000C1608" w:rsidRDefault="000C1608" w:rsidP="00494C4E">
      <w:pPr>
        <w:spacing w:line="276" w:lineRule="auto"/>
        <w:ind w:firstLine="0"/>
        <w:contextualSpacing/>
        <w:mirrorIndents/>
        <w:rPr>
          <w:rFonts w:ascii="Tahoma" w:hAnsi="Tahoma" w:cs="Tahoma"/>
          <w:sz w:val="24"/>
          <w:szCs w:val="24"/>
        </w:rPr>
      </w:pPr>
    </w:p>
    <w:p w14:paraId="6FE7CEE2" w14:textId="77777777" w:rsidR="00494C4E" w:rsidRPr="00494C4E" w:rsidRDefault="00494C4E" w:rsidP="00494C4E">
      <w:pPr>
        <w:spacing w:line="276" w:lineRule="auto"/>
        <w:ind w:firstLine="0"/>
        <w:contextualSpacing/>
        <w:mirrorIndents/>
        <w:rPr>
          <w:rFonts w:ascii="Tahoma" w:hAnsi="Tahoma" w:cs="Tahoma"/>
          <w:sz w:val="24"/>
          <w:szCs w:val="24"/>
        </w:rPr>
      </w:pPr>
    </w:p>
    <w:p w14:paraId="78CA2C38" w14:textId="730A3410" w:rsidR="00FA6ADF" w:rsidRPr="00494C4E" w:rsidRDefault="00FA6ADF" w:rsidP="00494C4E">
      <w:pPr>
        <w:pStyle w:val="NormalWeb"/>
        <w:spacing w:before="0" w:beforeAutospacing="0" w:after="0" w:afterAutospacing="0" w:line="276" w:lineRule="auto"/>
        <w:ind w:right="49" w:firstLine="851"/>
        <w:contextualSpacing/>
        <w:jc w:val="both"/>
        <w:rPr>
          <w:rFonts w:ascii="Tahoma" w:hAnsi="Tahoma" w:cs="Tahoma"/>
          <w:b/>
          <w:bCs/>
        </w:rPr>
      </w:pPr>
      <w:bookmarkStart w:id="2" w:name="_heading=h.gjdgxs"/>
      <w:bookmarkStart w:id="3" w:name="_Hlk109731515"/>
      <w:bookmarkEnd w:id="2"/>
      <w:r w:rsidRPr="00494C4E">
        <w:rPr>
          <w:rFonts w:ascii="Tahoma" w:hAnsi="Tahoma" w:cs="Tahoma"/>
        </w:rPr>
        <w:t>Teniendo en cuenta que el artículo 1</w:t>
      </w:r>
      <w:r w:rsidR="1987C907" w:rsidRPr="00494C4E">
        <w:rPr>
          <w:rFonts w:ascii="Tahoma" w:hAnsi="Tahoma" w:cs="Tahoma"/>
        </w:rPr>
        <w:t>3</w:t>
      </w:r>
      <w:r w:rsidRPr="00494C4E">
        <w:rPr>
          <w:rFonts w:ascii="Tahoma" w:hAnsi="Tahoma" w:cs="Tahoma"/>
        </w:rPr>
        <w:t xml:space="preserve">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494C4E">
        <w:rPr>
          <w:rFonts w:ascii="Tahoma" w:hAnsi="Tahoma" w:cs="Tahoma"/>
        </w:rPr>
        <w:t xml:space="preserve">Primera </w:t>
      </w:r>
      <w:r w:rsidRPr="00494C4E">
        <w:rPr>
          <w:rFonts w:ascii="Tahoma" w:hAnsi="Tahoma" w:cs="Tahoma"/>
        </w:rPr>
        <w:t xml:space="preserve">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494C4E">
        <w:rPr>
          <w:rFonts w:ascii="Tahoma" w:hAnsi="Tahoma" w:cs="Tahoma"/>
          <w:b/>
        </w:rPr>
        <w:lastRenderedPageBreak/>
        <w:t>ordinario laboral</w:t>
      </w:r>
      <w:r w:rsidRPr="00494C4E">
        <w:rPr>
          <w:rFonts w:ascii="Tahoma" w:hAnsi="Tahoma" w:cs="Tahoma"/>
        </w:rPr>
        <w:t xml:space="preserve"> instaurado por </w:t>
      </w:r>
      <w:bookmarkEnd w:id="3"/>
      <w:r w:rsidR="00494C4E" w:rsidRPr="00494C4E">
        <w:rPr>
          <w:rFonts w:ascii="Tahoma" w:hAnsi="Tahoma" w:cs="Tahoma"/>
          <w:b/>
          <w:bCs/>
          <w:color w:val="000000" w:themeColor="text1"/>
        </w:rPr>
        <w:t xml:space="preserve">María Adriana García Ortiz </w:t>
      </w:r>
      <w:r w:rsidRPr="00494C4E">
        <w:rPr>
          <w:rFonts w:ascii="Tahoma" w:hAnsi="Tahoma" w:cs="Tahoma"/>
        </w:rPr>
        <w:t>en contra d</w:t>
      </w:r>
      <w:r w:rsidR="000C1608" w:rsidRPr="00494C4E">
        <w:rPr>
          <w:rFonts w:ascii="Tahoma" w:hAnsi="Tahoma" w:cs="Tahoma"/>
        </w:rPr>
        <w:t xml:space="preserve">e la </w:t>
      </w:r>
      <w:r w:rsidR="00494C4E" w:rsidRPr="00494C4E">
        <w:rPr>
          <w:rFonts w:ascii="Tahoma" w:hAnsi="Tahoma" w:cs="Tahoma"/>
          <w:b/>
          <w:bCs/>
        </w:rPr>
        <w:t xml:space="preserve">Administradora Colombiana de Pensiones </w:t>
      </w:r>
      <w:r w:rsidR="00092B23" w:rsidRPr="00494C4E">
        <w:rPr>
          <w:rFonts w:ascii="Tahoma" w:hAnsi="Tahoma" w:cs="Tahoma"/>
          <w:b/>
          <w:bCs/>
        </w:rPr>
        <w:t xml:space="preserve">– </w:t>
      </w:r>
      <w:r w:rsidR="00494C4E" w:rsidRPr="00494C4E">
        <w:rPr>
          <w:rFonts w:ascii="Tahoma" w:hAnsi="Tahoma" w:cs="Tahoma"/>
          <w:b/>
          <w:bCs/>
        </w:rPr>
        <w:t>COLPENSIONES</w:t>
      </w:r>
      <w:r w:rsidR="00092B23" w:rsidRPr="00494C4E">
        <w:rPr>
          <w:rFonts w:ascii="Tahoma" w:hAnsi="Tahoma" w:cs="Tahoma"/>
          <w:b/>
          <w:bCs/>
        </w:rPr>
        <w:t>.</w:t>
      </w:r>
    </w:p>
    <w:p w14:paraId="0BCA507E" w14:textId="6F97DDD7" w:rsidR="6FB2BE29" w:rsidRPr="00494C4E" w:rsidRDefault="6FB2BE29" w:rsidP="00494C4E">
      <w:pPr>
        <w:pStyle w:val="NormalWeb"/>
        <w:spacing w:before="0" w:beforeAutospacing="0" w:after="0" w:afterAutospacing="0" w:line="276" w:lineRule="auto"/>
        <w:ind w:right="49"/>
        <w:contextualSpacing/>
        <w:jc w:val="both"/>
        <w:rPr>
          <w:rFonts w:ascii="Tahoma" w:hAnsi="Tahoma" w:cs="Tahoma"/>
          <w:b/>
          <w:bCs/>
          <w:caps/>
          <w:color w:val="000000" w:themeColor="text1"/>
        </w:rPr>
      </w:pPr>
    </w:p>
    <w:p w14:paraId="71ED85F6" w14:textId="77777777" w:rsidR="00EA676C" w:rsidRPr="00494C4E" w:rsidRDefault="00EA676C" w:rsidP="00494C4E">
      <w:pPr>
        <w:pStyle w:val="paragraph"/>
        <w:spacing w:before="0" w:beforeAutospacing="0" w:after="0" w:afterAutospacing="0" w:line="276" w:lineRule="auto"/>
        <w:jc w:val="center"/>
        <w:textAlignment w:val="baseline"/>
        <w:rPr>
          <w:rStyle w:val="normaltextrun"/>
          <w:rFonts w:ascii="Tahoma" w:hAnsi="Tahoma" w:cs="Tahoma"/>
          <w:b/>
          <w:bCs/>
          <w:lang w:val="es-ES"/>
        </w:rPr>
      </w:pPr>
      <w:r w:rsidRPr="00494C4E">
        <w:rPr>
          <w:rStyle w:val="normaltextrun"/>
          <w:rFonts w:ascii="Tahoma" w:hAnsi="Tahoma" w:cs="Tahoma"/>
          <w:b/>
          <w:bCs/>
          <w:lang w:val="es-ES"/>
        </w:rPr>
        <w:t>AUTO</w:t>
      </w:r>
    </w:p>
    <w:p w14:paraId="40392906" w14:textId="77777777" w:rsidR="00EA676C" w:rsidRPr="00494C4E" w:rsidRDefault="00EA676C" w:rsidP="00494C4E">
      <w:pPr>
        <w:pStyle w:val="Sinespaciado"/>
        <w:spacing w:line="276" w:lineRule="auto"/>
        <w:rPr>
          <w:rFonts w:ascii="Tahoma" w:hAnsi="Tahoma" w:cs="Tahoma"/>
        </w:rPr>
      </w:pPr>
    </w:p>
    <w:p w14:paraId="7F0F4CE9" w14:textId="0F597654" w:rsidR="00FA6ADF" w:rsidRPr="00494C4E" w:rsidRDefault="00494C4E" w:rsidP="00494C4E">
      <w:pPr>
        <w:pStyle w:val="NormalWeb"/>
        <w:spacing w:before="0" w:beforeAutospacing="0" w:after="0" w:afterAutospacing="0" w:line="276" w:lineRule="auto"/>
        <w:ind w:right="49" w:firstLine="851"/>
        <w:contextualSpacing/>
        <w:jc w:val="both"/>
        <w:rPr>
          <w:rFonts w:ascii="Tahoma" w:hAnsi="Tahoma" w:cs="Tahoma"/>
          <w:lang w:val="es-CO"/>
        </w:rPr>
      </w:pPr>
      <w:r>
        <w:rPr>
          <w:rFonts w:ascii="Tahoma" w:hAnsi="Tahoma" w:cs="Tahoma"/>
          <w:lang w:val="es-CO"/>
        </w:rPr>
        <w:t>(…)</w:t>
      </w:r>
    </w:p>
    <w:p w14:paraId="0AA871A8" w14:textId="25C9F14D" w:rsidR="6FB2BE29" w:rsidRPr="00494C4E" w:rsidRDefault="6FB2BE29" w:rsidP="00494C4E">
      <w:pPr>
        <w:pStyle w:val="NormalWeb"/>
        <w:spacing w:before="0" w:beforeAutospacing="0" w:after="0" w:afterAutospacing="0" w:line="276" w:lineRule="auto"/>
        <w:ind w:right="49"/>
        <w:contextualSpacing/>
        <w:jc w:val="both"/>
        <w:rPr>
          <w:rFonts w:ascii="Tahoma" w:hAnsi="Tahoma" w:cs="Tahoma"/>
          <w:lang w:val="es-CO"/>
        </w:rPr>
      </w:pPr>
    </w:p>
    <w:p w14:paraId="09068E7E" w14:textId="77777777" w:rsidR="00FA6ADF" w:rsidRPr="00494C4E" w:rsidRDefault="00FA6ADF" w:rsidP="00494C4E">
      <w:pPr>
        <w:pStyle w:val="NormalWeb"/>
        <w:spacing w:before="0" w:beforeAutospacing="0" w:after="0" w:afterAutospacing="0" w:line="276" w:lineRule="auto"/>
        <w:jc w:val="center"/>
        <w:rPr>
          <w:rFonts w:ascii="Tahoma" w:hAnsi="Tahoma" w:cs="Tahoma"/>
        </w:rPr>
      </w:pPr>
      <w:r w:rsidRPr="00494C4E">
        <w:rPr>
          <w:rFonts w:ascii="Tahoma" w:hAnsi="Tahoma" w:cs="Tahoma"/>
          <w:b/>
          <w:bCs/>
          <w:color w:val="000000"/>
        </w:rPr>
        <w:t>PUNTO A TRATAR</w:t>
      </w:r>
    </w:p>
    <w:p w14:paraId="5B953763" w14:textId="77777777" w:rsidR="00FA6ADF" w:rsidRPr="00494C4E" w:rsidRDefault="00FA6ADF" w:rsidP="00494C4E">
      <w:pPr>
        <w:spacing w:line="276" w:lineRule="auto"/>
        <w:ind w:firstLine="851"/>
        <w:rPr>
          <w:rFonts w:ascii="Tahoma" w:eastAsia="Times New Roman" w:hAnsi="Tahoma" w:cs="Tahoma"/>
          <w:color w:val="000000"/>
          <w:sz w:val="24"/>
          <w:szCs w:val="24"/>
          <w:lang w:val="es-CO"/>
        </w:rPr>
      </w:pPr>
    </w:p>
    <w:p w14:paraId="0F9BC821" w14:textId="63262288" w:rsidR="00092B23" w:rsidRPr="00494C4E" w:rsidRDefault="00092B23" w:rsidP="00494C4E">
      <w:pPr>
        <w:spacing w:line="276" w:lineRule="auto"/>
        <w:rPr>
          <w:rFonts w:ascii="Tahoma" w:eastAsia="Times New Roman" w:hAnsi="Tahoma" w:cs="Tahoma"/>
          <w:color w:val="000000"/>
          <w:sz w:val="24"/>
          <w:szCs w:val="24"/>
          <w:lang w:val="es-CO"/>
        </w:rPr>
      </w:pPr>
      <w:r w:rsidRPr="00494C4E">
        <w:rPr>
          <w:rFonts w:ascii="Tahoma" w:eastAsia="Times New Roman" w:hAnsi="Tahoma" w:cs="Tahoma"/>
          <w:color w:val="000000" w:themeColor="text1"/>
          <w:sz w:val="24"/>
          <w:szCs w:val="24"/>
          <w:lang w:val="es-CO"/>
        </w:rPr>
        <w:t>Por medio de esta providencia procede la Sala a resolver</w:t>
      </w:r>
      <w:r w:rsidR="004C0F88" w:rsidRPr="00494C4E">
        <w:rPr>
          <w:rFonts w:ascii="Tahoma" w:eastAsia="Times New Roman" w:hAnsi="Tahoma" w:cs="Tahoma"/>
          <w:color w:val="000000" w:themeColor="text1"/>
          <w:sz w:val="24"/>
          <w:szCs w:val="24"/>
          <w:lang w:val="es-CO"/>
        </w:rPr>
        <w:t xml:space="preserve"> el grado jurisdiccional de consulta dispuesto en favor de Colpensiones, así como los recursos de apelación interpuestos por dicha entidad y la promotora del litigio en contra de la sentencia dictada </w:t>
      </w:r>
      <w:r w:rsidR="1148D0BB" w:rsidRPr="00494C4E">
        <w:rPr>
          <w:rFonts w:ascii="Tahoma" w:eastAsia="Times New Roman" w:hAnsi="Tahoma" w:cs="Tahoma"/>
          <w:color w:val="000000" w:themeColor="text1"/>
          <w:sz w:val="24"/>
          <w:szCs w:val="24"/>
          <w:lang w:val="es-CO"/>
        </w:rPr>
        <w:t xml:space="preserve">por </w:t>
      </w:r>
      <w:r w:rsidR="004C0F88" w:rsidRPr="00494C4E">
        <w:rPr>
          <w:rFonts w:ascii="Tahoma" w:eastAsia="Times New Roman" w:hAnsi="Tahoma" w:cs="Tahoma"/>
          <w:color w:val="000000" w:themeColor="text1"/>
          <w:sz w:val="24"/>
          <w:szCs w:val="24"/>
          <w:lang w:val="es-CO"/>
        </w:rPr>
        <w:t>el Juzgado Quinto Laboral del Circuito de Pereira el 09 de febrero de 2023.</w:t>
      </w:r>
      <w:r w:rsidRPr="00494C4E">
        <w:rPr>
          <w:rFonts w:ascii="Tahoma" w:hAnsi="Tahoma" w:cs="Tahoma"/>
          <w:sz w:val="24"/>
          <w:szCs w:val="24"/>
        </w:rPr>
        <w:t xml:space="preserve"> </w:t>
      </w:r>
      <w:r w:rsidRPr="00494C4E">
        <w:rPr>
          <w:rFonts w:ascii="Tahoma" w:eastAsia="Times New Roman" w:hAnsi="Tahoma" w:cs="Tahoma"/>
          <w:color w:val="000000" w:themeColor="text1"/>
          <w:sz w:val="24"/>
          <w:szCs w:val="24"/>
          <w:lang w:val="es-CO"/>
        </w:rPr>
        <w:t>Para ello se tiene en cuenta lo siguiente: </w:t>
      </w:r>
    </w:p>
    <w:p w14:paraId="2C30C46A" w14:textId="46D50D4A" w:rsidR="00FA6ADF" w:rsidRPr="00494C4E" w:rsidRDefault="00FA6ADF" w:rsidP="00494C4E">
      <w:pPr>
        <w:spacing w:line="276" w:lineRule="auto"/>
        <w:ind w:firstLine="0"/>
        <w:rPr>
          <w:rFonts w:ascii="Tahoma" w:eastAsia="Times New Roman" w:hAnsi="Tahoma" w:cs="Tahoma"/>
          <w:color w:val="000000"/>
          <w:sz w:val="24"/>
          <w:szCs w:val="24"/>
          <w:lang w:val="es-CO"/>
        </w:rPr>
      </w:pPr>
    </w:p>
    <w:p w14:paraId="65EBD4B2" w14:textId="106A7B63" w:rsidR="00FA6ADF" w:rsidRPr="00494C4E" w:rsidRDefault="00FA6ADF" w:rsidP="00494C4E">
      <w:pPr>
        <w:numPr>
          <w:ilvl w:val="0"/>
          <w:numId w:val="13"/>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494C4E">
        <w:rPr>
          <w:rFonts w:ascii="Tahoma" w:eastAsia="Times New Roman" w:hAnsi="Tahoma" w:cs="Tahoma"/>
          <w:b/>
          <w:bCs/>
          <w:color w:val="000000"/>
          <w:sz w:val="24"/>
          <w:szCs w:val="24"/>
          <w:lang w:val="es-CO"/>
        </w:rPr>
        <w:t xml:space="preserve">La demanda y </w:t>
      </w:r>
      <w:r w:rsidR="00F956D6" w:rsidRPr="00494C4E">
        <w:rPr>
          <w:rFonts w:ascii="Tahoma" w:eastAsia="Times New Roman" w:hAnsi="Tahoma" w:cs="Tahoma"/>
          <w:b/>
          <w:bCs/>
          <w:color w:val="000000"/>
          <w:sz w:val="24"/>
          <w:szCs w:val="24"/>
          <w:lang w:val="es-CO"/>
        </w:rPr>
        <w:t>la</w:t>
      </w:r>
      <w:r w:rsidRPr="00494C4E">
        <w:rPr>
          <w:rFonts w:ascii="Tahoma" w:eastAsia="Times New Roman" w:hAnsi="Tahoma" w:cs="Tahoma"/>
          <w:b/>
          <w:bCs/>
          <w:color w:val="000000"/>
          <w:sz w:val="24"/>
          <w:szCs w:val="24"/>
          <w:lang w:val="es-CO"/>
        </w:rPr>
        <w:t xml:space="preserve"> contestación</w:t>
      </w:r>
      <w:r w:rsidR="00F956D6" w:rsidRPr="00494C4E">
        <w:rPr>
          <w:rFonts w:ascii="Tahoma" w:eastAsia="Times New Roman" w:hAnsi="Tahoma" w:cs="Tahoma"/>
          <w:b/>
          <w:bCs/>
          <w:color w:val="000000"/>
          <w:sz w:val="24"/>
          <w:szCs w:val="24"/>
          <w:lang w:val="es-CO"/>
        </w:rPr>
        <w:t xml:space="preserve"> de la demanda</w:t>
      </w:r>
    </w:p>
    <w:p w14:paraId="00CFD1B3" w14:textId="72620F12" w:rsidR="00FA6ADF" w:rsidRPr="00494C4E" w:rsidRDefault="00FA6ADF" w:rsidP="00494C4E">
      <w:pPr>
        <w:spacing w:line="276" w:lineRule="auto"/>
        <w:ind w:left="714" w:hanging="357"/>
        <w:jc w:val="center"/>
        <w:rPr>
          <w:rFonts w:ascii="Tahoma" w:hAnsi="Tahoma" w:cs="Tahoma"/>
          <w:sz w:val="24"/>
          <w:szCs w:val="24"/>
        </w:rPr>
      </w:pPr>
    </w:p>
    <w:p w14:paraId="588A92E1" w14:textId="78AACA36" w:rsidR="004C0F88" w:rsidRPr="00494C4E" w:rsidRDefault="004C0F88" w:rsidP="00494C4E">
      <w:pPr>
        <w:spacing w:line="276" w:lineRule="auto"/>
        <w:ind w:firstLine="708"/>
        <w:rPr>
          <w:rFonts w:ascii="Tahoma" w:hAnsi="Tahoma" w:cs="Tahoma"/>
          <w:sz w:val="24"/>
          <w:szCs w:val="24"/>
        </w:rPr>
      </w:pPr>
      <w:r w:rsidRPr="00494C4E">
        <w:rPr>
          <w:rFonts w:ascii="Tahoma" w:hAnsi="Tahoma" w:cs="Tahoma"/>
          <w:sz w:val="24"/>
          <w:szCs w:val="24"/>
        </w:rPr>
        <w:t xml:space="preserve">La señora María Adriana García Ortiz </w:t>
      </w:r>
      <w:r w:rsidR="00775AC5" w:rsidRPr="00494C4E">
        <w:rPr>
          <w:rFonts w:ascii="Tahoma" w:hAnsi="Tahoma" w:cs="Tahoma"/>
          <w:sz w:val="24"/>
          <w:szCs w:val="24"/>
        </w:rPr>
        <w:t>pretende</w:t>
      </w:r>
      <w:r w:rsidR="00654F1D" w:rsidRPr="00494C4E">
        <w:rPr>
          <w:rFonts w:ascii="Tahoma" w:hAnsi="Tahoma" w:cs="Tahoma"/>
          <w:sz w:val="24"/>
          <w:szCs w:val="24"/>
        </w:rPr>
        <w:t>, previa declaración del derecho, que se condene a C</w:t>
      </w:r>
      <w:r w:rsidRPr="00494C4E">
        <w:rPr>
          <w:rFonts w:ascii="Tahoma" w:hAnsi="Tahoma" w:cs="Tahoma"/>
          <w:sz w:val="24"/>
          <w:szCs w:val="24"/>
        </w:rPr>
        <w:t xml:space="preserve">olpensiones </w:t>
      </w:r>
      <w:r w:rsidR="00654F1D" w:rsidRPr="00494C4E">
        <w:rPr>
          <w:rFonts w:ascii="Tahoma" w:hAnsi="Tahoma" w:cs="Tahoma"/>
          <w:sz w:val="24"/>
          <w:szCs w:val="24"/>
        </w:rPr>
        <w:t>a reconocer en su favor</w:t>
      </w:r>
      <w:r w:rsidR="00775AC5" w:rsidRPr="00494C4E">
        <w:rPr>
          <w:rFonts w:ascii="Tahoma" w:hAnsi="Tahoma" w:cs="Tahoma"/>
          <w:sz w:val="24"/>
          <w:szCs w:val="24"/>
        </w:rPr>
        <w:t xml:space="preserve"> </w:t>
      </w:r>
      <w:r w:rsidRPr="00494C4E">
        <w:rPr>
          <w:rFonts w:ascii="Tahoma" w:hAnsi="Tahoma" w:cs="Tahoma"/>
          <w:sz w:val="24"/>
          <w:szCs w:val="24"/>
        </w:rPr>
        <w:t xml:space="preserve">la pensión de sobrevivientes causada con ocasión al fallecimiento de su compañero permanente, el señor Marco Fidel Pimentel Bedoya, de forma retroactiva desde el 24 de octubre de 2017, junto con los intereses moratorios contemplados en el artículo 141 de la Ley 100 de 1993 y las costas procesales y agencias en derecho en su favor. </w:t>
      </w:r>
    </w:p>
    <w:p w14:paraId="4B371CAB" w14:textId="77777777" w:rsidR="00775AC5" w:rsidRPr="00494C4E" w:rsidRDefault="00775AC5" w:rsidP="00494C4E">
      <w:pPr>
        <w:spacing w:line="276" w:lineRule="auto"/>
        <w:ind w:firstLine="0"/>
        <w:rPr>
          <w:rFonts w:ascii="Tahoma" w:hAnsi="Tahoma" w:cs="Tahoma"/>
          <w:sz w:val="24"/>
          <w:szCs w:val="24"/>
        </w:rPr>
      </w:pPr>
    </w:p>
    <w:p w14:paraId="20126CAD" w14:textId="31E3A6E5" w:rsidR="004C0F88" w:rsidRPr="00494C4E" w:rsidRDefault="00775AC5" w:rsidP="00494C4E">
      <w:pPr>
        <w:spacing w:line="276" w:lineRule="auto"/>
        <w:ind w:firstLine="708"/>
        <w:rPr>
          <w:rFonts w:ascii="Tahoma" w:hAnsi="Tahoma" w:cs="Tahoma"/>
          <w:sz w:val="24"/>
          <w:szCs w:val="24"/>
        </w:rPr>
      </w:pPr>
      <w:r w:rsidRPr="00494C4E">
        <w:rPr>
          <w:rFonts w:ascii="Tahoma" w:hAnsi="Tahoma" w:cs="Tahoma"/>
          <w:sz w:val="24"/>
          <w:szCs w:val="24"/>
        </w:rPr>
        <w:t xml:space="preserve">Para el efecto </w:t>
      </w:r>
      <w:r w:rsidR="00C74747" w:rsidRPr="00494C4E">
        <w:rPr>
          <w:rFonts w:ascii="Tahoma" w:hAnsi="Tahoma" w:cs="Tahoma"/>
          <w:sz w:val="24"/>
          <w:szCs w:val="24"/>
        </w:rPr>
        <w:t xml:space="preserve">afirma </w:t>
      </w:r>
      <w:r w:rsidR="004C0F88" w:rsidRPr="00494C4E">
        <w:rPr>
          <w:rFonts w:ascii="Tahoma" w:hAnsi="Tahoma" w:cs="Tahoma"/>
          <w:sz w:val="24"/>
          <w:szCs w:val="24"/>
        </w:rPr>
        <w:t>que mediante Resolución No. 008486 de 2008 el Instituto de Seguros Sociales, reconoció el pago de la pensión de vejez al señor Marco Fidel Pimentel. Relata que con ocasión al fallecimiento del causante el 24 de octubre de 2017, elevó reclamación administrativa ante Colpensiones para el reconocimiento del derecho que hoy reclama judicialmente, empero le fue resulta de forma negativa</w:t>
      </w:r>
      <w:r w:rsidR="002A41CC" w:rsidRPr="00494C4E">
        <w:rPr>
          <w:rFonts w:ascii="Tahoma" w:hAnsi="Tahoma" w:cs="Tahoma"/>
          <w:sz w:val="24"/>
          <w:szCs w:val="24"/>
        </w:rPr>
        <w:t xml:space="preserve">, a través de la Resolución </w:t>
      </w:r>
      <w:r w:rsidR="17F7A013" w:rsidRPr="00494C4E">
        <w:rPr>
          <w:rFonts w:ascii="Tahoma" w:hAnsi="Tahoma" w:cs="Tahoma"/>
          <w:sz w:val="24"/>
          <w:szCs w:val="24"/>
        </w:rPr>
        <w:t>SUB-214066</w:t>
      </w:r>
      <w:r w:rsidR="002A41CC" w:rsidRPr="00494C4E">
        <w:rPr>
          <w:rFonts w:ascii="Tahoma" w:hAnsi="Tahoma" w:cs="Tahoma"/>
          <w:sz w:val="24"/>
          <w:szCs w:val="24"/>
        </w:rPr>
        <w:t xml:space="preserve"> del 11 de agosto de 2018.</w:t>
      </w:r>
    </w:p>
    <w:p w14:paraId="78C07CCF" w14:textId="0B81191F" w:rsidR="004C0F88" w:rsidRPr="00494C4E" w:rsidRDefault="004C0F88" w:rsidP="00494C4E">
      <w:pPr>
        <w:spacing w:line="276" w:lineRule="auto"/>
        <w:ind w:firstLine="708"/>
        <w:rPr>
          <w:rFonts w:ascii="Tahoma" w:hAnsi="Tahoma" w:cs="Tahoma"/>
          <w:sz w:val="24"/>
          <w:szCs w:val="24"/>
        </w:rPr>
      </w:pPr>
    </w:p>
    <w:p w14:paraId="2F21006A" w14:textId="7B5CCACE" w:rsidR="002A41CC" w:rsidRPr="00494C4E" w:rsidRDefault="004C0F88" w:rsidP="00494C4E">
      <w:pPr>
        <w:spacing w:line="276" w:lineRule="auto"/>
        <w:ind w:firstLine="708"/>
        <w:rPr>
          <w:rFonts w:ascii="Tahoma" w:hAnsi="Tahoma" w:cs="Tahoma"/>
          <w:sz w:val="24"/>
          <w:szCs w:val="24"/>
        </w:rPr>
      </w:pPr>
      <w:r w:rsidRPr="00494C4E">
        <w:rPr>
          <w:rFonts w:ascii="Tahoma" w:hAnsi="Tahoma" w:cs="Tahoma"/>
          <w:sz w:val="24"/>
          <w:szCs w:val="24"/>
        </w:rPr>
        <w:t xml:space="preserve">Explica que convivió con el causante </w:t>
      </w:r>
      <w:r w:rsidR="002A41CC" w:rsidRPr="00494C4E">
        <w:rPr>
          <w:rFonts w:ascii="Tahoma" w:hAnsi="Tahoma" w:cs="Tahoma"/>
          <w:sz w:val="24"/>
          <w:szCs w:val="24"/>
        </w:rPr>
        <w:t>por más de 20 años</w:t>
      </w:r>
      <w:r w:rsidR="7AB34936" w:rsidRPr="00494C4E">
        <w:rPr>
          <w:rFonts w:ascii="Tahoma" w:hAnsi="Tahoma" w:cs="Tahoma"/>
          <w:sz w:val="24"/>
          <w:szCs w:val="24"/>
        </w:rPr>
        <w:t>, afirmando que</w:t>
      </w:r>
      <w:r w:rsidR="002A41CC" w:rsidRPr="00494C4E">
        <w:rPr>
          <w:rFonts w:ascii="Tahoma" w:hAnsi="Tahoma" w:cs="Tahoma"/>
          <w:sz w:val="24"/>
          <w:szCs w:val="24"/>
        </w:rPr>
        <w:t xml:space="preserve"> como prueba de dicha convivencia</w:t>
      </w:r>
      <w:r w:rsidR="3B766946" w:rsidRPr="00494C4E">
        <w:rPr>
          <w:rFonts w:ascii="Tahoma" w:hAnsi="Tahoma" w:cs="Tahoma"/>
          <w:sz w:val="24"/>
          <w:szCs w:val="24"/>
        </w:rPr>
        <w:t xml:space="preserve"> </w:t>
      </w:r>
      <w:r w:rsidR="002A41CC" w:rsidRPr="00494C4E">
        <w:rPr>
          <w:rFonts w:ascii="Tahoma" w:hAnsi="Tahoma" w:cs="Tahoma"/>
          <w:sz w:val="24"/>
          <w:szCs w:val="24"/>
        </w:rPr>
        <w:t>procrearon dos hijos</w:t>
      </w:r>
      <w:r w:rsidR="14BE6C72" w:rsidRPr="00494C4E">
        <w:rPr>
          <w:rFonts w:ascii="Tahoma" w:hAnsi="Tahoma" w:cs="Tahoma"/>
          <w:sz w:val="24"/>
          <w:szCs w:val="24"/>
        </w:rPr>
        <w:t>,</w:t>
      </w:r>
      <w:r w:rsidR="002A41CC" w:rsidRPr="00494C4E">
        <w:rPr>
          <w:rFonts w:ascii="Tahoma" w:hAnsi="Tahoma" w:cs="Tahoma"/>
          <w:sz w:val="24"/>
          <w:szCs w:val="24"/>
        </w:rPr>
        <w:t xml:space="preserve"> Jonny Alexander Pimentel García </w:t>
      </w:r>
      <w:r w:rsidR="00A50EE0" w:rsidRPr="00494C4E">
        <w:rPr>
          <w:rFonts w:ascii="Tahoma" w:hAnsi="Tahoma" w:cs="Tahoma"/>
          <w:sz w:val="24"/>
          <w:szCs w:val="24"/>
        </w:rPr>
        <w:t xml:space="preserve">y </w:t>
      </w:r>
      <w:r w:rsidR="002A41CC" w:rsidRPr="00494C4E">
        <w:rPr>
          <w:rFonts w:ascii="Tahoma" w:hAnsi="Tahoma" w:cs="Tahoma"/>
          <w:sz w:val="24"/>
          <w:szCs w:val="24"/>
        </w:rPr>
        <w:t xml:space="preserve">Jhoan Sebastián Pimentel García; </w:t>
      </w:r>
      <w:r w:rsidR="375F70B0" w:rsidRPr="00494C4E">
        <w:rPr>
          <w:rFonts w:ascii="Tahoma" w:hAnsi="Tahoma" w:cs="Tahoma"/>
          <w:sz w:val="24"/>
          <w:szCs w:val="24"/>
        </w:rPr>
        <w:t>además</w:t>
      </w:r>
      <w:r w:rsidR="002A41CC" w:rsidRPr="00494C4E">
        <w:rPr>
          <w:rFonts w:ascii="Tahoma" w:hAnsi="Tahoma" w:cs="Tahoma"/>
          <w:sz w:val="24"/>
          <w:szCs w:val="24"/>
        </w:rPr>
        <w:t xml:space="preserve"> su compañero la tenía como beneficiaria de los servicios exequiales y en salud desde el 27 de agosto de 1999 ante el ISS, beneficio que percibió en tal calidad hasta </w:t>
      </w:r>
      <w:r w:rsidR="00A50EE0" w:rsidRPr="00494C4E">
        <w:rPr>
          <w:rFonts w:ascii="Tahoma" w:hAnsi="Tahoma" w:cs="Tahoma"/>
          <w:sz w:val="24"/>
          <w:szCs w:val="24"/>
        </w:rPr>
        <w:t xml:space="preserve">el </w:t>
      </w:r>
      <w:r w:rsidR="002A41CC" w:rsidRPr="00494C4E">
        <w:rPr>
          <w:rFonts w:ascii="Tahoma" w:hAnsi="Tahoma" w:cs="Tahoma"/>
          <w:sz w:val="24"/>
          <w:szCs w:val="24"/>
        </w:rPr>
        <w:t>fallecimiento del causante, pese a que interrumpieron la convivencia entre el 2000 y el 2006.</w:t>
      </w:r>
    </w:p>
    <w:p w14:paraId="562C7A78" w14:textId="03632C88" w:rsidR="002A41CC" w:rsidRPr="00494C4E" w:rsidRDefault="002A41CC" w:rsidP="00494C4E">
      <w:pPr>
        <w:spacing w:line="276" w:lineRule="auto"/>
        <w:ind w:firstLine="708"/>
        <w:rPr>
          <w:rFonts w:ascii="Tahoma" w:hAnsi="Tahoma" w:cs="Tahoma"/>
          <w:sz w:val="24"/>
          <w:szCs w:val="24"/>
        </w:rPr>
      </w:pPr>
    </w:p>
    <w:p w14:paraId="37C118EF" w14:textId="5C566430" w:rsidR="00F20189" w:rsidRPr="00494C4E" w:rsidRDefault="002A41CC" w:rsidP="00494C4E">
      <w:pPr>
        <w:spacing w:line="276" w:lineRule="auto"/>
        <w:ind w:firstLine="708"/>
        <w:rPr>
          <w:rFonts w:ascii="Tahoma" w:hAnsi="Tahoma" w:cs="Tahoma"/>
          <w:sz w:val="24"/>
          <w:szCs w:val="24"/>
        </w:rPr>
      </w:pPr>
      <w:r w:rsidRPr="00494C4E">
        <w:rPr>
          <w:rFonts w:ascii="Tahoma" w:hAnsi="Tahoma" w:cs="Tahoma"/>
          <w:sz w:val="24"/>
          <w:szCs w:val="24"/>
        </w:rPr>
        <w:t>Por medio de auto</w:t>
      </w:r>
      <w:r w:rsidR="00F20189" w:rsidRPr="00494C4E">
        <w:rPr>
          <w:rFonts w:ascii="Tahoma" w:hAnsi="Tahoma" w:cs="Tahoma"/>
          <w:sz w:val="24"/>
          <w:szCs w:val="24"/>
        </w:rPr>
        <w:t xml:space="preserve"> del 12 de mayo de 2021</w:t>
      </w:r>
      <w:r w:rsidR="00F20189" w:rsidRPr="00494C4E">
        <w:rPr>
          <w:rStyle w:val="Refdenotaalpie"/>
          <w:rFonts w:ascii="Tahoma" w:hAnsi="Tahoma" w:cs="Tahoma"/>
          <w:sz w:val="24"/>
          <w:szCs w:val="24"/>
        </w:rPr>
        <w:footnoteReference w:id="2"/>
      </w:r>
      <w:r w:rsidRPr="00494C4E">
        <w:rPr>
          <w:rFonts w:ascii="Tahoma" w:hAnsi="Tahoma" w:cs="Tahoma"/>
          <w:sz w:val="24"/>
          <w:szCs w:val="24"/>
        </w:rPr>
        <w:t xml:space="preserve"> se </w:t>
      </w:r>
      <w:r w:rsidR="00F20189" w:rsidRPr="00494C4E">
        <w:rPr>
          <w:rFonts w:ascii="Tahoma" w:hAnsi="Tahoma" w:cs="Tahoma"/>
          <w:sz w:val="24"/>
          <w:szCs w:val="24"/>
        </w:rPr>
        <w:t>vinculó</w:t>
      </w:r>
      <w:r w:rsidRPr="00494C4E">
        <w:rPr>
          <w:rFonts w:ascii="Tahoma" w:hAnsi="Tahoma" w:cs="Tahoma"/>
          <w:sz w:val="24"/>
          <w:szCs w:val="24"/>
        </w:rPr>
        <w:t xml:space="preserve"> al </w:t>
      </w:r>
      <w:r w:rsidR="00F20189" w:rsidRPr="00494C4E">
        <w:rPr>
          <w:rFonts w:ascii="Tahoma" w:hAnsi="Tahoma" w:cs="Tahoma"/>
          <w:sz w:val="24"/>
          <w:szCs w:val="24"/>
        </w:rPr>
        <w:t>litigio</w:t>
      </w:r>
      <w:r w:rsidRPr="00494C4E">
        <w:rPr>
          <w:rFonts w:ascii="Tahoma" w:hAnsi="Tahoma" w:cs="Tahoma"/>
          <w:sz w:val="24"/>
          <w:szCs w:val="24"/>
        </w:rPr>
        <w:t xml:space="preserve"> a </w:t>
      </w:r>
      <w:r w:rsidRPr="00494C4E">
        <w:rPr>
          <w:rFonts w:ascii="Tahoma" w:hAnsi="Tahoma" w:cs="Tahoma"/>
          <w:b/>
          <w:bCs/>
          <w:sz w:val="24"/>
          <w:szCs w:val="24"/>
        </w:rPr>
        <w:t xml:space="preserve">Johan </w:t>
      </w:r>
      <w:r w:rsidR="00F20189" w:rsidRPr="00494C4E">
        <w:rPr>
          <w:rFonts w:ascii="Tahoma" w:hAnsi="Tahoma" w:cs="Tahoma"/>
          <w:b/>
          <w:bCs/>
          <w:sz w:val="24"/>
          <w:szCs w:val="24"/>
        </w:rPr>
        <w:t>Sebastián</w:t>
      </w:r>
      <w:r w:rsidRPr="00494C4E">
        <w:rPr>
          <w:rFonts w:ascii="Tahoma" w:hAnsi="Tahoma" w:cs="Tahoma"/>
          <w:b/>
          <w:bCs/>
          <w:sz w:val="24"/>
          <w:szCs w:val="24"/>
        </w:rPr>
        <w:t xml:space="preserve"> Pimentel García</w:t>
      </w:r>
      <w:r w:rsidRPr="00494C4E">
        <w:rPr>
          <w:rFonts w:ascii="Tahoma" w:hAnsi="Tahoma" w:cs="Tahoma"/>
          <w:sz w:val="24"/>
          <w:szCs w:val="24"/>
        </w:rPr>
        <w:t xml:space="preserve">, en calidad de hijo </w:t>
      </w:r>
      <w:r w:rsidR="00F20189" w:rsidRPr="00494C4E">
        <w:rPr>
          <w:rFonts w:ascii="Tahoma" w:hAnsi="Tahoma" w:cs="Tahoma"/>
          <w:sz w:val="24"/>
          <w:szCs w:val="24"/>
        </w:rPr>
        <w:t xml:space="preserve">mayor de edad con estudios, </w:t>
      </w:r>
      <w:r w:rsidR="00131C6C" w:rsidRPr="00494C4E">
        <w:rPr>
          <w:rFonts w:ascii="Tahoma" w:hAnsi="Tahoma" w:cs="Tahoma"/>
          <w:sz w:val="24"/>
          <w:szCs w:val="24"/>
        </w:rPr>
        <w:t xml:space="preserve">como </w:t>
      </w:r>
      <w:r w:rsidR="00F20189" w:rsidRPr="00494C4E">
        <w:rPr>
          <w:rFonts w:ascii="Tahoma" w:hAnsi="Tahoma" w:cs="Tahoma"/>
          <w:sz w:val="24"/>
          <w:szCs w:val="24"/>
        </w:rPr>
        <w:t xml:space="preserve">litis consorte necesario de la parte pasiva, con la salvedad de que si deseaba perseguir el derecho en litigio debía hacerlo bajo la figura de interviniente ad- excludendum. En respuesta a la demanda, </w:t>
      </w:r>
      <w:r w:rsidR="00F20189" w:rsidRPr="00494C4E">
        <w:rPr>
          <w:rFonts w:ascii="Tahoma" w:hAnsi="Tahoma" w:cs="Tahoma"/>
          <w:bCs/>
          <w:sz w:val="24"/>
          <w:szCs w:val="24"/>
        </w:rPr>
        <w:t>Jhoan Sebastián</w:t>
      </w:r>
      <w:r w:rsidR="00F20189" w:rsidRPr="00494C4E">
        <w:rPr>
          <w:rStyle w:val="Refdenotaalpie"/>
          <w:rFonts w:ascii="Tahoma" w:hAnsi="Tahoma" w:cs="Tahoma"/>
          <w:bCs/>
          <w:sz w:val="24"/>
          <w:szCs w:val="24"/>
        </w:rPr>
        <w:footnoteReference w:id="3"/>
      </w:r>
      <w:r w:rsidR="00F20189" w:rsidRPr="00494C4E">
        <w:rPr>
          <w:rFonts w:ascii="Tahoma" w:hAnsi="Tahoma" w:cs="Tahoma"/>
          <w:bCs/>
          <w:sz w:val="24"/>
          <w:szCs w:val="24"/>
        </w:rPr>
        <w:t>,</w:t>
      </w:r>
      <w:r w:rsidR="00F20189" w:rsidRPr="00494C4E">
        <w:rPr>
          <w:rFonts w:ascii="Tahoma" w:hAnsi="Tahoma" w:cs="Tahoma"/>
          <w:b/>
          <w:sz w:val="24"/>
          <w:szCs w:val="24"/>
        </w:rPr>
        <w:t xml:space="preserve"> </w:t>
      </w:r>
      <w:r w:rsidR="00F20189" w:rsidRPr="00494C4E">
        <w:rPr>
          <w:rFonts w:ascii="Tahoma" w:hAnsi="Tahoma" w:cs="Tahoma"/>
          <w:sz w:val="24"/>
          <w:szCs w:val="24"/>
        </w:rPr>
        <w:t>aceptó los hechos que fundan el libelo</w:t>
      </w:r>
      <w:r w:rsidR="004E4D80" w:rsidRPr="00494C4E">
        <w:rPr>
          <w:rFonts w:ascii="Tahoma" w:hAnsi="Tahoma" w:cs="Tahoma"/>
          <w:sz w:val="24"/>
          <w:szCs w:val="24"/>
        </w:rPr>
        <w:t xml:space="preserve"> y </w:t>
      </w:r>
      <w:r w:rsidR="00F20189" w:rsidRPr="00494C4E">
        <w:rPr>
          <w:rFonts w:ascii="Tahoma" w:hAnsi="Tahoma" w:cs="Tahoma"/>
          <w:sz w:val="24"/>
          <w:szCs w:val="24"/>
        </w:rPr>
        <w:t>no presentó oposición respecto de las pretensiones</w:t>
      </w:r>
      <w:r w:rsidR="004E4D80" w:rsidRPr="00494C4E">
        <w:rPr>
          <w:rFonts w:ascii="Tahoma" w:hAnsi="Tahoma" w:cs="Tahoma"/>
          <w:sz w:val="24"/>
          <w:szCs w:val="24"/>
        </w:rPr>
        <w:t>.</w:t>
      </w:r>
    </w:p>
    <w:p w14:paraId="5BAE2AF5" w14:textId="43B2D431" w:rsidR="00F20189" w:rsidRPr="00494C4E" w:rsidRDefault="00F20189" w:rsidP="00494C4E">
      <w:pPr>
        <w:spacing w:line="276" w:lineRule="auto"/>
        <w:ind w:firstLine="708"/>
        <w:rPr>
          <w:rFonts w:ascii="Tahoma" w:hAnsi="Tahoma" w:cs="Tahoma"/>
          <w:sz w:val="24"/>
          <w:szCs w:val="24"/>
        </w:rPr>
      </w:pPr>
    </w:p>
    <w:p w14:paraId="40C8CCB5" w14:textId="41FD88AF" w:rsidR="00FA6ADF" w:rsidRPr="00494C4E" w:rsidRDefault="00F20189" w:rsidP="00494C4E">
      <w:pPr>
        <w:spacing w:line="276" w:lineRule="auto"/>
        <w:ind w:firstLine="708"/>
        <w:rPr>
          <w:rFonts w:ascii="Tahoma" w:hAnsi="Tahoma" w:cs="Tahoma"/>
          <w:sz w:val="24"/>
          <w:szCs w:val="24"/>
        </w:rPr>
      </w:pPr>
      <w:r w:rsidRPr="00494C4E">
        <w:rPr>
          <w:rFonts w:ascii="Tahoma" w:hAnsi="Tahoma" w:cs="Tahoma"/>
          <w:sz w:val="24"/>
          <w:szCs w:val="24"/>
        </w:rPr>
        <w:t xml:space="preserve">Por su parte, la </w:t>
      </w:r>
      <w:r w:rsidRPr="00494C4E">
        <w:rPr>
          <w:rFonts w:ascii="Tahoma" w:hAnsi="Tahoma" w:cs="Tahoma"/>
          <w:b/>
          <w:sz w:val="24"/>
          <w:szCs w:val="24"/>
        </w:rPr>
        <w:t>Administradora Colombiana de Pensiones</w:t>
      </w:r>
      <w:r w:rsidRPr="00494C4E">
        <w:rPr>
          <w:rStyle w:val="Refdenotaalpie"/>
          <w:rFonts w:ascii="Tahoma" w:hAnsi="Tahoma" w:cs="Tahoma"/>
          <w:b/>
          <w:sz w:val="24"/>
          <w:szCs w:val="24"/>
        </w:rPr>
        <w:footnoteReference w:id="4"/>
      </w:r>
      <w:r w:rsidR="0023628E" w:rsidRPr="00494C4E">
        <w:rPr>
          <w:rFonts w:ascii="Tahoma" w:hAnsi="Tahoma" w:cs="Tahoma"/>
          <w:b/>
          <w:sz w:val="24"/>
          <w:szCs w:val="24"/>
        </w:rPr>
        <w:t xml:space="preserve"> </w:t>
      </w:r>
      <w:r w:rsidRPr="00494C4E">
        <w:rPr>
          <w:rFonts w:ascii="Tahoma" w:hAnsi="Tahoma" w:cs="Tahoma"/>
          <w:sz w:val="24"/>
          <w:szCs w:val="24"/>
        </w:rPr>
        <w:t>se opuso a la prosperidad de las pretensiones declarativas y condenatorias, argumentan</w:t>
      </w:r>
      <w:r w:rsidR="00131C6C" w:rsidRPr="00494C4E">
        <w:rPr>
          <w:rFonts w:ascii="Tahoma" w:hAnsi="Tahoma" w:cs="Tahoma"/>
          <w:sz w:val="24"/>
          <w:szCs w:val="24"/>
        </w:rPr>
        <w:t>do que</w:t>
      </w:r>
      <w:r w:rsidRPr="00494C4E">
        <w:rPr>
          <w:rFonts w:ascii="Tahoma" w:hAnsi="Tahoma" w:cs="Tahoma"/>
          <w:sz w:val="24"/>
          <w:szCs w:val="24"/>
        </w:rPr>
        <w:t xml:space="preserve"> la demandante no tiene derecho al reconocimiento pensional deprecado debido a que no demostró los requisitos de convivencia y dependencia económica exigidos en la ley; asimismo, señaló que debían negarse los intereses moratorios, toda vez que los mismos únicamente son procedentes cuando se evidencia mora o retardo en el pago de las mesadas pensionales, hecho que no ocurrió, ya que la prestación no se reconoció por falta de acreditación de los requisitos. </w:t>
      </w:r>
      <w:r w:rsidR="0023628E" w:rsidRPr="00494C4E">
        <w:rPr>
          <w:rFonts w:ascii="Tahoma" w:hAnsi="Tahoma" w:cs="Tahoma"/>
          <w:sz w:val="24"/>
          <w:szCs w:val="24"/>
        </w:rPr>
        <w:t xml:space="preserve">Como medios defensivos de mérito propuso los que denominó: </w:t>
      </w:r>
      <w:r w:rsidR="0023628E" w:rsidRPr="00494C4E">
        <w:rPr>
          <w:rFonts w:ascii="Tahoma" w:hAnsi="Tahoma" w:cs="Tahoma"/>
          <w:i/>
          <w:sz w:val="24"/>
          <w:szCs w:val="24"/>
        </w:rPr>
        <w:t>“inexistencia de la obligación”, “prescripción”, “imposibilidad jurídica para reconocer y pagar derechos por fuera del ordenamiento legal”, “buena fe”, “</w:t>
      </w:r>
      <w:r w:rsidR="009D036C" w:rsidRPr="00494C4E">
        <w:rPr>
          <w:rFonts w:ascii="Tahoma" w:hAnsi="Tahoma" w:cs="Tahoma"/>
          <w:i/>
          <w:sz w:val="24"/>
          <w:szCs w:val="24"/>
        </w:rPr>
        <w:t>imposibilidad</w:t>
      </w:r>
      <w:r w:rsidR="0023628E" w:rsidRPr="00494C4E">
        <w:rPr>
          <w:rFonts w:ascii="Tahoma" w:hAnsi="Tahoma" w:cs="Tahoma"/>
          <w:i/>
          <w:sz w:val="24"/>
          <w:szCs w:val="24"/>
        </w:rPr>
        <w:t xml:space="preserve"> de condena en costas”, y “declaratoria de otras excepciones”</w:t>
      </w:r>
    </w:p>
    <w:p w14:paraId="63DFA1DB" w14:textId="77777777" w:rsidR="009D036C" w:rsidRPr="00494C4E" w:rsidRDefault="009D036C" w:rsidP="00494C4E">
      <w:pPr>
        <w:spacing w:line="276" w:lineRule="auto"/>
        <w:ind w:firstLine="0"/>
        <w:rPr>
          <w:rFonts w:ascii="Tahoma" w:hAnsi="Tahoma" w:cs="Tahoma"/>
          <w:sz w:val="24"/>
          <w:szCs w:val="24"/>
        </w:rPr>
      </w:pPr>
    </w:p>
    <w:p w14:paraId="6E92720B" w14:textId="3A011E2E" w:rsidR="00A31306" w:rsidRPr="00494C4E" w:rsidRDefault="00A31306" w:rsidP="00494C4E">
      <w:pPr>
        <w:pStyle w:val="Prrafodelista"/>
        <w:numPr>
          <w:ilvl w:val="0"/>
          <w:numId w:val="13"/>
        </w:numPr>
        <w:spacing w:line="276" w:lineRule="auto"/>
        <w:jc w:val="center"/>
        <w:rPr>
          <w:rFonts w:ascii="Tahoma" w:hAnsi="Tahoma" w:cs="Tahoma"/>
          <w:b/>
          <w:lang w:val="es-CO"/>
        </w:rPr>
      </w:pPr>
      <w:r w:rsidRPr="00494C4E">
        <w:rPr>
          <w:rFonts w:ascii="Tahoma" w:hAnsi="Tahoma" w:cs="Tahoma"/>
          <w:b/>
          <w:lang w:val="es-CO"/>
        </w:rPr>
        <w:t>Sentencia de primera instancia</w:t>
      </w:r>
    </w:p>
    <w:p w14:paraId="032E0903" w14:textId="77777777" w:rsidR="005F4AA0" w:rsidRPr="00494C4E" w:rsidRDefault="005F4AA0" w:rsidP="00494C4E">
      <w:pPr>
        <w:spacing w:line="276" w:lineRule="auto"/>
        <w:ind w:firstLine="708"/>
        <w:rPr>
          <w:rFonts w:ascii="Tahoma" w:hAnsi="Tahoma" w:cs="Tahoma"/>
          <w:sz w:val="24"/>
          <w:szCs w:val="24"/>
          <w:lang w:val="es-CO"/>
        </w:rPr>
      </w:pPr>
    </w:p>
    <w:p w14:paraId="14B42FCB" w14:textId="5A02AA65" w:rsidR="00742F18" w:rsidRPr="00494C4E" w:rsidRDefault="00BF00A0" w:rsidP="00494C4E">
      <w:pPr>
        <w:spacing w:line="276" w:lineRule="auto"/>
        <w:ind w:firstLine="708"/>
        <w:rPr>
          <w:rFonts w:ascii="Tahoma" w:hAnsi="Tahoma" w:cs="Tahoma"/>
          <w:sz w:val="24"/>
          <w:szCs w:val="24"/>
          <w:lang w:val="es-CO"/>
        </w:rPr>
      </w:pPr>
      <w:r w:rsidRPr="00494C4E">
        <w:rPr>
          <w:rFonts w:ascii="Tahoma" w:hAnsi="Tahoma" w:cs="Tahoma"/>
          <w:sz w:val="24"/>
          <w:szCs w:val="24"/>
          <w:lang w:val="es-CO"/>
        </w:rPr>
        <w:t xml:space="preserve">La jueza de primer grado </w:t>
      </w:r>
      <w:r w:rsidR="000B158E" w:rsidRPr="00494C4E">
        <w:rPr>
          <w:rFonts w:ascii="Tahoma" w:hAnsi="Tahoma" w:cs="Tahoma"/>
          <w:sz w:val="24"/>
          <w:szCs w:val="24"/>
          <w:lang w:val="es-CO"/>
        </w:rPr>
        <w:t>declaró no probada la tacha de sospecha formulada en contra del testigo Javier Ramiro García</w:t>
      </w:r>
      <w:r w:rsidR="00C50EC1" w:rsidRPr="00494C4E">
        <w:rPr>
          <w:rFonts w:ascii="Tahoma" w:hAnsi="Tahoma" w:cs="Tahoma"/>
          <w:sz w:val="24"/>
          <w:szCs w:val="24"/>
          <w:lang w:val="es-CO"/>
        </w:rPr>
        <w:t>; c</w:t>
      </w:r>
      <w:r w:rsidR="000B158E" w:rsidRPr="00494C4E">
        <w:rPr>
          <w:rFonts w:ascii="Tahoma" w:hAnsi="Tahoma" w:cs="Tahoma"/>
          <w:sz w:val="24"/>
          <w:szCs w:val="24"/>
          <w:lang w:val="es-CO"/>
        </w:rPr>
        <w:t>ondenó a la Administradora Colombiana de Pensiones- Colpensiones, a reconocer y pagar a favor de María Adriana García Ortiz en calidad de compañera permanente, la sustitución pensional causada con el deceso de Marco Fidel Pimentel Bedoya a partir del 25 de octubre de 2017, en cuantía equivalente al salario mínimo legal mensual vigente y por 14 mesadas anuales</w:t>
      </w:r>
      <w:r w:rsidR="00C50EC1" w:rsidRPr="00494C4E">
        <w:rPr>
          <w:rFonts w:ascii="Tahoma" w:hAnsi="Tahoma" w:cs="Tahoma"/>
          <w:sz w:val="24"/>
          <w:szCs w:val="24"/>
          <w:lang w:val="es-CO"/>
        </w:rPr>
        <w:t xml:space="preserve">, y </w:t>
      </w:r>
      <w:r w:rsidR="000B158E" w:rsidRPr="00494C4E">
        <w:rPr>
          <w:rFonts w:ascii="Tahoma" w:hAnsi="Tahoma" w:cs="Tahoma"/>
          <w:sz w:val="24"/>
          <w:szCs w:val="24"/>
          <w:lang w:val="es-CO"/>
        </w:rPr>
        <w:t>le impuso el pago de $65.060.312 por concepto de retroactivo pensional causado entre el 25 de octubre de 2017 y el 31 de enero de 2023, del cual autorizó a la demanda a realizar los descuentos con destino al sistema de salud</w:t>
      </w:r>
      <w:r w:rsidR="00554A29" w:rsidRPr="00494C4E">
        <w:rPr>
          <w:rFonts w:ascii="Tahoma" w:hAnsi="Tahoma" w:cs="Tahoma"/>
          <w:sz w:val="24"/>
          <w:szCs w:val="24"/>
          <w:lang w:val="es-CO"/>
        </w:rPr>
        <w:t xml:space="preserve">; asimismo, </w:t>
      </w:r>
      <w:r w:rsidR="00C50EC1" w:rsidRPr="00494C4E">
        <w:rPr>
          <w:rFonts w:ascii="Tahoma" w:hAnsi="Tahoma" w:cs="Tahoma"/>
          <w:sz w:val="24"/>
          <w:szCs w:val="24"/>
          <w:lang w:val="es-CO"/>
        </w:rPr>
        <w:t xml:space="preserve">condenó al pago de </w:t>
      </w:r>
      <w:r w:rsidR="00554A29" w:rsidRPr="00494C4E">
        <w:rPr>
          <w:rFonts w:ascii="Tahoma" w:hAnsi="Tahoma" w:cs="Tahoma"/>
          <w:sz w:val="24"/>
          <w:szCs w:val="24"/>
          <w:lang w:val="es-CO"/>
        </w:rPr>
        <w:t xml:space="preserve">los intereses moratorios del artículo 141 de la Ley 100 de 1993 a partir de la ejecutoria de la sentencia y </w:t>
      </w:r>
      <w:r w:rsidR="00C50EC1" w:rsidRPr="00494C4E">
        <w:rPr>
          <w:rFonts w:ascii="Tahoma" w:hAnsi="Tahoma" w:cs="Tahoma"/>
          <w:sz w:val="24"/>
          <w:szCs w:val="24"/>
          <w:lang w:val="es-CO"/>
        </w:rPr>
        <w:t xml:space="preserve">a </w:t>
      </w:r>
      <w:r w:rsidR="00554A29" w:rsidRPr="00494C4E">
        <w:rPr>
          <w:rFonts w:ascii="Tahoma" w:hAnsi="Tahoma" w:cs="Tahoma"/>
          <w:sz w:val="24"/>
          <w:szCs w:val="24"/>
          <w:lang w:val="es-CO"/>
        </w:rPr>
        <w:t xml:space="preserve">la indexación de las mesadas pensionales adeudadas desde la causación de cada una hasta el día anterior de la firmeza de la providencia, previo descuento con destino al sistema de salud. </w:t>
      </w:r>
      <w:r w:rsidR="001917CB" w:rsidRPr="00494C4E">
        <w:rPr>
          <w:rFonts w:ascii="Tahoma" w:hAnsi="Tahoma" w:cs="Tahoma"/>
          <w:sz w:val="24"/>
          <w:szCs w:val="24"/>
          <w:lang w:val="es-CO"/>
        </w:rPr>
        <w:t>F</w:t>
      </w:r>
      <w:r w:rsidR="000B158E" w:rsidRPr="00494C4E">
        <w:rPr>
          <w:rFonts w:ascii="Tahoma" w:hAnsi="Tahoma" w:cs="Tahoma"/>
          <w:sz w:val="24"/>
          <w:szCs w:val="24"/>
          <w:lang w:val="es-CO"/>
        </w:rPr>
        <w:t xml:space="preserve">inalmente condenó en costas a la entidad demanda, en favor de la promotora del litigio. </w:t>
      </w:r>
    </w:p>
    <w:p w14:paraId="450A7800" w14:textId="77777777" w:rsidR="000B158E" w:rsidRPr="00494C4E" w:rsidRDefault="000B158E" w:rsidP="00494C4E">
      <w:pPr>
        <w:spacing w:line="276" w:lineRule="auto"/>
        <w:ind w:firstLine="708"/>
        <w:rPr>
          <w:rFonts w:ascii="Tahoma" w:hAnsi="Tahoma" w:cs="Tahoma"/>
          <w:sz w:val="24"/>
          <w:szCs w:val="24"/>
          <w:lang w:val="es-CO"/>
        </w:rPr>
      </w:pPr>
    </w:p>
    <w:p w14:paraId="091955FD" w14:textId="70589EC3" w:rsidR="00652789" w:rsidRPr="00494C4E" w:rsidRDefault="008C5492" w:rsidP="00494C4E">
      <w:pPr>
        <w:spacing w:line="276" w:lineRule="auto"/>
        <w:ind w:firstLine="708"/>
        <w:rPr>
          <w:rFonts w:ascii="Tahoma" w:hAnsi="Tahoma" w:cs="Tahoma"/>
          <w:sz w:val="24"/>
          <w:szCs w:val="24"/>
          <w:lang w:val="es-CO"/>
        </w:rPr>
      </w:pPr>
      <w:r w:rsidRPr="00494C4E">
        <w:rPr>
          <w:rFonts w:ascii="Tahoma" w:hAnsi="Tahoma" w:cs="Tahoma"/>
          <w:sz w:val="24"/>
          <w:szCs w:val="24"/>
          <w:lang w:val="es-CO"/>
        </w:rPr>
        <w:t>Para arribar a t</w:t>
      </w:r>
      <w:r w:rsidR="001D6A25" w:rsidRPr="00494C4E">
        <w:rPr>
          <w:rFonts w:ascii="Tahoma" w:hAnsi="Tahoma" w:cs="Tahoma"/>
          <w:sz w:val="24"/>
          <w:szCs w:val="24"/>
          <w:lang w:val="es-CO"/>
        </w:rPr>
        <w:t>al determinación</w:t>
      </w:r>
      <w:r w:rsidRPr="00494C4E">
        <w:rPr>
          <w:rFonts w:ascii="Tahoma" w:hAnsi="Tahoma" w:cs="Tahoma"/>
          <w:sz w:val="24"/>
          <w:szCs w:val="24"/>
          <w:lang w:val="es-CO"/>
        </w:rPr>
        <w:t>,</w:t>
      </w:r>
      <w:r w:rsidR="004D2F91" w:rsidRPr="00494C4E">
        <w:rPr>
          <w:rFonts w:ascii="Tahoma" w:hAnsi="Tahoma" w:cs="Tahoma"/>
          <w:sz w:val="24"/>
          <w:szCs w:val="24"/>
          <w:lang w:val="es-CO"/>
        </w:rPr>
        <w:t xml:space="preserve"> </w:t>
      </w:r>
      <w:r w:rsidRPr="00494C4E">
        <w:rPr>
          <w:rFonts w:ascii="Tahoma" w:hAnsi="Tahoma" w:cs="Tahoma"/>
          <w:sz w:val="24"/>
          <w:szCs w:val="24"/>
          <w:lang w:val="es-CO"/>
        </w:rPr>
        <w:t xml:space="preserve">con apoyo en la jurisprudencia patria respecto a la convivencia efectiva entre compañeros permanentes </w:t>
      </w:r>
      <w:r w:rsidR="00831AE4" w:rsidRPr="00494C4E">
        <w:rPr>
          <w:rFonts w:ascii="Tahoma" w:hAnsi="Tahoma" w:cs="Tahoma"/>
          <w:sz w:val="24"/>
          <w:szCs w:val="24"/>
          <w:lang w:val="es-CO"/>
        </w:rPr>
        <w:t>durante</w:t>
      </w:r>
      <w:r w:rsidR="00512F58" w:rsidRPr="00494C4E">
        <w:rPr>
          <w:rFonts w:ascii="Tahoma" w:hAnsi="Tahoma" w:cs="Tahoma"/>
          <w:sz w:val="24"/>
          <w:szCs w:val="24"/>
          <w:lang w:val="es-CO"/>
        </w:rPr>
        <w:t xml:space="preserve"> </w:t>
      </w:r>
      <w:r w:rsidRPr="00494C4E">
        <w:rPr>
          <w:rFonts w:ascii="Tahoma" w:hAnsi="Tahoma" w:cs="Tahoma"/>
          <w:sz w:val="24"/>
          <w:szCs w:val="24"/>
          <w:lang w:val="es-CO"/>
        </w:rPr>
        <w:t>los últimos 05 años de vida de</w:t>
      </w:r>
      <w:r w:rsidR="00831AE4" w:rsidRPr="00494C4E">
        <w:rPr>
          <w:rFonts w:ascii="Tahoma" w:hAnsi="Tahoma" w:cs="Tahoma"/>
          <w:sz w:val="24"/>
          <w:szCs w:val="24"/>
          <w:lang w:val="es-CO"/>
        </w:rPr>
        <w:t xml:space="preserve"> </w:t>
      </w:r>
      <w:r w:rsidRPr="00494C4E">
        <w:rPr>
          <w:rFonts w:ascii="Tahoma" w:hAnsi="Tahoma" w:cs="Tahoma"/>
          <w:sz w:val="24"/>
          <w:szCs w:val="24"/>
          <w:lang w:val="es-CO"/>
        </w:rPr>
        <w:t>l</w:t>
      </w:r>
      <w:r w:rsidR="00831AE4" w:rsidRPr="00494C4E">
        <w:rPr>
          <w:rFonts w:ascii="Tahoma" w:hAnsi="Tahoma" w:cs="Tahoma"/>
          <w:sz w:val="24"/>
          <w:szCs w:val="24"/>
          <w:lang w:val="es-CO"/>
        </w:rPr>
        <w:t>a</w:t>
      </w:r>
      <w:r w:rsidRPr="00494C4E">
        <w:rPr>
          <w:rFonts w:ascii="Tahoma" w:hAnsi="Tahoma" w:cs="Tahoma"/>
          <w:sz w:val="24"/>
          <w:szCs w:val="24"/>
          <w:lang w:val="es-CO"/>
        </w:rPr>
        <w:t xml:space="preserve"> causante</w:t>
      </w:r>
      <w:r w:rsidR="00512F58" w:rsidRPr="00494C4E">
        <w:rPr>
          <w:rFonts w:ascii="Tahoma" w:hAnsi="Tahoma" w:cs="Tahoma"/>
          <w:sz w:val="24"/>
          <w:szCs w:val="24"/>
          <w:lang w:val="es-CO"/>
        </w:rPr>
        <w:t>,</w:t>
      </w:r>
      <w:r w:rsidR="000B158E" w:rsidRPr="00494C4E">
        <w:rPr>
          <w:rFonts w:ascii="Tahoma" w:hAnsi="Tahoma" w:cs="Tahoma"/>
          <w:sz w:val="24"/>
          <w:szCs w:val="24"/>
          <w:lang w:val="es-CO"/>
        </w:rPr>
        <w:t xml:space="preserve"> y haciendo un relato</w:t>
      </w:r>
      <w:r w:rsidR="00667C02" w:rsidRPr="00494C4E">
        <w:rPr>
          <w:rFonts w:ascii="Tahoma" w:hAnsi="Tahoma" w:cs="Tahoma"/>
          <w:sz w:val="24"/>
          <w:szCs w:val="24"/>
          <w:lang w:val="es-CO"/>
        </w:rPr>
        <w:t xml:space="preserve"> </w:t>
      </w:r>
      <w:r w:rsidR="000B158E" w:rsidRPr="00494C4E">
        <w:rPr>
          <w:rFonts w:ascii="Tahoma" w:hAnsi="Tahoma" w:cs="Tahoma"/>
          <w:sz w:val="24"/>
          <w:szCs w:val="24"/>
          <w:lang w:val="es-CO"/>
        </w:rPr>
        <w:t>previo</w:t>
      </w:r>
      <w:r w:rsidR="00667C02" w:rsidRPr="00494C4E">
        <w:rPr>
          <w:rFonts w:ascii="Tahoma" w:hAnsi="Tahoma" w:cs="Tahoma"/>
          <w:sz w:val="24"/>
          <w:szCs w:val="24"/>
          <w:lang w:val="es-CO"/>
        </w:rPr>
        <w:t xml:space="preserve"> </w:t>
      </w:r>
      <w:r w:rsidR="000B158E" w:rsidRPr="00494C4E">
        <w:rPr>
          <w:rFonts w:ascii="Tahoma" w:hAnsi="Tahoma" w:cs="Tahoma"/>
          <w:sz w:val="24"/>
          <w:szCs w:val="24"/>
          <w:lang w:val="es-CO"/>
        </w:rPr>
        <w:t>del contenido de</w:t>
      </w:r>
      <w:r w:rsidR="00667C02" w:rsidRPr="00494C4E">
        <w:rPr>
          <w:rFonts w:ascii="Tahoma" w:hAnsi="Tahoma" w:cs="Tahoma"/>
          <w:sz w:val="24"/>
          <w:szCs w:val="24"/>
          <w:lang w:val="es-CO"/>
        </w:rPr>
        <w:t xml:space="preserve"> la investigación administrativa y de las declaraciones rendidas en el trámite judicial concluyó que</w:t>
      </w:r>
      <w:r w:rsidR="004E7C3E" w:rsidRPr="00494C4E">
        <w:rPr>
          <w:rFonts w:ascii="Tahoma" w:hAnsi="Tahoma" w:cs="Tahoma"/>
          <w:sz w:val="24"/>
          <w:szCs w:val="24"/>
          <w:lang w:val="es-CO"/>
        </w:rPr>
        <w:t xml:space="preserve"> la demandante convivió con el de </w:t>
      </w:r>
      <w:r w:rsidR="00667C02" w:rsidRPr="00494C4E">
        <w:rPr>
          <w:rFonts w:ascii="Tahoma" w:hAnsi="Tahoma" w:cs="Tahoma"/>
          <w:sz w:val="24"/>
          <w:szCs w:val="24"/>
          <w:lang w:val="es-CO"/>
        </w:rPr>
        <w:t>cujus durante los 5 años anteriores al fallecimiento</w:t>
      </w:r>
      <w:r w:rsidR="004E7C3E" w:rsidRPr="00494C4E">
        <w:rPr>
          <w:rFonts w:ascii="Tahoma" w:hAnsi="Tahoma" w:cs="Tahoma"/>
          <w:sz w:val="24"/>
          <w:szCs w:val="24"/>
          <w:lang w:val="es-CO"/>
        </w:rPr>
        <w:t xml:space="preserve"> de este</w:t>
      </w:r>
      <w:r w:rsidR="00652789" w:rsidRPr="00494C4E">
        <w:rPr>
          <w:rFonts w:ascii="Tahoma" w:hAnsi="Tahoma" w:cs="Tahoma"/>
          <w:sz w:val="24"/>
          <w:szCs w:val="24"/>
          <w:lang w:val="es-CO"/>
        </w:rPr>
        <w:t>, con arreglo en las declaraciones de los testigos de la gestora del litigio, al margen de la separación que confesó la gestora del litigio.</w:t>
      </w:r>
    </w:p>
    <w:p w14:paraId="427A38C2" w14:textId="77777777" w:rsidR="00652789" w:rsidRPr="00494C4E" w:rsidRDefault="00652789" w:rsidP="00494C4E">
      <w:pPr>
        <w:spacing w:line="276" w:lineRule="auto"/>
        <w:ind w:firstLine="708"/>
        <w:rPr>
          <w:rFonts w:ascii="Tahoma" w:hAnsi="Tahoma" w:cs="Tahoma"/>
          <w:sz w:val="24"/>
          <w:szCs w:val="24"/>
          <w:lang w:val="es-CO"/>
        </w:rPr>
      </w:pPr>
    </w:p>
    <w:p w14:paraId="4890CEBD" w14:textId="1C13731C" w:rsidR="00961F0A" w:rsidRPr="00494C4E" w:rsidRDefault="00652789" w:rsidP="00494C4E">
      <w:pPr>
        <w:spacing w:line="276" w:lineRule="auto"/>
        <w:ind w:firstLine="708"/>
        <w:rPr>
          <w:rFonts w:ascii="Tahoma" w:hAnsi="Tahoma" w:cs="Tahoma"/>
          <w:sz w:val="24"/>
          <w:szCs w:val="24"/>
          <w:lang w:val="es-CO"/>
        </w:rPr>
      </w:pPr>
      <w:r w:rsidRPr="00494C4E">
        <w:rPr>
          <w:rFonts w:ascii="Tahoma" w:hAnsi="Tahoma" w:cs="Tahoma"/>
          <w:sz w:val="24"/>
          <w:szCs w:val="24"/>
          <w:lang w:val="es-CO"/>
        </w:rPr>
        <w:t>Precisó que el testigo Javier Ramiro García indicó que la relación inició entre los años</w:t>
      </w:r>
      <w:r w:rsidR="00961F0A" w:rsidRPr="00494C4E">
        <w:rPr>
          <w:rFonts w:ascii="Tahoma" w:hAnsi="Tahoma" w:cs="Tahoma"/>
          <w:sz w:val="24"/>
          <w:szCs w:val="24"/>
          <w:lang w:val="es-CO"/>
        </w:rPr>
        <w:t xml:space="preserve"> 1993 y 1994</w:t>
      </w:r>
      <w:r w:rsidRPr="00494C4E">
        <w:rPr>
          <w:rFonts w:ascii="Tahoma" w:hAnsi="Tahoma" w:cs="Tahoma"/>
          <w:sz w:val="24"/>
          <w:szCs w:val="24"/>
          <w:lang w:val="es-CO"/>
        </w:rPr>
        <w:t xml:space="preserve">, y que dicho relato se acompasaba con el rendido por </w:t>
      </w:r>
      <w:r w:rsidR="00667C02" w:rsidRPr="00494C4E">
        <w:rPr>
          <w:rFonts w:ascii="Tahoma" w:hAnsi="Tahoma" w:cs="Tahoma"/>
          <w:sz w:val="24"/>
          <w:szCs w:val="24"/>
          <w:lang w:val="es-CO"/>
        </w:rPr>
        <w:t xml:space="preserve">Jesús Humberto Restrepo y María Elena Moreno, quienes en el </w:t>
      </w:r>
      <w:r w:rsidR="12543043" w:rsidRPr="00494C4E">
        <w:rPr>
          <w:rFonts w:ascii="Tahoma" w:hAnsi="Tahoma" w:cs="Tahoma"/>
          <w:sz w:val="24"/>
          <w:szCs w:val="24"/>
          <w:lang w:val="es-CO"/>
        </w:rPr>
        <w:t>trámite</w:t>
      </w:r>
      <w:r w:rsidR="00667C02" w:rsidRPr="00494C4E">
        <w:rPr>
          <w:rFonts w:ascii="Tahoma" w:hAnsi="Tahoma" w:cs="Tahoma"/>
          <w:sz w:val="24"/>
          <w:szCs w:val="24"/>
          <w:lang w:val="es-CO"/>
        </w:rPr>
        <w:t xml:space="preserve"> administrativo precisaron que la pareja era conocida como esposos hace 11 o 15 años</w:t>
      </w:r>
      <w:r w:rsidR="004E7C3E" w:rsidRPr="00494C4E">
        <w:rPr>
          <w:rFonts w:ascii="Tahoma" w:hAnsi="Tahoma" w:cs="Tahoma"/>
          <w:sz w:val="24"/>
          <w:szCs w:val="24"/>
          <w:lang w:val="es-CO"/>
        </w:rPr>
        <w:t>.</w:t>
      </w:r>
      <w:r w:rsidR="00961F0A" w:rsidRPr="00494C4E">
        <w:rPr>
          <w:rFonts w:ascii="Tahoma" w:hAnsi="Tahoma" w:cs="Tahoma"/>
          <w:sz w:val="24"/>
          <w:szCs w:val="24"/>
          <w:lang w:val="es-CO"/>
        </w:rPr>
        <w:t xml:space="preserve"> </w:t>
      </w:r>
    </w:p>
    <w:p w14:paraId="4AD87A6C" w14:textId="6DDD61D1" w:rsidR="00961F0A" w:rsidRPr="00494C4E" w:rsidRDefault="00961F0A" w:rsidP="00494C4E">
      <w:pPr>
        <w:spacing w:line="276" w:lineRule="auto"/>
        <w:ind w:firstLine="708"/>
        <w:rPr>
          <w:rFonts w:ascii="Tahoma" w:hAnsi="Tahoma" w:cs="Tahoma"/>
          <w:sz w:val="24"/>
          <w:szCs w:val="24"/>
          <w:lang w:val="es-CO"/>
        </w:rPr>
      </w:pPr>
    </w:p>
    <w:p w14:paraId="60FE6DEF" w14:textId="0B541BFD" w:rsidR="00961F0A" w:rsidRPr="00494C4E" w:rsidRDefault="00961F0A" w:rsidP="00494C4E">
      <w:pPr>
        <w:spacing w:line="276" w:lineRule="auto"/>
        <w:ind w:firstLine="708"/>
        <w:rPr>
          <w:rFonts w:ascii="Tahoma" w:hAnsi="Tahoma" w:cs="Tahoma"/>
          <w:sz w:val="24"/>
          <w:szCs w:val="24"/>
          <w:lang w:val="es-CO"/>
        </w:rPr>
      </w:pPr>
      <w:r w:rsidRPr="00494C4E">
        <w:rPr>
          <w:rFonts w:ascii="Tahoma" w:hAnsi="Tahoma" w:cs="Tahoma"/>
          <w:sz w:val="24"/>
          <w:szCs w:val="24"/>
          <w:lang w:val="es-CO"/>
        </w:rPr>
        <w:lastRenderedPageBreak/>
        <w:t xml:space="preserve">Agregó que con posterioridad a la interrupción de la convivencia que tuvo lugar entre el 2000 y el 2006, los compañeros rehicieron vida en común, debido a que el causante sufrió un accidente y la demandante le prodigó los cuidados necesarios para la recuperación, lazos que se prolongaron hasta la muerte del causante. </w:t>
      </w:r>
    </w:p>
    <w:p w14:paraId="4DD15DCF" w14:textId="7408B05A" w:rsidR="00961F0A" w:rsidRPr="00494C4E" w:rsidRDefault="00961F0A" w:rsidP="00494C4E">
      <w:pPr>
        <w:spacing w:line="276" w:lineRule="auto"/>
        <w:ind w:firstLine="708"/>
        <w:rPr>
          <w:rFonts w:ascii="Tahoma" w:hAnsi="Tahoma" w:cs="Tahoma"/>
          <w:sz w:val="24"/>
          <w:szCs w:val="24"/>
          <w:lang w:val="es-CO"/>
        </w:rPr>
      </w:pPr>
    </w:p>
    <w:p w14:paraId="4BB80F7D" w14:textId="3AA6F20B" w:rsidR="00F64362" w:rsidRPr="00494C4E" w:rsidRDefault="00961F0A" w:rsidP="00494C4E">
      <w:pPr>
        <w:spacing w:line="276" w:lineRule="auto"/>
        <w:ind w:firstLine="708"/>
        <w:rPr>
          <w:rFonts w:ascii="Tahoma" w:hAnsi="Tahoma" w:cs="Tahoma"/>
          <w:sz w:val="24"/>
          <w:szCs w:val="24"/>
          <w:lang w:val="es-CO"/>
        </w:rPr>
      </w:pPr>
      <w:r w:rsidRPr="00494C4E">
        <w:rPr>
          <w:rFonts w:ascii="Tahoma" w:hAnsi="Tahoma" w:cs="Tahoma"/>
          <w:sz w:val="24"/>
          <w:szCs w:val="24"/>
          <w:lang w:val="es-CO"/>
        </w:rPr>
        <w:t xml:space="preserve">Señaló que la habitación en domicilios distintos meses antes del fallecimiento del causante, </w:t>
      </w:r>
      <w:r w:rsidR="00F64362" w:rsidRPr="00494C4E">
        <w:rPr>
          <w:rFonts w:ascii="Tahoma" w:hAnsi="Tahoma" w:cs="Tahoma"/>
          <w:sz w:val="24"/>
          <w:szCs w:val="24"/>
          <w:lang w:val="es-CO"/>
        </w:rPr>
        <w:t>obedeció a un acuerdo familiar por razones de salud de la reclamante,</w:t>
      </w:r>
      <w:r w:rsidRPr="00494C4E">
        <w:rPr>
          <w:rFonts w:ascii="Tahoma" w:hAnsi="Tahoma" w:cs="Tahoma"/>
          <w:sz w:val="24"/>
          <w:szCs w:val="24"/>
          <w:lang w:val="es-CO"/>
        </w:rPr>
        <w:t xml:space="preserve"> razón por la cual no </w:t>
      </w:r>
      <w:r w:rsidR="00F64362" w:rsidRPr="00494C4E">
        <w:rPr>
          <w:rFonts w:ascii="Tahoma" w:hAnsi="Tahoma" w:cs="Tahoma"/>
          <w:sz w:val="24"/>
          <w:szCs w:val="24"/>
          <w:lang w:val="es-CO"/>
        </w:rPr>
        <w:t>resquebraj</w:t>
      </w:r>
      <w:r w:rsidRPr="00494C4E">
        <w:rPr>
          <w:rFonts w:ascii="Tahoma" w:hAnsi="Tahoma" w:cs="Tahoma"/>
          <w:sz w:val="24"/>
          <w:szCs w:val="24"/>
          <w:lang w:val="es-CO"/>
        </w:rPr>
        <w:t>ó</w:t>
      </w:r>
      <w:r w:rsidR="00F64362" w:rsidRPr="00494C4E">
        <w:rPr>
          <w:rFonts w:ascii="Tahoma" w:hAnsi="Tahoma" w:cs="Tahoma"/>
          <w:sz w:val="24"/>
          <w:szCs w:val="24"/>
          <w:lang w:val="es-CO"/>
        </w:rPr>
        <w:t xml:space="preserve"> los lazos afectivos y solidarios, puesto que constantemente se visitaban, se apoyaban sentimental y económicamente,</w:t>
      </w:r>
      <w:r w:rsidRPr="00494C4E">
        <w:rPr>
          <w:rFonts w:ascii="Tahoma" w:hAnsi="Tahoma" w:cs="Tahoma"/>
          <w:sz w:val="24"/>
          <w:szCs w:val="24"/>
          <w:lang w:val="es-CO"/>
        </w:rPr>
        <w:t xml:space="preserve"> pues</w:t>
      </w:r>
      <w:r w:rsidR="00F64362" w:rsidRPr="00494C4E">
        <w:rPr>
          <w:rFonts w:ascii="Tahoma" w:hAnsi="Tahoma" w:cs="Tahoma"/>
          <w:sz w:val="24"/>
          <w:szCs w:val="24"/>
          <w:lang w:val="es-CO"/>
        </w:rPr>
        <w:t xml:space="preserve"> la gestora del litigio no laboraba y estuvo como beneficiaria en salud hasta la muerte del causante</w:t>
      </w:r>
      <w:r w:rsidRPr="00494C4E">
        <w:rPr>
          <w:rFonts w:ascii="Tahoma" w:hAnsi="Tahoma" w:cs="Tahoma"/>
          <w:sz w:val="24"/>
          <w:szCs w:val="24"/>
          <w:lang w:val="es-CO"/>
        </w:rPr>
        <w:t>.</w:t>
      </w:r>
      <w:r w:rsidR="00F64362" w:rsidRPr="00494C4E">
        <w:rPr>
          <w:rFonts w:ascii="Tahoma" w:hAnsi="Tahoma" w:cs="Tahoma"/>
          <w:sz w:val="24"/>
          <w:szCs w:val="24"/>
          <w:lang w:val="es-CO"/>
        </w:rPr>
        <w:t xml:space="preserve"> </w:t>
      </w:r>
    </w:p>
    <w:p w14:paraId="1409EF06" w14:textId="5C2384A2" w:rsidR="00F64362" w:rsidRPr="00494C4E" w:rsidRDefault="00F64362" w:rsidP="00494C4E">
      <w:pPr>
        <w:spacing w:line="276" w:lineRule="auto"/>
        <w:ind w:firstLine="708"/>
        <w:rPr>
          <w:rFonts w:ascii="Tahoma" w:hAnsi="Tahoma" w:cs="Tahoma"/>
          <w:sz w:val="24"/>
          <w:szCs w:val="24"/>
          <w:lang w:val="es-CO"/>
        </w:rPr>
      </w:pPr>
    </w:p>
    <w:p w14:paraId="63A9068A" w14:textId="77777777" w:rsidR="00F64362" w:rsidRPr="00494C4E" w:rsidRDefault="00F64362" w:rsidP="00494C4E">
      <w:pPr>
        <w:spacing w:line="276" w:lineRule="auto"/>
        <w:ind w:firstLine="708"/>
        <w:rPr>
          <w:rFonts w:ascii="Tahoma" w:hAnsi="Tahoma" w:cs="Tahoma"/>
          <w:sz w:val="24"/>
          <w:szCs w:val="24"/>
          <w:lang w:val="es-CO"/>
        </w:rPr>
      </w:pPr>
      <w:r w:rsidRPr="00494C4E">
        <w:rPr>
          <w:rFonts w:ascii="Tahoma" w:hAnsi="Tahoma" w:cs="Tahoma"/>
          <w:sz w:val="24"/>
          <w:szCs w:val="24"/>
          <w:lang w:val="es-CO"/>
        </w:rPr>
        <w:t xml:space="preserve">Negó los intereses moratorios, argumentando que la pensión obedece a una interpretación jurisprudencial favorable sobre el requisito de convivencia efectiva y no al rigor de la aplicación directa de la normatividad, en su lugar dispuso el pago de las mesadas indexadas desde la causación hasta el día anterior a la ejecutoria de la sentencia. </w:t>
      </w:r>
    </w:p>
    <w:p w14:paraId="76ACFF2C" w14:textId="77777777" w:rsidR="00F64362" w:rsidRPr="00494C4E" w:rsidRDefault="00F64362" w:rsidP="00494C4E">
      <w:pPr>
        <w:spacing w:line="276" w:lineRule="auto"/>
        <w:ind w:firstLine="708"/>
        <w:rPr>
          <w:rFonts w:ascii="Tahoma" w:hAnsi="Tahoma" w:cs="Tahoma"/>
          <w:sz w:val="24"/>
          <w:szCs w:val="24"/>
          <w:lang w:val="es-CO"/>
        </w:rPr>
      </w:pPr>
    </w:p>
    <w:p w14:paraId="59A41151" w14:textId="0BBC42A7" w:rsidR="00F64362" w:rsidRPr="00494C4E" w:rsidRDefault="00F64362" w:rsidP="00494C4E">
      <w:pPr>
        <w:spacing w:line="276" w:lineRule="auto"/>
        <w:ind w:firstLine="708"/>
        <w:rPr>
          <w:rFonts w:ascii="Tahoma" w:hAnsi="Tahoma" w:cs="Tahoma"/>
          <w:sz w:val="24"/>
          <w:szCs w:val="24"/>
          <w:lang w:val="es-CO"/>
        </w:rPr>
      </w:pPr>
      <w:r w:rsidRPr="00494C4E">
        <w:rPr>
          <w:rFonts w:ascii="Tahoma" w:hAnsi="Tahoma" w:cs="Tahoma"/>
          <w:sz w:val="24"/>
          <w:szCs w:val="24"/>
          <w:lang w:val="es-CO"/>
        </w:rPr>
        <w:t xml:space="preserve">Finalmente, dispuso que el fenómeno extintivo </w:t>
      </w:r>
      <w:r w:rsidR="00961F0A" w:rsidRPr="00494C4E">
        <w:rPr>
          <w:rFonts w:ascii="Tahoma" w:hAnsi="Tahoma" w:cs="Tahoma"/>
          <w:sz w:val="24"/>
          <w:szCs w:val="24"/>
          <w:lang w:val="es-CO"/>
        </w:rPr>
        <w:t>d</w:t>
      </w:r>
      <w:r w:rsidRPr="00494C4E">
        <w:rPr>
          <w:rFonts w:ascii="Tahoma" w:hAnsi="Tahoma" w:cs="Tahoma"/>
          <w:sz w:val="24"/>
          <w:szCs w:val="24"/>
          <w:lang w:val="es-CO"/>
        </w:rPr>
        <w:t>e la prescripción no erosionó ninguna mesada pensional, por cuanto entre e</w:t>
      </w:r>
      <w:r w:rsidR="00961F0A" w:rsidRPr="00494C4E">
        <w:rPr>
          <w:rFonts w:ascii="Tahoma" w:hAnsi="Tahoma" w:cs="Tahoma"/>
          <w:sz w:val="24"/>
          <w:szCs w:val="24"/>
          <w:lang w:val="es-CO"/>
        </w:rPr>
        <w:t xml:space="preserve">l </w:t>
      </w:r>
      <w:r w:rsidRPr="00494C4E">
        <w:rPr>
          <w:rFonts w:ascii="Tahoma" w:hAnsi="Tahoma" w:cs="Tahoma"/>
          <w:sz w:val="24"/>
          <w:szCs w:val="24"/>
          <w:lang w:val="es-CO"/>
        </w:rPr>
        <w:t xml:space="preserve">deceso del causante y la presentación de la demanda no </w:t>
      </w:r>
      <w:r w:rsidR="00554A29" w:rsidRPr="00494C4E">
        <w:rPr>
          <w:rFonts w:ascii="Tahoma" w:hAnsi="Tahoma" w:cs="Tahoma"/>
          <w:sz w:val="24"/>
          <w:szCs w:val="24"/>
          <w:lang w:val="es-CO"/>
        </w:rPr>
        <w:t>trascurrieron tres años, aunado a que la reclamación administrativa se elevó el 21 de junio de 2018.</w:t>
      </w:r>
    </w:p>
    <w:p w14:paraId="2D5C4AC3" w14:textId="1F4DFD70" w:rsidR="00512F58" w:rsidRPr="00494C4E" w:rsidRDefault="00512F58" w:rsidP="00494C4E">
      <w:pPr>
        <w:spacing w:line="276" w:lineRule="auto"/>
        <w:ind w:firstLine="0"/>
        <w:rPr>
          <w:rFonts w:ascii="Tahoma" w:hAnsi="Tahoma" w:cs="Tahoma"/>
          <w:sz w:val="24"/>
          <w:szCs w:val="24"/>
          <w:lang w:val="es-CO"/>
        </w:rPr>
      </w:pPr>
    </w:p>
    <w:p w14:paraId="77F0C615" w14:textId="27E1F55E" w:rsidR="00A31306" w:rsidRPr="00494C4E" w:rsidRDefault="00A31306" w:rsidP="00494C4E">
      <w:pPr>
        <w:pStyle w:val="Prrafodelista"/>
        <w:numPr>
          <w:ilvl w:val="0"/>
          <w:numId w:val="13"/>
        </w:numPr>
        <w:spacing w:line="276" w:lineRule="auto"/>
        <w:jc w:val="center"/>
        <w:rPr>
          <w:rFonts w:ascii="Tahoma" w:hAnsi="Tahoma" w:cs="Tahoma"/>
          <w:b/>
          <w:lang w:val="es-CO"/>
        </w:rPr>
      </w:pPr>
      <w:r w:rsidRPr="00494C4E">
        <w:rPr>
          <w:rFonts w:ascii="Tahoma" w:hAnsi="Tahoma" w:cs="Tahoma"/>
          <w:b/>
          <w:lang w:val="es-CO"/>
        </w:rPr>
        <w:t xml:space="preserve">Recurso de apelación </w:t>
      </w:r>
      <w:r w:rsidR="00E20E22" w:rsidRPr="00494C4E">
        <w:rPr>
          <w:rFonts w:ascii="Tahoma" w:hAnsi="Tahoma" w:cs="Tahoma"/>
          <w:b/>
          <w:lang w:val="es-CO"/>
        </w:rPr>
        <w:t>y procedencia de la consulta</w:t>
      </w:r>
    </w:p>
    <w:p w14:paraId="4EDBAF83" w14:textId="77777777" w:rsidR="007B6843" w:rsidRPr="00494C4E" w:rsidRDefault="007B6843" w:rsidP="00494C4E">
      <w:pPr>
        <w:spacing w:line="276" w:lineRule="auto"/>
        <w:ind w:firstLine="708"/>
        <w:rPr>
          <w:rFonts w:ascii="Tahoma" w:hAnsi="Tahoma" w:cs="Tahoma"/>
          <w:sz w:val="24"/>
          <w:szCs w:val="24"/>
        </w:rPr>
      </w:pPr>
    </w:p>
    <w:p w14:paraId="1F4578B9" w14:textId="1A326418" w:rsidR="009E7E0B" w:rsidRPr="00494C4E" w:rsidRDefault="00200356"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La apoderada</w:t>
      </w:r>
      <w:r w:rsidR="00485B0C" w:rsidRPr="00494C4E">
        <w:rPr>
          <w:rFonts w:ascii="Tahoma" w:hAnsi="Tahoma" w:cs="Tahoma"/>
          <w:sz w:val="24"/>
          <w:szCs w:val="24"/>
        </w:rPr>
        <w:t xml:space="preserve"> judicial</w:t>
      </w:r>
      <w:r w:rsidR="00A17F99" w:rsidRPr="00494C4E">
        <w:rPr>
          <w:rFonts w:ascii="Tahoma" w:hAnsi="Tahoma" w:cs="Tahoma"/>
          <w:sz w:val="24"/>
          <w:szCs w:val="24"/>
        </w:rPr>
        <w:t xml:space="preserve"> de la parte </w:t>
      </w:r>
      <w:r w:rsidR="2603C9D6" w:rsidRPr="00494C4E">
        <w:rPr>
          <w:rFonts w:ascii="Tahoma" w:hAnsi="Tahoma" w:cs="Tahoma"/>
          <w:sz w:val="24"/>
          <w:szCs w:val="24"/>
        </w:rPr>
        <w:t>actora</w:t>
      </w:r>
      <w:r w:rsidR="00A17F99" w:rsidRPr="00494C4E">
        <w:rPr>
          <w:rFonts w:ascii="Tahoma" w:hAnsi="Tahoma" w:cs="Tahoma"/>
          <w:sz w:val="24"/>
          <w:szCs w:val="24"/>
        </w:rPr>
        <w:t xml:space="preserve"> interpuso recurso de apelación, señalando que Colpensiones </w:t>
      </w:r>
      <w:r w:rsidR="009E7E0B" w:rsidRPr="00494C4E">
        <w:rPr>
          <w:rFonts w:ascii="Tahoma" w:hAnsi="Tahoma" w:cs="Tahoma"/>
          <w:sz w:val="24"/>
          <w:szCs w:val="24"/>
        </w:rPr>
        <w:t>debía reconocer los intereses moratorios desde la calenda de la expedición de la resolución nugatoria, debido a que la negativa obedeció a una indebida investigación administrativa, pues se limitó a entrevistar personas ajenas a la pareja.</w:t>
      </w:r>
    </w:p>
    <w:p w14:paraId="3CD0E802" w14:textId="3561759C" w:rsidR="00504D02" w:rsidRPr="00494C4E" w:rsidRDefault="00504D02" w:rsidP="00494C4E">
      <w:pPr>
        <w:widowControl w:val="0"/>
        <w:autoSpaceDE w:val="0"/>
        <w:autoSpaceDN w:val="0"/>
        <w:adjustRightInd w:val="0"/>
        <w:spacing w:line="276" w:lineRule="auto"/>
        <w:ind w:firstLine="0"/>
        <w:rPr>
          <w:rFonts w:ascii="Tahoma" w:hAnsi="Tahoma" w:cs="Tahoma"/>
          <w:sz w:val="24"/>
          <w:szCs w:val="24"/>
        </w:rPr>
      </w:pPr>
    </w:p>
    <w:p w14:paraId="621D29D7" w14:textId="56D62932" w:rsidR="009E7E0B" w:rsidRPr="00494C4E" w:rsidRDefault="00504D02"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Por su parte, la Administradora Colombiana de Pensiones- Colpensiones,</w:t>
      </w:r>
      <w:r w:rsidR="009E7E0B" w:rsidRPr="00494C4E">
        <w:rPr>
          <w:rFonts w:ascii="Tahoma" w:hAnsi="Tahoma" w:cs="Tahoma"/>
          <w:sz w:val="24"/>
          <w:szCs w:val="24"/>
        </w:rPr>
        <w:t xml:space="preserve"> reprochó la valoración conjunta de los medios de prueba, pues a su juicio las inconsistencias entre la reclamación administrativa y las declaraciones judiciales no permitían conocer con claridad la época en que el causante y la gestora convivieron como pareja</w:t>
      </w:r>
      <w:r w:rsidR="00AB2079" w:rsidRPr="00494C4E">
        <w:rPr>
          <w:rFonts w:ascii="Tahoma" w:hAnsi="Tahoma" w:cs="Tahoma"/>
          <w:sz w:val="24"/>
          <w:szCs w:val="24"/>
        </w:rPr>
        <w:t xml:space="preserve">, en ese orden como argumentos contradictorios expuso: </w:t>
      </w:r>
    </w:p>
    <w:p w14:paraId="08A30B17" w14:textId="71ED2654" w:rsidR="00504D02" w:rsidRPr="00494C4E" w:rsidRDefault="00504D02" w:rsidP="00494C4E">
      <w:pPr>
        <w:widowControl w:val="0"/>
        <w:autoSpaceDE w:val="0"/>
        <w:autoSpaceDN w:val="0"/>
        <w:adjustRightInd w:val="0"/>
        <w:spacing w:line="276" w:lineRule="auto"/>
        <w:ind w:firstLine="0"/>
        <w:rPr>
          <w:rFonts w:ascii="Tahoma" w:hAnsi="Tahoma" w:cs="Tahoma"/>
          <w:sz w:val="24"/>
          <w:szCs w:val="24"/>
        </w:rPr>
      </w:pPr>
    </w:p>
    <w:p w14:paraId="31E44E77" w14:textId="7673B19E" w:rsidR="00504D02" w:rsidRPr="00494C4E" w:rsidRDefault="00504D02"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 xml:space="preserve">Considera que en la demanda (hechos 3 y 4) se indicó que la convivencia se dio por 20 años y que se procrearon hijos en los años 1992 y 1994, </w:t>
      </w:r>
      <w:r w:rsidR="00961F0A" w:rsidRPr="00494C4E">
        <w:rPr>
          <w:rFonts w:ascii="Tahoma" w:hAnsi="Tahoma" w:cs="Tahoma"/>
          <w:sz w:val="24"/>
          <w:szCs w:val="24"/>
        </w:rPr>
        <w:t>razón por la cual</w:t>
      </w:r>
      <w:r w:rsidR="00344371" w:rsidRPr="00494C4E">
        <w:rPr>
          <w:rFonts w:ascii="Tahoma" w:hAnsi="Tahoma" w:cs="Tahoma"/>
          <w:sz w:val="24"/>
          <w:szCs w:val="24"/>
        </w:rPr>
        <w:t>,</w:t>
      </w:r>
      <w:r w:rsidR="00961F0A" w:rsidRPr="00494C4E">
        <w:rPr>
          <w:rFonts w:ascii="Tahoma" w:hAnsi="Tahoma" w:cs="Tahoma"/>
          <w:sz w:val="24"/>
          <w:szCs w:val="24"/>
        </w:rPr>
        <w:t xml:space="preserve"> la convivencia </w:t>
      </w:r>
      <w:r w:rsidR="00344371" w:rsidRPr="00494C4E">
        <w:rPr>
          <w:rFonts w:ascii="Tahoma" w:hAnsi="Tahoma" w:cs="Tahoma"/>
          <w:sz w:val="24"/>
          <w:szCs w:val="24"/>
        </w:rPr>
        <w:t xml:space="preserve">no pudo extenderse más allá de los 20 años relatados, esto es hasta el 2014 y no hasta el 2017 (fallecimiento del causante) como sostuvo la jueza de instancia. </w:t>
      </w:r>
    </w:p>
    <w:p w14:paraId="21CA0A8C" w14:textId="5F036709" w:rsidR="00504D02" w:rsidRPr="00494C4E" w:rsidRDefault="00504D02" w:rsidP="00494C4E">
      <w:pPr>
        <w:widowControl w:val="0"/>
        <w:autoSpaceDE w:val="0"/>
        <w:autoSpaceDN w:val="0"/>
        <w:adjustRightInd w:val="0"/>
        <w:spacing w:line="276" w:lineRule="auto"/>
        <w:ind w:firstLine="708"/>
        <w:rPr>
          <w:rFonts w:ascii="Tahoma" w:hAnsi="Tahoma" w:cs="Tahoma"/>
          <w:sz w:val="24"/>
          <w:szCs w:val="24"/>
        </w:rPr>
      </w:pPr>
    </w:p>
    <w:p w14:paraId="16E3897E" w14:textId="3F951AE1" w:rsidR="00570DE6" w:rsidRPr="00494C4E" w:rsidRDefault="00504D02"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Refiere que las declaraciones administrativas</w:t>
      </w:r>
      <w:r w:rsidR="00570DE6" w:rsidRPr="00494C4E">
        <w:rPr>
          <w:rFonts w:ascii="Tahoma" w:hAnsi="Tahoma" w:cs="Tahoma"/>
          <w:sz w:val="24"/>
          <w:szCs w:val="24"/>
        </w:rPr>
        <w:t xml:space="preserve"> y </w:t>
      </w:r>
      <w:r w:rsidRPr="00494C4E">
        <w:rPr>
          <w:rFonts w:ascii="Tahoma" w:hAnsi="Tahoma" w:cs="Tahoma"/>
          <w:sz w:val="24"/>
          <w:szCs w:val="24"/>
        </w:rPr>
        <w:t>judiciales se contraponen</w:t>
      </w:r>
      <w:r w:rsidR="00570DE6" w:rsidRPr="00494C4E">
        <w:rPr>
          <w:rFonts w:ascii="Tahoma" w:hAnsi="Tahoma" w:cs="Tahoma"/>
          <w:sz w:val="24"/>
          <w:szCs w:val="24"/>
        </w:rPr>
        <w:t xml:space="preserve"> entre sí y con el interrogatorio de parte, es decir</w:t>
      </w:r>
      <w:r w:rsidR="67A8E0D5" w:rsidRPr="00494C4E">
        <w:rPr>
          <w:rFonts w:ascii="Tahoma" w:hAnsi="Tahoma" w:cs="Tahoma"/>
          <w:sz w:val="24"/>
          <w:szCs w:val="24"/>
        </w:rPr>
        <w:t>,</w:t>
      </w:r>
      <w:r w:rsidR="00570DE6" w:rsidRPr="00494C4E">
        <w:rPr>
          <w:rFonts w:ascii="Tahoma" w:hAnsi="Tahoma" w:cs="Tahoma"/>
          <w:sz w:val="24"/>
          <w:szCs w:val="24"/>
        </w:rPr>
        <w:t xml:space="preserve"> que impiden corroborar tanto los hechos de la demanda como la declaración judicial de la promotora del litigio. </w:t>
      </w:r>
    </w:p>
    <w:p w14:paraId="559AEB54" w14:textId="77777777" w:rsidR="00570DE6" w:rsidRPr="00494C4E" w:rsidRDefault="00570DE6" w:rsidP="00494C4E">
      <w:pPr>
        <w:widowControl w:val="0"/>
        <w:autoSpaceDE w:val="0"/>
        <w:autoSpaceDN w:val="0"/>
        <w:adjustRightInd w:val="0"/>
        <w:spacing w:line="276" w:lineRule="auto"/>
        <w:ind w:firstLine="708"/>
        <w:rPr>
          <w:rFonts w:ascii="Tahoma" w:hAnsi="Tahoma" w:cs="Tahoma"/>
          <w:sz w:val="24"/>
          <w:szCs w:val="24"/>
        </w:rPr>
      </w:pPr>
    </w:p>
    <w:p w14:paraId="2094BDBB" w14:textId="7069DC82" w:rsidR="00504D02" w:rsidRPr="00494C4E" w:rsidRDefault="00570DE6"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Arguye igualmente, que la accionan</w:t>
      </w:r>
      <w:r w:rsidR="00344371" w:rsidRPr="00494C4E">
        <w:rPr>
          <w:rFonts w:ascii="Tahoma" w:hAnsi="Tahoma" w:cs="Tahoma"/>
          <w:sz w:val="24"/>
          <w:szCs w:val="24"/>
        </w:rPr>
        <w:t xml:space="preserve">te fue contradictoria en su declaración, no recordó con claridad la calenda en la que reinició la vida en pareja con el causante, y los lazos de amor y permanencia no pudieron perdurar en el tiempo, ya que, la reclamante </w:t>
      </w:r>
      <w:r w:rsidRPr="00494C4E">
        <w:rPr>
          <w:rFonts w:ascii="Tahoma" w:hAnsi="Tahoma" w:cs="Tahoma"/>
          <w:sz w:val="24"/>
          <w:szCs w:val="24"/>
        </w:rPr>
        <w:t>contrajo matrimonio y procre</w:t>
      </w:r>
      <w:r w:rsidR="46FB536E" w:rsidRPr="00494C4E">
        <w:rPr>
          <w:rFonts w:ascii="Tahoma" w:hAnsi="Tahoma" w:cs="Tahoma"/>
          <w:sz w:val="24"/>
          <w:szCs w:val="24"/>
        </w:rPr>
        <w:t>ó</w:t>
      </w:r>
      <w:r w:rsidRPr="00494C4E">
        <w:rPr>
          <w:rFonts w:ascii="Tahoma" w:hAnsi="Tahoma" w:cs="Tahoma"/>
          <w:sz w:val="24"/>
          <w:szCs w:val="24"/>
        </w:rPr>
        <w:t xml:space="preserve"> un hijo con otra pareja</w:t>
      </w:r>
      <w:r w:rsidR="00344371" w:rsidRPr="00494C4E">
        <w:rPr>
          <w:rFonts w:ascii="Tahoma" w:hAnsi="Tahoma" w:cs="Tahoma"/>
          <w:sz w:val="24"/>
          <w:szCs w:val="24"/>
        </w:rPr>
        <w:t>, de ahí que la afiliación a salud no fuera un elemento de juicio suficiente para demostrar la relación.</w:t>
      </w:r>
    </w:p>
    <w:p w14:paraId="22AA6A05" w14:textId="7EB20FF7" w:rsidR="008C1951" w:rsidRPr="00494C4E" w:rsidRDefault="008C1951" w:rsidP="00494C4E">
      <w:pPr>
        <w:widowControl w:val="0"/>
        <w:autoSpaceDE w:val="0"/>
        <w:autoSpaceDN w:val="0"/>
        <w:adjustRightInd w:val="0"/>
        <w:spacing w:line="276" w:lineRule="auto"/>
        <w:ind w:firstLine="708"/>
        <w:rPr>
          <w:rFonts w:ascii="Tahoma" w:hAnsi="Tahoma" w:cs="Tahoma"/>
          <w:sz w:val="24"/>
          <w:szCs w:val="24"/>
        </w:rPr>
      </w:pPr>
    </w:p>
    <w:p w14:paraId="101B61E2" w14:textId="74F83B2C" w:rsidR="008C1951" w:rsidRPr="00494C4E" w:rsidRDefault="008C1951"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Señaló</w:t>
      </w:r>
      <w:r w:rsidR="00344371" w:rsidRPr="00494C4E">
        <w:rPr>
          <w:rFonts w:ascii="Tahoma" w:hAnsi="Tahoma" w:cs="Tahoma"/>
          <w:sz w:val="24"/>
          <w:szCs w:val="24"/>
        </w:rPr>
        <w:t xml:space="preserve"> que el demandado </w:t>
      </w:r>
      <w:r w:rsidRPr="00494C4E">
        <w:rPr>
          <w:rFonts w:ascii="Tahoma" w:hAnsi="Tahoma" w:cs="Tahoma"/>
          <w:sz w:val="24"/>
          <w:szCs w:val="24"/>
        </w:rPr>
        <w:t>Johan Sebastián, busc</w:t>
      </w:r>
      <w:r w:rsidR="00344371" w:rsidRPr="00494C4E">
        <w:rPr>
          <w:rFonts w:ascii="Tahoma" w:hAnsi="Tahoma" w:cs="Tahoma"/>
          <w:sz w:val="24"/>
          <w:szCs w:val="24"/>
        </w:rPr>
        <w:t>ó</w:t>
      </w:r>
      <w:r w:rsidRPr="00494C4E">
        <w:rPr>
          <w:rFonts w:ascii="Tahoma" w:hAnsi="Tahoma" w:cs="Tahoma"/>
          <w:sz w:val="24"/>
          <w:szCs w:val="24"/>
        </w:rPr>
        <w:t xml:space="preserve"> favorecer los intereses litigiosos de su progenitora, </w:t>
      </w:r>
      <w:r w:rsidR="00344371" w:rsidRPr="00494C4E">
        <w:rPr>
          <w:rFonts w:ascii="Tahoma" w:hAnsi="Tahoma" w:cs="Tahoma"/>
          <w:sz w:val="24"/>
          <w:szCs w:val="24"/>
        </w:rPr>
        <w:t>tanto en el interrogatorio de parte como en la contestación de la demanda, e</w:t>
      </w:r>
      <w:r w:rsidR="0A27CC47" w:rsidRPr="00494C4E">
        <w:rPr>
          <w:rFonts w:ascii="Tahoma" w:hAnsi="Tahoma" w:cs="Tahoma"/>
          <w:sz w:val="24"/>
          <w:szCs w:val="24"/>
        </w:rPr>
        <w:t>n</w:t>
      </w:r>
      <w:r w:rsidR="00344371" w:rsidRPr="00494C4E">
        <w:rPr>
          <w:rFonts w:ascii="Tahoma" w:hAnsi="Tahoma" w:cs="Tahoma"/>
          <w:sz w:val="24"/>
          <w:szCs w:val="24"/>
        </w:rPr>
        <w:t xml:space="preserve"> especial porque indicó como ciertos hechos que antecedieron su nacimiento.</w:t>
      </w:r>
    </w:p>
    <w:p w14:paraId="0ECFCF22" w14:textId="554A0D5D" w:rsidR="008C1951" w:rsidRPr="00494C4E" w:rsidRDefault="008C1951" w:rsidP="00494C4E">
      <w:pPr>
        <w:widowControl w:val="0"/>
        <w:autoSpaceDE w:val="0"/>
        <w:autoSpaceDN w:val="0"/>
        <w:adjustRightInd w:val="0"/>
        <w:spacing w:line="276" w:lineRule="auto"/>
        <w:ind w:firstLine="708"/>
        <w:rPr>
          <w:rFonts w:ascii="Tahoma" w:hAnsi="Tahoma" w:cs="Tahoma"/>
          <w:sz w:val="24"/>
          <w:szCs w:val="24"/>
        </w:rPr>
      </w:pPr>
    </w:p>
    <w:p w14:paraId="7E7EF766" w14:textId="27CE7A51" w:rsidR="00344371" w:rsidRPr="00494C4E" w:rsidRDefault="00344371"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 xml:space="preserve">Halla con extrañeza que el testigo </w:t>
      </w:r>
      <w:r w:rsidR="008C1951" w:rsidRPr="00494C4E">
        <w:rPr>
          <w:rFonts w:ascii="Tahoma" w:hAnsi="Tahoma" w:cs="Tahoma"/>
          <w:sz w:val="24"/>
          <w:szCs w:val="24"/>
        </w:rPr>
        <w:t xml:space="preserve">Javier Ramírez Ortiz </w:t>
      </w:r>
      <w:r w:rsidRPr="00494C4E">
        <w:rPr>
          <w:rFonts w:ascii="Tahoma" w:hAnsi="Tahoma" w:cs="Tahoma"/>
          <w:sz w:val="24"/>
          <w:szCs w:val="24"/>
        </w:rPr>
        <w:t xml:space="preserve">narrara con suma </w:t>
      </w:r>
      <w:r w:rsidR="008C1951" w:rsidRPr="00494C4E">
        <w:rPr>
          <w:rFonts w:ascii="Tahoma" w:hAnsi="Tahoma" w:cs="Tahoma"/>
          <w:sz w:val="24"/>
          <w:szCs w:val="24"/>
        </w:rPr>
        <w:t xml:space="preserve">precisión </w:t>
      </w:r>
      <w:r w:rsidRPr="00494C4E">
        <w:rPr>
          <w:rFonts w:ascii="Tahoma" w:hAnsi="Tahoma" w:cs="Tahoma"/>
          <w:sz w:val="24"/>
          <w:szCs w:val="24"/>
        </w:rPr>
        <w:t>los años de convivencia y domicilios en común de la pareja, cuando aceptó que s</w:t>
      </w:r>
      <w:r w:rsidR="7C194F6B" w:rsidRPr="00494C4E">
        <w:rPr>
          <w:rFonts w:ascii="Tahoma" w:hAnsi="Tahoma" w:cs="Tahoma"/>
          <w:sz w:val="24"/>
          <w:szCs w:val="24"/>
        </w:rPr>
        <w:t>ó</w:t>
      </w:r>
      <w:r w:rsidRPr="00494C4E">
        <w:rPr>
          <w:rFonts w:ascii="Tahoma" w:hAnsi="Tahoma" w:cs="Tahoma"/>
          <w:sz w:val="24"/>
          <w:szCs w:val="24"/>
        </w:rPr>
        <w:t>lo los visitó en tres ocasiones en el barrio Cuba, porque era muy</w:t>
      </w:r>
      <w:r w:rsidR="008C1951" w:rsidRPr="00494C4E">
        <w:rPr>
          <w:rFonts w:ascii="Tahoma" w:hAnsi="Tahoma" w:cs="Tahoma"/>
          <w:sz w:val="24"/>
          <w:szCs w:val="24"/>
        </w:rPr>
        <w:t xml:space="preserve"> “andariego”</w:t>
      </w:r>
      <w:r w:rsidRPr="00494C4E">
        <w:rPr>
          <w:rFonts w:ascii="Tahoma" w:hAnsi="Tahoma" w:cs="Tahoma"/>
          <w:sz w:val="24"/>
          <w:szCs w:val="24"/>
        </w:rPr>
        <w:t xml:space="preserve">. </w:t>
      </w:r>
    </w:p>
    <w:p w14:paraId="4BD790C9" w14:textId="27DA45B7" w:rsidR="00E33E8C" w:rsidRPr="00494C4E" w:rsidRDefault="00E33E8C" w:rsidP="00494C4E">
      <w:pPr>
        <w:widowControl w:val="0"/>
        <w:autoSpaceDE w:val="0"/>
        <w:autoSpaceDN w:val="0"/>
        <w:adjustRightInd w:val="0"/>
        <w:spacing w:line="276" w:lineRule="auto"/>
        <w:ind w:firstLine="708"/>
        <w:rPr>
          <w:rFonts w:ascii="Tahoma" w:hAnsi="Tahoma" w:cs="Tahoma"/>
          <w:sz w:val="24"/>
          <w:szCs w:val="24"/>
        </w:rPr>
      </w:pPr>
    </w:p>
    <w:p w14:paraId="7BB13706" w14:textId="372F507C" w:rsidR="00E33E8C" w:rsidRPr="00494C4E" w:rsidRDefault="00E33E8C"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Expuso que la testiga Luz Mar</w:t>
      </w:r>
      <w:r w:rsidR="00CE3D70" w:rsidRPr="00494C4E">
        <w:rPr>
          <w:rFonts w:ascii="Tahoma" w:hAnsi="Tahoma" w:cs="Tahoma"/>
          <w:sz w:val="24"/>
          <w:szCs w:val="24"/>
        </w:rPr>
        <w:t>leny</w:t>
      </w:r>
      <w:r w:rsidRPr="00494C4E">
        <w:rPr>
          <w:rFonts w:ascii="Tahoma" w:hAnsi="Tahoma" w:cs="Tahoma"/>
          <w:sz w:val="24"/>
          <w:szCs w:val="24"/>
        </w:rPr>
        <w:t xml:space="preserve"> Pinzón, propietaria de la finca que cuidaba el causante, casi nunca visitaba su propiedad, por lo que no era una testiga idónea para acreditar la convivencia de pareja, aunado a que extrañamente ubicó el periodo de convivencia en 5 años desde octubre de 2012 hasta el mismo mes de 2017 sin precisar la ciencia de sus dichos.</w:t>
      </w:r>
    </w:p>
    <w:p w14:paraId="7F15C018" w14:textId="77777777" w:rsidR="00344371" w:rsidRPr="00494C4E" w:rsidRDefault="00344371" w:rsidP="00494C4E">
      <w:pPr>
        <w:widowControl w:val="0"/>
        <w:autoSpaceDE w:val="0"/>
        <w:autoSpaceDN w:val="0"/>
        <w:adjustRightInd w:val="0"/>
        <w:spacing w:line="276" w:lineRule="auto"/>
        <w:ind w:firstLine="708"/>
        <w:rPr>
          <w:rFonts w:ascii="Tahoma" w:hAnsi="Tahoma" w:cs="Tahoma"/>
          <w:sz w:val="24"/>
          <w:szCs w:val="24"/>
        </w:rPr>
      </w:pPr>
    </w:p>
    <w:p w14:paraId="1D244653" w14:textId="36D2FEC3" w:rsidR="003047B0" w:rsidRPr="00494C4E" w:rsidRDefault="00344371"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 xml:space="preserve">Agregó que no existía </w:t>
      </w:r>
      <w:r w:rsidR="00E33E8C" w:rsidRPr="00494C4E">
        <w:rPr>
          <w:rFonts w:ascii="Tahoma" w:hAnsi="Tahoma" w:cs="Tahoma"/>
          <w:sz w:val="24"/>
          <w:szCs w:val="24"/>
        </w:rPr>
        <w:t xml:space="preserve">prueba técnica </w:t>
      </w:r>
      <w:r w:rsidRPr="00494C4E">
        <w:rPr>
          <w:rFonts w:ascii="Tahoma" w:hAnsi="Tahoma" w:cs="Tahoma"/>
          <w:sz w:val="24"/>
          <w:szCs w:val="24"/>
        </w:rPr>
        <w:t xml:space="preserve">de las </w:t>
      </w:r>
      <w:r w:rsidR="00E33E8C" w:rsidRPr="00494C4E">
        <w:rPr>
          <w:rFonts w:ascii="Tahoma" w:hAnsi="Tahoma" w:cs="Tahoma"/>
          <w:sz w:val="24"/>
          <w:szCs w:val="24"/>
        </w:rPr>
        <w:t>circunstancias</w:t>
      </w:r>
      <w:r w:rsidRPr="00494C4E">
        <w:rPr>
          <w:rFonts w:ascii="Tahoma" w:hAnsi="Tahoma" w:cs="Tahoma"/>
          <w:sz w:val="24"/>
          <w:szCs w:val="24"/>
        </w:rPr>
        <w:t xml:space="preserve"> de la salud de la demandante, </w:t>
      </w:r>
      <w:r w:rsidR="00E33E8C" w:rsidRPr="00494C4E">
        <w:rPr>
          <w:rFonts w:ascii="Tahoma" w:hAnsi="Tahoma" w:cs="Tahoma"/>
          <w:sz w:val="24"/>
          <w:szCs w:val="24"/>
        </w:rPr>
        <w:t>pese a lo cual, se dio por demostrado que la separación en lo</w:t>
      </w:r>
      <w:r w:rsidR="11E93346" w:rsidRPr="00494C4E">
        <w:rPr>
          <w:rFonts w:ascii="Tahoma" w:hAnsi="Tahoma" w:cs="Tahoma"/>
          <w:sz w:val="24"/>
          <w:szCs w:val="24"/>
        </w:rPr>
        <w:t>s</w:t>
      </w:r>
      <w:r w:rsidR="00E33E8C" w:rsidRPr="00494C4E">
        <w:rPr>
          <w:rFonts w:ascii="Tahoma" w:hAnsi="Tahoma" w:cs="Tahoma"/>
          <w:sz w:val="24"/>
          <w:szCs w:val="24"/>
        </w:rPr>
        <w:t xml:space="preserve"> últimos meses fue por razones de salud. </w:t>
      </w:r>
      <w:r w:rsidR="00A249BD" w:rsidRPr="00494C4E">
        <w:rPr>
          <w:rFonts w:ascii="Tahoma" w:hAnsi="Tahoma" w:cs="Tahoma"/>
          <w:sz w:val="24"/>
          <w:szCs w:val="24"/>
        </w:rPr>
        <w:t xml:space="preserve"> </w:t>
      </w:r>
    </w:p>
    <w:p w14:paraId="130922B0" w14:textId="6084804B" w:rsidR="009E7E0B" w:rsidRPr="00494C4E" w:rsidRDefault="009E7E0B" w:rsidP="00494C4E">
      <w:pPr>
        <w:widowControl w:val="0"/>
        <w:autoSpaceDE w:val="0"/>
        <w:autoSpaceDN w:val="0"/>
        <w:adjustRightInd w:val="0"/>
        <w:spacing w:line="276" w:lineRule="auto"/>
        <w:ind w:firstLine="0"/>
        <w:rPr>
          <w:rFonts w:ascii="Tahoma" w:hAnsi="Tahoma" w:cs="Tahoma"/>
          <w:sz w:val="24"/>
          <w:szCs w:val="24"/>
        </w:rPr>
      </w:pPr>
    </w:p>
    <w:p w14:paraId="563AAC97" w14:textId="68E0F669" w:rsidR="009E7E0B" w:rsidRPr="00494C4E" w:rsidRDefault="00E33E8C"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Peticionó</w:t>
      </w:r>
      <w:r w:rsidR="009E7E0B" w:rsidRPr="00494C4E">
        <w:rPr>
          <w:rFonts w:ascii="Tahoma" w:hAnsi="Tahoma" w:cs="Tahoma"/>
          <w:sz w:val="24"/>
          <w:szCs w:val="24"/>
        </w:rPr>
        <w:t xml:space="preserve"> </w:t>
      </w:r>
      <w:r w:rsidRPr="00494C4E">
        <w:rPr>
          <w:rFonts w:ascii="Tahoma" w:hAnsi="Tahoma" w:cs="Tahoma"/>
          <w:sz w:val="24"/>
          <w:szCs w:val="24"/>
        </w:rPr>
        <w:t>que,</w:t>
      </w:r>
      <w:r w:rsidR="009E7E0B" w:rsidRPr="00494C4E">
        <w:rPr>
          <w:rFonts w:ascii="Tahoma" w:hAnsi="Tahoma" w:cs="Tahoma"/>
          <w:sz w:val="24"/>
          <w:szCs w:val="24"/>
        </w:rPr>
        <w:t xml:space="preserve"> de mantenerse la condena, debía disminuirse el porcentaje de costas procesales, ya que las pretensiones no habían prosperado en su totalidad como quiera que se absolvió de forma total o parcial de los intereses moratorios</w:t>
      </w:r>
      <w:r w:rsidRPr="00494C4E">
        <w:rPr>
          <w:rFonts w:ascii="Tahoma" w:hAnsi="Tahoma" w:cs="Tahoma"/>
          <w:sz w:val="24"/>
          <w:szCs w:val="24"/>
        </w:rPr>
        <w:t>.</w:t>
      </w:r>
      <w:r w:rsidR="009E7E0B" w:rsidRPr="00494C4E">
        <w:rPr>
          <w:rFonts w:ascii="Tahoma" w:hAnsi="Tahoma" w:cs="Tahoma"/>
          <w:sz w:val="24"/>
          <w:szCs w:val="24"/>
        </w:rPr>
        <w:t xml:space="preserve"> </w:t>
      </w:r>
    </w:p>
    <w:p w14:paraId="62186AB9" w14:textId="77777777" w:rsidR="0054294F" w:rsidRPr="00494C4E" w:rsidRDefault="0054294F" w:rsidP="00494C4E">
      <w:pPr>
        <w:pStyle w:val="Sinespaciado"/>
        <w:spacing w:line="276" w:lineRule="auto"/>
        <w:rPr>
          <w:rFonts w:ascii="Tahoma" w:hAnsi="Tahoma" w:cs="Tahoma"/>
        </w:rPr>
      </w:pPr>
    </w:p>
    <w:p w14:paraId="34A4164B" w14:textId="77777777" w:rsidR="008E3ED0" w:rsidRPr="00494C4E" w:rsidRDefault="008E3ED0"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Finalmente, como quiera que la decisión de primer grado fue desfavorable para los intereses de Colpensiones, se dispuso el grado jurisdiccional de consulta.</w:t>
      </w:r>
    </w:p>
    <w:p w14:paraId="2B595791" w14:textId="4AE33D7F" w:rsidR="00E33E8C" w:rsidRPr="00494C4E" w:rsidRDefault="00E33E8C" w:rsidP="00494C4E">
      <w:pPr>
        <w:spacing w:line="276" w:lineRule="auto"/>
        <w:ind w:firstLine="0"/>
        <w:rPr>
          <w:rFonts w:ascii="Tahoma" w:hAnsi="Tahoma" w:cs="Tahoma"/>
          <w:sz w:val="24"/>
          <w:szCs w:val="24"/>
        </w:rPr>
      </w:pPr>
    </w:p>
    <w:p w14:paraId="22DDED92" w14:textId="77777777" w:rsidR="00AB39A5" w:rsidRPr="00494C4E" w:rsidRDefault="00AB39A5" w:rsidP="00494C4E">
      <w:pPr>
        <w:pStyle w:val="Prrafodelista"/>
        <w:widowControl w:val="0"/>
        <w:numPr>
          <w:ilvl w:val="0"/>
          <w:numId w:val="14"/>
        </w:numPr>
        <w:autoSpaceDE w:val="0"/>
        <w:autoSpaceDN w:val="0"/>
        <w:adjustRightInd w:val="0"/>
        <w:spacing w:line="276" w:lineRule="auto"/>
        <w:ind w:left="0" w:firstLine="142"/>
        <w:jc w:val="center"/>
        <w:rPr>
          <w:rFonts w:ascii="Tahoma" w:hAnsi="Tahoma" w:cs="Tahoma"/>
          <w:b/>
          <w:caps/>
        </w:rPr>
      </w:pPr>
      <w:r w:rsidRPr="00494C4E">
        <w:rPr>
          <w:rFonts w:ascii="Tahoma" w:hAnsi="Tahoma" w:cs="Tahoma"/>
          <w:b/>
        </w:rPr>
        <w:t>Alegatos de conclusión</w:t>
      </w:r>
    </w:p>
    <w:p w14:paraId="36EFC9B0" w14:textId="77777777" w:rsidR="00AB39A5" w:rsidRPr="00494C4E" w:rsidRDefault="00AB39A5" w:rsidP="00494C4E">
      <w:pPr>
        <w:widowControl w:val="0"/>
        <w:autoSpaceDE w:val="0"/>
        <w:autoSpaceDN w:val="0"/>
        <w:adjustRightInd w:val="0"/>
        <w:spacing w:line="276" w:lineRule="auto"/>
        <w:rPr>
          <w:rFonts w:ascii="Tahoma" w:hAnsi="Tahoma" w:cs="Tahoma"/>
          <w:sz w:val="24"/>
          <w:szCs w:val="24"/>
        </w:rPr>
      </w:pPr>
    </w:p>
    <w:p w14:paraId="4A9780E1" w14:textId="34BA27E0" w:rsidR="00512F58" w:rsidRPr="00494C4E" w:rsidRDefault="00AB39A5" w:rsidP="00494C4E">
      <w:pPr>
        <w:spacing w:line="276" w:lineRule="auto"/>
        <w:ind w:firstLine="708"/>
        <w:rPr>
          <w:rStyle w:val="normaltextrun"/>
          <w:rFonts w:ascii="Tahoma" w:hAnsi="Tahoma" w:cs="Tahoma"/>
          <w:sz w:val="24"/>
          <w:szCs w:val="24"/>
        </w:rPr>
      </w:pPr>
      <w:r w:rsidRPr="00494C4E">
        <w:rPr>
          <w:rStyle w:val="normaltextrun"/>
          <w:rFonts w:ascii="Tahoma" w:hAnsi="Tahoma" w:cs="Tahoma"/>
          <w:color w:val="000000"/>
          <w:sz w:val="24"/>
          <w:szCs w:val="24"/>
        </w:rPr>
        <w:t>Analizado</w:t>
      </w:r>
      <w:r w:rsidR="008C5492" w:rsidRPr="00494C4E">
        <w:rPr>
          <w:rStyle w:val="normaltextrun"/>
          <w:rFonts w:ascii="Tahoma" w:hAnsi="Tahoma" w:cs="Tahoma"/>
          <w:color w:val="000000"/>
          <w:sz w:val="24"/>
          <w:szCs w:val="24"/>
        </w:rPr>
        <w:t>s</w:t>
      </w:r>
      <w:r w:rsidRPr="00494C4E">
        <w:rPr>
          <w:rStyle w:val="normaltextrun"/>
          <w:rFonts w:ascii="Tahoma" w:hAnsi="Tahoma" w:cs="Tahoma"/>
          <w:color w:val="000000"/>
          <w:sz w:val="24"/>
          <w:szCs w:val="24"/>
        </w:rPr>
        <w:t xml:space="preserve"> </w:t>
      </w:r>
      <w:r w:rsidR="00741394" w:rsidRPr="00494C4E">
        <w:rPr>
          <w:rStyle w:val="normaltextrun"/>
          <w:rFonts w:ascii="Tahoma" w:hAnsi="Tahoma" w:cs="Tahoma"/>
          <w:color w:val="000000"/>
          <w:sz w:val="24"/>
          <w:szCs w:val="24"/>
        </w:rPr>
        <w:t>los alegatos presentados oportunamente por Colpensiones</w:t>
      </w:r>
      <w:r w:rsidRPr="00494C4E">
        <w:rPr>
          <w:rStyle w:val="normaltextrun"/>
          <w:rFonts w:ascii="Tahoma" w:hAnsi="Tahoma" w:cs="Tahoma"/>
          <w:color w:val="000000"/>
          <w:sz w:val="24"/>
          <w:szCs w:val="24"/>
        </w:rPr>
        <w:t>, mismos que obran en el expediente digital y a los cuales se remite la Sala por economía procesal en virtud del artículo 280 del C.G.P.,</w:t>
      </w:r>
      <w:r w:rsidR="00235D63" w:rsidRPr="00494C4E">
        <w:rPr>
          <w:rStyle w:val="normaltextrun"/>
          <w:rFonts w:ascii="Tahoma" w:hAnsi="Tahoma" w:cs="Tahoma"/>
          <w:color w:val="000000"/>
          <w:sz w:val="24"/>
          <w:szCs w:val="24"/>
        </w:rPr>
        <w:t xml:space="preserve"> se observa</w:t>
      </w:r>
      <w:r w:rsidRPr="00494C4E">
        <w:rPr>
          <w:rStyle w:val="normaltextrun"/>
          <w:rFonts w:ascii="Tahoma" w:hAnsi="Tahoma" w:cs="Tahoma"/>
          <w:color w:val="000000"/>
          <w:sz w:val="24"/>
          <w:szCs w:val="24"/>
        </w:rPr>
        <w:t xml:space="preserve"> que los argumentos fácticos y jurídicos expresados concuerdan con los puntos objeto de discusión en esta instancia y se relacionan con los problemas jurídico</w:t>
      </w:r>
      <w:r w:rsidR="00235D63" w:rsidRPr="00494C4E">
        <w:rPr>
          <w:rStyle w:val="normaltextrun"/>
          <w:rFonts w:ascii="Tahoma" w:hAnsi="Tahoma" w:cs="Tahoma"/>
          <w:color w:val="000000"/>
          <w:sz w:val="24"/>
          <w:szCs w:val="24"/>
        </w:rPr>
        <w:t>s</w:t>
      </w:r>
      <w:r w:rsidRPr="00494C4E">
        <w:rPr>
          <w:rStyle w:val="normaltextrun"/>
          <w:rFonts w:ascii="Tahoma" w:hAnsi="Tahoma" w:cs="Tahoma"/>
          <w:color w:val="000000"/>
          <w:sz w:val="24"/>
          <w:szCs w:val="24"/>
        </w:rPr>
        <w:t xml:space="preserve"> que se expresarán más adelante. </w:t>
      </w:r>
      <w:r w:rsidRPr="00494C4E">
        <w:rPr>
          <w:rStyle w:val="eop"/>
          <w:rFonts w:ascii="Tahoma" w:hAnsi="Tahoma" w:cs="Tahoma"/>
          <w:color w:val="000000"/>
          <w:sz w:val="24"/>
          <w:szCs w:val="24"/>
        </w:rPr>
        <w:t> </w:t>
      </w:r>
      <w:r w:rsidRPr="00494C4E">
        <w:rPr>
          <w:rStyle w:val="normaltextrun"/>
          <w:rFonts w:ascii="Tahoma" w:hAnsi="Tahoma" w:cs="Tahoma"/>
          <w:color w:val="000000" w:themeColor="text1"/>
          <w:sz w:val="24"/>
          <w:szCs w:val="24"/>
        </w:rPr>
        <w:t xml:space="preserve">Por otra parte, </w:t>
      </w:r>
      <w:r w:rsidRPr="00494C4E">
        <w:rPr>
          <w:rStyle w:val="normaltextrun"/>
          <w:rFonts w:ascii="Tahoma" w:hAnsi="Tahoma" w:cs="Tahoma"/>
          <w:sz w:val="24"/>
          <w:szCs w:val="24"/>
        </w:rPr>
        <w:t>el Ministerio Público no rindió concepto en este asunto.</w:t>
      </w:r>
    </w:p>
    <w:p w14:paraId="7AFB26D1" w14:textId="77777777" w:rsidR="00E33E8C" w:rsidRPr="00494C4E" w:rsidRDefault="00E33E8C" w:rsidP="00494C4E">
      <w:pPr>
        <w:spacing w:line="276" w:lineRule="auto"/>
        <w:ind w:firstLine="0"/>
        <w:rPr>
          <w:rStyle w:val="normaltextrun"/>
          <w:rFonts w:ascii="Tahoma" w:hAnsi="Tahoma" w:cs="Tahoma"/>
          <w:sz w:val="24"/>
          <w:szCs w:val="24"/>
        </w:rPr>
      </w:pPr>
    </w:p>
    <w:p w14:paraId="344C8B6B" w14:textId="77777777" w:rsidR="00AB39A5" w:rsidRPr="00494C4E" w:rsidRDefault="00AB39A5" w:rsidP="00494C4E">
      <w:pPr>
        <w:pStyle w:val="paragraph"/>
        <w:numPr>
          <w:ilvl w:val="0"/>
          <w:numId w:val="14"/>
        </w:numPr>
        <w:spacing w:before="0" w:beforeAutospacing="0" w:after="0" w:afterAutospacing="0" w:line="276" w:lineRule="auto"/>
        <w:jc w:val="center"/>
        <w:textAlignment w:val="baseline"/>
        <w:rPr>
          <w:rFonts w:ascii="Tahoma" w:hAnsi="Tahoma" w:cs="Tahoma"/>
          <w:b/>
        </w:rPr>
      </w:pPr>
      <w:bookmarkStart w:id="4" w:name="_Hlk109759719"/>
      <w:r w:rsidRPr="00494C4E">
        <w:rPr>
          <w:rStyle w:val="normaltextrun"/>
          <w:rFonts w:ascii="Tahoma" w:hAnsi="Tahoma" w:cs="Tahoma"/>
          <w:b/>
          <w:bCs/>
        </w:rPr>
        <w:t>Problema jurídico por resolver</w:t>
      </w:r>
      <w:bookmarkEnd w:id="4"/>
    </w:p>
    <w:p w14:paraId="778D6634" w14:textId="77777777" w:rsidR="00AB39A5" w:rsidRPr="00494C4E" w:rsidRDefault="00AB39A5" w:rsidP="00494C4E">
      <w:pPr>
        <w:pStyle w:val="Sinespaciado"/>
        <w:spacing w:line="276" w:lineRule="auto"/>
        <w:rPr>
          <w:rStyle w:val="normaltextrun"/>
          <w:rFonts w:ascii="Tahoma" w:hAnsi="Tahoma" w:cs="Tahoma"/>
          <w:b/>
        </w:rPr>
      </w:pPr>
    </w:p>
    <w:p w14:paraId="6BEF5A0C" w14:textId="4DD7B070" w:rsidR="00FF073D" w:rsidRPr="00494C4E" w:rsidRDefault="00FF073D" w:rsidP="00494C4E">
      <w:pPr>
        <w:pStyle w:val="paragraph"/>
        <w:spacing w:before="0" w:beforeAutospacing="0" w:after="0" w:afterAutospacing="0" w:line="276" w:lineRule="auto"/>
        <w:ind w:firstLine="708"/>
        <w:jc w:val="both"/>
        <w:textAlignment w:val="baseline"/>
        <w:rPr>
          <w:rStyle w:val="normaltextrun"/>
          <w:rFonts w:ascii="Tahoma" w:hAnsi="Tahoma" w:cs="Tahoma"/>
        </w:rPr>
      </w:pPr>
      <w:r w:rsidRPr="00494C4E">
        <w:rPr>
          <w:rStyle w:val="normaltextrun"/>
          <w:rFonts w:ascii="Tahoma" w:hAnsi="Tahoma" w:cs="Tahoma"/>
        </w:rPr>
        <w:t xml:space="preserve">De acuerdo a los argumentos expuestos en la sentencia de primera instancia, el fundamento de la apelación y los alegatos de </w:t>
      </w:r>
      <w:r w:rsidR="64C325EC" w:rsidRPr="00494C4E">
        <w:rPr>
          <w:rStyle w:val="normaltextrun"/>
          <w:rFonts w:ascii="Tahoma" w:hAnsi="Tahoma" w:cs="Tahoma"/>
        </w:rPr>
        <w:t>conclusión</w:t>
      </w:r>
      <w:r w:rsidRPr="00494C4E">
        <w:rPr>
          <w:rStyle w:val="normaltextrun"/>
          <w:rFonts w:ascii="Tahoma" w:hAnsi="Tahoma" w:cs="Tahoma"/>
        </w:rPr>
        <w:t xml:space="preserve"> le corresponde a la Sala </w:t>
      </w:r>
      <w:r w:rsidRPr="00494C4E">
        <w:rPr>
          <w:rStyle w:val="normaltextrun"/>
          <w:rFonts w:ascii="Tahoma" w:hAnsi="Tahoma" w:cs="Tahoma"/>
        </w:rPr>
        <w:lastRenderedPageBreak/>
        <w:t xml:space="preserve">determinar si en el presente proceso se encuentra acreditada la convivencia entre la </w:t>
      </w:r>
      <w:r w:rsidR="00E33E8C" w:rsidRPr="00494C4E">
        <w:rPr>
          <w:rStyle w:val="normaltextrun"/>
          <w:rFonts w:ascii="Tahoma" w:hAnsi="Tahoma" w:cs="Tahoma"/>
        </w:rPr>
        <w:t>reclamante</w:t>
      </w:r>
      <w:r w:rsidR="00654F1D" w:rsidRPr="00494C4E">
        <w:rPr>
          <w:rStyle w:val="normaltextrun"/>
          <w:rFonts w:ascii="Tahoma" w:hAnsi="Tahoma" w:cs="Tahoma"/>
        </w:rPr>
        <w:t xml:space="preserve"> </w:t>
      </w:r>
      <w:r w:rsidR="00E33E8C" w:rsidRPr="00494C4E">
        <w:rPr>
          <w:rFonts w:ascii="Tahoma" w:hAnsi="Tahoma" w:cs="Tahoma"/>
        </w:rPr>
        <w:t xml:space="preserve">María Adriana García Ortiz </w:t>
      </w:r>
      <w:r w:rsidR="00500E75" w:rsidRPr="00494C4E">
        <w:rPr>
          <w:rFonts w:ascii="Tahoma" w:hAnsi="Tahoma" w:cs="Tahoma"/>
        </w:rPr>
        <w:t>y</w:t>
      </w:r>
      <w:r w:rsidR="00E33E8C" w:rsidRPr="00494C4E">
        <w:rPr>
          <w:rFonts w:ascii="Tahoma" w:hAnsi="Tahoma" w:cs="Tahoma"/>
        </w:rPr>
        <w:t xml:space="preserve"> el causante Marco Fidel Pimentel Bedoya</w:t>
      </w:r>
      <w:r w:rsidRPr="00494C4E">
        <w:rPr>
          <w:rStyle w:val="normaltextrun"/>
          <w:rFonts w:ascii="Tahoma" w:hAnsi="Tahoma" w:cs="Tahoma"/>
        </w:rPr>
        <w:t xml:space="preserve">, en los cinco años que antecedieron el deceso de este último. </w:t>
      </w:r>
    </w:p>
    <w:p w14:paraId="1C7343D6" w14:textId="77777777" w:rsidR="009F5ACF" w:rsidRPr="00494C4E" w:rsidRDefault="009F5ACF" w:rsidP="00494C4E">
      <w:pPr>
        <w:pStyle w:val="Sinespaciado"/>
        <w:spacing w:line="276" w:lineRule="auto"/>
        <w:rPr>
          <w:rStyle w:val="normaltextrun"/>
          <w:rFonts w:ascii="Tahoma" w:hAnsi="Tahoma" w:cs="Tahoma"/>
        </w:rPr>
      </w:pPr>
    </w:p>
    <w:p w14:paraId="05C2797F" w14:textId="7734C0A0" w:rsidR="00E33E8C" w:rsidRPr="00494C4E" w:rsidRDefault="00512F58" w:rsidP="00494C4E">
      <w:pPr>
        <w:pStyle w:val="paragraph"/>
        <w:spacing w:before="0" w:beforeAutospacing="0" w:after="0" w:afterAutospacing="0" w:line="276" w:lineRule="auto"/>
        <w:ind w:firstLine="708"/>
        <w:jc w:val="both"/>
        <w:textAlignment w:val="baseline"/>
        <w:rPr>
          <w:rStyle w:val="normaltextrun"/>
          <w:rFonts w:ascii="Tahoma" w:hAnsi="Tahoma" w:cs="Tahoma"/>
        </w:rPr>
      </w:pPr>
      <w:r w:rsidRPr="00494C4E">
        <w:rPr>
          <w:rStyle w:val="normaltextrun"/>
          <w:rFonts w:ascii="Tahoma" w:hAnsi="Tahoma" w:cs="Tahoma"/>
        </w:rPr>
        <w:t xml:space="preserve">En caso afirmativo, </w:t>
      </w:r>
      <w:r w:rsidR="00E33E8C" w:rsidRPr="00494C4E">
        <w:rPr>
          <w:rStyle w:val="normaltextrun"/>
          <w:rFonts w:ascii="Tahoma" w:hAnsi="Tahoma" w:cs="Tahoma"/>
        </w:rPr>
        <w:t xml:space="preserve">se revisará si </w:t>
      </w:r>
      <w:r w:rsidR="00E33E8C" w:rsidRPr="00494C4E">
        <w:rPr>
          <w:rFonts w:ascii="Tahoma" w:hAnsi="Tahoma" w:cs="Tahoma"/>
        </w:rPr>
        <w:t xml:space="preserve">el retroactivo se encuentra ajustado a derecho, si hay lugar a imponer el pago de los </w:t>
      </w:r>
      <w:r w:rsidR="00E33E8C" w:rsidRPr="00494C4E">
        <w:rPr>
          <w:rStyle w:val="normaltextrun"/>
          <w:rFonts w:ascii="Tahoma" w:hAnsi="Tahoma" w:cs="Tahoma"/>
        </w:rPr>
        <w:t>intereses moratorios desde la data de la negativa pensional</w:t>
      </w:r>
      <w:r w:rsidR="007F62C8" w:rsidRPr="00494C4E">
        <w:rPr>
          <w:rStyle w:val="normaltextrun"/>
          <w:rFonts w:ascii="Tahoma" w:hAnsi="Tahoma" w:cs="Tahoma"/>
        </w:rPr>
        <w:t>, y, de ser así, cuál</w:t>
      </w:r>
      <w:r w:rsidR="00E33E8C" w:rsidRPr="00494C4E">
        <w:rPr>
          <w:rStyle w:val="normaltextrun"/>
          <w:rFonts w:ascii="Tahoma" w:hAnsi="Tahoma" w:cs="Tahoma"/>
        </w:rPr>
        <w:t xml:space="preserve"> es el porcentaje de costas que debe reconocer Colpensiones. </w:t>
      </w:r>
    </w:p>
    <w:p w14:paraId="1A4B5B0E" w14:textId="7832F5C9" w:rsidR="00512F58" w:rsidRPr="00494C4E" w:rsidRDefault="00512F58" w:rsidP="00494C4E">
      <w:pPr>
        <w:pStyle w:val="paragraph"/>
        <w:spacing w:before="0" w:beforeAutospacing="0" w:after="0" w:afterAutospacing="0" w:line="276" w:lineRule="auto"/>
        <w:jc w:val="both"/>
        <w:textAlignment w:val="baseline"/>
        <w:rPr>
          <w:rStyle w:val="normaltextrun"/>
          <w:rFonts w:ascii="Tahoma" w:hAnsi="Tahoma" w:cs="Tahoma"/>
          <w:b/>
          <w:bCs/>
        </w:rPr>
      </w:pPr>
    </w:p>
    <w:p w14:paraId="6F8F366B" w14:textId="406F3C75" w:rsidR="0053679C" w:rsidRPr="00494C4E" w:rsidRDefault="00AB39A5" w:rsidP="00494C4E">
      <w:pPr>
        <w:pStyle w:val="paragraph"/>
        <w:numPr>
          <w:ilvl w:val="0"/>
          <w:numId w:val="15"/>
        </w:numPr>
        <w:spacing w:before="0" w:beforeAutospacing="0" w:after="0" w:afterAutospacing="0" w:line="276" w:lineRule="auto"/>
        <w:ind w:left="0" w:firstLine="0"/>
        <w:jc w:val="center"/>
        <w:textAlignment w:val="baseline"/>
        <w:rPr>
          <w:rFonts w:ascii="Tahoma" w:hAnsi="Tahoma" w:cs="Tahoma"/>
          <w:b/>
        </w:rPr>
      </w:pPr>
      <w:r w:rsidRPr="00494C4E">
        <w:rPr>
          <w:rStyle w:val="normaltextrun"/>
          <w:rFonts w:ascii="Tahoma" w:hAnsi="Tahoma" w:cs="Tahoma"/>
          <w:b/>
        </w:rPr>
        <w:t>Consideraciones</w:t>
      </w:r>
    </w:p>
    <w:p w14:paraId="1B95550E" w14:textId="1F35D27A" w:rsidR="34746905" w:rsidRPr="00494C4E" w:rsidRDefault="34746905" w:rsidP="00494C4E">
      <w:pPr>
        <w:pStyle w:val="Sinespaciado"/>
        <w:spacing w:line="276" w:lineRule="auto"/>
        <w:rPr>
          <w:rFonts w:ascii="Tahoma" w:hAnsi="Tahoma" w:cs="Tahoma"/>
        </w:rPr>
      </w:pPr>
    </w:p>
    <w:p w14:paraId="069411F1" w14:textId="77777777" w:rsidR="0053679C" w:rsidRPr="00494C4E" w:rsidRDefault="0053679C" w:rsidP="00494C4E">
      <w:pPr>
        <w:pStyle w:val="Prrafodelista"/>
        <w:widowControl w:val="0"/>
        <w:numPr>
          <w:ilvl w:val="1"/>
          <w:numId w:val="18"/>
        </w:numPr>
        <w:snapToGrid w:val="0"/>
        <w:spacing w:line="276" w:lineRule="auto"/>
        <w:ind w:right="17"/>
        <w:jc w:val="both"/>
        <w:rPr>
          <w:rFonts w:ascii="Tahoma" w:hAnsi="Tahoma" w:cs="Tahoma"/>
          <w:b/>
        </w:rPr>
      </w:pPr>
      <w:r w:rsidRPr="00494C4E">
        <w:rPr>
          <w:rFonts w:ascii="Tahoma" w:hAnsi="Tahoma" w:cs="Tahoma"/>
          <w:b/>
        </w:rPr>
        <w:t>Aproximación al concepto legal de “vida marital” previsto en el artículo 47 de la ley 100 de 1993.</w:t>
      </w:r>
    </w:p>
    <w:p w14:paraId="7980FEC6" w14:textId="77777777" w:rsidR="0053679C" w:rsidRPr="00494C4E" w:rsidRDefault="0053679C" w:rsidP="00494C4E">
      <w:pPr>
        <w:pStyle w:val="Sinespaciado"/>
        <w:spacing w:line="276" w:lineRule="auto"/>
        <w:rPr>
          <w:rFonts w:ascii="Tahoma" w:hAnsi="Tahoma" w:cs="Tahoma"/>
        </w:rPr>
      </w:pPr>
    </w:p>
    <w:p w14:paraId="64BAE2EB" w14:textId="77777777" w:rsidR="0053679C" w:rsidRPr="00494C4E" w:rsidRDefault="0053679C" w:rsidP="00494C4E">
      <w:pPr>
        <w:spacing w:line="276" w:lineRule="auto"/>
        <w:ind w:right="15" w:firstLine="708"/>
        <w:rPr>
          <w:rFonts w:ascii="Tahoma" w:hAnsi="Tahoma" w:cs="Tahoma"/>
          <w:sz w:val="24"/>
          <w:szCs w:val="24"/>
        </w:rPr>
      </w:pPr>
      <w:r w:rsidRPr="00494C4E">
        <w:rPr>
          <w:rFonts w:ascii="Tahoma" w:hAnsi="Tahoma" w:cs="Tahoma"/>
          <w:sz w:val="24"/>
          <w:szCs w:val="24"/>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494C4E">
        <w:rPr>
          <w:rFonts w:ascii="Tahoma" w:hAnsi="Tahoma" w:cs="Tahoma"/>
          <w:i/>
          <w:iCs/>
          <w:sz w:val="24"/>
          <w:szCs w:val="24"/>
        </w:rPr>
        <w:t>“</w:t>
      </w:r>
      <w:r w:rsidRPr="00494C4E">
        <w:rPr>
          <w:rFonts w:ascii="Tahoma" w:hAnsi="Tahoma" w:cs="Tahoma"/>
          <w:i/>
          <w:iCs/>
          <w:szCs w:val="24"/>
        </w:rPr>
        <w:t>constituye una garantía de legitimidad y justicia en el otorgamiento de dicha prestación que favorece a los demás miembros del grupo familiar, potencialmente beneficiarios de la misma prestación</w:t>
      </w:r>
      <w:r w:rsidRPr="00494C4E">
        <w:rPr>
          <w:rFonts w:ascii="Tahoma" w:hAnsi="Tahoma" w:cs="Tahoma"/>
          <w:i/>
          <w:iCs/>
          <w:sz w:val="24"/>
          <w:szCs w:val="24"/>
        </w:rPr>
        <w:t>”</w:t>
      </w:r>
      <w:r w:rsidRPr="00494C4E">
        <w:rPr>
          <w:rFonts w:ascii="Tahoma" w:hAnsi="Tahoma" w:cs="Tahoma"/>
          <w:sz w:val="24"/>
          <w:szCs w:val="24"/>
        </w:rPr>
        <w:t>.</w:t>
      </w:r>
    </w:p>
    <w:p w14:paraId="70A04E46" w14:textId="77777777" w:rsidR="0053679C" w:rsidRPr="00494C4E" w:rsidRDefault="0053679C" w:rsidP="00494C4E">
      <w:pPr>
        <w:pStyle w:val="Sinespaciado"/>
        <w:spacing w:line="276" w:lineRule="auto"/>
        <w:rPr>
          <w:rFonts w:ascii="Tahoma" w:hAnsi="Tahoma" w:cs="Tahoma"/>
        </w:rPr>
      </w:pPr>
    </w:p>
    <w:p w14:paraId="50E7CBC4" w14:textId="0E0F151A" w:rsidR="0053679C" w:rsidRPr="00494C4E" w:rsidRDefault="0053679C" w:rsidP="00494C4E">
      <w:pPr>
        <w:spacing w:line="276" w:lineRule="auto"/>
        <w:ind w:right="15" w:firstLine="708"/>
        <w:rPr>
          <w:rFonts w:ascii="Tahoma" w:hAnsi="Tahoma" w:cs="Tahoma"/>
          <w:i/>
          <w:color w:val="000000"/>
          <w:sz w:val="24"/>
          <w:szCs w:val="24"/>
        </w:rPr>
      </w:pPr>
      <w:r w:rsidRPr="00494C4E">
        <w:rPr>
          <w:rFonts w:ascii="Tahoma" w:hAnsi="Tahoma" w:cs="Tahoma"/>
          <w:sz w:val="24"/>
          <w:szCs w:val="24"/>
        </w:rPr>
        <w:t>Para el presente caso, dada la fecha del fallecimiento de</w:t>
      </w:r>
      <w:r w:rsidR="00AF5584" w:rsidRPr="00494C4E">
        <w:rPr>
          <w:rFonts w:ascii="Tahoma" w:hAnsi="Tahoma" w:cs="Tahoma"/>
          <w:sz w:val="24"/>
          <w:szCs w:val="24"/>
        </w:rPr>
        <w:t xml:space="preserve"> </w:t>
      </w:r>
      <w:r w:rsidRPr="00494C4E">
        <w:rPr>
          <w:rFonts w:ascii="Tahoma" w:hAnsi="Tahoma" w:cs="Tahoma"/>
          <w:sz w:val="24"/>
          <w:szCs w:val="24"/>
        </w:rPr>
        <w:t>l</w:t>
      </w:r>
      <w:r w:rsidR="00AF5584" w:rsidRPr="00494C4E">
        <w:rPr>
          <w:rFonts w:ascii="Tahoma" w:hAnsi="Tahoma" w:cs="Tahoma"/>
          <w:sz w:val="24"/>
          <w:szCs w:val="24"/>
        </w:rPr>
        <w:t>a señora</w:t>
      </w:r>
      <w:r w:rsidRPr="00494C4E">
        <w:rPr>
          <w:rFonts w:ascii="Tahoma" w:hAnsi="Tahoma" w:cs="Tahoma"/>
          <w:sz w:val="24"/>
          <w:szCs w:val="24"/>
        </w:rPr>
        <w:t xml:space="preserve"> </w:t>
      </w:r>
      <w:r w:rsidR="00AF5584" w:rsidRPr="00494C4E">
        <w:rPr>
          <w:rFonts w:ascii="Tahoma" w:hAnsi="Tahoma" w:cs="Tahoma"/>
          <w:sz w:val="24"/>
          <w:szCs w:val="24"/>
          <w:lang w:val="es-CO"/>
        </w:rPr>
        <w:t xml:space="preserve">ALBA LUCÍA DUQUE DE HERRERA </w:t>
      </w:r>
      <w:r w:rsidRPr="00494C4E">
        <w:rPr>
          <w:rFonts w:ascii="Tahoma" w:hAnsi="Tahoma" w:cs="Tahoma"/>
          <w:sz w:val="24"/>
          <w:szCs w:val="24"/>
        </w:rPr>
        <w:t>(</w:t>
      </w:r>
      <w:r w:rsidR="00AF5584" w:rsidRPr="00494C4E">
        <w:rPr>
          <w:rFonts w:ascii="Tahoma" w:hAnsi="Tahoma" w:cs="Tahoma"/>
          <w:sz w:val="24"/>
          <w:szCs w:val="24"/>
        </w:rPr>
        <w:t>15 de enero de 2020</w:t>
      </w:r>
      <w:r w:rsidRPr="00494C4E">
        <w:rPr>
          <w:rFonts w:ascii="Tahoma" w:hAnsi="Tahoma" w:cs="Tahoma"/>
          <w:sz w:val="24"/>
          <w:szCs w:val="24"/>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494C4E">
        <w:rPr>
          <w:rFonts w:ascii="Tahoma" w:hAnsi="Tahoma" w:cs="Tahoma"/>
          <w:i/>
          <w:color w:val="000000"/>
          <w:sz w:val="24"/>
          <w:szCs w:val="24"/>
        </w:rPr>
        <w:t xml:space="preserve">: </w:t>
      </w:r>
      <w:r w:rsidRPr="00494C4E">
        <w:rPr>
          <w:rFonts w:ascii="Tahoma" w:hAnsi="Tahoma" w:cs="Tahoma"/>
          <w:i/>
          <w:sz w:val="24"/>
          <w:szCs w:val="24"/>
        </w:rPr>
        <w:t>“</w:t>
      </w:r>
      <w:r w:rsidRPr="00494C4E">
        <w:rPr>
          <w:rFonts w:ascii="Tahoma" w:hAnsi="Tahoma" w:cs="Tahoma"/>
          <w:bCs/>
          <w:i/>
          <w:color w:val="000000"/>
          <w:szCs w:val="24"/>
        </w:rPr>
        <w:t>a)</w:t>
      </w:r>
      <w:r w:rsidRPr="00494C4E">
        <w:rPr>
          <w:rFonts w:ascii="Tahoma" w:hAnsi="Tahoma" w:cs="Tahoma"/>
          <w:i/>
          <w:color w:val="000000"/>
          <w:szCs w:val="24"/>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494C4E">
        <w:rPr>
          <w:rFonts w:ascii="Tahoma" w:hAnsi="Tahoma" w:cs="Tahoma"/>
          <w:bCs/>
          <w:i/>
          <w:color w:val="000000"/>
          <w:szCs w:val="24"/>
        </w:rPr>
        <w:t>la compañera o compañero permanente supérstite, deberá acreditar que estuvo haciendo vida marital con el causante hasta su muerte y haya convivido con el fallecido no menos de cinco (5) años continuos con anterioridad a su muerte</w:t>
      </w:r>
      <w:r w:rsidRPr="00494C4E">
        <w:rPr>
          <w:rFonts w:ascii="Tahoma" w:hAnsi="Tahoma" w:cs="Tahoma"/>
          <w:i/>
          <w:color w:val="000000"/>
          <w:szCs w:val="24"/>
        </w:rPr>
        <w:t>. (…)</w:t>
      </w:r>
      <w:r w:rsidRPr="00494C4E">
        <w:rPr>
          <w:rFonts w:ascii="Tahoma" w:hAnsi="Tahoma" w:cs="Tahoma"/>
          <w:i/>
          <w:color w:val="000000"/>
          <w:sz w:val="24"/>
          <w:szCs w:val="24"/>
        </w:rPr>
        <w:t>”.</w:t>
      </w:r>
    </w:p>
    <w:p w14:paraId="6780ED40" w14:textId="77777777" w:rsidR="0053679C" w:rsidRPr="00494C4E" w:rsidRDefault="0053679C" w:rsidP="00494C4E">
      <w:pPr>
        <w:pStyle w:val="Sinespaciado"/>
        <w:spacing w:line="276" w:lineRule="auto"/>
        <w:rPr>
          <w:rFonts w:ascii="Tahoma" w:hAnsi="Tahoma" w:cs="Tahoma"/>
        </w:rPr>
      </w:pPr>
    </w:p>
    <w:p w14:paraId="0BCDA016" w14:textId="77777777" w:rsidR="00550B37" w:rsidRPr="00494C4E" w:rsidRDefault="00550B37" w:rsidP="00494C4E">
      <w:pPr>
        <w:spacing w:line="276" w:lineRule="auto"/>
        <w:ind w:firstLine="708"/>
        <w:rPr>
          <w:rFonts w:ascii="Tahoma" w:hAnsi="Tahoma" w:cs="Tahoma"/>
          <w:sz w:val="24"/>
          <w:szCs w:val="24"/>
        </w:rPr>
      </w:pPr>
      <w:r w:rsidRPr="00494C4E">
        <w:rPr>
          <w:rFonts w:ascii="Tahoma" w:hAnsi="Tahoma" w:cs="Tahoma"/>
          <w:sz w:val="24"/>
          <w:szCs w:val="24"/>
          <w:lang w:val="es-CO"/>
        </w:rPr>
        <w:t>Dicho todo lo anterior, cabe recordar, por último,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w:t>
      </w:r>
      <w:r w:rsidRPr="00494C4E">
        <w:rPr>
          <w:rFonts w:ascii="Tahoma" w:hAnsi="Tahoma" w:cs="Tahoma"/>
          <w:sz w:val="24"/>
          <w:szCs w:val="24"/>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6A8318F0" w14:textId="77777777" w:rsidR="00550B37" w:rsidRPr="00494C4E" w:rsidRDefault="00550B37" w:rsidP="00494C4E">
      <w:pPr>
        <w:spacing w:line="276" w:lineRule="auto"/>
        <w:ind w:firstLine="708"/>
        <w:rPr>
          <w:rFonts w:ascii="Tahoma" w:hAnsi="Tahoma" w:cs="Tahoma"/>
          <w:sz w:val="24"/>
          <w:szCs w:val="24"/>
        </w:rPr>
      </w:pPr>
    </w:p>
    <w:p w14:paraId="42609F89" w14:textId="77777777" w:rsidR="00550B37" w:rsidRPr="00494C4E" w:rsidRDefault="00550B37" w:rsidP="00494C4E">
      <w:pPr>
        <w:spacing w:line="276" w:lineRule="auto"/>
        <w:ind w:firstLine="708"/>
        <w:rPr>
          <w:rFonts w:ascii="Tahoma" w:eastAsia="Tahoma" w:hAnsi="Tahoma" w:cs="Tahoma"/>
          <w:sz w:val="24"/>
          <w:szCs w:val="24"/>
        </w:rPr>
      </w:pPr>
      <w:r w:rsidRPr="00494C4E">
        <w:rPr>
          <w:rFonts w:ascii="Tahoma" w:eastAsia="Tahoma" w:hAnsi="Tahoma" w:cs="Tahoma"/>
          <w:sz w:val="24"/>
          <w:szCs w:val="24"/>
        </w:rPr>
        <w:t xml:space="preserve">Es del caso recalcar que la cohabitación bajo el mismo techo no es el único rasgo distintivo de una relación de convivencia e incluso su ausencia o interrupción se </w:t>
      </w:r>
      <w:r w:rsidRPr="00494C4E">
        <w:rPr>
          <w:rFonts w:ascii="Tahoma" w:eastAsia="Tahoma" w:hAnsi="Tahoma" w:cs="Tahoma"/>
          <w:sz w:val="24"/>
          <w:szCs w:val="24"/>
        </w:rPr>
        <w:lastRenderedPageBreak/>
        <w:t xml:space="preserve">puede excusar bajo razones de fuerza mayor o caso fortuito, como salud, trabajo, situaciones legales o económicas, discusiones o desacuerdos temporales, entre otros. Dichas razones deben aparecer acreditadas en los procesos donde se persigue el reconocimiento de una pensión de sobrevivientes, pues el juzgador deberá examinar y ponderar en cada caso concreto la razonabilidad de la justificación que explica la falta de cohabitación y además verificar si la consunción de ese elemento característico atenuó las demás expresiones de la vida en común, esto es, el acompañamiento espiritual permanente, un proyecto familiar en común, apoyo económico, vida de pareja, etc. (Ver entre otras, sentencia </w:t>
      </w:r>
      <w:r w:rsidRPr="00494C4E">
        <w:rPr>
          <w:rFonts w:ascii="Tahoma" w:hAnsi="Tahoma" w:cs="Tahoma"/>
          <w:sz w:val="24"/>
          <w:szCs w:val="24"/>
          <w:shd w:val="clear" w:color="auto" w:fill="FFFFFF"/>
        </w:rPr>
        <w:t xml:space="preserve">CSJ SL, 10 May. 2007, rad. 30141, CSJ SL, 14 jun. 2011, rad. 31.605 y </w:t>
      </w:r>
      <w:r w:rsidRPr="00494C4E">
        <w:rPr>
          <w:rFonts w:ascii="Tahoma" w:eastAsia="Tahoma" w:hAnsi="Tahoma" w:cs="Tahoma"/>
          <w:sz w:val="24"/>
          <w:szCs w:val="24"/>
        </w:rPr>
        <w:t>CSJ SL803 de 2022)</w:t>
      </w:r>
    </w:p>
    <w:p w14:paraId="36981ACA" w14:textId="77777777" w:rsidR="0053679C" w:rsidRPr="00494C4E" w:rsidRDefault="0053679C" w:rsidP="00494C4E">
      <w:pPr>
        <w:spacing w:line="276" w:lineRule="auto"/>
        <w:ind w:firstLine="708"/>
        <w:rPr>
          <w:rFonts w:ascii="Tahoma" w:hAnsi="Tahoma" w:cs="Tahoma"/>
          <w:sz w:val="24"/>
          <w:szCs w:val="24"/>
        </w:rPr>
      </w:pPr>
    </w:p>
    <w:p w14:paraId="642793F7" w14:textId="77777777" w:rsidR="0053679C" w:rsidRPr="00494C4E" w:rsidRDefault="0053679C" w:rsidP="00494C4E">
      <w:pPr>
        <w:pStyle w:val="Prrafodelista"/>
        <w:widowControl w:val="0"/>
        <w:numPr>
          <w:ilvl w:val="1"/>
          <w:numId w:val="18"/>
        </w:numPr>
        <w:tabs>
          <w:tab w:val="left" w:pos="-720"/>
        </w:tabs>
        <w:snapToGrid w:val="0"/>
        <w:spacing w:line="276" w:lineRule="auto"/>
        <w:jc w:val="both"/>
        <w:rPr>
          <w:rFonts w:ascii="Tahoma" w:hAnsi="Tahoma" w:cs="Tahoma"/>
          <w:b/>
        </w:rPr>
      </w:pPr>
      <w:r w:rsidRPr="00494C4E">
        <w:rPr>
          <w:rFonts w:ascii="Tahoma" w:hAnsi="Tahoma" w:cs="Tahoma"/>
          <w:b/>
        </w:rPr>
        <w:t>Naturaleza resarcitoria de los intereses moratorios</w:t>
      </w:r>
    </w:p>
    <w:p w14:paraId="5D64568D" w14:textId="77777777" w:rsidR="0053679C" w:rsidRPr="00494C4E" w:rsidRDefault="0053679C" w:rsidP="00494C4E">
      <w:pPr>
        <w:pStyle w:val="Sinespaciado"/>
        <w:spacing w:line="276" w:lineRule="auto"/>
        <w:rPr>
          <w:rFonts w:ascii="Tahoma" w:hAnsi="Tahoma" w:cs="Tahoma"/>
        </w:rPr>
      </w:pPr>
    </w:p>
    <w:p w14:paraId="6D5947AC" w14:textId="77777777" w:rsidR="0053679C" w:rsidRPr="00494C4E" w:rsidRDefault="0053679C" w:rsidP="00494C4E">
      <w:pPr>
        <w:widowControl w:val="0"/>
        <w:autoSpaceDE w:val="0"/>
        <w:autoSpaceDN w:val="0"/>
        <w:adjustRightInd w:val="0"/>
        <w:spacing w:line="276" w:lineRule="auto"/>
        <w:rPr>
          <w:rFonts w:ascii="Tahoma" w:hAnsi="Tahoma" w:cs="Tahoma"/>
          <w:color w:val="000000"/>
          <w:sz w:val="24"/>
          <w:szCs w:val="24"/>
          <w:shd w:val="clear" w:color="auto" w:fill="FFFFFF"/>
        </w:rPr>
      </w:pPr>
      <w:r w:rsidRPr="00494C4E">
        <w:rPr>
          <w:rFonts w:ascii="Tahoma" w:hAnsi="Tahoma" w:cs="Tahoma"/>
          <w:bCs/>
          <w:sz w:val="24"/>
          <w:szCs w:val="24"/>
        </w:rPr>
        <w:t xml:space="preserve">Señala el artículo 141 de la ley 100 de 1993, que </w:t>
      </w:r>
      <w:r w:rsidRPr="00494C4E">
        <w:rPr>
          <w:rFonts w:ascii="Tahoma" w:hAnsi="Tahoma" w:cs="Tahoma"/>
          <w:bCs/>
          <w:i/>
          <w:sz w:val="24"/>
          <w:szCs w:val="24"/>
        </w:rPr>
        <w:t>“</w:t>
      </w:r>
      <w:r w:rsidRPr="00494C4E">
        <w:rPr>
          <w:rFonts w:ascii="Tahoma" w:hAnsi="Tahoma" w:cs="Tahoma"/>
          <w:i/>
          <w:color w:val="000000"/>
          <w:szCs w:val="24"/>
          <w:shd w:val="clear" w:color="auto" w:fill="FFFFFF"/>
        </w:rPr>
        <w:t>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sidRPr="00494C4E">
        <w:rPr>
          <w:rFonts w:ascii="Tahoma" w:hAnsi="Tahoma" w:cs="Tahoma"/>
          <w:i/>
          <w:color w:val="000000"/>
          <w:sz w:val="24"/>
          <w:szCs w:val="24"/>
          <w:shd w:val="clear" w:color="auto" w:fill="FFFFFF"/>
        </w:rPr>
        <w:t>”.</w:t>
      </w:r>
    </w:p>
    <w:p w14:paraId="151F7345" w14:textId="77777777" w:rsidR="0053679C" w:rsidRPr="00494C4E" w:rsidRDefault="0053679C" w:rsidP="00494C4E">
      <w:pPr>
        <w:pStyle w:val="Sinespaciado"/>
        <w:spacing w:line="276" w:lineRule="auto"/>
        <w:rPr>
          <w:rFonts w:ascii="Tahoma" w:hAnsi="Tahoma" w:cs="Tahoma"/>
          <w:shd w:val="clear" w:color="auto" w:fill="FFFFFF"/>
        </w:rPr>
      </w:pPr>
    </w:p>
    <w:p w14:paraId="7295D330" w14:textId="77777777" w:rsidR="0053679C" w:rsidRPr="00494C4E" w:rsidRDefault="0053679C" w:rsidP="00494C4E">
      <w:pPr>
        <w:widowControl w:val="0"/>
        <w:autoSpaceDE w:val="0"/>
        <w:autoSpaceDN w:val="0"/>
        <w:adjustRightInd w:val="0"/>
        <w:spacing w:line="276" w:lineRule="auto"/>
        <w:ind w:firstLine="708"/>
        <w:rPr>
          <w:rFonts w:ascii="Tahoma" w:hAnsi="Tahoma" w:cs="Tahoma"/>
          <w:color w:val="000000"/>
          <w:sz w:val="24"/>
          <w:szCs w:val="24"/>
          <w:shd w:val="clear" w:color="auto" w:fill="FFFFFF"/>
        </w:rPr>
      </w:pPr>
      <w:r w:rsidRPr="00494C4E">
        <w:rPr>
          <w:rFonts w:ascii="Tahoma" w:hAnsi="Tahoma" w:cs="Tahoma"/>
          <w:color w:val="000000"/>
          <w:sz w:val="24"/>
          <w:szCs w:val="24"/>
          <w:shd w:val="clear" w:color="auto" w:fill="FFFFFF"/>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78D3D052" w14:textId="77777777" w:rsidR="0053679C" w:rsidRPr="00494C4E" w:rsidRDefault="0053679C" w:rsidP="00494C4E">
      <w:pPr>
        <w:pStyle w:val="Sinespaciado"/>
        <w:spacing w:line="276" w:lineRule="auto"/>
        <w:rPr>
          <w:rFonts w:ascii="Tahoma" w:hAnsi="Tahoma" w:cs="Tahoma"/>
        </w:rPr>
      </w:pPr>
    </w:p>
    <w:p w14:paraId="70EBCB9A" w14:textId="77777777" w:rsidR="0053679C" w:rsidRPr="00494C4E" w:rsidRDefault="0053679C" w:rsidP="00494C4E">
      <w:pPr>
        <w:widowControl w:val="0"/>
        <w:autoSpaceDE w:val="0"/>
        <w:autoSpaceDN w:val="0"/>
        <w:adjustRightInd w:val="0"/>
        <w:spacing w:line="276" w:lineRule="auto"/>
        <w:ind w:firstLine="708"/>
        <w:rPr>
          <w:rFonts w:ascii="Tahoma" w:hAnsi="Tahoma" w:cs="Tahoma"/>
          <w:sz w:val="24"/>
          <w:szCs w:val="24"/>
        </w:rPr>
      </w:pPr>
      <w:r w:rsidRPr="00494C4E">
        <w:rPr>
          <w:rFonts w:ascii="Tahoma" w:hAnsi="Tahoma" w:cs="Tahoma"/>
          <w:sz w:val="24"/>
          <w:szCs w:val="24"/>
        </w:rPr>
        <w:t xml:space="preserve">El carácter particularmente resarcitorio del interés previsto en el artículo 141 de la Ley 100 de 1993, lo emparenta al mundo de las obligaciones objetivas, pues la norma en comento no se detiene en miramientos particulares o subjetivos, ya que solo basta la mora para que, </w:t>
      </w:r>
      <w:r w:rsidRPr="00494C4E">
        <w:rPr>
          <w:rFonts w:ascii="Tahoma" w:hAnsi="Tahoma" w:cs="Tahoma"/>
          <w:i/>
          <w:sz w:val="24"/>
          <w:szCs w:val="24"/>
        </w:rPr>
        <w:t>de iure</w:t>
      </w:r>
      <w:r w:rsidRPr="00494C4E">
        <w:rPr>
          <w:rFonts w:ascii="Tahoma" w:hAnsi="Tahoma" w:cs="Tahoma"/>
          <w:sz w:val="24"/>
          <w:szCs w:val="24"/>
        </w:rPr>
        <w:t>, asome la obligación de pagar intereses moratorios. En cambio, frente a las sanciones, por su relación directa con la conducta del autor del daño antijurídico, es posible que se hable de causales o circunstancias de exoneración, dentro de la que perfectamente cabe, por ejemplo, la buena fe del moroso. Empero, esto no es lo que ocurre cuando nos referimos a los intereses previstos en el artículo 141 de la ley 100 de 1993.</w:t>
      </w:r>
    </w:p>
    <w:p w14:paraId="20EECFDA" w14:textId="77777777" w:rsidR="0053679C" w:rsidRPr="00494C4E" w:rsidRDefault="0053679C" w:rsidP="00494C4E">
      <w:pPr>
        <w:pStyle w:val="Sinespaciado"/>
        <w:spacing w:line="276" w:lineRule="auto"/>
        <w:rPr>
          <w:rFonts w:ascii="Tahoma" w:hAnsi="Tahoma" w:cs="Tahoma"/>
        </w:rPr>
      </w:pPr>
    </w:p>
    <w:p w14:paraId="5B090CC8" w14:textId="12A1AA08" w:rsidR="0053679C" w:rsidRPr="00494C4E" w:rsidRDefault="0053679C" w:rsidP="00494C4E">
      <w:pPr>
        <w:widowControl w:val="0"/>
        <w:spacing w:line="276" w:lineRule="auto"/>
        <w:ind w:firstLine="708"/>
        <w:rPr>
          <w:rFonts w:ascii="Tahoma" w:hAnsi="Tahoma" w:cs="Tahoma"/>
          <w:color w:val="000000" w:themeColor="text1"/>
          <w:sz w:val="24"/>
          <w:szCs w:val="24"/>
        </w:rPr>
      </w:pPr>
      <w:r w:rsidRPr="00494C4E">
        <w:rPr>
          <w:rFonts w:ascii="Tahoma" w:hAnsi="Tahoma" w:cs="Tahoma"/>
          <w:sz w:val="24"/>
          <w:szCs w:val="24"/>
        </w:rPr>
        <w:t xml:space="preserve">En este mismo sentido se ha </w:t>
      </w:r>
      <w:bookmarkStart w:id="5" w:name="_Hlk119501350"/>
      <w:r w:rsidRPr="00494C4E">
        <w:rPr>
          <w:rFonts w:ascii="Tahoma" w:hAnsi="Tahoma" w:cs="Tahoma"/>
          <w:sz w:val="24"/>
          <w:szCs w:val="24"/>
        </w:rPr>
        <w:t>pronunciado en múltiples providencias la Sala Laboral de la Corte Suprema de Justicia, entre ellas la sentencia No. 26728 de 2006, donde indicó que con este tipo de intereses se pretende la reparación de los perjuicios causados a quien teniendo derecho a la pensión no recibe oportunamente su valor. De allí se abstrae una naturaleza resarcitoria y no sancionatoria</w:t>
      </w:r>
      <w:bookmarkEnd w:id="5"/>
      <w:r w:rsidRPr="00494C4E">
        <w:rPr>
          <w:rFonts w:ascii="Tahoma" w:hAnsi="Tahoma" w:cs="Tahoma"/>
          <w:sz w:val="24"/>
          <w:szCs w:val="24"/>
        </w:rPr>
        <w:t>. En este orden, el concepto de buena o mala fe del deudor o las circunstancias particulares que hayan conducido a la discusión del derecho no pueden ser considerados para establecer la procedencia de los intereses moratorios.</w:t>
      </w:r>
    </w:p>
    <w:p w14:paraId="567E1064" w14:textId="77777777" w:rsidR="0053679C" w:rsidRPr="00494C4E" w:rsidRDefault="0053679C" w:rsidP="00494C4E">
      <w:pPr>
        <w:pStyle w:val="Sinespaciado"/>
        <w:spacing w:line="276" w:lineRule="auto"/>
        <w:rPr>
          <w:rFonts w:ascii="Tahoma" w:hAnsi="Tahoma" w:cs="Tahoma"/>
        </w:rPr>
      </w:pPr>
    </w:p>
    <w:p w14:paraId="16687DBD" w14:textId="1EFCEC12" w:rsidR="00AB39A5" w:rsidRPr="00494C4E" w:rsidRDefault="0053679C" w:rsidP="00494C4E">
      <w:pPr>
        <w:spacing w:line="276" w:lineRule="auto"/>
        <w:rPr>
          <w:rFonts w:ascii="Tahoma" w:hAnsi="Tahoma" w:cs="Tahoma"/>
          <w:sz w:val="24"/>
          <w:szCs w:val="24"/>
          <w:lang w:val="es"/>
        </w:rPr>
      </w:pPr>
      <w:r w:rsidRPr="00494C4E">
        <w:rPr>
          <w:rFonts w:ascii="Tahoma" w:hAnsi="Tahoma" w:cs="Tahoma"/>
          <w:sz w:val="24"/>
          <w:szCs w:val="24"/>
        </w:rPr>
        <w:t xml:space="preserve">Cabe aclarar que, por vía de una interpretación jurisprudencial más cercana en el tiempo, </w:t>
      </w:r>
      <w:r w:rsidR="1F24194B" w:rsidRPr="00494C4E">
        <w:rPr>
          <w:rFonts w:ascii="Tahoma" w:hAnsi="Tahoma" w:cs="Tahoma"/>
          <w:sz w:val="24"/>
          <w:szCs w:val="24"/>
        </w:rPr>
        <w:t>l</w:t>
      </w:r>
      <w:r w:rsidRPr="00494C4E">
        <w:rPr>
          <w:rFonts w:ascii="Tahoma" w:hAnsi="Tahoma" w:cs="Tahoma"/>
          <w:sz w:val="24"/>
          <w:szCs w:val="24"/>
        </w:rPr>
        <w:t xml:space="preserve">a Sala de Casación Laboral de la Corte Suprema de Justicia ha consentido una especie de excepción insular a la línea jurisprudencial imperante, pues no la recoge </w:t>
      </w:r>
      <w:r w:rsidRPr="00494C4E">
        <w:rPr>
          <w:rFonts w:ascii="Tahoma" w:hAnsi="Tahoma" w:cs="Tahoma"/>
          <w:sz w:val="24"/>
          <w:szCs w:val="24"/>
        </w:rPr>
        <w:lastRenderedPageBreak/>
        <w:t xml:space="preserve">del todo, pero la “modera”, </w:t>
      </w:r>
      <w:r w:rsidR="5FF57791" w:rsidRPr="00494C4E">
        <w:rPr>
          <w:rFonts w:ascii="Tahoma" w:hAnsi="Tahoma" w:cs="Tahoma"/>
          <w:sz w:val="24"/>
          <w:szCs w:val="24"/>
        </w:rPr>
        <w:t xml:space="preserve">tal como </w:t>
      </w:r>
      <w:r w:rsidR="10584856" w:rsidRPr="00494C4E">
        <w:rPr>
          <w:rFonts w:ascii="Tahoma" w:hAnsi="Tahoma" w:cs="Tahoma"/>
          <w:sz w:val="24"/>
          <w:szCs w:val="24"/>
        </w:rPr>
        <w:t xml:space="preserve">se desprende, entre otras, de la sentencia CSJ SL 4309 de 2022 </w:t>
      </w:r>
      <w:r w:rsidR="4BDFB464" w:rsidRPr="00494C4E">
        <w:rPr>
          <w:rFonts w:ascii="Tahoma" w:hAnsi="Tahoma" w:cs="Tahoma"/>
          <w:sz w:val="24"/>
          <w:szCs w:val="24"/>
        </w:rPr>
        <w:t xml:space="preserve">donde </w:t>
      </w:r>
      <w:r w:rsidR="10584856" w:rsidRPr="00494C4E">
        <w:rPr>
          <w:rFonts w:ascii="Tahoma" w:hAnsi="Tahoma" w:cs="Tahoma"/>
          <w:sz w:val="24"/>
          <w:szCs w:val="24"/>
        </w:rPr>
        <w:t>expuso:</w:t>
      </w:r>
    </w:p>
    <w:p w14:paraId="66159CD8" w14:textId="60E51D88" w:rsidR="00AB39A5" w:rsidRPr="00494C4E" w:rsidRDefault="00AB39A5" w:rsidP="00494C4E">
      <w:pPr>
        <w:spacing w:line="276" w:lineRule="auto"/>
        <w:rPr>
          <w:rFonts w:ascii="Tahoma" w:eastAsia="Arial Narrow" w:hAnsi="Tahoma" w:cs="Tahoma"/>
          <w:i/>
          <w:iCs/>
          <w:sz w:val="24"/>
          <w:szCs w:val="24"/>
          <w:lang w:val="es"/>
        </w:rPr>
      </w:pPr>
    </w:p>
    <w:p w14:paraId="00DE830A" w14:textId="2FA2A929" w:rsidR="00AB39A5" w:rsidRPr="00494C4E" w:rsidRDefault="10584856" w:rsidP="00494C4E">
      <w:pPr>
        <w:spacing w:line="240" w:lineRule="auto"/>
        <w:ind w:left="426" w:right="420"/>
        <w:rPr>
          <w:rFonts w:ascii="Tahoma" w:eastAsia="Arial Narrow" w:hAnsi="Tahoma" w:cs="Tahoma"/>
          <w:i/>
          <w:iCs/>
          <w:color w:val="000000" w:themeColor="text1"/>
          <w:szCs w:val="24"/>
          <w:lang w:val="es"/>
        </w:rPr>
      </w:pPr>
      <w:r w:rsidRPr="00494C4E">
        <w:rPr>
          <w:rFonts w:ascii="Tahoma" w:eastAsia="Arial Narrow" w:hAnsi="Tahoma" w:cs="Tahoma"/>
          <w:i/>
          <w:iCs/>
          <w:szCs w:val="24"/>
          <w:lang w:val="es"/>
        </w:rPr>
        <w:t>“la jurisprudencia del trabajo ha aligerado la tesis de la procedencia irrestricta de los intereses moratorios cuando se verifica mora de la entidad, ello solo ha tenido lugar en los siguientes precisos y excepcionales eventos: (i) cuando la administradora de pensiones niega el derecho con respaldo en una norma vigente que la autoriza para ello y que con ocasión de una decisión jurisprudencial luego es inaplicada o interpretada de un modo que la entidad no podía razonablemente prever; (ii) cuando la entidad define el derecho con base en una línea jurisprudencial que posteriormente es abandonada, o (iii) cuando existe un conflicto entre potenciales beneficiarios (</w:t>
      </w:r>
      <w:r w:rsidRPr="00494C4E">
        <w:rPr>
          <w:rFonts w:ascii="Tahoma" w:eastAsia="Arial Narrow" w:hAnsi="Tahoma" w:cs="Tahoma"/>
          <w:i/>
          <w:iCs/>
          <w:color w:val="000000" w:themeColor="text1"/>
          <w:szCs w:val="24"/>
          <w:lang w:val="es"/>
        </w:rPr>
        <w:t>CSJ SL787-2013, SL10504-2014, SL10637-2015, SL1399-2018 y SL2414-2020)</w:t>
      </w:r>
    </w:p>
    <w:p w14:paraId="52D519B2" w14:textId="14D5CCF7" w:rsidR="00AB39A5" w:rsidRPr="00494C4E" w:rsidRDefault="10584856" w:rsidP="00494C4E">
      <w:pPr>
        <w:spacing w:line="240" w:lineRule="auto"/>
        <w:ind w:left="426" w:right="420"/>
        <w:rPr>
          <w:rFonts w:ascii="Tahoma" w:eastAsia="Arial Narrow" w:hAnsi="Tahoma" w:cs="Tahoma"/>
          <w:i/>
          <w:iCs/>
          <w:szCs w:val="24"/>
          <w:lang w:val="es"/>
        </w:rPr>
      </w:pPr>
      <w:r w:rsidRPr="00494C4E">
        <w:rPr>
          <w:rFonts w:ascii="Tahoma" w:eastAsia="Arial Narrow" w:hAnsi="Tahoma" w:cs="Tahoma"/>
          <w:i/>
          <w:iCs/>
          <w:szCs w:val="24"/>
          <w:lang w:val="es"/>
        </w:rPr>
        <w:t xml:space="preserve"> </w:t>
      </w:r>
    </w:p>
    <w:p w14:paraId="23F9D4A6" w14:textId="22E5A540" w:rsidR="00AB39A5" w:rsidRPr="00494C4E" w:rsidRDefault="10584856" w:rsidP="00494C4E">
      <w:pPr>
        <w:spacing w:line="240" w:lineRule="auto"/>
        <w:ind w:left="426" w:right="420"/>
        <w:rPr>
          <w:rFonts w:ascii="Tahoma" w:eastAsia="Arial Narrow" w:hAnsi="Tahoma" w:cs="Tahoma"/>
          <w:i/>
          <w:iCs/>
          <w:szCs w:val="24"/>
          <w:lang w:val="es"/>
        </w:rPr>
      </w:pPr>
      <w:r w:rsidRPr="00494C4E">
        <w:rPr>
          <w:rFonts w:ascii="Tahoma" w:eastAsia="Arial Narrow" w:hAnsi="Tahoma" w:cs="Tahoma"/>
          <w:i/>
          <w:iCs/>
          <w:szCs w:val="24"/>
          <w:lang w:val="es"/>
        </w:rPr>
        <w:t>No obstante, cuando se trata de controversias fácticas relacionadas con requisitos pensionales tales como el tiempo de convivencia, la dependencia económica o la acreditación de las semanas pensionales, o de discrepancias atinentes a la interpretación de un precepto jurídico, es procedente el pago de los intereses moratorios, pues se parte de la premisa que la entidad administradora debe hacer un análisis juicioso y exhaustivo de la solicitud y de las pruebas que la acompañan, y esforzarse por interpretar de la mejor manera las normas a fin de definir lo más certeramente posible el derecho</w:t>
      </w:r>
      <w:r w:rsidR="518003D6" w:rsidRPr="00494C4E">
        <w:rPr>
          <w:rFonts w:ascii="Tahoma" w:eastAsia="Arial Narrow" w:hAnsi="Tahoma" w:cs="Tahoma"/>
          <w:i/>
          <w:iCs/>
          <w:szCs w:val="24"/>
          <w:lang w:val="es"/>
        </w:rPr>
        <w:t>”</w:t>
      </w:r>
      <w:r w:rsidRPr="00494C4E">
        <w:rPr>
          <w:rFonts w:ascii="Tahoma" w:eastAsia="Arial Narrow" w:hAnsi="Tahoma" w:cs="Tahoma"/>
          <w:i/>
          <w:iCs/>
          <w:szCs w:val="24"/>
          <w:lang w:val="es"/>
        </w:rPr>
        <w:t>.</w:t>
      </w:r>
    </w:p>
    <w:p w14:paraId="1A3ACFD0" w14:textId="0BA23234" w:rsidR="00AB39A5" w:rsidRPr="00494C4E" w:rsidRDefault="00AB39A5" w:rsidP="00494C4E">
      <w:pPr>
        <w:widowControl w:val="0"/>
        <w:spacing w:line="276" w:lineRule="auto"/>
        <w:ind w:firstLine="708"/>
        <w:rPr>
          <w:rFonts w:ascii="Tahoma" w:hAnsi="Tahoma" w:cs="Tahoma"/>
          <w:sz w:val="24"/>
          <w:szCs w:val="24"/>
        </w:rPr>
      </w:pPr>
    </w:p>
    <w:p w14:paraId="065BFE8E" w14:textId="77777777" w:rsidR="00550B37" w:rsidRPr="00494C4E" w:rsidRDefault="00550B37" w:rsidP="00494C4E">
      <w:pPr>
        <w:pStyle w:val="Prrafodelista"/>
        <w:numPr>
          <w:ilvl w:val="1"/>
          <w:numId w:val="18"/>
        </w:numPr>
        <w:spacing w:line="276" w:lineRule="auto"/>
        <w:rPr>
          <w:rFonts w:ascii="Tahoma" w:hAnsi="Tahoma" w:cs="Tahoma"/>
          <w:b/>
        </w:rPr>
      </w:pPr>
      <w:r w:rsidRPr="00494C4E">
        <w:rPr>
          <w:rFonts w:ascii="Tahoma" w:hAnsi="Tahoma" w:cs="Tahoma"/>
          <w:b/>
        </w:rPr>
        <w:t xml:space="preserve">Caso concreto. </w:t>
      </w:r>
    </w:p>
    <w:p w14:paraId="391132A5" w14:textId="77777777" w:rsidR="00B3770C" w:rsidRPr="00494C4E" w:rsidRDefault="00B3770C" w:rsidP="00494C4E">
      <w:pPr>
        <w:spacing w:line="276" w:lineRule="auto"/>
        <w:rPr>
          <w:rFonts w:ascii="Tahoma" w:hAnsi="Tahoma" w:cs="Tahoma"/>
          <w:b/>
          <w:sz w:val="24"/>
          <w:szCs w:val="24"/>
        </w:rPr>
      </w:pPr>
    </w:p>
    <w:p w14:paraId="14C9C4AB" w14:textId="3CC529BB" w:rsidR="009F5ACF" w:rsidRPr="00494C4E" w:rsidRDefault="009F5ACF" w:rsidP="00494C4E">
      <w:pPr>
        <w:pStyle w:val="Prrafodelista"/>
        <w:numPr>
          <w:ilvl w:val="2"/>
          <w:numId w:val="18"/>
        </w:numPr>
        <w:spacing w:line="276" w:lineRule="auto"/>
        <w:rPr>
          <w:rFonts w:ascii="Tahoma" w:hAnsi="Tahoma" w:cs="Tahoma"/>
          <w:b/>
        </w:rPr>
      </w:pPr>
      <w:r w:rsidRPr="00494C4E">
        <w:rPr>
          <w:rFonts w:ascii="Tahoma" w:hAnsi="Tahoma" w:cs="Tahoma"/>
          <w:b/>
        </w:rPr>
        <w:t>Supuestos fácticos por fuera de debate</w:t>
      </w:r>
    </w:p>
    <w:p w14:paraId="1B8A85F3" w14:textId="77777777" w:rsidR="009F5ACF" w:rsidRPr="00494C4E" w:rsidRDefault="009F5ACF" w:rsidP="00494C4E">
      <w:pPr>
        <w:spacing w:line="276" w:lineRule="auto"/>
        <w:ind w:firstLine="708"/>
        <w:rPr>
          <w:rFonts w:ascii="Tahoma" w:hAnsi="Tahoma" w:cs="Tahoma"/>
          <w:sz w:val="24"/>
          <w:szCs w:val="24"/>
        </w:rPr>
      </w:pPr>
    </w:p>
    <w:p w14:paraId="2C418D1A" w14:textId="58FEBB54" w:rsidR="009F5ACF" w:rsidRPr="00494C4E" w:rsidRDefault="009F5ACF" w:rsidP="00494C4E">
      <w:pPr>
        <w:spacing w:line="276" w:lineRule="auto"/>
        <w:ind w:firstLine="708"/>
        <w:rPr>
          <w:rFonts w:ascii="Tahoma" w:hAnsi="Tahoma" w:cs="Tahoma"/>
          <w:sz w:val="24"/>
          <w:szCs w:val="24"/>
        </w:rPr>
      </w:pPr>
      <w:r w:rsidRPr="00494C4E">
        <w:rPr>
          <w:rFonts w:ascii="Tahoma" w:hAnsi="Tahoma" w:cs="Tahoma"/>
          <w:sz w:val="24"/>
          <w:szCs w:val="24"/>
        </w:rPr>
        <w:t>Son hechos que se encuentran por fuera de discusión</w:t>
      </w:r>
      <w:r w:rsidR="00CF5925" w:rsidRPr="00494C4E">
        <w:rPr>
          <w:rFonts w:ascii="Tahoma" w:hAnsi="Tahoma" w:cs="Tahoma"/>
          <w:sz w:val="24"/>
          <w:szCs w:val="24"/>
        </w:rPr>
        <w:t xml:space="preserve"> por estar acreditados conforme la documental que reposa en el cartulario, </w:t>
      </w:r>
      <w:r w:rsidRPr="00494C4E">
        <w:rPr>
          <w:rFonts w:ascii="Tahoma" w:hAnsi="Tahoma" w:cs="Tahoma"/>
          <w:sz w:val="24"/>
          <w:szCs w:val="24"/>
        </w:rPr>
        <w:t>los siguientes:</w:t>
      </w:r>
    </w:p>
    <w:p w14:paraId="69CEDF68" w14:textId="77777777" w:rsidR="009F5ACF" w:rsidRPr="00494C4E" w:rsidRDefault="009F5ACF" w:rsidP="00494C4E">
      <w:pPr>
        <w:spacing w:line="276" w:lineRule="auto"/>
        <w:ind w:firstLine="708"/>
        <w:rPr>
          <w:rFonts w:ascii="Tahoma" w:hAnsi="Tahoma" w:cs="Tahoma"/>
          <w:sz w:val="24"/>
          <w:szCs w:val="24"/>
        </w:rPr>
      </w:pPr>
    </w:p>
    <w:p w14:paraId="3585EC8B" w14:textId="5034D2B7" w:rsidR="007F62C8" w:rsidRPr="00494C4E" w:rsidRDefault="007F62C8" w:rsidP="00494C4E">
      <w:pPr>
        <w:pStyle w:val="Prrafodelista"/>
        <w:numPr>
          <w:ilvl w:val="0"/>
          <w:numId w:val="17"/>
        </w:numPr>
        <w:tabs>
          <w:tab w:val="left" w:pos="993"/>
        </w:tabs>
        <w:spacing w:line="276" w:lineRule="auto"/>
        <w:ind w:left="0" w:firstLine="709"/>
        <w:jc w:val="both"/>
        <w:rPr>
          <w:rFonts w:ascii="Tahoma" w:hAnsi="Tahoma" w:cs="Tahoma"/>
        </w:rPr>
      </w:pPr>
      <w:r w:rsidRPr="00494C4E">
        <w:rPr>
          <w:rFonts w:ascii="Tahoma" w:hAnsi="Tahoma" w:cs="Tahoma"/>
        </w:rPr>
        <w:t>Que la demandante nació el 21 de septiembre de 1966</w:t>
      </w:r>
      <w:r w:rsidRPr="00494C4E">
        <w:rPr>
          <w:rStyle w:val="Refdenotaalpie"/>
          <w:rFonts w:ascii="Tahoma" w:hAnsi="Tahoma" w:cs="Tahoma"/>
        </w:rPr>
        <w:footnoteReference w:id="5"/>
      </w:r>
    </w:p>
    <w:p w14:paraId="158494E5" w14:textId="77777777" w:rsidR="00880A89" w:rsidRPr="00494C4E" w:rsidRDefault="00880A89" w:rsidP="00494C4E">
      <w:pPr>
        <w:pStyle w:val="Prrafodelista"/>
        <w:tabs>
          <w:tab w:val="left" w:pos="993"/>
        </w:tabs>
        <w:spacing w:line="276" w:lineRule="auto"/>
        <w:ind w:left="709"/>
        <w:jc w:val="both"/>
        <w:rPr>
          <w:rFonts w:ascii="Tahoma" w:hAnsi="Tahoma" w:cs="Tahoma"/>
        </w:rPr>
      </w:pPr>
    </w:p>
    <w:p w14:paraId="104958FD" w14:textId="1A50C393" w:rsidR="007F62C8" w:rsidRPr="00494C4E" w:rsidRDefault="007F62C8" w:rsidP="00494C4E">
      <w:pPr>
        <w:pStyle w:val="Prrafodelista"/>
        <w:numPr>
          <w:ilvl w:val="0"/>
          <w:numId w:val="17"/>
        </w:numPr>
        <w:tabs>
          <w:tab w:val="left" w:pos="993"/>
        </w:tabs>
        <w:spacing w:line="276" w:lineRule="auto"/>
        <w:ind w:left="0" w:firstLine="709"/>
        <w:jc w:val="both"/>
        <w:rPr>
          <w:rFonts w:ascii="Tahoma" w:hAnsi="Tahoma" w:cs="Tahoma"/>
        </w:rPr>
      </w:pPr>
      <w:r w:rsidRPr="00494C4E">
        <w:rPr>
          <w:rFonts w:ascii="Tahoma" w:hAnsi="Tahoma" w:cs="Tahoma"/>
        </w:rPr>
        <w:t>Que el señor Marco Fidel Pimentel Bedoya falleció el 24 de octubre de 2017</w:t>
      </w:r>
      <w:r w:rsidRPr="00494C4E">
        <w:rPr>
          <w:rStyle w:val="Refdenotaalpie"/>
          <w:rFonts w:ascii="Tahoma" w:hAnsi="Tahoma" w:cs="Tahoma"/>
        </w:rPr>
        <w:footnoteReference w:id="6"/>
      </w:r>
      <w:r w:rsidRPr="00494C4E">
        <w:rPr>
          <w:rFonts w:ascii="Tahoma" w:hAnsi="Tahoma" w:cs="Tahoma"/>
        </w:rPr>
        <w:t>.</w:t>
      </w:r>
    </w:p>
    <w:p w14:paraId="276BA297" w14:textId="77777777" w:rsidR="00880A89" w:rsidRPr="00494C4E" w:rsidRDefault="00880A89" w:rsidP="00494C4E">
      <w:pPr>
        <w:tabs>
          <w:tab w:val="left" w:pos="993"/>
        </w:tabs>
        <w:spacing w:line="276" w:lineRule="auto"/>
        <w:ind w:firstLine="0"/>
        <w:rPr>
          <w:rFonts w:ascii="Tahoma" w:hAnsi="Tahoma" w:cs="Tahoma"/>
          <w:sz w:val="24"/>
          <w:szCs w:val="24"/>
        </w:rPr>
      </w:pPr>
    </w:p>
    <w:p w14:paraId="16E20E12" w14:textId="512D523B" w:rsidR="007F62C8" w:rsidRPr="00494C4E" w:rsidRDefault="007F62C8" w:rsidP="00494C4E">
      <w:pPr>
        <w:pStyle w:val="Prrafodelista"/>
        <w:numPr>
          <w:ilvl w:val="0"/>
          <w:numId w:val="17"/>
        </w:numPr>
        <w:tabs>
          <w:tab w:val="left" w:pos="993"/>
        </w:tabs>
        <w:spacing w:line="276" w:lineRule="auto"/>
        <w:ind w:left="0" w:firstLine="709"/>
        <w:jc w:val="both"/>
        <w:rPr>
          <w:rFonts w:ascii="Tahoma" w:hAnsi="Tahoma" w:cs="Tahoma"/>
        </w:rPr>
      </w:pPr>
      <w:r w:rsidRPr="00494C4E">
        <w:rPr>
          <w:rFonts w:ascii="Tahoma" w:hAnsi="Tahoma" w:cs="Tahoma"/>
        </w:rPr>
        <w:t xml:space="preserve">Que la señora María Adriana García Ortiz y el señor Marco Fidel Pimentel Bedoya procrearon dos hijos: </w:t>
      </w:r>
      <w:r w:rsidR="00880A89" w:rsidRPr="00494C4E">
        <w:rPr>
          <w:rFonts w:ascii="Tahoma" w:hAnsi="Tahoma" w:cs="Tahoma"/>
        </w:rPr>
        <w:t>Jonny Alexander Pimentel García nacido el 8 de enero de 1992</w:t>
      </w:r>
      <w:r w:rsidR="00880A89" w:rsidRPr="00494C4E">
        <w:rPr>
          <w:rStyle w:val="Refdenotaalpie"/>
          <w:rFonts w:ascii="Tahoma" w:hAnsi="Tahoma" w:cs="Tahoma"/>
        </w:rPr>
        <w:footnoteReference w:id="7"/>
      </w:r>
      <w:r w:rsidR="00880A89" w:rsidRPr="00494C4E">
        <w:rPr>
          <w:rFonts w:ascii="Tahoma" w:hAnsi="Tahoma" w:cs="Tahoma"/>
        </w:rPr>
        <w:t xml:space="preserve"> y Johan Sebastián Pimentel García nacido el 21 de septiembre de 1998</w:t>
      </w:r>
      <w:r w:rsidR="00880A89" w:rsidRPr="00494C4E">
        <w:rPr>
          <w:rStyle w:val="Refdenotaalpie"/>
          <w:rFonts w:ascii="Tahoma" w:hAnsi="Tahoma" w:cs="Tahoma"/>
        </w:rPr>
        <w:footnoteReference w:id="8"/>
      </w:r>
      <w:r w:rsidR="00880A89" w:rsidRPr="00494C4E">
        <w:rPr>
          <w:rFonts w:ascii="Tahoma" w:hAnsi="Tahoma" w:cs="Tahoma"/>
        </w:rPr>
        <w:t>.</w:t>
      </w:r>
    </w:p>
    <w:p w14:paraId="335C3DDB" w14:textId="77777777" w:rsidR="00B057E1" w:rsidRPr="00494C4E" w:rsidRDefault="00B057E1" w:rsidP="00494C4E">
      <w:pPr>
        <w:pStyle w:val="Prrafodelista"/>
        <w:spacing w:line="276" w:lineRule="auto"/>
        <w:rPr>
          <w:rFonts w:ascii="Tahoma" w:hAnsi="Tahoma" w:cs="Tahoma"/>
        </w:rPr>
      </w:pPr>
    </w:p>
    <w:p w14:paraId="0374D000" w14:textId="40E08468" w:rsidR="00B057E1" w:rsidRPr="00494C4E" w:rsidRDefault="000956A6" w:rsidP="00494C4E">
      <w:pPr>
        <w:pStyle w:val="Prrafodelista"/>
        <w:numPr>
          <w:ilvl w:val="0"/>
          <w:numId w:val="17"/>
        </w:numPr>
        <w:tabs>
          <w:tab w:val="left" w:pos="993"/>
        </w:tabs>
        <w:spacing w:line="276" w:lineRule="auto"/>
        <w:ind w:left="0" w:firstLine="709"/>
        <w:jc w:val="both"/>
        <w:rPr>
          <w:rFonts w:ascii="Tahoma" w:hAnsi="Tahoma" w:cs="Tahoma"/>
        </w:rPr>
      </w:pPr>
      <w:r w:rsidRPr="00494C4E">
        <w:rPr>
          <w:rFonts w:ascii="Tahoma" w:hAnsi="Tahoma" w:cs="Tahoma"/>
        </w:rPr>
        <w:t xml:space="preserve">La </w:t>
      </w:r>
      <w:r w:rsidR="00B057E1" w:rsidRPr="00494C4E">
        <w:rPr>
          <w:rFonts w:ascii="Tahoma" w:hAnsi="Tahoma" w:cs="Tahoma"/>
        </w:rPr>
        <w:t xml:space="preserve">señora María Adriana García Ortiz </w:t>
      </w:r>
      <w:r w:rsidRPr="00494C4E">
        <w:rPr>
          <w:rFonts w:ascii="Tahoma" w:hAnsi="Tahoma" w:cs="Tahoma"/>
        </w:rPr>
        <w:t xml:space="preserve">contrajo matrimonio con Gildardo Jaramillo </w:t>
      </w:r>
      <w:r w:rsidR="46EECFEB" w:rsidRPr="00494C4E">
        <w:rPr>
          <w:rFonts w:ascii="Tahoma" w:hAnsi="Tahoma" w:cs="Tahoma"/>
        </w:rPr>
        <w:t>Jiménez</w:t>
      </w:r>
      <w:r w:rsidRPr="00494C4E">
        <w:rPr>
          <w:rFonts w:ascii="Tahoma" w:hAnsi="Tahoma" w:cs="Tahoma"/>
        </w:rPr>
        <w:t xml:space="preserve"> el 6 de marzo de 2002 y se </w:t>
      </w:r>
      <w:r w:rsidR="0C5A2742" w:rsidRPr="00494C4E">
        <w:rPr>
          <w:rFonts w:ascii="Tahoma" w:hAnsi="Tahoma" w:cs="Tahoma"/>
        </w:rPr>
        <w:t>divorció</w:t>
      </w:r>
      <w:r w:rsidRPr="00494C4E">
        <w:rPr>
          <w:rFonts w:ascii="Tahoma" w:hAnsi="Tahoma" w:cs="Tahoma"/>
        </w:rPr>
        <w:t xml:space="preserve"> el </w:t>
      </w:r>
      <w:r w:rsidR="00D11603" w:rsidRPr="00494C4E">
        <w:rPr>
          <w:rFonts w:ascii="Tahoma" w:hAnsi="Tahoma" w:cs="Tahoma"/>
        </w:rPr>
        <w:t>17 de julio de 2006 según registro de matrimonio</w:t>
      </w:r>
      <w:r w:rsidR="00D11603" w:rsidRPr="00494C4E">
        <w:rPr>
          <w:rStyle w:val="Refdenotaalpie"/>
          <w:rFonts w:ascii="Tahoma" w:hAnsi="Tahoma" w:cs="Tahoma"/>
        </w:rPr>
        <w:footnoteReference w:id="9"/>
      </w:r>
      <w:r w:rsidR="00D11603" w:rsidRPr="00494C4E">
        <w:rPr>
          <w:rFonts w:ascii="Tahoma" w:hAnsi="Tahoma" w:cs="Tahoma"/>
        </w:rPr>
        <w:t xml:space="preserve"> </w:t>
      </w:r>
    </w:p>
    <w:p w14:paraId="54254D60" w14:textId="77777777" w:rsidR="00D11603" w:rsidRPr="00494C4E" w:rsidRDefault="00D11603" w:rsidP="00494C4E">
      <w:pPr>
        <w:tabs>
          <w:tab w:val="left" w:pos="993"/>
        </w:tabs>
        <w:spacing w:line="276" w:lineRule="auto"/>
        <w:ind w:firstLine="0"/>
        <w:rPr>
          <w:rFonts w:ascii="Tahoma" w:hAnsi="Tahoma" w:cs="Tahoma"/>
          <w:sz w:val="24"/>
          <w:szCs w:val="24"/>
        </w:rPr>
      </w:pPr>
    </w:p>
    <w:p w14:paraId="2DB6449C" w14:textId="084C180D" w:rsidR="00E7100D" w:rsidRPr="00494C4E" w:rsidRDefault="00880A89" w:rsidP="00494C4E">
      <w:pPr>
        <w:pStyle w:val="Prrafodelista"/>
        <w:numPr>
          <w:ilvl w:val="0"/>
          <w:numId w:val="17"/>
        </w:numPr>
        <w:tabs>
          <w:tab w:val="left" w:pos="993"/>
        </w:tabs>
        <w:spacing w:line="276" w:lineRule="auto"/>
        <w:ind w:left="0" w:firstLine="709"/>
        <w:jc w:val="both"/>
        <w:rPr>
          <w:rFonts w:ascii="Tahoma" w:hAnsi="Tahoma" w:cs="Tahoma"/>
        </w:rPr>
      </w:pPr>
      <w:r w:rsidRPr="00494C4E">
        <w:rPr>
          <w:rFonts w:ascii="Tahoma" w:hAnsi="Tahoma" w:cs="Tahoma"/>
        </w:rPr>
        <w:t>Que mediante de Resolución N° 008486 de 2008 el Instituto de Seguros Sociales reconoció pensión de vejez al señor Marco Fidel Pimentel Bedoya, a partir del 1 de diciembre de 2008, en cuantía equivalente al salario mínimo</w:t>
      </w:r>
      <w:r w:rsidRPr="00494C4E">
        <w:rPr>
          <w:rStyle w:val="Refdenotaalpie"/>
          <w:rFonts w:ascii="Tahoma" w:hAnsi="Tahoma" w:cs="Tahoma"/>
        </w:rPr>
        <w:footnoteReference w:id="10"/>
      </w:r>
      <w:r w:rsidRPr="00494C4E">
        <w:rPr>
          <w:rFonts w:ascii="Tahoma" w:hAnsi="Tahoma" w:cs="Tahoma"/>
        </w:rPr>
        <w:t xml:space="preserve">. </w:t>
      </w:r>
    </w:p>
    <w:p w14:paraId="6A436D08" w14:textId="77777777" w:rsidR="009F042F" w:rsidRPr="00494C4E" w:rsidRDefault="009F042F" w:rsidP="00494C4E">
      <w:pPr>
        <w:pStyle w:val="Prrafodelista"/>
        <w:tabs>
          <w:tab w:val="left" w:pos="993"/>
        </w:tabs>
        <w:spacing w:line="276" w:lineRule="auto"/>
        <w:ind w:left="709"/>
        <w:jc w:val="both"/>
        <w:rPr>
          <w:rFonts w:ascii="Tahoma" w:hAnsi="Tahoma" w:cs="Tahoma"/>
        </w:rPr>
      </w:pPr>
    </w:p>
    <w:p w14:paraId="115B6F17" w14:textId="76B7931C" w:rsidR="00880A89" w:rsidRPr="00494C4E" w:rsidRDefault="004A4F26" w:rsidP="00494C4E">
      <w:pPr>
        <w:pStyle w:val="Prrafodelista"/>
        <w:numPr>
          <w:ilvl w:val="0"/>
          <w:numId w:val="17"/>
        </w:numPr>
        <w:tabs>
          <w:tab w:val="left" w:pos="993"/>
        </w:tabs>
        <w:spacing w:line="276" w:lineRule="auto"/>
        <w:ind w:left="0" w:firstLine="709"/>
        <w:jc w:val="both"/>
        <w:rPr>
          <w:rFonts w:ascii="Tahoma" w:hAnsi="Tahoma" w:cs="Tahoma"/>
        </w:rPr>
      </w:pPr>
      <w:r w:rsidRPr="00494C4E">
        <w:rPr>
          <w:rFonts w:ascii="Tahoma" w:hAnsi="Tahoma" w:cs="Tahoma"/>
        </w:rPr>
        <w:t xml:space="preserve">Con ocasión a la muerte del causante, se presentaron a reclamar la sustitución pensional como beneficiarios Johan Sebastián Pimentel García, bajo </w:t>
      </w:r>
      <w:r w:rsidR="00EE613A" w:rsidRPr="00494C4E">
        <w:rPr>
          <w:rFonts w:ascii="Tahoma" w:hAnsi="Tahoma" w:cs="Tahoma"/>
        </w:rPr>
        <w:t>radicado No. 2018</w:t>
      </w:r>
      <w:r w:rsidR="009F042F" w:rsidRPr="00494C4E">
        <w:rPr>
          <w:rFonts w:ascii="Tahoma" w:hAnsi="Tahoma" w:cs="Tahoma"/>
        </w:rPr>
        <w:t>_7209104 del 21 de junio de 2018</w:t>
      </w:r>
      <w:r w:rsidRPr="00494C4E">
        <w:rPr>
          <w:rFonts w:ascii="Tahoma" w:hAnsi="Tahoma" w:cs="Tahoma"/>
        </w:rPr>
        <w:t>, en calidad de hijo estudiante menor de 25 años</w:t>
      </w:r>
      <w:r w:rsidRPr="00494C4E">
        <w:rPr>
          <w:rStyle w:val="Refdenotaalpie"/>
          <w:rFonts w:ascii="Tahoma" w:hAnsi="Tahoma" w:cs="Tahoma"/>
        </w:rPr>
        <w:footnoteReference w:id="11"/>
      </w:r>
      <w:r w:rsidRPr="00494C4E">
        <w:rPr>
          <w:rFonts w:ascii="Tahoma" w:hAnsi="Tahoma" w:cs="Tahoma"/>
        </w:rPr>
        <w:t>, y María Adriana García Ortiz, bajo radicado No. 2018_7209104 el 21 de junio de 2018, en calidad de compañera</w:t>
      </w:r>
      <w:r w:rsidRPr="00494C4E">
        <w:rPr>
          <w:rStyle w:val="Refdenotaalpie"/>
          <w:rFonts w:ascii="Tahoma" w:hAnsi="Tahoma" w:cs="Tahoma"/>
        </w:rPr>
        <w:footnoteReference w:id="12"/>
      </w:r>
      <w:r w:rsidRPr="00494C4E">
        <w:rPr>
          <w:rFonts w:ascii="Tahoma" w:hAnsi="Tahoma" w:cs="Tahoma"/>
        </w:rPr>
        <w:t xml:space="preserve">. </w:t>
      </w:r>
    </w:p>
    <w:p w14:paraId="618CD70D" w14:textId="77777777" w:rsidR="004A4F26" w:rsidRPr="00494C4E" w:rsidRDefault="004A4F26" w:rsidP="00494C4E">
      <w:pPr>
        <w:pStyle w:val="Prrafodelista"/>
        <w:spacing w:line="276" w:lineRule="auto"/>
        <w:rPr>
          <w:rFonts w:ascii="Tahoma" w:hAnsi="Tahoma" w:cs="Tahoma"/>
        </w:rPr>
      </w:pPr>
    </w:p>
    <w:p w14:paraId="6827FFCA" w14:textId="796C3655" w:rsidR="004A4F26" w:rsidRPr="00494C4E" w:rsidRDefault="004A4F26" w:rsidP="00494C4E">
      <w:pPr>
        <w:pStyle w:val="Prrafodelista"/>
        <w:numPr>
          <w:ilvl w:val="0"/>
          <w:numId w:val="17"/>
        </w:numPr>
        <w:tabs>
          <w:tab w:val="left" w:pos="993"/>
        </w:tabs>
        <w:spacing w:line="276" w:lineRule="auto"/>
        <w:ind w:left="0" w:firstLine="709"/>
        <w:jc w:val="both"/>
        <w:rPr>
          <w:rFonts w:ascii="Tahoma" w:hAnsi="Tahoma" w:cs="Tahoma"/>
        </w:rPr>
      </w:pPr>
      <w:r w:rsidRPr="00494C4E">
        <w:rPr>
          <w:rFonts w:ascii="Tahoma" w:hAnsi="Tahoma" w:cs="Tahoma"/>
        </w:rPr>
        <w:t xml:space="preserve">Mediante resolución </w:t>
      </w:r>
      <w:r w:rsidR="4CF16751" w:rsidRPr="00494C4E">
        <w:rPr>
          <w:rFonts w:ascii="Tahoma" w:hAnsi="Tahoma" w:cs="Tahoma"/>
        </w:rPr>
        <w:t>SUB-214066</w:t>
      </w:r>
      <w:r w:rsidRPr="00494C4E">
        <w:rPr>
          <w:rFonts w:ascii="Tahoma" w:hAnsi="Tahoma" w:cs="Tahoma"/>
        </w:rPr>
        <w:t xml:space="preserve"> del 11 de agosto de 2018, se negó la solicitud pensional a ambos reclamantes</w:t>
      </w:r>
      <w:r w:rsidRPr="00494C4E">
        <w:rPr>
          <w:rStyle w:val="Refdenotaalpie"/>
          <w:rFonts w:ascii="Tahoma" w:hAnsi="Tahoma" w:cs="Tahoma"/>
        </w:rPr>
        <w:footnoteReference w:id="13"/>
      </w:r>
      <w:r w:rsidRPr="00494C4E">
        <w:rPr>
          <w:rFonts w:ascii="Tahoma" w:hAnsi="Tahoma" w:cs="Tahoma"/>
        </w:rPr>
        <w:t xml:space="preserve"> </w:t>
      </w:r>
    </w:p>
    <w:p w14:paraId="1B0B6689" w14:textId="77777777" w:rsidR="00E25EA6" w:rsidRPr="00494C4E" w:rsidRDefault="00E25EA6" w:rsidP="00494C4E">
      <w:pPr>
        <w:spacing w:line="276" w:lineRule="auto"/>
        <w:ind w:firstLine="0"/>
        <w:rPr>
          <w:rFonts w:ascii="Tahoma" w:hAnsi="Tahoma" w:cs="Tahoma"/>
          <w:sz w:val="24"/>
          <w:szCs w:val="24"/>
        </w:rPr>
      </w:pPr>
    </w:p>
    <w:p w14:paraId="0D14F90A" w14:textId="2FA844D6" w:rsidR="00E25EA6" w:rsidRPr="00494C4E" w:rsidRDefault="00E25EA6" w:rsidP="00494C4E">
      <w:pPr>
        <w:spacing w:line="276" w:lineRule="auto"/>
        <w:ind w:firstLine="708"/>
        <w:rPr>
          <w:rFonts w:ascii="Tahoma" w:hAnsi="Tahoma" w:cs="Tahoma"/>
          <w:sz w:val="24"/>
          <w:szCs w:val="24"/>
        </w:rPr>
      </w:pPr>
      <w:r w:rsidRPr="00494C4E">
        <w:rPr>
          <w:rFonts w:ascii="Tahoma" w:hAnsi="Tahoma" w:cs="Tahoma"/>
          <w:sz w:val="24"/>
          <w:szCs w:val="24"/>
        </w:rPr>
        <w:t>De acuerdo a lo anterior, en este caso no existe duda de</w:t>
      </w:r>
      <w:r w:rsidR="00813D6C" w:rsidRPr="00494C4E">
        <w:rPr>
          <w:rFonts w:ascii="Tahoma" w:hAnsi="Tahoma" w:cs="Tahoma"/>
          <w:sz w:val="24"/>
          <w:szCs w:val="24"/>
        </w:rPr>
        <w:t xml:space="preserve"> que el señor Marco Fidel Pimentel Bedoya</w:t>
      </w:r>
      <w:r w:rsidRPr="00494C4E">
        <w:rPr>
          <w:rFonts w:ascii="Tahoma" w:hAnsi="Tahoma" w:cs="Tahoma"/>
          <w:sz w:val="24"/>
          <w:szCs w:val="24"/>
        </w:rPr>
        <w:t>, en calidad de pensionad</w:t>
      </w:r>
      <w:r w:rsidR="00813D6C" w:rsidRPr="00494C4E">
        <w:rPr>
          <w:rFonts w:ascii="Tahoma" w:hAnsi="Tahoma" w:cs="Tahoma"/>
          <w:sz w:val="24"/>
          <w:szCs w:val="24"/>
        </w:rPr>
        <w:t>o</w:t>
      </w:r>
      <w:r w:rsidRPr="00494C4E">
        <w:rPr>
          <w:rFonts w:ascii="Tahoma" w:hAnsi="Tahoma" w:cs="Tahoma"/>
          <w:sz w:val="24"/>
          <w:szCs w:val="24"/>
        </w:rPr>
        <w:t>, dejó causado el derecho</w:t>
      </w:r>
      <w:r w:rsidR="00813D6C" w:rsidRPr="00494C4E">
        <w:rPr>
          <w:rFonts w:ascii="Tahoma" w:hAnsi="Tahoma" w:cs="Tahoma"/>
          <w:sz w:val="24"/>
          <w:szCs w:val="24"/>
        </w:rPr>
        <w:t xml:space="preserve"> a la pensión de sobrevivientes</w:t>
      </w:r>
      <w:r w:rsidRPr="00494C4E">
        <w:rPr>
          <w:rFonts w:ascii="Tahoma" w:hAnsi="Tahoma" w:cs="Tahoma"/>
          <w:sz w:val="24"/>
          <w:szCs w:val="24"/>
        </w:rPr>
        <w:t xml:space="preserve">, razón por la cual, resta verificar si </w:t>
      </w:r>
      <w:r w:rsidR="00813D6C" w:rsidRPr="00494C4E">
        <w:rPr>
          <w:rFonts w:ascii="Tahoma" w:hAnsi="Tahoma" w:cs="Tahoma"/>
          <w:sz w:val="24"/>
          <w:szCs w:val="24"/>
        </w:rPr>
        <w:t>la demandante</w:t>
      </w:r>
      <w:r w:rsidRPr="00494C4E">
        <w:rPr>
          <w:rFonts w:ascii="Tahoma" w:hAnsi="Tahoma" w:cs="Tahoma"/>
          <w:sz w:val="24"/>
          <w:szCs w:val="24"/>
        </w:rPr>
        <w:t xml:space="preserve"> acreditó la convivencia necesaria para ser beneficiario de la prestación. </w:t>
      </w:r>
    </w:p>
    <w:p w14:paraId="614E02AE" w14:textId="096EA3EF" w:rsidR="00512F58" w:rsidRPr="00494C4E" w:rsidRDefault="00512F58" w:rsidP="00494C4E">
      <w:pPr>
        <w:widowControl w:val="0"/>
        <w:autoSpaceDE w:val="0"/>
        <w:autoSpaceDN w:val="0"/>
        <w:adjustRightInd w:val="0"/>
        <w:spacing w:line="276" w:lineRule="auto"/>
        <w:ind w:firstLine="0"/>
        <w:rPr>
          <w:rFonts w:ascii="Tahoma" w:hAnsi="Tahoma" w:cs="Tahoma"/>
          <w:sz w:val="24"/>
          <w:szCs w:val="24"/>
        </w:rPr>
      </w:pPr>
    </w:p>
    <w:p w14:paraId="6CDA0745" w14:textId="5B479B4E" w:rsidR="009F5ACF" w:rsidRPr="00494C4E" w:rsidRDefault="009F5ACF" w:rsidP="00494C4E">
      <w:pPr>
        <w:pStyle w:val="Prrafodelista"/>
        <w:numPr>
          <w:ilvl w:val="2"/>
          <w:numId w:val="18"/>
        </w:numPr>
        <w:spacing w:line="276" w:lineRule="auto"/>
        <w:rPr>
          <w:rFonts w:ascii="Tahoma" w:hAnsi="Tahoma" w:cs="Tahoma"/>
          <w:b/>
        </w:rPr>
      </w:pPr>
      <w:r w:rsidRPr="00494C4E">
        <w:rPr>
          <w:rFonts w:ascii="Tahoma" w:hAnsi="Tahoma" w:cs="Tahoma"/>
          <w:b/>
        </w:rPr>
        <w:t>Interrogatorio de parte y prueba testimonial</w:t>
      </w:r>
    </w:p>
    <w:p w14:paraId="55BC7D31" w14:textId="77777777" w:rsidR="00A8279C" w:rsidRPr="00494C4E" w:rsidRDefault="00A8279C" w:rsidP="00494C4E">
      <w:pPr>
        <w:spacing w:line="276" w:lineRule="auto"/>
        <w:ind w:firstLine="0"/>
        <w:rPr>
          <w:rFonts w:ascii="Tahoma" w:hAnsi="Tahoma" w:cs="Tahoma"/>
          <w:sz w:val="24"/>
          <w:szCs w:val="24"/>
        </w:rPr>
      </w:pPr>
    </w:p>
    <w:p w14:paraId="5D20A839" w14:textId="3FBF6D40" w:rsidR="00813D6C" w:rsidRPr="00494C4E" w:rsidRDefault="00813D6C" w:rsidP="00494C4E">
      <w:pPr>
        <w:spacing w:line="276" w:lineRule="auto"/>
        <w:ind w:firstLine="708"/>
        <w:rPr>
          <w:rStyle w:val="normaltextrun"/>
          <w:rFonts w:ascii="Tahoma" w:hAnsi="Tahoma" w:cs="Tahoma"/>
          <w:color w:val="000000"/>
          <w:sz w:val="24"/>
          <w:szCs w:val="24"/>
        </w:rPr>
      </w:pPr>
      <w:r w:rsidRPr="00494C4E">
        <w:rPr>
          <w:rStyle w:val="normaltextrun"/>
          <w:rFonts w:ascii="Tahoma" w:hAnsi="Tahoma" w:cs="Tahoma"/>
          <w:color w:val="000000"/>
          <w:sz w:val="24"/>
          <w:szCs w:val="24"/>
        </w:rPr>
        <w:t xml:space="preserve">Teniendo en cuenta que el recurso se enfila a cuestionar la valoración conjunta de los medios de prueba, imperioso resuelta realizar un breve recuentro de las declaraciones surtidas en trámite judicial. </w:t>
      </w:r>
    </w:p>
    <w:p w14:paraId="2DCF0632" w14:textId="7A2D6CC0" w:rsidR="00813D6C" w:rsidRPr="00494C4E" w:rsidRDefault="00813D6C" w:rsidP="00494C4E">
      <w:pPr>
        <w:spacing w:line="276" w:lineRule="auto"/>
        <w:ind w:firstLine="708"/>
        <w:rPr>
          <w:rStyle w:val="normaltextrun"/>
          <w:rFonts w:ascii="Tahoma" w:hAnsi="Tahoma" w:cs="Tahoma"/>
          <w:color w:val="000000"/>
          <w:sz w:val="24"/>
          <w:szCs w:val="24"/>
        </w:rPr>
      </w:pPr>
    </w:p>
    <w:p w14:paraId="3BB1F19E" w14:textId="482F9E7A" w:rsidR="00813D6C" w:rsidRPr="00494C4E" w:rsidRDefault="00813D6C" w:rsidP="00494C4E">
      <w:pPr>
        <w:spacing w:line="276" w:lineRule="auto"/>
        <w:ind w:firstLine="708"/>
        <w:rPr>
          <w:rStyle w:val="normaltextrun"/>
          <w:rFonts w:ascii="Tahoma" w:hAnsi="Tahoma" w:cs="Tahoma"/>
          <w:color w:val="000000"/>
          <w:sz w:val="24"/>
          <w:szCs w:val="24"/>
        </w:rPr>
      </w:pPr>
      <w:r w:rsidRPr="00494C4E">
        <w:rPr>
          <w:rStyle w:val="normaltextrun"/>
          <w:rFonts w:ascii="Tahoma" w:hAnsi="Tahoma" w:cs="Tahoma"/>
          <w:color w:val="000000"/>
          <w:sz w:val="24"/>
          <w:szCs w:val="24"/>
        </w:rPr>
        <w:t>En este orden, con el fin demostrar el requisito de convivencia de cinco años anteriores al fallecimiento del causante</w:t>
      </w:r>
      <w:r w:rsidR="00520F57" w:rsidRPr="00494C4E">
        <w:rPr>
          <w:rStyle w:val="normaltextrun"/>
          <w:rFonts w:ascii="Tahoma" w:hAnsi="Tahoma" w:cs="Tahoma"/>
          <w:color w:val="000000"/>
          <w:sz w:val="24"/>
          <w:szCs w:val="24"/>
        </w:rPr>
        <w:t>,</w:t>
      </w:r>
      <w:r w:rsidRPr="00494C4E">
        <w:rPr>
          <w:rStyle w:val="normaltextrun"/>
          <w:rFonts w:ascii="Tahoma" w:hAnsi="Tahoma" w:cs="Tahoma"/>
          <w:color w:val="000000"/>
          <w:sz w:val="24"/>
          <w:szCs w:val="24"/>
        </w:rPr>
        <w:t xml:space="preserve"> la demandante solicitó que fueran escuchadas las declaraciones de los testigos </w:t>
      </w:r>
      <w:r w:rsidR="002B38D5" w:rsidRPr="00494C4E">
        <w:rPr>
          <w:rFonts w:ascii="Tahoma" w:hAnsi="Tahoma" w:cs="Tahoma"/>
          <w:color w:val="000000"/>
          <w:sz w:val="24"/>
          <w:szCs w:val="24"/>
        </w:rPr>
        <w:t xml:space="preserve">Javier Ramiro García y </w:t>
      </w:r>
      <w:r w:rsidRPr="00494C4E">
        <w:rPr>
          <w:rStyle w:val="normaltextrun"/>
          <w:rFonts w:ascii="Tahoma" w:hAnsi="Tahoma" w:cs="Tahoma"/>
          <w:color w:val="000000"/>
          <w:sz w:val="24"/>
          <w:szCs w:val="24"/>
        </w:rPr>
        <w:t>Luz Marleny Pinzón Patiño</w:t>
      </w:r>
      <w:r w:rsidR="00CD2CC5" w:rsidRPr="00494C4E">
        <w:rPr>
          <w:rStyle w:val="normaltextrun"/>
          <w:rFonts w:ascii="Tahoma" w:hAnsi="Tahoma" w:cs="Tahoma"/>
          <w:color w:val="000000"/>
          <w:sz w:val="24"/>
          <w:szCs w:val="24"/>
        </w:rPr>
        <w:t>;</w:t>
      </w:r>
      <w:r w:rsidR="002B38D5" w:rsidRPr="00494C4E">
        <w:rPr>
          <w:rStyle w:val="normaltextrun"/>
          <w:rFonts w:ascii="Tahoma" w:hAnsi="Tahoma" w:cs="Tahoma"/>
          <w:color w:val="000000"/>
          <w:sz w:val="24"/>
          <w:szCs w:val="24"/>
        </w:rPr>
        <w:t xml:space="preserve"> </w:t>
      </w:r>
      <w:r w:rsidRPr="00494C4E">
        <w:rPr>
          <w:rStyle w:val="normaltextrun"/>
          <w:rFonts w:ascii="Tahoma" w:hAnsi="Tahoma" w:cs="Tahoma"/>
          <w:color w:val="000000"/>
          <w:sz w:val="24"/>
          <w:szCs w:val="24"/>
        </w:rPr>
        <w:t>asimismo</w:t>
      </w:r>
      <w:r w:rsidR="00E7514A" w:rsidRPr="00494C4E">
        <w:rPr>
          <w:rStyle w:val="normaltextrun"/>
          <w:rFonts w:ascii="Tahoma" w:hAnsi="Tahoma" w:cs="Tahoma"/>
          <w:color w:val="000000"/>
          <w:sz w:val="24"/>
          <w:szCs w:val="24"/>
        </w:rPr>
        <w:t>,</w:t>
      </w:r>
      <w:r w:rsidRPr="00494C4E">
        <w:rPr>
          <w:rStyle w:val="normaltextrun"/>
          <w:rFonts w:ascii="Tahoma" w:hAnsi="Tahoma" w:cs="Tahoma"/>
          <w:color w:val="000000"/>
          <w:sz w:val="24"/>
          <w:szCs w:val="24"/>
        </w:rPr>
        <w:t xml:space="preserve"> a petición de la pasiva de la litis se surtió el interrogatorio de la demandante y de oficio el del convocado Johan Sebastián Pimentel García. </w:t>
      </w:r>
    </w:p>
    <w:p w14:paraId="09B7B90B" w14:textId="6842822E" w:rsidR="00B239DA" w:rsidRPr="00494C4E" w:rsidRDefault="00B239DA" w:rsidP="00494C4E">
      <w:pPr>
        <w:spacing w:line="276" w:lineRule="auto"/>
        <w:ind w:firstLine="708"/>
        <w:rPr>
          <w:rStyle w:val="normaltextrun"/>
          <w:rFonts w:ascii="Tahoma" w:hAnsi="Tahoma" w:cs="Tahoma"/>
          <w:color w:val="000000"/>
          <w:sz w:val="24"/>
          <w:szCs w:val="24"/>
        </w:rPr>
      </w:pPr>
    </w:p>
    <w:p w14:paraId="19DD36E1" w14:textId="1D85959E" w:rsidR="00B92979" w:rsidRPr="00494C4E" w:rsidRDefault="00726A46" w:rsidP="00494C4E">
      <w:pPr>
        <w:spacing w:line="276" w:lineRule="auto"/>
        <w:ind w:firstLine="708"/>
        <w:rPr>
          <w:rStyle w:val="normaltextrun"/>
          <w:rFonts w:ascii="Tahoma" w:hAnsi="Tahoma" w:cs="Tahoma"/>
          <w:color w:val="000000"/>
          <w:sz w:val="24"/>
          <w:szCs w:val="24"/>
        </w:rPr>
      </w:pPr>
      <w:r w:rsidRPr="00494C4E">
        <w:rPr>
          <w:rStyle w:val="normaltextrun"/>
          <w:rFonts w:ascii="Tahoma" w:hAnsi="Tahoma" w:cs="Tahoma"/>
          <w:color w:val="000000" w:themeColor="text1"/>
          <w:sz w:val="24"/>
          <w:szCs w:val="24"/>
        </w:rPr>
        <w:t xml:space="preserve">En primer lugar, </w:t>
      </w:r>
      <w:r w:rsidR="00CD2CC5" w:rsidRPr="00494C4E">
        <w:rPr>
          <w:rStyle w:val="normaltextrun"/>
          <w:rFonts w:ascii="Tahoma" w:hAnsi="Tahoma" w:cs="Tahoma"/>
          <w:b/>
          <w:bCs/>
          <w:color w:val="000000" w:themeColor="text1"/>
          <w:sz w:val="24"/>
          <w:szCs w:val="24"/>
        </w:rPr>
        <w:t>María Adriana García Ortiz</w:t>
      </w:r>
      <w:r w:rsidRPr="00494C4E">
        <w:rPr>
          <w:rStyle w:val="normaltextrun"/>
          <w:rFonts w:ascii="Tahoma" w:hAnsi="Tahoma" w:cs="Tahoma"/>
          <w:b/>
          <w:bCs/>
          <w:color w:val="000000" w:themeColor="text1"/>
          <w:sz w:val="24"/>
          <w:szCs w:val="24"/>
        </w:rPr>
        <w:t xml:space="preserve"> </w:t>
      </w:r>
      <w:r w:rsidRPr="00494C4E">
        <w:rPr>
          <w:rStyle w:val="normaltextrun"/>
          <w:rFonts w:ascii="Tahoma" w:hAnsi="Tahoma" w:cs="Tahoma"/>
          <w:color w:val="000000" w:themeColor="text1"/>
          <w:sz w:val="24"/>
          <w:szCs w:val="24"/>
        </w:rPr>
        <w:t>detalló que</w:t>
      </w:r>
      <w:r w:rsidR="00191111" w:rsidRPr="00494C4E">
        <w:rPr>
          <w:rStyle w:val="normaltextrun"/>
          <w:rFonts w:ascii="Tahoma" w:hAnsi="Tahoma" w:cs="Tahoma"/>
          <w:b/>
          <w:bCs/>
          <w:color w:val="000000" w:themeColor="text1"/>
          <w:sz w:val="24"/>
          <w:szCs w:val="24"/>
        </w:rPr>
        <w:t xml:space="preserve"> </w:t>
      </w:r>
      <w:r w:rsidR="00191111" w:rsidRPr="00494C4E">
        <w:rPr>
          <w:rStyle w:val="normaltextrun"/>
          <w:rFonts w:ascii="Tahoma" w:hAnsi="Tahoma" w:cs="Tahoma"/>
          <w:color w:val="000000" w:themeColor="text1"/>
          <w:sz w:val="24"/>
          <w:szCs w:val="24"/>
        </w:rPr>
        <w:t xml:space="preserve">inició la convivencia con el causante en 1990 </w:t>
      </w:r>
      <w:r w:rsidR="00961D41" w:rsidRPr="00494C4E">
        <w:rPr>
          <w:rStyle w:val="normaltextrun"/>
          <w:rFonts w:ascii="Tahoma" w:hAnsi="Tahoma" w:cs="Tahoma"/>
          <w:color w:val="000000" w:themeColor="text1"/>
          <w:sz w:val="24"/>
          <w:szCs w:val="24"/>
        </w:rPr>
        <w:t xml:space="preserve">en </w:t>
      </w:r>
      <w:r w:rsidR="000A3340" w:rsidRPr="00494C4E">
        <w:rPr>
          <w:rStyle w:val="normaltextrun"/>
          <w:rFonts w:ascii="Tahoma" w:hAnsi="Tahoma" w:cs="Tahoma"/>
          <w:color w:val="000000" w:themeColor="text1"/>
          <w:sz w:val="24"/>
          <w:szCs w:val="24"/>
        </w:rPr>
        <w:t>la finca</w:t>
      </w:r>
      <w:r w:rsidR="00191111" w:rsidRPr="00494C4E">
        <w:rPr>
          <w:rStyle w:val="normaltextrun"/>
          <w:rFonts w:ascii="Tahoma" w:hAnsi="Tahoma" w:cs="Tahoma"/>
          <w:color w:val="000000" w:themeColor="text1"/>
          <w:sz w:val="24"/>
          <w:szCs w:val="24"/>
        </w:rPr>
        <w:t xml:space="preserve"> </w:t>
      </w:r>
      <w:r w:rsidR="004D35CD" w:rsidRPr="00494C4E">
        <w:rPr>
          <w:rStyle w:val="normaltextrun"/>
          <w:rFonts w:ascii="Tahoma" w:hAnsi="Tahoma" w:cs="Tahoma"/>
          <w:color w:val="000000" w:themeColor="text1"/>
          <w:sz w:val="24"/>
          <w:szCs w:val="24"/>
        </w:rPr>
        <w:t>M</w:t>
      </w:r>
      <w:r w:rsidR="00191111" w:rsidRPr="00494C4E">
        <w:rPr>
          <w:rStyle w:val="normaltextrun"/>
          <w:rFonts w:ascii="Tahoma" w:hAnsi="Tahoma" w:cs="Tahoma"/>
          <w:color w:val="000000" w:themeColor="text1"/>
          <w:sz w:val="24"/>
          <w:szCs w:val="24"/>
        </w:rPr>
        <w:t xml:space="preserve">orabito, en Chinchiná, </w:t>
      </w:r>
      <w:r w:rsidR="00961D41" w:rsidRPr="00494C4E">
        <w:rPr>
          <w:rStyle w:val="normaltextrun"/>
          <w:rFonts w:ascii="Tahoma" w:hAnsi="Tahoma" w:cs="Tahoma"/>
          <w:color w:val="000000" w:themeColor="text1"/>
          <w:sz w:val="24"/>
          <w:szCs w:val="24"/>
        </w:rPr>
        <w:t>donde ambos laboraban, afirma</w:t>
      </w:r>
      <w:r w:rsidR="1C6DE3AE" w:rsidRPr="00494C4E">
        <w:rPr>
          <w:rStyle w:val="normaltextrun"/>
          <w:rFonts w:ascii="Tahoma" w:hAnsi="Tahoma" w:cs="Tahoma"/>
          <w:color w:val="000000" w:themeColor="text1"/>
          <w:sz w:val="24"/>
          <w:szCs w:val="24"/>
        </w:rPr>
        <w:t>ndo</w:t>
      </w:r>
      <w:r w:rsidR="00961D41" w:rsidRPr="00494C4E">
        <w:rPr>
          <w:rStyle w:val="normaltextrun"/>
          <w:rFonts w:ascii="Tahoma" w:hAnsi="Tahoma" w:cs="Tahoma"/>
          <w:color w:val="000000" w:themeColor="text1"/>
          <w:sz w:val="24"/>
          <w:szCs w:val="24"/>
        </w:rPr>
        <w:t xml:space="preserve"> que allí habitaron por un a</w:t>
      </w:r>
      <w:r w:rsidR="0022787E" w:rsidRPr="00494C4E">
        <w:rPr>
          <w:rStyle w:val="normaltextrun"/>
          <w:rFonts w:ascii="Tahoma" w:hAnsi="Tahoma" w:cs="Tahoma"/>
          <w:color w:val="000000" w:themeColor="text1"/>
          <w:sz w:val="24"/>
          <w:szCs w:val="24"/>
        </w:rPr>
        <w:t>ño</w:t>
      </w:r>
      <w:r w:rsidR="00961D41" w:rsidRPr="00494C4E">
        <w:rPr>
          <w:rStyle w:val="normaltextrun"/>
          <w:rFonts w:ascii="Tahoma" w:hAnsi="Tahoma" w:cs="Tahoma"/>
          <w:color w:val="000000" w:themeColor="text1"/>
          <w:sz w:val="24"/>
          <w:szCs w:val="24"/>
        </w:rPr>
        <w:t xml:space="preserve">, hasta que se trasladaron a la cabecera municipal donde permanecieron </w:t>
      </w:r>
      <w:r w:rsidR="0022787E" w:rsidRPr="00494C4E">
        <w:rPr>
          <w:rStyle w:val="normaltextrun"/>
          <w:rFonts w:ascii="Tahoma" w:hAnsi="Tahoma" w:cs="Tahoma"/>
          <w:color w:val="000000" w:themeColor="text1"/>
          <w:sz w:val="24"/>
          <w:szCs w:val="24"/>
        </w:rPr>
        <w:t>dos o tres años más después del nacimiento del primer hijo</w:t>
      </w:r>
      <w:r w:rsidR="00A82AA7" w:rsidRPr="00494C4E">
        <w:rPr>
          <w:rStyle w:val="normaltextrun"/>
          <w:rFonts w:ascii="Tahoma" w:hAnsi="Tahoma" w:cs="Tahoma"/>
          <w:color w:val="000000" w:themeColor="text1"/>
          <w:sz w:val="24"/>
          <w:szCs w:val="24"/>
        </w:rPr>
        <w:t>. P</w:t>
      </w:r>
      <w:r w:rsidR="00DE2CC7" w:rsidRPr="00494C4E">
        <w:rPr>
          <w:rStyle w:val="normaltextrun"/>
          <w:rFonts w:ascii="Tahoma" w:hAnsi="Tahoma" w:cs="Tahoma"/>
          <w:color w:val="000000" w:themeColor="text1"/>
          <w:sz w:val="24"/>
          <w:szCs w:val="24"/>
        </w:rPr>
        <w:t>osteriormente</w:t>
      </w:r>
      <w:r w:rsidR="00E7514A" w:rsidRPr="00494C4E">
        <w:rPr>
          <w:rStyle w:val="normaltextrun"/>
          <w:rFonts w:ascii="Tahoma" w:hAnsi="Tahoma" w:cs="Tahoma"/>
          <w:color w:val="000000" w:themeColor="text1"/>
          <w:sz w:val="24"/>
          <w:szCs w:val="24"/>
        </w:rPr>
        <w:t xml:space="preserve">, </w:t>
      </w:r>
      <w:r w:rsidR="00DE2CC7" w:rsidRPr="00494C4E">
        <w:rPr>
          <w:rStyle w:val="normaltextrun"/>
          <w:rFonts w:ascii="Tahoma" w:hAnsi="Tahoma" w:cs="Tahoma"/>
          <w:color w:val="000000" w:themeColor="text1"/>
          <w:sz w:val="24"/>
          <w:szCs w:val="24"/>
        </w:rPr>
        <w:t xml:space="preserve">ella junto a su hijo </w:t>
      </w:r>
      <w:r w:rsidR="00D04A18" w:rsidRPr="00494C4E">
        <w:rPr>
          <w:rStyle w:val="normaltextrun"/>
          <w:rFonts w:ascii="Tahoma" w:hAnsi="Tahoma" w:cs="Tahoma"/>
          <w:color w:val="000000" w:themeColor="text1"/>
          <w:sz w:val="24"/>
          <w:szCs w:val="24"/>
        </w:rPr>
        <w:t>se establecieron en e</w:t>
      </w:r>
      <w:r w:rsidR="00DE2CC7" w:rsidRPr="00494C4E">
        <w:rPr>
          <w:rStyle w:val="normaltextrun"/>
          <w:rFonts w:ascii="Tahoma" w:hAnsi="Tahoma" w:cs="Tahoma"/>
          <w:color w:val="000000" w:themeColor="text1"/>
          <w:sz w:val="24"/>
          <w:szCs w:val="24"/>
        </w:rPr>
        <w:t xml:space="preserve">l barrio Cuba en Pereira, para estar cerca de su madre, </w:t>
      </w:r>
      <w:r w:rsidR="00D04A18" w:rsidRPr="00494C4E">
        <w:rPr>
          <w:rStyle w:val="normaltextrun"/>
          <w:rFonts w:ascii="Tahoma" w:hAnsi="Tahoma" w:cs="Tahoma"/>
          <w:color w:val="000000" w:themeColor="text1"/>
          <w:sz w:val="24"/>
          <w:szCs w:val="24"/>
        </w:rPr>
        <w:t>recibiendo visitas frecuentes los fines de semana por parte de su compañero permanente</w:t>
      </w:r>
      <w:r w:rsidR="00B92979" w:rsidRPr="00494C4E">
        <w:rPr>
          <w:rStyle w:val="normaltextrun"/>
          <w:rFonts w:ascii="Tahoma" w:hAnsi="Tahoma" w:cs="Tahoma"/>
          <w:color w:val="000000" w:themeColor="text1"/>
          <w:sz w:val="24"/>
          <w:szCs w:val="24"/>
        </w:rPr>
        <w:t>, al punto que en ese lugar nació el segundo hijo</w:t>
      </w:r>
      <w:r w:rsidR="54AC327B" w:rsidRPr="00494C4E">
        <w:rPr>
          <w:rStyle w:val="normaltextrun"/>
          <w:rFonts w:ascii="Tahoma" w:hAnsi="Tahoma" w:cs="Tahoma"/>
          <w:color w:val="000000" w:themeColor="text1"/>
          <w:sz w:val="24"/>
          <w:szCs w:val="24"/>
        </w:rPr>
        <w:t>. A</w:t>
      </w:r>
      <w:r w:rsidR="00B92979" w:rsidRPr="00494C4E">
        <w:rPr>
          <w:rStyle w:val="normaltextrun"/>
          <w:rFonts w:ascii="Tahoma" w:hAnsi="Tahoma" w:cs="Tahoma"/>
          <w:color w:val="000000" w:themeColor="text1"/>
          <w:sz w:val="24"/>
          <w:szCs w:val="24"/>
        </w:rPr>
        <w:t xml:space="preserve">rguye que el causante no cambio de domicilio, porque continuaba laborando en la finca </w:t>
      </w:r>
      <w:r w:rsidR="00A82AA7" w:rsidRPr="00494C4E">
        <w:rPr>
          <w:rStyle w:val="normaltextrun"/>
          <w:rFonts w:ascii="Tahoma" w:hAnsi="Tahoma" w:cs="Tahoma"/>
          <w:color w:val="000000" w:themeColor="text1"/>
          <w:sz w:val="24"/>
          <w:szCs w:val="24"/>
        </w:rPr>
        <w:t>M</w:t>
      </w:r>
      <w:r w:rsidR="00B92979" w:rsidRPr="00494C4E">
        <w:rPr>
          <w:rStyle w:val="normaltextrun"/>
          <w:rFonts w:ascii="Tahoma" w:hAnsi="Tahoma" w:cs="Tahoma"/>
          <w:color w:val="000000" w:themeColor="text1"/>
          <w:sz w:val="24"/>
          <w:szCs w:val="24"/>
        </w:rPr>
        <w:t>orabito, patronal con la que</w:t>
      </w:r>
      <w:r w:rsidR="00BD688B" w:rsidRPr="00494C4E">
        <w:rPr>
          <w:rStyle w:val="normaltextrun"/>
          <w:rFonts w:ascii="Tahoma" w:hAnsi="Tahoma" w:cs="Tahoma"/>
          <w:color w:val="000000" w:themeColor="text1"/>
          <w:sz w:val="24"/>
          <w:szCs w:val="24"/>
        </w:rPr>
        <w:t xml:space="preserve"> cumplió los requisitos para pensionarse</w:t>
      </w:r>
      <w:r w:rsidR="00CE183D" w:rsidRPr="00494C4E">
        <w:rPr>
          <w:rStyle w:val="normaltextrun"/>
          <w:rFonts w:ascii="Tahoma" w:hAnsi="Tahoma" w:cs="Tahoma"/>
          <w:color w:val="000000" w:themeColor="text1"/>
          <w:sz w:val="24"/>
          <w:szCs w:val="24"/>
        </w:rPr>
        <w:t xml:space="preserve"> en el 2009 o 2010, ya que inició lo</w:t>
      </w:r>
      <w:r w:rsidR="000D2CD8" w:rsidRPr="00494C4E">
        <w:rPr>
          <w:rStyle w:val="normaltextrun"/>
          <w:rFonts w:ascii="Tahoma" w:hAnsi="Tahoma" w:cs="Tahoma"/>
          <w:color w:val="000000" w:themeColor="text1"/>
          <w:sz w:val="24"/>
          <w:szCs w:val="24"/>
        </w:rPr>
        <w:t xml:space="preserve">s </w:t>
      </w:r>
      <w:r w:rsidR="00AA7A75" w:rsidRPr="00494C4E">
        <w:rPr>
          <w:rStyle w:val="normaltextrun"/>
          <w:rFonts w:ascii="Tahoma" w:hAnsi="Tahoma" w:cs="Tahoma"/>
          <w:color w:val="000000" w:themeColor="text1"/>
          <w:sz w:val="24"/>
          <w:szCs w:val="24"/>
        </w:rPr>
        <w:t>trámites</w:t>
      </w:r>
      <w:r w:rsidR="000D2CD8" w:rsidRPr="00494C4E">
        <w:rPr>
          <w:rStyle w:val="normaltextrun"/>
          <w:rFonts w:ascii="Tahoma" w:hAnsi="Tahoma" w:cs="Tahoma"/>
          <w:color w:val="000000" w:themeColor="text1"/>
          <w:sz w:val="24"/>
          <w:szCs w:val="24"/>
        </w:rPr>
        <w:t xml:space="preserve"> en el 2008</w:t>
      </w:r>
      <w:r w:rsidR="00E41D3F" w:rsidRPr="00494C4E">
        <w:rPr>
          <w:rStyle w:val="normaltextrun"/>
          <w:rFonts w:ascii="Tahoma" w:hAnsi="Tahoma" w:cs="Tahoma"/>
          <w:color w:val="000000" w:themeColor="text1"/>
          <w:sz w:val="24"/>
          <w:szCs w:val="24"/>
        </w:rPr>
        <w:t>.</w:t>
      </w:r>
    </w:p>
    <w:p w14:paraId="1FCF7D85" w14:textId="77777777" w:rsidR="00A82AA7" w:rsidRPr="00494C4E" w:rsidRDefault="00A82AA7" w:rsidP="00494C4E">
      <w:pPr>
        <w:spacing w:line="276" w:lineRule="auto"/>
        <w:ind w:firstLine="708"/>
        <w:rPr>
          <w:rStyle w:val="normaltextrun"/>
          <w:rFonts w:ascii="Tahoma" w:hAnsi="Tahoma" w:cs="Tahoma"/>
          <w:color w:val="000000"/>
          <w:sz w:val="24"/>
          <w:szCs w:val="24"/>
        </w:rPr>
      </w:pPr>
    </w:p>
    <w:p w14:paraId="3ED808F9" w14:textId="14263B33" w:rsidR="00A82AA7" w:rsidRPr="00494C4E" w:rsidRDefault="00A82AA7" w:rsidP="00494C4E">
      <w:pPr>
        <w:spacing w:line="276" w:lineRule="auto"/>
        <w:ind w:firstLine="708"/>
        <w:rPr>
          <w:rStyle w:val="normaltextrun"/>
          <w:rFonts w:ascii="Tahoma" w:hAnsi="Tahoma" w:cs="Tahoma"/>
          <w:color w:val="000000"/>
          <w:sz w:val="24"/>
          <w:szCs w:val="24"/>
        </w:rPr>
      </w:pPr>
      <w:r w:rsidRPr="00494C4E">
        <w:rPr>
          <w:rStyle w:val="normaltextrun"/>
          <w:rFonts w:ascii="Tahoma" w:hAnsi="Tahoma" w:cs="Tahoma"/>
          <w:color w:val="000000" w:themeColor="text1"/>
          <w:sz w:val="24"/>
          <w:szCs w:val="24"/>
        </w:rPr>
        <w:t xml:space="preserve">Relata que cuando Johan (el segundo hijo) tenía un año y ocho meses el causante viajó a Popayán por la muerte de su </w:t>
      </w:r>
      <w:r w:rsidR="00627FFB" w:rsidRPr="00494C4E">
        <w:rPr>
          <w:rStyle w:val="normaltextrun"/>
          <w:rFonts w:ascii="Tahoma" w:hAnsi="Tahoma" w:cs="Tahoma"/>
          <w:color w:val="000000" w:themeColor="text1"/>
          <w:sz w:val="24"/>
          <w:szCs w:val="24"/>
        </w:rPr>
        <w:t xml:space="preserve">progenitora, donde permaneció por dos o tres meses, </w:t>
      </w:r>
      <w:r w:rsidR="00E810F1" w:rsidRPr="00494C4E">
        <w:rPr>
          <w:rStyle w:val="normaltextrun"/>
          <w:rFonts w:ascii="Tahoma" w:hAnsi="Tahoma" w:cs="Tahoma"/>
          <w:color w:val="000000" w:themeColor="text1"/>
          <w:sz w:val="24"/>
          <w:szCs w:val="24"/>
        </w:rPr>
        <w:t>lapso en el que e</w:t>
      </w:r>
      <w:r w:rsidR="00ED30A4" w:rsidRPr="00494C4E">
        <w:rPr>
          <w:rStyle w:val="normaltextrun"/>
          <w:rFonts w:ascii="Tahoma" w:hAnsi="Tahoma" w:cs="Tahoma"/>
          <w:color w:val="000000" w:themeColor="text1"/>
          <w:sz w:val="24"/>
          <w:szCs w:val="24"/>
        </w:rPr>
        <w:t>lla quedó embarazada de otra pareja y tuvo a su tercer hijo</w:t>
      </w:r>
      <w:r w:rsidR="00F83BF9" w:rsidRPr="00494C4E">
        <w:rPr>
          <w:rStyle w:val="normaltextrun"/>
          <w:rFonts w:ascii="Tahoma" w:hAnsi="Tahoma" w:cs="Tahoma"/>
          <w:color w:val="000000" w:themeColor="text1"/>
          <w:sz w:val="24"/>
          <w:szCs w:val="24"/>
        </w:rPr>
        <w:t xml:space="preserve"> (John Elkin Jaramillo)</w:t>
      </w:r>
      <w:r w:rsidR="00ED30A4" w:rsidRPr="00494C4E">
        <w:rPr>
          <w:rStyle w:val="normaltextrun"/>
          <w:rFonts w:ascii="Tahoma" w:hAnsi="Tahoma" w:cs="Tahoma"/>
          <w:color w:val="000000" w:themeColor="text1"/>
          <w:sz w:val="24"/>
          <w:szCs w:val="24"/>
        </w:rPr>
        <w:t xml:space="preserve"> </w:t>
      </w:r>
      <w:r w:rsidR="00F83BF9" w:rsidRPr="00494C4E">
        <w:rPr>
          <w:rStyle w:val="normaltextrun"/>
          <w:rFonts w:ascii="Tahoma" w:hAnsi="Tahoma" w:cs="Tahoma"/>
          <w:color w:val="000000" w:themeColor="text1"/>
          <w:sz w:val="24"/>
          <w:szCs w:val="24"/>
        </w:rPr>
        <w:t>en el año 2000</w:t>
      </w:r>
      <w:r w:rsidR="00A77BC5" w:rsidRPr="00494C4E">
        <w:rPr>
          <w:rStyle w:val="normaltextrun"/>
          <w:rFonts w:ascii="Tahoma" w:hAnsi="Tahoma" w:cs="Tahoma"/>
          <w:color w:val="000000" w:themeColor="text1"/>
          <w:sz w:val="24"/>
          <w:szCs w:val="24"/>
        </w:rPr>
        <w:t>;</w:t>
      </w:r>
      <w:r w:rsidR="00F83BF9" w:rsidRPr="00494C4E">
        <w:rPr>
          <w:rStyle w:val="normaltextrun"/>
          <w:rFonts w:ascii="Tahoma" w:hAnsi="Tahoma" w:cs="Tahoma"/>
          <w:color w:val="000000" w:themeColor="text1"/>
          <w:sz w:val="24"/>
          <w:szCs w:val="24"/>
        </w:rPr>
        <w:t xml:space="preserve"> </w:t>
      </w:r>
      <w:r w:rsidR="00A77BC5" w:rsidRPr="00494C4E">
        <w:rPr>
          <w:rStyle w:val="normaltextrun"/>
          <w:rFonts w:ascii="Tahoma" w:hAnsi="Tahoma" w:cs="Tahoma"/>
          <w:color w:val="000000" w:themeColor="text1"/>
          <w:sz w:val="24"/>
          <w:szCs w:val="24"/>
        </w:rPr>
        <w:t xml:space="preserve">sin embargo, relata que el causante volvió </w:t>
      </w:r>
      <w:r w:rsidR="00A77BC5" w:rsidRPr="00494C4E">
        <w:rPr>
          <w:rStyle w:val="normaltextrun"/>
          <w:rFonts w:ascii="Tahoma" w:hAnsi="Tahoma" w:cs="Tahoma"/>
          <w:color w:val="000000" w:themeColor="text1"/>
          <w:sz w:val="24"/>
          <w:szCs w:val="24"/>
        </w:rPr>
        <w:lastRenderedPageBreak/>
        <w:t xml:space="preserve">cuando ella tenía cuatro meses de embarazo, le perdonó la infidelidad y siguieron viviendo como familia, pese a que ella se casó y después </w:t>
      </w:r>
      <w:r w:rsidR="721F5823" w:rsidRPr="00494C4E">
        <w:rPr>
          <w:rStyle w:val="normaltextrun"/>
          <w:rFonts w:ascii="Tahoma" w:hAnsi="Tahoma" w:cs="Tahoma"/>
          <w:color w:val="000000" w:themeColor="text1"/>
          <w:sz w:val="24"/>
          <w:szCs w:val="24"/>
        </w:rPr>
        <w:t>s</w:t>
      </w:r>
      <w:r w:rsidR="00A77BC5" w:rsidRPr="00494C4E">
        <w:rPr>
          <w:rStyle w:val="normaltextrun"/>
          <w:rFonts w:ascii="Tahoma" w:hAnsi="Tahoma" w:cs="Tahoma"/>
          <w:color w:val="000000" w:themeColor="text1"/>
          <w:sz w:val="24"/>
          <w:szCs w:val="24"/>
        </w:rPr>
        <w:t xml:space="preserve">e </w:t>
      </w:r>
      <w:r w:rsidR="0B316107" w:rsidRPr="00494C4E">
        <w:rPr>
          <w:rStyle w:val="normaltextrun"/>
          <w:rFonts w:ascii="Tahoma" w:hAnsi="Tahoma" w:cs="Tahoma"/>
          <w:color w:val="000000" w:themeColor="text1"/>
          <w:sz w:val="24"/>
          <w:szCs w:val="24"/>
        </w:rPr>
        <w:t>divorció</w:t>
      </w:r>
      <w:r w:rsidR="00A77BC5" w:rsidRPr="00494C4E">
        <w:rPr>
          <w:rStyle w:val="normaltextrun"/>
          <w:rFonts w:ascii="Tahoma" w:hAnsi="Tahoma" w:cs="Tahoma"/>
          <w:color w:val="000000" w:themeColor="text1"/>
          <w:sz w:val="24"/>
          <w:szCs w:val="24"/>
        </w:rPr>
        <w:t xml:space="preserve">. </w:t>
      </w:r>
    </w:p>
    <w:p w14:paraId="58E900F3" w14:textId="77777777" w:rsidR="00A77BC5" w:rsidRPr="00494C4E" w:rsidRDefault="00A77BC5" w:rsidP="00494C4E">
      <w:pPr>
        <w:spacing w:line="276" w:lineRule="auto"/>
        <w:ind w:firstLine="708"/>
        <w:rPr>
          <w:rStyle w:val="normaltextrun"/>
          <w:rFonts w:ascii="Tahoma" w:hAnsi="Tahoma" w:cs="Tahoma"/>
          <w:color w:val="000000"/>
          <w:sz w:val="24"/>
          <w:szCs w:val="24"/>
        </w:rPr>
      </w:pPr>
    </w:p>
    <w:p w14:paraId="2469B1BF" w14:textId="7D7E64CD" w:rsidR="00A77BC5" w:rsidRPr="00494C4E" w:rsidRDefault="00A77BC5" w:rsidP="00494C4E">
      <w:pPr>
        <w:spacing w:line="276" w:lineRule="auto"/>
        <w:ind w:firstLine="708"/>
        <w:rPr>
          <w:rStyle w:val="normaltextrun"/>
          <w:rFonts w:ascii="Tahoma" w:hAnsi="Tahoma" w:cs="Tahoma"/>
          <w:color w:val="000000"/>
          <w:sz w:val="24"/>
          <w:szCs w:val="24"/>
        </w:rPr>
      </w:pPr>
      <w:r w:rsidRPr="00494C4E">
        <w:rPr>
          <w:rStyle w:val="normaltextrun"/>
          <w:rFonts w:ascii="Tahoma" w:hAnsi="Tahoma" w:cs="Tahoma"/>
          <w:color w:val="000000"/>
          <w:sz w:val="24"/>
          <w:szCs w:val="24"/>
        </w:rPr>
        <w:t xml:space="preserve">Finalmente, asevera que la convivencia en Cuba se prolongó por </w:t>
      </w:r>
      <w:r w:rsidR="00FE6C5A" w:rsidRPr="00494C4E">
        <w:rPr>
          <w:rStyle w:val="normaltextrun"/>
          <w:rFonts w:ascii="Tahoma" w:hAnsi="Tahoma" w:cs="Tahoma"/>
          <w:color w:val="000000"/>
          <w:sz w:val="24"/>
          <w:szCs w:val="24"/>
        </w:rPr>
        <w:t xml:space="preserve">14 años hasta el </w:t>
      </w:r>
      <w:r w:rsidR="001A5F1D" w:rsidRPr="00494C4E">
        <w:rPr>
          <w:rStyle w:val="normaltextrun"/>
          <w:rFonts w:ascii="Tahoma" w:hAnsi="Tahoma" w:cs="Tahoma"/>
          <w:color w:val="000000"/>
          <w:sz w:val="24"/>
          <w:szCs w:val="24"/>
        </w:rPr>
        <w:t xml:space="preserve">2012 o </w:t>
      </w:r>
      <w:r w:rsidR="00FE6C5A" w:rsidRPr="00494C4E">
        <w:rPr>
          <w:rStyle w:val="normaltextrun"/>
          <w:rFonts w:ascii="Tahoma" w:hAnsi="Tahoma" w:cs="Tahoma"/>
          <w:color w:val="000000"/>
          <w:sz w:val="24"/>
          <w:szCs w:val="24"/>
        </w:rPr>
        <w:t xml:space="preserve">2013 que se fueron para la finca la </w:t>
      </w:r>
      <w:r w:rsidR="00926DAE" w:rsidRPr="00494C4E">
        <w:rPr>
          <w:rStyle w:val="normaltextrun"/>
          <w:rFonts w:ascii="Tahoma" w:hAnsi="Tahoma" w:cs="Tahoma"/>
          <w:color w:val="000000"/>
          <w:sz w:val="24"/>
          <w:szCs w:val="24"/>
        </w:rPr>
        <w:t xml:space="preserve">Luciérnaga, ubicada en </w:t>
      </w:r>
      <w:r w:rsidR="003809A9" w:rsidRPr="00494C4E">
        <w:rPr>
          <w:rStyle w:val="normaltextrun"/>
          <w:rFonts w:ascii="Tahoma" w:hAnsi="Tahoma" w:cs="Tahoma"/>
          <w:color w:val="000000"/>
          <w:sz w:val="24"/>
          <w:szCs w:val="24"/>
        </w:rPr>
        <w:t>Kennedy</w:t>
      </w:r>
      <w:r w:rsidR="008F49B4" w:rsidRPr="00494C4E">
        <w:rPr>
          <w:rStyle w:val="normaltextrun"/>
          <w:rFonts w:ascii="Tahoma" w:hAnsi="Tahoma" w:cs="Tahoma"/>
          <w:color w:val="000000"/>
          <w:sz w:val="24"/>
          <w:szCs w:val="24"/>
        </w:rPr>
        <w:t xml:space="preserve">, </w:t>
      </w:r>
      <w:r w:rsidR="00AA7A75" w:rsidRPr="00494C4E">
        <w:rPr>
          <w:rStyle w:val="normaltextrun"/>
          <w:rFonts w:ascii="Tahoma" w:hAnsi="Tahoma" w:cs="Tahoma"/>
          <w:color w:val="000000"/>
          <w:sz w:val="24"/>
          <w:szCs w:val="24"/>
        </w:rPr>
        <w:t xml:space="preserve">donde su esposo laboró por </w:t>
      </w:r>
      <w:r w:rsidR="000D68B8" w:rsidRPr="00494C4E">
        <w:rPr>
          <w:rStyle w:val="normaltextrun"/>
          <w:rFonts w:ascii="Tahoma" w:hAnsi="Tahoma" w:cs="Tahoma"/>
          <w:color w:val="000000"/>
          <w:sz w:val="24"/>
          <w:szCs w:val="24"/>
        </w:rPr>
        <w:t>5 años, hasta que tuvo un accidente</w:t>
      </w:r>
      <w:r w:rsidR="00F069BA" w:rsidRPr="00494C4E">
        <w:rPr>
          <w:rStyle w:val="normaltextrun"/>
          <w:rFonts w:ascii="Tahoma" w:hAnsi="Tahoma" w:cs="Tahoma"/>
          <w:color w:val="000000"/>
          <w:sz w:val="24"/>
          <w:szCs w:val="24"/>
        </w:rPr>
        <w:t xml:space="preserve"> en el 2017</w:t>
      </w:r>
      <w:r w:rsidR="000D68B8" w:rsidRPr="00494C4E">
        <w:rPr>
          <w:rStyle w:val="normaltextrun"/>
          <w:rFonts w:ascii="Tahoma" w:hAnsi="Tahoma" w:cs="Tahoma"/>
          <w:color w:val="000000"/>
          <w:sz w:val="24"/>
          <w:szCs w:val="24"/>
        </w:rPr>
        <w:t xml:space="preserve"> y debió renunciar quedando al cuidado del núcleo familiar hasta el momento de la muerte. Explica que un año antes del fallecimiento del causante</w:t>
      </w:r>
      <w:r w:rsidR="006545B8" w:rsidRPr="00494C4E">
        <w:rPr>
          <w:rStyle w:val="normaltextrun"/>
          <w:rFonts w:ascii="Tahoma" w:hAnsi="Tahoma" w:cs="Tahoma"/>
          <w:color w:val="000000"/>
          <w:sz w:val="24"/>
          <w:szCs w:val="24"/>
        </w:rPr>
        <w:t xml:space="preserve">, ella y sus tres hijos se fueron para el barrio Diana Turbay en Dosquebradas, porque la finca quedaba en un alto, </w:t>
      </w:r>
      <w:r w:rsidR="00F069BA" w:rsidRPr="00494C4E">
        <w:rPr>
          <w:rStyle w:val="normaltextrun"/>
          <w:rFonts w:ascii="Tahoma" w:hAnsi="Tahoma" w:cs="Tahoma"/>
          <w:color w:val="000000"/>
          <w:sz w:val="24"/>
          <w:szCs w:val="24"/>
        </w:rPr>
        <w:t>y</w:t>
      </w:r>
      <w:r w:rsidR="00C25BC1" w:rsidRPr="00494C4E">
        <w:rPr>
          <w:rStyle w:val="normaltextrun"/>
          <w:rFonts w:ascii="Tahoma" w:hAnsi="Tahoma" w:cs="Tahoma"/>
          <w:color w:val="000000"/>
          <w:sz w:val="24"/>
          <w:szCs w:val="24"/>
        </w:rPr>
        <w:t xml:space="preserve"> le dolían los pies para desplazarse todos los días, empero el causante los visitaba día de por medio y dormía en la casa de Dosquebradas, ya que la finca quedaba a 15 o 20 minutos del nuevo domicilio. </w:t>
      </w:r>
    </w:p>
    <w:p w14:paraId="25B4167E" w14:textId="77777777" w:rsidR="006E7ABC" w:rsidRPr="00494C4E" w:rsidRDefault="006E7ABC" w:rsidP="00494C4E">
      <w:pPr>
        <w:spacing w:line="276" w:lineRule="auto"/>
        <w:ind w:firstLine="708"/>
        <w:rPr>
          <w:rStyle w:val="normaltextrun"/>
          <w:rFonts w:ascii="Tahoma" w:hAnsi="Tahoma" w:cs="Tahoma"/>
          <w:color w:val="000000"/>
          <w:sz w:val="24"/>
          <w:szCs w:val="24"/>
        </w:rPr>
      </w:pPr>
    </w:p>
    <w:p w14:paraId="11BB8087" w14:textId="2B6E616E" w:rsidR="00765024" w:rsidRPr="00494C4E" w:rsidRDefault="00C8078C" w:rsidP="00494C4E">
      <w:pPr>
        <w:spacing w:line="276" w:lineRule="auto"/>
        <w:ind w:firstLine="708"/>
        <w:rPr>
          <w:rStyle w:val="normaltextrun"/>
          <w:rFonts w:ascii="Tahoma" w:hAnsi="Tahoma" w:cs="Tahoma"/>
          <w:color w:val="000000"/>
          <w:sz w:val="24"/>
          <w:szCs w:val="24"/>
        </w:rPr>
      </w:pPr>
      <w:bookmarkStart w:id="6" w:name="_Hlk143668129"/>
      <w:r w:rsidRPr="00494C4E">
        <w:rPr>
          <w:rStyle w:val="normaltextrun"/>
          <w:rFonts w:ascii="Tahoma" w:hAnsi="Tahoma" w:cs="Tahoma"/>
          <w:color w:val="000000" w:themeColor="text1"/>
          <w:sz w:val="24"/>
          <w:szCs w:val="24"/>
        </w:rPr>
        <w:t xml:space="preserve">Por su parte, </w:t>
      </w:r>
      <w:r w:rsidR="00CD2CC5" w:rsidRPr="00494C4E">
        <w:rPr>
          <w:rStyle w:val="normaltextrun"/>
          <w:rFonts w:ascii="Tahoma" w:hAnsi="Tahoma" w:cs="Tahoma"/>
          <w:b/>
          <w:bCs/>
          <w:color w:val="000000" w:themeColor="text1"/>
          <w:sz w:val="24"/>
          <w:szCs w:val="24"/>
        </w:rPr>
        <w:t>Johan Sebastián Pimentel García</w:t>
      </w:r>
      <w:r w:rsidR="00643478" w:rsidRPr="00494C4E">
        <w:rPr>
          <w:rStyle w:val="normaltextrun"/>
          <w:rFonts w:ascii="Tahoma" w:hAnsi="Tahoma" w:cs="Tahoma"/>
          <w:b/>
          <w:bCs/>
          <w:color w:val="000000" w:themeColor="text1"/>
          <w:sz w:val="24"/>
          <w:szCs w:val="24"/>
        </w:rPr>
        <w:t xml:space="preserve"> </w:t>
      </w:r>
      <w:r w:rsidR="00643478" w:rsidRPr="00494C4E">
        <w:rPr>
          <w:rStyle w:val="normaltextrun"/>
          <w:rFonts w:ascii="Tahoma" w:hAnsi="Tahoma" w:cs="Tahoma"/>
          <w:color w:val="000000" w:themeColor="text1"/>
          <w:sz w:val="24"/>
          <w:szCs w:val="24"/>
        </w:rPr>
        <w:t xml:space="preserve">relató </w:t>
      </w:r>
      <w:r w:rsidRPr="00494C4E">
        <w:rPr>
          <w:rStyle w:val="normaltextrun"/>
          <w:rFonts w:ascii="Tahoma" w:hAnsi="Tahoma" w:cs="Tahoma"/>
          <w:color w:val="000000" w:themeColor="text1"/>
          <w:sz w:val="24"/>
          <w:szCs w:val="24"/>
        </w:rPr>
        <w:t>que vivieron en Cuba</w:t>
      </w:r>
      <w:r w:rsidR="008650A2" w:rsidRPr="00494C4E">
        <w:rPr>
          <w:rStyle w:val="normaltextrun"/>
          <w:rFonts w:ascii="Tahoma" w:hAnsi="Tahoma" w:cs="Tahoma"/>
          <w:color w:val="000000" w:themeColor="text1"/>
          <w:sz w:val="24"/>
          <w:szCs w:val="24"/>
        </w:rPr>
        <w:t xml:space="preserve">, hasta que el 2012, cuando </w:t>
      </w:r>
      <w:r w:rsidR="00015330" w:rsidRPr="00494C4E">
        <w:rPr>
          <w:rStyle w:val="normaltextrun"/>
          <w:rFonts w:ascii="Tahoma" w:hAnsi="Tahoma" w:cs="Tahoma"/>
          <w:color w:val="000000" w:themeColor="text1"/>
          <w:sz w:val="24"/>
          <w:szCs w:val="24"/>
        </w:rPr>
        <w:t>él</w:t>
      </w:r>
      <w:r w:rsidR="008650A2" w:rsidRPr="00494C4E">
        <w:rPr>
          <w:rStyle w:val="normaltextrun"/>
          <w:rFonts w:ascii="Tahoma" w:hAnsi="Tahoma" w:cs="Tahoma"/>
          <w:color w:val="000000" w:themeColor="text1"/>
          <w:sz w:val="24"/>
          <w:szCs w:val="24"/>
        </w:rPr>
        <w:t xml:space="preserve"> tenía 14 años, </w:t>
      </w:r>
      <w:r w:rsidR="5171CABC" w:rsidRPr="00494C4E">
        <w:rPr>
          <w:rStyle w:val="normaltextrun"/>
          <w:rFonts w:ascii="Tahoma" w:hAnsi="Tahoma" w:cs="Tahoma"/>
          <w:color w:val="000000" w:themeColor="text1"/>
          <w:sz w:val="24"/>
          <w:szCs w:val="24"/>
        </w:rPr>
        <w:t xml:space="preserve">luego </w:t>
      </w:r>
      <w:r w:rsidR="008650A2" w:rsidRPr="00494C4E">
        <w:rPr>
          <w:rStyle w:val="normaltextrun"/>
          <w:rFonts w:ascii="Tahoma" w:hAnsi="Tahoma" w:cs="Tahoma"/>
          <w:color w:val="000000" w:themeColor="text1"/>
          <w:sz w:val="24"/>
          <w:szCs w:val="24"/>
        </w:rPr>
        <w:t xml:space="preserve">se fueron para la finca la </w:t>
      </w:r>
      <w:r w:rsidR="00643478" w:rsidRPr="00494C4E">
        <w:rPr>
          <w:rStyle w:val="normaltextrun"/>
          <w:rFonts w:ascii="Tahoma" w:hAnsi="Tahoma" w:cs="Tahoma"/>
          <w:color w:val="000000" w:themeColor="text1"/>
          <w:sz w:val="24"/>
          <w:szCs w:val="24"/>
        </w:rPr>
        <w:t>Luciérnaga, e</w:t>
      </w:r>
      <w:r w:rsidR="008650A2" w:rsidRPr="00494C4E">
        <w:rPr>
          <w:rStyle w:val="normaltextrun"/>
          <w:rFonts w:ascii="Tahoma" w:hAnsi="Tahoma" w:cs="Tahoma"/>
          <w:color w:val="000000" w:themeColor="text1"/>
          <w:sz w:val="24"/>
          <w:szCs w:val="24"/>
        </w:rPr>
        <w:t>n</w:t>
      </w:r>
      <w:r w:rsidR="00643478" w:rsidRPr="00494C4E">
        <w:rPr>
          <w:rStyle w:val="normaltextrun"/>
          <w:rFonts w:ascii="Tahoma" w:hAnsi="Tahoma" w:cs="Tahoma"/>
          <w:color w:val="000000" w:themeColor="text1"/>
          <w:sz w:val="24"/>
          <w:szCs w:val="24"/>
        </w:rPr>
        <w:t xml:space="preserve"> Dosquebradas,</w:t>
      </w:r>
      <w:r w:rsidR="002E1F50" w:rsidRPr="00494C4E">
        <w:rPr>
          <w:rStyle w:val="normaltextrun"/>
          <w:rFonts w:ascii="Tahoma" w:hAnsi="Tahoma" w:cs="Tahoma"/>
          <w:color w:val="000000" w:themeColor="text1"/>
          <w:sz w:val="24"/>
          <w:szCs w:val="24"/>
        </w:rPr>
        <w:t xml:space="preserve"> que tenía dos entradas una por Kennedy y otra por Frailes,</w:t>
      </w:r>
      <w:r w:rsidR="00643478" w:rsidRPr="00494C4E">
        <w:rPr>
          <w:rStyle w:val="normaltextrun"/>
          <w:rFonts w:ascii="Tahoma" w:hAnsi="Tahoma" w:cs="Tahoma"/>
          <w:color w:val="000000" w:themeColor="text1"/>
          <w:sz w:val="24"/>
          <w:szCs w:val="24"/>
        </w:rPr>
        <w:t xml:space="preserve"> </w:t>
      </w:r>
      <w:r w:rsidR="006C413E" w:rsidRPr="00494C4E">
        <w:rPr>
          <w:rStyle w:val="normaltextrun"/>
          <w:rFonts w:ascii="Tahoma" w:hAnsi="Tahoma" w:cs="Tahoma"/>
          <w:color w:val="000000" w:themeColor="text1"/>
          <w:sz w:val="24"/>
          <w:szCs w:val="24"/>
        </w:rPr>
        <w:t xml:space="preserve">porque el papá consiguió trabajo allá; sin embargo, </w:t>
      </w:r>
      <w:r w:rsidR="003B6547" w:rsidRPr="00494C4E">
        <w:rPr>
          <w:rStyle w:val="normaltextrun"/>
          <w:rFonts w:ascii="Tahoma" w:hAnsi="Tahoma" w:cs="Tahoma"/>
          <w:color w:val="000000" w:themeColor="text1"/>
          <w:sz w:val="24"/>
          <w:szCs w:val="24"/>
        </w:rPr>
        <w:t>la mamá debía llevarlos todos los días caminando al colegio de Kennedy</w:t>
      </w:r>
      <w:r w:rsidR="00744E1C" w:rsidRPr="00494C4E">
        <w:rPr>
          <w:rStyle w:val="normaltextrun"/>
          <w:rFonts w:ascii="Tahoma" w:hAnsi="Tahoma" w:cs="Tahoma"/>
          <w:color w:val="000000" w:themeColor="text1"/>
          <w:sz w:val="24"/>
          <w:szCs w:val="24"/>
        </w:rPr>
        <w:t xml:space="preserve"> </w:t>
      </w:r>
      <w:r w:rsidR="003B6547" w:rsidRPr="00494C4E">
        <w:rPr>
          <w:rStyle w:val="normaltextrun"/>
          <w:rFonts w:ascii="Tahoma" w:hAnsi="Tahoma" w:cs="Tahoma"/>
          <w:color w:val="000000" w:themeColor="text1"/>
          <w:sz w:val="24"/>
          <w:szCs w:val="24"/>
        </w:rPr>
        <w:t>a unos 10 o 15 minutos, porque no tenían transporte, explica</w:t>
      </w:r>
      <w:r w:rsidR="4DB441FE" w:rsidRPr="00494C4E">
        <w:rPr>
          <w:rStyle w:val="normaltextrun"/>
          <w:rFonts w:ascii="Tahoma" w:hAnsi="Tahoma" w:cs="Tahoma"/>
          <w:color w:val="000000" w:themeColor="text1"/>
          <w:sz w:val="24"/>
          <w:szCs w:val="24"/>
        </w:rPr>
        <w:t>ndo</w:t>
      </w:r>
      <w:r w:rsidR="003B6547" w:rsidRPr="00494C4E">
        <w:rPr>
          <w:rStyle w:val="normaltextrun"/>
          <w:rFonts w:ascii="Tahoma" w:hAnsi="Tahoma" w:cs="Tahoma"/>
          <w:color w:val="000000" w:themeColor="text1"/>
          <w:sz w:val="24"/>
          <w:szCs w:val="24"/>
        </w:rPr>
        <w:t xml:space="preserve"> que a raíz de esa situación</w:t>
      </w:r>
      <w:r w:rsidR="00546F81" w:rsidRPr="00494C4E">
        <w:rPr>
          <w:rStyle w:val="normaltextrun"/>
          <w:rFonts w:ascii="Tahoma" w:hAnsi="Tahoma" w:cs="Tahoma"/>
          <w:color w:val="000000" w:themeColor="text1"/>
          <w:sz w:val="24"/>
          <w:szCs w:val="24"/>
        </w:rPr>
        <w:t xml:space="preserve">, la madre se quejaba constantemente de dolor en los pies y </w:t>
      </w:r>
      <w:r w:rsidR="0125B8C5" w:rsidRPr="00494C4E">
        <w:rPr>
          <w:rStyle w:val="normaltextrun"/>
          <w:rFonts w:ascii="Tahoma" w:hAnsi="Tahoma" w:cs="Tahoma"/>
          <w:color w:val="000000" w:themeColor="text1"/>
          <w:sz w:val="24"/>
          <w:szCs w:val="24"/>
        </w:rPr>
        <w:t xml:space="preserve">por eso </w:t>
      </w:r>
      <w:r w:rsidR="00847277" w:rsidRPr="00494C4E">
        <w:rPr>
          <w:rStyle w:val="normaltextrun"/>
          <w:rFonts w:ascii="Tahoma" w:hAnsi="Tahoma" w:cs="Tahoma"/>
          <w:color w:val="000000" w:themeColor="text1"/>
          <w:sz w:val="24"/>
          <w:szCs w:val="24"/>
        </w:rPr>
        <w:t>se fueron a vivir a Frailes</w:t>
      </w:r>
      <w:r w:rsidR="00546F81" w:rsidRPr="00494C4E">
        <w:rPr>
          <w:rStyle w:val="normaltextrun"/>
          <w:rFonts w:ascii="Tahoma" w:hAnsi="Tahoma" w:cs="Tahoma"/>
          <w:color w:val="000000" w:themeColor="text1"/>
          <w:sz w:val="24"/>
          <w:szCs w:val="24"/>
        </w:rPr>
        <w:t xml:space="preserve">, donde </w:t>
      </w:r>
      <w:r w:rsidR="00847277" w:rsidRPr="00494C4E">
        <w:rPr>
          <w:rStyle w:val="normaltextrun"/>
          <w:rFonts w:ascii="Tahoma" w:hAnsi="Tahoma" w:cs="Tahoma"/>
          <w:color w:val="000000" w:themeColor="text1"/>
          <w:sz w:val="24"/>
          <w:szCs w:val="24"/>
        </w:rPr>
        <w:t>los matricularon en otro colegio</w:t>
      </w:r>
      <w:r w:rsidR="00285787" w:rsidRPr="00494C4E">
        <w:rPr>
          <w:rStyle w:val="normaltextrun"/>
          <w:rFonts w:ascii="Tahoma" w:hAnsi="Tahoma" w:cs="Tahoma"/>
          <w:color w:val="000000" w:themeColor="text1"/>
          <w:sz w:val="24"/>
          <w:szCs w:val="24"/>
        </w:rPr>
        <w:t xml:space="preserve">, </w:t>
      </w:r>
      <w:r w:rsidR="00546F81" w:rsidRPr="00494C4E">
        <w:rPr>
          <w:rStyle w:val="normaltextrun"/>
          <w:rFonts w:ascii="Tahoma" w:hAnsi="Tahoma" w:cs="Tahoma"/>
          <w:color w:val="000000" w:themeColor="text1"/>
          <w:sz w:val="24"/>
          <w:szCs w:val="24"/>
        </w:rPr>
        <w:t xml:space="preserve">al cual los llevaba un compañero </w:t>
      </w:r>
      <w:r w:rsidR="00765024" w:rsidRPr="00494C4E">
        <w:rPr>
          <w:rStyle w:val="normaltextrun"/>
          <w:rFonts w:ascii="Tahoma" w:hAnsi="Tahoma" w:cs="Tahoma"/>
          <w:color w:val="000000" w:themeColor="text1"/>
          <w:sz w:val="24"/>
          <w:szCs w:val="24"/>
        </w:rPr>
        <w:t xml:space="preserve">mayor que ellos </w:t>
      </w:r>
      <w:r w:rsidR="00546F81" w:rsidRPr="00494C4E">
        <w:rPr>
          <w:rStyle w:val="normaltextrun"/>
          <w:rFonts w:ascii="Tahoma" w:hAnsi="Tahoma" w:cs="Tahoma"/>
          <w:color w:val="000000" w:themeColor="text1"/>
          <w:sz w:val="24"/>
          <w:szCs w:val="24"/>
        </w:rPr>
        <w:t>llamado David</w:t>
      </w:r>
      <w:r w:rsidR="00847277" w:rsidRPr="00494C4E">
        <w:rPr>
          <w:rStyle w:val="normaltextrun"/>
          <w:rFonts w:ascii="Tahoma" w:hAnsi="Tahoma" w:cs="Tahoma"/>
          <w:color w:val="000000" w:themeColor="text1"/>
          <w:sz w:val="24"/>
          <w:szCs w:val="24"/>
        </w:rPr>
        <w:t xml:space="preserve">. Aseveró que el </w:t>
      </w:r>
      <w:r w:rsidR="00744E1C" w:rsidRPr="00494C4E">
        <w:rPr>
          <w:rStyle w:val="normaltextrun"/>
          <w:rFonts w:ascii="Tahoma" w:hAnsi="Tahoma" w:cs="Tahoma"/>
          <w:color w:val="000000" w:themeColor="text1"/>
          <w:sz w:val="24"/>
          <w:szCs w:val="24"/>
        </w:rPr>
        <w:t>causante</w:t>
      </w:r>
      <w:r w:rsidR="00EF28E1" w:rsidRPr="00494C4E">
        <w:rPr>
          <w:rStyle w:val="normaltextrun"/>
          <w:rFonts w:ascii="Tahoma" w:hAnsi="Tahoma" w:cs="Tahoma"/>
          <w:color w:val="000000" w:themeColor="text1"/>
          <w:sz w:val="24"/>
          <w:szCs w:val="24"/>
        </w:rPr>
        <w:t xml:space="preserve"> le daba todo lo necesario para la subsistencia, y</w:t>
      </w:r>
      <w:r w:rsidR="00744E1C" w:rsidRPr="00494C4E">
        <w:rPr>
          <w:rStyle w:val="normaltextrun"/>
          <w:rFonts w:ascii="Tahoma" w:hAnsi="Tahoma" w:cs="Tahoma"/>
          <w:color w:val="000000" w:themeColor="text1"/>
          <w:sz w:val="24"/>
          <w:szCs w:val="24"/>
        </w:rPr>
        <w:t xml:space="preserve"> los visitaba</w:t>
      </w:r>
      <w:r w:rsidR="00826659" w:rsidRPr="00494C4E">
        <w:rPr>
          <w:rStyle w:val="normaltextrun"/>
          <w:rFonts w:ascii="Tahoma" w:hAnsi="Tahoma" w:cs="Tahoma"/>
          <w:color w:val="000000" w:themeColor="text1"/>
          <w:sz w:val="24"/>
          <w:szCs w:val="24"/>
        </w:rPr>
        <w:t xml:space="preserve"> a excepción de los últimos meses, que sufrió un accidente y quedó al cuidado de la reclamante</w:t>
      </w:r>
      <w:r w:rsidR="003619A7" w:rsidRPr="00494C4E">
        <w:rPr>
          <w:rStyle w:val="normaltextrun"/>
          <w:rFonts w:ascii="Tahoma" w:hAnsi="Tahoma" w:cs="Tahoma"/>
          <w:color w:val="000000" w:themeColor="text1"/>
          <w:sz w:val="24"/>
          <w:szCs w:val="24"/>
        </w:rPr>
        <w:t>. Agregó que el padre de Elkin eventualmente iba a compartir con su hermano menor</w:t>
      </w:r>
      <w:r w:rsidR="00AB1BA1" w:rsidRPr="00494C4E">
        <w:rPr>
          <w:rStyle w:val="normaltextrun"/>
          <w:rFonts w:ascii="Tahoma" w:hAnsi="Tahoma" w:cs="Tahoma"/>
          <w:color w:val="000000" w:themeColor="text1"/>
          <w:sz w:val="24"/>
          <w:szCs w:val="24"/>
        </w:rPr>
        <w:t>,</w:t>
      </w:r>
      <w:r w:rsidR="00285787" w:rsidRPr="00494C4E">
        <w:rPr>
          <w:rStyle w:val="normaltextrun"/>
          <w:rFonts w:ascii="Tahoma" w:hAnsi="Tahoma" w:cs="Tahoma"/>
          <w:color w:val="000000" w:themeColor="text1"/>
          <w:sz w:val="24"/>
          <w:szCs w:val="24"/>
        </w:rPr>
        <w:t xml:space="preserve"> pero no tenía una relación con su madre,</w:t>
      </w:r>
      <w:r w:rsidR="00AB1BA1" w:rsidRPr="00494C4E">
        <w:rPr>
          <w:rStyle w:val="normaltextrun"/>
          <w:rFonts w:ascii="Tahoma" w:hAnsi="Tahoma" w:cs="Tahoma"/>
          <w:color w:val="000000" w:themeColor="text1"/>
          <w:sz w:val="24"/>
          <w:szCs w:val="24"/>
        </w:rPr>
        <w:t xml:space="preserve"> </w:t>
      </w:r>
      <w:r w:rsidR="00765024" w:rsidRPr="00494C4E">
        <w:rPr>
          <w:rStyle w:val="normaltextrun"/>
          <w:rFonts w:ascii="Tahoma" w:hAnsi="Tahoma" w:cs="Tahoma"/>
          <w:color w:val="000000" w:themeColor="text1"/>
          <w:sz w:val="24"/>
          <w:szCs w:val="24"/>
        </w:rPr>
        <w:t>y que los dueños de la finca Marleny y Luis Fernando solo iban a la propiedad una o dos veces al mes</w:t>
      </w:r>
      <w:r w:rsidR="00AB1BA1" w:rsidRPr="00494C4E">
        <w:rPr>
          <w:rStyle w:val="normaltextrun"/>
          <w:rFonts w:ascii="Tahoma" w:hAnsi="Tahoma" w:cs="Tahoma"/>
          <w:color w:val="000000" w:themeColor="text1"/>
          <w:sz w:val="24"/>
          <w:szCs w:val="24"/>
        </w:rPr>
        <w:t>.</w:t>
      </w:r>
    </w:p>
    <w:p w14:paraId="6AE0A5CE" w14:textId="77777777" w:rsidR="00037644" w:rsidRPr="00494C4E" w:rsidRDefault="00037644" w:rsidP="00494C4E">
      <w:pPr>
        <w:spacing w:line="276" w:lineRule="auto"/>
        <w:ind w:firstLine="708"/>
        <w:rPr>
          <w:rStyle w:val="normaltextrun"/>
          <w:rFonts w:ascii="Tahoma" w:hAnsi="Tahoma" w:cs="Tahoma"/>
          <w:color w:val="000000"/>
          <w:sz w:val="24"/>
          <w:szCs w:val="24"/>
        </w:rPr>
      </w:pPr>
    </w:p>
    <w:p w14:paraId="57A0F2ED" w14:textId="753CB45B" w:rsidR="00E167AA" w:rsidRPr="00494C4E" w:rsidRDefault="00037644" w:rsidP="00494C4E">
      <w:pPr>
        <w:spacing w:line="276" w:lineRule="auto"/>
        <w:ind w:firstLine="0"/>
        <w:rPr>
          <w:rFonts w:ascii="Tahoma" w:hAnsi="Tahoma" w:cs="Tahoma"/>
          <w:color w:val="000000"/>
          <w:sz w:val="24"/>
          <w:szCs w:val="24"/>
        </w:rPr>
      </w:pPr>
      <w:r w:rsidRPr="00494C4E">
        <w:rPr>
          <w:rStyle w:val="normaltextrun"/>
          <w:rFonts w:ascii="Tahoma" w:hAnsi="Tahoma" w:cs="Tahoma"/>
          <w:color w:val="000000"/>
          <w:sz w:val="24"/>
          <w:szCs w:val="24"/>
        </w:rPr>
        <w:tab/>
        <w:t xml:space="preserve">El testigo, </w:t>
      </w:r>
      <w:r w:rsidR="00CD2CC5" w:rsidRPr="00494C4E">
        <w:rPr>
          <w:rFonts w:ascii="Tahoma" w:hAnsi="Tahoma" w:cs="Tahoma"/>
          <w:b/>
          <w:bCs/>
          <w:color w:val="000000"/>
          <w:sz w:val="24"/>
          <w:szCs w:val="24"/>
        </w:rPr>
        <w:t>Javier Ramiro García</w:t>
      </w:r>
      <w:r w:rsidR="00E167AA" w:rsidRPr="00494C4E">
        <w:rPr>
          <w:rFonts w:ascii="Tahoma" w:hAnsi="Tahoma" w:cs="Tahoma"/>
          <w:b/>
          <w:bCs/>
          <w:color w:val="000000"/>
          <w:sz w:val="24"/>
          <w:szCs w:val="24"/>
        </w:rPr>
        <w:t xml:space="preserve"> </w:t>
      </w:r>
      <w:r w:rsidR="00E167AA" w:rsidRPr="00494C4E">
        <w:rPr>
          <w:rFonts w:ascii="Tahoma" w:hAnsi="Tahoma" w:cs="Tahoma"/>
          <w:color w:val="000000"/>
          <w:sz w:val="24"/>
          <w:szCs w:val="24"/>
        </w:rPr>
        <w:t>(</w:t>
      </w:r>
      <w:r w:rsidR="005C2621" w:rsidRPr="00494C4E">
        <w:rPr>
          <w:rFonts w:ascii="Tahoma" w:hAnsi="Tahoma" w:cs="Tahoma"/>
          <w:color w:val="000000"/>
          <w:sz w:val="24"/>
          <w:szCs w:val="24"/>
        </w:rPr>
        <w:t>hermano de la causante</w:t>
      </w:r>
      <w:r w:rsidR="00E167AA" w:rsidRPr="00494C4E">
        <w:rPr>
          <w:rFonts w:ascii="Tahoma" w:hAnsi="Tahoma" w:cs="Tahoma"/>
          <w:color w:val="000000"/>
          <w:sz w:val="24"/>
          <w:szCs w:val="24"/>
        </w:rPr>
        <w:t>)</w:t>
      </w:r>
      <w:r w:rsidR="00465818" w:rsidRPr="00494C4E">
        <w:rPr>
          <w:rFonts w:ascii="Tahoma" w:hAnsi="Tahoma" w:cs="Tahoma"/>
          <w:color w:val="000000"/>
          <w:sz w:val="24"/>
          <w:szCs w:val="24"/>
        </w:rPr>
        <w:t xml:space="preserve">, </w:t>
      </w:r>
      <w:r w:rsidR="002747B9" w:rsidRPr="00494C4E">
        <w:rPr>
          <w:rFonts w:ascii="Tahoma" w:hAnsi="Tahoma" w:cs="Tahoma"/>
          <w:color w:val="000000"/>
          <w:sz w:val="24"/>
          <w:szCs w:val="24"/>
        </w:rPr>
        <w:t xml:space="preserve">indicó que trabajaba como músico, cantando en los pueblos y que entre el 2000 y 2006 estuvo fuera del país. </w:t>
      </w:r>
      <w:r w:rsidR="00381487" w:rsidRPr="00494C4E">
        <w:rPr>
          <w:rFonts w:ascii="Tahoma" w:hAnsi="Tahoma" w:cs="Tahoma"/>
          <w:color w:val="000000"/>
          <w:sz w:val="24"/>
          <w:szCs w:val="24"/>
        </w:rPr>
        <w:t xml:space="preserve">En cuanto a la convivencia de los compañeros, afirmó que inició en 1990 cuando su hermana se fue para </w:t>
      </w:r>
      <w:r w:rsidR="00EB4EE9" w:rsidRPr="00494C4E">
        <w:rPr>
          <w:rFonts w:ascii="Tahoma" w:hAnsi="Tahoma" w:cs="Tahoma"/>
          <w:color w:val="000000"/>
          <w:sz w:val="24"/>
          <w:szCs w:val="24"/>
        </w:rPr>
        <w:t>Chinchiná</w:t>
      </w:r>
      <w:r w:rsidR="00421298" w:rsidRPr="00494C4E">
        <w:rPr>
          <w:rFonts w:ascii="Tahoma" w:hAnsi="Tahoma" w:cs="Tahoma"/>
          <w:color w:val="000000"/>
          <w:sz w:val="24"/>
          <w:szCs w:val="24"/>
        </w:rPr>
        <w:t xml:space="preserve">, </w:t>
      </w:r>
      <w:r w:rsidR="00574E26" w:rsidRPr="00494C4E">
        <w:rPr>
          <w:rFonts w:ascii="Tahoma" w:hAnsi="Tahoma" w:cs="Tahoma"/>
          <w:color w:val="000000"/>
          <w:sz w:val="24"/>
          <w:szCs w:val="24"/>
        </w:rPr>
        <w:t xml:space="preserve">donde vivieron por </w:t>
      </w:r>
      <w:r w:rsidR="00421298" w:rsidRPr="00494C4E">
        <w:rPr>
          <w:rFonts w:ascii="Tahoma" w:hAnsi="Tahoma" w:cs="Tahoma"/>
          <w:color w:val="000000"/>
          <w:sz w:val="24"/>
          <w:szCs w:val="24"/>
        </w:rPr>
        <w:t xml:space="preserve">dos o </w:t>
      </w:r>
      <w:r w:rsidR="00322595" w:rsidRPr="00494C4E">
        <w:rPr>
          <w:rFonts w:ascii="Tahoma" w:hAnsi="Tahoma" w:cs="Tahoma"/>
          <w:color w:val="000000"/>
          <w:sz w:val="24"/>
          <w:szCs w:val="24"/>
        </w:rPr>
        <w:t xml:space="preserve">tres años </w:t>
      </w:r>
      <w:r w:rsidR="00574E26" w:rsidRPr="00494C4E">
        <w:rPr>
          <w:rFonts w:ascii="Tahoma" w:hAnsi="Tahoma" w:cs="Tahoma"/>
          <w:color w:val="000000"/>
          <w:sz w:val="24"/>
          <w:szCs w:val="24"/>
        </w:rPr>
        <w:t xml:space="preserve">hasta que </w:t>
      </w:r>
      <w:r w:rsidR="00322595" w:rsidRPr="00494C4E">
        <w:rPr>
          <w:rFonts w:ascii="Tahoma" w:hAnsi="Tahoma" w:cs="Tahoma"/>
          <w:color w:val="000000"/>
          <w:sz w:val="24"/>
          <w:szCs w:val="24"/>
        </w:rPr>
        <w:t xml:space="preserve">se fue a vivir a </w:t>
      </w:r>
      <w:r w:rsidR="006637BF" w:rsidRPr="00494C4E">
        <w:rPr>
          <w:rFonts w:ascii="Tahoma" w:hAnsi="Tahoma" w:cs="Tahoma"/>
          <w:color w:val="000000"/>
          <w:sz w:val="24"/>
          <w:szCs w:val="24"/>
        </w:rPr>
        <w:t>Cuba, cerca de la casa de su madre,</w:t>
      </w:r>
      <w:r w:rsidR="00574E26" w:rsidRPr="00494C4E">
        <w:rPr>
          <w:rFonts w:ascii="Tahoma" w:hAnsi="Tahoma" w:cs="Tahoma"/>
          <w:color w:val="000000"/>
          <w:sz w:val="24"/>
          <w:szCs w:val="24"/>
        </w:rPr>
        <w:t xml:space="preserve"> barrio en el que permanecieron hasta el 2012 o 2013 </w:t>
      </w:r>
      <w:r w:rsidR="0C7B6288" w:rsidRPr="00494C4E">
        <w:rPr>
          <w:rFonts w:ascii="Tahoma" w:hAnsi="Tahoma" w:cs="Tahoma"/>
          <w:color w:val="000000"/>
          <w:sz w:val="24"/>
          <w:szCs w:val="24"/>
        </w:rPr>
        <w:t xml:space="preserve">hasta </w:t>
      </w:r>
      <w:r w:rsidR="00574E26" w:rsidRPr="00494C4E">
        <w:rPr>
          <w:rFonts w:ascii="Tahoma" w:hAnsi="Tahoma" w:cs="Tahoma"/>
          <w:color w:val="000000"/>
          <w:sz w:val="24"/>
          <w:szCs w:val="24"/>
        </w:rPr>
        <w:t>que el causante consiguió trabajo en una finca en Frailes</w:t>
      </w:r>
      <w:r w:rsidR="00036486" w:rsidRPr="00494C4E">
        <w:rPr>
          <w:rFonts w:ascii="Tahoma" w:hAnsi="Tahoma" w:cs="Tahoma"/>
          <w:color w:val="000000"/>
          <w:sz w:val="24"/>
          <w:szCs w:val="24"/>
        </w:rPr>
        <w:t xml:space="preserve">. Explicó que los visitó tres veces en </w:t>
      </w:r>
      <w:r w:rsidR="00FF75E1" w:rsidRPr="00494C4E">
        <w:rPr>
          <w:rFonts w:ascii="Tahoma" w:hAnsi="Tahoma" w:cs="Tahoma"/>
          <w:color w:val="000000"/>
          <w:sz w:val="24"/>
          <w:szCs w:val="24"/>
        </w:rPr>
        <w:t>C</w:t>
      </w:r>
      <w:r w:rsidR="00036486" w:rsidRPr="00494C4E">
        <w:rPr>
          <w:rFonts w:ascii="Tahoma" w:hAnsi="Tahoma" w:cs="Tahoma"/>
          <w:color w:val="000000"/>
          <w:sz w:val="24"/>
          <w:szCs w:val="24"/>
        </w:rPr>
        <w:t xml:space="preserve">uba y </w:t>
      </w:r>
      <w:r w:rsidR="00FF75E1" w:rsidRPr="00494C4E">
        <w:rPr>
          <w:rFonts w:ascii="Tahoma" w:hAnsi="Tahoma" w:cs="Tahoma"/>
          <w:color w:val="000000"/>
          <w:sz w:val="24"/>
          <w:szCs w:val="24"/>
        </w:rPr>
        <w:t>una</w:t>
      </w:r>
      <w:r w:rsidR="00036486" w:rsidRPr="00494C4E">
        <w:rPr>
          <w:rFonts w:ascii="Tahoma" w:hAnsi="Tahoma" w:cs="Tahoma"/>
          <w:color w:val="000000"/>
          <w:sz w:val="24"/>
          <w:szCs w:val="24"/>
        </w:rPr>
        <w:t xml:space="preserve"> ve</w:t>
      </w:r>
      <w:r w:rsidR="00FF75E1" w:rsidRPr="00494C4E">
        <w:rPr>
          <w:rFonts w:ascii="Tahoma" w:hAnsi="Tahoma" w:cs="Tahoma"/>
          <w:color w:val="000000"/>
          <w:sz w:val="24"/>
          <w:szCs w:val="24"/>
        </w:rPr>
        <w:t>z</w:t>
      </w:r>
      <w:r w:rsidR="00036486" w:rsidRPr="00494C4E">
        <w:rPr>
          <w:rFonts w:ascii="Tahoma" w:hAnsi="Tahoma" w:cs="Tahoma"/>
          <w:color w:val="000000"/>
          <w:sz w:val="24"/>
          <w:szCs w:val="24"/>
        </w:rPr>
        <w:t xml:space="preserve"> en la finca, oportunidad </w:t>
      </w:r>
      <w:r w:rsidR="006C4F26" w:rsidRPr="00494C4E">
        <w:rPr>
          <w:rFonts w:ascii="Tahoma" w:hAnsi="Tahoma" w:cs="Tahoma"/>
          <w:color w:val="000000"/>
          <w:sz w:val="24"/>
          <w:szCs w:val="24"/>
        </w:rPr>
        <w:t xml:space="preserve">en la que </w:t>
      </w:r>
      <w:r w:rsidR="00AB1BA1" w:rsidRPr="00494C4E">
        <w:rPr>
          <w:rFonts w:ascii="Tahoma" w:hAnsi="Tahoma" w:cs="Tahoma"/>
          <w:color w:val="000000"/>
          <w:sz w:val="24"/>
          <w:szCs w:val="24"/>
        </w:rPr>
        <w:t>vio un familiar de la propietaria del inmueble</w:t>
      </w:r>
      <w:r w:rsidR="00FF75E1" w:rsidRPr="00494C4E">
        <w:rPr>
          <w:rFonts w:ascii="Tahoma" w:hAnsi="Tahoma" w:cs="Tahoma"/>
          <w:color w:val="000000"/>
          <w:sz w:val="24"/>
          <w:szCs w:val="24"/>
        </w:rPr>
        <w:t xml:space="preserve">. Agregó que su sobrino </w:t>
      </w:r>
      <w:r w:rsidR="00CC6CB4" w:rsidRPr="00494C4E">
        <w:rPr>
          <w:rFonts w:ascii="Tahoma" w:hAnsi="Tahoma" w:cs="Tahoma"/>
          <w:color w:val="000000"/>
          <w:sz w:val="24"/>
          <w:szCs w:val="24"/>
        </w:rPr>
        <w:t>Jonny</w:t>
      </w:r>
      <w:r w:rsidR="00FF75E1" w:rsidRPr="00494C4E">
        <w:rPr>
          <w:rFonts w:ascii="Tahoma" w:hAnsi="Tahoma" w:cs="Tahoma"/>
          <w:color w:val="000000"/>
          <w:sz w:val="24"/>
          <w:szCs w:val="24"/>
        </w:rPr>
        <w:t xml:space="preserve"> le contó que </w:t>
      </w:r>
      <w:r w:rsidR="009B09A4" w:rsidRPr="00494C4E">
        <w:rPr>
          <w:rFonts w:ascii="Tahoma" w:hAnsi="Tahoma" w:cs="Tahoma"/>
          <w:color w:val="000000"/>
          <w:sz w:val="24"/>
          <w:szCs w:val="24"/>
        </w:rPr>
        <w:t>antes de que el causante muriera vivían en Frailes</w:t>
      </w:r>
      <w:r w:rsidR="00D371D0" w:rsidRPr="00494C4E">
        <w:rPr>
          <w:rFonts w:ascii="Tahoma" w:hAnsi="Tahoma" w:cs="Tahoma"/>
          <w:color w:val="000000"/>
          <w:sz w:val="24"/>
          <w:szCs w:val="24"/>
        </w:rPr>
        <w:t xml:space="preserve">. </w:t>
      </w:r>
    </w:p>
    <w:p w14:paraId="59328236" w14:textId="3E45C14A" w:rsidR="00CD2CC5" w:rsidRPr="00494C4E" w:rsidRDefault="00CD2CC5" w:rsidP="00494C4E">
      <w:pPr>
        <w:spacing w:line="276" w:lineRule="auto"/>
        <w:ind w:firstLine="0"/>
        <w:rPr>
          <w:rFonts w:ascii="Tahoma" w:hAnsi="Tahoma" w:cs="Tahoma"/>
          <w:bCs/>
          <w:color w:val="000000"/>
          <w:sz w:val="24"/>
          <w:szCs w:val="24"/>
        </w:rPr>
      </w:pPr>
    </w:p>
    <w:p w14:paraId="2B5D3B60" w14:textId="39E89B45" w:rsidR="00F322FF" w:rsidRPr="00494C4E" w:rsidRDefault="00D371D0" w:rsidP="00494C4E">
      <w:pPr>
        <w:spacing w:line="276" w:lineRule="auto"/>
        <w:ind w:firstLine="0"/>
        <w:rPr>
          <w:rFonts w:ascii="Tahoma" w:hAnsi="Tahoma" w:cs="Tahoma"/>
          <w:color w:val="000000"/>
          <w:sz w:val="24"/>
          <w:szCs w:val="24"/>
        </w:rPr>
      </w:pPr>
      <w:r w:rsidRPr="00494C4E">
        <w:rPr>
          <w:rFonts w:ascii="Tahoma" w:hAnsi="Tahoma" w:cs="Tahoma"/>
          <w:bCs/>
          <w:color w:val="000000"/>
          <w:sz w:val="24"/>
          <w:szCs w:val="24"/>
        </w:rPr>
        <w:tab/>
      </w:r>
      <w:r w:rsidRPr="00494C4E">
        <w:rPr>
          <w:rFonts w:ascii="Tahoma" w:hAnsi="Tahoma" w:cs="Tahoma"/>
          <w:color w:val="000000"/>
          <w:sz w:val="24"/>
          <w:szCs w:val="24"/>
        </w:rPr>
        <w:t xml:space="preserve">Finalmente, </w:t>
      </w:r>
      <w:r w:rsidRPr="00494C4E">
        <w:rPr>
          <w:rFonts w:ascii="Tahoma" w:hAnsi="Tahoma" w:cs="Tahoma"/>
          <w:b/>
          <w:bCs/>
          <w:color w:val="000000"/>
          <w:sz w:val="24"/>
          <w:szCs w:val="24"/>
        </w:rPr>
        <w:t>Luz Marleny Pinzón Patiño</w:t>
      </w:r>
      <w:r w:rsidRPr="00494C4E">
        <w:rPr>
          <w:rFonts w:ascii="Tahoma" w:hAnsi="Tahoma" w:cs="Tahoma"/>
          <w:color w:val="000000"/>
          <w:sz w:val="24"/>
          <w:szCs w:val="24"/>
        </w:rPr>
        <w:t xml:space="preserve"> </w:t>
      </w:r>
      <w:r w:rsidR="00000EF9" w:rsidRPr="00494C4E">
        <w:rPr>
          <w:rFonts w:ascii="Tahoma" w:hAnsi="Tahoma" w:cs="Tahoma"/>
          <w:color w:val="000000"/>
          <w:sz w:val="24"/>
          <w:szCs w:val="24"/>
        </w:rPr>
        <w:t xml:space="preserve">explicó que </w:t>
      </w:r>
      <w:r w:rsidRPr="00494C4E">
        <w:rPr>
          <w:rFonts w:ascii="Tahoma" w:hAnsi="Tahoma" w:cs="Tahoma"/>
          <w:color w:val="000000"/>
          <w:sz w:val="24"/>
          <w:szCs w:val="24"/>
        </w:rPr>
        <w:t xml:space="preserve">conoció a la demandante </w:t>
      </w:r>
      <w:r w:rsidR="00000EF9" w:rsidRPr="00494C4E">
        <w:rPr>
          <w:rFonts w:ascii="Tahoma" w:hAnsi="Tahoma" w:cs="Tahoma"/>
          <w:color w:val="000000"/>
          <w:sz w:val="24"/>
          <w:szCs w:val="24"/>
        </w:rPr>
        <w:t xml:space="preserve">haciendo aseo en la casa de su progenitora, que a finales del 2012 cerca de la época de navidad, </w:t>
      </w:r>
      <w:r w:rsidR="00453F96" w:rsidRPr="00494C4E">
        <w:rPr>
          <w:rFonts w:ascii="Tahoma" w:hAnsi="Tahoma" w:cs="Tahoma"/>
          <w:color w:val="000000"/>
          <w:sz w:val="24"/>
          <w:szCs w:val="24"/>
        </w:rPr>
        <w:t xml:space="preserve">le dio trabajo a Don Marco, entonces la demandante, el causante y sus tres hijos empezaron a vivir </w:t>
      </w:r>
      <w:r w:rsidR="001F543B" w:rsidRPr="00494C4E">
        <w:rPr>
          <w:rFonts w:ascii="Tahoma" w:hAnsi="Tahoma" w:cs="Tahoma"/>
          <w:color w:val="000000"/>
          <w:sz w:val="24"/>
          <w:szCs w:val="24"/>
        </w:rPr>
        <w:t xml:space="preserve">en una finca de su propiedad </w:t>
      </w:r>
      <w:r w:rsidR="001857C6" w:rsidRPr="00494C4E">
        <w:rPr>
          <w:rFonts w:ascii="Tahoma" w:hAnsi="Tahoma" w:cs="Tahoma"/>
          <w:color w:val="000000"/>
          <w:sz w:val="24"/>
          <w:szCs w:val="24"/>
        </w:rPr>
        <w:t xml:space="preserve">ubicada en la vereda Gaitán Alto, </w:t>
      </w:r>
      <w:r w:rsidR="001F543B" w:rsidRPr="00494C4E">
        <w:rPr>
          <w:rFonts w:ascii="Tahoma" w:hAnsi="Tahoma" w:cs="Tahoma"/>
          <w:color w:val="000000"/>
          <w:sz w:val="24"/>
          <w:szCs w:val="24"/>
        </w:rPr>
        <w:t xml:space="preserve">donde vivieron 4 años, ya que </w:t>
      </w:r>
      <w:r w:rsidR="6BCDD520" w:rsidRPr="00494C4E">
        <w:rPr>
          <w:rFonts w:ascii="Tahoma" w:hAnsi="Tahoma" w:cs="Tahoma"/>
          <w:color w:val="000000"/>
          <w:sz w:val="24"/>
          <w:szCs w:val="24"/>
        </w:rPr>
        <w:t xml:space="preserve">para </w:t>
      </w:r>
      <w:r w:rsidR="001F543B" w:rsidRPr="00494C4E">
        <w:rPr>
          <w:rFonts w:ascii="Tahoma" w:hAnsi="Tahoma" w:cs="Tahoma"/>
          <w:color w:val="000000"/>
          <w:sz w:val="24"/>
          <w:szCs w:val="24"/>
        </w:rPr>
        <w:t>el último</w:t>
      </w:r>
      <w:r w:rsidR="6237EBCD" w:rsidRPr="00494C4E">
        <w:rPr>
          <w:rFonts w:ascii="Tahoma" w:hAnsi="Tahoma" w:cs="Tahoma"/>
          <w:color w:val="000000"/>
          <w:sz w:val="24"/>
          <w:szCs w:val="24"/>
        </w:rPr>
        <w:t xml:space="preserve"> año</w:t>
      </w:r>
      <w:r w:rsidR="001F543B" w:rsidRPr="00494C4E">
        <w:rPr>
          <w:rFonts w:ascii="Tahoma" w:hAnsi="Tahoma" w:cs="Tahoma"/>
          <w:color w:val="000000"/>
          <w:sz w:val="24"/>
          <w:szCs w:val="24"/>
        </w:rPr>
        <w:t>, la demandante y los hijos se fueron para Frailes,</w:t>
      </w:r>
      <w:r w:rsidR="00455DA8" w:rsidRPr="00494C4E">
        <w:rPr>
          <w:rFonts w:ascii="Tahoma" w:hAnsi="Tahoma" w:cs="Tahoma"/>
          <w:color w:val="000000"/>
          <w:sz w:val="24"/>
          <w:szCs w:val="24"/>
        </w:rPr>
        <w:t xml:space="preserve"> porque la accionante estaba muy cansada y le dolían los pies por la pendiente de la propiedad</w:t>
      </w:r>
      <w:r w:rsidR="00737F9D" w:rsidRPr="00494C4E">
        <w:rPr>
          <w:rFonts w:ascii="Tahoma" w:hAnsi="Tahoma" w:cs="Tahoma"/>
          <w:color w:val="000000"/>
          <w:sz w:val="24"/>
          <w:szCs w:val="24"/>
        </w:rPr>
        <w:t xml:space="preserve">, </w:t>
      </w:r>
      <w:r w:rsidR="00F322FF" w:rsidRPr="00494C4E">
        <w:rPr>
          <w:rFonts w:ascii="Tahoma" w:hAnsi="Tahoma" w:cs="Tahoma"/>
          <w:color w:val="000000"/>
          <w:sz w:val="24"/>
          <w:szCs w:val="24"/>
        </w:rPr>
        <w:t xml:space="preserve">pues los niños debían estudiar en Kennedy a unos 40 minutos de la finca. </w:t>
      </w:r>
    </w:p>
    <w:p w14:paraId="61F6162B" w14:textId="77777777" w:rsidR="000A5078" w:rsidRPr="00494C4E" w:rsidRDefault="000A5078" w:rsidP="00494C4E">
      <w:pPr>
        <w:spacing w:line="276" w:lineRule="auto"/>
        <w:ind w:firstLine="0"/>
        <w:rPr>
          <w:rFonts w:ascii="Tahoma" w:hAnsi="Tahoma" w:cs="Tahoma"/>
          <w:bCs/>
          <w:color w:val="000000"/>
          <w:sz w:val="24"/>
          <w:szCs w:val="24"/>
        </w:rPr>
      </w:pPr>
    </w:p>
    <w:p w14:paraId="70631A14" w14:textId="7A138A66" w:rsidR="00586BB7" w:rsidRPr="00494C4E" w:rsidRDefault="000A5078" w:rsidP="00494C4E">
      <w:pPr>
        <w:spacing w:line="276" w:lineRule="auto"/>
        <w:ind w:firstLine="0"/>
        <w:rPr>
          <w:rFonts w:ascii="Tahoma" w:hAnsi="Tahoma" w:cs="Tahoma"/>
          <w:color w:val="000000"/>
          <w:sz w:val="24"/>
          <w:szCs w:val="24"/>
        </w:rPr>
      </w:pPr>
      <w:r w:rsidRPr="00494C4E">
        <w:rPr>
          <w:rFonts w:ascii="Tahoma" w:hAnsi="Tahoma" w:cs="Tahoma"/>
          <w:bCs/>
          <w:color w:val="000000"/>
          <w:sz w:val="24"/>
          <w:szCs w:val="24"/>
        </w:rPr>
        <w:lastRenderedPageBreak/>
        <w:tab/>
      </w:r>
      <w:r w:rsidRPr="00494C4E">
        <w:rPr>
          <w:rFonts w:ascii="Tahoma" w:hAnsi="Tahoma" w:cs="Tahoma"/>
          <w:color w:val="000000"/>
          <w:sz w:val="24"/>
          <w:szCs w:val="24"/>
        </w:rPr>
        <w:t>Agregó que</w:t>
      </w:r>
      <w:r w:rsidR="25319DDD" w:rsidRPr="00494C4E">
        <w:rPr>
          <w:rFonts w:ascii="Tahoma" w:hAnsi="Tahoma" w:cs="Tahoma"/>
          <w:color w:val="000000"/>
          <w:sz w:val="24"/>
          <w:szCs w:val="24"/>
        </w:rPr>
        <w:t>,</w:t>
      </w:r>
      <w:r w:rsidRPr="00494C4E">
        <w:rPr>
          <w:rFonts w:ascii="Tahoma" w:hAnsi="Tahoma" w:cs="Tahoma"/>
          <w:color w:val="000000"/>
          <w:sz w:val="24"/>
          <w:szCs w:val="24"/>
        </w:rPr>
        <w:t xml:space="preserve"> en ese último año, el causante </w:t>
      </w:r>
      <w:r w:rsidR="00696B3F" w:rsidRPr="00494C4E">
        <w:rPr>
          <w:rFonts w:ascii="Tahoma" w:hAnsi="Tahoma" w:cs="Tahoma"/>
          <w:color w:val="000000"/>
          <w:sz w:val="24"/>
          <w:szCs w:val="24"/>
        </w:rPr>
        <w:t>le pedía permiso dos o tres veces a la semana para irse donde su esposa y le comunicaba que la casa quedaba sola. N</w:t>
      </w:r>
      <w:r w:rsidR="00737F9D" w:rsidRPr="00494C4E">
        <w:rPr>
          <w:rFonts w:ascii="Tahoma" w:hAnsi="Tahoma" w:cs="Tahoma"/>
          <w:color w:val="000000"/>
          <w:sz w:val="24"/>
          <w:szCs w:val="24"/>
        </w:rPr>
        <w:t xml:space="preserve">o </w:t>
      </w:r>
      <w:r w:rsidR="00B86649" w:rsidRPr="00494C4E">
        <w:rPr>
          <w:rFonts w:ascii="Tahoma" w:hAnsi="Tahoma" w:cs="Tahoma"/>
          <w:color w:val="000000"/>
          <w:sz w:val="24"/>
          <w:szCs w:val="24"/>
        </w:rPr>
        <w:t>obstante,</w:t>
      </w:r>
      <w:r w:rsidR="00737F9D" w:rsidRPr="00494C4E">
        <w:rPr>
          <w:rFonts w:ascii="Tahoma" w:hAnsi="Tahoma" w:cs="Tahoma"/>
          <w:color w:val="000000"/>
          <w:sz w:val="24"/>
          <w:szCs w:val="24"/>
        </w:rPr>
        <w:t xml:space="preserve"> el trabajador continu</w:t>
      </w:r>
      <w:r w:rsidR="17C32948" w:rsidRPr="00494C4E">
        <w:rPr>
          <w:rFonts w:ascii="Tahoma" w:hAnsi="Tahoma" w:cs="Tahoma"/>
          <w:color w:val="000000"/>
          <w:sz w:val="24"/>
          <w:szCs w:val="24"/>
        </w:rPr>
        <w:t>ó</w:t>
      </w:r>
      <w:r w:rsidR="00737F9D" w:rsidRPr="00494C4E">
        <w:rPr>
          <w:rFonts w:ascii="Tahoma" w:hAnsi="Tahoma" w:cs="Tahoma"/>
          <w:color w:val="000000"/>
          <w:sz w:val="24"/>
          <w:szCs w:val="24"/>
        </w:rPr>
        <w:t xml:space="preserve"> en la finca y solo se fue dos o tres meses antes de morir para la casa de su esposa</w:t>
      </w:r>
      <w:r w:rsidR="66AC3909" w:rsidRPr="00494C4E">
        <w:rPr>
          <w:rFonts w:ascii="Tahoma" w:hAnsi="Tahoma" w:cs="Tahoma"/>
          <w:color w:val="000000"/>
          <w:sz w:val="24"/>
          <w:szCs w:val="24"/>
        </w:rPr>
        <w:t>, ya que</w:t>
      </w:r>
      <w:r w:rsidR="67301FD6" w:rsidRPr="00494C4E">
        <w:rPr>
          <w:rFonts w:ascii="Tahoma" w:hAnsi="Tahoma" w:cs="Tahoma"/>
          <w:color w:val="000000"/>
          <w:sz w:val="24"/>
          <w:szCs w:val="24"/>
        </w:rPr>
        <w:t>,</w:t>
      </w:r>
      <w:r w:rsidR="00737F9D" w:rsidRPr="00494C4E">
        <w:rPr>
          <w:rFonts w:ascii="Tahoma" w:hAnsi="Tahoma" w:cs="Tahoma"/>
          <w:color w:val="000000"/>
          <w:sz w:val="24"/>
          <w:szCs w:val="24"/>
        </w:rPr>
        <w:t xml:space="preserve"> por razones de salud</w:t>
      </w:r>
      <w:r w:rsidR="4B2BDC57" w:rsidRPr="00494C4E">
        <w:rPr>
          <w:rFonts w:ascii="Tahoma" w:hAnsi="Tahoma" w:cs="Tahoma"/>
          <w:color w:val="000000"/>
          <w:sz w:val="24"/>
          <w:szCs w:val="24"/>
        </w:rPr>
        <w:t>,</w:t>
      </w:r>
      <w:r w:rsidR="00737F9D" w:rsidRPr="00494C4E">
        <w:rPr>
          <w:rFonts w:ascii="Tahoma" w:hAnsi="Tahoma" w:cs="Tahoma"/>
          <w:color w:val="000000"/>
          <w:sz w:val="24"/>
          <w:szCs w:val="24"/>
        </w:rPr>
        <w:t xml:space="preserve"> debido a un accidente renunció.</w:t>
      </w:r>
      <w:r w:rsidR="00696B3F" w:rsidRPr="00494C4E">
        <w:rPr>
          <w:rFonts w:ascii="Tahoma" w:hAnsi="Tahoma" w:cs="Tahoma"/>
          <w:color w:val="000000"/>
          <w:sz w:val="24"/>
          <w:szCs w:val="24"/>
        </w:rPr>
        <w:t xml:space="preserve"> </w:t>
      </w:r>
    </w:p>
    <w:p w14:paraId="1B209911" w14:textId="77777777" w:rsidR="00586BB7" w:rsidRPr="00494C4E" w:rsidRDefault="00586BB7" w:rsidP="00494C4E">
      <w:pPr>
        <w:spacing w:line="276" w:lineRule="auto"/>
        <w:ind w:firstLine="0"/>
        <w:rPr>
          <w:rFonts w:ascii="Tahoma" w:hAnsi="Tahoma" w:cs="Tahoma"/>
          <w:bCs/>
          <w:color w:val="000000"/>
          <w:sz w:val="24"/>
          <w:szCs w:val="24"/>
        </w:rPr>
      </w:pPr>
    </w:p>
    <w:p w14:paraId="6249748F" w14:textId="5BA0EE0B" w:rsidR="00D371D0" w:rsidRPr="00494C4E" w:rsidRDefault="00586BB7" w:rsidP="00494C4E">
      <w:pPr>
        <w:spacing w:line="276" w:lineRule="auto"/>
        <w:ind w:firstLine="708"/>
        <w:rPr>
          <w:rFonts w:ascii="Tahoma" w:hAnsi="Tahoma" w:cs="Tahoma"/>
          <w:color w:val="000000"/>
          <w:sz w:val="24"/>
          <w:szCs w:val="24"/>
        </w:rPr>
      </w:pPr>
      <w:r w:rsidRPr="00494C4E">
        <w:rPr>
          <w:rFonts w:ascii="Tahoma" w:hAnsi="Tahoma" w:cs="Tahoma"/>
          <w:color w:val="000000" w:themeColor="text1"/>
          <w:sz w:val="24"/>
          <w:szCs w:val="24"/>
        </w:rPr>
        <w:t>Señaló q</w:t>
      </w:r>
      <w:r w:rsidR="00DF0305" w:rsidRPr="00494C4E">
        <w:rPr>
          <w:rFonts w:ascii="Tahoma" w:hAnsi="Tahoma" w:cs="Tahoma"/>
          <w:color w:val="000000" w:themeColor="text1"/>
          <w:sz w:val="24"/>
          <w:szCs w:val="24"/>
        </w:rPr>
        <w:t>ue siempre que fue a su finca una o dos veces al mes los veía compartiendo como pareja</w:t>
      </w:r>
      <w:r w:rsidR="00455DA8" w:rsidRPr="00494C4E">
        <w:rPr>
          <w:rFonts w:ascii="Tahoma" w:hAnsi="Tahoma" w:cs="Tahoma"/>
          <w:color w:val="000000" w:themeColor="text1"/>
          <w:sz w:val="24"/>
          <w:szCs w:val="24"/>
        </w:rPr>
        <w:t xml:space="preserve">, y les tenía prohibido permitir el ingreso de personas </w:t>
      </w:r>
      <w:r w:rsidR="002A1126" w:rsidRPr="00494C4E">
        <w:rPr>
          <w:rFonts w:ascii="Tahoma" w:hAnsi="Tahoma" w:cs="Tahoma"/>
          <w:color w:val="000000" w:themeColor="text1"/>
          <w:sz w:val="24"/>
          <w:szCs w:val="24"/>
        </w:rPr>
        <w:t>extrañas y vecinos,</w:t>
      </w:r>
      <w:r w:rsidR="00B86649" w:rsidRPr="00494C4E">
        <w:rPr>
          <w:rFonts w:ascii="Tahoma" w:hAnsi="Tahoma" w:cs="Tahoma"/>
          <w:color w:val="000000" w:themeColor="text1"/>
          <w:sz w:val="24"/>
          <w:szCs w:val="24"/>
        </w:rPr>
        <w:t xml:space="preserve"> pues la única persona que habitó la vivienda un tiempo fue un familiar suyo</w:t>
      </w:r>
      <w:r w:rsidR="00F322FF" w:rsidRPr="00494C4E">
        <w:rPr>
          <w:rFonts w:ascii="Tahoma" w:hAnsi="Tahoma" w:cs="Tahoma"/>
          <w:color w:val="000000" w:themeColor="text1"/>
          <w:sz w:val="24"/>
          <w:szCs w:val="24"/>
        </w:rPr>
        <w:t xml:space="preserve">, </w:t>
      </w:r>
      <w:r w:rsidR="002A1126" w:rsidRPr="00494C4E">
        <w:rPr>
          <w:rFonts w:ascii="Tahoma" w:hAnsi="Tahoma" w:cs="Tahoma"/>
          <w:color w:val="000000" w:themeColor="text1"/>
          <w:sz w:val="24"/>
          <w:szCs w:val="24"/>
        </w:rPr>
        <w:t>mientras pintó la fachada de la finca</w:t>
      </w:r>
      <w:r w:rsidR="74DC6807" w:rsidRPr="00494C4E">
        <w:rPr>
          <w:rFonts w:ascii="Tahoma" w:hAnsi="Tahoma" w:cs="Tahoma"/>
          <w:color w:val="000000" w:themeColor="text1"/>
          <w:sz w:val="24"/>
          <w:szCs w:val="24"/>
        </w:rPr>
        <w:t xml:space="preserve">; </w:t>
      </w:r>
      <w:r w:rsidRPr="00494C4E">
        <w:rPr>
          <w:rFonts w:ascii="Tahoma" w:hAnsi="Tahoma" w:cs="Tahoma"/>
          <w:color w:val="000000" w:themeColor="text1"/>
          <w:sz w:val="24"/>
          <w:szCs w:val="24"/>
        </w:rPr>
        <w:t xml:space="preserve">por último, reconoció como vecinos a Rosa y Omar. </w:t>
      </w:r>
    </w:p>
    <w:bookmarkEnd w:id="6"/>
    <w:p w14:paraId="213A21E5" w14:textId="425E0E3B" w:rsidR="00512F58" w:rsidRPr="00494C4E" w:rsidRDefault="00512F58" w:rsidP="00494C4E">
      <w:pPr>
        <w:spacing w:line="276" w:lineRule="auto"/>
        <w:ind w:firstLine="0"/>
        <w:rPr>
          <w:rStyle w:val="Refdenotaalpie"/>
          <w:rFonts w:ascii="Tahoma" w:hAnsi="Tahoma" w:cs="Tahoma"/>
          <w:sz w:val="24"/>
          <w:szCs w:val="24"/>
        </w:rPr>
      </w:pPr>
    </w:p>
    <w:p w14:paraId="53F692FE" w14:textId="773CD0D6" w:rsidR="002D0F7C" w:rsidRPr="00494C4E" w:rsidRDefault="00B3770C" w:rsidP="00494C4E">
      <w:pPr>
        <w:pStyle w:val="Prrafodelista"/>
        <w:numPr>
          <w:ilvl w:val="2"/>
          <w:numId w:val="18"/>
        </w:numPr>
        <w:spacing w:line="276" w:lineRule="auto"/>
        <w:rPr>
          <w:rFonts w:ascii="Tahoma" w:hAnsi="Tahoma" w:cs="Tahoma"/>
          <w:b/>
        </w:rPr>
      </w:pPr>
      <w:r w:rsidRPr="00494C4E">
        <w:rPr>
          <w:rFonts w:ascii="Tahoma" w:hAnsi="Tahoma" w:cs="Tahoma"/>
          <w:b/>
        </w:rPr>
        <w:t>Valoración conjunta de los medios de prueba.</w:t>
      </w:r>
    </w:p>
    <w:p w14:paraId="70EDB43A" w14:textId="77777777" w:rsidR="00026377" w:rsidRPr="00494C4E" w:rsidRDefault="00026377" w:rsidP="00494C4E">
      <w:pPr>
        <w:pStyle w:val="Sinespaciado"/>
        <w:spacing w:line="276" w:lineRule="auto"/>
        <w:rPr>
          <w:rFonts w:ascii="Tahoma" w:hAnsi="Tahoma" w:cs="Tahoma"/>
        </w:rPr>
      </w:pPr>
    </w:p>
    <w:p w14:paraId="61A20F7F" w14:textId="16F8F49A" w:rsidR="00E23249" w:rsidRPr="00494C4E" w:rsidRDefault="0011184E" w:rsidP="00494C4E">
      <w:pPr>
        <w:spacing w:line="276" w:lineRule="auto"/>
        <w:ind w:firstLine="0"/>
        <w:rPr>
          <w:rFonts w:ascii="Tahoma" w:hAnsi="Tahoma" w:cs="Tahoma"/>
          <w:sz w:val="24"/>
          <w:szCs w:val="24"/>
        </w:rPr>
      </w:pPr>
      <w:r w:rsidRPr="00494C4E">
        <w:rPr>
          <w:rFonts w:ascii="Tahoma" w:hAnsi="Tahoma" w:cs="Tahoma"/>
          <w:sz w:val="24"/>
          <w:szCs w:val="24"/>
        </w:rPr>
        <w:tab/>
      </w:r>
      <w:r w:rsidR="008E5B06" w:rsidRPr="00494C4E">
        <w:rPr>
          <w:rFonts w:ascii="Tahoma" w:hAnsi="Tahoma" w:cs="Tahoma"/>
          <w:sz w:val="24"/>
          <w:szCs w:val="24"/>
        </w:rPr>
        <w:t>Contrario a lo señalado por la Administradora recurrente, no se observa contradicción alguna en</w:t>
      </w:r>
      <w:r w:rsidR="00A607E2" w:rsidRPr="00494C4E">
        <w:rPr>
          <w:rFonts w:ascii="Tahoma" w:hAnsi="Tahoma" w:cs="Tahoma"/>
          <w:sz w:val="24"/>
          <w:szCs w:val="24"/>
        </w:rPr>
        <w:t>tre</w:t>
      </w:r>
      <w:r w:rsidR="008E5B06" w:rsidRPr="00494C4E">
        <w:rPr>
          <w:rFonts w:ascii="Tahoma" w:hAnsi="Tahoma" w:cs="Tahoma"/>
          <w:sz w:val="24"/>
          <w:szCs w:val="24"/>
        </w:rPr>
        <w:t xml:space="preserve"> el relato de la demandante</w:t>
      </w:r>
      <w:r w:rsidR="008C0C50" w:rsidRPr="00494C4E">
        <w:rPr>
          <w:rFonts w:ascii="Tahoma" w:hAnsi="Tahoma" w:cs="Tahoma"/>
          <w:sz w:val="24"/>
          <w:szCs w:val="24"/>
        </w:rPr>
        <w:t xml:space="preserve"> vertido en informe administrativo</w:t>
      </w:r>
      <w:r w:rsidR="008C0C50" w:rsidRPr="00494C4E">
        <w:rPr>
          <w:rFonts w:ascii="Tahoma" w:hAnsi="Tahoma" w:cs="Tahoma"/>
          <w:sz w:val="24"/>
          <w:szCs w:val="24"/>
          <w:vertAlign w:val="superscript"/>
        </w:rPr>
        <w:footnoteReference w:id="14"/>
      </w:r>
      <w:r w:rsidR="008C0C50" w:rsidRPr="00494C4E">
        <w:rPr>
          <w:rFonts w:ascii="Tahoma" w:hAnsi="Tahoma" w:cs="Tahoma"/>
          <w:sz w:val="24"/>
          <w:szCs w:val="24"/>
        </w:rPr>
        <w:t xml:space="preserve"> y en sede judicial</w:t>
      </w:r>
      <w:r w:rsidR="00A9231F" w:rsidRPr="00494C4E">
        <w:rPr>
          <w:rFonts w:ascii="Tahoma" w:hAnsi="Tahoma" w:cs="Tahoma"/>
          <w:sz w:val="24"/>
          <w:szCs w:val="24"/>
        </w:rPr>
        <w:t xml:space="preserve">, </w:t>
      </w:r>
      <w:r w:rsidR="00E23249" w:rsidRPr="00494C4E">
        <w:rPr>
          <w:rFonts w:ascii="Tahoma" w:hAnsi="Tahoma" w:cs="Tahoma"/>
          <w:sz w:val="24"/>
          <w:szCs w:val="24"/>
        </w:rPr>
        <w:t xml:space="preserve">debido a </w:t>
      </w:r>
      <w:r w:rsidR="00BE3692" w:rsidRPr="00494C4E">
        <w:rPr>
          <w:rFonts w:ascii="Tahoma" w:hAnsi="Tahoma" w:cs="Tahoma"/>
          <w:sz w:val="24"/>
          <w:szCs w:val="24"/>
        </w:rPr>
        <w:t xml:space="preserve">que </w:t>
      </w:r>
      <w:r w:rsidR="00BA5A26" w:rsidRPr="00494C4E">
        <w:rPr>
          <w:rFonts w:ascii="Tahoma" w:hAnsi="Tahoma" w:cs="Tahoma"/>
          <w:sz w:val="24"/>
          <w:szCs w:val="24"/>
        </w:rPr>
        <w:t xml:space="preserve">en el hecho tercero </w:t>
      </w:r>
      <w:r w:rsidR="00BE3692" w:rsidRPr="00494C4E">
        <w:rPr>
          <w:rFonts w:ascii="Tahoma" w:hAnsi="Tahoma" w:cs="Tahoma"/>
          <w:sz w:val="24"/>
          <w:szCs w:val="24"/>
        </w:rPr>
        <w:t xml:space="preserve">la demandante solo expresó que convivió con el causante por más de 20 años, y </w:t>
      </w:r>
      <w:r w:rsidR="008024A4" w:rsidRPr="00494C4E">
        <w:rPr>
          <w:rFonts w:ascii="Tahoma" w:hAnsi="Tahoma" w:cs="Tahoma"/>
          <w:sz w:val="24"/>
          <w:szCs w:val="24"/>
        </w:rPr>
        <w:t>en el cuarto la calenda de nacimiento de sus dos hijos, sin exponer que la relación fue continua e interrumpida</w:t>
      </w:r>
      <w:r w:rsidR="00093AC6" w:rsidRPr="00494C4E">
        <w:rPr>
          <w:rFonts w:ascii="Tahoma" w:hAnsi="Tahoma" w:cs="Tahoma"/>
          <w:sz w:val="24"/>
          <w:szCs w:val="24"/>
        </w:rPr>
        <w:t>,</w:t>
      </w:r>
      <w:r w:rsidR="00055B04" w:rsidRPr="00494C4E">
        <w:rPr>
          <w:rFonts w:ascii="Tahoma" w:hAnsi="Tahoma" w:cs="Tahoma"/>
          <w:sz w:val="24"/>
          <w:szCs w:val="24"/>
        </w:rPr>
        <w:t xml:space="preserve"> de ahí que no se pueda tener como data inicial el nacimiento de los hijos, por el contrario la apoderada desconoce que en el hecho sexto, la actora</w:t>
      </w:r>
      <w:r w:rsidR="000635FC" w:rsidRPr="00494C4E">
        <w:rPr>
          <w:rFonts w:ascii="Tahoma" w:hAnsi="Tahoma" w:cs="Tahoma"/>
          <w:sz w:val="24"/>
          <w:szCs w:val="24"/>
        </w:rPr>
        <w:t xml:space="preserve"> por medio de apoderada judicial</w:t>
      </w:r>
      <w:r w:rsidR="00055B04" w:rsidRPr="00494C4E">
        <w:rPr>
          <w:rFonts w:ascii="Tahoma" w:hAnsi="Tahoma" w:cs="Tahoma"/>
          <w:sz w:val="24"/>
          <w:szCs w:val="24"/>
        </w:rPr>
        <w:t xml:space="preserve"> confesó una suspensión en la convivencia desde el 2000 hasta el 2006</w:t>
      </w:r>
      <w:r w:rsidR="7D7C3244" w:rsidRPr="00494C4E">
        <w:rPr>
          <w:rFonts w:ascii="Tahoma" w:hAnsi="Tahoma" w:cs="Tahoma"/>
          <w:sz w:val="24"/>
          <w:szCs w:val="24"/>
        </w:rPr>
        <w:t xml:space="preserve">. En </w:t>
      </w:r>
      <w:r w:rsidR="00672715" w:rsidRPr="00494C4E">
        <w:rPr>
          <w:rFonts w:ascii="Tahoma" w:hAnsi="Tahoma" w:cs="Tahoma"/>
          <w:sz w:val="24"/>
          <w:szCs w:val="24"/>
        </w:rPr>
        <w:t xml:space="preserve">ese orden, si se tiene en cuenta que los testigos dieron cuenta que la relación inició en 1990, </w:t>
      </w:r>
      <w:r w:rsidR="008208EF" w:rsidRPr="00494C4E">
        <w:rPr>
          <w:rFonts w:ascii="Tahoma" w:hAnsi="Tahoma" w:cs="Tahoma"/>
          <w:sz w:val="24"/>
          <w:szCs w:val="24"/>
        </w:rPr>
        <w:t>misma que a juicio de la actora se suspendió por 6 años y se reanud</w:t>
      </w:r>
      <w:r w:rsidR="00266A86" w:rsidRPr="00494C4E">
        <w:rPr>
          <w:rFonts w:ascii="Tahoma" w:hAnsi="Tahoma" w:cs="Tahoma"/>
          <w:sz w:val="24"/>
          <w:szCs w:val="24"/>
        </w:rPr>
        <w:t>ó</w:t>
      </w:r>
      <w:r w:rsidR="008208EF" w:rsidRPr="00494C4E">
        <w:rPr>
          <w:rFonts w:ascii="Tahoma" w:hAnsi="Tahoma" w:cs="Tahoma"/>
          <w:sz w:val="24"/>
          <w:szCs w:val="24"/>
        </w:rPr>
        <w:t xml:space="preserve"> hasta </w:t>
      </w:r>
      <w:r w:rsidR="00672715" w:rsidRPr="00494C4E">
        <w:rPr>
          <w:rFonts w:ascii="Tahoma" w:hAnsi="Tahoma" w:cs="Tahoma"/>
          <w:sz w:val="24"/>
          <w:szCs w:val="24"/>
        </w:rPr>
        <w:t>el 24 de octubre de</w:t>
      </w:r>
      <w:r w:rsidR="008208EF" w:rsidRPr="00494C4E">
        <w:rPr>
          <w:rFonts w:ascii="Tahoma" w:hAnsi="Tahoma" w:cs="Tahoma"/>
          <w:sz w:val="24"/>
          <w:szCs w:val="24"/>
        </w:rPr>
        <w:t xml:space="preserve"> 2017 data del fallecimiento del causante, es </w:t>
      </w:r>
      <w:r w:rsidR="00C64ED0" w:rsidRPr="00494C4E">
        <w:rPr>
          <w:rFonts w:ascii="Tahoma" w:hAnsi="Tahoma" w:cs="Tahoma"/>
          <w:sz w:val="24"/>
          <w:szCs w:val="24"/>
        </w:rPr>
        <w:t xml:space="preserve">lógico </w:t>
      </w:r>
      <w:r w:rsidR="35BA8112" w:rsidRPr="00494C4E">
        <w:rPr>
          <w:rFonts w:ascii="Tahoma" w:hAnsi="Tahoma" w:cs="Tahoma"/>
          <w:sz w:val="24"/>
          <w:szCs w:val="24"/>
        </w:rPr>
        <w:t xml:space="preserve">que </w:t>
      </w:r>
      <w:r w:rsidR="004203BC" w:rsidRPr="00494C4E">
        <w:rPr>
          <w:rFonts w:ascii="Tahoma" w:hAnsi="Tahoma" w:cs="Tahoma"/>
          <w:sz w:val="24"/>
          <w:szCs w:val="24"/>
        </w:rPr>
        <w:t>el t</w:t>
      </w:r>
      <w:r w:rsidR="00266A86" w:rsidRPr="00494C4E">
        <w:rPr>
          <w:rFonts w:ascii="Tahoma" w:hAnsi="Tahoma" w:cs="Tahoma"/>
          <w:sz w:val="24"/>
          <w:szCs w:val="24"/>
        </w:rPr>
        <w:t>é</w:t>
      </w:r>
      <w:r w:rsidR="004203BC" w:rsidRPr="00494C4E">
        <w:rPr>
          <w:rFonts w:ascii="Tahoma" w:hAnsi="Tahoma" w:cs="Tahoma"/>
          <w:sz w:val="24"/>
          <w:szCs w:val="24"/>
        </w:rPr>
        <w:t>rmino narrado en el hecho tercero no co</w:t>
      </w:r>
      <w:r w:rsidR="00890F58" w:rsidRPr="00494C4E">
        <w:rPr>
          <w:rFonts w:ascii="Tahoma" w:hAnsi="Tahoma" w:cs="Tahoma"/>
          <w:sz w:val="24"/>
          <w:szCs w:val="24"/>
        </w:rPr>
        <w:t>mprendió</w:t>
      </w:r>
      <w:r w:rsidR="004203BC" w:rsidRPr="00494C4E">
        <w:rPr>
          <w:rFonts w:ascii="Tahoma" w:hAnsi="Tahoma" w:cs="Tahoma"/>
          <w:sz w:val="24"/>
          <w:szCs w:val="24"/>
        </w:rPr>
        <w:t xml:space="preserve"> la suspensión</w:t>
      </w:r>
      <w:r w:rsidR="00153C81" w:rsidRPr="00494C4E">
        <w:rPr>
          <w:rFonts w:ascii="Tahoma" w:hAnsi="Tahoma" w:cs="Tahoma"/>
          <w:sz w:val="24"/>
          <w:szCs w:val="24"/>
        </w:rPr>
        <w:t>.</w:t>
      </w:r>
    </w:p>
    <w:p w14:paraId="32C8069A" w14:textId="77777777" w:rsidR="00E23249" w:rsidRPr="00494C4E" w:rsidRDefault="00E23249" w:rsidP="00494C4E">
      <w:pPr>
        <w:spacing w:line="276" w:lineRule="auto"/>
        <w:ind w:firstLine="0"/>
        <w:rPr>
          <w:rFonts w:ascii="Tahoma" w:hAnsi="Tahoma" w:cs="Tahoma"/>
          <w:sz w:val="24"/>
          <w:szCs w:val="24"/>
        </w:rPr>
      </w:pPr>
    </w:p>
    <w:p w14:paraId="3FAEFF32" w14:textId="6B70D2EC" w:rsidR="0011184E" w:rsidRPr="00494C4E" w:rsidRDefault="00E23249" w:rsidP="00494C4E">
      <w:pPr>
        <w:spacing w:line="276" w:lineRule="auto"/>
        <w:ind w:firstLine="708"/>
        <w:rPr>
          <w:rFonts w:ascii="Tahoma" w:hAnsi="Tahoma" w:cs="Tahoma"/>
          <w:sz w:val="24"/>
          <w:szCs w:val="24"/>
        </w:rPr>
      </w:pPr>
      <w:r w:rsidRPr="00494C4E">
        <w:rPr>
          <w:rFonts w:ascii="Tahoma" w:hAnsi="Tahoma" w:cs="Tahoma"/>
          <w:sz w:val="24"/>
          <w:szCs w:val="24"/>
        </w:rPr>
        <w:t xml:space="preserve">Así, </w:t>
      </w:r>
      <w:r w:rsidR="00C06E8F" w:rsidRPr="00494C4E">
        <w:rPr>
          <w:rFonts w:ascii="Tahoma" w:hAnsi="Tahoma" w:cs="Tahoma"/>
          <w:sz w:val="24"/>
          <w:szCs w:val="24"/>
        </w:rPr>
        <w:t>al margen de</w:t>
      </w:r>
      <w:r w:rsidR="00E05FD6" w:rsidRPr="00494C4E">
        <w:rPr>
          <w:rFonts w:ascii="Tahoma" w:hAnsi="Tahoma" w:cs="Tahoma"/>
          <w:sz w:val="24"/>
          <w:szCs w:val="24"/>
        </w:rPr>
        <w:t xml:space="preserve"> la</w:t>
      </w:r>
      <w:r w:rsidR="00C06E8F" w:rsidRPr="00494C4E">
        <w:rPr>
          <w:rFonts w:ascii="Tahoma" w:hAnsi="Tahoma" w:cs="Tahoma"/>
          <w:sz w:val="24"/>
          <w:szCs w:val="24"/>
        </w:rPr>
        <w:t xml:space="preserve"> </w:t>
      </w:r>
      <w:r w:rsidR="00403295" w:rsidRPr="00494C4E">
        <w:rPr>
          <w:rFonts w:ascii="Tahoma" w:hAnsi="Tahoma" w:cs="Tahoma"/>
          <w:sz w:val="24"/>
          <w:szCs w:val="24"/>
        </w:rPr>
        <w:t xml:space="preserve">interrupción de la convivencia </w:t>
      </w:r>
      <w:r w:rsidR="00266A86" w:rsidRPr="00494C4E">
        <w:rPr>
          <w:rFonts w:ascii="Tahoma" w:hAnsi="Tahoma" w:cs="Tahoma"/>
          <w:sz w:val="24"/>
          <w:szCs w:val="24"/>
        </w:rPr>
        <w:t>narrada</w:t>
      </w:r>
      <w:r w:rsidR="00403295" w:rsidRPr="00494C4E">
        <w:rPr>
          <w:rFonts w:ascii="Tahoma" w:hAnsi="Tahoma" w:cs="Tahoma"/>
          <w:sz w:val="24"/>
          <w:szCs w:val="24"/>
        </w:rPr>
        <w:t xml:space="preserve"> en la demanda entre el 2000 y el 2006, lo cierto es que la reanudación </w:t>
      </w:r>
      <w:r w:rsidR="006359A1" w:rsidRPr="00494C4E">
        <w:rPr>
          <w:rFonts w:ascii="Tahoma" w:hAnsi="Tahoma" w:cs="Tahoma"/>
          <w:sz w:val="24"/>
          <w:szCs w:val="24"/>
        </w:rPr>
        <w:t xml:space="preserve">de la </w:t>
      </w:r>
      <w:r w:rsidR="00E05FD6" w:rsidRPr="00494C4E">
        <w:rPr>
          <w:rFonts w:ascii="Tahoma" w:hAnsi="Tahoma" w:cs="Tahoma"/>
          <w:sz w:val="24"/>
          <w:szCs w:val="24"/>
        </w:rPr>
        <w:t xml:space="preserve">misma </w:t>
      </w:r>
      <w:r w:rsidR="006359A1" w:rsidRPr="00494C4E">
        <w:rPr>
          <w:rFonts w:ascii="Tahoma" w:hAnsi="Tahoma" w:cs="Tahoma"/>
          <w:sz w:val="24"/>
          <w:szCs w:val="24"/>
        </w:rPr>
        <w:t>con posterioridad a dicha calenda suple con creces el requisito de convivencia</w:t>
      </w:r>
      <w:r w:rsidR="00472C3D" w:rsidRPr="00494C4E">
        <w:rPr>
          <w:rFonts w:ascii="Tahoma" w:hAnsi="Tahoma" w:cs="Tahoma"/>
          <w:sz w:val="24"/>
          <w:szCs w:val="24"/>
        </w:rPr>
        <w:t xml:space="preserve"> de 5 años de convivencia en cualquier tiempo, </w:t>
      </w:r>
      <w:r w:rsidR="2E34DBF0" w:rsidRPr="00494C4E">
        <w:rPr>
          <w:rFonts w:ascii="Tahoma" w:hAnsi="Tahoma" w:cs="Tahoma"/>
          <w:sz w:val="24"/>
          <w:szCs w:val="24"/>
        </w:rPr>
        <w:t xml:space="preserve">pues </w:t>
      </w:r>
      <w:r w:rsidR="00472C3D" w:rsidRPr="00494C4E">
        <w:rPr>
          <w:rFonts w:ascii="Tahoma" w:hAnsi="Tahoma" w:cs="Tahoma"/>
          <w:sz w:val="24"/>
          <w:szCs w:val="24"/>
        </w:rPr>
        <w:t xml:space="preserve">nótese como el mismo </w:t>
      </w:r>
      <w:r w:rsidR="150CF3AB" w:rsidRPr="00494C4E">
        <w:rPr>
          <w:rFonts w:ascii="Tahoma" w:hAnsi="Tahoma" w:cs="Tahoma"/>
          <w:sz w:val="24"/>
          <w:szCs w:val="24"/>
        </w:rPr>
        <w:t xml:space="preserve">causante </w:t>
      </w:r>
      <w:r w:rsidR="0099118C" w:rsidRPr="00494C4E">
        <w:rPr>
          <w:rFonts w:ascii="Tahoma" w:hAnsi="Tahoma" w:cs="Tahoma"/>
          <w:sz w:val="24"/>
          <w:szCs w:val="24"/>
        </w:rPr>
        <w:t>al momento de diligenciar los documentos para reclamar la egida pensional</w:t>
      </w:r>
      <w:r w:rsidR="00040730" w:rsidRPr="00494C4E">
        <w:rPr>
          <w:rFonts w:ascii="Tahoma" w:hAnsi="Tahoma" w:cs="Tahoma"/>
          <w:sz w:val="24"/>
          <w:szCs w:val="24"/>
        </w:rPr>
        <w:t xml:space="preserve"> </w:t>
      </w:r>
      <w:r w:rsidR="00DE1741" w:rsidRPr="00494C4E">
        <w:rPr>
          <w:rFonts w:ascii="Tahoma" w:hAnsi="Tahoma" w:cs="Tahoma"/>
          <w:sz w:val="24"/>
          <w:szCs w:val="24"/>
        </w:rPr>
        <w:t xml:space="preserve">el 9 de octubre de </w:t>
      </w:r>
      <w:r w:rsidR="00040730" w:rsidRPr="00494C4E">
        <w:rPr>
          <w:rFonts w:ascii="Tahoma" w:hAnsi="Tahoma" w:cs="Tahoma"/>
          <w:sz w:val="24"/>
          <w:szCs w:val="24"/>
        </w:rPr>
        <w:t>2008 p</w:t>
      </w:r>
      <w:r w:rsidR="00631E7E" w:rsidRPr="00494C4E">
        <w:rPr>
          <w:rFonts w:ascii="Tahoma" w:hAnsi="Tahoma" w:cs="Tahoma"/>
          <w:sz w:val="24"/>
          <w:szCs w:val="24"/>
        </w:rPr>
        <w:t>uso</w:t>
      </w:r>
      <w:r w:rsidR="00040730" w:rsidRPr="00494C4E">
        <w:rPr>
          <w:rFonts w:ascii="Tahoma" w:hAnsi="Tahoma" w:cs="Tahoma"/>
          <w:sz w:val="24"/>
          <w:szCs w:val="24"/>
        </w:rPr>
        <w:t xml:space="preserve"> </w:t>
      </w:r>
      <w:r w:rsidR="00DE1741" w:rsidRPr="00494C4E">
        <w:rPr>
          <w:rFonts w:ascii="Tahoma" w:hAnsi="Tahoma" w:cs="Tahoma"/>
          <w:sz w:val="24"/>
          <w:szCs w:val="24"/>
        </w:rPr>
        <w:t xml:space="preserve">como beneficiaria en salud a la señora </w:t>
      </w:r>
      <w:r w:rsidR="00040730" w:rsidRPr="00494C4E">
        <w:rPr>
          <w:rFonts w:ascii="Tahoma" w:hAnsi="Tahoma" w:cs="Tahoma"/>
          <w:sz w:val="24"/>
          <w:szCs w:val="24"/>
        </w:rPr>
        <w:t>María Adriana García Ortiz</w:t>
      </w:r>
      <w:r w:rsidR="00DE1741" w:rsidRPr="00494C4E">
        <w:rPr>
          <w:rFonts w:ascii="Tahoma" w:hAnsi="Tahoma" w:cs="Tahoma"/>
          <w:sz w:val="24"/>
          <w:szCs w:val="24"/>
        </w:rPr>
        <w:t xml:space="preserve"> como compañera permanente</w:t>
      </w:r>
      <w:r w:rsidR="00DE1741" w:rsidRPr="00494C4E">
        <w:rPr>
          <w:rStyle w:val="Refdenotaalpie"/>
          <w:rFonts w:ascii="Tahoma" w:hAnsi="Tahoma" w:cs="Tahoma"/>
          <w:sz w:val="24"/>
          <w:szCs w:val="24"/>
        </w:rPr>
        <w:footnoteReference w:id="15"/>
      </w:r>
      <w:r w:rsidR="00DE1741" w:rsidRPr="00494C4E">
        <w:rPr>
          <w:rFonts w:ascii="Tahoma" w:hAnsi="Tahoma" w:cs="Tahoma"/>
          <w:sz w:val="24"/>
          <w:szCs w:val="24"/>
        </w:rPr>
        <w:t>, y en la misma calidad la afilió posteriormente a</w:t>
      </w:r>
      <w:r w:rsidR="00EF0FFD" w:rsidRPr="00494C4E">
        <w:rPr>
          <w:rFonts w:ascii="Tahoma" w:hAnsi="Tahoma" w:cs="Tahoma"/>
          <w:sz w:val="24"/>
          <w:szCs w:val="24"/>
        </w:rPr>
        <w:t>l</w:t>
      </w:r>
      <w:r w:rsidR="00DE1741" w:rsidRPr="00494C4E">
        <w:rPr>
          <w:rFonts w:ascii="Tahoma" w:hAnsi="Tahoma" w:cs="Tahoma"/>
          <w:sz w:val="24"/>
          <w:szCs w:val="24"/>
        </w:rPr>
        <w:t xml:space="preserve"> </w:t>
      </w:r>
      <w:r w:rsidR="00EF0FFD" w:rsidRPr="00494C4E">
        <w:rPr>
          <w:rFonts w:ascii="Tahoma" w:hAnsi="Tahoma" w:cs="Tahoma"/>
          <w:sz w:val="24"/>
          <w:szCs w:val="24"/>
        </w:rPr>
        <w:t>plan básico funerario el 05 de junio de 2014</w:t>
      </w:r>
      <w:r w:rsidR="00890F58" w:rsidRPr="00494C4E">
        <w:rPr>
          <w:rFonts w:ascii="Tahoma" w:hAnsi="Tahoma" w:cs="Tahoma"/>
          <w:sz w:val="24"/>
          <w:szCs w:val="24"/>
          <w:vertAlign w:val="superscript"/>
        </w:rPr>
        <w:footnoteReference w:id="16"/>
      </w:r>
      <w:r w:rsidR="00A420AA" w:rsidRPr="00494C4E">
        <w:rPr>
          <w:rFonts w:ascii="Tahoma" w:hAnsi="Tahoma" w:cs="Tahoma"/>
          <w:sz w:val="24"/>
          <w:szCs w:val="24"/>
        </w:rPr>
        <w:t>.</w:t>
      </w:r>
    </w:p>
    <w:p w14:paraId="0052A625" w14:textId="77777777" w:rsidR="000B3791" w:rsidRPr="00494C4E" w:rsidRDefault="000B3791" w:rsidP="00494C4E">
      <w:pPr>
        <w:spacing w:line="276" w:lineRule="auto"/>
        <w:ind w:firstLine="0"/>
        <w:rPr>
          <w:rFonts w:ascii="Tahoma" w:hAnsi="Tahoma" w:cs="Tahoma"/>
          <w:sz w:val="24"/>
          <w:szCs w:val="24"/>
        </w:rPr>
      </w:pPr>
    </w:p>
    <w:p w14:paraId="0044CBF8" w14:textId="1CEE273A" w:rsidR="000327FC" w:rsidRPr="00494C4E" w:rsidRDefault="000B3791" w:rsidP="00494C4E">
      <w:pPr>
        <w:spacing w:line="276" w:lineRule="auto"/>
        <w:ind w:firstLine="0"/>
        <w:rPr>
          <w:rFonts w:ascii="Tahoma" w:hAnsi="Tahoma" w:cs="Tahoma"/>
          <w:sz w:val="24"/>
          <w:szCs w:val="24"/>
        </w:rPr>
      </w:pPr>
      <w:r w:rsidRPr="00494C4E">
        <w:rPr>
          <w:rFonts w:ascii="Tahoma" w:hAnsi="Tahoma" w:cs="Tahoma"/>
          <w:sz w:val="24"/>
          <w:szCs w:val="24"/>
        </w:rPr>
        <w:tab/>
        <w:t xml:space="preserve">En este orden de ideas, </w:t>
      </w:r>
      <w:r w:rsidR="00A420AA" w:rsidRPr="00494C4E">
        <w:rPr>
          <w:rFonts w:ascii="Tahoma" w:hAnsi="Tahoma" w:cs="Tahoma"/>
          <w:sz w:val="24"/>
          <w:szCs w:val="24"/>
        </w:rPr>
        <w:t>pese a que la demandante se encontraba afiliada como beneficiaria del causante desde el 27 de agosto de 1999</w:t>
      </w:r>
      <w:r w:rsidR="000327FC" w:rsidRPr="00494C4E">
        <w:rPr>
          <w:rFonts w:ascii="Tahoma" w:hAnsi="Tahoma" w:cs="Tahoma"/>
          <w:sz w:val="24"/>
          <w:szCs w:val="24"/>
        </w:rPr>
        <w:t xml:space="preserve">, lo cierto es que con posterioridad a la interrupción de la convivencia, el señor Marco Fidel </w:t>
      </w:r>
      <w:r w:rsidR="002C0A8D" w:rsidRPr="00494C4E">
        <w:rPr>
          <w:rFonts w:ascii="Tahoma" w:hAnsi="Tahoma" w:cs="Tahoma"/>
          <w:sz w:val="24"/>
          <w:szCs w:val="24"/>
        </w:rPr>
        <w:t>al momento de solicitar la gracia pensional</w:t>
      </w:r>
      <w:r w:rsidR="006E6A88" w:rsidRPr="00494C4E">
        <w:rPr>
          <w:rFonts w:ascii="Tahoma" w:hAnsi="Tahoma" w:cs="Tahoma"/>
          <w:sz w:val="24"/>
          <w:szCs w:val="24"/>
        </w:rPr>
        <w:t xml:space="preserve"> en el 2008</w:t>
      </w:r>
      <w:r w:rsidR="002C0A8D" w:rsidRPr="00494C4E">
        <w:rPr>
          <w:rFonts w:ascii="Tahoma" w:hAnsi="Tahoma" w:cs="Tahoma"/>
          <w:sz w:val="24"/>
          <w:szCs w:val="24"/>
        </w:rPr>
        <w:t xml:space="preserve">, </w:t>
      </w:r>
      <w:r w:rsidR="000327FC" w:rsidRPr="00494C4E">
        <w:rPr>
          <w:rFonts w:ascii="Tahoma" w:hAnsi="Tahoma" w:cs="Tahoma"/>
          <w:sz w:val="24"/>
          <w:szCs w:val="24"/>
        </w:rPr>
        <w:t xml:space="preserve">ratificó </w:t>
      </w:r>
      <w:r w:rsidR="002C0A8D" w:rsidRPr="00494C4E">
        <w:rPr>
          <w:rFonts w:ascii="Tahoma" w:hAnsi="Tahoma" w:cs="Tahoma"/>
          <w:sz w:val="24"/>
          <w:szCs w:val="24"/>
        </w:rPr>
        <w:t>la decisión de tener como beneficiaria en salud a la demandante, en calidad de compañera permanente</w:t>
      </w:r>
      <w:r w:rsidR="006E6A88" w:rsidRPr="00494C4E">
        <w:rPr>
          <w:rFonts w:ascii="Tahoma" w:hAnsi="Tahoma" w:cs="Tahoma"/>
          <w:sz w:val="24"/>
          <w:szCs w:val="24"/>
        </w:rPr>
        <w:t xml:space="preserve">, </w:t>
      </w:r>
      <w:r w:rsidR="00A234D6" w:rsidRPr="00494C4E">
        <w:rPr>
          <w:rFonts w:ascii="Tahoma" w:hAnsi="Tahoma" w:cs="Tahoma"/>
          <w:sz w:val="24"/>
          <w:szCs w:val="24"/>
        </w:rPr>
        <w:t xml:space="preserve">y en la misma calidad la tuvo como beneficiaria de los servicios funerarios en el 2014, </w:t>
      </w:r>
      <w:r w:rsidR="006E6A88" w:rsidRPr="00494C4E">
        <w:rPr>
          <w:rFonts w:ascii="Tahoma" w:hAnsi="Tahoma" w:cs="Tahoma"/>
          <w:sz w:val="24"/>
          <w:szCs w:val="24"/>
        </w:rPr>
        <w:t>de ahí que se encuentre</w:t>
      </w:r>
      <w:r w:rsidR="000A1BBE" w:rsidRPr="00494C4E">
        <w:rPr>
          <w:rFonts w:ascii="Tahoma" w:hAnsi="Tahoma" w:cs="Tahoma"/>
          <w:sz w:val="24"/>
          <w:szCs w:val="24"/>
        </w:rPr>
        <w:t>n</w:t>
      </w:r>
      <w:r w:rsidR="006E6A88" w:rsidRPr="00494C4E">
        <w:rPr>
          <w:rFonts w:ascii="Tahoma" w:hAnsi="Tahoma" w:cs="Tahoma"/>
          <w:sz w:val="24"/>
          <w:szCs w:val="24"/>
        </w:rPr>
        <w:t xml:space="preserve"> ajustad</w:t>
      </w:r>
      <w:r w:rsidR="000A1BBE" w:rsidRPr="00494C4E">
        <w:rPr>
          <w:rFonts w:ascii="Tahoma" w:hAnsi="Tahoma" w:cs="Tahoma"/>
          <w:sz w:val="24"/>
          <w:szCs w:val="24"/>
        </w:rPr>
        <w:t>as</w:t>
      </w:r>
      <w:r w:rsidR="006E6A88" w:rsidRPr="00494C4E">
        <w:rPr>
          <w:rFonts w:ascii="Tahoma" w:hAnsi="Tahoma" w:cs="Tahoma"/>
          <w:sz w:val="24"/>
          <w:szCs w:val="24"/>
        </w:rPr>
        <w:t xml:space="preserve"> a la realidad l</w:t>
      </w:r>
      <w:r w:rsidR="00A234D6" w:rsidRPr="00494C4E">
        <w:rPr>
          <w:rFonts w:ascii="Tahoma" w:hAnsi="Tahoma" w:cs="Tahoma"/>
          <w:sz w:val="24"/>
          <w:szCs w:val="24"/>
        </w:rPr>
        <w:t>as declaraciones judiciales</w:t>
      </w:r>
      <w:r w:rsidR="000A1BBE" w:rsidRPr="00494C4E">
        <w:rPr>
          <w:rFonts w:ascii="Tahoma" w:hAnsi="Tahoma" w:cs="Tahoma"/>
          <w:sz w:val="24"/>
          <w:szCs w:val="24"/>
        </w:rPr>
        <w:t xml:space="preserve">, en especial la de la </w:t>
      </w:r>
      <w:r w:rsidR="000A1BBE" w:rsidRPr="00494C4E">
        <w:rPr>
          <w:rFonts w:ascii="Tahoma" w:hAnsi="Tahoma" w:cs="Tahoma"/>
          <w:sz w:val="24"/>
          <w:szCs w:val="24"/>
        </w:rPr>
        <w:lastRenderedPageBreak/>
        <w:t>testiga Luz Marleny Pinzón, propietaria de la finca donde vivió la pareja y sus hijos desde finales del 2012 hasta el 2014</w:t>
      </w:r>
      <w:r w:rsidR="000C1E44" w:rsidRPr="00494C4E">
        <w:rPr>
          <w:rFonts w:ascii="Tahoma" w:hAnsi="Tahoma" w:cs="Tahoma"/>
          <w:sz w:val="24"/>
          <w:szCs w:val="24"/>
        </w:rPr>
        <w:t xml:space="preserve">, </w:t>
      </w:r>
      <w:r w:rsidR="00C6544E" w:rsidRPr="00494C4E">
        <w:rPr>
          <w:rFonts w:ascii="Tahoma" w:hAnsi="Tahoma" w:cs="Tahoma"/>
          <w:sz w:val="24"/>
          <w:szCs w:val="24"/>
        </w:rPr>
        <w:t xml:space="preserve">y se queden sin pesó las declaraciones vertidas en el informe técnico rendidas por </w:t>
      </w:r>
      <w:r w:rsidR="00825389" w:rsidRPr="00494C4E">
        <w:rPr>
          <w:rFonts w:ascii="Tahoma" w:hAnsi="Tahoma" w:cs="Tahoma"/>
          <w:sz w:val="24"/>
          <w:szCs w:val="24"/>
        </w:rPr>
        <w:t xml:space="preserve">la señora Eucaris De Jesús Maso Goez y Rosa Elvia Giraldo Giraldo quienes desconocieron la relación de pareja, en especial la de la primera que afirmó que el esposo de la </w:t>
      </w:r>
      <w:r w:rsidR="00447F30" w:rsidRPr="00494C4E">
        <w:rPr>
          <w:rFonts w:ascii="Tahoma" w:hAnsi="Tahoma" w:cs="Tahoma"/>
          <w:sz w:val="24"/>
          <w:szCs w:val="24"/>
        </w:rPr>
        <w:t>demandante</w:t>
      </w:r>
      <w:r w:rsidR="00825389" w:rsidRPr="00494C4E">
        <w:rPr>
          <w:rFonts w:ascii="Tahoma" w:hAnsi="Tahoma" w:cs="Tahoma"/>
          <w:sz w:val="24"/>
          <w:szCs w:val="24"/>
        </w:rPr>
        <w:t xml:space="preserve"> era el hermano de </w:t>
      </w:r>
      <w:r w:rsidR="00447F30" w:rsidRPr="00494C4E">
        <w:rPr>
          <w:rFonts w:ascii="Tahoma" w:hAnsi="Tahoma" w:cs="Tahoma"/>
          <w:sz w:val="24"/>
          <w:szCs w:val="24"/>
        </w:rPr>
        <w:t>la propietaria de la vivienda</w:t>
      </w:r>
      <w:r w:rsidR="25079999" w:rsidRPr="00494C4E">
        <w:rPr>
          <w:rFonts w:ascii="Tahoma" w:hAnsi="Tahoma" w:cs="Tahoma"/>
          <w:sz w:val="24"/>
          <w:szCs w:val="24"/>
        </w:rPr>
        <w:t>.</w:t>
      </w:r>
    </w:p>
    <w:p w14:paraId="261687FC" w14:textId="496B8685" w:rsidR="00B60CA2" w:rsidRPr="00494C4E" w:rsidRDefault="00B60CA2" w:rsidP="00494C4E">
      <w:pPr>
        <w:spacing w:line="276" w:lineRule="auto"/>
        <w:ind w:firstLine="0"/>
        <w:rPr>
          <w:rFonts w:ascii="Tahoma" w:hAnsi="Tahoma" w:cs="Tahoma"/>
          <w:bCs/>
          <w:sz w:val="24"/>
          <w:szCs w:val="24"/>
        </w:rPr>
      </w:pPr>
      <w:r w:rsidRPr="00494C4E">
        <w:rPr>
          <w:rFonts w:ascii="Tahoma" w:hAnsi="Tahoma" w:cs="Tahoma"/>
          <w:bCs/>
          <w:sz w:val="24"/>
          <w:szCs w:val="24"/>
        </w:rPr>
        <w:tab/>
      </w:r>
    </w:p>
    <w:p w14:paraId="35020169" w14:textId="1CFDA4A7" w:rsidR="00C334B2" w:rsidRPr="00494C4E" w:rsidRDefault="006B1CE7" w:rsidP="00494C4E">
      <w:pPr>
        <w:spacing w:line="276" w:lineRule="auto"/>
        <w:ind w:firstLine="708"/>
        <w:rPr>
          <w:rFonts w:ascii="Tahoma" w:hAnsi="Tahoma" w:cs="Tahoma"/>
          <w:bCs/>
          <w:sz w:val="24"/>
          <w:szCs w:val="24"/>
        </w:rPr>
      </w:pPr>
      <w:r w:rsidRPr="00494C4E">
        <w:rPr>
          <w:rFonts w:ascii="Tahoma" w:hAnsi="Tahoma" w:cs="Tahoma"/>
          <w:bCs/>
          <w:sz w:val="24"/>
          <w:szCs w:val="24"/>
        </w:rPr>
        <w:t>Por lo expuesto, e</w:t>
      </w:r>
      <w:r w:rsidR="00B60CA2" w:rsidRPr="00494C4E">
        <w:rPr>
          <w:rFonts w:ascii="Tahoma" w:hAnsi="Tahoma" w:cs="Tahoma"/>
          <w:bCs/>
          <w:sz w:val="24"/>
          <w:szCs w:val="24"/>
        </w:rPr>
        <w:t>s creíble que</w:t>
      </w:r>
      <w:r w:rsidR="00E8035A" w:rsidRPr="00494C4E">
        <w:rPr>
          <w:rFonts w:ascii="Tahoma" w:hAnsi="Tahoma" w:cs="Tahoma"/>
          <w:bCs/>
          <w:sz w:val="24"/>
          <w:szCs w:val="24"/>
        </w:rPr>
        <w:t xml:space="preserve"> la convivencia se extendió hasta</w:t>
      </w:r>
      <w:r w:rsidR="00246373" w:rsidRPr="00494C4E">
        <w:rPr>
          <w:rFonts w:ascii="Tahoma" w:hAnsi="Tahoma" w:cs="Tahoma"/>
          <w:bCs/>
          <w:sz w:val="24"/>
          <w:szCs w:val="24"/>
        </w:rPr>
        <w:t xml:space="preserve"> el fallecimiento del causante, pese a que</w:t>
      </w:r>
      <w:r w:rsidR="00B60CA2" w:rsidRPr="00494C4E">
        <w:rPr>
          <w:rFonts w:ascii="Tahoma" w:hAnsi="Tahoma" w:cs="Tahoma"/>
          <w:bCs/>
          <w:sz w:val="24"/>
          <w:szCs w:val="24"/>
        </w:rPr>
        <w:t xml:space="preserve"> un año antes del fallecimiento </w:t>
      </w:r>
      <w:r w:rsidR="00246373" w:rsidRPr="00494C4E">
        <w:rPr>
          <w:rFonts w:ascii="Tahoma" w:hAnsi="Tahoma" w:cs="Tahoma"/>
          <w:bCs/>
          <w:sz w:val="24"/>
          <w:szCs w:val="24"/>
        </w:rPr>
        <w:t xml:space="preserve">la reclamante y sus hijos se </w:t>
      </w:r>
      <w:r w:rsidR="00B60CA2" w:rsidRPr="00494C4E">
        <w:rPr>
          <w:rFonts w:ascii="Tahoma" w:hAnsi="Tahoma" w:cs="Tahoma"/>
          <w:bCs/>
          <w:sz w:val="24"/>
          <w:szCs w:val="24"/>
        </w:rPr>
        <w:t>hubieran cambiado de domicilio</w:t>
      </w:r>
      <w:r w:rsidR="00643F7C" w:rsidRPr="00494C4E">
        <w:rPr>
          <w:rFonts w:ascii="Tahoma" w:hAnsi="Tahoma" w:cs="Tahoma"/>
          <w:bCs/>
          <w:sz w:val="24"/>
          <w:szCs w:val="24"/>
        </w:rPr>
        <w:t xml:space="preserve"> por la dificultad para llevar a los menores en edad escolar a un establecimiento educativo, pues sin necesidad de prueba técnica que determine las circunstancias de salud, es aprensible</w:t>
      </w:r>
      <w:r w:rsidR="004648CB" w:rsidRPr="00494C4E">
        <w:rPr>
          <w:rFonts w:ascii="Tahoma" w:hAnsi="Tahoma" w:cs="Tahoma"/>
          <w:bCs/>
          <w:sz w:val="24"/>
          <w:szCs w:val="24"/>
        </w:rPr>
        <w:t xml:space="preserve"> y evidente</w:t>
      </w:r>
      <w:r w:rsidR="00643F7C" w:rsidRPr="00494C4E">
        <w:rPr>
          <w:rFonts w:ascii="Tahoma" w:hAnsi="Tahoma" w:cs="Tahoma"/>
          <w:bCs/>
          <w:sz w:val="24"/>
          <w:szCs w:val="24"/>
        </w:rPr>
        <w:t xml:space="preserve"> la dificultad que reportaba caminar </w:t>
      </w:r>
      <w:r w:rsidR="009E68F8" w:rsidRPr="00494C4E">
        <w:rPr>
          <w:rFonts w:ascii="Tahoma" w:hAnsi="Tahoma" w:cs="Tahoma"/>
          <w:bCs/>
          <w:sz w:val="24"/>
          <w:szCs w:val="24"/>
        </w:rPr>
        <w:t>una pendiente todos los días por más de una hora, sumando los trayectos de ida y regreso para la demandante, máxime cuando</w:t>
      </w:r>
      <w:r w:rsidR="006572BB" w:rsidRPr="00494C4E">
        <w:rPr>
          <w:rFonts w:ascii="Tahoma" w:hAnsi="Tahoma" w:cs="Tahoma"/>
          <w:bCs/>
          <w:sz w:val="24"/>
          <w:szCs w:val="24"/>
        </w:rPr>
        <w:t xml:space="preserve"> </w:t>
      </w:r>
      <w:r w:rsidR="00B82BF3" w:rsidRPr="00494C4E">
        <w:rPr>
          <w:rFonts w:ascii="Tahoma" w:hAnsi="Tahoma" w:cs="Tahoma"/>
          <w:bCs/>
          <w:sz w:val="24"/>
          <w:szCs w:val="24"/>
        </w:rPr>
        <w:t>después</w:t>
      </w:r>
      <w:r w:rsidR="006572BB" w:rsidRPr="00494C4E">
        <w:rPr>
          <w:rFonts w:ascii="Tahoma" w:hAnsi="Tahoma" w:cs="Tahoma"/>
          <w:bCs/>
          <w:sz w:val="24"/>
          <w:szCs w:val="24"/>
        </w:rPr>
        <w:t xml:space="preserve"> del cambio de domicilio, también </w:t>
      </w:r>
      <w:r w:rsidR="00B82BF3" w:rsidRPr="00494C4E">
        <w:rPr>
          <w:rFonts w:ascii="Tahoma" w:hAnsi="Tahoma" w:cs="Tahoma"/>
          <w:bCs/>
          <w:sz w:val="24"/>
          <w:szCs w:val="24"/>
        </w:rPr>
        <w:t xml:space="preserve">matricularon en otro establecimiento a los menores </w:t>
      </w:r>
      <w:r w:rsidR="00246373" w:rsidRPr="00494C4E">
        <w:rPr>
          <w:rFonts w:ascii="Tahoma" w:hAnsi="Tahoma" w:cs="Tahoma"/>
          <w:bCs/>
          <w:sz w:val="24"/>
          <w:szCs w:val="24"/>
        </w:rPr>
        <w:t>y la madre dejó de acompa</w:t>
      </w:r>
      <w:r w:rsidRPr="00494C4E">
        <w:rPr>
          <w:rFonts w:ascii="Tahoma" w:hAnsi="Tahoma" w:cs="Tahoma"/>
          <w:bCs/>
          <w:sz w:val="24"/>
          <w:szCs w:val="24"/>
        </w:rPr>
        <w:t xml:space="preserve">ñarlos a la institución. </w:t>
      </w:r>
    </w:p>
    <w:p w14:paraId="092274D2" w14:textId="77777777" w:rsidR="00C334B2" w:rsidRPr="00494C4E" w:rsidRDefault="00C334B2" w:rsidP="00494C4E">
      <w:pPr>
        <w:spacing w:line="276" w:lineRule="auto"/>
        <w:ind w:firstLine="708"/>
        <w:rPr>
          <w:rFonts w:ascii="Tahoma" w:hAnsi="Tahoma" w:cs="Tahoma"/>
          <w:bCs/>
          <w:sz w:val="24"/>
          <w:szCs w:val="24"/>
        </w:rPr>
      </w:pPr>
    </w:p>
    <w:p w14:paraId="318907DF" w14:textId="3FABA225" w:rsidR="00C334B2" w:rsidRPr="00494C4E" w:rsidRDefault="00C334B2" w:rsidP="00494C4E">
      <w:pPr>
        <w:spacing w:line="276" w:lineRule="auto"/>
        <w:ind w:firstLine="708"/>
        <w:rPr>
          <w:rFonts w:ascii="Tahoma" w:hAnsi="Tahoma" w:cs="Tahoma"/>
          <w:bCs/>
          <w:sz w:val="24"/>
          <w:szCs w:val="24"/>
        </w:rPr>
      </w:pPr>
      <w:r w:rsidRPr="00494C4E">
        <w:rPr>
          <w:rFonts w:ascii="Tahoma" w:hAnsi="Tahoma" w:cs="Tahoma"/>
          <w:bCs/>
          <w:sz w:val="24"/>
          <w:szCs w:val="24"/>
        </w:rPr>
        <w:t>Asimismo,</w:t>
      </w:r>
      <w:r w:rsidR="004801D6" w:rsidRPr="00494C4E">
        <w:rPr>
          <w:rFonts w:ascii="Tahoma" w:hAnsi="Tahoma" w:cs="Tahoma"/>
          <w:bCs/>
          <w:sz w:val="24"/>
          <w:szCs w:val="24"/>
        </w:rPr>
        <w:t xml:space="preserve"> son</w:t>
      </w:r>
      <w:r w:rsidRPr="00494C4E">
        <w:rPr>
          <w:rFonts w:ascii="Tahoma" w:hAnsi="Tahoma" w:cs="Tahoma"/>
          <w:bCs/>
          <w:sz w:val="24"/>
          <w:szCs w:val="24"/>
        </w:rPr>
        <w:t xml:space="preserve"> muestra</w:t>
      </w:r>
      <w:r w:rsidR="004801D6" w:rsidRPr="00494C4E">
        <w:rPr>
          <w:rFonts w:ascii="Tahoma" w:hAnsi="Tahoma" w:cs="Tahoma"/>
          <w:bCs/>
          <w:sz w:val="24"/>
          <w:szCs w:val="24"/>
        </w:rPr>
        <w:t>s</w:t>
      </w:r>
      <w:r w:rsidRPr="00494C4E">
        <w:rPr>
          <w:rFonts w:ascii="Tahoma" w:hAnsi="Tahoma" w:cs="Tahoma"/>
          <w:bCs/>
          <w:sz w:val="24"/>
          <w:szCs w:val="24"/>
        </w:rPr>
        <w:t xml:space="preserve"> inequívoca</w:t>
      </w:r>
      <w:r w:rsidR="004801D6" w:rsidRPr="00494C4E">
        <w:rPr>
          <w:rFonts w:ascii="Tahoma" w:hAnsi="Tahoma" w:cs="Tahoma"/>
          <w:bCs/>
          <w:sz w:val="24"/>
          <w:szCs w:val="24"/>
        </w:rPr>
        <w:t>s</w:t>
      </w:r>
      <w:r w:rsidRPr="00494C4E">
        <w:rPr>
          <w:rFonts w:ascii="Tahoma" w:hAnsi="Tahoma" w:cs="Tahoma"/>
          <w:bCs/>
          <w:sz w:val="24"/>
          <w:szCs w:val="24"/>
        </w:rPr>
        <w:t xml:space="preserve"> de los lazos de amor, ayuda mutua y v</w:t>
      </w:r>
      <w:r w:rsidR="00861748" w:rsidRPr="00494C4E">
        <w:rPr>
          <w:rFonts w:ascii="Tahoma" w:hAnsi="Tahoma" w:cs="Tahoma"/>
          <w:bCs/>
          <w:sz w:val="24"/>
          <w:szCs w:val="24"/>
        </w:rPr>
        <w:t>í</w:t>
      </w:r>
      <w:r w:rsidRPr="00494C4E">
        <w:rPr>
          <w:rFonts w:ascii="Tahoma" w:hAnsi="Tahoma" w:cs="Tahoma"/>
          <w:bCs/>
          <w:sz w:val="24"/>
          <w:szCs w:val="24"/>
        </w:rPr>
        <w:t>nculo latente, que</w:t>
      </w:r>
      <w:r w:rsidR="00C16E42" w:rsidRPr="00494C4E">
        <w:rPr>
          <w:rFonts w:ascii="Tahoma" w:hAnsi="Tahoma" w:cs="Tahoma"/>
          <w:bCs/>
          <w:sz w:val="24"/>
          <w:szCs w:val="24"/>
        </w:rPr>
        <w:t xml:space="preserve"> el señor Marco Fidel le pidiera permiso a su empleadora para visitar el núcleo familiar una o dos veces a la semana, y que</w:t>
      </w:r>
      <w:r w:rsidRPr="00494C4E">
        <w:rPr>
          <w:rFonts w:ascii="Tahoma" w:hAnsi="Tahoma" w:cs="Tahoma"/>
          <w:bCs/>
          <w:sz w:val="24"/>
          <w:szCs w:val="24"/>
        </w:rPr>
        <w:t xml:space="preserve"> después del accidente hubiera acudido a la reclamante</w:t>
      </w:r>
      <w:r w:rsidR="00861748" w:rsidRPr="00494C4E">
        <w:rPr>
          <w:rFonts w:ascii="Tahoma" w:hAnsi="Tahoma" w:cs="Tahoma"/>
          <w:bCs/>
          <w:sz w:val="24"/>
          <w:szCs w:val="24"/>
        </w:rPr>
        <w:t xml:space="preserve"> para que</w:t>
      </w:r>
      <w:r w:rsidRPr="00494C4E">
        <w:rPr>
          <w:rFonts w:ascii="Tahoma" w:hAnsi="Tahoma" w:cs="Tahoma"/>
          <w:bCs/>
          <w:sz w:val="24"/>
          <w:szCs w:val="24"/>
        </w:rPr>
        <w:t xml:space="preserve"> le prodigara los cuidados y acompañamiento requerido</w:t>
      </w:r>
      <w:r w:rsidR="00861748" w:rsidRPr="00494C4E">
        <w:rPr>
          <w:rFonts w:ascii="Tahoma" w:hAnsi="Tahoma" w:cs="Tahoma"/>
          <w:bCs/>
          <w:sz w:val="24"/>
          <w:szCs w:val="24"/>
        </w:rPr>
        <w:t xml:space="preserve"> hasta el momento de la muerte. </w:t>
      </w:r>
    </w:p>
    <w:p w14:paraId="7EC91D37" w14:textId="16D36554" w:rsidR="00680D92" w:rsidRPr="00494C4E" w:rsidRDefault="00680D92" w:rsidP="00494C4E">
      <w:pPr>
        <w:spacing w:line="276" w:lineRule="auto"/>
        <w:ind w:firstLine="0"/>
        <w:rPr>
          <w:rFonts w:ascii="Tahoma" w:hAnsi="Tahoma" w:cs="Tahoma"/>
          <w:sz w:val="24"/>
          <w:szCs w:val="24"/>
        </w:rPr>
      </w:pPr>
    </w:p>
    <w:p w14:paraId="45ED175D" w14:textId="62848976" w:rsidR="00942E4F" w:rsidRPr="00494C4E" w:rsidRDefault="1FB5D4BB" w:rsidP="00494C4E">
      <w:pPr>
        <w:spacing w:line="276" w:lineRule="auto"/>
        <w:rPr>
          <w:rFonts w:ascii="Tahoma" w:hAnsi="Tahoma" w:cs="Tahoma"/>
          <w:sz w:val="24"/>
          <w:szCs w:val="24"/>
          <w:shd w:val="clear" w:color="auto" w:fill="FFFFFF"/>
        </w:rPr>
      </w:pPr>
      <w:r w:rsidRPr="00494C4E">
        <w:rPr>
          <w:rFonts w:ascii="Tahoma" w:hAnsi="Tahoma" w:cs="Tahoma"/>
          <w:sz w:val="24"/>
          <w:szCs w:val="24"/>
          <w:shd w:val="clear" w:color="auto" w:fill="FFFFFF"/>
        </w:rPr>
        <w:t xml:space="preserve">Puesto de presente lo anterior, y al abordar el estudio de las pruebas antes citadas, estima la Sala que la </w:t>
      </w:r>
      <w:r w:rsidRPr="00494C4E">
        <w:rPr>
          <w:rFonts w:ascii="Tahoma" w:hAnsi="Tahoma" w:cs="Tahoma"/>
          <w:i/>
          <w:iCs/>
          <w:sz w:val="24"/>
          <w:szCs w:val="24"/>
          <w:shd w:val="clear" w:color="auto" w:fill="FFFFFF"/>
        </w:rPr>
        <w:t>a-quo</w:t>
      </w:r>
      <w:r w:rsidRPr="00494C4E">
        <w:rPr>
          <w:rFonts w:ascii="Tahoma" w:hAnsi="Tahoma" w:cs="Tahoma"/>
          <w:sz w:val="24"/>
          <w:szCs w:val="24"/>
          <w:shd w:val="clear" w:color="auto" w:fill="FFFFFF"/>
        </w:rPr>
        <w:t xml:space="preserve"> acertó al concluir </w:t>
      </w:r>
      <w:r w:rsidR="3FA13983" w:rsidRPr="00494C4E">
        <w:rPr>
          <w:rFonts w:ascii="Tahoma" w:hAnsi="Tahoma" w:cs="Tahoma"/>
          <w:sz w:val="24"/>
          <w:szCs w:val="24"/>
          <w:shd w:val="clear" w:color="auto" w:fill="FFFFFF"/>
        </w:rPr>
        <w:t xml:space="preserve">que </w:t>
      </w:r>
      <w:r w:rsidR="44A37E12" w:rsidRPr="00494C4E">
        <w:rPr>
          <w:rFonts w:ascii="Tahoma" w:hAnsi="Tahoma" w:cs="Tahoma"/>
          <w:sz w:val="24"/>
          <w:szCs w:val="24"/>
          <w:shd w:val="clear" w:color="auto" w:fill="FFFFFF"/>
        </w:rPr>
        <w:t>e</w:t>
      </w:r>
      <w:r w:rsidR="3FA13983" w:rsidRPr="00494C4E">
        <w:rPr>
          <w:rFonts w:ascii="Tahoma" w:hAnsi="Tahoma" w:cs="Tahoma"/>
          <w:sz w:val="24"/>
          <w:szCs w:val="24"/>
          <w:shd w:val="clear" w:color="auto" w:fill="FFFFFF"/>
        </w:rPr>
        <w:t>l demandante había acreditado la convivencia exigida para acceder a la gracia pensional reclamada</w:t>
      </w:r>
      <w:r w:rsidR="00E530DF" w:rsidRPr="00494C4E">
        <w:rPr>
          <w:rFonts w:ascii="Tahoma" w:hAnsi="Tahoma" w:cs="Tahoma"/>
          <w:sz w:val="24"/>
          <w:szCs w:val="24"/>
          <w:shd w:val="clear" w:color="auto" w:fill="FFFFFF"/>
        </w:rPr>
        <w:t xml:space="preserve">, razón por la cual, era dable reconocer la pensión de sobrevivencia en forma vitalicia a la compañera permanente, en un 100% de la </w:t>
      </w:r>
      <w:r w:rsidR="008C60AB" w:rsidRPr="00494C4E">
        <w:rPr>
          <w:rFonts w:ascii="Tahoma" w:hAnsi="Tahoma" w:cs="Tahoma"/>
          <w:sz w:val="24"/>
          <w:szCs w:val="24"/>
          <w:shd w:val="clear" w:color="auto" w:fill="FFFFFF"/>
        </w:rPr>
        <w:t xml:space="preserve">mesada </w:t>
      </w:r>
      <w:r w:rsidR="00E530DF" w:rsidRPr="00494C4E">
        <w:rPr>
          <w:rFonts w:ascii="Tahoma" w:hAnsi="Tahoma" w:cs="Tahoma"/>
          <w:sz w:val="24"/>
          <w:szCs w:val="24"/>
          <w:shd w:val="clear" w:color="auto" w:fill="FFFFFF"/>
        </w:rPr>
        <w:t xml:space="preserve">que venía </w:t>
      </w:r>
      <w:r w:rsidR="007100B4" w:rsidRPr="00494C4E">
        <w:rPr>
          <w:rFonts w:ascii="Tahoma" w:hAnsi="Tahoma" w:cs="Tahoma"/>
          <w:sz w:val="24"/>
          <w:szCs w:val="24"/>
          <w:shd w:val="clear" w:color="auto" w:fill="FFFFFF"/>
        </w:rPr>
        <w:t xml:space="preserve">percibiendo </w:t>
      </w:r>
      <w:r w:rsidR="00D80500" w:rsidRPr="00494C4E">
        <w:rPr>
          <w:rFonts w:ascii="Tahoma" w:hAnsi="Tahoma" w:cs="Tahoma"/>
          <w:sz w:val="24"/>
          <w:szCs w:val="24"/>
          <w:shd w:val="clear" w:color="auto" w:fill="FFFFFF"/>
        </w:rPr>
        <w:t xml:space="preserve">el causante </w:t>
      </w:r>
      <w:r w:rsidR="007100B4" w:rsidRPr="00494C4E">
        <w:rPr>
          <w:rFonts w:ascii="Tahoma" w:hAnsi="Tahoma" w:cs="Tahoma"/>
          <w:sz w:val="24"/>
          <w:szCs w:val="24"/>
          <w:shd w:val="clear" w:color="auto" w:fill="FFFFFF"/>
        </w:rPr>
        <w:t>y con derecho a 14 mesadas anuales</w:t>
      </w:r>
      <w:r w:rsidR="005601B4" w:rsidRPr="00494C4E">
        <w:rPr>
          <w:rFonts w:ascii="Tahoma" w:hAnsi="Tahoma" w:cs="Tahoma"/>
          <w:sz w:val="24"/>
          <w:szCs w:val="24"/>
          <w:shd w:val="clear" w:color="auto" w:fill="FFFFFF"/>
        </w:rPr>
        <w:t xml:space="preserve">, </w:t>
      </w:r>
      <w:r w:rsidR="00244106" w:rsidRPr="00494C4E">
        <w:rPr>
          <w:rFonts w:ascii="Tahoma" w:hAnsi="Tahoma" w:cs="Tahoma"/>
          <w:sz w:val="24"/>
          <w:szCs w:val="24"/>
          <w:shd w:val="clear" w:color="auto" w:fill="FFFFFF"/>
        </w:rPr>
        <w:t xml:space="preserve">última </w:t>
      </w:r>
      <w:r w:rsidR="005601B4" w:rsidRPr="00494C4E">
        <w:rPr>
          <w:rFonts w:ascii="Tahoma" w:hAnsi="Tahoma" w:cs="Tahoma"/>
          <w:sz w:val="24"/>
          <w:szCs w:val="24"/>
          <w:shd w:val="clear" w:color="auto" w:fill="FFFFFF"/>
        </w:rPr>
        <w:t xml:space="preserve">posición que fue acogida por </w:t>
      </w:r>
      <w:r w:rsidR="6ECAF68D" w:rsidRPr="00494C4E">
        <w:rPr>
          <w:rFonts w:ascii="Tahoma" w:hAnsi="Tahoma" w:cs="Tahoma"/>
          <w:sz w:val="24"/>
          <w:szCs w:val="24"/>
          <w:shd w:val="clear" w:color="auto" w:fill="FFFFFF"/>
        </w:rPr>
        <w:t>la Ponente</w:t>
      </w:r>
      <w:r w:rsidR="005601B4" w:rsidRPr="00494C4E">
        <w:rPr>
          <w:rFonts w:ascii="Tahoma" w:hAnsi="Tahoma" w:cs="Tahoma"/>
          <w:sz w:val="24"/>
          <w:szCs w:val="24"/>
          <w:shd w:val="clear" w:color="auto" w:fill="FFFFFF"/>
        </w:rPr>
        <w:t xml:space="preserve"> desde el 29 de agosto de 2022, dentro del proceso promovido por Amparo Pineda Zuluaga en contra de Colpensiones, bajo radicado </w:t>
      </w:r>
      <w:r w:rsidR="005601B4" w:rsidRPr="00494C4E">
        <w:rPr>
          <w:rFonts w:ascii="Tahoma" w:hAnsi="Tahoma" w:cs="Tahoma"/>
          <w:sz w:val="24"/>
          <w:szCs w:val="24"/>
          <w:shd w:val="clear" w:color="auto" w:fill="FFFFFF"/>
          <w:lang w:val="es-419"/>
        </w:rPr>
        <w:t>66001310500520190041801</w:t>
      </w:r>
      <w:r w:rsidR="007100B4" w:rsidRPr="00494C4E">
        <w:rPr>
          <w:rFonts w:ascii="Tahoma" w:hAnsi="Tahoma" w:cs="Tahoma"/>
          <w:sz w:val="24"/>
          <w:szCs w:val="24"/>
          <w:shd w:val="clear" w:color="auto" w:fill="FFFFFF"/>
          <w:lang w:val="es-CO"/>
        </w:rPr>
        <w:t>, según la cual, cuando se trata de sustitución pensional, los beneficiarios tienen derecho a la misma cantidad de mesadas que venía percibiendo el pensionado fallecido; tesis que además fue corroborada por la Sala de Casación Laboral de la Corte Suprema de Justicia en la sentencia SL-2261 de 2022, M.P. Luis Benedicto Herrera Diaz</w:t>
      </w:r>
      <w:r w:rsidR="0068075A" w:rsidRPr="00494C4E">
        <w:rPr>
          <w:rFonts w:ascii="Tahoma" w:hAnsi="Tahoma" w:cs="Tahoma"/>
          <w:sz w:val="24"/>
          <w:szCs w:val="24"/>
          <w:shd w:val="clear" w:color="auto" w:fill="FFFFFF"/>
          <w:lang w:val="es-CO"/>
        </w:rPr>
        <w:t xml:space="preserve">, y aunque en este caso, la resolución que le reconoció la pensión al causante no precisó el </w:t>
      </w:r>
      <w:r w:rsidR="058705D3" w:rsidRPr="00494C4E">
        <w:rPr>
          <w:rFonts w:ascii="Tahoma" w:hAnsi="Tahoma" w:cs="Tahoma"/>
          <w:sz w:val="24"/>
          <w:szCs w:val="24"/>
          <w:shd w:val="clear" w:color="auto" w:fill="FFFFFF"/>
          <w:lang w:val="es-CO"/>
        </w:rPr>
        <w:t>número</w:t>
      </w:r>
      <w:r w:rsidR="0068075A" w:rsidRPr="00494C4E">
        <w:rPr>
          <w:rFonts w:ascii="Tahoma" w:hAnsi="Tahoma" w:cs="Tahoma"/>
          <w:sz w:val="24"/>
          <w:szCs w:val="24"/>
          <w:shd w:val="clear" w:color="auto" w:fill="FFFFFF"/>
          <w:lang w:val="es-CO"/>
        </w:rPr>
        <w:t xml:space="preserve"> de las mesadas, es claro que al haberse causado </w:t>
      </w:r>
      <w:r w:rsidR="0068075A" w:rsidRPr="00494C4E">
        <w:rPr>
          <w:rFonts w:ascii="Tahoma" w:hAnsi="Tahoma" w:cs="Tahoma"/>
          <w:sz w:val="24"/>
          <w:szCs w:val="24"/>
          <w:shd w:val="clear" w:color="auto" w:fill="FFFFFF"/>
        </w:rPr>
        <w:t>con antelación al 31 de julio de 2011</w:t>
      </w:r>
      <w:r w:rsidR="00010EC1" w:rsidRPr="00494C4E">
        <w:rPr>
          <w:rFonts w:ascii="Tahoma" w:hAnsi="Tahoma" w:cs="Tahoma"/>
          <w:sz w:val="24"/>
          <w:szCs w:val="24"/>
          <w:shd w:val="clear" w:color="auto" w:fill="FFFFFF"/>
        </w:rPr>
        <w:t xml:space="preserve"> en cuantía de un salario mínimo, le asistían 14 mesadas.</w:t>
      </w:r>
    </w:p>
    <w:p w14:paraId="27A403D8" w14:textId="77777777" w:rsidR="007059C1" w:rsidRPr="00494C4E" w:rsidRDefault="007059C1" w:rsidP="00494C4E">
      <w:pPr>
        <w:spacing w:line="276" w:lineRule="auto"/>
        <w:rPr>
          <w:rFonts w:ascii="Tahoma" w:hAnsi="Tahoma" w:cs="Tahoma"/>
          <w:sz w:val="24"/>
          <w:szCs w:val="24"/>
          <w:shd w:val="clear" w:color="auto" w:fill="FFFFFF"/>
        </w:rPr>
      </w:pPr>
    </w:p>
    <w:p w14:paraId="65CF58D5" w14:textId="39F3BA66" w:rsidR="00942E4F" w:rsidRPr="00494C4E" w:rsidRDefault="007059C1"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94C4E">
        <w:rPr>
          <w:rFonts w:ascii="Tahoma" w:hAnsi="Tahoma" w:cs="Tahoma"/>
          <w:shd w:val="clear" w:color="auto" w:fill="FFFFFF"/>
        </w:rPr>
        <w:t xml:space="preserve">En este orden de ideas, </w:t>
      </w:r>
      <w:r w:rsidR="00A866FE" w:rsidRPr="00494C4E">
        <w:rPr>
          <w:rFonts w:ascii="Tahoma" w:hAnsi="Tahoma" w:cs="Tahoma"/>
          <w:shd w:val="clear" w:color="auto" w:fill="FFFFFF"/>
        </w:rPr>
        <w:t xml:space="preserve">advirtiendo que ninguna de las mesadas fue cobijada por el fenómeno extintivo </w:t>
      </w:r>
      <w:r w:rsidR="009B6E7E" w:rsidRPr="00494C4E">
        <w:rPr>
          <w:rFonts w:ascii="Tahoma" w:hAnsi="Tahoma" w:cs="Tahoma"/>
          <w:shd w:val="clear" w:color="auto" w:fill="FFFFFF"/>
        </w:rPr>
        <w:t xml:space="preserve">trienal </w:t>
      </w:r>
      <w:r w:rsidR="00A866FE" w:rsidRPr="00494C4E">
        <w:rPr>
          <w:rFonts w:ascii="Tahoma" w:hAnsi="Tahoma" w:cs="Tahoma"/>
          <w:shd w:val="clear" w:color="auto" w:fill="FFFFFF"/>
        </w:rPr>
        <w:t>de la prescripción, ya que el causante falleció</w:t>
      </w:r>
      <w:r w:rsidR="00D94E52" w:rsidRPr="00494C4E">
        <w:rPr>
          <w:rFonts w:ascii="Tahoma" w:hAnsi="Tahoma" w:cs="Tahoma"/>
          <w:shd w:val="clear" w:color="auto" w:fill="FFFFFF"/>
        </w:rPr>
        <w:t xml:space="preserve"> el 24 de octubre de 2017, la reclamación administrativa se elevó el </w:t>
      </w:r>
      <w:r w:rsidR="00E12300" w:rsidRPr="00494C4E">
        <w:rPr>
          <w:rFonts w:ascii="Tahoma" w:hAnsi="Tahoma" w:cs="Tahoma"/>
          <w:shd w:val="clear" w:color="auto" w:fill="FFFFFF"/>
        </w:rPr>
        <w:t>21 de junio de 2018 y la acción judicial el 2 de febrero de 2021</w:t>
      </w:r>
      <w:r w:rsidR="009B6E7E" w:rsidRPr="00494C4E">
        <w:rPr>
          <w:rFonts w:ascii="Tahoma" w:hAnsi="Tahoma" w:cs="Tahoma"/>
          <w:shd w:val="clear" w:color="auto" w:fill="FFFFFF"/>
        </w:rPr>
        <w:t xml:space="preserve">, </w:t>
      </w:r>
      <w:r w:rsidR="00942E4F" w:rsidRPr="00494C4E">
        <w:rPr>
          <w:rFonts w:ascii="Tahoma" w:hAnsi="Tahoma" w:cs="Tahoma"/>
          <w:shd w:val="clear" w:color="auto" w:fill="FFFFFF"/>
        </w:rPr>
        <w:t xml:space="preserve">se </w:t>
      </w:r>
      <w:r w:rsidR="00D914E8" w:rsidRPr="00494C4E">
        <w:rPr>
          <w:rFonts w:ascii="Tahoma" w:hAnsi="Tahoma" w:cs="Tahoma"/>
          <w:shd w:val="clear" w:color="auto" w:fill="FFFFFF"/>
        </w:rPr>
        <w:t xml:space="preserve">actualizará </w:t>
      </w:r>
      <w:r w:rsidR="00942E4F" w:rsidRPr="00494C4E">
        <w:rPr>
          <w:rFonts w:ascii="Tahoma" w:hAnsi="Tahoma" w:cs="Tahoma"/>
          <w:shd w:val="clear" w:color="auto" w:fill="FFFFFF"/>
        </w:rPr>
        <w:t xml:space="preserve">el monto de la condena en segunda instancia hasta la fecha de corte del mes anterior a la emisión de la presente sentencia, </w:t>
      </w:r>
      <w:r w:rsidR="00210142" w:rsidRPr="00494C4E">
        <w:rPr>
          <w:rFonts w:ascii="Tahoma" w:hAnsi="Tahoma" w:cs="Tahoma"/>
          <w:shd w:val="clear" w:color="auto" w:fill="FFFFFF"/>
        </w:rPr>
        <w:t xml:space="preserve">conforme </w:t>
      </w:r>
      <w:r w:rsidR="00942E4F" w:rsidRPr="00494C4E">
        <w:rPr>
          <w:rFonts w:ascii="Tahoma" w:hAnsi="Tahoma" w:cs="Tahoma"/>
          <w:shd w:val="clear" w:color="auto" w:fill="FFFFFF"/>
        </w:rPr>
        <w:t>a la siguiente liquidación:</w:t>
      </w:r>
    </w:p>
    <w:p w14:paraId="5E8FBEB7" w14:textId="77777777" w:rsidR="00942E4F" w:rsidRPr="00494C4E" w:rsidRDefault="00942E4F"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p>
    <w:tbl>
      <w:tblPr>
        <w:tblW w:w="6692" w:type="dxa"/>
        <w:jc w:val="center"/>
        <w:tblCellMar>
          <w:left w:w="70" w:type="dxa"/>
          <w:right w:w="70" w:type="dxa"/>
        </w:tblCellMar>
        <w:tblLook w:val="04A0" w:firstRow="1" w:lastRow="0" w:firstColumn="1" w:lastColumn="0" w:noHBand="0" w:noVBand="1"/>
      </w:tblPr>
      <w:tblGrid>
        <w:gridCol w:w="1290"/>
        <w:gridCol w:w="1262"/>
        <w:gridCol w:w="1350"/>
        <w:gridCol w:w="1350"/>
        <w:gridCol w:w="1609"/>
      </w:tblGrid>
      <w:tr w:rsidR="002E1CAB" w:rsidRPr="00494C4E" w14:paraId="2A12A689" w14:textId="77777777" w:rsidTr="61ED8E62">
        <w:trPr>
          <w:trHeight w:val="300"/>
          <w:jc w:val="center"/>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7578F" w14:textId="77777777" w:rsidR="002E1CAB" w:rsidRPr="00494C4E" w:rsidRDefault="002E1CAB" w:rsidP="00494C4E">
            <w:pPr>
              <w:spacing w:line="240" w:lineRule="auto"/>
              <w:ind w:firstLine="0"/>
              <w:jc w:val="center"/>
              <w:rPr>
                <w:rFonts w:ascii="Tahoma" w:eastAsia="Times New Roman" w:hAnsi="Tahoma" w:cs="Tahoma"/>
                <w:b/>
                <w:bCs/>
                <w:color w:val="000000"/>
                <w:sz w:val="20"/>
                <w:szCs w:val="24"/>
                <w:lang w:val="es-CO" w:eastAsia="es-CO"/>
              </w:rPr>
            </w:pPr>
            <w:r w:rsidRPr="00494C4E">
              <w:rPr>
                <w:rFonts w:ascii="Tahoma" w:eastAsia="Times New Roman" w:hAnsi="Tahoma" w:cs="Tahoma"/>
                <w:b/>
                <w:bCs/>
                <w:color w:val="000000"/>
                <w:sz w:val="20"/>
                <w:szCs w:val="24"/>
                <w:lang w:val="es-CO" w:eastAsia="es-CO"/>
              </w:rPr>
              <w:lastRenderedPageBreak/>
              <w:t>DESDE</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B86FD17" w14:textId="77777777" w:rsidR="002E1CAB" w:rsidRPr="00494C4E" w:rsidRDefault="002E1CAB" w:rsidP="00494C4E">
            <w:pPr>
              <w:spacing w:line="240" w:lineRule="auto"/>
              <w:ind w:firstLine="0"/>
              <w:jc w:val="center"/>
              <w:rPr>
                <w:rFonts w:ascii="Tahoma" w:eastAsia="Times New Roman" w:hAnsi="Tahoma" w:cs="Tahoma"/>
                <w:b/>
                <w:bCs/>
                <w:color w:val="000000"/>
                <w:sz w:val="20"/>
                <w:szCs w:val="24"/>
                <w:lang w:val="es-CO" w:eastAsia="es-CO"/>
              </w:rPr>
            </w:pPr>
            <w:r w:rsidRPr="00494C4E">
              <w:rPr>
                <w:rFonts w:ascii="Tahoma" w:eastAsia="Times New Roman" w:hAnsi="Tahoma" w:cs="Tahoma"/>
                <w:b/>
                <w:bCs/>
                <w:color w:val="000000"/>
                <w:sz w:val="20"/>
                <w:szCs w:val="24"/>
                <w:lang w:val="es-CO" w:eastAsia="es-CO"/>
              </w:rPr>
              <w:t>HASTA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4A823D0" w14:textId="77777777" w:rsidR="002E1CAB" w:rsidRPr="00494C4E" w:rsidRDefault="002E1CAB" w:rsidP="00494C4E">
            <w:pPr>
              <w:spacing w:line="240" w:lineRule="auto"/>
              <w:ind w:firstLine="0"/>
              <w:jc w:val="center"/>
              <w:rPr>
                <w:rFonts w:ascii="Tahoma" w:eastAsia="Times New Roman" w:hAnsi="Tahoma" w:cs="Tahoma"/>
                <w:b/>
                <w:bCs/>
                <w:color w:val="000000"/>
                <w:sz w:val="20"/>
                <w:szCs w:val="24"/>
                <w:lang w:val="es-CO" w:eastAsia="es-CO"/>
              </w:rPr>
            </w:pPr>
            <w:r w:rsidRPr="00494C4E">
              <w:rPr>
                <w:rFonts w:ascii="Tahoma" w:eastAsia="Times New Roman" w:hAnsi="Tahoma" w:cs="Tahoma"/>
                <w:b/>
                <w:bCs/>
                <w:color w:val="000000"/>
                <w:sz w:val="20"/>
                <w:szCs w:val="24"/>
                <w:lang w:val="es-CO" w:eastAsia="es-CO"/>
              </w:rPr>
              <w:t>CAUSADAS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172AED6" w14:textId="77777777" w:rsidR="002E1CAB" w:rsidRPr="00494C4E" w:rsidRDefault="002E1CAB" w:rsidP="00494C4E">
            <w:pPr>
              <w:spacing w:line="240" w:lineRule="auto"/>
              <w:ind w:firstLine="0"/>
              <w:jc w:val="center"/>
              <w:rPr>
                <w:rFonts w:ascii="Tahoma" w:eastAsia="Times New Roman" w:hAnsi="Tahoma" w:cs="Tahoma"/>
                <w:b/>
                <w:bCs/>
                <w:color w:val="000000"/>
                <w:sz w:val="20"/>
                <w:szCs w:val="24"/>
                <w:lang w:val="es-CO" w:eastAsia="es-CO"/>
              </w:rPr>
            </w:pPr>
            <w:r w:rsidRPr="00494C4E">
              <w:rPr>
                <w:rFonts w:ascii="Tahoma" w:eastAsia="Times New Roman" w:hAnsi="Tahoma" w:cs="Tahoma"/>
                <w:b/>
                <w:bCs/>
                <w:color w:val="000000"/>
                <w:sz w:val="20"/>
                <w:szCs w:val="24"/>
                <w:lang w:val="es-CO" w:eastAsia="es-CO"/>
              </w:rPr>
              <w:t>MESADA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7AA4480" w14:textId="77777777" w:rsidR="002E1CAB" w:rsidRPr="00494C4E" w:rsidRDefault="002E1CAB" w:rsidP="00494C4E">
            <w:pPr>
              <w:spacing w:line="240" w:lineRule="auto"/>
              <w:ind w:firstLine="0"/>
              <w:jc w:val="center"/>
              <w:rPr>
                <w:rFonts w:ascii="Tahoma" w:eastAsia="Times New Roman" w:hAnsi="Tahoma" w:cs="Tahoma"/>
                <w:b/>
                <w:bCs/>
                <w:color w:val="000000"/>
                <w:sz w:val="20"/>
                <w:szCs w:val="24"/>
                <w:lang w:val="es-CO" w:eastAsia="es-CO"/>
              </w:rPr>
            </w:pPr>
            <w:r w:rsidRPr="00494C4E">
              <w:rPr>
                <w:rFonts w:ascii="Tahoma" w:eastAsia="Times New Roman" w:hAnsi="Tahoma" w:cs="Tahoma"/>
                <w:b/>
                <w:bCs/>
                <w:color w:val="000000"/>
                <w:sz w:val="20"/>
                <w:szCs w:val="24"/>
                <w:lang w:val="es-CO" w:eastAsia="es-CO"/>
              </w:rPr>
              <w:t>RETROACTIVO</w:t>
            </w:r>
          </w:p>
        </w:tc>
      </w:tr>
      <w:tr w:rsidR="002E1CAB" w:rsidRPr="00494C4E" w14:paraId="454AAFCB" w14:textId="77777777" w:rsidTr="61ED8E62">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88BACEA"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25/10/2017</w:t>
            </w:r>
          </w:p>
        </w:tc>
        <w:tc>
          <w:tcPr>
            <w:tcW w:w="1262" w:type="dxa"/>
            <w:tcBorders>
              <w:top w:val="nil"/>
              <w:left w:val="nil"/>
              <w:bottom w:val="single" w:sz="4" w:space="0" w:color="auto"/>
              <w:right w:val="single" w:sz="4" w:space="0" w:color="auto"/>
            </w:tcBorders>
            <w:shd w:val="clear" w:color="auto" w:fill="auto"/>
            <w:noWrap/>
            <w:vAlign w:val="bottom"/>
            <w:hideMark/>
          </w:tcPr>
          <w:p w14:paraId="11754A01"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31/12/2017</w:t>
            </w:r>
          </w:p>
        </w:tc>
        <w:tc>
          <w:tcPr>
            <w:tcW w:w="1350" w:type="dxa"/>
            <w:tcBorders>
              <w:top w:val="nil"/>
              <w:left w:val="nil"/>
              <w:bottom w:val="single" w:sz="4" w:space="0" w:color="auto"/>
              <w:right w:val="single" w:sz="4" w:space="0" w:color="auto"/>
            </w:tcBorders>
            <w:shd w:val="clear" w:color="auto" w:fill="auto"/>
            <w:noWrap/>
            <w:vAlign w:val="bottom"/>
            <w:hideMark/>
          </w:tcPr>
          <w:p w14:paraId="5BA4B64B"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3,2</w:t>
            </w:r>
          </w:p>
        </w:tc>
        <w:tc>
          <w:tcPr>
            <w:tcW w:w="1350" w:type="dxa"/>
            <w:tcBorders>
              <w:top w:val="nil"/>
              <w:left w:val="nil"/>
              <w:bottom w:val="single" w:sz="4" w:space="0" w:color="auto"/>
              <w:right w:val="single" w:sz="4" w:space="0" w:color="auto"/>
            </w:tcBorders>
            <w:shd w:val="clear" w:color="auto" w:fill="auto"/>
            <w:noWrap/>
            <w:vAlign w:val="bottom"/>
            <w:hideMark/>
          </w:tcPr>
          <w:p w14:paraId="58F24259"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$ 737.717</w:t>
            </w:r>
          </w:p>
        </w:tc>
        <w:tc>
          <w:tcPr>
            <w:tcW w:w="1440" w:type="dxa"/>
            <w:tcBorders>
              <w:top w:val="nil"/>
              <w:left w:val="nil"/>
              <w:bottom w:val="single" w:sz="4" w:space="0" w:color="auto"/>
              <w:right w:val="single" w:sz="4" w:space="0" w:color="auto"/>
            </w:tcBorders>
            <w:shd w:val="clear" w:color="auto" w:fill="auto"/>
            <w:noWrap/>
            <w:vAlign w:val="bottom"/>
            <w:hideMark/>
          </w:tcPr>
          <w:p w14:paraId="60E827C6"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$ 2.334.874</w:t>
            </w:r>
          </w:p>
        </w:tc>
      </w:tr>
      <w:tr w:rsidR="002E1CAB" w:rsidRPr="00494C4E" w14:paraId="3209997A" w14:textId="77777777" w:rsidTr="61ED8E62">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D46E8EB"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1/01/2018</w:t>
            </w:r>
          </w:p>
        </w:tc>
        <w:tc>
          <w:tcPr>
            <w:tcW w:w="1262" w:type="dxa"/>
            <w:tcBorders>
              <w:top w:val="nil"/>
              <w:left w:val="nil"/>
              <w:bottom w:val="single" w:sz="4" w:space="0" w:color="auto"/>
              <w:right w:val="single" w:sz="4" w:space="0" w:color="auto"/>
            </w:tcBorders>
            <w:shd w:val="clear" w:color="auto" w:fill="auto"/>
            <w:noWrap/>
            <w:vAlign w:val="bottom"/>
            <w:hideMark/>
          </w:tcPr>
          <w:p w14:paraId="046267FA"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31/12/2018</w:t>
            </w:r>
          </w:p>
        </w:tc>
        <w:tc>
          <w:tcPr>
            <w:tcW w:w="1350" w:type="dxa"/>
            <w:tcBorders>
              <w:top w:val="nil"/>
              <w:left w:val="nil"/>
              <w:bottom w:val="single" w:sz="4" w:space="0" w:color="auto"/>
              <w:right w:val="single" w:sz="4" w:space="0" w:color="auto"/>
            </w:tcBorders>
            <w:shd w:val="clear" w:color="auto" w:fill="auto"/>
            <w:noWrap/>
            <w:vAlign w:val="bottom"/>
            <w:hideMark/>
          </w:tcPr>
          <w:p w14:paraId="4E3B84D0"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14</w:t>
            </w:r>
          </w:p>
        </w:tc>
        <w:tc>
          <w:tcPr>
            <w:tcW w:w="1350" w:type="dxa"/>
            <w:tcBorders>
              <w:top w:val="nil"/>
              <w:left w:val="nil"/>
              <w:bottom w:val="single" w:sz="4" w:space="0" w:color="auto"/>
              <w:right w:val="single" w:sz="4" w:space="0" w:color="auto"/>
            </w:tcBorders>
            <w:shd w:val="clear" w:color="auto" w:fill="auto"/>
            <w:noWrap/>
            <w:vAlign w:val="bottom"/>
            <w:hideMark/>
          </w:tcPr>
          <w:p w14:paraId="5C62F2BB"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$ 781.242</w:t>
            </w:r>
          </w:p>
        </w:tc>
        <w:tc>
          <w:tcPr>
            <w:tcW w:w="1440" w:type="dxa"/>
            <w:tcBorders>
              <w:top w:val="nil"/>
              <w:left w:val="nil"/>
              <w:bottom w:val="single" w:sz="4" w:space="0" w:color="auto"/>
              <w:right w:val="single" w:sz="4" w:space="0" w:color="auto"/>
            </w:tcBorders>
            <w:shd w:val="clear" w:color="auto" w:fill="auto"/>
            <w:noWrap/>
            <w:vAlign w:val="bottom"/>
            <w:hideMark/>
          </w:tcPr>
          <w:p w14:paraId="5B06E199"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$ 10.937.388</w:t>
            </w:r>
          </w:p>
        </w:tc>
      </w:tr>
      <w:tr w:rsidR="002E1CAB" w:rsidRPr="00494C4E" w14:paraId="403BA245" w14:textId="77777777" w:rsidTr="61ED8E62">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551B091"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1/01/2019</w:t>
            </w:r>
          </w:p>
        </w:tc>
        <w:tc>
          <w:tcPr>
            <w:tcW w:w="1262" w:type="dxa"/>
            <w:tcBorders>
              <w:top w:val="nil"/>
              <w:left w:val="nil"/>
              <w:bottom w:val="single" w:sz="4" w:space="0" w:color="auto"/>
              <w:right w:val="single" w:sz="4" w:space="0" w:color="auto"/>
            </w:tcBorders>
            <w:shd w:val="clear" w:color="auto" w:fill="auto"/>
            <w:noWrap/>
            <w:vAlign w:val="bottom"/>
            <w:hideMark/>
          </w:tcPr>
          <w:p w14:paraId="19EF7CF3"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31/12/2019</w:t>
            </w:r>
          </w:p>
        </w:tc>
        <w:tc>
          <w:tcPr>
            <w:tcW w:w="1350" w:type="dxa"/>
            <w:tcBorders>
              <w:top w:val="nil"/>
              <w:left w:val="nil"/>
              <w:bottom w:val="single" w:sz="4" w:space="0" w:color="auto"/>
              <w:right w:val="single" w:sz="4" w:space="0" w:color="auto"/>
            </w:tcBorders>
            <w:shd w:val="clear" w:color="auto" w:fill="auto"/>
            <w:noWrap/>
            <w:vAlign w:val="bottom"/>
            <w:hideMark/>
          </w:tcPr>
          <w:p w14:paraId="13993AB1"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14</w:t>
            </w:r>
          </w:p>
        </w:tc>
        <w:tc>
          <w:tcPr>
            <w:tcW w:w="1350" w:type="dxa"/>
            <w:tcBorders>
              <w:top w:val="nil"/>
              <w:left w:val="nil"/>
              <w:bottom w:val="single" w:sz="4" w:space="0" w:color="auto"/>
              <w:right w:val="single" w:sz="4" w:space="0" w:color="auto"/>
            </w:tcBorders>
            <w:shd w:val="clear" w:color="auto" w:fill="auto"/>
            <w:noWrap/>
            <w:vAlign w:val="bottom"/>
            <w:hideMark/>
          </w:tcPr>
          <w:p w14:paraId="786D458E"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$ 828.116</w:t>
            </w:r>
          </w:p>
        </w:tc>
        <w:tc>
          <w:tcPr>
            <w:tcW w:w="1440" w:type="dxa"/>
            <w:tcBorders>
              <w:top w:val="nil"/>
              <w:left w:val="nil"/>
              <w:bottom w:val="single" w:sz="4" w:space="0" w:color="auto"/>
              <w:right w:val="single" w:sz="4" w:space="0" w:color="auto"/>
            </w:tcBorders>
            <w:shd w:val="clear" w:color="auto" w:fill="auto"/>
            <w:noWrap/>
            <w:vAlign w:val="bottom"/>
            <w:hideMark/>
          </w:tcPr>
          <w:p w14:paraId="13124DB4"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$ 11.593.624</w:t>
            </w:r>
          </w:p>
        </w:tc>
      </w:tr>
      <w:tr w:rsidR="002E1CAB" w:rsidRPr="00494C4E" w14:paraId="68DC9382" w14:textId="77777777" w:rsidTr="61ED8E62">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ACD0D87"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1/01/2020</w:t>
            </w:r>
          </w:p>
        </w:tc>
        <w:tc>
          <w:tcPr>
            <w:tcW w:w="1262" w:type="dxa"/>
            <w:tcBorders>
              <w:top w:val="nil"/>
              <w:left w:val="nil"/>
              <w:bottom w:val="single" w:sz="4" w:space="0" w:color="auto"/>
              <w:right w:val="single" w:sz="4" w:space="0" w:color="auto"/>
            </w:tcBorders>
            <w:shd w:val="clear" w:color="auto" w:fill="auto"/>
            <w:noWrap/>
            <w:vAlign w:val="bottom"/>
            <w:hideMark/>
          </w:tcPr>
          <w:p w14:paraId="378CD36D"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31/12/2020</w:t>
            </w:r>
          </w:p>
        </w:tc>
        <w:tc>
          <w:tcPr>
            <w:tcW w:w="1350" w:type="dxa"/>
            <w:tcBorders>
              <w:top w:val="nil"/>
              <w:left w:val="nil"/>
              <w:bottom w:val="single" w:sz="4" w:space="0" w:color="auto"/>
              <w:right w:val="single" w:sz="4" w:space="0" w:color="auto"/>
            </w:tcBorders>
            <w:shd w:val="clear" w:color="auto" w:fill="auto"/>
            <w:noWrap/>
            <w:vAlign w:val="bottom"/>
            <w:hideMark/>
          </w:tcPr>
          <w:p w14:paraId="3097DF34"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14</w:t>
            </w:r>
          </w:p>
        </w:tc>
        <w:tc>
          <w:tcPr>
            <w:tcW w:w="1350" w:type="dxa"/>
            <w:tcBorders>
              <w:top w:val="nil"/>
              <w:left w:val="nil"/>
              <w:bottom w:val="single" w:sz="4" w:space="0" w:color="auto"/>
              <w:right w:val="single" w:sz="4" w:space="0" w:color="auto"/>
            </w:tcBorders>
            <w:shd w:val="clear" w:color="auto" w:fill="auto"/>
            <w:noWrap/>
            <w:vAlign w:val="bottom"/>
            <w:hideMark/>
          </w:tcPr>
          <w:p w14:paraId="4D5AA93A"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$ 877.803</w:t>
            </w:r>
          </w:p>
        </w:tc>
        <w:tc>
          <w:tcPr>
            <w:tcW w:w="1440" w:type="dxa"/>
            <w:tcBorders>
              <w:top w:val="nil"/>
              <w:left w:val="nil"/>
              <w:bottom w:val="single" w:sz="4" w:space="0" w:color="auto"/>
              <w:right w:val="single" w:sz="4" w:space="0" w:color="auto"/>
            </w:tcBorders>
            <w:shd w:val="clear" w:color="auto" w:fill="auto"/>
            <w:noWrap/>
            <w:vAlign w:val="bottom"/>
            <w:hideMark/>
          </w:tcPr>
          <w:p w14:paraId="2A1B0005"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$ 12.289.242</w:t>
            </w:r>
          </w:p>
        </w:tc>
      </w:tr>
      <w:tr w:rsidR="002E1CAB" w:rsidRPr="00494C4E" w14:paraId="71254D30" w14:textId="77777777" w:rsidTr="61ED8E62">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7113DE4E"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1/01/2021</w:t>
            </w:r>
          </w:p>
        </w:tc>
        <w:tc>
          <w:tcPr>
            <w:tcW w:w="1262" w:type="dxa"/>
            <w:tcBorders>
              <w:top w:val="nil"/>
              <w:left w:val="nil"/>
              <w:bottom w:val="single" w:sz="4" w:space="0" w:color="auto"/>
              <w:right w:val="single" w:sz="4" w:space="0" w:color="auto"/>
            </w:tcBorders>
            <w:shd w:val="clear" w:color="auto" w:fill="auto"/>
            <w:noWrap/>
            <w:vAlign w:val="bottom"/>
            <w:hideMark/>
          </w:tcPr>
          <w:p w14:paraId="22444EBF"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31/12/2021</w:t>
            </w:r>
          </w:p>
        </w:tc>
        <w:tc>
          <w:tcPr>
            <w:tcW w:w="1350" w:type="dxa"/>
            <w:tcBorders>
              <w:top w:val="nil"/>
              <w:left w:val="nil"/>
              <w:bottom w:val="single" w:sz="4" w:space="0" w:color="auto"/>
              <w:right w:val="single" w:sz="4" w:space="0" w:color="auto"/>
            </w:tcBorders>
            <w:shd w:val="clear" w:color="auto" w:fill="auto"/>
            <w:noWrap/>
            <w:vAlign w:val="bottom"/>
            <w:hideMark/>
          </w:tcPr>
          <w:p w14:paraId="318DCB55"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14</w:t>
            </w:r>
          </w:p>
        </w:tc>
        <w:tc>
          <w:tcPr>
            <w:tcW w:w="1350" w:type="dxa"/>
            <w:tcBorders>
              <w:top w:val="nil"/>
              <w:left w:val="nil"/>
              <w:bottom w:val="single" w:sz="4" w:space="0" w:color="auto"/>
              <w:right w:val="single" w:sz="4" w:space="0" w:color="auto"/>
            </w:tcBorders>
            <w:shd w:val="clear" w:color="auto" w:fill="auto"/>
            <w:noWrap/>
            <w:vAlign w:val="bottom"/>
            <w:hideMark/>
          </w:tcPr>
          <w:p w14:paraId="27BE3C78"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$ 908.526</w:t>
            </w:r>
          </w:p>
        </w:tc>
        <w:tc>
          <w:tcPr>
            <w:tcW w:w="1440" w:type="dxa"/>
            <w:tcBorders>
              <w:top w:val="nil"/>
              <w:left w:val="nil"/>
              <w:bottom w:val="single" w:sz="4" w:space="0" w:color="auto"/>
              <w:right w:val="single" w:sz="4" w:space="0" w:color="auto"/>
            </w:tcBorders>
            <w:shd w:val="clear" w:color="auto" w:fill="auto"/>
            <w:noWrap/>
            <w:vAlign w:val="bottom"/>
            <w:hideMark/>
          </w:tcPr>
          <w:p w14:paraId="48229119"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$ 12.719.364</w:t>
            </w:r>
          </w:p>
        </w:tc>
      </w:tr>
      <w:tr w:rsidR="002E1CAB" w:rsidRPr="00494C4E" w14:paraId="0E6042A6" w14:textId="77777777" w:rsidTr="61ED8E62">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F0F13DD"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1/01/2022</w:t>
            </w:r>
          </w:p>
        </w:tc>
        <w:tc>
          <w:tcPr>
            <w:tcW w:w="1262" w:type="dxa"/>
            <w:tcBorders>
              <w:top w:val="nil"/>
              <w:left w:val="nil"/>
              <w:bottom w:val="single" w:sz="4" w:space="0" w:color="auto"/>
              <w:right w:val="single" w:sz="4" w:space="0" w:color="auto"/>
            </w:tcBorders>
            <w:shd w:val="clear" w:color="auto" w:fill="auto"/>
            <w:noWrap/>
            <w:vAlign w:val="bottom"/>
            <w:hideMark/>
          </w:tcPr>
          <w:p w14:paraId="4079CEA4"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31/12/2022</w:t>
            </w:r>
          </w:p>
        </w:tc>
        <w:tc>
          <w:tcPr>
            <w:tcW w:w="1350" w:type="dxa"/>
            <w:tcBorders>
              <w:top w:val="nil"/>
              <w:left w:val="nil"/>
              <w:bottom w:val="single" w:sz="4" w:space="0" w:color="auto"/>
              <w:right w:val="single" w:sz="4" w:space="0" w:color="auto"/>
            </w:tcBorders>
            <w:shd w:val="clear" w:color="auto" w:fill="auto"/>
            <w:noWrap/>
            <w:vAlign w:val="bottom"/>
            <w:hideMark/>
          </w:tcPr>
          <w:p w14:paraId="1BF93CC0"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14</w:t>
            </w:r>
          </w:p>
        </w:tc>
        <w:tc>
          <w:tcPr>
            <w:tcW w:w="1350" w:type="dxa"/>
            <w:tcBorders>
              <w:top w:val="nil"/>
              <w:left w:val="nil"/>
              <w:bottom w:val="single" w:sz="4" w:space="0" w:color="auto"/>
              <w:right w:val="single" w:sz="4" w:space="0" w:color="auto"/>
            </w:tcBorders>
            <w:shd w:val="clear" w:color="auto" w:fill="auto"/>
            <w:noWrap/>
            <w:vAlign w:val="bottom"/>
            <w:hideMark/>
          </w:tcPr>
          <w:p w14:paraId="439C5D0E"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$ 1.000.000</w:t>
            </w:r>
          </w:p>
        </w:tc>
        <w:tc>
          <w:tcPr>
            <w:tcW w:w="1440" w:type="dxa"/>
            <w:tcBorders>
              <w:top w:val="nil"/>
              <w:left w:val="nil"/>
              <w:bottom w:val="single" w:sz="4" w:space="0" w:color="auto"/>
              <w:right w:val="single" w:sz="4" w:space="0" w:color="auto"/>
            </w:tcBorders>
            <w:shd w:val="clear" w:color="auto" w:fill="auto"/>
            <w:noWrap/>
            <w:vAlign w:val="bottom"/>
            <w:hideMark/>
          </w:tcPr>
          <w:p w14:paraId="60AAAA9D"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$ 14.000.000</w:t>
            </w:r>
          </w:p>
        </w:tc>
      </w:tr>
      <w:tr w:rsidR="002E1CAB" w:rsidRPr="00494C4E" w14:paraId="284D917C" w14:textId="77777777" w:rsidTr="61ED8E62">
        <w:trPr>
          <w:trHeight w:val="300"/>
          <w:jc w:val="center"/>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DE98637"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1/01/2023</w:t>
            </w:r>
          </w:p>
        </w:tc>
        <w:tc>
          <w:tcPr>
            <w:tcW w:w="1262" w:type="dxa"/>
            <w:tcBorders>
              <w:top w:val="nil"/>
              <w:left w:val="nil"/>
              <w:bottom w:val="single" w:sz="4" w:space="0" w:color="auto"/>
              <w:right w:val="single" w:sz="4" w:space="0" w:color="auto"/>
            </w:tcBorders>
            <w:shd w:val="clear" w:color="auto" w:fill="auto"/>
            <w:noWrap/>
            <w:vAlign w:val="bottom"/>
            <w:hideMark/>
          </w:tcPr>
          <w:p w14:paraId="22CEB064"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31/08/2023</w:t>
            </w:r>
          </w:p>
        </w:tc>
        <w:tc>
          <w:tcPr>
            <w:tcW w:w="1350" w:type="dxa"/>
            <w:tcBorders>
              <w:top w:val="nil"/>
              <w:left w:val="nil"/>
              <w:bottom w:val="single" w:sz="4" w:space="0" w:color="auto"/>
              <w:right w:val="single" w:sz="4" w:space="0" w:color="auto"/>
            </w:tcBorders>
            <w:shd w:val="clear" w:color="auto" w:fill="auto"/>
            <w:noWrap/>
            <w:vAlign w:val="bottom"/>
            <w:hideMark/>
          </w:tcPr>
          <w:p w14:paraId="6E51BFF2"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9</w:t>
            </w:r>
          </w:p>
        </w:tc>
        <w:tc>
          <w:tcPr>
            <w:tcW w:w="1350" w:type="dxa"/>
            <w:tcBorders>
              <w:top w:val="nil"/>
              <w:left w:val="nil"/>
              <w:bottom w:val="single" w:sz="4" w:space="0" w:color="auto"/>
              <w:right w:val="single" w:sz="4" w:space="0" w:color="auto"/>
            </w:tcBorders>
            <w:shd w:val="clear" w:color="auto" w:fill="auto"/>
            <w:noWrap/>
            <w:vAlign w:val="bottom"/>
            <w:hideMark/>
          </w:tcPr>
          <w:p w14:paraId="513D9C07"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$ 1.160.000</w:t>
            </w:r>
          </w:p>
        </w:tc>
        <w:tc>
          <w:tcPr>
            <w:tcW w:w="1440" w:type="dxa"/>
            <w:tcBorders>
              <w:top w:val="nil"/>
              <w:left w:val="nil"/>
              <w:bottom w:val="single" w:sz="4" w:space="0" w:color="auto"/>
              <w:right w:val="single" w:sz="4" w:space="0" w:color="auto"/>
            </w:tcBorders>
            <w:shd w:val="clear" w:color="auto" w:fill="auto"/>
            <w:noWrap/>
            <w:vAlign w:val="bottom"/>
            <w:hideMark/>
          </w:tcPr>
          <w:p w14:paraId="43978EC9" w14:textId="77777777" w:rsidR="002E1CAB" w:rsidRPr="00494C4E" w:rsidRDefault="002E1CAB" w:rsidP="00494C4E">
            <w:pPr>
              <w:spacing w:line="240" w:lineRule="auto"/>
              <w:ind w:firstLine="0"/>
              <w:jc w:val="right"/>
              <w:rPr>
                <w:rFonts w:ascii="Tahoma" w:eastAsia="Times New Roman" w:hAnsi="Tahoma" w:cs="Tahoma"/>
                <w:color w:val="000000"/>
                <w:sz w:val="20"/>
                <w:szCs w:val="24"/>
                <w:lang w:val="es-CO" w:eastAsia="es-CO"/>
              </w:rPr>
            </w:pPr>
            <w:r w:rsidRPr="00494C4E">
              <w:rPr>
                <w:rFonts w:ascii="Tahoma" w:eastAsia="Times New Roman" w:hAnsi="Tahoma" w:cs="Tahoma"/>
                <w:color w:val="000000"/>
                <w:sz w:val="20"/>
                <w:szCs w:val="24"/>
                <w:lang w:val="es-CO" w:eastAsia="es-CO"/>
              </w:rPr>
              <w:t>$ 10.440.000</w:t>
            </w:r>
          </w:p>
        </w:tc>
      </w:tr>
      <w:tr w:rsidR="002E1CAB" w:rsidRPr="00494C4E" w14:paraId="3A0FDCFF" w14:textId="77777777" w:rsidTr="61ED8E62">
        <w:trPr>
          <w:trHeight w:val="300"/>
          <w:jc w:val="center"/>
        </w:trPr>
        <w:tc>
          <w:tcPr>
            <w:tcW w:w="52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2FB11" w14:textId="77777777" w:rsidR="002E1CAB" w:rsidRPr="00494C4E" w:rsidRDefault="002E1CAB" w:rsidP="00494C4E">
            <w:pPr>
              <w:spacing w:line="240" w:lineRule="auto"/>
              <w:ind w:firstLine="0"/>
              <w:jc w:val="center"/>
              <w:rPr>
                <w:rFonts w:ascii="Tahoma" w:eastAsia="Times New Roman" w:hAnsi="Tahoma" w:cs="Tahoma"/>
                <w:b/>
                <w:bCs/>
                <w:color w:val="000000"/>
                <w:sz w:val="20"/>
                <w:szCs w:val="24"/>
                <w:lang w:val="es-CO" w:eastAsia="es-CO"/>
              </w:rPr>
            </w:pPr>
            <w:r w:rsidRPr="00494C4E">
              <w:rPr>
                <w:rFonts w:ascii="Tahoma" w:eastAsia="Times New Roman" w:hAnsi="Tahoma" w:cs="Tahoma"/>
                <w:b/>
                <w:bCs/>
                <w:color w:val="000000"/>
                <w:sz w:val="20"/>
                <w:szCs w:val="24"/>
                <w:lang w:val="es-CO" w:eastAsia="es-CO"/>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32F69DC8" w14:textId="77777777" w:rsidR="002E1CAB" w:rsidRPr="00494C4E" w:rsidRDefault="002E1CAB" w:rsidP="00494C4E">
            <w:pPr>
              <w:spacing w:line="240" w:lineRule="auto"/>
              <w:ind w:firstLine="0"/>
              <w:jc w:val="right"/>
              <w:rPr>
                <w:rFonts w:ascii="Tahoma" w:eastAsia="Times New Roman" w:hAnsi="Tahoma" w:cs="Tahoma"/>
                <w:b/>
                <w:bCs/>
                <w:color w:val="000000"/>
                <w:sz w:val="20"/>
                <w:szCs w:val="24"/>
                <w:lang w:val="es-CO" w:eastAsia="es-CO"/>
              </w:rPr>
            </w:pPr>
            <w:r w:rsidRPr="00494C4E">
              <w:rPr>
                <w:rFonts w:ascii="Tahoma" w:eastAsia="Times New Roman" w:hAnsi="Tahoma" w:cs="Tahoma"/>
                <w:b/>
                <w:bCs/>
                <w:color w:val="000000"/>
                <w:sz w:val="20"/>
                <w:szCs w:val="24"/>
                <w:lang w:val="es-CO" w:eastAsia="es-CO"/>
              </w:rPr>
              <w:t>$ 74.314.492</w:t>
            </w:r>
          </w:p>
        </w:tc>
      </w:tr>
    </w:tbl>
    <w:p w14:paraId="309CA5E1" w14:textId="78D38DDC" w:rsidR="34746905" w:rsidRPr="00494C4E" w:rsidRDefault="00942E4F"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94C4E">
        <w:rPr>
          <w:rFonts w:ascii="Tahoma" w:hAnsi="Tahoma" w:cs="Tahoma"/>
          <w:shd w:val="clear" w:color="auto" w:fill="FFFFFF"/>
        </w:rPr>
        <w:t xml:space="preserve"> </w:t>
      </w:r>
    </w:p>
    <w:p w14:paraId="00341B81" w14:textId="1535C1AF" w:rsidR="00942E4F" w:rsidRPr="00494C4E" w:rsidRDefault="00942E4F" w:rsidP="00494C4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494C4E">
        <w:rPr>
          <w:rFonts w:ascii="Tahoma" w:hAnsi="Tahoma" w:cs="Tahoma"/>
          <w:shd w:val="clear" w:color="auto" w:fill="FFFFFF"/>
        </w:rPr>
        <w:t xml:space="preserve">De acuerdo con lo anterior, </w:t>
      </w:r>
      <w:r w:rsidR="00D914E8" w:rsidRPr="00494C4E">
        <w:rPr>
          <w:rFonts w:ascii="Tahoma" w:hAnsi="Tahoma" w:cs="Tahoma"/>
          <w:shd w:val="clear" w:color="auto" w:fill="FFFFFF"/>
        </w:rPr>
        <w:t>se modificará el numeral segundo para</w:t>
      </w:r>
      <w:r w:rsidR="00C27E2C" w:rsidRPr="00494C4E">
        <w:rPr>
          <w:rFonts w:ascii="Tahoma" w:hAnsi="Tahoma" w:cs="Tahoma"/>
          <w:shd w:val="clear" w:color="auto" w:fill="FFFFFF"/>
        </w:rPr>
        <w:t xml:space="preserve"> condenar </w:t>
      </w:r>
      <w:r w:rsidR="000D6505" w:rsidRPr="00494C4E">
        <w:rPr>
          <w:rFonts w:ascii="Tahoma" w:hAnsi="Tahoma" w:cs="Tahoma"/>
          <w:shd w:val="clear" w:color="auto" w:fill="FFFFFF"/>
        </w:rPr>
        <w:t>a Colpensiones</w:t>
      </w:r>
      <w:r w:rsidRPr="00494C4E">
        <w:rPr>
          <w:rFonts w:ascii="Tahoma" w:hAnsi="Tahoma" w:cs="Tahoma"/>
          <w:shd w:val="clear" w:color="auto" w:fill="FFFFFF"/>
        </w:rPr>
        <w:t xml:space="preserve"> </w:t>
      </w:r>
      <w:r w:rsidR="00B577D6" w:rsidRPr="00494C4E">
        <w:rPr>
          <w:rFonts w:ascii="Tahoma" w:hAnsi="Tahoma" w:cs="Tahoma"/>
          <w:shd w:val="clear" w:color="auto" w:fill="FFFFFF"/>
        </w:rPr>
        <w:t>a</w:t>
      </w:r>
      <w:r w:rsidRPr="00494C4E">
        <w:rPr>
          <w:rFonts w:ascii="Tahoma" w:hAnsi="Tahoma" w:cs="Tahoma"/>
          <w:shd w:val="clear" w:color="auto" w:fill="FFFFFF"/>
        </w:rPr>
        <w:t xml:space="preserve"> pagar a</w:t>
      </w:r>
      <w:r w:rsidR="00B804E9" w:rsidRPr="00494C4E">
        <w:rPr>
          <w:rFonts w:ascii="Tahoma" w:hAnsi="Tahoma" w:cs="Tahoma"/>
          <w:shd w:val="clear" w:color="auto" w:fill="FFFFFF"/>
        </w:rPr>
        <w:t xml:space="preserve"> la</w:t>
      </w:r>
      <w:r w:rsidRPr="00494C4E">
        <w:rPr>
          <w:rFonts w:ascii="Tahoma" w:hAnsi="Tahoma" w:cs="Tahoma"/>
          <w:shd w:val="clear" w:color="auto" w:fill="FFFFFF"/>
        </w:rPr>
        <w:t xml:space="preserve"> demandante la suma de $</w:t>
      </w:r>
      <w:r w:rsidR="00B804E9" w:rsidRPr="00494C4E">
        <w:rPr>
          <w:rFonts w:ascii="Tahoma" w:hAnsi="Tahoma" w:cs="Tahoma"/>
          <w:shd w:val="clear" w:color="auto" w:fill="FFFFFF"/>
        </w:rPr>
        <w:t>74.314.492</w:t>
      </w:r>
      <w:r w:rsidRPr="00494C4E">
        <w:rPr>
          <w:rFonts w:ascii="Tahoma" w:hAnsi="Tahoma" w:cs="Tahoma"/>
          <w:shd w:val="clear" w:color="auto" w:fill="FFFFFF"/>
        </w:rPr>
        <w:t xml:space="preserve"> por concepto del retroactivo pensional causado del </w:t>
      </w:r>
      <w:r w:rsidR="00B804E9" w:rsidRPr="00494C4E">
        <w:rPr>
          <w:rFonts w:ascii="Tahoma" w:hAnsi="Tahoma" w:cs="Tahoma"/>
          <w:shd w:val="clear" w:color="auto" w:fill="FFFFFF"/>
        </w:rPr>
        <w:t xml:space="preserve">25 de octubre de 2017 </w:t>
      </w:r>
      <w:r w:rsidRPr="00494C4E">
        <w:rPr>
          <w:rFonts w:ascii="Tahoma" w:hAnsi="Tahoma" w:cs="Tahoma"/>
          <w:shd w:val="clear" w:color="auto" w:fill="FFFFFF"/>
        </w:rPr>
        <w:t>al 3</w:t>
      </w:r>
      <w:r w:rsidR="00B804E9" w:rsidRPr="00494C4E">
        <w:rPr>
          <w:rFonts w:ascii="Tahoma" w:hAnsi="Tahoma" w:cs="Tahoma"/>
          <w:shd w:val="clear" w:color="auto" w:fill="FFFFFF"/>
        </w:rPr>
        <w:t>1 de agosto de 2023,</w:t>
      </w:r>
      <w:r w:rsidRPr="00494C4E">
        <w:rPr>
          <w:rFonts w:ascii="Tahoma" w:hAnsi="Tahoma" w:cs="Tahoma"/>
          <w:shd w:val="clear" w:color="auto" w:fill="FFFFFF"/>
        </w:rPr>
        <w:t xml:space="preserve"> sin perjuicio de las mesadas posteriores que se causen a partir del 01 de </w:t>
      </w:r>
      <w:r w:rsidR="00956C5C" w:rsidRPr="00494C4E">
        <w:rPr>
          <w:rFonts w:ascii="Tahoma" w:hAnsi="Tahoma" w:cs="Tahoma"/>
          <w:shd w:val="clear" w:color="auto" w:fill="FFFFFF"/>
        </w:rPr>
        <w:t xml:space="preserve">septiembre </w:t>
      </w:r>
      <w:r w:rsidRPr="00494C4E">
        <w:rPr>
          <w:rFonts w:ascii="Tahoma" w:hAnsi="Tahoma" w:cs="Tahoma"/>
          <w:shd w:val="clear" w:color="auto" w:fill="FFFFFF"/>
        </w:rPr>
        <w:t>de 2023.</w:t>
      </w:r>
    </w:p>
    <w:p w14:paraId="3A2DA4F5" w14:textId="77777777" w:rsidR="00B247BA" w:rsidRPr="00494C4E" w:rsidRDefault="00B247BA" w:rsidP="00494C4E">
      <w:pPr>
        <w:pStyle w:val="NormalWeb"/>
        <w:shd w:val="clear" w:color="auto" w:fill="FFFFFF" w:themeFill="background1"/>
        <w:spacing w:before="0" w:beforeAutospacing="0" w:after="0" w:afterAutospacing="0" w:line="276" w:lineRule="auto"/>
        <w:jc w:val="both"/>
        <w:rPr>
          <w:rFonts w:ascii="Tahoma" w:hAnsi="Tahoma" w:cs="Tahoma"/>
          <w:shd w:val="clear" w:color="auto" w:fill="FFFFFF"/>
        </w:rPr>
      </w:pPr>
    </w:p>
    <w:p w14:paraId="6063FC69" w14:textId="21C955A3" w:rsidR="00B247BA" w:rsidRPr="00494C4E" w:rsidRDefault="6D265C13"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94C4E">
        <w:rPr>
          <w:rFonts w:ascii="Tahoma" w:hAnsi="Tahoma" w:cs="Tahoma"/>
        </w:rPr>
        <w:t>Así pues</w:t>
      </w:r>
      <w:r w:rsidR="00B577D6" w:rsidRPr="00494C4E">
        <w:rPr>
          <w:rFonts w:ascii="Tahoma" w:hAnsi="Tahoma" w:cs="Tahoma"/>
        </w:rPr>
        <w:t>, en resolución de la apelación de la demandante y</w:t>
      </w:r>
      <w:r w:rsidRPr="00494C4E">
        <w:rPr>
          <w:rFonts w:ascii="Tahoma" w:hAnsi="Tahoma" w:cs="Tahoma"/>
        </w:rPr>
        <w:t xml:space="preserve"> dado que no existe justificación alguna para que la administradora pensional omitiera el reconocimiento y, teniendo en cuenta que a la fecha sigue sin reconocerle la gracia pensional, forzoso resulta que sobre el importe de las mesadas adeudadas le reconozca los intereses moratorios de que trata el artículo 141 de la Ley 100 de 1993 desde el </w:t>
      </w:r>
      <w:r w:rsidR="002B6A21" w:rsidRPr="00494C4E">
        <w:rPr>
          <w:rFonts w:ascii="Tahoma" w:hAnsi="Tahoma" w:cs="Tahoma"/>
        </w:rPr>
        <w:t>2</w:t>
      </w:r>
      <w:r w:rsidR="001A50A7" w:rsidRPr="00494C4E">
        <w:rPr>
          <w:rFonts w:ascii="Tahoma" w:hAnsi="Tahoma" w:cs="Tahoma"/>
        </w:rPr>
        <w:t>2</w:t>
      </w:r>
      <w:r w:rsidR="002B6A21" w:rsidRPr="00494C4E">
        <w:rPr>
          <w:rFonts w:ascii="Tahoma" w:hAnsi="Tahoma" w:cs="Tahoma"/>
        </w:rPr>
        <w:t xml:space="preserve"> de </w:t>
      </w:r>
      <w:r w:rsidR="001A50A7" w:rsidRPr="00494C4E">
        <w:rPr>
          <w:rFonts w:ascii="Tahoma" w:hAnsi="Tahoma" w:cs="Tahoma"/>
        </w:rPr>
        <w:t>agosto</w:t>
      </w:r>
      <w:r w:rsidR="002B6A21" w:rsidRPr="00494C4E">
        <w:rPr>
          <w:rFonts w:ascii="Tahoma" w:hAnsi="Tahoma" w:cs="Tahoma"/>
        </w:rPr>
        <w:t xml:space="preserve"> de 2018</w:t>
      </w:r>
      <w:r w:rsidRPr="00494C4E">
        <w:rPr>
          <w:rFonts w:ascii="Tahoma" w:hAnsi="Tahoma" w:cs="Tahoma"/>
        </w:rPr>
        <w:t>, esto es, a partir del segundo mes siguiente a la petición pensional, término máximo con que cuenta el fondo de pensiones para resolver la pensión de sobrevivientes,</w:t>
      </w:r>
      <w:r w:rsidR="00DA2F5A" w:rsidRPr="00494C4E">
        <w:rPr>
          <w:rFonts w:ascii="Tahoma" w:eastAsiaTheme="minorHAnsi" w:hAnsi="Tahoma" w:cs="Tahoma"/>
          <w:lang w:eastAsia="en-US"/>
        </w:rPr>
        <w:t xml:space="preserve"> </w:t>
      </w:r>
      <w:r w:rsidR="00DA2F5A" w:rsidRPr="00494C4E">
        <w:rPr>
          <w:rFonts w:ascii="Tahoma" w:hAnsi="Tahoma" w:cs="Tahoma"/>
        </w:rPr>
        <w:t>de conformidad con la Ley 717 de 2001,</w:t>
      </w:r>
      <w:r w:rsidRPr="00494C4E">
        <w:rPr>
          <w:rFonts w:ascii="Tahoma" w:hAnsi="Tahoma" w:cs="Tahoma"/>
        </w:rPr>
        <w:t xml:space="preserve"> razón por la cual, se modificará </w:t>
      </w:r>
      <w:r w:rsidR="002D5379" w:rsidRPr="00494C4E">
        <w:rPr>
          <w:rFonts w:ascii="Tahoma" w:hAnsi="Tahoma" w:cs="Tahoma"/>
        </w:rPr>
        <w:t>numeral cuart</w:t>
      </w:r>
      <w:r w:rsidR="00B577D6" w:rsidRPr="00494C4E">
        <w:rPr>
          <w:rFonts w:ascii="Tahoma" w:hAnsi="Tahoma" w:cs="Tahoma"/>
        </w:rPr>
        <w:t>o</w:t>
      </w:r>
      <w:r w:rsidR="002D5379" w:rsidRPr="00494C4E">
        <w:rPr>
          <w:rFonts w:ascii="Tahoma" w:hAnsi="Tahoma" w:cs="Tahoma"/>
        </w:rPr>
        <w:t xml:space="preserve"> para ordenar a la Administradora Colombiana de Pensiones a pagar a la demandante los intereses moratorios, desde el 22 de agosto de 2018 y no desde la ejecutoria de la sentencia, en virtud de lo cual se revocar</w:t>
      </w:r>
      <w:r w:rsidR="00B577D6" w:rsidRPr="00494C4E">
        <w:rPr>
          <w:rFonts w:ascii="Tahoma" w:hAnsi="Tahoma" w:cs="Tahoma"/>
        </w:rPr>
        <w:t>á la indexación concedida en primera instancia.</w:t>
      </w:r>
    </w:p>
    <w:p w14:paraId="12447F3A" w14:textId="77777777" w:rsidR="000D6505" w:rsidRPr="00494C4E" w:rsidRDefault="000D6505"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458BC0B4" w14:textId="21518E00" w:rsidR="004914E7" w:rsidRPr="00494C4E" w:rsidRDefault="00903C98"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94C4E">
        <w:rPr>
          <w:rFonts w:ascii="Tahoma" w:hAnsi="Tahoma" w:cs="Tahoma"/>
        </w:rPr>
        <w:t xml:space="preserve">En este punto, cabe advertir que </w:t>
      </w:r>
      <w:r w:rsidR="00EF2704" w:rsidRPr="00494C4E">
        <w:rPr>
          <w:rFonts w:ascii="Tahoma" w:hAnsi="Tahoma" w:cs="Tahoma"/>
        </w:rPr>
        <w:t xml:space="preserve">contrario al argumento utilizado por la a-quo </w:t>
      </w:r>
      <w:r w:rsidR="004914E7" w:rsidRPr="00494C4E">
        <w:rPr>
          <w:rFonts w:ascii="Tahoma" w:hAnsi="Tahoma" w:cs="Tahoma"/>
        </w:rPr>
        <w:t>l</w:t>
      </w:r>
      <w:r w:rsidR="00243AFF" w:rsidRPr="00494C4E">
        <w:rPr>
          <w:rFonts w:ascii="Tahoma" w:hAnsi="Tahoma" w:cs="Tahoma"/>
        </w:rPr>
        <w:t xml:space="preserve">a explicación del concepto de convivencia </w:t>
      </w:r>
      <w:r w:rsidR="004914E7" w:rsidRPr="00494C4E">
        <w:rPr>
          <w:rFonts w:ascii="Tahoma" w:hAnsi="Tahoma" w:cs="Tahoma"/>
        </w:rPr>
        <w:t xml:space="preserve">efectiva </w:t>
      </w:r>
      <w:r w:rsidR="00243AFF" w:rsidRPr="00494C4E">
        <w:rPr>
          <w:rFonts w:ascii="Tahoma" w:hAnsi="Tahoma" w:cs="Tahoma"/>
        </w:rPr>
        <w:t xml:space="preserve">por parte de la Corte Suprema de Justicia no obedece a una interpretación favorable, </w:t>
      </w:r>
      <w:r w:rsidR="3D5600C1" w:rsidRPr="00494C4E">
        <w:rPr>
          <w:rFonts w:ascii="Tahoma" w:hAnsi="Tahoma" w:cs="Tahoma"/>
        </w:rPr>
        <w:t xml:space="preserve">ni encaja en ninguna de las hipótesis excepcionales fijadas por la jurisprudencia del trabajo, </w:t>
      </w:r>
      <w:r w:rsidR="005A2C1D" w:rsidRPr="00494C4E">
        <w:rPr>
          <w:rFonts w:ascii="Tahoma" w:hAnsi="Tahoma" w:cs="Tahoma"/>
        </w:rPr>
        <w:t xml:space="preserve">pues como se explicó </w:t>
      </w:r>
      <w:r w:rsidR="00B05347" w:rsidRPr="00494C4E">
        <w:rPr>
          <w:rFonts w:ascii="Tahoma" w:hAnsi="Tahoma" w:cs="Tahoma"/>
        </w:rPr>
        <w:t xml:space="preserve">en precedencia, </w:t>
      </w:r>
      <w:r w:rsidR="005A2C1D" w:rsidRPr="00494C4E">
        <w:rPr>
          <w:rFonts w:ascii="Tahoma" w:hAnsi="Tahoma" w:cs="Tahoma"/>
        </w:rPr>
        <w:t xml:space="preserve">la </w:t>
      </w:r>
      <w:r w:rsidR="004914E7" w:rsidRPr="00494C4E">
        <w:rPr>
          <w:rFonts w:ascii="Tahoma" w:hAnsi="Tahoma" w:cs="Tahoma"/>
        </w:rPr>
        <w:t>cohabitación,</w:t>
      </w:r>
      <w:r w:rsidR="005A2C1D" w:rsidRPr="00494C4E">
        <w:rPr>
          <w:rFonts w:ascii="Tahoma" w:hAnsi="Tahoma" w:cs="Tahoma"/>
        </w:rPr>
        <w:t xml:space="preserve"> </w:t>
      </w:r>
      <w:r w:rsidR="00BE15F1" w:rsidRPr="00494C4E">
        <w:rPr>
          <w:rFonts w:ascii="Tahoma" w:hAnsi="Tahoma" w:cs="Tahoma"/>
        </w:rPr>
        <w:t xml:space="preserve">no es el único </w:t>
      </w:r>
      <w:r w:rsidR="005A2C1D" w:rsidRPr="00494C4E">
        <w:rPr>
          <w:rFonts w:ascii="Tahoma" w:hAnsi="Tahoma" w:cs="Tahoma"/>
        </w:rPr>
        <w:t>rasgo distintivo de la convivencia</w:t>
      </w:r>
      <w:r w:rsidR="00BE15F1" w:rsidRPr="00494C4E">
        <w:rPr>
          <w:rFonts w:ascii="Tahoma" w:hAnsi="Tahoma" w:cs="Tahoma"/>
        </w:rPr>
        <w:t>, en tanto la comunidad de vida puede surtir o continuar con independencia</w:t>
      </w:r>
      <w:r w:rsidR="00153B6E" w:rsidRPr="00494C4E">
        <w:rPr>
          <w:rFonts w:ascii="Tahoma" w:hAnsi="Tahoma" w:cs="Tahoma"/>
        </w:rPr>
        <w:t xml:space="preserve"> de si</w:t>
      </w:r>
      <w:r w:rsidR="00BE15F1" w:rsidRPr="00494C4E">
        <w:rPr>
          <w:rFonts w:ascii="Tahoma" w:hAnsi="Tahoma" w:cs="Tahoma"/>
        </w:rPr>
        <w:t xml:space="preserve"> </w:t>
      </w:r>
      <w:r w:rsidR="00165066" w:rsidRPr="00494C4E">
        <w:rPr>
          <w:rFonts w:ascii="Tahoma" w:hAnsi="Tahoma" w:cs="Tahoma"/>
        </w:rPr>
        <w:t>la pareja habita o no bajo el mismo techo</w:t>
      </w:r>
      <w:r w:rsidR="00D41C0B" w:rsidRPr="00494C4E">
        <w:rPr>
          <w:rFonts w:ascii="Tahoma" w:hAnsi="Tahoma" w:cs="Tahoma"/>
        </w:rPr>
        <w:t>.</w:t>
      </w:r>
    </w:p>
    <w:p w14:paraId="0B54AFF2" w14:textId="77777777" w:rsidR="00903C98" w:rsidRPr="00494C4E" w:rsidRDefault="00903C98" w:rsidP="00494C4E">
      <w:pPr>
        <w:pStyle w:val="NormalWeb"/>
        <w:shd w:val="clear" w:color="auto" w:fill="FFFFFF" w:themeFill="background1"/>
        <w:spacing w:before="0" w:beforeAutospacing="0" w:after="0" w:afterAutospacing="0" w:line="276" w:lineRule="auto"/>
        <w:jc w:val="both"/>
        <w:rPr>
          <w:rFonts w:ascii="Tahoma" w:hAnsi="Tahoma" w:cs="Tahoma"/>
        </w:rPr>
      </w:pPr>
    </w:p>
    <w:p w14:paraId="6D8EC7C3" w14:textId="1875CF18" w:rsidR="00903C98" w:rsidRPr="00494C4E" w:rsidRDefault="00903C98"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94C4E">
        <w:rPr>
          <w:rFonts w:ascii="Tahoma" w:hAnsi="Tahoma" w:cs="Tahoma"/>
        </w:rPr>
        <w:t xml:space="preserve">Por lo anterior, las costas fijadas en primera instancia en contra de Colpensiones se mantendrán incólumes dada la prosperidad de </w:t>
      </w:r>
      <w:r w:rsidR="000D6505" w:rsidRPr="00494C4E">
        <w:rPr>
          <w:rFonts w:ascii="Tahoma" w:hAnsi="Tahoma" w:cs="Tahoma"/>
        </w:rPr>
        <w:t>las pretensiones</w:t>
      </w:r>
      <w:r w:rsidRPr="00494C4E">
        <w:rPr>
          <w:rFonts w:ascii="Tahoma" w:hAnsi="Tahoma" w:cs="Tahoma"/>
        </w:rPr>
        <w:t xml:space="preserve"> de la demanda y</w:t>
      </w:r>
      <w:r w:rsidR="00576458" w:rsidRPr="00494C4E">
        <w:rPr>
          <w:rFonts w:ascii="Tahoma" w:hAnsi="Tahoma" w:cs="Tahoma"/>
        </w:rPr>
        <w:t xml:space="preserve"> también se le impondrán las de segunda instancia ante el fracaso del recurso de apelación. </w:t>
      </w:r>
    </w:p>
    <w:p w14:paraId="747413AB" w14:textId="0620AD23" w:rsidR="00903C98" w:rsidRPr="00494C4E" w:rsidRDefault="00903C98"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3B87F847" w14:textId="7AE3CA78" w:rsidR="00903C98" w:rsidRPr="00494C4E" w:rsidRDefault="001C7007" w:rsidP="00494C4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94C4E">
        <w:rPr>
          <w:rFonts w:ascii="Tahoma" w:hAnsi="Tahoma" w:cs="Tahoma"/>
        </w:rPr>
        <w:t xml:space="preserve">Sin costas </w:t>
      </w:r>
      <w:r w:rsidR="10FC2AF6" w:rsidRPr="00494C4E">
        <w:rPr>
          <w:rFonts w:ascii="Tahoma" w:hAnsi="Tahoma" w:cs="Tahoma"/>
        </w:rPr>
        <w:t>d</w:t>
      </w:r>
      <w:r w:rsidRPr="00494C4E">
        <w:rPr>
          <w:rFonts w:ascii="Tahoma" w:hAnsi="Tahoma" w:cs="Tahoma"/>
        </w:rPr>
        <w:t xml:space="preserve">e segunda instancia </w:t>
      </w:r>
      <w:r w:rsidR="00153B6E" w:rsidRPr="00494C4E">
        <w:rPr>
          <w:rFonts w:ascii="Tahoma" w:hAnsi="Tahoma" w:cs="Tahoma"/>
        </w:rPr>
        <w:t xml:space="preserve">a cargo </w:t>
      </w:r>
      <w:r w:rsidRPr="00494C4E">
        <w:rPr>
          <w:rFonts w:ascii="Tahoma" w:hAnsi="Tahoma" w:cs="Tahoma"/>
        </w:rPr>
        <w:t xml:space="preserve">de la demandante ante la prosperidad del recurso de apelación. Liquídense por el juzgado de origen. </w:t>
      </w:r>
    </w:p>
    <w:p w14:paraId="76F328D5" w14:textId="77777777" w:rsidR="007E64FB" w:rsidRPr="00494C4E" w:rsidRDefault="007E64FB" w:rsidP="00494C4E">
      <w:pPr>
        <w:pStyle w:val="NormalWeb"/>
        <w:shd w:val="clear" w:color="auto" w:fill="FFFFFF" w:themeFill="background1"/>
        <w:spacing w:before="0" w:beforeAutospacing="0" w:after="0" w:afterAutospacing="0" w:line="276" w:lineRule="auto"/>
        <w:jc w:val="both"/>
        <w:rPr>
          <w:rFonts w:ascii="Tahoma" w:hAnsi="Tahoma" w:cs="Tahoma"/>
        </w:rPr>
      </w:pPr>
    </w:p>
    <w:p w14:paraId="126FF603" w14:textId="3997E966" w:rsidR="009A1ED9" w:rsidRPr="00494C4E" w:rsidRDefault="009A1ED9" w:rsidP="00494C4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494C4E">
        <w:rPr>
          <w:rFonts w:ascii="Tahoma" w:eastAsia="Tahoma" w:hAnsi="Tahoma" w:cs="Tahoma"/>
          <w:lang w:eastAsia="es-CO"/>
        </w:rPr>
        <w:lastRenderedPageBreak/>
        <w:t xml:space="preserve">En mérito de lo expuesto, el </w:t>
      </w:r>
      <w:r w:rsidRPr="00494C4E">
        <w:rPr>
          <w:rFonts w:ascii="Tahoma" w:eastAsia="Tahoma" w:hAnsi="Tahoma" w:cs="Tahoma"/>
          <w:b/>
          <w:bCs/>
          <w:lang w:eastAsia="es-CO"/>
        </w:rPr>
        <w:t xml:space="preserve">Tribunal Superior del Distrito Judicial de Pereira </w:t>
      </w:r>
      <w:r w:rsidR="00494C4E">
        <w:rPr>
          <w:rFonts w:ascii="Tahoma" w:eastAsia="Tahoma" w:hAnsi="Tahoma" w:cs="Tahoma"/>
          <w:b/>
          <w:bCs/>
          <w:lang w:eastAsia="es-CO"/>
        </w:rPr>
        <w:t>–</w:t>
      </w:r>
      <w:r w:rsidRPr="00494C4E">
        <w:rPr>
          <w:rFonts w:ascii="Tahoma" w:eastAsia="Tahoma" w:hAnsi="Tahoma" w:cs="Tahoma"/>
          <w:b/>
          <w:bCs/>
          <w:lang w:eastAsia="es-CO"/>
        </w:rPr>
        <w:t xml:space="preserve"> Risaralda, Sala Primera de Decisión Laboral,</w:t>
      </w:r>
      <w:r w:rsidRPr="00494C4E">
        <w:rPr>
          <w:rFonts w:ascii="Tahoma" w:eastAsia="Tahoma" w:hAnsi="Tahoma" w:cs="Tahoma"/>
          <w:lang w:eastAsia="es-CO"/>
        </w:rPr>
        <w:t xml:space="preserve"> administrando justicia en nombre de la República y por autoridad de la ley,</w:t>
      </w:r>
    </w:p>
    <w:p w14:paraId="6C3D9173" w14:textId="77777777" w:rsidR="009A1ED9" w:rsidRPr="00494C4E" w:rsidRDefault="009A1ED9" w:rsidP="00494C4E">
      <w:pPr>
        <w:spacing w:line="276" w:lineRule="auto"/>
        <w:ind w:firstLine="644"/>
        <w:rPr>
          <w:rFonts w:ascii="Tahoma" w:eastAsia="Tahoma" w:hAnsi="Tahoma" w:cs="Tahoma"/>
          <w:sz w:val="24"/>
          <w:szCs w:val="24"/>
          <w:lang w:eastAsia="es-CO"/>
        </w:rPr>
      </w:pPr>
      <w:r w:rsidRPr="00494C4E">
        <w:rPr>
          <w:rFonts w:ascii="Tahoma" w:eastAsia="Tahoma" w:hAnsi="Tahoma" w:cs="Tahoma"/>
          <w:sz w:val="24"/>
          <w:szCs w:val="24"/>
          <w:lang w:eastAsia="es-CO"/>
        </w:rPr>
        <w:t xml:space="preserve"> </w:t>
      </w:r>
    </w:p>
    <w:p w14:paraId="1101EA1B" w14:textId="77777777" w:rsidR="009A1ED9" w:rsidRPr="00494C4E" w:rsidRDefault="009A1ED9" w:rsidP="00494C4E">
      <w:pPr>
        <w:spacing w:line="276" w:lineRule="auto"/>
        <w:ind w:firstLine="0"/>
        <w:jc w:val="center"/>
        <w:rPr>
          <w:rFonts w:ascii="Tahoma" w:eastAsia="Tahoma" w:hAnsi="Tahoma" w:cs="Tahoma"/>
          <w:sz w:val="24"/>
          <w:szCs w:val="24"/>
          <w:lang w:eastAsia="es-CO"/>
        </w:rPr>
      </w:pPr>
      <w:r w:rsidRPr="00494C4E">
        <w:rPr>
          <w:rFonts w:ascii="Tahoma" w:eastAsia="Tahoma" w:hAnsi="Tahoma" w:cs="Tahoma"/>
          <w:b/>
          <w:bCs/>
          <w:sz w:val="24"/>
          <w:szCs w:val="24"/>
          <w:lang w:eastAsia="es-CO"/>
        </w:rPr>
        <w:t>RESUELVE</w:t>
      </w:r>
    </w:p>
    <w:p w14:paraId="117ED512" w14:textId="77777777" w:rsidR="009A1ED9" w:rsidRPr="00494C4E" w:rsidRDefault="009A1ED9" w:rsidP="00494C4E">
      <w:pPr>
        <w:spacing w:line="276" w:lineRule="auto"/>
        <w:rPr>
          <w:rFonts w:ascii="Tahoma" w:eastAsia="Tahoma" w:hAnsi="Tahoma" w:cs="Tahoma"/>
          <w:sz w:val="24"/>
          <w:szCs w:val="24"/>
          <w:lang w:eastAsia="es-CO"/>
        </w:rPr>
      </w:pPr>
      <w:r w:rsidRPr="00494C4E">
        <w:rPr>
          <w:rFonts w:ascii="Tahoma" w:eastAsia="Tahoma" w:hAnsi="Tahoma" w:cs="Tahoma"/>
          <w:b/>
          <w:bCs/>
          <w:sz w:val="24"/>
          <w:szCs w:val="24"/>
          <w:lang w:eastAsia="es-CO"/>
        </w:rPr>
        <w:t xml:space="preserve"> </w:t>
      </w:r>
    </w:p>
    <w:p w14:paraId="21829F1E" w14:textId="081392A3" w:rsidR="00445C40" w:rsidRPr="00494C4E" w:rsidRDefault="009A1ED9" w:rsidP="00494C4E">
      <w:pPr>
        <w:spacing w:line="276" w:lineRule="auto"/>
        <w:ind w:firstLine="708"/>
        <w:contextualSpacing/>
        <w:rPr>
          <w:rFonts w:ascii="Tahoma" w:hAnsi="Tahoma" w:cs="Tahoma"/>
          <w:sz w:val="24"/>
          <w:szCs w:val="24"/>
        </w:rPr>
      </w:pPr>
      <w:r w:rsidRPr="00494C4E">
        <w:rPr>
          <w:rFonts w:ascii="Tahoma" w:eastAsia="Times New Roman" w:hAnsi="Tahoma" w:cs="Tahoma"/>
          <w:b/>
          <w:bCs/>
          <w:sz w:val="24"/>
          <w:szCs w:val="24"/>
          <w:lang w:eastAsia="es-CO"/>
        </w:rPr>
        <w:t xml:space="preserve">PRIMERO: </w:t>
      </w:r>
      <w:r w:rsidR="00445C40" w:rsidRPr="00494C4E">
        <w:rPr>
          <w:rFonts w:ascii="Tahoma" w:eastAsia="Times New Roman" w:hAnsi="Tahoma" w:cs="Tahoma"/>
          <w:b/>
          <w:bCs/>
          <w:sz w:val="24"/>
          <w:szCs w:val="24"/>
          <w:lang w:eastAsia="es-CO"/>
        </w:rPr>
        <w:t xml:space="preserve">MODIFICAR </w:t>
      </w:r>
      <w:r w:rsidR="0081192D" w:rsidRPr="00494C4E">
        <w:rPr>
          <w:rFonts w:ascii="Tahoma" w:eastAsia="Times New Roman" w:hAnsi="Tahoma" w:cs="Tahoma"/>
          <w:sz w:val="24"/>
          <w:szCs w:val="24"/>
          <w:lang w:eastAsia="es-CO"/>
        </w:rPr>
        <w:t xml:space="preserve">los numerales segundo </w:t>
      </w:r>
      <w:r w:rsidR="00874BB7" w:rsidRPr="00494C4E">
        <w:rPr>
          <w:rFonts w:ascii="Tahoma" w:eastAsia="Times New Roman" w:hAnsi="Tahoma" w:cs="Tahoma"/>
          <w:sz w:val="24"/>
          <w:szCs w:val="24"/>
          <w:lang w:eastAsia="es-CO"/>
        </w:rPr>
        <w:t xml:space="preserve">y cuarto </w:t>
      </w:r>
      <w:r w:rsidR="0081192D" w:rsidRPr="00494C4E">
        <w:rPr>
          <w:rFonts w:ascii="Tahoma" w:eastAsia="Times New Roman" w:hAnsi="Tahoma" w:cs="Tahoma"/>
          <w:sz w:val="24"/>
          <w:szCs w:val="24"/>
          <w:lang w:eastAsia="es-CO"/>
        </w:rPr>
        <w:t xml:space="preserve">de la </w:t>
      </w:r>
      <w:r w:rsidR="00445C40" w:rsidRPr="00494C4E">
        <w:rPr>
          <w:rFonts w:ascii="Tahoma" w:hAnsi="Tahoma" w:cs="Tahoma"/>
          <w:sz w:val="24"/>
          <w:szCs w:val="24"/>
        </w:rPr>
        <w:t>sentencia proferida el 0</w:t>
      </w:r>
      <w:r w:rsidR="0081192D" w:rsidRPr="00494C4E">
        <w:rPr>
          <w:rFonts w:ascii="Tahoma" w:hAnsi="Tahoma" w:cs="Tahoma"/>
          <w:sz w:val="24"/>
          <w:szCs w:val="24"/>
        </w:rPr>
        <w:t>9</w:t>
      </w:r>
      <w:r w:rsidR="00445C40" w:rsidRPr="00494C4E">
        <w:rPr>
          <w:rFonts w:ascii="Tahoma" w:hAnsi="Tahoma" w:cs="Tahoma"/>
          <w:sz w:val="24"/>
          <w:szCs w:val="24"/>
        </w:rPr>
        <w:t xml:space="preserve"> de febrero de 2023 por el Juzgado </w:t>
      </w:r>
      <w:r w:rsidR="00874BB7" w:rsidRPr="00494C4E">
        <w:rPr>
          <w:rFonts w:ascii="Tahoma" w:hAnsi="Tahoma" w:cs="Tahoma"/>
          <w:sz w:val="24"/>
          <w:szCs w:val="24"/>
        </w:rPr>
        <w:t>Quinto</w:t>
      </w:r>
      <w:r w:rsidR="00445C40" w:rsidRPr="00494C4E">
        <w:rPr>
          <w:rFonts w:ascii="Tahoma" w:hAnsi="Tahoma" w:cs="Tahoma"/>
          <w:sz w:val="24"/>
          <w:szCs w:val="24"/>
        </w:rPr>
        <w:t xml:space="preserve"> Laboral del Circuito, dentro del proceso ordinario laboral promovido por </w:t>
      </w:r>
      <w:r w:rsidR="00874BB7" w:rsidRPr="00494C4E">
        <w:rPr>
          <w:rFonts w:ascii="Tahoma" w:hAnsi="Tahoma" w:cs="Tahoma"/>
          <w:sz w:val="24"/>
          <w:szCs w:val="24"/>
        </w:rPr>
        <w:t xml:space="preserve">María Adriana García </w:t>
      </w:r>
      <w:r w:rsidR="00445C40" w:rsidRPr="00494C4E">
        <w:rPr>
          <w:rFonts w:ascii="Tahoma" w:hAnsi="Tahoma" w:cs="Tahoma"/>
          <w:sz w:val="24"/>
          <w:szCs w:val="24"/>
        </w:rPr>
        <w:t>en contra de la A</w:t>
      </w:r>
      <w:r w:rsidR="00874BB7" w:rsidRPr="00494C4E">
        <w:rPr>
          <w:rFonts w:ascii="Tahoma" w:hAnsi="Tahoma" w:cs="Tahoma"/>
          <w:sz w:val="24"/>
          <w:szCs w:val="24"/>
        </w:rPr>
        <w:t>dministradora colombiana de pensiones -Colpensiones</w:t>
      </w:r>
      <w:r w:rsidR="00445C40" w:rsidRPr="00494C4E">
        <w:rPr>
          <w:rFonts w:ascii="Tahoma" w:hAnsi="Tahoma" w:cs="Tahoma"/>
          <w:sz w:val="24"/>
          <w:szCs w:val="24"/>
        </w:rPr>
        <w:t>-, así:</w:t>
      </w:r>
    </w:p>
    <w:p w14:paraId="45691B3E" w14:textId="6C46F2D6" w:rsidR="00445C40" w:rsidRPr="00494C4E" w:rsidRDefault="00445C40" w:rsidP="00494C4E">
      <w:pPr>
        <w:spacing w:line="276" w:lineRule="auto"/>
        <w:ind w:firstLine="708"/>
        <w:contextualSpacing/>
        <w:rPr>
          <w:rFonts w:ascii="Tahoma" w:eastAsia="Times New Roman" w:hAnsi="Tahoma" w:cs="Tahoma"/>
          <w:b/>
          <w:bCs/>
          <w:sz w:val="24"/>
          <w:szCs w:val="24"/>
          <w:lang w:eastAsia="es-CO"/>
        </w:rPr>
      </w:pPr>
    </w:p>
    <w:p w14:paraId="52747D13" w14:textId="44ABD72B" w:rsidR="00652821" w:rsidRPr="00494C4E" w:rsidRDefault="00445C40" w:rsidP="00494C4E">
      <w:pPr>
        <w:spacing w:line="276" w:lineRule="auto"/>
        <w:ind w:left="426" w:firstLine="708"/>
        <w:contextualSpacing/>
        <w:rPr>
          <w:rFonts w:ascii="Tahoma" w:hAnsi="Tahoma" w:cs="Tahoma"/>
          <w:i/>
          <w:sz w:val="24"/>
          <w:szCs w:val="24"/>
        </w:rPr>
      </w:pPr>
      <w:r w:rsidRPr="00494C4E">
        <w:rPr>
          <w:rFonts w:ascii="Tahoma" w:hAnsi="Tahoma" w:cs="Tahoma"/>
          <w:i/>
          <w:sz w:val="24"/>
          <w:szCs w:val="24"/>
        </w:rPr>
        <w:t>“</w:t>
      </w:r>
      <w:r w:rsidR="00652821" w:rsidRPr="00494C4E">
        <w:rPr>
          <w:rFonts w:ascii="Tahoma" w:hAnsi="Tahoma" w:cs="Tahoma"/>
          <w:i/>
          <w:sz w:val="24"/>
          <w:szCs w:val="24"/>
        </w:rPr>
        <w:t xml:space="preserve">SEGUNDO: CONDENAR a la Administradora Colombiana De Pensiones – Colpensiones-a </w:t>
      </w:r>
      <w:r w:rsidR="00B6327A" w:rsidRPr="00494C4E">
        <w:rPr>
          <w:rFonts w:ascii="Tahoma" w:hAnsi="Tahoma" w:cs="Tahoma"/>
          <w:i/>
          <w:sz w:val="24"/>
          <w:szCs w:val="24"/>
        </w:rPr>
        <w:t>pagar a María Adriana Ortiz, la suma de $74.314.492 por concepto del retroactivo pensional causado del 25 de octubre de 2017 al 31 de agosto de 2023, sin perjuicio de las mesadas posteriores que se causen a partir del 01 de septiembre de 2023.</w:t>
      </w:r>
    </w:p>
    <w:p w14:paraId="0532B02D" w14:textId="77777777" w:rsidR="00B6327A" w:rsidRPr="00494C4E" w:rsidRDefault="00B6327A" w:rsidP="00494C4E">
      <w:pPr>
        <w:spacing w:line="276" w:lineRule="auto"/>
        <w:ind w:left="426" w:firstLine="708"/>
        <w:contextualSpacing/>
        <w:rPr>
          <w:rFonts w:ascii="Tahoma" w:hAnsi="Tahoma" w:cs="Tahoma"/>
          <w:i/>
          <w:sz w:val="24"/>
          <w:szCs w:val="24"/>
        </w:rPr>
      </w:pPr>
    </w:p>
    <w:p w14:paraId="78DEE95C" w14:textId="496212B5" w:rsidR="00445C40" w:rsidRPr="00494C4E" w:rsidRDefault="00874BB7" w:rsidP="00494C4E">
      <w:pPr>
        <w:spacing w:line="276" w:lineRule="auto"/>
        <w:ind w:left="426" w:firstLine="708"/>
        <w:contextualSpacing/>
        <w:rPr>
          <w:rFonts w:ascii="Tahoma" w:hAnsi="Tahoma" w:cs="Tahoma"/>
          <w:i/>
          <w:sz w:val="24"/>
          <w:szCs w:val="24"/>
        </w:rPr>
      </w:pPr>
      <w:r w:rsidRPr="00494C4E">
        <w:rPr>
          <w:rFonts w:ascii="Tahoma" w:hAnsi="Tahoma" w:cs="Tahoma"/>
          <w:i/>
          <w:sz w:val="24"/>
          <w:szCs w:val="24"/>
        </w:rPr>
        <w:t>CUARTO</w:t>
      </w:r>
      <w:r w:rsidR="00445C40" w:rsidRPr="00494C4E">
        <w:rPr>
          <w:rFonts w:ascii="Tahoma" w:hAnsi="Tahoma" w:cs="Tahoma"/>
          <w:i/>
          <w:sz w:val="24"/>
          <w:szCs w:val="24"/>
        </w:rPr>
        <w:t xml:space="preserve">: CONDENAR a </w:t>
      </w:r>
      <w:r w:rsidRPr="00494C4E">
        <w:rPr>
          <w:rFonts w:ascii="Tahoma" w:hAnsi="Tahoma" w:cs="Tahoma"/>
          <w:i/>
          <w:sz w:val="24"/>
          <w:szCs w:val="24"/>
        </w:rPr>
        <w:t>Administradora Colombiana De Pensiones – Colpensiones</w:t>
      </w:r>
      <w:r w:rsidR="00445C40" w:rsidRPr="00494C4E">
        <w:rPr>
          <w:rFonts w:ascii="Tahoma" w:hAnsi="Tahoma" w:cs="Tahoma"/>
          <w:i/>
          <w:sz w:val="24"/>
          <w:szCs w:val="24"/>
        </w:rPr>
        <w:t>- cancelar a favor de</w:t>
      </w:r>
      <w:r w:rsidR="00652821" w:rsidRPr="00494C4E">
        <w:rPr>
          <w:rFonts w:ascii="Tahoma" w:hAnsi="Tahoma" w:cs="Tahoma"/>
          <w:i/>
          <w:sz w:val="24"/>
          <w:szCs w:val="24"/>
        </w:rPr>
        <w:t xml:space="preserve"> María Adriana García Ortiz </w:t>
      </w:r>
      <w:r w:rsidR="00445C40" w:rsidRPr="00494C4E">
        <w:rPr>
          <w:rFonts w:ascii="Tahoma" w:hAnsi="Tahoma" w:cs="Tahoma"/>
          <w:i/>
          <w:sz w:val="24"/>
          <w:szCs w:val="24"/>
        </w:rPr>
        <w:t xml:space="preserve">los intereses moratorios de que trata el artículo 141 de la Ley 100 de 1993, a partir del </w:t>
      </w:r>
      <w:r w:rsidR="00652821" w:rsidRPr="00494C4E">
        <w:rPr>
          <w:rFonts w:ascii="Tahoma" w:hAnsi="Tahoma" w:cs="Tahoma"/>
          <w:i/>
          <w:sz w:val="24"/>
          <w:szCs w:val="24"/>
        </w:rPr>
        <w:t>22</w:t>
      </w:r>
      <w:r w:rsidR="00445C40" w:rsidRPr="00494C4E">
        <w:rPr>
          <w:rFonts w:ascii="Tahoma" w:hAnsi="Tahoma" w:cs="Tahoma"/>
          <w:i/>
          <w:sz w:val="24"/>
          <w:szCs w:val="24"/>
        </w:rPr>
        <w:t xml:space="preserve"> de </w:t>
      </w:r>
      <w:r w:rsidR="00652821" w:rsidRPr="00494C4E">
        <w:rPr>
          <w:rFonts w:ascii="Tahoma" w:hAnsi="Tahoma" w:cs="Tahoma"/>
          <w:i/>
          <w:sz w:val="24"/>
          <w:szCs w:val="24"/>
        </w:rPr>
        <w:t>agosto</w:t>
      </w:r>
      <w:r w:rsidR="00445C40" w:rsidRPr="00494C4E">
        <w:rPr>
          <w:rFonts w:ascii="Tahoma" w:hAnsi="Tahoma" w:cs="Tahoma"/>
          <w:i/>
          <w:sz w:val="24"/>
          <w:szCs w:val="24"/>
        </w:rPr>
        <w:t xml:space="preserve"> de 20</w:t>
      </w:r>
      <w:r w:rsidR="00652821" w:rsidRPr="00494C4E">
        <w:rPr>
          <w:rFonts w:ascii="Tahoma" w:hAnsi="Tahoma" w:cs="Tahoma"/>
          <w:i/>
          <w:sz w:val="24"/>
          <w:szCs w:val="24"/>
        </w:rPr>
        <w:t>18</w:t>
      </w:r>
      <w:r w:rsidR="00445C40" w:rsidRPr="00494C4E">
        <w:rPr>
          <w:rFonts w:ascii="Tahoma" w:hAnsi="Tahoma" w:cs="Tahoma"/>
          <w:i/>
          <w:sz w:val="24"/>
          <w:szCs w:val="24"/>
        </w:rPr>
        <w:t>, los cuales se debe liquidar mes a mes a la tasa máxima legal vigente a la fecha de pago de la pensión”</w:t>
      </w:r>
    </w:p>
    <w:p w14:paraId="5DB275CE" w14:textId="77777777" w:rsidR="00445C40" w:rsidRPr="00494C4E" w:rsidRDefault="00445C40" w:rsidP="00494C4E">
      <w:pPr>
        <w:spacing w:line="276" w:lineRule="auto"/>
        <w:ind w:firstLine="708"/>
        <w:contextualSpacing/>
        <w:rPr>
          <w:rFonts w:ascii="Tahoma" w:eastAsia="Times New Roman" w:hAnsi="Tahoma" w:cs="Tahoma"/>
          <w:b/>
          <w:bCs/>
          <w:sz w:val="24"/>
          <w:szCs w:val="24"/>
          <w:lang w:eastAsia="es-CO"/>
        </w:rPr>
      </w:pPr>
    </w:p>
    <w:p w14:paraId="49C0BD0D" w14:textId="7A34A545" w:rsidR="009A1ED9" w:rsidRPr="00494C4E" w:rsidRDefault="00445C40" w:rsidP="00494C4E">
      <w:pPr>
        <w:spacing w:line="276" w:lineRule="auto"/>
        <w:ind w:firstLine="708"/>
        <w:contextualSpacing/>
        <w:rPr>
          <w:rFonts w:ascii="Tahoma" w:hAnsi="Tahoma" w:cs="Tahoma"/>
          <w:sz w:val="24"/>
          <w:szCs w:val="24"/>
        </w:rPr>
      </w:pPr>
      <w:r w:rsidRPr="00494C4E">
        <w:rPr>
          <w:rFonts w:ascii="Tahoma" w:eastAsia="Tahoma" w:hAnsi="Tahoma" w:cs="Tahoma"/>
          <w:b/>
          <w:bCs/>
          <w:sz w:val="24"/>
          <w:szCs w:val="24"/>
          <w:lang w:eastAsia="es-CO"/>
        </w:rPr>
        <w:t xml:space="preserve">SEGUNDO: </w:t>
      </w:r>
      <w:r w:rsidR="009A1ED9" w:rsidRPr="00494C4E">
        <w:rPr>
          <w:rFonts w:ascii="Tahoma" w:eastAsia="Times New Roman" w:hAnsi="Tahoma" w:cs="Tahoma"/>
          <w:b/>
          <w:bCs/>
          <w:sz w:val="24"/>
          <w:szCs w:val="24"/>
          <w:lang w:eastAsia="es-CO"/>
        </w:rPr>
        <w:t xml:space="preserve">CONFIRMAR </w:t>
      </w:r>
      <w:r w:rsidRPr="00494C4E">
        <w:rPr>
          <w:rFonts w:ascii="Tahoma" w:eastAsia="Times New Roman" w:hAnsi="Tahoma" w:cs="Tahoma"/>
          <w:bCs/>
          <w:sz w:val="24"/>
          <w:szCs w:val="24"/>
          <w:lang w:eastAsia="es-CO"/>
        </w:rPr>
        <w:t>en todo lo demás la sentencia recurrida y consultada</w:t>
      </w:r>
      <w:r w:rsidR="00B6327A" w:rsidRPr="00494C4E">
        <w:rPr>
          <w:rFonts w:ascii="Tahoma" w:eastAsia="Times New Roman" w:hAnsi="Tahoma" w:cs="Tahoma"/>
          <w:bCs/>
          <w:sz w:val="24"/>
          <w:szCs w:val="24"/>
          <w:lang w:eastAsia="es-CO"/>
        </w:rPr>
        <w:t>.</w:t>
      </w:r>
    </w:p>
    <w:p w14:paraId="02216754" w14:textId="77777777" w:rsidR="009A1ED9" w:rsidRPr="00494C4E" w:rsidRDefault="009A1ED9" w:rsidP="00494C4E">
      <w:pPr>
        <w:spacing w:line="276" w:lineRule="auto"/>
        <w:ind w:firstLine="708"/>
        <w:rPr>
          <w:rFonts w:ascii="Tahoma" w:hAnsi="Tahoma" w:cs="Tahoma"/>
          <w:sz w:val="24"/>
          <w:szCs w:val="24"/>
        </w:rPr>
      </w:pPr>
      <w:r w:rsidRPr="00494C4E">
        <w:rPr>
          <w:rFonts w:ascii="Tahoma" w:hAnsi="Tahoma" w:cs="Tahoma"/>
          <w:sz w:val="24"/>
          <w:szCs w:val="24"/>
        </w:rPr>
        <w:t xml:space="preserve"> </w:t>
      </w:r>
    </w:p>
    <w:p w14:paraId="5685BF8E" w14:textId="3B309B42" w:rsidR="009A1ED9" w:rsidRPr="00494C4E" w:rsidRDefault="00445C40" w:rsidP="00494C4E">
      <w:pPr>
        <w:spacing w:line="276" w:lineRule="auto"/>
        <w:ind w:firstLine="708"/>
        <w:rPr>
          <w:rFonts w:ascii="Tahoma" w:eastAsia="Tahoma" w:hAnsi="Tahoma" w:cs="Tahoma"/>
          <w:bCs/>
          <w:sz w:val="24"/>
          <w:szCs w:val="24"/>
          <w:lang w:eastAsia="es-CO"/>
        </w:rPr>
      </w:pPr>
      <w:r w:rsidRPr="00494C4E">
        <w:rPr>
          <w:rFonts w:ascii="Tahoma" w:eastAsia="Tahoma" w:hAnsi="Tahoma" w:cs="Tahoma"/>
          <w:b/>
          <w:bCs/>
          <w:sz w:val="24"/>
          <w:szCs w:val="24"/>
          <w:lang w:eastAsia="es-CO"/>
        </w:rPr>
        <w:t xml:space="preserve">TERCERO: </w:t>
      </w:r>
      <w:r w:rsidR="009A1ED9" w:rsidRPr="00494C4E">
        <w:rPr>
          <w:rFonts w:ascii="Tahoma" w:eastAsia="Tahoma" w:hAnsi="Tahoma" w:cs="Tahoma"/>
          <w:b/>
          <w:bCs/>
          <w:sz w:val="24"/>
          <w:szCs w:val="24"/>
          <w:lang w:eastAsia="es-CO"/>
        </w:rPr>
        <w:t>CONDENAR</w:t>
      </w:r>
      <w:r w:rsidR="009A1ED9" w:rsidRPr="00494C4E">
        <w:rPr>
          <w:rFonts w:ascii="Tahoma" w:eastAsia="Tahoma" w:hAnsi="Tahoma" w:cs="Tahoma"/>
          <w:bCs/>
          <w:sz w:val="24"/>
          <w:szCs w:val="24"/>
          <w:lang w:eastAsia="es-CO"/>
        </w:rPr>
        <w:t xml:space="preserve"> en costas de segunda instancia a la entidad demandada en favor de la parte actora. Liquídense por el juzgado de origen. </w:t>
      </w:r>
    </w:p>
    <w:p w14:paraId="1547E9B9" w14:textId="77777777" w:rsidR="00494C4E" w:rsidRPr="00494C4E" w:rsidRDefault="00494C4E" w:rsidP="00494C4E">
      <w:pPr>
        <w:spacing w:line="276" w:lineRule="auto"/>
        <w:ind w:firstLine="0"/>
        <w:rPr>
          <w:rFonts w:ascii="Tahoma" w:eastAsia="Calibri" w:hAnsi="Tahoma" w:cs="Tahoma"/>
          <w:sz w:val="24"/>
          <w:szCs w:val="24"/>
          <w:lang w:val="es-CO"/>
        </w:rPr>
      </w:pPr>
      <w:bookmarkStart w:id="7" w:name="_Hlk126574973"/>
    </w:p>
    <w:p w14:paraId="02DE2578" w14:textId="77777777" w:rsidR="00494C4E" w:rsidRPr="00494C4E" w:rsidRDefault="00494C4E" w:rsidP="00494C4E">
      <w:pPr>
        <w:spacing w:line="276" w:lineRule="auto"/>
        <w:ind w:firstLine="0"/>
        <w:jc w:val="center"/>
        <w:rPr>
          <w:rFonts w:ascii="Tahoma" w:eastAsia="Tahoma" w:hAnsi="Tahoma" w:cs="Tahoma"/>
          <w:b/>
          <w:bCs/>
          <w:sz w:val="24"/>
          <w:szCs w:val="24"/>
          <w:lang w:val="es-CO"/>
        </w:rPr>
      </w:pPr>
      <w:r w:rsidRPr="00494C4E">
        <w:rPr>
          <w:rFonts w:ascii="Tahoma" w:eastAsia="Tahoma" w:hAnsi="Tahoma" w:cs="Tahoma"/>
          <w:b/>
          <w:bCs/>
          <w:sz w:val="24"/>
          <w:szCs w:val="24"/>
          <w:lang w:val="es-CO"/>
        </w:rPr>
        <w:t>NOTIFÍQUESE Y CÚMPLASE</w:t>
      </w:r>
    </w:p>
    <w:p w14:paraId="1F50161B" w14:textId="77777777" w:rsidR="00494C4E" w:rsidRPr="00494C4E" w:rsidRDefault="00494C4E" w:rsidP="00494C4E">
      <w:pPr>
        <w:spacing w:line="276" w:lineRule="auto"/>
        <w:ind w:firstLine="0"/>
        <w:rPr>
          <w:rFonts w:ascii="Tahoma" w:eastAsia="Calibri" w:hAnsi="Tahoma" w:cs="Tahoma"/>
          <w:sz w:val="24"/>
          <w:szCs w:val="24"/>
          <w:lang w:val="es-CO"/>
        </w:rPr>
      </w:pPr>
      <w:r w:rsidRPr="00494C4E">
        <w:rPr>
          <w:rFonts w:ascii="Tahoma" w:eastAsia="Calibri" w:hAnsi="Tahoma" w:cs="Tahoma"/>
          <w:sz w:val="24"/>
          <w:szCs w:val="24"/>
          <w:lang w:val="es-CO"/>
        </w:rPr>
        <w:t xml:space="preserve"> </w:t>
      </w:r>
    </w:p>
    <w:p w14:paraId="5E6CD569" w14:textId="77777777" w:rsidR="00494C4E" w:rsidRPr="00494C4E" w:rsidRDefault="00494C4E" w:rsidP="00494C4E">
      <w:pPr>
        <w:widowControl w:val="0"/>
        <w:autoSpaceDE w:val="0"/>
        <w:autoSpaceDN w:val="0"/>
        <w:adjustRightInd w:val="0"/>
        <w:spacing w:line="276" w:lineRule="auto"/>
        <w:ind w:firstLine="0"/>
        <w:rPr>
          <w:rFonts w:ascii="Tahoma" w:eastAsia="Times New Roman" w:hAnsi="Tahoma" w:cs="Tahoma"/>
          <w:sz w:val="24"/>
          <w:szCs w:val="24"/>
          <w:lang w:eastAsia="es-ES"/>
        </w:rPr>
      </w:pPr>
      <w:r w:rsidRPr="00494C4E">
        <w:rPr>
          <w:rFonts w:ascii="Tahoma" w:eastAsia="Times New Roman" w:hAnsi="Tahoma" w:cs="Tahoma"/>
          <w:sz w:val="24"/>
          <w:szCs w:val="24"/>
          <w:lang w:eastAsia="es-ES"/>
        </w:rPr>
        <w:tab/>
        <w:t>La Magistrada ponente,</w:t>
      </w:r>
    </w:p>
    <w:p w14:paraId="1044188E" w14:textId="77777777" w:rsidR="00494C4E" w:rsidRPr="00494C4E" w:rsidRDefault="00494C4E" w:rsidP="00494C4E">
      <w:pPr>
        <w:spacing w:line="276" w:lineRule="auto"/>
        <w:ind w:firstLine="0"/>
        <w:jc w:val="left"/>
        <w:rPr>
          <w:rFonts w:ascii="Tahoma" w:eastAsia="Times New Roman" w:hAnsi="Tahoma" w:cs="Tahoma"/>
          <w:sz w:val="24"/>
          <w:szCs w:val="24"/>
          <w:lang w:eastAsia="es-ES"/>
        </w:rPr>
      </w:pPr>
    </w:p>
    <w:p w14:paraId="1F6EB948" w14:textId="77777777" w:rsidR="00494C4E" w:rsidRPr="00494C4E" w:rsidRDefault="00494C4E" w:rsidP="00494C4E">
      <w:pPr>
        <w:spacing w:line="276" w:lineRule="auto"/>
        <w:ind w:firstLine="0"/>
        <w:jc w:val="left"/>
        <w:rPr>
          <w:rFonts w:ascii="Tahoma" w:eastAsia="Times New Roman" w:hAnsi="Tahoma" w:cs="Tahoma"/>
          <w:sz w:val="24"/>
          <w:szCs w:val="24"/>
          <w:lang w:eastAsia="es-ES"/>
        </w:rPr>
      </w:pPr>
    </w:p>
    <w:p w14:paraId="75C6D3BF" w14:textId="77777777" w:rsidR="00494C4E" w:rsidRPr="00494C4E" w:rsidRDefault="00494C4E" w:rsidP="00494C4E">
      <w:pPr>
        <w:spacing w:line="276" w:lineRule="auto"/>
        <w:ind w:firstLine="0"/>
        <w:jc w:val="left"/>
        <w:rPr>
          <w:rFonts w:ascii="Tahoma" w:eastAsia="Times New Roman" w:hAnsi="Tahoma" w:cs="Tahoma"/>
          <w:sz w:val="24"/>
          <w:szCs w:val="24"/>
          <w:lang w:eastAsia="es-ES"/>
        </w:rPr>
      </w:pPr>
    </w:p>
    <w:p w14:paraId="67B6495C" w14:textId="77777777" w:rsidR="00494C4E" w:rsidRPr="00494C4E" w:rsidRDefault="00494C4E" w:rsidP="00494C4E">
      <w:pPr>
        <w:keepNext/>
        <w:spacing w:line="276" w:lineRule="auto"/>
        <w:ind w:firstLine="0"/>
        <w:jc w:val="center"/>
        <w:outlineLvl w:val="2"/>
        <w:rPr>
          <w:rFonts w:ascii="Tahoma" w:eastAsia="Times New Roman" w:hAnsi="Tahoma" w:cs="Tahoma"/>
          <w:b/>
          <w:bCs/>
          <w:sz w:val="24"/>
          <w:szCs w:val="24"/>
          <w:lang w:eastAsia="es-ES"/>
        </w:rPr>
      </w:pPr>
      <w:r w:rsidRPr="00494C4E">
        <w:rPr>
          <w:rFonts w:ascii="Tahoma" w:eastAsia="Times New Roman" w:hAnsi="Tahoma" w:cs="Tahoma"/>
          <w:b/>
          <w:bCs/>
          <w:sz w:val="24"/>
          <w:szCs w:val="24"/>
          <w:lang w:eastAsia="es-ES"/>
        </w:rPr>
        <w:t>ANA LUCÍA CAICEDO CALDERÓN</w:t>
      </w:r>
    </w:p>
    <w:p w14:paraId="57293BBE" w14:textId="77777777" w:rsidR="00494C4E" w:rsidRPr="00494C4E" w:rsidRDefault="00494C4E" w:rsidP="00494C4E">
      <w:pPr>
        <w:spacing w:line="276" w:lineRule="auto"/>
        <w:ind w:firstLine="0"/>
        <w:jc w:val="left"/>
        <w:rPr>
          <w:rFonts w:ascii="Tahoma" w:eastAsia="Times New Roman" w:hAnsi="Tahoma" w:cs="Tahoma"/>
          <w:sz w:val="24"/>
          <w:szCs w:val="24"/>
          <w:lang w:eastAsia="es-ES"/>
        </w:rPr>
      </w:pPr>
    </w:p>
    <w:p w14:paraId="63E5C263" w14:textId="77777777" w:rsidR="00494C4E" w:rsidRPr="00494C4E" w:rsidRDefault="00494C4E" w:rsidP="00494C4E">
      <w:pPr>
        <w:spacing w:line="276" w:lineRule="auto"/>
        <w:ind w:firstLine="708"/>
        <w:jc w:val="left"/>
        <w:rPr>
          <w:rFonts w:ascii="Tahoma" w:eastAsia="Times New Roman" w:hAnsi="Tahoma" w:cs="Tahoma"/>
          <w:sz w:val="24"/>
          <w:szCs w:val="24"/>
          <w:lang w:eastAsia="es-ES"/>
        </w:rPr>
      </w:pPr>
      <w:bookmarkStart w:id="8" w:name="_Hlk62478330"/>
      <w:r w:rsidRPr="00494C4E">
        <w:rPr>
          <w:rFonts w:ascii="Tahoma" w:eastAsia="Times New Roman" w:hAnsi="Tahoma" w:cs="Tahoma"/>
          <w:sz w:val="24"/>
          <w:szCs w:val="24"/>
          <w:lang w:eastAsia="es-ES"/>
        </w:rPr>
        <w:t>La Magistrada y el Magistrado,</w:t>
      </w:r>
    </w:p>
    <w:p w14:paraId="005F2C0E" w14:textId="77777777" w:rsidR="00494C4E" w:rsidRPr="00494C4E" w:rsidRDefault="00494C4E" w:rsidP="00494C4E">
      <w:pPr>
        <w:spacing w:line="276" w:lineRule="auto"/>
        <w:ind w:firstLine="0"/>
        <w:jc w:val="left"/>
        <w:rPr>
          <w:rFonts w:ascii="Tahoma" w:eastAsia="Times New Roman" w:hAnsi="Tahoma" w:cs="Tahoma"/>
          <w:sz w:val="24"/>
          <w:szCs w:val="24"/>
          <w:lang w:eastAsia="es-ES"/>
        </w:rPr>
      </w:pPr>
    </w:p>
    <w:p w14:paraId="5E29D1A0" w14:textId="77777777" w:rsidR="00494C4E" w:rsidRPr="00494C4E" w:rsidRDefault="00494C4E" w:rsidP="00494C4E">
      <w:pPr>
        <w:spacing w:line="276" w:lineRule="auto"/>
        <w:ind w:firstLine="0"/>
        <w:jc w:val="left"/>
        <w:rPr>
          <w:rFonts w:ascii="Tahoma" w:eastAsia="Times New Roman" w:hAnsi="Tahoma" w:cs="Tahoma"/>
          <w:sz w:val="24"/>
          <w:szCs w:val="24"/>
          <w:lang w:eastAsia="es-ES"/>
        </w:rPr>
      </w:pPr>
    </w:p>
    <w:p w14:paraId="055BDE57" w14:textId="77777777" w:rsidR="00494C4E" w:rsidRPr="00494C4E" w:rsidRDefault="00494C4E" w:rsidP="00494C4E">
      <w:pPr>
        <w:spacing w:line="276" w:lineRule="auto"/>
        <w:ind w:firstLine="0"/>
        <w:jc w:val="left"/>
        <w:rPr>
          <w:rFonts w:ascii="Tahoma" w:eastAsia="Times New Roman" w:hAnsi="Tahoma" w:cs="Tahoma"/>
          <w:sz w:val="24"/>
          <w:szCs w:val="24"/>
          <w:lang w:eastAsia="es-ES"/>
        </w:rPr>
      </w:pPr>
    </w:p>
    <w:p w14:paraId="2461FEA1" w14:textId="615494AB" w:rsidR="009C082D" w:rsidRPr="00494C4E" w:rsidRDefault="00494C4E" w:rsidP="00494C4E">
      <w:pPr>
        <w:spacing w:line="276" w:lineRule="auto"/>
        <w:ind w:firstLine="0"/>
        <w:rPr>
          <w:rFonts w:ascii="Tahoma" w:eastAsia="Calibri" w:hAnsi="Tahoma" w:cs="Tahoma"/>
          <w:sz w:val="24"/>
          <w:szCs w:val="24"/>
        </w:rPr>
      </w:pPr>
      <w:r w:rsidRPr="00494C4E">
        <w:rPr>
          <w:rFonts w:ascii="Tahoma" w:eastAsia="Times New Roman" w:hAnsi="Tahoma" w:cs="Tahoma"/>
          <w:b/>
          <w:bCs/>
          <w:sz w:val="24"/>
          <w:szCs w:val="24"/>
          <w:lang w:eastAsia="es-ES"/>
        </w:rPr>
        <w:t>OLGA LUCÍA HOYOS SEPÚLVEDA</w:t>
      </w:r>
      <w:r w:rsidRPr="00494C4E">
        <w:rPr>
          <w:rFonts w:ascii="Tahoma" w:eastAsia="Times New Roman" w:hAnsi="Tahoma" w:cs="Tahoma"/>
          <w:b/>
          <w:bCs/>
          <w:sz w:val="24"/>
          <w:szCs w:val="24"/>
          <w:lang w:eastAsia="es-ES"/>
        </w:rPr>
        <w:tab/>
      </w:r>
      <w:r w:rsidRPr="00494C4E">
        <w:rPr>
          <w:rFonts w:ascii="Tahoma" w:eastAsia="Times New Roman" w:hAnsi="Tahoma" w:cs="Tahoma"/>
          <w:b/>
          <w:bCs/>
          <w:sz w:val="24"/>
          <w:szCs w:val="24"/>
          <w:lang w:eastAsia="es-ES"/>
        </w:rPr>
        <w:tab/>
        <w:t>GERMÁN DARÍO GÓEZ VINASCO</w:t>
      </w:r>
      <w:bookmarkEnd w:id="7"/>
      <w:bookmarkEnd w:id="8"/>
    </w:p>
    <w:sectPr w:rsidR="009C082D" w:rsidRPr="00494C4E" w:rsidSect="00494C4E">
      <w:headerReference w:type="default" r:id="rId11"/>
      <w:footerReference w:type="default" r:id="rId12"/>
      <w:headerReference w:type="firs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74183C" w16cex:dateUtc="2023-08-30T16:45:23.105Z"/>
  <w16cex:commentExtensible w16cex:durableId="3795F4AA" w16cex:dateUtc="2023-08-30T16:51:27.73Z"/>
  <w16cex:commentExtensible w16cex:durableId="47446468" w16cex:dateUtc="2023-08-30T16:58:58.574Z"/>
  <w16cex:commentExtensible w16cex:durableId="35EDDB23" w16cex:dateUtc="2023-08-30T18:29:08.647Z"/>
</w16cex:commentsExtensible>
</file>

<file path=word/commentsIds.xml><?xml version="1.0" encoding="utf-8"?>
<w16cid:commentsIds xmlns:mc="http://schemas.openxmlformats.org/markup-compatibility/2006" xmlns:w16cid="http://schemas.microsoft.com/office/word/2016/wordml/cid" mc:Ignorable="w16cid">
  <w16cid:commentId w16cid:paraId="42DE89A3" w16cid:durableId="4D74183C"/>
  <w16cid:commentId w16cid:paraId="75CA4745" w16cid:durableId="3795F4AA"/>
  <w16cid:commentId w16cid:paraId="2355435D" w16cid:durableId="47446468"/>
  <w16cid:commentId w16cid:paraId="11D30442" w16cid:durableId="35EDDB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C877" w14:textId="77777777" w:rsidR="007C64CA" w:rsidRDefault="007C64CA" w:rsidP="001C5C55">
      <w:pPr>
        <w:spacing w:line="240" w:lineRule="auto"/>
      </w:pPr>
      <w:r>
        <w:separator/>
      </w:r>
    </w:p>
  </w:endnote>
  <w:endnote w:type="continuationSeparator" w:id="0">
    <w:p w14:paraId="5EB5E00B" w14:textId="77777777" w:rsidR="007C64CA" w:rsidRDefault="007C64CA" w:rsidP="001C5C55">
      <w:pPr>
        <w:spacing w:line="240" w:lineRule="auto"/>
      </w:pPr>
      <w:r>
        <w:continuationSeparator/>
      </w:r>
    </w:p>
  </w:endnote>
  <w:endnote w:type="continuationNotice" w:id="1">
    <w:p w14:paraId="5A0D5FB0" w14:textId="77777777" w:rsidR="007C64CA" w:rsidRDefault="007C64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rPr>
        <w:rFonts w:ascii="Arial" w:hAnsi="Arial" w:cs="Arial"/>
        <w:sz w:val="18"/>
        <w:szCs w:val="18"/>
      </w:rPr>
    </w:sdtEndPr>
    <w:sdtContent>
      <w:p w14:paraId="1E705D51" w14:textId="734BCE81" w:rsidR="001D7E01" w:rsidRPr="00494C4E" w:rsidRDefault="001D7E01">
        <w:pPr>
          <w:pStyle w:val="Piedepgina"/>
          <w:jc w:val="right"/>
          <w:rPr>
            <w:rFonts w:ascii="Arial" w:hAnsi="Arial" w:cs="Arial"/>
            <w:sz w:val="18"/>
            <w:szCs w:val="18"/>
          </w:rPr>
        </w:pPr>
        <w:r w:rsidRPr="00494C4E">
          <w:rPr>
            <w:rFonts w:ascii="Arial" w:hAnsi="Arial" w:cs="Arial"/>
            <w:sz w:val="18"/>
            <w:szCs w:val="18"/>
          </w:rPr>
          <w:fldChar w:fldCharType="begin"/>
        </w:r>
        <w:r w:rsidRPr="00494C4E">
          <w:rPr>
            <w:rFonts w:ascii="Arial" w:hAnsi="Arial" w:cs="Arial"/>
            <w:sz w:val="18"/>
            <w:szCs w:val="18"/>
          </w:rPr>
          <w:instrText>PAGE   \* MERGEFORMAT</w:instrText>
        </w:r>
        <w:r w:rsidRPr="00494C4E">
          <w:rPr>
            <w:rFonts w:ascii="Arial" w:hAnsi="Arial" w:cs="Arial"/>
            <w:sz w:val="18"/>
            <w:szCs w:val="18"/>
          </w:rPr>
          <w:fldChar w:fldCharType="separate"/>
        </w:r>
        <w:r w:rsidR="004B4225">
          <w:rPr>
            <w:rFonts w:ascii="Arial" w:hAnsi="Arial" w:cs="Arial"/>
            <w:noProof/>
            <w:sz w:val="18"/>
            <w:szCs w:val="18"/>
          </w:rPr>
          <w:t>14</w:t>
        </w:r>
        <w:r w:rsidRPr="00494C4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A7BAC" w14:textId="77777777" w:rsidR="007C64CA" w:rsidRDefault="007C64CA" w:rsidP="001C5C55">
      <w:pPr>
        <w:spacing w:line="240" w:lineRule="auto"/>
      </w:pPr>
      <w:r>
        <w:separator/>
      </w:r>
    </w:p>
  </w:footnote>
  <w:footnote w:type="continuationSeparator" w:id="0">
    <w:p w14:paraId="79EF3333" w14:textId="77777777" w:rsidR="007C64CA" w:rsidRDefault="007C64CA" w:rsidP="001C5C55">
      <w:pPr>
        <w:spacing w:line="240" w:lineRule="auto"/>
      </w:pPr>
      <w:r>
        <w:continuationSeparator/>
      </w:r>
    </w:p>
  </w:footnote>
  <w:footnote w:type="continuationNotice" w:id="1">
    <w:p w14:paraId="62293144" w14:textId="77777777" w:rsidR="007C64CA" w:rsidRDefault="007C64CA">
      <w:pPr>
        <w:spacing w:line="240" w:lineRule="auto"/>
      </w:pPr>
    </w:p>
  </w:footnote>
  <w:footnote w:id="2">
    <w:p w14:paraId="1E6B6C47" w14:textId="63832611"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 xml:space="preserve">Archivo 04 cuaderno de primera instancia. </w:t>
      </w:r>
    </w:p>
  </w:footnote>
  <w:footnote w:id="3">
    <w:p w14:paraId="55C46896" w14:textId="3DFFACD4"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 xml:space="preserve">Archivo 08 cuaderno de primera instancia. </w:t>
      </w:r>
    </w:p>
  </w:footnote>
  <w:footnote w:id="4">
    <w:p w14:paraId="0472B68B" w14:textId="7F75A8D4"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Archivo 09 cuaderno de primera instancia.</w:t>
      </w:r>
    </w:p>
  </w:footnote>
  <w:footnote w:id="5">
    <w:p w14:paraId="069D0598" w14:textId="71D5FA9B"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 xml:space="preserve">Archivo 02, página 1 cuaderno de primera instancia. </w:t>
      </w:r>
    </w:p>
  </w:footnote>
  <w:footnote w:id="6">
    <w:p w14:paraId="381CD37A" w14:textId="141D95C0"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Archivo 02, página 3 cuaderno de primera instancia.</w:t>
      </w:r>
    </w:p>
  </w:footnote>
  <w:footnote w:id="7">
    <w:p w14:paraId="725F1239" w14:textId="6F50D49C"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Archivo 02, página 7 cuaderno de primera instancia.</w:t>
      </w:r>
    </w:p>
  </w:footnote>
  <w:footnote w:id="8">
    <w:p w14:paraId="150F83C1" w14:textId="515C1FA9"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Archivo 02, página 9 cuaderno de primera instancia.</w:t>
      </w:r>
    </w:p>
  </w:footnote>
  <w:footnote w:id="9">
    <w:p w14:paraId="7F9D6156" w14:textId="46E36251" w:rsidR="00D11603" w:rsidRPr="00494C4E" w:rsidRDefault="00D11603" w:rsidP="00494C4E">
      <w:pPr>
        <w:pStyle w:val="Textonotapie"/>
        <w:ind w:firstLine="0"/>
        <w:rPr>
          <w:rFonts w:ascii="Arial" w:hAnsi="Arial" w:cs="Arial"/>
          <w:sz w:val="18"/>
        </w:rPr>
      </w:pPr>
      <w:r w:rsidRPr="00494C4E">
        <w:rPr>
          <w:rStyle w:val="Refdenotaalpie"/>
          <w:rFonts w:ascii="Arial" w:hAnsi="Arial" w:cs="Arial"/>
          <w:sz w:val="18"/>
        </w:rPr>
        <w:footnoteRef/>
      </w:r>
      <w:r w:rsidRPr="00494C4E">
        <w:rPr>
          <w:rFonts w:ascii="Arial" w:hAnsi="Arial" w:cs="Arial"/>
          <w:sz w:val="18"/>
        </w:rPr>
        <w:t xml:space="preserve"> Archivo 10,</w:t>
      </w:r>
      <w:r w:rsidR="00494C4E" w:rsidRPr="00494C4E">
        <w:rPr>
          <w:rFonts w:ascii="Arial" w:hAnsi="Arial" w:cs="Arial"/>
          <w:sz w:val="18"/>
        </w:rPr>
        <w:t xml:space="preserve"> </w:t>
      </w:r>
      <w:r w:rsidRPr="00494C4E">
        <w:rPr>
          <w:rFonts w:ascii="Arial" w:hAnsi="Arial" w:cs="Arial"/>
          <w:sz w:val="18"/>
        </w:rPr>
        <w:t xml:space="preserve">página 39 y 40 cuaderno de primera instancia. </w:t>
      </w:r>
    </w:p>
  </w:footnote>
  <w:footnote w:id="10">
    <w:p w14:paraId="6522C8F4" w14:textId="17D48D13"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 xml:space="preserve">Archivo 02, página 11 cuaderno de primera instancia. </w:t>
      </w:r>
    </w:p>
  </w:footnote>
  <w:footnote w:id="11">
    <w:p w14:paraId="11925314" w14:textId="1F178B0E"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Archivo 02, página 12 cuaderno de primera instancia.</w:t>
      </w:r>
    </w:p>
  </w:footnote>
  <w:footnote w:id="12">
    <w:p w14:paraId="7B9393AD" w14:textId="43FA1F5F"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Archivo 02, página 14 cuaderno de primera instancia.</w:t>
      </w:r>
    </w:p>
  </w:footnote>
  <w:footnote w:id="13">
    <w:p w14:paraId="11BC0C11" w14:textId="6F6038A9" w:rsidR="001D7E01" w:rsidRPr="00494C4E" w:rsidRDefault="001D7E01" w:rsidP="00494C4E">
      <w:pPr>
        <w:pStyle w:val="Textonotapie"/>
        <w:ind w:firstLine="0"/>
        <w:rPr>
          <w:rFonts w:ascii="Arial" w:hAnsi="Arial" w:cs="Arial"/>
          <w:sz w:val="18"/>
          <w:lang w:val="es-CO"/>
        </w:rPr>
      </w:pPr>
      <w:r w:rsidRPr="00494C4E">
        <w:rPr>
          <w:rStyle w:val="Refdenotaalpie"/>
          <w:rFonts w:ascii="Arial" w:hAnsi="Arial" w:cs="Arial"/>
          <w:sz w:val="18"/>
        </w:rPr>
        <w:footnoteRef/>
      </w:r>
      <w:r w:rsidRPr="00494C4E">
        <w:rPr>
          <w:rFonts w:ascii="Arial" w:hAnsi="Arial" w:cs="Arial"/>
          <w:sz w:val="18"/>
        </w:rPr>
        <w:t xml:space="preserve"> </w:t>
      </w:r>
      <w:r w:rsidRPr="00494C4E">
        <w:rPr>
          <w:rFonts w:ascii="Arial" w:hAnsi="Arial" w:cs="Arial"/>
          <w:sz w:val="18"/>
          <w:lang w:val="es-CO"/>
        </w:rPr>
        <w:t>Archivo 02, página 18 cuaderno de primera instancia.</w:t>
      </w:r>
    </w:p>
  </w:footnote>
  <w:footnote w:id="14">
    <w:p w14:paraId="2494F8C3" w14:textId="77777777" w:rsidR="008C0C50" w:rsidRPr="00494C4E" w:rsidRDefault="008C0C50" w:rsidP="00494C4E">
      <w:pPr>
        <w:pStyle w:val="Textonotapie"/>
        <w:ind w:firstLine="0"/>
        <w:rPr>
          <w:rFonts w:ascii="Arial" w:hAnsi="Arial" w:cs="Arial"/>
          <w:sz w:val="18"/>
        </w:rPr>
      </w:pPr>
      <w:r w:rsidRPr="00494C4E">
        <w:rPr>
          <w:rStyle w:val="Refdenotaalpie"/>
          <w:rFonts w:ascii="Arial" w:hAnsi="Arial" w:cs="Arial"/>
          <w:sz w:val="18"/>
        </w:rPr>
        <w:footnoteRef/>
      </w:r>
      <w:r w:rsidRPr="00494C4E">
        <w:rPr>
          <w:rFonts w:ascii="Arial" w:hAnsi="Arial" w:cs="Arial"/>
          <w:sz w:val="18"/>
        </w:rPr>
        <w:t xml:space="preserve"> Archivo 10, páginas 2 a 6 cuaderno de primera instancia. </w:t>
      </w:r>
    </w:p>
  </w:footnote>
  <w:footnote w:id="15">
    <w:p w14:paraId="69A117F8" w14:textId="24F5367F" w:rsidR="00DE1741" w:rsidRPr="00494C4E" w:rsidRDefault="00DE1741" w:rsidP="00494C4E">
      <w:pPr>
        <w:pStyle w:val="Textonotapie"/>
        <w:ind w:firstLine="0"/>
        <w:rPr>
          <w:rFonts w:ascii="Arial" w:hAnsi="Arial" w:cs="Arial"/>
          <w:sz w:val="18"/>
        </w:rPr>
      </w:pPr>
      <w:r w:rsidRPr="00494C4E">
        <w:rPr>
          <w:rStyle w:val="Refdenotaalpie"/>
          <w:rFonts w:ascii="Arial" w:hAnsi="Arial" w:cs="Arial"/>
          <w:sz w:val="18"/>
        </w:rPr>
        <w:footnoteRef/>
      </w:r>
      <w:r w:rsidRPr="00494C4E">
        <w:rPr>
          <w:rFonts w:ascii="Arial" w:hAnsi="Arial" w:cs="Arial"/>
          <w:sz w:val="18"/>
        </w:rPr>
        <w:t xml:space="preserve"> Archivo </w:t>
      </w:r>
      <w:r w:rsidR="00EF0FFD" w:rsidRPr="00494C4E">
        <w:rPr>
          <w:rFonts w:ascii="Arial" w:hAnsi="Arial" w:cs="Arial"/>
          <w:sz w:val="18"/>
        </w:rPr>
        <w:t xml:space="preserve">10, página 99 cuaderno de primera instancia. </w:t>
      </w:r>
    </w:p>
  </w:footnote>
  <w:footnote w:id="16">
    <w:p w14:paraId="11A478F2" w14:textId="77777777" w:rsidR="00890F58" w:rsidRPr="00494C4E" w:rsidRDefault="00890F58" w:rsidP="00494C4E">
      <w:pPr>
        <w:pStyle w:val="Textonotapie"/>
        <w:ind w:firstLine="0"/>
        <w:rPr>
          <w:rFonts w:ascii="Arial" w:hAnsi="Arial" w:cs="Arial"/>
          <w:sz w:val="18"/>
        </w:rPr>
      </w:pPr>
      <w:r w:rsidRPr="00494C4E">
        <w:rPr>
          <w:rStyle w:val="Refdenotaalpie"/>
          <w:rFonts w:ascii="Arial" w:hAnsi="Arial" w:cs="Arial"/>
          <w:sz w:val="18"/>
        </w:rPr>
        <w:footnoteRef/>
      </w:r>
      <w:r w:rsidRPr="00494C4E">
        <w:rPr>
          <w:rFonts w:ascii="Arial" w:hAnsi="Arial" w:cs="Arial"/>
          <w:sz w:val="18"/>
        </w:rPr>
        <w:t xml:space="preserve"> Archivo 02, página 23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CD66" w14:textId="57470947" w:rsidR="001D7E01" w:rsidRPr="00494C4E" w:rsidRDefault="001D7E01" w:rsidP="00494C4E">
    <w:pPr>
      <w:spacing w:line="240" w:lineRule="auto"/>
      <w:ind w:firstLine="0"/>
      <w:rPr>
        <w:rFonts w:ascii="Arial" w:hAnsi="Arial" w:cs="Arial"/>
        <w:sz w:val="18"/>
        <w:szCs w:val="18"/>
      </w:rPr>
    </w:pPr>
    <w:r w:rsidRPr="00494C4E">
      <w:rPr>
        <w:rFonts w:ascii="Arial" w:hAnsi="Arial" w:cs="Arial"/>
        <w:sz w:val="18"/>
        <w:szCs w:val="18"/>
      </w:rPr>
      <w:t xml:space="preserve">Radicación No.: </w:t>
    </w:r>
    <w:r w:rsidRPr="00494C4E">
      <w:rPr>
        <w:rFonts w:ascii="Arial" w:hAnsi="Arial" w:cs="Arial"/>
        <w:sz w:val="18"/>
        <w:szCs w:val="18"/>
      </w:rPr>
      <w:tab/>
      <w:t>66001-31-05-005-2020-00031- 01</w:t>
    </w:r>
  </w:p>
  <w:p w14:paraId="38A28A0D" w14:textId="77EE8B81" w:rsidR="001D7E01" w:rsidRPr="00494C4E" w:rsidRDefault="001D7E01" w:rsidP="00494C4E">
    <w:pPr>
      <w:spacing w:line="240" w:lineRule="auto"/>
      <w:ind w:firstLine="0"/>
      <w:rPr>
        <w:rFonts w:ascii="Arial" w:hAnsi="Arial" w:cs="Arial"/>
        <w:sz w:val="18"/>
        <w:szCs w:val="18"/>
      </w:rPr>
    </w:pPr>
    <w:r w:rsidRPr="00494C4E">
      <w:rPr>
        <w:rFonts w:ascii="Arial" w:hAnsi="Arial" w:cs="Arial"/>
        <w:sz w:val="18"/>
        <w:szCs w:val="18"/>
      </w:rPr>
      <w:t xml:space="preserve">Demandante: </w:t>
    </w:r>
    <w:r w:rsidRPr="00494C4E">
      <w:rPr>
        <w:rFonts w:ascii="Arial" w:hAnsi="Arial" w:cs="Arial"/>
        <w:sz w:val="18"/>
        <w:szCs w:val="18"/>
      </w:rPr>
      <w:tab/>
      <w:t xml:space="preserve">María Adriana García Ortiz </w:t>
    </w:r>
  </w:p>
  <w:p w14:paraId="6611EFB4" w14:textId="1B12699A" w:rsidR="001D7E01" w:rsidRPr="00494C4E" w:rsidRDefault="001D7E01" w:rsidP="00494C4E">
    <w:pPr>
      <w:spacing w:line="240" w:lineRule="auto"/>
      <w:ind w:firstLine="0"/>
      <w:rPr>
        <w:rFonts w:ascii="Arial" w:hAnsi="Arial" w:cs="Arial"/>
      </w:rPr>
    </w:pPr>
    <w:r w:rsidRPr="00494C4E">
      <w:rPr>
        <w:rFonts w:ascii="Arial" w:hAnsi="Arial" w:cs="Arial"/>
        <w:sz w:val="18"/>
        <w:szCs w:val="18"/>
      </w:rPr>
      <w:t xml:space="preserve">Demandado: </w:t>
    </w:r>
    <w:r w:rsidRPr="00494C4E">
      <w:rPr>
        <w:rFonts w:ascii="Arial" w:hAnsi="Arial" w:cs="Arial"/>
        <w:sz w:val="18"/>
        <w:szCs w:val="18"/>
      </w:rPr>
      <w:tab/>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287C" w14:textId="424374F1" w:rsidR="001D7E01" w:rsidRPr="005F0737" w:rsidRDefault="001D7E01" w:rsidP="006D671B">
    <w:pPr>
      <w:pStyle w:val="Encabezado"/>
      <w:ind w:firstLine="0"/>
      <w:rPr>
        <w:sz w:val="16"/>
        <w:szCs w:val="16"/>
      </w:rPr>
    </w:pPr>
  </w:p>
  <w:p w14:paraId="760A0524" w14:textId="77777777" w:rsidR="001D7E01" w:rsidRDefault="001D7E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1"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6D3B35D7"/>
    <w:multiLevelType w:val="multilevel"/>
    <w:tmpl w:val="81146A8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3"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5"/>
  </w:num>
  <w:num w:numId="2">
    <w:abstractNumId w:val="13"/>
  </w:num>
  <w:num w:numId="3">
    <w:abstractNumId w:val="4"/>
  </w:num>
  <w:num w:numId="4">
    <w:abstractNumId w:val="11"/>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3"/>
  </w:num>
  <w:num w:numId="15">
    <w:abstractNumId w:val="6"/>
  </w:num>
  <w:num w:numId="16">
    <w:abstractNumId w:val="7"/>
  </w:num>
  <w:num w:numId="17">
    <w:abstractNumId w:val="2"/>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482"/>
    <w:rsid w:val="00000576"/>
    <w:rsid w:val="00000EF9"/>
    <w:rsid w:val="00003C73"/>
    <w:rsid w:val="00005A8C"/>
    <w:rsid w:val="00005D87"/>
    <w:rsid w:val="000075D3"/>
    <w:rsid w:val="00010EC1"/>
    <w:rsid w:val="0001123B"/>
    <w:rsid w:val="00015330"/>
    <w:rsid w:val="000224A2"/>
    <w:rsid w:val="00026377"/>
    <w:rsid w:val="000277FA"/>
    <w:rsid w:val="00030595"/>
    <w:rsid w:val="000312C4"/>
    <w:rsid w:val="000327FC"/>
    <w:rsid w:val="00032BCB"/>
    <w:rsid w:val="00036486"/>
    <w:rsid w:val="00036566"/>
    <w:rsid w:val="00036A4A"/>
    <w:rsid w:val="0003735F"/>
    <w:rsid w:val="00037644"/>
    <w:rsid w:val="00040730"/>
    <w:rsid w:val="00041E0E"/>
    <w:rsid w:val="000439EB"/>
    <w:rsid w:val="00044566"/>
    <w:rsid w:val="00045205"/>
    <w:rsid w:val="00046542"/>
    <w:rsid w:val="00047BED"/>
    <w:rsid w:val="00054421"/>
    <w:rsid w:val="00055B04"/>
    <w:rsid w:val="000613CA"/>
    <w:rsid w:val="000623ED"/>
    <w:rsid w:val="00062A9C"/>
    <w:rsid w:val="000635FC"/>
    <w:rsid w:val="00065018"/>
    <w:rsid w:val="00071AAA"/>
    <w:rsid w:val="00083AA6"/>
    <w:rsid w:val="00090962"/>
    <w:rsid w:val="00092B23"/>
    <w:rsid w:val="00093AC6"/>
    <w:rsid w:val="000956A6"/>
    <w:rsid w:val="000974A7"/>
    <w:rsid w:val="000A0935"/>
    <w:rsid w:val="000A1BBE"/>
    <w:rsid w:val="000A22E7"/>
    <w:rsid w:val="000A3340"/>
    <w:rsid w:val="000A5078"/>
    <w:rsid w:val="000A6DE9"/>
    <w:rsid w:val="000B0BA2"/>
    <w:rsid w:val="000B158E"/>
    <w:rsid w:val="000B3791"/>
    <w:rsid w:val="000B515C"/>
    <w:rsid w:val="000B7630"/>
    <w:rsid w:val="000C1608"/>
    <w:rsid w:val="000C1E44"/>
    <w:rsid w:val="000C29B4"/>
    <w:rsid w:val="000C3829"/>
    <w:rsid w:val="000C41A1"/>
    <w:rsid w:val="000C47E3"/>
    <w:rsid w:val="000C5099"/>
    <w:rsid w:val="000C7D1B"/>
    <w:rsid w:val="000D03AD"/>
    <w:rsid w:val="000D0DC7"/>
    <w:rsid w:val="000D2CD8"/>
    <w:rsid w:val="000D4994"/>
    <w:rsid w:val="000D4AFA"/>
    <w:rsid w:val="000D6505"/>
    <w:rsid w:val="000D68B8"/>
    <w:rsid w:val="000D76AA"/>
    <w:rsid w:val="000E02D9"/>
    <w:rsid w:val="000E18CE"/>
    <w:rsid w:val="000E4759"/>
    <w:rsid w:val="000F0081"/>
    <w:rsid w:val="000F2063"/>
    <w:rsid w:val="000F4167"/>
    <w:rsid w:val="000F53E9"/>
    <w:rsid w:val="000F7327"/>
    <w:rsid w:val="0010514B"/>
    <w:rsid w:val="00106411"/>
    <w:rsid w:val="00110B5E"/>
    <w:rsid w:val="0011184E"/>
    <w:rsid w:val="00111A98"/>
    <w:rsid w:val="00112456"/>
    <w:rsid w:val="00116069"/>
    <w:rsid w:val="00117B5D"/>
    <w:rsid w:val="00122A22"/>
    <w:rsid w:val="0012560F"/>
    <w:rsid w:val="0012715F"/>
    <w:rsid w:val="001302D9"/>
    <w:rsid w:val="001303A5"/>
    <w:rsid w:val="001312E2"/>
    <w:rsid w:val="00131C6C"/>
    <w:rsid w:val="0013340A"/>
    <w:rsid w:val="001364A3"/>
    <w:rsid w:val="0014098B"/>
    <w:rsid w:val="001430ED"/>
    <w:rsid w:val="00145D2E"/>
    <w:rsid w:val="00153419"/>
    <w:rsid w:val="00153B6E"/>
    <w:rsid w:val="00153C81"/>
    <w:rsid w:val="0015636D"/>
    <w:rsid w:val="00157CF9"/>
    <w:rsid w:val="00161270"/>
    <w:rsid w:val="00162A1B"/>
    <w:rsid w:val="00164C30"/>
    <w:rsid w:val="00165066"/>
    <w:rsid w:val="001754FB"/>
    <w:rsid w:val="00183876"/>
    <w:rsid w:val="001842A8"/>
    <w:rsid w:val="00184B92"/>
    <w:rsid w:val="00184BE9"/>
    <w:rsid w:val="00184C05"/>
    <w:rsid w:val="001856B6"/>
    <w:rsid w:val="001857C6"/>
    <w:rsid w:val="00191111"/>
    <w:rsid w:val="001917CB"/>
    <w:rsid w:val="0019535E"/>
    <w:rsid w:val="00196DDD"/>
    <w:rsid w:val="001A39D6"/>
    <w:rsid w:val="001A4B37"/>
    <w:rsid w:val="001A50A7"/>
    <w:rsid w:val="001A5F1D"/>
    <w:rsid w:val="001B2D19"/>
    <w:rsid w:val="001B4362"/>
    <w:rsid w:val="001C1297"/>
    <w:rsid w:val="001C3BB7"/>
    <w:rsid w:val="001C5C55"/>
    <w:rsid w:val="001C68F9"/>
    <w:rsid w:val="001C7007"/>
    <w:rsid w:val="001C789C"/>
    <w:rsid w:val="001D10AD"/>
    <w:rsid w:val="001D2334"/>
    <w:rsid w:val="001D25C1"/>
    <w:rsid w:val="001D3C29"/>
    <w:rsid w:val="001D6A25"/>
    <w:rsid w:val="001D7E01"/>
    <w:rsid w:val="001E012D"/>
    <w:rsid w:val="001E1C03"/>
    <w:rsid w:val="001E25DD"/>
    <w:rsid w:val="001E6544"/>
    <w:rsid w:val="001F138A"/>
    <w:rsid w:val="001F543B"/>
    <w:rsid w:val="001F6738"/>
    <w:rsid w:val="00200356"/>
    <w:rsid w:val="00204621"/>
    <w:rsid w:val="00210142"/>
    <w:rsid w:val="00210641"/>
    <w:rsid w:val="00214459"/>
    <w:rsid w:val="002208CB"/>
    <w:rsid w:val="0022787E"/>
    <w:rsid w:val="0023384C"/>
    <w:rsid w:val="00235C16"/>
    <w:rsid w:val="00235D63"/>
    <w:rsid w:val="0023628E"/>
    <w:rsid w:val="002406D0"/>
    <w:rsid w:val="00240A90"/>
    <w:rsid w:val="00243AFF"/>
    <w:rsid w:val="00244106"/>
    <w:rsid w:val="00246373"/>
    <w:rsid w:val="00246C58"/>
    <w:rsid w:val="00250F44"/>
    <w:rsid w:val="00251EEC"/>
    <w:rsid w:val="00256FA1"/>
    <w:rsid w:val="00257723"/>
    <w:rsid w:val="0026352C"/>
    <w:rsid w:val="002646B8"/>
    <w:rsid w:val="00265B40"/>
    <w:rsid w:val="00266A78"/>
    <w:rsid w:val="00266A86"/>
    <w:rsid w:val="00270192"/>
    <w:rsid w:val="002726B0"/>
    <w:rsid w:val="002747B9"/>
    <w:rsid w:val="0028195C"/>
    <w:rsid w:val="002830A1"/>
    <w:rsid w:val="00285787"/>
    <w:rsid w:val="002956CF"/>
    <w:rsid w:val="002970B9"/>
    <w:rsid w:val="002A1126"/>
    <w:rsid w:val="002A3355"/>
    <w:rsid w:val="002A41CC"/>
    <w:rsid w:val="002A5771"/>
    <w:rsid w:val="002B0215"/>
    <w:rsid w:val="002B38D5"/>
    <w:rsid w:val="002B6A21"/>
    <w:rsid w:val="002C02C2"/>
    <w:rsid w:val="002C0A8D"/>
    <w:rsid w:val="002C3EC7"/>
    <w:rsid w:val="002C3EFA"/>
    <w:rsid w:val="002C5830"/>
    <w:rsid w:val="002C7358"/>
    <w:rsid w:val="002D0F7C"/>
    <w:rsid w:val="002D2330"/>
    <w:rsid w:val="002D3BC2"/>
    <w:rsid w:val="002D4D75"/>
    <w:rsid w:val="002D5379"/>
    <w:rsid w:val="002D68FD"/>
    <w:rsid w:val="002E1CAB"/>
    <w:rsid w:val="002E1F50"/>
    <w:rsid w:val="002E3AC5"/>
    <w:rsid w:val="002E43B1"/>
    <w:rsid w:val="002E52CF"/>
    <w:rsid w:val="002E7149"/>
    <w:rsid w:val="002F1AB5"/>
    <w:rsid w:val="002F2E9B"/>
    <w:rsid w:val="002F4390"/>
    <w:rsid w:val="002F4948"/>
    <w:rsid w:val="0030061A"/>
    <w:rsid w:val="00302878"/>
    <w:rsid w:val="00303C01"/>
    <w:rsid w:val="003047B0"/>
    <w:rsid w:val="0030550E"/>
    <w:rsid w:val="00314B3C"/>
    <w:rsid w:val="00315D40"/>
    <w:rsid w:val="003166F5"/>
    <w:rsid w:val="003179D5"/>
    <w:rsid w:val="00320707"/>
    <w:rsid w:val="00322595"/>
    <w:rsid w:val="003228DF"/>
    <w:rsid w:val="00323328"/>
    <w:rsid w:val="003249BF"/>
    <w:rsid w:val="00324DDD"/>
    <w:rsid w:val="0032533C"/>
    <w:rsid w:val="0032634B"/>
    <w:rsid w:val="00326EED"/>
    <w:rsid w:val="00334409"/>
    <w:rsid w:val="003358BE"/>
    <w:rsid w:val="00344371"/>
    <w:rsid w:val="00345B5A"/>
    <w:rsid w:val="00350AF8"/>
    <w:rsid w:val="00351197"/>
    <w:rsid w:val="0035557E"/>
    <w:rsid w:val="00356284"/>
    <w:rsid w:val="00357B04"/>
    <w:rsid w:val="003616D4"/>
    <w:rsid w:val="003619A7"/>
    <w:rsid w:val="00361D8A"/>
    <w:rsid w:val="00367CF8"/>
    <w:rsid w:val="00371223"/>
    <w:rsid w:val="003743BA"/>
    <w:rsid w:val="003809A9"/>
    <w:rsid w:val="00381487"/>
    <w:rsid w:val="0038167C"/>
    <w:rsid w:val="003817F3"/>
    <w:rsid w:val="00385885"/>
    <w:rsid w:val="00385DFE"/>
    <w:rsid w:val="00387A6C"/>
    <w:rsid w:val="00390068"/>
    <w:rsid w:val="00390792"/>
    <w:rsid w:val="00391C11"/>
    <w:rsid w:val="0039502E"/>
    <w:rsid w:val="00395D0D"/>
    <w:rsid w:val="003A0CDB"/>
    <w:rsid w:val="003A3C61"/>
    <w:rsid w:val="003A4D34"/>
    <w:rsid w:val="003A70B4"/>
    <w:rsid w:val="003B18CE"/>
    <w:rsid w:val="003B3515"/>
    <w:rsid w:val="003B6547"/>
    <w:rsid w:val="003B78E4"/>
    <w:rsid w:val="003C1D58"/>
    <w:rsid w:val="003C279F"/>
    <w:rsid w:val="003C2E4C"/>
    <w:rsid w:val="003C2E6E"/>
    <w:rsid w:val="003C3A38"/>
    <w:rsid w:val="003C4B26"/>
    <w:rsid w:val="003C66FE"/>
    <w:rsid w:val="003D04BE"/>
    <w:rsid w:val="003D09B3"/>
    <w:rsid w:val="003D4E64"/>
    <w:rsid w:val="003D6339"/>
    <w:rsid w:val="003E0A59"/>
    <w:rsid w:val="003E228C"/>
    <w:rsid w:val="003E6315"/>
    <w:rsid w:val="003E69B4"/>
    <w:rsid w:val="003F3B61"/>
    <w:rsid w:val="003F76BB"/>
    <w:rsid w:val="00401F3C"/>
    <w:rsid w:val="00403295"/>
    <w:rsid w:val="00404E45"/>
    <w:rsid w:val="00405CE8"/>
    <w:rsid w:val="00417207"/>
    <w:rsid w:val="004203BC"/>
    <w:rsid w:val="00421298"/>
    <w:rsid w:val="004277EA"/>
    <w:rsid w:val="00430F0A"/>
    <w:rsid w:val="00435568"/>
    <w:rsid w:val="00435828"/>
    <w:rsid w:val="00436A8B"/>
    <w:rsid w:val="00441000"/>
    <w:rsid w:val="0044364A"/>
    <w:rsid w:val="0044439D"/>
    <w:rsid w:val="004445A9"/>
    <w:rsid w:val="004456F1"/>
    <w:rsid w:val="0044579D"/>
    <w:rsid w:val="00445C40"/>
    <w:rsid w:val="004477F3"/>
    <w:rsid w:val="00447F30"/>
    <w:rsid w:val="00450CAB"/>
    <w:rsid w:val="00452DAE"/>
    <w:rsid w:val="00453199"/>
    <w:rsid w:val="00453F96"/>
    <w:rsid w:val="004542C2"/>
    <w:rsid w:val="004559FF"/>
    <w:rsid w:val="00455DA8"/>
    <w:rsid w:val="004624EC"/>
    <w:rsid w:val="00462FDE"/>
    <w:rsid w:val="004648CB"/>
    <w:rsid w:val="00464B56"/>
    <w:rsid w:val="00465688"/>
    <w:rsid w:val="00465818"/>
    <w:rsid w:val="004662C3"/>
    <w:rsid w:val="00470C75"/>
    <w:rsid w:val="00471815"/>
    <w:rsid w:val="0047197E"/>
    <w:rsid w:val="00472C3D"/>
    <w:rsid w:val="00474B14"/>
    <w:rsid w:val="00475006"/>
    <w:rsid w:val="00476385"/>
    <w:rsid w:val="00476C27"/>
    <w:rsid w:val="00477541"/>
    <w:rsid w:val="00477F23"/>
    <w:rsid w:val="004801D6"/>
    <w:rsid w:val="00484FFB"/>
    <w:rsid w:val="00485B0C"/>
    <w:rsid w:val="004914E7"/>
    <w:rsid w:val="004922F9"/>
    <w:rsid w:val="00494C4E"/>
    <w:rsid w:val="004A23C1"/>
    <w:rsid w:val="004A4F26"/>
    <w:rsid w:val="004A5E81"/>
    <w:rsid w:val="004A6EC3"/>
    <w:rsid w:val="004A783E"/>
    <w:rsid w:val="004B4225"/>
    <w:rsid w:val="004B594A"/>
    <w:rsid w:val="004B7054"/>
    <w:rsid w:val="004C0F88"/>
    <w:rsid w:val="004C2076"/>
    <w:rsid w:val="004C4B6A"/>
    <w:rsid w:val="004C611B"/>
    <w:rsid w:val="004C6195"/>
    <w:rsid w:val="004C620A"/>
    <w:rsid w:val="004D0AEA"/>
    <w:rsid w:val="004D2481"/>
    <w:rsid w:val="004D2F91"/>
    <w:rsid w:val="004D35CD"/>
    <w:rsid w:val="004D3F71"/>
    <w:rsid w:val="004D41D5"/>
    <w:rsid w:val="004D6D57"/>
    <w:rsid w:val="004E03F2"/>
    <w:rsid w:val="004E0A23"/>
    <w:rsid w:val="004E1066"/>
    <w:rsid w:val="004E4D80"/>
    <w:rsid w:val="004E6432"/>
    <w:rsid w:val="004E7C3E"/>
    <w:rsid w:val="004F4AB6"/>
    <w:rsid w:val="004F5AD5"/>
    <w:rsid w:val="00500764"/>
    <w:rsid w:val="00500E75"/>
    <w:rsid w:val="00501E4E"/>
    <w:rsid w:val="0050274B"/>
    <w:rsid w:val="00502F6C"/>
    <w:rsid w:val="00504050"/>
    <w:rsid w:val="00504D02"/>
    <w:rsid w:val="00511128"/>
    <w:rsid w:val="005124A2"/>
    <w:rsid w:val="00512F58"/>
    <w:rsid w:val="00517359"/>
    <w:rsid w:val="00517B6E"/>
    <w:rsid w:val="00520F57"/>
    <w:rsid w:val="00521C58"/>
    <w:rsid w:val="00522087"/>
    <w:rsid w:val="0052608D"/>
    <w:rsid w:val="00531A7B"/>
    <w:rsid w:val="00531F87"/>
    <w:rsid w:val="00533949"/>
    <w:rsid w:val="00535CB8"/>
    <w:rsid w:val="00535EDC"/>
    <w:rsid w:val="0053679C"/>
    <w:rsid w:val="00537FD3"/>
    <w:rsid w:val="0054294F"/>
    <w:rsid w:val="00544C58"/>
    <w:rsid w:val="00544E08"/>
    <w:rsid w:val="00546F81"/>
    <w:rsid w:val="00550B37"/>
    <w:rsid w:val="00552871"/>
    <w:rsid w:val="005536F4"/>
    <w:rsid w:val="00554A29"/>
    <w:rsid w:val="00557579"/>
    <w:rsid w:val="005601B4"/>
    <w:rsid w:val="005620DD"/>
    <w:rsid w:val="00570DE6"/>
    <w:rsid w:val="00574E26"/>
    <w:rsid w:val="00576458"/>
    <w:rsid w:val="00576840"/>
    <w:rsid w:val="0057707E"/>
    <w:rsid w:val="00580BD9"/>
    <w:rsid w:val="00586BB7"/>
    <w:rsid w:val="00590CAB"/>
    <w:rsid w:val="005942E7"/>
    <w:rsid w:val="00595FB9"/>
    <w:rsid w:val="0059691E"/>
    <w:rsid w:val="005A21DF"/>
    <w:rsid w:val="005A2C1D"/>
    <w:rsid w:val="005A3995"/>
    <w:rsid w:val="005A4F60"/>
    <w:rsid w:val="005B00AE"/>
    <w:rsid w:val="005B1FE6"/>
    <w:rsid w:val="005B2C1A"/>
    <w:rsid w:val="005B2EAC"/>
    <w:rsid w:val="005B4337"/>
    <w:rsid w:val="005B5980"/>
    <w:rsid w:val="005B788F"/>
    <w:rsid w:val="005B7A03"/>
    <w:rsid w:val="005C01F3"/>
    <w:rsid w:val="005C1484"/>
    <w:rsid w:val="005C2621"/>
    <w:rsid w:val="005C39AD"/>
    <w:rsid w:val="005C6145"/>
    <w:rsid w:val="005D4736"/>
    <w:rsid w:val="005D63D2"/>
    <w:rsid w:val="005E3C19"/>
    <w:rsid w:val="005F0737"/>
    <w:rsid w:val="005F23A6"/>
    <w:rsid w:val="005F4AA0"/>
    <w:rsid w:val="005F4EE1"/>
    <w:rsid w:val="0060142A"/>
    <w:rsid w:val="00607F37"/>
    <w:rsid w:val="00610030"/>
    <w:rsid w:val="00613ACC"/>
    <w:rsid w:val="006150A1"/>
    <w:rsid w:val="00615AA7"/>
    <w:rsid w:val="0062108D"/>
    <w:rsid w:val="00625F92"/>
    <w:rsid w:val="00626C30"/>
    <w:rsid w:val="00627FFB"/>
    <w:rsid w:val="00631385"/>
    <w:rsid w:val="00631E7E"/>
    <w:rsid w:val="0063282E"/>
    <w:rsid w:val="006332EC"/>
    <w:rsid w:val="00634CA0"/>
    <w:rsid w:val="006359A1"/>
    <w:rsid w:val="00636982"/>
    <w:rsid w:val="00640254"/>
    <w:rsid w:val="00641CF1"/>
    <w:rsid w:val="00643478"/>
    <w:rsid w:val="00643F7C"/>
    <w:rsid w:val="00645338"/>
    <w:rsid w:val="0064673F"/>
    <w:rsid w:val="00652789"/>
    <w:rsid w:val="00652821"/>
    <w:rsid w:val="006545B8"/>
    <w:rsid w:val="00654F1D"/>
    <w:rsid w:val="00655572"/>
    <w:rsid w:val="006572BB"/>
    <w:rsid w:val="006614D4"/>
    <w:rsid w:val="00662E3D"/>
    <w:rsid w:val="006637BF"/>
    <w:rsid w:val="00664440"/>
    <w:rsid w:val="006674C3"/>
    <w:rsid w:val="00667C02"/>
    <w:rsid w:val="00672715"/>
    <w:rsid w:val="00674338"/>
    <w:rsid w:val="00675A50"/>
    <w:rsid w:val="00676186"/>
    <w:rsid w:val="0067720F"/>
    <w:rsid w:val="0068075A"/>
    <w:rsid w:val="00680D92"/>
    <w:rsid w:val="00684F58"/>
    <w:rsid w:val="006872B2"/>
    <w:rsid w:val="00687DE4"/>
    <w:rsid w:val="0069106D"/>
    <w:rsid w:val="00696B3F"/>
    <w:rsid w:val="00696EF5"/>
    <w:rsid w:val="006A28AC"/>
    <w:rsid w:val="006A2B34"/>
    <w:rsid w:val="006A33FC"/>
    <w:rsid w:val="006A620D"/>
    <w:rsid w:val="006B1CE7"/>
    <w:rsid w:val="006B2CF7"/>
    <w:rsid w:val="006C1C69"/>
    <w:rsid w:val="006C1CA4"/>
    <w:rsid w:val="006C25D8"/>
    <w:rsid w:val="006C2F1A"/>
    <w:rsid w:val="006C3755"/>
    <w:rsid w:val="006C3D31"/>
    <w:rsid w:val="006C413E"/>
    <w:rsid w:val="006C420C"/>
    <w:rsid w:val="006C45BE"/>
    <w:rsid w:val="006C4F26"/>
    <w:rsid w:val="006C53DE"/>
    <w:rsid w:val="006C5703"/>
    <w:rsid w:val="006C59D1"/>
    <w:rsid w:val="006D126D"/>
    <w:rsid w:val="006D59FC"/>
    <w:rsid w:val="006D671B"/>
    <w:rsid w:val="006E4354"/>
    <w:rsid w:val="006E58BC"/>
    <w:rsid w:val="006E6A88"/>
    <w:rsid w:val="006E7ABC"/>
    <w:rsid w:val="006F741A"/>
    <w:rsid w:val="00703932"/>
    <w:rsid w:val="00705610"/>
    <w:rsid w:val="007059C1"/>
    <w:rsid w:val="00705B96"/>
    <w:rsid w:val="007067ED"/>
    <w:rsid w:val="007100B4"/>
    <w:rsid w:val="00714427"/>
    <w:rsid w:val="007230D8"/>
    <w:rsid w:val="007266D3"/>
    <w:rsid w:val="00726A46"/>
    <w:rsid w:val="00732B40"/>
    <w:rsid w:val="007345A0"/>
    <w:rsid w:val="00737F9D"/>
    <w:rsid w:val="0074061C"/>
    <w:rsid w:val="00741394"/>
    <w:rsid w:val="00742F18"/>
    <w:rsid w:val="00744E1C"/>
    <w:rsid w:val="00744EE7"/>
    <w:rsid w:val="0074537E"/>
    <w:rsid w:val="00746F94"/>
    <w:rsid w:val="0075190B"/>
    <w:rsid w:val="00752CB7"/>
    <w:rsid w:val="00754227"/>
    <w:rsid w:val="00754A65"/>
    <w:rsid w:val="00757410"/>
    <w:rsid w:val="007629BB"/>
    <w:rsid w:val="00765024"/>
    <w:rsid w:val="007665E1"/>
    <w:rsid w:val="00772D65"/>
    <w:rsid w:val="007733DA"/>
    <w:rsid w:val="00775AC5"/>
    <w:rsid w:val="00776A34"/>
    <w:rsid w:val="00777A87"/>
    <w:rsid w:val="00785210"/>
    <w:rsid w:val="00786ED8"/>
    <w:rsid w:val="00791222"/>
    <w:rsid w:val="0079404A"/>
    <w:rsid w:val="007A27DB"/>
    <w:rsid w:val="007A3928"/>
    <w:rsid w:val="007A52D7"/>
    <w:rsid w:val="007B09F3"/>
    <w:rsid w:val="007B2B3C"/>
    <w:rsid w:val="007B2F62"/>
    <w:rsid w:val="007B555E"/>
    <w:rsid w:val="007B5C7C"/>
    <w:rsid w:val="007B6843"/>
    <w:rsid w:val="007C1966"/>
    <w:rsid w:val="007C5D72"/>
    <w:rsid w:val="007C64CA"/>
    <w:rsid w:val="007D15EF"/>
    <w:rsid w:val="007D16FA"/>
    <w:rsid w:val="007D1E43"/>
    <w:rsid w:val="007D1E76"/>
    <w:rsid w:val="007D2122"/>
    <w:rsid w:val="007D4116"/>
    <w:rsid w:val="007D4770"/>
    <w:rsid w:val="007D4D80"/>
    <w:rsid w:val="007E0A19"/>
    <w:rsid w:val="007E64FB"/>
    <w:rsid w:val="007F1C76"/>
    <w:rsid w:val="007F2572"/>
    <w:rsid w:val="007F3E46"/>
    <w:rsid w:val="007F533D"/>
    <w:rsid w:val="007F5839"/>
    <w:rsid w:val="007F62C8"/>
    <w:rsid w:val="007F664A"/>
    <w:rsid w:val="008007D6"/>
    <w:rsid w:val="008024A4"/>
    <w:rsid w:val="00803C37"/>
    <w:rsid w:val="00804329"/>
    <w:rsid w:val="008043E4"/>
    <w:rsid w:val="0081192D"/>
    <w:rsid w:val="00811C4C"/>
    <w:rsid w:val="00813D6C"/>
    <w:rsid w:val="008172B5"/>
    <w:rsid w:val="00817801"/>
    <w:rsid w:val="008208EF"/>
    <w:rsid w:val="00825389"/>
    <w:rsid w:val="0082639B"/>
    <w:rsid w:val="00826659"/>
    <w:rsid w:val="00831AE4"/>
    <w:rsid w:val="00832E72"/>
    <w:rsid w:val="008414C9"/>
    <w:rsid w:val="0084276F"/>
    <w:rsid w:val="008441E2"/>
    <w:rsid w:val="00847277"/>
    <w:rsid w:val="008479F3"/>
    <w:rsid w:val="0085771B"/>
    <w:rsid w:val="00861748"/>
    <w:rsid w:val="008650A2"/>
    <w:rsid w:val="00866F3A"/>
    <w:rsid w:val="008705F8"/>
    <w:rsid w:val="00872605"/>
    <w:rsid w:val="008742D7"/>
    <w:rsid w:val="00874BB7"/>
    <w:rsid w:val="00876597"/>
    <w:rsid w:val="008768BD"/>
    <w:rsid w:val="00876DBE"/>
    <w:rsid w:val="00880A89"/>
    <w:rsid w:val="00880CEA"/>
    <w:rsid w:val="00887D42"/>
    <w:rsid w:val="00887DAA"/>
    <w:rsid w:val="00890F58"/>
    <w:rsid w:val="00891198"/>
    <w:rsid w:val="008950F6"/>
    <w:rsid w:val="008B0FD5"/>
    <w:rsid w:val="008B1221"/>
    <w:rsid w:val="008B2F98"/>
    <w:rsid w:val="008B4061"/>
    <w:rsid w:val="008B535E"/>
    <w:rsid w:val="008B5666"/>
    <w:rsid w:val="008B720E"/>
    <w:rsid w:val="008B77B6"/>
    <w:rsid w:val="008C0C50"/>
    <w:rsid w:val="008C1951"/>
    <w:rsid w:val="008C1CF9"/>
    <w:rsid w:val="008C2C67"/>
    <w:rsid w:val="008C5492"/>
    <w:rsid w:val="008C60AB"/>
    <w:rsid w:val="008D0093"/>
    <w:rsid w:val="008D1D44"/>
    <w:rsid w:val="008E26FD"/>
    <w:rsid w:val="008E3ED0"/>
    <w:rsid w:val="008E49D7"/>
    <w:rsid w:val="008E5B06"/>
    <w:rsid w:val="008F190F"/>
    <w:rsid w:val="008F1B80"/>
    <w:rsid w:val="008F49B4"/>
    <w:rsid w:val="00902C71"/>
    <w:rsid w:val="00903C98"/>
    <w:rsid w:val="00905ECE"/>
    <w:rsid w:val="00906D4B"/>
    <w:rsid w:val="00911CEE"/>
    <w:rsid w:val="009134E4"/>
    <w:rsid w:val="00913EBC"/>
    <w:rsid w:val="00915CF8"/>
    <w:rsid w:val="0091658D"/>
    <w:rsid w:val="00920CB0"/>
    <w:rsid w:val="0092133F"/>
    <w:rsid w:val="00921E59"/>
    <w:rsid w:val="009220D7"/>
    <w:rsid w:val="0092308E"/>
    <w:rsid w:val="00924D29"/>
    <w:rsid w:val="00926BCA"/>
    <w:rsid w:val="00926DAE"/>
    <w:rsid w:val="00932D2D"/>
    <w:rsid w:val="009374D2"/>
    <w:rsid w:val="00940225"/>
    <w:rsid w:val="00942E4F"/>
    <w:rsid w:val="009436D9"/>
    <w:rsid w:val="0094370E"/>
    <w:rsid w:val="009443F3"/>
    <w:rsid w:val="009449C2"/>
    <w:rsid w:val="00952EB9"/>
    <w:rsid w:val="00956C5C"/>
    <w:rsid w:val="009570F7"/>
    <w:rsid w:val="00961D41"/>
    <w:rsid w:val="00961F0A"/>
    <w:rsid w:val="009625A6"/>
    <w:rsid w:val="00967E87"/>
    <w:rsid w:val="009736BB"/>
    <w:rsid w:val="00975C54"/>
    <w:rsid w:val="00976724"/>
    <w:rsid w:val="009801B8"/>
    <w:rsid w:val="00980631"/>
    <w:rsid w:val="00981055"/>
    <w:rsid w:val="009832EE"/>
    <w:rsid w:val="00986B39"/>
    <w:rsid w:val="0099118C"/>
    <w:rsid w:val="0099177D"/>
    <w:rsid w:val="009918DB"/>
    <w:rsid w:val="00997C3E"/>
    <w:rsid w:val="009A06BC"/>
    <w:rsid w:val="009A1ED9"/>
    <w:rsid w:val="009A3DD0"/>
    <w:rsid w:val="009A429D"/>
    <w:rsid w:val="009A625A"/>
    <w:rsid w:val="009B09A4"/>
    <w:rsid w:val="009B15F5"/>
    <w:rsid w:val="009B2618"/>
    <w:rsid w:val="009B6E7E"/>
    <w:rsid w:val="009C082D"/>
    <w:rsid w:val="009C252C"/>
    <w:rsid w:val="009D036C"/>
    <w:rsid w:val="009D2A71"/>
    <w:rsid w:val="009D3462"/>
    <w:rsid w:val="009D4314"/>
    <w:rsid w:val="009D5197"/>
    <w:rsid w:val="009D6456"/>
    <w:rsid w:val="009E033E"/>
    <w:rsid w:val="009E1D22"/>
    <w:rsid w:val="009E2A5F"/>
    <w:rsid w:val="009E61B9"/>
    <w:rsid w:val="009E68F8"/>
    <w:rsid w:val="009E72CF"/>
    <w:rsid w:val="009E7547"/>
    <w:rsid w:val="009E7E0B"/>
    <w:rsid w:val="009F042F"/>
    <w:rsid w:val="009F36AF"/>
    <w:rsid w:val="009F467A"/>
    <w:rsid w:val="009F5ACF"/>
    <w:rsid w:val="009F7B32"/>
    <w:rsid w:val="00A01180"/>
    <w:rsid w:val="00A109A7"/>
    <w:rsid w:val="00A12A9C"/>
    <w:rsid w:val="00A17F99"/>
    <w:rsid w:val="00A234D6"/>
    <w:rsid w:val="00A249BD"/>
    <w:rsid w:val="00A25DF6"/>
    <w:rsid w:val="00A25EF4"/>
    <w:rsid w:val="00A31306"/>
    <w:rsid w:val="00A31755"/>
    <w:rsid w:val="00A3186B"/>
    <w:rsid w:val="00A31CFA"/>
    <w:rsid w:val="00A31F8B"/>
    <w:rsid w:val="00A32CED"/>
    <w:rsid w:val="00A32E4C"/>
    <w:rsid w:val="00A330F5"/>
    <w:rsid w:val="00A420AA"/>
    <w:rsid w:val="00A4332A"/>
    <w:rsid w:val="00A457BA"/>
    <w:rsid w:val="00A46590"/>
    <w:rsid w:val="00A50EE0"/>
    <w:rsid w:val="00A51541"/>
    <w:rsid w:val="00A606EB"/>
    <w:rsid w:val="00A607E2"/>
    <w:rsid w:val="00A65CC9"/>
    <w:rsid w:val="00A7223B"/>
    <w:rsid w:val="00A72F3E"/>
    <w:rsid w:val="00A77BC5"/>
    <w:rsid w:val="00A8279C"/>
    <w:rsid w:val="00A82AA7"/>
    <w:rsid w:val="00A866FE"/>
    <w:rsid w:val="00A86F70"/>
    <w:rsid w:val="00A9173F"/>
    <w:rsid w:val="00A9231F"/>
    <w:rsid w:val="00A970CD"/>
    <w:rsid w:val="00A976B2"/>
    <w:rsid w:val="00AA0DFE"/>
    <w:rsid w:val="00AA2D4B"/>
    <w:rsid w:val="00AA3511"/>
    <w:rsid w:val="00AA49A9"/>
    <w:rsid w:val="00AA7A75"/>
    <w:rsid w:val="00AB12AB"/>
    <w:rsid w:val="00AB12BB"/>
    <w:rsid w:val="00AB1BA1"/>
    <w:rsid w:val="00AB2079"/>
    <w:rsid w:val="00AB39A5"/>
    <w:rsid w:val="00AB46F7"/>
    <w:rsid w:val="00AB4EB0"/>
    <w:rsid w:val="00AB577D"/>
    <w:rsid w:val="00AC14FE"/>
    <w:rsid w:val="00AC43F6"/>
    <w:rsid w:val="00AC6326"/>
    <w:rsid w:val="00AC67C1"/>
    <w:rsid w:val="00AD3498"/>
    <w:rsid w:val="00AD6905"/>
    <w:rsid w:val="00AE031D"/>
    <w:rsid w:val="00AE1F81"/>
    <w:rsid w:val="00AE218E"/>
    <w:rsid w:val="00AE5CF8"/>
    <w:rsid w:val="00AE618E"/>
    <w:rsid w:val="00AE6C74"/>
    <w:rsid w:val="00AF0DFB"/>
    <w:rsid w:val="00AF232B"/>
    <w:rsid w:val="00AF281E"/>
    <w:rsid w:val="00AF5584"/>
    <w:rsid w:val="00B026C8"/>
    <w:rsid w:val="00B05347"/>
    <w:rsid w:val="00B057E1"/>
    <w:rsid w:val="00B0BF41"/>
    <w:rsid w:val="00B10D59"/>
    <w:rsid w:val="00B14360"/>
    <w:rsid w:val="00B21822"/>
    <w:rsid w:val="00B234FB"/>
    <w:rsid w:val="00B239DA"/>
    <w:rsid w:val="00B247BA"/>
    <w:rsid w:val="00B311B3"/>
    <w:rsid w:val="00B31E68"/>
    <w:rsid w:val="00B34C40"/>
    <w:rsid w:val="00B3770C"/>
    <w:rsid w:val="00B37DAE"/>
    <w:rsid w:val="00B40B63"/>
    <w:rsid w:val="00B41A0E"/>
    <w:rsid w:val="00B42681"/>
    <w:rsid w:val="00B44072"/>
    <w:rsid w:val="00B4550B"/>
    <w:rsid w:val="00B4585E"/>
    <w:rsid w:val="00B52029"/>
    <w:rsid w:val="00B52127"/>
    <w:rsid w:val="00B5237A"/>
    <w:rsid w:val="00B54CAE"/>
    <w:rsid w:val="00B556DB"/>
    <w:rsid w:val="00B57054"/>
    <w:rsid w:val="00B577D6"/>
    <w:rsid w:val="00B60CA2"/>
    <w:rsid w:val="00B6327A"/>
    <w:rsid w:val="00B658A1"/>
    <w:rsid w:val="00B65BB8"/>
    <w:rsid w:val="00B7529D"/>
    <w:rsid w:val="00B77D37"/>
    <w:rsid w:val="00B804E9"/>
    <w:rsid w:val="00B813E5"/>
    <w:rsid w:val="00B82BF3"/>
    <w:rsid w:val="00B84779"/>
    <w:rsid w:val="00B854FE"/>
    <w:rsid w:val="00B855D7"/>
    <w:rsid w:val="00B86649"/>
    <w:rsid w:val="00B92979"/>
    <w:rsid w:val="00B92B88"/>
    <w:rsid w:val="00BA28E3"/>
    <w:rsid w:val="00BA2BFC"/>
    <w:rsid w:val="00BA5A26"/>
    <w:rsid w:val="00BA5CFD"/>
    <w:rsid w:val="00BB2946"/>
    <w:rsid w:val="00BC017A"/>
    <w:rsid w:val="00BC167A"/>
    <w:rsid w:val="00BC52D0"/>
    <w:rsid w:val="00BC6D35"/>
    <w:rsid w:val="00BC7EF1"/>
    <w:rsid w:val="00BD688B"/>
    <w:rsid w:val="00BE15F1"/>
    <w:rsid w:val="00BE2297"/>
    <w:rsid w:val="00BE3692"/>
    <w:rsid w:val="00BE481E"/>
    <w:rsid w:val="00BE4F08"/>
    <w:rsid w:val="00BE61B8"/>
    <w:rsid w:val="00BF00A0"/>
    <w:rsid w:val="00BF0164"/>
    <w:rsid w:val="00BF3163"/>
    <w:rsid w:val="00BF4D5B"/>
    <w:rsid w:val="00BF6159"/>
    <w:rsid w:val="00C025AF"/>
    <w:rsid w:val="00C026E9"/>
    <w:rsid w:val="00C06E8F"/>
    <w:rsid w:val="00C13A99"/>
    <w:rsid w:val="00C16E42"/>
    <w:rsid w:val="00C25AFB"/>
    <w:rsid w:val="00C25BC1"/>
    <w:rsid w:val="00C27E2C"/>
    <w:rsid w:val="00C334B2"/>
    <w:rsid w:val="00C348CA"/>
    <w:rsid w:val="00C35899"/>
    <w:rsid w:val="00C4033B"/>
    <w:rsid w:val="00C40A84"/>
    <w:rsid w:val="00C41561"/>
    <w:rsid w:val="00C44332"/>
    <w:rsid w:val="00C4557D"/>
    <w:rsid w:val="00C4759C"/>
    <w:rsid w:val="00C50EC1"/>
    <w:rsid w:val="00C52FEE"/>
    <w:rsid w:val="00C56777"/>
    <w:rsid w:val="00C60684"/>
    <w:rsid w:val="00C62C5A"/>
    <w:rsid w:val="00C63887"/>
    <w:rsid w:val="00C63E78"/>
    <w:rsid w:val="00C64ED0"/>
    <w:rsid w:val="00C6544E"/>
    <w:rsid w:val="00C70A6C"/>
    <w:rsid w:val="00C74747"/>
    <w:rsid w:val="00C801DB"/>
    <w:rsid w:val="00C8078C"/>
    <w:rsid w:val="00C83682"/>
    <w:rsid w:val="00C86663"/>
    <w:rsid w:val="00C86915"/>
    <w:rsid w:val="00C86EE6"/>
    <w:rsid w:val="00C87262"/>
    <w:rsid w:val="00C931FB"/>
    <w:rsid w:val="00C951DD"/>
    <w:rsid w:val="00CA0433"/>
    <w:rsid w:val="00CA2E30"/>
    <w:rsid w:val="00CA4ABF"/>
    <w:rsid w:val="00CB23C7"/>
    <w:rsid w:val="00CB68C8"/>
    <w:rsid w:val="00CC2007"/>
    <w:rsid w:val="00CC2921"/>
    <w:rsid w:val="00CC3B5D"/>
    <w:rsid w:val="00CC58FC"/>
    <w:rsid w:val="00CC6CB4"/>
    <w:rsid w:val="00CC7DC0"/>
    <w:rsid w:val="00CD093C"/>
    <w:rsid w:val="00CD27AB"/>
    <w:rsid w:val="00CD2CC5"/>
    <w:rsid w:val="00CD4331"/>
    <w:rsid w:val="00CD4B0F"/>
    <w:rsid w:val="00CD4D64"/>
    <w:rsid w:val="00CD69FA"/>
    <w:rsid w:val="00CE0D4F"/>
    <w:rsid w:val="00CE183D"/>
    <w:rsid w:val="00CE2FDA"/>
    <w:rsid w:val="00CE3D70"/>
    <w:rsid w:val="00CE51AA"/>
    <w:rsid w:val="00CE5BB7"/>
    <w:rsid w:val="00CF022D"/>
    <w:rsid w:val="00CF2A95"/>
    <w:rsid w:val="00CF3177"/>
    <w:rsid w:val="00CF5925"/>
    <w:rsid w:val="00D001F3"/>
    <w:rsid w:val="00D04A18"/>
    <w:rsid w:val="00D07084"/>
    <w:rsid w:val="00D1065A"/>
    <w:rsid w:val="00D10C7C"/>
    <w:rsid w:val="00D11603"/>
    <w:rsid w:val="00D1787F"/>
    <w:rsid w:val="00D178CD"/>
    <w:rsid w:val="00D17C6D"/>
    <w:rsid w:val="00D204BC"/>
    <w:rsid w:val="00D21902"/>
    <w:rsid w:val="00D27F60"/>
    <w:rsid w:val="00D31830"/>
    <w:rsid w:val="00D36D7A"/>
    <w:rsid w:val="00D371D0"/>
    <w:rsid w:val="00D41C0B"/>
    <w:rsid w:val="00D43E3D"/>
    <w:rsid w:val="00D44F2B"/>
    <w:rsid w:val="00D457BA"/>
    <w:rsid w:val="00D46DA0"/>
    <w:rsid w:val="00D5741C"/>
    <w:rsid w:val="00D65597"/>
    <w:rsid w:val="00D6575B"/>
    <w:rsid w:val="00D742D8"/>
    <w:rsid w:val="00D77E17"/>
    <w:rsid w:val="00D8019E"/>
    <w:rsid w:val="00D80500"/>
    <w:rsid w:val="00D81B9E"/>
    <w:rsid w:val="00D832FC"/>
    <w:rsid w:val="00D83308"/>
    <w:rsid w:val="00D83D8A"/>
    <w:rsid w:val="00D914E8"/>
    <w:rsid w:val="00D92385"/>
    <w:rsid w:val="00D9364E"/>
    <w:rsid w:val="00D93AA7"/>
    <w:rsid w:val="00D94E52"/>
    <w:rsid w:val="00DA2F5A"/>
    <w:rsid w:val="00DA3BB8"/>
    <w:rsid w:val="00DB0A15"/>
    <w:rsid w:val="00DB7E85"/>
    <w:rsid w:val="00DC2437"/>
    <w:rsid w:val="00DC4A83"/>
    <w:rsid w:val="00DD1D92"/>
    <w:rsid w:val="00DD54F5"/>
    <w:rsid w:val="00DD5562"/>
    <w:rsid w:val="00DD705A"/>
    <w:rsid w:val="00DE0E0B"/>
    <w:rsid w:val="00DE10F5"/>
    <w:rsid w:val="00DE1741"/>
    <w:rsid w:val="00DE278E"/>
    <w:rsid w:val="00DE2CC7"/>
    <w:rsid w:val="00DE59C4"/>
    <w:rsid w:val="00DE778B"/>
    <w:rsid w:val="00DF012E"/>
    <w:rsid w:val="00DF0305"/>
    <w:rsid w:val="00DF31C0"/>
    <w:rsid w:val="00DF5161"/>
    <w:rsid w:val="00DF54EA"/>
    <w:rsid w:val="00DF637B"/>
    <w:rsid w:val="00DF6AC7"/>
    <w:rsid w:val="00E05FD6"/>
    <w:rsid w:val="00E061CC"/>
    <w:rsid w:val="00E11E21"/>
    <w:rsid w:val="00E12300"/>
    <w:rsid w:val="00E167AA"/>
    <w:rsid w:val="00E20E22"/>
    <w:rsid w:val="00E23249"/>
    <w:rsid w:val="00E23402"/>
    <w:rsid w:val="00E25EA6"/>
    <w:rsid w:val="00E31533"/>
    <w:rsid w:val="00E33E8C"/>
    <w:rsid w:val="00E37D4A"/>
    <w:rsid w:val="00E40468"/>
    <w:rsid w:val="00E41D3F"/>
    <w:rsid w:val="00E44681"/>
    <w:rsid w:val="00E45061"/>
    <w:rsid w:val="00E46EA8"/>
    <w:rsid w:val="00E50A92"/>
    <w:rsid w:val="00E530DF"/>
    <w:rsid w:val="00E54DE2"/>
    <w:rsid w:val="00E56581"/>
    <w:rsid w:val="00E62322"/>
    <w:rsid w:val="00E7100D"/>
    <w:rsid w:val="00E715BF"/>
    <w:rsid w:val="00E72ECB"/>
    <w:rsid w:val="00E7514A"/>
    <w:rsid w:val="00E77316"/>
    <w:rsid w:val="00E8035A"/>
    <w:rsid w:val="00E810F1"/>
    <w:rsid w:val="00E9549D"/>
    <w:rsid w:val="00EA3958"/>
    <w:rsid w:val="00EA5E3B"/>
    <w:rsid w:val="00EA676C"/>
    <w:rsid w:val="00EA7E9A"/>
    <w:rsid w:val="00EB096A"/>
    <w:rsid w:val="00EB2616"/>
    <w:rsid w:val="00EB4B86"/>
    <w:rsid w:val="00EB4EE9"/>
    <w:rsid w:val="00EB5F74"/>
    <w:rsid w:val="00EB6C33"/>
    <w:rsid w:val="00EC0CF9"/>
    <w:rsid w:val="00EC5F3D"/>
    <w:rsid w:val="00EC69D8"/>
    <w:rsid w:val="00ED1C2D"/>
    <w:rsid w:val="00ED2F05"/>
    <w:rsid w:val="00ED30A4"/>
    <w:rsid w:val="00ED51BB"/>
    <w:rsid w:val="00ED5D56"/>
    <w:rsid w:val="00ED72F8"/>
    <w:rsid w:val="00EE1913"/>
    <w:rsid w:val="00EE3123"/>
    <w:rsid w:val="00EE613A"/>
    <w:rsid w:val="00EF08E6"/>
    <w:rsid w:val="00EF0FFD"/>
    <w:rsid w:val="00EF2704"/>
    <w:rsid w:val="00EF28E1"/>
    <w:rsid w:val="00EF3A89"/>
    <w:rsid w:val="00EF638A"/>
    <w:rsid w:val="00EF6800"/>
    <w:rsid w:val="00EF6A2A"/>
    <w:rsid w:val="00EF6F62"/>
    <w:rsid w:val="00EF75A9"/>
    <w:rsid w:val="00EF7863"/>
    <w:rsid w:val="00F00FCD"/>
    <w:rsid w:val="00F01696"/>
    <w:rsid w:val="00F069BA"/>
    <w:rsid w:val="00F1078A"/>
    <w:rsid w:val="00F13207"/>
    <w:rsid w:val="00F20189"/>
    <w:rsid w:val="00F21BF5"/>
    <w:rsid w:val="00F22EF7"/>
    <w:rsid w:val="00F25B72"/>
    <w:rsid w:val="00F26650"/>
    <w:rsid w:val="00F278BC"/>
    <w:rsid w:val="00F320BF"/>
    <w:rsid w:val="00F322FF"/>
    <w:rsid w:val="00F333EF"/>
    <w:rsid w:val="00F40EAE"/>
    <w:rsid w:val="00F41FAB"/>
    <w:rsid w:val="00F4561E"/>
    <w:rsid w:val="00F45640"/>
    <w:rsid w:val="00F51C3E"/>
    <w:rsid w:val="00F571AD"/>
    <w:rsid w:val="00F57790"/>
    <w:rsid w:val="00F6059D"/>
    <w:rsid w:val="00F615DC"/>
    <w:rsid w:val="00F62803"/>
    <w:rsid w:val="00F64362"/>
    <w:rsid w:val="00F64F82"/>
    <w:rsid w:val="00F6704B"/>
    <w:rsid w:val="00F71F34"/>
    <w:rsid w:val="00F7367C"/>
    <w:rsid w:val="00F7733C"/>
    <w:rsid w:val="00F77EFF"/>
    <w:rsid w:val="00F80B4A"/>
    <w:rsid w:val="00F8390A"/>
    <w:rsid w:val="00F83BF9"/>
    <w:rsid w:val="00F83FAB"/>
    <w:rsid w:val="00F852B9"/>
    <w:rsid w:val="00F92099"/>
    <w:rsid w:val="00F938D6"/>
    <w:rsid w:val="00F9407A"/>
    <w:rsid w:val="00F947BA"/>
    <w:rsid w:val="00F95604"/>
    <w:rsid w:val="00F956D6"/>
    <w:rsid w:val="00F95D33"/>
    <w:rsid w:val="00F963B5"/>
    <w:rsid w:val="00FA6ADF"/>
    <w:rsid w:val="00FB05E9"/>
    <w:rsid w:val="00FB16B6"/>
    <w:rsid w:val="00FB25CB"/>
    <w:rsid w:val="00FB3B4B"/>
    <w:rsid w:val="00FC20EA"/>
    <w:rsid w:val="00FC29C7"/>
    <w:rsid w:val="00FC39BA"/>
    <w:rsid w:val="00FC5523"/>
    <w:rsid w:val="00FC7600"/>
    <w:rsid w:val="00FD0597"/>
    <w:rsid w:val="00FD46A9"/>
    <w:rsid w:val="00FE5597"/>
    <w:rsid w:val="00FE6B56"/>
    <w:rsid w:val="00FE6C5A"/>
    <w:rsid w:val="00FF073D"/>
    <w:rsid w:val="00FF23C0"/>
    <w:rsid w:val="00FF339E"/>
    <w:rsid w:val="00FF5527"/>
    <w:rsid w:val="00FF5922"/>
    <w:rsid w:val="00FF5BDF"/>
    <w:rsid w:val="00FF75E1"/>
    <w:rsid w:val="0125B8C5"/>
    <w:rsid w:val="022D459B"/>
    <w:rsid w:val="0307C653"/>
    <w:rsid w:val="031CF41D"/>
    <w:rsid w:val="03361C7A"/>
    <w:rsid w:val="03AE37C6"/>
    <w:rsid w:val="0494A4A1"/>
    <w:rsid w:val="058705D3"/>
    <w:rsid w:val="066A595F"/>
    <w:rsid w:val="067FC13A"/>
    <w:rsid w:val="06F80FC1"/>
    <w:rsid w:val="07E8CC3B"/>
    <w:rsid w:val="0867ABC7"/>
    <w:rsid w:val="09139A44"/>
    <w:rsid w:val="09966BBC"/>
    <w:rsid w:val="0A037C28"/>
    <w:rsid w:val="0A27CC47"/>
    <w:rsid w:val="0AE217D5"/>
    <w:rsid w:val="0AE93E5A"/>
    <w:rsid w:val="0B316107"/>
    <w:rsid w:val="0B53325D"/>
    <w:rsid w:val="0B9953C3"/>
    <w:rsid w:val="0BF1A4D8"/>
    <w:rsid w:val="0C01EA13"/>
    <w:rsid w:val="0C34F152"/>
    <w:rsid w:val="0C5A2742"/>
    <w:rsid w:val="0C5F4EEB"/>
    <w:rsid w:val="0C7B6288"/>
    <w:rsid w:val="0CEF02BE"/>
    <w:rsid w:val="0DC40935"/>
    <w:rsid w:val="0DE693A3"/>
    <w:rsid w:val="1005AD40"/>
    <w:rsid w:val="10584856"/>
    <w:rsid w:val="1076AFD3"/>
    <w:rsid w:val="10969FDA"/>
    <w:rsid w:val="10FC2AF6"/>
    <w:rsid w:val="110250D8"/>
    <w:rsid w:val="1147CDDE"/>
    <w:rsid w:val="1148D0BB"/>
    <w:rsid w:val="1188C906"/>
    <w:rsid w:val="11E93346"/>
    <w:rsid w:val="11F565B0"/>
    <w:rsid w:val="12543043"/>
    <w:rsid w:val="135A2F3B"/>
    <w:rsid w:val="1388E54C"/>
    <w:rsid w:val="13BB0303"/>
    <w:rsid w:val="13D42099"/>
    <w:rsid w:val="143110F5"/>
    <w:rsid w:val="144FFAF1"/>
    <w:rsid w:val="14BE6C72"/>
    <w:rsid w:val="150CF3AB"/>
    <w:rsid w:val="15593ACD"/>
    <w:rsid w:val="161064D8"/>
    <w:rsid w:val="1654B0BD"/>
    <w:rsid w:val="16E5F157"/>
    <w:rsid w:val="17C32948"/>
    <w:rsid w:val="17F7A013"/>
    <w:rsid w:val="1898C915"/>
    <w:rsid w:val="1987C907"/>
    <w:rsid w:val="198A91C5"/>
    <w:rsid w:val="1A0469BC"/>
    <w:rsid w:val="1ACB3B95"/>
    <w:rsid w:val="1C519FBF"/>
    <w:rsid w:val="1C6DE3AE"/>
    <w:rsid w:val="1CBC3F44"/>
    <w:rsid w:val="1D2FBBEE"/>
    <w:rsid w:val="1DB7F450"/>
    <w:rsid w:val="1DED7020"/>
    <w:rsid w:val="1F0B32A0"/>
    <w:rsid w:val="1F24194B"/>
    <w:rsid w:val="1F3D2ACB"/>
    <w:rsid w:val="1F894081"/>
    <w:rsid w:val="1FB5D4BB"/>
    <w:rsid w:val="208B7BC4"/>
    <w:rsid w:val="208CDDAC"/>
    <w:rsid w:val="20B4A6E6"/>
    <w:rsid w:val="21288DCC"/>
    <w:rsid w:val="21B602E0"/>
    <w:rsid w:val="21BB5995"/>
    <w:rsid w:val="223CE8D4"/>
    <w:rsid w:val="225D0E76"/>
    <w:rsid w:val="22C0E143"/>
    <w:rsid w:val="2369AA77"/>
    <w:rsid w:val="237FCFE7"/>
    <w:rsid w:val="2406422F"/>
    <w:rsid w:val="2471AA82"/>
    <w:rsid w:val="25079999"/>
    <w:rsid w:val="25319DDD"/>
    <w:rsid w:val="255E23C0"/>
    <w:rsid w:val="25C9DCC3"/>
    <w:rsid w:val="2603C9D6"/>
    <w:rsid w:val="26213B6F"/>
    <w:rsid w:val="27986722"/>
    <w:rsid w:val="28D7710C"/>
    <w:rsid w:val="28EA0726"/>
    <w:rsid w:val="2947EA85"/>
    <w:rsid w:val="2ADC5A94"/>
    <w:rsid w:val="2B14A6F3"/>
    <w:rsid w:val="2BCD6544"/>
    <w:rsid w:val="2BF56697"/>
    <w:rsid w:val="2C039FB1"/>
    <w:rsid w:val="2DA1263E"/>
    <w:rsid w:val="2DCFD359"/>
    <w:rsid w:val="2E34DBF0"/>
    <w:rsid w:val="2EBE7B80"/>
    <w:rsid w:val="2F05A844"/>
    <w:rsid w:val="2F2D92E5"/>
    <w:rsid w:val="2F5948AA"/>
    <w:rsid w:val="30CAE581"/>
    <w:rsid w:val="3290E96C"/>
    <w:rsid w:val="32A61736"/>
    <w:rsid w:val="32B04D51"/>
    <w:rsid w:val="338FDD74"/>
    <w:rsid w:val="3391ECA3"/>
    <w:rsid w:val="3428BF3A"/>
    <w:rsid w:val="34746905"/>
    <w:rsid w:val="34906084"/>
    <w:rsid w:val="350FF727"/>
    <w:rsid w:val="35BA8112"/>
    <w:rsid w:val="35F75BDA"/>
    <w:rsid w:val="36E3E390"/>
    <w:rsid w:val="3703DB37"/>
    <w:rsid w:val="3753DFEA"/>
    <w:rsid w:val="375F70B0"/>
    <w:rsid w:val="37C88159"/>
    <w:rsid w:val="37FEEB53"/>
    <w:rsid w:val="38C2935F"/>
    <w:rsid w:val="392B7732"/>
    <w:rsid w:val="39686F98"/>
    <w:rsid w:val="3A20E127"/>
    <w:rsid w:val="3A3FE9A8"/>
    <w:rsid w:val="3A72C4C6"/>
    <w:rsid w:val="3AF9C147"/>
    <w:rsid w:val="3B766946"/>
    <w:rsid w:val="3C1EDDAA"/>
    <w:rsid w:val="3D5600C1"/>
    <w:rsid w:val="3EE8FCAF"/>
    <w:rsid w:val="3F26EE52"/>
    <w:rsid w:val="3FA13983"/>
    <w:rsid w:val="3FDA67A3"/>
    <w:rsid w:val="400157C9"/>
    <w:rsid w:val="40063F0B"/>
    <w:rsid w:val="4050B748"/>
    <w:rsid w:val="412AA0BA"/>
    <w:rsid w:val="41D40531"/>
    <w:rsid w:val="42CB40B9"/>
    <w:rsid w:val="432D6528"/>
    <w:rsid w:val="438F90C7"/>
    <w:rsid w:val="4429B53A"/>
    <w:rsid w:val="44802B85"/>
    <w:rsid w:val="44A37E12"/>
    <w:rsid w:val="44B25773"/>
    <w:rsid w:val="4502F9D7"/>
    <w:rsid w:val="4586DCD7"/>
    <w:rsid w:val="4589FAD5"/>
    <w:rsid w:val="45E2A0EB"/>
    <w:rsid w:val="45FE11DD"/>
    <w:rsid w:val="4638D18F"/>
    <w:rsid w:val="469108F4"/>
    <w:rsid w:val="46EECFEB"/>
    <w:rsid w:val="46FB536E"/>
    <w:rsid w:val="486A46B9"/>
    <w:rsid w:val="48B264D6"/>
    <w:rsid w:val="4B2BDC57"/>
    <w:rsid w:val="4B6D2535"/>
    <w:rsid w:val="4BDFB464"/>
    <w:rsid w:val="4C02955B"/>
    <w:rsid w:val="4C0E20F9"/>
    <w:rsid w:val="4CF16751"/>
    <w:rsid w:val="4CFED11A"/>
    <w:rsid w:val="4D288A12"/>
    <w:rsid w:val="4D2FFFE5"/>
    <w:rsid w:val="4D9311AB"/>
    <w:rsid w:val="4DB441FE"/>
    <w:rsid w:val="4E70D985"/>
    <w:rsid w:val="4E7B2314"/>
    <w:rsid w:val="4EB4238B"/>
    <w:rsid w:val="4EEE62FF"/>
    <w:rsid w:val="4FA9B100"/>
    <w:rsid w:val="50149EDD"/>
    <w:rsid w:val="504BBA31"/>
    <w:rsid w:val="509C8CD2"/>
    <w:rsid w:val="50C32CD9"/>
    <w:rsid w:val="50EB157B"/>
    <w:rsid w:val="51149D6F"/>
    <w:rsid w:val="5171CABC"/>
    <w:rsid w:val="518003D6"/>
    <w:rsid w:val="51860172"/>
    <w:rsid w:val="51989EBA"/>
    <w:rsid w:val="51A4989C"/>
    <w:rsid w:val="5429B914"/>
    <w:rsid w:val="54AC327B"/>
    <w:rsid w:val="552B4311"/>
    <w:rsid w:val="5554F963"/>
    <w:rsid w:val="5595D951"/>
    <w:rsid w:val="55BEDFC3"/>
    <w:rsid w:val="55E1F1D1"/>
    <w:rsid w:val="5662274B"/>
    <w:rsid w:val="5683173A"/>
    <w:rsid w:val="5695207A"/>
    <w:rsid w:val="56C939DC"/>
    <w:rsid w:val="56CDDFCE"/>
    <w:rsid w:val="56D1AEBB"/>
    <w:rsid w:val="56EC8531"/>
    <w:rsid w:val="571BC56A"/>
    <w:rsid w:val="575734C0"/>
    <w:rsid w:val="577F674C"/>
    <w:rsid w:val="57E178AE"/>
    <w:rsid w:val="598E83A1"/>
    <w:rsid w:val="599858D8"/>
    <w:rsid w:val="5A309849"/>
    <w:rsid w:val="5AB7080E"/>
    <w:rsid w:val="5BB25BEE"/>
    <w:rsid w:val="5BB55248"/>
    <w:rsid w:val="5BCA0F43"/>
    <w:rsid w:val="5BFD0112"/>
    <w:rsid w:val="5C6881BE"/>
    <w:rsid w:val="5C8F08CB"/>
    <w:rsid w:val="5D032EEE"/>
    <w:rsid w:val="5E5F8A3C"/>
    <w:rsid w:val="5F1CDC5A"/>
    <w:rsid w:val="5F80B48F"/>
    <w:rsid w:val="5FD452D9"/>
    <w:rsid w:val="5FF57791"/>
    <w:rsid w:val="607A4191"/>
    <w:rsid w:val="607A9A38"/>
    <w:rsid w:val="60D07235"/>
    <w:rsid w:val="6143626B"/>
    <w:rsid w:val="61575EBB"/>
    <w:rsid w:val="61ED8E62"/>
    <w:rsid w:val="6237EBCD"/>
    <w:rsid w:val="626C4296"/>
    <w:rsid w:val="627F57B8"/>
    <w:rsid w:val="6283A89A"/>
    <w:rsid w:val="62859C22"/>
    <w:rsid w:val="630D71A6"/>
    <w:rsid w:val="631DCEDE"/>
    <w:rsid w:val="639CB489"/>
    <w:rsid w:val="63AF4391"/>
    <w:rsid w:val="63B5DCE6"/>
    <w:rsid w:val="63CD5345"/>
    <w:rsid w:val="64252D7B"/>
    <w:rsid w:val="64C325EC"/>
    <w:rsid w:val="64F6525D"/>
    <w:rsid w:val="653884EA"/>
    <w:rsid w:val="654DB2B4"/>
    <w:rsid w:val="6675842C"/>
    <w:rsid w:val="66AC3909"/>
    <w:rsid w:val="67301FD6"/>
    <w:rsid w:val="67A8E0D5"/>
    <w:rsid w:val="67CBDE55"/>
    <w:rsid w:val="6855BEE4"/>
    <w:rsid w:val="6A105A67"/>
    <w:rsid w:val="6B0CF944"/>
    <w:rsid w:val="6BBA739E"/>
    <w:rsid w:val="6BCDD520"/>
    <w:rsid w:val="6BD1E5BF"/>
    <w:rsid w:val="6C0D620B"/>
    <w:rsid w:val="6C6DBFF1"/>
    <w:rsid w:val="6D265C13"/>
    <w:rsid w:val="6D79D805"/>
    <w:rsid w:val="6E4ED021"/>
    <w:rsid w:val="6E569E04"/>
    <w:rsid w:val="6ECAF68D"/>
    <w:rsid w:val="6F231196"/>
    <w:rsid w:val="6F405AFD"/>
    <w:rsid w:val="6FB2BE29"/>
    <w:rsid w:val="6FF26E65"/>
    <w:rsid w:val="701F9FDA"/>
    <w:rsid w:val="70A02EAB"/>
    <w:rsid w:val="70EA8826"/>
    <w:rsid w:val="710EE624"/>
    <w:rsid w:val="7182D8DD"/>
    <w:rsid w:val="721F5823"/>
    <w:rsid w:val="724E23F5"/>
    <w:rsid w:val="72C9945E"/>
    <w:rsid w:val="740F8BA0"/>
    <w:rsid w:val="74390E7A"/>
    <w:rsid w:val="743B49EB"/>
    <w:rsid w:val="745258A2"/>
    <w:rsid w:val="74DC6807"/>
    <w:rsid w:val="74DEA54E"/>
    <w:rsid w:val="757833E3"/>
    <w:rsid w:val="75D72BB5"/>
    <w:rsid w:val="76696FE1"/>
    <w:rsid w:val="76B60BB5"/>
    <w:rsid w:val="775F38C5"/>
    <w:rsid w:val="77938C47"/>
    <w:rsid w:val="77D7F52C"/>
    <w:rsid w:val="77FD9FED"/>
    <w:rsid w:val="78B1B3AB"/>
    <w:rsid w:val="7960E40C"/>
    <w:rsid w:val="798200E1"/>
    <w:rsid w:val="79962D75"/>
    <w:rsid w:val="799AA127"/>
    <w:rsid w:val="7A037465"/>
    <w:rsid w:val="7AB34936"/>
    <w:rsid w:val="7AC19A26"/>
    <w:rsid w:val="7BE0E8FE"/>
    <w:rsid w:val="7C194F6B"/>
    <w:rsid w:val="7CADB298"/>
    <w:rsid w:val="7CD00645"/>
    <w:rsid w:val="7D791E7E"/>
    <w:rsid w:val="7D7C3244"/>
    <w:rsid w:val="7E8507FC"/>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docId w15:val="{1D37F569-677B-4274-9AB0-D4308C75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242">
      <w:bodyDiv w:val="1"/>
      <w:marLeft w:val="0"/>
      <w:marRight w:val="0"/>
      <w:marTop w:val="0"/>
      <w:marBottom w:val="0"/>
      <w:divBdr>
        <w:top w:val="none" w:sz="0" w:space="0" w:color="auto"/>
        <w:left w:val="none" w:sz="0" w:space="0" w:color="auto"/>
        <w:bottom w:val="none" w:sz="0" w:space="0" w:color="auto"/>
        <w:right w:val="none" w:sz="0" w:space="0" w:color="auto"/>
      </w:divBdr>
    </w:div>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567887604">
      <w:bodyDiv w:val="1"/>
      <w:marLeft w:val="0"/>
      <w:marRight w:val="0"/>
      <w:marTop w:val="0"/>
      <w:marBottom w:val="0"/>
      <w:divBdr>
        <w:top w:val="none" w:sz="0" w:space="0" w:color="auto"/>
        <w:left w:val="none" w:sz="0" w:space="0" w:color="auto"/>
        <w:bottom w:val="none" w:sz="0" w:space="0" w:color="auto"/>
        <w:right w:val="none" w:sz="0" w:space="0" w:color="auto"/>
      </w:divBdr>
    </w:div>
    <w:div w:id="766122679">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147239686">
      <w:bodyDiv w:val="1"/>
      <w:marLeft w:val="0"/>
      <w:marRight w:val="0"/>
      <w:marTop w:val="0"/>
      <w:marBottom w:val="0"/>
      <w:divBdr>
        <w:top w:val="none" w:sz="0" w:space="0" w:color="auto"/>
        <w:left w:val="none" w:sz="0" w:space="0" w:color="auto"/>
        <w:bottom w:val="none" w:sz="0" w:space="0" w:color="auto"/>
        <w:right w:val="none" w:sz="0" w:space="0" w:color="auto"/>
      </w:divBdr>
      <w:divsChild>
        <w:div w:id="684748279">
          <w:marLeft w:val="0"/>
          <w:marRight w:val="0"/>
          <w:marTop w:val="0"/>
          <w:marBottom w:val="0"/>
          <w:divBdr>
            <w:top w:val="none" w:sz="0" w:space="0" w:color="auto"/>
            <w:left w:val="none" w:sz="0" w:space="0" w:color="auto"/>
            <w:bottom w:val="none" w:sz="0" w:space="0" w:color="auto"/>
            <w:right w:val="none" w:sz="0" w:space="0" w:color="auto"/>
          </w:divBdr>
        </w:div>
        <w:div w:id="1774596267">
          <w:marLeft w:val="0"/>
          <w:marRight w:val="0"/>
          <w:marTop w:val="0"/>
          <w:marBottom w:val="0"/>
          <w:divBdr>
            <w:top w:val="none" w:sz="0" w:space="0" w:color="auto"/>
            <w:left w:val="none" w:sz="0" w:space="0" w:color="auto"/>
            <w:bottom w:val="none" w:sz="0" w:space="0" w:color="auto"/>
            <w:right w:val="none" w:sz="0" w:space="0" w:color="auto"/>
          </w:divBdr>
        </w:div>
      </w:divsChild>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58095431">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64352299">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48976681">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67925226">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2007131660">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097357798">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901f382fa3b24284"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b8dda15c71d430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2.xml><?xml version="1.0" encoding="utf-8"?>
<ds:datastoreItem xmlns:ds="http://schemas.openxmlformats.org/officeDocument/2006/customXml" ds:itemID="{5BA9B5A3-C99B-41E9-A19E-9A916151D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E85B7C5F-39D2-4338-93B2-9BE809F0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5825</Words>
  <Characters>33205</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11</cp:revision>
  <dcterms:created xsi:type="dcterms:W3CDTF">2023-08-24T22:17:00Z</dcterms:created>
  <dcterms:modified xsi:type="dcterms:W3CDTF">2023-11-01T14:31:00Z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