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FA2DB"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bookmarkStart w:id="0" w:name="_Hlk99113374"/>
      <w:bookmarkStart w:id="1" w:name="_Hlk140771636"/>
      <w:r w:rsidRPr="00EA711B">
        <w:rPr>
          <w:rFonts w:ascii="Arial" w:eastAsia="Times New Roman" w:hAnsi="Arial" w:cs="Arial"/>
          <w:b/>
          <w:sz w:val="20"/>
          <w:szCs w:val="20"/>
          <w:lang w:val="es-419" w:eastAsia="es-ES"/>
        </w:rPr>
        <w:t xml:space="preserve">INEFICACIA TRASLADO DE RÉGIMEN PENSIONAL / DEBER DE INFORMACIÓN </w:t>
      </w:r>
      <w:r>
        <w:rPr>
          <w:rFonts w:ascii="Arial" w:eastAsia="Times New Roman" w:hAnsi="Arial" w:cs="Arial"/>
          <w:b/>
          <w:sz w:val="20"/>
          <w:szCs w:val="20"/>
          <w:lang w:val="es-419" w:eastAsia="es-ES"/>
        </w:rPr>
        <w:t>/ CORRESPONDE A LAS AFP</w:t>
      </w:r>
    </w:p>
    <w:p w14:paraId="337778BC"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095FA196"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p>
    <w:p w14:paraId="34C6B070" w14:textId="77777777" w:rsidR="000B1295" w:rsidRPr="006814D6" w:rsidRDefault="000B1295" w:rsidP="000B1295">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456B9453"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4B26139C"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p>
    <w:p w14:paraId="0ECB3140" w14:textId="77777777" w:rsidR="000B1295"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242D151B" w14:textId="6204F4E2"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r w:rsidRPr="000B1295">
        <w:rPr>
          <w:rFonts w:ascii="Arial" w:eastAsia="Times New Roman" w:hAnsi="Arial" w:cs="Arial"/>
          <w:sz w:val="20"/>
          <w:szCs w:val="20"/>
          <w:lang w:val="es-419" w:eastAsia="es-ES"/>
        </w:rPr>
        <w:t xml:space="preserve">Ahora bien, vale la pena citar la sentencia del 8 de mayo de 2019 </w:t>
      </w:r>
      <w:proofErr w:type="spellStart"/>
      <w:r w:rsidRPr="000B1295">
        <w:rPr>
          <w:rFonts w:ascii="Arial" w:eastAsia="Times New Roman" w:hAnsi="Arial" w:cs="Arial"/>
          <w:sz w:val="20"/>
          <w:szCs w:val="20"/>
          <w:lang w:val="es-419" w:eastAsia="es-ES"/>
        </w:rPr>
        <w:t>SL</w:t>
      </w:r>
      <w:proofErr w:type="spellEnd"/>
      <w:r w:rsidRPr="000B1295">
        <w:rPr>
          <w:rFonts w:ascii="Arial" w:eastAsia="Times New Roman" w:hAnsi="Arial" w:cs="Arial"/>
          <w:sz w:val="20"/>
          <w:szCs w:val="20"/>
          <w:lang w:val="es-419" w:eastAsia="es-ES"/>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r>
        <w:rPr>
          <w:rFonts w:ascii="Arial" w:eastAsia="Times New Roman" w:hAnsi="Arial" w:cs="Arial"/>
          <w:sz w:val="20"/>
          <w:szCs w:val="20"/>
          <w:lang w:val="es-419" w:eastAsia="es-ES"/>
        </w:rPr>
        <w:t>.</w:t>
      </w:r>
    </w:p>
    <w:p w14:paraId="708F70C4"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p>
    <w:p w14:paraId="49E605BD" w14:textId="77777777" w:rsidR="000B1295" w:rsidRDefault="000B1295" w:rsidP="000B1295">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18770B4A"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xml:space="preserve">… los formularios de afiliación a lo sumo acreditan un consentimiento, pero no informado, tal como se expresa a continuación: “… La Sala considera desacertada esta tesis, en la medida que la firma del formulario, al igual que las afirmaciones consignadas en los formatos </w:t>
      </w:r>
      <w:proofErr w:type="spellStart"/>
      <w:r w:rsidRPr="00EA711B">
        <w:rPr>
          <w:rFonts w:ascii="Arial" w:eastAsia="Times New Roman" w:hAnsi="Arial" w:cs="Arial"/>
          <w:sz w:val="20"/>
          <w:szCs w:val="20"/>
          <w:lang w:val="es-419" w:eastAsia="es-ES"/>
        </w:rPr>
        <w:t>preimpresos</w:t>
      </w:r>
      <w:proofErr w:type="spellEnd"/>
      <w:r w:rsidRPr="00EA711B">
        <w:rPr>
          <w:rFonts w:ascii="Arial" w:eastAsia="Times New Roman" w:hAnsi="Arial" w:cs="Arial"/>
          <w:sz w:val="20"/>
          <w:szCs w:val="20"/>
          <w:lang w:val="es-419" w:eastAsia="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29F8D161" w14:textId="77777777" w:rsidR="000B1295" w:rsidRPr="00EA711B" w:rsidRDefault="000B1295" w:rsidP="000B1295">
      <w:pPr>
        <w:spacing w:before="0" w:beforeAutospacing="0" w:after="0" w:afterAutospacing="0" w:line="240" w:lineRule="auto"/>
        <w:ind w:firstLine="0"/>
        <w:rPr>
          <w:rFonts w:ascii="Arial" w:eastAsia="Times New Roman" w:hAnsi="Arial" w:cs="Arial"/>
          <w:sz w:val="20"/>
          <w:szCs w:val="20"/>
          <w:lang w:val="es-419" w:eastAsia="es-ES"/>
        </w:rPr>
      </w:pPr>
    </w:p>
    <w:p w14:paraId="49853241" w14:textId="77777777" w:rsidR="000B1295" w:rsidRPr="00A070DD" w:rsidRDefault="000B1295" w:rsidP="000B1295">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15E5D469" w14:textId="77777777" w:rsidR="000B1295" w:rsidRPr="00A070DD" w:rsidRDefault="000B1295" w:rsidP="000B1295">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34C2BA0E" w14:textId="4623F736" w:rsidR="00DF4955" w:rsidRPr="00DF4955" w:rsidRDefault="00DF4955" w:rsidP="00EA70A2">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F4955">
        <w:rPr>
          <w:rFonts w:ascii="Arial" w:eastAsia="Times New Roman" w:hAnsi="Arial" w:cs="Arial"/>
          <w:sz w:val="20"/>
          <w:szCs w:val="18"/>
          <w:lang w:val="es-ES" w:eastAsia="es-ES"/>
        </w:rPr>
        <w:t>Radicación No.</w:t>
      </w:r>
      <w:r w:rsidRPr="00DF4955">
        <w:rPr>
          <w:rFonts w:ascii="Arial" w:eastAsia="Times New Roman" w:hAnsi="Arial" w:cs="Arial"/>
          <w:sz w:val="20"/>
          <w:szCs w:val="18"/>
          <w:lang w:val="es-ES" w:eastAsia="es-ES"/>
        </w:rPr>
        <w:tab/>
      </w:r>
      <w:r w:rsidRPr="00DF4955">
        <w:rPr>
          <w:rFonts w:ascii="Arial" w:eastAsia="Times New Roman" w:hAnsi="Arial" w:cs="Arial"/>
          <w:sz w:val="20"/>
          <w:szCs w:val="18"/>
          <w:lang w:val="es-ES" w:eastAsia="es-ES"/>
        </w:rPr>
        <w:tab/>
        <w:t>66001310500220210007701</w:t>
      </w:r>
    </w:p>
    <w:p w14:paraId="2D687471" w14:textId="39CCAFF6" w:rsidR="00DF4955" w:rsidRPr="00DF4955" w:rsidRDefault="00DF4955" w:rsidP="00EA70A2">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F4955">
        <w:rPr>
          <w:rFonts w:ascii="Arial" w:eastAsia="Times New Roman" w:hAnsi="Arial" w:cs="Arial"/>
          <w:sz w:val="20"/>
          <w:szCs w:val="18"/>
          <w:lang w:val="es-ES" w:eastAsia="es-ES"/>
        </w:rPr>
        <w:t>Proceso:</w:t>
      </w:r>
      <w:r w:rsidRPr="00DF4955">
        <w:rPr>
          <w:rFonts w:ascii="Arial" w:eastAsia="Times New Roman" w:hAnsi="Arial" w:cs="Arial"/>
          <w:sz w:val="20"/>
          <w:szCs w:val="18"/>
          <w:lang w:val="es-ES" w:eastAsia="es-ES"/>
        </w:rPr>
        <w:tab/>
      </w:r>
      <w:r w:rsidRPr="00DF4955">
        <w:rPr>
          <w:rFonts w:ascii="Arial" w:eastAsia="Times New Roman" w:hAnsi="Arial" w:cs="Arial"/>
          <w:sz w:val="20"/>
          <w:szCs w:val="18"/>
          <w:lang w:val="es-ES" w:eastAsia="es-ES"/>
        </w:rPr>
        <w:tab/>
        <w:t>Ordinario Laboral</w:t>
      </w:r>
    </w:p>
    <w:p w14:paraId="1B47E639" w14:textId="77777777" w:rsidR="00DF4955" w:rsidRPr="00DF4955" w:rsidRDefault="00DF4955" w:rsidP="00EA70A2">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F4955">
        <w:rPr>
          <w:rFonts w:ascii="Arial" w:eastAsia="Times New Roman" w:hAnsi="Arial" w:cs="Arial"/>
          <w:sz w:val="20"/>
          <w:szCs w:val="18"/>
          <w:lang w:val="es-ES" w:eastAsia="es-ES"/>
        </w:rPr>
        <w:t>Demandante:</w:t>
      </w:r>
      <w:r w:rsidRPr="00DF4955">
        <w:rPr>
          <w:rFonts w:ascii="Arial" w:eastAsia="Times New Roman" w:hAnsi="Arial" w:cs="Arial"/>
          <w:sz w:val="20"/>
          <w:szCs w:val="18"/>
          <w:lang w:val="es-ES" w:eastAsia="es-ES"/>
        </w:rPr>
        <w:tab/>
      </w:r>
      <w:r w:rsidRPr="00DF4955">
        <w:rPr>
          <w:rFonts w:ascii="Arial" w:eastAsia="Times New Roman" w:hAnsi="Arial" w:cs="Arial"/>
          <w:sz w:val="20"/>
          <w:szCs w:val="18"/>
          <w:lang w:val="es-ES" w:eastAsia="es-ES"/>
        </w:rPr>
        <w:tab/>
        <w:t>Rosalba Vargas</w:t>
      </w:r>
    </w:p>
    <w:p w14:paraId="3057E403" w14:textId="77777777" w:rsidR="00DF4955" w:rsidRPr="00DF4955" w:rsidRDefault="00DF4955" w:rsidP="00EA70A2">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r w:rsidRPr="00DF4955">
        <w:rPr>
          <w:rFonts w:ascii="Arial" w:eastAsia="Times New Roman" w:hAnsi="Arial" w:cs="Arial"/>
          <w:sz w:val="20"/>
          <w:szCs w:val="18"/>
          <w:lang w:val="es-ES" w:eastAsia="es-ES"/>
        </w:rPr>
        <w:t>Demandados:</w:t>
      </w:r>
      <w:r w:rsidRPr="00DF4955">
        <w:rPr>
          <w:rFonts w:ascii="Arial" w:eastAsia="Times New Roman" w:hAnsi="Arial" w:cs="Arial"/>
          <w:sz w:val="20"/>
          <w:szCs w:val="18"/>
          <w:lang w:val="es-ES" w:eastAsia="es-ES"/>
        </w:rPr>
        <w:tab/>
      </w:r>
      <w:r w:rsidRPr="00DF4955">
        <w:rPr>
          <w:rFonts w:ascii="Arial" w:eastAsia="Times New Roman" w:hAnsi="Arial" w:cs="Arial"/>
          <w:sz w:val="20"/>
          <w:szCs w:val="18"/>
          <w:lang w:val="es-ES" w:eastAsia="es-ES"/>
        </w:rPr>
        <w:tab/>
        <w:t>Colpensiones y Porvenir S.A.</w:t>
      </w:r>
    </w:p>
    <w:p w14:paraId="4E2E2BF9" w14:textId="36D30F9F" w:rsidR="00DF4955" w:rsidRPr="00B928B6" w:rsidRDefault="00DF4955" w:rsidP="00EA70A2">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eastAsia="es-ES"/>
        </w:rPr>
      </w:pPr>
      <w:r w:rsidRPr="00DF4955">
        <w:rPr>
          <w:rFonts w:ascii="Arial" w:eastAsia="Times New Roman" w:hAnsi="Arial" w:cs="Arial"/>
          <w:sz w:val="20"/>
          <w:szCs w:val="18"/>
          <w:lang w:val="es-ES" w:eastAsia="es-ES"/>
        </w:rPr>
        <w:t>Juzgado:</w:t>
      </w:r>
      <w:r w:rsidRPr="00DF4955">
        <w:rPr>
          <w:rFonts w:ascii="Arial" w:eastAsia="Times New Roman" w:hAnsi="Arial" w:cs="Arial"/>
          <w:sz w:val="20"/>
          <w:szCs w:val="18"/>
          <w:lang w:val="es-ES" w:eastAsia="es-ES"/>
        </w:rPr>
        <w:tab/>
      </w:r>
      <w:r w:rsidRPr="00DF4955">
        <w:rPr>
          <w:rFonts w:ascii="Arial" w:eastAsia="Times New Roman" w:hAnsi="Arial" w:cs="Arial"/>
          <w:sz w:val="20"/>
          <w:szCs w:val="18"/>
          <w:lang w:val="es-ES" w:eastAsia="es-ES"/>
        </w:rPr>
        <w:tab/>
        <w:t>Segundo Laboral del Circuito de Pereira</w:t>
      </w:r>
    </w:p>
    <w:p w14:paraId="5C59D5CF" w14:textId="77777777" w:rsidR="00DF4955" w:rsidRPr="00B928B6" w:rsidRDefault="00DF4955" w:rsidP="00DF4955">
      <w:pPr>
        <w:widowControl w:val="0"/>
        <w:autoSpaceDE w:val="0"/>
        <w:autoSpaceDN w:val="0"/>
        <w:adjustRightInd w:val="0"/>
        <w:spacing w:before="0" w:beforeAutospacing="0" w:after="0" w:afterAutospacing="0" w:line="240" w:lineRule="auto"/>
        <w:ind w:firstLine="0"/>
        <w:rPr>
          <w:rFonts w:ascii="Arial" w:eastAsia="Times New Roman" w:hAnsi="Arial" w:cs="Arial"/>
          <w:sz w:val="20"/>
          <w:szCs w:val="18"/>
          <w:lang w:val="es-ES" w:eastAsia="es-ES"/>
        </w:rPr>
      </w:pPr>
    </w:p>
    <w:bookmarkEnd w:id="0"/>
    <w:p w14:paraId="7D6C44AE" w14:textId="77777777" w:rsidR="00DF4955" w:rsidRPr="00B928B6" w:rsidRDefault="00DF4955" w:rsidP="00DF4955">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3D93C949" w14:textId="77777777" w:rsidR="00DF4955" w:rsidRPr="00B928B6" w:rsidRDefault="00DF4955" w:rsidP="00DF4955">
      <w:pPr>
        <w:widowControl w:val="0"/>
        <w:autoSpaceDE w:val="0"/>
        <w:autoSpaceDN w:val="0"/>
        <w:adjustRightInd w:val="0"/>
        <w:spacing w:before="0" w:beforeAutospacing="0" w:after="0" w:afterAutospacing="0" w:line="240" w:lineRule="auto"/>
        <w:ind w:firstLine="0"/>
        <w:rPr>
          <w:rFonts w:ascii="Arial" w:eastAsia="Times New Roman" w:hAnsi="Arial" w:cs="Arial"/>
          <w:bCs/>
          <w:sz w:val="20"/>
          <w:szCs w:val="18"/>
          <w:lang w:val="es-ES" w:eastAsia="es-ES"/>
        </w:rPr>
      </w:pPr>
    </w:p>
    <w:p w14:paraId="699DDBF2" w14:textId="77777777" w:rsidR="00DF4955" w:rsidRPr="00B928B6" w:rsidRDefault="00DF4955" w:rsidP="00DF4955">
      <w:pPr>
        <w:spacing w:before="0" w:beforeAutospacing="0" w:after="0" w:afterAutospacing="0" w:line="276" w:lineRule="auto"/>
        <w:ind w:firstLine="0"/>
        <w:jc w:val="center"/>
        <w:rPr>
          <w:rFonts w:ascii="Tahoma" w:eastAsia="Calibri" w:hAnsi="Tahoma" w:cs="Tahoma"/>
          <w:b/>
          <w:bCs/>
        </w:rPr>
      </w:pPr>
      <w:r w:rsidRPr="00B928B6">
        <w:rPr>
          <w:rFonts w:ascii="Tahoma" w:eastAsia="Calibri" w:hAnsi="Tahoma" w:cs="Tahoma"/>
          <w:b/>
          <w:bCs/>
        </w:rPr>
        <w:t>TRIBUNAL SUPERIOR DEL DISTRITO JUDICIAL DE PEREIRA</w:t>
      </w:r>
    </w:p>
    <w:p w14:paraId="680BB85D" w14:textId="77777777" w:rsidR="00DF4955" w:rsidRPr="00B928B6" w:rsidRDefault="00DF4955" w:rsidP="00DF4955">
      <w:pPr>
        <w:spacing w:before="0" w:beforeAutospacing="0" w:after="0" w:afterAutospacing="0" w:line="276" w:lineRule="auto"/>
        <w:ind w:firstLine="0"/>
        <w:jc w:val="center"/>
        <w:rPr>
          <w:rFonts w:ascii="Tahoma" w:eastAsia="Calibri" w:hAnsi="Tahoma" w:cs="Tahoma"/>
          <w:b/>
          <w:bCs/>
        </w:rPr>
      </w:pPr>
      <w:r w:rsidRPr="00B928B6">
        <w:rPr>
          <w:rFonts w:ascii="Tahoma" w:eastAsia="Calibri" w:hAnsi="Tahoma" w:cs="Tahoma"/>
          <w:b/>
          <w:bCs/>
        </w:rPr>
        <w:t>SALA DE DECISIÓN LABORAL No. 1</w:t>
      </w:r>
    </w:p>
    <w:p w14:paraId="24ACC5BE" w14:textId="77777777" w:rsidR="00DF4955" w:rsidRPr="00B928B6" w:rsidRDefault="00DF4955" w:rsidP="00DF4955">
      <w:pPr>
        <w:spacing w:before="0" w:beforeAutospacing="0" w:after="0" w:afterAutospacing="0" w:line="276" w:lineRule="auto"/>
        <w:ind w:firstLine="0"/>
        <w:jc w:val="left"/>
        <w:rPr>
          <w:rFonts w:ascii="Tahoma" w:eastAsia="Times New Roman" w:hAnsi="Tahoma" w:cs="Tahoma"/>
        </w:rPr>
      </w:pPr>
    </w:p>
    <w:p w14:paraId="132ACA77" w14:textId="77777777" w:rsidR="00DF4955" w:rsidRPr="00B928B6" w:rsidRDefault="00DF4955" w:rsidP="00DF4955">
      <w:pPr>
        <w:spacing w:before="0" w:beforeAutospacing="0" w:after="0" w:afterAutospacing="0" w:line="276" w:lineRule="auto"/>
        <w:ind w:firstLine="0"/>
        <w:jc w:val="center"/>
        <w:textAlignment w:val="baseline"/>
        <w:rPr>
          <w:rFonts w:ascii="Tahoma" w:eastAsia="Times New Roman" w:hAnsi="Tahoma" w:cs="Tahoma"/>
          <w:lang w:eastAsia="es-CO"/>
        </w:rPr>
      </w:pPr>
      <w:r w:rsidRPr="00B928B6">
        <w:rPr>
          <w:rFonts w:ascii="Tahoma" w:eastAsia="Times New Roman" w:hAnsi="Tahoma" w:cs="Tahoma"/>
          <w:lang w:eastAsia="es-CO"/>
        </w:rPr>
        <w:t>Magistrada Ponente: </w:t>
      </w:r>
      <w:r w:rsidRPr="00B928B6">
        <w:rPr>
          <w:rFonts w:ascii="Tahoma" w:eastAsia="Times New Roman" w:hAnsi="Tahoma" w:cs="Tahoma"/>
          <w:b/>
          <w:bCs/>
          <w:lang w:eastAsia="es-CO"/>
        </w:rPr>
        <w:t>Ana Lucía Caicedo Calderón</w:t>
      </w:r>
      <w:r w:rsidRPr="00B928B6">
        <w:rPr>
          <w:rFonts w:ascii="Tahoma" w:eastAsia="Times New Roman" w:hAnsi="Tahoma" w:cs="Tahoma"/>
          <w:lang w:eastAsia="es-CO"/>
        </w:rPr>
        <w:t> </w:t>
      </w:r>
    </w:p>
    <w:p w14:paraId="6BA5F2CC" w14:textId="77777777" w:rsidR="00DF4955" w:rsidRPr="00B928B6" w:rsidRDefault="00DF4955" w:rsidP="00EA70A2">
      <w:pPr>
        <w:spacing w:before="0" w:beforeAutospacing="0" w:after="0" w:afterAutospacing="0" w:line="276" w:lineRule="auto"/>
        <w:ind w:firstLine="0"/>
        <w:rPr>
          <w:rFonts w:ascii="Tahoma" w:eastAsia="Times New Roman" w:hAnsi="Tahoma" w:cs="Tahoma"/>
          <w:lang w:eastAsia="es-CO"/>
        </w:rPr>
      </w:pPr>
    </w:p>
    <w:p w14:paraId="58606575" w14:textId="77777777" w:rsidR="00DF4955" w:rsidRPr="00B928B6" w:rsidRDefault="00DF4955" w:rsidP="00EA70A2">
      <w:pPr>
        <w:spacing w:before="0" w:beforeAutospacing="0" w:after="0" w:afterAutospacing="0" w:line="276" w:lineRule="auto"/>
        <w:ind w:firstLine="0"/>
        <w:textAlignment w:val="baseline"/>
        <w:rPr>
          <w:rFonts w:ascii="Tahoma" w:hAnsi="Tahoma" w:cs="Tahoma"/>
          <w:lang w:eastAsia="es-CO"/>
        </w:rPr>
      </w:pPr>
    </w:p>
    <w:p w14:paraId="22B18D46" w14:textId="77777777" w:rsidR="000C3BBD" w:rsidRPr="00EA70A2" w:rsidRDefault="000C3BBD" w:rsidP="00EA70A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bookmarkStart w:id="2" w:name="_Hlk89346566"/>
      <w:bookmarkEnd w:id="1"/>
      <w:r w:rsidRPr="00EA70A2">
        <w:rPr>
          <w:rFonts w:ascii="Tahoma" w:eastAsia="Times New Roman" w:hAnsi="Tahoma" w:cs="Tahoma"/>
          <w:lang w:val="es-ES" w:eastAsia="es-CO"/>
        </w:rPr>
        <w:t>Pereira, Risaralda, veintitrés (23) de octubre de dos mil veintitrés (2023) </w:t>
      </w:r>
      <w:r w:rsidRPr="00EA70A2">
        <w:rPr>
          <w:rFonts w:ascii="Tahoma" w:eastAsia="Times New Roman" w:hAnsi="Tahoma" w:cs="Tahoma"/>
          <w:lang w:eastAsia="es-CO"/>
        </w:rPr>
        <w:t> </w:t>
      </w:r>
    </w:p>
    <w:p w14:paraId="108574B3" w14:textId="58E289F7" w:rsidR="000C3BBD" w:rsidRPr="00EA70A2" w:rsidRDefault="000C3BBD" w:rsidP="00EA70A2">
      <w:pPr>
        <w:spacing w:before="0" w:beforeAutospacing="0" w:after="0" w:afterAutospacing="0" w:line="276" w:lineRule="auto"/>
        <w:ind w:right="49" w:firstLine="0"/>
        <w:contextualSpacing/>
        <w:jc w:val="center"/>
        <w:textAlignment w:val="baseline"/>
        <w:rPr>
          <w:rFonts w:ascii="Tahoma" w:eastAsia="Times New Roman" w:hAnsi="Tahoma" w:cs="Tahoma"/>
          <w:lang w:val="es-ES" w:eastAsia="es-CO"/>
        </w:rPr>
      </w:pPr>
      <w:r w:rsidRPr="00EA70A2">
        <w:rPr>
          <w:rFonts w:ascii="Tahoma" w:eastAsia="Times New Roman" w:hAnsi="Tahoma" w:cs="Tahoma"/>
          <w:lang w:val="es-ES" w:eastAsia="es-CO"/>
        </w:rPr>
        <w:t>Acta No. </w:t>
      </w:r>
      <w:r w:rsidR="24BAE7B2" w:rsidRPr="00EA70A2">
        <w:rPr>
          <w:rFonts w:ascii="Tahoma" w:eastAsia="Times New Roman" w:hAnsi="Tahoma" w:cs="Tahoma"/>
          <w:lang w:val="es-ES" w:eastAsia="es-CO"/>
        </w:rPr>
        <w:t>166</w:t>
      </w:r>
      <w:r w:rsidRPr="00EA70A2">
        <w:rPr>
          <w:rFonts w:ascii="Tahoma" w:eastAsia="Times New Roman" w:hAnsi="Tahoma" w:cs="Tahoma"/>
          <w:lang w:val="es-ES" w:eastAsia="es-CO"/>
        </w:rPr>
        <w:t xml:space="preserve"> del 19 de octubre de 2023</w:t>
      </w:r>
    </w:p>
    <w:p w14:paraId="7F93CA89" w14:textId="77777777" w:rsidR="00B03336" w:rsidRPr="00EA70A2" w:rsidRDefault="00B03336" w:rsidP="00EA70A2">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2"/>
    <w:p w14:paraId="63CDEB65" w14:textId="471BF0F8" w:rsidR="00B03336" w:rsidRPr="00EA70A2" w:rsidRDefault="00B03336" w:rsidP="00EA70A2">
      <w:pPr>
        <w:spacing w:before="0" w:beforeAutospacing="0" w:after="0" w:afterAutospacing="0" w:line="276" w:lineRule="auto"/>
        <w:ind w:firstLine="708"/>
        <w:contextualSpacing/>
        <w:rPr>
          <w:rFonts w:ascii="Tahoma" w:hAnsi="Tahoma" w:cs="Tahoma"/>
          <w:b/>
          <w:bCs/>
        </w:rPr>
      </w:pPr>
      <w:r w:rsidRPr="00EA70A2">
        <w:rPr>
          <w:rFonts w:ascii="Tahoma" w:hAnsi="Tahoma" w:cs="Tahoma"/>
          <w:lang w:val="es-ES"/>
        </w:rPr>
        <w:lastRenderedPageBreak/>
        <w:t>Teniendo en cuenta que el artículo 13 de la Ley 2213 del 13 de junio de 2022</w:t>
      </w:r>
      <w:r w:rsidRPr="00EA70A2">
        <w:rPr>
          <w:rFonts w:ascii="Tahoma" w:hAnsi="Tahoma" w:cs="Tahoma"/>
        </w:rPr>
        <w:t xml:space="preserve">, estableció que en la especialidad laboral se proferirán por escrito las providencias de segunda instancia en las que se surta el grado jurisdiccional de consulta o se resuelva el recurso de apelación de autos o sentencias, la Sala de Decisión Laboral del Tribunal Superior de Pereira, integrada por las Magistradas ANA LUCÍA CAICEDO CALDERÓN, como ponente, y OLGA LUCÍA HOYOS SEPÚLVEDA, y el Magistrado GERMÁN </w:t>
      </w:r>
      <w:r w:rsidR="004A5273" w:rsidRPr="00EA70A2">
        <w:rPr>
          <w:rFonts w:ascii="Tahoma" w:hAnsi="Tahoma" w:cs="Tahoma"/>
        </w:rPr>
        <w:t>DARÍO</w:t>
      </w:r>
      <w:r w:rsidRPr="00EA70A2">
        <w:rPr>
          <w:rFonts w:ascii="Tahoma" w:hAnsi="Tahoma" w:cs="Tahoma"/>
        </w:rPr>
        <w:t xml:space="preserve"> </w:t>
      </w:r>
      <w:proofErr w:type="spellStart"/>
      <w:r w:rsidRPr="00EA70A2">
        <w:rPr>
          <w:rFonts w:ascii="Tahoma" w:hAnsi="Tahoma" w:cs="Tahoma"/>
        </w:rPr>
        <w:t>GOEZ</w:t>
      </w:r>
      <w:proofErr w:type="spellEnd"/>
      <w:r w:rsidRPr="00EA70A2">
        <w:rPr>
          <w:rFonts w:ascii="Tahoma" w:hAnsi="Tahoma" w:cs="Tahoma"/>
        </w:rPr>
        <w:t xml:space="preserve"> </w:t>
      </w:r>
      <w:proofErr w:type="spellStart"/>
      <w:r w:rsidRPr="00EA70A2">
        <w:rPr>
          <w:rFonts w:ascii="Tahoma" w:hAnsi="Tahoma" w:cs="Tahoma"/>
        </w:rPr>
        <w:t>VINASCO</w:t>
      </w:r>
      <w:proofErr w:type="spellEnd"/>
      <w:r w:rsidRPr="00EA70A2">
        <w:rPr>
          <w:rFonts w:ascii="Tahoma" w:hAnsi="Tahoma" w:cs="Tahoma"/>
        </w:rPr>
        <w:t xml:space="preserve">, procede a proferir la siguiente sentencia escrita dentro del proceso </w:t>
      </w:r>
      <w:r w:rsidRPr="00EA70A2">
        <w:rPr>
          <w:rFonts w:ascii="Tahoma" w:hAnsi="Tahoma" w:cs="Tahoma"/>
          <w:b/>
        </w:rPr>
        <w:t>ordinario laboral</w:t>
      </w:r>
      <w:r w:rsidRPr="00EA70A2">
        <w:rPr>
          <w:rFonts w:ascii="Tahoma" w:hAnsi="Tahoma" w:cs="Tahoma"/>
        </w:rPr>
        <w:t xml:space="preserve"> instaurado por </w:t>
      </w:r>
      <w:bookmarkStart w:id="3" w:name="_Hlk136510132"/>
      <w:r w:rsidR="003139EC" w:rsidRPr="00EA70A2">
        <w:rPr>
          <w:rFonts w:ascii="Tahoma" w:hAnsi="Tahoma" w:cs="Tahoma"/>
          <w:b/>
          <w:bCs/>
        </w:rPr>
        <w:t xml:space="preserve">Rosalba Vargas </w:t>
      </w:r>
      <w:r w:rsidRPr="00EA70A2">
        <w:rPr>
          <w:rFonts w:ascii="Tahoma" w:hAnsi="Tahoma" w:cs="Tahoma"/>
        </w:rPr>
        <w:t xml:space="preserve">en contra de </w:t>
      </w:r>
      <w:r w:rsidRPr="00EA70A2">
        <w:rPr>
          <w:rFonts w:ascii="Tahoma" w:hAnsi="Tahoma" w:cs="Tahoma"/>
          <w:b/>
          <w:bCs/>
        </w:rPr>
        <w:t xml:space="preserve">la Administradora Colombiana de Pensiones – </w:t>
      </w:r>
      <w:r w:rsidR="00EA70A2" w:rsidRPr="00EA70A2">
        <w:rPr>
          <w:rFonts w:ascii="Tahoma" w:hAnsi="Tahoma" w:cs="Tahoma"/>
          <w:b/>
          <w:bCs/>
        </w:rPr>
        <w:t xml:space="preserve">COLPENSIONES </w:t>
      </w:r>
      <w:r w:rsidR="003139EC" w:rsidRPr="00EA70A2">
        <w:rPr>
          <w:rFonts w:ascii="Tahoma" w:hAnsi="Tahoma" w:cs="Tahoma"/>
        </w:rPr>
        <w:t>y</w:t>
      </w:r>
      <w:r w:rsidRPr="00EA70A2">
        <w:rPr>
          <w:rFonts w:ascii="Tahoma" w:hAnsi="Tahoma" w:cs="Tahoma"/>
          <w:b/>
          <w:bCs/>
        </w:rPr>
        <w:t xml:space="preserve"> </w:t>
      </w:r>
      <w:bookmarkEnd w:id="3"/>
      <w:r w:rsidRPr="00EA70A2">
        <w:rPr>
          <w:rFonts w:ascii="Tahoma" w:hAnsi="Tahoma" w:cs="Tahoma"/>
          <w:b/>
          <w:bCs/>
        </w:rPr>
        <w:t xml:space="preserve">la Administradora de Fondos de Pensiones y Cesantías </w:t>
      </w:r>
      <w:r w:rsidR="00EA70A2" w:rsidRPr="00EA70A2">
        <w:rPr>
          <w:rFonts w:ascii="Tahoma" w:hAnsi="Tahoma" w:cs="Tahoma"/>
          <w:b/>
          <w:bCs/>
        </w:rPr>
        <w:t xml:space="preserve">PORVENIR </w:t>
      </w:r>
      <w:r w:rsidRPr="00EA70A2">
        <w:rPr>
          <w:rFonts w:ascii="Tahoma" w:hAnsi="Tahoma" w:cs="Tahoma"/>
          <w:b/>
          <w:bCs/>
        </w:rPr>
        <w:t xml:space="preserve">S.A. </w:t>
      </w:r>
    </w:p>
    <w:p w14:paraId="5527078F" w14:textId="77777777" w:rsidR="00BD1CD8" w:rsidRPr="00EA70A2" w:rsidRDefault="00BD1CD8" w:rsidP="00EA70A2">
      <w:pPr>
        <w:spacing w:before="0" w:beforeAutospacing="0" w:after="0" w:afterAutospacing="0" w:line="276" w:lineRule="auto"/>
        <w:ind w:firstLine="708"/>
        <w:contextualSpacing/>
        <w:rPr>
          <w:rFonts w:ascii="Tahoma" w:hAnsi="Tahoma" w:cs="Tahoma"/>
          <w:b/>
          <w:bCs/>
        </w:rPr>
      </w:pPr>
    </w:p>
    <w:p w14:paraId="5559E1EC" w14:textId="77777777" w:rsidR="00BD1CD8" w:rsidRPr="00EA70A2" w:rsidRDefault="00BD1CD8" w:rsidP="00EA70A2">
      <w:pPr>
        <w:spacing w:before="0" w:beforeAutospacing="0" w:after="0" w:afterAutospacing="0" w:line="276" w:lineRule="auto"/>
        <w:ind w:firstLine="708"/>
        <w:contextualSpacing/>
        <w:jc w:val="center"/>
        <w:rPr>
          <w:rFonts w:ascii="Tahoma" w:hAnsi="Tahoma" w:cs="Tahoma"/>
          <w:b/>
          <w:bCs/>
        </w:rPr>
      </w:pPr>
      <w:r w:rsidRPr="00EA70A2">
        <w:rPr>
          <w:rFonts w:ascii="Tahoma" w:hAnsi="Tahoma" w:cs="Tahoma"/>
          <w:b/>
          <w:bCs/>
        </w:rPr>
        <w:t>AUTO</w:t>
      </w:r>
    </w:p>
    <w:p w14:paraId="743D06EE" w14:textId="77777777" w:rsidR="00BD1CD8" w:rsidRPr="00EA70A2" w:rsidRDefault="00BD1CD8" w:rsidP="00EA70A2">
      <w:pPr>
        <w:spacing w:before="0" w:beforeAutospacing="0" w:after="0" w:afterAutospacing="0" w:line="276" w:lineRule="auto"/>
        <w:ind w:firstLine="708"/>
        <w:contextualSpacing/>
        <w:jc w:val="center"/>
        <w:rPr>
          <w:rFonts w:ascii="Tahoma" w:hAnsi="Tahoma" w:cs="Tahoma"/>
          <w:b/>
          <w:bCs/>
        </w:rPr>
      </w:pPr>
    </w:p>
    <w:p w14:paraId="6DCC64D2" w14:textId="39176F2D" w:rsidR="009E0737" w:rsidRPr="00EA70A2" w:rsidRDefault="00EA70A2" w:rsidP="00EA70A2">
      <w:pPr>
        <w:spacing w:before="0" w:beforeAutospacing="0" w:after="0" w:afterAutospacing="0" w:line="276" w:lineRule="auto"/>
        <w:ind w:firstLine="708"/>
        <w:rPr>
          <w:rFonts w:ascii="Tahoma" w:eastAsia="Tahoma" w:hAnsi="Tahoma" w:cs="Tahoma"/>
          <w:b/>
          <w:bCs/>
          <w:color w:val="000000" w:themeColor="text1"/>
        </w:rPr>
      </w:pPr>
      <w:r>
        <w:rPr>
          <w:rFonts w:ascii="Tahoma" w:eastAsia="Tahoma" w:hAnsi="Tahoma" w:cs="Tahoma"/>
          <w:color w:val="000000" w:themeColor="text1"/>
        </w:rPr>
        <w:t>(…)</w:t>
      </w:r>
    </w:p>
    <w:p w14:paraId="01D3AA36" w14:textId="77777777" w:rsidR="007A76AD" w:rsidRPr="00EA70A2" w:rsidRDefault="007A76AD" w:rsidP="00EA70A2">
      <w:pPr>
        <w:spacing w:before="0" w:beforeAutospacing="0" w:after="0" w:afterAutospacing="0" w:line="276" w:lineRule="auto"/>
        <w:ind w:firstLine="0"/>
        <w:contextualSpacing/>
        <w:rPr>
          <w:rFonts w:ascii="Tahoma" w:hAnsi="Tahoma" w:cs="Tahoma"/>
          <w:b/>
          <w:bCs/>
        </w:rPr>
      </w:pPr>
    </w:p>
    <w:p w14:paraId="476F1D3F" w14:textId="77777777" w:rsidR="00B57918" w:rsidRPr="00EA70A2" w:rsidRDefault="00B57918" w:rsidP="00EA70A2">
      <w:pPr>
        <w:pStyle w:val="paragraph"/>
        <w:spacing w:before="0" w:beforeAutospacing="0" w:after="0" w:afterAutospacing="0" w:line="276" w:lineRule="auto"/>
        <w:jc w:val="center"/>
        <w:textAlignment w:val="baseline"/>
        <w:rPr>
          <w:rFonts w:ascii="Tahoma" w:hAnsi="Tahoma" w:cs="Tahoma"/>
          <w:b/>
        </w:rPr>
      </w:pPr>
      <w:r w:rsidRPr="00EA70A2">
        <w:rPr>
          <w:rStyle w:val="normaltextrun"/>
          <w:rFonts w:ascii="Tahoma" w:hAnsi="Tahoma" w:cs="Tahoma"/>
          <w:b/>
        </w:rPr>
        <w:t>PUNTO A TRATAR</w:t>
      </w:r>
    </w:p>
    <w:p w14:paraId="0CC1DE25" w14:textId="77777777" w:rsidR="00B57918" w:rsidRPr="00EA70A2" w:rsidRDefault="00B57918" w:rsidP="00EA70A2">
      <w:pPr>
        <w:spacing w:before="0" w:beforeAutospacing="0" w:after="0" w:afterAutospacing="0" w:line="276" w:lineRule="auto"/>
        <w:ind w:firstLine="708"/>
        <w:rPr>
          <w:rStyle w:val="normaltextrun"/>
          <w:rFonts w:ascii="Tahoma" w:hAnsi="Tahoma" w:cs="Tahoma"/>
        </w:rPr>
      </w:pPr>
    </w:p>
    <w:p w14:paraId="6D559AB6" w14:textId="6C7ACC42" w:rsidR="00B03336" w:rsidRPr="00EA70A2" w:rsidRDefault="00B57918" w:rsidP="00EA70A2">
      <w:pPr>
        <w:spacing w:before="0" w:beforeAutospacing="0" w:after="0" w:afterAutospacing="0" w:line="276" w:lineRule="auto"/>
        <w:ind w:firstLine="708"/>
        <w:rPr>
          <w:rFonts w:ascii="Tahoma" w:hAnsi="Tahoma" w:cs="Tahoma"/>
        </w:rPr>
      </w:pPr>
      <w:r w:rsidRPr="00EA70A2">
        <w:rPr>
          <w:rFonts w:ascii="Tahoma" w:hAnsi="Tahoma" w:cs="Tahoma"/>
        </w:rPr>
        <w:t xml:space="preserve">Por medio de esta providencia procede la Sala a resolver el grado jurisdiccional de consulta dispuesto en favor de Colpensiones, y </w:t>
      </w:r>
      <w:r w:rsidR="000C3BBD" w:rsidRPr="00EA70A2">
        <w:rPr>
          <w:rFonts w:ascii="Tahoma" w:hAnsi="Tahoma" w:cs="Tahoma"/>
        </w:rPr>
        <w:t xml:space="preserve">los recursos de apelación interpuestos por ambas demandadas </w:t>
      </w:r>
      <w:r w:rsidRPr="00EA70A2">
        <w:rPr>
          <w:rFonts w:ascii="Tahoma" w:hAnsi="Tahoma" w:cs="Tahoma"/>
        </w:rPr>
        <w:t xml:space="preserve">contra la sentencia proferida el </w:t>
      </w:r>
      <w:r w:rsidR="00DA6807" w:rsidRPr="00EA70A2">
        <w:rPr>
          <w:rFonts w:ascii="Tahoma" w:hAnsi="Tahoma" w:cs="Tahoma"/>
        </w:rPr>
        <w:t>23</w:t>
      </w:r>
      <w:r w:rsidRPr="00EA70A2">
        <w:rPr>
          <w:rFonts w:ascii="Tahoma" w:hAnsi="Tahoma" w:cs="Tahoma"/>
        </w:rPr>
        <w:t xml:space="preserve"> de mayo de 2023 por el </w:t>
      </w:r>
      <w:r w:rsidRPr="00EA70A2">
        <w:rPr>
          <w:rFonts w:ascii="Tahoma" w:hAnsi="Tahoma" w:cs="Tahoma"/>
          <w:lang w:val="es-ES_tradnl"/>
        </w:rPr>
        <w:t>Juzgado</w:t>
      </w:r>
      <w:r w:rsidRPr="00EA70A2">
        <w:rPr>
          <w:rFonts w:ascii="Tahoma" w:hAnsi="Tahoma" w:cs="Tahoma"/>
        </w:rPr>
        <w:t xml:space="preserve"> Segundo Laboral del Circuito de Pereira. Para ello se tiene en cuenta lo siguiente: </w:t>
      </w:r>
    </w:p>
    <w:p w14:paraId="5CB41D9F" w14:textId="7227F4D6" w:rsidR="00DA6807" w:rsidRPr="00EA70A2" w:rsidRDefault="00DA6807" w:rsidP="00EA70A2">
      <w:pPr>
        <w:spacing w:before="0" w:beforeAutospacing="0" w:after="0" w:afterAutospacing="0" w:line="276" w:lineRule="auto"/>
        <w:ind w:firstLine="0"/>
        <w:rPr>
          <w:rFonts w:ascii="Tahoma" w:hAnsi="Tahoma" w:cs="Tahoma"/>
        </w:rPr>
      </w:pPr>
    </w:p>
    <w:p w14:paraId="081D3A6C" w14:textId="77777777" w:rsidR="00B57918" w:rsidRPr="00EA70A2" w:rsidRDefault="00B57918" w:rsidP="00EA70A2">
      <w:pPr>
        <w:pStyle w:val="Prrafodelista"/>
        <w:numPr>
          <w:ilvl w:val="0"/>
          <w:numId w:val="1"/>
        </w:numPr>
        <w:spacing w:line="276" w:lineRule="auto"/>
        <w:ind w:left="426" w:hanging="426"/>
        <w:jc w:val="center"/>
        <w:rPr>
          <w:rFonts w:cs="Tahoma"/>
          <w:b/>
          <w:bCs/>
          <w:szCs w:val="24"/>
        </w:rPr>
      </w:pPr>
      <w:r w:rsidRPr="00EA70A2">
        <w:rPr>
          <w:rFonts w:cs="Tahoma"/>
          <w:b/>
          <w:bCs/>
          <w:szCs w:val="24"/>
        </w:rPr>
        <w:t>La Demanda y la contestación de la demanda</w:t>
      </w:r>
    </w:p>
    <w:p w14:paraId="6456EFEA" w14:textId="77777777" w:rsidR="00E47FAB" w:rsidRPr="00EA70A2" w:rsidRDefault="00E47FAB" w:rsidP="00EA70A2">
      <w:pPr>
        <w:spacing w:before="0" w:beforeAutospacing="0" w:after="0" w:afterAutospacing="0" w:line="276" w:lineRule="auto"/>
        <w:rPr>
          <w:rFonts w:ascii="Tahoma" w:hAnsi="Tahoma" w:cs="Tahoma"/>
        </w:rPr>
      </w:pPr>
    </w:p>
    <w:p w14:paraId="21FC2641" w14:textId="4C11A87B" w:rsidR="008142EF" w:rsidRPr="00EA70A2" w:rsidRDefault="00B57918" w:rsidP="00EA70A2">
      <w:pPr>
        <w:spacing w:before="0" w:beforeAutospacing="0" w:after="0" w:afterAutospacing="0" w:line="276" w:lineRule="auto"/>
        <w:rPr>
          <w:rFonts w:ascii="Tahoma" w:eastAsia="Times New Roman" w:hAnsi="Tahoma" w:cs="Tahoma"/>
          <w:lang w:val="es-ES" w:eastAsia="es-MX"/>
        </w:rPr>
      </w:pPr>
      <w:r w:rsidRPr="00EA70A2">
        <w:rPr>
          <w:rFonts w:ascii="Tahoma" w:hAnsi="Tahoma" w:cs="Tahoma"/>
        </w:rPr>
        <w:t xml:space="preserve">La demandante, busca </w:t>
      </w:r>
      <w:r w:rsidR="39455E82" w:rsidRPr="00EA70A2">
        <w:rPr>
          <w:rFonts w:ascii="Tahoma" w:hAnsi="Tahoma" w:cs="Tahoma"/>
        </w:rPr>
        <w:t xml:space="preserve">que </w:t>
      </w:r>
      <w:r w:rsidRPr="00EA70A2">
        <w:rPr>
          <w:rFonts w:ascii="Tahoma" w:hAnsi="Tahoma" w:cs="Tahoma"/>
        </w:rPr>
        <w:t xml:space="preserve">se declare la ineficacia del traslado </w:t>
      </w:r>
      <w:r w:rsidR="00E47FAB" w:rsidRPr="00EA70A2">
        <w:rPr>
          <w:rFonts w:ascii="Tahoma" w:hAnsi="Tahoma" w:cs="Tahoma"/>
        </w:rPr>
        <w:t xml:space="preserve">que realizó a la AFP Porvenir </w:t>
      </w:r>
      <w:proofErr w:type="spellStart"/>
      <w:r w:rsidR="00E47FAB" w:rsidRPr="00EA70A2">
        <w:rPr>
          <w:rFonts w:ascii="Tahoma" w:hAnsi="Tahoma" w:cs="Tahoma"/>
        </w:rPr>
        <w:t>S.A</w:t>
      </w:r>
      <w:proofErr w:type="spellEnd"/>
      <w:r w:rsidR="00613429" w:rsidRPr="00EA70A2">
        <w:rPr>
          <w:rFonts w:ascii="Tahoma" w:hAnsi="Tahoma" w:cs="Tahoma"/>
        </w:rPr>
        <w:t xml:space="preserve">, </w:t>
      </w:r>
      <w:r w:rsidR="00E47FAB" w:rsidRPr="00EA70A2">
        <w:rPr>
          <w:rFonts w:ascii="Tahoma" w:hAnsi="Tahoma" w:cs="Tahoma"/>
        </w:rPr>
        <w:t xml:space="preserve">a través de la cual se trasladó del régimen de prima media con prestación definida </w:t>
      </w:r>
      <w:r w:rsidR="00E47FAB" w:rsidRPr="00EA70A2">
        <w:rPr>
          <w:rFonts w:ascii="Tahoma" w:eastAsia="Times New Roman" w:hAnsi="Tahoma" w:cs="Tahoma"/>
          <w:lang w:val="es-ES" w:eastAsia="es-MX"/>
        </w:rPr>
        <w:t xml:space="preserve">(en adelante RPM) al régimen de ahorro individual con solidaridad (en adelante </w:t>
      </w:r>
      <w:proofErr w:type="spellStart"/>
      <w:r w:rsidR="00E47FAB" w:rsidRPr="00EA70A2">
        <w:rPr>
          <w:rFonts w:ascii="Tahoma" w:eastAsia="Times New Roman" w:hAnsi="Tahoma" w:cs="Tahoma"/>
          <w:lang w:val="es-ES" w:eastAsia="es-MX"/>
        </w:rPr>
        <w:t>RAIS</w:t>
      </w:r>
      <w:proofErr w:type="spellEnd"/>
      <w:r w:rsidR="00E47FAB" w:rsidRPr="00EA70A2">
        <w:rPr>
          <w:rFonts w:ascii="Tahoma" w:eastAsia="Times New Roman" w:hAnsi="Tahoma" w:cs="Tahoma"/>
          <w:lang w:val="es-ES" w:eastAsia="es-MX"/>
        </w:rPr>
        <w:t>)</w:t>
      </w:r>
      <w:r w:rsidR="008142EF" w:rsidRPr="00EA70A2">
        <w:rPr>
          <w:rFonts w:ascii="Tahoma" w:eastAsia="Times New Roman" w:hAnsi="Tahoma" w:cs="Tahoma"/>
          <w:lang w:val="es-ES" w:eastAsia="es-MX"/>
        </w:rPr>
        <w:t xml:space="preserve">, </w:t>
      </w:r>
      <w:r w:rsidR="00ED14F3" w:rsidRPr="00EA70A2">
        <w:rPr>
          <w:rFonts w:ascii="Tahoma" w:eastAsia="Times New Roman" w:hAnsi="Tahoma" w:cs="Tahoma"/>
          <w:lang w:val="es-ES" w:eastAsia="es-MX"/>
        </w:rPr>
        <w:t xml:space="preserve">y en consecuencia </w:t>
      </w:r>
      <w:r w:rsidR="00D8796C" w:rsidRPr="00EA70A2">
        <w:rPr>
          <w:rFonts w:ascii="Tahoma" w:eastAsia="Times New Roman" w:hAnsi="Tahoma" w:cs="Tahoma"/>
          <w:lang w:val="es-ES" w:eastAsia="es-MX"/>
        </w:rPr>
        <w:t xml:space="preserve">se condene a </w:t>
      </w:r>
      <w:r w:rsidR="008142EF" w:rsidRPr="00EA70A2">
        <w:rPr>
          <w:rFonts w:ascii="Tahoma" w:eastAsia="Times New Roman" w:hAnsi="Tahoma" w:cs="Tahoma"/>
          <w:lang w:val="es-ES" w:eastAsia="es-MX"/>
        </w:rPr>
        <w:t>la Administradora Colombiana de Pensiones-Colpensiones a recibirla como afiliada, y a Porvenir S.A. a trasladar sus cotizaciones realizadas al RPM, lo que se demuestre bajo las facultades ultra y extra petita y las costas procesales a su favor.</w:t>
      </w:r>
    </w:p>
    <w:p w14:paraId="614AF62E" w14:textId="77777777" w:rsidR="00433E6C" w:rsidRPr="00EA70A2" w:rsidRDefault="00433E6C" w:rsidP="00EA70A2">
      <w:pPr>
        <w:spacing w:before="0" w:beforeAutospacing="0" w:after="0" w:afterAutospacing="0" w:line="276" w:lineRule="auto"/>
        <w:ind w:firstLine="708"/>
        <w:rPr>
          <w:rFonts w:ascii="Tahoma" w:eastAsia="Times New Roman" w:hAnsi="Tahoma" w:cs="Tahoma"/>
          <w:lang w:val="es-ES" w:eastAsia="es-MX"/>
        </w:rPr>
      </w:pPr>
    </w:p>
    <w:p w14:paraId="0AC46A2F" w14:textId="3E790DC5" w:rsidR="009C12DC" w:rsidRPr="00EA70A2" w:rsidRDefault="000126F8" w:rsidP="00EA70A2">
      <w:pPr>
        <w:spacing w:before="0" w:beforeAutospacing="0" w:after="0" w:afterAutospacing="0" w:line="276" w:lineRule="auto"/>
        <w:ind w:firstLine="708"/>
        <w:rPr>
          <w:rFonts w:ascii="Tahoma" w:eastAsia="Times New Roman" w:hAnsi="Tahoma" w:cs="Tahoma"/>
          <w:lang w:val="es-ES" w:eastAsia="es-MX"/>
        </w:rPr>
      </w:pPr>
      <w:r w:rsidRPr="00EA70A2">
        <w:rPr>
          <w:rFonts w:ascii="Tahoma" w:eastAsia="Times New Roman" w:hAnsi="Tahoma" w:cs="Tahoma"/>
          <w:lang w:val="es-ES" w:eastAsia="es-MX"/>
        </w:rPr>
        <w:t>En sustento de lo pretendido</w:t>
      </w:r>
      <w:r w:rsidR="0035314C" w:rsidRPr="00EA70A2">
        <w:rPr>
          <w:rFonts w:ascii="Tahoma" w:eastAsia="Times New Roman" w:hAnsi="Tahoma" w:cs="Tahoma"/>
          <w:lang w:val="es-ES" w:eastAsia="es-MX"/>
        </w:rPr>
        <w:t>,</w:t>
      </w:r>
      <w:r w:rsidRPr="00EA70A2">
        <w:rPr>
          <w:rFonts w:ascii="Tahoma" w:eastAsia="Times New Roman" w:hAnsi="Tahoma" w:cs="Tahoma"/>
          <w:lang w:val="es-ES" w:eastAsia="es-MX"/>
        </w:rPr>
        <w:t xml:space="preserve"> señala que </w:t>
      </w:r>
      <w:r w:rsidR="0035314C" w:rsidRPr="00EA70A2">
        <w:rPr>
          <w:rFonts w:ascii="Tahoma" w:eastAsia="Times New Roman" w:hAnsi="Tahoma" w:cs="Tahoma"/>
          <w:lang w:val="es-ES" w:eastAsia="es-MX"/>
        </w:rPr>
        <w:t>nació el 3 de diciembre de 19</w:t>
      </w:r>
      <w:r w:rsidR="00855BD0" w:rsidRPr="00EA70A2">
        <w:rPr>
          <w:rFonts w:ascii="Tahoma" w:eastAsia="Times New Roman" w:hAnsi="Tahoma" w:cs="Tahoma"/>
          <w:lang w:val="es-ES" w:eastAsia="es-MX"/>
        </w:rPr>
        <w:t>53</w:t>
      </w:r>
      <w:r w:rsidR="0035314C" w:rsidRPr="00EA70A2">
        <w:rPr>
          <w:rFonts w:ascii="Tahoma" w:eastAsia="Times New Roman" w:hAnsi="Tahoma" w:cs="Tahoma"/>
          <w:lang w:val="es-ES" w:eastAsia="es-MX"/>
        </w:rPr>
        <w:t xml:space="preserve">; que </w:t>
      </w:r>
      <w:r w:rsidR="00855BD0" w:rsidRPr="00EA70A2">
        <w:rPr>
          <w:rFonts w:ascii="Tahoma" w:eastAsia="Times New Roman" w:hAnsi="Tahoma" w:cs="Tahoma"/>
          <w:lang w:val="es-ES" w:eastAsia="es-MX"/>
        </w:rPr>
        <w:t xml:space="preserve">estuvo afiliada </w:t>
      </w:r>
      <w:r w:rsidR="0035314C" w:rsidRPr="00EA70A2">
        <w:rPr>
          <w:rFonts w:ascii="Tahoma" w:eastAsia="Times New Roman" w:hAnsi="Tahoma" w:cs="Tahoma"/>
          <w:lang w:val="es-ES" w:eastAsia="es-MX"/>
        </w:rPr>
        <w:t xml:space="preserve">al RPM </w:t>
      </w:r>
      <w:r w:rsidR="00855BD0" w:rsidRPr="00EA70A2">
        <w:rPr>
          <w:rFonts w:ascii="Tahoma" w:eastAsia="Times New Roman" w:hAnsi="Tahoma" w:cs="Tahoma"/>
          <w:lang w:val="es-ES" w:eastAsia="es-MX"/>
        </w:rPr>
        <w:t xml:space="preserve">entre los años 1977 y 2000, anualidad en la que suscribió formulario de vinculación a </w:t>
      </w:r>
      <w:r w:rsidR="0054271E" w:rsidRPr="00EA70A2">
        <w:rPr>
          <w:rFonts w:ascii="Tahoma" w:eastAsia="Times New Roman" w:hAnsi="Tahoma" w:cs="Tahoma"/>
          <w:lang w:val="es-ES" w:eastAsia="es-MX"/>
        </w:rPr>
        <w:t>P</w:t>
      </w:r>
      <w:r w:rsidR="00855BD0" w:rsidRPr="00EA70A2">
        <w:rPr>
          <w:rFonts w:ascii="Tahoma" w:eastAsia="Times New Roman" w:hAnsi="Tahoma" w:cs="Tahoma"/>
          <w:lang w:val="es-ES" w:eastAsia="es-MX"/>
        </w:rPr>
        <w:t>orvenir, mismo que se hizo efectivo a partir del 1 de marzo de ese año</w:t>
      </w:r>
      <w:r w:rsidR="0054271E" w:rsidRPr="00EA70A2">
        <w:rPr>
          <w:rFonts w:ascii="Tahoma" w:eastAsia="Times New Roman" w:hAnsi="Tahoma" w:cs="Tahoma"/>
          <w:lang w:val="es-ES" w:eastAsia="es-MX"/>
        </w:rPr>
        <w:t>.</w:t>
      </w:r>
    </w:p>
    <w:p w14:paraId="61EEA313" w14:textId="77777777" w:rsidR="0054271E" w:rsidRPr="00EA70A2" w:rsidRDefault="0054271E" w:rsidP="00EA70A2">
      <w:pPr>
        <w:spacing w:before="0" w:beforeAutospacing="0" w:after="0" w:afterAutospacing="0" w:line="276" w:lineRule="auto"/>
        <w:ind w:firstLine="708"/>
        <w:rPr>
          <w:rFonts w:ascii="Tahoma" w:eastAsia="Times New Roman" w:hAnsi="Tahoma" w:cs="Tahoma"/>
          <w:lang w:val="es-ES" w:eastAsia="es-MX"/>
        </w:rPr>
      </w:pPr>
    </w:p>
    <w:p w14:paraId="73F82FF3" w14:textId="694E2C54" w:rsidR="0054271E" w:rsidRPr="00EA70A2" w:rsidRDefault="009C12DC" w:rsidP="00EA70A2">
      <w:pPr>
        <w:spacing w:before="0" w:beforeAutospacing="0" w:after="0" w:afterAutospacing="0" w:line="276" w:lineRule="auto"/>
        <w:ind w:firstLine="708"/>
        <w:rPr>
          <w:rFonts w:ascii="Tahoma" w:eastAsia="Times New Roman" w:hAnsi="Tahoma" w:cs="Tahoma"/>
          <w:lang w:val="es-ES" w:eastAsia="es-MX"/>
        </w:rPr>
      </w:pPr>
      <w:r w:rsidRPr="00EA70A2">
        <w:rPr>
          <w:rFonts w:ascii="Tahoma" w:eastAsia="Times New Roman" w:hAnsi="Tahoma" w:cs="Tahoma"/>
          <w:lang w:val="es-ES" w:eastAsia="es-MX"/>
        </w:rPr>
        <w:t xml:space="preserve">Manifiesta </w:t>
      </w:r>
      <w:r w:rsidR="0054271E" w:rsidRPr="00EA70A2">
        <w:rPr>
          <w:rFonts w:ascii="Tahoma" w:eastAsia="Times New Roman" w:hAnsi="Tahoma" w:cs="Tahoma"/>
          <w:lang w:val="es-ES" w:eastAsia="es-MX"/>
        </w:rPr>
        <w:t xml:space="preserve">que </w:t>
      </w:r>
      <w:r w:rsidR="00632737" w:rsidRPr="00EA70A2">
        <w:rPr>
          <w:rFonts w:ascii="Tahoma" w:eastAsia="Times New Roman" w:hAnsi="Tahoma" w:cs="Tahoma"/>
          <w:lang w:val="es-ES" w:eastAsia="es-MX"/>
        </w:rPr>
        <w:t xml:space="preserve">el traslado estuvo desprovisto de información suficiente e informada, al punto que </w:t>
      </w:r>
      <w:r w:rsidR="0054271E" w:rsidRPr="00EA70A2">
        <w:rPr>
          <w:rFonts w:ascii="Tahoma" w:eastAsia="Times New Roman" w:hAnsi="Tahoma" w:cs="Tahoma"/>
          <w:lang w:val="es-ES" w:eastAsia="es-MX"/>
        </w:rPr>
        <w:t>para el momento del traslado tenía 47</w:t>
      </w:r>
      <w:r w:rsidR="00785EE0" w:rsidRPr="00EA70A2">
        <w:rPr>
          <w:rFonts w:ascii="Tahoma" w:eastAsia="Times New Roman" w:hAnsi="Tahoma" w:cs="Tahoma"/>
          <w:lang w:val="es-ES" w:eastAsia="es-MX"/>
        </w:rPr>
        <w:t xml:space="preserve"> años de edad, por lo que la AFP debió informarle que se encontraba incursa en la prohibición consagrada en el literal e) </w:t>
      </w:r>
      <w:r w:rsidR="00632737" w:rsidRPr="00EA70A2">
        <w:rPr>
          <w:rFonts w:ascii="Tahoma" w:eastAsia="Times New Roman" w:hAnsi="Tahoma" w:cs="Tahoma"/>
          <w:lang w:val="es-ES" w:eastAsia="es-MX"/>
        </w:rPr>
        <w:t xml:space="preserve">del artículo 13 de la Ley 100 de 1993, además de las </w:t>
      </w:r>
      <w:r w:rsidR="00306740" w:rsidRPr="00EA70A2">
        <w:rPr>
          <w:rFonts w:ascii="Tahoma" w:eastAsia="Times New Roman" w:hAnsi="Tahoma" w:cs="Tahoma"/>
          <w:lang w:val="es-ES" w:eastAsia="es-MX"/>
        </w:rPr>
        <w:t xml:space="preserve">ventajas y desventajas que acarrearía el traslado de régimen pensional y las características y condiciones para acceder a </w:t>
      </w:r>
      <w:r w:rsidR="006E2D8F" w:rsidRPr="00EA70A2">
        <w:rPr>
          <w:rFonts w:ascii="Tahoma" w:eastAsia="Times New Roman" w:hAnsi="Tahoma" w:cs="Tahoma"/>
          <w:lang w:val="es-ES" w:eastAsia="es-MX"/>
        </w:rPr>
        <w:t>las prerrogativas</w:t>
      </w:r>
      <w:r w:rsidR="00306740" w:rsidRPr="00EA70A2">
        <w:rPr>
          <w:rFonts w:ascii="Tahoma" w:eastAsia="Times New Roman" w:hAnsi="Tahoma" w:cs="Tahoma"/>
          <w:lang w:val="es-ES" w:eastAsia="es-MX"/>
        </w:rPr>
        <w:t xml:space="preserve"> del </w:t>
      </w:r>
      <w:proofErr w:type="spellStart"/>
      <w:r w:rsidR="00306740" w:rsidRPr="00EA70A2">
        <w:rPr>
          <w:rFonts w:ascii="Tahoma" w:eastAsia="Times New Roman" w:hAnsi="Tahoma" w:cs="Tahoma"/>
          <w:lang w:val="es-ES" w:eastAsia="es-MX"/>
        </w:rPr>
        <w:t>RAIS</w:t>
      </w:r>
      <w:proofErr w:type="spellEnd"/>
      <w:r w:rsidR="00306740" w:rsidRPr="00EA70A2">
        <w:rPr>
          <w:rFonts w:ascii="Tahoma" w:eastAsia="Times New Roman" w:hAnsi="Tahoma" w:cs="Tahoma"/>
          <w:lang w:val="es-ES" w:eastAsia="es-MX"/>
        </w:rPr>
        <w:t xml:space="preserve">. </w:t>
      </w:r>
    </w:p>
    <w:p w14:paraId="40A7FE02" w14:textId="497C9248" w:rsidR="00144768" w:rsidRPr="00EA70A2" w:rsidRDefault="00144768" w:rsidP="00EA70A2">
      <w:pPr>
        <w:spacing w:before="0" w:beforeAutospacing="0" w:after="0" w:afterAutospacing="0" w:line="276" w:lineRule="auto"/>
        <w:ind w:firstLine="0"/>
        <w:rPr>
          <w:rFonts w:ascii="Tahoma" w:eastAsia="Times New Roman" w:hAnsi="Tahoma" w:cs="Tahoma"/>
          <w:lang w:val="es-ES" w:eastAsia="es-MX"/>
        </w:rPr>
      </w:pPr>
    </w:p>
    <w:p w14:paraId="04BD37C3" w14:textId="0FD02258" w:rsidR="006E2D8F" w:rsidRPr="00EA70A2" w:rsidRDefault="003E2FBA" w:rsidP="00EA70A2">
      <w:pPr>
        <w:spacing w:before="0" w:beforeAutospacing="0" w:after="0" w:afterAutospacing="0" w:line="276" w:lineRule="auto"/>
        <w:ind w:firstLine="708"/>
        <w:rPr>
          <w:rFonts w:ascii="Tahoma" w:eastAsia="Times New Roman" w:hAnsi="Tahoma" w:cs="Tahoma"/>
          <w:lang w:val="es-ES" w:eastAsia="es-MX"/>
        </w:rPr>
      </w:pPr>
      <w:r w:rsidRPr="00EA70A2">
        <w:rPr>
          <w:rFonts w:ascii="Tahoma" w:eastAsia="Times New Roman" w:hAnsi="Tahoma" w:cs="Tahoma"/>
          <w:lang w:val="es-ES" w:eastAsia="es-MX"/>
        </w:rPr>
        <w:lastRenderedPageBreak/>
        <w:t xml:space="preserve">Por último, </w:t>
      </w:r>
      <w:r w:rsidR="00174761" w:rsidRPr="00EA70A2">
        <w:rPr>
          <w:rFonts w:ascii="Tahoma" w:eastAsia="Times New Roman" w:hAnsi="Tahoma" w:cs="Tahoma"/>
          <w:lang w:val="es-ES" w:eastAsia="es-MX"/>
        </w:rPr>
        <w:t xml:space="preserve">expone que, el </w:t>
      </w:r>
      <w:r w:rsidR="006E2D8F" w:rsidRPr="00EA70A2">
        <w:rPr>
          <w:rFonts w:ascii="Tahoma" w:eastAsia="Times New Roman" w:hAnsi="Tahoma" w:cs="Tahoma"/>
          <w:lang w:val="es-ES" w:eastAsia="es-MX"/>
        </w:rPr>
        <w:t xml:space="preserve">6 de </w:t>
      </w:r>
      <w:r w:rsidR="006B70EA" w:rsidRPr="00EA70A2">
        <w:rPr>
          <w:rFonts w:ascii="Tahoma" w:eastAsia="Times New Roman" w:hAnsi="Tahoma" w:cs="Tahoma"/>
          <w:lang w:val="es-ES" w:eastAsia="es-MX"/>
        </w:rPr>
        <w:t xml:space="preserve">julio de 2009 elevó solicitud de traslado y reconocimiento pensional ante el </w:t>
      </w:r>
      <w:proofErr w:type="spellStart"/>
      <w:r w:rsidR="006B70EA" w:rsidRPr="00EA70A2">
        <w:rPr>
          <w:rFonts w:ascii="Tahoma" w:eastAsia="Times New Roman" w:hAnsi="Tahoma" w:cs="Tahoma"/>
          <w:lang w:val="es-ES" w:eastAsia="es-MX"/>
        </w:rPr>
        <w:t>ISS</w:t>
      </w:r>
      <w:proofErr w:type="spellEnd"/>
      <w:r w:rsidR="006B70EA" w:rsidRPr="00EA70A2">
        <w:rPr>
          <w:rFonts w:ascii="Tahoma" w:eastAsia="Times New Roman" w:hAnsi="Tahoma" w:cs="Tahoma"/>
          <w:lang w:val="es-ES" w:eastAsia="es-MX"/>
        </w:rPr>
        <w:t xml:space="preserve">, el </w:t>
      </w:r>
      <w:r w:rsidR="00691EF6" w:rsidRPr="00EA70A2">
        <w:rPr>
          <w:rFonts w:ascii="Tahoma" w:eastAsia="Times New Roman" w:hAnsi="Tahoma" w:cs="Tahoma"/>
          <w:lang w:val="es-ES" w:eastAsia="es-MX"/>
        </w:rPr>
        <w:t xml:space="preserve">1 de febrero de 2021 ante Colpensiones y pese a que el 27 de agosto de 2010 pretendió ante Porvenir el reconocimiento pensional, </w:t>
      </w:r>
      <w:r w:rsidR="00AC55A5" w:rsidRPr="00EA70A2">
        <w:rPr>
          <w:rFonts w:ascii="Tahoma" w:eastAsia="Times New Roman" w:hAnsi="Tahoma" w:cs="Tahoma"/>
          <w:lang w:val="es-ES" w:eastAsia="es-MX"/>
        </w:rPr>
        <w:t>el 29 de marzo de 2011 desistió de la solicitud.</w:t>
      </w:r>
    </w:p>
    <w:p w14:paraId="47726014" w14:textId="77777777" w:rsidR="00AE7534" w:rsidRPr="00EA70A2" w:rsidRDefault="00AE7534" w:rsidP="00EA70A2">
      <w:pPr>
        <w:spacing w:before="0" w:beforeAutospacing="0" w:after="0" w:afterAutospacing="0" w:line="276" w:lineRule="auto"/>
        <w:ind w:firstLine="708"/>
        <w:rPr>
          <w:rFonts w:ascii="Tahoma" w:eastAsia="Times New Roman" w:hAnsi="Tahoma" w:cs="Tahoma"/>
          <w:lang w:val="es-ES" w:eastAsia="es-MX"/>
        </w:rPr>
      </w:pPr>
    </w:p>
    <w:p w14:paraId="7BE92C09" w14:textId="01CCF16F" w:rsidR="00040893" w:rsidRPr="00EA70A2" w:rsidRDefault="00AE7534" w:rsidP="00EA70A2">
      <w:pPr>
        <w:spacing w:before="0" w:beforeAutospacing="0" w:after="0" w:afterAutospacing="0" w:line="276" w:lineRule="auto"/>
        <w:ind w:firstLine="708"/>
        <w:rPr>
          <w:rFonts w:ascii="Tahoma" w:eastAsia="Times New Roman" w:hAnsi="Tahoma" w:cs="Tahoma"/>
          <w:lang w:val="es-ES" w:eastAsia="es-MX"/>
        </w:rPr>
      </w:pPr>
      <w:r w:rsidRPr="00EA70A2">
        <w:rPr>
          <w:rFonts w:ascii="Tahoma" w:eastAsia="Times New Roman" w:hAnsi="Tahoma" w:cs="Tahoma"/>
          <w:lang w:val="es-ES" w:eastAsia="es-MX"/>
        </w:rPr>
        <w:t>En respuesta a la demanda</w:t>
      </w:r>
      <w:r w:rsidR="00296E3B" w:rsidRPr="00EA70A2">
        <w:rPr>
          <w:rFonts w:ascii="Tahoma" w:eastAsia="Times New Roman" w:hAnsi="Tahoma" w:cs="Tahoma"/>
          <w:lang w:val="es-ES" w:eastAsia="es-MX"/>
        </w:rPr>
        <w:t xml:space="preserve">, </w:t>
      </w:r>
      <w:r w:rsidR="00A40F66" w:rsidRPr="00EA70A2">
        <w:rPr>
          <w:rFonts w:ascii="Tahoma" w:eastAsia="Times New Roman" w:hAnsi="Tahoma" w:cs="Tahoma"/>
          <w:b/>
          <w:bCs/>
          <w:lang w:val="es-ES" w:eastAsia="es-MX"/>
        </w:rPr>
        <w:t>Porvenir S.A</w:t>
      </w:r>
      <w:r w:rsidR="004A5273">
        <w:rPr>
          <w:rFonts w:ascii="Tahoma" w:eastAsia="Times New Roman" w:hAnsi="Tahoma" w:cs="Tahoma"/>
          <w:b/>
          <w:bCs/>
          <w:lang w:val="es-ES" w:eastAsia="es-MX"/>
        </w:rPr>
        <w:t>.</w:t>
      </w:r>
      <w:r w:rsidR="00A40F66" w:rsidRPr="00EA70A2">
        <w:rPr>
          <w:rFonts w:ascii="Tahoma" w:eastAsia="Times New Roman" w:hAnsi="Tahoma" w:cs="Tahoma"/>
          <w:b/>
          <w:bCs/>
          <w:lang w:val="es-ES" w:eastAsia="es-MX"/>
        </w:rPr>
        <w:t xml:space="preserve"> </w:t>
      </w:r>
      <w:r w:rsidR="008A7171" w:rsidRPr="00EA70A2">
        <w:rPr>
          <w:rFonts w:ascii="Tahoma" w:eastAsia="Times New Roman" w:hAnsi="Tahoma" w:cs="Tahoma"/>
          <w:lang w:val="es-ES" w:eastAsia="es-MX"/>
        </w:rPr>
        <w:t xml:space="preserve">señaló que el acto mediante el cual se afilió la demandante al </w:t>
      </w:r>
      <w:proofErr w:type="spellStart"/>
      <w:r w:rsidR="008A7171" w:rsidRPr="00EA70A2">
        <w:rPr>
          <w:rFonts w:ascii="Tahoma" w:eastAsia="Times New Roman" w:hAnsi="Tahoma" w:cs="Tahoma"/>
          <w:lang w:val="es-ES" w:eastAsia="es-MX"/>
        </w:rPr>
        <w:t>RAIS</w:t>
      </w:r>
      <w:proofErr w:type="spellEnd"/>
      <w:r w:rsidR="008A7171" w:rsidRPr="00EA70A2">
        <w:rPr>
          <w:rFonts w:ascii="Tahoma" w:eastAsia="Times New Roman" w:hAnsi="Tahoma" w:cs="Tahoma"/>
          <w:lang w:val="es-ES" w:eastAsia="es-MX"/>
        </w:rPr>
        <w:t xml:space="preserve"> se llevó a cabo conforme a la ley, sin la existencia de vicios en el consentimiento ni ningún tipo de presión para la afiliación</w:t>
      </w:r>
      <w:r w:rsidR="00B11AEB" w:rsidRPr="00EA70A2">
        <w:rPr>
          <w:rFonts w:ascii="Tahoma" w:eastAsia="Times New Roman" w:hAnsi="Tahoma" w:cs="Tahoma"/>
          <w:lang w:val="es-ES" w:eastAsia="es-MX"/>
        </w:rPr>
        <w:t xml:space="preserve">. </w:t>
      </w:r>
      <w:r w:rsidR="00040893" w:rsidRPr="00EA70A2">
        <w:rPr>
          <w:rFonts w:ascii="Tahoma" w:eastAsia="Times New Roman" w:hAnsi="Tahoma" w:cs="Tahoma"/>
          <w:lang w:val="es-ES" w:eastAsia="es-MX"/>
        </w:rPr>
        <w:t xml:space="preserve">Precisó que el fondo le </w:t>
      </w:r>
      <w:r w:rsidR="00B11AEB" w:rsidRPr="00EA70A2">
        <w:rPr>
          <w:rFonts w:ascii="Tahoma" w:eastAsia="Times New Roman" w:hAnsi="Tahoma" w:cs="Tahoma"/>
          <w:lang w:val="es-ES" w:eastAsia="es-MX"/>
        </w:rPr>
        <w:t xml:space="preserve">brindó información completa, veraz y oportuna a la demandante, informándole sobre las características del </w:t>
      </w:r>
      <w:proofErr w:type="spellStart"/>
      <w:r w:rsidR="00B11AEB" w:rsidRPr="00EA70A2">
        <w:rPr>
          <w:rFonts w:ascii="Tahoma" w:eastAsia="Times New Roman" w:hAnsi="Tahoma" w:cs="Tahoma"/>
          <w:lang w:val="es-ES" w:eastAsia="es-MX"/>
        </w:rPr>
        <w:t>RAIS</w:t>
      </w:r>
      <w:proofErr w:type="spellEnd"/>
      <w:r w:rsidR="00B11AEB" w:rsidRPr="00EA70A2">
        <w:rPr>
          <w:rFonts w:ascii="Tahoma" w:eastAsia="Times New Roman" w:hAnsi="Tahoma" w:cs="Tahoma"/>
          <w:lang w:val="es-ES" w:eastAsia="es-MX"/>
        </w:rPr>
        <w:t xml:space="preserve">, beneficios y diferencias con el RPM, </w:t>
      </w:r>
      <w:proofErr w:type="spellStart"/>
      <w:r w:rsidR="00040893" w:rsidRPr="00EA70A2">
        <w:rPr>
          <w:rFonts w:ascii="Tahoma" w:eastAsia="Times New Roman" w:hAnsi="Tahoma" w:cs="Tahoma"/>
          <w:lang w:val="es-ES" w:eastAsia="es-MX"/>
        </w:rPr>
        <w:t>on</w:t>
      </w:r>
      <w:proofErr w:type="spellEnd"/>
      <w:r w:rsidR="00040893" w:rsidRPr="00EA70A2">
        <w:rPr>
          <w:rFonts w:ascii="Tahoma" w:eastAsia="Times New Roman" w:hAnsi="Tahoma" w:cs="Tahoma"/>
          <w:lang w:val="es-ES" w:eastAsia="es-MX"/>
        </w:rPr>
        <w:t xml:space="preserve"> base en los parámetros legales vigentes para la época.</w:t>
      </w:r>
    </w:p>
    <w:p w14:paraId="3904D1C2" w14:textId="77777777" w:rsidR="00040893" w:rsidRPr="00EA70A2" w:rsidRDefault="00040893" w:rsidP="00EA70A2">
      <w:pPr>
        <w:spacing w:before="0" w:beforeAutospacing="0" w:after="0" w:afterAutospacing="0" w:line="276" w:lineRule="auto"/>
        <w:ind w:firstLine="0"/>
        <w:rPr>
          <w:rFonts w:ascii="Tahoma" w:eastAsia="Times New Roman" w:hAnsi="Tahoma" w:cs="Tahoma"/>
          <w:lang w:val="es-ES" w:eastAsia="es-MX"/>
        </w:rPr>
      </w:pPr>
    </w:p>
    <w:p w14:paraId="18A0BAA7" w14:textId="5AF7D2B3" w:rsidR="00F81096" w:rsidRPr="00EA70A2" w:rsidRDefault="00040893" w:rsidP="00EA70A2">
      <w:pPr>
        <w:spacing w:before="0" w:beforeAutospacing="0" w:after="0" w:afterAutospacing="0" w:line="276" w:lineRule="auto"/>
        <w:ind w:firstLine="708"/>
        <w:rPr>
          <w:rFonts w:ascii="Tahoma" w:eastAsia="Times New Roman" w:hAnsi="Tahoma" w:cs="Tahoma"/>
          <w:bCs/>
          <w:i/>
          <w:iCs/>
          <w:lang w:val="es-ES" w:eastAsia="es-MX"/>
        </w:rPr>
      </w:pPr>
      <w:r w:rsidRPr="00EA70A2">
        <w:rPr>
          <w:rFonts w:ascii="Tahoma" w:eastAsia="Times New Roman" w:hAnsi="Tahoma" w:cs="Tahoma"/>
          <w:lang w:val="es-ES" w:eastAsia="es-MX"/>
        </w:rPr>
        <w:t xml:space="preserve">Agregó que </w:t>
      </w:r>
      <w:r w:rsidR="00B11AEB" w:rsidRPr="00EA70A2">
        <w:rPr>
          <w:rFonts w:ascii="Tahoma" w:eastAsia="Times New Roman" w:hAnsi="Tahoma" w:cs="Tahoma"/>
          <w:lang w:val="es-ES" w:eastAsia="es-MX"/>
        </w:rPr>
        <w:t xml:space="preserve">época </w:t>
      </w:r>
      <w:r w:rsidR="00827B77" w:rsidRPr="00EA70A2">
        <w:rPr>
          <w:rFonts w:ascii="Tahoma" w:eastAsia="Times New Roman" w:hAnsi="Tahoma" w:cs="Tahoma"/>
          <w:lang w:val="es-ES" w:eastAsia="es-MX"/>
        </w:rPr>
        <w:t xml:space="preserve">en que se llevó a cabo </w:t>
      </w:r>
      <w:r w:rsidR="00B11AEB" w:rsidRPr="00EA70A2">
        <w:rPr>
          <w:rFonts w:ascii="Tahoma" w:eastAsia="Times New Roman" w:hAnsi="Tahoma" w:cs="Tahoma"/>
          <w:lang w:val="es-ES" w:eastAsia="es-MX"/>
        </w:rPr>
        <w:t xml:space="preserve">el traslado no era obligatorio realizar proyecciones financieras, </w:t>
      </w:r>
      <w:r w:rsidR="0057487F" w:rsidRPr="00EA70A2">
        <w:rPr>
          <w:rFonts w:ascii="Tahoma" w:eastAsia="Times New Roman" w:hAnsi="Tahoma" w:cs="Tahoma"/>
          <w:lang w:val="es-ES" w:eastAsia="es-MX"/>
        </w:rPr>
        <w:t xml:space="preserve">pues era </w:t>
      </w:r>
      <w:r w:rsidR="00B11AEB" w:rsidRPr="00EA70A2">
        <w:rPr>
          <w:rFonts w:ascii="Tahoma" w:eastAsia="Times New Roman" w:hAnsi="Tahoma" w:cs="Tahoma"/>
          <w:lang w:val="es-ES" w:eastAsia="es-MX"/>
        </w:rPr>
        <w:t xml:space="preserve">imposible determinar un monto específico de mesada pensional, en razón a que esta depende de una serie de variables, y </w:t>
      </w:r>
      <w:r w:rsidR="0057487F" w:rsidRPr="00EA70A2">
        <w:rPr>
          <w:rFonts w:ascii="Tahoma" w:eastAsia="Times New Roman" w:hAnsi="Tahoma" w:cs="Tahoma"/>
          <w:lang w:val="es-ES" w:eastAsia="es-MX"/>
        </w:rPr>
        <w:t xml:space="preserve">advirtió que </w:t>
      </w:r>
      <w:r w:rsidR="00B11AEB" w:rsidRPr="00EA70A2">
        <w:rPr>
          <w:rFonts w:ascii="Tahoma" w:eastAsia="Times New Roman" w:hAnsi="Tahoma" w:cs="Tahoma"/>
          <w:lang w:val="es-ES" w:eastAsia="es-MX"/>
        </w:rPr>
        <w:t>la inconveniencia económica de un negocio jurídico no le resta eficacia o lo reviste de nulidad alguna. De esta manera, invocó como excepciones de mérito las que denominó:</w:t>
      </w:r>
      <w:r w:rsidR="00AD1DDC" w:rsidRPr="00EA70A2">
        <w:rPr>
          <w:rFonts w:ascii="Tahoma" w:eastAsia="Times New Roman" w:hAnsi="Tahoma" w:cs="Tahoma"/>
          <w:lang w:val="es-ES" w:eastAsia="es-MX"/>
        </w:rPr>
        <w:t xml:space="preserve"> </w:t>
      </w:r>
      <w:r w:rsidR="00AE3955" w:rsidRPr="00EA70A2">
        <w:rPr>
          <w:rFonts w:ascii="Tahoma" w:eastAsia="Times New Roman" w:hAnsi="Tahoma" w:cs="Tahoma"/>
          <w:lang w:val="es-ES" w:eastAsia="es-MX"/>
        </w:rPr>
        <w:t>“</w:t>
      </w:r>
      <w:r w:rsidR="00AE3955" w:rsidRPr="00EA70A2">
        <w:rPr>
          <w:rFonts w:ascii="Tahoma" w:eastAsia="Times New Roman" w:hAnsi="Tahoma" w:cs="Tahoma"/>
          <w:bCs/>
          <w:i/>
          <w:iCs/>
          <w:lang w:val="es-ES" w:eastAsia="es-MX"/>
        </w:rPr>
        <w:t xml:space="preserve">validez y eficacia de la afiliación al </w:t>
      </w:r>
      <w:proofErr w:type="spellStart"/>
      <w:r w:rsidR="00AE3955" w:rsidRPr="00EA70A2">
        <w:rPr>
          <w:rFonts w:ascii="Tahoma" w:eastAsia="Times New Roman" w:hAnsi="Tahoma" w:cs="Tahoma"/>
          <w:bCs/>
          <w:i/>
          <w:iCs/>
          <w:lang w:val="es-ES" w:eastAsia="es-MX"/>
        </w:rPr>
        <w:t>RAIS</w:t>
      </w:r>
      <w:proofErr w:type="spellEnd"/>
      <w:r w:rsidR="00AE3955" w:rsidRPr="00EA70A2">
        <w:rPr>
          <w:rFonts w:ascii="Tahoma" w:eastAsia="Times New Roman" w:hAnsi="Tahoma" w:cs="Tahoma"/>
          <w:bCs/>
          <w:i/>
          <w:iCs/>
          <w:lang w:val="es-ES" w:eastAsia="es-MX"/>
        </w:rPr>
        <w:t xml:space="preserve"> e inexistencia de vicios en el consentimiento”, “saneamiento de la eventual nulidad relativa”, “inexistencia de la obligación de devolver la comisión de administración en caso de que se declare la nulidad o ineficacia de la afiliación al </w:t>
      </w:r>
      <w:proofErr w:type="spellStart"/>
      <w:r w:rsidR="00AE3955" w:rsidRPr="00EA70A2">
        <w:rPr>
          <w:rFonts w:ascii="Tahoma" w:eastAsia="Times New Roman" w:hAnsi="Tahoma" w:cs="Tahoma"/>
          <w:bCs/>
          <w:i/>
          <w:iCs/>
          <w:lang w:val="es-ES" w:eastAsia="es-MX"/>
        </w:rPr>
        <w:t>RAIS</w:t>
      </w:r>
      <w:proofErr w:type="spellEnd"/>
      <w:r w:rsidR="00AE3955" w:rsidRPr="00EA70A2">
        <w:rPr>
          <w:rFonts w:ascii="Tahoma" w:eastAsia="Times New Roman" w:hAnsi="Tahoma" w:cs="Tahoma"/>
          <w:bCs/>
          <w:i/>
          <w:iCs/>
          <w:lang w:val="es-ES" w:eastAsia="es-MX"/>
        </w:rPr>
        <w:t xml:space="preserve">”, “inexistencia de la obligación de devolver el pago al seguro previsional cuando se declara la nulidad o ineficacia de la afiliación al </w:t>
      </w:r>
      <w:proofErr w:type="spellStart"/>
      <w:r w:rsidR="00AE3955" w:rsidRPr="00EA70A2">
        <w:rPr>
          <w:rFonts w:ascii="Tahoma" w:eastAsia="Times New Roman" w:hAnsi="Tahoma" w:cs="Tahoma"/>
          <w:bCs/>
          <w:i/>
          <w:iCs/>
          <w:lang w:val="es-ES" w:eastAsia="es-MX"/>
        </w:rPr>
        <w:t>RAIS</w:t>
      </w:r>
      <w:proofErr w:type="spellEnd"/>
      <w:r w:rsidR="00AE3955" w:rsidRPr="00EA70A2">
        <w:rPr>
          <w:rFonts w:ascii="Tahoma" w:eastAsia="Times New Roman" w:hAnsi="Tahoma" w:cs="Tahoma"/>
          <w:bCs/>
          <w:i/>
          <w:iCs/>
          <w:lang w:val="es-ES" w:eastAsia="es-MX"/>
        </w:rPr>
        <w:t>”, “prescripción”, “buena fe” e “innominada o genérica”.</w:t>
      </w:r>
    </w:p>
    <w:p w14:paraId="712ACFA4" w14:textId="77777777" w:rsidR="0057487F" w:rsidRPr="00EA70A2" w:rsidRDefault="0057487F" w:rsidP="00EA70A2">
      <w:pPr>
        <w:spacing w:before="0" w:beforeAutospacing="0" w:after="0" w:afterAutospacing="0" w:line="276" w:lineRule="auto"/>
        <w:ind w:firstLine="708"/>
        <w:rPr>
          <w:rFonts w:ascii="Tahoma" w:eastAsia="Times New Roman" w:hAnsi="Tahoma" w:cs="Tahoma"/>
          <w:lang w:val="es-ES" w:eastAsia="es-MX"/>
        </w:rPr>
      </w:pPr>
    </w:p>
    <w:p w14:paraId="327DE53B" w14:textId="4D9406E4" w:rsidR="00CB27C9" w:rsidRPr="00EA70A2" w:rsidRDefault="00C04181" w:rsidP="00EA70A2">
      <w:pPr>
        <w:spacing w:before="0" w:beforeAutospacing="0" w:after="0" w:afterAutospacing="0" w:line="276" w:lineRule="auto"/>
        <w:ind w:firstLine="708"/>
        <w:rPr>
          <w:rFonts w:ascii="Tahoma" w:eastAsia="Times New Roman" w:hAnsi="Tahoma" w:cs="Tahoma"/>
          <w:lang w:val="es-ES" w:eastAsia="es-MX"/>
        </w:rPr>
      </w:pPr>
      <w:r w:rsidRPr="00EA70A2">
        <w:rPr>
          <w:rFonts w:ascii="Tahoma" w:eastAsia="Times New Roman" w:hAnsi="Tahoma" w:cs="Tahoma"/>
          <w:bCs/>
          <w:lang w:val="es-ES" w:eastAsia="es-MX"/>
        </w:rPr>
        <w:t xml:space="preserve">A su turno, </w:t>
      </w:r>
      <w:r w:rsidRPr="00EA70A2">
        <w:rPr>
          <w:rFonts w:ascii="Tahoma" w:eastAsia="Times New Roman" w:hAnsi="Tahoma" w:cs="Tahoma"/>
          <w:b/>
          <w:lang w:val="es-ES" w:eastAsia="es-MX"/>
        </w:rPr>
        <w:t xml:space="preserve">Colpensiones </w:t>
      </w:r>
      <w:r w:rsidR="002F0C42" w:rsidRPr="00EA70A2">
        <w:rPr>
          <w:rFonts w:ascii="Tahoma" w:eastAsia="Times New Roman" w:hAnsi="Tahoma" w:cs="Tahoma"/>
          <w:lang w:val="es-ES" w:eastAsia="es-MX"/>
        </w:rPr>
        <w:t>se opuso a la prosperidad de las pretensiones de la demanda, señalando</w:t>
      </w:r>
      <w:r w:rsidR="007036B3" w:rsidRPr="00EA70A2">
        <w:rPr>
          <w:rFonts w:ascii="Tahoma" w:eastAsia="Times New Roman" w:hAnsi="Tahoma" w:cs="Tahoma"/>
          <w:lang w:val="es-ES" w:eastAsia="es-MX"/>
        </w:rPr>
        <w:t xml:space="preserve"> que </w:t>
      </w:r>
      <w:r w:rsidR="00A63548" w:rsidRPr="00EA70A2">
        <w:rPr>
          <w:rFonts w:ascii="Tahoma" w:eastAsia="Times New Roman" w:hAnsi="Tahoma" w:cs="Tahoma"/>
          <w:lang w:val="es-ES" w:eastAsia="es-MX"/>
        </w:rPr>
        <w:t xml:space="preserve">la afiliación de la actora al régimen de Ahorro Individual se dio en virtud a la libertad de escogencia de régimen pensional y no a una nulidad por </w:t>
      </w:r>
      <w:r w:rsidR="00711318" w:rsidRPr="00EA70A2">
        <w:rPr>
          <w:rFonts w:ascii="Tahoma" w:eastAsia="Times New Roman" w:hAnsi="Tahoma" w:cs="Tahoma"/>
          <w:lang w:val="es-ES" w:eastAsia="es-MX"/>
        </w:rPr>
        <w:t>vicio</w:t>
      </w:r>
      <w:r w:rsidR="00A63548" w:rsidRPr="00EA70A2">
        <w:rPr>
          <w:rFonts w:ascii="Tahoma" w:eastAsia="Times New Roman" w:hAnsi="Tahoma" w:cs="Tahoma"/>
          <w:lang w:val="es-ES" w:eastAsia="es-MX"/>
        </w:rPr>
        <w:t xml:space="preserve"> en el consentimiento. </w:t>
      </w:r>
    </w:p>
    <w:p w14:paraId="22820FE6" w14:textId="77777777" w:rsidR="00711318" w:rsidRPr="00EA70A2" w:rsidRDefault="00711318" w:rsidP="00EA70A2">
      <w:pPr>
        <w:spacing w:before="0" w:beforeAutospacing="0" w:after="0" w:afterAutospacing="0" w:line="276" w:lineRule="auto"/>
        <w:ind w:firstLine="708"/>
        <w:rPr>
          <w:rFonts w:ascii="Tahoma" w:eastAsia="Times New Roman" w:hAnsi="Tahoma" w:cs="Tahoma"/>
          <w:lang w:val="es-ES" w:eastAsia="es-MX"/>
        </w:rPr>
      </w:pPr>
    </w:p>
    <w:p w14:paraId="2693A20A" w14:textId="60BA1A6B" w:rsidR="003E7051" w:rsidRPr="00EA70A2" w:rsidRDefault="00EE31C5" w:rsidP="00EA70A2">
      <w:pPr>
        <w:spacing w:before="0" w:beforeAutospacing="0" w:after="0" w:afterAutospacing="0" w:line="276" w:lineRule="auto"/>
        <w:ind w:firstLine="708"/>
        <w:rPr>
          <w:rFonts w:ascii="Tahoma" w:hAnsi="Tahoma" w:cs="Tahoma"/>
          <w:i/>
          <w:iCs/>
          <w:lang w:val="es-ES" w:eastAsia="es-MX"/>
        </w:rPr>
      </w:pPr>
      <w:r w:rsidRPr="00EA70A2">
        <w:rPr>
          <w:rFonts w:ascii="Tahoma" w:eastAsia="Times New Roman" w:hAnsi="Tahoma" w:cs="Tahoma"/>
          <w:lang w:val="es-ES" w:eastAsia="es-MX"/>
        </w:rPr>
        <w:t>S</w:t>
      </w:r>
      <w:r w:rsidR="002F0C42" w:rsidRPr="00EA70A2">
        <w:rPr>
          <w:rFonts w:ascii="Tahoma" w:eastAsia="Times New Roman" w:hAnsi="Tahoma" w:cs="Tahoma"/>
          <w:lang w:val="es-ES" w:eastAsia="es-MX"/>
        </w:rPr>
        <w:t xml:space="preserve">olicitó </w:t>
      </w:r>
      <w:r w:rsidR="00711318" w:rsidRPr="00EA70A2">
        <w:rPr>
          <w:rFonts w:ascii="Tahoma" w:eastAsia="Times New Roman" w:hAnsi="Tahoma" w:cs="Tahoma"/>
          <w:lang w:val="es-ES" w:eastAsia="es-MX"/>
        </w:rPr>
        <w:t xml:space="preserve">que </w:t>
      </w:r>
      <w:r w:rsidR="002F0C42" w:rsidRPr="00EA70A2">
        <w:rPr>
          <w:rFonts w:ascii="Tahoma" w:eastAsia="Times New Roman" w:hAnsi="Tahoma" w:cs="Tahoma"/>
          <w:lang w:val="es-ES" w:eastAsia="es-MX"/>
        </w:rPr>
        <w:t>en caso de una eventual sentencia desfavorable</w:t>
      </w:r>
      <w:r w:rsidR="00711318" w:rsidRPr="00EA70A2">
        <w:rPr>
          <w:rFonts w:ascii="Tahoma" w:eastAsia="Times New Roman" w:hAnsi="Tahoma" w:cs="Tahoma"/>
          <w:lang w:val="es-ES" w:eastAsia="es-MX"/>
        </w:rPr>
        <w:t xml:space="preserve"> a los intereses de Colpensiones</w:t>
      </w:r>
      <w:r w:rsidR="002F0C42" w:rsidRPr="00EA70A2">
        <w:rPr>
          <w:rFonts w:ascii="Tahoma" w:eastAsia="Times New Roman" w:hAnsi="Tahoma" w:cs="Tahoma"/>
          <w:lang w:val="es-ES" w:eastAsia="es-MX"/>
        </w:rPr>
        <w:t xml:space="preserve">, se condenara a la AFP Porvenir </w:t>
      </w:r>
      <w:proofErr w:type="spellStart"/>
      <w:r w:rsidR="002F0C42" w:rsidRPr="00EA70A2">
        <w:rPr>
          <w:rFonts w:ascii="Tahoma" w:eastAsia="Times New Roman" w:hAnsi="Tahoma" w:cs="Tahoma"/>
          <w:lang w:val="es-ES" w:eastAsia="es-MX"/>
        </w:rPr>
        <w:t>S.A</w:t>
      </w:r>
      <w:proofErr w:type="spellEnd"/>
      <w:r w:rsidR="002F0C42" w:rsidRPr="00EA70A2">
        <w:rPr>
          <w:rFonts w:ascii="Tahoma" w:eastAsia="Times New Roman" w:hAnsi="Tahoma" w:cs="Tahoma"/>
          <w:lang w:val="es-ES" w:eastAsia="es-MX"/>
        </w:rPr>
        <w:t xml:space="preserve"> a pagar un cálculo actuarial equivalente al valor total de mesadas pensionales a pagar, liquidadas bajo los parámetros del Régimen de Prima Media, teniendo en cuenta para ello, la expectativa de vida de la demandante y la de sus posibles beneficiarios, argumentando </w:t>
      </w:r>
      <w:r w:rsidR="000E1D42" w:rsidRPr="00EA70A2">
        <w:rPr>
          <w:rFonts w:ascii="Tahoma" w:eastAsia="Times New Roman" w:hAnsi="Tahoma" w:cs="Tahoma"/>
          <w:lang w:val="es-ES" w:eastAsia="es-MX"/>
        </w:rPr>
        <w:t>que,</w:t>
      </w:r>
      <w:r w:rsidR="002F0C42" w:rsidRPr="00EA70A2">
        <w:rPr>
          <w:rFonts w:ascii="Tahoma" w:eastAsia="Times New Roman" w:hAnsi="Tahoma" w:cs="Tahoma"/>
          <w:lang w:val="es-ES" w:eastAsia="es-MX"/>
        </w:rPr>
        <w:t xml:space="preserve"> en este caso, Colpensiones es un tercero afectado,</w:t>
      </w:r>
      <w:r w:rsidR="000E1D42" w:rsidRPr="00EA70A2">
        <w:rPr>
          <w:rFonts w:ascii="Tahoma" w:eastAsia="Times New Roman" w:hAnsi="Tahoma" w:cs="Tahoma"/>
          <w:lang w:val="es-ES" w:eastAsia="es-MX"/>
        </w:rPr>
        <w:t xml:space="preserve"> ya que no realizó los actos engañosos u omisivos endilgados. Como excepciones perentorias formuló:</w:t>
      </w:r>
      <w:r w:rsidR="002F0C42" w:rsidRPr="00EA70A2">
        <w:rPr>
          <w:rFonts w:ascii="Tahoma" w:eastAsia="Times New Roman" w:hAnsi="Tahoma" w:cs="Tahoma"/>
          <w:lang w:val="es-ES" w:eastAsia="es-MX"/>
        </w:rPr>
        <w:t xml:space="preserve"> </w:t>
      </w:r>
      <w:r w:rsidR="00B2778A" w:rsidRPr="00EA70A2">
        <w:rPr>
          <w:rFonts w:ascii="Tahoma" w:eastAsia="Times New Roman" w:hAnsi="Tahoma" w:cs="Tahoma"/>
          <w:i/>
          <w:iCs/>
          <w:lang w:val="es-ES" w:eastAsia="es-MX"/>
        </w:rPr>
        <w:t>“</w:t>
      </w:r>
      <w:r w:rsidR="00B2778A" w:rsidRPr="00EA70A2">
        <w:rPr>
          <w:rStyle w:val="Textoennegrita"/>
          <w:rFonts w:ascii="Tahoma" w:hAnsi="Tahoma" w:cs="Tahoma"/>
          <w:b w:val="0"/>
          <w:bCs w:val="0"/>
          <w:i/>
          <w:iCs/>
          <w:lang w:val="es-ES" w:eastAsia="es-MX"/>
        </w:rPr>
        <w:t xml:space="preserve">validez de la afiliación al </w:t>
      </w:r>
      <w:proofErr w:type="spellStart"/>
      <w:r w:rsidR="007E4512" w:rsidRPr="00EA70A2">
        <w:rPr>
          <w:rStyle w:val="Textoennegrita"/>
          <w:rFonts w:ascii="Tahoma" w:hAnsi="Tahoma" w:cs="Tahoma"/>
          <w:b w:val="0"/>
          <w:bCs w:val="0"/>
          <w:i/>
          <w:iCs/>
          <w:lang w:val="es-ES" w:eastAsia="es-MX"/>
        </w:rPr>
        <w:t>RAIS</w:t>
      </w:r>
      <w:proofErr w:type="spellEnd"/>
      <w:r w:rsidR="00B2778A" w:rsidRPr="00EA70A2">
        <w:rPr>
          <w:rStyle w:val="Textoennegrita"/>
          <w:rFonts w:ascii="Tahoma" w:hAnsi="Tahoma" w:cs="Tahoma"/>
          <w:b w:val="0"/>
          <w:bCs w:val="0"/>
          <w:i/>
          <w:iCs/>
          <w:lang w:val="es-ES" w:eastAsia="es-MX"/>
        </w:rPr>
        <w:t>”, “saneamiento de una presunta nulidad</w:t>
      </w:r>
      <w:r w:rsidR="00E11FFF" w:rsidRPr="00EA70A2">
        <w:rPr>
          <w:rStyle w:val="Textoennegrita"/>
          <w:rFonts w:ascii="Tahoma" w:hAnsi="Tahoma" w:cs="Tahoma"/>
          <w:b w:val="0"/>
          <w:bCs w:val="0"/>
          <w:i/>
          <w:iCs/>
          <w:lang w:val="es-ES" w:eastAsia="es-MX"/>
        </w:rPr>
        <w:t>”, “</w:t>
      </w:r>
      <w:r w:rsidR="00E11FFF" w:rsidRPr="00EA70A2">
        <w:rPr>
          <w:rFonts w:ascii="Tahoma" w:hAnsi="Tahoma" w:cs="Tahoma"/>
          <w:i/>
          <w:iCs/>
          <w:lang w:val="es-ES" w:eastAsia="es-MX"/>
        </w:rPr>
        <w:t>solicitud de traslado de dineros de gastos de administración”, “prescripción”, “imposibilidad jurídica para reconocer y pagar derechos por fuera del ordenamiento legal”, “buena fe”, “imposibilidad de condena en costas”, “declaratoria de otras excepciones”.</w:t>
      </w:r>
    </w:p>
    <w:p w14:paraId="3B249442" w14:textId="5C704950" w:rsidR="00376E23" w:rsidRPr="00EA70A2" w:rsidRDefault="00376E23" w:rsidP="00EA70A2">
      <w:pPr>
        <w:spacing w:before="0" w:beforeAutospacing="0" w:after="0" w:afterAutospacing="0" w:line="276" w:lineRule="auto"/>
        <w:ind w:firstLine="0"/>
        <w:rPr>
          <w:rFonts w:ascii="Tahoma" w:hAnsi="Tahoma" w:cs="Tahoma"/>
        </w:rPr>
      </w:pPr>
    </w:p>
    <w:p w14:paraId="7DBEC887" w14:textId="460213BD" w:rsidR="00B26160" w:rsidRPr="00EA70A2" w:rsidRDefault="00B26160" w:rsidP="00EA70A2">
      <w:pPr>
        <w:pStyle w:val="Prrafodelista"/>
        <w:numPr>
          <w:ilvl w:val="0"/>
          <w:numId w:val="1"/>
        </w:numPr>
        <w:spacing w:line="276" w:lineRule="auto"/>
        <w:jc w:val="center"/>
        <w:rPr>
          <w:rFonts w:eastAsia="Times New Roman" w:cs="Tahoma"/>
          <w:b/>
          <w:bCs/>
          <w:szCs w:val="24"/>
          <w:lang w:val="es-ES" w:eastAsia="es-MX"/>
        </w:rPr>
      </w:pPr>
      <w:r w:rsidRPr="00EA70A2">
        <w:rPr>
          <w:rFonts w:eastAsia="Times New Roman" w:cs="Tahoma"/>
          <w:b/>
          <w:bCs/>
          <w:szCs w:val="24"/>
          <w:lang w:val="es-ES" w:eastAsia="es-MX"/>
        </w:rPr>
        <w:t>Sentencia de primera instancia</w:t>
      </w:r>
    </w:p>
    <w:p w14:paraId="58BC21E2" w14:textId="77777777" w:rsidR="00B26160" w:rsidRPr="00EA70A2" w:rsidRDefault="00B26160" w:rsidP="00EA70A2">
      <w:pPr>
        <w:pStyle w:val="Prrafodelista"/>
        <w:spacing w:line="276" w:lineRule="auto"/>
        <w:rPr>
          <w:rFonts w:eastAsia="Times New Roman" w:cs="Tahoma"/>
          <w:b/>
          <w:bCs/>
          <w:szCs w:val="24"/>
          <w:lang w:val="es-ES" w:eastAsia="es-MX"/>
        </w:rPr>
      </w:pPr>
    </w:p>
    <w:p w14:paraId="5FEFD1EF" w14:textId="475267A3" w:rsidR="00B26160" w:rsidRPr="00EA70A2" w:rsidRDefault="00B26160" w:rsidP="00EA70A2">
      <w:pPr>
        <w:widowControl w:val="0"/>
        <w:autoSpaceDE w:val="0"/>
        <w:autoSpaceDN w:val="0"/>
        <w:spacing w:before="0" w:beforeAutospacing="0" w:after="0" w:afterAutospacing="0" w:line="276" w:lineRule="auto"/>
        <w:contextualSpacing/>
        <w:rPr>
          <w:rFonts w:ascii="Tahoma" w:eastAsia="Calibri" w:hAnsi="Tahoma" w:cs="Tahoma"/>
          <w:lang w:val="es-ES"/>
        </w:rPr>
      </w:pPr>
      <w:r w:rsidRPr="00EA70A2">
        <w:rPr>
          <w:rFonts w:ascii="Tahoma" w:eastAsia="Calibri" w:hAnsi="Tahoma" w:cs="Tahoma"/>
          <w:lang w:val="es-ES"/>
        </w:rPr>
        <w:t>El juez de primera instancia desestimó las excepciones propuestas por las demandadas</w:t>
      </w:r>
      <w:r w:rsidR="00696B0D" w:rsidRPr="00EA70A2">
        <w:rPr>
          <w:rFonts w:ascii="Tahoma" w:eastAsia="Calibri" w:hAnsi="Tahoma" w:cs="Tahoma"/>
          <w:lang w:val="es-ES"/>
        </w:rPr>
        <w:t xml:space="preserve"> y d</w:t>
      </w:r>
      <w:r w:rsidRPr="00EA70A2">
        <w:rPr>
          <w:rFonts w:ascii="Tahoma" w:eastAsia="Calibri" w:hAnsi="Tahoma" w:cs="Tahoma"/>
          <w:lang w:val="es-ES"/>
        </w:rPr>
        <w:t>eclaró ineficaz el traslado realizado por la demandante</w:t>
      </w:r>
      <w:r w:rsidR="004C0678" w:rsidRPr="00EA70A2">
        <w:rPr>
          <w:rFonts w:ascii="Tahoma" w:eastAsia="Calibri" w:hAnsi="Tahoma" w:cs="Tahoma"/>
          <w:lang w:val="es-ES"/>
        </w:rPr>
        <w:t xml:space="preserve"> Rosalba Vargas, el 1 de marzo de 2000 </w:t>
      </w:r>
      <w:r w:rsidRPr="00EA70A2">
        <w:rPr>
          <w:rFonts w:ascii="Tahoma" w:eastAsia="Calibri" w:hAnsi="Tahoma" w:cs="Tahoma"/>
          <w:lang w:val="es-ES"/>
        </w:rPr>
        <w:t xml:space="preserve">del Régimen de Prima Media con prestación definida al </w:t>
      </w:r>
      <w:r w:rsidRPr="00EA70A2">
        <w:rPr>
          <w:rFonts w:ascii="Tahoma" w:eastAsia="Calibri" w:hAnsi="Tahoma" w:cs="Tahoma"/>
          <w:lang w:val="es-ES"/>
        </w:rPr>
        <w:lastRenderedPageBreak/>
        <w:t xml:space="preserve">Régimen de Ahorro Individual con Solidaridad, a través de  Porvenir S.A.; en consecuencia, condenó a Porvenir S.A. que en el término improrrogable de un mes trasladara las cotizaciones, rendimientos financieros, bonos pensionales, comisiones, gastos de administración, valores utilizados en los seguros previsionales, los emolumento destinados a constituir el fondo de garantía de pensión mínima, debidamente indexados a la Administradora Colombiana de Pensiones- Colpensiones, y entregar el archivo de detalle de aportes realizados durante la permanencia en el </w:t>
      </w:r>
      <w:proofErr w:type="spellStart"/>
      <w:r w:rsidRPr="00EA70A2">
        <w:rPr>
          <w:rFonts w:ascii="Tahoma" w:eastAsia="Calibri" w:hAnsi="Tahoma" w:cs="Tahoma"/>
          <w:lang w:val="es-ES"/>
        </w:rPr>
        <w:t>RAIS</w:t>
      </w:r>
      <w:proofErr w:type="spellEnd"/>
      <w:r w:rsidRPr="00EA70A2">
        <w:rPr>
          <w:rFonts w:ascii="Tahoma" w:eastAsia="Calibri" w:hAnsi="Tahoma" w:cs="Tahoma"/>
          <w:lang w:val="es-ES"/>
        </w:rPr>
        <w:t xml:space="preserve">, acudiendo incluso si es necesario a sus propios recursos conforme señaló en la parte considerativa.  </w:t>
      </w:r>
    </w:p>
    <w:p w14:paraId="3723F824" w14:textId="79F3611B" w:rsidR="00B26160" w:rsidRPr="00EA70A2" w:rsidRDefault="00B26160" w:rsidP="00EA70A2">
      <w:pPr>
        <w:widowControl w:val="0"/>
        <w:autoSpaceDE w:val="0"/>
        <w:autoSpaceDN w:val="0"/>
        <w:spacing w:before="0" w:beforeAutospacing="0" w:after="0" w:afterAutospacing="0" w:line="276" w:lineRule="auto"/>
        <w:contextualSpacing/>
        <w:rPr>
          <w:rFonts w:ascii="Tahoma" w:eastAsia="Calibri" w:hAnsi="Tahoma" w:cs="Tahoma"/>
          <w:lang w:val="es-ES"/>
        </w:rPr>
      </w:pPr>
    </w:p>
    <w:p w14:paraId="5A65FA9F" w14:textId="77777777" w:rsidR="00E16372" w:rsidRPr="00EA70A2" w:rsidRDefault="00B26160" w:rsidP="00EA70A2">
      <w:pPr>
        <w:widowControl w:val="0"/>
        <w:autoSpaceDE w:val="0"/>
        <w:autoSpaceDN w:val="0"/>
        <w:spacing w:before="0" w:beforeAutospacing="0" w:after="0" w:afterAutospacing="0" w:line="276" w:lineRule="auto"/>
        <w:contextualSpacing/>
        <w:rPr>
          <w:rFonts w:ascii="Tahoma" w:eastAsia="Calibri" w:hAnsi="Tahoma" w:cs="Tahoma"/>
          <w:lang w:val="es-ES"/>
        </w:rPr>
      </w:pPr>
      <w:r w:rsidRPr="00EA70A2">
        <w:rPr>
          <w:rFonts w:ascii="Tahoma" w:eastAsia="Calibri" w:hAnsi="Tahoma" w:cs="Tahoma"/>
          <w:lang w:val="es-ES"/>
        </w:rPr>
        <w:t xml:space="preserve">Asimismo, ordenó a Colpensiones que una vez cumplida la orden por Porvenir S.A. procediera a aceptar el traslado de la demandante sin solución de continuidad convalidando la información en su historia laboral. </w:t>
      </w:r>
    </w:p>
    <w:p w14:paraId="02F4A690" w14:textId="07A830D4" w:rsidR="001C277B" w:rsidRPr="00EA70A2" w:rsidRDefault="001C277B" w:rsidP="00EA70A2">
      <w:pPr>
        <w:widowControl w:val="0"/>
        <w:autoSpaceDE w:val="0"/>
        <w:autoSpaceDN w:val="0"/>
        <w:spacing w:before="0" w:beforeAutospacing="0" w:after="0" w:afterAutospacing="0" w:line="276" w:lineRule="auto"/>
        <w:contextualSpacing/>
        <w:rPr>
          <w:rFonts w:ascii="Tahoma" w:eastAsia="Calibri" w:hAnsi="Tahoma" w:cs="Tahoma"/>
          <w:lang w:val="es-ES"/>
        </w:rPr>
      </w:pPr>
      <w:r w:rsidRPr="00EA70A2">
        <w:rPr>
          <w:rFonts w:ascii="Tahoma" w:eastAsia="Calibri" w:hAnsi="Tahoma" w:cs="Tahoma"/>
          <w:lang w:val="es-ES"/>
        </w:rPr>
        <w:t xml:space="preserve"> </w:t>
      </w:r>
    </w:p>
    <w:p w14:paraId="08E13575" w14:textId="7569E999" w:rsidR="00B26160" w:rsidRPr="00EA70A2" w:rsidRDefault="00B26160" w:rsidP="00EA70A2">
      <w:pPr>
        <w:widowControl w:val="0"/>
        <w:autoSpaceDE w:val="0"/>
        <w:autoSpaceDN w:val="0"/>
        <w:spacing w:before="0" w:beforeAutospacing="0" w:after="0" w:afterAutospacing="0" w:line="276" w:lineRule="auto"/>
        <w:contextualSpacing/>
        <w:rPr>
          <w:rFonts w:ascii="Tahoma" w:eastAsia="Calibri" w:hAnsi="Tahoma" w:cs="Tahoma"/>
          <w:lang w:val="es-MX"/>
        </w:rPr>
      </w:pPr>
      <w:r w:rsidRPr="00EA70A2">
        <w:rPr>
          <w:rFonts w:ascii="Tahoma" w:eastAsia="Calibri" w:hAnsi="Tahoma" w:cs="Tahoma"/>
          <w:lang w:val="es-MX"/>
        </w:rPr>
        <w:t xml:space="preserve">Finalmente, condenó en costas a Porvenir S.A. en favor de la demandante, fijó las agencias en derecho en la suma de </w:t>
      </w:r>
      <w:proofErr w:type="spellStart"/>
      <w:r w:rsidRPr="00EA70A2">
        <w:rPr>
          <w:rFonts w:ascii="Tahoma" w:eastAsia="Calibri" w:hAnsi="Tahoma" w:cs="Tahoma"/>
          <w:lang w:val="es-MX"/>
        </w:rPr>
        <w:t>1SMMLV</w:t>
      </w:r>
      <w:proofErr w:type="spellEnd"/>
      <w:r w:rsidRPr="00EA70A2">
        <w:rPr>
          <w:rFonts w:ascii="Tahoma" w:eastAsia="Calibri" w:hAnsi="Tahoma" w:cs="Tahoma"/>
          <w:lang w:val="es-MX"/>
        </w:rPr>
        <w:t xml:space="preserve"> por cada entidad, dispuso el grado jurisdiccional de consulta en favor de la Administradora Colombiana de Pensiones- Colpensiones</w:t>
      </w:r>
      <w:r w:rsidR="00681AFC" w:rsidRPr="00EA70A2">
        <w:rPr>
          <w:rFonts w:ascii="Tahoma" w:eastAsia="Calibri" w:hAnsi="Tahoma" w:cs="Tahoma"/>
          <w:lang w:val="es-MX"/>
        </w:rPr>
        <w:t xml:space="preserve">, y el archivo una vez ejecutoriada la </w:t>
      </w:r>
      <w:r w:rsidR="004A5273" w:rsidRPr="00EA70A2">
        <w:rPr>
          <w:rFonts w:ascii="Tahoma" w:eastAsia="Calibri" w:hAnsi="Tahoma" w:cs="Tahoma"/>
          <w:lang w:val="es-MX"/>
        </w:rPr>
        <w:t>decisión</w:t>
      </w:r>
      <w:r w:rsidR="00681AFC" w:rsidRPr="00EA70A2">
        <w:rPr>
          <w:rFonts w:ascii="Tahoma" w:eastAsia="Calibri" w:hAnsi="Tahoma" w:cs="Tahoma"/>
          <w:lang w:val="es-MX"/>
        </w:rPr>
        <w:t>.</w:t>
      </w:r>
    </w:p>
    <w:p w14:paraId="27E4B6FD" w14:textId="77777777" w:rsidR="00696B0D" w:rsidRPr="00EA70A2" w:rsidRDefault="00696B0D" w:rsidP="00EA70A2">
      <w:pPr>
        <w:widowControl w:val="0"/>
        <w:autoSpaceDE w:val="0"/>
        <w:autoSpaceDN w:val="0"/>
        <w:spacing w:before="0" w:beforeAutospacing="0" w:after="0" w:afterAutospacing="0" w:line="276" w:lineRule="auto"/>
        <w:contextualSpacing/>
        <w:rPr>
          <w:rFonts w:ascii="Tahoma" w:eastAsia="Calibri" w:hAnsi="Tahoma" w:cs="Tahoma"/>
          <w:lang w:val="es-MX"/>
        </w:rPr>
      </w:pPr>
    </w:p>
    <w:p w14:paraId="6335E97A" w14:textId="27D4750B" w:rsidR="00196BDB" w:rsidRPr="00EA70A2" w:rsidRDefault="00196BDB" w:rsidP="00EA70A2">
      <w:pPr>
        <w:widowControl w:val="0"/>
        <w:autoSpaceDE w:val="0"/>
        <w:autoSpaceDN w:val="0"/>
        <w:spacing w:before="0" w:beforeAutospacing="0" w:after="0" w:afterAutospacing="0" w:line="276" w:lineRule="auto"/>
        <w:contextualSpacing/>
        <w:rPr>
          <w:rFonts w:ascii="Tahoma" w:eastAsia="Calibri" w:hAnsi="Tahoma" w:cs="Tahoma"/>
          <w:lang w:val="es-MX"/>
        </w:rPr>
      </w:pPr>
      <w:r w:rsidRPr="00EA70A2">
        <w:rPr>
          <w:rFonts w:ascii="Tahoma" w:eastAsia="Calibri" w:hAnsi="Tahoma" w:cs="Tahoma"/>
          <w:lang w:val="es-MX"/>
        </w:rPr>
        <w:t xml:space="preserve">Para llegar a esta determinación el operador judicial previo recuento normativo y jurisprudencial, indicó que si bien la selección del régimen es libre y voluntario para el afiliado, ello no exime a los administradores de los fondos de pensiones de brindar información clara, cierta comprensible y oportuna de las características, condiciones, diferencias, riesgos y consecuencias del cambio de régimen pensional, recordó que tratándose de ineficacias del traslado opera una inversión de carga de la prueba correspondiéndole a la AFP demostrar que si brindo dicha información, aunado a que los actos de relacionamiento no convalidan el deber de información trasgredido al momento de la afiliación. Añadió que, de los anexos presentados por la AFP llamada a juicio, incluyendo el formulario de afiliación no ofrecían claridad sobre la información que se le presentó a la demandante al momento del traslado, y rendido el interrogatorio de parte no se obtuvo prueba de confesión. </w:t>
      </w:r>
      <w:r w:rsidR="005C654D" w:rsidRPr="00EA70A2">
        <w:rPr>
          <w:rFonts w:ascii="Tahoma" w:eastAsia="Calibri" w:hAnsi="Tahoma" w:cs="Tahoma"/>
          <w:lang w:val="es-MX"/>
        </w:rPr>
        <w:t xml:space="preserve">Señaló que para el caso concreto de la demandante no era predicable la prohibición establecida en el </w:t>
      </w:r>
      <w:r w:rsidR="00E624FB" w:rsidRPr="00EA70A2">
        <w:rPr>
          <w:rFonts w:ascii="Tahoma" w:eastAsia="Calibri" w:hAnsi="Tahoma" w:cs="Tahoma"/>
          <w:lang w:val="es-MX"/>
        </w:rPr>
        <w:t xml:space="preserve">literal e) del artículo 13 de la Ley 100 de 1993, pues en su versión original </w:t>
      </w:r>
      <w:r w:rsidR="00594FA7" w:rsidRPr="00EA70A2">
        <w:rPr>
          <w:rFonts w:ascii="Tahoma" w:eastAsia="Calibri" w:hAnsi="Tahoma" w:cs="Tahoma"/>
          <w:lang w:val="es-MX"/>
        </w:rPr>
        <w:t xml:space="preserve">la ley </w:t>
      </w:r>
      <w:r w:rsidR="00E624FB" w:rsidRPr="00EA70A2">
        <w:rPr>
          <w:rFonts w:ascii="Tahoma" w:eastAsia="Calibri" w:hAnsi="Tahoma" w:cs="Tahoma"/>
          <w:lang w:val="es-MX"/>
        </w:rPr>
        <w:t xml:space="preserve">no contempló la prohibición de traslado cuando faltaren diez años o menos para cumplir la edad para tener derecho a la pensión de vejez. </w:t>
      </w:r>
      <w:r w:rsidR="00594FA7" w:rsidRPr="00EA70A2">
        <w:rPr>
          <w:rFonts w:ascii="Tahoma" w:eastAsia="Calibri" w:hAnsi="Tahoma" w:cs="Tahoma"/>
          <w:lang w:val="es-MX"/>
        </w:rPr>
        <w:t>Con todo, c</w:t>
      </w:r>
      <w:r w:rsidRPr="00EA70A2">
        <w:rPr>
          <w:rFonts w:ascii="Tahoma" w:eastAsia="Calibri" w:hAnsi="Tahoma" w:cs="Tahoma"/>
          <w:lang w:val="es-MX"/>
        </w:rPr>
        <w:t>oncluyó que el fondo incumplió la carga de la prueba impuesta debido a que la decisión de traslado no estuvo precedida por la compresión e información suficiente.</w:t>
      </w:r>
    </w:p>
    <w:p w14:paraId="3EADF799" w14:textId="1F6DFF24" w:rsidR="002E4ECA" w:rsidRPr="00EA70A2" w:rsidRDefault="002E4ECA" w:rsidP="00EA70A2">
      <w:pPr>
        <w:widowControl w:val="0"/>
        <w:autoSpaceDE w:val="0"/>
        <w:autoSpaceDN w:val="0"/>
        <w:spacing w:before="0" w:beforeAutospacing="0" w:after="0" w:afterAutospacing="0" w:line="276" w:lineRule="auto"/>
        <w:ind w:firstLine="0"/>
        <w:contextualSpacing/>
        <w:rPr>
          <w:rFonts w:ascii="Tahoma" w:eastAsia="Calibri" w:hAnsi="Tahoma" w:cs="Tahoma"/>
          <w:lang w:val="es-MX"/>
        </w:rPr>
      </w:pPr>
    </w:p>
    <w:p w14:paraId="1CC27736" w14:textId="40448A4B" w:rsidR="00DF14E4" w:rsidRPr="00EA70A2" w:rsidRDefault="002E4ECA" w:rsidP="00EA70A2">
      <w:pPr>
        <w:pStyle w:val="Prrafodelista"/>
        <w:widowControl w:val="0"/>
        <w:numPr>
          <w:ilvl w:val="0"/>
          <w:numId w:val="1"/>
        </w:numPr>
        <w:autoSpaceDE w:val="0"/>
        <w:autoSpaceDN w:val="0"/>
        <w:spacing w:line="276" w:lineRule="auto"/>
        <w:jc w:val="center"/>
        <w:rPr>
          <w:rFonts w:eastAsia="Calibri" w:cs="Tahoma"/>
          <w:b/>
          <w:bCs/>
          <w:szCs w:val="24"/>
          <w:lang w:val="es-MX"/>
        </w:rPr>
      </w:pPr>
      <w:r w:rsidRPr="00EA70A2">
        <w:rPr>
          <w:rFonts w:eastAsia="Calibri" w:cs="Tahoma"/>
          <w:b/>
          <w:bCs/>
          <w:szCs w:val="24"/>
          <w:lang w:val="es-MX"/>
        </w:rPr>
        <w:t>Recurso de apelación y procedencia del grado jurisdiccional de consulta</w:t>
      </w:r>
    </w:p>
    <w:p w14:paraId="207A34D1" w14:textId="77777777" w:rsidR="007D6C4F" w:rsidRPr="00EA70A2" w:rsidRDefault="007D6C4F" w:rsidP="00EA70A2">
      <w:pPr>
        <w:pStyle w:val="Prrafodelista"/>
        <w:widowControl w:val="0"/>
        <w:autoSpaceDE w:val="0"/>
        <w:autoSpaceDN w:val="0"/>
        <w:spacing w:line="276" w:lineRule="auto"/>
        <w:rPr>
          <w:rFonts w:eastAsia="Calibri" w:cs="Tahoma"/>
          <w:b/>
          <w:bCs/>
          <w:szCs w:val="24"/>
          <w:lang w:val="es-MX"/>
        </w:rPr>
      </w:pPr>
    </w:p>
    <w:p w14:paraId="36EB86E6" w14:textId="77777777" w:rsidR="0027713B" w:rsidRPr="00EA70A2" w:rsidRDefault="0027713B" w:rsidP="00EA70A2">
      <w:pPr>
        <w:widowControl w:val="0"/>
        <w:autoSpaceDE w:val="0"/>
        <w:autoSpaceDN w:val="0"/>
        <w:adjustRightInd w:val="0"/>
        <w:spacing w:before="0" w:beforeAutospacing="0" w:after="0" w:afterAutospacing="0" w:line="276" w:lineRule="auto"/>
        <w:ind w:firstLine="706"/>
        <w:rPr>
          <w:rFonts w:ascii="Tahoma" w:eastAsia="Calibri" w:hAnsi="Tahoma" w:cs="Tahoma"/>
          <w:lang w:val="es-MX"/>
        </w:rPr>
      </w:pPr>
      <w:r w:rsidRPr="00EA70A2">
        <w:rPr>
          <w:rFonts w:ascii="Tahoma" w:eastAsia="Calibri" w:hAnsi="Tahoma" w:cs="Tahoma"/>
          <w:b/>
          <w:bCs/>
          <w:lang w:val="es-ES"/>
        </w:rPr>
        <w:t>La Administradora Colombiana de Pensiones-</w:t>
      </w:r>
      <w:r w:rsidRPr="00EA70A2">
        <w:rPr>
          <w:rFonts w:ascii="Tahoma" w:eastAsia="Calibri" w:hAnsi="Tahoma" w:cs="Tahoma"/>
          <w:lang w:val="es-ES"/>
        </w:rPr>
        <w:t xml:space="preserve"> </w:t>
      </w:r>
      <w:r w:rsidRPr="00EA70A2">
        <w:rPr>
          <w:rFonts w:ascii="Tahoma" w:eastAsia="Calibri" w:hAnsi="Tahoma" w:cs="Tahoma"/>
          <w:b/>
          <w:bCs/>
          <w:lang w:val="es-MX"/>
        </w:rPr>
        <w:t>Colpensiones</w:t>
      </w:r>
      <w:r w:rsidRPr="00EA70A2">
        <w:rPr>
          <w:rFonts w:ascii="Tahoma" w:eastAsia="Calibri" w:hAnsi="Tahoma" w:cs="Tahoma"/>
          <w:lang w:val="es-MX"/>
        </w:rPr>
        <w:t xml:space="preserve"> interpuso recurso de apelación, señalando que la demandante firmó el formulario de afiliación de forma libre, voluntaria y sin presiones, no era beneficiaria del régimen de transición y se encuentra incursa en la prohibición legal contenida en el </w:t>
      </w:r>
      <w:r w:rsidRPr="00EA70A2">
        <w:rPr>
          <w:rFonts w:ascii="Tahoma" w:eastAsia="Calibri" w:hAnsi="Tahoma" w:cs="Tahoma"/>
          <w:lang w:val="es-ES"/>
        </w:rPr>
        <w:t>artículo 2 de la Ley 797 de 2003</w:t>
      </w:r>
      <w:r w:rsidRPr="00EA70A2">
        <w:rPr>
          <w:rFonts w:ascii="Tahoma" w:eastAsia="Calibri" w:hAnsi="Tahoma" w:cs="Tahoma"/>
          <w:lang w:val="es-MX"/>
        </w:rPr>
        <w:t>.</w:t>
      </w:r>
    </w:p>
    <w:p w14:paraId="04A30791" w14:textId="77777777" w:rsidR="0027713B" w:rsidRPr="00EA70A2" w:rsidRDefault="0027713B" w:rsidP="00EA70A2">
      <w:pPr>
        <w:widowControl w:val="0"/>
        <w:autoSpaceDE w:val="0"/>
        <w:autoSpaceDN w:val="0"/>
        <w:adjustRightInd w:val="0"/>
        <w:spacing w:before="0" w:beforeAutospacing="0" w:after="0" w:afterAutospacing="0" w:line="276" w:lineRule="auto"/>
        <w:ind w:firstLine="706"/>
        <w:rPr>
          <w:rFonts w:ascii="Tahoma" w:eastAsia="Calibri" w:hAnsi="Tahoma" w:cs="Tahoma"/>
          <w:lang w:val="es-MX"/>
        </w:rPr>
      </w:pPr>
    </w:p>
    <w:p w14:paraId="7D65E943" w14:textId="77777777" w:rsidR="0027713B" w:rsidRPr="00EA70A2" w:rsidRDefault="0027713B" w:rsidP="00EA70A2">
      <w:pPr>
        <w:widowControl w:val="0"/>
        <w:autoSpaceDE w:val="0"/>
        <w:autoSpaceDN w:val="0"/>
        <w:adjustRightInd w:val="0"/>
        <w:spacing w:before="0" w:beforeAutospacing="0" w:after="0" w:afterAutospacing="0" w:line="276" w:lineRule="auto"/>
        <w:ind w:firstLine="706"/>
        <w:rPr>
          <w:rFonts w:ascii="Tahoma" w:eastAsia="Calibri" w:hAnsi="Tahoma" w:cs="Tahoma"/>
          <w:lang w:val="es-MX"/>
        </w:rPr>
      </w:pPr>
      <w:r w:rsidRPr="00EA70A2">
        <w:rPr>
          <w:rFonts w:ascii="Tahoma" w:eastAsia="Calibri" w:hAnsi="Tahoma" w:cs="Tahoma"/>
          <w:lang w:val="es-MX"/>
        </w:rPr>
        <w:tab/>
        <w:t xml:space="preserve">Solicita que al perseguir un fin netamente económico se nieguen las pretensiones, ya que en lugar de la ineficacia del traslado era procedente incoar una acción de resarcimiento de perjuicios. </w:t>
      </w:r>
    </w:p>
    <w:p w14:paraId="49B2BA42" w14:textId="77777777" w:rsidR="0027713B" w:rsidRPr="00EA70A2" w:rsidRDefault="0027713B" w:rsidP="00EA70A2">
      <w:pPr>
        <w:widowControl w:val="0"/>
        <w:autoSpaceDE w:val="0"/>
        <w:autoSpaceDN w:val="0"/>
        <w:adjustRightInd w:val="0"/>
        <w:spacing w:before="0" w:beforeAutospacing="0" w:after="0" w:afterAutospacing="0" w:line="276" w:lineRule="auto"/>
        <w:ind w:firstLine="706"/>
        <w:rPr>
          <w:rFonts w:ascii="Tahoma" w:eastAsia="Calibri" w:hAnsi="Tahoma" w:cs="Tahoma"/>
          <w:lang w:val="es-MX"/>
        </w:rPr>
      </w:pPr>
    </w:p>
    <w:p w14:paraId="68A046D2" w14:textId="77777777" w:rsidR="0027713B" w:rsidRPr="00EA70A2" w:rsidRDefault="0027713B" w:rsidP="00EA70A2">
      <w:pPr>
        <w:widowControl w:val="0"/>
        <w:autoSpaceDE w:val="0"/>
        <w:autoSpaceDN w:val="0"/>
        <w:adjustRightInd w:val="0"/>
        <w:spacing w:before="0" w:beforeAutospacing="0" w:after="0" w:afterAutospacing="0" w:line="276" w:lineRule="auto"/>
        <w:ind w:firstLine="706"/>
        <w:rPr>
          <w:rFonts w:ascii="Tahoma" w:eastAsia="Calibri" w:hAnsi="Tahoma" w:cs="Tahoma"/>
          <w:lang w:val="es-MX"/>
        </w:rPr>
      </w:pPr>
      <w:r w:rsidRPr="00EA70A2">
        <w:rPr>
          <w:rFonts w:ascii="Tahoma" w:eastAsia="Calibri" w:hAnsi="Tahoma" w:cs="Tahoma"/>
          <w:lang w:val="es-MX"/>
        </w:rPr>
        <w:tab/>
        <w:t>Agrega que Colpensiones es un tercero afectado con el acto declarado ineficaz, porque no participó en el engaño u omisión por parte de la AFP; sin embargo, se le obliga a resarcir un daño que no causó, y por ello, en caso de confirmarse la decisión, peticiona que a título de sanción se le condene a Porvenir S.A. a pagar a Colpensiones un cálculo actuarial proporcional a las mesadas pensionales que le asisten a la demandante con base en los parámetros de liquidación del RPM.</w:t>
      </w:r>
    </w:p>
    <w:p w14:paraId="05FAE9F5" w14:textId="77777777" w:rsidR="00155777" w:rsidRPr="00EA70A2" w:rsidRDefault="00155777" w:rsidP="00EA70A2">
      <w:pPr>
        <w:widowControl w:val="0"/>
        <w:autoSpaceDE w:val="0"/>
        <w:autoSpaceDN w:val="0"/>
        <w:adjustRightInd w:val="0"/>
        <w:spacing w:before="0" w:beforeAutospacing="0" w:after="0" w:afterAutospacing="0" w:line="276" w:lineRule="auto"/>
        <w:ind w:firstLine="706"/>
        <w:rPr>
          <w:rFonts w:ascii="Tahoma" w:eastAsia="Calibri" w:hAnsi="Tahoma" w:cs="Tahoma"/>
          <w:lang w:val="es-MX"/>
        </w:rPr>
      </w:pPr>
    </w:p>
    <w:p w14:paraId="7DA43B9F" w14:textId="7748094C" w:rsidR="00756040" w:rsidRPr="00EA70A2" w:rsidRDefault="00A250DF" w:rsidP="00EA70A2">
      <w:pPr>
        <w:widowControl w:val="0"/>
        <w:autoSpaceDE w:val="0"/>
        <w:autoSpaceDN w:val="0"/>
        <w:adjustRightInd w:val="0"/>
        <w:spacing w:before="0" w:beforeAutospacing="0" w:after="0" w:afterAutospacing="0" w:line="276" w:lineRule="auto"/>
        <w:ind w:firstLine="706"/>
        <w:rPr>
          <w:rFonts w:ascii="Tahoma" w:eastAsia="Calibri" w:hAnsi="Tahoma" w:cs="Tahoma"/>
          <w:lang w:val="es-ES"/>
        </w:rPr>
      </w:pPr>
      <w:r w:rsidRPr="00EA70A2">
        <w:rPr>
          <w:rFonts w:ascii="Tahoma" w:hAnsi="Tahoma" w:cs="Tahoma"/>
        </w:rPr>
        <w:t xml:space="preserve">Con el mismo recurso, </w:t>
      </w:r>
      <w:r w:rsidR="009D6EF2" w:rsidRPr="00EA70A2">
        <w:rPr>
          <w:rFonts w:ascii="Tahoma" w:hAnsi="Tahoma" w:cs="Tahoma"/>
        </w:rPr>
        <w:t>l</w:t>
      </w:r>
      <w:r w:rsidR="00DF14E4" w:rsidRPr="00EA70A2">
        <w:rPr>
          <w:rFonts w:ascii="Tahoma" w:eastAsia="Calibri" w:hAnsi="Tahoma" w:cs="Tahoma"/>
          <w:lang w:val="es-MX"/>
        </w:rPr>
        <w:t xml:space="preserve">a apoderada judicial de </w:t>
      </w:r>
      <w:r w:rsidR="00DF14E4" w:rsidRPr="00EA70A2">
        <w:rPr>
          <w:rFonts w:ascii="Tahoma" w:eastAsia="Calibri" w:hAnsi="Tahoma" w:cs="Tahoma"/>
          <w:b/>
          <w:bCs/>
          <w:lang w:val="es-MX"/>
        </w:rPr>
        <w:t>Porvenir S.A</w:t>
      </w:r>
      <w:r w:rsidR="004A5273">
        <w:rPr>
          <w:rFonts w:ascii="Tahoma" w:eastAsia="Calibri" w:hAnsi="Tahoma" w:cs="Tahoma"/>
          <w:b/>
          <w:bCs/>
          <w:lang w:val="es-MX"/>
        </w:rPr>
        <w:t>.</w:t>
      </w:r>
      <w:r w:rsidR="00DF14E4" w:rsidRPr="00EA70A2">
        <w:rPr>
          <w:rFonts w:ascii="Tahoma" w:eastAsia="Calibri" w:hAnsi="Tahoma" w:cs="Tahoma"/>
          <w:lang w:val="es-MX"/>
        </w:rPr>
        <w:t xml:space="preserve"> </w:t>
      </w:r>
      <w:r w:rsidR="0029670B" w:rsidRPr="00EA70A2">
        <w:rPr>
          <w:rFonts w:ascii="Tahoma" w:eastAsia="Calibri" w:hAnsi="Tahoma" w:cs="Tahoma"/>
          <w:lang w:val="es-MX"/>
        </w:rPr>
        <w:t xml:space="preserve">precisó su inconformidad respecto </w:t>
      </w:r>
      <w:r w:rsidR="006721B6" w:rsidRPr="00EA70A2">
        <w:rPr>
          <w:rFonts w:ascii="Tahoma" w:eastAsia="Calibri" w:hAnsi="Tahoma" w:cs="Tahoma"/>
          <w:lang w:val="es-MX"/>
        </w:rPr>
        <w:t xml:space="preserve">de </w:t>
      </w:r>
      <w:r w:rsidR="0029670B" w:rsidRPr="00EA70A2">
        <w:rPr>
          <w:rFonts w:ascii="Tahoma" w:eastAsia="Calibri" w:hAnsi="Tahoma" w:cs="Tahoma"/>
          <w:lang w:val="es-MX"/>
        </w:rPr>
        <w:t>la condena que le ordenó la devolución de los rendimientos financieros</w:t>
      </w:r>
      <w:r w:rsidR="00581CDF" w:rsidRPr="00EA70A2">
        <w:rPr>
          <w:rFonts w:ascii="Tahoma" w:eastAsia="Calibri" w:hAnsi="Tahoma" w:cs="Tahoma"/>
          <w:lang w:val="es-MX"/>
        </w:rPr>
        <w:t xml:space="preserve"> </w:t>
      </w:r>
      <w:r w:rsidR="0029670B" w:rsidRPr="00EA70A2">
        <w:rPr>
          <w:rFonts w:ascii="Tahoma" w:eastAsia="Calibri" w:hAnsi="Tahoma" w:cs="Tahoma"/>
          <w:lang w:val="es-MX"/>
        </w:rPr>
        <w:t>junto con los gastos de administración,</w:t>
      </w:r>
      <w:r w:rsidR="00F441C8" w:rsidRPr="00EA70A2">
        <w:rPr>
          <w:rFonts w:ascii="Tahoma" w:eastAsia="Calibri" w:hAnsi="Tahoma" w:cs="Tahoma"/>
          <w:lang w:val="es-MX"/>
        </w:rPr>
        <w:t xml:space="preserve"> señalando que el </w:t>
      </w:r>
      <w:r w:rsidR="00756040" w:rsidRPr="00EA70A2">
        <w:rPr>
          <w:rFonts w:ascii="Tahoma" w:eastAsia="Calibri" w:hAnsi="Tahoma" w:cs="Tahoma"/>
          <w:lang w:val="es-ES"/>
        </w:rPr>
        <w:t xml:space="preserve">artículo 1746 del Código Civil, </w:t>
      </w:r>
      <w:r w:rsidR="00F441C8" w:rsidRPr="00EA70A2">
        <w:rPr>
          <w:rFonts w:ascii="Tahoma" w:eastAsia="Calibri" w:hAnsi="Tahoma" w:cs="Tahoma"/>
          <w:lang w:val="es-ES"/>
        </w:rPr>
        <w:t xml:space="preserve">dispone el deber de restitución mutua </w:t>
      </w:r>
      <w:r w:rsidR="00756040" w:rsidRPr="00EA70A2">
        <w:rPr>
          <w:rFonts w:ascii="Tahoma" w:eastAsia="Calibri" w:hAnsi="Tahoma" w:cs="Tahoma"/>
          <w:lang w:val="es-ES"/>
        </w:rPr>
        <w:t>con independencia de la causa que d</w:t>
      </w:r>
      <w:r w:rsidR="006721B6" w:rsidRPr="00EA70A2">
        <w:rPr>
          <w:rFonts w:ascii="Tahoma" w:eastAsia="Calibri" w:hAnsi="Tahoma" w:cs="Tahoma"/>
          <w:lang w:val="es-ES"/>
        </w:rPr>
        <w:t>a</w:t>
      </w:r>
      <w:r w:rsidR="00756040" w:rsidRPr="00EA70A2">
        <w:rPr>
          <w:rFonts w:ascii="Tahoma" w:eastAsia="Calibri" w:hAnsi="Tahoma" w:cs="Tahoma"/>
          <w:lang w:val="es-ES"/>
        </w:rPr>
        <w:t xml:space="preserve"> lugar a declarar ineficaz el acto del traslado, </w:t>
      </w:r>
      <w:r w:rsidR="006721B6" w:rsidRPr="00EA70A2">
        <w:rPr>
          <w:rFonts w:ascii="Tahoma" w:eastAsia="Calibri" w:hAnsi="Tahoma" w:cs="Tahoma"/>
          <w:lang w:val="es-ES"/>
        </w:rPr>
        <w:t xml:space="preserve">argumenta que, </w:t>
      </w:r>
      <w:r w:rsidR="00756040" w:rsidRPr="00EA70A2">
        <w:rPr>
          <w:rFonts w:ascii="Tahoma" w:eastAsia="Calibri" w:hAnsi="Tahoma" w:cs="Tahoma"/>
          <w:lang w:val="es-ES"/>
        </w:rPr>
        <w:t xml:space="preserve">no se puede desconocer </w:t>
      </w:r>
      <w:r w:rsidR="008C6F12" w:rsidRPr="00EA70A2">
        <w:rPr>
          <w:rFonts w:ascii="Tahoma" w:eastAsia="Calibri" w:hAnsi="Tahoma" w:cs="Tahoma"/>
          <w:lang w:val="es-ES"/>
        </w:rPr>
        <w:t>el actor al sufragar los gastos de administración</w:t>
      </w:r>
      <w:r w:rsidR="00247B19" w:rsidRPr="00EA70A2">
        <w:rPr>
          <w:rFonts w:ascii="Tahoma" w:eastAsia="Calibri" w:hAnsi="Tahoma" w:cs="Tahoma"/>
          <w:lang w:val="es-ES"/>
        </w:rPr>
        <w:t xml:space="preserve">, </w:t>
      </w:r>
      <w:r w:rsidR="008C6F12" w:rsidRPr="00EA70A2">
        <w:rPr>
          <w:rFonts w:ascii="Tahoma" w:eastAsia="Calibri" w:hAnsi="Tahoma" w:cs="Tahoma"/>
          <w:lang w:val="es-ES"/>
        </w:rPr>
        <w:t xml:space="preserve">permitió que </w:t>
      </w:r>
      <w:r w:rsidR="00756040" w:rsidRPr="00EA70A2">
        <w:rPr>
          <w:rFonts w:ascii="Tahoma" w:eastAsia="Calibri" w:hAnsi="Tahoma" w:cs="Tahoma"/>
          <w:lang w:val="es-ES"/>
        </w:rPr>
        <w:t xml:space="preserve">la labor de la AFP </w:t>
      </w:r>
      <w:r w:rsidR="008C6F12" w:rsidRPr="00EA70A2">
        <w:rPr>
          <w:rFonts w:ascii="Tahoma" w:eastAsia="Calibri" w:hAnsi="Tahoma" w:cs="Tahoma"/>
          <w:lang w:val="es-ES"/>
        </w:rPr>
        <w:t xml:space="preserve">incrementara </w:t>
      </w:r>
      <w:r w:rsidR="00756040" w:rsidRPr="00EA70A2">
        <w:rPr>
          <w:rFonts w:ascii="Tahoma" w:eastAsia="Calibri" w:hAnsi="Tahoma" w:cs="Tahoma"/>
          <w:lang w:val="es-ES"/>
        </w:rPr>
        <w:t>el capital de la cuenta de ahorro individual, por medio de los rendimientos financieros</w:t>
      </w:r>
      <w:r w:rsidR="008C6F12" w:rsidRPr="00EA70A2">
        <w:rPr>
          <w:rFonts w:ascii="Tahoma" w:eastAsia="Calibri" w:hAnsi="Tahoma" w:cs="Tahoma"/>
          <w:lang w:val="es-ES"/>
        </w:rPr>
        <w:t xml:space="preserve">, que no se hubieran generado en el RPM. </w:t>
      </w:r>
      <w:r w:rsidR="00247B19" w:rsidRPr="00EA70A2">
        <w:rPr>
          <w:rFonts w:ascii="Tahoma" w:eastAsia="Calibri" w:hAnsi="Tahoma" w:cs="Tahoma"/>
          <w:lang w:val="es-ES"/>
        </w:rPr>
        <w:t xml:space="preserve">Asimismo, reprocha la devolución de las </w:t>
      </w:r>
      <w:r w:rsidR="00756040" w:rsidRPr="00EA70A2">
        <w:rPr>
          <w:rFonts w:ascii="Tahoma" w:eastAsia="Calibri" w:hAnsi="Tahoma" w:cs="Tahoma"/>
          <w:lang w:val="es-ES"/>
        </w:rPr>
        <w:t>cuotas de seguro previsional y cuotas destinadas a la pensión de garantía de pensión mínima</w:t>
      </w:r>
      <w:r w:rsidR="00247B19" w:rsidRPr="00EA70A2">
        <w:rPr>
          <w:rFonts w:ascii="Tahoma" w:eastAsia="Calibri" w:hAnsi="Tahoma" w:cs="Tahoma"/>
          <w:lang w:val="es-ES"/>
        </w:rPr>
        <w:t xml:space="preserve">, </w:t>
      </w:r>
      <w:r w:rsidR="00917FD3" w:rsidRPr="00EA70A2">
        <w:rPr>
          <w:rFonts w:ascii="Tahoma" w:eastAsia="Calibri" w:hAnsi="Tahoma" w:cs="Tahoma"/>
          <w:lang w:val="es-ES"/>
        </w:rPr>
        <w:t xml:space="preserve">advirtiendo que se hicieron por disposición legal y las primeras fueron pagadas a la aseguradora, por lo que la devolución debía correr a costa de la aseguradora que no </w:t>
      </w:r>
      <w:r w:rsidR="00CB0B68" w:rsidRPr="00EA70A2">
        <w:rPr>
          <w:rFonts w:ascii="Tahoma" w:eastAsia="Calibri" w:hAnsi="Tahoma" w:cs="Tahoma"/>
          <w:lang w:val="es-ES"/>
        </w:rPr>
        <w:t xml:space="preserve">fue </w:t>
      </w:r>
      <w:r w:rsidR="00917FD3" w:rsidRPr="00EA70A2">
        <w:rPr>
          <w:rFonts w:ascii="Tahoma" w:eastAsia="Calibri" w:hAnsi="Tahoma" w:cs="Tahoma"/>
          <w:lang w:val="es-ES"/>
        </w:rPr>
        <w:t>vinculada al litigio.</w:t>
      </w:r>
    </w:p>
    <w:p w14:paraId="76CB07CC" w14:textId="77777777" w:rsidR="0029670B" w:rsidRPr="00EA70A2" w:rsidRDefault="0029670B" w:rsidP="00EA70A2">
      <w:pPr>
        <w:widowControl w:val="0"/>
        <w:autoSpaceDE w:val="0"/>
        <w:autoSpaceDN w:val="0"/>
        <w:adjustRightInd w:val="0"/>
        <w:spacing w:before="0" w:beforeAutospacing="0" w:after="0" w:afterAutospacing="0" w:line="276" w:lineRule="auto"/>
        <w:ind w:firstLine="706"/>
        <w:rPr>
          <w:rFonts w:ascii="Tahoma" w:hAnsi="Tahoma" w:cs="Tahoma"/>
        </w:rPr>
      </w:pPr>
    </w:p>
    <w:p w14:paraId="25C4887B" w14:textId="2D48EBCF" w:rsidR="00167007" w:rsidRPr="00EA70A2" w:rsidRDefault="00167007" w:rsidP="00EA70A2">
      <w:pPr>
        <w:spacing w:before="0" w:beforeAutospacing="0" w:after="0" w:afterAutospacing="0" w:line="276" w:lineRule="auto"/>
        <w:ind w:firstLine="706"/>
        <w:rPr>
          <w:rFonts w:ascii="Tahoma" w:hAnsi="Tahoma" w:cs="Tahoma"/>
        </w:rPr>
      </w:pPr>
      <w:r w:rsidRPr="00EA70A2">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p w14:paraId="61166DDB" w14:textId="1F8187DB" w:rsidR="00CB0B68" w:rsidRPr="00EA70A2" w:rsidRDefault="00CB0B68" w:rsidP="0096593D">
      <w:pPr>
        <w:widowControl w:val="0"/>
        <w:autoSpaceDE w:val="0"/>
        <w:autoSpaceDN w:val="0"/>
        <w:adjustRightInd w:val="0"/>
        <w:spacing w:before="0" w:beforeAutospacing="0" w:after="0" w:afterAutospacing="0" w:line="276" w:lineRule="auto"/>
        <w:ind w:firstLine="0"/>
        <w:rPr>
          <w:rFonts w:ascii="Tahoma" w:hAnsi="Tahoma" w:cs="Tahoma"/>
        </w:rPr>
      </w:pPr>
    </w:p>
    <w:p w14:paraId="2196F59C" w14:textId="52BC937F" w:rsidR="00E32EA3" w:rsidRPr="00EA70A2" w:rsidRDefault="00E32EA3" w:rsidP="00EA70A2">
      <w:pPr>
        <w:pStyle w:val="Prrafodelista"/>
        <w:widowControl w:val="0"/>
        <w:numPr>
          <w:ilvl w:val="0"/>
          <w:numId w:val="1"/>
        </w:numPr>
        <w:autoSpaceDE w:val="0"/>
        <w:autoSpaceDN w:val="0"/>
        <w:spacing w:line="276" w:lineRule="auto"/>
        <w:jc w:val="center"/>
        <w:rPr>
          <w:rFonts w:eastAsiaTheme="minorEastAsia" w:cs="Tahoma"/>
          <w:b/>
          <w:bCs/>
          <w:szCs w:val="24"/>
          <w:lang w:val="es-ES"/>
        </w:rPr>
      </w:pPr>
      <w:r w:rsidRPr="00EA70A2">
        <w:rPr>
          <w:rFonts w:eastAsia="Tahoma" w:cs="Tahoma"/>
          <w:b/>
          <w:bCs/>
          <w:szCs w:val="24"/>
          <w:lang w:val="es"/>
        </w:rPr>
        <w:t>Alegatos de conclusión</w:t>
      </w:r>
    </w:p>
    <w:p w14:paraId="37591586" w14:textId="77777777" w:rsidR="00E32EA3" w:rsidRPr="00EA70A2" w:rsidRDefault="00E32EA3" w:rsidP="00EA70A2">
      <w:pPr>
        <w:spacing w:before="0" w:beforeAutospacing="0" w:after="0" w:afterAutospacing="0" w:line="276" w:lineRule="auto"/>
        <w:ind w:firstLine="708"/>
        <w:contextualSpacing/>
        <w:rPr>
          <w:rFonts w:ascii="Tahoma" w:eastAsia="Tahoma" w:hAnsi="Tahoma" w:cs="Tahoma"/>
        </w:rPr>
      </w:pPr>
    </w:p>
    <w:p w14:paraId="18161100" w14:textId="63BBDBB7" w:rsidR="00E32EA3" w:rsidRPr="00EA70A2" w:rsidRDefault="00E32EA3" w:rsidP="00EA70A2">
      <w:pPr>
        <w:spacing w:before="0" w:beforeAutospacing="0" w:after="0" w:afterAutospacing="0" w:line="276" w:lineRule="auto"/>
        <w:ind w:firstLine="708"/>
        <w:contextualSpacing/>
        <w:rPr>
          <w:rFonts w:ascii="Tahoma" w:eastAsia="Tahoma" w:hAnsi="Tahoma" w:cs="Tahoma"/>
        </w:rPr>
      </w:pPr>
      <w:r w:rsidRPr="00EA70A2">
        <w:rPr>
          <w:rFonts w:ascii="Tahoma" w:eastAsia="Tahoma" w:hAnsi="Tahoma" w:cs="Tahoma"/>
        </w:rPr>
        <w:t xml:space="preserve">Analizados los alegatos por </w:t>
      </w:r>
      <w:r w:rsidR="00CB0B68" w:rsidRPr="00EA70A2">
        <w:rPr>
          <w:rFonts w:ascii="Tahoma" w:eastAsia="Tahoma" w:hAnsi="Tahoma" w:cs="Tahoma"/>
        </w:rPr>
        <w:t>las dema</w:t>
      </w:r>
      <w:r w:rsidR="0096593D">
        <w:rPr>
          <w:rFonts w:ascii="Tahoma" w:eastAsia="Tahoma" w:hAnsi="Tahoma" w:cs="Tahoma"/>
        </w:rPr>
        <w:t>n</w:t>
      </w:r>
      <w:r w:rsidR="00CB0B68" w:rsidRPr="00EA70A2">
        <w:rPr>
          <w:rFonts w:ascii="Tahoma" w:eastAsia="Tahoma" w:hAnsi="Tahoma" w:cs="Tahoma"/>
        </w:rPr>
        <w:t>dadas</w:t>
      </w:r>
      <w:r w:rsidRPr="00EA70A2">
        <w:rPr>
          <w:rFonts w:ascii="Tahoma" w:eastAsia="Tahoma" w:hAnsi="Tahoma" w:cs="Tahoma"/>
        </w:rPr>
        <w:t xml:space="preserve">, mismos que obran en el expediente digital y a los cuales nos remitimos por economía procesal en virtud del artículo 280 del </w:t>
      </w:r>
      <w:proofErr w:type="spellStart"/>
      <w:r w:rsidRPr="00EA70A2">
        <w:rPr>
          <w:rFonts w:ascii="Tahoma" w:eastAsia="Tahoma" w:hAnsi="Tahoma" w:cs="Tahoma"/>
        </w:rPr>
        <w:t>C.G.P</w:t>
      </w:r>
      <w:proofErr w:type="spellEnd"/>
      <w:r w:rsidRPr="00EA70A2">
        <w:rPr>
          <w:rFonts w:ascii="Tahoma" w:eastAsia="Tahoma" w:hAnsi="Tahoma" w:cs="Tahoma"/>
        </w:rPr>
        <w:t xml:space="preserve">., la Sala encuentra que los argumentos fácticos y jurídicos expresados concuerdan con los puntos objeto de discusión en esta instancia y se relacionan con el problema jurídico que se expresa más adelante. </w:t>
      </w:r>
    </w:p>
    <w:p w14:paraId="220BAC97" w14:textId="3BDE918E" w:rsidR="00B045AE" w:rsidRPr="00EA70A2" w:rsidRDefault="00B045AE" w:rsidP="0096593D">
      <w:pPr>
        <w:spacing w:before="0" w:beforeAutospacing="0" w:after="0" w:afterAutospacing="0" w:line="276" w:lineRule="auto"/>
        <w:ind w:firstLine="0"/>
        <w:contextualSpacing/>
        <w:rPr>
          <w:rFonts w:ascii="Tahoma" w:eastAsia="Tahoma" w:hAnsi="Tahoma" w:cs="Tahoma"/>
        </w:rPr>
      </w:pPr>
    </w:p>
    <w:p w14:paraId="5CE17358" w14:textId="6C4FD8F2" w:rsidR="00B351EF" w:rsidRPr="00EA70A2" w:rsidRDefault="00B351EF" w:rsidP="00EA70A2">
      <w:pPr>
        <w:pStyle w:val="Prrafodelista"/>
        <w:numPr>
          <w:ilvl w:val="0"/>
          <w:numId w:val="1"/>
        </w:numPr>
        <w:spacing w:line="276" w:lineRule="auto"/>
        <w:jc w:val="center"/>
        <w:rPr>
          <w:rFonts w:eastAsia="Times New Roman" w:cs="Tahoma"/>
          <w:b/>
          <w:bCs/>
          <w:szCs w:val="24"/>
          <w:lang w:val="es-ES" w:eastAsia="es-MX"/>
        </w:rPr>
      </w:pPr>
      <w:r w:rsidRPr="00EA70A2">
        <w:rPr>
          <w:rFonts w:eastAsia="Times New Roman" w:cs="Tahoma"/>
          <w:b/>
          <w:bCs/>
          <w:szCs w:val="24"/>
          <w:lang w:val="es-ES" w:eastAsia="es-MX"/>
        </w:rPr>
        <w:t>Problemas jurídicos por resolver</w:t>
      </w:r>
    </w:p>
    <w:p w14:paraId="4E42BAEB" w14:textId="77777777" w:rsidR="00B045AE" w:rsidRPr="00EA70A2" w:rsidRDefault="00B045AE" w:rsidP="00EA70A2">
      <w:pPr>
        <w:pStyle w:val="Prrafodelista"/>
        <w:spacing w:line="276" w:lineRule="auto"/>
        <w:rPr>
          <w:rFonts w:eastAsia="Times New Roman" w:cs="Tahoma"/>
          <w:b/>
          <w:bCs/>
          <w:szCs w:val="24"/>
          <w:lang w:val="es-ES" w:eastAsia="es-MX"/>
        </w:rPr>
      </w:pPr>
    </w:p>
    <w:p w14:paraId="1FD04655" w14:textId="77777777" w:rsidR="00B351EF" w:rsidRPr="00EA70A2" w:rsidRDefault="00B351EF" w:rsidP="00EA70A2">
      <w:pPr>
        <w:spacing w:before="0" w:beforeAutospacing="0" w:after="0" w:afterAutospacing="0" w:line="276" w:lineRule="auto"/>
        <w:ind w:firstLine="708"/>
        <w:contextualSpacing/>
        <w:rPr>
          <w:rFonts w:ascii="Tahoma" w:hAnsi="Tahoma" w:cs="Tahoma"/>
        </w:rPr>
      </w:pPr>
      <w:r w:rsidRPr="00EA70A2">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1426E480" w14:textId="77777777" w:rsidR="00B351EF" w:rsidRPr="00EA70A2" w:rsidRDefault="00B351EF" w:rsidP="00EA70A2">
      <w:pPr>
        <w:spacing w:before="0" w:beforeAutospacing="0" w:after="0" w:afterAutospacing="0" w:line="276" w:lineRule="auto"/>
        <w:ind w:firstLine="708"/>
        <w:contextualSpacing/>
        <w:rPr>
          <w:rFonts w:ascii="Tahoma" w:hAnsi="Tahoma" w:cs="Tahoma"/>
        </w:rPr>
      </w:pPr>
    </w:p>
    <w:p w14:paraId="23A39C5C" w14:textId="77777777" w:rsidR="00065AAC" w:rsidRPr="00EA70A2" w:rsidRDefault="00065AAC" w:rsidP="00EA70A2">
      <w:pPr>
        <w:pStyle w:val="Prrafodelista"/>
        <w:numPr>
          <w:ilvl w:val="0"/>
          <w:numId w:val="15"/>
        </w:numPr>
        <w:spacing w:line="276" w:lineRule="auto"/>
        <w:rPr>
          <w:rFonts w:cs="Tahoma"/>
          <w:szCs w:val="24"/>
        </w:rPr>
      </w:pPr>
      <w:r w:rsidRPr="00EA70A2">
        <w:rPr>
          <w:rFonts w:cs="Tahoma"/>
          <w:szCs w:val="24"/>
        </w:rPr>
        <w:t xml:space="preserve">Analizar si quedó probado en el proceso que la parte demandante recibió de parte de la AFP demandada, la asesoría e información suficiente y necesaria </w:t>
      </w:r>
      <w:r w:rsidRPr="00EA70A2">
        <w:rPr>
          <w:rFonts w:cs="Tahoma"/>
          <w:szCs w:val="24"/>
        </w:rPr>
        <w:lastRenderedPageBreak/>
        <w:t>para hacer el cambio de régimen, si el acto de afiliación fue válido y las consecuencias procesales de la declaratoria de la ineficacia del traslado.</w:t>
      </w:r>
    </w:p>
    <w:p w14:paraId="56B23A6E" w14:textId="77777777" w:rsidR="00065AAC" w:rsidRPr="00EA70A2" w:rsidRDefault="00065AAC" w:rsidP="00EA70A2">
      <w:pPr>
        <w:pStyle w:val="Prrafodelista"/>
        <w:spacing w:line="276" w:lineRule="auto"/>
        <w:rPr>
          <w:rFonts w:cs="Tahoma"/>
          <w:szCs w:val="24"/>
        </w:rPr>
      </w:pPr>
    </w:p>
    <w:p w14:paraId="0E7872F8" w14:textId="77777777" w:rsidR="00065AAC" w:rsidRPr="00EA70A2" w:rsidRDefault="00065AAC" w:rsidP="00EA70A2">
      <w:pPr>
        <w:pStyle w:val="Prrafodelista"/>
        <w:numPr>
          <w:ilvl w:val="0"/>
          <w:numId w:val="15"/>
        </w:numPr>
        <w:spacing w:line="276" w:lineRule="auto"/>
        <w:rPr>
          <w:rFonts w:cs="Tahoma"/>
          <w:szCs w:val="24"/>
        </w:rPr>
      </w:pPr>
      <w:r w:rsidRPr="00EA70A2">
        <w:rPr>
          <w:rFonts w:cs="Tahoma"/>
          <w:szCs w:val="24"/>
          <w:lang w:val="es"/>
        </w:rPr>
        <w:t xml:space="preserve">Definir si para dar por cumplido el deber de información de las AFP es suficiente el diligenciamiento del formulario de afiliación. </w:t>
      </w:r>
    </w:p>
    <w:p w14:paraId="3DDF41E0" w14:textId="77777777" w:rsidR="00065AAC" w:rsidRPr="00EA70A2" w:rsidRDefault="00065AAC" w:rsidP="00EA70A2">
      <w:pPr>
        <w:pStyle w:val="Prrafodelista"/>
        <w:spacing w:line="276" w:lineRule="auto"/>
        <w:rPr>
          <w:rFonts w:cs="Tahoma"/>
          <w:szCs w:val="24"/>
        </w:rPr>
      </w:pPr>
    </w:p>
    <w:p w14:paraId="38EF078A" w14:textId="77777777" w:rsidR="00065AAC" w:rsidRPr="00EA70A2" w:rsidRDefault="00065AAC" w:rsidP="00EA70A2">
      <w:pPr>
        <w:pStyle w:val="Prrafodelista"/>
        <w:numPr>
          <w:ilvl w:val="0"/>
          <w:numId w:val="15"/>
        </w:numPr>
        <w:spacing w:line="276" w:lineRule="auto"/>
        <w:rPr>
          <w:rFonts w:cs="Tahoma"/>
          <w:szCs w:val="24"/>
        </w:rPr>
      </w:pPr>
      <w:r w:rsidRPr="00EA70A2">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450118D1" w14:textId="77777777" w:rsidR="00065AAC" w:rsidRPr="00EA70A2" w:rsidRDefault="00065AAC" w:rsidP="00EA70A2">
      <w:pPr>
        <w:pStyle w:val="Prrafodelista"/>
        <w:spacing w:line="276" w:lineRule="auto"/>
        <w:rPr>
          <w:rFonts w:cs="Tahoma"/>
          <w:szCs w:val="24"/>
        </w:rPr>
      </w:pPr>
    </w:p>
    <w:p w14:paraId="5621E20A" w14:textId="77777777" w:rsidR="00065AAC" w:rsidRPr="00EA70A2" w:rsidRDefault="00065AAC" w:rsidP="00EA70A2">
      <w:pPr>
        <w:pStyle w:val="Prrafodelista"/>
        <w:numPr>
          <w:ilvl w:val="0"/>
          <w:numId w:val="15"/>
        </w:numPr>
        <w:spacing w:line="276" w:lineRule="auto"/>
        <w:rPr>
          <w:rFonts w:cs="Tahoma"/>
          <w:szCs w:val="24"/>
        </w:rPr>
      </w:pPr>
      <w:r w:rsidRPr="00EA70A2">
        <w:rPr>
          <w:rFonts w:cs="Tahoma"/>
          <w:szCs w:val="24"/>
        </w:rPr>
        <w:t>Determinar si la ineficacia del traslado solo es aplicable a afiliados beneficiarios del régimen de transición.</w:t>
      </w:r>
    </w:p>
    <w:p w14:paraId="6CE98AD9" w14:textId="77777777" w:rsidR="00065AAC" w:rsidRPr="00EA70A2" w:rsidRDefault="00065AAC" w:rsidP="00EA70A2">
      <w:pPr>
        <w:pStyle w:val="Prrafodelista"/>
        <w:spacing w:line="276" w:lineRule="auto"/>
        <w:rPr>
          <w:rFonts w:cs="Tahoma"/>
          <w:szCs w:val="24"/>
        </w:rPr>
      </w:pPr>
    </w:p>
    <w:p w14:paraId="2A6BB1DE" w14:textId="4C03BFC1" w:rsidR="00B351EF" w:rsidRPr="00EA70A2" w:rsidRDefault="00065AAC" w:rsidP="00EA70A2">
      <w:pPr>
        <w:pStyle w:val="Prrafodelista"/>
        <w:numPr>
          <w:ilvl w:val="0"/>
          <w:numId w:val="15"/>
        </w:numPr>
        <w:spacing w:line="276" w:lineRule="auto"/>
        <w:rPr>
          <w:rFonts w:cs="Tahoma"/>
          <w:szCs w:val="24"/>
        </w:rPr>
      </w:pPr>
      <w:r w:rsidRPr="00EA70A2">
        <w:rPr>
          <w:rFonts w:cs="Tahoma"/>
          <w:szCs w:val="24"/>
        </w:rPr>
        <w:t xml:space="preserve">Analizar si es procedente condenar a </w:t>
      </w:r>
      <w:r w:rsidR="004F4759" w:rsidRPr="00EA70A2">
        <w:rPr>
          <w:rFonts w:cs="Tahoma"/>
          <w:szCs w:val="24"/>
        </w:rPr>
        <w:t>Porvenir</w:t>
      </w:r>
      <w:r w:rsidRPr="00EA70A2">
        <w:rPr>
          <w:rFonts w:cs="Tahoma"/>
          <w:szCs w:val="24"/>
        </w:rPr>
        <w:t xml:space="preserve"> </w:t>
      </w:r>
      <w:proofErr w:type="spellStart"/>
      <w:r w:rsidRPr="00EA70A2">
        <w:rPr>
          <w:rFonts w:cs="Tahoma"/>
          <w:szCs w:val="24"/>
        </w:rPr>
        <w:t>S.A</w:t>
      </w:r>
      <w:proofErr w:type="spellEnd"/>
      <w:r w:rsidRPr="00EA70A2">
        <w:rPr>
          <w:rFonts w:cs="Tahoma"/>
          <w:szCs w:val="24"/>
        </w:rPr>
        <w:t xml:space="preserve"> a título de sanción al pago de un cálculo actuarial equivalente al valor total de las mesadas pensionales liquidadas bajo los parámetros del régimen de prima media.</w:t>
      </w:r>
    </w:p>
    <w:p w14:paraId="7425AC2B" w14:textId="77777777" w:rsidR="00B351EF" w:rsidRPr="00EA70A2" w:rsidRDefault="00B351EF" w:rsidP="00EA70A2">
      <w:pPr>
        <w:pStyle w:val="paragraph"/>
        <w:spacing w:before="0" w:beforeAutospacing="0" w:after="0" w:afterAutospacing="0" w:line="276" w:lineRule="auto"/>
        <w:jc w:val="both"/>
        <w:textAlignment w:val="baseline"/>
        <w:rPr>
          <w:rFonts w:ascii="Tahoma" w:hAnsi="Tahoma" w:cs="Tahoma"/>
        </w:rPr>
      </w:pPr>
    </w:p>
    <w:p w14:paraId="644AE92D" w14:textId="77777777" w:rsidR="00B351EF" w:rsidRPr="00EA70A2" w:rsidRDefault="00B351EF" w:rsidP="00EA70A2">
      <w:pPr>
        <w:widowControl w:val="0"/>
        <w:numPr>
          <w:ilvl w:val="0"/>
          <w:numId w:val="7"/>
        </w:numPr>
        <w:autoSpaceDE w:val="0"/>
        <w:autoSpaceDN w:val="0"/>
        <w:adjustRightInd w:val="0"/>
        <w:spacing w:before="0" w:beforeAutospacing="0" w:after="0" w:afterAutospacing="0" w:line="276" w:lineRule="auto"/>
        <w:jc w:val="center"/>
        <w:rPr>
          <w:rFonts w:ascii="Tahoma" w:eastAsia="Calibri" w:hAnsi="Tahoma" w:cs="Tahoma"/>
          <w:b/>
          <w:bCs/>
          <w:lang w:eastAsia="es-CO"/>
        </w:rPr>
      </w:pPr>
      <w:r w:rsidRPr="00EA70A2">
        <w:rPr>
          <w:rFonts w:ascii="Tahoma" w:eastAsia="Calibri" w:hAnsi="Tahoma" w:cs="Tahoma"/>
          <w:b/>
          <w:bCs/>
          <w:lang w:eastAsia="es-CO"/>
        </w:rPr>
        <w:t>Consideraciones</w:t>
      </w:r>
    </w:p>
    <w:p w14:paraId="28E0516B" w14:textId="77777777" w:rsidR="00B351EF" w:rsidRPr="00EA70A2" w:rsidRDefault="00B351EF" w:rsidP="00EA70A2">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40A04931" w14:textId="77777777" w:rsidR="00B351EF" w:rsidRPr="00EA70A2" w:rsidRDefault="00B351EF" w:rsidP="00EA70A2">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bCs/>
          <w:lang w:eastAsia="es-CO"/>
        </w:rPr>
      </w:pPr>
      <w:r w:rsidRPr="00EA70A2">
        <w:rPr>
          <w:rFonts w:ascii="Tahoma" w:eastAsia="Calibri" w:hAnsi="Tahoma" w:cs="Tahoma"/>
          <w:b/>
          <w:bCs/>
          <w:lang w:eastAsia="es-CO"/>
        </w:rPr>
        <w:t xml:space="preserve">Precedente vertical: la tesis de la Corte Suprema de Justicia respecto al tema de la ineficacia del traslado constituye doctrina probable </w:t>
      </w:r>
    </w:p>
    <w:p w14:paraId="6024B60A" w14:textId="77777777" w:rsidR="00B351EF" w:rsidRPr="00EA70A2" w:rsidRDefault="00B351EF" w:rsidP="00EA70A2">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7B688448" w14:textId="77777777" w:rsidR="00B351EF" w:rsidRPr="00EA70A2" w:rsidRDefault="00B351EF" w:rsidP="00EA70A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A70A2">
        <w:rPr>
          <w:rFonts w:ascii="Tahoma" w:eastAsia="Calibri" w:hAnsi="Tahoma" w:cs="Tahoma"/>
          <w:lang w:eastAsia="es-CO"/>
        </w:rPr>
        <w:t xml:space="preserve">En la actualidad existe </w:t>
      </w:r>
      <w:r w:rsidRPr="00EA70A2">
        <w:rPr>
          <w:rFonts w:ascii="Tahoma" w:eastAsia="Calibri" w:hAnsi="Tahoma" w:cs="Tahoma"/>
          <w:b/>
          <w:lang w:eastAsia="es-CO"/>
        </w:rPr>
        <w:t>doctrina probable</w:t>
      </w:r>
      <w:r w:rsidRPr="00EA70A2">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73A7B883" w14:textId="77777777" w:rsidR="00B351EF" w:rsidRPr="00EA70A2" w:rsidRDefault="00B351EF" w:rsidP="00EA70A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45E6B43" w14:textId="77777777" w:rsidR="00B351EF" w:rsidRPr="00EA70A2" w:rsidRDefault="00B351EF" w:rsidP="00EA70A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roofErr w:type="spellStart"/>
      <w:r w:rsidRPr="00EA70A2">
        <w:rPr>
          <w:rFonts w:ascii="Tahoma" w:eastAsia="Calibri" w:hAnsi="Tahoma" w:cs="Tahoma"/>
          <w:bCs/>
          <w:lang w:eastAsia="es-CO"/>
        </w:rPr>
        <w:t>SL</w:t>
      </w:r>
      <w:proofErr w:type="spellEnd"/>
      <w:r w:rsidRPr="00EA70A2">
        <w:rPr>
          <w:rFonts w:ascii="Tahoma" w:eastAsia="Calibri" w:hAnsi="Tahoma" w:cs="Tahoma"/>
          <w:bCs/>
          <w:lang w:eastAsia="es-CO"/>
        </w:rPr>
        <w:t xml:space="preserve"> 31989 del 9 sep. 2008, </w:t>
      </w:r>
      <w:proofErr w:type="spellStart"/>
      <w:r w:rsidRPr="00EA70A2">
        <w:rPr>
          <w:rFonts w:ascii="Tahoma" w:eastAsia="Calibri" w:hAnsi="Tahoma" w:cs="Tahoma"/>
          <w:lang w:eastAsia="es-CO"/>
        </w:rPr>
        <w:t>SL</w:t>
      </w:r>
      <w:proofErr w:type="spellEnd"/>
      <w:r w:rsidRPr="00EA70A2">
        <w:rPr>
          <w:rFonts w:ascii="Tahoma" w:eastAsia="Calibri" w:hAnsi="Tahoma" w:cs="Tahoma"/>
          <w:lang w:eastAsia="es-CO"/>
        </w:rPr>
        <w:t xml:space="preserve"> 31314 9 sep. 2008, </w:t>
      </w:r>
      <w:proofErr w:type="spellStart"/>
      <w:r w:rsidRPr="00EA70A2">
        <w:rPr>
          <w:rFonts w:ascii="Tahoma" w:eastAsia="Calibri" w:hAnsi="Tahoma" w:cs="Tahoma"/>
          <w:lang w:eastAsia="es-CO"/>
        </w:rPr>
        <w:t>SL</w:t>
      </w:r>
      <w:proofErr w:type="spellEnd"/>
      <w:r w:rsidRPr="00EA70A2">
        <w:rPr>
          <w:rFonts w:ascii="Tahoma" w:eastAsia="Calibri" w:hAnsi="Tahoma" w:cs="Tahoma"/>
          <w:lang w:eastAsia="es-CO"/>
        </w:rPr>
        <w:t xml:space="preserve"> 33083 22 nov. 2011, </w:t>
      </w:r>
      <w:proofErr w:type="spellStart"/>
      <w:r w:rsidRPr="00EA70A2">
        <w:rPr>
          <w:rFonts w:ascii="Tahoma" w:eastAsia="Calibri" w:hAnsi="Tahoma" w:cs="Tahoma"/>
          <w:lang w:eastAsia="es-CO"/>
        </w:rPr>
        <w:t>SL12136</w:t>
      </w:r>
      <w:proofErr w:type="spellEnd"/>
      <w:r w:rsidRPr="00EA70A2">
        <w:rPr>
          <w:rFonts w:ascii="Tahoma" w:eastAsia="Calibri" w:hAnsi="Tahoma" w:cs="Tahoma"/>
          <w:lang w:eastAsia="es-CO"/>
        </w:rPr>
        <w:t xml:space="preserve">-2014, </w:t>
      </w:r>
      <w:proofErr w:type="spellStart"/>
      <w:r w:rsidRPr="00EA70A2">
        <w:rPr>
          <w:rFonts w:ascii="Tahoma" w:eastAsia="Calibri" w:hAnsi="Tahoma" w:cs="Tahoma"/>
          <w:lang w:eastAsia="es-CO"/>
        </w:rPr>
        <w:t>SL19447</w:t>
      </w:r>
      <w:proofErr w:type="spellEnd"/>
      <w:r w:rsidRPr="00EA70A2">
        <w:rPr>
          <w:rFonts w:ascii="Tahoma" w:eastAsia="Calibri" w:hAnsi="Tahoma" w:cs="Tahoma"/>
          <w:lang w:eastAsia="es-CO"/>
        </w:rPr>
        <w:t xml:space="preserve">-2017, </w:t>
      </w:r>
      <w:proofErr w:type="spellStart"/>
      <w:r w:rsidRPr="00EA70A2">
        <w:rPr>
          <w:rFonts w:ascii="Tahoma" w:eastAsia="Calibri" w:hAnsi="Tahoma" w:cs="Tahoma"/>
          <w:lang w:eastAsia="es-CO"/>
        </w:rPr>
        <w:t>SL4964</w:t>
      </w:r>
      <w:proofErr w:type="spellEnd"/>
      <w:r w:rsidRPr="00EA70A2">
        <w:rPr>
          <w:rFonts w:ascii="Tahoma" w:eastAsia="Calibri" w:hAnsi="Tahoma" w:cs="Tahoma"/>
          <w:lang w:eastAsia="es-CO"/>
        </w:rPr>
        <w:t xml:space="preserve">-2018, CSJ </w:t>
      </w:r>
      <w:proofErr w:type="spellStart"/>
      <w:r w:rsidRPr="00EA70A2">
        <w:rPr>
          <w:rFonts w:ascii="Tahoma" w:eastAsia="Calibri" w:hAnsi="Tahoma" w:cs="Tahoma"/>
          <w:lang w:eastAsia="es-CO"/>
        </w:rPr>
        <w:t>SL4989</w:t>
      </w:r>
      <w:proofErr w:type="spellEnd"/>
      <w:r w:rsidRPr="00EA70A2">
        <w:rPr>
          <w:rFonts w:ascii="Tahoma" w:eastAsia="Calibri" w:hAnsi="Tahoma" w:cs="Tahoma"/>
          <w:lang w:eastAsia="es-CO"/>
        </w:rPr>
        <w:t xml:space="preserve">-2018, </w:t>
      </w:r>
      <w:proofErr w:type="spellStart"/>
      <w:r w:rsidRPr="00EA70A2">
        <w:rPr>
          <w:rFonts w:ascii="Tahoma" w:eastAsia="Calibri" w:hAnsi="Tahoma" w:cs="Tahoma"/>
          <w:lang w:eastAsia="es-CO"/>
        </w:rPr>
        <w:t>SL1421</w:t>
      </w:r>
      <w:proofErr w:type="spellEnd"/>
      <w:r w:rsidRPr="00EA70A2">
        <w:rPr>
          <w:rFonts w:ascii="Tahoma" w:eastAsia="Calibri" w:hAnsi="Tahoma" w:cs="Tahoma"/>
          <w:lang w:eastAsia="es-CO"/>
        </w:rPr>
        <w:t xml:space="preserve">-2019, </w:t>
      </w:r>
      <w:proofErr w:type="spellStart"/>
      <w:r w:rsidRPr="00EA70A2">
        <w:rPr>
          <w:rFonts w:ascii="Tahoma" w:eastAsia="Calibri" w:hAnsi="Tahoma" w:cs="Tahoma"/>
          <w:lang w:eastAsia="es-CO"/>
        </w:rPr>
        <w:t>SL1452</w:t>
      </w:r>
      <w:proofErr w:type="spellEnd"/>
      <w:r w:rsidRPr="00EA70A2">
        <w:rPr>
          <w:rFonts w:ascii="Tahoma" w:eastAsia="Calibri" w:hAnsi="Tahoma" w:cs="Tahoma"/>
          <w:lang w:eastAsia="es-CO"/>
        </w:rPr>
        <w:t xml:space="preserve">-2019, </w:t>
      </w:r>
      <w:proofErr w:type="spellStart"/>
      <w:r w:rsidRPr="00EA70A2">
        <w:rPr>
          <w:rFonts w:ascii="Tahoma" w:eastAsia="Calibri" w:hAnsi="Tahoma" w:cs="Tahoma"/>
          <w:lang w:eastAsia="es-CO"/>
        </w:rPr>
        <w:t>SL1688</w:t>
      </w:r>
      <w:proofErr w:type="spellEnd"/>
      <w:r w:rsidRPr="00EA70A2">
        <w:rPr>
          <w:rFonts w:ascii="Tahoma" w:eastAsia="Calibri" w:hAnsi="Tahoma" w:cs="Tahoma"/>
          <w:lang w:eastAsia="es-CO"/>
        </w:rPr>
        <w:t xml:space="preserve">-2019, </w:t>
      </w:r>
      <w:proofErr w:type="spellStart"/>
      <w:r w:rsidRPr="00EA70A2">
        <w:rPr>
          <w:rFonts w:ascii="Tahoma" w:eastAsia="Calibri" w:hAnsi="Tahoma" w:cs="Tahoma"/>
          <w:lang w:eastAsia="es-CO"/>
        </w:rPr>
        <w:t>SL1689</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w:t>
      </w:r>
      <w:proofErr w:type="spellEnd"/>
      <w:r w:rsidRPr="00EA70A2">
        <w:rPr>
          <w:rFonts w:ascii="Tahoma" w:eastAsia="Calibri" w:hAnsi="Tahoma" w:cs="Tahoma"/>
          <w:lang w:eastAsia="es-CO"/>
        </w:rPr>
        <w:t xml:space="preserve"> 373 -2020, Sentencia </w:t>
      </w:r>
      <w:proofErr w:type="spellStart"/>
      <w:r w:rsidRPr="00EA70A2">
        <w:rPr>
          <w:rFonts w:ascii="Tahoma" w:eastAsia="Calibri" w:hAnsi="Tahoma" w:cs="Tahoma"/>
          <w:lang w:eastAsia="es-CO"/>
        </w:rPr>
        <w:t>SL</w:t>
      </w:r>
      <w:proofErr w:type="spellEnd"/>
      <w:r w:rsidRPr="00EA70A2">
        <w:rPr>
          <w:rFonts w:ascii="Tahoma" w:eastAsia="Calibri" w:hAnsi="Tahoma" w:cs="Tahoma"/>
          <w:lang w:eastAsia="es-CO"/>
        </w:rPr>
        <w:t xml:space="preserve"> 5462-2019, Sentencia </w:t>
      </w:r>
      <w:proofErr w:type="spellStart"/>
      <w:r w:rsidRPr="00EA70A2">
        <w:rPr>
          <w:rFonts w:ascii="Tahoma" w:eastAsia="Calibri" w:hAnsi="Tahoma" w:cs="Tahoma"/>
          <w:lang w:eastAsia="es-CO"/>
        </w:rPr>
        <w:t>SL149</w:t>
      </w:r>
      <w:proofErr w:type="spellEnd"/>
      <w:r w:rsidRPr="00EA70A2">
        <w:rPr>
          <w:rFonts w:ascii="Tahoma" w:eastAsia="Calibri" w:hAnsi="Tahoma" w:cs="Tahoma"/>
          <w:lang w:eastAsia="es-CO"/>
        </w:rPr>
        <w:t xml:space="preserve">-2020, Sentencia </w:t>
      </w:r>
      <w:proofErr w:type="spellStart"/>
      <w:r w:rsidRPr="00EA70A2">
        <w:rPr>
          <w:rFonts w:ascii="Tahoma" w:eastAsia="Calibri" w:hAnsi="Tahoma" w:cs="Tahoma"/>
          <w:lang w:eastAsia="es-CO"/>
        </w:rPr>
        <w:t>SL5533</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SL5144</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SL4937</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SL4426</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SL4343</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SL4856</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STP</w:t>
      </w:r>
      <w:proofErr w:type="spellEnd"/>
      <w:r w:rsidRPr="00EA70A2">
        <w:rPr>
          <w:rFonts w:ascii="Tahoma" w:eastAsia="Calibri" w:hAnsi="Tahoma" w:cs="Tahoma"/>
          <w:lang w:eastAsia="es-CO"/>
        </w:rPr>
        <w:t xml:space="preserve"> 2082-2019, Sentencia </w:t>
      </w:r>
      <w:proofErr w:type="spellStart"/>
      <w:r w:rsidRPr="00EA70A2">
        <w:rPr>
          <w:rFonts w:ascii="Tahoma" w:eastAsia="Calibri" w:hAnsi="Tahoma" w:cs="Tahoma"/>
          <w:lang w:eastAsia="es-CO"/>
        </w:rPr>
        <w:t>SL4360</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SL3852</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SL3749</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SL3179</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SL1838</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SL2817</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SL771</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SL4296</w:t>
      </w:r>
      <w:proofErr w:type="spellEnd"/>
      <w:r w:rsidRPr="00EA70A2">
        <w:rPr>
          <w:rFonts w:ascii="Tahoma" w:eastAsia="Calibri" w:hAnsi="Tahoma" w:cs="Tahoma"/>
          <w:lang w:eastAsia="es-CO"/>
        </w:rPr>
        <w:t xml:space="preserve">-2018, Sentencia </w:t>
      </w:r>
      <w:proofErr w:type="spellStart"/>
      <w:r w:rsidRPr="00EA70A2">
        <w:rPr>
          <w:rFonts w:ascii="Tahoma" w:eastAsia="Calibri" w:hAnsi="Tahoma" w:cs="Tahoma"/>
          <w:lang w:eastAsia="es-CO"/>
        </w:rPr>
        <w:t>SL2865</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SL2955</w:t>
      </w:r>
      <w:proofErr w:type="spellEnd"/>
      <w:r w:rsidRPr="00EA70A2">
        <w:rPr>
          <w:rFonts w:ascii="Tahoma" w:eastAsia="Calibri" w:hAnsi="Tahoma" w:cs="Tahoma"/>
          <w:lang w:eastAsia="es-CO"/>
        </w:rPr>
        <w:t xml:space="preserve">-2019, Sentencia  </w:t>
      </w:r>
      <w:proofErr w:type="spellStart"/>
      <w:r w:rsidRPr="00EA70A2">
        <w:rPr>
          <w:rFonts w:ascii="Tahoma" w:eastAsia="Calibri" w:hAnsi="Tahoma" w:cs="Tahoma"/>
          <w:lang w:eastAsia="es-CO"/>
        </w:rPr>
        <w:t>SL2324</w:t>
      </w:r>
      <w:proofErr w:type="spellEnd"/>
      <w:r w:rsidRPr="00EA70A2">
        <w:rPr>
          <w:rFonts w:ascii="Tahoma" w:eastAsia="Calibri" w:hAnsi="Tahoma" w:cs="Tahoma"/>
          <w:lang w:eastAsia="es-CO"/>
        </w:rPr>
        <w:t>-2019.</w:t>
      </w:r>
    </w:p>
    <w:p w14:paraId="35458B95" w14:textId="77777777" w:rsidR="00B351EF" w:rsidRPr="00EA70A2" w:rsidRDefault="00B351EF" w:rsidP="00EA70A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EFAA41F" w14:textId="298F99FE" w:rsidR="00B351EF" w:rsidRPr="00EA70A2" w:rsidRDefault="00B351EF" w:rsidP="00EA70A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A70A2">
        <w:rPr>
          <w:rFonts w:ascii="Tahoma" w:eastAsia="Calibri" w:hAnsi="Tahoma" w:cs="Tahoma"/>
          <w:lang w:eastAsia="es-CO"/>
        </w:rPr>
        <w:t xml:space="preserve">En términos generales, en todas estas sentencias se determinó </w:t>
      </w:r>
      <w:r w:rsidRPr="00EA70A2">
        <w:rPr>
          <w:rFonts w:ascii="Tahoma" w:eastAsia="Calibri" w:hAnsi="Tahoma" w:cs="Tahoma"/>
          <w:i/>
          <w:lang w:eastAsia="es-CO"/>
        </w:rPr>
        <w:t xml:space="preserve">i) </w:t>
      </w:r>
      <w:r w:rsidRPr="00EA70A2">
        <w:rPr>
          <w:rFonts w:ascii="Tahoma" w:eastAsia="Calibri" w:hAnsi="Tahoma" w:cs="Tahoma"/>
          <w:lang w:eastAsia="es-CO"/>
        </w:rPr>
        <w:t xml:space="preserve">el alcance del deber de información a cargo de las Administradoras de Fondos de Pensiones, </w:t>
      </w:r>
      <w:r w:rsidRPr="00EA70A2">
        <w:rPr>
          <w:rFonts w:ascii="Tahoma" w:eastAsia="Calibri" w:hAnsi="Tahoma" w:cs="Tahoma"/>
          <w:i/>
          <w:lang w:eastAsia="es-CO"/>
        </w:rPr>
        <w:t xml:space="preserve">ii) </w:t>
      </w:r>
      <w:r w:rsidRPr="00EA70A2">
        <w:rPr>
          <w:rFonts w:ascii="Tahoma" w:eastAsia="Calibri" w:hAnsi="Tahoma" w:cs="Tahoma"/>
          <w:lang w:eastAsia="es-CO"/>
        </w:rPr>
        <w:t xml:space="preserve">la procedencia de la ineficacia del traslado, </w:t>
      </w:r>
      <w:r w:rsidRPr="00EA70A2">
        <w:rPr>
          <w:rFonts w:ascii="Tahoma" w:eastAsia="Calibri" w:hAnsi="Tahoma" w:cs="Tahoma"/>
          <w:i/>
          <w:lang w:eastAsia="es-CO"/>
        </w:rPr>
        <w:t xml:space="preserve">iii) </w:t>
      </w:r>
      <w:r w:rsidRPr="00EA70A2">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051372D4" w14:textId="77777777" w:rsidR="00974BC0" w:rsidRPr="00EA70A2" w:rsidRDefault="00974BC0" w:rsidP="00EA70A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3A282CB" w14:textId="77777777" w:rsidR="00B351EF" w:rsidRPr="00EA70A2" w:rsidRDefault="00B351EF" w:rsidP="00EA70A2">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EA70A2">
        <w:rPr>
          <w:rFonts w:ascii="Tahoma" w:eastAsia="Calibri" w:hAnsi="Tahoma" w:cs="Tahoma"/>
          <w:b/>
          <w:iCs/>
          <w:lang w:eastAsia="es-CO"/>
        </w:rPr>
        <w:lastRenderedPageBreak/>
        <w:t>“El deber de información a cargo de las administradoras de fondos de pensiones: Un deber exigible desde su creación</w:t>
      </w:r>
      <w:r w:rsidRPr="00EA70A2">
        <w:rPr>
          <w:rFonts w:ascii="Tahoma" w:eastAsia="Calibri" w:hAnsi="Tahoma" w:cs="Tahoma"/>
          <w:b/>
          <w:iCs/>
          <w:vertAlign w:val="superscript"/>
          <w:lang w:eastAsia="es-CO"/>
        </w:rPr>
        <w:footnoteReference w:id="1"/>
      </w:r>
      <w:r w:rsidRPr="00EA70A2">
        <w:rPr>
          <w:rFonts w:ascii="Tahoma" w:eastAsia="Calibri" w:hAnsi="Tahoma" w:cs="Tahoma"/>
          <w:b/>
          <w:iCs/>
          <w:lang w:eastAsia="es-CO"/>
        </w:rPr>
        <w:t>”</w:t>
      </w:r>
    </w:p>
    <w:p w14:paraId="6C809EAE" w14:textId="77777777" w:rsidR="00B351EF" w:rsidRPr="00EA70A2" w:rsidRDefault="00B351EF" w:rsidP="00EA70A2">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1D54597F" w14:textId="77777777" w:rsidR="00B351EF" w:rsidRPr="00EA70A2" w:rsidRDefault="00B351EF" w:rsidP="00EA70A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A70A2">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EA70A2">
        <w:rPr>
          <w:rFonts w:ascii="Tahoma" w:eastAsia="Calibri" w:hAnsi="Tahoma" w:cs="Tahoma"/>
          <w:u w:val="single"/>
          <w:lang w:eastAsia="es-CO"/>
        </w:rPr>
        <w:t>debida diligencia y cuidado</w:t>
      </w:r>
      <w:r w:rsidRPr="00EA70A2">
        <w:rPr>
          <w:rFonts w:ascii="Tahoma" w:eastAsia="Calibri" w:hAnsi="Tahoma" w:cs="Tahoma"/>
          <w:lang w:eastAsia="es-CO"/>
        </w:rPr>
        <w:t xml:space="preserve"> incumbe a quien ha debido emplearla, atendiendo a las siguientes razones:</w:t>
      </w:r>
    </w:p>
    <w:p w14:paraId="47FA2059" w14:textId="77777777" w:rsidR="00B351EF" w:rsidRPr="00EA70A2" w:rsidRDefault="00B351EF" w:rsidP="00EA70A2">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7F90431" w14:textId="77777777" w:rsidR="00B351EF" w:rsidRPr="00EA70A2" w:rsidRDefault="00B351EF" w:rsidP="00EA70A2">
      <w:pPr>
        <w:pStyle w:val="Prrafodelista"/>
        <w:widowControl w:val="0"/>
        <w:numPr>
          <w:ilvl w:val="0"/>
          <w:numId w:val="8"/>
        </w:numPr>
        <w:autoSpaceDE w:val="0"/>
        <w:autoSpaceDN w:val="0"/>
        <w:adjustRightInd w:val="0"/>
        <w:spacing w:line="276" w:lineRule="auto"/>
        <w:rPr>
          <w:rFonts w:eastAsia="Calibri" w:cs="Tahoma"/>
          <w:szCs w:val="24"/>
          <w:lang w:eastAsia="es-CO"/>
        </w:rPr>
      </w:pPr>
      <w:r w:rsidRPr="00EA70A2">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EA70A2">
        <w:rPr>
          <w:rFonts w:eastAsia="Calibri" w:cs="Tahoma"/>
          <w:szCs w:val="24"/>
          <w:u w:val="single"/>
          <w:lang w:eastAsia="es-CO"/>
        </w:rPr>
        <w:t>Decreto 663 de 1993</w:t>
      </w:r>
      <w:r w:rsidRPr="00EA70A2">
        <w:rPr>
          <w:rFonts w:cs="Tahoma"/>
          <w:szCs w:val="24"/>
          <w:u w:val="single"/>
          <w:vertAlign w:val="superscript"/>
          <w:lang w:eastAsia="es-CO"/>
        </w:rPr>
        <w:footnoteReference w:id="2"/>
      </w:r>
      <w:r w:rsidRPr="00EA70A2">
        <w:rPr>
          <w:rFonts w:eastAsia="Calibri" w:cs="Tahoma"/>
          <w:szCs w:val="24"/>
          <w:lang w:eastAsia="es-CO"/>
        </w:rPr>
        <w:t>, norma en la que se destaca la importancia de los principios de debida diligencia, transparencia e información cierta, suficiente y oportuna.</w:t>
      </w:r>
    </w:p>
    <w:p w14:paraId="6C217DBB" w14:textId="77777777" w:rsidR="00B351EF" w:rsidRPr="00EA70A2" w:rsidRDefault="00B351EF" w:rsidP="00EA70A2">
      <w:pPr>
        <w:pStyle w:val="Prrafodelista"/>
        <w:widowControl w:val="0"/>
        <w:autoSpaceDE w:val="0"/>
        <w:autoSpaceDN w:val="0"/>
        <w:adjustRightInd w:val="0"/>
        <w:spacing w:line="276" w:lineRule="auto"/>
        <w:rPr>
          <w:rFonts w:eastAsia="Calibri" w:cs="Tahoma"/>
          <w:szCs w:val="24"/>
          <w:lang w:eastAsia="es-CO"/>
        </w:rPr>
      </w:pPr>
    </w:p>
    <w:p w14:paraId="26A8C7E1" w14:textId="68E8CB48" w:rsidR="00B351EF" w:rsidRPr="00EA70A2" w:rsidRDefault="00B351EF" w:rsidP="00EA70A2">
      <w:pPr>
        <w:pStyle w:val="Prrafodelista"/>
        <w:widowControl w:val="0"/>
        <w:numPr>
          <w:ilvl w:val="0"/>
          <w:numId w:val="8"/>
        </w:numPr>
        <w:autoSpaceDE w:val="0"/>
        <w:autoSpaceDN w:val="0"/>
        <w:adjustRightInd w:val="0"/>
        <w:spacing w:line="276" w:lineRule="auto"/>
        <w:rPr>
          <w:rFonts w:eastAsia="Calibri" w:cs="Tahoma"/>
          <w:szCs w:val="24"/>
          <w:lang w:eastAsia="es-CO"/>
        </w:rPr>
      </w:pPr>
      <w:r w:rsidRPr="00EA70A2">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EA70A2">
        <w:rPr>
          <w:rFonts w:eastAsia="Calibri" w:cs="Tahoma"/>
          <w:szCs w:val="24"/>
          <w:u w:val="single"/>
          <w:lang w:eastAsia="es-CO"/>
        </w:rPr>
        <w:t xml:space="preserve">suficiente, amplia y oportuna </w:t>
      </w:r>
      <w:r w:rsidRPr="00EA70A2">
        <w:rPr>
          <w:rFonts w:eastAsia="Calibri" w:cs="Tahoma"/>
          <w:szCs w:val="24"/>
          <w:lang w:eastAsia="es-CO"/>
        </w:rPr>
        <w:t>información a los posibles afiliados al momento de la promoción de la afiliación y durante toda la vinculación con ocasión de las prestaciones a las cuales tenga derecho el afiliado. </w:t>
      </w:r>
    </w:p>
    <w:p w14:paraId="2BC62714" w14:textId="77777777" w:rsidR="00B351EF" w:rsidRPr="00EA70A2" w:rsidRDefault="00B351EF" w:rsidP="00EA70A2">
      <w:pPr>
        <w:pStyle w:val="Prrafodelista"/>
        <w:spacing w:line="276" w:lineRule="auto"/>
        <w:rPr>
          <w:rFonts w:eastAsia="Calibri" w:cs="Tahoma"/>
          <w:szCs w:val="24"/>
          <w:lang w:eastAsia="es-CO"/>
        </w:rPr>
      </w:pPr>
    </w:p>
    <w:p w14:paraId="7E4FFC82" w14:textId="77777777" w:rsidR="00B351EF" w:rsidRPr="00EA70A2" w:rsidRDefault="00B351EF" w:rsidP="00EA70A2">
      <w:pPr>
        <w:pStyle w:val="Prrafodelista"/>
        <w:widowControl w:val="0"/>
        <w:numPr>
          <w:ilvl w:val="0"/>
          <w:numId w:val="8"/>
        </w:numPr>
        <w:autoSpaceDE w:val="0"/>
        <w:autoSpaceDN w:val="0"/>
        <w:adjustRightInd w:val="0"/>
        <w:spacing w:line="276" w:lineRule="auto"/>
        <w:rPr>
          <w:rFonts w:eastAsia="Calibri" w:cs="Tahoma"/>
          <w:szCs w:val="24"/>
          <w:lang w:eastAsia="es-CO"/>
        </w:rPr>
      </w:pPr>
      <w:r w:rsidRPr="00EA70A2">
        <w:rPr>
          <w:rFonts w:eastAsia="Calibri" w:cs="Tahoma"/>
          <w:szCs w:val="24"/>
          <w:lang w:eastAsia="es-CO"/>
        </w:rPr>
        <w:t xml:space="preserve">Dispone el artículo 114 de la Ley 100 de 1993, que los trabajadores y servidores públicos que se trasladen por primera vez del RPM al </w:t>
      </w:r>
      <w:proofErr w:type="spellStart"/>
      <w:r w:rsidRPr="00EA70A2">
        <w:rPr>
          <w:rFonts w:eastAsia="Calibri" w:cs="Tahoma"/>
          <w:szCs w:val="24"/>
          <w:lang w:eastAsia="es-CO"/>
        </w:rPr>
        <w:t>RAIS</w:t>
      </w:r>
      <w:proofErr w:type="spellEnd"/>
      <w:r w:rsidRPr="00EA70A2">
        <w:rPr>
          <w:rFonts w:eastAsia="Calibri" w:cs="Tahoma"/>
          <w:szCs w:val="24"/>
          <w:lang w:eastAsia="es-CO"/>
        </w:rPr>
        <w:t>, deberán presentar a la respectiva entidad administradora comunicación escrita en la que conste que la selección de dicho régimen se ha tomado de manera libre, espontánea y sin presiones.</w:t>
      </w:r>
    </w:p>
    <w:p w14:paraId="5D96FCF0" w14:textId="77777777" w:rsidR="00B351EF" w:rsidRPr="00EA70A2" w:rsidRDefault="00B351EF" w:rsidP="00EA70A2">
      <w:pPr>
        <w:pStyle w:val="Prrafodelista"/>
        <w:spacing w:line="276" w:lineRule="auto"/>
        <w:rPr>
          <w:rFonts w:eastAsia="Calibri" w:cs="Tahoma"/>
          <w:szCs w:val="24"/>
          <w:lang w:eastAsia="es-CO"/>
        </w:rPr>
      </w:pPr>
    </w:p>
    <w:p w14:paraId="7FF2379B" w14:textId="77777777" w:rsidR="00B351EF" w:rsidRPr="00EA70A2" w:rsidRDefault="00B351EF" w:rsidP="00EA70A2">
      <w:pPr>
        <w:pStyle w:val="Prrafodelista"/>
        <w:widowControl w:val="0"/>
        <w:numPr>
          <w:ilvl w:val="0"/>
          <w:numId w:val="8"/>
        </w:numPr>
        <w:autoSpaceDE w:val="0"/>
        <w:autoSpaceDN w:val="0"/>
        <w:adjustRightInd w:val="0"/>
        <w:spacing w:line="276" w:lineRule="auto"/>
        <w:rPr>
          <w:rFonts w:eastAsia="Calibri" w:cs="Tahoma"/>
          <w:szCs w:val="24"/>
          <w:lang w:eastAsia="es-CO"/>
        </w:rPr>
      </w:pPr>
      <w:r w:rsidRPr="00EA70A2">
        <w:rPr>
          <w:rFonts w:eastAsia="Calibri" w:cs="Tahoma"/>
          <w:szCs w:val="24"/>
          <w:lang w:eastAsia="es-CO"/>
        </w:rPr>
        <w:t xml:space="preserve">En numerosas sentencias del órgano de cierre de la jurisdicción ordinaria laboral, se ha establecido que no puede argüirse que </w:t>
      </w:r>
      <w:r w:rsidRPr="00EA70A2">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EA70A2">
        <w:rPr>
          <w:rFonts w:eastAsia="Calibri" w:cs="Tahoma"/>
          <w:i/>
          <w:iCs/>
          <w:szCs w:val="24"/>
          <w:lang w:eastAsia="es-CO"/>
        </w:rPr>
        <w:t>“</w:t>
      </w:r>
      <w:r w:rsidRPr="00EA70A2">
        <w:rPr>
          <w:rFonts w:eastAsia="Calibri" w:cs="Tahoma"/>
          <w:i/>
          <w:iCs/>
          <w:szCs w:val="24"/>
          <w:u w:val="single"/>
          <w:lang w:eastAsia="es-CO"/>
        </w:rPr>
        <w:t>dar cuenta de que documentaron clara y suficientemente los efectos que acarrea el cambio de régimen, so pena de declarar ineficaz ese tránsito.”</w:t>
      </w:r>
    </w:p>
    <w:p w14:paraId="0A4C300B" w14:textId="77777777" w:rsidR="00B351EF" w:rsidRPr="00EA70A2" w:rsidRDefault="00B351EF" w:rsidP="00EA70A2">
      <w:pPr>
        <w:pStyle w:val="Prrafodelista"/>
        <w:spacing w:line="276" w:lineRule="auto"/>
        <w:rPr>
          <w:rFonts w:eastAsia="Calibri" w:cs="Tahoma"/>
          <w:iCs/>
          <w:szCs w:val="24"/>
          <w:lang w:eastAsia="es-CO"/>
        </w:rPr>
      </w:pPr>
    </w:p>
    <w:p w14:paraId="273C8965" w14:textId="38CEE3DB" w:rsidR="00B351EF" w:rsidRPr="00EA70A2" w:rsidRDefault="00B351EF" w:rsidP="00EA70A2">
      <w:pPr>
        <w:pStyle w:val="Prrafodelista"/>
        <w:widowControl w:val="0"/>
        <w:numPr>
          <w:ilvl w:val="0"/>
          <w:numId w:val="8"/>
        </w:numPr>
        <w:autoSpaceDE w:val="0"/>
        <w:autoSpaceDN w:val="0"/>
        <w:adjustRightInd w:val="0"/>
        <w:spacing w:line="276" w:lineRule="auto"/>
        <w:rPr>
          <w:rFonts w:eastAsia="Calibri" w:cs="Tahoma"/>
          <w:szCs w:val="24"/>
          <w:lang w:eastAsia="es-CO"/>
        </w:rPr>
      </w:pPr>
      <w:r w:rsidRPr="00EA70A2">
        <w:rPr>
          <w:rFonts w:eastAsia="Calibri" w:cs="Tahoma"/>
          <w:iCs/>
          <w:szCs w:val="24"/>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w:t>
      </w:r>
      <w:r w:rsidRPr="00EA70A2">
        <w:rPr>
          <w:rFonts w:eastAsia="Calibri" w:cs="Tahoma"/>
          <w:iCs/>
          <w:szCs w:val="24"/>
          <w:lang w:eastAsia="es-CO"/>
        </w:rPr>
        <w:lastRenderedPageBreak/>
        <w:t xml:space="preserve">resultaba relevante para que tomar una decisión de tal trascendencia. </w:t>
      </w:r>
    </w:p>
    <w:p w14:paraId="78728555" w14:textId="77777777" w:rsidR="00B351EF" w:rsidRPr="00EA70A2" w:rsidRDefault="00B351EF" w:rsidP="00EA70A2">
      <w:pPr>
        <w:pStyle w:val="Prrafodelista"/>
        <w:spacing w:line="276" w:lineRule="auto"/>
        <w:rPr>
          <w:rFonts w:eastAsia="Calibri" w:cs="Tahoma"/>
          <w:szCs w:val="24"/>
          <w:lang w:eastAsia="es-CO"/>
        </w:rPr>
      </w:pPr>
    </w:p>
    <w:p w14:paraId="495FA793" w14:textId="77777777" w:rsidR="00B351EF" w:rsidRPr="00EA70A2" w:rsidRDefault="00B351EF" w:rsidP="00EA70A2">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r w:rsidRPr="00EA70A2">
        <w:rPr>
          <w:rFonts w:ascii="Tahoma" w:eastAsia="Calibri" w:hAnsi="Tahoma" w:cs="Tahoma"/>
          <w:iCs/>
          <w:lang w:eastAsia="es-CO"/>
        </w:rPr>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75ACA005" w14:textId="77777777" w:rsidR="00B351EF" w:rsidRPr="00EA70A2" w:rsidRDefault="00B351EF" w:rsidP="00EA70A2">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7A83D60D" w14:textId="77777777" w:rsidR="00B351EF" w:rsidRPr="00EA70A2" w:rsidRDefault="00B351EF" w:rsidP="00EA70A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EA70A2">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2EB7A2D7" w14:textId="77777777" w:rsidR="00B351EF" w:rsidRPr="00EA70A2" w:rsidRDefault="00B351EF" w:rsidP="00EA70A2">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DC94205" w14:textId="77777777" w:rsidR="00B351EF" w:rsidRPr="00EA70A2" w:rsidRDefault="00B351EF" w:rsidP="00EA70A2">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EA70A2">
        <w:rPr>
          <w:rFonts w:ascii="Tahoma" w:eastAsia="Calibri" w:hAnsi="Tahoma" w:cs="Tahoma"/>
          <w:lang w:eastAsia="es-CO"/>
        </w:rPr>
        <w:t xml:space="preserve">Ahora bien, vale la pena citar la sentencia del 8 de mayo de 2019 </w:t>
      </w:r>
      <w:proofErr w:type="spellStart"/>
      <w:r w:rsidRPr="00EA70A2">
        <w:rPr>
          <w:rFonts w:ascii="Tahoma" w:eastAsia="Calibri" w:hAnsi="Tahoma" w:cs="Tahoma"/>
          <w:lang w:eastAsia="es-CO"/>
        </w:rPr>
        <w:t>SL</w:t>
      </w:r>
      <w:proofErr w:type="spellEnd"/>
      <w:r w:rsidRPr="00EA70A2">
        <w:rPr>
          <w:rFonts w:ascii="Tahoma" w:eastAsia="Calibri" w:hAnsi="Tahoma" w:cs="Tahoma"/>
          <w:lang w:eastAsia="es-CO"/>
        </w:rPr>
        <w:t xml:space="preserve">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EA70A2">
        <w:rPr>
          <w:rFonts w:ascii="Tahoma" w:eastAsia="Calibri" w:hAnsi="Tahoma" w:cs="Tahoma"/>
          <w:b/>
          <w:lang w:eastAsia="es-CO"/>
        </w:rPr>
        <w:t xml:space="preserve">necesaria y transparente, </w:t>
      </w:r>
      <w:r w:rsidRPr="00EA70A2">
        <w:rPr>
          <w:rFonts w:ascii="Tahoma" w:eastAsia="Calibri" w:hAnsi="Tahoma" w:cs="Tahoma"/>
          <w:lang w:eastAsia="es-CO"/>
        </w:rPr>
        <w:t xml:space="preserve">que con el transcurrir del tiempo esta exigencia cambió, pasando de un deber de información necesaria al de </w:t>
      </w:r>
      <w:r w:rsidRPr="00EA70A2">
        <w:rPr>
          <w:rFonts w:ascii="Tahoma" w:eastAsia="Calibri" w:hAnsi="Tahoma" w:cs="Tahoma"/>
          <w:b/>
          <w:lang w:eastAsia="es-CO"/>
        </w:rPr>
        <w:t>asesoría y buen consejo</w:t>
      </w:r>
      <w:r w:rsidRPr="00EA70A2">
        <w:rPr>
          <w:rFonts w:ascii="Tahoma" w:eastAsia="Calibri" w:hAnsi="Tahoma" w:cs="Tahoma"/>
          <w:lang w:eastAsia="es-CO"/>
        </w:rPr>
        <w:t xml:space="preserve">, y finalmente al de </w:t>
      </w:r>
      <w:r w:rsidRPr="00EA70A2">
        <w:rPr>
          <w:rFonts w:ascii="Tahoma" w:eastAsia="Calibri" w:hAnsi="Tahoma" w:cs="Tahoma"/>
          <w:b/>
          <w:lang w:eastAsia="es-CO"/>
        </w:rPr>
        <w:t>doble asesoría</w:t>
      </w:r>
      <w:r w:rsidRPr="00EA70A2">
        <w:rPr>
          <w:rFonts w:ascii="Tahoma" w:eastAsia="Calibri" w:hAnsi="Tahoma" w:cs="Tahoma"/>
          <w:lang w:eastAsia="es-CO"/>
        </w:rPr>
        <w:t>, explicando en qué consiste cada uno de esos conceptos. Dicho recuento histórico, se compendia de la siguiente manera:</w:t>
      </w:r>
    </w:p>
    <w:p w14:paraId="74082B50" w14:textId="0E2FAFDC" w:rsidR="00B351EF" w:rsidRPr="00EA70A2" w:rsidRDefault="00B351EF" w:rsidP="00EA70A2">
      <w:pPr>
        <w:pStyle w:val="Prrafodelista"/>
        <w:widowControl w:val="0"/>
        <w:autoSpaceDE w:val="0"/>
        <w:autoSpaceDN w:val="0"/>
        <w:adjustRightInd w:val="0"/>
        <w:spacing w:line="276" w:lineRule="auto"/>
        <w:rPr>
          <w:rFonts w:eastAsia="Calibri" w:cs="Tahoma"/>
          <w:szCs w:val="24"/>
          <w:lang w:eastAsia="es-CO"/>
        </w:rPr>
      </w:pPr>
    </w:p>
    <w:p w14:paraId="6C0F0904"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17D9CDF3"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1B705F" w:rsidRPr="001B705F" w14:paraId="64AD1291"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19BEA18C"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4148292A"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085FF7AB"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Contenido mínimo y alcance del deber de información</w:t>
            </w:r>
          </w:p>
        </w:tc>
      </w:tr>
      <w:tr w:rsidR="001B705F" w:rsidRPr="001B705F" w14:paraId="689E9DEE"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5EAE2E66"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5B36E435"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Arts. 13 literal b), 271 y 272 de la Ley 100 de 1993</w:t>
            </w:r>
          </w:p>
          <w:p w14:paraId="63DDA755"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p>
          <w:p w14:paraId="49695F2A"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 xml:space="preserve">Art. 97, numeral </w:t>
            </w:r>
            <w:proofErr w:type="gramStart"/>
            <w:r w:rsidRPr="001B705F">
              <w:rPr>
                <w:rFonts w:ascii="Tahoma" w:eastAsia="Tahoma" w:hAnsi="Tahoma" w:cs="Tahoma"/>
                <w:i/>
                <w:iCs/>
                <w:sz w:val="22"/>
                <w:lang w:eastAsia="es-MX"/>
              </w:rPr>
              <w:t>1.°</w:t>
            </w:r>
            <w:proofErr w:type="gramEnd"/>
            <w:r w:rsidRPr="001B705F">
              <w:rPr>
                <w:rFonts w:ascii="Tahoma" w:eastAsia="Tahoma" w:hAnsi="Tahoma" w:cs="Tahoma"/>
                <w:i/>
                <w:iCs/>
                <w:sz w:val="22"/>
                <w:lang w:eastAsia="es-MX"/>
              </w:rPr>
              <w:t xml:space="preserve"> del Decreto 663 de 1993, modificado por el artículo 23 de la Ley 797 de 2003</w:t>
            </w:r>
          </w:p>
          <w:p w14:paraId="6A74AEB0"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p>
          <w:p w14:paraId="195E8D60"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 xml:space="preserve">Disposiciones constitucionales relativas al derecho a la información, no </w:t>
            </w:r>
            <w:r w:rsidRPr="001B705F">
              <w:rPr>
                <w:rFonts w:ascii="Tahoma" w:eastAsia="Tahoma" w:hAnsi="Tahoma" w:cs="Tahoma"/>
                <w:i/>
                <w:iCs/>
                <w:sz w:val="22"/>
                <w:lang w:eastAsia="es-MX"/>
              </w:rPr>
              <w:lastRenderedPageBreak/>
              <w:t>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5B6263E1"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bookmarkStart w:id="4" w:name="_Hlk109250046"/>
            <w:r w:rsidRPr="001B705F">
              <w:rPr>
                <w:rFonts w:ascii="Tahoma" w:eastAsia="Tahoma" w:hAnsi="Tahoma" w:cs="Tahoma"/>
                <w:i/>
                <w:iCs/>
                <w:sz w:val="22"/>
                <w:lang w:eastAsia="es-MX"/>
              </w:rPr>
              <w:lastRenderedPageBreak/>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1B705F" w:rsidRPr="001B705F" w14:paraId="1D448ACC"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281DA295"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13F2EFEB"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 xml:space="preserve">Artículo </w:t>
            </w:r>
            <w:proofErr w:type="gramStart"/>
            <w:r w:rsidRPr="001B705F">
              <w:rPr>
                <w:rFonts w:ascii="Tahoma" w:eastAsia="Tahoma" w:hAnsi="Tahoma" w:cs="Tahoma"/>
                <w:i/>
                <w:iCs/>
                <w:sz w:val="22"/>
                <w:lang w:eastAsia="es-MX"/>
              </w:rPr>
              <w:t>3.°</w:t>
            </w:r>
            <w:proofErr w:type="gramEnd"/>
            <w:r w:rsidRPr="001B705F">
              <w:rPr>
                <w:rFonts w:ascii="Tahoma" w:eastAsia="Tahoma" w:hAnsi="Tahoma" w:cs="Tahoma"/>
                <w:i/>
                <w:iCs/>
                <w:sz w:val="22"/>
                <w:lang w:eastAsia="es-MX"/>
              </w:rPr>
              <w:t>, literal c) de la Ley 1328 de 2009</w:t>
            </w:r>
          </w:p>
          <w:p w14:paraId="69EAD047"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p>
          <w:p w14:paraId="70451FB0"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26DD925C"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1B705F" w:rsidRPr="001B705F" w14:paraId="5ACA588F" w14:textId="77777777" w:rsidTr="008D1C2E">
        <w:trPr>
          <w:trHeight w:val="397"/>
        </w:trPr>
        <w:tc>
          <w:tcPr>
            <w:tcW w:w="1985" w:type="dxa"/>
            <w:tcBorders>
              <w:top w:val="single" w:sz="4" w:space="0" w:color="auto"/>
              <w:left w:val="single" w:sz="4" w:space="0" w:color="auto"/>
              <w:bottom w:val="single" w:sz="4" w:space="0" w:color="auto"/>
              <w:right w:val="single" w:sz="4" w:space="0" w:color="auto"/>
            </w:tcBorders>
            <w:hideMark/>
          </w:tcPr>
          <w:p w14:paraId="698D7080"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7221C7C6"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Ley 1748 de 2014</w:t>
            </w:r>
          </w:p>
          <w:p w14:paraId="14F9D8A4"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p>
          <w:p w14:paraId="4FF8B9A9"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 xml:space="preserve">Artículo </w:t>
            </w:r>
            <w:proofErr w:type="gramStart"/>
            <w:r w:rsidRPr="001B705F">
              <w:rPr>
                <w:rFonts w:ascii="Tahoma" w:eastAsia="Tahoma" w:hAnsi="Tahoma" w:cs="Tahoma"/>
                <w:i/>
                <w:iCs/>
                <w:sz w:val="22"/>
                <w:lang w:eastAsia="es-MX"/>
              </w:rPr>
              <w:t>3.°</w:t>
            </w:r>
            <w:proofErr w:type="gramEnd"/>
            <w:r w:rsidRPr="001B705F">
              <w:rPr>
                <w:rFonts w:ascii="Tahoma" w:eastAsia="Tahoma" w:hAnsi="Tahoma" w:cs="Tahoma"/>
                <w:i/>
                <w:iCs/>
                <w:sz w:val="22"/>
                <w:lang w:eastAsia="es-MX"/>
              </w:rPr>
              <w:t xml:space="preserve"> del Decreto 2071 de 2015</w:t>
            </w:r>
          </w:p>
          <w:p w14:paraId="13F75712"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p>
          <w:p w14:paraId="12D41CBE"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6E5F5846"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jc w:val="left"/>
              <w:rPr>
                <w:rFonts w:ascii="Tahoma" w:eastAsia="Tahoma" w:hAnsi="Tahoma" w:cs="Tahoma"/>
                <w:i/>
                <w:iCs/>
                <w:sz w:val="22"/>
                <w:lang w:eastAsia="es-MX"/>
              </w:rPr>
            </w:pPr>
            <w:r w:rsidRPr="001B705F">
              <w:rPr>
                <w:rFonts w:ascii="Tahoma" w:eastAsia="Tahoma" w:hAnsi="Tahoma" w:cs="Tahoma"/>
                <w:i/>
                <w:iCs/>
                <w:sz w:val="22"/>
                <w:lang w:eastAsia="es-MX"/>
              </w:rPr>
              <w:t>Junto con lo anterior, lleva inmerso el derecho a obtener asesoría de los representantes de ambos regímenes pensionales.</w:t>
            </w:r>
          </w:p>
        </w:tc>
      </w:tr>
    </w:tbl>
    <w:p w14:paraId="1FB44BC7"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62CBE55C"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1B705F">
        <w:rPr>
          <w:rFonts w:ascii="Tahoma" w:eastAsia="Calibri" w:hAnsi="Tahoma" w:cs="Tahoma"/>
          <w:b/>
          <w:i/>
          <w:sz w:val="22"/>
          <w:lang w:eastAsia="es-CO"/>
        </w:rPr>
        <w:t>1.4 Conclusión: La constatación del deber de información es ineludible</w:t>
      </w:r>
    </w:p>
    <w:p w14:paraId="432AF2FB"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61B86AFD"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B705F">
        <w:rPr>
          <w:rFonts w:ascii="Tahoma" w:eastAsia="Calibri" w:hAnsi="Tahoma" w:cs="Tahoma"/>
          <w:i/>
          <w:sz w:val="22"/>
          <w:lang w:eastAsia="es-CO"/>
        </w:rPr>
        <w:t xml:space="preserve">Según se pudo advertir del anterior recuento, </w:t>
      </w:r>
      <w:r w:rsidRPr="001B705F">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B705F">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0229D6D2"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1A22D65D"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458665BF"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FFA1E46"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49684955" w14:textId="77777777" w:rsidR="0091540D" w:rsidRPr="00287F24" w:rsidRDefault="0091540D" w:rsidP="0091540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0D21CEB" w14:textId="77777777" w:rsidR="0091540D" w:rsidRPr="001B705F" w:rsidRDefault="0091540D" w:rsidP="001B705F">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1B705F">
        <w:rPr>
          <w:rFonts w:ascii="Tahoma" w:eastAsia="Calibri" w:hAnsi="Tahoma" w:cs="Tahoma"/>
          <w:b/>
          <w:iCs/>
          <w:lang w:eastAsia="es-CO"/>
        </w:rPr>
        <w:t xml:space="preserve">“El simple consentimiento vertido en el formulario de afiliación </w:t>
      </w:r>
      <w:r w:rsidRPr="001B705F">
        <w:rPr>
          <w:rFonts w:ascii="Tahoma" w:eastAsia="Calibri" w:hAnsi="Tahoma" w:cs="Tahoma"/>
          <w:b/>
          <w:iCs/>
          <w:lang w:eastAsia="es-CO"/>
        </w:rPr>
        <w:lastRenderedPageBreak/>
        <w:t xml:space="preserve">es insuficiente – Necesidad de un consentimiento informado” </w:t>
      </w:r>
      <w:r w:rsidRPr="00B253E0">
        <w:rPr>
          <w:rFonts w:ascii="Tahoma" w:eastAsia="Calibri" w:hAnsi="Tahoma" w:cs="Tahoma"/>
          <w:b/>
          <w:iCs/>
          <w:vertAlign w:val="superscript"/>
          <w:lang w:eastAsia="es-CO"/>
        </w:rPr>
        <w:footnoteReference w:id="3"/>
      </w:r>
      <w:r w:rsidRPr="00B253E0">
        <w:rPr>
          <w:rFonts w:ascii="Tahoma" w:eastAsia="Calibri" w:hAnsi="Tahoma" w:cs="Tahoma"/>
          <w:b/>
          <w:iCs/>
          <w:vertAlign w:val="superscript"/>
          <w:lang w:eastAsia="es-CO"/>
        </w:rPr>
        <w:t xml:space="preserve"> </w:t>
      </w:r>
    </w:p>
    <w:p w14:paraId="57AC3172" w14:textId="77777777" w:rsidR="0091540D" w:rsidRPr="00287F24" w:rsidRDefault="0091540D" w:rsidP="0091540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3F1C699" w14:textId="77777777" w:rsidR="0091540D" w:rsidRPr="00287F24" w:rsidRDefault="0091540D" w:rsidP="0091540D">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6D5C8970" w14:textId="77777777" w:rsidR="0091540D" w:rsidRPr="00287F24" w:rsidRDefault="0091540D" w:rsidP="0091540D">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2116DD3"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41AEECED"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6EC41F8E"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La Sala considera desacertada esta tesis, en la medida que la firma del formulario, al igual que las afirmaciones consignadas en los formatos </w:t>
      </w:r>
      <w:proofErr w:type="spellStart"/>
      <w:r w:rsidRPr="00553FAE">
        <w:rPr>
          <w:rFonts w:ascii="Tahoma" w:eastAsia="Calibri" w:hAnsi="Tahoma" w:cs="Tahoma"/>
          <w:i/>
          <w:sz w:val="22"/>
          <w:lang w:eastAsia="es-CO"/>
        </w:rPr>
        <w:t>preimpresos</w:t>
      </w:r>
      <w:proofErr w:type="spellEnd"/>
      <w:r w:rsidRPr="00553FAE">
        <w:rPr>
          <w:rFonts w:ascii="Tahoma" w:eastAsia="Calibri" w:hAnsi="Tahoma" w:cs="Tahoma"/>
          <w:i/>
          <w:sz w:val="22"/>
          <w:lang w:eastAsia="es-CO"/>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74FB7428"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6DA4202F"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4C739C71"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A456E26"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Por tanto, hoy en el campo de la seguridad social, existe un verdadero e insoslayable deber de obtener un consentimiento informado (CSJ </w:t>
      </w:r>
      <w:proofErr w:type="spellStart"/>
      <w:r w:rsidRPr="00553FAE">
        <w:rPr>
          <w:rFonts w:ascii="Tahoma" w:eastAsia="Calibri" w:hAnsi="Tahoma" w:cs="Tahoma"/>
          <w:i/>
          <w:sz w:val="22"/>
          <w:lang w:eastAsia="es-CO"/>
        </w:rPr>
        <w:t>SL19447</w:t>
      </w:r>
      <w:proofErr w:type="spellEnd"/>
      <w:r w:rsidRPr="00553FAE">
        <w:rPr>
          <w:rFonts w:ascii="Tahoma" w:eastAsia="Calibri" w:hAnsi="Tahoma" w:cs="Tahoma"/>
          <w:i/>
          <w:sz w:val="22"/>
          <w:lang w:eastAsia="es-CO"/>
        </w:rPr>
        <w:t>-2017),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249F6C24" w14:textId="77777777" w:rsidR="0091540D" w:rsidRPr="00287F24" w:rsidRDefault="0091540D" w:rsidP="0091540D">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13046DBC" w14:textId="77777777" w:rsidR="0091540D" w:rsidRPr="00287F24" w:rsidRDefault="0091540D" w:rsidP="0091540D">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 xml:space="preserve">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w:t>
      </w:r>
      <w:proofErr w:type="spellStart"/>
      <w:r w:rsidRPr="00287F24">
        <w:rPr>
          <w:rFonts w:ascii="Tahoma" w:eastAsia="Calibri" w:hAnsi="Tahoma" w:cs="Tahoma"/>
          <w:bCs/>
          <w:lang w:eastAsia="es-CO"/>
        </w:rPr>
        <w:t>SL12136</w:t>
      </w:r>
      <w:proofErr w:type="spellEnd"/>
      <w:r w:rsidRPr="00287F24">
        <w:rPr>
          <w:rFonts w:ascii="Tahoma" w:eastAsia="Calibri" w:hAnsi="Tahoma" w:cs="Tahoma"/>
          <w:bCs/>
          <w:lang w:eastAsia="es-CO"/>
        </w:rPr>
        <w:t>-2014 en la que se dijo lo siguiente:</w:t>
      </w:r>
    </w:p>
    <w:p w14:paraId="2BF271CE" w14:textId="77777777" w:rsidR="0091540D" w:rsidRPr="00287F24" w:rsidRDefault="0091540D" w:rsidP="0091540D">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0F04C1A2" w14:textId="77777777" w:rsidR="0091540D" w:rsidRPr="00553FAE" w:rsidRDefault="0091540D" w:rsidP="0091540D">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44851681" w14:textId="77777777" w:rsidR="0091540D" w:rsidRPr="00D11B68" w:rsidRDefault="0091540D" w:rsidP="0091540D">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431D72D" w14:textId="77777777" w:rsidR="007638B7" w:rsidRPr="00D11B68" w:rsidRDefault="007638B7" w:rsidP="007638B7">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bCs/>
          <w:lang w:eastAsia="es-CO"/>
        </w:rPr>
      </w:pPr>
      <w:bookmarkStart w:id="5" w:name="_Hlk109243055"/>
      <w:r w:rsidRPr="00D11B68">
        <w:rPr>
          <w:rFonts w:ascii="Tahoma" w:eastAsia="Calibri" w:hAnsi="Tahoma" w:cs="Tahoma"/>
          <w:b/>
          <w:bCs/>
          <w:lang w:eastAsia="es-CO"/>
        </w:rPr>
        <w:t xml:space="preserve">Los actos de relacionamiento, </w:t>
      </w:r>
      <w:proofErr w:type="spellStart"/>
      <w:r w:rsidRPr="00D11B68">
        <w:rPr>
          <w:rFonts w:ascii="Tahoma" w:eastAsia="Calibri" w:hAnsi="Tahoma" w:cs="Tahoma"/>
          <w:b/>
          <w:bCs/>
          <w:lang w:eastAsia="es-CO"/>
        </w:rPr>
        <w:t>reasesorías</w:t>
      </w:r>
      <w:proofErr w:type="spellEnd"/>
      <w:r w:rsidRPr="00D11B68">
        <w:rPr>
          <w:rFonts w:ascii="Tahoma" w:eastAsia="Calibri" w:hAnsi="Tahoma" w:cs="Tahoma"/>
          <w:b/>
          <w:bCs/>
          <w:lang w:eastAsia="es-CO"/>
        </w:rPr>
        <w:t xml:space="preserve">,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w:t>
      </w:r>
      <w:r w:rsidRPr="00D11B68">
        <w:rPr>
          <w:rFonts w:ascii="Tahoma" w:eastAsia="Calibri" w:hAnsi="Tahoma" w:cs="Tahoma"/>
          <w:b/>
          <w:bCs/>
          <w:lang w:eastAsia="es-CO"/>
        </w:rPr>
        <w:lastRenderedPageBreak/>
        <w:t xml:space="preserve">ineficacia por la falta de información al momento del traslado al </w:t>
      </w:r>
      <w:proofErr w:type="spellStart"/>
      <w:r w:rsidRPr="00D11B68">
        <w:rPr>
          <w:rFonts w:ascii="Tahoma" w:eastAsia="Calibri" w:hAnsi="Tahoma" w:cs="Tahoma"/>
          <w:b/>
          <w:bCs/>
          <w:lang w:eastAsia="es-CO"/>
        </w:rPr>
        <w:t>RAIS</w:t>
      </w:r>
      <w:proofErr w:type="spellEnd"/>
      <w:r w:rsidRPr="00D11B68">
        <w:rPr>
          <w:rFonts w:ascii="Tahoma" w:eastAsia="Calibri" w:hAnsi="Tahoma" w:cs="Tahoma"/>
          <w:b/>
          <w:bCs/>
          <w:lang w:eastAsia="es-CO"/>
        </w:rPr>
        <w:t>.</w:t>
      </w:r>
    </w:p>
    <w:p w14:paraId="1718ADF2" w14:textId="77777777" w:rsidR="007638B7" w:rsidRPr="00D11B68" w:rsidRDefault="007638B7" w:rsidP="007638B7">
      <w:pPr>
        <w:pStyle w:val="Prrafodelista"/>
        <w:widowControl w:val="0"/>
        <w:autoSpaceDE w:val="0"/>
        <w:autoSpaceDN w:val="0"/>
        <w:adjustRightInd w:val="0"/>
        <w:spacing w:line="276" w:lineRule="auto"/>
        <w:ind w:left="1429"/>
        <w:rPr>
          <w:rFonts w:eastAsia="Calibri" w:cs="Tahoma"/>
          <w:b/>
          <w:bCs/>
          <w:szCs w:val="24"/>
          <w:lang w:eastAsia="es-CO"/>
        </w:rPr>
      </w:pPr>
    </w:p>
    <w:p w14:paraId="28D5D32A" w14:textId="77777777" w:rsidR="007638B7" w:rsidRPr="00D11B68" w:rsidRDefault="007638B7" w:rsidP="007638B7">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6" w:name="_Hlk109255998"/>
      <w:bookmarkEnd w:id="5"/>
      <w:r w:rsidRPr="00D11B68">
        <w:rPr>
          <w:rFonts w:ascii="Tahoma" w:eastAsia="Calibri" w:hAnsi="Tahoma" w:cs="Tahoma"/>
          <w:bCs/>
          <w:lang w:eastAsia="es-CO"/>
        </w:rPr>
        <w:t xml:space="preserve">Además de lo anterior, ha precisado el máximo órgano de la jurisdicción ordinaria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9 sep. 2008, rad. 31989, CSJ </w:t>
      </w:r>
      <w:proofErr w:type="spellStart"/>
      <w:r w:rsidRPr="00D11B68">
        <w:rPr>
          <w:rFonts w:ascii="Tahoma" w:eastAsia="Calibri" w:hAnsi="Tahoma" w:cs="Tahoma"/>
          <w:bCs/>
          <w:lang w:eastAsia="es-CO"/>
        </w:rPr>
        <w:t>SL2877</w:t>
      </w:r>
      <w:proofErr w:type="spellEnd"/>
      <w:r w:rsidRPr="00D11B68">
        <w:rPr>
          <w:rFonts w:ascii="Tahoma" w:eastAsia="Calibri" w:hAnsi="Tahoma" w:cs="Tahoma"/>
          <w:bCs/>
          <w:lang w:eastAsia="es-CO"/>
        </w:rPr>
        <w:t xml:space="preserve">-2020, CSJ </w:t>
      </w:r>
      <w:proofErr w:type="spellStart"/>
      <w:r w:rsidRPr="00D11B68">
        <w:rPr>
          <w:rFonts w:ascii="Tahoma" w:eastAsia="Calibri" w:hAnsi="Tahoma" w:cs="Tahoma"/>
          <w:bCs/>
          <w:lang w:eastAsia="es-CO"/>
        </w:rPr>
        <w:t>SL1942</w:t>
      </w:r>
      <w:proofErr w:type="spellEnd"/>
      <w:r w:rsidRPr="00D11B68">
        <w:rPr>
          <w:rFonts w:ascii="Tahoma" w:eastAsia="Calibri" w:hAnsi="Tahoma" w:cs="Tahoma"/>
          <w:bCs/>
          <w:lang w:eastAsia="es-CO"/>
        </w:rPr>
        <w:t xml:space="preserve">-2021 y CSJ </w:t>
      </w:r>
      <w:proofErr w:type="spellStart"/>
      <w:r w:rsidRPr="00D11B68">
        <w:rPr>
          <w:rFonts w:ascii="Tahoma" w:eastAsia="Calibri" w:hAnsi="Tahoma" w:cs="Tahoma"/>
          <w:bCs/>
          <w:lang w:eastAsia="es-CO"/>
        </w:rPr>
        <w:t>SL1949</w:t>
      </w:r>
      <w:proofErr w:type="spellEnd"/>
      <w:r w:rsidRPr="00D11B68">
        <w:rPr>
          <w:rFonts w:ascii="Tahoma" w:eastAsia="Calibri" w:hAnsi="Tahoma" w:cs="Tahoma"/>
          <w:bCs/>
          <w:lang w:eastAsia="es-CO"/>
        </w:rPr>
        <w:t xml:space="preserve">-2021) que la suscripción de varios formularios de afiliación dentro del mismo </w:t>
      </w:r>
      <w:proofErr w:type="spellStart"/>
      <w:r w:rsidRPr="00D11B68">
        <w:rPr>
          <w:rFonts w:ascii="Tahoma" w:eastAsia="Calibri" w:hAnsi="Tahoma" w:cs="Tahoma"/>
          <w:bCs/>
          <w:lang w:eastAsia="es-CO"/>
        </w:rPr>
        <w:t>RAIS</w:t>
      </w:r>
      <w:proofErr w:type="spellEnd"/>
      <w:r w:rsidRPr="00D11B68">
        <w:rPr>
          <w:rFonts w:ascii="Tahoma" w:eastAsia="Calibri" w:hAnsi="Tahoma" w:cs="Tahoma"/>
          <w:bCs/>
          <w:lang w:eastAsia="es-CO"/>
        </w:rPr>
        <w:t xml:space="preserve">,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5688 de 2021</w:t>
      </w:r>
      <w:r w:rsidRPr="00D11B68">
        <w:rPr>
          <w:rStyle w:val="Refdenotaalpie"/>
          <w:rFonts w:ascii="Tahoma" w:eastAsia="Calibri" w:hAnsi="Tahoma" w:cs="Tahoma"/>
          <w:bCs/>
          <w:lang w:eastAsia="es-CO"/>
        </w:rPr>
        <w:footnoteReference w:id="4"/>
      </w:r>
      <w:r w:rsidRPr="00D11B68">
        <w:rPr>
          <w:rFonts w:ascii="Tahoma" w:eastAsia="Calibri" w:hAnsi="Tahoma" w:cs="Tahoma"/>
          <w:bCs/>
          <w:lang w:eastAsia="es-CO"/>
        </w:rPr>
        <w:t xml:space="preserve"> que memora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9 sep. 2008, rad. 31989 expuso:</w:t>
      </w:r>
    </w:p>
    <w:p w14:paraId="2E12B937" w14:textId="77777777" w:rsidR="007638B7" w:rsidRPr="00D11B68" w:rsidRDefault="007638B7" w:rsidP="007638B7">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1F584D59"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199C050F" w14:textId="77777777" w:rsidR="007638B7" w:rsidRPr="00D11B68" w:rsidRDefault="007638B7" w:rsidP="007638B7">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117ACCFF" w14:textId="77777777" w:rsidR="007638B7" w:rsidRPr="00D11B68" w:rsidRDefault="007638B7" w:rsidP="007638B7">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 xml:space="preserve">En este orden de ideas, en la sentencia CSJ </w:t>
      </w:r>
      <w:proofErr w:type="spellStart"/>
      <w:r w:rsidRPr="00D11B68">
        <w:rPr>
          <w:rFonts w:ascii="Tahoma" w:eastAsia="Calibri" w:hAnsi="Tahoma" w:cs="Tahoma"/>
          <w:bCs/>
          <w:lang w:eastAsia="es-CO"/>
        </w:rPr>
        <w:t>SL</w:t>
      </w:r>
      <w:proofErr w:type="spellEnd"/>
      <w:r w:rsidRPr="00D11B68">
        <w:rPr>
          <w:rFonts w:ascii="Tahoma" w:eastAsia="Calibri" w:hAnsi="Tahoma" w:cs="Tahoma"/>
          <w:bCs/>
          <w:lang w:eastAsia="es-CO"/>
        </w:rPr>
        <w:t xml:space="preserve"> 5686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traída a colación en la CSJ </w:t>
      </w:r>
      <w:proofErr w:type="spellStart"/>
      <w:r w:rsidRPr="00D11B68">
        <w:rPr>
          <w:rFonts w:ascii="Tahoma" w:eastAsia="Calibri" w:hAnsi="Tahoma" w:cs="Tahoma"/>
          <w:bCs/>
          <w:lang w:eastAsia="es-CO"/>
        </w:rPr>
        <w:t>SL1926</w:t>
      </w:r>
      <w:proofErr w:type="spellEnd"/>
      <w:r w:rsidRPr="00D11B68">
        <w:rPr>
          <w:rFonts w:ascii="Tahoma" w:eastAsia="Calibri" w:hAnsi="Tahoma" w:cs="Tahoma"/>
          <w:bCs/>
          <w:lang w:eastAsia="es-CO"/>
        </w:rPr>
        <w:t>-2022</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añadió:</w:t>
      </w:r>
    </w:p>
    <w:p w14:paraId="2F16FD1F" w14:textId="77777777" w:rsidR="007638B7" w:rsidRPr="00D11B68" w:rsidRDefault="007638B7" w:rsidP="007638B7">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FF967BA"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3E0D1FC4"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88869D6"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El anterior criterio es el precedente vigente y en rigor de la Sala de Casación Laboral de esta Corte, y corrige cualquier otro que le sea contrario, en especial el condensado en las sentencias CSJ </w:t>
      </w:r>
      <w:proofErr w:type="spellStart"/>
      <w:r w:rsidRPr="00553FAE">
        <w:rPr>
          <w:rFonts w:ascii="Tahoma" w:eastAsia="Calibri" w:hAnsi="Tahoma" w:cs="Tahoma"/>
          <w:bCs/>
          <w:i/>
          <w:sz w:val="22"/>
          <w:lang w:val="es-ES" w:eastAsia="es-CO"/>
        </w:rPr>
        <w:t>SL3752</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SL4934</w:t>
      </w:r>
      <w:proofErr w:type="spellEnd"/>
      <w:r w:rsidRPr="00553FAE">
        <w:rPr>
          <w:rFonts w:ascii="Tahoma" w:eastAsia="Calibri" w:hAnsi="Tahoma" w:cs="Tahoma"/>
          <w:bCs/>
          <w:i/>
          <w:sz w:val="22"/>
          <w:lang w:val="es-ES" w:eastAsia="es-CO"/>
        </w:rPr>
        <w:t xml:space="preserve">-2020, CSJ </w:t>
      </w:r>
      <w:proofErr w:type="spellStart"/>
      <w:r w:rsidRPr="00553FAE">
        <w:rPr>
          <w:rFonts w:ascii="Tahoma" w:eastAsia="Calibri" w:hAnsi="Tahoma" w:cs="Tahoma"/>
          <w:bCs/>
          <w:i/>
          <w:sz w:val="22"/>
          <w:lang w:val="es-ES" w:eastAsia="es-CO"/>
        </w:rPr>
        <w:t>SL1008</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SL1061</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SL2439</w:t>
      </w:r>
      <w:proofErr w:type="spellEnd"/>
      <w:r w:rsidRPr="00553FAE">
        <w:rPr>
          <w:rFonts w:ascii="Tahoma" w:eastAsia="Calibri" w:hAnsi="Tahoma" w:cs="Tahoma"/>
          <w:bCs/>
          <w:i/>
          <w:sz w:val="22"/>
          <w:lang w:val="es-ES" w:eastAsia="es-CO"/>
        </w:rPr>
        <w:t xml:space="preserve">-2021, CSJ </w:t>
      </w:r>
      <w:proofErr w:type="spellStart"/>
      <w:r w:rsidRPr="00553FAE">
        <w:rPr>
          <w:rFonts w:ascii="Tahoma" w:eastAsia="Calibri" w:hAnsi="Tahoma" w:cs="Tahoma"/>
          <w:bCs/>
          <w:i/>
          <w:sz w:val="22"/>
          <w:lang w:val="es-ES" w:eastAsia="es-CO"/>
        </w:rPr>
        <w:t>SL2440</w:t>
      </w:r>
      <w:proofErr w:type="spellEnd"/>
      <w:r w:rsidRPr="00553FAE">
        <w:rPr>
          <w:rFonts w:ascii="Tahoma" w:eastAsia="Calibri" w:hAnsi="Tahoma" w:cs="Tahoma"/>
          <w:bCs/>
          <w:i/>
          <w:sz w:val="22"/>
          <w:lang w:val="es-ES" w:eastAsia="es-CO"/>
        </w:rPr>
        <w:t xml:space="preserve">-2021 y CSJ </w:t>
      </w:r>
      <w:proofErr w:type="spellStart"/>
      <w:r w:rsidRPr="00553FAE">
        <w:rPr>
          <w:rFonts w:ascii="Tahoma" w:eastAsia="Calibri" w:hAnsi="Tahoma" w:cs="Tahoma"/>
          <w:bCs/>
          <w:i/>
          <w:sz w:val="22"/>
          <w:lang w:val="es-ES" w:eastAsia="es-CO"/>
        </w:rPr>
        <w:t>SL2753</w:t>
      </w:r>
      <w:proofErr w:type="spellEnd"/>
      <w:r w:rsidRPr="00553FAE">
        <w:rPr>
          <w:rFonts w:ascii="Tahoma" w:eastAsia="Calibri" w:hAnsi="Tahoma" w:cs="Tahoma"/>
          <w:bCs/>
          <w:i/>
          <w:sz w:val="22"/>
          <w:lang w:val="es-ES" w:eastAsia="es-CO"/>
        </w:rPr>
        <w:t>-2021”.</w:t>
      </w:r>
    </w:p>
    <w:p w14:paraId="44510318" w14:textId="77777777" w:rsidR="007638B7" w:rsidRPr="00D11B68" w:rsidRDefault="007638B7" w:rsidP="007638B7">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72F08D14" w14:textId="77777777" w:rsidR="007638B7" w:rsidRPr="00D11B68" w:rsidRDefault="007638B7" w:rsidP="007638B7">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 xml:space="preserve">Posteriormente, la sentencia CSJ </w:t>
      </w:r>
      <w:proofErr w:type="spellStart"/>
      <w:r w:rsidRPr="00D11B68">
        <w:rPr>
          <w:rFonts w:ascii="Tahoma" w:eastAsia="Calibri" w:hAnsi="Tahoma" w:cs="Tahoma"/>
          <w:bCs/>
          <w:lang w:eastAsia="es-CO"/>
        </w:rPr>
        <w:t>SL1055</w:t>
      </w:r>
      <w:proofErr w:type="spellEnd"/>
      <w:r w:rsidRPr="00D11B68">
        <w:rPr>
          <w:rFonts w:ascii="Tahoma" w:eastAsia="Calibri" w:hAnsi="Tahoma" w:cs="Tahoma"/>
          <w:bCs/>
          <w:lang w:eastAsia="es-CO"/>
        </w:rPr>
        <w:t xml:space="preserve"> de 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 xml:space="preserve">CSJ </w:t>
      </w:r>
      <w:proofErr w:type="spellStart"/>
      <w:r w:rsidRPr="00D11B68">
        <w:rPr>
          <w:rFonts w:ascii="Tahoma" w:eastAsia="Calibri" w:hAnsi="Tahoma" w:cs="Tahoma"/>
          <w:bCs/>
          <w:lang w:val="es-ES" w:eastAsia="es-CO"/>
        </w:rPr>
        <w:t>SL249</w:t>
      </w:r>
      <w:proofErr w:type="spellEnd"/>
      <w:r w:rsidRPr="00D11B68">
        <w:rPr>
          <w:rFonts w:ascii="Tahoma" w:eastAsia="Calibri" w:hAnsi="Tahoma" w:cs="Tahoma"/>
          <w:bCs/>
          <w:lang w:val="es-ES" w:eastAsia="es-CO"/>
        </w:rPr>
        <w:t xml:space="preserve">-2022 y </w:t>
      </w:r>
      <w:proofErr w:type="spellStart"/>
      <w:r w:rsidRPr="00D11B68">
        <w:rPr>
          <w:rFonts w:ascii="Tahoma" w:eastAsia="Calibri" w:hAnsi="Tahoma" w:cs="Tahoma"/>
          <w:bCs/>
          <w:lang w:val="es-ES" w:eastAsia="es-CO"/>
        </w:rPr>
        <w:t>SL259</w:t>
      </w:r>
      <w:proofErr w:type="spellEnd"/>
      <w:r w:rsidRPr="00D11B68">
        <w:rPr>
          <w:rFonts w:ascii="Tahoma" w:eastAsia="Calibri" w:hAnsi="Tahoma" w:cs="Tahoma"/>
          <w:bCs/>
          <w:lang w:val="es-ES" w:eastAsia="es-CO"/>
        </w:rPr>
        <w:t>-2022, y en su lugar ratificó:</w:t>
      </w:r>
    </w:p>
    <w:p w14:paraId="11611E8C" w14:textId="77777777" w:rsidR="007638B7" w:rsidRPr="00D11B68" w:rsidRDefault="007638B7" w:rsidP="007638B7">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5DD9216"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“los actos u omisiones posteriores del afiliado, bien sea porque se trasladó entre fondos privados o no retornó a prima media en las oportunidades legales previstas, no pueden validar el desacato legal que genera la ineficacia del acto jurídico del </w:t>
      </w:r>
      <w:r w:rsidRPr="00553FAE">
        <w:rPr>
          <w:rFonts w:ascii="Tahoma" w:eastAsia="Calibri" w:hAnsi="Tahoma" w:cs="Tahoma"/>
          <w:bCs/>
          <w:i/>
          <w:sz w:val="22"/>
          <w:lang w:val="es-ES" w:eastAsia="es-CO"/>
        </w:rPr>
        <w:lastRenderedPageBreak/>
        <w:t>traslado de régimen, precisamente porque al ser posteriores dejan intactos los hechos u omisiones que anteceden al acto jurídico ineficaz, el cual no puede sanearse como la nulidad”</w:t>
      </w:r>
    </w:p>
    <w:p w14:paraId="303A3CCC" w14:textId="77777777" w:rsidR="007638B7" w:rsidRPr="00D11B68" w:rsidRDefault="007638B7" w:rsidP="007638B7">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453B19AD" w14:textId="77777777" w:rsidR="007638B7" w:rsidRPr="00D11B68" w:rsidRDefault="007638B7" w:rsidP="007638B7">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 xml:space="preserve">Igual cosa se ha predicado de las </w:t>
      </w:r>
      <w:proofErr w:type="spellStart"/>
      <w:r w:rsidRPr="00D11B68">
        <w:rPr>
          <w:rFonts w:ascii="Tahoma" w:eastAsia="Calibri" w:hAnsi="Tahoma" w:cs="Tahoma"/>
          <w:bCs/>
          <w:lang w:eastAsia="es-CO"/>
        </w:rPr>
        <w:t>reasesorías</w:t>
      </w:r>
      <w:proofErr w:type="spellEnd"/>
      <w:r w:rsidRPr="00D11B68">
        <w:rPr>
          <w:rFonts w:ascii="Tahoma" w:eastAsia="Calibri" w:hAnsi="Tahoma" w:cs="Tahoma"/>
          <w:bCs/>
          <w:lang w:eastAsia="es-CO"/>
        </w:rPr>
        <w:t xml:space="preserve">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w:t>
      </w:r>
      <w:proofErr w:type="spellStart"/>
      <w:r w:rsidRPr="00D11B68">
        <w:rPr>
          <w:rFonts w:ascii="Tahoma" w:eastAsia="Calibri" w:hAnsi="Tahoma" w:cs="Tahoma"/>
          <w:lang w:eastAsia="es-CO"/>
        </w:rPr>
        <w:t>SL</w:t>
      </w:r>
      <w:proofErr w:type="spellEnd"/>
      <w:r w:rsidRPr="00D11B68">
        <w:rPr>
          <w:rFonts w:ascii="Tahoma" w:eastAsia="Calibri" w:hAnsi="Tahoma" w:cs="Tahoma"/>
          <w:lang w:eastAsia="es-CO"/>
        </w:rPr>
        <w:t xml:space="preserve"> 1688-2019, así: </w:t>
      </w:r>
    </w:p>
    <w:p w14:paraId="0754EB33" w14:textId="77777777" w:rsidR="007638B7" w:rsidRPr="00D11B68" w:rsidRDefault="007638B7" w:rsidP="007638B7">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5FCFC5D6"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“Ahora, si bien la AFP brindó a la actora una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40E5996E"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433BE003"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primer término, porque el traslado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implicó la pérdida de los beneficios derivados de la transición al no contar la demandante con 15 años de cotización o servicios a 1 de abril de 1994. Es decir, así se hubiese trasladado la demandante al día siguiente de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de todas formas, ya había perdido la transición.</w:t>
      </w:r>
    </w:p>
    <w:p w14:paraId="6B0D9EC4"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0490B094"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3DD2DC7B"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5D6135CC"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Por otro lado, no es de recibo el planteo de Protección S.A., cuando sostiene que una vez realizó la </w:t>
      </w:r>
      <w:proofErr w:type="spellStart"/>
      <w:r w:rsidRPr="00553FAE">
        <w:rPr>
          <w:rFonts w:ascii="Tahoma" w:eastAsia="Calibri" w:hAnsi="Tahoma" w:cs="Tahoma"/>
          <w:bCs/>
          <w:i/>
          <w:sz w:val="22"/>
          <w:lang w:val="es-ES" w:eastAsia="es-CO"/>
        </w:rPr>
        <w:t>reasesoría</w:t>
      </w:r>
      <w:proofErr w:type="spellEnd"/>
      <w:r w:rsidRPr="00553FAE">
        <w:rPr>
          <w:rFonts w:ascii="Tahoma" w:eastAsia="Calibri" w:hAnsi="Tahoma" w:cs="Tahoma"/>
          <w:bCs/>
          <w:i/>
          <w:sz w:val="22"/>
          <w:lang w:val="es-ES" w:eastAsia="es-CO"/>
        </w:rPr>
        <w:t xml:space="preserve">, Myriam Arroyave Henao no mostró interés en la ineficacia de la vinculación al </w:t>
      </w:r>
      <w:proofErr w:type="spellStart"/>
      <w:r w:rsidRPr="00553FAE">
        <w:rPr>
          <w:rFonts w:ascii="Tahoma" w:eastAsia="Calibri" w:hAnsi="Tahoma" w:cs="Tahoma"/>
          <w:bCs/>
          <w:i/>
          <w:sz w:val="22"/>
          <w:lang w:val="es-ES" w:eastAsia="es-CO"/>
        </w:rPr>
        <w:t>RAIS</w:t>
      </w:r>
      <w:proofErr w:type="spellEnd"/>
      <w:r w:rsidRPr="00553FAE">
        <w:rPr>
          <w:rFonts w:ascii="Tahoma" w:eastAsia="Calibri" w:hAnsi="Tahoma" w:cs="Tahoma"/>
          <w:bCs/>
          <w:i/>
          <w:sz w:val="22"/>
          <w:lang w:val="es-ES" w:eastAsia="es-CO"/>
        </w:rPr>
        <w:t xml:space="preserve">, al conservar su status de afiliada durante un tiempo, Se dice lo anterior ya que la sugerencia de Protección S.A. de regresar al </w:t>
      </w:r>
      <w:proofErr w:type="spellStart"/>
      <w:r w:rsidRPr="00553FAE">
        <w:rPr>
          <w:rFonts w:ascii="Tahoma" w:eastAsia="Calibri" w:hAnsi="Tahoma" w:cs="Tahoma"/>
          <w:bCs/>
          <w:i/>
          <w:sz w:val="22"/>
          <w:lang w:val="es-ES" w:eastAsia="es-CO"/>
        </w:rPr>
        <w:t>RPMPD</w:t>
      </w:r>
      <w:proofErr w:type="spellEnd"/>
      <w:r w:rsidRPr="00553FAE">
        <w:rPr>
          <w:rFonts w:ascii="Tahoma" w:eastAsia="Calibri" w:hAnsi="Tahoma" w:cs="Tahoma"/>
          <w:bCs/>
          <w:i/>
          <w:sz w:val="22"/>
          <w:lang w:val="es-ES" w:eastAsia="es-CO"/>
        </w:rPr>
        <w:t xml:space="preserve">, se produjo el 26 de noviembre de 2003, y el formulario para la nueva afiliación al </w:t>
      </w:r>
      <w:proofErr w:type="spellStart"/>
      <w:r w:rsidRPr="00553FAE">
        <w:rPr>
          <w:rFonts w:ascii="Tahoma" w:eastAsia="Calibri" w:hAnsi="Tahoma" w:cs="Tahoma"/>
          <w:bCs/>
          <w:i/>
          <w:sz w:val="22"/>
          <w:lang w:val="es-ES" w:eastAsia="es-CO"/>
        </w:rPr>
        <w:t>ISS</w:t>
      </w:r>
      <w:proofErr w:type="spellEnd"/>
      <w:r w:rsidRPr="00553FAE">
        <w:rPr>
          <w:rFonts w:ascii="Tahoma" w:eastAsia="Calibri" w:hAnsi="Tahoma" w:cs="Tahoma"/>
          <w:bCs/>
          <w:i/>
          <w:sz w:val="22"/>
          <w:lang w:val="es-ES" w:eastAsia="es-CO"/>
        </w:rPr>
        <w:t xml:space="preserve">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7559A826" w14:textId="77777777" w:rsidR="007638B7" w:rsidRPr="00D11B68" w:rsidRDefault="007638B7" w:rsidP="007638B7">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0B94C03B" w14:textId="77777777" w:rsidR="007638B7" w:rsidRPr="00D11B68" w:rsidRDefault="007638B7" w:rsidP="007638B7">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w:t>
      </w:r>
      <w:proofErr w:type="spellStart"/>
      <w:r w:rsidRPr="00D11B68">
        <w:rPr>
          <w:rFonts w:ascii="Tahoma" w:eastAsia="Calibri" w:hAnsi="Tahoma" w:cs="Tahoma"/>
          <w:lang w:val="es-ES"/>
        </w:rPr>
        <w:t>SL</w:t>
      </w:r>
      <w:proofErr w:type="spellEnd"/>
      <w:r w:rsidRPr="00D11B68">
        <w:rPr>
          <w:rFonts w:ascii="Tahoma" w:eastAsia="Calibri" w:hAnsi="Tahoma" w:cs="Tahoma"/>
          <w:lang w:val="es-ES"/>
        </w:rPr>
        <w:t xml:space="preserve"> 4297 de 2022, la Sala laboral desde la CSJ </w:t>
      </w:r>
      <w:proofErr w:type="spellStart"/>
      <w:r w:rsidRPr="00D11B68">
        <w:rPr>
          <w:rFonts w:ascii="Tahoma" w:eastAsia="Calibri" w:hAnsi="Tahoma" w:cs="Tahoma"/>
          <w:lang w:val="es-ES"/>
        </w:rPr>
        <w:t>SL</w:t>
      </w:r>
      <w:proofErr w:type="spellEnd"/>
      <w:r w:rsidRPr="00D11B68">
        <w:rPr>
          <w:rFonts w:ascii="Tahoma" w:eastAsia="Calibri" w:hAnsi="Tahoma" w:cs="Tahoma"/>
          <w:lang w:val="es-ES"/>
        </w:rPr>
        <w:t xml:space="preserve">, 9 sep. 2008, rad. 31989 ha sostenido la siguiente regla de decisión respecto de los conocidos actos de relacionamiento: </w:t>
      </w:r>
    </w:p>
    <w:p w14:paraId="649F45D0" w14:textId="77777777" w:rsidR="007638B7" w:rsidRPr="00D11B68" w:rsidRDefault="007638B7" w:rsidP="007638B7">
      <w:pPr>
        <w:spacing w:before="0" w:beforeAutospacing="0" w:after="0" w:afterAutospacing="0" w:line="276" w:lineRule="auto"/>
        <w:ind w:firstLine="0"/>
        <w:contextualSpacing/>
        <w:rPr>
          <w:rFonts w:ascii="Tahoma" w:eastAsia="Calibri" w:hAnsi="Tahoma" w:cs="Tahoma"/>
          <w:iCs/>
          <w:lang w:val="es-ES"/>
        </w:rPr>
      </w:pPr>
    </w:p>
    <w:p w14:paraId="4D46271C"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17574241" w14:textId="77777777" w:rsidR="007638B7" w:rsidRPr="00D11B68" w:rsidRDefault="007638B7" w:rsidP="007638B7">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6"/>
    <w:p w14:paraId="09956C5E" w14:textId="77777777" w:rsidR="007638B7" w:rsidRPr="00D11B68" w:rsidRDefault="007638B7" w:rsidP="007638B7">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D11B68">
        <w:rPr>
          <w:rFonts w:ascii="Tahoma" w:eastAsia="Calibri" w:hAnsi="Tahoma" w:cs="Tahoma"/>
          <w:iCs/>
          <w:lang w:val="es-ES"/>
        </w:rPr>
        <w:lastRenderedPageBreak/>
        <w:t>de la cuenta de ahorro individual, en este orden en la sentencia CSJ 1618-2022</w:t>
      </w:r>
      <w:r w:rsidRPr="00D11B68">
        <w:rPr>
          <w:rStyle w:val="Refdenotaalpie"/>
          <w:rFonts w:ascii="Tahoma" w:eastAsia="Calibri" w:hAnsi="Tahoma" w:cs="Tahoma"/>
          <w:iCs/>
          <w:lang w:val="es-ES"/>
        </w:rPr>
        <w:footnoteReference w:id="8"/>
      </w:r>
      <w:r w:rsidRPr="00D11B68">
        <w:rPr>
          <w:rFonts w:ascii="Tahoma" w:eastAsia="Calibri" w:hAnsi="Tahoma" w:cs="Tahoma"/>
          <w:iCs/>
          <w:lang w:val="es-ES"/>
        </w:rPr>
        <w:t xml:space="preserve"> precisó: </w:t>
      </w:r>
    </w:p>
    <w:p w14:paraId="446B00D4" w14:textId="77777777" w:rsidR="007638B7" w:rsidRPr="00D11B68" w:rsidRDefault="007638B7" w:rsidP="007638B7">
      <w:pPr>
        <w:spacing w:before="0" w:beforeAutospacing="0" w:after="0" w:afterAutospacing="0" w:line="276" w:lineRule="auto"/>
        <w:ind w:left="426" w:right="420" w:firstLine="0"/>
        <w:contextualSpacing/>
        <w:rPr>
          <w:rFonts w:ascii="Tahoma" w:eastAsia="Calibri" w:hAnsi="Tahoma" w:cs="Tahoma"/>
          <w:i/>
          <w:lang w:val="es-ES"/>
        </w:rPr>
      </w:pPr>
    </w:p>
    <w:p w14:paraId="580BA513" w14:textId="77777777" w:rsidR="007638B7" w:rsidRPr="00553FAE" w:rsidRDefault="007638B7" w:rsidP="007638B7">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w:t>
      </w:r>
      <w:proofErr w:type="spellStart"/>
      <w:r w:rsidRPr="00553FAE">
        <w:rPr>
          <w:rFonts w:ascii="Tahoma" w:eastAsia="Calibri" w:hAnsi="Tahoma" w:cs="Tahoma"/>
          <w:bCs/>
          <w:i/>
          <w:sz w:val="22"/>
          <w:lang w:val="es-ES" w:eastAsia="es-CO"/>
        </w:rPr>
        <w:t>Anzola</w:t>
      </w:r>
      <w:proofErr w:type="spellEnd"/>
      <w:r w:rsidRPr="00553FAE">
        <w:rPr>
          <w:rFonts w:ascii="Tahoma" w:eastAsia="Calibri" w:hAnsi="Tahoma" w:cs="Tahoma"/>
          <w:bCs/>
          <w:i/>
          <w:sz w:val="22"/>
          <w:lang w:val="es-ES" w:eastAsia="es-CO"/>
        </w:rPr>
        <w:t>”.</w:t>
      </w:r>
    </w:p>
    <w:p w14:paraId="51C89E7F" w14:textId="77777777" w:rsidR="007638B7" w:rsidRPr="001B705F" w:rsidRDefault="007638B7" w:rsidP="00D676AC">
      <w:pPr>
        <w:widowControl w:val="0"/>
        <w:autoSpaceDE w:val="0"/>
        <w:autoSpaceDN w:val="0"/>
        <w:adjustRightInd w:val="0"/>
        <w:spacing w:before="0" w:beforeAutospacing="0" w:after="0" w:afterAutospacing="0" w:line="276" w:lineRule="auto"/>
        <w:ind w:left="1429" w:firstLine="0"/>
        <w:rPr>
          <w:rFonts w:ascii="Tahoma" w:eastAsia="Calibri" w:hAnsi="Tahoma" w:cs="Tahoma"/>
          <w:b/>
          <w:iCs/>
          <w:lang w:eastAsia="es-CO"/>
        </w:rPr>
      </w:pPr>
    </w:p>
    <w:p w14:paraId="051457CF" w14:textId="77777777" w:rsidR="001B705F" w:rsidRPr="001B705F" w:rsidRDefault="007638B7" w:rsidP="001B705F">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1B705F">
        <w:rPr>
          <w:rFonts w:ascii="Tahoma" w:eastAsia="Calibri" w:hAnsi="Tahoma" w:cs="Tahoma"/>
          <w:b/>
          <w:iCs/>
          <w:lang w:eastAsia="es-CO"/>
        </w:rPr>
        <w:t xml:space="preserve"> </w:t>
      </w:r>
      <w:r w:rsidR="001B705F" w:rsidRPr="001B705F">
        <w:rPr>
          <w:rFonts w:ascii="Tahoma" w:eastAsia="Calibri" w:hAnsi="Tahoma" w:cs="Tahoma"/>
          <w:b/>
          <w:iCs/>
          <w:lang w:eastAsia="es-CO"/>
        </w:rPr>
        <w:t xml:space="preserve">“De la carga de la prueba – Inversión a favor del afiliado” </w:t>
      </w:r>
      <w:r w:rsidR="001B705F" w:rsidRPr="00C86D95">
        <w:rPr>
          <w:rFonts w:ascii="Tahoma" w:eastAsia="Calibri" w:hAnsi="Tahoma" w:cs="Tahoma"/>
          <w:b/>
          <w:iCs/>
          <w:vertAlign w:val="superscript"/>
          <w:lang w:eastAsia="es-CO"/>
        </w:rPr>
        <w:footnoteReference w:id="9"/>
      </w:r>
    </w:p>
    <w:p w14:paraId="78794A9B" w14:textId="77777777" w:rsidR="001B705F" w:rsidRPr="001B705F" w:rsidRDefault="001B705F" w:rsidP="001B705F">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6030152B" w14:textId="77777777" w:rsidR="001B705F" w:rsidRPr="001B705F" w:rsidRDefault="001B705F" w:rsidP="001B705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B705F">
        <w:rPr>
          <w:rFonts w:ascii="Tahoma" w:eastAsia="Calibri" w:hAnsi="Tahoma" w:cs="Tahoma"/>
          <w:bCs/>
          <w:i/>
          <w:sz w:val="22"/>
          <w:lang w:val="es-ES" w:eastAsia="es-CO"/>
        </w:rPr>
        <w:t>la prueba de la diligencia o cuidado incumbe al que ha debido emplearlo</w:t>
      </w:r>
      <w:r w:rsidRPr="001B705F">
        <w:rPr>
          <w:rFonts w:ascii="Tahoma" w:eastAsia="Calibri" w:hAnsi="Tahoma" w:cs="Tahoma"/>
          <w:i/>
          <w:lang w:eastAsia="es-CO"/>
        </w:rPr>
        <w:t>”</w:t>
      </w:r>
      <w:r w:rsidRPr="001B705F">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2FA8EC03" w14:textId="77777777" w:rsidR="001B705F" w:rsidRPr="001B705F" w:rsidRDefault="001B705F" w:rsidP="001B705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E72FD50"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1C6CD82E"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6AE28C4"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325EA8B1"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747A5EB2"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158FCF0C"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906C6EA"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2409EAC2"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B7FCF99"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614BE01F"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6E1E04D"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Paralelamente, no puede pasar desapercibido que la inversión de la carga de la </w:t>
      </w:r>
      <w:r w:rsidRPr="001B705F">
        <w:rPr>
          <w:rFonts w:ascii="Tahoma" w:eastAsia="Calibri" w:hAnsi="Tahoma" w:cs="Tahoma"/>
          <w:bCs/>
          <w:i/>
          <w:sz w:val="22"/>
          <w:lang w:val="es-ES" w:eastAsia="es-CO"/>
        </w:rPr>
        <w:lastRenderedPageBreak/>
        <w:t xml:space="preserve">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1266B80D"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9AF888B"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2E15EA5B" w14:textId="77777777" w:rsidR="001B705F" w:rsidRPr="001B705F" w:rsidRDefault="001B705F" w:rsidP="001B705F">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34E379B" w14:textId="16097D30" w:rsidR="00E02012" w:rsidRPr="00D676AC" w:rsidRDefault="00E02012" w:rsidP="00D676AC">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D676AC">
        <w:rPr>
          <w:rFonts w:ascii="Tahoma" w:eastAsia="Calibri" w:hAnsi="Tahoma" w:cs="Tahoma"/>
          <w:b/>
          <w:iCs/>
          <w:lang w:eastAsia="es-CO"/>
        </w:rPr>
        <w:t>Consecuencias de la declaratoria de ineficacia del traslado.</w:t>
      </w:r>
    </w:p>
    <w:p w14:paraId="5A696A2B" w14:textId="5225EB1F" w:rsidR="00E02012" w:rsidRPr="00EA70A2" w:rsidRDefault="00E02012" w:rsidP="00EA70A2">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p w14:paraId="37629923" w14:textId="77777777" w:rsidR="001B705F" w:rsidRPr="001B705F" w:rsidRDefault="001B705F" w:rsidP="001B705F">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B705F">
        <w:rPr>
          <w:rFonts w:ascii="Tahoma" w:eastAsia="Calibri" w:hAnsi="Tahoma" w:cs="Tahoma"/>
          <w:lang w:eastAsia="es-CO"/>
        </w:rPr>
        <w:t xml:space="preserve">Al efecto, la Sala de Casación Laboral de la Corte Suprema de Justicia precisó en las sentencias CSJ </w:t>
      </w:r>
      <w:proofErr w:type="spellStart"/>
      <w:r w:rsidRPr="001B705F">
        <w:rPr>
          <w:rFonts w:ascii="Tahoma" w:eastAsia="Calibri" w:hAnsi="Tahoma" w:cs="Tahoma"/>
          <w:lang w:eastAsia="es-CO"/>
        </w:rPr>
        <w:t>SL</w:t>
      </w:r>
      <w:proofErr w:type="spellEnd"/>
      <w:r w:rsidRPr="001B705F">
        <w:rPr>
          <w:rFonts w:ascii="Tahoma" w:eastAsia="Calibri" w:hAnsi="Tahoma" w:cs="Tahoma"/>
          <w:lang w:eastAsia="es-CO"/>
        </w:rPr>
        <w:t xml:space="preserve"> 4297-2022, </w:t>
      </w:r>
      <w:r w:rsidRPr="001B705F">
        <w:rPr>
          <w:rFonts w:ascii="Tahoma" w:eastAsia="Calibri" w:hAnsi="Tahoma" w:cs="Tahoma"/>
          <w:lang w:val="es-ES" w:eastAsia="es-CO"/>
        </w:rPr>
        <w:t xml:space="preserve">CSJ </w:t>
      </w:r>
      <w:proofErr w:type="spellStart"/>
      <w:r w:rsidRPr="001B705F">
        <w:rPr>
          <w:rFonts w:ascii="Tahoma" w:eastAsia="Calibri" w:hAnsi="Tahoma" w:cs="Tahoma"/>
          <w:lang w:val="es-ES" w:eastAsia="es-CO"/>
        </w:rPr>
        <w:t>SL3871</w:t>
      </w:r>
      <w:proofErr w:type="spellEnd"/>
      <w:r w:rsidRPr="001B705F">
        <w:rPr>
          <w:rFonts w:ascii="Tahoma" w:eastAsia="Calibri" w:hAnsi="Tahoma" w:cs="Tahoma"/>
          <w:lang w:val="es-ES" w:eastAsia="es-CO"/>
        </w:rPr>
        <w:t xml:space="preserve">-2021,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3611-2021, CSJ </w:t>
      </w:r>
      <w:proofErr w:type="spellStart"/>
      <w:r w:rsidRPr="001B705F">
        <w:rPr>
          <w:rFonts w:ascii="Tahoma" w:eastAsia="Calibri" w:hAnsi="Tahoma" w:cs="Tahoma"/>
          <w:lang w:val="es-ES" w:eastAsia="es-CO"/>
        </w:rPr>
        <w:t>SL3537</w:t>
      </w:r>
      <w:proofErr w:type="spellEnd"/>
      <w:r w:rsidRPr="001B705F">
        <w:rPr>
          <w:rFonts w:ascii="Tahoma" w:eastAsia="Calibri" w:hAnsi="Tahoma" w:cs="Tahoma"/>
          <w:lang w:val="es-ES" w:eastAsia="es-CO"/>
        </w:rPr>
        <w:t xml:space="preserve">-2021 </w:t>
      </w:r>
      <w:r w:rsidRPr="001B705F">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5C99B379" w14:textId="77777777" w:rsidR="001B705F" w:rsidRPr="001B705F" w:rsidRDefault="001B705F" w:rsidP="001B705F">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0F87080B" w14:textId="77777777" w:rsidR="001B705F" w:rsidRPr="001B705F" w:rsidRDefault="001B705F" w:rsidP="001B705F">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B705F">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4A4C54BA" w14:textId="77777777" w:rsidR="001B705F" w:rsidRPr="001B705F" w:rsidRDefault="001B705F" w:rsidP="001B705F">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6D5B4F64" w14:textId="77777777" w:rsidR="001B705F" w:rsidRPr="001B705F" w:rsidRDefault="001B705F" w:rsidP="001B705F">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1B705F">
        <w:rPr>
          <w:rFonts w:ascii="Tahoma" w:eastAsia="Calibri" w:hAnsi="Tahoma" w:cs="Tahoma"/>
          <w:lang w:eastAsia="es-CO"/>
        </w:rPr>
        <w:t xml:space="preserve">Con base en lo anterior, el máximo órgano de cierre de la jurisdicción laboral declaró, entre otras, en las sentencias CSJ </w:t>
      </w:r>
      <w:proofErr w:type="spellStart"/>
      <w:r w:rsidRPr="001B705F">
        <w:rPr>
          <w:rFonts w:ascii="Tahoma" w:eastAsia="Calibri" w:hAnsi="Tahoma" w:cs="Tahoma"/>
          <w:lang w:val="es-ES" w:eastAsia="es-CO"/>
        </w:rPr>
        <w:t>SL1084</w:t>
      </w:r>
      <w:proofErr w:type="spellEnd"/>
      <w:r w:rsidRPr="001B705F">
        <w:rPr>
          <w:rFonts w:ascii="Tahoma" w:eastAsia="Calibri" w:hAnsi="Tahoma" w:cs="Tahoma"/>
          <w:lang w:val="es-ES" w:eastAsia="es-CO"/>
        </w:rPr>
        <w:t xml:space="preserve">-2023,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932-2023, CSJ </w:t>
      </w:r>
      <w:proofErr w:type="spellStart"/>
      <w:r w:rsidRPr="001B705F">
        <w:rPr>
          <w:rFonts w:ascii="Tahoma" w:eastAsia="Calibri" w:hAnsi="Tahoma" w:cs="Tahoma"/>
          <w:lang w:val="es-ES" w:eastAsia="es-CO"/>
        </w:rPr>
        <w:t>SL</w:t>
      </w:r>
      <w:proofErr w:type="spellEnd"/>
      <w:r w:rsidRPr="001B705F">
        <w:rPr>
          <w:rFonts w:ascii="Tahoma" w:eastAsia="Calibri" w:hAnsi="Tahoma" w:cs="Tahoma"/>
          <w:lang w:val="es-ES" w:eastAsia="es-CO"/>
        </w:rPr>
        <w:t xml:space="preserve"> 4297-2022, CSJ </w:t>
      </w:r>
      <w:proofErr w:type="spellStart"/>
      <w:r w:rsidRPr="001B705F">
        <w:rPr>
          <w:rFonts w:ascii="Tahoma" w:eastAsia="Calibri" w:hAnsi="Tahoma" w:cs="Tahoma"/>
          <w:lang w:val="es-ES" w:eastAsia="es-CO"/>
        </w:rPr>
        <w:t>SL3465</w:t>
      </w:r>
      <w:proofErr w:type="spellEnd"/>
      <w:r w:rsidRPr="001B705F">
        <w:rPr>
          <w:rFonts w:ascii="Tahoma" w:eastAsia="Calibri" w:hAnsi="Tahoma" w:cs="Tahoma"/>
          <w:lang w:val="es-ES" w:eastAsia="es-CO"/>
        </w:rPr>
        <w:t xml:space="preserve">-2022, CSJ </w:t>
      </w:r>
      <w:proofErr w:type="spellStart"/>
      <w:r w:rsidRPr="001B705F">
        <w:rPr>
          <w:rFonts w:ascii="Tahoma" w:eastAsia="Calibri" w:hAnsi="Tahoma" w:cs="Tahoma"/>
          <w:lang w:val="es-ES" w:eastAsia="es-CO"/>
        </w:rPr>
        <w:t>SL2229</w:t>
      </w:r>
      <w:proofErr w:type="spellEnd"/>
      <w:r w:rsidRPr="001B705F">
        <w:rPr>
          <w:rFonts w:ascii="Tahoma" w:eastAsia="Calibri" w:hAnsi="Tahoma" w:cs="Tahoma"/>
          <w:lang w:val="es-ES" w:eastAsia="es-CO"/>
        </w:rPr>
        <w:t xml:space="preserve">-2022 y CSJ </w:t>
      </w:r>
      <w:proofErr w:type="spellStart"/>
      <w:r w:rsidRPr="001B705F">
        <w:rPr>
          <w:rFonts w:ascii="Tahoma" w:eastAsia="Calibri" w:hAnsi="Tahoma" w:cs="Tahoma"/>
          <w:lang w:val="es-ES" w:eastAsia="es-CO"/>
        </w:rPr>
        <w:t>SL3188</w:t>
      </w:r>
      <w:proofErr w:type="spellEnd"/>
      <w:r w:rsidRPr="001B705F">
        <w:rPr>
          <w:rFonts w:ascii="Tahoma" w:eastAsia="Calibri" w:hAnsi="Tahoma" w:cs="Tahoma"/>
          <w:lang w:val="es-ES" w:eastAsia="es-CO"/>
        </w:rPr>
        <w:t xml:space="preserve">-2022 que la ineficacia del traslado no solo acarrea la obligación de trasladar </w:t>
      </w:r>
      <w:r w:rsidRPr="001B705F">
        <w:rPr>
          <w:rFonts w:ascii="Tahoma" w:eastAsia="Calibri" w:hAnsi="Tahoma" w:cs="Tahoma"/>
          <w:lang w:eastAsia="es-CO"/>
        </w:rPr>
        <w:t xml:space="preserve">a Colpensiones la totalidad de los saldos obrantes en la cuenta de ahorro individual del promotor del litigio, sino que además definió como regla de adjudicación que la entidad administradora debe: </w:t>
      </w:r>
    </w:p>
    <w:p w14:paraId="630197C7" w14:textId="77777777" w:rsidR="001B705F" w:rsidRPr="001B705F" w:rsidRDefault="001B705F" w:rsidP="001B705F">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4F288F39"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620B670E"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6A7D6CC2" w14:textId="77777777" w:rsidR="001B705F" w:rsidRPr="001B705F" w:rsidRDefault="001B705F" w:rsidP="001B705F">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1B705F">
        <w:rPr>
          <w:rFonts w:ascii="Tahoma" w:eastAsia="Calibri" w:hAnsi="Tahoma" w:cs="Tahoma"/>
          <w:bCs/>
          <w:i/>
          <w:sz w:val="22"/>
          <w:lang w:val="es-ES" w:eastAsia="es-CO"/>
        </w:rPr>
        <w:t xml:space="preserve">Asimismo, al momento de cumplirse esta orden, tales valores deberán aparecer discriminados con sus respectivos montos, junto con el detalle pormenorizado de los ciclos, </w:t>
      </w:r>
      <w:proofErr w:type="spellStart"/>
      <w:r w:rsidRPr="001B705F">
        <w:rPr>
          <w:rFonts w:ascii="Tahoma" w:eastAsia="Calibri" w:hAnsi="Tahoma" w:cs="Tahoma"/>
          <w:bCs/>
          <w:i/>
          <w:sz w:val="22"/>
          <w:lang w:val="es-ES" w:eastAsia="es-CO"/>
        </w:rPr>
        <w:t>IBC</w:t>
      </w:r>
      <w:proofErr w:type="spellEnd"/>
      <w:r w:rsidRPr="001B705F">
        <w:rPr>
          <w:rFonts w:ascii="Tahoma" w:eastAsia="Calibri" w:hAnsi="Tahoma" w:cs="Tahoma"/>
          <w:bCs/>
          <w:i/>
          <w:sz w:val="22"/>
          <w:lang w:val="es-ES" w:eastAsia="es-CO"/>
        </w:rPr>
        <w:t>, aportes y demás información relevante que los justifiquen”.</w:t>
      </w:r>
    </w:p>
    <w:p w14:paraId="34EA44A7" w14:textId="40445CC9" w:rsidR="009A6DFD" w:rsidRPr="001B705F" w:rsidRDefault="009A6DFD" w:rsidP="00EA70A2">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7718C6ED" w14:textId="65DE3F00" w:rsidR="009A6DFD" w:rsidRPr="00D676AC" w:rsidRDefault="009A6DFD" w:rsidP="00D676AC">
      <w:pPr>
        <w:widowControl w:val="0"/>
        <w:numPr>
          <w:ilvl w:val="1"/>
          <w:numId w:val="7"/>
        </w:numPr>
        <w:autoSpaceDE w:val="0"/>
        <w:autoSpaceDN w:val="0"/>
        <w:adjustRightInd w:val="0"/>
        <w:spacing w:before="0" w:beforeAutospacing="0" w:after="0" w:afterAutospacing="0" w:line="276" w:lineRule="auto"/>
        <w:rPr>
          <w:rFonts w:ascii="Tahoma" w:eastAsia="Calibri" w:hAnsi="Tahoma" w:cs="Tahoma"/>
          <w:b/>
          <w:iCs/>
          <w:lang w:eastAsia="es-CO"/>
        </w:rPr>
      </w:pPr>
      <w:r w:rsidRPr="00D676AC">
        <w:rPr>
          <w:rFonts w:ascii="Tahoma" w:eastAsia="Calibri" w:hAnsi="Tahoma" w:cs="Tahoma"/>
          <w:b/>
          <w:iCs/>
          <w:lang w:eastAsia="es-CO"/>
        </w:rPr>
        <w:t>Caso Concreto</w:t>
      </w:r>
    </w:p>
    <w:p w14:paraId="1D37867D" w14:textId="77777777" w:rsidR="008115C7" w:rsidRPr="00EA70A2" w:rsidRDefault="008115C7" w:rsidP="00EA70A2">
      <w:pPr>
        <w:spacing w:before="0" w:beforeAutospacing="0" w:after="0" w:afterAutospacing="0" w:line="276" w:lineRule="auto"/>
        <w:ind w:left="851" w:firstLine="0"/>
        <w:rPr>
          <w:rFonts w:ascii="Tahoma" w:hAnsi="Tahoma" w:cs="Tahoma"/>
        </w:rPr>
      </w:pPr>
    </w:p>
    <w:p w14:paraId="22072EB9" w14:textId="3657F829" w:rsidR="008115C7" w:rsidRPr="00EA70A2" w:rsidRDefault="008115C7" w:rsidP="00EA70A2">
      <w:pPr>
        <w:spacing w:before="0" w:beforeAutospacing="0" w:after="0" w:afterAutospacing="0" w:line="276" w:lineRule="auto"/>
        <w:rPr>
          <w:rFonts w:ascii="Tahoma" w:hAnsi="Tahoma" w:cs="Tahoma"/>
          <w:lang w:eastAsia="es-CO"/>
        </w:rPr>
      </w:pPr>
      <w:r w:rsidRPr="00EA70A2">
        <w:rPr>
          <w:rFonts w:ascii="Tahoma" w:hAnsi="Tahoma" w:cs="Tahoma"/>
          <w:lang w:eastAsia="es-CO"/>
        </w:rPr>
        <w:t xml:space="preserve">Se pretende por esta vía ordinaria que se declare la ineficacia del traslado del régimen de prima media con prestación definida al de ahorro individual con solidaridad, que realizó la actora a través del Fondo de Pensiones </w:t>
      </w:r>
      <w:r w:rsidR="00C167D5" w:rsidRPr="00EA70A2">
        <w:rPr>
          <w:rFonts w:ascii="Tahoma" w:hAnsi="Tahoma" w:cs="Tahoma"/>
          <w:lang w:eastAsia="es-CO"/>
        </w:rPr>
        <w:t xml:space="preserve">Porvenir </w:t>
      </w:r>
      <w:proofErr w:type="spellStart"/>
      <w:r w:rsidRPr="00EA70A2">
        <w:rPr>
          <w:rFonts w:ascii="Tahoma" w:hAnsi="Tahoma" w:cs="Tahoma"/>
          <w:lang w:eastAsia="es-CO"/>
        </w:rPr>
        <w:t>S.A</w:t>
      </w:r>
      <w:proofErr w:type="spellEnd"/>
      <w:r w:rsidRPr="00EA70A2">
        <w:rPr>
          <w:rFonts w:ascii="Tahoma" w:hAnsi="Tahoma" w:cs="Tahoma"/>
          <w:lang w:eastAsia="es-CO"/>
        </w:rPr>
        <w:t xml:space="preserve"> </w:t>
      </w:r>
      <w:r w:rsidR="00A35500" w:rsidRPr="00EA70A2">
        <w:rPr>
          <w:rFonts w:ascii="Tahoma" w:hAnsi="Tahoma" w:cs="Tahoma"/>
          <w:lang w:eastAsia="es-CO"/>
        </w:rPr>
        <w:t xml:space="preserve">el 01 de marzo de 2000, </w:t>
      </w:r>
      <w:r w:rsidRPr="00EA70A2">
        <w:rPr>
          <w:rFonts w:ascii="Tahoma" w:hAnsi="Tahoma" w:cs="Tahoma"/>
          <w:lang w:eastAsia="es-CO"/>
        </w:rPr>
        <w:t xml:space="preserve">según se desprende del </w:t>
      </w:r>
      <w:r w:rsidR="00A35500" w:rsidRPr="00EA70A2">
        <w:rPr>
          <w:rFonts w:ascii="Tahoma" w:hAnsi="Tahoma" w:cs="Tahoma"/>
          <w:lang w:eastAsia="es-CO"/>
        </w:rPr>
        <w:t xml:space="preserve">certificado de afiliación emitido por la AFP Porvenir el </w:t>
      </w:r>
      <w:r w:rsidR="00CB369B" w:rsidRPr="00EA70A2">
        <w:rPr>
          <w:rFonts w:ascii="Tahoma" w:hAnsi="Tahoma" w:cs="Tahoma"/>
          <w:lang w:eastAsia="es-CO"/>
        </w:rPr>
        <w:t>9 de diciembre de 2022</w:t>
      </w:r>
      <w:r w:rsidR="00A35500" w:rsidRPr="00EA70A2">
        <w:rPr>
          <w:rStyle w:val="Refdenotaalpie"/>
          <w:rFonts w:ascii="Tahoma" w:hAnsi="Tahoma" w:cs="Tahoma"/>
          <w:lang w:eastAsia="es-CO"/>
        </w:rPr>
        <w:footnoteReference w:id="10"/>
      </w:r>
      <w:r w:rsidR="00923D71" w:rsidRPr="00EA70A2">
        <w:rPr>
          <w:rFonts w:ascii="Tahoma" w:hAnsi="Tahoma" w:cs="Tahoma"/>
          <w:lang w:eastAsia="es-CO"/>
        </w:rPr>
        <w:t xml:space="preserve"> </w:t>
      </w:r>
      <w:r w:rsidRPr="00EA70A2">
        <w:rPr>
          <w:rFonts w:ascii="Tahoma" w:hAnsi="Tahoma" w:cs="Tahoma"/>
          <w:lang w:eastAsia="es-CO"/>
        </w:rPr>
        <w:t>dada la omisión de información clara y precisa, que ha debido brindarle la AFP a la parte actora en orden a conocer las condiciones y consecuencias de migración de régimen.</w:t>
      </w:r>
    </w:p>
    <w:p w14:paraId="089841EE" w14:textId="77777777" w:rsidR="008115C7" w:rsidRPr="00EA70A2" w:rsidRDefault="008115C7" w:rsidP="00EA70A2">
      <w:pPr>
        <w:spacing w:before="0" w:beforeAutospacing="0" w:after="0" w:afterAutospacing="0" w:line="276" w:lineRule="auto"/>
        <w:ind w:left="851" w:firstLine="0"/>
        <w:rPr>
          <w:rFonts w:ascii="Tahoma" w:hAnsi="Tahoma" w:cs="Tahoma"/>
          <w:lang w:eastAsia="es-CO"/>
        </w:rPr>
      </w:pPr>
    </w:p>
    <w:p w14:paraId="54260F51" w14:textId="77777777" w:rsidR="008115C7" w:rsidRPr="00EA70A2" w:rsidRDefault="008115C7" w:rsidP="00EA70A2">
      <w:pPr>
        <w:spacing w:before="0" w:beforeAutospacing="0" w:after="0" w:afterAutospacing="0" w:line="276" w:lineRule="auto"/>
        <w:rPr>
          <w:rFonts w:ascii="Tahoma" w:hAnsi="Tahoma" w:cs="Tahoma"/>
          <w:lang w:eastAsia="es-CO"/>
        </w:rPr>
      </w:pPr>
      <w:r w:rsidRPr="00EA70A2">
        <w:rPr>
          <w:rFonts w:ascii="Tahoma"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532677AF" w14:textId="77777777" w:rsidR="008115C7" w:rsidRPr="00EA70A2" w:rsidRDefault="008115C7" w:rsidP="00EA70A2">
      <w:pPr>
        <w:spacing w:before="0" w:beforeAutospacing="0" w:after="0" w:afterAutospacing="0" w:line="276" w:lineRule="auto"/>
        <w:ind w:left="851" w:firstLine="0"/>
        <w:rPr>
          <w:rFonts w:ascii="Tahoma" w:hAnsi="Tahoma" w:cs="Tahoma"/>
          <w:lang w:eastAsia="es-CO"/>
        </w:rPr>
      </w:pPr>
    </w:p>
    <w:p w14:paraId="05CA4593" w14:textId="033F95B2" w:rsidR="008115C7" w:rsidRPr="00EA70A2" w:rsidRDefault="008115C7" w:rsidP="00EA70A2">
      <w:pPr>
        <w:spacing w:before="0" w:beforeAutospacing="0" w:after="0" w:afterAutospacing="0" w:line="276" w:lineRule="auto"/>
        <w:rPr>
          <w:rFonts w:ascii="Tahoma" w:hAnsi="Tahoma" w:cs="Tahoma"/>
          <w:lang w:eastAsia="es-CO"/>
        </w:rPr>
      </w:pPr>
      <w:r w:rsidRPr="00EA70A2">
        <w:rPr>
          <w:rFonts w:ascii="Tahoma" w:hAnsi="Tahoma" w:cs="Tahoma"/>
          <w:lang w:eastAsia="es-CO"/>
        </w:rPr>
        <w:t xml:space="preserve">En este orden, </w:t>
      </w:r>
      <w:r w:rsidR="000A42F1" w:rsidRPr="00EA70A2">
        <w:rPr>
          <w:rFonts w:ascii="Tahoma" w:hAnsi="Tahoma" w:cs="Tahoma"/>
          <w:lang w:eastAsia="es-CO"/>
        </w:rPr>
        <w:t xml:space="preserve">para </w:t>
      </w:r>
      <w:r w:rsidR="0050089A" w:rsidRPr="00EA70A2">
        <w:rPr>
          <w:rFonts w:ascii="Tahoma" w:hAnsi="Tahoma" w:cs="Tahoma"/>
          <w:lang w:eastAsia="es-CO"/>
        </w:rPr>
        <w:t>demostrar el deber de información y los supuestos facticos que fundan la acción, la parte pasiva llam</w:t>
      </w:r>
      <w:r w:rsidR="008E19AB" w:rsidRPr="00EA70A2">
        <w:rPr>
          <w:rFonts w:ascii="Tahoma" w:hAnsi="Tahoma" w:cs="Tahoma"/>
          <w:lang w:eastAsia="es-CO"/>
        </w:rPr>
        <w:t>ó</w:t>
      </w:r>
      <w:r w:rsidR="0050089A" w:rsidRPr="00EA70A2">
        <w:rPr>
          <w:rFonts w:ascii="Tahoma" w:hAnsi="Tahoma" w:cs="Tahoma"/>
          <w:lang w:eastAsia="es-CO"/>
        </w:rPr>
        <w:t xml:space="preserve"> a rendir interrogatorio a la demandante</w:t>
      </w:r>
      <w:r w:rsidR="00F94238" w:rsidRPr="00EA70A2">
        <w:rPr>
          <w:rFonts w:ascii="Tahoma" w:hAnsi="Tahoma" w:cs="Tahoma"/>
          <w:lang w:eastAsia="es-CO"/>
        </w:rPr>
        <w:t>,</w:t>
      </w:r>
      <w:r w:rsidR="0050089A" w:rsidRPr="00EA70A2">
        <w:rPr>
          <w:rFonts w:ascii="Tahoma" w:hAnsi="Tahoma" w:cs="Tahoma"/>
          <w:lang w:eastAsia="es-CO"/>
        </w:rPr>
        <w:t xml:space="preserve"> y esta </w:t>
      </w:r>
      <w:r w:rsidR="008E19AB" w:rsidRPr="00EA70A2">
        <w:rPr>
          <w:rFonts w:ascii="Tahoma" w:hAnsi="Tahoma" w:cs="Tahoma"/>
          <w:lang w:eastAsia="es-CO"/>
        </w:rPr>
        <w:t xml:space="preserve">solicitó el testimonio de las señoras Luz </w:t>
      </w:r>
      <w:proofErr w:type="spellStart"/>
      <w:r w:rsidR="008E19AB" w:rsidRPr="00EA70A2">
        <w:rPr>
          <w:rFonts w:ascii="Tahoma" w:hAnsi="Tahoma" w:cs="Tahoma"/>
          <w:lang w:eastAsia="es-CO"/>
        </w:rPr>
        <w:t>Eneyda</w:t>
      </w:r>
      <w:proofErr w:type="spellEnd"/>
      <w:r w:rsidR="008E19AB" w:rsidRPr="00EA70A2">
        <w:rPr>
          <w:rFonts w:ascii="Tahoma" w:hAnsi="Tahoma" w:cs="Tahoma"/>
          <w:lang w:eastAsia="es-CO"/>
        </w:rPr>
        <w:t xml:space="preserve"> Vargas </w:t>
      </w:r>
      <w:proofErr w:type="spellStart"/>
      <w:r w:rsidR="008E19AB" w:rsidRPr="00EA70A2">
        <w:rPr>
          <w:rFonts w:ascii="Tahoma" w:hAnsi="Tahoma" w:cs="Tahoma"/>
          <w:lang w:eastAsia="es-CO"/>
        </w:rPr>
        <w:t>Vargas</w:t>
      </w:r>
      <w:proofErr w:type="spellEnd"/>
      <w:r w:rsidR="008E19AB" w:rsidRPr="00EA70A2">
        <w:rPr>
          <w:rFonts w:ascii="Tahoma" w:hAnsi="Tahoma" w:cs="Tahoma"/>
          <w:lang w:eastAsia="es-CO"/>
        </w:rPr>
        <w:t xml:space="preserve"> y Yolanda Isabel Reyes Sánchez</w:t>
      </w:r>
      <w:r w:rsidR="00F94238" w:rsidRPr="00EA70A2">
        <w:rPr>
          <w:rFonts w:ascii="Tahoma" w:hAnsi="Tahoma" w:cs="Tahoma"/>
          <w:lang w:eastAsia="es-CO"/>
        </w:rPr>
        <w:t>.</w:t>
      </w:r>
    </w:p>
    <w:p w14:paraId="27AA81A9" w14:textId="77777777" w:rsidR="008E19AB" w:rsidRPr="00EA70A2" w:rsidRDefault="008E19AB" w:rsidP="00EA70A2">
      <w:pPr>
        <w:spacing w:before="0" w:beforeAutospacing="0" w:after="0" w:afterAutospacing="0" w:line="276" w:lineRule="auto"/>
        <w:ind w:firstLine="0"/>
        <w:contextualSpacing/>
        <w:rPr>
          <w:rFonts w:ascii="Tahoma" w:hAnsi="Tahoma" w:cs="Tahoma"/>
          <w:b/>
          <w:bCs/>
        </w:rPr>
      </w:pPr>
    </w:p>
    <w:p w14:paraId="533CED4F" w14:textId="7CE8C4FA" w:rsidR="008E19AB" w:rsidRPr="00EA70A2" w:rsidRDefault="00F94238" w:rsidP="00EA70A2">
      <w:pPr>
        <w:spacing w:before="0" w:beforeAutospacing="0" w:after="0" w:afterAutospacing="0" w:line="276" w:lineRule="auto"/>
        <w:ind w:firstLine="708"/>
        <w:contextualSpacing/>
        <w:rPr>
          <w:rFonts w:ascii="Tahoma" w:hAnsi="Tahoma" w:cs="Tahoma"/>
        </w:rPr>
      </w:pPr>
      <w:r w:rsidRPr="00EA70A2">
        <w:rPr>
          <w:rFonts w:ascii="Tahoma" w:hAnsi="Tahoma" w:cs="Tahoma"/>
        </w:rPr>
        <w:t>Al r</w:t>
      </w:r>
      <w:r w:rsidR="008E19AB" w:rsidRPr="00EA70A2">
        <w:rPr>
          <w:rFonts w:ascii="Tahoma" w:hAnsi="Tahoma" w:cs="Tahoma"/>
        </w:rPr>
        <w:t>especto</w:t>
      </w:r>
      <w:r w:rsidR="2EA9E4D1" w:rsidRPr="00EA70A2">
        <w:rPr>
          <w:rFonts w:ascii="Tahoma" w:hAnsi="Tahoma" w:cs="Tahoma"/>
        </w:rPr>
        <w:t>,</w:t>
      </w:r>
      <w:r w:rsidR="008E19AB" w:rsidRPr="00EA70A2">
        <w:rPr>
          <w:rFonts w:ascii="Tahoma" w:hAnsi="Tahoma" w:cs="Tahoma"/>
        </w:rPr>
        <w:t xml:space="preserve"> del acto de traslado de régimen, depuso la demandante que estando afiliada al </w:t>
      </w:r>
      <w:proofErr w:type="spellStart"/>
      <w:r w:rsidR="008E19AB" w:rsidRPr="00EA70A2">
        <w:rPr>
          <w:rFonts w:ascii="Tahoma" w:hAnsi="Tahoma" w:cs="Tahoma"/>
        </w:rPr>
        <w:t>RMP</w:t>
      </w:r>
      <w:proofErr w:type="spellEnd"/>
      <w:r w:rsidR="008E19AB" w:rsidRPr="00EA70A2">
        <w:rPr>
          <w:rFonts w:ascii="Tahoma" w:hAnsi="Tahoma" w:cs="Tahoma"/>
        </w:rPr>
        <w:t xml:space="preserve">, realizó aportes hasta el año 2000, año en el cual una asesora de Porvenir S.A. se acercó a las instalaciones de </w:t>
      </w:r>
      <w:proofErr w:type="spellStart"/>
      <w:r w:rsidR="008E19AB" w:rsidRPr="00EA70A2">
        <w:rPr>
          <w:rFonts w:ascii="Tahoma" w:hAnsi="Tahoma" w:cs="Tahoma"/>
        </w:rPr>
        <w:t>Comfamiliar</w:t>
      </w:r>
      <w:proofErr w:type="spellEnd"/>
      <w:r w:rsidR="008E19AB" w:rsidRPr="00EA70A2">
        <w:rPr>
          <w:rFonts w:ascii="Tahoma" w:hAnsi="Tahoma" w:cs="Tahoma"/>
        </w:rPr>
        <w:t xml:space="preserve">, empresa donde laboraba como Coordinadora de Cursos en compañía de su secretaria Luz </w:t>
      </w:r>
      <w:proofErr w:type="spellStart"/>
      <w:r w:rsidR="008E19AB" w:rsidRPr="00EA70A2">
        <w:rPr>
          <w:rFonts w:ascii="Tahoma" w:hAnsi="Tahoma" w:cs="Tahoma"/>
        </w:rPr>
        <w:t>Eneyda</w:t>
      </w:r>
      <w:proofErr w:type="spellEnd"/>
      <w:r w:rsidR="008E19AB" w:rsidRPr="00EA70A2">
        <w:rPr>
          <w:rFonts w:ascii="Tahoma" w:hAnsi="Tahoma" w:cs="Tahoma"/>
        </w:rPr>
        <w:t xml:space="preserve"> Vargas </w:t>
      </w:r>
      <w:proofErr w:type="spellStart"/>
      <w:r w:rsidR="008E19AB" w:rsidRPr="00EA70A2">
        <w:rPr>
          <w:rFonts w:ascii="Tahoma" w:hAnsi="Tahoma" w:cs="Tahoma"/>
        </w:rPr>
        <w:t>Vargas</w:t>
      </w:r>
      <w:proofErr w:type="spellEnd"/>
      <w:r w:rsidR="008E19AB" w:rsidRPr="00EA70A2">
        <w:rPr>
          <w:rFonts w:ascii="Tahoma" w:hAnsi="Tahoma" w:cs="Tahoma"/>
        </w:rPr>
        <w:t xml:space="preserve"> y les indicó en aproximadamente 5 minutos, que el </w:t>
      </w:r>
      <w:proofErr w:type="spellStart"/>
      <w:r w:rsidR="008E19AB" w:rsidRPr="00EA70A2">
        <w:rPr>
          <w:rFonts w:ascii="Tahoma" w:hAnsi="Tahoma" w:cs="Tahoma"/>
        </w:rPr>
        <w:t>ISS</w:t>
      </w:r>
      <w:proofErr w:type="spellEnd"/>
      <w:r w:rsidR="008E19AB" w:rsidRPr="00EA70A2">
        <w:rPr>
          <w:rFonts w:ascii="Tahoma" w:hAnsi="Tahoma" w:cs="Tahoma"/>
        </w:rPr>
        <w:t xml:space="preserve"> tenía múltiples inconvenientes, que iba a tener problemas financieros, y que </w:t>
      </w:r>
      <w:r w:rsidR="00864608" w:rsidRPr="00EA70A2">
        <w:rPr>
          <w:rFonts w:ascii="Tahoma" w:hAnsi="Tahoma" w:cs="Tahoma"/>
        </w:rPr>
        <w:t xml:space="preserve">al pertenecer al </w:t>
      </w:r>
      <w:proofErr w:type="spellStart"/>
      <w:r w:rsidR="008E19AB" w:rsidRPr="00EA70A2">
        <w:rPr>
          <w:rFonts w:ascii="Tahoma" w:hAnsi="Tahoma" w:cs="Tahoma"/>
        </w:rPr>
        <w:t>RAIS</w:t>
      </w:r>
      <w:proofErr w:type="spellEnd"/>
      <w:r w:rsidR="008E19AB" w:rsidRPr="00EA70A2">
        <w:rPr>
          <w:rFonts w:ascii="Tahoma" w:hAnsi="Tahoma" w:cs="Tahoma"/>
        </w:rPr>
        <w:t xml:space="preserve"> se podían pensionarse en cualquier momento</w:t>
      </w:r>
      <w:r w:rsidR="28C7808F" w:rsidRPr="00EA70A2">
        <w:rPr>
          <w:rFonts w:ascii="Tahoma" w:hAnsi="Tahoma" w:cs="Tahoma"/>
        </w:rPr>
        <w:t>. A</w:t>
      </w:r>
      <w:r w:rsidR="008E19AB" w:rsidRPr="00EA70A2">
        <w:rPr>
          <w:rFonts w:ascii="Tahoma" w:hAnsi="Tahoma" w:cs="Tahoma"/>
        </w:rPr>
        <w:t xml:space="preserve">gregó que la asesora le manifestó que una persona reconocida de la entidad ya se había trasladado y estaba </w:t>
      </w:r>
      <w:r w:rsidR="463AA637" w:rsidRPr="00EA70A2">
        <w:rPr>
          <w:rFonts w:ascii="Tahoma" w:hAnsi="Tahoma" w:cs="Tahoma"/>
        </w:rPr>
        <w:t>ad-portas</w:t>
      </w:r>
      <w:r w:rsidR="008E19AB" w:rsidRPr="00EA70A2">
        <w:rPr>
          <w:rFonts w:ascii="Tahoma" w:hAnsi="Tahoma" w:cs="Tahoma"/>
        </w:rPr>
        <w:t xml:space="preserve"> de acceder a la gracia pensional, y ante ese panorama ella decidió suscribir el formulario sin recibir información adicional. Finalmente, señaló que ha in</w:t>
      </w:r>
      <w:r w:rsidR="1688C905" w:rsidRPr="00EA70A2">
        <w:rPr>
          <w:rFonts w:ascii="Tahoma" w:hAnsi="Tahoma" w:cs="Tahoma"/>
        </w:rPr>
        <w:t>tentado</w:t>
      </w:r>
      <w:r w:rsidR="008E19AB" w:rsidRPr="00EA70A2">
        <w:rPr>
          <w:rFonts w:ascii="Tahoma" w:hAnsi="Tahoma" w:cs="Tahoma"/>
        </w:rPr>
        <w:t xml:space="preserve"> retornar al RPM en varias oportunidades y que desea trasladarse por el monto ínfimo de la mesada pensional y por razones de equidad. </w:t>
      </w:r>
    </w:p>
    <w:p w14:paraId="6368E363" w14:textId="77777777" w:rsidR="008E19AB" w:rsidRPr="00EA70A2" w:rsidRDefault="008E19AB" w:rsidP="00EA70A2">
      <w:pPr>
        <w:spacing w:before="0" w:beforeAutospacing="0" w:after="0" w:afterAutospacing="0" w:line="276" w:lineRule="auto"/>
        <w:ind w:firstLine="708"/>
        <w:contextualSpacing/>
        <w:rPr>
          <w:rFonts w:ascii="Tahoma" w:hAnsi="Tahoma" w:cs="Tahoma"/>
        </w:rPr>
      </w:pPr>
    </w:p>
    <w:p w14:paraId="49E83830" w14:textId="048449D0" w:rsidR="008E19AB" w:rsidRPr="00EA70A2" w:rsidRDefault="008E19AB" w:rsidP="00EA70A2">
      <w:pPr>
        <w:spacing w:before="0" w:beforeAutospacing="0" w:after="0" w:afterAutospacing="0" w:line="276" w:lineRule="auto"/>
        <w:ind w:firstLine="708"/>
        <w:contextualSpacing/>
        <w:rPr>
          <w:rFonts w:ascii="Tahoma" w:hAnsi="Tahoma" w:cs="Tahoma"/>
        </w:rPr>
      </w:pPr>
      <w:r w:rsidRPr="00EA70A2">
        <w:rPr>
          <w:rFonts w:ascii="Tahoma" w:hAnsi="Tahoma" w:cs="Tahoma"/>
        </w:rPr>
        <w:t xml:space="preserve">El relato anterior fue corroborado por la </w:t>
      </w:r>
      <w:proofErr w:type="spellStart"/>
      <w:r w:rsidRPr="00EA70A2">
        <w:rPr>
          <w:rFonts w:ascii="Tahoma" w:hAnsi="Tahoma" w:cs="Tahoma"/>
        </w:rPr>
        <w:t>testiga</w:t>
      </w:r>
      <w:proofErr w:type="spellEnd"/>
      <w:r w:rsidRPr="00EA70A2">
        <w:rPr>
          <w:rFonts w:ascii="Tahoma" w:hAnsi="Tahoma" w:cs="Tahoma"/>
        </w:rPr>
        <w:t xml:space="preserve"> </w:t>
      </w:r>
      <w:bookmarkStart w:id="7" w:name="_Hlk147927402"/>
      <w:r w:rsidRPr="00EA70A2">
        <w:rPr>
          <w:rFonts w:ascii="Tahoma" w:hAnsi="Tahoma" w:cs="Tahoma"/>
        </w:rPr>
        <w:t xml:space="preserve">Luz </w:t>
      </w:r>
      <w:proofErr w:type="spellStart"/>
      <w:r w:rsidRPr="00EA70A2">
        <w:rPr>
          <w:rFonts w:ascii="Tahoma" w:hAnsi="Tahoma" w:cs="Tahoma"/>
        </w:rPr>
        <w:t>Eneyda</w:t>
      </w:r>
      <w:bookmarkEnd w:id="7"/>
      <w:proofErr w:type="spellEnd"/>
      <w:r w:rsidRPr="00EA70A2">
        <w:rPr>
          <w:rFonts w:ascii="Tahoma" w:hAnsi="Tahoma" w:cs="Tahoma"/>
        </w:rPr>
        <w:t xml:space="preserve">, que como ya había precisado la demandante, presenció el acto de traslado e indicó que no les pusieron de presente las características de ambos regímenes, diferencias entre estos, la existencia de la pensión de garantía mínima, seguros previsionales, o la posibilidad de retractarse, pues además de la información que recordó la demandante, la </w:t>
      </w:r>
      <w:proofErr w:type="spellStart"/>
      <w:r w:rsidRPr="00EA70A2">
        <w:rPr>
          <w:rFonts w:ascii="Tahoma" w:hAnsi="Tahoma" w:cs="Tahoma"/>
        </w:rPr>
        <w:t>testiga</w:t>
      </w:r>
      <w:proofErr w:type="spellEnd"/>
      <w:r w:rsidRPr="00EA70A2">
        <w:rPr>
          <w:rFonts w:ascii="Tahoma" w:hAnsi="Tahoma" w:cs="Tahoma"/>
        </w:rPr>
        <w:t xml:space="preserve"> puso de presente que les dijeron que podían hacer aportes voluntarios, y que en caso de fallecer los aportes se podían heredar. </w:t>
      </w:r>
    </w:p>
    <w:p w14:paraId="6CC06080" w14:textId="77777777" w:rsidR="008E19AB" w:rsidRPr="00EA70A2" w:rsidRDefault="008E19AB" w:rsidP="00EA70A2">
      <w:pPr>
        <w:spacing w:before="0" w:beforeAutospacing="0" w:after="0" w:afterAutospacing="0" w:line="276" w:lineRule="auto"/>
        <w:ind w:firstLine="0"/>
        <w:rPr>
          <w:rFonts w:ascii="Tahoma" w:hAnsi="Tahoma" w:cs="Tahoma"/>
        </w:rPr>
      </w:pPr>
    </w:p>
    <w:p w14:paraId="3E4CB6B2" w14:textId="77777777" w:rsidR="00AE1CEC" w:rsidRPr="00EA70A2" w:rsidRDefault="008E19AB" w:rsidP="00EA70A2">
      <w:pPr>
        <w:spacing w:before="0" w:beforeAutospacing="0" w:after="0" w:afterAutospacing="0" w:line="276" w:lineRule="auto"/>
        <w:ind w:firstLine="0"/>
        <w:rPr>
          <w:rFonts w:ascii="Tahoma" w:eastAsia="Calibri" w:hAnsi="Tahoma" w:cs="Tahoma"/>
          <w:b/>
          <w:bCs/>
          <w:lang w:eastAsia="es-CO"/>
        </w:rPr>
      </w:pPr>
      <w:r w:rsidRPr="00EA70A2">
        <w:rPr>
          <w:rFonts w:ascii="Tahoma" w:hAnsi="Tahoma" w:cs="Tahoma"/>
        </w:rPr>
        <w:lastRenderedPageBreak/>
        <w:tab/>
        <w:t xml:space="preserve">Por último, la </w:t>
      </w:r>
      <w:proofErr w:type="spellStart"/>
      <w:r w:rsidRPr="00EA70A2">
        <w:rPr>
          <w:rFonts w:ascii="Tahoma" w:hAnsi="Tahoma" w:cs="Tahoma"/>
        </w:rPr>
        <w:t>testiga</w:t>
      </w:r>
      <w:proofErr w:type="spellEnd"/>
      <w:r w:rsidRPr="00EA70A2">
        <w:rPr>
          <w:rFonts w:ascii="Tahoma" w:hAnsi="Tahoma" w:cs="Tahoma"/>
        </w:rPr>
        <w:t xml:space="preserve"> Yolanda Isabel Reyes Sánchez, no dio mayores luces al proceso, ya que no presenció el acto de traslado.</w:t>
      </w:r>
    </w:p>
    <w:p w14:paraId="2F1DC1D6" w14:textId="77777777" w:rsidR="00AE1CEC" w:rsidRPr="00EA70A2" w:rsidRDefault="00AE1CEC" w:rsidP="00EA70A2">
      <w:pPr>
        <w:spacing w:before="0" w:beforeAutospacing="0" w:after="0" w:afterAutospacing="0" w:line="276" w:lineRule="auto"/>
        <w:ind w:firstLine="0"/>
        <w:rPr>
          <w:rFonts w:ascii="Tahoma" w:eastAsia="Calibri" w:hAnsi="Tahoma" w:cs="Tahoma"/>
          <w:b/>
          <w:bCs/>
          <w:lang w:eastAsia="es-CO"/>
        </w:rPr>
      </w:pPr>
    </w:p>
    <w:p w14:paraId="2FB947AF" w14:textId="34356821" w:rsidR="008115C7" w:rsidRPr="00EA70A2" w:rsidRDefault="008115C7" w:rsidP="00EA70A2">
      <w:pPr>
        <w:spacing w:before="0" w:beforeAutospacing="0" w:after="0" w:afterAutospacing="0" w:line="276" w:lineRule="auto"/>
        <w:ind w:firstLine="708"/>
        <w:rPr>
          <w:rFonts w:ascii="Tahoma" w:eastAsia="Calibri" w:hAnsi="Tahoma" w:cs="Tahoma"/>
          <w:b/>
          <w:bCs/>
          <w:lang w:eastAsia="es-CO"/>
        </w:rPr>
      </w:pPr>
      <w:r w:rsidRPr="00EA70A2">
        <w:rPr>
          <w:rFonts w:ascii="Tahoma" w:hAnsi="Tahoma" w:cs="Tahoma"/>
          <w:lang w:val="es-ES" w:eastAsia="es-CO"/>
        </w:rPr>
        <w:t xml:space="preserve">De lo expuesto, refulge como lo concluyó </w:t>
      </w:r>
      <w:r w:rsidR="00352CC9" w:rsidRPr="00EA70A2">
        <w:rPr>
          <w:rFonts w:ascii="Tahoma" w:hAnsi="Tahoma" w:cs="Tahoma"/>
          <w:lang w:val="es-ES" w:eastAsia="es-CO"/>
        </w:rPr>
        <w:t xml:space="preserve">el juez </w:t>
      </w:r>
      <w:r w:rsidRPr="00EA70A2">
        <w:rPr>
          <w:rFonts w:ascii="Tahoma" w:hAnsi="Tahoma" w:cs="Tahoma"/>
          <w:lang w:val="es-ES" w:eastAsia="es-CO"/>
        </w:rPr>
        <w:t xml:space="preserve">de instancia que la AFP convocada a juicio incumplió con la carga de la prueba que le asistía, esto es demostrar que el acto de traslado de la señora </w:t>
      </w:r>
      <w:r w:rsidR="00AE1CEC" w:rsidRPr="00EA70A2">
        <w:rPr>
          <w:rFonts w:ascii="Tahoma" w:hAnsi="Tahoma" w:cs="Tahoma"/>
          <w:lang w:val="es-ES" w:eastAsia="es-CO"/>
        </w:rPr>
        <w:t xml:space="preserve">Rosalba Vargas </w:t>
      </w:r>
      <w:r w:rsidRPr="00EA70A2">
        <w:rPr>
          <w:rFonts w:ascii="Tahoma" w:hAnsi="Tahoma" w:cs="Tahoma"/>
          <w:lang w:val="es-ES" w:eastAsia="es-CO"/>
        </w:rPr>
        <w:t>estuvo precedido de información clara y precisa sobre las ventajas, desventajas y riesgos de cada régimen en los términos explicados, como quiera que el interrogatorio de parte de la demandante no derivó en prueba de confesión</w:t>
      </w:r>
      <w:r w:rsidR="001A0967" w:rsidRPr="00EA70A2">
        <w:rPr>
          <w:rFonts w:ascii="Tahoma" w:hAnsi="Tahoma" w:cs="Tahoma"/>
          <w:lang w:val="es-ES" w:eastAsia="es-CO"/>
        </w:rPr>
        <w:t xml:space="preserve">, los testimonios corroboraron la falta de información rendida </w:t>
      </w:r>
      <w:r w:rsidRPr="00EA70A2">
        <w:rPr>
          <w:rFonts w:ascii="Tahoma" w:hAnsi="Tahoma" w:cs="Tahoma"/>
          <w:lang w:val="es-ES" w:eastAsia="es-CO"/>
        </w:rPr>
        <w:t>y la demás</w:t>
      </w:r>
      <w:r w:rsidR="001A0967" w:rsidRPr="00EA70A2">
        <w:rPr>
          <w:rFonts w:ascii="Tahoma" w:hAnsi="Tahoma" w:cs="Tahoma"/>
          <w:lang w:val="es-ES" w:eastAsia="es-CO"/>
        </w:rPr>
        <w:t xml:space="preserve"> prueba</w:t>
      </w:r>
      <w:r w:rsidRPr="00EA70A2">
        <w:rPr>
          <w:rFonts w:ascii="Tahoma" w:hAnsi="Tahoma" w:cs="Tahoma"/>
          <w:lang w:val="es-ES" w:eastAsia="es-CO"/>
        </w:rPr>
        <w:t xml:space="preserve"> documental como historias laborales, derechos de petición, y formulario de afiliación son insuficientes para conocer las circunstancias de tiempo, modo y lugar que rodearon el traslado.</w:t>
      </w:r>
    </w:p>
    <w:p w14:paraId="71FFD425" w14:textId="77777777" w:rsidR="008115C7" w:rsidRPr="00EA70A2" w:rsidRDefault="008115C7" w:rsidP="00EA70A2">
      <w:pPr>
        <w:spacing w:before="0" w:beforeAutospacing="0" w:after="0" w:afterAutospacing="0" w:line="276" w:lineRule="auto"/>
        <w:ind w:left="851" w:firstLine="0"/>
        <w:rPr>
          <w:rFonts w:ascii="Tahoma" w:hAnsi="Tahoma" w:cs="Tahoma"/>
          <w:lang w:val="es-ES" w:eastAsia="es-CO"/>
        </w:rPr>
      </w:pPr>
    </w:p>
    <w:p w14:paraId="7E7A8BE5" w14:textId="77777777" w:rsidR="008115C7" w:rsidRPr="00EA70A2" w:rsidRDefault="008115C7" w:rsidP="00EA70A2">
      <w:pPr>
        <w:spacing w:before="0" w:beforeAutospacing="0" w:after="0" w:afterAutospacing="0" w:line="276" w:lineRule="auto"/>
        <w:rPr>
          <w:rFonts w:ascii="Tahoma" w:hAnsi="Tahoma" w:cs="Tahoma"/>
          <w:lang w:val="es-ES" w:eastAsia="es-CO"/>
        </w:rPr>
      </w:pPr>
      <w:r w:rsidRPr="00EA70A2">
        <w:rPr>
          <w:rFonts w:ascii="Tahoma" w:hAnsi="Tahoma" w:cs="Tahoma"/>
          <w:lang w:val="es-ES" w:eastAsia="es-CO"/>
        </w:rPr>
        <w:t xml:space="preserve">Cabe agregar, que la Sala Laboral de la Corte Suprema de Justicia, entre otras, en las sentencias CSJ </w:t>
      </w:r>
      <w:proofErr w:type="spellStart"/>
      <w:r w:rsidRPr="00EA70A2">
        <w:rPr>
          <w:rFonts w:ascii="Tahoma" w:hAnsi="Tahoma" w:cs="Tahoma"/>
          <w:lang w:val="es-ES" w:eastAsia="es-CO"/>
        </w:rPr>
        <w:t>SL</w:t>
      </w:r>
      <w:proofErr w:type="spellEnd"/>
      <w:r w:rsidRPr="00EA70A2">
        <w:rPr>
          <w:rFonts w:ascii="Tahoma" w:hAnsi="Tahoma" w:cs="Tahoma"/>
          <w:lang w:val="es-ES" w:eastAsia="es-CO"/>
        </w:rPr>
        <w:t xml:space="preserve"> 3155 de 2022, CSJ </w:t>
      </w:r>
      <w:proofErr w:type="spellStart"/>
      <w:r w:rsidRPr="00EA70A2">
        <w:rPr>
          <w:rFonts w:ascii="Tahoma" w:hAnsi="Tahoma" w:cs="Tahoma"/>
          <w:lang w:val="es-ES" w:eastAsia="es-CO"/>
        </w:rPr>
        <w:t>SL</w:t>
      </w:r>
      <w:proofErr w:type="spellEnd"/>
      <w:r w:rsidRPr="00EA70A2">
        <w:rPr>
          <w:rFonts w:ascii="Tahoma" w:hAnsi="Tahoma" w:cs="Tahoma"/>
          <w:lang w:val="es-ES" w:eastAsia="es-CO"/>
        </w:rPr>
        <w:t xml:space="preserve"> 4322 de 2022 y CSJ </w:t>
      </w:r>
      <w:proofErr w:type="spellStart"/>
      <w:r w:rsidRPr="00EA70A2">
        <w:rPr>
          <w:rFonts w:ascii="Tahoma" w:hAnsi="Tahoma" w:cs="Tahoma"/>
          <w:lang w:val="es-ES" w:eastAsia="es-CO"/>
        </w:rPr>
        <w:t>SL</w:t>
      </w:r>
      <w:proofErr w:type="spellEnd"/>
      <w:r w:rsidRPr="00EA70A2">
        <w:rPr>
          <w:rFonts w:ascii="Tahoma" w:hAnsi="Tahoma" w:cs="Tahoma"/>
          <w:lang w:val="es-ES" w:eastAsia="es-CO"/>
        </w:rPr>
        <w:t xml:space="preserve"> 932 de 2023 expuso que el precedente de la Corporación relativo a la ineficacia del traslado pensional aplica con independencia de si el afiliado es beneficiario o no del régimen de transición, a quienes tengan una expectativa legítima o estén próximos a causar el derecho, pues ni la ley, ni la jurisprudencia establecen tales condiciones. </w:t>
      </w:r>
    </w:p>
    <w:p w14:paraId="3E55C528" w14:textId="77777777" w:rsidR="008115C7" w:rsidRPr="00EA70A2" w:rsidRDefault="008115C7" w:rsidP="00EA70A2">
      <w:pPr>
        <w:spacing w:before="0" w:beforeAutospacing="0" w:after="0" w:afterAutospacing="0" w:line="276" w:lineRule="auto"/>
        <w:ind w:left="851" w:firstLine="0"/>
        <w:rPr>
          <w:rFonts w:ascii="Tahoma" w:hAnsi="Tahoma" w:cs="Tahoma"/>
          <w:lang w:val="es-ES" w:eastAsia="es-CO"/>
        </w:rPr>
      </w:pPr>
    </w:p>
    <w:p w14:paraId="7B7957D5" w14:textId="77777777" w:rsidR="008115C7" w:rsidRPr="00EA70A2" w:rsidRDefault="008115C7" w:rsidP="00EA70A2">
      <w:pPr>
        <w:spacing w:before="0" w:beforeAutospacing="0" w:after="0" w:afterAutospacing="0" w:line="276" w:lineRule="auto"/>
        <w:rPr>
          <w:rFonts w:ascii="Tahoma" w:hAnsi="Tahoma" w:cs="Tahoma"/>
          <w:lang w:eastAsia="es-CO"/>
        </w:rPr>
      </w:pPr>
      <w:r w:rsidRPr="00EA70A2">
        <w:rPr>
          <w:rFonts w:ascii="Tahoma" w:hAnsi="Tahoma" w:cs="Tahoma"/>
          <w:lang w:eastAsia="es-CO"/>
        </w:rPr>
        <w:t>Por otra parte, es improcedente acudir a la prohibición legal establecida en el literal e) del artículo 13 de la Ley 100 de 1993, modificado por el artículo 2º de la Ley 797 de 2003</w:t>
      </w:r>
      <w:r w:rsidRPr="00EA70A2">
        <w:rPr>
          <w:rFonts w:ascii="Tahoma" w:hAnsi="Tahoma" w:cs="Tahoma"/>
          <w:lang w:val="es-MX"/>
        </w:rPr>
        <w:t xml:space="preserve">, </w:t>
      </w:r>
      <w:r w:rsidRPr="00EA70A2">
        <w:rPr>
          <w:rFonts w:ascii="Tahoma" w:hAnsi="Tahoma" w:cs="Tahoma"/>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w:t>
      </w:r>
    </w:p>
    <w:p w14:paraId="792B9171" w14:textId="77777777" w:rsidR="008115C7" w:rsidRPr="00EA70A2" w:rsidRDefault="008115C7" w:rsidP="00EA70A2">
      <w:pPr>
        <w:spacing w:before="0" w:beforeAutospacing="0" w:after="0" w:afterAutospacing="0" w:line="276" w:lineRule="auto"/>
        <w:ind w:left="851" w:firstLine="0"/>
        <w:rPr>
          <w:rFonts w:ascii="Tahoma" w:hAnsi="Tahoma" w:cs="Tahoma"/>
        </w:rPr>
      </w:pPr>
    </w:p>
    <w:p w14:paraId="1777A10D" w14:textId="77777777" w:rsidR="008115C7" w:rsidRPr="00EA70A2" w:rsidRDefault="008115C7" w:rsidP="00EA70A2">
      <w:pPr>
        <w:spacing w:before="0" w:beforeAutospacing="0" w:after="0" w:afterAutospacing="0" w:line="276" w:lineRule="auto"/>
        <w:rPr>
          <w:rFonts w:ascii="Tahoma" w:hAnsi="Tahoma" w:cs="Tahoma"/>
        </w:rPr>
      </w:pPr>
      <w:r w:rsidRPr="00EA70A2">
        <w:rPr>
          <w:rFonts w:ascii="Tahoma" w:hAnsi="Tahoma" w:cs="Tahoma"/>
        </w:rPr>
        <w:t xml:space="preserve">En este orden de ideas, se confirmará la declaratoria de la ineficacia del acto de afiliación sentado en primera instancia, debido a que la </w:t>
      </w:r>
      <w:proofErr w:type="spellStart"/>
      <w:r w:rsidRPr="00EA70A2">
        <w:rPr>
          <w:rFonts w:ascii="Tahoma" w:hAnsi="Tahoma" w:cs="Tahoma"/>
        </w:rPr>
        <w:t>la</w:t>
      </w:r>
      <w:proofErr w:type="spellEnd"/>
      <w:r w:rsidRPr="00EA70A2">
        <w:rPr>
          <w:rFonts w:ascii="Tahoma" w:hAnsi="Tahoma" w:cs="Tahoma"/>
        </w:rPr>
        <w:t xml:space="preserve"> AFP demandada no demostró el cumplimiento de su deber de información, lo que acarrea la ineficacia del traslado, como ya se explicó.</w:t>
      </w:r>
    </w:p>
    <w:p w14:paraId="636A3315" w14:textId="77777777" w:rsidR="008115C7" w:rsidRPr="00EA70A2" w:rsidRDefault="008115C7" w:rsidP="00EA70A2">
      <w:pPr>
        <w:spacing w:before="0" w:beforeAutospacing="0" w:after="0" w:afterAutospacing="0" w:line="276" w:lineRule="auto"/>
        <w:ind w:left="851" w:firstLine="0"/>
        <w:rPr>
          <w:rFonts w:ascii="Tahoma" w:hAnsi="Tahoma" w:cs="Tahoma"/>
        </w:rPr>
      </w:pPr>
    </w:p>
    <w:p w14:paraId="649AE9E8" w14:textId="2F8F1348" w:rsidR="005D72DC" w:rsidRPr="00EA70A2" w:rsidRDefault="005D72DC" w:rsidP="00EA70A2">
      <w:pPr>
        <w:spacing w:before="0" w:beforeAutospacing="0" w:after="0" w:afterAutospacing="0" w:line="276" w:lineRule="auto"/>
        <w:rPr>
          <w:rFonts w:ascii="Tahoma" w:hAnsi="Tahoma" w:cs="Tahoma"/>
        </w:rPr>
      </w:pPr>
      <w:r w:rsidRPr="00EA70A2">
        <w:rPr>
          <w:rFonts w:ascii="Tahoma" w:hAnsi="Tahoma" w:cs="Tahoma"/>
        </w:rPr>
        <w:t xml:space="preserve">En cuanto a las condenas impartidas a cargo de Porvenir </w:t>
      </w:r>
      <w:proofErr w:type="spellStart"/>
      <w:r w:rsidRPr="00EA70A2">
        <w:rPr>
          <w:rFonts w:ascii="Tahoma" w:hAnsi="Tahoma" w:cs="Tahoma"/>
        </w:rPr>
        <w:t>S.A</w:t>
      </w:r>
      <w:proofErr w:type="spellEnd"/>
      <w:r w:rsidRPr="00EA70A2">
        <w:rPr>
          <w:rFonts w:ascii="Tahoma" w:hAnsi="Tahoma" w:cs="Tahoma"/>
        </w:rPr>
        <w:t xml:space="preserve"> se dirá que en estricto acatamiento de las consecuencias previstas por la Corte Suprema de Justicia, entre otras, en las sentencias </w:t>
      </w:r>
      <w:r w:rsidRPr="00EA70A2">
        <w:rPr>
          <w:rFonts w:ascii="Tahoma" w:hAnsi="Tahoma" w:cs="Tahoma"/>
          <w:bCs/>
        </w:rPr>
        <w:t xml:space="preserve">CSJ </w:t>
      </w:r>
      <w:proofErr w:type="spellStart"/>
      <w:r w:rsidRPr="00EA70A2">
        <w:rPr>
          <w:rFonts w:ascii="Tahoma" w:hAnsi="Tahoma" w:cs="Tahoma"/>
          <w:lang w:val="es-ES"/>
        </w:rPr>
        <w:t>SL1084</w:t>
      </w:r>
      <w:proofErr w:type="spellEnd"/>
      <w:r w:rsidRPr="00EA70A2">
        <w:rPr>
          <w:rFonts w:ascii="Tahoma" w:hAnsi="Tahoma" w:cs="Tahoma"/>
          <w:lang w:val="es-ES"/>
        </w:rPr>
        <w:t xml:space="preserve">-2023, CSJ </w:t>
      </w:r>
      <w:proofErr w:type="spellStart"/>
      <w:r w:rsidRPr="00EA70A2">
        <w:rPr>
          <w:rFonts w:ascii="Tahoma" w:hAnsi="Tahoma" w:cs="Tahoma"/>
          <w:lang w:val="es-ES"/>
        </w:rPr>
        <w:t>SL</w:t>
      </w:r>
      <w:proofErr w:type="spellEnd"/>
      <w:r w:rsidRPr="00EA70A2">
        <w:rPr>
          <w:rFonts w:ascii="Tahoma" w:hAnsi="Tahoma" w:cs="Tahoma"/>
          <w:lang w:val="es-ES"/>
        </w:rPr>
        <w:t xml:space="preserve"> 932-2023, CSJ </w:t>
      </w:r>
      <w:proofErr w:type="spellStart"/>
      <w:r w:rsidRPr="00EA70A2">
        <w:rPr>
          <w:rFonts w:ascii="Tahoma" w:hAnsi="Tahoma" w:cs="Tahoma"/>
          <w:lang w:val="es-ES"/>
        </w:rPr>
        <w:t>SL</w:t>
      </w:r>
      <w:proofErr w:type="spellEnd"/>
      <w:r w:rsidRPr="00EA70A2">
        <w:rPr>
          <w:rFonts w:ascii="Tahoma" w:hAnsi="Tahoma" w:cs="Tahoma"/>
          <w:lang w:val="es-ES"/>
        </w:rPr>
        <w:t xml:space="preserve"> 4297-2022, </w:t>
      </w:r>
      <w:r w:rsidRPr="00EA70A2">
        <w:rPr>
          <w:rFonts w:ascii="Tahoma" w:hAnsi="Tahoma" w:cs="Tahoma"/>
          <w:bCs/>
          <w:lang w:val="es-ES"/>
        </w:rPr>
        <w:t xml:space="preserve">CSJ </w:t>
      </w:r>
      <w:proofErr w:type="spellStart"/>
      <w:r w:rsidRPr="00EA70A2">
        <w:rPr>
          <w:rFonts w:ascii="Tahoma" w:hAnsi="Tahoma" w:cs="Tahoma"/>
          <w:bCs/>
          <w:lang w:val="es-ES"/>
        </w:rPr>
        <w:t>SL3465</w:t>
      </w:r>
      <w:proofErr w:type="spellEnd"/>
      <w:r w:rsidRPr="00EA70A2">
        <w:rPr>
          <w:rFonts w:ascii="Tahoma" w:hAnsi="Tahoma" w:cs="Tahoma"/>
          <w:bCs/>
          <w:lang w:val="es-ES"/>
        </w:rPr>
        <w:t xml:space="preserve">-2022, CSJ </w:t>
      </w:r>
      <w:proofErr w:type="spellStart"/>
      <w:r w:rsidRPr="00EA70A2">
        <w:rPr>
          <w:rFonts w:ascii="Tahoma" w:hAnsi="Tahoma" w:cs="Tahoma"/>
          <w:bCs/>
          <w:lang w:val="es-ES"/>
        </w:rPr>
        <w:t>SL2229</w:t>
      </w:r>
      <w:proofErr w:type="spellEnd"/>
      <w:r w:rsidRPr="00EA70A2">
        <w:rPr>
          <w:rFonts w:ascii="Tahoma" w:hAnsi="Tahoma" w:cs="Tahoma"/>
          <w:bCs/>
          <w:lang w:val="es-ES"/>
        </w:rPr>
        <w:t xml:space="preserve">-2022 y CSJ </w:t>
      </w:r>
      <w:proofErr w:type="spellStart"/>
      <w:r w:rsidRPr="00EA70A2">
        <w:rPr>
          <w:rFonts w:ascii="Tahoma" w:hAnsi="Tahoma" w:cs="Tahoma"/>
          <w:bCs/>
          <w:lang w:val="es-ES"/>
        </w:rPr>
        <w:t>SL3188</w:t>
      </w:r>
      <w:proofErr w:type="spellEnd"/>
      <w:r w:rsidRPr="00EA70A2">
        <w:rPr>
          <w:rFonts w:ascii="Tahoma" w:hAnsi="Tahoma" w:cs="Tahoma"/>
          <w:bCs/>
          <w:lang w:val="es-ES"/>
        </w:rPr>
        <w:t>-2022,</w:t>
      </w:r>
      <w:r w:rsidRPr="00EA70A2">
        <w:rPr>
          <w:rFonts w:ascii="Tahoma" w:hAnsi="Tahoma" w:cs="Tahoma"/>
          <w:b/>
          <w:bCs/>
          <w:lang w:val="es-ES"/>
        </w:rPr>
        <w:t xml:space="preserve"> </w:t>
      </w:r>
      <w:r w:rsidRPr="00EA70A2">
        <w:rPr>
          <w:rFonts w:ascii="Tahoma" w:hAnsi="Tahoma" w:cs="Tahoma"/>
          <w:bCs/>
        </w:rPr>
        <w:t xml:space="preserve">previamente citadas, es su deber devolver a Colpensiones </w:t>
      </w:r>
      <w:r w:rsidRPr="00EA70A2">
        <w:rPr>
          <w:rFonts w:ascii="Tahoma" w:hAnsi="Tahoma" w:cs="Tahoma"/>
          <w:bCs/>
          <w:iCs/>
          <w:lang w:val="es-ES"/>
        </w:rPr>
        <w:t xml:space="preserve">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 Por lo anterior, </w:t>
      </w:r>
      <w:r w:rsidRPr="00EA70A2">
        <w:rPr>
          <w:rFonts w:ascii="Tahoma" w:hAnsi="Tahoma" w:cs="Tahoma"/>
        </w:rPr>
        <w:t xml:space="preserve">se modificará </w:t>
      </w:r>
      <w:r w:rsidRPr="00EA70A2">
        <w:rPr>
          <w:rFonts w:ascii="Tahoma" w:hAnsi="Tahoma" w:cs="Tahoma"/>
        </w:rPr>
        <w:lastRenderedPageBreak/>
        <w:t>el numeral segundo, para mayor claridad, debido a que el juez de instancia no discriminó cuáles eran los conceptos que el fondo debía trasladar con cargo a sus propios recursos</w:t>
      </w:r>
      <w:r w:rsidR="002D4510" w:rsidRPr="00EA70A2">
        <w:rPr>
          <w:rFonts w:ascii="Tahoma" w:hAnsi="Tahoma" w:cs="Tahoma"/>
        </w:rPr>
        <w:t>.</w:t>
      </w:r>
    </w:p>
    <w:p w14:paraId="260C5F12" w14:textId="77777777" w:rsidR="005D72DC" w:rsidRPr="00EA70A2" w:rsidRDefault="005D72DC" w:rsidP="00EA70A2">
      <w:pPr>
        <w:spacing w:before="0" w:beforeAutospacing="0" w:after="0" w:afterAutospacing="0" w:line="276" w:lineRule="auto"/>
        <w:ind w:left="851" w:firstLine="0"/>
        <w:rPr>
          <w:rFonts w:ascii="Tahoma" w:hAnsi="Tahoma" w:cs="Tahoma"/>
        </w:rPr>
      </w:pPr>
    </w:p>
    <w:p w14:paraId="43A7FDB2" w14:textId="77777777" w:rsidR="005D72DC" w:rsidRPr="00EA70A2" w:rsidRDefault="005D72DC" w:rsidP="00EA70A2">
      <w:pPr>
        <w:spacing w:before="0" w:beforeAutospacing="0" w:after="0" w:afterAutospacing="0" w:line="276" w:lineRule="auto"/>
        <w:rPr>
          <w:rFonts w:ascii="Tahoma" w:hAnsi="Tahoma" w:cs="Tahoma"/>
        </w:rPr>
      </w:pPr>
      <w:r w:rsidRPr="00EA70A2">
        <w:rPr>
          <w:rFonts w:ascii="Tahoma" w:hAnsi="Tahoma" w:cs="Tahoma"/>
        </w:rPr>
        <w:t>Bajo las mismas premisas, se adicionará la sentencia para precisar que al momento del cumplimiento de esa orden “</w:t>
      </w:r>
      <w:r w:rsidRPr="001B705F">
        <w:rPr>
          <w:rFonts w:ascii="Tahoma" w:hAnsi="Tahoma" w:cs="Tahoma"/>
          <w:bCs/>
          <w:i/>
          <w:iCs/>
          <w:sz w:val="22"/>
          <w:lang w:val="es-ES"/>
        </w:rPr>
        <w:t xml:space="preserve">tales valores deberán aparecer discriminados con sus respectivos montos, junto con el detalle pormenorizado de los ciclos, </w:t>
      </w:r>
      <w:proofErr w:type="spellStart"/>
      <w:r w:rsidRPr="001B705F">
        <w:rPr>
          <w:rFonts w:ascii="Tahoma" w:hAnsi="Tahoma" w:cs="Tahoma"/>
          <w:bCs/>
          <w:i/>
          <w:iCs/>
          <w:sz w:val="22"/>
          <w:lang w:val="es-ES"/>
        </w:rPr>
        <w:t>IBC</w:t>
      </w:r>
      <w:proofErr w:type="spellEnd"/>
      <w:r w:rsidRPr="001B705F">
        <w:rPr>
          <w:rFonts w:ascii="Tahoma" w:hAnsi="Tahoma" w:cs="Tahoma"/>
          <w:bCs/>
          <w:i/>
          <w:iCs/>
          <w:sz w:val="22"/>
          <w:lang w:val="es-ES"/>
        </w:rPr>
        <w:t>, aportes y demás información relevante que los justifiquen</w:t>
      </w:r>
      <w:r w:rsidRPr="00EA70A2">
        <w:rPr>
          <w:rFonts w:ascii="Tahoma" w:hAnsi="Tahoma" w:cs="Tahoma"/>
          <w:bCs/>
          <w:i/>
          <w:iCs/>
          <w:lang w:val="es-ES"/>
        </w:rPr>
        <w:t>”.</w:t>
      </w:r>
    </w:p>
    <w:p w14:paraId="4339CA6F" w14:textId="77777777" w:rsidR="008115C7" w:rsidRPr="00EA70A2" w:rsidRDefault="008115C7" w:rsidP="00EA70A2">
      <w:pPr>
        <w:spacing w:before="0" w:beforeAutospacing="0" w:after="0" w:afterAutospacing="0" w:line="276" w:lineRule="auto"/>
        <w:ind w:left="851" w:firstLine="0"/>
        <w:rPr>
          <w:rFonts w:ascii="Tahoma" w:hAnsi="Tahoma" w:cs="Tahoma"/>
          <w:lang w:eastAsia="es-CO"/>
        </w:rPr>
      </w:pPr>
    </w:p>
    <w:p w14:paraId="6BE04165" w14:textId="77777777" w:rsidR="002A0B6A" w:rsidRPr="00EA70A2" w:rsidRDefault="008115C7" w:rsidP="00EA70A2">
      <w:pPr>
        <w:spacing w:before="0" w:beforeAutospacing="0" w:after="0" w:afterAutospacing="0" w:line="276" w:lineRule="auto"/>
        <w:rPr>
          <w:rFonts w:ascii="Tahoma" w:hAnsi="Tahoma" w:cs="Tahoma"/>
          <w:lang w:eastAsia="es-CO"/>
        </w:rPr>
      </w:pPr>
      <w:r w:rsidRPr="00EA70A2">
        <w:rPr>
          <w:rFonts w:ascii="Tahoma" w:hAnsi="Tahoma" w:cs="Tahoma"/>
        </w:rPr>
        <w:t xml:space="preserve">Por otra parte, improcedente resulta </w:t>
      </w:r>
      <w:r w:rsidRPr="00EA70A2">
        <w:rPr>
          <w:rFonts w:ascii="Tahoma" w:hAnsi="Tahoma" w:cs="Tahoma"/>
          <w:lang w:val="es-ES"/>
        </w:rPr>
        <w:t xml:space="preserve">condenar a </w:t>
      </w:r>
      <w:r w:rsidR="002D4510" w:rsidRPr="00EA70A2">
        <w:rPr>
          <w:rFonts w:ascii="Tahoma" w:hAnsi="Tahoma" w:cs="Tahoma"/>
          <w:lang w:val="es-ES"/>
        </w:rPr>
        <w:t>Provenir</w:t>
      </w:r>
      <w:r w:rsidRPr="00EA70A2">
        <w:rPr>
          <w:rFonts w:ascii="Tahoma" w:hAnsi="Tahoma" w:cs="Tahoma"/>
          <w:lang w:val="es-ES"/>
        </w:rPr>
        <w:t xml:space="preserve"> </w:t>
      </w:r>
      <w:proofErr w:type="spellStart"/>
      <w:r w:rsidRPr="00EA70A2">
        <w:rPr>
          <w:rFonts w:ascii="Tahoma" w:hAnsi="Tahoma" w:cs="Tahoma"/>
          <w:lang w:val="es-ES"/>
        </w:rPr>
        <w:t>S.A</w:t>
      </w:r>
      <w:proofErr w:type="spellEnd"/>
      <w:r w:rsidRPr="00EA70A2">
        <w:rPr>
          <w:rFonts w:ascii="Tahoma" w:hAnsi="Tahoma" w:cs="Tahoma"/>
          <w:lang w:val="es-ES"/>
        </w:rPr>
        <w:t xml:space="preserve"> a título de sanción al pago de un cálculo actuarial equivalente al valor total de las mesadas pensionales liquidadas bajo los parámetros del régimen de prima media teniendo en cuenta para ello la expectativa de vida de</w:t>
      </w:r>
      <w:r w:rsidR="002D4510" w:rsidRPr="00EA70A2">
        <w:rPr>
          <w:rFonts w:ascii="Tahoma" w:hAnsi="Tahoma" w:cs="Tahoma"/>
          <w:lang w:val="es-ES"/>
        </w:rPr>
        <w:t xml:space="preserve"> la </w:t>
      </w:r>
      <w:r w:rsidRPr="00EA70A2">
        <w:rPr>
          <w:rFonts w:ascii="Tahoma" w:hAnsi="Tahoma" w:cs="Tahoma"/>
          <w:lang w:val="es-ES"/>
        </w:rPr>
        <w:t xml:space="preserve">demandante, pues teniendo en cuenta las </w:t>
      </w:r>
      <w:r w:rsidR="00856F6F" w:rsidRPr="00EA70A2">
        <w:rPr>
          <w:rFonts w:ascii="Tahoma" w:hAnsi="Tahoma" w:cs="Tahoma"/>
          <w:lang w:val="es-ES"/>
        </w:rPr>
        <w:t>consecuencias</w:t>
      </w:r>
      <w:r w:rsidRPr="00EA70A2">
        <w:rPr>
          <w:rFonts w:ascii="Tahoma" w:hAnsi="Tahoma" w:cs="Tahoma"/>
          <w:lang w:val="es-ES"/>
        </w:rPr>
        <w:t xml:space="preserve"> que ello </w:t>
      </w:r>
      <w:r w:rsidR="00856F6F" w:rsidRPr="00EA70A2">
        <w:rPr>
          <w:rFonts w:ascii="Tahoma" w:hAnsi="Tahoma" w:cs="Tahoma"/>
          <w:lang w:val="es-ES"/>
        </w:rPr>
        <w:t>implica</w:t>
      </w:r>
      <w:r w:rsidRPr="00EA70A2">
        <w:rPr>
          <w:rFonts w:ascii="Tahoma" w:hAnsi="Tahoma" w:cs="Tahoma"/>
          <w:lang w:val="es-ES"/>
        </w:rPr>
        <w:t xml:space="preserve"> para </w:t>
      </w:r>
      <w:r w:rsidR="00856F6F" w:rsidRPr="00EA70A2">
        <w:rPr>
          <w:rFonts w:ascii="Tahoma" w:hAnsi="Tahoma" w:cs="Tahoma"/>
          <w:lang w:val="es-ES"/>
        </w:rPr>
        <w:t>Porvenir</w:t>
      </w:r>
      <w:r w:rsidRPr="00EA70A2">
        <w:rPr>
          <w:rFonts w:ascii="Tahoma" w:hAnsi="Tahoma" w:cs="Tahoma"/>
          <w:lang w:val="es-ES"/>
        </w:rPr>
        <w:t xml:space="preserve"> S.A., debe ser objeto de demanda de Colpensiones contra la AFP a efectos de que esta última ejerza debidamente su derecho de defensa. En consecuencia, el cálculo actuarial solicitado por Colpensiones no puede analizarse en este asunto porque no hay pretensiones en ese sentido. Por otra parte, no puede pasarse inadvertido que dentro de la acción de ineficacia las sanciones son taxativas y su interpretación restrictiva y la única sanción legal establecida para quienes atenten contra la afiliación libre, voluntaria e informada del trabajador es la prevista en el artículo 271 de la Ley 100 de 1993, cuya imposición le compete al Ministerio del Trabajo y Seguridad Social o del Ministerio de Salud en cada caso y no a la justicia del trabajo. Lo anterior, sin perjuicio de las acciones por indemnización de perjuicios que eventualmente tienen el afiliado y Colpensiones.</w:t>
      </w:r>
      <w:r w:rsidRPr="00EA70A2">
        <w:rPr>
          <w:rFonts w:ascii="Tahoma" w:hAnsi="Tahoma" w:cs="Tahoma"/>
        </w:rPr>
        <w:t> </w:t>
      </w:r>
    </w:p>
    <w:p w14:paraId="62F98C25" w14:textId="77777777" w:rsidR="002A0B6A" w:rsidRPr="00EA70A2" w:rsidRDefault="002A0B6A" w:rsidP="00EA70A2">
      <w:pPr>
        <w:spacing w:before="0" w:beforeAutospacing="0" w:after="0" w:afterAutospacing="0" w:line="276" w:lineRule="auto"/>
        <w:rPr>
          <w:rFonts w:ascii="Tahoma" w:hAnsi="Tahoma" w:cs="Tahoma"/>
          <w:lang w:eastAsia="es-CO"/>
        </w:rPr>
      </w:pPr>
    </w:p>
    <w:p w14:paraId="0CDC111B" w14:textId="77777777" w:rsidR="002A0B6A" w:rsidRPr="00EA70A2" w:rsidRDefault="002A0B6A" w:rsidP="00EA70A2">
      <w:pPr>
        <w:spacing w:before="0" w:beforeAutospacing="0" w:after="0" w:afterAutospacing="0" w:line="276" w:lineRule="auto"/>
        <w:rPr>
          <w:rFonts w:ascii="Tahoma" w:hAnsi="Tahoma" w:cs="Tahoma"/>
        </w:rPr>
      </w:pPr>
      <w:r w:rsidRPr="00EA70A2">
        <w:rPr>
          <w:rFonts w:ascii="Tahoma" w:hAnsi="Tahoma" w:cs="Tahoma"/>
        </w:rPr>
        <w:t xml:space="preserve">Ahora, como la declaratoria de ineficacia trae como consecuencia que las cosas se reestablezcan al estado en el que se encontraban al momento del traslado de régimen, es necesario adicionar la sentencia con la orden de comunicar la decisión adoptada en este asunto a la </w:t>
      </w:r>
      <w:proofErr w:type="spellStart"/>
      <w:r w:rsidRPr="00EA70A2">
        <w:rPr>
          <w:rFonts w:ascii="Tahoma" w:hAnsi="Tahoma" w:cs="Tahoma"/>
        </w:rPr>
        <w:t>OBP</w:t>
      </w:r>
      <w:proofErr w:type="spellEnd"/>
      <w:r w:rsidRPr="00EA70A2">
        <w:rPr>
          <w:rFonts w:ascii="Tahoma" w:hAnsi="Tahoma" w:cs="Tahoma"/>
        </w:rPr>
        <w:t xml:space="preserve">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 existe dentro del plenario prueba que acredita la liquidación provisional del bono</w:t>
      </w:r>
      <w:r w:rsidRPr="00EA70A2">
        <w:rPr>
          <w:rFonts w:ascii="Tahoma" w:hAnsi="Tahoma" w:cs="Tahoma"/>
          <w:vertAlign w:val="superscript"/>
        </w:rPr>
        <w:footnoteReference w:id="11"/>
      </w:r>
      <w:r w:rsidRPr="00EA70A2">
        <w:rPr>
          <w:rFonts w:ascii="Tahoma" w:hAnsi="Tahoma" w:cs="Tahoma"/>
        </w:rPr>
        <w:t>.</w:t>
      </w:r>
    </w:p>
    <w:p w14:paraId="333D08DB" w14:textId="77777777" w:rsidR="002A0B6A" w:rsidRPr="00EA70A2" w:rsidRDefault="002A0B6A" w:rsidP="00EA70A2">
      <w:pPr>
        <w:spacing w:before="0" w:beforeAutospacing="0" w:after="0" w:afterAutospacing="0" w:line="276" w:lineRule="auto"/>
        <w:rPr>
          <w:rFonts w:ascii="Tahoma" w:hAnsi="Tahoma" w:cs="Tahoma"/>
        </w:rPr>
      </w:pPr>
    </w:p>
    <w:p w14:paraId="6A5E6C15" w14:textId="692581E2" w:rsidR="002A0B6A" w:rsidRPr="00EA70A2" w:rsidRDefault="002A0B6A" w:rsidP="00EA70A2">
      <w:pPr>
        <w:spacing w:before="0" w:beforeAutospacing="0" w:after="0" w:afterAutospacing="0" w:line="276" w:lineRule="auto"/>
        <w:rPr>
          <w:rFonts w:ascii="Tahoma" w:hAnsi="Tahoma" w:cs="Tahoma"/>
        </w:rPr>
      </w:pPr>
      <w:r w:rsidRPr="00EA70A2">
        <w:rPr>
          <w:rFonts w:ascii="Tahoma" w:hAnsi="Tahoma" w:cs="Tahoma"/>
        </w:rPr>
        <w:t xml:space="preserve">En esa misma línea, se adicionará igualmente a la sentencia, en el sentido de ordenar a Porvenir </w:t>
      </w:r>
      <w:proofErr w:type="spellStart"/>
      <w:r w:rsidRPr="00EA70A2">
        <w:rPr>
          <w:rFonts w:ascii="Tahoma" w:hAnsi="Tahoma" w:cs="Tahoma"/>
        </w:rPr>
        <w:t>S.A</w:t>
      </w:r>
      <w:proofErr w:type="spellEnd"/>
      <w:r w:rsidRPr="00EA70A2">
        <w:rPr>
          <w:rFonts w:ascii="Tahoma" w:hAnsi="Tahoma" w:cs="Tahoma"/>
        </w:rPr>
        <w:t xml:space="preserve"> que, en caso de haberse efectuado la redención</w:t>
      </w:r>
      <w:r w:rsidR="00C86A2D" w:rsidRPr="00EA70A2">
        <w:rPr>
          <w:rFonts w:ascii="Tahoma" w:hAnsi="Tahoma" w:cs="Tahoma"/>
        </w:rPr>
        <w:t xml:space="preserve"> normal</w:t>
      </w:r>
      <w:r w:rsidRPr="00EA70A2">
        <w:rPr>
          <w:rFonts w:ascii="Tahoma" w:hAnsi="Tahoma" w:cs="Tahoma"/>
        </w:rPr>
        <w:t xml:space="preserve"> del bono, proceda a restituir la suma pagada por ese concepto a favor de la </w:t>
      </w:r>
      <w:proofErr w:type="spellStart"/>
      <w:r w:rsidRPr="00EA70A2">
        <w:rPr>
          <w:rFonts w:ascii="Tahoma" w:hAnsi="Tahoma" w:cs="Tahoma"/>
        </w:rPr>
        <w:t>OBP</w:t>
      </w:r>
      <w:proofErr w:type="spellEnd"/>
      <w:r w:rsidRPr="00EA70A2">
        <w:rPr>
          <w:rFonts w:ascii="Tahoma" w:hAnsi="Tahoma" w:cs="Tahoma"/>
        </w:rPr>
        <w:t xml:space="preserve"> del Ministerio de Hacienda y Crédito Público, monto que deberá ser indexado con sus propios recursos</w:t>
      </w:r>
      <w:r w:rsidR="00C86A2D" w:rsidRPr="00EA70A2">
        <w:rPr>
          <w:rFonts w:ascii="Tahoma" w:hAnsi="Tahoma" w:cs="Tahoma"/>
        </w:rPr>
        <w:t>.</w:t>
      </w:r>
    </w:p>
    <w:p w14:paraId="2C8D01D0" w14:textId="2B01950B" w:rsidR="002A0B6A" w:rsidRPr="00EA70A2" w:rsidRDefault="002A0B6A" w:rsidP="00EA70A2">
      <w:pPr>
        <w:spacing w:before="0" w:beforeAutospacing="0" w:after="0" w:afterAutospacing="0" w:line="276" w:lineRule="auto"/>
        <w:rPr>
          <w:rFonts w:ascii="Tahoma" w:hAnsi="Tahoma" w:cs="Tahoma"/>
          <w:lang w:eastAsia="es-CO"/>
        </w:rPr>
      </w:pPr>
    </w:p>
    <w:p w14:paraId="10C3DAC0" w14:textId="6DFA7CCE" w:rsidR="002A0B6A" w:rsidRPr="00EA70A2" w:rsidRDefault="002A0B6A" w:rsidP="00EA70A2">
      <w:pPr>
        <w:spacing w:before="0" w:beforeAutospacing="0" w:after="0" w:afterAutospacing="0" w:line="276" w:lineRule="auto"/>
        <w:rPr>
          <w:rFonts w:ascii="Tahoma" w:hAnsi="Tahoma" w:cs="Tahoma"/>
          <w:lang w:eastAsia="es-CO"/>
        </w:rPr>
      </w:pPr>
      <w:r w:rsidRPr="00EA70A2">
        <w:rPr>
          <w:rFonts w:ascii="Tahoma" w:hAnsi="Tahoma" w:cs="Tahoma"/>
        </w:rPr>
        <w:t xml:space="preserve">Finalmente, pese a que no fue objeto de alzada, no puede desconocer la Corporación que el fallador de instancia fijó erradamente las agencias en derecho en la sentencia objeto de estudio, ya que según prevé el artículo 366 del Código General </w:t>
      </w:r>
      <w:r w:rsidRPr="00EA70A2">
        <w:rPr>
          <w:rFonts w:ascii="Tahoma" w:hAnsi="Tahoma" w:cs="Tahoma"/>
        </w:rPr>
        <w:lastRenderedPageBreak/>
        <w:t xml:space="preserve">del Proceso dicha etapa procesal se dispuso una vez ejecutoriada la providencia que le ponga fin al proceso o se notifique el auto de obedecimiento a lo dispuesto por el superior. Así las cosas, con el fin de proteger los derechos de contradicción y defensa de las partes procesales, que en este aspecto solo pueden ser ejercidos frente al auto que aprueba la liquidación de costas, se modificará el numeral </w:t>
      </w:r>
      <w:r w:rsidR="00FF2ACF" w:rsidRPr="00EA70A2">
        <w:rPr>
          <w:rFonts w:ascii="Tahoma" w:hAnsi="Tahoma" w:cs="Tahoma"/>
        </w:rPr>
        <w:t xml:space="preserve">quinto </w:t>
      </w:r>
      <w:r w:rsidRPr="00EA70A2">
        <w:rPr>
          <w:rFonts w:ascii="Tahoma" w:hAnsi="Tahoma" w:cs="Tahoma"/>
        </w:rPr>
        <w:t>de la providencia recurrida para excluir la fijación de agencias en derecho</w:t>
      </w:r>
      <w:r w:rsidR="008522CE" w:rsidRPr="00EA70A2">
        <w:rPr>
          <w:rFonts w:ascii="Tahoma" w:hAnsi="Tahoma" w:cs="Tahoma"/>
        </w:rPr>
        <w:t>, y se revocará el ordinal séptimo por desconocer las etapas en mención. </w:t>
      </w:r>
    </w:p>
    <w:p w14:paraId="071715CB" w14:textId="77777777" w:rsidR="002A0B6A" w:rsidRPr="00EA70A2" w:rsidRDefault="002A0B6A" w:rsidP="00EA70A2">
      <w:pPr>
        <w:spacing w:before="0" w:beforeAutospacing="0" w:after="0" w:afterAutospacing="0" w:line="276" w:lineRule="auto"/>
        <w:rPr>
          <w:rFonts w:ascii="Tahoma" w:hAnsi="Tahoma" w:cs="Tahoma"/>
          <w:lang w:eastAsia="es-CO"/>
        </w:rPr>
      </w:pPr>
    </w:p>
    <w:p w14:paraId="7D9D2B81" w14:textId="1E84A950" w:rsidR="005E4CFE" w:rsidRPr="00EA70A2" w:rsidRDefault="002A0B6A" w:rsidP="00EA70A2">
      <w:pPr>
        <w:spacing w:before="0" w:beforeAutospacing="0" w:after="0" w:afterAutospacing="0" w:line="276" w:lineRule="auto"/>
        <w:rPr>
          <w:rFonts w:ascii="Tahoma" w:hAnsi="Tahoma" w:cs="Tahoma"/>
          <w:lang w:eastAsia="es-CO"/>
        </w:rPr>
      </w:pPr>
      <w:r w:rsidRPr="00EA70A2">
        <w:rPr>
          <w:rFonts w:ascii="Tahoma" w:hAnsi="Tahoma" w:cs="Tahoma"/>
        </w:rPr>
        <w:t xml:space="preserve">Ante el fracaso del recurso de apelación, de conformidad con el artículo 365 del </w:t>
      </w:r>
      <w:proofErr w:type="spellStart"/>
      <w:r w:rsidRPr="00EA70A2">
        <w:rPr>
          <w:rFonts w:ascii="Tahoma" w:hAnsi="Tahoma" w:cs="Tahoma"/>
        </w:rPr>
        <w:t>CGP</w:t>
      </w:r>
      <w:proofErr w:type="spellEnd"/>
      <w:r w:rsidRPr="00EA70A2">
        <w:rPr>
          <w:rFonts w:ascii="Tahoma" w:hAnsi="Tahoma" w:cs="Tahoma"/>
        </w:rPr>
        <w:t>, se condenará en costas procesales de segunda instancia a la Administradora Colombiana de Pensiones – Colpensiones y la Administradora de Fondos de Pensiones y Cesantías Porvenir S.A., en favor de la parte actora, las cuales se liquidarán por la secretaría del juzgado de origen.</w:t>
      </w:r>
    </w:p>
    <w:p w14:paraId="475FE119" w14:textId="77777777" w:rsidR="005E4CFE" w:rsidRPr="00EA70A2" w:rsidRDefault="005E4CFE" w:rsidP="00EA70A2">
      <w:pPr>
        <w:widowControl w:val="0"/>
        <w:autoSpaceDE w:val="0"/>
        <w:autoSpaceDN w:val="0"/>
        <w:adjustRightInd w:val="0"/>
        <w:spacing w:before="0" w:beforeAutospacing="0" w:after="0" w:afterAutospacing="0" w:line="276" w:lineRule="auto"/>
        <w:ind w:firstLine="708"/>
        <w:rPr>
          <w:rFonts w:ascii="Tahoma" w:hAnsi="Tahoma" w:cs="Tahoma"/>
          <w:color w:val="000000"/>
          <w:shd w:val="clear" w:color="auto" w:fill="FFFFFF"/>
        </w:rPr>
      </w:pPr>
    </w:p>
    <w:p w14:paraId="7D52D635" w14:textId="444B662E" w:rsidR="005E4CFE" w:rsidRPr="00EA70A2" w:rsidRDefault="005E4CFE" w:rsidP="00EA70A2">
      <w:pPr>
        <w:spacing w:before="0" w:beforeAutospacing="0" w:after="0" w:afterAutospacing="0" w:line="276" w:lineRule="auto"/>
        <w:ind w:firstLine="708"/>
        <w:rPr>
          <w:rFonts w:ascii="Tahoma" w:eastAsia="Tahoma" w:hAnsi="Tahoma" w:cs="Tahoma"/>
          <w:lang w:eastAsia="es-CO"/>
        </w:rPr>
      </w:pPr>
      <w:r w:rsidRPr="00EA70A2">
        <w:rPr>
          <w:rFonts w:ascii="Tahoma" w:eastAsia="Tahoma" w:hAnsi="Tahoma" w:cs="Tahoma"/>
          <w:lang w:eastAsia="es-CO"/>
        </w:rPr>
        <w:t xml:space="preserve">En mérito de lo expuesto, el </w:t>
      </w:r>
      <w:r w:rsidRPr="00EA70A2">
        <w:rPr>
          <w:rFonts w:ascii="Tahoma" w:eastAsia="Tahoma" w:hAnsi="Tahoma" w:cs="Tahoma"/>
          <w:b/>
          <w:bCs/>
          <w:lang w:eastAsia="es-CO"/>
        </w:rPr>
        <w:t>Tribunal Superior del Distrito Judicial de Pereira - Risaralda, Sala Primera de Decisión Laboral,</w:t>
      </w:r>
      <w:r w:rsidRPr="00EA70A2">
        <w:rPr>
          <w:rFonts w:ascii="Tahoma" w:eastAsia="Tahoma" w:hAnsi="Tahoma" w:cs="Tahoma"/>
          <w:lang w:eastAsia="es-CO"/>
        </w:rPr>
        <w:t xml:space="preserve"> administrando justicia en nombre de la República y por autoridad de la ley,</w:t>
      </w:r>
    </w:p>
    <w:p w14:paraId="6DF0A830" w14:textId="77777777" w:rsidR="005E4CFE" w:rsidRPr="00EA70A2" w:rsidRDefault="005E4CFE" w:rsidP="00EA70A2">
      <w:pPr>
        <w:spacing w:before="0" w:beforeAutospacing="0" w:after="0" w:afterAutospacing="0" w:line="276" w:lineRule="auto"/>
        <w:ind w:firstLine="644"/>
        <w:rPr>
          <w:rFonts w:ascii="Tahoma" w:eastAsia="Tahoma" w:hAnsi="Tahoma" w:cs="Tahoma"/>
          <w:lang w:eastAsia="es-CO"/>
        </w:rPr>
      </w:pPr>
      <w:r w:rsidRPr="00EA70A2">
        <w:rPr>
          <w:rFonts w:ascii="Tahoma" w:eastAsia="Tahoma" w:hAnsi="Tahoma" w:cs="Tahoma"/>
          <w:lang w:eastAsia="es-CO"/>
        </w:rPr>
        <w:t xml:space="preserve"> </w:t>
      </w:r>
    </w:p>
    <w:p w14:paraId="447119DF" w14:textId="77777777" w:rsidR="005E4CFE" w:rsidRPr="00EA70A2" w:rsidRDefault="005E4CFE" w:rsidP="00EA70A2">
      <w:pPr>
        <w:spacing w:before="0" w:beforeAutospacing="0" w:after="0" w:afterAutospacing="0" w:line="276" w:lineRule="auto"/>
        <w:ind w:firstLine="284"/>
        <w:jc w:val="center"/>
        <w:rPr>
          <w:rFonts w:ascii="Tahoma" w:eastAsia="Tahoma" w:hAnsi="Tahoma" w:cs="Tahoma"/>
          <w:lang w:eastAsia="es-CO"/>
        </w:rPr>
      </w:pPr>
      <w:r w:rsidRPr="00EA70A2">
        <w:rPr>
          <w:rFonts w:ascii="Tahoma" w:eastAsia="Tahoma" w:hAnsi="Tahoma" w:cs="Tahoma"/>
          <w:b/>
          <w:bCs/>
          <w:lang w:eastAsia="es-CO"/>
        </w:rPr>
        <w:t>RESUELVE</w:t>
      </w:r>
    </w:p>
    <w:p w14:paraId="76EB1392" w14:textId="77349A59" w:rsidR="005E4CFE" w:rsidRPr="00EA70A2" w:rsidRDefault="005E4CFE" w:rsidP="00EA70A2">
      <w:pPr>
        <w:spacing w:before="0" w:beforeAutospacing="0" w:after="0" w:afterAutospacing="0" w:line="276" w:lineRule="auto"/>
        <w:ind w:firstLine="0"/>
        <w:jc w:val="center"/>
        <w:rPr>
          <w:rFonts w:ascii="Tahoma" w:eastAsia="Tahoma" w:hAnsi="Tahoma" w:cs="Tahoma"/>
          <w:lang w:eastAsia="es-CO"/>
        </w:rPr>
      </w:pPr>
      <w:r w:rsidRPr="00EA70A2">
        <w:rPr>
          <w:rFonts w:ascii="Tahoma" w:eastAsia="Tahoma" w:hAnsi="Tahoma" w:cs="Tahoma"/>
          <w:b/>
          <w:bCs/>
          <w:lang w:eastAsia="es-CO"/>
        </w:rPr>
        <w:t xml:space="preserve"> </w:t>
      </w:r>
    </w:p>
    <w:p w14:paraId="1B4A8730" w14:textId="7563437F" w:rsidR="005E4CFE" w:rsidRPr="00EA70A2" w:rsidRDefault="005E4CFE" w:rsidP="00EA70A2">
      <w:pPr>
        <w:spacing w:before="0" w:beforeAutospacing="0" w:after="0" w:afterAutospacing="0" w:line="276" w:lineRule="auto"/>
        <w:ind w:firstLine="708"/>
        <w:contextualSpacing/>
        <w:rPr>
          <w:rFonts w:ascii="Tahoma" w:hAnsi="Tahoma" w:cs="Tahoma"/>
          <w:b/>
          <w:bCs/>
        </w:rPr>
      </w:pPr>
      <w:r w:rsidRPr="00EA70A2">
        <w:rPr>
          <w:rFonts w:ascii="Tahoma" w:eastAsia="Times New Roman" w:hAnsi="Tahoma" w:cs="Tahoma"/>
          <w:b/>
          <w:bCs/>
          <w:lang w:eastAsia="es-CO"/>
        </w:rPr>
        <w:t xml:space="preserve">PRIMERO: </w:t>
      </w:r>
      <w:r w:rsidRPr="00EA70A2">
        <w:rPr>
          <w:rFonts w:ascii="Tahoma" w:eastAsia="Times New Roman" w:hAnsi="Tahoma" w:cs="Tahoma"/>
          <w:lang w:eastAsia="es-CO"/>
        </w:rPr>
        <w:t> </w:t>
      </w:r>
      <w:r w:rsidRPr="00EA70A2">
        <w:rPr>
          <w:rFonts w:ascii="Tahoma" w:eastAsia="Tahoma" w:hAnsi="Tahoma" w:cs="Tahoma"/>
          <w:b/>
          <w:bCs/>
          <w:lang w:eastAsia="es-CO"/>
        </w:rPr>
        <w:t xml:space="preserve">MODIFICAR </w:t>
      </w:r>
      <w:r w:rsidRPr="00EA70A2">
        <w:rPr>
          <w:rFonts w:ascii="Tahoma" w:eastAsia="Tahoma" w:hAnsi="Tahoma" w:cs="Tahoma"/>
          <w:lang w:eastAsia="es-CO"/>
        </w:rPr>
        <w:t>los</w:t>
      </w:r>
      <w:r w:rsidRPr="00EA70A2">
        <w:rPr>
          <w:rFonts w:ascii="Tahoma" w:eastAsia="Calibri" w:hAnsi="Tahoma" w:cs="Tahoma"/>
          <w:lang w:eastAsia="es-CO"/>
        </w:rPr>
        <w:t xml:space="preserve"> numerales segundo</w:t>
      </w:r>
      <w:r w:rsidR="00EA04A3" w:rsidRPr="00EA70A2">
        <w:rPr>
          <w:rFonts w:ascii="Tahoma" w:eastAsia="Calibri" w:hAnsi="Tahoma" w:cs="Tahoma"/>
          <w:lang w:eastAsia="es-CO"/>
        </w:rPr>
        <w:t xml:space="preserve"> y </w:t>
      </w:r>
      <w:r w:rsidR="008522CE" w:rsidRPr="00EA70A2">
        <w:rPr>
          <w:rFonts w:ascii="Tahoma" w:eastAsia="Calibri" w:hAnsi="Tahoma" w:cs="Tahoma"/>
          <w:lang w:eastAsia="es-CO"/>
        </w:rPr>
        <w:t xml:space="preserve">quinto </w:t>
      </w:r>
      <w:r w:rsidRPr="00EA70A2">
        <w:rPr>
          <w:rFonts w:ascii="Tahoma" w:eastAsia="Calibri" w:hAnsi="Tahoma" w:cs="Tahoma"/>
          <w:lang w:eastAsia="es-CO"/>
        </w:rPr>
        <w:t>de</w:t>
      </w:r>
      <w:r w:rsidRPr="00EA70A2">
        <w:rPr>
          <w:rFonts w:ascii="Tahoma" w:eastAsia="Tahoma" w:hAnsi="Tahoma" w:cs="Tahoma"/>
          <w:lang w:eastAsia="es-CO"/>
        </w:rPr>
        <w:t xml:space="preserve"> la sentencia proferida por el Juzgado Segundo Laboral del Circuito de Pereira el</w:t>
      </w:r>
      <w:r w:rsidR="00381ED6" w:rsidRPr="00EA70A2">
        <w:rPr>
          <w:rFonts w:ascii="Tahoma" w:eastAsia="Tahoma" w:hAnsi="Tahoma" w:cs="Tahoma"/>
          <w:lang w:eastAsia="es-CO"/>
        </w:rPr>
        <w:t xml:space="preserve"> </w:t>
      </w:r>
      <w:r w:rsidR="008522CE" w:rsidRPr="00EA70A2">
        <w:rPr>
          <w:rFonts w:ascii="Tahoma" w:eastAsia="Tahoma" w:hAnsi="Tahoma" w:cs="Tahoma"/>
          <w:lang w:eastAsia="es-CO"/>
        </w:rPr>
        <w:t>23</w:t>
      </w:r>
      <w:r w:rsidR="00381ED6" w:rsidRPr="00EA70A2">
        <w:rPr>
          <w:rFonts w:ascii="Tahoma" w:eastAsia="Tahoma" w:hAnsi="Tahoma" w:cs="Tahoma"/>
          <w:lang w:eastAsia="es-CO"/>
        </w:rPr>
        <w:t xml:space="preserve"> de </w:t>
      </w:r>
      <w:r w:rsidRPr="00EA70A2">
        <w:rPr>
          <w:rFonts w:ascii="Tahoma" w:eastAsia="Tahoma" w:hAnsi="Tahoma" w:cs="Tahoma"/>
          <w:lang w:eastAsia="es-CO"/>
        </w:rPr>
        <w:t>ma</w:t>
      </w:r>
      <w:r w:rsidR="00381ED6" w:rsidRPr="00EA70A2">
        <w:rPr>
          <w:rFonts w:ascii="Tahoma" w:eastAsia="Tahoma" w:hAnsi="Tahoma" w:cs="Tahoma"/>
          <w:lang w:eastAsia="es-CO"/>
        </w:rPr>
        <w:t>y</w:t>
      </w:r>
      <w:r w:rsidRPr="00EA70A2">
        <w:rPr>
          <w:rFonts w:ascii="Tahoma" w:eastAsia="Tahoma" w:hAnsi="Tahoma" w:cs="Tahoma"/>
          <w:lang w:eastAsia="es-CO"/>
        </w:rPr>
        <w:t xml:space="preserve">o de 2023, dentro del proceso ordinario laboral promovido por </w:t>
      </w:r>
      <w:r w:rsidR="008522CE" w:rsidRPr="00EA70A2">
        <w:rPr>
          <w:rFonts w:ascii="Tahoma" w:eastAsia="Tahoma" w:hAnsi="Tahoma" w:cs="Tahoma"/>
          <w:b/>
          <w:bCs/>
          <w:lang w:eastAsia="es-CO"/>
        </w:rPr>
        <w:t xml:space="preserve">Rosalba Vargas </w:t>
      </w:r>
      <w:r w:rsidR="008522CE" w:rsidRPr="00EA70A2">
        <w:rPr>
          <w:rFonts w:ascii="Tahoma" w:eastAsia="Tahoma" w:hAnsi="Tahoma" w:cs="Tahoma"/>
          <w:lang w:eastAsia="es-CO"/>
        </w:rPr>
        <w:t xml:space="preserve">en contra </w:t>
      </w:r>
      <w:r w:rsidR="008522CE" w:rsidRPr="00EA70A2">
        <w:rPr>
          <w:rFonts w:ascii="Tahoma" w:eastAsia="Tahoma" w:hAnsi="Tahoma" w:cs="Tahoma"/>
          <w:b/>
          <w:bCs/>
          <w:lang w:eastAsia="es-CO"/>
        </w:rPr>
        <w:t xml:space="preserve">de la Administradora Colombiana de Pensiones – Colpensiones y la Administradora de Fondos de Pensiones y Cesantías Porvenir S.A. </w:t>
      </w:r>
      <w:r w:rsidR="005A78AF" w:rsidRPr="00EA70A2">
        <w:rPr>
          <w:rFonts w:ascii="Tahoma" w:hAnsi="Tahoma" w:cs="Tahoma"/>
        </w:rPr>
        <w:t>así:</w:t>
      </w:r>
    </w:p>
    <w:p w14:paraId="59414F5A" w14:textId="398E203D" w:rsidR="006430C8" w:rsidRPr="00EA70A2" w:rsidRDefault="006430C8" w:rsidP="00EA70A2">
      <w:pPr>
        <w:spacing w:before="0" w:beforeAutospacing="0" w:after="0" w:afterAutospacing="0" w:line="276" w:lineRule="auto"/>
        <w:ind w:firstLine="0"/>
        <w:contextualSpacing/>
        <w:rPr>
          <w:rFonts w:ascii="Tahoma" w:hAnsi="Tahoma" w:cs="Tahoma"/>
          <w:i/>
          <w:iCs/>
        </w:rPr>
      </w:pPr>
    </w:p>
    <w:p w14:paraId="1CA460B7" w14:textId="52A1CB3A" w:rsidR="006430C8" w:rsidRPr="00EA70A2" w:rsidRDefault="006430C8" w:rsidP="00EA70A2">
      <w:pPr>
        <w:spacing w:before="0" w:beforeAutospacing="0" w:after="0" w:afterAutospacing="0" w:line="276" w:lineRule="auto"/>
        <w:ind w:firstLine="708"/>
        <w:contextualSpacing/>
        <w:rPr>
          <w:rFonts w:ascii="Tahoma" w:eastAsia="Calibri" w:hAnsi="Tahoma" w:cs="Tahoma"/>
          <w:bCs/>
          <w:i/>
          <w:iCs/>
          <w:lang w:val="es-ES" w:eastAsia="es-CO"/>
        </w:rPr>
      </w:pPr>
      <w:r w:rsidRPr="00EA70A2">
        <w:rPr>
          <w:rFonts w:ascii="Tahoma" w:hAnsi="Tahoma" w:cs="Tahoma"/>
          <w:b/>
          <w:bCs/>
          <w:i/>
        </w:rPr>
        <w:t>SEGUNDO: CONDENAR</w:t>
      </w:r>
      <w:r w:rsidRPr="00EA70A2">
        <w:rPr>
          <w:rFonts w:ascii="Tahoma" w:hAnsi="Tahoma" w:cs="Tahoma"/>
          <w:bCs/>
          <w:i/>
        </w:rPr>
        <w:t xml:space="preserve"> a PORVENIR S.A. </w:t>
      </w:r>
      <w:r w:rsidRPr="00EA70A2">
        <w:rPr>
          <w:rStyle w:val="normaltextrun"/>
          <w:rFonts w:ascii="Tahoma" w:hAnsi="Tahoma" w:cs="Tahoma"/>
          <w:i/>
          <w:color w:val="000000"/>
          <w:shd w:val="clear" w:color="auto" w:fill="FFFFFF"/>
        </w:rPr>
        <w:t xml:space="preserve">a devolver a Colpensiones, la totalidad de los aportes y rendimientos financieros de la cuenta de ahorro individual de la actora. Asimismo, con cargo a sus propios recursos y debidamente indexado </w:t>
      </w:r>
      <w:r w:rsidRPr="00EA70A2">
        <w:rPr>
          <w:rFonts w:ascii="Tahoma" w:eastAsia="Calibri" w:hAnsi="Tahoma" w:cs="Tahoma"/>
          <w:bCs/>
          <w:i/>
          <w:iCs/>
          <w:lang w:val="es-ES" w:eastAsia="es-CO"/>
        </w:rPr>
        <w:t>el porcentaje correspondiente a los gastos de administración, comisiones y primas de seguros previsionales de invalidez y sobrevivencia, y el porcentaje destinado al fondo de garantía de pensión mínima, por el tiempo que tuvo como afiliada a la demandante.</w:t>
      </w:r>
    </w:p>
    <w:p w14:paraId="45EACBC0" w14:textId="77777777" w:rsidR="00CB3AF7" w:rsidRPr="00EA70A2" w:rsidRDefault="00CB3AF7" w:rsidP="00EA70A2">
      <w:pPr>
        <w:spacing w:before="0" w:beforeAutospacing="0" w:after="0" w:afterAutospacing="0" w:line="276" w:lineRule="auto"/>
        <w:ind w:firstLine="708"/>
        <w:contextualSpacing/>
        <w:rPr>
          <w:rFonts w:ascii="Tahoma" w:hAnsi="Tahoma" w:cs="Tahoma"/>
          <w:b/>
          <w:bCs/>
          <w:i/>
          <w:iCs/>
          <w:lang w:val="es-ES"/>
        </w:rPr>
      </w:pPr>
    </w:p>
    <w:p w14:paraId="29A6FC66" w14:textId="23FE49E9" w:rsidR="00CB3AF7" w:rsidRPr="00EA70A2" w:rsidRDefault="00445D8B" w:rsidP="00EA70A2">
      <w:pPr>
        <w:spacing w:before="0" w:beforeAutospacing="0" w:after="0" w:afterAutospacing="0" w:line="276" w:lineRule="auto"/>
        <w:ind w:firstLine="708"/>
        <w:contextualSpacing/>
        <w:rPr>
          <w:rFonts w:ascii="Tahoma" w:hAnsi="Tahoma" w:cs="Tahoma"/>
          <w:i/>
          <w:iCs/>
        </w:rPr>
      </w:pPr>
      <w:r w:rsidRPr="00EA70A2">
        <w:rPr>
          <w:rFonts w:ascii="Tahoma" w:hAnsi="Tahoma" w:cs="Tahoma"/>
          <w:b/>
          <w:bCs/>
          <w:i/>
          <w:iCs/>
        </w:rPr>
        <w:t>QUINTO</w:t>
      </w:r>
      <w:r w:rsidR="00CB3AF7" w:rsidRPr="00EA70A2">
        <w:rPr>
          <w:rFonts w:ascii="Tahoma" w:hAnsi="Tahoma" w:cs="Tahoma"/>
          <w:b/>
          <w:bCs/>
          <w:i/>
          <w:iCs/>
        </w:rPr>
        <w:t xml:space="preserve">: CONDENAR </w:t>
      </w:r>
      <w:r w:rsidR="00CB3AF7" w:rsidRPr="00EA70A2">
        <w:rPr>
          <w:rFonts w:ascii="Tahoma" w:hAnsi="Tahoma" w:cs="Tahoma"/>
          <w:i/>
          <w:iCs/>
        </w:rPr>
        <w:t xml:space="preserve">en costas a la parte demandada PORVENIR S.A. </w:t>
      </w:r>
      <w:r w:rsidRPr="00EA70A2">
        <w:rPr>
          <w:rFonts w:ascii="Tahoma" w:hAnsi="Tahoma" w:cs="Tahoma"/>
          <w:i/>
          <w:iCs/>
        </w:rPr>
        <w:t xml:space="preserve">y </w:t>
      </w:r>
      <w:r w:rsidR="001A65E1" w:rsidRPr="00EA70A2">
        <w:rPr>
          <w:rFonts w:ascii="Tahoma" w:hAnsi="Tahoma" w:cs="Tahoma"/>
          <w:i/>
          <w:iCs/>
        </w:rPr>
        <w:t>a</w:t>
      </w:r>
      <w:r w:rsidR="00CB3AF7" w:rsidRPr="00EA70A2">
        <w:rPr>
          <w:rFonts w:ascii="Tahoma" w:hAnsi="Tahoma" w:cs="Tahoma"/>
          <w:i/>
          <w:iCs/>
        </w:rPr>
        <w:t xml:space="preserve"> favor de la demandante. No se imponen costas a cargo de Colpensiones.</w:t>
      </w:r>
    </w:p>
    <w:p w14:paraId="439C36E5" w14:textId="5AF2B8D8" w:rsidR="0016776B" w:rsidRPr="00EA70A2" w:rsidRDefault="0016776B" w:rsidP="00EA70A2">
      <w:pPr>
        <w:spacing w:before="0" w:beforeAutospacing="0" w:after="0" w:afterAutospacing="0" w:line="276" w:lineRule="auto"/>
        <w:ind w:firstLine="708"/>
        <w:contextualSpacing/>
        <w:rPr>
          <w:rFonts w:ascii="Tahoma" w:hAnsi="Tahoma" w:cs="Tahoma"/>
          <w:i/>
          <w:iCs/>
        </w:rPr>
      </w:pPr>
    </w:p>
    <w:p w14:paraId="166DF3C6" w14:textId="0B456514" w:rsidR="0016776B" w:rsidRPr="00EA70A2" w:rsidRDefault="0016776B" w:rsidP="00EA70A2">
      <w:pPr>
        <w:spacing w:before="0" w:beforeAutospacing="0" w:after="0" w:afterAutospacing="0" w:line="276" w:lineRule="auto"/>
        <w:ind w:firstLine="708"/>
        <w:contextualSpacing/>
        <w:rPr>
          <w:rFonts w:ascii="Tahoma" w:hAnsi="Tahoma" w:cs="Tahoma"/>
          <w:bCs/>
          <w:lang w:val="es-ES"/>
        </w:rPr>
      </w:pPr>
      <w:r w:rsidRPr="00EA70A2">
        <w:rPr>
          <w:rFonts w:ascii="Tahoma" w:eastAsia="Tahoma" w:hAnsi="Tahoma" w:cs="Tahoma"/>
          <w:b/>
          <w:bCs/>
          <w:lang w:eastAsia="es-CO"/>
        </w:rPr>
        <w:t xml:space="preserve">SEGUNDO: ADICIONAR </w:t>
      </w:r>
      <w:r w:rsidRPr="00EA70A2">
        <w:rPr>
          <w:rFonts w:ascii="Tahoma" w:eastAsia="Tahoma" w:hAnsi="Tahoma" w:cs="Tahoma"/>
          <w:lang w:eastAsia="es-CO"/>
        </w:rPr>
        <w:t xml:space="preserve">la sentencia, </w:t>
      </w:r>
      <w:r w:rsidRPr="00EA70A2">
        <w:rPr>
          <w:rFonts w:ascii="Tahoma" w:hAnsi="Tahoma" w:cs="Tahoma"/>
        </w:rPr>
        <w:t xml:space="preserve">para ordenar a Porvenir S.A. y </w:t>
      </w:r>
      <w:proofErr w:type="spellStart"/>
      <w:r w:rsidRPr="00EA70A2">
        <w:rPr>
          <w:rFonts w:ascii="Tahoma" w:hAnsi="Tahoma" w:cs="Tahoma"/>
        </w:rPr>
        <w:t>Skandia</w:t>
      </w:r>
      <w:proofErr w:type="spellEnd"/>
      <w:r w:rsidRPr="00EA70A2">
        <w:rPr>
          <w:rFonts w:ascii="Tahoma" w:hAnsi="Tahoma" w:cs="Tahoma"/>
        </w:rPr>
        <w:t xml:space="preserve"> </w:t>
      </w:r>
      <w:proofErr w:type="spellStart"/>
      <w:r w:rsidRPr="00EA70A2">
        <w:rPr>
          <w:rFonts w:ascii="Tahoma" w:hAnsi="Tahoma" w:cs="Tahoma"/>
        </w:rPr>
        <w:t>S.A</w:t>
      </w:r>
      <w:proofErr w:type="spellEnd"/>
      <w:r w:rsidRPr="00EA70A2">
        <w:rPr>
          <w:rFonts w:ascii="Tahoma" w:hAnsi="Tahoma" w:cs="Tahoma"/>
        </w:rPr>
        <w:t xml:space="preserve"> que, al momento del traslado de las condenas impuestas, los </w:t>
      </w:r>
      <w:r w:rsidRPr="00EA70A2">
        <w:rPr>
          <w:rFonts w:ascii="Tahoma" w:hAnsi="Tahoma" w:cs="Tahoma"/>
          <w:bCs/>
          <w:lang w:val="es-ES"/>
        </w:rPr>
        <w:t xml:space="preserve">valores deberán aparecer discriminados con sus respectivos montos, junto con el detalle pormenorizado de los ciclos, </w:t>
      </w:r>
      <w:proofErr w:type="spellStart"/>
      <w:r w:rsidRPr="00EA70A2">
        <w:rPr>
          <w:rFonts w:ascii="Tahoma" w:hAnsi="Tahoma" w:cs="Tahoma"/>
          <w:bCs/>
          <w:lang w:val="es-ES"/>
        </w:rPr>
        <w:t>IBC</w:t>
      </w:r>
      <w:proofErr w:type="spellEnd"/>
      <w:r w:rsidRPr="00EA70A2">
        <w:rPr>
          <w:rFonts w:ascii="Tahoma" w:hAnsi="Tahoma" w:cs="Tahoma"/>
          <w:bCs/>
          <w:lang w:val="es-ES"/>
        </w:rPr>
        <w:t>, aportes y demás información relevante que los justifiquen.</w:t>
      </w:r>
    </w:p>
    <w:p w14:paraId="2CAA2584" w14:textId="096F8CAC" w:rsidR="0016776B" w:rsidRPr="00EA70A2" w:rsidRDefault="0016776B" w:rsidP="00EA70A2">
      <w:pPr>
        <w:spacing w:before="0" w:beforeAutospacing="0" w:after="0" w:afterAutospacing="0" w:line="276" w:lineRule="auto"/>
        <w:ind w:firstLine="708"/>
        <w:contextualSpacing/>
        <w:rPr>
          <w:rFonts w:ascii="Tahoma" w:hAnsi="Tahoma" w:cs="Tahoma"/>
          <w:i/>
          <w:iCs/>
          <w:lang w:val="es-ES"/>
        </w:rPr>
      </w:pPr>
    </w:p>
    <w:p w14:paraId="6582AAFE" w14:textId="77777777" w:rsidR="0016776B" w:rsidRPr="00EA70A2" w:rsidRDefault="0016776B" w:rsidP="00EA70A2">
      <w:pPr>
        <w:pStyle w:val="paragraph"/>
        <w:spacing w:before="0" w:beforeAutospacing="0" w:after="0" w:afterAutospacing="0" w:line="276" w:lineRule="auto"/>
        <w:ind w:firstLine="705"/>
        <w:jc w:val="both"/>
        <w:textAlignment w:val="baseline"/>
        <w:rPr>
          <w:rFonts w:ascii="Tahoma" w:hAnsi="Tahoma" w:cs="Tahoma"/>
        </w:rPr>
      </w:pPr>
      <w:r w:rsidRPr="00EA70A2">
        <w:rPr>
          <w:rStyle w:val="normaltextrun"/>
          <w:rFonts w:ascii="Tahoma" w:hAnsi="Tahoma" w:cs="Tahoma"/>
          <w:b/>
          <w:bCs/>
          <w:lang w:val="es-ES"/>
        </w:rPr>
        <w:t>TERCERO</w:t>
      </w:r>
      <w:r w:rsidRPr="00EA70A2">
        <w:rPr>
          <w:rStyle w:val="normaltextrun"/>
          <w:rFonts w:ascii="Tahoma" w:hAnsi="Tahoma" w:cs="Tahoma"/>
          <w:b/>
          <w:bCs/>
        </w:rPr>
        <w:t xml:space="preserve">: ADICIONAR </w:t>
      </w:r>
      <w:r w:rsidRPr="00EA70A2">
        <w:rPr>
          <w:rStyle w:val="normaltextrun"/>
          <w:rFonts w:ascii="Tahoma" w:hAnsi="Tahoma" w:cs="Tahoma"/>
        </w:rPr>
        <w:t xml:space="preserve">la sentencia para </w:t>
      </w:r>
      <w:r w:rsidRPr="00EA70A2">
        <w:rPr>
          <w:rStyle w:val="normaltextrun"/>
          <w:rFonts w:ascii="Tahoma" w:hAnsi="Tahoma" w:cs="Tahoma"/>
          <w:b/>
          <w:bCs/>
        </w:rPr>
        <w:t>COMUNICAR</w:t>
      </w:r>
      <w:r w:rsidRPr="00EA70A2">
        <w:rPr>
          <w:rStyle w:val="normaltextrun"/>
          <w:rFonts w:ascii="Tahoma" w:hAnsi="Tahoma" w:cs="Tahoma"/>
        </w:rPr>
        <w:t xml:space="preserve"> la decisión adoptada en este asunto a la </w:t>
      </w:r>
      <w:proofErr w:type="spellStart"/>
      <w:r w:rsidRPr="00EA70A2">
        <w:rPr>
          <w:rStyle w:val="normaltextrun"/>
          <w:rFonts w:ascii="Tahoma" w:hAnsi="Tahoma" w:cs="Tahoma"/>
        </w:rPr>
        <w:t>OBP</w:t>
      </w:r>
      <w:proofErr w:type="spellEnd"/>
      <w:r w:rsidRPr="00EA70A2">
        <w:rPr>
          <w:rStyle w:val="normaltextrun"/>
          <w:rFonts w:ascii="Tahoma" w:hAnsi="Tahoma" w:cs="Tahoma"/>
        </w:rPr>
        <w:t xml:space="preserve"> del Ministerio de Hacienda y Crédito Público, para que, en caso de haber emitido el bono pensional, proceda con la anulación del mismo mediante trámite interno, aplicando lo previsto en el artículo 57 del Decreto 1748 de 1995, </w:t>
      </w:r>
      <w:r w:rsidRPr="00EA70A2">
        <w:rPr>
          <w:rStyle w:val="normaltextrun"/>
          <w:rFonts w:ascii="Tahoma" w:hAnsi="Tahoma" w:cs="Tahoma"/>
        </w:rPr>
        <w:lastRenderedPageBreak/>
        <w:t>modificado por el artículo 17 del Decreto 3798 de 2003 hoy recopilado en el Decreto 833 de 2016.</w:t>
      </w:r>
      <w:r w:rsidRPr="00EA70A2">
        <w:rPr>
          <w:rStyle w:val="eop"/>
          <w:rFonts w:ascii="Tahoma" w:hAnsi="Tahoma" w:cs="Tahoma"/>
        </w:rPr>
        <w:t> </w:t>
      </w:r>
    </w:p>
    <w:p w14:paraId="177458E3" w14:textId="612545EC" w:rsidR="0016776B" w:rsidRPr="00EA70A2" w:rsidRDefault="0016776B" w:rsidP="00EA70A2">
      <w:pPr>
        <w:spacing w:before="0" w:beforeAutospacing="0" w:after="0" w:afterAutospacing="0" w:line="276" w:lineRule="auto"/>
        <w:ind w:firstLine="708"/>
        <w:contextualSpacing/>
        <w:rPr>
          <w:rFonts w:ascii="Tahoma" w:hAnsi="Tahoma" w:cs="Tahoma"/>
          <w:i/>
          <w:iCs/>
        </w:rPr>
      </w:pPr>
    </w:p>
    <w:p w14:paraId="4DB23DB6" w14:textId="035F3AD5" w:rsidR="0016776B" w:rsidRPr="00EA70A2" w:rsidRDefault="0016776B" w:rsidP="00EA70A2">
      <w:pPr>
        <w:pStyle w:val="paragraph"/>
        <w:spacing w:before="0" w:beforeAutospacing="0" w:after="0" w:afterAutospacing="0" w:line="276" w:lineRule="auto"/>
        <w:ind w:firstLine="705"/>
        <w:jc w:val="both"/>
        <w:textAlignment w:val="baseline"/>
        <w:rPr>
          <w:rStyle w:val="normaltextrun"/>
          <w:rFonts w:ascii="Tahoma" w:hAnsi="Tahoma" w:cs="Tahoma"/>
        </w:rPr>
      </w:pPr>
      <w:r w:rsidRPr="00EA70A2">
        <w:rPr>
          <w:rFonts w:ascii="Tahoma" w:hAnsi="Tahoma" w:cs="Tahoma"/>
          <w:b/>
          <w:bCs/>
        </w:rPr>
        <w:t xml:space="preserve">CUARTO: ADICIONAR </w:t>
      </w:r>
      <w:r w:rsidR="00265E80" w:rsidRPr="00EA70A2">
        <w:rPr>
          <w:rFonts w:ascii="Tahoma" w:hAnsi="Tahoma" w:cs="Tahoma"/>
        </w:rPr>
        <w:t xml:space="preserve">la sentencia para </w:t>
      </w:r>
      <w:r w:rsidR="00265E80" w:rsidRPr="00EA70A2">
        <w:rPr>
          <w:rFonts w:ascii="Tahoma" w:hAnsi="Tahoma" w:cs="Tahoma"/>
          <w:b/>
          <w:bCs/>
        </w:rPr>
        <w:t xml:space="preserve">ORDENAR </w:t>
      </w:r>
      <w:r w:rsidR="00265E80" w:rsidRPr="00EA70A2">
        <w:rPr>
          <w:rFonts w:ascii="Tahoma" w:hAnsi="Tahoma" w:cs="Tahoma"/>
        </w:rPr>
        <w:t>a la AFP Porvenir S.A. que, en caso de haber recibido el pago del bono pensional en favor de la cuenta de ahorro individual de la demandante, restituya la suma pagada por ese concepto a la Oficina de Bonos Pensionales del Ministerio de Hacienda y Crédito Público y/o la entidad que hubiese efectuado el pago, de forma indexada. Se precisa que esa actualización del valor del bono pensional debe ser cancelada con los recursos propios del mentado fondo privado de pensiones.  </w:t>
      </w:r>
    </w:p>
    <w:p w14:paraId="55FE1DDE" w14:textId="10CCB1AE" w:rsidR="0016776B" w:rsidRPr="00EA70A2" w:rsidRDefault="0016776B" w:rsidP="00EA70A2">
      <w:pPr>
        <w:pStyle w:val="paragraph"/>
        <w:spacing w:before="0" w:beforeAutospacing="0" w:after="0" w:afterAutospacing="0" w:line="276" w:lineRule="auto"/>
        <w:ind w:firstLine="705"/>
        <w:jc w:val="both"/>
        <w:textAlignment w:val="baseline"/>
        <w:rPr>
          <w:rStyle w:val="normaltextrun"/>
          <w:rFonts w:ascii="Tahoma" w:hAnsi="Tahoma" w:cs="Tahoma"/>
        </w:rPr>
      </w:pPr>
    </w:p>
    <w:p w14:paraId="1BAF07C2" w14:textId="060526F2" w:rsidR="00265E80" w:rsidRPr="00EA70A2" w:rsidRDefault="0016776B" w:rsidP="00EA70A2">
      <w:pPr>
        <w:spacing w:before="0" w:beforeAutospacing="0" w:after="0" w:afterAutospacing="0" w:line="276" w:lineRule="auto"/>
        <w:ind w:firstLine="705"/>
        <w:rPr>
          <w:rFonts w:ascii="Tahoma" w:hAnsi="Tahoma" w:cs="Tahoma"/>
          <w:b/>
          <w:bCs/>
        </w:rPr>
      </w:pPr>
      <w:r w:rsidRPr="00EA70A2">
        <w:rPr>
          <w:rStyle w:val="normaltextrun"/>
          <w:rFonts w:ascii="Tahoma" w:hAnsi="Tahoma" w:cs="Tahoma"/>
          <w:b/>
          <w:bCs/>
        </w:rPr>
        <w:t xml:space="preserve">QUINTO: </w:t>
      </w:r>
      <w:r w:rsidR="00265E80" w:rsidRPr="00EA70A2">
        <w:rPr>
          <w:rStyle w:val="normaltextrun"/>
          <w:rFonts w:ascii="Tahoma" w:hAnsi="Tahoma" w:cs="Tahoma"/>
          <w:b/>
          <w:bCs/>
        </w:rPr>
        <w:t xml:space="preserve">REVOCAR </w:t>
      </w:r>
      <w:r w:rsidR="00352BB4" w:rsidRPr="00EA70A2">
        <w:rPr>
          <w:rFonts w:ascii="Tahoma" w:hAnsi="Tahoma" w:cs="Tahoma"/>
        </w:rPr>
        <w:t xml:space="preserve">el numeral </w:t>
      </w:r>
      <w:r w:rsidR="00B441B4" w:rsidRPr="00EA70A2">
        <w:rPr>
          <w:rFonts w:ascii="Tahoma" w:hAnsi="Tahoma" w:cs="Tahoma"/>
        </w:rPr>
        <w:t>séptimo</w:t>
      </w:r>
      <w:r w:rsidR="00352BB4" w:rsidRPr="00EA70A2">
        <w:rPr>
          <w:rFonts w:ascii="Tahoma" w:hAnsi="Tahoma" w:cs="Tahoma"/>
        </w:rPr>
        <w:t xml:space="preserve"> de la sentencia apelada.</w:t>
      </w:r>
      <w:r w:rsidR="00352BB4" w:rsidRPr="00EA70A2">
        <w:rPr>
          <w:rFonts w:ascii="Tahoma" w:hAnsi="Tahoma" w:cs="Tahoma"/>
          <w:b/>
          <w:bCs/>
        </w:rPr>
        <w:t> </w:t>
      </w:r>
    </w:p>
    <w:p w14:paraId="163340C5" w14:textId="77777777" w:rsidR="00352BB4" w:rsidRPr="00EA70A2" w:rsidRDefault="00352BB4" w:rsidP="00EA70A2">
      <w:pPr>
        <w:spacing w:before="0" w:beforeAutospacing="0" w:after="0" w:afterAutospacing="0" w:line="276" w:lineRule="auto"/>
        <w:ind w:firstLine="705"/>
        <w:rPr>
          <w:rStyle w:val="normaltextrun"/>
          <w:rFonts w:ascii="Tahoma" w:hAnsi="Tahoma" w:cs="Tahoma"/>
        </w:rPr>
      </w:pPr>
    </w:p>
    <w:p w14:paraId="09008ED4" w14:textId="711FAC27" w:rsidR="0016776B" w:rsidRPr="00EA70A2" w:rsidRDefault="00352BB4" w:rsidP="00EA70A2">
      <w:pPr>
        <w:spacing w:before="0" w:beforeAutospacing="0" w:after="0" w:afterAutospacing="0" w:line="276" w:lineRule="auto"/>
        <w:ind w:firstLine="705"/>
        <w:rPr>
          <w:rFonts w:ascii="Tahoma" w:eastAsia="Tahoma" w:hAnsi="Tahoma" w:cs="Tahoma"/>
          <w:bCs/>
          <w:lang w:eastAsia="es-CO"/>
        </w:rPr>
      </w:pPr>
      <w:r w:rsidRPr="00EA70A2">
        <w:rPr>
          <w:rStyle w:val="normaltextrun"/>
          <w:rFonts w:ascii="Tahoma" w:hAnsi="Tahoma" w:cs="Tahoma"/>
          <w:b/>
          <w:bCs/>
        </w:rPr>
        <w:t xml:space="preserve">SEXTO: </w:t>
      </w:r>
      <w:r w:rsidR="0016776B" w:rsidRPr="00EA70A2">
        <w:rPr>
          <w:rStyle w:val="normaltextrun"/>
          <w:rFonts w:ascii="Tahoma" w:hAnsi="Tahoma" w:cs="Tahoma"/>
          <w:b/>
          <w:bCs/>
        </w:rPr>
        <w:t xml:space="preserve">CONFIRMAR </w:t>
      </w:r>
      <w:r w:rsidR="0016776B" w:rsidRPr="00EA70A2">
        <w:rPr>
          <w:rFonts w:ascii="Tahoma" w:eastAsia="Tahoma" w:hAnsi="Tahoma" w:cs="Tahoma"/>
          <w:bCs/>
          <w:lang w:eastAsia="es-CO"/>
        </w:rPr>
        <w:t>en todo lo demás la sentencia recurrida y consultada.</w:t>
      </w:r>
    </w:p>
    <w:p w14:paraId="34D08C3F" w14:textId="3FA11724" w:rsidR="0016776B" w:rsidRPr="00EA70A2" w:rsidRDefault="0016776B" w:rsidP="00EA70A2">
      <w:pPr>
        <w:spacing w:before="0" w:beforeAutospacing="0" w:after="0" w:afterAutospacing="0" w:line="276" w:lineRule="auto"/>
        <w:ind w:firstLine="705"/>
        <w:rPr>
          <w:rFonts w:ascii="Tahoma" w:eastAsia="Tahoma" w:hAnsi="Tahoma" w:cs="Tahoma"/>
          <w:bCs/>
          <w:lang w:eastAsia="es-CO"/>
        </w:rPr>
      </w:pPr>
    </w:p>
    <w:p w14:paraId="75EB3960" w14:textId="50B1AD2B" w:rsidR="0016776B" w:rsidRPr="00EA70A2" w:rsidRDefault="0016776B" w:rsidP="00EA70A2">
      <w:pPr>
        <w:spacing w:before="0" w:beforeAutospacing="0" w:after="0" w:afterAutospacing="0" w:line="276" w:lineRule="auto"/>
        <w:ind w:firstLine="708"/>
        <w:rPr>
          <w:rFonts w:ascii="Tahoma" w:eastAsia="Tahoma" w:hAnsi="Tahoma" w:cs="Tahoma"/>
          <w:lang w:eastAsia="es-CO"/>
        </w:rPr>
      </w:pPr>
      <w:r w:rsidRPr="00EA70A2">
        <w:rPr>
          <w:rFonts w:ascii="Tahoma" w:eastAsia="Tahoma" w:hAnsi="Tahoma" w:cs="Tahoma"/>
          <w:b/>
          <w:lang w:eastAsia="es-CO"/>
        </w:rPr>
        <w:t>S</w:t>
      </w:r>
      <w:r w:rsidR="00352BB4" w:rsidRPr="00EA70A2">
        <w:rPr>
          <w:rFonts w:ascii="Tahoma" w:eastAsia="Tahoma" w:hAnsi="Tahoma" w:cs="Tahoma"/>
          <w:b/>
          <w:lang w:eastAsia="es-CO"/>
        </w:rPr>
        <w:t>ÉPTIMO</w:t>
      </w:r>
      <w:r w:rsidRPr="00EA70A2">
        <w:rPr>
          <w:rFonts w:ascii="Tahoma" w:eastAsia="Tahoma" w:hAnsi="Tahoma" w:cs="Tahoma"/>
          <w:b/>
          <w:lang w:eastAsia="es-CO"/>
        </w:rPr>
        <w:t xml:space="preserve">: CONDENAR </w:t>
      </w:r>
      <w:r w:rsidRPr="00EA70A2">
        <w:rPr>
          <w:rFonts w:ascii="Tahoma" w:eastAsia="Tahoma" w:hAnsi="Tahoma" w:cs="Tahoma"/>
          <w:lang w:eastAsia="es-CO"/>
        </w:rPr>
        <w:t xml:space="preserve">en costas de segunda instancia a </w:t>
      </w:r>
      <w:r w:rsidRPr="00EA70A2">
        <w:rPr>
          <w:rFonts w:ascii="Tahoma" w:eastAsia="Tahoma" w:hAnsi="Tahoma" w:cs="Tahoma"/>
          <w:lang w:eastAsia="es-MX"/>
        </w:rPr>
        <w:t>la</w:t>
      </w:r>
      <w:r w:rsidRPr="00EA70A2">
        <w:rPr>
          <w:rFonts w:ascii="Tahoma" w:eastAsia="Tahoma" w:hAnsi="Tahoma" w:cs="Tahoma"/>
          <w:b/>
          <w:bCs/>
          <w:lang w:eastAsia="es-MX"/>
        </w:rPr>
        <w:t xml:space="preserve"> </w:t>
      </w:r>
      <w:r w:rsidRPr="00EA70A2">
        <w:rPr>
          <w:rFonts w:ascii="Tahoma" w:eastAsia="Tahoma" w:hAnsi="Tahoma" w:cs="Tahoma"/>
          <w:lang w:eastAsia="es-MX"/>
        </w:rPr>
        <w:t>Administradora Colombiana de Pensiones – Colpensiones</w:t>
      </w:r>
      <w:r w:rsidR="00C849F8" w:rsidRPr="00EA70A2">
        <w:rPr>
          <w:rFonts w:ascii="Tahoma" w:eastAsia="Tahoma" w:hAnsi="Tahoma" w:cs="Tahoma"/>
          <w:lang w:eastAsia="es-MX"/>
        </w:rPr>
        <w:t xml:space="preserve"> y </w:t>
      </w:r>
      <w:r w:rsidRPr="00EA70A2">
        <w:rPr>
          <w:rFonts w:ascii="Tahoma" w:eastAsia="Tahoma" w:hAnsi="Tahoma" w:cs="Tahoma"/>
          <w:lang w:eastAsia="es-MX"/>
        </w:rPr>
        <w:t>a la Administradora de Fondos de Pensiones y Cesantías Porvenir S.A. en favor de la parte actora.</w:t>
      </w:r>
      <w:r w:rsidRPr="00EA70A2">
        <w:rPr>
          <w:rFonts w:ascii="Tahoma" w:eastAsia="Tahoma" w:hAnsi="Tahoma" w:cs="Tahoma"/>
          <w:lang w:eastAsia="es-CO"/>
        </w:rPr>
        <w:t xml:space="preserve"> Liquídense por la secretaría del juzgado de origen.</w:t>
      </w:r>
    </w:p>
    <w:p w14:paraId="374B61D5" w14:textId="77777777" w:rsidR="00EA70A2" w:rsidRPr="006F0341" w:rsidRDefault="00EA70A2" w:rsidP="00EA70A2">
      <w:pPr>
        <w:spacing w:before="0" w:beforeAutospacing="0" w:after="0" w:afterAutospacing="0" w:line="276" w:lineRule="auto"/>
        <w:ind w:firstLine="0"/>
        <w:rPr>
          <w:rFonts w:ascii="Tahoma" w:eastAsia="Calibri" w:hAnsi="Tahoma" w:cs="Tahoma"/>
        </w:rPr>
      </w:pPr>
      <w:bookmarkStart w:id="8" w:name="_Hlk126574973"/>
    </w:p>
    <w:p w14:paraId="61F4F6E7" w14:textId="77777777" w:rsidR="00EA70A2" w:rsidRPr="006F0341" w:rsidRDefault="00EA70A2" w:rsidP="00EA70A2">
      <w:pPr>
        <w:spacing w:before="0" w:beforeAutospacing="0" w:after="0" w:afterAutospacing="0" w:line="276" w:lineRule="auto"/>
        <w:ind w:firstLine="0"/>
        <w:jc w:val="center"/>
        <w:rPr>
          <w:rFonts w:ascii="Tahoma" w:eastAsia="Tahoma" w:hAnsi="Tahoma" w:cs="Tahoma"/>
          <w:b/>
          <w:bCs/>
        </w:rPr>
      </w:pPr>
      <w:r w:rsidRPr="006F0341">
        <w:rPr>
          <w:rFonts w:ascii="Tahoma" w:eastAsia="Tahoma" w:hAnsi="Tahoma" w:cs="Tahoma"/>
          <w:b/>
          <w:bCs/>
        </w:rPr>
        <w:t>NOTIFÍQUESE Y CÚMPLASE</w:t>
      </w:r>
    </w:p>
    <w:p w14:paraId="0DB0E38C" w14:textId="77777777" w:rsidR="00EA70A2" w:rsidRPr="006F0341" w:rsidRDefault="00EA70A2" w:rsidP="00EA70A2">
      <w:pPr>
        <w:spacing w:before="0" w:beforeAutospacing="0" w:after="0" w:afterAutospacing="0" w:line="276" w:lineRule="auto"/>
        <w:ind w:firstLine="0"/>
        <w:rPr>
          <w:rFonts w:ascii="Tahoma" w:eastAsia="Calibri" w:hAnsi="Tahoma" w:cs="Tahoma"/>
        </w:rPr>
      </w:pPr>
      <w:r w:rsidRPr="006F0341">
        <w:rPr>
          <w:rFonts w:ascii="Tahoma" w:eastAsia="Calibri" w:hAnsi="Tahoma" w:cs="Tahoma"/>
        </w:rPr>
        <w:t xml:space="preserve"> </w:t>
      </w:r>
    </w:p>
    <w:p w14:paraId="56162D5A" w14:textId="77777777" w:rsidR="00EA70A2" w:rsidRPr="006F0341" w:rsidRDefault="00EA70A2" w:rsidP="00EA70A2">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F0341">
        <w:rPr>
          <w:rFonts w:ascii="Tahoma" w:eastAsia="Times New Roman" w:hAnsi="Tahoma" w:cs="Tahoma"/>
          <w:lang w:val="es-ES" w:eastAsia="es-ES"/>
        </w:rPr>
        <w:tab/>
        <w:t>La Magistrada ponente,</w:t>
      </w:r>
    </w:p>
    <w:p w14:paraId="2BD6B814" w14:textId="77777777" w:rsidR="00EA70A2" w:rsidRPr="006F0341" w:rsidRDefault="00EA70A2" w:rsidP="00EA70A2">
      <w:pPr>
        <w:spacing w:before="0" w:beforeAutospacing="0" w:after="0" w:afterAutospacing="0" w:line="276" w:lineRule="auto"/>
        <w:ind w:firstLine="0"/>
        <w:jc w:val="left"/>
        <w:rPr>
          <w:rFonts w:ascii="Tahoma" w:eastAsia="Times New Roman" w:hAnsi="Tahoma" w:cs="Tahoma"/>
          <w:lang w:val="es-ES" w:eastAsia="es-ES"/>
        </w:rPr>
      </w:pPr>
    </w:p>
    <w:p w14:paraId="67609DB2" w14:textId="77777777" w:rsidR="00EA70A2" w:rsidRPr="006F0341" w:rsidRDefault="00EA70A2" w:rsidP="00EA70A2">
      <w:pPr>
        <w:spacing w:before="0" w:beforeAutospacing="0" w:after="0" w:afterAutospacing="0" w:line="276" w:lineRule="auto"/>
        <w:ind w:firstLine="0"/>
        <w:jc w:val="left"/>
        <w:rPr>
          <w:rFonts w:ascii="Tahoma" w:eastAsia="Times New Roman" w:hAnsi="Tahoma" w:cs="Tahoma"/>
          <w:lang w:val="es-ES" w:eastAsia="es-ES"/>
        </w:rPr>
      </w:pPr>
    </w:p>
    <w:p w14:paraId="008EABFB" w14:textId="77777777" w:rsidR="00EA70A2" w:rsidRPr="006F0341" w:rsidRDefault="00EA70A2" w:rsidP="00EA70A2">
      <w:pPr>
        <w:spacing w:before="0" w:beforeAutospacing="0" w:after="0" w:afterAutospacing="0" w:line="276" w:lineRule="auto"/>
        <w:ind w:firstLine="0"/>
        <w:jc w:val="left"/>
        <w:rPr>
          <w:rFonts w:ascii="Tahoma" w:eastAsia="Times New Roman" w:hAnsi="Tahoma" w:cs="Tahoma"/>
          <w:lang w:val="es-ES" w:eastAsia="es-ES"/>
        </w:rPr>
      </w:pPr>
    </w:p>
    <w:p w14:paraId="7C686863" w14:textId="77777777" w:rsidR="00EA70A2" w:rsidRPr="006F0341" w:rsidRDefault="00EA70A2" w:rsidP="00EA70A2">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F0341">
        <w:rPr>
          <w:rFonts w:ascii="Tahoma" w:eastAsia="Times New Roman" w:hAnsi="Tahoma" w:cs="Tahoma"/>
          <w:b/>
          <w:bCs/>
          <w:lang w:val="es-ES" w:eastAsia="es-ES"/>
        </w:rPr>
        <w:t>ANA LUCÍA CAICEDO CALDERÓN</w:t>
      </w:r>
    </w:p>
    <w:p w14:paraId="4C79A49D" w14:textId="77777777" w:rsidR="00EA70A2" w:rsidRPr="006F0341" w:rsidRDefault="00EA70A2" w:rsidP="00EA70A2">
      <w:pPr>
        <w:spacing w:before="0" w:beforeAutospacing="0" w:after="0" w:afterAutospacing="0" w:line="276" w:lineRule="auto"/>
        <w:ind w:firstLine="0"/>
        <w:jc w:val="left"/>
        <w:rPr>
          <w:rFonts w:ascii="Tahoma" w:eastAsia="Times New Roman" w:hAnsi="Tahoma" w:cs="Tahoma"/>
          <w:lang w:val="es-ES" w:eastAsia="es-ES"/>
        </w:rPr>
      </w:pPr>
    </w:p>
    <w:p w14:paraId="71ACE9C8" w14:textId="77777777" w:rsidR="00EA70A2" w:rsidRPr="006F0341" w:rsidRDefault="00EA70A2" w:rsidP="00EA70A2">
      <w:pPr>
        <w:spacing w:before="0" w:beforeAutospacing="0" w:after="0" w:afterAutospacing="0" w:line="276" w:lineRule="auto"/>
        <w:ind w:firstLine="708"/>
        <w:jc w:val="left"/>
        <w:rPr>
          <w:rFonts w:ascii="Tahoma" w:eastAsia="Times New Roman" w:hAnsi="Tahoma" w:cs="Tahoma"/>
          <w:lang w:val="es-ES" w:eastAsia="es-ES"/>
        </w:rPr>
      </w:pPr>
      <w:bookmarkStart w:id="9" w:name="_Hlk62478330"/>
      <w:r w:rsidRPr="006F0341">
        <w:rPr>
          <w:rFonts w:ascii="Tahoma" w:eastAsia="Times New Roman" w:hAnsi="Tahoma" w:cs="Tahoma"/>
          <w:lang w:val="es-ES" w:eastAsia="es-ES"/>
        </w:rPr>
        <w:t>La Magistrada y el Magistrado,</w:t>
      </w:r>
    </w:p>
    <w:p w14:paraId="11919A31" w14:textId="77777777" w:rsidR="00EA70A2" w:rsidRPr="006F0341" w:rsidRDefault="00EA70A2" w:rsidP="00EA70A2">
      <w:pPr>
        <w:spacing w:before="0" w:beforeAutospacing="0" w:after="0" w:afterAutospacing="0" w:line="276" w:lineRule="auto"/>
        <w:ind w:firstLine="0"/>
        <w:jc w:val="left"/>
        <w:rPr>
          <w:rFonts w:ascii="Tahoma" w:eastAsia="Times New Roman" w:hAnsi="Tahoma" w:cs="Tahoma"/>
          <w:lang w:val="es-ES" w:eastAsia="es-ES"/>
        </w:rPr>
      </w:pPr>
    </w:p>
    <w:p w14:paraId="19D4F915" w14:textId="77777777" w:rsidR="00EA70A2" w:rsidRPr="006F0341" w:rsidRDefault="00EA70A2" w:rsidP="00EA70A2">
      <w:pPr>
        <w:spacing w:before="0" w:beforeAutospacing="0" w:after="0" w:afterAutospacing="0" w:line="276" w:lineRule="auto"/>
        <w:ind w:firstLine="0"/>
        <w:jc w:val="left"/>
        <w:rPr>
          <w:rFonts w:ascii="Tahoma" w:eastAsia="Times New Roman" w:hAnsi="Tahoma" w:cs="Tahoma"/>
          <w:lang w:val="es-ES" w:eastAsia="es-ES"/>
        </w:rPr>
      </w:pPr>
    </w:p>
    <w:p w14:paraId="1A6465B6" w14:textId="77777777" w:rsidR="00EA70A2" w:rsidRPr="006F0341" w:rsidRDefault="00EA70A2" w:rsidP="00EA70A2">
      <w:pPr>
        <w:spacing w:before="0" w:beforeAutospacing="0" w:after="0" w:afterAutospacing="0" w:line="276" w:lineRule="auto"/>
        <w:ind w:firstLine="0"/>
        <w:jc w:val="left"/>
        <w:rPr>
          <w:rFonts w:ascii="Tahoma" w:eastAsia="Times New Roman" w:hAnsi="Tahoma" w:cs="Tahoma"/>
          <w:lang w:val="es-ES" w:eastAsia="es-ES"/>
        </w:rPr>
      </w:pPr>
    </w:p>
    <w:p w14:paraId="189EAABF" w14:textId="77777777" w:rsidR="00EA70A2" w:rsidRPr="006F0341" w:rsidRDefault="00EA70A2" w:rsidP="00EA70A2">
      <w:pPr>
        <w:spacing w:before="0" w:beforeAutospacing="0" w:after="0" w:afterAutospacing="0" w:line="276" w:lineRule="auto"/>
        <w:ind w:firstLine="0"/>
        <w:rPr>
          <w:rFonts w:ascii="Tahoma" w:eastAsia="Calibri" w:hAnsi="Tahoma" w:cs="Tahoma"/>
          <w:lang w:val="es-ES"/>
        </w:rPr>
      </w:pPr>
      <w:r w:rsidRPr="006F0341">
        <w:rPr>
          <w:rFonts w:ascii="Tahoma" w:eastAsia="Times New Roman" w:hAnsi="Tahoma" w:cs="Tahoma"/>
          <w:b/>
          <w:bCs/>
          <w:lang w:val="es-ES" w:eastAsia="es-ES"/>
        </w:rPr>
        <w:t>OLGA LUCÍA HOYOS SEPÚLVEDA</w:t>
      </w:r>
      <w:r w:rsidRPr="006F0341">
        <w:rPr>
          <w:rFonts w:ascii="Tahoma" w:eastAsia="Times New Roman" w:hAnsi="Tahoma" w:cs="Tahoma"/>
          <w:b/>
          <w:bCs/>
          <w:lang w:val="es-ES" w:eastAsia="es-ES"/>
        </w:rPr>
        <w:tab/>
      </w:r>
      <w:r w:rsidRPr="006F0341">
        <w:rPr>
          <w:rFonts w:ascii="Tahoma" w:eastAsia="Times New Roman" w:hAnsi="Tahoma" w:cs="Tahoma"/>
          <w:b/>
          <w:bCs/>
          <w:lang w:val="es-ES" w:eastAsia="es-ES"/>
        </w:rPr>
        <w:tab/>
        <w:t xml:space="preserve">GERMÁN DARÍO </w:t>
      </w:r>
      <w:proofErr w:type="spellStart"/>
      <w:r w:rsidRPr="006F0341">
        <w:rPr>
          <w:rFonts w:ascii="Tahoma" w:eastAsia="Times New Roman" w:hAnsi="Tahoma" w:cs="Tahoma"/>
          <w:b/>
          <w:bCs/>
          <w:lang w:val="es-ES" w:eastAsia="es-ES"/>
        </w:rPr>
        <w:t>GÓEZ</w:t>
      </w:r>
      <w:proofErr w:type="spellEnd"/>
      <w:r w:rsidRPr="006F0341">
        <w:rPr>
          <w:rFonts w:ascii="Tahoma" w:eastAsia="Times New Roman" w:hAnsi="Tahoma" w:cs="Tahoma"/>
          <w:b/>
          <w:bCs/>
          <w:lang w:val="es-ES" w:eastAsia="es-ES"/>
        </w:rPr>
        <w:t xml:space="preserve"> </w:t>
      </w:r>
      <w:proofErr w:type="spellStart"/>
      <w:r w:rsidRPr="006F0341">
        <w:rPr>
          <w:rFonts w:ascii="Tahoma" w:eastAsia="Times New Roman" w:hAnsi="Tahoma" w:cs="Tahoma"/>
          <w:b/>
          <w:bCs/>
          <w:lang w:val="es-ES" w:eastAsia="es-ES"/>
        </w:rPr>
        <w:t>VINASCO</w:t>
      </w:r>
      <w:bookmarkEnd w:id="8"/>
      <w:bookmarkEnd w:id="9"/>
      <w:proofErr w:type="spellEnd"/>
    </w:p>
    <w:p w14:paraId="6DF86318" w14:textId="54EA321B" w:rsidR="0016776B" w:rsidRDefault="00EA70A2" w:rsidP="00EA70A2">
      <w:pPr>
        <w:spacing w:before="0" w:beforeAutospacing="0" w:after="0" w:afterAutospacing="0" w:line="276" w:lineRule="auto"/>
        <w:ind w:firstLine="0"/>
        <w:rPr>
          <w:rFonts w:ascii="Tahoma" w:eastAsia="Tahoma" w:hAnsi="Tahoma" w:cs="Tahoma"/>
          <w:bCs/>
          <w:lang w:val="es-ES"/>
        </w:rPr>
      </w:pPr>
      <w:r w:rsidRPr="006F0341">
        <w:rPr>
          <w:rFonts w:ascii="Tahoma" w:eastAsia="Tahoma" w:hAnsi="Tahoma" w:cs="Tahoma"/>
          <w:bCs/>
          <w:lang w:val="es-ES"/>
        </w:rPr>
        <w:t>Con aclaración de voto</w:t>
      </w:r>
    </w:p>
    <w:p w14:paraId="379122E8" w14:textId="3DAABDF4" w:rsidR="001D7FD9" w:rsidRDefault="001D7FD9" w:rsidP="00EA70A2">
      <w:pPr>
        <w:spacing w:before="0" w:beforeAutospacing="0" w:after="0" w:afterAutospacing="0" w:line="276" w:lineRule="auto"/>
        <w:ind w:firstLine="0"/>
        <w:rPr>
          <w:rFonts w:ascii="Tahoma" w:eastAsia="Tahoma" w:hAnsi="Tahoma" w:cs="Tahoma"/>
          <w:bCs/>
          <w:lang w:val="es-ES"/>
        </w:rPr>
      </w:pPr>
    </w:p>
    <w:p w14:paraId="5A46150D" w14:textId="4F8AAEDB" w:rsidR="001D7FD9" w:rsidRDefault="001D7FD9">
      <w:pPr>
        <w:spacing w:before="0" w:beforeAutospacing="0" w:after="160" w:afterAutospacing="0" w:line="259" w:lineRule="auto"/>
        <w:ind w:firstLine="0"/>
        <w:jc w:val="left"/>
        <w:rPr>
          <w:rFonts w:ascii="Tahoma" w:eastAsia="Tahoma" w:hAnsi="Tahoma" w:cs="Tahoma"/>
          <w:bCs/>
          <w:lang w:val="es-ES"/>
        </w:rPr>
      </w:pPr>
      <w:r>
        <w:rPr>
          <w:rFonts w:ascii="Tahoma" w:eastAsia="Tahoma" w:hAnsi="Tahoma" w:cs="Tahoma"/>
          <w:bCs/>
          <w:lang w:val="es-ES"/>
        </w:rPr>
        <w:br w:type="page"/>
      </w:r>
    </w:p>
    <w:p w14:paraId="14EAD8CE"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r w:rsidRPr="001D7FD9">
        <w:rPr>
          <w:rFonts w:ascii="Arial" w:eastAsia="Tahoma" w:hAnsi="Arial" w:cs="Arial"/>
          <w:bCs/>
          <w:sz w:val="20"/>
          <w:szCs w:val="20"/>
          <w:lang w:val="es-ES"/>
        </w:rPr>
        <w:lastRenderedPageBreak/>
        <w:t xml:space="preserve">Providencia: </w:t>
      </w:r>
      <w:r w:rsidRPr="001D7FD9">
        <w:rPr>
          <w:rFonts w:ascii="Arial" w:eastAsia="Tahoma" w:hAnsi="Arial" w:cs="Arial"/>
          <w:bCs/>
          <w:sz w:val="20"/>
          <w:szCs w:val="20"/>
          <w:lang w:val="es-ES"/>
        </w:rPr>
        <w:tab/>
      </w:r>
      <w:r w:rsidRPr="001D7FD9">
        <w:rPr>
          <w:rFonts w:ascii="Arial" w:eastAsia="Tahoma" w:hAnsi="Arial" w:cs="Arial"/>
          <w:bCs/>
          <w:sz w:val="20"/>
          <w:szCs w:val="20"/>
          <w:lang w:val="es-ES"/>
        </w:rPr>
        <w:tab/>
        <w:t xml:space="preserve">Sentencia del 23/10/2023 </w:t>
      </w:r>
    </w:p>
    <w:p w14:paraId="108C0B24"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r w:rsidRPr="001D7FD9">
        <w:rPr>
          <w:rFonts w:ascii="Arial" w:eastAsia="Tahoma" w:hAnsi="Arial" w:cs="Arial"/>
          <w:bCs/>
          <w:sz w:val="20"/>
          <w:szCs w:val="20"/>
          <w:lang w:val="es-ES"/>
        </w:rPr>
        <w:t>Radicación No.:</w:t>
      </w:r>
      <w:r w:rsidRPr="001D7FD9">
        <w:rPr>
          <w:rFonts w:ascii="Arial" w:eastAsia="Tahoma" w:hAnsi="Arial" w:cs="Arial"/>
          <w:bCs/>
          <w:sz w:val="20"/>
          <w:szCs w:val="20"/>
          <w:lang w:val="es-ES"/>
        </w:rPr>
        <w:tab/>
      </w:r>
      <w:r w:rsidRPr="001D7FD9">
        <w:rPr>
          <w:rFonts w:ascii="Arial" w:eastAsia="Tahoma" w:hAnsi="Arial" w:cs="Arial"/>
          <w:bCs/>
          <w:sz w:val="20"/>
          <w:szCs w:val="20"/>
          <w:lang w:val="es-ES"/>
        </w:rPr>
        <w:tab/>
        <w:t>66001-31-05-002-2021-00077-01</w:t>
      </w:r>
    </w:p>
    <w:p w14:paraId="67940F4F"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r w:rsidRPr="001D7FD9">
        <w:rPr>
          <w:rFonts w:ascii="Arial" w:eastAsia="Tahoma" w:hAnsi="Arial" w:cs="Arial"/>
          <w:bCs/>
          <w:sz w:val="20"/>
          <w:szCs w:val="20"/>
          <w:lang w:val="es-ES"/>
        </w:rPr>
        <w:t>Proceso:</w:t>
      </w:r>
      <w:r w:rsidRPr="001D7FD9">
        <w:rPr>
          <w:rFonts w:ascii="Arial" w:eastAsia="Tahoma" w:hAnsi="Arial" w:cs="Arial"/>
          <w:bCs/>
          <w:sz w:val="20"/>
          <w:szCs w:val="20"/>
          <w:lang w:val="es-ES"/>
        </w:rPr>
        <w:tab/>
      </w:r>
      <w:r w:rsidRPr="001D7FD9">
        <w:rPr>
          <w:rFonts w:ascii="Arial" w:eastAsia="Tahoma" w:hAnsi="Arial" w:cs="Arial"/>
          <w:bCs/>
          <w:sz w:val="20"/>
          <w:szCs w:val="20"/>
          <w:lang w:val="es-ES"/>
        </w:rPr>
        <w:tab/>
        <w:t xml:space="preserve">Ordinario laboral  </w:t>
      </w:r>
    </w:p>
    <w:p w14:paraId="361C427C"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r w:rsidRPr="001D7FD9">
        <w:rPr>
          <w:rFonts w:ascii="Arial" w:eastAsia="Tahoma" w:hAnsi="Arial" w:cs="Arial"/>
          <w:bCs/>
          <w:sz w:val="20"/>
          <w:szCs w:val="20"/>
          <w:lang w:val="es-ES"/>
        </w:rPr>
        <w:t>Demandante:</w:t>
      </w:r>
      <w:r w:rsidRPr="001D7FD9">
        <w:rPr>
          <w:rFonts w:ascii="Arial" w:eastAsia="Tahoma" w:hAnsi="Arial" w:cs="Arial"/>
          <w:bCs/>
          <w:sz w:val="20"/>
          <w:szCs w:val="20"/>
          <w:lang w:val="es-ES"/>
        </w:rPr>
        <w:tab/>
      </w:r>
      <w:r w:rsidRPr="001D7FD9">
        <w:rPr>
          <w:rFonts w:ascii="Arial" w:eastAsia="Tahoma" w:hAnsi="Arial" w:cs="Arial"/>
          <w:bCs/>
          <w:sz w:val="20"/>
          <w:szCs w:val="20"/>
          <w:lang w:val="es-ES"/>
        </w:rPr>
        <w:tab/>
        <w:t>Rosalba Vargas</w:t>
      </w:r>
    </w:p>
    <w:p w14:paraId="752F6164"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r w:rsidRPr="001D7FD9">
        <w:rPr>
          <w:rFonts w:ascii="Arial" w:eastAsia="Tahoma" w:hAnsi="Arial" w:cs="Arial"/>
          <w:bCs/>
          <w:sz w:val="20"/>
          <w:szCs w:val="20"/>
          <w:lang w:val="es-ES"/>
        </w:rPr>
        <w:t>Demandado:</w:t>
      </w:r>
      <w:r w:rsidRPr="001D7FD9">
        <w:rPr>
          <w:rFonts w:ascii="Arial" w:eastAsia="Tahoma" w:hAnsi="Arial" w:cs="Arial"/>
          <w:bCs/>
          <w:sz w:val="20"/>
          <w:szCs w:val="20"/>
          <w:lang w:val="es-ES"/>
        </w:rPr>
        <w:tab/>
      </w:r>
      <w:r w:rsidRPr="001D7FD9">
        <w:rPr>
          <w:rFonts w:ascii="Arial" w:eastAsia="Tahoma" w:hAnsi="Arial" w:cs="Arial"/>
          <w:bCs/>
          <w:sz w:val="20"/>
          <w:szCs w:val="20"/>
          <w:lang w:val="es-ES"/>
        </w:rPr>
        <w:tab/>
        <w:t xml:space="preserve">Colpensiones y </w:t>
      </w:r>
      <w:proofErr w:type="spellStart"/>
      <w:r w:rsidRPr="001D7FD9">
        <w:rPr>
          <w:rFonts w:ascii="Arial" w:eastAsia="Tahoma" w:hAnsi="Arial" w:cs="Arial"/>
          <w:bCs/>
          <w:sz w:val="20"/>
          <w:szCs w:val="20"/>
          <w:lang w:val="es-ES"/>
        </w:rPr>
        <w:t>Povenir</w:t>
      </w:r>
      <w:proofErr w:type="spellEnd"/>
      <w:r w:rsidRPr="001D7FD9">
        <w:rPr>
          <w:rFonts w:ascii="Arial" w:eastAsia="Tahoma" w:hAnsi="Arial" w:cs="Arial"/>
          <w:bCs/>
          <w:sz w:val="20"/>
          <w:szCs w:val="20"/>
          <w:lang w:val="es-ES"/>
        </w:rPr>
        <w:t xml:space="preserve"> S.A.</w:t>
      </w:r>
    </w:p>
    <w:p w14:paraId="35B82B12"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r w:rsidRPr="001D7FD9">
        <w:rPr>
          <w:rFonts w:ascii="Arial" w:eastAsia="Tahoma" w:hAnsi="Arial" w:cs="Arial"/>
          <w:bCs/>
          <w:sz w:val="20"/>
          <w:szCs w:val="20"/>
          <w:lang w:val="es-ES"/>
        </w:rPr>
        <w:t xml:space="preserve">Magistrado ponente: </w:t>
      </w:r>
      <w:r w:rsidRPr="001D7FD9">
        <w:rPr>
          <w:rFonts w:ascii="Arial" w:eastAsia="Tahoma" w:hAnsi="Arial" w:cs="Arial"/>
          <w:bCs/>
          <w:sz w:val="20"/>
          <w:szCs w:val="20"/>
          <w:lang w:val="es-ES"/>
        </w:rPr>
        <w:tab/>
        <w:t xml:space="preserve">Dra. Ana Lucía Caicedo Calderón </w:t>
      </w:r>
    </w:p>
    <w:p w14:paraId="7559212F"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r w:rsidRPr="001D7FD9">
        <w:rPr>
          <w:rFonts w:ascii="Arial" w:eastAsia="Tahoma" w:hAnsi="Arial" w:cs="Arial"/>
          <w:bCs/>
          <w:sz w:val="20"/>
          <w:szCs w:val="20"/>
          <w:lang w:val="es-ES"/>
        </w:rPr>
        <w:t xml:space="preserve">Tema: </w:t>
      </w:r>
      <w:r w:rsidRPr="001D7FD9">
        <w:rPr>
          <w:rFonts w:ascii="Arial" w:eastAsia="Tahoma" w:hAnsi="Arial" w:cs="Arial"/>
          <w:bCs/>
          <w:sz w:val="20"/>
          <w:szCs w:val="20"/>
          <w:lang w:val="es-ES"/>
        </w:rPr>
        <w:tab/>
      </w:r>
      <w:r w:rsidRPr="001D7FD9">
        <w:rPr>
          <w:rFonts w:ascii="Arial" w:eastAsia="Tahoma" w:hAnsi="Arial" w:cs="Arial"/>
          <w:bCs/>
          <w:sz w:val="20"/>
          <w:szCs w:val="20"/>
          <w:lang w:val="es-ES"/>
        </w:rPr>
        <w:tab/>
      </w:r>
      <w:r w:rsidRPr="001D7FD9">
        <w:rPr>
          <w:rFonts w:ascii="Arial" w:eastAsia="Tahoma" w:hAnsi="Arial" w:cs="Arial"/>
          <w:bCs/>
          <w:sz w:val="20"/>
          <w:szCs w:val="20"/>
          <w:lang w:val="es-ES"/>
        </w:rPr>
        <w:tab/>
        <w:t>Ineficacia de afiliación</w:t>
      </w:r>
    </w:p>
    <w:p w14:paraId="775B0B7F"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p>
    <w:p w14:paraId="7AD4F80D"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p>
    <w:p w14:paraId="573D00BC" w14:textId="77777777" w:rsidR="001D7FD9" w:rsidRPr="001D7FD9" w:rsidRDefault="001D7FD9" w:rsidP="001D7FD9">
      <w:pPr>
        <w:spacing w:before="0" w:beforeAutospacing="0" w:after="0" w:afterAutospacing="0" w:line="240" w:lineRule="auto"/>
        <w:ind w:firstLine="0"/>
        <w:rPr>
          <w:rFonts w:ascii="Arial" w:eastAsia="Tahoma" w:hAnsi="Arial" w:cs="Arial"/>
          <w:bCs/>
          <w:sz w:val="20"/>
          <w:szCs w:val="20"/>
          <w:lang w:val="es-ES"/>
        </w:rPr>
      </w:pPr>
    </w:p>
    <w:p w14:paraId="5A52096E" w14:textId="77777777" w:rsidR="001D7FD9" w:rsidRPr="001D7FD9" w:rsidRDefault="001D7FD9" w:rsidP="001D7FD9">
      <w:pPr>
        <w:keepNext/>
        <w:spacing w:before="0" w:beforeAutospacing="0" w:after="0" w:afterAutospacing="0" w:line="312" w:lineRule="auto"/>
        <w:ind w:firstLine="0"/>
        <w:jc w:val="center"/>
        <w:outlineLvl w:val="2"/>
        <w:rPr>
          <w:rFonts w:ascii="Arial" w:eastAsia="Times New Roman" w:hAnsi="Arial" w:cs="Arial"/>
          <w:b/>
          <w:lang w:val="es-ES_tradnl" w:eastAsia="es-ES"/>
        </w:rPr>
      </w:pPr>
      <w:r w:rsidRPr="001D7FD9">
        <w:rPr>
          <w:rFonts w:ascii="Arial" w:eastAsia="Times New Roman" w:hAnsi="Arial" w:cs="Arial"/>
          <w:b/>
          <w:lang w:val="es-ES_tradnl" w:eastAsia="es-ES"/>
        </w:rPr>
        <w:t>TRIBUNAL SUPERIOR DEL DISTRITO JUDICIAL</w:t>
      </w:r>
    </w:p>
    <w:p w14:paraId="1840B8B3" w14:textId="77777777" w:rsidR="001D7FD9" w:rsidRPr="001D7FD9" w:rsidRDefault="001D7FD9" w:rsidP="001D7FD9">
      <w:pPr>
        <w:spacing w:before="0" w:beforeAutospacing="0" w:after="0" w:afterAutospacing="0" w:line="312" w:lineRule="auto"/>
        <w:ind w:firstLine="0"/>
        <w:jc w:val="center"/>
        <w:rPr>
          <w:rFonts w:ascii="Arial" w:eastAsia="Calibri" w:hAnsi="Arial" w:cs="Arial"/>
          <w:b/>
        </w:rPr>
      </w:pPr>
      <w:r w:rsidRPr="001D7FD9">
        <w:rPr>
          <w:rFonts w:ascii="Arial" w:eastAsia="Calibri" w:hAnsi="Arial" w:cs="Arial"/>
          <w:b/>
        </w:rPr>
        <w:t>SALA LABORAL</w:t>
      </w:r>
    </w:p>
    <w:p w14:paraId="05FA688C" w14:textId="77777777" w:rsidR="001D7FD9" w:rsidRPr="001D7FD9" w:rsidRDefault="001D7FD9" w:rsidP="001D7FD9">
      <w:pPr>
        <w:spacing w:before="0" w:beforeAutospacing="0" w:after="0" w:afterAutospacing="0" w:line="312" w:lineRule="auto"/>
        <w:ind w:firstLine="0"/>
        <w:jc w:val="center"/>
        <w:rPr>
          <w:rFonts w:ascii="Arial" w:eastAsia="Times New Roman" w:hAnsi="Arial" w:cs="Arial"/>
          <w:b/>
          <w:lang w:val="es-ES_tradnl" w:eastAsia="es-ES"/>
        </w:rPr>
      </w:pPr>
      <w:r w:rsidRPr="001D7FD9">
        <w:rPr>
          <w:rFonts w:ascii="Arial" w:eastAsia="Times New Roman" w:hAnsi="Arial" w:cs="Arial"/>
          <w:b/>
          <w:lang w:val="es-ES_tradnl" w:eastAsia="es-ES"/>
        </w:rPr>
        <w:t>MAGISTRADA: OLGA LUCIA HOYOS SEPÚLVEDA</w:t>
      </w:r>
    </w:p>
    <w:p w14:paraId="72897B34" w14:textId="77777777" w:rsidR="001D7FD9" w:rsidRPr="001D7FD9" w:rsidRDefault="001D7FD9" w:rsidP="001D7FD9">
      <w:pPr>
        <w:spacing w:before="0" w:beforeAutospacing="0" w:after="0" w:afterAutospacing="0" w:line="312" w:lineRule="auto"/>
        <w:ind w:firstLine="0"/>
        <w:jc w:val="left"/>
        <w:rPr>
          <w:rFonts w:ascii="Arial" w:eastAsia="Times New Roman" w:hAnsi="Arial" w:cs="Arial"/>
          <w:b/>
          <w:lang w:val="es-ES_tradnl" w:eastAsia="es-ES"/>
        </w:rPr>
      </w:pPr>
    </w:p>
    <w:p w14:paraId="1F486A83" w14:textId="77777777" w:rsidR="001D7FD9" w:rsidRPr="001D7FD9" w:rsidRDefault="001D7FD9" w:rsidP="001D7FD9">
      <w:pPr>
        <w:spacing w:before="0" w:beforeAutospacing="0" w:after="0" w:afterAutospacing="0" w:line="312" w:lineRule="auto"/>
        <w:ind w:firstLine="0"/>
        <w:jc w:val="left"/>
        <w:textAlignment w:val="baseline"/>
        <w:rPr>
          <w:rFonts w:ascii="Arial" w:eastAsia="Times New Roman" w:hAnsi="Arial" w:cs="Arial"/>
          <w:lang w:val="es-ES_tradnl" w:eastAsia="es-CO"/>
        </w:rPr>
      </w:pPr>
    </w:p>
    <w:p w14:paraId="382AD75E" w14:textId="77777777" w:rsidR="001D7FD9" w:rsidRPr="001D7FD9" w:rsidRDefault="001D7FD9" w:rsidP="001D7FD9">
      <w:pPr>
        <w:spacing w:before="0" w:beforeAutospacing="0" w:after="0" w:afterAutospacing="0" w:line="312" w:lineRule="auto"/>
        <w:ind w:firstLine="0"/>
        <w:jc w:val="center"/>
        <w:textAlignment w:val="baseline"/>
        <w:rPr>
          <w:rFonts w:ascii="Arial" w:eastAsia="Times New Roman" w:hAnsi="Arial" w:cs="Arial"/>
          <w:lang w:eastAsia="es-CO"/>
        </w:rPr>
      </w:pPr>
      <w:r w:rsidRPr="001D7FD9">
        <w:rPr>
          <w:rFonts w:ascii="Arial" w:eastAsia="Times New Roman" w:hAnsi="Arial" w:cs="Arial"/>
          <w:b/>
          <w:bCs/>
          <w:u w:val="single"/>
          <w:lang w:val="es-ES" w:eastAsia="es-CO"/>
        </w:rPr>
        <w:t>ACLARACIÓN DE VOTO</w:t>
      </w:r>
    </w:p>
    <w:p w14:paraId="5E94F854" w14:textId="77777777" w:rsidR="001D7FD9" w:rsidRPr="001D7FD9" w:rsidRDefault="001D7FD9" w:rsidP="001D7FD9">
      <w:pPr>
        <w:shd w:val="clear" w:color="auto" w:fill="FFFFFF"/>
        <w:spacing w:before="0" w:beforeAutospacing="0" w:after="0" w:afterAutospacing="0" w:line="312" w:lineRule="auto"/>
        <w:ind w:firstLine="0"/>
        <w:jc w:val="left"/>
        <w:textAlignment w:val="baseline"/>
        <w:rPr>
          <w:rFonts w:ascii="Arial" w:eastAsia="Times New Roman" w:hAnsi="Arial" w:cs="Arial"/>
          <w:color w:val="000000"/>
          <w:lang w:eastAsia="es-CO"/>
        </w:rPr>
      </w:pPr>
    </w:p>
    <w:p w14:paraId="14079DCA" w14:textId="77777777" w:rsidR="001D7FD9" w:rsidRPr="001D7FD9" w:rsidRDefault="001D7FD9" w:rsidP="001D7FD9">
      <w:pPr>
        <w:shd w:val="clear" w:color="auto" w:fill="FFFFFF"/>
        <w:spacing w:before="0" w:beforeAutospacing="0" w:after="0" w:afterAutospacing="0" w:line="312" w:lineRule="auto"/>
        <w:ind w:firstLine="0"/>
        <w:jc w:val="left"/>
        <w:textAlignment w:val="baseline"/>
        <w:rPr>
          <w:rFonts w:ascii="Arial" w:eastAsia="Times New Roman" w:hAnsi="Arial" w:cs="Arial"/>
          <w:lang w:eastAsia="es-CO"/>
        </w:rPr>
      </w:pPr>
    </w:p>
    <w:p w14:paraId="033CF7BF"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 xml:space="preserve">Como es conocido por la sala que integro y únicamente con ocasión a la sentencia de tutela de primer grado emitida por la Sala Laboral de la Corte Suprema de Justicia </w:t>
      </w:r>
      <w:proofErr w:type="spellStart"/>
      <w:r w:rsidRPr="001D7FD9">
        <w:rPr>
          <w:rFonts w:ascii="Arial" w:eastAsia="Times New Roman" w:hAnsi="Arial" w:cs="Arial"/>
          <w:lang w:val="es-ES" w:eastAsia="es-CO"/>
        </w:rPr>
        <w:t>STL4759</w:t>
      </w:r>
      <w:proofErr w:type="spellEnd"/>
      <w:r w:rsidRPr="001D7FD9">
        <w:rPr>
          <w:rFonts w:ascii="Arial" w:eastAsia="Times New Roman" w:hAnsi="Arial" w:cs="Arial"/>
          <w:lang w:val="es-ES" w:eastAsia="es-CO"/>
        </w:rPr>
        <w:t xml:space="preserve">-2020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w:t>
      </w:r>
      <w:proofErr w:type="spellStart"/>
      <w:r w:rsidRPr="001D7FD9">
        <w:rPr>
          <w:rFonts w:ascii="Arial" w:eastAsia="Times New Roman" w:hAnsi="Arial" w:cs="Arial"/>
          <w:lang w:val="es-ES" w:eastAsia="es-CO"/>
        </w:rPr>
        <w:t>RAIS</w:t>
      </w:r>
      <w:proofErr w:type="spellEnd"/>
      <w:r w:rsidRPr="001D7FD9">
        <w:rPr>
          <w:rFonts w:ascii="Arial" w:eastAsia="Times New Roman" w:hAnsi="Arial" w:cs="Arial"/>
          <w:lang w:val="es-ES" w:eastAsia="es-CO"/>
        </w:rPr>
        <w:t>, y debido al grado jurisdiccional de consulta a favor de Colpensiones, se han adicionado, en algunos casos, las decisiones de primer grado para adecuar la devolución de dineros que la AFP debe realizar a Colpensiones.</w:t>
      </w:r>
      <w:r w:rsidRPr="001D7FD9">
        <w:rPr>
          <w:rFonts w:ascii="Arial" w:eastAsia="Times New Roman" w:hAnsi="Arial" w:cs="Arial"/>
          <w:lang w:eastAsia="es-CO"/>
        </w:rPr>
        <w:t>   </w:t>
      </w:r>
    </w:p>
    <w:p w14:paraId="54F9180D"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eastAsia="es-CO"/>
        </w:rPr>
        <w:t>   </w:t>
      </w:r>
    </w:p>
    <w:p w14:paraId="731C975E"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r w:rsidRPr="001D7FD9">
        <w:rPr>
          <w:rFonts w:ascii="Arial" w:eastAsia="Times New Roman" w:hAnsi="Arial" w:cs="Arial"/>
          <w:lang w:eastAsia="es-CO"/>
        </w:rPr>
        <w:t>   </w:t>
      </w:r>
    </w:p>
    <w:p w14:paraId="2AE7F087" w14:textId="77777777" w:rsidR="001D7FD9" w:rsidRPr="001D7FD9" w:rsidRDefault="001D7FD9" w:rsidP="001D7FD9">
      <w:pPr>
        <w:spacing w:before="0" w:beforeAutospacing="0" w:after="0" w:afterAutospacing="0" w:line="312" w:lineRule="auto"/>
        <w:ind w:firstLine="0"/>
        <w:jc w:val="left"/>
        <w:textAlignment w:val="baseline"/>
        <w:rPr>
          <w:rFonts w:ascii="Arial" w:eastAsia="Times New Roman" w:hAnsi="Arial" w:cs="Arial"/>
          <w:lang w:eastAsia="es-CO"/>
        </w:rPr>
      </w:pPr>
      <w:r w:rsidRPr="001D7FD9">
        <w:rPr>
          <w:rFonts w:ascii="Arial" w:eastAsia="Times New Roman" w:hAnsi="Arial" w:cs="Arial"/>
          <w:lang w:eastAsia="es-CO"/>
        </w:rPr>
        <w:t>   </w:t>
      </w:r>
    </w:p>
    <w:p w14:paraId="1F033CCB"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w:t>
      </w:r>
      <w:r w:rsidRPr="001D7FD9">
        <w:rPr>
          <w:rFonts w:ascii="Arial" w:eastAsia="Times New Roman" w:hAnsi="Arial" w:cs="Arial"/>
          <w:lang w:val="es-ES" w:eastAsia="es-CO"/>
        </w:rPr>
        <w:lastRenderedPageBreak/>
        <w:t>calidad, como la única persona que puede infringir o coartar los derechos de libre escogencia del trabajador afiliado. </w:t>
      </w:r>
      <w:r w:rsidRPr="001D7FD9">
        <w:rPr>
          <w:rFonts w:ascii="Arial" w:eastAsia="Times New Roman" w:hAnsi="Arial" w:cs="Arial"/>
          <w:lang w:eastAsia="es-CO"/>
        </w:rPr>
        <w:t>   </w:t>
      </w:r>
    </w:p>
    <w:p w14:paraId="5A3FF1BD" w14:textId="77777777" w:rsidR="001D7FD9" w:rsidRPr="001D7FD9" w:rsidRDefault="001D7FD9" w:rsidP="001D7FD9">
      <w:pPr>
        <w:spacing w:before="0" w:beforeAutospacing="0" w:after="0" w:afterAutospacing="0" w:line="312" w:lineRule="auto"/>
        <w:ind w:left="720" w:firstLine="0"/>
        <w:textAlignment w:val="baseline"/>
        <w:rPr>
          <w:rFonts w:ascii="Arial" w:eastAsia="Times New Roman" w:hAnsi="Arial" w:cs="Arial"/>
          <w:lang w:eastAsia="es-CO"/>
        </w:rPr>
      </w:pPr>
      <w:r w:rsidRPr="001D7FD9">
        <w:rPr>
          <w:rFonts w:ascii="Arial" w:eastAsia="Times New Roman" w:hAnsi="Arial" w:cs="Arial"/>
          <w:lang w:val="es-ES" w:eastAsia="es-CO"/>
        </w:rPr>
        <w:t> </w:t>
      </w:r>
      <w:r w:rsidRPr="001D7FD9">
        <w:rPr>
          <w:rFonts w:ascii="Arial" w:eastAsia="Times New Roman" w:hAnsi="Arial" w:cs="Arial"/>
          <w:lang w:eastAsia="es-CO"/>
        </w:rPr>
        <w:t>   </w:t>
      </w:r>
    </w:p>
    <w:p w14:paraId="6229D020"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w:t>
      </w:r>
      <w:proofErr w:type="spellStart"/>
      <w:r w:rsidRPr="001D7FD9">
        <w:rPr>
          <w:rFonts w:ascii="Arial" w:eastAsia="Times New Roman" w:hAnsi="Arial" w:cs="Arial"/>
          <w:lang w:val="es-ES" w:eastAsia="es-CO"/>
        </w:rPr>
        <w:t>C.Po</w:t>
      </w:r>
      <w:proofErr w:type="spellEnd"/>
      <w:r w:rsidRPr="001D7FD9">
        <w:rPr>
          <w:rFonts w:ascii="Arial" w:eastAsia="Times New Roman" w:hAnsi="Arial" w:cs="Arial"/>
          <w:lang w:val="es-ES" w:eastAsia="es-CO"/>
        </w:rPr>
        <w:t>. – y la apertura económica que acaecía para la época, a través de la cual se permitió a particulares prestar servicios públicos; por lo que, resultaba desacertado interpretar que el legislador en el literal b) del artículo 13 y 271 de la Ley 100/93 cuando se refiere al empleador o cualquier persona natural o jurídica, incluyó </w:t>
      </w:r>
      <w:r w:rsidRPr="001D7FD9">
        <w:rPr>
          <w:rFonts w:ascii="Arial" w:eastAsia="Times New Roman" w:hAnsi="Arial" w:cs="Arial"/>
          <w:b/>
          <w:bCs/>
          <w:lang w:val="es-ES" w:eastAsia="es-CO"/>
        </w:rPr>
        <w:t>tácitamente</w:t>
      </w:r>
      <w:r w:rsidRPr="001D7FD9">
        <w:rPr>
          <w:rFonts w:ascii="Arial" w:eastAsia="Times New Roman" w:hAnsi="Arial" w:cs="Arial"/>
          <w:lang w:val="es-ES" w:eastAsia="es-CO"/>
        </w:rPr>
        <w:t> a la AFP, pues de haber querido regular su comportamiento, explícitamente lo hubiera incluido como infractor de tal norma, pero no lo hizo.  </w:t>
      </w:r>
      <w:r w:rsidRPr="001D7FD9">
        <w:rPr>
          <w:rFonts w:ascii="Arial" w:eastAsia="Times New Roman" w:hAnsi="Arial" w:cs="Arial"/>
          <w:lang w:eastAsia="es-CO"/>
        </w:rPr>
        <w:t>   </w:t>
      </w:r>
    </w:p>
    <w:p w14:paraId="79224E1D"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eastAsia="es-CO"/>
        </w:rPr>
        <w:t>   </w:t>
      </w:r>
    </w:p>
    <w:p w14:paraId="341B9D5B"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w:t>
      </w:r>
      <w:bookmarkStart w:id="10" w:name="_GoBack"/>
      <w:bookmarkEnd w:id="10"/>
      <w:r w:rsidRPr="001D7FD9">
        <w:rPr>
          <w:rFonts w:ascii="Arial" w:eastAsia="Times New Roman" w:hAnsi="Arial" w:cs="Arial"/>
          <w:lang w:val="es-ES" w:eastAsia="es-CO"/>
        </w:rPr>
        <w:t> </w:t>
      </w:r>
      <w:r w:rsidRPr="001D7FD9">
        <w:rPr>
          <w:rFonts w:ascii="Arial" w:eastAsia="Times New Roman" w:hAnsi="Arial" w:cs="Arial"/>
          <w:lang w:eastAsia="es-CO"/>
        </w:rPr>
        <w:t>   </w:t>
      </w:r>
    </w:p>
    <w:p w14:paraId="2270786A" w14:textId="77777777" w:rsidR="001D7FD9" w:rsidRPr="001D7FD9" w:rsidRDefault="001D7FD9" w:rsidP="001D7FD9">
      <w:pPr>
        <w:spacing w:before="0" w:beforeAutospacing="0" w:after="0" w:afterAutospacing="0" w:line="312" w:lineRule="auto"/>
        <w:ind w:left="720" w:firstLine="0"/>
        <w:jc w:val="left"/>
        <w:textAlignment w:val="baseline"/>
        <w:rPr>
          <w:rFonts w:ascii="Arial" w:eastAsia="Times New Roman" w:hAnsi="Arial" w:cs="Arial"/>
          <w:lang w:eastAsia="es-CO"/>
        </w:rPr>
      </w:pPr>
      <w:r w:rsidRPr="001D7FD9">
        <w:rPr>
          <w:rFonts w:ascii="Arial" w:eastAsia="Times New Roman" w:hAnsi="Arial" w:cs="Arial"/>
          <w:lang w:val="es-ES" w:eastAsia="es-CO"/>
        </w:rPr>
        <w:t> </w:t>
      </w:r>
      <w:r w:rsidRPr="001D7FD9">
        <w:rPr>
          <w:rFonts w:ascii="Arial" w:eastAsia="Times New Roman" w:hAnsi="Arial" w:cs="Arial"/>
          <w:lang w:eastAsia="es-CO"/>
        </w:rPr>
        <w:t>   </w:t>
      </w:r>
    </w:p>
    <w:p w14:paraId="4FC83181"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r w:rsidRPr="001D7FD9">
        <w:rPr>
          <w:rFonts w:ascii="Arial" w:eastAsia="Times New Roman" w:hAnsi="Arial" w:cs="Arial"/>
          <w:lang w:eastAsia="es-CO"/>
        </w:rPr>
        <w:t>   </w:t>
      </w:r>
    </w:p>
    <w:p w14:paraId="4E200824" w14:textId="77777777" w:rsidR="001D7FD9" w:rsidRPr="001D7FD9" w:rsidRDefault="001D7FD9" w:rsidP="001D7FD9">
      <w:pPr>
        <w:spacing w:before="0" w:beforeAutospacing="0" w:after="0" w:afterAutospacing="0" w:line="312" w:lineRule="auto"/>
        <w:ind w:left="720" w:firstLine="0"/>
        <w:jc w:val="left"/>
        <w:textAlignment w:val="baseline"/>
        <w:rPr>
          <w:rFonts w:ascii="Arial" w:eastAsia="Times New Roman" w:hAnsi="Arial" w:cs="Arial"/>
          <w:lang w:eastAsia="es-CO"/>
        </w:rPr>
      </w:pPr>
      <w:r w:rsidRPr="001D7FD9">
        <w:rPr>
          <w:rFonts w:ascii="Arial" w:eastAsia="Times New Roman" w:hAnsi="Arial" w:cs="Arial"/>
          <w:lang w:val="es-ES" w:eastAsia="es-CO"/>
        </w:rPr>
        <w:t> </w:t>
      </w:r>
      <w:r w:rsidRPr="001D7FD9">
        <w:rPr>
          <w:rFonts w:ascii="Arial" w:eastAsia="Times New Roman" w:hAnsi="Arial" w:cs="Arial"/>
          <w:lang w:eastAsia="es-CO"/>
        </w:rPr>
        <w:t>   </w:t>
      </w:r>
    </w:p>
    <w:p w14:paraId="3DE52498"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El precedente o doctrina probable de la Sala Laboral de la Corte Suprema de Justicia trasgrede la cláusula constitucional 90 y los artículos 2341 y 2343 del Código Civil, porque </w:t>
      </w:r>
      <w:r w:rsidRPr="001D7FD9">
        <w:rPr>
          <w:rFonts w:ascii="Arial" w:eastAsia="Times New Roman" w:hAnsi="Arial" w:cs="Arial"/>
          <w:i/>
          <w:iCs/>
          <w:lang w:val="es-ES" w:eastAsia="es-CO"/>
        </w:rPr>
        <w:t>“el Estado únicamente responderá patrimonialmente por los daños antijurídicos que le sean imputables, causados por la acción o la omisión de las autoridades públicas”,</w:t>
      </w:r>
      <w:r w:rsidRPr="001D7FD9">
        <w:rPr>
          <w:rFonts w:ascii="Arial" w:eastAsia="Times New Roman" w:hAnsi="Arial" w:cs="Arial"/>
          <w:lang w:val="es-ES" w:eastAsia="es-CO"/>
        </w:rPr>
        <w:t>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r w:rsidRPr="001D7FD9">
        <w:rPr>
          <w:rFonts w:ascii="Arial" w:eastAsia="Times New Roman" w:hAnsi="Arial" w:cs="Arial"/>
          <w:lang w:eastAsia="es-CO"/>
        </w:rPr>
        <w:t>   </w:t>
      </w:r>
    </w:p>
    <w:p w14:paraId="1AB9BB0E"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 </w:t>
      </w:r>
      <w:r w:rsidRPr="001D7FD9">
        <w:rPr>
          <w:rFonts w:ascii="Arial" w:eastAsia="Times New Roman" w:hAnsi="Arial" w:cs="Arial"/>
          <w:lang w:eastAsia="es-CO"/>
        </w:rPr>
        <w:t>   </w:t>
      </w:r>
    </w:p>
    <w:p w14:paraId="6249C7C6"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r w:rsidRPr="001D7FD9">
        <w:rPr>
          <w:rFonts w:ascii="Arial" w:eastAsia="Times New Roman" w:hAnsi="Arial" w:cs="Arial"/>
          <w:lang w:eastAsia="es-CO"/>
        </w:rPr>
        <w:t>   </w:t>
      </w:r>
    </w:p>
    <w:p w14:paraId="4381DFE8"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eastAsia="es-CO"/>
        </w:rPr>
        <w:t>   </w:t>
      </w:r>
    </w:p>
    <w:p w14:paraId="68778D1D"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lastRenderedPageBreak/>
        <w:t xml:space="preserve">En conclusión, considero que otro es el camino que debe abrirse para efectos de resolver los procesos tendientes a obtener la ineficacia de afiliación al </w:t>
      </w:r>
      <w:proofErr w:type="spellStart"/>
      <w:r w:rsidRPr="001D7FD9">
        <w:rPr>
          <w:rFonts w:ascii="Arial" w:eastAsia="Times New Roman" w:hAnsi="Arial" w:cs="Arial"/>
          <w:lang w:val="es-ES" w:eastAsia="es-CO"/>
        </w:rPr>
        <w:t>RAIS</w:t>
      </w:r>
      <w:proofErr w:type="spellEnd"/>
      <w:r w:rsidRPr="001D7FD9">
        <w:rPr>
          <w:rFonts w:ascii="Arial" w:eastAsia="Times New Roman" w:hAnsi="Arial" w:cs="Arial"/>
          <w:lang w:val="es-ES" w:eastAsia="es-CO"/>
        </w:rPr>
        <w:t xml:space="preserve"> y por ello, válido es memorar la aclaración de voto realizada por el Magistrado de la Sala Laboral de la Corte Suprema de Justicia, </w:t>
      </w:r>
      <w:r w:rsidRPr="001D7FD9">
        <w:rPr>
          <w:rFonts w:ascii="Arial" w:eastAsia="Times New Roman" w:hAnsi="Arial" w:cs="Arial"/>
          <w:b/>
          <w:bCs/>
          <w:lang w:val="es-ES" w:eastAsia="es-CO"/>
        </w:rPr>
        <w:t>LUIS BENEDICTO HERRERA DÍAZ, </w:t>
      </w:r>
      <w:r w:rsidRPr="001D7FD9">
        <w:rPr>
          <w:rFonts w:ascii="Arial" w:eastAsia="Times New Roman" w:hAnsi="Arial" w:cs="Arial"/>
          <w:lang w:val="es-ES" w:eastAsia="es-CO"/>
        </w:rPr>
        <w:t xml:space="preserve">dentro del proceso No. 57458, </w:t>
      </w:r>
      <w:r w:rsidRPr="001D7FD9">
        <w:rPr>
          <w:rFonts w:ascii="Arial" w:eastAsia="Times New Roman" w:hAnsi="Arial" w:cs="Arial"/>
          <w:color w:val="000000"/>
          <w:lang w:val="es-ES" w:eastAsia="es-CO"/>
        </w:rPr>
        <w:t>que resulta atemporal y en ese sentido pertinente para discurrir sobre el principio de independencia judicial en relación a cualquier asunto bajo análisis,</w:t>
      </w:r>
      <w:r w:rsidRPr="001D7FD9">
        <w:rPr>
          <w:rFonts w:ascii="Arial" w:eastAsia="Times New Roman" w:hAnsi="Arial" w:cs="Arial"/>
          <w:lang w:val="es-ES" w:eastAsia="es-CO"/>
        </w:rPr>
        <w:t xml:space="preserve">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respuesta a esta clase de asuntos.</w:t>
      </w:r>
      <w:r w:rsidRPr="001D7FD9">
        <w:rPr>
          <w:rFonts w:ascii="Arial" w:eastAsia="Times New Roman" w:hAnsi="Arial" w:cs="Arial"/>
          <w:lang w:eastAsia="es-CO"/>
        </w:rPr>
        <w:t> </w:t>
      </w:r>
    </w:p>
    <w:p w14:paraId="4D6D7677" w14:textId="77777777" w:rsidR="001D7FD9" w:rsidRPr="001D7FD9" w:rsidRDefault="001D7FD9" w:rsidP="001D7FD9">
      <w:pPr>
        <w:shd w:val="clear" w:color="auto" w:fill="FFFFFF"/>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eastAsia="es-CO"/>
        </w:rPr>
        <w:t> </w:t>
      </w:r>
    </w:p>
    <w:p w14:paraId="7B668067"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lang w:val="es-ES" w:eastAsia="es-CO"/>
        </w:rPr>
        <w:t>En estos términos aclaro mi voto,</w:t>
      </w:r>
      <w:r w:rsidRPr="001D7FD9">
        <w:rPr>
          <w:rFonts w:ascii="Arial" w:eastAsia="Times New Roman" w:hAnsi="Arial" w:cs="Arial"/>
          <w:lang w:eastAsia="es-CO"/>
        </w:rPr>
        <w:t>   </w:t>
      </w:r>
    </w:p>
    <w:p w14:paraId="2658F312"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p>
    <w:p w14:paraId="3D71B28F"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p>
    <w:p w14:paraId="4DDBFA8E"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p>
    <w:p w14:paraId="0B27F4ED"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p>
    <w:p w14:paraId="16EBEBB0"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p>
    <w:p w14:paraId="73BD6C44" w14:textId="77777777"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b/>
          <w:bCs/>
          <w:lang w:val="es-ES" w:eastAsia="es-CO"/>
        </w:rPr>
        <w:t>OLGA LUCÍA HOYOS SEPÚLVEDA</w:t>
      </w:r>
      <w:r w:rsidRPr="001D7FD9">
        <w:rPr>
          <w:rFonts w:ascii="Arial" w:eastAsia="Times New Roman" w:hAnsi="Arial" w:cs="Arial"/>
          <w:lang w:eastAsia="es-CO"/>
        </w:rPr>
        <w:t>   </w:t>
      </w:r>
    </w:p>
    <w:p w14:paraId="1662EC44" w14:textId="3271211D" w:rsidR="001D7FD9" w:rsidRPr="001D7FD9" w:rsidRDefault="001D7FD9" w:rsidP="001D7FD9">
      <w:pPr>
        <w:spacing w:before="0" w:beforeAutospacing="0" w:after="0" w:afterAutospacing="0" w:line="312" w:lineRule="auto"/>
        <w:ind w:firstLine="0"/>
        <w:textAlignment w:val="baseline"/>
        <w:rPr>
          <w:rFonts w:ascii="Arial" w:eastAsia="Times New Roman" w:hAnsi="Arial" w:cs="Arial"/>
          <w:lang w:eastAsia="es-CO"/>
        </w:rPr>
      </w:pPr>
      <w:r w:rsidRPr="001D7FD9">
        <w:rPr>
          <w:rFonts w:ascii="Arial" w:eastAsia="Times New Roman" w:hAnsi="Arial" w:cs="Arial"/>
          <w:bCs/>
          <w:lang w:val="es-ES" w:eastAsia="es-CO"/>
        </w:rPr>
        <w:t>Magistrada</w:t>
      </w:r>
    </w:p>
    <w:sectPr w:rsidR="001D7FD9" w:rsidRPr="001D7FD9" w:rsidSect="00DF4955">
      <w:headerReference w:type="default" r:id="rId11"/>
      <w:footerReference w:type="default" r:id="rId12"/>
      <w:headerReference w:type="firs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2E3225" w16cex:dateUtc="2023-10-18T13:58:15.361Z"/>
  <w16cex:commentExtensible w16cex:durableId="11955522" w16cex:dateUtc="2023-10-19T20:39:20.668Z"/>
</w16cex:commentsExtensible>
</file>

<file path=word/commentsIds.xml><?xml version="1.0" encoding="utf-8"?>
<w16cid:commentsIds xmlns:mc="http://schemas.openxmlformats.org/markup-compatibility/2006" xmlns:w16cid="http://schemas.microsoft.com/office/word/2016/wordml/cid" mc:Ignorable="w16cid">
  <w16cid:commentId w16cid:paraId="6E9B91FE" w16cid:durableId="0E2E3225"/>
  <w16cid:commentId w16cid:paraId="306109D4" w16cid:durableId="119555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6224B" w14:textId="77777777" w:rsidR="00C450E6" w:rsidRDefault="00C450E6" w:rsidP="00B351EF">
      <w:pPr>
        <w:spacing w:before="0" w:after="0" w:line="240" w:lineRule="auto"/>
      </w:pPr>
      <w:r>
        <w:separator/>
      </w:r>
    </w:p>
  </w:endnote>
  <w:endnote w:type="continuationSeparator" w:id="0">
    <w:p w14:paraId="5AE40052" w14:textId="77777777" w:rsidR="00C450E6" w:rsidRDefault="00C450E6" w:rsidP="00B351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63503"/>
      <w:docPartObj>
        <w:docPartGallery w:val="Page Numbers (Bottom of Page)"/>
        <w:docPartUnique/>
      </w:docPartObj>
    </w:sdtPr>
    <w:sdtEndPr>
      <w:rPr>
        <w:rFonts w:ascii="Arial" w:hAnsi="Arial" w:cs="Arial"/>
        <w:color w:val="000000"/>
        <w:sz w:val="18"/>
        <w:szCs w:val="18"/>
      </w:rPr>
    </w:sdtEndPr>
    <w:sdtContent>
      <w:p w14:paraId="609AE54F" w14:textId="4BD430B3" w:rsidR="007506FF" w:rsidRPr="002A176F" w:rsidRDefault="007506FF" w:rsidP="002A176F">
        <w:pPr>
          <w:pStyle w:val="Piedepgina"/>
          <w:spacing w:afterAutospacing="0"/>
          <w:jc w:val="right"/>
          <w:rPr>
            <w:rFonts w:ascii="Arial" w:hAnsi="Arial" w:cs="Arial"/>
            <w:color w:val="000000"/>
            <w:sz w:val="18"/>
            <w:szCs w:val="18"/>
          </w:rPr>
        </w:pPr>
        <w:r w:rsidRPr="002A176F">
          <w:rPr>
            <w:rFonts w:ascii="Arial" w:hAnsi="Arial" w:cs="Arial"/>
            <w:color w:val="000000"/>
            <w:sz w:val="18"/>
            <w:szCs w:val="18"/>
          </w:rPr>
          <w:fldChar w:fldCharType="begin"/>
        </w:r>
        <w:r w:rsidRPr="002A176F">
          <w:rPr>
            <w:rFonts w:ascii="Arial" w:hAnsi="Arial" w:cs="Arial"/>
            <w:color w:val="000000"/>
            <w:sz w:val="18"/>
            <w:szCs w:val="18"/>
          </w:rPr>
          <w:instrText>PAGE   \* MERGEFORMAT</w:instrText>
        </w:r>
        <w:r w:rsidRPr="002A176F">
          <w:rPr>
            <w:rFonts w:ascii="Arial" w:hAnsi="Arial" w:cs="Arial"/>
            <w:color w:val="000000"/>
            <w:sz w:val="18"/>
            <w:szCs w:val="18"/>
          </w:rPr>
          <w:fldChar w:fldCharType="separate"/>
        </w:r>
        <w:r w:rsidR="004A5273">
          <w:rPr>
            <w:rFonts w:ascii="Arial" w:hAnsi="Arial" w:cs="Arial"/>
            <w:noProof/>
            <w:color w:val="000000"/>
            <w:sz w:val="18"/>
            <w:szCs w:val="18"/>
          </w:rPr>
          <w:t>22</w:t>
        </w:r>
        <w:r w:rsidRPr="002A176F">
          <w:rPr>
            <w:rFonts w:ascii="Arial" w:hAnsi="Arial" w:cs="Arial"/>
            <w:color w:val="000000"/>
            <w:sz w:val="18"/>
            <w:szCs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2BEC2B79" w14:paraId="2C91FC2F" w14:textId="77777777" w:rsidTr="2BEC2B79">
      <w:trPr>
        <w:trHeight w:val="300"/>
      </w:trPr>
      <w:tc>
        <w:tcPr>
          <w:tcW w:w="2945" w:type="dxa"/>
        </w:tcPr>
        <w:p w14:paraId="45060EC1" w14:textId="47D3975C" w:rsidR="2BEC2B79" w:rsidRDefault="2BEC2B79" w:rsidP="2BEC2B79">
          <w:pPr>
            <w:pStyle w:val="Encabezado"/>
            <w:ind w:left="-115"/>
            <w:jc w:val="left"/>
          </w:pPr>
        </w:p>
      </w:tc>
      <w:tc>
        <w:tcPr>
          <w:tcW w:w="2945" w:type="dxa"/>
        </w:tcPr>
        <w:p w14:paraId="69BAF052" w14:textId="082AA3CE" w:rsidR="2BEC2B79" w:rsidRDefault="2BEC2B79" w:rsidP="2BEC2B79">
          <w:pPr>
            <w:pStyle w:val="Encabezado"/>
            <w:jc w:val="center"/>
          </w:pPr>
        </w:p>
      </w:tc>
      <w:tc>
        <w:tcPr>
          <w:tcW w:w="2945" w:type="dxa"/>
        </w:tcPr>
        <w:p w14:paraId="3D867B49" w14:textId="3DAE9224" w:rsidR="2BEC2B79" w:rsidRDefault="2BEC2B79" w:rsidP="2BEC2B79">
          <w:pPr>
            <w:pStyle w:val="Encabezado"/>
            <w:ind w:right="-115"/>
            <w:jc w:val="right"/>
          </w:pPr>
        </w:p>
      </w:tc>
    </w:tr>
  </w:tbl>
  <w:p w14:paraId="495AEBDA" w14:textId="648B7662" w:rsidR="2BEC2B79" w:rsidRDefault="2BEC2B79" w:rsidP="2BEC2B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86AF1" w14:textId="77777777" w:rsidR="00C450E6" w:rsidRDefault="00C450E6" w:rsidP="00B351EF">
      <w:pPr>
        <w:spacing w:before="0" w:after="0" w:line="240" w:lineRule="auto"/>
      </w:pPr>
      <w:r>
        <w:separator/>
      </w:r>
    </w:p>
  </w:footnote>
  <w:footnote w:type="continuationSeparator" w:id="0">
    <w:p w14:paraId="4EF029A7" w14:textId="77777777" w:rsidR="00C450E6" w:rsidRDefault="00C450E6" w:rsidP="00B351EF">
      <w:pPr>
        <w:spacing w:before="0" w:after="0" w:line="240" w:lineRule="auto"/>
      </w:pPr>
      <w:r>
        <w:continuationSeparator/>
      </w:r>
    </w:p>
  </w:footnote>
  <w:footnote w:id="1">
    <w:p w14:paraId="0A3BB55E" w14:textId="77777777" w:rsidR="007506FF" w:rsidRPr="0096593D" w:rsidRDefault="007506FF" w:rsidP="0096593D">
      <w:pPr>
        <w:pStyle w:val="Textonotapie"/>
        <w:ind w:firstLine="0"/>
        <w:rPr>
          <w:rFonts w:ascii="Arial" w:hAnsi="Arial" w:cs="Arial"/>
          <w:sz w:val="18"/>
          <w:szCs w:val="18"/>
        </w:rPr>
      </w:pPr>
      <w:r w:rsidRPr="0096593D">
        <w:rPr>
          <w:rStyle w:val="Refdenotaalpie"/>
          <w:rFonts w:ascii="Arial" w:hAnsi="Arial" w:cs="Arial"/>
          <w:sz w:val="18"/>
          <w:szCs w:val="18"/>
        </w:rPr>
        <w:footnoteRef/>
      </w:r>
      <w:r w:rsidRPr="0096593D">
        <w:rPr>
          <w:rFonts w:ascii="Arial" w:hAnsi="Arial" w:cs="Arial"/>
          <w:sz w:val="18"/>
          <w:szCs w:val="18"/>
        </w:rPr>
        <w:t xml:space="preserve"> Título tomado de la sentencia del 8 de mayo de </w:t>
      </w:r>
      <w:proofErr w:type="spellStart"/>
      <w:r w:rsidRPr="0096593D">
        <w:rPr>
          <w:rFonts w:ascii="Arial" w:hAnsi="Arial" w:cs="Arial"/>
          <w:sz w:val="18"/>
          <w:szCs w:val="18"/>
        </w:rPr>
        <w:t>2019SL</w:t>
      </w:r>
      <w:proofErr w:type="spellEnd"/>
      <w:r w:rsidRPr="0096593D">
        <w:rPr>
          <w:rFonts w:ascii="Arial" w:hAnsi="Arial" w:cs="Arial"/>
          <w:sz w:val="18"/>
          <w:szCs w:val="18"/>
        </w:rPr>
        <w:t xml:space="preserve"> 1688-2019, Radicado 68838, con Ponencia de la Dra. Clara Cecilia Dueñas Quevedo</w:t>
      </w:r>
    </w:p>
  </w:footnote>
  <w:footnote w:id="2">
    <w:p w14:paraId="2FA984B5" w14:textId="77777777" w:rsidR="007506FF" w:rsidRPr="0096593D" w:rsidRDefault="007506FF" w:rsidP="0096593D">
      <w:pPr>
        <w:pStyle w:val="Textonotapie"/>
        <w:ind w:firstLine="0"/>
        <w:rPr>
          <w:rFonts w:ascii="Arial" w:hAnsi="Arial" w:cs="Arial"/>
          <w:sz w:val="18"/>
          <w:szCs w:val="18"/>
        </w:rPr>
      </w:pPr>
      <w:r w:rsidRPr="0096593D">
        <w:rPr>
          <w:rStyle w:val="Refdenotaalpie"/>
          <w:rFonts w:ascii="Arial" w:hAnsi="Arial" w:cs="Arial"/>
          <w:sz w:val="18"/>
          <w:szCs w:val="18"/>
        </w:rPr>
        <w:footnoteRef/>
      </w:r>
      <w:r w:rsidRPr="0096593D">
        <w:rPr>
          <w:rFonts w:ascii="Arial" w:hAnsi="Arial" w:cs="Arial"/>
          <w:sz w:val="18"/>
          <w:szCs w:val="18"/>
        </w:rPr>
        <w:t xml:space="preserve"> Estatuto Orgánico del Sistema Financiero </w:t>
      </w:r>
    </w:p>
  </w:footnote>
  <w:footnote w:id="3">
    <w:p w14:paraId="40BD249C" w14:textId="77777777" w:rsidR="0091540D" w:rsidRPr="00DB4FF5" w:rsidRDefault="0091540D" w:rsidP="0091540D">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w:t>
      </w:r>
      <w:proofErr w:type="spellStart"/>
      <w:r w:rsidRPr="00DB4FF5">
        <w:rPr>
          <w:rFonts w:ascii="Arial" w:hAnsi="Arial" w:cs="Arial"/>
          <w:sz w:val="18"/>
          <w:szCs w:val="18"/>
        </w:rPr>
        <w:t>2019SL</w:t>
      </w:r>
      <w:proofErr w:type="spellEnd"/>
      <w:r w:rsidRPr="00DB4FF5">
        <w:rPr>
          <w:rFonts w:ascii="Arial" w:hAnsi="Arial" w:cs="Arial"/>
          <w:sz w:val="18"/>
          <w:szCs w:val="18"/>
        </w:rPr>
        <w:t xml:space="preserve"> 1688-2019, Radicado 68838, con Ponencia de la Dra. Clara Cecilia Dueñas Quevedo</w:t>
      </w:r>
    </w:p>
  </w:footnote>
  <w:footnote w:id="4">
    <w:p w14:paraId="18754AC0" w14:textId="77777777" w:rsidR="007638B7" w:rsidRPr="003110F0" w:rsidRDefault="007638B7" w:rsidP="007638B7">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w:t>
      </w:r>
      <w:proofErr w:type="spellStart"/>
      <w:r w:rsidRPr="003110F0">
        <w:rPr>
          <w:rFonts w:ascii="Arial" w:hAnsi="Arial" w:cs="Arial"/>
          <w:sz w:val="18"/>
          <w:szCs w:val="18"/>
        </w:rPr>
        <w:t>SL5688</w:t>
      </w:r>
      <w:proofErr w:type="spellEnd"/>
      <w:r w:rsidRPr="003110F0">
        <w:rPr>
          <w:rFonts w:ascii="Arial" w:hAnsi="Arial" w:cs="Arial"/>
          <w:sz w:val="18"/>
          <w:szCs w:val="18"/>
        </w:rPr>
        <w:t xml:space="preserve"> de 2021, rad. 83576 del 6 de octubre de 2021. </w:t>
      </w:r>
      <w:proofErr w:type="spellStart"/>
      <w:r w:rsidRPr="003110F0">
        <w:rPr>
          <w:rFonts w:ascii="Arial" w:hAnsi="Arial" w:cs="Arial"/>
          <w:sz w:val="18"/>
          <w:szCs w:val="18"/>
        </w:rPr>
        <w:t>M.P</w:t>
      </w:r>
      <w:proofErr w:type="spellEnd"/>
      <w:r w:rsidRPr="003110F0">
        <w:rPr>
          <w:rFonts w:ascii="Arial" w:hAnsi="Arial" w:cs="Arial"/>
          <w:sz w:val="18"/>
          <w:szCs w:val="18"/>
        </w:rPr>
        <w:t xml:space="preserve">. Iván Mauricio </w:t>
      </w:r>
      <w:proofErr w:type="spellStart"/>
      <w:r w:rsidRPr="003110F0">
        <w:rPr>
          <w:rFonts w:ascii="Arial" w:hAnsi="Arial" w:cs="Arial"/>
          <w:sz w:val="18"/>
          <w:szCs w:val="18"/>
        </w:rPr>
        <w:t>Lenis</w:t>
      </w:r>
      <w:proofErr w:type="spellEnd"/>
      <w:r w:rsidRPr="003110F0">
        <w:rPr>
          <w:rFonts w:ascii="Arial" w:hAnsi="Arial" w:cs="Arial"/>
          <w:sz w:val="18"/>
          <w:szCs w:val="18"/>
        </w:rPr>
        <w:t xml:space="preserve"> Gómez.</w:t>
      </w:r>
    </w:p>
  </w:footnote>
  <w:footnote w:id="5">
    <w:p w14:paraId="66C16EB4" w14:textId="77777777" w:rsidR="007638B7" w:rsidRPr="003110F0" w:rsidRDefault="007638B7" w:rsidP="007638B7">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 xml:space="preserve">Corte Suprema de Justicia- Sala Laboral, sentencia </w:t>
      </w:r>
      <w:proofErr w:type="spellStart"/>
      <w:r w:rsidRPr="003110F0">
        <w:rPr>
          <w:rFonts w:ascii="Arial" w:hAnsi="Arial" w:cs="Arial"/>
          <w:sz w:val="18"/>
          <w:szCs w:val="18"/>
          <w:lang w:val="es-CO"/>
        </w:rPr>
        <w:t>SL5686</w:t>
      </w:r>
      <w:proofErr w:type="spellEnd"/>
      <w:r w:rsidRPr="003110F0">
        <w:rPr>
          <w:rFonts w:ascii="Arial" w:hAnsi="Arial" w:cs="Arial"/>
          <w:sz w:val="18"/>
          <w:szCs w:val="18"/>
          <w:lang w:val="es-CO"/>
        </w:rPr>
        <w:t xml:space="preserve"> de 2021, rad. 82139 del 6 de octubre de 2021. </w:t>
      </w:r>
      <w:proofErr w:type="spellStart"/>
      <w:r w:rsidRPr="003110F0">
        <w:rPr>
          <w:rFonts w:ascii="Arial" w:hAnsi="Arial" w:cs="Arial"/>
          <w:sz w:val="18"/>
          <w:szCs w:val="18"/>
          <w:lang w:val="es-CO"/>
        </w:rPr>
        <w:t>M.P</w:t>
      </w:r>
      <w:proofErr w:type="spellEnd"/>
      <w:r w:rsidRPr="003110F0">
        <w:rPr>
          <w:rFonts w:ascii="Arial" w:hAnsi="Arial" w:cs="Arial"/>
          <w:sz w:val="18"/>
          <w:szCs w:val="18"/>
          <w:lang w:val="es-CO"/>
        </w:rPr>
        <w:t xml:space="preserve">. Iván Mauricio </w:t>
      </w:r>
      <w:proofErr w:type="spellStart"/>
      <w:r w:rsidRPr="003110F0">
        <w:rPr>
          <w:rFonts w:ascii="Arial" w:hAnsi="Arial" w:cs="Arial"/>
          <w:sz w:val="18"/>
          <w:szCs w:val="18"/>
          <w:lang w:val="es-CO"/>
        </w:rPr>
        <w:t>Lenis</w:t>
      </w:r>
      <w:proofErr w:type="spellEnd"/>
      <w:r w:rsidRPr="003110F0">
        <w:rPr>
          <w:rFonts w:ascii="Arial" w:hAnsi="Arial" w:cs="Arial"/>
          <w:sz w:val="18"/>
          <w:szCs w:val="18"/>
          <w:lang w:val="es-CO"/>
        </w:rPr>
        <w:t xml:space="preserve"> Gómez.</w:t>
      </w:r>
    </w:p>
  </w:footnote>
  <w:footnote w:id="6">
    <w:p w14:paraId="25C0F01F" w14:textId="77777777" w:rsidR="007638B7" w:rsidRPr="003110F0" w:rsidRDefault="007638B7" w:rsidP="007638B7">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 xml:space="preserve">Corte Suprema de Justicia- Sala Laboral, sentencia </w:t>
      </w:r>
      <w:proofErr w:type="spellStart"/>
      <w:r w:rsidRPr="003110F0">
        <w:rPr>
          <w:rFonts w:ascii="Arial" w:hAnsi="Arial" w:cs="Arial"/>
          <w:sz w:val="18"/>
          <w:szCs w:val="18"/>
          <w:lang w:val="es-CO"/>
        </w:rPr>
        <w:t>SL1926</w:t>
      </w:r>
      <w:proofErr w:type="spellEnd"/>
      <w:r w:rsidRPr="003110F0">
        <w:rPr>
          <w:rFonts w:ascii="Arial" w:hAnsi="Arial" w:cs="Arial"/>
          <w:sz w:val="18"/>
          <w:szCs w:val="18"/>
          <w:lang w:val="es-CO"/>
        </w:rPr>
        <w:t xml:space="preserve"> de 2022, rad. 89920 del 27 de abril de 2022. </w:t>
      </w:r>
      <w:proofErr w:type="spellStart"/>
      <w:r w:rsidRPr="003110F0">
        <w:rPr>
          <w:rFonts w:ascii="Arial" w:hAnsi="Arial" w:cs="Arial"/>
          <w:sz w:val="18"/>
          <w:szCs w:val="18"/>
          <w:lang w:val="es-CO"/>
        </w:rPr>
        <w:t>M.P</w:t>
      </w:r>
      <w:proofErr w:type="spellEnd"/>
      <w:r w:rsidRPr="003110F0">
        <w:rPr>
          <w:rFonts w:ascii="Arial" w:hAnsi="Arial" w:cs="Arial"/>
          <w:sz w:val="18"/>
          <w:szCs w:val="18"/>
          <w:lang w:val="es-CO"/>
        </w:rPr>
        <w:t>. Omar Ángel Mejía Amador.</w:t>
      </w:r>
    </w:p>
  </w:footnote>
  <w:footnote w:id="7">
    <w:p w14:paraId="75C88AFB" w14:textId="77777777" w:rsidR="007638B7" w:rsidRPr="003110F0" w:rsidRDefault="007638B7" w:rsidP="007638B7">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 xml:space="preserve">Corte Suprema de Justicia- Sala Laboral, sentencia </w:t>
      </w:r>
      <w:proofErr w:type="spellStart"/>
      <w:r w:rsidRPr="003110F0">
        <w:rPr>
          <w:rFonts w:ascii="Arial" w:hAnsi="Arial" w:cs="Arial"/>
          <w:sz w:val="18"/>
          <w:szCs w:val="18"/>
          <w:lang w:val="es-CO"/>
        </w:rPr>
        <w:t>SL1055</w:t>
      </w:r>
      <w:proofErr w:type="spellEnd"/>
      <w:r w:rsidRPr="003110F0">
        <w:rPr>
          <w:rFonts w:ascii="Arial" w:hAnsi="Arial" w:cs="Arial"/>
          <w:sz w:val="18"/>
          <w:szCs w:val="18"/>
          <w:lang w:val="es-CO"/>
        </w:rPr>
        <w:t xml:space="preserve"> de 2022, rad. 87911 del 2 de marzo de 2022. </w:t>
      </w:r>
      <w:proofErr w:type="spellStart"/>
      <w:r w:rsidRPr="003110F0">
        <w:rPr>
          <w:rFonts w:ascii="Arial" w:hAnsi="Arial" w:cs="Arial"/>
          <w:sz w:val="18"/>
          <w:szCs w:val="18"/>
          <w:lang w:val="es-CO"/>
        </w:rPr>
        <w:t>M.P</w:t>
      </w:r>
      <w:proofErr w:type="spellEnd"/>
      <w:r w:rsidRPr="003110F0">
        <w:rPr>
          <w:rFonts w:ascii="Arial" w:hAnsi="Arial" w:cs="Arial"/>
          <w:sz w:val="18"/>
          <w:szCs w:val="18"/>
          <w:lang w:val="es-CO"/>
        </w:rPr>
        <w:t xml:space="preserve">. Iván Mauricio </w:t>
      </w:r>
      <w:proofErr w:type="spellStart"/>
      <w:r w:rsidRPr="003110F0">
        <w:rPr>
          <w:rFonts w:ascii="Arial" w:hAnsi="Arial" w:cs="Arial"/>
          <w:sz w:val="18"/>
          <w:szCs w:val="18"/>
          <w:lang w:val="es-CO"/>
        </w:rPr>
        <w:t>Lenis</w:t>
      </w:r>
      <w:proofErr w:type="spellEnd"/>
      <w:r w:rsidRPr="003110F0">
        <w:rPr>
          <w:rFonts w:ascii="Arial" w:hAnsi="Arial" w:cs="Arial"/>
          <w:sz w:val="18"/>
          <w:szCs w:val="18"/>
          <w:lang w:val="es-CO"/>
        </w:rPr>
        <w:t xml:space="preserve"> Gómez.</w:t>
      </w:r>
    </w:p>
  </w:footnote>
  <w:footnote w:id="8">
    <w:p w14:paraId="2988C874" w14:textId="77777777" w:rsidR="007638B7" w:rsidRPr="003110F0" w:rsidRDefault="007638B7" w:rsidP="007638B7">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w:t>
      </w:r>
      <w:proofErr w:type="spellStart"/>
      <w:r w:rsidRPr="003110F0">
        <w:rPr>
          <w:rFonts w:ascii="Arial" w:hAnsi="Arial" w:cs="Arial"/>
          <w:sz w:val="18"/>
          <w:szCs w:val="18"/>
        </w:rPr>
        <w:t>SL</w:t>
      </w:r>
      <w:proofErr w:type="spellEnd"/>
      <w:r w:rsidRPr="003110F0">
        <w:rPr>
          <w:rFonts w:ascii="Arial" w:hAnsi="Arial" w:cs="Arial"/>
          <w:sz w:val="18"/>
          <w:szCs w:val="18"/>
        </w:rPr>
        <w:t xml:space="preserve"> 1618-2022, radicado 87821 del 4 de mayo de 2022, </w:t>
      </w:r>
      <w:proofErr w:type="spellStart"/>
      <w:r w:rsidRPr="003110F0">
        <w:rPr>
          <w:rFonts w:ascii="Arial" w:hAnsi="Arial" w:cs="Arial"/>
          <w:sz w:val="18"/>
          <w:szCs w:val="18"/>
        </w:rPr>
        <w:t>M.P</w:t>
      </w:r>
      <w:proofErr w:type="spellEnd"/>
      <w:r w:rsidRPr="003110F0">
        <w:rPr>
          <w:rFonts w:ascii="Arial" w:hAnsi="Arial" w:cs="Arial"/>
          <w:sz w:val="18"/>
          <w:szCs w:val="18"/>
        </w:rPr>
        <w:t>. Gerardo Botero Zuluaga.</w:t>
      </w:r>
    </w:p>
  </w:footnote>
  <w:footnote w:id="9">
    <w:p w14:paraId="19CC5ED5" w14:textId="77777777" w:rsidR="001B705F" w:rsidRPr="00DB4FF5" w:rsidRDefault="001B705F" w:rsidP="001B705F">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Ibídem</w:t>
      </w:r>
    </w:p>
  </w:footnote>
  <w:footnote w:id="10">
    <w:p w14:paraId="63C2B55B" w14:textId="029B9C6A" w:rsidR="00A35500" w:rsidRPr="0096593D" w:rsidRDefault="00A35500" w:rsidP="002A176F">
      <w:pPr>
        <w:pStyle w:val="Textonotapie"/>
        <w:ind w:firstLine="0"/>
        <w:rPr>
          <w:rFonts w:ascii="Arial" w:hAnsi="Arial" w:cs="Arial"/>
          <w:sz w:val="18"/>
          <w:szCs w:val="18"/>
        </w:rPr>
      </w:pPr>
      <w:r w:rsidRPr="0096593D">
        <w:rPr>
          <w:rStyle w:val="Refdenotaalpie"/>
          <w:rFonts w:ascii="Arial" w:hAnsi="Arial" w:cs="Arial"/>
          <w:sz w:val="18"/>
          <w:szCs w:val="18"/>
        </w:rPr>
        <w:footnoteRef/>
      </w:r>
      <w:r w:rsidRPr="0096593D">
        <w:rPr>
          <w:rFonts w:ascii="Arial" w:hAnsi="Arial" w:cs="Arial"/>
          <w:sz w:val="18"/>
          <w:szCs w:val="18"/>
        </w:rPr>
        <w:t xml:space="preserve"> Archivo </w:t>
      </w:r>
      <w:r w:rsidR="00CB369B" w:rsidRPr="0096593D">
        <w:rPr>
          <w:rFonts w:ascii="Arial" w:hAnsi="Arial" w:cs="Arial"/>
          <w:sz w:val="18"/>
          <w:szCs w:val="18"/>
        </w:rPr>
        <w:t>31</w:t>
      </w:r>
      <w:r w:rsidRPr="0096593D">
        <w:rPr>
          <w:rFonts w:ascii="Arial" w:hAnsi="Arial" w:cs="Arial"/>
          <w:sz w:val="18"/>
          <w:szCs w:val="18"/>
        </w:rPr>
        <w:t>, página</w:t>
      </w:r>
      <w:r w:rsidR="00CB369B" w:rsidRPr="0096593D">
        <w:rPr>
          <w:rFonts w:ascii="Arial" w:hAnsi="Arial" w:cs="Arial"/>
          <w:sz w:val="18"/>
          <w:szCs w:val="18"/>
        </w:rPr>
        <w:t xml:space="preserve"> 8</w:t>
      </w:r>
      <w:r w:rsidRPr="0096593D">
        <w:rPr>
          <w:rFonts w:ascii="Arial" w:hAnsi="Arial" w:cs="Arial"/>
          <w:sz w:val="18"/>
          <w:szCs w:val="18"/>
        </w:rPr>
        <w:t xml:space="preserve"> cuaderno de primera instancia</w:t>
      </w:r>
    </w:p>
  </w:footnote>
  <w:footnote w:id="11">
    <w:p w14:paraId="093893DB" w14:textId="65332FF8" w:rsidR="002A0B6A" w:rsidRDefault="002A0B6A" w:rsidP="002A176F">
      <w:pPr>
        <w:pStyle w:val="Textonotapie"/>
        <w:ind w:firstLine="0"/>
      </w:pPr>
      <w:r w:rsidRPr="0096593D">
        <w:rPr>
          <w:rFonts w:ascii="Arial" w:hAnsi="Arial" w:cs="Arial"/>
          <w:sz w:val="18"/>
          <w:szCs w:val="18"/>
        </w:rPr>
        <w:footnoteRef/>
      </w:r>
      <w:r w:rsidRPr="0096593D">
        <w:rPr>
          <w:rFonts w:ascii="Arial" w:hAnsi="Arial" w:cs="Arial"/>
          <w:sz w:val="18"/>
          <w:szCs w:val="18"/>
        </w:rPr>
        <w:t xml:space="preserve"> Artículo </w:t>
      </w:r>
      <w:r w:rsidR="00CB369B" w:rsidRPr="0096593D">
        <w:rPr>
          <w:rFonts w:ascii="Arial" w:hAnsi="Arial" w:cs="Arial"/>
          <w:sz w:val="18"/>
          <w:szCs w:val="18"/>
        </w:rPr>
        <w:t>31</w:t>
      </w:r>
      <w:r w:rsidRPr="0096593D">
        <w:rPr>
          <w:rFonts w:ascii="Arial" w:hAnsi="Arial" w:cs="Arial"/>
          <w:sz w:val="18"/>
          <w:szCs w:val="18"/>
        </w:rPr>
        <w:t xml:space="preserve">, página </w:t>
      </w:r>
      <w:r w:rsidR="00CB369B" w:rsidRPr="0096593D">
        <w:rPr>
          <w:rFonts w:ascii="Arial" w:hAnsi="Arial" w:cs="Arial"/>
          <w:sz w:val="18"/>
          <w:szCs w:val="18"/>
        </w:rPr>
        <w:t>15</w:t>
      </w:r>
      <w:r w:rsidRPr="0096593D">
        <w:rPr>
          <w:rFonts w:ascii="Arial" w:hAnsi="Arial" w:cs="Arial"/>
          <w:sz w:val="18"/>
          <w:szCs w:val="18"/>
        </w:rPr>
        <w:t xml:space="preserve">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1CB1" w14:textId="77777777" w:rsidR="00AB32BE" w:rsidRPr="002A176F" w:rsidRDefault="00AB32BE" w:rsidP="002A176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2A176F">
      <w:rPr>
        <w:rFonts w:ascii="Arial" w:hAnsi="Arial" w:cs="Arial"/>
        <w:color w:val="000000"/>
        <w:sz w:val="18"/>
        <w:szCs w:val="18"/>
      </w:rPr>
      <w:t>Radicación No.</w:t>
    </w:r>
    <w:r w:rsidRPr="002A176F">
      <w:rPr>
        <w:rFonts w:ascii="Arial" w:hAnsi="Arial" w:cs="Arial"/>
        <w:color w:val="000000"/>
        <w:sz w:val="18"/>
        <w:szCs w:val="18"/>
      </w:rPr>
      <w:tab/>
    </w:r>
    <w:r w:rsidRPr="002A176F">
      <w:rPr>
        <w:rFonts w:ascii="Arial" w:hAnsi="Arial" w:cs="Arial"/>
        <w:color w:val="000000"/>
        <w:sz w:val="18"/>
        <w:szCs w:val="18"/>
      </w:rPr>
      <w:tab/>
      <w:t>66001-31-05-002-2021-00077-01</w:t>
    </w:r>
  </w:p>
  <w:p w14:paraId="776EEC3E" w14:textId="77777777" w:rsidR="00AB32BE" w:rsidRPr="002A176F" w:rsidRDefault="00AB32BE" w:rsidP="002A176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2A176F">
      <w:rPr>
        <w:rFonts w:ascii="Arial" w:hAnsi="Arial" w:cs="Arial"/>
        <w:color w:val="000000"/>
        <w:sz w:val="18"/>
        <w:szCs w:val="18"/>
      </w:rPr>
      <w:t>Demandante:</w:t>
    </w:r>
    <w:r w:rsidRPr="002A176F">
      <w:rPr>
        <w:rFonts w:ascii="Arial" w:hAnsi="Arial" w:cs="Arial"/>
        <w:color w:val="000000"/>
        <w:sz w:val="18"/>
        <w:szCs w:val="18"/>
      </w:rPr>
      <w:tab/>
    </w:r>
    <w:r w:rsidRPr="002A176F">
      <w:rPr>
        <w:rFonts w:ascii="Arial" w:hAnsi="Arial" w:cs="Arial"/>
        <w:color w:val="000000"/>
        <w:sz w:val="18"/>
        <w:szCs w:val="18"/>
      </w:rPr>
      <w:tab/>
      <w:t>Rosalba Vargas</w:t>
    </w:r>
  </w:p>
  <w:p w14:paraId="1404D566" w14:textId="69467804" w:rsidR="007A76AD" w:rsidRPr="002A176F" w:rsidRDefault="00AB32BE" w:rsidP="002A176F">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18"/>
        <w:szCs w:val="18"/>
      </w:rPr>
    </w:pPr>
    <w:r w:rsidRPr="002A176F">
      <w:rPr>
        <w:rFonts w:ascii="Arial" w:hAnsi="Arial" w:cs="Arial"/>
        <w:color w:val="000000"/>
        <w:sz w:val="18"/>
        <w:szCs w:val="18"/>
      </w:rPr>
      <w:t>Demandados:</w:t>
    </w:r>
    <w:r w:rsidRPr="002A176F">
      <w:rPr>
        <w:rFonts w:ascii="Arial" w:hAnsi="Arial" w:cs="Arial"/>
        <w:color w:val="000000"/>
        <w:sz w:val="18"/>
        <w:szCs w:val="18"/>
      </w:rPr>
      <w:tab/>
    </w:r>
    <w:r w:rsidRPr="002A176F">
      <w:rPr>
        <w:rFonts w:ascii="Arial" w:hAnsi="Arial" w:cs="Arial"/>
        <w:color w:val="000000"/>
        <w:sz w:val="18"/>
        <w:szCs w:val="18"/>
      </w:rPr>
      <w:tab/>
      <w:t>Colpensiones y Porvenir 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2BEC2B79" w14:paraId="159217BA" w14:textId="77777777" w:rsidTr="2BEC2B79">
      <w:trPr>
        <w:trHeight w:val="300"/>
      </w:trPr>
      <w:tc>
        <w:tcPr>
          <w:tcW w:w="2945" w:type="dxa"/>
        </w:tcPr>
        <w:p w14:paraId="073780C9" w14:textId="6E719BF9" w:rsidR="2BEC2B79" w:rsidRDefault="2BEC2B79" w:rsidP="2BEC2B79">
          <w:pPr>
            <w:pStyle w:val="Encabezado"/>
            <w:ind w:left="-115"/>
            <w:jc w:val="left"/>
          </w:pPr>
        </w:p>
      </w:tc>
      <w:tc>
        <w:tcPr>
          <w:tcW w:w="2945" w:type="dxa"/>
        </w:tcPr>
        <w:p w14:paraId="3C7B5339" w14:textId="44C67E6C" w:rsidR="2BEC2B79" w:rsidRDefault="2BEC2B79" w:rsidP="2BEC2B79">
          <w:pPr>
            <w:pStyle w:val="Encabezado"/>
            <w:jc w:val="center"/>
          </w:pPr>
        </w:p>
      </w:tc>
      <w:tc>
        <w:tcPr>
          <w:tcW w:w="2945" w:type="dxa"/>
        </w:tcPr>
        <w:p w14:paraId="79566565" w14:textId="1B51FBDC" w:rsidR="2BEC2B79" w:rsidRDefault="2BEC2B79" w:rsidP="2BEC2B79">
          <w:pPr>
            <w:pStyle w:val="Encabezado"/>
            <w:ind w:right="-115"/>
            <w:jc w:val="right"/>
          </w:pPr>
        </w:p>
      </w:tc>
    </w:tr>
  </w:tbl>
  <w:p w14:paraId="499F454A" w14:textId="32E1BC1B" w:rsidR="2BEC2B79" w:rsidRDefault="2BEC2B79" w:rsidP="2BEC2B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762"/>
    <w:multiLevelType w:val="multilevel"/>
    <w:tmpl w:val="E824716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CE3BB1"/>
    <w:multiLevelType w:val="hybridMultilevel"/>
    <w:tmpl w:val="9AA2BAFA"/>
    <w:lvl w:ilvl="0" w:tplc="330C9AB4">
      <w:start w:val="1"/>
      <w:numFmt w:val="decimal"/>
      <w:lvlText w:val="%1."/>
      <w:lvlJc w:val="left"/>
      <w:pPr>
        <w:ind w:left="5039" w:hanging="360"/>
      </w:pPr>
      <w:rPr>
        <w:rFonts w:hint="default"/>
      </w:rPr>
    </w:lvl>
    <w:lvl w:ilvl="1" w:tplc="240A0019" w:tentative="1">
      <w:start w:val="1"/>
      <w:numFmt w:val="lowerLetter"/>
      <w:lvlText w:val="%2."/>
      <w:lvlJc w:val="left"/>
      <w:pPr>
        <w:ind w:left="5759" w:hanging="360"/>
      </w:pPr>
    </w:lvl>
    <w:lvl w:ilvl="2" w:tplc="240A001B" w:tentative="1">
      <w:start w:val="1"/>
      <w:numFmt w:val="lowerRoman"/>
      <w:lvlText w:val="%3."/>
      <w:lvlJc w:val="right"/>
      <w:pPr>
        <w:ind w:left="6479" w:hanging="180"/>
      </w:pPr>
    </w:lvl>
    <w:lvl w:ilvl="3" w:tplc="240A000F" w:tentative="1">
      <w:start w:val="1"/>
      <w:numFmt w:val="decimal"/>
      <w:lvlText w:val="%4."/>
      <w:lvlJc w:val="left"/>
      <w:pPr>
        <w:ind w:left="7199" w:hanging="360"/>
      </w:pPr>
    </w:lvl>
    <w:lvl w:ilvl="4" w:tplc="240A0019" w:tentative="1">
      <w:start w:val="1"/>
      <w:numFmt w:val="lowerLetter"/>
      <w:lvlText w:val="%5."/>
      <w:lvlJc w:val="left"/>
      <w:pPr>
        <w:ind w:left="7919" w:hanging="360"/>
      </w:pPr>
    </w:lvl>
    <w:lvl w:ilvl="5" w:tplc="240A001B" w:tentative="1">
      <w:start w:val="1"/>
      <w:numFmt w:val="lowerRoman"/>
      <w:lvlText w:val="%6."/>
      <w:lvlJc w:val="right"/>
      <w:pPr>
        <w:ind w:left="8639" w:hanging="180"/>
      </w:pPr>
    </w:lvl>
    <w:lvl w:ilvl="6" w:tplc="240A000F" w:tentative="1">
      <w:start w:val="1"/>
      <w:numFmt w:val="decimal"/>
      <w:lvlText w:val="%7."/>
      <w:lvlJc w:val="left"/>
      <w:pPr>
        <w:ind w:left="9359" w:hanging="360"/>
      </w:pPr>
    </w:lvl>
    <w:lvl w:ilvl="7" w:tplc="240A0019" w:tentative="1">
      <w:start w:val="1"/>
      <w:numFmt w:val="lowerLetter"/>
      <w:lvlText w:val="%8."/>
      <w:lvlJc w:val="left"/>
      <w:pPr>
        <w:ind w:left="10079" w:hanging="360"/>
      </w:pPr>
    </w:lvl>
    <w:lvl w:ilvl="8" w:tplc="240A001B" w:tentative="1">
      <w:start w:val="1"/>
      <w:numFmt w:val="lowerRoman"/>
      <w:lvlText w:val="%9."/>
      <w:lvlJc w:val="right"/>
      <w:pPr>
        <w:ind w:left="10799" w:hanging="180"/>
      </w:pPr>
    </w:lvl>
  </w:abstractNum>
  <w:abstractNum w:abstractNumId="2" w15:restartNumberingAfterBreak="0">
    <w:nsid w:val="1D7C46F9"/>
    <w:multiLevelType w:val="hybridMultilevel"/>
    <w:tmpl w:val="82EC3A2E"/>
    <w:lvl w:ilvl="0" w:tplc="1C74D80C">
      <w:start w:val="1"/>
      <w:numFmt w:val="lowerRoman"/>
      <w:lvlText w:val="%1."/>
      <w:lvlJc w:val="right"/>
      <w:pPr>
        <w:ind w:left="720" w:hanging="360"/>
      </w:pPr>
      <w:rPr>
        <w:rFonts w:ascii="Tahoma" w:hAnsi="Tahoma" w:cs="Tahom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1F1F2C"/>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4"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B52701"/>
    <w:multiLevelType w:val="hybridMultilevel"/>
    <w:tmpl w:val="F5B252BA"/>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6"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7" w15:restartNumberingAfterBreak="0">
    <w:nsid w:val="385A0DF8"/>
    <w:multiLevelType w:val="hybridMultilevel"/>
    <w:tmpl w:val="4C1C5E82"/>
    <w:lvl w:ilvl="0" w:tplc="2398CE7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4856F60"/>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505E5EF4"/>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1" w15:restartNumberingAfterBreak="0">
    <w:nsid w:val="589F160B"/>
    <w:multiLevelType w:val="multilevel"/>
    <w:tmpl w:val="CE8C4D6E"/>
    <w:lvl w:ilvl="0">
      <w:start w:val="6"/>
      <w:numFmt w:val="decimal"/>
      <w:lvlText w:val="%1"/>
      <w:lvlJc w:val="left"/>
      <w:pPr>
        <w:ind w:left="375" w:hanging="375"/>
      </w:pPr>
      <w:rPr>
        <w:rFonts w:hint="default"/>
        <w:b/>
      </w:rPr>
    </w:lvl>
    <w:lvl w:ilvl="1">
      <w:start w:val="3"/>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7156" w:hanging="144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2163" w:hanging="2160"/>
      </w:pPr>
      <w:rPr>
        <w:rFonts w:hint="default"/>
        <w:b/>
      </w:rPr>
    </w:lvl>
    <w:lvl w:ilvl="8">
      <w:start w:val="1"/>
      <w:numFmt w:val="decimal"/>
      <w:lvlText w:val="%1.%2.%3.%4.%5.%6.%7.%8.%9"/>
      <w:lvlJc w:val="left"/>
      <w:pPr>
        <w:ind w:left="13592" w:hanging="2160"/>
      </w:pPr>
      <w:rPr>
        <w:rFonts w:hint="default"/>
        <w:b/>
      </w:rPr>
    </w:lvl>
  </w:abstractNum>
  <w:abstractNum w:abstractNumId="12" w15:restartNumberingAfterBreak="0">
    <w:nsid w:val="628714D7"/>
    <w:multiLevelType w:val="multilevel"/>
    <w:tmpl w:val="53A8CA2C"/>
    <w:lvl w:ilvl="0">
      <w:start w:val="6"/>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 w15:restartNumberingAfterBreak="0">
    <w:nsid w:val="695A7D21"/>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4"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5" w15:restartNumberingAfterBreak="0">
    <w:nsid w:val="725D3037"/>
    <w:multiLevelType w:val="hybridMultilevel"/>
    <w:tmpl w:val="D212A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6E02F01"/>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9"/>
  </w:num>
  <w:num w:numId="2">
    <w:abstractNumId w:val="7"/>
  </w:num>
  <w:num w:numId="3">
    <w:abstractNumId w:val="5"/>
  </w:num>
  <w:num w:numId="4">
    <w:abstractNumId w:val="15"/>
  </w:num>
  <w:num w:numId="5">
    <w:abstractNumId w:val="9"/>
  </w:num>
  <w:num w:numId="6">
    <w:abstractNumId w:val="6"/>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13"/>
  </w:num>
  <w:num w:numId="11">
    <w:abstractNumId w:val="0"/>
  </w:num>
  <w:num w:numId="12">
    <w:abstractNumId w:val="12"/>
  </w:num>
  <w:num w:numId="13">
    <w:abstractNumId w:val="11"/>
  </w:num>
  <w:num w:numId="14">
    <w:abstractNumId w:val="3"/>
  </w:num>
  <w:num w:numId="15">
    <w:abstractNumId w:val="2"/>
  </w:num>
  <w:num w:numId="16">
    <w:abstractNumId w:val="8"/>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36"/>
    <w:rsid w:val="000126F8"/>
    <w:rsid w:val="000234C6"/>
    <w:rsid w:val="00023A1A"/>
    <w:rsid w:val="000307BE"/>
    <w:rsid w:val="0003780F"/>
    <w:rsid w:val="00040893"/>
    <w:rsid w:val="00045E70"/>
    <w:rsid w:val="000470AD"/>
    <w:rsid w:val="00057595"/>
    <w:rsid w:val="00065AAC"/>
    <w:rsid w:val="000764A4"/>
    <w:rsid w:val="000833B2"/>
    <w:rsid w:val="000A42F1"/>
    <w:rsid w:val="000B1295"/>
    <w:rsid w:val="000C3BBD"/>
    <w:rsid w:val="000E1D42"/>
    <w:rsid w:val="00115B4E"/>
    <w:rsid w:val="00115B71"/>
    <w:rsid w:val="001164FF"/>
    <w:rsid w:val="00116887"/>
    <w:rsid w:val="0012357F"/>
    <w:rsid w:val="00132EC3"/>
    <w:rsid w:val="00144768"/>
    <w:rsid w:val="001552EB"/>
    <w:rsid w:val="00155777"/>
    <w:rsid w:val="00167007"/>
    <w:rsid w:val="0016776B"/>
    <w:rsid w:val="00174761"/>
    <w:rsid w:val="001815FB"/>
    <w:rsid w:val="00187086"/>
    <w:rsid w:val="001877A4"/>
    <w:rsid w:val="00196BDB"/>
    <w:rsid w:val="001A0967"/>
    <w:rsid w:val="001A65E1"/>
    <w:rsid w:val="001B705F"/>
    <w:rsid w:val="001C277B"/>
    <w:rsid w:val="001D76C5"/>
    <w:rsid w:val="001D7FD9"/>
    <w:rsid w:val="001E7991"/>
    <w:rsid w:val="001F0E3D"/>
    <w:rsid w:val="001F1CB7"/>
    <w:rsid w:val="001F405C"/>
    <w:rsid w:val="001F5408"/>
    <w:rsid w:val="002130AA"/>
    <w:rsid w:val="002401BD"/>
    <w:rsid w:val="0024577F"/>
    <w:rsid w:val="00247B19"/>
    <w:rsid w:val="00265BD6"/>
    <w:rsid w:val="00265E80"/>
    <w:rsid w:val="0027713B"/>
    <w:rsid w:val="002827CC"/>
    <w:rsid w:val="002937DA"/>
    <w:rsid w:val="0029670B"/>
    <w:rsid w:val="00296E3B"/>
    <w:rsid w:val="00297951"/>
    <w:rsid w:val="002A0B6A"/>
    <w:rsid w:val="002A176F"/>
    <w:rsid w:val="002B6C6A"/>
    <w:rsid w:val="002D36F0"/>
    <w:rsid w:val="002D4510"/>
    <w:rsid w:val="002E4ECA"/>
    <w:rsid w:val="002F0C42"/>
    <w:rsid w:val="00306740"/>
    <w:rsid w:val="003139EC"/>
    <w:rsid w:val="00316567"/>
    <w:rsid w:val="00321661"/>
    <w:rsid w:val="00352BB4"/>
    <w:rsid w:val="00352CC9"/>
    <w:rsid w:val="0035314C"/>
    <w:rsid w:val="00376E23"/>
    <w:rsid w:val="00381ED6"/>
    <w:rsid w:val="00392B51"/>
    <w:rsid w:val="003B6B3B"/>
    <w:rsid w:val="003C35F0"/>
    <w:rsid w:val="003E21CF"/>
    <w:rsid w:val="003E2FBA"/>
    <w:rsid w:val="003E4031"/>
    <w:rsid w:val="003E6E63"/>
    <w:rsid w:val="003E7051"/>
    <w:rsid w:val="003E7F40"/>
    <w:rsid w:val="00433E6C"/>
    <w:rsid w:val="00445D8B"/>
    <w:rsid w:val="004467C0"/>
    <w:rsid w:val="0045539F"/>
    <w:rsid w:val="00483D74"/>
    <w:rsid w:val="00491A36"/>
    <w:rsid w:val="00493898"/>
    <w:rsid w:val="00496FD8"/>
    <w:rsid w:val="004A5273"/>
    <w:rsid w:val="004B0129"/>
    <w:rsid w:val="004C0678"/>
    <w:rsid w:val="004E5C3F"/>
    <w:rsid w:val="004F4759"/>
    <w:rsid w:val="0050089A"/>
    <w:rsid w:val="0054271E"/>
    <w:rsid w:val="0057487F"/>
    <w:rsid w:val="00576019"/>
    <w:rsid w:val="00576E5B"/>
    <w:rsid w:val="00580B92"/>
    <w:rsid w:val="00581CDF"/>
    <w:rsid w:val="00587429"/>
    <w:rsid w:val="00594FA7"/>
    <w:rsid w:val="005A7392"/>
    <w:rsid w:val="005A78AF"/>
    <w:rsid w:val="005B7542"/>
    <w:rsid w:val="005C654D"/>
    <w:rsid w:val="005D72DC"/>
    <w:rsid w:val="005E4CFE"/>
    <w:rsid w:val="005E4FF6"/>
    <w:rsid w:val="00613429"/>
    <w:rsid w:val="006146A1"/>
    <w:rsid w:val="00621336"/>
    <w:rsid w:val="00632737"/>
    <w:rsid w:val="006430C8"/>
    <w:rsid w:val="00655DB4"/>
    <w:rsid w:val="006716F6"/>
    <w:rsid w:val="006721B6"/>
    <w:rsid w:val="00674D18"/>
    <w:rsid w:val="0067558F"/>
    <w:rsid w:val="0068082F"/>
    <w:rsid w:val="00681AFC"/>
    <w:rsid w:val="006849C5"/>
    <w:rsid w:val="00687562"/>
    <w:rsid w:val="00691EF6"/>
    <w:rsid w:val="00696B0D"/>
    <w:rsid w:val="006A2CFE"/>
    <w:rsid w:val="006B70EA"/>
    <w:rsid w:val="006C4021"/>
    <w:rsid w:val="006C4C98"/>
    <w:rsid w:val="006E2D8F"/>
    <w:rsid w:val="007010A5"/>
    <w:rsid w:val="007036B3"/>
    <w:rsid w:val="00711318"/>
    <w:rsid w:val="00713AB7"/>
    <w:rsid w:val="007165D1"/>
    <w:rsid w:val="007506FF"/>
    <w:rsid w:val="00756040"/>
    <w:rsid w:val="007638B7"/>
    <w:rsid w:val="0078486F"/>
    <w:rsid w:val="00785EE0"/>
    <w:rsid w:val="007A166D"/>
    <w:rsid w:val="007A76AD"/>
    <w:rsid w:val="007C6404"/>
    <w:rsid w:val="007D3A6E"/>
    <w:rsid w:val="007D6C4F"/>
    <w:rsid w:val="007D70E9"/>
    <w:rsid w:val="007D70F8"/>
    <w:rsid w:val="007E4512"/>
    <w:rsid w:val="007F2EEF"/>
    <w:rsid w:val="008115C7"/>
    <w:rsid w:val="0081188F"/>
    <w:rsid w:val="008142EF"/>
    <w:rsid w:val="00827B77"/>
    <w:rsid w:val="00845FD1"/>
    <w:rsid w:val="008522CE"/>
    <w:rsid w:val="00855BD0"/>
    <w:rsid w:val="00856A77"/>
    <w:rsid w:val="00856F6F"/>
    <w:rsid w:val="00857FA9"/>
    <w:rsid w:val="00860D25"/>
    <w:rsid w:val="008613E0"/>
    <w:rsid w:val="00864608"/>
    <w:rsid w:val="00885693"/>
    <w:rsid w:val="00891AD4"/>
    <w:rsid w:val="008965AD"/>
    <w:rsid w:val="00897B1B"/>
    <w:rsid w:val="008A7171"/>
    <w:rsid w:val="008B3B80"/>
    <w:rsid w:val="008C6F12"/>
    <w:rsid w:val="008D3839"/>
    <w:rsid w:val="008E19AB"/>
    <w:rsid w:val="008E2F9E"/>
    <w:rsid w:val="008F32FA"/>
    <w:rsid w:val="008F707A"/>
    <w:rsid w:val="0090192D"/>
    <w:rsid w:val="0091540D"/>
    <w:rsid w:val="00917FD3"/>
    <w:rsid w:val="00923D71"/>
    <w:rsid w:val="00924C56"/>
    <w:rsid w:val="009461B4"/>
    <w:rsid w:val="0096593D"/>
    <w:rsid w:val="00974BC0"/>
    <w:rsid w:val="00990B46"/>
    <w:rsid w:val="00992DEB"/>
    <w:rsid w:val="009A64F2"/>
    <w:rsid w:val="009A65F2"/>
    <w:rsid w:val="009A6DFD"/>
    <w:rsid w:val="009A7900"/>
    <w:rsid w:val="009B7456"/>
    <w:rsid w:val="009C12DC"/>
    <w:rsid w:val="009D3A3D"/>
    <w:rsid w:val="009D5123"/>
    <w:rsid w:val="009D6EF2"/>
    <w:rsid w:val="009E0737"/>
    <w:rsid w:val="009F6C29"/>
    <w:rsid w:val="009F7170"/>
    <w:rsid w:val="00A04176"/>
    <w:rsid w:val="00A05CFB"/>
    <w:rsid w:val="00A06942"/>
    <w:rsid w:val="00A100A9"/>
    <w:rsid w:val="00A2013A"/>
    <w:rsid w:val="00A24249"/>
    <w:rsid w:val="00A250DF"/>
    <w:rsid w:val="00A35500"/>
    <w:rsid w:val="00A40F66"/>
    <w:rsid w:val="00A63548"/>
    <w:rsid w:val="00A7269B"/>
    <w:rsid w:val="00A85D6D"/>
    <w:rsid w:val="00A91C88"/>
    <w:rsid w:val="00AA0A20"/>
    <w:rsid w:val="00AB32BE"/>
    <w:rsid w:val="00AC55A5"/>
    <w:rsid w:val="00AD1DDC"/>
    <w:rsid w:val="00AD74A2"/>
    <w:rsid w:val="00AE1CEC"/>
    <w:rsid w:val="00AE3955"/>
    <w:rsid w:val="00AE4907"/>
    <w:rsid w:val="00AE7534"/>
    <w:rsid w:val="00AE7A56"/>
    <w:rsid w:val="00AF4947"/>
    <w:rsid w:val="00B02003"/>
    <w:rsid w:val="00B03336"/>
    <w:rsid w:val="00B045AE"/>
    <w:rsid w:val="00B11AEB"/>
    <w:rsid w:val="00B1610E"/>
    <w:rsid w:val="00B2117E"/>
    <w:rsid w:val="00B253E0"/>
    <w:rsid w:val="00B260C3"/>
    <w:rsid w:val="00B26160"/>
    <w:rsid w:val="00B2778A"/>
    <w:rsid w:val="00B351EF"/>
    <w:rsid w:val="00B441B4"/>
    <w:rsid w:val="00B57918"/>
    <w:rsid w:val="00B57A5D"/>
    <w:rsid w:val="00B772C3"/>
    <w:rsid w:val="00BB7DC1"/>
    <w:rsid w:val="00BD1CD8"/>
    <w:rsid w:val="00BD5DF5"/>
    <w:rsid w:val="00BD7608"/>
    <w:rsid w:val="00BE7E2B"/>
    <w:rsid w:val="00C0019E"/>
    <w:rsid w:val="00C021C9"/>
    <w:rsid w:val="00C04181"/>
    <w:rsid w:val="00C073DA"/>
    <w:rsid w:val="00C1028D"/>
    <w:rsid w:val="00C167D5"/>
    <w:rsid w:val="00C235DB"/>
    <w:rsid w:val="00C33B3F"/>
    <w:rsid w:val="00C450E6"/>
    <w:rsid w:val="00C464DE"/>
    <w:rsid w:val="00C54A52"/>
    <w:rsid w:val="00C71D52"/>
    <w:rsid w:val="00C84836"/>
    <w:rsid w:val="00C849F8"/>
    <w:rsid w:val="00C86A2D"/>
    <w:rsid w:val="00C86D95"/>
    <w:rsid w:val="00CB0B68"/>
    <w:rsid w:val="00CB27C9"/>
    <w:rsid w:val="00CB369B"/>
    <w:rsid w:val="00CB3AF7"/>
    <w:rsid w:val="00CB548C"/>
    <w:rsid w:val="00D03B60"/>
    <w:rsid w:val="00D24967"/>
    <w:rsid w:val="00D45C8C"/>
    <w:rsid w:val="00D46ADC"/>
    <w:rsid w:val="00D676AC"/>
    <w:rsid w:val="00D81955"/>
    <w:rsid w:val="00D83BF1"/>
    <w:rsid w:val="00D8796C"/>
    <w:rsid w:val="00D9665C"/>
    <w:rsid w:val="00DA096D"/>
    <w:rsid w:val="00DA6807"/>
    <w:rsid w:val="00DB2E6F"/>
    <w:rsid w:val="00DE2C88"/>
    <w:rsid w:val="00DF14E4"/>
    <w:rsid w:val="00DF4955"/>
    <w:rsid w:val="00E02012"/>
    <w:rsid w:val="00E11FFF"/>
    <w:rsid w:val="00E16372"/>
    <w:rsid w:val="00E31AA9"/>
    <w:rsid w:val="00E31ABF"/>
    <w:rsid w:val="00E32EA3"/>
    <w:rsid w:val="00E42FDD"/>
    <w:rsid w:val="00E47FAB"/>
    <w:rsid w:val="00E624FB"/>
    <w:rsid w:val="00E6321B"/>
    <w:rsid w:val="00E771F6"/>
    <w:rsid w:val="00E83A49"/>
    <w:rsid w:val="00E933E0"/>
    <w:rsid w:val="00E93CE8"/>
    <w:rsid w:val="00E954E8"/>
    <w:rsid w:val="00EA04A3"/>
    <w:rsid w:val="00EA2ED7"/>
    <w:rsid w:val="00EA691F"/>
    <w:rsid w:val="00EA70A2"/>
    <w:rsid w:val="00EA75D2"/>
    <w:rsid w:val="00ED14F3"/>
    <w:rsid w:val="00ED43BF"/>
    <w:rsid w:val="00EE31C5"/>
    <w:rsid w:val="00EF471B"/>
    <w:rsid w:val="00F02FC3"/>
    <w:rsid w:val="00F206BD"/>
    <w:rsid w:val="00F21614"/>
    <w:rsid w:val="00F441C8"/>
    <w:rsid w:val="00F55C71"/>
    <w:rsid w:val="00F56E17"/>
    <w:rsid w:val="00F8096A"/>
    <w:rsid w:val="00F81096"/>
    <w:rsid w:val="00F94238"/>
    <w:rsid w:val="00FC5FD2"/>
    <w:rsid w:val="00FD5386"/>
    <w:rsid w:val="00FF2ACF"/>
    <w:rsid w:val="05D49FB3"/>
    <w:rsid w:val="0C43E137"/>
    <w:rsid w:val="0D095C9E"/>
    <w:rsid w:val="14BF4BDC"/>
    <w:rsid w:val="1688C905"/>
    <w:rsid w:val="198EA0AB"/>
    <w:rsid w:val="24BAE7B2"/>
    <w:rsid w:val="25C30FD4"/>
    <w:rsid w:val="28C7808F"/>
    <w:rsid w:val="2BEC2B79"/>
    <w:rsid w:val="2D6BD944"/>
    <w:rsid w:val="2EA9E4D1"/>
    <w:rsid w:val="36F9932D"/>
    <w:rsid w:val="39455E82"/>
    <w:rsid w:val="463AA637"/>
    <w:rsid w:val="4B39EAC6"/>
    <w:rsid w:val="4F624860"/>
    <w:rsid w:val="5B692AFE"/>
    <w:rsid w:val="7C46E5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CA79"/>
  <w15:chartTrackingRefBased/>
  <w15:docId w15:val="{35A270E5-37E6-4E9F-956C-B6E45E5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6"/>
    <w:pPr>
      <w:spacing w:before="100" w:beforeAutospacing="1" w:after="100" w:afterAutospacing="1" w:line="360" w:lineRule="auto"/>
      <w:ind w:firstLine="851"/>
      <w:jc w:val="both"/>
    </w:pPr>
    <w:rPr>
      <w:sz w:val="24"/>
      <w:szCs w:val="24"/>
    </w:rPr>
  </w:style>
  <w:style w:type="paragraph" w:styleId="Ttulo4">
    <w:name w:val="heading 4"/>
    <w:basedOn w:val="Normal"/>
    <w:next w:val="Normal"/>
    <w:link w:val="Ttulo4Car"/>
    <w:unhideWhenUsed/>
    <w:qFormat/>
    <w:rsid w:val="00B03336"/>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B03336"/>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B03336"/>
  </w:style>
  <w:style w:type="character" w:customStyle="1" w:styleId="eop">
    <w:name w:val="eop"/>
    <w:basedOn w:val="Fuentedeprrafopredeter"/>
    <w:rsid w:val="00B03336"/>
  </w:style>
  <w:style w:type="character" w:customStyle="1" w:styleId="fontstyle21">
    <w:name w:val="fontstyle21"/>
    <w:basedOn w:val="Fuentedeprrafopredeter"/>
    <w:rsid w:val="00B03336"/>
    <w:rPr>
      <w:rFonts w:ascii="Tahoma" w:hAnsi="Tahoma" w:cs="Tahoma" w:hint="default"/>
      <w:b w:val="0"/>
      <w:bCs w:val="0"/>
      <w:i w:val="0"/>
      <w:iCs w:val="0"/>
      <w:color w:val="000000"/>
      <w:sz w:val="24"/>
      <w:szCs w:val="24"/>
    </w:rPr>
  </w:style>
  <w:style w:type="character" w:customStyle="1" w:styleId="Ttulo4Car">
    <w:name w:val="Título 4 Car"/>
    <w:basedOn w:val="Fuentedeprrafopredeter"/>
    <w:link w:val="Ttulo4"/>
    <w:rsid w:val="00B03336"/>
    <w:rPr>
      <w:rFonts w:ascii="Times New Roman" w:eastAsia="Times New Roman" w:hAnsi="Times New Roman" w:cs="Times New Roman"/>
      <w:b/>
      <w:sz w:val="24"/>
      <w:szCs w:val="20"/>
      <w:lang w:val="es-ES" w:eastAsia="es-ES"/>
    </w:rPr>
  </w:style>
  <w:style w:type="paragraph" w:styleId="Prrafodelista">
    <w:name w:val="List Paragraph"/>
    <w:basedOn w:val="Normal"/>
    <w:qFormat/>
    <w:rsid w:val="00B57918"/>
    <w:pPr>
      <w:spacing w:before="0" w:beforeAutospacing="0" w:after="0" w:afterAutospacing="0"/>
      <w:ind w:left="720" w:firstLine="0"/>
      <w:contextualSpacing/>
    </w:pPr>
    <w:rPr>
      <w:rFonts w:ascii="Tahoma" w:hAnsi="Tahoma"/>
      <w:szCs w:val="22"/>
    </w:rPr>
  </w:style>
  <w:style w:type="paragraph" w:styleId="Textodeglobo">
    <w:name w:val="Balloon Text"/>
    <w:basedOn w:val="Normal"/>
    <w:link w:val="TextodegloboCar"/>
    <w:uiPriority w:val="99"/>
    <w:semiHidden/>
    <w:unhideWhenUsed/>
    <w:rsid w:val="001F405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05C"/>
    <w:rPr>
      <w:rFonts w:ascii="Segoe UI" w:hAnsi="Segoe UI" w:cs="Segoe UI"/>
      <w:sz w:val="18"/>
      <w:szCs w:val="18"/>
    </w:rPr>
  </w:style>
  <w:style w:type="character" w:styleId="Ttulodellibro">
    <w:name w:val="Book Title"/>
    <w:basedOn w:val="Fuentedeprrafopredeter"/>
    <w:uiPriority w:val="33"/>
    <w:qFormat/>
    <w:rsid w:val="001F0E3D"/>
    <w:rPr>
      <w:b/>
      <w:bCs/>
      <w:i/>
      <w:iCs/>
      <w:spacing w:val="5"/>
    </w:rPr>
  </w:style>
  <w:style w:type="character" w:styleId="Textoennegrita">
    <w:name w:val="Strong"/>
    <w:basedOn w:val="Fuentedeprrafopredeter"/>
    <w:uiPriority w:val="22"/>
    <w:qFormat/>
    <w:rsid w:val="001F0E3D"/>
    <w:rPr>
      <w:b/>
      <w:bC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B351EF"/>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B351EF"/>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B351EF"/>
    <w:rPr>
      <w:sz w:val="20"/>
      <w:szCs w:val="20"/>
      <w:lang w:val="es-ES"/>
    </w:rPr>
  </w:style>
  <w:style w:type="table" w:customStyle="1" w:styleId="Tablaconcuadrcula1">
    <w:name w:val="Tabla con cuadrícula1"/>
    <w:basedOn w:val="Tablanormal"/>
    <w:next w:val="Tablaconcuadrcula"/>
    <w:rsid w:val="00B351E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3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45A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045AE"/>
    <w:rPr>
      <w:sz w:val="24"/>
      <w:szCs w:val="24"/>
    </w:rPr>
  </w:style>
  <w:style w:type="paragraph" w:styleId="Piedepgina">
    <w:name w:val="footer"/>
    <w:basedOn w:val="Normal"/>
    <w:link w:val="PiedepginaCar"/>
    <w:uiPriority w:val="99"/>
    <w:unhideWhenUsed/>
    <w:rsid w:val="00B045A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045AE"/>
    <w:rPr>
      <w:sz w:val="24"/>
      <w:szCs w:val="24"/>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Tablaconcuadrcula11">
    <w:name w:val="Tabla con cuadrícula11"/>
    <w:basedOn w:val="Tablanormal"/>
    <w:next w:val="Tablaconcuadrcula"/>
    <w:rsid w:val="001B705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5326">
      <w:bodyDiv w:val="1"/>
      <w:marLeft w:val="0"/>
      <w:marRight w:val="0"/>
      <w:marTop w:val="0"/>
      <w:marBottom w:val="0"/>
      <w:divBdr>
        <w:top w:val="none" w:sz="0" w:space="0" w:color="auto"/>
        <w:left w:val="none" w:sz="0" w:space="0" w:color="auto"/>
        <w:bottom w:val="none" w:sz="0" w:space="0" w:color="auto"/>
        <w:right w:val="none" w:sz="0" w:space="0" w:color="auto"/>
      </w:divBdr>
    </w:div>
    <w:div w:id="454980240">
      <w:bodyDiv w:val="1"/>
      <w:marLeft w:val="0"/>
      <w:marRight w:val="0"/>
      <w:marTop w:val="0"/>
      <w:marBottom w:val="0"/>
      <w:divBdr>
        <w:top w:val="none" w:sz="0" w:space="0" w:color="auto"/>
        <w:left w:val="none" w:sz="0" w:space="0" w:color="auto"/>
        <w:bottom w:val="none" w:sz="0" w:space="0" w:color="auto"/>
        <w:right w:val="none" w:sz="0" w:space="0" w:color="auto"/>
      </w:divBdr>
      <w:divsChild>
        <w:div w:id="626086391">
          <w:marLeft w:val="0"/>
          <w:marRight w:val="0"/>
          <w:marTop w:val="0"/>
          <w:marBottom w:val="0"/>
          <w:divBdr>
            <w:top w:val="none" w:sz="0" w:space="0" w:color="auto"/>
            <w:left w:val="none" w:sz="0" w:space="0" w:color="auto"/>
            <w:bottom w:val="none" w:sz="0" w:space="0" w:color="auto"/>
            <w:right w:val="none" w:sz="0" w:space="0" w:color="auto"/>
          </w:divBdr>
        </w:div>
        <w:div w:id="243806515">
          <w:marLeft w:val="0"/>
          <w:marRight w:val="0"/>
          <w:marTop w:val="0"/>
          <w:marBottom w:val="0"/>
          <w:divBdr>
            <w:top w:val="none" w:sz="0" w:space="0" w:color="auto"/>
            <w:left w:val="none" w:sz="0" w:space="0" w:color="auto"/>
            <w:bottom w:val="none" w:sz="0" w:space="0" w:color="auto"/>
            <w:right w:val="none" w:sz="0" w:space="0" w:color="auto"/>
          </w:divBdr>
        </w:div>
      </w:divsChild>
    </w:div>
    <w:div w:id="664359714">
      <w:bodyDiv w:val="1"/>
      <w:marLeft w:val="0"/>
      <w:marRight w:val="0"/>
      <w:marTop w:val="0"/>
      <w:marBottom w:val="0"/>
      <w:divBdr>
        <w:top w:val="none" w:sz="0" w:space="0" w:color="auto"/>
        <w:left w:val="none" w:sz="0" w:space="0" w:color="auto"/>
        <w:bottom w:val="none" w:sz="0" w:space="0" w:color="auto"/>
        <w:right w:val="none" w:sz="0" w:space="0" w:color="auto"/>
      </w:divBdr>
    </w:div>
    <w:div w:id="762267177">
      <w:bodyDiv w:val="1"/>
      <w:marLeft w:val="0"/>
      <w:marRight w:val="0"/>
      <w:marTop w:val="0"/>
      <w:marBottom w:val="0"/>
      <w:divBdr>
        <w:top w:val="none" w:sz="0" w:space="0" w:color="auto"/>
        <w:left w:val="none" w:sz="0" w:space="0" w:color="auto"/>
        <w:bottom w:val="none" w:sz="0" w:space="0" w:color="auto"/>
        <w:right w:val="none" w:sz="0" w:space="0" w:color="auto"/>
      </w:divBdr>
    </w:div>
    <w:div w:id="1384017930">
      <w:bodyDiv w:val="1"/>
      <w:marLeft w:val="0"/>
      <w:marRight w:val="0"/>
      <w:marTop w:val="0"/>
      <w:marBottom w:val="0"/>
      <w:divBdr>
        <w:top w:val="none" w:sz="0" w:space="0" w:color="auto"/>
        <w:left w:val="none" w:sz="0" w:space="0" w:color="auto"/>
        <w:bottom w:val="none" w:sz="0" w:space="0" w:color="auto"/>
        <w:right w:val="none" w:sz="0" w:space="0" w:color="auto"/>
      </w:divBdr>
    </w:div>
    <w:div w:id="1678266598">
      <w:bodyDiv w:val="1"/>
      <w:marLeft w:val="0"/>
      <w:marRight w:val="0"/>
      <w:marTop w:val="0"/>
      <w:marBottom w:val="0"/>
      <w:divBdr>
        <w:top w:val="none" w:sz="0" w:space="0" w:color="auto"/>
        <w:left w:val="none" w:sz="0" w:space="0" w:color="auto"/>
        <w:bottom w:val="none" w:sz="0" w:space="0" w:color="auto"/>
        <w:right w:val="none" w:sz="0" w:space="0" w:color="auto"/>
      </w:divBdr>
    </w:div>
    <w:div w:id="169353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6e0b8b019e554d1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cabe3d71326c41c6"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D17D-0E24-4E5B-B2B2-B65836C96C1F}">
  <ds:schemaRefs>
    <ds:schemaRef ds:uri="http://schemas.microsoft.com/sharepoint/v3/contenttype/forms"/>
  </ds:schemaRefs>
</ds:datastoreItem>
</file>

<file path=customXml/itemProps2.xml><?xml version="1.0" encoding="utf-8"?>
<ds:datastoreItem xmlns:ds="http://schemas.openxmlformats.org/officeDocument/2006/customXml" ds:itemID="{54CCFCD8-A597-4BA7-981A-761AE0ECAD7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B1E4B499-456A-44B1-9746-ADE4D3310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82F03-A326-4506-9B28-E7B87E01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9036</Words>
  <Characters>51510</Characters>
  <Application>Microsoft Office Word</Application>
  <DocSecurity>0</DocSecurity>
  <Lines>429</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10</cp:revision>
  <dcterms:created xsi:type="dcterms:W3CDTF">2023-10-12T13:49:00Z</dcterms:created>
  <dcterms:modified xsi:type="dcterms:W3CDTF">2023-12-04T16:49:00Z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57146600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