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2F3F3" w14:textId="547689E1" w:rsidR="00C308E9" w:rsidRPr="00A361C7" w:rsidRDefault="00A361C7" w:rsidP="00C308E9">
      <w:pPr>
        <w:widowControl w:val="0"/>
        <w:autoSpaceDE w:val="0"/>
        <w:autoSpaceDN w:val="0"/>
        <w:adjustRightInd w:val="0"/>
        <w:jc w:val="both"/>
        <w:rPr>
          <w:rFonts w:ascii="Arial" w:hAnsi="Arial" w:cs="Arial"/>
          <w:b/>
          <w:szCs w:val="18"/>
          <w:lang w:val="es-ES"/>
        </w:rPr>
      </w:pPr>
      <w:r>
        <w:rPr>
          <w:rFonts w:ascii="Arial" w:hAnsi="Arial" w:cs="Arial"/>
          <w:b/>
          <w:szCs w:val="18"/>
          <w:lang w:val="es-ES"/>
        </w:rPr>
        <w:t xml:space="preserve">SEGURIDAD SOCIAL / REVISIÓN </w:t>
      </w:r>
      <w:r w:rsidR="000B7D50">
        <w:rPr>
          <w:rFonts w:ascii="Arial" w:hAnsi="Arial" w:cs="Arial"/>
          <w:b/>
          <w:szCs w:val="18"/>
          <w:lang w:val="es-ES"/>
        </w:rPr>
        <w:t>ESTADO</w:t>
      </w:r>
      <w:r>
        <w:rPr>
          <w:rFonts w:ascii="Arial" w:hAnsi="Arial" w:cs="Arial"/>
          <w:b/>
          <w:szCs w:val="18"/>
          <w:lang w:val="es-ES"/>
        </w:rPr>
        <w:t xml:space="preserve"> DE INVALIDEZ / SUBSIDIARIEDAD / PROCEDENCIA</w:t>
      </w:r>
    </w:p>
    <w:p w14:paraId="2A258007" w14:textId="6CCF953C" w:rsidR="00C308E9" w:rsidRPr="00A361C7" w:rsidRDefault="00A361C7" w:rsidP="00A361C7">
      <w:pPr>
        <w:widowControl w:val="0"/>
        <w:autoSpaceDE w:val="0"/>
        <w:autoSpaceDN w:val="0"/>
        <w:adjustRightInd w:val="0"/>
        <w:jc w:val="both"/>
        <w:rPr>
          <w:rFonts w:ascii="Arial" w:hAnsi="Arial" w:cs="Arial"/>
          <w:szCs w:val="18"/>
          <w:lang w:val="es-ES"/>
        </w:rPr>
      </w:pPr>
      <w:r w:rsidRPr="00A361C7">
        <w:rPr>
          <w:rFonts w:ascii="Arial" w:hAnsi="Arial" w:cs="Arial"/>
          <w:szCs w:val="18"/>
          <w:lang w:val="es-ES"/>
        </w:rPr>
        <w:t>De manera general, en lo derivado a la subsidiariedad como requisito general de procedibilidad de la acción de tutela, es menester tener en consideración lo que dispone la carta nacional, pues dispone en su artículo 86 que, la acción de tutela procede cuando el afectado no disponga de otro medio de defensa judicial, salvo aquella que se utilice como mecanismo transitorio para evitar un perjuicio irremediable, esto denota que, no es alternativa o supletoria de los recursos ordinarios.</w:t>
      </w:r>
    </w:p>
    <w:p w14:paraId="7BAD62B5" w14:textId="77777777" w:rsidR="00C308E9" w:rsidRPr="00C308E9" w:rsidRDefault="00C308E9" w:rsidP="00C308E9">
      <w:pPr>
        <w:widowControl w:val="0"/>
        <w:autoSpaceDE w:val="0"/>
        <w:autoSpaceDN w:val="0"/>
        <w:adjustRightInd w:val="0"/>
        <w:jc w:val="both"/>
        <w:rPr>
          <w:rFonts w:ascii="Arial" w:hAnsi="Arial" w:cs="Arial"/>
          <w:szCs w:val="18"/>
          <w:lang w:val="es-ES"/>
        </w:rPr>
      </w:pPr>
    </w:p>
    <w:p w14:paraId="23BF990D" w14:textId="73D2EFDF" w:rsidR="00A361C7" w:rsidRPr="00A361C7" w:rsidRDefault="00A361C7" w:rsidP="00A361C7">
      <w:pPr>
        <w:widowControl w:val="0"/>
        <w:autoSpaceDE w:val="0"/>
        <w:autoSpaceDN w:val="0"/>
        <w:adjustRightInd w:val="0"/>
        <w:jc w:val="both"/>
        <w:rPr>
          <w:rFonts w:ascii="Arial" w:hAnsi="Arial" w:cs="Arial"/>
          <w:b/>
          <w:szCs w:val="18"/>
          <w:lang w:val="es-ES"/>
        </w:rPr>
      </w:pPr>
      <w:r>
        <w:rPr>
          <w:rFonts w:ascii="Arial" w:hAnsi="Arial" w:cs="Arial"/>
          <w:b/>
          <w:szCs w:val="18"/>
          <w:lang w:val="es-ES"/>
        </w:rPr>
        <w:t xml:space="preserve">SEGURIDAD SOCIAL / REVISIÓN PENSIÓN DE INVALIDEZ / </w:t>
      </w:r>
      <w:r w:rsidR="000B7D50">
        <w:rPr>
          <w:rFonts w:ascii="Arial" w:hAnsi="Arial" w:cs="Arial"/>
          <w:b/>
          <w:szCs w:val="18"/>
          <w:lang w:val="es-ES"/>
        </w:rPr>
        <w:t>TRÁMITE</w:t>
      </w:r>
    </w:p>
    <w:p w14:paraId="45B0B59C" w14:textId="40A6A0B2" w:rsidR="00C308E9" w:rsidRPr="00C308E9" w:rsidRDefault="000B7D50" w:rsidP="00C308E9">
      <w:pPr>
        <w:widowControl w:val="0"/>
        <w:autoSpaceDE w:val="0"/>
        <w:autoSpaceDN w:val="0"/>
        <w:adjustRightInd w:val="0"/>
        <w:jc w:val="both"/>
        <w:rPr>
          <w:rFonts w:ascii="Arial" w:hAnsi="Arial" w:cs="Arial"/>
          <w:szCs w:val="18"/>
          <w:lang w:val="es-ES"/>
        </w:rPr>
      </w:pPr>
      <w:r w:rsidRPr="000B7D50">
        <w:rPr>
          <w:rFonts w:ascii="Arial" w:hAnsi="Arial" w:cs="Arial"/>
          <w:szCs w:val="18"/>
          <w:lang w:val="es-ES"/>
        </w:rPr>
        <w:t>Prevé el artículo 44 de la Ley 100 de 1993 la revisión del estado de invalidez, a solicitud de la entidad de previsión o seguridad social correspondiente, cada tres (3) años, contando el pensionado con un término de tres (3) meses para someterse a la revisión y, en el evento de no presentarse o impida que se lleve a cabo el trámite se suspenderá el pago de la pensión.</w:t>
      </w:r>
    </w:p>
    <w:p w14:paraId="27340541" w14:textId="77777777" w:rsidR="00C308E9" w:rsidRPr="00C308E9" w:rsidRDefault="00C308E9" w:rsidP="00C308E9">
      <w:pPr>
        <w:widowControl w:val="0"/>
        <w:autoSpaceDE w:val="0"/>
        <w:autoSpaceDN w:val="0"/>
        <w:adjustRightInd w:val="0"/>
        <w:jc w:val="both"/>
        <w:rPr>
          <w:rFonts w:ascii="Arial" w:hAnsi="Arial" w:cs="Arial"/>
          <w:szCs w:val="18"/>
          <w:lang w:val="es-ES"/>
        </w:rPr>
      </w:pPr>
    </w:p>
    <w:p w14:paraId="2D2D9D4F" w14:textId="2B472ACB" w:rsidR="000B7D50" w:rsidRPr="00A361C7" w:rsidRDefault="000B7D50" w:rsidP="000B7D50">
      <w:pPr>
        <w:widowControl w:val="0"/>
        <w:autoSpaceDE w:val="0"/>
        <w:autoSpaceDN w:val="0"/>
        <w:adjustRightInd w:val="0"/>
        <w:jc w:val="both"/>
        <w:rPr>
          <w:rFonts w:ascii="Arial" w:hAnsi="Arial" w:cs="Arial"/>
          <w:b/>
          <w:szCs w:val="18"/>
          <w:lang w:val="es-ES"/>
        </w:rPr>
      </w:pPr>
      <w:r>
        <w:rPr>
          <w:rFonts w:ascii="Arial" w:hAnsi="Arial" w:cs="Arial"/>
          <w:b/>
          <w:szCs w:val="18"/>
          <w:lang w:val="es-ES"/>
        </w:rPr>
        <w:t xml:space="preserve">SEGURIDAD SOCIAL / REVISIÓN PENSIÓN DE INVALIDEZ / </w:t>
      </w:r>
      <w:r w:rsidR="00E64596">
        <w:rPr>
          <w:rFonts w:ascii="Arial" w:hAnsi="Arial" w:cs="Arial"/>
          <w:b/>
          <w:szCs w:val="18"/>
          <w:lang w:val="es-ES"/>
        </w:rPr>
        <w:t>DEBIDO PROCESO</w:t>
      </w:r>
    </w:p>
    <w:p w14:paraId="11BA5174" w14:textId="3792F31E" w:rsidR="00C308E9" w:rsidRPr="00E64596" w:rsidRDefault="00E64596" w:rsidP="00E64596">
      <w:pPr>
        <w:widowControl w:val="0"/>
        <w:autoSpaceDE w:val="0"/>
        <w:autoSpaceDN w:val="0"/>
        <w:adjustRightInd w:val="0"/>
        <w:jc w:val="both"/>
        <w:rPr>
          <w:rFonts w:ascii="Arial" w:hAnsi="Arial" w:cs="Arial"/>
          <w:szCs w:val="18"/>
          <w:lang w:val="es-ES"/>
        </w:rPr>
      </w:pPr>
      <w:r w:rsidRPr="00E64596">
        <w:rPr>
          <w:rFonts w:ascii="Arial" w:hAnsi="Arial" w:cs="Arial"/>
          <w:szCs w:val="18"/>
          <w:lang w:val="es-ES"/>
        </w:rPr>
        <w:t>El artículo 29 superior, señala que "el debido proceso se aplicará a toda clase de actuaciones judiciales y administrativas", lo cual indica que tanto las autoridades judiciales como las administrativas, deben actuar respetando y garantizando el ejercicio del derecho de defensa, dentro de los procedimientos diseñados por el legislador.</w:t>
      </w:r>
      <w:r>
        <w:rPr>
          <w:rFonts w:ascii="Arial" w:hAnsi="Arial" w:cs="Arial"/>
          <w:szCs w:val="18"/>
          <w:lang w:val="es-ES"/>
        </w:rPr>
        <w:t xml:space="preserve">  </w:t>
      </w:r>
      <w:r w:rsidRPr="00E64596">
        <w:rPr>
          <w:rFonts w:ascii="Arial" w:hAnsi="Arial" w:cs="Arial"/>
          <w:szCs w:val="18"/>
          <w:lang w:val="es-ES"/>
        </w:rPr>
        <w:t>En cuanto se refiere al debido proceso administrativo, la jurisprudencia constitucional ha precisado que es un derecho que tiene rango fundamental, ya que a través de él se busca que toda actuación administrativa se someta a las normas y a la jurisprudencia que regula la aplicación de los principios constitucionales.</w:t>
      </w:r>
    </w:p>
    <w:p w14:paraId="33D38384" w14:textId="77777777" w:rsidR="00C308E9" w:rsidRPr="00C308E9" w:rsidRDefault="00C308E9" w:rsidP="00C308E9">
      <w:pPr>
        <w:widowControl w:val="0"/>
        <w:autoSpaceDE w:val="0"/>
        <w:autoSpaceDN w:val="0"/>
        <w:adjustRightInd w:val="0"/>
        <w:jc w:val="both"/>
        <w:rPr>
          <w:rFonts w:ascii="Arial" w:hAnsi="Arial" w:cs="Arial"/>
          <w:szCs w:val="18"/>
          <w:lang w:val="es-ES"/>
        </w:rPr>
      </w:pPr>
    </w:p>
    <w:p w14:paraId="0154C186" w14:textId="77777777" w:rsidR="00C308E9" w:rsidRPr="00C308E9" w:rsidRDefault="00C308E9" w:rsidP="00C308E9">
      <w:pPr>
        <w:widowControl w:val="0"/>
        <w:autoSpaceDE w:val="0"/>
        <w:autoSpaceDN w:val="0"/>
        <w:adjustRightInd w:val="0"/>
        <w:jc w:val="both"/>
        <w:rPr>
          <w:rFonts w:ascii="Arial" w:hAnsi="Arial" w:cs="Arial"/>
          <w:szCs w:val="18"/>
          <w:lang w:val="es-ES"/>
        </w:rPr>
      </w:pPr>
    </w:p>
    <w:p w14:paraId="2B90DF3D" w14:textId="77777777" w:rsidR="00C308E9" w:rsidRPr="00C308E9" w:rsidRDefault="00C308E9" w:rsidP="00C308E9">
      <w:pPr>
        <w:widowControl w:val="0"/>
        <w:autoSpaceDE w:val="0"/>
        <w:autoSpaceDN w:val="0"/>
        <w:adjustRightInd w:val="0"/>
        <w:jc w:val="both"/>
        <w:rPr>
          <w:rFonts w:ascii="Arial" w:hAnsi="Arial" w:cs="Arial"/>
          <w:szCs w:val="18"/>
          <w:lang w:val="es-ES"/>
        </w:rPr>
      </w:pPr>
    </w:p>
    <w:p w14:paraId="70391FAA" w14:textId="4C0F83D5" w:rsidR="00C308E9" w:rsidRPr="00C308E9" w:rsidRDefault="00C308E9" w:rsidP="00C308E9">
      <w:pPr>
        <w:widowControl w:val="0"/>
        <w:autoSpaceDE w:val="0"/>
        <w:autoSpaceDN w:val="0"/>
        <w:adjustRightInd w:val="0"/>
        <w:jc w:val="both"/>
        <w:rPr>
          <w:rFonts w:ascii="Arial" w:hAnsi="Arial" w:cs="Arial"/>
          <w:szCs w:val="18"/>
          <w:lang w:val="es-ES"/>
        </w:rPr>
      </w:pPr>
      <w:bookmarkStart w:id="0" w:name="_Hlk99113374"/>
      <w:r w:rsidRPr="00C308E9">
        <w:rPr>
          <w:rFonts w:ascii="Arial" w:hAnsi="Arial" w:cs="Arial"/>
          <w:szCs w:val="18"/>
          <w:lang w:val="es-ES"/>
        </w:rPr>
        <w:t>Radicación Nro.:</w:t>
      </w:r>
      <w:r w:rsidRPr="00C308E9">
        <w:rPr>
          <w:rFonts w:ascii="Arial" w:hAnsi="Arial" w:cs="Arial"/>
          <w:szCs w:val="18"/>
          <w:lang w:val="es-ES"/>
        </w:rPr>
        <w:tab/>
        <w:t>66001310500420231024701</w:t>
      </w:r>
    </w:p>
    <w:p w14:paraId="5A80A25C" w14:textId="4626A2E3" w:rsidR="00C308E9" w:rsidRPr="00C308E9" w:rsidRDefault="00C308E9" w:rsidP="00C308E9">
      <w:pPr>
        <w:widowControl w:val="0"/>
        <w:autoSpaceDE w:val="0"/>
        <w:autoSpaceDN w:val="0"/>
        <w:adjustRightInd w:val="0"/>
        <w:jc w:val="both"/>
        <w:rPr>
          <w:rFonts w:ascii="Arial" w:hAnsi="Arial" w:cs="Arial"/>
          <w:szCs w:val="18"/>
          <w:lang w:val="es-ES"/>
        </w:rPr>
      </w:pPr>
      <w:r w:rsidRPr="00C308E9">
        <w:rPr>
          <w:rFonts w:ascii="Arial" w:hAnsi="Arial" w:cs="Arial"/>
          <w:szCs w:val="18"/>
          <w:lang w:val="es-ES"/>
        </w:rPr>
        <w:t>Accionante:</w:t>
      </w:r>
      <w:r w:rsidRPr="00C308E9">
        <w:rPr>
          <w:rFonts w:ascii="Arial" w:hAnsi="Arial" w:cs="Arial"/>
          <w:szCs w:val="18"/>
          <w:lang w:val="es-ES"/>
        </w:rPr>
        <w:tab/>
      </w:r>
      <w:r w:rsidRPr="00C308E9">
        <w:rPr>
          <w:rFonts w:ascii="Arial" w:hAnsi="Arial" w:cs="Arial"/>
          <w:szCs w:val="18"/>
          <w:lang w:val="es-ES"/>
        </w:rPr>
        <w:tab/>
        <w:t xml:space="preserve">Miguel Ángel Zapata Loaiza </w:t>
      </w:r>
    </w:p>
    <w:p w14:paraId="13E188F4" w14:textId="7F5CC655" w:rsidR="00C308E9" w:rsidRPr="00C308E9" w:rsidRDefault="00C308E9" w:rsidP="00C308E9">
      <w:pPr>
        <w:widowControl w:val="0"/>
        <w:autoSpaceDE w:val="0"/>
        <w:autoSpaceDN w:val="0"/>
        <w:adjustRightInd w:val="0"/>
        <w:jc w:val="both"/>
        <w:rPr>
          <w:rFonts w:ascii="Arial" w:hAnsi="Arial" w:cs="Arial"/>
          <w:szCs w:val="18"/>
          <w:lang w:val="es-ES"/>
        </w:rPr>
      </w:pPr>
      <w:r w:rsidRPr="00C308E9">
        <w:rPr>
          <w:rFonts w:ascii="Arial" w:hAnsi="Arial" w:cs="Arial"/>
          <w:szCs w:val="18"/>
          <w:lang w:val="es-ES"/>
        </w:rPr>
        <w:t>Accionados:</w:t>
      </w:r>
      <w:r w:rsidRPr="00C308E9">
        <w:rPr>
          <w:rFonts w:ascii="Arial" w:hAnsi="Arial" w:cs="Arial"/>
          <w:szCs w:val="18"/>
          <w:lang w:val="es-ES"/>
        </w:rPr>
        <w:tab/>
      </w:r>
      <w:r w:rsidRPr="00C308E9">
        <w:rPr>
          <w:rFonts w:ascii="Arial" w:hAnsi="Arial" w:cs="Arial"/>
          <w:szCs w:val="18"/>
          <w:lang w:val="es-ES"/>
        </w:rPr>
        <w:tab/>
        <w:t>Colpensiones y otros</w:t>
      </w:r>
    </w:p>
    <w:p w14:paraId="4E4FB0D6" w14:textId="125EB359" w:rsidR="00C308E9" w:rsidRPr="00C308E9" w:rsidRDefault="00C308E9" w:rsidP="00C308E9">
      <w:pPr>
        <w:widowControl w:val="0"/>
        <w:autoSpaceDE w:val="0"/>
        <w:autoSpaceDN w:val="0"/>
        <w:adjustRightInd w:val="0"/>
        <w:jc w:val="both"/>
        <w:rPr>
          <w:rFonts w:ascii="Arial" w:hAnsi="Arial" w:cs="Arial"/>
          <w:szCs w:val="18"/>
          <w:lang w:val="es-ES"/>
        </w:rPr>
      </w:pPr>
      <w:r w:rsidRPr="00C308E9">
        <w:rPr>
          <w:rFonts w:ascii="Arial" w:hAnsi="Arial" w:cs="Arial"/>
          <w:szCs w:val="18"/>
          <w:lang w:val="es-ES"/>
        </w:rPr>
        <w:t>Proceso:</w:t>
      </w:r>
      <w:r>
        <w:rPr>
          <w:rFonts w:ascii="Arial" w:hAnsi="Arial" w:cs="Arial"/>
          <w:szCs w:val="18"/>
          <w:lang w:val="es-ES"/>
        </w:rPr>
        <w:tab/>
      </w:r>
      <w:r w:rsidRPr="00C308E9">
        <w:rPr>
          <w:rFonts w:ascii="Arial" w:hAnsi="Arial" w:cs="Arial"/>
          <w:szCs w:val="18"/>
          <w:lang w:val="es-ES"/>
        </w:rPr>
        <w:tab/>
        <w:t xml:space="preserve">Acción de Tutela </w:t>
      </w:r>
    </w:p>
    <w:p w14:paraId="1DD02180" w14:textId="73109DEE" w:rsidR="00C308E9" w:rsidRPr="00C308E9" w:rsidRDefault="00C308E9" w:rsidP="00C308E9">
      <w:pPr>
        <w:widowControl w:val="0"/>
        <w:autoSpaceDE w:val="0"/>
        <w:autoSpaceDN w:val="0"/>
        <w:adjustRightInd w:val="0"/>
        <w:jc w:val="both"/>
        <w:rPr>
          <w:rFonts w:ascii="Arial" w:hAnsi="Arial" w:cs="Arial"/>
          <w:szCs w:val="18"/>
          <w:lang w:val="es-ES"/>
        </w:rPr>
      </w:pPr>
      <w:r w:rsidRPr="00C308E9">
        <w:rPr>
          <w:rFonts w:ascii="Arial" w:hAnsi="Arial" w:cs="Arial"/>
          <w:szCs w:val="18"/>
          <w:lang w:val="es-ES"/>
        </w:rPr>
        <w:t>Juzgado de Origen:</w:t>
      </w:r>
      <w:r>
        <w:rPr>
          <w:rFonts w:ascii="Arial" w:hAnsi="Arial" w:cs="Arial"/>
          <w:szCs w:val="18"/>
          <w:lang w:val="es-ES"/>
        </w:rPr>
        <w:tab/>
      </w:r>
      <w:r w:rsidRPr="00C308E9">
        <w:rPr>
          <w:rFonts w:ascii="Arial" w:hAnsi="Arial" w:cs="Arial"/>
          <w:szCs w:val="18"/>
          <w:lang w:val="es-ES"/>
        </w:rPr>
        <w:t>Cuarto Laboral del Circuito de Pereira</w:t>
      </w:r>
    </w:p>
    <w:p w14:paraId="54A1E831" w14:textId="77777777" w:rsidR="00C308E9" w:rsidRPr="00C308E9" w:rsidRDefault="00C308E9" w:rsidP="00C308E9">
      <w:pPr>
        <w:widowControl w:val="0"/>
        <w:autoSpaceDE w:val="0"/>
        <w:autoSpaceDN w:val="0"/>
        <w:adjustRightInd w:val="0"/>
        <w:jc w:val="both"/>
        <w:rPr>
          <w:rFonts w:ascii="Arial" w:hAnsi="Arial" w:cs="Arial"/>
          <w:szCs w:val="18"/>
          <w:lang w:val="es-ES"/>
        </w:rPr>
      </w:pPr>
    </w:p>
    <w:bookmarkEnd w:id="0"/>
    <w:p w14:paraId="62557E95" w14:textId="77777777" w:rsidR="00C308E9" w:rsidRPr="00C308E9" w:rsidRDefault="00C308E9" w:rsidP="00C308E9">
      <w:pPr>
        <w:widowControl w:val="0"/>
        <w:autoSpaceDE w:val="0"/>
        <w:autoSpaceDN w:val="0"/>
        <w:adjustRightInd w:val="0"/>
        <w:jc w:val="both"/>
        <w:rPr>
          <w:rFonts w:ascii="Arial" w:hAnsi="Arial" w:cs="Arial"/>
          <w:bCs/>
          <w:szCs w:val="18"/>
          <w:lang w:val="es-ES"/>
        </w:rPr>
      </w:pPr>
    </w:p>
    <w:p w14:paraId="04E611B8" w14:textId="77777777" w:rsidR="00C308E9" w:rsidRPr="00C308E9" w:rsidRDefault="00C308E9" w:rsidP="00C308E9">
      <w:pPr>
        <w:widowControl w:val="0"/>
        <w:autoSpaceDE w:val="0"/>
        <w:autoSpaceDN w:val="0"/>
        <w:adjustRightInd w:val="0"/>
        <w:jc w:val="both"/>
        <w:rPr>
          <w:rFonts w:ascii="Arial" w:hAnsi="Arial" w:cs="Arial"/>
          <w:bCs/>
          <w:szCs w:val="18"/>
          <w:lang w:val="es-ES"/>
        </w:rPr>
      </w:pPr>
    </w:p>
    <w:p w14:paraId="09426F6D" w14:textId="77777777" w:rsidR="00C308E9" w:rsidRPr="00C308E9" w:rsidRDefault="00C308E9" w:rsidP="00C308E9">
      <w:pPr>
        <w:spacing w:line="276" w:lineRule="auto"/>
        <w:jc w:val="center"/>
        <w:rPr>
          <w:rFonts w:ascii="Tahoma" w:eastAsia="Calibri" w:hAnsi="Tahoma" w:cs="Tahoma"/>
          <w:b/>
          <w:bCs/>
          <w:sz w:val="24"/>
          <w:szCs w:val="24"/>
          <w:lang w:val="es-CO" w:eastAsia="en-US"/>
        </w:rPr>
      </w:pPr>
      <w:r w:rsidRPr="00C308E9">
        <w:rPr>
          <w:rFonts w:ascii="Tahoma" w:eastAsia="Calibri" w:hAnsi="Tahoma" w:cs="Tahoma"/>
          <w:b/>
          <w:bCs/>
          <w:sz w:val="24"/>
          <w:szCs w:val="24"/>
          <w:lang w:val="es-CO" w:eastAsia="en-US"/>
        </w:rPr>
        <w:t>TRIBUNAL SUPERIOR DEL DISTRITO JUDICIAL DE PEREIRA</w:t>
      </w:r>
    </w:p>
    <w:p w14:paraId="54B9692F" w14:textId="77777777" w:rsidR="00C308E9" w:rsidRPr="00C308E9" w:rsidRDefault="00C308E9" w:rsidP="00C308E9">
      <w:pPr>
        <w:spacing w:line="276" w:lineRule="auto"/>
        <w:jc w:val="center"/>
        <w:rPr>
          <w:rFonts w:ascii="Tahoma" w:eastAsia="Calibri" w:hAnsi="Tahoma" w:cs="Tahoma"/>
          <w:b/>
          <w:bCs/>
          <w:sz w:val="24"/>
          <w:szCs w:val="24"/>
          <w:lang w:val="es-CO" w:eastAsia="en-US"/>
        </w:rPr>
      </w:pPr>
      <w:r w:rsidRPr="00C308E9">
        <w:rPr>
          <w:rFonts w:ascii="Tahoma" w:eastAsia="Calibri" w:hAnsi="Tahoma" w:cs="Tahoma"/>
          <w:b/>
          <w:bCs/>
          <w:sz w:val="24"/>
          <w:szCs w:val="24"/>
          <w:lang w:val="es-CO" w:eastAsia="en-US"/>
        </w:rPr>
        <w:t>SALA DE DECISIÓN LABORAL No. 1</w:t>
      </w:r>
    </w:p>
    <w:p w14:paraId="68051FF1" w14:textId="77777777" w:rsidR="00C308E9" w:rsidRPr="00C308E9" w:rsidRDefault="00C308E9" w:rsidP="00C308E9">
      <w:pPr>
        <w:spacing w:line="276" w:lineRule="auto"/>
        <w:rPr>
          <w:rFonts w:ascii="Tahoma" w:hAnsi="Tahoma" w:cs="Tahoma"/>
          <w:sz w:val="24"/>
          <w:szCs w:val="24"/>
          <w:lang w:val="es-CO" w:eastAsia="en-US"/>
        </w:rPr>
      </w:pPr>
    </w:p>
    <w:p w14:paraId="27A741A9" w14:textId="77777777" w:rsidR="00C308E9" w:rsidRPr="00C308E9" w:rsidRDefault="00C308E9" w:rsidP="00C308E9">
      <w:pPr>
        <w:spacing w:line="276" w:lineRule="auto"/>
        <w:jc w:val="center"/>
        <w:textAlignment w:val="baseline"/>
        <w:rPr>
          <w:rFonts w:ascii="Tahoma" w:hAnsi="Tahoma" w:cs="Tahoma"/>
          <w:sz w:val="24"/>
          <w:szCs w:val="24"/>
          <w:lang w:val="es-CO" w:eastAsia="es-CO"/>
        </w:rPr>
      </w:pPr>
      <w:r w:rsidRPr="00C308E9">
        <w:rPr>
          <w:rFonts w:ascii="Tahoma" w:hAnsi="Tahoma" w:cs="Tahoma"/>
          <w:sz w:val="24"/>
          <w:szCs w:val="24"/>
          <w:lang w:val="es-CO" w:eastAsia="es-CO"/>
        </w:rPr>
        <w:t>Magistrada Ponente: </w:t>
      </w:r>
      <w:r w:rsidRPr="00C308E9">
        <w:rPr>
          <w:rFonts w:ascii="Tahoma" w:hAnsi="Tahoma" w:cs="Tahoma"/>
          <w:b/>
          <w:bCs/>
          <w:sz w:val="24"/>
          <w:szCs w:val="24"/>
          <w:lang w:val="es-CO" w:eastAsia="es-CO"/>
        </w:rPr>
        <w:t>Ana Lucía Caicedo Calderón</w:t>
      </w:r>
      <w:r w:rsidRPr="00C308E9">
        <w:rPr>
          <w:rFonts w:ascii="Tahoma" w:hAnsi="Tahoma" w:cs="Tahoma"/>
          <w:sz w:val="24"/>
          <w:szCs w:val="24"/>
          <w:lang w:val="es-CO" w:eastAsia="es-CO"/>
        </w:rPr>
        <w:t> </w:t>
      </w:r>
    </w:p>
    <w:p w14:paraId="3B8758C9" w14:textId="77777777" w:rsidR="00C308E9" w:rsidRPr="00C308E9" w:rsidRDefault="00C308E9" w:rsidP="00C308E9">
      <w:pPr>
        <w:spacing w:line="276" w:lineRule="auto"/>
        <w:rPr>
          <w:rFonts w:ascii="Tahoma" w:hAnsi="Tahoma" w:cs="Tahoma"/>
          <w:sz w:val="24"/>
          <w:szCs w:val="24"/>
          <w:lang w:val="es-CO" w:eastAsia="es-CO"/>
        </w:rPr>
      </w:pPr>
    </w:p>
    <w:p w14:paraId="55D03565" w14:textId="650C7C54" w:rsidR="00860B7A" w:rsidRPr="00C308E9" w:rsidRDefault="00860B7A" w:rsidP="00C308E9">
      <w:pPr>
        <w:spacing w:line="276" w:lineRule="auto"/>
        <w:ind w:firstLine="709"/>
        <w:jc w:val="center"/>
        <w:rPr>
          <w:rFonts w:ascii="Tahoma" w:eastAsia="Tahoma" w:hAnsi="Tahoma" w:cs="Tahoma"/>
          <w:color w:val="000000"/>
          <w:sz w:val="24"/>
          <w:szCs w:val="24"/>
          <w:lang w:val="es-CO"/>
        </w:rPr>
      </w:pPr>
      <w:r w:rsidRPr="00C308E9">
        <w:rPr>
          <w:rFonts w:ascii="Tahoma" w:eastAsia="Tahoma" w:hAnsi="Tahoma" w:cs="Tahoma"/>
          <w:color w:val="000000" w:themeColor="text1"/>
          <w:sz w:val="24"/>
          <w:szCs w:val="24"/>
        </w:rPr>
        <w:t xml:space="preserve">Pereira, </w:t>
      </w:r>
      <w:r w:rsidR="00E551AC" w:rsidRPr="00C308E9">
        <w:rPr>
          <w:rFonts w:ascii="Tahoma" w:eastAsia="Tahoma" w:hAnsi="Tahoma" w:cs="Tahoma"/>
          <w:color w:val="000000" w:themeColor="text1"/>
          <w:sz w:val="24"/>
          <w:szCs w:val="24"/>
        </w:rPr>
        <w:t>veintitrés</w:t>
      </w:r>
      <w:r w:rsidR="00EB0DAE" w:rsidRPr="00C308E9">
        <w:rPr>
          <w:rFonts w:ascii="Tahoma" w:eastAsia="Tahoma" w:hAnsi="Tahoma" w:cs="Tahoma"/>
          <w:color w:val="000000" w:themeColor="text1"/>
          <w:sz w:val="24"/>
          <w:szCs w:val="24"/>
        </w:rPr>
        <w:t xml:space="preserve"> </w:t>
      </w:r>
      <w:r w:rsidRPr="00C308E9">
        <w:rPr>
          <w:rFonts w:ascii="Tahoma" w:eastAsia="Tahoma" w:hAnsi="Tahoma" w:cs="Tahoma"/>
          <w:color w:val="000000" w:themeColor="text1"/>
          <w:sz w:val="24"/>
          <w:szCs w:val="24"/>
        </w:rPr>
        <w:t>(</w:t>
      </w:r>
      <w:r w:rsidR="00E551AC" w:rsidRPr="00C308E9">
        <w:rPr>
          <w:rFonts w:ascii="Tahoma" w:eastAsia="Tahoma" w:hAnsi="Tahoma" w:cs="Tahoma"/>
          <w:color w:val="000000" w:themeColor="text1"/>
          <w:sz w:val="24"/>
          <w:szCs w:val="24"/>
        </w:rPr>
        <w:t>23</w:t>
      </w:r>
      <w:r w:rsidRPr="00C308E9">
        <w:rPr>
          <w:rFonts w:ascii="Tahoma" w:eastAsia="Tahoma" w:hAnsi="Tahoma" w:cs="Tahoma"/>
          <w:color w:val="000000" w:themeColor="text1"/>
          <w:sz w:val="24"/>
          <w:szCs w:val="24"/>
        </w:rPr>
        <w:t>) de octubre de dos mil veintitrés (2023)</w:t>
      </w:r>
    </w:p>
    <w:p w14:paraId="406E32DF" w14:textId="77777777" w:rsidR="00C308E9" w:rsidRPr="00C308E9" w:rsidRDefault="00C308E9" w:rsidP="00C308E9">
      <w:pPr>
        <w:spacing w:line="276" w:lineRule="auto"/>
        <w:ind w:firstLine="705"/>
        <w:jc w:val="both"/>
        <w:rPr>
          <w:rFonts w:ascii="Tahoma" w:hAnsi="Tahoma" w:cs="Tahoma"/>
          <w:sz w:val="24"/>
          <w:szCs w:val="24"/>
        </w:rPr>
      </w:pPr>
    </w:p>
    <w:p w14:paraId="6A05A809" w14:textId="45D753F2" w:rsidR="008808F6" w:rsidRPr="00C308E9" w:rsidRDefault="00E605C6" w:rsidP="00C308E9">
      <w:pPr>
        <w:spacing w:line="276" w:lineRule="auto"/>
        <w:ind w:firstLine="705"/>
        <w:jc w:val="both"/>
        <w:rPr>
          <w:rFonts w:ascii="Tahoma" w:hAnsi="Tahoma" w:cs="Tahoma"/>
          <w:b/>
          <w:bCs/>
          <w:sz w:val="24"/>
          <w:szCs w:val="24"/>
        </w:rPr>
      </w:pPr>
      <w:r w:rsidRPr="00C308E9">
        <w:rPr>
          <w:rFonts w:ascii="Tahoma" w:hAnsi="Tahoma" w:cs="Tahoma"/>
          <w:sz w:val="24"/>
          <w:szCs w:val="24"/>
        </w:rPr>
        <w:t xml:space="preserve">Procede la Sala </w:t>
      </w:r>
      <w:r w:rsidR="00AA5E72" w:rsidRPr="00C308E9">
        <w:rPr>
          <w:rFonts w:ascii="Tahoma" w:hAnsi="Tahoma" w:cs="Tahoma"/>
          <w:sz w:val="24"/>
          <w:szCs w:val="24"/>
        </w:rPr>
        <w:t xml:space="preserve">Laboral del Tribunal Superior del Distrito Judicial de Pereira a </w:t>
      </w:r>
      <w:r w:rsidR="00004135" w:rsidRPr="00C308E9">
        <w:rPr>
          <w:rFonts w:ascii="Tahoma" w:hAnsi="Tahoma" w:cs="Tahoma"/>
          <w:sz w:val="24"/>
          <w:szCs w:val="24"/>
        </w:rPr>
        <w:t xml:space="preserve">decidir la impugnación formulada </w:t>
      </w:r>
      <w:r w:rsidR="0033108F" w:rsidRPr="00C308E9">
        <w:rPr>
          <w:rFonts w:ascii="Tahoma" w:hAnsi="Tahoma" w:cs="Tahoma"/>
          <w:sz w:val="24"/>
          <w:szCs w:val="24"/>
        </w:rPr>
        <w:t>por</w:t>
      </w:r>
      <w:r w:rsidR="00FD5CB2" w:rsidRPr="00C308E9">
        <w:rPr>
          <w:rFonts w:ascii="Tahoma" w:hAnsi="Tahoma" w:cs="Tahoma"/>
          <w:sz w:val="24"/>
          <w:szCs w:val="24"/>
        </w:rPr>
        <w:t xml:space="preserve"> la</w:t>
      </w:r>
      <w:r w:rsidR="0033108F" w:rsidRPr="00C308E9">
        <w:rPr>
          <w:rFonts w:ascii="Tahoma" w:hAnsi="Tahoma" w:cs="Tahoma"/>
          <w:sz w:val="24"/>
          <w:szCs w:val="24"/>
        </w:rPr>
        <w:t xml:space="preserve"> </w:t>
      </w:r>
      <w:r w:rsidR="00E00A7F" w:rsidRPr="00C308E9">
        <w:rPr>
          <w:rFonts w:ascii="Tahoma" w:hAnsi="Tahoma" w:cs="Tahoma"/>
          <w:b/>
          <w:sz w:val="24"/>
          <w:szCs w:val="24"/>
        </w:rPr>
        <w:t xml:space="preserve">Administradora Colombiana de Pensiones </w:t>
      </w:r>
      <w:r w:rsidR="00FD5CB2" w:rsidRPr="00C308E9">
        <w:rPr>
          <w:rFonts w:ascii="Tahoma" w:hAnsi="Tahoma" w:cs="Tahoma"/>
          <w:b/>
          <w:sz w:val="24"/>
          <w:szCs w:val="24"/>
        </w:rPr>
        <w:t>–</w:t>
      </w:r>
      <w:r w:rsidR="00E00A7F">
        <w:rPr>
          <w:rFonts w:ascii="Tahoma" w:hAnsi="Tahoma" w:cs="Tahoma"/>
          <w:b/>
          <w:sz w:val="24"/>
          <w:szCs w:val="24"/>
        </w:rPr>
        <w:t xml:space="preserve"> </w:t>
      </w:r>
      <w:r w:rsidR="00FD5CB2" w:rsidRPr="00C308E9">
        <w:rPr>
          <w:rFonts w:ascii="Tahoma" w:hAnsi="Tahoma" w:cs="Tahoma"/>
          <w:b/>
          <w:sz w:val="24"/>
          <w:szCs w:val="24"/>
        </w:rPr>
        <w:t>COLPENSIONES</w:t>
      </w:r>
      <w:r w:rsidR="00FD5CB2" w:rsidRPr="00C308E9">
        <w:rPr>
          <w:rFonts w:ascii="Tahoma" w:hAnsi="Tahoma" w:cs="Tahoma"/>
          <w:sz w:val="24"/>
          <w:szCs w:val="24"/>
        </w:rPr>
        <w:t xml:space="preserve"> contra la sentencia proferida por el Juzgado Cuarto Laboral del Circuito de Pereira el día 15 de septiembre de 2023, dentro de la </w:t>
      </w:r>
      <w:r w:rsidR="00FD5CB2" w:rsidRPr="00E00A7F">
        <w:rPr>
          <w:rFonts w:ascii="Tahoma" w:hAnsi="Tahoma" w:cs="Tahoma"/>
          <w:b/>
          <w:sz w:val="24"/>
          <w:szCs w:val="24"/>
        </w:rPr>
        <w:t xml:space="preserve">acción de tutela </w:t>
      </w:r>
      <w:r w:rsidR="00FD5CB2" w:rsidRPr="00C308E9">
        <w:rPr>
          <w:rFonts w:ascii="Tahoma" w:hAnsi="Tahoma" w:cs="Tahoma"/>
          <w:sz w:val="24"/>
          <w:szCs w:val="24"/>
        </w:rPr>
        <w:t xml:space="preserve">que promueve el señor </w:t>
      </w:r>
      <w:r w:rsidR="00E00A7F" w:rsidRPr="00C308E9">
        <w:rPr>
          <w:rFonts w:ascii="Tahoma" w:hAnsi="Tahoma" w:cs="Tahoma"/>
          <w:b/>
          <w:sz w:val="24"/>
          <w:szCs w:val="24"/>
        </w:rPr>
        <w:t>Miguel Ángel Zapata Loaiza</w:t>
      </w:r>
      <w:r w:rsidR="00E00A7F" w:rsidRPr="00C308E9">
        <w:rPr>
          <w:rFonts w:ascii="Tahoma" w:hAnsi="Tahoma" w:cs="Tahoma"/>
          <w:sz w:val="24"/>
          <w:szCs w:val="24"/>
        </w:rPr>
        <w:t xml:space="preserve"> </w:t>
      </w:r>
      <w:r w:rsidR="00FD5CB2" w:rsidRPr="00C308E9">
        <w:rPr>
          <w:rFonts w:ascii="Tahoma" w:hAnsi="Tahoma" w:cs="Tahoma"/>
          <w:sz w:val="24"/>
          <w:szCs w:val="24"/>
        </w:rPr>
        <w:t xml:space="preserve">y en la cual fueron vinculadas la </w:t>
      </w:r>
      <w:r w:rsidR="00E00A7F" w:rsidRPr="00C308E9">
        <w:rPr>
          <w:rFonts w:ascii="Tahoma" w:hAnsi="Tahoma" w:cs="Tahoma"/>
          <w:b/>
          <w:sz w:val="24"/>
          <w:szCs w:val="24"/>
        </w:rPr>
        <w:t xml:space="preserve">Nueva </w:t>
      </w:r>
      <w:proofErr w:type="spellStart"/>
      <w:r w:rsidR="00FD5CB2" w:rsidRPr="00C308E9">
        <w:rPr>
          <w:rFonts w:ascii="Tahoma" w:hAnsi="Tahoma" w:cs="Tahoma"/>
          <w:b/>
          <w:sz w:val="24"/>
          <w:szCs w:val="24"/>
        </w:rPr>
        <w:t>EPS</w:t>
      </w:r>
      <w:proofErr w:type="spellEnd"/>
      <w:r w:rsidR="00FD5CB2" w:rsidRPr="00C308E9">
        <w:rPr>
          <w:rFonts w:ascii="Tahoma" w:hAnsi="Tahoma" w:cs="Tahoma"/>
          <w:sz w:val="24"/>
          <w:szCs w:val="24"/>
        </w:rPr>
        <w:t xml:space="preserve"> y la </w:t>
      </w:r>
      <w:r w:rsidR="00E00A7F" w:rsidRPr="00C308E9">
        <w:rPr>
          <w:rFonts w:ascii="Tahoma" w:hAnsi="Tahoma" w:cs="Tahoma"/>
          <w:b/>
          <w:sz w:val="24"/>
          <w:szCs w:val="24"/>
        </w:rPr>
        <w:t>Administradora de los Recursos del Sistema General de Seguridad Social en Salud</w:t>
      </w:r>
      <w:r w:rsidR="00FD5CB2" w:rsidRPr="00C308E9">
        <w:rPr>
          <w:rFonts w:ascii="Tahoma" w:hAnsi="Tahoma" w:cs="Tahoma"/>
          <w:b/>
          <w:sz w:val="24"/>
          <w:szCs w:val="24"/>
        </w:rPr>
        <w:t>.</w:t>
      </w:r>
    </w:p>
    <w:p w14:paraId="349E8731" w14:textId="77777777" w:rsidR="003A1565" w:rsidRPr="00C308E9" w:rsidRDefault="003A1565" w:rsidP="00C308E9">
      <w:pPr>
        <w:spacing w:line="276" w:lineRule="auto"/>
        <w:ind w:firstLine="705"/>
        <w:jc w:val="both"/>
        <w:rPr>
          <w:rFonts w:ascii="Tahoma" w:hAnsi="Tahoma" w:cs="Tahoma"/>
          <w:b/>
          <w:bCs/>
          <w:sz w:val="24"/>
          <w:szCs w:val="24"/>
        </w:rPr>
      </w:pPr>
    </w:p>
    <w:p w14:paraId="32694986" w14:textId="77777777" w:rsidR="00860B7A" w:rsidRPr="00C308E9" w:rsidRDefault="00860B7A" w:rsidP="00C308E9">
      <w:pPr>
        <w:spacing w:line="276" w:lineRule="auto"/>
        <w:jc w:val="center"/>
        <w:rPr>
          <w:rFonts w:ascii="Tahoma" w:hAnsi="Tahoma" w:cs="Tahoma"/>
          <w:sz w:val="24"/>
          <w:szCs w:val="24"/>
          <w:lang w:val="es-CO"/>
        </w:rPr>
      </w:pPr>
      <w:r w:rsidRPr="00C308E9">
        <w:rPr>
          <w:rFonts w:ascii="Tahoma" w:eastAsia="Tahoma" w:hAnsi="Tahoma" w:cs="Tahoma"/>
          <w:b/>
          <w:bCs/>
          <w:sz w:val="24"/>
          <w:szCs w:val="24"/>
          <w:lang w:val="es-ES"/>
        </w:rPr>
        <w:t>CUESTIÓN PREVIA</w:t>
      </w:r>
    </w:p>
    <w:p w14:paraId="0C3657F3" w14:textId="77777777" w:rsidR="00860B7A" w:rsidRPr="00C308E9" w:rsidRDefault="00860B7A" w:rsidP="00C308E9">
      <w:pPr>
        <w:spacing w:line="276" w:lineRule="auto"/>
        <w:jc w:val="both"/>
        <w:rPr>
          <w:rFonts w:ascii="Tahoma" w:hAnsi="Tahoma" w:cs="Tahoma"/>
          <w:sz w:val="24"/>
          <w:szCs w:val="24"/>
        </w:rPr>
      </w:pPr>
      <w:r w:rsidRPr="00C308E9">
        <w:rPr>
          <w:rFonts w:ascii="Tahoma" w:hAnsi="Tahoma" w:cs="Tahoma"/>
          <w:sz w:val="24"/>
          <w:szCs w:val="24"/>
        </w:rPr>
        <w:t xml:space="preserve"> </w:t>
      </w:r>
    </w:p>
    <w:p w14:paraId="1BD8B695" w14:textId="77777777" w:rsidR="00860B7A" w:rsidRPr="00C308E9" w:rsidRDefault="00860B7A" w:rsidP="00C308E9">
      <w:pPr>
        <w:spacing w:line="276" w:lineRule="auto"/>
        <w:ind w:firstLine="705"/>
        <w:jc w:val="both"/>
        <w:rPr>
          <w:rFonts w:ascii="Tahoma" w:hAnsi="Tahoma" w:cs="Tahoma"/>
          <w:sz w:val="24"/>
          <w:szCs w:val="24"/>
        </w:rPr>
      </w:pPr>
      <w:r w:rsidRPr="00C308E9">
        <w:rPr>
          <w:rFonts w:ascii="Tahoma" w:eastAsia="Tahoma" w:hAnsi="Tahoma" w:cs="Tahoma"/>
          <w:sz w:val="24"/>
          <w:szCs w:val="24"/>
          <w:lang w:val="es-ES"/>
        </w:rPr>
        <w:t>El proyecto inicial presentado por el Magistrado Julio César Salazar Muñoz no fue avalado por el resto de la Sala y por eso, la Magistrada que le sigue en turno, Dra. Ana Lucía Caicedo Calderón, presenta la ponencia de las mayorías, advirtiendo que, dentro del proyecto, por economía procesal, se acogieron varios acápites redactados en la ponencia original, frente a los cuales no se presentó discusión alguna.</w:t>
      </w:r>
    </w:p>
    <w:p w14:paraId="00E711C4" w14:textId="77777777" w:rsidR="001572E7" w:rsidRPr="00C308E9" w:rsidRDefault="001572E7" w:rsidP="00C308E9">
      <w:pPr>
        <w:pStyle w:val="Textoindependiente"/>
        <w:spacing w:line="276" w:lineRule="auto"/>
        <w:rPr>
          <w:rFonts w:ascii="Tahoma" w:hAnsi="Tahoma" w:cs="Tahoma"/>
          <w:b/>
          <w:sz w:val="24"/>
          <w:szCs w:val="24"/>
        </w:rPr>
      </w:pPr>
    </w:p>
    <w:p w14:paraId="101B8078" w14:textId="77777777" w:rsidR="003A1565" w:rsidRPr="00C308E9" w:rsidRDefault="003A1565" w:rsidP="00C308E9">
      <w:pPr>
        <w:keepNext/>
        <w:numPr>
          <w:ilvl w:val="0"/>
          <w:numId w:val="17"/>
        </w:numPr>
        <w:tabs>
          <w:tab w:val="left" w:pos="426"/>
        </w:tabs>
        <w:spacing w:line="276" w:lineRule="auto"/>
        <w:jc w:val="center"/>
        <w:rPr>
          <w:rFonts w:ascii="Tahoma" w:eastAsia="Tahoma" w:hAnsi="Tahoma" w:cs="Tahoma"/>
          <w:b/>
          <w:color w:val="000000"/>
          <w:sz w:val="24"/>
          <w:szCs w:val="24"/>
        </w:rPr>
      </w:pPr>
      <w:r w:rsidRPr="00C308E9">
        <w:rPr>
          <w:rFonts w:ascii="Tahoma" w:eastAsia="Tahoma" w:hAnsi="Tahoma" w:cs="Tahoma"/>
          <w:b/>
          <w:color w:val="000000"/>
          <w:sz w:val="24"/>
          <w:szCs w:val="24"/>
        </w:rPr>
        <w:lastRenderedPageBreak/>
        <w:t>LA DEMANDA DE TUTELA</w:t>
      </w:r>
    </w:p>
    <w:p w14:paraId="5A39BBE3" w14:textId="77777777" w:rsidR="00AA5E72" w:rsidRPr="00C308E9" w:rsidRDefault="00AA5E72" w:rsidP="00C308E9">
      <w:pPr>
        <w:spacing w:line="276" w:lineRule="auto"/>
        <w:jc w:val="both"/>
        <w:rPr>
          <w:rFonts w:ascii="Tahoma" w:hAnsi="Tahoma" w:cs="Tahoma"/>
          <w:sz w:val="24"/>
          <w:szCs w:val="24"/>
        </w:rPr>
      </w:pPr>
    </w:p>
    <w:p w14:paraId="0B1DFE36" w14:textId="77777777" w:rsidR="00FD5CB2" w:rsidRPr="00C308E9" w:rsidRDefault="00FD5CB2" w:rsidP="00C308E9">
      <w:pPr>
        <w:spacing w:line="276" w:lineRule="auto"/>
        <w:ind w:firstLine="705"/>
        <w:jc w:val="both"/>
        <w:rPr>
          <w:rFonts w:ascii="Tahoma" w:eastAsia="Tahoma" w:hAnsi="Tahoma" w:cs="Tahoma"/>
          <w:sz w:val="24"/>
          <w:szCs w:val="24"/>
          <w:lang w:val="es-ES"/>
        </w:rPr>
      </w:pPr>
      <w:r w:rsidRPr="00C308E9">
        <w:rPr>
          <w:rFonts w:ascii="Tahoma" w:eastAsia="Tahoma" w:hAnsi="Tahoma" w:cs="Tahoma"/>
          <w:sz w:val="24"/>
          <w:szCs w:val="24"/>
          <w:lang w:val="es-ES"/>
        </w:rPr>
        <w:t>Informa el señor Miguel Ángel Zapata Loaiza que en la actualidad cuenta con 49 años de edad; que debido a diferentes patologías que padece fue calificado por Colpensiones con una pérdida de capacidad laboral igual a 64.2% de origen común, estructurada el 19 de marzo de 2013; que Colpensiones reconoció a su favor la pensión de invalidez mediante resolución No GNR 415374 de 22 de diciembre de 2015.</w:t>
      </w:r>
    </w:p>
    <w:p w14:paraId="18AE0927" w14:textId="77777777" w:rsidR="00FD5CB2" w:rsidRPr="00C308E9" w:rsidRDefault="00FD5CB2" w:rsidP="00C308E9">
      <w:pPr>
        <w:spacing w:line="276" w:lineRule="auto"/>
        <w:ind w:firstLine="705"/>
        <w:jc w:val="both"/>
        <w:rPr>
          <w:rFonts w:ascii="Tahoma" w:eastAsia="Tahoma" w:hAnsi="Tahoma" w:cs="Tahoma"/>
          <w:sz w:val="24"/>
          <w:szCs w:val="24"/>
          <w:lang w:val="es-ES"/>
        </w:rPr>
      </w:pPr>
    </w:p>
    <w:p w14:paraId="67A1E519" w14:textId="77777777" w:rsidR="00FD5CB2" w:rsidRPr="00C308E9" w:rsidRDefault="00FD5CB2" w:rsidP="00C308E9">
      <w:pPr>
        <w:spacing w:line="276" w:lineRule="auto"/>
        <w:ind w:firstLine="705"/>
        <w:jc w:val="both"/>
        <w:rPr>
          <w:rFonts w:ascii="Tahoma" w:eastAsia="Tahoma" w:hAnsi="Tahoma" w:cs="Tahoma"/>
          <w:sz w:val="24"/>
          <w:szCs w:val="24"/>
          <w:lang w:val="es-ES"/>
        </w:rPr>
      </w:pPr>
      <w:r w:rsidRPr="00C308E9">
        <w:rPr>
          <w:rFonts w:ascii="Tahoma" w:eastAsia="Tahoma" w:hAnsi="Tahoma" w:cs="Tahoma"/>
          <w:sz w:val="24"/>
          <w:szCs w:val="24"/>
          <w:lang w:val="es-ES"/>
        </w:rPr>
        <w:t>También refiere que, dentro del proceso de revisión de su estado de invalidez, mediante dictamen de 26 de enero de 2023 Colpensiones lo calificó con una pérdida de capacidad laboral igual a 19.80%; que dicha valoración no le fue notificada como corresponde y, pese a ello, procedió a suspender el pago de la mesada pensional, siendo esta la oportunidad en la que tuvo conocimiento del proceso de revisión de su condición de invalidante.</w:t>
      </w:r>
    </w:p>
    <w:p w14:paraId="48DED84F" w14:textId="77777777" w:rsidR="00FD5CB2" w:rsidRPr="00C308E9" w:rsidRDefault="00FD5CB2" w:rsidP="00C308E9">
      <w:pPr>
        <w:spacing w:line="276" w:lineRule="auto"/>
        <w:ind w:firstLine="705"/>
        <w:jc w:val="both"/>
        <w:rPr>
          <w:rFonts w:ascii="Tahoma" w:eastAsia="Tahoma" w:hAnsi="Tahoma" w:cs="Tahoma"/>
          <w:sz w:val="24"/>
          <w:szCs w:val="24"/>
          <w:lang w:val="es-ES"/>
        </w:rPr>
      </w:pPr>
    </w:p>
    <w:p w14:paraId="281D1B94" w14:textId="77777777" w:rsidR="00FD5CB2" w:rsidRPr="00C308E9" w:rsidRDefault="00FD5CB2" w:rsidP="00C308E9">
      <w:pPr>
        <w:spacing w:line="276" w:lineRule="auto"/>
        <w:ind w:firstLine="705"/>
        <w:jc w:val="both"/>
        <w:rPr>
          <w:rFonts w:ascii="Tahoma" w:eastAsia="Tahoma" w:hAnsi="Tahoma" w:cs="Tahoma"/>
          <w:sz w:val="24"/>
          <w:szCs w:val="24"/>
          <w:lang w:val="es-ES"/>
        </w:rPr>
      </w:pPr>
      <w:r w:rsidRPr="00C308E9">
        <w:rPr>
          <w:rFonts w:ascii="Tahoma" w:eastAsia="Tahoma" w:hAnsi="Tahoma" w:cs="Tahoma"/>
          <w:sz w:val="24"/>
          <w:szCs w:val="24"/>
          <w:lang w:val="es-ES"/>
        </w:rPr>
        <w:t>Cuenta que en la Resolución SUB 75045 de 2023, que lo priva del derecho pensional, se indican fechas diversas de firmeza del dictamen y no se precisa la data en la que se surtió la notificación del mismo; que, debido a esta irregularidad, mediante escrito de 11 de abril de 2023 presentó recurso de reposición solicitando a la entidad que procediera a realizar en debida forma el acto de notificación de la calificación de pérdida de la capacidad laboral.</w:t>
      </w:r>
    </w:p>
    <w:p w14:paraId="7FB7BE2D" w14:textId="77777777" w:rsidR="00FD5CB2" w:rsidRPr="00C308E9" w:rsidRDefault="00FD5CB2" w:rsidP="00C308E9">
      <w:pPr>
        <w:spacing w:line="276" w:lineRule="auto"/>
        <w:ind w:firstLine="705"/>
        <w:jc w:val="both"/>
        <w:rPr>
          <w:rFonts w:ascii="Tahoma" w:eastAsia="Tahoma" w:hAnsi="Tahoma" w:cs="Tahoma"/>
          <w:sz w:val="24"/>
          <w:szCs w:val="24"/>
          <w:lang w:val="es-ES"/>
        </w:rPr>
      </w:pPr>
    </w:p>
    <w:p w14:paraId="4707B424" w14:textId="77777777" w:rsidR="00FD5CB2" w:rsidRPr="00C308E9" w:rsidRDefault="00FD5CB2" w:rsidP="00C308E9">
      <w:pPr>
        <w:spacing w:line="276" w:lineRule="auto"/>
        <w:ind w:firstLine="705"/>
        <w:jc w:val="both"/>
        <w:rPr>
          <w:rFonts w:ascii="Tahoma" w:eastAsia="Tahoma" w:hAnsi="Tahoma" w:cs="Tahoma"/>
          <w:sz w:val="24"/>
          <w:szCs w:val="24"/>
          <w:lang w:val="es-ES"/>
        </w:rPr>
      </w:pPr>
      <w:r w:rsidRPr="00C308E9">
        <w:rPr>
          <w:rFonts w:ascii="Tahoma" w:eastAsia="Tahoma" w:hAnsi="Tahoma" w:cs="Tahoma"/>
          <w:sz w:val="24"/>
          <w:szCs w:val="24"/>
          <w:lang w:val="es-ES"/>
        </w:rPr>
        <w:t>Refiere que el 4 de igual mes y año solicitó copia del citado dictamen emitido por Colpensiones y de la notificación realizada; que posteriormente, teniendo en cuenta que conoció el dictamen el 3 de mayo de 2023, procedió a formular recurso de reposición el 17 de ese mismo mes, el cual fue desestimado por extemporáneo, toda vez que la accionada afirma que aquél fue notificado el 8 de febrero de 2023 mediante correo electrónico, cuando realmente, en su condición de analfabeta,  no cuenta con dicho medio de notificación.</w:t>
      </w:r>
    </w:p>
    <w:p w14:paraId="0D96A338" w14:textId="77777777" w:rsidR="00FD5CB2" w:rsidRPr="00C308E9" w:rsidRDefault="00FD5CB2" w:rsidP="00C308E9">
      <w:pPr>
        <w:spacing w:line="276" w:lineRule="auto"/>
        <w:ind w:firstLine="705"/>
        <w:jc w:val="both"/>
        <w:rPr>
          <w:rFonts w:ascii="Tahoma" w:eastAsia="Tahoma" w:hAnsi="Tahoma" w:cs="Tahoma"/>
          <w:sz w:val="24"/>
          <w:szCs w:val="24"/>
          <w:lang w:val="es-ES"/>
        </w:rPr>
      </w:pPr>
      <w:r w:rsidRPr="00C308E9">
        <w:rPr>
          <w:rFonts w:ascii="Tahoma" w:eastAsia="Tahoma" w:hAnsi="Tahoma" w:cs="Tahoma"/>
          <w:sz w:val="24"/>
          <w:szCs w:val="24"/>
          <w:lang w:val="es-ES"/>
        </w:rPr>
        <w:t xml:space="preserve"> </w:t>
      </w:r>
    </w:p>
    <w:p w14:paraId="0E27B00A" w14:textId="174C3FC1" w:rsidR="00840519" w:rsidRDefault="00FD5CB2" w:rsidP="00C308E9">
      <w:pPr>
        <w:spacing w:line="276" w:lineRule="auto"/>
        <w:ind w:firstLine="705"/>
        <w:jc w:val="both"/>
        <w:rPr>
          <w:rFonts w:ascii="Tahoma" w:eastAsia="Tahoma" w:hAnsi="Tahoma" w:cs="Tahoma"/>
          <w:sz w:val="24"/>
          <w:szCs w:val="24"/>
          <w:lang w:val="es-ES"/>
        </w:rPr>
      </w:pPr>
      <w:r w:rsidRPr="00C308E9">
        <w:rPr>
          <w:rFonts w:ascii="Tahoma" w:eastAsia="Tahoma" w:hAnsi="Tahoma" w:cs="Tahoma"/>
          <w:sz w:val="24"/>
          <w:szCs w:val="24"/>
          <w:lang w:val="es-ES"/>
        </w:rPr>
        <w:t xml:space="preserve">Considera por tanto, que la actuación de Colpensiones es </w:t>
      </w:r>
      <w:proofErr w:type="spellStart"/>
      <w:r w:rsidRPr="00C308E9">
        <w:rPr>
          <w:rFonts w:ascii="Tahoma" w:eastAsia="Tahoma" w:hAnsi="Tahoma" w:cs="Tahoma"/>
          <w:sz w:val="24"/>
          <w:szCs w:val="24"/>
          <w:lang w:val="es-ES"/>
        </w:rPr>
        <w:t>vulneratoria</w:t>
      </w:r>
      <w:proofErr w:type="spellEnd"/>
      <w:r w:rsidRPr="00C308E9">
        <w:rPr>
          <w:rFonts w:ascii="Tahoma" w:eastAsia="Tahoma" w:hAnsi="Tahoma" w:cs="Tahoma"/>
          <w:sz w:val="24"/>
          <w:szCs w:val="24"/>
          <w:lang w:val="es-ES"/>
        </w:rPr>
        <w:t xml:space="preserve"> de los derechos fundamentales a la seguridad social, salud, vida digna, dignidad humana, mínimo vital, debilidad manifiesta, protección constitucional reforzada y el debido proceso, por lo que solicita su protección por esta vía y, como medida de restablecimiento, pide que se ordene a Colpensiones dar trámite al recurso de reposición formulado contra el dictamen No 4807014 de 2023 y enviar el expediente a la Junta Regional de Calificación de Invalidez.</w:t>
      </w:r>
    </w:p>
    <w:p w14:paraId="633682D0" w14:textId="77777777" w:rsidR="00E00A7F" w:rsidRPr="00C308E9" w:rsidRDefault="00E00A7F" w:rsidP="00C308E9">
      <w:pPr>
        <w:spacing w:line="276" w:lineRule="auto"/>
        <w:ind w:firstLine="705"/>
        <w:jc w:val="both"/>
        <w:rPr>
          <w:rFonts w:ascii="Tahoma" w:eastAsia="Tahoma" w:hAnsi="Tahoma" w:cs="Tahoma"/>
          <w:sz w:val="24"/>
          <w:szCs w:val="24"/>
          <w:lang w:val="es-ES"/>
        </w:rPr>
      </w:pPr>
    </w:p>
    <w:p w14:paraId="003D60ED" w14:textId="77777777" w:rsidR="003A1565" w:rsidRPr="00C308E9" w:rsidRDefault="003A1565" w:rsidP="00C308E9">
      <w:pPr>
        <w:keepNext/>
        <w:numPr>
          <w:ilvl w:val="0"/>
          <w:numId w:val="17"/>
        </w:numPr>
        <w:spacing w:line="276" w:lineRule="auto"/>
        <w:jc w:val="center"/>
        <w:rPr>
          <w:rFonts w:ascii="Tahoma" w:eastAsia="Tahoma" w:hAnsi="Tahoma" w:cs="Tahoma"/>
          <w:b/>
          <w:color w:val="000000"/>
          <w:sz w:val="24"/>
          <w:szCs w:val="24"/>
          <w:lang w:val="es-CO"/>
        </w:rPr>
      </w:pPr>
      <w:r w:rsidRPr="00C308E9">
        <w:rPr>
          <w:rFonts w:ascii="Tahoma" w:eastAsia="Tahoma" w:hAnsi="Tahoma" w:cs="Tahoma"/>
          <w:b/>
          <w:color w:val="000000"/>
          <w:sz w:val="24"/>
          <w:szCs w:val="24"/>
        </w:rPr>
        <w:t>CONTESTACIÓN DE LA DEMANDA</w:t>
      </w:r>
    </w:p>
    <w:p w14:paraId="60061E4C" w14:textId="77777777" w:rsidR="00795192" w:rsidRPr="00C308E9" w:rsidRDefault="00795192" w:rsidP="00C308E9">
      <w:pPr>
        <w:spacing w:line="276" w:lineRule="auto"/>
        <w:rPr>
          <w:rFonts w:ascii="Tahoma" w:hAnsi="Tahoma" w:cs="Tahoma"/>
          <w:sz w:val="24"/>
          <w:szCs w:val="24"/>
        </w:rPr>
      </w:pPr>
    </w:p>
    <w:p w14:paraId="0AE7CF7E" w14:textId="4212A0F0" w:rsidR="00FD5CB2" w:rsidRPr="00C308E9" w:rsidRDefault="00FD5CB2" w:rsidP="00C308E9">
      <w:pPr>
        <w:spacing w:line="276" w:lineRule="auto"/>
        <w:ind w:firstLine="705"/>
        <w:jc w:val="both"/>
        <w:rPr>
          <w:rFonts w:ascii="Tahoma" w:eastAsia="Tahoma" w:hAnsi="Tahoma" w:cs="Tahoma"/>
          <w:sz w:val="24"/>
          <w:szCs w:val="24"/>
          <w:lang w:val="es-ES"/>
        </w:rPr>
      </w:pPr>
      <w:r w:rsidRPr="00C308E9">
        <w:rPr>
          <w:rFonts w:ascii="Tahoma" w:eastAsia="Tahoma" w:hAnsi="Tahoma" w:cs="Tahoma"/>
          <w:sz w:val="24"/>
          <w:szCs w:val="24"/>
          <w:lang w:val="es-ES"/>
        </w:rPr>
        <w:t xml:space="preserve">La </w:t>
      </w:r>
      <w:r w:rsidRPr="00C308E9">
        <w:rPr>
          <w:rFonts w:ascii="Tahoma" w:eastAsia="Tahoma" w:hAnsi="Tahoma" w:cs="Tahoma"/>
          <w:b/>
          <w:sz w:val="24"/>
          <w:szCs w:val="24"/>
          <w:lang w:val="es-ES"/>
        </w:rPr>
        <w:t xml:space="preserve">ADRES </w:t>
      </w:r>
      <w:r w:rsidRPr="00C308E9">
        <w:rPr>
          <w:rFonts w:ascii="Tahoma" w:eastAsia="Tahoma" w:hAnsi="Tahoma" w:cs="Tahoma"/>
          <w:sz w:val="24"/>
          <w:szCs w:val="24"/>
          <w:lang w:val="es-ES"/>
        </w:rPr>
        <w:t>integró la litis haciendo un recuento normativo relacionado con su naturaleza jurídica y las funciones asignadas por la ley para luego señalar, en el caso concreto, que no es la entidad que viene afectando los derechos fundamentales del actor, por lo que resulta claro que se configura una falta de legitimación en la causa por pasiva.</w:t>
      </w:r>
    </w:p>
    <w:p w14:paraId="7A0FD881" w14:textId="77777777" w:rsidR="00FD5CB2" w:rsidRPr="00C308E9" w:rsidRDefault="00FD5CB2" w:rsidP="00C308E9">
      <w:pPr>
        <w:spacing w:line="276" w:lineRule="auto"/>
        <w:ind w:firstLine="705"/>
        <w:jc w:val="both"/>
        <w:rPr>
          <w:rFonts w:ascii="Tahoma" w:eastAsia="Tahoma" w:hAnsi="Tahoma" w:cs="Tahoma"/>
          <w:sz w:val="24"/>
          <w:szCs w:val="24"/>
          <w:lang w:val="es-ES"/>
        </w:rPr>
      </w:pPr>
    </w:p>
    <w:p w14:paraId="4CF1D4DC" w14:textId="40926F77" w:rsidR="00FD5CB2" w:rsidRPr="00C308E9" w:rsidRDefault="00FD5CB2" w:rsidP="00C308E9">
      <w:pPr>
        <w:spacing w:line="276" w:lineRule="auto"/>
        <w:ind w:firstLine="705"/>
        <w:jc w:val="both"/>
        <w:rPr>
          <w:rFonts w:ascii="Tahoma" w:eastAsia="Tahoma" w:hAnsi="Tahoma" w:cs="Tahoma"/>
          <w:sz w:val="24"/>
          <w:szCs w:val="24"/>
          <w:lang w:val="es-ES"/>
        </w:rPr>
      </w:pPr>
      <w:r w:rsidRPr="00C308E9">
        <w:rPr>
          <w:rFonts w:ascii="Tahoma" w:eastAsia="Tahoma" w:hAnsi="Tahoma" w:cs="Tahoma"/>
          <w:b/>
          <w:sz w:val="24"/>
          <w:szCs w:val="24"/>
          <w:lang w:val="es-ES"/>
        </w:rPr>
        <w:lastRenderedPageBreak/>
        <w:t>COLPENSIONES</w:t>
      </w:r>
      <w:r w:rsidRPr="00C308E9">
        <w:rPr>
          <w:rFonts w:ascii="Tahoma" w:eastAsia="Tahoma" w:hAnsi="Tahoma" w:cs="Tahoma"/>
          <w:sz w:val="24"/>
          <w:szCs w:val="24"/>
          <w:lang w:val="es-ES"/>
        </w:rPr>
        <w:t xml:space="preserve"> a su turno indicó que el actor solicitó la revisión del estado de invalidez el día 1º de noviembre de 2022; que, en el formulario diligenciado para esos efectos, reportó el correo monicamosquera57@gmail.com como dirección electrónica para notificación; que Colpensiones profirió dictamen el día 26 de enero de 2023 en el que determinó la pérdida de capacidad laboral del actor en un 19.80%, estructurada el 19 de marzo de 2013; que dicha valoración fue notificada al correo electrónico antes citado, el cual cuenta con acuse de recibo; que el día 17 de mayo de 2023 el actor presentó inconformidades contra dicho dictamen, a las cuales no se le dio trámite por haberse presentado por fuera del término previsto para ello.</w:t>
      </w:r>
    </w:p>
    <w:p w14:paraId="747FC978" w14:textId="77777777" w:rsidR="00FD5CB2" w:rsidRPr="00C308E9" w:rsidRDefault="00FD5CB2" w:rsidP="00C308E9">
      <w:pPr>
        <w:spacing w:line="276" w:lineRule="auto"/>
        <w:ind w:firstLine="705"/>
        <w:jc w:val="both"/>
        <w:rPr>
          <w:rFonts w:ascii="Tahoma" w:eastAsia="Tahoma" w:hAnsi="Tahoma" w:cs="Tahoma"/>
          <w:sz w:val="24"/>
          <w:szCs w:val="24"/>
          <w:lang w:val="es-ES"/>
        </w:rPr>
      </w:pPr>
    </w:p>
    <w:p w14:paraId="656100B8" w14:textId="77777777" w:rsidR="00FD5CB2" w:rsidRPr="00C308E9" w:rsidRDefault="00FD5CB2" w:rsidP="00C308E9">
      <w:pPr>
        <w:spacing w:line="276" w:lineRule="auto"/>
        <w:ind w:firstLine="705"/>
        <w:jc w:val="both"/>
        <w:rPr>
          <w:rFonts w:ascii="Tahoma" w:eastAsia="Tahoma" w:hAnsi="Tahoma" w:cs="Tahoma"/>
          <w:sz w:val="24"/>
          <w:szCs w:val="24"/>
          <w:lang w:val="es-ES"/>
        </w:rPr>
      </w:pPr>
      <w:r w:rsidRPr="00C308E9">
        <w:rPr>
          <w:rFonts w:ascii="Tahoma" w:eastAsia="Tahoma" w:hAnsi="Tahoma" w:cs="Tahoma"/>
          <w:sz w:val="24"/>
          <w:szCs w:val="24"/>
          <w:lang w:val="es-ES"/>
        </w:rPr>
        <w:t>Considera entonces que ha obrado conforme a derecho, sin que puede derivarse de su actuación la vulneración de los derechos fundamentales que denuncia el actor como afectados y en ese sentido, lo que corresponde es que éste agote los procedimientos administrativos y judiciales dispuestos para adelantar este tipo de reclamos, pues la acción de tutela es un mecanismo extraordinario de naturaleza residual y subsidiaria, previsto para casos en los que no encaja el presente.</w:t>
      </w:r>
    </w:p>
    <w:p w14:paraId="5565840F" w14:textId="77777777" w:rsidR="00FD5CB2" w:rsidRPr="00C308E9" w:rsidRDefault="00FD5CB2" w:rsidP="00C308E9">
      <w:pPr>
        <w:spacing w:line="276" w:lineRule="auto"/>
        <w:ind w:firstLine="705"/>
        <w:jc w:val="both"/>
        <w:rPr>
          <w:rFonts w:ascii="Tahoma" w:eastAsia="Tahoma" w:hAnsi="Tahoma" w:cs="Tahoma"/>
          <w:sz w:val="24"/>
          <w:szCs w:val="24"/>
          <w:lang w:val="es-ES"/>
        </w:rPr>
      </w:pPr>
    </w:p>
    <w:p w14:paraId="32881EE6" w14:textId="77777777" w:rsidR="00FD5CB2" w:rsidRPr="00C308E9" w:rsidRDefault="00FD5CB2" w:rsidP="00C308E9">
      <w:pPr>
        <w:spacing w:line="276" w:lineRule="auto"/>
        <w:ind w:firstLine="705"/>
        <w:jc w:val="both"/>
        <w:rPr>
          <w:rFonts w:ascii="Tahoma" w:eastAsia="Tahoma" w:hAnsi="Tahoma" w:cs="Tahoma"/>
          <w:sz w:val="24"/>
          <w:szCs w:val="24"/>
          <w:lang w:val="es-ES"/>
        </w:rPr>
      </w:pPr>
      <w:r w:rsidRPr="00C308E9">
        <w:rPr>
          <w:rFonts w:ascii="Tahoma" w:eastAsia="Tahoma" w:hAnsi="Tahoma" w:cs="Tahoma"/>
          <w:sz w:val="24"/>
          <w:szCs w:val="24"/>
          <w:lang w:val="es-ES"/>
        </w:rPr>
        <w:t>Por lo demás, hizo alusión a los requisitos para que la acción de tutela opere de manera transitoria; los fundamentos legales para la revisión del estado de invalidez; la improcedencia de las inconformidades frente a los dictámenes en firme; la interposición de recursos vía tutela y la órbita de competencia del juez constitucional.</w:t>
      </w:r>
    </w:p>
    <w:p w14:paraId="2B16232A" w14:textId="77777777" w:rsidR="00FD5CB2" w:rsidRPr="00C308E9" w:rsidRDefault="00FD5CB2" w:rsidP="00C308E9">
      <w:pPr>
        <w:spacing w:line="276" w:lineRule="auto"/>
        <w:ind w:firstLine="705"/>
        <w:jc w:val="both"/>
        <w:rPr>
          <w:rFonts w:ascii="Tahoma" w:eastAsia="Tahoma" w:hAnsi="Tahoma" w:cs="Tahoma"/>
          <w:sz w:val="24"/>
          <w:szCs w:val="24"/>
          <w:lang w:val="es-ES"/>
        </w:rPr>
      </w:pPr>
    </w:p>
    <w:p w14:paraId="315AA3C5" w14:textId="2F63C2AC" w:rsidR="003944F3" w:rsidRPr="00C308E9" w:rsidRDefault="00FD5CB2" w:rsidP="00C308E9">
      <w:pPr>
        <w:spacing w:line="276" w:lineRule="auto"/>
        <w:ind w:firstLine="705"/>
        <w:jc w:val="both"/>
        <w:rPr>
          <w:rFonts w:ascii="Tahoma" w:eastAsia="Tahoma" w:hAnsi="Tahoma" w:cs="Tahoma"/>
          <w:sz w:val="24"/>
          <w:szCs w:val="24"/>
          <w:lang w:val="es-ES"/>
        </w:rPr>
      </w:pPr>
      <w:r w:rsidRPr="00C308E9">
        <w:rPr>
          <w:rFonts w:ascii="Tahoma" w:eastAsia="Tahoma" w:hAnsi="Tahoma" w:cs="Tahoma"/>
          <w:sz w:val="24"/>
          <w:szCs w:val="24"/>
          <w:lang w:val="es-ES"/>
        </w:rPr>
        <w:t xml:space="preserve">La </w:t>
      </w:r>
      <w:r w:rsidRPr="00C308E9">
        <w:rPr>
          <w:rFonts w:ascii="Tahoma" w:eastAsia="Tahoma" w:hAnsi="Tahoma" w:cs="Tahoma"/>
          <w:b/>
          <w:sz w:val="24"/>
          <w:szCs w:val="24"/>
          <w:lang w:val="es-ES"/>
        </w:rPr>
        <w:t>NUEVA EPS</w:t>
      </w:r>
      <w:r w:rsidRPr="00C308E9">
        <w:rPr>
          <w:rFonts w:ascii="Tahoma" w:eastAsia="Tahoma" w:hAnsi="Tahoma" w:cs="Tahoma"/>
          <w:sz w:val="24"/>
          <w:szCs w:val="24"/>
          <w:lang w:val="es-ES"/>
        </w:rPr>
        <w:t xml:space="preserve"> guardó silencio dentro del término de traslado.</w:t>
      </w:r>
    </w:p>
    <w:p w14:paraId="72A5A1D3" w14:textId="77777777" w:rsidR="00FD5CB2" w:rsidRPr="00C308E9" w:rsidRDefault="00FD5CB2" w:rsidP="00C308E9">
      <w:pPr>
        <w:spacing w:line="276" w:lineRule="auto"/>
        <w:jc w:val="both"/>
        <w:rPr>
          <w:rFonts w:ascii="Tahoma" w:hAnsi="Tahoma" w:cs="Tahoma"/>
          <w:sz w:val="24"/>
          <w:szCs w:val="24"/>
        </w:rPr>
      </w:pPr>
    </w:p>
    <w:p w14:paraId="0348948C" w14:textId="77777777" w:rsidR="003A1565" w:rsidRPr="00C308E9" w:rsidRDefault="003A1565" w:rsidP="00C308E9">
      <w:pPr>
        <w:numPr>
          <w:ilvl w:val="0"/>
          <w:numId w:val="17"/>
        </w:numPr>
        <w:spacing w:line="276" w:lineRule="auto"/>
        <w:jc w:val="center"/>
        <w:rPr>
          <w:rFonts w:ascii="Tahoma" w:eastAsia="Tahoma" w:hAnsi="Tahoma" w:cs="Tahoma"/>
          <w:color w:val="000000"/>
          <w:sz w:val="24"/>
          <w:szCs w:val="24"/>
          <w:lang w:val="es-CO"/>
        </w:rPr>
      </w:pPr>
      <w:r w:rsidRPr="00C308E9">
        <w:rPr>
          <w:rFonts w:ascii="Tahoma" w:eastAsia="Tahoma" w:hAnsi="Tahoma" w:cs="Tahoma"/>
          <w:b/>
          <w:color w:val="000000"/>
          <w:sz w:val="24"/>
          <w:szCs w:val="24"/>
        </w:rPr>
        <w:t>PROVIDENCIA IMPUGNADA</w:t>
      </w:r>
    </w:p>
    <w:p w14:paraId="4D0A7FAF" w14:textId="77777777" w:rsidR="003A1565" w:rsidRPr="00C308E9" w:rsidRDefault="003A1565" w:rsidP="00C308E9">
      <w:pPr>
        <w:spacing w:line="276" w:lineRule="auto"/>
        <w:jc w:val="both"/>
        <w:rPr>
          <w:rFonts w:ascii="Tahoma" w:hAnsi="Tahoma" w:cs="Tahoma"/>
          <w:sz w:val="24"/>
          <w:szCs w:val="24"/>
        </w:rPr>
      </w:pPr>
    </w:p>
    <w:p w14:paraId="0EC98FC2" w14:textId="4C6085EB" w:rsidR="00FD5CB2" w:rsidRPr="00C308E9" w:rsidRDefault="00FD5CB2" w:rsidP="00C308E9">
      <w:pPr>
        <w:spacing w:line="276" w:lineRule="auto"/>
        <w:ind w:firstLine="705"/>
        <w:jc w:val="both"/>
        <w:rPr>
          <w:rFonts w:ascii="Tahoma" w:eastAsia="Tahoma" w:hAnsi="Tahoma" w:cs="Tahoma"/>
          <w:sz w:val="24"/>
          <w:szCs w:val="24"/>
          <w:lang w:val="es-ES"/>
        </w:rPr>
      </w:pPr>
      <w:r w:rsidRPr="00C308E9">
        <w:rPr>
          <w:rFonts w:ascii="Tahoma" w:eastAsia="Tahoma" w:hAnsi="Tahoma" w:cs="Tahoma"/>
          <w:sz w:val="24"/>
          <w:szCs w:val="24"/>
          <w:lang w:val="es-ES"/>
        </w:rPr>
        <w:t>La jueza de primera instancia amparó los derechos fundamentales a la salud y a la vida digna de los cuales es titular el señor Migue Ángel Zapata Loaiza, al advertirlos vulnerados por Colpensiones.</w:t>
      </w:r>
    </w:p>
    <w:p w14:paraId="659CCC82" w14:textId="77777777" w:rsidR="00FD5CB2" w:rsidRPr="00C308E9" w:rsidRDefault="00FD5CB2" w:rsidP="00C308E9">
      <w:pPr>
        <w:spacing w:line="276" w:lineRule="auto"/>
        <w:ind w:firstLine="705"/>
        <w:jc w:val="both"/>
        <w:rPr>
          <w:rFonts w:ascii="Tahoma" w:eastAsia="Tahoma" w:hAnsi="Tahoma" w:cs="Tahoma"/>
          <w:sz w:val="24"/>
          <w:szCs w:val="24"/>
          <w:lang w:val="es-ES"/>
        </w:rPr>
      </w:pPr>
    </w:p>
    <w:p w14:paraId="4B5E788F" w14:textId="77777777" w:rsidR="00FD5CB2" w:rsidRPr="00C308E9" w:rsidRDefault="00FD5CB2" w:rsidP="00C308E9">
      <w:pPr>
        <w:spacing w:line="276" w:lineRule="auto"/>
        <w:ind w:firstLine="705"/>
        <w:jc w:val="both"/>
        <w:rPr>
          <w:rFonts w:ascii="Tahoma" w:eastAsia="Tahoma" w:hAnsi="Tahoma" w:cs="Tahoma"/>
          <w:sz w:val="24"/>
          <w:szCs w:val="24"/>
          <w:lang w:val="es-ES"/>
        </w:rPr>
      </w:pPr>
      <w:r w:rsidRPr="00C308E9">
        <w:rPr>
          <w:rFonts w:ascii="Tahoma" w:eastAsia="Tahoma" w:hAnsi="Tahoma" w:cs="Tahoma"/>
          <w:sz w:val="24"/>
          <w:szCs w:val="24"/>
          <w:lang w:val="es-ES"/>
        </w:rPr>
        <w:t>Para arribar a esa decisión, la juzgadora de instancia determinó que esa entidad había suspendido de manera ilegal la pensión de invalidez del actor, pues por ningún medio notificó al accionante del inicio del proceso de revisión para poder contabilizar el término de 3 meses con el que contaba el calificado para someterse a dicha revisión. Tampoco encontró que existiera prueba de que el demandante haya solicitado la revisión, pues lo que quedó en evidencia es que la pensión fue suspendida desde antes de proferirse el dictamen No 4807014 de 26 de enero de 2023.</w:t>
      </w:r>
    </w:p>
    <w:p w14:paraId="0243DDEB" w14:textId="77777777" w:rsidR="00FD5CB2" w:rsidRPr="00C308E9" w:rsidRDefault="00FD5CB2" w:rsidP="00C308E9">
      <w:pPr>
        <w:spacing w:line="276" w:lineRule="auto"/>
        <w:ind w:firstLine="705"/>
        <w:jc w:val="both"/>
        <w:rPr>
          <w:rFonts w:ascii="Tahoma" w:eastAsia="Tahoma" w:hAnsi="Tahoma" w:cs="Tahoma"/>
          <w:sz w:val="24"/>
          <w:szCs w:val="24"/>
          <w:lang w:val="es-ES"/>
        </w:rPr>
      </w:pPr>
    </w:p>
    <w:p w14:paraId="00A53D4B" w14:textId="77777777" w:rsidR="00FD5CB2" w:rsidRPr="00C308E9" w:rsidRDefault="00FD5CB2" w:rsidP="00C308E9">
      <w:pPr>
        <w:spacing w:line="276" w:lineRule="auto"/>
        <w:ind w:firstLine="705"/>
        <w:jc w:val="both"/>
        <w:rPr>
          <w:rFonts w:ascii="Tahoma" w:eastAsia="Tahoma" w:hAnsi="Tahoma" w:cs="Tahoma"/>
          <w:sz w:val="24"/>
          <w:szCs w:val="24"/>
          <w:lang w:val="es-ES"/>
        </w:rPr>
      </w:pPr>
      <w:r w:rsidRPr="00C308E9">
        <w:rPr>
          <w:rFonts w:ascii="Tahoma" w:eastAsia="Tahoma" w:hAnsi="Tahoma" w:cs="Tahoma"/>
          <w:sz w:val="24"/>
          <w:szCs w:val="24"/>
          <w:lang w:val="es-ES"/>
        </w:rPr>
        <w:t xml:space="preserve">Conforme con lo dicho, ordenó a Colpensiones: i) Revocar el dictamen de pérdida de capacidad laboral antes referido, así como los numerales tercero y cuarto de la Resolución SUB 75045 de 17 de marzo de 2023, ii) Notificar la iniciación del proceso de revisión de la pensión de invalidez, iii) Cancelar las mesadas pensionales dejadas de percibir desde el 23 de febrero de 2023 y, iv) Continuar con el pago normal de la pensión, procediendo a suspender, modificar, revocar o prescribir la pensión, solo si se dan los presupuesto establecidos en el artículo 44 de la Ley 100 de 1993. </w:t>
      </w:r>
    </w:p>
    <w:p w14:paraId="52D93631" w14:textId="7200E0A5" w:rsidR="003A1565" w:rsidRPr="00C308E9" w:rsidRDefault="003A1565" w:rsidP="00C308E9">
      <w:pPr>
        <w:spacing w:line="276" w:lineRule="auto"/>
        <w:ind w:firstLine="705"/>
        <w:jc w:val="both"/>
        <w:rPr>
          <w:rFonts w:ascii="Tahoma" w:eastAsia="Tahoma" w:hAnsi="Tahoma" w:cs="Tahoma"/>
          <w:sz w:val="24"/>
          <w:szCs w:val="24"/>
          <w:lang w:val="es-ES"/>
        </w:rPr>
      </w:pPr>
    </w:p>
    <w:p w14:paraId="0E02A610" w14:textId="77777777" w:rsidR="003A1565" w:rsidRPr="00C308E9" w:rsidRDefault="003A1565" w:rsidP="00C308E9">
      <w:pPr>
        <w:numPr>
          <w:ilvl w:val="0"/>
          <w:numId w:val="17"/>
        </w:numPr>
        <w:tabs>
          <w:tab w:val="left" w:pos="851"/>
        </w:tabs>
        <w:spacing w:line="276" w:lineRule="auto"/>
        <w:jc w:val="center"/>
        <w:rPr>
          <w:rFonts w:ascii="Tahoma" w:eastAsia="Tahoma" w:hAnsi="Tahoma" w:cs="Tahoma"/>
          <w:b/>
          <w:color w:val="000000"/>
          <w:sz w:val="24"/>
          <w:szCs w:val="24"/>
          <w:lang w:val="es-CO"/>
        </w:rPr>
      </w:pPr>
      <w:r w:rsidRPr="00C308E9">
        <w:rPr>
          <w:rFonts w:ascii="Tahoma" w:eastAsia="Tahoma" w:hAnsi="Tahoma" w:cs="Tahoma"/>
          <w:b/>
          <w:color w:val="000000"/>
          <w:sz w:val="24"/>
          <w:szCs w:val="24"/>
        </w:rPr>
        <w:lastRenderedPageBreak/>
        <w:t>IMPUGNACIÓN</w:t>
      </w:r>
    </w:p>
    <w:p w14:paraId="53128261" w14:textId="77777777" w:rsidR="00BC42C7" w:rsidRPr="00C308E9" w:rsidRDefault="00BC42C7" w:rsidP="00C308E9">
      <w:pPr>
        <w:spacing w:line="276" w:lineRule="auto"/>
        <w:ind w:firstLine="705"/>
        <w:jc w:val="both"/>
        <w:rPr>
          <w:rFonts w:ascii="Tahoma" w:eastAsia="Tahoma" w:hAnsi="Tahoma" w:cs="Tahoma"/>
          <w:sz w:val="24"/>
          <w:szCs w:val="24"/>
          <w:lang w:val="es-ES"/>
        </w:rPr>
      </w:pPr>
    </w:p>
    <w:p w14:paraId="625643E4" w14:textId="77777777" w:rsidR="00FD5CB2" w:rsidRPr="00C308E9" w:rsidRDefault="00FD5CB2" w:rsidP="00C308E9">
      <w:pPr>
        <w:spacing w:line="276" w:lineRule="auto"/>
        <w:ind w:firstLine="705"/>
        <w:jc w:val="both"/>
        <w:rPr>
          <w:rFonts w:ascii="Tahoma" w:eastAsia="Tahoma" w:hAnsi="Tahoma" w:cs="Tahoma"/>
          <w:sz w:val="24"/>
          <w:szCs w:val="24"/>
          <w:lang w:val="es-ES"/>
        </w:rPr>
      </w:pPr>
      <w:r w:rsidRPr="00C308E9">
        <w:rPr>
          <w:rFonts w:ascii="Tahoma" w:eastAsia="Tahoma" w:hAnsi="Tahoma" w:cs="Tahoma"/>
          <w:sz w:val="24"/>
          <w:szCs w:val="24"/>
          <w:lang w:val="es-ES"/>
        </w:rPr>
        <w:t xml:space="preserve">Inconforme con lo decidido, Colpensiones impugnó la sentencia de primer grado informando que inició el proceso de revisión del estado de invalidez del actor y que, como quiera que no se logró contactar al actor, procedió a suspender la pensión a partir del mes de agosto de 2022; que posterior a ello, el señor Miguel Ángel Zapata Loaiza, mediante radicación </w:t>
      </w:r>
      <w:proofErr w:type="spellStart"/>
      <w:r w:rsidRPr="00C308E9">
        <w:rPr>
          <w:rFonts w:ascii="Tahoma" w:eastAsia="Tahoma" w:hAnsi="Tahoma" w:cs="Tahoma"/>
          <w:sz w:val="24"/>
          <w:szCs w:val="24"/>
          <w:lang w:val="es-ES"/>
        </w:rPr>
        <w:t>bz</w:t>
      </w:r>
      <w:proofErr w:type="spellEnd"/>
      <w:r w:rsidRPr="00C308E9">
        <w:rPr>
          <w:rFonts w:ascii="Tahoma" w:eastAsia="Tahoma" w:hAnsi="Tahoma" w:cs="Tahoma"/>
          <w:sz w:val="24"/>
          <w:szCs w:val="24"/>
          <w:lang w:val="es-ES"/>
        </w:rPr>
        <w:t xml:space="preserve"> 2022_16041944 de 1º de noviembre de 2022 solicitó la revisión de su estado de invalidez, trámite que, una vez surtidas todas las etapas,  dio como resultado la valoración consignada en el dictamen DML 4807014 de 26 de enero de 2023, en el cual se determinó una pérdida de capacidad laboral de 19.80%. y que fue notificado a la dirección de correo reportada en el proceso de revisión solicitado por el calificado.</w:t>
      </w:r>
    </w:p>
    <w:p w14:paraId="22776470" w14:textId="77777777" w:rsidR="00FD5CB2" w:rsidRPr="00C308E9" w:rsidRDefault="00FD5CB2" w:rsidP="00C308E9">
      <w:pPr>
        <w:spacing w:line="276" w:lineRule="auto"/>
        <w:ind w:firstLine="705"/>
        <w:jc w:val="both"/>
        <w:rPr>
          <w:rFonts w:ascii="Tahoma" w:eastAsia="Tahoma" w:hAnsi="Tahoma" w:cs="Tahoma"/>
          <w:sz w:val="24"/>
          <w:szCs w:val="24"/>
          <w:lang w:val="es-ES"/>
        </w:rPr>
      </w:pPr>
    </w:p>
    <w:p w14:paraId="5954D1A9" w14:textId="77777777" w:rsidR="00FD5CB2" w:rsidRPr="00C308E9" w:rsidRDefault="00FD5CB2" w:rsidP="00C308E9">
      <w:pPr>
        <w:spacing w:line="276" w:lineRule="auto"/>
        <w:ind w:firstLine="705"/>
        <w:jc w:val="both"/>
        <w:rPr>
          <w:rFonts w:ascii="Tahoma" w:eastAsia="Tahoma" w:hAnsi="Tahoma" w:cs="Tahoma"/>
          <w:sz w:val="24"/>
          <w:szCs w:val="24"/>
          <w:lang w:val="es-ES"/>
        </w:rPr>
      </w:pPr>
      <w:r w:rsidRPr="00C308E9">
        <w:rPr>
          <w:rFonts w:ascii="Tahoma" w:eastAsia="Tahoma" w:hAnsi="Tahoma" w:cs="Tahoma"/>
          <w:sz w:val="24"/>
          <w:szCs w:val="24"/>
          <w:lang w:val="es-ES"/>
        </w:rPr>
        <w:t>De acuerdo con lo expuesto, insiste en que las inconformidades radicadas el 17 de mayo de 2023, respecto a esa valoración, devienen extemporáneas y por ello no se les dio trámite, por lo que no resulta procedente que ahora, a través de la acción de tutela busque la reapertura de la calificación de la PCL cuando no hizo uso de los medios ordinarios de defensa de manera oportuna.</w:t>
      </w:r>
    </w:p>
    <w:p w14:paraId="25FC2A58" w14:textId="77777777" w:rsidR="00FD5CB2" w:rsidRPr="00C308E9" w:rsidRDefault="00FD5CB2" w:rsidP="00C308E9">
      <w:pPr>
        <w:spacing w:line="276" w:lineRule="auto"/>
        <w:ind w:firstLine="705"/>
        <w:jc w:val="both"/>
        <w:rPr>
          <w:rFonts w:ascii="Tahoma" w:eastAsia="Tahoma" w:hAnsi="Tahoma" w:cs="Tahoma"/>
          <w:sz w:val="24"/>
          <w:szCs w:val="24"/>
          <w:lang w:val="es-ES"/>
        </w:rPr>
      </w:pPr>
    </w:p>
    <w:p w14:paraId="55F145AA" w14:textId="77777777" w:rsidR="00FD5CB2" w:rsidRPr="00C308E9" w:rsidRDefault="00FD5CB2" w:rsidP="00C308E9">
      <w:pPr>
        <w:spacing w:line="276" w:lineRule="auto"/>
        <w:ind w:firstLine="705"/>
        <w:jc w:val="both"/>
        <w:rPr>
          <w:rFonts w:ascii="Tahoma" w:eastAsia="Tahoma" w:hAnsi="Tahoma" w:cs="Tahoma"/>
          <w:sz w:val="24"/>
          <w:szCs w:val="24"/>
          <w:lang w:val="es-ES"/>
        </w:rPr>
      </w:pPr>
      <w:r w:rsidRPr="00C308E9">
        <w:rPr>
          <w:rFonts w:ascii="Tahoma" w:eastAsia="Tahoma" w:hAnsi="Tahoma" w:cs="Tahoma"/>
          <w:sz w:val="24"/>
          <w:szCs w:val="24"/>
          <w:lang w:val="es-ES"/>
        </w:rPr>
        <w:t xml:space="preserve">Indica que al no contar con una pérdida de capacidad laboral del 50% o más, el actor no tiene derecho a que se pague a su favor la pensión de invalidez, por lo tanto, en el caso concreto, la entidad no ha vulnerado ninguno de los derechos fundamentales tutelados por la a quo </w:t>
      </w:r>
      <w:proofErr w:type="gramStart"/>
      <w:r w:rsidRPr="00C308E9">
        <w:rPr>
          <w:rFonts w:ascii="Tahoma" w:eastAsia="Tahoma" w:hAnsi="Tahoma" w:cs="Tahoma"/>
          <w:sz w:val="24"/>
          <w:szCs w:val="24"/>
          <w:lang w:val="es-ES"/>
        </w:rPr>
        <w:t>y</w:t>
      </w:r>
      <w:proofErr w:type="gramEnd"/>
      <w:r w:rsidRPr="00C308E9">
        <w:rPr>
          <w:rFonts w:ascii="Tahoma" w:eastAsia="Tahoma" w:hAnsi="Tahoma" w:cs="Tahoma"/>
          <w:sz w:val="24"/>
          <w:szCs w:val="24"/>
          <w:lang w:val="es-ES"/>
        </w:rPr>
        <w:t xml:space="preserve"> por tanto, el afectado debe acudir a la justicia ordinaria con el fin de que sea ésta quien defina la controversia planteada en esta jurisdicción.</w:t>
      </w:r>
    </w:p>
    <w:p w14:paraId="240A607A" w14:textId="77777777" w:rsidR="00FD5CB2" w:rsidRPr="00C308E9" w:rsidRDefault="00FD5CB2" w:rsidP="00C308E9">
      <w:pPr>
        <w:spacing w:line="276" w:lineRule="auto"/>
        <w:ind w:firstLine="705"/>
        <w:jc w:val="both"/>
        <w:rPr>
          <w:rFonts w:ascii="Tahoma" w:eastAsia="Tahoma" w:hAnsi="Tahoma" w:cs="Tahoma"/>
          <w:sz w:val="24"/>
          <w:szCs w:val="24"/>
          <w:lang w:val="es-ES"/>
        </w:rPr>
      </w:pPr>
    </w:p>
    <w:p w14:paraId="302B6F0C" w14:textId="3D23FA5E" w:rsidR="003A1565" w:rsidRPr="00C308E9" w:rsidRDefault="00FD5CB2" w:rsidP="00C308E9">
      <w:pPr>
        <w:spacing w:line="276" w:lineRule="auto"/>
        <w:ind w:firstLine="705"/>
        <w:jc w:val="both"/>
        <w:rPr>
          <w:rFonts w:ascii="Tahoma" w:eastAsia="Tahoma" w:hAnsi="Tahoma" w:cs="Tahoma"/>
          <w:sz w:val="24"/>
          <w:szCs w:val="24"/>
          <w:lang w:val="es-ES"/>
        </w:rPr>
      </w:pPr>
      <w:r w:rsidRPr="00C308E9">
        <w:rPr>
          <w:rFonts w:ascii="Tahoma" w:eastAsia="Tahoma" w:hAnsi="Tahoma" w:cs="Tahoma"/>
          <w:sz w:val="24"/>
          <w:szCs w:val="24"/>
          <w:lang w:val="es-ES"/>
        </w:rPr>
        <w:t>Por lo demás, retomó los argumentos expuestos al momento de dar respuesta a la acción.</w:t>
      </w:r>
    </w:p>
    <w:p w14:paraId="30D5D570" w14:textId="77777777" w:rsidR="003A1565" w:rsidRPr="00C308E9" w:rsidRDefault="003A1565" w:rsidP="00C308E9">
      <w:pPr>
        <w:numPr>
          <w:ilvl w:val="0"/>
          <w:numId w:val="17"/>
        </w:numPr>
        <w:tabs>
          <w:tab w:val="left" w:pos="851"/>
        </w:tabs>
        <w:spacing w:line="276" w:lineRule="auto"/>
        <w:jc w:val="center"/>
        <w:rPr>
          <w:rFonts w:ascii="Tahoma" w:eastAsia="Tahoma" w:hAnsi="Tahoma" w:cs="Tahoma"/>
          <w:b/>
          <w:color w:val="000000"/>
          <w:sz w:val="24"/>
          <w:szCs w:val="24"/>
          <w:lang w:val="es-CO"/>
        </w:rPr>
      </w:pPr>
      <w:r w:rsidRPr="00C308E9">
        <w:rPr>
          <w:rFonts w:ascii="Tahoma" w:eastAsia="Tahoma" w:hAnsi="Tahoma" w:cs="Tahoma"/>
          <w:b/>
          <w:color w:val="000000"/>
          <w:sz w:val="24"/>
          <w:szCs w:val="24"/>
        </w:rPr>
        <w:t>PROBLEMA JURÍDICO POR RESOLVER</w:t>
      </w:r>
    </w:p>
    <w:p w14:paraId="1669EC3A" w14:textId="77777777" w:rsidR="003A1565" w:rsidRPr="00C308E9" w:rsidRDefault="003A1565" w:rsidP="00C308E9">
      <w:pPr>
        <w:tabs>
          <w:tab w:val="left" w:pos="851"/>
        </w:tabs>
        <w:spacing w:line="276" w:lineRule="auto"/>
        <w:ind w:left="1146"/>
        <w:jc w:val="center"/>
        <w:rPr>
          <w:rFonts w:ascii="Tahoma" w:eastAsia="Tahoma" w:hAnsi="Tahoma" w:cs="Tahoma"/>
          <w:b/>
          <w:color w:val="000000"/>
          <w:sz w:val="24"/>
          <w:szCs w:val="24"/>
        </w:rPr>
      </w:pPr>
    </w:p>
    <w:p w14:paraId="3461D779" w14:textId="576E4CB7" w:rsidR="00DD034F" w:rsidRPr="00C308E9" w:rsidRDefault="003A1565" w:rsidP="00C308E9">
      <w:pPr>
        <w:spacing w:line="276" w:lineRule="auto"/>
        <w:ind w:firstLine="705"/>
        <w:jc w:val="both"/>
        <w:rPr>
          <w:rFonts w:ascii="Tahoma" w:eastAsia="Tahoma" w:hAnsi="Tahoma" w:cs="Tahoma"/>
          <w:sz w:val="24"/>
          <w:szCs w:val="24"/>
          <w:lang w:val="es-ES"/>
        </w:rPr>
      </w:pPr>
      <w:r w:rsidRPr="00C308E9">
        <w:rPr>
          <w:rFonts w:ascii="Tahoma" w:eastAsia="Tahoma" w:hAnsi="Tahoma" w:cs="Tahoma"/>
          <w:sz w:val="24"/>
          <w:szCs w:val="24"/>
          <w:lang w:val="es-ES"/>
        </w:rPr>
        <w:t>El problema jurídico se circunscribe a determinar si</w:t>
      </w:r>
      <w:r w:rsidR="00626148" w:rsidRPr="00C308E9">
        <w:rPr>
          <w:rFonts w:ascii="Tahoma" w:eastAsia="Tahoma" w:hAnsi="Tahoma" w:cs="Tahoma"/>
          <w:sz w:val="24"/>
          <w:szCs w:val="24"/>
          <w:lang w:val="es-ES"/>
        </w:rPr>
        <w:t xml:space="preserve"> en el proceso de revisión del estado de invalidez del actor, se vulneraron las garantías fundamentales que fueron tuteladas por la a quo.</w:t>
      </w:r>
    </w:p>
    <w:p w14:paraId="62BA6E09" w14:textId="251C2DE8" w:rsidR="003A1565" w:rsidRPr="00C308E9" w:rsidRDefault="003A1565" w:rsidP="00C308E9">
      <w:pPr>
        <w:tabs>
          <w:tab w:val="left" w:pos="851"/>
        </w:tabs>
        <w:spacing w:line="276" w:lineRule="auto"/>
        <w:ind w:left="1146"/>
        <w:rPr>
          <w:rFonts w:ascii="Tahoma" w:eastAsia="Tahoma" w:hAnsi="Tahoma" w:cs="Tahoma"/>
          <w:b/>
          <w:color w:val="000000"/>
          <w:sz w:val="24"/>
          <w:szCs w:val="24"/>
        </w:rPr>
      </w:pPr>
    </w:p>
    <w:p w14:paraId="25E46CB4" w14:textId="2C21041F" w:rsidR="003A1565" w:rsidRPr="00C308E9" w:rsidRDefault="003A1565" w:rsidP="00C308E9">
      <w:pPr>
        <w:numPr>
          <w:ilvl w:val="0"/>
          <w:numId w:val="17"/>
        </w:numPr>
        <w:tabs>
          <w:tab w:val="left" w:pos="851"/>
        </w:tabs>
        <w:spacing w:line="276" w:lineRule="auto"/>
        <w:jc w:val="center"/>
        <w:rPr>
          <w:rFonts w:ascii="Tahoma" w:eastAsia="Tahoma" w:hAnsi="Tahoma" w:cs="Tahoma"/>
          <w:b/>
          <w:color w:val="000000"/>
          <w:sz w:val="24"/>
          <w:szCs w:val="24"/>
        </w:rPr>
      </w:pPr>
      <w:r w:rsidRPr="00C308E9">
        <w:rPr>
          <w:rFonts w:ascii="Tahoma" w:eastAsia="Tahoma" w:hAnsi="Tahoma" w:cs="Tahoma"/>
          <w:b/>
          <w:color w:val="000000"/>
          <w:sz w:val="24"/>
          <w:szCs w:val="24"/>
        </w:rPr>
        <w:t>CONSIDERACIONES</w:t>
      </w:r>
    </w:p>
    <w:p w14:paraId="09A7E8FD" w14:textId="77777777" w:rsidR="009A6D4F" w:rsidRPr="00C308E9" w:rsidRDefault="009A6D4F" w:rsidP="00C308E9">
      <w:pPr>
        <w:tabs>
          <w:tab w:val="left" w:pos="851"/>
        </w:tabs>
        <w:spacing w:line="276" w:lineRule="auto"/>
        <w:ind w:left="1146"/>
        <w:rPr>
          <w:rFonts w:ascii="Tahoma" w:eastAsia="Tahoma" w:hAnsi="Tahoma" w:cs="Tahoma"/>
          <w:b/>
          <w:color w:val="000000"/>
          <w:sz w:val="24"/>
          <w:szCs w:val="24"/>
        </w:rPr>
      </w:pPr>
    </w:p>
    <w:p w14:paraId="5CA66CF0" w14:textId="09A1EF94" w:rsidR="005274DC" w:rsidRPr="00C308E9" w:rsidRDefault="005274DC" w:rsidP="00C308E9">
      <w:pPr>
        <w:pStyle w:val="Prrafodelista"/>
        <w:numPr>
          <w:ilvl w:val="1"/>
          <w:numId w:val="21"/>
        </w:numPr>
        <w:spacing w:line="276" w:lineRule="auto"/>
        <w:ind w:right="-93"/>
        <w:contextualSpacing/>
        <w:jc w:val="both"/>
        <w:rPr>
          <w:rFonts w:ascii="Tahoma" w:eastAsia="Tahoma" w:hAnsi="Tahoma" w:cs="Tahoma"/>
          <w:b/>
          <w:color w:val="000000"/>
          <w:sz w:val="24"/>
          <w:szCs w:val="24"/>
        </w:rPr>
      </w:pPr>
      <w:r w:rsidRPr="00C308E9">
        <w:rPr>
          <w:rFonts w:ascii="Tahoma" w:eastAsia="Tahoma" w:hAnsi="Tahoma" w:cs="Tahoma"/>
          <w:b/>
          <w:color w:val="000000"/>
          <w:sz w:val="24"/>
          <w:szCs w:val="24"/>
        </w:rPr>
        <w:t>PRESUPESTOS GENERALES DE PROCEDENCIA DE LA ACCIÓN DE TUTELA</w:t>
      </w:r>
    </w:p>
    <w:p w14:paraId="66387B0B" w14:textId="77777777" w:rsidR="005274DC" w:rsidRPr="00C308E9" w:rsidRDefault="005274DC" w:rsidP="00C308E9">
      <w:pPr>
        <w:pStyle w:val="Sinespaciado"/>
        <w:spacing w:line="276" w:lineRule="auto"/>
        <w:rPr>
          <w:rFonts w:ascii="Tahoma" w:eastAsia="Tahoma" w:hAnsi="Tahoma" w:cs="Tahoma"/>
          <w:sz w:val="24"/>
          <w:szCs w:val="24"/>
        </w:rPr>
      </w:pPr>
    </w:p>
    <w:p w14:paraId="1FD53FB2" w14:textId="77777777" w:rsidR="005274DC" w:rsidRPr="00C308E9" w:rsidRDefault="005274DC" w:rsidP="00C308E9">
      <w:pPr>
        <w:spacing w:line="276" w:lineRule="auto"/>
        <w:rPr>
          <w:rFonts w:ascii="Tahoma" w:eastAsia="Tahoma" w:hAnsi="Tahoma" w:cs="Tahoma"/>
          <w:b/>
          <w:bCs/>
          <w:sz w:val="24"/>
          <w:szCs w:val="24"/>
        </w:rPr>
      </w:pPr>
      <w:r w:rsidRPr="00C308E9">
        <w:rPr>
          <w:rFonts w:ascii="Tahoma" w:eastAsia="Tahoma" w:hAnsi="Tahoma" w:cs="Tahoma"/>
          <w:b/>
          <w:bCs/>
          <w:color w:val="000000"/>
          <w:sz w:val="24"/>
          <w:szCs w:val="24"/>
        </w:rPr>
        <w:t xml:space="preserve">      6.1.1.   </w:t>
      </w:r>
      <w:r w:rsidRPr="00C308E9">
        <w:rPr>
          <w:rFonts w:ascii="Tahoma" w:eastAsia="Tahoma" w:hAnsi="Tahoma" w:cs="Tahoma"/>
          <w:b/>
          <w:bCs/>
          <w:sz w:val="24"/>
          <w:szCs w:val="24"/>
        </w:rPr>
        <w:t>Legitimación en la causa.</w:t>
      </w:r>
    </w:p>
    <w:p w14:paraId="52F95C51" w14:textId="77777777" w:rsidR="005274DC" w:rsidRPr="00C308E9" w:rsidRDefault="005274DC" w:rsidP="00C308E9">
      <w:pPr>
        <w:spacing w:line="276" w:lineRule="auto"/>
        <w:rPr>
          <w:rFonts w:ascii="Tahoma" w:eastAsia="Tahoma" w:hAnsi="Tahoma" w:cs="Tahoma"/>
          <w:b/>
          <w:bCs/>
          <w:sz w:val="24"/>
          <w:szCs w:val="24"/>
        </w:rPr>
      </w:pPr>
    </w:p>
    <w:p w14:paraId="4357624C" w14:textId="224FFCEB" w:rsidR="005274DC" w:rsidRPr="00C308E9" w:rsidRDefault="005274DC" w:rsidP="00C308E9">
      <w:pPr>
        <w:spacing w:line="276" w:lineRule="auto"/>
        <w:ind w:firstLine="708"/>
        <w:jc w:val="both"/>
        <w:rPr>
          <w:rFonts w:ascii="Tahoma" w:eastAsia="Tahoma" w:hAnsi="Tahoma" w:cs="Tahoma"/>
          <w:color w:val="000000"/>
          <w:sz w:val="24"/>
          <w:szCs w:val="24"/>
        </w:rPr>
      </w:pPr>
      <w:r w:rsidRPr="00C308E9">
        <w:rPr>
          <w:rFonts w:ascii="Tahoma" w:eastAsia="Tahoma" w:hAnsi="Tahoma" w:cs="Tahoma"/>
          <w:color w:val="000000"/>
          <w:sz w:val="24"/>
          <w:szCs w:val="24"/>
        </w:rPr>
        <w:t xml:space="preserve">Comiéncese por decir que el artículo 86 de la Constitución Nacional, en suma, con el artículo 10 del decreto 2591 del año 1991, estatuyen las generalidades y las causales </w:t>
      </w:r>
      <w:r w:rsidRPr="00C308E9">
        <w:rPr>
          <w:rFonts w:ascii="Tahoma" w:eastAsia="Tahoma" w:hAnsi="Tahoma" w:cs="Tahoma"/>
          <w:sz w:val="24"/>
          <w:szCs w:val="24"/>
        </w:rPr>
        <w:t>genéricas</w:t>
      </w:r>
      <w:r w:rsidRPr="00C308E9">
        <w:rPr>
          <w:rFonts w:ascii="Tahoma" w:eastAsia="Tahoma" w:hAnsi="Tahoma" w:cs="Tahoma"/>
          <w:color w:val="000000"/>
          <w:sz w:val="24"/>
          <w:szCs w:val="24"/>
        </w:rPr>
        <w:t xml:space="preserve"> de la procedencia de la acción de tutela, siendo este último el cual enmarca la legitimación e interés como cierto requisito para su impetración, de tal suerte que el artículo </w:t>
      </w:r>
      <w:proofErr w:type="spellStart"/>
      <w:r w:rsidRPr="00C308E9">
        <w:rPr>
          <w:rFonts w:ascii="Tahoma" w:eastAsia="Tahoma" w:hAnsi="Tahoma" w:cs="Tahoma"/>
          <w:i/>
          <w:iCs/>
          <w:color w:val="000000"/>
          <w:sz w:val="24"/>
          <w:szCs w:val="24"/>
        </w:rPr>
        <w:t>Ejusdem</w:t>
      </w:r>
      <w:proofErr w:type="spellEnd"/>
      <w:r w:rsidRPr="00C308E9">
        <w:rPr>
          <w:rFonts w:ascii="Tahoma" w:eastAsia="Tahoma" w:hAnsi="Tahoma" w:cs="Tahoma"/>
          <w:color w:val="000000"/>
          <w:sz w:val="24"/>
          <w:szCs w:val="24"/>
        </w:rPr>
        <w:t xml:space="preserve"> </w:t>
      </w:r>
      <w:r w:rsidRPr="00C308E9">
        <w:rPr>
          <w:rFonts w:ascii="Tahoma" w:eastAsia="Tahoma" w:hAnsi="Tahoma" w:cs="Tahoma"/>
          <w:sz w:val="24"/>
          <w:szCs w:val="24"/>
        </w:rPr>
        <w:t>consagra</w:t>
      </w:r>
      <w:r w:rsidRPr="00C308E9">
        <w:rPr>
          <w:rFonts w:ascii="Tahoma" w:eastAsia="Tahoma" w:hAnsi="Tahoma" w:cs="Tahoma"/>
          <w:color w:val="000000"/>
          <w:sz w:val="24"/>
          <w:szCs w:val="24"/>
        </w:rPr>
        <w:t xml:space="preserve"> que:</w:t>
      </w:r>
    </w:p>
    <w:p w14:paraId="0A62D368" w14:textId="77777777" w:rsidR="005274DC" w:rsidRPr="00C308E9" w:rsidRDefault="005274DC" w:rsidP="00C308E9">
      <w:pPr>
        <w:spacing w:line="276" w:lineRule="auto"/>
        <w:jc w:val="both"/>
        <w:rPr>
          <w:rFonts w:ascii="Tahoma" w:eastAsia="Tahoma" w:hAnsi="Tahoma" w:cs="Tahoma"/>
          <w:color w:val="000000"/>
          <w:sz w:val="24"/>
          <w:szCs w:val="24"/>
        </w:rPr>
      </w:pPr>
    </w:p>
    <w:p w14:paraId="0C54EF70" w14:textId="3EEDD25E" w:rsidR="005274DC" w:rsidRPr="004C19B7" w:rsidRDefault="005274DC" w:rsidP="004C19B7">
      <w:pPr>
        <w:ind w:left="426" w:right="420"/>
        <w:jc w:val="both"/>
        <w:rPr>
          <w:rFonts w:ascii="Tahoma" w:eastAsia="Tahoma" w:hAnsi="Tahoma" w:cs="Tahoma"/>
          <w:i/>
          <w:iCs/>
          <w:sz w:val="22"/>
          <w:szCs w:val="24"/>
        </w:rPr>
      </w:pPr>
      <w:r w:rsidRPr="004C19B7">
        <w:rPr>
          <w:rFonts w:ascii="Tahoma" w:eastAsia="Tahoma" w:hAnsi="Tahoma" w:cs="Tahoma"/>
          <w:i/>
          <w:iCs/>
          <w:sz w:val="22"/>
          <w:szCs w:val="24"/>
        </w:rPr>
        <w:t xml:space="preserve"> “La acción de tutela podrá ser ejercida, en todo momento y lugar, por cualquiera persona vulnerada o amenazada en uno de sus derechos fundamentales, quien actuará por sí misma o a través de representante […]</w:t>
      </w:r>
    </w:p>
    <w:p w14:paraId="44AC2A1A" w14:textId="77777777" w:rsidR="005274DC" w:rsidRPr="004C19B7" w:rsidRDefault="005274DC" w:rsidP="004C19B7">
      <w:pPr>
        <w:ind w:left="426" w:right="420"/>
        <w:jc w:val="both"/>
        <w:rPr>
          <w:rFonts w:ascii="Tahoma" w:eastAsia="Tahoma" w:hAnsi="Tahoma" w:cs="Tahoma"/>
          <w:i/>
          <w:iCs/>
          <w:sz w:val="22"/>
          <w:szCs w:val="24"/>
        </w:rPr>
      </w:pPr>
    </w:p>
    <w:p w14:paraId="31724712" w14:textId="77777777" w:rsidR="005274DC" w:rsidRPr="004C19B7" w:rsidRDefault="005274DC" w:rsidP="004C19B7">
      <w:pPr>
        <w:ind w:left="426" w:right="420"/>
        <w:jc w:val="both"/>
        <w:rPr>
          <w:rFonts w:ascii="Tahoma" w:eastAsia="Tahoma" w:hAnsi="Tahoma" w:cs="Tahoma"/>
          <w:i/>
          <w:iCs/>
          <w:sz w:val="22"/>
          <w:szCs w:val="24"/>
        </w:rPr>
      </w:pPr>
      <w:r w:rsidRPr="004C19B7">
        <w:rPr>
          <w:rFonts w:ascii="Tahoma" w:eastAsia="Tahoma" w:hAnsi="Tahoma" w:cs="Tahoma"/>
          <w:i/>
          <w:iCs/>
          <w:sz w:val="22"/>
          <w:szCs w:val="24"/>
        </w:rPr>
        <w:t>También se pueden agenciar derechos ajenos cuando el titular de los mismos no esté en condiciones de promover su propia defensa. Cuando tal circunstancia ocurra, deberá manifestarse en la solicitud.</w:t>
      </w:r>
    </w:p>
    <w:p w14:paraId="081D5DE7" w14:textId="77777777" w:rsidR="005274DC" w:rsidRPr="004C19B7" w:rsidRDefault="005274DC" w:rsidP="004C19B7">
      <w:pPr>
        <w:ind w:left="426" w:right="420"/>
        <w:jc w:val="both"/>
        <w:rPr>
          <w:rFonts w:ascii="Tahoma" w:eastAsia="Tahoma" w:hAnsi="Tahoma" w:cs="Tahoma"/>
          <w:i/>
          <w:iCs/>
          <w:sz w:val="22"/>
          <w:szCs w:val="24"/>
        </w:rPr>
      </w:pPr>
    </w:p>
    <w:p w14:paraId="69A80AA8" w14:textId="77777777" w:rsidR="005274DC" w:rsidRPr="004C19B7" w:rsidRDefault="005274DC" w:rsidP="004C19B7">
      <w:pPr>
        <w:ind w:left="426" w:right="420"/>
        <w:jc w:val="both"/>
        <w:rPr>
          <w:rFonts w:ascii="Tahoma" w:eastAsia="Tahoma" w:hAnsi="Tahoma" w:cs="Tahoma"/>
          <w:i/>
          <w:iCs/>
          <w:sz w:val="22"/>
          <w:szCs w:val="24"/>
        </w:rPr>
      </w:pPr>
      <w:r w:rsidRPr="004C19B7">
        <w:rPr>
          <w:rFonts w:ascii="Tahoma" w:eastAsia="Tahoma" w:hAnsi="Tahoma" w:cs="Tahoma"/>
          <w:i/>
          <w:iCs/>
          <w:sz w:val="22"/>
          <w:szCs w:val="24"/>
        </w:rPr>
        <w:t>También podrá ejercerla el Defensor del Pueblo y los personeros municipales.”</w:t>
      </w:r>
    </w:p>
    <w:p w14:paraId="1AE5FA23" w14:textId="2E67938B" w:rsidR="005274DC" w:rsidRPr="00C308E9" w:rsidRDefault="005274DC" w:rsidP="00C308E9">
      <w:pPr>
        <w:pStyle w:val="Sinespaciado"/>
        <w:spacing w:line="276" w:lineRule="auto"/>
        <w:rPr>
          <w:rFonts w:ascii="Tahoma" w:eastAsia="Tahoma" w:hAnsi="Tahoma" w:cs="Tahoma"/>
          <w:sz w:val="24"/>
          <w:szCs w:val="24"/>
        </w:rPr>
      </w:pPr>
    </w:p>
    <w:p w14:paraId="03B9DD12" w14:textId="77777777" w:rsidR="005274DC" w:rsidRPr="00C308E9" w:rsidRDefault="005274DC" w:rsidP="00C308E9">
      <w:pPr>
        <w:spacing w:line="276" w:lineRule="auto"/>
        <w:rPr>
          <w:rFonts w:ascii="Tahoma" w:eastAsia="Tahoma" w:hAnsi="Tahoma" w:cs="Tahoma"/>
          <w:b/>
          <w:bCs/>
          <w:sz w:val="24"/>
          <w:szCs w:val="24"/>
        </w:rPr>
      </w:pPr>
      <w:r w:rsidRPr="00C308E9">
        <w:rPr>
          <w:rFonts w:ascii="Tahoma" w:eastAsia="Tahoma" w:hAnsi="Tahoma" w:cs="Tahoma"/>
          <w:b/>
          <w:bCs/>
          <w:sz w:val="24"/>
          <w:szCs w:val="24"/>
        </w:rPr>
        <w:t xml:space="preserve">             6.1.1.1. Legitimación en la causa por activa</w:t>
      </w:r>
    </w:p>
    <w:p w14:paraId="0C62B28A" w14:textId="77777777" w:rsidR="005274DC" w:rsidRPr="00C308E9" w:rsidRDefault="005274DC" w:rsidP="00C308E9">
      <w:pPr>
        <w:pStyle w:val="Sinespaciado"/>
        <w:spacing w:line="276" w:lineRule="auto"/>
        <w:rPr>
          <w:rFonts w:ascii="Tahoma" w:eastAsia="Tahoma" w:hAnsi="Tahoma" w:cs="Tahoma"/>
          <w:sz w:val="24"/>
          <w:szCs w:val="24"/>
        </w:rPr>
      </w:pPr>
      <w:r w:rsidRPr="00C308E9">
        <w:rPr>
          <w:rFonts w:ascii="Tahoma" w:eastAsia="Tahoma" w:hAnsi="Tahoma" w:cs="Tahoma"/>
          <w:sz w:val="24"/>
          <w:szCs w:val="24"/>
        </w:rPr>
        <w:t xml:space="preserve"> </w:t>
      </w:r>
    </w:p>
    <w:p w14:paraId="4168180C" w14:textId="77777777" w:rsidR="005274DC" w:rsidRPr="00C308E9" w:rsidRDefault="005274DC" w:rsidP="00C308E9">
      <w:pPr>
        <w:spacing w:line="276" w:lineRule="auto"/>
        <w:ind w:firstLine="708"/>
        <w:jc w:val="both"/>
        <w:rPr>
          <w:rFonts w:ascii="Tahoma" w:eastAsia="Tahoma" w:hAnsi="Tahoma" w:cs="Tahoma"/>
          <w:sz w:val="24"/>
          <w:szCs w:val="24"/>
        </w:rPr>
      </w:pPr>
      <w:r w:rsidRPr="00C308E9">
        <w:rPr>
          <w:rFonts w:ascii="Tahoma" w:eastAsia="Tahoma" w:hAnsi="Tahoma" w:cs="Tahoma"/>
          <w:sz w:val="24"/>
          <w:szCs w:val="24"/>
        </w:rPr>
        <w:t>En cuanto a la legitimación en la causa por activa, es importante traer a colación lo expuesto por la Corte Constitucional dicta.</w:t>
      </w:r>
    </w:p>
    <w:p w14:paraId="516F5BE0" w14:textId="77777777" w:rsidR="005274DC" w:rsidRPr="00C308E9" w:rsidRDefault="005274DC" w:rsidP="00C308E9">
      <w:pPr>
        <w:spacing w:line="276" w:lineRule="auto"/>
        <w:jc w:val="both"/>
        <w:rPr>
          <w:rFonts w:ascii="Tahoma" w:eastAsia="Tahoma" w:hAnsi="Tahoma" w:cs="Tahoma"/>
          <w:sz w:val="24"/>
          <w:szCs w:val="24"/>
        </w:rPr>
      </w:pPr>
    </w:p>
    <w:p w14:paraId="38248036" w14:textId="0D719402" w:rsidR="005274DC" w:rsidRPr="00E81766" w:rsidRDefault="005274DC" w:rsidP="00E81766">
      <w:pPr>
        <w:ind w:left="426" w:right="420"/>
        <w:jc w:val="both"/>
        <w:rPr>
          <w:rFonts w:ascii="Tahoma" w:eastAsia="Tahoma" w:hAnsi="Tahoma" w:cs="Tahoma"/>
          <w:i/>
          <w:iCs/>
          <w:sz w:val="22"/>
          <w:szCs w:val="24"/>
        </w:rPr>
      </w:pPr>
      <w:r w:rsidRPr="00E81766">
        <w:rPr>
          <w:rFonts w:ascii="Tahoma" w:eastAsia="Tahoma" w:hAnsi="Tahoma" w:cs="Tahoma"/>
          <w:i/>
          <w:iCs/>
          <w:sz w:val="22"/>
          <w:szCs w:val="24"/>
        </w:rPr>
        <w:t>“La legitimación por activa se refier</w:t>
      </w:r>
      <w:r w:rsidR="004C19B7">
        <w:rPr>
          <w:rFonts w:ascii="Tahoma" w:eastAsia="Tahoma" w:hAnsi="Tahoma" w:cs="Tahoma"/>
          <w:i/>
          <w:iCs/>
          <w:sz w:val="22"/>
          <w:szCs w:val="24"/>
        </w:rPr>
        <w:t xml:space="preserve">e a la capacidad de los sujetos </w:t>
      </w:r>
      <w:r w:rsidRPr="00E81766">
        <w:rPr>
          <w:rFonts w:ascii="Tahoma" w:eastAsia="Tahoma" w:hAnsi="Tahoma" w:cs="Tahoma"/>
          <w:i/>
          <w:iCs/>
          <w:sz w:val="22"/>
          <w:szCs w:val="24"/>
        </w:rPr>
        <w:t>procesales para formular acciones de tutela en defensa de los derechos fundamentales</w:t>
      </w:r>
      <w:r w:rsidR="004C19B7">
        <w:rPr>
          <w:rFonts w:ascii="Tahoma" w:eastAsia="Tahoma" w:hAnsi="Tahoma" w:cs="Tahoma"/>
          <w:i/>
          <w:iCs/>
          <w:sz w:val="22"/>
          <w:szCs w:val="24"/>
        </w:rPr>
        <w:t xml:space="preserve"> </w:t>
      </w:r>
      <w:r w:rsidRPr="00E81766">
        <w:rPr>
          <w:rFonts w:ascii="Tahoma" w:eastAsia="Tahoma" w:hAnsi="Tahoma" w:cs="Tahoma"/>
          <w:i/>
          <w:iCs/>
          <w:sz w:val="22"/>
          <w:szCs w:val="24"/>
        </w:rPr>
        <w:t>que</w:t>
      </w:r>
      <w:r w:rsidR="004C19B7">
        <w:rPr>
          <w:rFonts w:ascii="Tahoma" w:eastAsia="Tahoma" w:hAnsi="Tahoma" w:cs="Tahoma"/>
          <w:i/>
          <w:iCs/>
          <w:sz w:val="22"/>
          <w:szCs w:val="24"/>
        </w:rPr>
        <w:t xml:space="preserve"> </w:t>
      </w:r>
      <w:r w:rsidRPr="00E81766">
        <w:rPr>
          <w:rFonts w:ascii="Tahoma" w:eastAsia="Tahoma" w:hAnsi="Tahoma" w:cs="Tahoma"/>
          <w:i/>
          <w:iCs/>
          <w:sz w:val="22"/>
          <w:szCs w:val="24"/>
        </w:rPr>
        <w:t>presuntamente</w:t>
      </w:r>
      <w:r w:rsidR="004C19B7">
        <w:rPr>
          <w:rFonts w:ascii="Tahoma" w:eastAsia="Tahoma" w:hAnsi="Tahoma" w:cs="Tahoma"/>
          <w:i/>
          <w:iCs/>
          <w:sz w:val="22"/>
          <w:szCs w:val="24"/>
        </w:rPr>
        <w:t xml:space="preserve"> </w:t>
      </w:r>
      <w:r w:rsidRPr="00E81766">
        <w:rPr>
          <w:rFonts w:ascii="Tahoma" w:eastAsia="Tahoma" w:hAnsi="Tahoma" w:cs="Tahoma"/>
          <w:i/>
          <w:iCs/>
          <w:sz w:val="22"/>
          <w:szCs w:val="24"/>
        </w:rPr>
        <w:t>han sido</w:t>
      </w:r>
      <w:r w:rsidR="004C19B7">
        <w:rPr>
          <w:rFonts w:ascii="Tahoma" w:eastAsia="Tahoma" w:hAnsi="Tahoma" w:cs="Tahoma"/>
          <w:i/>
          <w:iCs/>
          <w:sz w:val="22"/>
          <w:szCs w:val="24"/>
        </w:rPr>
        <w:t xml:space="preserve"> </w:t>
      </w:r>
      <w:r w:rsidRPr="00E81766">
        <w:rPr>
          <w:rFonts w:ascii="Tahoma" w:eastAsia="Tahoma" w:hAnsi="Tahoma" w:cs="Tahoma"/>
          <w:i/>
          <w:iCs/>
          <w:sz w:val="22"/>
          <w:szCs w:val="24"/>
        </w:rPr>
        <w:t>vulnerados o</w:t>
      </w:r>
      <w:r w:rsidR="004C19B7">
        <w:rPr>
          <w:rFonts w:ascii="Tahoma" w:eastAsia="Tahoma" w:hAnsi="Tahoma" w:cs="Tahoma"/>
          <w:i/>
          <w:iCs/>
          <w:sz w:val="22"/>
          <w:szCs w:val="24"/>
        </w:rPr>
        <w:t xml:space="preserve"> </w:t>
      </w:r>
      <w:r w:rsidRPr="00E81766">
        <w:rPr>
          <w:rFonts w:ascii="Tahoma" w:eastAsia="Tahoma" w:hAnsi="Tahoma" w:cs="Tahoma"/>
          <w:i/>
          <w:iCs/>
          <w:sz w:val="22"/>
          <w:szCs w:val="24"/>
        </w:rPr>
        <w:t xml:space="preserve">se encuentran </w:t>
      </w:r>
      <w:r w:rsidR="004C19B7">
        <w:rPr>
          <w:rFonts w:ascii="Tahoma" w:eastAsia="Tahoma" w:hAnsi="Tahoma" w:cs="Tahoma"/>
          <w:i/>
          <w:iCs/>
          <w:sz w:val="22"/>
          <w:szCs w:val="24"/>
        </w:rPr>
        <w:t xml:space="preserve">bajo </w:t>
      </w:r>
      <w:r w:rsidRPr="00E81766">
        <w:rPr>
          <w:rFonts w:ascii="Tahoma" w:eastAsia="Tahoma" w:hAnsi="Tahoma" w:cs="Tahoma"/>
          <w:i/>
          <w:iCs/>
          <w:sz w:val="22"/>
          <w:szCs w:val="24"/>
        </w:rPr>
        <w:t>amenaza.</w:t>
      </w:r>
    </w:p>
    <w:p w14:paraId="6B57574E" w14:textId="77777777" w:rsidR="005274DC" w:rsidRPr="00E81766" w:rsidRDefault="005274DC" w:rsidP="00E81766">
      <w:pPr>
        <w:ind w:left="426" w:right="420"/>
        <w:jc w:val="both"/>
        <w:rPr>
          <w:rFonts w:ascii="Tahoma" w:eastAsia="Tahoma" w:hAnsi="Tahoma" w:cs="Tahoma"/>
          <w:i/>
          <w:iCs/>
          <w:sz w:val="22"/>
          <w:szCs w:val="24"/>
        </w:rPr>
      </w:pPr>
    </w:p>
    <w:p w14:paraId="10BD3450" w14:textId="02AA921B" w:rsidR="005274DC" w:rsidRPr="00E81766" w:rsidRDefault="005274DC" w:rsidP="00E81766">
      <w:pPr>
        <w:ind w:left="426" w:right="420"/>
        <w:jc w:val="both"/>
        <w:rPr>
          <w:rFonts w:ascii="Tahoma" w:eastAsia="Tahoma" w:hAnsi="Tahoma" w:cs="Tahoma"/>
          <w:i/>
          <w:iCs/>
          <w:sz w:val="22"/>
          <w:szCs w:val="24"/>
        </w:rPr>
      </w:pPr>
      <w:r w:rsidRPr="00E81766">
        <w:rPr>
          <w:rFonts w:ascii="Tahoma" w:eastAsia="Tahoma" w:hAnsi="Tahoma" w:cs="Tahoma"/>
          <w:i/>
          <w:iCs/>
          <w:sz w:val="22"/>
          <w:szCs w:val="24"/>
        </w:rPr>
        <w:t>El artículo</w:t>
      </w:r>
      <w:r w:rsidR="004C19B7">
        <w:rPr>
          <w:rFonts w:ascii="Tahoma" w:eastAsia="Tahoma" w:hAnsi="Tahoma" w:cs="Tahoma"/>
          <w:i/>
          <w:iCs/>
          <w:sz w:val="22"/>
          <w:szCs w:val="24"/>
        </w:rPr>
        <w:t xml:space="preserve"> </w:t>
      </w:r>
      <w:r w:rsidRPr="00E81766">
        <w:rPr>
          <w:rFonts w:ascii="Tahoma" w:eastAsia="Tahoma" w:hAnsi="Tahoma" w:cs="Tahoma"/>
          <w:i/>
          <w:iCs/>
          <w:sz w:val="22"/>
          <w:szCs w:val="24"/>
        </w:rPr>
        <w:t>10</w:t>
      </w:r>
      <w:r w:rsidR="004C19B7">
        <w:rPr>
          <w:rFonts w:ascii="Tahoma" w:eastAsia="Tahoma" w:hAnsi="Tahoma" w:cs="Tahoma"/>
          <w:i/>
          <w:iCs/>
          <w:sz w:val="22"/>
          <w:szCs w:val="24"/>
        </w:rPr>
        <w:t xml:space="preserve"> </w:t>
      </w:r>
      <w:r w:rsidRPr="00E81766">
        <w:rPr>
          <w:rFonts w:ascii="Tahoma" w:eastAsia="Tahoma" w:hAnsi="Tahoma" w:cs="Tahoma"/>
          <w:i/>
          <w:iCs/>
          <w:sz w:val="22"/>
          <w:szCs w:val="24"/>
        </w:rPr>
        <w:t>del Decreto 2591 de 1991 “</w:t>
      </w:r>
      <w:r w:rsidRPr="00E81766">
        <w:rPr>
          <w:rFonts w:ascii="Tahoma" w:eastAsia="Tahoma" w:hAnsi="Tahoma" w:cs="Tahoma"/>
          <w:i/>
          <w:iCs/>
          <w:sz w:val="22"/>
          <w:szCs w:val="24"/>
          <w:u w:val="single"/>
        </w:rPr>
        <w:t>por el cual se reglamenta la acción de tutela consagrada en el artículo 86 de la Constitución Política</w:t>
      </w:r>
      <w:r w:rsidRPr="00E81766">
        <w:rPr>
          <w:rFonts w:ascii="Tahoma" w:eastAsia="Tahoma" w:hAnsi="Tahoma" w:cs="Tahoma"/>
          <w:i/>
          <w:iCs/>
          <w:sz w:val="22"/>
          <w:szCs w:val="24"/>
        </w:rPr>
        <w:t>”, dispone que el amparo puede ser ejercido en todo momento y lugar por cualquier persona que estime vulnerados o amenazados sus derechos fundamentales, quien a su vez podrá actuar por sí misma o por intermedio de representante.</w:t>
      </w:r>
    </w:p>
    <w:p w14:paraId="458CA6F8" w14:textId="77777777" w:rsidR="005274DC" w:rsidRPr="00E81766" w:rsidRDefault="005274DC" w:rsidP="00E81766">
      <w:pPr>
        <w:ind w:left="426" w:right="420"/>
        <w:jc w:val="both"/>
        <w:rPr>
          <w:rFonts w:ascii="Tahoma" w:eastAsia="Tahoma" w:hAnsi="Tahoma" w:cs="Tahoma"/>
          <w:i/>
          <w:iCs/>
          <w:sz w:val="22"/>
          <w:szCs w:val="24"/>
        </w:rPr>
      </w:pPr>
      <w:r w:rsidRPr="00E81766">
        <w:rPr>
          <w:rFonts w:ascii="Tahoma" w:eastAsia="Tahoma" w:hAnsi="Tahoma" w:cs="Tahoma"/>
          <w:i/>
          <w:iCs/>
          <w:sz w:val="22"/>
          <w:szCs w:val="24"/>
        </w:rPr>
        <w:t> </w:t>
      </w:r>
    </w:p>
    <w:p w14:paraId="3FEE63FE" w14:textId="122B384D" w:rsidR="005274DC" w:rsidRPr="00E81766" w:rsidRDefault="005274DC" w:rsidP="00E81766">
      <w:pPr>
        <w:ind w:left="426" w:right="420"/>
        <w:jc w:val="both"/>
        <w:rPr>
          <w:rFonts w:ascii="Tahoma" w:eastAsia="Tahoma" w:hAnsi="Tahoma" w:cs="Tahoma"/>
          <w:i/>
          <w:iCs/>
          <w:sz w:val="22"/>
          <w:szCs w:val="24"/>
        </w:rPr>
      </w:pPr>
      <w:r w:rsidRPr="00E81766">
        <w:rPr>
          <w:rFonts w:ascii="Tahoma" w:eastAsia="Tahoma" w:hAnsi="Tahoma" w:cs="Tahoma"/>
          <w:i/>
          <w:iCs/>
          <w:sz w:val="22"/>
          <w:szCs w:val="24"/>
        </w:rPr>
        <w:t>Específicamente, el segundo inciso de dicho artículo dispone lo siguiente: “</w:t>
      </w:r>
      <w:r w:rsidR="004C19B7">
        <w:rPr>
          <w:rFonts w:ascii="Tahoma" w:eastAsia="Tahoma" w:hAnsi="Tahoma" w:cs="Tahoma"/>
          <w:i/>
          <w:iCs/>
          <w:sz w:val="22"/>
          <w:szCs w:val="24"/>
          <w:u w:val="single"/>
        </w:rPr>
        <w:t xml:space="preserve">también se pueden </w:t>
      </w:r>
      <w:r w:rsidRPr="00E81766">
        <w:rPr>
          <w:rFonts w:ascii="Tahoma" w:eastAsia="Tahoma" w:hAnsi="Tahoma" w:cs="Tahoma"/>
          <w:i/>
          <w:iCs/>
          <w:sz w:val="22"/>
          <w:szCs w:val="24"/>
          <w:u w:val="single"/>
        </w:rPr>
        <w:t>agenciar derechos</w:t>
      </w:r>
      <w:r w:rsidR="004C19B7">
        <w:rPr>
          <w:rFonts w:ascii="Tahoma" w:eastAsia="Tahoma" w:hAnsi="Tahoma" w:cs="Tahoma"/>
          <w:i/>
          <w:iCs/>
          <w:sz w:val="22"/>
          <w:szCs w:val="24"/>
          <w:u w:val="single"/>
        </w:rPr>
        <w:t xml:space="preserve"> </w:t>
      </w:r>
      <w:r w:rsidRPr="00E81766">
        <w:rPr>
          <w:rFonts w:ascii="Tahoma" w:eastAsia="Tahoma" w:hAnsi="Tahoma" w:cs="Tahoma"/>
          <w:i/>
          <w:iCs/>
          <w:sz w:val="22"/>
          <w:szCs w:val="24"/>
          <w:u w:val="single"/>
        </w:rPr>
        <w:t>ajenos cuando el titular de los mismos no esté en condiciones de promover su propia defensa. Cuando tal circunstancia ocurra, deberá manifestarse en la solicitud</w:t>
      </w:r>
      <w:r w:rsidRPr="00E81766">
        <w:rPr>
          <w:rFonts w:ascii="Tahoma" w:eastAsia="Tahoma" w:hAnsi="Tahoma" w:cs="Tahoma"/>
          <w:i/>
          <w:iCs/>
          <w:sz w:val="22"/>
          <w:szCs w:val="24"/>
        </w:rPr>
        <w:t xml:space="preserve">””. </w:t>
      </w:r>
      <w:r w:rsidRPr="00E81766">
        <w:rPr>
          <w:rStyle w:val="Refdenotaalpie"/>
          <w:rFonts w:ascii="Tahoma" w:eastAsia="Tahoma" w:hAnsi="Tahoma" w:cs="Tahoma"/>
          <w:i/>
          <w:iCs/>
          <w:sz w:val="22"/>
          <w:szCs w:val="24"/>
        </w:rPr>
        <w:footnoteReference w:id="1"/>
      </w:r>
    </w:p>
    <w:p w14:paraId="377ED054" w14:textId="77777777" w:rsidR="005274DC" w:rsidRPr="00C308E9" w:rsidRDefault="005274DC" w:rsidP="00C308E9">
      <w:pPr>
        <w:spacing w:line="276" w:lineRule="auto"/>
        <w:rPr>
          <w:rFonts w:ascii="Tahoma" w:eastAsia="Tahoma" w:hAnsi="Tahoma" w:cs="Tahoma"/>
          <w:sz w:val="24"/>
          <w:szCs w:val="24"/>
        </w:rPr>
      </w:pPr>
    </w:p>
    <w:p w14:paraId="170B042E" w14:textId="3E26F646" w:rsidR="005274DC" w:rsidRPr="00C308E9" w:rsidRDefault="005274DC" w:rsidP="00C308E9">
      <w:pPr>
        <w:spacing w:line="276" w:lineRule="auto"/>
        <w:ind w:firstLine="708"/>
        <w:jc w:val="both"/>
        <w:rPr>
          <w:rFonts w:ascii="Tahoma" w:eastAsia="Tahoma" w:hAnsi="Tahoma" w:cs="Tahoma"/>
          <w:sz w:val="24"/>
          <w:szCs w:val="24"/>
        </w:rPr>
      </w:pPr>
      <w:r w:rsidRPr="00C308E9">
        <w:rPr>
          <w:rFonts w:ascii="Tahoma" w:eastAsia="Tahoma" w:hAnsi="Tahoma" w:cs="Tahoma"/>
          <w:sz w:val="24"/>
          <w:szCs w:val="24"/>
        </w:rPr>
        <w:t xml:space="preserve">Salta a la vista entonces que, para el caso que concita a esta </w:t>
      </w:r>
      <w:r w:rsidR="0023524C" w:rsidRPr="00C308E9">
        <w:rPr>
          <w:rFonts w:ascii="Tahoma" w:eastAsia="Tahoma" w:hAnsi="Tahoma" w:cs="Tahoma"/>
          <w:sz w:val="24"/>
          <w:szCs w:val="24"/>
        </w:rPr>
        <w:t>Corporación</w:t>
      </w:r>
      <w:r w:rsidRPr="00C308E9">
        <w:rPr>
          <w:rFonts w:ascii="Tahoma" w:eastAsia="Tahoma" w:hAnsi="Tahoma" w:cs="Tahoma"/>
          <w:sz w:val="24"/>
          <w:szCs w:val="24"/>
        </w:rPr>
        <w:t xml:space="preserve">, reviste de facultad para promover acción de tutela </w:t>
      </w:r>
      <w:r w:rsidR="0023524C" w:rsidRPr="00C308E9">
        <w:rPr>
          <w:rFonts w:ascii="Tahoma" w:eastAsia="Tahoma" w:hAnsi="Tahoma" w:cs="Tahoma"/>
          <w:sz w:val="24"/>
          <w:szCs w:val="24"/>
        </w:rPr>
        <w:t>el señor MIGUEL ÁNGEL ZAPATA LOAIZA</w:t>
      </w:r>
      <w:r w:rsidR="0023524C" w:rsidRPr="00C308E9">
        <w:rPr>
          <w:rFonts w:ascii="Tahoma" w:eastAsia="Tahoma" w:hAnsi="Tahoma" w:cs="Tahoma"/>
          <w:sz w:val="24"/>
          <w:szCs w:val="24"/>
          <w:lang w:val="es-MX"/>
        </w:rPr>
        <w:t xml:space="preserve"> </w:t>
      </w:r>
      <w:r w:rsidRPr="00C308E9">
        <w:rPr>
          <w:rFonts w:ascii="Tahoma" w:eastAsia="Tahoma" w:hAnsi="Tahoma" w:cs="Tahoma"/>
          <w:sz w:val="24"/>
          <w:szCs w:val="24"/>
          <w:lang w:val="es-MX"/>
        </w:rPr>
        <w:t xml:space="preserve">reclamando para sí </w:t>
      </w:r>
      <w:r w:rsidR="0023524C" w:rsidRPr="00C308E9">
        <w:rPr>
          <w:rFonts w:ascii="Tahoma" w:eastAsia="Tahoma" w:hAnsi="Tahoma" w:cs="Tahoma"/>
          <w:sz w:val="24"/>
          <w:szCs w:val="24"/>
          <w:lang w:val="es-MX"/>
        </w:rPr>
        <w:t xml:space="preserve">el amparo de los derechos fundamentales a la seguridad social, salud, vida digna, dignidad humana, mínimo vital y el debido proceso, </w:t>
      </w:r>
      <w:r w:rsidRPr="00C308E9">
        <w:rPr>
          <w:rFonts w:ascii="Tahoma" w:eastAsia="Tahoma" w:hAnsi="Tahoma" w:cs="Tahoma"/>
          <w:sz w:val="24"/>
          <w:szCs w:val="24"/>
          <w:lang w:val="es-MX"/>
        </w:rPr>
        <w:t xml:space="preserve">que </w:t>
      </w:r>
      <w:r w:rsidR="00F21199" w:rsidRPr="00C308E9">
        <w:rPr>
          <w:rFonts w:ascii="Tahoma" w:eastAsia="Tahoma" w:hAnsi="Tahoma" w:cs="Tahoma"/>
          <w:sz w:val="24"/>
          <w:szCs w:val="24"/>
          <w:lang w:val="es-MX"/>
        </w:rPr>
        <w:t xml:space="preserve">aduce </w:t>
      </w:r>
      <w:r w:rsidRPr="00C308E9">
        <w:rPr>
          <w:rFonts w:ascii="Tahoma" w:eastAsia="Tahoma" w:hAnsi="Tahoma" w:cs="Tahoma"/>
          <w:sz w:val="24"/>
          <w:szCs w:val="24"/>
          <w:lang w:val="es-MX"/>
        </w:rPr>
        <w:t xml:space="preserve">ha sido vulnerado por </w:t>
      </w:r>
      <w:r w:rsidR="0023524C" w:rsidRPr="00C308E9">
        <w:rPr>
          <w:rFonts w:ascii="Tahoma" w:eastAsia="Tahoma" w:hAnsi="Tahoma" w:cs="Tahoma"/>
          <w:sz w:val="24"/>
          <w:szCs w:val="24"/>
          <w:lang w:val="es-MX"/>
        </w:rPr>
        <w:t>COLPENSIONES.</w:t>
      </w:r>
      <w:r w:rsidRPr="00C308E9">
        <w:rPr>
          <w:rFonts w:ascii="Tahoma" w:eastAsia="Tahoma" w:hAnsi="Tahoma" w:cs="Tahoma"/>
          <w:bCs/>
          <w:sz w:val="24"/>
          <w:szCs w:val="24"/>
          <w:lang w:val="es-MX"/>
        </w:rPr>
        <w:t xml:space="preserve"> </w:t>
      </w:r>
    </w:p>
    <w:p w14:paraId="1CAC0E23" w14:textId="77777777" w:rsidR="005274DC" w:rsidRPr="00C308E9" w:rsidRDefault="005274DC" w:rsidP="00C308E9">
      <w:pPr>
        <w:spacing w:line="276" w:lineRule="auto"/>
        <w:rPr>
          <w:rFonts w:ascii="Tahoma" w:eastAsia="Tahoma" w:hAnsi="Tahoma" w:cs="Tahoma"/>
          <w:sz w:val="24"/>
          <w:szCs w:val="24"/>
        </w:rPr>
      </w:pPr>
    </w:p>
    <w:p w14:paraId="0FA71BC0" w14:textId="77777777" w:rsidR="005274DC" w:rsidRPr="00C308E9" w:rsidRDefault="005274DC" w:rsidP="00C308E9">
      <w:pPr>
        <w:spacing w:line="276" w:lineRule="auto"/>
        <w:rPr>
          <w:rFonts w:ascii="Tahoma" w:eastAsia="Tahoma" w:hAnsi="Tahoma" w:cs="Tahoma"/>
          <w:b/>
          <w:bCs/>
          <w:sz w:val="24"/>
          <w:szCs w:val="24"/>
        </w:rPr>
      </w:pPr>
      <w:r w:rsidRPr="00C308E9">
        <w:rPr>
          <w:rFonts w:ascii="Tahoma" w:eastAsia="Tahoma" w:hAnsi="Tahoma" w:cs="Tahoma"/>
          <w:b/>
          <w:bCs/>
          <w:sz w:val="24"/>
          <w:szCs w:val="24"/>
        </w:rPr>
        <w:t xml:space="preserve">             6.1.1.2. Legitimación en la causa por pasiva</w:t>
      </w:r>
    </w:p>
    <w:p w14:paraId="18E04FB9" w14:textId="77777777" w:rsidR="005274DC" w:rsidRPr="00C308E9" w:rsidRDefault="005274DC" w:rsidP="00C308E9">
      <w:pPr>
        <w:spacing w:line="276" w:lineRule="auto"/>
        <w:rPr>
          <w:rFonts w:ascii="Tahoma" w:eastAsia="Tahoma" w:hAnsi="Tahoma" w:cs="Tahoma"/>
          <w:b/>
          <w:bCs/>
          <w:sz w:val="24"/>
          <w:szCs w:val="24"/>
        </w:rPr>
      </w:pPr>
    </w:p>
    <w:p w14:paraId="705F1DCF" w14:textId="77777777" w:rsidR="005274DC" w:rsidRPr="00C308E9" w:rsidRDefault="005274DC" w:rsidP="00C308E9">
      <w:pPr>
        <w:spacing w:line="276" w:lineRule="auto"/>
        <w:ind w:firstLine="708"/>
        <w:jc w:val="both"/>
        <w:rPr>
          <w:rFonts w:ascii="Tahoma" w:eastAsia="Tahoma" w:hAnsi="Tahoma" w:cs="Tahoma"/>
          <w:sz w:val="24"/>
          <w:szCs w:val="24"/>
        </w:rPr>
      </w:pPr>
      <w:r w:rsidRPr="00C308E9">
        <w:rPr>
          <w:rFonts w:ascii="Tahoma" w:eastAsia="Tahoma" w:hAnsi="Tahoma" w:cs="Tahoma"/>
          <w:sz w:val="24"/>
          <w:szCs w:val="24"/>
        </w:rPr>
        <w:t>Como noción, se tiene que la legitimación en la causa por pasiva, es la facultad que le atribuye al demandado la posibilidad de desconocer o controvertir la reclamación que el demandante le dirige sobre una pretensión dentro de la demanda; puntualiza la honorable Corte Constitucional.</w:t>
      </w:r>
    </w:p>
    <w:p w14:paraId="0C07717C" w14:textId="77777777" w:rsidR="005274DC" w:rsidRPr="00C308E9" w:rsidRDefault="005274DC" w:rsidP="00C308E9">
      <w:pPr>
        <w:spacing w:line="276" w:lineRule="auto"/>
        <w:jc w:val="both"/>
        <w:rPr>
          <w:rFonts w:ascii="Tahoma" w:eastAsia="Tahoma" w:hAnsi="Tahoma" w:cs="Tahoma"/>
          <w:sz w:val="24"/>
          <w:szCs w:val="24"/>
        </w:rPr>
      </w:pPr>
    </w:p>
    <w:p w14:paraId="14994916" w14:textId="2923A217" w:rsidR="005274DC" w:rsidRPr="00E81766" w:rsidRDefault="005274DC" w:rsidP="00E81766">
      <w:pPr>
        <w:ind w:left="426" w:right="397"/>
        <w:jc w:val="both"/>
        <w:rPr>
          <w:rFonts w:ascii="Tahoma" w:eastAsia="Tahoma" w:hAnsi="Tahoma" w:cs="Tahoma"/>
          <w:i/>
          <w:iCs/>
          <w:sz w:val="22"/>
          <w:szCs w:val="24"/>
        </w:rPr>
      </w:pPr>
      <w:r w:rsidRPr="00E81766">
        <w:rPr>
          <w:rFonts w:ascii="Tahoma" w:eastAsia="Tahoma" w:hAnsi="Tahoma" w:cs="Tahoma"/>
          <w:sz w:val="22"/>
          <w:szCs w:val="24"/>
        </w:rPr>
        <w:t xml:space="preserve"> </w:t>
      </w:r>
      <w:r w:rsidR="00F21199" w:rsidRPr="00E81766">
        <w:rPr>
          <w:rFonts w:ascii="Tahoma" w:eastAsia="Tahoma" w:hAnsi="Tahoma" w:cs="Tahoma"/>
          <w:sz w:val="22"/>
          <w:szCs w:val="24"/>
        </w:rPr>
        <w:t>“</w:t>
      </w:r>
      <w:r w:rsidRPr="00E81766">
        <w:rPr>
          <w:rFonts w:ascii="Tahoma" w:eastAsia="Tahoma" w:hAnsi="Tahoma" w:cs="Tahoma"/>
          <w:i/>
          <w:iCs/>
          <w:sz w:val="22"/>
          <w:szCs w:val="24"/>
        </w:rPr>
        <w:t>La legitimación pasiva en la acción de tutela hace referencia a la aptitud legal de la persona contra quien se dirige la acción, de ser efectivamente la llamada a responder por la vulneración o amenaza del derecho fundamental. En la medida que refleja la calidad subjetiva de la parte demandada “</w:t>
      </w:r>
      <w:r w:rsidRPr="00E81766">
        <w:rPr>
          <w:rFonts w:ascii="Tahoma" w:eastAsia="Tahoma" w:hAnsi="Tahoma" w:cs="Tahoma"/>
          <w:i/>
          <w:iCs/>
          <w:sz w:val="22"/>
          <w:szCs w:val="24"/>
          <w:u w:val="single"/>
        </w:rPr>
        <w:t>en relación con el interés sustancial que se discute en el proceso”</w:t>
      </w:r>
      <w:r w:rsidR="00F21199" w:rsidRPr="00E81766">
        <w:rPr>
          <w:rFonts w:ascii="Tahoma" w:eastAsia="Tahoma" w:hAnsi="Tahoma" w:cs="Tahoma"/>
          <w:i/>
          <w:iCs/>
          <w:sz w:val="22"/>
          <w:szCs w:val="24"/>
          <w:u w:val="single"/>
        </w:rPr>
        <w:t>”</w:t>
      </w:r>
      <w:r w:rsidRPr="00E81766">
        <w:rPr>
          <w:rFonts w:ascii="Tahoma" w:eastAsia="Tahoma" w:hAnsi="Tahoma" w:cs="Tahoma"/>
          <w:i/>
          <w:iCs/>
          <w:sz w:val="22"/>
          <w:szCs w:val="24"/>
        </w:rPr>
        <w:t>.</w:t>
      </w:r>
      <w:r w:rsidRPr="00E81766">
        <w:rPr>
          <w:rStyle w:val="Refdenotaalpie"/>
          <w:rFonts w:ascii="Tahoma" w:eastAsia="Tahoma" w:hAnsi="Tahoma" w:cs="Tahoma"/>
          <w:i/>
          <w:iCs/>
          <w:sz w:val="22"/>
          <w:szCs w:val="24"/>
        </w:rPr>
        <w:footnoteReference w:id="2"/>
      </w:r>
    </w:p>
    <w:p w14:paraId="57959CD2" w14:textId="77777777" w:rsidR="005274DC" w:rsidRPr="00C308E9" w:rsidRDefault="005274DC" w:rsidP="00C308E9">
      <w:pPr>
        <w:spacing w:line="276" w:lineRule="auto"/>
        <w:ind w:left="720"/>
        <w:jc w:val="both"/>
        <w:rPr>
          <w:rFonts w:ascii="Tahoma" w:eastAsia="Tahoma" w:hAnsi="Tahoma" w:cs="Tahoma"/>
          <w:sz w:val="24"/>
          <w:szCs w:val="24"/>
        </w:rPr>
      </w:pPr>
      <w:r w:rsidRPr="00C308E9">
        <w:rPr>
          <w:rFonts w:ascii="Tahoma" w:eastAsia="Tahoma" w:hAnsi="Tahoma" w:cs="Tahoma"/>
          <w:i/>
          <w:iCs/>
          <w:sz w:val="24"/>
          <w:szCs w:val="24"/>
        </w:rPr>
        <w:lastRenderedPageBreak/>
        <w:t xml:space="preserve">  </w:t>
      </w:r>
    </w:p>
    <w:p w14:paraId="21ADF73D" w14:textId="1E100382" w:rsidR="005274DC" w:rsidRPr="00C308E9" w:rsidRDefault="005274DC" w:rsidP="00C308E9">
      <w:pPr>
        <w:spacing w:line="276" w:lineRule="auto"/>
        <w:ind w:firstLine="708"/>
        <w:jc w:val="both"/>
        <w:rPr>
          <w:rFonts w:ascii="Tahoma" w:eastAsia="Tahoma" w:hAnsi="Tahoma" w:cs="Tahoma"/>
          <w:sz w:val="24"/>
          <w:szCs w:val="24"/>
        </w:rPr>
      </w:pPr>
      <w:r w:rsidRPr="00C308E9">
        <w:rPr>
          <w:rFonts w:ascii="Tahoma" w:eastAsia="Tahoma" w:hAnsi="Tahoma" w:cs="Tahoma"/>
          <w:sz w:val="24"/>
          <w:szCs w:val="24"/>
        </w:rPr>
        <w:t xml:space="preserve">Rememora el </w:t>
      </w:r>
      <w:r w:rsidR="0023524C" w:rsidRPr="00C308E9">
        <w:rPr>
          <w:rFonts w:ascii="Tahoma" w:eastAsia="Tahoma" w:hAnsi="Tahoma" w:cs="Tahoma"/>
          <w:sz w:val="24"/>
          <w:szCs w:val="24"/>
          <w:lang w:val="es-MX"/>
        </w:rPr>
        <w:t>Alto Tribunal</w:t>
      </w:r>
      <w:r w:rsidRPr="00C308E9">
        <w:rPr>
          <w:rFonts w:ascii="Tahoma" w:eastAsia="Tahoma" w:hAnsi="Tahoma" w:cs="Tahoma"/>
          <w:sz w:val="24"/>
          <w:szCs w:val="24"/>
        </w:rPr>
        <w:t xml:space="preserve"> en reciente jurisprudencia que </w:t>
      </w:r>
      <w:r w:rsidRPr="00C308E9">
        <w:rPr>
          <w:rFonts w:ascii="Tahoma" w:eastAsia="Tahoma" w:hAnsi="Tahoma" w:cs="Tahoma"/>
          <w:sz w:val="24"/>
          <w:szCs w:val="24"/>
          <w:lang w:val="es-MX"/>
        </w:rPr>
        <w:t>de acuerdo a</w:t>
      </w:r>
      <w:r w:rsidRPr="00C308E9">
        <w:rPr>
          <w:rFonts w:ascii="Tahoma" w:eastAsia="Tahoma" w:hAnsi="Tahoma" w:cs="Tahoma"/>
          <w:sz w:val="24"/>
          <w:szCs w:val="24"/>
        </w:rPr>
        <w:t>l Decreto 2591 de 1991, la acción de tutela procede contra cualquier acción u omisión: (i) de las autoridades públicas que hayan violado, violen o amenacen con violar un derecho fundamental; y (ii) de los particulares, que se encuentren en los supuestos establecidos por la misma norma.</w:t>
      </w:r>
      <w:r w:rsidRPr="00C308E9">
        <w:rPr>
          <w:rStyle w:val="Refdenotaalpie"/>
          <w:rFonts w:ascii="Tahoma" w:eastAsia="Tahoma" w:hAnsi="Tahoma" w:cs="Tahoma"/>
          <w:sz w:val="24"/>
          <w:szCs w:val="24"/>
        </w:rPr>
        <w:footnoteReference w:id="3"/>
      </w:r>
    </w:p>
    <w:p w14:paraId="29F2958F" w14:textId="77777777" w:rsidR="005274DC" w:rsidRPr="00C308E9" w:rsidRDefault="005274DC" w:rsidP="00C308E9">
      <w:pPr>
        <w:pStyle w:val="Sinespaciado"/>
        <w:spacing w:line="276" w:lineRule="auto"/>
        <w:rPr>
          <w:rFonts w:ascii="Tahoma" w:eastAsia="Tahoma" w:hAnsi="Tahoma" w:cs="Tahoma"/>
          <w:sz w:val="24"/>
          <w:szCs w:val="24"/>
          <w:highlight w:val="cyan"/>
        </w:rPr>
      </w:pPr>
    </w:p>
    <w:p w14:paraId="5A6063D7" w14:textId="1F738F1F" w:rsidR="005274DC" w:rsidRPr="00C308E9" w:rsidRDefault="005274DC" w:rsidP="00C308E9">
      <w:pPr>
        <w:spacing w:line="276" w:lineRule="auto"/>
        <w:ind w:firstLine="708"/>
        <w:jc w:val="both"/>
        <w:rPr>
          <w:rFonts w:ascii="Tahoma" w:eastAsia="Tahoma" w:hAnsi="Tahoma" w:cs="Tahoma"/>
          <w:b/>
          <w:bCs/>
          <w:iCs/>
          <w:color w:val="000000"/>
          <w:sz w:val="24"/>
          <w:szCs w:val="24"/>
        </w:rPr>
      </w:pPr>
      <w:r w:rsidRPr="00C308E9">
        <w:rPr>
          <w:rFonts w:ascii="Tahoma" w:eastAsia="Tahoma" w:hAnsi="Tahoma" w:cs="Tahoma"/>
          <w:sz w:val="24"/>
          <w:szCs w:val="24"/>
        </w:rPr>
        <w:t xml:space="preserve">Por lo anterior se vislumbra que </w:t>
      </w:r>
      <w:r w:rsidR="0023524C" w:rsidRPr="00C308E9">
        <w:rPr>
          <w:rFonts w:ascii="Tahoma" w:eastAsia="Tahoma" w:hAnsi="Tahoma" w:cs="Tahoma"/>
          <w:sz w:val="24"/>
          <w:szCs w:val="24"/>
          <w:lang w:val="es-MX"/>
        </w:rPr>
        <w:t>COLPENSIONES</w:t>
      </w:r>
      <w:r w:rsidRPr="00C308E9">
        <w:rPr>
          <w:rFonts w:ascii="Tahoma" w:eastAsia="Tahoma" w:hAnsi="Tahoma" w:cs="Tahoma"/>
          <w:sz w:val="24"/>
          <w:szCs w:val="24"/>
        </w:rPr>
        <w:t xml:space="preserve">, detenta la calidad de legitimada en la causa por pasiva en el trámite actual, </w:t>
      </w:r>
      <w:r w:rsidRPr="00C308E9">
        <w:rPr>
          <w:rFonts w:ascii="Tahoma" w:eastAsia="Tahoma" w:hAnsi="Tahoma" w:cs="Tahoma"/>
          <w:sz w:val="24"/>
          <w:szCs w:val="24"/>
          <w:lang w:val="es-MX"/>
        </w:rPr>
        <w:t>toda vez que se l</w:t>
      </w:r>
      <w:r w:rsidR="0023524C" w:rsidRPr="00C308E9">
        <w:rPr>
          <w:rFonts w:ascii="Tahoma" w:eastAsia="Tahoma" w:hAnsi="Tahoma" w:cs="Tahoma"/>
          <w:sz w:val="24"/>
          <w:szCs w:val="24"/>
          <w:lang w:val="es-MX"/>
        </w:rPr>
        <w:t>a</w:t>
      </w:r>
      <w:r w:rsidRPr="00C308E9">
        <w:rPr>
          <w:rFonts w:ascii="Tahoma" w:eastAsia="Tahoma" w:hAnsi="Tahoma" w:cs="Tahoma"/>
          <w:sz w:val="24"/>
          <w:szCs w:val="24"/>
          <w:lang w:val="es-MX"/>
        </w:rPr>
        <w:t xml:space="preserve"> responsabiliza de la trasgresión de</w:t>
      </w:r>
      <w:r w:rsidR="00820E60" w:rsidRPr="00C308E9">
        <w:rPr>
          <w:rFonts w:ascii="Tahoma" w:eastAsia="Tahoma" w:hAnsi="Tahoma" w:cs="Tahoma"/>
          <w:sz w:val="24"/>
          <w:szCs w:val="24"/>
          <w:lang w:val="es-MX"/>
        </w:rPr>
        <w:t xml:space="preserve"> </w:t>
      </w:r>
      <w:r w:rsidRPr="00C308E9">
        <w:rPr>
          <w:rFonts w:ascii="Tahoma" w:eastAsia="Tahoma" w:hAnsi="Tahoma" w:cs="Tahoma"/>
          <w:sz w:val="24"/>
          <w:szCs w:val="24"/>
          <w:lang w:val="es-MX"/>
        </w:rPr>
        <w:t>l</w:t>
      </w:r>
      <w:r w:rsidR="00820E60" w:rsidRPr="00C308E9">
        <w:rPr>
          <w:rFonts w:ascii="Tahoma" w:eastAsia="Tahoma" w:hAnsi="Tahoma" w:cs="Tahoma"/>
          <w:sz w:val="24"/>
          <w:szCs w:val="24"/>
          <w:lang w:val="es-MX"/>
        </w:rPr>
        <w:t>os</w:t>
      </w:r>
      <w:r w:rsidRPr="00C308E9">
        <w:rPr>
          <w:rFonts w:ascii="Tahoma" w:eastAsia="Tahoma" w:hAnsi="Tahoma" w:cs="Tahoma"/>
          <w:sz w:val="24"/>
          <w:szCs w:val="24"/>
          <w:lang w:val="es-MX"/>
        </w:rPr>
        <w:t xml:space="preserve"> derecho</w:t>
      </w:r>
      <w:r w:rsidR="00820E60" w:rsidRPr="00C308E9">
        <w:rPr>
          <w:rFonts w:ascii="Tahoma" w:eastAsia="Tahoma" w:hAnsi="Tahoma" w:cs="Tahoma"/>
          <w:sz w:val="24"/>
          <w:szCs w:val="24"/>
          <w:lang w:val="es-MX"/>
        </w:rPr>
        <w:t>s</w:t>
      </w:r>
      <w:r w:rsidRPr="00C308E9">
        <w:rPr>
          <w:rFonts w:ascii="Tahoma" w:eastAsia="Tahoma" w:hAnsi="Tahoma" w:cs="Tahoma"/>
          <w:sz w:val="24"/>
          <w:szCs w:val="24"/>
          <w:lang w:val="es-MX"/>
        </w:rPr>
        <w:t xml:space="preserve"> fundamental</w:t>
      </w:r>
      <w:r w:rsidR="00820E60" w:rsidRPr="00C308E9">
        <w:rPr>
          <w:rFonts w:ascii="Tahoma" w:eastAsia="Tahoma" w:hAnsi="Tahoma" w:cs="Tahoma"/>
          <w:sz w:val="24"/>
          <w:szCs w:val="24"/>
          <w:lang w:val="es-MX"/>
        </w:rPr>
        <w:t>es</w:t>
      </w:r>
      <w:r w:rsidRPr="00C308E9">
        <w:rPr>
          <w:rFonts w:ascii="Tahoma" w:eastAsia="Tahoma" w:hAnsi="Tahoma" w:cs="Tahoma"/>
          <w:sz w:val="24"/>
          <w:szCs w:val="24"/>
          <w:lang w:val="es-MX"/>
        </w:rPr>
        <w:t xml:space="preserve"> anotado</w:t>
      </w:r>
      <w:r w:rsidR="00820E60" w:rsidRPr="00C308E9">
        <w:rPr>
          <w:rFonts w:ascii="Tahoma" w:eastAsia="Tahoma" w:hAnsi="Tahoma" w:cs="Tahoma"/>
          <w:sz w:val="24"/>
          <w:szCs w:val="24"/>
          <w:lang w:val="es-MX"/>
        </w:rPr>
        <w:t>s</w:t>
      </w:r>
      <w:r w:rsidRPr="00C308E9">
        <w:rPr>
          <w:rFonts w:ascii="Tahoma" w:eastAsia="Tahoma" w:hAnsi="Tahoma" w:cs="Tahoma"/>
          <w:sz w:val="24"/>
          <w:szCs w:val="24"/>
          <w:lang w:val="es-MX"/>
        </w:rPr>
        <w:t xml:space="preserve"> en la demanda de tutela.</w:t>
      </w:r>
    </w:p>
    <w:p w14:paraId="2B72A8B1" w14:textId="77777777" w:rsidR="005274DC" w:rsidRPr="00C308E9" w:rsidRDefault="005274DC" w:rsidP="00C308E9">
      <w:pPr>
        <w:spacing w:line="276" w:lineRule="auto"/>
        <w:rPr>
          <w:rFonts w:ascii="Tahoma" w:eastAsia="Tahoma" w:hAnsi="Tahoma" w:cs="Tahoma"/>
          <w:b/>
          <w:bCs/>
          <w:iCs/>
          <w:color w:val="000000"/>
          <w:sz w:val="24"/>
          <w:szCs w:val="24"/>
        </w:rPr>
      </w:pPr>
    </w:p>
    <w:p w14:paraId="68BE6A29" w14:textId="77777777" w:rsidR="005274DC" w:rsidRPr="00C308E9" w:rsidRDefault="005274DC" w:rsidP="00C308E9">
      <w:pPr>
        <w:spacing w:line="276" w:lineRule="auto"/>
        <w:rPr>
          <w:rFonts w:ascii="Tahoma" w:eastAsia="Tahoma" w:hAnsi="Tahoma" w:cs="Tahoma"/>
          <w:b/>
          <w:bCs/>
          <w:sz w:val="24"/>
          <w:szCs w:val="24"/>
        </w:rPr>
      </w:pPr>
      <w:r w:rsidRPr="00C308E9">
        <w:rPr>
          <w:rFonts w:ascii="Tahoma" w:eastAsia="Tahoma" w:hAnsi="Tahoma" w:cs="Tahoma"/>
          <w:b/>
          <w:bCs/>
          <w:iCs/>
          <w:color w:val="000000"/>
          <w:sz w:val="24"/>
          <w:szCs w:val="24"/>
        </w:rPr>
        <w:t xml:space="preserve">      6.1.2.   </w:t>
      </w:r>
      <w:r w:rsidRPr="00C308E9">
        <w:rPr>
          <w:rFonts w:ascii="Tahoma" w:eastAsia="Tahoma" w:hAnsi="Tahoma" w:cs="Tahoma"/>
          <w:b/>
          <w:bCs/>
          <w:sz w:val="24"/>
          <w:szCs w:val="24"/>
        </w:rPr>
        <w:t>Inmediatez</w:t>
      </w:r>
    </w:p>
    <w:p w14:paraId="6BFB9B41" w14:textId="77777777" w:rsidR="005274DC" w:rsidRPr="00C308E9" w:rsidRDefault="005274DC" w:rsidP="00C308E9">
      <w:pPr>
        <w:spacing w:line="276" w:lineRule="auto"/>
        <w:rPr>
          <w:rFonts w:ascii="Tahoma" w:eastAsia="Tahoma" w:hAnsi="Tahoma" w:cs="Tahoma"/>
          <w:b/>
          <w:bCs/>
          <w:sz w:val="24"/>
          <w:szCs w:val="24"/>
        </w:rPr>
      </w:pPr>
    </w:p>
    <w:p w14:paraId="2E801030" w14:textId="77777777" w:rsidR="005274DC" w:rsidRPr="00C308E9" w:rsidRDefault="005274DC" w:rsidP="00C308E9">
      <w:pPr>
        <w:spacing w:line="276" w:lineRule="auto"/>
        <w:ind w:firstLine="708"/>
        <w:jc w:val="both"/>
        <w:rPr>
          <w:rFonts w:ascii="Tahoma" w:eastAsia="Tahoma" w:hAnsi="Tahoma" w:cs="Tahoma"/>
          <w:sz w:val="24"/>
          <w:szCs w:val="24"/>
        </w:rPr>
      </w:pPr>
      <w:r w:rsidRPr="00C308E9">
        <w:rPr>
          <w:rFonts w:ascii="Tahoma" w:eastAsia="Tahoma" w:hAnsi="Tahoma" w:cs="Tahoma"/>
          <w:sz w:val="24"/>
          <w:szCs w:val="24"/>
        </w:rPr>
        <w:t>A grandes rasgos, en lo que atañe al requisito general de la inmediatez para la interposición de la acción constitucional de tutela, conviene traer a colación lo preceptuado en el artículo 86 de la Constitución Política de Colombia, el cual establece que la tutela procede para la “protección inmediata” de los derechos fundamentales del accionante. Sobre la inmediatez ha sostenido la Corte Constitucional que, si bien no existe un término de caducidad para la interposición de la acción de tutela, está puede ser interpuesta en cualquier momento siempre que exista un plazo prudencial entre la vulneración de los derechos fundamentales y la interposición de la acción, o se esté en presencia de una situación de vulnerabilidad continua y actual que haga imperativa la intervención del juez constitucional, de este sentido, la Corte Constitucional ha delineado prolijamente que:</w:t>
      </w:r>
    </w:p>
    <w:p w14:paraId="01F9D9C8" w14:textId="77777777" w:rsidR="005274DC" w:rsidRPr="00C308E9" w:rsidRDefault="005274DC" w:rsidP="00C308E9">
      <w:pPr>
        <w:spacing w:line="276" w:lineRule="auto"/>
        <w:ind w:left="720"/>
        <w:jc w:val="both"/>
        <w:rPr>
          <w:rFonts w:ascii="Tahoma" w:eastAsia="Tahoma" w:hAnsi="Tahoma" w:cs="Tahoma"/>
          <w:i/>
          <w:iCs/>
          <w:sz w:val="24"/>
          <w:szCs w:val="24"/>
        </w:rPr>
      </w:pPr>
      <w:r w:rsidRPr="00C308E9">
        <w:rPr>
          <w:rFonts w:ascii="Tahoma" w:eastAsia="Tahoma" w:hAnsi="Tahoma" w:cs="Tahoma"/>
          <w:sz w:val="24"/>
          <w:szCs w:val="24"/>
        </w:rPr>
        <w:t xml:space="preserve"> </w:t>
      </w:r>
    </w:p>
    <w:p w14:paraId="6924870D" w14:textId="77777777" w:rsidR="005274DC" w:rsidRPr="00E81766" w:rsidRDefault="005274DC" w:rsidP="00E81766">
      <w:pPr>
        <w:ind w:left="426" w:right="397"/>
        <w:jc w:val="both"/>
        <w:rPr>
          <w:rFonts w:ascii="Tahoma" w:eastAsia="Tahoma" w:hAnsi="Tahoma" w:cs="Tahoma"/>
          <w:i/>
          <w:iCs/>
          <w:sz w:val="22"/>
          <w:szCs w:val="24"/>
        </w:rPr>
      </w:pPr>
      <w:r w:rsidRPr="00E81766">
        <w:rPr>
          <w:rFonts w:ascii="Tahoma" w:eastAsia="Tahoma" w:hAnsi="Tahoma" w:cs="Tahoma"/>
          <w:i/>
          <w:iCs/>
          <w:sz w:val="22"/>
          <w:szCs w:val="24"/>
        </w:rPr>
        <w:t>“Este requisito de procedibilidad le impone al tutelante el deber de formular la acción de tutela en un término prudente y razonable respecto del hecho o la conducta que causa la vulneración de derechos fundamentales. La jurisprudencia de la Corte Constitucional, de manera reiterada, ha sostenido que no existe un plazo de caducidad para incoar la referida acción constitucional, tal como se indicó en la sentencia C-543 de 1992, en cuya virtud se declaró la inconstitucionalidad de los artículos 11, 12 y 40 del Decreto Ley 2591 de 1991.</w:t>
      </w:r>
    </w:p>
    <w:p w14:paraId="395DDCCF" w14:textId="77777777" w:rsidR="005274DC" w:rsidRPr="00E81766" w:rsidRDefault="005274DC" w:rsidP="00E81766">
      <w:pPr>
        <w:ind w:left="426" w:right="397"/>
        <w:jc w:val="both"/>
        <w:rPr>
          <w:rFonts w:ascii="Tahoma" w:eastAsia="Tahoma" w:hAnsi="Tahoma" w:cs="Tahoma"/>
          <w:i/>
          <w:iCs/>
          <w:sz w:val="22"/>
          <w:szCs w:val="24"/>
        </w:rPr>
      </w:pPr>
    </w:p>
    <w:p w14:paraId="60ECCEEF" w14:textId="77777777" w:rsidR="005274DC" w:rsidRPr="00E81766" w:rsidRDefault="005274DC" w:rsidP="00E81766">
      <w:pPr>
        <w:ind w:left="426" w:right="397"/>
        <w:jc w:val="both"/>
        <w:rPr>
          <w:rFonts w:ascii="Tahoma" w:eastAsia="Tahoma" w:hAnsi="Tahoma" w:cs="Tahoma"/>
          <w:i/>
          <w:iCs/>
          <w:sz w:val="22"/>
          <w:szCs w:val="24"/>
        </w:rPr>
      </w:pPr>
      <w:r w:rsidRPr="00E81766">
        <w:rPr>
          <w:rFonts w:ascii="Tahoma" w:eastAsia="Tahoma" w:hAnsi="Tahoma" w:cs="Tahoma"/>
          <w:i/>
          <w:iCs/>
          <w:sz w:val="22"/>
          <w:szCs w:val="24"/>
        </w:rPr>
        <w:t xml:space="preserve">34. Empero, la inexistencia de un término de caducidad de la acción de tutela no implica per </w:t>
      </w:r>
      <w:proofErr w:type="spellStart"/>
      <w:r w:rsidRPr="00E81766">
        <w:rPr>
          <w:rFonts w:ascii="Tahoma" w:eastAsia="Tahoma" w:hAnsi="Tahoma" w:cs="Tahoma"/>
          <w:i/>
          <w:iCs/>
          <w:sz w:val="22"/>
          <w:szCs w:val="24"/>
        </w:rPr>
        <w:t>se</w:t>
      </w:r>
      <w:proofErr w:type="spellEnd"/>
      <w:r w:rsidRPr="00E81766">
        <w:rPr>
          <w:rFonts w:ascii="Tahoma" w:eastAsia="Tahoma" w:hAnsi="Tahoma" w:cs="Tahoma"/>
          <w:i/>
          <w:iCs/>
          <w:sz w:val="22"/>
          <w:szCs w:val="24"/>
        </w:rPr>
        <w:t xml:space="preserve"> que dicho recurso pueda presentarse en cualquier tiempo, por cuanto una de las principales características de este mecanismo de protección es la inmediatez, por consiguiente, esta Corporación ha señalado que la acción constitucional aludida debe formularse dentro de un plazo razonable que permita la protección inmediata del derecho fundamental presuntamente transgredido y/o amenazado.</w:t>
      </w:r>
    </w:p>
    <w:p w14:paraId="77CB8994" w14:textId="77777777" w:rsidR="005274DC" w:rsidRPr="00E81766" w:rsidRDefault="005274DC" w:rsidP="00E81766">
      <w:pPr>
        <w:ind w:left="426" w:right="397"/>
        <w:jc w:val="both"/>
        <w:rPr>
          <w:rFonts w:ascii="Tahoma" w:eastAsia="Tahoma" w:hAnsi="Tahoma" w:cs="Tahoma"/>
          <w:i/>
          <w:iCs/>
          <w:sz w:val="22"/>
          <w:szCs w:val="24"/>
        </w:rPr>
      </w:pPr>
    </w:p>
    <w:p w14:paraId="5669DC0A" w14:textId="77777777" w:rsidR="005274DC" w:rsidRPr="00E81766" w:rsidRDefault="005274DC" w:rsidP="00E81766">
      <w:pPr>
        <w:ind w:left="426" w:right="397"/>
        <w:jc w:val="both"/>
        <w:rPr>
          <w:rFonts w:ascii="Tahoma" w:eastAsia="Tahoma" w:hAnsi="Tahoma" w:cs="Tahoma"/>
          <w:i/>
          <w:iCs/>
          <w:sz w:val="22"/>
          <w:szCs w:val="24"/>
        </w:rPr>
      </w:pPr>
      <w:r w:rsidRPr="00E81766">
        <w:rPr>
          <w:rFonts w:ascii="Tahoma" w:eastAsia="Tahoma" w:hAnsi="Tahoma" w:cs="Tahoma"/>
          <w:i/>
          <w:iCs/>
          <w:sz w:val="22"/>
          <w:szCs w:val="24"/>
        </w:rPr>
        <w:t>35. El referido aspecto temporal pretende combatir la negligencia, el descuido o la incuria de quien la ha presentado, por cuanto es deber del tutelante evitar que transcurra un lapso excesivo, irrazonable o injustificado desde que se presentó la actuación u omisión que causa la amenaza o vulneración de las garantías constitucionales hasta la presentación de la acción de tutela.</w:t>
      </w:r>
    </w:p>
    <w:p w14:paraId="362B4D6A" w14:textId="77777777" w:rsidR="005274DC" w:rsidRPr="00E81766" w:rsidRDefault="005274DC" w:rsidP="00E81766">
      <w:pPr>
        <w:ind w:left="426" w:right="397"/>
        <w:jc w:val="both"/>
        <w:rPr>
          <w:rFonts w:ascii="Tahoma" w:eastAsia="Tahoma" w:hAnsi="Tahoma" w:cs="Tahoma"/>
          <w:i/>
          <w:iCs/>
          <w:sz w:val="22"/>
          <w:szCs w:val="24"/>
        </w:rPr>
      </w:pPr>
    </w:p>
    <w:p w14:paraId="3645B6EC" w14:textId="77777777" w:rsidR="005274DC" w:rsidRPr="00E81766" w:rsidRDefault="005274DC" w:rsidP="00E81766">
      <w:pPr>
        <w:ind w:left="426" w:right="397"/>
        <w:jc w:val="both"/>
        <w:rPr>
          <w:rFonts w:ascii="Tahoma" w:eastAsia="Tahoma" w:hAnsi="Tahoma" w:cs="Tahoma"/>
          <w:i/>
          <w:iCs/>
          <w:sz w:val="22"/>
          <w:szCs w:val="24"/>
        </w:rPr>
      </w:pPr>
      <w:r w:rsidRPr="00E81766">
        <w:rPr>
          <w:rFonts w:ascii="Tahoma" w:eastAsia="Tahoma" w:hAnsi="Tahoma" w:cs="Tahoma"/>
          <w:i/>
          <w:iCs/>
          <w:sz w:val="22"/>
          <w:szCs w:val="24"/>
        </w:rPr>
        <w:t xml:space="preserve">36. A su turno, esta Corporación, de manera reiterada, ha identificado una serie de situaciones a fin de determinar la razonabilidad del tiempo transcurrido entre el </w:t>
      </w:r>
      <w:r w:rsidRPr="00E81766">
        <w:rPr>
          <w:rFonts w:ascii="Tahoma" w:eastAsia="Tahoma" w:hAnsi="Tahoma" w:cs="Tahoma"/>
          <w:i/>
          <w:iCs/>
          <w:sz w:val="22"/>
          <w:szCs w:val="24"/>
        </w:rPr>
        <w:lastRenderedPageBreak/>
        <w:t>desconocimiento de la atribución fundamental y el reclamo ante el juez constitucional, entre las cuales se destacan las siguientes:</w:t>
      </w:r>
    </w:p>
    <w:p w14:paraId="2B87464A" w14:textId="77777777" w:rsidR="005274DC" w:rsidRPr="00E81766" w:rsidRDefault="005274DC" w:rsidP="00E81766">
      <w:pPr>
        <w:ind w:left="426" w:right="397"/>
        <w:jc w:val="both"/>
        <w:rPr>
          <w:rFonts w:ascii="Tahoma" w:eastAsia="Tahoma" w:hAnsi="Tahoma" w:cs="Tahoma"/>
          <w:i/>
          <w:iCs/>
          <w:sz w:val="22"/>
          <w:szCs w:val="24"/>
        </w:rPr>
      </w:pPr>
    </w:p>
    <w:p w14:paraId="7FA05474" w14:textId="77777777" w:rsidR="005274DC" w:rsidRPr="00E81766" w:rsidRDefault="005274DC" w:rsidP="00E81766">
      <w:pPr>
        <w:ind w:left="426" w:right="397"/>
        <w:jc w:val="both"/>
        <w:rPr>
          <w:rFonts w:ascii="Tahoma" w:eastAsia="Tahoma" w:hAnsi="Tahoma" w:cs="Tahoma"/>
          <w:i/>
          <w:iCs/>
          <w:sz w:val="22"/>
          <w:szCs w:val="24"/>
        </w:rPr>
      </w:pPr>
      <w:r w:rsidRPr="00E81766">
        <w:rPr>
          <w:rFonts w:ascii="Tahoma" w:eastAsia="Tahoma" w:hAnsi="Tahoma" w:cs="Tahoma"/>
          <w:i/>
          <w:iCs/>
          <w:sz w:val="22"/>
          <w:szCs w:val="24"/>
        </w:rPr>
        <w:t>i) Que existan razones válidas para justificar la inactividad de los accionantes. Pueden ser situaciones de fuerza mayor, caso fortuito y, en general, la incapacidad del accionante para ejercer la acción en un tiempo razonable.</w:t>
      </w:r>
    </w:p>
    <w:p w14:paraId="44D4E299" w14:textId="77777777" w:rsidR="005274DC" w:rsidRPr="00E81766" w:rsidRDefault="005274DC" w:rsidP="00E81766">
      <w:pPr>
        <w:ind w:left="426" w:right="397"/>
        <w:jc w:val="both"/>
        <w:rPr>
          <w:rFonts w:ascii="Tahoma" w:eastAsia="Tahoma" w:hAnsi="Tahoma" w:cs="Tahoma"/>
          <w:i/>
          <w:iCs/>
          <w:sz w:val="22"/>
          <w:szCs w:val="24"/>
        </w:rPr>
      </w:pPr>
    </w:p>
    <w:p w14:paraId="3605D62F" w14:textId="77777777" w:rsidR="005274DC" w:rsidRPr="00E81766" w:rsidRDefault="005274DC" w:rsidP="00E81766">
      <w:pPr>
        <w:ind w:left="426" w:right="397"/>
        <w:jc w:val="both"/>
        <w:rPr>
          <w:rFonts w:ascii="Tahoma" w:eastAsia="Tahoma" w:hAnsi="Tahoma" w:cs="Tahoma"/>
          <w:i/>
          <w:iCs/>
          <w:sz w:val="22"/>
          <w:szCs w:val="24"/>
        </w:rPr>
      </w:pPr>
      <w:r w:rsidRPr="00E81766">
        <w:rPr>
          <w:rFonts w:ascii="Tahoma" w:eastAsia="Tahoma" w:hAnsi="Tahoma" w:cs="Tahoma"/>
          <w:i/>
          <w:iCs/>
          <w:sz w:val="22"/>
          <w:szCs w:val="24"/>
        </w:rPr>
        <w:t>ii) Que la amenaza o la vulneración permanezca en el tiempo, a pesar de que el hecho que la originó sea antiguo.</w:t>
      </w:r>
    </w:p>
    <w:p w14:paraId="18F6914F" w14:textId="77777777" w:rsidR="005274DC" w:rsidRPr="00E81766" w:rsidRDefault="005274DC" w:rsidP="00E81766">
      <w:pPr>
        <w:ind w:left="426" w:right="397"/>
        <w:jc w:val="both"/>
        <w:rPr>
          <w:rFonts w:ascii="Tahoma" w:eastAsia="Tahoma" w:hAnsi="Tahoma" w:cs="Tahoma"/>
          <w:i/>
          <w:iCs/>
          <w:sz w:val="22"/>
          <w:szCs w:val="24"/>
        </w:rPr>
      </w:pPr>
    </w:p>
    <w:p w14:paraId="46313B12" w14:textId="77777777" w:rsidR="005274DC" w:rsidRPr="00E81766" w:rsidRDefault="005274DC" w:rsidP="00E81766">
      <w:pPr>
        <w:ind w:left="426" w:right="397"/>
        <w:jc w:val="both"/>
        <w:rPr>
          <w:rFonts w:ascii="Tahoma" w:eastAsia="Tahoma" w:hAnsi="Tahoma" w:cs="Tahoma"/>
          <w:sz w:val="22"/>
          <w:szCs w:val="24"/>
        </w:rPr>
      </w:pPr>
      <w:r w:rsidRPr="00E81766">
        <w:rPr>
          <w:rFonts w:ascii="Tahoma" w:eastAsia="Tahoma" w:hAnsi="Tahoma" w:cs="Tahoma"/>
          <w:i/>
          <w:iCs/>
          <w:sz w:val="22"/>
          <w:szCs w:val="24"/>
        </w:rPr>
        <w:t xml:space="preserve">iii) Que la carga de la interposición de la acción de tutela en un plazo razonable, no resulte desproporcionada por una situación de debilidad manifiesta del accionante, por ejemplo, en casos de interdicción, minoría de edad, abandono, o incapacidad física.” </w:t>
      </w:r>
      <w:r w:rsidRPr="00E81766">
        <w:rPr>
          <w:rStyle w:val="Refdenotaalpie"/>
          <w:rFonts w:ascii="Tahoma" w:eastAsia="Tahoma" w:hAnsi="Tahoma" w:cs="Tahoma"/>
          <w:i/>
          <w:iCs/>
          <w:sz w:val="22"/>
          <w:szCs w:val="24"/>
        </w:rPr>
        <w:footnoteReference w:id="4"/>
      </w:r>
    </w:p>
    <w:p w14:paraId="69B4044B" w14:textId="77777777" w:rsidR="005274DC" w:rsidRPr="00C308E9" w:rsidRDefault="005274DC" w:rsidP="00C308E9">
      <w:pPr>
        <w:pStyle w:val="Sinespaciado"/>
        <w:spacing w:line="276" w:lineRule="auto"/>
        <w:rPr>
          <w:rFonts w:ascii="Tahoma" w:eastAsia="Tahoma" w:hAnsi="Tahoma" w:cs="Tahoma"/>
          <w:sz w:val="24"/>
          <w:szCs w:val="24"/>
          <w:highlight w:val="cyan"/>
        </w:rPr>
      </w:pPr>
    </w:p>
    <w:p w14:paraId="69D5C205" w14:textId="0FA053B8" w:rsidR="005274DC" w:rsidRPr="00C308E9" w:rsidRDefault="005274DC" w:rsidP="00C308E9">
      <w:pPr>
        <w:spacing w:line="276" w:lineRule="auto"/>
        <w:ind w:firstLine="708"/>
        <w:jc w:val="both"/>
        <w:rPr>
          <w:rFonts w:ascii="Tahoma" w:eastAsia="Tahoma" w:hAnsi="Tahoma" w:cs="Tahoma"/>
          <w:sz w:val="24"/>
          <w:szCs w:val="24"/>
          <w:lang w:val="es-MX"/>
        </w:rPr>
      </w:pPr>
      <w:r w:rsidRPr="00C308E9">
        <w:rPr>
          <w:rFonts w:ascii="Tahoma" w:eastAsia="Tahoma" w:hAnsi="Tahoma" w:cs="Tahoma"/>
          <w:sz w:val="24"/>
          <w:szCs w:val="24"/>
        </w:rPr>
        <w:t xml:space="preserve">En el caso bajo estudio, se evidencia la prosperidad de este presupuesto, pues la instauración de la acción de tutela se presentó el día </w:t>
      </w:r>
      <w:r w:rsidR="00820E60" w:rsidRPr="00C308E9">
        <w:rPr>
          <w:rFonts w:ascii="Tahoma" w:eastAsia="Tahoma" w:hAnsi="Tahoma" w:cs="Tahoma"/>
          <w:sz w:val="24"/>
          <w:szCs w:val="24"/>
        </w:rPr>
        <w:t>05 de septiembre</w:t>
      </w:r>
      <w:r w:rsidR="00F21199" w:rsidRPr="00C308E9">
        <w:rPr>
          <w:rFonts w:ascii="Tahoma" w:eastAsia="Tahoma" w:hAnsi="Tahoma" w:cs="Tahoma"/>
          <w:sz w:val="24"/>
          <w:szCs w:val="24"/>
        </w:rPr>
        <w:t xml:space="preserve"> hogaño</w:t>
      </w:r>
      <w:r w:rsidRPr="00C308E9">
        <w:rPr>
          <w:rFonts w:ascii="Tahoma" w:eastAsia="Tahoma" w:hAnsi="Tahoma" w:cs="Tahoma"/>
          <w:sz w:val="24"/>
          <w:szCs w:val="24"/>
        </w:rPr>
        <w:t xml:space="preserve">, </w:t>
      </w:r>
      <w:r w:rsidRPr="00C308E9">
        <w:rPr>
          <w:rFonts w:ascii="Tahoma" w:eastAsia="Tahoma" w:hAnsi="Tahoma" w:cs="Tahoma"/>
          <w:sz w:val="24"/>
          <w:szCs w:val="24"/>
          <w:lang w:val="es-MX"/>
        </w:rPr>
        <w:t xml:space="preserve">mientras que </w:t>
      </w:r>
      <w:r w:rsidR="00820E60" w:rsidRPr="00C308E9">
        <w:rPr>
          <w:rFonts w:ascii="Tahoma" w:eastAsia="Tahoma" w:hAnsi="Tahoma" w:cs="Tahoma"/>
          <w:sz w:val="24"/>
          <w:szCs w:val="24"/>
        </w:rPr>
        <w:t>la resolución por medio de la cual COLPENSIONES suspendió el pago de la pensión de invalidez al actor data del 17 de marzo de 2023</w:t>
      </w:r>
      <w:r w:rsidRPr="00C308E9">
        <w:rPr>
          <w:rFonts w:ascii="Tahoma" w:eastAsia="Tahoma" w:hAnsi="Tahoma" w:cs="Tahoma"/>
          <w:sz w:val="24"/>
          <w:szCs w:val="24"/>
        </w:rPr>
        <w:t xml:space="preserve">, </w:t>
      </w:r>
      <w:bookmarkStart w:id="1" w:name="_Hlk137626306"/>
      <w:r w:rsidRPr="00C308E9">
        <w:rPr>
          <w:rFonts w:ascii="Tahoma" w:eastAsia="Tahoma" w:hAnsi="Tahoma" w:cs="Tahoma"/>
          <w:sz w:val="24"/>
          <w:szCs w:val="24"/>
        </w:rPr>
        <w:t xml:space="preserve">por lo que se avizora que ha transcurrido </w:t>
      </w:r>
      <w:r w:rsidR="00F21199" w:rsidRPr="00C308E9">
        <w:rPr>
          <w:rFonts w:ascii="Tahoma" w:eastAsia="Tahoma" w:hAnsi="Tahoma" w:cs="Tahoma"/>
          <w:sz w:val="24"/>
          <w:szCs w:val="24"/>
        </w:rPr>
        <w:t>05</w:t>
      </w:r>
      <w:r w:rsidRPr="00C308E9">
        <w:rPr>
          <w:rFonts w:ascii="Tahoma" w:eastAsia="Tahoma" w:hAnsi="Tahoma" w:cs="Tahoma"/>
          <w:sz w:val="24"/>
          <w:szCs w:val="24"/>
        </w:rPr>
        <w:t xml:space="preserve"> meses del hecho generador de la presunta vulneración a</w:t>
      </w:r>
      <w:r w:rsidR="00820E60" w:rsidRPr="00C308E9">
        <w:rPr>
          <w:rFonts w:ascii="Tahoma" w:eastAsia="Tahoma" w:hAnsi="Tahoma" w:cs="Tahoma"/>
          <w:sz w:val="24"/>
          <w:szCs w:val="24"/>
        </w:rPr>
        <w:t xml:space="preserve"> </w:t>
      </w:r>
      <w:r w:rsidRPr="00C308E9">
        <w:rPr>
          <w:rFonts w:ascii="Tahoma" w:eastAsia="Tahoma" w:hAnsi="Tahoma" w:cs="Tahoma"/>
          <w:sz w:val="24"/>
          <w:szCs w:val="24"/>
        </w:rPr>
        <w:t>l</w:t>
      </w:r>
      <w:r w:rsidR="00820E60" w:rsidRPr="00C308E9">
        <w:rPr>
          <w:rFonts w:ascii="Tahoma" w:eastAsia="Tahoma" w:hAnsi="Tahoma" w:cs="Tahoma"/>
          <w:sz w:val="24"/>
          <w:szCs w:val="24"/>
        </w:rPr>
        <w:t>os</w:t>
      </w:r>
      <w:r w:rsidRPr="00C308E9">
        <w:rPr>
          <w:rFonts w:ascii="Tahoma" w:eastAsia="Tahoma" w:hAnsi="Tahoma" w:cs="Tahoma"/>
          <w:sz w:val="24"/>
          <w:szCs w:val="24"/>
        </w:rPr>
        <w:t xml:space="preserve"> derecho</w:t>
      </w:r>
      <w:r w:rsidR="00820E60" w:rsidRPr="00C308E9">
        <w:rPr>
          <w:rFonts w:ascii="Tahoma" w:eastAsia="Tahoma" w:hAnsi="Tahoma" w:cs="Tahoma"/>
          <w:sz w:val="24"/>
          <w:szCs w:val="24"/>
        </w:rPr>
        <w:t>s</w:t>
      </w:r>
      <w:r w:rsidRPr="00C308E9">
        <w:rPr>
          <w:rFonts w:ascii="Tahoma" w:eastAsia="Tahoma" w:hAnsi="Tahoma" w:cs="Tahoma"/>
          <w:sz w:val="24"/>
          <w:szCs w:val="24"/>
        </w:rPr>
        <w:t xml:space="preserve"> fundamental</w:t>
      </w:r>
      <w:r w:rsidR="00820E60" w:rsidRPr="00C308E9">
        <w:rPr>
          <w:rFonts w:ascii="Tahoma" w:eastAsia="Tahoma" w:hAnsi="Tahoma" w:cs="Tahoma"/>
          <w:sz w:val="24"/>
          <w:szCs w:val="24"/>
        </w:rPr>
        <w:t>es invocados</w:t>
      </w:r>
      <w:r w:rsidRPr="00C308E9">
        <w:rPr>
          <w:rFonts w:ascii="Tahoma" w:eastAsia="Tahoma" w:hAnsi="Tahoma" w:cs="Tahoma"/>
          <w:sz w:val="24"/>
          <w:szCs w:val="24"/>
        </w:rPr>
        <w:t xml:space="preserve">, </w:t>
      </w:r>
      <w:r w:rsidRPr="00C308E9">
        <w:rPr>
          <w:rFonts w:ascii="Tahoma" w:eastAsia="Tahoma" w:hAnsi="Tahoma" w:cs="Tahoma"/>
          <w:sz w:val="24"/>
          <w:szCs w:val="24"/>
          <w:lang w:val="es-MX"/>
        </w:rPr>
        <w:t xml:space="preserve">con relación </w:t>
      </w:r>
      <w:r w:rsidRPr="00C308E9">
        <w:rPr>
          <w:rFonts w:ascii="Tahoma" w:eastAsia="Tahoma" w:hAnsi="Tahoma" w:cs="Tahoma"/>
          <w:sz w:val="24"/>
          <w:szCs w:val="24"/>
        </w:rPr>
        <w:t>a</w:t>
      </w:r>
      <w:r w:rsidRPr="00C308E9">
        <w:rPr>
          <w:rFonts w:ascii="Tahoma" w:eastAsia="Tahoma" w:hAnsi="Tahoma" w:cs="Tahoma"/>
          <w:sz w:val="24"/>
          <w:szCs w:val="24"/>
          <w:lang w:val="es-MX"/>
        </w:rPr>
        <w:t xml:space="preserve"> </w:t>
      </w:r>
      <w:r w:rsidRPr="00C308E9">
        <w:rPr>
          <w:rFonts w:ascii="Tahoma" w:eastAsia="Tahoma" w:hAnsi="Tahoma" w:cs="Tahoma"/>
          <w:sz w:val="24"/>
          <w:szCs w:val="24"/>
        </w:rPr>
        <w:t>la presentación de la acción proteccionista, siendo un plazo razonable</w:t>
      </w:r>
      <w:bookmarkEnd w:id="1"/>
      <w:r w:rsidRPr="00C308E9">
        <w:rPr>
          <w:rFonts w:ascii="Tahoma" w:eastAsia="Tahoma" w:hAnsi="Tahoma" w:cs="Tahoma"/>
          <w:sz w:val="24"/>
          <w:szCs w:val="24"/>
          <w:lang w:val="es-MX"/>
        </w:rPr>
        <w:t xml:space="preserve"> entre uno y otro</w:t>
      </w:r>
      <w:r w:rsidR="00820E60" w:rsidRPr="00C308E9">
        <w:rPr>
          <w:rFonts w:ascii="Tahoma" w:eastAsia="Tahoma" w:hAnsi="Tahoma" w:cs="Tahoma"/>
          <w:sz w:val="24"/>
          <w:szCs w:val="24"/>
          <w:lang w:val="es-MX"/>
        </w:rPr>
        <w:t>, máxime que entre ambas calendas el actor interpuso recursos y peticiones en sede administrativa, que dan cuenta de su diligencia</w:t>
      </w:r>
      <w:r w:rsidRPr="00C308E9">
        <w:rPr>
          <w:rFonts w:ascii="Tahoma" w:eastAsia="Tahoma" w:hAnsi="Tahoma" w:cs="Tahoma"/>
          <w:sz w:val="24"/>
          <w:szCs w:val="24"/>
          <w:lang w:val="es-MX"/>
        </w:rPr>
        <w:t>.</w:t>
      </w:r>
    </w:p>
    <w:p w14:paraId="1FCCACCD" w14:textId="77777777" w:rsidR="005274DC" w:rsidRPr="00C308E9" w:rsidRDefault="005274DC" w:rsidP="00C308E9">
      <w:pPr>
        <w:pStyle w:val="Sinespaciado"/>
        <w:spacing w:line="276" w:lineRule="auto"/>
        <w:rPr>
          <w:rFonts w:ascii="Tahoma" w:eastAsia="Tahoma" w:hAnsi="Tahoma" w:cs="Tahoma"/>
          <w:sz w:val="24"/>
          <w:szCs w:val="24"/>
        </w:rPr>
      </w:pPr>
    </w:p>
    <w:p w14:paraId="0A0E03AD" w14:textId="77777777" w:rsidR="005274DC" w:rsidRPr="00C308E9" w:rsidRDefault="005274DC" w:rsidP="00C308E9">
      <w:pPr>
        <w:spacing w:line="276" w:lineRule="auto"/>
        <w:rPr>
          <w:rFonts w:ascii="Tahoma" w:eastAsia="Tahoma" w:hAnsi="Tahoma" w:cs="Tahoma"/>
          <w:b/>
          <w:bCs/>
          <w:color w:val="000000"/>
          <w:sz w:val="24"/>
          <w:szCs w:val="24"/>
        </w:rPr>
      </w:pPr>
      <w:r w:rsidRPr="00C308E9">
        <w:rPr>
          <w:rFonts w:ascii="Tahoma" w:eastAsia="Tahoma" w:hAnsi="Tahoma" w:cs="Tahoma"/>
          <w:b/>
          <w:bCs/>
          <w:sz w:val="24"/>
          <w:szCs w:val="24"/>
        </w:rPr>
        <w:t xml:space="preserve">       6.1.3.   </w:t>
      </w:r>
      <w:r w:rsidRPr="00C308E9">
        <w:rPr>
          <w:rFonts w:ascii="Tahoma" w:eastAsia="Tahoma" w:hAnsi="Tahoma" w:cs="Tahoma"/>
          <w:b/>
          <w:bCs/>
          <w:color w:val="000000"/>
          <w:sz w:val="24"/>
          <w:szCs w:val="24"/>
        </w:rPr>
        <w:t>Subsidiariedad.</w:t>
      </w:r>
    </w:p>
    <w:p w14:paraId="56AFB719" w14:textId="77777777" w:rsidR="005274DC" w:rsidRPr="00C308E9" w:rsidRDefault="005274DC" w:rsidP="00C308E9">
      <w:pPr>
        <w:spacing w:line="276" w:lineRule="auto"/>
        <w:rPr>
          <w:rFonts w:ascii="Tahoma" w:eastAsia="Tahoma" w:hAnsi="Tahoma" w:cs="Tahoma"/>
          <w:b/>
          <w:bCs/>
          <w:color w:val="000000"/>
          <w:sz w:val="24"/>
          <w:szCs w:val="24"/>
        </w:rPr>
      </w:pPr>
    </w:p>
    <w:p w14:paraId="2E101D37" w14:textId="77777777" w:rsidR="005274DC" w:rsidRPr="00C308E9" w:rsidRDefault="005274DC" w:rsidP="00C308E9">
      <w:pPr>
        <w:spacing w:line="276" w:lineRule="auto"/>
        <w:ind w:firstLine="708"/>
        <w:jc w:val="both"/>
        <w:rPr>
          <w:rFonts w:ascii="Tahoma" w:eastAsia="Tahoma" w:hAnsi="Tahoma" w:cs="Tahoma"/>
          <w:iCs/>
          <w:color w:val="000000"/>
          <w:sz w:val="24"/>
          <w:szCs w:val="24"/>
        </w:rPr>
      </w:pPr>
      <w:r w:rsidRPr="00C308E9">
        <w:rPr>
          <w:rFonts w:ascii="Tahoma" w:eastAsia="Tahoma" w:hAnsi="Tahoma" w:cs="Tahoma"/>
          <w:color w:val="000000"/>
          <w:sz w:val="24"/>
          <w:szCs w:val="24"/>
        </w:rPr>
        <w:t xml:space="preserve">De manera general, en lo derivado a la subsidiariedad como requisito general de procedibilidad de la acción de tutela, es menester tener en consideración </w:t>
      </w:r>
      <w:r w:rsidRPr="00C308E9">
        <w:rPr>
          <w:rFonts w:ascii="Tahoma" w:eastAsia="Tahoma" w:hAnsi="Tahoma" w:cs="Tahoma"/>
          <w:iCs/>
          <w:color w:val="000000"/>
          <w:sz w:val="24"/>
          <w:szCs w:val="24"/>
        </w:rPr>
        <w:t>lo que dispone la carta nacional, pues dispone en su artículo 86 que, la acción de tutela procede cuando el afectado no disponga de otro medio de defensa judicial, salvo aquella que se utilice como mecanismo transitorio para evitar un perjuicio irremediable, esto denota que, no es alternativa o supletoria de los recursos ordinarios. Respecto a este presupuesto, el alto tribunal constitucional ha estibado lo siguiente:</w:t>
      </w:r>
    </w:p>
    <w:p w14:paraId="3B3D865F" w14:textId="77777777" w:rsidR="005274DC" w:rsidRPr="00C308E9" w:rsidRDefault="005274DC" w:rsidP="00C308E9">
      <w:pPr>
        <w:spacing w:line="276" w:lineRule="auto"/>
        <w:jc w:val="both"/>
        <w:rPr>
          <w:rFonts w:ascii="Tahoma" w:eastAsia="Tahoma" w:hAnsi="Tahoma" w:cs="Tahoma"/>
          <w:color w:val="000000"/>
          <w:sz w:val="24"/>
          <w:szCs w:val="24"/>
        </w:rPr>
      </w:pPr>
    </w:p>
    <w:p w14:paraId="4258B79D" w14:textId="3408089E" w:rsidR="005274DC" w:rsidRPr="00E81766" w:rsidRDefault="005274DC" w:rsidP="00BB06A1">
      <w:pPr>
        <w:ind w:left="426"/>
        <w:jc w:val="both"/>
        <w:rPr>
          <w:rFonts w:ascii="Tahoma" w:eastAsia="Tahoma" w:hAnsi="Tahoma" w:cs="Tahoma"/>
          <w:i/>
          <w:iCs/>
          <w:sz w:val="22"/>
          <w:szCs w:val="24"/>
          <w:vertAlign w:val="superscript"/>
        </w:rPr>
      </w:pPr>
      <w:r w:rsidRPr="00BB06A1">
        <w:rPr>
          <w:rFonts w:ascii="Tahoma" w:eastAsia="Tahoma" w:hAnsi="Tahoma" w:cs="Tahoma"/>
          <w:i/>
          <w:iCs/>
          <w:sz w:val="22"/>
          <w:szCs w:val="24"/>
        </w:rPr>
        <w:t>“Cuando no existe otro medio de defensa judicial, o cuando existiendo, el mismo no resulta idóneo para resolver el caso concreto, eventos en los que la tutela procede como mecanismo principal de defensa ante la imposibilidad material de solicitar una protección real y cierta por otra vía. Y (ii) cuando ésta se promueve como mecanismo transitorio, debiendo acreditar el demandante que el amparo constitucional es necesario para evitar la ocurrencia de un perjuicio irremediable, en cuyo caso la orden de protección tendrá efectos temporales, sólo hasta el momento en que la autoridad judicial competente decida en forma definitiva el conflicto planteado.”</w:t>
      </w:r>
      <w:r w:rsidR="00E81766">
        <w:rPr>
          <w:rFonts w:ascii="Tahoma" w:eastAsia="Tahoma" w:hAnsi="Tahoma" w:cs="Tahoma"/>
          <w:i/>
          <w:iCs/>
          <w:sz w:val="22"/>
          <w:szCs w:val="24"/>
        </w:rPr>
        <w:t xml:space="preserve"> </w:t>
      </w:r>
      <w:r w:rsidRPr="00E81766">
        <w:rPr>
          <w:rFonts w:ascii="Tahoma" w:eastAsia="Tahoma" w:hAnsi="Tahoma" w:cs="Tahoma"/>
          <w:i/>
          <w:iCs/>
          <w:sz w:val="22"/>
          <w:szCs w:val="24"/>
          <w:vertAlign w:val="superscript"/>
        </w:rPr>
        <w:footnoteReference w:id="5"/>
      </w:r>
    </w:p>
    <w:p w14:paraId="7CE0D81F" w14:textId="77777777" w:rsidR="005274DC" w:rsidRPr="00C308E9" w:rsidRDefault="005274DC" w:rsidP="00C308E9">
      <w:pPr>
        <w:spacing w:line="276" w:lineRule="auto"/>
        <w:rPr>
          <w:rFonts w:ascii="Tahoma" w:hAnsi="Tahoma" w:cs="Tahoma"/>
          <w:sz w:val="24"/>
          <w:szCs w:val="24"/>
          <w:shd w:val="clear" w:color="auto" w:fill="FFFFFF"/>
        </w:rPr>
      </w:pPr>
    </w:p>
    <w:p w14:paraId="58D01EE3" w14:textId="167F5380" w:rsidR="005274DC" w:rsidRPr="00C308E9" w:rsidRDefault="005274DC" w:rsidP="00C308E9">
      <w:pPr>
        <w:spacing w:line="276" w:lineRule="auto"/>
        <w:ind w:firstLine="708"/>
        <w:jc w:val="both"/>
        <w:rPr>
          <w:rFonts w:ascii="Tahoma" w:eastAsia="Tahoma" w:hAnsi="Tahoma" w:cs="Tahoma"/>
          <w:iCs/>
          <w:color w:val="000000"/>
          <w:sz w:val="24"/>
          <w:szCs w:val="24"/>
        </w:rPr>
      </w:pPr>
      <w:r w:rsidRPr="00C308E9">
        <w:rPr>
          <w:rFonts w:ascii="Tahoma" w:eastAsia="Tahoma" w:hAnsi="Tahoma" w:cs="Tahoma"/>
          <w:iCs/>
          <w:color w:val="000000"/>
          <w:sz w:val="24"/>
          <w:szCs w:val="24"/>
        </w:rPr>
        <w:t xml:space="preserve">En lo atinente a la idoneidad como vertiente que subyace en el mentado requisito, la H. Corte </w:t>
      </w:r>
      <w:r w:rsidR="00E81766" w:rsidRPr="00C308E9">
        <w:rPr>
          <w:rFonts w:ascii="Tahoma" w:eastAsia="Tahoma" w:hAnsi="Tahoma" w:cs="Tahoma"/>
          <w:iCs/>
          <w:color w:val="000000"/>
          <w:sz w:val="24"/>
          <w:szCs w:val="24"/>
        </w:rPr>
        <w:t>Constitucional</w:t>
      </w:r>
      <w:r w:rsidRPr="00C308E9">
        <w:rPr>
          <w:rFonts w:ascii="Tahoma" w:eastAsia="Tahoma" w:hAnsi="Tahoma" w:cs="Tahoma"/>
          <w:iCs/>
          <w:color w:val="000000"/>
          <w:sz w:val="24"/>
          <w:szCs w:val="24"/>
        </w:rPr>
        <w:t xml:space="preserve"> sostiene:</w:t>
      </w:r>
    </w:p>
    <w:p w14:paraId="433DCD98" w14:textId="77777777" w:rsidR="005274DC" w:rsidRPr="00C308E9" w:rsidRDefault="005274DC" w:rsidP="00C308E9">
      <w:pPr>
        <w:spacing w:line="276" w:lineRule="auto"/>
        <w:ind w:right="-93"/>
        <w:jc w:val="both"/>
        <w:rPr>
          <w:rFonts w:ascii="Tahoma" w:eastAsia="Tahoma" w:hAnsi="Tahoma" w:cs="Tahoma"/>
          <w:i/>
          <w:color w:val="000000"/>
          <w:sz w:val="24"/>
          <w:szCs w:val="24"/>
        </w:rPr>
      </w:pPr>
    </w:p>
    <w:p w14:paraId="350525F9" w14:textId="2979DC0D" w:rsidR="005274DC" w:rsidRPr="00BB06A1" w:rsidRDefault="005274DC" w:rsidP="00BB06A1">
      <w:pPr>
        <w:ind w:left="426"/>
        <w:jc w:val="both"/>
        <w:rPr>
          <w:rFonts w:ascii="Tahoma" w:eastAsia="Tahoma" w:hAnsi="Tahoma" w:cs="Tahoma"/>
          <w:i/>
          <w:iCs/>
          <w:sz w:val="22"/>
          <w:szCs w:val="24"/>
        </w:rPr>
      </w:pPr>
      <w:r w:rsidRPr="00BB06A1">
        <w:rPr>
          <w:rFonts w:ascii="Tahoma" w:eastAsia="Tahoma" w:hAnsi="Tahoma" w:cs="Tahoma"/>
          <w:i/>
          <w:iCs/>
          <w:sz w:val="22"/>
          <w:szCs w:val="24"/>
        </w:rPr>
        <w:lastRenderedPageBreak/>
        <w:t xml:space="preserve">“[…] Ahora bien, el examen de subsidiariedad no se agota solo con verificar la existencia de un mecanismo de defensa en el ordenamiento. Esta Corte ha entendido </w:t>
      </w:r>
      <w:r w:rsidR="00E81766" w:rsidRPr="00BB06A1">
        <w:rPr>
          <w:rFonts w:ascii="Tahoma" w:eastAsia="Tahoma" w:hAnsi="Tahoma" w:cs="Tahoma"/>
          <w:i/>
          <w:iCs/>
          <w:sz w:val="22"/>
          <w:szCs w:val="24"/>
        </w:rPr>
        <w:t>que,</w:t>
      </w:r>
      <w:r w:rsidRPr="00BB06A1">
        <w:rPr>
          <w:rFonts w:ascii="Tahoma" w:eastAsia="Tahoma" w:hAnsi="Tahoma" w:cs="Tahoma"/>
          <w:i/>
          <w:iCs/>
          <w:sz w:val="22"/>
          <w:szCs w:val="24"/>
        </w:rPr>
        <w:t xml:space="preserve"> en la gran mayoría de casos, en abstracto, las personas contarían con recursos judiciales para hacer efectivos sus derechos. Si este análisis se hiciera con base en ello, la tutela normalmente se tornaría improcedente. Por esta razón, el requisito de subsidiariedad no puede convertirse en un ritualismo excesivo que aleje a las personas del disfrute de sus derechos, ni reste eficacia a la supremacía de la Constitución. En ese sentido, el requisito de subsidiariedad implica, además, que en caso de contarse con algún medio de defensa sea eficaz e idóneo. En caso de no serlo, la acción de tutela será el mecanismo apropiado para defender los derechos fundamentales de las personas. En todo caso, el amparo siempre será procedente para evitar un perjuicio irremediable.</w:t>
      </w:r>
    </w:p>
    <w:p w14:paraId="218E8E8F" w14:textId="77777777" w:rsidR="005274DC" w:rsidRPr="00BB06A1" w:rsidRDefault="005274DC" w:rsidP="00BB06A1">
      <w:pPr>
        <w:ind w:left="426"/>
        <w:jc w:val="both"/>
        <w:rPr>
          <w:rFonts w:ascii="Tahoma" w:eastAsia="Tahoma" w:hAnsi="Tahoma" w:cs="Tahoma"/>
          <w:i/>
          <w:iCs/>
          <w:sz w:val="22"/>
          <w:szCs w:val="24"/>
        </w:rPr>
      </w:pPr>
      <w:r w:rsidRPr="00BB06A1">
        <w:rPr>
          <w:rFonts w:ascii="Tahoma" w:eastAsia="Tahoma" w:hAnsi="Tahoma" w:cs="Tahoma"/>
          <w:i/>
          <w:iCs/>
          <w:sz w:val="22"/>
          <w:szCs w:val="24"/>
        </w:rPr>
        <w:t> </w:t>
      </w:r>
    </w:p>
    <w:p w14:paraId="74FFDA44" w14:textId="77777777" w:rsidR="005274DC" w:rsidRPr="00BB06A1" w:rsidRDefault="005274DC" w:rsidP="00BB06A1">
      <w:pPr>
        <w:ind w:left="426"/>
        <w:jc w:val="both"/>
        <w:rPr>
          <w:rFonts w:ascii="Tahoma" w:eastAsia="Tahoma" w:hAnsi="Tahoma" w:cs="Tahoma"/>
          <w:i/>
          <w:iCs/>
          <w:sz w:val="22"/>
          <w:szCs w:val="24"/>
        </w:rPr>
      </w:pPr>
      <w:r w:rsidRPr="00BB06A1">
        <w:rPr>
          <w:rFonts w:ascii="Tahoma" w:eastAsia="Tahoma" w:hAnsi="Tahoma" w:cs="Tahoma"/>
          <w:i/>
          <w:iCs/>
          <w:sz w:val="22"/>
          <w:szCs w:val="24"/>
        </w:rPr>
        <w:t>En relación con la idoneidad, la Corte ha establecido que el medio de defensa lo es, siempre y cuando sea “materialmente apto para producir el efecto protector de los derechos fundamentales”. En otras palabras, que el recurso esté diseñado para ese preciso fin y no para otro. Si la persona, en un caso hipotético, cuenta con recursos para debatir la vulneración de sus derechos, la idoneidad se verifica si ellos efectivamente producirán el efecto esperado. Por ejemplo, no sería idóneo un recurso que una vez decidido, así sea resuelto favorablemente, no proteja los derechos del ciudadano. El mecanismo no sirve para lo que el ciudadano necesita. Por su parte, eficacia significa que el medio de defensa debe “estar diseñado de forma tal que brinde oportunamente una protección al derecho. Es decir, que una vez resuelto por la autoridad competente, tenga la virtualidad de garantizar oportunamente, a tiempo, el derecho. De poco o nada sirve que el ciudadano cuente con medios de defensa si una vez se deciden, el derecho ya se ha lesionado. Ello tiene que ver con la eficacia de los derechos fundamentales.</w:t>
      </w:r>
    </w:p>
    <w:p w14:paraId="16654623" w14:textId="77777777" w:rsidR="005274DC" w:rsidRPr="00BB06A1" w:rsidRDefault="005274DC" w:rsidP="00BB06A1">
      <w:pPr>
        <w:ind w:left="426"/>
        <w:jc w:val="both"/>
        <w:rPr>
          <w:rFonts w:ascii="Tahoma" w:eastAsia="Tahoma" w:hAnsi="Tahoma" w:cs="Tahoma"/>
          <w:i/>
          <w:iCs/>
          <w:sz w:val="22"/>
          <w:szCs w:val="24"/>
        </w:rPr>
      </w:pPr>
      <w:r w:rsidRPr="00BB06A1">
        <w:rPr>
          <w:rFonts w:ascii="Tahoma" w:eastAsia="Tahoma" w:hAnsi="Tahoma" w:cs="Tahoma"/>
          <w:i/>
          <w:iCs/>
          <w:sz w:val="22"/>
          <w:szCs w:val="24"/>
        </w:rPr>
        <w:t> </w:t>
      </w:r>
    </w:p>
    <w:p w14:paraId="464061B0" w14:textId="6D222F64" w:rsidR="005274DC" w:rsidRPr="00C308E9" w:rsidRDefault="005274DC" w:rsidP="00BB06A1">
      <w:pPr>
        <w:ind w:left="426"/>
        <w:jc w:val="both"/>
        <w:rPr>
          <w:rFonts w:ascii="Tahoma" w:eastAsia="Tahoma" w:hAnsi="Tahoma" w:cs="Tahoma"/>
          <w:i/>
          <w:color w:val="000000"/>
          <w:sz w:val="24"/>
          <w:szCs w:val="24"/>
        </w:rPr>
      </w:pPr>
      <w:r w:rsidRPr="00BB06A1">
        <w:rPr>
          <w:rFonts w:ascii="Tahoma" w:eastAsia="Tahoma" w:hAnsi="Tahoma" w:cs="Tahoma"/>
          <w:i/>
          <w:iCs/>
          <w:sz w:val="22"/>
          <w:szCs w:val="24"/>
        </w:rPr>
        <w:t>Ahora bien, este análisis de subsidiariedad debe hacerse caso a caso. Según las circunstancias particulares del asunto, la tutela se resolverá de fondo. Para esta Corte “las herramientas procesales no son adecuadas y/o eficaces en abstracto (…). Si fuera de otra manera, el amparo constitucional perdería eficacia pues las personas, hipotéticamente, siempre contarían con mecanismos de defensa idóneos y/o eficaces”. No puede predicarse idoneidad y eficacia de un recurso sin hacerse un análisis concreto. Ello implica que el juez constitucional despliegue una carga argumentativa a fin de determinar la procedencia de la tutela. No es dable en un Estado Social de Derecho que un juez constitucional niegue por improcedente un amparo constitucional sin si quiera analizar, paso a paso, el requisito de subsidiariedad. Con estas actitudes lo que se obtiene es una pérdida de eficacia de la acción de tutela. A pesar de que muchos asuntos cuenten con vías ordinarias o regulares para tramitarse, esta no es razón suficiente para negar el mencionado trámite constitucional</w:t>
      </w:r>
      <w:r w:rsidRPr="00E81766">
        <w:rPr>
          <w:rFonts w:ascii="Tahoma" w:eastAsia="Tahoma" w:hAnsi="Tahoma" w:cs="Tahoma"/>
          <w:i/>
          <w:color w:val="000000"/>
          <w:sz w:val="22"/>
          <w:szCs w:val="24"/>
        </w:rPr>
        <w:t>.”</w:t>
      </w:r>
      <w:r w:rsidR="00E81766">
        <w:rPr>
          <w:rFonts w:ascii="Tahoma" w:eastAsia="Tahoma" w:hAnsi="Tahoma" w:cs="Tahoma"/>
          <w:sz w:val="24"/>
          <w:szCs w:val="24"/>
          <w:vertAlign w:val="superscript"/>
        </w:rPr>
        <w:t xml:space="preserve"> </w:t>
      </w:r>
      <w:r w:rsidRPr="00C308E9">
        <w:rPr>
          <w:rFonts w:ascii="Tahoma" w:eastAsia="Tahoma" w:hAnsi="Tahoma" w:cs="Tahoma"/>
          <w:sz w:val="24"/>
          <w:szCs w:val="24"/>
          <w:vertAlign w:val="superscript"/>
        </w:rPr>
        <w:footnoteReference w:id="6"/>
      </w:r>
    </w:p>
    <w:p w14:paraId="2EF086E3" w14:textId="77777777" w:rsidR="005274DC" w:rsidRPr="00C308E9" w:rsidRDefault="005274DC" w:rsidP="00C308E9">
      <w:pPr>
        <w:spacing w:line="276" w:lineRule="auto"/>
        <w:ind w:left="720"/>
        <w:jc w:val="both"/>
        <w:rPr>
          <w:rFonts w:ascii="Tahoma" w:eastAsia="Tahoma" w:hAnsi="Tahoma" w:cs="Tahoma"/>
          <w:i/>
          <w:color w:val="000000"/>
          <w:sz w:val="24"/>
          <w:szCs w:val="24"/>
        </w:rPr>
      </w:pPr>
    </w:p>
    <w:p w14:paraId="5C738629" w14:textId="4AF96784" w:rsidR="005274DC" w:rsidRPr="00C308E9" w:rsidRDefault="00A516BE" w:rsidP="00C308E9">
      <w:pPr>
        <w:spacing w:line="276" w:lineRule="auto"/>
        <w:ind w:firstLine="708"/>
        <w:jc w:val="both"/>
        <w:rPr>
          <w:rFonts w:ascii="Tahoma" w:eastAsia="Tahoma" w:hAnsi="Tahoma" w:cs="Tahoma"/>
          <w:iCs/>
          <w:color w:val="000000"/>
          <w:sz w:val="24"/>
          <w:szCs w:val="24"/>
          <w:lang w:val="es-ES"/>
        </w:rPr>
      </w:pPr>
      <w:r w:rsidRPr="00C308E9">
        <w:rPr>
          <w:rFonts w:ascii="Tahoma" w:eastAsia="Tahoma" w:hAnsi="Tahoma" w:cs="Tahoma"/>
          <w:iCs/>
          <w:color w:val="000000"/>
          <w:sz w:val="24"/>
          <w:szCs w:val="24"/>
        </w:rPr>
        <w:t xml:space="preserve">Atendiendo las consideraciones del Tribunal de Cierre Constitucional, si bien es cierto que el actor cuenta con el proceso ordinario laboral para perseguir la reactivación de su pensión de invalidez, en este caso, atendiendo que desde el año 2013 el accionante contaba con una PCL del 64.2% y que en el presente año la misma fue disminuida al 19.80% por la administradora pensional accionada, última decisión que ha controvertido el actor, se está frente a una persona de especial protección constitucional dado su estado de salud, adicional a lo cual, al suspender su prestación económica se afecta su mínimo vital, lo que implica la necesidad de evitar un perjuicio irremediable, aspecto que habilita la procedencia de la acción de tutela. </w:t>
      </w:r>
      <w:r w:rsidRPr="00C308E9">
        <w:rPr>
          <w:rFonts w:ascii="Tahoma" w:eastAsia="Tahoma" w:hAnsi="Tahoma" w:cs="Tahoma"/>
          <w:iCs/>
          <w:color w:val="000000"/>
          <w:sz w:val="24"/>
          <w:szCs w:val="24"/>
          <w:lang w:val="es-MX"/>
        </w:rPr>
        <w:t xml:space="preserve"> </w:t>
      </w:r>
      <w:r w:rsidR="005274DC" w:rsidRPr="00C308E9">
        <w:rPr>
          <w:rFonts w:ascii="Tahoma" w:eastAsia="Tahoma" w:hAnsi="Tahoma" w:cs="Tahoma"/>
          <w:iCs/>
          <w:color w:val="000000"/>
          <w:sz w:val="24"/>
          <w:szCs w:val="24"/>
        </w:rPr>
        <w:t xml:space="preserve"> </w:t>
      </w:r>
    </w:p>
    <w:p w14:paraId="56EEA89D" w14:textId="77777777" w:rsidR="005274DC" w:rsidRPr="00C308E9" w:rsidRDefault="005274DC" w:rsidP="00C308E9">
      <w:pPr>
        <w:pStyle w:val="Sinespaciado"/>
        <w:spacing w:line="276" w:lineRule="auto"/>
        <w:rPr>
          <w:rFonts w:ascii="Tahoma" w:eastAsia="Tahoma" w:hAnsi="Tahoma" w:cs="Tahoma"/>
          <w:sz w:val="24"/>
          <w:szCs w:val="24"/>
        </w:rPr>
      </w:pPr>
    </w:p>
    <w:p w14:paraId="1CC76116" w14:textId="77777777" w:rsidR="005274DC" w:rsidRPr="00C308E9" w:rsidRDefault="005274DC" w:rsidP="00C308E9">
      <w:pPr>
        <w:spacing w:line="276" w:lineRule="auto"/>
        <w:ind w:firstLine="708"/>
        <w:jc w:val="both"/>
        <w:rPr>
          <w:rFonts w:ascii="Tahoma" w:eastAsia="Tahoma" w:hAnsi="Tahoma" w:cs="Tahoma"/>
          <w:bCs/>
          <w:color w:val="000000"/>
          <w:sz w:val="24"/>
          <w:szCs w:val="24"/>
        </w:rPr>
      </w:pPr>
      <w:r w:rsidRPr="00C308E9">
        <w:rPr>
          <w:rFonts w:ascii="Tahoma" w:eastAsia="Tahoma" w:hAnsi="Tahoma" w:cs="Tahoma"/>
          <w:bCs/>
          <w:color w:val="000000"/>
          <w:sz w:val="24"/>
          <w:szCs w:val="24"/>
          <w:lang w:val="zh-CN"/>
        </w:rPr>
        <w:t xml:space="preserve">Como el </w:t>
      </w:r>
      <w:r w:rsidRPr="00C308E9">
        <w:rPr>
          <w:rFonts w:ascii="Tahoma" w:eastAsia="Tahoma" w:hAnsi="Tahoma" w:cs="Tahoma"/>
          <w:bCs/>
          <w:i/>
          <w:iCs/>
          <w:color w:val="000000"/>
          <w:sz w:val="24"/>
          <w:szCs w:val="24"/>
          <w:lang w:val="zh-CN"/>
        </w:rPr>
        <w:t>sub lite</w:t>
      </w:r>
      <w:r w:rsidRPr="00C308E9">
        <w:rPr>
          <w:rFonts w:ascii="Tahoma" w:eastAsia="Tahoma" w:hAnsi="Tahoma" w:cs="Tahoma"/>
          <w:bCs/>
          <w:color w:val="000000"/>
          <w:sz w:val="24"/>
          <w:szCs w:val="24"/>
          <w:lang w:val="zh-CN"/>
        </w:rPr>
        <w:t xml:space="preserve"> supera el test de procedencia, puede examinarse de fondo.</w:t>
      </w:r>
    </w:p>
    <w:p w14:paraId="40D611D7" w14:textId="77777777" w:rsidR="00626148" w:rsidRPr="00C308E9" w:rsidRDefault="00626148" w:rsidP="00C308E9">
      <w:pPr>
        <w:pStyle w:val="Style8"/>
        <w:widowControl/>
        <w:spacing w:line="276" w:lineRule="auto"/>
        <w:ind w:right="51" w:firstLine="0"/>
        <w:rPr>
          <w:rFonts w:cs="Tahoma"/>
        </w:rPr>
      </w:pPr>
    </w:p>
    <w:p w14:paraId="6F7740BD" w14:textId="77777777" w:rsidR="00626148" w:rsidRPr="00C308E9" w:rsidRDefault="00626148" w:rsidP="00C308E9">
      <w:pPr>
        <w:pStyle w:val="Prrafodelista"/>
        <w:numPr>
          <w:ilvl w:val="1"/>
          <w:numId w:val="21"/>
        </w:numPr>
        <w:spacing w:line="276" w:lineRule="auto"/>
        <w:ind w:right="-93"/>
        <w:contextualSpacing/>
        <w:jc w:val="both"/>
        <w:rPr>
          <w:rFonts w:ascii="Tahoma" w:eastAsia="Tahoma" w:hAnsi="Tahoma" w:cs="Tahoma"/>
          <w:b/>
          <w:color w:val="000000"/>
          <w:sz w:val="24"/>
          <w:szCs w:val="24"/>
        </w:rPr>
      </w:pPr>
      <w:r w:rsidRPr="00C308E9">
        <w:rPr>
          <w:rFonts w:ascii="Tahoma" w:eastAsia="Tahoma" w:hAnsi="Tahoma" w:cs="Tahoma"/>
          <w:b/>
          <w:color w:val="000000"/>
          <w:sz w:val="24"/>
          <w:szCs w:val="24"/>
        </w:rPr>
        <w:lastRenderedPageBreak/>
        <w:t>DE LA REVISION DE LA CONDICIÓN DE INVÁLIDO</w:t>
      </w:r>
    </w:p>
    <w:p w14:paraId="4CFB987B" w14:textId="77777777" w:rsidR="00626148" w:rsidRPr="00C308E9" w:rsidRDefault="00626148" w:rsidP="00C308E9">
      <w:pPr>
        <w:pStyle w:val="Sinespaciado"/>
        <w:spacing w:line="276" w:lineRule="auto"/>
        <w:rPr>
          <w:rFonts w:ascii="Tahoma" w:hAnsi="Tahoma" w:cs="Tahoma"/>
          <w:sz w:val="24"/>
          <w:szCs w:val="24"/>
        </w:rPr>
      </w:pPr>
    </w:p>
    <w:p w14:paraId="6B159068" w14:textId="77777777" w:rsidR="00626148" w:rsidRPr="00C308E9" w:rsidRDefault="00626148" w:rsidP="00C308E9">
      <w:pPr>
        <w:spacing w:line="276" w:lineRule="auto"/>
        <w:ind w:firstLine="708"/>
        <w:jc w:val="both"/>
        <w:rPr>
          <w:rFonts w:ascii="Tahoma" w:eastAsia="Tahoma" w:hAnsi="Tahoma" w:cs="Tahoma"/>
          <w:iCs/>
          <w:color w:val="000000"/>
          <w:sz w:val="24"/>
          <w:szCs w:val="24"/>
        </w:rPr>
      </w:pPr>
      <w:r w:rsidRPr="00C308E9">
        <w:rPr>
          <w:rFonts w:ascii="Tahoma" w:eastAsia="Tahoma" w:hAnsi="Tahoma" w:cs="Tahoma"/>
          <w:iCs/>
          <w:color w:val="000000"/>
          <w:sz w:val="24"/>
          <w:szCs w:val="24"/>
        </w:rPr>
        <w:t>Prevé el artículo 44 de la Ley 100 de 1993 la revisión del estado de invalidez, a solicitud de la entidad de previsión o seguridad social correspondiente, cada tres (3) años, contando el pensionado con un término de tres (3) meses para someterse a la revisión y, en el evento de no presentarse o impida que se lleve a cabo el trámite se suspenderá el pago de la pensión.</w:t>
      </w:r>
    </w:p>
    <w:p w14:paraId="3551CAEF" w14:textId="77777777" w:rsidR="00626148" w:rsidRPr="00C308E9" w:rsidRDefault="00626148" w:rsidP="00C308E9">
      <w:pPr>
        <w:pStyle w:val="Sinespaciado"/>
        <w:spacing w:line="276" w:lineRule="auto"/>
        <w:rPr>
          <w:rFonts w:ascii="Tahoma" w:eastAsia="Tahoma" w:hAnsi="Tahoma" w:cs="Tahoma"/>
          <w:sz w:val="24"/>
          <w:szCs w:val="24"/>
        </w:rPr>
      </w:pPr>
    </w:p>
    <w:p w14:paraId="1DE3150F" w14:textId="77777777" w:rsidR="00626148" w:rsidRPr="00C308E9" w:rsidRDefault="00626148" w:rsidP="00C308E9">
      <w:pPr>
        <w:spacing w:line="276" w:lineRule="auto"/>
        <w:ind w:firstLine="708"/>
        <w:jc w:val="both"/>
        <w:rPr>
          <w:rFonts w:ascii="Tahoma" w:eastAsia="Tahoma" w:hAnsi="Tahoma" w:cs="Tahoma"/>
          <w:iCs/>
          <w:color w:val="000000"/>
          <w:sz w:val="24"/>
          <w:szCs w:val="24"/>
        </w:rPr>
      </w:pPr>
      <w:r w:rsidRPr="00C308E9">
        <w:rPr>
          <w:rFonts w:ascii="Tahoma" w:eastAsia="Tahoma" w:hAnsi="Tahoma" w:cs="Tahoma"/>
          <w:iCs/>
          <w:color w:val="000000"/>
          <w:sz w:val="24"/>
          <w:szCs w:val="24"/>
        </w:rPr>
        <w:t>Dispone el artículo en mención en lo pertinente:</w:t>
      </w:r>
    </w:p>
    <w:p w14:paraId="2BAB98F2" w14:textId="77777777" w:rsidR="00626148" w:rsidRPr="00C308E9" w:rsidRDefault="00626148" w:rsidP="00C308E9">
      <w:pPr>
        <w:pStyle w:val="Sinespaciado"/>
        <w:spacing w:line="276" w:lineRule="auto"/>
        <w:rPr>
          <w:rFonts w:ascii="Tahoma" w:eastAsia="Tahoma" w:hAnsi="Tahoma" w:cs="Tahoma"/>
          <w:sz w:val="24"/>
          <w:szCs w:val="24"/>
        </w:rPr>
      </w:pPr>
    </w:p>
    <w:p w14:paraId="7117541A" w14:textId="77777777" w:rsidR="00626148" w:rsidRPr="00BB06A1" w:rsidRDefault="00626148" w:rsidP="00BB06A1">
      <w:pPr>
        <w:ind w:left="426"/>
        <w:jc w:val="both"/>
        <w:rPr>
          <w:rFonts w:ascii="Tahoma" w:eastAsia="Tahoma" w:hAnsi="Tahoma" w:cs="Tahoma"/>
          <w:i/>
          <w:iCs/>
          <w:sz w:val="22"/>
          <w:szCs w:val="24"/>
        </w:rPr>
      </w:pPr>
      <w:r w:rsidRPr="00BB06A1">
        <w:rPr>
          <w:rFonts w:ascii="Tahoma" w:eastAsia="Tahoma" w:hAnsi="Tahoma" w:cs="Tahoma"/>
          <w:i/>
          <w:iCs/>
          <w:sz w:val="22"/>
          <w:szCs w:val="24"/>
        </w:rPr>
        <w:t>“El pensionado tendrá un plazo de tres (3) meses contados a partir de la fecha de dicha solicitud, para someterse a la respectiva revisión del estado de invalidez. Salvo casos de fuerza mayor, si el pensionado no se presenta o impide dicha revisión dentro de dicho plazo, se suspenderá el pago de la pensión. Transcurridos doce (12) meses contados desde la misma fecha sin que el pensionado se presente o permita el examen, la respectiva pensión prescribirá.</w:t>
      </w:r>
    </w:p>
    <w:p w14:paraId="270261A2" w14:textId="77777777" w:rsidR="00626148" w:rsidRPr="00BB06A1" w:rsidRDefault="00626148" w:rsidP="00BB06A1">
      <w:pPr>
        <w:ind w:left="426"/>
        <w:jc w:val="both"/>
        <w:rPr>
          <w:rFonts w:ascii="Tahoma" w:eastAsia="Tahoma" w:hAnsi="Tahoma" w:cs="Tahoma"/>
          <w:i/>
          <w:iCs/>
          <w:sz w:val="22"/>
          <w:szCs w:val="24"/>
        </w:rPr>
      </w:pPr>
    </w:p>
    <w:p w14:paraId="216844D1" w14:textId="05CC2789" w:rsidR="00626148" w:rsidRPr="00BB06A1" w:rsidRDefault="00626148" w:rsidP="00BB06A1">
      <w:pPr>
        <w:ind w:left="426"/>
        <w:jc w:val="both"/>
        <w:rPr>
          <w:rFonts w:ascii="Tahoma" w:eastAsia="Tahoma" w:hAnsi="Tahoma" w:cs="Tahoma"/>
          <w:i/>
          <w:iCs/>
          <w:sz w:val="22"/>
          <w:szCs w:val="24"/>
        </w:rPr>
      </w:pPr>
      <w:r w:rsidRPr="00BB06A1">
        <w:rPr>
          <w:rFonts w:ascii="Tahoma" w:eastAsia="Tahoma" w:hAnsi="Tahoma" w:cs="Tahoma"/>
          <w:i/>
          <w:iCs/>
          <w:sz w:val="22"/>
          <w:szCs w:val="24"/>
        </w:rPr>
        <w:t>Para readquirir el derecho en forma posterior, el afiliado que alegue permanecer inválido deberá someterse a un nuevo dictamen. Los gastos de este nuevo dictamen serán pagados por el afiliado”.</w:t>
      </w:r>
    </w:p>
    <w:p w14:paraId="3824CBE9" w14:textId="77777777" w:rsidR="00626148" w:rsidRPr="00C308E9" w:rsidRDefault="00626148" w:rsidP="00C308E9">
      <w:pPr>
        <w:spacing w:line="276" w:lineRule="auto"/>
        <w:jc w:val="both"/>
        <w:rPr>
          <w:rFonts w:ascii="Tahoma" w:hAnsi="Tahoma" w:cs="Tahoma"/>
          <w:sz w:val="24"/>
          <w:szCs w:val="24"/>
        </w:rPr>
      </w:pPr>
    </w:p>
    <w:p w14:paraId="76AF7625" w14:textId="3890F885" w:rsidR="00626148" w:rsidRPr="00C308E9" w:rsidRDefault="00626148" w:rsidP="00C308E9">
      <w:pPr>
        <w:pStyle w:val="Prrafodelista"/>
        <w:numPr>
          <w:ilvl w:val="1"/>
          <w:numId w:val="21"/>
        </w:numPr>
        <w:spacing w:line="276" w:lineRule="auto"/>
        <w:ind w:right="-93"/>
        <w:contextualSpacing/>
        <w:jc w:val="both"/>
        <w:rPr>
          <w:rFonts w:ascii="Tahoma" w:eastAsia="Tahoma" w:hAnsi="Tahoma" w:cs="Tahoma"/>
          <w:b/>
          <w:color w:val="000000"/>
          <w:sz w:val="24"/>
          <w:szCs w:val="24"/>
        </w:rPr>
      </w:pPr>
      <w:r w:rsidRPr="00C308E9">
        <w:rPr>
          <w:rFonts w:ascii="Tahoma" w:eastAsia="Tahoma" w:hAnsi="Tahoma" w:cs="Tahoma"/>
          <w:b/>
          <w:color w:val="000000"/>
          <w:sz w:val="24"/>
          <w:szCs w:val="24"/>
        </w:rPr>
        <w:t>DEBIDO PROCESO.</w:t>
      </w:r>
    </w:p>
    <w:p w14:paraId="4C963034" w14:textId="77777777" w:rsidR="00626148" w:rsidRPr="00C308E9" w:rsidRDefault="00626148" w:rsidP="00C308E9">
      <w:pPr>
        <w:tabs>
          <w:tab w:val="left" w:pos="8789"/>
        </w:tabs>
        <w:spacing w:line="276" w:lineRule="auto"/>
        <w:ind w:right="-91"/>
        <w:jc w:val="both"/>
        <w:rPr>
          <w:rFonts w:ascii="Tahoma" w:hAnsi="Tahoma" w:cs="Tahoma"/>
          <w:sz w:val="24"/>
          <w:szCs w:val="24"/>
        </w:rPr>
      </w:pPr>
    </w:p>
    <w:p w14:paraId="445454BD" w14:textId="2C9AE028" w:rsidR="00626148" w:rsidRPr="00C308E9" w:rsidRDefault="00626148" w:rsidP="00C308E9">
      <w:pPr>
        <w:spacing w:line="276" w:lineRule="auto"/>
        <w:ind w:firstLine="708"/>
        <w:jc w:val="both"/>
        <w:rPr>
          <w:rFonts w:ascii="Tahoma" w:eastAsia="Tahoma" w:hAnsi="Tahoma" w:cs="Tahoma"/>
          <w:iCs/>
          <w:color w:val="000000"/>
          <w:sz w:val="24"/>
          <w:szCs w:val="24"/>
        </w:rPr>
      </w:pPr>
      <w:r w:rsidRPr="00C308E9">
        <w:rPr>
          <w:rFonts w:ascii="Tahoma" w:eastAsia="Tahoma" w:hAnsi="Tahoma" w:cs="Tahoma"/>
          <w:iCs/>
          <w:color w:val="000000"/>
          <w:sz w:val="24"/>
          <w:szCs w:val="24"/>
        </w:rPr>
        <w:t xml:space="preserve">El artículo 29 superior, señala que </w:t>
      </w:r>
      <w:r w:rsidRPr="00C308E9">
        <w:rPr>
          <w:rFonts w:ascii="Tahoma" w:eastAsia="Tahoma" w:hAnsi="Tahoma" w:cs="Tahoma"/>
          <w:i/>
          <w:iCs/>
          <w:sz w:val="24"/>
          <w:szCs w:val="24"/>
        </w:rPr>
        <w:t>"</w:t>
      </w:r>
      <w:r w:rsidRPr="004C19B7">
        <w:rPr>
          <w:rFonts w:ascii="Tahoma" w:eastAsia="Tahoma" w:hAnsi="Tahoma" w:cs="Tahoma"/>
          <w:i/>
          <w:iCs/>
          <w:sz w:val="22"/>
          <w:szCs w:val="24"/>
        </w:rPr>
        <w:t>el debido proceso se aplicará a toda clase de actuaciones judiciales y administrativas</w:t>
      </w:r>
      <w:r w:rsidRPr="00C308E9">
        <w:rPr>
          <w:rFonts w:ascii="Tahoma" w:eastAsia="Tahoma" w:hAnsi="Tahoma" w:cs="Tahoma"/>
          <w:i/>
          <w:iCs/>
          <w:sz w:val="24"/>
          <w:szCs w:val="24"/>
        </w:rPr>
        <w:t xml:space="preserve">", </w:t>
      </w:r>
      <w:r w:rsidRPr="00C308E9">
        <w:rPr>
          <w:rFonts w:ascii="Tahoma" w:eastAsia="Tahoma" w:hAnsi="Tahoma" w:cs="Tahoma"/>
          <w:iCs/>
          <w:color w:val="000000"/>
          <w:sz w:val="24"/>
          <w:szCs w:val="24"/>
        </w:rPr>
        <w:t>lo cual indica que tanto las autoridades judiciales como las administrativas, deben actuar respetando y garantizando el ejercicio del derecho de defensa, dentro de los procedimientos diseñados por el legislador.</w:t>
      </w:r>
    </w:p>
    <w:p w14:paraId="7243B4B1" w14:textId="77777777" w:rsidR="00626148" w:rsidRPr="00C308E9" w:rsidRDefault="00626148" w:rsidP="00C308E9">
      <w:pPr>
        <w:pStyle w:val="Sinespaciado"/>
        <w:spacing w:line="276" w:lineRule="auto"/>
        <w:rPr>
          <w:rFonts w:ascii="Tahoma" w:eastAsia="Tahoma" w:hAnsi="Tahoma" w:cs="Tahoma"/>
          <w:sz w:val="24"/>
          <w:szCs w:val="24"/>
        </w:rPr>
      </w:pPr>
    </w:p>
    <w:p w14:paraId="2A77E8EE" w14:textId="77777777" w:rsidR="00626148" w:rsidRPr="00C308E9" w:rsidRDefault="00626148" w:rsidP="00C308E9">
      <w:pPr>
        <w:spacing w:line="276" w:lineRule="auto"/>
        <w:ind w:firstLine="708"/>
        <w:jc w:val="both"/>
        <w:rPr>
          <w:rFonts w:ascii="Tahoma" w:eastAsia="Tahoma" w:hAnsi="Tahoma" w:cs="Tahoma"/>
          <w:iCs/>
          <w:color w:val="000000"/>
          <w:sz w:val="24"/>
          <w:szCs w:val="24"/>
        </w:rPr>
      </w:pPr>
      <w:r w:rsidRPr="00C308E9">
        <w:rPr>
          <w:rFonts w:ascii="Tahoma" w:eastAsia="Tahoma" w:hAnsi="Tahoma" w:cs="Tahoma"/>
          <w:iCs/>
          <w:color w:val="000000"/>
          <w:sz w:val="24"/>
          <w:szCs w:val="24"/>
        </w:rPr>
        <w:t>En cuanto se refiere al debido proceso administrativo, la jurisprudencia constitucional ha precisado que es un derecho que tiene rango fundamental, ya que a través de él se busca que toda actuación administrativa se someta a las normas y a la jurisprudencia que regula la aplicación de los principios constitucionales. Así, en la Sentencia T-023 de 2018, esta Corporación sostuvo:</w:t>
      </w:r>
    </w:p>
    <w:p w14:paraId="552FCB66" w14:textId="77777777" w:rsidR="00626148" w:rsidRPr="00C308E9" w:rsidRDefault="00626148" w:rsidP="00C308E9">
      <w:pPr>
        <w:spacing w:line="276" w:lineRule="auto"/>
        <w:ind w:firstLine="708"/>
        <w:jc w:val="both"/>
        <w:rPr>
          <w:rFonts w:ascii="Tahoma" w:eastAsia="Tahoma" w:hAnsi="Tahoma" w:cs="Tahoma"/>
          <w:iCs/>
          <w:color w:val="000000"/>
          <w:sz w:val="24"/>
          <w:szCs w:val="24"/>
        </w:rPr>
      </w:pPr>
    </w:p>
    <w:p w14:paraId="259AF933" w14:textId="77777777" w:rsidR="00626148" w:rsidRPr="00BB06A1" w:rsidRDefault="00626148" w:rsidP="00BB06A1">
      <w:pPr>
        <w:ind w:left="426"/>
        <w:jc w:val="both"/>
        <w:rPr>
          <w:rFonts w:ascii="Tahoma" w:eastAsia="Tahoma" w:hAnsi="Tahoma" w:cs="Tahoma"/>
          <w:i/>
          <w:iCs/>
          <w:sz w:val="22"/>
          <w:szCs w:val="24"/>
        </w:rPr>
      </w:pPr>
      <w:r w:rsidRPr="00BB06A1">
        <w:rPr>
          <w:rFonts w:ascii="Tahoma" w:eastAsia="Tahoma" w:hAnsi="Tahoma" w:cs="Tahoma"/>
          <w:i/>
          <w:iCs/>
          <w:sz w:val="22"/>
          <w:szCs w:val="24"/>
        </w:rPr>
        <w:t>“En efecto, esta Corporación ha sostenido que el derecho al debido proceso administrativo se entiende vulnerado cuando las autoridades públicas, en ejercicio de la función administrativa, no siguen estrictamente los actos y procedimientos establecidos en la ley para la adopción de sus decisiones y, por esa vía, desconocen las garantías reconocidas a los administrados”.</w:t>
      </w:r>
    </w:p>
    <w:p w14:paraId="05D379FD" w14:textId="4B589448" w:rsidR="096CB96B" w:rsidRPr="00C308E9" w:rsidRDefault="096CB96B" w:rsidP="00C308E9">
      <w:pPr>
        <w:spacing w:line="276" w:lineRule="auto"/>
        <w:ind w:right="-93"/>
        <w:jc w:val="both"/>
        <w:rPr>
          <w:rFonts w:ascii="Tahoma" w:eastAsia="Tahoma" w:hAnsi="Tahoma" w:cs="Tahoma"/>
          <w:color w:val="000000" w:themeColor="text1"/>
          <w:sz w:val="24"/>
          <w:szCs w:val="24"/>
        </w:rPr>
      </w:pPr>
    </w:p>
    <w:p w14:paraId="28B2DF00" w14:textId="062666FD" w:rsidR="00B54D95" w:rsidRPr="00C308E9" w:rsidRDefault="00B54D95" w:rsidP="00C308E9">
      <w:pPr>
        <w:pStyle w:val="Prrafodelista"/>
        <w:numPr>
          <w:ilvl w:val="1"/>
          <w:numId w:val="21"/>
        </w:numPr>
        <w:spacing w:line="276" w:lineRule="auto"/>
        <w:ind w:right="-93"/>
        <w:contextualSpacing/>
        <w:jc w:val="both"/>
        <w:rPr>
          <w:rFonts w:ascii="Tahoma" w:eastAsia="Tahoma" w:hAnsi="Tahoma" w:cs="Tahoma"/>
          <w:b/>
          <w:color w:val="000000"/>
          <w:sz w:val="24"/>
          <w:szCs w:val="24"/>
        </w:rPr>
      </w:pPr>
      <w:r w:rsidRPr="00C308E9">
        <w:rPr>
          <w:rFonts w:ascii="Tahoma" w:eastAsia="Tahoma" w:hAnsi="Tahoma" w:cs="Tahoma"/>
          <w:b/>
          <w:color w:val="000000"/>
          <w:sz w:val="24"/>
          <w:szCs w:val="24"/>
        </w:rPr>
        <w:t>CASO CONCRETO</w:t>
      </w:r>
    </w:p>
    <w:p w14:paraId="07547A01" w14:textId="77777777" w:rsidR="00B54D95" w:rsidRPr="00C308E9" w:rsidRDefault="00B54D95" w:rsidP="00C308E9">
      <w:pPr>
        <w:tabs>
          <w:tab w:val="left" w:pos="0"/>
        </w:tabs>
        <w:suppressAutoHyphens/>
        <w:spacing w:line="276" w:lineRule="auto"/>
        <w:jc w:val="both"/>
        <w:rPr>
          <w:rFonts w:ascii="Tahoma" w:hAnsi="Tahoma" w:cs="Tahoma"/>
          <w:sz w:val="24"/>
          <w:szCs w:val="24"/>
        </w:rPr>
      </w:pPr>
    </w:p>
    <w:p w14:paraId="1E930951" w14:textId="77777777" w:rsidR="00A516BE" w:rsidRPr="00C308E9" w:rsidRDefault="00A516BE" w:rsidP="00C308E9">
      <w:pPr>
        <w:spacing w:line="276" w:lineRule="auto"/>
        <w:ind w:firstLine="708"/>
        <w:jc w:val="both"/>
        <w:rPr>
          <w:rFonts w:ascii="Tahoma" w:eastAsia="Tahoma" w:hAnsi="Tahoma" w:cs="Tahoma"/>
          <w:iCs/>
          <w:color w:val="000000"/>
          <w:sz w:val="24"/>
          <w:szCs w:val="24"/>
        </w:rPr>
      </w:pPr>
      <w:r w:rsidRPr="00C308E9">
        <w:rPr>
          <w:rFonts w:ascii="Tahoma" w:eastAsia="Tahoma" w:hAnsi="Tahoma" w:cs="Tahoma"/>
          <w:iCs/>
          <w:color w:val="000000"/>
          <w:sz w:val="24"/>
          <w:szCs w:val="24"/>
        </w:rPr>
        <w:t>Lo primero que debe indicarse en este asunto es que la juez de la causa, al momento de tomar decisión de fondo no contaba con las pruebas que aportó Colpensiones al momento de impugnar la acción, las cuales hacen referencia al proceso de revisión de la invalidez del señor Miguel Ángel Zapata Loaiza adelantado por esa entidad.</w:t>
      </w:r>
    </w:p>
    <w:p w14:paraId="09D9298B" w14:textId="77777777" w:rsidR="00A516BE" w:rsidRPr="00C308E9" w:rsidRDefault="00A516BE" w:rsidP="00C308E9">
      <w:pPr>
        <w:pStyle w:val="Sinespaciado"/>
        <w:spacing w:line="276" w:lineRule="auto"/>
        <w:rPr>
          <w:rFonts w:ascii="Tahoma" w:eastAsia="Tahoma" w:hAnsi="Tahoma" w:cs="Tahoma"/>
          <w:sz w:val="24"/>
          <w:szCs w:val="24"/>
        </w:rPr>
      </w:pPr>
    </w:p>
    <w:p w14:paraId="6B1B670D" w14:textId="77777777" w:rsidR="00A516BE" w:rsidRPr="00C308E9" w:rsidRDefault="00A516BE" w:rsidP="00C308E9">
      <w:pPr>
        <w:spacing w:line="276" w:lineRule="auto"/>
        <w:ind w:firstLine="708"/>
        <w:jc w:val="both"/>
        <w:rPr>
          <w:rFonts w:ascii="Tahoma" w:eastAsia="Tahoma" w:hAnsi="Tahoma" w:cs="Tahoma"/>
          <w:iCs/>
          <w:color w:val="000000"/>
          <w:sz w:val="24"/>
          <w:szCs w:val="24"/>
        </w:rPr>
      </w:pPr>
      <w:r w:rsidRPr="00C308E9">
        <w:rPr>
          <w:rFonts w:ascii="Tahoma" w:eastAsia="Tahoma" w:hAnsi="Tahoma" w:cs="Tahoma"/>
          <w:iCs/>
          <w:color w:val="000000"/>
          <w:sz w:val="24"/>
          <w:szCs w:val="24"/>
        </w:rPr>
        <w:lastRenderedPageBreak/>
        <w:t>Revisados tales documentos, se observa el certificado en el que la sociedad Gestionar Innovación S.A.S. informó que realizó las gestiones necesarias para contactar al accionante, las cuales consistieron en llamadas telefónicas al número fijo 3353867 y al móvil 3006551014 los días 27, 28 y 31 de enero de 2022, requerimientos que no fueron atendidas por el titular de las líneas, de quien no existe certeza que se trate del demandante, pues ningún documento aportó Colpensiones que diera cuenta de ese hecho.</w:t>
      </w:r>
    </w:p>
    <w:p w14:paraId="154D4859" w14:textId="77777777" w:rsidR="00A516BE" w:rsidRPr="00C308E9" w:rsidRDefault="00A516BE" w:rsidP="00C308E9">
      <w:pPr>
        <w:pStyle w:val="Sinespaciado"/>
        <w:spacing w:line="276" w:lineRule="auto"/>
        <w:rPr>
          <w:rFonts w:ascii="Tahoma" w:eastAsia="Tahoma" w:hAnsi="Tahoma" w:cs="Tahoma"/>
          <w:sz w:val="24"/>
          <w:szCs w:val="24"/>
        </w:rPr>
      </w:pPr>
    </w:p>
    <w:p w14:paraId="50DD4417" w14:textId="1639D919" w:rsidR="00A516BE" w:rsidRPr="00C308E9" w:rsidRDefault="00A516BE" w:rsidP="00C308E9">
      <w:pPr>
        <w:spacing w:line="276" w:lineRule="auto"/>
        <w:ind w:firstLine="708"/>
        <w:jc w:val="both"/>
        <w:rPr>
          <w:rFonts w:ascii="Tahoma" w:eastAsia="Tahoma" w:hAnsi="Tahoma" w:cs="Tahoma"/>
          <w:iCs/>
          <w:color w:val="000000"/>
          <w:sz w:val="24"/>
          <w:szCs w:val="24"/>
        </w:rPr>
      </w:pPr>
      <w:r w:rsidRPr="00C308E9">
        <w:rPr>
          <w:rFonts w:ascii="Tahoma" w:eastAsia="Tahoma" w:hAnsi="Tahoma" w:cs="Tahoma"/>
          <w:iCs/>
          <w:color w:val="000000"/>
          <w:sz w:val="24"/>
          <w:szCs w:val="24"/>
        </w:rPr>
        <w:t>También fue aportado el escrito de fecha 27 de enero de 2022 por medio del cual le fue informada la iniciación del proceso de revisión, misiva que fue remitida a la dirección Calle 20 No 6-30 Oficina 601 Edificio Banco Ganadero, siendo recibido por Claudia Franco el día 2 de febrero de 2022 -hojas 25, 26 y 27 del numeral 20 de la carpeta digital de primera instancia-.  Al respecto cabe indicar que esa misma dirección fue reportada por el demandante en el “</w:t>
      </w:r>
      <w:r w:rsidRPr="004C19B7">
        <w:rPr>
          <w:rFonts w:ascii="Tahoma" w:eastAsia="Tahoma" w:hAnsi="Tahoma" w:cs="Tahoma"/>
          <w:iCs/>
          <w:color w:val="000000"/>
          <w:sz w:val="22"/>
          <w:szCs w:val="24"/>
        </w:rPr>
        <w:t>FORMULARIO DETERMINACIÓN DE PÉRDIDA DE CAPACIDAD LABORAL /OCUPACIONAL y REVISIÓN DEL ESTADO DE INVALIDEZ DE LOS PENSIONADOS</w:t>
      </w:r>
      <w:r w:rsidRPr="00C308E9">
        <w:rPr>
          <w:rFonts w:ascii="Tahoma" w:eastAsia="Tahoma" w:hAnsi="Tahoma" w:cs="Tahoma"/>
          <w:iCs/>
          <w:color w:val="000000"/>
          <w:sz w:val="24"/>
          <w:szCs w:val="24"/>
        </w:rPr>
        <w:t>” -numeral 16 de cuaderno digital de primera instancia- la cual también corresponde al de su apoderada judicial, quien fue la persona que se notificó de la Resolución GNR 415374 de 22 de diciembre de 2015, por medio de la cual le fue reconocida la pensión de invalidez al señor Zapata Loaiza.</w:t>
      </w:r>
    </w:p>
    <w:p w14:paraId="538A0451" w14:textId="77777777" w:rsidR="00A516BE" w:rsidRPr="00C308E9" w:rsidRDefault="00A516BE" w:rsidP="00C308E9">
      <w:pPr>
        <w:pStyle w:val="Sinespaciado"/>
        <w:spacing w:line="276" w:lineRule="auto"/>
        <w:rPr>
          <w:rFonts w:ascii="Tahoma" w:eastAsia="Tahoma" w:hAnsi="Tahoma" w:cs="Tahoma"/>
          <w:sz w:val="24"/>
          <w:szCs w:val="24"/>
        </w:rPr>
      </w:pPr>
    </w:p>
    <w:p w14:paraId="70D468B8" w14:textId="1144FF1B" w:rsidR="00A516BE" w:rsidRPr="00C308E9" w:rsidRDefault="00A516BE" w:rsidP="00C308E9">
      <w:pPr>
        <w:spacing w:line="276" w:lineRule="auto"/>
        <w:ind w:firstLine="708"/>
        <w:jc w:val="both"/>
        <w:rPr>
          <w:rFonts w:ascii="Tahoma" w:eastAsia="Tahoma" w:hAnsi="Tahoma" w:cs="Tahoma"/>
          <w:iCs/>
          <w:color w:val="000000"/>
          <w:sz w:val="24"/>
          <w:szCs w:val="24"/>
        </w:rPr>
      </w:pPr>
      <w:r w:rsidRPr="00C308E9">
        <w:rPr>
          <w:rFonts w:ascii="Tahoma" w:eastAsia="Tahoma" w:hAnsi="Tahoma" w:cs="Tahoma"/>
          <w:iCs/>
          <w:color w:val="000000"/>
          <w:sz w:val="24"/>
          <w:szCs w:val="24"/>
        </w:rPr>
        <w:t>De acuerdo con lo anterior, en principio podría concluirse que como la última dirección reportada por el actor para efectos de notificaciones es Calle 20 No 6-30 Oficina 601 Edificio Banco Ganadero, la actuación surtida por Colpensiones no merece reproche, no obstante, la Sala</w:t>
      </w:r>
      <w:r w:rsidR="001B564D" w:rsidRPr="00C308E9">
        <w:rPr>
          <w:rFonts w:ascii="Tahoma" w:eastAsia="Tahoma" w:hAnsi="Tahoma" w:cs="Tahoma"/>
          <w:iCs/>
          <w:color w:val="000000"/>
          <w:sz w:val="24"/>
          <w:szCs w:val="24"/>
        </w:rPr>
        <w:t xml:space="preserve"> Mayoritaria</w:t>
      </w:r>
      <w:r w:rsidRPr="00C308E9">
        <w:rPr>
          <w:rFonts w:ascii="Tahoma" w:eastAsia="Tahoma" w:hAnsi="Tahoma" w:cs="Tahoma"/>
          <w:iCs/>
          <w:color w:val="000000"/>
          <w:sz w:val="24"/>
          <w:szCs w:val="24"/>
        </w:rPr>
        <w:t xml:space="preserve"> no puede pasar por alto que resulta evidente que la mencionada dirección no corresponde realmente al domicilio o lugar donde pueda ser ubicado el actor, sino que esta, corresponde a la oficina de la abogada que en el 2015 </w:t>
      </w:r>
      <w:r w:rsidR="001B564D" w:rsidRPr="00C308E9">
        <w:rPr>
          <w:rFonts w:ascii="Tahoma" w:eastAsia="Tahoma" w:hAnsi="Tahoma" w:cs="Tahoma"/>
          <w:iCs/>
          <w:color w:val="000000"/>
          <w:sz w:val="24"/>
          <w:szCs w:val="24"/>
        </w:rPr>
        <w:t>lo representó para el trámite</w:t>
      </w:r>
      <w:r w:rsidRPr="00C308E9">
        <w:rPr>
          <w:rFonts w:ascii="Tahoma" w:eastAsia="Tahoma" w:hAnsi="Tahoma" w:cs="Tahoma"/>
          <w:iCs/>
          <w:color w:val="000000"/>
          <w:sz w:val="24"/>
          <w:szCs w:val="24"/>
        </w:rPr>
        <w:t xml:space="preserve"> de la pensión de invalidez</w:t>
      </w:r>
      <w:r w:rsidR="001B564D" w:rsidRPr="00C308E9">
        <w:rPr>
          <w:rFonts w:ascii="Tahoma" w:eastAsia="Tahoma" w:hAnsi="Tahoma" w:cs="Tahoma"/>
          <w:iCs/>
          <w:color w:val="000000"/>
          <w:sz w:val="24"/>
          <w:szCs w:val="24"/>
        </w:rPr>
        <w:t xml:space="preserve"> y, por lo tanto, al ser contratados los profesionales del derecho</w:t>
      </w:r>
      <w:r w:rsidRPr="00C308E9">
        <w:rPr>
          <w:rFonts w:ascii="Tahoma" w:eastAsia="Tahoma" w:hAnsi="Tahoma" w:cs="Tahoma"/>
          <w:iCs/>
          <w:color w:val="000000"/>
          <w:sz w:val="24"/>
          <w:szCs w:val="24"/>
        </w:rPr>
        <w:t xml:space="preserve"> para casos específicos</w:t>
      </w:r>
      <w:r w:rsidR="001B564D" w:rsidRPr="00C308E9">
        <w:rPr>
          <w:rFonts w:ascii="Tahoma" w:eastAsia="Tahoma" w:hAnsi="Tahoma" w:cs="Tahoma"/>
          <w:iCs/>
          <w:color w:val="000000"/>
          <w:sz w:val="24"/>
          <w:szCs w:val="24"/>
        </w:rPr>
        <w:t>, como lo es la reclamación administrativa de la pensión de invalidez,</w:t>
      </w:r>
      <w:r w:rsidRPr="00C308E9">
        <w:rPr>
          <w:rFonts w:ascii="Tahoma" w:eastAsia="Tahoma" w:hAnsi="Tahoma" w:cs="Tahoma"/>
          <w:iCs/>
          <w:color w:val="000000"/>
          <w:sz w:val="24"/>
          <w:szCs w:val="24"/>
        </w:rPr>
        <w:t xml:space="preserve"> </w:t>
      </w:r>
      <w:r w:rsidR="001B564D" w:rsidRPr="00C308E9">
        <w:rPr>
          <w:rFonts w:ascii="Tahoma" w:eastAsia="Tahoma" w:hAnsi="Tahoma" w:cs="Tahoma"/>
          <w:iCs/>
          <w:color w:val="000000"/>
          <w:sz w:val="24"/>
          <w:szCs w:val="24"/>
        </w:rPr>
        <w:t xml:space="preserve">última que culminó exitosamente con el reconocimiento pensional, impide </w:t>
      </w:r>
      <w:r w:rsidRPr="00C308E9">
        <w:rPr>
          <w:rFonts w:ascii="Tahoma" w:eastAsia="Tahoma" w:hAnsi="Tahoma" w:cs="Tahoma"/>
          <w:iCs/>
          <w:color w:val="000000"/>
          <w:sz w:val="24"/>
          <w:szCs w:val="24"/>
        </w:rPr>
        <w:t>inferir</w:t>
      </w:r>
      <w:r w:rsidR="001B564D" w:rsidRPr="00C308E9">
        <w:rPr>
          <w:rFonts w:ascii="Tahoma" w:eastAsia="Tahoma" w:hAnsi="Tahoma" w:cs="Tahoma"/>
          <w:iCs/>
          <w:color w:val="000000"/>
          <w:sz w:val="24"/>
          <w:szCs w:val="24"/>
        </w:rPr>
        <w:t xml:space="preserve"> que la abogada ha continuado al frente de los asuntos del accionante y mucho </w:t>
      </w:r>
      <w:r w:rsidRPr="00C308E9">
        <w:rPr>
          <w:rFonts w:ascii="Tahoma" w:eastAsia="Tahoma" w:hAnsi="Tahoma" w:cs="Tahoma"/>
          <w:iCs/>
          <w:color w:val="000000"/>
          <w:sz w:val="24"/>
          <w:szCs w:val="24"/>
        </w:rPr>
        <w:t xml:space="preserve">menos </w:t>
      </w:r>
      <w:r w:rsidR="001B564D" w:rsidRPr="00C308E9">
        <w:rPr>
          <w:rFonts w:ascii="Tahoma" w:eastAsia="Tahoma" w:hAnsi="Tahoma" w:cs="Tahoma"/>
          <w:iCs/>
          <w:color w:val="000000"/>
          <w:sz w:val="24"/>
          <w:szCs w:val="24"/>
        </w:rPr>
        <w:t xml:space="preserve">que esté, 7 años después, facultada </w:t>
      </w:r>
      <w:r w:rsidRPr="00C308E9">
        <w:rPr>
          <w:rFonts w:ascii="Tahoma" w:eastAsia="Tahoma" w:hAnsi="Tahoma" w:cs="Tahoma"/>
          <w:iCs/>
          <w:color w:val="000000"/>
          <w:sz w:val="24"/>
          <w:szCs w:val="24"/>
        </w:rPr>
        <w:t>para recibir su correspondencia</w:t>
      </w:r>
      <w:r w:rsidR="001B564D" w:rsidRPr="00C308E9">
        <w:rPr>
          <w:rFonts w:ascii="Tahoma" w:eastAsia="Tahoma" w:hAnsi="Tahoma" w:cs="Tahoma"/>
          <w:iCs/>
          <w:color w:val="000000"/>
          <w:sz w:val="24"/>
          <w:szCs w:val="24"/>
        </w:rPr>
        <w:t xml:space="preserve"> y, más aun, que sea su obligación remitirla al actor</w:t>
      </w:r>
      <w:r w:rsidRPr="00C308E9">
        <w:rPr>
          <w:rFonts w:ascii="Tahoma" w:eastAsia="Tahoma" w:hAnsi="Tahoma" w:cs="Tahoma"/>
          <w:iCs/>
          <w:color w:val="000000"/>
          <w:sz w:val="24"/>
          <w:szCs w:val="24"/>
        </w:rPr>
        <w:t>.</w:t>
      </w:r>
    </w:p>
    <w:p w14:paraId="7FC09A03" w14:textId="1AE15A6E" w:rsidR="001B564D" w:rsidRPr="00C308E9" w:rsidRDefault="001B564D" w:rsidP="00C308E9">
      <w:pPr>
        <w:pStyle w:val="Sinespaciado"/>
        <w:spacing w:line="276" w:lineRule="auto"/>
        <w:rPr>
          <w:rFonts w:ascii="Tahoma" w:eastAsia="Tahoma" w:hAnsi="Tahoma" w:cs="Tahoma"/>
          <w:sz w:val="24"/>
          <w:szCs w:val="24"/>
        </w:rPr>
      </w:pPr>
    </w:p>
    <w:p w14:paraId="1FC25E1F" w14:textId="1F17F3AD" w:rsidR="00A516BE" w:rsidRPr="00C308E9" w:rsidRDefault="001B564D" w:rsidP="00C308E9">
      <w:pPr>
        <w:spacing w:line="276" w:lineRule="auto"/>
        <w:ind w:firstLine="708"/>
        <w:jc w:val="both"/>
        <w:rPr>
          <w:rFonts w:ascii="Tahoma" w:eastAsia="Tahoma" w:hAnsi="Tahoma" w:cs="Tahoma"/>
          <w:iCs/>
          <w:color w:val="000000"/>
          <w:sz w:val="24"/>
          <w:szCs w:val="24"/>
        </w:rPr>
      </w:pPr>
      <w:r w:rsidRPr="00C308E9">
        <w:rPr>
          <w:rFonts w:ascii="Tahoma" w:eastAsia="Tahoma" w:hAnsi="Tahoma" w:cs="Tahoma"/>
          <w:iCs/>
          <w:color w:val="000000"/>
          <w:sz w:val="24"/>
          <w:szCs w:val="24"/>
        </w:rPr>
        <w:t xml:space="preserve">Ante tal panorama, </w:t>
      </w:r>
      <w:r w:rsidR="00E60BE7" w:rsidRPr="00C308E9">
        <w:rPr>
          <w:rFonts w:ascii="Tahoma" w:eastAsia="Tahoma" w:hAnsi="Tahoma" w:cs="Tahoma"/>
          <w:iCs/>
          <w:color w:val="000000"/>
          <w:sz w:val="24"/>
          <w:szCs w:val="24"/>
        </w:rPr>
        <w:t>a</w:t>
      </w:r>
      <w:r w:rsidRPr="00C308E9">
        <w:rPr>
          <w:rFonts w:ascii="Tahoma" w:eastAsia="Tahoma" w:hAnsi="Tahoma" w:cs="Tahoma"/>
          <w:iCs/>
          <w:color w:val="000000"/>
          <w:sz w:val="24"/>
          <w:szCs w:val="24"/>
        </w:rPr>
        <w:t xml:space="preserve">unque COLPENSIONES efectuó la citación a la que hace referencia el artículo 44 de la Ley 100 de 1993, esta no </w:t>
      </w:r>
      <w:r w:rsidR="00E60BE7" w:rsidRPr="00C308E9">
        <w:rPr>
          <w:rFonts w:ascii="Tahoma" w:eastAsia="Tahoma" w:hAnsi="Tahoma" w:cs="Tahoma"/>
          <w:iCs/>
          <w:color w:val="000000"/>
          <w:sz w:val="24"/>
          <w:szCs w:val="24"/>
        </w:rPr>
        <w:t>surtió los efectos que la administradora pensional invoca, para contabilizar el término de 03 meses y suspender la prestación</w:t>
      </w:r>
      <w:r w:rsidRPr="00C308E9">
        <w:rPr>
          <w:rFonts w:ascii="Tahoma" w:eastAsia="Tahoma" w:hAnsi="Tahoma" w:cs="Tahoma"/>
          <w:iCs/>
          <w:color w:val="000000"/>
          <w:sz w:val="24"/>
          <w:szCs w:val="24"/>
        </w:rPr>
        <w:t>, en el entendido que, al no ser entregada al accionante en su dirección real, nunca llegó al destinatario del derecho pensional y su inasistencia a la revisión de la invalidez no se puede calificar de caprichosa al punto de avalar a la entidad de suspender la mesada pensional, tal como en otras oportunidades lo ha considerado esta Corporación</w:t>
      </w:r>
      <w:r w:rsidR="00C576A8" w:rsidRPr="00C308E9">
        <w:rPr>
          <w:rFonts w:ascii="Tahoma" w:eastAsia="Tahoma" w:hAnsi="Tahoma" w:cs="Tahoma"/>
          <w:iCs/>
          <w:color w:val="000000"/>
          <w:sz w:val="24"/>
          <w:szCs w:val="24"/>
        </w:rPr>
        <w:t>, verbi gracia la sentencia proferida el 20 de junio de 2023 dentro de la acción de tutela con radicado abreviado 2023-00116</w:t>
      </w:r>
      <w:r w:rsidRPr="00C308E9">
        <w:rPr>
          <w:rFonts w:ascii="Tahoma" w:eastAsia="Tahoma" w:hAnsi="Tahoma" w:cs="Tahoma"/>
          <w:iCs/>
          <w:color w:val="000000"/>
          <w:sz w:val="24"/>
          <w:szCs w:val="24"/>
        </w:rPr>
        <w:t xml:space="preserve">, </w:t>
      </w:r>
      <w:r w:rsidR="00C576A8" w:rsidRPr="00C308E9">
        <w:rPr>
          <w:rFonts w:ascii="Tahoma" w:eastAsia="Tahoma" w:hAnsi="Tahoma" w:cs="Tahoma"/>
          <w:iCs/>
          <w:color w:val="000000"/>
          <w:sz w:val="24"/>
          <w:szCs w:val="24"/>
        </w:rPr>
        <w:t>en la que se indicó:</w:t>
      </w:r>
    </w:p>
    <w:p w14:paraId="74EBF4BC" w14:textId="1B18B5AD" w:rsidR="00C576A8" w:rsidRPr="00C308E9" w:rsidRDefault="00C576A8" w:rsidP="00C308E9">
      <w:pPr>
        <w:spacing w:line="276" w:lineRule="auto"/>
        <w:ind w:left="720"/>
        <w:jc w:val="both"/>
        <w:rPr>
          <w:rFonts w:ascii="Tahoma" w:eastAsia="Tahoma" w:hAnsi="Tahoma" w:cs="Tahoma"/>
          <w:i/>
          <w:iCs/>
          <w:sz w:val="24"/>
          <w:szCs w:val="24"/>
        </w:rPr>
      </w:pPr>
    </w:p>
    <w:p w14:paraId="2467502B" w14:textId="77777777" w:rsidR="00C576A8" w:rsidRPr="00776A14" w:rsidRDefault="00C576A8" w:rsidP="00776A14">
      <w:pPr>
        <w:ind w:left="426" w:right="420"/>
        <w:jc w:val="both"/>
        <w:rPr>
          <w:rFonts w:ascii="Tahoma" w:eastAsia="Tahoma" w:hAnsi="Tahoma" w:cs="Tahoma"/>
          <w:i/>
          <w:iCs/>
          <w:sz w:val="22"/>
          <w:szCs w:val="24"/>
        </w:rPr>
      </w:pPr>
      <w:r w:rsidRPr="00776A14">
        <w:rPr>
          <w:rFonts w:ascii="Tahoma" w:eastAsia="Tahoma" w:hAnsi="Tahoma" w:cs="Tahoma"/>
          <w:i/>
          <w:iCs/>
          <w:sz w:val="22"/>
          <w:szCs w:val="24"/>
        </w:rPr>
        <w:t xml:space="preserve">En principio, se podría concluir que COLPENSIONES cumplió con su deber legal de información y notificación previa a la suspensión de la mesada pensional, en los términos del artículo 44 de la Ley 100 de 1993; sin embargo, en la guía de </w:t>
      </w:r>
      <w:r w:rsidRPr="00776A14">
        <w:rPr>
          <w:rFonts w:ascii="Tahoma" w:eastAsia="Tahoma" w:hAnsi="Tahoma" w:cs="Tahoma"/>
          <w:i/>
          <w:iCs/>
          <w:sz w:val="22"/>
          <w:szCs w:val="24"/>
        </w:rPr>
        <w:lastRenderedPageBreak/>
        <w:t xml:space="preserve">Servientrega aportada por la entidad, se muestra que la citación se remitió por correo certificado a la dirección Calle 19 No. 12-69 Local II ESP 119 Torre Morada </w:t>
      </w:r>
      <w:proofErr w:type="spellStart"/>
      <w:r w:rsidRPr="00776A14">
        <w:rPr>
          <w:rFonts w:ascii="Tahoma" w:eastAsia="Tahoma" w:hAnsi="Tahoma" w:cs="Tahoma"/>
          <w:i/>
          <w:iCs/>
          <w:sz w:val="22"/>
          <w:szCs w:val="24"/>
        </w:rPr>
        <w:t>Fiducentro</w:t>
      </w:r>
      <w:proofErr w:type="spellEnd"/>
      <w:r w:rsidRPr="00776A14">
        <w:rPr>
          <w:rFonts w:ascii="Tahoma" w:eastAsia="Tahoma" w:hAnsi="Tahoma" w:cs="Tahoma"/>
          <w:i/>
          <w:iCs/>
          <w:sz w:val="22"/>
          <w:szCs w:val="24"/>
        </w:rPr>
        <w:t xml:space="preserve"> y se reportó el número celular supuestamente perteneciente al accionante. </w:t>
      </w:r>
    </w:p>
    <w:p w14:paraId="587F1A67" w14:textId="77777777" w:rsidR="00C576A8" w:rsidRPr="00776A14" w:rsidRDefault="00C576A8" w:rsidP="00776A14">
      <w:pPr>
        <w:ind w:left="426" w:right="420"/>
        <w:jc w:val="both"/>
        <w:rPr>
          <w:rFonts w:ascii="Tahoma" w:eastAsia="Tahoma" w:hAnsi="Tahoma" w:cs="Tahoma"/>
          <w:i/>
          <w:iCs/>
          <w:sz w:val="22"/>
          <w:szCs w:val="24"/>
        </w:rPr>
      </w:pPr>
    </w:p>
    <w:p w14:paraId="5F41E3DF" w14:textId="77777777" w:rsidR="00C576A8" w:rsidRPr="00776A14" w:rsidRDefault="00C576A8" w:rsidP="00776A14">
      <w:pPr>
        <w:ind w:left="426" w:right="420"/>
        <w:jc w:val="both"/>
        <w:rPr>
          <w:rFonts w:ascii="Tahoma" w:eastAsia="Tahoma" w:hAnsi="Tahoma" w:cs="Tahoma"/>
          <w:i/>
          <w:iCs/>
          <w:sz w:val="22"/>
          <w:szCs w:val="24"/>
        </w:rPr>
      </w:pPr>
      <w:r w:rsidRPr="00776A14">
        <w:rPr>
          <w:rFonts w:ascii="Tahoma" w:eastAsia="Tahoma" w:hAnsi="Tahoma" w:cs="Tahoma"/>
          <w:i/>
          <w:iCs/>
          <w:sz w:val="22"/>
          <w:szCs w:val="24"/>
        </w:rPr>
        <w:t>Al momento de verificar los datos reportados la Sala evidenció que no coinciden con la dirección y el teléfono que se mencionan en repetidas ocasiones en las historias clínicas aportadas por el accionante, por lo que, procedió a comunicarse con el actor al número celular que aparece en la historia clínica, a fin de confirmar los datos y el día 16 de junio de 2023 el accionante le confirmó al despacho del ponente que su dirección es MZ 9 CASA 134 Bosques de la Campiña Santa Rosa, es decir, la misma que aparece en cada una de sus historias clínicas y no la que reportó COLPENSIONES, pues al parecer la dirección y número telefónico que tiene la entidad pertenecen al apoderado judicial que contrató en el año 2017, aproximadamente, para que adelantara el proceso de reconocimiento y pago de la pensión de invalidez, abogado con el que en la actualidad no tiene ningún contacto.</w:t>
      </w:r>
    </w:p>
    <w:p w14:paraId="2760551C" w14:textId="77777777" w:rsidR="00C576A8" w:rsidRPr="00776A14" w:rsidRDefault="00C576A8" w:rsidP="00776A14">
      <w:pPr>
        <w:ind w:left="426" w:right="420"/>
        <w:jc w:val="both"/>
        <w:rPr>
          <w:rFonts w:ascii="Tahoma" w:eastAsia="Tahoma" w:hAnsi="Tahoma" w:cs="Tahoma"/>
          <w:i/>
          <w:iCs/>
          <w:sz w:val="22"/>
          <w:szCs w:val="24"/>
        </w:rPr>
      </w:pPr>
    </w:p>
    <w:p w14:paraId="67291A49" w14:textId="77777777" w:rsidR="00C576A8" w:rsidRPr="00776A14" w:rsidRDefault="00C576A8" w:rsidP="00776A14">
      <w:pPr>
        <w:ind w:left="426" w:right="420"/>
        <w:jc w:val="both"/>
        <w:rPr>
          <w:rFonts w:ascii="Tahoma" w:eastAsia="Tahoma" w:hAnsi="Tahoma" w:cs="Tahoma"/>
          <w:i/>
          <w:iCs/>
          <w:sz w:val="22"/>
          <w:szCs w:val="24"/>
        </w:rPr>
      </w:pPr>
      <w:r w:rsidRPr="00776A14">
        <w:rPr>
          <w:rFonts w:ascii="Tahoma" w:eastAsia="Tahoma" w:hAnsi="Tahoma" w:cs="Tahoma"/>
          <w:i/>
          <w:iCs/>
          <w:sz w:val="22"/>
          <w:szCs w:val="24"/>
        </w:rPr>
        <w:t xml:space="preserve"> Bajo tales circunstancias, se torna evidente que a pesar de que COLPENSIONES efectuó la citación previa para la revisión del estado de invalidez del accionante, no le fue notificado en debida forma, pues nunca llegó al destinatario real del derecho pensional y su inasistencia a la revisión de la invalidez no se puede calificar de caprichosa al punto de avalar a la entidad de suspender la mesada pensional. Así lo ha explicado la Corte Constitucional en providencias como la T-371 de 2018, donde dijo: </w:t>
      </w:r>
    </w:p>
    <w:p w14:paraId="39B395C4" w14:textId="77777777" w:rsidR="00C576A8" w:rsidRPr="00776A14" w:rsidRDefault="00C576A8" w:rsidP="00776A14">
      <w:pPr>
        <w:ind w:left="426" w:right="420"/>
        <w:jc w:val="both"/>
        <w:rPr>
          <w:rFonts w:ascii="Tahoma" w:eastAsia="Tahoma" w:hAnsi="Tahoma" w:cs="Tahoma"/>
          <w:i/>
          <w:iCs/>
          <w:sz w:val="22"/>
          <w:szCs w:val="24"/>
        </w:rPr>
      </w:pPr>
    </w:p>
    <w:p w14:paraId="49864491" w14:textId="77777777" w:rsidR="00C576A8" w:rsidRPr="00776A14" w:rsidRDefault="00C576A8" w:rsidP="00776A14">
      <w:pPr>
        <w:ind w:left="851" w:right="845"/>
        <w:jc w:val="both"/>
        <w:rPr>
          <w:rFonts w:ascii="Tahoma" w:eastAsia="Tahoma" w:hAnsi="Tahoma" w:cs="Tahoma"/>
          <w:i/>
          <w:iCs/>
          <w:sz w:val="22"/>
          <w:szCs w:val="24"/>
        </w:rPr>
      </w:pPr>
      <w:r w:rsidRPr="00776A14">
        <w:rPr>
          <w:rFonts w:ascii="Tahoma" w:eastAsia="Tahoma" w:hAnsi="Tahoma" w:cs="Tahoma"/>
          <w:i/>
          <w:iCs/>
          <w:sz w:val="22"/>
          <w:szCs w:val="24"/>
        </w:rPr>
        <w:t xml:space="preserve">“(…) en el evento en que por una causa justificada la persona no se haya enterado de la citación y por tanto no haya acudido al proceso, no se estaría ante una resistencia caprichosa al cumplimiento de sus obligaciones, sino más bien, ante la ignorancia de un deber específico. De manera que, en tal escenario, no podría tenerse por proporcional una suspensión que sorprenda intempestivamente al sujeto afectado, pues, además de que a este no podría reprochársele la no realización de una conducta concreta que en términos reales le era ajena, se pondrían en riesgo sus derechos al mínimo vital, a la seguridad social y a su salud Así, </w:t>
      </w:r>
      <w:r w:rsidRPr="00776A14">
        <w:rPr>
          <w:rFonts w:ascii="Tahoma" w:eastAsia="Tahoma" w:hAnsi="Tahoma" w:cs="Tahoma"/>
          <w:b/>
          <w:i/>
          <w:iCs/>
          <w:sz w:val="22"/>
          <w:szCs w:val="24"/>
        </w:rPr>
        <w:t>independientemente de cómo se lleve a cabo la citación, la misma debe cumplir con su finalidad, cual es la de lograr que su destinatario conozca del trámite, porque, solo a partir de ese momento, nace el compromiso para él de permitir las gestiones conducentes a fin de establecer si existen o no razones para mantener el pago del emolumento</w:t>
      </w:r>
      <w:r w:rsidRPr="00776A14">
        <w:rPr>
          <w:rFonts w:ascii="Tahoma" w:eastAsia="Tahoma" w:hAnsi="Tahoma" w:cs="Tahoma"/>
          <w:i/>
          <w:iCs/>
          <w:sz w:val="22"/>
          <w:szCs w:val="24"/>
        </w:rPr>
        <w:t xml:space="preserve">. La aludida citación efectiva adquiere, en este punto, una mayor relevancia debido a que, como se ha explicado, la pensión de invalidez ampara a un grupo poblacional con especiales condiciones.” (Negrilla fuera de texto) </w:t>
      </w:r>
    </w:p>
    <w:p w14:paraId="31306BA4" w14:textId="77777777" w:rsidR="00C576A8" w:rsidRPr="00776A14" w:rsidRDefault="00C576A8" w:rsidP="00776A14">
      <w:pPr>
        <w:ind w:left="426" w:right="420"/>
        <w:jc w:val="both"/>
        <w:rPr>
          <w:rFonts w:ascii="Tahoma" w:eastAsia="Tahoma" w:hAnsi="Tahoma" w:cs="Tahoma"/>
          <w:i/>
          <w:iCs/>
          <w:sz w:val="22"/>
          <w:szCs w:val="24"/>
        </w:rPr>
      </w:pPr>
    </w:p>
    <w:p w14:paraId="046D754F" w14:textId="77777777" w:rsidR="00C576A8" w:rsidRPr="00776A14" w:rsidRDefault="00C576A8" w:rsidP="00776A14">
      <w:pPr>
        <w:ind w:left="426" w:right="420"/>
        <w:jc w:val="both"/>
        <w:rPr>
          <w:rFonts w:ascii="Tahoma" w:eastAsia="Tahoma" w:hAnsi="Tahoma" w:cs="Tahoma"/>
          <w:i/>
          <w:iCs/>
          <w:sz w:val="22"/>
          <w:szCs w:val="24"/>
        </w:rPr>
      </w:pPr>
      <w:r w:rsidRPr="00776A14">
        <w:rPr>
          <w:rFonts w:ascii="Tahoma" w:eastAsia="Tahoma" w:hAnsi="Tahoma" w:cs="Tahoma"/>
          <w:i/>
          <w:iCs/>
          <w:sz w:val="22"/>
          <w:szCs w:val="24"/>
        </w:rPr>
        <w:t xml:space="preserve">En otra sentencia, la misma Corporación recordó: </w:t>
      </w:r>
    </w:p>
    <w:p w14:paraId="029D593A" w14:textId="77777777" w:rsidR="00C576A8" w:rsidRPr="00776A14" w:rsidRDefault="00C576A8" w:rsidP="00776A14">
      <w:pPr>
        <w:ind w:left="426" w:right="420"/>
        <w:jc w:val="both"/>
        <w:rPr>
          <w:rFonts w:ascii="Tahoma" w:eastAsia="Tahoma" w:hAnsi="Tahoma" w:cs="Tahoma"/>
          <w:i/>
          <w:iCs/>
          <w:sz w:val="22"/>
          <w:szCs w:val="24"/>
        </w:rPr>
      </w:pPr>
    </w:p>
    <w:p w14:paraId="627F77A8" w14:textId="77777777" w:rsidR="00C576A8" w:rsidRPr="00776A14" w:rsidRDefault="00C576A8" w:rsidP="00BB06A1">
      <w:pPr>
        <w:ind w:left="851" w:right="845"/>
        <w:jc w:val="both"/>
        <w:rPr>
          <w:rFonts w:ascii="Tahoma" w:eastAsia="Tahoma" w:hAnsi="Tahoma" w:cs="Tahoma"/>
          <w:i/>
          <w:iCs/>
          <w:sz w:val="22"/>
          <w:szCs w:val="24"/>
        </w:rPr>
      </w:pPr>
      <w:r w:rsidRPr="00776A14">
        <w:rPr>
          <w:rFonts w:ascii="Tahoma" w:eastAsia="Tahoma" w:hAnsi="Tahoma" w:cs="Tahoma"/>
          <w:i/>
          <w:iCs/>
          <w:sz w:val="22"/>
          <w:szCs w:val="24"/>
        </w:rPr>
        <w:t xml:space="preserve">“Asimismo, se ha sostenido que </w:t>
      </w:r>
      <w:r w:rsidRPr="00776A14">
        <w:rPr>
          <w:rFonts w:ascii="Tahoma" w:eastAsia="Tahoma" w:hAnsi="Tahoma" w:cs="Tahoma"/>
          <w:b/>
          <w:i/>
          <w:iCs/>
          <w:sz w:val="22"/>
          <w:szCs w:val="24"/>
        </w:rPr>
        <w:t>cuando las entidades hacen uso de dicha prerrogativa legal no pueden trasladar al asegurado la carga de acreditar periódicamente la revisión de la invalidez, toda vez que en dicho escenario la obligación del ciudadano se circunscribe a acudir al examen médico cuando sea requerido para tal efecto por parte de la entidad. Ello supone, desde luego, que el destinatario de la medida conozca previamente que se adelantará el trámite de revisión de la invalidez, pues solo a partir del momento en que está al tanto de dicho requerimiento surge la obligación de someterse a la valoración respectiva</w:t>
      </w:r>
      <w:r w:rsidRPr="00776A14">
        <w:rPr>
          <w:rFonts w:ascii="Tahoma" w:eastAsia="Tahoma" w:hAnsi="Tahoma" w:cs="Tahoma"/>
          <w:i/>
          <w:iCs/>
          <w:sz w:val="22"/>
          <w:szCs w:val="24"/>
        </w:rPr>
        <w:t xml:space="preserve">, de manera que “en el evento en que por una causa justificada la persona no se haya enterado de la citación y por tanto no haya acudido al proceso, no se estaría ante una resistencia caprichosa al cumplimiento de sus obligaciones, sino más bien, ante la </w:t>
      </w:r>
      <w:r w:rsidRPr="00776A14">
        <w:rPr>
          <w:rFonts w:ascii="Tahoma" w:eastAsia="Tahoma" w:hAnsi="Tahoma" w:cs="Tahoma"/>
          <w:b/>
          <w:iCs/>
          <w:sz w:val="22"/>
          <w:szCs w:val="24"/>
        </w:rPr>
        <w:t>ignorancia de un deber específico</w:t>
      </w:r>
      <w:bookmarkStart w:id="2" w:name="_GoBack"/>
      <w:bookmarkEnd w:id="2"/>
      <w:r w:rsidRPr="00776A14">
        <w:rPr>
          <w:rFonts w:ascii="Tahoma" w:eastAsia="Tahoma" w:hAnsi="Tahoma" w:cs="Tahoma"/>
          <w:b/>
          <w:i/>
          <w:iCs/>
          <w:sz w:val="22"/>
          <w:szCs w:val="24"/>
        </w:rPr>
        <w:t xml:space="preserve">”, por lo cual mal puede la entidad suspender </w:t>
      </w:r>
      <w:r w:rsidRPr="00776A14">
        <w:rPr>
          <w:rFonts w:ascii="Tahoma" w:eastAsia="Tahoma" w:hAnsi="Tahoma" w:cs="Tahoma"/>
          <w:b/>
          <w:i/>
          <w:iCs/>
          <w:sz w:val="22"/>
          <w:szCs w:val="24"/>
        </w:rPr>
        <w:lastRenderedPageBreak/>
        <w:t>intempestivamente el pago de la mesada</w:t>
      </w:r>
      <w:r w:rsidRPr="00776A14">
        <w:rPr>
          <w:rFonts w:ascii="Tahoma" w:eastAsia="Tahoma" w:hAnsi="Tahoma" w:cs="Tahoma"/>
          <w:i/>
          <w:iCs/>
          <w:sz w:val="22"/>
          <w:szCs w:val="24"/>
        </w:rPr>
        <w:t xml:space="preserve">.” (T-501/19) (Negrilla fuera de texto) </w:t>
      </w:r>
    </w:p>
    <w:p w14:paraId="572DD58B" w14:textId="77777777" w:rsidR="00C576A8" w:rsidRPr="00C308E9" w:rsidRDefault="00C576A8" w:rsidP="00C308E9">
      <w:pPr>
        <w:spacing w:line="276" w:lineRule="auto"/>
        <w:ind w:left="1416"/>
        <w:jc w:val="both"/>
        <w:rPr>
          <w:rFonts w:ascii="Tahoma" w:eastAsia="Tahoma" w:hAnsi="Tahoma" w:cs="Tahoma"/>
          <w:i/>
          <w:iCs/>
          <w:sz w:val="24"/>
          <w:szCs w:val="24"/>
        </w:rPr>
      </w:pPr>
    </w:p>
    <w:p w14:paraId="3830BCDA" w14:textId="74661C7F" w:rsidR="001B564D" w:rsidRPr="00BB06A1" w:rsidRDefault="00C576A8" w:rsidP="00BB06A1">
      <w:pPr>
        <w:ind w:left="426" w:right="420"/>
        <w:jc w:val="both"/>
        <w:rPr>
          <w:rFonts w:ascii="Tahoma" w:eastAsia="Tahoma" w:hAnsi="Tahoma" w:cs="Tahoma"/>
          <w:i/>
          <w:iCs/>
          <w:sz w:val="22"/>
          <w:szCs w:val="24"/>
        </w:rPr>
      </w:pPr>
      <w:r w:rsidRPr="00BB06A1">
        <w:rPr>
          <w:rFonts w:ascii="Tahoma" w:eastAsia="Tahoma" w:hAnsi="Tahoma" w:cs="Tahoma"/>
          <w:i/>
          <w:iCs/>
          <w:sz w:val="22"/>
          <w:szCs w:val="24"/>
        </w:rPr>
        <w:t>En virtud de lo anterior, se puede colegir que COLPENSIONES no cumplió el deber de notificar debidamente al accionante, pues en su sistema reporta datos erróneos que no pertenecen al actor y en esa medida, no tenía facultad de suspender las mesadas pensionales del accionante, pues dichas circunstancias a todas luces vulneran los derechos fundamentales al debido proceso, mínimo vital y seguridad social del accionante”.</w:t>
      </w:r>
    </w:p>
    <w:p w14:paraId="15C78196" w14:textId="77777777" w:rsidR="001B564D" w:rsidRPr="00C308E9" w:rsidRDefault="001B564D" w:rsidP="00C308E9">
      <w:pPr>
        <w:spacing w:line="276" w:lineRule="auto"/>
        <w:ind w:firstLine="708"/>
        <w:jc w:val="both"/>
        <w:rPr>
          <w:rFonts w:ascii="Tahoma" w:eastAsia="Tahoma" w:hAnsi="Tahoma" w:cs="Tahoma"/>
          <w:iCs/>
          <w:color w:val="000000"/>
          <w:sz w:val="24"/>
          <w:szCs w:val="24"/>
        </w:rPr>
      </w:pPr>
    </w:p>
    <w:p w14:paraId="243D8CB9" w14:textId="77777777" w:rsidR="00C576A8" w:rsidRPr="00C308E9" w:rsidRDefault="00A516BE" w:rsidP="00C308E9">
      <w:pPr>
        <w:spacing w:line="276" w:lineRule="auto"/>
        <w:ind w:firstLine="708"/>
        <w:jc w:val="both"/>
        <w:rPr>
          <w:rFonts w:ascii="Tahoma" w:eastAsia="Tahoma" w:hAnsi="Tahoma" w:cs="Tahoma"/>
          <w:iCs/>
          <w:color w:val="000000"/>
          <w:sz w:val="24"/>
          <w:szCs w:val="24"/>
        </w:rPr>
      </w:pPr>
      <w:r w:rsidRPr="00C308E9">
        <w:rPr>
          <w:rFonts w:ascii="Tahoma" w:eastAsia="Tahoma" w:hAnsi="Tahoma" w:cs="Tahoma"/>
          <w:iCs/>
          <w:color w:val="000000"/>
          <w:sz w:val="24"/>
          <w:szCs w:val="24"/>
        </w:rPr>
        <w:t xml:space="preserve">De acuerdo con lo dicho, </w:t>
      </w:r>
      <w:r w:rsidR="00C576A8" w:rsidRPr="00C308E9">
        <w:rPr>
          <w:rFonts w:ascii="Tahoma" w:eastAsia="Tahoma" w:hAnsi="Tahoma" w:cs="Tahoma"/>
          <w:iCs/>
          <w:color w:val="000000"/>
          <w:sz w:val="24"/>
          <w:szCs w:val="24"/>
        </w:rPr>
        <w:t>se confirmará la sentencia impugnada.</w:t>
      </w:r>
    </w:p>
    <w:p w14:paraId="01683CBE" w14:textId="0B891028" w:rsidR="009A6D4F" w:rsidRPr="00C308E9" w:rsidRDefault="00BE5B54" w:rsidP="00C308E9">
      <w:pPr>
        <w:spacing w:line="276" w:lineRule="auto"/>
        <w:ind w:firstLine="708"/>
        <w:jc w:val="both"/>
        <w:rPr>
          <w:rFonts w:ascii="Tahoma" w:eastAsia="Calibri" w:hAnsi="Tahoma" w:cs="Tahoma"/>
          <w:bCs/>
          <w:sz w:val="24"/>
          <w:szCs w:val="24"/>
        </w:rPr>
      </w:pPr>
      <w:r w:rsidRPr="00C308E9">
        <w:rPr>
          <w:rFonts w:ascii="Tahoma" w:eastAsia="Calibri" w:hAnsi="Tahoma" w:cs="Tahoma"/>
          <w:bCs/>
          <w:sz w:val="24"/>
          <w:szCs w:val="24"/>
        </w:rPr>
        <w:t xml:space="preserve"> </w:t>
      </w:r>
      <w:r w:rsidR="00CF422E" w:rsidRPr="00C308E9">
        <w:rPr>
          <w:rFonts w:ascii="Tahoma" w:eastAsia="Calibri" w:hAnsi="Tahoma" w:cs="Tahoma"/>
          <w:bCs/>
          <w:sz w:val="24"/>
          <w:szCs w:val="24"/>
        </w:rPr>
        <w:t xml:space="preserve"> </w:t>
      </w:r>
      <w:r w:rsidR="009A6D4F" w:rsidRPr="00C308E9">
        <w:rPr>
          <w:rFonts w:ascii="Tahoma" w:eastAsia="Calibri" w:hAnsi="Tahoma" w:cs="Tahoma"/>
          <w:bCs/>
          <w:sz w:val="24"/>
          <w:szCs w:val="24"/>
        </w:rPr>
        <w:t xml:space="preserve"> </w:t>
      </w:r>
    </w:p>
    <w:p w14:paraId="2238E731" w14:textId="77777777" w:rsidR="00B54D95" w:rsidRPr="00C308E9" w:rsidRDefault="00B54D95" w:rsidP="00C308E9">
      <w:pPr>
        <w:spacing w:line="276" w:lineRule="auto"/>
        <w:ind w:firstLine="708"/>
        <w:jc w:val="both"/>
        <w:rPr>
          <w:rFonts w:ascii="Tahoma" w:hAnsi="Tahoma" w:cs="Tahoma"/>
          <w:sz w:val="24"/>
          <w:szCs w:val="24"/>
        </w:rPr>
      </w:pPr>
      <w:r w:rsidRPr="00C308E9">
        <w:rPr>
          <w:rFonts w:ascii="Tahoma" w:hAnsi="Tahoma" w:cs="Tahoma"/>
          <w:sz w:val="24"/>
          <w:szCs w:val="24"/>
        </w:rPr>
        <w:t xml:space="preserve">En </w:t>
      </w:r>
      <w:r w:rsidRPr="00C308E9">
        <w:rPr>
          <w:rFonts w:ascii="Tahoma" w:eastAsia="Calibri" w:hAnsi="Tahoma" w:cs="Tahoma"/>
          <w:bCs/>
          <w:sz w:val="24"/>
          <w:szCs w:val="24"/>
        </w:rPr>
        <w:t>virtud</w:t>
      </w:r>
      <w:r w:rsidRPr="00C308E9">
        <w:rPr>
          <w:rFonts w:ascii="Tahoma" w:hAnsi="Tahoma" w:cs="Tahoma"/>
          <w:sz w:val="24"/>
          <w:szCs w:val="24"/>
        </w:rPr>
        <w:t xml:space="preserve"> de lo anterior, la </w:t>
      </w:r>
      <w:r w:rsidRPr="00C308E9">
        <w:rPr>
          <w:rFonts w:ascii="Tahoma" w:hAnsi="Tahoma" w:cs="Tahoma"/>
          <w:b/>
          <w:bCs/>
          <w:sz w:val="24"/>
          <w:szCs w:val="24"/>
        </w:rPr>
        <w:t>Sala de Decisión Laboral del Tribunal Superior del Distrito Judicial de Pereira</w:t>
      </w:r>
      <w:r w:rsidRPr="00C308E9">
        <w:rPr>
          <w:rFonts w:ascii="Tahoma" w:hAnsi="Tahoma" w:cs="Tahoma"/>
          <w:sz w:val="24"/>
          <w:szCs w:val="24"/>
        </w:rPr>
        <w:t xml:space="preserve">, administrando justicia en nombre del Pueblo y por mandato de la Constitución, </w:t>
      </w:r>
    </w:p>
    <w:p w14:paraId="61829076" w14:textId="77777777" w:rsidR="00B54D95" w:rsidRPr="00C308E9" w:rsidRDefault="00B54D95" w:rsidP="00C308E9">
      <w:pPr>
        <w:pStyle w:val="Textoindependiente"/>
        <w:spacing w:line="276" w:lineRule="auto"/>
        <w:jc w:val="center"/>
        <w:rPr>
          <w:rFonts w:ascii="Tahoma" w:hAnsi="Tahoma" w:cs="Tahoma"/>
          <w:b/>
          <w:bCs/>
          <w:sz w:val="24"/>
          <w:szCs w:val="24"/>
        </w:rPr>
      </w:pPr>
    </w:p>
    <w:p w14:paraId="23A75B80" w14:textId="77777777" w:rsidR="00B54D95" w:rsidRPr="00C308E9" w:rsidRDefault="00B54D95" w:rsidP="00C308E9">
      <w:pPr>
        <w:pStyle w:val="Textoindependiente"/>
        <w:spacing w:line="276" w:lineRule="auto"/>
        <w:jc w:val="center"/>
        <w:rPr>
          <w:rFonts w:ascii="Tahoma" w:hAnsi="Tahoma" w:cs="Tahoma"/>
          <w:b/>
          <w:bCs/>
          <w:sz w:val="24"/>
          <w:szCs w:val="24"/>
        </w:rPr>
      </w:pPr>
      <w:r w:rsidRPr="00C308E9">
        <w:rPr>
          <w:rFonts w:ascii="Tahoma" w:hAnsi="Tahoma" w:cs="Tahoma"/>
          <w:b/>
          <w:bCs/>
          <w:sz w:val="24"/>
          <w:szCs w:val="24"/>
        </w:rPr>
        <w:t>RESUELVE:</w:t>
      </w:r>
    </w:p>
    <w:p w14:paraId="2BA226A1" w14:textId="77777777" w:rsidR="00B54D95" w:rsidRPr="00C308E9" w:rsidRDefault="00B54D95" w:rsidP="00C308E9">
      <w:pPr>
        <w:pStyle w:val="Textoindependiente"/>
        <w:spacing w:line="276" w:lineRule="auto"/>
        <w:rPr>
          <w:rFonts w:ascii="Tahoma" w:hAnsi="Tahoma" w:cs="Tahoma"/>
          <w:sz w:val="24"/>
          <w:szCs w:val="24"/>
        </w:rPr>
      </w:pPr>
    </w:p>
    <w:p w14:paraId="7C232C30" w14:textId="710C27BE" w:rsidR="00B54D95" w:rsidRPr="00C308E9" w:rsidRDefault="00B54D95" w:rsidP="00C308E9">
      <w:pPr>
        <w:spacing w:line="276" w:lineRule="auto"/>
        <w:ind w:firstLine="708"/>
        <w:jc w:val="both"/>
        <w:rPr>
          <w:rFonts w:ascii="Tahoma" w:hAnsi="Tahoma" w:cs="Tahoma"/>
          <w:sz w:val="24"/>
          <w:szCs w:val="24"/>
        </w:rPr>
      </w:pPr>
      <w:r w:rsidRPr="00C308E9">
        <w:rPr>
          <w:rFonts w:ascii="Tahoma" w:hAnsi="Tahoma" w:cs="Tahoma"/>
          <w:b/>
          <w:bCs/>
          <w:sz w:val="24"/>
          <w:szCs w:val="24"/>
        </w:rPr>
        <w:t xml:space="preserve">PRIMERO: </w:t>
      </w:r>
      <w:r w:rsidR="003C03C4" w:rsidRPr="00C308E9">
        <w:rPr>
          <w:rFonts w:ascii="Tahoma" w:hAnsi="Tahoma" w:cs="Tahoma"/>
          <w:b/>
          <w:bCs/>
          <w:sz w:val="24"/>
          <w:szCs w:val="24"/>
        </w:rPr>
        <w:t>CONFIRMAR</w:t>
      </w:r>
      <w:r w:rsidR="001D1D7D" w:rsidRPr="00C308E9">
        <w:rPr>
          <w:rFonts w:ascii="Tahoma" w:hAnsi="Tahoma" w:cs="Tahoma"/>
          <w:b/>
          <w:bCs/>
          <w:sz w:val="24"/>
          <w:szCs w:val="24"/>
        </w:rPr>
        <w:t xml:space="preserve"> </w:t>
      </w:r>
      <w:r w:rsidR="001D1D7D" w:rsidRPr="00C308E9">
        <w:rPr>
          <w:rFonts w:ascii="Tahoma" w:hAnsi="Tahoma" w:cs="Tahoma"/>
          <w:sz w:val="24"/>
          <w:szCs w:val="24"/>
        </w:rPr>
        <w:t xml:space="preserve">de la sentencia </w:t>
      </w:r>
      <w:r w:rsidR="001D1D7D" w:rsidRPr="00C308E9">
        <w:rPr>
          <w:rFonts w:ascii="Tahoma" w:eastAsia="Calibri" w:hAnsi="Tahoma" w:cs="Tahoma"/>
          <w:bCs/>
          <w:sz w:val="24"/>
          <w:szCs w:val="24"/>
        </w:rPr>
        <w:t>proferida</w:t>
      </w:r>
      <w:r w:rsidR="001D1D7D" w:rsidRPr="00C308E9">
        <w:rPr>
          <w:rFonts w:ascii="Tahoma" w:hAnsi="Tahoma" w:cs="Tahoma"/>
          <w:sz w:val="24"/>
          <w:szCs w:val="24"/>
        </w:rPr>
        <w:t xml:space="preserve"> por </w:t>
      </w:r>
      <w:r w:rsidR="00A516BE" w:rsidRPr="00C308E9">
        <w:rPr>
          <w:rFonts w:ascii="Tahoma" w:hAnsi="Tahoma" w:cs="Tahoma"/>
          <w:sz w:val="24"/>
          <w:szCs w:val="24"/>
        </w:rPr>
        <w:t>el Juzgado Cuarto Laboral del Circuito de Pereira el día 15 de septiembre de 2023</w:t>
      </w:r>
      <w:r w:rsidR="003C03C4" w:rsidRPr="00C308E9">
        <w:rPr>
          <w:rFonts w:ascii="Tahoma" w:hAnsi="Tahoma" w:cs="Tahoma"/>
          <w:sz w:val="24"/>
          <w:szCs w:val="24"/>
        </w:rPr>
        <w:t>.</w:t>
      </w:r>
    </w:p>
    <w:p w14:paraId="17AD93B2" w14:textId="77777777" w:rsidR="00B54D95" w:rsidRPr="00C308E9" w:rsidRDefault="00B54D95" w:rsidP="00C308E9">
      <w:pPr>
        <w:tabs>
          <w:tab w:val="left" w:pos="0"/>
        </w:tabs>
        <w:suppressAutoHyphens/>
        <w:spacing w:line="276" w:lineRule="auto"/>
        <w:jc w:val="both"/>
        <w:rPr>
          <w:rFonts w:ascii="Tahoma" w:hAnsi="Tahoma" w:cs="Tahoma"/>
          <w:sz w:val="24"/>
          <w:szCs w:val="24"/>
        </w:rPr>
      </w:pPr>
    </w:p>
    <w:p w14:paraId="2DBF0D7D" w14:textId="7A5D91DD" w:rsidR="00B54D95" w:rsidRPr="00C308E9" w:rsidRDefault="00B54D95" w:rsidP="00C308E9">
      <w:pPr>
        <w:spacing w:line="276" w:lineRule="auto"/>
        <w:ind w:firstLine="708"/>
        <w:jc w:val="both"/>
        <w:rPr>
          <w:rFonts w:ascii="Tahoma" w:hAnsi="Tahoma" w:cs="Tahoma"/>
          <w:sz w:val="24"/>
          <w:szCs w:val="24"/>
        </w:rPr>
      </w:pPr>
      <w:r w:rsidRPr="00C308E9">
        <w:rPr>
          <w:rFonts w:ascii="Tahoma" w:hAnsi="Tahoma" w:cs="Tahoma"/>
          <w:b/>
          <w:spacing w:val="-2"/>
          <w:sz w:val="24"/>
          <w:szCs w:val="24"/>
        </w:rPr>
        <w:t xml:space="preserve">SEGUNDO: </w:t>
      </w:r>
      <w:r w:rsidR="003C03C4" w:rsidRPr="00C308E9">
        <w:rPr>
          <w:rFonts w:ascii="Tahoma" w:hAnsi="Tahoma" w:cs="Tahoma"/>
          <w:sz w:val="24"/>
          <w:szCs w:val="24"/>
        </w:rPr>
        <w:t>Notifíquese esta decisión a las partes conforme lo previene el artículo 30 del Decreto 2591 de 1991.</w:t>
      </w:r>
    </w:p>
    <w:p w14:paraId="72B1D693" w14:textId="77777777" w:rsidR="00A516BE" w:rsidRPr="00C308E9" w:rsidRDefault="00A516BE" w:rsidP="00C308E9">
      <w:pPr>
        <w:pStyle w:val="Sinespaciado"/>
        <w:spacing w:line="276" w:lineRule="auto"/>
        <w:rPr>
          <w:rFonts w:ascii="Tahoma" w:hAnsi="Tahoma" w:cs="Tahoma"/>
          <w:sz w:val="24"/>
          <w:szCs w:val="24"/>
        </w:rPr>
      </w:pPr>
    </w:p>
    <w:p w14:paraId="4BEC2E78" w14:textId="3D5B2EF6" w:rsidR="00B54D95" w:rsidRPr="00C308E9" w:rsidRDefault="00B54D95" w:rsidP="00C308E9">
      <w:pPr>
        <w:spacing w:line="276" w:lineRule="auto"/>
        <w:ind w:firstLine="708"/>
        <w:jc w:val="both"/>
        <w:rPr>
          <w:rFonts w:ascii="Tahoma" w:hAnsi="Tahoma" w:cs="Tahoma"/>
          <w:sz w:val="24"/>
          <w:szCs w:val="24"/>
        </w:rPr>
      </w:pPr>
      <w:r w:rsidRPr="00C308E9">
        <w:rPr>
          <w:rFonts w:ascii="Tahoma" w:hAnsi="Tahoma" w:cs="Tahoma"/>
          <w:b/>
          <w:bCs/>
          <w:spacing w:val="-2"/>
          <w:sz w:val="24"/>
          <w:szCs w:val="24"/>
        </w:rPr>
        <w:t xml:space="preserve">TERCERO: </w:t>
      </w:r>
      <w:r w:rsidR="003C03C4" w:rsidRPr="00C308E9">
        <w:rPr>
          <w:rFonts w:ascii="Tahoma" w:hAnsi="Tahoma" w:cs="Tahoma"/>
          <w:sz w:val="24"/>
          <w:szCs w:val="24"/>
        </w:rPr>
        <w:t>Envíese el expediente a la Corte Constitucional para su eventual revisión conforme lo dispone el artículo 31 del Decreto 2591 de 1991.</w:t>
      </w:r>
    </w:p>
    <w:p w14:paraId="628D2251" w14:textId="77777777" w:rsidR="00C308E9" w:rsidRPr="00C308E9" w:rsidRDefault="00C308E9" w:rsidP="00C308E9">
      <w:pPr>
        <w:spacing w:line="276" w:lineRule="auto"/>
        <w:jc w:val="both"/>
        <w:rPr>
          <w:rFonts w:ascii="Tahoma" w:eastAsia="Calibri" w:hAnsi="Tahoma" w:cs="Tahoma"/>
          <w:sz w:val="24"/>
          <w:szCs w:val="24"/>
          <w:lang w:val="es-CO" w:eastAsia="en-US"/>
        </w:rPr>
      </w:pPr>
      <w:bookmarkStart w:id="3" w:name="_Hlk126574973"/>
    </w:p>
    <w:p w14:paraId="5B6A5F5B" w14:textId="77777777" w:rsidR="00C308E9" w:rsidRPr="00C308E9" w:rsidRDefault="00C308E9" w:rsidP="00C308E9">
      <w:pPr>
        <w:spacing w:line="276" w:lineRule="auto"/>
        <w:jc w:val="center"/>
        <w:rPr>
          <w:rFonts w:ascii="Tahoma" w:eastAsia="Tahoma" w:hAnsi="Tahoma" w:cs="Tahoma"/>
          <w:b/>
          <w:bCs/>
          <w:sz w:val="24"/>
          <w:szCs w:val="24"/>
          <w:lang w:val="es-CO" w:eastAsia="en-US"/>
        </w:rPr>
      </w:pPr>
      <w:r w:rsidRPr="00C308E9">
        <w:rPr>
          <w:rFonts w:ascii="Tahoma" w:eastAsia="Tahoma" w:hAnsi="Tahoma" w:cs="Tahoma"/>
          <w:b/>
          <w:bCs/>
          <w:sz w:val="24"/>
          <w:szCs w:val="24"/>
          <w:lang w:val="es-CO" w:eastAsia="en-US"/>
        </w:rPr>
        <w:t>Notifíquese y cúmplase</w:t>
      </w:r>
    </w:p>
    <w:p w14:paraId="1AD90F69" w14:textId="77777777" w:rsidR="00C308E9" w:rsidRPr="00C308E9" w:rsidRDefault="00C308E9" w:rsidP="00C308E9">
      <w:pPr>
        <w:spacing w:line="276" w:lineRule="auto"/>
        <w:jc w:val="both"/>
        <w:rPr>
          <w:rFonts w:ascii="Tahoma" w:eastAsia="Calibri" w:hAnsi="Tahoma" w:cs="Tahoma"/>
          <w:sz w:val="24"/>
          <w:szCs w:val="24"/>
          <w:lang w:val="es-CO" w:eastAsia="en-US"/>
        </w:rPr>
      </w:pPr>
      <w:r w:rsidRPr="00C308E9">
        <w:rPr>
          <w:rFonts w:ascii="Tahoma" w:eastAsia="Calibri" w:hAnsi="Tahoma" w:cs="Tahoma"/>
          <w:sz w:val="24"/>
          <w:szCs w:val="24"/>
          <w:lang w:val="es-CO" w:eastAsia="en-US"/>
        </w:rPr>
        <w:t xml:space="preserve"> </w:t>
      </w:r>
    </w:p>
    <w:p w14:paraId="1430F176" w14:textId="77777777" w:rsidR="00C308E9" w:rsidRPr="00C308E9" w:rsidRDefault="00C308E9" w:rsidP="00C308E9">
      <w:pPr>
        <w:widowControl w:val="0"/>
        <w:autoSpaceDE w:val="0"/>
        <w:autoSpaceDN w:val="0"/>
        <w:adjustRightInd w:val="0"/>
        <w:spacing w:line="276" w:lineRule="auto"/>
        <w:jc w:val="both"/>
        <w:rPr>
          <w:rFonts w:ascii="Tahoma" w:hAnsi="Tahoma" w:cs="Tahoma"/>
          <w:sz w:val="24"/>
          <w:szCs w:val="24"/>
          <w:lang w:val="es-ES"/>
        </w:rPr>
      </w:pPr>
      <w:r w:rsidRPr="00C308E9">
        <w:rPr>
          <w:rFonts w:ascii="Tahoma" w:hAnsi="Tahoma" w:cs="Tahoma"/>
          <w:sz w:val="24"/>
          <w:szCs w:val="24"/>
          <w:lang w:val="es-ES"/>
        </w:rPr>
        <w:tab/>
        <w:t>La Magistrada ponente,</w:t>
      </w:r>
    </w:p>
    <w:p w14:paraId="34ABE5D4" w14:textId="77777777" w:rsidR="00C308E9" w:rsidRPr="00C308E9" w:rsidRDefault="00C308E9" w:rsidP="00C308E9">
      <w:pPr>
        <w:spacing w:line="276" w:lineRule="auto"/>
        <w:rPr>
          <w:rFonts w:ascii="Tahoma" w:hAnsi="Tahoma" w:cs="Tahoma"/>
          <w:sz w:val="24"/>
          <w:szCs w:val="24"/>
          <w:lang w:val="es-ES"/>
        </w:rPr>
      </w:pPr>
    </w:p>
    <w:p w14:paraId="419CC511" w14:textId="77777777" w:rsidR="00C308E9" w:rsidRPr="00C308E9" w:rsidRDefault="00C308E9" w:rsidP="00C308E9">
      <w:pPr>
        <w:spacing w:line="276" w:lineRule="auto"/>
        <w:rPr>
          <w:rFonts w:ascii="Tahoma" w:hAnsi="Tahoma" w:cs="Tahoma"/>
          <w:sz w:val="24"/>
          <w:szCs w:val="24"/>
          <w:lang w:val="es-ES"/>
        </w:rPr>
      </w:pPr>
    </w:p>
    <w:p w14:paraId="3640E8DB" w14:textId="77777777" w:rsidR="00C308E9" w:rsidRPr="00C308E9" w:rsidRDefault="00C308E9" w:rsidP="00C308E9">
      <w:pPr>
        <w:spacing w:line="276" w:lineRule="auto"/>
        <w:rPr>
          <w:rFonts w:ascii="Tahoma" w:hAnsi="Tahoma" w:cs="Tahoma"/>
          <w:sz w:val="24"/>
          <w:szCs w:val="24"/>
          <w:lang w:val="es-ES"/>
        </w:rPr>
      </w:pPr>
    </w:p>
    <w:p w14:paraId="7331DE91" w14:textId="77777777" w:rsidR="00C308E9" w:rsidRPr="00C308E9" w:rsidRDefault="00C308E9" w:rsidP="00C308E9">
      <w:pPr>
        <w:keepNext/>
        <w:spacing w:line="276" w:lineRule="auto"/>
        <w:jc w:val="center"/>
        <w:outlineLvl w:val="2"/>
        <w:rPr>
          <w:rFonts w:ascii="Tahoma" w:hAnsi="Tahoma" w:cs="Tahoma"/>
          <w:b/>
          <w:bCs/>
          <w:sz w:val="24"/>
          <w:szCs w:val="24"/>
          <w:lang w:val="es-ES"/>
        </w:rPr>
      </w:pPr>
      <w:r w:rsidRPr="00C308E9">
        <w:rPr>
          <w:rFonts w:ascii="Tahoma" w:hAnsi="Tahoma" w:cs="Tahoma"/>
          <w:b/>
          <w:bCs/>
          <w:sz w:val="24"/>
          <w:szCs w:val="24"/>
          <w:lang w:val="es-ES"/>
        </w:rPr>
        <w:t>ANA LUCÍA CAICEDO CALDERÓN</w:t>
      </w:r>
    </w:p>
    <w:p w14:paraId="5B3445AE" w14:textId="77777777" w:rsidR="00C308E9" w:rsidRPr="00C308E9" w:rsidRDefault="00C308E9" w:rsidP="00C308E9">
      <w:pPr>
        <w:spacing w:line="276" w:lineRule="auto"/>
        <w:rPr>
          <w:rFonts w:ascii="Tahoma" w:hAnsi="Tahoma" w:cs="Tahoma"/>
          <w:sz w:val="24"/>
          <w:szCs w:val="24"/>
          <w:lang w:val="es-ES"/>
        </w:rPr>
      </w:pPr>
    </w:p>
    <w:p w14:paraId="7F61F85A" w14:textId="77777777" w:rsidR="00C308E9" w:rsidRPr="00C308E9" w:rsidRDefault="00C308E9" w:rsidP="00C308E9">
      <w:pPr>
        <w:spacing w:line="276" w:lineRule="auto"/>
        <w:ind w:firstLine="708"/>
        <w:rPr>
          <w:rFonts w:ascii="Tahoma" w:hAnsi="Tahoma" w:cs="Tahoma"/>
          <w:sz w:val="24"/>
          <w:szCs w:val="24"/>
          <w:lang w:val="es-ES"/>
        </w:rPr>
      </w:pPr>
      <w:bookmarkStart w:id="4" w:name="_Hlk62478330"/>
      <w:r w:rsidRPr="00C308E9">
        <w:rPr>
          <w:rFonts w:ascii="Tahoma" w:hAnsi="Tahoma" w:cs="Tahoma"/>
          <w:sz w:val="24"/>
          <w:szCs w:val="24"/>
          <w:lang w:val="es-ES"/>
        </w:rPr>
        <w:t>Los Magistrados,</w:t>
      </w:r>
    </w:p>
    <w:p w14:paraId="6C819439" w14:textId="77777777" w:rsidR="00C308E9" w:rsidRPr="00C308E9" w:rsidRDefault="00C308E9" w:rsidP="00C308E9">
      <w:pPr>
        <w:spacing w:line="276" w:lineRule="auto"/>
        <w:rPr>
          <w:rFonts w:ascii="Tahoma" w:hAnsi="Tahoma" w:cs="Tahoma"/>
          <w:sz w:val="24"/>
          <w:szCs w:val="24"/>
          <w:lang w:val="es-ES"/>
        </w:rPr>
      </w:pPr>
    </w:p>
    <w:p w14:paraId="42202E8A" w14:textId="77777777" w:rsidR="00C308E9" w:rsidRPr="00C308E9" w:rsidRDefault="00C308E9" w:rsidP="00C308E9">
      <w:pPr>
        <w:spacing w:line="276" w:lineRule="auto"/>
        <w:rPr>
          <w:rFonts w:ascii="Tahoma" w:hAnsi="Tahoma" w:cs="Tahoma"/>
          <w:sz w:val="24"/>
          <w:szCs w:val="24"/>
          <w:lang w:val="es-ES"/>
        </w:rPr>
      </w:pPr>
    </w:p>
    <w:p w14:paraId="67A64A42" w14:textId="77777777" w:rsidR="00C308E9" w:rsidRPr="00C308E9" w:rsidRDefault="00C308E9" w:rsidP="00C308E9">
      <w:pPr>
        <w:spacing w:line="276" w:lineRule="auto"/>
        <w:rPr>
          <w:rFonts w:ascii="Tahoma" w:hAnsi="Tahoma" w:cs="Tahoma"/>
          <w:sz w:val="24"/>
          <w:szCs w:val="24"/>
          <w:lang w:val="es-ES"/>
        </w:rPr>
      </w:pPr>
    </w:p>
    <w:p w14:paraId="717BB5EB" w14:textId="77777777" w:rsidR="00C308E9" w:rsidRPr="00C308E9" w:rsidRDefault="00C308E9" w:rsidP="00C308E9">
      <w:pPr>
        <w:spacing w:line="276" w:lineRule="auto"/>
        <w:jc w:val="both"/>
        <w:rPr>
          <w:rFonts w:ascii="Tahoma" w:eastAsia="Calibri" w:hAnsi="Tahoma" w:cs="Tahoma"/>
          <w:sz w:val="24"/>
          <w:szCs w:val="24"/>
          <w:lang w:val="es-ES" w:eastAsia="en-US"/>
        </w:rPr>
      </w:pPr>
      <w:r w:rsidRPr="00C308E9">
        <w:rPr>
          <w:rFonts w:ascii="Tahoma" w:hAnsi="Tahoma" w:cs="Tahoma"/>
          <w:b/>
          <w:bCs/>
          <w:sz w:val="24"/>
          <w:szCs w:val="24"/>
          <w:lang w:val="es-ES"/>
        </w:rPr>
        <w:t xml:space="preserve">GERMÁN DARÍO </w:t>
      </w:r>
      <w:proofErr w:type="spellStart"/>
      <w:r w:rsidRPr="00C308E9">
        <w:rPr>
          <w:rFonts w:ascii="Tahoma" w:hAnsi="Tahoma" w:cs="Tahoma"/>
          <w:b/>
          <w:bCs/>
          <w:sz w:val="24"/>
          <w:szCs w:val="24"/>
          <w:lang w:val="es-ES"/>
        </w:rPr>
        <w:t>GÓEZ</w:t>
      </w:r>
      <w:proofErr w:type="spellEnd"/>
      <w:r w:rsidRPr="00C308E9">
        <w:rPr>
          <w:rFonts w:ascii="Tahoma" w:hAnsi="Tahoma" w:cs="Tahoma"/>
          <w:b/>
          <w:bCs/>
          <w:sz w:val="24"/>
          <w:szCs w:val="24"/>
          <w:lang w:val="es-ES"/>
        </w:rPr>
        <w:t xml:space="preserve"> </w:t>
      </w:r>
      <w:proofErr w:type="spellStart"/>
      <w:r w:rsidRPr="00C308E9">
        <w:rPr>
          <w:rFonts w:ascii="Tahoma" w:hAnsi="Tahoma" w:cs="Tahoma"/>
          <w:b/>
          <w:bCs/>
          <w:sz w:val="24"/>
          <w:szCs w:val="24"/>
          <w:lang w:val="es-ES"/>
        </w:rPr>
        <w:t>VINASCO</w:t>
      </w:r>
      <w:bookmarkEnd w:id="3"/>
      <w:bookmarkEnd w:id="4"/>
      <w:proofErr w:type="spellEnd"/>
      <w:r w:rsidRPr="00C308E9">
        <w:rPr>
          <w:rFonts w:ascii="Tahoma" w:hAnsi="Tahoma" w:cs="Tahoma"/>
          <w:b/>
          <w:bCs/>
          <w:sz w:val="24"/>
          <w:szCs w:val="24"/>
          <w:lang w:val="es-ES"/>
        </w:rPr>
        <w:tab/>
      </w:r>
      <w:r w:rsidRPr="00C308E9">
        <w:rPr>
          <w:rFonts w:ascii="Tahoma" w:hAnsi="Tahoma" w:cs="Tahoma"/>
          <w:b/>
          <w:bCs/>
          <w:sz w:val="24"/>
          <w:szCs w:val="24"/>
          <w:lang w:val="es-ES"/>
        </w:rPr>
        <w:tab/>
        <w:t xml:space="preserve">   JULIO CÉSAR SALAZAR MUÑOZ </w:t>
      </w:r>
    </w:p>
    <w:p w14:paraId="31FEE073" w14:textId="77777777" w:rsidR="00C308E9" w:rsidRPr="00C308E9" w:rsidRDefault="00C308E9" w:rsidP="00C308E9">
      <w:pPr>
        <w:spacing w:line="276" w:lineRule="auto"/>
        <w:jc w:val="both"/>
        <w:rPr>
          <w:rFonts w:ascii="Arial" w:eastAsia="Arial" w:hAnsi="Arial" w:cs="Arial"/>
          <w:sz w:val="24"/>
          <w:szCs w:val="24"/>
          <w:lang w:val="es-ES" w:eastAsia="es-CO"/>
        </w:rPr>
      </w:pPr>
      <w:r w:rsidRPr="00C308E9">
        <w:rPr>
          <w:rFonts w:ascii="Arial" w:eastAsia="Arial" w:hAnsi="Arial" w:cs="Arial"/>
          <w:sz w:val="24"/>
          <w:szCs w:val="24"/>
          <w:lang w:val="es-ES" w:eastAsia="es-CO"/>
        </w:rPr>
        <w:tab/>
      </w:r>
      <w:r w:rsidRPr="00C308E9">
        <w:rPr>
          <w:rFonts w:ascii="Arial" w:eastAsia="Arial" w:hAnsi="Arial" w:cs="Arial"/>
          <w:sz w:val="24"/>
          <w:szCs w:val="24"/>
          <w:lang w:val="es-ES" w:eastAsia="es-CO"/>
        </w:rPr>
        <w:tab/>
      </w:r>
      <w:r w:rsidRPr="00C308E9">
        <w:rPr>
          <w:rFonts w:ascii="Arial" w:eastAsia="Arial" w:hAnsi="Arial" w:cs="Arial"/>
          <w:sz w:val="24"/>
          <w:szCs w:val="24"/>
          <w:lang w:val="es-ES" w:eastAsia="es-CO"/>
        </w:rPr>
        <w:tab/>
      </w:r>
      <w:r w:rsidRPr="00C308E9">
        <w:rPr>
          <w:rFonts w:ascii="Arial" w:eastAsia="Arial" w:hAnsi="Arial" w:cs="Arial"/>
          <w:sz w:val="24"/>
          <w:szCs w:val="24"/>
          <w:lang w:val="es-ES" w:eastAsia="es-CO"/>
        </w:rPr>
        <w:tab/>
      </w:r>
      <w:r w:rsidRPr="00C308E9">
        <w:rPr>
          <w:rFonts w:ascii="Arial" w:eastAsia="Arial" w:hAnsi="Arial" w:cs="Arial"/>
          <w:sz w:val="24"/>
          <w:szCs w:val="24"/>
          <w:lang w:val="es-ES" w:eastAsia="es-CO"/>
        </w:rPr>
        <w:tab/>
      </w:r>
      <w:r w:rsidRPr="00C308E9">
        <w:rPr>
          <w:rFonts w:ascii="Arial" w:eastAsia="Arial" w:hAnsi="Arial" w:cs="Arial"/>
          <w:sz w:val="24"/>
          <w:szCs w:val="24"/>
          <w:lang w:val="es-ES" w:eastAsia="es-CO"/>
        </w:rPr>
        <w:tab/>
      </w:r>
      <w:r w:rsidRPr="00C308E9">
        <w:rPr>
          <w:rFonts w:ascii="Arial" w:eastAsia="Arial" w:hAnsi="Arial" w:cs="Arial"/>
          <w:sz w:val="24"/>
          <w:szCs w:val="24"/>
          <w:lang w:val="es-ES" w:eastAsia="es-CO"/>
        </w:rPr>
        <w:tab/>
        <w:t xml:space="preserve">    Con salvamento de voto</w:t>
      </w:r>
    </w:p>
    <w:p w14:paraId="19F55ACB" w14:textId="77777777" w:rsidR="00C308E9" w:rsidRPr="00C308E9" w:rsidRDefault="00C308E9" w:rsidP="00C308E9">
      <w:pPr>
        <w:spacing w:line="276" w:lineRule="auto"/>
        <w:jc w:val="both"/>
        <w:rPr>
          <w:rFonts w:ascii="Arial" w:eastAsia="Arial" w:hAnsi="Arial" w:cs="Arial"/>
          <w:sz w:val="24"/>
          <w:szCs w:val="24"/>
          <w:lang w:val="es-ES" w:eastAsia="es-CO"/>
        </w:rPr>
      </w:pPr>
    </w:p>
    <w:p w14:paraId="74A8EE5E" w14:textId="77777777" w:rsidR="00C308E9" w:rsidRPr="00C308E9" w:rsidRDefault="00C308E9" w:rsidP="00C308E9">
      <w:pPr>
        <w:spacing w:after="160" w:line="259" w:lineRule="auto"/>
        <w:rPr>
          <w:rFonts w:ascii="Arial" w:eastAsia="Arial" w:hAnsi="Arial" w:cs="Arial"/>
          <w:sz w:val="24"/>
          <w:szCs w:val="24"/>
          <w:lang w:val="es-ES" w:eastAsia="es-CO"/>
        </w:rPr>
      </w:pPr>
      <w:r w:rsidRPr="00C308E9">
        <w:rPr>
          <w:rFonts w:ascii="Arial" w:eastAsia="Arial" w:hAnsi="Arial" w:cs="Arial"/>
          <w:sz w:val="24"/>
          <w:szCs w:val="24"/>
          <w:lang w:val="es-ES" w:eastAsia="es-CO"/>
        </w:rPr>
        <w:br w:type="page"/>
      </w:r>
    </w:p>
    <w:p w14:paraId="36025E06" w14:textId="53C82362" w:rsidR="005D2D54" w:rsidRPr="00EC7BEB" w:rsidRDefault="005D2D54" w:rsidP="005D2D54">
      <w:pPr>
        <w:jc w:val="both"/>
        <w:textAlignment w:val="baseline"/>
        <w:rPr>
          <w:rFonts w:ascii="Segoe UI" w:hAnsi="Segoe UI" w:cs="Segoe UI"/>
          <w:szCs w:val="18"/>
          <w:lang w:val="es-CO" w:eastAsia="es-CO"/>
        </w:rPr>
      </w:pPr>
      <w:bookmarkStart w:id="5" w:name="_Hlk148706978"/>
      <w:bookmarkStart w:id="6" w:name="_Hlk148704891"/>
      <w:r w:rsidRPr="00EC7BEB">
        <w:rPr>
          <w:rFonts w:ascii="Arial" w:hAnsi="Arial" w:cs="Arial"/>
          <w:szCs w:val="18"/>
          <w:lang w:val="es-CO" w:eastAsia="es-CO"/>
        </w:rPr>
        <w:lastRenderedPageBreak/>
        <w:t>Radicación Nro.:</w:t>
      </w:r>
      <w:r w:rsidRPr="00EC7BEB">
        <w:rPr>
          <w:rFonts w:ascii="Calibri" w:hAnsi="Calibri" w:cs="Calibri"/>
          <w:szCs w:val="18"/>
          <w:lang w:val="es-CO" w:eastAsia="es-CO"/>
        </w:rPr>
        <w:tab/>
      </w:r>
      <w:r w:rsidRPr="00EC7BEB">
        <w:rPr>
          <w:rFonts w:ascii="Arial" w:hAnsi="Arial" w:cs="Arial"/>
          <w:szCs w:val="18"/>
          <w:lang w:val="es-CO" w:eastAsia="es-CO"/>
        </w:rPr>
        <w:t>66001310500420231024701 </w:t>
      </w:r>
    </w:p>
    <w:p w14:paraId="13DDE57F" w14:textId="2E158020" w:rsidR="005D2D54" w:rsidRPr="00EC7BEB" w:rsidRDefault="005D2D54" w:rsidP="005D2D54">
      <w:pPr>
        <w:jc w:val="both"/>
        <w:textAlignment w:val="baseline"/>
        <w:rPr>
          <w:rFonts w:ascii="Segoe UI" w:hAnsi="Segoe UI" w:cs="Segoe UI"/>
          <w:szCs w:val="18"/>
          <w:lang w:val="es-CO" w:eastAsia="es-CO"/>
        </w:rPr>
      </w:pPr>
      <w:r w:rsidRPr="00EC7BEB">
        <w:rPr>
          <w:rFonts w:ascii="Arial" w:hAnsi="Arial" w:cs="Arial"/>
          <w:szCs w:val="18"/>
          <w:lang w:val="es-CO" w:eastAsia="es-CO"/>
        </w:rPr>
        <w:t>Accionante:</w:t>
      </w:r>
      <w:r w:rsidRPr="00EC7BEB">
        <w:rPr>
          <w:rFonts w:ascii="Calibri" w:hAnsi="Calibri" w:cs="Calibri"/>
          <w:szCs w:val="18"/>
          <w:lang w:val="es-CO" w:eastAsia="es-CO"/>
        </w:rPr>
        <w:tab/>
      </w:r>
      <w:r w:rsidRPr="00EC7BEB">
        <w:rPr>
          <w:rFonts w:ascii="Calibri" w:hAnsi="Calibri" w:cs="Calibri"/>
          <w:szCs w:val="18"/>
          <w:lang w:val="es-CO" w:eastAsia="es-CO"/>
        </w:rPr>
        <w:tab/>
      </w:r>
      <w:r w:rsidRPr="00EC7BEB">
        <w:rPr>
          <w:rFonts w:ascii="Arial" w:hAnsi="Arial" w:cs="Arial"/>
          <w:szCs w:val="18"/>
          <w:lang w:val="es-CO" w:eastAsia="es-CO"/>
        </w:rPr>
        <w:t>Miguel Ángel Zapata Loaiza  </w:t>
      </w:r>
    </w:p>
    <w:p w14:paraId="42BA0065" w14:textId="63CE1BE3" w:rsidR="005D2D54" w:rsidRPr="00EC7BEB" w:rsidRDefault="005D2D54" w:rsidP="00EC7BEB">
      <w:pPr>
        <w:ind w:left="2124" w:hanging="2124"/>
        <w:jc w:val="both"/>
        <w:textAlignment w:val="baseline"/>
        <w:rPr>
          <w:rFonts w:ascii="Arial" w:hAnsi="Arial" w:cs="Arial"/>
          <w:szCs w:val="18"/>
          <w:lang w:val="es-CO" w:eastAsia="es-CO"/>
        </w:rPr>
      </w:pPr>
      <w:r w:rsidRPr="00EC7BEB">
        <w:rPr>
          <w:rFonts w:ascii="Arial" w:hAnsi="Arial" w:cs="Arial"/>
          <w:szCs w:val="18"/>
          <w:lang w:val="es-CO" w:eastAsia="es-CO"/>
        </w:rPr>
        <w:t>Accionados:</w:t>
      </w:r>
      <w:r w:rsidR="00717E10" w:rsidRPr="00EC7BEB">
        <w:rPr>
          <w:rFonts w:ascii="Arial" w:hAnsi="Arial" w:cs="Arial"/>
          <w:szCs w:val="18"/>
          <w:lang w:val="es-CO" w:eastAsia="es-CO"/>
        </w:rPr>
        <w:tab/>
      </w:r>
      <w:r w:rsidRPr="00EC7BEB">
        <w:rPr>
          <w:rFonts w:ascii="Arial" w:hAnsi="Arial" w:cs="Arial"/>
          <w:szCs w:val="18"/>
          <w:lang w:val="es-CO" w:eastAsia="es-CO"/>
        </w:rPr>
        <w:t>Colpensiones, Nueva EPS y la Administradora de los Recursos del Sistema General de Seguridad Social en Salud (ADRES) </w:t>
      </w:r>
    </w:p>
    <w:p w14:paraId="7689878A" w14:textId="77777777" w:rsidR="004274EF" w:rsidRDefault="005D2D54" w:rsidP="00EC7BEB">
      <w:pPr>
        <w:jc w:val="both"/>
        <w:textAlignment w:val="baseline"/>
        <w:rPr>
          <w:rFonts w:ascii="Arial" w:hAnsi="Arial" w:cs="Arial"/>
          <w:szCs w:val="18"/>
          <w:lang w:val="es-CO" w:eastAsia="es-CO"/>
        </w:rPr>
      </w:pPr>
      <w:r w:rsidRPr="00EC7BEB">
        <w:rPr>
          <w:rFonts w:ascii="Arial" w:hAnsi="Arial" w:cs="Arial"/>
          <w:szCs w:val="18"/>
          <w:lang w:val="es-CO" w:eastAsia="es-CO"/>
        </w:rPr>
        <w:t>Proceso:</w:t>
      </w:r>
      <w:r w:rsidR="00EC7BEB" w:rsidRPr="00EC7BEB">
        <w:rPr>
          <w:rFonts w:ascii="Arial" w:hAnsi="Arial" w:cs="Arial"/>
          <w:szCs w:val="18"/>
          <w:lang w:val="es-CO" w:eastAsia="es-CO"/>
        </w:rPr>
        <w:tab/>
      </w:r>
      <w:r w:rsidR="00EC7BEB" w:rsidRPr="00EC7BEB">
        <w:rPr>
          <w:rFonts w:ascii="Arial" w:hAnsi="Arial" w:cs="Arial"/>
          <w:szCs w:val="18"/>
          <w:lang w:val="es-CO" w:eastAsia="es-CO"/>
        </w:rPr>
        <w:tab/>
      </w:r>
    </w:p>
    <w:p w14:paraId="74ADF290" w14:textId="38BE45D3" w:rsidR="005D2D54" w:rsidRPr="00EC7BEB" w:rsidRDefault="005D2D54" w:rsidP="00EC7BEB">
      <w:pPr>
        <w:jc w:val="both"/>
        <w:textAlignment w:val="baseline"/>
        <w:rPr>
          <w:rFonts w:ascii="Arial" w:hAnsi="Arial" w:cs="Arial"/>
          <w:szCs w:val="18"/>
          <w:lang w:val="es-CO" w:eastAsia="es-CO"/>
        </w:rPr>
      </w:pPr>
      <w:r w:rsidRPr="00EC7BEB">
        <w:rPr>
          <w:rFonts w:ascii="Arial" w:hAnsi="Arial" w:cs="Arial"/>
          <w:szCs w:val="18"/>
          <w:lang w:val="es-CO" w:eastAsia="es-CO"/>
        </w:rPr>
        <w:t>Acción de Tutela  </w:t>
      </w:r>
      <w:bookmarkEnd w:id="5"/>
    </w:p>
    <w:bookmarkEnd w:id="6"/>
    <w:p w14:paraId="503F7047" w14:textId="77777777" w:rsidR="005D2D54" w:rsidRPr="00EC7BEB" w:rsidRDefault="005D2D54" w:rsidP="00717E10">
      <w:pPr>
        <w:tabs>
          <w:tab w:val="center" w:pos="4419"/>
          <w:tab w:val="right" w:pos="8838"/>
        </w:tabs>
        <w:spacing w:line="276" w:lineRule="auto"/>
        <w:rPr>
          <w:rFonts w:ascii="Arial" w:eastAsia="Calibri" w:hAnsi="Arial" w:cs="Arial"/>
          <w:sz w:val="28"/>
          <w:szCs w:val="24"/>
          <w:lang w:val="es-CO" w:eastAsia="en-US"/>
        </w:rPr>
      </w:pPr>
    </w:p>
    <w:p w14:paraId="2CC33846" w14:textId="77777777" w:rsidR="005D2D54" w:rsidRPr="00EC7BEB" w:rsidRDefault="005D2D54" w:rsidP="00717E10">
      <w:pPr>
        <w:spacing w:line="276" w:lineRule="auto"/>
        <w:ind w:left="2829" w:hanging="2829"/>
        <w:jc w:val="both"/>
        <w:rPr>
          <w:rFonts w:ascii="Arial" w:eastAsia="Calibri" w:hAnsi="Arial" w:cs="Arial"/>
          <w:bCs/>
          <w:sz w:val="28"/>
          <w:szCs w:val="24"/>
          <w:lang w:eastAsia="en-US"/>
        </w:rPr>
      </w:pPr>
    </w:p>
    <w:p w14:paraId="10B094D5" w14:textId="77777777" w:rsidR="00717E10" w:rsidRPr="00717E10" w:rsidRDefault="00717E10" w:rsidP="00717E10">
      <w:pPr>
        <w:ind w:left="2829" w:hanging="2829"/>
        <w:jc w:val="center"/>
        <w:rPr>
          <w:rFonts w:ascii="Arial" w:hAnsi="Arial" w:cs="Arial"/>
          <w:b/>
          <w:bCs/>
          <w:sz w:val="24"/>
          <w:lang w:eastAsia="es-CO"/>
        </w:rPr>
      </w:pPr>
      <w:r w:rsidRPr="00717E10">
        <w:rPr>
          <w:rFonts w:ascii="Arial" w:hAnsi="Arial" w:cs="Arial"/>
          <w:b/>
          <w:bCs/>
          <w:sz w:val="24"/>
          <w:lang w:eastAsia="es-CO"/>
        </w:rPr>
        <w:t>TRIBUNAL SUPERIOR DEL DISTRITO JUDICIAL</w:t>
      </w:r>
    </w:p>
    <w:p w14:paraId="614A5A03" w14:textId="77777777" w:rsidR="00717E10" w:rsidRPr="00717E10" w:rsidRDefault="00717E10" w:rsidP="00717E10">
      <w:pPr>
        <w:ind w:left="2829" w:hanging="2829"/>
        <w:jc w:val="center"/>
        <w:rPr>
          <w:rFonts w:ascii="Arial" w:hAnsi="Arial" w:cs="Arial"/>
          <w:b/>
          <w:bCs/>
          <w:sz w:val="24"/>
          <w:lang w:eastAsia="es-CO"/>
        </w:rPr>
      </w:pPr>
      <w:r w:rsidRPr="00717E10">
        <w:rPr>
          <w:rFonts w:ascii="Arial" w:hAnsi="Arial" w:cs="Arial"/>
          <w:b/>
          <w:bCs/>
          <w:sz w:val="24"/>
          <w:lang w:eastAsia="es-CO"/>
        </w:rPr>
        <w:t>SALA DE FAMILIA</w:t>
      </w:r>
    </w:p>
    <w:p w14:paraId="7C6C0C7D" w14:textId="77777777" w:rsidR="00717E10" w:rsidRPr="00717E10" w:rsidRDefault="00717E10" w:rsidP="00717E10">
      <w:pPr>
        <w:spacing w:line="276" w:lineRule="auto"/>
        <w:jc w:val="center"/>
        <w:rPr>
          <w:rFonts w:ascii="Arial" w:hAnsi="Arial" w:cs="Arial"/>
          <w:b/>
          <w:sz w:val="24"/>
          <w:szCs w:val="24"/>
          <w:lang w:val="es-CO" w:eastAsia="es-CO"/>
        </w:rPr>
      </w:pPr>
      <w:r w:rsidRPr="00717E10">
        <w:rPr>
          <w:rFonts w:ascii="Arial" w:hAnsi="Arial" w:cs="Arial"/>
          <w:sz w:val="24"/>
          <w:szCs w:val="24"/>
          <w:lang w:val="es-CO" w:eastAsia="es-CO"/>
        </w:rPr>
        <w:t xml:space="preserve">MAGISTRADO: </w:t>
      </w:r>
      <w:r w:rsidRPr="00717E10">
        <w:rPr>
          <w:rFonts w:ascii="Arial" w:hAnsi="Arial" w:cs="Arial"/>
          <w:b/>
          <w:sz w:val="24"/>
          <w:szCs w:val="24"/>
          <w:lang w:val="es-CO" w:eastAsia="es-CO"/>
        </w:rPr>
        <w:t>JULIO CÉSAR SALAZAR MUÑOZ</w:t>
      </w:r>
    </w:p>
    <w:p w14:paraId="58280AB9" w14:textId="77777777" w:rsidR="00717E10" w:rsidRPr="00717E10" w:rsidRDefault="00717E10" w:rsidP="00717E10">
      <w:pPr>
        <w:spacing w:line="276" w:lineRule="auto"/>
        <w:jc w:val="center"/>
        <w:rPr>
          <w:rFonts w:ascii="Arial" w:hAnsi="Arial" w:cs="Arial"/>
          <w:iCs/>
          <w:sz w:val="24"/>
          <w:szCs w:val="24"/>
          <w:lang w:val="es-CO" w:eastAsia="es-CO"/>
        </w:rPr>
      </w:pPr>
    </w:p>
    <w:p w14:paraId="74B0B78A" w14:textId="77777777" w:rsidR="005D2D54" w:rsidRPr="00717E10" w:rsidRDefault="005D2D54" w:rsidP="00717E10">
      <w:pPr>
        <w:spacing w:line="276" w:lineRule="auto"/>
        <w:jc w:val="center"/>
        <w:rPr>
          <w:rFonts w:ascii="Arial" w:eastAsia="Calibri" w:hAnsi="Arial" w:cs="Arial"/>
          <w:sz w:val="24"/>
          <w:szCs w:val="24"/>
          <w:lang w:val="es-CO" w:eastAsia="en-US"/>
        </w:rPr>
      </w:pPr>
      <w:r w:rsidRPr="00717E10">
        <w:rPr>
          <w:rFonts w:ascii="Arial" w:eastAsia="Calibri" w:hAnsi="Arial" w:cs="Arial"/>
          <w:sz w:val="24"/>
          <w:szCs w:val="24"/>
          <w:lang w:val="es-CO" w:eastAsia="en-US"/>
        </w:rPr>
        <w:t>Pereira, veinte [20] de octubre de dos mil veintitrés [2023].</w:t>
      </w:r>
    </w:p>
    <w:p w14:paraId="3A7E2C8F" w14:textId="73237C7E" w:rsidR="005D2D54" w:rsidRDefault="005D2D54" w:rsidP="00717E10">
      <w:pPr>
        <w:tabs>
          <w:tab w:val="left" w:pos="1440"/>
        </w:tabs>
        <w:spacing w:line="276" w:lineRule="auto"/>
        <w:jc w:val="both"/>
        <w:rPr>
          <w:rFonts w:ascii="Arial" w:eastAsia="Calibri" w:hAnsi="Arial" w:cs="Arial"/>
          <w:snapToGrid w:val="0"/>
          <w:sz w:val="24"/>
          <w:szCs w:val="24"/>
          <w:lang w:val="es-CO" w:eastAsia="en-US"/>
        </w:rPr>
      </w:pPr>
    </w:p>
    <w:p w14:paraId="336BECC7" w14:textId="77777777" w:rsidR="00717E10" w:rsidRPr="00717E10" w:rsidRDefault="00717E10" w:rsidP="00717E10">
      <w:pPr>
        <w:tabs>
          <w:tab w:val="left" w:pos="1440"/>
        </w:tabs>
        <w:spacing w:line="276" w:lineRule="auto"/>
        <w:jc w:val="both"/>
        <w:rPr>
          <w:rFonts w:ascii="Arial" w:eastAsia="Calibri" w:hAnsi="Arial" w:cs="Arial"/>
          <w:snapToGrid w:val="0"/>
          <w:sz w:val="24"/>
          <w:szCs w:val="24"/>
          <w:lang w:val="es-CO" w:eastAsia="en-US"/>
        </w:rPr>
      </w:pPr>
    </w:p>
    <w:p w14:paraId="15803481" w14:textId="77777777" w:rsidR="005D2D54" w:rsidRPr="00717E10" w:rsidRDefault="005D2D54" w:rsidP="00717E10">
      <w:pPr>
        <w:spacing w:line="276" w:lineRule="auto"/>
        <w:jc w:val="center"/>
        <w:rPr>
          <w:rFonts w:ascii="Arial" w:eastAsia="Calibri" w:hAnsi="Arial" w:cs="Arial"/>
          <w:b/>
          <w:sz w:val="24"/>
          <w:szCs w:val="24"/>
          <w:u w:val="single"/>
          <w:lang w:val="es-CO" w:eastAsia="en-US"/>
        </w:rPr>
      </w:pPr>
      <w:r w:rsidRPr="00717E10">
        <w:rPr>
          <w:rFonts w:ascii="Arial" w:eastAsia="Calibri" w:hAnsi="Arial" w:cs="Arial"/>
          <w:b/>
          <w:sz w:val="24"/>
          <w:szCs w:val="24"/>
          <w:u w:val="single"/>
          <w:lang w:val="es-CO" w:eastAsia="en-US"/>
        </w:rPr>
        <w:t>SALVAMENTO DE VOTO:</w:t>
      </w:r>
    </w:p>
    <w:p w14:paraId="726B086F" w14:textId="48A6C6C9" w:rsidR="005D2D54" w:rsidRDefault="005D2D54" w:rsidP="00717E10">
      <w:pPr>
        <w:spacing w:line="276" w:lineRule="auto"/>
        <w:jc w:val="both"/>
        <w:rPr>
          <w:rFonts w:ascii="Arial" w:hAnsi="Arial" w:cs="Arial"/>
          <w:sz w:val="24"/>
          <w:szCs w:val="24"/>
          <w:lang w:eastAsia="en-US"/>
        </w:rPr>
      </w:pPr>
    </w:p>
    <w:p w14:paraId="4124E9EE" w14:textId="77777777" w:rsidR="00717E10" w:rsidRPr="00717E10" w:rsidRDefault="00717E10" w:rsidP="00717E10">
      <w:pPr>
        <w:spacing w:line="276" w:lineRule="auto"/>
        <w:jc w:val="both"/>
        <w:rPr>
          <w:rFonts w:ascii="Arial" w:hAnsi="Arial" w:cs="Arial"/>
          <w:sz w:val="24"/>
          <w:szCs w:val="24"/>
          <w:lang w:eastAsia="en-US"/>
        </w:rPr>
      </w:pPr>
    </w:p>
    <w:p w14:paraId="0F2F86C9" w14:textId="77777777" w:rsidR="005D2D54" w:rsidRPr="00717E10" w:rsidRDefault="005D2D54" w:rsidP="00717E10">
      <w:pPr>
        <w:suppressAutoHyphens/>
        <w:spacing w:line="276" w:lineRule="auto"/>
        <w:jc w:val="both"/>
        <w:rPr>
          <w:rFonts w:ascii="Arial" w:eastAsia="Calibri" w:hAnsi="Arial" w:cs="Arial"/>
          <w:spacing w:val="-2"/>
          <w:sz w:val="24"/>
          <w:szCs w:val="24"/>
          <w:lang w:val="es-CO" w:eastAsia="en-US"/>
        </w:rPr>
      </w:pPr>
      <w:r w:rsidRPr="00717E10">
        <w:rPr>
          <w:rFonts w:ascii="Arial" w:eastAsia="Calibri" w:hAnsi="Arial" w:cs="Arial"/>
          <w:spacing w:val="-2"/>
          <w:sz w:val="24"/>
          <w:szCs w:val="24"/>
          <w:lang w:eastAsia="en-US"/>
        </w:rPr>
        <w:t xml:space="preserve">Tal como lo propuse en la ponencia que presenté inicialmente, considero que </w:t>
      </w:r>
      <w:r w:rsidRPr="00717E10">
        <w:rPr>
          <w:rFonts w:ascii="Arial" w:eastAsia="Calibri" w:hAnsi="Arial" w:cs="Arial"/>
          <w:spacing w:val="-2"/>
          <w:sz w:val="24"/>
          <w:szCs w:val="24"/>
          <w:lang w:val="es-CO" w:eastAsia="en-US"/>
        </w:rPr>
        <w:t xml:space="preserve">la sentencia proferida por </w:t>
      </w:r>
      <w:r w:rsidRPr="00717E10">
        <w:rPr>
          <w:rFonts w:ascii="Arial" w:eastAsia="Calibri" w:hAnsi="Arial" w:cs="Arial"/>
          <w:color w:val="000000"/>
          <w:sz w:val="24"/>
          <w:szCs w:val="24"/>
          <w:shd w:val="clear" w:color="auto" w:fill="FFFFFF"/>
          <w:lang w:val="es-CO" w:eastAsia="en-US"/>
        </w:rPr>
        <w:t>el Juzgado Cuarto Laboral del Circuito el día 15 de septiembre de 2023</w:t>
      </w:r>
      <w:r w:rsidRPr="00717E10">
        <w:rPr>
          <w:rFonts w:ascii="Arial" w:eastAsia="Calibri" w:hAnsi="Arial" w:cs="Arial"/>
          <w:spacing w:val="-2"/>
          <w:sz w:val="24"/>
          <w:szCs w:val="24"/>
          <w:lang w:val="es-CO" w:eastAsia="en-US"/>
        </w:rPr>
        <w:t>, debió ser revocada para en su lugar negar el amparo reclamado.</w:t>
      </w:r>
    </w:p>
    <w:p w14:paraId="668A2620" w14:textId="77777777" w:rsidR="004274EF" w:rsidRDefault="004274EF" w:rsidP="00717E10">
      <w:pPr>
        <w:suppressAutoHyphens/>
        <w:spacing w:line="276" w:lineRule="auto"/>
        <w:jc w:val="both"/>
        <w:rPr>
          <w:rFonts w:ascii="Arial" w:eastAsia="Calibri" w:hAnsi="Arial" w:cs="Arial"/>
          <w:spacing w:val="-2"/>
          <w:sz w:val="24"/>
          <w:szCs w:val="24"/>
          <w:lang w:val="es-ES" w:eastAsia="en-US"/>
        </w:rPr>
      </w:pPr>
    </w:p>
    <w:p w14:paraId="2D527542" w14:textId="535E5FB3" w:rsidR="005D2D54" w:rsidRPr="00717E10" w:rsidRDefault="005D2D54" w:rsidP="00717E10">
      <w:pPr>
        <w:suppressAutoHyphens/>
        <w:spacing w:line="276" w:lineRule="auto"/>
        <w:jc w:val="both"/>
        <w:rPr>
          <w:rFonts w:ascii="Arial" w:eastAsia="Calibri" w:hAnsi="Arial" w:cs="Arial"/>
          <w:spacing w:val="-2"/>
          <w:sz w:val="24"/>
          <w:szCs w:val="24"/>
          <w:lang w:val="es-ES" w:eastAsia="en-US"/>
        </w:rPr>
      </w:pPr>
      <w:r w:rsidRPr="00717E10">
        <w:rPr>
          <w:rFonts w:ascii="Arial" w:eastAsia="Calibri" w:hAnsi="Arial" w:cs="Arial"/>
          <w:spacing w:val="-2"/>
          <w:sz w:val="24"/>
          <w:szCs w:val="24"/>
          <w:lang w:val="es-ES" w:eastAsia="en-US"/>
        </w:rPr>
        <w:t>Los argumentos que sustentan mi alejamiento de lo decidido por la mayoría en esta segunda instancia se basan en los siguientes supuestos jurídicos y análisis del caso, partiendo de la necesidad de resolver como problema jurídico, si:</w:t>
      </w:r>
    </w:p>
    <w:p w14:paraId="4F692D35" w14:textId="77777777" w:rsidR="005D2D54" w:rsidRPr="00717E10" w:rsidRDefault="005D2D54" w:rsidP="00717E10">
      <w:pPr>
        <w:spacing w:line="276" w:lineRule="auto"/>
        <w:jc w:val="both"/>
        <w:textAlignment w:val="baseline"/>
        <w:rPr>
          <w:rFonts w:ascii="Arial" w:hAnsi="Arial" w:cs="Arial"/>
          <w:sz w:val="24"/>
          <w:szCs w:val="24"/>
          <w:lang w:val="es-CO" w:eastAsia="es-CO"/>
        </w:rPr>
      </w:pPr>
      <w:r w:rsidRPr="00717E10">
        <w:rPr>
          <w:rFonts w:ascii="Arial" w:hAnsi="Arial" w:cs="Arial"/>
          <w:sz w:val="24"/>
          <w:szCs w:val="24"/>
          <w:lang w:val="es-CO" w:eastAsia="es-CO"/>
        </w:rPr>
        <w:t> </w:t>
      </w:r>
    </w:p>
    <w:p w14:paraId="10F827FE" w14:textId="77777777" w:rsidR="005D2D54" w:rsidRPr="00717E10" w:rsidRDefault="005D2D54" w:rsidP="00717E10">
      <w:pPr>
        <w:spacing w:line="276" w:lineRule="auto"/>
        <w:ind w:left="360" w:right="375"/>
        <w:jc w:val="both"/>
        <w:textAlignment w:val="baseline"/>
        <w:rPr>
          <w:rFonts w:ascii="Arial" w:hAnsi="Arial" w:cs="Arial"/>
          <w:sz w:val="24"/>
          <w:szCs w:val="24"/>
          <w:lang w:val="es-CO" w:eastAsia="es-CO"/>
        </w:rPr>
      </w:pPr>
      <w:r w:rsidRPr="00717E10">
        <w:rPr>
          <w:rFonts w:ascii="Arial" w:eastAsia="Calibri" w:hAnsi="Arial" w:cs="Arial"/>
          <w:b/>
          <w:bCs/>
          <w:iCs/>
          <w:color w:val="000000"/>
          <w:sz w:val="24"/>
          <w:szCs w:val="24"/>
          <w:shd w:val="clear" w:color="auto" w:fill="FFFFFF"/>
          <w:lang w:val="es-ES" w:eastAsia="en-US"/>
        </w:rPr>
        <w:t xml:space="preserve">¿En el proceso de revisión del estado de invalidez del actor, se vulneraron las garantías fundamentales que fueron tuteladas por la </w:t>
      </w:r>
      <w:r w:rsidRPr="00717E10">
        <w:rPr>
          <w:rFonts w:ascii="Arial" w:eastAsia="Calibri" w:hAnsi="Arial" w:cs="Arial"/>
          <w:b/>
          <w:bCs/>
          <w:color w:val="000000"/>
          <w:sz w:val="24"/>
          <w:szCs w:val="24"/>
          <w:shd w:val="clear" w:color="auto" w:fill="FFFFFF"/>
          <w:lang w:val="es-ES" w:eastAsia="en-US"/>
        </w:rPr>
        <w:t>a quo</w:t>
      </w:r>
      <w:r w:rsidRPr="00717E10">
        <w:rPr>
          <w:rFonts w:ascii="Arial" w:eastAsia="Calibri" w:hAnsi="Arial" w:cs="Arial"/>
          <w:b/>
          <w:bCs/>
          <w:iCs/>
          <w:color w:val="000000"/>
          <w:sz w:val="24"/>
          <w:szCs w:val="24"/>
          <w:shd w:val="clear" w:color="auto" w:fill="FFFFFF"/>
          <w:lang w:val="es-ES" w:eastAsia="en-US"/>
        </w:rPr>
        <w:t>?</w:t>
      </w:r>
      <w:r w:rsidRPr="00717E10">
        <w:rPr>
          <w:rFonts w:ascii="Arial" w:eastAsia="Calibri" w:hAnsi="Arial" w:cs="Arial"/>
          <w:color w:val="000000"/>
          <w:sz w:val="24"/>
          <w:szCs w:val="24"/>
          <w:shd w:val="clear" w:color="auto" w:fill="FFFFFF"/>
          <w:lang w:val="es-CO" w:eastAsia="en-US"/>
        </w:rPr>
        <w:t> </w:t>
      </w:r>
      <w:r w:rsidRPr="00717E10">
        <w:rPr>
          <w:rFonts w:ascii="Arial" w:hAnsi="Arial" w:cs="Arial"/>
          <w:sz w:val="24"/>
          <w:szCs w:val="24"/>
          <w:lang w:val="es-CO" w:eastAsia="es-CO"/>
        </w:rPr>
        <w:t> </w:t>
      </w:r>
    </w:p>
    <w:p w14:paraId="27841E09" w14:textId="28FC0586" w:rsidR="005D2D54" w:rsidRPr="00717E10" w:rsidRDefault="005D2D54" w:rsidP="004274EF">
      <w:pPr>
        <w:spacing w:line="276" w:lineRule="auto"/>
        <w:ind w:right="375"/>
        <w:jc w:val="both"/>
        <w:textAlignment w:val="baseline"/>
        <w:rPr>
          <w:rFonts w:ascii="Arial" w:hAnsi="Arial" w:cs="Arial"/>
          <w:sz w:val="24"/>
          <w:szCs w:val="24"/>
          <w:lang w:val="es-CO" w:eastAsia="es-CO"/>
        </w:rPr>
      </w:pPr>
    </w:p>
    <w:p w14:paraId="1280FA9E" w14:textId="77777777" w:rsidR="005D2D54" w:rsidRPr="00717E10" w:rsidRDefault="005D2D54" w:rsidP="00717E10">
      <w:pPr>
        <w:spacing w:line="276" w:lineRule="auto"/>
        <w:jc w:val="both"/>
        <w:textAlignment w:val="baseline"/>
        <w:rPr>
          <w:rFonts w:ascii="Arial" w:hAnsi="Arial" w:cs="Arial"/>
          <w:sz w:val="24"/>
          <w:szCs w:val="24"/>
          <w:lang w:val="es-CO" w:eastAsia="es-CO"/>
        </w:rPr>
      </w:pPr>
      <w:r w:rsidRPr="00717E10">
        <w:rPr>
          <w:rFonts w:ascii="Arial" w:hAnsi="Arial" w:cs="Arial"/>
          <w:sz w:val="24"/>
          <w:szCs w:val="24"/>
          <w:lang w:val="es-ES" w:eastAsia="es-CO"/>
        </w:rPr>
        <w:t>Para resolver el interrogante planteado propuse tener en cuenta las siguientes consideraciones.</w:t>
      </w:r>
      <w:r w:rsidRPr="00717E10">
        <w:rPr>
          <w:rFonts w:ascii="Arial" w:hAnsi="Arial" w:cs="Arial"/>
          <w:sz w:val="24"/>
          <w:szCs w:val="24"/>
          <w:lang w:val="es-CO" w:eastAsia="es-CO"/>
        </w:rPr>
        <w:t> </w:t>
      </w:r>
    </w:p>
    <w:p w14:paraId="791B2D7A" w14:textId="77777777" w:rsidR="005D2D54" w:rsidRPr="00717E10" w:rsidRDefault="005D2D54" w:rsidP="00717E10">
      <w:pPr>
        <w:spacing w:line="276" w:lineRule="auto"/>
        <w:jc w:val="both"/>
        <w:textAlignment w:val="baseline"/>
        <w:rPr>
          <w:rFonts w:ascii="Arial" w:hAnsi="Arial" w:cs="Arial"/>
          <w:sz w:val="24"/>
          <w:szCs w:val="24"/>
          <w:lang w:val="es-CO" w:eastAsia="es-CO"/>
        </w:rPr>
      </w:pPr>
      <w:r w:rsidRPr="00717E10">
        <w:rPr>
          <w:rFonts w:ascii="Arial" w:hAnsi="Arial" w:cs="Arial"/>
          <w:sz w:val="24"/>
          <w:szCs w:val="24"/>
          <w:lang w:val="es-CO" w:eastAsia="es-CO"/>
        </w:rPr>
        <w:t> </w:t>
      </w:r>
    </w:p>
    <w:p w14:paraId="22AC965C" w14:textId="52A26236" w:rsidR="005D2D54" w:rsidRPr="00717E10" w:rsidRDefault="005D2D54" w:rsidP="004274EF">
      <w:pPr>
        <w:spacing w:line="276" w:lineRule="auto"/>
        <w:ind w:left="426" w:right="420"/>
        <w:jc w:val="both"/>
        <w:textAlignment w:val="baseline"/>
        <w:rPr>
          <w:rFonts w:ascii="Arial" w:hAnsi="Arial" w:cs="Arial"/>
          <w:sz w:val="24"/>
          <w:szCs w:val="24"/>
          <w:lang w:val="es-CO" w:eastAsia="es-CO"/>
        </w:rPr>
      </w:pPr>
      <w:r w:rsidRPr="00717E10">
        <w:rPr>
          <w:rFonts w:ascii="Arial" w:hAnsi="Arial" w:cs="Arial"/>
          <w:b/>
          <w:bCs/>
          <w:sz w:val="24"/>
          <w:szCs w:val="24"/>
          <w:lang w:val="es-CO" w:eastAsia="es-CO"/>
        </w:rPr>
        <w:t xml:space="preserve">DE LA </w:t>
      </w:r>
      <w:r w:rsidR="004274EF" w:rsidRPr="00717E10">
        <w:rPr>
          <w:rFonts w:ascii="Arial" w:hAnsi="Arial" w:cs="Arial"/>
          <w:b/>
          <w:bCs/>
          <w:sz w:val="24"/>
          <w:szCs w:val="24"/>
          <w:lang w:val="es-CO" w:eastAsia="es-CO"/>
        </w:rPr>
        <w:t>REVISIÓN</w:t>
      </w:r>
      <w:r w:rsidRPr="00717E10">
        <w:rPr>
          <w:rFonts w:ascii="Arial" w:hAnsi="Arial" w:cs="Arial"/>
          <w:b/>
          <w:bCs/>
          <w:sz w:val="24"/>
          <w:szCs w:val="24"/>
          <w:lang w:val="es-CO" w:eastAsia="es-CO"/>
        </w:rPr>
        <w:t xml:space="preserve"> DE LA CONDICIÓN DE INVÁLIDO</w:t>
      </w:r>
      <w:r w:rsidRPr="00717E10">
        <w:rPr>
          <w:rFonts w:ascii="Arial" w:hAnsi="Arial" w:cs="Arial"/>
          <w:sz w:val="24"/>
          <w:szCs w:val="24"/>
          <w:lang w:val="es-CO" w:eastAsia="es-CO"/>
        </w:rPr>
        <w:t> </w:t>
      </w:r>
    </w:p>
    <w:p w14:paraId="521116C5" w14:textId="77777777" w:rsidR="005D2D54" w:rsidRPr="00717E10" w:rsidRDefault="005D2D54" w:rsidP="004274EF">
      <w:pPr>
        <w:spacing w:line="276" w:lineRule="auto"/>
        <w:ind w:left="426" w:right="420"/>
        <w:jc w:val="both"/>
        <w:textAlignment w:val="baseline"/>
        <w:rPr>
          <w:rFonts w:ascii="Arial" w:hAnsi="Arial" w:cs="Arial"/>
          <w:sz w:val="24"/>
          <w:szCs w:val="24"/>
          <w:lang w:val="es-CO" w:eastAsia="es-CO"/>
        </w:rPr>
      </w:pPr>
      <w:r w:rsidRPr="00717E10">
        <w:rPr>
          <w:rFonts w:ascii="Arial" w:hAnsi="Arial" w:cs="Arial"/>
          <w:sz w:val="24"/>
          <w:szCs w:val="24"/>
          <w:lang w:val="es-CO" w:eastAsia="es-CO"/>
        </w:rPr>
        <w:t> </w:t>
      </w:r>
    </w:p>
    <w:p w14:paraId="74A36B1D" w14:textId="77777777" w:rsidR="005D2D54" w:rsidRPr="00717E10" w:rsidRDefault="005D2D54" w:rsidP="004274EF">
      <w:pPr>
        <w:spacing w:line="276" w:lineRule="auto"/>
        <w:ind w:left="426" w:right="420"/>
        <w:jc w:val="both"/>
        <w:textAlignment w:val="baseline"/>
        <w:rPr>
          <w:rFonts w:ascii="Arial" w:hAnsi="Arial" w:cs="Arial"/>
          <w:sz w:val="24"/>
          <w:szCs w:val="24"/>
          <w:lang w:val="es-CO" w:eastAsia="es-CO"/>
        </w:rPr>
      </w:pPr>
      <w:r w:rsidRPr="00717E10">
        <w:rPr>
          <w:rFonts w:ascii="Arial" w:hAnsi="Arial" w:cs="Arial"/>
          <w:sz w:val="24"/>
          <w:szCs w:val="24"/>
          <w:lang w:val="es-CO" w:eastAsia="es-CO"/>
        </w:rPr>
        <w:t>“Prevé el artículo 44 de la Ley 100 de 1993 la revisión del estado de invalidez, a solicitud de la entidad de previsión o seguridad social correspondiente, cada tres (3) años, contando el pensionado con un término de tres (3) meses para someterse a la revisión y, en el evento de no presentarse o impida que se lleve a cabo el trámite se suspenderá el pago de la pensión. </w:t>
      </w:r>
    </w:p>
    <w:p w14:paraId="3C5138C9" w14:textId="77777777" w:rsidR="005D2D54" w:rsidRPr="00717E10" w:rsidRDefault="005D2D54" w:rsidP="004274EF">
      <w:pPr>
        <w:spacing w:line="276" w:lineRule="auto"/>
        <w:ind w:left="426" w:right="420"/>
        <w:jc w:val="both"/>
        <w:textAlignment w:val="baseline"/>
        <w:rPr>
          <w:rFonts w:ascii="Arial" w:hAnsi="Arial" w:cs="Arial"/>
          <w:sz w:val="24"/>
          <w:szCs w:val="24"/>
          <w:lang w:val="es-CO" w:eastAsia="es-CO"/>
        </w:rPr>
      </w:pPr>
      <w:r w:rsidRPr="00717E10">
        <w:rPr>
          <w:rFonts w:ascii="Arial" w:hAnsi="Arial" w:cs="Arial"/>
          <w:sz w:val="24"/>
          <w:szCs w:val="24"/>
          <w:lang w:val="es-CO" w:eastAsia="es-CO"/>
        </w:rPr>
        <w:t> </w:t>
      </w:r>
    </w:p>
    <w:p w14:paraId="12FC5D99" w14:textId="77777777" w:rsidR="005D2D54" w:rsidRPr="00717E10" w:rsidRDefault="005D2D54" w:rsidP="004274EF">
      <w:pPr>
        <w:spacing w:line="276" w:lineRule="auto"/>
        <w:ind w:left="426" w:right="420"/>
        <w:jc w:val="both"/>
        <w:textAlignment w:val="baseline"/>
        <w:rPr>
          <w:rFonts w:ascii="Arial" w:hAnsi="Arial" w:cs="Arial"/>
          <w:sz w:val="24"/>
          <w:szCs w:val="24"/>
          <w:lang w:val="es-CO" w:eastAsia="es-CO"/>
        </w:rPr>
      </w:pPr>
      <w:r w:rsidRPr="00717E10">
        <w:rPr>
          <w:rFonts w:ascii="Arial" w:hAnsi="Arial" w:cs="Arial"/>
          <w:sz w:val="24"/>
          <w:szCs w:val="24"/>
          <w:lang w:val="es-CO" w:eastAsia="es-CO"/>
        </w:rPr>
        <w:t>Dispone el artículo en mención en lo pertinente: </w:t>
      </w:r>
    </w:p>
    <w:p w14:paraId="769F839B" w14:textId="77777777" w:rsidR="005D2D54" w:rsidRPr="00717E10" w:rsidRDefault="005D2D54" w:rsidP="004274EF">
      <w:pPr>
        <w:spacing w:line="276" w:lineRule="auto"/>
        <w:ind w:left="426" w:right="420"/>
        <w:jc w:val="both"/>
        <w:textAlignment w:val="baseline"/>
        <w:rPr>
          <w:rFonts w:ascii="Arial" w:hAnsi="Arial" w:cs="Arial"/>
          <w:sz w:val="24"/>
          <w:szCs w:val="24"/>
          <w:lang w:val="es-CO" w:eastAsia="es-CO"/>
        </w:rPr>
      </w:pPr>
      <w:r w:rsidRPr="00717E10">
        <w:rPr>
          <w:rFonts w:ascii="Arial" w:hAnsi="Arial" w:cs="Arial"/>
          <w:sz w:val="24"/>
          <w:szCs w:val="24"/>
          <w:lang w:val="es-CO" w:eastAsia="es-CO"/>
        </w:rPr>
        <w:t> </w:t>
      </w:r>
    </w:p>
    <w:p w14:paraId="6088C705" w14:textId="77777777" w:rsidR="005D2D54" w:rsidRPr="00717E10" w:rsidRDefault="005D2D54" w:rsidP="004274EF">
      <w:pPr>
        <w:spacing w:line="276" w:lineRule="auto"/>
        <w:ind w:left="851" w:right="845"/>
        <w:jc w:val="both"/>
        <w:textAlignment w:val="baseline"/>
        <w:rPr>
          <w:rFonts w:ascii="Arial" w:hAnsi="Arial" w:cs="Arial"/>
          <w:sz w:val="24"/>
          <w:szCs w:val="24"/>
          <w:lang w:val="es-CO" w:eastAsia="es-CO"/>
        </w:rPr>
      </w:pPr>
      <w:r w:rsidRPr="00717E10">
        <w:rPr>
          <w:rFonts w:ascii="Arial" w:hAnsi="Arial" w:cs="Arial"/>
          <w:iCs/>
          <w:sz w:val="24"/>
          <w:szCs w:val="24"/>
          <w:lang w:val="es-ES" w:eastAsia="es-CO"/>
        </w:rPr>
        <w:t xml:space="preserve">“El pensionado tendrá un plazo de tres (3) meses contados a partir de la fecha de dicha solicitud, para someterse a la respectiva revisión del estado de invalidez. Salvo casos de fuerza mayor, si el pensionado no se presenta o impide dicha revisión dentro de dicho plazo, se suspenderá el pago de la pensión. </w:t>
      </w:r>
      <w:r w:rsidRPr="00717E10">
        <w:rPr>
          <w:rFonts w:ascii="Arial" w:hAnsi="Arial" w:cs="Arial"/>
          <w:b/>
          <w:bCs/>
          <w:iCs/>
          <w:sz w:val="24"/>
          <w:szCs w:val="24"/>
          <w:lang w:val="es-ES" w:eastAsia="es-CO"/>
        </w:rPr>
        <w:t>Transcurridos doce (12) meses contados desde la misma fecha sin que el pensionado se presente o permita el examen, la respectiva pensión prescribirá.</w:t>
      </w:r>
      <w:r w:rsidRPr="00717E10">
        <w:rPr>
          <w:rFonts w:ascii="Arial" w:hAnsi="Arial" w:cs="Arial"/>
          <w:sz w:val="24"/>
          <w:szCs w:val="24"/>
          <w:lang w:val="es-CO" w:eastAsia="es-CO"/>
        </w:rPr>
        <w:t> </w:t>
      </w:r>
    </w:p>
    <w:p w14:paraId="7A47F270" w14:textId="77777777" w:rsidR="005D2D54" w:rsidRPr="00717E10" w:rsidRDefault="005D2D54" w:rsidP="004274EF">
      <w:pPr>
        <w:spacing w:line="276" w:lineRule="auto"/>
        <w:ind w:left="851" w:right="845"/>
        <w:jc w:val="both"/>
        <w:textAlignment w:val="baseline"/>
        <w:rPr>
          <w:rFonts w:ascii="Arial" w:hAnsi="Arial" w:cs="Arial"/>
          <w:sz w:val="24"/>
          <w:szCs w:val="24"/>
          <w:lang w:val="es-CO" w:eastAsia="es-CO"/>
        </w:rPr>
      </w:pPr>
      <w:r w:rsidRPr="00717E10">
        <w:rPr>
          <w:rFonts w:ascii="Arial" w:hAnsi="Arial" w:cs="Arial"/>
          <w:sz w:val="24"/>
          <w:szCs w:val="24"/>
          <w:lang w:val="es-CO" w:eastAsia="es-CO"/>
        </w:rPr>
        <w:t> </w:t>
      </w:r>
    </w:p>
    <w:p w14:paraId="352CBAE8" w14:textId="77777777" w:rsidR="005D2D54" w:rsidRPr="00717E10" w:rsidRDefault="005D2D54" w:rsidP="004274EF">
      <w:pPr>
        <w:spacing w:line="276" w:lineRule="auto"/>
        <w:ind w:left="851" w:right="845"/>
        <w:jc w:val="both"/>
        <w:textAlignment w:val="baseline"/>
        <w:rPr>
          <w:rFonts w:ascii="Arial" w:hAnsi="Arial" w:cs="Arial"/>
          <w:sz w:val="24"/>
          <w:szCs w:val="24"/>
          <w:lang w:val="es-CO" w:eastAsia="es-CO"/>
        </w:rPr>
      </w:pPr>
      <w:r w:rsidRPr="00717E10">
        <w:rPr>
          <w:rFonts w:ascii="Arial" w:hAnsi="Arial" w:cs="Arial"/>
          <w:iCs/>
          <w:sz w:val="24"/>
          <w:szCs w:val="24"/>
          <w:lang w:val="es-ES" w:eastAsia="es-CO"/>
        </w:rPr>
        <w:lastRenderedPageBreak/>
        <w:t xml:space="preserve">Para readquirir el derecho en forma posterior, el afiliado que alegue permanecer inválido deberá someterse a un nuevo dictamen. </w:t>
      </w:r>
      <w:r w:rsidRPr="00717E10">
        <w:rPr>
          <w:rFonts w:ascii="Arial" w:hAnsi="Arial" w:cs="Arial"/>
          <w:iCs/>
          <w:sz w:val="24"/>
          <w:szCs w:val="24"/>
          <w:u w:val="single"/>
          <w:lang w:val="es-ES" w:eastAsia="es-CO"/>
        </w:rPr>
        <w:t>Los gastos de este nuevo dictamen serán pagados por el afiliado.</w:t>
      </w:r>
      <w:r w:rsidRPr="00717E10">
        <w:rPr>
          <w:rFonts w:ascii="Arial" w:hAnsi="Arial" w:cs="Arial"/>
          <w:sz w:val="24"/>
          <w:szCs w:val="24"/>
          <w:lang w:val="es-CO" w:eastAsia="es-CO"/>
        </w:rPr>
        <w:t> </w:t>
      </w:r>
    </w:p>
    <w:p w14:paraId="100B38D1" w14:textId="77777777" w:rsidR="005D2D54" w:rsidRPr="00717E10" w:rsidRDefault="005D2D54" w:rsidP="004274EF">
      <w:pPr>
        <w:spacing w:line="276" w:lineRule="auto"/>
        <w:ind w:left="426" w:right="420"/>
        <w:jc w:val="both"/>
        <w:textAlignment w:val="baseline"/>
        <w:rPr>
          <w:rFonts w:ascii="Arial" w:hAnsi="Arial" w:cs="Arial"/>
          <w:sz w:val="24"/>
          <w:szCs w:val="24"/>
          <w:lang w:val="es-CO" w:eastAsia="es-CO"/>
        </w:rPr>
      </w:pPr>
      <w:r w:rsidRPr="00717E10">
        <w:rPr>
          <w:rFonts w:ascii="Arial" w:hAnsi="Arial" w:cs="Arial"/>
          <w:sz w:val="24"/>
          <w:szCs w:val="24"/>
          <w:lang w:val="es-CO" w:eastAsia="es-CO"/>
        </w:rPr>
        <w:t> </w:t>
      </w:r>
    </w:p>
    <w:p w14:paraId="198F57EF" w14:textId="77777777" w:rsidR="005D2D54" w:rsidRPr="00717E10" w:rsidRDefault="005D2D54" w:rsidP="004274EF">
      <w:pPr>
        <w:spacing w:line="276" w:lineRule="auto"/>
        <w:ind w:left="426" w:right="420"/>
        <w:jc w:val="both"/>
        <w:textAlignment w:val="baseline"/>
        <w:rPr>
          <w:rFonts w:ascii="Arial" w:hAnsi="Arial" w:cs="Arial"/>
          <w:sz w:val="24"/>
          <w:szCs w:val="24"/>
          <w:lang w:val="es-CO" w:eastAsia="es-CO"/>
        </w:rPr>
      </w:pPr>
      <w:r w:rsidRPr="00717E10">
        <w:rPr>
          <w:rFonts w:ascii="Arial" w:hAnsi="Arial" w:cs="Arial"/>
          <w:b/>
          <w:bCs/>
          <w:sz w:val="24"/>
          <w:szCs w:val="24"/>
          <w:lang w:val="es-CO" w:eastAsia="es-CO"/>
        </w:rPr>
        <w:t>DEBIDO PROCESO.</w:t>
      </w:r>
      <w:r w:rsidRPr="00717E10">
        <w:rPr>
          <w:rFonts w:ascii="Arial" w:hAnsi="Arial" w:cs="Arial"/>
          <w:sz w:val="24"/>
          <w:szCs w:val="24"/>
          <w:lang w:val="es-CO" w:eastAsia="es-CO"/>
        </w:rPr>
        <w:t> </w:t>
      </w:r>
    </w:p>
    <w:p w14:paraId="2B2D3388" w14:textId="77777777" w:rsidR="005D2D54" w:rsidRPr="00717E10" w:rsidRDefault="005D2D54" w:rsidP="004274EF">
      <w:pPr>
        <w:spacing w:line="276" w:lineRule="auto"/>
        <w:ind w:left="426" w:right="420"/>
        <w:jc w:val="both"/>
        <w:textAlignment w:val="baseline"/>
        <w:rPr>
          <w:rFonts w:ascii="Arial" w:hAnsi="Arial" w:cs="Arial"/>
          <w:sz w:val="24"/>
          <w:szCs w:val="24"/>
          <w:lang w:val="es-CO" w:eastAsia="es-CO"/>
        </w:rPr>
      </w:pPr>
    </w:p>
    <w:p w14:paraId="001EBBBB" w14:textId="77777777" w:rsidR="005D2D54" w:rsidRPr="00717E10" w:rsidRDefault="005D2D54" w:rsidP="004274EF">
      <w:pPr>
        <w:spacing w:line="276" w:lineRule="auto"/>
        <w:ind w:left="426" w:right="420"/>
        <w:jc w:val="both"/>
        <w:textAlignment w:val="baseline"/>
        <w:rPr>
          <w:rFonts w:ascii="Arial" w:hAnsi="Arial" w:cs="Arial"/>
          <w:sz w:val="24"/>
          <w:szCs w:val="24"/>
          <w:lang w:val="es-CO" w:eastAsia="es-CO"/>
        </w:rPr>
      </w:pPr>
      <w:r w:rsidRPr="00717E10">
        <w:rPr>
          <w:rFonts w:ascii="Arial" w:hAnsi="Arial" w:cs="Arial"/>
          <w:sz w:val="24"/>
          <w:szCs w:val="24"/>
          <w:lang w:val="es-CO" w:eastAsia="es-CO"/>
        </w:rPr>
        <w:t xml:space="preserve">El artículo 29 superior, señala que </w:t>
      </w:r>
      <w:r w:rsidRPr="00717E10">
        <w:rPr>
          <w:rFonts w:ascii="Arial" w:hAnsi="Arial" w:cs="Arial"/>
          <w:iCs/>
          <w:sz w:val="24"/>
          <w:szCs w:val="24"/>
          <w:lang w:val="es-CO" w:eastAsia="es-CO"/>
        </w:rPr>
        <w:t xml:space="preserve">"el debido proceso se aplicará a toda clase de actuaciones judiciales y administrativas", </w:t>
      </w:r>
      <w:r w:rsidRPr="00717E10">
        <w:rPr>
          <w:rFonts w:ascii="Arial" w:hAnsi="Arial" w:cs="Arial"/>
          <w:sz w:val="24"/>
          <w:szCs w:val="24"/>
          <w:lang w:val="es-CO" w:eastAsia="es-CO"/>
        </w:rPr>
        <w:t>lo cual indica que tanto las autoridades judiciales como las administrativas, deben actuar respetando y garantizando el ejercicio del derecho de defensa, dentro de los procedimientos diseñados por el legislador. </w:t>
      </w:r>
    </w:p>
    <w:p w14:paraId="3614A7D0" w14:textId="77777777" w:rsidR="005D2D54" w:rsidRPr="00717E10" w:rsidRDefault="005D2D54" w:rsidP="004274EF">
      <w:pPr>
        <w:spacing w:line="276" w:lineRule="auto"/>
        <w:ind w:left="426" w:right="420"/>
        <w:jc w:val="both"/>
        <w:textAlignment w:val="baseline"/>
        <w:rPr>
          <w:rFonts w:ascii="Arial" w:hAnsi="Arial" w:cs="Arial"/>
          <w:sz w:val="24"/>
          <w:szCs w:val="24"/>
          <w:lang w:val="es-CO" w:eastAsia="es-CO"/>
        </w:rPr>
      </w:pPr>
      <w:r w:rsidRPr="00717E10">
        <w:rPr>
          <w:rFonts w:ascii="Arial" w:hAnsi="Arial" w:cs="Arial"/>
          <w:sz w:val="24"/>
          <w:szCs w:val="24"/>
          <w:lang w:val="es-CO" w:eastAsia="es-CO"/>
        </w:rPr>
        <w:t> </w:t>
      </w:r>
    </w:p>
    <w:p w14:paraId="517696DA" w14:textId="77777777" w:rsidR="005D2D54" w:rsidRPr="00717E10" w:rsidRDefault="005D2D54" w:rsidP="004274EF">
      <w:pPr>
        <w:spacing w:line="276" w:lineRule="auto"/>
        <w:ind w:left="426" w:right="420"/>
        <w:jc w:val="both"/>
        <w:textAlignment w:val="baseline"/>
        <w:rPr>
          <w:rFonts w:ascii="Arial" w:hAnsi="Arial" w:cs="Arial"/>
          <w:sz w:val="24"/>
          <w:szCs w:val="24"/>
          <w:lang w:val="es-CO" w:eastAsia="es-CO"/>
        </w:rPr>
      </w:pPr>
      <w:r w:rsidRPr="00717E10">
        <w:rPr>
          <w:rFonts w:ascii="Arial" w:hAnsi="Arial" w:cs="Arial"/>
          <w:sz w:val="24"/>
          <w:szCs w:val="24"/>
          <w:lang w:val="es-ES" w:eastAsia="es-CO"/>
        </w:rPr>
        <w:t>En cuanto se refiere al debido proceso administrativo, la jurisprudencia constitucional ha precisado que es un derecho que tiene rango fundamental, ya que a través de él se busca que toda actuación administrativa se someta a las normas y a la jurisprudencia que regula la aplicación de los principios constitucionales</w:t>
      </w:r>
      <w:r w:rsidRPr="00717E10">
        <w:rPr>
          <w:rFonts w:ascii="Arial" w:hAnsi="Arial" w:cs="Arial"/>
          <w:iCs/>
          <w:sz w:val="24"/>
          <w:szCs w:val="24"/>
          <w:lang w:val="es-ES" w:eastAsia="es-CO"/>
        </w:rPr>
        <w:t>.</w:t>
      </w:r>
      <w:r w:rsidRPr="00717E10">
        <w:rPr>
          <w:rFonts w:ascii="Arial" w:hAnsi="Arial" w:cs="Arial"/>
          <w:sz w:val="24"/>
          <w:szCs w:val="24"/>
          <w:lang w:val="es-ES" w:eastAsia="es-CO"/>
        </w:rPr>
        <w:t xml:space="preserve"> Así, en la Sentencia T-023 de 2018, esta Corporación sostuvo:</w:t>
      </w:r>
      <w:r w:rsidRPr="00717E10">
        <w:rPr>
          <w:rFonts w:ascii="Arial" w:hAnsi="Arial" w:cs="Arial"/>
          <w:sz w:val="24"/>
          <w:szCs w:val="24"/>
          <w:lang w:val="es-CO" w:eastAsia="es-CO"/>
        </w:rPr>
        <w:t> </w:t>
      </w:r>
    </w:p>
    <w:p w14:paraId="4D860B93" w14:textId="77777777" w:rsidR="005D2D54" w:rsidRPr="00717E10" w:rsidRDefault="005D2D54" w:rsidP="004274EF">
      <w:pPr>
        <w:spacing w:line="276" w:lineRule="auto"/>
        <w:ind w:left="426" w:right="420"/>
        <w:jc w:val="both"/>
        <w:textAlignment w:val="baseline"/>
        <w:rPr>
          <w:rFonts w:ascii="Arial" w:hAnsi="Arial" w:cs="Arial"/>
          <w:sz w:val="24"/>
          <w:szCs w:val="24"/>
          <w:lang w:val="es-CO" w:eastAsia="es-CO"/>
        </w:rPr>
      </w:pPr>
      <w:r w:rsidRPr="00717E10">
        <w:rPr>
          <w:rFonts w:ascii="Arial" w:hAnsi="Arial" w:cs="Arial"/>
          <w:sz w:val="24"/>
          <w:szCs w:val="24"/>
          <w:lang w:val="es-CO" w:eastAsia="es-CO"/>
        </w:rPr>
        <w:t> </w:t>
      </w:r>
    </w:p>
    <w:p w14:paraId="2A76F333" w14:textId="77777777" w:rsidR="005D2D54" w:rsidRPr="00717E10" w:rsidRDefault="005D2D54" w:rsidP="004274EF">
      <w:pPr>
        <w:spacing w:line="276" w:lineRule="auto"/>
        <w:ind w:left="426" w:right="420"/>
        <w:jc w:val="both"/>
        <w:textAlignment w:val="baseline"/>
        <w:rPr>
          <w:rFonts w:ascii="Arial" w:hAnsi="Arial" w:cs="Arial"/>
          <w:sz w:val="24"/>
          <w:szCs w:val="24"/>
          <w:lang w:val="es-CO" w:eastAsia="es-CO"/>
        </w:rPr>
      </w:pPr>
      <w:r w:rsidRPr="00717E10">
        <w:rPr>
          <w:rFonts w:ascii="Arial" w:hAnsi="Arial" w:cs="Arial"/>
          <w:sz w:val="24"/>
          <w:szCs w:val="24"/>
          <w:shd w:val="clear" w:color="auto" w:fill="FFFFFF"/>
          <w:lang w:val="es-CO" w:eastAsia="es-CO"/>
        </w:rPr>
        <w:t>“</w:t>
      </w:r>
      <w:r w:rsidRPr="00717E10">
        <w:rPr>
          <w:rFonts w:ascii="Arial" w:hAnsi="Arial" w:cs="Arial"/>
          <w:iCs/>
          <w:sz w:val="24"/>
          <w:szCs w:val="24"/>
          <w:shd w:val="clear" w:color="auto" w:fill="FFFFFF"/>
          <w:lang w:val="es-CO" w:eastAsia="es-CO"/>
        </w:rPr>
        <w:t>En efecto, esta Corporación ha sostenido que el derecho al debido proceso administrativo se entiende vulnerado cuando las autoridades públicas, en ejercicio de la función administrativa, no siguen estrictamente los actos y procedimientos establecidos en la ley para la adopción de sus decisiones y, por esa vía, desconocen las garantías reconocidas a los administrados</w:t>
      </w:r>
      <w:r w:rsidRPr="00717E10">
        <w:rPr>
          <w:rFonts w:ascii="Arial" w:hAnsi="Arial" w:cs="Arial"/>
          <w:sz w:val="24"/>
          <w:szCs w:val="24"/>
          <w:shd w:val="clear" w:color="auto" w:fill="FFFFFF"/>
          <w:lang w:val="es-CO" w:eastAsia="es-CO"/>
        </w:rPr>
        <w:t>”.</w:t>
      </w:r>
      <w:r w:rsidRPr="00717E10">
        <w:rPr>
          <w:rFonts w:ascii="Arial" w:hAnsi="Arial" w:cs="Arial"/>
          <w:sz w:val="24"/>
          <w:szCs w:val="24"/>
          <w:lang w:val="es-CO" w:eastAsia="es-CO"/>
        </w:rPr>
        <w:t> </w:t>
      </w:r>
    </w:p>
    <w:p w14:paraId="305CBB7A" w14:textId="77777777" w:rsidR="005D2D54" w:rsidRPr="00717E10" w:rsidRDefault="005D2D54" w:rsidP="00717E10">
      <w:pPr>
        <w:spacing w:line="276" w:lineRule="auto"/>
        <w:jc w:val="both"/>
        <w:textAlignment w:val="baseline"/>
        <w:rPr>
          <w:rFonts w:ascii="Arial" w:hAnsi="Arial" w:cs="Arial"/>
          <w:sz w:val="24"/>
          <w:szCs w:val="24"/>
          <w:lang w:val="es-CO" w:eastAsia="es-CO"/>
        </w:rPr>
      </w:pPr>
    </w:p>
    <w:p w14:paraId="709109E3" w14:textId="77777777" w:rsidR="005D2D54" w:rsidRPr="00717E10" w:rsidRDefault="005D2D54" w:rsidP="00717E10">
      <w:pPr>
        <w:spacing w:line="276" w:lineRule="auto"/>
        <w:ind w:right="45"/>
        <w:jc w:val="both"/>
        <w:textAlignment w:val="baseline"/>
        <w:rPr>
          <w:rFonts w:ascii="Arial" w:hAnsi="Arial" w:cs="Arial"/>
          <w:sz w:val="24"/>
          <w:szCs w:val="24"/>
          <w:lang w:val="es-CO" w:eastAsia="es-CO"/>
        </w:rPr>
      </w:pPr>
      <w:r w:rsidRPr="00717E10">
        <w:rPr>
          <w:rFonts w:ascii="Arial" w:hAnsi="Arial" w:cs="Arial"/>
          <w:sz w:val="24"/>
          <w:szCs w:val="24"/>
          <w:lang w:val="es-CO" w:eastAsia="es-CO"/>
        </w:rPr>
        <w:t>Con base en lo anterior, el caso concreto propuse resolverlo de la siguiente manera:</w:t>
      </w:r>
    </w:p>
    <w:p w14:paraId="0735501D" w14:textId="77777777" w:rsidR="005D2D54" w:rsidRPr="00717E10" w:rsidRDefault="005D2D54" w:rsidP="00717E10">
      <w:pPr>
        <w:spacing w:line="276" w:lineRule="auto"/>
        <w:ind w:right="45"/>
        <w:jc w:val="both"/>
        <w:textAlignment w:val="baseline"/>
        <w:rPr>
          <w:rFonts w:ascii="Arial" w:hAnsi="Arial" w:cs="Arial"/>
          <w:sz w:val="24"/>
          <w:szCs w:val="24"/>
          <w:lang w:val="es-CO" w:eastAsia="es-CO"/>
        </w:rPr>
      </w:pPr>
      <w:r w:rsidRPr="00717E10">
        <w:rPr>
          <w:rFonts w:ascii="Arial" w:hAnsi="Arial" w:cs="Arial"/>
          <w:sz w:val="24"/>
          <w:szCs w:val="24"/>
          <w:lang w:val="es-CO" w:eastAsia="es-CO"/>
        </w:rPr>
        <w:t> </w:t>
      </w:r>
    </w:p>
    <w:p w14:paraId="2F4E159B" w14:textId="77777777" w:rsidR="005D2D54" w:rsidRPr="00717E10" w:rsidRDefault="005D2D54" w:rsidP="004274EF">
      <w:pPr>
        <w:spacing w:line="276" w:lineRule="auto"/>
        <w:ind w:left="426" w:right="420"/>
        <w:jc w:val="both"/>
        <w:textAlignment w:val="baseline"/>
        <w:rPr>
          <w:rFonts w:ascii="Arial" w:hAnsi="Arial" w:cs="Arial"/>
          <w:sz w:val="24"/>
          <w:szCs w:val="24"/>
          <w:lang w:val="es-CO" w:eastAsia="es-CO"/>
        </w:rPr>
      </w:pPr>
      <w:r w:rsidRPr="00717E10">
        <w:rPr>
          <w:rFonts w:ascii="Arial" w:hAnsi="Arial" w:cs="Arial"/>
          <w:b/>
          <w:bCs/>
          <w:sz w:val="24"/>
          <w:szCs w:val="24"/>
          <w:lang w:val="es-ES" w:eastAsia="es-CO"/>
        </w:rPr>
        <w:t>CASO CONCRETO</w:t>
      </w:r>
      <w:r w:rsidRPr="00717E10">
        <w:rPr>
          <w:rFonts w:ascii="Arial" w:hAnsi="Arial" w:cs="Arial"/>
          <w:sz w:val="24"/>
          <w:szCs w:val="24"/>
          <w:lang w:val="es-CO" w:eastAsia="es-CO"/>
        </w:rPr>
        <w:t> </w:t>
      </w:r>
    </w:p>
    <w:p w14:paraId="619F9F44" w14:textId="77777777" w:rsidR="005D2D54" w:rsidRPr="00717E10" w:rsidRDefault="005D2D54" w:rsidP="004274EF">
      <w:pPr>
        <w:spacing w:line="276" w:lineRule="auto"/>
        <w:ind w:left="426" w:right="420"/>
        <w:jc w:val="both"/>
        <w:textAlignment w:val="baseline"/>
        <w:rPr>
          <w:rFonts w:ascii="Arial" w:hAnsi="Arial" w:cs="Arial"/>
          <w:sz w:val="24"/>
          <w:szCs w:val="24"/>
          <w:lang w:val="es-CO" w:eastAsia="es-CO"/>
        </w:rPr>
      </w:pPr>
      <w:r w:rsidRPr="00717E10">
        <w:rPr>
          <w:rFonts w:ascii="Arial" w:hAnsi="Arial" w:cs="Arial"/>
          <w:sz w:val="24"/>
          <w:szCs w:val="24"/>
          <w:lang w:val="es-CO" w:eastAsia="es-CO"/>
        </w:rPr>
        <w:t> </w:t>
      </w:r>
    </w:p>
    <w:p w14:paraId="43ADEA3D" w14:textId="77777777" w:rsidR="005D2D54" w:rsidRPr="00717E10" w:rsidRDefault="005D2D54" w:rsidP="004274EF">
      <w:pPr>
        <w:spacing w:line="276" w:lineRule="auto"/>
        <w:ind w:left="426" w:right="420"/>
        <w:jc w:val="both"/>
        <w:textAlignment w:val="baseline"/>
        <w:rPr>
          <w:rFonts w:ascii="Arial" w:hAnsi="Arial" w:cs="Arial"/>
          <w:sz w:val="24"/>
          <w:szCs w:val="24"/>
          <w:lang w:val="es-CO" w:eastAsia="es-CO"/>
        </w:rPr>
      </w:pPr>
      <w:r w:rsidRPr="00717E10">
        <w:rPr>
          <w:rFonts w:ascii="Arial" w:hAnsi="Arial" w:cs="Arial"/>
          <w:sz w:val="24"/>
          <w:szCs w:val="24"/>
          <w:lang w:val="es-CO" w:eastAsia="es-CO"/>
        </w:rPr>
        <w:t>“Lo primero que debe indicarse en este asunto es que la juez de la causa, al momento de tomar decisión de fondo no contaba con las pruebas que aportó Colpensiones al momento de impugnar la acción, las cuales hacen referencia al proceso de revisión de la invalidez del señor Miguel Ángel Zapata Loaiza adelantado por esa entidad. </w:t>
      </w:r>
    </w:p>
    <w:p w14:paraId="02000DA4" w14:textId="77777777" w:rsidR="005D2D54" w:rsidRPr="00717E10" w:rsidRDefault="005D2D54" w:rsidP="004274EF">
      <w:pPr>
        <w:spacing w:line="276" w:lineRule="auto"/>
        <w:ind w:left="426" w:right="420"/>
        <w:jc w:val="both"/>
        <w:textAlignment w:val="baseline"/>
        <w:rPr>
          <w:rFonts w:ascii="Arial" w:hAnsi="Arial" w:cs="Arial"/>
          <w:sz w:val="24"/>
          <w:szCs w:val="24"/>
          <w:lang w:val="es-CO" w:eastAsia="es-CO"/>
        </w:rPr>
      </w:pPr>
      <w:r w:rsidRPr="00717E10">
        <w:rPr>
          <w:rFonts w:ascii="Arial" w:hAnsi="Arial" w:cs="Arial"/>
          <w:sz w:val="24"/>
          <w:szCs w:val="24"/>
          <w:lang w:val="es-CO" w:eastAsia="es-CO"/>
        </w:rPr>
        <w:t> </w:t>
      </w:r>
    </w:p>
    <w:p w14:paraId="5717FA22" w14:textId="77777777" w:rsidR="005D2D54" w:rsidRPr="00717E10" w:rsidRDefault="005D2D54" w:rsidP="004274EF">
      <w:pPr>
        <w:spacing w:line="276" w:lineRule="auto"/>
        <w:ind w:left="426" w:right="420"/>
        <w:jc w:val="both"/>
        <w:textAlignment w:val="baseline"/>
        <w:rPr>
          <w:rFonts w:ascii="Arial" w:hAnsi="Arial" w:cs="Arial"/>
          <w:sz w:val="24"/>
          <w:szCs w:val="24"/>
          <w:lang w:val="es-CO" w:eastAsia="es-CO"/>
        </w:rPr>
      </w:pPr>
      <w:r w:rsidRPr="00717E10">
        <w:rPr>
          <w:rFonts w:ascii="Arial" w:hAnsi="Arial" w:cs="Arial"/>
          <w:sz w:val="24"/>
          <w:szCs w:val="24"/>
          <w:lang w:val="es-CO" w:eastAsia="es-CO"/>
        </w:rPr>
        <w:t>Revisados tales documentos, se observa el certificado en el que la sociedad Gestionar Innovación S.A.S. informó que realizó las gestiones necesarias para contactar al accionante, las cuales consistieron en llamadas telefónicas al número fijo 3353867 y al móvil 3006551014 los días 27, 28 y 31 de enero de 2022, requerimientos que no fueron atendidas por el titular de las líneas, de quien no existe certeza que se trate del demandante, pues ningún documento aportó Colpensiones que diera cuenta de ese hecho. </w:t>
      </w:r>
    </w:p>
    <w:p w14:paraId="4DE3D4FA" w14:textId="77777777" w:rsidR="005D2D54" w:rsidRPr="00717E10" w:rsidRDefault="005D2D54" w:rsidP="004274EF">
      <w:pPr>
        <w:spacing w:line="276" w:lineRule="auto"/>
        <w:ind w:left="426" w:right="420"/>
        <w:jc w:val="both"/>
        <w:textAlignment w:val="baseline"/>
        <w:rPr>
          <w:rFonts w:ascii="Arial" w:hAnsi="Arial" w:cs="Arial"/>
          <w:sz w:val="24"/>
          <w:szCs w:val="24"/>
          <w:lang w:val="es-CO" w:eastAsia="es-CO"/>
        </w:rPr>
      </w:pPr>
      <w:r w:rsidRPr="00717E10">
        <w:rPr>
          <w:rFonts w:ascii="Arial" w:hAnsi="Arial" w:cs="Arial"/>
          <w:sz w:val="24"/>
          <w:szCs w:val="24"/>
          <w:lang w:val="es-CO" w:eastAsia="es-CO"/>
        </w:rPr>
        <w:t> </w:t>
      </w:r>
    </w:p>
    <w:p w14:paraId="386E5782" w14:textId="77777777" w:rsidR="005D2D54" w:rsidRPr="00717E10" w:rsidRDefault="005D2D54" w:rsidP="004274EF">
      <w:pPr>
        <w:spacing w:line="276" w:lineRule="auto"/>
        <w:ind w:left="426" w:right="420"/>
        <w:jc w:val="both"/>
        <w:textAlignment w:val="baseline"/>
        <w:rPr>
          <w:rFonts w:ascii="Arial" w:hAnsi="Arial" w:cs="Arial"/>
          <w:sz w:val="24"/>
          <w:szCs w:val="24"/>
          <w:lang w:val="es-CO" w:eastAsia="es-CO"/>
        </w:rPr>
      </w:pPr>
      <w:r w:rsidRPr="00717E10">
        <w:rPr>
          <w:rFonts w:ascii="Arial" w:hAnsi="Arial" w:cs="Arial"/>
          <w:sz w:val="24"/>
          <w:szCs w:val="24"/>
          <w:lang w:val="es-CO" w:eastAsia="es-CO"/>
        </w:rPr>
        <w:t>No obstante, también fue aportado el escrito de fecha 27 de enero de 2022 por medio del cual le fue informada la iniciación del proceso de revisión, misiva que fue remitida a la dirección Calle 20 No 6-30 Oficina 601 Edificio Banco Ganadero, siendo recibido por Claudia Franco el día 2 de febrero de 2022 -</w:t>
      </w:r>
      <w:r w:rsidRPr="00717E10">
        <w:rPr>
          <w:rFonts w:ascii="Arial" w:hAnsi="Arial" w:cs="Arial"/>
          <w:iCs/>
          <w:sz w:val="24"/>
          <w:szCs w:val="24"/>
          <w:lang w:val="es-CO" w:eastAsia="es-CO"/>
        </w:rPr>
        <w:t>hojas 25, 26 y 27 del numeral 20 de la carpeta digital de primera instancia</w:t>
      </w:r>
      <w:r w:rsidRPr="00717E10">
        <w:rPr>
          <w:rFonts w:ascii="Arial" w:hAnsi="Arial" w:cs="Arial"/>
          <w:sz w:val="24"/>
          <w:szCs w:val="24"/>
          <w:lang w:val="es-CO" w:eastAsia="es-CO"/>
        </w:rPr>
        <w:t xml:space="preserve">-.  Al respecto cabe indicar que esa misma dirección fue reportada por el </w:t>
      </w:r>
      <w:r w:rsidRPr="00717E10">
        <w:rPr>
          <w:rFonts w:ascii="Arial" w:hAnsi="Arial" w:cs="Arial"/>
          <w:sz w:val="24"/>
          <w:szCs w:val="24"/>
          <w:lang w:val="es-CO" w:eastAsia="es-CO"/>
        </w:rPr>
        <w:lastRenderedPageBreak/>
        <w:t xml:space="preserve">demandante en </w:t>
      </w:r>
      <w:r w:rsidRPr="00717E10">
        <w:rPr>
          <w:rFonts w:ascii="Arial" w:hAnsi="Arial" w:cs="Arial"/>
          <w:iCs/>
          <w:sz w:val="24"/>
          <w:szCs w:val="24"/>
          <w:lang w:val="es-CO" w:eastAsia="es-CO"/>
        </w:rPr>
        <w:t>el “FORMULARIO DETERMINACIÓN DE PÉRDIDA DE CAPACIDAD LABORAL /OCUPACIONAL y REVISIÓN DEL ESTADO DE INVALIDEZ DE LOS PENSIONADOS”</w:t>
      </w:r>
      <w:r w:rsidRPr="00717E10">
        <w:rPr>
          <w:rFonts w:ascii="Arial" w:hAnsi="Arial" w:cs="Arial"/>
          <w:sz w:val="24"/>
          <w:szCs w:val="24"/>
          <w:lang w:val="es-CO" w:eastAsia="es-CO"/>
        </w:rPr>
        <w:t xml:space="preserve"> -</w:t>
      </w:r>
      <w:r w:rsidRPr="00717E10">
        <w:rPr>
          <w:rFonts w:ascii="Arial" w:hAnsi="Arial" w:cs="Arial"/>
          <w:iCs/>
          <w:sz w:val="24"/>
          <w:szCs w:val="24"/>
          <w:lang w:val="es-CO" w:eastAsia="es-CO"/>
        </w:rPr>
        <w:t>numeral 16 de cuaderno digital de primera instancia</w:t>
      </w:r>
      <w:r w:rsidRPr="00717E10">
        <w:rPr>
          <w:rFonts w:ascii="Arial" w:hAnsi="Arial" w:cs="Arial"/>
          <w:sz w:val="24"/>
          <w:szCs w:val="24"/>
          <w:lang w:val="es-CO" w:eastAsia="es-CO"/>
        </w:rPr>
        <w:t xml:space="preserve">- la cual también corresponde al de su apoderada judicial, quien fue la persona que se notificó de la Resolución </w:t>
      </w:r>
      <w:proofErr w:type="spellStart"/>
      <w:r w:rsidRPr="00717E10">
        <w:rPr>
          <w:rFonts w:ascii="Arial" w:hAnsi="Arial" w:cs="Arial"/>
          <w:sz w:val="24"/>
          <w:szCs w:val="24"/>
          <w:lang w:val="es-CO" w:eastAsia="es-CO"/>
        </w:rPr>
        <w:t>GNR</w:t>
      </w:r>
      <w:proofErr w:type="spellEnd"/>
      <w:r w:rsidRPr="00717E10">
        <w:rPr>
          <w:rFonts w:ascii="Arial" w:hAnsi="Arial" w:cs="Arial"/>
          <w:sz w:val="24"/>
          <w:szCs w:val="24"/>
          <w:lang w:val="es-CO" w:eastAsia="es-CO"/>
        </w:rPr>
        <w:t xml:space="preserve"> 415374 de 22 de diciembre de 2015, por medio de la cual le fue reconocida la pensión de invalidez al señor Zapata Loaiza. </w:t>
      </w:r>
    </w:p>
    <w:p w14:paraId="7C1FE426" w14:textId="77777777" w:rsidR="005D2D54" w:rsidRPr="00717E10" w:rsidRDefault="005D2D54" w:rsidP="004274EF">
      <w:pPr>
        <w:spacing w:line="276" w:lineRule="auto"/>
        <w:ind w:left="426" w:right="420"/>
        <w:jc w:val="both"/>
        <w:textAlignment w:val="baseline"/>
        <w:rPr>
          <w:rFonts w:ascii="Arial" w:hAnsi="Arial" w:cs="Arial"/>
          <w:sz w:val="24"/>
          <w:szCs w:val="24"/>
          <w:lang w:val="es-CO" w:eastAsia="es-CO"/>
        </w:rPr>
      </w:pPr>
      <w:r w:rsidRPr="00717E10">
        <w:rPr>
          <w:rFonts w:ascii="Arial" w:hAnsi="Arial" w:cs="Arial"/>
          <w:sz w:val="24"/>
          <w:szCs w:val="24"/>
          <w:lang w:val="es-CO" w:eastAsia="es-CO"/>
        </w:rPr>
        <w:t> </w:t>
      </w:r>
    </w:p>
    <w:p w14:paraId="6E808268" w14:textId="77777777" w:rsidR="005D2D54" w:rsidRPr="00717E10" w:rsidRDefault="005D2D54" w:rsidP="004274EF">
      <w:pPr>
        <w:spacing w:line="276" w:lineRule="auto"/>
        <w:ind w:left="426" w:right="420"/>
        <w:jc w:val="both"/>
        <w:textAlignment w:val="baseline"/>
        <w:rPr>
          <w:rFonts w:ascii="Arial" w:hAnsi="Arial" w:cs="Arial"/>
          <w:sz w:val="24"/>
          <w:szCs w:val="24"/>
          <w:lang w:val="es-CO" w:eastAsia="es-CO"/>
        </w:rPr>
      </w:pPr>
      <w:r w:rsidRPr="00717E10">
        <w:rPr>
          <w:rFonts w:ascii="Arial" w:hAnsi="Arial" w:cs="Arial"/>
          <w:sz w:val="24"/>
          <w:szCs w:val="24"/>
          <w:lang w:val="es-CO" w:eastAsia="es-CO"/>
        </w:rPr>
        <w:t>De acuerdo con lo antes analizado, se puede concluir que la última dirección reportada por el actor para efectos de notificaciones es Calle 20 No 6-30 Oficina 601 Edificio Banco Ganadero, por lo tanto, la actuación hasta aquí surtida por Colpensiones no merece reproche por parte de la Sala. </w:t>
      </w:r>
    </w:p>
    <w:p w14:paraId="5317D2AE" w14:textId="77777777" w:rsidR="005D2D54" w:rsidRPr="00717E10" w:rsidRDefault="005D2D54" w:rsidP="004274EF">
      <w:pPr>
        <w:spacing w:line="276" w:lineRule="auto"/>
        <w:ind w:left="426" w:right="420"/>
        <w:jc w:val="both"/>
        <w:textAlignment w:val="baseline"/>
        <w:rPr>
          <w:rFonts w:ascii="Arial" w:hAnsi="Arial" w:cs="Arial"/>
          <w:sz w:val="24"/>
          <w:szCs w:val="24"/>
          <w:lang w:val="es-CO" w:eastAsia="es-CO"/>
        </w:rPr>
      </w:pPr>
      <w:r w:rsidRPr="00717E10">
        <w:rPr>
          <w:rFonts w:ascii="Arial" w:hAnsi="Arial" w:cs="Arial"/>
          <w:sz w:val="24"/>
          <w:szCs w:val="24"/>
          <w:lang w:val="es-CO" w:eastAsia="es-CO"/>
        </w:rPr>
        <w:t> </w:t>
      </w:r>
    </w:p>
    <w:p w14:paraId="53FA43A3" w14:textId="77777777" w:rsidR="005D2D54" w:rsidRPr="00717E10" w:rsidRDefault="005D2D54" w:rsidP="004274EF">
      <w:pPr>
        <w:spacing w:line="276" w:lineRule="auto"/>
        <w:ind w:left="426" w:right="420"/>
        <w:jc w:val="both"/>
        <w:textAlignment w:val="baseline"/>
        <w:rPr>
          <w:rFonts w:ascii="Arial" w:hAnsi="Arial" w:cs="Arial"/>
          <w:sz w:val="24"/>
          <w:szCs w:val="24"/>
          <w:lang w:val="es-CO" w:eastAsia="es-CO"/>
        </w:rPr>
      </w:pPr>
      <w:r w:rsidRPr="00717E10">
        <w:rPr>
          <w:rFonts w:ascii="Arial" w:hAnsi="Arial" w:cs="Arial"/>
          <w:sz w:val="24"/>
          <w:szCs w:val="24"/>
          <w:lang w:val="es-CO" w:eastAsia="es-CO"/>
        </w:rPr>
        <w:t>Ahora, tal como señala la norma, ante la no comparecencia del actor lo que procedía era la suspensión de la pensión para el mes de mayo de 2022; sin embargo, ello se produjo solo para agosto de 2022 -</w:t>
      </w:r>
      <w:r w:rsidRPr="00717E10">
        <w:rPr>
          <w:rFonts w:ascii="Arial" w:hAnsi="Arial" w:cs="Arial"/>
          <w:iCs/>
          <w:sz w:val="24"/>
          <w:szCs w:val="24"/>
          <w:lang w:val="es-CO" w:eastAsia="es-CO"/>
        </w:rPr>
        <w:t>numeral 4º del escrito de impugnación</w:t>
      </w:r>
      <w:r w:rsidRPr="00717E10">
        <w:rPr>
          <w:rFonts w:ascii="Arial" w:hAnsi="Arial" w:cs="Arial"/>
          <w:sz w:val="24"/>
          <w:szCs w:val="24"/>
          <w:lang w:val="es-CO" w:eastAsia="es-CO"/>
        </w:rPr>
        <w:t xml:space="preserve">-; posteriormente, el actor compareció para 1º de noviembre de 2022 autorizando a la entidad la notificación electrónica, registrando para el efecto el correo </w:t>
      </w:r>
      <w:hyperlink r:id="rId11" w:tgtFrame="_blank" w:history="1">
        <w:r w:rsidRPr="00717E10">
          <w:rPr>
            <w:rFonts w:ascii="Arial" w:hAnsi="Arial" w:cs="Arial"/>
            <w:color w:val="0563C1"/>
            <w:sz w:val="24"/>
            <w:szCs w:val="24"/>
            <w:u w:val="single"/>
            <w:lang w:val="es-CO" w:eastAsia="es-CO"/>
          </w:rPr>
          <w:t>monicamosquera57@gmail.com</w:t>
        </w:r>
      </w:hyperlink>
      <w:r w:rsidRPr="00717E10">
        <w:rPr>
          <w:rFonts w:ascii="Arial" w:hAnsi="Arial" w:cs="Arial"/>
          <w:sz w:val="24"/>
          <w:szCs w:val="24"/>
          <w:lang w:val="es-CO" w:eastAsia="es-CO"/>
        </w:rPr>
        <w:t xml:space="preserve"> – </w:t>
      </w:r>
      <w:r w:rsidRPr="00717E10">
        <w:rPr>
          <w:rFonts w:ascii="Arial" w:hAnsi="Arial" w:cs="Arial"/>
          <w:iCs/>
          <w:sz w:val="24"/>
          <w:szCs w:val="24"/>
          <w:lang w:val="es-CO" w:eastAsia="es-CO"/>
        </w:rPr>
        <w:t>numeral 13 de la carpeta digital de primera instancia</w:t>
      </w:r>
      <w:r w:rsidRPr="00717E10">
        <w:rPr>
          <w:rFonts w:ascii="Arial" w:hAnsi="Arial" w:cs="Arial"/>
          <w:sz w:val="24"/>
          <w:szCs w:val="24"/>
          <w:lang w:val="es-CO" w:eastAsia="es-CO"/>
        </w:rPr>
        <w:t>-media a través del cual, el día 8 de febrero de 2023, se surtió la notificación del dictamen No 4807014 de 26 de enero de igual año, conforme da cuenta el “</w:t>
      </w:r>
      <w:r w:rsidRPr="00717E10">
        <w:rPr>
          <w:rFonts w:ascii="Arial" w:hAnsi="Arial" w:cs="Arial"/>
          <w:iCs/>
          <w:sz w:val="24"/>
          <w:szCs w:val="24"/>
          <w:lang w:val="es-CO" w:eastAsia="es-CO"/>
        </w:rPr>
        <w:t>ACUSE DE RECIBO CERTIFICADO</w:t>
      </w:r>
      <w:r w:rsidRPr="00717E10">
        <w:rPr>
          <w:rFonts w:ascii="Arial" w:hAnsi="Arial" w:cs="Arial"/>
          <w:sz w:val="24"/>
          <w:szCs w:val="24"/>
          <w:lang w:val="es-CO" w:eastAsia="es-CO"/>
        </w:rPr>
        <w:t>” que obra en el numeral 15 del mismo cuaderno.  </w:t>
      </w:r>
    </w:p>
    <w:p w14:paraId="4301A9AB" w14:textId="77777777" w:rsidR="005D2D54" w:rsidRPr="00717E10" w:rsidRDefault="005D2D54" w:rsidP="004274EF">
      <w:pPr>
        <w:spacing w:line="276" w:lineRule="auto"/>
        <w:ind w:left="426" w:right="420"/>
        <w:jc w:val="both"/>
        <w:textAlignment w:val="baseline"/>
        <w:rPr>
          <w:rFonts w:ascii="Arial" w:hAnsi="Arial" w:cs="Arial"/>
          <w:sz w:val="24"/>
          <w:szCs w:val="24"/>
          <w:lang w:val="es-CO" w:eastAsia="es-CO"/>
        </w:rPr>
      </w:pPr>
      <w:r w:rsidRPr="00717E10">
        <w:rPr>
          <w:rFonts w:ascii="Arial" w:hAnsi="Arial" w:cs="Arial"/>
          <w:sz w:val="24"/>
          <w:szCs w:val="24"/>
          <w:lang w:val="es-CO" w:eastAsia="es-CO"/>
        </w:rPr>
        <w:t> </w:t>
      </w:r>
    </w:p>
    <w:p w14:paraId="31D6DCB7" w14:textId="77777777" w:rsidR="005D2D54" w:rsidRPr="00717E10" w:rsidRDefault="005D2D54" w:rsidP="004274EF">
      <w:pPr>
        <w:spacing w:line="276" w:lineRule="auto"/>
        <w:ind w:left="426" w:right="420"/>
        <w:jc w:val="both"/>
        <w:textAlignment w:val="baseline"/>
        <w:rPr>
          <w:rFonts w:ascii="Arial" w:hAnsi="Arial" w:cs="Arial"/>
          <w:sz w:val="24"/>
          <w:szCs w:val="24"/>
          <w:lang w:val="es-CO" w:eastAsia="es-CO"/>
        </w:rPr>
      </w:pPr>
      <w:r w:rsidRPr="00717E10">
        <w:rPr>
          <w:rFonts w:ascii="Arial" w:hAnsi="Arial" w:cs="Arial"/>
          <w:sz w:val="24"/>
          <w:szCs w:val="24"/>
          <w:lang w:val="es-CO" w:eastAsia="es-CO"/>
        </w:rPr>
        <w:t>Dicho esto, como quiera que las inconformidades planteadas por el actor contra dicha valoración fueron radicadas el 17 de mayo de 2023 -</w:t>
      </w:r>
      <w:r w:rsidRPr="00717E10">
        <w:rPr>
          <w:rFonts w:ascii="Arial" w:hAnsi="Arial" w:cs="Arial"/>
          <w:iCs/>
          <w:sz w:val="24"/>
          <w:szCs w:val="24"/>
          <w:lang w:val="es-CO" w:eastAsia="es-CO"/>
        </w:rPr>
        <w:t>hoja 46 del numeral 02 de la carpeta digital de primera instancia</w:t>
      </w:r>
      <w:r w:rsidRPr="00717E10">
        <w:rPr>
          <w:rFonts w:ascii="Arial" w:hAnsi="Arial" w:cs="Arial"/>
          <w:sz w:val="24"/>
          <w:szCs w:val="24"/>
          <w:lang w:val="es-CO" w:eastAsia="es-CO"/>
        </w:rPr>
        <w:t>-, ningún reproche merece la decisión de Colpensiones de no darle trámite a las mismas, por haber sido presentadas de manera extemporánea. </w:t>
      </w:r>
    </w:p>
    <w:p w14:paraId="1ADE18EC" w14:textId="77777777" w:rsidR="005D2D54" w:rsidRPr="00717E10" w:rsidRDefault="005D2D54" w:rsidP="004274EF">
      <w:pPr>
        <w:spacing w:line="276" w:lineRule="auto"/>
        <w:ind w:left="426" w:right="420"/>
        <w:jc w:val="both"/>
        <w:textAlignment w:val="baseline"/>
        <w:rPr>
          <w:rFonts w:ascii="Arial" w:hAnsi="Arial" w:cs="Arial"/>
          <w:sz w:val="24"/>
          <w:szCs w:val="24"/>
          <w:lang w:val="es-CO" w:eastAsia="es-CO"/>
        </w:rPr>
      </w:pPr>
      <w:r w:rsidRPr="00717E10">
        <w:rPr>
          <w:rFonts w:ascii="Arial" w:hAnsi="Arial" w:cs="Arial"/>
          <w:sz w:val="24"/>
          <w:szCs w:val="24"/>
          <w:lang w:val="es-CO" w:eastAsia="es-CO"/>
        </w:rPr>
        <w:t> </w:t>
      </w:r>
    </w:p>
    <w:p w14:paraId="556ED14D" w14:textId="77777777" w:rsidR="005D2D54" w:rsidRPr="00717E10" w:rsidRDefault="005D2D54" w:rsidP="004274EF">
      <w:pPr>
        <w:spacing w:line="276" w:lineRule="auto"/>
        <w:ind w:left="426" w:right="420"/>
        <w:jc w:val="both"/>
        <w:textAlignment w:val="baseline"/>
        <w:rPr>
          <w:rFonts w:ascii="Arial" w:hAnsi="Arial" w:cs="Arial"/>
          <w:sz w:val="24"/>
          <w:szCs w:val="24"/>
          <w:lang w:val="es-CO" w:eastAsia="es-CO"/>
        </w:rPr>
      </w:pPr>
      <w:r w:rsidRPr="00717E10">
        <w:rPr>
          <w:rFonts w:ascii="Arial" w:hAnsi="Arial" w:cs="Arial"/>
          <w:sz w:val="24"/>
          <w:szCs w:val="24"/>
          <w:lang w:val="es-CO" w:eastAsia="es-CO"/>
        </w:rPr>
        <w:t>De acuerdo con lo dicho, del trámite administrativo adelantado por la entidad accionada para la revisión del estado de invalidez que concluyó con la pérdida del derecho pensional del señor Miguel Ángel Zapata Loaiza, no percibe la Sala la vulneración de los derechos fundamentales que se denuncia en el escrito de tutela, por lo tanto, se procederá a revocar la sentencia de primer grado y en su lugar se negará la protección pretendida.”</w:t>
      </w:r>
    </w:p>
    <w:p w14:paraId="17606053" w14:textId="77777777" w:rsidR="005D2D54" w:rsidRPr="00717E10" w:rsidRDefault="005D2D54" w:rsidP="00717E10">
      <w:pPr>
        <w:spacing w:line="276" w:lineRule="auto"/>
        <w:jc w:val="both"/>
        <w:textAlignment w:val="baseline"/>
        <w:rPr>
          <w:rFonts w:ascii="Arial" w:hAnsi="Arial" w:cs="Arial"/>
          <w:sz w:val="24"/>
          <w:szCs w:val="24"/>
          <w:lang w:val="es-CO" w:eastAsia="es-CO"/>
        </w:rPr>
      </w:pPr>
      <w:r w:rsidRPr="00717E10">
        <w:rPr>
          <w:rFonts w:ascii="Arial" w:hAnsi="Arial" w:cs="Arial"/>
          <w:sz w:val="24"/>
          <w:szCs w:val="24"/>
          <w:lang w:val="es-CO" w:eastAsia="es-CO"/>
        </w:rPr>
        <w:t> </w:t>
      </w:r>
    </w:p>
    <w:p w14:paraId="675C1276" w14:textId="77777777" w:rsidR="005D2D54" w:rsidRPr="00717E10" w:rsidRDefault="005D2D54" w:rsidP="00717E10">
      <w:pPr>
        <w:spacing w:line="276" w:lineRule="auto"/>
        <w:rPr>
          <w:rFonts w:ascii="Arial" w:eastAsia="Calibri" w:hAnsi="Arial" w:cs="Arial"/>
          <w:sz w:val="24"/>
          <w:szCs w:val="24"/>
          <w:lang w:val="es-CO" w:eastAsia="en-US"/>
        </w:rPr>
      </w:pPr>
    </w:p>
    <w:p w14:paraId="523D2F8E" w14:textId="77777777" w:rsidR="005D2D54" w:rsidRPr="00717E10" w:rsidRDefault="005D2D54" w:rsidP="00717E10">
      <w:pPr>
        <w:spacing w:line="276" w:lineRule="auto"/>
        <w:rPr>
          <w:rFonts w:ascii="Arial" w:eastAsia="Calibri" w:hAnsi="Arial" w:cs="Arial"/>
          <w:iCs/>
          <w:sz w:val="24"/>
          <w:szCs w:val="24"/>
          <w:lang w:val="es-CO" w:eastAsia="en-US"/>
        </w:rPr>
      </w:pPr>
      <w:r w:rsidRPr="00717E10">
        <w:rPr>
          <w:rFonts w:ascii="Arial" w:eastAsia="Calibri" w:hAnsi="Arial" w:cs="Arial"/>
          <w:sz w:val="24"/>
          <w:szCs w:val="24"/>
          <w:lang w:val="es-CO" w:eastAsia="en-US"/>
        </w:rPr>
        <w:t>Como puede verse mi posición difiere de la de la mayoría y es por ello que salvo mi voto como acá queda hecho.</w:t>
      </w:r>
    </w:p>
    <w:p w14:paraId="105629A3" w14:textId="77777777" w:rsidR="005D2D54" w:rsidRPr="00717E10" w:rsidRDefault="005D2D54" w:rsidP="00717E10">
      <w:pPr>
        <w:spacing w:line="276" w:lineRule="auto"/>
        <w:jc w:val="both"/>
        <w:rPr>
          <w:rFonts w:ascii="Arial" w:hAnsi="Arial" w:cs="Arial"/>
          <w:sz w:val="24"/>
          <w:szCs w:val="24"/>
          <w:lang w:eastAsia="en-US"/>
        </w:rPr>
      </w:pPr>
    </w:p>
    <w:p w14:paraId="54881DE4" w14:textId="77777777" w:rsidR="005D2D54" w:rsidRPr="00717E10" w:rsidRDefault="005D2D54" w:rsidP="00717E10">
      <w:pPr>
        <w:spacing w:line="276" w:lineRule="auto"/>
        <w:jc w:val="both"/>
        <w:rPr>
          <w:rFonts w:ascii="Arial" w:hAnsi="Arial" w:cs="Arial"/>
          <w:sz w:val="24"/>
          <w:szCs w:val="24"/>
          <w:lang w:eastAsia="en-US"/>
        </w:rPr>
      </w:pPr>
      <w:r w:rsidRPr="00717E10">
        <w:rPr>
          <w:rFonts w:ascii="Arial" w:hAnsi="Arial" w:cs="Arial"/>
          <w:sz w:val="24"/>
          <w:szCs w:val="24"/>
          <w:lang w:eastAsia="en-US"/>
        </w:rPr>
        <w:t>Dejo así salvado mi voto.</w:t>
      </w:r>
    </w:p>
    <w:p w14:paraId="04EF9F34" w14:textId="77777777" w:rsidR="005D2D54" w:rsidRPr="00717E10" w:rsidRDefault="005D2D54" w:rsidP="00717E10">
      <w:pPr>
        <w:spacing w:line="276" w:lineRule="auto"/>
        <w:jc w:val="both"/>
        <w:rPr>
          <w:rFonts w:ascii="Arial" w:hAnsi="Arial" w:cs="Arial"/>
          <w:sz w:val="24"/>
          <w:szCs w:val="24"/>
          <w:lang w:eastAsia="en-US"/>
        </w:rPr>
      </w:pPr>
    </w:p>
    <w:p w14:paraId="77BB4C87" w14:textId="159CDB0E" w:rsidR="005D2D54" w:rsidRDefault="005D2D54" w:rsidP="00717E10">
      <w:pPr>
        <w:spacing w:line="276" w:lineRule="auto"/>
        <w:jc w:val="both"/>
        <w:rPr>
          <w:rFonts w:ascii="Arial" w:hAnsi="Arial" w:cs="Arial"/>
          <w:sz w:val="24"/>
          <w:szCs w:val="24"/>
          <w:lang w:eastAsia="en-US"/>
        </w:rPr>
      </w:pPr>
    </w:p>
    <w:p w14:paraId="3D8C5245" w14:textId="77777777" w:rsidR="004274EF" w:rsidRPr="00717E10" w:rsidRDefault="004274EF" w:rsidP="00717E10">
      <w:pPr>
        <w:spacing w:line="276" w:lineRule="auto"/>
        <w:jc w:val="both"/>
        <w:rPr>
          <w:rFonts w:ascii="Arial" w:hAnsi="Arial" w:cs="Arial"/>
          <w:sz w:val="24"/>
          <w:szCs w:val="24"/>
          <w:lang w:eastAsia="en-US"/>
        </w:rPr>
      </w:pPr>
    </w:p>
    <w:p w14:paraId="6773D18C" w14:textId="77777777" w:rsidR="005D2D54" w:rsidRPr="00717E10" w:rsidRDefault="005D2D54" w:rsidP="00717E10">
      <w:pPr>
        <w:spacing w:line="276" w:lineRule="auto"/>
        <w:jc w:val="both"/>
        <w:rPr>
          <w:rFonts w:ascii="Arial" w:hAnsi="Arial" w:cs="Arial"/>
          <w:sz w:val="24"/>
          <w:szCs w:val="24"/>
          <w:lang w:eastAsia="en-US"/>
        </w:rPr>
      </w:pPr>
    </w:p>
    <w:p w14:paraId="613AE776" w14:textId="77777777" w:rsidR="005D2D54" w:rsidRPr="00717E10" w:rsidRDefault="005D2D54" w:rsidP="00717E10">
      <w:pPr>
        <w:spacing w:line="276" w:lineRule="auto"/>
        <w:jc w:val="center"/>
        <w:rPr>
          <w:rFonts w:ascii="Arial" w:eastAsia="Calibri" w:hAnsi="Arial" w:cs="Arial"/>
          <w:b/>
          <w:sz w:val="24"/>
          <w:szCs w:val="24"/>
          <w:lang w:val="es-CO" w:eastAsia="en-US"/>
        </w:rPr>
      </w:pPr>
      <w:r w:rsidRPr="00717E10">
        <w:rPr>
          <w:rFonts w:ascii="Arial" w:eastAsia="Calibri" w:hAnsi="Arial" w:cs="Arial"/>
          <w:b/>
          <w:sz w:val="24"/>
          <w:szCs w:val="24"/>
          <w:lang w:val="es-CO" w:eastAsia="en-US"/>
        </w:rPr>
        <w:t>JULIO CÉSAR SALAZAR MUÑOZ</w:t>
      </w:r>
    </w:p>
    <w:p w14:paraId="2B938A0C" w14:textId="38D542CD" w:rsidR="00052AEA" w:rsidRPr="00717E10" w:rsidRDefault="005D2D54" w:rsidP="00717E10">
      <w:pPr>
        <w:spacing w:line="276" w:lineRule="auto"/>
        <w:jc w:val="center"/>
        <w:rPr>
          <w:rFonts w:ascii="Calibri" w:eastAsia="Calibri" w:hAnsi="Calibri"/>
          <w:sz w:val="24"/>
          <w:szCs w:val="24"/>
          <w:lang w:val="es-CO" w:eastAsia="en-US"/>
        </w:rPr>
      </w:pPr>
      <w:r w:rsidRPr="00717E10">
        <w:rPr>
          <w:rFonts w:ascii="Arial" w:eastAsia="Calibri" w:hAnsi="Arial" w:cs="Arial"/>
          <w:sz w:val="24"/>
          <w:szCs w:val="24"/>
          <w:lang w:val="es-CO" w:eastAsia="en-US"/>
        </w:rPr>
        <w:t>Magistrado</w:t>
      </w:r>
    </w:p>
    <w:sectPr w:rsidR="00052AEA" w:rsidRPr="00717E10" w:rsidSect="00E81766">
      <w:headerReference w:type="default" r:id="rId12"/>
      <w:footerReference w:type="even" r:id="rId13"/>
      <w:footerReference w:type="default" r:id="rId14"/>
      <w:pgSz w:w="12242" w:h="18722" w:code="258"/>
      <w:pgMar w:top="1871" w:right="1304" w:bottom="1304" w:left="1871" w:header="567" w:footer="567" w:gutter="0"/>
      <w:cols w:space="720"/>
      <w:titlePg/>
      <w:docGrid w:linePitch="272"/>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CE0FAE0" w16cex:dateUtc="2021-03-15T20:30:19.674Z"/>
  <w16cex:commentExtensible w16cex:durableId="4DEFDD89" w16cex:dateUtc="2021-03-16T13:27:14.588Z"/>
  <w16cex:commentExtensible w16cex:durableId="3C6AB8BB" w16cex:dateUtc="2023-09-29T13:31:05.587Z"/>
  <w16cex:commentExtensible w16cex:durableId="52C0298B" w16cex:dateUtc="2023-09-29T13:31:49.058Z"/>
  <w16cex:commentExtensible w16cex:durableId="26C1B254" w16cex:dateUtc="2023-09-29T13:52:25.374Z"/>
  <w16cex:commentExtensible w16cex:durableId="4453BBC5" w16cex:dateUtc="2023-10-03T21:58:22.011Z"/>
  <w16cex:commentExtensible w16cex:durableId="2AEBB6D3" w16cex:dateUtc="2023-10-04T19:14:37.525Z"/>
  <w16cex:commentExtensible w16cex:durableId="71A21803" w16cex:dateUtc="2023-10-04T19:20:43.776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FB0EC" w14:textId="77777777" w:rsidR="009A5893" w:rsidRDefault="009A5893">
      <w:r>
        <w:separator/>
      </w:r>
    </w:p>
  </w:endnote>
  <w:endnote w:type="continuationSeparator" w:id="0">
    <w:p w14:paraId="2DCA274F" w14:textId="77777777" w:rsidR="009A5893" w:rsidRDefault="009A5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man 12cpi">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5D2D54" w:rsidRDefault="005D2D5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5F9C3DC" w14:textId="77777777" w:rsidR="005D2D54" w:rsidRDefault="005D2D54">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96DDB" w14:textId="46AC2D1A" w:rsidR="005D2D54" w:rsidRPr="00776A14" w:rsidRDefault="005D2D54" w:rsidP="00C308E9">
    <w:pPr>
      <w:pStyle w:val="Encabezado"/>
      <w:framePr w:wrap="around" w:vAnchor="text" w:hAnchor="margin" w:xAlign="right" w:y="1"/>
      <w:jc w:val="center"/>
      <w:rPr>
        <w:rFonts w:ascii="Arial" w:hAnsi="Arial" w:cs="Arial"/>
        <w:sz w:val="18"/>
        <w:szCs w:val="18"/>
      </w:rPr>
    </w:pPr>
    <w:r w:rsidRPr="00776A14">
      <w:rPr>
        <w:rStyle w:val="Nmerodepgina"/>
        <w:rFonts w:ascii="Arial" w:hAnsi="Arial" w:cs="Arial"/>
        <w:sz w:val="18"/>
        <w:szCs w:val="18"/>
      </w:rPr>
      <w:fldChar w:fldCharType="begin"/>
    </w:r>
    <w:r w:rsidRPr="00776A14">
      <w:rPr>
        <w:rStyle w:val="Nmerodepgina"/>
        <w:rFonts w:ascii="Arial" w:hAnsi="Arial" w:cs="Arial"/>
        <w:sz w:val="18"/>
        <w:szCs w:val="18"/>
      </w:rPr>
      <w:instrText xml:space="preserve">PAGE  </w:instrText>
    </w:r>
    <w:r w:rsidRPr="00776A14">
      <w:rPr>
        <w:rStyle w:val="Nmerodepgina"/>
        <w:rFonts w:ascii="Arial" w:hAnsi="Arial" w:cs="Arial"/>
        <w:sz w:val="18"/>
        <w:szCs w:val="18"/>
      </w:rPr>
      <w:fldChar w:fldCharType="separate"/>
    </w:r>
    <w:r w:rsidR="007113C2">
      <w:rPr>
        <w:rStyle w:val="Nmerodepgina"/>
        <w:rFonts w:ascii="Arial" w:hAnsi="Arial" w:cs="Arial"/>
        <w:noProof/>
        <w:sz w:val="18"/>
        <w:szCs w:val="18"/>
      </w:rPr>
      <w:t>12</w:t>
    </w:r>
    <w:r w:rsidRPr="00776A14">
      <w:rPr>
        <w:rStyle w:val="Nmerodepgina"/>
        <w:rFonts w:ascii="Arial" w:hAnsi="Arial" w:cs="Arial"/>
        <w:sz w:val="18"/>
        <w:szCs w:val="18"/>
      </w:rPr>
      <w:fldChar w:fldCharType="end"/>
    </w:r>
  </w:p>
  <w:p w14:paraId="0F3CABC7" w14:textId="77777777" w:rsidR="005D2D54" w:rsidRDefault="005D2D54">
    <w:pPr>
      <w:pStyle w:val="Piedepgina"/>
      <w:ind w:left="360"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DDF48" w14:textId="77777777" w:rsidR="009A5893" w:rsidRDefault="009A5893">
      <w:r>
        <w:separator/>
      </w:r>
    </w:p>
  </w:footnote>
  <w:footnote w:type="continuationSeparator" w:id="0">
    <w:p w14:paraId="23F4EFB7" w14:textId="77777777" w:rsidR="009A5893" w:rsidRDefault="009A5893">
      <w:r>
        <w:continuationSeparator/>
      </w:r>
    </w:p>
  </w:footnote>
  <w:footnote w:id="1">
    <w:p w14:paraId="7090535A" w14:textId="77777777" w:rsidR="005D2D54" w:rsidRPr="007345AD" w:rsidRDefault="005D2D54" w:rsidP="007345AD">
      <w:pPr>
        <w:pStyle w:val="Textonotapie"/>
        <w:jc w:val="both"/>
        <w:rPr>
          <w:rFonts w:ascii="Arial" w:hAnsi="Arial" w:cs="Arial"/>
          <w:sz w:val="18"/>
          <w:szCs w:val="18"/>
        </w:rPr>
      </w:pPr>
      <w:r w:rsidRPr="007345AD">
        <w:rPr>
          <w:rStyle w:val="Refdenotaalpie"/>
          <w:rFonts w:ascii="Arial" w:hAnsi="Arial" w:cs="Arial"/>
          <w:sz w:val="18"/>
          <w:szCs w:val="18"/>
        </w:rPr>
        <w:footnoteRef/>
      </w:r>
      <w:r w:rsidRPr="007345AD">
        <w:rPr>
          <w:rFonts w:ascii="Arial" w:hAnsi="Arial" w:cs="Arial"/>
          <w:sz w:val="18"/>
          <w:szCs w:val="18"/>
        </w:rPr>
        <w:t xml:space="preserve"> Corte Constitucional. Sentencia de Tutela 353 del treinta y uno (31) de agosto de dos mil dieciocho (2018). Magistrado ponente. - Alberto Rojas Ríos.</w:t>
      </w:r>
    </w:p>
  </w:footnote>
  <w:footnote w:id="2">
    <w:p w14:paraId="6BDAAA0A" w14:textId="77777777" w:rsidR="005D2D54" w:rsidRPr="007345AD" w:rsidRDefault="005D2D54" w:rsidP="007345AD">
      <w:pPr>
        <w:pStyle w:val="Textonotapie"/>
        <w:jc w:val="both"/>
        <w:rPr>
          <w:rFonts w:ascii="Arial" w:hAnsi="Arial" w:cs="Arial"/>
          <w:sz w:val="18"/>
          <w:szCs w:val="18"/>
        </w:rPr>
      </w:pPr>
      <w:r w:rsidRPr="007345AD">
        <w:rPr>
          <w:rStyle w:val="Refdenotaalpie"/>
          <w:rFonts w:ascii="Arial" w:hAnsi="Arial" w:cs="Arial"/>
          <w:sz w:val="18"/>
          <w:szCs w:val="18"/>
        </w:rPr>
        <w:footnoteRef/>
      </w:r>
      <w:r w:rsidRPr="007345AD">
        <w:rPr>
          <w:rFonts w:ascii="Arial" w:hAnsi="Arial" w:cs="Arial"/>
          <w:sz w:val="18"/>
          <w:szCs w:val="18"/>
        </w:rPr>
        <w:t xml:space="preserve"> Corte Constitucional. Sentencia de Tutela – 1015 del treinta (30) de noviembre de dos mil seis (2006). Expediente T-1413095. Magistrado ponente. – Álvaro Tafur Galvis.</w:t>
      </w:r>
    </w:p>
  </w:footnote>
  <w:footnote w:id="3">
    <w:p w14:paraId="3EBA35B2" w14:textId="77777777" w:rsidR="005D2D54" w:rsidRPr="007345AD" w:rsidRDefault="005D2D54" w:rsidP="007345AD">
      <w:pPr>
        <w:pStyle w:val="Textonotapie"/>
        <w:jc w:val="both"/>
        <w:rPr>
          <w:rFonts w:ascii="Arial" w:hAnsi="Arial" w:cs="Arial"/>
          <w:sz w:val="18"/>
          <w:szCs w:val="18"/>
        </w:rPr>
      </w:pPr>
      <w:r w:rsidRPr="007345AD">
        <w:rPr>
          <w:rStyle w:val="Refdenotaalpie"/>
          <w:rFonts w:ascii="Arial" w:hAnsi="Arial" w:cs="Arial"/>
          <w:sz w:val="18"/>
          <w:szCs w:val="18"/>
        </w:rPr>
        <w:footnoteRef/>
      </w:r>
      <w:r w:rsidRPr="007345AD">
        <w:rPr>
          <w:rFonts w:ascii="Arial" w:hAnsi="Arial" w:cs="Arial"/>
          <w:sz w:val="18"/>
          <w:szCs w:val="18"/>
        </w:rPr>
        <w:t xml:space="preserve"> Corte Constitucional. Sentencia de Tutela – 370 del treinta y uno (31) de agosto de dos mil veinte (2020). Expediente T-7.608.624. Magistrado ponente. – Alejandro Linares Cantillo.</w:t>
      </w:r>
    </w:p>
  </w:footnote>
  <w:footnote w:id="4">
    <w:p w14:paraId="08AAD572" w14:textId="77777777" w:rsidR="005D2D54" w:rsidRPr="007345AD" w:rsidRDefault="005D2D54" w:rsidP="007345AD">
      <w:pPr>
        <w:pStyle w:val="Textonotapie"/>
        <w:jc w:val="both"/>
        <w:rPr>
          <w:rFonts w:ascii="Arial" w:hAnsi="Arial" w:cs="Arial"/>
          <w:sz w:val="18"/>
          <w:szCs w:val="18"/>
        </w:rPr>
      </w:pPr>
      <w:r w:rsidRPr="007345AD">
        <w:rPr>
          <w:rStyle w:val="Refdenotaalpie"/>
          <w:rFonts w:ascii="Arial" w:hAnsi="Arial" w:cs="Arial"/>
          <w:sz w:val="18"/>
          <w:szCs w:val="18"/>
        </w:rPr>
        <w:footnoteRef/>
      </w:r>
      <w:r w:rsidRPr="007345AD">
        <w:rPr>
          <w:rFonts w:ascii="Arial" w:hAnsi="Arial" w:cs="Arial"/>
          <w:sz w:val="18"/>
          <w:szCs w:val="18"/>
        </w:rPr>
        <w:t xml:space="preserve"> Corte Constitucional. Sentencia de Tutela – 114 del tres (3) de abril de dos mil dieciocho (2018). Expediente T-6.492.167. Magistrado ponente. – Carlos Bernal Pulido.</w:t>
      </w:r>
    </w:p>
  </w:footnote>
  <w:footnote w:id="5">
    <w:p w14:paraId="1CCB197C" w14:textId="77777777" w:rsidR="005D2D54" w:rsidRPr="007345AD" w:rsidRDefault="005D2D54" w:rsidP="007345AD">
      <w:pPr>
        <w:pStyle w:val="Textonotapie"/>
        <w:jc w:val="both"/>
        <w:rPr>
          <w:rFonts w:ascii="Arial" w:hAnsi="Arial" w:cs="Arial"/>
          <w:sz w:val="18"/>
          <w:szCs w:val="18"/>
        </w:rPr>
      </w:pPr>
      <w:r w:rsidRPr="007345AD">
        <w:rPr>
          <w:rStyle w:val="Refdenotaalpie"/>
          <w:rFonts w:ascii="Arial" w:hAnsi="Arial" w:cs="Arial"/>
          <w:sz w:val="18"/>
          <w:szCs w:val="18"/>
        </w:rPr>
        <w:footnoteRef/>
      </w:r>
      <w:r w:rsidRPr="007345AD">
        <w:rPr>
          <w:rFonts w:ascii="Arial" w:hAnsi="Arial" w:cs="Arial"/>
          <w:sz w:val="18"/>
          <w:szCs w:val="18"/>
        </w:rPr>
        <w:t xml:space="preserve"> Corte Constitucional. Sentencia de Tutela – 565 del veintinueve (29) de julio de dos mil catorce (2014). Expediente T-4.291.943. Magistrado ponente. - Luis Guillermo Guerrero Pérez.</w:t>
      </w:r>
    </w:p>
  </w:footnote>
  <w:footnote w:id="6">
    <w:p w14:paraId="369D5DD3" w14:textId="77777777" w:rsidR="005D2D54" w:rsidRPr="007345AD" w:rsidRDefault="005D2D54" w:rsidP="007345AD">
      <w:pPr>
        <w:pStyle w:val="Textonotapie"/>
        <w:jc w:val="both"/>
        <w:rPr>
          <w:rFonts w:ascii="Arial" w:hAnsi="Arial" w:cs="Arial"/>
          <w:sz w:val="18"/>
          <w:szCs w:val="18"/>
        </w:rPr>
      </w:pPr>
      <w:r w:rsidRPr="007345AD">
        <w:rPr>
          <w:rStyle w:val="Refdenotaalpie"/>
          <w:rFonts w:ascii="Arial" w:hAnsi="Arial" w:cs="Arial"/>
          <w:sz w:val="18"/>
          <w:szCs w:val="18"/>
        </w:rPr>
        <w:footnoteRef/>
      </w:r>
      <w:r w:rsidRPr="007345AD">
        <w:rPr>
          <w:rFonts w:ascii="Arial" w:hAnsi="Arial" w:cs="Arial"/>
          <w:sz w:val="18"/>
          <w:szCs w:val="18"/>
        </w:rPr>
        <w:t xml:space="preserve"> Corte Constitucional. Sentencia de Tutela – 222 del dos (2) de abril de dos mil catorce (2014). Expedientes T-4143382, T-4148791, T-4143384. Magistrado ponente. – Luis Ernesto Vargas Silva.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02682" w14:textId="77777777" w:rsidR="005D2D54" w:rsidRPr="00C308E9" w:rsidRDefault="005D2D54" w:rsidP="00C308E9">
    <w:pPr>
      <w:pStyle w:val="Encabezado"/>
      <w:jc w:val="center"/>
      <w:rPr>
        <w:rFonts w:ascii="Arial" w:hAnsi="Arial" w:cs="Arial"/>
        <w:sz w:val="18"/>
        <w:szCs w:val="14"/>
      </w:rPr>
    </w:pPr>
    <w:r w:rsidRPr="00C308E9">
      <w:rPr>
        <w:rFonts w:ascii="Arial" w:hAnsi="Arial" w:cs="Arial"/>
        <w:sz w:val="18"/>
        <w:szCs w:val="14"/>
      </w:rPr>
      <w:t xml:space="preserve">Miguel Ángel Zapata Loaiza Vs Colpensiones.  </w:t>
    </w:r>
  </w:p>
  <w:p w14:paraId="48A21919" w14:textId="2098EDA8" w:rsidR="005D2D54" w:rsidRPr="00C308E9" w:rsidRDefault="005D2D54" w:rsidP="00C308E9">
    <w:pPr>
      <w:pStyle w:val="Encabezado"/>
      <w:jc w:val="center"/>
      <w:rPr>
        <w:sz w:val="24"/>
      </w:rPr>
    </w:pPr>
    <w:r w:rsidRPr="00C308E9">
      <w:rPr>
        <w:rFonts w:ascii="Arial" w:hAnsi="Arial" w:cs="Arial"/>
        <w:sz w:val="18"/>
        <w:szCs w:val="14"/>
      </w:rPr>
      <w:t>Rad. 66001310500420231024701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51A3"/>
    <w:multiLevelType w:val="hybridMultilevel"/>
    <w:tmpl w:val="96F8489C"/>
    <w:lvl w:ilvl="0" w:tplc="240A000F">
      <w:start w:val="2"/>
      <w:numFmt w:val="decimal"/>
      <w:lvlText w:val="%1."/>
      <w:lvlJc w:val="left"/>
      <w:pPr>
        <w:ind w:left="2204" w:hanging="360"/>
      </w:pPr>
      <w:rPr>
        <w:rFonts w:hint="default"/>
      </w:rPr>
    </w:lvl>
    <w:lvl w:ilvl="1" w:tplc="240A0019" w:tentative="1">
      <w:start w:val="1"/>
      <w:numFmt w:val="lowerLetter"/>
      <w:lvlText w:val="%2."/>
      <w:lvlJc w:val="left"/>
      <w:pPr>
        <w:ind w:left="2924" w:hanging="360"/>
      </w:pPr>
    </w:lvl>
    <w:lvl w:ilvl="2" w:tplc="240A001B" w:tentative="1">
      <w:start w:val="1"/>
      <w:numFmt w:val="lowerRoman"/>
      <w:lvlText w:val="%3."/>
      <w:lvlJc w:val="right"/>
      <w:pPr>
        <w:ind w:left="3644" w:hanging="180"/>
      </w:pPr>
    </w:lvl>
    <w:lvl w:ilvl="3" w:tplc="240A000F" w:tentative="1">
      <w:start w:val="1"/>
      <w:numFmt w:val="decimal"/>
      <w:lvlText w:val="%4."/>
      <w:lvlJc w:val="left"/>
      <w:pPr>
        <w:ind w:left="4364" w:hanging="360"/>
      </w:pPr>
    </w:lvl>
    <w:lvl w:ilvl="4" w:tplc="240A0019" w:tentative="1">
      <w:start w:val="1"/>
      <w:numFmt w:val="lowerLetter"/>
      <w:lvlText w:val="%5."/>
      <w:lvlJc w:val="left"/>
      <w:pPr>
        <w:ind w:left="5084" w:hanging="360"/>
      </w:pPr>
    </w:lvl>
    <w:lvl w:ilvl="5" w:tplc="240A001B" w:tentative="1">
      <w:start w:val="1"/>
      <w:numFmt w:val="lowerRoman"/>
      <w:lvlText w:val="%6."/>
      <w:lvlJc w:val="right"/>
      <w:pPr>
        <w:ind w:left="5804" w:hanging="180"/>
      </w:pPr>
    </w:lvl>
    <w:lvl w:ilvl="6" w:tplc="240A000F" w:tentative="1">
      <w:start w:val="1"/>
      <w:numFmt w:val="decimal"/>
      <w:lvlText w:val="%7."/>
      <w:lvlJc w:val="left"/>
      <w:pPr>
        <w:ind w:left="6524" w:hanging="360"/>
      </w:pPr>
    </w:lvl>
    <w:lvl w:ilvl="7" w:tplc="240A0019" w:tentative="1">
      <w:start w:val="1"/>
      <w:numFmt w:val="lowerLetter"/>
      <w:lvlText w:val="%8."/>
      <w:lvlJc w:val="left"/>
      <w:pPr>
        <w:ind w:left="7244" w:hanging="360"/>
      </w:pPr>
    </w:lvl>
    <w:lvl w:ilvl="8" w:tplc="240A001B" w:tentative="1">
      <w:start w:val="1"/>
      <w:numFmt w:val="lowerRoman"/>
      <w:lvlText w:val="%9."/>
      <w:lvlJc w:val="right"/>
      <w:pPr>
        <w:ind w:left="7964" w:hanging="180"/>
      </w:pPr>
    </w:lvl>
  </w:abstractNum>
  <w:abstractNum w:abstractNumId="1" w15:restartNumberingAfterBreak="0">
    <w:nsid w:val="0053208E"/>
    <w:multiLevelType w:val="multilevel"/>
    <w:tmpl w:val="0053208E"/>
    <w:lvl w:ilvl="0">
      <w:start w:val="1"/>
      <w:numFmt w:val="upperRoman"/>
      <w:lvlText w:val="%1."/>
      <w:lvlJc w:val="left"/>
      <w:pPr>
        <w:ind w:left="1146" w:hanging="72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03C964CF"/>
    <w:multiLevelType w:val="hybridMultilevel"/>
    <w:tmpl w:val="37CE5E7C"/>
    <w:lvl w:ilvl="0" w:tplc="FF24BE8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53C0BF8"/>
    <w:multiLevelType w:val="hybridMultilevel"/>
    <w:tmpl w:val="8D8814F4"/>
    <w:lvl w:ilvl="0" w:tplc="FFFFFFFF">
      <w:start w:val="1"/>
      <w:numFmt w:val="decimal"/>
      <w:lvlText w:val="%1."/>
      <w:lvlJc w:val="left"/>
      <w:pPr>
        <w:ind w:left="36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05826B52"/>
    <w:multiLevelType w:val="hybridMultilevel"/>
    <w:tmpl w:val="72ACB0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82C20BD"/>
    <w:multiLevelType w:val="multilevel"/>
    <w:tmpl w:val="AED487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0C7B0326"/>
    <w:multiLevelType w:val="hybridMultilevel"/>
    <w:tmpl w:val="84CE4E58"/>
    <w:lvl w:ilvl="0" w:tplc="AE208F86">
      <w:start w:val="1"/>
      <w:numFmt w:val="decimal"/>
      <w:lvlText w:val="%1."/>
      <w:lvlJc w:val="left"/>
      <w:pPr>
        <w:tabs>
          <w:tab w:val="num" w:pos="864"/>
        </w:tabs>
        <w:ind w:left="864" w:hanging="50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053063E"/>
    <w:multiLevelType w:val="hybridMultilevel"/>
    <w:tmpl w:val="4EDE0120"/>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19E2AF8"/>
    <w:multiLevelType w:val="hybridMultilevel"/>
    <w:tmpl w:val="A4D29DA2"/>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1B82F45"/>
    <w:multiLevelType w:val="hybridMultilevel"/>
    <w:tmpl w:val="6AE69346"/>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5DE3DCB"/>
    <w:multiLevelType w:val="multilevel"/>
    <w:tmpl w:val="35DE3DCB"/>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800" w:hanging="1080"/>
      </w:pPr>
      <w:rPr>
        <w:rFonts w:ascii="Tahoma" w:hAnsi="Tahoma" w:cs="Tahoma" w:hint="default"/>
        <w:b/>
        <w:sz w:val="24"/>
        <w:szCs w:val="24"/>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11" w15:restartNumberingAfterBreak="0">
    <w:nsid w:val="366037A4"/>
    <w:multiLevelType w:val="hybridMultilevel"/>
    <w:tmpl w:val="43E8B0B4"/>
    <w:lvl w:ilvl="0" w:tplc="9E86F1D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D1C0A8E"/>
    <w:multiLevelType w:val="hybridMultilevel"/>
    <w:tmpl w:val="242CF1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F777383"/>
    <w:multiLevelType w:val="hybridMultilevel"/>
    <w:tmpl w:val="E12E595E"/>
    <w:lvl w:ilvl="0" w:tplc="9F38B726">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4" w15:restartNumberingAfterBreak="0">
    <w:nsid w:val="43111561"/>
    <w:multiLevelType w:val="hybridMultilevel"/>
    <w:tmpl w:val="006EE3D2"/>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BB35FA1"/>
    <w:multiLevelType w:val="hybridMultilevel"/>
    <w:tmpl w:val="EE66522E"/>
    <w:lvl w:ilvl="0" w:tplc="205E406A">
      <w:start w:val="1"/>
      <w:numFmt w:val="lowerLetter"/>
      <w:lvlText w:val="%1."/>
      <w:lvlJc w:val="left"/>
      <w:pPr>
        <w:ind w:left="1080" w:hanging="36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6" w15:restartNumberingAfterBreak="0">
    <w:nsid w:val="5D461B5D"/>
    <w:multiLevelType w:val="multilevel"/>
    <w:tmpl w:val="3EEE8D5A"/>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800" w:hanging="1080"/>
      </w:pPr>
      <w:rPr>
        <w:rFonts w:ascii="Tahoma" w:hAnsi="Tahoma" w:cs="Tahoma" w:hint="default"/>
        <w:b/>
        <w:sz w:val="24"/>
        <w:szCs w:val="24"/>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17" w15:restartNumberingAfterBreak="0">
    <w:nsid w:val="5EF11057"/>
    <w:multiLevelType w:val="hybridMultilevel"/>
    <w:tmpl w:val="15EA35AE"/>
    <w:lvl w:ilvl="0" w:tplc="0C0A0001">
      <w:start w:val="1"/>
      <w:numFmt w:val="bullet"/>
      <w:lvlText w:val=""/>
      <w:lvlJc w:val="left"/>
      <w:pPr>
        <w:ind w:left="783" w:hanging="360"/>
      </w:pPr>
      <w:rPr>
        <w:rFonts w:ascii="Symbol" w:hAnsi="Symbol" w:hint="default"/>
      </w:rPr>
    </w:lvl>
    <w:lvl w:ilvl="1" w:tplc="0C0A0003" w:tentative="1">
      <w:start w:val="1"/>
      <w:numFmt w:val="bullet"/>
      <w:lvlText w:val="o"/>
      <w:lvlJc w:val="left"/>
      <w:pPr>
        <w:ind w:left="1503" w:hanging="360"/>
      </w:pPr>
      <w:rPr>
        <w:rFonts w:ascii="Courier New" w:hAnsi="Courier New" w:cs="Courier New" w:hint="default"/>
      </w:rPr>
    </w:lvl>
    <w:lvl w:ilvl="2" w:tplc="0C0A0005" w:tentative="1">
      <w:start w:val="1"/>
      <w:numFmt w:val="bullet"/>
      <w:lvlText w:val=""/>
      <w:lvlJc w:val="left"/>
      <w:pPr>
        <w:ind w:left="2223" w:hanging="360"/>
      </w:pPr>
      <w:rPr>
        <w:rFonts w:ascii="Wingdings" w:hAnsi="Wingdings" w:hint="default"/>
      </w:rPr>
    </w:lvl>
    <w:lvl w:ilvl="3" w:tplc="0C0A0001" w:tentative="1">
      <w:start w:val="1"/>
      <w:numFmt w:val="bullet"/>
      <w:lvlText w:val=""/>
      <w:lvlJc w:val="left"/>
      <w:pPr>
        <w:ind w:left="2943" w:hanging="360"/>
      </w:pPr>
      <w:rPr>
        <w:rFonts w:ascii="Symbol" w:hAnsi="Symbol" w:hint="default"/>
      </w:rPr>
    </w:lvl>
    <w:lvl w:ilvl="4" w:tplc="0C0A0003" w:tentative="1">
      <w:start w:val="1"/>
      <w:numFmt w:val="bullet"/>
      <w:lvlText w:val="o"/>
      <w:lvlJc w:val="left"/>
      <w:pPr>
        <w:ind w:left="3663" w:hanging="360"/>
      </w:pPr>
      <w:rPr>
        <w:rFonts w:ascii="Courier New" w:hAnsi="Courier New" w:cs="Courier New" w:hint="default"/>
      </w:rPr>
    </w:lvl>
    <w:lvl w:ilvl="5" w:tplc="0C0A0005" w:tentative="1">
      <w:start w:val="1"/>
      <w:numFmt w:val="bullet"/>
      <w:lvlText w:val=""/>
      <w:lvlJc w:val="left"/>
      <w:pPr>
        <w:ind w:left="4383" w:hanging="360"/>
      </w:pPr>
      <w:rPr>
        <w:rFonts w:ascii="Wingdings" w:hAnsi="Wingdings" w:hint="default"/>
      </w:rPr>
    </w:lvl>
    <w:lvl w:ilvl="6" w:tplc="0C0A0001" w:tentative="1">
      <w:start w:val="1"/>
      <w:numFmt w:val="bullet"/>
      <w:lvlText w:val=""/>
      <w:lvlJc w:val="left"/>
      <w:pPr>
        <w:ind w:left="5103" w:hanging="360"/>
      </w:pPr>
      <w:rPr>
        <w:rFonts w:ascii="Symbol" w:hAnsi="Symbol" w:hint="default"/>
      </w:rPr>
    </w:lvl>
    <w:lvl w:ilvl="7" w:tplc="0C0A0003" w:tentative="1">
      <w:start w:val="1"/>
      <w:numFmt w:val="bullet"/>
      <w:lvlText w:val="o"/>
      <w:lvlJc w:val="left"/>
      <w:pPr>
        <w:ind w:left="5823" w:hanging="360"/>
      </w:pPr>
      <w:rPr>
        <w:rFonts w:ascii="Courier New" w:hAnsi="Courier New" w:cs="Courier New" w:hint="default"/>
      </w:rPr>
    </w:lvl>
    <w:lvl w:ilvl="8" w:tplc="0C0A0005" w:tentative="1">
      <w:start w:val="1"/>
      <w:numFmt w:val="bullet"/>
      <w:lvlText w:val=""/>
      <w:lvlJc w:val="left"/>
      <w:pPr>
        <w:ind w:left="6543" w:hanging="360"/>
      </w:pPr>
      <w:rPr>
        <w:rFonts w:ascii="Wingdings" w:hAnsi="Wingdings" w:hint="default"/>
      </w:rPr>
    </w:lvl>
  </w:abstractNum>
  <w:abstractNum w:abstractNumId="18" w15:restartNumberingAfterBreak="0">
    <w:nsid w:val="614726FE"/>
    <w:multiLevelType w:val="hybridMultilevel"/>
    <w:tmpl w:val="EA928BC4"/>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15:restartNumberingAfterBreak="0">
    <w:nsid w:val="7C8976AA"/>
    <w:multiLevelType w:val="hybridMultilevel"/>
    <w:tmpl w:val="2F52DCF0"/>
    <w:lvl w:ilvl="0" w:tplc="4D40233C">
      <w:start w:val="3"/>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EFD7D53"/>
    <w:multiLevelType w:val="singleLevel"/>
    <w:tmpl w:val="3F064E78"/>
    <w:lvl w:ilvl="0">
      <w:start w:val="4"/>
      <w:numFmt w:val="decimal"/>
      <w:lvlText w:val="%1."/>
      <w:legacy w:legacy="1" w:legacySpace="0" w:legacyIndent="346"/>
      <w:lvlJc w:val="left"/>
      <w:rPr>
        <w:rFonts w:ascii="Tahoma" w:hAnsi="Tahoma" w:cs="Tahoma" w:hint="default"/>
      </w:rPr>
    </w:lvl>
  </w:abstractNum>
  <w:abstractNum w:abstractNumId="21" w15:restartNumberingAfterBreak="0">
    <w:nsid w:val="7F67779B"/>
    <w:multiLevelType w:val="hybridMultilevel"/>
    <w:tmpl w:val="B8A2A63A"/>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num>
  <w:num w:numId="2">
    <w:abstractNumId w:val="4"/>
  </w:num>
  <w:num w:numId="3">
    <w:abstractNumId w:val="20"/>
  </w:num>
  <w:num w:numId="4">
    <w:abstractNumId w:val="9"/>
  </w:num>
  <w:num w:numId="5">
    <w:abstractNumId w:val="8"/>
  </w:num>
  <w:num w:numId="6">
    <w:abstractNumId w:val="18"/>
  </w:num>
  <w:num w:numId="7">
    <w:abstractNumId w:val="2"/>
  </w:num>
  <w:num w:numId="8">
    <w:abstractNumId w:val="19"/>
  </w:num>
  <w:num w:numId="9">
    <w:abstractNumId w:val="14"/>
  </w:num>
  <w:num w:numId="10">
    <w:abstractNumId w:val="7"/>
  </w:num>
  <w:num w:numId="11">
    <w:abstractNumId w:val="6"/>
  </w:num>
  <w:num w:numId="12">
    <w:abstractNumId w:val="13"/>
  </w:num>
  <w:num w:numId="13">
    <w:abstractNumId w:val="17"/>
  </w:num>
  <w:num w:numId="14">
    <w:abstractNumId w:val="11"/>
  </w:num>
  <w:num w:numId="15">
    <w:abstractNumId w:val="0"/>
  </w:num>
  <w:num w:numId="16">
    <w:abstractNumId w:val="2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2"/>
  </w:num>
  <w:num w:numId="20">
    <w:abstractNumId w:val="5"/>
  </w:num>
  <w:num w:numId="21">
    <w:abstractNumId w:val="16"/>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080"/>
    <w:rsid w:val="000000A0"/>
    <w:rsid w:val="00001C39"/>
    <w:rsid w:val="000020FD"/>
    <w:rsid w:val="00004135"/>
    <w:rsid w:val="000042CC"/>
    <w:rsid w:val="00004694"/>
    <w:rsid w:val="0000597A"/>
    <w:rsid w:val="00013A96"/>
    <w:rsid w:val="00014EE9"/>
    <w:rsid w:val="00017CF5"/>
    <w:rsid w:val="000207DF"/>
    <w:rsid w:val="00021DF1"/>
    <w:rsid w:val="000240DA"/>
    <w:rsid w:val="00024681"/>
    <w:rsid w:val="00024E3A"/>
    <w:rsid w:val="000318A2"/>
    <w:rsid w:val="0004007F"/>
    <w:rsid w:val="00040A9F"/>
    <w:rsid w:val="00041C69"/>
    <w:rsid w:val="00042127"/>
    <w:rsid w:val="000437FA"/>
    <w:rsid w:val="00044417"/>
    <w:rsid w:val="00045BD4"/>
    <w:rsid w:val="00050FFD"/>
    <w:rsid w:val="00052AEA"/>
    <w:rsid w:val="00057478"/>
    <w:rsid w:val="00057B93"/>
    <w:rsid w:val="00061CBC"/>
    <w:rsid w:val="00062F26"/>
    <w:rsid w:val="00063CDC"/>
    <w:rsid w:val="0006774E"/>
    <w:rsid w:val="00073B1B"/>
    <w:rsid w:val="00074122"/>
    <w:rsid w:val="00076311"/>
    <w:rsid w:val="0007634E"/>
    <w:rsid w:val="0008154E"/>
    <w:rsid w:val="0009017B"/>
    <w:rsid w:val="000913FD"/>
    <w:rsid w:val="00092341"/>
    <w:rsid w:val="000A297F"/>
    <w:rsid w:val="000A3B55"/>
    <w:rsid w:val="000A61BE"/>
    <w:rsid w:val="000B066C"/>
    <w:rsid w:val="000B16B5"/>
    <w:rsid w:val="000B324C"/>
    <w:rsid w:val="000B5751"/>
    <w:rsid w:val="000B705E"/>
    <w:rsid w:val="000B7D50"/>
    <w:rsid w:val="000C408C"/>
    <w:rsid w:val="000D1AA8"/>
    <w:rsid w:val="000D3404"/>
    <w:rsid w:val="000D3A30"/>
    <w:rsid w:val="000D560A"/>
    <w:rsid w:val="000D6900"/>
    <w:rsid w:val="000D6A08"/>
    <w:rsid w:val="000E2ACC"/>
    <w:rsid w:val="000E3E59"/>
    <w:rsid w:val="000E4419"/>
    <w:rsid w:val="000E4533"/>
    <w:rsid w:val="000E5B12"/>
    <w:rsid w:val="000E6FF6"/>
    <w:rsid w:val="000F07A0"/>
    <w:rsid w:val="000F1100"/>
    <w:rsid w:val="000F1767"/>
    <w:rsid w:val="000F4FBC"/>
    <w:rsid w:val="00100363"/>
    <w:rsid w:val="00103B9A"/>
    <w:rsid w:val="0010458B"/>
    <w:rsid w:val="00106488"/>
    <w:rsid w:val="00115264"/>
    <w:rsid w:val="0011534A"/>
    <w:rsid w:val="00115BD6"/>
    <w:rsid w:val="0012140D"/>
    <w:rsid w:val="00122255"/>
    <w:rsid w:val="001239D3"/>
    <w:rsid w:val="00132AA0"/>
    <w:rsid w:val="00132F63"/>
    <w:rsid w:val="00133B9A"/>
    <w:rsid w:val="00140265"/>
    <w:rsid w:val="0014160B"/>
    <w:rsid w:val="0014278D"/>
    <w:rsid w:val="001441EA"/>
    <w:rsid w:val="00144883"/>
    <w:rsid w:val="00145175"/>
    <w:rsid w:val="001531D9"/>
    <w:rsid w:val="001548F7"/>
    <w:rsid w:val="001568BB"/>
    <w:rsid w:val="001572E7"/>
    <w:rsid w:val="0016361C"/>
    <w:rsid w:val="00163C0E"/>
    <w:rsid w:val="0016493D"/>
    <w:rsid w:val="00164E34"/>
    <w:rsid w:val="00165A1E"/>
    <w:rsid w:val="001709DB"/>
    <w:rsid w:val="00171444"/>
    <w:rsid w:val="00180455"/>
    <w:rsid w:val="00180A6E"/>
    <w:rsid w:val="00181632"/>
    <w:rsid w:val="001821BD"/>
    <w:rsid w:val="00186670"/>
    <w:rsid w:val="0018757F"/>
    <w:rsid w:val="00191D5E"/>
    <w:rsid w:val="00194D34"/>
    <w:rsid w:val="00197784"/>
    <w:rsid w:val="001A119A"/>
    <w:rsid w:val="001A2112"/>
    <w:rsid w:val="001A233C"/>
    <w:rsid w:val="001A4BEE"/>
    <w:rsid w:val="001A5CA6"/>
    <w:rsid w:val="001A63EA"/>
    <w:rsid w:val="001A6684"/>
    <w:rsid w:val="001A7C2D"/>
    <w:rsid w:val="001B0357"/>
    <w:rsid w:val="001B5442"/>
    <w:rsid w:val="001B564D"/>
    <w:rsid w:val="001B7E6C"/>
    <w:rsid w:val="001C0225"/>
    <w:rsid w:val="001C24AE"/>
    <w:rsid w:val="001C40E8"/>
    <w:rsid w:val="001C61D0"/>
    <w:rsid w:val="001C70DD"/>
    <w:rsid w:val="001D000A"/>
    <w:rsid w:val="001D1D7D"/>
    <w:rsid w:val="001D7299"/>
    <w:rsid w:val="001D7782"/>
    <w:rsid w:val="001E1472"/>
    <w:rsid w:val="001E7EA5"/>
    <w:rsid w:val="001F1D54"/>
    <w:rsid w:val="001F2833"/>
    <w:rsid w:val="001F5E97"/>
    <w:rsid w:val="001F7B55"/>
    <w:rsid w:val="002022B7"/>
    <w:rsid w:val="00202EA2"/>
    <w:rsid w:val="00204D24"/>
    <w:rsid w:val="00204DC0"/>
    <w:rsid w:val="00206E51"/>
    <w:rsid w:val="00213588"/>
    <w:rsid w:val="0021687B"/>
    <w:rsid w:val="00217ECC"/>
    <w:rsid w:val="0022131E"/>
    <w:rsid w:val="0022465B"/>
    <w:rsid w:val="002274C9"/>
    <w:rsid w:val="00232E06"/>
    <w:rsid w:val="0023524C"/>
    <w:rsid w:val="0023730A"/>
    <w:rsid w:val="00237348"/>
    <w:rsid w:val="00237D31"/>
    <w:rsid w:val="00240378"/>
    <w:rsid w:val="00243C98"/>
    <w:rsid w:val="0024778C"/>
    <w:rsid w:val="002522FE"/>
    <w:rsid w:val="00263094"/>
    <w:rsid w:val="00263B26"/>
    <w:rsid w:val="002654CB"/>
    <w:rsid w:val="00275FAE"/>
    <w:rsid w:val="00283810"/>
    <w:rsid w:val="0028580F"/>
    <w:rsid w:val="00285C37"/>
    <w:rsid w:val="002874FB"/>
    <w:rsid w:val="002A0488"/>
    <w:rsid w:val="002A1858"/>
    <w:rsid w:val="002A3CDB"/>
    <w:rsid w:val="002A4995"/>
    <w:rsid w:val="002B16A7"/>
    <w:rsid w:val="002C07C3"/>
    <w:rsid w:val="002C088F"/>
    <w:rsid w:val="002C2519"/>
    <w:rsid w:val="002C555F"/>
    <w:rsid w:val="002D1BE7"/>
    <w:rsid w:val="002D2E77"/>
    <w:rsid w:val="002D40A7"/>
    <w:rsid w:val="002D4BD9"/>
    <w:rsid w:val="002D4DFD"/>
    <w:rsid w:val="002D5871"/>
    <w:rsid w:val="002E4547"/>
    <w:rsid w:val="002E5FDB"/>
    <w:rsid w:val="002F19C5"/>
    <w:rsid w:val="002F1D86"/>
    <w:rsid w:val="002F2CD2"/>
    <w:rsid w:val="002F4B6D"/>
    <w:rsid w:val="002F69E6"/>
    <w:rsid w:val="0030584E"/>
    <w:rsid w:val="00305BF2"/>
    <w:rsid w:val="003063AD"/>
    <w:rsid w:val="0030745D"/>
    <w:rsid w:val="00310208"/>
    <w:rsid w:val="003121C8"/>
    <w:rsid w:val="00312E86"/>
    <w:rsid w:val="00314EDE"/>
    <w:rsid w:val="00315AC2"/>
    <w:rsid w:val="00323640"/>
    <w:rsid w:val="003256D5"/>
    <w:rsid w:val="00326339"/>
    <w:rsid w:val="0032766F"/>
    <w:rsid w:val="0033108F"/>
    <w:rsid w:val="00331627"/>
    <w:rsid w:val="003334C9"/>
    <w:rsid w:val="003363D0"/>
    <w:rsid w:val="003400E5"/>
    <w:rsid w:val="003425C4"/>
    <w:rsid w:val="00342E61"/>
    <w:rsid w:val="00346066"/>
    <w:rsid w:val="00355AA6"/>
    <w:rsid w:val="0035649D"/>
    <w:rsid w:val="00360488"/>
    <w:rsid w:val="003609C7"/>
    <w:rsid w:val="003625D3"/>
    <w:rsid w:val="003653C4"/>
    <w:rsid w:val="003705CA"/>
    <w:rsid w:val="00372EC9"/>
    <w:rsid w:val="00373A44"/>
    <w:rsid w:val="00374A0D"/>
    <w:rsid w:val="00377FC8"/>
    <w:rsid w:val="003808ED"/>
    <w:rsid w:val="003812F6"/>
    <w:rsid w:val="00385C1D"/>
    <w:rsid w:val="00386A0E"/>
    <w:rsid w:val="00386C6E"/>
    <w:rsid w:val="00391109"/>
    <w:rsid w:val="00391F04"/>
    <w:rsid w:val="003944F3"/>
    <w:rsid w:val="0039498D"/>
    <w:rsid w:val="003A1565"/>
    <w:rsid w:val="003A287A"/>
    <w:rsid w:val="003A3D3D"/>
    <w:rsid w:val="003B264F"/>
    <w:rsid w:val="003B2BA3"/>
    <w:rsid w:val="003B77A1"/>
    <w:rsid w:val="003C03C4"/>
    <w:rsid w:val="003C0F8B"/>
    <w:rsid w:val="003C3A4A"/>
    <w:rsid w:val="003D3F9E"/>
    <w:rsid w:val="003D4FB8"/>
    <w:rsid w:val="003E0A57"/>
    <w:rsid w:val="003E3687"/>
    <w:rsid w:val="003E5AB9"/>
    <w:rsid w:val="003E651B"/>
    <w:rsid w:val="003E661A"/>
    <w:rsid w:val="003F0FCF"/>
    <w:rsid w:val="003F6F15"/>
    <w:rsid w:val="004070B0"/>
    <w:rsid w:val="00411317"/>
    <w:rsid w:val="0041409C"/>
    <w:rsid w:val="00414227"/>
    <w:rsid w:val="004145E5"/>
    <w:rsid w:val="00414D2E"/>
    <w:rsid w:val="004179A0"/>
    <w:rsid w:val="00423916"/>
    <w:rsid w:val="00425C3F"/>
    <w:rsid w:val="00427122"/>
    <w:rsid w:val="004274EF"/>
    <w:rsid w:val="004303E0"/>
    <w:rsid w:val="00432681"/>
    <w:rsid w:val="00435637"/>
    <w:rsid w:val="00440FAB"/>
    <w:rsid w:val="00444C0E"/>
    <w:rsid w:val="00446530"/>
    <w:rsid w:val="00447120"/>
    <w:rsid w:val="004507C9"/>
    <w:rsid w:val="00460CAA"/>
    <w:rsid w:val="00462541"/>
    <w:rsid w:val="004647B5"/>
    <w:rsid w:val="00465E3C"/>
    <w:rsid w:val="00470847"/>
    <w:rsid w:val="00472EF0"/>
    <w:rsid w:val="00477A64"/>
    <w:rsid w:val="004801A6"/>
    <w:rsid w:val="00484CA6"/>
    <w:rsid w:val="004850E8"/>
    <w:rsid w:val="00486A59"/>
    <w:rsid w:val="00486AA5"/>
    <w:rsid w:val="004905B2"/>
    <w:rsid w:val="00493844"/>
    <w:rsid w:val="004A2E53"/>
    <w:rsid w:val="004A55A8"/>
    <w:rsid w:val="004A625D"/>
    <w:rsid w:val="004A67AF"/>
    <w:rsid w:val="004B0C4E"/>
    <w:rsid w:val="004B0FCE"/>
    <w:rsid w:val="004B15BF"/>
    <w:rsid w:val="004B2C08"/>
    <w:rsid w:val="004B50D6"/>
    <w:rsid w:val="004C19B7"/>
    <w:rsid w:val="004C4829"/>
    <w:rsid w:val="004C5F08"/>
    <w:rsid w:val="004E031C"/>
    <w:rsid w:val="004E04A1"/>
    <w:rsid w:val="004E30A5"/>
    <w:rsid w:val="004E3E1F"/>
    <w:rsid w:val="004E4213"/>
    <w:rsid w:val="004E50DE"/>
    <w:rsid w:val="004E5341"/>
    <w:rsid w:val="004E62C5"/>
    <w:rsid w:val="004E6B41"/>
    <w:rsid w:val="004F2342"/>
    <w:rsid w:val="004F4D44"/>
    <w:rsid w:val="00506AD1"/>
    <w:rsid w:val="00507974"/>
    <w:rsid w:val="0051058B"/>
    <w:rsid w:val="00514B59"/>
    <w:rsid w:val="00522447"/>
    <w:rsid w:val="00522D1E"/>
    <w:rsid w:val="00523E6A"/>
    <w:rsid w:val="00526E42"/>
    <w:rsid w:val="005274DC"/>
    <w:rsid w:val="005346CE"/>
    <w:rsid w:val="005425E4"/>
    <w:rsid w:val="005454C9"/>
    <w:rsid w:val="00547D56"/>
    <w:rsid w:val="0055081D"/>
    <w:rsid w:val="00550A05"/>
    <w:rsid w:val="00550D2E"/>
    <w:rsid w:val="00551C32"/>
    <w:rsid w:val="00552589"/>
    <w:rsid w:val="00552F11"/>
    <w:rsid w:val="00556113"/>
    <w:rsid w:val="00560587"/>
    <w:rsid w:val="005619AA"/>
    <w:rsid w:val="00561F39"/>
    <w:rsid w:val="00564373"/>
    <w:rsid w:val="00571AA8"/>
    <w:rsid w:val="00571F41"/>
    <w:rsid w:val="00573DDE"/>
    <w:rsid w:val="005777AA"/>
    <w:rsid w:val="005820BA"/>
    <w:rsid w:val="00583D75"/>
    <w:rsid w:val="0058737F"/>
    <w:rsid w:val="0059024B"/>
    <w:rsid w:val="00591CD8"/>
    <w:rsid w:val="0059378B"/>
    <w:rsid w:val="00593D93"/>
    <w:rsid w:val="00594040"/>
    <w:rsid w:val="005959B6"/>
    <w:rsid w:val="00597146"/>
    <w:rsid w:val="005975EB"/>
    <w:rsid w:val="005A1463"/>
    <w:rsid w:val="005A1F6A"/>
    <w:rsid w:val="005B02BF"/>
    <w:rsid w:val="005B0B79"/>
    <w:rsid w:val="005B2AA3"/>
    <w:rsid w:val="005B3424"/>
    <w:rsid w:val="005C1B25"/>
    <w:rsid w:val="005D0855"/>
    <w:rsid w:val="005D1426"/>
    <w:rsid w:val="005D27DD"/>
    <w:rsid w:val="005D2D54"/>
    <w:rsid w:val="005D35A4"/>
    <w:rsid w:val="005D485E"/>
    <w:rsid w:val="005F120E"/>
    <w:rsid w:val="005F1387"/>
    <w:rsid w:val="005F3724"/>
    <w:rsid w:val="005F5FFA"/>
    <w:rsid w:val="006001BC"/>
    <w:rsid w:val="00601691"/>
    <w:rsid w:val="006057BE"/>
    <w:rsid w:val="00606973"/>
    <w:rsid w:val="006112B8"/>
    <w:rsid w:val="00616E2C"/>
    <w:rsid w:val="00624A5C"/>
    <w:rsid w:val="00626148"/>
    <w:rsid w:val="00631BE6"/>
    <w:rsid w:val="00634751"/>
    <w:rsid w:val="0063627A"/>
    <w:rsid w:val="00641CF4"/>
    <w:rsid w:val="006425FF"/>
    <w:rsid w:val="00645664"/>
    <w:rsid w:val="00647F29"/>
    <w:rsid w:val="00651A00"/>
    <w:rsid w:val="00651C20"/>
    <w:rsid w:val="006536AE"/>
    <w:rsid w:val="006704C9"/>
    <w:rsid w:val="006708DC"/>
    <w:rsid w:val="006726DD"/>
    <w:rsid w:val="0068087B"/>
    <w:rsid w:val="0068097A"/>
    <w:rsid w:val="0068238F"/>
    <w:rsid w:val="00684C7B"/>
    <w:rsid w:val="00687E06"/>
    <w:rsid w:val="00687FE8"/>
    <w:rsid w:val="00690932"/>
    <w:rsid w:val="00692D5A"/>
    <w:rsid w:val="006A2406"/>
    <w:rsid w:val="006A606D"/>
    <w:rsid w:val="006A6FFB"/>
    <w:rsid w:val="006B18CA"/>
    <w:rsid w:val="006B547E"/>
    <w:rsid w:val="006B6525"/>
    <w:rsid w:val="006B7D02"/>
    <w:rsid w:val="006C0549"/>
    <w:rsid w:val="006C3494"/>
    <w:rsid w:val="006C383C"/>
    <w:rsid w:val="006D2775"/>
    <w:rsid w:val="006D6331"/>
    <w:rsid w:val="006E0F51"/>
    <w:rsid w:val="006E2EE2"/>
    <w:rsid w:val="006E3792"/>
    <w:rsid w:val="006E6E4E"/>
    <w:rsid w:val="006F3F5B"/>
    <w:rsid w:val="006F503F"/>
    <w:rsid w:val="006F5FC2"/>
    <w:rsid w:val="006F658A"/>
    <w:rsid w:val="006F686A"/>
    <w:rsid w:val="00702DF2"/>
    <w:rsid w:val="007037D1"/>
    <w:rsid w:val="007062C8"/>
    <w:rsid w:val="0071133D"/>
    <w:rsid w:val="007113C2"/>
    <w:rsid w:val="00712C28"/>
    <w:rsid w:val="00717957"/>
    <w:rsid w:val="00717E10"/>
    <w:rsid w:val="00717F67"/>
    <w:rsid w:val="00721033"/>
    <w:rsid w:val="007224F9"/>
    <w:rsid w:val="00725215"/>
    <w:rsid w:val="007253DA"/>
    <w:rsid w:val="007276FD"/>
    <w:rsid w:val="007321FB"/>
    <w:rsid w:val="007325C0"/>
    <w:rsid w:val="007339B9"/>
    <w:rsid w:val="007345AD"/>
    <w:rsid w:val="00736542"/>
    <w:rsid w:val="007409ED"/>
    <w:rsid w:val="007424AE"/>
    <w:rsid w:val="0074287D"/>
    <w:rsid w:val="00742B33"/>
    <w:rsid w:val="007459ED"/>
    <w:rsid w:val="00746BF5"/>
    <w:rsid w:val="00747E18"/>
    <w:rsid w:val="00750E2A"/>
    <w:rsid w:val="007544CD"/>
    <w:rsid w:val="007566B1"/>
    <w:rsid w:val="00762340"/>
    <w:rsid w:val="00764698"/>
    <w:rsid w:val="0076489B"/>
    <w:rsid w:val="00765425"/>
    <w:rsid w:val="007657C7"/>
    <w:rsid w:val="00766BEC"/>
    <w:rsid w:val="00771D4D"/>
    <w:rsid w:val="00774153"/>
    <w:rsid w:val="00774809"/>
    <w:rsid w:val="00776269"/>
    <w:rsid w:val="00776A14"/>
    <w:rsid w:val="00780BD3"/>
    <w:rsid w:val="00783928"/>
    <w:rsid w:val="00783E48"/>
    <w:rsid w:val="00795192"/>
    <w:rsid w:val="00795992"/>
    <w:rsid w:val="00796971"/>
    <w:rsid w:val="007A1E82"/>
    <w:rsid w:val="007A46D6"/>
    <w:rsid w:val="007A6C50"/>
    <w:rsid w:val="007A76E6"/>
    <w:rsid w:val="007B5B21"/>
    <w:rsid w:val="007B6C4E"/>
    <w:rsid w:val="007B7FF9"/>
    <w:rsid w:val="007C0009"/>
    <w:rsid w:val="007C5716"/>
    <w:rsid w:val="007D46C6"/>
    <w:rsid w:val="007D6888"/>
    <w:rsid w:val="007D767E"/>
    <w:rsid w:val="007E0402"/>
    <w:rsid w:val="007E3DAA"/>
    <w:rsid w:val="007E51B3"/>
    <w:rsid w:val="007E6A4F"/>
    <w:rsid w:val="007E741D"/>
    <w:rsid w:val="007F0864"/>
    <w:rsid w:val="007F0BCD"/>
    <w:rsid w:val="007F4453"/>
    <w:rsid w:val="00805C0D"/>
    <w:rsid w:val="00807C13"/>
    <w:rsid w:val="00810547"/>
    <w:rsid w:val="00812675"/>
    <w:rsid w:val="008161F4"/>
    <w:rsid w:val="00817FA6"/>
    <w:rsid w:val="0082037C"/>
    <w:rsid w:val="00820E60"/>
    <w:rsid w:val="00821EBE"/>
    <w:rsid w:val="00822FF1"/>
    <w:rsid w:val="008239B6"/>
    <w:rsid w:val="008268AA"/>
    <w:rsid w:val="00830E84"/>
    <w:rsid w:val="00832DC0"/>
    <w:rsid w:val="0083529B"/>
    <w:rsid w:val="00840519"/>
    <w:rsid w:val="00841777"/>
    <w:rsid w:val="00843D83"/>
    <w:rsid w:val="00846A0F"/>
    <w:rsid w:val="00847CE6"/>
    <w:rsid w:val="0085004D"/>
    <w:rsid w:val="00851D37"/>
    <w:rsid w:val="00854755"/>
    <w:rsid w:val="008554CF"/>
    <w:rsid w:val="008562A7"/>
    <w:rsid w:val="0085698C"/>
    <w:rsid w:val="00860B7A"/>
    <w:rsid w:val="00863B6D"/>
    <w:rsid w:val="00867486"/>
    <w:rsid w:val="00871F9F"/>
    <w:rsid w:val="0087487F"/>
    <w:rsid w:val="00877406"/>
    <w:rsid w:val="008808F6"/>
    <w:rsid w:val="00881803"/>
    <w:rsid w:val="00883913"/>
    <w:rsid w:val="00892DDF"/>
    <w:rsid w:val="0089461F"/>
    <w:rsid w:val="00897503"/>
    <w:rsid w:val="008A0FBB"/>
    <w:rsid w:val="008A1284"/>
    <w:rsid w:val="008A436C"/>
    <w:rsid w:val="008B2A49"/>
    <w:rsid w:val="008B4B41"/>
    <w:rsid w:val="008C3300"/>
    <w:rsid w:val="008D05D2"/>
    <w:rsid w:val="008D35D6"/>
    <w:rsid w:val="008D4C81"/>
    <w:rsid w:val="008D60D8"/>
    <w:rsid w:val="008E1577"/>
    <w:rsid w:val="008E1CB2"/>
    <w:rsid w:val="008E2FCD"/>
    <w:rsid w:val="008E4685"/>
    <w:rsid w:val="008E498A"/>
    <w:rsid w:val="008F1F40"/>
    <w:rsid w:val="008F3898"/>
    <w:rsid w:val="008F3CDF"/>
    <w:rsid w:val="008F58CE"/>
    <w:rsid w:val="008F6BF9"/>
    <w:rsid w:val="00905EC3"/>
    <w:rsid w:val="00906787"/>
    <w:rsid w:val="0091197C"/>
    <w:rsid w:val="00914D09"/>
    <w:rsid w:val="00922D88"/>
    <w:rsid w:val="00925A87"/>
    <w:rsid w:val="009266A6"/>
    <w:rsid w:val="00930739"/>
    <w:rsid w:val="00930B1F"/>
    <w:rsid w:val="00930B68"/>
    <w:rsid w:val="00930D30"/>
    <w:rsid w:val="0093206A"/>
    <w:rsid w:val="00935170"/>
    <w:rsid w:val="00942D80"/>
    <w:rsid w:val="0094618F"/>
    <w:rsid w:val="00950EAF"/>
    <w:rsid w:val="009512CF"/>
    <w:rsid w:val="00952BE2"/>
    <w:rsid w:val="0095626E"/>
    <w:rsid w:val="009571E5"/>
    <w:rsid w:val="009628A8"/>
    <w:rsid w:val="00966FBC"/>
    <w:rsid w:val="00967A93"/>
    <w:rsid w:val="00977B8D"/>
    <w:rsid w:val="00982EDA"/>
    <w:rsid w:val="009842D0"/>
    <w:rsid w:val="0098774A"/>
    <w:rsid w:val="00991D60"/>
    <w:rsid w:val="00994FB9"/>
    <w:rsid w:val="00995645"/>
    <w:rsid w:val="009959A2"/>
    <w:rsid w:val="009A042E"/>
    <w:rsid w:val="009A056C"/>
    <w:rsid w:val="009A1311"/>
    <w:rsid w:val="009A5893"/>
    <w:rsid w:val="009A6D4F"/>
    <w:rsid w:val="009A7BD0"/>
    <w:rsid w:val="009B02D5"/>
    <w:rsid w:val="009B19CF"/>
    <w:rsid w:val="009B2D97"/>
    <w:rsid w:val="009B4A56"/>
    <w:rsid w:val="009B796F"/>
    <w:rsid w:val="009C42BB"/>
    <w:rsid w:val="009C57B3"/>
    <w:rsid w:val="009D0025"/>
    <w:rsid w:val="009D0221"/>
    <w:rsid w:val="009D2E48"/>
    <w:rsid w:val="009E2493"/>
    <w:rsid w:val="009E3AA8"/>
    <w:rsid w:val="009E5D9B"/>
    <w:rsid w:val="009E7EFC"/>
    <w:rsid w:val="009F092C"/>
    <w:rsid w:val="009F5184"/>
    <w:rsid w:val="009F59D2"/>
    <w:rsid w:val="009F6B3F"/>
    <w:rsid w:val="00A07662"/>
    <w:rsid w:val="00A10A96"/>
    <w:rsid w:val="00A13E06"/>
    <w:rsid w:val="00A13E24"/>
    <w:rsid w:val="00A21AE8"/>
    <w:rsid w:val="00A2432E"/>
    <w:rsid w:val="00A24F64"/>
    <w:rsid w:val="00A26899"/>
    <w:rsid w:val="00A27757"/>
    <w:rsid w:val="00A336D8"/>
    <w:rsid w:val="00A360A2"/>
    <w:rsid w:val="00A361C7"/>
    <w:rsid w:val="00A37603"/>
    <w:rsid w:val="00A4264F"/>
    <w:rsid w:val="00A427CF"/>
    <w:rsid w:val="00A516BE"/>
    <w:rsid w:val="00A547A2"/>
    <w:rsid w:val="00A55410"/>
    <w:rsid w:val="00A61696"/>
    <w:rsid w:val="00A65725"/>
    <w:rsid w:val="00A66B5D"/>
    <w:rsid w:val="00A75FFF"/>
    <w:rsid w:val="00A761F4"/>
    <w:rsid w:val="00A811E7"/>
    <w:rsid w:val="00A82994"/>
    <w:rsid w:val="00A82D62"/>
    <w:rsid w:val="00A86596"/>
    <w:rsid w:val="00A865F3"/>
    <w:rsid w:val="00A93371"/>
    <w:rsid w:val="00A9612D"/>
    <w:rsid w:val="00A97347"/>
    <w:rsid w:val="00AA10AB"/>
    <w:rsid w:val="00AA41B2"/>
    <w:rsid w:val="00AA430F"/>
    <w:rsid w:val="00AA4AFB"/>
    <w:rsid w:val="00AA5E72"/>
    <w:rsid w:val="00AA63FC"/>
    <w:rsid w:val="00AA7AF8"/>
    <w:rsid w:val="00AB094A"/>
    <w:rsid w:val="00AB2107"/>
    <w:rsid w:val="00AB754A"/>
    <w:rsid w:val="00AB7E89"/>
    <w:rsid w:val="00AC5E3F"/>
    <w:rsid w:val="00AD0CEF"/>
    <w:rsid w:val="00AD2454"/>
    <w:rsid w:val="00AD2F62"/>
    <w:rsid w:val="00AD40E5"/>
    <w:rsid w:val="00AD5FC3"/>
    <w:rsid w:val="00AE0960"/>
    <w:rsid w:val="00AE6794"/>
    <w:rsid w:val="00AF4CC9"/>
    <w:rsid w:val="00AF55BD"/>
    <w:rsid w:val="00B027EB"/>
    <w:rsid w:val="00B04247"/>
    <w:rsid w:val="00B051E4"/>
    <w:rsid w:val="00B0686C"/>
    <w:rsid w:val="00B10137"/>
    <w:rsid w:val="00B10EC4"/>
    <w:rsid w:val="00B123DA"/>
    <w:rsid w:val="00B124FE"/>
    <w:rsid w:val="00B14E2D"/>
    <w:rsid w:val="00B26439"/>
    <w:rsid w:val="00B30FA0"/>
    <w:rsid w:val="00B31227"/>
    <w:rsid w:val="00B35809"/>
    <w:rsid w:val="00B377D1"/>
    <w:rsid w:val="00B37AEF"/>
    <w:rsid w:val="00B40953"/>
    <w:rsid w:val="00B412F5"/>
    <w:rsid w:val="00B418DA"/>
    <w:rsid w:val="00B4213B"/>
    <w:rsid w:val="00B450E2"/>
    <w:rsid w:val="00B451D7"/>
    <w:rsid w:val="00B459C6"/>
    <w:rsid w:val="00B5178F"/>
    <w:rsid w:val="00B54A2C"/>
    <w:rsid w:val="00B54D95"/>
    <w:rsid w:val="00B55F36"/>
    <w:rsid w:val="00B56CE4"/>
    <w:rsid w:val="00B57C6E"/>
    <w:rsid w:val="00B61113"/>
    <w:rsid w:val="00B655A7"/>
    <w:rsid w:val="00B70B42"/>
    <w:rsid w:val="00B71657"/>
    <w:rsid w:val="00B71A0C"/>
    <w:rsid w:val="00B748A4"/>
    <w:rsid w:val="00B77C8B"/>
    <w:rsid w:val="00B823C0"/>
    <w:rsid w:val="00B828A3"/>
    <w:rsid w:val="00B86A47"/>
    <w:rsid w:val="00B9047E"/>
    <w:rsid w:val="00B94D71"/>
    <w:rsid w:val="00B95474"/>
    <w:rsid w:val="00B96A68"/>
    <w:rsid w:val="00BA04B5"/>
    <w:rsid w:val="00BA06B8"/>
    <w:rsid w:val="00BA0CCB"/>
    <w:rsid w:val="00BA2633"/>
    <w:rsid w:val="00BA7080"/>
    <w:rsid w:val="00BB05A3"/>
    <w:rsid w:val="00BB06A1"/>
    <w:rsid w:val="00BB0BDC"/>
    <w:rsid w:val="00BB7470"/>
    <w:rsid w:val="00BBE638"/>
    <w:rsid w:val="00BC2D2D"/>
    <w:rsid w:val="00BC42AA"/>
    <w:rsid w:val="00BC42C7"/>
    <w:rsid w:val="00BC436E"/>
    <w:rsid w:val="00BC5567"/>
    <w:rsid w:val="00BE21D3"/>
    <w:rsid w:val="00BE3438"/>
    <w:rsid w:val="00BE5B54"/>
    <w:rsid w:val="00BE6466"/>
    <w:rsid w:val="00BE6A82"/>
    <w:rsid w:val="00BF03C3"/>
    <w:rsid w:val="00BF181B"/>
    <w:rsid w:val="00BF2443"/>
    <w:rsid w:val="00BF2C63"/>
    <w:rsid w:val="00C002DB"/>
    <w:rsid w:val="00C01523"/>
    <w:rsid w:val="00C01D2F"/>
    <w:rsid w:val="00C023B6"/>
    <w:rsid w:val="00C0742C"/>
    <w:rsid w:val="00C078FC"/>
    <w:rsid w:val="00C13187"/>
    <w:rsid w:val="00C133B2"/>
    <w:rsid w:val="00C171D7"/>
    <w:rsid w:val="00C21532"/>
    <w:rsid w:val="00C23345"/>
    <w:rsid w:val="00C238BE"/>
    <w:rsid w:val="00C23ACD"/>
    <w:rsid w:val="00C27C58"/>
    <w:rsid w:val="00C308E9"/>
    <w:rsid w:val="00C328DF"/>
    <w:rsid w:val="00C4089F"/>
    <w:rsid w:val="00C43465"/>
    <w:rsid w:val="00C50671"/>
    <w:rsid w:val="00C52EA3"/>
    <w:rsid w:val="00C56AEF"/>
    <w:rsid w:val="00C5742A"/>
    <w:rsid w:val="00C575BD"/>
    <w:rsid w:val="00C576A8"/>
    <w:rsid w:val="00C60E44"/>
    <w:rsid w:val="00C6139D"/>
    <w:rsid w:val="00C628D1"/>
    <w:rsid w:val="00C64769"/>
    <w:rsid w:val="00C65884"/>
    <w:rsid w:val="00C7065D"/>
    <w:rsid w:val="00C71917"/>
    <w:rsid w:val="00C77E88"/>
    <w:rsid w:val="00C8231D"/>
    <w:rsid w:val="00C83447"/>
    <w:rsid w:val="00C86DDB"/>
    <w:rsid w:val="00C93CF7"/>
    <w:rsid w:val="00C97106"/>
    <w:rsid w:val="00CA3491"/>
    <w:rsid w:val="00CA4229"/>
    <w:rsid w:val="00CB45C5"/>
    <w:rsid w:val="00CC1AEA"/>
    <w:rsid w:val="00CC32B6"/>
    <w:rsid w:val="00CC7509"/>
    <w:rsid w:val="00CC7651"/>
    <w:rsid w:val="00CD5C27"/>
    <w:rsid w:val="00CD5EA7"/>
    <w:rsid w:val="00CD6AED"/>
    <w:rsid w:val="00CE0281"/>
    <w:rsid w:val="00CE10B8"/>
    <w:rsid w:val="00CF2AA3"/>
    <w:rsid w:val="00CF3238"/>
    <w:rsid w:val="00CF33B7"/>
    <w:rsid w:val="00CF39D9"/>
    <w:rsid w:val="00CF422E"/>
    <w:rsid w:val="00D03549"/>
    <w:rsid w:val="00D0364D"/>
    <w:rsid w:val="00D0395F"/>
    <w:rsid w:val="00D069F9"/>
    <w:rsid w:val="00D074F1"/>
    <w:rsid w:val="00D14E51"/>
    <w:rsid w:val="00D20D54"/>
    <w:rsid w:val="00D34242"/>
    <w:rsid w:val="00D40F83"/>
    <w:rsid w:val="00D42D91"/>
    <w:rsid w:val="00D4435B"/>
    <w:rsid w:val="00D46C81"/>
    <w:rsid w:val="00D47E8A"/>
    <w:rsid w:val="00D5206F"/>
    <w:rsid w:val="00D52436"/>
    <w:rsid w:val="00D52E58"/>
    <w:rsid w:val="00D54E8B"/>
    <w:rsid w:val="00D74893"/>
    <w:rsid w:val="00D76A7F"/>
    <w:rsid w:val="00D81EA2"/>
    <w:rsid w:val="00D84D5F"/>
    <w:rsid w:val="00D86ECD"/>
    <w:rsid w:val="00D876E6"/>
    <w:rsid w:val="00D9387E"/>
    <w:rsid w:val="00D93C54"/>
    <w:rsid w:val="00D954F7"/>
    <w:rsid w:val="00D95B83"/>
    <w:rsid w:val="00D9727D"/>
    <w:rsid w:val="00D97F66"/>
    <w:rsid w:val="00DA6A10"/>
    <w:rsid w:val="00DB2D89"/>
    <w:rsid w:val="00DB41B1"/>
    <w:rsid w:val="00DB5102"/>
    <w:rsid w:val="00DC39A9"/>
    <w:rsid w:val="00DC3BBA"/>
    <w:rsid w:val="00DD034F"/>
    <w:rsid w:val="00DD79BB"/>
    <w:rsid w:val="00DE07FB"/>
    <w:rsid w:val="00DE0C08"/>
    <w:rsid w:val="00DE3E3D"/>
    <w:rsid w:val="00DE7514"/>
    <w:rsid w:val="00DF2C78"/>
    <w:rsid w:val="00DF2E7A"/>
    <w:rsid w:val="00DF5687"/>
    <w:rsid w:val="00E00A7F"/>
    <w:rsid w:val="00E022F1"/>
    <w:rsid w:val="00E04F25"/>
    <w:rsid w:val="00E052D2"/>
    <w:rsid w:val="00E06B86"/>
    <w:rsid w:val="00E13BDF"/>
    <w:rsid w:val="00E17943"/>
    <w:rsid w:val="00E17F53"/>
    <w:rsid w:val="00E21070"/>
    <w:rsid w:val="00E26CD1"/>
    <w:rsid w:val="00E330F3"/>
    <w:rsid w:val="00E3673E"/>
    <w:rsid w:val="00E36848"/>
    <w:rsid w:val="00E50C15"/>
    <w:rsid w:val="00E542FB"/>
    <w:rsid w:val="00E551AC"/>
    <w:rsid w:val="00E556FF"/>
    <w:rsid w:val="00E55E3A"/>
    <w:rsid w:val="00E605C6"/>
    <w:rsid w:val="00E60BE7"/>
    <w:rsid w:val="00E61FE9"/>
    <w:rsid w:val="00E63B5E"/>
    <w:rsid w:val="00E64596"/>
    <w:rsid w:val="00E6503C"/>
    <w:rsid w:val="00E65513"/>
    <w:rsid w:val="00E65D4A"/>
    <w:rsid w:val="00E7364F"/>
    <w:rsid w:val="00E73C9F"/>
    <w:rsid w:val="00E747FF"/>
    <w:rsid w:val="00E81766"/>
    <w:rsid w:val="00E82778"/>
    <w:rsid w:val="00E85A6E"/>
    <w:rsid w:val="00E87479"/>
    <w:rsid w:val="00E87572"/>
    <w:rsid w:val="00E878C7"/>
    <w:rsid w:val="00E87E68"/>
    <w:rsid w:val="00E90614"/>
    <w:rsid w:val="00E96CB6"/>
    <w:rsid w:val="00EA0826"/>
    <w:rsid w:val="00EA2854"/>
    <w:rsid w:val="00EA4666"/>
    <w:rsid w:val="00EA469D"/>
    <w:rsid w:val="00EA6856"/>
    <w:rsid w:val="00EA7394"/>
    <w:rsid w:val="00EB0DAE"/>
    <w:rsid w:val="00EB211D"/>
    <w:rsid w:val="00EB423B"/>
    <w:rsid w:val="00EC5F39"/>
    <w:rsid w:val="00EC7BEB"/>
    <w:rsid w:val="00ED1DD9"/>
    <w:rsid w:val="00ED2C12"/>
    <w:rsid w:val="00ED5C40"/>
    <w:rsid w:val="00ED7AE8"/>
    <w:rsid w:val="00EE1408"/>
    <w:rsid w:val="00EE3EAD"/>
    <w:rsid w:val="00EE63C7"/>
    <w:rsid w:val="00EE7FBC"/>
    <w:rsid w:val="00EF2ED7"/>
    <w:rsid w:val="00EF3782"/>
    <w:rsid w:val="00EF38A0"/>
    <w:rsid w:val="00F0466B"/>
    <w:rsid w:val="00F06931"/>
    <w:rsid w:val="00F06D8D"/>
    <w:rsid w:val="00F0779D"/>
    <w:rsid w:val="00F10B84"/>
    <w:rsid w:val="00F11281"/>
    <w:rsid w:val="00F11A6B"/>
    <w:rsid w:val="00F13806"/>
    <w:rsid w:val="00F20AC2"/>
    <w:rsid w:val="00F21199"/>
    <w:rsid w:val="00F23B78"/>
    <w:rsid w:val="00F252DF"/>
    <w:rsid w:val="00F2579A"/>
    <w:rsid w:val="00F25CA1"/>
    <w:rsid w:val="00F27B58"/>
    <w:rsid w:val="00F27E24"/>
    <w:rsid w:val="00F34327"/>
    <w:rsid w:val="00F3606E"/>
    <w:rsid w:val="00F4631B"/>
    <w:rsid w:val="00F46CD3"/>
    <w:rsid w:val="00F47F52"/>
    <w:rsid w:val="00F52154"/>
    <w:rsid w:val="00F52F90"/>
    <w:rsid w:val="00F557D2"/>
    <w:rsid w:val="00F736C0"/>
    <w:rsid w:val="00F73D5E"/>
    <w:rsid w:val="00F75FAB"/>
    <w:rsid w:val="00F768B0"/>
    <w:rsid w:val="00F81C13"/>
    <w:rsid w:val="00F83107"/>
    <w:rsid w:val="00F83392"/>
    <w:rsid w:val="00F8565B"/>
    <w:rsid w:val="00F9158E"/>
    <w:rsid w:val="00F929BF"/>
    <w:rsid w:val="00F9690A"/>
    <w:rsid w:val="00F9751B"/>
    <w:rsid w:val="00F97BBC"/>
    <w:rsid w:val="00FA41C4"/>
    <w:rsid w:val="00FA4640"/>
    <w:rsid w:val="00FA47C7"/>
    <w:rsid w:val="00FA5593"/>
    <w:rsid w:val="00FA5CB8"/>
    <w:rsid w:val="00FA74FF"/>
    <w:rsid w:val="00FB0EC1"/>
    <w:rsid w:val="00FB213E"/>
    <w:rsid w:val="00FB52F9"/>
    <w:rsid w:val="00FB56DA"/>
    <w:rsid w:val="00FB6739"/>
    <w:rsid w:val="00FC1EF2"/>
    <w:rsid w:val="00FC2523"/>
    <w:rsid w:val="00FC72FB"/>
    <w:rsid w:val="00FD0E2A"/>
    <w:rsid w:val="00FD1ED8"/>
    <w:rsid w:val="00FD5C1A"/>
    <w:rsid w:val="00FD5CB2"/>
    <w:rsid w:val="00FD669F"/>
    <w:rsid w:val="00FD6F3E"/>
    <w:rsid w:val="00FD7EC0"/>
    <w:rsid w:val="00FE0ACF"/>
    <w:rsid w:val="00FE2060"/>
    <w:rsid w:val="00FE4146"/>
    <w:rsid w:val="00FE67D7"/>
    <w:rsid w:val="00FE71B4"/>
    <w:rsid w:val="00FF2B3C"/>
    <w:rsid w:val="00FF4238"/>
    <w:rsid w:val="01979DA5"/>
    <w:rsid w:val="01AEE343"/>
    <w:rsid w:val="01C6A8DD"/>
    <w:rsid w:val="01ED9C9A"/>
    <w:rsid w:val="029E59EB"/>
    <w:rsid w:val="035744E3"/>
    <w:rsid w:val="03A588D2"/>
    <w:rsid w:val="03E9CB7C"/>
    <w:rsid w:val="03F7B728"/>
    <w:rsid w:val="04749148"/>
    <w:rsid w:val="04A9DD57"/>
    <w:rsid w:val="04F872AB"/>
    <w:rsid w:val="04FE499F"/>
    <w:rsid w:val="05081F9A"/>
    <w:rsid w:val="05854225"/>
    <w:rsid w:val="05B3C19B"/>
    <w:rsid w:val="05DC3D39"/>
    <w:rsid w:val="05FB1A66"/>
    <w:rsid w:val="0695AE6A"/>
    <w:rsid w:val="070D6FEA"/>
    <w:rsid w:val="074FF04A"/>
    <w:rsid w:val="076CC710"/>
    <w:rsid w:val="07AB627E"/>
    <w:rsid w:val="07B01C1D"/>
    <w:rsid w:val="07DC7BF5"/>
    <w:rsid w:val="096CB96B"/>
    <w:rsid w:val="09E82CE0"/>
    <w:rsid w:val="0A4F317B"/>
    <w:rsid w:val="0AA467D2"/>
    <w:rsid w:val="0ACA90DF"/>
    <w:rsid w:val="0ACDE15D"/>
    <w:rsid w:val="0B21153D"/>
    <w:rsid w:val="0B4AE321"/>
    <w:rsid w:val="0BAD12EF"/>
    <w:rsid w:val="0C89484B"/>
    <w:rsid w:val="0C9E627D"/>
    <w:rsid w:val="0CE7A53F"/>
    <w:rsid w:val="0E8E1A1A"/>
    <w:rsid w:val="0E9CD9B8"/>
    <w:rsid w:val="0EAD7F77"/>
    <w:rsid w:val="0EC00901"/>
    <w:rsid w:val="0EC984E0"/>
    <w:rsid w:val="0EDEED04"/>
    <w:rsid w:val="0F79EF87"/>
    <w:rsid w:val="0FA1191D"/>
    <w:rsid w:val="0FB2BC4F"/>
    <w:rsid w:val="0FCB089F"/>
    <w:rsid w:val="0FE591C2"/>
    <w:rsid w:val="104FE65A"/>
    <w:rsid w:val="10E65985"/>
    <w:rsid w:val="11001E76"/>
    <w:rsid w:val="11A3852F"/>
    <w:rsid w:val="11C71348"/>
    <w:rsid w:val="125CA40B"/>
    <w:rsid w:val="1268C0B4"/>
    <w:rsid w:val="1381414F"/>
    <w:rsid w:val="139D65B6"/>
    <w:rsid w:val="13EAAD5E"/>
    <w:rsid w:val="13ECED0F"/>
    <w:rsid w:val="13EE5289"/>
    <w:rsid w:val="1422A996"/>
    <w:rsid w:val="14506B32"/>
    <w:rsid w:val="15A9DD8F"/>
    <w:rsid w:val="15D008AE"/>
    <w:rsid w:val="15FB0B2E"/>
    <w:rsid w:val="1785016C"/>
    <w:rsid w:val="17B18CC9"/>
    <w:rsid w:val="17B1DF6D"/>
    <w:rsid w:val="18B80F02"/>
    <w:rsid w:val="18C7519B"/>
    <w:rsid w:val="1A5D9C3B"/>
    <w:rsid w:val="1AAB7DEF"/>
    <w:rsid w:val="1B637AE7"/>
    <w:rsid w:val="1C057A52"/>
    <w:rsid w:val="1CA4F0DC"/>
    <w:rsid w:val="1CC632F3"/>
    <w:rsid w:val="1CD5BA57"/>
    <w:rsid w:val="1D02F00B"/>
    <w:rsid w:val="1D6861AE"/>
    <w:rsid w:val="1D898639"/>
    <w:rsid w:val="1D953CFD"/>
    <w:rsid w:val="1D97B41F"/>
    <w:rsid w:val="1DDB1A93"/>
    <w:rsid w:val="1E7CB267"/>
    <w:rsid w:val="1EC4DA69"/>
    <w:rsid w:val="1EDDC0D5"/>
    <w:rsid w:val="1F38D955"/>
    <w:rsid w:val="1F43DBCC"/>
    <w:rsid w:val="20059F2A"/>
    <w:rsid w:val="2102F60C"/>
    <w:rsid w:val="22760549"/>
    <w:rsid w:val="24B16450"/>
    <w:rsid w:val="258CAC46"/>
    <w:rsid w:val="25ACA037"/>
    <w:rsid w:val="25FCD99C"/>
    <w:rsid w:val="2649EFE7"/>
    <w:rsid w:val="2674E0AE"/>
    <w:rsid w:val="273C1F43"/>
    <w:rsid w:val="276A0EFF"/>
    <w:rsid w:val="27CA8F4D"/>
    <w:rsid w:val="27E5C048"/>
    <w:rsid w:val="28D7EFA4"/>
    <w:rsid w:val="28FC867C"/>
    <w:rsid w:val="2985D8AF"/>
    <w:rsid w:val="29AC8170"/>
    <w:rsid w:val="2AFD4D7C"/>
    <w:rsid w:val="2B1D610A"/>
    <w:rsid w:val="2B27EEAA"/>
    <w:rsid w:val="2B842C4A"/>
    <w:rsid w:val="2BAFA1C8"/>
    <w:rsid w:val="2BB06B16"/>
    <w:rsid w:val="2BF09CA5"/>
    <w:rsid w:val="2BFE79A6"/>
    <w:rsid w:val="2C0E0A4B"/>
    <w:rsid w:val="2C2DDF07"/>
    <w:rsid w:val="2C486525"/>
    <w:rsid w:val="2CCAF9D5"/>
    <w:rsid w:val="2D7D98FC"/>
    <w:rsid w:val="2DA5EBCA"/>
    <w:rsid w:val="2DE00386"/>
    <w:rsid w:val="2E2EE3D0"/>
    <w:rsid w:val="2E46ED86"/>
    <w:rsid w:val="2E5501CC"/>
    <w:rsid w:val="2EFE29AD"/>
    <w:rsid w:val="2FB031F8"/>
    <w:rsid w:val="2FC8B85C"/>
    <w:rsid w:val="30579D6D"/>
    <w:rsid w:val="305BD3F9"/>
    <w:rsid w:val="31614C64"/>
    <w:rsid w:val="317BD4AC"/>
    <w:rsid w:val="330FAC6E"/>
    <w:rsid w:val="341DBF0D"/>
    <w:rsid w:val="348615E3"/>
    <w:rsid w:val="34F53CE1"/>
    <w:rsid w:val="35291A6F"/>
    <w:rsid w:val="3564C8DA"/>
    <w:rsid w:val="36043DC8"/>
    <w:rsid w:val="3786E5CC"/>
    <w:rsid w:val="37C4696A"/>
    <w:rsid w:val="37E10BE9"/>
    <w:rsid w:val="386A9CD8"/>
    <w:rsid w:val="3885A52E"/>
    <w:rsid w:val="38B84F25"/>
    <w:rsid w:val="391F32EE"/>
    <w:rsid w:val="3951FB39"/>
    <w:rsid w:val="39C88994"/>
    <w:rsid w:val="39DD8A2B"/>
    <w:rsid w:val="3A8B7766"/>
    <w:rsid w:val="3B0B6B03"/>
    <w:rsid w:val="3B529711"/>
    <w:rsid w:val="3C46F212"/>
    <w:rsid w:val="3C5A56EF"/>
    <w:rsid w:val="3D3D39FB"/>
    <w:rsid w:val="3D5CD980"/>
    <w:rsid w:val="3D79E874"/>
    <w:rsid w:val="3D933F04"/>
    <w:rsid w:val="3EAF623B"/>
    <w:rsid w:val="406B686F"/>
    <w:rsid w:val="407A5C4C"/>
    <w:rsid w:val="412EFC29"/>
    <w:rsid w:val="41ADF7F2"/>
    <w:rsid w:val="41DB90E0"/>
    <w:rsid w:val="42267BAD"/>
    <w:rsid w:val="436C273A"/>
    <w:rsid w:val="43815E0B"/>
    <w:rsid w:val="446B3FC8"/>
    <w:rsid w:val="446D565A"/>
    <w:rsid w:val="4515F89F"/>
    <w:rsid w:val="4597FE37"/>
    <w:rsid w:val="464CB045"/>
    <w:rsid w:val="46ADB0EA"/>
    <w:rsid w:val="47009E80"/>
    <w:rsid w:val="487F009B"/>
    <w:rsid w:val="48837658"/>
    <w:rsid w:val="48F5E83F"/>
    <w:rsid w:val="49D2410F"/>
    <w:rsid w:val="49DB0890"/>
    <w:rsid w:val="4B2AEB8C"/>
    <w:rsid w:val="4C4F33FB"/>
    <w:rsid w:val="4C827801"/>
    <w:rsid w:val="4CF87109"/>
    <w:rsid w:val="4DEFB951"/>
    <w:rsid w:val="4F34761A"/>
    <w:rsid w:val="4FA404B5"/>
    <w:rsid w:val="5101E0A3"/>
    <w:rsid w:val="5125ABF0"/>
    <w:rsid w:val="51288978"/>
    <w:rsid w:val="5132B105"/>
    <w:rsid w:val="5187B3DB"/>
    <w:rsid w:val="51D899CB"/>
    <w:rsid w:val="520F58A1"/>
    <w:rsid w:val="52FE7EAE"/>
    <w:rsid w:val="531E9BBE"/>
    <w:rsid w:val="53C3DB82"/>
    <w:rsid w:val="54604EAA"/>
    <w:rsid w:val="57CA3EC1"/>
    <w:rsid w:val="588B55ED"/>
    <w:rsid w:val="58C97194"/>
    <w:rsid w:val="595856A5"/>
    <w:rsid w:val="5A085199"/>
    <w:rsid w:val="5A32BDCF"/>
    <w:rsid w:val="5A97A044"/>
    <w:rsid w:val="5BCD5BB0"/>
    <w:rsid w:val="5BF09890"/>
    <w:rsid w:val="5D023326"/>
    <w:rsid w:val="5DDE24E5"/>
    <w:rsid w:val="5E0DB0CE"/>
    <w:rsid w:val="5EDBC2BC"/>
    <w:rsid w:val="612556C3"/>
    <w:rsid w:val="6213253F"/>
    <w:rsid w:val="62975761"/>
    <w:rsid w:val="62F88FCD"/>
    <w:rsid w:val="62FF38EB"/>
    <w:rsid w:val="6341958C"/>
    <w:rsid w:val="63D66010"/>
    <w:rsid w:val="643E1328"/>
    <w:rsid w:val="644008A5"/>
    <w:rsid w:val="64D68913"/>
    <w:rsid w:val="64ED9039"/>
    <w:rsid w:val="64F8A59D"/>
    <w:rsid w:val="66600DF1"/>
    <w:rsid w:val="66765865"/>
    <w:rsid w:val="671008E5"/>
    <w:rsid w:val="671C472E"/>
    <w:rsid w:val="6782E3A9"/>
    <w:rsid w:val="67D2AA0E"/>
    <w:rsid w:val="67F7F66C"/>
    <w:rsid w:val="68BC7803"/>
    <w:rsid w:val="695BD43A"/>
    <w:rsid w:val="69863415"/>
    <w:rsid w:val="6A0C48AF"/>
    <w:rsid w:val="6A442668"/>
    <w:rsid w:val="6A86E7EA"/>
    <w:rsid w:val="6ABB575F"/>
    <w:rsid w:val="6AEFC8D3"/>
    <w:rsid w:val="6B0A4AD0"/>
    <w:rsid w:val="6B337F14"/>
    <w:rsid w:val="6C1CA3F7"/>
    <w:rsid w:val="6D4EA974"/>
    <w:rsid w:val="6DDF1E21"/>
    <w:rsid w:val="6E41EB92"/>
    <w:rsid w:val="6E9EDBEE"/>
    <w:rsid w:val="6F0FE0E0"/>
    <w:rsid w:val="6F35AE85"/>
    <w:rsid w:val="7019D8F5"/>
    <w:rsid w:val="705EF815"/>
    <w:rsid w:val="706AB3A6"/>
    <w:rsid w:val="711268E8"/>
    <w:rsid w:val="728AAC47"/>
    <w:rsid w:val="728FA8C5"/>
    <w:rsid w:val="72985ECB"/>
    <w:rsid w:val="72BC6732"/>
    <w:rsid w:val="72DF8B06"/>
    <w:rsid w:val="72EF3196"/>
    <w:rsid w:val="73241D96"/>
    <w:rsid w:val="733B1DBE"/>
    <w:rsid w:val="74FF67FC"/>
    <w:rsid w:val="750DA116"/>
    <w:rsid w:val="76434A30"/>
    <w:rsid w:val="7672805A"/>
    <w:rsid w:val="76C0CCCD"/>
    <w:rsid w:val="76EBBD94"/>
    <w:rsid w:val="77660CC8"/>
    <w:rsid w:val="77FC49E9"/>
    <w:rsid w:val="786B08BA"/>
    <w:rsid w:val="79183FFB"/>
    <w:rsid w:val="79583EED"/>
    <w:rsid w:val="79A1B422"/>
    <w:rsid w:val="7A166391"/>
    <w:rsid w:val="7A793F42"/>
    <w:rsid w:val="7B1B1393"/>
    <w:rsid w:val="7BCED48E"/>
    <w:rsid w:val="7C02F6B6"/>
    <w:rsid w:val="7C4C5049"/>
    <w:rsid w:val="7CA28AB9"/>
    <w:rsid w:val="7CB76BCD"/>
    <w:rsid w:val="7D2452C0"/>
    <w:rsid w:val="7E4EC20B"/>
    <w:rsid w:val="7FACF7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757CEE"/>
  <w15:docId w15:val="{14B23AAB-08D7-4EE0-933E-537ADD00A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973"/>
    <w:rPr>
      <w:lang w:val="es-ES_tradnl"/>
    </w:rPr>
  </w:style>
  <w:style w:type="paragraph" w:styleId="Ttulo1">
    <w:name w:val="heading 1"/>
    <w:basedOn w:val="Normal"/>
    <w:next w:val="Normal"/>
    <w:qFormat/>
    <w:rsid w:val="00606973"/>
    <w:pPr>
      <w:keepNext/>
      <w:ind w:right="-187"/>
      <w:jc w:val="both"/>
      <w:outlineLvl w:val="0"/>
    </w:pPr>
    <w:rPr>
      <w:rFonts w:ascii="Arial" w:hAnsi="Arial" w:cs="Arial"/>
      <w:sz w:val="24"/>
      <w:szCs w:val="29"/>
    </w:rPr>
  </w:style>
  <w:style w:type="paragraph" w:styleId="Ttulo2">
    <w:name w:val="heading 2"/>
    <w:basedOn w:val="Normal"/>
    <w:next w:val="Normal"/>
    <w:qFormat/>
    <w:rsid w:val="00606973"/>
    <w:pPr>
      <w:keepNext/>
      <w:spacing w:line="360" w:lineRule="auto"/>
      <w:ind w:right="284"/>
      <w:jc w:val="both"/>
      <w:outlineLvl w:val="1"/>
    </w:pPr>
    <w:rPr>
      <w:rFonts w:ascii="Arial" w:hAnsi="Arial"/>
      <w:b/>
      <w:sz w:val="24"/>
    </w:rPr>
  </w:style>
  <w:style w:type="paragraph" w:styleId="Ttulo3">
    <w:name w:val="heading 3"/>
    <w:basedOn w:val="Normal"/>
    <w:next w:val="Normal"/>
    <w:qFormat/>
    <w:rsid w:val="00606973"/>
    <w:pPr>
      <w:keepNext/>
      <w:spacing w:line="360" w:lineRule="auto"/>
      <w:jc w:val="both"/>
      <w:outlineLvl w:val="2"/>
    </w:pPr>
    <w:rPr>
      <w:rFonts w:ascii="Arial" w:hAnsi="Arial"/>
      <w:b/>
      <w:sz w:val="36"/>
    </w:rPr>
  </w:style>
  <w:style w:type="paragraph" w:styleId="Ttulo5">
    <w:name w:val="heading 5"/>
    <w:basedOn w:val="Normal"/>
    <w:next w:val="Normal"/>
    <w:qFormat/>
    <w:rsid w:val="00606973"/>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06973"/>
    <w:pPr>
      <w:tabs>
        <w:tab w:val="center" w:pos="4252"/>
        <w:tab w:val="right" w:pos="8504"/>
      </w:tabs>
    </w:pPr>
  </w:style>
  <w:style w:type="paragraph" w:styleId="Textonotapie">
    <w:name w:val="footnote text"/>
    <w:aliases w:val="Texto nota pie Car,Footnote Text Char Char Char Char Char,Footnote Text Char Char Char Char,Footnote reference,FA Fu,texto de nota al pie,Footnote Text Char Char Char,Footnote Text Char,Footnote Text Char Char Char Char Char Char Char Cha"/>
    <w:basedOn w:val="Normal"/>
    <w:link w:val="TextonotapieCar2"/>
    <w:qFormat/>
    <w:rsid w:val="00606973"/>
  </w:style>
  <w:style w:type="character" w:styleId="Refdenotaalpie">
    <w:name w:val="footnote reference"/>
    <w:aliases w:val="Texto de nota al pie,referencia nota al pie,Footnotes refss,Appel note de bas de page,Fago Fußnotenzeichen,Footnote number,BVI fnr,f,Footnote symbol,Footnote,Ref,de nota al pie,Footnote Text Char1 Car Car Car Car,Ref. de nota al pie "/>
    <w:link w:val="4GChar"/>
    <w:qFormat/>
    <w:rsid w:val="00606973"/>
    <w:rPr>
      <w:vertAlign w:val="superscript"/>
    </w:rPr>
  </w:style>
  <w:style w:type="paragraph" w:styleId="Textoindependiente">
    <w:name w:val="Body Text"/>
    <w:basedOn w:val="Normal"/>
    <w:link w:val="TextoindependienteCar"/>
    <w:rsid w:val="00606973"/>
    <w:pPr>
      <w:spacing w:line="360" w:lineRule="auto"/>
      <w:jc w:val="both"/>
    </w:pPr>
    <w:rPr>
      <w:rFonts w:ascii="Arial" w:hAnsi="Arial"/>
      <w:sz w:val="26"/>
    </w:rPr>
  </w:style>
  <w:style w:type="paragraph" w:styleId="Piedepgina">
    <w:name w:val="footer"/>
    <w:basedOn w:val="Normal"/>
    <w:rsid w:val="00606973"/>
    <w:pPr>
      <w:tabs>
        <w:tab w:val="center" w:pos="4419"/>
        <w:tab w:val="right" w:pos="8838"/>
      </w:tabs>
    </w:pPr>
  </w:style>
  <w:style w:type="paragraph" w:styleId="Textoindependiente2">
    <w:name w:val="Body Text 2"/>
    <w:basedOn w:val="Normal"/>
    <w:rsid w:val="00606973"/>
    <w:pPr>
      <w:spacing w:line="360" w:lineRule="auto"/>
      <w:ind w:right="51"/>
      <w:jc w:val="both"/>
    </w:pPr>
    <w:rPr>
      <w:rFonts w:ascii="Arial" w:hAnsi="Arial"/>
      <w:sz w:val="24"/>
    </w:rPr>
  </w:style>
  <w:style w:type="paragraph" w:customStyle="1" w:styleId="Puesto">
    <w:name w:val="Puesto"/>
    <w:basedOn w:val="Normal"/>
    <w:qFormat/>
    <w:rsid w:val="00606973"/>
    <w:pPr>
      <w:widowControl w:val="0"/>
      <w:autoSpaceDE w:val="0"/>
      <w:autoSpaceDN w:val="0"/>
      <w:adjustRightInd w:val="0"/>
      <w:jc w:val="center"/>
    </w:pPr>
    <w:rPr>
      <w:rFonts w:ascii="Roman 12cpi" w:hAnsi="Roman 12cpi"/>
      <w:b/>
      <w:bCs/>
      <w:lang w:val="es-ES"/>
    </w:rPr>
  </w:style>
  <w:style w:type="paragraph" w:styleId="NormalWeb">
    <w:name w:val="Normal (Web)"/>
    <w:basedOn w:val="Normal"/>
    <w:uiPriority w:val="99"/>
    <w:rsid w:val="00606973"/>
    <w:pPr>
      <w:spacing w:before="100" w:beforeAutospacing="1" w:after="100" w:afterAutospacing="1"/>
    </w:pPr>
    <w:rPr>
      <w:sz w:val="24"/>
      <w:szCs w:val="24"/>
      <w:lang w:val="es-ES"/>
    </w:rPr>
  </w:style>
  <w:style w:type="paragraph" w:styleId="Cierre">
    <w:name w:val="Closing"/>
    <w:basedOn w:val="Normal"/>
    <w:rsid w:val="00606973"/>
    <w:pPr>
      <w:overflowPunct w:val="0"/>
      <w:autoSpaceDE w:val="0"/>
      <w:autoSpaceDN w:val="0"/>
      <w:adjustRightInd w:val="0"/>
      <w:ind w:left="4252"/>
      <w:textAlignment w:val="baseline"/>
    </w:pPr>
    <w:rPr>
      <w:sz w:val="24"/>
    </w:rPr>
  </w:style>
  <w:style w:type="character" w:customStyle="1" w:styleId="CarCar4">
    <w:name w:val="Car Car4"/>
    <w:rsid w:val="00606973"/>
    <w:rPr>
      <w:lang w:val="es-ES_tradnl" w:eastAsia="es-ES" w:bidi="ar-SA"/>
    </w:rPr>
  </w:style>
  <w:style w:type="paragraph" w:styleId="Sinespaciado">
    <w:name w:val="No Spacing"/>
    <w:uiPriority w:val="1"/>
    <w:qFormat/>
    <w:rsid w:val="00606973"/>
    <w:rPr>
      <w:rFonts w:ascii="Calibri" w:hAnsi="Calibri"/>
      <w:sz w:val="22"/>
      <w:szCs w:val="22"/>
      <w:lang w:eastAsia="en-US"/>
    </w:rPr>
  </w:style>
  <w:style w:type="character" w:customStyle="1" w:styleId="SinespaciadoCar">
    <w:name w:val="Sin espaciado Car"/>
    <w:uiPriority w:val="1"/>
    <w:qFormat/>
    <w:rsid w:val="00606973"/>
    <w:rPr>
      <w:rFonts w:ascii="Calibri" w:hAnsi="Calibri"/>
      <w:sz w:val="22"/>
      <w:szCs w:val="22"/>
      <w:lang w:val="es-ES" w:eastAsia="en-US" w:bidi="ar-SA"/>
    </w:rPr>
  </w:style>
  <w:style w:type="character" w:customStyle="1" w:styleId="CarCar5">
    <w:name w:val="Car Car5"/>
    <w:rsid w:val="00606973"/>
    <w:rPr>
      <w:lang w:val="es-ES_tradnl" w:eastAsia="es-ES" w:bidi="ar-SA"/>
    </w:rPr>
  </w:style>
  <w:style w:type="character" w:customStyle="1" w:styleId="apple-style-span">
    <w:name w:val="apple-style-span"/>
    <w:rsid w:val="00606973"/>
    <w:rPr>
      <w:rFonts w:ascii="Times New Roman" w:hAnsi="Times New Roman" w:cs="Times New Roman" w:hint="default"/>
    </w:rPr>
  </w:style>
  <w:style w:type="character" w:customStyle="1" w:styleId="apple-converted-space">
    <w:name w:val="apple-converted-space"/>
    <w:rsid w:val="00606973"/>
    <w:rPr>
      <w:rFonts w:ascii="Times New Roman" w:hAnsi="Times New Roman" w:cs="Times New Roman" w:hint="default"/>
    </w:rPr>
  </w:style>
  <w:style w:type="paragraph" w:styleId="Textoindependiente3">
    <w:name w:val="Body Text 3"/>
    <w:basedOn w:val="Normal"/>
    <w:rsid w:val="00606973"/>
    <w:pPr>
      <w:autoSpaceDE w:val="0"/>
      <w:autoSpaceDN w:val="0"/>
      <w:adjustRightInd w:val="0"/>
    </w:pPr>
    <w:rPr>
      <w:rFonts w:ascii="Arial" w:hAnsi="Arial" w:cs="Arial"/>
      <w:sz w:val="24"/>
      <w:szCs w:val="26"/>
      <w:lang w:val="es-ES"/>
    </w:rPr>
  </w:style>
  <w:style w:type="character" w:styleId="Nmerodepgina">
    <w:name w:val="page number"/>
    <w:basedOn w:val="Fuentedeprrafopredeter"/>
    <w:rsid w:val="00606973"/>
  </w:style>
  <w:style w:type="character" w:customStyle="1" w:styleId="TextonotapieCar1">
    <w:name w:val="Texto nota pie Car1"/>
    <w:aliases w:val="Texto nota pie Car Car,Footnote Text Char Char Char Char Char Car,Footnote Text Char Char Char Char Car,Footnote reference Car,FA Fu Car,texto de nota al pie Car,Footnote Text Char Char Char Car,Footnote Text Char Car"/>
    <w:locked/>
    <w:rsid w:val="00606973"/>
    <w:rPr>
      <w:lang w:val="es-ES_tradnl" w:eastAsia="es-ES" w:bidi="ar-SA"/>
    </w:rPr>
  </w:style>
  <w:style w:type="paragraph" w:customStyle="1" w:styleId="Style6">
    <w:name w:val="Style6"/>
    <w:basedOn w:val="Normal"/>
    <w:rsid w:val="00606973"/>
    <w:pPr>
      <w:widowControl w:val="0"/>
      <w:autoSpaceDE w:val="0"/>
      <w:autoSpaceDN w:val="0"/>
      <w:adjustRightInd w:val="0"/>
    </w:pPr>
    <w:rPr>
      <w:rFonts w:ascii="Tahoma" w:hAnsi="Tahoma"/>
      <w:sz w:val="24"/>
      <w:szCs w:val="24"/>
      <w:lang w:val="es-ES"/>
    </w:rPr>
  </w:style>
  <w:style w:type="paragraph" w:customStyle="1" w:styleId="Style7">
    <w:name w:val="Style7"/>
    <w:basedOn w:val="Normal"/>
    <w:rsid w:val="00606973"/>
    <w:pPr>
      <w:widowControl w:val="0"/>
      <w:autoSpaceDE w:val="0"/>
      <w:autoSpaceDN w:val="0"/>
      <w:adjustRightInd w:val="0"/>
      <w:spacing w:line="435" w:lineRule="exact"/>
      <w:ind w:firstLine="1138"/>
      <w:jc w:val="both"/>
    </w:pPr>
    <w:rPr>
      <w:rFonts w:ascii="Tahoma" w:hAnsi="Tahoma"/>
      <w:sz w:val="24"/>
      <w:szCs w:val="24"/>
      <w:lang w:val="es-ES"/>
    </w:rPr>
  </w:style>
  <w:style w:type="paragraph" w:customStyle="1" w:styleId="Style9">
    <w:name w:val="Style9"/>
    <w:basedOn w:val="Normal"/>
    <w:rsid w:val="00606973"/>
    <w:pPr>
      <w:widowControl w:val="0"/>
      <w:autoSpaceDE w:val="0"/>
      <w:autoSpaceDN w:val="0"/>
      <w:adjustRightInd w:val="0"/>
      <w:spacing w:line="254" w:lineRule="exact"/>
      <w:jc w:val="both"/>
    </w:pPr>
    <w:rPr>
      <w:rFonts w:ascii="Tahoma" w:hAnsi="Tahoma"/>
      <w:sz w:val="24"/>
      <w:szCs w:val="24"/>
      <w:lang w:val="es-ES"/>
    </w:rPr>
  </w:style>
  <w:style w:type="paragraph" w:customStyle="1" w:styleId="Style14">
    <w:name w:val="Style14"/>
    <w:basedOn w:val="Normal"/>
    <w:rsid w:val="00606973"/>
    <w:pPr>
      <w:widowControl w:val="0"/>
      <w:autoSpaceDE w:val="0"/>
      <w:autoSpaceDN w:val="0"/>
      <w:adjustRightInd w:val="0"/>
    </w:pPr>
    <w:rPr>
      <w:rFonts w:ascii="Tahoma" w:hAnsi="Tahoma"/>
      <w:sz w:val="24"/>
      <w:szCs w:val="24"/>
      <w:lang w:val="es-ES"/>
    </w:rPr>
  </w:style>
  <w:style w:type="character" w:customStyle="1" w:styleId="FontStyle20">
    <w:name w:val="Font Style20"/>
    <w:rsid w:val="00606973"/>
    <w:rPr>
      <w:rFonts w:ascii="Arial" w:hAnsi="Arial" w:cs="Arial"/>
      <w:color w:val="000000"/>
      <w:sz w:val="20"/>
      <w:szCs w:val="20"/>
    </w:rPr>
  </w:style>
  <w:style w:type="character" w:customStyle="1" w:styleId="FontStyle22">
    <w:name w:val="Font Style22"/>
    <w:rsid w:val="00606973"/>
    <w:rPr>
      <w:rFonts w:ascii="Arial" w:hAnsi="Arial" w:cs="Arial"/>
      <w:color w:val="000000"/>
      <w:sz w:val="18"/>
      <w:szCs w:val="18"/>
    </w:rPr>
  </w:style>
  <w:style w:type="character" w:customStyle="1" w:styleId="FontStyle23">
    <w:name w:val="Font Style23"/>
    <w:rsid w:val="00606973"/>
    <w:rPr>
      <w:rFonts w:ascii="Tahoma" w:hAnsi="Tahoma" w:cs="Tahoma"/>
      <w:b/>
      <w:bCs/>
      <w:color w:val="000000"/>
      <w:sz w:val="20"/>
      <w:szCs w:val="20"/>
    </w:rPr>
  </w:style>
  <w:style w:type="character" w:customStyle="1" w:styleId="FontStyle24">
    <w:name w:val="Font Style24"/>
    <w:rsid w:val="00606973"/>
    <w:rPr>
      <w:rFonts w:ascii="Tahoma" w:hAnsi="Tahoma" w:cs="Tahoma"/>
      <w:color w:val="000000"/>
      <w:sz w:val="20"/>
      <w:szCs w:val="20"/>
    </w:rPr>
  </w:style>
  <w:style w:type="paragraph" w:customStyle="1" w:styleId="Default">
    <w:name w:val="Default"/>
    <w:rsid w:val="00606973"/>
    <w:pPr>
      <w:autoSpaceDE w:val="0"/>
      <w:autoSpaceDN w:val="0"/>
      <w:adjustRightInd w:val="0"/>
    </w:pPr>
    <w:rPr>
      <w:rFonts w:ascii="Arial" w:hAnsi="Arial" w:cs="Arial"/>
      <w:color w:val="000000"/>
      <w:sz w:val="24"/>
      <w:szCs w:val="24"/>
    </w:rPr>
  </w:style>
  <w:style w:type="character" w:customStyle="1" w:styleId="textonavy">
    <w:name w:val="texto_navy"/>
    <w:basedOn w:val="Fuentedeprrafopredeter"/>
    <w:rsid w:val="00606973"/>
  </w:style>
  <w:style w:type="character" w:styleId="Hipervnculo">
    <w:name w:val="Hyperlink"/>
    <w:uiPriority w:val="99"/>
    <w:rsid w:val="00606973"/>
    <w:rPr>
      <w:color w:val="0000FF"/>
      <w:u w:val="single"/>
    </w:rPr>
  </w:style>
  <w:style w:type="character" w:customStyle="1" w:styleId="st">
    <w:name w:val="st"/>
    <w:basedOn w:val="Fuentedeprrafopredeter"/>
    <w:rsid w:val="00606973"/>
  </w:style>
  <w:style w:type="character" w:styleId="Textoennegrita">
    <w:name w:val="Strong"/>
    <w:qFormat/>
    <w:rsid w:val="00C21532"/>
    <w:rPr>
      <w:rFonts w:cs="Times New Roman"/>
      <w:b/>
    </w:rPr>
  </w:style>
  <w:style w:type="character" w:customStyle="1" w:styleId="TextonotapieCar2">
    <w:name w:val="Texto nota pie Car2"/>
    <w:aliases w:val="Texto nota pie Car Car1,Footnote Text Char Char Char Char Char Car1,Footnote Text Char Char Char Char Car1,Footnote reference Car1,FA Fu Car1,texto de nota al pie Car1,Footnote Text Char Char Char Car1,Footnote Text Char Car1"/>
    <w:link w:val="Textonotapie"/>
    <w:uiPriority w:val="99"/>
    <w:rsid w:val="00BA0CCB"/>
    <w:rPr>
      <w:lang w:val="es-ES_tradnl" w:eastAsia="es-ES" w:bidi="ar-SA"/>
    </w:rPr>
  </w:style>
  <w:style w:type="paragraph" w:styleId="Textodeglobo">
    <w:name w:val="Balloon Text"/>
    <w:basedOn w:val="Normal"/>
    <w:link w:val="TextodegloboCar"/>
    <w:rsid w:val="008E1577"/>
    <w:rPr>
      <w:rFonts w:ascii="Segoe UI" w:hAnsi="Segoe UI" w:cs="Segoe UI"/>
      <w:sz w:val="18"/>
      <w:szCs w:val="18"/>
    </w:rPr>
  </w:style>
  <w:style w:type="character" w:customStyle="1" w:styleId="TextodegloboCar">
    <w:name w:val="Texto de globo Car"/>
    <w:link w:val="Textodeglobo"/>
    <w:rsid w:val="008E1577"/>
    <w:rPr>
      <w:rFonts w:ascii="Segoe UI" w:hAnsi="Segoe UI" w:cs="Segoe UI"/>
      <w:sz w:val="18"/>
      <w:szCs w:val="18"/>
      <w:lang w:val="es-ES_tradn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0D560A"/>
    <w:pPr>
      <w:jc w:val="both"/>
    </w:pPr>
    <w:rPr>
      <w:vertAlign w:val="superscript"/>
      <w:lang w:val="es-ES"/>
    </w:rPr>
  </w:style>
  <w:style w:type="paragraph" w:customStyle="1" w:styleId="nueve">
    <w:name w:val="nueve"/>
    <w:basedOn w:val="Normal"/>
    <w:rsid w:val="001D7299"/>
    <w:pPr>
      <w:spacing w:before="100" w:beforeAutospacing="1" w:after="100" w:afterAutospacing="1"/>
    </w:pPr>
    <w:rPr>
      <w:sz w:val="24"/>
      <w:szCs w:val="24"/>
      <w:lang w:val="es-ES"/>
    </w:rPr>
  </w:style>
  <w:style w:type="paragraph" w:styleId="Prrafodelista">
    <w:name w:val="List Paragraph"/>
    <w:aliases w:val="Normal1,titulo 3,List Paragraph,Colorful List - Accent 11,Bullets,Ha,Párrafo de lista2,Bullet List,FooterText,numbered,List Paragraph1,Paragraphe de liste1,lp1,Bulletr List Paragraph,Foot,列出段落,列出段落1,List Paragraph2,List Paragraph21,List"/>
    <w:basedOn w:val="Normal"/>
    <w:link w:val="PrrafodelistaCar"/>
    <w:uiPriority w:val="34"/>
    <w:qFormat/>
    <w:rsid w:val="00E65D4A"/>
    <w:pPr>
      <w:ind w:left="708"/>
    </w:pPr>
  </w:style>
  <w:style w:type="paragraph" w:styleId="Textocomentario">
    <w:name w:val="annotation text"/>
    <w:basedOn w:val="Normal"/>
    <w:link w:val="TextocomentarioCar"/>
    <w:semiHidden/>
    <w:unhideWhenUsed/>
    <w:rsid w:val="00AC5E3F"/>
  </w:style>
  <w:style w:type="character" w:customStyle="1" w:styleId="TextocomentarioCar">
    <w:name w:val="Texto comentario Car"/>
    <w:basedOn w:val="Fuentedeprrafopredeter"/>
    <w:link w:val="Textocomentario"/>
    <w:semiHidden/>
    <w:rsid w:val="00AC5E3F"/>
    <w:rPr>
      <w:lang w:val="es-ES_tradnl"/>
    </w:rPr>
  </w:style>
  <w:style w:type="character" w:styleId="Refdecomentario">
    <w:name w:val="annotation reference"/>
    <w:basedOn w:val="Fuentedeprrafopredeter"/>
    <w:semiHidden/>
    <w:unhideWhenUsed/>
    <w:rsid w:val="00AC5E3F"/>
    <w:rPr>
      <w:sz w:val="16"/>
      <w:szCs w:val="16"/>
    </w:rPr>
  </w:style>
  <w:style w:type="paragraph" w:styleId="Asuntodelcomentario">
    <w:name w:val="annotation subject"/>
    <w:basedOn w:val="Textocomentario"/>
    <w:next w:val="Textocomentario"/>
    <w:link w:val="AsuntodelcomentarioCar"/>
    <w:semiHidden/>
    <w:unhideWhenUsed/>
    <w:rsid w:val="009C42BB"/>
    <w:rPr>
      <w:b/>
      <w:bCs/>
    </w:rPr>
  </w:style>
  <w:style w:type="character" w:customStyle="1" w:styleId="AsuntodelcomentarioCar">
    <w:name w:val="Asunto del comentario Car"/>
    <w:basedOn w:val="TextocomentarioCar"/>
    <w:link w:val="Asuntodelcomentario"/>
    <w:semiHidden/>
    <w:rsid w:val="009C42BB"/>
    <w:rPr>
      <w:b/>
      <w:bCs/>
      <w:lang w:val="es-ES_tradnl"/>
    </w:rPr>
  </w:style>
  <w:style w:type="character" w:customStyle="1" w:styleId="TextoindependienteCar">
    <w:name w:val="Texto independiente Car"/>
    <w:basedOn w:val="Fuentedeprrafopredeter"/>
    <w:link w:val="Textoindependiente"/>
    <w:rsid w:val="00493844"/>
    <w:rPr>
      <w:rFonts w:ascii="Arial" w:hAnsi="Arial"/>
      <w:sz w:val="26"/>
      <w:lang w:val="es-ES_tradnl"/>
    </w:rPr>
  </w:style>
  <w:style w:type="character" w:customStyle="1" w:styleId="eop">
    <w:name w:val="eop"/>
    <w:basedOn w:val="Fuentedeprrafopredeter"/>
    <w:rsid w:val="00493844"/>
  </w:style>
  <w:style w:type="character" w:customStyle="1" w:styleId="baj">
    <w:name w:val="b_aj"/>
    <w:basedOn w:val="Fuentedeprrafopredeter"/>
    <w:rsid w:val="000E5B12"/>
  </w:style>
  <w:style w:type="character" w:customStyle="1" w:styleId="UnresolvedMention">
    <w:name w:val="Unresolved Mention"/>
    <w:basedOn w:val="Fuentedeprrafopredeter"/>
    <w:uiPriority w:val="99"/>
    <w:semiHidden/>
    <w:unhideWhenUsed/>
    <w:rsid w:val="00323640"/>
    <w:rPr>
      <w:color w:val="605E5C"/>
      <w:shd w:val="clear" w:color="auto" w:fill="E1DFDD"/>
    </w:rPr>
  </w:style>
  <w:style w:type="character" w:customStyle="1" w:styleId="PrrafodelistaCar">
    <w:name w:val="Párrafo de lista Car"/>
    <w:aliases w:val="Normal1 Car,titulo 3 Car,List Paragraph Car,Colorful List - Accent 11 Car,Bullets Car,Ha Car,Párrafo de lista2 Car,Bullet List Car,FooterText Car,numbered Car,List Paragraph1 Car,Paragraphe de liste1 Car,lp1 Car,Foot Car,列出段落 Car"/>
    <w:link w:val="Prrafodelista"/>
    <w:uiPriority w:val="34"/>
    <w:qFormat/>
    <w:locked/>
    <w:rsid w:val="00B123DA"/>
    <w:rPr>
      <w:lang w:val="es-ES_tradnl"/>
    </w:rPr>
  </w:style>
  <w:style w:type="character" w:customStyle="1" w:styleId="EncabezadoCar">
    <w:name w:val="Encabezado Car"/>
    <w:basedOn w:val="Fuentedeprrafopredeter"/>
    <w:link w:val="Encabezado"/>
    <w:uiPriority w:val="99"/>
    <w:rsid w:val="00626148"/>
    <w:rPr>
      <w:lang w:val="es-ES_tradnl"/>
    </w:rPr>
  </w:style>
  <w:style w:type="paragraph" w:customStyle="1" w:styleId="Style8">
    <w:name w:val="Style8"/>
    <w:basedOn w:val="Normal"/>
    <w:uiPriority w:val="99"/>
    <w:rsid w:val="00626148"/>
    <w:pPr>
      <w:widowControl w:val="0"/>
      <w:autoSpaceDE w:val="0"/>
      <w:autoSpaceDN w:val="0"/>
      <w:adjustRightInd w:val="0"/>
      <w:spacing w:line="434" w:lineRule="exact"/>
      <w:ind w:firstLine="1157"/>
      <w:jc w:val="both"/>
    </w:pPr>
    <w:rPr>
      <w:rFonts w:ascii="Tahoma" w:hAnsi="Tahoma"/>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93133">
      <w:bodyDiv w:val="1"/>
      <w:marLeft w:val="0"/>
      <w:marRight w:val="0"/>
      <w:marTop w:val="0"/>
      <w:marBottom w:val="0"/>
      <w:divBdr>
        <w:top w:val="none" w:sz="0" w:space="0" w:color="auto"/>
        <w:left w:val="none" w:sz="0" w:space="0" w:color="auto"/>
        <w:bottom w:val="none" w:sz="0" w:space="0" w:color="auto"/>
        <w:right w:val="none" w:sz="0" w:space="0" w:color="auto"/>
      </w:divBdr>
    </w:div>
    <w:div w:id="241378487">
      <w:bodyDiv w:val="1"/>
      <w:marLeft w:val="0"/>
      <w:marRight w:val="0"/>
      <w:marTop w:val="0"/>
      <w:marBottom w:val="0"/>
      <w:divBdr>
        <w:top w:val="none" w:sz="0" w:space="0" w:color="auto"/>
        <w:left w:val="none" w:sz="0" w:space="0" w:color="auto"/>
        <w:bottom w:val="none" w:sz="0" w:space="0" w:color="auto"/>
        <w:right w:val="none" w:sz="0" w:space="0" w:color="auto"/>
      </w:divBdr>
    </w:div>
    <w:div w:id="421025301">
      <w:bodyDiv w:val="1"/>
      <w:marLeft w:val="0"/>
      <w:marRight w:val="0"/>
      <w:marTop w:val="0"/>
      <w:marBottom w:val="0"/>
      <w:divBdr>
        <w:top w:val="none" w:sz="0" w:space="0" w:color="auto"/>
        <w:left w:val="none" w:sz="0" w:space="0" w:color="auto"/>
        <w:bottom w:val="none" w:sz="0" w:space="0" w:color="auto"/>
        <w:right w:val="none" w:sz="0" w:space="0" w:color="auto"/>
      </w:divBdr>
    </w:div>
    <w:div w:id="498426842">
      <w:bodyDiv w:val="1"/>
      <w:marLeft w:val="0"/>
      <w:marRight w:val="0"/>
      <w:marTop w:val="0"/>
      <w:marBottom w:val="0"/>
      <w:divBdr>
        <w:top w:val="none" w:sz="0" w:space="0" w:color="auto"/>
        <w:left w:val="none" w:sz="0" w:space="0" w:color="auto"/>
        <w:bottom w:val="none" w:sz="0" w:space="0" w:color="auto"/>
        <w:right w:val="none" w:sz="0" w:space="0" w:color="auto"/>
      </w:divBdr>
    </w:div>
    <w:div w:id="678238225">
      <w:bodyDiv w:val="1"/>
      <w:marLeft w:val="0"/>
      <w:marRight w:val="0"/>
      <w:marTop w:val="0"/>
      <w:marBottom w:val="0"/>
      <w:divBdr>
        <w:top w:val="none" w:sz="0" w:space="0" w:color="auto"/>
        <w:left w:val="none" w:sz="0" w:space="0" w:color="auto"/>
        <w:bottom w:val="none" w:sz="0" w:space="0" w:color="auto"/>
        <w:right w:val="none" w:sz="0" w:space="0" w:color="auto"/>
      </w:divBdr>
    </w:div>
    <w:div w:id="819613611">
      <w:bodyDiv w:val="1"/>
      <w:marLeft w:val="0"/>
      <w:marRight w:val="0"/>
      <w:marTop w:val="0"/>
      <w:marBottom w:val="0"/>
      <w:divBdr>
        <w:top w:val="none" w:sz="0" w:space="0" w:color="auto"/>
        <w:left w:val="none" w:sz="0" w:space="0" w:color="auto"/>
        <w:bottom w:val="none" w:sz="0" w:space="0" w:color="auto"/>
        <w:right w:val="none" w:sz="0" w:space="0" w:color="auto"/>
      </w:divBdr>
    </w:div>
    <w:div w:id="959411058">
      <w:bodyDiv w:val="1"/>
      <w:marLeft w:val="0"/>
      <w:marRight w:val="0"/>
      <w:marTop w:val="0"/>
      <w:marBottom w:val="0"/>
      <w:divBdr>
        <w:top w:val="none" w:sz="0" w:space="0" w:color="auto"/>
        <w:left w:val="none" w:sz="0" w:space="0" w:color="auto"/>
        <w:bottom w:val="none" w:sz="0" w:space="0" w:color="auto"/>
        <w:right w:val="none" w:sz="0" w:space="0" w:color="auto"/>
      </w:divBdr>
    </w:div>
    <w:div w:id="978075650">
      <w:bodyDiv w:val="1"/>
      <w:marLeft w:val="0"/>
      <w:marRight w:val="0"/>
      <w:marTop w:val="0"/>
      <w:marBottom w:val="0"/>
      <w:divBdr>
        <w:top w:val="none" w:sz="0" w:space="0" w:color="auto"/>
        <w:left w:val="none" w:sz="0" w:space="0" w:color="auto"/>
        <w:bottom w:val="none" w:sz="0" w:space="0" w:color="auto"/>
        <w:right w:val="none" w:sz="0" w:space="0" w:color="auto"/>
      </w:divBdr>
    </w:div>
    <w:div w:id="1406996970">
      <w:bodyDiv w:val="1"/>
      <w:marLeft w:val="0"/>
      <w:marRight w:val="0"/>
      <w:marTop w:val="0"/>
      <w:marBottom w:val="0"/>
      <w:divBdr>
        <w:top w:val="none" w:sz="0" w:space="0" w:color="auto"/>
        <w:left w:val="none" w:sz="0" w:space="0" w:color="auto"/>
        <w:bottom w:val="none" w:sz="0" w:space="0" w:color="auto"/>
        <w:right w:val="none" w:sz="0" w:space="0" w:color="auto"/>
      </w:divBdr>
    </w:div>
    <w:div w:id="1490167416">
      <w:bodyDiv w:val="1"/>
      <w:marLeft w:val="0"/>
      <w:marRight w:val="0"/>
      <w:marTop w:val="0"/>
      <w:marBottom w:val="0"/>
      <w:divBdr>
        <w:top w:val="none" w:sz="0" w:space="0" w:color="auto"/>
        <w:left w:val="none" w:sz="0" w:space="0" w:color="auto"/>
        <w:bottom w:val="none" w:sz="0" w:space="0" w:color="auto"/>
        <w:right w:val="none" w:sz="0" w:space="0" w:color="auto"/>
      </w:divBdr>
    </w:div>
    <w:div w:id="1521505517">
      <w:bodyDiv w:val="1"/>
      <w:marLeft w:val="0"/>
      <w:marRight w:val="0"/>
      <w:marTop w:val="0"/>
      <w:marBottom w:val="0"/>
      <w:divBdr>
        <w:top w:val="none" w:sz="0" w:space="0" w:color="auto"/>
        <w:left w:val="none" w:sz="0" w:space="0" w:color="auto"/>
        <w:bottom w:val="none" w:sz="0" w:space="0" w:color="auto"/>
        <w:right w:val="none" w:sz="0" w:space="0" w:color="auto"/>
      </w:divBdr>
    </w:div>
    <w:div w:id="1692994994">
      <w:bodyDiv w:val="1"/>
      <w:marLeft w:val="0"/>
      <w:marRight w:val="0"/>
      <w:marTop w:val="0"/>
      <w:marBottom w:val="0"/>
      <w:divBdr>
        <w:top w:val="none" w:sz="0" w:space="0" w:color="auto"/>
        <w:left w:val="none" w:sz="0" w:space="0" w:color="auto"/>
        <w:bottom w:val="none" w:sz="0" w:space="0" w:color="auto"/>
        <w:right w:val="none" w:sz="0" w:space="0" w:color="auto"/>
      </w:divBdr>
    </w:div>
    <w:div w:id="1721586360">
      <w:bodyDiv w:val="1"/>
      <w:marLeft w:val="0"/>
      <w:marRight w:val="0"/>
      <w:marTop w:val="0"/>
      <w:marBottom w:val="0"/>
      <w:divBdr>
        <w:top w:val="none" w:sz="0" w:space="0" w:color="auto"/>
        <w:left w:val="none" w:sz="0" w:space="0" w:color="auto"/>
        <w:bottom w:val="none" w:sz="0" w:space="0" w:color="auto"/>
        <w:right w:val="none" w:sz="0" w:space="0" w:color="auto"/>
      </w:divBdr>
    </w:div>
    <w:div w:id="1791825402">
      <w:bodyDiv w:val="1"/>
      <w:marLeft w:val="0"/>
      <w:marRight w:val="0"/>
      <w:marTop w:val="0"/>
      <w:marBottom w:val="0"/>
      <w:divBdr>
        <w:top w:val="none" w:sz="0" w:space="0" w:color="auto"/>
        <w:left w:val="none" w:sz="0" w:space="0" w:color="auto"/>
        <w:bottom w:val="none" w:sz="0" w:space="0" w:color="auto"/>
        <w:right w:val="none" w:sz="0" w:space="0" w:color="auto"/>
      </w:divBdr>
    </w:div>
    <w:div w:id="203687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nicamosquera57@gmail.com" TargetMode="External"/><Relationship Id="rId5" Type="http://schemas.openxmlformats.org/officeDocument/2006/relationships/numbering" Target="numbering.xml"/><Relationship Id="rId15" Type="http://schemas.openxmlformats.org/officeDocument/2006/relationships/fontTable" Target="fontTable.xml"/><Relationship Id="R889509a587024864"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3ca2746-26a0-40df-9010-f2a8f46d6514">
      <UserInfo>
        <DisplayName>German Dario Goez Vinasco</DisplayName>
        <AccountId>206</AccountId>
        <AccountType/>
      </UserInfo>
      <UserInfo>
        <DisplayName>Ana Lucia Caicedo Calderon</DisplayName>
        <AccountId>20</AccountId>
        <AccountType/>
      </UserInfo>
      <UserInfo>
        <DisplayName>Julio Cesar Salazar Muñoz</DisplayName>
        <AccountId>12</AccountId>
        <AccountType/>
      </UserInfo>
    </SharedWithUsers>
    <lcf76f155ced4ddcb4097134ff3c332f xmlns="7594eaa0-d1e4-4b7c-af1d-31740c5cc0e5">
      <Terms xmlns="http://schemas.microsoft.com/office/infopath/2007/PartnerControls"/>
    </lcf76f155ced4ddcb4097134ff3c332f>
    <TaxCatchAll xmlns="43ca2746-26a0-40df-9010-f2a8f46d65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C87DA-50DC-40D0-8EB3-A0DCA3FF0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75AB97-9AF7-4E47-BB67-9FF48F398957}">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3.xml><?xml version="1.0" encoding="utf-8"?>
<ds:datastoreItem xmlns:ds="http://schemas.openxmlformats.org/officeDocument/2006/customXml" ds:itemID="{4EB217E7-7465-4AF4-9181-D052DF52017D}">
  <ds:schemaRefs>
    <ds:schemaRef ds:uri="http://schemas.microsoft.com/sharepoint/v3/contenttype/forms"/>
  </ds:schemaRefs>
</ds:datastoreItem>
</file>

<file path=customXml/itemProps4.xml><?xml version="1.0" encoding="utf-8"?>
<ds:datastoreItem xmlns:ds="http://schemas.openxmlformats.org/officeDocument/2006/customXml" ds:itemID="{D19945A9-D173-4C30-984B-9A2DD5150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6285</Words>
  <Characters>35828</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Providencia:                               Sentencia del 13 de enero de 2012</vt:lpstr>
    </vt:vector>
  </TitlesOfParts>
  <Company>Consejo Superior de la Judicatura</Company>
  <LinksUpToDate>false</LinksUpToDate>
  <CharactersWithSpaces>42029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Providencia:                               Sentencia del 13 de enero de 2012</dc:title>
  <dc:creator>hmejiau</dc:creator>
  <cp:lastModifiedBy>samsung</cp:lastModifiedBy>
  <cp:revision>9</cp:revision>
  <cp:lastPrinted>2019-02-04T21:07:00Z</cp:lastPrinted>
  <dcterms:created xsi:type="dcterms:W3CDTF">2023-10-20T15:49:00Z</dcterms:created>
  <dcterms:modified xsi:type="dcterms:W3CDTF">2023-12-05T13:31:00Z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ies>
</file>